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2B4" w:rsidRDefault="00C27636">
      <w:pPr>
        <w:rPr>
          <w:sz w:val="24"/>
          <w:szCs w:val="24"/>
        </w:rPr>
      </w:pPr>
      <w:bookmarkStart w:id="0" w:name="page1"/>
      <w:bookmarkEnd w:id="0"/>
      <w:r>
        <w:rPr>
          <w:noProof/>
          <w:sz w:val="24"/>
          <w:szCs w:val="24"/>
        </w:rPr>
        <w:drawing>
          <wp:anchor distT="0" distB="0" distL="114300" distR="114300" simplePos="0" relativeHeight="251349504" behindDoc="1" locked="0" layoutInCell="0" allowOverlap="1">
            <wp:simplePos x="0" y="0"/>
            <wp:positionH relativeFrom="page">
              <wp:posOffset>0</wp:posOffset>
            </wp:positionH>
            <wp:positionV relativeFrom="page">
              <wp:posOffset>0</wp:posOffset>
            </wp:positionV>
            <wp:extent cx="7668895" cy="109086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blip>
                    <a:srcRect/>
                    <a:stretch>
                      <a:fillRect/>
                    </a:stretch>
                  </pic:blipFill>
                  <pic:spPr bwMode="auto">
                    <a:xfrm>
                      <a:off x="0" y="0"/>
                      <a:ext cx="7668895" cy="10908665"/>
                    </a:xfrm>
                    <a:prstGeom prst="rect">
                      <a:avLst/>
                    </a:prstGeom>
                    <a:noFill/>
                  </pic:spPr>
                </pic:pic>
              </a:graphicData>
            </a:graphic>
          </wp:anchor>
        </w:drawing>
      </w:r>
    </w:p>
    <w:p w:rsidR="00AC12B4" w:rsidRDefault="00AC12B4">
      <w:pPr>
        <w:sectPr w:rsidR="00AC12B4">
          <w:headerReference w:type="even" r:id="rId9"/>
          <w:headerReference w:type="default" r:id="rId10"/>
          <w:footerReference w:type="even" r:id="rId11"/>
          <w:footerReference w:type="default" r:id="rId12"/>
          <w:headerReference w:type="first" r:id="rId13"/>
          <w:footerReference w:type="first" r:id="rId14"/>
          <w:pgSz w:w="12080" w:h="17179"/>
          <w:pgMar w:top="1440" w:right="1440" w:bottom="875" w:left="1440" w:header="0" w:footer="0" w:gutter="0"/>
          <w:cols w:space="0"/>
        </w:sectPr>
      </w:pPr>
    </w:p>
    <w:p w:rsidR="00AC12B4" w:rsidRDefault="00AC12B4">
      <w:pPr>
        <w:rPr>
          <w:sz w:val="20"/>
          <w:szCs w:val="20"/>
        </w:rPr>
      </w:pPr>
      <w:bookmarkStart w:id="1" w:name="page2"/>
      <w:bookmarkEnd w:id="1"/>
    </w:p>
    <w:p w:rsidR="00AC12B4" w:rsidRDefault="00AC12B4">
      <w:pPr>
        <w:sectPr w:rsidR="00AC12B4">
          <w:pgSz w:w="12080" w:h="17179"/>
          <w:pgMar w:top="1440" w:right="1440" w:bottom="875" w:left="1440" w:header="0" w:footer="0" w:gutter="0"/>
          <w:cols w:space="0"/>
        </w:sectPr>
      </w:pPr>
    </w:p>
    <w:p w:rsidR="00AC12B4" w:rsidRDefault="00AC12B4">
      <w:pPr>
        <w:spacing w:line="162" w:lineRule="exact"/>
        <w:rPr>
          <w:sz w:val="20"/>
          <w:szCs w:val="20"/>
        </w:rPr>
      </w:pPr>
      <w:bookmarkStart w:id="2" w:name="page3"/>
      <w:bookmarkEnd w:id="2"/>
    </w:p>
    <w:p w:rsidR="00AC12B4" w:rsidRPr="00C27636" w:rsidRDefault="00C27636">
      <w:pPr>
        <w:ind w:left="1180"/>
        <w:rPr>
          <w:sz w:val="20"/>
          <w:szCs w:val="20"/>
          <w:lang w:val="fr-BE"/>
        </w:rPr>
      </w:pPr>
      <w:r w:rsidRPr="00C27636">
        <w:rPr>
          <w:rFonts w:ascii="Calibri" w:eastAsia="Calibri" w:hAnsi="Calibri" w:cs="Calibri"/>
          <w:b/>
          <w:bCs/>
          <w:color w:val="ACD8F9"/>
          <w:sz w:val="40"/>
          <w:szCs w:val="40"/>
          <w:lang w:val="fr-BE"/>
        </w:rPr>
        <w:t>Indicateurs nationaux des droits de l’enfant</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4" w:lineRule="exact"/>
        <w:rPr>
          <w:sz w:val="20"/>
          <w:szCs w:val="20"/>
          <w:lang w:val="fr-BE"/>
        </w:rPr>
      </w:pPr>
    </w:p>
    <w:p w:rsidR="00AC12B4" w:rsidRDefault="00C27636">
      <w:pPr>
        <w:ind w:left="3020"/>
        <w:rPr>
          <w:sz w:val="20"/>
          <w:szCs w:val="20"/>
        </w:rPr>
      </w:pPr>
      <w:r>
        <w:rPr>
          <w:rFonts w:ascii="Calibri" w:eastAsia="Calibri" w:hAnsi="Calibri" w:cs="Calibri"/>
          <w:b/>
          <w:bCs/>
          <w:color w:val="ACD8F9"/>
          <w:sz w:val="48"/>
          <w:szCs w:val="48"/>
        </w:rPr>
        <w:t>Make them count</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27" w:lineRule="exact"/>
        <w:rPr>
          <w:sz w:val="20"/>
          <w:szCs w:val="20"/>
        </w:rPr>
      </w:pPr>
    </w:p>
    <w:p w:rsidR="00AC12B4" w:rsidRDefault="00C27636">
      <w:pPr>
        <w:ind w:left="2520"/>
        <w:rPr>
          <w:sz w:val="20"/>
          <w:szCs w:val="20"/>
        </w:rPr>
      </w:pPr>
      <w:r>
        <w:rPr>
          <w:rFonts w:ascii="Calibri" w:eastAsia="Calibri" w:hAnsi="Calibri" w:cs="Calibri"/>
          <w:b/>
          <w:bCs/>
          <w:sz w:val="32"/>
          <w:szCs w:val="32"/>
        </w:rPr>
        <w:t>Sarah D’hondt et Catherine Péters</w:t>
      </w:r>
    </w:p>
    <w:p w:rsidR="00AC12B4" w:rsidRDefault="00C27636">
      <w:pPr>
        <w:spacing w:line="20" w:lineRule="exact"/>
        <w:rPr>
          <w:sz w:val="20"/>
          <w:szCs w:val="20"/>
        </w:rPr>
      </w:pPr>
      <w:r>
        <w:rPr>
          <w:noProof/>
          <w:sz w:val="20"/>
          <w:szCs w:val="20"/>
        </w:rPr>
        <w:drawing>
          <wp:anchor distT="0" distB="0" distL="114300" distR="114300" simplePos="0" relativeHeight="251350528" behindDoc="1" locked="0" layoutInCell="0" allowOverlap="1">
            <wp:simplePos x="0" y="0"/>
            <wp:positionH relativeFrom="column">
              <wp:posOffset>2112645</wp:posOffset>
            </wp:positionH>
            <wp:positionV relativeFrom="paragraph">
              <wp:posOffset>406400</wp:posOffset>
            </wp:positionV>
            <wp:extent cx="1857375" cy="18573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blip>
                    <a:srcRect/>
                    <a:stretch>
                      <a:fillRect/>
                    </a:stretch>
                  </pic:blipFill>
                  <pic:spPr bwMode="auto">
                    <a:xfrm>
                      <a:off x="0" y="0"/>
                      <a:ext cx="1857375" cy="1857375"/>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33" w:lineRule="exact"/>
        <w:rPr>
          <w:sz w:val="20"/>
          <w:szCs w:val="20"/>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Cette publication est le résultat d’un projet mené par la Commission nationale pour les droits de</w:t>
      </w:r>
      <w:r w:rsidRPr="00C27636">
        <w:rPr>
          <w:rFonts w:ascii="Calibri" w:eastAsia="Calibri" w:hAnsi="Calibri" w:cs="Calibri"/>
          <w:lang w:val="fr-BE"/>
        </w:rPr>
        <w:t xml:space="preserve"> l’Enfant.</w:t>
      </w:r>
    </w:p>
    <w:p w:rsidR="00AC12B4" w:rsidRPr="00C27636" w:rsidRDefault="00AC12B4">
      <w:pPr>
        <w:spacing w:line="200" w:lineRule="exact"/>
        <w:rPr>
          <w:sz w:val="20"/>
          <w:szCs w:val="20"/>
          <w:lang w:val="fr-BE"/>
        </w:rPr>
      </w:pPr>
    </w:p>
    <w:p w:rsidR="00AC12B4" w:rsidRPr="00C27636" w:rsidRDefault="00AC12B4">
      <w:pPr>
        <w:spacing w:line="359" w:lineRule="exact"/>
        <w:rPr>
          <w:sz w:val="20"/>
          <w:szCs w:val="20"/>
          <w:lang w:val="fr-BE"/>
        </w:rPr>
      </w:pPr>
    </w:p>
    <w:p w:rsidR="00AC12B4" w:rsidRPr="00C27636" w:rsidRDefault="00C27636">
      <w:pPr>
        <w:spacing w:line="230" w:lineRule="auto"/>
        <w:ind w:left="560" w:right="157"/>
        <w:jc w:val="both"/>
        <w:rPr>
          <w:sz w:val="20"/>
          <w:szCs w:val="20"/>
          <w:lang w:val="fr-BE"/>
        </w:rPr>
      </w:pPr>
      <w:r w:rsidRPr="00C27636">
        <w:rPr>
          <w:rFonts w:ascii="Calibri" w:eastAsia="Calibri" w:hAnsi="Calibri" w:cs="Calibri"/>
          <w:lang w:val="fr-BE"/>
        </w:rPr>
        <w:t xml:space="preserve">Elle a été financée en vertu de l’accord de coopération du 19 septembre 2005 entre l’Etat, la Communauté flamande, la Région flamande, la Communauté française, la Communauté germanophone, la Région wallonne et la Région de Bruxelles-Capitale, </w:t>
      </w:r>
      <w:r w:rsidRPr="00C27636">
        <w:rPr>
          <w:rFonts w:ascii="Calibri" w:eastAsia="Calibri" w:hAnsi="Calibri" w:cs="Calibri"/>
          <w:lang w:val="fr-BE"/>
        </w:rPr>
        <w:t>la Commission communautaire commune et la Commission communautaire française portant création d’une Commission nationale pour les droits de l’enfant.</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351552" behindDoc="1" locked="0" layoutInCell="0" allowOverlap="1">
            <wp:simplePos x="0" y="0"/>
            <wp:positionH relativeFrom="column">
              <wp:posOffset>1236345</wp:posOffset>
            </wp:positionH>
            <wp:positionV relativeFrom="paragraph">
              <wp:posOffset>1122045</wp:posOffset>
            </wp:positionV>
            <wp:extent cx="3923665" cy="20332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blip>
                    <a:srcRect/>
                    <a:stretch>
                      <a:fillRect/>
                    </a:stretch>
                  </pic:blipFill>
                  <pic:spPr bwMode="auto">
                    <a:xfrm>
                      <a:off x="0" y="0"/>
                      <a:ext cx="3923665" cy="2033270"/>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1440" w:bottom="1440" w:left="1440" w:header="0" w:footer="0" w:gutter="0"/>
          <w:cols w:space="720" w:equalWidth="0">
            <w:col w:w="9197"/>
          </w:cols>
        </w:sectPr>
      </w:pPr>
    </w:p>
    <w:p w:rsidR="00AC12B4" w:rsidRPr="00C27636" w:rsidRDefault="00AC12B4">
      <w:pPr>
        <w:spacing w:line="200" w:lineRule="exact"/>
        <w:rPr>
          <w:sz w:val="20"/>
          <w:szCs w:val="20"/>
          <w:lang w:val="fr-BE"/>
        </w:rPr>
      </w:pPr>
      <w:bookmarkStart w:id="3" w:name="page4"/>
      <w:bookmarkEnd w:id="3"/>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4"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ACD8F9"/>
          <w:sz w:val="20"/>
          <w:szCs w:val="20"/>
          <w:lang w:val="fr-BE"/>
        </w:rPr>
        <w:t>© Commission nationale pour les droits de l’Enfant</w:t>
      </w:r>
    </w:p>
    <w:p w:rsidR="00AC12B4" w:rsidRPr="00C27636" w:rsidRDefault="00AC12B4">
      <w:pPr>
        <w:spacing w:line="121" w:lineRule="exact"/>
        <w:rPr>
          <w:sz w:val="20"/>
          <w:szCs w:val="20"/>
          <w:lang w:val="fr-BE"/>
        </w:rPr>
      </w:pPr>
    </w:p>
    <w:p w:rsidR="00AC12B4" w:rsidRPr="00C27636" w:rsidRDefault="00C27636">
      <w:pPr>
        <w:rPr>
          <w:sz w:val="20"/>
          <w:szCs w:val="20"/>
          <w:lang w:val="nl-NL"/>
        </w:rPr>
      </w:pPr>
      <w:r w:rsidRPr="00C27636">
        <w:rPr>
          <w:rFonts w:ascii="Calibri" w:eastAsia="Calibri" w:hAnsi="Calibri" w:cs="Calibri"/>
          <w:sz w:val="20"/>
          <w:szCs w:val="20"/>
          <w:lang w:val="nl-NL"/>
        </w:rPr>
        <w:t xml:space="preserve">Quai de Willebroeck, </w:t>
      </w:r>
      <w:r w:rsidRPr="00C27636">
        <w:rPr>
          <w:rFonts w:ascii="Calibri" w:eastAsia="Calibri" w:hAnsi="Calibri" w:cs="Calibri"/>
          <w:sz w:val="20"/>
          <w:szCs w:val="20"/>
          <w:lang w:val="nl-NL"/>
        </w:rPr>
        <w:t>33</w:t>
      </w:r>
    </w:p>
    <w:p w:rsidR="00AC12B4" w:rsidRPr="00C27636" w:rsidRDefault="00AC12B4">
      <w:pPr>
        <w:spacing w:line="121"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1000 Brussel</w:t>
      </w:r>
    </w:p>
    <w:p w:rsidR="00AC12B4" w:rsidRPr="00C27636" w:rsidRDefault="00AC12B4">
      <w:pPr>
        <w:spacing w:line="118"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info@ncrk-cnde.be</w:t>
      </w:r>
    </w:p>
    <w:p w:rsidR="00AC12B4" w:rsidRPr="00C27636" w:rsidRDefault="00AC12B4">
      <w:pPr>
        <w:spacing w:line="121" w:lineRule="exact"/>
        <w:rPr>
          <w:sz w:val="20"/>
          <w:szCs w:val="20"/>
          <w:lang w:val="nl-NL"/>
        </w:rPr>
      </w:pPr>
    </w:p>
    <w:p w:rsidR="00AC12B4" w:rsidRPr="00C27636" w:rsidRDefault="00C27636">
      <w:pPr>
        <w:rPr>
          <w:rFonts w:ascii="Calibri" w:eastAsia="Calibri" w:hAnsi="Calibri" w:cs="Calibri"/>
          <w:color w:val="0000FF"/>
          <w:sz w:val="20"/>
          <w:szCs w:val="20"/>
          <w:u w:val="single"/>
          <w:lang w:val="fr-BE"/>
        </w:rPr>
      </w:pPr>
      <w:hyperlink r:id="rId17">
        <w:r w:rsidRPr="00C27636">
          <w:rPr>
            <w:rFonts w:ascii="Calibri" w:eastAsia="Calibri" w:hAnsi="Calibri" w:cs="Calibri"/>
            <w:color w:val="0000FF"/>
            <w:sz w:val="20"/>
            <w:szCs w:val="20"/>
            <w:u w:val="single"/>
            <w:lang w:val="fr-BE"/>
          </w:rPr>
          <w:t>www.cnde.be</w:t>
        </w:r>
      </w:hyperlink>
    </w:p>
    <w:p w:rsidR="00AC12B4" w:rsidRPr="00C27636" w:rsidRDefault="00AC12B4">
      <w:pPr>
        <w:spacing w:line="200" w:lineRule="exact"/>
        <w:rPr>
          <w:sz w:val="20"/>
          <w:szCs w:val="20"/>
          <w:lang w:val="fr-BE"/>
        </w:rPr>
      </w:pPr>
    </w:p>
    <w:p w:rsidR="00AC12B4" w:rsidRPr="00C27636" w:rsidRDefault="00AC12B4">
      <w:pPr>
        <w:spacing w:line="28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ACD8F9"/>
          <w:sz w:val="20"/>
          <w:szCs w:val="20"/>
          <w:lang w:val="fr-BE"/>
        </w:rPr>
        <w:t xml:space="preserve">Rédaction: </w:t>
      </w:r>
      <w:r w:rsidRPr="00C27636">
        <w:rPr>
          <w:rFonts w:ascii="Calibri" w:eastAsia="Calibri" w:hAnsi="Calibri" w:cs="Calibri"/>
          <w:color w:val="000000"/>
          <w:sz w:val="20"/>
          <w:szCs w:val="20"/>
          <w:lang w:val="fr-BE"/>
        </w:rPr>
        <w:t>Sarah D’hondt et Catherine Péters</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ACD8F9"/>
          <w:sz w:val="20"/>
          <w:szCs w:val="20"/>
          <w:lang w:val="fr-BE"/>
        </w:rPr>
        <w:t xml:space="preserve">Conception graphique et mise en page: </w:t>
      </w:r>
      <w:r w:rsidRPr="00C27636">
        <w:rPr>
          <w:rFonts w:ascii="Calibri" w:eastAsia="Calibri" w:hAnsi="Calibri" w:cs="Calibri"/>
          <w:color w:val="000000"/>
          <w:sz w:val="20"/>
          <w:szCs w:val="20"/>
          <w:lang w:val="fr-BE"/>
        </w:rPr>
        <w:t>Catherine Péters</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ACD8F9"/>
          <w:sz w:val="20"/>
          <w:szCs w:val="20"/>
          <w:lang w:val="fr-BE"/>
        </w:rPr>
        <w:t xml:space="preserve">Traduction : </w:t>
      </w:r>
      <w:r w:rsidRPr="00C27636">
        <w:rPr>
          <w:rFonts w:ascii="Calibri" w:eastAsia="Calibri" w:hAnsi="Calibri" w:cs="Calibri"/>
          <w:color w:val="000000"/>
          <w:sz w:val="20"/>
          <w:szCs w:val="20"/>
          <w:lang w:val="fr-BE"/>
        </w:rPr>
        <w:t xml:space="preserve">Le Service Traductions du SPF Justice et Sarah </w:t>
      </w:r>
      <w:r w:rsidRPr="00C27636">
        <w:rPr>
          <w:rFonts w:ascii="Calibri" w:eastAsia="Calibri" w:hAnsi="Calibri" w:cs="Calibri"/>
          <w:color w:val="000000"/>
          <w:sz w:val="20"/>
          <w:szCs w:val="20"/>
          <w:lang w:val="fr-BE"/>
        </w:rPr>
        <w:t>D’hondt</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ACD8F9"/>
          <w:sz w:val="20"/>
          <w:szCs w:val="20"/>
          <w:lang w:val="fr-BE"/>
        </w:rPr>
        <w:t xml:space="preserve">Editeur responsable : </w:t>
      </w:r>
      <w:r w:rsidRPr="00C27636">
        <w:rPr>
          <w:rFonts w:ascii="Calibri" w:eastAsia="Calibri" w:hAnsi="Calibri" w:cs="Calibri"/>
          <w:color w:val="000000"/>
          <w:sz w:val="20"/>
          <w:szCs w:val="20"/>
          <w:lang w:val="fr-BE"/>
        </w:rPr>
        <w:t>Sarah D’hondt, présidente de la Commission nationale pour les droits de l’Enfant</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ACD8F9"/>
          <w:sz w:val="20"/>
          <w:szCs w:val="20"/>
          <w:lang w:val="fr-BE"/>
        </w:rPr>
        <w:t xml:space="preserve">Illustrations: </w:t>
      </w:r>
      <w:r w:rsidRPr="00C27636">
        <w:rPr>
          <w:rFonts w:ascii="Calibri" w:eastAsia="Calibri" w:hAnsi="Calibri" w:cs="Calibri"/>
          <w:color w:val="000000"/>
          <w:sz w:val="20"/>
          <w:szCs w:val="20"/>
          <w:lang w:val="fr-BE"/>
        </w:rPr>
        <w:t>Sergey Nivens/Shutterstock (couverture)</w:t>
      </w:r>
    </w:p>
    <w:p w:rsidR="00AC12B4" w:rsidRPr="00C27636" w:rsidRDefault="00AC12B4">
      <w:pPr>
        <w:spacing w:line="121" w:lineRule="exact"/>
        <w:rPr>
          <w:sz w:val="20"/>
          <w:szCs w:val="20"/>
          <w:lang w:val="fr-BE"/>
        </w:rPr>
      </w:pPr>
    </w:p>
    <w:p w:rsidR="00AC12B4" w:rsidRPr="00C27636" w:rsidRDefault="00C27636">
      <w:pPr>
        <w:ind w:left="1140"/>
        <w:rPr>
          <w:sz w:val="20"/>
          <w:szCs w:val="20"/>
          <w:lang w:val="fr-BE"/>
        </w:rPr>
      </w:pPr>
      <w:r w:rsidRPr="00C27636">
        <w:rPr>
          <w:rFonts w:ascii="Calibri" w:eastAsia="Calibri" w:hAnsi="Calibri" w:cs="Calibri"/>
          <w:sz w:val="20"/>
          <w:szCs w:val="20"/>
          <w:lang w:val="fr-BE"/>
        </w:rPr>
        <w:t>Lukas Gojda/Shutterstock (pp 15,43,207)</w:t>
      </w:r>
    </w:p>
    <w:p w:rsidR="00AC12B4" w:rsidRPr="00C27636" w:rsidRDefault="00AC12B4">
      <w:pPr>
        <w:spacing w:line="200" w:lineRule="exact"/>
        <w:rPr>
          <w:sz w:val="20"/>
          <w:szCs w:val="20"/>
          <w:lang w:val="fr-BE"/>
        </w:rPr>
      </w:pPr>
    </w:p>
    <w:p w:rsidR="00AC12B4" w:rsidRPr="00C27636" w:rsidRDefault="00AC12B4">
      <w:pPr>
        <w:spacing w:line="332" w:lineRule="exact"/>
        <w:rPr>
          <w:sz w:val="20"/>
          <w:szCs w:val="20"/>
          <w:lang w:val="fr-BE"/>
        </w:rPr>
      </w:pPr>
    </w:p>
    <w:p w:rsidR="00AC12B4" w:rsidRPr="00C27636" w:rsidRDefault="00C27636">
      <w:pPr>
        <w:spacing w:line="216" w:lineRule="auto"/>
        <w:ind w:right="737"/>
        <w:jc w:val="both"/>
        <w:rPr>
          <w:sz w:val="20"/>
          <w:szCs w:val="20"/>
          <w:lang w:val="fr-BE"/>
        </w:rPr>
      </w:pPr>
      <w:r w:rsidRPr="00C27636">
        <w:rPr>
          <w:rFonts w:ascii="Calibri" w:eastAsia="Calibri" w:hAnsi="Calibri" w:cs="Calibri"/>
          <w:b/>
          <w:bCs/>
          <w:color w:val="ACD8F9"/>
          <w:sz w:val="20"/>
          <w:szCs w:val="20"/>
          <w:lang w:val="fr-BE"/>
        </w:rPr>
        <w:t xml:space="preserve">Référence: </w:t>
      </w:r>
      <w:r w:rsidRPr="00C27636">
        <w:rPr>
          <w:rFonts w:ascii="Calibri" w:eastAsia="Calibri" w:hAnsi="Calibri" w:cs="Calibri"/>
          <w:color w:val="000000"/>
          <w:sz w:val="20"/>
          <w:szCs w:val="20"/>
          <w:lang w:val="fr-BE"/>
        </w:rPr>
        <w:t>Sarah D’hondt et Catherine Péters,</w:t>
      </w:r>
      <w:r w:rsidRPr="00C27636">
        <w:rPr>
          <w:rFonts w:ascii="Calibri" w:eastAsia="Calibri" w:hAnsi="Calibri" w:cs="Calibri"/>
          <w:b/>
          <w:bCs/>
          <w:color w:val="ACD8F9"/>
          <w:sz w:val="20"/>
          <w:szCs w:val="20"/>
          <w:lang w:val="fr-BE"/>
        </w:rPr>
        <w:t xml:space="preserve"> </w:t>
      </w:r>
      <w:r w:rsidRPr="00C27636">
        <w:rPr>
          <w:rFonts w:ascii="Calibri" w:eastAsia="Calibri" w:hAnsi="Calibri" w:cs="Calibri"/>
          <w:i/>
          <w:iCs/>
          <w:color w:val="000000"/>
          <w:sz w:val="20"/>
          <w:szCs w:val="20"/>
          <w:lang w:val="fr-BE"/>
        </w:rPr>
        <w:t>Indicateurs nationaux des droits de l’Enfant. Make them</w:t>
      </w:r>
      <w:r w:rsidRPr="00C27636">
        <w:rPr>
          <w:rFonts w:ascii="Calibri" w:eastAsia="Calibri" w:hAnsi="Calibri" w:cs="Calibri"/>
          <w:b/>
          <w:bCs/>
          <w:color w:val="ACD8F9"/>
          <w:sz w:val="20"/>
          <w:szCs w:val="20"/>
          <w:lang w:val="fr-BE"/>
        </w:rPr>
        <w:t xml:space="preserve"> </w:t>
      </w:r>
      <w:r w:rsidRPr="00C27636">
        <w:rPr>
          <w:rFonts w:ascii="Calibri" w:eastAsia="Calibri" w:hAnsi="Calibri" w:cs="Calibri"/>
          <w:i/>
          <w:iCs/>
          <w:color w:val="000000"/>
          <w:sz w:val="20"/>
          <w:szCs w:val="20"/>
          <w:lang w:val="fr-BE"/>
        </w:rPr>
        <w:t>count</w:t>
      </w:r>
      <w:r w:rsidRPr="00C27636">
        <w:rPr>
          <w:rFonts w:ascii="Calibri" w:eastAsia="Calibri" w:hAnsi="Calibri" w:cs="Calibri"/>
          <w:color w:val="000000"/>
          <w:sz w:val="20"/>
          <w:szCs w:val="20"/>
          <w:lang w:val="fr-BE"/>
        </w:rPr>
        <w:t>, Bruxelles, Commission nationale pour les droits</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00"/>
          <w:sz w:val="20"/>
          <w:szCs w:val="20"/>
          <w:lang w:val="fr-BE"/>
        </w:rPr>
        <w:t>de l’Enfant, 2016, 218 p.</w:t>
      </w:r>
    </w:p>
    <w:p w:rsidR="00AC12B4" w:rsidRPr="00C27636" w:rsidRDefault="00AC12B4">
      <w:pPr>
        <w:spacing w:line="200" w:lineRule="exact"/>
        <w:rPr>
          <w:sz w:val="20"/>
          <w:szCs w:val="20"/>
          <w:lang w:val="fr-BE"/>
        </w:rPr>
      </w:pPr>
    </w:p>
    <w:p w:rsidR="00AC12B4" w:rsidRPr="00C27636" w:rsidRDefault="00AC12B4">
      <w:pPr>
        <w:spacing w:line="286" w:lineRule="exact"/>
        <w:rPr>
          <w:sz w:val="20"/>
          <w:szCs w:val="20"/>
          <w:lang w:val="fr-BE"/>
        </w:rPr>
      </w:pPr>
    </w:p>
    <w:p w:rsidR="00AC12B4" w:rsidRPr="00C27636" w:rsidRDefault="00C27636">
      <w:pPr>
        <w:rPr>
          <w:sz w:val="20"/>
          <w:szCs w:val="20"/>
          <w:lang w:val="nl-NL"/>
        </w:rPr>
      </w:pPr>
      <w:r w:rsidRPr="00C27636">
        <w:rPr>
          <w:rFonts w:ascii="Calibri" w:eastAsia="Calibri" w:hAnsi="Calibri" w:cs="Calibri"/>
          <w:sz w:val="20"/>
          <w:szCs w:val="20"/>
          <w:lang w:val="nl-NL"/>
        </w:rPr>
        <w:t>D/2015/7951/FR/1104</w:t>
      </w:r>
    </w:p>
    <w:p w:rsidR="00AC12B4" w:rsidRPr="00C27636" w:rsidRDefault="00AC12B4">
      <w:pPr>
        <w:spacing w:line="118"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Deze uitgave is ook beschikbaar in het Nederlands.</w:t>
      </w:r>
    </w:p>
    <w:p w:rsidR="00AC12B4" w:rsidRPr="00C27636" w:rsidRDefault="00AC12B4">
      <w:pPr>
        <w:spacing w:line="167" w:lineRule="exact"/>
        <w:rPr>
          <w:sz w:val="20"/>
          <w:szCs w:val="20"/>
          <w:lang w:val="nl-NL"/>
        </w:rPr>
      </w:pPr>
    </w:p>
    <w:p w:rsidR="00AC12B4" w:rsidRPr="00C27636" w:rsidRDefault="00C27636">
      <w:pPr>
        <w:spacing w:line="217" w:lineRule="auto"/>
        <w:ind w:right="737"/>
        <w:jc w:val="both"/>
        <w:rPr>
          <w:rFonts w:ascii="Calibri" w:eastAsia="Calibri" w:hAnsi="Calibri" w:cs="Calibri"/>
          <w:sz w:val="20"/>
          <w:szCs w:val="20"/>
          <w:lang w:val="fr-BE"/>
        </w:rPr>
      </w:pPr>
      <w:r w:rsidRPr="00C27636">
        <w:rPr>
          <w:rFonts w:ascii="Calibri" w:eastAsia="Calibri" w:hAnsi="Calibri" w:cs="Calibri"/>
          <w:sz w:val="20"/>
          <w:szCs w:val="20"/>
          <w:lang w:val="fr-BE"/>
        </w:rPr>
        <w:t xml:space="preserve">Cette publication est également disponible </w:t>
      </w:r>
      <w:r w:rsidRPr="00C27636">
        <w:rPr>
          <w:rFonts w:ascii="Calibri" w:eastAsia="Calibri" w:hAnsi="Calibri" w:cs="Calibri"/>
          <w:sz w:val="20"/>
          <w:szCs w:val="20"/>
          <w:lang w:val="fr-BE"/>
        </w:rPr>
        <w:t xml:space="preserve">en ligne sur le site de la Commission nationale pour les droits de l’enfant: </w:t>
      </w:r>
      <w:hyperlink r:id="rId18">
        <w:r w:rsidRPr="00C27636">
          <w:rPr>
            <w:rFonts w:ascii="Calibri" w:eastAsia="Calibri" w:hAnsi="Calibri" w:cs="Calibri"/>
            <w:color w:val="0000FF"/>
            <w:sz w:val="20"/>
            <w:szCs w:val="20"/>
            <w:u w:val="single"/>
            <w:lang w:val="fr-BE"/>
          </w:rPr>
          <w:t>www.cnde.be</w:t>
        </w:r>
        <w:r w:rsidRPr="00C27636">
          <w:rPr>
            <w:rFonts w:ascii="Calibri" w:eastAsia="Calibri" w:hAnsi="Calibri" w:cs="Calibri"/>
            <w:sz w:val="20"/>
            <w:szCs w:val="20"/>
            <w:u w:val="single"/>
            <w:lang w:val="fr-BE"/>
          </w:rPr>
          <w:t>.</w:t>
        </w:r>
      </w:hyperlink>
    </w:p>
    <w:p w:rsidR="00AC12B4" w:rsidRPr="00C27636" w:rsidRDefault="00AC12B4">
      <w:pPr>
        <w:spacing w:line="200" w:lineRule="exact"/>
        <w:rPr>
          <w:sz w:val="20"/>
          <w:szCs w:val="20"/>
          <w:lang w:val="fr-BE"/>
        </w:rPr>
      </w:pPr>
    </w:p>
    <w:p w:rsidR="00AC12B4" w:rsidRPr="00C27636" w:rsidRDefault="00AC12B4">
      <w:pPr>
        <w:spacing w:line="331"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sz w:val="20"/>
          <w:szCs w:val="20"/>
          <w:lang w:val="fr-BE"/>
        </w:rPr>
        <w:t xml:space="preserve">Ni la Commission nationale pour les droits de l’Enfant ni les institutions ayant fourni des informations ne peuvent être </w:t>
      </w:r>
      <w:r w:rsidRPr="00C27636">
        <w:rPr>
          <w:rFonts w:ascii="Calibri" w:eastAsia="Calibri" w:hAnsi="Calibri" w:cs="Calibri"/>
          <w:sz w:val="20"/>
          <w:szCs w:val="20"/>
          <w:lang w:val="fr-BE"/>
        </w:rPr>
        <w:t>tenus pour responsables de l’éventuelle utilisation qui serait faite des informations qui suivent. Les auteurs sont responsables du contenu.</w:t>
      </w:r>
    </w:p>
    <w:p w:rsidR="00AC12B4" w:rsidRPr="00C27636" w:rsidRDefault="00AC12B4">
      <w:pPr>
        <w:spacing w:line="168" w:lineRule="exact"/>
        <w:rPr>
          <w:sz w:val="20"/>
          <w:szCs w:val="20"/>
          <w:lang w:val="fr-BE"/>
        </w:rPr>
      </w:pPr>
    </w:p>
    <w:p w:rsidR="00AC12B4" w:rsidRPr="00C27636" w:rsidRDefault="00C27636">
      <w:pPr>
        <w:spacing w:line="224" w:lineRule="auto"/>
        <w:ind w:right="737"/>
        <w:jc w:val="both"/>
        <w:rPr>
          <w:sz w:val="20"/>
          <w:szCs w:val="20"/>
          <w:lang w:val="fr-BE"/>
        </w:rPr>
      </w:pPr>
      <w:r w:rsidRPr="00C27636">
        <w:rPr>
          <w:rFonts w:ascii="Calibri" w:eastAsia="Calibri" w:hAnsi="Calibri" w:cs="Calibri"/>
          <w:sz w:val="20"/>
          <w:szCs w:val="20"/>
          <w:lang w:val="fr-BE"/>
        </w:rPr>
        <w:t>Cette publication ne peut ni être reproduite, même partiellement, ni stockée dans un système de récupération ni tr</w:t>
      </w:r>
      <w:r w:rsidRPr="00C27636">
        <w:rPr>
          <w:rFonts w:ascii="Calibri" w:eastAsia="Calibri" w:hAnsi="Calibri" w:cs="Calibri"/>
          <w:sz w:val="20"/>
          <w:szCs w:val="20"/>
          <w:lang w:val="fr-BE"/>
        </w:rPr>
        <w:t>ansmise sous aucune forme ou par aucun moyens électronique, mécanique, photocopies, enregistrement ou autres sans y avoir indiqué la référence.</w:t>
      </w:r>
    </w:p>
    <w:p w:rsidR="00AC12B4" w:rsidRPr="00C27636" w:rsidRDefault="00AC12B4">
      <w:pPr>
        <w:spacing w:line="200" w:lineRule="exact"/>
        <w:rPr>
          <w:sz w:val="20"/>
          <w:szCs w:val="20"/>
          <w:lang w:val="fr-BE"/>
        </w:rPr>
      </w:pPr>
    </w:p>
    <w:p w:rsidR="00AC12B4" w:rsidRPr="00C27636" w:rsidRDefault="00AC12B4">
      <w:pPr>
        <w:spacing w:line="284"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Cette publication est imprimée sur du papier FSC</w:t>
      </w:r>
    </w:p>
    <w:p w:rsidR="00AC12B4" w:rsidRPr="00C27636" w:rsidRDefault="00AC12B4">
      <w:pPr>
        <w:rPr>
          <w:lang w:val="fr-BE"/>
        </w:rPr>
        <w:sectPr w:rsidR="00AC12B4" w:rsidRPr="00C27636">
          <w:pgSz w:w="12080" w:h="17179"/>
          <w:pgMar w:top="1440" w:right="1440" w:bottom="1440" w:left="1440" w:header="0" w:footer="0" w:gutter="0"/>
          <w:cols w:space="720" w:equalWidth="0">
            <w:col w:w="9197"/>
          </w:cols>
        </w:sectPr>
      </w:pPr>
    </w:p>
    <w:bookmarkStart w:id="4" w:name="page5"/>
    <w:bookmarkEnd w:id="4"/>
    <w:p w:rsidR="00AC12B4" w:rsidRPr="00C27636" w:rsidRDefault="00C27636">
      <w:pPr>
        <w:ind w:left="1520"/>
        <w:rPr>
          <w:sz w:val="20"/>
          <w:szCs w:val="20"/>
          <w:lang w:val="fr-BE"/>
        </w:rPr>
      </w:pPr>
      <w:r>
        <w:rPr>
          <w:rFonts w:ascii="Calibri" w:eastAsia="Calibri" w:hAnsi="Calibri" w:cs="Calibri"/>
          <w:noProof/>
          <w:color w:val="FFFFFF"/>
          <w:sz w:val="96"/>
          <w:szCs w:val="96"/>
        </w:rPr>
        <w:lastRenderedPageBreak/>
        <mc:AlternateContent>
          <mc:Choice Requires="wps">
            <w:drawing>
              <wp:anchor distT="0" distB="0" distL="114300" distR="114300" simplePos="0" relativeHeight="251352576" behindDoc="1" locked="0" layoutInCell="0" allowOverlap="1">
                <wp:simplePos x="0" y="0"/>
                <wp:positionH relativeFrom="page">
                  <wp:posOffset>0</wp:posOffset>
                </wp:positionH>
                <wp:positionV relativeFrom="page">
                  <wp:posOffset>5715</wp:posOffset>
                </wp:positionV>
                <wp:extent cx="7667625" cy="114808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4" o:spid="_x0000_s1029" style="position:absolute;margin-left:0pt;margin-top:0.45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6"/>
          <w:szCs w:val="96"/>
          <w:lang w:val="fr-BE"/>
        </w:rPr>
        <w:t>Table des matières</w:t>
      </w:r>
    </w:p>
    <w:p w:rsidR="00AC12B4" w:rsidRPr="00C27636" w:rsidRDefault="00AC12B4">
      <w:pPr>
        <w:rPr>
          <w:lang w:val="fr-BE"/>
        </w:rPr>
        <w:sectPr w:rsidR="00AC12B4" w:rsidRPr="00C27636">
          <w:pgSz w:w="12080" w:h="17179"/>
          <w:pgMar w:top="613" w:right="1440" w:bottom="1440" w:left="1440" w:header="0" w:footer="0" w:gutter="0"/>
          <w:cols w:space="720" w:equalWidth="0">
            <w:col w:w="919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9" w:lineRule="exact"/>
        <w:rPr>
          <w:sz w:val="20"/>
          <w:szCs w:val="20"/>
          <w:lang w:val="fr-BE"/>
        </w:rPr>
      </w:pPr>
    </w:p>
    <w:p w:rsidR="00AC12B4" w:rsidRPr="00C27636" w:rsidRDefault="00C27636">
      <w:pPr>
        <w:ind w:left="1280"/>
        <w:rPr>
          <w:sz w:val="20"/>
          <w:szCs w:val="20"/>
          <w:lang w:val="fr-BE"/>
        </w:rPr>
      </w:pPr>
      <w:r w:rsidRPr="00C27636">
        <w:rPr>
          <w:rFonts w:ascii="Calibri" w:eastAsia="Calibri" w:hAnsi="Calibri" w:cs="Calibri"/>
          <w:i/>
          <w:iCs/>
          <w:lang w:val="fr-BE"/>
        </w:rPr>
        <w:t xml:space="preserve">Liste </w:t>
      </w:r>
      <w:r w:rsidRPr="00C27636">
        <w:rPr>
          <w:rFonts w:ascii="Calibri" w:eastAsia="Calibri" w:hAnsi="Calibri" w:cs="Calibri"/>
          <w:i/>
          <w:iCs/>
          <w:lang w:val="fr-BE"/>
        </w:rPr>
        <w:t>des abréviations….………………………………………………………………………………….. 7</w:t>
      </w:r>
    </w:p>
    <w:p w:rsidR="00AC12B4" w:rsidRPr="00C27636" w:rsidRDefault="00AC12B4">
      <w:pPr>
        <w:spacing w:line="130" w:lineRule="exact"/>
        <w:rPr>
          <w:sz w:val="20"/>
          <w:szCs w:val="20"/>
          <w:lang w:val="fr-BE"/>
        </w:rPr>
      </w:pPr>
    </w:p>
    <w:p w:rsidR="00AC12B4" w:rsidRPr="00C27636" w:rsidRDefault="00C27636">
      <w:pPr>
        <w:ind w:left="1280"/>
        <w:rPr>
          <w:sz w:val="20"/>
          <w:szCs w:val="20"/>
          <w:lang w:val="fr-BE"/>
        </w:rPr>
      </w:pPr>
      <w:r w:rsidRPr="00C27636">
        <w:rPr>
          <w:rFonts w:ascii="Calibri" w:eastAsia="Calibri" w:hAnsi="Calibri" w:cs="Calibri"/>
          <w:i/>
          <w:iCs/>
          <w:sz w:val="21"/>
          <w:szCs w:val="21"/>
          <w:lang w:val="fr-BE"/>
        </w:rPr>
        <w:t>Avant-propos……………………………………………………………………………………………………. 11</w:t>
      </w:r>
    </w:p>
    <w:p w:rsidR="00AC12B4" w:rsidRPr="00C27636" w:rsidRDefault="00AC12B4">
      <w:pPr>
        <w:spacing w:line="132" w:lineRule="exact"/>
        <w:rPr>
          <w:sz w:val="20"/>
          <w:szCs w:val="20"/>
          <w:lang w:val="fr-BE"/>
        </w:rPr>
      </w:pPr>
    </w:p>
    <w:p w:rsidR="00AC12B4" w:rsidRPr="00C27636" w:rsidRDefault="00C27636">
      <w:pPr>
        <w:ind w:left="1280"/>
        <w:rPr>
          <w:sz w:val="20"/>
          <w:szCs w:val="20"/>
          <w:lang w:val="fr-BE"/>
        </w:rPr>
      </w:pPr>
      <w:r w:rsidRPr="00C27636">
        <w:rPr>
          <w:rFonts w:ascii="Calibri" w:eastAsia="Calibri" w:hAnsi="Calibri" w:cs="Calibri"/>
          <w:i/>
          <w:iCs/>
          <w:sz w:val="21"/>
          <w:szCs w:val="21"/>
          <w:lang w:val="fr-BE"/>
        </w:rPr>
        <w:t>Préface …………………………………………………………………………………………………………….. 13</w:t>
      </w:r>
    </w:p>
    <w:p w:rsidR="00AC12B4" w:rsidRPr="00C27636" w:rsidRDefault="00AC12B4">
      <w:pPr>
        <w:spacing w:line="123"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i/>
          <w:iCs/>
          <w:color w:val="ACD8F9"/>
          <w:sz w:val="28"/>
          <w:szCs w:val="28"/>
          <w:lang w:val="fr-BE"/>
        </w:rPr>
        <w:t>PARTIE I : Cadre général</w:t>
      </w:r>
    </w:p>
    <w:p w:rsidR="00AC12B4" w:rsidRPr="00C27636" w:rsidRDefault="00AC12B4">
      <w:pPr>
        <w:spacing w:line="131" w:lineRule="exact"/>
        <w:rPr>
          <w:sz w:val="20"/>
          <w:szCs w:val="20"/>
          <w:lang w:val="fr-BE"/>
        </w:rPr>
      </w:pPr>
    </w:p>
    <w:p w:rsidR="00AC12B4" w:rsidRDefault="00C27636">
      <w:pPr>
        <w:ind w:left="1280"/>
        <w:rPr>
          <w:sz w:val="20"/>
          <w:szCs w:val="20"/>
        </w:rPr>
      </w:pPr>
      <w:r>
        <w:rPr>
          <w:rFonts w:ascii="Calibri" w:eastAsia="Calibri" w:hAnsi="Calibri" w:cs="Calibri"/>
          <w:i/>
          <w:iCs/>
          <w:sz w:val="21"/>
          <w:szCs w:val="21"/>
        </w:rPr>
        <w:t>Introduction………………………………………………………………………………………………..……. 17</w:t>
      </w:r>
    </w:p>
    <w:p w:rsidR="00AC12B4" w:rsidRDefault="00AC12B4">
      <w:pPr>
        <w:spacing w:line="120" w:lineRule="exact"/>
        <w:rPr>
          <w:sz w:val="20"/>
          <w:szCs w:val="20"/>
        </w:rPr>
      </w:pPr>
    </w:p>
    <w:p w:rsidR="00AC12B4" w:rsidRDefault="00C27636">
      <w:pPr>
        <w:ind w:left="1280"/>
        <w:rPr>
          <w:sz w:val="20"/>
          <w:szCs w:val="20"/>
        </w:rPr>
      </w:pPr>
      <w:r>
        <w:rPr>
          <w:rFonts w:ascii="Calibri" w:eastAsia="Calibri" w:hAnsi="Calibri" w:cs="Calibri"/>
          <w:i/>
          <w:iCs/>
        </w:rPr>
        <w:t>Méthodologie……………………………………………………………………………………………….…. 19</w:t>
      </w:r>
    </w:p>
    <w:p w:rsidR="00AC12B4" w:rsidRDefault="00AC12B4">
      <w:pPr>
        <w:spacing w:line="118" w:lineRule="exact"/>
        <w:rPr>
          <w:sz w:val="20"/>
          <w:szCs w:val="20"/>
        </w:rPr>
      </w:pPr>
    </w:p>
    <w:tbl>
      <w:tblPr>
        <w:tblW w:w="0" w:type="auto"/>
        <w:tblInd w:w="1280" w:type="dxa"/>
        <w:tblLayout w:type="fixed"/>
        <w:tblCellMar>
          <w:left w:w="0" w:type="dxa"/>
          <w:right w:w="0" w:type="dxa"/>
        </w:tblCellMar>
        <w:tblLook w:val="04A0" w:firstRow="1" w:lastRow="0" w:firstColumn="1" w:lastColumn="0" w:noHBand="0" w:noVBand="1"/>
      </w:tblPr>
      <w:tblGrid>
        <w:gridCol w:w="7020"/>
        <w:gridCol w:w="280"/>
      </w:tblGrid>
      <w:tr w:rsidR="00AC12B4">
        <w:trPr>
          <w:trHeight w:val="269"/>
        </w:trPr>
        <w:tc>
          <w:tcPr>
            <w:tcW w:w="7020" w:type="dxa"/>
            <w:vAlign w:val="bottom"/>
          </w:tcPr>
          <w:p w:rsidR="00AC12B4" w:rsidRPr="00C27636" w:rsidRDefault="00C27636">
            <w:pPr>
              <w:jc w:val="right"/>
              <w:rPr>
                <w:sz w:val="20"/>
                <w:szCs w:val="20"/>
                <w:lang w:val="fr-BE"/>
              </w:rPr>
            </w:pPr>
            <w:r w:rsidRPr="00C27636">
              <w:rPr>
                <w:rFonts w:ascii="Calibri" w:eastAsia="Calibri" w:hAnsi="Calibri" w:cs="Calibri"/>
                <w:i/>
                <w:iCs/>
                <w:lang w:val="fr-BE"/>
              </w:rPr>
              <w:t>A. Avantages et risques liés à un travail avec des indicateurs………………</w:t>
            </w:r>
          </w:p>
        </w:tc>
        <w:tc>
          <w:tcPr>
            <w:tcW w:w="280" w:type="dxa"/>
            <w:vAlign w:val="bottom"/>
          </w:tcPr>
          <w:p w:rsidR="00AC12B4" w:rsidRDefault="00C27636">
            <w:pPr>
              <w:jc w:val="right"/>
              <w:rPr>
                <w:rFonts w:ascii="Calibri" w:eastAsia="Calibri" w:hAnsi="Calibri" w:cs="Calibri"/>
                <w:i/>
                <w:iCs/>
              </w:rPr>
            </w:pPr>
            <w:hyperlink w:anchor="page19">
              <w:r>
                <w:rPr>
                  <w:rFonts w:ascii="Calibri" w:eastAsia="Calibri" w:hAnsi="Calibri" w:cs="Calibri"/>
                  <w:i/>
                  <w:iCs/>
                </w:rPr>
                <w:t>19</w:t>
              </w:r>
            </w:hyperlink>
          </w:p>
        </w:tc>
      </w:tr>
      <w:tr w:rsidR="00AC12B4">
        <w:trPr>
          <w:trHeight w:val="389"/>
        </w:trPr>
        <w:tc>
          <w:tcPr>
            <w:tcW w:w="7020" w:type="dxa"/>
            <w:vAlign w:val="bottom"/>
          </w:tcPr>
          <w:p w:rsidR="00AC12B4" w:rsidRPr="00C27636" w:rsidRDefault="00C27636">
            <w:pPr>
              <w:jc w:val="right"/>
              <w:rPr>
                <w:sz w:val="20"/>
                <w:szCs w:val="20"/>
                <w:lang w:val="fr-BE"/>
              </w:rPr>
            </w:pPr>
            <w:r w:rsidRPr="00C27636">
              <w:rPr>
                <w:rFonts w:ascii="Calibri" w:eastAsia="Calibri" w:hAnsi="Calibri" w:cs="Calibri"/>
                <w:i/>
                <w:iCs/>
                <w:lang w:val="fr-BE"/>
              </w:rPr>
              <w:t>B. Le processus de sélection des indicateurs des droits de l’enfant………</w:t>
            </w:r>
          </w:p>
        </w:tc>
        <w:tc>
          <w:tcPr>
            <w:tcW w:w="280" w:type="dxa"/>
            <w:vAlign w:val="bottom"/>
          </w:tcPr>
          <w:p w:rsidR="00AC12B4" w:rsidRDefault="00C27636">
            <w:pPr>
              <w:jc w:val="right"/>
              <w:rPr>
                <w:rFonts w:ascii="Calibri" w:eastAsia="Calibri" w:hAnsi="Calibri" w:cs="Calibri"/>
                <w:i/>
                <w:iCs/>
              </w:rPr>
            </w:pPr>
            <w:hyperlink w:anchor="page21">
              <w:r>
                <w:rPr>
                  <w:rFonts w:ascii="Calibri" w:eastAsia="Calibri" w:hAnsi="Calibri" w:cs="Calibri"/>
                  <w:i/>
                  <w:iCs/>
                </w:rPr>
                <w:t>21</w:t>
              </w:r>
            </w:hyperlink>
          </w:p>
        </w:tc>
      </w:tr>
      <w:tr w:rsidR="00AC12B4">
        <w:trPr>
          <w:trHeight w:val="389"/>
        </w:trPr>
        <w:tc>
          <w:tcPr>
            <w:tcW w:w="7300" w:type="dxa"/>
            <w:gridSpan w:val="2"/>
            <w:vAlign w:val="bottom"/>
          </w:tcPr>
          <w:p w:rsidR="00AC12B4" w:rsidRDefault="00C27636">
            <w:pPr>
              <w:jc w:val="right"/>
              <w:rPr>
                <w:rFonts w:ascii="Calibri" w:eastAsia="Calibri" w:hAnsi="Calibri" w:cs="Calibri"/>
                <w:i/>
                <w:iCs/>
              </w:rPr>
            </w:pPr>
            <w:r>
              <w:rPr>
                <w:rFonts w:ascii="Calibri" w:eastAsia="Calibri" w:hAnsi="Calibri" w:cs="Calibri"/>
                <w:i/>
                <w:iCs/>
              </w:rPr>
              <w:t xml:space="preserve">C. Remarques générales……………………………………………………………………… </w:t>
            </w:r>
            <w:hyperlink w:anchor="page25">
              <w:r>
                <w:rPr>
                  <w:rFonts w:ascii="Calibri" w:eastAsia="Calibri" w:hAnsi="Calibri" w:cs="Calibri"/>
                  <w:i/>
                  <w:iCs/>
                </w:rPr>
                <w:t>25</w:t>
              </w:r>
            </w:hyperlink>
          </w:p>
        </w:tc>
      </w:tr>
      <w:tr w:rsidR="00AC12B4">
        <w:trPr>
          <w:trHeight w:val="389"/>
        </w:trPr>
        <w:tc>
          <w:tcPr>
            <w:tcW w:w="7300" w:type="dxa"/>
            <w:gridSpan w:val="2"/>
            <w:vAlign w:val="bottom"/>
          </w:tcPr>
          <w:p w:rsidR="00AC12B4" w:rsidRDefault="00C27636">
            <w:pPr>
              <w:jc w:val="right"/>
              <w:rPr>
                <w:sz w:val="20"/>
                <w:szCs w:val="20"/>
              </w:rPr>
            </w:pPr>
            <w:r>
              <w:rPr>
                <w:rFonts w:ascii="Calibri" w:eastAsia="Calibri" w:hAnsi="Calibri" w:cs="Calibri"/>
                <w:i/>
                <w:iCs/>
                <w:w w:val="99"/>
              </w:rPr>
              <w:t>Sources …………………………………………………………………………………………………………….. 27</w:t>
            </w:r>
          </w:p>
        </w:tc>
      </w:tr>
      <w:tr w:rsidR="00AC12B4">
        <w:trPr>
          <w:trHeight w:val="389"/>
        </w:trPr>
        <w:tc>
          <w:tcPr>
            <w:tcW w:w="7020" w:type="dxa"/>
            <w:vAlign w:val="bottom"/>
          </w:tcPr>
          <w:p w:rsidR="00AC12B4" w:rsidRDefault="00C27636">
            <w:pPr>
              <w:jc w:val="right"/>
              <w:rPr>
                <w:sz w:val="20"/>
                <w:szCs w:val="20"/>
              </w:rPr>
            </w:pPr>
            <w:r>
              <w:rPr>
                <w:rFonts w:ascii="Calibri" w:eastAsia="Calibri" w:hAnsi="Calibri" w:cs="Calibri"/>
                <w:i/>
                <w:iCs/>
                <w:w w:val="99"/>
              </w:rPr>
              <w:t>Atteindre les plus vulnérables………………………………………………………………………….</w:t>
            </w:r>
          </w:p>
        </w:tc>
        <w:tc>
          <w:tcPr>
            <w:tcW w:w="280" w:type="dxa"/>
            <w:vAlign w:val="bottom"/>
          </w:tcPr>
          <w:p w:rsidR="00AC12B4" w:rsidRDefault="00C27636">
            <w:pPr>
              <w:jc w:val="right"/>
              <w:rPr>
                <w:sz w:val="20"/>
                <w:szCs w:val="20"/>
              </w:rPr>
            </w:pPr>
            <w:r>
              <w:rPr>
                <w:rFonts w:ascii="Calibri" w:eastAsia="Calibri" w:hAnsi="Calibri" w:cs="Calibri"/>
                <w:i/>
                <w:iCs/>
              </w:rPr>
              <w:t>37</w:t>
            </w:r>
          </w:p>
        </w:tc>
      </w:tr>
    </w:tbl>
    <w:p w:rsidR="00AC12B4" w:rsidRDefault="00AC12B4">
      <w:pPr>
        <w:spacing w:line="120" w:lineRule="exact"/>
        <w:rPr>
          <w:sz w:val="20"/>
          <w:szCs w:val="20"/>
        </w:rPr>
      </w:pPr>
    </w:p>
    <w:p w:rsidR="00AC12B4" w:rsidRDefault="00C27636">
      <w:pPr>
        <w:ind w:left="1280"/>
        <w:rPr>
          <w:rFonts w:ascii="Calibri" w:eastAsia="Calibri" w:hAnsi="Calibri" w:cs="Calibri"/>
          <w:i/>
          <w:iCs/>
        </w:rPr>
      </w:pPr>
      <w:r>
        <w:rPr>
          <w:rFonts w:ascii="Calibri" w:eastAsia="Calibri" w:hAnsi="Calibri" w:cs="Calibri"/>
          <w:i/>
          <w:iCs/>
        </w:rPr>
        <w:lastRenderedPageBreak/>
        <w:t xml:space="preserve">Guide de lecture………………………………………………………………………………………………. </w:t>
      </w:r>
      <w:hyperlink w:anchor="page41">
        <w:r>
          <w:rPr>
            <w:rFonts w:ascii="Calibri" w:eastAsia="Calibri" w:hAnsi="Calibri" w:cs="Calibri"/>
            <w:i/>
            <w:iCs/>
          </w:rPr>
          <w:t>41</w:t>
        </w:r>
      </w:hyperlink>
    </w:p>
    <w:p w:rsidR="00AC12B4" w:rsidRDefault="00AC12B4">
      <w:pPr>
        <w:spacing w:line="123" w:lineRule="exact"/>
        <w:rPr>
          <w:sz w:val="20"/>
          <w:szCs w:val="20"/>
        </w:rPr>
      </w:pPr>
    </w:p>
    <w:p w:rsidR="00AC12B4" w:rsidRDefault="00C27636">
      <w:pPr>
        <w:ind w:left="560"/>
        <w:rPr>
          <w:sz w:val="20"/>
          <w:szCs w:val="20"/>
        </w:rPr>
      </w:pPr>
      <w:r>
        <w:rPr>
          <w:rFonts w:ascii="Calibri" w:eastAsia="Calibri" w:hAnsi="Calibri" w:cs="Calibri"/>
          <w:b/>
          <w:bCs/>
          <w:i/>
          <w:iCs/>
          <w:color w:val="ACD8F9"/>
          <w:sz w:val="28"/>
          <w:szCs w:val="28"/>
        </w:rPr>
        <w:t>PARTIE II : Les indicateurs</w:t>
      </w:r>
    </w:p>
    <w:p w:rsidR="00AC12B4" w:rsidRDefault="00AC12B4">
      <w:pPr>
        <w:spacing w:line="119" w:lineRule="exact"/>
        <w:rPr>
          <w:sz w:val="20"/>
          <w:szCs w:val="20"/>
        </w:rPr>
      </w:pPr>
    </w:p>
    <w:p w:rsidR="00AC12B4" w:rsidRPr="00C27636" w:rsidRDefault="00C27636">
      <w:pPr>
        <w:ind w:left="1280"/>
        <w:rPr>
          <w:sz w:val="20"/>
          <w:szCs w:val="20"/>
          <w:lang w:val="fr-BE"/>
        </w:rPr>
      </w:pPr>
      <w:r w:rsidRPr="00C27636">
        <w:rPr>
          <w:rFonts w:ascii="Calibri" w:eastAsia="Calibri" w:hAnsi="Calibri" w:cs="Calibri"/>
          <w:b/>
          <w:bCs/>
          <w:color w:val="C95C96"/>
          <w:sz w:val="28"/>
          <w:szCs w:val="28"/>
          <w:lang w:val="fr-BE"/>
        </w:rPr>
        <w:t>Le droit de poursuivre son bien-être</w:t>
      </w:r>
    </w:p>
    <w:p w:rsidR="00AC12B4" w:rsidRPr="00C27636" w:rsidRDefault="00AC12B4">
      <w:pPr>
        <w:spacing w:line="119" w:lineRule="exact"/>
        <w:rPr>
          <w:sz w:val="20"/>
          <w:szCs w:val="20"/>
          <w:lang w:val="fr-BE"/>
        </w:rPr>
      </w:pPr>
    </w:p>
    <w:p w:rsidR="00AC12B4" w:rsidRPr="00C27636" w:rsidRDefault="00C27636">
      <w:pPr>
        <w:ind w:left="1980"/>
        <w:rPr>
          <w:sz w:val="20"/>
          <w:szCs w:val="20"/>
          <w:lang w:val="fr-BE"/>
        </w:rPr>
      </w:pPr>
      <w:r w:rsidRPr="00C27636">
        <w:rPr>
          <w:rFonts w:ascii="Calibri" w:eastAsia="Calibri" w:hAnsi="Calibri" w:cs="Calibri"/>
          <w:b/>
          <w:bCs/>
          <w:i/>
          <w:iCs/>
          <w:color w:val="C95C96"/>
          <w:lang w:val="fr-BE"/>
        </w:rPr>
        <w:t xml:space="preserve">B1 </w:t>
      </w:r>
      <w:r w:rsidRPr="00C27636">
        <w:rPr>
          <w:rFonts w:ascii="Calibri" w:eastAsia="Calibri" w:hAnsi="Calibri" w:cs="Calibri"/>
          <w:i/>
          <w:iCs/>
          <w:color w:val="000000"/>
          <w:lang w:val="fr-BE"/>
        </w:rPr>
        <w:t>Sentiment de Bien-être……..……………………………………………………..……..</w:t>
      </w:r>
      <w:r w:rsidRPr="00C27636">
        <w:rPr>
          <w:rFonts w:ascii="Calibri" w:eastAsia="Calibri" w:hAnsi="Calibri" w:cs="Calibri"/>
          <w:b/>
          <w:bCs/>
          <w:i/>
          <w:iCs/>
          <w:color w:val="C95C96"/>
          <w:lang w:val="fr-BE"/>
        </w:rPr>
        <w:t xml:space="preserve"> </w:t>
      </w:r>
      <w:r w:rsidRPr="00C27636">
        <w:rPr>
          <w:rFonts w:ascii="Calibri" w:eastAsia="Calibri" w:hAnsi="Calibri" w:cs="Calibri"/>
          <w:i/>
          <w:iCs/>
          <w:color w:val="000000"/>
          <w:lang w:val="fr-BE"/>
        </w:rPr>
        <w:t>43</w:t>
      </w:r>
    </w:p>
    <w:p w:rsidR="00AC12B4" w:rsidRPr="00C27636" w:rsidRDefault="00AC12B4">
      <w:pPr>
        <w:spacing w:line="121" w:lineRule="exact"/>
        <w:rPr>
          <w:sz w:val="20"/>
          <w:szCs w:val="20"/>
          <w:lang w:val="fr-BE"/>
        </w:rPr>
      </w:pPr>
    </w:p>
    <w:p w:rsidR="00AC12B4" w:rsidRPr="00C27636" w:rsidRDefault="00C27636">
      <w:pPr>
        <w:ind w:left="1980"/>
        <w:rPr>
          <w:rFonts w:ascii="Calibri" w:eastAsia="Calibri" w:hAnsi="Calibri" w:cs="Calibri"/>
          <w:b/>
          <w:bCs/>
          <w:i/>
          <w:iCs/>
          <w:color w:val="C95C96"/>
          <w:lang w:val="fr-BE"/>
        </w:rPr>
      </w:pPr>
      <w:r w:rsidRPr="00C27636">
        <w:rPr>
          <w:rFonts w:ascii="Calibri" w:eastAsia="Calibri" w:hAnsi="Calibri" w:cs="Calibri"/>
          <w:b/>
          <w:bCs/>
          <w:i/>
          <w:iCs/>
          <w:color w:val="C95C96"/>
          <w:lang w:val="fr-BE"/>
        </w:rPr>
        <w:t xml:space="preserve">B2 </w:t>
      </w:r>
      <w:r w:rsidRPr="00C27636">
        <w:rPr>
          <w:rFonts w:ascii="Calibri" w:eastAsia="Calibri" w:hAnsi="Calibri" w:cs="Calibri"/>
          <w:i/>
          <w:iCs/>
          <w:color w:val="000000"/>
          <w:lang w:val="fr-BE"/>
        </w:rPr>
        <w:t xml:space="preserve">Perspective </w:t>
      </w:r>
      <w:r w:rsidRPr="00C27636">
        <w:rPr>
          <w:rFonts w:ascii="Calibri" w:eastAsia="Calibri" w:hAnsi="Calibri" w:cs="Calibri"/>
          <w:i/>
          <w:iCs/>
          <w:color w:val="000000"/>
          <w:lang w:val="fr-BE"/>
        </w:rPr>
        <w:t>d'avenir……..…………………………………………………………..…...</w:t>
      </w:r>
      <w:r w:rsidRPr="00C27636">
        <w:rPr>
          <w:rFonts w:ascii="Calibri" w:eastAsia="Calibri" w:hAnsi="Calibri" w:cs="Calibri"/>
          <w:b/>
          <w:bCs/>
          <w:i/>
          <w:iCs/>
          <w:color w:val="C95C96"/>
          <w:lang w:val="fr-BE"/>
        </w:rPr>
        <w:t xml:space="preserve"> </w:t>
      </w:r>
      <w:hyperlink w:anchor="page49">
        <w:r w:rsidRPr="00C27636">
          <w:rPr>
            <w:rFonts w:ascii="Calibri" w:eastAsia="Calibri" w:hAnsi="Calibri" w:cs="Calibri"/>
            <w:i/>
            <w:iCs/>
            <w:color w:val="000000"/>
            <w:lang w:val="fr-BE"/>
          </w:rPr>
          <w:t>49</w:t>
        </w:r>
      </w:hyperlink>
    </w:p>
    <w:p w:rsidR="00AC12B4" w:rsidRPr="00C27636" w:rsidRDefault="00AC12B4">
      <w:pPr>
        <w:spacing w:line="118" w:lineRule="exact"/>
        <w:rPr>
          <w:sz w:val="20"/>
          <w:szCs w:val="20"/>
          <w:lang w:val="fr-BE"/>
        </w:rPr>
      </w:pPr>
    </w:p>
    <w:p w:rsidR="00AC12B4" w:rsidRPr="00C27636" w:rsidRDefault="00C27636">
      <w:pPr>
        <w:ind w:left="1980"/>
        <w:rPr>
          <w:rFonts w:ascii="Calibri" w:eastAsia="Calibri" w:hAnsi="Calibri" w:cs="Calibri"/>
          <w:b/>
          <w:bCs/>
          <w:i/>
          <w:iCs/>
          <w:color w:val="C95C96"/>
          <w:lang w:val="fr-BE"/>
        </w:rPr>
      </w:pPr>
      <w:r w:rsidRPr="00C27636">
        <w:rPr>
          <w:rFonts w:ascii="Calibri" w:eastAsia="Calibri" w:hAnsi="Calibri" w:cs="Calibri"/>
          <w:b/>
          <w:bCs/>
          <w:i/>
          <w:iCs/>
          <w:color w:val="C95C96"/>
          <w:lang w:val="fr-BE"/>
        </w:rPr>
        <w:t xml:space="preserve">B3 </w:t>
      </w:r>
      <w:r w:rsidRPr="00C27636">
        <w:rPr>
          <w:rFonts w:ascii="Calibri" w:eastAsia="Calibri" w:hAnsi="Calibri" w:cs="Calibri"/>
          <w:i/>
          <w:iCs/>
          <w:color w:val="000000"/>
          <w:lang w:val="fr-BE"/>
        </w:rPr>
        <w:t>Perceptions du quartier……..………………………………..…………………………</w:t>
      </w:r>
      <w:r w:rsidRPr="00C27636">
        <w:rPr>
          <w:rFonts w:ascii="Calibri" w:eastAsia="Calibri" w:hAnsi="Calibri" w:cs="Calibri"/>
          <w:b/>
          <w:bCs/>
          <w:i/>
          <w:iCs/>
          <w:color w:val="C95C96"/>
          <w:lang w:val="fr-BE"/>
        </w:rPr>
        <w:t xml:space="preserve"> </w:t>
      </w:r>
      <w:hyperlink w:anchor="page53">
        <w:r w:rsidRPr="00C27636">
          <w:rPr>
            <w:rFonts w:ascii="Calibri" w:eastAsia="Calibri" w:hAnsi="Calibri" w:cs="Calibri"/>
            <w:i/>
            <w:iCs/>
            <w:color w:val="000000"/>
            <w:lang w:val="fr-BE"/>
          </w:rPr>
          <w:t>53</w:t>
        </w:r>
      </w:hyperlink>
    </w:p>
    <w:p w:rsidR="00AC12B4" w:rsidRPr="00C27636" w:rsidRDefault="00AC12B4">
      <w:pPr>
        <w:spacing w:line="120" w:lineRule="exact"/>
        <w:rPr>
          <w:sz w:val="20"/>
          <w:szCs w:val="20"/>
          <w:lang w:val="fr-BE"/>
        </w:rPr>
      </w:pPr>
    </w:p>
    <w:p w:rsidR="00AC12B4" w:rsidRPr="00C27636" w:rsidRDefault="00C27636">
      <w:pPr>
        <w:ind w:left="1980"/>
        <w:rPr>
          <w:sz w:val="20"/>
          <w:szCs w:val="20"/>
          <w:lang w:val="fr-BE"/>
        </w:rPr>
      </w:pPr>
      <w:r w:rsidRPr="00C27636">
        <w:rPr>
          <w:rFonts w:ascii="Calibri" w:eastAsia="Calibri" w:hAnsi="Calibri" w:cs="Calibri"/>
          <w:b/>
          <w:bCs/>
          <w:i/>
          <w:iCs/>
          <w:color w:val="C95C96"/>
          <w:lang w:val="fr-BE"/>
        </w:rPr>
        <w:t xml:space="preserve">B4 </w:t>
      </w:r>
      <w:r w:rsidRPr="00C27636">
        <w:rPr>
          <w:rFonts w:ascii="Calibri" w:eastAsia="Calibri" w:hAnsi="Calibri" w:cs="Calibri"/>
          <w:i/>
          <w:iCs/>
          <w:color w:val="000000"/>
          <w:lang w:val="fr-BE"/>
        </w:rPr>
        <w:t>Violence entre pairs……..…………………..……………………………………………</w:t>
      </w:r>
      <w:r w:rsidRPr="00C27636">
        <w:rPr>
          <w:rFonts w:ascii="Calibri" w:eastAsia="Calibri" w:hAnsi="Calibri" w:cs="Calibri"/>
          <w:b/>
          <w:bCs/>
          <w:i/>
          <w:iCs/>
          <w:color w:val="C95C96"/>
          <w:lang w:val="fr-BE"/>
        </w:rPr>
        <w:t xml:space="preserve">  </w:t>
      </w:r>
      <w:r w:rsidRPr="00C27636">
        <w:rPr>
          <w:rFonts w:ascii="Calibri" w:eastAsia="Calibri" w:hAnsi="Calibri" w:cs="Calibri"/>
          <w:i/>
          <w:iCs/>
          <w:color w:val="000000"/>
          <w:lang w:val="fr-BE"/>
        </w:rPr>
        <w:t>55</w:t>
      </w:r>
    </w:p>
    <w:p w:rsidR="00AC12B4" w:rsidRPr="00C27636" w:rsidRDefault="00AC12B4">
      <w:pPr>
        <w:spacing w:line="120" w:lineRule="exact"/>
        <w:rPr>
          <w:sz w:val="20"/>
          <w:szCs w:val="20"/>
          <w:lang w:val="fr-BE"/>
        </w:rPr>
      </w:pPr>
    </w:p>
    <w:p w:rsidR="00AC12B4" w:rsidRPr="00C27636" w:rsidRDefault="00C27636">
      <w:pPr>
        <w:tabs>
          <w:tab w:val="left" w:pos="8340"/>
        </w:tabs>
        <w:ind w:left="1980"/>
        <w:rPr>
          <w:rFonts w:ascii="Calibri" w:eastAsia="Calibri" w:hAnsi="Calibri" w:cs="Calibri"/>
          <w:i/>
          <w:iCs/>
          <w:sz w:val="21"/>
          <w:szCs w:val="21"/>
          <w:lang w:val="fr-BE"/>
        </w:rPr>
      </w:pPr>
      <w:r w:rsidRPr="00C27636">
        <w:rPr>
          <w:rFonts w:ascii="Calibri" w:eastAsia="Calibri" w:hAnsi="Calibri" w:cs="Calibri"/>
          <w:b/>
          <w:bCs/>
          <w:i/>
          <w:iCs/>
          <w:color w:val="C95C96"/>
          <w:lang w:val="fr-BE"/>
        </w:rPr>
        <w:t xml:space="preserve">B5 </w:t>
      </w:r>
      <w:r w:rsidRPr="00C27636">
        <w:rPr>
          <w:rFonts w:ascii="Calibri" w:eastAsia="Calibri" w:hAnsi="Calibri" w:cs="Calibri"/>
          <w:i/>
          <w:iCs/>
          <w:color w:val="000000"/>
          <w:lang w:val="fr-BE"/>
        </w:rPr>
        <w:t xml:space="preserve">Accessibilité psychologique des </w:t>
      </w:r>
      <w:r w:rsidRPr="00C27636">
        <w:rPr>
          <w:rFonts w:ascii="Calibri" w:eastAsia="Calibri" w:hAnsi="Calibri" w:cs="Calibri"/>
          <w:i/>
          <w:iCs/>
          <w:color w:val="000000"/>
          <w:lang w:val="fr-BE"/>
        </w:rPr>
        <w:t>services d'aide…………………………….</w:t>
      </w:r>
      <w:r w:rsidRPr="00C27636">
        <w:rPr>
          <w:sz w:val="20"/>
          <w:szCs w:val="20"/>
          <w:lang w:val="fr-BE"/>
        </w:rPr>
        <w:tab/>
      </w:r>
      <w:hyperlink w:anchor="page61">
        <w:r w:rsidRPr="00C27636">
          <w:rPr>
            <w:rFonts w:ascii="Calibri" w:eastAsia="Calibri" w:hAnsi="Calibri" w:cs="Calibri"/>
            <w:i/>
            <w:iCs/>
            <w:sz w:val="21"/>
            <w:szCs w:val="21"/>
            <w:lang w:val="fr-BE"/>
          </w:rPr>
          <w:t>61</w:t>
        </w:r>
      </w:hyperlink>
    </w:p>
    <w:p w:rsidR="00AC12B4" w:rsidRPr="00C27636" w:rsidRDefault="00AC12B4">
      <w:pPr>
        <w:spacing w:line="123" w:lineRule="exact"/>
        <w:rPr>
          <w:sz w:val="20"/>
          <w:szCs w:val="20"/>
          <w:lang w:val="fr-BE"/>
        </w:rPr>
      </w:pPr>
    </w:p>
    <w:p w:rsidR="00AC12B4" w:rsidRPr="00C27636" w:rsidRDefault="00C27636">
      <w:pPr>
        <w:ind w:left="1280"/>
        <w:rPr>
          <w:sz w:val="20"/>
          <w:szCs w:val="20"/>
          <w:lang w:val="fr-BE"/>
        </w:rPr>
      </w:pPr>
      <w:r w:rsidRPr="00C27636">
        <w:rPr>
          <w:rFonts w:ascii="Calibri" w:eastAsia="Calibri" w:hAnsi="Calibri" w:cs="Calibri"/>
          <w:b/>
          <w:bCs/>
          <w:color w:val="C9D11D"/>
          <w:sz w:val="28"/>
          <w:szCs w:val="28"/>
          <w:lang w:val="fr-BE"/>
        </w:rPr>
        <w:t>Le droit à la protection de la santé</w:t>
      </w:r>
    </w:p>
    <w:p w:rsidR="00AC12B4" w:rsidRPr="00C27636" w:rsidRDefault="00AC12B4">
      <w:pPr>
        <w:spacing w:line="119"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S1 </w:t>
      </w:r>
      <w:r w:rsidRPr="00C27636">
        <w:rPr>
          <w:rFonts w:ascii="Calibri" w:eastAsia="Calibri" w:hAnsi="Calibri" w:cs="Calibri"/>
          <w:i/>
          <w:iCs/>
          <w:color w:val="000000"/>
          <w:lang w:val="fr-BE"/>
        </w:rPr>
        <w:t>Santé Subjective……..………………………………….……………………………….…</w:t>
      </w:r>
      <w:r w:rsidRPr="00C27636">
        <w:rPr>
          <w:rFonts w:ascii="Calibri" w:eastAsia="Calibri" w:hAnsi="Calibri" w:cs="Calibri"/>
          <w:b/>
          <w:bCs/>
          <w:i/>
          <w:iCs/>
          <w:color w:val="C9D11D"/>
          <w:lang w:val="fr-BE"/>
        </w:rPr>
        <w:t xml:space="preserve"> </w:t>
      </w:r>
      <w:hyperlink w:anchor="page65">
        <w:r w:rsidRPr="00C27636">
          <w:rPr>
            <w:rFonts w:ascii="Calibri" w:eastAsia="Calibri" w:hAnsi="Calibri" w:cs="Calibri"/>
            <w:i/>
            <w:iCs/>
            <w:color w:val="000000"/>
            <w:lang w:val="fr-BE"/>
          </w:rPr>
          <w:t>65</w:t>
        </w:r>
      </w:hyperlink>
    </w:p>
    <w:p w:rsidR="00AC12B4" w:rsidRPr="00C27636" w:rsidRDefault="00AC12B4">
      <w:pPr>
        <w:spacing w:line="120"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S2 </w:t>
      </w:r>
      <w:r w:rsidRPr="00C27636">
        <w:rPr>
          <w:rFonts w:ascii="Calibri" w:eastAsia="Calibri" w:hAnsi="Calibri" w:cs="Calibri"/>
          <w:i/>
          <w:iCs/>
          <w:color w:val="000000"/>
          <w:lang w:val="fr-BE"/>
        </w:rPr>
        <w:t>Mortalité infantile……..……………………………….…………………………………</w:t>
      </w:r>
      <w:r w:rsidRPr="00C27636">
        <w:rPr>
          <w:rFonts w:ascii="Calibri" w:eastAsia="Calibri" w:hAnsi="Calibri" w:cs="Calibri"/>
          <w:b/>
          <w:bCs/>
          <w:i/>
          <w:iCs/>
          <w:color w:val="C9D11D"/>
          <w:lang w:val="fr-BE"/>
        </w:rPr>
        <w:t xml:space="preserve">  </w:t>
      </w:r>
      <w:hyperlink w:anchor="page67">
        <w:r w:rsidRPr="00C27636">
          <w:rPr>
            <w:rFonts w:ascii="Calibri" w:eastAsia="Calibri" w:hAnsi="Calibri" w:cs="Calibri"/>
            <w:i/>
            <w:iCs/>
            <w:color w:val="000000"/>
            <w:lang w:val="fr-BE"/>
          </w:rPr>
          <w:t>67</w:t>
        </w:r>
      </w:hyperlink>
    </w:p>
    <w:p w:rsidR="00AC12B4" w:rsidRPr="00C27636" w:rsidRDefault="00AC12B4">
      <w:pPr>
        <w:spacing w:line="118"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S3 </w:t>
      </w:r>
      <w:r w:rsidRPr="00C27636">
        <w:rPr>
          <w:rFonts w:ascii="Calibri" w:eastAsia="Calibri" w:hAnsi="Calibri" w:cs="Calibri"/>
          <w:i/>
          <w:iCs/>
          <w:color w:val="000000"/>
          <w:lang w:val="fr-BE"/>
        </w:rPr>
        <w:t>Suivi prénatal……..……………………………………………………………………….…</w:t>
      </w:r>
      <w:r w:rsidRPr="00C27636">
        <w:rPr>
          <w:rFonts w:ascii="Calibri" w:eastAsia="Calibri" w:hAnsi="Calibri" w:cs="Calibri"/>
          <w:b/>
          <w:bCs/>
          <w:i/>
          <w:iCs/>
          <w:color w:val="C9D11D"/>
          <w:lang w:val="fr-BE"/>
        </w:rPr>
        <w:t xml:space="preserve"> </w:t>
      </w:r>
      <w:hyperlink w:anchor="page69">
        <w:r w:rsidRPr="00C27636">
          <w:rPr>
            <w:rFonts w:ascii="Calibri" w:eastAsia="Calibri" w:hAnsi="Calibri" w:cs="Calibri"/>
            <w:i/>
            <w:iCs/>
            <w:color w:val="000000"/>
            <w:lang w:val="fr-BE"/>
          </w:rPr>
          <w:t>69</w:t>
        </w:r>
      </w:hyperlink>
    </w:p>
    <w:p w:rsidR="00AC12B4" w:rsidRPr="00C27636" w:rsidRDefault="00AC12B4">
      <w:pPr>
        <w:spacing w:line="120"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S4 </w:t>
      </w:r>
      <w:r w:rsidRPr="00C27636">
        <w:rPr>
          <w:rFonts w:ascii="Calibri" w:eastAsia="Calibri" w:hAnsi="Calibri" w:cs="Calibri"/>
          <w:i/>
          <w:iCs/>
          <w:color w:val="000000"/>
          <w:lang w:val="fr-BE"/>
        </w:rPr>
        <w:t>Vaccination……..………………………………………………………………………….…</w:t>
      </w:r>
      <w:r w:rsidRPr="00C27636">
        <w:rPr>
          <w:rFonts w:ascii="Calibri" w:eastAsia="Calibri" w:hAnsi="Calibri" w:cs="Calibri"/>
          <w:b/>
          <w:bCs/>
          <w:i/>
          <w:iCs/>
          <w:color w:val="C9D11D"/>
          <w:lang w:val="fr-BE"/>
        </w:rPr>
        <w:t xml:space="preserve"> </w:t>
      </w:r>
      <w:hyperlink w:anchor="page71">
        <w:r w:rsidRPr="00C27636">
          <w:rPr>
            <w:rFonts w:ascii="Calibri" w:eastAsia="Calibri" w:hAnsi="Calibri" w:cs="Calibri"/>
            <w:i/>
            <w:iCs/>
            <w:color w:val="000000"/>
            <w:lang w:val="fr-BE"/>
          </w:rPr>
          <w:t>71</w:t>
        </w:r>
      </w:hyperlink>
    </w:p>
    <w:p w:rsidR="00AC12B4" w:rsidRPr="00C27636" w:rsidRDefault="00AC12B4">
      <w:pPr>
        <w:spacing w:line="121"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S5 </w:t>
      </w:r>
      <w:r w:rsidRPr="00C27636">
        <w:rPr>
          <w:rFonts w:ascii="Calibri" w:eastAsia="Calibri" w:hAnsi="Calibri" w:cs="Calibri"/>
          <w:i/>
          <w:iCs/>
          <w:color w:val="000000"/>
          <w:lang w:val="fr-BE"/>
        </w:rPr>
        <w:t>Postposition de soins de santé……..………………….…………………………....</w:t>
      </w:r>
      <w:r w:rsidRPr="00C27636">
        <w:rPr>
          <w:rFonts w:ascii="Calibri" w:eastAsia="Calibri" w:hAnsi="Calibri" w:cs="Calibri"/>
          <w:i/>
          <w:iCs/>
          <w:color w:val="000000"/>
          <w:lang w:val="fr-BE"/>
        </w:rPr>
        <w:t xml:space="preserve"> </w:t>
      </w:r>
      <w:hyperlink w:anchor="page75">
        <w:r w:rsidRPr="00C27636">
          <w:rPr>
            <w:rFonts w:ascii="Calibri" w:eastAsia="Calibri" w:hAnsi="Calibri" w:cs="Calibri"/>
            <w:i/>
            <w:iCs/>
            <w:color w:val="000000"/>
            <w:lang w:val="fr-BE"/>
          </w:rPr>
          <w:t>75</w:t>
        </w:r>
      </w:hyperlink>
    </w:p>
    <w:p w:rsidR="00AC12B4" w:rsidRPr="00C27636" w:rsidRDefault="00AC12B4">
      <w:pPr>
        <w:spacing w:line="120"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S6 </w:t>
      </w:r>
      <w:r w:rsidRPr="00C27636">
        <w:rPr>
          <w:rFonts w:ascii="Calibri" w:eastAsia="Calibri" w:hAnsi="Calibri" w:cs="Calibri"/>
          <w:i/>
          <w:iCs/>
          <w:color w:val="000000"/>
          <w:lang w:val="fr-BE"/>
        </w:rPr>
        <w:t>Temps d'attente avant prise en charge……..………………………………..…</w:t>
      </w:r>
      <w:r w:rsidRPr="00C27636">
        <w:rPr>
          <w:rFonts w:ascii="Calibri" w:eastAsia="Calibri" w:hAnsi="Calibri" w:cs="Calibri"/>
          <w:b/>
          <w:bCs/>
          <w:i/>
          <w:iCs/>
          <w:color w:val="C9D11D"/>
          <w:lang w:val="fr-BE"/>
        </w:rPr>
        <w:t xml:space="preserve"> </w:t>
      </w:r>
      <w:hyperlink w:anchor="page79">
        <w:r w:rsidRPr="00C27636">
          <w:rPr>
            <w:rFonts w:ascii="Calibri" w:eastAsia="Calibri" w:hAnsi="Calibri" w:cs="Calibri"/>
            <w:i/>
            <w:iCs/>
            <w:color w:val="000000"/>
            <w:lang w:val="fr-BE"/>
          </w:rPr>
          <w:t>79</w:t>
        </w:r>
      </w:hyperlink>
    </w:p>
    <w:p w:rsidR="00AC12B4" w:rsidRPr="00C27636" w:rsidRDefault="00AC12B4">
      <w:pPr>
        <w:spacing w:line="120"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S7 </w:t>
      </w:r>
      <w:r w:rsidRPr="00C27636">
        <w:rPr>
          <w:rFonts w:ascii="Calibri" w:eastAsia="Calibri" w:hAnsi="Calibri" w:cs="Calibri"/>
          <w:i/>
          <w:iCs/>
          <w:color w:val="000000"/>
          <w:lang w:val="fr-BE"/>
        </w:rPr>
        <w:t xml:space="preserve">Qualité des soins de santé……..……….…………………………………………….. </w:t>
      </w:r>
      <w:hyperlink w:anchor="page81">
        <w:r w:rsidRPr="00C27636">
          <w:rPr>
            <w:rFonts w:ascii="Calibri" w:eastAsia="Calibri" w:hAnsi="Calibri" w:cs="Calibri"/>
            <w:i/>
            <w:iCs/>
            <w:color w:val="000000"/>
            <w:lang w:val="fr-BE"/>
          </w:rPr>
          <w:t>81</w:t>
        </w:r>
      </w:hyperlink>
    </w:p>
    <w:p w:rsidR="00AC12B4" w:rsidRPr="00C27636" w:rsidRDefault="00AC12B4">
      <w:pPr>
        <w:spacing w:line="120"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S8 </w:t>
      </w:r>
      <w:r w:rsidRPr="00C27636">
        <w:rPr>
          <w:rFonts w:ascii="Calibri" w:eastAsia="Calibri" w:hAnsi="Calibri" w:cs="Calibri"/>
          <w:i/>
          <w:iCs/>
          <w:color w:val="000000"/>
          <w:lang w:val="fr-BE"/>
        </w:rPr>
        <w:t xml:space="preserve">Style de vie sain……..……………………………….…………………………………….. </w:t>
      </w:r>
      <w:hyperlink w:anchor="page87">
        <w:r w:rsidRPr="00C27636">
          <w:rPr>
            <w:rFonts w:ascii="Calibri" w:eastAsia="Calibri" w:hAnsi="Calibri" w:cs="Calibri"/>
            <w:i/>
            <w:iCs/>
            <w:color w:val="000000"/>
            <w:lang w:val="fr-BE"/>
          </w:rPr>
          <w:t>87</w:t>
        </w:r>
      </w:hyperlink>
    </w:p>
    <w:p w:rsidR="00AC12B4" w:rsidRPr="00C27636" w:rsidRDefault="00AC12B4">
      <w:pPr>
        <w:spacing w:line="120"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S9 </w:t>
      </w:r>
      <w:r w:rsidRPr="00C27636">
        <w:rPr>
          <w:rFonts w:ascii="Calibri" w:eastAsia="Calibri" w:hAnsi="Calibri" w:cs="Calibri"/>
          <w:i/>
          <w:iCs/>
          <w:color w:val="000000"/>
          <w:lang w:val="fr-BE"/>
        </w:rPr>
        <w:t>Conditions de logement……..…………….……………………………………………</w:t>
      </w:r>
      <w:r w:rsidRPr="00C27636">
        <w:rPr>
          <w:rFonts w:ascii="Calibri" w:eastAsia="Calibri" w:hAnsi="Calibri" w:cs="Calibri"/>
          <w:b/>
          <w:bCs/>
          <w:i/>
          <w:iCs/>
          <w:color w:val="C9D11D"/>
          <w:lang w:val="fr-BE"/>
        </w:rPr>
        <w:t xml:space="preserve">  </w:t>
      </w:r>
      <w:hyperlink w:anchor="page95">
        <w:r w:rsidRPr="00C27636">
          <w:rPr>
            <w:rFonts w:ascii="Calibri" w:eastAsia="Calibri" w:hAnsi="Calibri" w:cs="Calibri"/>
            <w:i/>
            <w:iCs/>
            <w:color w:val="000000"/>
            <w:lang w:val="fr-BE"/>
          </w:rPr>
          <w:t>95</w:t>
        </w:r>
      </w:hyperlink>
    </w:p>
    <w:p w:rsidR="00AC12B4" w:rsidRPr="00C27636" w:rsidRDefault="00AC12B4">
      <w:pPr>
        <w:spacing w:line="120" w:lineRule="exact"/>
        <w:rPr>
          <w:sz w:val="20"/>
          <w:szCs w:val="20"/>
          <w:lang w:val="fr-BE"/>
        </w:rPr>
      </w:pPr>
    </w:p>
    <w:p w:rsidR="00AC12B4" w:rsidRPr="00C27636" w:rsidRDefault="00C27636">
      <w:pPr>
        <w:ind w:left="1980"/>
        <w:rPr>
          <w:rFonts w:ascii="Calibri" w:eastAsia="Calibri" w:hAnsi="Calibri" w:cs="Calibri"/>
          <w:b/>
          <w:bCs/>
          <w:i/>
          <w:iCs/>
          <w:color w:val="C9D11D"/>
          <w:lang w:val="fr-BE"/>
        </w:rPr>
      </w:pPr>
      <w:r w:rsidRPr="00C27636">
        <w:rPr>
          <w:rFonts w:ascii="Calibri" w:eastAsia="Calibri" w:hAnsi="Calibri" w:cs="Calibri"/>
          <w:b/>
          <w:bCs/>
          <w:i/>
          <w:iCs/>
          <w:color w:val="C9D11D"/>
          <w:lang w:val="fr-BE"/>
        </w:rPr>
        <w:t xml:space="preserve">S10 </w:t>
      </w:r>
      <w:r w:rsidRPr="00C27636">
        <w:rPr>
          <w:rFonts w:ascii="Calibri" w:eastAsia="Calibri" w:hAnsi="Calibri" w:cs="Calibri"/>
          <w:i/>
          <w:iCs/>
          <w:color w:val="000000"/>
          <w:lang w:val="fr-BE"/>
        </w:rPr>
        <w:t>Environnement sain……..…………………………….…………………………………</w:t>
      </w:r>
      <w:r w:rsidRPr="00C27636">
        <w:rPr>
          <w:rFonts w:ascii="Calibri" w:eastAsia="Calibri" w:hAnsi="Calibri" w:cs="Calibri"/>
          <w:b/>
          <w:bCs/>
          <w:i/>
          <w:iCs/>
          <w:color w:val="C9D11D"/>
          <w:lang w:val="fr-BE"/>
        </w:rPr>
        <w:t xml:space="preserve"> </w:t>
      </w:r>
      <w:hyperlink w:anchor="page99">
        <w:r w:rsidRPr="00C27636">
          <w:rPr>
            <w:rFonts w:ascii="Calibri" w:eastAsia="Calibri" w:hAnsi="Calibri" w:cs="Calibri"/>
            <w:i/>
            <w:iCs/>
            <w:color w:val="000000"/>
            <w:lang w:val="fr-BE"/>
          </w:rPr>
          <w:t>99</w:t>
        </w:r>
      </w:hyperlink>
    </w:p>
    <w:p w:rsidR="00AC12B4" w:rsidRPr="00C27636" w:rsidRDefault="00AC12B4">
      <w:pPr>
        <w:rPr>
          <w:lang w:val="fr-BE"/>
        </w:rPr>
        <w:sectPr w:rsidR="00AC12B4" w:rsidRPr="00C27636">
          <w:type w:val="continuous"/>
          <w:pgSz w:w="12080" w:h="17179"/>
          <w:pgMar w:top="613" w:right="1440" w:bottom="1440" w:left="1440" w:header="0" w:footer="0" w:gutter="0"/>
          <w:cols w:space="720" w:equalWidth="0">
            <w:col w:w="9197"/>
          </w:cols>
        </w:sectPr>
      </w:pPr>
    </w:p>
    <w:p w:rsidR="00AC12B4" w:rsidRPr="00C27636" w:rsidRDefault="00AC12B4">
      <w:pPr>
        <w:spacing w:line="165" w:lineRule="exact"/>
        <w:rPr>
          <w:sz w:val="20"/>
          <w:szCs w:val="20"/>
          <w:lang w:val="fr-BE"/>
        </w:rPr>
      </w:pPr>
      <w:bookmarkStart w:id="5" w:name="page6"/>
      <w:bookmarkEnd w:id="5"/>
    </w:p>
    <w:p w:rsidR="00AC12B4" w:rsidRPr="00C27636" w:rsidRDefault="00C27636">
      <w:pPr>
        <w:ind w:left="700"/>
        <w:rPr>
          <w:sz w:val="20"/>
          <w:szCs w:val="20"/>
          <w:lang w:val="fr-BE"/>
        </w:rPr>
      </w:pPr>
      <w:r w:rsidRPr="00C27636">
        <w:rPr>
          <w:rFonts w:ascii="Calibri" w:eastAsia="Calibri" w:hAnsi="Calibri" w:cs="Calibri"/>
          <w:b/>
          <w:bCs/>
          <w:color w:val="8BCCEC"/>
          <w:sz w:val="28"/>
          <w:szCs w:val="28"/>
          <w:lang w:val="fr-BE"/>
        </w:rPr>
        <w:t>Le droit à l’enseignement</w:t>
      </w:r>
    </w:p>
    <w:p w:rsidR="00AC12B4" w:rsidRPr="00C27636" w:rsidRDefault="00AC12B4">
      <w:pPr>
        <w:spacing w:line="116"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E1 </w:t>
      </w:r>
      <w:r w:rsidRPr="00C27636">
        <w:rPr>
          <w:rFonts w:ascii="Calibri" w:eastAsia="Calibri" w:hAnsi="Calibri" w:cs="Calibri"/>
          <w:i/>
          <w:iCs/>
          <w:color w:val="000000"/>
          <w:lang w:val="fr-BE"/>
        </w:rPr>
        <w:t>Enfants non scolarisés……..………………………………………………………….…</w:t>
      </w:r>
      <w:r w:rsidRPr="00C27636">
        <w:rPr>
          <w:rFonts w:ascii="Calibri" w:eastAsia="Calibri" w:hAnsi="Calibri" w:cs="Calibri"/>
          <w:b/>
          <w:bCs/>
          <w:i/>
          <w:iCs/>
          <w:color w:val="8BCCEC"/>
          <w:lang w:val="fr-BE"/>
        </w:rPr>
        <w:t xml:space="preserve"> </w:t>
      </w:r>
      <w:hyperlink w:anchor="page105">
        <w:r w:rsidRPr="00C27636">
          <w:rPr>
            <w:rFonts w:ascii="Calibri" w:eastAsia="Calibri" w:hAnsi="Calibri" w:cs="Calibri"/>
            <w:i/>
            <w:iCs/>
            <w:color w:val="000000"/>
            <w:lang w:val="fr-BE"/>
          </w:rPr>
          <w:t>105</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E2 </w:t>
      </w:r>
      <w:r w:rsidRPr="00C27636">
        <w:rPr>
          <w:rFonts w:ascii="Calibri" w:eastAsia="Calibri" w:hAnsi="Calibri" w:cs="Calibri"/>
          <w:i/>
          <w:iCs/>
          <w:color w:val="000000"/>
          <w:lang w:val="fr-BE"/>
        </w:rPr>
        <w:t>Carence matériel éducatif……..…………………………………………………….…</w:t>
      </w:r>
      <w:r w:rsidRPr="00C27636">
        <w:rPr>
          <w:rFonts w:ascii="Calibri" w:eastAsia="Calibri" w:hAnsi="Calibri" w:cs="Calibri"/>
          <w:b/>
          <w:bCs/>
          <w:i/>
          <w:iCs/>
          <w:color w:val="8BCCEC"/>
          <w:lang w:val="fr-BE"/>
        </w:rPr>
        <w:t xml:space="preserve"> </w:t>
      </w:r>
      <w:hyperlink w:anchor="page109">
        <w:r w:rsidRPr="00C27636">
          <w:rPr>
            <w:rFonts w:ascii="Calibri" w:eastAsia="Calibri" w:hAnsi="Calibri" w:cs="Calibri"/>
            <w:i/>
            <w:iCs/>
            <w:color w:val="000000"/>
            <w:lang w:val="fr-BE"/>
          </w:rPr>
          <w:t>109</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E3 </w:t>
      </w:r>
      <w:r w:rsidRPr="00C27636">
        <w:rPr>
          <w:rFonts w:ascii="Calibri" w:eastAsia="Calibri" w:hAnsi="Calibri" w:cs="Calibri"/>
          <w:i/>
          <w:iCs/>
          <w:color w:val="000000"/>
          <w:lang w:val="fr-BE"/>
        </w:rPr>
        <w:t>Répartition des élèves dans</w:t>
      </w:r>
      <w:r w:rsidRPr="00C27636">
        <w:rPr>
          <w:rFonts w:ascii="Calibri" w:eastAsia="Calibri" w:hAnsi="Calibri" w:cs="Calibri"/>
          <w:i/>
          <w:iCs/>
          <w:color w:val="000000"/>
          <w:lang w:val="fr-BE"/>
        </w:rPr>
        <w:t xml:space="preserve"> l’enseignement spécialisé et ordinaire.. </w:t>
      </w:r>
      <w:hyperlink w:anchor="page113">
        <w:r w:rsidRPr="00C27636">
          <w:rPr>
            <w:rFonts w:ascii="Calibri" w:eastAsia="Calibri" w:hAnsi="Calibri" w:cs="Calibri"/>
            <w:i/>
            <w:iCs/>
            <w:color w:val="000000"/>
            <w:lang w:val="fr-BE"/>
          </w:rPr>
          <w:t>113</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E4 </w:t>
      </w:r>
      <w:r w:rsidRPr="00C27636">
        <w:rPr>
          <w:rFonts w:ascii="Calibri" w:eastAsia="Calibri" w:hAnsi="Calibri" w:cs="Calibri"/>
          <w:i/>
          <w:iCs/>
          <w:color w:val="000000"/>
          <w:lang w:val="fr-BE"/>
        </w:rPr>
        <w:t>Ségrégation……..………………………………………………………………………….…</w:t>
      </w:r>
      <w:r w:rsidRPr="00C27636">
        <w:rPr>
          <w:rFonts w:ascii="Calibri" w:eastAsia="Calibri" w:hAnsi="Calibri" w:cs="Calibri"/>
          <w:b/>
          <w:bCs/>
          <w:i/>
          <w:iCs/>
          <w:color w:val="8BCCEC"/>
          <w:lang w:val="fr-BE"/>
        </w:rPr>
        <w:t xml:space="preserve"> </w:t>
      </w:r>
      <w:hyperlink w:anchor="page119">
        <w:r w:rsidRPr="00C27636">
          <w:rPr>
            <w:rFonts w:ascii="Calibri" w:eastAsia="Calibri" w:hAnsi="Calibri" w:cs="Calibri"/>
            <w:i/>
            <w:iCs/>
            <w:color w:val="000000"/>
            <w:lang w:val="fr-BE"/>
          </w:rPr>
          <w:t>119</w:t>
        </w:r>
      </w:hyperlink>
    </w:p>
    <w:p w:rsidR="00AC12B4" w:rsidRPr="00C27636" w:rsidRDefault="00AC12B4">
      <w:pPr>
        <w:spacing w:line="120" w:lineRule="exact"/>
        <w:rPr>
          <w:sz w:val="20"/>
          <w:szCs w:val="20"/>
          <w:lang w:val="fr-BE"/>
        </w:rPr>
      </w:pPr>
    </w:p>
    <w:p w:rsidR="00AC12B4" w:rsidRPr="00C27636" w:rsidRDefault="00C27636">
      <w:pPr>
        <w:tabs>
          <w:tab w:val="left" w:pos="7780"/>
        </w:tabs>
        <w:ind w:left="1420"/>
        <w:rPr>
          <w:rFonts w:ascii="Calibri" w:eastAsia="Calibri" w:hAnsi="Calibri" w:cs="Calibri"/>
          <w:i/>
          <w:iCs/>
          <w:sz w:val="21"/>
          <w:szCs w:val="21"/>
          <w:lang w:val="fr-BE"/>
        </w:rPr>
      </w:pPr>
      <w:r w:rsidRPr="00C27636">
        <w:rPr>
          <w:rFonts w:ascii="Calibri" w:eastAsia="Calibri" w:hAnsi="Calibri" w:cs="Calibri"/>
          <w:b/>
          <w:bCs/>
          <w:i/>
          <w:iCs/>
          <w:color w:val="8BCCEC"/>
          <w:lang w:val="fr-BE"/>
        </w:rPr>
        <w:t xml:space="preserve">E5 </w:t>
      </w:r>
      <w:r w:rsidRPr="00C27636">
        <w:rPr>
          <w:rFonts w:ascii="Calibri" w:eastAsia="Calibri" w:hAnsi="Calibri" w:cs="Calibri"/>
          <w:i/>
          <w:iCs/>
          <w:color w:val="000000"/>
          <w:lang w:val="fr-BE"/>
        </w:rPr>
        <w:t>Sentiment de bien-être école……..…………………………………….…………..</w:t>
      </w:r>
      <w:r w:rsidRPr="00C27636">
        <w:rPr>
          <w:sz w:val="20"/>
          <w:szCs w:val="20"/>
          <w:lang w:val="fr-BE"/>
        </w:rPr>
        <w:tab/>
      </w:r>
      <w:hyperlink w:anchor="page123">
        <w:r w:rsidRPr="00C27636">
          <w:rPr>
            <w:rFonts w:ascii="Calibri" w:eastAsia="Calibri" w:hAnsi="Calibri" w:cs="Calibri"/>
            <w:i/>
            <w:iCs/>
            <w:sz w:val="21"/>
            <w:szCs w:val="21"/>
            <w:lang w:val="fr-BE"/>
          </w:rPr>
          <w:t>123</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E6 </w:t>
      </w:r>
      <w:r w:rsidRPr="00C27636">
        <w:rPr>
          <w:rFonts w:ascii="Calibri" w:eastAsia="Calibri" w:hAnsi="Calibri" w:cs="Calibri"/>
          <w:i/>
          <w:iCs/>
          <w:color w:val="000000"/>
          <w:lang w:val="fr-BE"/>
        </w:rPr>
        <w:t>Sentiment d'être écouté……..………………………………………………………….</w:t>
      </w:r>
      <w:r w:rsidRPr="00C27636">
        <w:rPr>
          <w:rFonts w:ascii="Calibri" w:eastAsia="Calibri" w:hAnsi="Calibri" w:cs="Calibri"/>
          <w:b/>
          <w:bCs/>
          <w:i/>
          <w:iCs/>
          <w:color w:val="8BCCEC"/>
          <w:lang w:val="fr-BE"/>
        </w:rPr>
        <w:t xml:space="preserve"> </w:t>
      </w:r>
      <w:hyperlink w:anchor="page127">
        <w:r w:rsidRPr="00C27636">
          <w:rPr>
            <w:rFonts w:ascii="Calibri" w:eastAsia="Calibri" w:hAnsi="Calibri" w:cs="Calibri"/>
            <w:i/>
            <w:iCs/>
            <w:color w:val="000000"/>
            <w:lang w:val="fr-BE"/>
          </w:rPr>
          <w:t>127</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E7 </w:t>
      </w:r>
      <w:r w:rsidRPr="00C27636">
        <w:rPr>
          <w:rFonts w:ascii="Calibri" w:eastAsia="Calibri" w:hAnsi="Calibri" w:cs="Calibri"/>
          <w:i/>
          <w:iCs/>
          <w:color w:val="000000"/>
          <w:lang w:val="fr-BE"/>
        </w:rPr>
        <w:t xml:space="preserve">Sentiment d'être traité avec justice……..………………………………………..  </w:t>
      </w:r>
      <w:hyperlink w:anchor="page131">
        <w:r w:rsidRPr="00C27636">
          <w:rPr>
            <w:rFonts w:ascii="Calibri" w:eastAsia="Calibri" w:hAnsi="Calibri" w:cs="Calibri"/>
            <w:i/>
            <w:iCs/>
            <w:color w:val="000000"/>
            <w:lang w:val="fr-BE"/>
          </w:rPr>
          <w:t>131</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E8 </w:t>
      </w:r>
      <w:r w:rsidRPr="00C27636">
        <w:rPr>
          <w:rFonts w:ascii="Calibri" w:eastAsia="Calibri" w:hAnsi="Calibri" w:cs="Calibri"/>
          <w:i/>
          <w:iCs/>
          <w:color w:val="000000"/>
          <w:lang w:val="fr-BE"/>
        </w:rPr>
        <w:t>Inégalités des acquis……..…………………………………………………………….…</w:t>
      </w:r>
      <w:r w:rsidRPr="00C27636">
        <w:rPr>
          <w:rFonts w:ascii="Calibri" w:eastAsia="Calibri" w:hAnsi="Calibri" w:cs="Calibri"/>
          <w:b/>
          <w:bCs/>
          <w:i/>
          <w:iCs/>
          <w:color w:val="8BCCEC"/>
          <w:lang w:val="fr-BE"/>
        </w:rPr>
        <w:t xml:space="preserve"> </w:t>
      </w:r>
      <w:hyperlink w:anchor="page135">
        <w:r w:rsidRPr="00C27636">
          <w:rPr>
            <w:rFonts w:ascii="Calibri" w:eastAsia="Calibri" w:hAnsi="Calibri" w:cs="Calibri"/>
            <w:i/>
            <w:iCs/>
            <w:color w:val="000000"/>
            <w:lang w:val="fr-BE"/>
          </w:rPr>
          <w:t>135</w:t>
        </w:r>
      </w:hyperlink>
    </w:p>
    <w:p w:rsidR="00AC12B4" w:rsidRPr="00C27636" w:rsidRDefault="00AC12B4">
      <w:pPr>
        <w:spacing w:line="118" w:lineRule="exact"/>
        <w:rPr>
          <w:sz w:val="20"/>
          <w:szCs w:val="20"/>
          <w:lang w:val="fr-BE"/>
        </w:rPr>
      </w:pPr>
    </w:p>
    <w:p w:rsidR="00AC12B4" w:rsidRPr="00C27636" w:rsidRDefault="00C27636">
      <w:pPr>
        <w:ind w:left="1420"/>
        <w:rPr>
          <w:rFonts w:ascii="Calibri" w:eastAsia="Calibri" w:hAnsi="Calibri" w:cs="Calibri"/>
          <w:b/>
          <w:bCs/>
          <w:i/>
          <w:iCs/>
          <w:color w:val="8BCCEC"/>
          <w:lang w:val="fr-BE"/>
        </w:rPr>
      </w:pPr>
      <w:r w:rsidRPr="00C27636">
        <w:rPr>
          <w:rFonts w:ascii="Calibri" w:eastAsia="Calibri" w:hAnsi="Calibri" w:cs="Calibri"/>
          <w:b/>
          <w:bCs/>
          <w:i/>
          <w:iCs/>
          <w:color w:val="8BCCEC"/>
          <w:lang w:val="fr-BE"/>
        </w:rPr>
        <w:t xml:space="preserve">E9 </w:t>
      </w:r>
      <w:r w:rsidRPr="00C27636">
        <w:rPr>
          <w:rFonts w:ascii="Calibri" w:eastAsia="Calibri" w:hAnsi="Calibri" w:cs="Calibri"/>
          <w:i/>
          <w:iCs/>
          <w:color w:val="000000"/>
          <w:lang w:val="fr-BE"/>
        </w:rPr>
        <w:t>Interruption prématurée de scolarité……..………………………………………</w:t>
      </w:r>
      <w:r w:rsidRPr="00C27636">
        <w:rPr>
          <w:rFonts w:ascii="Calibri" w:eastAsia="Calibri" w:hAnsi="Calibri" w:cs="Calibri"/>
          <w:b/>
          <w:bCs/>
          <w:i/>
          <w:iCs/>
          <w:color w:val="8BCCEC"/>
          <w:lang w:val="fr-BE"/>
        </w:rPr>
        <w:t xml:space="preserve"> </w:t>
      </w:r>
      <w:hyperlink w:anchor="page139">
        <w:r w:rsidRPr="00C27636">
          <w:rPr>
            <w:rFonts w:ascii="Calibri" w:eastAsia="Calibri" w:hAnsi="Calibri" w:cs="Calibri"/>
            <w:i/>
            <w:iCs/>
            <w:color w:val="000000"/>
            <w:lang w:val="fr-BE"/>
          </w:rPr>
          <w:t>139</w:t>
        </w:r>
      </w:hyperlink>
    </w:p>
    <w:p w:rsidR="00AC12B4" w:rsidRPr="00C27636" w:rsidRDefault="00AC12B4">
      <w:pPr>
        <w:spacing w:line="123"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b/>
          <w:bCs/>
          <w:color w:val="E05429"/>
          <w:sz w:val="28"/>
          <w:szCs w:val="28"/>
          <w:lang w:val="fr-BE"/>
        </w:rPr>
        <w:t>Le droit aux loisirs et au repos</w:t>
      </w:r>
    </w:p>
    <w:p w:rsidR="00AC12B4" w:rsidRPr="00C27636" w:rsidRDefault="00AC12B4">
      <w:pPr>
        <w:spacing w:line="119" w:lineRule="exact"/>
        <w:rPr>
          <w:sz w:val="20"/>
          <w:szCs w:val="20"/>
          <w:lang w:val="fr-BE"/>
        </w:rPr>
      </w:pPr>
    </w:p>
    <w:p w:rsidR="00AC12B4" w:rsidRPr="00C27636" w:rsidRDefault="00C27636">
      <w:pPr>
        <w:ind w:left="1420"/>
        <w:rPr>
          <w:rFonts w:ascii="Calibri" w:eastAsia="Calibri" w:hAnsi="Calibri" w:cs="Calibri"/>
          <w:b/>
          <w:bCs/>
          <w:i/>
          <w:iCs/>
          <w:color w:val="E05429"/>
          <w:lang w:val="fr-BE"/>
        </w:rPr>
      </w:pPr>
      <w:r w:rsidRPr="00C27636">
        <w:rPr>
          <w:rFonts w:ascii="Calibri" w:eastAsia="Calibri" w:hAnsi="Calibri" w:cs="Calibri"/>
          <w:b/>
          <w:bCs/>
          <w:i/>
          <w:iCs/>
          <w:color w:val="E05429"/>
          <w:lang w:val="fr-BE"/>
        </w:rPr>
        <w:t xml:space="preserve">L1 </w:t>
      </w:r>
      <w:r w:rsidRPr="00C27636">
        <w:rPr>
          <w:rFonts w:ascii="Calibri" w:eastAsia="Calibri" w:hAnsi="Calibri" w:cs="Calibri"/>
          <w:i/>
          <w:iCs/>
          <w:color w:val="000000"/>
          <w:lang w:val="fr-BE"/>
        </w:rPr>
        <w:t>Equilibre dans la répartition du temps……..………………………………….…</w:t>
      </w:r>
      <w:r w:rsidRPr="00C27636">
        <w:rPr>
          <w:rFonts w:ascii="Calibri" w:eastAsia="Calibri" w:hAnsi="Calibri" w:cs="Calibri"/>
          <w:b/>
          <w:bCs/>
          <w:i/>
          <w:iCs/>
          <w:color w:val="E05429"/>
          <w:lang w:val="fr-BE"/>
        </w:rPr>
        <w:t xml:space="preserve"> </w:t>
      </w:r>
      <w:hyperlink w:anchor="page145">
        <w:r w:rsidRPr="00C27636">
          <w:rPr>
            <w:rFonts w:ascii="Calibri" w:eastAsia="Calibri" w:hAnsi="Calibri" w:cs="Calibri"/>
            <w:i/>
            <w:iCs/>
            <w:color w:val="000000"/>
            <w:lang w:val="fr-BE"/>
          </w:rPr>
          <w:t>145</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E05429"/>
          <w:lang w:val="fr-BE"/>
        </w:rPr>
      </w:pPr>
      <w:r w:rsidRPr="00C27636">
        <w:rPr>
          <w:rFonts w:ascii="Calibri" w:eastAsia="Calibri" w:hAnsi="Calibri" w:cs="Calibri"/>
          <w:b/>
          <w:bCs/>
          <w:i/>
          <w:iCs/>
          <w:color w:val="E05429"/>
          <w:lang w:val="fr-BE"/>
        </w:rPr>
        <w:t xml:space="preserve">L2 </w:t>
      </w:r>
      <w:r w:rsidRPr="00C27636">
        <w:rPr>
          <w:rFonts w:ascii="Calibri" w:eastAsia="Calibri" w:hAnsi="Calibri" w:cs="Calibri"/>
          <w:i/>
          <w:iCs/>
          <w:color w:val="000000"/>
          <w:lang w:val="fr-BE"/>
        </w:rPr>
        <w:t xml:space="preserve">Libre choix dans l’organisation du temps libre……..………………………..  </w:t>
      </w:r>
      <w:hyperlink w:anchor="page147">
        <w:r w:rsidRPr="00C27636">
          <w:rPr>
            <w:rFonts w:ascii="Calibri" w:eastAsia="Calibri" w:hAnsi="Calibri" w:cs="Calibri"/>
            <w:i/>
            <w:iCs/>
            <w:color w:val="000000"/>
            <w:lang w:val="fr-BE"/>
          </w:rPr>
          <w:t>147</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E05429"/>
          <w:lang w:val="fr-BE"/>
        </w:rPr>
      </w:pPr>
      <w:r w:rsidRPr="00C27636">
        <w:rPr>
          <w:rFonts w:ascii="Calibri" w:eastAsia="Calibri" w:hAnsi="Calibri" w:cs="Calibri"/>
          <w:b/>
          <w:bCs/>
          <w:i/>
          <w:iCs/>
          <w:color w:val="E05429"/>
          <w:lang w:val="fr-BE"/>
        </w:rPr>
        <w:t xml:space="preserve">L3 </w:t>
      </w:r>
      <w:r w:rsidRPr="00C27636">
        <w:rPr>
          <w:rFonts w:ascii="Calibri" w:eastAsia="Calibri" w:hAnsi="Calibri" w:cs="Calibri"/>
          <w:i/>
          <w:iCs/>
          <w:color w:val="000000"/>
          <w:lang w:val="fr-BE"/>
        </w:rPr>
        <w:t>Disponibilité d’endroits où l’on peut jouer……..…………………………….…</w:t>
      </w:r>
      <w:r w:rsidRPr="00C27636">
        <w:rPr>
          <w:rFonts w:ascii="Calibri" w:eastAsia="Calibri" w:hAnsi="Calibri" w:cs="Calibri"/>
          <w:b/>
          <w:bCs/>
          <w:i/>
          <w:iCs/>
          <w:color w:val="E05429"/>
          <w:lang w:val="fr-BE"/>
        </w:rPr>
        <w:t xml:space="preserve"> </w:t>
      </w:r>
      <w:hyperlink w:anchor="page149">
        <w:r w:rsidRPr="00C27636">
          <w:rPr>
            <w:rFonts w:ascii="Calibri" w:eastAsia="Calibri" w:hAnsi="Calibri" w:cs="Calibri"/>
            <w:i/>
            <w:iCs/>
            <w:color w:val="000000"/>
            <w:lang w:val="fr-BE"/>
          </w:rPr>
          <w:t>149</w:t>
        </w:r>
      </w:hyperlink>
    </w:p>
    <w:p w:rsidR="00AC12B4" w:rsidRPr="00C27636" w:rsidRDefault="00AC12B4">
      <w:pPr>
        <w:spacing w:line="121"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b/>
          <w:bCs/>
          <w:color w:val="00923D"/>
          <w:sz w:val="28"/>
          <w:szCs w:val="28"/>
          <w:lang w:val="fr-BE"/>
        </w:rPr>
        <w:t>Le droit au respect de la vie familiale</w:t>
      </w:r>
    </w:p>
    <w:p w:rsidR="00AC12B4" w:rsidRPr="00C27636" w:rsidRDefault="00AC12B4">
      <w:pPr>
        <w:spacing w:line="119" w:lineRule="exact"/>
        <w:rPr>
          <w:sz w:val="20"/>
          <w:szCs w:val="20"/>
          <w:lang w:val="fr-BE"/>
        </w:rPr>
      </w:pPr>
    </w:p>
    <w:p w:rsidR="00AC12B4" w:rsidRPr="00C27636" w:rsidRDefault="00C27636">
      <w:pPr>
        <w:tabs>
          <w:tab w:val="left" w:pos="7780"/>
        </w:tabs>
        <w:ind w:left="1420"/>
        <w:rPr>
          <w:rFonts w:ascii="Calibri" w:eastAsia="Calibri" w:hAnsi="Calibri" w:cs="Calibri"/>
          <w:i/>
          <w:iCs/>
          <w:sz w:val="21"/>
          <w:szCs w:val="21"/>
          <w:lang w:val="fr-BE"/>
        </w:rPr>
      </w:pPr>
      <w:r w:rsidRPr="00C27636">
        <w:rPr>
          <w:rFonts w:ascii="Calibri" w:eastAsia="Calibri" w:hAnsi="Calibri" w:cs="Calibri"/>
          <w:b/>
          <w:bCs/>
          <w:i/>
          <w:iCs/>
          <w:color w:val="00923D"/>
          <w:lang w:val="fr-BE"/>
        </w:rPr>
        <w:t xml:space="preserve">F1 </w:t>
      </w:r>
      <w:r w:rsidRPr="00C27636">
        <w:rPr>
          <w:rFonts w:ascii="Calibri" w:eastAsia="Calibri" w:hAnsi="Calibri" w:cs="Calibri"/>
          <w:i/>
          <w:iCs/>
          <w:color w:val="000000"/>
          <w:lang w:val="fr-BE"/>
        </w:rPr>
        <w:t xml:space="preserve">Soutien </w:t>
      </w:r>
      <w:r w:rsidRPr="00C27636">
        <w:rPr>
          <w:rFonts w:ascii="Calibri" w:eastAsia="Calibri" w:hAnsi="Calibri" w:cs="Calibri"/>
          <w:i/>
          <w:iCs/>
          <w:color w:val="000000"/>
          <w:lang w:val="fr-BE"/>
        </w:rPr>
        <w:t>financier aux familles……..…….………………………………………….</w:t>
      </w:r>
      <w:r w:rsidRPr="00C27636">
        <w:rPr>
          <w:sz w:val="20"/>
          <w:szCs w:val="20"/>
          <w:lang w:val="fr-BE"/>
        </w:rPr>
        <w:tab/>
      </w:r>
      <w:hyperlink w:anchor="page155">
        <w:r w:rsidRPr="00C27636">
          <w:rPr>
            <w:rFonts w:ascii="Calibri" w:eastAsia="Calibri" w:hAnsi="Calibri" w:cs="Calibri"/>
            <w:i/>
            <w:iCs/>
            <w:sz w:val="21"/>
            <w:szCs w:val="21"/>
            <w:lang w:val="fr-BE"/>
          </w:rPr>
          <w:t>155</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00923D"/>
          <w:lang w:val="fr-BE"/>
        </w:rPr>
      </w:pPr>
      <w:r w:rsidRPr="00C27636">
        <w:rPr>
          <w:rFonts w:ascii="Calibri" w:eastAsia="Calibri" w:hAnsi="Calibri" w:cs="Calibri"/>
          <w:b/>
          <w:bCs/>
          <w:i/>
          <w:iCs/>
          <w:color w:val="00923D"/>
          <w:lang w:val="fr-BE"/>
        </w:rPr>
        <w:t xml:space="preserve">F2 </w:t>
      </w:r>
      <w:r w:rsidRPr="00C27636">
        <w:rPr>
          <w:rFonts w:ascii="Calibri" w:eastAsia="Calibri" w:hAnsi="Calibri" w:cs="Calibri"/>
          <w:i/>
          <w:iCs/>
          <w:color w:val="000000"/>
          <w:lang w:val="fr-BE"/>
        </w:rPr>
        <w:t>Equilibre travail/famille……..……………………………………………………….…</w:t>
      </w:r>
      <w:r w:rsidRPr="00C27636">
        <w:rPr>
          <w:rFonts w:ascii="Calibri" w:eastAsia="Calibri" w:hAnsi="Calibri" w:cs="Calibri"/>
          <w:b/>
          <w:bCs/>
          <w:i/>
          <w:iCs/>
          <w:color w:val="00923D"/>
          <w:lang w:val="fr-BE"/>
        </w:rPr>
        <w:t xml:space="preserve">  </w:t>
      </w:r>
      <w:hyperlink w:anchor="page159">
        <w:r w:rsidRPr="00C27636">
          <w:rPr>
            <w:rFonts w:ascii="Calibri" w:eastAsia="Calibri" w:hAnsi="Calibri" w:cs="Calibri"/>
            <w:i/>
            <w:iCs/>
            <w:color w:val="000000"/>
            <w:lang w:val="fr-BE"/>
          </w:rPr>
          <w:t>159</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00923D"/>
          <w:lang w:val="fr-BE"/>
        </w:rPr>
      </w:pPr>
      <w:r w:rsidRPr="00C27636">
        <w:rPr>
          <w:rFonts w:ascii="Calibri" w:eastAsia="Calibri" w:hAnsi="Calibri" w:cs="Calibri"/>
          <w:b/>
          <w:bCs/>
          <w:i/>
          <w:iCs/>
          <w:color w:val="00923D"/>
          <w:lang w:val="fr-BE"/>
        </w:rPr>
        <w:t xml:space="preserve">F3 </w:t>
      </w:r>
      <w:r w:rsidRPr="00C27636">
        <w:rPr>
          <w:rFonts w:ascii="Calibri" w:eastAsia="Calibri" w:hAnsi="Calibri" w:cs="Calibri"/>
          <w:i/>
          <w:iCs/>
          <w:color w:val="000000"/>
          <w:lang w:val="fr-BE"/>
        </w:rPr>
        <w:t xml:space="preserve">Disponibilité de places d’accueil……..…………………………………………….. </w:t>
      </w:r>
      <w:hyperlink w:anchor="page163">
        <w:r w:rsidRPr="00C27636">
          <w:rPr>
            <w:rFonts w:ascii="Calibri" w:eastAsia="Calibri" w:hAnsi="Calibri" w:cs="Calibri"/>
            <w:i/>
            <w:iCs/>
            <w:color w:val="000000"/>
            <w:lang w:val="fr-BE"/>
          </w:rPr>
          <w:t>163</w:t>
        </w:r>
      </w:hyperlink>
    </w:p>
    <w:p w:rsidR="00AC12B4" w:rsidRPr="00C27636" w:rsidRDefault="00AC12B4">
      <w:pPr>
        <w:spacing w:line="123"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b/>
          <w:bCs/>
          <w:color w:val="FEC930"/>
          <w:sz w:val="28"/>
          <w:szCs w:val="28"/>
          <w:lang w:val="fr-BE"/>
        </w:rPr>
        <w:t>Les droits des mineurs en contact avec la Justice</w:t>
      </w:r>
    </w:p>
    <w:p w:rsidR="00AC12B4" w:rsidRPr="00C27636" w:rsidRDefault="00AC12B4">
      <w:pPr>
        <w:spacing w:line="116" w:lineRule="exact"/>
        <w:rPr>
          <w:sz w:val="20"/>
          <w:szCs w:val="20"/>
          <w:lang w:val="fr-BE"/>
        </w:rPr>
      </w:pPr>
    </w:p>
    <w:p w:rsidR="00AC12B4" w:rsidRPr="00C27636" w:rsidRDefault="00C27636">
      <w:pPr>
        <w:ind w:left="1420"/>
        <w:rPr>
          <w:rFonts w:ascii="Calibri" w:eastAsia="Calibri" w:hAnsi="Calibri" w:cs="Calibri"/>
          <w:b/>
          <w:bCs/>
          <w:i/>
          <w:iCs/>
          <w:color w:val="FEC930"/>
          <w:lang w:val="fr-BE"/>
        </w:rPr>
      </w:pPr>
      <w:r w:rsidRPr="00C27636">
        <w:rPr>
          <w:rFonts w:ascii="Calibri" w:eastAsia="Calibri" w:hAnsi="Calibri" w:cs="Calibri"/>
          <w:b/>
          <w:bCs/>
          <w:i/>
          <w:iCs/>
          <w:color w:val="FEC930"/>
          <w:lang w:val="fr-BE"/>
        </w:rPr>
        <w:t xml:space="preserve">MJ1 </w:t>
      </w:r>
      <w:r w:rsidRPr="00C27636">
        <w:rPr>
          <w:rFonts w:ascii="Calibri" w:eastAsia="Calibri" w:hAnsi="Calibri" w:cs="Calibri"/>
          <w:i/>
          <w:iCs/>
          <w:color w:val="000000"/>
          <w:lang w:val="fr-BE"/>
        </w:rPr>
        <w:t>Image que le jeune a de la justice juvénile……..………………………….…</w:t>
      </w:r>
      <w:r w:rsidRPr="00C27636">
        <w:rPr>
          <w:rFonts w:ascii="Calibri" w:eastAsia="Calibri" w:hAnsi="Calibri" w:cs="Calibri"/>
          <w:b/>
          <w:bCs/>
          <w:i/>
          <w:iCs/>
          <w:color w:val="FEC930"/>
          <w:lang w:val="fr-BE"/>
        </w:rPr>
        <w:t xml:space="preserve"> </w:t>
      </w:r>
      <w:hyperlink w:anchor="page169">
        <w:r w:rsidRPr="00C27636">
          <w:rPr>
            <w:rFonts w:ascii="Calibri" w:eastAsia="Calibri" w:hAnsi="Calibri" w:cs="Calibri"/>
            <w:i/>
            <w:iCs/>
            <w:color w:val="000000"/>
            <w:lang w:val="fr-BE"/>
          </w:rPr>
          <w:t>169</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FEC930"/>
          <w:lang w:val="fr-BE"/>
        </w:rPr>
      </w:pPr>
      <w:r w:rsidRPr="00C27636">
        <w:rPr>
          <w:rFonts w:ascii="Calibri" w:eastAsia="Calibri" w:hAnsi="Calibri" w:cs="Calibri"/>
          <w:b/>
          <w:bCs/>
          <w:i/>
          <w:iCs/>
          <w:color w:val="FEC930"/>
          <w:lang w:val="fr-BE"/>
        </w:rPr>
        <w:t xml:space="preserve">MJ2 </w:t>
      </w:r>
      <w:r w:rsidRPr="00C27636">
        <w:rPr>
          <w:rFonts w:ascii="Calibri" w:eastAsia="Calibri" w:hAnsi="Calibri" w:cs="Calibri"/>
          <w:i/>
          <w:iCs/>
          <w:color w:val="000000"/>
          <w:lang w:val="fr-BE"/>
        </w:rPr>
        <w:t>Hiérarchie des mesures</w:t>
      </w:r>
      <w:r w:rsidRPr="00C27636">
        <w:rPr>
          <w:rFonts w:ascii="Calibri" w:eastAsia="Calibri" w:hAnsi="Calibri" w:cs="Calibri"/>
          <w:b/>
          <w:bCs/>
          <w:i/>
          <w:iCs/>
          <w:color w:val="FEC930"/>
          <w:lang w:val="fr-BE"/>
        </w:rPr>
        <w:t xml:space="preserve"> </w:t>
      </w:r>
      <w:r w:rsidRPr="00C27636">
        <w:rPr>
          <w:rFonts w:ascii="Calibri" w:eastAsia="Calibri" w:hAnsi="Calibri" w:cs="Calibri"/>
          <w:i/>
          <w:iCs/>
          <w:color w:val="000000"/>
          <w:lang w:val="fr-BE"/>
        </w:rPr>
        <w:t>……..……………………………………………………….</w:t>
      </w:r>
      <w:r w:rsidRPr="00C27636">
        <w:rPr>
          <w:rFonts w:ascii="Calibri" w:eastAsia="Calibri" w:hAnsi="Calibri" w:cs="Calibri"/>
          <w:b/>
          <w:bCs/>
          <w:i/>
          <w:iCs/>
          <w:color w:val="FEC930"/>
          <w:lang w:val="fr-BE"/>
        </w:rPr>
        <w:t xml:space="preserve"> </w:t>
      </w:r>
      <w:hyperlink w:anchor="page171">
        <w:r w:rsidRPr="00C27636">
          <w:rPr>
            <w:rFonts w:ascii="Calibri" w:eastAsia="Calibri" w:hAnsi="Calibri" w:cs="Calibri"/>
            <w:i/>
            <w:iCs/>
            <w:color w:val="000000"/>
            <w:lang w:val="fr-BE"/>
          </w:rPr>
          <w:t>171</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FEC930"/>
          <w:lang w:val="fr-BE"/>
        </w:rPr>
      </w:pPr>
      <w:r w:rsidRPr="00C27636">
        <w:rPr>
          <w:rFonts w:ascii="Calibri" w:eastAsia="Calibri" w:hAnsi="Calibri" w:cs="Calibri"/>
          <w:b/>
          <w:bCs/>
          <w:i/>
          <w:iCs/>
          <w:color w:val="FEC930"/>
          <w:lang w:val="fr-BE"/>
        </w:rPr>
        <w:t xml:space="preserve">MJ3 </w:t>
      </w:r>
      <w:r w:rsidRPr="00C27636">
        <w:rPr>
          <w:rFonts w:ascii="Calibri" w:eastAsia="Calibri" w:hAnsi="Calibri" w:cs="Calibri"/>
          <w:i/>
          <w:iCs/>
          <w:color w:val="000000"/>
          <w:lang w:val="fr-BE"/>
        </w:rPr>
        <w:t>Formation des professionnels……..………………………………………………</w:t>
      </w:r>
      <w:r w:rsidRPr="00C27636">
        <w:rPr>
          <w:rFonts w:ascii="Calibri" w:eastAsia="Calibri" w:hAnsi="Calibri" w:cs="Calibri"/>
          <w:b/>
          <w:bCs/>
          <w:i/>
          <w:iCs/>
          <w:color w:val="FEC930"/>
          <w:lang w:val="fr-BE"/>
        </w:rPr>
        <w:t xml:space="preserve">  </w:t>
      </w:r>
      <w:hyperlink w:anchor="page177">
        <w:r w:rsidRPr="00C27636">
          <w:rPr>
            <w:rFonts w:ascii="Calibri" w:eastAsia="Calibri" w:hAnsi="Calibri" w:cs="Calibri"/>
            <w:i/>
            <w:iCs/>
            <w:color w:val="000000"/>
            <w:lang w:val="fr-BE"/>
          </w:rPr>
          <w:t>177</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FEC930"/>
          <w:lang w:val="fr-BE"/>
        </w:rPr>
      </w:pPr>
      <w:r w:rsidRPr="00C27636">
        <w:rPr>
          <w:rFonts w:ascii="Calibri" w:eastAsia="Calibri" w:hAnsi="Calibri" w:cs="Calibri"/>
          <w:b/>
          <w:bCs/>
          <w:i/>
          <w:iCs/>
          <w:color w:val="FEC930"/>
          <w:lang w:val="fr-BE"/>
        </w:rPr>
        <w:t xml:space="preserve">MJ4 </w:t>
      </w:r>
      <w:r w:rsidRPr="00C27636">
        <w:rPr>
          <w:rFonts w:ascii="Calibri" w:eastAsia="Calibri" w:hAnsi="Calibri" w:cs="Calibri"/>
          <w:i/>
          <w:iCs/>
          <w:color w:val="000000"/>
          <w:lang w:val="fr-BE"/>
        </w:rPr>
        <w:t>Participation dans des procédures judiciaires……………………………..</w:t>
      </w:r>
      <w:r w:rsidRPr="00C27636">
        <w:rPr>
          <w:rFonts w:ascii="Calibri" w:eastAsia="Calibri" w:hAnsi="Calibri" w:cs="Calibri"/>
          <w:b/>
          <w:bCs/>
          <w:i/>
          <w:iCs/>
          <w:color w:val="FEC930"/>
          <w:lang w:val="fr-BE"/>
        </w:rPr>
        <w:t xml:space="preserve">  </w:t>
      </w:r>
      <w:hyperlink w:anchor="page181">
        <w:r w:rsidRPr="00C27636">
          <w:rPr>
            <w:rFonts w:ascii="Calibri" w:eastAsia="Calibri" w:hAnsi="Calibri" w:cs="Calibri"/>
            <w:i/>
            <w:iCs/>
            <w:color w:val="000000"/>
            <w:lang w:val="fr-BE"/>
          </w:rPr>
          <w:t>181</w:t>
        </w:r>
      </w:hyperlink>
    </w:p>
    <w:p w:rsidR="00AC12B4" w:rsidRPr="00C27636" w:rsidRDefault="00AC12B4">
      <w:pPr>
        <w:spacing w:line="169" w:lineRule="exact"/>
        <w:rPr>
          <w:sz w:val="20"/>
          <w:szCs w:val="20"/>
          <w:lang w:val="fr-BE"/>
        </w:rPr>
      </w:pPr>
    </w:p>
    <w:p w:rsidR="00AC12B4" w:rsidRPr="00C27636" w:rsidRDefault="00C27636">
      <w:pPr>
        <w:spacing w:line="227" w:lineRule="auto"/>
        <w:ind w:left="1840" w:right="1077" w:hanging="424"/>
        <w:rPr>
          <w:rFonts w:ascii="Calibri" w:eastAsia="Calibri" w:hAnsi="Calibri" w:cs="Calibri"/>
          <w:i/>
          <w:iCs/>
          <w:color w:val="000000"/>
          <w:sz w:val="21"/>
          <w:szCs w:val="21"/>
          <w:lang w:val="fr-BE"/>
        </w:rPr>
      </w:pPr>
      <w:r w:rsidRPr="00C27636">
        <w:rPr>
          <w:rFonts w:ascii="Calibri" w:eastAsia="Calibri" w:hAnsi="Calibri" w:cs="Calibri"/>
          <w:b/>
          <w:bCs/>
          <w:i/>
          <w:iCs/>
          <w:color w:val="FEC930"/>
          <w:sz w:val="21"/>
          <w:szCs w:val="21"/>
          <w:lang w:val="fr-BE"/>
        </w:rPr>
        <w:t xml:space="preserve">MJ5 </w:t>
      </w:r>
      <w:r w:rsidRPr="00C27636">
        <w:rPr>
          <w:rFonts w:ascii="Calibri" w:eastAsia="Calibri" w:hAnsi="Calibri" w:cs="Calibri"/>
          <w:i/>
          <w:iCs/>
          <w:color w:val="000000"/>
          <w:sz w:val="21"/>
          <w:szCs w:val="21"/>
          <w:lang w:val="fr-BE"/>
        </w:rPr>
        <w:t>Participation dans le cadre d’un placement en régime ouvert ou</w:t>
      </w:r>
      <w:r w:rsidRPr="00C27636">
        <w:rPr>
          <w:rFonts w:ascii="Calibri" w:eastAsia="Calibri" w:hAnsi="Calibri" w:cs="Calibri"/>
          <w:b/>
          <w:bCs/>
          <w:i/>
          <w:iCs/>
          <w:color w:val="FEC930"/>
          <w:sz w:val="21"/>
          <w:szCs w:val="21"/>
          <w:lang w:val="fr-BE"/>
        </w:rPr>
        <w:t xml:space="preserve"> </w:t>
      </w:r>
      <w:r w:rsidRPr="00C27636">
        <w:rPr>
          <w:rFonts w:ascii="Calibri" w:eastAsia="Calibri" w:hAnsi="Calibri" w:cs="Calibri"/>
          <w:i/>
          <w:iCs/>
          <w:color w:val="000000"/>
          <w:sz w:val="21"/>
          <w:szCs w:val="21"/>
          <w:lang w:val="fr-BE"/>
        </w:rPr>
        <w:t>fer</w:t>
      </w:r>
      <w:r w:rsidRPr="00C27636">
        <w:rPr>
          <w:rFonts w:ascii="Calibri" w:eastAsia="Calibri" w:hAnsi="Calibri" w:cs="Calibri"/>
          <w:i/>
          <w:iCs/>
          <w:color w:val="000000"/>
          <w:sz w:val="21"/>
          <w:szCs w:val="21"/>
          <w:lang w:val="fr-BE"/>
        </w:rPr>
        <w:t xml:space="preserve">mé…………………………………………………..……………………………………….. </w:t>
      </w:r>
      <w:hyperlink w:anchor="page183">
        <w:r w:rsidRPr="00C27636">
          <w:rPr>
            <w:rFonts w:ascii="Calibri" w:eastAsia="Calibri" w:hAnsi="Calibri" w:cs="Calibri"/>
            <w:i/>
            <w:iCs/>
            <w:color w:val="000000"/>
            <w:sz w:val="21"/>
            <w:szCs w:val="21"/>
            <w:lang w:val="fr-BE"/>
          </w:rPr>
          <w:t>183</w:t>
        </w:r>
      </w:hyperlink>
    </w:p>
    <w:p w:rsidR="00AC12B4" w:rsidRPr="00C27636" w:rsidRDefault="00AC12B4">
      <w:pPr>
        <w:spacing w:line="121" w:lineRule="exact"/>
        <w:rPr>
          <w:sz w:val="20"/>
          <w:szCs w:val="20"/>
          <w:lang w:val="fr-BE"/>
        </w:rPr>
      </w:pPr>
    </w:p>
    <w:p w:rsidR="00AC12B4" w:rsidRPr="00C27636" w:rsidRDefault="00C27636">
      <w:pPr>
        <w:ind w:left="1420"/>
        <w:rPr>
          <w:rFonts w:ascii="Calibri" w:eastAsia="Calibri" w:hAnsi="Calibri" w:cs="Calibri"/>
          <w:b/>
          <w:bCs/>
          <w:i/>
          <w:iCs/>
          <w:color w:val="FEC930"/>
          <w:lang w:val="fr-BE"/>
        </w:rPr>
      </w:pPr>
      <w:r w:rsidRPr="00C27636">
        <w:rPr>
          <w:rFonts w:ascii="Calibri" w:eastAsia="Calibri" w:hAnsi="Calibri" w:cs="Calibri"/>
          <w:b/>
          <w:bCs/>
          <w:i/>
          <w:iCs/>
          <w:color w:val="FEC930"/>
          <w:lang w:val="fr-BE"/>
        </w:rPr>
        <w:lastRenderedPageBreak/>
        <w:t xml:space="preserve">MJ6 </w:t>
      </w:r>
      <w:r w:rsidRPr="00C27636">
        <w:rPr>
          <w:rFonts w:ascii="Calibri" w:eastAsia="Calibri" w:hAnsi="Calibri" w:cs="Calibri"/>
          <w:i/>
          <w:iCs/>
          <w:color w:val="000000"/>
          <w:lang w:val="fr-BE"/>
        </w:rPr>
        <w:t>Placement de longue durée………………………………………………………….</w:t>
      </w:r>
      <w:r w:rsidRPr="00C27636">
        <w:rPr>
          <w:rFonts w:ascii="Calibri" w:eastAsia="Calibri" w:hAnsi="Calibri" w:cs="Calibri"/>
          <w:b/>
          <w:bCs/>
          <w:i/>
          <w:iCs/>
          <w:color w:val="FEC930"/>
          <w:lang w:val="fr-BE"/>
        </w:rPr>
        <w:t xml:space="preserve"> </w:t>
      </w:r>
      <w:hyperlink w:anchor="page187">
        <w:r w:rsidRPr="00C27636">
          <w:rPr>
            <w:rFonts w:ascii="Calibri" w:eastAsia="Calibri" w:hAnsi="Calibri" w:cs="Calibri"/>
            <w:i/>
            <w:iCs/>
            <w:color w:val="000000"/>
            <w:lang w:val="fr-BE"/>
          </w:rPr>
          <w:t>187</w:t>
        </w:r>
      </w:hyperlink>
    </w:p>
    <w:p w:rsidR="00AC12B4" w:rsidRPr="00C27636" w:rsidRDefault="00AC12B4">
      <w:pPr>
        <w:spacing w:line="123"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b/>
          <w:bCs/>
          <w:color w:val="159DCF"/>
          <w:sz w:val="28"/>
          <w:szCs w:val="28"/>
          <w:lang w:val="fr-BE"/>
        </w:rPr>
        <w:t>Les droits des mineurs étrangers</w:t>
      </w:r>
    </w:p>
    <w:p w:rsidR="00AC12B4" w:rsidRPr="00C27636" w:rsidRDefault="00AC12B4">
      <w:pPr>
        <w:spacing w:line="119" w:lineRule="exact"/>
        <w:rPr>
          <w:sz w:val="20"/>
          <w:szCs w:val="20"/>
          <w:lang w:val="fr-BE"/>
        </w:rPr>
      </w:pPr>
    </w:p>
    <w:p w:rsidR="00AC12B4" w:rsidRPr="00C27636" w:rsidRDefault="00C27636">
      <w:pPr>
        <w:ind w:left="1420"/>
        <w:rPr>
          <w:rFonts w:ascii="Calibri" w:eastAsia="Calibri" w:hAnsi="Calibri" w:cs="Calibri"/>
          <w:b/>
          <w:bCs/>
          <w:i/>
          <w:iCs/>
          <w:color w:val="159DCF"/>
          <w:lang w:val="fr-BE"/>
        </w:rPr>
      </w:pPr>
      <w:r w:rsidRPr="00C27636">
        <w:rPr>
          <w:rFonts w:ascii="Calibri" w:eastAsia="Calibri" w:hAnsi="Calibri" w:cs="Calibri"/>
          <w:b/>
          <w:bCs/>
          <w:i/>
          <w:iCs/>
          <w:color w:val="159DCF"/>
          <w:lang w:val="fr-BE"/>
        </w:rPr>
        <w:t xml:space="preserve">ME1 </w:t>
      </w:r>
      <w:r w:rsidRPr="00C27636">
        <w:rPr>
          <w:rFonts w:ascii="Calibri" w:eastAsia="Calibri" w:hAnsi="Calibri" w:cs="Calibri"/>
          <w:color w:val="000000"/>
          <w:lang w:val="fr-BE"/>
        </w:rPr>
        <w:t xml:space="preserve">Accueil résidentiel dans un lieu adapté aux </w:t>
      </w:r>
      <w:r w:rsidRPr="00C27636">
        <w:rPr>
          <w:rFonts w:ascii="Calibri" w:eastAsia="Calibri" w:hAnsi="Calibri" w:cs="Calibri"/>
          <w:color w:val="000000"/>
          <w:lang w:val="fr-BE"/>
        </w:rPr>
        <w:t>enfants…….…………….</w:t>
      </w:r>
      <w:r w:rsidRPr="00C27636">
        <w:rPr>
          <w:rFonts w:ascii="Calibri" w:eastAsia="Calibri" w:hAnsi="Calibri" w:cs="Calibri"/>
          <w:b/>
          <w:bCs/>
          <w:i/>
          <w:iCs/>
          <w:color w:val="159DCF"/>
          <w:lang w:val="fr-BE"/>
        </w:rPr>
        <w:t xml:space="preserve">  </w:t>
      </w:r>
      <w:hyperlink w:anchor="page193">
        <w:r w:rsidRPr="00C27636">
          <w:rPr>
            <w:rFonts w:ascii="Calibri" w:eastAsia="Calibri" w:hAnsi="Calibri" w:cs="Calibri"/>
            <w:color w:val="000000"/>
            <w:lang w:val="fr-BE"/>
          </w:rPr>
          <w:t>193</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159DCF"/>
          <w:lang w:val="fr-BE"/>
        </w:rPr>
      </w:pPr>
      <w:r w:rsidRPr="00C27636">
        <w:rPr>
          <w:rFonts w:ascii="Calibri" w:eastAsia="Calibri" w:hAnsi="Calibri" w:cs="Calibri"/>
          <w:b/>
          <w:bCs/>
          <w:i/>
          <w:iCs/>
          <w:color w:val="159DCF"/>
          <w:lang w:val="fr-BE"/>
        </w:rPr>
        <w:t xml:space="preserve">ME2 </w:t>
      </w:r>
      <w:r w:rsidRPr="00C27636">
        <w:rPr>
          <w:rFonts w:ascii="Calibri" w:eastAsia="Calibri" w:hAnsi="Calibri" w:cs="Calibri"/>
          <w:i/>
          <w:iCs/>
          <w:color w:val="000000"/>
          <w:lang w:val="fr-BE"/>
        </w:rPr>
        <w:t>Mineurs victimes de la traite des êtres humains…………………………</w:t>
      </w:r>
      <w:r w:rsidRPr="00C27636">
        <w:rPr>
          <w:rFonts w:ascii="Calibri" w:eastAsia="Calibri" w:hAnsi="Calibri" w:cs="Calibri"/>
          <w:b/>
          <w:bCs/>
          <w:i/>
          <w:iCs/>
          <w:color w:val="159DCF"/>
          <w:lang w:val="fr-BE"/>
        </w:rPr>
        <w:t xml:space="preserve">  </w:t>
      </w:r>
      <w:hyperlink w:anchor="page197">
        <w:r w:rsidRPr="00C27636">
          <w:rPr>
            <w:rFonts w:ascii="Calibri" w:eastAsia="Calibri" w:hAnsi="Calibri" w:cs="Calibri"/>
            <w:i/>
            <w:iCs/>
            <w:color w:val="000000"/>
            <w:lang w:val="fr-BE"/>
          </w:rPr>
          <w:t>197</w:t>
        </w:r>
      </w:hyperlink>
    </w:p>
    <w:p w:rsidR="00AC12B4" w:rsidRPr="00C27636" w:rsidRDefault="00AC12B4">
      <w:pPr>
        <w:spacing w:line="118" w:lineRule="exact"/>
        <w:rPr>
          <w:sz w:val="20"/>
          <w:szCs w:val="20"/>
          <w:lang w:val="fr-BE"/>
        </w:rPr>
      </w:pPr>
    </w:p>
    <w:p w:rsidR="00AC12B4" w:rsidRPr="00C27636" w:rsidRDefault="00C27636">
      <w:pPr>
        <w:ind w:left="1420"/>
        <w:rPr>
          <w:rFonts w:ascii="Calibri" w:eastAsia="Calibri" w:hAnsi="Calibri" w:cs="Calibri"/>
          <w:b/>
          <w:bCs/>
          <w:i/>
          <w:iCs/>
          <w:color w:val="159DCF"/>
          <w:lang w:val="fr-BE"/>
        </w:rPr>
      </w:pPr>
      <w:r w:rsidRPr="00C27636">
        <w:rPr>
          <w:rFonts w:ascii="Calibri" w:eastAsia="Calibri" w:hAnsi="Calibri" w:cs="Calibri"/>
          <w:b/>
          <w:bCs/>
          <w:i/>
          <w:iCs/>
          <w:color w:val="159DCF"/>
          <w:lang w:val="fr-BE"/>
        </w:rPr>
        <w:t xml:space="preserve">ME3 </w:t>
      </w:r>
      <w:r w:rsidRPr="00C27636">
        <w:rPr>
          <w:rFonts w:ascii="Calibri" w:eastAsia="Calibri" w:hAnsi="Calibri" w:cs="Calibri"/>
          <w:i/>
          <w:iCs/>
          <w:color w:val="000000"/>
          <w:lang w:val="fr-BE"/>
        </w:rPr>
        <w:t>Participation dans des procédures de séjour………………………………..</w:t>
      </w:r>
      <w:r w:rsidRPr="00C27636">
        <w:rPr>
          <w:rFonts w:ascii="Calibri" w:eastAsia="Calibri" w:hAnsi="Calibri" w:cs="Calibri"/>
          <w:b/>
          <w:bCs/>
          <w:i/>
          <w:iCs/>
          <w:color w:val="159DCF"/>
          <w:lang w:val="fr-BE"/>
        </w:rPr>
        <w:t xml:space="preserve"> </w:t>
      </w:r>
      <w:hyperlink w:anchor="page201">
        <w:r w:rsidRPr="00C27636">
          <w:rPr>
            <w:rFonts w:ascii="Calibri" w:eastAsia="Calibri" w:hAnsi="Calibri" w:cs="Calibri"/>
            <w:i/>
            <w:iCs/>
            <w:color w:val="000000"/>
            <w:lang w:val="fr-BE"/>
          </w:rPr>
          <w:t>201</w:t>
        </w:r>
      </w:hyperlink>
    </w:p>
    <w:p w:rsidR="00AC12B4" w:rsidRPr="00C27636" w:rsidRDefault="00AC12B4">
      <w:pPr>
        <w:spacing w:line="120" w:lineRule="exact"/>
        <w:rPr>
          <w:sz w:val="20"/>
          <w:szCs w:val="20"/>
          <w:lang w:val="fr-BE"/>
        </w:rPr>
      </w:pPr>
    </w:p>
    <w:p w:rsidR="00AC12B4" w:rsidRPr="00C27636" w:rsidRDefault="00C27636">
      <w:pPr>
        <w:ind w:left="1420"/>
        <w:rPr>
          <w:rFonts w:ascii="Calibri" w:eastAsia="Calibri" w:hAnsi="Calibri" w:cs="Calibri"/>
          <w:b/>
          <w:bCs/>
          <w:i/>
          <w:iCs/>
          <w:color w:val="159DCF"/>
          <w:lang w:val="fr-BE"/>
        </w:rPr>
      </w:pPr>
      <w:r w:rsidRPr="00C27636">
        <w:rPr>
          <w:rFonts w:ascii="Calibri" w:eastAsia="Calibri" w:hAnsi="Calibri" w:cs="Calibri"/>
          <w:b/>
          <w:bCs/>
          <w:i/>
          <w:iCs/>
          <w:color w:val="159DCF"/>
          <w:lang w:val="fr-BE"/>
        </w:rPr>
        <w:t xml:space="preserve">ME4 </w:t>
      </w:r>
      <w:r w:rsidRPr="00C27636">
        <w:rPr>
          <w:rFonts w:ascii="Calibri" w:eastAsia="Calibri" w:hAnsi="Calibri" w:cs="Calibri"/>
          <w:i/>
          <w:iCs/>
          <w:color w:val="000000"/>
          <w:lang w:val="fr-BE"/>
        </w:rPr>
        <w:t>Solution durable……..………………………..………………………………………….</w:t>
      </w:r>
      <w:r w:rsidRPr="00C27636">
        <w:rPr>
          <w:rFonts w:ascii="Calibri" w:eastAsia="Calibri" w:hAnsi="Calibri" w:cs="Calibri"/>
          <w:b/>
          <w:bCs/>
          <w:i/>
          <w:iCs/>
          <w:color w:val="159DCF"/>
          <w:lang w:val="fr-BE"/>
        </w:rPr>
        <w:t xml:space="preserve"> </w:t>
      </w:r>
      <w:hyperlink w:anchor="page203">
        <w:r w:rsidRPr="00C27636">
          <w:rPr>
            <w:rFonts w:ascii="Calibri" w:eastAsia="Calibri" w:hAnsi="Calibri" w:cs="Calibri"/>
            <w:i/>
            <w:iCs/>
            <w:color w:val="000000"/>
            <w:lang w:val="fr-BE"/>
          </w:rPr>
          <w:t>203</w:t>
        </w:r>
      </w:hyperlink>
    </w:p>
    <w:p w:rsidR="00AC12B4" w:rsidRPr="00C27636" w:rsidRDefault="00AC12B4">
      <w:pPr>
        <w:spacing w:line="123"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ACD8F9"/>
          <w:sz w:val="28"/>
          <w:szCs w:val="28"/>
          <w:lang w:val="fr-BE"/>
        </w:rPr>
        <w:t>PARTIE III : Conclusion</w:t>
      </w:r>
    </w:p>
    <w:p w:rsidR="00AC12B4" w:rsidRPr="00C27636" w:rsidRDefault="00AC12B4">
      <w:pPr>
        <w:spacing w:line="119" w:lineRule="exact"/>
        <w:rPr>
          <w:sz w:val="20"/>
          <w:szCs w:val="20"/>
          <w:lang w:val="fr-BE"/>
        </w:rPr>
      </w:pPr>
    </w:p>
    <w:p w:rsidR="00AC12B4" w:rsidRPr="00C27636" w:rsidRDefault="00C27636">
      <w:pPr>
        <w:ind w:left="700"/>
        <w:rPr>
          <w:rFonts w:ascii="Calibri" w:eastAsia="Calibri" w:hAnsi="Calibri" w:cs="Calibri"/>
          <w:i/>
          <w:iCs/>
          <w:lang w:val="fr-BE"/>
        </w:rPr>
      </w:pPr>
      <w:r w:rsidRPr="00C27636">
        <w:rPr>
          <w:rFonts w:ascii="Calibri" w:eastAsia="Calibri" w:hAnsi="Calibri" w:cs="Calibri"/>
          <w:i/>
          <w:iCs/>
          <w:lang w:val="fr-BE"/>
        </w:rPr>
        <w:t xml:space="preserve">Conclusion………………………………………………………………………………………………………… </w:t>
      </w:r>
      <w:hyperlink w:anchor="page209">
        <w:r w:rsidRPr="00C27636">
          <w:rPr>
            <w:rFonts w:ascii="Calibri" w:eastAsia="Calibri" w:hAnsi="Calibri" w:cs="Calibri"/>
            <w:i/>
            <w:iCs/>
            <w:lang w:val="fr-BE"/>
          </w:rPr>
          <w:t>209</w:t>
        </w:r>
      </w:hyperlink>
    </w:p>
    <w:p w:rsidR="00AC12B4" w:rsidRPr="00C27636" w:rsidRDefault="00AC12B4">
      <w:pPr>
        <w:spacing w:line="132" w:lineRule="exact"/>
        <w:rPr>
          <w:sz w:val="20"/>
          <w:szCs w:val="20"/>
          <w:lang w:val="fr-BE"/>
        </w:rPr>
      </w:pPr>
    </w:p>
    <w:p w:rsidR="00AC12B4" w:rsidRPr="00C27636" w:rsidRDefault="00C27636">
      <w:pPr>
        <w:ind w:left="700"/>
        <w:rPr>
          <w:rFonts w:ascii="Calibri" w:eastAsia="Calibri" w:hAnsi="Calibri" w:cs="Calibri"/>
          <w:i/>
          <w:iCs/>
          <w:sz w:val="21"/>
          <w:szCs w:val="21"/>
          <w:lang w:val="fr-BE"/>
        </w:rPr>
      </w:pPr>
      <w:r w:rsidRPr="00C27636">
        <w:rPr>
          <w:rFonts w:ascii="Calibri" w:eastAsia="Calibri" w:hAnsi="Calibri" w:cs="Calibri"/>
          <w:i/>
          <w:iCs/>
          <w:sz w:val="21"/>
          <w:szCs w:val="21"/>
          <w:lang w:val="fr-BE"/>
        </w:rPr>
        <w:t xml:space="preserve">Recommandations principales………………………………………………………………………..… </w:t>
      </w:r>
      <w:hyperlink w:anchor="page211">
        <w:r w:rsidRPr="00C27636">
          <w:rPr>
            <w:rFonts w:ascii="Calibri" w:eastAsia="Calibri" w:hAnsi="Calibri" w:cs="Calibri"/>
            <w:i/>
            <w:iCs/>
            <w:sz w:val="21"/>
            <w:szCs w:val="21"/>
            <w:lang w:val="fr-BE"/>
          </w:rPr>
          <w:t>211</w:t>
        </w:r>
      </w:hyperlink>
    </w:p>
    <w:p w:rsidR="00AC12B4" w:rsidRPr="00C27636" w:rsidRDefault="00AC12B4">
      <w:pPr>
        <w:spacing w:line="130" w:lineRule="exact"/>
        <w:rPr>
          <w:sz w:val="20"/>
          <w:szCs w:val="20"/>
          <w:lang w:val="fr-BE"/>
        </w:rPr>
      </w:pPr>
    </w:p>
    <w:p w:rsidR="00AC12B4" w:rsidRPr="00C27636" w:rsidRDefault="00C27636">
      <w:pPr>
        <w:ind w:left="700"/>
        <w:rPr>
          <w:rFonts w:ascii="Calibri" w:eastAsia="Calibri" w:hAnsi="Calibri" w:cs="Calibri"/>
          <w:i/>
          <w:iCs/>
          <w:sz w:val="21"/>
          <w:szCs w:val="21"/>
          <w:lang w:val="fr-BE"/>
        </w:rPr>
      </w:pPr>
      <w:r w:rsidRPr="00C27636">
        <w:rPr>
          <w:rFonts w:ascii="Calibri" w:eastAsia="Calibri" w:hAnsi="Calibri" w:cs="Calibri"/>
          <w:i/>
          <w:iCs/>
          <w:sz w:val="21"/>
          <w:szCs w:val="21"/>
          <w:lang w:val="fr-BE"/>
        </w:rPr>
        <w:t xml:space="preserve">Remerciements…………………………………………………………………………………………………. </w:t>
      </w:r>
      <w:hyperlink w:anchor="page215">
        <w:r w:rsidRPr="00C27636">
          <w:rPr>
            <w:rFonts w:ascii="Calibri" w:eastAsia="Calibri" w:hAnsi="Calibri" w:cs="Calibri"/>
            <w:i/>
            <w:iCs/>
            <w:sz w:val="21"/>
            <w:szCs w:val="21"/>
            <w:lang w:val="fr-BE"/>
          </w:rPr>
          <w:t>215</w:t>
        </w:r>
      </w:hyperlink>
    </w:p>
    <w:p w:rsidR="00AC12B4" w:rsidRPr="00C27636" w:rsidRDefault="00AC12B4">
      <w:pPr>
        <w:rPr>
          <w:lang w:val="fr-BE"/>
        </w:rPr>
        <w:sectPr w:rsidR="00AC12B4" w:rsidRPr="00C27636">
          <w:pgSz w:w="12080" w:h="17179"/>
          <w:pgMar w:top="1440" w:right="1440" w:bottom="1440" w:left="1440" w:header="0" w:footer="0" w:gutter="0"/>
          <w:cols w:space="720" w:equalWidth="0">
            <w:col w:w="9197"/>
          </w:cols>
        </w:sectPr>
      </w:pPr>
    </w:p>
    <w:bookmarkStart w:id="6" w:name="page7"/>
    <w:bookmarkEnd w:id="6"/>
    <w:p w:rsidR="00AC12B4" w:rsidRPr="00C27636" w:rsidRDefault="00C27636">
      <w:pPr>
        <w:ind w:left="960"/>
        <w:rPr>
          <w:sz w:val="20"/>
          <w:szCs w:val="20"/>
          <w:lang w:val="fr-BE"/>
        </w:rPr>
      </w:pPr>
      <w:r>
        <w:rPr>
          <w:rFonts w:ascii="Calibri" w:eastAsia="Calibri" w:hAnsi="Calibri" w:cs="Calibri"/>
          <w:noProof/>
          <w:color w:val="FFFFFF"/>
          <w:sz w:val="95"/>
          <w:szCs w:val="95"/>
        </w:rPr>
        <w:lastRenderedPageBreak/>
        <mc:AlternateContent>
          <mc:Choice Requires="wps">
            <w:drawing>
              <wp:anchor distT="0" distB="0" distL="114300" distR="114300" simplePos="0" relativeHeight="251353600" behindDoc="1" locked="0" layoutInCell="0" allowOverlap="1">
                <wp:simplePos x="0" y="0"/>
                <wp:positionH relativeFrom="page">
                  <wp:posOffset>0</wp:posOffset>
                </wp:positionH>
                <wp:positionV relativeFrom="page">
                  <wp:posOffset>3810</wp:posOffset>
                </wp:positionV>
                <wp:extent cx="7667625" cy="114808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5" o:spid="_x0000_s1030" style="position:absolute;margin-left:0pt;margin-top:0.3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5"/>
          <w:szCs w:val="95"/>
          <w:lang w:val="fr-BE"/>
        </w:rPr>
        <w:t>Liste des abréviations</w:t>
      </w:r>
    </w:p>
    <w:p w:rsidR="00AC12B4" w:rsidRPr="00C27636" w:rsidRDefault="00AC12B4">
      <w:pPr>
        <w:rPr>
          <w:lang w:val="fr-BE"/>
        </w:rPr>
        <w:sectPr w:rsidR="00AC12B4" w:rsidRPr="00C27636">
          <w:pgSz w:w="12080" w:h="17179"/>
          <w:pgMar w:top="611" w:right="1277" w:bottom="659" w:left="1440" w:header="0" w:footer="0" w:gutter="0"/>
          <w:cols w:space="720" w:equalWidth="0">
            <w:col w:w="936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70"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AGAJ: Administration générale de l’aide à la jeunesse (FWB)</w:t>
      </w:r>
    </w:p>
    <w:p w:rsidR="00AC12B4" w:rsidRPr="00C27636" w:rsidRDefault="00AC12B4">
      <w:pPr>
        <w:spacing w:line="167" w:lineRule="exact"/>
        <w:rPr>
          <w:sz w:val="20"/>
          <w:szCs w:val="20"/>
          <w:lang w:val="fr-BE"/>
        </w:rPr>
      </w:pPr>
    </w:p>
    <w:p w:rsidR="00AC12B4" w:rsidRPr="00C27636" w:rsidRDefault="00C27636">
      <w:pPr>
        <w:spacing w:line="217" w:lineRule="auto"/>
        <w:ind w:left="560" w:right="340"/>
        <w:rPr>
          <w:sz w:val="20"/>
          <w:szCs w:val="20"/>
          <w:lang w:val="fr-BE"/>
        </w:rPr>
      </w:pPr>
      <w:r w:rsidRPr="00C27636">
        <w:rPr>
          <w:rFonts w:ascii="Calibri" w:eastAsia="Calibri" w:hAnsi="Calibri" w:cs="Calibri"/>
          <w:sz w:val="20"/>
          <w:szCs w:val="20"/>
          <w:lang w:val="fr-BE"/>
        </w:rPr>
        <w:t>AGODI: Agentsch</w:t>
      </w:r>
      <w:r w:rsidRPr="00C27636">
        <w:rPr>
          <w:rFonts w:ascii="Calibri" w:eastAsia="Calibri" w:hAnsi="Calibri" w:cs="Calibri"/>
          <w:sz w:val="20"/>
          <w:szCs w:val="20"/>
          <w:lang w:val="fr-BE"/>
        </w:rPr>
        <w:t>ap voor Onderwijsdiensten (Communauté flamande, service au sein de l’administration de l’enseignement)</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AI: Attestation d’immatriculation</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AIM: Agence InterMutualiste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AJ: Aide à la jeunesse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AMU: Aide Médicale Urgente</w:t>
      </w:r>
    </w:p>
    <w:p w:rsidR="00AC12B4" w:rsidRPr="00C27636" w:rsidRDefault="00AC12B4">
      <w:pPr>
        <w:spacing w:line="119" w:lineRule="exact"/>
        <w:rPr>
          <w:sz w:val="20"/>
          <w:szCs w:val="20"/>
          <w:lang w:val="fr-BE"/>
        </w:rPr>
      </w:pPr>
    </w:p>
    <w:p w:rsidR="00AC12B4" w:rsidRDefault="00C27636">
      <w:pPr>
        <w:ind w:left="560"/>
        <w:rPr>
          <w:sz w:val="20"/>
          <w:szCs w:val="20"/>
        </w:rPr>
      </w:pPr>
      <w:r>
        <w:rPr>
          <w:rFonts w:ascii="Calibri" w:eastAsia="Calibri" w:hAnsi="Calibri" w:cs="Calibri"/>
          <w:sz w:val="20"/>
          <w:szCs w:val="20"/>
        </w:rPr>
        <w:t xml:space="preserve">AROPE: At risk of poverty or social </w:t>
      </w:r>
      <w:r>
        <w:rPr>
          <w:rFonts w:ascii="Calibri" w:eastAsia="Calibri" w:hAnsi="Calibri" w:cs="Calibri"/>
          <w:sz w:val="20"/>
          <w:szCs w:val="20"/>
        </w:rPr>
        <w:t>exclusion</w:t>
      </w:r>
    </w:p>
    <w:p w:rsidR="00AC12B4" w:rsidRDefault="00AC12B4">
      <w:pPr>
        <w:spacing w:line="121" w:lineRule="exact"/>
        <w:rPr>
          <w:sz w:val="20"/>
          <w:szCs w:val="20"/>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AVCB: Association de la Ville et des Communes de la Région de Bruxelles-Capitale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AWAC: Agence wallonne de l’air et du climat</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AWIPH: Agence wallonne pour l’Intégration des Personnes Handicapées</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BAPCOC: Commission belge de coordination de la po</w:t>
      </w:r>
      <w:r w:rsidRPr="00C27636">
        <w:rPr>
          <w:rFonts w:ascii="Calibri" w:eastAsia="Calibri" w:hAnsi="Calibri" w:cs="Calibri"/>
          <w:sz w:val="20"/>
          <w:szCs w:val="20"/>
          <w:lang w:val="fr-BE"/>
        </w:rPr>
        <w:t>litique antibiotique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BDMS: Banque de données médico-sociales (ONE)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BIM: Bénéficiaire de l’intervention majorée</w:t>
      </w:r>
    </w:p>
    <w:p w:rsidR="00AC12B4" w:rsidRPr="00C27636" w:rsidRDefault="00AC12B4">
      <w:pPr>
        <w:spacing w:line="165" w:lineRule="exact"/>
        <w:rPr>
          <w:sz w:val="20"/>
          <w:szCs w:val="20"/>
          <w:lang w:val="fr-BE"/>
        </w:rPr>
      </w:pPr>
    </w:p>
    <w:p w:rsidR="00AC12B4" w:rsidRPr="00C27636" w:rsidRDefault="00C27636">
      <w:pPr>
        <w:spacing w:line="217" w:lineRule="auto"/>
        <w:ind w:left="560" w:right="340"/>
        <w:rPr>
          <w:sz w:val="20"/>
          <w:szCs w:val="20"/>
          <w:lang w:val="fr-BE"/>
        </w:rPr>
      </w:pPr>
      <w:r w:rsidRPr="00C27636">
        <w:rPr>
          <w:rFonts w:ascii="Calibri" w:eastAsia="Calibri" w:hAnsi="Calibri" w:cs="Calibri"/>
          <w:sz w:val="20"/>
          <w:szCs w:val="20"/>
          <w:lang w:val="fr-BE"/>
        </w:rPr>
        <w:t>BINC: Système d’enregistrement uniforme pour les institutions privées de l’aide à la jeunesse en Communauté flamande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BJ : Baromètre de la Jus</w:t>
      </w:r>
      <w:r w:rsidRPr="00C27636">
        <w:rPr>
          <w:rFonts w:ascii="Calibri" w:eastAsia="Calibri" w:hAnsi="Calibri" w:cs="Calibri"/>
          <w:sz w:val="20"/>
          <w:szCs w:val="20"/>
          <w:lang w:val="fr-BE"/>
        </w:rPr>
        <w:t>tice</w:t>
      </w:r>
    </w:p>
    <w:p w:rsidR="00AC12B4" w:rsidRPr="00C27636" w:rsidRDefault="00AC12B4">
      <w:pPr>
        <w:spacing w:line="168" w:lineRule="exact"/>
        <w:rPr>
          <w:sz w:val="20"/>
          <w:szCs w:val="20"/>
          <w:lang w:val="fr-BE"/>
        </w:rPr>
      </w:pPr>
    </w:p>
    <w:p w:rsidR="00AC12B4" w:rsidRPr="00C27636" w:rsidRDefault="00C27636">
      <w:pPr>
        <w:spacing w:line="216" w:lineRule="auto"/>
        <w:ind w:left="560" w:right="340"/>
        <w:rPr>
          <w:sz w:val="20"/>
          <w:szCs w:val="20"/>
          <w:lang w:val="fr-BE"/>
        </w:rPr>
      </w:pPr>
      <w:r w:rsidRPr="00C27636">
        <w:rPr>
          <w:rFonts w:ascii="Calibri" w:eastAsia="Calibri" w:hAnsi="Calibri" w:cs="Calibri"/>
          <w:sz w:val="20"/>
          <w:szCs w:val="20"/>
          <w:lang w:val="fr-BE"/>
        </w:rPr>
        <w:t>BUSO: enseignement secondaire spécialisé en Communauté flamande (Buitengewoon secundair onderwijs)</w:t>
      </w:r>
    </w:p>
    <w:p w:rsidR="00AC12B4" w:rsidRPr="00C27636" w:rsidRDefault="00AC12B4">
      <w:pPr>
        <w:spacing w:line="168" w:lineRule="exact"/>
        <w:rPr>
          <w:sz w:val="20"/>
          <w:szCs w:val="20"/>
          <w:lang w:val="fr-BE"/>
        </w:rPr>
      </w:pPr>
    </w:p>
    <w:p w:rsidR="00AC12B4" w:rsidRPr="00C27636" w:rsidRDefault="00C27636">
      <w:pPr>
        <w:spacing w:line="217" w:lineRule="auto"/>
        <w:ind w:left="560" w:right="340"/>
        <w:rPr>
          <w:sz w:val="20"/>
          <w:szCs w:val="20"/>
          <w:lang w:val="fr-BE"/>
        </w:rPr>
      </w:pPr>
      <w:r w:rsidRPr="00C27636">
        <w:rPr>
          <w:rFonts w:ascii="Calibri" w:eastAsia="Calibri" w:hAnsi="Calibri" w:cs="Calibri"/>
          <w:sz w:val="20"/>
          <w:szCs w:val="20"/>
          <w:lang w:val="fr-BE"/>
        </w:rPr>
        <w:t>CABO : Commissie van Advies voor Buitengewoon Onderwijs (Commission d’avis pour l’enseignement spécialisé en Communauté flamande)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 xml:space="preserve">CAW: Centrum </w:t>
      </w:r>
      <w:r w:rsidRPr="00C27636">
        <w:rPr>
          <w:rFonts w:ascii="Calibri" w:eastAsia="Calibri" w:hAnsi="Calibri" w:cs="Calibri"/>
          <w:sz w:val="20"/>
          <w:szCs w:val="20"/>
          <w:lang w:val="fr-BE"/>
        </w:rPr>
        <w:t>Algemeen Welzijnswerk</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CELINE : Cellule Interrégionale de l'Environnement</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CGG: Centres de santé mentale (Communauté flamande)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CIDE: Convention Internationale relative aux Droits de l’Enfant</w:t>
      </w:r>
    </w:p>
    <w:p w:rsidR="00AC12B4" w:rsidRPr="00C27636" w:rsidRDefault="00AC12B4">
      <w:pPr>
        <w:spacing w:line="118" w:lineRule="exact"/>
        <w:rPr>
          <w:sz w:val="20"/>
          <w:szCs w:val="20"/>
          <w:lang w:val="fr-BE"/>
        </w:rPr>
      </w:pPr>
    </w:p>
    <w:p w:rsidR="00AC12B4" w:rsidRPr="00C27636" w:rsidRDefault="00C27636">
      <w:pPr>
        <w:ind w:left="560"/>
        <w:rPr>
          <w:sz w:val="20"/>
          <w:szCs w:val="20"/>
          <w:lang w:val="nl-NL"/>
        </w:rPr>
      </w:pPr>
      <w:r w:rsidRPr="00C27636">
        <w:rPr>
          <w:rFonts w:ascii="Calibri" w:eastAsia="Calibri" w:hAnsi="Calibri" w:cs="Calibri"/>
          <w:sz w:val="20"/>
          <w:szCs w:val="20"/>
          <w:lang w:val="nl-NL"/>
        </w:rPr>
        <w:t xml:space="preserve">CKG: Centrum voor Kinderzorg en Gezinsondersteuning (cf SASPE </w:t>
      </w:r>
      <w:r w:rsidRPr="00C27636">
        <w:rPr>
          <w:rFonts w:ascii="Calibri" w:eastAsia="Calibri" w:hAnsi="Calibri" w:cs="Calibri"/>
          <w:sz w:val="20"/>
          <w:szCs w:val="20"/>
          <w:lang w:val="nl-NL"/>
        </w:rPr>
        <w:t>en FWB)</w:t>
      </w:r>
    </w:p>
    <w:p w:rsidR="00AC12B4" w:rsidRPr="00C27636" w:rsidRDefault="00AC12B4">
      <w:pPr>
        <w:spacing w:line="121" w:lineRule="exact"/>
        <w:rPr>
          <w:sz w:val="20"/>
          <w:szCs w:val="20"/>
          <w:lang w:val="nl-NL"/>
        </w:rPr>
      </w:pPr>
    </w:p>
    <w:p w:rsidR="00AC12B4" w:rsidRPr="00C27636" w:rsidRDefault="00C27636">
      <w:pPr>
        <w:ind w:left="560"/>
        <w:rPr>
          <w:sz w:val="20"/>
          <w:szCs w:val="20"/>
          <w:lang w:val="nl-NL"/>
        </w:rPr>
      </w:pPr>
      <w:r w:rsidRPr="00C27636">
        <w:rPr>
          <w:rFonts w:ascii="Calibri" w:eastAsia="Calibri" w:hAnsi="Calibri" w:cs="Calibri"/>
          <w:sz w:val="20"/>
          <w:szCs w:val="20"/>
          <w:lang w:val="nl-NL"/>
        </w:rPr>
        <w:t>CLB: Centrum voor Leerlingenbegeleiding (cf PMS en FWB)</w:t>
      </w:r>
    </w:p>
    <w:p w:rsidR="00AC12B4" w:rsidRPr="00C27636" w:rsidRDefault="00AC12B4">
      <w:pPr>
        <w:spacing w:line="121" w:lineRule="exact"/>
        <w:rPr>
          <w:sz w:val="20"/>
          <w:szCs w:val="20"/>
          <w:lang w:val="nl-NL"/>
        </w:rPr>
      </w:pPr>
    </w:p>
    <w:p w:rsidR="00AC12B4" w:rsidRDefault="00C27636">
      <w:pPr>
        <w:ind w:left="560"/>
        <w:rPr>
          <w:sz w:val="20"/>
          <w:szCs w:val="20"/>
        </w:rPr>
      </w:pPr>
      <w:r>
        <w:rPr>
          <w:rFonts w:ascii="Calibri" w:eastAsia="Calibri" w:hAnsi="Calibri" w:cs="Calibri"/>
          <w:sz w:val="20"/>
          <w:szCs w:val="20"/>
        </w:rPr>
        <w:t>COFACE: Confederation of Family Organisations in the European Union</w:t>
      </w:r>
    </w:p>
    <w:p w:rsidR="00AC12B4" w:rsidRDefault="00AC12B4">
      <w:pPr>
        <w:spacing w:line="121" w:lineRule="exact"/>
        <w:rPr>
          <w:sz w:val="20"/>
          <w:szCs w:val="20"/>
        </w:rPr>
      </w:pPr>
    </w:p>
    <w:p w:rsidR="00AC12B4" w:rsidRDefault="00C27636">
      <w:pPr>
        <w:ind w:left="560"/>
        <w:rPr>
          <w:sz w:val="20"/>
          <w:szCs w:val="20"/>
        </w:rPr>
      </w:pPr>
      <w:r>
        <w:rPr>
          <w:rFonts w:ascii="Calibri" w:eastAsia="Calibri" w:hAnsi="Calibri" w:cs="Calibri"/>
          <w:sz w:val="20"/>
          <w:szCs w:val="20"/>
        </w:rPr>
        <w:t>CPT: European Committee for the Prevention of Torture</w:t>
      </w:r>
    </w:p>
    <w:p w:rsidR="00AC12B4" w:rsidRDefault="00AC12B4">
      <w:pPr>
        <w:spacing w:line="118" w:lineRule="exact"/>
        <w:rPr>
          <w:sz w:val="20"/>
          <w:szCs w:val="20"/>
        </w:rPr>
      </w:pPr>
    </w:p>
    <w:p w:rsidR="00AC12B4" w:rsidRPr="00C27636" w:rsidRDefault="00C27636">
      <w:pPr>
        <w:ind w:left="560"/>
        <w:rPr>
          <w:sz w:val="20"/>
          <w:szCs w:val="20"/>
          <w:lang w:val="nl-NL"/>
        </w:rPr>
      </w:pPr>
      <w:r w:rsidRPr="00C27636">
        <w:rPr>
          <w:rFonts w:ascii="Calibri" w:eastAsia="Calibri" w:hAnsi="Calibri" w:cs="Calibri"/>
          <w:sz w:val="20"/>
          <w:szCs w:val="20"/>
          <w:lang w:val="nl-NL"/>
        </w:rPr>
        <w:t>CSB : Centrum voor Sociaal Beleid Herman Deleeck</w:t>
      </w:r>
    </w:p>
    <w:p w:rsidR="00AC12B4" w:rsidRPr="00C27636" w:rsidRDefault="00AC12B4">
      <w:pPr>
        <w:spacing w:line="121" w:lineRule="exact"/>
        <w:rPr>
          <w:sz w:val="20"/>
          <w:szCs w:val="20"/>
          <w:lang w:val="nl-NL"/>
        </w:rPr>
      </w:pPr>
    </w:p>
    <w:p w:rsidR="00AC12B4" w:rsidRPr="00C27636" w:rsidRDefault="00C27636">
      <w:pPr>
        <w:ind w:left="560"/>
        <w:rPr>
          <w:sz w:val="20"/>
          <w:szCs w:val="20"/>
          <w:lang w:val="fr-BE"/>
        </w:rPr>
      </w:pPr>
      <w:r w:rsidRPr="00C27636">
        <w:rPr>
          <w:rFonts w:ascii="Calibri" w:eastAsia="Calibri" w:hAnsi="Calibri" w:cs="Calibri"/>
          <w:sz w:val="20"/>
          <w:szCs w:val="20"/>
          <w:lang w:val="fr-BE"/>
        </w:rPr>
        <w:t>CSJ : Conseil Su</w:t>
      </w:r>
      <w:r w:rsidRPr="00C27636">
        <w:rPr>
          <w:rFonts w:ascii="Calibri" w:eastAsia="Calibri" w:hAnsi="Calibri" w:cs="Calibri"/>
          <w:sz w:val="20"/>
          <w:szCs w:val="20"/>
          <w:lang w:val="fr-BE"/>
        </w:rPr>
        <w:t>périeur de la Justice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DDD : Defined Daily Dose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Décret M : Décret « Mesures » de la Communauté flamande sur l’inclusion scolaire</w:t>
      </w:r>
    </w:p>
    <w:p w:rsidR="00AC12B4" w:rsidRPr="00C27636" w:rsidRDefault="00AC12B4">
      <w:pPr>
        <w:spacing w:line="118" w:lineRule="exact"/>
        <w:rPr>
          <w:sz w:val="20"/>
          <w:szCs w:val="20"/>
          <w:lang w:val="fr-BE"/>
        </w:rPr>
      </w:pPr>
    </w:p>
    <w:p w:rsidR="00AC12B4" w:rsidRPr="00C27636" w:rsidRDefault="00C27636">
      <w:pPr>
        <w:ind w:left="560"/>
        <w:rPr>
          <w:sz w:val="20"/>
          <w:szCs w:val="20"/>
          <w:lang w:val="de-DE"/>
        </w:rPr>
      </w:pPr>
      <w:r w:rsidRPr="00C27636">
        <w:rPr>
          <w:rFonts w:ascii="Calibri" w:eastAsia="Calibri" w:hAnsi="Calibri" w:cs="Calibri"/>
          <w:sz w:val="20"/>
          <w:szCs w:val="20"/>
          <w:lang w:val="de-DE"/>
        </w:rPr>
        <w:t>DEI: Défense des Enfants International</w:t>
      </w:r>
    </w:p>
    <w:p w:rsidR="00AC12B4" w:rsidRPr="00C27636" w:rsidRDefault="00AC12B4">
      <w:pPr>
        <w:spacing w:line="121" w:lineRule="exact"/>
        <w:rPr>
          <w:sz w:val="20"/>
          <w:szCs w:val="20"/>
          <w:lang w:val="de-DE"/>
        </w:rPr>
      </w:pPr>
    </w:p>
    <w:p w:rsidR="00AC12B4" w:rsidRPr="00C27636" w:rsidRDefault="00C27636">
      <w:pPr>
        <w:ind w:left="560"/>
        <w:rPr>
          <w:sz w:val="20"/>
          <w:szCs w:val="20"/>
          <w:lang w:val="de-DE"/>
        </w:rPr>
      </w:pPr>
      <w:r w:rsidRPr="00C27636">
        <w:rPr>
          <w:rFonts w:ascii="Calibri" w:eastAsia="Calibri" w:hAnsi="Calibri" w:cs="Calibri"/>
          <w:sz w:val="20"/>
          <w:szCs w:val="20"/>
          <w:lang w:val="de-DE"/>
        </w:rPr>
        <w:t>DG : Deutchsprachigen Gemeinschaft</w:t>
      </w:r>
    </w:p>
    <w:p w:rsidR="00AC12B4" w:rsidRPr="00C27636" w:rsidRDefault="00AC12B4">
      <w:pPr>
        <w:spacing w:line="121" w:lineRule="exact"/>
        <w:rPr>
          <w:sz w:val="20"/>
          <w:szCs w:val="20"/>
          <w:lang w:val="de-D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DGDE : Délégué général aux Droits de l’Enfant</w:t>
      </w:r>
    </w:p>
    <w:p w:rsidR="00AC12B4" w:rsidRPr="00C27636" w:rsidRDefault="00AC12B4">
      <w:pPr>
        <w:spacing w:line="234" w:lineRule="exact"/>
        <w:rPr>
          <w:sz w:val="20"/>
          <w:szCs w:val="20"/>
          <w:lang w:val="fr-BE"/>
        </w:rPr>
      </w:pPr>
    </w:p>
    <w:p w:rsidR="00AC12B4" w:rsidRPr="00C27636" w:rsidRDefault="00C27636">
      <w:pPr>
        <w:ind w:right="-239"/>
        <w:jc w:val="center"/>
        <w:rPr>
          <w:sz w:val="20"/>
          <w:szCs w:val="20"/>
          <w:lang w:val="fr-BE"/>
        </w:rPr>
      </w:pPr>
      <w:r w:rsidRPr="00C27636">
        <w:rPr>
          <w:rFonts w:ascii="Calibri" w:eastAsia="Calibri" w:hAnsi="Calibri" w:cs="Calibri"/>
          <w:lang w:val="fr-BE"/>
        </w:rPr>
        <w:t>7</w:t>
      </w:r>
    </w:p>
    <w:p w:rsidR="00AC12B4" w:rsidRPr="00C27636" w:rsidRDefault="00AC12B4">
      <w:pPr>
        <w:rPr>
          <w:lang w:val="fr-BE"/>
        </w:rPr>
        <w:sectPr w:rsidR="00AC12B4" w:rsidRPr="00C27636">
          <w:type w:val="continuous"/>
          <w:pgSz w:w="12080" w:h="17179"/>
          <w:pgMar w:top="611" w:right="1277" w:bottom="659" w:left="1440" w:header="0" w:footer="0" w:gutter="0"/>
          <w:cols w:space="720" w:equalWidth="0">
            <w:col w:w="9360"/>
          </w:cols>
        </w:sectPr>
      </w:pPr>
    </w:p>
    <w:p w:rsidR="00AC12B4" w:rsidRPr="00C27636" w:rsidRDefault="00AC12B4">
      <w:pPr>
        <w:spacing w:line="164" w:lineRule="exact"/>
        <w:rPr>
          <w:sz w:val="20"/>
          <w:szCs w:val="20"/>
          <w:lang w:val="fr-BE"/>
        </w:rPr>
      </w:pPr>
      <w:bookmarkStart w:id="7" w:name="page8"/>
      <w:bookmarkEnd w:id="7"/>
    </w:p>
    <w:p w:rsidR="00AC12B4" w:rsidRPr="00C27636" w:rsidRDefault="00C27636">
      <w:pPr>
        <w:rPr>
          <w:sz w:val="20"/>
          <w:szCs w:val="20"/>
          <w:lang w:val="fr-BE"/>
        </w:rPr>
      </w:pPr>
      <w:r w:rsidRPr="00C27636">
        <w:rPr>
          <w:rFonts w:ascii="Calibri" w:eastAsia="Calibri" w:hAnsi="Calibri" w:cs="Calibri"/>
          <w:sz w:val="20"/>
          <w:szCs w:val="20"/>
          <w:lang w:val="fr-BE"/>
        </w:rPr>
        <w:t>DGSIE : Direction générale Statistique et Information économique, SPF Economie</w:t>
      </w:r>
    </w:p>
    <w:p w:rsidR="00AC12B4" w:rsidRPr="00C27636" w:rsidRDefault="00AC12B4">
      <w:pPr>
        <w:spacing w:line="121" w:lineRule="exact"/>
        <w:rPr>
          <w:sz w:val="20"/>
          <w:szCs w:val="20"/>
          <w:lang w:val="fr-BE"/>
        </w:rPr>
      </w:pPr>
    </w:p>
    <w:p w:rsidR="00AC12B4" w:rsidRPr="00C27636" w:rsidRDefault="00C27636">
      <w:pPr>
        <w:rPr>
          <w:sz w:val="20"/>
          <w:szCs w:val="20"/>
          <w:lang w:val="nl-NL"/>
        </w:rPr>
      </w:pPr>
      <w:r w:rsidRPr="00C27636">
        <w:rPr>
          <w:rFonts w:ascii="Calibri" w:eastAsia="Calibri" w:hAnsi="Calibri" w:cs="Calibri"/>
          <w:sz w:val="20"/>
          <w:szCs w:val="20"/>
          <w:lang w:val="nl-NL"/>
        </w:rPr>
        <w:t>DKO: Deeltijds kunstonderwijs (enseignement artistique en alternance)</w:t>
      </w:r>
    </w:p>
    <w:p w:rsidR="00AC12B4" w:rsidRPr="00C27636" w:rsidRDefault="00AC12B4">
      <w:pPr>
        <w:spacing w:line="118" w:lineRule="exact"/>
        <w:rPr>
          <w:sz w:val="20"/>
          <w:szCs w:val="20"/>
          <w:lang w:val="nl-NL"/>
        </w:rPr>
      </w:pPr>
    </w:p>
    <w:p w:rsidR="00AC12B4" w:rsidRDefault="00C27636">
      <w:pPr>
        <w:rPr>
          <w:sz w:val="20"/>
          <w:szCs w:val="20"/>
        </w:rPr>
      </w:pPr>
      <w:r>
        <w:rPr>
          <w:rFonts w:ascii="Calibri" w:eastAsia="Calibri" w:hAnsi="Calibri" w:cs="Calibri"/>
          <w:sz w:val="20"/>
          <w:szCs w:val="20"/>
        </w:rPr>
        <w:t>ECRE: European Council on Refugees and Exiles</w:t>
      </w:r>
    </w:p>
    <w:p w:rsidR="00AC12B4" w:rsidRDefault="00AC12B4">
      <w:pPr>
        <w:spacing w:line="121" w:lineRule="exact"/>
        <w:rPr>
          <w:sz w:val="20"/>
          <w:szCs w:val="20"/>
        </w:rPr>
      </w:pPr>
    </w:p>
    <w:p w:rsidR="00AC12B4" w:rsidRPr="00C27636" w:rsidRDefault="00C27636">
      <w:pPr>
        <w:rPr>
          <w:sz w:val="20"/>
          <w:szCs w:val="20"/>
          <w:lang w:val="fr-BE"/>
        </w:rPr>
      </w:pPr>
      <w:r w:rsidRPr="00C27636">
        <w:rPr>
          <w:rFonts w:ascii="Calibri" w:eastAsia="Calibri" w:hAnsi="Calibri" w:cs="Calibri"/>
          <w:sz w:val="20"/>
          <w:szCs w:val="20"/>
          <w:lang w:val="fr-BE"/>
        </w:rPr>
        <w:t>EFT : Enquête par sondage sur les for</w:t>
      </w:r>
      <w:r w:rsidRPr="00C27636">
        <w:rPr>
          <w:rFonts w:ascii="Calibri" w:eastAsia="Calibri" w:hAnsi="Calibri" w:cs="Calibri"/>
          <w:sz w:val="20"/>
          <w:szCs w:val="20"/>
          <w:lang w:val="fr-BE"/>
        </w:rPr>
        <w:t>ces de travail</w:t>
      </w:r>
    </w:p>
    <w:p w:rsidR="00AC12B4" w:rsidRPr="00C27636" w:rsidRDefault="00AC12B4">
      <w:pPr>
        <w:spacing w:line="121" w:lineRule="exact"/>
        <w:rPr>
          <w:sz w:val="20"/>
          <w:szCs w:val="20"/>
          <w:lang w:val="fr-BE"/>
        </w:rPr>
      </w:pPr>
    </w:p>
    <w:p w:rsidR="00AC12B4" w:rsidRDefault="00C27636">
      <w:pPr>
        <w:rPr>
          <w:sz w:val="20"/>
          <w:szCs w:val="20"/>
        </w:rPr>
      </w:pPr>
      <w:r>
        <w:rPr>
          <w:rFonts w:ascii="Calibri" w:eastAsia="Calibri" w:hAnsi="Calibri" w:cs="Calibri"/>
          <w:sz w:val="20"/>
          <w:szCs w:val="20"/>
        </w:rPr>
        <w:t>ENHIS : Environment and Health Information System</w:t>
      </w:r>
    </w:p>
    <w:p w:rsidR="00AC12B4" w:rsidRDefault="00AC12B4">
      <w:pPr>
        <w:spacing w:line="118" w:lineRule="exact"/>
        <w:rPr>
          <w:sz w:val="20"/>
          <w:szCs w:val="20"/>
        </w:rPr>
      </w:pPr>
    </w:p>
    <w:p w:rsidR="00AC12B4" w:rsidRDefault="00C27636">
      <w:pPr>
        <w:rPr>
          <w:sz w:val="20"/>
          <w:szCs w:val="20"/>
        </w:rPr>
      </w:pPr>
      <w:r>
        <w:rPr>
          <w:rFonts w:ascii="Calibri" w:eastAsia="Calibri" w:hAnsi="Calibri" w:cs="Calibri"/>
          <w:sz w:val="20"/>
          <w:szCs w:val="20"/>
        </w:rPr>
        <w:t>EQLS: European Quality of Life Survey</w:t>
      </w:r>
    </w:p>
    <w:p w:rsidR="00AC12B4" w:rsidRDefault="00AC12B4">
      <w:pPr>
        <w:spacing w:line="121" w:lineRule="exact"/>
        <w:rPr>
          <w:sz w:val="20"/>
          <w:szCs w:val="20"/>
        </w:rPr>
      </w:pPr>
    </w:p>
    <w:p w:rsidR="00AC12B4" w:rsidRDefault="00C27636">
      <w:pPr>
        <w:rPr>
          <w:sz w:val="20"/>
          <w:szCs w:val="20"/>
        </w:rPr>
      </w:pPr>
      <w:r>
        <w:rPr>
          <w:rFonts w:ascii="Calibri" w:eastAsia="Calibri" w:hAnsi="Calibri" w:cs="Calibri"/>
          <w:sz w:val="20"/>
          <w:szCs w:val="20"/>
        </w:rPr>
        <w:t>ERJ: European Rules for juvenile offenders</w:t>
      </w:r>
    </w:p>
    <w:p w:rsidR="00AC12B4" w:rsidRDefault="00AC12B4">
      <w:pPr>
        <w:spacing w:line="121" w:lineRule="exact"/>
        <w:rPr>
          <w:sz w:val="20"/>
          <w:szCs w:val="20"/>
        </w:rPr>
      </w:pPr>
    </w:p>
    <w:p w:rsidR="00AC12B4" w:rsidRDefault="00C27636">
      <w:pPr>
        <w:rPr>
          <w:sz w:val="20"/>
          <w:szCs w:val="20"/>
        </w:rPr>
      </w:pPr>
      <w:r>
        <w:rPr>
          <w:rFonts w:ascii="Calibri" w:eastAsia="Calibri" w:hAnsi="Calibri" w:cs="Calibri"/>
          <w:sz w:val="20"/>
          <w:szCs w:val="20"/>
        </w:rPr>
        <w:t>EU‐SILC : European Union – Statistics on Income and Living Conditions</w:t>
      </w:r>
    </w:p>
    <w:p w:rsidR="00AC12B4" w:rsidRDefault="00AC12B4">
      <w:pPr>
        <w:spacing w:line="121" w:lineRule="exact"/>
        <w:rPr>
          <w:sz w:val="20"/>
          <w:szCs w:val="20"/>
        </w:rPr>
      </w:pPr>
    </w:p>
    <w:p w:rsidR="00AC12B4" w:rsidRDefault="00C27636">
      <w:pPr>
        <w:rPr>
          <w:sz w:val="20"/>
          <w:szCs w:val="20"/>
        </w:rPr>
      </w:pPr>
      <w:r>
        <w:rPr>
          <w:rFonts w:ascii="Calibri" w:eastAsia="Calibri" w:hAnsi="Calibri" w:cs="Calibri"/>
          <w:sz w:val="20"/>
          <w:szCs w:val="20"/>
        </w:rPr>
        <w:t>FAS: Family Affluence Scale</w:t>
      </w:r>
    </w:p>
    <w:p w:rsidR="00AC12B4" w:rsidRDefault="00AC12B4">
      <w:pPr>
        <w:spacing w:line="118" w:lineRule="exact"/>
        <w:rPr>
          <w:sz w:val="20"/>
          <w:szCs w:val="20"/>
        </w:rPr>
      </w:pPr>
    </w:p>
    <w:p w:rsidR="00AC12B4" w:rsidRDefault="00C27636">
      <w:pPr>
        <w:rPr>
          <w:sz w:val="20"/>
          <w:szCs w:val="20"/>
        </w:rPr>
      </w:pPr>
      <w:r>
        <w:rPr>
          <w:rFonts w:ascii="Calibri" w:eastAsia="Calibri" w:hAnsi="Calibri" w:cs="Calibri"/>
          <w:sz w:val="20"/>
          <w:szCs w:val="20"/>
        </w:rPr>
        <w:t>FEANTSA : European Federation of National Organisations working with the Homeless</w:t>
      </w:r>
    </w:p>
    <w:p w:rsidR="00AC12B4" w:rsidRDefault="00AC12B4">
      <w:pPr>
        <w:spacing w:line="121" w:lineRule="exact"/>
        <w:rPr>
          <w:sz w:val="20"/>
          <w:szCs w:val="20"/>
        </w:rPr>
      </w:pPr>
    </w:p>
    <w:p w:rsidR="00AC12B4" w:rsidRPr="00C27636" w:rsidRDefault="00C27636">
      <w:pPr>
        <w:rPr>
          <w:sz w:val="20"/>
          <w:szCs w:val="20"/>
          <w:lang w:val="fr-BE"/>
        </w:rPr>
      </w:pPr>
      <w:r w:rsidRPr="00C27636">
        <w:rPr>
          <w:rFonts w:ascii="Calibri" w:eastAsia="Calibri" w:hAnsi="Calibri" w:cs="Calibri"/>
          <w:sz w:val="20"/>
          <w:szCs w:val="20"/>
          <w:lang w:val="fr-BE"/>
        </w:rPr>
        <w:t>FOR K: service pédopsychiatrique forensique (unité de traitement intensif)</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FQI: fait qualifié infraction</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FRA: European Union Agency for Fundamental Rights</w:t>
      </w:r>
    </w:p>
    <w:p w:rsidR="00AC12B4" w:rsidRPr="00C27636" w:rsidRDefault="00AC12B4">
      <w:pPr>
        <w:spacing w:line="13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19"/>
          <w:szCs w:val="19"/>
          <w:lang w:val="fr-BE"/>
        </w:rPr>
        <w:t xml:space="preserve">FRAJE : Centre </w:t>
      </w:r>
      <w:r w:rsidRPr="00C27636">
        <w:rPr>
          <w:rFonts w:ascii="Calibri" w:eastAsia="Calibri" w:hAnsi="Calibri" w:cs="Calibri"/>
          <w:sz w:val="19"/>
          <w:szCs w:val="19"/>
          <w:lang w:val="fr-BE"/>
        </w:rPr>
        <w:t>de Formation permanente et de Recherche dans les milieux d’Accueil du Jeune Enfant</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FWB: Fédération Wallonie-Bruxelles</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GERESE: Groupe Européen de Recherche sur l’Equité de Systèmes Educatifs</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GLEM : Groupe local d’évaluation médicale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GWO : Grote Woononde</w:t>
      </w:r>
      <w:r w:rsidRPr="00C27636">
        <w:rPr>
          <w:rFonts w:ascii="Calibri" w:eastAsia="Calibri" w:hAnsi="Calibri" w:cs="Calibri"/>
          <w:sz w:val="20"/>
          <w:szCs w:val="20"/>
          <w:lang w:val="fr-BE"/>
        </w:rPr>
        <w:t>rzoek (Communauté flamande)</w:t>
      </w:r>
    </w:p>
    <w:p w:rsidR="00AC12B4" w:rsidRPr="00C27636" w:rsidRDefault="00AC12B4">
      <w:pPr>
        <w:spacing w:line="121" w:lineRule="exact"/>
        <w:rPr>
          <w:sz w:val="20"/>
          <w:szCs w:val="20"/>
          <w:lang w:val="fr-BE"/>
        </w:rPr>
      </w:pPr>
    </w:p>
    <w:p w:rsidR="00AC12B4" w:rsidRDefault="00C27636">
      <w:pPr>
        <w:rPr>
          <w:sz w:val="20"/>
          <w:szCs w:val="20"/>
        </w:rPr>
      </w:pPr>
      <w:r>
        <w:rPr>
          <w:rFonts w:ascii="Calibri" w:eastAsia="Calibri" w:hAnsi="Calibri" w:cs="Calibri"/>
          <w:sz w:val="20"/>
          <w:szCs w:val="20"/>
        </w:rPr>
        <w:t>HBSC: Health Behaviour in School-aged Children</w:t>
      </w:r>
    </w:p>
    <w:p w:rsidR="00AC12B4" w:rsidRDefault="00AC12B4">
      <w:pPr>
        <w:spacing w:line="121" w:lineRule="exact"/>
        <w:rPr>
          <w:sz w:val="20"/>
          <w:szCs w:val="20"/>
        </w:rPr>
      </w:pPr>
    </w:p>
    <w:p w:rsidR="00AC12B4" w:rsidRPr="00C27636" w:rsidRDefault="00C27636">
      <w:pPr>
        <w:rPr>
          <w:sz w:val="20"/>
          <w:szCs w:val="20"/>
          <w:lang w:val="fr-BE"/>
        </w:rPr>
      </w:pPr>
      <w:r w:rsidRPr="00C27636">
        <w:rPr>
          <w:rFonts w:ascii="Calibri" w:eastAsia="Calibri" w:hAnsi="Calibri" w:cs="Calibri"/>
          <w:sz w:val="20"/>
          <w:szCs w:val="20"/>
          <w:lang w:val="fr-BE"/>
        </w:rPr>
        <w:t>HEDRES: Home educational resources</w:t>
      </w:r>
    </w:p>
    <w:p w:rsidR="00AC12B4" w:rsidRPr="00C27636" w:rsidRDefault="00AC12B4">
      <w:pPr>
        <w:spacing w:line="119"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HIB : Haemophilus influenzae de type b</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HIS: Enquête nationale de santé</w:t>
      </w:r>
    </w:p>
    <w:p w:rsidR="00AC12B4" w:rsidRPr="00C27636" w:rsidRDefault="00AC12B4">
      <w:pPr>
        <w:spacing w:line="121" w:lineRule="exact"/>
        <w:rPr>
          <w:sz w:val="20"/>
          <w:szCs w:val="20"/>
          <w:lang w:val="fr-BE"/>
        </w:rPr>
      </w:pPr>
    </w:p>
    <w:p w:rsidR="00AC12B4" w:rsidRPr="00C27636" w:rsidRDefault="00C27636">
      <w:pPr>
        <w:rPr>
          <w:sz w:val="20"/>
          <w:szCs w:val="20"/>
          <w:lang w:val="nl-NL"/>
        </w:rPr>
      </w:pPr>
      <w:r w:rsidRPr="00C27636">
        <w:rPr>
          <w:rFonts w:ascii="Calibri" w:eastAsia="Calibri" w:hAnsi="Calibri" w:cs="Calibri"/>
          <w:sz w:val="20"/>
          <w:szCs w:val="20"/>
          <w:lang w:val="nl-NL"/>
        </w:rPr>
        <w:t>HIVA: Onderzoekinstituut voor Arbeid en Samenleving, KU Leuven</w:t>
      </w:r>
    </w:p>
    <w:p w:rsidR="00AC12B4" w:rsidRPr="00C27636" w:rsidRDefault="00AC12B4">
      <w:pPr>
        <w:spacing w:line="121" w:lineRule="exact"/>
        <w:rPr>
          <w:sz w:val="20"/>
          <w:szCs w:val="20"/>
          <w:lang w:val="nl-NL"/>
        </w:rPr>
      </w:pPr>
    </w:p>
    <w:p w:rsidR="00AC12B4" w:rsidRPr="00C27636" w:rsidRDefault="00C27636">
      <w:pPr>
        <w:rPr>
          <w:sz w:val="20"/>
          <w:szCs w:val="20"/>
          <w:lang w:val="fr-BE"/>
        </w:rPr>
      </w:pPr>
      <w:r w:rsidRPr="00C27636">
        <w:rPr>
          <w:rFonts w:ascii="Calibri" w:eastAsia="Calibri" w:hAnsi="Calibri" w:cs="Calibri"/>
          <w:sz w:val="20"/>
          <w:szCs w:val="20"/>
          <w:lang w:val="fr-BE"/>
        </w:rPr>
        <w:t xml:space="preserve">IFJ: </w:t>
      </w:r>
      <w:r w:rsidRPr="00C27636">
        <w:rPr>
          <w:rFonts w:ascii="Calibri" w:eastAsia="Calibri" w:hAnsi="Calibri" w:cs="Calibri"/>
          <w:sz w:val="20"/>
          <w:szCs w:val="20"/>
          <w:lang w:val="fr-BE"/>
        </w:rPr>
        <w:t>Institut de Formation judiciaire</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IJH: Integrale Jeugdhulp (Communauté flamande)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IMA: Agence InterMutualiste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INAMI: Institut National d’Assurance Maladie et Invalidité</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INCC: Institut National de Criminalistique et de Criminologie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IOM : International Or</w:t>
      </w:r>
      <w:r w:rsidRPr="00C27636">
        <w:rPr>
          <w:rFonts w:ascii="Calibri" w:eastAsia="Calibri" w:hAnsi="Calibri" w:cs="Calibri"/>
          <w:sz w:val="20"/>
          <w:szCs w:val="20"/>
          <w:lang w:val="fr-BE"/>
        </w:rPr>
        <w:t>ganization of Migration</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IPPJ : Institution publique de protection de la jeunesse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ISADF: Indicateur synthétique d’accès aux droits fondamentaux</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ISE: Indice socio-économique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ISP: Institut Scientifique de Santé Publique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 xml:space="preserve">IWEPS: Institut wallon de </w:t>
      </w:r>
      <w:r w:rsidRPr="00C27636">
        <w:rPr>
          <w:rFonts w:ascii="Calibri" w:eastAsia="Calibri" w:hAnsi="Calibri" w:cs="Calibri"/>
          <w:sz w:val="20"/>
          <w:szCs w:val="20"/>
          <w:lang w:val="fr-BE"/>
        </w:rPr>
        <w:t>l’évaluation, de la prospective et de la statistique</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JAC : Jongerenadviescentrum (cf Service droits des jeunes en FWB)</w:t>
      </w:r>
    </w:p>
    <w:p w:rsidR="00AC12B4" w:rsidRPr="00C27636" w:rsidRDefault="00AC12B4">
      <w:pPr>
        <w:spacing w:line="121" w:lineRule="exact"/>
        <w:rPr>
          <w:sz w:val="20"/>
          <w:szCs w:val="20"/>
          <w:lang w:val="fr-BE"/>
        </w:rPr>
      </w:pPr>
    </w:p>
    <w:p w:rsidR="00AC12B4" w:rsidRPr="00C27636" w:rsidRDefault="00C27636">
      <w:pPr>
        <w:rPr>
          <w:sz w:val="20"/>
          <w:szCs w:val="20"/>
          <w:lang w:val="nl-NL"/>
        </w:rPr>
      </w:pPr>
      <w:r w:rsidRPr="00C27636">
        <w:rPr>
          <w:rFonts w:ascii="Calibri" w:eastAsia="Calibri" w:hAnsi="Calibri" w:cs="Calibri"/>
          <w:sz w:val="20"/>
          <w:szCs w:val="20"/>
          <w:lang w:val="nl-NL"/>
        </w:rPr>
        <w:t>JKP: Jeugd- en Kinderrechtenbeleidsplan</w:t>
      </w:r>
    </w:p>
    <w:p w:rsidR="00AC12B4" w:rsidRPr="00C27636" w:rsidRDefault="00AC12B4">
      <w:pPr>
        <w:spacing w:line="121"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JOP: Jeugd Onderzoeks Platform</w:t>
      </w:r>
    </w:p>
    <w:p w:rsidR="00AC12B4" w:rsidRPr="00C27636" w:rsidRDefault="00AC12B4">
      <w:pPr>
        <w:spacing w:line="121"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KCE: Federaal Kenniscentrum voor de Gezondheidszorg</w:t>
      </w:r>
    </w:p>
    <w:p w:rsidR="00AC12B4" w:rsidRPr="00C27636" w:rsidRDefault="00AC12B4">
      <w:pPr>
        <w:spacing w:line="364" w:lineRule="exact"/>
        <w:rPr>
          <w:sz w:val="20"/>
          <w:szCs w:val="20"/>
          <w:lang w:val="nl-NL"/>
        </w:rPr>
      </w:pPr>
    </w:p>
    <w:p w:rsidR="00AC12B4" w:rsidRPr="00C27636" w:rsidRDefault="00C27636">
      <w:pPr>
        <w:ind w:left="4180"/>
        <w:rPr>
          <w:sz w:val="20"/>
          <w:szCs w:val="20"/>
          <w:lang w:val="nl-NL"/>
        </w:rPr>
      </w:pPr>
      <w:r w:rsidRPr="00C27636">
        <w:rPr>
          <w:rFonts w:ascii="Calibri" w:eastAsia="Calibri" w:hAnsi="Calibri" w:cs="Calibri"/>
          <w:lang w:val="nl-NL"/>
        </w:rPr>
        <w:t>8</w:t>
      </w:r>
    </w:p>
    <w:p w:rsidR="00AC12B4" w:rsidRPr="00C27636" w:rsidRDefault="00AC12B4">
      <w:pPr>
        <w:rPr>
          <w:lang w:val="nl-NL"/>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4" w:lineRule="exact"/>
        <w:rPr>
          <w:sz w:val="20"/>
          <w:szCs w:val="20"/>
          <w:lang w:val="nl-NL"/>
        </w:rPr>
      </w:pPr>
      <w:bookmarkStart w:id="8" w:name="page9"/>
      <w:bookmarkEnd w:id="8"/>
    </w:p>
    <w:p w:rsidR="00AC12B4" w:rsidRPr="00C27636" w:rsidRDefault="00C27636">
      <w:pPr>
        <w:ind w:left="560"/>
        <w:rPr>
          <w:sz w:val="20"/>
          <w:szCs w:val="20"/>
          <w:lang w:val="nl-NL"/>
        </w:rPr>
      </w:pPr>
      <w:r w:rsidRPr="00C27636">
        <w:rPr>
          <w:rFonts w:ascii="Calibri" w:eastAsia="Calibri" w:hAnsi="Calibri" w:cs="Calibri"/>
          <w:sz w:val="20"/>
          <w:szCs w:val="20"/>
          <w:lang w:val="nl-NL"/>
        </w:rPr>
        <w:t>KRC: Kinderrechtencommissariaat (cf DGDE en FWB)</w:t>
      </w:r>
    </w:p>
    <w:p w:rsidR="00AC12B4" w:rsidRPr="00C27636" w:rsidRDefault="00AC12B4">
      <w:pPr>
        <w:spacing w:line="121" w:lineRule="exact"/>
        <w:rPr>
          <w:sz w:val="20"/>
          <w:szCs w:val="20"/>
          <w:lang w:val="nl-NL"/>
        </w:rPr>
      </w:pPr>
    </w:p>
    <w:p w:rsidR="00AC12B4" w:rsidRPr="00C27636" w:rsidRDefault="00C27636">
      <w:pPr>
        <w:ind w:left="560"/>
        <w:rPr>
          <w:sz w:val="20"/>
          <w:szCs w:val="20"/>
          <w:lang w:val="fr-BE"/>
        </w:rPr>
      </w:pPr>
      <w:r w:rsidRPr="00C27636">
        <w:rPr>
          <w:rFonts w:ascii="Calibri" w:eastAsia="Calibri" w:hAnsi="Calibri" w:cs="Calibri"/>
          <w:sz w:val="20"/>
          <w:szCs w:val="20"/>
          <w:lang w:val="fr-BE"/>
        </w:rPr>
        <w:t>MENA : Mineur étranger non-accompagné</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MINTEH: Bureau Mineurs, OE</w:t>
      </w:r>
    </w:p>
    <w:p w:rsidR="00AC12B4" w:rsidRPr="00C27636" w:rsidRDefault="00AC12B4">
      <w:pPr>
        <w:spacing w:line="167" w:lineRule="exact"/>
        <w:rPr>
          <w:sz w:val="20"/>
          <w:szCs w:val="20"/>
          <w:lang w:val="fr-BE"/>
        </w:rPr>
      </w:pPr>
    </w:p>
    <w:p w:rsidR="00AC12B4" w:rsidRDefault="00C27636">
      <w:pPr>
        <w:spacing w:line="217" w:lineRule="auto"/>
        <w:ind w:left="560" w:right="177"/>
        <w:rPr>
          <w:sz w:val="20"/>
          <w:szCs w:val="20"/>
        </w:rPr>
      </w:pPr>
      <w:r>
        <w:rPr>
          <w:rFonts w:ascii="Calibri" w:eastAsia="Calibri" w:hAnsi="Calibri" w:cs="Calibri"/>
          <w:sz w:val="20"/>
          <w:szCs w:val="20"/>
        </w:rPr>
        <w:t>MPHASIS : Mutual Progress on Homelessness through Advancing and Strengthening Information Systems</w:t>
      </w:r>
    </w:p>
    <w:p w:rsidR="00AC12B4" w:rsidRDefault="00AC12B4">
      <w:pPr>
        <w:spacing w:line="119" w:lineRule="exact"/>
        <w:rPr>
          <w:sz w:val="20"/>
          <w:szCs w:val="20"/>
        </w:rPr>
      </w:pPr>
    </w:p>
    <w:p w:rsidR="00AC12B4" w:rsidRPr="00C27636" w:rsidRDefault="00C27636">
      <w:pPr>
        <w:ind w:left="560"/>
        <w:rPr>
          <w:sz w:val="20"/>
          <w:szCs w:val="20"/>
          <w:lang w:val="fr-BE"/>
        </w:rPr>
      </w:pPr>
      <w:r w:rsidRPr="00C27636">
        <w:rPr>
          <w:rFonts w:ascii="Calibri" w:eastAsia="Calibri" w:hAnsi="Calibri" w:cs="Calibri"/>
          <w:sz w:val="20"/>
          <w:szCs w:val="20"/>
          <w:lang w:val="fr-BE"/>
        </w:rPr>
        <w:t>OBFG: Ordre des barrea</w:t>
      </w:r>
      <w:r w:rsidRPr="00C27636">
        <w:rPr>
          <w:rFonts w:ascii="Calibri" w:eastAsia="Calibri" w:hAnsi="Calibri" w:cs="Calibri"/>
          <w:sz w:val="20"/>
          <w:szCs w:val="20"/>
          <w:lang w:val="fr-BE"/>
        </w:rPr>
        <w:t>ux francophones et germanophone de Belgique</w:t>
      </w:r>
    </w:p>
    <w:p w:rsidR="00AC12B4" w:rsidRPr="00C27636" w:rsidRDefault="00AC12B4">
      <w:pPr>
        <w:spacing w:line="121" w:lineRule="exact"/>
        <w:rPr>
          <w:sz w:val="20"/>
          <w:szCs w:val="20"/>
          <w:lang w:val="fr-BE"/>
        </w:rPr>
      </w:pPr>
    </w:p>
    <w:p w:rsidR="00AC12B4" w:rsidRPr="00C27636" w:rsidRDefault="00C27636">
      <w:pPr>
        <w:ind w:left="560"/>
        <w:rPr>
          <w:sz w:val="20"/>
          <w:szCs w:val="20"/>
          <w:lang w:val="nl-NL"/>
        </w:rPr>
      </w:pPr>
      <w:r w:rsidRPr="00C27636">
        <w:rPr>
          <w:rFonts w:ascii="Calibri" w:eastAsia="Calibri" w:hAnsi="Calibri" w:cs="Calibri"/>
          <w:sz w:val="20"/>
          <w:szCs w:val="20"/>
          <w:lang w:val="nl-NL"/>
        </w:rPr>
        <w:t>OBPWO: Onderwijskundig beleids- en praktijkgericht wetenschappelijk onderzoek</w:t>
      </w:r>
    </w:p>
    <w:p w:rsidR="00AC12B4" w:rsidRPr="00C27636" w:rsidRDefault="00AC12B4">
      <w:pPr>
        <w:spacing w:line="121" w:lineRule="exact"/>
        <w:rPr>
          <w:sz w:val="20"/>
          <w:szCs w:val="20"/>
          <w:lang w:val="nl-NL"/>
        </w:rPr>
      </w:pPr>
    </w:p>
    <w:p w:rsidR="00AC12B4" w:rsidRPr="00C27636" w:rsidRDefault="00C27636">
      <w:pPr>
        <w:ind w:left="560"/>
        <w:rPr>
          <w:sz w:val="20"/>
          <w:szCs w:val="20"/>
          <w:lang w:val="fr-BE"/>
        </w:rPr>
      </w:pPr>
      <w:r w:rsidRPr="00C27636">
        <w:rPr>
          <w:rFonts w:ascii="Calibri" w:eastAsia="Calibri" w:hAnsi="Calibri" w:cs="Calibri"/>
          <w:sz w:val="20"/>
          <w:szCs w:val="20"/>
          <w:lang w:val="fr-BE"/>
        </w:rPr>
        <w:t>OCDE: Organisation de coopération et de développement économiques</w:t>
      </w:r>
    </w:p>
    <w:p w:rsidR="00AC12B4" w:rsidRPr="00C27636" w:rsidRDefault="00AC12B4">
      <w:pPr>
        <w:spacing w:line="121" w:lineRule="exact"/>
        <w:rPr>
          <w:sz w:val="20"/>
          <w:szCs w:val="20"/>
          <w:lang w:val="fr-BE"/>
        </w:rPr>
      </w:pPr>
    </w:p>
    <w:p w:rsidR="00AC12B4" w:rsidRPr="00C27636" w:rsidRDefault="00C27636">
      <w:pPr>
        <w:ind w:left="560"/>
        <w:rPr>
          <w:sz w:val="20"/>
          <w:szCs w:val="20"/>
          <w:lang w:val="nl-NL"/>
        </w:rPr>
      </w:pPr>
      <w:r w:rsidRPr="00C27636">
        <w:rPr>
          <w:rFonts w:ascii="Calibri" w:eastAsia="Calibri" w:hAnsi="Calibri" w:cs="Calibri"/>
          <w:sz w:val="20"/>
          <w:szCs w:val="20"/>
          <w:lang w:val="nl-NL"/>
        </w:rPr>
        <w:t>OCJ: Ondersteuningscentrum Jeugdzorg (Communauté flamande)</w:t>
      </w:r>
    </w:p>
    <w:p w:rsidR="00AC12B4" w:rsidRPr="00C27636" w:rsidRDefault="00AC12B4">
      <w:pPr>
        <w:spacing w:line="118" w:lineRule="exact"/>
        <w:rPr>
          <w:sz w:val="20"/>
          <w:szCs w:val="20"/>
          <w:lang w:val="nl-NL"/>
        </w:rPr>
      </w:pPr>
    </w:p>
    <w:p w:rsidR="00AC12B4" w:rsidRPr="00C27636" w:rsidRDefault="00C27636">
      <w:pPr>
        <w:ind w:left="560"/>
        <w:rPr>
          <w:sz w:val="20"/>
          <w:szCs w:val="20"/>
          <w:lang w:val="fr-BE"/>
        </w:rPr>
      </w:pPr>
      <w:r w:rsidRPr="00C27636">
        <w:rPr>
          <w:rFonts w:ascii="Calibri" w:eastAsia="Calibri" w:hAnsi="Calibri" w:cs="Calibri"/>
          <w:sz w:val="20"/>
          <w:szCs w:val="20"/>
          <w:lang w:val="fr-BE"/>
        </w:rPr>
        <w:t xml:space="preserve">OE : </w:t>
      </w:r>
      <w:r w:rsidRPr="00C27636">
        <w:rPr>
          <w:rFonts w:ascii="Calibri" w:eastAsia="Calibri" w:hAnsi="Calibri" w:cs="Calibri"/>
          <w:sz w:val="20"/>
          <w:szCs w:val="20"/>
          <w:lang w:val="fr-BE"/>
        </w:rPr>
        <w:t>Office des Etrangers</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OEJAJ : Observatoire de l’enfance, de la jeunesse et de l’aide à la jeunesse (FWB)</w:t>
      </w:r>
    </w:p>
    <w:p w:rsidR="00AC12B4" w:rsidRPr="00C27636" w:rsidRDefault="00AC12B4">
      <w:pPr>
        <w:spacing w:line="121" w:lineRule="exact"/>
        <w:rPr>
          <w:sz w:val="20"/>
          <w:szCs w:val="20"/>
          <w:lang w:val="fr-BE"/>
        </w:rPr>
      </w:pPr>
    </w:p>
    <w:p w:rsidR="00AC12B4" w:rsidRPr="00C27636" w:rsidRDefault="00C27636">
      <w:pPr>
        <w:ind w:left="560"/>
        <w:rPr>
          <w:sz w:val="20"/>
          <w:szCs w:val="20"/>
          <w:lang w:val="nl-NL"/>
        </w:rPr>
      </w:pPr>
      <w:r w:rsidRPr="00C27636">
        <w:rPr>
          <w:rFonts w:ascii="Calibri" w:eastAsia="Calibri" w:hAnsi="Calibri" w:cs="Calibri"/>
          <w:sz w:val="20"/>
          <w:szCs w:val="20"/>
          <w:lang w:val="nl-NL"/>
        </w:rPr>
        <w:t>OKAN: Onthaalonderwijs voor anderstalige kinderen (Communauté flamande)</w:t>
      </w:r>
    </w:p>
    <w:p w:rsidR="00AC12B4" w:rsidRPr="00C27636" w:rsidRDefault="00AC12B4">
      <w:pPr>
        <w:spacing w:line="121" w:lineRule="exact"/>
        <w:rPr>
          <w:sz w:val="20"/>
          <w:szCs w:val="20"/>
          <w:lang w:val="nl-NL"/>
        </w:rPr>
      </w:pPr>
    </w:p>
    <w:p w:rsidR="00AC12B4" w:rsidRPr="00C27636" w:rsidRDefault="00C27636">
      <w:pPr>
        <w:ind w:left="560"/>
        <w:rPr>
          <w:sz w:val="20"/>
          <w:szCs w:val="20"/>
          <w:lang w:val="fr-BE"/>
        </w:rPr>
      </w:pPr>
      <w:r w:rsidRPr="00C27636">
        <w:rPr>
          <w:rFonts w:ascii="Calibri" w:eastAsia="Calibri" w:hAnsi="Calibri" w:cs="Calibri"/>
          <w:sz w:val="20"/>
          <w:szCs w:val="20"/>
          <w:lang w:val="fr-BE"/>
        </w:rPr>
        <w:t>OMNIO: Intervention majorée dans le coût des soins de santé</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OMS: Organisatio</w:t>
      </w:r>
      <w:r w:rsidRPr="00C27636">
        <w:rPr>
          <w:rFonts w:ascii="Calibri" w:eastAsia="Calibri" w:hAnsi="Calibri" w:cs="Calibri"/>
          <w:sz w:val="20"/>
          <w:szCs w:val="20"/>
          <w:lang w:val="fr-BE"/>
        </w:rPr>
        <w:t>n mondiale de la Santé</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ONE: Office de la Naissance et de l'Enfance (FWB)</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OQT : Ordre de quitter le territoire</w:t>
      </w:r>
    </w:p>
    <w:p w:rsidR="00AC12B4" w:rsidRPr="00C27636" w:rsidRDefault="00AC12B4">
      <w:pPr>
        <w:spacing w:line="118" w:lineRule="exact"/>
        <w:rPr>
          <w:sz w:val="20"/>
          <w:szCs w:val="20"/>
          <w:lang w:val="fr-BE"/>
        </w:rPr>
      </w:pPr>
    </w:p>
    <w:p w:rsidR="00AC12B4" w:rsidRPr="00C27636" w:rsidRDefault="00C27636">
      <w:pPr>
        <w:ind w:left="560"/>
        <w:rPr>
          <w:sz w:val="20"/>
          <w:szCs w:val="20"/>
          <w:lang w:val="nl-NL"/>
        </w:rPr>
      </w:pPr>
      <w:r w:rsidRPr="00C27636">
        <w:rPr>
          <w:rFonts w:ascii="Calibri" w:eastAsia="Calibri" w:hAnsi="Calibri" w:cs="Calibri"/>
          <w:sz w:val="20"/>
          <w:szCs w:val="20"/>
          <w:lang w:val="nl-NL"/>
        </w:rPr>
        <w:t>OVB : Orde van de Vlaamse Balies</w:t>
      </w:r>
    </w:p>
    <w:p w:rsidR="00AC12B4" w:rsidRPr="00C27636" w:rsidRDefault="00AC12B4">
      <w:pPr>
        <w:spacing w:line="121" w:lineRule="exact"/>
        <w:rPr>
          <w:sz w:val="20"/>
          <w:szCs w:val="20"/>
          <w:lang w:val="nl-NL"/>
        </w:rPr>
      </w:pPr>
    </w:p>
    <w:p w:rsidR="00AC12B4" w:rsidRPr="00C27636" w:rsidRDefault="00C27636">
      <w:pPr>
        <w:ind w:left="560"/>
        <w:rPr>
          <w:sz w:val="20"/>
          <w:szCs w:val="20"/>
          <w:lang w:val="fr-BE"/>
        </w:rPr>
      </w:pPr>
      <w:r w:rsidRPr="00C27636">
        <w:rPr>
          <w:rFonts w:ascii="Calibri" w:eastAsia="Calibri" w:hAnsi="Calibri" w:cs="Calibri"/>
          <w:sz w:val="20"/>
          <w:szCs w:val="20"/>
          <w:lang w:val="fr-BE"/>
        </w:rPr>
        <w:t>PISA: Programme for International Student Assessment</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PLOT : Provincie Limburg Opleiding en Training</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PROVAC:</w:t>
      </w:r>
      <w:r w:rsidRPr="00C27636">
        <w:rPr>
          <w:rFonts w:ascii="Calibri" w:eastAsia="Calibri" w:hAnsi="Calibri" w:cs="Calibri"/>
          <w:sz w:val="20"/>
          <w:szCs w:val="20"/>
          <w:lang w:val="fr-BE"/>
        </w:rPr>
        <w:t xml:space="preserve"> Enquête de couverture vaccinale des enfants (FWB)</w:t>
      </w:r>
    </w:p>
    <w:p w:rsidR="00AC12B4" w:rsidRPr="00C27636" w:rsidRDefault="00AC12B4">
      <w:pPr>
        <w:spacing w:line="119" w:lineRule="exact"/>
        <w:rPr>
          <w:sz w:val="20"/>
          <w:szCs w:val="20"/>
          <w:lang w:val="fr-BE"/>
        </w:rPr>
      </w:pPr>
    </w:p>
    <w:p w:rsidR="00AC12B4" w:rsidRDefault="00C27636">
      <w:pPr>
        <w:ind w:left="560"/>
        <w:rPr>
          <w:sz w:val="20"/>
          <w:szCs w:val="20"/>
        </w:rPr>
      </w:pPr>
      <w:r>
        <w:rPr>
          <w:rFonts w:ascii="Calibri" w:eastAsia="Calibri" w:hAnsi="Calibri" w:cs="Calibri"/>
          <w:sz w:val="20"/>
          <w:szCs w:val="20"/>
        </w:rPr>
        <w:t>Q4C: Quality for children</w:t>
      </w:r>
    </w:p>
    <w:p w:rsidR="00AC12B4" w:rsidRDefault="00AC12B4">
      <w:pPr>
        <w:spacing w:line="121" w:lineRule="exact"/>
        <w:rPr>
          <w:sz w:val="20"/>
          <w:szCs w:val="20"/>
        </w:rPr>
      </w:pPr>
    </w:p>
    <w:p w:rsidR="00AC12B4" w:rsidRDefault="00C27636">
      <w:pPr>
        <w:ind w:left="560"/>
        <w:rPr>
          <w:sz w:val="20"/>
          <w:szCs w:val="20"/>
        </w:rPr>
      </w:pPr>
      <w:r>
        <w:rPr>
          <w:rFonts w:ascii="Calibri" w:eastAsia="Calibri" w:hAnsi="Calibri" w:cs="Calibri"/>
          <w:sz w:val="20"/>
          <w:szCs w:val="20"/>
        </w:rPr>
        <w:t>RN : Registre National</w:t>
      </w:r>
    </w:p>
    <w:p w:rsidR="00AC12B4" w:rsidRDefault="00AC12B4">
      <w:pPr>
        <w:spacing w:line="121" w:lineRule="exact"/>
        <w:rPr>
          <w:sz w:val="20"/>
          <w:szCs w:val="20"/>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SAAE : Service d’accueil et d’aide éducative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SAC : sanction administrative communale</w:t>
      </w:r>
    </w:p>
    <w:p w:rsidR="00AC12B4" w:rsidRPr="00C27636" w:rsidRDefault="00AC12B4">
      <w:pPr>
        <w:spacing w:line="23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SASPE : Service d’Accueil Spécialisé de la Petite Enfance</w:t>
      </w:r>
    </w:p>
    <w:p w:rsidR="00AC12B4" w:rsidRPr="00C27636" w:rsidRDefault="00AC12B4">
      <w:pPr>
        <w:spacing w:line="121" w:lineRule="exact"/>
        <w:rPr>
          <w:sz w:val="20"/>
          <w:szCs w:val="20"/>
          <w:lang w:val="fr-BE"/>
        </w:rPr>
      </w:pPr>
    </w:p>
    <w:p w:rsidR="00AC12B4" w:rsidRPr="00C27636" w:rsidRDefault="00C27636">
      <w:pPr>
        <w:ind w:left="560"/>
        <w:rPr>
          <w:sz w:val="20"/>
          <w:szCs w:val="20"/>
          <w:lang w:val="nl-NL"/>
        </w:rPr>
      </w:pPr>
      <w:r w:rsidRPr="00C27636">
        <w:rPr>
          <w:rFonts w:ascii="Calibri" w:eastAsia="Calibri" w:hAnsi="Calibri" w:cs="Calibri"/>
          <w:sz w:val="20"/>
          <w:szCs w:val="20"/>
          <w:lang w:val="nl-NL"/>
        </w:rPr>
        <w:t xml:space="preserve">SCV: </w:t>
      </w:r>
      <w:r w:rsidRPr="00C27636">
        <w:rPr>
          <w:rFonts w:ascii="Calibri" w:eastAsia="Calibri" w:hAnsi="Calibri" w:cs="Calibri"/>
          <w:sz w:val="20"/>
          <w:szCs w:val="20"/>
          <w:lang w:val="nl-NL"/>
        </w:rPr>
        <w:t>Sociaal-culturele verschuivingen in Vlaanderen</w:t>
      </w:r>
    </w:p>
    <w:p w:rsidR="00AC12B4" w:rsidRPr="00C27636" w:rsidRDefault="00AC12B4">
      <w:pPr>
        <w:spacing w:line="121" w:lineRule="exact"/>
        <w:rPr>
          <w:sz w:val="20"/>
          <w:szCs w:val="20"/>
          <w:lang w:val="nl-NL"/>
        </w:rPr>
      </w:pPr>
    </w:p>
    <w:p w:rsidR="00AC12B4" w:rsidRPr="00C27636" w:rsidRDefault="00C27636">
      <w:pPr>
        <w:ind w:left="560"/>
        <w:rPr>
          <w:sz w:val="20"/>
          <w:szCs w:val="20"/>
          <w:lang w:val="nl-NL"/>
        </w:rPr>
      </w:pPr>
      <w:r w:rsidRPr="00C27636">
        <w:rPr>
          <w:rFonts w:ascii="Calibri" w:eastAsia="Calibri" w:hAnsi="Calibri" w:cs="Calibri"/>
          <w:sz w:val="20"/>
          <w:szCs w:val="20"/>
          <w:lang w:val="nl-NL"/>
        </w:rPr>
        <w:lastRenderedPageBreak/>
        <w:t>SDJ: Sociale dienst gerechtelijke jeugdhulp (Communauté flamande cf. SPJ en FWB)</w:t>
      </w:r>
    </w:p>
    <w:p w:rsidR="00AC12B4" w:rsidRPr="00C27636" w:rsidRDefault="00AC12B4">
      <w:pPr>
        <w:spacing w:line="118" w:lineRule="exact"/>
        <w:rPr>
          <w:sz w:val="20"/>
          <w:szCs w:val="20"/>
          <w:lang w:val="nl-NL"/>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SECAL : Service des créances alimentaires</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SERV: Sociaal-Economische Raad van Vlaanderen</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SHM : Société de logement social</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SIPES: Service d’Information Promotion Éducation Santé (FWB)</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SLRB: Société du logement de la Région de Bruxelles-capitale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SPF : Service de placement familial (FWB)</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SPJ : Service de protection judiciaire (FWB)</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SPP : service public de programmation</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 xml:space="preserve">TEH </w:t>
      </w:r>
      <w:r w:rsidRPr="00C27636">
        <w:rPr>
          <w:rFonts w:ascii="Calibri" w:eastAsia="Calibri" w:hAnsi="Calibri" w:cs="Calibri"/>
          <w:sz w:val="20"/>
          <w:szCs w:val="20"/>
          <w:lang w:val="fr-BE"/>
        </w:rPr>
        <w:t>: Traite des êtres humains</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TSA : Troubles du spectre de l’autisme</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UA : Universiteit Antwerpen</w:t>
      </w:r>
    </w:p>
    <w:p w:rsidR="00AC12B4" w:rsidRPr="00C27636" w:rsidRDefault="00AC12B4">
      <w:pPr>
        <w:spacing w:line="364"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9</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4" w:lineRule="exact"/>
        <w:rPr>
          <w:sz w:val="20"/>
          <w:szCs w:val="20"/>
          <w:lang w:val="fr-BE"/>
        </w:rPr>
      </w:pPr>
      <w:bookmarkStart w:id="9" w:name="page10"/>
      <w:bookmarkEnd w:id="9"/>
    </w:p>
    <w:p w:rsidR="00AC12B4" w:rsidRPr="00C27636" w:rsidRDefault="00C27636">
      <w:pPr>
        <w:rPr>
          <w:sz w:val="20"/>
          <w:szCs w:val="20"/>
          <w:lang w:val="fr-BE"/>
        </w:rPr>
      </w:pPr>
      <w:r w:rsidRPr="00C27636">
        <w:rPr>
          <w:rFonts w:ascii="Calibri" w:eastAsia="Calibri" w:hAnsi="Calibri" w:cs="Calibri"/>
          <w:sz w:val="20"/>
          <w:szCs w:val="20"/>
          <w:lang w:val="fr-BE"/>
        </w:rPr>
        <w:t>UVCW : Union des Villes et des Communes de Wallonie</w:t>
      </w:r>
    </w:p>
    <w:p w:rsidR="00AC12B4" w:rsidRPr="00C27636" w:rsidRDefault="00AC12B4">
      <w:pPr>
        <w:spacing w:line="121" w:lineRule="exact"/>
        <w:rPr>
          <w:sz w:val="20"/>
          <w:szCs w:val="20"/>
          <w:lang w:val="fr-BE"/>
        </w:rPr>
      </w:pPr>
    </w:p>
    <w:p w:rsidR="00AC12B4" w:rsidRPr="00C27636" w:rsidRDefault="00C27636">
      <w:pPr>
        <w:rPr>
          <w:sz w:val="20"/>
          <w:szCs w:val="20"/>
          <w:lang w:val="nl-NL"/>
        </w:rPr>
      </w:pPr>
      <w:r w:rsidRPr="00C27636">
        <w:rPr>
          <w:rFonts w:ascii="Calibri" w:eastAsia="Calibri" w:hAnsi="Calibri" w:cs="Calibri"/>
          <w:sz w:val="20"/>
          <w:szCs w:val="20"/>
          <w:lang w:val="nl-NL"/>
        </w:rPr>
        <w:t>VAPH : Vlaams Agentschap voor Personen met een Handicap (cf. AWIPH en FWB)</w:t>
      </w:r>
    </w:p>
    <w:p w:rsidR="00AC12B4" w:rsidRPr="00C27636" w:rsidRDefault="00AC12B4">
      <w:pPr>
        <w:spacing w:line="118"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VCOV: Vlaam</w:t>
      </w:r>
      <w:r w:rsidRPr="00C27636">
        <w:rPr>
          <w:rFonts w:ascii="Calibri" w:eastAsia="Calibri" w:hAnsi="Calibri" w:cs="Calibri"/>
          <w:sz w:val="20"/>
          <w:szCs w:val="20"/>
          <w:lang w:val="nl-NL"/>
        </w:rPr>
        <w:t>se Koepel van Ouderverenigingen</w:t>
      </w:r>
    </w:p>
    <w:p w:rsidR="00AC12B4" w:rsidRPr="00C27636" w:rsidRDefault="00AC12B4">
      <w:pPr>
        <w:spacing w:line="167" w:lineRule="exact"/>
        <w:rPr>
          <w:sz w:val="20"/>
          <w:szCs w:val="20"/>
          <w:lang w:val="nl-NL"/>
        </w:rPr>
      </w:pPr>
    </w:p>
    <w:p w:rsidR="00AC12B4" w:rsidRPr="00C27636" w:rsidRDefault="00C27636">
      <w:pPr>
        <w:spacing w:line="217" w:lineRule="auto"/>
        <w:ind w:right="737"/>
        <w:rPr>
          <w:sz w:val="20"/>
          <w:szCs w:val="20"/>
          <w:lang w:val="nl-NL"/>
        </w:rPr>
      </w:pPr>
      <w:r w:rsidRPr="00C27636">
        <w:rPr>
          <w:rFonts w:ascii="Calibri" w:eastAsia="Calibri" w:hAnsi="Calibri" w:cs="Calibri"/>
          <w:sz w:val="20"/>
          <w:szCs w:val="20"/>
          <w:lang w:val="nl-NL"/>
        </w:rPr>
        <w:t>VK: Vertrouwenscentrum Kindermishandeling (centre de confiance en cas de maltraitance - Communauté flamande)</w:t>
      </w:r>
    </w:p>
    <w:p w:rsidR="00AC12B4" w:rsidRPr="00C27636" w:rsidRDefault="00AC12B4">
      <w:pPr>
        <w:spacing w:line="119"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VMSW : Vlaamse Maatschappij voor Sociaal Wonen</w:t>
      </w:r>
    </w:p>
    <w:p w:rsidR="00AC12B4" w:rsidRPr="00C27636" w:rsidRDefault="00AC12B4">
      <w:pPr>
        <w:spacing w:line="121"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VVSG: Vlaamse Vereniging van Steden en Gemeenten</w:t>
      </w:r>
    </w:p>
    <w:p w:rsidR="00AC12B4" w:rsidRPr="00C27636" w:rsidRDefault="00AC12B4">
      <w:pPr>
        <w:spacing w:line="121"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 xml:space="preserve">WHP: Wellness </w:t>
      </w:r>
      <w:r w:rsidRPr="00C27636">
        <w:rPr>
          <w:rFonts w:ascii="Calibri" w:eastAsia="Calibri" w:hAnsi="Calibri" w:cs="Calibri"/>
          <w:sz w:val="20"/>
          <w:szCs w:val="20"/>
          <w:lang w:val="nl-NL"/>
        </w:rPr>
        <w:t>Health Promotion</w:t>
      </w:r>
    </w:p>
    <w:p w:rsidR="00AC12B4" w:rsidRPr="00C27636" w:rsidRDefault="00AC12B4">
      <w:pPr>
        <w:spacing w:line="121" w:lineRule="exact"/>
        <w:rPr>
          <w:sz w:val="20"/>
          <w:szCs w:val="20"/>
          <w:lang w:val="nl-NL"/>
        </w:rPr>
      </w:pPr>
    </w:p>
    <w:p w:rsidR="00AC12B4" w:rsidRPr="00C27636" w:rsidRDefault="00C27636">
      <w:pPr>
        <w:rPr>
          <w:sz w:val="20"/>
          <w:szCs w:val="20"/>
          <w:lang w:val="nl-NL"/>
        </w:rPr>
      </w:pPr>
      <w:r w:rsidRPr="00C27636">
        <w:rPr>
          <w:rFonts w:ascii="Calibri" w:eastAsia="Calibri" w:hAnsi="Calibri" w:cs="Calibri"/>
          <w:sz w:val="20"/>
          <w:szCs w:val="20"/>
          <w:lang w:val="nl-NL"/>
        </w:rPr>
        <w:t>WIV-ISP: Wetenschappelijk Instituut Volksgezondheid/Institut Scientifique de Santé Publique</w:t>
      </w:r>
    </w:p>
    <w:p w:rsidR="00AC12B4" w:rsidRPr="00C27636" w:rsidRDefault="00AC12B4">
      <w:pPr>
        <w:spacing w:line="165" w:lineRule="exact"/>
        <w:rPr>
          <w:sz w:val="20"/>
          <w:szCs w:val="20"/>
          <w:lang w:val="nl-NL"/>
        </w:rPr>
      </w:pPr>
    </w:p>
    <w:p w:rsidR="00AC12B4" w:rsidRPr="00C27636" w:rsidRDefault="00C27636">
      <w:pPr>
        <w:spacing w:line="217" w:lineRule="auto"/>
        <w:ind w:right="737"/>
        <w:rPr>
          <w:sz w:val="20"/>
          <w:szCs w:val="20"/>
          <w:lang w:val="fr-BE"/>
        </w:rPr>
      </w:pPr>
      <w:r w:rsidRPr="00C27636">
        <w:rPr>
          <w:rFonts w:ascii="Calibri" w:eastAsia="Calibri" w:hAnsi="Calibri" w:cs="Calibri"/>
          <w:sz w:val="20"/>
          <w:szCs w:val="20"/>
          <w:lang w:val="fr-BE"/>
        </w:rPr>
        <w:t>WVG: Departement Welzijn, Volksgezondheid en Gezin (Communauté flamande – départements aide à la jeunesse, famille et santé)</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9" w:lineRule="exact"/>
        <w:rPr>
          <w:sz w:val="20"/>
          <w:szCs w:val="20"/>
          <w:lang w:val="fr-BE"/>
        </w:rPr>
      </w:pPr>
    </w:p>
    <w:p w:rsidR="00AC12B4" w:rsidRPr="00C27636" w:rsidRDefault="00C27636">
      <w:pPr>
        <w:ind w:left="4120"/>
        <w:rPr>
          <w:sz w:val="20"/>
          <w:szCs w:val="20"/>
          <w:lang w:val="fr-BE"/>
        </w:rPr>
      </w:pPr>
      <w:r w:rsidRPr="00C27636">
        <w:rPr>
          <w:rFonts w:ascii="Calibri" w:eastAsia="Calibri" w:hAnsi="Calibri" w:cs="Calibri"/>
          <w:lang w:val="fr-BE"/>
        </w:rPr>
        <w:t>10</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bookmarkStart w:id="10" w:name="page11"/>
    <w:bookmarkEnd w:id="10"/>
    <w:p w:rsidR="00AC12B4" w:rsidRPr="00C27636" w:rsidRDefault="00C27636">
      <w:pPr>
        <w:ind w:left="2540"/>
        <w:rPr>
          <w:sz w:val="20"/>
          <w:szCs w:val="20"/>
          <w:lang w:val="fr-BE"/>
        </w:rPr>
      </w:pPr>
      <w:r>
        <w:rPr>
          <w:rFonts w:ascii="Calibri" w:eastAsia="Calibri" w:hAnsi="Calibri" w:cs="Calibri"/>
          <w:noProof/>
          <w:color w:val="FFFFFF"/>
          <w:sz w:val="96"/>
          <w:szCs w:val="96"/>
        </w:rPr>
        <w:lastRenderedPageBreak/>
        <mc:AlternateContent>
          <mc:Choice Requires="wps">
            <w:drawing>
              <wp:anchor distT="0" distB="0" distL="114300" distR="114300" simplePos="0" relativeHeight="251354624" behindDoc="1" locked="0" layoutInCell="0" allowOverlap="1">
                <wp:simplePos x="0" y="0"/>
                <wp:positionH relativeFrom="page">
                  <wp:posOffset>0</wp:posOffset>
                </wp:positionH>
                <wp:positionV relativeFrom="page">
                  <wp:posOffset>3810</wp:posOffset>
                </wp:positionV>
                <wp:extent cx="7667625" cy="114808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6" o:spid="_x0000_s1031" style="position:absolute;margin-left:0pt;margin-top:0.3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6"/>
          <w:szCs w:val="96"/>
          <w:lang w:val="fr-BE"/>
        </w:rPr>
        <w:t>Avant-propos</w:t>
      </w:r>
    </w:p>
    <w:p w:rsidR="00AC12B4" w:rsidRPr="00C27636" w:rsidRDefault="00AC12B4">
      <w:pPr>
        <w:rPr>
          <w:lang w:val="fr-BE"/>
        </w:rPr>
        <w:sectPr w:rsidR="00AC12B4" w:rsidRPr="00C27636">
          <w:pgSz w:w="12080" w:h="17179"/>
          <w:pgMar w:top="599" w:right="1440" w:bottom="659" w:left="1440" w:header="0" w:footer="0" w:gutter="0"/>
          <w:cols w:space="720" w:equalWidth="0">
            <w:col w:w="919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7" w:lineRule="exact"/>
        <w:rPr>
          <w:sz w:val="20"/>
          <w:szCs w:val="20"/>
          <w:lang w:val="fr-BE"/>
        </w:rPr>
      </w:pPr>
    </w:p>
    <w:p w:rsidR="00AC12B4" w:rsidRPr="00C27636" w:rsidRDefault="00C27636">
      <w:pPr>
        <w:spacing w:line="224" w:lineRule="auto"/>
        <w:ind w:left="560" w:right="157"/>
        <w:jc w:val="both"/>
        <w:rPr>
          <w:sz w:val="20"/>
          <w:szCs w:val="20"/>
          <w:lang w:val="fr-BE"/>
        </w:rPr>
      </w:pPr>
      <w:r w:rsidRPr="00C27636">
        <w:rPr>
          <w:rFonts w:ascii="Calibri" w:eastAsia="Calibri" w:hAnsi="Calibri" w:cs="Calibri"/>
          <w:lang w:val="fr-BE"/>
        </w:rPr>
        <w:t xml:space="preserve">En 2010, le Comité des droits de l'enfant des Nations Unies a recommandé à la Belgique de créer dans le cadre de la Commission nationale pour les droits de l’enfant (CNDE) </w:t>
      </w:r>
      <w:r w:rsidRPr="00C27636">
        <w:rPr>
          <w:rFonts w:ascii="Calibri" w:eastAsia="Calibri" w:hAnsi="Calibri" w:cs="Calibri"/>
          <w:i/>
          <w:iCs/>
          <w:lang w:val="fr-BE"/>
        </w:rPr>
        <w:t>«</w:t>
      </w:r>
      <w:r w:rsidRPr="00C27636">
        <w:rPr>
          <w:rFonts w:ascii="Calibri" w:eastAsia="Calibri" w:hAnsi="Calibri" w:cs="Calibri"/>
          <w:lang w:val="fr-BE"/>
        </w:rPr>
        <w:t xml:space="preserve"> un système uniforme de collecte de données qui pourrait servir de base à l’établis</w:t>
      </w:r>
      <w:r w:rsidRPr="00C27636">
        <w:rPr>
          <w:rFonts w:ascii="Calibri" w:eastAsia="Calibri" w:hAnsi="Calibri" w:cs="Calibri"/>
          <w:lang w:val="fr-BE"/>
        </w:rPr>
        <w:t>sement d’études comparatives dans toutes les régions et communautés de l’État partie »</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AC12B4">
      <w:pPr>
        <w:spacing w:line="136" w:lineRule="exact"/>
        <w:rPr>
          <w:sz w:val="20"/>
          <w:szCs w:val="20"/>
          <w:lang w:val="fr-BE"/>
        </w:rPr>
      </w:pPr>
    </w:p>
    <w:p w:rsidR="00AC12B4" w:rsidRPr="00C27636" w:rsidRDefault="00C27636">
      <w:pPr>
        <w:spacing w:line="229" w:lineRule="auto"/>
        <w:ind w:left="560" w:right="157"/>
        <w:jc w:val="both"/>
        <w:rPr>
          <w:sz w:val="20"/>
          <w:szCs w:val="20"/>
          <w:lang w:val="fr-BE"/>
        </w:rPr>
      </w:pPr>
      <w:r w:rsidRPr="00C27636">
        <w:rPr>
          <w:rFonts w:ascii="Calibri" w:eastAsia="Calibri" w:hAnsi="Calibri" w:cs="Calibri"/>
          <w:lang w:val="fr-BE"/>
        </w:rPr>
        <w:t xml:space="preserve">Vu que la collecte de données relève de la compétence des instances compétentes au fond en la matière spécifique, le choix a été fait de créer des indicateurs </w:t>
      </w:r>
      <w:r w:rsidRPr="00C27636">
        <w:rPr>
          <w:rFonts w:ascii="Calibri" w:eastAsia="Calibri" w:hAnsi="Calibri" w:cs="Calibri"/>
          <w:lang w:val="fr-BE"/>
        </w:rPr>
        <w:t>nationaux des droits de l’enfant pour lesquels les mesures se font ou se feront d’une façon comparable à tous les niveaux de pouvoir.</w:t>
      </w:r>
    </w:p>
    <w:p w:rsidR="00AC12B4" w:rsidRPr="00C27636" w:rsidRDefault="00AC12B4">
      <w:pPr>
        <w:spacing w:line="131" w:lineRule="exact"/>
        <w:rPr>
          <w:sz w:val="20"/>
          <w:szCs w:val="20"/>
          <w:lang w:val="fr-BE"/>
        </w:rPr>
      </w:pPr>
    </w:p>
    <w:p w:rsidR="00AC12B4" w:rsidRPr="00C27636" w:rsidRDefault="00C27636">
      <w:pPr>
        <w:spacing w:line="224" w:lineRule="auto"/>
        <w:ind w:left="560" w:right="177"/>
        <w:jc w:val="both"/>
        <w:rPr>
          <w:sz w:val="20"/>
          <w:szCs w:val="20"/>
          <w:lang w:val="fr-BE"/>
        </w:rPr>
      </w:pPr>
      <w:r w:rsidRPr="00C27636">
        <w:rPr>
          <w:rFonts w:ascii="Calibri" w:eastAsia="Calibri" w:hAnsi="Calibri" w:cs="Calibri"/>
          <w:lang w:val="fr-BE"/>
        </w:rPr>
        <w:t>Pendant trois ans, une étude de la littérature a été effectuée</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xml:space="preserve">, une concertation a été menée et des données ont été </w:t>
      </w:r>
      <w:r w:rsidRPr="00C27636">
        <w:rPr>
          <w:rFonts w:ascii="Calibri" w:eastAsia="Calibri" w:hAnsi="Calibri" w:cs="Calibri"/>
          <w:lang w:val="fr-BE"/>
        </w:rPr>
        <w:t>analysées. Le résultat de ce travail pour lequel l'équipe de la CNDE a pu compter sur la collaboration de plus de 150 personnes peut être consulté dans la présente publication.</w:t>
      </w:r>
    </w:p>
    <w:p w:rsidR="00AC12B4" w:rsidRPr="00C27636" w:rsidRDefault="00AC12B4">
      <w:pPr>
        <w:spacing w:line="173" w:lineRule="exact"/>
        <w:rPr>
          <w:sz w:val="20"/>
          <w:szCs w:val="20"/>
          <w:lang w:val="fr-BE"/>
        </w:rPr>
      </w:pPr>
    </w:p>
    <w:p w:rsidR="00AC12B4" w:rsidRPr="00C27636" w:rsidRDefault="00C27636">
      <w:pPr>
        <w:spacing w:line="231" w:lineRule="auto"/>
        <w:ind w:left="560" w:right="157"/>
        <w:jc w:val="both"/>
        <w:rPr>
          <w:sz w:val="20"/>
          <w:szCs w:val="20"/>
          <w:lang w:val="fr-BE"/>
        </w:rPr>
      </w:pPr>
      <w:r w:rsidRPr="00C27636">
        <w:rPr>
          <w:rFonts w:ascii="Calibri" w:eastAsia="Calibri" w:hAnsi="Calibri" w:cs="Calibri"/>
          <w:lang w:val="fr-BE"/>
        </w:rPr>
        <w:t xml:space="preserve">Les indicateurs nationaux des droits de l’enfant ont pour objectif de fournir </w:t>
      </w:r>
      <w:r w:rsidRPr="00C27636">
        <w:rPr>
          <w:rFonts w:ascii="Calibri" w:eastAsia="Calibri" w:hAnsi="Calibri" w:cs="Calibri"/>
          <w:lang w:val="fr-BE"/>
        </w:rPr>
        <w:t>une meilleure vision de la mesure dans laquelle les droits de l'enfant sont ou non de mieux en mieux réalisés, du point de vue de l'enfant lui-même. Ce ne sont pas les politiques qui sont évaluées, mais l'évolution concrète de la situation des enfants. Les</w:t>
      </w:r>
      <w:r w:rsidRPr="00C27636">
        <w:rPr>
          <w:rFonts w:ascii="Calibri" w:eastAsia="Calibri" w:hAnsi="Calibri" w:cs="Calibri"/>
          <w:lang w:val="fr-BE"/>
        </w:rPr>
        <w:t xml:space="preserve"> données peuvent cependant inspirer les autorités à adapter les politiques là où cela s’avère nécessaire.</w:t>
      </w:r>
    </w:p>
    <w:p w:rsidR="00AC12B4" w:rsidRPr="00C27636" w:rsidRDefault="00AC12B4">
      <w:pPr>
        <w:spacing w:line="172" w:lineRule="exact"/>
        <w:rPr>
          <w:sz w:val="20"/>
          <w:szCs w:val="20"/>
          <w:lang w:val="fr-BE"/>
        </w:rPr>
      </w:pPr>
    </w:p>
    <w:p w:rsidR="00AC12B4" w:rsidRPr="00C27636" w:rsidRDefault="00C27636">
      <w:pPr>
        <w:spacing w:line="232" w:lineRule="auto"/>
        <w:ind w:left="560" w:right="177"/>
        <w:jc w:val="both"/>
        <w:rPr>
          <w:sz w:val="20"/>
          <w:szCs w:val="20"/>
          <w:lang w:val="fr-BE"/>
        </w:rPr>
      </w:pPr>
      <w:r w:rsidRPr="00C27636">
        <w:rPr>
          <w:rFonts w:ascii="Calibri" w:eastAsia="Calibri" w:hAnsi="Calibri" w:cs="Calibri"/>
          <w:lang w:val="fr-BE"/>
        </w:rPr>
        <w:t>La Convention relative aux droits de l'enfant et les recommandations du Comité des droits de l'enfant des Nations Unies qui en découlent ont servi de</w:t>
      </w:r>
      <w:r w:rsidRPr="00C27636">
        <w:rPr>
          <w:rFonts w:ascii="Calibri" w:eastAsia="Calibri" w:hAnsi="Calibri" w:cs="Calibri"/>
          <w:lang w:val="fr-BE"/>
        </w:rPr>
        <w:t xml:space="preserve"> point de départ pour une large concertation débouchant sur une sélection d'indicateurs pertinents. Il ne s’agit pas d’une sélection issue d’une recherche scientifique menée de longue haleine. Une démarche participative a été préférée. Celle-ci favorise l’</w:t>
      </w:r>
      <w:r w:rsidRPr="00C27636">
        <w:rPr>
          <w:rFonts w:ascii="Calibri" w:eastAsia="Calibri" w:hAnsi="Calibri" w:cs="Calibri"/>
          <w:lang w:val="fr-BE"/>
        </w:rPr>
        <w:t>appropriation des indicateurs par les acteurs (politiques, administrations, société civile) et se nourrit de leurs expériences.</w:t>
      </w:r>
    </w:p>
    <w:p w:rsidR="00AC12B4" w:rsidRPr="00C27636" w:rsidRDefault="00AC12B4">
      <w:pPr>
        <w:spacing w:line="173" w:lineRule="exact"/>
        <w:rPr>
          <w:sz w:val="20"/>
          <w:szCs w:val="20"/>
          <w:lang w:val="fr-BE"/>
        </w:rPr>
      </w:pPr>
    </w:p>
    <w:p w:rsidR="00AC12B4" w:rsidRPr="00C27636" w:rsidRDefault="00C27636">
      <w:pPr>
        <w:spacing w:line="225" w:lineRule="auto"/>
        <w:ind w:left="560" w:right="157"/>
        <w:jc w:val="both"/>
        <w:rPr>
          <w:sz w:val="20"/>
          <w:szCs w:val="20"/>
          <w:lang w:val="fr-BE"/>
        </w:rPr>
      </w:pPr>
      <w:r w:rsidRPr="00C27636">
        <w:rPr>
          <w:rFonts w:ascii="Calibri" w:eastAsia="Calibri" w:hAnsi="Calibri" w:cs="Calibri"/>
          <w:lang w:val="fr-BE"/>
        </w:rPr>
        <w:t>Cette sélection garde dès lors une certaine part de subjectivité (bien que des critères de sélection objectifs ont été utilisés</w:t>
      </w:r>
      <w:r w:rsidRPr="00C27636">
        <w:rPr>
          <w:rFonts w:ascii="Calibri" w:eastAsia="Calibri" w:hAnsi="Calibri" w:cs="Calibri"/>
          <w:lang w:val="fr-BE"/>
        </w:rPr>
        <w:t>). Mais chaque sélection d'indicateurs n’est–elle pas empreinte des objectifs poursuivis ?</w:t>
      </w:r>
    </w:p>
    <w:p w:rsidR="00AC12B4" w:rsidRPr="00C27636" w:rsidRDefault="00AC12B4">
      <w:pPr>
        <w:spacing w:line="171" w:lineRule="exact"/>
        <w:rPr>
          <w:sz w:val="20"/>
          <w:szCs w:val="20"/>
          <w:lang w:val="fr-BE"/>
        </w:rPr>
      </w:pPr>
    </w:p>
    <w:p w:rsidR="00AC12B4" w:rsidRPr="00C27636" w:rsidRDefault="00C27636">
      <w:pPr>
        <w:spacing w:line="234" w:lineRule="auto"/>
        <w:ind w:left="560" w:right="157"/>
        <w:jc w:val="both"/>
        <w:rPr>
          <w:sz w:val="20"/>
          <w:szCs w:val="20"/>
          <w:lang w:val="fr-BE"/>
        </w:rPr>
      </w:pPr>
      <w:r w:rsidRPr="00C27636">
        <w:rPr>
          <w:rFonts w:ascii="Calibri" w:eastAsia="Calibri" w:hAnsi="Calibri" w:cs="Calibri"/>
          <w:lang w:val="fr-BE"/>
        </w:rPr>
        <w:t xml:space="preserve">L’interprétation et la présentation des indicateurs requièrent une plus grande rigueur. Les instruments de mesure disponibles utilisés sont ceux atteignant le plus </w:t>
      </w:r>
      <w:r w:rsidRPr="00C27636">
        <w:rPr>
          <w:rFonts w:ascii="Calibri" w:eastAsia="Calibri" w:hAnsi="Calibri" w:cs="Calibri"/>
          <w:lang w:val="fr-BE"/>
        </w:rPr>
        <w:t>grand nombre de mineurs sur le territoire belge. Quand de telles sources n’existent pas, des alternatives et des recommandations sont présentées. Le manque d’informations quantitatives sur un sujet important étant une information à part entière, il est sys</w:t>
      </w:r>
      <w:r w:rsidRPr="00C27636">
        <w:rPr>
          <w:rFonts w:ascii="Calibri" w:eastAsia="Calibri" w:hAnsi="Calibri" w:cs="Calibri"/>
          <w:lang w:val="fr-BE"/>
        </w:rPr>
        <w:t>tématiquement mentionné dans les fiches. Ainsi, par exemple, tous les enfants doivent être pris en compte, quel que soit leur statut de séjour, leur origine, leur milieu socioéconomique, leurs éventuels handicaps, leur âge et leur sexe.</w:t>
      </w:r>
    </w:p>
    <w:p w:rsidR="00AC12B4" w:rsidRPr="00C27636" w:rsidRDefault="00AC12B4">
      <w:pPr>
        <w:spacing w:line="174"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Des pistes de réfl</w:t>
      </w:r>
      <w:r w:rsidRPr="00C27636">
        <w:rPr>
          <w:rFonts w:ascii="Calibri" w:eastAsia="Calibri" w:hAnsi="Calibri" w:cs="Calibri"/>
          <w:lang w:val="fr-BE"/>
        </w:rPr>
        <w:t>exion ainsi que des points d’attention pour une interprétation correcte des données présentées sont proposés aux lecteurs.</w:t>
      </w:r>
    </w:p>
    <w:p w:rsidR="00AC12B4" w:rsidRPr="00C27636" w:rsidRDefault="00AC12B4">
      <w:pPr>
        <w:spacing w:line="170" w:lineRule="exact"/>
        <w:rPr>
          <w:sz w:val="20"/>
          <w:szCs w:val="20"/>
          <w:lang w:val="fr-BE"/>
        </w:rPr>
      </w:pPr>
    </w:p>
    <w:p w:rsidR="00AC12B4" w:rsidRPr="00C27636" w:rsidRDefault="00C27636">
      <w:pPr>
        <w:spacing w:line="224" w:lineRule="auto"/>
        <w:ind w:left="560" w:right="157"/>
        <w:jc w:val="both"/>
        <w:rPr>
          <w:sz w:val="20"/>
          <w:szCs w:val="20"/>
          <w:lang w:val="fr-BE"/>
        </w:rPr>
      </w:pPr>
      <w:r w:rsidRPr="00C27636">
        <w:rPr>
          <w:rFonts w:ascii="Calibri" w:eastAsia="Calibri" w:hAnsi="Calibri" w:cs="Calibri"/>
          <w:lang w:val="fr-BE"/>
        </w:rPr>
        <w:t>Les indicateurs nationaux des droits de l’enfant sont répartis en sept groupes d'indicateurs donnant une indication sur la situation</w:t>
      </w:r>
      <w:r w:rsidRPr="00C27636">
        <w:rPr>
          <w:rFonts w:ascii="Calibri" w:eastAsia="Calibri" w:hAnsi="Calibri" w:cs="Calibri"/>
          <w:lang w:val="fr-BE"/>
        </w:rPr>
        <w:t xml:space="preserve"> des enfants sous l’angle de leur droit à la protection de leur santé, au bien-être, à l'enseignement, aux loisirs, à la protection de leur vie familiale ainsi</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55648" behindDoc="1" locked="0" layoutInCell="0" allowOverlap="1">
                <wp:simplePos x="0" y="0"/>
                <wp:positionH relativeFrom="column">
                  <wp:posOffset>359410</wp:posOffset>
                </wp:positionH>
                <wp:positionV relativeFrom="paragraph">
                  <wp:posOffset>153035</wp:posOffset>
                </wp:positionV>
                <wp:extent cx="1829435" cy="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2.05pt" to="172.35pt,12.05pt" o:allowincell="f" strokecolor="#000000" strokeweight="0.7199pt"/>
            </w:pict>
          </mc:Fallback>
        </mc:AlternateContent>
      </w:r>
    </w:p>
    <w:p w:rsidR="00AC12B4" w:rsidRPr="00C27636" w:rsidRDefault="00AC12B4">
      <w:pPr>
        <w:spacing w:line="372" w:lineRule="exact"/>
        <w:rPr>
          <w:sz w:val="20"/>
          <w:szCs w:val="20"/>
          <w:lang w:val="fr-BE"/>
        </w:rPr>
      </w:pPr>
    </w:p>
    <w:p w:rsidR="00AC12B4" w:rsidRDefault="00C27636">
      <w:pPr>
        <w:numPr>
          <w:ilvl w:val="0"/>
          <w:numId w:val="1"/>
        </w:numPr>
        <w:tabs>
          <w:tab w:val="left" w:pos="680"/>
        </w:tabs>
        <w:ind w:left="680" w:hanging="113"/>
        <w:rPr>
          <w:rFonts w:ascii="Calibri" w:eastAsia="Calibri" w:hAnsi="Calibri" w:cs="Calibri"/>
          <w:sz w:val="26"/>
          <w:szCs w:val="26"/>
          <w:vertAlign w:val="superscript"/>
        </w:rPr>
      </w:pPr>
      <w:r>
        <w:rPr>
          <w:rFonts w:ascii="Calibri" w:eastAsia="Calibri" w:hAnsi="Calibri" w:cs="Calibri"/>
          <w:sz w:val="20"/>
          <w:szCs w:val="20"/>
        </w:rPr>
        <w:t>Observations finales CRC/C/BEL/CO/3-4 par.22.</w:t>
      </w:r>
    </w:p>
    <w:p w:rsidR="00AC12B4" w:rsidRDefault="00AC12B4">
      <w:pPr>
        <w:spacing w:line="47" w:lineRule="exact"/>
        <w:rPr>
          <w:rFonts w:ascii="Calibri" w:eastAsia="Calibri" w:hAnsi="Calibri" w:cs="Calibri"/>
          <w:sz w:val="26"/>
          <w:szCs w:val="26"/>
          <w:vertAlign w:val="superscript"/>
        </w:rPr>
      </w:pPr>
    </w:p>
    <w:p w:rsidR="00AC12B4" w:rsidRPr="00C27636" w:rsidRDefault="00C27636">
      <w:pPr>
        <w:numPr>
          <w:ilvl w:val="0"/>
          <w:numId w:val="1"/>
        </w:numPr>
        <w:tabs>
          <w:tab w:val="left" w:pos="680"/>
        </w:tabs>
        <w:ind w:left="680" w:hanging="113"/>
        <w:rPr>
          <w:rFonts w:ascii="Calibri" w:eastAsia="Calibri" w:hAnsi="Calibri" w:cs="Calibri"/>
          <w:sz w:val="20"/>
          <w:szCs w:val="20"/>
          <w:lang w:val="fr-BE"/>
        </w:rPr>
      </w:pPr>
      <w:r w:rsidRPr="00C27636">
        <w:rPr>
          <w:rFonts w:ascii="Calibri" w:eastAsia="Calibri" w:hAnsi="Calibri" w:cs="Calibri"/>
          <w:sz w:val="20"/>
          <w:szCs w:val="20"/>
          <w:lang w:val="fr-BE"/>
        </w:rPr>
        <w:t xml:space="preserve">La bibliographie complète peut être consultée sur le site web de la CNDE : </w:t>
      </w:r>
      <w:hyperlink r:id="rId19">
        <w:r w:rsidRPr="00C27636">
          <w:rPr>
            <w:rFonts w:ascii="Calibri" w:eastAsia="Calibri" w:hAnsi="Calibri" w:cs="Calibri"/>
            <w:color w:val="0000FF"/>
            <w:sz w:val="20"/>
            <w:szCs w:val="20"/>
            <w:u w:val="single"/>
            <w:lang w:val="fr-BE"/>
          </w:rPr>
          <w:t>www.cnde.be</w:t>
        </w:r>
        <w:r w:rsidRPr="00C27636">
          <w:rPr>
            <w:rFonts w:ascii="Calibri" w:eastAsia="Calibri" w:hAnsi="Calibri" w:cs="Calibri"/>
            <w:sz w:val="20"/>
            <w:szCs w:val="20"/>
            <w:u w:val="single"/>
            <w:lang w:val="fr-BE"/>
          </w:rPr>
          <w:t>.</w:t>
        </w:r>
      </w:hyperlink>
    </w:p>
    <w:p w:rsidR="00AC12B4" w:rsidRPr="00C27636" w:rsidRDefault="00AC12B4">
      <w:pPr>
        <w:spacing w:line="241"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11</w:t>
      </w:r>
    </w:p>
    <w:p w:rsidR="00AC12B4" w:rsidRPr="00C27636" w:rsidRDefault="00AC12B4">
      <w:pPr>
        <w:rPr>
          <w:lang w:val="fr-BE"/>
        </w:rPr>
        <w:sectPr w:rsidR="00AC12B4" w:rsidRPr="00C27636">
          <w:type w:val="continuous"/>
          <w:pgSz w:w="12080" w:h="17179"/>
          <w:pgMar w:top="599" w:right="1440" w:bottom="659" w:left="1440" w:header="0" w:footer="0" w:gutter="0"/>
          <w:cols w:space="720" w:equalWidth="0">
            <w:col w:w="9197"/>
          </w:cols>
        </w:sectPr>
      </w:pPr>
    </w:p>
    <w:p w:rsidR="00AC12B4" w:rsidRPr="00C27636" w:rsidRDefault="00AC12B4">
      <w:pPr>
        <w:spacing w:line="212" w:lineRule="exact"/>
        <w:rPr>
          <w:sz w:val="20"/>
          <w:szCs w:val="20"/>
          <w:lang w:val="fr-BE"/>
        </w:rPr>
      </w:pPr>
      <w:bookmarkStart w:id="11" w:name="page12"/>
      <w:bookmarkEnd w:id="11"/>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 xml:space="preserve">que de la situation des mineurs étrangers et des enfants en contact avec la justice. Les indicateurs </w:t>
      </w:r>
      <w:r w:rsidRPr="00C27636">
        <w:rPr>
          <w:rFonts w:ascii="Calibri" w:eastAsia="Calibri" w:hAnsi="Calibri" w:cs="Calibri"/>
          <w:lang w:val="fr-BE"/>
        </w:rPr>
        <w:t>reprennent les données disponibles les plus récentes au moment de la publication (janvier 2016). Les données antérieures ont été intégrées afin de mesurer l'évolution dans le temps (2010-2015, parfois plus tôt en fonction de la temporalité des enregistreme</w:t>
      </w:r>
      <w:r w:rsidRPr="00C27636">
        <w:rPr>
          <w:rFonts w:ascii="Calibri" w:eastAsia="Calibri" w:hAnsi="Calibri" w:cs="Calibri"/>
          <w:lang w:val="fr-BE"/>
        </w:rPr>
        <w:t>nts). Une attention particulière a été consacrée aux groupes particulièrement vulnérables, à la fois par rapport à la disponibilité des données les concernant (comme décrit ci-dessus) mais également par rapport à l’existence d’inégalités sociales. Celles-c</w:t>
      </w:r>
      <w:r w:rsidRPr="00C27636">
        <w:rPr>
          <w:rFonts w:ascii="Calibri" w:eastAsia="Calibri" w:hAnsi="Calibri" w:cs="Calibri"/>
          <w:lang w:val="fr-BE"/>
        </w:rPr>
        <w:t>i sont mises en avant à travers diverses ventilations, quand elles sont possibles et statistiquement fiables, ce qui n'a pas toujours été le cas. Des propositions ont été formulées devant permettre d'atteindre à terme tous les groupes vulnérables pour donn</w:t>
      </w:r>
      <w:r w:rsidRPr="00C27636">
        <w:rPr>
          <w:rFonts w:ascii="Calibri" w:eastAsia="Calibri" w:hAnsi="Calibri" w:cs="Calibri"/>
          <w:lang w:val="fr-BE"/>
        </w:rPr>
        <w:t>er au moins une indication sur leur situation.</w:t>
      </w:r>
    </w:p>
    <w:p w:rsidR="00AC12B4" w:rsidRPr="00C27636" w:rsidRDefault="00AC12B4">
      <w:pPr>
        <w:spacing w:line="176"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Les indicateurs s'arrêtent à la fois sur les évolutions positives et les points problématiques. L'objectif est qu'ils constituent une source d'inspiration pour chaque acteur des droits de l'enfant au niveau d</w:t>
      </w:r>
      <w:r w:rsidRPr="00C27636">
        <w:rPr>
          <w:rFonts w:ascii="Calibri" w:eastAsia="Calibri" w:hAnsi="Calibri" w:cs="Calibri"/>
          <w:lang w:val="fr-BE"/>
        </w:rPr>
        <w:t>es autorités, sur le terrain et au sein de la société civile.</w:t>
      </w:r>
    </w:p>
    <w:p w:rsidR="00AC12B4" w:rsidRPr="00C27636" w:rsidRDefault="00AC12B4">
      <w:pPr>
        <w:spacing w:line="172" w:lineRule="exact"/>
        <w:rPr>
          <w:sz w:val="20"/>
          <w:szCs w:val="20"/>
          <w:lang w:val="fr-BE"/>
        </w:rPr>
      </w:pPr>
    </w:p>
    <w:p w:rsidR="00AC12B4" w:rsidRPr="00C27636" w:rsidRDefault="00C27636">
      <w:pPr>
        <w:spacing w:line="217" w:lineRule="auto"/>
        <w:ind w:right="737"/>
        <w:jc w:val="both"/>
        <w:rPr>
          <w:sz w:val="20"/>
          <w:szCs w:val="20"/>
          <w:lang w:val="fr-BE"/>
        </w:rPr>
      </w:pPr>
      <w:r w:rsidRPr="00C27636">
        <w:rPr>
          <w:rFonts w:ascii="Calibri" w:eastAsia="Calibri" w:hAnsi="Calibri" w:cs="Calibri"/>
          <w:lang w:val="fr-BE"/>
        </w:rPr>
        <w:t>Ce travail est une première étape vers une cartographie de qualité de la situation des droits de l'enfant en Belgique.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Nous espérons que vous en ferez usage de manière à la fois engagée et nua</w:t>
      </w:r>
      <w:r w:rsidRPr="00C27636">
        <w:rPr>
          <w:rFonts w:ascii="Calibri" w:eastAsia="Calibri" w:hAnsi="Calibri" w:cs="Calibri"/>
          <w:lang w:val="fr-BE"/>
        </w:rPr>
        <w:t>ncée.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98" w:lineRule="exact"/>
        <w:rPr>
          <w:sz w:val="20"/>
          <w:szCs w:val="20"/>
          <w:lang w:val="fr-BE"/>
        </w:rPr>
      </w:pPr>
    </w:p>
    <w:p w:rsidR="00AC12B4" w:rsidRPr="00C27636" w:rsidRDefault="00C27636">
      <w:pPr>
        <w:ind w:left="3440"/>
        <w:rPr>
          <w:sz w:val="20"/>
          <w:szCs w:val="20"/>
          <w:lang w:val="fr-BE"/>
        </w:rPr>
      </w:pPr>
      <w:r w:rsidRPr="00C27636">
        <w:rPr>
          <w:rFonts w:ascii="Calibri" w:eastAsia="Calibri" w:hAnsi="Calibri" w:cs="Calibri"/>
          <w:lang w:val="fr-BE"/>
        </w:rPr>
        <w:t>Sarah D’hondt, présidente et Catherine Péters, attachée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2" w:lineRule="exact"/>
        <w:rPr>
          <w:sz w:val="20"/>
          <w:szCs w:val="20"/>
          <w:lang w:val="fr-BE"/>
        </w:rPr>
      </w:pPr>
    </w:p>
    <w:p w:rsidR="00AC12B4" w:rsidRPr="00C27636" w:rsidRDefault="00C27636">
      <w:pPr>
        <w:ind w:left="4120"/>
        <w:rPr>
          <w:sz w:val="20"/>
          <w:szCs w:val="20"/>
          <w:lang w:val="fr-BE"/>
        </w:rPr>
      </w:pPr>
      <w:r w:rsidRPr="00C27636">
        <w:rPr>
          <w:rFonts w:ascii="Calibri" w:eastAsia="Calibri" w:hAnsi="Calibri" w:cs="Calibri"/>
          <w:lang w:val="fr-BE"/>
        </w:rPr>
        <w:t>12</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bookmarkStart w:id="12" w:name="page13"/>
    <w:bookmarkEnd w:id="12"/>
    <w:p w:rsidR="00AC12B4" w:rsidRPr="00C27636" w:rsidRDefault="00C27636">
      <w:pPr>
        <w:ind w:left="3720"/>
        <w:rPr>
          <w:sz w:val="20"/>
          <w:szCs w:val="20"/>
          <w:lang w:val="fr-BE"/>
        </w:rPr>
      </w:pPr>
      <w:r>
        <w:rPr>
          <w:rFonts w:ascii="Calibri" w:eastAsia="Calibri" w:hAnsi="Calibri" w:cs="Calibri"/>
          <w:noProof/>
          <w:color w:val="FFFFFF"/>
          <w:sz w:val="96"/>
          <w:szCs w:val="96"/>
        </w:rPr>
        <w:lastRenderedPageBreak/>
        <mc:AlternateContent>
          <mc:Choice Requires="wps">
            <w:drawing>
              <wp:anchor distT="0" distB="0" distL="114300" distR="114300" simplePos="0" relativeHeight="251356672" behindDoc="1" locked="0" layoutInCell="0" allowOverlap="1">
                <wp:simplePos x="0" y="0"/>
                <wp:positionH relativeFrom="page">
                  <wp:posOffset>0</wp:posOffset>
                </wp:positionH>
                <wp:positionV relativeFrom="page">
                  <wp:posOffset>9525</wp:posOffset>
                </wp:positionV>
                <wp:extent cx="7667625" cy="114808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8" o:spid="_x0000_s1033" style="position:absolute;margin-left:0pt;margin-top:0.75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6"/>
          <w:szCs w:val="96"/>
          <w:lang w:val="fr-BE"/>
        </w:rPr>
        <w:t>Préface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84" w:lineRule="exact"/>
        <w:rPr>
          <w:sz w:val="20"/>
          <w:szCs w:val="20"/>
          <w:lang w:val="fr-BE"/>
        </w:rPr>
      </w:pPr>
    </w:p>
    <w:p w:rsidR="00AC12B4" w:rsidRPr="00C27636" w:rsidRDefault="00C27636">
      <w:pPr>
        <w:spacing w:line="229" w:lineRule="auto"/>
        <w:ind w:left="560" w:right="177"/>
        <w:jc w:val="both"/>
        <w:rPr>
          <w:sz w:val="20"/>
          <w:szCs w:val="20"/>
          <w:lang w:val="fr-BE"/>
        </w:rPr>
      </w:pPr>
      <w:r w:rsidRPr="00C27636">
        <w:rPr>
          <w:rFonts w:ascii="Calibri" w:eastAsia="Calibri" w:hAnsi="Calibri" w:cs="Calibri"/>
          <w:i/>
          <w:iCs/>
          <w:lang w:val="fr-BE"/>
        </w:rPr>
        <w:t xml:space="preserve">Si mesurer n’équivaut pas nécessairement à savoir, ne pas mesurer revient de toute façon à ignorer. Grâce à cet </w:t>
      </w:r>
      <w:r w:rsidRPr="00C27636">
        <w:rPr>
          <w:rFonts w:ascii="Calibri" w:eastAsia="Calibri" w:hAnsi="Calibri" w:cs="Calibri"/>
          <w:i/>
          <w:iCs/>
          <w:lang w:val="fr-BE"/>
        </w:rPr>
        <w:t>ensemble d'indicateurs des droits de l'enfant élaboré par la Commission nationale pour les droits de l’Enfant, un pas important a été accompli en vue de mesurer plus systématiquement la (non-)réalisation des droits de l'enfant en Belgique.</w:t>
      </w:r>
    </w:p>
    <w:p w:rsidR="00AC12B4" w:rsidRPr="00C27636" w:rsidRDefault="00AC12B4">
      <w:pPr>
        <w:spacing w:line="170" w:lineRule="exact"/>
        <w:rPr>
          <w:sz w:val="20"/>
          <w:szCs w:val="20"/>
          <w:lang w:val="fr-BE"/>
        </w:rPr>
      </w:pPr>
    </w:p>
    <w:p w:rsidR="00AC12B4" w:rsidRPr="00C27636" w:rsidRDefault="00C27636">
      <w:pPr>
        <w:spacing w:line="235" w:lineRule="auto"/>
        <w:ind w:left="560" w:right="157"/>
        <w:jc w:val="both"/>
        <w:rPr>
          <w:sz w:val="20"/>
          <w:szCs w:val="20"/>
          <w:lang w:val="fr-BE"/>
        </w:rPr>
      </w:pPr>
      <w:r w:rsidRPr="00C27636">
        <w:rPr>
          <w:rFonts w:ascii="Calibri" w:eastAsia="Calibri" w:hAnsi="Calibri" w:cs="Calibri"/>
          <w:i/>
          <w:iCs/>
          <w:lang w:val="fr-BE"/>
        </w:rPr>
        <w:t>Les indicateurs</w:t>
      </w:r>
      <w:r w:rsidRPr="00C27636">
        <w:rPr>
          <w:rFonts w:ascii="Calibri" w:eastAsia="Calibri" w:hAnsi="Calibri" w:cs="Calibri"/>
          <w:i/>
          <w:iCs/>
          <w:lang w:val="fr-BE"/>
        </w:rPr>
        <w:t xml:space="preserve"> des droits de l'enfant ont vu le jour à la demande du Comité des droits de l’enfant, qui assure une mission de contrôle dans le cadre de la Convention relative aux droits de l'enfant. Ils mettent clairement en lumière une série de problèmes: jouissance in</w:t>
      </w:r>
      <w:r w:rsidRPr="00C27636">
        <w:rPr>
          <w:rFonts w:ascii="Calibri" w:eastAsia="Calibri" w:hAnsi="Calibri" w:cs="Calibri"/>
          <w:i/>
          <w:iCs/>
          <w:lang w:val="fr-BE"/>
        </w:rPr>
        <w:t>suffisance des droits de l'enfant, notamment au niveau de certains groupes vulnérables, absence de progrès dans la réalisation de certains droits ou manque de données permettant d'établir des indicateurs des droits de l'enfant. Les indicateurs actuels rela</w:t>
      </w:r>
      <w:r w:rsidRPr="00C27636">
        <w:rPr>
          <w:rFonts w:ascii="Calibri" w:eastAsia="Calibri" w:hAnsi="Calibri" w:cs="Calibri"/>
          <w:i/>
          <w:iCs/>
          <w:lang w:val="fr-BE"/>
        </w:rPr>
        <w:t>tifs aux droits de l'enfant peuvent jouer un rôle important dans le cadre de l'élaboration de rapports sur la réalisation des droits de l'enfant, ainsi que de la définition et de la mise en œuvre d'une politique en matière de droits de l'enfant.</w:t>
      </w:r>
    </w:p>
    <w:p w:rsidR="00AC12B4" w:rsidRPr="00C27636" w:rsidRDefault="00AC12B4">
      <w:pPr>
        <w:spacing w:line="171" w:lineRule="exact"/>
        <w:rPr>
          <w:sz w:val="20"/>
          <w:szCs w:val="20"/>
          <w:lang w:val="fr-BE"/>
        </w:rPr>
      </w:pPr>
    </w:p>
    <w:p w:rsidR="00AC12B4" w:rsidRPr="00C27636" w:rsidRDefault="00C27636">
      <w:pPr>
        <w:spacing w:line="236" w:lineRule="auto"/>
        <w:ind w:left="560" w:right="157"/>
        <w:jc w:val="both"/>
        <w:rPr>
          <w:sz w:val="20"/>
          <w:szCs w:val="20"/>
          <w:lang w:val="fr-BE"/>
        </w:rPr>
      </w:pPr>
      <w:r w:rsidRPr="00C27636">
        <w:rPr>
          <w:rFonts w:ascii="Calibri" w:eastAsia="Calibri" w:hAnsi="Calibri" w:cs="Calibri"/>
          <w:i/>
          <w:iCs/>
          <w:lang w:val="fr-BE"/>
        </w:rPr>
        <w:t>Le travai</w:t>
      </w:r>
      <w:r w:rsidRPr="00C27636">
        <w:rPr>
          <w:rFonts w:ascii="Calibri" w:eastAsia="Calibri" w:hAnsi="Calibri" w:cs="Calibri"/>
          <w:i/>
          <w:iCs/>
          <w:lang w:val="fr-BE"/>
        </w:rPr>
        <w:t>l n'est toutefois pas encore terminé; au contraire, ces indicateurs montrent surtout le chemin qui reste à parcourir en ce qui concerne la collecte de données, le développement d'indicateurs des droits de l'enfant, ainsi que la mesure régulière et la réali</w:t>
      </w:r>
      <w:r w:rsidRPr="00C27636">
        <w:rPr>
          <w:rFonts w:ascii="Calibri" w:eastAsia="Calibri" w:hAnsi="Calibri" w:cs="Calibri"/>
          <w:i/>
          <w:iCs/>
          <w:lang w:val="fr-BE"/>
        </w:rPr>
        <w:t>sation des droits de l'enfant en Belgique. Ils n'ont aucune ambition scientifique. Ces indicateurs ont été compilés avec le plus grand soin et ont été largement contrôlés par des autorités et des acteurs actifs dans le domaine des droits de l'enfant. Ils n</w:t>
      </w:r>
      <w:r w:rsidRPr="00C27636">
        <w:rPr>
          <w:rFonts w:ascii="Calibri" w:eastAsia="Calibri" w:hAnsi="Calibri" w:cs="Calibri"/>
          <w:i/>
          <w:iCs/>
          <w:lang w:val="fr-BE"/>
        </w:rPr>
        <w:t xml:space="preserve">e sont toutefois pas le résultat d'un trajet scientifique. Ils s'appuient sur des mesures et des enquêtes disponibles et non pas sur des normes en matière de droits de l'enfant. Ils ne concernent pas tous les droits de l'enfant et sont donc sélectifs. Ils </w:t>
      </w:r>
      <w:r w:rsidRPr="00C27636">
        <w:rPr>
          <w:rFonts w:ascii="Calibri" w:eastAsia="Calibri" w:hAnsi="Calibri" w:cs="Calibri"/>
          <w:i/>
          <w:iCs/>
          <w:lang w:val="fr-BE"/>
        </w:rPr>
        <w:t>ne présentent pas une vue d'ensemble mathématiquement concluante du degré de réalisation des droits de l'enfant en Belgique, mais donnent des indications sur les points positifs et négatifs.</w:t>
      </w:r>
    </w:p>
    <w:p w:rsidR="00AC12B4" w:rsidRPr="00C27636" w:rsidRDefault="00AC12B4">
      <w:pPr>
        <w:spacing w:line="170"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i/>
          <w:iCs/>
          <w:lang w:val="fr-BE"/>
        </w:rPr>
        <w:t xml:space="preserve">Il appartient maintenant aux autorités de poursuivre le travail </w:t>
      </w:r>
      <w:r w:rsidRPr="00C27636">
        <w:rPr>
          <w:rFonts w:ascii="Calibri" w:eastAsia="Calibri" w:hAnsi="Calibri" w:cs="Calibri"/>
          <w:i/>
          <w:iCs/>
          <w:lang w:val="fr-BE"/>
        </w:rPr>
        <w:t>concernant les indicateurs des droits de l'enfant:</w:t>
      </w:r>
    </w:p>
    <w:p w:rsidR="00AC12B4" w:rsidRPr="00C27636" w:rsidRDefault="00AC12B4">
      <w:pPr>
        <w:spacing w:line="167" w:lineRule="exact"/>
        <w:rPr>
          <w:sz w:val="20"/>
          <w:szCs w:val="20"/>
          <w:lang w:val="fr-BE"/>
        </w:rPr>
      </w:pPr>
    </w:p>
    <w:p w:rsidR="00AC12B4" w:rsidRPr="00C27636" w:rsidRDefault="00C27636">
      <w:pPr>
        <w:numPr>
          <w:ilvl w:val="0"/>
          <w:numId w:val="2"/>
        </w:numPr>
        <w:tabs>
          <w:tab w:val="left" w:pos="2200"/>
        </w:tabs>
        <w:spacing w:line="225" w:lineRule="auto"/>
        <w:ind w:left="1980" w:right="177" w:firstLine="6"/>
        <w:jc w:val="both"/>
        <w:rPr>
          <w:rFonts w:ascii="Calibri" w:eastAsia="Calibri" w:hAnsi="Calibri" w:cs="Calibri"/>
          <w:i/>
          <w:iCs/>
          <w:lang w:val="fr-BE"/>
        </w:rPr>
      </w:pPr>
      <w:r w:rsidRPr="00C27636">
        <w:rPr>
          <w:rFonts w:ascii="Calibri" w:eastAsia="Calibri" w:hAnsi="Calibri" w:cs="Calibri"/>
          <w:i/>
          <w:iCs/>
          <w:lang w:val="fr-BE"/>
        </w:rPr>
        <w:t>en mesurant systématiquement et régulièrement à l'aide des indicateurs des droits de l'enfant si des progrès ont été accomplis au niveau de la réalisation de ces droits;</w:t>
      </w:r>
    </w:p>
    <w:p w:rsidR="00AC12B4" w:rsidRPr="00C27636" w:rsidRDefault="00AC12B4">
      <w:pPr>
        <w:spacing w:line="171" w:lineRule="exact"/>
        <w:rPr>
          <w:rFonts w:ascii="Calibri" w:eastAsia="Calibri" w:hAnsi="Calibri" w:cs="Calibri"/>
          <w:i/>
          <w:iCs/>
          <w:lang w:val="fr-BE"/>
        </w:rPr>
      </w:pPr>
    </w:p>
    <w:p w:rsidR="00AC12B4" w:rsidRPr="00C27636" w:rsidRDefault="00C27636">
      <w:pPr>
        <w:numPr>
          <w:ilvl w:val="0"/>
          <w:numId w:val="2"/>
        </w:numPr>
        <w:tabs>
          <w:tab w:val="left" w:pos="2234"/>
        </w:tabs>
        <w:spacing w:line="218" w:lineRule="auto"/>
        <w:ind w:left="1980" w:right="177" w:firstLine="6"/>
        <w:rPr>
          <w:rFonts w:ascii="Calibri" w:eastAsia="Calibri" w:hAnsi="Calibri" w:cs="Calibri"/>
          <w:i/>
          <w:iCs/>
          <w:lang w:val="fr-BE"/>
        </w:rPr>
      </w:pPr>
      <w:r w:rsidRPr="00C27636">
        <w:rPr>
          <w:rFonts w:ascii="Calibri" w:eastAsia="Calibri" w:hAnsi="Calibri" w:cs="Calibri"/>
          <w:i/>
          <w:iCs/>
          <w:lang w:val="fr-BE"/>
        </w:rPr>
        <w:t>en se basant sur ces mesures et s</w:t>
      </w:r>
      <w:r w:rsidRPr="00C27636">
        <w:rPr>
          <w:rFonts w:ascii="Calibri" w:eastAsia="Calibri" w:hAnsi="Calibri" w:cs="Calibri"/>
          <w:i/>
          <w:iCs/>
          <w:lang w:val="fr-BE"/>
        </w:rPr>
        <w:t>ur d'autres informations pour tirer des conclusions politiques et en adaptant le cas échéant la politique;</w:t>
      </w:r>
    </w:p>
    <w:p w:rsidR="00AC12B4" w:rsidRPr="00C27636" w:rsidRDefault="00AC12B4">
      <w:pPr>
        <w:spacing w:line="169" w:lineRule="exact"/>
        <w:rPr>
          <w:rFonts w:ascii="Calibri" w:eastAsia="Calibri" w:hAnsi="Calibri" w:cs="Calibri"/>
          <w:i/>
          <w:iCs/>
          <w:lang w:val="fr-BE"/>
        </w:rPr>
      </w:pPr>
    </w:p>
    <w:p w:rsidR="00AC12B4" w:rsidRPr="00C27636" w:rsidRDefault="00C27636">
      <w:pPr>
        <w:numPr>
          <w:ilvl w:val="0"/>
          <w:numId w:val="2"/>
        </w:numPr>
        <w:tabs>
          <w:tab w:val="left" w:pos="2241"/>
        </w:tabs>
        <w:spacing w:line="232" w:lineRule="auto"/>
        <w:ind w:left="1980" w:right="157" w:firstLine="6"/>
        <w:jc w:val="both"/>
        <w:rPr>
          <w:rFonts w:ascii="Calibri" w:eastAsia="Calibri" w:hAnsi="Calibri" w:cs="Calibri"/>
          <w:i/>
          <w:iCs/>
          <w:lang w:val="fr-BE"/>
        </w:rPr>
      </w:pPr>
      <w:r w:rsidRPr="00C27636">
        <w:rPr>
          <w:rFonts w:ascii="Calibri" w:eastAsia="Calibri" w:hAnsi="Calibri" w:cs="Calibri"/>
          <w:i/>
          <w:iCs/>
          <w:lang w:val="fr-BE"/>
        </w:rPr>
        <w:t xml:space="preserve">en faisant élaborer, sur la base d'études scientifiques, un ensemble plus exhaustif d'indicateurs des droits de l'enfant qui recouvrent aussi </w:t>
      </w:r>
      <w:r w:rsidRPr="00C27636">
        <w:rPr>
          <w:rFonts w:ascii="Calibri" w:eastAsia="Calibri" w:hAnsi="Calibri" w:cs="Calibri"/>
          <w:i/>
          <w:iCs/>
          <w:lang w:val="fr-BE"/>
        </w:rPr>
        <w:t>correctement et complètement que possible le contenu normatif de chacun des droits et qui permettent de se faire une idée précise de leur degré de réalisation. Dans de nombreux cas, cela nécessitera également des collectes de données supplémentaires ou dif</w:t>
      </w:r>
      <w:r w:rsidRPr="00C27636">
        <w:rPr>
          <w:rFonts w:ascii="Calibri" w:eastAsia="Calibri" w:hAnsi="Calibri" w:cs="Calibri"/>
          <w:i/>
          <w:iCs/>
          <w:lang w:val="fr-BE"/>
        </w:rPr>
        <w:t>férentes.</w:t>
      </w:r>
    </w:p>
    <w:p w:rsidR="00AC12B4" w:rsidRPr="00C27636" w:rsidRDefault="00AC12B4">
      <w:pPr>
        <w:spacing w:line="200" w:lineRule="exact"/>
        <w:rPr>
          <w:sz w:val="20"/>
          <w:szCs w:val="20"/>
          <w:lang w:val="fr-BE"/>
        </w:rPr>
      </w:pPr>
    </w:p>
    <w:p w:rsidR="00AC12B4" w:rsidRPr="00C27636" w:rsidRDefault="00AC12B4">
      <w:pPr>
        <w:spacing w:line="313" w:lineRule="exact"/>
        <w:rPr>
          <w:sz w:val="20"/>
          <w:szCs w:val="20"/>
          <w:lang w:val="fr-BE"/>
        </w:rPr>
      </w:pPr>
    </w:p>
    <w:p w:rsidR="00AC12B4" w:rsidRPr="00C27636" w:rsidRDefault="00C27636">
      <w:pPr>
        <w:ind w:left="3540"/>
        <w:rPr>
          <w:sz w:val="20"/>
          <w:szCs w:val="20"/>
          <w:lang w:val="fr-BE"/>
        </w:rPr>
      </w:pPr>
      <w:r w:rsidRPr="00C27636">
        <w:rPr>
          <w:rFonts w:ascii="Calibri" w:eastAsia="Calibri" w:hAnsi="Calibri" w:cs="Calibri"/>
          <w:i/>
          <w:iCs/>
          <w:lang w:val="fr-BE"/>
        </w:rPr>
        <w:t>Prof. Dr. Wouter Vandenhole, pour l’organe d’avis de la CNDE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3"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13</w:t>
      </w:r>
    </w:p>
    <w:p w:rsidR="00AC12B4" w:rsidRPr="00C27636" w:rsidRDefault="00AC12B4">
      <w:pPr>
        <w:rPr>
          <w:lang w:val="fr-BE"/>
        </w:rPr>
        <w:sectPr w:rsidR="00AC12B4" w:rsidRPr="00C27636">
          <w:pgSz w:w="12080" w:h="17179"/>
          <w:pgMar w:top="642" w:right="1440" w:bottom="659" w:left="1440" w:header="0" w:footer="0" w:gutter="0"/>
          <w:cols w:space="720" w:equalWidth="0">
            <w:col w:w="9197"/>
          </w:cols>
        </w:sectPr>
      </w:pPr>
    </w:p>
    <w:p w:rsidR="00AC12B4" w:rsidRPr="00C27636" w:rsidRDefault="00AC12B4">
      <w:pPr>
        <w:jc w:val="center"/>
        <w:rPr>
          <w:sz w:val="20"/>
          <w:szCs w:val="20"/>
          <w:lang w:val="fr-BE"/>
        </w:rPr>
      </w:pPr>
      <w:bookmarkStart w:id="13" w:name="page14"/>
      <w:bookmarkEnd w:id="13"/>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C27636">
      <w:pPr>
        <w:spacing w:line="200" w:lineRule="exact"/>
        <w:rPr>
          <w:sz w:val="20"/>
          <w:szCs w:val="20"/>
          <w:lang w:val="fr-BE"/>
        </w:rPr>
      </w:pPr>
      <w:bookmarkStart w:id="14" w:name="page15"/>
      <w:bookmarkEnd w:id="14"/>
      <w:r>
        <w:rPr>
          <w:noProof/>
          <w:sz w:val="20"/>
          <w:szCs w:val="20"/>
        </w:rPr>
        <w:lastRenderedPageBreak/>
        <w:drawing>
          <wp:anchor distT="0" distB="0" distL="114300" distR="114300" simplePos="0" relativeHeight="251357696" behindDoc="1" locked="0" layoutInCell="0" allowOverlap="1">
            <wp:simplePos x="0" y="0"/>
            <wp:positionH relativeFrom="page">
              <wp:posOffset>0</wp:posOffset>
            </wp:positionH>
            <wp:positionV relativeFrom="page">
              <wp:posOffset>0</wp:posOffset>
            </wp:positionV>
            <wp:extent cx="7665085" cy="1090866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blip>
                    <a:srcRect/>
                    <a:stretch>
                      <a:fillRect/>
                    </a:stretch>
                  </pic:blipFill>
                  <pic:spPr bwMode="auto">
                    <a:xfrm>
                      <a:off x="0" y="0"/>
                      <a:ext cx="7665085" cy="1090866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89" w:lineRule="exact"/>
        <w:rPr>
          <w:sz w:val="20"/>
          <w:szCs w:val="20"/>
          <w:lang w:val="fr-BE"/>
        </w:rPr>
      </w:pPr>
    </w:p>
    <w:p w:rsidR="00AC12B4" w:rsidRPr="00C27636" w:rsidRDefault="00C27636">
      <w:pPr>
        <w:ind w:right="177"/>
        <w:jc w:val="right"/>
        <w:rPr>
          <w:sz w:val="20"/>
          <w:szCs w:val="20"/>
          <w:lang w:val="fr-BE"/>
        </w:rPr>
      </w:pPr>
      <w:r w:rsidRPr="00C27636">
        <w:rPr>
          <w:rFonts w:ascii="Calibri" w:eastAsia="Calibri" w:hAnsi="Calibri" w:cs="Calibri"/>
          <w:b/>
          <w:bCs/>
          <w:color w:val="FFFFFF"/>
          <w:sz w:val="96"/>
          <w:szCs w:val="96"/>
          <w:lang w:val="fr-BE"/>
        </w:rPr>
        <w:t>PARTIE I</w:t>
      </w:r>
    </w:p>
    <w:p w:rsidR="00AC12B4" w:rsidRPr="00C27636" w:rsidRDefault="00AC12B4">
      <w:pPr>
        <w:spacing w:line="134" w:lineRule="exact"/>
        <w:rPr>
          <w:sz w:val="20"/>
          <w:szCs w:val="20"/>
          <w:lang w:val="fr-BE"/>
        </w:rPr>
      </w:pPr>
    </w:p>
    <w:p w:rsidR="00AC12B4" w:rsidRPr="00C27636" w:rsidRDefault="00C27636">
      <w:pPr>
        <w:ind w:left="4060"/>
        <w:rPr>
          <w:sz w:val="20"/>
          <w:szCs w:val="20"/>
          <w:lang w:val="fr-BE"/>
        </w:rPr>
      </w:pPr>
      <w:r w:rsidRPr="00C27636">
        <w:rPr>
          <w:rFonts w:ascii="Calibri" w:eastAsia="Calibri" w:hAnsi="Calibri" w:cs="Calibri"/>
          <w:b/>
          <w:bCs/>
          <w:color w:val="FFFFFF"/>
          <w:sz w:val="71"/>
          <w:szCs w:val="71"/>
          <w:lang w:val="fr-BE"/>
        </w:rPr>
        <w:t>CADRE GENERAL</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85"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15</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15" w:name="page16"/>
      <w:bookmarkEnd w:id="15"/>
    </w:p>
    <w:p w:rsidR="00AC12B4" w:rsidRPr="00C27636" w:rsidRDefault="00AC12B4">
      <w:pPr>
        <w:rPr>
          <w:lang w:val="fr-BE"/>
        </w:rPr>
        <w:sectPr w:rsidR="00AC12B4" w:rsidRPr="00C27636">
          <w:pgSz w:w="12080" w:h="17179"/>
          <w:pgMar w:top="1440" w:right="1440" w:bottom="875" w:left="1440" w:header="0" w:footer="0" w:gutter="0"/>
          <w:cols w:space="0"/>
        </w:sectPr>
      </w:pPr>
    </w:p>
    <w:bookmarkStart w:id="16" w:name="page17"/>
    <w:bookmarkEnd w:id="16"/>
    <w:p w:rsidR="00AC12B4" w:rsidRPr="00C27636" w:rsidRDefault="00C27636">
      <w:pPr>
        <w:ind w:left="2740"/>
        <w:rPr>
          <w:sz w:val="20"/>
          <w:szCs w:val="20"/>
          <w:lang w:val="fr-BE"/>
        </w:rPr>
      </w:pPr>
      <w:r>
        <w:rPr>
          <w:rFonts w:ascii="Calibri" w:eastAsia="Calibri" w:hAnsi="Calibri" w:cs="Calibri"/>
          <w:noProof/>
          <w:color w:val="FFFFFF"/>
          <w:sz w:val="96"/>
          <w:szCs w:val="96"/>
        </w:rPr>
        <w:lastRenderedPageBreak/>
        <mc:AlternateContent>
          <mc:Choice Requires="wps">
            <w:drawing>
              <wp:anchor distT="0" distB="0" distL="114300" distR="114300" simplePos="0" relativeHeight="251358720" behindDoc="1" locked="0" layoutInCell="0" allowOverlap="1">
                <wp:simplePos x="0" y="0"/>
                <wp:positionH relativeFrom="page">
                  <wp:posOffset>0</wp:posOffset>
                </wp:positionH>
                <wp:positionV relativeFrom="page">
                  <wp:posOffset>3810</wp:posOffset>
                </wp:positionV>
                <wp:extent cx="7667625" cy="114808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10" o:spid="_x0000_s1035" style="position:absolute;margin-left:0pt;margin-top:0.3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6"/>
          <w:szCs w:val="96"/>
          <w:lang w:val="fr-BE"/>
        </w:rPr>
        <w:t>Introduction</w:t>
      </w:r>
    </w:p>
    <w:p w:rsidR="00AC12B4" w:rsidRPr="00C27636" w:rsidRDefault="00AC12B4">
      <w:pPr>
        <w:rPr>
          <w:lang w:val="fr-BE"/>
        </w:rPr>
        <w:sectPr w:rsidR="00AC12B4" w:rsidRPr="00C27636">
          <w:pgSz w:w="12080" w:h="17179"/>
          <w:pgMar w:top="613" w:right="1440" w:bottom="659" w:left="1440" w:header="0" w:footer="0" w:gutter="0"/>
          <w:cols w:space="720" w:equalWidth="0">
            <w:col w:w="919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3" w:lineRule="exact"/>
        <w:rPr>
          <w:sz w:val="20"/>
          <w:szCs w:val="20"/>
          <w:lang w:val="fr-BE"/>
        </w:rPr>
      </w:pPr>
    </w:p>
    <w:p w:rsidR="00AC12B4" w:rsidRPr="00C27636" w:rsidRDefault="00C27636">
      <w:pPr>
        <w:spacing w:line="234" w:lineRule="auto"/>
        <w:ind w:left="560" w:right="177"/>
        <w:jc w:val="both"/>
        <w:rPr>
          <w:sz w:val="20"/>
          <w:szCs w:val="20"/>
          <w:lang w:val="fr-BE"/>
        </w:rPr>
      </w:pPr>
      <w:r w:rsidRPr="00C27636">
        <w:rPr>
          <w:rFonts w:ascii="Calibri" w:eastAsia="Calibri" w:hAnsi="Calibri" w:cs="Calibri"/>
          <w:lang w:val="fr-BE"/>
        </w:rPr>
        <w:t>La Convention relative aux droits de l'enfant a été adoptée en 1989 et est entrée en vigueur en septembre 1990. Seuls les États-Unis ne l'ont pas ratifiée. La Belgique a ratifié la Convention relative aux droits de l'enfant en 1991</w:t>
      </w:r>
      <w:r w:rsidRPr="00C27636">
        <w:rPr>
          <w:rFonts w:ascii="Calibri" w:eastAsia="Calibri" w:hAnsi="Calibri" w:cs="Calibri"/>
          <w:lang w:val="fr-BE"/>
        </w:rPr>
        <w:t xml:space="preserve"> et s'est ainsi engagée à respecter les dispositions de cette dernière. La Belgique a également ratifié le premier Protocole facultatif concernant la vente d’enfants, la prostitution des enfants et la pornographie mettant en scène des enfants (23 août 2005</w:t>
      </w:r>
      <w:r w:rsidRPr="00C27636">
        <w:rPr>
          <w:rFonts w:ascii="Calibri" w:eastAsia="Calibri" w:hAnsi="Calibri" w:cs="Calibri"/>
          <w:lang w:val="fr-BE"/>
        </w:rPr>
        <w:t>), le second Protocole facultatif concernant l’implication d’enfants dans les conflits armés (24 septembre 2009) et le troisième Protocole facultatif établissant une procédure de présentation de communications (UN Doc. A/C.3/66/L.66).</w:t>
      </w:r>
    </w:p>
    <w:p w:rsidR="00AC12B4" w:rsidRPr="00C27636" w:rsidRDefault="00AC12B4">
      <w:pPr>
        <w:spacing w:line="176" w:lineRule="exact"/>
        <w:rPr>
          <w:sz w:val="20"/>
          <w:szCs w:val="20"/>
          <w:lang w:val="fr-BE"/>
        </w:rPr>
      </w:pPr>
    </w:p>
    <w:p w:rsidR="00AC12B4" w:rsidRPr="00C27636" w:rsidRDefault="00C27636">
      <w:pPr>
        <w:spacing w:line="230" w:lineRule="auto"/>
        <w:ind w:left="560" w:right="177"/>
        <w:jc w:val="both"/>
        <w:rPr>
          <w:sz w:val="20"/>
          <w:szCs w:val="20"/>
          <w:lang w:val="fr-BE"/>
        </w:rPr>
      </w:pPr>
      <w:r w:rsidRPr="00C27636">
        <w:rPr>
          <w:rFonts w:ascii="Calibri" w:eastAsia="Calibri" w:hAnsi="Calibri" w:cs="Calibri"/>
          <w:lang w:val="fr-BE"/>
        </w:rPr>
        <w:t>Le Comité des droits</w:t>
      </w:r>
      <w:r w:rsidRPr="00C27636">
        <w:rPr>
          <w:rFonts w:ascii="Calibri" w:eastAsia="Calibri" w:hAnsi="Calibri" w:cs="Calibri"/>
          <w:lang w:val="fr-BE"/>
        </w:rPr>
        <w:t xml:space="preserve"> de l'enfant des Nations Unies a été créé pour vérifier si les dispositions de la Convention relative aux droits de l'enfant sont réellement respectées. Les États parties rendent un rapport périodique (en principe tous les cinq ans) au Comité sur le respec</w:t>
      </w:r>
      <w:r w:rsidRPr="00C27636">
        <w:rPr>
          <w:rFonts w:ascii="Calibri" w:eastAsia="Calibri" w:hAnsi="Calibri" w:cs="Calibri"/>
          <w:lang w:val="fr-BE"/>
        </w:rPr>
        <w:t>t des droits de l'enfant dans leur pays. Le Comité contrôle si les pays s'en tiennent à ce qui a été convenu et formule des recommandations.</w:t>
      </w:r>
    </w:p>
    <w:p w:rsidR="00AC12B4" w:rsidRPr="00C27636" w:rsidRDefault="00AC12B4">
      <w:pPr>
        <w:spacing w:line="175" w:lineRule="exact"/>
        <w:rPr>
          <w:sz w:val="20"/>
          <w:szCs w:val="20"/>
          <w:lang w:val="fr-BE"/>
        </w:rPr>
      </w:pPr>
    </w:p>
    <w:p w:rsidR="00AC12B4" w:rsidRPr="00C27636" w:rsidRDefault="00C27636">
      <w:pPr>
        <w:spacing w:line="227" w:lineRule="auto"/>
        <w:ind w:left="560" w:right="177"/>
        <w:jc w:val="both"/>
        <w:rPr>
          <w:sz w:val="20"/>
          <w:szCs w:val="20"/>
          <w:lang w:val="fr-BE"/>
        </w:rPr>
      </w:pPr>
      <w:r w:rsidRPr="00C27636">
        <w:rPr>
          <w:rFonts w:ascii="Calibri" w:eastAsia="Calibri" w:hAnsi="Calibri" w:cs="Calibri"/>
          <w:lang w:val="fr-BE"/>
        </w:rPr>
        <w:t>La session la plus récente du Comité évaluant la situation des droits de l’enfant en Belgique date de 2010. Une de</w:t>
      </w:r>
      <w:r w:rsidRPr="00C27636">
        <w:rPr>
          <w:rFonts w:ascii="Calibri" w:eastAsia="Calibri" w:hAnsi="Calibri" w:cs="Calibri"/>
          <w:lang w:val="fr-BE"/>
        </w:rPr>
        <w:t xml:space="preserve">s améliorations proposées par le Comité des droits de l'enfant en 2010 était de créer au sein de la CNDE </w:t>
      </w:r>
      <w:r w:rsidRPr="00C27636">
        <w:rPr>
          <w:rFonts w:ascii="Calibri" w:eastAsia="Calibri" w:hAnsi="Calibri" w:cs="Calibri"/>
          <w:i/>
          <w:iCs/>
          <w:lang w:val="fr-BE"/>
        </w:rPr>
        <w:t>« un système uniforme de collecte de données qui pourrait</w:t>
      </w:r>
      <w:r w:rsidRPr="00C27636">
        <w:rPr>
          <w:rFonts w:ascii="Calibri" w:eastAsia="Calibri" w:hAnsi="Calibri" w:cs="Calibri"/>
          <w:lang w:val="fr-BE"/>
        </w:rPr>
        <w:t xml:space="preserve"> </w:t>
      </w:r>
      <w:r w:rsidRPr="00C27636">
        <w:rPr>
          <w:rFonts w:ascii="Calibri" w:eastAsia="Calibri" w:hAnsi="Calibri" w:cs="Calibri"/>
          <w:i/>
          <w:iCs/>
          <w:lang w:val="fr-BE"/>
        </w:rPr>
        <w:t>servir de base à l’établissement d’études comparatives dans toutes les régions et communautés</w:t>
      </w:r>
      <w:r w:rsidRPr="00C27636">
        <w:rPr>
          <w:rFonts w:ascii="Calibri" w:eastAsia="Calibri" w:hAnsi="Calibri" w:cs="Calibri"/>
          <w:i/>
          <w:iCs/>
          <w:lang w:val="fr-BE"/>
        </w:rPr>
        <w:t xml:space="preserve"> de l’État partie »</w:t>
      </w:r>
      <w:r w:rsidRPr="00C27636">
        <w:rPr>
          <w:rFonts w:ascii="Calibri" w:eastAsia="Calibri" w:hAnsi="Calibri" w:cs="Calibri"/>
          <w:i/>
          <w:iCs/>
          <w:sz w:val="27"/>
          <w:szCs w:val="27"/>
          <w:vertAlign w:val="superscript"/>
          <w:lang w:val="fr-BE"/>
        </w:rPr>
        <w:t>1</w:t>
      </w:r>
      <w:r w:rsidRPr="00C27636">
        <w:rPr>
          <w:rFonts w:ascii="Calibri" w:eastAsia="Calibri" w:hAnsi="Calibri" w:cs="Calibri"/>
          <w:i/>
          <w:iCs/>
          <w:lang w:val="fr-BE"/>
        </w:rPr>
        <w:t>.</w:t>
      </w:r>
    </w:p>
    <w:p w:rsidR="00AC12B4" w:rsidRPr="00C27636" w:rsidRDefault="00AC12B4">
      <w:pPr>
        <w:spacing w:line="134" w:lineRule="exact"/>
        <w:rPr>
          <w:sz w:val="20"/>
          <w:szCs w:val="20"/>
          <w:lang w:val="fr-BE"/>
        </w:rPr>
      </w:pPr>
    </w:p>
    <w:p w:rsidR="00AC12B4" w:rsidRPr="00C27636" w:rsidRDefault="00C27636">
      <w:pPr>
        <w:spacing w:line="232" w:lineRule="auto"/>
        <w:ind w:left="560" w:right="157"/>
        <w:jc w:val="both"/>
        <w:rPr>
          <w:sz w:val="20"/>
          <w:szCs w:val="20"/>
          <w:lang w:val="fr-BE"/>
        </w:rPr>
      </w:pPr>
      <w:r w:rsidRPr="00C27636">
        <w:rPr>
          <w:rFonts w:ascii="Calibri" w:eastAsia="Calibri" w:hAnsi="Calibri" w:cs="Calibri"/>
          <w:lang w:val="fr-BE"/>
        </w:rPr>
        <w:t>En juillet 2017, la Belgique introduira un cinquième et sixième rapport combiné auprès du Comité des droits de l'enfant. Les délégués aux droits de l'enfant, la société civile et les enfants eux-mêmes inspireront le Comité de manière</w:t>
      </w:r>
      <w:r w:rsidRPr="00C27636">
        <w:rPr>
          <w:rFonts w:ascii="Calibri" w:eastAsia="Calibri" w:hAnsi="Calibri" w:cs="Calibri"/>
          <w:lang w:val="fr-BE"/>
        </w:rPr>
        <w:t xml:space="preserve"> critique avec leurs rapports alternatifs. Sur la base d'un « pre-sessional working group », le comité rédigera une « list of issues » avec des questions complémentaires aux gouvernements belges en préparation de l'audition de la délégation belge.</w:t>
      </w:r>
    </w:p>
    <w:p w:rsidR="00AC12B4" w:rsidRPr="00C27636" w:rsidRDefault="00AC12B4">
      <w:pPr>
        <w:spacing w:line="176" w:lineRule="exact"/>
        <w:rPr>
          <w:sz w:val="20"/>
          <w:szCs w:val="20"/>
          <w:lang w:val="fr-BE"/>
        </w:rPr>
      </w:pPr>
    </w:p>
    <w:p w:rsidR="00AC12B4" w:rsidRPr="00C27636" w:rsidRDefault="00C27636">
      <w:pPr>
        <w:spacing w:line="225" w:lineRule="auto"/>
        <w:ind w:left="560" w:right="157"/>
        <w:jc w:val="both"/>
        <w:rPr>
          <w:sz w:val="20"/>
          <w:szCs w:val="20"/>
          <w:lang w:val="fr-BE"/>
        </w:rPr>
      </w:pPr>
      <w:r w:rsidRPr="00C27636">
        <w:rPr>
          <w:rFonts w:ascii="Calibri" w:eastAsia="Calibri" w:hAnsi="Calibri" w:cs="Calibri"/>
          <w:lang w:val="fr-BE"/>
        </w:rPr>
        <w:t>Ces ind</w:t>
      </w:r>
      <w:r w:rsidRPr="00C27636">
        <w:rPr>
          <w:rFonts w:ascii="Calibri" w:eastAsia="Calibri" w:hAnsi="Calibri" w:cs="Calibri"/>
          <w:lang w:val="fr-BE"/>
        </w:rPr>
        <w:t>icateurs nationaux des droits de l’enfant étofferont à la fois le rapport officiel des autorités et les rapports alternatifs. Ils pourront également inspirer les recommandations du Comité des droits de l'enfant ainsi que la politique belge.</w:t>
      </w:r>
    </w:p>
    <w:p w:rsidR="00AC12B4" w:rsidRPr="00C27636" w:rsidRDefault="00AC12B4">
      <w:pPr>
        <w:spacing w:line="171" w:lineRule="exact"/>
        <w:rPr>
          <w:sz w:val="20"/>
          <w:szCs w:val="20"/>
          <w:lang w:val="fr-BE"/>
        </w:rPr>
      </w:pPr>
    </w:p>
    <w:p w:rsidR="00AC12B4" w:rsidRPr="00C27636" w:rsidRDefault="00C27636">
      <w:pPr>
        <w:spacing w:line="228" w:lineRule="auto"/>
        <w:ind w:left="560" w:right="177"/>
        <w:jc w:val="both"/>
        <w:rPr>
          <w:sz w:val="20"/>
          <w:szCs w:val="20"/>
          <w:lang w:val="fr-BE"/>
        </w:rPr>
      </w:pPr>
      <w:r w:rsidRPr="00C27636">
        <w:rPr>
          <w:rFonts w:ascii="Calibri" w:eastAsia="Calibri" w:hAnsi="Calibri" w:cs="Calibri"/>
          <w:lang w:val="fr-BE"/>
        </w:rPr>
        <w:t>Les indicateur</w:t>
      </w:r>
      <w:r w:rsidRPr="00C27636">
        <w:rPr>
          <w:rFonts w:ascii="Calibri" w:eastAsia="Calibri" w:hAnsi="Calibri" w:cs="Calibri"/>
          <w:lang w:val="fr-BE"/>
        </w:rPr>
        <w:t>s ne donnent pas une réponse univoque à toutes les questions. Il n'y a malheureusement pas toujours assez d'informations pour le faire. Ils visent avant tout à inciter une recherche supplémentaire et des enregistrements de données et consultations suppléme</w:t>
      </w:r>
      <w:r w:rsidRPr="00C27636">
        <w:rPr>
          <w:rFonts w:ascii="Calibri" w:eastAsia="Calibri" w:hAnsi="Calibri" w:cs="Calibri"/>
          <w:lang w:val="fr-BE"/>
        </w:rPr>
        <w:t>ntaires, pour mettre en avant d’éventuelles inégalités sociales.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59744" behindDoc="1" locked="0" layoutInCell="0" allowOverlap="1">
                <wp:simplePos x="0" y="0"/>
                <wp:positionH relativeFrom="column">
                  <wp:posOffset>359410</wp:posOffset>
                </wp:positionH>
                <wp:positionV relativeFrom="paragraph">
                  <wp:posOffset>1978025</wp:posOffset>
                </wp:positionV>
                <wp:extent cx="1829435" cy="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55.75pt" to="172.35pt,155.7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6" w:lineRule="exact"/>
        <w:rPr>
          <w:sz w:val="20"/>
          <w:szCs w:val="20"/>
          <w:lang w:val="fr-BE"/>
        </w:rPr>
      </w:pPr>
    </w:p>
    <w:p w:rsidR="00AC12B4" w:rsidRDefault="00C27636">
      <w:pPr>
        <w:numPr>
          <w:ilvl w:val="0"/>
          <w:numId w:val="3"/>
        </w:numPr>
        <w:tabs>
          <w:tab w:val="left" w:pos="720"/>
        </w:tabs>
        <w:ind w:left="720" w:hanging="153"/>
        <w:rPr>
          <w:rFonts w:ascii="Calibri" w:eastAsia="Calibri" w:hAnsi="Calibri" w:cs="Calibri"/>
          <w:sz w:val="26"/>
          <w:szCs w:val="26"/>
          <w:vertAlign w:val="superscript"/>
        </w:rPr>
      </w:pPr>
      <w:r>
        <w:rPr>
          <w:rFonts w:ascii="Calibri" w:eastAsia="Calibri" w:hAnsi="Calibri" w:cs="Calibri"/>
          <w:sz w:val="20"/>
          <w:szCs w:val="20"/>
        </w:rPr>
        <w:t>CRC/C/BEL/CO/3-4 par. 22.</w:t>
      </w:r>
    </w:p>
    <w:p w:rsidR="00AC12B4" w:rsidRDefault="00AC12B4">
      <w:pPr>
        <w:spacing w:line="241" w:lineRule="exact"/>
        <w:rPr>
          <w:sz w:val="20"/>
          <w:szCs w:val="20"/>
        </w:rPr>
      </w:pPr>
    </w:p>
    <w:p w:rsidR="00AC12B4" w:rsidRPr="00C27636" w:rsidRDefault="00C27636">
      <w:pPr>
        <w:ind w:right="-402"/>
        <w:jc w:val="center"/>
        <w:rPr>
          <w:sz w:val="20"/>
          <w:szCs w:val="20"/>
          <w:lang w:val="fr-BE"/>
        </w:rPr>
      </w:pPr>
      <w:r w:rsidRPr="00C27636">
        <w:rPr>
          <w:rFonts w:ascii="Calibri" w:eastAsia="Calibri" w:hAnsi="Calibri" w:cs="Calibri"/>
          <w:lang w:val="fr-BE"/>
        </w:rPr>
        <w:t>17</w:t>
      </w:r>
    </w:p>
    <w:p w:rsidR="00AC12B4" w:rsidRPr="00C27636" w:rsidRDefault="00AC12B4">
      <w:pPr>
        <w:rPr>
          <w:lang w:val="fr-BE"/>
        </w:rPr>
        <w:sectPr w:rsidR="00AC12B4" w:rsidRPr="00C27636">
          <w:type w:val="continuous"/>
          <w:pgSz w:w="12080" w:h="17179"/>
          <w:pgMar w:top="613" w:right="1440" w:bottom="659" w:left="1440" w:header="0" w:footer="0" w:gutter="0"/>
          <w:cols w:space="720" w:equalWidth="0">
            <w:col w:w="9197"/>
          </w:cols>
        </w:sectPr>
      </w:pPr>
    </w:p>
    <w:p w:rsidR="00AC12B4" w:rsidRPr="00C27636" w:rsidRDefault="00AC12B4">
      <w:pPr>
        <w:jc w:val="center"/>
        <w:rPr>
          <w:sz w:val="20"/>
          <w:szCs w:val="20"/>
          <w:lang w:val="fr-BE"/>
        </w:rPr>
      </w:pPr>
      <w:bookmarkStart w:id="17" w:name="page18"/>
      <w:bookmarkEnd w:id="17"/>
    </w:p>
    <w:p w:rsidR="00AC12B4" w:rsidRPr="00C27636" w:rsidRDefault="00AC12B4">
      <w:pPr>
        <w:rPr>
          <w:lang w:val="fr-BE"/>
        </w:rPr>
        <w:sectPr w:rsidR="00AC12B4" w:rsidRPr="00C27636">
          <w:pgSz w:w="12080" w:h="17179"/>
          <w:pgMar w:top="1440" w:right="1440" w:bottom="875" w:left="1440" w:header="0" w:footer="0" w:gutter="0"/>
          <w:cols w:space="0"/>
        </w:sectPr>
      </w:pPr>
    </w:p>
    <w:bookmarkStart w:id="18" w:name="page19"/>
    <w:bookmarkEnd w:id="18"/>
    <w:p w:rsidR="00AC12B4" w:rsidRPr="00C27636" w:rsidRDefault="00C27636">
      <w:pPr>
        <w:ind w:left="2400"/>
        <w:rPr>
          <w:sz w:val="20"/>
          <w:szCs w:val="20"/>
          <w:lang w:val="fr-BE"/>
        </w:rPr>
      </w:pPr>
      <w:r>
        <w:rPr>
          <w:rFonts w:ascii="Calibri" w:eastAsia="Calibri" w:hAnsi="Calibri" w:cs="Calibri"/>
          <w:noProof/>
          <w:color w:val="FFFFFF"/>
          <w:sz w:val="96"/>
          <w:szCs w:val="96"/>
        </w:rPr>
        <w:lastRenderedPageBreak/>
        <mc:AlternateContent>
          <mc:Choice Requires="wps">
            <w:drawing>
              <wp:anchor distT="0" distB="0" distL="114300" distR="114300" simplePos="0" relativeHeight="251360768" behindDoc="1" locked="0" layoutInCell="0" allowOverlap="1">
                <wp:simplePos x="0" y="0"/>
                <wp:positionH relativeFrom="page">
                  <wp:posOffset>0</wp:posOffset>
                </wp:positionH>
                <wp:positionV relativeFrom="page">
                  <wp:posOffset>0</wp:posOffset>
                </wp:positionV>
                <wp:extent cx="7667625" cy="114808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12" o:spid="_x0000_s1037" style="position:absolute;margin-left:0pt;margin-top:0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6"/>
          <w:szCs w:val="96"/>
          <w:lang w:val="fr-BE"/>
        </w:rPr>
        <w:t>Méthodologie</w:t>
      </w:r>
    </w:p>
    <w:p w:rsidR="00AC12B4" w:rsidRPr="00C27636" w:rsidRDefault="00AC12B4">
      <w:pPr>
        <w:rPr>
          <w:lang w:val="fr-BE"/>
        </w:rPr>
        <w:sectPr w:rsidR="00AC12B4" w:rsidRPr="00C27636">
          <w:pgSz w:w="12080" w:h="17179"/>
          <w:pgMar w:top="587" w:right="1440" w:bottom="659" w:left="1440" w:header="0" w:footer="0" w:gutter="0"/>
          <w:cols w:space="720" w:equalWidth="0">
            <w:col w:w="919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3" w:lineRule="exact"/>
        <w:rPr>
          <w:sz w:val="20"/>
          <w:szCs w:val="20"/>
          <w:lang w:val="fr-BE"/>
        </w:rPr>
      </w:pPr>
    </w:p>
    <w:p w:rsidR="00AC12B4" w:rsidRPr="00C27636" w:rsidRDefault="00C27636">
      <w:pPr>
        <w:spacing w:line="239" w:lineRule="auto"/>
        <w:ind w:left="1280" w:right="177" w:hanging="359"/>
        <w:rPr>
          <w:sz w:val="20"/>
          <w:szCs w:val="20"/>
          <w:lang w:val="fr-BE"/>
        </w:rPr>
      </w:pPr>
      <w:r w:rsidRPr="00C27636">
        <w:rPr>
          <w:rFonts w:ascii="Cambria" w:eastAsia="Cambria" w:hAnsi="Cambria" w:cs="Cambria"/>
          <w:b/>
          <w:bCs/>
          <w:color w:val="ACD8F9"/>
          <w:sz w:val="32"/>
          <w:szCs w:val="32"/>
          <w:lang w:val="fr-BE"/>
        </w:rPr>
        <w:t>A. Avantages et risques liés à un travail avec des indicateurs</w:t>
      </w:r>
    </w:p>
    <w:p w:rsidR="00AC12B4" w:rsidRPr="00C27636" w:rsidRDefault="00AC12B4">
      <w:pPr>
        <w:spacing w:line="200" w:lineRule="exact"/>
        <w:rPr>
          <w:sz w:val="20"/>
          <w:szCs w:val="20"/>
          <w:lang w:val="fr-BE"/>
        </w:rPr>
      </w:pPr>
    </w:p>
    <w:p w:rsidR="00AC12B4" w:rsidRPr="00C27636" w:rsidRDefault="00AC12B4">
      <w:pPr>
        <w:spacing w:line="312" w:lineRule="exact"/>
        <w:rPr>
          <w:sz w:val="20"/>
          <w:szCs w:val="20"/>
          <w:lang w:val="fr-BE"/>
        </w:rPr>
      </w:pPr>
    </w:p>
    <w:p w:rsidR="00AC12B4" w:rsidRPr="00C27636" w:rsidRDefault="00C27636">
      <w:pPr>
        <w:spacing w:line="225" w:lineRule="auto"/>
        <w:ind w:left="560" w:right="177"/>
        <w:jc w:val="both"/>
        <w:rPr>
          <w:sz w:val="20"/>
          <w:szCs w:val="20"/>
          <w:lang w:val="fr-BE"/>
        </w:rPr>
      </w:pPr>
      <w:r w:rsidRPr="00C27636">
        <w:rPr>
          <w:rFonts w:ascii="Calibri" w:eastAsia="Calibri" w:hAnsi="Calibri" w:cs="Calibri"/>
          <w:lang w:val="fr-BE"/>
        </w:rPr>
        <w:t xml:space="preserve">La </w:t>
      </w:r>
      <w:r w:rsidRPr="00C27636">
        <w:rPr>
          <w:rFonts w:ascii="Calibri" w:eastAsia="Calibri" w:hAnsi="Calibri" w:cs="Calibri"/>
          <w:lang w:val="fr-BE"/>
        </w:rPr>
        <w:t>littérature sur le travail d’indicateurs</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 xml:space="preserve"> attire unanimement l’attention sur le fait qu’il faut être prudent quand on travaille avec des indicateurs. Travailler avec des indicateurs, ce n’est pas obtenir </w:t>
      </w:r>
      <w:r w:rsidRPr="00C27636">
        <w:rPr>
          <w:rFonts w:ascii="Calibri" w:eastAsia="Calibri" w:hAnsi="Calibri" w:cs="Calibri"/>
          <w:i/>
          <w:iCs/>
          <w:lang w:val="fr-BE"/>
        </w:rPr>
        <w:t>la</w:t>
      </w:r>
      <w:r w:rsidRPr="00C27636">
        <w:rPr>
          <w:rFonts w:ascii="Calibri" w:eastAsia="Calibri" w:hAnsi="Calibri" w:cs="Calibri"/>
          <w:lang w:val="fr-BE"/>
        </w:rPr>
        <w:t xml:space="preserve"> vérité d’autant plus quand on travaille dans un d</w:t>
      </w:r>
      <w:r w:rsidRPr="00C27636">
        <w:rPr>
          <w:rFonts w:ascii="Calibri" w:eastAsia="Calibri" w:hAnsi="Calibri" w:cs="Calibri"/>
          <w:lang w:val="fr-BE"/>
        </w:rPr>
        <w:t>omaine aussi complexe et transversal que les droits de l’Enfant.</w:t>
      </w:r>
    </w:p>
    <w:p w:rsidR="00AC12B4" w:rsidRPr="00C27636" w:rsidRDefault="00AC12B4">
      <w:pPr>
        <w:spacing w:line="97" w:lineRule="exact"/>
        <w:rPr>
          <w:sz w:val="20"/>
          <w:szCs w:val="20"/>
          <w:lang w:val="fr-BE"/>
        </w:rPr>
      </w:pPr>
    </w:p>
    <w:p w:rsidR="00AC12B4" w:rsidRDefault="00C27636">
      <w:pPr>
        <w:ind w:left="560"/>
        <w:rPr>
          <w:sz w:val="20"/>
          <w:szCs w:val="20"/>
        </w:rPr>
      </w:pPr>
      <w:r>
        <w:rPr>
          <w:rFonts w:ascii="Calibri" w:eastAsia="Calibri" w:hAnsi="Calibri" w:cs="Calibri"/>
        </w:rPr>
        <w:t>Plusieurs limites existent</w:t>
      </w:r>
      <w:r>
        <w:rPr>
          <w:rFonts w:ascii="Calibri" w:eastAsia="Calibri" w:hAnsi="Calibri" w:cs="Calibri"/>
          <w:sz w:val="27"/>
          <w:szCs w:val="27"/>
          <w:vertAlign w:val="superscript"/>
        </w:rPr>
        <w:t>2</w:t>
      </w:r>
      <w:r>
        <w:rPr>
          <w:rFonts w:ascii="Calibri" w:eastAsia="Calibri" w:hAnsi="Calibri" w:cs="Calibri"/>
        </w:rPr>
        <w:t xml:space="preserve"> :</w:t>
      </w:r>
    </w:p>
    <w:p w:rsidR="00AC12B4" w:rsidRDefault="00AC12B4">
      <w:pPr>
        <w:spacing w:line="133" w:lineRule="exact"/>
        <w:rPr>
          <w:sz w:val="20"/>
          <w:szCs w:val="20"/>
        </w:rPr>
      </w:pPr>
    </w:p>
    <w:p w:rsidR="00AC12B4" w:rsidRPr="00C27636" w:rsidRDefault="00C27636">
      <w:pPr>
        <w:numPr>
          <w:ilvl w:val="0"/>
          <w:numId w:val="4"/>
        </w:numPr>
        <w:tabs>
          <w:tab w:val="left" w:pos="1280"/>
        </w:tabs>
        <w:spacing w:line="229" w:lineRule="auto"/>
        <w:ind w:left="1280" w:right="157" w:hanging="353"/>
        <w:jc w:val="both"/>
        <w:rPr>
          <w:rFonts w:eastAsia="Times New Roman"/>
          <w:lang w:val="fr-BE"/>
        </w:rPr>
      </w:pPr>
      <w:r w:rsidRPr="00C27636">
        <w:rPr>
          <w:rFonts w:ascii="Calibri" w:eastAsia="Calibri" w:hAnsi="Calibri" w:cs="Calibri"/>
          <w:lang w:val="fr-BE"/>
        </w:rPr>
        <w:t>« What gets measured gets done » : le risque de travailler avec des indicateurs est qu’ils deviennent des objectifs en tant que tel. Les politiques se concentr</w:t>
      </w:r>
      <w:r w:rsidRPr="00C27636">
        <w:rPr>
          <w:rFonts w:ascii="Calibri" w:eastAsia="Calibri" w:hAnsi="Calibri" w:cs="Calibri"/>
          <w:lang w:val="fr-BE"/>
        </w:rPr>
        <w:t>ent sur l’amélioration de tels indicateurs en oubliant l’objectif plus grand qu’il est censé représenter.</w:t>
      </w:r>
    </w:p>
    <w:p w:rsidR="00AC12B4" w:rsidRPr="00C27636" w:rsidRDefault="00AC12B4">
      <w:pPr>
        <w:spacing w:line="118" w:lineRule="exact"/>
        <w:rPr>
          <w:rFonts w:eastAsia="Times New Roman"/>
          <w:lang w:val="fr-BE"/>
        </w:rPr>
      </w:pPr>
    </w:p>
    <w:p w:rsidR="00AC12B4" w:rsidRPr="00C27636" w:rsidRDefault="00C27636">
      <w:pPr>
        <w:numPr>
          <w:ilvl w:val="0"/>
          <w:numId w:val="4"/>
        </w:numPr>
        <w:tabs>
          <w:tab w:val="left" w:pos="1280"/>
        </w:tabs>
        <w:ind w:left="1280" w:hanging="353"/>
        <w:rPr>
          <w:rFonts w:eastAsia="Times New Roman"/>
          <w:lang w:val="fr-BE"/>
        </w:rPr>
      </w:pPr>
      <w:r w:rsidRPr="00C27636">
        <w:rPr>
          <w:rFonts w:ascii="Calibri" w:eastAsia="Calibri" w:hAnsi="Calibri" w:cs="Calibri"/>
          <w:lang w:val="fr-BE"/>
        </w:rPr>
        <w:t>Le risque de se contenter d’actions symboliques (tokenism).</w:t>
      </w:r>
    </w:p>
    <w:p w:rsidR="00AC12B4" w:rsidRPr="00C27636" w:rsidRDefault="00AC12B4">
      <w:pPr>
        <w:spacing w:line="169" w:lineRule="exact"/>
        <w:rPr>
          <w:rFonts w:eastAsia="Times New Roman"/>
          <w:lang w:val="fr-BE"/>
        </w:rPr>
      </w:pPr>
    </w:p>
    <w:p w:rsidR="00AC12B4" w:rsidRPr="00C27636" w:rsidRDefault="00C27636">
      <w:pPr>
        <w:numPr>
          <w:ilvl w:val="0"/>
          <w:numId w:val="4"/>
        </w:numPr>
        <w:tabs>
          <w:tab w:val="left" w:pos="1280"/>
        </w:tabs>
        <w:spacing w:line="229" w:lineRule="auto"/>
        <w:ind w:left="1280" w:right="157" w:hanging="353"/>
        <w:jc w:val="both"/>
        <w:rPr>
          <w:rFonts w:eastAsia="Times New Roman"/>
          <w:lang w:val="fr-BE"/>
        </w:rPr>
      </w:pPr>
      <w:r w:rsidRPr="00C27636">
        <w:rPr>
          <w:rFonts w:ascii="Calibri" w:eastAsia="Calibri" w:hAnsi="Calibri" w:cs="Calibri"/>
          <w:lang w:val="fr-BE"/>
        </w:rPr>
        <w:t>La définition même des indicateurs peut poser problème. Les termes sont sujets à interpr</w:t>
      </w:r>
      <w:r w:rsidRPr="00C27636">
        <w:rPr>
          <w:rFonts w:ascii="Calibri" w:eastAsia="Calibri" w:hAnsi="Calibri" w:cs="Calibri"/>
          <w:lang w:val="fr-BE"/>
        </w:rPr>
        <w:t>étation et peuvent donc être compris de façons différentes par les différents protagonistes. Il y a également lieu d’être au clair par rapport à l’objectif : mesurer les efforts entrepris par l’Etat ou mesurer l’impact des politiques sur les jeunes ?</w:t>
      </w:r>
    </w:p>
    <w:p w:rsidR="00AC12B4" w:rsidRPr="00C27636" w:rsidRDefault="00AC12B4">
      <w:pPr>
        <w:spacing w:line="170" w:lineRule="exact"/>
        <w:rPr>
          <w:rFonts w:eastAsia="Times New Roman"/>
          <w:lang w:val="fr-BE"/>
        </w:rPr>
      </w:pPr>
    </w:p>
    <w:p w:rsidR="00AC12B4" w:rsidRPr="00C27636" w:rsidRDefault="00C27636">
      <w:pPr>
        <w:numPr>
          <w:ilvl w:val="0"/>
          <w:numId w:val="4"/>
        </w:numPr>
        <w:tabs>
          <w:tab w:val="left" w:pos="1280"/>
        </w:tabs>
        <w:spacing w:line="229" w:lineRule="auto"/>
        <w:ind w:left="1280" w:right="177" w:hanging="353"/>
        <w:jc w:val="both"/>
        <w:rPr>
          <w:rFonts w:eastAsia="Times New Roman"/>
          <w:lang w:val="fr-BE"/>
        </w:rPr>
      </w:pPr>
      <w:r w:rsidRPr="00C27636">
        <w:rPr>
          <w:rFonts w:ascii="Calibri" w:eastAsia="Calibri" w:hAnsi="Calibri" w:cs="Calibri"/>
          <w:lang w:val="fr-BE"/>
        </w:rPr>
        <w:t xml:space="preserve">Les </w:t>
      </w:r>
      <w:r w:rsidRPr="00C27636">
        <w:rPr>
          <w:rFonts w:ascii="Calibri" w:eastAsia="Calibri" w:hAnsi="Calibri" w:cs="Calibri"/>
          <w:lang w:val="fr-BE"/>
        </w:rPr>
        <w:t xml:space="preserve">indicateurs influencent fortement les débats sociétaux. Il faut donc veiller à ne pas développer que des indicateurs « négatifs » si l’on veut continuer à travailler dans une volonté de progression (p.ex. voir l’effet sur les médias d’indicateurs négatifs </w:t>
      </w:r>
      <w:r w:rsidRPr="00C27636">
        <w:rPr>
          <w:rFonts w:ascii="Calibri" w:eastAsia="Calibri" w:hAnsi="Calibri" w:cs="Calibri"/>
          <w:lang w:val="fr-BE"/>
        </w:rPr>
        <w:t>en matière de protection de la jeunesse).</w:t>
      </w:r>
    </w:p>
    <w:p w:rsidR="00AC12B4" w:rsidRPr="00C27636" w:rsidRDefault="00AC12B4">
      <w:pPr>
        <w:spacing w:line="170" w:lineRule="exact"/>
        <w:rPr>
          <w:rFonts w:eastAsia="Times New Roman"/>
          <w:lang w:val="fr-BE"/>
        </w:rPr>
      </w:pPr>
    </w:p>
    <w:p w:rsidR="00AC12B4" w:rsidRPr="00C27636" w:rsidRDefault="00C27636">
      <w:pPr>
        <w:numPr>
          <w:ilvl w:val="0"/>
          <w:numId w:val="4"/>
        </w:numPr>
        <w:tabs>
          <w:tab w:val="left" w:pos="1280"/>
        </w:tabs>
        <w:spacing w:line="224" w:lineRule="auto"/>
        <w:ind w:left="1280" w:right="177" w:hanging="353"/>
        <w:jc w:val="both"/>
        <w:rPr>
          <w:rFonts w:eastAsia="Times New Roman"/>
          <w:lang w:val="fr-BE"/>
        </w:rPr>
      </w:pPr>
      <w:r w:rsidRPr="00C27636">
        <w:rPr>
          <w:rFonts w:ascii="Calibri" w:eastAsia="Calibri" w:hAnsi="Calibri" w:cs="Calibri"/>
          <w:lang w:val="fr-BE"/>
        </w:rPr>
        <w:t xml:space="preserve">Il est facile de jouer avec des chiffres et de leur faire dire ce que l’on veut (p.ex. le choix d’utiliser la moyenne ou la médiane des revenus dans la définition de la pauvreté relative fait varier fortement le </w:t>
      </w:r>
      <w:r w:rsidRPr="00C27636">
        <w:rPr>
          <w:rFonts w:ascii="Calibri" w:eastAsia="Calibri" w:hAnsi="Calibri" w:cs="Calibri"/>
          <w:lang w:val="fr-BE"/>
        </w:rPr>
        <w:t>taux de « pauvres »).</w:t>
      </w:r>
    </w:p>
    <w:p w:rsidR="00AC12B4" w:rsidRPr="00C27636" w:rsidRDefault="00AC12B4">
      <w:pPr>
        <w:spacing w:line="172" w:lineRule="exact"/>
        <w:rPr>
          <w:sz w:val="20"/>
          <w:szCs w:val="20"/>
          <w:lang w:val="fr-BE"/>
        </w:rPr>
      </w:pPr>
    </w:p>
    <w:p w:rsidR="00AC12B4" w:rsidRPr="00C27636" w:rsidRDefault="00C27636">
      <w:pPr>
        <w:spacing w:line="231" w:lineRule="auto"/>
        <w:ind w:left="560" w:right="157"/>
        <w:jc w:val="both"/>
        <w:rPr>
          <w:sz w:val="20"/>
          <w:szCs w:val="20"/>
          <w:lang w:val="fr-BE"/>
        </w:rPr>
      </w:pPr>
      <w:r w:rsidRPr="00C27636">
        <w:rPr>
          <w:rFonts w:ascii="Calibri" w:eastAsia="Calibri" w:hAnsi="Calibri" w:cs="Calibri"/>
          <w:lang w:val="fr-BE"/>
        </w:rPr>
        <w:t>En étant conscient de leurs limites, et en les prenant pour ce qu’ils sont – des outils nous permettant d’entrapercevoir la ‘réalité’ -, les indicateurs deviennent des outils précieux dans le suivi et l’évaluation des droits de l’enf</w:t>
      </w:r>
      <w:r w:rsidRPr="00C27636">
        <w:rPr>
          <w:rFonts w:ascii="Calibri" w:eastAsia="Calibri" w:hAnsi="Calibri" w:cs="Calibri"/>
          <w:lang w:val="fr-BE"/>
        </w:rPr>
        <w:t>ant. Ils permettent de poser des jalons dans nos avancées vers un plus grand respect de la convention relative aux droits de l’enfant en Belgique.</w:t>
      </w:r>
    </w:p>
    <w:p w:rsidR="00AC12B4" w:rsidRPr="00C27636" w:rsidRDefault="00AC12B4">
      <w:pPr>
        <w:spacing w:line="123"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Préalablement à la sélection d’indicateur, deux questions élémentaires ont été posées :</w:t>
      </w:r>
    </w:p>
    <w:p w:rsidR="00AC12B4" w:rsidRPr="00C27636" w:rsidRDefault="00AC12B4">
      <w:pPr>
        <w:spacing w:line="120" w:lineRule="exact"/>
        <w:rPr>
          <w:sz w:val="20"/>
          <w:szCs w:val="20"/>
          <w:lang w:val="fr-BE"/>
        </w:rPr>
      </w:pPr>
    </w:p>
    <w:p w:rsidR="00AC12B4" w:rsidRPr="00C27636" w:rsidRDefault="00C27636">
      <w:pPr>
        <w:numPr>
          <w:ilvl w:val="0"/>
          <w:numId w:val="5"/>
        </w:numPr>
        <w:tabs>
          <w:tab w:val="left" w:pos="1280"/>
        </w:tabs>
        <w:ind w:left="1280" w:hanging="353"/>
        <w:rPr>
          <w:rFonts w:eastAsia="Times New Roman"/>
          <w:lang w:val="fr-BE"/>
        </w:rPr>
      </w:pPr>
      <w:r w:rsidRPr="00C27636">
        <w:rPr>
          <w:rFonts w:ascii="Calibri" w:eastAsia="Calibri" w:hAnsi="Calibri" w:cs="Calibri"/>
          <w:lang w:val="fr-BE"/>
        </w:rPr>
        <w:lastRenderedPageBreak/>
        <w:t>Des indicateurs pou</w:t>
      </w:r>
      <w:r w:rsidRPr="00C27636">
        <w:rPr>
          <w:rFonts w:ascii="Calibri" w:eastAsia="Calibri" w:hAnsi="Calibri" w:cs="Calibri"/>
          <w:lang w:val="fr-BE"/>
        </w:rPr>
        <w:t>r faire quoi ?</w:t>
      </w:r>
    </w:p>
    <w:p w:rsidR="00AC12B4" w:rsidRPr="00C27636" w:rsidRDefault="00AC12B4">
      <w:pPr>
        <w:spacing w:line="117" w:lineRule="exact"/>
        <w:rPr>
          <w:rFonts w:eastAsia="Times New Roman"/>
          <w:lang w:val="fr-BE"/>
        </w:rPr>
      </w:pPr>
    </w:p>
    <w:p w:rsidR="00AC12B4" w:rsidRPr="00C27636" w:rsidRDefault="00C27636">
      <w:pPr>
        <w:numPr>
          <w:ilvl w:val="0"/>
          <w:numId w:val="5"/>
        </w:numPr>
        <w:tabs>
          <w:tab w:val="left" w:pos="1280"/>
        </w:tabs>
        <w:ind w:left="1280" w:hanging="353"/>
        <w:rPr>
          <w:rFonts w:eastAsia="Times New Roman"/>
          <w:lang w:val="fr-BE"/>
        </w:rPr>
      </w:pPr>
      <w:r w:rsidRPr="00C27636">
        <w:rPr>
          <w:rFonts w:ascii="Calibri" w:eastAsia="Calibri" w:hAnsi="Calibri" w:cs="Calibri"/>
          <w:lang w:val="fr-BE"/>
        </w:rPr>
        <w:t>Des indicateurs pour mesurer quoi ?</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61792" behindDoc="1" locked="0" layoutInCell="0" allowOverlap="1">
                <wp:simplePos x="0" y="0"/>
                <wp:positionH relativeFrom="column">
                  <wp:posOffset>359410</wp:posOffset>
                </wp:positionH>
                <wp:positionV relativeFrom="paragraph">
                  <wp:posOffset>600710</wp:posOffset>
                </wp:positionV>
                <wp:extent cx="1829435" cy="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47.3pt" to="172.35pt,47.3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7" w:lineRule="exact"/>
        <w:rPr>
          <w:sz w:val="20"/>
          <w:szCs w:val="20"/>
          <w:lang w:val="fr-BE"/>
        </w:rPr>
      </w:pPr>
    </w:p>
    <w:p w:rsidR="00AC12B4" w:rsidRPr="00C27636" w:rsidRDefault="00C27636">
      <w:pPr>
        <w:numPr>
          <w:ilvl w:val="0"/>
          <w:numId w:val="6"/>
        </w:numPr>
        <w:tabs>
          <w:tab w:val="left" w:pos="680"/>
        </w:tabs>
        <w:ind w:left="680" w:hanging="113"/>
        <w:rPr>
          <w:rFonts w:ascii="Calibri" w:eastAsia="Calibri" w:hAnsi="Calibri" w:cs="Calibri"/>
          <w:sz w:val="20"/>
          <w:szCs w:val="20"/>
          <w:lang w:val="fr-BE"/>
        </w:rPr>
      </w:pPr>
      <w:r w:rsidRPr="00C27636">
        <w:rPr>
          <w:rFonts w:ascii="Calibri" w:eastAsia="Calibri" w:hAnsi="Calibri" w:cs="Calibri"/>
          <w:sz w:val="20"/>
          <w:szCs w:val="20"/>
          <w:lang w:val="fr-BE"/>
        </w:rPr>
        <w:t xml:space="preserve">Bibliographie complète disponible sur </w:t>
      </w:r>
      <w:hyperlink r:id="rId21">
        <w:r w:rsidRPr="00C27636">
          <w:rPr>
            <w:rFonts w:ascii="Calibri" w:eastAsia="Calibri" w:hAnsi="Calibri" w:cs="Calibri"/>
            <w:color w:val="0000FF"/>
            <w:sz w:val="20"/>
            <w:szCs w:val="20"/>
            <w:u w:val="single"/>
            <w:lang w:val="fr-BE"/>
          </w:rPr>
          <w:t>www.cnde.be</w:t>
        </w:r>
        <w:r w:rsidRPr="00C27636">
          <w:rPr>
            <w:rFonts w:ascii="Calibri" w:eastAsia="Calibri" w:hAnsi="Calibri" w:cs="Calibri"/>
            <w:sz w:val="20"/>
            <w:szCs w:val="20"/>
            <w:u w:val="single"/>
            <w:lang w:val="fr-BE"/>
          </w:rPr>
          <w:t>.</w:t>
        </w:r>
      </w:hyperlink>
    </w:p>
    <w:p w:rsidR="00AC12B4" w:rsidRPr="00C27636" w:rsidRDefault="00AC12B4">
      <w:pPr>
        <w:spacing w:line="167" w:lineRule="exact"/>
        <w:rPr>
          <w:rFonts w:ascii="Calibri" w:eastAsia="Calibri" w:hAnsi="Calibri" w:cs="Calibri"/>
          <w:sz w:val="20"/>
          <w:szCs w:val="20"/>
          <w:lang w:val="fr-BE"/>
        </w:rPr>
      </w:pPr>
    </w:p>
    <w:p w:rsidR="00AC12B4" w:rsidRPr="00C27636" w:rsidRDefault="00C27636">
      <w:pPr>
        <w:numPr>
          <w:ilvl w:val="0"/>
          <w:numId w:val="6"/>
        </w:numPr>
        <w:tabs>
          <w:tab w:val="left" w:pos="735"/>
        </w:tabs>
        <w:spacing w:line="188" w:lineRule="auto"/>
        <w:ind w:left="560" w:right="177" w:firstLine="7"/>
        <w:rPr>
          <w:rFonts w:ascii="Calibri" w:eastAsia="Calibri" w:hAnsi="Calibri" w:cs="Calibri"/>
          <w:sz w:val="20"/>
          <w:szCs w:val="20"/>
          <w:lang w:val="fr-BE"/>
        </w:rPr>
      </w:pPr>
      <w:r w:rsidRPr="00C27636">
        <w:rPr>
          <w:rFonts w:ascii="Calibri" w:eastAsia="Calibri" w:hAnsi="Calibri" w:cs="Calibri"/>
          <w:sz w:val="20"/>
          <w:szCs w:val="20"/>
          <w:lang w:val="fr-BE"/>
        </w:rPr>
        <w:t>Le KeKi développe notamment ces risques dans sa publication "</w:t>
      </w:r>
      <w:r w:rsidRPr="00C27636">
        <w:rPr>
          <w:rFonts w:ascii="Calibri" w:eastAsia="Calibri" w:hAnsi="Calibri" w:cs="Calibri"/>
          <w:sz w:val="20"/>
          <w:szCs w:val="20"/>
          <w:lang w:val="fr-BE"/>
        </w:rPr>
        <w:t xml:space="preserve">'Meten' en 'weten' voor een gefundeerd kinderrechtenbeleid" de mai 2012, </w:t>
      </w:r>
      <w:hyperlink r:id="rId22">
        <w:r w:rsidRPr="00C27636">
          <w:rPr>
            <w:rFonts w:ascii="Calibri" w:eastAsia="Calibri" w:hAnsi="Calibri" w:cs="Calibri"/>
            <w:color w:val="0000FF"/>
            <w:sz w:val="20"/>
            <w:szCs w:val="20"/>
            <w:u w:val="single"/>
            <w:lang w:val="fr-BE"/>
          </w:rPr>
          <w:t>www.keki.be</w:t>
        </w:r>
        <w:r w:rsidRPr="00C27636">
          <w:rPr>
            <w:rFonts w:ascii="Calibri" w:eastAsia="Calibri" w:hAnsi="Calibri" w:cs="Calibri"/>
            <w:sz w:val="20"/>
            <w:szCs w:val="20"/>
            <w:u w:val="single"/>
            <w:lang w:val="fr-BE"/>
          </w:rPr>
          <w:t>.</w:t>
        </w:r>
      </w:hyperlink>
    </w:p>
    <w:p w:rsidR="00AC12B4" w:rsidRPr="00C27636" w:rsidRDefault="00AC12B4">
      <w:pPr>
        <w:spacing w:line="244" w:lineRule="exact"/>
        <w:rPr>
          <w:rFonts w:ascii="Calibri" w:eastAsia="Calibri" w:hAnsi="Calibri" w:cs="Calibri"/>
          <w:sz w:val="26"/>
          <w:szCs w:val="26"/>
          <w:vertAlign w:val="superscript"/>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19</w:t>
      </w:r>
    </w:p>
    <w:p w:rsidR="00AC12B4" w:rsidRPr="00C27636" w:rsidRDefault="00AC12B4">
      <w:pPr>
        <w:rPr>
          <w:lang w:val="fr-BE"/>
        </w:rPr>
        <w:sectPr w:rsidR="00AC12B4" w:rsidRPr="00C27636">
          <w:type w:val="continuous"/>
          <w:pgSz w:w="12080" w:h="17179"/>
          <w:pgMar w:top="587" w:right="1440" w:bottom="659" w:left="1440" w:header="0" w:footer="0" w:gutter="0"/>
          <w:cols w:space="720" w:equalWidth="0">
            <w:col w:w="9197"/>
          </w:cols>
        </w:sectPr>
      </w:pPr>
    </w:p>
    <w:p w:rsidR="00AC12B4" w:rsidRPr="00C27636" w:rsidRDefault="00AC12B4">
      <w:pPr>
        <w:spacing w:line="212" w:lineRule="exact"/>
        <w:rPr>
          <w:sz w:val="20"/>
          <w:szCs w:val="20"/>
          <w:lang w:val="fr-BE"/>
        </w:rPr>
      </w:pPr>
      <w:bookmarkStart w:id="19" w:name="page20"/>
      <w:bookmarkEnd w:id="19"/>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Ne pas répondre à ces questions entraîne le risque d’accumuler les chiffres et statistiques et de, finalem</w:t>
      </w:r>
      <w:r w:rsidRPr="00C27636">
        <w:rPr>
          <w:rFonts w:ascii="Calibri" w:eastAsia="Calibri" w:hAnsi="Calibri" w:cs="Calibri"/>
          <w:lang w:val="fr-BE"/>
        </w:rPr>
        <w:t>ent, passer à côté de l’objectif de suivi et d’évaluation de l’application de la CIDE en Belgique.</w:t>
      </w:r>
    </w:p>
    <w:p w:rsidR="00AC12B4" w:rsidRPr="00C27636" w:rsidRDefault="00AC12B4">
      <w:pPr>
        <w:spacing w:line="39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Des indicateurs pour faire quoi ?</w:t>
      </w:r>
    </w:p>
    <w:p w:rsidR="00AC12B4" w:rsidRPr="00C27636" w:rsidRDefault="00AC12B4">
      <w:pPr>
        <w:spacing w:line="168"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i/>
          <w:iCs/>
          <w:lang w:val="fr-BE"/>
        </w:rPr>
        <w:t>Pourquoi avons-nous besoin d’indicateurs ? Uniquement pour la rédaction du rapport périodique ? Comme outil de suivi cont</w:t>
      </w:r>
      <w:r w:rsidRPr="00C27636">
        <w:rPr>
          <w:rFonts w:ascii="Calibri" w:eastAsia="Calibri" w:hAnsi="Calibri" w:cs="Calibri"/>
          <w:i/>
          <w:iCs/>
          <w:lang w:val="fr-BE"/>
        </w:rPr>
        <w:t>inu de nos politiques ? Comme outil de communication envers le grand public ?</w:t>
      </w:r>
    </w:p>
    <w:p w:rsidR="00AC12B4" w:rsidRPr="00C27636" w:rsidRDefault="00AC12B4">
      <w:pPr>
        <w:spacing w:line="200" w:lineRule="exact"/>
        <w:rPr>
          <w:sz w:val="20"/>
          <w:szCs w:val="20"/>
          <w:lang w:val="fr-BE"/>
        </w:rPr>
      </w:pPr>
    </w:p>
    <w:p w:rsidR="00AC12B4" w:rsidRPr="00C27636" w:rsidRDefault="00AC12B4">
      <w:pPr>
        <w:spacing w:line="357"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 xml:space="preserve">La réponse à ces questions, influence largement le type d’indicateur utilisé (indicateur de résultat/d'impact/de performance, qualitatif/quantitatif) ainsi que la périodicité </w:t>
      </w:r>
      <w:r w:rsidRPr="00C27636">
        <w:rPr>
          <w:rFonts w:ascii="Calibri" w:eastAsia="Calibri" w:hAnsi="Calibri" w:cs="Calibri"/>
          <w:lang w:val="fr-BE"/>
        </w:rPr>
        <w:t>de la récolte de données (continue, annuelle, quinquennale,…). Mais cela influence également le champ de l’étude (impact d’une politique précise, états des lieux global,…).</w:t>
      </w:r>
    </w:p>
    <w:p w:rsidR="00AC12B4" w:rsidRPr="00C27636" w:rsidRDefault="00AC12B4">
      <w:pPr>
        <w:spacing w:line="171"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 xml:space="preserve">La réponse est éminemment politique et a dû dès lors faire l’objet d’un consensus </w:t>
      </w:r>
      <w:r w:rsidRPr="00C27636">
        <w:rPr>
          <w:rFonts w:ascii="Calibri" w:eastAsia="Calibri" w:hAnsi="Calibri" w:cs="Calibri"/>
          <w:lang w:val="fr-BE"/>
        </w:rPr>
        <w:t>entre les différentes entités.</w:t>
      </w:r>
    </w:p>
    <w:p w:rsidR="00AC12B4" w:rsidRPr="00C27636" w:rsidRDefault="00AC12B4">
      <w:pPr>
        <w:spacing w:line="130" w:lineRule="exact"/>
        <w:rPr>
          <w:sz w:val="20"/>
          <w:szCs w:val="20"/>
          <w:lang w:val="fr-BE"/>
        </w:rPr>
      </w:pPr>
    </w:p>
    <w:p w:rsidR="00AC12B4" w:rsidRPr="00C27636" w:rsidRDefault="00C27636">
      <w:pPr>
        <w:spacing w:line="227" w:lineRule="auto"/>
        <w:ind w:right="737"/>
        <w:jc w:val="both"/>
        <w:rPr>
          <w:sz w:val="20"/>
          <w:szCs w:val="20"/>
          <w:lang w:val="fr-BE"/>
        </w:rPr>
      </w:pPr>
      <w:r w:rsidRPr="00C27636">
        <w:rPr>
          <w:rFonts w:ascii="Calibri" w:eastAsia="Calibri" w:hAnsi="Calibri" w:cs="Calibri"/>
          <w:lang w:val="fr-BE"/>
        </w:rPr>
        <w:t>Les indicateurs nationaux ne sont pas des outils de monitoring de politiques particulières</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xml:space="preserve"> mais plutôt des indicateurs permettant dans un premier temps de faire "l'état des lieux" du respect (de certaines facettes) des droi</w:t>
      </w:r>
      <w:r w:rsidRPr="00C27636">
        <w:rPr>
          <w:rFonts w:ascii="Calibri" w:eastAsia="Calibri" w:hAnsi="Calibri" w:cs="Calibri"/>
          <w:lang w:val="fr-BE"/>
        </w:rPr>
        <w:t>ts de l'Enfant en Belgique et, à plus long terme, de pouvoir en mesurer l'évolution. Il s'agit donc d'un outil de suivi et d'évaluation complémentaire à ceux existants dans les différentes institutions.</w:t>
      </w:r>
    </w:p>
    <w:p w:rsidR="00AC12B4" w:rsidRPr="00C27636" w:rsidRDefault="00AC12B4">
      <w:pPr>
        <w:spacing w:line="200" w:lineRule="exact"/>
        <w:rPr>
          <w:sz w:val="20"/>
          <w:szCs w:val="20"/>
          <w:lang w:val="fr-BE"/>
        </w:rPr>
      </w:pPr>
    </w:p>
    <w:p w:rsidR="00AC12B4" w:rsidRPr="00C27636" w:rsidRDefault="00AC12B4">
      <w:pPr>
        <w:spacing w:line="316"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Des indicateurs pour mesurer quoi ?</w:t>
      </w:r>
    </w:p>
    <w:p w:rsidR="00AC12B4" w:rsidRPr="00C27636" w:rsidRDefault="00AC12B4">
      <w:pPr>
        <w:spacing w:line="168"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i/>
          <w:iCs/>
          <w:lang w:val="fr-BE"/>
        </w:rPr>
        <w:t>Comment mesure</w:t>
      </w:r>
      <w:r w:rsidRPr="00C27636">
        <w:rPr>
          <w:rFonts w:ascii="Calibri" w:eastAsia="Calibri" w:hAnsi="Calibri" w:cs="Calibri"/>
          <w:i/>
          <w:iCs/>
          <w:lang w:val="fr-BE"/>
        </w:rPr>
        <w:t>r pertinemment la jouissance d’un droit ? Doit-on se focaliser sur des indicateurs de mise en œuvre (centrés sur les gouvernements et leurs politiques) ou des indicateurs de résultat (centrés sur l’individu ou le groupe) ? Quelle différence avec des indica</w:t>
      </w:r>
      <w:r w:rsidRPr="00C27636">
        <w:rPr>
          <w:rFonts w:ascii="Calibri" w:eastAsia="Calibri" w:hAnsi="Calibri" w:cs="Calibri"/>
          <w:i/>
          <w:iCs/>
          <w:lang w:val="fr-BE"/>
        </w:rPr>
        <w:t>teurs socio-économiques classiques ?</w:t>
      </w:r>
    </w:p>
    <w:p w:rsidR="00AC12B4" w:rsidRPr="00C27636" w:rsidRDefault="00AC12B4">
      <w:pPr>
        <w:spacing w:line="200" w:lineRule="exact"/>
        <w:rPr>
          <w:sz w:val="20"/>
          <w:szCs w:val="20"/>
          <w:lang w:val="fr-BE"/>
        </w:rPr>
      </w:pPr>
    </w:p>
    <w:p w:rsidR="00AC12B4" w:rsidRPr="00C27636" w:rsidRDefault="00AC12B4">
      <w:pPr>
        <w:spacing w:line="361" w:lineRule="exact"/>
        <w:rPr>
          <w:sz w:val="20"/>
          <w:szCs w:val="20"/>
          <w:lang w:val="fr-BE"/>
        </w:rPr>
      </w:pPr>
    </w:p>
    <w:p w:rsidR="00AC12B4" w:rsidRDefault="00C27636">
      <w:pPr>
        <w:spacing w:line="216" w:lineRule="auto"/>
        <w:ind w:right="737"/>
        <w:jc w:val="both"/>
        <w:rPr>
          <w:sz w:val="20"/>
          <w:szCs w:val="20"/>
        </w:rPr>
      </w:pPr>
      <w:r w:rsidRPr="00C27636">
        <w:rPr>
          <w:rFonts w:ascii="Calibri" w:eastAsia="Calibri" w:hAnsi="Calibri" w:cs="Calibri"/>
          <w:lang w:val="fr-BE"/>
        </w:rPr>
        <w:t>Pour respecter l’essence même de la Convention Internationale relative aux droits de l’Enfant, les données récoltées sont ventilées le plus possible</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 xml:space="preserve"> (en fonction du sexe, de l’âge, de l’origine,…) pour mettre en avan</w:t>
      </w:r>
      <w:r w:rsidRPr="00C27636">
        <w:rPr>
          <w:rFonts w:ascii="Calibri" w:eastAsia="Calibri" w:hAnsi="Calibri" w:cs="Calibri"/>
          <w:lang w:val="fr-BE"/>
        </w:rPr>
        <w:t>t les groupes vulnérables et donc travailler sur le principe de non-discrimination</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 xml:space="preserve">. En effet, la question n’est pas de mesurer l’existence de tel service de soin de santé par exemple, mais plutôt l’accessibilité de ce service à tous, sans discrimination. </w:t>
      </w:r>
      <w:r>
        <w:rPr>
          <w:rFonts w:ascii="Calibri" w:eastAsia="Calibri" w:hAnsi="Calibri" w:cs="Calibri"/>
        </w:rPr>
        <w:t>C'est ce que permet l'analyse de données ventilées.</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362816" behindDoc="1" locked="0" layoutInCell="0" allowOverlap="1">
                <wp:simplePos x="0" y="0"/>
                <wp:positionH relativeFrom="column">
                  <wp:posOffset>0</wp:posOffset>
                </wp:positionH>
                <wp:positionV relativeFrom="paragraph">
                  <wp:posOffset>853440</wp:posOffset>
                </wp:positionV>
                <wp:extent cx="1828800" cy="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2pt" to="144pt,67.2pt" o:allowincell="f" strokecolor="#000000" strokeweight="0.72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3" w:lineRule="exact"/>
        <w:rPr>
          <w:sz w:val="20"/>
          <w:szCs w:val="20"/>
        </w:rPr>
      </w:pPr>
    </w:p>
    <w:p w:rsidR="00AC12B4" w:rsidRPr="00C27636" w:rsidRDefault="00C27636">
      <w:pPr>
        <w:numPr>
          <w:ilvl w:val="0"/>
          <w:numId w:val="7"/>
        </w:numPr>
        <w:tabs>
          <w:tab w:val="left" w:pos="120"/>
        </w:tabs>
        <w:spacing w:line="204" w:lineRule="auto"/>
        <w:ind w:right="73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Certaines entités ayant un plan d'action disposent d'outils de monitoring pour celui-ci. Il nous semble judicieux que ce monitoring se fasse par l'institution concernée comme c'est le cas par </w:t>
      </w:r>
      <w:r w:rsidRPr="00C27636">
        <w:rPr>
          <w:rFonts w:ascii="Calibri" w:eastAsia="Calibri" w:hAnsi="Calibri" w:cs="Calibri"/>
          <w:sz w:val="20"/>
          <w:szCs w:val="20"/>
          <w:lang w:val="fr-BE"/>
        </w:rPr>
        <w:t>exemple au niveau de la Fédération Wallonie-Bruxelles.</w:t>
      </w:r>
    </w:p>
    <w:p w:rsidR="00AC12B4" w:rsidRPr="00C27636" w:rsidRDefault="00AC12B4">
      <w:pPr>
        <w:spacing w:line="49" w:lineRule="exact"/>
        <w:rPr>
          <w:rFonts w:ascii="Calibri" w:eastAsia="Calibri" w:hAnsi="Calibri" w:cs="Calibri"/>
          <w:sz w:val="26"/>
          <w:szCs w:val="26"/>
          <w:vertAlign w:val="superscript"/>
          <w:lang w:val="fr-BE"/>
        </w:rPr>
      </w:pPr>
    </w:p>
    <w:p w:rsidR="00AC12B4" w:rsidRPr="00C27636" w:rsidRDefault="00C27636">
      <w:pPr>
        <w:numPr>
          <w:ilvl w:val="0"/>
          <w:numId w:val="7"/>
        </w:numPr>
        <w:tabs>
          <w:tab w:val="left" w:pos="120"/>
        </w:tabs>
        <w:ind w:left="120" w:hanging="12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Tout en gardant à l’esprit la fiabilité des données lorsqu’on travaille avec des échantillonnages.</w:t>
      </w:r>
    </w:p>
    <w:p w:rsidR="00AC12B4" w:rsidRPr="00C27636" w:rsidRDefault="00AC12B4">
      <w:pPr>
        <w:spacing w:line="165" w:lineRule="exact"/>
        <w:rPr>
          <w:rFonts w:ascii="Calibri" w:eastAsia="Calibri" w:hAnsi="Calibri" w:cs="Calibri"/>
          <w:sz w:val="26"/>
          <w:szCs w:val="26"/>
          <w:vertAlign w:val="superscript"/>
          <w:lang w:val="fr-BE"/>
        </w:rPr>
      </w:pPr>
    </w:p>
    <w:p w:rsidR="00AC12B4" w:rsidRDefault="00C27636">
      <w:pPr>
        <w:numPr>
          <w:ilvl w:val="0"/>
          <w:numId w:val="7"/>
        </w:numPr>
        <w:tabs>
          <w:tab w:val="left" w:pos="144"/>
        </w:tabs>
        <w:spacing w:line="204" w:lineRule="auto"/>
        <w:ind w:right="737"/>
        <w:jc w:val="both"/>
        <w:rPr>
          <w:rFonts w:ascii="Calibri" w:eastAsia="Calibri" w:hAnsi="Calibri" w:cs="Calibri"/>
          <w:sz w:val="26"/>
          <w:szCs w:val="26"/>
          <w:vertAlign w:val="superscript"/>
        </w:rPr>
      </w:pPr>
      <w:r>
        <w:rPr>
          <w:rFonts w:ascii="Calibri" w:eastAsia="Calibri" w:hAnsi="Calibri" w:cs="Calibri"/>
          <w:sz w:val="20"/>
          <w:szCs w:val="20"/>
        </w:rPr>
        <w:t xml:space="preserve">Voir à ce sujet: European Union for Fundamental Rights, </w:t>
      </w:r>
      <w:r>
        <w:rPr>
          <w:rFonts w:ascii="Calibri" w:eastAsia="Calibri" w:hAnsi="Calibri" w:cs="Calibri"/>
          <w:i/>
          <w:iCs/>
          <w:sz w:val="20"/>
          <w:szCs w:val="20"/>
        </w:rPr>
        <w:t>Developing indicators for the protection,</w:t>
      </w:r>
      <w:r>
        <w:rPr>
          <w:rFonts w:ascii="Calibri" w:eastAsia="Calibri" w:hAnsi="Calibri" w:cs="Calibri"/>
          <w:sz w:val="20"/>
          <w:szCs w:val="20"/>
        </w:rPr>
        <w:t xml:space="preserve"> </w:t>
      </w:r>
      <w:r>
        <w:rPr>
          <w:rFonts w:ascii="Calibri" w:eastAsia="Calibri" w:hAnsi="Calibri" w:cs="Calibri"/>
          <w:i/>
          <w:iCs/>
          <w:sz w:val="20"/>
          <w:szCs w:val="20"/>
        </w:rPr>
        <w:t>re</w:t>
      </w:r>
      <w:r>
        <w:rPr>
          <w:rFonts w:ascii="Calibri" w:eastAsia="Calibri" w:hAnsi="Calibri" w:cs="Calibri"/>
          <w:i/>
          <w:iCs/>
          <w:sz w:val="20"/>
          <w:szCs w:val="20"/>
        </w:rPr>
        <w:t>spect and promotion of the rights of the child in the European Union</w:t>
      </w:r>
      <w:r>
        <w:rPr>
          <w:rFonts w:ascii="Calibri" w:eastAsia="Calibri" w:hAnsi="Calibri" w:cs="Calibri"/>
          <w:sz w:val="20"/>
          <w:szCs w:val="20"/>
        </w:rPr>
        <w:t>, Conference Edition, Novembre</w:t>
      </w:r>
      <w:r>
        <w:rPr>
          <w:rFonts w:ascii="Calibri" w:eastAsia="Calibri" w:hAnsi="Calibri" w:cs="Calibri"/>
          <w:i/>
          <w:iCs/>
          <w:sz w:val="20"/>
          <w:szCs w:val="20"/>
        </w:rPr>
        <w:t xml:space="preserve"> </w:t>
      </w:r>
      <w:r>
        <w:rPr>
          <w:rFonts w:ascii="Calibri" w:eastAsia="Calibri" w:hAnsi="Calibri" w:cs="Calibri"/>
          <w:sz w:val="20"/>
          <w:szCs w:val="20"/>
        </w:rPr>
        <w:t xml:space="preserve">2010, pp19-21; Erik André Andersenet Hans-Otto Sano, </w:t>
      </w:r>
      <w:r>
        <w:rPr>
          <w:rFonts w:ascii="Calibri" w:eastAsia="Calibri" w:hAnsi="Calibri" w:cs="Calibri"/>
          <w:i/>
          <w:iCs/>
          <w:sz w:val="20"/>
          <w:szCs w:val="20"/>
        </w:rPr>
        <w:t>op. cit.</w:t>
      </w:r>
      <w:r>
        <w:rPr>
          <w:rFonts w:ascii="Calibri" w:eastAsia="Calibri" w:hAnsi="Calibri" w:cs="Calibri"/>
          <w:sz w:val="20"/>
          <w:szCs w:val="20"/>
        </w:rPr>
        <w:t>, pp 28-30</w:t>
      </w:r>
    </w:p>
    <w:p w:rsidR="00AC12B4" w:rsidRDefault="00AC12B4">
      <w:pPr>
        <w:spacing w:line="244" w:lineRule="exact"/>
        <w:rPr>
          <w:sz w:val="20"/>
          <w:szCs w:val="20"/>
        </w:rPr>
      </w:pPr>
    </w:p>
    <w:p w:rsidR="00AC12B4" w:rsidRPr="00C27636" w:rsidRDefault="00C27636">
      <w:pPr>
        <w:ind w:left="4120"/>
        <w:rPr>
          <w:sz w:val="20"/>
          <w:szCs w:val="20"/>
          <w:lang w:val="fr-BE"/>
        </w:rPr>
      </w:pPr>
      <w:r w:rsidRPr="00C27636">
        <w:rPr>
          <w:rFonts w:ascii="Calibri" w:eastAsia="Calibri" w:hAnsi="Calibri" w:cs="Calibri"/>
          <w:lang w:val="fr-BE"/>
        </w:rPr>
        <w:t>20</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212" w:lineRule="exact"/>
        <w:rPr>
          <w:sz w:val="20"/>
          <w:szCs w:val="20"/>
          <w:lang w:val="fr-BE"/>
        </w:rPr>
      </w:pPr>
      <w:bookmarkStart w:id="20" w:name="page21"/>
      <w:bookmarkEnd w:id="20"/>
    </w:p>
    <w:p w:rsidR="00AC12B4" w:rsidRPr="00C27636" w:rsidRDefault="00C27636">
      <w:pPr>
        <w:spacing w:line="234" w:lineRule="auto"/>
        <w:ind w:left="560"/>
        <w:jc w:val="both"/>
        <w:rPr>
          <w:sz w:val="20"/>
          <w:szCs w:val="20"/>
          <w:lang w:val="fr-BE"/>
        </w:rPr>
      </w:pPr>
      <w:r w:rsidRPr="00C27636">
        <w:rPr>
          <w:rFonts w:ascii="Calibri" w:eastAsia="Calibri" w:hAnsi="Calibri" w:cs="Calibri"/>
          <w:lang w:val="fr-BE"/>
        </w:rPr>
        <w:t xml:space="preserve">Les autres principes généraux du CRC (le droit à la vie et à la </w:t>
      </w:r>
      <w:r w:rsidRPr="00C27636">
        <w:rPr>
          <w:rFonts w:ascii="Calibri" w:eastAsia="Calibri" w:hAnsi="Calibri" w:cs="Calibri"/>
          <w:lang w:val="fr-BE"/>
        </w:rPr>
        <w:t xml:space="preserve">survie, l'intérêt supérieur de l'enfant et le droit à la participation) ainsi que des critères de performance et d'implémentation ont également guidé notre recherche. Quelques exemples de ces derniers sont ceux mis en exergue par le Commentaire Général n° </w:t>
      </w:r>
      <w:r w:rsidRPr="00C27636">
        <w:rPr>
          <w:rFonts w:ascii="Calibri" w:eastAsia="Calibri" w:hAnsi="Calibri" w:cs="Calibri"/>
          <w:lang w:val="fr-BE"/>
        </w:rPr>
        <w:t>15 du Comité des droits de l’enfant sur le droit à la santé</w:t>
      </w:r>
      <w:r w:rsidRPr="00C27636">
        <w:rPr>
          <w:rFonts w:ascii="Calibri" w:eastAsia="Calibri" w:hAnsi="Calibri" w:cs="Calibri"/>
          <w:sz w:val="27"/>
          <w:szCs w:val="27"/>
          <w:vertAlign w:val="superscript"/>
          <w:lang w:val="fr-BE"/>
        </w:rPr>
        <w:t>6</w:t>
      </w:r>
      <w:r w:rsidRPr="00C27636">
        <w:rPr>
          <w:rFonts w:ascii="Calibri" w:eastAsia="Calibri" w:hAnsi="Calibri" w:cs="Calibri"/>
          <w:lang w:val="fr-BE"/>
        </w:rPr>
        <w:t xml:space="preserve">: 'availability', 'accessibility' (non-discrimination, physical accessibility, economic accessibility/affordability et information accessibility), 'acceptability' ('medical ethics' et 'children's </w:t>
      </w:r>
      <w:r w:rsidRPr="00C27636">
        <w:rPr>
          <w:rFonts w:ascii="Calibri" w:eastAsia="Calibri" w:hAnsi="Calibri" w:cs="Calibri"/>
          <w:lang w:val="fr-BE"/>
        </w:rPr>
        <w:t>needs' ainsi que l'impact d'éléments culturels) et 'quality'</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8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FFFFFF"/>
          <w:lang w:val="fr-BE"/>
        </w:rPr>
        <w:t xml:space="preserve">Non-discrimination </w:t>
      </w:r>
      <w:r w:rsidRPr="00C27636">
        <w:rPr>
          <w:rFonts w:ascii="Calibri" w:eastAsia="Calibri" w:hAnsi="Calibri" w:cs="Calibri"/>
          <w:color w:val="FFFFFF"/>
          <w:lang w:val="fr-BE"/>
        </w:rPr>
        <w: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63840" behindDoc="1" locked="0" layoutInCell="0" allowOverlap="1">
                <wp:simplePos x="0" y="0"/>
                <wp:positionH relativeFrom="column">
                  <wp:posOffset>-85725</wp:posOffset>
                </wp:positionH>
                <wp:positionV relativeFrom="paragraph">
                  <wp:posOffset>-210185</wp:posOffset>
                </wp:positionV>
                <wp:extent cx="3609340" cy="309880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9340" cy="3098800"/>
                        </a:xfrm>
                        <a:prstGeom prst="rect">
                          <a:avLst/>
                        </a:prstGeom>
                        <a:solidFill>
                          <a:srgbClr val="ACD8F9"/>
                        </a:solidFill>
                      </wps:spPr>
                      <wps:bodyPr/>
                    </wps:wsp>
                  </a:graphicData>
                </a:graphic>
              </wp:anchor>
            </w:drawing>
          </mc:Choice>
          <mc:Fallback>
            <w:pict>
              <v:rect id="Shape 15" o:spid="_x0000_s1040" style="position:absolute;margin-left:-6.7499pt;margin-top:-16.5499pt;width:284.2pt;height:2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CD8F9" stroked="f"/>
            </w:pict>
          </mc:Fallback>
        </mc:AlternateContent>
      </w:r>
    </w:p>
    <w:p w:rsidR="00AC12B4" w:rsidRPr="00C27636" w:rsidRDefault="00AC12B4">
      <w:pPr>
        <w:spacing w:line="149" w:lineRule="exact"/>
        <w:rPr>
          <w:sz w:val="20"/>
          <w:szCs w:val="20"/>
          <w:lang w:val="fr-BE"/>
        </w:rPr>
      </w:pPr>
    </w:p>
    <w:p w:rsidR="00AC12B4" w:rsidRDefault="00C27636">
      <w:pPr>
        <w:spacing w:line="217" w:lineRule="auto"/>
        <w:rPr>
          <w:sz w:val="20"/>
          <w:szCs w:val="20"/>
        </w:rPr>
      </w:pPr>
      <w:r w:rsidRPr="00C27636">
        <w:rPr>
          <w:rFonts w:ascii="Calibri" w:eastAsia="Calibri" w:hAnsi="Calibri" w:cs="Calibri"/>
          <w:sz w:val="20"/>
          <w:szCs w:val="20"/>
          <w:lang w:val="fr-BE"/>
        </w:rPr>
        <w:t xml:space="preserve">La CIDE énonce par exemple (article 24) « </w:t>
      </w:r>
      <w:r w:rsidRPr="00C27636">
        <w:rPr>
          <w:rFonts w:ascii="Calibri" w:eastAsia="Calibri" w:hAnsi="Calibri" w:cs="Calibri"/>
          <w:i/>
          <w:iCs/>
          <w:sz w:val="20"/>
          <w:szCs w:val="20"/>
          <w:lang w:val="fr-BE"/>
        </w:rPr>
        <w:t>le droit de l'enfant de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 xml:space="preserve">jouir </w:t>
      </w:r>
      <w:r w:rsidRPr="00C27636">
        <w:rPr>
          <w:rFonts w:ascii="Calibri" w:eastAsia="Calibri" w:hAnsi="Calibri" w:cs="Calibri"/>
          <w:b/>
          <w:bCs/>
          <w:i/>
          <w:iCs/>
          <w:sz w:val="20"/>
          <w:szCs w:val="20"/>
          <w:lang w:val="fr-BE"/>
        </w:rPr>
        <w:t>du meilleur état de santé possible</w:t>
      </w:r>
      <w:r w:rsidRPr="00C27636">
        <w:rPr>
          <w:rFonts w:ascii="Calibri" w:eastAsia="Calibri" w:hAnsi="Calibri" w:cs="Calibri"/>
          <w:i/>
          <w:iCs/>
          <w:sz w:val="20"/>
          <w:szCs w:val="20"/>
          <w:lang w:val="fr-BE"/>
        </w:rPr>
        <w:t xml:space="preserve"> ». </w:t>
      </w:r>
      <w:r>
        <w:rPr>
          <w:rFonts w:ascii="Calibri" w:eastAsia="Calibri" w:hAnsi="Calibri" w:cs="Calibri"/>
          <w:sz w:val="20"/>
          <w:szCs w:val="20"/>
        </w:rPr>
        <w:t>Ce concept de</w:t>
      </w:r>
    </w:p>
    <w:p w:rsidR="00AC12B4" w:rsidRDefault="00AC12B4">
      <w:pPr>
        <w:spacing w:line="48" w:lineRule="exact"/>
        <w:rPr>
          <w:sz w:val="20"/>
          <w:szCs w:val="20"/>
        </w:rPr>
      </w:pPr>
    </w:p>
    <w:p w:rsidR="00AC12B4" w:rsidRPr="00C27636" w:rsidRDefault="00C27636">
      <w:pPr>
        <w:numPr>
          <w:ilvl w:val="0"/>
          <w:numId w:val="8"/>
        </w:numPr>
        <w:tabs>
          <w:tab w:val="left" w:pos="149"/>
        </w:tabs>
        <w:spacing w:line="232" w:lineRule="auto"/>
        <w:ind w:firstLine="9"/>
        <w:jc w:val="both"/>
        <w:rPr>
          <w:rFonts w:ascii="Calibri" w:eastAsia="Calibri" w:hAnsi="Calibri" w:cs="Calibri"/>
          <w:sz w:val="20"/>
          <w:szCs w:val="20"/>
          <w:lang w:val="fr-BE"/>
        </w:rPr>
      </w:pPr>
      <w:r w:rsidRPr="00C27636">
        <w:rPr>
          <w:rFonts w:ascii="Calibri" w:eastAsia="Calibri" w:hAnsi="Calibri" w:cs="Calibri"/>
          <w:sz w:val="20"/>
          <w:szCs w:val="20"/>
          <w:lang w:val="fr-BE"/>
        </w:rPr>
        <w:t xml:space="preserve">meilleur état de santé possible » renvoie </w:t>
      </w:r>
      <w:r w:rsidRPr="00C27636">
        <w:rPr>
          <w:rFonts w:ascii="Calibri" w:eastAsia="Calibri" w:hAnsi="Calibri" w:cs="Calibri"/>
          <w:sz w:val="20"/>
          <w:szCs w:val="20"/>
          <w:lang w:val="fr-BE"/>
        </w:rPr>
        <w:t>au concept d’iniquité ou d’</w:t>
      </w:r>
      <w:r w:rsidRPr="00C27636">
        <w:rPr>
          <w:rFonts w:ascii="Calibri" w:eastAsia="Calibri" w:hAnsi="Calibri" w:cs="Calibri"/>
          <w:i/>
          <w:iCs/>
          <w:sz w:val="20"/>
          <w:szCs w:val="20"/>
          <w:lang w:val="fr-BE"/>
        </w:rPr>
        <w:t>avoidable health inequalities (OMS).</w:t>
      </w:r>
      <w:r w:rsidRPr="00C27636">
        <w:rPr>
          <w:rFonts w:ascii="Calibri" w:eastAsia="Calibri" w:hAnsi="Calibri" w:cs="Calibri"/>
          <w:sz w:val="20"/>
          <w:szCs w:val="20"/>
          <w:lang w:val="fr-BE"/>
        </w:rPr>
        <w:t xml:space="preserve"> Ce qui fait d’un indicateur qu’il ne représente pas seulement la santé mais bien le droit à la santé est qu’il mette en lumière d’éventuels groupes vulnérables. Ceci peut être atteint par une </w:t>
      </w:r>
      <w:r w:rsidRPr="00C27636">
        <w:rPr>
          <w:rFonts w:ascii="Calibri" w:eastAsia="Calibri" w:hAnsi="Calibri" w:cs="Calibri"/>
          <w:sz w:val="20"/>
          <w:szCs w:val="20"/>
          <w:lang w:val="fr-BE"/>
        </w:rPr>
        <w:t>large ventilation des données.</w:t>
      </w:r>
    </w:p>
    <w:p w:rsidR="00AC12B4" w:rsidRPr="00C27636" w:rsidRDefault="00AC12B4">
      <w:pPr>
        <w:spacing w:line="168" w:lineRule="exact"/>
        <w:rPr>
          <w:sz w:val="20"/>
          <w:szCs w:val="20"/>
          <w:lang w:val="fr-BE"/>
        </w:rPr>
      </w:pPr>
    </w:p>
    <w:p w:rsidR="00AC12B4" w:rsidRPr="00C27636" w:rsidRDefault="00C27636">
      <w:pPr>
        <w:spacing w:line="235" w:lineRule="auto"/>
        <w:jc w:val="both"/>
        <w:rPr>
          <w:sz w:val="20"/>
          <w:szCs w:val="20"/>
          <w:lang w:val="fr-BE"/>
        </w:rPr>
      </w:pPr>
      <w:r w:rsidRPr="00C27636">
        <w:rPr>
          <w:rFonts w:ascii="Calibri" w:eastAsia="Calibri" w:hAnsi="Calibri" w:cs="Calibri"/>
          <w:sz w:val="20"/>
          <w:szCs w:val="20"/>
          <w:lang w:val="fr-BE"/>
        </w:rPr>
        <w:t>Par exemple, plus que la donnée « moyenne » du taux de mortalité infantile, nous nous intéressons au taux relatifs de mortalité infantile en fonction par exemple du sexe, de l’origine ethnique, du milieu socio-économique, ha</w:t>
      </w:r>
      <w:r w:rsidRPr="00C27636">
        <w:rPr>
          <w:rFonts w:ascii="Calibri" w:eastAsia="Calibri" w:hAnsi="Calibri" w:cs="Calibri"/>
          <w:sz w:val="20"/>
          <w:szCs w:val="20"/>
          <w:lang w:val="fr-BE"/>
        </w:rPr>
        <w:t>ndicap,…). L’évolution dans le temps du taux national de mortalité infantile est évidemment à considérer (notamment pour surveiller une éventuelle régression) mais nous nous penchons plus sur l’évolution de ce taux à travers divers groupes vulnérables.</w:t>
      </w:r>
    </w:p>
    <w:p w:rsidR="00AC12B4" w:rsidRPr="00C27636" w:rsidRDefault="00AC12B4">
      <w:pPr>
        <w:spacing w:line="283" w:lineRule="exact"/>
        <w:rPr>
          <w:sz w:val="20"/>
          <w:szCs w:val="20"/>
          <w:lang w:val="fr-BE"/>
        </w:rPr>
      </w:pPr>
    </w:p>
    <w:p w:rsidR="00AC12B4" w:rsidRPr="00C27636" w:rsidRDefault="00AC12B4">
      <w:pPr>
        <w:rPr>
          <w:lang w:val="fr-BE"/>
        </w:rPr>
        <w:sectPr w:rsidR="00AC12B4" w:rsidRPr="00C27636">
          <w:pgSz w:w="12080" w:h="17179"/>
          <w:pgMar w:top="1440" w:right="1257" w:bottom="659" w:left="1440" w:header="0" w:footer="0" w:gutter="0"/>
          <w:cols w:num="2" w:space="720" w:equalWidth="0">
            <w:col w:w="3880" w:space="320"/>
            <w:col w:w="5180"/>
          </w:cols>
        </w:sectPr>
      </w:pPr>
    </w:p>
    <w:p w:rsidR="00AC12B4" w:rsidRPr="00C27636" w:rsidRDefault="00C27636">
      <w:pPr>
        <w:spacing w:line="229" w:lineRule="auto"/>
        <w:ind w:left="560" w:right="340"/>
        <w:jc w:val="both"/>
        <w:rPr>
          <w:sz w:val="20"/>
          <w:szCs w:val="20"/>
          <w:lang w:val="fr-BE"/>
        </w:rPr>
      </w:pPr>
      <w:r>
        <w:rPr>
          <w:rFonts w:ascii="Calibri" w:eastAsia="Calibri" w:hAnsi="Calibri" w:cs="Calibri"/>
        </w:rPr>
        <w:lastRenderedPageBreak/>
        <w:t xml:space="preserve">('scientifically approved interventions, equipment and drugs', 'training of personnel' et 'assessments'). </w:t>
      </w:r>
      <w:r w:rsidRPr="00C27636">
        <w:rPr>
          <w:rFonts w:ascii="Calibri" w:eastAsia="Calibri" w:hAnsi="Calibri" w:cs="Calibri"/>
          <w:lang w:val="fr-BE"/>
        </w:rPr>
        <w:t xml:space="preserve">Ces critères sont généralement applicables à l’ensemble des droits de l’enfant (p.ex. le droit à l’enseignement, au loisir, </w:t>
      </w:r>
      <w:r w:rsidRPr="00C27636">
        <w:rPr>
          <w:rFonts w:ascii="Calibri" w:eastAsia="Calibri" w:hAnsi="Calibri" w:cs="Calibri"/>
          <w:lang w:val="fr-BE"/>
        </w:rPr>
        <w:t>la justice des mineurs etc.) et ont dès lors contribué à la sélection d’indicateurs.</w:t>
      </w:r>
    </w:p>
    <w:p w:rsidR="00AC12B4" w:rsidRPr="00C27636" w:rsidRDefault="00AC12B4">
      <w:pPr>
        <w:spacing w:line="170" w:lineRule="exact"/>
        <w:rPr>
          <w:sz w:val="20"/>
          <w:szCs w:val="20"/>
          <w:lang w:val="fr-BE"/>
        </w:rPr>
      </w:pPr>
    </w:p>
    <w:p w:rsidR="00AC12B4" w:rsidRPr="00C27636" w:rsidRDefault="00C27636">
      <w:pPr>
        <w:spacing w:line="231" w:lineRule="auto"/>
        <w:ind w:left="560" w:right="340"/>
        <w:jc w:val="both"/>
        <w:rPr>
          <w:sz w:val="20"/>
          <w:szCs w:val="20"/>
          <w:lang w:val="fr-BE"/>
        </w:rPr>
      </w:pPr>
      <w:r w:rsidRPr="00C27636">
        <w:rPr>
          <w:rFonts w:ascii="Calibri" w:eastAsia="Calibri" w:hAnsi="Calibri" w:cs="Calibri"/>
          <w:lang w:val="fr-BE"/>
        </w:rPr>
        <w:t>L’enfant est au centre de la construction d’indicateurs des droits de l’enfant. L’enfant doit être considéré comme l’unité de base des données collectées (ce qui est très</w:t>
      </w:r>
      <w:r w:rsidRPr="00C27636">
        <w:rPr>
          <w:rFonts w:ascii="Calibri" w:eastAsia="Calibri" w:hAnsi="Calibri" w:cs="Calibri"/>
          <w:lang w:val="fr-BE"/>
        </w:rPr>
        <w:t xml:space="preserve"> peu le cas pour l’instant où on le voit plus comme un membre d’un « ménage »). Ceci étant dit, la situation de l’enfant est très influencée par celle de son entourage. Des statistiques plus globales ne sont donc pas à rejeter d’emblée.</w:t>
      </w:r>
    </w:p>
    <w:p w:rsidR="00AC12B4" w:rsidRPr="00C27636" w:rsidRDefault="00AC12B4">
      <w:pPr>
        <w:spacing w:line="170" w:lineRule="exact"/>
        <w:rPr>
          <w:sz w:val="20"/>
          <w:szCs w:val="20"/>
          <w:lang w:val="fr-BE"/>
        </w:rPr>
      </w:pPr>
    </w:p>
    <w:p w:rsidR="00AC12B4" w:rsidRPr="00C27636" w:rsidRDefault="00C27636">
      <w:pPr>
        <w:spacing w:line="209" w:lineRule="auto"/>
        <w:ind w:left="560" w:right="340"/>
        <w:jc w:val="both"/>
        <w:rPr>
          <w:sz w:val="20"/>
          <w:szCs w:val="20"/>
          <w:lang w:val="fr-BE"/>
        </w:rPr>
      </w:pPr>
      <w:r w:rsidRPr="00C27636">
        <w:rPr>
          <w:rFonts w:ascii="Calibri" w:eastAsia="Calibri" w:hAnsi="Calibri" w:cs="Calibri"/>
          <w:lang w:val="fr-BE"/>
        </w:rPr>
        <w:t>Une large place es</w:t>
      </w:r>
      <w:r w:rsidRPr="00C27636">
        <w:rPr>
          <w:rFonts w:ascii="Calibri" w:eastAsia="Calibri" w:hAnsi="Calibri" w:cs="Calibri"/>
          <w:lang w:val="fr-BE"/>
        </w:rPr>
        <w:t>t laissée aux indicateurs de type « self-report ». Ceux-ci laissent plus de place à l’enfant, à ce qu’il pense, à ce qu’il ressent</w:t>
      </w:r>
      <w:r w:rsidRPr="00C27636">
        <w:rPr>
          <w:rFonts w:ascii="Calibri" w:eastAsia="Calibri" w:hAnsi="Calibri" w:cs="Calibri"/>
          <w:sz w:val="27"/>
          <w:szCs w:val="27"/>
          <w:vertAlign w:val="superscript"/>
          <w:lang w:val="fr-BE"/>
        </w:rPr>
        <w:t>7</w:t>
      </w:r>
      <w:r w:rsidRPr="00C27636">
        <w:rPr>
          <w:rFonts w:ascii="Calibri" w:eastAsia="Calibri" w:hAnsi="Calibri" w:cs="Calibri"/>
          <w:lang w:val="fr-BE"/>
        </w:rPr>
        <w:t xml:space="preserve"> et, associés aux indicateurs « objectifs », rendent une image plus complète de la situation des enfants.</w:t>
      </w:r>
    </w:p>
    <w:p w:rsidR="00AC12B4" w:rsidRPr="00C27636" w:rsidRDefault="00AC12B4">
      <w:pPr>
        <w:spacing w:line="172" w:lineRule="exact"/>
        <w:rPr>
          <w:sz w:val="20"/>
          <w:szCs w:val="20"/>
          <w:lang w:val="fr-BE"/>
        </w:rPr>
      </w:pPr>
    </w:p>
    <w:p w:rsidR="00AC12B4" w:rsidRPr="00C27636" w:rsidRDefault="00C27636">
      <w:pPr>
        <w:spacing w:line="219" w:lineRule="auto"/>
        <w:ind w:left="560" w:right="360"/>
        <w:jc w:val="both"/>
        <w:rPr>
          <w:sz w:val="20"/>
          <w:szCs w:val="20"/>
          <w:lang w:val="fr-BE"/>
        </w:rPr>
      </w:pPr>
      <w:r w:rsidRPr="00C27636">
        <w:rPr>
          <w:rFonts w:ascii="Calibri" w:eastAsia="Calibri" w:hAnsi="Calibri" w:cs="Calibri"/>
          <w:lang w:val="fr-BE"/>
        </w:rPr>
        <w:t>Dernièrement, le c</w:t>
      </w:r>
      <w:r w:rsidRPr="00C27636">
        <w:rPr>
          <w:rFonts w:ascii="Calibri" w:eastAsia="Calibri" w:hAnsi="Calibri" w:cs="Calibri"/>
          <w:lang w:val="fr-BE"/>
        </w:rPr>
        <w:t>hoix d'indicateur sera évolutif. Comme outil de monitoring, ils devront répondre aux priorités de la Belgique fixées notamment par rapport aux observations finales du Comité des droits de l'Enfant</w:t>
      </w:r>
      <w:r w:rsidRPr="00C27636">
        <w:rPr>
          <w:rFonts w:ascii="Calibri" w:eastAsia="Calibri" w:hAnsi="Calibri" w:cs="Calibri"/>
          <w:sz w:val="27"/>
          <w:szCs w:val="27"/>
          <w:vertAlign w:val="superscript"/>
          <w:lang w:val="fr-BE"/>
        </w:rPr>
        <w:t>8</w:t>
      </w:r>
      <w:r w:rsidRPr="00C27636">
        <w:rPr>
          <w:rFonts w:ascii="Calibri" w:eastAsia="Calibri" w:hAnsi="Calibri" w:cs="Calibri"/>
          <w:lang w:val="fr-BE"/>
        </w:rPr>
        <w:t xml:space="preserve"> et pourraient donc évoluer avec le temps.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64864" behindDoc="1" locked="0" layoutInCell="0" allowOverlap="1">
                <wp:simplePos x="0" y="0"/>
                <wp:positionH relativeFrom="column">
                  <wp:posOffset>359410</wp:posOffset>
                </wp:positionH>
                <wp:positionV relativeFrom="paragraph">
                  <wp:posOffset>1686560</wp:posOffset>
                </wp:positionV>
                <wp:extent cx="1829435" cy="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32.8pt" to="172.35pt,132.8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7" w:lineRule="exact"/>
        <w:rPr>
          <w:sz w:val="20"/>
          <w:szCs w:val="20"/>
          <w:lang w:val="fr-BE"/>
        </w:rPr>
      </w:pPr>
    </w:p>
    <w:p w:rsidR="00AC12B4" w:rsidRDefault="00C27636">
      <w:pPr>
        <w:numPr>
          <w:ilvl w:val="0"/>
          <w:numId w:val="9"/>
        </w:numPr>
        <w:tabs>
          <w:tab w:val="left" w:pos="673"/>
        </w:tabs>
        <w:spacing w:line="189" w:lineRule="auto"/>
        <w:ind w:left="560" w:right="360" w:firstLine="7"/>
        <w:rPr>
          <w:rFonts w:ascii="Calibri" w:eastAsia="Calibri" w:hAnsi="Calibri" w:cs="Calibri"/>
          <w:sz w:val="20"/>
          <w:szCs w:val="20"/>
        </w:rPr>
      </w:pPr>
      <w:r>
        <w:rPr>
          <w:rFonts w:ascii="Calibri" w:eastAsia="Calibri" w:hAnsi="Calibri" w:cs="Calibri"/>
          <w:sz w:val="20"/>
          <w:szCs w:val="20"/>
        </w:rPr>
        <w:t xml:space="preserve">CRC GC 15, </w:t>
      </w:r>
      <w:hyperlink r:id="rId23">
        <w:r>
          <w:rPr>
            <w:rFonts w:ascii="Calibri" w:eastAsia="Calibri" w:hAnsi="Calibri" w:cs="Calibri"/>
            <w:sz w:val="20"/>
            <w:szCs w:val="20"/>
          </w:rPr>
          <w:t>The right of the child to the enjoyment of the highest attainable standard of health (Article</w:t>
        </w:r>
      </w:hyperlink>
      <w:r>
        <w:rPr>
          <w:rFonts w:ascii="Calibri" w:eastAsia="Calibri" w:hAnsi="Calibri" w:cs="Calibri"/>
          <w:sz w:val="20"/>
          <w:szCs w:val="20"/>
        </w:rPr>
        <w:t xml:space="preserve"> </w:t>
      </w:r>
      <w:hyperlink r:id="rId24">
        <w:r>
          <w:rPr>
            <w:rFonts w:ascii="Calibri" w:eastAsia="Calibri" w:hAnsi="Calibri" w:cs="Calibri"/>
            <w:sz w:val="20"/>
            <w:szCs w:val="20"/>
          </w:rPr>
          <w:t xml:space="preserve">24), </w:t>
        </w:r>
      </w:hyperlink>
      <w:r>
        <w:rPr>
          <w:rFonts w:ascii="Calibri" w:eastAsia="Calibri" w:hAnsi="Calibri" w:cs="Calibri"/>
          <w:sz w:val="20"/>
          <w:szCs w:val="20"/>
        </w:rPr>
        <w:t>2013.</w:t>
      </w:r>
    </w:p>
    <w:p w:rsidR="00AC12B4" w:rsidRDefault="00AC12B4">
      <w:pPr>
        <w:spacing w:line="167" w:lineRule="exact"/>
        <w:rPr>
          <w:rFonts w:ascii="Calibri" w:eastAsia="Calibri" w:hAnsi="Calibri" w:cs="Calibri"/>
          <w:sz w:val="20"/>
          <w:szCs w:val="20"/>
        </w:rPr>
      </w:pPr>
    </w:p>
    <w:p w:rsidR="00AC12B4" w:rsidRPr="00C27636" w:rsidRDefault="00C27636">
      <w:pPr>
        <w:numPr>
          <w:ilvl w:val="0"/>
          <w:numId w:val="9"/>
        </w:numPr>
        <w:tabs>
          <w:tab w:val="left" w:pos="673"/>
        </w:tabs>
        <w:spacing w:line="187" w:lineRule="auto"/>
        <w:ind w:left="560" w:right="360" w:firstLine="7"/>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Cette approche répond en partie au droit à la participation de l’enfant, droit consacré dans la CIDE. De tels indicateurs ont été développés, par exemple, au niveau de l’OEJAJ.</w:t>
      </w:r>
    </w:p>
    <w:p w:rsidR="00AC12B4" w:rsidRPr="00C27636" w:rsidRDefault="00AC12B4">
      <w:pPr>
        <w:spacing w:line="169" w:lineRule="exact"/>
        <w:rPr>
          <w:rFonts w:ascii="Calibri" w:eastAsia="Calibri" w:hAnsi="Calibri" w:cs="Calibri"/>
          <w:sz w:val="26"/>
          <w:szCs w:val="26"/>
          <w:vertAlign w:val="superscript"/>
          <w:lang w:val="fr-BE"/>
        </w:rPr>
      </w:pPr>
    </w:p>
    <w:p w:rsidR="00AC12B4" w:rsidRPr="00C27636" w:rsidRDefault="00C27636">
      <w:pPr>
        <w:numPr>
          <w:ilvl w:val="0"/>
          <w:numId w:val="9"/>
        </w:numPr>
        <w:tabs>
          <w:tab w:val="left" w:pos="680"/>
        </w:tabs>
        <w:spacing w:line="188" w:lineRule="auto"/>
        <w:ind w:left="560" w:right="360" w:firstLine="7"/>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Une révision des indicateurs devrait être envisagée à chaque rapportage vers le Comité des droits de l'Enfant.</w:t>
      </w:r>
    </w:p>
    <w:p w:rsidR="00AC12B4" w:rsidRPr="00C27636" w:rsidRDefault="00AC12B4">
      <w:pPr>
        <w:spacing w:line="244" w:lineRule="exact"/>
        <w:rPr>
          <w:rFonts w:ascii="Calibri" w:eastAsia="Calibri" w:hAnsi="Calibri" w:cs="Calibri"/>
          <w:sz w:val="26"/>
          <w:szCs w:val="26"/>
          <w:vertAlign w:val="superscript"/>
          <w:lang w:val="fr-BE"/>
        </w:rPr>
      </w:pPr>
    </w:p>
    <w:p w:rsidR="00AC12B4" w:rsidRPr="00C27636" w:rsidRDefault="00C27636">
      <w:pPr>
        <w:ind w:right="-219"/>
        <w:jc w:val="center"/>
        <w:rPr>
          <w:sz w:val="20"/>
          <w:szCs w:val="20"/>
          <w:lang w:val="fr-BE"/>
        </w:rPr>
      </w:pPr>
      <w:r w:rsidRPr="00C27636">
        <w:rPr>
          <w:rFonts w:ascii="Calibri" w:eastAsia="Calibri" w:hAnsi="Calibri" w:cs="Calibri"/>
          <w:lang w:val="fr-BE"/>
        </w:rPr>
        <w:t>21</w:t>
      </w:r>
    </w:p>
    <w:p w:rsidR="00AC12B4" w:rsidRPr="00C27636" w:rsidRDefault="00AC12B4">
      <w:pPr>
        <w:rPr>
          <w:lang w:val="fr-BE"/>
        </w:rPr>
        <w:sectPr w:rsidR="00AC12B4" w:rsidRPr="00C27636">
          <w:type w:val="continuous"/>
          <w:pgSz w:w="12080" w:h="17179"/>
          <w:pgMar w:top="1440" w:right="1257" w:bottom="659" w:left="1440" w:header="0" w:footer="0" w:gutter="0"/>
          <w:cols w:space="720" w:equalWidth="0">
            <w:col w:w="9380"/>
          </w:cols>
        </w:sectPr>
      </w:pPr>
    </w:p>
    <w:p w:rsidR="00AC12B4" w:rsidRPr="00C27636" w:rsidRDefault="00AC12B4">
      <w:pPr>
        <w:spacing w:line="170" w:lineRule="exact"/>
        <w:rPr>
          <w:sz w:val="20"/>
          <w:szCs w:val="20"/>
          <w:lang w:val="fr-BE"/>
        </w:rPr>
      </w:pPr>
      <w:bookmarkStart w:id="21" w:name="page22"/>
      <w:bookmarkEnd w:id="21"/>
    </w:p>
    <w:p w:rsidR="00AC12B4" w:rsidRPr="00C27636" w:rsidRDefault="00C27636">
      <w:pPr>
        <w:spacing w:line="239" w:lineRule="auto"/>
        <w:ind w:left="720" w:right="737" w:hanging="359"/>
        <w:rPr>
          <w:sz w:val="20"/>
          <w:szCs w:val="20"/>
          <w:lang w:val="fr-BE"/>
        </w:rPr>
      </w:pPr>
      <w:r w:rsidRPr="00C27636">
        <w:rPr>
          <w:rFonts w:ascii="Cambria" w:eastAsia="Cambria" w:hAnsi="Cambria" w:cs="Cambria"/>
          <w:b/>
          <w:bCs/>
          <w:color w:val="ACD8F9"/>
          <w:sz w:val="32"/>
          <w:szCs w:val="32"/>
          <w:lang w:val="fr-BE"/>
        </w:rPr>
        <w:t>B. Le processus de sélection des indicateurs des droits de l’enfant</w:t>
      </w:r>
    </w:p>
    <w:p w:rsidR="00AC12B4" w:rsidRPr="00C27636" w:rsidRDefault="00AC12B4">
      <w:pPr>
        <w:spacing w:line="200" w:lineRule="exact"/>
        <w:rPr>
          <w:sz w:val="20"/>
          <w:szCs w:val="20"/>
          <w:lang w:val="fr-BE"/>
        </w:rPr>
      </w:pPr>
    </w:p>
    <w:p w:rsidR="00AC12B4" w:rsidRPr="00C27636" w:rsidRDefault="00AC12B4">
      <w:pPr>
        <w:spacing w:line="306"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Inventaire des indicateurs existants</w:t>
      </w:r>
    </w:p>
    <w:p w:rsidR="00AC12B4" w:rsidRPr="00C27636" w:rsidRDefault="00AC12B4">
      <w:pPr>
        <w:spacing w:line="168" w:lineRule="exact"/>
        <w:rPr>
          <w:sz w:val="20"/>
          <w:szCs w:val="20"/>
          <w:lang w:val="fr-BE"/>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 xml:space="preserve">Une </w:t>
      </w:r>
      <w:r w:rsidRPr="00C27636">
        <w:rPr>
          <w:rFonts w:ascii="Calibri" w:eastAsia="Calibri" w:hAnsi="Calibri" w:cs="Calibri"/>
          <w:lang w:val="fr-BE"/>
        </w:rPr>
        <w:t>multitude d’indicateurs ont déjà été développés, sans pour autant nécessairement faire le lien avec les droits de l’enfant et/ou être pertinents pour la Belgique. Le Comité des droits de l'enfant des Nations-Unies, l’OHCHR, la Convention relative aux droit</w:t>
      </w:r>
      <w:r w:rsidRPr="00C27636">
        <w:rPr>
          <w:rFonts w:ascii="Calibri" w:eastAsia="Calibri" w:hAnsi="Calibri" w:cs="Calibri"/>
          <w:lang w:val="fr-BE"/>
        </w:rPr>
        <w:t>s des personnes handicapées, l'OMS (indicateurs en lien avec les inégalités de santé), Unicef, la Commission européenne (p.ex. les Child Health Indicators of Life and Development du UE Community Health Monitoring Program), le FRA, l’OCDE, la Banque mondial</w:t>
      </w:r>
      <w:r w:rsidRPr="00C27636">
        <w:rPr>
          <w:rFonts w:ascii="Calibri" w:eastAsia="Calibri" w:hAnsi="Calibri" w:cs="Calibri"/>
          <w:lang w:val="fr-BE"/>
        </w:rPr>
        <w:t>e, des instances belges (entre autres le baromètre interfédéral de pauvreté, les indicateurs de suivi des plans d’action droits de l’enfant de la Fédération Wallonie-Bruxelles et de la Communauté flamande, le moniteur des droits de l’enfant flamand) par ex</w:t>
      </w:r>
      <w:r w:rsidRPr="00C27636">
        <w:rPr>
          <w:rFonts w:ascii="Calibri" w:eastAsia="Calibri" w:hAnsi="Calibri" w:cs="Calibri"/>
          <w:lang w:val="fr-BE"/>
        </w:rPr>
        <w:t>emple proposent chacun des sets d’indicateurs ou du moins des points d’attention.</w:t>
      </w:r>
    </w:p>
    <w:p w:rsidR="00AC12B4" w:rsidRPr="00C27636" w:rsidRDefault="00AC12B4">
      <w:pPr>
        <w:spacing w:line="177"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Un large inventaire a été élaboré avec pour objectif de reprendre au maximum les indicateurs et les données proposées par les instances mentionnées, ainsi que celles reprise</w:t>
      </w:r>
      <w:r w:rsidRPr="00C27636">
        <w:rPr>
          <w:rFonts w:ascii="Calibri" w:eastAsia="Calibri" w:hAnsi="Calibri" w:cs="Calibri"/>
          <w:lang w:val="fr-BE"/>
        </w:rPr>
        <w:t>s dans les enquêtes internationales principales appliquées entre autre en Belgique.</w:t>
      </w:r>
    </w:p>
    <w:p w:rsidR="00AC12B4" w:rsidRPr="00C27636" w:rsidRDefault="00AC12B4">
      <w:pPr>
        <w:spacing w:line="12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Cet inventaire a servi de base au travail de sélection lors de séminaires organisés par la CNDE.</w:t>
      </w:r>
    </w:p>
    <w:p w:rsidR="00AC12B4" w:rsidRPr="00C27636" w:rsidRDefault="00AC12B4">
      <w:pPr>
        <w:spacing w:line="200" w:lineRule="exact"/>
        <w:rPr>
          <w:sz w:val="20"/>
          <w:szCs w:val="20"/>
          <w:lang w:val="fr-BE"/>
        </w:rPr>
      </w:pPr>
    </w:p>
    <w:p w:rsidR="00AC12B4" w:rsidRPr="00C27636" w:rsidRDefault="00AC12B4">
      <w:pPr>
        <w:spacing w:line="24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Check-list pour la sélection d’indicateurs des droits de l’enfant</w:t>
      </w:r>
    </w:p>
    <w:p w:rsidR="00AC12B4" w:rsidRPr="00C27636" w:rsidRDefault="00AC12B4">
      <w:pPr>
        <w:spacing w:line="165"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En </w:t>
      </w:r>
      <w:r w:rsidRPr="00C27636">
        <w:rPr>
          <w:rFonts w:ascii="Calibri" w:eastAsia="Calibri" w:hAnsi="Calibri" w:cs="Calibri"/>
          <w:lang w:val="fr-BE"/>
        </w:rPr>
        <w:t>plus de l’inventaire des indicateurs existants, un outil « d’aide à la décision » a été développé. Il s’agit d’une liste reprenant les points d’attention à garder en tête lors de la sélection d’indicateurs des droits de l’enfant.</w:t>
      </w:r>
    </w:p>
    <w:p w:rsidR="00AC12B4" w:rsidRPr="00C27636" w:rsidRDefault="00AC12B4">
      <w:pPr>
        <w:spacing w:line="171" w:lineRule="exact"/>
        <w:rPr>
          <w:sz w:val="20"/>
          <w:szCs w:val="20"/>
          <w:lang w:val="fr-BE"/>
        </w:rPr>
      </w:pPr>
    </w:p>
    <w:p w:rsidR="00AC12B4" w:rsidRPr="00C27636" w:rsidRDefault="00C27636">
      <w:pPr>
        <w:spacing w:line="209" w:lineRule="auto"/>
        <w:ind w:right="737"/>
        <w:jc w:val="both"/>
        <w:rPr>
          <w:sz w:val="20"/>
          <w:szCs w:val="20"/>
          <w:lang w:val="fr-BE"/>
        </w:rPr>
      </w:pPr>
      <w:r w:rsidRPr="00C27636">
        <w:rPr>
          <w:rFonts w:ascii="Calibri" w:eastAsia="Calibri" w:hAnsi="Calibri" w:cs="Calibri"/>
          <w:lang w:val="fr-BE"/>
        </w:rPr>
        <w:t xml:space="preserve">Les critères nécessaires </w:t>
      </w:r>
      <w:r w:rsidRPr="00C27636">
        <w:rPr>
          <w:rFonts w:ascii="Calibri" w:eastAsia="Calibri" w:hAnsi="Calibri" w:cs="Calibri"/>
          <w:lang w:val="fr-BE"/>
        </w:rPr>
        <w:t>pour la construction de bons indicateurs en général, tels que les critères SMART ou autres</w:t>
      </w:r>
      <w:r w:rsidRPr="00C27636">
        <w:rPr>
          <w:rFonts w:ascii="Calibri" w:eastAsia="Calibri" w:hAnsi="Calibri" w:cs="Calibri"/>
          <w:sz w:val="27"/>
          <w:szCs w:val="27"/>
          <w:vertAlign w:val="superscript"/>
          <w:lang w:val="fr-BE"/>
        </w:rPr>
        <w:t>9</w:t>
      </w:r>
      <w:r w:rsidRPr="00C27636">
        <w:rPr>
          <w:rFonts w:ascii="Calibri" w:eastAsia="Calibri" w:hAnsi="Calibri" w:cs="Calibri"/>
          <w:lang w:val="fr-BE"/>
        </w:rPr>
        <w:t xml:space="preserve"> ne seront pas développés ici mais nous concentrons sur la spécificité d’indicateurs des droits de l’enfant.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65888" behindDoc="1" locked="0" layoutInCell="0" allowOverlap="1">
                <wp:simplePos x="0" y="0"/>
                <wp:positionH relativeFrom="column">
                  <wp:posOffset>0</wp:posOffset>
                </wp:positionH>
                <wp:positionV relativeFrom="paragraph">
                  <wp:posOffset>2416175</wp:posOffset>
                </wp:positionV>
                <wp:extent cx="1828800" cy="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0.25pt" to="144pt,190.2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6" w:lineRule="exact"/>
        <w:rPr>
          <w:sz w:val="20"/>
          <w:szCs w:val="20"/>
          <w:lang w:val="fr-BE"/>
        </w:rPr>
      </w:pPr>
    </w:p>
    <w:p w:rsidR="00AC12B4" w:rsidRDefault="00C27636">
      <w:pPr>
        <w:numPr>
          <w:ilvl w:val="0"/>
          <w:numId w:val="10"/>
        </w:numPr>
        <w:tabs>
          <w:tab w:val="left" w:pos="130"/>
        </w:tabs>
        <w:spacing w:line="221" w:lineRule="auto"/>
        <w:ind w:right="737"/>
        <w:jc w:val="both"/>
        <w:rPr>
          <w:rFonts w:ascii="Calibri" w:eastAsia="Calibri" w:hAnsi="Calibri" w:cs="Calibri"/>
          <w:sz w:val="26"/>
          <w:szCs w:val="26"/>
          <w:vertAlign w:val="superscript"/>
        </w:rPr>
      </w:pPr>
      <w:r w:rsidRPr="00C27636">
        <w:rPr>
          <w:rFonts w:ascii="Calibri" w:eastAsia="Calibri" w:hAnsi="Calibri" w:cs="Calibri"/>
          <w:sz w:val="20"/>
          <w:szCs w:val="20"/>
          <w:lang w:val="fr-BE"/>
        </w:rPr>
        <w:t xml:space="preserve">De nombreux auteurs proposent des critères pour choisir de bons indicateurs. Parmi les critères les plus connus, les indicateurs doivent être "SMART" C'est à dire Specific, Measurable, Achievable, Realistic et Time-bound. </w:t>
      </w:r>
      <w:r>
        <w:rPr>
          <w:rFonts w:ascii="Calibri" w:eastAsia="Calibri" w:hAnsi="Calibri" w:cs="Calibri"/>
          <w:sz w:val="20"/>
          <w:szCs w:val="20"/>
        </w:rPr>
        <w:t>Pour plus d'information sur ce suj</w:t>
      </w:r>
      <w:r>
        <w:rPr>
          <w:rFonts w:ascii="Calibri" w:eastAsia="Calibri" w:hAnsi="Calibri" w:cs="Calibri"/>
          <w:sz w:val="20"/>
          <w:szCs w:val="20"/>
        </w:rPr>
        <w:t xml:space="preserve">et: E.A. Andersen &amp; H.-O. Sano, </w:t>
      </w:r>
      <w:r>
        <w:rPr>
          <w:rFonts w:ascii="Calibri" w:eastAsia="Calibri" w:hAnsi="Calibri" w:cs="Calibri"/>
          <w:i/>
          <w:iCs/>
          <w:sz w:val="20"/>
          <w:szCs w:val="20"/>
        </w:rPr>
        <w:t>Human</w:t>
      </w:r>
      <w:r>
        <w:rPr>
          <w:rFonts w:ascii="Calibri" w:eastAsia="Calibri" w:hAnsi="Calibri" w:cs="Calibri"/>
          <w:sz w:val="20"/>
          <w:szCs w:val="20"/>
        </w:rPr>
        <w:t xml:space="preserve"> </w:t>
      </w:r>
      <w:r>
        <w:rPr>
          <w:rFonts w:ascii="Calibri" w:eastAsia="Calibri" w:hAnsi="Calibri" w:cs="Calibri"/>
          <w:i/>
          <w:iCs/>
          <w:sz w:val="20"/>
          <w:szCs w:val="20"/>
        </w:rPr>
        <w:t xml:space="preserve">Rights Indicators at Programme and Project Level-Guidelines for defining Indicators Monitoring and Evaluation, </w:t>
      </w:r>
      <w:r>
        <w:rPr>
          <w:rFonts w:ascii="Calibri" w:eastAsia="Calibri" w:hAnsi="Calibri" w:cs="Calibri"/>
          <w:sz w:val="20"/>
          <w:szCs w:val="20"/>
        </w:rPr>
        <w:t>The Danish Institute for Human Rights, Denemarken, 2006, 86p.; UNAIDS,</w:t>
      </w:r>
      <w:r>
        <w:rPr>
          <w:rFonts w:ascii="Calibri" w:eastAsia="Calibri" w:hAnsi="Calibri" w:cs="Calibri"/>
          <w:i/>
          <w:iCs/>
          <w:sz w:val="20"/>
          <w:szCs w:val="20"/>
        </w:rPr>
        <w:t xml:space="preserve"> An Introduction to indicator, Monito</w:t>
      </w:r>
      <w:r>
        <w:rPr>
          <w:rFonts w:ascii="Calibri" w:eastAsia="Calibri" w:hAnsi="Calibri" w:cs="Calibri"/>
          <w:i/>
          <w:iCs/>
          <w:sz w:val="20"/>
          <w:szCs w:val="20"/>
        </w:rPr>
        <w:t>ring and Evaluation Fundamentals</w:t>
      </w:r>
      <w:r>
        <w:rPr>
          <w:rFonts w:ascii="Calibri" w:eastAsia="Calibri" w:hAnsi="Calibri" w:cs="Calibri"/>
          <w:sz w:val="20"/>
          <w:szCs w:val="20"/>
        </w:rPr>
        <w:t>, Zwitserland, 2010, 99 p.</w:t>
      </w:r>
    </w:p>
    <w:p w:rsidR="00AC12B4" w:rsidRDefault="00AC12B4">
      <w:pPr>
        <w:spacing w:line="244" w:lineRule="exact"/>
        <w:rPr>
          <w:sz w:val="20"/>
          <w:szCs w:val="20"/>
        </w:rPr>
      </w:pPr>
    </w:p>
    <w:p w:rsidR="00AC12B4" w:rsidRPr="00C27636" w:rsidRDefault="00C27636">
      <w:pPr>
        <w:ind w:left="4120"/>
        <w:rPr>
          <w:sz w:val="20"/>
          <w:szCs w:val="20"/>
          <w:lang w:val="fr-BE"/>
        </w:rPr>
      </w:pPr>
      <w:r w:rsidRPr="00C27636">
        <w:rPr>
          <w:rFonts w:ascii="Calibri" w:eastAsia="Calibri" w:hAnsi="Calibri" w:cs="Calibri"/>
          <w:lang w:val="fr-BE"/>
        </w:rPr>
        <w:t>22</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212" w:lineRule="exact"/>
        <w:rPr>
          <w:sz w:val="20"/>
          <w:szCs w:val="20"/>
          <w:lang w:val="fr-BE"/>
        </w:rPr>
      </w:pPr>
      <w:bookmarkStart w:id="22" w:name="page23"/>
      <w:bookmarkEnd w:id="22"/>
    </w:p>
    <w:p w:rsidR="00AC12B4" w:rsidRPr="00C27636" w:rsidRDefault="00C27636">
      <w:pPr>
        <w:spacing w:line="218" w:lineRule="auto"/>
        <w:ind w:left="560" w:right="177"/>
        <w:rPr>
          <w:sz w:val="20"/>
          <w:szCs w:val="20"/>
          <w:lang w:val="fr-BE"/>
        </w:rPr>
      </w:pPr>
      <w:r w:rsidRPr="00C27636">
        <w:rPr>
          <w:rFonts w:ascii="Calibri" w:eastAsia="Calibri" w:hAnsi="Calibri" w:cs="Calibri"/>
          <w:lang w:val="fr-BE"/>
        </w:rPr>
        <w:t>Les réflexions suivantes nous ont guidés quant à l’élaboration de critères de sélection d’indicateurs :</w:t>
      </w:r>
    </w:p>
    <w:p w:rsidR="00AC12B4" w:rsidRPr="00C27636" w:rsidRDefault="00AC12B4">
      <w:pPr>
        <w:spacing w:line="170" w:lineRule="exact"/>
        <w:rPr>
          <w:sz w:val="20"/>
          <w:szCs w:val="20"/>
          <w:lang w:val="fr-BE"/>
        </w:rPr>
      </w:pPr>
    </w:p>
    <w:p w:rsidR="00AC12B4" w:rsidRPr="00C27636" w:rsidRDefault="00C27636">
      <w:pPr>
        <w:numPr>
          <w:ilvl w:val="0"/>
          <w:numId w:val="11"/>
        </w:numPr>
        <w:tabs>
          <w:tab w:val="left" w:pos="1280"/>
        </w:tabs>
        <w:spacing w:line="189" w:lineRule="auto"/>
        <w:ind w:left="1280" w:right="157" w:hanging="353"/>
        <w:jc w:val="both"/>
        <w:rPr>
          <w:rFonts w:ascii="Wingdings" w:eastAsia="Wingdings" w:hAnsi="Wingdings" w:cs="Wingdings"/>
          <w:sz w:val="44"/>
          <w:szCs w:val="44"/>
          <w:vertAlign w:val="superscript"/>
          <w:lang w:val="fr-BE"/>
        </w:rPr>
      </w:pPr>
      <w:r w:rsidRPr="00C27636">
        <w:rPr>
          <w:rFonts w:ascii="Calibri" w:eastAsia="Calibri" w:hAnsi="Calibri" w:cs="Calibri"/>
          <w:lang w:val="fr-BE"/>
        </w:rPr>
        <w:t xml:space="preserve">Le principe de non-discrimination de la CIDE nous pousse à chercher au </w:t>
      </w:r>
      <w:r w:rsidRPr="00C27636">
        <w:rPr>
          <w:rFonts w:ascii="Calibri" w:eastAsia="Calibri" w:hAnsi="Calibri" w:cs="Calibri"/>
          <w:lang w:val="fr-BE"/>
        </w:rPr>
        <w:t>maximum un large panel de ventilation (par sexe, groupe d’âge, milieu socio-économique, handicape, origine,…). Cette ventilation ne peut toutefois pas mettre en péril la fiabilité des données, ce qui est un risque en cas d’échantillonnage trop réduit.</w:t>
      </w:r>
    </w:p>
    <w:p w:rsidR="00AC12B4" w:rsidRPr="00C27636" w:rsidRDefault="00AC12B4">
      <w:pPr>
        <w:spacing w:line="173" w:lineRule="exact"/>
        <w:rPr>
          <w:rFonts w:ascii="Wingdings" w:eastAsia="Wingdings" w:hAnsi="Wingdings" w:cs="Wingdings"/>
          <w:sz w:val="44"/>
          <w:szCs w:val="44"/>
          <w:vertAlign w:val="superscript"/>
          <w:lang w:val="fr-BE"/>
        </w:rPr>
      </w:pPr>
    </w:p>
    <w:p w:rsidR="00AC12B4" w:rsidRPr="00C27636" w:rsidRDefault="00C27636">
      <w:pPr>
        <w:numPr>
          <w:ilvl w:val="0"/>
          <w:numId w:val="11"/>
        </w:numPr>
        <w:tabs>
          <w:tab w:val="left" w:pos="1280"/>
        </w:tabs>
        <w:spacing w:line="180" w:lineRule="auto"/>
        <w:ind w:left="1280" w:right="157" w:hanging="353"/>
        <w:jc w:val="both"/>
        <w:rPr>
          <w:rFonts w:ascii="Wingdings" w:eastAsia="Wingdings" w:hAnsi="Wingdings" w:cs="Wingdings"/>
          <w:sz w:val="40"/>
          <w:szCs w:val="40"/>
          <w:vertAlign w:val="superscript"/>
          <w:lang w:val="fr-BE"/>
        </w:rPr>
      </w:pPr>
      <w:r w:rsidRPr="00C27636">
        <w:rPr>
          <w:rFonts w:ascii="Calibri" w:eastAsia="Calibri" w:hAnsi="Calibri" w:cs="Calibri"/>
          <w:sz w:val="21"/>
          <w:szCs w:val="21"/>
          <w:lang w:val="fr-BE"/>
        </w:rPr>
        <w:t>Pour chaque groupe d’indicateurs des mesures objectives (données objectivement mesurables) et subjectives (ressenti/</w:t>
      </w:r>
      <w:r w:rsidRPr="00C27636">
        <w:rPr>
          <w:rFonts w:ascii="Calibri" w:eastAsia="Calibri" w:hAnsi="Calibri" w:cs="Calibri"/>
          <w:i/>
          <w:iCs/>
          <w:sz w:val="21"/>
          <w:szCs w:val="21"/>
          <w:lang w:val="fr-BE"/>
        </w:rPr>
        <w:t>self-report</w:t>
      </w:r>
      <w:r w:rsidRPr="00C27636">
        <w:rPr>
          <w:rFonts w:ascii="Calibri" w:eastAsia="Calibri" w:hAnsi="Calibri" w:cs="Calibri"/>
          <w:sz w:val="21"/>
          <w:szCs w:val="21"/>
          <w:lang w:val="fr-BE"/>
        </w:rPr>
        <w:t>)</w:t>
      </w:r>
      <w:r w:rsidRPr="00C27636">
        <w:rPr>
          <w:rFonts w:ascii="Calibri" w:eastAsia="Calibri" w:hAnsi="Calibri" w:cs="Calibri"/>
          <w:sz w:val="25"/>
          <w:szCs w:val="25"/>
          <w:vertAlign w:val="superscript"/>
          <w:lang w:val="fr-BE"/>
        </w:rPr>
        <w:t>10</w:t>
      </w:r>
      <w:r w:rsidRPr="00C27636">
        <w:rPr>
          <w:rFonts w:ascii="Calibri" w:eastAsia="Calibri" w:hAnsi="Calibri" w:cs="Calibri"/>
          <w:sz w:val="21"/>
          <w:szCs w:val="21"/>
          <w:lang w:val="fr-BE"/>
        </w:rPr>
        <w:t xml:space="preserve"> ont été recherchées, ces deux types de mesures permettant de capturer au mieux la complexité de la situation.</w:t>
      </w:r>
    </w:p>
    <w:p w:rsidR="00AC12B4" w:rsidRPr="00C27636" w:rsidRDefault="00AC12B4">
      <w:pPr>
        <w:spacing w:line="172" w:lineRule="exact"/>
        <w:rPr>
          <w:rFonts w:ascii="Wingdings" w:eastAsia="Wingdings" w:hAnsi="Wingdings" w:cs="Wingdings"/>
          <w:sz w:val="40"/>
          <w:szCs w:val="40"/>
          <w:vertAlign w:val="superscript"/>
          <w:lang w:val="fr-BE"/>
        </w:rPr>
      </w:pPr>
    </w:p>
    <w:p w:rsidR="00AC12B4" w:rsidRPr="00C27636" w:rsidRDefault="00C27636">
      <w:pPr>
        <w:numPr>
          <w:ilvl w:val="0"/>
          <w:numId w:val="11"/>
        </w:numPr>
        <w:tabs>
          <w:tab w:val="left" w:pos="1280"/>
        </w:tabs>
        <w:spacing w:line="185" w:lineRule="auto"/>
        <w:ind w:left="1280" w:right="157" w:hanging="353"/>
        <w:rPr>
          <w:rFonts w:ascii="Wingdings" w:eastAsia="Wingdings" w:hAnsi="Wingdings" w:cs="Wingdings"/>
          <w:sz w:val="36"/>
          <w:szCs w:val="36"/>
          <w:vertAlign w:val="superscript"/>
          <w:lang w:val="fr-BE"/>
        </w:rPr>
      </w:pPr>
      <w:r w:rsidRPr="00C27636">
        <w:rPr>
          <w:rFonts w:ascii="Calibri" w:eastAsia="Calibri" w:hAnsi="Calibri" w:cs="Calibri"/>
          <w:sz w:val="19"/>
          <w:szCs w:val="19"/>
          <w:lang w:val="fr-BE"/>
        </w:rPr>
        <w:t xml:space="preserve">Un équilibre </w:t>
      </w:r>
      <w:r w:rsidRPr="00C27636">
        <w:rPr>
          <w:rFonts w:ascii="Calibri" w:eastAsia="Calibri" w:hAnsi="Calibri" w:cs="Calibri"/>
          <w:sz w:val="19"/>
          <w:szCs w:val="19"/>
          <w:lang w:val="fr-BE"/>
        </w:rPr>
        <w:t>devra être atteint entre des indicateurs portant sur la prévention, ceux sur la protection et ceux visant la réparation.</w:t>
      </w:r>
    </w:p>
    <w:p w:rsidR="00AC12B4" w:rsidRPr="00C27636" w:rsidRDefault="00AC12B4">
      <w:pPr>
        <w:spacing w:line="170" w:lineRule="exact"/>
        <w:rPr>
          <w:rFonts w:ascii="Wingdings" w:eastAsia="Wingdings" w:hAnsi="Wingdings" w:cs="Wingdings"/>
          <w:sz w:val="36"/>
          <w:szCs w:val="36"/>
          <w:vertAlign w:val="superscript"/>
          <w:lang w:val="fr-BE"/>
        </w:rPr>
      </w:pPr>
    </w:p>
    <w:p w:rsidR="00AC12B4" w:rsidRPr="00C27636" w:rsidRDefault="00C27636">
      <w:pPr>
        <w:numPr>
          <w:ilvl w:val="0"/>
          <w:numId w:val="11"/>
        </w:numPr>
        <w:tabs>
          <w:tab w:val="left" w:pos="1280"/>
        </w:tabs>
        <w:spacing w:line="183" w:lineRule="auto"/>
        <w:ind w:left="1280" w:right="157" w:hanging="353"/>
        <w:jc w:val="both"/>
        <w:rPr>
          <w:rFonts w:ascii="Wingdings" w:eastAsia="Wingdings" w:hAnsi="Wingdings" w:cs="Wingdings"/>
          <w:sz w:val="42"/>
          <w:szCs w:val="42"/>
          <w:vertAlign w:val="superscript"/>
          <w:lang w:val="fr-BE"/>
        </w:rPr>
      </w:pPr>
      <w:r w:rsidRPr="00C27636">
        <w:rPr>
          <w:rFonts w:ascii="Calibri" w:eastAsia="Calibri" w:hAnsi="Calibri" w:cs="Calibri"/>
          <w:sz w:val="21"/>
          <w:szCs w:val="21"/>
          <w:lang w:val="fr-BE"/>
        </w:rPr>
        <w:t>De plus, chaque groupe d’indicateurs ayant ces propres spécificités, d’autres critères ont pu être ajoutés ponctuellement (cf. pour le</w:t>
      </w:r>
      <w:r w:rsidRPr="00C27636">
        <w:rPr>
          <w:rFonts w:ascii="Calibri" w:eastAsia="Calibri" w:hAnsi="Calibri" w:cs="Calibri"/>
          <w:sz w:val="21"/>
          <w:szCs w:val="21"/>
          <w:lang w:val="fr-BE"/>
        </w:rPr>
        <w:t xml:space="preserve"> droit à la santé les « zones d’actions » de l’OMS en matière de santé</w:t>
      </w:r>
      <w:r w:rsidRPr="00C27636">
        <w:rPr>
          <w:rFonts w:ascii="Calibri" w:eastAsia="Calibri" w:hAnsi="Calibri" w:cs="Calibri"/>
          <w:sz w:val="26"/>
          <w:szCs w:val="26"/>
          <w:vertAlign w:val="superscript"/>
          <w:lang w:val="fr-BE"/>
        </w:rPr>
        <w:t>11</w:t>
      </w:r>
      <w:r w:rsidRPr="00C27636">
        <w:rPr>
          <w:rFonts w:ascii="Calibri" w:eastAsia="Calibri" w:hAnsi="Calibri" w:cs="Calibri"/>
          <w:sz w:val="21"/>
          <w:szCs w:val="21"/>
          <w:lang w:val="fr-BE"/>
        </w:rPr>
        <w:t>).</w:t>
      </w:r>
    </w:p>
    <w:p w:rsidR="00AC12B4" w:rsidRPr="00C27636" w:rsidRDefault="00AC12B4">
      <w:pPr>
        <w:spacing w:line="5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Sur cette base une check-list a été élaborée</w:t>
      </w:r>
      <w:r w:rsidRPr="00C27636">
        <w:rPr>
          <w:rFonts w:ascii="Calibri" w:eastAsia="Calibri" w:hAnsi="Calibri" w:cs="Calibri"/>
          <w:sz w:val="27"/>
          <w:szCs w:val="27"/>
          <w:vertAlign w:val="superscript"/>
          <w:lang w:val="fr-BE"/>
        </w:rPr>
        <w:t>12</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66912" behindDoc="1" locked="0" layoutInCell="0" allowOverlap="1">
                <wp:simplePos x="0" y="0"/>
                <wp:positionH relativeFrom="column">
                  <wp:posOffset>359410</wp:posOffset>
                </wp:positionH>
                <wp:positionV relativeFrom="paragraph">
                  <wp:posOffset>3053715</wp:posOffset>
                </wp:positionV>
                <wp:extent cx="1829435" cy="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240.45pt" to="172.35pt,240.4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0" w:lineRule="exact"/>
        <w:rPr>
          <w:sz w:val="20"/>
          <w:szCs w:val="20"/>
          <w:lang w:val="fr-BE"/>
        </w:rPr>
      </w:pPr>
    </w:p>
    <w:p w:rsidR="00AC12B4" w:rsidRPr="00C27636" w:rsidRDefault="00C27636">
      <w:pPr>
        <w:numPr>
          <w:ilvl w:val="0"/>
          <w:numId w:val="12"/>
        </w:numPr>
        <w:tabs>
          <w:tab w:val="left" w:pos="764"/>
        </w:tabs>
        <w:spacing w:line="189" w:lineRule="auto"/>
        <w:ind w:left="560" w:right="177" w:firstLine="7"/>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Il peut exister plusieurs définitions des termes “quantitatif” et “qualitatif”. Notre objectif était de </w:t>
      </w:r>
      <w:r w:rsidRPr="00C27636">
        <w:rPr>
          <w:rFonts w:ascii="Calibri" w:eastAsia="Calibri" w:hAnsi="Calibri" w:cs="Calibri"/>
          <w:sz w:val="20"/>
          <w:szCs w:val="20"/>
          <w:lang w:val="fr-BE"/>
        </w:rPr>
        <w:t>prévoir un équilibre entre des indicateurs objectifs et subjectifs.</w:t>
      </w:r>
    </w:p>
    <w:p w:rsidR="00AC12B4" w:rsidRPr="00C27636" w:rsidRDefault="00AC12B4">
      <w:pPr>
        <w:spacing w:line="45" w:lineRule="exact"/>
        <w:rPr>
          <w:rFonts w:ascii="Calibri" w:eastAsia="Calibri" w:hAnsi="Calibri" w:cs="Calibri"/>
          <w:sz w:val="26"/>
          <w:szCs w:val="26"/>
          <w:vertAlign w:val="superscript"/>
          <w:lang w:val="fr-BE"/>
        </w:rPr>
      </w:pPr>
    </w:p>
    <w:p w:rsidR="00AC12B4" w:rsidRDefault="00C27636">
      <w:pPr>
        <w:numPr>
          <w:ilvl w:val="0"/>
          <w:numId w:val="12"/>
        </w:numPr>
        <w:tabs>
          <w:tab w:val="left" w:pos="760"/>
        </w:tabs>
        <w:ind w:left="760" w:hanging="193"/>
        <w:rPr>
          <w:rFonts w:ascii="Calibri" w:eastAsia="Calibri" w:hAnsi="Calibri" w:cs="Calibri"/>
          <w:sz w:val="26"/>
          <w:szCs w:val="26"/>
          <w:vertAlign w:val="superscript"/>
        </w:rPr>
      </w:pPr>
      <w:r>
        <w:rPr>
          <w:rFonts w:ascii="Calibri" w:eastAsia="Calibri" w:hAnsi="Calibri" w:cs="Calibri"/>
          <w:sz w:val="20"/>
          <w:szCs w:val="20"/>
        </w:rPr>
        <w:t xml:space="preserve">OMS, </w:t>
      </w:r>
      <w:r>
        <w:rPr>
          <w:rFonts w:ascii="Calibri" w:eastAsia="Calibri" w:hAnsi="Calibri" w:cs="Calibri"/>
          <w:i/>
          <w:iCs/>
          <w:sz w:val="20"/>
          <w:szCs w:val="20"/>
        </w:rPr>
        <w:t>Review of social determinants and the health divide in the WHO European Region: final report.</w:t>
      </w:r>
    </w:p>
    <w:p w:rsidR="00AC12B4" w:rsidRDefault="00AC12B4">
      <w:pPr>
        <w:spacing w:line="47" w:lineRule="exact"/>
        <w:rPr>
          <w:rFonts w:ascii="Calibri" w:eastAsia="Calibri" w:hAnsi="Calibri" w:cs="Calibri"/>
          <w:sz w:val="26"/>
          <w:szCs w:val="26"/>
          <w:vertAlign w:val="superscript"/>
        </w:rPr>
      </w:pPr>
    </w:p>
    <w:p w:rsidR="00AC12B4" w:rsidRPr="00C27636" w:rsidRDefault="00C27636">
      <w:pPr>
        <w:spacing w:line="234" w:lineRule="auto"/>
        <w:ind w:left="560" w:right="17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Le bureau régional européen de l’OMS dans ce rapport final sur les inégalités en matièr</w:t>
      </w:r>
      <w:r w:rsidRPr="00C27636">
        <w:rPr>
          <w:rFonts w:ascii="Calibri" w:eastAsia="Calibri" w:hAnsi="Calibri" w:cs="Calibri"/>
          <w:sz w:val="20"/>
          <w:szCs w:val="20"/>
          <w:lang w:val="fr-BE"/>
        </w:rPr>
        <w:t>e de santé, décrit quatre « zones d’action » dans lesquels travailler. Nous avons, pour le développement d’indicateurs dans chaque thème, gardé ces quatre approches en tête. A savoir :Life-course approach (quant aux enfants, il s'agit des actions qui offre</w:t>
      </w:r>
      <w:r w:rsidRPr="00C27636">
        <w:rPr>
          <w:rFonts w:ascii="Calibri" w:eastAsia="Calibri" w:hAnsi="Calibri" w:cs="Calibri"/>
          <w:sz w:val="20"/>
          <w:szCs w:val="20"/>
          <w:lang w:val="fr-BE"/>
        </w:rPr>
        <w:t>nt un départ de vie optimal) ; Wider society (des actions en vue d'optimaliser la cohésion et l'inclusion sociale, la solidarité sociale et fiscale, l'empowerment) ; Macro level context (lutter contre les effets sur la santé de la crise économique et optim</w:t>
      </w:r>
      <w:r w:rsidRPr="00C27636">
        <w:rPr>
          <w:rFonts w:ascii="Calibri" w:eastAsia="Calibri" w:hAnsi="Calibri" w:cs="Calibri"/>
          <w:sz w:val="20"/>
          <w:szCs w:val="20"/>
          <w:lang w:val="fr-BE"/>
        </w:rPr>
        <w:t>aliser l'égalité des chances entre générations et entre sexes, prise en compte des facteurs sociaux, économiques et écologiques); Systems (des actions promouvant le travail intersectoriel).</w:t>
      </w:r>
    </w:p>
    <w:p w:rsidR="00AC12B4" w:rsidRPr="00C27636" w:rsidRDefault="00AC12B4">
      <w:pPr>
        <w:spacing w:line="169" w:lineRule="exact"/>
        <w:rPr>
          <w:rFonts w:ascii="Calibri" w:eastAsia="Calibri" w:hAnsi="Calibri" w:cs="Calibri"/>
          <w:sz w:val="26"/>
          <w:szCs w:val="26"/>
          <w:vertAlign w:val="superscript"/>
          <w:lang w:val="fr-BE"/>
        </w:rPr>
      </w:pPr>
    </w:p>
    <w:p w:rsidR="00AC12B4" w:rsidRDefault="00C27636">
      <w:pPr>
        <w:numPr>
          <w:ilvl w:val="0"/>
          <w:numId w:val="12"/>
        </w:numPr>
        <w:tabs>
          <w:tab w:val="left" w:pos="759"/>
        </w:tabs>
        <w:spacing w:line="189" w:lineRule="auto"/>
        <w:ind w:left="560" w:right="177" w:firstLine="7"/>
        <w:jc w:val="both"/>
        <w:rPr>
          <w:rFonts w:ascii="Calibri" w:eastAsia="Calibri" w:hAnsi="Calibri" w:cs="Calibri"/>
          <w:sz w:val="26"/>
          <w:szCs w:val="26"/>
          <w:vertAlign w:val="superscript"/>
        </w:rPr>
      </w:pPr>
      <w:r w:rsidRPr="00C27636">
        <w:rPr>
          <w:rFonts w:ascii="Calibri" w:eastAsia="Calibri" w:hAnsi="Calibri" w:cs="Calibri"/>
          <w:sz w:val="20"/>
          <w:szCs w:val="20"/>
          <w:lang w:val="fr-BE"/>
        </w:rPr>
        <w:t xml:space="preserve">Pour les critères généraux (fin de l’encadré) la check-list est basée sur : H.-O. Sano, </w:t>
      </w:r>
      <w:r w:rsidRPr="00C27636">
        <w:rPr>
          <w:rFonts w:ascii="Calibri" w:eastAsia="Calibri" w:hAnsi="Calibri" w:cs="Calibri"/>
          <w:i/>
          <w:iCs/>
          <w:sz w:val="20"/>
          <w:szCs w:val="20"/>
          <w:lang w:val="fr-BE"/>
        </w:rPr>
        <w:t>Human Rights</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 xml:space="preserve">Indicators. </w:t>
      </w:r>
      <w:r>
        <w:rPr>
          <w:rFonts w:ascii="Calibri" w:eastAsia="Calibri" w:hAnsi="Calibri" w:cs="Calibri"/>
          <w:i/>
          <w:iCs/>
          <w:sz w:val="20"/>
          <w:szCs w:val="20"/>
        </w:rPr>
        <w:t>Purpose and Validity</w:t>
      </w:r>
      <w:r>
        <w:rPr>
          <w:rFonts w:ascii="Calibri" w:eastAsia="Calibri" w:hAnsi="Calibri" w:cs="Calibri"/>
          <w:sz w:val="20"/>
          <w:szCs w:val="20"/>
        </w:rPr>
        <w:t>, Paper for Turku/Åbo Expert Meeting on Human Rights Indicators, 11-</w:t>
      </w:r>
    </w:p>
    <w:p w:rsidR="00AC12B4" w:rsidRDefault="00AC12B4">
      <w:pPr>
        <w:spacing w:line="45" w:lineRule="exact"/>
        <w:rPr>
          <w:rFonts w:ascii="Calibri" w:eastAsia="Calibri" w:hAnsi="Calibri" w:cs="Calibri"/>
          <w:sz w:val="26"/>
          <w:szCs w:val="26"/>
          <w:vertAlign w:val="superscript"/>
        </w:rPr>
      </w:pPr>
    </w:p>
    <w:p w:rsidR="00AC12B4" w:rsidRDefault="00C27636">
      <w:pPr>
        <w:numPr>
          <w:ilvl w:val="0"/>
          <w:numId w:val="12"/>
        </w:numPr>
        <w:tabs>
          <w:tab w:val="left" w:pos="857"/>
        </w:tabs>
        <w:spacing w:line="225" w:lineRule="auto"/>
        <w:ind w:left="560" w:right="177" w:firstLine="7"/>
        <w:jc w:val="both"/>
        <w:rPr>
          <w:rFonts w:ascii="Calibri" w:eastAsia="Calibri" w:hAnsi="Calibri" w:cs="Calibri"/>
          <w:sz w:val="20"/>
          <w:szCs w:val="20"/>
        </w:rPr>
      </w:pPr>
      <w:r>
        <w:rPr>
          <w:rFonts w:ascii="Calibri" w:eastAsia="Calibri" w:hAnsi="Calibri" w:cs="Calibri"/>
          <w:sz w:val="20"/>
          <w:szCs w:val="20"/>
        </w:rPr>
        <w:t>March 2005, Danish Institute for Human Rights. Sano s</w:t>
      </w:r>
      <w:r>
        <w:rPr>
          <w:rFonts w:ascii="Calibri" w:eastAsia="Calibri" w:hAnsi="Calibri" w:cs="Calibri"/>
          <w:sz w:val="20"/>
          <w:szCs w:val="20"/>
        </w:rPr>
        <w:t xml:space="preserve">’est basé sur Vera Institute of Justice, </w:t>
      </w:r>
      <w:r>
        <w:rPr>
          <w:rFonts w:ascii="Calibri" w:eastAsia="Calibri" w:hAnsi="Calibri" w:cs="Calibri"/>
          <w:i/>
          <w:iCs/>
          <w:sz w:val="20"/>
          <w:szCs w:val="20"/>
        </w:rPr>
        <w:t xml:space="preserve">Measuring Progress toward Safety and Justice: A Global Guide to the Design of Performance Indicators across the Justice Sector, </w:t>
      </w:r>
      <w:r>
        <w:rPr>
          <w:rFonts w:ascii="Calibri" w:eastAsia="Calibri" w:hAnsi="Calibri" w:cs="Calibri"/>
          <w:sz w:val="20"/>
          <w:szCs w:val="20"/>
        </w:rPr>
        <w:t>novembre 2003.</w:t>
      </w:r>
    </w:p>
    <w:p w:rsidR="00AC12B4" w:rsidRDefault="00AC12B4">
      <w:pPr>
        <w:spacing w:line="242" w:lineRule="exact"/>
        <w:rPr>
          <w:sz w:val="20"/>
          <w:szCs w:val="20"/>
        </w:rPr>
      </w:pPr>
    </w:p>
    <w:p w:rsidR="00AC12B4" w:rsidRPr="00C27636" w:rsidRDefault="00C27636">
      <w:pPr>
        <w:ind w:right="-402"/>
        <w:jc w:val="center"/>
        <w:rPr>
          <w:sz w:val="20"/>
          <w:szCs w:val="20"/>
          <w:lang w:val="fr-BE"/>
        </w:rPr>
      </w:pPr>
      <w:r w:rsidRPr="00C27636">
        <w:rPr>
          <w:rFonts w:ascii="Calibri" w:eastAsia="Calibri" w:hAnsi="Calibri" w:cs="Calibri"/>
          <w:lang w:val="fr-BE"/>
        </w:rPr>
        <w:t>23</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bookmarkStart w:id="23" w:name="page24"/>
    <w:bookmarkEnd w:id="23"/>
    <w:p w:rsidR="00AC12B4" w:rsidRPr="00C27636" w:rsidRDefault="00C27636">
      <w:pPr>
        <w:spacing w:line="163" w:lineRule="exact"/>
        <w:rPr>
          <w:sz w:val="20"/>
          <w:szCs w:val="20"/>
          <w:lang w:val="fr-BE"/>
        </w:rPr>
      </w:pPr>
      <w:r>
        <w:rPr>
          <w:noProof/>
          <w:sz w:val="20"/>
          <w:szCs w:val="20"/>
        </w:rPr>
        <w:lastRenderedPageBreak/>
        <mc:AlternateContent>
          <mc:Choice Requires="wps">
            <w:drawing>
              <wp:anchor distT="0" distB="0" distL="114300" distR="114300" simplePos="0" relativeHeight="251367936" behindDoc="1" locked="0" layoutInCell="0" allowOverlap="1">
                <wp:simplePos x="0" y="0"/>
                <wp:positionH relativeFrom="page">
                  <wp:posOffset>0</wp:posOffset>
                </wp:positionH>
                <wp:positionV relativeFrom="page">
                  <wp:posOffset>920115</wp:posOffset>
                </wp:positionV>
                <wp:extent cx="7668260" cy="415544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8260" cy="4155440"/>
                        </a:xfrm>
                        <a:prstGeom prst="rect">
                          <a:avLst/>
                        </a:prstGeom>
                        <a:solidFill>
                          <a:srgbClr val="ACD8F9"/>
                        </a:solidFill>
                      </wps:spPr>
                      <wps:bodyPr/>
                    </wps:wsp>
                  </a:graphicData>
                </a:graphic>
              </wp:anchor>
            </w:drawing>
          </mc:Choice>
          <mc:Fallback>
            <w:pict>
              <v:rect id="Shape 19" o:spid="_x0000_s1044" style="position:absolute;margin-left:0pt;margin-top:72.45pt;width:603.8pt;height:327.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p>
    <w:p w:rsidR="00AC12B4" w:rsidRPr="00C27636" w:rsidRDefault="00C27636">
      <w:pPr>
        <w:rPr>
          <w:sz w:val="20"/>
          <w:szCs w:val="20"/>
          <w:lang w:val="fr-BE"/>
        </w:rPr>
      </w:pPr>
      <w:r w:rsidRPr="00C27636">
        <w:rPr>
          <w:rFonts w:ascii="Calibri" w:eastAsia="Calibri" w:hAnsi="Calibri" w:cs="Calibri"/>
          <w:b/>
          <w:bCs/>
          <w:i/>
          <w:iCs/>
          <w:lang w:val="fr-BE"/>
        </w:rPr>
        <w:t>Check-list :</w:t>
      </w:r>
    </w:p>
    <w:p w:rsidR="00AC12B4" w:rsidRPr="00C27636" w:rsidRDefault="00AC12B4">
      <w:pPr>
        <w:spacing w:line="12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 xml:space="preserve">Pour chaque groupe d’indicateurs il </w:t>
      </w:r>
      <w:r w:rsidRPr="00C27636">
        <w:rPr>
          <w:rFonts w:ascii="Calibri" w:eastAsia="Calibri" w:hAnsi="Calibri" w:cs="Calibri"/>
          <w:lang w:val="fr-BE"/>
        </w:rPr>
        <w:t>y a au moins:</w:t>
      </w:r>
    </w:p>
    <w:p w:rsidR="00AC12B4" w:rsidRPr="00C27636" w:rsidRDefault="00C27636">
      <w:pPr>
        <w:numPr>
          <w:ilvl w:val="0"/>
          <w:numId w:val="13"/>
        </w:numPr>
        <w:tabs>
          <w:tab w:val="left" w:pos="720"/>
        </w:tabs>
        <w:spacing w:line="191" w:lineRule="auto"/>
        <w:ind w:left="720" w:hanging="360"/>
        <w:rPr>
          <w:rFonts w:ascii="Wingdings" w:eastAsia="Wingdings" w:hAnsi="Wingdings" w:cs="Wingdings"/>
          <w:sz w:val="44"/>
          <w:szCs w:val="44"/>
          <w:vertAlign w:val="superscript"/>
          <w:lang w:val="fr-BE"/>
        </w:rPr>
      </w:pPr>
      <w:r w:rsidRPr="00C27636">
        <w:rPr>
          <w:rFonts w:ascii="Calibri" w:eastAsia="Calibri" w:hAnsi="Calibri" w:cs="Calibri"/>
          <w:lang w:val="fr-BE"/>
        </w:rPr>
        <w:t xml:space="preserve">un indicateur </w:t>
      </w:r>
      <w:r w:rsidRPr="00C27636">
        <w:rPr>
          <w:rFonts w:ascii="Calibri" w:eastAsia="Calibri" w:hAnsi="Calibri" w:cs="Calibri"/>
          <w:b/>
          <w:bCs/>
          <w:lang w:val="fr-BE"/>
        </w:rPr>
        <w:t>subjectif</w:t>
      </w:r>
      <w:r w:rsidRPr="00C27636">
        <w:rPr>
          <w:rFonts w:ascii="Calibri" w:eastAsia="Calibri" w:hAnsi="Calibri" w:cs="Calibri"/>
          <w:lang w:val="fr-BE"/>
        </w:rPr>
        <w:t xml:space="preserve"> (sentiment de bien-être…)</w:t>
      </w:r>
    </w:p>
    <w:p w:rsidR="00AC12B4" w:rsidRPr="00C27636" w:rsidRDefault="00AC12B4">
      <w:pPr>
        <w:spacing w:line="169" w:lineRule="exact"/>
        <w:rPr>
          <w:rFonts w:ascii="Wingdings" w:eastAsia="Wingdings" w:hAnsi="Wingdings" w:cs="Wingdings"/>
          <w:sz w:val="44"/>
          <w:szCs w:val="44"/>
          <w:vertAlign w:val="superscript"/>
          <w:lang w:val="fr-BE"/>
        </w:rPr>
      </w:pPr>
    </w:p>
    <w:p w:rsidR="00AC12B4" w:rsidRDefault="00C27636">
      <w:pPr>
        <w:numPr>
          <w:ilvl w:val="0"/>
          <w:numId w:val="13"/>
        </w:numPr>
        <w:tabs>
          <w:tab w:val="left" w:pos="720"/>
        </w:tabs>
        <w:spacing w:line="182" w:lineRule="auto"/>
        <w:ind w:left="720" w:hanging="360"/>
        <w:rPr>
          <w:rFonts w:ascii="Wingdings" w:eastAsia="Wingdings" w:hAnsi="Wingdings" w:cs="Wingdings"/>
          <w:sz w:val="26"/>
          <w:szCs w:val="26"/>
          <w:vertAlign w:val="superscript"/>
        </w:rPr>
      </w:pPr>
      <w:r>
        <w:rPr>
          <w:rFonts w:ascii="Calibri" w:eastAsia="Calibri" w:hAnsi="Calibri" w:cs="Calibri"/>
          <w:sz w:val="16"/>
          <w:szCs w:val="16"/>
        </w:rPr>
        <w:t xml:space="preserve">un indicateur </w:t>
      </w:r>
      <w:r>
        <w:rPr>
          <w:rFonts w:ascii="Calibri" w:eastAsia="Calibri" w:hAnsi="Calibri" w:cs="Calibri"/>
          <w:b/>
          <w:bCs/>
          <w:sz w:val="16"/>
          <w:szCs w:val="16"/>
        </w:rPr>
        <w:t>objectif</w:t>
      </w:r>
    </w:p>
    <w:p w:rsidR="00AC12B4" w:rsidRDefault="00AC12B4">
      <w:pPr>
        <w:spacing w:line="167" w:lineRule="exact"/>
        <w:rPr>
          <w:rFonts w:ascii="Wingdings" w:eastAsia="Wingdings" w:hAnsi="Wingdings" w:cs="Wingdings"/>
          <w:sz w:val="26"/>
          <w:szCs w:val="26"/>
          <w:vertAlign w:val="superscript"/>
        </w:rPr>
      </w:pPr>
    </w:p>
    <w:p w:rsidR="00AC12B4" w:rsidRPr="00C27636" w:rsidRDefault="00C27636">
      <w:pPr>
        <w:numPr>
          <w:ilvl w:val="0"/>
          <w:numId w:val="13"/>
        </w:numPr>
        <w:tabs>
          <w:tab w:val="left" w:pos="720"/>
        </w:tabs>
        <w:spacing w:line="185" w:lineRule="auto"/>
        <w:ind w:left="720" w:right="737" w:hanging="360"/>
        <w:jc w:val="both"/>
        <w:rPr>
          <w:rFonts w:ascii="Wingdings" w:eastAsia="Wingdings" w:hAnsi="Wingdings" w:cs="Wingdings"/>
          <w:sz w:val="36"/>
          <w:szCs w:val="36"/>
          <w:vertAlign w:val="superscript"/>
          <w:lang w:val="fr-BE"/>
        </w:rPr>
      </w:pPr>
      <w:r w:rsidRPr="00C27636">
        <w:rPr>
          <w:rFonts w:ascii="Calibri" w:eastAsia="Calibri" w:hAnsi="Calibri" w:cs="Calibri"/>
          <w:sz w:val="19"/>
          <w:szCs w:val="19"/>
          <w:lang w:val="fr-BE"/>
        </w:rPr>
        <w:t xml:space="preserve">un indicateur pertinent pour </w:t>
      </w:r>
      <w:r w:rsidRPr="00C27636">
        <w:rPr>
          <w:rFonts w:ascii="Calibri" w:eastAsia="Calibri" w:hAnsi="Calibri" w:cs="Calibri"/>
          <w:b/>
          <w:bCs/>
          <w:sz w:val="19"/>
          <w:szCs w:val="19"/>
          <w:lang w:val="fr-BE"/>
        </w:rPr>
        <w:t>chaque groupe d’âge</w:t>
      </w:r>
      <w:r w:rsidRPr="00C27636">
        <w:rPr>
          <w:rFonts w:ascii="Calibri" w:eastAsia="Calibri" w:hAnsi="Calibri" w:cs="Calibri"/>
          <w:sz w:val="19"/>
          <w:szCs w:val="19"/>
          <w:lang w:val="fr-BE"/>
        </w:rPr>
        <w:t xml:space="preserve"> (périnatal, petite enfance, enfance, adolescence, transition) (nb : un indicateur peut suffire pour plusieurs tranches d’âge)</w:t>
      </w:r>
    </w:p>
    <w:p w:rsidR="00AC12B4" w:rsidRPr="00C27636" w:rsidRDefault="00AC12B4">
      <w:pPr>
        <w:spacing w:line="122"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De plus, chaque indicateur devra :</w:t>
      </w:r>
    </w:p>
    <w:p w:rsidR="00AC12B4" w:rsidRPr="00C27636" w:rsidRDefault="00C27636">
      <w:pPr>
        <w:numPr>
          <w:ilvl w:val="0"/>
          <w:numId w:val="14"/>
        </w:numPr>
        <w:tabs>
          <w:tab w:val="left" w:pos="720"/>
        </w:tabs>
        <w:spacing w:line="191" w:lineRule="auto"/>
        <w:ind w:left="720" w:hanging="360"/>
        <w:rPr>
          <w:rFonts w:ascii="Wingdings" w:eastAsia="Wingdings" w:hAnsi="Wingdings" w:cs="Wingdings"/>
          <w:sz w:val="44"/>
          <w:szCs w:val="44"/>
          <w:vertAlign w:val="superscript"/>
          <w:lang w:val="fr-BE"/>
        </w:rPr>
      </w:pPr>
      <w:r w:rsidRPr="00C27636">
        <w:rPr>
          <w:rFonts w:ascii="Calibri" w:eastAsia="Calibri" w:hAnsi="Calibri" w:cs="Calibri"/>
          <w:lang w:val="fr-BE"/>
        </w:rPr>
        <w:t xml:space="preserve">mettre en avant de </w:t>
      </w:r>
      <w:r w:rsidRPr="00C27636">
        <w:rPr>
          <w:rFonts w:ascii="Calibri" w:eastAsia="Calibri" w:hAnsi="Calibri" w:cs="Calibri"/>
          <w:b/>
          <w:bCs/>
          <w:lang w:val="fr-BE"/>
        </w:rPr>
        <w:t>groupes vulnérables</w:t>
      </w:r>
    </w:p>
    <w:p w:rsidR="00AC12B4" w:rsidRPr="00C27636" w:rsidRDefault="00AC12B4">
      <w:pPr>
        <w:spacing w:line="169" w:lineRule="exact"/>
        <w:rPr>
          <w:rFonts w:ascii="Wingdings" w:eastAsia="Wingdings" w:hAnsi="Wingdings" w:cs="Wingdings"/>
          <w:sz w:val="44"/>
          <w:szCs w:val="44"/>
          <w:vertAlign w:val="superscript"/>
          <w:lang w:val="fr-BE"/>
        </w:rPr>
      </w:pPr>
    </w:p>
    <w:p w:rsidR="00AC12B4" w:rsidRDefault="00C27636">
      <w:pPr>
        <w:numPr>
          <w:ilvl w:val="0"/>
          <w:numId w:val="14"/>
        </w:numPr>
        <w:tabs>
          <w:tab w:val="left" w:pos="720"/>
        </w:tabs>
        <w:spacing w:line="182" w:lineRule="auto"/>
        <w:ind w:left="720" w:hanging="360"/>
        <w:rPr>
          <w:rFonts w:ascii="Wingdings" w:eastAsia="Wingdings" w:hAnsi="Wingdings" w:cs="Wingdings"/>
          <w:sz w:val="26"/>
          <w:szCs w:val="26"/>
          <w:vertAlign w:val="superscript"/>
        </w:rPr>
      </w:pPr>
      <w:r>
        <w:rPr>
          <w:rFonts w:ascii="Calibri" w:eastAsia="Calibri" w:hAnsi="Calibri" w:cs="Calibri"/>
          <w:sz w:val="16"/>
          <w:szCs w:val="16"/>
        </w:rPr>
        <w:t xml:space="preserve">être pertinent pour la </w:t>
      </w:r>
      <w:r>
        <w:rPr>
          <w:rFonts w:ascii="Calibri" w:eastAsia="Calibri" w:hAnsi="Calibri" w:cs="Calibri"/>
          <w:b/>
          <w:bCs/>
          <w:sz w:val="16"/>
          <w:szCs w:val="16"/>
        </w:rPr>
        <w:t>Belgique</w:t>
      </w:r>
    </w:p>
    <w:p w:rsidR="00AC12B4" w:rsidRDefault="00AC12B4">
      <w:pPr>
        <w:spacing w:line="169" w:lineRule="exact"/>
        <w:rPr>
          <w:rFonts w:ascii="Wingdings" w:eastAsia="Wingdings" w:hAnsi="Wingdings" w:cs="Wingdings"/>
          <w:sz w:val="26"/>
          <w:szCs w:val="26"/>
          <w:vertAlign w:val="superscript"/>
        </w:rPr>
      </w:pPr>
    </w:p>
    <w:p w:rsidR="00AC12B4" w:rsidRPr="00C27636" w:rsidRDefault="00C27636">
      <w:pPr>
        <w:numPr>
          <w:ilvl w:val="0"/>
          <w:numId w:val="14"/>
        </w:numPr>
        <w:tabs>
          <w:tab w:val="left" w:pos="720"/>
        </w:tabs>
        <w:spacing w:line="185" w:lineRule="auto"/>
        <w:ind w:left="720" w:right="737" w:hanging="360"/>
        <w:rPr>
          <w:rFonts w:ascii="Wingdings" w:eastAsia="Wingdings" w:hAnsi="Wingdings" w:cs="Wingdings"/>
          <w:sz w:val="36"/>
          <w:szCs w:val="36"/>
          <w:vertAlign w:val="superscript"/>
          <w:lang w:val="fr-BE"/>
        </w:rPr>
      </w:pPr>
      <w:r w:rsidRPr="00C27636">
        <w:rPr>
          <w:rFonts w:ascii="Calibri" w:eastAsia="Calibri" w:hAnsi="Calibri" w:cs="Calibri"/>
          <w:sz w:val="19"/>
          <w:szCs w:val="19"/>
          <w:lang w:val="fr-BE"/>
        </w:rPr>
        <w:t xml:space="preserve">être centré sur </w:t>
      </w:r>
      <w:r w:rsidRPr="00C27636">
        <w:rPr>
          <w:rFonts w:ascii="Calibri" w:eastAsia="Calibri" w:hAnsi="Calibri" w:cs="Calibri"/>
          <w:b/>
          <w:bCs/>
          <w:sz w:val="19"/>
          <w:szCs w:val="19"/>
          <w:lang w:val="fr-BE"/>
        </w:rPr>
        <w:t>l’en</w:t>
      </w:r>
      <w:r w:rsidRPr="00C27636">
        <w:rPr>
          <w:rFonts w:ascii="Calibri" w:eastAsia="Calibri" w:hAnsi="Calibri" w:cs="Calibri"/>
          <w:b/>
          <w:bCs/>
          <w:sz w:val="19"/>
          <w:szCs w:val="19"/>
          <w:lang w:val="fr-BE"/>
        </w:rPr>
        <w:t>fant</w:t>
      </w:r>
      <w:r w:rsidRPr="00C27636">
        <w:rPr>
          <w:rFonts w:ascii="Calibri" w:eastAsia="Calibri" w:hAnsi="Calibri" w:cs="Calibri"/>
          <w:sz w:val="19"/>
          <w:szCs w:val="19"/>
          <w:lang w:val="fr-BE"/>
        </w:rPr>
        <w:t xml:space="preserve"> (le considérer comme sujet) – ce critère ne s’imposait toutefois pas aux indicateurs du droit à la protection de la vie familiale</w:t>
      </w:r>
    </w:p>
    <w:p w:rsidR="00AC12B4" w:rsidRPr="00C27636" w:rsidRDefault="00AC12B4">
      <w:pPr>
        <w:spacing w:line="122" w:lineRule="exact"/>
        <w:rPr>
          <w:sz w:val="20"/>
          <w:szCs w:val="20"/>
          <w:lang w:val="fr-BE"/>
        </w:rPr>
      </w:pPr>
    </w:p>
    <w:p w:rsidR="00AC12B4" w:rsidRDefault="00C27636">
      <w:pPr>
        <w:rPr>
          <w:sz w:val="20"/>
          <w:szCs w:val="20"/>
        </w:rPr>
      </w:pPr>
      <w:r>
        <w:rPr>
          <w:rFonts w:ascii="Calibri" w:eastAsia="Calibri" w:hAnsi="Calibri" w:cs="Calibri"/>
        </w:rPr>
        <w:t>Finalement, les indicateurs seront :</w:t>
      </w:r>
    </w:p>
    <w:p w:rsidR="00AC12B4" w:rsidRPr="00C27636" w:rsidRDefault="00C27636">
      <w:pPr>
        <w:numPr>
          <w:ilvl w:val="0"/>
          <w:numId w:val="15"/>
        </w:numPr>
        <w:tabs>
          <w:tab w:val="left" w:pos="720"/>
        </w:tabs>
        <w:spacing w:line="191" w:lineRule="auto"/>
        <w:ind w:left="720" w:hanging="360"/>
        <w:rPr>
          <w:rFonts w:ascii="Wingdings" w:eastAsia="Wingdings" w:hAnsi="Wingdings" w:cs="Wingdings"/>
          <w:sz w:val="44"/>
          <w:szCs w:val="44"/>
          <w:vertAlign w:val="superscript"/>
          <w:lang w:val="fr-BE"/>
        </w:rPr>
      </w:pPr>
      <w:r w:rsidRPr="00C27636">
        <w:rPr>
          <w:rFonts w:ascii="Calibri" w:eastAsia="Calibri" w:hAnsi="Calibri" w:cs="Calibri"/>
          <w:b/>
          <w:bCs/>
          <w:lang w:val="fr-BE"/>
        </w:rPr>
        <w:t xml:space="preserve">Valide </w:t>
      </w:r>
      <w:r w:rsidRPr="00C27636">
        <w:rPr>
          <w:rFonts w:ascii="Calibri" w:eastAsia="Calibri" w:hAnsi="Calibri" w:cs="Calibri"/>
          <w:lang w:val="fr-BE"/>
        </w:rPr>
        <w:t>–mesure réellement ce qu’il doit mesurer</w:t>
      </w:r>
    </w:p>
    <w:p w:rsidR="00AC12B4" w:rsidRPr="00C27636" w:rsidRDefault="00AC12B4">
      <w:pPr>
        <w:spacing w:line="49" w:lineRule="exact"/>
        <w:rPr>
          <w:rFonts w:ascii="Wingdings" w:eastAsia="Wingdings" w:hAnsi="Wingdings" w:cs="Wingdings"/>
          <w:sz w:val="44"/>
          <w:szCs w:val="44"/>
          <w:vertAlign w:val="superscript"/>
          <w:lang w:val="fr-BE"/>
        </w:rPr>
      </w:pPr>
    </w:p>
    <w:p w:rsidR="00AC12B4" w:rsidRPr="00C27636" w:rsidRDefault="00C27636">
      <w:pPr>
        <w:numPr>
          <w:ilvl w:val="0"/>
          <w:numId w:val="15"/>
        </w:numPr>
        <w:tabs>
          <w:tab w:val="left" w:pos="720"/>
        </w:tabs>
        <w:spacing w:line="182" w:lineRule="auto"/>
        <w:ind w:left="720" w:hanging="360"/>
        <w:rPr>
          <w:rFonts w:ascii="Wingdings" w:eastAsia="Wingdings" w:hAnsi="Wingdings" w:cs="Wingdings"/>
          <w:sz w:val="26"/>
          <w:szCs w:val="26"/>
          <w:vertAlign w:val="superscript"/>
          <w:lang w:val="fr-BE"/>
        </w:rPr>
      </w:pPr>
      <w:r w:rsidRPr="00C27636">
        <w:rPr>
          <w:rFonts w:ascii="Calibri" w:eastAsia="Calibri" w:hAnsi="Calibri" w:cs="Calibri"/>
          <w:b/>
          <w:bCs/>
          <w:sz w:val="16"/>
          <w:szCs w:val="16"/>
          <w:lang w:val="fr-BE"/>
        </w:rPr>
        <w:t xml:space="preserve">Nuancé </w:t>
      </w:r>
      <w:r w:rsidRPr="00C27636">
        <w:rPr>
          <w:rFonts w:ascii="Calibri" w:eastAsia="Calibri" w:hAnsi="Calibri" w:cs="Calibri"/>
          <w:sz w:val="16"/>
          <w:szCs w:val="16"/>
          <w:lang w:val="fr-BE"/>
        </w:rPr>
        <w:t xml:space="preserve">– réduit l’ambiguïté de la </w:t>
      </w:r>
      <w:r w:rsidRPr="00C27636">
        <w:rPr>
          <w:rFonts w:ascii="Calibri" w:eastAsia="Calibri" w:hAnsi="Calibri" w:cs="Calibri"/>
          <w:sz w:val="16"/>
          <w:szCs w:val="16"/>
          <w:lang w:val="fr-BE"/>
        </w:rPr>
        <w:t>mesure</w:t>
      </w:r>
    </w:p>
    <w:p w:rsidR="00AC12B4" w:rsidRPr="00C27636" w:rsidRDefault="00AC12B4">
      <w:pPr>
        <w:spacing w:line="47" w:lineRule="exact"/>
        <w:rPr>
          <w:rFonts w:ascii="Wingdings" w:eastAsia="Wingdings" w:hAnsi="Wingdings" w:cs="Wingdings"/>
          <w:sz w:val="26"/>
          <w:szCs w:val="26"/>
          <w:vertAlign w:val="superscript"/>
          <w:lang w:val="fr-BE"/>
        </w:rPr>
      </w:pPr>
    </w:p>
    <w:p w:rsidR="00AC12B4" w:rsidRPr="00C27636" w:rsidRDefault="00C27636">
      <w:pPr>
        <w:numPr>
          <w:ilvl w:val="0"/>
          <w:numId w:val="15"/>
        </w:numPr>
        <w:tabs>
          <w:tab w:val="left" w:pos="720"/>
        </w:tabs>
        <w:ind w:left="720" w:right="737" w:hanging="360"/>
        <w:rPr>
          <w:rFonts w:ascii="Wingdings" w:eastAsia="Wingdings" w:hAnsi="Wingdings" w:cs="Wingdings"/>
          <w:sz w:val="36"/>
          <w:szCs w:val="36"/>
          <w:vertAlign w:val="superscript"/>
          <w:lang w:val="fr-BE"/>
        </w:rPr>
      </w:pPr>
      <w:r w:rsidRPr="00C27636">
        <w:rPr>
          <w:rFonts w:ascii="Calibri" w:eastAsia="Calibri" w:hAnsi="Calibri" w:cs="Calibri"/>
          <w:b/>
          <w:bCs/>
          <w:sz w:val="19"/>
          <w:szCs w:val="19"/>
          <w:lang w:val="fr-BE"/>
        </w:rPr>
        <w:t xml:space="preserve">Sensible </w:t>
      </w:r>
      <w:r w:rsidRPr="00C27636">
        <w:rPr>
          <w:rFonts w:ascii="Calibri" w:eastAsia="Calibri" w:hAnsi="Calibri" w:cs="Calibri"/>
          <w:sz w:val="19"/>
          <w:szCs w:val="19"/>
          <w:lang w:val="fr-BE"/>
        </w:rPr>
        <w:t>–</w:t>
      </w:r>
      <w:r w:rsidRPr="00C27636">
        <w:rPr>
          <w:rFonts w:ascii="Calibri" w:eastAsia="Calibri" w:hAnsi="Calibri" w:cs="Calibri"/>
          <w:b/>
          <w:bCs/>
          <w:sz w:val="19"/>
          <w:szCs w:val="19"/>
          <w:lang w:val="fr-BE"/>
        </w:rPr>
        <w:t xml:space="preserve"> </w:t>
      </w:r>
      <w:r w:rsidRPr="00C27636">
        <w:rPr>
          <w:rFonts w:ascii="Calibri" w:eastAsia="Calibri" w:hAnsi="Calibri" w:cs="Calibri"/>
          <w:sz w:val="19"/>
          <w:szCs w:val="19"/>
          <w:lang w:val="fr-BE"/>
        </w:rPr>
        <w:t>sensible aux changements désirés, reflète les variations au sein de groupes</w:t>
      </w:r>
      <w:r w:rsidRPr="00C27636">
        <w:rPr>
          <w:rFonts w:ascii="Calibri" w:eastAsia="Calibri" w:hAnsi="Calibri" w:cs="Calibri"/>
          <w:b/>
          <w:bCs/>
          <w:sz w:val="19"/>
          <w:szCs w:val="19"/>
          <w:lang w:val="fr-BE"/>
        </w:rPr>
        <w:t xml:space="preserve"> </w:t>
      </w:r>
      <w:r w:rsidRPr="00C27636">
        <w:rPr>
          <w:rFonts w:ascii="Calibri" w:eastAsia="Calibri" w:hAnsi="Calibri" w:cs="Calibri"/>
          <w:sz w:val="19"/>
          <w:szCs w:val="19"/>
          <w:lang w:val="fr-BE"/>
        </w:rPr>
        <w:t>spécifiques</w:t>
      </w:r>
    </w:p>
    <w:p w:rsidR="00AC12B4" w:rsidRPr="00C27636" w:rsidRDefault="00AC12B4">
      <w:pPr>
        <w:spacing w:line="88" w:lineRule="exact"/>
        <w:rPr>
          <w:rFonts w:ascii="Wingdings" w:eastAsia="Wingdings" w:hAnsi="Wingdings" w:cs="Wingdings"/>
          <w:sz w:val="36"/>
          <w:szCs w:val="36"/>
          <w:vertAlign w:val="superscript"/>
          <w:lang w:val="fr-BE"/>
        </w:rPr>
      </w:pPr>
    </w:p>
    <w:p w:rsidR="00AC12B4" w:rsidRPr="00C27636" w:rsidRDefault="00C27636">
      <w:pPr>
        <w:numPr>
          <w:ilvl w:val="0"/>
          <w:numId w:val="15"/>
        </w:numPr>
        <w:tabs>
          <w:tab w:val="left" w:pos="720"/>
        </w:tabs>
        <w:spacing w:line="181" w:lineRule="auto"/>
        <w:ind w:left="720" w:hanging="360"/>
        <w:rPr>
          <w:rFonts w:ascii="Wingdings" w:eastAsia="Wingdings" w:hAnsi="Wingdings" w:cs="Wingdings"/>
          <w:sz w:val="32"/>
          <w:szCs w:val="32"/>
          <w:vertAlign w:val="superscript"/>
          <w:lang w:val="fr-BE"/>
        </w:rPr>
      </w:pPr>
      <w:r w:rsidRPr="00C27636">
        <w:rPr>
          <w:rFonts w:ascii="Calibri" w:eastAsia="Calibri" w:hAnsi="Calibri" w:cs="Calibri"/>
          <w:b/>
          <w:bCs/>
          <w:sz w:val="18"/>
          <w:szCs w:val="18"/>
          <w:lang w:val="fr-BE"/>
        </w:rPr>
        <w:t xml:space="preserve">Pratique </w:t>
      </w:r>
      <w:r w:rsidRPr="00C27636">
        <w:rPr>
          <w:rFonts w:ascii="Calibri" w:eastAsia="Calibri" w:hAnsi="Calibri" w:cs="Calibri"/>
          <w:sz w:val="18"/>
          <w:szCs w:val="18"/>
          <w:lang w:val="fr-BE"/>
        </w:rPr>
        <w:t>–relativement facile à obtenir et à produire</w:t>
      </w:r>
    </w:p>
    <w:p w:rsidR="00AC12B4" w:rsidRPr="00C27636" w:rsidRDefault="00AC12B4">
      <w:pPr>
        <w:spacing w:line="50" w:lineRule="exact"/>
        <w:rPr>
          <w:rFonts w:ascii="Wingdings" w:eastAsia="Wingdings" w:hAnsi="Wingdings" w:cs="Wingdings"/>
          <w:sz w:val="32"/>
          <w:szCs w:val="32"/>
          <w:vertAlign w:val="superscript"/>
          <w:lang w:val="fr-BE"/>
        </w:rPr>
      </w:pPr>
    </w:p>
    <w:p w:rsidR="00AC12B4" w:rsidRPr="00C27636" w:rsidRDefault="00C27636">
      <w:pPr>
        <w:numPr>
          <w:ilvl w:val="0"/>
          <w:numId w:val="15"/>
        </w:numPr>
        <w:tabs>
          <w:tab w:val="left" w:pos="720"/>
        </w:tabs>
        <w:spacing w:line="182" w:lineRule="auto"/>
        <w:ind w:left="720" w:hanging="360"/>
        <w:rPr>
          <w:rFonts w:ascii="Wingdings" w:eastAsia="Wingdings" w:hAnsi="Wingdings" w:cs="Wingdings"/>
          <w:sz w:val="26"/>
          <w:szCs w:val="26"/>
          <w:vertAlign w:val="superscript"/>
          <w:lang w:val="fr-BE"/>
        </w:rPr>
      </w:pPr>
      <w:r w:rsidRPr="00C27636">
        <w:rPr>
          <w:rFonts w:ascii="Calibri" w:eastAsia="Calibri" w:hAnsi="Calibri" w:cs="Calibri"/>
          <w:b/>
          <w:bCs/>
          <w:sz w:val="16"/>
          <w:szCs w:val="16"/>
          <w:lang w:val="fr-BE"/>
        </w:rPr>
        <w:t xml:space="preserve">Approprié </w:t>
      </w:r>
      <w:r w:rsidRPr="00C27636">
        <w:rPr>
          <w:rFonts w:ascii="Calibri" w:eastAsia="Calibri" w:hAnsi="Calibri" w:cs="Calibri"/>
          <w:sz w:val="16"/>
          <w:szCs w:val="16"/>
          <w:lang w:val="fr-BE"/>
        </w:rPr>
        <w:t>–</w:t>
      </w:r>
      <w:r w:rsidRPr="00C27636">
        <w:rPr>
          <w:rFonts w:ascii="Calibri" w:eastAsia="Calibri" w:hAnsi="Calibri" w:cs="Calibri"/>
          <w:b/>
          <w:bCs/>
          <w:sz w:val="16"/>
          <w:szCs w:val="16"/>
          <w:lang w:val="fr-BE"/>
        </w:rPr>
        <w:t xml:space="preserve"> </w:t>
      </w:r>
      <w:r w:rsidRPr="00C27636">
        <w:rPr>
          <w:rFonts w:ascii="Calibri" w:eastAsia="Calibri" w:hAnsi="Calibri" w:cs="Calibri"/>
          <w:sz w:val="16"/>
          <w:szCs w:val="16"/>
          <w:lang w:val="fr-BE"/>
        </w:rPr>
        <w:t>considéré comme pertinent et légitime par tous les acteurs</w:t>
      </w:r>
    </w:p>
    <w:p w:rsidR="00AC12B4" w:rsidRPr="00C27636" w:rsidRDefault="00AC12B4">
      <w:pPr>
        <w:spacing w:line="49" w:lineRule="exact"/>
        <w:rPr>
          <w:rFonts w:ascii="Wingdings" w:eastAsia="Wingdings" w:hAnsi="Wingdings" w:cs="Wingdings"/>
          <w:sz w:val="26"/>
          <w:szCs w:val="26"/>
          <w:vertAlign w:val="superscript"/>
          <w:lang w:val="fr-BE"/>
        </w:rPr>
      </w:pPr>
    </w:p>
    <w:p w:rsidR="00AC12B4" w:rsidRPr="00C27636" w:rsidRDefault="00C27636">
      <w:pPr>
        <w:numPr>
          <w:ilvl w:val="0"/>
          <w:numId w:val="15"/>
        </w:numPr>
        <w:tabs>
          <w:tab w:val="left" w:pos="720"/>
        </w:tabs>
        <w:spacing w:line="182" w:lineRule="auto"/>
        <w:ind w:left="720" w:hanging="360"/>
        <w:rPr>
          <w:rFonts w:ascii="Wingdings" w:eastAsia="Wingdings" w:hAnsi="Wingdings" w:cs="Wingdings"/>
          <w:sz w:val="26"/>
          <w:szCs w:val="26"/>
          <w:vertAlign w:val="superscript"/>
          <w:lang w:val="fr-BE"/>
        </w:rPr>
      </w:pPr>
      <w:r w:rsidRPr="00C27636">
        <w:rPr>
          <w:rFonts w:ascii="Calibri" w:eastAsia="Calibri" w:hAnsi="Calibri" w:cs="Calibri"/>
          <w:b/>
          <w:bCs/>
          <w:sz w:val="16"/>
          <w:szCs w:val="16"/>
          <w:lang w:val="fr-BE"/>
        </w:rPr>
        <w:t xml:space="preserve">Claire </w:t>
      </w:r>
      <w:r w:rsidRPr="00C27636">
        <w:rPr>
          <w:rFonts w:ascii="Calibri" w:eastAsia="Calibri" w:hAnsi="Calibri" w:cs="Calibri"/>
          <w:sz w:val="16"/>
          <w:szCs w:val="16"/>
          <w:lang w:val="fr-BE"/>
        </w:rPr>
        <w:t>–</w:t>
      </w:r>
      <w:r w:rsidRPr="00C27636">
        <w:rPr>
          <w:rFonts w:ascii="Calibri" w:eastAsia="Calibri" w:hAnsi="Calibri" w:cs="Calibri"/>
          <w:b/>
          <w:bCs/>
          <w:sz w:val="16"/>
          <w:szCs w:val="16"/>
          <w:lang w:val="fr-BE"/>
        </w:rPr>
        <w:t xml:space="preserve"> </w:t>
      </w:r>
      <w:r w:rsidRPr="00C27636">
        <w:rPr>
          <w:rFonts w:ascii="Calibri" w:eastAsia="Calibri" w:hAnsi="Calibri" w:cs="Calibri"/>
          <w:sz w:val="16"/>
          <w:szCs w:val="16"/>
          <w:lang w:val="fr-BE"/>
        </w:rPr>
        <w:t>compréhensible et utilisable par tous les acteurs</w:t>
      </w:r>
    </w:p>
    <w:p w:rsidR="00AC12B4" w:rsidRPr="00C27636" w:rsidRDefault="00AC12B4">
      <w:pPr>
        <w:spacing w:line="331"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lang w:val="fr-BE"/>
        </w:rPr>
        <w:t>Cette check-list a permis d’essayer d’être les plus complets possibles lors du processus de sélection d’indicateurs. Si pour un groupe d’indicateurs un des éléments était absent, cette absence a été questi</w:t>
      </w:r>
      <w:r w:rsidRPr="00C27636">
        <w:rPr>
          <w:rFonts w:ascii="Calibri" w:eastAsia="Calibri" w:hAnsi="Calibri" w:cs="Calibri"/>
          <w:lang w:val="fr-BE"/>
        </w:rPr>
        <w:t>onnée et a éventuellement mené à une recommandation en vue d’une nouvelle collecte de données.</w:t>
      </w:r>
    </w:p>
    <w:p w:rsidR="00AC12B4" w:rsidRPr="00C27636" w:rsidRDefault="00AC12B4">
      <w:pPr>
        <w:spacing w:line="200" w:lineRule="exact"/>
        <w:rPr>
          <w:sz w:val="20"/>
          <w:szCs w:val="20"/>
          <w:lang w:val="fr-BE"/>
        </w:rPr>
      </w:pPr>
    </w:p>
    <w:p w:rsidR="00AC12B4" w:rsidRPr="00C27636" w:rsidRDefault="00AC12B4">
      <w:pPr>
        <w:spacing w:line="243"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Approche participative</w:t>
      </w:r>
    </w:p>
    <w:p w:rsidR="00AC12B4" w:rsidRPr="00C27636" w:rsidRDefault="00AC12B4">
      <w:pPr>
        <w:spacing w:line="165"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Sur base des deux outils précédents, une sélection d’indicateurs a été effectuée en deux phases.</w:t>
      </w:r>
    </w:p>
    <w:p w:rsidR="00AC12B4" w:rsidRPr="00C27636" w:rsidRDefault="00AC12B4">
      <w:pPr>
        <w:spacing w:line="96"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 xml:space="preserve">Cette sélection s’est déroulée en </w:t>
      </w:r>
      <w:r w:rsidRPr="00C27636">
        <w:rPr>
          <w:rFonts w:ascii="Calibri" w:eastAsia="Calibri" w:hAnsi="Calibri" w:cs="Calibri"/>
          <w:lang w:val="fr-BE"/>
        </w:rPr>
        <w:t>parallèle pour quatre « clusters » de droits</w:t>
      </w:r>
      <w:r w:rsidRPr="00C27636">
        <w:rPr>
          <w:rFonts w:ascii="Calibri" w:eastAsia="Calibri" w:hAnsi="Calibri" w:cs="Calibri"/>
          <w:sz w:val="27"/>
          <w:szCs w:val="27"/>
          <w:vertAlign w:val="superscript"/>
          <w:lang w:val="fr-BE"/>
        </w:rPr>
        <w:t>13</w:t>
      </w:r>
      <w:r w:rsidRPr="00C27636">
        <w:rPr>
          <w:rFonts w:ascii="Calibri" w:eastAsia="Calibri" w:hAnsi="Calibri" w:cs="Calibri"/>
          <w:lang w:val="fr-BE"/>
        </w:rPr>
        <w:t xml:space="preserve"> :</w:t>
      </w:r>
    </w:p>
    <w:p w:rsidR="00AC12B4" w:rsidRPr="00C27636" w:rsidRDefault="00AC12B4">
      <w:pPr>
        <w:spacing w:line="84" w:lineRule="exact"/>
        <w:rPr>
          <w:sz w:val="20"/>
          <w:szCs w:val="20"/>
          <w:lang w:val="fr-BE"/>
        </w:rPr>
      </w:pPr>
    </w:p>
    <w:p w:rsidR="00AC12B4" w:rsidRPr="00C27636" w:rsidRDefault="00C27636">
      <w:pPr>
        <w:numPr>
          <w:ilvl w:val="0"/>
          <w:numId w:val="16"/>
        </w:numPr>
        <w:tabs>
          <w:tab w:val="left" w:pos="720"/>
        </w:tabs>
        <w:ind w:left="720" w:hanging="360"/>
        <w:rPr>
          <w:rFonts w:ascii="Calibri" w:eastAsia="Calibri" w:hAnsi="Calibri" w:cs="Calibri"/>
          <w:lang w:val="fr-BE"/>
        </w:rPr>
      </w:pPr>
      <w:r w:rsidRPr="00C27636">
        <w:rPr>
          <w:rFonts w:ascii="Calibri" w:eastAsia="Calibri" w:hAnsi="Calibri" w:cs="Calibri"/>
          <w:lang w:val="fr-BE"/>
        </w:rPr>
        <w:t>Le droit à la protection de la santé et au bien-être</w:t>
      </w:r>
    </w:p>
    <w:p w:rsidR="00AC12B4" w:rsidRPr="00C27636" w:rsidRDefault="00AC12B4">
      <w:pPr>
        <w:spacing w:line="120" w:lineRule="exact"/>
        <w:rPr>
          <w:rFonts w:ascii="Calibri" w:eastAsia="Calibri" w:hAnsi="Calibri" w:cs="Calibri"/>
          <w:lang w:val="fr-BE"/>
        </w:rPr>
      </w:pPr>
    </w:p>
    <w:p w:rsidR="00AC12B4" w:rsidRPr="00C27636" w:rsidRDefault="00C27636">
      <w:pPr>
        <w:numPr>
          <w:ilvl w:val="0"/>
          <w:numId w:val="16"/>
        </w:numPr>
        <w:tabs>
          <w:tab w:val="left" w:pos="720"/>
        </w:tabs>
        <w:ind w:left="720" w:hanging="360"/>
        <w:rPr>
          <w:rFonts w:ascii="Calibri" w:eastAsia="Calibri" w:hAnsi="Calibri" w:cs="Calibri"/>
          <w:lang w:val="fr-BE"/>
        </w:rPr>
      </w:pPr>
      <w:r w:rsidRPr="00C27636">
        <w:rPr>
          <w:rFonts w:ascii="Calibri" w:eastAsia="Calibri" w:hAnsi="Calibri" w:cs="Calibri"/>
          <w:lang w:val="fr-BE"/>
        </w:rPr>
        <w:t>Le droit à l'enseignement, au repos et au loisir</w:t>
      </w:r>
    </w:p>
    <w:p w:rsidR="00AC12B4" w:rsidRPr="00C27636" w:rsidRDefault="00AC12B4">
      <w:pPr>
        <w:spacing w:line="117" w:lineRule="exact"/>
        <w:rPr>
          <w:rFonts w:ascii="Calibri" w:eastAsia="Calibri" w:hAnsi="Calibri" w:cs="Calibri"/>
          <w:lang w:val="fr-BE"/>
        </w:rPr>
      </w:pPr>
    </w:p>
    <w:p w:rsidR="00AC12B4" w:rsidRPr="00C27636" w:rsidRDefault="00C27636">
      <w:pPr>
        <w:numPr>
          <w:ilvl w:val="0"/>
          <w:numId w:val="16"/>
        </w:numPr>
        <w:tabs>
          <w:tab w:val="left" w:pos="720"/>
        </w:tabs>
        <w:ind w:left="720" w:hanging="360"/>
        <w:rPr>
          <w:rFonts w:ascii="Calibri" w:eastAsia="Calibri" w:hAnsi="Calibri" w:cs="Calibri"/>
          <w:lang w:val="fr-BE"/>
        </w:rPr>
      </w:pPr>
      <w:r w:rsidRPr="00C27636">
        <w:rPr>
          <w:rFonts w:ascii="Calibri" w:eastAsia="Calibri" w:hAnsi="Calibri" w:cs="Calibri"/>
          <w:lang w:val="fr-BE"/>
        </w:rPr>
        <w:t>Pour une approche de la délinquance juvénile adaptée aux enfants</w:t>
      </w:r>
    </w:p>
    <w:p w:rsidR="00AC12B4" w:rsidRPr="00C27636" w:rsidRDefault="00AC12B4">
      <w:pPr>
        <w:spacing w:line="120" w:lineRule="exact"/>
        <w:rPr>
          <w:rFonts w:ascii="Calibri" w:eastAsia="Calibri" w:hAnsi="Calibri" w:cs="Calibri"/>
          <w:lang w:val="fr-BE"/>
        </w:rPr>
      </w:pPr>
    </w:p>
    <w:p w:rsidR="00AC12B4" w:rsidRPr="00C27636" w:rsidRDefault="00C27636">
      <w:pPr>
        <w:numPr>
          <w:ilvl w:val="0"/>
          <w:numId w:val="16"/>
        </w:numPr>
        <w:tabs>
          <w:tab w:val="left" w:pos="720"/>
        </w:tabs>
        <w:ind w:left="720" w:hanging="360"/>
        <w:rPr>
          <w:rFonts w:ascii="Calibri" w:eastAsia="Calibri" w:hAnsi="Calibri" w:cs="Calibri"/>
          <w:lang w:val="fr-BE"/>
        </w:rPr>
      </w:pPr>
      <w:r w:rsidRPr="00C27636">
        <w:rPr>
          <w:rFonts w:ascii="Calibri" w:eastAsia="Calibri" w:hAnsi="Calibri" w:cs="Calibri"/>
          <w:lang w:val="fr-BE"/>
        </w:rPr>
        <w:t>Les droits du mineur en danger et le</w:t>
      </w:r>
      <w:r w:rsidRPr="00C27636">
        <w:rPr>
          <w:rFonts w:ascii="Calibri" w:eastAsia="Calibri" w:hAnsi="Calibri" w:cs="Calibri"/>
          <w:lang w:val="fr-BE"/>
        </w:rPr>
        <w:t xml:space="preserve"> respect de la vie familiale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68960" behindDoc="1" locked="0" layoutInCell="0" allowOverlap="1">
                <wp:simplePos x="0" y="0"/>
                <wp:positionH relativeFrom="column">
                  <wp:posOffset>0</wp:posOffset>
                </wp:positionH>
                <wp:positionV relativeFrom="paragraph">
                  <wp:posOffset>1330960</wp:posOffset>
                </wp:positionV>
                <wp:extent cx="1828800" cy="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8pt" to="144pt,104.8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7" w:lineRule="exact"/>
        <w:rPr>
          <w:sz w:val="20"/>
          <w:szCs w:val="20"/>
          <w:lang w:val="fr-BE"/>
        </w:rPr>
      </w:pPr>
    </w:p>
    <w:p w:rsidR="00AC12B4" w:rsidRPr="00C27636" w:rsidRDefault="00C27636">
      <w:pPr>
        <w:numPr>
          <w:ilvl w:val="0"/>
          <w:numId w:val="17"/>
        </w:numPr>
        <w:tabs>
          <w:tab w:val="left" w:pos="223"/>
        </w:tabs>
        <w:spacing w:line="188" w:lineRule="auto"/>
        <w:ind w:right="737"/>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Au fur et à mesure du travail, les quatre clusters de droits se sont transformés en 7 groupes d’indicateurs tels que présentés dans cette publication.</w:t>
      </w:r>
    </w:p>
    <w:p w:rsidR="00AC12B4" w:rsidRPr="00C27636" w:rsidRDefault="00AC12B4">
      <w:pPr>
        <w:spacing w:line="244" w:lineRule="exact"/>
        <w:rPr>
          <w:sz w:val="20"/>
          <w:szCs w:val="20"/>
          <w:lang w:val="fr-BE"/>
        </w:rPr>
      </w:pPr>
    </w:p>
    <w:p w:rsidR="00AC12B4" w:rsidRPr="00C27636" w:rsidRDefault="00C27636">
      <w:pPr>
        <w:ind w:left="4120"/>
        <w:rPr>
          <w:sz w:val="20"/>
          <w:szCs w:val="20"/>
          <w:lang w:val="fr-BE"/>
        </w:rPr>
      </w:pPr>
      <w:r w:rsidRPr="00C27636">
        <w:rPr>
          <w:rFonts w:ascii="Calibri" w:eastAsia="Calibri" w:hAnsi="Calibri" w:cs="Calibri"/>
          <w:lang w:val="fr-BE"/>
        </w:rPr>
        <w:t>24</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3" w:lineRule="exact"/>
        <w:rPr>
          <w:sz w:val="20"/>
          <w:szCs w:val="20"/>
          <w:lang w:val="fr-BE"/>
        </w:rPr>
      </w:pPr>
      <w:bookmarkStart w:id="24" w:name="page25"/>
      <w:bookmarkEnd w:id="24"/>
    </w:p>
    <w:p w:rsidR="00AC12B4" w:rsidRPr="00C27636" w:rsidRDefault="00C27636">
      <w:pPr>
        <w:tabs>
          <w:tab w:val="left" w:pos="1260"/>
        </w:tabs>
        <w:ind w:left="920"/>
        <w:rPr>
          <w:sz w:val="20"/>
          <w:szCs w:val="20"/>
          <w:lang w:val="fr-BE"/>
        </w:rPr>
      </w:pPr>
      <w:r w:rsidRPr="00C27636">
        <w:rPr>
          <w:rFonts w:ascii="Calibri" w:eastAsia="Calibri" w:hAnsi="Calibri" w:cs="Calibri"/>
          <w:b/>
          <w:bCs/>
          <w:i/>
          <w:iCs/>
          <w:color w:val="ACD8F9"/>
          <w:lang w:val="fr-BE"/>
        </w:rPr>
        <w:t>1.</w:t>
      </w:r>
      <w:r w:rsidRPr="00C27636">
        <w:rPr>
          <w:rFonts w:ascii="Calibri" w:eastAsia="Calibri" w:hAnsi="Calibri" w:cs="Calibri"/>
          <w:b/>
          <w:bCs/>
          <w:i/>
          <w:iCs/>
          <w:color w:val="ACD8F9"/>
          <w:lang w:val="fr-BE"/>
        </w:rPr>
        <w:tab/>
        <w:t>Les séminaires</w:t>
      </w:r>
    </w:p>
    <w:p w:rsidR="00AC12B4" w:rsidRPr="00C27636" w:rsidRDefault="00AC12B4">
      <w:pPr>
        <w:spacing w:line="169" w:lineRule="exact"/>
        <w:rPr>
          <w:sz w:val="20"/>
          <w:szCs w:val="20"/>
          <w:lang w:val="fr-BE"/>
        </w:rPr>
      </w:pPr>
    </w:p>
    <w:p w:rsidR="00AC12B4" w:rsidRPr="00C27636" w:rsidRDefault="00C27636">
      <w:pPr>
        <w:spacing w:line="230" w:lineRule="auto"/>
        <w:ind w:left="560" w:right="157"/>
        <w:jc w:val="both"/>
        <w:rPr>
          <w:sz w:val="20"/>
          <w:szCs w:val="20"/>
          <w:lang w:val="fr-BE"/>
        </w:rPr>
      </w:pPr>
      <w:r w:rsidRPr="00C27636">
        <w:rPr>
          <w:rFonts w:ascii="Calibri" w:eastAsia="Calibri" w:hAnsi="Calibri" w:cs="Calibri"/>
          <w:lang w:val="fr-BE"/>
        </w:rPr>
        <w:t>Pour chaque cluster, un</w:t>
      </w:r>
      <w:r w:rsidRPr="00C27636">
        <w:rPr>
          <w:rFonts w:ascii="Calibri" w:eastAsia="Calibri" w:hAnsi="Calibri" w:cs="Calibri"/>
          <w:lang w:val="fr-BE"/>
        </w:rPr>
        <w:t xml:space="preserve"> séminaire a été organisé. Toutes les personnes ayant un lien avec la thématique abordée ont été invitées. L’objectif était d’avoir un public le plus représentatif possible: administrations des différentes entités, universités, groupes professionnels, soci</w:t>
      </w:r>
      <w:r w:rsidRPr="00C27636">
        <w:rPr>
          <w:rFonts w:ascii="Calibri" w:eastAsia="Calibri" w:hAnsi="Calibri" w:cs="Calibri"/>
          <w:lang w:val="fr-BE"/>
        </w:rPr>
        <w:t>été civile. Plus le panel est large, plus grande est la légitimité du travail effectué et l’appropriation du travail par les participants pour la suite.</w:t>
      </w:r>
    </w:p>
    <w:p w:rsidR="00AC12B4" w:rsidRPr="00C27636" w:rsidRDefault="00AC12B4">
      <w:pPr>
        <w:spacing w:line="126"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Chaque séminaire s’est déroulé en deux phases :</w:t>
      </w:r>
    </w:p>
    <w:p w:rsidR="00AC12B4" w:rsidRPr="00C27636" w:rsidRDefault="00AC12B4">
      <w:pPr>
        <w:spacing w:line="169" w:lineRule="exact"/>
        <w:rPr>
          <w:sz w:val="20"/>
          <w:szCs w:val="20"/>
          <w:lang w:val="fr-BE"/>
        </w:rPr>
      </w:pPr>
    </w:p>
    <w:p w:rsidR="00AC12B4" w:rsidRPr="00C27636" w:rsidRDefault="00C27636">
      <w:pPr>
        <w:numPr>
          <w:ilvl w:val="0"/>
          <w:numId w:val="18"/>
        </w:numPr>
        <w:tabs>
          <w:tab w:val="left" w:pos="1280"/>
        </w:tabs>
        <w:spacing w:line="218" w:lineRule="auto"/>
        <w:ind w:left="1280" w:right="177" w:hanging="353"/>
        <w:rPr>
          <w:rFonts w:ascii="Calibri" w:eastAsia="Calibri" w:hAnsi="Calibri" w:cs="Calibri"/>
          <w:lang w:val="fr-BE"/>
        </w:rPr>
      </w:pPr>
      <w:r w:rsidRPr="00C27636">
        <w:rPr>
          <w:rFonts w:ascii="Calibri" w:eastAsia="Calibri" w:hAnsi="Calibri" w:cs="Calibri"/>
          <w:lang w:val="fr-BE"/>
        </w:rPr>
        <w:t>Des exposés introductifs par des experts mettant en a</w:t>
      </w:r>
      <w:r w:rsidRPr="00C27636">
        <w:rPr>
          <w:rFonts w:ascii="Calibri" w:eastAsia="Calibri" w:hAnsi="Calibri" w:cs="Calibri"/>
          <w:lang w:val="fr-BE"/>
        </w:rPr>
        <w:t>vant la problématique et les points d’attention importants.</w:t>
      </w:r>
    </w:p>
    <w:p w:rsidR="00AC12B4" w:rsidRPr="00C27636" w:rsidRDefault="00AC12B4">
      <w:pPr>
        <w:spacing w:line="169" w:lineRule="exact"/>
        <w:rPr>
          <w:rFonts w:ascii="Calibri" w:eastAsia="Calibri" w:hAnsi="Calibri" w:cs="Calibri"/>
          <w:lang w:val="fr-BE"/>
        </w:rPr>
      </w:pPr>
    </w:p>
    <w:p w:rsidR="00AC12B4" w:rsidRPr="00C27636" w:rsidRDefault="00C27636">
      <w:pPr>
        <w:numPr>
          <w:ilvl w:val="0"/>
          <w:numId w:val="18"/>
        </w:numPr>
        <w:tabs>
          <w:tab w:val="left" w:pos="1280"/>
        </w:tabs>
        <w:spacing w:line="229" w:lineRule="auto"/>
        <w:ind w:left="1280" w:right="157" w:hanging="353"/>
        <w:jc w:val="both"/>
        <w:rPr>
          <w:rFonts w:ascii="Calibri" w:eastAsia="Calibri" w:hAnsi="Calibri" w:cs="Calibri"/>
          <w:lang w:val="fr-BE"/>
        </w:rPr>
      </w:pPr>
      <w:r w:rsidRPr="00C27636">
        <w:rPr>
          <w:rFonts w:ascii="Calibri" w:eastAsia="Calibri" w:hAnsi="Calibri" w:cs="Calibri"/>
          <w:lang w:val="fr-BE"/>
        </w:rPr>
        <w:t>Des groupes de travail: sur base de l’inventaire et de la check-list (cf supra), l’objectif était de sélectionner un set « idéal » d’indicateurs (c’est-à-dire sans se préoccuper de la faisabilité</w:t>
      </w:r>
      <w:r w:rsidRPr="00C27636">
        <w:rPr>
          <w:rFonts w:ascii="Calibri" w:eastAsia="Calibri" w:hAnsi="Calibri" w:cs="Calibri"/>
          <w:lang w:val="fr-BE"/>
        </w:rPr>
        <w:t xml:space="preserve"> ou de la disponibilité des données), premièrement sur une partie du cluster et dans un deuxième temps sur l’ensemble de celui-ci.</w:t>
      </w:r>
    </w:p>
    <w:p w:rsidR="00AC12B4" w:rsidRPr="00C27636" w:rsidRDefault="00AC12B4">
      <w:pPr>
        <w:spacing w:line="171" w:lineRule="exact"/>
        <w:rPr>
          <w:sz w:val="20"/>
          <w:szCs w:val="20"/>
          <w:lang w:val="fr-BE"/>
        </w:rPr>
      </w:pPr>
    </w:p>
    <w:p w:rsidR="00AC12B4" w:rsidRPr="00C27636" w:rsidRDefault="00C27636">
      <w:pPr>
        <w:spacing w:line="217" w:lineRule="auto"/>
        <w:ind w:left="560" w:right="157"/>
        <w:jc w:val="both"/>
        <w:rPr>
          <w:rFonts w:ascii="Calibri" w:eastAsia="Calibri" w:hAnsi="Calibri" w:cs="Calibri"/>
          <w:lang w:val="fr-BE"/>
        </w:rPr>
      </w:pPr>
      <w:r w:rsidRPr="00C27636">
        <w:rPr>
          <w:rFonts w:ascii="Calibri" w:eastAsia="Calibri" w:hAnsi="Calibri" w:cs="Calibri"/>
          <w:lang w:val="fr-BE"/>
        </w:rPr>
        <w:t>Pour plus d’informations sur la liste d’indicateurs de départ, utilisée lors des séminaires, et sur la sélection faite au ni</w:t>
      </w:r>
      <w:r w:rsidRPr="00C27636">
        <w:rPr>
          <w:rFonts w:ascii="Calibri" w:eastAsia="Calibri" w:hAnsi="Calibri" w:cs="Calibri"/>
          <w:lang w:val="fr-BE"/>
        </w:rPr>
        <w:t xml:space="preserve">veau de chaque séminaire, voir </w:t>
      </w:r>
      <w:hyperlink r:id="rId25">
        <w:r w:rsidRPr="00C27636">
          <w:rPr>
            <w:rFonts w:ascii="Calibri" w:eastAsia="Calibri" w:hAnsi="Calibri" w:cs="Calibri"/>
            <w:color w:val="0000FF"/>
            <w:u w:val="single"/>
            <w:lang w:val="fr-BE"/>
          </w:rPr>
          <w:t>www.cnde.be/fr/content/indicateurs</w:t>
        </w:r>
        <w:r w:rsidRPr="00C27636">
          <w:rPr>
            <w:rFonts w:ascii="Calibri" w:eastAsia="Calibri" w:hAnsi="Calibri" w:cs="Calibri"/>
            <w:u w:val="single"/>
            <w:lang w:val="fr-BE"/>
          </w:rPr>
          <w:t>.</w:t>
        </w:r>
      </w:hyperlink>
    </w:p>
    <w:p w:rsidR="00AC12B4" w:rsidRPr="00C27636" w:rsidRDefault="00AC12B4">
      <w:pPr>
        <w:spacing w:line="121" w:lineRule="exact"/>
        <w:rPr>
          <w:sz w:val="20"/>
          <w:szCs w:val="20"/>
          <w:lang w:val="fr-BE"/>
        </w:rPr>
      </w:pPr>
    </w:p>
    <w:p w:rsidR="00AC12B4" w:rsidRPr="00C27636" w:rsidRDefault="00C27636">
      <w:pPr>
        <w:tabs>
          <w:tab w:val="left" w:pos="1260"/>
        </w:tabs>
        <w:ind w:left="920"/>
        <w:rPr>
          <w:sz w:val="20"/>
          <w:szCs w:val="20"/>
          <w:lang w:val="fr-BE"/>
        </w:rPr>
      </w:pPr>
      <w:r w:rsidRPr="00C27636">
        <w:rPr>
          <w:rFonts w:ascii="Calibri" w:eastAsia="Calibri" w:hAnsi="Calibri" w:cs="Calibri"/>
          <w:b/>
          <w:bCs/>
          <w:i/>
          <w:iCs/>
          <w:color w:val="ACD8F9"/>
          <w:lang w:val="fr-BE"/>
        </w:rPr>
        <w:t>2.</w:t>
      </w:r>
      <w:r w:rsidRPr="00C27636">
        <w:rPr>
          <w:rFonts w:ascii="Calibri" w:eastAsia="Calibri" w:hAnsi="Calibri" w:cs="Calibri"/>
          <w:b/>
          <w:bCs/>
          <w:i/>
          <w:iCs/>
          <w:color w:val="ACD8F9"/>
          <w:lang w:val="fr-BE"/>
        </w:rPr>
        <w:tab/>
        <w:t>Les comités de suivi</w:t>
      </w:r>
    </w:p>
    <w:p w:rsidR="00AC12B4" w:rsidRPr="00C27636" w:rsidRDefault="00AC12B4">
      <w:pPr>
        <w:spacing w:line="169" w:lineRule="exact"/>
        <w:rPr>
          <w:sz w:val="20"/>
          <w:szCs w:val="20"/>
          <w:lang w:val="fr-BE"/>
        </w:rPr>
      </w:pPr>
    </w:p>
    <w:p w:rsidR="00AC12B4" w:rsidRPr="00C27636" w:rsidRDefault="00C27636">
      <w:pPr>
        <w:spacing w:line="225" w:lineRule="auto"/>
        <w:ind w:left="560" w:right="157"/>
        <w:jc w:val="both"/>
        <w:rPr>
          <w:sz w:val="20"/>
          <w:szCs w:val="20"/>
          <w:lang w:val="fr-BE"/>
        </w:rPr>
      </w:pPr>
      <w:r w:rsidRPr="00C27636">
        <w:rPr>
          <w:rFonts w:ascii="Calibri" w:eastAsia="Calibri" w:hAnsi="Calibri" w:cs="Calibri"/>
          <w:lang w:val="fr-BE"/>
        </w:rPr>
        <w:t xml:space="preserve">Sur base du travail de sélection réalisé lors du séminaire, le secrétariat de la CNDE a travaillé à </w:t>
      </w:r>
      <w:r w:rsidRPr="00C27636">
        <w:rPr>
          <w:rFonts w:ascii="Calibri" w:eastAsia="Calibri" w:hAnsi="Calibri" w:cs="Calibri"/>
          <w:lang w:val="fr-BE"/>
        </w:rPr>
        <w:t>l’implémentation de ce set d’indicateurs idéal : faisabilité, données disponibles, fiabilité statistique,…</w:t>
      </w:r>
    </w:p>
    <w:p w:rsidR="00AC12B4" w:rsidRPr="00C27636" w:rsidRDefault="00AC12B4">
      <w:pPr>
        <w:spacing w:line="171"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Les administrations et les centres de recherche concernés ont été consultés pour connaître les données dont ils disposent et les ventilations possib</w:t>
      </w:r>
      <w:r w:rsidRPr="00C27636">
        <w:rPr>
          <w:rFonts w:ascii="Calibri" w:eastAsia="Calibri" w:hAnsi="Calibri" w:cs="Calibri"/>
          <w:lang w:val="fr-BE"/>
        </w:rPr>
        <w:t>les pour celles-ci.</w:t>
      </w:r>
    </w:p>
    <w:p w:rsidR="00AC12B4" w:rsidRPr="00C27636" w:rsidRDefault="00AC12B4">
      <w:pPr>
        <w:spacing w:line="170"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Les différents comités de suivi ont alors pu se concentrer sur des choix stratégiques et techniques éclairés par la connaissance des disponibilités de données.</w:t>
      </w:r>
    </w:p>
    <w:p w:rsidR="00AC12B4" w:rsidRPr="00C27636" w:rsidRDefault="00AC12B4">
      <w:pPr>
        <w:spacing w:line="364" w:lineRule="exact"/>
        <w:rPr>
          <w:sz w:val="20"/>
          <w:szCs w:val="20"/>
          <w:lang w:val="fr-BE"/>
        </w:rPr>
      </w:pPr>
    </w:p>
    <w:p w:rsidR="00AC12B4" w:rsidRDefault="00C27636">
      <w:pPr>
        <w:numPr>
          <w:ilvl w:val="0"/>
          <w:numId w:val="19"/>
        </w:numPr>
        <w:tabs>
          <w:tab w:val="left" w:pos="1280"/>
        </w:tabs>
        <w:ind w:left="1280" w:hanging="353"/>
        <w:rPr>
          <w:rFonts w:ascii="Cambria" w:eastAsia="Cambria" w:hAnsi="Cambria" w:cs="Cambria"/>
          <w:b/>
          <w:bCs/>
          <w:color w:val="ACD8F9"/>
          <w:sz w:val="32"/>
          <w:szCs w:val="32"/>
        </w:rPr>
      </w:pPr>
      <w:r>
        <w:rPr>
          <w:rFonts w:ascii="Cambria" w:eastAsia="Cambria" w:hAnsi="Cambria" w:cs="Cambria"/>
          <w:b/>
          <w:bCs/>
          <w:color w:val="ACD8F9"/>
          <w:sz w:val="32"/>
          <w:szCs w:val="32"/>
        </w:rPr>
        <w:t>Remarques générales</w:t>
      </w:r>
    </w:p>
    <w:p w:rsidR="00AC12B4" w:rsidRDefault="00AC12B4">
      <w:pPr>
        <w:spacing w:line="200" w:lineRule="exact"/>
        <w:rPr>
          <w:sz w:val="20"/>
          <w:szCs w:val="20"/>
        </w:rPr>
      </w:pPr>
    </w:p>
    <w:p w:rsidR="00AC12B4" w:rsidRDefault="00AC12B4">
      <w:pPr>
        <w:spacing w:line="354" w:lineRule="exact"/>
        <w:rPr>
          <w:sz w:val="20"/>
          <w:szCs w:val="20"/>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 xml:space="preserve">Avant d’entamer la lecture des indicateurs en tant </w:t>
      </w:r>
      <w:r w:rsidRPr="00C27636">
        <w:rPr>
          <w:rFonts w:ascii="Calibri" w:eastAsia="Calibri" w:hAnsi="Calibri" w:cs="Calibri"/>
          <w:lang w:val="fr-BE"/>
        </w:rPr>
        <w:t>que tels, quelques remarques préalables doivent être formulées.</w:t>
      </w:r>
    </w:p>
    <w:p w:rsidR="00AC12B4" w:rsidRPr="00C27636" w:rsidRDefault="00AC12B4">
      <w:pPr>
        <w:spacing w:line="167" w:lineRule="exact"/>
        <w:rPr>
          <w:sz w:val="20"/>
          <w:szCs w:val="20"/>
          <w:lang w:val="fr-BE"/>
        </w:rPr>
      </w:pPr>
    </w:p>
    <w:p w:rsidR="00AC12B4" w:rsidRPr="00C27636" w:rsidRDefault="00C27636">
      <w:pPr>
        <w:spacing w:line="234" w:lineRule="auto"/>
        <w:ind w:left="560" w:right="157"/>
        <w:jc w:val="both"/>
        <w:rPr>
          <w:sz w:val="20"/>
          <w:szCs w:val="20"/>
          <w:lang w:val="fr-BE"/>
        </w:rPr>
      </w:pPr>
      <w:r w:rsidRPr="00C27636">
        <w:rPr>
          <w:rFonts w:ascii="Calibri" w:eastAsia="Calibri" w:hAnsi="Calibri" w:cs="Calibri"/>
          <w:lang w:val="fr-BE"/>
        </w:rPr>
        <w:t>Compte tenu du caractère national des indicateurs, la priorité a été donnée aux données disponibles nationalement. Quand d’autres données pertinentes existent au niveau communautaire ou régio</w:t>
      </w:r>
      <w:r w:rsidRPr="00C27636">
        <w:rPr>
          <w:rFonts w:ascii="Calibri" w:eastAsia="Calibri" w:hAnsi="Calibri" w:cs="Calibri"/>
          <w:lang w:val="fr-BE"/>
        </w:rPr>
        <w:t>nal elles sont présentées dans la partie « pour aller plus loin ». Ces informations parcellaires pourraient donner à croire que l’entité disposant de données est touchée particulièrement par telle ou telle problématique. Ce n’est certainement pas le messag</w:t>
      </w:r>
      <w:r w:rsidRPr="00C27636">
        <w:rPr>
          <w:rFonts w:ascii="Calibri" w:eastAsia="Calibri" w:hAnsi="Calibri" w:cs="Calibri"/>
          <w:lang w:val="fr-BE"/>
        </w:rPr>
        <w:t>e que nous voulons passer. L’existence de données est ici vue comme une bonne pratique que les autres entités devraient imiter.</w:t>
      </w:r>
    </w:p>
    <w:p w:rsidR="00AC12B4" w:rsidRPr="00C27636" w:rsidRDefault="00AC12B4">
      <w:pPr>
        <w:spacing w:line="169"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Dans la mesure du possible et quand cela est pertinent, une comparaison internationale est proposée. Celle-ci permettant une mi</w:t>
      </w:r>
      <w:r w:rsidRPr="00C27636">
        <w:rPr>
          <w:rFonts w:ascii="Calibri" w:eastAsia="Calibri" w:hAnsi="Calibri" w:cs="Calibri"/>
          <w:lang w:val="fr-BE"/>
        </w:rPr>
        <w:t>se en contexte de l’indicateur.</w:t>
      </w:r>
    </w:p>
    <w:p w:rsidR="00AC12B4" w:rsidRPr="00C27636" w:rsidRDefault="00AC12B4">
      <w:pPr>
        <w:spacing w:line="170" w:lineRule="exact"/>
        <w:rPr>
          <w:sz w:val="20"/>
          <w:szCs w:val="20"/>
          <w:lang w:val="fr-BE"/>
        </w:rPr>
      </w:pPr>
    </w:p>
    <w:p w:rsidR="00AC12B4" w:rsidRPr="00C27636" w:rsidRDefault="00C27636">
      <w:pPr>
        <w:spacing w:line="217" w:lineRule="auto"/>
        <w:ind w:left="560" w:right="157"/>
        <w:jc w:val="both"/>
        <w:rPr>
          <w:sz w:val="20"/>
          <w:szCs w:val="20"/>
          <w:lang w:val="fr-BE"/>
        </w:rPr>
      </w:pPr>
      <w:r w:rsidRPr="00C27636">
        <w:rPr>
          <w:rFonts w:ascii="Calibri" w:eastAsia="Calibri" w:hAnsi="Calibri" w:cs="Calibri"/>
          <w:lang w:val="fr-BE"/>
        </w:rPr>
        <w:lastRenderedPageBreak/>
        <w:t>L’analyse statistique ne mentionne, sauf mention contraire, que les différences statistiquement fiables entre différents groupes d’enfants.</w:t>
      </w:r>
    </w:p>
    <w:p w:rsidR="00AC12B4" w:rsidRPr="00C27636" w:rsidRDefault="00AC12B4">
      <w:pPr>
        <w:spacing w:line="170" w:lineRule="exact"/>
        <w:rPr>
          <w:sz w:val="20"/>
          <w:szCs w:val="20"/>
          <w:lang w:val="fr-BE"/>
        </w:rPr>
      </w:pPr>
    </w:p>
    <w:p w:rsidR="00AC12B4" w:rsidRPr="00C27636" w:rsidRDefault="00C27636">
      <w:pPr>
        <w:spacing w:line="225" w:lineRule="auto"/>
        <w:ind w:left="560" w:right="177"/>
        <w:jc w:val="both"/>
        <w:rPr>
          <w:sz w:val="20"/>
          <w:szCs w:val="20"/>
          <w:lang w:val="fr-BE"/>
        </w:rPr>
      </w:pPr>
      <w:r w:rsidRPr="00C27636">
        <w:rPr>
          <w:rFonts w:ascii="Calibri" w:eastAsia="Calibri" w:hAnsi="Calibri" w:cs="Calibri"/>
          <w:lang w:val="fr-BE"/>
        </w:rPr>
        <w:t xml:space="preserve">Encore une fois, les indicateurs ne donnent pas une réponse univoque à toutes les </w:t>
      </w:r>
      <w:r w:rsidRPr="00C27636">
        <w:rPr>
          <w:rFonts w:ascii="Calibri" w:eastAsia="Calibri" w:hAnsi="Calibri" w:cs="Calibri"/>
          <w:lang w:val="fr-BE"/>
        </w:rPr>
        <w:t>questions. Ils ne doivent pas être l’arbre qui cache la forêt mais plutôt l’étincelle pour allumer un débat sociétal.</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8"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25</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25" w:name="page26"/>
      <w:bookmarkEnd w:id="25"/>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C27636">
      <w:pPr>
        <w:ind w:left="3560"/>
        <w:rPr>
          <w:sz w:val="20"/>
          <w:szCs w:val="20"/>
          <w:lang w:val="fr-BE"/>
        </w:rPr>
      </w:pPr>
      <w:bookmarkStart w:id="26" w:name="page27"/>
      <w:bookmarkEnd w:id="26"/>
      <w:r>
        <w:rPr>
          <w:rFonts w:ascii="Calibri" w:eastAsia="Calibri" w:hAnsi="Calibri" w:cs="Calibri"/>
          <w:noProof/>
          <w:color w:val="FFFFFF"/>
          <w:sz w:val="96"/>
          <w:szCs w:val="96"/>
        </w:rPr>
        <w:lastRenderedPageBreak/>
        <w:drawing>
          <wp:anchor distT="0" distB="0" distL="114300" distR="114300" simplePos="0" relativeHeight="251369984" behindDoc="1" locked="0" layoutInCell="0" allowOverlap="1">
            <wp:simplePos x="0" y="0"/>
            <wp:positionH relativeFrom="page">
              <wp:posOffset>0</wp:posOffset>
            </wp:positionH>
            <wp:positionV relativeFrom="page">
              <wp:posOffset>0</wp:posOffset>
            </wp:positionV>
            <wp:extent cx="7668895" cy="114808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clrChange>
                        <a:clrFrom>
                          <a:srgbClr val="FFFFFF"/>
                        </a:clrFrom>
                        <a:clrTo>
                          <a:srgbClr val="FFFFFF">
                            <a:alpha val="0"/>
                          </a:srgbClr>
                        </a:clrTo>
                      </a:clrChange>
                      <a:extLst/>
                    </a:blip>
                    <a:srcRect/>
                    <a:stretch>
                      <a:fillRect/>
                    </a:stretch>
                  </pic:blipFill>
                  <pic:spPr bwMode="auto">
                    <a:xfrm>
                      <a:off x="0" y="0"/>
                      <a:ext cx="7668895" cy="1148080"/>
                    </a:xfrm>
                    <a:prstGeom prst="rect">
                      <a:avLst/>
                    </a:prstGeom>
                    <a:noFill/>
                  </pic:spPr>
                </pic:pic>
              </a:graphicData>
            </a:graphic>
          </wp:anchor>
        </w:drawing>
      </w:r>
      <w:r w:rsidRPr="00C27636">
        <w:rPr>
          <w:rFonts w:ascii="Calibri" w:eastAsia="Calibri" w:hAnsi="Calibri" w:cs="Calibri"/>
          <w:color w:val="FFFFFF"/>
          <w:sz w:val="96"/>
          <w:szCs w:val="96"/>
          <w:lang w:val="fr-BE"/>
        </w:rPr>
        <w:t>Sources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3" w:lineRule="exact"/>
        <w:rPr>
          <w:sz w:val="20"/>
          <w:szCs w:val="20"/>
          <w:lang w:val="fr-BE"/>
        </w:rPr>
      </w:pPr>
    </w:p>
    <w:p w:rsidR="00AC12B4" w:rsidRPr="00C27636" w:rsidRDefault="00C27636">
      <w:pPr>
        <w:spacing w:line="225" w:lineRule="auto"/>
        <w:ind w:left="560" w:right="157"/>
        <w:jc w:val="both"/>
        <w:rPr>
          <w:sz w:val="20"/>
          <w:szCs w:val="20"/>
          <w:lang w:val="fr-BE"/>
        </w:rPr>
      </w:pPr>
      <w:r w:rsidRPr="00C27636">
        <w:rPr>
          <w:rFonts w:ascii="Calibri" w:eastAsia="Calibri" w:hAnsi="Calibri" w:cs="Calibri"/>
          <w:lang w:val="fr-BE"/>
        </w:rPr>
        <w:t>Les indicateurs développés dans cette publication puisent leurs données dans différentes</w:t>
      </w:r>
      <w:r w:rsidRPr="00C27636">
        <w:rPr>
          <w:rFonts w:ascii="Calibri" w:eastAsia="Calibri" w:hAnsi="Calibri" w:cs="Calibri"/>
          <w:lang w:val="fr-BE"/>
        </w:rPr>
        <w:t xml:space="preserve"> sources : données administratives, enquêtes (inter)nationales. Pour certains indicateurs, une enquête spécifique pour les groupes vulnérables non-atteints devrait être mise en place.</w:t>
      </w:r>
    </w:p>
    <w:p w:rsidR="00AC12B4" w:rsidRPr="00C27636" w:rsidRDefault="00AC12B4">
      <w:pPr>
        <w:spacing w:line="171" w:lineRule="exact"/>
        <w:rPr>
          <w:sz w:val="20"/>
          <w:szCs w:val="20"/>
          <w:lang w:val="fr-BE"/>
        </w:rPr>
      </w:pPr>
    </w:p>
    <w:p w:rsidR="00AC12B4" w:rsidRPr="00C27636" w:rsidRDefault="00C27636">
      <w:pPr>
        <w:spacing w:line="225" w:lineRule="auto"/>
        <w:ind w:left="560" w:right="177"/>
        <w:jc w:val="both"/>
        <w:rPr>
          <w:sz w:val="20"/>
          <w:szCs w:val="20"/>
          <w:lang w:val="fr-BE"/>
        </w:rPr>
      </w:pPr>
      <w:r w:rsidRPr="00C27636">
        <w:rPr>
          <w:rFonts w:ascii="Calibri" w:eastAsia="Calibri" w:hAnsi="Calibri" w:cs="Calibri"/>
          <w:lang w:val="fr-BE"/>
        </w:rPr>
        <w:t>L’origine des données et l’objectif pour lequel elles ont été collectée</w:t>
      </w:r>
      <w:r w:rsidRPr="00C27636">
        <w:rPr>
          <w:rFonts w:ascii="Calibri" w:eastAsia="Calibri" w:hAnsi="Calibri" w:cs="Calibri"/>
          <w:lang w:val="fr-BE"/>
        </w:rPr>
        <w:t>s les influencent. La bonne interprétation des indicateurs proposés nécessite donc de faire le point sur les différentes sources utilisées.</w:t>
      </w:r>
    </w:p>
    <w:p w:rsidR="00AC12B4" w:rsidRPr="00C27636" w:rsidRDefault="00AC12B4">
      <w:pPr>
        <w:spacing w:line="171" w:lineRule="exact"/>
        <w:rPr>
          <w:sz w:val="20"/>
          <w:szCs w:val="20"/>
          <w:lang w:val="fr-BE"/>
        </w:rPr>
      </w:pPr>
    </w:p>
    <w:p w:rsidR="00AC12B4" w:rsidRPr="00C27636" w:rsidRDefault="00C27636">
      <w:pPr>
        <w:spacing w:line="224" w:lineRule="auto"/>
        <w:ind w:left="560" w:right="177"/>
        <w:jc w:val="both"/>
        <w:rPr>
          <w:sz w:val="20"/>
          <w:szCs w:val="20"/>
          <w:lang w:val="fr-BE"/>
        </w:rPr>
      </w:pPr>
      <w:r w:rsidRPr="00C27636">
        <w:rPr>
          <w:rFonts w:ascii="Calibri" w:eastAsia="Calibri" w:hAnsi="Calibri" w:cs="Calibri"/>
          <w:lang w:val="fr-BE"/>
        </w:rPr>
        <w:t>Dans le cadre d’enquêtes, il faut aussi toujours tenir compte du risque que le répondant réagisse selon le principe</w:t>
      </w:r>
      <w:r w:rsidRPr="00C27636">
        <w:rPr>
          <w:rFonts w:ascii="Calibri" w:eastAsia="Calibri" w:hAnsi="Calibri" w:cs="Calibri"/>
          <w:lang w:val="fr-BE"/>
        </w:rPr>
        <w:t xml:space="preserve"> de désirabilité. La réaction ne correspond dès lors pas toujours à la réalité mais à une version idéalisée de cette réalité.</w:t>
      </w:r>
    </w:p>
    <w:p w:rsidR="00AC12B4" w:rsidRPr="00C27636" w:rsidRDefault="00AC12B4">
      <w:pPr>
        <w:spacing w:line="173"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Vous trouverez en fin de publication le résumé des recommandations en vue d’obtenir les données les plus pertinentes et représent</w:t>
      </w:r>
      <w:r w:rsidRPr="00C27636">
        <w:rPr>
          <w:rFonts w:ascii="Calibri" w:eastAsia="Calibri" w:hAnsi="Calibri" w:cs="Calibri"/>
          <w:lang w:val="fr-BE"/>
        </w:rPr>
        <w:t>atives de tous les enfants, aussi les plus vulnérables.</w:t>
      </w:r>
    </w:p>
    <w:p w:rsidR="00AC12B4" w:rsidRPr="00C27636" w:rsidRDefault="00AC12B4">
      <w:pPr>
        <w:spacing w:line="364"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i/>
          <w:iCs/>
          <w:color w:val="0E73BE"/>
          <w:sz w:val="28"/>
          <w:szCs w:val="28"/>
          <w:lang w:val="fr-BE"/>
        </w:rPr>
        <w:t>Indicateurs, sources et territoire couvert</w:t>
      </w:r>
    </w:p>
    <w:p w:rsidR="00AC12B4" w:rsidRPr="00C27636" w:rsidRDefault="00AC12B4">
      <w:pPr>
        <w:spacing w:line="285"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Le tableau suivant reprend la liste des indicateurs, la source des données et précise si ces données sont disponibles au niveau de chaque entité ou non.</w:t>
      </w:r>
    </w:p>
    <w:p w:rsidR="00AC12B4" w:rsidRPr="00C27636" w:rsidRDefault="00AC12B4">
      <w:pPr>
        <w:spacing w:line="200" w:lineRule="exact"/>
        <w:rPr>
          <w:sz w:val="20"/>
          <w:szCs w:val="20"/>
          <w:lang w:val="fr-BE"/>
        </w:rPr>
      </w:pPr>
    </w:p>
    <w:p w:rsidR="00AC12B4" w:rsidRPr="00C27636" w:rsidRDefault="00AC12B4">
      <w:pPr>
        <w:spacing w:line="313"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color w:val="ACD8F9"/>
          <w:sz w:val="24"/>
          <w:szCs w:val="24"/>
          <w:lang w:val="fr-BE"/>
        </w:rPr>
        <w:t>Légende :</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371008" behindDoc="1" locked="0" layoutInCell="0" allowOverlap="1">
            <wp:simplePos x="0" y="0"/>
            <wp:positionH relativeFrom="column">
              <wp:posOffset>3380740</wp:posOffset>
            </wp:positionH>
            <wp:positionV relativeFrom="paragraph">
              <wp:posOffset>579120</wp:posOffset>
            </wp:positionV>
            <wp:extent cx="247650" cy="1619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blip>
                    <a:srcRect/>
                    <a:stretch>
                      <a:fillRect/>
                    </a:stretch>
                  </pic:blipFill>
                  <pic:spPr bwMode="auto">
                    <a:xfrm>
                      <a:off x="0" y="0"/>
                      <a:ext cx="247650" cy="161925"/>
                    </a:xfrm>
                    <a:prstGeom prst="rect">
                      <a:avLst/>
                    </a:prstGeom>
                    <a:noFill/>
                  </pic:spPr>
                </pic:pic>
              </a:graphicData>
            </a:graphic>
          </wp:anchor>
        </w:drawing>
      </w:r>
    </w:p>
    <w:p w:rsidR="00AC12B4" w:rsidRPr="00C27636" w:rsidRDefault="00AC12B4">
      <w:pPr>
        <w:rPr>
          <w:lang w:val="fr-BE"/>
        </w:rPr>
        <w:sectPr w:rsidR="00AC12B4" w:rsidRPr="00C27636">
          <w:pgSz w:w="12080" w:h="17179"/>
          <w:pgMar w:top="606" w:right="1440" w:bottom="659" w:left="1440" w:header="0" w:footer="0" w:gutter="0"/>
          <w:cols w:space="720" w:equalWidth="0">
            <w:col w:w="919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3" w:lineRule="exact"/>
        <w:rPr>
          <w:sz w:val="20"/>
          <w:szCs w:val="20"/>
          <w:lang w:val="fr-BE"/>
        </w:rPr>
      </w:pPr>
    </w:p>
    <w:p w:rsidR="00AC12B4" w:rsidRPr="00C27636" w:rsidRDefault="00C27636">
      <w:pPr>
        <w:spacing w:line="217" w:lineRule="auto"/>
        <w:ind w:left="560" w:right="100" w:firstLine="708"/>
        <w:rPr>
          <w:sz w:val="20"/>
          <w:szCs w:val="20"/>
          <w:lang w:val="fr-BE"/>
        </w:rPr>
      </w:pPr>
      <w:r w:rsidRPr="00C27636">
        <w:rPr>
          <w:rFonts w:ascii="Calibri" w:eastAsia="Calibri" w:hAnsi="Calibri" w:cs="Calibri"/>
          <w:sz w:val="20"/>
          <w:szCs w:val="20"/>
          <w:lang w:val="fr-BE"/>
        </w:rPr>
        <w:t>Les données sont disponibles de façon homogène pour toute la Belgique</w:t>
      </w:r>
    </w:p>
    <w:p w:rsidR="00AC12B4" w:rsidRPr="00C27636" w:rsidRDefault="00AC12B4">
      <w:pPr>
        <w:spacing w:line="166" w:lineRule="exact"/>
        <w:rPr>
          <w:sz w:val="20"/>
          <w:szCs w:val="20"/>
          <w:lang w:val="fr-BE"/>
        </w:rPr>
      </w:pPr>
    </w:p>
    <w:p w:rsidR="00AC12B4" w:rsidRPr="00C27636" w:rsidRDefault="00C27636">
      <w:pPr>
        <w:spacing w:line="217" w:lineRule="auto"/>
        <w:ind w:left="560" w:right="100" w:firstLine="708"/>
        <w:rPr>
          <w:sz w:val="20"/>
          <w:szCs w:val="20"/>
          <w:lang w:val="fr-BE"/>
        </w:rPr>
      </w:pPr>
      <w:r w:rsidRPr="00C27636">
        <w:rPr>
          <w:rFonts w:ascii="Calibri" w:eastAsia="Calibri" w:hAnsi="Calibri" w:cs="Calibri"/>
          <w:sz w:val="20"/>
          <w:szCs w:val="20"/>
          <w:lang w:val="fr-BE"/>
        </w:rPr>
        <w:t>Autorité flamande (Communauté et Région flamande)</w:t>
      </w:r>
    </w:p>
    <w:p w:rsidR="00AC12B4" w:rsidRPr="00C27636" w:rsidRDefault="00AC12B4">
      <w:pPr>
        <w:spacing w:line="168" w:lineRule="exact"/>
        <w:rPr>
          <w:sz w:val="20"/>
          <w:szCs w:val="20"/>
          <w:lang w:val="fr-BE"/>
        </w:rPr>
      </w:pPr>
    </w:p>
    <w:p w:rsidR="00AC12B4" w:rsidRPr="00C27636" w:rsidRDefault="00C27636">
      <w:pPr>
        <w:spacing w:line="217" w:lineRule="auto"/>
        <w:ind w:left="560" w:right="100" w:firstLine="708"/>
        <w:rPr>
          <w:sz w:val="20"/>
          <w:szCs w:val="20"/>
          <w:lang w:val="fr-BE"/>
        </w:rPr>
      </w:pPr>
      <w:r w:rsidRPr="00C27636">
        <w:rPr>
          <w:rFonts w:ascii="Calibri" w:eastAsia="Calibri" w:hAnsi="Calibri" w:cs="Calibri"/>
          <w:sz w:val="20"/>
          <w:szCs w:val="20"/>
          <w:lang w:val="fr-BE"/>
        </w:rPr>
        <w:t>Fédération Wallonie-Bruxelles (Communauté française)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6" w:lineRule="exact"/>
        <w:rPr>
          <w:sz w:val="20"/>
          <w:szCs w:val="20"/>
          <w:lang w:val="fr-BE"/>
        </w:rPr>
      </w:pPr>
    </w:p>
    <w:p w:rsidR="00AC12B4" w:rsidRPr="00C27636" w:rsidRDefault="00C27636">
      <w:pPr>
        <w:ind w:right="897"/>
        <w:jc w:val="right"/>
        <w:rPr>
          <w:sz w:val="20"/>
          <w:szCs w:val="20"/>
          <w:lang w:val="fr-BE"/>
        </w:rPr>
      </w:pPr>
      <w:r w:rsidRPr="00C27636">
        <w:rPr>
          <w:rFonts w:ascii="Calibri" w:eastAsia="Calibri" w:hAnsi="Calibri" w:cs="Calibri"/>
          <w:sz w:val="20"/>
          <w:szCs w:val="20"/>
          <w:lang w:val="fr-BE"/>
        </w:rPr>
        <w:t>Communauté Germanophone</w:t>
      </w:r>
    </w:p>
    <w:p w:rsidR="00AC12B4" w:rsidRPr="00C27636" w:rsidRDefault="00AC12B4">
      <w:pPr>
        <w:spacing w:line="112" w:lineRule="exact"/>
        <w:rPr>
          <w:sz w:val="20"/>
          <w:szCs w:val="20"/>
          <w:lang w:val="fr-BE"/>
        </w:rPr>
      </w:pPr>
    </w:p>
    <w:p w:rsidR="00AC12B4" w:rsidRPr="00C27636" w:rsidRDefault="00C27636">
      <w:pPr>
        <w:rPr>
          <w:sz w:val="20"/>
          <w:szCs w:val="20"/>
          <w:lang w:val="fr-BE"/>
        </w:rPr>
      </w:pPr>
      <w:r>
        <w:rPr>
          <w:noProof/>
          <w:sz w:val="1"/>
          <w:szCs w:val="1"/>
        </w:rPr>
        <w:drawing>
          <wp:inline distT="0" distB="0" distL="0" distR="0">
            <wp:extent cx="310515" cy="266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blip>
                    <a:srcRect/>
                    <a:stretch>
                      <a:fillRect/>
                    </a:stretch>
                  </pic:blipFill>
                  <pic:spPr bwMode="auto">
                    <a:xfrm>
                      <a:off x="0" y="0"/>
                      <a:ext cx="310515" cy="266700"/>
                    </a:xfrm>
                    <a:prstGeom prst="rect">
                      <a:avLst/>
                    </a:prstGeom>
                    <a:noFill/>
                    <a:ln>
                      <a:noFill/>
                    </a:ln>
                  </pic:spPr>
                </pic:pic>
              </a:graphicData>
            </a:graphic>
          </wp:inline>
        </w:drawing>
      </w:r>
      <w:r w:rsidRPr="00C27636">
        <w:rPr>
          <w:rFonts w:ascii="Calibri" w:eastAsia="Calibri" w:hAnsi="Calibri" w:cs="Calibri"/>
          <w:sz w:val="20"/>
          <w:szCs w:val="20"/>
          <w:lang w:val="fr-BE"/>
        </w:rPr>
        <w:t xml:space="preserve"> Région Wallonne</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372032" behindDoc="1" locked="0" layoutInCell="0" allowOverlap="1">
            <wp:simplePos x="0" y="0"/>
            <wp:positionH relativeFrom="column">
              <wp:posOffset>8890</wp:posOffset>
            </wp:positionH>
            <wp:positionV relativeFrom="paragraph">
              <wp:posOffset>44450</wp:posOffset>
            </wp:positionV>
            <wp:extent cx="304800" cy="3048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blip>
                    <a:srcRect/>
                    <a:stretch>
                      <a:fillRect/>
                    </a:stretch>
                  </pic:blipFill>
                  <pic:spPr bwMode="auto">
                    <a:xfrm>
                      <a:off x="0" y="0"/>
                      <a:ext cx="304800" cy="304800"/>
                    </a:xfrm>
                    <a:prstGeom prst="rect">
                      <a:avLst/>
                    </a:prstGeom>
                    <a:noFill/>
                  </pic:spPr>
                </pic:pic>
              </a:graphicData>
            </a:graphic>
          </wp:anchor>
        </w:drawing>
      </w:r>
    </w:p>
    <w:p w:rsidR="00AC12B4" w:rsidRPr="00C27636" w:rsidRDefault="00AC12B4">
      <w:pPr>
        <w:spacing w:line="117" w:lineRule="exact"/>
        <w:rPr>
          <w:sz w:val="20"/>
          <w:szCs w:val="20"/>
          <w:lang w:val="fr-BE"/>
        </w:rPr>
      </w:pPr>
    </w:p>
    <w:p w:rsidR="00AC12B4" w:rsidRPr="00C27636" w:rsidRDefault="00C27636">
      <w:pPr>
        <w:ind w:left="600"/>
        <w:rPr>
          <w:sz w:val="20"/>
          <w:szCs w:val="20"/>
          <w:lang w:val="fr-BE"/>
        </w:rPr>
      </w:pPr>
      <w:r w:rsidRPr="00C27636">
        <w:rPr>
          <w:rFonts w:ascii="Calibri" w:eastAsia="Calibri" w:hAnsi="Calibri" w:cs="Calibri"/>
          <w:sz w:val="20"/>
          <w:szCs w:val="20"/>
          <w:lang w:val="fr-BE"/>
        </w:rPr>
        <w:t>Région de Bruxelles Capitale</w:t>
      </w:r>
    </w:p>
    <w:p w:rsidR="00AC12B4" w:rsidRPr="00C27636" w:rsidRDefault="00AC12B4">
      <w:pPr>
        <w:spacing w:line="693" w:lineRule="exact"/>
        <w:rPr>
          <w:sz w:val="20"/>
          <w:szCs w:val="20"/>
          <w:lang w:val="fr-BE"/>
        </w:rPr>
      </w:pPr>
    </w:p>
    <w:p w:rsidR="00AC12B4" w:rsidRPr="00C27636" w:rsidRDefault="00AC12B4">
      <w:pPr>
        <w:rPr>
          <w:lang w:val="fr-BE"/>
        </w:rPr>
        <w:sectPr w:rsidR="00AC12B4" w:rsidRPr="00C27636">
          <w:type w:val="continuous"/>
          <w:pgSz w:w="12080" w:h="17179"/>
          <w:pgMar w:top="606" w:right="1440" w:bottom="659" w:left="1440" w:header="0" w:footer="0" w:gutter="0"/>
          <w:cols w:num="2" w:space="720" w:equalWidth="0">
            <w:col w:w="4540" w:space="720"/>
            <w:col w:w="393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5" w:lineRule="exact"/>
        <w:rPr>
          <w:sz w:val="20"/>
          <w:szCs w:val="20"/>
          <w:lang w:val="fr-BE"/>
        </w:rPr>
      </w:pPr>
    </w:p>
    <w:p w:rsidR="00AC12B4" w:rsidRDefault="00C27636">
      <w:pPr>
        <w:ind w:right="-402"/>
        <w:jc w:val="center"/>
        <w:rPr>
          <w:sz w:val="20"/>
          <w:szCs w:val="20"/>
        </w:rPr>
      </w:pPr>
      <w:r>
        <w:rPr>
          <w:rFonts w:ascii="Calibri" w:eastAsia="Calibri" w:hAnsi="Calibri" w:cs="Calibri"/>
        </w:rPr>
        <w:t>27</w:t>
      </w:r>
    </w:p>
    <w:p w:rsidR="00AC12B4" w:rsidRDefault="00AC12B4">
      <w:pPr>
        <w:sectPr w:rsidR="00AC12B4">
          <w:type w:val="continuous"/>
          <w:pgSz w:w="12080" w:h="17179"/>
          <w:pgMar w:top="606" w:right="1440" w:bottom="659" w:left="1440" w:header="0" w:footer="0" w:gutter="0"/>
          <w:cols w:space="720" w:equalWidth="0">
            <w:col w:w="9197"/>
          </w:cols>
        </w:sectPr>
      </w:pPr>
    </w:p>
    <w:p w:rsidR="00AC12B4" w:rsidRDefault="00AC12B4">
      <w:pPr>
        <w:spacing w:line="200" w:lineRule="exact"/>
        <w:rPr>
          <w:sz w:val="20"/>
          <w:szCs w:val="20"/>
        </w:rPr>
      </w:pPr>
      <w:bookmarkStart w:id="27" w:name="page28"/>
      <w:bookmarkEnd w:id="27"/>
    </w:p>
    <w:p w:rsidR="00AC12B4" w:rsidRDefault="00AC12B4">
      <w:pPr>
        <w:spacing w:line="35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00"/>
        <w:gridCol w:w="40"/>
        <w:gridCol w:w="3800"/>
        <w:gridCol w:w="3180"/>
        <w:gridCol w:w="2060"/>
      </w:tblGrid>
      <w:tr w:rsidR="00AC12B4">
        <w:trPr>
          <w:trHeight w:val="269"/>
        </w:trPr>
        <w:tc>
          <w:tcPr>
            <w:tcW w:w="4140" w:type="dxa"/>
            <w:gridSpan w:val="3"/>
            <w:shd w:val="clear" w:color="auto" w:fill="0E73BE"/>
            <w:vAlign w:val="bottom"/>
          </w:tcPr>
          <w:p w:rsidR="00AC12B4" w:rsidRDefault="00C27636">
            <w:pPr>
              <w:ind w:left="80"/>
              <w:rPr>
                <w:sz w:val="20"/>
                <w:szCs w:val="20"/>
              </w:rPr>
            </w:pPr>
            <w:r>
              <w:rPr>
                <w:rFonts w:ascii="Calibri" w:eastAsia="Calibri" w:hAnsi="Calibri" w:cs="Calibri"/>
                <w:b/>
                <w:bCs/>
                <w:color w:val="FFFFFF"/>
              </w:rPr>
              <w:t>N° Indicateur</w:t>
            </w:r>
          </w:p>
        </w:tc>
        <w:tc>
          <w:tcPr>
            <w:tcW w:w="3180" w:type="dxa"/>
            <w:shd w:val="clear" w:color="auto" w:fill="0E73BE"/>
            <w:vAlign w:val="bottom"/>
          </w:tcPr>
          <w:p w:rsidR="00AC12B4" w:rsidRDefault="00C27636">
            <w:pPr>
              <w:ind w:left="60"/>
              <w:rPr>
                <w:sz w:val="20"/>
                <w:szCs w:val="20"/>
              </w:rPr>
            </w:pPr>
            <w:r>
              <w:rPr>
                <w:rFonts w:ascii="Calibri" w:eastAsia="Calibri" w:hAnsi="Calibri" w:cs="Calibri"/>
                <w:b/>
                <w:bCs/>
                <w:color w:val="FFFFFF"/>
              </w:rPr>
              <w:t>Source(s)</w:t>
            </w:r>
          </w:p>
        </w:tc>
        <w:tc>
          <w:tcPr>
            <w:tcW w:w="2060" w:type="dxa"/>
            <w:shd w:val="clear" w:color="auto" w:fill="0E73BE"/>
            <w:vAlign w:val="bottom"/>
          </w:tcPr>
          <w:p w:rsidR="00AC12B4" w:rsidRDefault="00C27636">
            <w:pPr>
              <w:ind w:right="190"/>
              <w:jc w:val="right"/>
              <w:rPr>
                <w:sz w:val="20"/>
                <w:szCs w:val="20"/>
              </w:rPr>
            </w:pPr>
            <w:r>
              <w:rPr>
                <w:rFonts w:ascii="Calibri" w:eastAsia="Calibri" w:hAnsi="Calibri" w:cs="Calibri"/>
                <w:b/>
                <w:bCs/>
                <w:color w:val="FFFFFF"/>
              </w:rPr>
              <w:t>Territoire couvert</w:t>
            </w:r>
          </w:p>
        </w:tc>
      </w:tr>
      <w:tr w:rsidR="00AC12B4">
        <w:trPr>
          <w:trHeight w:val="128"/>
        </w:trPr>
        <w:tc>
          <w:tcPr>
            <w:tcW w:w="4140" w:type="dxa"/>
            <w:gridSpan w:val="3"/>
            <w:shd w:val="clear" w:color="auto" w:fill="0E73BE"/>
            <w:vAlign w:val="bottom"/>
          </w:tcPr>
          <w:p w:rsidR="00AC12B4" w:rsidRDefault="00AC12B4">
            <w:pPr>
              <w:rPr>
                <w:sz w:val="11"/>
                <w:szCs w:val="11"/>
              </w:rPr>
            </w:pPr>
          </w:p>
        </w:tc>
        <w:tc>
          <w:tcPr>
            <w:tcW w:w="3180" w:type="dxa"/>
            <w:shd w:val="clear" w:color="auto" w:fill="0E73BE"/>
            <w:vAlign w:val="bottom"/>
          </w:tcPr>
          <w:p w:rsidR="00AC12B4" w:rsidRDefault="00AC12B4">
            <w:pPr>
              <w:rPr>
                <w:sz w:val="11"/>
                <w:szCs w:val="11"/>
              </w:rPr>
            </w:pPr>
          </w:p>
        </w:tc>
        <w:tc>
          <w:tcPr>
            <w:tcW w:w="2060" w:type="dxa"/>
            <w:shd w:val="clear" w:color="auto" w:fill="0E73BE"/>
            <w:vAlign w:val="bottom"/>
          </w:tcPr>
          <w:p w:rsidR="00AC12B4" w:rsidRDefault="00AC12B4">
            <w:pPr>
              <w:rPr>
                <w:sz w:val="11"/>
                <w:szCs w:val="11"/>
              </w:rPr>
            </w:pPr>
          </w:p>
        </w:tc>
      </w:tr>
      <w:tr w:rsidR="00AC12B4" w:rsidRPr="00C27636">
        <w:trPr>
          <w:trHeight w:val="260"/>
        </w:trPr>
        <w:tc>
          <w:tcPr>
            <w:tcW w:w="4140" w:type="dxa"/>
            <w:gridSpan w:val="3"/>
            <w:shd w:val="clear" w:color="auto" w:fill="ACD8F9"/>
            <w:vAlign w:val="bottom"/>
          </w:tcPr>
          <w:p w:rsidR="00AC12B4" w:rsidRPr="00C27636" w:rsidRDefault="00C27636">
            <w:pPr>
              <w:spacing w:line="260" w:lineRule="exact"/>
              <w:ind w:left="80"/>
              <w:rPr>
                <w:sz w:val="20"/>
                <w:szCs w:val="20"/>
                <w:lang w:val="fr-BE"/>
              </w:rPr>
            </w:pPr>
            <w:r w:rsidRPr="00C27636">
              <w:rPr>
                <w:rFonts w:ascii="Calibri" w:eastAsia="Calibri" w:hAnsi="Calibri" w:cs="Calibri"/>
                <w:lang w:val="fr-BE"/>
              </w:rPr>
              <w:t>Le droit de poursuivre son bien-être</w:t>
            </w:r>
          </w:p>
        </w:tc>
        <w:tc>
          <w:tcPr>
            <w:tcW w:w="3180" w:type="dxa"/>
            <w:shd w:val="clear" w:color="auto" w:fill="ACD8F9"/>
            <w:vAlign w:val="bottom"/>
          </w:tcPr>
          <w:p w:rsidR="00AC12B4" w:rsidRPr="00C27636" w:rsidRDefault="00AC12B4">
            <w:pPr>
              <w:rPr>
                <w:lang w:val="fr-BE"/>
              </w:rPr>
            </w:pPr>
          </w:p>
        </w:tc>
        <w:tc>
          <w:tcPr>
            <w:tcW w:w="2060" w:type="dxa"/>
            <w:shd w:val="clear" w:color="auto" w:fill="ACD8F9"/>
            <w:vAlign w:val="bottom"/>
          </w:tcPr>
          <w:p w:rsidR="00AC12B4" w:rsidRPr="00C27636" w:rsidRDefault="00AC12B4">
            <w:pPr>
              <w:rPr>
                <w:lang w:val="fr-BE"/>
              </w:rPr>
            </w:pPr>
          </w:p>
        </w:tc>
      </w:tr>
      <w:tr w:rsidR="00AC12B4" w:rsidRPr="00C27636">
        <w:trPr>
          <w:trHeight w:val="128"/>
        </w:trPr>
        <w:tc>
          <w:tcPr>
            <w:tcW w:w="4140" w:type="dxa"/>
            <w:gridSpan w:val="3"/>
            <w:shd w:val="clear" w:color="auto" w:fill="ACD8F9"/>
            <w:vAlign w:val="bottom"/>
          </w:tcPr>
          <w:p w:rsidR="00AC12B4" w:rsidRPr="00C27636" w:rsidRDefault="00AC12B4">
            <w:pPr>
              <w:rPr>
                <w:sz w:val="11"/>
                <w:szCs w:val="11"/>
                <w:lang w:val="fr-BE"/>
              </w:rPr>
            </w:pPr>
          </w:p>
        </w:tc>
        <w:tc>
          <w:tcPr>
            <w:tcW w:w="3180" w:type="dxa"/>
            <w:shd w:val="clear" w:color="auto" w:fill="ACD8F9"/>
            <w:vAlign w:val="bottom"/>
          </w:tcPr>
          <w:p w:rsidR="00AC12B4" w:rsidRPr="00C27636" w:rsidRDefault="00AC12B4">
            <w:pPr>
              <w:rPr>
                <w:sz w:val="11"/>
                <w:szCs w:val="11"/>
                <w:lang w:val="fr-BE"/>
              </w:rPr>
            </w:pPr>
          </w:p>
        </w:tc>
        <w:tc>
          <w:tcPr>
            <w:tcW w:w="2060" w:type="dxa"/>
            <w:shd w:val="clear" w:color="auto" w:fill="ACD8F9"/>
            <w:vAlign w:val="bottom"/>
          </w:tcPr>
          <w:p w:rsidR="00AC12B4" w:rsidRPr="00C27636" w:rsidRDefault="00AC12B4">
            <w:pPr>
              <w:rPr>
                <w:sz w:val="11"/>
                <w:szCs w:val="11"/>
                <w:lang w:val="fr-BE"/>
              </w:rPr>
            </w:pPr>
          </w:p>
        </w:tc>
      </w:tr>
      <w:tr w:rsidR="00AC12B4">
        <w:trPr>
          <w:trHeight w:val="260"/>
        </w:trPr>
        <w:tc>
          <w:tcPr>
            <w:tcW w:w="4140" w:type="dxa"/>
            <w:gridSpan w:val="3"/>
            <w:vAlign w:val="bottom"/>
          </w:tcPr>
          <w:p w:rsidR="00AC12B4" w:rsidRPr="00C27636" w:rsidRDefault="00C27636">
            <w:pPr>
              <w:spacing w:line="260" w:lineRule="exact"/>
              <w:ind w:left="80"/>
              <w:rPr>
                <w:sz w:val="20"/>
                <w:szCs w:val="20"/>
                <w:lang w:val="fr-BE"/>
              </w:rPr>
            </w:pPr>
            <w:r w:rsidRPr="00C27636">
              <w:rPr>
                <w:rFonts w:ascii="Calibri" w:eastAsia="Calibri" w:hAnsi="Calibri" w:cs="Calibri"/>
                <w:lang w:val="fr-BE"/>
              </w:rPr>
              <w:t>B1 Sentiment de Bien être</w:t>
            </w:r>
          </w:p>
        </w:tc>
        <w:tc>
          <w:tcPr>
            <w:tcW w:w="3180" w:type="dxa"/>
            <w:vAlign w:val="bottom"/>
          </w:tcPr>
          <w:p w:rsidR="00AC12B4" w:rsidRDefault="00C27636">
            <w:pPr>
              <w:spacing w:line="260" w:lineRule="exact"/>
              <w:ind w:left="60"/>
              <w:rPr>
                <w:sz w:val="20"/>
                <w:szCs w:val="20"/>
              </w:rPr>
            </w:pPr>
            <w:r>
              <w:rPr>
                <w:rFonts w:ascii="Calibri" w:eastAsia="Calibri" w:hAnsi="Calibri" w:cs="Calibri"/>
              </w:rPr>
              <w:t>HBSC</w:t>
            </w:r>
          </w:p>
        </w:tc>
        <w:tc>
          <w:tcPr>
            <w:tcW w:w="2060" w:type="dxa"/>
            <w:vAlign w:val="bottom"/>
          </w:tcPr>
          <w:p w:rsidR="00AC12B4" w:rsidRDefault="00AC12B4"/>
        </w:tc>
      </w:tr>
      <w:tr w:rsidR="00AC12B4">
        <w:trPr>
          <w:trHeight w:val="386"/>
        </w:trPr>
        <w:tc>
          <w:tcPr>
            <w:tcW w:w="4140" w:type="dxa"/>
            <w:gridSpan w:val="3"/>
            <w:vAlign w:val="bottom"/>
          </w:tcPr>
          <w:p w:rsidR="00AC12B4" w:rsidRDefault="00C27636">
            <w:pPr>
              <w:ind w:left="80"/>
              <w:rPr>
                <w:sz w:val="20"/>
                <w:szCs w:val="20"/>
              </w:rPr>
            </w:pPr>
            <w:r>
              <w:rPr>
                <w:rFonts w:ascii="Calibri" w:eastAsia="Calibri" w:hAnsi="Calibri" w:cs="Calibri"/>
              </w:rPr>
              <w:t xml:space="preserve">B2 </w:t>
            </w:r>
            <w:r>
              <w:rPr>
                <w:rFonts w:ascii="Calibri" w:eastAsia="Calibri" w:hAnsi="Calibri" w:cs="Calibri"/>
              </w:rPr>
              <w:t>Perspective d'avenir</w:t>
            </w:r>
          </w:p>
        </w:tc>
        <w:tc>
          <w:tcPr>
            <w:tcW w:w="3180" w:type="dxa"/>
            <w:vAlign w:val="bottom"/>
          </w:tcPr>
          <w:p w:rsidR="00AC12B4" w:rsidRDefault="00C27636">
            <w:pPr>
              <w:ind w:left="60"/>
              <w:rPr>
                <w:sz w:val="20"/>
                <w:szCs w:val="20"/>
              </w:rPr>
            </w:pPr>
            <w:r>
              <w:rPr>
                <w:rFonts w:ascii="Calibri" w:eastAsia="Calibri" w:hAnsi="Calibri" w:cs="Calibri"/>
              </w:rPr>
              <w:t>HBSC</w:t>
            </w:r>
          </w:p>
        </w:tc>
        <w:tc>
          <w:tcPr>
            <w:tcW w:w="2060" w:type="dxa"/>
            <w:vAlign w:val="bottom"/>
          </w:tcPr>
          <w:p w:rsidR="00AC12B4" w:rsidRDefault="00AC12B4">
            <w:pPr>
              <w:rPr>
                <w:sz w:val="24"/>
                <w:szCs w:val="24"/>
              </w:rPr>
            </w:pPr>
          </w:p>
        </w:tc>
      </w:tr>
      <w:tr w:rsidR="00AC12B4">
        <w:trPr>
          <w:trHeight w:val="389"/>
        </w:trPr>
        <w:tc>
          <w:tcPr>
            <w:tcW w:w="4140" w:type="dxa"/>
            <w:gridSpan w:val="3"/>
            <w:vAlign w:val="bottom"/>
          </w:tcPr>
          <w:p w:rsidR="00AC12B4" w:rsidRDefault="00C27636">
            <w:pPr>
              <w:ind w:left="80"/>
              <w:rPr>
                <w:sz w:val="20"/>
                <w:szCs w:val="20"/>
              </w:rPr>
            </w:pPr>
            <w:r>
              <w:rPr>
                <w:rFonts w:ascii="Calibri" w:eastAsia="Calibri" w:hAnsi="Calibri" w:cs="Calibri"/>
              </w:rPr>
              <w:t>B3 Perceptions du quartier</w:t>
            </w:r>
          </w:p>
        </w:tc>
        <w:tc>
          <w:tcPr>
            <w:tcW w:w="3180" w:type="dxa"/>
            <w:vAlign w:val="bottom"/>
          </w:tcPr>
          <w:p w:rsidR="00AC12B4" w:rsidRDefault="00C27636">
            <w:pPr>
              <w:ind w:left="60"/>
              <w:rPr>
                <w:sz w:val="20"/>
                <w:szCs w:val="20"/>
              </w:rPr>
            </w:pPr>
            <w:r>
              <w:rPr>
                <w:rFonts w:ascii="Calibri" w:eastAsia="Calibri" w:hAnsi="Calibri" w:cs="Calibri"/>
              </w:rPr>
              <w:t>HBSC</w:t>
            </w:r>
          </w:p>
        </w:tc>
        <w:tc>
          <w:tcPr>
            <w:tcW w:w="2060" w:type="dxa"/>
            <w:vAlign w:val="bottom"/>
          </w:tcPr>
          <w:p w:rsidR="00AC12B4" w:rsidRDefault="00AC12B4">
            <w:pPr>
              <w:rPr>
                <w:sz w:val="24"/>
                <w:szCs w:val="24"/>
              </w:rPr>
            </w:pPr>
          </w:p>
        </w:tc>
      </w:tr>
      <w:tr w:rsidR="00AC12B4">
        <w:trPr>
          <w:trHeight w:val="389"/>
        </w:trPr>
        <w:tc>
          <w:tcPr>
            <w:tcW w:w="4140" w:type="dxa"/>
            <w:gridSpan w:val="3"/>
            <w:vAlign w:val="bottom"/>
          </w:tcPr>
          <w:p w:rsidR="00AC12B4" w:rsidRDefault="00C27636">
            <w:pPr>
              <w:ind w:left="80"/>
              <w:rPr>
                <w:sz w:val="20"/>
                <w:szCs w:val="20"/>
              </w:rPr>
            </w:pPr>
            <w:r>
              <w:rPr>
                <w:rFonts w:ascii="Calibri" w:eastAsia="Calibri" w:hAnsi="Calibri" w:cs="Calibri"/>
              </w:rPr>
              <w:t>B4 Violence entre pairs</w:t>
            </w:r>
          </w:p>
        </w:tc>
        <w:tc>
          <w:tcPr>
            <w:tcW w:w="3180" w:type="dxa"/>
            <w:vAlign w:val="bottom"/>
          </w:tcPr>
          <w:p w:rsidR="00AC12B4" w:rsidRDefault="00C27636">
            <w:pPr>
              <w:ind w:left="60"/>
              <w:rPr>
                <w:sz w:val="20"/>
                <w:szCs w:val="20"/>
              </w:rPr>
            </w:pPr>
            <w:r>
              <w:rPr>
                <w:rFonts w:ascii="Calibri" w:eastAsia="Calibri" w:hAnsi="Calibri" w:cs="Calibri"/>
              </w:rPr>
              <w:t>HBSC</w:t>
            </w:r>
          </w:p>
        </w:tc>
        <w:tc>
          <w:tcPr>
            <w:tcW w:w="2060" w:type="dxa"/>
            <w:vAlign w:val="bottom"/>
          </w:tcPr>
          <w:p w:rsidR="00AC12B4" w:rsidRDefault="00AC12B4">
            <w:pPr>
              <w:rPr>
                <w:sz w:val="24"/>
                <w:szCs w:val="24"/>
              </w:rPr>
            </w:pPr>
          </w:p>
        </w:tc>
      </w:tr>
      <w:tr w:rsidR="00AC12B4">
        <w:trPr>
          <w:trHeight w:val="389"/>
        </w:trPr>
        <w:tc>
          <w:tcPr>
            <w:tcW w:w="4140" w:type="dxa"/>
            <w:gridSpan w:val="3"/>
            <w:vAlign w:val="bottom"/>
          </w:tcPr>
          <w:p w:rsidR="00AC12B4" w:rsidRPr="00C27636" w:rsidRDefault="00C27636">
            <w:pPr>
              <w:ind w:left="80"/>
              <w:rPr>
                <w:sz w:val="20"/>
                <w:szCs w:val="20"/>
                <w:lang w:val="fr-BE"/>
              </w:rPr>
            </w:pPr>
            <w:r w:rsidRPr="00C27636">
              <w:rPr>
                <w:rFonts w:ascii="Calibri" w:eastAsia="Calibri" w:hAnsi="Calibri" w:cs="Calibri"/>
                <w:lang w:val="fr-BE"/>
              </w:rPr>
              <w:t>B5 Accessibilité psychologique des services</w:t>
            </w:r>
          </w:p>
        </w:tc>
        <w:tc>
          <w:tcPr>
            <w:tcW w:w="3180" w:type="dxa"/>
            <w:vAlign w:val="bottom"/>
          </w:tcPr>
          <w:p w:rsidR="00AC12B4" w:rsidRDefault="00C27636">
            <w:pPr>
              <w:ind w:left="60"/>
              <w:rPr>
                <w:sz w:val="20"/>
                <w:szCs w:val="20"/>
              </w:rPr>
            </w:pPr>
            <w:r>
              <w:rPr>
                <w:rFonts w:ascii="Calibri" w:eastAsia="Calibri" w:hAnsi="Calibri" w:cs="Calibri"/>
              </w:rPr>
              <w:t>HBSC</w:t>
            </w:r>
          </w:p>
        </w:tc>
        <w:tc>
          <w:tcPr>
            <w:tcW w:w="2060" w:type="dxa"/>
            <w:vAlign w:val="bottom"/>
          </w:tcPr>
          <w:p w:rsidR="00AC12B4" w:rsidRDefault="00AC12B4">
            <w:pPr>
              <w:rPr>
                <w:sz w:val="24"/>
                <w:szCs w:val="24"/>
              </w:rPr>
            </w:pPr>
          </w:p>
        </w:tc>
      </w:tr>
      <w:tr w:rsidR="00AC12B4">
        <w:trPr>
          <w:trHeight w:val="269"/>
        </w:trPr>
        <w:tc>
          <w:tcPr>
            <w:tcW w:w="300" w:type="dxa"/>
            <w:vAlign w:val="bottom"/>
          </w:tcPr>
          <w:p w:rsidR="00AC12B4" w:rsidRDefault="00AC12B4">
            <w:pPr>
              <w:rPr>
                <w:sz w:val="23"/>
                <w:szCs w:val="23"/>
              </w:rPr>
            </w:pPr>
          </w:p>
        </w:tc>
        <w:tc>
          <w:tcPr>
            <w:tcW w:w="3840" w:type="dxa"/>
            <w:gridSpan w:val="2"/>
            <w:vAlign w:val="bottom"/>
          </w:tcPr>
          <w:p w:rsidR="00AC12B4" w:rsidRDefault="00C27636">
            <w:pPr>
              <w:rPr>
                <w:sz w:val="20"/>
                <w:szCs w:val="20"/>
              </w:rPr>
            </w:pPr>
            <w:r>
              <w:rPr>
                <w:rFonts w:ascii="Calibri" w:eastAsia="Calibri" w:hAnsi="Calibri" w:cs="Calibri"/>
              </w:rPr>
              <w:t>d'aide</w:t>
            </w:r>
          </w:p>
        </w:tc>
        <w:tc>
          <w:tcPr>
            <w:tcW w:w="3180" w:type="dxa"/>
            <w:vAlign w:val="bottom"/>
          </w:tcPr>
          <w:p w:rsidR="00AC12B4" w:rsidRDefault="00AC12B4">
            <w:pPr>
              <w:rPr>
                <w:sz w:val="23"/>
                <w:szCs w:val="23"/>
              </w:rPr>
            </w:pPr>
          </w:p>
        </w:tc>
        <w:tc>
          <w:tcPr>
            <w:tcW w:w="2060" w:type="dxa"/>
            <w:vAlign w:val="bottom"/>
          </w:tcPr>
          <w:p w:rsidR="00AC12B4" w:rsidRDefault="00AC12B4">
            <w:pPr>
              <w:rPr>
                <w:sz w:val="23"/>
                <w:szCs w:val="23"/>
              </w:rPr>
            </w:pPr>
          </w:p>
        </w:tc>
      </w:tr>
      <w:tr w:rsidR="00AC12B4">
        <w:trPr>
          <w:trHeight w:val="129"/>
        </w:trPr>
        <w:tc>
          <w:tcPr>
            <w:tcW w:w="4140" w:type="dxa"/>
            <w:gridSpan w:val="3"/>
            <w:vAlign w:val="bottom"/>
          </w:tcPr>
          <w:p w:rsidR="00AC12B4" w:rsidRDefault="00AC12B4">
            <w:pPr>
              <w:rPr>
                <w:sz w:val="11"/>
                <w:szCs w:val="11"/>
              </w:rPr>
            </w:pPr>
          </w:p>
        </w:tc>
        <w:tc>
          <w:tcPr>
            <w:tcW w:w="3180" w:type="dxa"/>
            <w:vAlign w:val="bottom"/>
          </w:tcPr>
          <w:p w:rsidR="00AC12B4" w:rsidRDefault="00AC12B4">
            <w:pPr>
              <w:rPr>
                <w:sz w:val="11"/>
                <w:szCs w:val="11"/>
              </w:rPr>
            </w:pPr>
          </w:p>
        </w:tc>
        <w:tc>
          <w:tcPr>
            <w:tcW w:w="2060" w:type="dxa"/>
            <w:vAlign w:val="bottom"/>
          </w:tcPr>
          <w:p w:rsidR="00AC12B4" w:rsidRDefault="00AC12B4">
            <w:pPr>
              <w:rPr>
                <w:sz w:val="11"/>
                <w:szCs w:val="11"/>
              </w:rPr>
            </w:pPr>
          </w:p>
        </w:tc>
      </w:tr>
      <w:tr w:rsidR="00AC12B4" w:rsidRPr="00C27636">
        <w:trPr>
          <w:trHeight w:val="260"/>
        </w:trPr>
        <w:tc>
          <w:tcPr>
            <w:tcW w:w="4140" w:type="dxa"/>
            <w:gridSpan w:val="3"/>
            <w:shd w:val="clear" w:color="auto" w:fill="ACD8F9"/>
            <w:vAlign w:val="bottom"/>
          </w:tcPr>
          <w:p w:rsidR="00AC12B4" w:rsidRPr="00C27636" w:rsidRDefault="00C27636">
            <w:pPr>
              <w:spacing w:line="260" w:lineRule="exact"/>
              <w:ind w:left="80"/>
              <w:rPr>
                <w:sz w:val="20"/>
                <w:szCs w:val="20"/>
                <w:lang w:val="fr-BE"/>
              </w:rPr>
            </w:pPr>
            <w:r w:rsidRPr="00C27636">
              <w:rPr>
                <w:rFonts w:ascii="Calibri" w:eastAsia="Calibri" w:hAnsi="Calibri" w:cs="Calibri"/>
                <w:lang w:val="fr-BE"/>
              </w:rPr>
              <w:t>Le droit à la protection de la santé</w:t>
            </w:r>
          </w:p>
        </w:tc>
        <w:tc>
          <w:tcPr>
            <w:tcW w:w="3180" w:type="dxa"/>
            <w:shd w:val="clear" w:color="auto" w:fill="ACD8F9"/>
            <w:vAlign w:val="bottom"/>
          </w:tcPr>
          <w:p w:rsidR="00AC12B4" w:rsidRPr="00C27636" w:rsidRDefault="00AC12B4">
            <w:pPr>
              <w:rPr>
                <w:lang w:val="fr-BE"/>
              </w:rPr>
            </w:pPr>
          </w:p>
        </w:tc>
        <w:tc>
          <w:tcPr>
            <w:tcW w:w="2060" w:type="dxa"/>
            <w:shd w:val="clear" w:color="auto" w:fill="ACD8F9"/>
            <w:vAlign w:val="bottom"/>
          </w:tcPr>
          <w:p w:rsidR="00AC12B4" w:rsidRPr="00C27636" w:rsidRDefault="00AC12B4">
            <w:pPr>
              <w:rPr>
                <w:lang w:val="fr-BE"/>
              </w:rPr>
            </w:pPr>
          </w:p>
        </w:tc>
      </w:tr>
      <w:tr w:rsidR="00AC12B4" w:rsidRPr="00C27636">
        <w:trPr>
          <w:trHeight w:val="129"/>
        </w:trPr>
        <w:tc>
          <w:tcPr>
            <w:tcW w:w="340" w:type="dxa"/>
            <w:gridSpan w:val="2"/>
            <w:shd w:val="clear" w:color="auto" w:fill="ACD8F9"/>
            <w:vAlign w:val="bottom"/>
          </w:tcPr>
          <w:p w:rsidR="00AC12B4" w:rsidRPr="00C27636" w:rsidRDefault="00AC12B4">
            <w:pPr>
              <w:rPr>
                <w:sz w:val="11"/>
                <w:szCs w:val="11"/>
                <w:lang w:val="fr-BE"/>
              </w:rPr>
            </w:pPr>
          </w:p>
        </w:tc>
        <w:tc>
          <w:tcPr>
            <w:tcW w:w="3800" w:type="dxa"/>
            <w:shd w:val="clear" w:color="auto" w:fill="ACD8F9"/>
            <w:vAlign w:val="bottom"/>
          </w:tcPr>
          <w:p w:rsidR="00AC12B4" w:rsidRPr="00C27636" w:rsidRDefault="00AC12B4">
            <w:pPr>
              <w:rPr>
                <w:sz w:val="11"/>
                <w:szCs w:val="11"/>
                <w:lang w:val="fr-BE"/>
              </w:rPr>
            </w:pPr>
          </w:p>
        </w:tc>
        <w:tc>
          <w:tcPr>
            <w:tcW w:w="3180" w:type="dxa"/>
            <w:shd w:val="clear" w:color="auto" w:fill="ACD8F9"/>
            <w:vAlign w:val="bottom"/>
          </w:tcPr>
          <w:p w:rsidR="00AC12B4" w:rsidRPr="00C27636" w:rsidRDefault="00AC12B4">
            <w:pPr>
              <w:rPr>
                <w:sz w:val="11"/>
                <w:szCs w:val="11"/>
                <w:lang w:val="fr-BE"/>
              </w:rPr>
            </w:pPr>
          </w:p>
        </w:tc>
        <w:tc>
          <w:tcPr>
            <w:tcW w:w="2060" w:type="dxa"/>
            <w:shd w:val="clear" w:color="auto" w:fill="ACD8F9"/>
            <w:vAlign w:val="bottom"/>
          </w:tcPr>
          <w:p w:rsidR="00AC12B4" w:rsidRPr="00C27636" w:rsidRDefault="00AC12B4">
            <w:pPr>
              <w:rPr>
                <w:sz w:val="11"/>
                <w:szCs w:val="11"/>
                <w:lang w:val="fr-BE"/>
              </w:rPr>
            </w:pPr>
          </w:p>
        </w:tc>
      </w:tr>
      <w:tr w:rsidR="00AC12B4">
        <w:trPr>
          <w:trHeight w:val="260"/>
        </w:trPr>
        <w:tc>
          <w:tcPr>
            <w:tcW w:w="340" w:type="dxa"/>
            <w:gridSpan w:val="2"/>
            <w:vAlign w:val="bottom"/>
          </w:tcPr>
          <w:p w:rsidR="00AC12B4" w:rsidRDefault="00C27636">
            <w:pPr>
              <w:spacing w:line="260" w:lineRule="exact"/>
              <w:ind w:left="80"/>
              <w:rPr>
                <w:sz w:val="20"/>
                <w:szCs w:val="20"/>
              </w:rPr>
            </w:pPr>
            <w:r>
              <w:rPr>
                <w:rFonts w:ascii="Calibri" w:eastAsia="Calibri" w:hAnsi="Calibri" w:cs="Calibri"/>
              </w:rPr>
              <w:t>S1</w:t>
            </w:r>
          </w:p>
        </w:tc>
        <w:tc>
          <w:tcPr>
            <w:tcW w:w="3800" w:type="dxa"/>
            <w:vAlign w:val="bottom"/>
          </w:tcPr>
          <w:p w:rsidR="00AC12B4" w:rsidRDefault="00C27636">
            <w:pPr>
              <w:spacing w:line="260" w:lineRule="exact"/>
              <w:ind w:left="60"/>
              <w:rPr>
                <w:sz w:val="20"/>
                <w:szCs w:val="20"/>
              </w:rPr>
            </w:pPr>
            <w:r>
              <w:rPr>
                <w:rFonts w:ascii="Calibri" w:eastAsia="Calibri" w:hAnsi="Calibri" w:cs="Calibri"/>
              </w:rPr>
              <w:t>Santé Subjective</w:t>
            </w:r>
          </w:p>
        </w:tc>
        <w:tc>
          <w:tcPr>
            <w:tcW w:w="3180" w:type="dxa"/>
            <w:vAlign w:val="bottom"/>
          </w:tcPr>
          <w:p w:rsidR="00AC12B4" w:rsidRDefault="00C27636">
            <w:pPr>
              <w:spacing w:line="260" w:lineRule="exact"/>
              <w:ind w:left="60"/>
              <w:rPr>
                <w:sz w:val="20"/>
                <w:szCs w:val="20"/>
              </w:rPr>
            </w:pPr>
            <w:r>
              <w:rPr>
                <w:rFonts w:ascii="Calibri" w:eastAsia="Calibri" w:hAnsi="Calibri" w:cs="Calibri"/>
              </w:rPr>
              <w:t>HBSC</w:t>
            </w:r>
          </w:p>
        </w:tc>
        <w:tc>
          <w:tcPr>
            <w:tcW w:w="2060" w:type="dxa"/>
            <w:vAlign w:val="bottom"/>
          </w:tcPr>
          <w:p w:rsidR="00AC12B4" w:rsidRDefault="00AC12B4"/>
        </w:tc>
      </w:tr>
      <w:tr w:rsidR="00AC12B4">
        <w:trPr>
          <w:trHeight w:val="389"/>
        </w:trPr>
        <w:tc>
          <w:tcPr>
            <w:tcW w:w="340" w:type="dxa"/>
            <w:gridSpan w:val="2"/>
            <w:vAlign w:val="bottom"/>
          </w:tcPr>
          <w:p w:rsidR="00AC12B4" w:rsidRDefault="00C27636">
            <w:pPr>
              <w:ind w:left="80"/>
              <w:rPr>
                <w:sz w:val="20"/>
                <w:szCs w:val="20"/>
              </w:rPr>
            </w:pPr>
            <w:r>
              <w:rPr>
                <w:rFonts w:ascii="Calibri" w:eastAsia="Calibri" w:hAnsi="Calibri" w:cs="Calibri"/>
              </w:rPr>
              <w:t>S2</w:t>
            </w:r>
          </w:p>
        </w:tc>
        <w:tc>
          <w:tcPr>
            <w:tcW w:w="3800" w:type="dxa"/>
            <w:vAlign w:val="bottom"/>
          </w:tcPr>
          <w:p w:rsidR="00AC12B4" w:rsidRDefault="00C27636">
            <w:pPr>
              <w:ind w:left="40"/>
              <w:rPr>
                <w:sz w:val="20"/>
                <w:szCs w:val="20"/>
              </w:rPr>
            </w:pPr>
            <w:r>
              <w:rPr>
                <w:rFonts w:ascii="Calibri" w:eastAsia="Calibri" w:hAnsi="Calibri" w:cs="Calibri"/>
              </w:rPr>
              <w:t>Mortalité infantile</w:t>
            </w:r>
          </w:p>
        </w:tc>
        <w:tc>
          <w:tcPr>
            <w:tcW w:w="3180" w:type="dxa"/>
            <w:vAlign w:val="bottom"/>
          </w:tcPr>
          <w:p w:rsidR="00AC12B4" w:rsidRDefault="00C27636">
            <w:pPr>
              <w:ind w:left="60"/>
              <w:rPr>
                <w:sz w:val="20"/>
                <w:szCs w:val="20"/>
              </w:rPr>
            </w:pPr>
            <w:r>
              <w:rPr>
                <w:rFonts w:ascii="Calibri" w:eastAsia="Calibri" w:hAnsi="Calibri" w:cs="Calibri"/>
              </w:rPr>
              <w:t>Statbel</w:t>
            </w:r>
          </w:p>
        </w:tc>
        <w:tc>
          <w:tcPr>
            <w:tcW w:w="2060" w:type="dxa"/>
            <w:vAlign w:val="bottom"/>
          </w:tcPr>
          <w:p w:rsidR="00AC12B4" w:rsidRDefault="00AC12B4">
            <w:pPr>
              <w:rPr>
                <w:sz w:val="24"/>
                <w:szCs w:val="24"/>
              </w:rPr>
            </w:pPr>
          </w:p>
        </w:tc>
      </w:tr>
      <w:tr w:rsidR="00AC12B4">
        <w:trPr>
          <w:trHeight w:val="389"/>
        </w:trPr>
        <w:tc>
          <w:tcPr>
            <w:tcW w:w="340" w:type="dxa"/>
            <w:gridSpan w:val="2"/>
            <w:vAlign w:val="bottom"/>
          </w:tcPr>
          <w:p w:rsidR="00AC12B4" w:rsidRDefault="00C27636">
            <w:pPr>
              <w:ind w:left="80"/>
              <w:rPr>
                <w:sz w:val="20"/>
                <w:szCs w:val="20"/>
              </w:rPr>
            </w:pPr>
            <w:r>
              <w:rPr>
                <w:rFonts w:ascii="Calibri" w:eastAsia="Calibri" w:hAnsi="Calibri" w:cs="Calibri"/>
              </w:rPr>
              <w:t>S3</w:t>
            </w:r>
          </w:p>
        </w:tc>
        <w:tc>
          <w:tcPr>
            <w:tcW w:w="3800" w:type="dxa"/>
            <w:vAlign w:val="bottom"/>
          </w:tcPr>
          <w:p w:rsidR="00AC12B4" w:rsidRDefault="00C27636">
            <w:pPr>
              <w:ind w:left="60"/>
              <w:rPr>
                <w:sz w:val="20"/>
                <w:szCs w:val="20"/>
              </w:rPr>
            </w:pPr>
            <w:r>
              <w:rPr>
                <w:rFonts w:ascii="Calibri" w:eastAsia="Calibri" w:hAnsi="Calibri" w:cs="Calibri"/>
              </w:rPr>
              <w:t>Suivi prénatal</w:t>
            </w:r>
          </w:p>
        </w:tc>
        <w:tc>
          <w:tcPr>
            <w:tcW w:w="3180" w:type="dxa"/>
            <w:vAlign w:val="bottom"/>
          </w:tcPr>
          <w:p w:rsidR="00AC12B4" w:rsidRDefault="00C27636">
            <w:pPr>
              <w:ind w:left="60"/>
              <w:rPr>
                <w:sz w:val="20"/>
                <w:szCs w:val="20"/>
              </w:rPr>
            </w:pPr>
            <w:r>
              <w:rPr>
                <w:rFonts w:ascii="Calibri" w:eastAsia="Calibri" w:hAnsi="Calibri" w:cs="Calibri"/>
              </w:rPr>
              <w:t>AIM</w:t>
            </w:r>
          </w:p>
        </w:tc>
        <w:tc>
          <w:tcPr>
            <w:tcW w:w="2060" w:type="dxa"/>
            <w:vAlign w:val="bottom"/>
          </w:tcPr>
          <w:p w:rsidR="00AC12B4" w:rsidRDefault="00AC12B4">
            <w:pPr>
              <w:rPr>
                <w:sz w:val="24"/>
                <w:szCs w:val="24"/>
              </w:rPr>
            </w:pPr>
          </w:p>
        </w:tc>
      </w:tr>
      <w:tr w:rsidR="00AC12B4">
        <w:trPr>
          <w:trHeight w:val="389"/>
        </w:trPr>
        <w:tc>
          <w:tcPr>
            <w:tcW w:w="340" w:type="dxa"/>
            <w:gridSpan w:val="2"/>
            <w:vAlign w:val="bottom"/>
          </w:tcPr>
          <w:p w:rsidR="00AC12B4" w:rsidRDefault="00C27636">
            <w:pPr>
              <w:ind w:left="80"/>
              <w:rPr>
                <w:sz w:val="20"/>
                <w:szCs w:val="20"/>
              </w:rPr>
            </w:pPr>
            <w:r>
              <w:rPr>
                <w:rFonts w:ascii="Calibri" w:eastAsia="Calibri" w:hAnsi="Calibri" w:cs="Calibri"/>
              </w:rPr>
              <w:t>S4</w:t>
            </w:r>
          </w:p>
        </w:tc>
        <w:tc>
          <w:tcPr>
            <w:tcW w:w="3800" w:type="dxa"/>
            <w:vAlign w:val="bottom"/>
          </w:tcPr>
          <w:p w:rsidR="00AC12B4" w:rsidRDefault="00C27636">
            <w:pPr>
              <w:ind w:left="60"/>
              <w:rPr>
                <w:sz w:val="20"/>
                <w:szCs w:val="20"/>
              </w:rPr>
            </w:pPr>
            <w:r>
              <w:rPr>
                <w:rFonts w:ascii="Calibri" w:eastAsia="Calibri" w:hAnsi="Calibri" w:cs="Calibri"/>
              </w:rPr>
              <w:t>Vaccination</w:t>
            </w:r>
          </w:p>
        </w:tc>
        <w:tc>
          <w:tcPr>
            <w:tcW w:w="3180" w:type="dxa"/>
            <w:vAlign w:val="bottom"/>
          </w:tcPr>
          <w:p w:rsidR="00AC12B4" w:rsidRDefault="00C27636">
            <w:pPr>
              <w:ind w:left="60"/>
              <w:rPr>
                <w:sz w:val="20"/>
                <w:szCs w:val="20"/>
              </w:rPr>
            </w:pPr>
            <w:r>
              <w:rPr>
                <w:rFonts w:ascii="Calibri" w:eastAsia="Calibri" w:hAnsi="Calibri" w:cs="Calibri"/>
              </w:rPr>
              <w:t>Enquêtes couverture vaccinale</w:t>
            </w:r>
          </w:p>
        </w:tc>
        <w:tc>
          <w:tcPr>
            <w:tcW w:w="2060" w:type="dxa"/>
            <w:vAlign w:val="bottom"/>
          </w:tcPr>
          <w:p w:rsidR="00AC12B4" w:rsidRDefault="00AC12B4">
            <w:pPr>
              <w:rPr>
                <w:sz w:val="24"/>
                <w:szCs w:val="24"/>
              </w:rPr>
            </w:pPr>
          </w:p>
        </w:tc>
      </w:tr>
      <w:tr w:rsidR="00AC12B4">
        <w:trPr>
          <w:trHeight w:val="386"/>
        </w:trPr>
        <w:tc>
          <w:tcPr>
            <w:tcW w:w="340" w:type="dxa"/>
            <w:gridSpan w:val="2"/>
            <w:vAlign w:val="bottom"/>
          </w:tcPr>
          <w:p w:rsidR="00AC12B4" w:rsidRDefault="00C27636">
            <w:pPr>
              <w:ind w:left="80"/>
              <w:rPr>
                <w:sz w:val="20"/>
                <w:szCs w:val="20"/>
              </w:rPr>
            </w:pPr>
            <w:r>
              <w:rPr>
                <w:rFonts w:ascii="Calibri" w:eastAsia="Calibri" w:hAnsi="Calibri" w:cs="Calibri"/>
              </w:rPr>
              <w:lastRenderedPageBreak/>
              <w:t>S5</w:t>
            </w:r>
          </w:p>
        </w:tc>
        <w:tc>
          <w:tcPr>
            <w:tcW w:w="3800" w:type="dxa"/>
            <w:vAlign w:val="bottom"/>
          </w:tcPr>
          <w:p w:rsidR="00AC12B4" w:rsidRPr="00C27636" w:rsidRDefault="00C27636">
            <w:pPr>
              <w:ind w:left="40"/>
              <w:rPr>
                <w:sz w:val="20"/>
                <w:szCs w:val="20"/>
                <w:lang w:val="fr-BE"/>
              </w:rPr>
            </w:pPr>
            <w:r w:rsidRPr="00C27636">
              <w:rPr>
                <w:rFonts w:ascii="Calibri" w:eastAsia="Calibri" w:hAnsi="Calibri" w:cs="Calibri"/>
                <w:lang w:val="fr-BE"/>
              </w:rPr>
              <w:t>Postposition de soins de santé</w:t>
            </w:r>
          </w:p>
        </w:tc>
        <w:tc>
          <w:tcPr>
            <w:tcW w:w="3180" w:type="dxa"/>
            <w:vAlign w:val="bottom"/>
          </w:tcPr>
          <w:p w:rsidR="00AC12B4" w:rsidRDefault="00C27636">
            <w:pPr>
              <w:ind w:left="60"/>
              <w:rPr>
                <w:sz w:val="20"/>
                <w:szCs w:val="20"/>
              </w:rPr>
            </w:pPr>
            <w:r>
              <w:rPr>
                <w:rFonts w:ascii="Calibri" w:eastAsia="Calibri" w:hAnsi="Calibri" w:cs="Calibri"/>
              </w:rPr>
              <w:t>HIS</w:t>
            </w:r>
          </w:p>
        </w:tc>
        <w:tc>
          <w:tcPr>
            <w:tcW w:w="2060" w:type="dxa"/>
            <w:vAlign w:val="bottom"/>
          </w:tcPr>
          <w:p w:rsidR="00AC12B4" w:rsidRDefault="00AC12B4">
            <w:pPr>
              <w:rPr>
                <w:sz w:val="24"/>
                <w:szCs w:val="24"/>
              </w:rPr>
            </w:pPr>
          </w:p>
        </w:tc>
      </w:tr>
      <w:tr w:rsidR="00AC12B4">
        <w:trPr>
          <w:trHeight w:val="389"/>
        </w:trPr>
        <w:tc>
          <w:tcPr>
            <w:tcW w:w="340" w:type="dxa"/>
            <w:gridSpan w:val="2"/>
            <w:vAlign w:val="bottom"/>
          </w:tcPr>
          <w:p w:rsidR="00AC12B4" w:rsidRDefault="00C27636">
            <w:pPr>
              <w:ind w:left="80"/>
              <w:rPr>
                <w:sz w:val="20"/>
                <w:szCs w:val="20"/>
              </w:rPr>
            </w:pPr>
            <w:r>
              <w:rPr>
                <w:rFonts w:ascii="Calibri" w:eastAsia="Calibri" w:hAnsi="Calibri" w:cs="Calibri"/>
              </w:rPr>
              <w:t>S6</w:t>
            </w:r>
          </w:p>
        </w:tc>
        <w:tc>
          <w:tcPr>
            <w:tcW w:w="3800" w:type="dxa"/>
            <w:vAlign w:val="bottom"/>
          </w:tcPr>
          <w:p w:rsidR="00AC12B4" w:rsidRPr="00C27636" w:rsidRDefault="00C27636">
            <w:pPr>
              <w:ind w:left="60"/>
              <w:rPr>
                <w:sz w:val="20"/>
                <w:szCs w:val="20"/>
                <w:lang w:val="fr-BE"/>
              </w:rPr>
            </w:pPr>
            <w:r w:rsidRPr="00C27636">
              <w:rPr>
                <w:rFonts w:ascii="Calibri" w:eastAsia="Calibri" w:hAnsi="Calibri" w:cs="Calibri"/>
                <w:lang w:val="fr-BE"/>
              </w:rPr>
              <w:t>Temps d'attente avant prise en charge</w:t>
            </w:r>
          </w:p>
        </w:tc>
        <w:tc>
          <w:tcPr>
            <w:tcW w:w="3180" w:type="dxa"/>
            <w:vAlign w:val="bottom"/>
          </w:tcPr>
          <w:p w:rsidR="00AC12B4" w:rsidRDefault="00C27636">
            <w:pPr>
              <w:ind w:left="60"/>
              <w:rPr>
                <w:sz w:val="20"/>
                <w:szCs w:val="20"/>
              </w:rPr>
            </w:pPr>
            <w:r>
              <w:rPr>
                <w:rFonts w:ascii="Calibri" w:eastAsia="Calibri" w:hAnsi="Calibri" w:cs="Calibri"/>
              </w:rPr>
              <w:t>HIS</w:t>
            </w:r>
          </w:p>
        </w:tc>
        <w:tc>
          <w:tcPr>
            <w:tcW w:w="2060" w:type="dxa"/>
            <w:vAlign w:val="bottom"/>
          </w:tcPr>
          <w:p w:rsidR="00AC12B4" w:rsidRDefault="00AC12B4">
            <w:pPr>
              <w:rPr>
                <w:sz w:val="24"/>
                <w:szCs w:val="24"/>
              </w:rPr>
            </w:pPr>
          </w:p>
        </w:tc>
      </w:tr>
      <w:tr w:rsidR="00AC12B4">
        <w:trPr>
          <w:trHeight w:val="389"/>
        </w:trPr>
        <w:tc>
          <w:tcPr>
            <w:tcW w:w="340" w:type="dxa"/>
            <w:gridSpan w:val="2"/>
            <w:vAlign w:val="bottom"/>
          </w:tcPr>
          <w:p w:rsidR="00AC12B4" w:rsidRDefault="00C27636">
            <w:pPr>
              <w:ind w:left="80"/>
              <w:rPr>
                <w:sz w:val="20"/>
                <w:szCs w:val="20"/>
              </w:rPr>
            </w:pPr>
            <w:r>
              <w:rPr>
                <w:rFonts w:ascii="Calibri" w:eastAsia="Calibri" w:hAnsi="Calibri" w:cs="Calibri"/>
              </w:rPr>
              <w:t>S7</w:t>
            </w:r>
          </w:p>
        </w:tc>
        <w:tc>
          <w:tcPr>
            <w:tcW w:w="3800" w:type="dxa"/>
            <w:vAlign w:val="bottom"/>
          </w:tcPr>
          <w:p w:rsidR="00AC12B4" w:rsidRPr="00C27636" w:rsidRDefault="00C27636">
            <w:pPr>
              <w:ind w:left="60"/>
              <w:rPr>
                <w:sz w:val="20"/>
                <w:szCs w:val="20"/>
                <w:lang w:val="fr-BE"/>
              </w:rPr>
            </w:pPr>
            <w:r w:rsidRPr="00C27636">
              <w:rPr>
                <w:rFonts w:ascii="Calibri" w:eastAsia="Calibri" w:hAnsi="Calibri" w:cs="Calibri"/>
                <w:lang w:val="fr-BE"/>
              </w:rPr>
              <w:t>Qualité des soins de santé</w:t>
            </w:r>
          </w:p>
        </w:tc>
        <w:tc>
          <w:tcPr>
            <w:tcW w:w="3180" w:type="dxa"/>
            <w:vAlign w:val="bottom"/>
          </w:tcPr>
          <w:p w:rsidR="00AC12B4" w:rsidRDefault="00C27636">
            <w:pPr>
              <w:ind w:left="60"/>
              <w:rPr>
                <w:sz w:val="20"/>
                <w:szCs w:val="20"/>
              </w:rPr>
            </w:pPr>
            <w:r>
              <w:rPr>
                <w:rFonts w:ascii="Calibri" w:eastAsia="Calibri" w:hAnsi="Calibri" w:cs="Calibri"/>
              </w:rPr>
              <w:t>AIM</w:t>
            </w:r>
          </w:p>
        </w:tc>
        <w:tc>
          <w:tcPr>
            <w:tcW w:w="2060" w:type="dxa"/>
            <w:vAlign w:val="bottom"/>
          </w:tcPr>
          <w:p w:rsidR="00AC12B4" w:rsidRDefault="00AC12B4">
            <w:pPr>
              <w:rPr>
                <w:sz w:val="24"/>
                <w:szCs w:val="24"/>
              </w:rPr>
            </w:pPr>
          </w:p>
        </w:tc>
      </w:tr>
      <w:tr w:rsidR="00AC12B4">
        <w:trPr>
          <w:trHeight w:val="389"/>
        </w:trPr>
        <w:tc>
          <w:tcPr>
            <w:tcW w:w="340" w:type="dxa"/>
            <w:gridSpan w:val="2"/>
            <w:vAlign w:val="bottom"/>
          </w:tcPr>
          <w:p w:rsidR="00AC12B4" w:rsidRDefault="00C27636">
            <w:pPr>
              <w:ind w:left="80"/>
              <w:rPr>
                <w:sz w:val="20"/>
                <w:szCs w:val="20"/>
              </w:rPr>
            </w:pPr>
            <w:r>
              <w:rPr>
                <w:rFonts w:ascii="Calibri" w:eastAsia="Calibri" w:hAnsi="Calibri" w:cs="Calibri"/>
              </w:rPr>
              <w:t>S8</w:t>
            </w:r>
          </w:p>
        </w:tc>
        <w:tc>
          <w:tcPr>
            <w:tcW w:w="3800" w:type="dxa"/>
            <w:vAlign w:val="bottom"/>
          </w:tcPr>
          <w:p w:rsidR="00AC12B4" w:rsidRDefault="00C27636">
            <w:pPr>
              <w:ind w:left="60"/>
              <w:rPr>
                <w:sz w:val="20"/>
                <w:szCs w:val="20"/>
              </w:rPr>
            </w:pPr>
            <w:r>
              <w:rPr>
                <w:rFonts w:ascii="Calibri" w:eastAsia="Calibri" w:hAnsi="Calibri" w:cs="Calibri"/>
              </w:rPr>
              <w:t>Style de vie sain</w:t>
            </w:r>
          </w:p>
        </w:tc>
        <w:tc>
          <w:tcPr>
            <w:tcW w:w="3180" w:type="dxa"/>
            <w:vAlign w:val="bottom"/>
          </w:tcPr>
          <w:p w:rsidR="00AC12B4" w:rsidRDefault="00C27636">
            <w:pPr>
              <w:ind w:left="60"/>
              <w:rPr>
                <w:sz w:val="20"/>
                <w:szCs w:val="20"/>
              </w:rPr>
            </w:pPr>
            <w:r>
              <w:rPr>
                <w:rFonts w:ascii="Calibri" w:eastAsia="Calibri" w:hAnsi="Calibri" w:cs="Calibri"/>
              </w:rPr>
              <w:t>HBSC</w:t>
            </w:r>
          </w:p>
        </w:tc>
        <w:tc>
          <w:tcPr>
            <w:tcW w:w="2060" w:type="dxa"/>
            <w:vAlign w:val="bottom"/>
          </w:tcPr>
          <w:p w:rsidR="00AC12B4" w:rsidRDefault="00AC12B4">
            <w:pPr>
              <w:rPr>
                <w:sz w:val="24"/>
                <w:szCs w:val="24"/>
              </w:rPr>
            </w:pPr>
          </w:p>
        </w:tc>
      </w:tr>
      <w:tr w:rsidR="00AC12B4">
        <w:trPr>
          <w:trHeight w:val="389"/>
        </w:trPr>
        <w:tc>
          <w:tcPr>
            <w:tcW w:w="340" w:type="dxa"/>
            <w:gridSpan w:val="2"/>
            <w:vAlign w:val="bottom"/>
          </w:tcPr>
          <w:p w:rsidR="00AC12B4" w:rsidRDefault="00C27636">
            <w:pPr>
              <w:ind w:left="80"/>
              <w:rPr>
                <w:sz w:val="20"/>
                <w:szCs w:val="20"/>
              </w:rPr>
            </w:pPr>
            <w:r>
              <w:rPr>
                <w:rFonts w:ascii="Calibri" w:eastAsia="Calibri" w:hAnsi="Calibri" w:cs="Calibri"/>
              </w:rPr>
              <w:t>S9</w:t>
            </w:r>
          </w:p>
        </w:tc>
        <w:tc>
          <w:tcPr>
            <w:tcW w:w="3800" w:type="dxa"/>
            <w:vAlign w:val="bottom"/>
          </w:tcPr>
          <w:p w:rsidR="00AC12B4" w:rsidRDefault="00C27636">
            <w:pPr>
              <w:ind w:left="60"/>
              <w:rPr>
                <w:sz w:val="20"/>
                <w:szCs w:val="20"/>
              </w:rPr>
            </w:pPr>
            <w:r>
              <w:rPr>
                <w:rFonts w:ascii="Calibri" w:eastAsia="Calibri" w:hAnsi="Calibri" w:cs="Calibri"/>
              </w:rPr>
              <w:t xml:space="preserve">Conditions de </w:t>
            </w:r>
            <w:r>
              <w:rPr>
                <w:rFonts w:ascii="Calibri" w:eastAsia="Calibri" w:hAnsi="Calibri" w:cs="Calibri"/>
              </w:rPr>
              <w:t>logement</w:t>
            </w:r>
          </w:p>
        </w:tc>
        <w:tc>
          <w:tcPr>
            <w:tcW w:w="3180" w:type="dxa"/>
            <w:vAlign w:val="bottom"/>
          </w:tcPr>
          <w:p w:rsidR="00AC12B4" w:rsidRDefault="00C27636">
            <w:pPr>
              <w:ind w:left="60"/>
              <w:rPr>
                <w:sz w:val="20"/>
                <w:szCs w:val="20"/>
              </w:rPr>
            </w:pPr>
            <w:r>
              <w:rPr>
                <w:rFonts w:ascii="Calibri" w:eastAsia="Calibri" w:hAnsi="Calibri" w:cs="Calibri"/>
              </w:rPr>
              <w:t>HIS/admin.</w:t>
            </w:r>
          </w:p>
        </w:tc>
        <w:tc>
          <w:tcPr>
            <w:tcW w:w="2060" w:type="dxa"/>
            <w:vAlign w:val="bottom"/>
          </w:tcPr>
          <w:p w:rsidR="00AC12B4" w:rsidRDefault="00C27636">
            <w:pPr>
              <w:ind w:right="1070"/>
              <w:jc w:val="right"/>
              <w:rPr>
                <w:sz w:val="20"/>
                <w:szCs w:val="20"/>
              </w:rPr>
            </w:pPr>
            <w:r>
              <w:rPr>
                <w:rFonts w:ascii="Calibri" w:eastAsia="Calibri" w:hAnsi="Calibri" w:cs="Calibri"/>
              </w:rPr>
              <w:t>/</w:t>
            </w:r>
          </w:p>
        </w:tc>
      </w:tr>
      <w:tr w:rsidR="00AC12B4">
        <w:trPr>
          <w:trHeight w:val="389"/>
        </w:trPr>
        <w:tc>
          <w:tcPr>
            <w:tcW w:w="4140" w:type="dxa"/>
            <w:gridSpan w:val="3"/>
            <w:vAlign w:val="bottom"/>
          </w:tcPr>
          <w:p w:rsidR="00AC12B4" w:rsidRDefault="00C27636">
            <w:pPr>
              <w:ind w:left="80"/>
              <w:rPr>
                <w:sz w:val="20"/>
                <w:szCs w:val="20"/>
              </w:rPr>
            </w:pPr>
            <w:r>
              <w:rPr>
                <w:rFonts w:ascii="Calibri" w:eastAsia="Calibri" w:hAnsi="Calibri" w:cs="Calibri"/>
              </w:rPr>
              <w:t>S10 Environnement sain</w:t>
            </w:r>
          </w:p>
        </w:tc>
        <w:tc>
          <w:tcPr>
            <w:tcW w:w="3180" w:type="dxa"/>
            <w:vAlign w:val="bottom"/>
          </w:tcPr>
          <w:p w:rsidR="00AC12B4" w:rsidRDefault="00C27636">
            <w:pPr>
              <w:ind w:left="60"/>
              <w:rPr>
                <w:sz w:val="20"/>
                <w:szCs w:val="20"/>
              </w:rPr>
            </w:pPr>
            <w:r>
              <w:rPr>
                <w:rFonts w:ascii="Calibri" w:eastAsia="Calibri" w:hAnsi="Calibri" w:cs="Calibri"/>
              </w:rPr>
              <w:t>HIS</w:t>
            </w:r>
          </w:p>
        </w:tc>
        <w:tc>
          <w:tcPr>
            <w:tcW w:w="2060" w:type="dxa"/>
            <w:vAlign w:val="bottom"/>
          </w:tcPr>
          <w:p w:rsidR="00AC12B4" w:rsidRDefault="00AC12B4">
            <w:pPr>
              <w:rPr>
                <w:sz w:val="24"/>
                <w:szCs w:val="24"/>
              </w:rPr>
            </w:pPr>
          </w:p>
        </w:tc>
      </w:tr>
      <w:tr w:rsidR="00AC12B4">
        <w:trPr>
          <w:trHeight w:val="128"/>
        </w:trPr>
        <w:tc>
          <w:tcPr>
            <w:tcW w:w="4140" w:type="dxa"/>
            <w:gridSpan w:val="3"/>
            <w:vAlign w:val="bottom"/>
          </w:tcPr>
          <w:p w:rsidR="00AC12B4" w:rsidRDefault="00AC12B4">
            <w:pPr>
              <w:rPr>
                <w:sz w:val="11"/>
                <w:szCs w:val="11"/>
              </w:rPr>
            </w:pPr>
          </w:p>
        </w:tc>
        <w:tc>
          <w:tcPr>
            <w:tcW w:w="3180" w:type="dxa"/>
            <w:vAlign w:val="bottom"/>
          </w:tcPr>
          <w:p w:rsidR="00AC12B4" w:rsidRDefault="00AC12B4">
            <w:pPr>
              <w:rPr>
                <w:sz w:val="11"/>
                <w:szCs w:val="11"/>
              </w:rPr>
            </w:pPr>
          </w:p>
        </w:tc>
        <w:tc>
          <w:tcPr>
            <w:tcW w:w="2060" w:type="dxa"/>
            <w:vAlign w:val="bottom"/>
          </w:tcPr>
          <w:p w:rsidR="00AC12B4" w:rsidRDefault="00AC12B4">
            <w:pPr>
              <w:rPr>
                <w:sz w:val="11"/>
                <w:szCs w:val="11"/>
              </w:rPr>
            </w:pPr>
          </w:p>
        </w:tc>
      </w:tr>
      <w:tr w:rsidR="00AC12B4">
        <w:trPr>
          <w:trHeight w:val="260"/>
        </w:trPr>
        <w:tc>
          <w:tcPr>
            <w:tcW w:w="4140" w:type="dxa"/>
            <w:gridSpan w:val="3"/>
            <w:shd w:val="clear" w:color="auto" w:fill="ACD8F9"/>
            <w:vAlign w:val="bottom"/>
          </w:tcPr>
          <w:p w:rsidR="00AC12B4" w:rsidRDefault="00C27636">
            <w:pPr>
              <w:spacing w:line="260" w:lineRule="exact"/>
              <w:ind w:left="80"/>
              <w:rPr>
                <w:sz w:val="20"/>
                <w:szCs w:val="20"/>
              </w:rPr>
            </w:pPr>
            <w:r>
              <w:rPr>
                <w:rFonts w:ascii="Calibri" w:eastAsia="Calibri" w:hAnsi="Calibri" w:cs="Calibri"/>
              </w:rPr>
              <w:t>Le droit à l’enseignement</w:t>
            </w:r>
          </w:p>
        </w:tc>
        <w:tc>
          <w:tcPr>
            <w:tcW w:w="3180" w:type="dxa"/>
            <w:shd w:val="clear" w:color="auto" w:fill="ACD8F9"/>
            <w:vAlign w:val="bottom"/>
          </w:tcPr>
          <w:p w:rsidR="00AC12B4" w:rsidRDefault="00AC12B4"/>
        </w:tc>
        <w:tc>
          <w:tcPr>
            <w:tcW w:w="2060" w:type="dxa"/>
            <w:shd w:val="clear" w:color="auto" w:fill="ACD8F9"/>
            <w:vAlign w:val="bottom"/>
          </w:tcPr>
          <w:p w:rsidR="00AC12B4" w:rsidRDefault="00AC12B4"/>
        </w:tc>
      </w:tr>
      <w:tr w:rsidR="00AC12B4">
        <w:trPr>
          <w:trHeight w:val="128"/>
        </w:trPr>
        <w:tc>
          <w:tcPr>
            <w:tcW w:w="300" w:type="dxa"/>
            <w:shd w:val="clear" w:color="auto" w:fill="ACD8F9"/>
            <w:vAlign w:val="bottom"/>
          </w:tcPr>
          <w:p w:rsidR="00AC12B4" w:rsidRDefault="00AC12B4">
            <w:pPr>
              <w:rPr>
                <w:sz w:val="11"/>
                <w:szCs w:val="11"/>
              </w:rPr>
            </w:pPr>
          </w:p>
        </w:tc>
        <w:tc>
          <w:tcPr>
            <w:tcW w:w="40" w:type="dxa"/>
            <w:shd w:val="clear" w:color="auto" w:fill="ACD8F9"/>
            <w:vAlign w:val="bottom"/>
          </w:tcPr>
          <w:p w:rsidR="00AC12B4" w:rsidRDefault="00AC12B4">
            <w:pPr>
              <w:rPr>
                <w:sz w:val="11"/>
                <w:szCs w:val="11"/>
              </w:rPr>
            </w:pPr>
          </w:p>
        </w:tc>
        <w:tc>
          <w:tcPr>
            <w:tcW w:w="3800" w:type="dxa"/>
            <w:shd w:val="clear" w:color="auto" w:fill="ACD8F9"/>
            <w:vAlign w:val="bottom"/>
          </w:tcPr>
          <w:p w:rsidR="00AC12B4" w:rsidRDefault="00AC12B4">
            <w:pPr>
              <w:rPr>
                <w:sz w:val="11"/>
                <w:szCs w:val="11"/>
              </w:rPr>
            </w:pPr>
          </w:p>
        </w:tc>
        <w:tc>
          <w:tcPr>
            <w:tcW w:w="3180" w:type="dxa"/>
            <w:shd w:val="clear" w:color="auto" w:fill="ACD8F9"/>
            <w:vAlign w:val="bottom"/>
          </w:tcPr>
          <w:p w:rsidR="00AC12B4" w:rsidRDefault="00AC12B4">
            <w:pPr>
              <w:rPr>
                <w:sz w:val="11"/>
                <w:szCs w:val="11"/>
              </w:rPr>
            </w:pPr>
          </w:p>
        </w:tc>
        <w:tc>
          <w:tcPr>
            <w:tcW w:w="2060" w:type="dxa"/>
            <w:shd w:val="clear" w:color="auto" w:fill="ACD8F9"/>
            <w:vAlign w:val="bottom"/>
          </w:tcPr>
          <w:p w:rsidR="00AC12B4" w:rsidRDefault="00AC12B4">
            <w:pPr>
              <w:rPr>
                <w:sz w:val="11"/>
                <w:szCs w:val="11"/>
              </w:rPr>
            </w:pPr>
          </w:p>
        </w:tc>
      </w:tr>
      <w:tr w:rsidR="00AC12B4">
        <w:trPr>
          <w:trHeight w:val="260"/>
        </w:trPr>
        <w:tc>
          <w:tcPr>
            <w:tcW w:w="300" w:type="dxa"/>
            <w:vAlign w:val="bottom"/>
          </w:tcPr>
          <w:p w:rsidR="00AC12B4" w:rsidRDefault="00C27636">
            <w:pPr>
              <w:spacing w:line="260" w:lineRule="exact"/>
              <w:ind w:left="80"/>
              <w:rPr>
                <w:sz w:val="20"/>
                <w:szCs w:val="20"/>
              </w:rPr>
            </w:pPr>
            <w:r>
              <w:rPr>
                <w:rFonts w:ascii="Calibri" w:eastAsia="Calibri" w:hAnsi="Calibri" w:cs="Calibri"/>
                <w:w w:val="91"/>
              </w:rPr>
              <w:t>E1</w:t>
            </w:r>
          </w:p>
        </w:tc>
        <w:tc>
          <w:tcPr>
            <w:tcW w:w="40" w:type="dxa"/>
            <w:vAlign w:val="bottom"/>
          </w:tcPr>
          <w:p w:rsidR="00AC12B4" w:rsidRDefault="00AC12B4"/>
        </w:tc>
        <w:tc>
          <w:tcPr>
            <w:tcW w:w="3800" w:type="dxa"/>
            <w:vAlign w:val="bottom"/>
          </w:tcPr>
          <w:p w:rsidR="00AC12B4" w:rsidRDefault="00C27636">
            <w:pPr>
              <w:spacing w:line="260" w:lineRule="exact"/>
              <w:ind w:left="60"/>
              <w:rPr>
                <w:sz w:val="20"/>
                <w:szCs w:val="20"/>
              </w:rPr>
            </w:pPr>
            <w:r>
              <w:rPr>
                <w:rFonts w:ascii="Calibri" w:eastAsia="Calibri" w:hAnsi="Calibri" w:cs="Calibri"/>
              </w:rPr>
              <w:t>Enfants non scolarisés</w:t>
            </w:r>
          </w:p>
        </w:tc>
        <w:tc>
          <w:tcPr>
            <w:tcW w:w="3180" w:type="dxa"/>
            <w:vAlign w:val="bottom"/>
          </w:tcPr>
          <w:p w:rsidR="00AC12B4" w:rsidRDefault="00C27636">
            <w:pPr>
              <w:spacing w:line="260" w:lineRule="exact"/>
              <w:ind w:left="60"/>
              <w:rPr>
                <w:sz w:val="20"/>
                <w:szCs w:val="20"/>
              </w:rPr>
            </w:pPr>
            <w:r>
              <w:rPr>
                <w:rFonts w:ascii="Calibri" w:eastAsia="Calibri" w:hAnsi="Calibri" w:cs="Calibri"/>
              </w:rPr>
              <w:t>Admin.</w:t>
            </w:r>
          </w:p>
        </w:tc>
        <w:tc>
          <w:tcPr>
            <w:tcW w:w="2060" w:type="dxa"/>
            <w:vAlign w:val="bottom"/>
          </w:tcPr>
          <w:p w:rsidR="00AC12B4" w:rsidRDefault="00AC12B4"/>
        </w:tc>
      </w:tr>
      <w:tr w:rsidR="00AC12B4">
        <w:trPr>
          <w:trHeight w:val="389"/>
        </w:trPr>
        <w:tc>
          <w:tcPr>
            <w:tcW w:w="300" w:type="dxa"/>
            <w:vAlign w:val="bottom"/>
          </w:tcPr>
          <w:p w:rsidR="00AC12B4" w:rsidRDefault="00C27636">
            <w:pPr>
              <w:ind w:left="80"/>
              <w:rPr>
                <w:sz w:val="20"/>
                <w:szCs w:val="20"/>
              </w:rPr>
            </w:pPr>
            <w:r>
              <w:rPr>
                <w:rFonts w:ascii="Calibri" w:eastAsia="Calibri" w:hAnsi="Calibri" w:cs="Calibri"/>
                <w:w w:val="91"/>
              </w:rPr>
              <w:t>E2</w:t>
            </w:r>
          </w:p>
        </w:tc>
        <w:tc>
          <w:tcPr>
            <w:tcW w:w="40" w:type="dxa"/>
            <w:vAlign w:val="bottom"/>
          </w:tcPr>
          <w:p w:rsidR="00AC12B4" w:rsidRDefault="00AC12B4">
            <w:pPr>
              <w:rPr>
                <w:sz w:val="24"/>
                <w:szCs w:val="24"/>
              </w:rPr>
            </w:pPr>
          </w:p>
        </w:tc>
        <w:tc>
          <w:tcPr>
            <w:tcW w:w="3800" w:type="dxa"/>
            <w:vAlign w:val="bottom"/>
          </w:tcPr>
          <w:p w:rsidR="00AC12B4" w:rsidRDefault="00C27636">
            <w:pPr>
              <w:ind w:left="60"/>
              <w:rPr>
                <w:sz w:val="20"/>
                <w:szCs w:val="20"/>
              </w:rPr>
            </w:pPr>
            <w:r>
              <w:rPr>
                <w:rFonts w:ascii="Calibri" w:eastAsia="Calibri" w:hAnsi="Calibri" w:cs="Calibri"/>
              </w:rPr>
              <w:t>Carence matériel éducatif</w:t>
            </w:r>
          </w:p>
        </w:tc>
        <w:tc>
          <w:tcPr>
            <w:tcW w:w="3180" w:type="dxa"/>
            <w:vAlign w:val="bottom"/>
          </w:tcPr>
          <w:p w:rsidR="00AC12B4" w:rsidRDefault="00C27636">
            <w:pPr>
              <w:ind w:left="60"/>
              <w:rPr>
                <w:sz w:val="20"/>
                <w:szCs w:val="20"/>
              </w:rPr>
            </w:pPr>
            <w:r>
              <w:rPr>
                <w:rFonts w:ascii="Calibri" w:eastAsia="Calibri" w:hAnsi="Calibri" w:cs="Calibri"/>
              </w:rPr>
              <w:t>PISA</w:t>
            </w:r>
          </w:p>
        </w:tc>
        <w:tc>
          <w:tcPr>
            <w:tcW w:w="2060" w:type="dxa"/>
            <w:vAlign w:val="bottom"/>
          </w:tcPr>
          <w:p w:rsidR="00AC12B4" w:rsidRDefault="00AC12B4">
            <w:pPr>
              <w:rPr>
                <w:sz w:val="24"/>
                <w:szCs w:val="24"/>
              </w:rPr>
            </w:pPr>
          </w:p>
        </w:tc>
      </w:tr>
      <w:tr w:rsidR="00AC12B4">
        <w:trPr>
          <w:trHeight w:val="386"/>
        </w:trPr>
        <w:tc>
          <w:tcPr>
            <w:tcW w:w="300" w:type="dxa"/>
            <w:vAlign w:val="bottom"/>
          </w:tcPr>
          <w:p w:rsidR="00AC12B4" w:rsidRDefault="00C27636">
            <w:pPr>
              <w:ind w:left="80"/>
              <w:rPr>
                <w:sz w:val="20"/>
                <w:szCs w:val="20"/>
              </w:rPr>
            </w:pPr>
            <w:r>
              <w:rPr>
                <w:rFonts w:ascii="Calibri" w:eastAsia="Calibri" w:hAnsi="Calibri" w:cs="Calibri"/>
                <w:w w:val="91"/>
              </w:rPr>
              <w:t>E3</w:t>
            </w:r>
          </w:p>
        </w:tc>
        <w:tc>
          <w:tcPr>
            <w:tcW w:w="40" w:type="dxa"/>
            <w:vAlign w:val="bottom"/>
          </w:tcPr>
          <w:p w:rsidR="00AC12B4" w:rsidRDefault="00AC12B4">
            <w:pPr>
              <w:rPr>
                <w:sz w:val="24"/>
                <w:szCs w:val="24"/>
              </w:rPr>
            </w:pPr>
          </w:p>
        </w:tc>
        <w:tc>
          <w:tcPr>
            <w:tcW w:w="3800" w:type="dxa"/>
            <w:vAlign w:val="bottom"/>
          </w:tcPr>
          <w:p w:rsidR="00AC12B4" w:rsidRDefault="00C27636">
            <w:pPr>
              <w:ind w:left="60"/>
              <w:rPr>
                <w:sz w:val="20"/>
                <w:szCs w:val="20"/>
              </w:rPr>
            </w:pPr>
            <w:r>
              <w:rPr>
                <w:rFonts w:ascii="Calibri" w:eastAsia="Calibri" w:hAnsi="Calibri" w:cs="Calibri"/>
              </w:rPr>
              <w:t>Répartition des élèves dans</w:t>
            </w:r>
          </w:p>
        </w:tc>
        <w:tc>
          <w:tcPr>
            <w:tcW w:w="3180" w:type="dxa"/>
            <w:vAlign w:val="bottom"/>
          </w:tcPr>
          <w:p w:rsidR="00AC12B4" w:rsidRDefault="00C27636">
            <w:pPr>
              <w:ind w:left="60"/>
              <w:rPr>
                <w:sz w:val="20"/>
                <w:szCs w:val="20"/>
              </w:rPr>
            </w:pPr>
            <w:r>
              <w:rPr>
                <w:rFonts w:ascii="Calibri" w:eastAsia="Calibri" w:hAnsi="Calibri" w:cs="Calibri"/>
              </w:rPr>
              <w:t>Admin.</w:t>
            </w:r>
          </w:p>
        </w:tc>
        <w:tc>
          <w:tcPr>
            <w:tcW w:w="2060" w:type="dxa"/>
            <w:vAlign w:val="bottom"/>
          </w:tcPr>
          <w:p w:rsidR="00AC12B4" w:rsidRDefault="00AC12B4">
            <w:pPr>
              <w:rPr>
                <w:sz w:val="24"/>
                <w:szCs w:val="24"/>
              </w:rPr>
            </w:pPr>
          </w:p>
        </w:tc>
      </w:tr>
      <w:tr w:rsidR="00AC12B4">
        <w:trPr>
          <w:trHeight w:val="269"/>
        </w:trPr>
        <w:tc>
          <w:tcPr>
            <w:tcW w:w="4140" w:type="dxa"/>
            <w:gridSpan w:val="3"/>
            <w:vAlign w:val="bottom"/>
          </w:tcPr>
          <w:p w:rsidR="00AC12B4" w:rsidRDefault="00C27636">
            <w:pPr>
              <w:ind w:left="80"/>
              <w:rPr>
                <w:sz w:val="20"/>
                <w:szCs w:val="20"/>
              </w:rPr>
            </w:pPr>
            <w:r>
              <w:rPr>
                <w:rFonts w:ascii="Calibri" w:eastAsia="Calibri" w:hAnsi="Calibri" w:cs="Calibri"/>
              </w:rPr>
              <w:t>l’enseignement spécialisé et ordinaire</w:t>
            </w:r>
          </w:p>
        </w:tc>
        <w:tc>
          <w:tcPr>
            <w:tcW w:w="3180" w:type="dxa"/>
            <w:vAlign w:val="bottom"/>
          </w:tcPr>
          <w:p w:rsidR="00AC12B4" w:rsidRDefault="00AC12B4">
            <w:pPr>
              <w:rPr>
                <w:sz w:val="23"/>
                <w:szCs w:val="23"/>
              </w:rPr>
            </w:pPr>
          </w:p>
        </w:tc>
        <w:tc>
          <w:tcPr>
            <w:tcW w:w="2060" w:type="dxa"/>
            <w:vAlign w:val="bottom"/>
          </w:tcPr>
          <w:p w:rsidR="00AC12B4" w:rsidRDefault="00AC12B4">
            <w:pPr>
              <w:rPr>
                <w:sz w:val="23"/>
                <w:szCs w:val="23"/>
              </w:rPr>
            </w:pPr>
          </w:p>
        </w:tc>
      </w:tr>
      <w:tr w:rsidR="00AC12B4">
        <w:trPr>
          <w:trHeight w:val="389"/>
        </w:trPr>
        <w:tc>
          <w:tcPr>
            <w:tcW w:w="300" w:type="dxa"/>
            <w:vAlign w:val="bottom"/>
          </w:tcPr>
          <w:p w:rsidR="00AC12B4" w:rsidRDefault="00C27636">
            <w:pPr>
              <w:ind w:left="80"/>
              <w:rPr>
                <w:sz w:val="20"/>
                <w:szCs w:val="20"/>
              </w:rPr>
            </w:pPr>
            <w:r>
              <w:rPr>
                <w:rFonts w:ascii="Calibri" w:eastAsia="Calibri" w:hAnsi="Calibri" w:cs="Calibri"/>
                <w:w w:val="91"/>
              </w:rPr>
              <w:t>E4</w:t>
            </w:r>
          </w:p>
        </w:tc>
        <w:tc>
          <w:tcPr>
            <w:tcW w:w="40" w:type="dxa"/>
            <w:vAlign w:val="bottom"/>
          </w:tcPr>
          <w:p w:rsidR="00AC12B4" w:rsidRDefault="00AC12B4">
            <w:pPr>
              <w:rPr>
                <w:sz w:val="24"/>
                <w:szCs w:val="24"/>
              </w:rPr>
            </w:pPr>
          </w:p>
        </w:tc>
        <w:tc>
          <w:tcPr>
            <w:tcW w:w="3800" w:type="dxa"/>
            <w:vAlign w:val="bottom"/>
          </w:tcPr>
          <w:p w:rsidR="00AC12B4" w:rsidRDefault="00C27636">
            <w:pPr>
              <w:ind w:left="60"/>
              <w:rPr>
                <w:sz w:val="20"/>
                <w:szCs w:val="20"/>
              </w:rPr>
            </w:pPr>
            <w:r>
              <w:rPr>
                <w:rFonts w:ascii="Calibri" w:eastAsia="Calibri" w:hAnsi="Calibri" w:cs="Calibri"/>
              </w:rPr>
              <w:t>Ségrégation</w:t>
            </w:r>
          </w:p>
        </w:tc>
        <w:tc>
          <w:tcPr>
            <w:tcW w:w="3180" w:type="dxa"/>
            <w:vAlign w:val="bottom"/>
          </w:tcPr>
          <w:p w:rsidR="00AC12B4" w:rsidRDefault="00C27636">
            <w:pPr>
              <w:ind w:left="60"/>
              <w:rPr>
                <w:sz w:val="20"/>
                <w:szCs w:val="20"/>
              </w:rPr>
            </w:pPr>
            <w:r>
              <w:rPr>
                <w:rFonts w:ascii="Calibri" w:eastAsia="Calibri" w:hAnsi="Calibri" w:cs="Calibri"/>
              </w:rPr>
              <w:t>PISA</w:t>
            </w:r>
          </w:p>
        </w:tc>
        <w:tc>
          <w:tcPr>
            <w:tcW w:w="2060" w:type="dxa"/>
            <w:vAlign w:val="bottom"/>
          </w:tcPr>
          <w:p w:rsidR="00AC12B4" w:rsidRDefault="00AC12B4">
            <w:pPr>
              <w:rPr>
                <w:sz w:val="24"/>
                <w:szCs w:val="24"/>
              </w:rPr>
            </w:pPr>
          </w:p>
        </w:tc>
      </w:tr>
      <w:tr w:rsidR="00AC12B4">
        <w:trPr>
          <w:trHeight w:val="389"/>
        </w:trPr>
        <w:tc>
          <w:tcPr>
            <w:tcW w:w="300" w:type="dxa"/>
            <w:vAlign w:val="bottom"/>
          </w:tcPr>
          <w:p w:rsidR="00AC12B4" w:rsidRDefault="00C27636">
            <w:pPr>
              <w:ind w:left="80"/>
              <w:rPr>
                <w:sz w:val="20"/>
                <w:szCs w:val="20"/>
              </w:rPr>
            </w:pPr>
            <w:r>
              <w:rPr>
                <w:rFonts w:ascii="Calibri" w:eastAsia="Calibri" w:hAnsi="Calibri" w:cs="Calibri"/>
                <w:w w:val="91"/>
              </w:rPr>
              <w:t>E5</w:t>
            </w:r>
          </w:p>
        </w:tc>
        <w:tc>
          <w:tcPr>
            <w:tcW w:w="40" w:type="dxa"/>
            <w:vAlign w:val="bottom"/>
          </w:tcPr>
          <w:p w:rsidR="00AC12B4" w:rsidRDefault="00AC12B4">
            <w:pPr>
              <w:rPr>
                <w:sz w:val="24"/>
                <w:szCs w:val="24"/>
              </w:rPr>
            </w:pPr>
          </w:p>
        </w:tc>
        <w:tc>
          <w:tcPr>
            <w:tcW w:w="3800" w:type="dxa"/>
            <w:vAlign w:val="bottom"/>
          </w:tcPr>
          <w:p w:rsidR="00AC12B4" w:rsidRPr="00C27636" w:rsidRDefault="00C27636">
            <w:pPr>
              <w:ind w:left="60"/>
              <w:rPr>
                <w:sz w:val="20"/>
                <w:szCs w:val="20"/>
                <w:lang w:val="fr-BE"/>
              </w:rPr>
            </w:pPr>
            <w:r w:rsidRPr="00C27636">
              <w:rPr>
                <w:rFonts w:ascii="Calibri" w:eastAsia="Calibri" w:hAnsi="Calibri" w:cs="Calibri"/>
                <w:lang w:val="fr-BE"/>
              </w:rPr>
              <w:t>Sentiment de bien-être école</w:t>
            </w:r>
          </w:p>
        </w:tc>
        <w:tc>
          <w:tcPr>
            <w:tcW w:w="3180" w:type="dxa"/>
            <w:vAlign w:val="bottom"/>
          </w:tcPr>
          <w:p w:rsidR="00AC12B4" w:rsidRDefault="00C27636">
            <w:pPr>
              <w:ind w:left="60"/>
              <w:rPr>
                <w:sz w:val="20"/>
                <w:szCs w:val="20"/>
              </w:rPr>
            </w:pPr>
            <w:r>
              <w:rPr>
                <w:rFonts w:ascii="Calibri" w:eastAsia="Calibri" w:hAnsi="Calibri" w:cs="Calibri"/>
              </w:rPr>
              <w:t>PISA</w:t>
            </w:r>
          </w:p>
        </w:tc>
        <w:tc>
          <w:tcPr>
            <w:tcW w:w="2060" w:type="dxa"/>
            <w:vAlign w:val="bottom"/>
          </w:tcPr>
          <w:p w:rsidR="00AC12B4" w:rsidRDefault="00AC12B4">
            <w:pPr>
              <w:rPr>
                <w:sz w:val="24"/>
                <w:szCs w:val="24"/>
              </w:rPr>
            </w:pPr>
          </w:p>
        </w:tc>
      </w:tr>
      <w:tr w:rsidR="00AC12B4">
        <w:trPr>
          <w:trHeight w:val="389"/>
        </w:trPr>
        <w:tc>
          <w:tcPr>
            <w:tcW w:w="300" w:type="dxa"/>
            <w:vAlign w:val="bottom"/>
          </w:tcPr>
          <w:p w:rsidR="00AC12B4" w:rsidRDefault="00C27636">
            <w:pPr>
              <w:ind w:left="80"/>
              <w:rPr>
                <w:sz w:val="20"/>
                <w:szCs w:val="20"/>
              </w:rPr>
            </w:pPr>
            <w:r>
              <w:rPr>
                <w:rFonts w:ascii="Calibri" w:eastAsia="Calibri" w:hAnsi="Calibri" w:cs="Calibri"/>
                <w:w w:val="91"/>
              </w:rPr>
              <w:t>E6</w:t>
            </w:r>
          </w:p>
        </w:tc>
        <w:tc>
          <w:tcPr>
            <w:tcW w:w="40" w:type="dxa"/>
            <w:vAlign w:val="bottom"/>
          </w:tcPr>
          <w:p w:rsidR="00AC12B4" w:rsidRDefault="00AC12B4">
            <w:pPr>
              <w:rPr>
                <w:sz w:val="24"/>
                <w:szCs w:val="24"/>
              </w:rPr>
            </w:pPr>
          </w:p>
        </w:tc>
        <w:tc>
          <w:tcPr>
            <w:tcW w:w="3800" w:type="dxa"/>
            <w:vAlign w:val="bottom"/>
          </w:tcPr>
          <w:p w:rsidR="00AC12B4" w:rsidRDefault="00C27636">
            <w:pPr>
              <w:ind w:left="60"/>
              <w:rPr>
                <w:sz w:val="20"/>
                <w:szCs w:val="20"/>
              </w:rPr>
            </w:pPr>
            <w:r>
              <w:rPr>
                <w:rFonts w:ascii="Calibri" w:eastAsia="Calibri" w:hAnsi="Calibri" w:cs="Calibri"/>
              </w:rPr>
              <w:t>Sentiment d'être écouté</w:t>
            </w:r>
          </w:p>
        </w:tc>
        <w:tc>
          <w:tcPr>
            <w:tcW w:w="3180" w:type="dxa"/>
            <w:vAlign w:val="bottom"/>
          </w:tcPr>
          <w:p w:rsidR="00AC12B4" w:rsidRDefault="00C27636">
            <w:pPr>
              <w:ind w:left="60"/>
              <w:rPr>
                <w:sz w:val="20"/>
                <w:szCs w:val="20"/>
              </w:rPr>
            </w:pPr>
            <w:r>
              <w:rPr>
                <w:rFonts w:ascii="Calibri" w:eastAsia="Calibri" w:hAnsi="Calibri" w:cs="Calibri"/>
              </w:rPr>
              <w:t>PISA</w:t>
            </w:r>
          </w:p>
        </w:tc>
        <w:tc>
          <w:tcPr>
            <w:tcW w:w="2060" w:type="dxa"/>
            <w:vAlign w:val="bottom"/>
          </w:tcPr>
          <w:p w:rsidR="00AC12B4" w:rsidRDefault="00AC12B4">
            <w:pPr>
              <w:rPr>
                <w:sz w:val="24"/>
                <w:szCs w:val="24"/>
              </w:rPr>
            </w:pPr>
          </w:p>
        </w:tc>
      </w:tr>
      <w:tr w:rsidR="00AC12B4">
        <w:trPr>
          <w:trHeight w:val="389"/>
        </w:trPr>
        <w:tc>
          <w:tcPr>
            <w:tcW w:w="300" w:type="dxa"/>
            <w:vAlign w:val="bottom"/>
          </w:tcPr>
          <w:p w:rsidR="00AC12B4" w:rsidRDefault="00C27636">
            <w:pPr>
              <w:ind w:left="80"/>
              <w:rPr>
                <w:sz w:val="20"/>
                <w:szCs w:val="20"/>
              </w:rPr>
            </w:pPr>
            <w:r>
              <w:rPr>
                <w:rFonts w:ascii="Calibri" w:eastAsia="Calibri" w:hAnsi="Calibri" w:cs="Calibri"/>
                <w:w w:val="91"/>
              </w:rPr>
              <w:lastRenderedPageBreak/>
              <w:t>E7</w:t>
            </w:r>
          </w:p>
        </w:tc>
        <w:tc>
          <w:tcPr>
            <w:tcW w:w="40" w:type="dxa"/>
            <w:vAlign w:val="bottom"/>
          </w:tcPr>
          <w:p w:rsidR="00AC12B4" w:rsidRDefault="00AC12B4">
            <w:pPr>
              <w:rPr>
                <w:sz w:val="24"/>
                <w:szCs w:val="24"/>
              </w:rPr>
            </w:pPr>
          </w:p>
        </w:tc>
        <w:tc>
          <w:tcPr>
            <w:tcW w:w="3800" w:type="dxa"/>
            <w:vAlign w:val="bottom"/>
          </w:tcPr>
          <w:p w:rsidR="00AC12B4" w:rsidRPr="00C27636" w:rsidRDefault="00C27636">
            <w:pPr>
              <w:ind w:left="60"/>
              <w:rPr>
                <w:sz w:val="20"/>
                <w:szCs w:val="20"/>
                <w:lang w:val="fr-BE"/>
              </w:rPr>
            </w:pPr>
            <w:r w:rsidRPr="00C27636">
              <w:rPr>
                <w:rFonts w:ascii="Calibri" w:eastAsia="Calibri" w:hAnsi="Calibri" w:cs="Calibri"/>
                <w:lang w:val="fr-BE"/>
              </w:rPr>
              <w:t>Sentiment d'être traité avec justice</w:t>
            </w:r>
          </w:p>
        </w:tc>
        <w:tc>
          <w:tcPr>
            <w:tcW w:w="3180" w:type="dxa"/>
            <w:vAlign w:val="bottom"/>
          </w:tcPr>
          <w:p w:rsidR="00AC12B4" w:rsidRDefault="00C27636">
            <w:pPr>
              <w:ind w:left="60"/>
              <w:rPr>
                <w:sz w:val="20"/>
                <w:szCs w:val="20"/>
              </w:rPr>
            </w:pPr>
            <w:r>
              <w:rPr>
                <w:rFonts w:ascii="Calibri" w:eastAsia="Calibri" w:hAnsi="Calibri" w:cs="Calibri"/>
              </w:rPr>
              <w:t>PISA</w:t>
            </w:r>
          </w:p>
        </w:tc>
        <w:tc>
          <w:tcPr>
            <w:tcW w:w="2060" w:type="dxa"/>
            <w:vAlign w:val="bottom"/>
          </w:tcPr>
          <w:p w:rsidR="00AC12B4" w:rsidRDefault="00AC12B4">
            <w:pPr>
              <w:rPr>
                <w:sz w:val="24"/>
                <w:szCs w:val="24"/>
              </w:rPr>
            </w:pPr>
          </w:p>
        </w:tc>
      </w:tr>
      <w:tr w:rsidR="00AC12B4">
        <w:trPr>
          <w:trHeight w:val="389"/>
        </w:trPr>
        <w:tc>
          <w:tcPr>
            <w:tcW w:w="300" w:type="dxa"/>
            <w:vAlign w:val="bottom"/>
          </w:tcPr>
          <w:p w:rsidR="00AC12B4" w:rsidRDefault="00C27636">
            <w:pPr>
              <w:ind w:left="80"/>
              <w:rPr>
                <w:sz w:val="20"/>
                <w:szCs w:val="20"/>
              </w:rPr>
            </w:pPr>
            <w:r>
              <w:rPr>
                <w:rFonts w:ascii="Calibri" w:eastAsia="Calibri" w:hAnsi="Calibri" w:cs="Calibri"/>
                <w:w w:val="91"/>
              </w:rPr>
              <w:t>E8</w:t>
            </w:r>
          </w:p>
        </w:tc>
        <w:tc>
          <w:tcPr>
            <w:tcW w:w="40" w:type="dxa"/>
            <w:vAlign w:val="bottom"/>
          </w:tcPr>
          <w:p w:rsidR="00AC12B4" w:rsidRDefault="00AC12B4">
            <w:pPr>
              <w:rPr>
                <w:sz w:val="24"/>
                <w:szCs w:val="24"/>
              </w:rPr>
            </w:pPr>
          </w:p>
        </w:tc>
        <w:tc>
          <w:tcPr>
            <w:tcW w:w="3800" w:type="dxa"/>
            <w:vAlign w:val="bottom"/>
          </w:tcPr>
          <w:p w:rsidR="00AC12B4" w:rsidRDefault="00C27636">
            <w:pPr>
              <w:ind w:left="60"/>
              <w:rPr>
                <w:sz w:val="20"/>
                <w:szCs w:val="20"/>
              </w:rPr>
            </w:pPr>
            <w:r>
              <w:rPr>
                <w:rFonts w:ascii="Calibri" w:eastAsia="Calibri" w:hAnsi="Calibri" w:cs="Calibri"/>
              </w:rPr>
              <w:t>Inégalités des acquis</w:t>
            </w:r>
          </w:p>
        </w:tc>
        <w:tc>
          <w:tcPr>
            <w:tcW w:w="3180" w:type="dxa"/>
            <w:vAlign w:val="bottom"/>
          </w:tcPr>
          <w:p w:rsidR="00AC12B4" w:rsidRDefault="00C27636">
            <w:pPr>
              <w:ind w:left="60"/>
              <w:rPr>
                <w:sz w:val="20"/>
                <w:szCs w:val="20"/>
              </w:rPr>
            </w:pPr>
            <w:r>
              <w:rPr>
                <w:rFonts w:ascii="Calibri" w:eastAsia="Calibri" w:hAnsi="Calibri" w:cs="Calibri"/>
              </w:rPr>
              <w:t>PISA</w:t>
            </w:r>
          </w:p>
        </w:tc>
        <w:tc>
          <w:tcPr>
            <w:tcW w:w="2060" w:type="dxa"/>
            <w:vAlign w:val="bottom"/>
          </w:tcPr>
          <w:p w:rsidR="00AC12B4" w:rsidRDefault="00AC12B4">
            <w:pPr>
              <w:rPr>
                <w:sz w:val="24"/>
                <w:szCs w:val="24"/>
              </w:rPr>
            </w:pPr>
          </w:p>
        </w:tc>
      </w:tr>
      <w:tr w:rsidR="00AC12B4">
        <w:trPr>
          <w:trHeight w:val="389"/>
        </w:trPr>
        <w:tc>
          <w:tcPr>
            <w:tcW w:w="300" w:type="dxa"/>
            <w:vAlign w:val="bottom"/>
          </w:tcPr>
          <w:p w:rsidR="00AC12B4" w:rsidRDefault="00C27636">
            <w:pPr>
              <w:ind w:left="80"/>
              <w:rPr>
                <w:sz w:val="20"/>
                <w:szCs w:val="20"/>
              </w:rPr>
            </w:pPr>
            <w:r>
              <w:rPr>
                <w:rFonts w:ascii="Calibri" w:eastAsia="Calibri" w:hAnsi="Calibri" w:cs="Calibri"/>
                <w:w w:val="91"/>
              </w:rPr>
              <w:t>E9</w:t>
            </w:r>
          </w:p>
        </w:tc>
        <w:tc>
          <w:tcPr>
            <w:tcW w:w="40" w:type="dxa"/>
            <w:vAlign w:val="bottom"/>
          </w:tcPr>
          <w:p w:rsidR="00AC12B4" w:rsidRDefault="00AC12B4">
            <w:pPr>
              <w:rPr>
                <w:sz w:val="24"/>
                <w:szCs w:val="24"/>
              </w:rPr>
            </w:pPr>
          </w:p>
        </w:tc>
        <w:tc>
          <w:tcPr>
            <w:tcW w:w="3800" w:type="dxa"/>
            <w:vAlign w:val="bottom"/>
          </w:tcPr>
          <w:p w:rsidR="00AC12B4" w:rsidRDefault="00C27636">
            <w:pPr>
              <w:ind w:left="60"/>
              <w:rPr>
                <w:sz w:val="20"/>
                <w:szCs w:val="20"/>
              </w:rPr>
            </w:pPr>
            <w:r>
              <w:rPr>
                <w:rFonts w:ascii="Calibri" w:eastAsia="Calibri" w:hAnsi="Calibri" w:cs="Calibri"/>
              </w:rPr>
              <w:t>Interruption prématurée de scolarité</w:t>
            </w:r>
          </w:p>
        </w:tc>
        <w:tc>
          <w:tcPr>
            <w:tcW w:w="3180" w:type="dxa"/>
            <w:vAlign w:val="bottom"/>
          </w:tcPr>
          <w:p w:rsidR="00AC12B4" w:rsidRDefault="00C27636">
            <w:pPr>
              <w:ind w:left="60"/>
              <w:rPr>
                <w:sz w:val="20"/>
                <w:szCs w:val="20"/>
              </w:rPr>
            </w:pPr>
            <w:r>
              <w:rPr>
                <w:rFonts w:ascii="Calibri" w:eastAsia="Calibri" w:hAnsi="Calibri" w:cs="Calibri"/>
              </w:rPr>
              <w:t>EFT</w:t>
            </w:r>
          </w:p>
        </w:tc>
        <w:tc>
          <w:tcPr>
            <w:tcW w:w="2060" w:type="dxa"/>
            <w:vAlign w:val="bottom"/>
          </w:tcPr>
          <w:p w:rsidR="00AC12B4" w:rsidRDefault="00AC12B4">
            <w:pPr>
              <w:rPr>
                <w:sz w:val="24"/>
                <w:szCs w:val="24"/>
              </w:rPr>
            </w:pPr>
          </w:p>
        </w:tc>
      </w:tr>
      <w:tr w:rsidR="00AC12B4">
        <w:trPr>
          <w:trHeight w:val="128"/>
        </w:trPr>
        <w:tc>
          <w:tcPr>
            <w:tcW w:w="4140" w:type="dxa"/>
            <w:gridSpan w:val="3"/>
            <w:vAlign w:val="bottom"/>
          </w:tcPr>
          <w:p w:rsidR="00AC12B4" w:rsidRDefault="00AC12B4">
            <w:pPr>
              <w:rPr>
                <w:sz w:val="11"/>
                <w:szCs w:val="11"/>
              </w:rPr>
            </w:pPr>
          </w:p>
        </w:tc>
        <w:tc>
          <w:tcPr>
            <w:tcW w:w="3180" w:type="dxa"/>
            <w:vAlign w:val="bottom"/>
          </w:tcPr>
          <w:p w:rsidR="00AC12B4" w:rsidRDefault="00AC12B4">
            <w:pPr>
              <w:rPr>
                <w:sz w:val="11"/>
                <w:szCs w:val="11"/>
              </w:rPr>
            </w:pPr>
          </w:p>
        </w:tc>
        <w:tc>
          <w:tcPr>
            <w:tcW w:w="2060" w:type="dxa"/>
            <w:vAlign w:val="bottom"/>
          </w:tcPr>
          <w:p w:rsidR="00AC12B4" w:rsidRDefault="00AC12B4">
            <w:pPr>
              <w:rPr>
                <w:sz w:val="11"/>
                <w:szCs w:val="11"/>
              </w:rPr>
            </w:pPr>
          </w:p>
        </w:tc>
      </w:tr>
      <w:tr w:rsidR="00AC12B4" w:rsidRPr="00C27636">
        <w:trPr>
          <w:trHeight w:val="260"/>
        </w:trPr>
        <w:tc>
          <w:tcPr>
            <w:tcW w:w="4140" w:type="dxa"/>
            <w:gridSpan w:val="3"/>
            <w:shd w:val="clear" w:color="auto" w:fill="ACD8F9"/>
            <w:vAlign w:val="bottom"/>
          </w:tcPr>
          <w:p w:rsidR="00AC12B4" w:rsidRPr="00C27636" w:rsidRDefault="00C27636">
            <w:pPr>
              <w:spacing w:line="260" w:lineRule="exact"/>
              <w:ind w:left="80"/>
              <w:rPr>
                <w:sz w:val="20"/>
                <w:szCs w:val="20"/>
                <w:lang w:val="fr-BE"/>
              </w:rPr>
            </w:pPr>
            <w:r w:rsidRPr="00C27636">
              <w:rPr>
                <w:rFonts w:ascii="Calibri" w:eastAsia="Calibri" w:hAnsi="Calibri" w:cs="Calibri"/>
                <w:lang w:val="fr-BE"/>
              </w:rPr>
              <w:t xml:space="preserve">Le droit aux loisirs et au </w:t>
            </w:r>
            <w:r w:rsidRPr="00C27636">
              <w:rPr>
                <w:rFonts w:ascii="Calibri" w:eastAsia="Calibri" w:hAnsi="Calibri" w:cs="Calibri"/>
                <w:lang w:val="fr-BE"/>
              </w:rPr>
              <w:t>repos</w:t>
            </w:r>
          </w:p>
        </w:tc>
        <w:tc>
          <w:tcPr>
            <w:tcW w:w="3180" w:type="dxa"/>
            <w:shd w:val="clear" w:color="auto" w:fill="ACD8F9"/>
            <w:vAlign w:val="bottom"/>
          </w:tcPr>
          <w:p w:rsidR="00AC12B4" w:rsidRPr="00C27636" w:rsidRDefault="00AC12B4">
            <w:pPr>
              <w:rPr>
                <w:lang w:val="fr-BE"/>
              </w:rPr>
            </w:pPr>
          </w:p>
        </w:tc>
        <w:tc>
          <w:tcPr>
            <w:tcW w:w="2060" w:type="dxa"/>
            <w:shd w:val="clear" w:color="auto" w:fill="ACD8F9"/>
            <w:vAlign w:val="bottom"/>
          </w:tcPr>
          <w:p w:rsidR="00AC12B4" w:rsidRPr="00C27636" w:rsidRDefault="00AC12B4">
            <w:pPr>
              <w:rPr>
                <w:lang w:val="fr-BE"/>
              </w:rPr>
            </w:pPr>
          </w:p>
        </w:tc>
      </w:tr>
      <w:tr w:rsidR="00AC12B4" w:rsidRPr="00C27636">
        <w:trPr>
          <w:trHeight w:val="128"/>
        </w:trPr>
        <w:tc>
          <w:tcPr>
            <w:tcW w:w="300" w:type="dxa"/>
            <w:shd w:val="clear" w:color="auto" w:fill="ACD8F9"/>
            <w:vAlign w:val="bottom"/>
          </w:tcPr>
          <w:p w:rsidR="00AC12B4" w:rsidRPr="00C27636" w:rsidRDefault="00AC12B4">
            <w:pPr>
              <w:rPr>
                <w:sz w:val="11"/>
                <w:szCs w:val="11"/>
                <w:lang w:val="fr-BE"/>
              </w:rPr>
            </w:pPr>
          </w:p>
        </w:tc>
        <w:tc>
          <w:tcPr>
            <w:tcW w:w="40" w:type="dxa"/>
            <w:shd w:val="clear" w:color="auto" w:fill="ACD8F9"/>
            <w:vAlign w:val="bottom"/>
          </w:tcPr>
          <w:p w:rsidR="00AC12B4" w:rsidRPr="00C27636" w:rsidRDefault="00AC12B4">
            <w:pPr>
              <w:rPr>
                <w:sz w:val="11"/>
                <w:szCs w:val="11"/>
                <w:lang w:val="fr-BE"/>
              </w:rPr>
            </w:pPr>
          </w:p>
        </w:tc>
        <w:tc>
          <w:tcPr>
            <w:tcW w:w="3800" w:type="dxa"/>
            <w:shd w:val="clear" w:color="auto" w:fill="ACD8F9"/>
            <w:vAlign w:val="bottom"/>
          </w:tcPr>
          <w:p w:rsidR="00AC12B4" w:rsidRPr="00C27636" w:rsidRDefault="00AC12B4">
            <w:pPr>
              <w:rPr>
                <w:sz w:val="11"/>
                <w:szCs w:val="11"/>
                <w:lang w:val="fr-BE"/>
              </w:rPr>
            </w:pPr>
          </w:p>
        </w:tc>
        <w:tc>
          <w:tcPr>
            <w:tcW w:w="3180" w:type="dxa"/>
            <w:shd w:val="clear" w:color="auto" w:fill="ACD8F9"/>
            <w:vAlign w:val="bottom"/>
          </w:tcPr>
          <w:p w:rsidR="00AC12B4" w:rsidRPr="00C27636" w:rsidRDefault="00AC12B4">
            <w:pPr>
              <w:rPr>
                <w:sz w:val="11"/>
                <w:szCs w:val="11"/>
                <w:lang w:val="fr-BE"/>
              </w:rPr>
            </w:pPr>
          </w:p>
        </w:tc>
        <w:tc>
          <w:tcPr>
            <w:tcW w:w="2060" w:type="dxa"/>
            <w:shd w:val="clear" w:color="auto" w:fill="ACD8F9"/>
            <w:vAlign w:val="bottom"/>
          </w:tcPr>
          <w:p w:rsidR="00AC12B4" w:rsidRPr="00C27636" w:rsidRDefault="00AC12B4">
            <w:pPr>
              <w:rPr>
                <w:sz w:val="11"/>
                <w:szCs w:val="11"/>
                <w:lang w:val="fr-BE"/>
              </w:rPr>
            </w:pPr>
          </w:p>
        </w:tc>
      </w:tr>
      <w:tr w:rsidR="00AC12B4">
        <w:trPr>
          <w:trHeight w:val="260"/>
        </w:trPr>
        <w:tc>
          <w:tcPr>
            <w:tcW w:w="4140" w:type="dxa"/>
            <w:gridSpan w:val="3"/>
            <w:vAlign w:val="bottom"/>
          </w:tcPr>
          <w:p w:rsidR="00AC12B4" w:rsidRPr="00C27636" w:rsidRDefault="00C27636">
            <w:pPr>
              <w:spacing w:line="260" w:lineRule="exact"/>
              <w:ind w:left="80"/>
              <w:rPr>
                <w:sz w:val="20"/>
                <w:szCs w:val="20"/>
                <w:lang w:val="fr-BE"/>
              </w:rPr>
            </w:pPr>
            <w:r w:rsidRPr="00C27636">
              <w:rPr>
                <w:rFonts w:ascii="Calibri" w:eastAsia="Calibri" w:hAnsi="Calibri" w:cs="Calibri"/>
                <w:lang w:val="fr-BE"/>
              </w:rPr>
              <w:t>L1 Equilibre dans la répartition du temps</w:t>
            </w:r>
          </w:p>
        </w:tc>
        <w:tc>
          <w:tcPr>
            <w:tcW w:w="3180" w:type="dxa"/>
            <w:vAlign w:val="bottom"/>
          </w:tcPr>
          <w:p w:rsidR="00AC12B4" w:rsidRDefault="00C27636">
            <w:pPr>
              <w:spacing w:line="260" w:lineRule="exact"/>
              <w:ind w:left="60"/>
              <w:rPr>
                <w:sz w:val="20"/>
                <w:szCs w:val="20"/>
              </w:rPr>
            </w:pPr>
            <w:r>
              <w:rPr>
                <w:rFonts w:ascii="Calibri" w:eastAsia="Calibri" w:hAnsi="Calibri" w:cs="Calibri"/>
              </w:rPr>
              <w:t>HBSC</w:t>
            </w:r>
          </w:p>
        </w:tc>
        <w:tc>
          <w:tcPr>
            <w:tcW w:w="2060" w:type="dxa"/>
            <w:vAlign w:val="bottom"/>
          </w:tcPr>
          <w:p w:rsidR="00AC12B4" w:rsidRDefault="00AC12B4"/>
        </w:tc>
      </w:tr>
      <w:tr w:rsidR="00AC12B4">
        <w:trPr>
          <w:trHeight w:val="386"/>
        </w:trPr>
        <w:tc>
          <w:tcPr>
            <w:tcW w:w="4140" w:type="dxa"/>
            <w:gridSpan w:val="3"/>
            <w:vAlign w:val="bottom"/>
          </w:tcPr>
          <w:p w:rsidR="00AC12B4" w:rsidRPr="00C27636" w:rsidRDefault="00C27636">
            <w:pPr>
              <w:ind w:left="80"/>
              <w:rPr>
                <w:sz w:val="20"/>
                <w:szCs w:val="20"/>
                <w:lang w:val="fr-BE"/>
              </w:rPr>
            </w:pPr>
            <w:r w:rsidRPr="00C27636">
              <w:rPr>
                <w:rFonts w:ascii="Calibri" w:eastAsia="Calibri" w:hAnsi="Calibri" w:cs="Calibri"/>
                <w:lang w:val="fr-BE"/>
              </w:rPr>
              <w:t>L2 Libre choix dans l’organisation du temps</w:t>
            </w:r>
          </w:p>
        </w:tc>
        <w:tc>
          <w:tcPr>
            <w:tcW w:w="3180" w:type="dxa"/>
            <w:vAlign w:val="bottom"/>
          </w:tcPr>
          <w:p w:rsidR="00AC12B4" w:rsidRDefault="00C27636">
            <w:pPr>
              <w:ind w:left="60"/>
              <w:rPr>
                <w:sz w:val="20"/>
                <w:szCs w:val="20"/>
              </w:rPr>
            </w:pPr>
            <w:r>
              <w:rPr>
                <w:rFonts w:ascii="Calibri" w:eastAsia="Calibri" w:hAnsi="Calibri" w:cs="Calibri"/>
              </w:rPr>
              <w:t>HBSC</w:t>
            </w:r>
          </w:p>
        </w:tc>
        <w:tc>
          <w:tcPr>
            <w:tcW w:w="2060" w:type="dxa"/>
            <w:vAlign w:val="bottom"/>
          </w:tcPr>
          <w:p w:rsidR="00AC12B4" w:rsidRDefault="00AC12B4">
            <w:pPr>
              <w:rPr>
                <w:sz w:val="24"/>
                <w:szCs w:val="24"/>
              </w:rPr>
            </w:pPr>
          </w:p>
        </w:tc>
      </w:tr>
      <w:tr w:rsidR="00AC12B4">
        <w:trPr>
          <w:trHeight w:val="269"/>
        </w:trPr>
        <w:tc>
          <w:tcPr>
            <w:tcW w:w="4140" w:type="dxa"/>
            <w:gridSpan w:val="3"/>
            <w:vAlign w:val="bottom"/>
          </w:tcPr>
          <w:p w:rsidR="00AC12B4" w:rsidRDefault="00C27636">
            <w:pPr>
              <w:ind w:left="80"/>
              <w:rPr>
                <w:sz w:val="20"/>
                <w:szCs w:val="20"/>
              </w:rPr>
            </w:pPr>
            <w:r>
              <w:rPr>
                <w:rFonts w:ascii="Calibri" w:eastAsia="Calibri" w:hAnsi="Calibri" w:cs="Calibri"/>
              </w:rPr>
              <w:t>libre</w:t>
            </w:r>
          </w:p>
        </w:tc>
        <w:tc>
          <w:tcPr>
            <w:tcW w:w="3180" w:type="dxa"/>
            <w:vAlign w:val="bottom"/>
          </w:tcPr>
          <w:p w:rsidR="00AC12B4" w:rsidRDefault="00AC12B4">
            <w:pPr>
              <w:rPr>
                <w:sz w:val="23"/>
                <w:szCs w:val="23"/>
              </w:rPr>
            </w:pPr>
          </w:p>
        </w:tc>
        <w:tc>
          <w:tcPr>
            <w:tcW w:w="2060" w:type="dxa"/>
            <w:vAlign w:val="bottom"/>
          </w:tcPr>
          <w:p w:rsidR="00AC12B4" w:rsidRDefault="00AC12B4">
            <w:pPr>
              <w:rPr>
                <w:sz w:val="23"/>
                <w:szCs w:val="23"/>
              </w:rPr>
            </w:pPr>
          </w:p>
        </w:tc>
      </w:tr>
      <w:tr w:rsidR="00AC12B4">
        <w:trPr>
          <w:trHeight w:val="389"/>
        </w:trPr>
        <w:tc>
          <w:tcPr>
            <w:tcW w:w="4140" w:type="dxa"/>
            <w:gridSpan w:val="3"/>
            <w:vAlign w:val="bottom"/>
          </w:tcPr>
          <w:p w:rsidR="00AC12B4" w:rsidRPr="00C27636" w:rsidRDefault="00C27636">
            <w:pPr>
              <w:ind w:left="80"/>
              <w:rPr>
                <w:sz w:val="20"/>
                <w:szCs w:val="20"/>
                <w:lang w:val="fr-BE"/>
              </w:rPr>
            </w:pPr>
            <w:r w:rsidRPr="00C27636">
              <w:rPr>
                <w:rFonts w:ascii="Calibri" w:eastAsia="Calibri" w:hAnsi="Calibri" w:cs="Calibri"/>
                <w:lang w:val="fr-BE"/>
              </w:rPr>
              <w:t>L3 Disponibilité d’endroits où l’on peut</w:t>
            </w:r>
          </w:p>
        </w:tc>
        <w:tc>
          <w:tcPr>
            <w:tcW w:w="3180" w:type="dxa"/>
            <w:vAlign w:val="bottom"/>
          </w:tcPr>
          <w:p w:rsidR="00AC12B4" w:rsidRDefault="00C27636">
            <w:pPr>
              <w:ind w:left="60"/>
              <w:rPr>
                <w:sz w:val="20"/>
                <w:szCs w:val="20"/>
              </w:rPr>
            </w:pPr>
            <w:r>
              <w:rPr>
                <w:rFonts w:ascii="Calibri" w:eastAsia="Calibri" w:hAnsi="Calibri" w:cs="Calibri"/>
              </w:rPr>
              <w:t>HBSC</w:t>
            </w:r>
          </w:p>
        </w:tc>
        <w:tc>
          <w:tcPr>
            <w:tcW w:w="2060" w:type="dxa"/>
            <w:vAlign w:val="bottom"/>
          </w:tcPr>
          <w:p w:rsidR="00AC12B4" w:rsidRDefault="00AC12B4">
            <w:pPr>
              <w:rPr>
                <w:sz w:val="24"/>
                <w:szCs w:val="24"/>
              </w:rPr>
            </w:pPr>
          </w:p>
        </w:tc>
      </w:tr>
      <w:tr w:rsidR="00AC12B4">
        <w:trPr>
          <w:trHeight w:val="269"/>
        </w:trPr>
        <w:tc>
          <w:tcPr>
            <w:tcW w:w="4140" w:type="dxa"/>
            <w:gridSpan w:val="3"/>
            <w:vAlign w:val="bottom"/>
          </w:tcPr>
          <w:p w:rsidR="00AC12B4" w:rsidRDefault="00C27636">
            <w:pPr>
              <w:ind w:left="80"/>
              <w:rPr>
                <w:sz w:val="20"/>
                <w:szCs w:val="20"/>
              </w:rPr>
            </w:pPr>
            <w:r>
              <w:rPr>
                <w:rFonts w:ascii="Calibri" w:eastAsia="Calibri" w:hAnsi="Calibri" w:cs="Calibri"/>
              </w:rPr>
              <w:t>jouer</w:t>
            </w:r>
          </w:p>
        </w:tc>
        <w:tc>
          <w:tcPr>
            <w:tcW w:w="3180" w:type="dxa"/>
            <w:vAlign w:val="bottom"/>
          </w:tcPr>
          <w:p w:rsidR="00AC12B4" w:rsidRDefault="00AC12B4">
            <w:pPr>
              <w:rPr>
                <w:sz w:val="23"/>
                <w:szCs w:val="23"/>
              </w:rPr>
            </w:pPr>
          </w:p>
        </w:tc>
        <w:tc>
          <w:tcPr>
            <w:tcW w:w="2060" w:type="dxa"/>
            <w:vAlign w:val="bottom"/>
          </w:tcPr>
          <w:p w:rsidR="00AC12B4" w:rsidRDefault="00AC12B4">
            <w:pPr>
              <w:rPr>
                <w:sz w:val="23"/>
                <w:szCs w:val="23"/>
              </w:rPr>
            </w:pPr>
          </w:p>
        </w:tc>
      </w:tr>
      <w:tr w:rsidR="00AC12B4">
        <w:trPr>
          <w:trHeight w:val="576"/>
        </w:trPr>
        <w:tc>
          <w:tcPr>
            <w:tcW w:w="30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3800" w:type="dxa"/>
            <w:vAlign w:val="bottom"/>
          </w:tcPr>
          <w:p w:rsidR="00AC12B4" w:rsidRDefault="00AC12B4">
            <w:pPr>
              <w:rPr>
                <w:sz w:val="24"/>
                <w:szCs w:val="24"/>
              </w:rPr>
            </w:pPr>
          </w:p>
        </w:tc>
        <w:tc>
          <w:tcPr>
            <w:tcW w:w="3180" w:type="dxa"/>
            <w:vAlign w:val="bottom"/>
          </w:tcPr>
          <w:p w:rsidR="00AC12B4" w:rsidRDefault="00C27636">
            <w:pPr>
              <w:rPr>
                <w:sz w:val="20"/>
                <w:szCs w:val="20"/>
              </w:rPr>
            </w:pPr>
            <w:r>
              <w:rPr>
                <w:rFonts w:ascii="Calibri" w:eastAsia="Calibri" w:hAnsi="Calibri" w:cs="Calibri"/>
              </w:rPr>
              <w:t>28</w:t>
            </w:r>
          </w:p>
        </w:tc>
        <w:tc>
          <w:tcPr>
            <w:tcW w:w="206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w:drawing>
          <wp:anchor distT="0" distB="0" distL="114300" distR="114300" simplePos="0" relativeHeight="251373056" behindDoc="1" locked="0" layoutInCell="0" allowOverlap="1">
            <wp:simplePos x="0" y="0"/>
            <wp:positionH relativeFrom="column">
              <wp:posOffset>5610860</wp:posOffset>
            </wp:positionH>
            <wp:positionV relativeFrom="paragraph">
              <wp:posOffset>-4730750</wp:posOffset>
            </wp:positionV>
            <wp:extent cx="340995" cy="20002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blip>
                    <a:srcRect/>
                    <a:stretch>
                      <a:fillRect/>
                    </a:stretch>
                  </pic:blipFill>
                  <pic:spPr bwMode="auto">
                    <a:xfrm>
                      <a:off x="0" y="0"/>
                      <a:ext cx="340995" cy="200025"/>
                    </a:xfrm>
                    <a:prstGeom prst="rect">
                      <a:avLst/>
                    </a:prstGeom>
                    <a:noFill/>
                  </pic:spPr>
                </pic:pic>
              </a:graphicData>
            </a:graphic>
          </wp:anchor>
        </w:drawing>
      </w:r>
      <w:r>
        <w:rPr>
          <w:noProof/>
          <w:sz w:val="20"/>
          <w:szCs w:val="20"/>
        </w:rPr>
        <w:drawing>
          <wp:anchor distT="0" distB="0" distL="114300" distR="114300" simplePos="0" relativeHeight="251374080" behindDoc="1" locked="0" layoutInCell="0" allowOverlap="1">
            <wp:simplePos x="0" y="0"/>
            <wp:positionH relativeFrom="column">
              <wp:posOffset>5239385</wp:posOffset>
            </wp:positionH>
            <wp:positionV relativeFrom="paragraph">
              <wp:posOffset>-3942080</wp:posOffset>
            </wp:positionV>
            <wp:extent cx="165735" cy="10858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blip>
                    <a:srcRect/>
                    <a:stretch>
                      <a:fillRect/>
                    </a:stretch>
                  </pic:blipFill>
                  <pic:spPr bwMode="auto">
                    <a:xfrm>
                      <a:off x="0" y="0"/>
                      <a:ext cx="165735" cy="108585"/>
                    </a:xfrm>
                    <a:prstGeom prst="rect">
                      <a:avLst/>
                    </a:prstGeom>
                    <a:noFill/>
                  </pic:spPr>
                </pic:pic>
              </a:graphicData>
            </a:graphic>
          </wp:anchor>
        </w:drawing>
      </w:r>
      <w:r>
        <w:rPr>
          <w:noProof/>
          <w:sz w:val="20"/>
          <w:szCs w:val="20"/>
        </w:rPr>
        <w:drawing>
          <wp:anchor distT="0" distB="0" distL="114300" distR="114300" simplePos="0" relativeHeight="251375104" behindDoc="1" locked="0" layoutInCell="0" allowOverlap="1">
            <wp:simplePos x="0" y="0"/>
            <wp:positionH relativeFrom="column">
              <wp:posOffset>5284470</wp:posOffset>
            </wp:positionH>
            <wp:positionV relativeFrom="paragraph">
              <wp:posOffset>-3388360</wp:posOffset>
            </wp:positionV>
            <wp:extent cx="165735" cy="10858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blip>
                    <a:srcRect/>
                    <a:stretch>
                      <a:fillRect/>
                    </a:stretch>
                  </pic:blipFill>
                  <pic:spPr bwMode="auto">
                    <a:xfrm>
                      <a:off x="0" y="0"/>
                      <a:ext cx="165735" cy="108585"/>
                    </a:xfrm>
                    <a:prstGeom prst="rect">
                      <a:avLst/>
                    </a:prstGeom>
                    <a:noFill/>
                  </pic:spPr>
                </pic:pic>
              </a:graphicData>
            </a:graphic>
          </wp:anchor>
        </w:drawing>
      </w:r>
    </w:p>
    <w:p w:rsidR="00AC12B4" w:rsidRDefault="00AC12B4">
      <w:pPr>
        <w:sectPr w:rsidR="00AC12B4">
          <w:pgSz w:w="12080" w:h="17179"/>
          <w:pgMar w:top="1440" w:right="1277" w:bottom="659" w:left="1420" w:header="0" w:footer="0" w:gutter="0"/>
          <w:cols w:space="720" w:equalWidth="0">
            <w:col w:w="9380"/>
          </w:cols>
        </w:sectPr>
      </w:pPr>
    </w:p>
    <w:p w:rsidR="00AC12B4" w:rsidRDefault="00AC12B4">
      <w:pPr>
        <w:spacing w:line="200" w:lineRule="exact"/>
        <w:rPr>
          <w:sz w:val="20"/>
          <w:szCs w:val="20"/>
        </w:rPr>
      </w:pPr>
      <w:bookmarkStart w:id="28" w:name="page29"/>
      <w:bookmarkEnd w:id="28"/>
    </w:p>
    <w:p w:rsidR="00AC12B4" w:rsidRDefault="00AC12B4">
      <w:pPr>
        <w:spacing w:line="351" w:lineRule="exact"/>
        <w:rPr>
          <w:sz w:val="20"/>
          <w:szCs w:val="20"/>
        </w:rPr>
      </w:pPr>
    </w:p>
    <w:tbl>
      <w:tblPr>
        <w:tblW w:w="0" w:type="auto"/>
        <w:tblInd w:w="560" w:type="dxa"/>
        <w:tblLayout w:type="fixed"/>
        <w:tblCellMar>
          <w:left w:w="0" w:type="dxa"/>
          <w:right w:w="0" w:type="dxa"/>
        </w:tblCellMar>
        <w:tblLook w:val="04A0" w:firstRow="1" w:lastRow="0" w:firstColumn="1" w:lastColumn="0" w:noHBand="0" w:noVBand="1"/>
      </w:tblPr>
      <w:tblGrid>
        <w:gridCol w:w="4150"/>
        <w:gridCol w:w="3270"/>
        <w:gridCol w:w="1940"/>
      </w:tblGrid>
      <w:tr w:rsidR="00AC12B4">
        <w:trPr>
          <w:trHeight w:val="269"/>
        </w:trPr>
        <w:tc>
          <w:tcPr>
            <w:tcW w:w="4150" w:type="dxa"/>
            <w:shd w:val="clear" w:color="auto" w:fill="0E73BE"/>
            <w:vAlign w:val="bottom"/>
          </w:tcPr>
          <w:p w:rsidR="00AC12B4" w:rsidRDefault="00C27636">
            <w:pPr>
              <w:ind w:left="60"/>
              <w:rPr>
                <w:sz w:val="20"/>
                <w:szCs w:val="20"/>
              </w:rPr>
            </w:pPr>
            <w:r>
              <w:rPr>
                <w:rFonts w:ascii="Calibri" w:eastAsia="Calibri" w:hAnsi="Calibri" w:cs="Calibri"/>
                <w:b/>
                <w:bCs/>
                <w:color w:val="FFFFFF"/>
              </w:rPr>
              <w:t>N° Indicateur</w:t>
            </w:r>
          </w:p>
        </w:tc>
        <w:tc>
          <w:tcPr>
            <w:tcW w:w="3270" w:type="dxa"/>
            <w:shd w:val="clear" w:color="auto" w:fill="0E73BE"/>
            <w:vAlign w:val="bottom"/>
          </w:tcPr>
          <w:p w:rsidR="00AC12B4" w:rsidRDefault="00C27636">
            <w:pPr>
              <w:ind w:left="30"/>
              <w:rPr>
                <w:sz w:val="20"/>
                <w:szCs w:val="20"/>
              </w:rPr>
            </w:pPr>
            <w:r>
              <w:rPr>
                <w:rFonts w:ascii="Calibri" w:eastAsia="Calibri" w:hAnsi="Calibri" w:cs="Calibri"/>
                <w:b/>
                <w:bCs/>
                <w:color w:val="FFFFFF"/>
              </w:rPr>
              <w:t>Source(s)</w:t>
            </w:r>
          </w:p>
        </w:tc>
        <w:tc>
          <w:tcPr>
            <w:tcW w:w="1940" w:type="dxa"/>
            <w:shd w:val="clear" w:color="auto" w:fill="0E73BE"/>
            <w:vAlign w:val="bottom"/>
          </w:tcPr>
          <w:p w:rsidR="00AC12B4" w:rsidRDefault="00C27636">
            <w:pPr>
              <w:ind w:left="40"/>
              <w:rPr>
                <w:sz w:val="20"/>
                <w:szCs w:val="20"/>
              </w:rPr>
            </w:pPr>
            <w:r>
              <w:rPr>
                <w:rFonts w:ascii="Calibri" w:eastAsia="Calibri" w:hAnsi="Calibri" w:cs="Calibri"/>
                <w:b/>
                <w:bCs/>
                <w:color w:val="FFFFFF"/>
              </w:rPr>
              <w:t xml:space="preserve">Territoire </w:t>
            </w:r>
            <w:r>
              <w:rPr>
                <w:rFonts w:ascii="Calibri" w:eastAsia="Calibri" w:hAnsi="Calibri" w:cs="Calibri"/>
                <w:b/>
                <w:bCs/>
                <w:color w:val="FFFFFF"/>
              </w:rPr>
              <w:t>couvert</w:t>
            </w:r>
          </w:p>
        </w:tc>
      </w:tr>
      <w:tr w:rsidR="00AC12B4">
        <w:trPr>
          <w:trHeight w:val="128"/>
        </w:trPr>
        <w:tc>
          <w:tcPr>
            <w:tcW w:w="4150" w:type="dxa"/>
            <w:shd w:val="clear" w:color="auto" w:fill="0E73BE"/>
            <w:vAlign w:val="bottom"/>
          </w:tcPr>
          <w:p w:rsidR="00AC12B4" w:rsidRDefault="00AC12B4">
            <w:pPr>
              <w:rPr>
                <w:sz w:val="11"/>
                <w:szCs w:val="11"/>
              </w:rPr>
            </w:pPr>
          </w:p>
        </w:tc>
        <w:tc>
          <w:tcPr>
            <w:tcW w:w="3270" w:type="dxa"/>
            <w:shd w:val="clear" w:color="auto" w:fill="0E73BE"/>
            <w:vAlign w:val="bottom"/>
          </w:tcPr>
          <w:p w:rsidR="00AC12B4" w:rsidRDefault="00AC12B4">
            <w:pPr>
              <w:rPr>
                <w:sz w:val="11"/>
                <w:szCs w:val="11"/>
              </w:rPr>
            </w:pPr>
          </w:p>
        </w:tc>
        <w:tc>
          <w:tcPr>
            <w:tcW w:w="1940" w:type="dxa"/>
            <w:shd w:val="clear" w:color="auto" w:fill="0E73BE"/>
            <w:vAlign w:val="bottom"/>
          </w:tcPr>
          <w:p w:rsidR="00AC12B4" w:rsidRDefault="00AC12B4">
            <w:pPr>
              <w:rPr>
                <w:sz w:val="11"/>
                <w:szCs w:val="11"/>
              </w:rPr>
            </w:pPr>
          </w:p>
        </w:tc>
      </w:tr>
      <w:tr w:rsidR="00AC12B4" w:rsidRPr="00C27636">
        <w:trPr>
          <w:trHeight w:val="260"/>
        </w:trPr>
        <w:tc>
          <w:tcPr>
            <w:tcW w:w="4150" w:type="dxa"/>
            <w:shd w:val="clear" w:color="auto" w:fill="ACD8F9"/>
            <w:vAlign w:val="bottom"/>
          </w:tcPr>
          <w:p w:rsidR="00AC12B4" w:rsidRPr="00C27636" w:rsidRDefault="00C27636">
            <w:pPr>
              <w:spacing w:line="260" w:lineRule="exact"/>
              <w:ind w:left="60"/>
              <w:rPr>
                <w:sz w:val="20"/>
                <w:szCs w:val="20"/>
                <w:lang w:val="fr-BE"/>
              </w:rPr>
            </w:pPr>
            <w:r w:rsidRPr="00C27636">
              <w:rPr>
                <w:rFonts w:ascii="Calibri" w:eastAsia="Calibri" w:hAnsi="Calibri" w:cs="Calibri"/>
                <w:lang w:val="fr-BE"/>
              </w:rPr>
              <w:t>Le droit au respect de la vie familiale</w:t>
            </w:r>
          </w:p>
        </w:tc>
        <w:tc>
          <w:tcPr>
            <w:tcW w:w="3270" w:type="dxa"/>
            <w:shd w:val="clear" w:color="auto" w:fill="ACD8F9"/>
            <w:vAlign w:val="bottom"/>
          </w:tcPr>
          <w:p w:rsidR="00AC12B4" w:rsidRPr="00C27636" w:rsidRDefault="00AC12B4">
            <w:pPr>
              <w:rPr>
                <w:lang w:val="fr-BE"/>
              </w:rPr>
            </w:pPr>
          </w:p>
        </w:tc>
        <w:tc>
          <w:tcPr>
            <w:tcW w:w="1940" w:type="dxa"/>
            <w:shd w:val="clear" w:color="auto" w:fill="ACD8F9"/>
            <w:vAlign w:val="bottom"/>
          </w:tcPr>
          <w:p w:rsidR="00AC12B4" w:rsidRPr="00C27636" w:rsidRDefault="00AC12B4">
            <w:pPr>
              <w:rPr>
                <w:lang w:val="fr-BE"/>
              </w:rPr>
            </w:pPr>
          </w:p>
        </w:tc>
      </w:tr>
      <w:tr w:rsidR="00AC12B4" w:rsidRPr="00C27636">
        <w:trPr>
          <w:trHeight w:val="128"/>
        </w:trPr>
        <w:tc>
          <w:tcPr>
            <w:tcW w:w="4150" w:type="dxa"/>
            <w:shd w:val="clear" w:color="auto" w:fill="ACD8F9"/>
            <w:vAlign w:val="bottom"/>
          </w:tcPr>
          <w:p w:rsidR="00AC12B4" w:rsidRPr="00C27636" w:rsidRDefault="00AC12B4">
            <w:pPr>
              <w:rPr>
                <w:sz w:val="11"/>
                <w:szCs w:val="11"/>
                <w:lang w:val="fr-BE"/>
              </w:rPr>
            </w:pPr>
          </w:p>
        </w:tc>
        <w:tc>
          <w:tcPr>
            <w:tcW w:w="3270" w:type="dxa"/>
            <w:shd w:val="clear" w:color="auto" w:fill="ACD8F9"/>
            <w:vAlign w:val="bottom"/>
          </w:tcPr>
          <w:p w:rsidR="00AC12B4" w:rsidRPr="00C27636" w:rsidRDefault="00AC12B4">
            <w:pPr>
              <w:rPr>
                <w:sz w:val="11"/>
                <w:szCs w:val="11"/>
                <w:lang w:val="fr-BE"/>
              </w:rPr>
            </w:pPr>
          </w:p>
        </w:tc>
        <w:tc>
          <w:tcPr>
            <w:tcW w:w="1940" w:type="dxa"/>
            <w:shd w:val="clear" w:color="auto" w:fill="ACD8F9"/>
            <w:vAlign w:val="bottom"/>
          </w:tcPr>
          <w:p w:rsidR="00AC12B4" w:rsidRPr="00C27636" w:rsidRDefault="00AC12B4">
            <w:pPr>
              <w:rPr>
                <w:sz w:val="11"/>
                <w:szCs w:val="11"/>
                <w:lang w:val="fr-BE"/>
              </w:rPr>
            </w:pPr>
          </w:p>
        </w:tc>
      </w:tr>
      <w:tr w:rsidR="00AC12B4">
        <w:trPr>
          <w:trHeight w:val="260"/>
        </w:trPr>
        <w:tc>
          <w:tcPr>
            <w:tcW w:w="4150" w:type="dxa"/>
            <w:vAlign w:val="bottom"/>
          </w:tcPr>
          <w:p w:rsidR="00AC12B4" w:rsidRPr="00C27636" w:rsidRDefault="00C27636">
            <w:pPr>
              <w:spacing w:line="260" w:lineRule="exact"/>
              <w:ind w:left="60"/>
              <w:rPr>
                <w:sz w:val="20"/>
                <w:szCs w:val="20"/>
                <w:lang w:val="fr-BE"/>
              </w:rPr>
            </w:pPr>
            <w:r w:rsidRPr="00C27636">
              <w:rPr>
                <w:rFonts w:ascii="Calibri" w:eastAsia="Calibri" w:hAnsi="Calibri" w:cs="Calibri"/>
                <w:lang w:val="fr-BE"/>
              </w:rPr>
              <w:t>F1 Soutien financier aux familles</w:t>
            </w:r>
          </w:p>
        </w:tc>
        <w:tc>
          <w:tcPr>
            <w:tcW w:w="3270" w:type="dxa"/>
            <w:vAlign w:val="bottom"/>
          </w:tcPr>
          <w:p w:rsidR="00AC12B4" w:rsidRDefault="00C27636">
            <w:pPr>
              <w:spacing w:line="260" w:lineRule="exact"/>
              <w:ind w:left="30"/>
              <w:rPr>
                <w:sz w:val="20"/>
                <w:szCs w:val="20"/>
              </w:rPr>
            </w:pPr>
            <w:r>
              <w:rPr>
                <w:rFonts w:ascii="Calibri" w:eastAsia="Calibri" w:hAnsi="Calibri" w:cs="Calibri"/>
              </w:rPr>
              <w:t>Eurostat</w:t>
            </w:r>
          </w:p>
        </w:tc>
        <w:tc>
          <w:tcPr>
            <w:tcW w:w="1940" w:type="dxa"/>
            <w:vAlign w:val="bottom"/>
          </w:tcPr>
          <w:p w:rsidR="00AC12B4" w:rsidRDefault="00AC12B4"/>
        </w:tc>
      </w:tr>
      <w:tr w:rsidR="00AC12B4">
        <w:trPr>
          <w:trHeight w:val="386"/>
        </w:trPr>
        <w:tc>
          <w:tcPr>
            <w:tcW w:w="4150" w:type="dxa"/>
            <w:vAlign w:val="bottom"/>
          </w:tcPr>
          <w:p w:rsidR="00AC12B4" w:rsidRDefault="00C27636">
            <w:pPr>
              <w:ind w:left="60"/>
              <w:rPr>
                <w:sz w:val="20"/>
                <w:szCs w:val="20"/>
              </w:rPr>
            </w:pPr>
            <w:r>
              <w:rPr>
                <w:rFonts w:ascii="Calibri" w:eastAsia="Calibri" w:hAnsi="Calibri" w:cs="Calibri"/>
              </w:rPr>
              <w:t>F2 Equilibre travail/famille</w:t>
            </w:r>
          </w:p>
        </w:tc>
        <w:tc>
          <w:tcPr>
            <w:tcW w:w="3270" w:type="dxa"/>
            <w:vAlign w:val="bottom"/>
          </w:tcPr>
          <w:p w:rsidR="00AC12B4" w:rsidRDefault="00C27636">
            <w:pPr>
              <w:ind w:left="30"/>
              <w:rPr>
                <w:sz w:val="20"/>
                <w:szCs w:val="20"/>
              </w:rPr>
            </w:pPr>
            <w:r>
              <w:rPr>
                <w:rFonts w:ascii="Calibri" w:eastAsia="Calibri" w:hAnsi="Calibri" w:cs="Calibri"/>
              </w:rPr>
              <w:t>EQLS</w:t>
            </w:r>
          </w:p>
        </w:tc>
        <w:tc>
          <w:tcPr>
            <w:tcW w:w="1940" w:type="dxa"/>
            <w:vAlign w:val="bottom"/>
          </w:tcPr>
          <w:p w:rsidR="00AC12B4" w:rsidRDefault="00AC12B4">
            <w:pPr>
              <w:rPr>
                <w:sz w:val="24"/>
                <w:szCs w:val="24"/>
              </w:rPr>
            </w:pPr>
          </w:p>
        </w:tc>
      </w:tr>
      <w:tr w:rsidR="00AC12B4">
        <w:trPr>
          <w:trHeight w:val="389"/>
        </w:trPr>
        <w:tc>
          <w:tcPr>
            <w:tcW w:w="4150" w:type="dxa"/>
            <w:vAlign w:val="bottom"/>
          </w:tcPr>
          <w:p w:rsidR="00AC12B4" w:rsidRPr="00C27636" w:rsidRDefault="00C27636">
            <w:pPr>
              <w:ind w:left="60"/>
              <w:rPr>
                <w:sz w:val="20"/>
                <w:szCs w:val="20"/>
                <w:lang w:val="fr-BE"/>
              </w:rPr>
            </w:pPr>
            <w:r w:rsidRPr="00C27636">
              <w:rPr>
                <w:rFonts w:ascii="Calibri" w:eastAsia="Calibri" w:hAnsi="Calibri" w:cs="Calibri"/>
                <w:lang w:val="fr-BE"/>
              </w:rPr>
              <w:t>F3 Disponibilité de places d’accueil</w:t>
            </w:r>
          </w:p>
        </w:tc>
        <w:tc>
          <w:tcPr>
            <w:tcW w:w="3270" w:type="dxa"/>
            <w:vAlign w:val="bottom"/>
          </w:tcPr>
          <w:p w:rsidR="00AC12B4" w:rsidRDefault="00C27636">
            <w:pPr>
              <w:ind w:left="30"/>
              <w:rPr>
                <w:sz w:val="20"/>
                <w:szCs w:val="20"/>
              </w:rPr>
            </w:pPr>
            <w:r>
              <w:rPr>
                <w:rFonts w:ascii="Calibri" w:eastAsia="Calibri" w:hAnsi="Calibri" w:cs="Calibri"/>
              </w:rPr>
              <w:t>Admin.</w:t>
            </w:r>
          </w:p>
        </w:tc>
        <w:tc>
          <w:tcPr>
            <w:tcW w:w="1940" w:type="dxa"/>
            <w:vAlign w:val="bottom"/>
          </w:tcPr>
          <w:p w:rsidR="00AC12B4" w:rsidRDefault="00AC12B4">
            <w:pPr>
              <w:rPr>
                <w:sz w:val="24"/>
                <w:szCs w:val="24"/>
              </w:rPr>
            </w:pPr>
          </w:p>
        </w:tc>
      </w:tr>
      <w:tr w:rsidR="00AC12B4">
        <w:trPr>
          <w:trHeight w:val="128"/>
        </w:trPr>
        <w:tc>
          <w:tcPr>
            <w:tcW w:w="4150" w:type="dxa"/>
            <w:vAlign w:val="bottom"/>
          </w:tcPr>
          <w:p w:rsidR="00AC12B4" w:rsidRDefault="00AC12B4">
            <w:pPr>
              <w:rPr>
                <w:sz w:val="11"/>
                <w:szCs w:val="11"/>
              </w:rPr>
            </w:pPr>
          </w:p>
        </w:tc>
        <w:tc>
          <w:tcPr>
            <w:tcW w:w="3270" w:type="dxa"/>
            <w:vAlign w:val="bottom"/>
          </w:tcPr>
          <w:p w:rsidR="00AC12B4" w:rsidRDefault="00AC12B4">
            <w:pPr>
              <w:rPr>
                <w:sz w:val="11"/>
                <w:szCs w:val="11"/>
              </w:rPr>
            </w:pPr>
          </w:p>
        </w:tc>
        <w:tc>
          <w:tcPr>
            <w:tcW w:w="1940" w:type="dxa"/>
            <w:vAlign w:val="bottom"/>
          </w:tcPr>
          <w:p w:rsidR="00AC12B4" w:rsidRDefault="00AC12B4">
            <w:pPr>
              <w:rPr>
                <w:sz w:val="11"/>
                <w:szCs w:val="11"/>
              </w:rPr>
            </w:pPr>
          </w:p>
        </w:tc>
      </w:tr>
      <w:tr w:rsidR="00AC12B4" w:rsidRPr="00C27636">
        <w:trPr>
          <w:trHeight w:val="260"/>
        </w:trPr>
        <w:tc>
          <w:tcPr>
            <w:tcW w:w="4150" w:type="dxa"/>
            <w:shd w:val="clear" w:color="auto" w:fill="ACD8F9"/>
            <w:vAlign w:val="bottom"/>
          </w:tcPr>
          <w:p w:rsidR="00AC12B4" w:rsidRPr="00C27636" w:rsidRDefault="00C27636">
            <w:pPr>
              <w:spacing w:line="260" w:lineRule="exact"/>
              <w:ind w:left="60"/>
              <w:rPr>
                <w:sz w:val="20"/>
                <w:szCs w:val="20"/>
                <w:lang w:val="fr-BE"/>
              </w:rPr>
            </w:pPr>
            <w:r w:rsidRPr="00C27636">
              <w:rPr>
                <w:rFonts w:ascii="Calibri" w:eastAsia="Calibri" w:hAnsi="Calibri" w:cs="Calibri"/>
                <w:lang w:val="fr-BE"/>
              </w:rPr>
              <w:t>Les droits des mineurs en contact avec la</w:t>
            </w:r>
          </w:p>
        </w:tc>
        <w:tc>
          <w:tcPr>
            <w:tcW w:w="3270" w:type="dxa"/>
            <w:shd w:val="clear" w:color="auto" w:fill="ACD8F9"/>
            <w:vAlign w:val="bottom"/>
          </w:tcPr>
          <w:p w:rsidR="00AC12B4" w:rsidRPr="00C27636" w:rsidRDefault="00AC12B4">
            <w:pPr>
              <w:rPr>
                <w:lang w:val="fr-BE"/>
              </w:rPr>
            </w:pPr>
          </w:p>
        </w:tc>
        <w:tc>
          <w:tcPr>
            <w:tcW w:w="1940" w:type="dxa"/>
            <w:shd w:val="clear" w:color="auto" w:fill="ACD8F9"/>
            <w:vAlign w:val="bottom"/>
          </w:tcPr>
          <w:p w:rsidR="00AC12B4" w:rsidRPr="00C27636" w:rsidRDefault="00AC12B4">
            <w:pPr>
              <w:rPr>
                <w:lang w:val="fr-BE"/>
              </w:rPr>
            </w:pPr>
          </w:p>
        </w:tc>
      </w:tr>
      <w:tr w:rsidR="00AC12B4">
        <w:trPr>
          <w:trHeight w:val="305"/>
        </w:trPr>
        <w:tc>
          <w:tcPr>
            <w:tcW w:w="4150" w:type="dxa"/>
            <w:shd w:val="clear" w:color="auto" w:fill="ACD8F9"/>
            <w:vAlign w:val="bottom"/>
          </w:tcPr>
          <w:p w:rsidR="00AC12B4" w:rsidRDefault="00C27636">
            <w:pPr>
              <w:spacing w:line="304" w:lineRule="exact"/>
              <w:ind w:left="60"/>
              <w:rPr>
                <w:sz w:val="20"/>
                <w:szCs w:val="20"/>
              </w:rPr>
            </w:pPr>
            <w:r>
              <w:rPr>
                <w:rFonts w:ascii="Calibri" w:eastAsia="Calibri" w:hAnsi="Calibri" w:cs="Calibri"/>
              </w:rPr>
              <w:t>Justice</w:t>
            </w:r>
            <w:r>
              <w:rPr>
                <w:rFonts w:ascii="Calibri" w:eastAsia="Calibri" w:hAnsi="Calibri" w:cs="Calibri"/>
                <w:sz w:val="27"/>
                <w:szCs w:val="27"/>
                <w:vertAlign w:val="superscript"/>
              </w:rPr>
              <w:t>1</w:t>
            </w:r>
          </w:p>
        </w:tc>
        <w:tc>
          <w:tcPr>
            <w:tcW w:w="3270" w:type="dxa"/>
            <w:shd w:val="clear" w:color="auto" w:fill="ACD8F9"/>
            <w:vAlign w:val="bottom"/>
          </w:tcPr>
          <w:p w:rsidR="00AC12B4" w:rsidRDefault="00AC12B4">
            <w:pPr>
              <w:rPr>
                <w:sz w:val="24"/>
                <w:szCs w:val="24"/>
              </w:rPr>
            </w:pPr>
          </w:p>
        </w:tc>
        <w:tc>
          <w:tcPr>
            <w:tcW w:w="1940" w:type="dxa"/>
            <w:shd w:val="clear" w:color="auto" w:fill="ACD8F9"/>
            <w:vAlign w:val="bottom"/>
          </w:tcPr>
          <w:p w:rsidR="00AC12B4" w:rsidRDefault="00AC12B4">
            <w:pPr>
              <w:rPr>
                <w:sz w:val="24"/>
                <w:szCs w:val="24"/>
              </w:rPr>
            </w:pPr>
          </w:p>
        </w:tc>
      </w:tr>
      <w:tr w:rsidR="00AC12B4">
        <w:trPr>
          <w:trHeight w:val="93"/>
        </w:trPr>
        <w:tc>
          <w:tcPr>
            <w:tcW w:w="4150" w:type="dxa"/>
            <w:shd w:val="clear" w:color="auto" w:fill="ACD8F9"/>
            <w:vAlign w:val="bottom"/>
          </w:tcPr>
          <w:p w:rsidR="00AC12B4" w:rsidRDefault="00AC12B4">
            <w:pPr>
              <w:rPr>
                <w:sz w:val="8"/>
                <w:szCs w:val="8"/>
              </w:rPr>
            </w:pPr>
          </w:p>
        </w:tc>
        <w:tc>
          <w:tcPr>
            <w:tcW w:w="3270" w:type="dxa"/>
            <w:shd w:val="clear" w:color="auto" w:fill="ACD8F9"/>
            <w:vAlign w:val="bottom"/>
          </w:tcPr>
          <w:p w:rsidR="00AC12B4" w:rsidRDefault="00AC12B4">
            <w:pPr>
              <w:rPr>
                <w:sz w:val="8"/>
                <w:szCs w:val="8"/>
              </w:rPr>
            </w:pPr>
          </w:p>
        </w:tc>
        <w:tc>
          <w:tcPr>
            <w:tcW w:w="1940" w:type="dxa"/>
            <w:shd w:val="clear" w:color="auto" w:fill="ACD8F9"/>
            <w:vAlign w:val="bottom"/>
          </w:tcPr>
          <w:p w:rsidR="00AC12B4" w:rsidRDefault="00AC12B4">
            <w:pPr>
              <w:rPr>
                <w:sz w:val="8"/>
                <w:szCs w:val="8"/>
              </w:rPr>
            </w:pPr>
          </w:p>
        </w:tc>
      </w:tr>
      <w:tr w:rsidR="00AC12B4">
        <w:trPr>
          <w:trHeight w:val="260"/>
        </w:trPr>
        <w:tc>
          <w:tcPr>
            <w:tcW w:w="4150" w:type="dxa"/>
            <w:vAlign w:val="bottom"/>
          </w:tcPr>
          <w:p w:rsidR="00AC12B4" w:rsidRPr="00C27636" w:rsidRDefault="00C27636">
            <w:pPr>
              <w:spacing w:line="260" w:lineRule="exact"/>
              <w:ind w:left="60"/>
              <w:rPr>
                <w:sz w:val="20"/>
                <w:szCs w:val="20"/>
                <w:lang w:val="fr-BE"/>
              </w:rPr>
            </w:pPr>
            <w:r w:rsidRPr="00C27636">
              <w:rPr>
                <w:rFonts w:ascii="Calibri" w:eastAsia="Calibri" w:hAnsi="Calibri" w:cs="Calibri"/>
                <w:lang w:val="fr-BE"/>
              </w:rPr>
              <w:t xml:space="preserve">MJ1 </w:t>
            </w:r>
            <w:r w:rsidRPr="00C27636">
              <w:rPr>
                <w:rFonts w:ascii="Calibri" w:eastAsia="Calibri" w:hAnsi="Calibri" w:cs="Calibri"/>
                <w:lang w:val="fr-BE"/>
              </w:rPr>
              <w:t>Image que le jeune a de la justice</w:t>
            </w:r>
          </w:p>
        </w:tc>
        <w:tc>
          <w:tcPr>
            <w:tcW w:w="3270" w:type="dxa"/>
            <w:vAlign w:val="bottom"/>
          </w:tcPr>
          <w:p w:rsidR="00AC12B4" w:rsidRDefault="00C27636">
            <w:pPr>
              <w:spacing w:line="260" w:lineRule="exact"/>
              <w:ind w:left="30"/>
              <w:rPr>
                <w:sz w:val="20"/>
                <w:szCs w:val="20"/>
              </w:rPr>
            </w:pPr>
            <w:r>
              <w:rPr>
                <w:rFonts w:ascii="Calibri" w:eastAsia="Calibri" w:hAnsi="Calibri" w:cs="Calibri"/>
              </w:rPr>
              <w:t>Baromètre de la justice</w:t>
            </w:r>
          </w:p>
        </w:tc>
        <w:tc>
          <w:tcPr>
            <w:tcW w:w="1940" w:type="dxa"/>
            <w:vAlign w:val="bottom"/>
          </w:tcPr>
          <w:p w:rsidR="00AC12B4" w:rsidRDefault="00AC12B4"/>
        </w:tc>
      </w:tr>
      <w:tr w:rsidR="00AC12B4">
        <w:trPr>
          <w:trHeight w:val="269"/>
        </w:trPr>
        <w:tc>
          <w:tcPr>
            <w:tcW w:w="4150" w:type="dxa"/>
            <w:vAlign w:val="bottom"/>
          </w:tcPr>
          <w:p w:rsidR="00AC12B4" w:rsidRDefault="00C27636">
            <w:pPr>
              <w:ind w:left="60"/>
              <w:rPr>
                <w:sz w:val="20"/>
                <w:szCs w:val="20"/>
              </w:rPr>
            </w:pPr>
            <w:r>
              <w:rPr>
                <w:rFonts w:ascii="Calibri" w:eastAsia="Calibri" w:hAnsi="Calibri" w:cs="Calibri"/>
              </w:rPr>
              <w:t>juvénile</w:t>
            </w:r>
          </w:p>
        </w:tc>
        <w:tc>
          <w:tcPr>
            <w:tcW w:w="3270" w:type="dxa"/>
            <w:vAlign w:val="bottom"/>
          </w:tcPr>
          <w:p w:rsidR="00AC12B4" w:rsidRDefault="00AC12B4">
            <w:pPr>
              <w:rPr>
                <w:sz w:val="23"/>
                <w:szCs w:val="23"/>
              </w:rPr>
            </w:pPr>
          </w:p>
        </w:tc>
        <w:tc>
          <w:tcPr>
            <w:tcW w:w="1940" w:type="dxa"/>
            <w:vAlign w:val="bottom"/>
          </w:tcPr>
          <w:p w:rsidR="00AC12B4" w:rsidRDefault="00AC12B4">
            <w:pPr>
              <w:rPr>
                <w:sz w:val="23"/>
                <w:szCs w:val="23"/>
              </w:rPr>
            </w:pPr>
          </w:p>
        </w:tc>
      </w:tr>
      <w:tr w:rsidR="00AC12B4">
        <w:trPr>
          <w:trHeight w:val="389"/>
        </w:trPr>
        <w:tc>
          <w:tcPr>
            <w:tcW w:w="4150" w:type="dxa"/>
            <w:vAlign w:val="bottom"/>
          </w:tcPr>
          <w:p w:rsidR="00AC12B4" w:rsidRDefault="00C27636">
            <w:pPr>
              <w:ind w:left="60"/>
              <w:rPr>
                <w:sz w:val="20"/>
                <w:szCs w:val="20"/>
              </w:rPr>
            </w:pPr>
            <w:r>
              <w:rPr>
                <w:rFonts w:ascii="Calibri" w:eastAsia="Calibri" w:hAnsi="Calibri" w:cs="Calibri"/>
              </w:rPr>
              <w:t>MJ2 Hiérarchie des mesures</w:t>
            </w:r>
          </w:p>
        </w:tc>
        <w:tc>
          <w:tcPr>
            <w:tcW w:w="3270" w:type="dxa"/>
            <w:vAlign w:val="bottom"/>
          </w:tcPr>
          <w:p w:rsidR="00AC12B4" w:rsidRDefault="00C27636">
            <w:pPr>
              <w:ind w:left="30"/>
              <w:rPr>
                <w:sz w:val="20"/>
                <w:szCs w:val="20"/>
              </w:rPr>
            </w:pPr>
            <w:r>
              <w:rPr>
                <w:rFonts w:ascii="Calibri" w:eastAsia="Calibri" w:hAnsi="Calibri" w:cs="Calibri"/>
              </w:rPr>
              <w:t>Admin.</w:t>
            </w:r>
          </w:p>
        </w:tc>
        <w:tc>
          <w:tcPr>
            <w:tcW w:w="1940" w:type="dxa"/>
            <w:vAlign w:val="bottom"/>
          </w:tcPr>
          <w:p w:rsidR="00AC12B4" w:rsidRDefault="00AC12B4">
            <w:pPr>
              <w:rPr>
                <w:sz w:val="24"/>
                <w:szCs w:val="24"/>
              </w:rPr>
            </w:pPr>
          </w:p>
        </w:tc>
      </w:tr>
      <w:tr w:rsidR="00AC12B4">
        <w:trPr>
          <w:trHeight w:val="389"/>
        </w:trPr>
        <w:tc>
          <w:tcPr>
            <w:tcW w:w="4150" w:type="dxa"/>
            <w:vAlign w:val="bottom"/>
          </w:tcPr>
          <w:p w:rsidR="00AC12B4" w:rsidRDefault="00C27636">
            <w:pPr>
              <w:ind w:left="60"/>
              <w:rPr>
                <w:sz w:val="20"/>
                <w:szCs w:val="20"/>
              </w:rPr>
            </w:pPr>
            <w:r>
              <w:rPr>
                <w:rFonts w:ascii="Calibri" w:eastAsia="Calibri" w:hAnsi="Calibri" w:cs="Calibri"/>
              </w:rPr>
              <w:t>MJ3 Formation des professionnels</w:t>
            </w:r>
          </w:p>
        </w:tc>
        <w:tc>
          <w:tcPr>
            <w:tcW w:w="3270" w:type="dxa"/>
            <w:vAlign w:val="bottom"/>
          </w:tcPr>
          <w:p w:rsidR="00AC12B4" w:rsidRDefault="00C27636">
            <w:pPr>
              <w:ind w:left="30"/>
              <w:rPr>
                <w:sz w:val="20"/>
                <w:szCs w:val="20"/>
              </w:rPr>
            </w:pPr>
            <w:r>
              <w:rPr>
                <w:rFonts w:ascii="Calibri" w:eastAsia="Calibri" w:hAnsi="Calibri" w:cs="Calibri"/>
              </w:rPr>
              <w:t>Admin.</w:t>
            </w:r>
          </w:p>
        </w:tc>
        <w:tc>
          <w:tcPr>
            <w:tcW w:w="1940" w:type="dxa"/>
            <w:vAlign w:val="bottom"/>
          </w:tcPr>
          <w:p w:rsidR="00AC12B4" w:rsidRDefault="00AC12B4">
            <w:pPr>
              <w:rPr>
                <w:sz w:val="24"/>
                <w:szCs w:val="24"/>
              </w:rPr>
            </w:pPr>
          </w:p>
        </w:tc>
      </w:tr>
      <w:tr w:rsidR="00AC12B4">
        <w:trPr>
          <w:trHeight w:val="389"/>
        </w:trPr>
        <w:tc>
          <w:tcPr>
            <w:tcW w:w="4150" w:type="dxa"/>
            <w:vAlign w:val="bottom"/>
          </w:tcPr>
          <w:p w:rsidR="00AC12B4" w:rsidRPr="00C27636" w:rsidRDefault="00C27636">
            <w:pPr>
              <w:ind w:left="60"/>
              <w:rPr>
                <w:sz w:val="20"/>
                <w:szCs w:val="20"/>
                <w:lang w:val="fr-BE"/>
              </w:rPr>
            </w:pPr>
            <w:r w:rsidRPr="00C27636">
              <w:rPr>
                <w:rFonts w:ascii="Calibri" w:eastAsia="Calibri" w:hAnsi="Calibri" w:cs="Calibri"/>
                <w:lang w:val="fr-BE"/>
              </w:rPr>
              <w:lastRenderedPageBreak/>
              <w:t>MJ4 Participation dans des procédures</w:t>
            </w:r>
          </w:p>
        </w:tc>
        <w:tc>
          <w:tcPr>
            <w:tcW w:w="3270" w:type="dxa"/>
            <w:vAlign w:val="bottom"/>
          </w:tcPr>
          <w:p w:rsidR="00AC12B4" w:rsidRDefault="00C27636">
            <w:pPr>
              <w:ind w:left="30"/>
              <w:rPr>
                <w:sz w:val="20"/>
                <w:szCs w:val="20"/>
              </w:rPr>
            </w:pPr>
            <w:r>
              <w:rPr>
                <w:rFonts w:ascii="Calibri" w:eastAsia="Calibri" w:hAnsi="Calibri" w:cs="Calibri"/>
              </w:rPr>
              <w:t>N/A</w:t>
            </w:r>
          </w:p>
        </w:tc>
        <w:tc>
          <w:tcPr>
            <w:tcW w:w="1940" w:type="dxa"/>
            <w:vAlign w:val="bottom"/>
          </w:tcPr>
          <w:p w:rsidR="00AC12B4" w:rsidRDefault="00C27636">
            <w:pPr>
              <w:ind w:left="40"/>
              <w:rPr>
                <w:sz w:val="20"/>
                <w:szCs w:val="20"/>
              </w:rPr>
            </w:pPr>
            <w:r>
              <w:rPr>
                <w:rFonts w:ascii="Calibri" w:eastAsia="Calibri" w:hAnsi="Calibri" w:cs="Calibri"/>
              </w:rPr>
              <w:t>N/A</w:t>
            </w:r>
          </w:p>
        </w:tc>
      </w:tr>
      <w:tr w:rsidR="00AC12B4">
        <w:trPr>
          <w:trHeight w:val="269"/>
        </w:trPr>
        <w:tc>
          <w:tcPr>
            <w:tcW w:w="4150" w:type="dxa"/>
            <w:vAlign w:val="bottom"/>
          </w:tcPr>
          <w:p w:rsidR="00AC12B4" w:rsidRDefault="00C27636">
            <w:pPr>
              <w:ind w:left="60"/>
              <w:rPr>
                <w:sz w:val="20"/>
                <w:szCs w:val="20"/>
              </w:rPr>
            </w:pPr>
            <w:r>
              <w:rPr>
                <w:rFonts w:ascii="Calibri" w:eastAsia="Calibri" w:hAnsi="Calibri" w:cs="Calibri"/>
              </w:rPr>
              <w:t>judiciaires</w:t>
            </w:r>
          </w:p>
        </w:tc>
        <w:tc>
          <w:tcPr>
            <w:tcW w:w="3270" w:type="dxa"/>
            <w:vAlign w:val="bottom"/>
          </w:tcPr>
          <w:p w:rsidR="00AC12B4" w:rsidRDefault="00AC12B4">
            <w:pPr>
              <w:rPr>
                <w:sz w:val="23"/>
                <w:szCs w:val="23"/>
              </w:rPr>
            </w:pPr>
          </w:p>
        </w:tc>
        <w:tc>
          <w:tcPr>
            <w:tcW w:w="1940" w:type="dxa"/>
            <w:vAlign w:val="bottom"/>
          </w:tcPr>
          <w:p w:rsidR="00AC12B4" w:rsidRDefault="00AC12B4">
            <w:pPr>
              <w:rPr>
                <w:sz w:val="23"/>
                <w:szCs w:val="23"/>
              </w:rPr>
            </w:pPr>
          </w:p>
        </w:tc>
      </w:tr>
      <w:tr w:rsidR="00AC12B4">
        <w:trPr>
          <w:trHeight w:val="386"/>
        </w:trPr>
        <w:tc>
          <w:tcPr>
            <w:tcW w:w="4150" w:type="dxa"/>
            <w:vAlign w:val="bottom"/>
          </w:tcPr>
          <w:p w:rsidR="00AC12B4" w:rsidRPr="00C27636" w:rsidRDefault="00C27636">
            <w:pPr>
              <w:ind w:left="60"/>
              <w:rPr>
                <w:sz w:val="20"/>
                <w:szCs w:val="20"/>
                <w:lang w:val="fr-BE"/>
              </w:rPr>
            </w:pPr>
            <w:r w:rsidRPr="00C27636">
              <w:rPr>
                <w:rFonts w:ascii="Calibri" w:eastAsia="Calibri" w:hAnsi="Calibri" w:cs="Calibri"/>
                <w:lang w:val="fr-BE"/>
              </w:rPr>
              <w:t>MJ5 Participation dans le cadre d’un</w:t>
            </w:r>
          </w:p>
        </w:tc>
        <w:tc>
          <w:tcPr>
            <w:tcW w:w="3270" w:type="dxa"/>
            <w:vAlign w:val="bottom"/>
          </w:tcPr>
          <w:p w:rsidR="00AC12B4" w:rsidRDefault="00C27636">
            <w:pPr>
              <w:ind w:left="30"/>
              <w:rPr>
                <w:sz w:val="20"/>
                <w:szCs w:val="20"/>
              </w:rPr>
            </w:pPr>
            <w:r>
              <w:rPr>
                <w:rFonts w:ascii="Calibri" w:eastAsia="Calibri" w:hAnsi="Calibri" w:cs="Calibri"/>
              </w:rPr>
              <w:t>N/A</w:t>
            </w:r>
          </w:p>
        </w:tc>
        <w:tc>
          <w:tcPr>
            <w:tcW w:w="1940" w:type="dxa"/>
            <w:vAlign w:val="bottom"/>
          </w:tcPr>
          <w:p w:rsidR="00AC12B4" w:rsidRDefault="00C27636">
            <w:pPr>
              <w:ind w:left="40"/>
              <w:rPr>
                <w:sz w:val="20"/>
                <w:szCs w:val="20"/>
              </w:rPr>
            </w:pPr>
            <w:r>
              <w:rPr>
                <w:rFonts w:ascii="Calibri" w:eastAsia="Calibri" w:hAnsi="Calibri" w:cs="Calibri"/>
              </w:rPr>
              <w:t>N/A</w:t>
            </w:r>
          </w:p>
        </w:tc>
      </w:tr>
      <w:tr w:rsidR="00AC12B4" w:rsidRPr="00C27636">
        <w:trPr>
          <w:trHeight w:val="269"/>
        </w:trPr>
        <w:tc>
          <w:tcPr>
            <w:tcW w:w="4150" w:type="dxa"/>
            <w:vAlign w:val="bottom"/>
          </w:tcPr>
          <w:p w:rsidR="00AC12B4" w:rsidRPr="00C27636" w:rsidRDefault="00C27636">
            <w:pPr>
              <w:ind w:left="60"/>
              <w:rPr>
                <w:sz w:val="20"/>
                <w:szCs w:val="20"/>
                <w:lang w:val="fr-BE"/>
              </w:rPr>
            </w:pPr>
            <w:r w:rsidRPr="00C27636">
              <w:rPr>
                <w:rFonts w:ascii="Calibri" w:eastAsia="Calibri" w:hAnsi="Calibri" w:cs="Calibri"/>
                <w:lang w:val="fr-BE"/>
              </w:rPr>
              <w:t>placement en régime ouvert ou fermé</w:t>
            </w:r>
          </w:p>
        </w:tc>
        <w:tc>
          <w:tcPr>
            <w:tcW w:w="3270" w:type="dxa"/>
            <w:vAlign w:val="bottom"/>
          </w:tcPr>
          <w:p w:rsidR="00AC12B4" w:rsidRPr="00C27636" w:rsidRDefault="00AC12B4">
            <w:pPr>
              <w:rPr>
                <w:sz w:val="23"/>
                <w:szCs w:val="23"/>
                <w:lang w:val="fr-BE"/>
              </w:rPr>
            </w:pPr>
          </w:p>
        </w:tc>
        <w:tc>
          <w:tcPr>
            <w:tcW w:w="1940" w:type="dxa"/>
            <w:vAlign w:val="bottom"/>
          </w:tcPr>
          <w:p w:rsidR="00AC12B4" w:rsidRPr="00C27636" w:rsidRDefault="00AC12B4">
            <w:pPr>
              <w:rPr>
                <w:sz w:val="23"/>
                <w:szCs w:val="23"/>
                <w:lang w:val="fr-BE"/>
              </w:rPr>
            </w:pPr>
          </w:p>
        </w:tc>
      </w:tr>
      <w:tr w:rsidR="00AC12B4">
        <w:trPr>
          <w:trHeight w:val="389"/>
        </w:trPr>
        <w:tc>
          <w:tcPr>
            <w:tcW w:w="4150" w:type="dxa"/>
            <w:vAlign w:val="bottom"/>
          </w:tcPr>
          <w:p w:rsidR="00AC12B4" w:rsidRPr="00C27636" w:rsidRDefault="00C27636">
            <w:pPr>
              <w:ind w:left="60"/>
              <w:rPr>
                <w:sz w:val="20"/>
                <w:szCs w:val="20"/>
                <w:lang w:val="fr-BE"/>
              </w:rPr>
            </w:pPr>
            <w:r w:rsidRPr="00C27636">
              <w:rPr>
                <w:rFonts w:ascii="Calibri" w:eastAsia="Calibri" w:hAnsi="Calibri" w:cs="Calibri"/>
                <w:lang w:val="fr-BE"/>
              </w:rPr>
              <w:t>MJ6 Placement de longue durée</w:t>
            </w:r>
          </w:p>
        </w:tc>
        <w:tc>
          <w:tcPr>
            <w:tcW w:w="3270" w:type="dxa"/>
            <w:vAlign w:val="bottom"/>
          </w:tcPr>
          <w:p w:rsidR="00AC12B4" w:rsidRDefault="00C27636">
            <w:pPr>
              <w:ind w:left="30"/>
              <w:rPr>
                <w:sz w:val="20"/>
                <w:szCs w:val="20"/>
              </w:rPr>
            </w:pPr>
            <w:r>
              <w:rPr>
                <w:rFonts w:ascii="Calibri" w:eastAsia="Calibri" w:hAnsi="Calibri" w:cs="Calibri"/>
              </w:rPr>
              <w:t>Admin.</w:t>
            </w:r>
          </w:p>
        </w:tc>
        <w:tc>
          <w:tcPr>
            <w:tcW w:w="1940" w:type="dxa"/>
            <w:vAlign w:val="bottom"/>
          </w:tcPr>
          <w:p w:rsidR="00AC12B4" w:rsidRDefault="00C27636">
            <w:pPr>
              <w:ind w:left="40"/>
              <w:rPr>
                <w:sz w:val="20"/>
                <w:szCs w:val="20"/>
              </w:rPr>
            </w:pPr>
            <w:r>
              <w:rPr>
                <w:rFonts w:ascii="Calibri" w:eastAsia="Calibri" w:hAnsi="Calibri" w:cs="Calibri"/>
              </w:rPr>
              <w:t>N/A</w:t>
            </w:r>
          </w:p>
        </w:tc>
      </w:tr>
      <w:tr w:rsidR="00AC12B4">
        <w:trPr>
          <w:trHeight w:val="128"/>
        </w:trPr>
        <w:tc>
          <w:tcPr>
            <w:tcW w:w="4150" w:type="dxa"/>
            <w:vAlign w:val="bottom"/>
          </w:tcPr>
          <w:p w:rsidR="00AC12B4" w:rsidRDefault="00AC12B4">
            <w:pPr>
              <w:rPr>
                <w:sz w:val="11"/>
                <w:szCs w:val="11"/>
              </w:rPr>
            </w:pPr>
          </w:p>
        </w:tc>
        <w:tc>
          <w:tcPr>
            <w:tcW w:w="3270" w:type="dxa"/>
            <w:vAlign w:val="bottom"/>
          </w:tcPr>
          <w:p w:rsidR="00AC12B4" w:rsidRDefault="00AC12B4">
            <w:pPr>
              <w:rPr>
                <w:sz w:val="11"/>
                <w:szCs w:val="11"/>
              </w:rPr>
            </w:pPr>
          </w:p>
        </w:tc>
        <w:tc>
          <w:tcPr>
            <w:tcW w:w="1940" w:type="dxa"/>
            <w:vAlign w:val="bottom"/>
          </w:tcPr>
          <w:p w:rsidR="00AC12B4" w:rsidRDefault="00AC12B4">
            <w:pPr>
              <w:rPr>
                <w:sz w:val="11"/>
                <w:szCs w:val="11"/>
              </w:rPr>
            </w:pPr>
          </w:p>
        </w:tc>
      </w:tr>
      <w:tr w:rsidR="00AC12B4" w:rsidRPr="00C27636">
        <w:trPr>
          <w:trHeight w:val="260"/>
        </w:trPr>
        <w:tc>
          <w:tcPr>
            <w:tcW w:w="4150" w:type="dxa"/>
            <w:shd w:val="clear" w:color="auto" w:fill="ACD8F9"/>
            <w:vAlign w:val="bottom"/>
          </w:tcPr>
          <w:p w:rsidR="00AC12B4" w:rsidRPr="00C27636" w:rsidRDefault="00C27636">
            <w:pPr>
              <w:spacing w:line="260" w:lineRule="exact"/>
              <w:ind w:left="60"/>
              <w:rPr>
                <w:sz w:val="20"/>
                <w:szCs w:val="20"/>
                <w:lang w:val="fr-BE"/>
              </w:rPr>
            </w:pPr>
            <w:r w:rsidRPr="00C27636">
              <w:rPr>
                <w:rFonts w:ascii="Calibri" w:eastAsia="Calibri" w:hAnsi="Calibri" w:cs="Calibri"/>
                <w:lang w:val="fr-BE"/>
              </w:rPr>
              <w:t>Les droits des mineurs étrangers</w:t>
            </w:r>
          </w:p>
        </w:tc>
        <w:tc>
          <w:tcPr>
            <w:tcW w:w="3270" w:type="dxa"/>
            <w:shd w:val="clear" w:color="auto" w:fill="ACD8F9"/>
            <w:vAlign w:val="bottom"/>
          </w:tcPr>
          <w:p w:rsidR="00AC12B4" w:rsidRPr="00C27636" w:rsidRDefault="00AC12B4">
            <w:pPr>
              <w:rPr>
                <w:lang w:val="fr-BE"/>
              </w:rPr>
            </w:pPr>
          </w:p>
        </w:tc>
        <w:tc>
          <w:tcPr>
            <w:tcW w:w="1940" w:type="dxa"/>
            <w:shd w:val="clear" w:color="auto" w:fill="ACD8F9"/>
            <w:vAlign w:val="bottom"/>
          </w:tcPr>
          <w:p w:rsidR="00AC12B4" w:rsidRPr="00C27636" w:rsidRDefault="00AC12B4">
            <w:pPr>
              <w:rPr>
                <w:lang w:val="fr-BE"/>
              </w:rPr>
            </w:pPr>
          </w:p>
        </w:tc>
      </w:tr>
      <w:tr w:rsidR="00AC12B4" w:rsidRPr="00C27636">
        <w:trPr>
          <w:trHeight w:val="128"/>
        </w:trPr>
        <w:tc>
          <w:tcPr>
            <w:tcW w:w="4150" w:type="dxa"/>
            <w:shd w:val="clear" w:color="auto" w:fill="ACD8F9"/>
            <w:vAlign w:val="bottom"/>
          </w:tcPr>
          <w:p w:rsidR="00AC12B4" w:rsidRPr="00C27636" w:rsidRDefault="00AC12B4">
            <w:pPr>
              <w:rPr>
                <w:sz w:val="11"/>
                <w:szCs w:val="11"/>
                <w:lang w:val="fr-BE"/>
              </w:rPr>
            </w:pPr>
          </w:p>
        </w:tc>
        <w:tc>
          <w:tcPr>
            <w:tcW w:w="3270" w:type="dxa"/>
            <w:shd w:val="clear" w:color="auto" w:fill="ACD8F9"/>
            <w:vAlign w:val="bottom"/>
          </w:tcPr>
          <w:p w:rsidR="00AC12B4" w:rsidRPr="00C27636" w:rsidRDefault="00AC12B4">
            <w:pPr>
              <w:rPr>
                <w:sz w:val="11"/>
                <w:szCs w:val="11"/>
                <w:lang w:val="fr-BE"/>
              </w:rPr>
            </w:pPr>
          </w:p>
        </w:tc>
        <w:tc>
          <w:tcPr>
            <w:tcW w:w="1940" w:type="dxa"/>
            <w:shd w:val="clear" w:color="auto" w:fill="ACD8F9"/>
            <w:vAlign w:val="bottom"/>
          </w:tcPr>
          <w:p w:rsidR="00AC12B4" w:rsidRPr="00C27636" w:rsidRDefault="00AC12B4">
            <w:pPr>
              <w:rPr>
                <w:sz w:val="11"/>
                <w:szCs w:val="11"/>
                <w:lang w:val="fr-BE"/>
              </w:rPr>
            </w:pPr>
          </w:p>
        </w:tc>
      </w:tr>
      <w:tr w:rsidR="00AC12B4">
        <w:trPr>
          <w:trHeight w:val="260"/>
        </w:trPr>
        <w:tc>
          <w:tcPr>
            <w:tcW w:w="4150" w:type="dxa"/>
            <w:vAlign w:val="bottom"/>
          </w:tcPr>
          <w:p w:rsidR="00AC12B4" w:rsidRPr="00C27636" w:rsidRDefault="00C27636">
            <w:pPr>
              <w:spacing w:line="260" w:lineRule="exact"/>
              <w:ind w:left="60"/>
              <w:rPr>
                <w:sz w:val="20"/>
                <w:szCs w:val="20"/>
                <w:lang w:val="fr-BE"/>
              </w:rPr>
            </w:pPr>
            <w:r w:rsidRPr="00C27636">
              <w:rPr>
                <w:rFonts w:ascii="Calibri" w:eastAsia="Calibri" w:hAnsi="Calibri" w:cs="Calibri"/>
                <w:lang w:val="fr-BE"/>
              </w:rPr>
              <w:t>ME1 Accueil résidentiel dans un lieu adapté</w:t>
            </w:r>
          </w:p>
        </w:tc>
        <w:tc>
          <w:tcPr>
            <w:tcW w:w="3270" w:type="dxa"/>
            <w:vAlign w:val="bottom"/>
          </w:tcPr>
          <w:p w:rsidR="00AC12B4" w:rsidRDefault="00C27636">
            <w:pPr>
              <w:spacing w:line="260" w:lineRule="exact"/>
              <w:ind w:left="30"/>
              <w:rPr>
                <w:sz w:val="20"/>
                <w:szCs w:val="20"/>
              </w:rPr>
            </w:pPr>
            <w:r>
              <w:rPr>
                <w:rFonts w:ascii="Calibri" w:eastAsia="Calibri" w:hAnsi="Calibri" w:cs="Calibri"/>
              </w:rPr>
              <w:t>Admin.</w:t>
            </w:r>
          </w:p>
        </w:tc>
        <w:tc>
          <w:tcPr>
            <w:tcW w:w="1940" w:type="dxa"/>
            <w:vAlign w:val="bottom"/>
          </w:tcPr>
          <w:p w:rsidR="00AC12B4" w:rsidRDefault="00AC12B4"/>
        </w:tc>
      </w:tr>
      <w:tr w:rsidR="00AC12B4">
        <w:trPr>
          <w:trHeight w:val="269"/>
        </w:trPr>
        <w:tc>
          <w:tcPr>
            <w:tcW w:w="4150" w:type="dxa"/>
            <w:vAlign w:val="bottom"/>
          </w:tcPr>
          <w:p w:rsidR="00AC12B4" w:rsidRDefault="00C27636">
            <w:pPr>
              <w:ind w:left="60"/>
              <w:rPr>
                <w:sz w:val="20"/>
                <w:szCs w:val="20"/>
              </w:rPr>
            </w:pPr>
            <w:r>
              <w:rPr>
                <w:rFonts w:ascii="Calibri" w:eastAsia="Calibri" w:hAnsi="Calibri" w:cs="Calibri"/>
              </w:rPr>
              <w:t>aux enfants</w:t>
            </w:r>
          </w:p>
        </w:tc>
        <w:tc>
          <w:tcPr>
            <w:tcW w:w="3270" w:type="dxa"/>
            <w:vAlign w:val="bottom"/>
          </w:tcPr>
          <w:p w:rsidR="00AC12B4" w:rsidRDefault="00AC12B4">
            <w:pPr>
              <w:rPr>
                <w:sz w:val="23"/>
                <w:szCs w:val="23"/>
              </w:rPr>
            </w:pPr>
          </w:p>
        </w:tc>
        <w:tc>
          <w:tcPr>
            <w:tcW w:w="1940" w:type="dxa"/>
            <w:vAlign w:val="bottom"/>
          </w:tcPr>
          <w:p w:rsidR="00AC12B4" w:rsidRDefault="00AC12B4">
            <w:pPr>
              <w:rPr>
                <w:sz w:val="23"/>
                <w:szCs w:val="23"/>
              </w:rPr>
            </w:pPr>
          </w:p>
        </w:tc>
      </w:tr>
      <w:tr w:rsidR="00AC12B4">
        <w:trPr>
          <w:trHeight w:val="389"/>
        </w:trPr>
        <w:tc>
          <w:tcPr>
            <w:tcW w:w="4150" w:type="dxa"/>
            <w:vAlign w:val="bottom"/>
          </w:tcPr>
          <w:p w:rsidR="00AC12B4" w:rsidRPr="00C27636" w:rsidRDefault="00C27636">
            <w:pPr>
              <w:ind w:left="60"/>
              <w:rPr>
                <w:sz w:val="20"/>
                <w:szCs w:val="20"/>
                <w:lang w:val="fr-BE"/>
              </w:rPr>
            </w:pPr>
            <w:r w:rsidRPr="00C27636">
              <w:rPr>
                <w:rFonts w:ascii="Calibri" w:eastAsia="Calibri" w:hAnsi="Calibri" w:cs="Calibri"/>
                <w:lang w:val="fr-BE"/>
              </w:rPr>
              <w:t>ME2 Mineurs victimes de la traite des êtres</w:t>
            </w:r>
          </w:p>
        </w:tc>
        <w:tc>
          <w:tcPr>
            <w:tcW w:w="3270" w:type="dxa"/>
            <w:vAlign w:val="bottom"/>
          </w:tcPr>
          <w:p w:rsidR="00AC12B4" w:rsidRDefault="00C27636">
            <w:pPr>
              <w:ind w:left="30"/>
              <w:rPr>
                <w:sz w:val="20"/>
                <w:szCs w:val="20"/>
              </w:rPr>
            </w:pPr>
            <w:r>
              <w:rPr>
                <w:rFonts w:ascii="Calibri" w:eastAsia="Calibri" w:hAnsi="Calibri" w:cs="Calibri"/>
              </w:rPr>
              <w:t>Admin.</w:t>
            </w:r>
          </w:p>
        </w:tc>
        <w:tc>
          <w:tcPr>
            <w:tcW w:w="1940" w:type="dxa"/>
            <w:vAlign w:val="bottom"/>
          </w:tcPr>
          <w:p w:rsidR="00AC12B4" w:rsidRDefault="00AC12B4">
            <w:pPr>
              <w:rPr>
                <w:sz w:val="24"/>
                <w:szCs w:val="24"/>
              </w:rPr>
            </w:pPr>
          </w:p>
        </w:tc>
      </w:tr>
      <w:tr w:rsidR="00AC12B4">
        <w:trPr>
          <w:trHeight w:val="269"/>
        </w:trPr>
        <w:tc>
          <w:tcPr>
            <w:tcW w:w="4150" w:type="dxa"/>
            <w:vAlign w:val="bottom"/>
          </w:tcPr>
          <w:p w:rsidR="00AC12B4" w:rsidRDefault="00C27636">
            <w:pPr>
              <w:ind w:left="60"/>
              <w:rPr>
                <w:sz w:val="20"/>
                <w:szCs w:val="20"/>
              </w:rPr>
            </w:pPr>
            <w:r>
              <w:rPr>
                <w:rFonts w:ascii="Calibri" w:eastAsia="Calibri" w:hAnsi="Calibri" w:cs="Calibri"/>
              </w:rPr>
              <w:t>humains</w:t>
            </w:r>
          </w:p>
        </w:tc>
        <w:tc>
          <w:tcPr>
            <w:tcW w:w="3270" w:type="dxa"/>
            <w:vAlign w:val="bottom"/>
          </w:tcPr>
          <w:p w:rsidR="00AC12B4" w:rsidRDefault="00AC12B4">
            <w:pPr>
              <w:rPr>
                <w:sz w:val="23"/>
                <w:szCs w:val="23"/>
              </w:rPr>
            </w:pPr>
          </w:p>
        </w:tc>
        <w:tc>
          <w:tcPr>
            <w:tcW w:w="1940" w:type="dxa"/>
            <w:vAlign w:val="bottom"/>
          </w:tcPr>
          <w:p w:rsidR="00AC12B4" w:rsidRDefault="00AC12B4">
            <w:pPr>
              <w:rPr>
                <w:sz w:val="23"/>
                <w:szCs w:val="23"/>
              </w:rPr>
            </w:pPr>
          </w:p>
        </w:tc>
      </w:tr>
      <w:tr w:rsidR="00AC12B4">
        <w:trPr>
          <w:trHeight w:val="389"/>
        </w:trPr>
        <w:tc>
          <w:tcPr>
            <w:tcW w:w="4150" w:type="dxa"/>
            <w:vAlign w:val="bottom"/>
          </w:tcPr>
          <w:p w:rsidR="00AC12B4" w:rsidRPr="00C27636" w:rsidRDefault="00C27636">
            <w:pPr>
              <w:ind w:left="60"/>
              <w:rPr>
                <w:sz w:val="20"/>
                <w:szCs w:val="20"/>
                <w:lang w:val="fr-BE"/>
              </w:rPr>
            </w:pPr>
            <w:r w:rsidRPr="00C27636">
              <w:rPr>
                <w:rFonts w:ascii="Calibri" w:eastAsia="Calibri" w:hAnsi="Calibri" w:cs="Calibri"/>
                <w:lang w:val="fr-BE"/>
              </w:rPr>
              <w:t>ME3 Participation dans des procédures de</w:t>
            </w:r>
          </w:p>
        </w:tc>
        <w:tc>
          <w:tcPr>
            <w:tcW w:w="3270" w:type="dxa"/>
            <w:vAlign w:val="bottom"/>
          </w:tcPr>
          <w:p w:rsidR="00AC12B4" w:rsidRDefault="00C27636">
            <w:pPr>
              <w:ind w:left="30"/>
              <w:rPr>
                <w:sz w:val="20"/>
                <w:szCs w:val="20"/>
              </w:rPr>
            </w:pPr>
            <w:r>
              <w:rPr>
                <w:rFonts w:ascii="Calibri" w:eastAsia="Calibri" w:hAnsi="Calibri" w:cs="Calibri"/>
              </w:rPr>
              <w:t>N/A</w:t>
            </w:r>
          </w:p>
        </w:tc>
        <w:tc>
          <w:tcPr>
            <w:tcW w:w="1940" w:type="dxa"/>
            <w:vAlign w:val="bottom"/>
          </w:tcPr>
          <w:p w:rsidR="00AC12B4" w:rsidRDefault="00C27636">
            <w:pPr>
              <w:ind w:left="40"/>
              <w:rPr>
                <w:sz w:val="20"/>
                <w:szCs w:val="20"/>
              </w:rPr>
            </w:pPr>
            <w:r>
              <w:rPr>
                <w:rFonts w:ascii="Calibri" w:eastAsia="Calibri" w:hAnsi="Calibri" w:cs="Calibri"/>
              </w:rPr>
              <w:t>N/A</w:t>
            </w:r>
          </w:p>
        </w:tc>
      </w:tr>
      <w:tr w:rsidR="00AC12B4">
        <w:trPr>
          <w:trHeight w:val="266"/>
        </w:trPr>
        <w:tc>
          <w:tcPr>
            <w:tcW w:w="4150" w:type="dxa"/>
            <w:vAlign w:val="bottom"/>
          </w:tcPr>
          <w:p w:rsidR="00AC12B4" w:rsidRDefault="00C27636">
            <w:pPr>
              <w:spacing w:line="267" w:lineRule="exact"/>
              <w:ind w:left="60"/>
              <w:rPr>
                <w:sz w:val="20"/>
                <w:szCs w:val="20"/>
              </w:rPr>
            </w:pPr>
            <w:r>
              <w:rPr>
                <w:rFonts w:ascii="Calibri" w:eastAsia="Calibri" w:hAnsi="Calibri" w:cs="Calibri"/>
              </w:rPr>
              <w:t>séjour</w:t>
            </w:r>
          </w:p>
        </w:tc>
        <w:tc>
          <w:tcPr>
            <w:tcW w:w="3270" w:type="dxa"/>
            <w:vAlign w:val="bottom"/>
          </w:tcPr>
          <w:p w:rsidR="00AC12B4" w:rsidRDefault="00AC12B4">
            <w:pPr>
              <w:rPr>
                <w:sz w:val="23"/>
                <w:szCs w:val="23"/>
              </w:rPr>
            </w:pPr>
          </w:p>
        </w:tc>
        <w:tc>
          <w:tcPr>
            <w:tcW w:w="1940" w:type="dxa"/>
            <w:vAlign w:val="bottom"/>
          </w:tcPr>
          <w:p w:rsidR="00AC12B4" w:rsidRDefault="00AC12B4">
            <w:pPr>
              <w:rPr>
                <w:sz w:val="23"/>
                <w:szCs w:val="23"/>
              </w:rPr>
            </w:pPr>
          </w:p>
        </w:tc>
      </w:tr>
      <w:tr w:rsidR="00AC12B4">
        <w:trPr>
          <w:trHeight w:val="389"/>
        </w:trPr>
        <w:tc>
          <w:tcPr>
            <w:tcW w:w="4150" w:type="dxa"/>
            <w:vAlign w:val="bottom"/>
          </w:tcPr>
          <w:p w:rsidR="00AC12B4" w:rsidRDefault="00C27636">
            <w:pPr>
              <w:ind w:left="60"/>
              <w:rPr>
                <w:sz w:val="20"/>
                <w:szCs w:val="20"/>
              </w:rPr>
            </w:pPr>
            <w:r>
              <w:rPr>
                <w:rFonts w:ascii="Calibri" w:eastAsia="Calibri" w:hAnsi="Calibri" w:cs="Calibri"/>
              </w:rPr>
              <w:t>ME4 Solution durable</w:t>
            </w:r>
          </w:p>
        </w:tc>
        <w:tc>
          <w:tcPr>
            <w:tcW w:w="3270" w:type="dxa"/>
            <w:vAlign w:val="bottom"/>
          </w:tcPr>
          <w:p w:rsidR="00AC12B4" w:rsidRDefault="00C27636">
            <w:pPr>
              <w:ind w:left="30"/>
              <w:rPr>
                <w:sz w:val="20"/>
                <w:szCs w:val="20"/>
              </w:rPr>
            </w:pPr>
            <w:r>
              <w:rPr>
                <w:rFonts w:ascii="Calibri" w:eastAsia="Calibri" w:hAnsi="Calibri" w:cs="Calibri"/>
              </w:rPr>
              <w:t>Admin.</w:t>
            </w:r>
          </w:p>
        </w:tc>
        <w:tc>
          <w:tcPr>
            <w:tcW w:w="194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376128" behindDoc="1" locked="0" layoutInCell="0" allowOverlap="1">
                <wp:simplePos x="0" y="0"/>
                <wp:positionH relativeFrom="column">
                  <wp:posOffset>359410</wp:posOffset>
                </wp:positionH>
                <wp:positionV relativeFrom="paragraph">
                  <wp:posOffset>2623820</wp:posOffset>
                </wp:positionV>
                <wp:extent cx="1829435" cy="0"/>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206.6pt" to="172.35pt,206.6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83" w:lineRule="exact"/>
        <w:rPr>
          <w:sz w:val="20"/>
          <w:szCs w:val="20"/>
        </w:rPr>
      </w:pPr>
    </w:p>
    <w:p w:rsidR="00AC12B4" w:rsidRPr="00C27636" w:rsidRDefault="00C27636">
      <w:pPr>
        <w:numPr>
          <w:ilvl w:val="0"/>
          <w:numId w:val="20"/>
        </w:numPr>
        <w:tabs>
          <w:tab w:val="left" w:pos="690"/>
        </w:tabs>
        <w:spacing w:line="204" w:lineRule="auto"/>
        <w:ind w:left="560" w:right="900" w:firstLine="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Il s’agit aussi bien de mineurs en danger et mineurs ayant commis un fait qualifié infraction que de mineurs concernés moins </w:t>
      </w:r>
      <w:r w:rsidRPr="00C27636">
        <w:rPr>
          <w:rFonts w:ascii="Calibri" w:eastAsia="Calibri" w:hAnsi="Calibri" w:cs="Calibri"/>
          <w:sz w:val="20"/>
          <w:szCs w:val="20"/>
          <w:lang w:val="fr-BE"/>
        </w:rPr>
        <w:t>directement par une affaire judicaire (adoption, tutelle, divorce). Seuls trois des six indicateurs concernent également ce dernier groupe.</w:t>
      </w:r>
    </w:p>
    <w:p w:rsidR="00AC12B4" w:rsidRPr="00C27636" w:rsidRDefault="00AC12B4">
      <w:pPr>
        <w:spacing w:line="244" w:lineRule="exact"/>
        <w:rPr>
          <w:sz w:val="20"/>
          <w:szCs w:val="20"/>
          <w:lang w:val="fr-BE"/>
        </w:rPr>
      </w:pPr>
    </w:p>
    <w:p w:rsidR="00AC12B4" w:rsidRPr="00C27636" w:rsidRDefault="00C27636">
      <w:pPr>
        <w:ind w:right="320"/>
        <w:jc w:val="center"/>
        <w:rPr>
          <w:sz w:val="20"/>
          <w:szCs w:val="20"/>
          <w:lang w:val="fr-BE"/>
        </w:rPr>
      </w:pPr>
      <w:r w:rsidRPr="00C27636">
        <w:rPr>
          <w:rFonts w:ascii="Calibri" w:eastAsia="Calibri" w:hAnsi="Calibri" w:cs="Calibri"/>
          <w:lang w:val="fr-BE"/>
        </w:rPr>
        <w:t>29</w:t>
      </w:r>
    </w:p>
    <w:p w:rsidR="00AC12B4" w:rsidRPr="00C27636" w:rsidRDefault="00AC12B4">
      <w:pPr>
        <w:rPr>
          <w:lang w:val="fr-BE"/>
        </w:rPr>
        <w:sectPr w:rsidR="00AC12B4" w:rsidRPr="00C27636">
          <w:pgSz w:w="12080" w:h="17179"/>
          <w:pgMar w:top="1440" w:right="717" w:bottom="659" w:left="1440" w:header="0" w:footer="0" w:gutter="0"/>
          <w:cols w:space="720" w:equalWidth="0">
            <w:col w:w="9920"/>
          </w:cols>
        </w:sectPr>
      </w:pPr>
    </w:p>
    <w:p w:rsidR="00AC12B4" w:rsidRPr="00C27636" w:rsidRDefault="00AC12B4">
      <w:pPr>
        <w:spacing w:line="165" w:lineRule="exact"/>
        <w:rPr>
          <w:sz w:val="20"/>
          <w:szCs w:val="20"/>
          <w:lang w:val="fr-BE"/>
        </w:rPr>
      </w:pPr>
      <w:bookmarkStart w:id="29" w:name="page30"/>
      <w:bookmarkEnd w:id="29"/>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Les données administratives</w:t>
      </w:r>
    </w:p>
    <w:p w:rsidR="00AC12B4" w:rsidRPr="00C27636" w:rsidRDefault="00AC12B4">
      <w:pPr>
        <w:spacing w:line="285"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Les données provenant des administrations ne sont généralement </w:t>
      </w:r>
      <w:r w:rsidRPr="00C27636">
        <w:rPr>
          <w:rFonts w:ascii="Calibri" w:eastAsia="Calibri" w:hAnsi="Calibri" w:cs="Calibri"/>
          <w:lang w:val="fr-BE"/>
        </w:rPr>
        <w:t>pas collectées à des fins statistiques. Il peut dès lors être difficile de procéder à des ventilations pour mettre en avant des groupes vulnérables.</w:t>
      </w:r>
    </w:p>
    <w:p w:rsidR="00AC12B4" w:rsidRPr="00C27636" w:rsidRDefault="00AC12B4">
      <w:pPr>
        <w:spacing w:line="171"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 xml:space="preserve">Cependant, ces données ne sont, par essence, pas issues d’une enquête et ne comportent donc pas les biais </w:t>
      </w:r>
      <w:r w:rsidRPr="00C27636">
        <w:rPr>
          <w:rFonts w:ascii="Calibri" w:eastAsia="Calibri" w:hAnsi="Calibri" w:cs="Calibri"/>
          <w:lang w:val="fr-BE"/>
        </w:rPr>
        <w:t>inhérents à un échantillonnage.</w:t>
      </w:r>
    </w:p>
    <w:p w:rsidR="00AC12B4" w:rsidRPr="00C27636" w:rsidRDefault="00AC12B4">
      <w:pPr>
        <w:spacing w:line="170"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Le paysage institutionnel belge est complexe et chaque administration collecte ses données selon ses propres objectifs. Il est donc parfois difficile d’obtenir des données comparables sur l’ensemble du territoire.</w:t>
      </w:r>
    </w:p>
    <w:p w:rsidR="00AC12B4" w:rsidRPr="00C27636" w:rsidRDefault="00AC12B4">
      <w:pPr>
        <w:spacing w:line="169"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Finaleme</w:t>
      </w:r>
      <w:r w:rsidRPr="00C27636">
        <w:rPr>
          <w:rFonts w:ascii="Calibri" w:eastAsia="Calibri" w:hAnsi="Calibri" w:cs="Calibri"/>
          <w:lang w:val="fr-BE"/>
        </w:rPr>
        <w:t>nt, les enfants en séjour illégal ou simplement non-inscrits au Registre National peuvent échapper aux statistiques administratives.</w:t>
      </w:r>
    </w:p>
    <w:p w:rsidR="00AC12B4" w:rsidRPr="00C27636" w:rsidRDefault="00AC12B4">
      <w:pPr>
        <w:spacing w:line="364"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Les données issues d’enquêtes internationales et nationales</w:t>
      </w:r>
    </w:p>
    <w:p w:rsidR="00AC12B4" w:rsidRPr="00C27636" w:rsidRDefault="00AC12B4">
      <w:pPr>
        <w:spacing w:line="288" w:lineRule="exact"/>
        <w:rPr>
          <w:sz w:val="20"/>
          <w:szCs w:val="20"/>
          <w:lang w:val="fr-BE"/>
        </w:rPr>
      </w:pPr>
    </w:p>
    <w:p w:rsidR="00AC12B4" w:rsidRPr="00C27636" w:rsidRDefault="00C27636">
      <w:pPr>
        <w:spacing w:line="230" w:lineRule="auto"/>
        <w:ind w:right="737"/>
        <w:jc w:val="both"/>
        <w:rPr>
          <w:sz w:val="20"/>
          <w:szCs w:val="20"/>
          <w:lang w:val="fr-BE"/>
        </w:rPr>
      </w:pPr>
      <w:r w:rsidRPr="00C27636">
        <w:rPr>
          <w:rFonts w:ascii="Calibri" w:eastAsia="Calibri" w:hAnsi="Calibri" w:cs="Calibri"/>
          <w:lang w:val="fr-BE"/>
        </w:rPr>
        <w:t>Les enquêtes internationales ont été une grande source de don</w:t>
      </w:r>
      <w:r w:rsidRPr="00C27636">
        <w:rPr>
          <w:rFonts w:ascii="Calibri" w:eastAsia="Calibri" w:hAnsi="Calibri" w:cs="Calibri"/>
          <w:lang w:val="fr-BE"/>
        </w:rPr>
        <w:t>nées pour les indicateurs présentés dans cette publication. Ces enquêtes de grande qualité recueillent des données relatives aux sentiments des enfants sur leur vie, leurs comportements, leurs relations, et ce internationalement. La dimension international</w:t>
      </w:r>
      <w:r w:rsidRPr="00C27636">
        <w:rPr>
          <w:rFonts w:ascii="Calibri" w:eastAsia="Calibri" w:hAnsi="Calibri" w:cs="Calibri"/>
          <w:lang w:val="fr-BE"/>
        </w:rPr>
        <w:t>e de ces enquêtes permet de situer les données de la Belgique par rapport à celles des autres Etats.</w:t>
      </w:r>
    </w:p>
    <w:p w:rsidR="00AC12B4" w:rsidRPr="00C27636" w:rsidRDefault="00AC12B4">
      <w:pPr>
        <w:spacing w:line="175"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L’objectif poursuivi par toute enquête internationale conditionne la méthodologie déployée. Ainsi, la population ciblée, l’échantillon ou encore les quest</w:t>
      </w:r>
      <w:r w:rsidRPr="00C27636">
        <w:rPr>
          <w:rFonts w:ascii="Calibri" w:eastAsia="Calibri" w:hAnsi="Calibri" w:cs="Calibri"/>
          <w:lang w:val="fr-BE"/>
        </w:rPr>
        <w:t>ionnaires construits seront fonction de cet objet d’étude. Il s’ensuit que l’analyse et l’interprétation des résultats doivent également être remises dans le contexte de l’enquête et de ses objectifs.</w:t>
      </w:r>
    </w:p>
    <w:p w:rsidR="00AC12B4" w:rsidRPr="00C27636" w:rsidRDefault="00AC12B4">
      <w:pPr>
        <w:spacing w:line="171"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Les données utilisées pour constituer les 40 indicateu</w:t>
      </w:r>
      <w:r w:rsidRPr="00C27636">
        <w:rPr>
          <w:rFonts w:ascii="Calibri" w:eastAsia="Calibri" w:hAnsi="Calibri" w:cs="Calibri"/>
          <w:lang w:val="fr-BE"/>
        </w:rPr>
        <w:t>rs de la CNDE proviennent d’enquêtes différentes dont les objectifs ne sont pas nécessairement en adéquation parfaite avec celui visé par la CNDE, à savoir l’effectivité de certains aspects des droits de l’enfant en Belgique.</w:t>
      </w:r>
    </w:p>
    <w:p w:rsidR="00AC12B4" w:rsidRPr="00C27636" w:rsidRDefault="00AC12B4">
      <w:pPr>
        <w:spacing w:line="12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Il s’agit donc de garder à l’</w:t>
      </w:r>
      <w:r w:rsidRPr="00C27636">
        <w:rPr>
          <w:rFonts w:ascii="Calibri" w:eastAsia="Calibri" w:hAnsi="Calibri" w:cs="Calibri"/>
          <w:lang w:val="fr-BE"/>
        </w:rPr>
        <w:t>esprit cette précaution lors de l’analyse des différents indicateurs.</w:t>
      </w:r>
    </w:p>
    <w:p w:rsidR="00AC12B4" w:rsidRPr="00C27636" w:rsidRDefault="00AC12B4">
      <w:pPr>
        <w:spacing w:line="169"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Vous trouverez ci-dessous une description des enquêtes utilisées, de leurs modalités et objectifs ainsi que des groupes d’enfants non-atteint par ces enquêtes. De quoi mettre en perspec</w:t>
      </w:r>
      <w:r w:rsidRPr="00C27636">
        <w:rPr>
          <w:rFonts w:ascii="Calibri" w:eastAsia="Calibri" w:hAnsi="Calibri" w:cs="Calibri"/>
          <w:lang w:val="fr-BE"/>
        </w:rPr>
        <w:t>tive les résultats présentés dans les différentes fiches.</w:t>
      </w:r>
    </w:p>
    <w:p w:rsidR="00AC12B4" w:rsidRPr="00C27636" w:rsidRDefault="00AC12B4">
      <w:pPr>
        <w:spacing w:line="247" w:lineRule="exact"/>
        <w:rPr>
          <w:sz w:val="20"/>
          <w:szCs w:val="20"/>
          <w:lang w:val="fr-BE"/>
        </w:rPr>
      </w:pPr>
    </w:p>
    <w:p w:rsidR="00AC12B4" w:rsidRPr="00C27636" w:rsidRDefault="00C27636">
      <w:pPr>
        <w:ind w:left="560"/>
        <w:rPr>
          <w:sz w:val="20"/>
          <w:szCs w:val="20"/>
          <w:lang w:val="fr-BE"/>
        </w:rPr>
      </w:pPr>
      <w:r w:rsidRPr="00C27636">
        <w:rPr>
          <w:rFonts w:ascii="Cambria" w:eastAsia="Cambria" w:hAnsi="Cambria" w:cs="Cambria"/>
          <w:b/>
          <w:bCs/>
          <w:i/>
          <w:iCs/>
          <w:color w:val="ACD8F9"/>
          <w:sz w:val="24"/>
          <w:szCs w:val="24"/>
          <w:lang w:val="fr-BE"/>
        </w:rPr>
        <w:t>HBSC</w:t>
      </w:r>
    </w:p>
    <w:p w:rsidR="00AC12B4" w:rsidRPr="00C27636" w:rsidRDefault="00AC12B4">
      <w:pPr>
        <w:spacing w:line="327" w:lineRule="exact"/>
        <w:rPr>
          <w:sz w:val="20"/>
          <w:szCs w:val="20"/>
          <w:lang w:val="fr-BE"/>
        </w:rPr>
      </w:pPr>
    </w:p>
    <w:p w:rsidR="00AC12B4" w:rsidRPr="00C27636" w:rsidRDefault="00C27636">
      <w:pPr>
        <w:spacing w:line="219" w:lineRule="auto"/>
        <w:ind w:right="737"/>
        <w:jc w:val="both"/>
        <w:rPr>
          <w:sz w:val="20"/>
          <w:szCs w:val="20"/>
          <w:lang w:val="fr-BE"/>
        </w:rPr>
      </w:pPr>
      <w:r w:rsidRPr="00C27636">
        <w:rPr>
          <w:rFonts w:ascii="Calibri" w:eastAsia="Calibri" w:hAnsi="Calibri" w:cs="Calibri"/>
          <w:lang w:val="fr-BE"/>
        </w:rPr>
        <w:t xml:space="preserve">L’enquête «Health Behaviour in School-aged Children» est une enquête internationale patronnée par l’OMS/Europe à laquelle participent 40 pays (ou régions). En Belgique, elle est réalisée au </w:t>
      </w:r>
      <w:r w:rsidRPr="00C27636">
        <w:rPr>
          <w:rFonts w:ascii="Calibri" w:eastAsia="Calibri" w:hAnsi="Calibri" w:cs="Calibri"/>
          <w:lang w:val="fr-BE"/>
        </w:rPr>
        <w:t>niveau de la FWB par l’ULB (SIPES</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et en Communauté flamande par l’UGent.</w:t>
      </w:r>
    </w:p>
    <w:p w:rsidR="00AC12B4" w:rsidRPr="00C27636" w:rsidRDefault="00AC12B4">
      <w:pPr>
        <w:spacing w:line="87"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A548C"/>
          <w:lang w:val="fr-BE"/>
        </w:rPr>
        <w:t>Objectif de l’enquête</w:t>
      </w:r>
    </w:p>
    <w:p w:rsidR="00AC12B4" w:rsidRPr="00C27636" w:rsidRDefault="00AC12B4">
      <w:pPr>
        <w:spacing w:line="208"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 xml:space="preserve">HBSC a pour objectif de collecter des données sur la santé et le bien-être des jeunes, sur leurs comportements de santé ainsi que sur les déterminants </w:t>
      </w:r>
      <w:r w:rsidRPr="00C27636">
        <w:rPr>
          <w:rFonts w:ascii="Calibri" w:eastAsia="Calibri" w:hAnsi="Calibri" w:cs="Calibri"/>
          <w:lang w:val="fr-BE"/>
        </w:rPr>
        <w:t>environnementaux de ces conduites.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77152" behindDoc="1" locked="0" layoutInCell="0" allowOverlap="1">
                <wp:simplePos x="0" y="0"/>
                <wp:positionH relativeFrom="column">
                  <wp:posOffset>0</wp:posOffset>
                </wp:positionH>
                <wp:positionV relativeFrom="paragraph">
                  <wp:posOffset>846455</wp:posOffset>
                </wp:positionV>
                <wp:extent cx="1828800" cy="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65pt" to="144pt,66.6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4" w:lineRule="exact"/>
        <w:rPr>
          <w:sz w:val="20"/>
          <w:szCs w:val="20"/>
          <w:lang w:val="fr-BE"/>
        </w:rPr>
      </w:pPr>
    </w:p>
    <w:p w:rsidR="00AC12B4" w:rsidRPr="00C27636" w:rsidRDefault="00C27636">
      <w:pPr>
        <w:numPr>
          <w:ilvl w:val="0"/>
          <w:numId w:val="21"/>
        </w:numPr>
        <w:tabs>
          <w:tab w:val="left" w:pos="120"/>
        </w:tabs>
        <w:ind w:left="120" w:hanging="12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Service d’Information Promotion Éducation Santé (SIPES) de l’École de Santé Publique</w:t>
      </w:r>
    </w:p>
    <w:p w:rsidR="00AC12B4" w:rsidRPr="00C27636" w:rsidRDefault="00AC12B4">
      <w:pPr>
        <w:spacing w:line="241" w:lineRule="exact"/>
        <w:rPr>
          <w:rFonts w:ascii="Calibri" w:eastAsia="Calibri" w:hAnsi="Calibri" w:cs="Calibri"/>
          <w:sz w:val="26"/>
          <w:szCs w:val="26"/>
          <w:vertAlign w:val="superscript"/>
          <w:lang w:val="fr-BE"/>
        </w:rPr>
      </w:pPr>
    </w:p>
    <w:p w:rsidR="00AC12B4" w:rsidRPr="00C27636" w:rsidRDefault="00C27636">
      <w:pPr>
        <w:ind w:left="4120"/>
        <w:rPr>
          <w:rFonts w:ascii="Calibri" w:eastAsia="Calibri" w:hAnsi="Calibri" w:cs="Calibri"/>
          <w:sz w:val="26"/>
          <w:szCs w:val="26"/>
          <w:vertAlign w:val="superscript"/>
          <w:lang w:val="fr-BE"/>
        </w:rPr>
      </w:pPr>
      <w:r w:rsidRPr="00C27636">
        <w:rPr>
          <w:rFonts w:ascii="Calibri" w:eastAsia="Calibri" w:hAnsi="Calibri" w:cs="Calibri"/>
          <w:lang w:val="fr-BE"/>
        </w:rPr>
        <w:t>30</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3" w:lineRule="exact"/>
        <w:rPr>
          <w:sz w:val="20"/>
          <w:szCs w:val="20"/>
          <w:lang w:val="fr-BE"/>
        </w:rPr>
      </w:pPr>
      <w:bookmarkStart w:id="30" w:name="page31"/>
      <w:bookmarkEnd w:id="30"/>
    </w:p>
    <w:p w:rsidR="00AC12B4" w:rsidRPr="00C27636" w:rsidRDefault="00C27636">
      <w:pPr>
        <w:ind w:left="560"/>
        <w:rPr>
          <w:sz w:val="20"/>
          <w:szCs w:val="20"/>
          <w:lang w:val="fr-BE"/>
        </w:rPr>
      </w:pPr>
      <w:r w:rsidRPr="00C27636">
        <w:rPr>
          <w:rFonts w:ascii="Calibri" w:eastAsia="Calibri" w:hAnsi="Calibri" w:cs="Calibri"/>
          <w:b/>
          <w:bCs/>
          <w:i/>
          <w:iCs/>
          <w:color w:val="0A548C"/>
          <w:lang w:val="fr-BE"/>
        </w:rPr>
        <w:t>Modalités</w:t>
      </w:r>
    </w:p>
    <w:p w:rsidR="00AC12B4" w:rsidRPr="00C27636" w:rsidRDefault="00AC12B4">
      <w:pPr>
        <w:spacing w:line="210" w:lineRule="exact"/>
        <w:rPr>
          <w:sz w:val="20"/>
          <w:szCs w:val="20"/>
          <w:lang w:val="fr-BE"/>
        </w:rPr>
      </w:pPr>
    </w:p>
    <w:p w:rsidR="00AC12B4" w:rsidRPr="00C27636" w:rsidRDefault="00C27636">
      <w:pPr>
        <w:spacing w:line="224" w:lineRule="auto"/>
        <w:ind w:left="560" w:right="177"/>
        <w:jc w:val="both"/>
        <w:rPr>
          <w:sz w:val="20"/>
          <w:szCs w:val="20"/>
          <w:lang w:val="fr-BE"/>
        </w:rPr>
      </w:pPr>
      <w:r w:rsidRPr="00C27636">
        <w:rPr>
          <w:rFonts w:ascii="Calibri" w:eastAsia="Calibri" w:hAnsi="Calibri" w:cs="Calibri"/>
          <w:lang w:val="fr-BE"/>
        </w:rPr>
        <w:t xml:space="preserve">L’enquête est réalisée par questionnaire auto-administré. Les élèves présents le jours de </w:t>
      </w:r>
      <w:r w:rsidRPr="00C27636">
        <w:rPr>
          <w:rFonts w:ascii="Calibri" w:eastAsia="Calibri" w:hAnsi="Calibri" w:cs="Calibri"/>
          <w:lang w:val="fr-BE"/>
        </w:rPr>
        <w:t>l’enquête répondent au questionnaire par écrit sous la surveillance de leur professeur. Il n’y a pas d’enquêteur externe.</w:t>
      </w:r>
    </w:p>
    <w:p w:rsidR="00AC12B4" w:rsidRPr="00C27636" w:rsidRDefault="00AC12B4">
      <w:pPr>
        <w:spacing w:line="172" w:lineRule="exact"/>
        <w:rPr>
          <w:sz w:val="20"/>
          <w:szCs w:val="20"/>
          <w:lang w:val="fr-BE"/>
        </w:rPr>
      </w:pPr>
    </w:p>
    <w:p w:rsidR="00AC12B4" w:rsidRPr="00C27636" w:rsidRDefault="00C27636">
      <w:pPr>
        <w:spacing w:line="225" w:lineRule="auto"/>
        <w:ind w:left="560" w:right="177"/>
        <w:jc w:val="both"/>
        <w:rPr>
          <w:sz w:val="20"/>
          <w:szCs w:val="20"/>
          <w:lang w:val="fr-BE"/>
        </w:rPr>
      </w:pPr>
      <w:r w:rsidRPr="00C27636">
        <w:rPr>
          <w:rFonts w:ascii="Calibri" w:eastAsia="Calibri" w:hAnsi="Calibri" w:cs="Calibri"/>
          <w:lang w:val="fr-BE"/>
        </w:rPr>
        <w:t>Le questionnaire validé au niveau international et communautaire est composé de modules obligatoires et de modules optionnels permett</w:t>
      </w:r>
      <w:r w:rsidRPr="00C27636">
        <w:rPr>
          <w:rFonts w:ascii="Calibri" w:eastAsia="Calibri" w:hAnsi="Calibri" w:cs="Calibri"/>
          <w:lang w:val="fr-BE"/>
        </w:rPr>
        <w:t>ant à chaque pays/région participant de développer celui-ci en fonction des sujets de recherche prioritaires.</w:t>
      </w:r>
    </w:p>
    <w:p w:rsidR="00AC12B4" w:rsidRPr="00C27636" w:rsidRDefault="00AC12B4">
      <w:pPr>
        <w:spacing w:line="171"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 xml:space="preserve">L’enquête étant portée par des équipes universitaires différentes en Communautés flamande et française, certaines questions optionnelles peuvent </w:t>
      </w:r>
      <w:r w:rsidRPr="00C27636">
        <w:rPr>
          <w:rFonts w:ascii="Calibri" w:eastAsia="Calibri" w:hAnsi="Calibri" w:cs="Calibri"/>
          <w:lang w:val="fr-BE"/>
        </w:rPr>
        <w:t>différer entre les Communautés.</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color w:val="0A548C"/>
          <w:lang w:val="fr-BE"/>
        </w:rPr>
        <w:t>Temporalité</w:t>
      </w:r>
    </w:p>
    <w:p w:rsidR="00AC12B4" w:rsidRPr="00C27636" w:rsidRDefault="00AC12B4">
      <w:pPr>
        <w:spacing w:line="202"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L’enquête est réalisée tous les 4 ans, la dernière a été réalisée en 2014.</w:t>
      </w:r>
    </w:p>
    <w:p w:rsidR="00AC12B4" w:rsidRPr="00C27636" w:rsidRDefault="00AC12B4">
      <w:pPr>
        <w:spacing w:line="208" w:lineRule="exact"/>
        <w:rPr>
          <w:sz w:val="20"/>
          <w:szCs w:val="20"/>
          <w:lang w:val="fr-BE"/>
        </w:rPr>
      </w:pPr>
    </w:p>
    <w:p w:rsidR="00AC12B4" w:rsidRPr="00C27636" w:rsidRDefault="00C27636">
      <w:pPr>
        <w:spacing w:line="224" w:lineRule="auto"/>
        <w:ind w:left="560" w:right="157"/>
        <w:jc w:val="both"/>
        <w:rPr>
          <w:rFonts w:ascii="Calibri" w:eastAsia="Calibri" w:hAnsi="Calibri" w:cs="Calibri"/>
          <w:color w:val="0000FF"/>
          <w:lang w:val="fr-BE"/>
        </w:rPr>
      </w:pPr>
      <w:r w:rsidRPr="00C27636">
        <w:rPr>
          <w:rFonts w:ascii="Calibri" w:eastAsia="Calibri" w:hAnsi="Calibri" w:cs="Calibri"/>
          <w:lang w:val="fr-BE"/>
        </w:rPr>
        <w:t xml:space="preserve">Les données de comparaison internationale ne sont pas disponibles au moment de la publication. Elles seront rendues publiques en mars </w:t>
      </w:r>
      <w:r w:rsidRPr="00C27636">
        <w:rPr>
          <w:rFonts w:ascii="Calibri" w:eastAsia="Calibri" w:hAnsi="Calibri" w:cs="Calibri"/>
          <w:lang w:val="fr-BE"/>
        </w:rPr>
        <w:t xml:space="preserve">2016 (disponible mi 2016 sur </w:t>
      </w:r>
      <w:hyperlink r:id="rId32">
        <w:r w:rsidRPr="00C27636">
          <w:rPr>
            <w:rFonts w:ascii="Calibri" w:eastAsia="Calibri" w:hAnsi="Calibri" w:cs="Calibri"/>
            <w:color w:val="0000FF"/>
            <w:u w:val="single"/>
            <w:lang w:val="fr-BE"/>
          </w:rPr>
          <w:t>www.cnde.be</w:t>
        </w:r>
        <w:r w:rsidRPr="00C27636">
          <w:rPr>
            <w:rFonts w:ascii="Calibri" w:eastAsia="Calibri" w:hAnsi="Calibri" w:cs="Calibri"/>
            <w:color w:val="000000"/>
            <w:lang w:val="fr-BE"/>
          </w:rPr>
          <w:t>)</w:t>
        </w:r>
      </w:hyperlink>
      <w:r w:rsidRPr="00C27636">
        <w:rPr>
          <w:rFonts w:ascii="Calibri" w:eastAsia="Calibri" w:hAnsi="Calibri" w:cs="Calibri"/>
          <w:color w:val="0000FF"/>
          <w:lang w:val="fr-BE"/>
        </w:rPr>
        <w:t>.</w:t>
      </w:r>
    </w:p>
    <w:p w:rsidR="00AC12B4" w:rsidRPr="00C27636" w:rsidRDefault="00AC12B4">
      <w:pPr>
        <w:spacing w:line="123"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i/>
          <w:iCs/>
          <w:color w:val="0A548C"/>
          <w:lang w:val="fr-BE"/>
        </w:rPr>
        <w:t>Enfants atteints par l’enquête</w:t>
      </w:r>
    </w:p>
    <w:p w:rsidR="00AC12B4" w:rsidRPr="00C27636" w:rsidRDefault="00AC12B4">
      <w:pPr>
        <w:spacing w:line="210" w:lineRule="exact"/>
        <w:rPr>
          <w:sz w:val="20"/>
          <w:szCs w:val="20"/>
          <w:lang w:val="fr-BE"/>
        </w:rPr>
      </w:pPr>
    </w:p>
    <w:p w:rsidR="00AC12B4" w:rsidRPr="00C27636" w:rsidRDefault="00C27636">
      <w:pPr>
        <w:spacing w:line="216" w:lineRule="auto"/>
        <w:ind w:left="560" w:right="177"/>
        <w:jc w:val="both"/>
        <w:rPr>
          <w:sz w:val="20"/>
          <w:szCs w:val="20"/>
          <w:lang w:val="fr-BE"/>
        </w:rPr>
      </w:pPr>
      <w:r w:rsidRPr="00C27636">
        <w:rPr>
          <w:rFonts w:ascii="Calibri" w:eastAsia="Calibri" w:hAnsi="Calibri" w:cs="Calibri"/>
          <w:lang w:val="fr-BE"/>
        </w:rPr>
        <w:t>Le public cible de l’enquête HBSC est les enfants scolarisés dans l’enseignement ordinaire ( à partir de la 5</w:t>
      </w:r>
      <w:r w:rsidRPr="00C27636">
        <w:rPr>
          <w:rFonts w:ascii="Calibri" w:eastAsia="Calibri" w:hAnsi="Calibri" w:cs="Calibri"/>
          <w:sz w:val="27"/>
          <w:szCs w:val="27"/>
          <w:vertAlign w:val="superscript"/>
          <w:lang w:val="fr-BE"/>
        </w:rPr>
        <w:t>ème</w:t>
      </w:r>
      <w:r w:rsidRPr="00C27636">
        <w:rPr>
          <w:rFonts w:ascii="Calibri" w:eastAsia="Calibri" w:hAnsi="Calibri" w:cs="Calibri"/>
          <w:lang w:val="fr-BE"/>
        </w:rPr>
        <w:t xml:space="preserve"> primaire jusqu’en 6</w:t>
      </w:r>
      <w:r w:rsidRPr="00C27636">
        <w:rPr>
          <w:rFonts w:ascii="Calibri" w:eastAsia="Calibri" w:hAnsi="Calibri" w:cs="Calibri"/>
          <w:sz w:val="27"/>
          <w:szCs w:val="27"/>
          <w:vertAlign w:val="superscript"/>
          <w:lang w:val="fr-BE"/>
        </w:rPr>
        <w:t>ème</w:t>
      </w:r>
      <w:r w:rsidRPr="00C27636">
        <w:rPr>
          <w:rFonts w:ascii="Calibri" w:eastAsia="Calibri" w:hAnsi="Calibri" w:cs="Calibri"/>
          <w:lang w:val="fr-BE"/>
        </w:rPr>
        <w:t xml:space="preserve"> secondaire). L’échantillon est construit pour être représentatif des élèves de tous les réseaux dans l’enseignement ordinaire de plein exercice en Communauté française et flamande.</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73" w:lineRule="exact"/>
        <w:rPr>
          <w:sz w:val="20"/>
          <w:szCs w:val="20"/>
          <w:lang w:val="fr-BE"/>
        </w:rPr>
      </w:pPr>
    </w:p>
    <w:p w:rsidR="00AC12B4" w:rsidRPr="00C27636" w:rsidRDefault="00C27636">
      <w:pPr>
        <w:spacing w:line="232" w:lineRule="auto"/>
        <w:ind w:left="560"/>
        <w:jc w:val="both"/>
        <w:rPr>
          <w:sz w:val="20"/>
          <w:szCs w:val="20"/>
          <w:lang w:val="fr-BE"/>
        </w:rPr>
      </w:pPr>
      <w:r w:rsidRPr="00C27636">
        <w:rPr>
          <w:rFonts w:ascii="Calibri" w:eastAsia="Calibri" w:hAnsi="Calibri" w:cs="Calibri"/>
          <w:lang w:val="fr-BE"/>
        </w:rPr>
        <w:t xml:space="preserve">En 2014, 22.438 jeunes âgés de 10 à 19 ans ont participé </w:t>
      </w:r>
      <w:r w:rsidRPr="00C27636">
        <w:rPr>
          <w:rFonts w:ascii="Calibri" w:eastAsia="Calibri" w:hAnsi="Calibri" w:cs="Calibri"/>
          <w:lang w:val="fr-BE"/>
        </w:rPr>
        <w:t>à l’enquête HBSC pour les Communautés flamande et française. La description de l’échantillon est présentée dans le tableau ci-après.</w:t>
      </w:r>
    </w:p>
    <w:p w:rsidR="00AC12B4" w:rsidRPr="00C27636" w:rsidRDefault="00AC12B4">
      <w:pPr>
        <w:spacing w:line="173" w:lineRule="exact"/>
        <w:rPr>
          <w:sz w:val="20"/>
          <w:szCs w:val="20"/>
          <w:lang w:val="fr-BE"/>
        </w:rPr>
      </w:pPr>
    </w:p>
    <w:p w:rsidR="00AC12B4" w:rsidRPr="00C27636" w:rsidRDefault="00C27636">
      <w:pPr>
        <w:ind w:left="560"/>
        <w:jc w:val="both"/>
        <w:rPr>
          <w:sz w:val="20"/>
          <w:szCs w:val="20"/>
          <w:lang w:val="fr-BE"/>
        </w:rPr>
      </w:pPr>
      <w:r w:rsidRPr="00C27636">
        <w:rPr>
          <w:rFonts w:ascii="Calibri" w:eastAsia="Calibri" w:hAnsi="Calibri" w:cs="Calibri"/>
          <w:lang w:val="fr-BE"/>
        </w:rPr>
        <w:t>Notons que la proportion de jeunes qui ne vivent pas avec leurs deux parents augmente avec l'âge (28,4% parmi les 10-12 an</w:t>
      </w:r>
      <w:r w:rsidRPr="00C27636">
        <w:rPr>
          <w:rFonts w:ascii="Calibri" w:eastAsia="Calibri" w:hAnsi="Calibri" w:cs="Calibri"/>
          <w:lang w:val="fr-BE"/>
        </w:rPr>
        <w:t>s vs 36,5% parmi les 17-19 ans). De même, la proportion de jeunes dont le niveau d'aisance matérielle est faible est environ deux fois plus élevée parmi les jeunes qui ne vivent pas avec leurs deux parents (25,9% vs 13,5%) (résultats non présentés).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44" w:lineRule="exact"/>
        <w:rPr>
          <w:sz w:val="20"/>
          <w:szCs w:val="20"/>
          <w:lang w:val="fr-BE"/>
        </w:rPr>
      </w:pPr>
    </w:p>
    <w:p w:rsidR="00AC12B4" w:rsidRPr="00C27636" w:rsidRDefault="00AC12B4">
      <w:pPr>
        <w:spacing w:line="1" w:lineRule="exact"/>
        <w:rPr>
          <w:sz w:val="1"/>
          <w:szCs w:val="1"/>
          <w:lang w:val="fr-BE"/>
        </w:rPr>
      </w:pPr>
    </w:p>
    <w:tbl>
      <w:tblPr>
        <w:tblW w:w="0" w:type="auto"/>
        <w:tblLayout w:type="fixed"/>
        <w:tblCellMar>
          <w:left w:w="0" w:type="dxa"/>
          <w:right w:w="0" w:type="dxa"/>
        </w:tblCellMar>
        <w:tblLook w:val="04A0" w:firstRow="1" w:lastRow="0" w:firstColumn="1" w:lastColumn="0" w:noHBand="0" w:noVBand="1"/>
      </w:tblPr>
      <w:tblGrid>
        <w:gridCol w:w="2260"/>
        <w:gridCol w:w="1240"/>
        <w:gridCol w:w="760"/>
      </w:tblGrid>
      <w:tr w:rsidR="00AC12B4">
        <w:trPr>
          <w:trHeight w:val="269"/>
        </w:trPr>
        <w:tc>
          <w:tcPr>
            <w:tcW w:w="2260" w:type="dxa"/>
            <w:vAlign w:val="bottom"/>
          </w:tcPr>
          <w:p w:rsidR="00AC12B4" w:rsidRPr="00C27636" w:rsidRDefault="00AC12B4">
            <w:pPr>
              <w:rPr>
                <w:sz w:val="23"/>
                <w:szCs w:val="23"/>
                <w:lang w:val="fr-BE"/>
              </w:rPr>
            </w:pPr>
          </w:p>
        </w:tc>
        <w:tc>
          <w:tcPr>
            <w:tcW w:w="1240" w:type="dxa"/>
            <w:vAlign w:val="bottom"/>
          </w:tcPr>
          <w:p w:rsidR="00AC12B4" w:rsidRDefault="00C27636">
            <w:pPr>
              <w:jc w:val="center"/>
              <w:rPr>
                <w:sz w:val="20"/>
                <w:szCs w:val="20"/>
              </w:rPr>
            </w:pPr>
            <w:r>
              <w:rPr>
                <w:rFonts w:ascii="Calibri" w:eastAsia="Calibri" w:hAnsi="Calibri" w:cs="Calibri"/>
                <w:w w:val="98"/>
              </w:rPr>
              <w:t>N</w:t>
            </w:r>
          </w:p>
        </w:tc>
        <w:tc>
          <w:tcPr>
            <w:tcW w:w="760" w:type="dxa"/>
            <w:vAlign w:val="bottom"/>
          </w:tcPr>
          <w:p w:rsidR="00AC12B4" w:rsidRDefault="00C27636">
            <w:pPr>
              <w:ind w:left="250"/>
              <w:jc w:val="center"/>
              <w:rPr>
                <w:sz w:val="20"/>
                <w:szCs w:val="20"/>
              </w:rPr>
            </w:pPr>
            <w:r>
              <w:rPr>
                <w:rFonts w:ascii="Calibri" w:eastAsia="Calibri" w:hAnsi="Calibri" w:cs="Calibri"/>
              </w:rPr>
              <w:t>%</w:t>
            </w:r>
          </w:p>
        </w:tc>
      </w:tr>
      <w:tr w:rsidR="00AC12B4">
        <w:trPr>
          <w:trHeight w:val="310"/>
        </w:trPr>
        <w:tc>
          <w:tcPr>
            <w:tcW w:w="2260" w:type="dxa"/>
            <w:vAlign w:val="bottom"/>
          </w:tcPr>
          <w:p w:rsidR="00AC12B4" w:rsidRDefault="00C27636">
            <w:pPr>
              <w:rPr>
                <w:sz w:val="20"/>
                <w:szCs w:val="20"/>
              </w:rPr>
            </w:pPr>
            <w:r>
              <w:rPr>
                <w:rFonts w:ascii="Calibri" w:eastAsia="Calibri" w:hAnsi="Calibri" w:cs="Calibri"/>
                <w:color w:val="0A548C"/>
              </w:rPr>
              <w:t>Genre</w:t>
            </w:r>
          </w:p>
        </w:tc>
        <w:tc>
          <w:tcPr>
            <w:tcW w:w="1240" w:type="dxa"/>
            <w:vAlign w:val="bottom"/>
          </w:tcPr>
          <w:p w:rsidR="00AC12B4" w:rsidRDefault="00C27636">
            <w:pPr>
              <w:jc w:val="center"/>
              <w:rPr>
                <w:sz w:val="20"/>
                <w:szCs w:val="20"/>
              </w:rPr>
            </w:pPr>
            <w:r>
              <w:rPr>
                <w:rFonts w:ascii="Calibri" w:eastAsia="Calibri" w:hAnsi="Calibri" w:cs="Calibri"/>
              </w:rPr>
              <w:t>22438</w:t>
            </w:r>
          </w:p>
        </w:tc>
        <w:tc>
          <w:tcPr>
            <w:tcW w:w="760" w:type="dxa"/>
            <w:vAlign w:val="bottom"/>
          </w:tcPr>
          <w:p w:rsidR="00AC12B4" w:rsidRDefault="00AC12B4">
            <w:pPr>
              <w:rPr>
                <w:sz w:val="24"/>
                <w:szCs w:val="24"/>
              </w:rPr>
            </w:pP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Garçons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50,4</w:t>
            </w: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Filles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49,6</w:t>
            </w:r>
          </w:p>
        </w:tc>
      </w:tr>
      <w:tr w:rsidR="00AC12B4">
        <w:trPr>
          <w:trHeight w:val="600"/>
        </w:trPr>
        <w:tc>
          <w:tcPr>
            <w:tcW w:w="2260" w:type="dxa"/>
            <w:vAlign w:val="bottom"/>
          </w:tcPr>
          <w:p w:rsidR="00AC12B4" w:rsidRDefault="00C27636">
            <w:pPr>
              <w:rPr>
                <w:sz w:val="20"/>
                <w:szCs w:val="20"/>
              </w:rPr>
            </w:pPr>
            <w:r>
              <w:rPr>
                <w:rFonts w:ascii="Calibri" w:eastAsia="Calibri" w:hAnsi="Calibri" w:cs="Calibri"/>
                <w:color w:val="0A548C"/>
              </w:rPr>
              <w:t>Age</w:t>
            </w:r>
          </w:p>
        </w:tc>
        <w:tc>
          <w:tcPr>
            <w:tcW w:w="1240" w:type="dxa"/>
            <w:vAlign w:val="bottom"/>
          </w:tcPr>
          <w:p w:rsidR="00AC12B4" w:rsidRDefault="00C27636">
            <w:pPr>
              <w:jc w:val="center"/>
              <w:rPr>
                <w:sz w:val="20"/>
                <w:szCs w:val="20"/>
              </w:rPr>
            </w:pPr>
            <w:r>
              <w:rPr>
                <w:rFonts w:ascii="Calibri" w:eastAsia="Calibri" w:hAnsi="Calibri" w:cs="Calibri"/>
              </w:rPr>
              <w:t>22223</w:t>
            </w:r>
          </w:p>
        </w:tc>
        <w:tc>
          <w:tcPr>
            <w:tcW w:w="760" w:type="dxa"/>
            <w:vAlign w:val="bottom"/>
          </w:tcPr>
          <w:p w:rsidR="00AC12B4" w:rsidRDefault="00AC12B4">
            <w:pPr>
              <w:rPr>
                <w:sz w:val="24"/>
                <w:szCs w:val="24"/>
              </w:rPr>
            </w:pP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10-12 ans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26,7</w:t>
            </w: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13-14 ans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23,2</w:t>
            </w: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15-16 ans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25,9</w:t>
            </w: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17-19 ans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24,2</w:t>
            </w:r>
          </w:p>
        </w:tc>
      </w:tr>
      <w:tr w:rsidR="00AC12B4">
        <w:trPr>
          <w:trHeight w:val="600"/>
        </w:trPr>
        <w:tc>
          <w:tcPr>
            <w:tcW w:w="2260" w:type="dxa"/>
            <w:vAlign w:val="bottom"/>
          </w:tcPr>
          <w:p w:rsidR="00AC12B4" w:rsidRDefault="00C27636">
            <w:pPr>
              <w:rPr>
                <w:sz w:val="20"/>
                <w:szCs w:val="20"/>
              </w:rPr>
            </w:pPr>
            <w:r>
              <w:rPr>
                <w:rFonts w:ascii="Calibri" w:eastAsia="Calibri" w:hAnsi="Calibri" w:cs="Calibri"/>
                <w:color w:val="0A548C"/>
              </w:rPr>
              <w:t>Famille</w:t>
            </w:r>
          </w:p>
        </w:tc>
        <w:tc>
          <w:tcPr>
            <w:tcW w:w="1240" w:type="dxa"/>
            <w:vAlign w:val="bottom"/>
          </w:tcPr>
          <w:p w:rsidR="00AC12B4" w:rsidRDefault="00C27636">
            <w:pPr>
              <w:jc w:val="center"/>
              <w:rPr>
                <w:sz w:val="20"/>
                <w:szCs w:val="20"/>
              </w:rPr>
            </w:pPr>
            <w:r>
              <w:rPr>
                <w:rFonts w:ascii="Calibri" w:eastAsia="Calibri" w:hAnsi="Calibri" w:cs="Calibri"/>
              </w:rPr>
              <w:t>22212</w:t>
            </w:r>
          </w:p>
        </w:tc>
        <w:tc>
          <w:tcPr>
            <w:tcW w:w="760" w:type="dxa"/>
            <w:vAlign w:val="bottom"/>
          </w:tcPr>
          <w:p w:rsidR="00AC12B4" w:rsidRDefault="00AC12B4">
            <w:pPr>
              <w:rPr>
                <w:sz w:val="24"/>
                <w:szCs w:val="24"/>
              </w:rPr>
            </w:pP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2 parents biologiques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67,4</w:t>
            </w: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Autres</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32,6</w:t>
            </w:r>
          </w:p>
        </w:tc>
      </w:tr>
      <w:tr w:rsidR="00AC12B4">
        <w:trPr>
          <w:trHeight w:val="569"/>
        </w:trPr>
        <w:tc>
          <w:tcPr>
            <w:tcW w:w="2260" w:type="dxa"/>
            <w:vAlign w:val="bottom"/>
          </w:tcPr>
          <w:p w:rsidR="00AC12B4" w:rsidRDefault="00C27636">
            <w:pPr>
              <w:rPr>
                <w:sz w:val="20"/>
                <w:szCs w:val="20"/>
              </w:rPr>
            </w:pPr>
            <w:r>
              <w:rPr>
                <w:rFonts w:ascii="Calibri" w:eastAsia="Calibri" w:hAnsi="Calibri" w:cs="Calibri"/>
                <w:color w:val="0A548C"/>
              </w:rPr>
              <w:t>Niveau aisance</w:t>
            </w:r>
          </w:p>
        </w:tc>
        <w:tc>
          <w:tcPr>
            <w:tcW w:w="1240" w:type="dxa"/>
            <w:vAlign w:val="bottom"/>
          </w:tcPr>
          <w:p w:rsidR="00AC12B4" w:rsidRDefault="00AC12B4">
            <w:pPr>
              <w:rPr>
                <w:sz w:val="24"/>
                <w:szCs w:val="24"/>
              </w:rPr>
            </w:pPr>
          </w:p>
        </w:tc>
        <w:tc>
          <w:tcPr>
            <w:tcW w:w="760" w:type="dxa"/>
            <w:vAlign w:val="bottom"/>
          </w:tcPr>
          <w:p w:rsidR="00AC12B4" w:rsidRDefault="00AC12B4">
            <w:pPr>
              <w:rPr>
                <w:sz w:val="24"/>
                <w:szCs w:val="24"/>
              </w:rPr>
            </w:pPr>
          </w:p>
        </w:tc>
      </w:tr>
      <w:tr w:rsidR="00AC12B4">
        <w:trPr>
          <w:trHeight w:val="269"/>
        </w:trPr>
        <w:tc>
          <w:tcPr>
            <w:tcW w:w="2260" w:type="dxa"/>
            <w:vAlign w:val="bottom"/>
          </w:tcPr>
          <w:p w:rsidR="00AC12B4" w:rsidRDefault="00C27636">
            <w:pPr>
              <w:rPr>
                <w:sz w:val="20"/>
                <w:szCs w:val="20"/>
              </w:rPr>
            </w:pPr>
            <w:r>
              <w:rPr>
                <w:rFonts w:ascii="Calibri" w:eastAsia="Calibri" w:hAnsi="Calibri" w:cs="Calibri"/>
                <w:color w:val="0A548C"/>
              </w:rPr>
              <w:t>matérielle</w:t>
            </w:r>
          </w:p>
        </w:tc>
        <w:tc>
          <w:tcPr>
            <w:tcW w:w="1240" w:type="dxa"/>
            <w:vAlign w:val="bottom"/>
          </w:tcPr>
          <w:p w:rsidR="00AC12B4" w:rsidRDefault="00C27636">
            <w:pPr>
              <w:jc w:val="center"/>
              <w:rPr>
                <w:sz w:val="20"/>
                <w:szCs w:val="20"/>
              </w:rPr>
            </w:pPr>
            <w:r>
              <w:rPr>
                <w:rFonts w:ascii="Calibri" w:eastAsia="Calibri" w:hAnsi="Calibri" w:cs="Calibri"/>
              </w:rPr>
              <w:t>20704</w:t>
            </w:r>
          </w:p>
        </w:tc>
        <w:tc>
          <w:tcPr>
            <w:tcW w:w="760" w:type="dxa"/>
            <w:vAlign w:val="bottom"/>
          </w:tcPr>
          <w:p w:rsidR="00AC12B4" w:rsidRDefault="00AC12B4">
            <w:pPr>
              <w:rPr>
                <w:sz w:val="23"/>
                <w:szCs w:val="23"/>
              </w:rPr>
            </w:pP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Faible</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17,5</w:t>
            </w: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Moyen</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47,8</w:t>
            </w:r>
          </w:p>
        </w:tc>
      </w:tr>
      <w:tr w:rsidR="00AC12B4">
        <w:trPr>
          <w:trHeight w:val="300"/>
        </w:trPr>
        <w:tc>
          <w:tcPr>
            <w:tcW w:w="2260" w:type="dxa"/>
            <w:vAlign w:val="bottom"/>
          </w:tcPr>
          <w:p w:rsidR="00AC12B4" w:rsidRDefault="00C27636">
            <w:pPr>
              <w:rPr>
                <w:sz w:val="20"/>
                <w:szCs w:val="20"/>
              </w:rPr>
            </w:pPr>
            <w:r>
              <w:rPr>
                <w:rFonts w:ascii="Calibri" w:eastAsia="Calibri" w:hAnsi="Calibri" w:cs="Calibri"/>
                <w:color w:val="0A548C"/>
              </w:rPr>
              <w:t>Elevé</w:t>
            </w:r>
          </w:p>
        </w:tc>
        <w:tc>
          <w:tcPr>
            <w:tcW w:w="1240" w:type="dxa"/>
            <w:vAlign w:val="bottom"/>
          </w:tcPr>
          <w:p w:rsidR="00AC12B4" w:rsidRDefault="00AC12B4">
            <w:pPr>
              <w:rPr>
                <w:sz w:val="24"/>
                <w:szCs w:val="24"/>
              </w:rPr>
            </w:pPr>
          </w:p>
        </w:tc>
        <w:tc>
          <w:tcPr>
            <w:tcW w:w="760" w:type="dxa"/>
            <w:vAlign w:val="bottom"/>
          </w:tcPr>
          <w:p w:rsidR="00AC12B4" w:rsidRDefault="00C27636">
            <w:pPr>
              <w:ind w:left="250"/>
              <w:jc w:val="center"/>
              <w:rPr>
                <w:sz w:val="20"/>
                <w:szCs w:val="20"/>
              </w:rPr>
            </w:pPr>
            <w:r>
              <w:rPr>
                <w:rFonts w:ascii="Calibri" w:eastAsia="Calibri" w:hAnsi="Calibri" w:cs="Calibri"/>
              </w:rPr>
              <w:t>34,7</w:t>
            </w:r>
          </w:p>
        </w:tc>
      </w:tr>
    </w:tbl>
    <w:p w:rsidR="00AC12B4" w:rsidRDefault="00C27636">
      <w:pPr>
        <w:spacing w:line="20" w:lineRule="exact"/>
        <w:rPr>
          <w:sz w:val="20"/>
          <w:szCs w:val="20"/>
        </w:rPr>
      </w:pPr>
      <w:r>
        <w:rPr>
          <w:noProof/>
          <w:sz w:val="20"/>
          <w:szCs w:val="20"/>
        </w:rPr>
        <w:drawing>
          <wp:anchor distT="0" distB="0" distL="114300" distR="114300" simplePos="0" relativeHeight="251378176" behindDoc="1" locked="0" layoutInCell="0" allowOverlap="1">
            <wp:simplePos x="0" y="0"/>
            <wp:positionH relativeFrom="column">
              <wp:posOffset>-143510</wp:posOffset>
            </wp:positionH>
            <wp:positionV relativeFrom="paragraph">
              <wp:posOffset>-3771900</wp:posOffset>
            </wp:positionV>
            <wp:extent cx="3329940" cy="410654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blip>
                    <a:srcRect/>
                    <a:stretch>
                      <a:fillRect/>
                    </a:stretch>
                  </pic:blipFill>
                  <pic:spPr bwMode="auto">
                    <a:xfrm>
                      <a:off x="0" y="0"/>
                      <a:ext cx="3329940" cy="4106545"/>
                    </a:xfrm>
                    <a:prstGeom prst="rect">
                      <a:avLst/>
                    </a:prstGeom>
                    <a:noFill/>
                  </pic:spPr>
                </pic:pic>
              </a:graphicData>
            </a:graphic>
          </wp:anchor>
        </w:drawing>
      </w:r>
    </w:p>
    <w:p w:rsidR="00AC12B4" w:rsidRDefault="00AC12B4">
      <w:pPr>
        <w:spacing w:line="91" w:lineRule="exact"/>
        <w:rPr>
          <w:sz w:val="20"/>
          <w:szCs w:val="20"/>
        </w:rPr>
      </w:pPr>
    </w:p>
    <w:p w:rsidR="00AC12B4" w:rsidRPr="00C27636" w:rsidRDefault="00C27636">
      <w:pPr>
        <w:ind w:left="580"/>
        <w:rPr>
          <w:sz w:val="20"/>
          <w:szCs w:val="20"/>
          <w:lang w:val="fr-BE"/>
        </w:rPr>
      </w:pPr>
      <w:r w:rsidRPr="00C27636">
        <w:rPr>
          <w:rFonts w:ascii="Calibri" w:eastAsia="Calibri" w:hAnsi="Calibri" w:cs="Calibri"/>
          <w:b/>
          <w:bCs/>
          <w:color w:val="4F81BD"/>
          <w:sz w:val="18"/>
          <w:szCs w:val="18"/>
          <w:lang w:val="fr-BE"/>
        </w:rPr>
        <w:t>Table 1. Description de l’échantillon HBSC (2014)</w:t>
      </w:r>
    </w:p>
    <w:p w:rsidR="00AC12B4" w:rsidRPr="00C27636" w:rsidRDefault="00AC12B4">
      <w:pPr>
        <w:spacing w:line="200" w:lineRule="exact"/>
        <w:rPr>
          <w:sz w:val="20"/>
          <w:szCs w:val="20"/>
          <w:lang w:val="fr-BE"/>
        </w:rPr>
      </w:pPr>
    </w:p>
    <w:p w:rsidR="00AC12B4" w:rsidRPr="00C27636" w:rsidRDefault="00AC12B4">
      <w:pPr>
        <w:rPr>
          <w:lang w:val="fr-BE"/>
        </w:rPr>
        <w:sectPr w:rsidR="00AC12B4" w:rsidRPr="00C27636">
          <w:type w:val="continuous"/>
          <w:pgSz w:w="12080" w:h="17179"/>
          <w:pgMar w:top="1440" w:right="1440" w:bottom="659" w:left="1440" w:header="0" w:footer="0" w:gutter="0"/>
          <w:cols w:num="2" w:space="720" w:equalWidth="0">
            <w:col w:w="4100" w:space="320"/>
            <w:col w:w="477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3"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31</w:t>
      </w:r>
    </w:p>
    <w:p w:rsidR="00AC12B4" w:rsidRPr="00C27636" w:rsidRDefault="00AC12B4">
      <w:pPr>
        <w:rPr>
          <w:lang w:val="fr-BE"/>
        </w:rPr>
        <w:sectPr w:rsidR="00AC12B4" w:rsidRPr="00C27636">
          <w:type w:val="continuous"/>
          <w:pgSz w:w="12080" w:h="17179"/>
          <w:pgMar w:top="1440" w:right="1440" w:bottom="659" w:left="1440" w:header="0" w:footer="0" w:gutter="0"/>
          <w:cols w:space="720" w:equalWidth="0">
            <w:col w:w="9197"/>
          </w:cols>
        </w:sectPr>
      </w:pPr>
    </w:p>
    <w:p w:rsidR="00AC12B4" w:rsidRPr="00C27636" w:rsidRDefault="00AC12B4">
      <w:pPr>
        <w:spacing w:line="163" w:lineRule="exact"/>
        <w:rPr>
          <w:sz w:val="20"/>
          <w:szCs w:val="20"/>
          <w:lang w:val="fr-BE"/>
        </w:rPr>
      </w:pPr>
      <w:bookmarkStart w:id="31" w:name="page32"/>
      <w:bookmarkEnd w:id="31"/>
    </w:p>
    <w:p w:rsidR="00AC12B4" w:rsidRPr="00C27636" w:rsidRDefault="00C27636">
      <w:pPr>
        <w:rPr>
          <w:sz w:val="20"/>
          <w:szCs w:val="20"/>
          <w:lang w:val="fr-BE"/>
        </w:rPr>
      </w:pPr>
      <w:r w:rsidRPr="00C27636">
        <w:rPr>
          <w:rFonts w:ascii="Calibri" w:eastAsia="Calibri" w:hAnsi="Calibri" w:cs="Calibri"/>
          <w:b/>
          <w:bCs/>
          <w:i/>
          <w:iCs/>
          <w:color w:val="0A548C"/>
          <w:lang w:val="fr-BE"/>
        </w:rPr>
        <w:t>Enfants non atteints</w:t>
      </w:r>
    </w:p>
    <w:p w:rsidR="00AC12B4" w:rsidRPr="00C27636" w:rsidRDefault="00AC12B4">
      <w:pPr>
        <w:spacing w:line="16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Actuellement, cette enquête n’est pas menée au niveau de la Communauté germanophone.</w:t>
      </w:r>
    </w:p>
    <w:p w:rsidR="00AC12B4" w:rsidRPr="00C27636" w:rsidRDefault="00AC12B4">
      <w:pPr>
        <w:spacing w:line="11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 xml:space="preserve">De plus, les élèves de </w:t>
      </w:r>
      <w:r w:rsidRPr="00C27636">
        <w:rPr>
          <w:rFonts w:ascii="Calibri" w:eastAsia="Calibri" w:hAnsi="Calibri" w:cs="Calibri"/>
          <w:lang w:val="fr-BE"/>
        </w:rPr>
        <w:t>l’enseignement spécialisé ne sont pas consultés.</w:t>
      </w:r>
    </w:p>
    <w:p w:rsidR="00AC12B4" w:rsidRPr="00C27636" w:rsidRDefault="00AC12B4">
      <w:pPr>
        <w:spacing w:line="169"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La méthodologie implique que seuls les élèves présents le jour de l’enquête remplissent le questionnaire. Cela signifie que les élèves absents car malades, non-scolarisés ou séchant les cours par exemple ne</w:t>
      </w:r>
      <w:r w:rsidRPr="00C27636">
        <w:rPr>
          <w:rFonts w:ascii="Calibri" w:eastAsia="Calibri" w:hAnsi="Calibri" w:cs="Calibri"/>
          <w:lang w:val="fr-BE"/>
        </w:rPr>
        <w:t xml:space="preserve"> sont pas repris dans cette enquête.</w:t>
      </w:r>
    </w:p>
    <w:p w:rsidR="00AC12B4" w:rsidRPr="00C27636" w:rsidRDefault="00AC12B4">
      <w:pPr>
        <w:spacing w:line="122"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A548C"/>
          <w:lang w:val="fr-BE"/>
        </w:rPr>
        <w:t>Note : Family affluence scale</w:t>
      </w:r>
    </w:p>
    <w:p w:rsidR="00AC12B4" w:rsidRPr="00C27636" w:rsidRDefault="00AC12B4">
      <w:pPr>
        <w:spacing w:line="9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Le niveau d’aisance matérielle de la famille</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xml:space="preserve"> est un score construit sur base de 6 variables :</w:t>
      </w:r>
    </w:p>
    <w:p w:rsidR="00AC12B4" w:rsidRPr="00C27636" w:rsidRDefault="00AC12B4">
      <w:pPr>
        <w:spacing w:line="84" w:lineRule="exact"/>
        <w:rPr>
          <w:sz w:val="20"/>
          <w:szCs w:val="20"/>
          <w:lang w:val="fr-BE"/>
        </w:rPr>
      </w:pPr>
    </w:p>
    <w:p w:rsidR="00AC12B4" w:rsidRPr="00C27636" w:rsidRDefault="00C27636">
      <w:pPr>
        <w:numPr>
          <w:ilvl w:val="0"/>
          <w:numId w:val="22"/>
        </w:numPr>
        <w:tabs>
          <w:tab w:val="left" w:pos="1780"/>
        </w:tabs>
        <w:ind w:left="1780" w:hanging="700"/>
        <w:rPr>
          <w:rFonts w:ascii="Calibri" w:eastAsia="Calibri" w:hAnsi="Calibri" w:cs="Calibri"/>
          <w:lang w:val="fr-BE"/>
        </w:rPr>
      </w:pPr>
      <w:r w:rsidRPr="00C27636">
        <w:rPr>
          <w:rFonts w:ascii="Calibri" w:eastAsia="Calibri" w:hAnsi="Calibri" w:cs="Calibri"/>
          <w:lang w:val="fr-BE"/>
        </w:rPr>
        <w:t>le nombre de voitures ou camionnettes possédées par la famille,</w:t>
      </w:r>
    </w:p>
    <w:p w:rsidR="00AC12B4" w:rsidRPr="00C27636" w:rsidRDefault="00AC12B4">
      <w:pPr>
        <w:spacing w:line="38" w:lineRule="exact"/>
        <w:rPr>
          <w:rFonts w:ascii="Calibri" w:eastAsia="Calibri" w:hAnsi="Calibri" w:cs="Calibri"/>
          <w:lang w:val="fr-BE"/>
        </w:rPr>
      </w:pPr>
    </w:p>
    <w:p w:rsidR="00AC12B4" w:rsidRPr="00C27636" w:rsidRDefault="00C27636">
      <w:pPr>
        <w:numPr>
          <w:ilvl w:val="0"/>
          <w:numId w:val="22"/>
        </w:numPr>
        <w:tabs>
          <w:tab w:val="left" w:pos="1780"/>
        </w:tabs>
        <w:ind w:left="1780" w:hanging="700"/>
        <w:rPr>
          <w:rFonts w:ascii="Calibri" w:eastAsia="Calibri" w:hAnsi="Calibri" w:cs="Calibri"/>
          <w:lang w:val="fr-BE"/>
        </w:rPr>
      </w:pPr>
      <w:r w:rsidRPr="00C27636">
        <w:rPr>
          <w:rFonts w:ascii="Calibri" w:eastAsia="Calibri" w:hAnsi="Calibri" w:cs="Calibri"/>
          <w:lang w:val="fr-BE"/>
        </w:rPr>
        <w:t xml:space="preserve">le fait d’avoir une </w:t>
      </w:r>
      <w:r w:rsidRPr="00C27636">
        <w:rPr>
          <w:rFonts w:ascii="Calibri" w:eastAsia="Calibri" w:hAnsi="Calibri" w:cs="Calibri"/>
          <w:lang w:val="fr-BE"/>
        </w:rPr>
        <w:t>chambre pour soi,</w:t>
      </w:r>
    </w:p>
    <w:p w:rsidR="00AC12B4" w:rsidRPr="00C27636" w:rsidRDefault="00AC12B4">
      <w:pPr>
        <w:spacing w:line="90" w:lineRule="exact"/>
        <w:rPr>
          <w:rFonts w:ascii="Calibri" w:eastAsia="Calibri" w:hAnsi="Calibri" w:cs="Calibri"/>
          <w:lang w:val="fr-BE"/>
        </w:rPr>
      </w:pPr>
    </w:p>
    <w:p w:rsidR="00AC12B4" w:rsidRPr="00C27636" w:rsidRDefault="00C27636">
      <w:pPr>
        <w:numPr>
          <w:ilvl w:val="0"/>
          <w:numId w:val="22"/>
        </w:numPr>
        <w:tabs>
          <w:tab w:val="left" w:pos="1780"/>
        </w:tabs>
        <w:spacing w:line="236" w:lineRule="auto"/>
        <w:ind w:left="1780" w:right="737" w:hanging="700"/>
        <w:rPr>
          <w:rFonts w:ascii="Calibri" w:eastAsia="Calibri" w:hAnsi="Calibri" w:cs="Calibri"/>
          <w:lang w:val="fr-BE"/>
        </w:rPr>
      </w:pPr>
      <w:r w:rsidRPr="00C27636">
        <w:rPr>
          <w:rFonts w:ascii="Calibri" w:eastAsia="Calibri" w:hAnsi="Calibri" w:cs="Calibri"/>
          <w:lang w:val="fr-BE"/>
        </w:rPr>
        <w:t>le nombre de fois où la famille est partie en vacances à l’étranger l’année précédant l’enquête,</w:t>
      </w:r>
    </w:p>
    <w:p w:rsidR="00AC12B4" w:rsidRPr="00C27636" w:rsidRDefault="00AC12B4">
      <w:pPr>
        <w:spacing w:line="42" w:lineRule="exact"/>
        <w:rPr>
          <w:rFonts w:ascii="Calibri" w:eastAsia="Calibri" w:hAnsi="Calibri" w:cs="Calibri"/>
          <w:lang w:val="fr-BE"/>
        </w:rPr>
      </w:pPr>
    </w:p>
    <w:p w:rsidR="00AC12B4" w:rsidRPr="00C27636" w:rsidRDefault="00C27636">
      <w:pPr>
        <w:numPr>
          <w:ilvl w:val="0"/>
          <w:numId w:val="22"/>
        </w:numPr>
        <w:tabs>
          <w:tab w:val="left" w:pos="1780"/>
        </w:tabs>
        <w:ind w:left="1780" w:hanging="700"/>
        <w:rPr>
          <w:rFonts w:ascii="Calibri" w:eastAsia="Calibri" w:hAnsi="Calibri" w:cs="Calibri"/>
          <w:lang w:val="fr-BE"/>
        </w:rPr>
      </w:pPr>
      <w:r w:rsidRPr="00C27636">
        <w:rPr>
          <w:rFonts w:ascii="Calibri" w:eastAsia="Calibri" w:hAnsi="Calibri" w:cs="Calibri"/>
          <w:lang w:val="fr-BE"/>
        </w:rPr>
        <w:t>le nombre d’ordinateurs dans la famille,</w:t>
      </w:r>
    </w:p>
    <w:p w:rsidR="00AC12B4" w:rsidRPr="00C27636" w:rsidRDefault="00AC12B4">
      <w:pPr>
        <w:spacing w:line="38" w:lineRule="exact"/>
        <w:rPr>
          <w:rFonts w:ascii="Calibri" w:eastAsia="Calibri" w:hAnsi="Calibri" w:cs="Calibri"/>
          <w:lang w:val="fr-BE"/>
        </w:rPr>
      </w:pPr>
    </w:p>
    <w:p w:rsidR="00AC12B4" w:rsidRPr="00C27636" w:rsidRDefault="00C27636">
      <w:pPr>
        <w:numPr>
          <w:ilvl w:val="0"/>
          <w:numId w:val="22"/>
        </w:numPr>
        <w:tabs>
          <w:tab w:val="left" w:pos="1780"/>
        </w:tabs>
        <w:ind w:left="1780" w:hanging="700"/>
        <w:rPr>
          <w:rFonts w:ascii="Calibri" w:eastAsia="Calibri" w:hAnsi="Calibri" w:cs="Calibri"/>
          <w:lang w:val="fr-BE"/>
        </w:rPr>
      </w:pPr>
      <w:r w:rsidRPr="00C27636">
        <w:rPr>
          <w:rFonts w:ascii="Calibri" w:eastAsia="Calibri" w:hAnsi="Calibri" w:cs="Calibri"/>
          <w:lang w:val="fr-BE"/>
        </w:rPr>
        <w:t>le nombre de salles de bain dans la maison</w:t>
      </w:r>
    </w:p>
    <w:p w:rsidR="00AC12B4" w:rsidRPr="00C27636" w:rsidRDefault="00AC12B4">
      <w:pPr>
        <w:spacing w:line="43" w:lineRule="exact"/>
        <w:rPr>
          <w:rFonts w:ascii="Calibri" w:eastAsia="Calibri" w:hAnsi="Calibri" w:cs="Calibri"/>
          <w:lang w:val="fr-BE"/>
        </w:rPr>
      </w:pPr>
    </w:p>
    <w:p w:rsidR="00AC12B4" w:rsidRPr="00C27636" w:rsidRDefault="00C27636">
      <w:pPr>
        <w:numPr>
          <w:ilvl w:val="0"/>
          <w:numId w:val="22"/>
        </w:numPr>
        <w:tabs>
          <w:tab w:val="left" w:pos="1780"/>
        </w:tabs>
        <w:ind w:left="1780" w:hanging="700"/>
        <w:rPr>
          <w:rFonts w:ascii="Calibri" w:eastAsia="Calibri" w:hAnsi="Calibri" w:cs="Calibri"/>
          <w:lang w:val="fr-BE"/>
        </w:rPr>
      </w:pPr>
      <w:r w:rsidRPr="00C27636">
        <w:rPr>
          <w:rFonts w:ascii="Calibri" w:eastAsia="Calibri" w:hAnsi="Calibri" w:cs="Calibri"/>
          <w:lang w:val="fr-BE"/>
        </w:rPr>
        <w:t>le fait de posséder un lave-vaisselle ou non</w:t>
      </w:r>
    </w:p>
    <w:p w:rsidR="00AC12B4" w:rsidRPr="00C27636" w:rsidRDefault="00AC12B4">
      <w:pPr>
        <w:spacing w:line="23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 xml:space="preserve">Ce </w:t>
      </w:r>
      <w:r w:rsidRPr="00C27636">
        <w:rPr>
          <w:rFonts w:ascii="Calibri" w:eastAsia="Calibri" w:hAnsi="Calibri" w:cs="Calibri"/>
          <w:lang w:val="fr-BE"/>
        </w:rPr>
        <w:t>score est ensuite ramené en 3 catégories : niveau faible, moyen ou élevé.</w:t>
      </w:r>
    </w:p>
    <w:p w:rsidR="00AC12B4" w:rsidRPr="00C27636" w:rsidRDefault="00AC12B4">
      <w:pPr>
        <w:spacing w:line="12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A548C"/>
          <w:lang w:val="fr-BE"/>
        </w:rPr>
        <w:t>Références</w:t>
      </w:r>
    </w:p>
    <w:p w:rsidR="00AC12B4" w:rsidRPr="00C27636" w:rsidRDefault="00AC12B4">
      <w:pPr>
        <w:spacing w:line="120" w:lineRule="exact"/>
        <w:rPr>
          <w:sz w:val="20"/>
          <w:szCs w:val="20"/>
          <w:lang w:val="fr-BE"/>
        </w:rPr>
      </w:pPr>
    </w:p>
    <w:p w:rsidR="00AC12B4" w:rsidRPr="00C27636" w:rsidRDefault="00C27636">
      <w:pPr>
        <w:rPr>
          <w:rFonts w:ascii="Calibri" w:eastAsia="Calibri" w:hAnsi="Calibri" w:cs="Calibri"/>
          <w:lang w:val="fr-BE"/>
        </w:rPr>
      </w:pPr>
      <w:r w:rsidRPr="00C27636">
        <w:rPr>
          <w:rFonts w:ascii="Calibri" w:eastAsia="Calibri" w:hAnsi="Calibri" w:cs="Calibri"/>
          <w:lang w:val="fr-BE"/>
        </w:rPr>
        <w:t xml:space="preserve">Site web international : </w:t>
      </w:r>
      <w:hyperlink r:id="rId34">
        <w:r w:rsidRPr="00C27636">
          <w:rPr>
            <w:rFonts w:ascii="Calibri" w:eastAsia="Calibri" w:hAnsi="Calibri" w:cs="Calibri"/>
            <w:color w:val="0000FF"/>
            <w:u w:val="single"/>
            <w:lang w:val="fr-BE"/>
          </w:rPr>
          <w:t>www.hbsc.org</w:t>
        </w:r>
      </w:hyperlink>
    </w:p>
    <w:p w:rsidR="00AC12B4" w:rsidRPr="00C27636" w:rsidRDefault="00AC12B4">
      <w:pPr>
        <w:spacing w:line="120" w:lineRule="exact"/>
        <w:rPr>
          <w:sz w:val="20"/>
          <w:szCs w:val="20"/>
          <w:lang w:val="fr-BE"/>
        </w:rPr>
      </w:pPr>
    </w:p>
    <w:p w:rsidR="00AC12B4" w:rsidRPr="00C27636" w:rsidRDefault="00C27636">
      <w:pPr>
        <w:rPr>
          <w:rFonts w:ascii="Calibri" w:eastAsia="Calibri" w:hAnsi="Calibri" w:cs="Calibri"/>
          <w:lang w:val="fr-BE"/>
        </w:rPr>
      </w:pPr>
      <w:r w:rsidRPr="00C27636">
        <w:rPr>
          <w:rFonts w:ascii="Calibri" w:eastAsia="Calibri" w:hAnsi="Calibri" w:cs="Calibri"/>
          <w:lang w:val="fr-BE"/>
        </w:rPr>
        <w:t xml:space="preserve">Publication HBSC FWB : </w:t>
      </w:r>
      <w:hyperlink r:id="rId35">
        <w:r w:rsidRPr="00C27636">
          <w:rPr>
            <w:rFonts w:ascii="Calibri" w:eastAsia="Calibri" w:hAnsi="Calibri" w:cs="Calibri"/>
            <w:color w:val="0000FF"/>
            <w:u w:val="single"/>
            <w:lang w:val="fr-BE"/>
          </w:rPr>
          <w:t>sipes.ulb.ac.be</w:t>
        </w:r>
      </w:hyperlink>
    </w:p>
    <w:p w:rsidR="00AC12B4" w:rsidRPr="00C27636" w:rsidRDefault="00AC12B4">
      <w:pPr>
        <w:spacing w:line="120" w:lineRule="exact"/>
        <w:rPr>
          <w:sz w:val="20"/>
          <w:szCs w:val="20"/>
          <w:lang w:val="fr-BE"/>
        </w:rPr>
      </w:pPr>
    </w:p>
    <w:p w:rsidR="00AC12B4" w:rsidRPr="00C27636" w:rsidRDefault="00C27636">
      <w:pPr>
        <w:rPr>
          <w:rFonts w:ascii="Calibri" w:eastAsia="Calibri" w:hAnsi="Calibri" w:cs="Calibri"/>
          <w:lang w:val="fr-BE"/>
        </w:rPr>
      </w:pPr>
      <w:r w:rsidRPr="00C27636">
        <w:rPr>
          <w:rFonts w:ascii="Calibri" w:eastAsia="Calibri" w:hAnsi="Calibri" w:cs="Calibri"/>
          <w:lang w:val="fr-BE"/>
        </w:rPr>
        <w:t xml:space="preserve">Publication HBSC Communauté flamande : </w:t>
      </w:r>
      <w:hyperlink r:id="rId36">
        <w:r w:rsidRPr="00C27636">
          <w:rPr>
            <w:rFonts w:ascii="Calibri" w:eastAsia="Calibri" w:hAnsi="Calibri" w:cs="Calibri"/>
            <w:color w:val="0000FF"/>
            <w:u w:val="single"/>
            <w:lang w:val="fr-BE"/>
          </w:rPr>
          <w:t>www.jongeren-en-gezondheid.ugent.be</w:t>
        </w:r>
      </w:hyperlink>
    </w:p>
    <w:p w:rsidR="00AC12B4" w:rsidRPr="00C27636" w:rsidRDefault="00AC12B4">
      <w:pPr>
        <w:spacing w:line="243" w:lineRule="exact"/>
        <w:rPr>
          <w:sz w:val="20"/>
          <w:szCs w:val="20"/>
          <w:lang w:val="fr-BE"/>
        </w:rPr>
      </w:pPr>
    </w:p>
    <w:p w:rsidR="00AC12B4" w:rsidRPr="00C27636" w:rsidRDefault="00C27636">
      <w:pPr>
        <w:ind w:left="560"/>
        <w:rPr>
          <w:sz w:val="20"/>
          <w:szCs w:val="20"/>
          <w:lang w:val="fr-BE"/>
        </w:rPr>
      </w:pPr>
      <w:r w:rsidRPr="00C27636">
        <w:rPr>
          <w:rFonts w:ascii="Cambria" w:eastAsia="Cambria" w:hAnsi="Cambria" w:cs="Cambria"/>
          <w:b/>
          <w:bCs/>
          <w:i/>
          <w:iCs/>
          <w:color w:val="ACD8F9"/>
          <w:sz w:val="24"/>
          <w:szCs w:val="24"/>
          <w:lang w:val="fr-BE"/>
        </w:rPr>
        <w:t>PISA</w:t>
      </w:r>
    </w:p>
    <w:p w:rsidR="00AC12B4" w:rsidRPr="00C27636" w:rsidRDefault="00AC12B4">
      <w:pPr>
        <w:spacing w:line="327"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L’Enquête PISA (Programme for International Student Assessment) est une étude triennale menée par l’OCDE.</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A548C"/>
          <w:lang w:val="fr-BE"/>
        </w:rPr>
        <w:t>Obje</w:t>
      </w:r>
      <w:r w:rsidRPr="00C27636">
        <w:rPr>
          <w:rFonts w:ascii="Calibri" w:eastAsia="Calibri" w:hAnsi="Calibri" w:cs="Calibri"/>
          <w:b/>
          <w:bCs/>
          <w:i/>
          <w:iCs/>
          <w:color w:val="0A548C"/>
          <w:lang w:val="fr-BE"/>
        </w:rPr>
        <w:t>ctif de l’enquête</w:t>
      </w:r>
    </w:p>
    <w:p w:rsidR="00AC12B4" w:rsidRPr="00C27636" w:rsidRDefault="00AC12B4">
      <w:pPr>
        <w:spacing w:line="217"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sz w:val="24"/>
          <w:szCs w:val="24"/>
          <w:lang w:val="fr-BE"/>
        </w:rPr>
        <w:t xml:space="preserve">L’enquête PISA </w:t>
      </w:r>
      <w:r w:rsidRPr="00C27636">
        <w:rPr>
          <w:rFonts w:ascii="Calibri" w:eastAsia="Calibri" w:hAnsi="Calibri" w:cs="Calibri"/>
          <w:lang w:val="fr-BE"/>
        </w:rPr>
        <w:t>a une visée prospective. Elle a pour objectif principal d’évaluer dans quelle</w:t>
      </w:r>
      <w:r w:rsidRPr="00C27636">
        <w:rPr>
          <w:rFonts w:ascii="Calibri" w:eastAsia="Calibri" w:hAnsi="Calibri" w:cs="Calibri"/>
          <w:sz w:val="24"/>
          <w:szCs w:val="24"/>
          <w:lang w:val="fr-BE"/>
        </w:rPr>
        <w:t xml:space="preserve"> </w:t>
      </w:r>
      <w:r w:rsidRPr="00C27636">
        <w:rPr>
          <w:rFonts w:ascii="Calibri" w:eastAsia="Calibri" w:hAnsi="Calibri" w:cs="Calibri"/>
          <w:lang w:val="fr-BE"/>
        </w:rPr>
        <w:t>mesure les jeunes en fin de scolarité obligatoire à temps plein sont préparés à entrer dans la vie adulte, ce qui implique de maîtriser certaine</w:t>
      </w:r>
      <w:r w:rsidRPr="00C27636">
        <w:rPr>
          <w:rFonts w:ascii="Calibri" w:eastAsia="Calibri" w:hAnsi="Calibri" w:cs="Calibri"/>
          <w:lang w:val="fr-BE"/>
        </w:rPr>
        <w:t>s connaissances et compétences essentielles en tant que futur citoyen et futur travailleur. Les élèves des 34 pays de l’OCDE et d’autant de pays partenaires sont évalués à un âge donné – 15 ans – où qu’ils soient dans leur parcours scolaire.</w:t>
      </w:r>
    </w:p>
    <w:p w:rsidR="00AC12B4" w:rsidRPr="00C27636" w:rsidRDefault="00AC12B4">
      <w:pPr>
        <w:spacing w:line="171" w:lineRule="exact"/>
        <w:rPr>
          <w:sz w:val="20"/>
          <w:szCs w:val="20"/>
          <w:lang w:val="fr-BE"/>
        </w:rPr>
      </w:pPr>
    </w:p>
    <w:p w:rsidR="00AC12B4" w:rsidRPr="00C27636" w:rsidRDefault="00C27636">
      <w:pPr>
        <w:spacing w:line="236" w:lineRule="auto"/>
        <w:ind w:right="737"/>
        <w:jc w:val="both"/>
        <w:rPr>
          <w:sz w:val="20"/>
          <w:szCs w:val="20"/>
          <w:lang w:val="fr-BE"/>
        </w:rPr>
      </w:pPr>
      <w:r w:rsidRPr="00C27636">
        <w:rPr>
          <w:rFonts w:ascii="Calibri" w:eastAsia="Calibri" w:hAnsi="Calibri" w:cs="Calibri"/>
          <w:lang w:val="fr-BE"/>
        </w:rPr>
        <w:t>L’aspect le p</w:t>
      </w:r>
      <w:r w:rsidRPr="00C27636">
        <w:rPr>
          <w:rFonts w:ascii="Calibri" w:eastAsia="Calibri" w:hAnsi="Calibri" w:cs="Calibri"/>
          <w:lang w:val="fr-BE"/>
        </w:rPr>
        <w:t>lus connu de cette enquête est la mesure des compétences en lecture, en culture mathématique et en culture scientifique. Au-delà des tests cognitifs, PISA recueille de très</w:t>
      </w:r>
    </w:p>
    <w:p w:rsidR="00AC12B4" w:rsidRPr="00C27636" w:rsidRDefault="00AC12B4">
      <w:pPr>
        <w:spacing w:line="42"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nombreuses informations auprès des élèves et des directions d’établissement. C’est</w:t>
      </w:r>
      <w:r w:rsidRPr="00C27636">
        <w:rPr>
          <w:rFonts w:ascii="Calibri" w:eastAsia="Calibri" w:hAnsi="Calibri" w:cs="Calibri"/>
          <w:lang w:val="fr-BE"/>
        </w:rPr>
        <w:t xml:space="preserve"> via ces</w:t>
      </w:r>
    </w:p>
    <w:p w:rsidR="00AC12B4" w:rsidRPr="00C27636" w:rsidRDefault="00AC12B4">
      <w:pPr>
        <w:spacing w:line="88" w:lineRule="exact"/>
        <w:rPr>
          <w:sz w:val="20"/>
          <w:szCs w:val="20"/>
          <w:lang w:val="fr-BE"/>
        </w:rPr>
      </w:pPr>
    </w:p>
    <w:p w:rsidR="00AC12B4" w:rsidRPr="00C27636" w:rsidRDefault="00C27636">
      <w:pPr>
        <w:spacing w:line="236" w:lineRule="auto"/>
        <w:ind w:right="737"/>
        <w:jc w:val="both"/>
        <w:rPr>
          <w:sz w:val="20"/>
          <w:szCs w:val="20"/>
          <w:lang w:val="fr-BE"/>
        </w:rPr>
      </w:pPr>
      <w:r w:rsidRPr="00C27636">
        <w:rPr>
          <w:rFonts w:ascii="Calibri" w:eastAsia="Calibri" w:hAnsi="Calibri" w:cs="Calibri"/>
          <w:lang w:val="fr-BE"/>
        </w:rPr>
        <w:t>questionnaires contextuels que sont récoltées des données relatives aux ressentis des élèves en matière notamment de bien-être, des contacts avec les professeurs, etc.</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79200" behindDoc="1" locked="0" layoutInCell="0" allowOverlap="1">
                <wp:simplePos x="0" y="0"/>
                <wp:positionH relativeFrom="column">
                  <wp:posOffset>0</wp:posOffset>
                </wp:positionH>
                <wp:positionV relativeFrom="paragraph">
                  <wp:posOffset>718820</wp:posOffset>
                </wp:positionV>
                <wp:extent cx="1828800"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6pt" to="144pt,56.6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3" w:lineRule="exact"/>
        <w:rPr>
          <w:sz w:val="20"/>
          <w:szCs w:val="20"/>
          <w:lang w:val="fr-BE"/>
        </w:rPr>
      </w:pPr>
    </w:p>
    <w:p w:rsidR="00AC12B4" w:rsidRPr="00C27636" w:rsidRDefault="00C27636">
      <w:pPr>
        <w:numPr>
          <w:ilvl w:val="0"/>
          <w:numId w:val="23"/>
        </w:numPr>
        <w:tabs>
          <w:tab w:val="left" w:pos="120"/>
        </w:tabs>
        <w:ind w:left="120" w:hanging="12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Family Affluence Scale - FAS, qui peut être assimilé à un indicateur </w:t>
      </w:r>
      <w:r w:rsidRPr="00C27636">
        <w:rPr>
          <w:rFonts w:ascii="Calibri" w:eastAsia="Calibri" w:hAnsi="Calibri" w:cs="Calibri"/>
          <w:sz w:val="20"/>
          <w:szCs w:val="20"/>
          <w:lang w:val="fr-BE"/>
        </w:rPr>
        <w:t>du niveau socio-économique.</w:t>
      </w:r>
    </w:p>
    <w:p w:rsidR="00AC12B4" w:rsidRPr="00C27636" w:rsidRDefault="00AC12B4">
      <w:pPr>
        <w:spacing w:line="241" w:lineRule="exact"/>
        <w:rPr>
          <w:rFonts w:ascii="Calibri" w:eastAsia="Calibri" w:hAnsi="Calibri" w:cs="Calibri"/>
          <w:sz w:val="26"/>
          <w:szCs w:val="26"/>
          <w:vertAlign w:val="superscript"/>
          <w:lang w:val="fr-BE"/>
        </w:rPr>
      </w:pPr>
    </w:p>
    <w:p w:rsidR="00AC12B4" w:rsidRPr="00C27636" w:rsidRDefault="00C27636">
      <w:pPr>
        <w:ind w:left="4120"/>
        <w:rPr>
          <w:rFonts w:ascii="Calibri" w:eastAsia="Calibri" w:hAnsi="Calibri" w:cs="Calibri"/>
          <w:sz w:val="26"/>
          <w:szCs w:val="26"/>
          <w:vertAlign w:val="superscript"/>
          <w:lang w:val="fr-BE"/>
        </w:rPr>
      </w:pPr>
      <w:r w:rsidRPr="00C27636">
        <w:rPr>
          <w:rFonts w:ascii="Calibri" w:eastAsia="Calibri" w:hAnsi="Calibri" w:cs="Calibri"/>
          <w:lang w:val="fr-BE"/>
        </w:rPr>
        <w:t>32</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3" w:lineRule="exact"/>
        <w:rPr>
          <w:sz w:val="20"/>
          <w:szCs w:val="20"/>
          <w:lang w:val="fr-BE"/>
        </w:rPr>
      </w:pPr>
      <w:bookmarkStart w:id="32" w:name="page33"/>
      <w:bookmarkEnd w:id="32"/>
    </w:p>
    <w:p w:rsidR="00AC12B4" w:rsidRPr="00C27636" w:rsidRDefault="00C27636">
      <w:pPr>
        <w:ind w:left="560"/>
        <w:rPr>
          <w:sz w:val="20"/>
          <w:szCs w:val="20"/>
          <w:lang w:val="fr-BE"/>
        </w:rPr>
      </w:pPr>
      <w:r w:rsidRPr="00C27636">
        <w:rPr>
          <w:rFonts w:ascii="Calibri" w:eastAsia="Calibri" w:hAnsi="Calibri" w:cs="Calibri"/>
          <w:b/>
          <w:bCs/>
          <w:i/>
          <w:iCs/>
          <w:color w:val="0A548C"/>
          <w:lang w:val="fr-BE"/>
        </w:rPr>
        <w:t>Modalités</w:t>
      </w:r>
    </w:p>
    <w:p w:rsidR="00AC12B4" w:rsidRPr="00C27636" w:rsidRDefault="00AC12B4">
      <w:pPr>
        <w:spacing w:line="210" w:lineRule="exact"/>
        <w:rPr>
          <w:sz w:val="20"/>
          <w:szCs w:val="20"/>
          <w:lang w:val="fr-BE"/>
        </w:rPr>
      </w:pPr>
    </w:p>
    <w:p w:rsidR="00AC12B4" w:rsidRPr="00C27636" w:rsidRDefault="00C27636">
      <w:pPr>
        <w:spacing w:line="261" w:lineRule="auto"/>
        <w:ind w:left="560" w:right="157"/>
        <w:jc w:val="both"/>
        <w:rPr>
          <w:sz w:val="20"/>
          <w:szCs w:val="20"/>
          <w:lang w:val="fr-BE"/>
        </w:rPr>
      </w:pPr>
      <w:r w:rsidRPr="00C27636">
        <w:rPr>
          <w:rFonts w:ascii="Calibri" w:eastAsia="Calibri" w:hAnsi="Calibri" w:cs="Calibri"/>
          <w:lang w:val="fr-BE"/>
        </w:rPr>
        <w:t>Enquête par questionnaire. Les élèves présents le jour de l’enquête répondent au questionnaire par écrit sous la surveillance d’un enquêteur externe. L’enquête PISA a lieu tous les trois ans depui</w:t>
      </w:r>
      <w:r w:rsidRPr="00C27636">
        <w:rPr>
          <w:rFonts w:ascii="Calibri" w:eastAsia="Calibri" w:hAnsi="Calibri" w:cs="Calibri"/>
          <w:lang w:val="fr-BE"/>
        </w:rPr>
        <w:t>s l’année 2000. A chaque cycle, un domaine (lecture, culture mathématique ou culture scientifique) constitue le domaine principal de l’épreuve tandis que les deux autres</w:t>
      </w:r>
    </w:p>
    <w:p w:rsidR="00AC12B4" w:rsidRPr="00C27636" w:rsidRDefault="00AC12B4">
      <w:pPr>
        <w:spacing w:line="16"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 xml:space="preserve">sont évalués, mais à titre secondaire. L’enquête teste en alternance les compétences </w:t>
      </w:r>
      <w:r w:rsidRPr="00C27636">
        <w:rPr>
          <w:rFonts w:ascii="Calibri" w:eastAsia="Calibri" w:hAnsi="Calibri" w:cs="Calibri"/>
          <w:lang w:val="fr-BE"/>
        </w:rPr>
        <w:t>en</w:t>
      </w:r>
    </w:p>
    <w:p w:rsidR="00AC12B4" w:rsidRPr="00C27636" w:rsidRDefault="00AC12B4">
      <w:pPr>
        <w:spacing w:line="4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lecture, mathématique et science. Ainsi l’enquête de 2012 s’est concentrée sur la culture</w:t>
      </w:r>
    </w:p>
    <w:p w:rsidR="00AC12B4" w:rsidRPr="00C27636" w:rsidRDefault="00AC12B4">
      <w:pPr>
        <w:spacing w:line="4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mathématique.</w:t>
      </w:r>
    </w:p>
    <w:p w:rsidR="00AC12B4" w:rsidRPr="00C27636" w:rsidRDefault="00AC12B4">
      <w:pPr>
        <w:spacing w:line="159"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i/>
          <w:iCs/>
          <w:color w:val="0A548C"/>
          <w:lang w:val="fr-BE"/>
        </w:rPr>
        <w:t>Enfants atteints par l’enquête</w:t>
      </w:r>
    </w:p>
    <w:p w:rsidR="00AC12B4" w:rsidRPr="00C27636" w:rsidRDefault="00AC12B4">
      <w:pPr>
        <w:spacing w:line="210" w:lineRule="exact"/>
        <w:rPr>
          <w:sz w:val="20"/>
          <w:szCs w:val="20"/>
          <w:lang w:val="fr-BE"/>
        </w:rPr>
      </w:pPr>
    </w:p>
    <w:p w:rsidR="00AC12B4" w:rsidRPr="00C27636" w:rsidRDefault="00C27636">
      <w:pPr>
        <w:spacing w:line="236" w:lineRule="auto"/>
        <w:ind w:left="560" w:right="157"/>
        <w:jc w:val="both"/>
        <w:rPr>
          <w:sz w:val="20"/>
          <w:szCs w:val="20"/>
          <w:lang w:val="fr-BE"/>
        </w:rPr>
      </w:pPr>
      <w:r w:rsidRPr="00C27636">
        <w:rPr>
          <w:rFonts w:ascii="Calibri" w:eastAsia="Calibri" w:hAnsi="Calibri" w:cs="Calibri"/>
          <w:lang w:val="fr-BE"/>
        </w:rPr>
        <w:t xml:space="preserve">Le public cible de cette enquête est les jeunes scolarisés de 15 ans. En Belgique, 8.000 jeunes environ sont </w:t>
      </w:r>
      <w:r w:rsidRPr="00C27636">
        <w:rPr>
          <w:rFonts w:ascii="Calibri" w:eastAsia="Calibri" w:hAnsi="Calibri" w:cs="Calibri"/>
          <w:lang w:val="fr-BE"/>
        </w:rPr>
        <w:t>interrogés dans le cadre de cette enquête (en 2012, près de 500.000 pour</w:t>
      </w:r>
    </w:p>
    <w:p w:rsidR="00AC12B4" w:rsidRPr="00C27636" w:rsidRDefault="00AC12B4">
      <w:pPr>
        <w:spacing w:line="40"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l’ensemble des pays participants).</w:t>
      </w:r>
    </w:p>
    <w:p w:rsidR="00AC12B4" w:rsidRPr="00C27636" w:rsidRDefault="00AC12B4">
      <w:pPr>
        <w:spacing w:line="16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i/>
          <w:iCs/>
          <w:color w:val="0A548C"/>
          <w:lang w:val="fr-BE"/>
        </w:rPr>
        <w:t>Enfants non atteints</w:t>
      </w:r>
    </w:p>
    <w:p w:rsidR="00AC12B4" w:rsidRPr="00C27636" w:rsidRDefault="00AC12B4">
      <w:pPr>
        <w:spacing w:line="210" w:lineRule="exact"/>
        <w:rPr>
          <w:sz w:val="20"/>
          <w:szCs w:val="20"/>
          <w:lang w:val="fr-BE"/>
        </w:rPr>
      </w:pPr>
    </w:p>
    <w:p w:rsidR="00AC12B4" w:rsidRPr="00C27636" w:rsidRDefault="00C27636">
      <w:pPr>
        <w:spacing w:line="210" w:lineRule="auto"/>
        <w:ind w:left="560" w:right="177"/>
        <w:jc w:val="both"/>
        <w:rPr>
          <w:sz w:val="20"/>
          <w:szCs w:val="20"/>
          <w:lang w:val="fr-BE"/>
        </w:rPr>
      </w:pPr>
      <w:r w:rsidRPr="00C27636">
        <w:rPr>
          <w:rFonts w:ascii="Calibri" w:eastAsia="Calibri" w:hAnsi="Calibri" w:cs="Calibri"/>
          <w:lang w:val="fr-BE"/>
        </w:rPr>
        <w:t>Les enfants de plus ou de moins de quinze ans ainsi que ceux qui ne sont pas scolarisés ou absents</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 xml:space="preserve"> le jour de l’enquête ne </w:t>
      </w:r>
      <w:r w:rsidRPr="00C27636">
        <w:rPr>
          <w:rFonts w:ascii="Calibri" w:eastAsia="Calibri" w:hAnsi="Calibri" w:cs="Calibri"/>
          <w:lang w:val="fr-BE"/>
        </w:rPr>
        <w:t>sont pas atteint par cette enquête.</w:t>
      </w:r>
    </w:p>
    <w:p w:rsidR="00AC12B4" w:rsidRPr="00C27636" w:rsidRDefault="00AC12B4">
      <w:pPr>
        <w:spacing w:line="134"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De plus, seule une partie des formes de l'enseignement spécialisé, c-à-d celles qui mèneront à une orientation vers le secteur de travail commun, sont touchées par l'enquête (FWB: formes 3 et 4, Communauté flamande: BUS</w:t>
      </w:r>
      <w:r w:rsidRPr="00C27636">
        <w:rPr>
          <w:rFonts w:ascii="Calibri" w:eastAsia="Calibri" w:hAnsi="Calibri" w:cs="Calibri"/>
          <w:lang w:val="fr-BE"/>
        </w:rPr>
        <w:t>O type 1 – forme 3</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w:t>
      </w:r>
    </w:p>
    <w:p w:rsidR="00AC12B4" w:rsidRPr="00C27636" w:rsidRDefault="00AC12B4">
      <w:pPr>
        <w:spacing w:line="8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i/>
          <w:iCs/>
          <w:color w:val="0A548C"/>
          <w:lang w:val="fr-BE"/>
        </w:rPr>
        <w:t>Temporalité</w:t>
      </w:r>
    </w:p>
    <w:p w:rsidR="00AC12B4" w:rsidRPr="00C27636" w:rsidRDefault="00AC12B4">
      <w:pPr>
        <w:spacing w:line="210" w:lineRule="exact"/>
        <w:rPr>
          <w:sz w:val="20"/>
          <w:szCs w:val="20"/>
          <w:lang w:val="fr-BE"/>
        </w:rPr>
      </w:pPr>
    </w:p>
    <w:p w:rsidR="00AC12B4" w:rsidRPr="00C27636" w:rsidRDefault="00C27636">
      <w:pPr>
        <w:spacing w:line="225" w:lineRule="auto"/>
        <w:ind w:left="560" w:right="177"/>
        <w:jc w:val="both"/>
        <w:rPr>
          <w:sz w:val="20"/>
          <w:szCs w:val="20"/>
          <w:lang w:val="fr-BE"/>
        </w:rPr>
      </w:pPr>
      <w:r w:rsidRPr="00C27636">
        <w:rPr>
          <w:rFonts w:ascii="Calibri" w:eastAsia="Calibri" w:hAnsi="Calibri" w:cs="Calibri"/>
          <w:lang w:val="fr-BE"/>
        </w:rPr>
        <w:t>L’enquête est réalisée tous les 3 ans. Le premier rapport international est diffusé en décembre de l’année suivant la collecte. A cette même date, toutes les bases de données sont également rendues publiques. Les dernièr</w:t>
      </w:r>
      <w:r w:rsidRPr="00C27636">
        <w:rPr>
          <w:rFonts w:ascii="Calibri" w:eastAsia="Calibri" w:hAnsi="Calibri" w:cs="Calibri"/>
          <w:lang w:val="fr-BE"/>
        </w:rPr>
        <w:t>es données disponibles sont celles de 2012.</w:t>
      </w:r>
    </w:p>
    <w:p w:rsidR="00AC12B4" w:rsidRPr="00C27636" w:rsidRDefault="00AC12B4">
      <w:pPr>
        <w:spacing w:line="247" w:lineRule="exact"/>
        <w:rPr>
          <w:sz w:val="20"/>
          <w:szCs w:val="20"/>
          <w:lang w:val="fr-BE"/>
        </w:rPr>
      </w:pPr>
    </w:p>
    <w:p w:rsidR="00AC12B4" w:rsidRPr="00C27636" w:rsidRDefault="00C27636">
      <w:pPr>
        <w:ind w:left="1140"/>
        <w:rPr>
          <w:sz w:val="20"/>
          <w:szCs w:val="20"/>
          <w:lang w:val="fr-BE"/>
        </w:rPr>
      </w:pPr>
      <w:r w:rsidRPr="00C27636">
        <w:rPr>
          <w:rFonts w:ascii="Cambria" w:eastAsia="Cambria" w:hAnsi="Cambria" w:cs="Cambria"/>
          <w:b/>
          <w:bCs/>
          <w:i/>
          <w:iCs/>
          <w:color w:val="ACD8F9"/>
          <w:sz w:val="24"/>
          <w:szCs w:val="24"/>
          <w:lang w:val="fr-BE"/>
        </w:rPr>
        <w:t>HIS</w:t>
      </w:r>
    </w:p>
    <w:p w:rsidR="00AC12B4" w:rsidRPr="00C27636" w:rsidRDefault="00AC12B4">
      <w:pPr>
        <w:spacing w:line="276"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L’enquête de Santé nationale est réalisée par l’Institut Scientifique de Santé Publique (ISP).</w:t>
      </w:r>
    </w:p>
    <w:p w:rsidR="00AC12B4" w:rsidRPr="00C27636" w:rsidRDefault="00C27636">
      <w:pPr>
        <w:ind w:left="560"/>
        <w:rPr>
          <w:sz w:val="20"/>
          <w:szCs w:val="20"/>
          <w:lang w:val="fr-BE"/>
        </w:rPr>
      </w:pPr>
      <w:r w:rsidRPr="00C27636">
        <w:rPr>
          <w:rFonts w:ascii="Calibri" w:eastAsia="Calibri" w:hAnsi="Calibri" w:cs="Calibri"/>
          <w:lang w:val="fr-BE"/>
        </w:rPr>
        <w:t>Elle est réalisée périodiquement en Belgique depuis 1997.</w:t>
      </w:r>
    </w:p>
    <w:p w:rsidR="00AC12B4" w:rsidRPr="00C27636" w:rsidRDefault="00AC12B4">
      <w:pPr>
        <w:spacing w:line="95" w:lineRule="exact"/>
        <w:rPr>
          <w:sz w:val="20"/>
          <w:szCs w:val="20"/>
          <w:lang w:val="fr-BE"/>
        </w:rPr>
      </w:pPr>
    </w:p>
    <w:p w:rsidR="00AC12B4" w:rsidRDefault="00C27636">
      <w:pPr>
        <w:ind w:left="560"/>
        <w:rPr>
          <w:sz w:val="20"/>
          <w:szCs w:val="20"/>
        </w:rPr>
      </w:pPr>
      <w:r>
        <w:rPr>
          <w:rFonts w:ascii="Calibri" w:eastAsia="Calibri" w:hAnsi="Calibri" w:cs="Calibri"/>
          <w:b/>
          <w:bCs/>
          <w:i/>
          <w:iCs/>
          <w:color w:val="0A548C"/>
        </w:rPr>
        <w:t>Objectif de l’enquête</w:t>
      </w:r>
      <w:r>
        <w:rPr>
          <w:rFonts w:ascii="Calibri" w:eastAsia="Calibri" w:hAnsi="Calibri" w:cs="Calibri"/>
          <w:b/>
          <w:bCs/>
          <w:i/>
          <w:iCs/>
          <w:color w:val="0A548C"/>
          <w:sz w:val="27"/>
          <w:szCs w:val="27"/>
          <w:vertAlign w:val="superscript"/>
        </w:rPr>
        <w:t>6</w:t>
      </w:r>
    </w:p>
    <w:p w:rsidR="00AC12B4" w:rsidRDefault="00AC12B4">
      <w:pPr>
        <w:spacing w:line="125" w:lineRule="exact"/>
        <w:rPr>
          <w:sz w:val="20"/>
          <w:szCs w:val="20"/>
        </w:rPr>
      </w:pPr>
    </w:p>
    <w:p w:rsidR="00AC12B4" w:rsidRPr="00C27636" w:rsidRDefault="00C27636">
      <w:pPr>
        <w:numPr>
          <w:ilvl w:val="0"/>
          <w:numId w:val="24"/>
        </w:numPr>
        <w:tabs>
          <w:tab w:val="left" w:pos="1280"/>
        </w:tabs>
        <w:ind w:left="1280" w:hanging="353"/>
        <w:rPr>
          <w:rFonts w:ascii="Calibri" w:eastAsia="Calibri" w:hAnsi="Calibri" w:cs="Calibri"/>
          <w:lang w:val="fr-BE"/>
        </w:rPr>
      </w:pPr>
      <w:r w:rsidRPr="00C27636">
        <w:rPr>
          <w:rFonts w:ascii="Calibri" w:eastAsia="Calibri" w:hAnsi="Calibri" w:cs="Calibri"/>
          <w:lang w:val="fr-BE"/>
        </w:rPr>
        <w:t>Identification des priorités</w:t>
      </w:r>
      <w:r w:rsidRPr="00C27636">
        <w:rPr>
          <w:rFonts w:ascii="Calibri" w:eastAsia="Calibri" w:hAnsi="Calibri" w:cs="Calibri"/>
          <w:lang w:val="fr-BE"/>
        </w:rPr>
        <w:t xml:space="preserve"> en matière de santé</w:t>
      </w:r>
    </w:p>
    <w:p w:rsidR="00AC12B4" w:rsidRPr="00C27636" w:rsidRDefault="00AC12B4">
      <w:pPr>
        <w:spacing w:line="41" w:lineRule="exact"/>
        <w:rPr>
          <w:rFonts w:ascii="Calibri" w:eastAsia="Calibri" w:hAnsi="Calibri" w:cs="Calibri"/>
          <w:lang w:val="fr-BE"/>
        </w:rPr>
      </w:pPr>
    </w:p>
    <w:p w:rsidR="00AC12B4" w:rsidRPr="00C27636" w:rsidRDefault="00C27636">
      <w:pPr>
        <w:numPr>
          <w:ilvl w:val="0"/>
          <w:numId w:val="24"/>
        </w:numPr>
        <w:tabs>
          <w:tab w:val="left" w:pos="1280"/>
        </w:tabs>
        <w:ind w:left="1280" w:hanging="353"/>
        <w:rPr>
          <w:rFonts w:ascii="Calibri" w:eastAsia="Calibri" w:hAnsi="Calibri" w:cs="Calibri"/>
          <w:lang w:val="fr-BE"/>
        </w:rPr>
      </w:pPr>
      <w:r w:rsidRPr="00C27636">
        <w:rPr>
          <w:rFonts w:ascii="Calibri" w:eastAsia="Calibri" w:hAnsi="Calibri" w:cs="Calibri"/>
          <w:lang w:val="fr-BE"/>
        </w:rPr>
        <w:t>Description de l'état de santé et des besoins en matière de santé de la population</w:t>
      </w:r>
    </w:p>
    <w:p w:rsidR="00AC12B4" w:rsidRPr="00C27636" w:rsidRDefault="00AC12B4">
      <w:pPr>
        <w:spacing w:line="38" w:lineRule="exact"/>
        <w:rPr>
          <w:rFonts w:ascii="Calibri" w:eastAsia="Calibri" w:hAnsi="Calibri" w:cs="Calibri"/>
          <w:lang w:val="fr-BE"/>
        </w:rPr>
      </w:pPr>
    </w:p>
    <w:p w:rsidR="00AC12B4" w:rsidRPr="00C27636" w:rsidRDefault="00C27636">
      <w:pPr>
        <w:numPr>
          <w:ilvl w:val="0"/>
          <w:numId w:val="24"/>
        </w:numPr>
        <w:tabs>
          <w:tab w:val="left" w:pos="1280"/>
        </w:tabs>
        <w:ind w:left="1280" w:hanging="353"/>
        <w:rPr>
          <w:rFonts w:ascii="Calibri" w:eastAsia="Calibri" w:hAnsi="Calibri" w:cs="Calibri"/>
          <w:lang w:val="fr-BE"/>
        </w:rPr>
      </w:pPr>
      <w:r w:rsidRPr="00C27636">
        <w:rPr>
          <w:rFonts w:ascii="Calibri" w:eastAsia="Calibri" w:hAnsi="Calibri" w:cs="Calibri"/>
          <w:lang w:val="fr-BE"/>
        </w:rPr>
        <w:lastRenderedPageBreak/>
        <w:t>Estimation de la prévalence et répartition des indicateurs de santé</w:t>
      </w:r>
    </w:p>
    <w:p w:rsidR="00AC12B4" w:rsidRPr="00C27636" w:rsidRDefault="00AC12B4">
      <w:pPr>
        <w:spacing w:line="41" w:lineRule="exact"/>
        <w:rPr>
          <w:rFonts w:ascii="Calibri" w:eastAsia="Calibri" w:hAnsi="Calibri" w:cs="Calibri"/>
          <w:lang w:val="fr-BE"/>
        </w:rPr>
      </w:pPr>
    </w:p>
    <w:p w:rsidR="00AC12B4" w:rsidRPr="00C27636" w:rsidRDefault="00C27636">
      <w:pPr>
        <w:numPr>
          <w:ilvl w:val="0"/>
          <w:numId w:val="24"/>
        </w:numPr>
        <w:tabs>
          <w:tab w:val="left" w:pos="1280"/>
        </w:tabs>
        <w:ind w:left="1280" w:hanging="353"/>
        <w:rPr>
          <w:rFonts w:ascii="Calibri" w:eastAsia="Calibri" w:hAnsi="Calibri" w:cs="Calibri"/>
          <w:lang w:val="fr-BE"/>
        </w:rPr>
      </w:pPr>
      <w:r w:rsidRPr="00C27636">
        <w:rPr>
          <w:rFonts w:ascii="Calibri" w:eastAsia="Calibri" w:hAnsi="Calibri" w:cs="Calibri"/>
          <w:lang w:val="fr-BE"/>
        </w:rPr>
        <w:t>Analyse des inégalités sociales en matière de santé et d'accès aux soins de santé</w:t>
      </w:r>
    </w:p>
    <w:p w:rsidR="00AC12B4" w:rsidRPr="00C27636" w:rsidRDefault="00AC12B4">
      <w:pPr>
        <w:spacing w:line="41" w:lineRule="exact"/>
        <w:rPr>
          <w:rFonts w:ascii="Calibri" w:eastAsia="Calibri" w:hAnsi="Calibri" w:cs="Calibri"/>
          <w:lang w:val="fr-BE"/>
        </w:rPr>
      </w:pPr>
    </w:p>
    <w:p w:rsidR="00AC12B4" w:rsidRPr="00C27636" w:rsidRDefault="00C27636">
      <w:pPr>
        <w:numPr>
          <w:ilvl w:val="0"/>
          <w:numId w:val="24"/>
        </w:numPr>
        <w:tabs>
          <w:tab w:val="left" w:pos="1280"/>
        </w:tabs>
        <w:ind w:left="1280" w:hanging="353"/>
        <w:rPr>
          <w:rFonts w:ascii="Calibri" w:eastAsia="Calibri" w:hAnsi="Calibri" w:cs="Calibri"/>
          <w:lang w:val="fr-BE"/>
        </w:rPr>
      </w:pPr>
      <w:r w:rsidRPr="00C27636">
        <w:rPr>
          <w:rFonts w:ascii="Calibri" w:eastAsia="Calibri" w:hAnsi="Calibri" w:cs="Calibri"/>
          <w:lang w:val="fr-BE"/>
        </w:rPr>
        <w:t>Etude de la consommation des soins et de ses déterminants</w:t>
      </w:r>
    </w:p>
    <w:p w:rsidR="00AC12B4" w:rsidRPr="00C27636" w:rsidRDefault="00AC12B4">
      <w:pPr>
        <w:spacing w:line="88" w:lineRule="exact"/>
        <w:rPr>
          <w:rFonts w:ascii="Calibri" w:eastAsia="Calibri" w:hAnsi="Calibri" w:cs="Calibri"/>
          <w:lang w:val="fr-BE"/>
        </w:rPr>
      </w:pPr>
    </w:p>
    <w:p w:rsidR="00AC12B4" w:rsidRPr="00C27636" w:rsidRDefault="00C27636">
      <w:pPr>
        <w:numPr>
          <w:ilvl w:val="0"/>
          <w:numId w:val="24"/>
        </w:numPr>
        <w:tabs>
          <w:tab w:val="left" w:pos="1280"/>
        </w:tabs>
        <w:spacing w:line="237" w:lineRule="auto"/>
        <w:ind w:left="1280" w:right="177" w:hanging="353"/>
        <w:rPr>
          <w:rFonts w:ascii="Calibri" w:eastAsia="Calibri" w:hAnsi="Calibri" w:cs="Calibri"/>
          <w:lang w:val="fr-BE"/>
        </w:rPr>
      </w:pPr>
      <w:r w:rsidRPr="00C27636">
        <w:rPr>
          <w:rFonts w:ascii="Calibri" w:eastAsia="Calibri" w:hAnsi="Calibri" w:cs="Calibri"/>
          <w:lang w:val="fr-BE"/>
        </w:rPr>
        <w:t>Observation des tendances au cours du temps en ce qui concerne la santé de la population</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80224" behindDoc="1" locked="0" layoutInCell="0" allowOverlap="1">
                <wp:simplePos x="0" y="0"/>
                <wp:positionH relativeFrom="column">
                  <wp:posOffset>359410</wp:posOffset>
                </wp:positionH>
                <wp:positionV relativeFrom="paragraph">
                  <wp:posOffset>452120</wp:posOffset>
                </wp:positionV>
                <wp:extent cx="1829435"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35.6pt" to="172.35pt,35.6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3" w:lineRule="exact"/>
        <w:rPr>
          <w:sz w:val="20"/>
          <w:szCs w:val="20"/>
          <w:lang w:val="fr-BE"/>
        </w:rPr>
      </w:pPr>
    </w:p>
    <w:p w:rsidR="00AC12B4" w:rsidRPr="00C27636" w:rsidRDefault="00C27636">
      <w:pPr>
        <w:numPr>
          <w:ilvl w:val="0"/>
          <w:numId w:val="25"/>
        </w:numPr>
        <w:tabs>
          <w:tab w:val="left" w:pos="680"/>
        </w:tabs>
        <w:ind w:left="680" w:hanging="113"/>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Sauf en cas de séance de rattrapage si le taux d’absence le jour de l’enquête est trop élevé.</w:t>
      </w:r>
    </w:p>
    <w:p w:rsidR="00AC12B4" w:rsidRPr="00C27636" w:rsidRDefault="00AC12B4">
      <w:pPr>
        <w:spacing w:line="167" w:lineRule="exact"/>
        <w:rPr>
          <w:rFonts w:ascii="Calibri" w:eastAsia="Calibri" w:hAnsi="Calibri" w:cs="Calibri"/>
          <w:sz w:val="26"/>
          <w:szCs w:val="26"/>
          <w:vertAlign w:val="superscript"/>
          <w:lang w:val="fr-BE"/>
        </w:rPr>
      </w:pPr>
    </w:p>
    <w:p w:rsidR="00AC12B4" w:rsidRPr="00C27636" w:rsidRDefault="00C27636">
      <w:pPr>
        <w:numPr>
          <w:ilvl w:val="0"/>
          <w:numId w:val="25"/>
        </w:numPr>
        <w:tabs>
          <w:tab w:val="left" w:pos="673"/>
        </w:tabs>
        <w:spacing w:line="187" w:lineRule="auto"/>
        <w:ind w:left="560" w:right="177" w:firstLine="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PISA </w:t>
      </w:r>
      <w:r w:rsidRPr="00C27636">
        <w:rPr>
          <w:rFonts w:ascii="Calibri" w:eastAsia="Calibri" w:hAnsi="Calibri" w:cs="Calibri"/>
          <w:sz w:val="20"/>
          <w:szCs w:val="20"/>
          <w:lang w:val="fr-BE"/>
        </w:rPr>
        <w:t>Flandre utilise pour ce groupe cible des questions simplifiées, regroupées dans une brochure plus restreinte. Si une école propose de l’enseignement des types 1 et 3, elle peut choisir si elle préfère</w:t>
      </w:r>
    </w:p>
    <w:p w:rsidR="00AC12B4" w:rsidRPr="00C27636" w:rsidRDefault="00AC12B4">
      <w:pPr>
        <w:spacing w:line="2" w:lineRule="exact"/>
        <w:rPr>
          <w:rFonts w:ascii="Calibri" w:eastAsia="Calibri" w:hAnsi="Calibri" w:cs="Calibri"/>
          <w:sz w:val="26"/>
          <w:szCs w:val="26"/>
          <w:vertAlign w:val="superscript"/>
          <w:lang w:val="fr-BE"/>
        </w:rPr>
      </w:pPr>
    </w:p>
    <w:p w:rsidR="00AC12B4" w:rsidRPr="00C27636" w:rsidRDefault="00C27636">
      <w:pPr>
        <w:ind w:left="56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également soumettre le questionnaire aux élèves du typ</w:t>
      </w:r>
      <w:r w:rsidRPr="00C27636">
        <w:rPr>
          <w:rFonts w:ascii="Calibri" w:eastAsia="Calibri" w:hAnsi="Calibri" w:cs="Calibri"/>
          <w:sz w:val="20"/>
          <w:szCs w:val="20"/>
          <w:lang w:val="fr-BE"/>
        </w:rPr>
        <w:t>e 3.</w:t>
      </w:r>
    </w:p>
    <w:p w:rsidR="00AC12B4" w:rsidRPr="00C27636" w:rsidRDefault="00AC12B4">
      <w:pPr>
        <w:spacing w:line="47" w:lineRule="exact"/>
        <w:rPr>
          <w:rFonts w:ascii="Calibri" w:eastAsia="Calibri" w:hAnsi="Calibri" w:cs="Calibri"/>
          <w:sz w:val="26"/>
          <w:szCs w:val="26"/>
          <w:vertAlign w:val="superscript"/>
          <w:lang w:val="fr-BE"/>
        </w:rPr>
      </w:pPr>
    </w:p>
    <w:p w:rsidR="00AC12B4" w:rsidRPr="00C27636" w:rsidRDefault="00C27636">
      <w:pPr>
        <w:numPr>
          <w:ilvl w:val="0"/>
          <w:numId w:val="25"/>
        </w:numPr>
        <w:tabs>
          <w:tab w:val="left" w:pos="680"/>
        </w:tabs>
        <w:ind w:left="680" w:hanging="113"/>
        <w:rPr>
          <w:rFonts w:ascii="Calibri" w:eastAsia="Calibri" w:hAnsi="Calibri" w:cs="Calibri"/>
          <w:color w:val="0000FF"/>
          <w:sz w:val="20"/>
          <w:szCs w:val="20"/>
          <w:lang w:val="fr-BE"/>
        </w:rPr>
      </w:pPr>
      <w:hyperlink r:id="rId37">
        <w:r w:rsidRPr="00C27636">
          <w:rPr>
            <w:rFonts w:ascii="Calibri" w:eastAsia="Calibri" w:hAnsi="Calibri" w:cs="Calibri"/>
            <w:color w:val="0000FF"/>
            <w:sz w:val="20"/>
            <w:szCs w:val="20"/>
            <w:u w:val="single"/>
            <w:lang w:val="fr-BE"/>
          </w:rPr>
          <w:t>https://his.wiv-isp.be/fr/SitePages/Objectifs.aspx</w:t>
        </w:r>
        <w:r w:rsidRPr="00C27636">
          <w:rPr>
            <w:rFonts w:ascii="Calibri" w:eastAsia="Calibri" w:hAnsi="Calibri" w:cs="Calibri"/>
            <w:color w:val="000000"/>
            <w:sz w:val="20"/>
            <w:szCs w:val="20"/>
            <w:lang w:val="fr-BE"/>
          </w:rPr>
          <w:t>.</w:t>
        </w:r>
      </w:hyperlink>
    </w:p>
    <w:p w:rsidR="00AC12B4" w:rsidRPr="00C27636" w:rsidRDefault="00AC12B4">
      <w:pPr>
        <w:spacing w:line="241"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33</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3" w:lineRule="exact"/>
        <w:rPr>
          <w:sz w:val="20"/>
          <w:szCs w:val="20"/>
          <w:lang w:val="fr-BE"/>
        </w:rPr>
      </w:pPr>
      <w:bookmarkStart w:id="33" w:name="page34"/>
      <w:bookmarkEnd w:id="33"/>
    </w:p>
    <w:p w:rsidR="00AC12B4" w:rsidRPr="00C27636" w:rsidRDefault="00C27636">
      <w:pPr>
        <w:rPr>
          <w:sz w:val="20"/>
          <w:szCs w:val="20"/>
          <w:lang w:val="fr-BE"/>
        </w:rPr>
      </w:pPr>
      <w:r w:rsidRPr="00C27636">
        <w:rPr>
          <w:rFonts w:ascii="Calibri" w:eastAsia="Calibri" w:hAnsi="Calibri" w:cs="Calibri"/>
          <w:b/>
          <w:bCs/>
          <w:i/>
          <w:iCs/>
          <w:color w:val="0A548C"/>
          <w:lang w:val="fr-BE"/>
        </w:rPr>
        <w:t>Modalités</w:t>
      </w:r>
    </w:p>
    <w:p w:rsidR="00AC12B4" w:rsidRPr="00C27636" w:rsidRDefault="00AC12B4">
      <w:pPr>
        <w:spacing w:line="210" w:lineRule="exact"/>
        <w:rPr>
          <w:sz w:val="20"/>
          <w:szCs w:val="20"/>
          <w:lang w:val="fr-BE"/>
        </w:rPr>
      </w:pPr>
    </w:p>
    <w:p w:rsidR="00AC12B4" w:rsidRPr="00C27636" w:rsidRDefault="00C27636">
      <w:pPr>
        <w:spacing w:line="217" w:lineRule="auto"/>
        <w:ind w:right="737"/>
        <w:rPr>
          <w:sz w:val="20"/>
          <w:szCs w:val="20"/>
          <w:lang w:val="fr-BE"/>
        </w:rPr>
      </w:pPr>
      <w:r w:rsidRPr="00C27636">
        <w:rPr>
          <w:rFonts w:ascii="Calibri" w:eastAsia="Calibri" w:hAnsi="Calibri" w:cs="Calibri"/>
          <w:lang w:val="fr-BE"/>
        </w:rPr>
        <w:t xml:space="preserve">La collecte des données se fait au domicile des répondants par des enquêteurs formés à cet </w:t>
      </w:r>
      <w:r w:rsidRPr="00C27636">
        <w:rPr>
          <w:rFonts w:ascii="Calibri" w:eastAsia="Calibri" w:hAnsi="Calibri" w:cs="Calibri"/>
          <w:lang w:val="fr-BE"/>
        </w:rPr>
        <w:t>effet.</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L’enquête est réalisée sous plusieurs formes :</w:t>
      </w:r>
    </w:p>
    <w:p w:rsidR="00AC12B4" w:rsidRPr="00C27636" w:rsidRDefault="00AC12B4">
      <w:pPr>
        <w:spacing w:line="120" w:lineRule="exact"/>
        <w:rPr>
          <w:sz w:val="20"/>
          <w:szCs w:val="20"/>
          <w:lang w:val="fr-BE"/>
        </w:rPr>
      </w:pPr>
    </w:p>
    <w:p w:rsidR="00AC12B4" w:rsidRDefault="00C27636">
      <w:pPr>
        <w:numPr>
          <w:ilvl w:val="0"/>
          <w:numId w:val="26"/>
        </w:numPr>
        <w:tabs>
          <w:tab w:val="left" w:pos="720"/>
        </w:tabs>
        <w:ind w:left="720" w:hanging="360"/>
        <w:rPr>
          <w:rFonts w:ascii="Calibri" w:eastAsia="Calibri" w:hAnsi="Calibri" w:cs="Calibri"/>
        </w:rPr>
      </w:pPr>
      <w:r>
        <w:rPr>
          <w:rFonts w:ascii="Calibri" w:eastAsia="Calibri" w:hAnsi="Calibri" w:cs="Calibri"/>
        </w:rPr>
        <w:t>un questionnaire pour le ménage</w:t>
      </w:r>
    </w:p>
    <w:p w:rsidR="00AC12B4" w:rsidRDefault="00AC12B4">
      <w:pPr>
        <w:spacing w:line="41" w:lineRule="exact"/>
        <w:rPr>
          <w:rFonts w:ascii="Calibri" w:eastAsia="Calibri" w:hAnsi="Calibri" w:cs="Calibri"/>
        </w:rPr>
      </w:pPr>
    </w:p>
    <w:p w:rsidR="00AC12B4" w:rsidRDefault="00C27636">
      <w:pPr>
        <w:numPr>
          <w:ilvl w:val="0"/>
          <w:numId w:val="26"/>
        </w:numPr>
        <w:tabs>
          <w:tab w:val="left" w:pos="720"/>
        </w:tabs>
        <w:ind w:left="720" w:hanging="360"/>
        <w:rPr>
          <w:rFonts w:ascii="Calibri" w:eastAsia="Calibri" w:hAnsi="Calibri" w:cs="Calibri"/>
        </w:rPr>
      </w:pPr>
      <w:r>
        <w:rPr>
          <w:rFonts w:ascii="Calibri" w:eastAsia="Calibri" w:hAnsi="Calibri" w:cs="Calibri"/>
        </w:rPr>
        <w:t>un questionnaire auto-administré</w:t>
      </w:r>
    </w:p>
    <w:p w:rsidR="00AC12B4" w:rsidRDefault="00AC12B4">
      <w:pPr>
        <w:spacing w:line="43" w:lineRule="exact"/>
        <w:rPr>
          <w:rFonts w:ascii="Calibri" w:eastAsia="Calibri" w:hAnsi="Calibri" w:cs="Calibri"/>
        </w:rPr>
      </w:pPr>
    </w:p>
    <w:p w:rsidR="00AC12B4" w:rsidRDefault="00C27636">
      <w:pPr>
        <w:numPr>
          <w:ilvl w:val="0"/>
          <w:numId w:val="26"/>
        </w:numPr>
        <w:tabs>
          <w:tab w:val="left" w:pos="720"/>
        </w:tabs>
        <w:ind w:left="720" w:hanging="360"/>
        <w:rPr>
          <w:rFonts w:ascii="Calibri" w:eastAsia="Calibri" w:hAnsi="Calibri" w:cs="Calibri"/>
        </w:rPr>
      </w:pPr>
      <w:r>
        <w:rPr>
          <w:rFonts w:ascii="Calibri" w:eastAsia="Calibri" w:hAnsi="Calibri" w:cs="Calibri"/>
        </w:rPr>
        <w:t>une interview “face to face”</w:t>
      </w:r>
    </w:p>
    <w:p w:rsidR="00AC12B4" w:rsidRDefault="00AC12B4">
      <w:pPr>
        <w:spacing w:line="238" w:lineRule="exact"/>
        <w:rPr>
          <w:sz w:val="20"/>
          <w:szCs w:val="20"/>
        </w:rPr>
      </w:pPr>
    </w:p>
    <w:p w:rsidR="00AC12B4" w:rsidRPr="00C27636" w:rsidRDefault="00C27636">
      <w:pPr>
        <w:rPr>
          <w:sz w:val="20"/>
          <w:szCs w:val="20"/>
          <w:lang w:val="fr-BE"/>
        </w:rPr>
      </w:pPr>
      <w:r w:rsidRPr="00C27636">
        <w:rPr>
          <w:rFonts w:ascii="Calibri" w:eastAsia="Calibri" w:hAnsi="Calibri" w:cs="Calibri"/>
          <w:b/>
          <w:bCs/>
          <w:i/>
          <w:iCs/>
          <w:color w:val="0A548C"/>
          <w:lang w:val="fr-BE"/>
        </w:rPr>
        <w:t>Enfants atteints par l’enquête</w:t>
      </w:r>
    </w:p>
    <w:p w:rsidR="00AC12B4" w:rsidRPr="00C27636" w:rsidRDefault="00AC12B4">
      <w:pPr>
        <w:spacing w:line="208"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L’enquête HIS ne vise pas spécifiquement les enfants mais la population</w:t>
      </w:r>
      <w:r w:rsidRPr="00C27636">
        <w:rPr>
          <w:rFonts w:ascii="Calibri" w:eastAsia="Calibri" w:hAnsi="Calibri" w:cs="Calibri"/>
          <w:lang w:val="fr-BE"/>
        </w:rPr>
        <w:t xml:space="preserve"> belge dans son ensemble. Ainsi, 10.000 personnes sont interrogées lors de l’enquête. Pour l’enquête de 2013, 1 715 enfants entre 0 et 14 ans ont été sélectionnés ainsi que 448 15-18 ans.</w:t>
      </w:r>
    </w:p>
    <w:p w:rsidR="00AC12B4" w:rsidRPr="00C27636" w:rsidRDefault="00AC12B4">
      <w:pPr>
        <w:spacing w:line="123"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A548C"/>
          <w:lang w:val="fr-BE"/>
        </w:rPr>
        <w:t>Enfants non atteints</w:t>
      </w:r>
    </w:p>
    <w:p w:rsidR="00AC12B4" w:rsidRPr="00C27636" w:rsidRDefault="00AC12B4">
      <w:pPr>
        <w:spacing w:line="210"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lang w:val="fr-BE"/>
        </w:rPr>
        <w:t>L’enquête nationale de santé base son échanti</w:t>
      </w:r>
      <w:r w:rsidRPr="00C27636">
        <w:rPr>
          <w:rFonts w:ascii="Calibri" w:eastAsia="Calibri" w:hAnsi="Calibri" w:cs="Calibri"/>
          <w:lang w:val="fr-BE"/>
        </w:rPr>
        <w:t>llonnage sur le numéro de registre national et mène les interviews au domicile des ménages sélectionnés. Les enfants en séjour illégal ou sans domicile fixe ne sont donc pas repris dans cette enquête. Ils sont pourtant plus que d’autres susceptibles d’avoi</w:t>
      </w:r>
      <w:r w:rsidRPr="00C27636">
        <w:rPr>
          <w:rFonts w:ascii="Calibri" w:eastAsia="Calibri" w:hAnsi="Calibri" w:cs="Calibri"/>
          <w:lang w:val="fr-BE"/>
        </w:rPr>
        <w:t>r une accessibilité aux soins de santé plus problématique.</w:t>
      </w:r>
    </w:p>
    <w:p w:rsidR="00AC12B4" w:rsidRPr="00C27636" w:rsidRDefault="00AC12B4">
      <w:pPr>
        <w:spacing w:line="172"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De plus les moins de 15 ans ne répondent pas directement à l’interview « face to face » mais par proxy (un de leurs parents y répond pour eux). Ils ne répondent pas du tout au questionnaire </w:t>
      </w:r>
      <w:r w:rsidRPr="00C27636">
        <w:rPr>
          <w:rFonts w:ascii="Calibri" w:eastAsia="Calibri" w:hAnsi="Calibri" w:cs="Calibri"/>
          <w:lang w:val="fr-BE"/>
        </w:rPr>
        <w:t>auto-administré.</w:t>
      </w:r>
    </w:p>
    <w:p w:rsidR="00AC12B4" w:rsidRPr="00C27636" w:rsidRDefault="00AC12B4">
      <w:pPr>
        <w:spacing w:line="171"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Le nombre très limité des 15-18 ans questionnés rend très difficile la ventilation (p.ex suivant le statut socio-économique) des données recueillies par questionnaires auto-administrés.</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A548C"/>
          <w:lang w:val="fr-BE"/>
        </w:rPr>
        <w:t>Temporalité</w:t>
      </w:r>
    </w:p>
    <w:p w:rsidR="00AC12B4" w:rsidRPr="00C27636" w:rsidRDefault="00AC12B4">
      <w:pPr>
        <w:spacing w:line="159"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L’enquête a été menée en 1997, 2001, 2</w:t>
      </w:r>
      <w:r w:rsidRPr="00C27636">
        <w:rPr>
          <w:rFonts w:ascii="Calibri" w:eastAsia="Calibri" w:hAnsi="Calibri" w:cs="Calibri"/>
          <w:lang w:val="fr-BE"/>
        </w:rPr>
        <w:t>004, 2008 et 2013.</w:t>
      </w:r>
    </w:p>
    <w:p w:rsidR="00AC12B4" w:rsidRPr="00C27636" w:rsidRDefault="00AC12B4">
      <w:pPr>
        <w:spacing w:line="12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A548C"/>
          <w:lang w:val="fr-BE"/>
        </w:rPr>
        <w:t>Référence</w:t>
      </w:r>
    </w:p>
    <w:p w:rsidR="00AC12B4" w:rsidRPr="00C27636" w:rsidRDefault="00AC12B4">
      <w:pPr>
        <w:spacing w:line="210" w:lineRule="exact"/>
        <w:rPr>
          <w:sz w:val="20"/>
          <w:szCs w:val="20"/>
          <w:lang w:val="fr-BE"/>
        </w:rPr>
      </w:pPr>
    </w:p>
    <w:p w:rsidR="00AC12B4" w:rsidRPr="00C27636" w:rsidRDefault="00C27636">
      <w:pPr>
        <w:spacing w:line="218" w:lineRule="auto"/>
        <w:ind w:right="737"/>
        <w:jc w:val="both"/>
        <w:rPr>
          <w:rFonts w:ascii="Calibri" w:eastAsia="Calibri" w:hAnsi="Calibri" w:cs="Calibri"/>
          <w:color w:val="0000FF"/>
          <w:u w:val="single"/>
          <w:lang w:val="fr-BE"/>
        </w:rPr>
      </w:pPr>
      <w:r w:rsidRPr="00C27636">
        <w:rPr>
          <w:rFonts w:ascii="Calibri" w:eastAsia="Calibri" w:hAnsi="Calibri" w:cs="Calibri"/>
          <w:lang w:val="fr-BE"/>
        </w:rPr>
        <w:t xml:space="preserve">Les rapports et données statistiques sont disponibles en ligne : </w:t>
      </w:r>
      <w:hyperlink r:id="rId38">
        <w:r w:rsidRPr="00C27636">
          <w:rPr>
            <w:rFonts w:ascii="Calibri" w:eastAsia="Calibri" w:hAnsi="Calibri" w:cs="Calibri"/>
            <w:color w:val="0000FF"/>
            <w:u w:val="single"/>
            <w:lang w:val="fr-BE"/>
          </w:rPr>
          <w:t>his.wiv-</w:t>
        </w:r>
      </w:hyperlink>
      <w:hyperlink r:id="rId39">
        <w:r w:rsidRPr="00C27636">
          <w:rPr>
            <w:rFonts w:ascii="Calibri" w:eastAsia="Calibri" w:hAnsi="Calibri" w:cs="Calibri"/>
            <w:color w:val="0000FF"/>
            <w:u w:val="single"/>
            <w:lang w:val="fr-BE"/>
          </w:rPr>
          <w:t>isp.be/fr/SitePages/Accueil.aspx</w:t>
        </w:r>
      </w:hyperlink>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0" w:lineRule="exact"/>
        <w:rPr>
          <w:sz w:val="20"/>
          <w:szCs w:val="20"/>
          <w:lang w:val="fr-BE"/>
        </w:rPr>
      </w:pPr>
    </w:p>
    <w:p w:rsidR="00AC12B4" w:rsidRPr="00C27636" w:rsidRDefault="00C27636">
      <w:pPr>
        <w:ind w:left="4120"/>
        <w:rPr>
          <w:sz w:val="20"/>
          <w:szCs w:val="20"/>
          <w:lang w:val="fr-BE"/>
        </w:rPr>
      </w:pPr>
      <w:r w:rsidRPr="00C27636">
        <w:rPr>
          <w:rFonts w:ascii="Calibri" w:eastAsia="Calibri" w:hAnsi="Calibri" w:cs="Calibri"/>
          <w:lang w:val="fr-BE"/>
        </w:rPr>
        <w:t>34</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5" w:lineRule="exact"/>
        <w:rPr>
          <w:sz w:val="20"/>
          <w:szCs w:val="20"/>
          <w:lang w:val="fr-BE"/>
        </w:rPr>
      </w:pPr>
      <w:bookmarkStart w:id="34" w:name="page35"/>
      <w:bookmarkEnd w:id="34"/>
    </w:p>
    <w:p w:rsidR="00AC12B4" w:rsidRPr="00C27636" w:rsidRDefault="00C27636">
      <w:pPr>
        <w:ind w:left="560"/>
        <w:rPr>
          <w:sz w:val="20"/>
          <w:szCs w:val="20"/>
          <w:lang w:val="fr-BE"/>
        </w:rPr>
      </w:pPr>
      <w:r w:rsidRPr="00C27636">
        <w:rPr>
          <w:rFonts w:ascii="Calibri" w:eastAsia="Calibri" w:hAnsi="Calibri" w:cs="Calibri"/>
          <w:b/>
          <w:bCs/>
          <w:i/>
          <w:iCs/>
          <w:color w:val="0E73BE"/>
          <w:sz w:val="28"/>
          <w:szCs w:val="28"/>
          <w:lang w:val="fr-BE"/>
        </w:rPr>
        <w:t>Autre source « pour aller plus loin »</w:t>
      </w:r>
    </w:p>
    <w:p w:rsidR="00AC12B4" w:rsidRPr="00C27636" w:rsidRDefault="00AC12B4">
      <w:pPr>
        <w:spacing w:line="241" w:lineRule="exact"/>
        <w:rPr>
          <w:sz w:val="20"/>
          <w:szCs w:val="20"/>
          <w:lang w:val="fr-BE"/>
        </w:rPr>
      </w:pPr>
    </w:p>
    <w:p w:rsidR="00AC12B4" w:rsidRPr="00C27636" w:rsidRDefault="00C27636">
      <w:pPr>
        <w:ind w:left="1140"/>
        <w:rPr>
          <w:sz w:val="20"/>
          <w:szCs w:val="20"/>
          <w:lang w:val="fr-BE"/>
        </w:rPr>
      </w:pPr>
      <w:r w:rsidRPr="00C27636">
        <w:rPr>
          <w:rFonts w:ascii="Cambria" w:eastAsia="Cambria" w:hAnsi="Cambria" w:cs="Cambria"/>
          <w:b/>
          <w:bCs/>
          <w:i/>
          <w:iCs/>
          <w:color w:val="ACD8F9"/>
          <w:sz w:val="24"/>
          <w:szCs w:val="24"/>
          <w:lang w:val="fr-BE"/>
        </w:rPr>
        <w:t>JOP-Monitor</w:t>
      </w:r>
    </w:p>
    <w:p w:rsidR="00AC12B4" w:rsidRPr="00C27636" w:rsidRDefault="00AC12B4">
      <w:pPr>
        <w:spacing w:line="327" w:lineRule="exact"/>
        <w:rPr>
          <w:sz w:val="20"/>
          <w:szCs w:val="20"/>
          <w:lang w:val="fr-BE"/>
        </w:rPr>
      </w:pPr>
    </w:p>
    <w:p w:rsidR="00AC12B4" w:rsidRPr="00C27636" w:rsidRDefault="00C27636">
      <w:pPr>
        <w:spacing w:line="236" w:lineRule="auto"/>
        <w:ind w:left="560" w:right="157"/>
        <w:jc w:val="both"/>
        <w:rPr>
          <w:sz w:val="20"/>
          <w:szCs w:val="20"/>
          <w:lang w:val="fr-BE"/>
        </w:rPr>
      </w:pPr>
      <w:r w:rsidRPr="00C27636">
        <w:rPr>
          <w:rFonts w:ascii="Calibri" w:eastAsia="Calibri" w:hAnsi="Calibri" w:cs="Calibri"/>
          <w:lang w:val="fr-BE"/>
        </w:rPr>
        <w:t xml:space="preserve">La Plateforme de recherche sur la jeunesse (JeugdOnderzoeksPlatform-JOP), un partenariat interdisciplinaire et </w:t>
      </w:r>
      <w:r w:rsidRPr="00C27636">
        <w:rPr>
          <w:rFonts w:ascii="Calibri" w:eastAsia="Calibri" w:hAnsi="Calibri" w:cs="Calibri"/>
          <w:lang w:val="fr-BE"/>
        </w:rPr>
        <w:t>interuniversitaire entre trois groupes de recherche de trois universités flamandes (UGent, VUB et KU Leuven), recueille sur base régulière des informations concernant l'univers, les conditions de vie et les activités des enfants et des jeunes en Flandre. C</w:t>
      </w:r>
      <w:r w:rsidRPr="00C27636">
        <w:rPr>
          <w:rFonts w:ascii="Calibri" w:eastAsia="Calibri" w:hAnsi="Calibri" w:cs="Calibri"/>
          <w:lang w:val="fr-BE"/>
        </w:rPr>
        <w:t>ela s'effectue dans le cadre du "Jop-monitor", une enquête menée par voie postale auprès d'un échantillon important et représentatif de jeunes qui résident dans la Région flamande et qui ont été sélectionnés de manière aléatoire à partir du Registre nation</w:t>
      </w:r>
      <w:r w:rsidRPr="00C27636">
        <w:rPr>
          <w:rFonts w:ascii="Calibri" w:eastAsia="Calibri" w:hAnsi="Calibri" w:cs="Calibri"/>
          <w:lang w:val="fr-BE"/>
        </w:rPr>
        <w:t>al. La première édition de ce moniteur (le JOP-monitor 1 – 2005-2006) était axée sur les 14-25 ans, tandis que les deux éditions suivantes (le JOP-monitor 2 (2008) et le JOP-monitor 3 (2013)) couvraient une tranche d'âge plus large et ciblaient les 12-30 a</w:t>
      </w:r>
      <w:r w:rsidRPr="00C27636">
        <w:rPr>
          <w:rFonts w:ascii="Calibri" w:eastAsia="Calibri" w:hAnsi="Calibri" w:cs="Calibri"/>
          <w:lang w:val="fr-BE"/>
        </w:rPr>
        <w:t>ns. Les résultats sont toujours basés sur près de 3.000 réponses.</w:t>
      </w:r>
    </w:p>
    <w:p w:rsidR="00AC12B4" w:rsidRPr="00C27636" w:rsidRDefault="00AC12B4">
      <w:pPr>
        <w:spacing w:line="121" w:lineRule="exact"/>
        <w:rPr>
          <w:sz w:val="20"/>
          <w:szCs w:val="20"/>
          <w:lang w:val="fr-BE"/>
        </w:rPr>
      </w:pPr>
    </w:p>
    <w:p w:rsidR="00AC12B4" w:rsidRPr="00C27636" w:rsidRDefault="00C27636">
      <w:pPr>
        <w:ind w:left="560"/>
        <w:rPr>
          <w:rFonts w:ascii="Calibri" w:eastAsia="Calibri" w:hAnsi="Calibri" w:cs="Calibri"/>
          <w:lang w:val="fr-BE"/>
        </w:rPr>
      </w:pPr>
      <w:r w:rsidRPr="00C27636">
        <w:rPr>
          <w:rFonts w:ascii="Calibri" w:eastAsia="Calibri" w:hAnsi="Calibri" w:cs="Calibri"/>
          <w:lang w:val="fr-BE"/>
        </w:rPr>
        <w:t xml:space="preserve">Voir </w:t>
      </w:r>
      <w:hyperlink r:id="rId40">
        <w:r w:rsidRPr="00C27636">
          <w:rPr>
            <w:rFonts w:ascii="Calibri" w:eastAsia="Calibri" w:hAnsi="Calibri" w:cs="Calibri"/>
            <w:color w:val="0000FF"/>
            <w:u w:val="single"/>
            <w:lang w:val="fr-BE"/>
          </w:rPr>
          <w:t>databank.jeugdonderzoeksplatform.be/</w:t>
        </w:r>
      </w:hyperlink>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96"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35</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35" w:name="page36"/>
      <w:bookmarkEnd w:id="35"/>
    </w:p>
    <w:p w:rsidR="00AC12B4" w:rsidRPr="00C27636" w:rsidRDefault="00AC12B4">
      <w:pPr>
        <w:rPr>
          <w:lang w:val="fr-BE"/>
        </w:rPr>
        <w:sectPr w:rsidR="00AC12B4" w:rsidRPr="00C27636">
          <w:pgSz w:w="12080" w:h="17179"/>
          <w:pgMar w:top="1440" w:right="1440" w:bottom="875" w:left="1440" w:header="0" w:footer="0" w:gutter="0"/>
          <w:cols w:space="0"/>
        </w:sectPr>
      </w:pPr>
    </w:p>
    <w:bookmarkStart w:id="36" w:name="page37"/>
    <w:bookmarkEnd w:id="36"/>
    <w:p w:rsidR="00AC12B4" w:rsidRPr="00C27636" w:rsidRDefault="00C27636">
      <w:pPr>
        <w:ind w:left="840"/>
        <w:rPr>
          <w:sz w:val="20"/>
          <w:szCs w:val="20"/>
          <w:lang w:val="fr-BE"/>
        </w:rPr>
      </w:pPr>
      <w:r>
        <w:rPr>
          <w:rFonts w:ascii="Calibri" w:eastAsia="Calibri" w:hAnsi="Calibri" w:cs="Calibri"/>
          <w:noProof/>
          <w:color w:val="FFFFFF"/>
          <w:sz w:val="72"/>
          <w:szCs w:val="72"/>
        </w:rPr>
        <w:lastRenderedPageBreak/>
        <mc:AlternateContent>
          <mc:Choice Requires="wps">
            <w:drawing>
              <wp:anchor distT="0" distB="0" distL="114300" distR="114300" simplePos="0" relativeHeight="251381248" behindDoc="1" locked="0" layoutInCell="0" allowOverlap="1">
                <wp:simplePos x="0" y="0"/>
                <wp:positionH relativeFrom="page">
                  <wp:posOffset>0</wp:posOffset>
                </wp:positionH>
                <wp:positionV relativeFrom="page">
                  <wp:posOffset>0</wp:posOffset>
                </wp:positionV>
                <wp:extent cx="7667625" cy="114808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33" o:spid="_x0000_s1058" style="position:absolute;margin-left:0pt;margin-top:0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72"/>
          <w:szCs w:val="72"/>
          <w:lang w:val="fr-BE"/>
        </w:rPr>
        <w:t>Atteindre les plus vulnérables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3" w:lineRule="exact"/>
        <w:rPr>
          <w:sz w:val="20"/>
          <w:szCs w:val="20"/>
          <w:lang w:val="fr-BE"/>
        </w:rPr>
      </w:pPr>
    </w:p>
    <w:p w:rsidR="00AC12B4" w:rsidRDefault="00C27636">
      <w:pPr>
        <w:spacing w:line="218" w:lineRule="auto"/>
        <w:ind w:left="560" w:right="500"/>
        <w:rPr>
          <w:sz w:val="20"/>
          <w:szCs w:val="20"/>
        </w:rPr>
      </w:pPr>
      <w:r w:rsidRPr="00C27636">
        <w:rPr>
          <w:rFonts w:ascii="Calibri" w:eastAsia="Calibri" w:hAnsi="Calibri" w:cs="Calibri"/>
          <w:lang w:val="fr-BE"/>
        </w:rPr>
        <w:t xml:space="preserve">Comme nous l’avons vu, trois principes généraux de la CIDE ont guidé les travaux de sélection d’indicateurs depuis le début. </w:t>
      </w:r>
      <w:r>
        <w:rPr>
          <w:rFonts w:ascii="Calibri" w:eastAsia="Calibri" w:hAnsi="Calibri" w:cs="Calibri"/>
        </w:rPr>
        <w:t>Il s’agit de :</w:t>
      </w:r>
    </w:p>
    <w:p w:rsidR="00AC12B4" w:rsidRDefault="00AC12B4">
      <w:pPr>
        <w:spacing w:line="167" w:lineRule="exact"/>
        <w:rPr>
          <w:sz w:val="20"/>
          <w:szCs w:val="20"/>
        </w:rPr>
      </w:pPr>
    </w:p>
    <w:p w:rsidR="00AC12B4" w:rsidRPr="00C27636" w:rsidRDefault="00C27636">
      <w:pPr>
        <w:numPr>
          <w:ilvl w:val="0"/>
          <w:numId w:val="27"/>
        </w:numPr>
        <w:tabs>
          <w:tab w:val="left" w:pos="1280"/>
        </w:tabs>
        <w:spacing w:line="254" w:lineRule="auto"/>
        <w:ind w:left="1280" w:right="480" w:hanging="353"/>
        <w:jc w:val="both"/>
        <w:rPr>
          <w:rFonts w:ascii="Calibri" w:eastAsia="Calibri" w:hAnsi="Calibri" w:cs="Calibri"/>
          <w:lang w:val="fr-BE"/>
        </w:rPr>
      </w:pPr>
      <w:r w:rsidRPr="00C27636">
        <w:rPr>
          <w:rFonts w:ascii="Calibri" w:eastAsia="Calibri" w:hAnsi="Calibri" w:cs="Calibri"/>
          <w:b/>
          <w:bCs/>
          <w:lang w:val="fr-BE"/>
        </w:rPr>
        <w:t xml:space="preserve">L’intérêt supérieur de l’enfant </w:t>
      </w:r>
      <w:r w:rsidRPr="00C27636">
        <w:rPr>
          <w:rFonts w:ascii="Calibri" w:eastAsia="Calibri" w:hAnsi="Calibri" w:cs="Calibri"/>
          <w:lang w:val="fr-BE"/>
        </w:rPr>
        <w:t>: l’indicateur</w:t>
      </w:r>
      <w:r w:rsidRPr="00C27636">
        <w:rPr>
          <w:rFonts w:ascii="Calibri" w:eastAsia="Calibri" w:hAnsi="Calibri" w:cs="Calibri"/>
          <w:b/>
          <w:bCs/>
          <w:lang w:val="fr-BE"/>
        </w:rPr>
        <w:t xml:space="preserve"> </w:t>
      </w:r>
      <w:r w:rsidRPr="00C27636">
        <w:rPr>
          <w:rFonts w:ascii="Calibri" w:eastAsia="Calibri" w:hAnsi="Calibri" w:cs="Calibri"/>
          <w:lang w:val="fr-BE"/>
        </w:rPr>
        <w:t xml:space="preserve">choisi est-il bien centré sur </w:t>
      </w:r>
      <w:r w:rsidRPr="00C27636">
        <w:rPr>
          <w:rFonts w:ascii="Calibri" w:eastAsia="Calibri" w:hAnsi="Calibri" w:cs="Calibri"/>
          <w:lang w:val="fr-BE"/>
        </w:rPr>
        <w:t>l’enfant</w:t>
      </w:r>
      <w:r w:rsidRPr="00C27636">
        <w:rPr>
          <w:rFonts w:ascii="Calibri" w:eastAsia="Calibri" w:hAnsi="Calibri" w:cs="Calibri"/>
          <w:b/>
          <w:bCs/>
          <w:lang w:val="fr-BE"/>
        </w:rPr>
        <w:t xml:space="preserve"> </w:t>
      </w:r>
      <w:r w:rsidRPr="00C27636">
        <w:rPr>
          <w:rFonts w:ascii="Calibri" w:eastAsia="Calibri" w:hAnsi="Calibri" w:cs="Calibri"/>
          <w:lang w:val="fr-BE"/>
        </w:rPr>
        <w:t>? Ne</w:t>
      </w:r>
      <w:r w:rsidRPr="00C27636">
        <w:rPr>
          <w:rFonts w:ascii="Calibri" w:eastAsia="Calibri" w:hAnsi="Calibri" w:cs="Calibri"/>
          <w:b/>
          <w:bCs/>
          <w:lang w:val="fr-BE"/>
        </w:rPr>
        <w:t xml:space="preserve"> </w:t>
      </w:r>
      <w:r w:rsidRPr="00C27636">
        <w:rPr>
          <w:rFonts w:ascii="Calibri" w:eastAsia="Calibri" w:hAnsi="Calibri" w:cs="Calibri"/>
          <w:lang w:val="fr-BE"/>
        </w:rPr>
        <w:t>lui porte-t-il pas préjudice (stigmatisation p.ex.) ? Permet-il réellement de mesurer l’effectivité du droit pour l’enfant ?</w:t>
      </w:r>
    </w:p>
    <w:p w:rsidR="00AC12B4" w:rsidRPr="00C27636" w:rsidRDefault="00AC12B4">
      <w:pPr>
        <w:spacing w:line="73" w:lineRule="exact"/>
        <w:rPr>
          <w:rFonts w:ascii="Calibri" w:eastAsia="Calibri" w:hAnsi="Calibri" w:cs="Calibri"/>
          <w:lang w:val="fr-BE"/>
        </w:rPr>
      </w:pPr>
    </w:p>
    <w:p w:rsidR="00AC12B4" w:rsidRPr="00C27636" w:rsidRDefault="00C27636">
      <w:pPr>
        <w:numPr>
          <w:ilvl w:val="0"/>
          <w:numId w:val="27"/>
        </w:numPr>
        <w:tabs>
          <w:tab w:val="left" w:pos="1280"/>
        </w:tabs>
        <w:spacing w:line="264" w:lineRule="auto"/>
        <w:ind w:left="1280" w:right="480" w:hanging="353"/>
        <w:jc w:val="both"/>
        <w:rPr>
          <w:rFonts w:ascii="Calibri" w:eastAsia="Calibri" w:hAnsi="Calibri" w:cs="Calibri"/>
          <w:lang w:val="fr-BE"/>
        </w:rPr>
      </w:pPr>
      <w:r w:rsidRPr="00C27636">
        <w:rPr>
          <w:rFonts w:ascii="Calibri" w:eastAsia="Calibri" w:hAnsi="Calibri" w:cs="Calibri"/>
          <w:b/>
          <w:bCs/>
          <w:lang w:val="fr-BE"/>
        </w:rPr>
        <w:t xml:space="preserve">Participation : </w:t>
      </w:r>
      <w:r w:rsidRPr="00C27636">
        <w:rPr>
          <w:rFonts w:ascii="Calibri" w:eastAsia="Calibri" w:hAnsi="Calibri" w:cs="Calibri"/>
          <w:lang w:val="fr-BE"/>
        </w:rPr>
        <w:t>le set d’indicateurs choisi laisse-t-il bien la place à la parole de</w:t>
      </w:r>
      <w:r w:rsidRPr="00C27636">
        <w:rPr>
          <w:rFonts w:ascii="Calibri" w:eastAsia="Calibri" w:hAnsi="Calibri" w:cs="Calibri"/>
          <w:b/>
          <w:bCs/>
          <w:lang w:val="fr-BE"/>
        </w:rPr>
        <w:t xml:space="preserve"> </w:t>
      </w:r>
      <w:r w:rsidRPr="00C27636">
        <w:rPr>
          <w:rFonts w:ascii="Calibri" w:eastAsia="Calibri" w:hAnsi="Calibri" w:cs="Calibri"/>
          <w:lang w:val="fr-BE"/>
        </w:rPr>
        <w:t>l’enfant ? En d’autres mots, ex</w:t>
      </w:r>
      <w:r w:rsidRPr="00C27636">
        <w:rPr>
          <w:rFonts w:ascii="Calibri" w:eastAsia="Calibri" w:hAnsi="Calibri" w:cs="Calibri"/>
          <w:lang w:val="fr-BE"/>
        </w:rPr>
        <w:t>iste-t-il un équilibre entre indicateurs « subjectifs » de type self-report et indicateurs « objectifs » (données administratives, comptages objectifs)</w:t>
      </w:r>
    </w:p>
    <w:p w:rsidR="00AC12B4" w:rsidRPr="00C27636" w:rsidRDefault="00AC12B4">
      <w:pPr>
        <w:spacing w:line="350" w:lineRule="exact"/>
        <w:rPr>
          <w:rFonts w:ascii="Calibri" w:eastAsia="Calibri" w:hAnsi="Calibri" w:cs="Calibri"/>
          <w:lang w:val="fr-BE"/>
        </w:rPr>
      </w:pPr>
    </w:p>
    <w:p w:rsidR="00AC12B4" w:rsidRPr="00C27636" w:rsidRDefault="00C27636">
      <w:pPr>
        <w:numPr>
          <w:ilvl w:val="0"/>
          <w:numId w:val="27"/>
        </w:numPr>
        <w:tabs>
          <w:tab w:val="left" w:pos="1280"/>
        </w:tabs>
        <w:spacing w:line="237" w:lineRule="auto"/>
        <w:ind w:left="1280" w:right="480" w:hanging="353"/>
        <w:rPr>
          <w:rFonts w:ascii="Calibri" w:eastAsia="Calibri" w:hAnsi="Calibri" w:cs="Calibri"/>
          <w:lang w:val="fr-BE"/>
        </w:rPr>
      </w:pPr>
      <w:r w:rsidRPr="00C27636">
        <w:rPr>
          <w:rFonts w:ascii="Calibri" w:eastAsia="Calibri" w:hAnsi="Calibri" w:cs="Calibri"/>
          <w:b/>
          <w:bCs/>
          <w:lang w:val="fr-BE"/>
        </w:rPr>
        <w:t xml:space="preserve">Non-discrimination </w:t>
      </w:r>
      <w:r w:rsidRPr="00C27636">
        <w:rPr>
          <w:rFonts w:ascii="Calibri" w:eastAsia="Calibri" w:hAnsi="Calibri" w:cs="Calibri"/>
          <w:lang w:val="fr-BE"/>
        </w:rPr>
        <w:t>: mise en avant de groupes vulnérables à l’aide de la ventilation</w:t>
      </w:r>
      <w:r w:rsidRPr="00C27636">
        <w:rPr>
          <w:rFonts w:ascii="Calibri" w:eastAsia="Calibri" w:hAnsi="Calibri" w:cs="Calibri"/>
          <w:b/>
          <w:bCs/>
          <w:lang w:val="fr-BE"/>
        </w:rPr>
        <w:t xml:space="preserve"> </w:t>
      </w:r>
      <w:r w:rsidRPr="00C27636">
        <w:rPr>
          <w:rFonts w:ascii="Calibri" w:eastAsia="Calibri" w:hAnsi="Calibri" w:cs="Calibri"/>
          <w:lang w:val="fr-BE"/>
        </w:rPr>
        <w:t>des données (genre</w:t>
      </w:r>
      <w:r w:rsidRPr="00C27636">
        <w:rPr>
          <w:rFonts w:ascii="Calibri" w:eastAsia="Calibri" w:hAnsi="Calibri" w:cs="Calibri"/>
          <w:lang w:val="fr-BE"/>
        </w:rPr>
        <w:t>, âge, nationalité, situation particulière,…)</w:t>
      </w:r>
    </w:p>
    <w:p w:rsidR="00AC12B4" w:rsidRPr="00C27636" w:rsidRDefault="00AC12B4">
      <w:pPr>
        <w:spacing w:line="288" w:lineRule="exact"/>
        <w:rPr>
          <w:sz w:val="20"/>
          <w:szCs w:val="20"/>
          <w:lang w:val="fr-BE"/>
        </w:rPr>
      </w:pPr>
    </w:p>
    <w:p w:rsidR="00AC12B4" w:rsidRPr="00C27636" w:rsidRDefault="00C27636">
      <w:pPr>
        <w:spacing w:line="225" w:lineRule="auto"/>
        <w:ind w:left="560" w:right="500"/>
        <w:jc w:val="both"/>
        <w:rPr>
          <w:sz w:val="20"/>
          <w:szCs w:val="20"/>
          <w:lang w:val="fr-BE"/>
        </w:rPr>
      </w:pPr>
      <w:r w:rsidRPr="00C27636">
        <w:rPr>
          <w:rFonts w:ascii="Calibri" w:eastAsia="Calibri" w:hAnsi="Calibri" w:cs="Calibri"/>
          <w:lang w:val="fr-BE"/>
        </w:rPr>
        <w:t>Or, le travail de sélection des indicateurs, a rapidement mis en lumière le problème de non prise en compte par les mesures disponibles de certains groupes d’enfants particulièrement vulnérables.</w:t>
      </w:r>
    </w:p>
    <w:p w:rsidR="00AC12B4" w:rsidRPr="00C27636" w:rsidRDefault="00AC12B4">
      <w:pPr>
        <w:spacing w:line="365"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b/>
          <w:bCs/>
          <w:i/>
          <w:iCs/>
          <w:color w:val="0E73BE"/>
          <w:sz w:val="28"/>
          <w:szCs w:val="28"/>
          <w:lang w:val="fr-BE"/>
        </w:rPr>
        <w:t xml:space="preserve">Des groupes </w:t>
      </w:r>
      <w:r w:rsidRPr="00C27636">
        <w:rPr>
          <w:rFonts w:ascii="Calibri" w:eastAsia="Calibri" w:hAnsi="Calibri" w:cs="Calibri"/>
          <w:b/>
          <w:bCs/>
          <w:i/>
          <w:iCs/>
          <w:color w:val="0E73BE"/>
          <w:sz w:val="28"/>
          <w:szCs w:val="28"/>
          <w:lang w:val="fr-BE"/>
        </w:rPr>
        <w:t>vulnérables échappant aux statistiques</w:t>
      </w:r>
    </w:p>
    <w:p w:rsidR="00AC12B4" w:rsidRPr="00C27636" w:rsidRDefault="00AC12B4">
      <w:pPr>
        <w:spacing w:line="285" w:lineRule="exact"/>
        <w:rPr>
          <w:sz w:val="20"/>
          <w:szCs w:val="20"/>
          <w:lang w:val="fr-BE"/>
        </w:rPr>
      </w:pPr>
    </w:p>
    <w:p w:rsidR="00AC12B4" w:rsidRPr="00C27636" w:rsidRDefault="00C27636">
      <w:pPr>
        <w:spacing w:line="229" w:lineRule="auto"/>
        <w:ind w:left="560" w:right="480"/>
        <w:jc w:val="both"/>
        <w:rPr>
          <w:sz w:val="20"/>
          <w:szCs w:val="20"/>
          <w:lang w:val="fr-BE"/>
        </w:rPr>
      </w:pPr>
      <w:r w:rsidRPr="00C27636">
        <w:rPr>
          <w:rFonts w:ascii="Calibri" w:eastAsia="Calibri" w:hAnsi="Calibri" w:cs="Calibri"/>
          <w:lang w:val="fr-BE"/>
        </w:rPr>
        <w:t>Le travail de développement des indicateurs se frotte sans arrêt aux limites des données disponibles. En effet, alors que la mise en avant de groupes vulnérables est, comme expliqué ci-dessus, une des pierres angulai</w:t>
      </w:r>
      <w:r w:rsidRPr="00C27636">
        <w:rPr>
          <w:rFonts w:ascii="Calibri" w:eastAsia="Calibri" w:hAnsi="Calibri" w:cs="Calibri"/>
          <w:lang w:val="fr-BE"/>
        </w:rPr>
        <w:t>res du travail, une partie de ces groupes échappent à toute collecte de données.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82272" behindDoc="1" locked="0" layoutInCell="0" allowOverlap="1">
                <wp:simplePos x="0" y="0"/>
                <wp:positionH relativeFrom="column">
                  <wp:posOffset>2807335</wp:posOffset>
                </wp:positionH>
                <wp:positionV relativeFrom="paragraph">
                  <wp:posOffset>67945</wp:posOffset>
                </wp:positionV>
                <wp:extent cx="3062605" cy="306324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62605" cy="3063240"/>
                        </a:xfrm>
                        <a:prstGeom prst="rect">
                          <a:avLst/>
                        </a:prstGeom>
                        <a:solidFill>
                          <a:srgbClr val="ACD8F9"/>
                        </a:solidFill>
                      </wps:spPr>
                      <wps:bodyPr/>
                    </wps:wsp>
                  </a:graphicData>
                </a:graphic>
              </wp:anchor>
            </w:drawing>
          </mc:Choice>
          <mc:Fallback>
            <w:pict>
              <v:rect id="Shape 34" o:spid="_x0000_s1059" style="position:absolute;margin-left:221.05pt;margin-top:5.35pt;width:241.15pt;height:24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CD8F9" stroked="f"/>
            </w:pict>
          </mc:Fallback>
        </mc:AlternateContent>
      </w:r>
    </w:p>
    <w:p w:rsidR="00AC12B4" w:rsidRPr="00C27636" w:rsidRDefault="00AC12B4">
      <w:pPr>
        <w:rPr>
          <w:lang w:val="fr-BE"/>
        </w:rPr>
        <w:sectPr w:rsidR="00AC12B4" w:rsidRPr="00C27636">
          <w:pgSz w:w="12080" w:h="17179"/>
          <w:pgMar w:top="827" w:right="1117" w:bottom="659" w:left="1440" w:header="0" w:footer="0" w:gutter="0"/>
          <w:cols w:space="720" w:equalWidth="0">
            <w:col w:w="9520"/>
          </w:cols>
        </w:sectPr>
      </w:pPr>
    </w:p>
    <w:p w:rsidR="00AC12B4" w:rsidRPr="00C27636" w:rsidRDefault="00AC12B4">
      <w:pPr>
        <w:spacing w:line="171" w:lineRule="exact"/>
        <w:rPr>
          <w:sz w:val="20"/>
          <w:szCs w:val="20"/>
          <w:lang w:val="fr-BE"/>
        </w:rPr>
      </w:pPr>
    </w:p>
    <w:p w:rsidR="00AC12B4" w:rsidRPr="00C27636" w:rsidRDefault="00C27636">
      <w:pPr>
        <w:spacing w:line="236" w:lineRule="auto"/>
        <w:ind w:left="560"/>
        <w:jc w:val="both"/>
        <w:rPr>
          <w:sz w:val="20"/>
          <w:szCs w:val="20"/>
          <w:lang w:val="fr-BE"/>
        </w:rPr>
      </w:pPr>
      <w:r w:rsidRPr="00C27636">
        <w:rPr>
          <w:rFonts w:ascii="Calibri" w:eastAsia="Calibri" w:hAnsi="Calibri" w:cs="Calibri"/>
          <w:lang w:val="fr-BE"/>
        </w:rPr>
        <w:t>Par exemple, les enquêtes HBSC et PISA n’interrogent « que » les enfants présents dans les écoles (sélectionnées). Pas les enfants en IPPJ section fermé</w:t>
      </w:r>
      <w:r w:rsidRPr="00C27636">
        <w:rPr>
          <w:rFonts w:ascii="Calibri" w:eastAsia="Calibri" w:hAnsi="Calibri" w:cs="Calibri"/>
          <w:lang w:val="fr-BE"/>
        </w:rPr>
        <w:t>e, en décrochage scolaire ou encore absents pour maladie. Les enfants dans les écoles spécialisées ne sont pas impliqués dans HBSC et que partiellement dans PISA. Hors ces enfants ne risquent-ils pas plus que d’autres de souffrir d’iniquité ?</w:t>
      </w:r>
    </w:p>
    <w:p w:rsidR="00AC12B4" w:rsidRPr="00C27636" w:rsidRDefault="00AC12B4">
      <w:pPr>
        <w:spacing w:line="167" w:lineRule="exact"/>
        <w:rPr>
          <w:sz w:val="20"/>
          <w:szCs w:val="20"/>
          <w:lang w:val="fr-BE"/>
        </w:rPr>
      </w:pPr>
    </w:p>
    <w:p w:rsidR="00AC12B4" w:rsidRPr="00C27636" w:rsidRDefault="00C27636">
      <w:pPr>
        <w:spacing w:line="231" w:lineRule="auto"/>
        <w:ind w:left="560"/>
        <w:jc w:val="both"/>
        <w:rPr>
          <w:sz w:val="20"/>
          <w:szCs w:val="20"/>
          <w:lang w:val="fr-BE"/>
        </w:rPr>
      </w:pPr>
      <w:r w:rsidRPr="00C27636">
        <w:rPr>
          <w:rFonts w:ascii="Calibri" w:eastAsia="Calibri" w:hAnsi="Calibri" w:cs="Calibri"/>
          <w:lang w:val="fr-BE"/>
        </w:rPr>
        <w:t>D’autres rec</w:t>
      </w:r>
      <w:r w:rsidRPr="00C27636">
        <w:rPr>
          <w:rFonts w:ascii="Calibri" w:eastAsia="Calibri" w:hAnsi="Calibri" w:cs="Calibri"/>
          <w:lang w:val="fr-BE"/>
        </w:rPr>
        <w:t>herches, telles que l’enquête nationale de la santé (HIS), basent leurs échantillonnages sur les numéros du registre national. Mais qu’en est-il alors des enfants en séjour illégal ?</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6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4"/>
          <w:szCs w:val="24"/>
          <w:lang w:val="fr-BE"/>
        </w:rPr>
        <w:t>Bonne pratique :</w:t>
      </w:r>
    </w:p>
    <w:p w:rsidR="00AC12B4" w:rsidRPr="00C27636" w:rsidRDefault="00AC12B4">
      <w:pPr>
        <w:spacing w:line="166" w:lineRule="exact"/>
        <w:rPr>
          <w:sz w:val="20"/>
          <w:szCs w:val="20"/>
          <w:lang w:val="fr-BE"/>
        </w:rPr>
      </w:pPr>
    </w:p>
    <w:p w:rsidR="00AC12B4" w:rsidRPr="00C27636" w:rsidRDefault="00C27636">
      <w:pPr>
        <w:spacing w:line="237" w:lineRule="auto"/>
        <w:ind w:right="420"/>
        <w:jc w:val="both"/>
        <w:rPr>
          <w:sz w:val="20"/>
          <w:szCs w:val="20"/>
          <w:lang w:val="fr-BE"/>
        </w:rPr>
      </w:pPr>
      <w:r w:rsidRPr="00C27636">
        <w:rPr>
          <w:rFonts w:ascii="Calibri" w:eastAsia="Calibri" w:hAnsi="Calibri" w:cs="Calibri"/>
          <w:lang w:val="fr-BE"/>
        </w:rPr>
        <w:t>Un groupe de travail au sein du comité international</w:t>
      </w:r>
      <w:r w:rsidRPr="00C27636">
        <w:rPr>
          <w:rFonts w:ascii="Calibri" w:eastAsia="Calibri" w:hAnsi="Calibri" w:cs="Calibri"/>
          <w:lang w:val="fr-BE"/>
        </w:rPr>
        <w:t xml:space="preserve"> HBSC est en train d’étudier la faisabilité de réaliser l’enquête HBSC dans les écoles spécialisées. L’Université de Toulouse (France) a finalisé en 2015 un projet de recherche qui a mené avec succès à la réalisation d’une enquête adaptée (avec des pictogr</w:t>
      </w:r>
      <w:r w:rsidRPr="00C27636">
        <w:rPr>
          <w:rFonts w:ascii="Calibri" w:eastAsia="Calibri" w:hAnsi="Calibri" w:cs="Calibri"/>
          <w:lang w:val="fr-BE"/>
        </w:rPr>
        <w:t>ammes) à des enfants avec un handicap mental léger. Certains pays réalisent des tests pour ce qui est de déficiences visuelles (support auditif) et mentales (pictogramme avec code de couleurs). Pour les enfants avec un handicap moteur, on considère l'optio</w:t>
      </w:r>
      <w:r w:rsidRPr="00C27636">
        <w:rPr>
          <w:rFonts w:ascii="Calibri" w:eastAsia="Calibri" w:hAnsi="Calibri" w:cs="Calibri"/>
          <w:lang w:val="fr-BE"/>
        </w:rPr>
        <w:t>n de faire accompagner l'enfant par une personne de confiance, qui remplit le questionnaire sur indication du jeune.</w:t>
      </w:r>
    </w:p>
    <w:p w:rsidR="00AC12B4" w:rsidRPr="00C27636" w:rsidRDefault="00AC12B4">
      <w:pPr>
        <w:spacing w:line="42" w:lineRule="exact"/>
        <w:rPr>
          <w:sz w:val="20"/>
          <w:szCs w:val="20"/>
          <w:lang w:val="fr-BE"/>
        </w:rPr>
      </w:pPr>
    </w:p>
    <w:p w:rsidR="00AC12B4" w:rsidRPr="00C27636" w:rsidRDefault="00AC12B4">
      <w:pPr>
        <w:rPr>
          <w:lang w:val="fr-BE"/>
        </w:rPr>
        <w:sectPr w:rsidR="00AC12B4" w:rsidRPr="00C27636">
          <w:type w:val="continuous"/>
          <w:pgSz w:w="12080" w:h="17179"/>
          <w:pgMar w:top="827" w:right="1117" w:bottom="659" w:left="1440" w:header="0" w:footer="0" w:gutter="0"/>
          <w:cols w:num="2" w:space="720" w:equalWidth="0">
            <w:col w:w="4240" w:space="340"/>
            <w:col w:w="4940"/>
          </w:cols>
        </w:sectPr>
      </w:pPr>
    </w:p>
    <w:p w:rsidR="00AC12B4" w:rsidRPr="00C27636" w:rsidRDefault="00C27636">
      <w:pPr>
        <w:ind w:left="560"/>
        <w:rPr>
          <w:sz w:val="20"/>
          <w:szCs w:val="20"/>
          <w:lang w:val="fr-BE"/>
        </w:rPr>
      </w:pPr>
      <w:r w:rsidRPr="00C27636">
        <w:rPr>
          <w:rFonts w:ascii="Calibri" w:eastAsia="Calibri" w:hAnsi="Calibri" w:cs="Calibri"/>
          <w:lang w:val="fr-BE"/>
        </w:rPr>
        <w:lastRenderedPageBreak/>
        <w:t>De  plus,  même  si  les  enfants  sont</w:t>
      </w:r>
    </w:p>
    <w:p w:rsidR="00AC12B4" w:rsidRPr="00C27636" w:rsidRDefault="00AC12B4">
      <w:pPr>
        <w:spacing w:line="49" w:lineRule="exact"/>
        <w:rPr>
          <w:sz w:val="20"/>
          <w:szCs w:val="20"/>
          <w:lang w:val="fr-BE"/>
        </w:rPr>
      </w:pPr>
    </w:p>
    <w:p w:rsidR="00AC12B4" w:rsidRPr="00C27636" w:rsidRDefault="00C27636">
      <w:pPr>
        <w:spacing w:line="225" w:lineRule="auto"/>
        <w:ind w:left="560" w:right="500"/>
        <w:jc w:val="both"/>
        <w:rPr>
          <w:sz w:val="20"/>
          <w:szCs w:val="20"/>
          <w:lang w:val="fr-BE"/>
        </w:rPr>
      </w:pPr>
      <w:r w:rsidRPr="00C27636">
        <w:rPr>
          <w:rFonts w:ascii="Calibri" w:eastAsia="Calibri" w:hAnsi="Calibri" w:cs="Calibri"/>
          <w:lang w:val="fr-BE"/>
        </w:rPr>
        <w:t xml:space="preserve">interrogés, le manque de ventilations possibles dans certaines </w:t>
      </w:r>
      <w:r w:rsidRPr="00C27636">
        <w:rPr>
          <w:rFonts w:ascii="Calibri" w:eastAsia="Calibri" w:hAnsi="Calibri" w:cs="Calibri"/>
          <w:lang w:val="fr-BE"/>
        </w:rPr>
        <w:t>enquêtes ne permet pas de mettre en lumière d’éventuelles iniquités. Il en va ainsi, par exemple, pour les enfants en contact avec la justice.</w:t>
      </w:r>
    </w:p>
    <w:p w:rsidR="00AC12B4" w:rsidRPr="00C27636" w:rsidRDefault="00AC12B4">
      <w:pPr>
        <w:spacing w:line="171" w:lineRule="exact"/>
        <w:rPr>
          <w:sz w:val="20"/>
          <w:szCs w:val="20"/>
          <w:lang w:val="fr-BE"/>
        </w:rPr>
      </w:pPr>
    </w:p>
    <w:p w:rsidR="00AC12B4" w:rsidRPr="00C27636" w:rsidRDefault="00C27636">
      <w:pPr>
        <w:spacing w:line="224" w:lineRule="auto"/>
        <w:ind w:left="560" w:right="500"/>
        <w:jc w:val="both"/>
        <w:rPr>
          <w:sz w:val="20"/>
          <w:szCs w:val="20"/>
          <w:lang w:val="fr-BE"/>
        </w:rPr>
      </w:pPr>
      <w:r w:rsidRPr="00C27636">
        <w:rPr>
          <w:rFonts w:ascii="Calibri" w:eastAsia="Calibri" w:hAnsi="Calibri" w:cs="Calibri"/>
          <w:lang w:val="fr-BE"/>
        </w:rPr>
        <w:t>Bien que beaucoup de données de qualité existent, se contenter des données disponibles serait passer à côté de l</w:t>
      </w:r>
      <w:r w:rsidRPr="00C27636">
        <w:rPr>
          <w:rFonts w:ascii="Calibri" w:eastAsia="Calibri" w:hAnsi="Calibri" w:cs="Calibri"/>
          <w:lang w:val="fr-BE"/>
        </w:rPr>
        <w:t>’objectif de création d’indicateurs nationaux pour les droits de l’enfant.</w:t>
      </w:r>
    </w:p>
    <w:p w:rsidR="00AC12B4" w:rsidRPr="00C27636" w:rsidRDefault="00AC12B4">
      <w:pPr>
        <w:spacing w:line="195" w:lineRule="exact"/>
        <w:rPr>
          <w:sz w:val="20"/>
          <w:szCs w:val="20"/>
          <w:lang w:val="fr-BE"/>
        </w:rPr>
      </w:pPr>
    </w:p>
    <w:p w:rsidR="00AC12B4" w:rsidRPr="00C27636" w:rsidRDefault="00C27636">
      <w:pPr>
        <w:ind w:right="-79"/>
        <w:jc w:val="center"/>
        <w:rPr>
          <w:sz w:val="20"/>
          <w:szCs w:val="20"/>
          <w:lang w:val="fr-BE"/>
        </w:rPr>
      </w:pPr>
      <w:r w:rsidRPr="00C27636">
        <w:rPr>
          <w:rFonts w:ascii="Calibri" w:eastAsia="Calibri" w:hAnsi="Calibri" w:cs="Calibri"/>
          <w:lang w:val="fr-BE"/>
        </w:rPr>
        <w:t>37</w:t>
      </w:r>
    </w:p>
    <w:p w:rsidR="00AC12B4" w:rsidRPr="00C27636" w:rsidRDefault="00AC12B4">
      <w:pPr>
        <w:rPr>
          <w:lang w:val="fr-BE"/>
        </w:rPr>
        <w:sectPr w:rsidR="00AC12B4" w:rsidRPr="00C27636">
          <w:type w:val="continuous"/>
          <w:pgSz w:w="12080" w:h="17179"/>
          <w:pgMar w:top="827" w:right="1117" w:bottom="659" w:left="1440" w:header="0" w:footer="0" w:gutter="0"/>
          <w:cols w:space="720" w:equalWidth="0">
            <w:col w:w="9520"/>
          </w:cols>
        </w:sectPr>
      </w:pPr>
    </w:p>
    <w:p w:rsidR="00AC12B4" w:rsidRPr="00C27636" w:rsidRDefault="00AC12B4">
      <w:pPr>
        <w:spacing w:line="212" w:lineRule="exact"/>
        <w:rPr>
          <w:sz w:val="20"/>
          <w:szCs w:val="20"/>
          <w:lang w:val="fr-BE"/>
        </w:rPr>
      </w:pPr>
      <w:bookmarkStart w:id="37" w:name="page38"/>
      <w:bookmarkEnd w:id="37"/>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C’est pourquoi, la CNDE souhaite lancer des enquêtes spécifiques permettant de pallier (en partie) à ce manque.</w:t>
      </w:r>
    </w:p>
    <w:p w:rsidR="00AC12B4" w:rsidRPr="00C27636" w:rsidRDefault="00AC12B4">
      <w:pPr>
        <w:spacing w:line="170"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 xml:space="preserve">Les groupes vulnérables suivants sont </w:t>
      </w:r>
      <w:r w:rsidRPr="00C27636">
        <w:rPr>
          <w:rFonts w:ascii="Calibri" w:eastAsia="Calibri" w:hAnsi="Calibri" w:cs="Calibri"/>
          <w:lang w:val="fr-BE"/>
        </w:rPr>
        <w:t>visés: mineurs en contact avec la Justice, mineurs étrangers (accompagnés ou non) et le groupe d’âge d’enfants jusque 10 ans.</w:t>
      </w:r>
    </w:p>
    <w:p w:rsidR="00AC12B4" w:rsidRPr="00C27636" w:rsidRDefault="00AC12B4">
      <w:pPr>
        <w:spacing w:line="167"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Ces groupes ne pourraient que très difficilement être intégrés aux enquêtes existantes. Pour d’autres groupes, comme par exemple </w:t>
      </w:r>
      <w:r w:rsidRPr="00C27636">
        <w:rPr>
          <w:rFonts w:ascii="Calibri" w:eastAsia="Calibri" w:hAnsi="Calibri" w:cs="Calibri"/>
          <w:lang w:val="fr-BE"/>
        </w:rPr>
        <w:t>les élèves de l’enseignement spécialisé, une intégration dans les enquêtes comme PISA et HBSC est possible et souhaitable.</w:t>
      </w:r>
    </w:p>
    <w:p w:rsidR="00AC12B4" w:rsidRPr="00C27636" w:rsidRDefault="00AC12B4">
      <w:pPr>
        <w:spacing w:line="122"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Voir à ce sujet la section « Résumé des recommandations principales » de cette publication.</w:t>
      </w:r>
    </w:p>
    <w:p w:rsidR="00AC12B4" w:rsidRPr="00C27636" w:rsidRDefault="00AC12B4">
      <w:pPr>
        <w:spacing w:line="363"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Méthodologie pour la réalisation d’enqu</w:t>
      </w:r>
      <w:r w:rsidRPr="00C27636">
        <w:rPr>
          <w:rFonts w:ascii="Calibri" w:eastAsia="Calibri" w:hAnsi="Calibri" w:cs="Calibri"/>
          <w:b/>
          <w:bCs/>
          <w:i/>
          <w:iCs/>
          <w:color w:val="0E73BE"/>
          <w:sz w:val="28"/>
          <w:szCs w:val="28"/>
          <w:lang w:val="fr-BE"/>
        </w:rPr>
        <w:t>êtes spécifiques</w:t>
      </w:r>
    </w:p>
    <w:p w:rsidR="00AC12B4" w:rsidRPr="00C27636" w:rsidRDefault="00AC12B4">
      <w:pPr>
        <w:spacing w:line="285" w:lineRule="exact"/>
        <w:rPr>
          <w:sz w:val="20"/>
          <w:szCs w:val="20"/>
          <w:lang w:val="fr-BE"/>
        </w:rPr>
      </w:pPr>
    </w:p>
    <w:p w:rsidR="00AC12B4" w:rsidRPr="00C27636" w:rsidRDefault="00C27636">
      <w:pPr>
        <w:spacing w:line="217" w:lineRule="auto"/>
        <w:ind w:right="737"/>
        <w:jc w:val="both"/>
        <w:rPr>
          <w:sz w:val="20"/>
          <w:szCs w:val="20"/>
          <w:lang w:val="fr-BE"/>
        </w:rPr>
      </w:pPr>
      <w:r w:rsidRPr="00C27636">
        <w:rPr>
          <w:rFonts w:ascii="Calibri" w:eastAsia="Calibri" w:hAnsi="Calibri" w:cs="Calibri"/>
          <w:lang w:val="fr-BE"/>
        </w:rPr>
        <w:t>Des négociations sont en cours en vue d’associer plusieurs groupes professionnels (avocats des mineurs pour les mineurs en danger en contact avec la justice</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 xml:space="preserve"> et les mineurs ayant commis un fait qualifié infraction), tuteurs de mineurs étrangers non-accompagnés) en vue d’enquêtes supplémentaires à mener en 2017.</w:t>
      </w:r>
    </w:p>
    <w:p w:rsidR="00AC12B4" w:rsidRPr="00C27636" w:rsidRDefault="00AC12B4">
      <w:pPr>
        <w:spacing w:line="169"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Un questionnaire pourra être élaboré, basé sur les indicateurs retenus pour lesquels des informatio</w:t>
      </w:r>
      <w:r w:rsidRPr="00C27636">
        <w:rPr>
          <w:rFonts w:ascii="Calibri" w:eastAsia="Calibri" w:hAnsi="Calibri" w:cs="Calibri"/>
          <w:lang w:val="fr-BE"/>
        </w:rPr>
        <w:t>ns sur les groupes vulnérables ne sont pas obtenables via les canaux existants ou pour lesquels les ventilations ne sont pas possibles, surtout lorsqu’il s’agit d’indicateurs de type self-report.</w:t>
      </w:r>
    </w:p>
    <w:p w:rsidR="00AC12B4" w:rsidRPr="00C27636" w:rsidRDefault="00AC12B4">
      <w:pPr>
        <w:spacing w:line="170" w:lineRule="exact"/>
        <w:rPr>
          <w:sz w:val="20"/>
          <w:szCs w:val="20"/>
          <w:lang w:val="fr-BE"/>
        </w:rPr>
      </w:pPr>
    </w:p>
    <w:p w:rsidR="00AC12B4" w:rsidRPr="00C27636" w:rsidRDefault="00C27636">
      <w:pPr>
        <w:spacing w:line="230" w:lineRule="auto"/>
        <w:ind w:right="737"/>
        <w:jc w:val="both"/>
        <w:rPr>
          <w:sz w:val="20"/>
          <w:szCs w:val="20"/>
          <w:lang w:val="fr-BE"/>
        </w:rPr>
      </w:pPr>
      <w:r w:rsidRPr="00C27636">
        <w:rPr>
          <w:rFonts w:ascii="Calibri" w:eastAsia="Calibri" w:hAnsi="Calibri" w:cs="Calibri"/>
          <w:lang w:val="fr-BE"/>
        </w:rPr>
        <w:t>Pour maximiser la comparabilité, un maximum d’indicateurs/q</w:t>
      </w:r>
      <w:r w:rsidRPr="00C27636">
        <w:rPr>
          <w:rFonts w:ascii="Calibri" w:eastAsia="Calibri" w:hAnsi="Calibri" w:cs="Calibri"/>
          <w:lang w:val="fr-BE"/>
        </w:rPr>
        <w:t>uestions seront repris tels que dans les enquêtes d’origine (HIS, HBSC,…). Il se peut que toutes les questions ne soient pas pertinentes/indiquées pour tous les groupes et/ou qu’il faudra les adapter en fonction des groupes vulnérables (p.ex. enfants en ba</w:t>
      </w:r>
      <w:r w:rsidRPr="00C27636">
        <w:rPr>
          <w:rFonts w:ascii="Calibri" w:eastAsia="Calibri" w:hAnsi="Calibri" w:cs="Calibri"/>
          <w:lang w:val="fr-BE"/>
        </w:rPr>
        <w:t>s âge, via une méthodologie adaptée ou by proxy, en interrogeant les mères).</w:t>
      </w:r>
    </w:p>
    <w:p w:rsidR="00AC12B4" w:rsidRPr="00C27636" w:rsidRDefault="00AC12B4">
      <w:pPr>
        <w:spacing w:line="175"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Le questionnaire devra ensuite être validé et un test devra être fait auprès d’un groupe restreint d’enfants.</w:t>
      </w:r>
    </w:p>
    <w:p w:rsidR="00AC12B4" w:rsidRPr="00C27636" w:rsidRDefault="00AC12B4">
      <w:pPr>
        <w:spacing w:line="170"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L’enquête serait composée de questions de type self-report (« que p</w:t>
      </w:r>
      <w:r w:rsidRPr="00C27636">
        <w:rPr>
          <w:rFonts w:ascii="Calibri" w:eastAsia="Calibri" w:hAnsi="Calibri" w:cs="Calibri"/>
          <w:lang w:val="fr-BE"/>
        </w:rPr>
        <w:t>enses-tu de… ») soit présentes dans des enquêtes existantes (HBSC, PISA, HIS) et donc ayant une portée plus généraliste (sentiment de bien-être, perspective d’avenir,…) soit spécifique à ce groupe ( self-report « bonne information », « participation dans l</w:t>
      </w:r>
      <w:r w:rsidRPr="00C27636">
        <w:rPr>
          <w:rFonts w:ascii="Calibri" w:eastAsia="Calibri" w:hAnsi="Calibri" w:cs="Calibri"/>
          <w:lang w:val="fr-BE"/>
        </w:rPr>
        <w:t>a procédure», accessibilité de l’aide,…)</w:t>
      </w:r>
    </w:p>
    <w:p w:rsidR="00AC12B4" w:rsidRPr="00C27636" w:rsidRDefault="00AC12B4">
      <w:pPr>
        <w:spacing w:line="168" w:lineRule="exact"/>
        <w:rPr>
          <w:sz w:val="20"/>
          <w:szCs w:val="20"/>
          <w:lang w:val="fr-BE"/>
        </w:rPr>
      </w:pPr>
    </w:p>
    <w:p w:rsidR="00AC12B4" w:rsidRPr="00C27636" w:rsidRDefault="00C27636">
      <w:pPr>
        <w:spacing w:line="231" w:lineRule="auto"/>
        <w:ind w:right="737"/>
        <w:jc w:val="both"/>
        <w:rPr>
          <w:sz w:val="20"/>
          <w:szCs w:val="20"/>
          <w:lang w:val="fr-BE"/>
        </w:rPr>
      </w:pPr>
      <w:r w:rsidRPr="00C27636">
        <w:rPr>
          <w:rFonts w:ascii="Calibri" w:eastAsia="Calibri" w:hAnsi="Calibri" w:cs="Calibri"/>
          <w:lang w:val="fr-BE"/>
        </w:rPr>
        <w:t>Le questionnaire sera élaboré de la manière la plus succincte possible. Aucune information de nature à pouvoir identifier le jeune ne sera demandée si ce n’est celles permettant quelques ventilations statistiques (</w:t>
      </w:r>
      <w:r w:rsidRPr="00C27636">
        <w:rPr>
          <w:rFonts w:ascii="Calibri" w:eastAsia="Calibri" w:hAnsi="Calibri" w:cs="Calibri"/>
          <w:lang w:val="fr-BE"/>
        </w:rPr>
        <w:t>encore à déterminer. p.ex. l’âge, le sexe, l’arrondissement judiciaire, le placement ou non du jeune,…). Cette partie du questionnaire pourrait être remplie par l’avocat ou le tuteur.</w:t>
      </w:r>
    </w:p>
    <w:p w:rsidR="00AC12B4" w:rsidRPr="00C27636" w:rsidRDefault="00AC12B4">
      <w:pPr>
        <w:spacing w:line="172"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 xml:space="preserve">Un comité éthique se penchera sur le fond et la forme du questionnaire </w:t>
      </w:r>
      <w:r w:rsidRPr="00C27636">
        <w:rPr>
          <w:rFonts w:ascii="Calibri" w:eastAsia="Calibri" w:hAnsi="Calibri" w:cs="Calibri"/>
          <w:lang w:val="fr-BE"/>
        </w:rPr>
        <w:t>avant le début de l’enquête.</w:t>
      </w:r>
    </w:p>
    <w:p w:rsidR="00AC12B4" w:rsidRPr="00C27636" w:rsidRDefault="00AC12B4">
      <w:pPr>
        <w:spacing w:line="170"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La récolte des questionnaires ainsi que le traitement des données se fera au niveau de la CNDE.</w:t>
      </w:r>
    </w:p>
    <w:p w:rsidR="00AC12B4" w:rsidRPr="00C27636" w:rsidRDefault="00AC12B4">
      <w:pPr>
        <w:spacing w:line="170" w:lineRule="exact"/>
        <w:rPr>
          <w:sz w:val="20"/>
          <w:szCs w:val="20"/>
          <w:lang w:val="fr-BE"/>
        </w:rPr>
      </w:pPr>
    </w:p>
    <w:p w:rsidR="00AC12B4" w:rsidRPr="00C27636" w:rsidRDefault="00C27636">
      <w:pPr>
        <w:spacing w:line="224" w:lineRule="auto"/>
        <w:ind w:right="737"/>
        <w:jc w:val="both"/>
        <w:rPr>
          <w:sz w:val="20"/>
          <w:szCs w:val="20"/>
          <w:lang w:val="fr-BE"/>
        </w:rPr>
      </w:pPr>
      <w:r w:rsidRPr="00C27636">
        <w:rPr>
          <w:rFonts w:ascii="Calibri" w:eastAsia="Calibri" w:hAnsi="Calibri" w:cs="Calibri"/>
          <w:lang w:val="fr-BE"/>
        </w:rPr>
        <w:t>Pour le groupe des enfants jusque 10 ans, une méthodologie devra être élaborée ultérieurement. Les mineurs étrangers vivant en fa</w:t>
      </w:r>
      <w:r w:rsidRPr="00C27636">
        <w:rPr>
          <w:rFonts w:ascii="Calibri" w:eastAsia="Calibri" w:hAnsi="Calibri" w:cs="Calibri"/>
          <w:lang w:val="fr-BE"/>
        </w:rPr>
        <w:t>mille ne sont pas non plus atteints. Ceci pourrait être envisagé au plus long terme, p.ex. dans le cadre d’une collaboration avec Fedasil.</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83296" behindDoc="1" locked="0" layoutInCell="0" allowOverlap="1">
                <wp:simplePos x="0" y="0"/>
                <wp:positionH relativeFrom="column">
                  <wp:posOffset>0</wp:posOffset>
                </wp:positionH>
                <wp:positionV relativeFrom="paragraph">
                  <wp:posOffset>407670</wp:posOffset>
                </wp:positionV>
                <wp:extent cx="1828800" cy="0"/>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1pt" to="144pt,32.1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73" w:lineRule="exact"/>
        <w:rPr>
          <w:sz w:val="20"/>
          <w:szCs w:val="20"/>
          <w:lang w:val="fr-BE"/>
        </w:rPr>
      </w:pPr>
    </w:p>
    <w:p w:rsidR="00AC12B4" w:rsidRPr="00C27636" w:rsidRDefault="00C27636">
      <w:pPr>
        <w:numPr>
          <w:ilvl w:val="0"/>
          <w:numId w:val="28"/>
        </w:numPr>
        <w:tabs>
          <w:tab w:val="left" w:pos="120"/>
        </w:tabs>
        <w:ind w:left="120" w:hanging="12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Il s’agit donc juste de jeunes sous aide contrainte.</w:t>
      </w:r>
    </w:p>
    <w:p w:rsidR="00AC12B4" w:rsidRPr="00C27636" w:rsidRDefault="00AC12B4">
      <w:pPr>
        <w:spacing w:line="241" w:lineRule="exact"/>
        <w:rPr>
          <w:rFonts w:ascii="Calibri" w:eastAsia="Calibri" w:hAnsi="Calibri" w:cs="Calibri"/>
          <w:sz w:val="26"/>
          <w:szCs w:val="26"/>
          <w:vertAlign w:val="superscript"/>
          <w:lang w:val="fr-BE"/>
        </w:rPr>
      </w:pPr>
    </w:p>
    <w:p w:rsidR="00AC12B4" w:rsidRPr="00C27636" w:rsidRDefault="00C27636">
      <w:pPr>
        <w:ind w:left="4120"/>
        <w:rPr>
          <w:rFonts w:ascii="Calibri" w:eastAsia="Calibri" w:hAnsi="Calibri" w:cs="Calibri"/>
          <w:sz w:val="26"/>
          <w:szCs w:val="26"/>
          <w:vertAlign w:val="superscript"/>
          <w:lang w:val="fr-BE"/>
        </w:rPr>
      </w:pPr>
      <w:r w:rsidRPr="00C27636">
        <w:rPr>
          <w:rFonts w:ascii="Calibri" w:eastAsia="Calibri" w:hAnsi="Calibri" w:cs="Calibri"/>
          <w:lang w:val="fr-BE"/>
        </w:rPr>
        <w:t>38</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spacing w:line="165" w:lineRule="exact"/>
        <w:rPr>
          <w:sz w:val="20"/>
          <w:szCs w:val="20"/>
          <w:lang w:val="fr-BE"/>
        </w:rPr>
      </w:pPr>
      <w:bookmarkStart w:id="38" w:name="page39"/>
      <w:bookmarkEnd w:id="38"/>
    </w:p>
    <w:p w:rsidR="00AC12B4" w:rsidRPr="00C27636" w:rsidRDefault="00C27636">
      <w:pPr>
        <w:ind w:left="560"/>
        <w:rPr>
          <w:sz w:val="20"/>
          <w:szCs w:val="20"/>
          <w:lang w:val="fr-BE"/>
        </w:rPr>
      </w:pPr>
      <w:r w:rsidRPr="00C27636">
        <w:rPr>
          <w:rFonts w:ascii="Calibri" w:eastAsia="Calibri" w:hAnsi="Calibri" w:cs="Calibri"/>
          <w:b/>
          <w:bCs/>
          <w:i/>
          <w:iCs/>
          <w:color w:val="0E73BE"/>
          <w:sz w:val="28"/>
          <w:szCs w:val="28"/>
          <w:lang w:val="fr-BE"/>
        </w:rPr>
        <w:t xml:space="preserve">Limites d’une telle enquête ‘groupes </w:t>
      </w:r>
      <w:r w:rsidRPr="00C27636">
        <w:rPr>
          <w:rFonts w:ascii="Calibri" w:eastAsia="Calibri" w:hAnsi="Calibri" w:cs="Calibri"/>
          <w:b/>
          <w:bCs/>
          <w:i/>
          <w:iCs/>
          <w:color w:val="0E73BE"/>
          <w:sz w:val="28"/>
          <w:szCs w:val="28"/>
          <w:lang w:val="fr-BE"/>
        </w:rPr>
        <w:t>vulnérables’</w:t>
      </w:r>
    </w:p>
    <w:p w:rsidR="00AC12B4" w:rsidRPr="00C27636" w:rsidRDefault="00AC12B4">
      <w:pPr>
        <w:spacing w:line="241" w:lineRule="exact"/>
        <w:rPr>
          <w:sz w:val="20"/>
          <w:szCs w:val="20"/>
          <w:lang w:val="fr-BE"/>
        </w:rPr>
      </w:pPr>
    </w:p>
    <w:p w:rsidR="00AC12B4" w:rsidRPr="00C27636" w:rsidRDefault="00C27636">
      <w:pPr>
        <w:ind w:left="1140"/>
        <w:rPr>
          <w:sz w:val="20"/>
          <w:szCs w:val="20"/>
          <w:lang w:val="fr-BE"/>
        </w:rPr>
      </w:pPr>
      <w:r w:rsidRPr="00C27636">
        <w:rPr>
          <w:rFonts w:ascii="Cambria" w:eastAsia="Cambria" w:hAnsi="Cambria" w:cs="Cambria"/>
          <w:b/>
          <w:bCs/>
          <w:i/>
          <w:iCs/>
          <w:color w:val="ACD8F9"/>
          <w:sz w:val="24"/>
          <w:szCs w:val="24"/>
          <w:lang w:val="fr-BE"/>
        </w:rPr>
        <w:t>Représentativité</w:t>
      </w:r>
    </w:p>
    <w:p w:rsidR="00AC12B4" w:rsidRPr="00C27636" w:rsidRDefault="00AC12B4">
      <w:pPr>
        <w:spacing w:line="327" w:lineRule="exact"/>
        <w:rPr>
          <w:sz w:val="20"/>
          <w:szCs w:val="20"/>
          <w:lang w:val="fr-BE"/>
        </w:rPr>
      </w:pPr>
    </w:p>
    <w:p w:rsidR="00AC12B4" w:rsidRPr="00C27636" w:rsidRDefault="00C27636">
      <w:pPr>
        <w:spacing w:line="224" w:lineRule="auto"/>
        <w:ind w:left="560" w:right="157"/>
        <w:jc w:val="both"/>
        <w:rPr>
          <w:sz w:val="20"/>
          <w:szCs w:val="20"/>
          <w:lang w:val="fr-BE"/>
        </w:rPr>
      </w:pPr>
      <w:r w:rsidRPr="00C27636">
        <w:rPr>
          <w:rFonts w:ascii="Calibri" w:eastAsia="Calibri" w:hAnsi="Calibri" w:cs="Calibri"/>
          <w:lang w:val="fr-BE"/>
        </w:rPr>
        <w:t xml:space="preserve">Pour atteindre des critères de représentativité, le secrétariat de la CNDE devrait réaliser cette enquête auprès de nombreux jeunes par groupe vulnérable (mineurs francophones en contact avec la justice, mineurs flamands en </w:t>
      </w:r>
      <w:r w:rsidRPr="00C27636">
        <w:rPr>
          <w:rFonts w:ascii="Calibri" w:eastAsia="Calibri" w:hAnsi="Calibri" w:cs="Calibri"/>
          <w:lang w:val="fr-BE"/>
        </w:rPr>
        <w:t>contact avec la justice, mineurs étrangers non-accompagnés), sélectionnés sur base d’un échantillon aléatoire stratifié</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AC12B4">
      <w:pPr>
        <w:spacing w:line="136" w:lineRule="exact"/>
        <w:rPr>
          <w:sz w:val="20"/>
          <w:szCs w:val="20"/>
          <w:lang w:val="fr-BE"/>
        </w:rPr>
      </w:pPr>
    </w:p>
    <w:p w:rsidR="00AC12B4" w:rsidRPr="00C27636" w:rsidRDefault="00C27636">
      <w:pPr>
        <w:spacing w:line="230" w:lineRule="auto"/>
        <w:ind w:left="560" w:right="157"/>
        <w:jc w:val="both"/>
        <w:rPr>
          <w:sz w:val="20"/>
          <w:szCs w:val="20"/>
          <w:lang w:val="fr-BE"/>
        </w:rPr>
      </w:pPr>
      <w:r w:rsidRPr="00C27636">
        <w:rPr>
          <w:rFonts w:ascii="Calibri" w:eastAsia="Calibri" w:hAnsi="Calibri" w:cs="Calibri"/>
          <w:lang w:val="fr-BE"/>
        </w:rPr>
        <w:t xml:space="preserve">Ceci nécessiterait, d’une part, d’importants moyens humains et financiers actuellement hors de portée de la CNDE. D’autre part, cela </w:t>
      </w:r>
      <w:r w:rsidRPr="00C27636">
        <w:rPr>
          <w:rFonts w:ascii="Calibri" w:eastAsia="Calibri" w:hAnsi="Calibri" w:cs="Calibri"/>
          <w:lang w:val="fr-BE"/>
        </w:rPr>
        <w:t xml:space="preserve">sous-tend la connaissance complète de la population étudiée (p.ex les mineurs étrangers) en termes de nombre et de composition. Finalement, ce travail serait réalisé grâce à une collaboration, sur base volontaire, d’avocats et de tuteurs. L’échantillon ne </w:t>
      </w:r>
      <w:r w:rsidRPr="00C27636">
        <w:rPr>
          <w:rFonts w:ascii="Calibri" w:eastAsia="Calibri" w:hAnsi="Calibri" w:cs="Calibri"/>
          <w:lang w:val="fr-BE"/>
        </w:rPr>
        <w:t>sera donc pas aléatoire mais dépendra du bon vouloir de nos interlocuteurs.</w:t>
      </w:r>
    </w:p>
    <w:p w:rsidR="00AC12B4" w:rsidRPr="00C27636" w:rsidRDefault="00AC12B4">
      <w:pPr>
        <w:spacing w:line="175" w:lineRule="exact"/>
        <w:rPr>
          <w:sz w:val="20"/>
          <w:szCs w:val="20"/>
          <w:lang w:val="fr-BE"/>
        </w:rPr>
      </w:pPr>
    </w:p>
    <w:p w:rsidR="00AC12B4" w:rsidRPr="00C27636" w:rsidRDefault="00C27636">
      <w:pPr>
        <w:spacing w:line="218" w:lineRule="auto"/>
        <w:ind w:left="560" w:right="157"/>
        <w:jc w:val="both"/>
        <w:rPr>
          <w:sz w:val="20"/>
          <w:szCs w:val="20"/>
          <w:lang w:val="fr-BE"/>
        </w:rPr>
      </w:pPr>
      <w:r w:rsidRPr="00C27636">
        <w:rPr>
          <w:rFonts w:ascii="Calibri" w:eastAsia="Calibri" w:hAnsi="Calibri" w:cs="Calibri"/>
          <w:lang w:val="fr-BE"/>
        </w:rPr>
        <w:t>Dans un premier temps, il sera peut-être nécessaire d’avoir des visées plus « humble ». Les résultats seront alors limités à une première « prise de pouls ».</w:t>
      </w:r>
    </w:p>
    <w:p w:rsidR="00AC12B4" w:rsidRPr="00C27636" w:rsidRDefault="00AC12B4">
      <w:pPr>
        <w:spacing w:line="245" w:lineRule="exact"/>
        <w:rPr>
          <w:sz w:val="20"/>
          <w:szCs w:val="20"/>
          <w:lang w:val="fr-BE"/>
        </w:rPr>
      </w:pPr>
    </w:p>
    <w:p w:rsidR="00AC12B4" w:rsidRPr="00C27636" w:rsidRDefault="00C27636">
      <w:pPr>
        <w:ind w:left="1140"/>
        <w:rPr>
          <w:sz w:val="20"/>
          <w:szCs w:val="20"/>
          <w:lang w:val="fr-BE"/>
        </w:rPr>
      </w:pPr>
      <w:r w:rsidRPr="00C27636">
        <w:rPr>
          <w:rFonts w:ascii="Cambria" w:eastAsia="Cambria" w:hAnsi="Cambria" w:cs="Cambria"/>
          <w:b/>
          <w:bCs/>
          <w:i/>
          <w:iCs/>
          <w:color w:val="ACD8F9"/>
          <w:sz w:val="24"/>
          <w:szCs w:val="24"/>
          <w:lang w:val="fr-BE"/>
        </w:rPr>
        <w:t xml:space="preserve">Comparabilité des </w:t>
      </w:r>
      <w:r w:rsidRPr="00C27636">
        <w:rPr>
          <w:rFonts w:ascii="Cambria" w:eastAsia="Cambria" w:hAnsi="Cambria" w:cs="Cambria"/>
          <w:b/>
          <w:bCs/>
          <w:i/>
          <w:iCs/>
          <w:color w:val="ACD8F9"/>
          <w:sz w:val="24"/>
          <w:szCs w:val="24"/>
          <w:lang w:val="fr-BE"/>
        </w:rPr>
        <w:t>résultats</w:t>
      </w:r>
    </w:p>
    <w:p w:rsidR="00AC12B4" w:rsidRPr="00C27636" w:rsidRDefault="00AC12B4">
      <w:pPr>
        <w:spacing w:line="327"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Le fait de regrouper des questions de diverses enquêtes dans une seule pose un problème de comparabilité des résultats.</w:t>
      </w:r>
    </w:p>
    <w:p w:rsidR="00AC12B4" w:rsidRPr="00C27636" w:rsidRDefault="00AC12B4">
      <w:pPr>
        <w:spacing w:line="170" w:lineRule="exact"/>
        <w:rPr>
          <w:sz w:val="20"/>
          <w:szCs w:val="20"/>
          <w:lang w:val="fr-BE"/>
        </w:rPr>
      </w:pPr>
    </w:p>
    <w:p w:rsidR="00AC12B4" w:rsidRPr="00C27636" w:rsidRDefault="00C27636">
      <w:pPr>
        <w:spacing w:line="217" w:lineRule="auto"/>
        <w:ind w:left="560" w:right="177"/>
        <w:jc w:val="both"/>
        <w:rPr>
          <w:sz w:val="20"/>
          <w:szCs w:val="20"/>
          <w:lang w:val="fr-BE"/>
        </w:rPr>
      </w:pPr>
      <w:r w:rsidRPr="00C27636">
        <w:rPr>
          <w:rFonts w:ascii="Calibri" w:eastAsia="Calibri" w:hAnsi="Calibri" w:cs="Calibri"/>
          <w:lang w:val="fr-BE"/>
        </w:rPr>
        <w:t>En effet, si les questions ne sont pas posées exactement de la même manière, dans le même ordre, les résultats ne seront pas</w:t>
      </w:r>
      <w:r w:rsidRPr="00C27636">
        <w:rPr>
          <w:rFonts w:ascii="Calibri" w:eastAsia="Calibri" w:hAnsi="Calibri" w:cs="Calibri"/>
          <w:lang w:val="fr-BE"/>
        </w:rPr>
        <w:t xml:space="preserve"> comparables avec ceux des enquêtes standard.</w:t>
      </w:r>
    </w:p>
    <w:p w:rsidR="00AC12B4" w:rsidRPr="00C27636" w:rsidRDefault="00AC12B4">
      <w:pPr>
        <w:spacing w:line="245" w:lineRule="exact"/>
        <w:rPr>
          <w:sz w:val="20"/>
          <w:szCs w:val="20"/>
          <w:lang w:val="fr-BE"/>
        </w:rPr>
      </w:pPr>
    </w:p>
    <w:p w:rsidR="00AC12B4" w:rsidRPr="00C27636" w:rsidRDefault="00C27636">
      <w:pPr>
        <w:ind w:left="1140"/>
        <w:rPr>
          <w:sz w:val="20"/>
          <w:szCs w:val="20"/>
          <w:lang w:val="fr-BE"/>
        </w:rPr>
      </w:pPr>
      <w:r w:rsidRPr="00C27636">
        <w:rPr>
          <w:rFonts w:ascii="Cambria" w:eastAsia="Cambria" w:hAnsi="Cambria" w:cs="Cambria"/>
          <w:b/>
          <w:bCs/>
          <w:i/>
          <w:iCs/>
          <w:color w:val="ACD8F9"/>
          <w:sz w:val="24"/>
          <w:szCs w:val="24"/>
          <w:lang w:val="fr-BE"/>
        </w:rPr>
        <w:t>Des limites, pas des freins</w:t>
      </w:r>
    </w:p>
    <w:p w:rsidR="00AC12B4" w:rsidRPr="00C27636" w:rsidRDefault="00AC12B4">
      <w:pPr>
        <w:spacing w:line="328" w:lineRule="exact"/>
        <w:rPr>
          <w:sz w:val="20"/>
          <w:szCs w:val="20"/>
          <w:lang w:val="fr-BE"/>
        </w:rPr>
      </w:pPr>
    </w:p>
    <w:p w:rsidR="00AC12B4" w:rsidRPr="00C27636" w:rsidRDefault="00C27636">
      <w:pPr>
        <w:spacing w:line="229" w:lineRule="auto"/>
        <w:ind w:left="560" w:right="157"/>
        <w:jc w:val="both"/>
        <w:rPr>
          <w:sz w:val="20"/>
          <w:szCs w:val="20"/>
          <w:lang w:val="fr-BE"/>
        </w:rPr>
      </w:pPr>
      <w:r w:rsidRPr="00C27636">
        <w:rPr>
          <w:rFonts w:ascii="Calibri" w:eastAsia="Calibri" w:hAnsi="Calibri" w:cs="Calibri"/>
          <w:lang w:val="fr-BE"/>
        </w:rPr>
        <w:t>Ces enquêtes spécifiques ne sont pas une réponse miracle au manque d’information sur certains groupes de mineurs. La CNDE est consciente des problèmes de représentativité d’un écha</w:t>
      </w:r>
      <w:r w:rsidRPr="00C27636">
        <w:rPr>
          <w:rFonts w:ascii="Calibri" w:eastAsia="Calibri" w:hAnsi="Calibri" w:cs="Calibri"/>
          <w:lang w:val="fr-BE"/>
        </w:rPr>
        <w:t>ntillon non aléatoire étant élaboré sur base volontaire et des problèmes de comparabilité des données issues d’enquêtes différentes.</w:t>
      </w:r>
    </w:p>
    <w:p w:rsidR="00AC12B4" w:rsidRPr="00C27636" w:rsidRDefault="00AC12B4">
      <w:pPr>
        <w:spacing w:line="121"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 xml:space="preserve">Cependant, </w:t>
      </w:r>
      <w:r w:rsidRPr="00C27636">
        <w:rPr>
          <w:rFonts w:ascii="Calibri" w:eastAsia="Calibri" w:hAnsi="Calibri" w:cs="Calibri"/>
          <w:b/>
          <w:bCs/>
          <w:lang w:val="fr-BE"/>
        </w:rPr>
        <w:t>les données récoltées donneront néanmoins de bonnes indications, seront des</w:t>
      </w:r>
    </w:p>
    <w:p w:rsidR="00AC12B4" w:rsidRPr="00C27636" w:rsidRDefault="00AC12B4">
      <w:pPr>
        <w:spacing w:line="49" w:lineRule="exact"/>
        <w:rPr>
          <w:sz w:val="20"/>
          <w:szCs w:val="20"/>
          <w:lang w:val="fr-BE"/>
        </w:rPr>
      </w:pPr>
    </w:p>
    <w:p w:rsidR="00AC12B4" w:rsidRPr="00C27636" w:rsidRDefault="00C27636">
      <w:pPr>
        <w:numPr>
          <w:ilvl w:val="0"/>
          <w:numId w:val="29"/>
        </w:numPr>
        <w:tabs>
          <w:tab w:val="left" w:pos="730"/>
        </w:tabs>
        <w:spacing w:line="218" w:lineRule="auto"/>
        <w:ind w:left="560" w:right="177" w:firstLine="7"/>
        <w:rPr>
          <w:rFonts w:ascii="Calibri" w:eastAsia="Calibri" w:hAnsi="Calibri" w:cs="Calibri"/>
          <w:b/>
          <w:bCs/>
          <w:lang w:val="fr-BE"/>
        </w:rPr>
      </w:pPr>
      <w:r w:rsidRPr="00C27636">
        <w:rPr>
          <w:rFonts w:ascii="Calibri" w:eastAsia="Calibri" w:hAnsi="Calibri" w:cs="Calibri"/>
          <w:b/>
          <w:bCs/>
          <w:lang w:val="fr-BE"/>
        </w:rPr>
        <w:t xml:space="preserve">signaux d’alarme », « éveilleurs </w:t>
      </w:r>
      <w:r w:rsidRPr="00C27636">
        <w:rPr>
          <w:rFonts w:ascii="Calibri" w:eastAsia="Calibri" w:hAnsi="Calibri" w:cs="Calibri"/>
          <w:b/>
          <w:bCs/>
          <w:lang w:val="fr-BE"/>
        </w:rPr>
        <w:t>de conscience » pour ce qui est de l’effectivité des droits de l’enfant en Belgique, pour tous les enfants</w:t>
      </w:r>
      <w:r w:rsidRPr="00C27636">
        <w:rPr>
          <w:rFonts w:ascii="Calibri" w:eastAsia="Calibri" w:hAnsi="Calibri" w:cs="Calibri"/>
          <w:lang w:val="fr-BE"/>
        </w:rPr>
        <w:t>.</w:t>
      </w:r>
    </w:p>
    <w:p w:rsidR="00AC12B4" w:rsidRPr="00C27636" w:rsidRDefault="00AC12B4">
      <w:pPr>
        <w:spacing w:line="167" w:lineRule="exact"/>
        <w:rPr>
          <w:sz w:val="20"/>
          <w:szCs w:val="20"/>
          <w:lang w:val="fr-BE"/>
        </w:rPr>
      </w:pPr>
    </w:p>
    <w:p w:rsidR="00AC12B4" w:rsidRPr="00C27636" w:rsidRDefault="00C27636">
      <w:pPr>
        <w:spacing w:line="225" w:lineRule="auto"/>
        <w:ind w:left="560" w:right="177"/>
        <w:jc w:val="both"/>
        <w:rPr>
          <w:sz w:val="20"/>
          <w:szCs w:val="20"/>
          <w:lang w:val="fr-BE"/>
        </w:rPr>
      </w:pPr>
      <w:r w:rsidRPr="00C27636">
        <w:rPr>
          <w:rFonts w:ascii="Calibri" w:eastAsia="Calibri" w:hAnsi="Calibri" w:cs="Calibri"/>
          <w:lang w:val="fr-BE"/>
        </w:rPr>
        <w:t>Avec le temps, l’enquête gagnera en fiabilité par la répétition. En effet, même s’il existe certains biais, le fait de répéter l’exercice dans le t</w:t>
      </w:r>
      <w:r w:rsidRPr="00C27636">
        <w:rPr>
          <w:rFonts w:ascii="Calibri" w:eastAsia="Calibri" w:hAnsi="Calibri" w:cs="Calibri"/>
          <w:lang w:val="fr-BE"/>
        </w:rPr>
        <w:t>emps permet de dégager des tendances qui elles ne seront pas biaisées.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384320" behindDoc="1" locked="0" layoutInCell="0" allowOverlap="1">
                <wp:simplePos x="0" y="0"/>
                <wp:positionH relativeFrom="column">
                  <wp:posOffset>359410</wp:posOffset>
                </wp:positionH>
                <wp:positionV relativeFrom="paragraph">
                  <wp:posOffset>1946910</wp:posOffset>
                </wp:positionV>
                <wp:extent cx="1829435" cy="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53.3pt" to="172.35pt,153.3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7" w:lineRule="exact"/>
        <w:rPr>
          <w:sz w:val="20"/>
          <w:szCs w:val="20"/>
          <w:lang w:val="fr-BE"/>
        </w:rPr>
      </w:pPr>
    </w:p>
    <w:p w:rsidR="00AC12B4" w:rsidRPr="00C27636" w:rsidRDefault="00C27636">
      <w:pPr>
        <w:numPr>
          <w:ilvl w:val="0"/>
          <w:numId w:val="30"/>
        </w:numPr>
        <w:tabs>
          <w:tab w:val="left" w:pos="680"/>
        </w:tabs>
        <w:spacing w:line="188" w:lineRule="auto"/>
        <w:ind w:left="560" w:right="177" w:firstLine="7"/>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C’est-à-dire en surreprésentant certaines catégories de mineurs pour pouvoir ventiler les données de manière fiable par après.</w:t>
      </w:r>
    </w:p>
    <w:p w:rsidR="00AC12B4" w:rsidRPr="00C27636" w:rsidRDefault="00AC12B4">
      <w:pPr>
        <w:spacing w:line="244"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39</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39" w:name="page40"/>
      <w:bookmarkEnd w:id="39"/>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C27636">
      <w:pPr>
        <w:ind w:left="2740"/>
        <w:rPr>
          <w:sz w:val="20"/>
          <w:szCs w:val="20"/>
          <w:lang w:val="fr-BE"/>
        </w:rPr>
      </w:pPr>
      <w:bookmarkStart w:id="40" w:name="page41"/>
      <w:bookmarkEnd w:id="40"/>
      <w:r>
        <w:rPr>
          <w:rFonts w:ascii="Calibri" w:eastAsia="Calibri" w:hAnsi="Calibri" w:cs="Calibri"/>
          <w:noProof/>
          <w:color w:val="FFFFFF"/>
          <w:sz w:val="72"/>
          <w:szCs w:val="72"/>
        </w:rPr>
        <w:lastRenderedPageBreak/>
        <w:drawing>
          <wp:anchor distT="0" distB="0" distL="114300" distR="114300" simplePos="0" relativeHeight="251385344" behindDoc="1" locked="0" layoutInCell="0" allowOverlap="1">
            <wp:simplePos x="0" y="0"/>
            <wp:positionH relativeFrom="page">
              <wp:posOffset>10795</wp:posOffset>
            </wp:positionH>
            <wp:positionV relativeFrom="page">
              <wp:posOffset>0</wp:posOffset>
            </wp:positionV>
            <wp:extent cx="7658100" cy="114808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clrChange>
                        <a:clrFrom>
                          <a:srgbClr val="FFFFFF"/>
                        </a:clrFrom>
                        <a:clrTo>
                          <a:srgbClr val="FFFFFF">
                            <a:alpha val="0"/>
                          </a:srgbClr>
                        </a:clrTo>
                      </a:clrChange>
                      <a:extLst/>
                    </a:blip>
                    <a:srcRect/>
                    <a:stretch>
                      <a:fillRect/>
                    </a:stretch>
                  </pic:blipFill>
                  <pic:spPr bwMode="auto">
                    <a:xfrm>
                      <a:off x="0" y="0"/>
                      <a:ext cx="7658100" cy="1148080"/>
                    </a:xfrm>
                    <a:prstGeom prst="rect">
                      <a:avLst/>
                    </a:prstGeom>
                    <a:noFill/>
                  </pic:spPr>
                </pic:pic>
              </a:graphicData>
            </a:graphic>
          </wp:anchor>
        </w:drawing>
      </w:r>
      <w:r w:rsidRPr="00C27636">
        <w:rPr>
          <w:rFonts w:ascii="Calibri" w:eastAsia="Calibri" w:hAnsi="Calibri" w:cs="Calibri"/>
          <w:color w:val="FFFFFF"/>
          <w:sz w:val="72"/>
          <w:szCs w:val="72"/>
          <w:lang w:val="fr-BE"/>
        </w:rPr>
        <w:t>Guide de lecture</w:t>
      </w:r>
    </w:p>
    <w:p w:rsidR="00AC12B4" w:rsidRPr="00C27636" w:rsidRDefault="00AC12B4">
      <w:pPr>
        <w:rPr>
          <w:lang w:val="fr-BE"/>
        </w:rPr>
        <w:sectPr w:rsidR="00AC12B4" w:rsidRPr="00C27636">
          <w:pgSz w:w="12080" w:h="17179"/>
          <w:pgMar w:top="558" w:right="797" w:bottom="659" w:left="1440" w:header="0" w:footer="0" w:gutter="0"/>
          <w:cols w:space="720" w:equalWidth="0">
            <w:col w:w="984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92" w:lineRule="exact"/>
        <w:rPr>
          <w:sz w:val="20"/>
          <w:szCs w:val="20"/>
          <w:lang w:val="fr-BE"/>
        </w:rPr>
      </w:pPr>
    </w:p>
    <w:p w:rsidR="00AC12B4" w:rsidRPr="00C27636" w:rsidRDefault="00C27636">
      <w:pPr>
        <w:spacing w:line="218" w:lineRule="auto"/>
        <w:ind w:left="560" w:right="800"/>
        <w:jc w:val="both"/>
        <w:rPr>
          <w:sz w:val="20"/>
          <w:szCs w:val="20"/>
          <w:lang w:val="fr-BE"/>
        </w:rPr>
      </w:pPr>
      <w:r w:rsidRPr="00C27636">
        <w:rPr>
          <w:rFonts w:ascii="Calibri" w:eastAsia="Calibri" w:hAnsi="Calibri" w:cs="Calibri"/>
          <w:lang w:val="fr-BE"/>
        </w:rPr>
        <w:t>Les 40 indicateurs sélectionnés sont présentés sous forme de fiches. La structure de celles-ci est présentée ci-dessous pour vous en simplifier la lecture et l’utilisation.</w:t>
      </w:r>
    </w:p>
    <w:p w:rsidR="00AC12B4" w:rsidRPr="00C27636" w:rsidRDefault="00AC12B4">
      <w:pPr>
        <w:spacing w:line="167" w:lineRule="exact"/>
        <w:rPr>
          <w:sz w:val="20"/>
          <w:szCs w:val="20"/>
          <w:lang w:val="fr-BE"/>
        </w:rPr>
      </w:pPr>
    </w:p>
    <w:p w:rsidR="00AC12B4" w:rsidRPr="00C27636" w:rsidRDefault="00C27636">
      <w:pPr>
        <w:spacing w:line="225" w:lineRule="auto"/>
        <w:ind w:left="560" w:right="820"/>
        <w:jc w:val="both"/>
        <w:rPr>
          <w:sz w:val="20"/>
          <w:szCs w:val="20"/>
          <w:lang w:val="fr-BE"/>
        </w:rPr>
      </w:pPr>
      <w:r w:rsidRPr="00C27636">
        <w:rPr>
          <w:rFonts w:ascii="Calibri" w:eastAsia="Calibri" w:hAnsi="Calibri" w:cs="Calibri"/>
          <w:lang w:val="fr-BE"/>
        </w:rPr>
        <w:t>Plus d’informations sur les sources (publ</w:t>
      </w:r>
      <w:r w:rsidRPr="00C27636">
        <w:rPr>
          <w:rFonts w:ascii="Calibri" w:eastAsia="Calibri" w:hAnsi="Calibri" w:cs="Calibri"/>
          <w:lang w:val="fr-BE"/>
        </w:rPr>
        <w:t>ic cible, objectif, temporalité, groupes (non) atteints, limites éventuelles) et la disponibilité actuelle des données dans les différentes entités sont présentées dans la section « Sources » de ce document (cf. supra).</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2" w:lineRule="exact"/>
        <w:rPr>
          <w:sz w:val="20"/>
          <w:szCs w:val="20"/>
          <w:lang w:val="fr-BE"/>
        </w:rPr>
      </w:pPr>
    </w:p>
    <w:p w:rsidR="00AC12B4" w:rsidRPr="00C27636" w:rsidRDefault="00C27636">
      <w:pPr>
        <w:ind w:left="300"/>
        <w:rPr>
          <w:sz w:val="20"/>
          <w:szCs w:val="20"/>
          <w:lang w:val="fr-BE"/>
        </w:rPr>
      </w:pPr>
      <w:r w:rsidRPr="00C27636">
        <w:rPr>
          <w:rFonts w:ascii="Calibri" w:eastAsia="Calibri" w:hAnsi="Calibri" w:cs="Calibri"/>
          <w:color w:val="0E73BE"/>
          <w:sz w:val="20"/>
          <w:szCs w:val="20"/>
          <w:lang w:val="fr-BE"/>
        </w:rPr>
        <w:t>N° et nom de l’indicateur</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386368" behindDoc="1" locked="0" layoutInCell="0" allowOverlap="1">
            <wp:simplePos x="0" y="0"/>
            <wp:positionH relativeFrom="column">
              <wp:posOffset>812165</wp:posOffset>
            </wp:positionH>
            <wp:positionV relativeFrom="paragraph">
              <wp:posOffset>7620</wp:posOffset>
            </wp:positionV>
            <wp:extent cx="4816475" cy="534797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blip>
                    <a:srcRect/>
                    <a:stretch>
                      <a:fillRect/>
                    </a:stretch>
                  </pic:blipFill>
                  <pic:spPr bwMode="auto">
                    <a:xfrm>
                      <a:off x="0" y="0"/>
                      <a:ext cx="4816475" cy="5347970"/>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86" w:lineRule="exact"/>
        <w:rPr>
          <w:sz w:val="20"/>
          <w:szCs w:val="20"/>
          <w:lang w:val="fr-BE"/>
        </w:rPr>
      </w:pPr>
    </w:p>
    <w:p w:rsidR="00AC12B4" w:rsidRPr="00C27636" w:rsidRDefault="00C27636">
      <w:pPr>
        <w:spacing w:line="224" w:lineRule="auto"/>
        <w:ind w:left="7920"/>
        <w:jc w:val="both"/>
        <w:rPr>
          <w:sz w:val="20"/>
          <w:szCs w:val="20"/>
          <w:lang w:val="fr-BE"/>
        </w:rPr>
      </w:pPr>
      <w:r w:rsidRPr="00C27636">
        <w:rPr>
          <w:rFonts w:ascii="Calibri" w:eastAsia="Calibri" w:hAnsi="Calibri" w:cs="Calibri"/>
          <w:b/>
          <w:bCs/>
          <w:i/>
          <w:iCs/>
          <w:color w:val="0E73BE"/>
          <w:sz w:val="20"/>
          <w:szCs w:val="20"/>
          <w:lang w:val="fr-BE"/>
        </w:rPr>
        <w:t xml:space="preserve">Highlight </w:t>
      </w:r>
      <w:r w:rsidRPr="00C27636">
        <w:rPr>
          <w:rFonts w:ascii="Calibri" w:eastAsia="Calibri" w:hAnsi="Calibri" w:cs="Calibri"/>
          <w:color w:val="0E73BE"/>
          <w:sz w:val="20"/>
          <w:szCs w:val="20"/>
          <w:lang w:val="fr-BE"/>
        </w:rPr>
        <w:t>: donnée</w:t>
      </w:r>
      <w:r w:rsidRPr="00C27636">
        <w:rPr>
          <w:rFonts w:ascii="Calibri" w:eastAsia="Calibri" w:hAnsi="Calibri" w:cs="Calibri"/>
          <w:b/>
          <w:bCs/>
          <w:i/>
          <w:iCs/>
          <w:color w:val="0E73BE"/>
          <w:sz w:val="20"/>
          <w:szCs w:val="20"/>
          <w:lang w:val="fr-BE"/>
        </w:rPr>
        <w:t xml:space="preserve"> </w:t>
      </w:r>
      <w:r w:rsidRPr="00C27636">
        <w:rPr>
          <w:rFonts w:ascii="Calibri" w:eastAsia="Calibri" w:hAnsi="Calibri" w:cs="Calibri"/>
          <w:color w:val="0E73BE"/>
          <w:sz w:val="20"/>
          <w:szCs w:val="20"/>
          <w:lang w:val="fr-BE"/>
        </w:rPr>
        <w:t>marquante. Attention, ne vous arrêtez pas là !</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77" w:lineRule="exact"/>
        <w:rPr>
          <w:sz w:val="20"/>
          <w:szCs w:val="20"/>
          <w:lang w:val="fr-BE"/>
        </w:rPr>
      </w:pPr>
    </w:p>
    <w:p w:rsidR="00AC12B4" w:rsidRPr="00C27636" w:rsidRDefault="00C27636">
      <w:pPr>
        <w:ind w:left="180"/>
        <w:rPr>
          <w:sz w:val="20"/>
          <w:szCs w:val="20"/>
          <w:lang w:val="fr-BE"/>
        </w:rPr>
      </w:pPr>
      <w:r w:rsidRPr="00C27636">
        <w:rPr>
          <w:rFonts w:ascii="Calibri" w:eastAsia="Calibri" w:hAnsi="Calibri" w:cs="Calibri"/>
          <w:color w:val="0E73BE"/>
          <w:sz w:val="20"/>
          <w:szCs w:val="20"/>
          <w:lang w:val="fr-BE"/>
        </w:rPr>
        <w:t xml:space="preserve">Article de la </w:t>
      </w:r>
      <w:r w:rsidRPr="00C27636">
        <w:rPr>
          <w:rFonts w:ascii="Calibri" w:eastAsia="Calibri" w:hAnsi="Calibri" w:cs="Calibri"/>
          <w:b/>
          <w:bCs/>
          <w:color w:val="0E73BE"/>
          <w:sz w:val="20"/>
          <w:szCs w:val="20"/>
          <w:lang w:val="fr-BE"/>
        </w:rPr>
        <w:t>CIDE</w:t>
      </w:r>
    </w:p>
    <w:p w:rsidR="00AC12B4" w:rsidRPr="00C27636" w:rsidRDefault="00AC12B4">
      <w:pPr>
        <w:spacing w:line="1" w:lineRule="exact"/>
        <w:rPr>
          <w:sz w:val="20"/>
          <w:szCs w:val="20"/>
          <w:lang w:val="fr-BE"/>
        </w:rPr>
      </w:pPr>
    </w:p>
    <w:p w:rsidR="00AC12B4" w:rsidRPr="00C27636" w:rsidRDefault="00C27636">
      <w:pPr>
        <w:ind w:left="180"/>
        <w:rPr>
          <w:sz w:val="20"/>
          <w:szCs w:val="20"/>
          <w:lang w:val="fr-BE"/>
        </w:rPr>
      </w:pPr>
      <w:r w:rsidRPr="00C27636">
        <w:rPr>
          <w:rFonts w:ascii="Calibri" w:eastAsia="Calibri" w:hAnsi="Calibri" w:cs="Calibri"/>
          <w:color w:val="0E73BE"/>
          <w:sz w:val="20"/>
          <w:szCs w:val="20"/>
          <w:lang w:val="fr-BE"/>
        </w:rPr>
        <w:t>correspondant</w:t>
      </w:r>
    </w:p>
    <w:p w:rsidR="00AC12B4" w:rsidRPr="00C27636" w:rsidRDefault="00AC12B4">
      <w:pPr>
        <w:spacing w:line="200" w:lineRule="exact"/>
        <w:rPr>
          <w:sz w:val="20"/>
          <w:szCs w:val="20"/>
          <w:lang w:val="fr-BE"/>
        </w:rPr>
      </w:pPr>
    </w:p>
    <w:p w:rsidR="00AC12B4" w:rsidRPr="00C27636" w:rsidRDefault="00AC12B4">
      <w:pPr>
        <w:spacing w:line="247" w:lineRule="exact"/>
        <w:rPr>
          <w:sz w:val="20"/>
          <w:szCs w:val="20"/>
          <w:lang w:val="fr-BE"/>
        </w:rPr>
      </w:pPr>
    </w:p>
    <w:p w:rsidR="00AC12B4" w:rsidRPr="00C27636" w:rsidRDefault="00C27636">
      <w:pPr>
        <w:ind w:left="8200"/>
        <w:rPr>
          <w:sz w:val="20"/>
          <w:szCs w:val="20"/>
          <w:lang w:val="fr-BE"/>
        </w:rPr>
      </w:pPr>
      <w:r w:rsidRPr="00C27636">
        <w:rPr>
          <w:rFonts w:ascii="Calibri" w:eastAsia="Calibri" w:hAnsi="Calibri" w:cs="Calibri"/>
          <w:color w:val="0E73BE"/>
          <w:sz w:val="20"/>
          <w:szCs w:val="20"/>
          <w:lang w:val="fr-BE"/>
        </w:rPr>
        <w:t>Quand les données</w:t>
      </w:r>
    </w:p>
    <w:p w:rsidR="00AC12B4" w:rsidRPr="00C27636" w:rsidRDefault="00AC12B4">
      <w:pPr>
        <w:spacing w:line="1" w:lineRule="exact"/>
        <w:rPr>
          <w:sz w:val="20"/>
          <w:szCs w:val="20"/>
          <w:lang w:val="fr-BE"/>
        </w:rPr>
      </w:pPr>
    </w:p>
    <w:p w:rsidR="00AC12B4" w:rsidRPr="00C27636" w:rsidRDefault="00C27636">
      <w:pPr>
        <w:tabs>
          <w:tab w:val="left" w:pos="8820"/>
        </w:tabs>
        <w:ind w:left="8200"/>
        <w:rPr>
          <w:sz w:val="20"/>
          <w:szCs w:val="20"/>
          <w:lang w:val="fr-BE"/>
        </w:rPr>
      </w:pPr>
      <w:r w:rsidRPr="00C27636">
        <w:rPr>
          <w:rFonts w:ascii="Calibri" w:eastAsia="Calibri" w:hAnsi="Calibri" w:cs="Calibri"/>
          <w:color w:val="0E73BE"/>
          <w:sz w:val="20"/>
          <w:szCs w:val="20"/>
          <w:lang w:val="fr-BE"/>
        </w:rPr>
        <w:t>le</w:t>
      </w:r>
      <w:r w:rsidRPr="00C27636">
        <w:rPr>
          <w:sz w:val="20"/>
          <w:szCs w:val="20"/>
          <w:lang w:val="fr-BE"/>
        </w:rPr>
        <w:tab/>
      </w:r>
      <w:r w:rsidRPr="00C27636">
        <w:rPr>
          <w:rFonts w:ascii="Calibri" w:eastAsia="Calibri" w:hAnsi="Calibri" w:cs="Calibri"/>
          <w:color w:val="0E73BE"/>
          <w:sz w:val="20"/>
          <w:szCs w:val="20"/>
          <w:lang w:val="fr-BE"/>
        </w:rPr>
        <w:t>permettent,</w:t>
      </w:r>
    </w:p>
    <w:p w:rsidR="00AC12B4" w:rsidRPr="00C27636" w:rsidRDefault="00AC12B4">
      <w:pPr>
        <w:spacing w:line="1" w:lineRule="exact"/>
        <w:rPr>
          <w:sz w:val="20"/>
          <w:szCs w:val="20"/>
          <w:lang w:val="fr-BE"/>
        </w:rPr>
      </w:pPr>
    </w:p>
    <w:p w:rsidR="00AC12B4" w:rsidRPr="00C27636" w:rsidRDefault="00C27636">
      <w:pPr>
        <w:tabs>
          <w:tab w:val="left" w:pos="9600"/>
        </w:tabs>
        <w:ind w:left="8200"/>
        <w:rPr>
          <w:sz w:val="20"/>
          <w:szCs w:val="20"/>
          <w:lang w:val="fr-BE"/>
        </w:rPr>
      </w:pPr>
      <w:r w:rsidRPr="00C27636">
        <w:rPr>
          <w:rFonts w:ascii="Calibri" w:eastAsia="Calibri" w:hAnsi="Calibri" w:cs="Calibri"/>
          <w:b/>
          <w:bCs/>
          <w:color w:val="0E73BE"/>
          <w:sz w:val="20"/>
          <w:szCs w:val="20"/>
          <w:lang w:val="fr-BE"/>
        </w:rPr>
        <w:t>l’évolution</w:t>
      </w:r>
      <w:r w:rsidRPr="00C27636">
        <w:rPr>
          <w:sz w:val="20"/>
          <w:szCs w:val="20"/>
          <w:lang w:val="fr-BE"/>
        </w:rPr>
        <w:tab/>
      </w:r>
      <w:r w:rsidRPr="00C27636">
        <w:rPr>
          <w:rFonts w:ascii="Calibri" w:eastAsia="Calibri" w:hAnsi="Calibri" w:cs="Calibri"/>
          <w:color w:val="0E73BE"/>
          <w:sz w:val="20"/>
          <w:szCs w:val="20"/>
          <w:lang w:val="fr-BE"/>
        </w:rPr>
        <w:t>de</w:t>
      </w:r>
    </w:p>
    <w:p w:rsidR="00AC12B4" w:rsidRPr="00C27636" w:rsidRDefault="00AC12B4">
      <w:pPr>
        <w:spacing w:line="47" w:lineRule="exact"/>
        <w:rPr>
          <w:sz w:val="20"/>
          <w:szCs w:val="20"/>
          <w:lang w:val="fr-BE"/>
        </w:rPr>
      </w:pPr>
    </w:p>
    <w:p w:rsidR="00AC12B4" w:rsidRPr="00C27636" w:rsidRDefault="00C27636">
      <w:pPr>
        <w:spacing w:line="216" w:lineRule="auto"/>
        <w:ind w:left="8200" w:right="20"/>
        <w:jc w:val="both"/>
        <w:rPr>
          <w:sz w:val="20"/>
          <w:szCs w:val="20"/>
          <w:lang w:val="fr-BE"/>
        </w:rPr>
      </w:pPr>
      <w:r w:rsidRPr="00C27636">
        <w:rPr>
          <w:rFonts w:ascii="Calibri" w:eastAsia="Calibri" w:hAnsi="Calibri" w:cs="Calibri"/>
          <w:color w:val="0E73BE"/>
          <w:sz w:val="20"/>
          <w:szCs w:val="20"/>
          <w:lang w:val="fr-BE"/>
        </w:rPr>
        <w:t>l’indicateur est analysée.</w:t>
      </w:r>
    </w:p>
    <w:p w:rsidR="00AC12B4" w:rsidRPr="00C27636" w:rsidRDefault="00AC12B4">
      <w:pPr>
        <w:spacing w:line="168" w:lineRule="exact"/>
        <w:rPr>
          <w:sz w:val="20"/>
          <w:szCs w:val="20"/>
          <w:lang w:val="fr-BE"/>
        </w:rPr>
      </w:pPr>
    </w:p>
    <w:p w:rsidR="00AC12B4" w:rsidRPr="00C27636" w:rsidRDefault="00C27636">
      <w:pPr>
        <w:spacing w:line="230" w:lineRule="auto"/>
        <w:ind w:left="8200" w:right="20"/>
        <w:jc w:val="both"/>
        <w:rPr>
          <w:sz w:val="20"/>
          <w:szCs w:val="20"/>
          <w:lang w:val="fr-BE"/>
        </w:rPr>
      </w:pPr>
      <w:r w:rsidRPr="00C27636">
        <w:rPr>
          <w:rFonts w:ascii="Calibri" w:eastAsia="Calibri" w:hAnsi="Calibri" w:cs="Calibri"/>
          <w:color w:val="0E73BE"/>
          <w:sz w:val="20"/>
          <w:szCs w:val="20"/>
          <w:lang w:val="fr-BE"/>
        </w:rPr>
        <w:lastRenderedPageBreak/>
        <w:t xml:space="preserve">L’étude de l’évolution donne généralement plus d’indication qu’un </w:t>
      </w:r>
      <w:r w:rsidRPr="00C27636">
        <w:rPr>
          <w:rFonts w:ascii="Calibri" w:eastAsia="Calibri" w:hAnsi="Calibri" w:cs="Calibri"/>
          <w:color w:val="0E73BE"/>
          <w:sz w:val="20"/>
          <w:szCs w:val="20"/>
          <w:lang w:val="fr-BE"/>
        </w:rPr>
        <w:t>chiffre « brute ».</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0" w:lineRule="exact"/>
        <w:rPr>
          <w:sz w:val="20"/>
          <w:szCs w:val="20"/>
          <w:lang w:val="fr-BE"/>
        </w:rPr>
      </w:pPr>
    </w:p>
    <w:p w:rsidR="00AC12B4" w:rsidRPr="00C27636" w:rsidRDefault="00C27636">
      <w:pPr>
        <w:ind w:left="7920"/>
        <w:rPr>
          <w:sz w:val="20"/>
          <w:szCs w:val="20"/>
          <w:lang w:val="fr-BE"/>
        </w:rPr>
      </w:pPr>
      <w:r w:rsidRPr="00C27636">
        <w:rPr>
          <w:rFonts w:ascii="Calibri" w:eastAsia="Calibri" w:hAnsi="Calibri" w:cs="Calibri"/>
          <w:color w:val="0E73BE"/>
          <w:sz w:val="20"/>
          <w:szCs w:val="20"/>
          <w:lang w:val="fr-BE"/>
        </w:rPr>
        <w:t>Bandeau de couleur</w:t>
      </w:r>
    </w:p>
    <w:p w:rsidR="00AC12B4" w:rsidRPr="00C27636" w:rsidRDefault="00C27636">
      <w:pPr>
        <w:tabs>
          <w:tab w:val="left" w:pos="1400"/>
          <w:tab w:val="left" w:pos="7900"/>
          <w:tab w:val="left" w:pos="8660"/>
          <w:tab w:val="left" w:pos="9000"/>
        </w:tabs>
        <w:spacing w:line="233" w:lineRule="auto"/>
        <w:ind w:left="180"/>
        <w:rPr>
          <w:sz w:val="20"/>
          <w:szCs w:val="20"/>
          <w:lang w:val="fr-BE"/>
        </w:rPr>
      </w:pPr>
      <w:r w:rsidRPr="00C27636">
        <w:rPr>
          <w:rFonts w:ascii="Calibri" w:eastAsia="Calibri" w:hAnsi="Calibri" w:cs="Calibri"/>
          <w:b/>
          <w:bCs/>
          <w:color w:val="0E73BE"/>
          <w:sz w:val="20"/>
          <w:szCs w:val="20"/>
          <w:lang w:val="fr-BE"/>
        </w:rPr>
        <w:t>Graphiques</w:t>
      </w:r>
      <w:r w:rsidRPr="00C27636">
        <w:rPr>
          <w:sz w:val="20"/>
          <w:szCs w:val="20"/>
          <w:lang w:val="fr-BE"/>
        </w:rPr>
        <w:tab/>
      </w:r>
      <w:r w:rsidRPr="00C27636">
        <w:rPr>
          <w:rFonts w:ascii="Calibri" w:eastAsia="Calibri" w:hAnsi="Calibri" w:cs="Calibri"/>
          <w:color w:val="0E73BE"/>
          <w:sz w:val="20"/>
          <w:szCs w:val="20"/>
          <w:lang w:val="fr-BE"/>
        </w:rPr>
        <w:t>illustrant</w:t>
      </w:r>
      <w:r w:rsidRPr="00C27636">
        <w:rPr>
          <w:sz w:val="20"/>
          <w:szCs w:val="20"/>
          <w:lang w:val="fr-BE"/>
        </w:rPr>
        <w:tab/>
      </w:r>
      <w:r w:rsidRPr="00C27636">
        <w:rPr>
          <w:rFonts w:ascii="Calibri" w:eastAsia="Calibri" w:hAnsi="Calibri" w:cs="Calibri"/>
          <w:color w:val="0E73BE"/>
          <w:sz w:val="20"/>
          <w:szCs w:val="20"/>
          <w:lang w:val="fr-BE"/>
        </w:rPr>
        <w:t>suivant</w:t>
      </w:r>
      <w:r w:rsidRPr="00C27636">
        <w:rPr>
          <w:rFonts w:ascii="Calibri" w:eastAsia="Calibri" w:hAnsi="Calibri" w:cs="Calibri"/>
          <w:color w:val="0E73BE"/>
          <w:sz w:val="20"/>
          <w:szCs w:val="20"/>
          <w:lang w:val="fr-BE"/>
        </w:rPr>
        <w:tab/>
        <w:t>le</w:t>
      </w:r>
      <w:r w:rsidRPr="00C27636">
        <w:rPr>
          <w:rFonts w:ascii="Calibri" w:eastAsia="Calibri" w:hAnsi="Calibri" w:cs="Calibri"/>
          <w:color w:val="0E73BE"/>
          <w:sz w:val="20"/>
          <w:szCs w:val="20"/>
          <w:lang w:val="fr-BE"/>
        </w:rPr>
        <w:tab/>
        <w:t>groupe</w:t>
      </w:r>
    </w:p>
    <w:p w:rsidR="00AC12B4" w:rsidRPr="00C27636" w:rsidRDefault="00C27636">
      <w:pPr>
        <w:tabs>
          <w:tab w:val="left" w:pos="7900"/>
        </w:tabs>
        <w:spacing w:line="238" w:lineRule="auto"/>
        <w:ind w:left="180"/>
        <w:rPr>
          <w:sz w:val="20"/>
          <w:szCs w:val="20"/>
          <w:lang w:val="fr-BE"/>
        </w:rPr>
      </w:pPr>
      <w:r w:rsidRPr="00C27636">
        <w:rPr>
          <w:rFonts w:ascii="Calibri" w:eastAsia="Calibri" w:hAnsi="Calibri" w:cs="Calibri"/>
          <w:color w:val="0E73BE"/>
          <w:sz w:val="20"/>
          <w:szCs w:val="20"/>
          <w:lang w:val="fr-BE"/>
        </w:rPr>
        <w:t>les données</w:t>
      </w:r>
      <w:r w:rsidRPr="00C27636">
        <w:rPr>
          <w:sz w:val="20"/>
          <w:szCs w:val="20"/>
          <w:lang w:val="fr-BE"/>
        </w:rPr>
        <w:tab/>
      </w:r>
      <w:r w:rsidRPr="00C27636">
        <w:rPr>
          <w:rFonts w:ascii="Calibri" w:eastAsia="Calibri" w:hAnsi="Calibri" w:cs="Calibri"/>
          <w:color w:val="0E73BE"/>
          <w:sz w:val="20"/>
          <w:szCs w:val="20"/>
          <w:lang w:val="fr-BE"/>
        </w:rPr>
        <w:t>d’indicateur</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7" w:lineRule="exact"/>
        <w:rPr>
          <w:sz w:val="20"/>
          <w:szCs w:val="20"/>
          <w:lang w:val="fr-BE"/>
        </w:rPr>
      </w:pPr>
    </w:p>
    <w:p w:rsidR="00AC12B4" w:rsidRPr="00C27636" w:rsidRDefault="00C27636">
      <w:pPr>
        <w:ind w:right="240"/>
        <w:jc w:val="center"/>
        <w:rPr>
          <w:sz w:val="20"/>
          <w:szCs w:val="20"/>
          <w:lang w:val="fr-BE"/>
        </w:rPr>
      </w:pPr>
      <w:r w:rsidRPr="00C27636">
        <w:rPr>
          <w:rFonts w:ascii="Calibri" w:eastAsia="Calibri" w:hAnsi="Calibri" w:cs="Calibri"/>
          <w:lang w:val="fr-BE"/>
        </w:rPr>
        <w:t>41</w:t>
      </w:r>
    </w:p>
    <w:p w:rsidR="00AC12B4" w:rsidRPr="00C27636" w:rsidRDefault="00AC12B4">
      <w:pPr>
        <w:rPr>
          <w:lang w:val="fr-BE"/>
        </w:rPr>
        <w:sectPr w:rsidR="00AC12B4" w:rsidRPr="00C27636">
          <w:type w:val="continuous"/>
          <w:pgSz w:w="12080" w:h="17179"/>
          <w:pgMar w:top="558" w:right="797" w:bottom="659" w:left="1440" w:header="0" w:footer="0" w:gutter="0"/>
          <w:cols w:space="720" w:equalWidth="0">
            <w:col w:w="9840"/>
          </w:cols>
        </w:sectPr>
      </w:pPr>
    </w:p>
    <w:p w:rsidR="00AC12B4" w:rsidRPr="00C27636" w:rsidRDefault="00AC12B4">
      <w:pPr>
        <w:spacing w:line="200" w:lineRule="exact"/>
        <w:rPr>
          <w:sz w:val="20"/>
          <w:szCs w:val="20"/>
          <w:lang w:val="fr-BE"/>
        </w:rPr>
      </w:pPr>
      <w:bookmarkStart w:id="41" w:name="page42"/>
      <w:bookmarkEnd w:id="41"/>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8" w:lineRule="exact"/>
        <w:rPr>
          <w:sz w:val="20"/>
          <w:szCs w:val="20"/>
          <w:lang w:val="fr-BE"/>
        </w:rPr>
      </w:pPr>
    </w:p>
    <w:p w:rsidR="00AC12B4" w:rsidRPr="00C27636" w:rsidRDefault="00C27636">
      <w:pPr>
        <w:ind w:left="3600"/>
        <w:rPr>
          <w:sz w:val="20"/>
          <w:szCs w:val="20"/>
          <w:lang w:val="fr-BE"/>
        </w:rPr>
      </w:pPr>
      <w:r w:rsidRPr="00C27636">
        <w:rPr>
          <w:rFonts w:ascii="Calibri" w:eastAsia="Calibri" w:hAnsi="Calibri" w:cs="Calibri"/>
          <w:b/>
          <w:bCs/>
          <w:color w:val="0E73BE"/>
          <w:sz w:val="20"/>
          <w:szCs w:val="20"/>
          <w:lang w:val="fr-BE"/>
        </w:rPr>
        <w:t xml:space="preserve">Iniquité </w:t>
      </w:r>
      <w:r w:rsidRPr="00C27636">
        <w:rPr>
          <w:rFonts w:ascii="Calibri" w:eastAsia="Calibri" w:hAnsi="Calibri" w:cs="Calibri"/>
          <w:color w:val="0E73BE"/>
          <w:sz w:val="20"/>
          <w:szCs w:val="20"/>
          <w:lang w:val="fr-BE"/>
        </w:rPr>
        <w:t>: mise en avant de</w:t>
      </w:r>
    </w:p>
    <w:p w:rsidR="00AC12B4" w:rsidRPr="00C27636" w:rsidRDefault="00AC12B4">
      <w:pPr>
        <w:spacing w:line="1" w:lineRule="exact"/>
        <w:rPr>
          <w:sz w:val="20"/>
          <w:szCs w:val="20"/>
          <w:lang w:val="fr-BE"/>
        </w:rPr>
      </w:pPr>
    </w:p>
    <w:p w:rsidR="00AC12B4" w:rsidRPr="00C27636" w:rsidRDefault="00C27636">
      <w:pPr>
        <w:tabs>
          <w:tab w:val="left" w:pos="4500"/>
        </w:tabs>
        <w:ind w:left="3600"/>
        <w:rPr>
          <w:sz w:val="20"/>
          <w:szCs w:val="20"/>
          <w:lang w:val="fr-BE"/>
        </w:rPr>
      </w:pPr>
      <w:r w:rsidRPr="00C27636">
        <w:rPr>
          <w:rFonts w:ascii="Calibri" w:eastAsia="Calibri" w:hAnsi="Calibri" w:cs="Calibri"/>
          <w:color w:val="0E73BE"/>
          <w:sz w:val="20"/>
          <w:szCs w:val="20"/>
          <w:lang w:val="fr-BE"/>
        </w:rPr>
        <w:t>groupes</w:t>
      </w:r>
      <w:r w:rsidRPr="00C27636">
        <w:rPr>
          <w:rFonts w:ascii="Calibri" w:eastAsia="Calibri" w:hAnsi="Calibri" w:cs="Calibri"/>
          <w:color w:val="0E73BE"/>
          <w:sz w:val="20"/>
          <w:szCs w:val="20"/>
          <w:lang w:val="fr-BE"/>
        </w:rPr>
        <w:tab/>
        <w:t>particulièrement</w:t>
      </w:r>
    </w:p>
    <w:p w:rsidR="00AC12B4" w:rsidRPr="00C27636" w:rsidRDefault="00AC12B4">
      <w:pPr>
        <w:spacing w:line="1" w:lineRule="exact"/>
        <w:rPr>
          <w:sz w:val="20"/>
          <w:szCs w:val="20"/>
          <w:lang w:val="fr-BE"/>
        </w:rPr>
      </w:pPr>
    </w:p>
    <w:p w:rsidR="00AC12B4" w:rsidRPr="00C27636" w:rsidRDefault="00C27636">
      <w:pPr>
        <w:ind w:left="3600"/>
        <w:rPr>
          <w:sz w:val="20"/>
          <w:szCs w:val="20"/>
          <w:lang w:val="fr-BE"/>
        </w:rPr>
      </w:pPr>
      <w:r w:rsidRPr="00C27636">
        <w:rPr>
          <w:rFonts w:ascii="Calibri" w:eastAsia="Calibri" w:hAnsi="Calibri" w:cs="Calibri"/>
          <w:color w:val="0E73BE"/>
          <w:sz w:val="20"/>
          <w:szCs w:val="20"/>
          <w:lang w:val="fr-BE"/>
        </w:rPr>
        <w:t>vulnérables</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387392" behindDoc="1" locked="0" layoutInCell="0" allowOverlap="1">
            <wp:simplePos x="0" y="0"/>
            <wp:positionH relativeFrom="column">
              <wp:posOffset>681990</wp:posOffset>
            </wp:positionH>
            <wp:positionV relativeFrom="paragraph">
              <wp:posOffset>16510</wp:posOffset>
            </wp:positionV>
            <wp:extent cx="4894580" cy="552005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blip>
                    <a:srcRect/>
                    <a:stretch>
                      <a:fillRect/>
                    </a:stretch>
                  </pic:blipFill>
                  <pic:spPr bwMode="auto">
                    <a:xfrm>
                      <a:off x="0" y="0"/>
                      <a:ext cx="4894580" cy="552005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9" w:lineRule="exact"/>
        <w:rPr>
          <w:sz w:val="20"/>
          <w:szCs w:val="20"/>
          <w:lang w:val="fr-BE"/>
        </w:rPr>
      </w:pPr>
    </w:p>
    <w:p w:rsidR="00AC12B4" w:rsidRPr="00C27636" w:rsidRDefault="00C27636">
      <w:pPr>
        <w:spacing w:line="225" w:lineRule="auto"/>
        <w:ind w:right="5320"/>
        <w:jc w:val="both"/>
        <w:rPr>
          <w:sz w:val="20"/>
          <w:szCs w:val="20"/>
          <w:lang w:val="fr-BE"/>
        </w:rPr>
      </w:pPr>
      <w:r w:rsidRPr="00C27636">
        <w:rPr>
          <w:rFonts w:ascii="Calibri" w:eastAsia="Calibri" w:hAnsi="Calibri" w:cs="Calibri"/>
          <w:b/>
          <w:bCs/>
          <w:color w:val="0E73BE"/>
          <w:sz w:val="20"/>
          <w:szCs w:val="20"/>
          <w:lang w:val="fr-BE"/>
        </w:rPr>
        <w:t xml:space="preserve">Et ailleurs ? </w:t>
      </w:r>
      <w:r w:rsidRPr="00C27636">
        <w:rPr>
          <w:rFonts w:ascii="Calibri" w:eastAsia="Calibri" w:hAnsi="Calibri" w:cs="Calibri"/>
          <w:color w:val="0E73BE"/>
          <w:sz w:val="20"/>
          <w:szCs w:val="20"/>
          <w:lang w:val="fr-BE"/>
        </w:rPr>
        <w:t>Quand</w:t>
      </w:r>
      <w:r w:rsidRPr="00C27636">
        <w:rPr>
          <w:rFonts w:ascii="Calibri" w:eastAsia="Calibri" w:hAnsi="Calibri" w:cs="Calibri"/>
          <w:b/>
          <w:bCs/>
          <w:color w:val="0E73BE"/>
          <w:sz w:val="20"/>
          <w:szCs w:val="20"/>
          <w:lang w:val="fr-BE"/>
        </w:rPr>
        <w:t xml:space="preserve"> </w:t>
      </w:r>
      <w:r w:rsidRPr="00C27636">
        <w:rPr>
          <w:rFonts w:ascii="Calibri" w:eastAsia="Calibri" w:hAnsi="Calibri" w:cs="Calibri"/>
          <w:color w:val="0E73BE"/>
          <w:sz w:val="20"/>
          <w:szCs w:val="20"/>
          <w:lang w:val="fr-BE"/>
        </w:rPr>
        <w:t>cela est possible et pertinent, mise en</w:t>
      </w:r>
    </w:p>
    <w:p w:rsidR="00AC12B4" w:rsidRPr="00C27636" w:rsidRDefault="00AC12B4">
      <w:pPr>
        <w:spacing w:line="48" w:lineRule="exact"/>
        <w:rPr>
          <w:sz w:val="20"/>
          <w:szCs w:val="20"/>
          <w:lang w:val="fr-BE"/>
        </w:rPr>
      </w:pPr>
    </w:p>
    <w:p w:rsidR="00AC12B4" w:rsidRPr="00C27636" w:rsidRDefault="00C27636">
      <w:pPr>
        <w:spacing w:line="228" w:lineRule="auto"/>
        <w:ind w:right="5320"/>
        <w:rPr>
          <w:sz w:val="20"/>
          <w:szCs w:val="20"/>
          <w:lang w:val="fr-BE"/>
        </w:rPr>
      </w:pPr>
      <w:r w:rsidRPr="00C27636">
        <w:rPr>
          <w:rFonts w:ascii="Calibri" w:eastAsia="Calibri" w:hAnsi="Calibri" w:cs="Calibri"/>
          <w:color w:val="0E73BE"/>
          <w:sz w:val="20"/>
          <w:szCs w:val="20"/>
          <w:lang w:val="fr-BE"/>
        </w:rPr>
        <w:t>contexte des données par une comparaison internationale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9" w:lineRule="exact"/>
        <w:rPr>
          <w:sz w:val="20"/>
          <w:szCs w:val="20"/>
          <w:lang w:val="fr-BE"/>
        </w:rPr>
      </w:pPr>
    </w:p>
    <w:p w:rsidR="00AC12B4" w:rsidRPr="00C27636" w:rsidRDefault="00C27636">
      <w:pPr>
        <w:spacing w:line="229" w:lineRule="auto"/>
        <w:ind w:right="140"/>
        <w:jc w:val="both"/>
        <w:rPr>
          <w:sz w:val="20"/>
          <w:szCs w:val="20"/>
          <w:lang w:val="fr-BE"/>
        </w:rPr>
      </w:pPr>
      <w:r w:rsidRPr="00C27636">
        <w:rPr>
          <w:rFonts w:ascii="Calibri" w:eastAsia="Calibri" w:hAnsi="Calibri" w:cs="Calibri"/>
          <w:b/>
          <w:bCs/>
          <w:color w:val="0E73BE"/>
          <w:sz w:val="20"/>
          <w:szCs w:val="20"/>
          <w:lang w:val="fr-BE"/>
        </w:rPr>
        <w:t xml:space="preserve">Recommandations </w:t>
      </w:r>
      <w:r w:rsidRPr="00C27636">
        <w:rPr>
          <w:rFonts w:ascii="Calibri" w:eastAsia="Calibri" w:hAnsi="Calibri" w:cs="Calibri"/>
          <w:color w:val="0E73BE"/>
          <w:sz w:val="20"/>
          <w:szCs w:val="20"/>
          <w:lang w:val="fr-BE"/>
        </w:rPr>
        <w:t>en vue</w:t>
      </w:r>
      <w:r w:rsidRPr="00C27636">
        <w:rPr>
          <w:rFonts w:ascii="Calibri" w:eastAsia="Calibri" w:hAnsi="Calibri" w:cs="Calibri"/>
          <w:b/>
          <w:bCs/>
          <w:color w:val="0E73BE"/>
          <w:sz w:val="20"/>
          <w:szCs w:val="20"/>
          <w:lang w:val="fr-BE"/>
        </w:rPr>
        <w:t xml:space="preserve"> </w:t>
      </w:r>
      <w:r w:rsidRPr="00C27636">
        <w:rPr>
          <w:rFonts w:ascii="Calibri" w:eastAsia="Calibri" w:hAnsi="Calibri" w:cs="Calibri"/>
          <w:color w:val="0E73BE"/>
          <w:sz w:val="20"/>
          <w:szCs w:val="20"/>
          <w:lang w:val="fr-BE"/>
        </w:rPr>
        <w:t>de l’amélioration de la récolte de données (atteinte des groupes</w:t>
      </w:r>
    </w:p>
    <w:p w:rsidR="00AC12B4" w:rsidRPr="00C27636" w:rsidRDefault="00AC12B4">
      <w:pPr>
        <w:spacing w:line="46" w:lineRule="exact"/>
        <w:rPr>
          <w:sz w:val="20"/>
          <w:szCs w:val="20"/>
          <w:lang w:val="fr-BE"/>
        </w:rPr>
      </w:pPr>
    </w:p>
    <w:p w:rsidR="00AC12B4" w:rsidRPr="00C27636" w:rsidRDefault="00C27636">
      <w:pPr>
        <w:spacing w:line="217" w:lineRule="auto"/>
        <w:ind w:right="140"/>
        <w:jc w:val="both"/>
        <w:rPr>
          <w:sz w:val="20"/>
          <w:szCs w:val="20"/>
          <w:lang w:val="fr-BE"/>
        </w:rPr>
      </w:pPr>
      <w:r w:rsidRPr="00C27636">
        <w:rPr>
          <w:rFonts w:ascii="Calibri" w:eastAsia="Calibri" w:hAnsi="Calibri" w:cs="Calibri"/>
          <w:color w:val="0E73BE"/>
          <w:sz w:val="20"/>
          <w:szCs w:val="20"/>
          <w:lang w:val="fr-BE"/>
        </w:rPr>
        <w:t>vulnérables, nouvel enregistrement,…)</w:t>
      </w:r>
    </w:p>
    <w:p w:rsidR="00AC12B4" w:rsidRPr="00C27636" w:rsidRDefault="00AC12B4">
      <w:pPr>
        <w:spacing w:line="1715" w:lineRule="exact"/>
        <w:rPr>
          <w:sz w:val="20"/>
          <w:szCs w:val="20"/>
          <w:lang w:val="fr-BE"/>
        </w:rPr>
      </w:pPr>
    </w:p>
    <w:p w:rsidR="00AC12B4" w:rsidRPr="00C27636" w:rsidRDefault="00AC12B4">
      <w:pPr>
        <w:rPr>
          <w:lang w:val="fr-BE"/>
        </w:rPr>
        <w:sectPr w:rsidR="00AC12B4" w:rsidRPr="00C27636">
          <w:pgSz w:w="12080" w:h="17179"/>
          <w:pgMar w:top="1440" w:right="1177" w:bottom="659" w:left="780" w:header="0" w:footer="0" w:gutter="0"/>
          <w:cols w:num="2" w:space="720" w:equalWidth="0">
            <w:col w:w="7060" w:space="720"/>
            <w:col w:w="234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3" w:lineRule="exact"/>
        <w:rPr>
          <w:sz w:val="20"/>
          <w:szCs w:val="20"/>
          <w:lang w:val="fr-BE"/>
        </w:rPr>
      </w:pPr>
    </w:p>
    <w:p w:rsidR="00AC12B4" w:rsidRPr="00C27636" w:rsidRDefault="00C27636">
      <w:pPr>
        <w:ind w:left="1060"/>
        <w:rPr>
          <w:sz w:val="20"/>
          <w:szCs w:val="20"/>
          <w:lang w:val="fr-BE"/>
        </w:rPr>
      </w:pPr>
      <w:r w:rsidRPr="00C27636">
        <w:rPr>
          <w:rFonts w:ascii="Calibri" w:eastAsia="Calibri" w:hAnsi="Calibri" w:cs="Calibri"/>
          <w:b/>
          <w:bCs/>
          <w:color w:val="0E73BE"/>
          <w:sz w:val="19"/>
          <w:szCs w:val="19"/>
          <w:lang w:val="fr-BE"/>
        </w:rPr>
        <w:t>D’où viennent ces chiffres ?</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87"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0E73BE"/>
          <w:sz w:val="20"/>
          <w:szCs w:val="20"/>
          <w:lang w:val="fr-BE"/>
        </w:rPr>
        <w:t>Pour aller plus loin</w:t>
      </w:r>
    </w:p>
    <w:p w:rsidR="00AC12B4" w:rsidRPr="00C27636" w:rsidRDefault="00AC12B4">
      <w:pPr>
        <w:spacing w:line="167" w:lineRule="exact"/>
        <w:rPr>
          <w:sz w:val="20"/>
          <w:szCs w:val="20"/>
          <w:lang w:val="fr-BE"/>
        </w:rPr>
      </w:pPr>
    </w:p>
    <w:p w:rsidR="00AC12B4" w:rsidRPr="00C27636" w:rsidRDefault="00C27636">
      <w:pPr>
        <w:spacing w:line="216" w:lineRule="auto"/>
        <w:jc w:val="both"/>
        <w:rPr>
          <w:sz w:val="20"/>
          <w:szCs w:val="20"/>
          <w:lang w:val="fr-BE"/>
        </w:rPr>
      </w:pPr>
      <w:r w:rsidRPr="00C27636">
        <w:rPr>
          <w:rFonts w:ascii="Calibri" w:eastAsia="Calibri" w:hAnsi="Calibri" w:cs="Calibri"/>
          <w:color w:val="0E73BE"/>
          <w:sz w:val="20"/>
          <w:szCs w:val="20"/>
          <w:lang w:val="fr-BE"/>
        </w:rPr>
        <w:t>Présentation d’autres études ou de points</w:t>
      </w:r>
    </w:p>
    <w:p w:rsidR="00AC12B4" w:rsidRPr="00C27636" w:rsidRDefault="00AC12B4">
      <w:pPr>
        <w:spacing w:line="48" w:lineRule="exact"/>
        <w:rPr>
          <w:sz w:val="20"/>
          <w:szCs w:val="20"/>
          <w:lang w:val="fr-BE"/>
        </w:rPr>
      </w:pPr>
    </w:p>
    <w:p w:rsidR="00AC12B4" w:rsidRPr="00C27636" w:rsidRDefault="00C27636">
      <w:pPr>
        <w:spacing w:line="225" w:lineRule="auto"/>
        <w:jc w:val="both"/>
        <w:rPr>
          <w:sz w:val="20"/>
          <w:szCs w:val="20"/>
          <w:lang w:val="fr-BE"/>
        </w:rPr>
      </w:pPr>
      <w:r w:rsidRPr="00C27636">
        <w:rPr>
          <w:rFonts w:ascii="Calibri" w:eastAsia="Calibri" w:hAnsi="Calibri" w:cs="Calibri"/>
          <w:color w:val="0E73BE"/>
          <w:sz w:val="20"/>
          <w:szCs w:val="20"/>
          <w:lang w:val="fr-BE"/>
        </w:rPr>
        <w:t>d’attention pour enrichir et ouvrir la réflexion</w:t>
      </w:r>
    </w:p>
    <w:p w:rsidR="00AC12B4" w:rsidRPr="00C27636" w:rsidRDefault="00AC12B4">
      <w:pPr>
        <w:spacing w:line="263" w:lineRule="exact"/>
        <w:rPr>
          <w:sz w:val="20"/>
          <w:szCs w:val="20"/>
          <w:lang w:val="fr-BE"/>
        </w:rPr>
      </w:pPr>
    </w:p>
    <w:p w:rsidR="00AC12B4" w:rsidRPr="00C27636" w:rsidRDefault="00AC12B4">
      <w:pPr>
        <w:rPr>
          <w:lang w:val="fr-BE"/>
        </w:rPr>
        <w:sectPr w:rsidR="00AC12B4" w:rsidRPr="00C27636">
          <w:type w:val="continuous"/>
          <w:pgSz w:w="12080" w:h="17179"/>
          <w:pgMar w:top="1440" w:right="1177" w:bottom="659" w:left="780" w:header="0" w:footer="0" w:gutter="0"/>
          <w:cols w:num="2" w:space="720" w:equalWidth="0">
            <w:col w:w="7600" w:space="720"/>
            <w:col w:w="1800"/>
          </w:cols>
        </w:sectPr>
      </w:pPr>
    </w:p>
    <w:p w:rsidR="00AC12B4" w:rsidRPr="00C27636" w:rsidRDefault="00C27636">
      <w:pPr>
        <w:tabs>
          <w:tab w:val="left" w:pos="2260"/>
          <w:tab w:val="left" w:pos="2660"/>
          <w:tab w:val="left" w:pos="3000"/>
          <w:tab w:val="left" w:pos="3720"/>
        </w:tabs>
        <w:ind w:left="1060"/>
        <w:rPr>
          <w:sz w:val="20"/>
          <w:szCs w:val="20"/>
          <w:lang w:val="fr-BE"/>
        </w:rPr>
      </w:pPr>
      <w:r w:rsidRPr="00C27636">
        <w:rPr>
          <w:rFonts w:ascii="Calibri" w:eastAsia="Calibri" w:hAnsi="Calibri" w:cs="Calibri"/>
          <w:color w:val="0E73BE"/>
          <w:sz w:val="20"/>
          <w:szCs w:val="20"/>
          <w:lang w:val="fr-BE"/>
        </w:rPr>
        <w:lastRenderedPageBreak/>
        <w:t>Présentation</w:t>
      </w:r>
      <w:r w:rsidRPr="00C27636">
        <w:rPr>
          <w:rFonts w:ascii="Calibri" w:eastAsia="Calibri" w:hAnsi="Calibri" w:cs="Calibri"/>
          <w:color w:val="0E73BE"/>
          <w:sz w:val="20"/>
          <w:szCs w:val="20"/>
          <w:lang w:val="fr-BE"/>
        </w:rPr>
        <w:tab/>
      </w:r>
      <w:r w:rsidRPr="00C27636">
        <w:rPr>
          <w:rFonts w:ascii="Calibri" w:eastAsia="Calibri" w:hAnsi="Calibri" w:cs="Calibri"/>
          <w:color w:val="0E73BE"/>
          <w:sz w:val="20"/>
          <w:szCs w:val="20"/>
          <w:lang w:val="fr-BE"/>
        </w:rPr>
        <w:t>de</w:t>
      </w:r>
      <w:r w:rsidRPr="00C27636">
        <w:rPr>
          <w:rFonts w:ascii="Calibri" w:eastAsia="Calibri" w:hAnsi="Calibri" w:cs="Calibri"/>
          <w:color w:val="0E73BE"/>
          <w:sz w:val="20"/>
          <w:szCs w:val="20"/>
          <w:lang w:val="fr-BE"/>
        </w:rPr>
        <w:tab/>
        <w:t>la</w:t>
      </w:r>
      <w:r w:rsidRPr="00C27636">
        <w:rPr>
          <w:rFonts w:ascii="Calibri" w:eastAsia="Calibri" w:hAnsi="Calibri" w:cs="Calibri"/>
          <w:color w:val="0E73BE"/>
          <w:sz w:val="20"/>
          <w:szCs w:val="20"/>
          <w:lang w:val="fr-BE"/>
        </w:rPr>
        <w:tab/>
        <w:t>source</w:t>
      </w:r>
      <w:r w:rsidRPr="00C27636">
        <w:rPr>
          <w:sz w:val="20"/>
          <w:szCs w:val="20"/>
          <w:lang w:val="fr-BE"/>
        </w:rPr>
        <w:tab/>
      </w:r>
      <w:r w:rsidRPr="00C27636">
        <w:rPr>
          <w:rFonts w:ascii="Calibri" w:eastAsia="Calibri" w:hAnsi="Calibri" w:cs="Calibri"/>
          <w:color w:val="0E73BE"/>
          <w:sz w:val="19"/>
          <w:szCs w:val="19"/>
          <w:lang w:val="fr-BE"/>
        </w:rPr>
        <w:t>des</w:t>
      </w:r>
    </w:p>
    <w:p w:rsidR="00AC12B4" w:rsidRPr="00C27636" w:rsidRDefault="00AC12B4">
      <w:pPr>
        <w:spacing w:line="1" w:lineRule="exact"/>
        <w:rPr>
          <w:sz w:val="20"/>
          <w:szCs w:val="20"/>
          <w:lang w:val="fr-BE"/>
        </w:rPr>
      </w:pPr>
    </w:p>
    <w:p w:rsidR="00AC12B4" w:rsidRPr="00C27636" w:rsidRDefault="00C27636">
      <w:pPr>
        <w:ind w:left="1060"/>
        <w:rPr>
          <w:sz w:val="20"/>
          <w:szCs w:val="20"/>
          <w:lang w:val="fr-BE"/>
        </w:rPr>
      </w:pPr>
      <w:r w:rsidRPr="00C27636">
        <w:rPr>
          <w:rFonts w:ascii="Calibri" w:eastAsia="Calibri" w:hAnsi="Calibri" w:cs="Calibri"/>
          <w:color w:val="0E73BE"/>
          <w:sz w:val="20"/>
          <w:szCs w:val="20"/>
          <w:lang w:val="fr-BE"/>
        </w:rPr>
        <w:t>données et des limites de celles-ci</w:t>
      </w:r>
    </w:p>
    <w:p w:rsidR="00AC12B4" w:rsidRPr="00C27636" w:rsidRDefault="00C27636">
      <w:pPr>
        <w:tabs>
          <w:tab w:val="left" w:pos="1980"/>
          <w:tab w:val="left" w:pos="3320"/>
        </w:tabs>
        <w:ind w:left="1060"/>
        <w:rPr>
          <w:sz w:val="20"/>
          <w:szCs w:val="20"/>
          <w:lang w:val="fr-BE"/>
        </w:rPr>
      </w:pPr>
      <w:r w:rsidRPr="00C27636">
        <w:rPr>
          <w:rFonts w:ascii="Calibri" w:eastAsia="Calibri" w:hAnsi="Calibri" w:cs="Calibri"/>
          <w:color w:val="0E73BE"/>
          <w:sz w:val="20"/>
          <w:szCs w:val="20"/>
          <w:lang w:val="fr-BE"/>
        </w:rPr>
        <w:t>(enfants</w:t>
      </w:r>
      <w:r w:rsidRPr="00C27636">
        <w:rPr>
          <w:rFonts w:ascii="Calibri" w:eastAsia="Calibri" w:hAnsi="Calibri" w:cs="Calibri"/>
          <w:color w:val="0E73BE"/>
          <w:sz w:val="20"/>
          <w:szCs w:val="20"/>
          <w:lang w:val="fr-BE"/>
        </w:rPr>
        <w:tab/>
        <w:t>non-atteints,</w:t>
      </w:r>
      <w:r w:rsidRPr="00C27636">
        <w:rPr>
          <w:sz w:val="20"/>
          <w:szCs w:val="20"/>
          <w:lang w:val="fr-BE"/>
        </w:rPr>
        <w:tab/>
      </w:r>
      <w:r w:rsidRPr="00C27636">
        <w:rPr>
          <w:rFonts w:ascii="Calibri" w:eastAsia="Calibri" w:hAnsi="Calibri" w:cs="Calibri"/>
          <w:color w:val="0E73BE"/>
          <w:sz w:val="19"/>
          <w:szCs w:val="19"/>
          <w:lang w:val="fr-BE"/>
        </w:rPr>
        <w:t>données</w:t>
      </w:r>
    </w:p>
    <w:p w:rsidR="00AC12B4" w:rsidRPr="00C27636" w:rsidRDefault="00AC12B4">
      <w:pPr>
        <w:spacing w:line="1" w:lineRule="exact"/>
        <w:rPr>
          <w:sz w:val="20"/>
          <w:szCs w:val="20"/>
          <w:lang w:val="fr-BE"/>
        </w:rPr>
      </w:pPr>
    </w:p>
    <w:p w:rsidR="00AC12B4" w:rsidRPr="00C27636" w:rsidRDefault="00C27636">
      <w:pPr>
        <w:tabs>
          <w:tab w:val="left" w:pos="2520"/>
          <w:tab w:val="left" w:pos="3800"/>
        </w:tabs>
        <w:ind w:left="1060"/>
        <w:rPr>
          <w:sz w:val="20"/>
          <w:szCs w:val="20"/>
          <w:lang w:val="fr-BE"/>
        </w:rPr>
      </w:pPr>
      <w:r w:rsidRPr="00C27636">
        <w:rPr>
          <w:rFonts w:ascii="Calibri" w:eastAsia="Calibri" w:hAnsi="Calibri" w:cs="Calibri"/>
          <w:color w:val="0E73BE"/>
          <w:sz w:val="20"/>
          <w:szCs w:val="20"/>
          <w:lang w:val="fr-BE"/>
        </w:rPr>
        <w:t>manquantes,</w:t>
      </w:r>
      <w:r w:rsidRPr="00C27636">
        <w:rPr>
          <w:sz w:val="20"/>
          <w:szCs w:val="20"/>
          <w:lang w:val="fr-BE"/>
        </w:rPr>
        <w:tab/>
      </w:r>
      <w:r w:rsidRPr="00C27636">
        <w:rPr>
          <w:rFonts w:ascii="Calibri" w:eastAsia="Calibri" w:hAnsi="Calibri" w:cs="Calibri"/>
          <w:color w:val="0E73BE"/>
          <w:sz w:val="20"/>
          <w:szCs w:val="20"/>
          <w:lang w:val="fr-BE"/>
        </w:rPr>
        <w:t>problèmes</w:t>
      </w:r>
      <w:r w:rsidRPr="00C27636">
        <w:rPr>
          <w:sz w:val="20"/>
          <w:szCs w:val="20"/>
          <w:lang w:val="fr-BE"/>
        </w:rPr>
        <w:tab/>
      </w:r>
      <w:r w:rsidRPr="00C27636">
        <w:rPr>
          <w:rFonts w:ascii="Calibri" w:eastAsia="Calibri" w:hAnsi="Calibri" w:cs="Calibri"/>
          <w:color w:val="0E73BE"/>
          <w:sz w:val="19"/>
          <w:szCs w:val="19"/>
          <w:lang w:val="fr-BE"/>
        </w:rPr>
        <w:t>de</w:t>
      </w:r>
    </w:p>
    <w:p w:rsidR="00AC12B4" w:rsidRPr="00C27636" w:rsidRDefault="00AC12B4">
      <w:pPr>
        <w:spacing w:line="1" w:lineRule="exact"/>
        <w:rPr>
          <w:sz w:val="20"/>
          <w:szCs w:val="20"/>
          <w:lang w:val="fr-BE"/>
        </w:rPr>
      </w:pPr>
    </w:p>
    <w:p w:rsidR="00AC12B4" w:rsidRPr="00C27636" w:rsidRDefault="00C27636">
      <w:pPr>
        <w:ind w:left="1060"/>
        <w:rPr>
          <w:sz w:val="20"/>
          <w:szCs w:val="20"/>
          <w:lang w:val="fr-BE"/>
        </w:rPr>
      </w:pPr>
      <w:r w:rsidRPr="00C27636">
        <w:rPr>
          <w:rFonts w:ascii="Calibri" w:eastAsia="Calibri" w:hAnsi="Calibri" w:cs="Calibri"/>
          <w:color w:val="0E73BE"/>
          <w:sz w:val="20"/>
          <w:szCs w:val="20"/>
          <w:lang w:val="fr-BE"/>
        </w:rPr>
        <w:t>ventilation,…).</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0" w:lineRule="exact"/>
        <w:rPr>
          <w:sz w:val="20"/>
          <w:szCs w:val="20"/>
          <w:lang w:val="fr-BE"/>
        </w:rPr>
      </w:pPr>
    </w:p>
    <w:p w:rsidR="00AC12B4" w:rsidRPr="00C27636" w:rsidRDefault="00C27636">
      <w:pPr>
        <w:ind w:right="340"/>
        <w:jc w:val="center"/>
        <w:rPr>
          <w:sz w:val="20"/>
          <w:szCs w:val="20"/>
          <w:lang w:val="fr-BE"/>
        </w:rPr>
      </w:pPr>
      <w:r w:rsidRPr="00C27636">
        <w:rPr>
          <w:rFonts w:ascii="Calibri" w:eastAsia="Calibri" w:hAnsi="Calibri" w:cs="Calibri"/>
          <w:sz w:val="21"/>
          <w:szCs w:val="21"/>
          <w:lang w:val="fr-BE"/>
        </w:rPr>
        <w:t>42</w:t>
      </w:r>
    </w:p>
    <w:p w:rsidR="00AC12B4" w:rsidRPr="00C27636" w:rsidRDefault="00AC12B4">
      <w:pPr>
        <w:rPr>
          <w:lang w:val="fr-BE"/>
        </w:rPr>
        <w:sectPr w:rsidR="00AC12B4" w:rsidRPr="00C27636">
          <w:type w:val="continuous"/>
          <w:pgSz w:w="12080" w:h="17179"/>
          <w:pgMar w:top="1440" w:right="1177" w:bottom="659" w:left="780" w:header="0" w:footer="0" w:gutter="0"/>
          <w:cols w:space="720" w:equalWidth="0">
            <w:col w:w="10120"/>
          </w:cols>
        </w:sectPr>
      </w:pPr>
    </w:p>
    <w:p w:rsidR="00AC12B4" w:rsidRPr="00C27636" w:rsidRDefault="00C27636">
      <w:pPr>
        <w:spacing w:line="200" w:lineRule="exact"/>
        <w:rPr>
          <w:sz w:val="20"/>
          <w:szCs w:val="20"/>
          <w:lang w:val="fr-BE"/>
        </w:rPr>
      </w:pPr>
      <w:bookmarkStart w:id="42" w:name="page43"/>
      <w:bookmarkEnd w:id="42"/>
      <w:r>
        <w:rPr>
          <w:noProof/>
          <w:sz w:val="20"/>
          <w:szCs w:val="20"/>
        </w:rPr>
        <w:lastRenderedPageBreak/>
        <w:drawing>
          <wp:anchor distT="0" distB="0" distL="114300" distR="114300" simplePos="0" relativeHeight="251388416" behindDoc="1" locked="0" layoutInCell="0" allowOverlap="1">
            <wp:simplePos x="0" y="0"/>
            <wp:positionH relativeFrom="page">
              <wp:posOffset>0</wp:posOffset>
            </wp:positionH>
            <wp:positionV relativeFrom="page">
              <wp:posOffset>11430</wp:posOffset>
            </wp:positionV>
            <wp:extent cx="7665720" cy="1089342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clrChange>
                        <a:clrFrom>
                          <a:srgbClr val="FFFFFF"/>
                        </a:clrFrom>
                        <a:clrTo>
                          <a:srgbClr val="FFFFFF">
                            <a:alpha val="0"/>
                          </a:srgbClr>
                        </a:clrTo>
                      </a:clrChange>
                      <a:extLst/>
                    </a:blip>
                    <a:srcRect/>
                    <a:stretch>
                      <a:fillRect/>
                    </a:stretch>
                  </pic:blipFill>
                  <pic:spPr bwMode="auto">
                    <a:xfrm>
                      <a:off x="0" y="0"/>
                      <a:ext cx="7665720" cy="1089342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5" w:lineRule="exact"/>
        <w:rPr>
          <w:sz w:val="20"/>
          <w:szCs w:val="20"/>
          <w:lang w:val="fr-BE"/>
        </w:rPr>
      </w:pPr>
    </w:p>
    <w:p w:rsidR="00AC12B4" w:rsidRPr="00C27636" w:rsidRDefault="00C27636">
      <w:pPr>
        <w:ind w:right="177"/>
        <w:jc w:val="right"/>
        <w:rPr>
          <w:sz w:val="20"/>
          <w:szCs w:val="20"/>
          <w:lang w:val="fr-BE"/>
        </w:rPr>
      </w:pPr>
      <w:r w:rsidRPr="00C27636">
        <w:rPr>
          <w:rFonts w:ascii="Calibri" w:eastAsia="Calibri" w:hAnsi="Calibri" w:cs="Calibri"/>
          <w:b/>
          <w:bCs/>
          <w:color w:val="FFFFFF"/>
          <w:sz w:val="96"/>
          <w:szCs w:val="96"/>
          <w:lang w:val="fr-BE"/>
        </w:rPr>
        <w:t>PARTIE II</w:t>
      </w:r>
    </w:p>
    <w:p w:rsidR="00AC12B4" w:rsidRPr="00C27636" w:rsidRDefault="00AC12B4">
      <w:pPr>
        <w:spacing w:line="136" w:lineRule="exact"/>
        <w:rPr>
          <w:sz w:val="20"/>
          <w:szCs w:val="20"/>
          <w:lang w:val="fr-BE"/>
        </w:rPr>
      </w:pPr>
    </w:p>
    <w:p w:rsidR="00AC12B4" w:rsidRPr="00C27636" w:rsidRDefault="00C27636">
      <w:pPr>
        <w:ind w:left="3820"/>
        <w:rPr>
          <w:sz w:val="20"/>
          <w:szCs w:val="20"/>
          <w:lang w:val="fr-BE"/>
        </w:rPr>
      </w:pPr>
      <w:r w:rsidRPr="00C27636">
        <w:rPr>
          <w:rFonts w:ascii="Calibri" w:eastAsia="Calibri" w:hAnsi="Calibri" w:cs="Calibri"/>
          <w:b/>
          <w:bCs/>
          <w:color w:val="FFFFFF"/>
          <w:sz w:val="71"/>
          <w:szCs w:val="71"/>
          <w:lang w:val="fr-BE"/>
        </w:rPr>
        <w:t>LES INDICATEURS</w:t>
      </w:r>
    </w:p>
    <w:p w:rsidR="00AC12B4" w:rsidRPr="00C27636" w:rsidRDefault="00AC12B4">
      <w:pPr>
        <w:spacing w:line="397"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43</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43" w:name="page44"/>
      <w:bookmarkEnd w:id="43"/>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spacing w:line="200" w:lineRule="exact"/>
        <w:rPr>
          <w:sz w:val="20"/>
          <w:szCs w:val="20"/>
          <w:lang w:val="fr-BE"/>
        </w:rPr>
      </w:pPr>
      <w:bookmarkStart w:id="44" w:name="page45"/>
      <w:bookmarkEnd w:id="44"/>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8" w:lineRule="exact"/>
        <w:rPr>
          <w:sz w:val="20"/>
          <w:szCs w:val="20"/>
          <w:lang w:val="fr-BE"/>
        </w:rPr>
      </w:pPr>
    </w:p>
    <w:p w:rsidR="00AC12B4" w:rsidRPr="00C27636" w:rsidRDefault="00C27636">
      <w:pPr>
        <w:spacing w:line="225" w:lineRule="auto"/>
        <w:ind w:left="1000" w:right="177"/>
        <w:jc w:val="right"/>
        <w:rPr>
          <w:sz w:val="20"/>
          <w:szCs w:val="20"/>
          <w:lang w:val="fr-BE"/>
        </w:rPr>
      </w:pPr>
      <w:r w:rsidRPr="00C27636">
        <w:rPr>
          <w:rFonts w:ascii="Calibri" w:eastAsia="Calibri" w:hAnsi="Calibri" w:cs="Calibri"/>
          <w:color w:val="C95C96"/>
          <w:sz w:val="96"/>
          <w:szCs w:val="96"/>
          <w:lang w:val="fr-BE"/>
        </w:rPr>
        <w:t>Le droit de poursuivre son bien-être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1" w:lineRule="exact"/>
        <w:rPr>
          <w:sz w:val="20"/>
          <w:szCs w:val="20"/>
          <w:lang w:val="fr-BE"/>
        </w:rPr>
      </w:pPr>
    </w:p>
    <w:tbl>
      <w:tblPr>
        <w:tblW w:w="0" w:type="auto"/>
        <w:tblInd w:w="1560" w:type="dxa"/>
        <w:tblLayout w:type="fixed"/>
        <w:tblCellMar>
          <w:left w:w="0" w:type="dxa"/>
          <w:right w:w="0" w:type="dxa"/>
        </w:tblCellMar>
        <w:tblLook w:val="04A0" w:firstRow="1" w:lastRow="0" w:firstColumn="1" w:lastColumn="0" w:noHBand="0" w:noVBand="1"/>
      </w:tblPr>
      <w:tblGrid>
        <w:gridCol w:w="6620"/>
        <w:gridCol w:w="500"/>
      </w:tblGrid>
      <w:tr w:rsidR="00AC12B4">
        <w:trPr>
          <w:trHeight w:val="439"/>
        </w:trPr>
        <w:tc>
          <w:tcPr>
            <w:tcW w:w="6620" w:type="dxa"/>
            <w:vAlign w:val="bottom"/>
          </w:tcPr>
          <w:p w:rsidR="00AC12B4" w:rsidRPr="00C27636" w:rsidRDefault="00C27636">
            <w:pPr>
              <w:rPr>
                <w:sz w:val="20"/>
                <w:szCs w:val="20"/>
                <w:lang w:val="fr-BE"/>
              </w:rPr>
            </w:pPr>
            <w:r w:rsidRPr="00C27636">
              <w:rPr>
                <w:rFonts w:ascii="Calibri" w:eastAsia="Calibri" w:hAnsi="Calibri" w:cs="Calibri"/>
                <w:b/>
                <w:bCs/>
                <w:color w:val="C95C96"/>
                <w:sz w:val="36"/>
                <w:szCs w:val="36"/>
                <w:lang w:val="fr-BE"/>
              </w:rPr>
              <w:lastRenderedPageBreak/>
              <w:t xml:space="preserve">B1 </w:t>
            </w:r>
            <w:r w:rsidRPr="00C27636">
              <w:rPr>
                <w:rFonts w:ascii="Calibri" w:eastAsia="Calibri" w:hAnsi="Calibri" w:cs="Calibri"/>
                <w:color w:val="000000"/>
                <w:sz w:val="31"/>
                <w:szCs w:val="31"/>
                <w:lang w:val="fr-BE"/>
              </w:rPr>
              <w:t>Sentiment de Bien-être…….……………………………</w:t>
            </w:r>
          </w:p>
        </w:tc>
        <w:tc>
          <w:tcPr>
            <w:tcW w:w="500" w:type="dxa"/>
            <w:vAlign w:val="bottom"/>
          </w:tcPr>
          <w:p w:rsidR="00AC12B4" w:rsidRDefault="00C27636">
            <w:pPr>
              <w:jc w:val="right"/>
              <w:rPr>
                <w:sz w:val="20"/>
                <w:szCs w:val="20"/>
              </w:rPr>
            </w:pPr>
            <w:r>
              <w:rPr>
                <w:rFonts w:ascii="Calibri" w:eastAsia="Calibri" w:hAnsi="Calibri" w:cs="Calibri"/>
                <w:sz w:val="32"/>
                <w:szCs w:val="32"/>
              </w:rPr>
              <w:t>62</w:t>
            </w:r>
          </w:p>
        </w:tc>
      </w:tr>
      <w:tr w:rsidR="00AC12B4">
        <w:trPr>
          <w:trHeight w:val="778"/>
        </w:trPr>
        <w:tc>
          <w:tcPr>
            <w:tcW w:w="6620" w:type="dxa"/>
            <w:vAlign w:val="bottom"/>
          </w:tcPr>
          <w:p w:rsidR="00AC12B4" w:rsidRDefault="00C27636">
            <w:pPr>
              <w:rPr>
                <w:sz w:val="20"/>
                <w:szCs w:val="20"/>
              </w:rPr>
            </w:pPr>
            <w:r>
              <w:rPr>
                <w:rFonts w:ascii="Calibri" w:eastAsia="Calibri" w:hAnsi="Calibri" w:cs="Calibri"/>
                <w:b/>
                <w:bCs/>
                <w:color w:val="C95C96"/>
                <w:sz w:val="36"/>
                <w:szCs w:val="36"/>
              </w:rPr>
              <w:t xml:space="preserve">B2 </w:t>
            </w:r>
            <w:r>
              <w:rPr>
                <w:rFonts w:ascii="Calibri" w:eastAsia="Calibri" w:hAnsi="Calibri" w:cs="Calibri"/>
                <w:color w:val="000000"/>
                <w:sz w:val="31"/>
                <w:szCs w:val="31"/>
              </w:rPr>
              <w:t>Perspective d'avenir</w:t>
            </w:r>
            <w:r>
              <w:rPr>
                <w:rFonts w:ascii="Calibri" w:eastAsia="Calibri" w:hAnsi="Calibri" w:cs="Calibri"/>
                <w:b/>
                <w:bCs/>
                <w:color w:val="C95C96"/>
                <w:sz w:val="36"/>
                <w:szCs w:val="36"/>
              </w:rPr>
              <w:t xml:space="preserve"> </w:t>
            </w:r>
            <w:r>
              <w:rPr>
                <w:rFonts w:ascii="Calibri" w:eastAsia="Calibri" w:hAnsi="Calibri" w:cs="Calibri"/>
                <w:color w:val="000000"/>
                <w:sz w:val="31"/>
                <w:szCs w:val="31"/>
              </w:rPr>
              <w:t>……………………………………</w:t>
            </w:r>
          </w:p>
        </w:tc>
        <w:tc>
          <w:tcPr>
            <w:tcW w:w="500" w:type="dxa"/>
            <w:vAlign w:val="bottom"/>
          </w:tcPr>
          <w:p w:rsidR="00AC12B4" w:rsidRDefault="00C27636">
            <w:pPr>
              <w:jc w:val="right"/>
              <w:rPr>
                <w:rFonts w:ascii="Calibri" w:eastAsia="Calibri" w:hAnsi="Calibri" w:cs="Calibri"/>
                <w:sz w:val="32"/>
                <w:szCs w:val="32"/>
              </w:rPr>
            </w:pPr>
            <w:hyperlink w:anchor="page49">
              <w:r>
                <w:rPr>
                  <w:rFonts w:ascii="Calibri" w:eastAsia="Calibri" w:hAnsi="Calibri" w:cs="Calibri"/>
                  <w:sz w:val="32"/>
                  <w:szCs w:val="32"/>
                </w:rPr>
                <w:t>49</w:t>
              </w:r>
            </w:hyperlink>
          </w:p>
        </w:tc>
      </w:tr>
      <w:tr w:rsidR="00AC12B4">
        <w:trPr>
          <w:trHeight w:val="780"/>
        </w:trPr>
        <w:tc>
          <w:tcPr>
            <w:tcW w:w="6620" w:type="dxa"/>
            <w:vAlign w:val="bottom"/>
          </w:tcPr>
          <w:p w:rsidR="00AC12B4" w:rsidRPr="00C27636" w:rsidRDefault="00C27636">
            <w:pPr>
              <w:rPr>
                <w:sz w:val="20"/>
                <w:szCs w:val="20"/>
                <w:lang w:val="fr-BE"/>
              </w:rPr>
            </w:pPr>
            <w:r w:rsidRPr="00C27636">
              <w:rPr>
                <w:rFonts w:ascii="Calibri" w:eastAsia="Calibri" w:hAnsi="Calibri" w:cs="Calibri"/>
                <w:b/>
                <w:bCs/>
                <w:color w:val="C95C96"/>
                <w:sz w:val="36"/>
                <w:szCs w:val="36"/>
                <w:lang w:val="fr-BE"/>
              </w:rPr>
              <w:t xml:space="preserve">B3 </w:t>
            </w:r>
            <w:r w:rsidRPr="00C27636">
              <w:rPr>
                <w:rFonts w:ascii="Calibri" w:eastAsia="Calibri" w:hAnsi="Calibri" w:cs="Calibri"/>
                <w:color w:val="000000"/>
                <w:sz w:val="31"/>
                <w:szCs w:val="31"/>
                <w:lang w:val="fr-BE"/>
              </w:rPr>
              <w:t>Sentiment vis à vis de son quartier……………….</w:t>
            </w:r>
          </w:p>
        </w:tc>
        <w:tc>
          <w:tcPr>
            <w:tcW w:w="500" w:type="dxa"/>
            <w:vAlign w:val="bottom"/>
          </w:tcPr>
          <w:p w:rsidR="00AC12B4" w:rsidRDefault="00C27636">
            <w:pPr>
              <w:jc w:val="right"/>
              <w:rPr>
                <w:rFonts w:ascii="Calibri" w:eastAsia="Calibri" w:hAnsi="Calibri" w:cs="Calibri"/>
                <w:sz w:val="32"/>
                <w:szCs w:val="32"/>
              </w:rPr>
            </w:pPr>
            <w:hyperlink w:anchor="page53">
              <w:r>
                <w:rPr>
                  <w:rFonts w:ascii="Calibri" w:eastAsia="Calibri" w:hAnsi="Calibri" w:cs="Calibri"/>
                  <w:sz w:val="32"/>
                  <w:szCs w:val="32"/>
                </w:rPr>
                <w:t>53</w:t>
              </w:r>
            </w:hyperlink>
          </w:p>
        </w:tc>
      </w:tr>
      <w:tr w:rsidR="00AC12B4">
        <w:trPr>
          <w:trHeight w:val="781"/>
        </w:trPr>
        <w:tc>
          <w:tcPr>
            <w:tcW w:w="6620" w:type="dxa"/>
            <w:vAlign w:val="bottom"/>
          </w:tcPr>
          <w:p w:rsidR="00AC12B4" w:rsidRDefault="00C27636">
            <w:pPr>
              <w:rPr>
                <w:sz w:val="20"/>
                <w:szCs w:val="20"/>
              </w:rPr>
            </w:pPr>
            <w:r>
              <w:rPr>
                <w:rFonts w:ascii="Calibri" w:eastAsia="Calibri" w:hAnsi="Calibri" w:cs="Calibri"/>
                <w:b/>
                <w:bCs/>
                <w:color w:val="C95C96"/>
                <w:sz w:val="36"/>
                <w:szCs w:val="36"/>
              </w:rPr>
              <w:t xml:space="preserve">B4 </w:t>
            </w:r>
            <w:r>
              <w:rPr>
                <w:rFonts w:ascii="Calibri" w:eastAsia="Calibri" w:hAnsi="Calibri" w:cs="Calibri"/>
                <w:color w:val="000000"/>
                <w:sz w:val="31"/>
                <w:szCs w:val="31"/>
              </w:rPr>
              <w:t>Violence entre pairs</w:t>
            </w:r>
            <w:r>
              <w:rPr>
                <w:rFonts w:ascii="Calibri" w:eastAsia="Calibri" w:hAnsi="Calibri" w:cs="Calibri"/>
                <w:b/>
                <w:bCs/>
                <w:color w:val="C95C96"/>
                <w:sz w:val="36"/>
                <w:szCs w:val="36"/>
              </w:rPr>
              <w:t xml:space="preserve"> </w:t>
            </w:r>
            <w:r>
              <w:rPr>
                <w:rFonts w:ascii="Calibri" w:eastAsia="Calibri" w:hAnsi="Calibri" w:cs="Calibri"/>
                <w:color w:val="000000"/>
                <w:sz w:val="31"/>
                <w:szCs w:val="31"/>
              </w:rPr>
              <w:t>……………………………………</w:t>
            </w:r>
          </w:p>
        </w:tc>
        <w:tc>
          <w:tcPr>
            <w:tcW w:w="500" w:type="dxa"/>
            <w:vAlign w:val="bottom"/>
          </w:tcPr>
          <w:p w:rsidR="00AC12B4" w:rsidRDefault="00C27636">
            <w:pPr>
              <w:jc w:val="right"/>
              <w:rPr>
                <w:sz w:val="20"/>
                <w:szCs w:val="20"/>
              </w:rPr>
            </w:pPr>
            <w:r>
              <w:rPr>
                <w:rFonts w:ascii="Calibri" w:eastAsia="Calibri" w:hAnsi="Calibri" w:cs="Calibri"/>
                <w:sz w:val="32"/>
                <w:szCs w:val="32"/>
              </w:rPr>
              <w:t>55</w:t>
            </w:r>
          </w:p>
        </w:tc>
      </w:tr>
    </w:tbl>
    <w:p w:rsidR="00AC12B4" w:rsidRDefault="00AC12B4">
      <w:pPr>
        <w:spacing w:line="338" w:lineRule="exact"/>
        <w:rPr>
          <w:sz w:val="20"/>
          <w:szCs w:val="20"/>
        </w:rPr>
      </w:pPr>
    </w:p>
    <w:p w:rsidR="00AC12B4" w:rsidRDefault="00C27636">
      <w:pPr>
        <w:ind w:left="1560"/>
        <w:rPr>
          <w:rFonts w:ascii="Calibri" w:eastAsia="Calibri" w:hAnsi="Calibri" w:cs="Calibri"/>
          <w:b/>
          <w:bCs/>
          <w:color w:val="C95C96"/>
          <w:sz w:val="36"/>
          <w:szCs w:val="36"/>
        </w:rPr>
      </w:pPr>
      <w:r w:rsidRPr="00C27636">
        <w:rPr>
          <w:rFonts w:ascii="Calibri" w:eastAsia="Calibri" w:hAnsi="Calibri" w:cs="Calibri"/>
          <w:b/>
          <w:bCs/>
          <w:color w:val="C95C96"/>
          <w:sz w:val="36"/>
          <w:szCs w:val="36"/>
          <w:lang w:val="fr-BE"/>
        </w:rPr>
        <w:t xml:space="preserve">B5 </w:t>
      </w:r>
      <w:r w:rsidRPr="00C27636">
        <w:rPr>
          <w:rFonts w:ascii="Calibri" w:eastAsia="Calibri" w:hAnsi="Calibri" w:cs="Calibri"/>
          <w:color w:val="000000"/>
          <w:sz w:val="31"/>
          <w:szCs w:val="31"/>
          <w:lang w:val="fr-BE"/>
        </w:rPr>
        <w:t xml:space="preserve">Accessibilité psychologique des services d'aide.. </w:t>
      </w:r>
      <w:hyperlink w:anchor="page61">
        <w:r>
          <w:rPr>
            <w:rFonts w:ascii="Calibri" w:eastAsia="Calibri" w:hAnsi="Calibri" w:cs="Calibri"/>
            <w:color w:val="000000"/>
            <w:sz w:val="31"/>
            <w:szCs w:val="31"/>
          </w:rPr>
          <w:t>61</w:t>
        </w:r>
      </w:hyperlink>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78" w:lineRule="exact"/>
        <w:rPr>
          <w:sz w:val="20"/>
          <w:szCs w:val="20"/>
        </w:rPr>
      </w:pPr>
    </w:p>
    <w:p w:rsidR="00AC12B4" w:rsidRDefault="00C27636">
      <w:pPr>
        <w:ind w:right="-382"/>
        <w:jc w:val="center"/>
        <w:rPr>
          <w:sz w:val="20"/>
          <w:szCs w:val="20"/>
        </w:rPr>
      </w:pPr>
      <w:r>
        <w:rPr>
          <w:rFonts w:ascii="Calibri" w:eastAsia="Calibri" w:hAnsi="Calibri" w:cs="Calibri"/>
        </w:rPr>
        <w:t>45</w:t>
      </w:r>
    </w:p>
    <w:p w:rsidR="00AC12B4" w:rsidRDefault="00AC12B4">
      <w:pPr>
        <w:sectPr w:rsidR="00AC12B4">
          <w:pgSz w:w="12080" w:h="17179"/>
          <w:pgMar w:top="1440" w:right="1440" w:bottom="659" w:left="1440" w:header="0" w:footer="0" w:gutter="0"/>
          <w:cols w:space="720" w:equalWidth="0">
            <w:col w:w="9197"/>
          </w:cols>
        </w:sectPr>
      </w:pPr>
    </w:p>
    <w:p w:rsidR="00AC12B4" w:rsidRDefault="00AC12B4">
      <w:pPr>
        <w:jc w:val="center"/>
        <w:rPr>
          <w:sz w:val="20"/>
          <w:szCs w:val="20"/>
        </w:rPr>
      </w:pPr>
      <w:bookmarkStart w:id="45" w:name="page46"/>
      <w:bookmarkEnd w:id="45"/>
    </w:p>
    <w:p w:rsidR="00AC12B4" w:rsidRDefault="00AC12B4">
      <w:pPr>
        <w:sectPr w:rsidR="00AC12B4">
          <w:pgSz w:w="12080" w:h="17179"/>
          <w:pgMar w:top="1440" w:right="1440" w:bottom="875" w:left="1440" w:header="0" w:footer="0" w:gutter="0"/>
          <w:cols w:space="0"/>
        </w:sectPr>
      </w:pPr>
    </w:p>
    <w:p w:rsidR="00AC12B4" w:rsidRDefault="00AC12B4">
      <w:pPr>
        <w:spacing w:line="168" w:lineRule="exact"/>
        <w:rPr>
          <w:sz w:val="20"/>
          <w:szCs w:val="20"/>
        </w:rPr>
      </w:pPr>
      <w:bookmarkStart w:id="46" w:name="page47"/>
      <w:bookmarkEnd w:id="46"/>
    </w:p>
    <w:p w:rsidR="00AC12B4" w:rsidRDefault="00C27636">
      <w:pPr>
        <w:ind w:left="1440"/>
        <w:rPr>
          <w:sz w:val="20"/>
          <w:szCs w:val="20"/>
        </w:rPr>
      </w:pPr>
      <w:r>
        <w:rPr>
          <w:rFonts w:ascii="Comic Sans MS" w:eastAsia="Comic Sans MS" w:hAnsi="Comic Sans MS" w:cs="Comic Sans MS"/>
          <w:color w:val="C95C96"/>
          <w:sz w:val="40"/>
          <w:szCs w:val="40"/>
        </w:rPr>
        <w:t>B1. Sentiment de bien-être</w:t>
      </w:r>
    </w:p>
    <w:p w:rsidR="00AC12B4" w:rsidRDefault="00AC12B4">
      <w:pPr>
        <w:spacing w:line="25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40"/>
        <w:gridCol w:w="340"/>
        <w:gridCol w:w="460"/>
        <w:gridCol w:w="480"/>
        <w:gridCol w:w="200"/>
        <w:gridCol w:w="560"/>
        <w:gridCol w:w="380"/>
        <w:gridCol w:w="380"/>
        <w:gridCol w:w="260"/>
        <w:gridCol w:w="660"/>
        <w:gridCol w:w="380"/>
        <w:gridCol w:w="300"/>
        <w:gridCol w:w="100"/>
        <w:gridCol w:w="300"/>
        <w:gridCol w:w="1200"/>
        <w:gridCol w:w="260"/>
        <w:gridCol w:w="100"/>
        <w:gridCol w:w="1940"/>
        <w:gridCol w:w="30"/>
      </w:tblGrid>
      <w:tr w:rsidR="00AC12B4">
        <w:trPr>
          <w:trHeight w:val="345"/>
        </w:trPr>
        <w:tc>
          <w:tcPr>
            <w:tcW w:w="1940" w:type="dxa"/>
            <w:tcBorders>
              <w:top w:val="single" w:sz="8" w:space="0" w:color="963266"/>
              <w:left w:val="single" w:sz="8" w:space="0" w:color="963266"/>
            </w:tcBorders>
            <w:shd w:val="clear" w:color="auto" w:fill="C95C96"/>
            <w:vAlign w:val="bottom"/>
          </w:tcPr>
          <w:p w:rsidR="00AC12B4" w:rsidRDefault="00C27636">
            <w:pPr>
              <w:ind w:left="600"/>
              <w:rPr>
                <w:sz w:val="20"/>
                <w:szCs w:val="20"/>
              </w:rPr>
            </w:pPr>
            <w:r>
              <w:rPr>
                <w:rFonts w:ascii="Calibri" w:eastAsia="Calibri" w:hAnsi="Calibri" w:cs="Calibri"/>
                <w:i/>
                <w:iCs/>
                <w:color w:val="DAEEF3"/>
              </w:rPr>
              <w:t>Article 3 CIDE</w:t>
            </w:r>
          </w:p>
        </w:tc>
        <w:tc>
          <w:tcPr>
            <w:tcW w:w="340" w:type="dxa"/>
            <w:tcBorders>
              <w:top w:val="single" w:sz="8" w:space="0" w:color="963266"/>
            </w:tcBorders>
            <w:shd w:val="clear" w:color="auto" w:fill="C95C96"/>
            <w:vAlign w:val="bottom"/>
          </w:tcPr>
          <w:p w:rsidR="00AC12B4" w:rsidRDefault="00AC12B4">
            <w:pPr>
              <w:rPr>
                <w:sz w:val="24"/>
                <w:szCs w:val="24"/>
              </w:rPr>
            </w:pPr>
          </w:p>
        </w:tc>
        <w:tc>
          <w:tcPr>
            <w:tcW w:w="460" w:type="dxa"/>
            <w:tcBorders>
              <w:top w:val="single" w:sz="8" w:space="0" w:color="963266"/>
            </w:tcBorders>
            <w:shd w:val="clear" w:color="auto" w:fill="C95C96"/>
            <w:vAlign w:val="bottom"/>
          </w:tcPr>
          <w:p w:rsidR="00AC12B4" w:rsidRDefault="00AC12B4">
            <w:pPr>
              <w:rPr>
                <w:sz w:val="24"/>
                <w:szCs w:val="24"/>
              </w:rPr>
            </w:pPr>
          </w:p>
        </w:tc>
        <w:tc>
          <w:tcPr>
            <w:tcW w:w="480" w:type="dxa"/>
            <w:tcBorders>
              <w:top w:val="single" w:sz="8" w:space="0" w:color="963266"/>
            </w:tcBorders>
            <w:shd w:val="clear" w:color="auto" w:fill="C95C96"/>
            <w:vAlign w:val="bottom"/>
          </w:tcPr>
          <w:p w:rsidR="00AC12B4" w:rsidRDefault="00AC12B4">
            <w:pPr>
              <w:rPr>
                <w:sz w:val="24"/>
                <w:szCs w:val="24"/>
              </w:rPr>
            </w:pPr>
          </w:p>
        </w:tc>
        <w:tc>
          <w:tcPr>
            <w:tcW w:w="200" w:type="dxa"/>
            <w:tcBorders>
              <w:top w:val="single" w:sz="8" w:space="0" w:color="963266"/>
            </w:tcBorders>
            <w:shd w:val="clear" w:color="auto" w:fill="C95C96"/>
            <w:vAlign w:val="bottom"/>
          </w:tcPr>
          <w:p w:rsidR="00AC12B4" w:rsidRDefault="00AC12B4">
            <w:pPr>
              <w:rPr>
                <w:sz w:val="24"/>
                <w:szCs w:val="24"/>
              </w:rPr>
            </w:pPr>
          </w:p>
        </w:tc>
        <w:tc>
          <w:tcPr>
            <w:tcW w:w="560" w:type="dxa"/>
            <w:tcBorders>
              <w:top w:val="single" w:sz="8" w:space="0" w:color="963266"/>
            </w:tcBorders>
            <w:shd w:val="clear" w:color="auto" w:fill="C95C96"/>
            <w:vAlign w:val="bottom"/>
          </w:tcPr>
          <w:p w:rsidR="00AC12B4" w:rsidRDefault="00AC12B4">
            <w:pPr>
              <w:rPr>
                <w:sz w:val="24"/>
                <w:szCs w:val="24"/>
              </w:rPr>
            </w:pPr>
          </w:p>
        </w:tc>
        <w:tc>
          <w:tcPr>
            <w:tcW w:w="380" w:type="dxa"/>
            <w:tcBorders>
              <w:top w:val="single" w:sz="8" w:space="0" w:color="963266"/>
              <w:left w:val="single" w:sz="8" w:space="0" w:color="C95C96"/>
            </w:tcBorders>
            <w:shd w:val="clear" w:color="auto" w:fill="C95C96"/>
            <w:vAlign w:val="bottom"/>
          </w:tcPr>
          <w:p w:rsidR="00AC12B4" w:rsidRDefault="00AC12B4">
            <w:pPr>
              <w:rPr>
                <w:sz w:val="24"/>
                <w:szCs w:val="24"/>
              </w:rPr>
            </w:pPr>
          </w:p>
        </w:tc>
        <w:tc>
          <w:tcPr>
            <w:tcW w:w="380" w:type="dxa"/>
            <w:tcBorders>
              <w:top w:val="single" w:sz="8" w:space="0" w:color="963266"/>
            </w:tcBorders>
            <w:shd w:val="clear" w:color="auto" w:fill="C95C96"/>
            <w:vAlign w:val="bottom"/>
          </w:tcPr>
          <w:p w:rsidR="00AC12B4" w:rsidRDefault="00AC12B4">
            <w:pPr>
              <w:rPr>
                <w:sz w:val="24"/>
                <w:szCs w:val="24"/>
              </w:rPr>
            </w:pPr>
          </w:p>
        </w:tc>
        <w:tc>
          <w:tcPr>
            <w:tcW w:w="260" w:type="dxa"/>
            <w:tcBorders>
              <w:top w:val="single" w:sz="8" w:space="0" w:color="963266"/>
            </w:tcBorders>
            <w:shd w:val="clear" w:color="auto" w:fill="C95C96"/>
            <w:vAlign w:val="bottom"/>
          </w:tcPr>
          <w:p w:rsidR="00AC12B4" w:rsidRDefault="00AC12B4">
            <w:pPr>
              <w:rPr>
                <w:sz w:val="24"/>
                <w:szCs w:val="24"/>
              </w:rPr>
            </w:pPr>
          </w:p>
        </w:tc>
        <w:tc>
          <w:tcPr>
            <w:tcW w:w="660" w:type="dxa"/>
            <w:tcBorders>
              <w:top w:val="single" w:sz="8" w:space="0" w:color="963266"/>
              <w:right w:val="single" w:sz="8" w:space="0" w:color="963266"/>
            </w:tcBorders>
            <w:shd w:val="clear" w:color="auto" w:fill="C95C96"/>
            <w:vAlign w:val="bottom"/>
          </w:tcPr>
          <w:p w:rsidR="00AC12B4" w:rsidRDefault="00AC12B4">
            <w:pPr>
              <w:rPr>
                <w:sz w:val="24"/>
                <w:szCs w:val="24"/>
              </w:rPr>
            </w:pPr>
          </w:p>
        </w:tc>
        <w:tc>
          <w:tcPr>
            <w:tcW w:w="380" w:type="dxa"/>
            <w:tcBorders>
              <w:right w:val="single" w:sz="8" w:space="0" w:color="963266"/>
            </w:tcBorders>
            <w:vAlign w:val="bottom"/>
          </w:tcPr>
          <w:p w:rsidR="00AC12B4" w:rsidRDefault="00AC12B4">
            <w:pPr>
              <w:rPr>
                <w:sz w:val="24"/>
                <w:szCs w:val="24"/>
              </w:rPr>
            </w:pPr>
          </w:p>
        </w:tc>
        <w:tc>
          <w:tcPr>
            <w:tcW w:w="300" w:type="dxa"/>
            <w:tcBorders>
              <w:top w:val="single" w:sz="8" w:space="0" w:color="963266"/>
            </w:tcBorders>
            <w:vAlign w:val="bottom"/>
          </w:tcPr>
          <w:p w:rsidR="00AC12B4" w:rsidRDefault="00AC12B4">
            <w:pPr>
              <w:rPr>
                <w:sz w:val="24"/>
                <w:szCs w:val="24"/>
              </w:rPr>
            </w:pPr>
          </w:p>
        </w:tc>
        <w:tc>
          <w:tcPr>
            <w:tcW w:w="100" w:type="dxa"/>
            <w:tcBorders>
              <w:top w:val="single" w:sz="8" w:space="0" w:color="963266"/>
            </w:tcBorders>
            <w:vAlign w:val="bottom"/>
          </w:tcPr>
          <w:p w:rsidR="00AC12B4" w:rsidRDefault="00AC12B4">
            <w:pPr>
              <w:rPr>
                <w:sz w:val="24"/>
                <w:szCs w:val="24"/>
              </w:rPr>
            </w:pPr>
          </w:p>
        </w:tc>
        <w:tc>
          <w:tcPr>
            <w:tcW w:w="300" w:type="dxa"/>
            <w:tcBorders>
              <w:top w:val="single" w:sz="8" w:space="0" w:color="963266"/>
            </w:tcBorders>
            <w:vAlign w:val="bottom"/>
          </w:tcPr>
          <w:p w:rsidR="00AC12B4" w:rsidRDefault="00AC12B4">
            <w:pPr>
              <w:rPr>
                <w:sz w:val="24"/>
                <w:szCs w:val="24"/>
              </w:rPr>
            </w:pPr>
          </w:p>
        </w:tc>
        <w:tc>
          <w:tcPr>
            <w:tcW w:w="1460" w:type="dxa"/>
            <w:gridSpan w:val="2"/>
            <w:tcBorders>
              <w:top w:val="single" w:sz="8" w:space="0" w:color="963266"/>
            </w:tcBorders>
            <w:vAlign w:val="bottom"/>
          </w:tcPr>
          <w:p w:rsidR="00AC12B4" w:rsidRDefault="00C27636">
            <w:pPr>
              <w:jc w:val="right"/>
              <w:rPr>
                <w:sz w:val="20"/>
                <w:szCs w:val="20"/>
              </w:rPr>
            </w:pPr>
            <w:r>
              <w:rPr>
                <w:rFonts w:ascii="Calibri" w:eastAsia="Calibri" w:hAnsi="Calibri" w:cs="Calibri"/>
                <w:sz w:val="20"/>
                <w:szCs w:val="20"/>
              </w:rPr>
              <w:t>3,7%</w:t>
            </w:r>
          </w:p>
        </w:tc>
        <w:tc>
          <w:tcPr>
            <w:tcW w:w="100" w:type="dxa"/>
            <w:tcBorders>
              <w:top w:val="single" w:sz="8" w:space="0" w:color="963266"/>
            </w:tcBorders>
            <w:vAlign w:val="bottom"/>
          </w:tcPr>
          <w:p w:rsidR="00AC12B4" w:rsidRDefault="00AC12B4">
            <w:pPr>
              <w:rPr>
                <w:sz w:val="24"/>
                <w:szCs w:val="24"/>
              </w:rPr>
            </w:pPr>
          </w:p>
        </w:tc>
        <w:tc>
          <w:tcPr>
            <w:tcW w:w="1940" w:type="dxa"/>
            <w:tcBorders>
              <w:top w:val="single" w:sz="8" w:space="0" w:color="963266"/>
              <w:right w:val="single" w:sz="8" w:space="0" w:color="963266"/>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97"/>
        </w:trPr>
        <w:tc>
          <w:tcPr>
            <w:tcW w:w="5660" w:type="dxa"/>
            <w:gridSpan w:val="10"/>
            <w:vMerge w:val="restart"/>
            <w:tcBorders>
              <w:left w:val="single" w:sz="8" w:space="0" w:color="963266"/>
              <w:right w:val="single" w:sz="8" w:space="0" w:color="963266"/>
            </w:tcBorders>
            <w:shd w:val="clear" w:color="auto" w:fill="C95C96"/>
            <w:vAlign w:val="bottom"/>
          </w:tcPr>
          <w:p w:rsidR="00AC12B4" w:rsidRPr="00C27636" w:rsidRDefault="00C27636">
            <w:pPr>
              <w:ind w:left="600"/>
              <w:rPr>
                <w:sz w:val="20"/>
                <w:szCs w:val="20"/>
                <w:lang w:val="fr-BE"/>
              </w:rPr>
            </w:pPr>
            <w:r w:rsidRPr="00C27636">
              <w:rPr>
                <w:rFonts w:ascii="Calibri" w:eastAsia="Calibri" w:hAnsi="Calibri" w:cs="Calibri"/>
                <w:i/>
                <w:iCs/>
                <w:color w:val="DAEEF3"/>
                <w:lang w:val="fr-BE"/>
              </w:rPr>
              <w:t>1. Dans toutes les décisions qui concernent les enfants,</w:t>
            </w:r>
          </w:p>
        </w:tc>
        <w:tc>
          <w:tcPr>
            <w:tcW w:w="380" w:type="dxa"/>
            <w:tcBorders>
              <w:right w:val="single" w:sz="8" w:space="0" w:color="963266"/>
            </w:tcBorders>
            <w:vAlign w:val="bottom"/>
          </w:tcPr>
          <w:p w:rsidR="00AC12B4" w:rsidRPr="00C27636" w:rsidRDefault="00AC12B4">
            <w:pPr>
              <w:rPr>
                <w:sz w:val="17"/>
                <w:szCs w:val="17"/>
                <w:lang w:val="fr-BE"/>
              </w:rPr>
            </w:pPr>
          </w:p>
        </w:tc>
        <w:tc>
          <w:tcPr>
            <w:tcW w:w="300" w:type="dxa"/>
            <w:vAlign w:val="bottom"/>
          </w:tcPr>
          <w:p w:rsidR="00AC12B4" w:rsidRPr="00C27636" w:rsidRDefault="00AC12B4">
            <w:pPr>
              <w:rPr>
                <w:sz w:val="17"/>
                <w:szCs w:val="17"/>
                <w:lang w:val="fr-BE"/>
              </w:rPr>
            </w:pPr>
          </w:p>
        </w:tc>
        <w:tc>
          <w:tcPr>
            <w:tcW w:w="100" w:type="dxa"/>
            <w:vAlign w:val="bottom"/>
          </w:tcPr>
          <w:p w:rsidR="00AC12B4" w:rsidRPr="00C27636" w:rsidRDefault="00AC12B4">
            <w:pPr>
              <w:rPr>
                <w:sz w:val="17"/>
                <w:szCs w:val="17"/>
                <w:lang w:val="fr-BE"/>
              </w:rPr>
            </w:pPr>
          </w:p>
        </w:tc>
        <w:tc>
          <w:tcPr>
            <w:tcW w:w="300" w:type="dxa"/>
            <w:vAlign w:val="bottom"/>
          </w:tcPr>
          <w:p w:rsidR="00AC12B4" w:rsidRPr="00C27636" w:rsidRDefault="00AC12B4">
            <w:pPr>
              <w:rPr>
                <w:sz w:val="17"/>
                <w:szCs w:val="17"/>
                <w:lang w:val="fr-BE"/>
              </w:rPr>
            </w:pPr>
          </w:p>
        </w:tc>
        <w:tc>
          <w:tcPr>
            <w:tcW w:w="1200" w:type="dxa"/>
            <w:vMerge w:val="restart"/>
            <w:vAlign w:val="bottom"/>
          </w:tcPr>
          <w:p w:rsidR="00AC12B4" w:rsidRDefault="00C27636">
            <w:pPr>
              <w:ind w:right="530"/>
              <w:jc w:val="right"/>
              <w:rPr>
                <w:sz w:val="20"/>
                <w:szCs w:val="20"/>
              </w:rPr>
            </w:pPr>
            <w:r>
              <w:rPr>
                <w:rFonts w:ascii="Calibri" w:eastAsia="Calibri" w:hAnsi="Calibri" w:cs="Calibri"/>
                <w:sz w:val="20"/>
                <w:szCs w:val="20"/>
              </w:rPr>
              <w:t>20,2%</w:t>
            </w:r>
          </w:p>
        </w:tc>
        <w:tc>
          <w:tcPr>
            <w:tcW w:w="2300" w:type="dxa"/>
            <w:gridSpan w:val="3"/>
            <w:tcBorders>
              <w:right w:val="single" w:sz="8" w:space="0" w:color="963266"/>
            </w:tcBorders>
            <w:vAlign w:val="bottom"/>
          </w:tcPr>
          <w:p w:rsidR="00AC12B4" w:rsidRDefault="00C27636">
            <w:pPr>
              <w:spacing w:line="198" w:lineRule="exact"/>
              <w:ind w:right="820"/>
              <w:jc w:val="right"/>
              <w:rPr>
                <w:sz w:val="20"/>
                <w:szCs w:val="20"/>
              </w:rPr>
            </w:pPr>
            <w:r>
              <w:rPr>
                <w:rFonts w:ascii="Calibri" w:eastAsia="Calibri" w:hAnsi="Calibri" w:cs="Calibri"/>
                <w:sz w:val="20"/>
                <w:szCs w:val="20"/>
              </w:rPr>
              <w:t>21,8%</w:t>
            </w:r>
          </w:p>
        </w:tc>
        <w:tc>
          <w:tcPr>
            <w:tcW w:w="0" w:type="dxa"/>
            <w:vAlign w:val="bottom"/>
          </w:tcPr>
          <w:p w:rsidR="00AC12B4" w:rsidRDefault="00AC12B4">
            <w:pPr>
              <w:rPr>
                <w:sz w:val="1"/>
                <w:szCs w:val="1"/>
              </w:rPr>
            </w:pPr>
          </w:p>
        </w:tc>
      </w:tr>
      <w:tr w:rsidR="00AC12B4">
        <w:trPr>
          <w:trHeight w:val="218"/>
        </w:trPr>
        <w:tc>
          <w:tcPr>
            <w:tcW w:w="5660" w:type="dxa"/>
            <w:gridSpan w:val="10"/>
            <w:vMerge/>
            <w:tcBorders>
              <w:left w:val="single" w:sz="8" w:space="0" w:color="963266"/>
              <w:right w:val="single" w:sz="8" w:space="0" w:color="963266"/>
            </w:tcBorders>
            <w:shd w:val="clear" w:color="auto" w:fill="C95C96"/>
            <w:vAlign w:val="bottom"/>
          </w:tcPr>
          <w:p w:rsidR="00AC12B4" w:rsidRDefault="00AC12B4">
            <w:pPr>
              <w:rPr>
                <w:sz w:val="18"/>
                <w:szCs w:val="18"/>
              </w:rPr>
            </w:pPr>
          </w:p>
        </w:tc>
        <w:tc>
          <w:tcPr>
            <w:tcW w:w="380" w:type="dxa"/>
            <w:tcBorders>
              <w:right w:val="single" w:sz="8" w:space="0" w:color="963266"/>
            </w:tcBorders>
            <w:vAlign w:val="bottom"/>
          </w:tcPr>
          <w:p w:rsidR="00AC12B4" w:rsidRDefault="00AC12B4">
            <w:pPr>
              <w:rPr>
                <w:sz w:val="18"/>
                <w:szCs w:val="18"/>
              </w:rPr>
            </w:pPr>
          </w:p>
        </w:tc>
        <w:tc>
          <w:tcPr>
            <w:tcW w:w="300" w:type="dxa"/>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300" w:type="dxa"/>
            <w:vAlign w:val="bottom"/>
          </w:tcPr>
          <w:p w:rsidR="00AC12B4" w:rsidRDefault="00AC12B4">
            <w:pPr>
              <w:rPr>
                <w:sz w:val="18"/>
                <w:szCs w:val="18"/>
              </w:rPr>
            </w:pPr>
          </w:p>
        </w:tc>
        <w:tc>
          <w:tcPr>
            <w:tcW w:w="1200" w:type="dxa"/>
            <w:vMerge/>
            <w:vAlign w:val="bottom"/>
          </w:tcPr>
          <w:p w:rsidR="00AC12B4" w:rsidRDefault="00AC12B4">
            <w:pPr>
              <w:rPr>
                <w:sz w:val="18"/>
                <w:szCs w:val="18"/>
              </w:rPr>
            </w:pPr>
          </w:p>
        </w:tc>
        <w:tc>
          <w:tcPr>
            <w:tcW w:w="260" w:type="dxa"/>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940" w:type="dxa"/>
            <w:tcBorders>
              <w:right w:val="single" w:sz="8" w:space="0" w:color="963266"/>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rsidRPr="00C27636">
        <w:trPr>
          <w:trHeight w:val="269"/>
        </w:trPr>
        <w:tc>
          <w:tcPr>
            <w:tcW w:w="5660" w:type="dxa"/>
            <w:gridSpan w:val="10"/>
            <w:tcBorders>
              <w:left w:val="single" w:sz="8" w:space="0" w:color="963266"/>
              <w:right w:val="single" w:sz="8" w:space="0" w:color="963266"/>
            </w:tcBorders>
            <w:shd w:val="clear" w:color="auto" w:fill="C95C96"/>
            <w:vAlign w:val="bottom"/>
          </w:tcPr>
          <w:p w:rsidR="00AC12B4" w:rsidRPr="00C27636" w:rsidRDefault="00C27636">
            <w:pPr>
              <w:ind w:left="600"/>
              <w:rPr>
                <w:sz w:val="20"/>
                <w:szCs w:val="20"/>
                <w:lang w:val="fr-BE"/>
              </w:rPr>
            </w:pPr>
            <w:r w:rsidRPr="00C27636">
              <w:rPr>
                <w:rFonts w:ascii="Calibri" w:eastAsia="Calibri" w:hAnsi="Calibri" w:cs="Calibri"/>
                <w:i/>
                <w:iCs/>
                <w:color w:val="DAEEF3"/>
                <w:lang w:val="fr-BE"/>
              </w:rPr>
              <w:t>qu’elles soient le fait des institutions publiques ou</w:t>
            </w:r>
          </w:p>
        </w:tc>
        <w:tc>
          <w:tcPr>
            <w:tcW w:w="380" w:type="dxa"/>
            <w:tcBorders>
              <w:right w:val="single" w:sz="8" w:space="0" w:color="963266"/>
            </w:tcBorders>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200" w:type="dxa"/>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1940" w:type="dxa"/>
            <w:tcBorders>
              <w:right w:val="single" w:sz="8" w:space="0" w:color="963266"/>
            </w:tcBorders>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5660" w:type="dxa"/>
            <w:gridSpan w:val="10"/>
            <w:tcBorders>
              <w:left w:val="single" w:sz="8" w:space="0" w:color="963266"/>
              <w:right w:val="single" w:sz="8" w:space="0" w:color="963266"/>
            </w:tcBorders>
            <w:shd w:val="clear" w:color="auto" w:fill="C95C96"/>
            <w:vAlign w:val="bottom"/>
          </w:tcPr>
          <w:p w:rsidR="00AC12B4" w:rsidRPr="00C27636" w:rsidRDefault="00C27636">
            <w:pPr>
              <w:ind w:left="600"/>
              <w:rPr>
                <w:sz w:val="20"/>
                <w:szCs w:val="20"/>
                <w:lang w:val="fr-BE"/>
              </w:rPr>
            </w:pPr>
            <w:r w:rsidRPr="00C27636">
              <w:rPr>
                <w:rFonts w:ascii="Calibri" w:eastAsia="Calibri" w:hAnsi="Calibri" w:cs="Calibri"/>
                <w:i/>
                <w:iCs/>
                <w:color w:val="DAEEF3"/>
                <w:lang w:val="fr-BE"/>
              </w:rPr>
              <w:t>privées  de  protection  sociale,  des  tribunaux,  des</w:t>
            </w:r>
          </w:p>
        </w:tc>
        <w:tc>
          <w:tcPr>
            <w:tcW w:w="380" w:type="dxa"/>
            <w:tcBorders>
              <w:right w:val="single" w:sz="8" w:space="0" w:color="963266"/>
            </w:tcBorders>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200" w:type="dxa"/>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1940" w:type="dxa"/>
            <w:tcBorders>
              <w:right w:val="single" w:sz="8" w:space="0" w:color="963266"/>
            </w:tcBorders>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5660" w:type="dxa"/>
            <w:gridSpan w:val="10"/>
            <w:tcBorders>
              <w:left w:val="single" w:sz="8" w:space="0" w:color="963266"/>
              <w:right w:val="single" w:sz="8" w:space="0" w:color="963266"/>
            </w:tcBorders>
            <w:shd w:val="clear" w:color="auto" w:fill="C95C96"/>
            <w:vAlign w:val="bottom"/>
          </w:tcPr>
          <w:p w:rsidR="00AC12B4" w:rsidRPr="00C27636" w:rsidRDefault="00C27636">
            <w:pPr>
              <w:ind w:left="600"/>
              <w:rPr>
                <w:sz w:val="20"/>
                <w:szCs w:val="20"/>
                <w:lang w:val="fr-BE"/>
              </w:rPr>
            </w:pPr>
            <w:r w:rsidRPr="00C27636">
              <w:rPr>
                <w:rFonts w:ascii="Calibri" w:eastAsia="Calibri" w:hAnsi="Calibri" w:cs="Calibri"/>
                <w:i/>
                <w:iCs/>
                <w:color w:val="DAEEF3"/>
                <w:lang w:val="fr-BE"/>
              </w:rPr>
              <w:t xml:space="preserve">autorités </w:t>
            </w:r>
            <w:r w:rsidRPr="00C27636">
              <w:rPr>
                <w:rFonts w:ascii="Calibri" w:eastAsia="Calibri" w:hAnsi="Calibri" w:cs="Calibri"/>
                <w:i/>
                <w:iCs/>
                <w:color w:val="DAEEF3"/>
                <w:lang w:val="fr-BE"/>
              </w:rPr>
              <w:t>administratives ou des organes législatifs,</w:t>
            </w:r>
          </w:p>
        </w:tc>
        <w:tc>
          <w:tcPr>
            <w:tcW w:w="380" w:type="dxa"/>
            <w:tcBorders>
              <w:right w:val="single" w:sz="8" w:space="0" w:color="963266"/>
            </w:tcBorders>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200" w:type="dxa"/>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1940" w:type="dxa"/>
            <w:tcBorders>
              <w:right w:val="single" w:sz="8" w:space="0" w:color="963266"/>
            </w:tcBorders>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5660" w:type="dxa"/>
            <w:gridSpan w:val="10"/>
            <w:tcBorders>
              <w:left w:val="single" w:sz="8" w:space="0" w:color="963266"/>
              <w:right w:val="single" w:sz="8" w:space="0" w:color="963266"/>
            </w:tcBorders>
            <w:shd w:val="clear" w:color="auto" w:fill="C95C96"/>
            <w:vAlign w:val="bottom"/>
          </w:tcPr>
          <w:p w:rsidR="00AC12B4" w:rsidRPr="00C27636" w:rsidRDefault="00C27636">
            <w:pPr>
              <w:ind w:left="600"/>
              <w:rPr>
                <w:sz w:val="20"/>
                <w:szCs w:val="20"/>
                <w:lang w:val="fr-BE"/>
              </w:rPr>
            </w:pPr>
            <w:r w:rsidRPr="00C27636">
              <w:rPr>
                <w:rFonts w:ascii="Calibri" w:eastAsia="Calibri" w:hAnsi="Calibri" w:cs="Calibri"/>
                <w:i/>
                <w:iCs/>
                <w:color w:val="DAEEF3"/>
                <w:lang w:val="fr-BE"/>
              </w:rPr>
              <w:t>l’intérêt  supérieur  de  l’enfant  doit  être  une</w:t>
            </w:r>
          </w:p>
        </w:tc>
        <w:tc>
          <w:tcPr>
            <w:tcW w:w="380" w:type="dxa"/>
            <w:tcBorders>
              <w:right w:val="single" w:sz="8" w:space="0" w:color="963266"/>
            </w:tcBorders>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200" w:type="dxa"/>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1940" w:type="dxa"/>
            <w:tcBorders>
              <w:right w:val="single" w:sz="8" w:space="0" w:color="963266"/>
            </w:tcBorders>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3220" w:type="dxa"/>
            <w:gridSpan w:val="4"/>
            <w:tcBorders>
              <w:left w:val="single" w:sz="8" w:space="0" w:color="963266"/>
            </w:tcBorders>
            <w:shd w:val="clear" w:color="auto" w:fill="C95C96"/>
            <w:vAlign w:val="bottom"/>
          </w:tcPr>
          <w:p w:rsidR="00AC12B4" w:rsidRDefault="00C27636">
            <w:pPr>
              <w:ind w:left="600"/>
              <w:rPr>
                <w:sz w:val="20"/>
                <w:szCs w:val="20"/>
              </w:rPr>
            </w:pPr>
            <w:r>
              <w:rPr>
                <w:rFonts w:ascii="Calibri" w:eastAsia="Calibri" w:hAnsi="Calibri" w:cs="Calibri"/>
                <w:i/>
                <w:iCs/>
                <w:color w:val="DAEEF3"/>
              </w:rPr>
              <w:t>considération primordiale.</w:t>
            </w:r>
          </w:p>
        </w:tc>
        <w:tc>
          <w:tcPr>
            <w:tcW w:w="200" w:type="dxa"/>
            <w:shd w:val="clear" w:color="auto" w:fill="C95C96"/>
            <w:vAlign w:val="bottom"/>
          </w:tcPr>
          <w:p w:rsidR="00AC12B4" w:rsidRDefault="00AC12B4">
            <w:pPr>
              <w:rPr>
                <w:sz w:val="23"/>
                <w:szCs w:val="23"/>
              </w:rPr>
            </w:pPr>
          </w:p>
        </w:tc>
        <w:tc>
          <w:tcPr>
            <w:tcW w:w="560" w:type="dxa"/>
            <w:shd w:val="clear" w:color="auto" w:fill="C95C96"/>
            <w:vAlign w:val="bottom"/>
          </w:tcPr>
          <w:p w:rsidR="00AC12B4" w:rsidRDefault="00AC12B4">
            <w:pPr>
              <w:rPr>
                <w:sz w:val="23"/>
                <w:szCs w:val="23"/>
              </w:rPr>
            </w:pPr>
          </w:p>
        </w:tc>
        <w:tc>
          <w:tcPr>
            <w:tcW w:w="380" w:type="dxa"/>
            <w:tcBorders>
              <w:left w:val="single" w:sz="8" w:space="0" w:color="C95C96"/>
            </w:tcBorders>
            <w:shd w:val="clear" w:color="auto" w:fill="C95C96"/>
            <w:vAlign w:val="bottom"/>
          </w:tcPr>
          <w:p w:rsidR="00AC12B4" w:rsidRDefault="00AC12B4">
            <w:pPr>
              <w:rPr>
                <w:sz w:val="23"/>
                <w:szCs w:val="23"/>
              </w:rPr>
            </w:pPr>
          </w:p>
        </w:tc>
        <w:tc>
          <w:tcPr>
            <w:tcW w:w="380" w:type="dxa"/>
            <w:shd w:val="clear" w:color="auto" w:fill="C95C96"/>
            <w:vAlign w:val="bottom"/>
          </w:tcPr>
          <w:p w:rsidR="00AC12B4" w:rsidRDefault="00AC12B4">
            <w:pPr>
              <w:rPr>
                <w:sz w:val="23"/>
                <w:szCs w:val="23"/>
              </w:rPr>
            </w:pPr>
          </w:p>
        </w:tc>
        <w:tc>
          <w:tcPr>
            <w:tcW w:w="260" w:type="dxa"/>
            <w:shd w:val="clear" w:color="auto" w:fill="C95C96"/>
            <w:vAlign w:val="bottom"/>
          </w:tcPr>
          <w:p w:rsidR="00AC12B4" w:rsidRDefault="00AC12B4">
            <w:pPr>
              <w:rPr>
                <w:sz w:val="23"/>
                <w:szCs w:val="23"/>
              </w:rPr>
            </w:pPr>
          </w:p>
        </w:tc>
        <w:tc>
          <w:tcPr>
            <w:tcW w:w="660" w:type="dxa"/>
            <w:tcBorders>
              <w:right w:val="single" w:sz="8" w:space="0" w:color="963266"/>
            </w:tcBorders>
            <w:shd w:val="clear" w:color="auto" w:fill="C95C96"/>
            <w:vAlign w:val="bottom"/>
          </w:tcPr>
          <w:p w:rsidR="00AC12B4" w:rsidRDefault="00AC12B4">
            <w:pPr>
              <w:rPr>
                <w:sz w:val="23"/>
                <w:szCs w:val="23"/>
              </w:rPr>
            </w:pPr>
          </w:p>
        </w:tc>
        <w:tc>
          <w:tcPr>
            <w:tcW w:w="380" w:type="dxa"/>
            <w:tcBorders>
              <w:right w:val="single" w:sz="8" w:space="0" w:color="963266"/>
            </w:tcBorders>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2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940" w:type="dxa"/>
            <w:tcBorders>
              <w:right w:val="single" w:sz="8" w:space="0" w:color="963266"/>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493"/>
        </w:trPr>
        <w:tc>
          <w:tcPr>
            <w:tcW w:w="1940" w:type="dxa"/>
            <w:tcBorders>
              <w:left w:val="single" w:sz="8" w:space="0" w:color="963266"/>
              <w:bottom w:val="single" w:sz="8" w:space="0" w:color="963266"/>
            </w:tcBorders>
            <w:shd w:val="clear" w:color="auto" w:fill="C95C96"/>
            <w:vAlign w:val="bottom"/>
          </w:tcPr>
          <w:p w:rsidR="00AC12B4" w:rsidRDefault="00AC12B4">
            <w:pPr>
              <w:rPr>
                <w:sz w:val="24"/>
                <w:szCs w:val="24"/>
              </w:rPr>
            </w:pPr>
          </w:p>
        </w:tc>
        <w:tc>
          <w:tcPr>
            <w:tcW w:w="340" w:type="dxa"/>
            <w:tcBorders>
              <w:bottom w:val="single" w:sz="8" w:space="0" w:color="963266"/>
            </w:tcBorders>
            <w:shd w:val="clear" w:color="auto" w:fill="C95C96"/>
            <w:vAlign w:val="bottom"/>
          </w:tcPr>
          <w:p w:rsidR="00AC12B4" w:rsidRDefault="00AC12B4">
            <w:pPr>
              <w:rPr>
                <w:sz w:val="24"/>
                <w:szCs w:val="24"/>
              </w:rPr>
            </w:pPr>
          </w:p>
        </w:tc>
        <w:tc>
          <w:tcPr>
            <w:tcW w:w="460" w:type="dxa"/>
            <w:tcBorders>
              <w:bottom w:val="single" w:sz="8" w:space="0" w:color="963266"/>
            </w:tcBorders>
            <w:shd w:val="clear" w:color="auto" w:fill="C95C96"/>
            <w:vAlign w:val="bottom"/>
          </w:tcPr>
          <w:p w:rsidR="00AC12B4" w:rsidRDefault="00AC12B4">
            <w:pPr>
              <w:rPr>
                <w:sz w:val="24"/>
                <w:szCs w:val="24"/>
              </w:rPr>
            </w:pPr>
          </w:p>
        </w:tc>
        <w:tc>
          <w:tcPr>
            <w:tcW w:w="480" w:type="dxa"/>
            <w:tcBorders>
              <w:bottom w:val="single" w:sz="8" w:space="0" w:color="963266"/>
            </w:tcBorders>
            <w:shd w:val="clear" w:color="auto" w:fill="C95C96"/>
            <w:vAlign w:val="bottom"/>
          </w:tcPr>
          <w:p w:rsidR="00AC12B4" w:rsidRDefault="00AC12B4">
            <w:pPr>
              <w:rPr>
                <w:sz w:val="24"/>
                <w:szCs w:val="24"/>
              </w:rPr>
            </w:pPr>
          </w:p>
        </w:tc>
        <w:tc>
          <w:tcPr>
            <w:tcW w:w="200" w:type="dxa"/>
            <w:tcBorders>
              <w:bottom w:val="single" w:sz="8" w:space="0" w:color="963266"/>
            </w:tcBorders>
            <w:shd w:val="clear" w:color="auto" w:fill="C95C96"/>
            <w:vAlign w:val="bottom"/>
          </w:tcPr>
          <w:p w:rsidR="00AC12B4" w:rsidRDefault="00AC12B4">
            <w:pPr>
              <w:rPr>
                <w:sz w:val="24"/>
                <w:szCs w:val="24"/>
              </w:rPr>
            </w:pPr>
          </w:p>
        </w:tc>
        <w:tc>
          <w:tcPr>
            <w:tcW w:w="560" w:type="dxa"/>
            <w:tcBorders>
              <w:bottom w:val="single" w:sz="8" w:space="0" w:color="963266"/>
            </w:tcBorders>
            <w:shd w:val="clear" w:color="auto" w:fill="C95C96"/>
            <w:vAlign w:val="bottom"/>
          </w:tcPr>
          <w:p w:rsidR="00AC12B4" w:rsidRDefault="00AC12B4">
            <w:pPr>
              <w:rPr>
                <w:sz w:val="24"/>
                <w:szCs w:val="24"/>
              </w:rPr>
            </w:pPr>
          </w:p>
        </w:tc>
        <w:tc>
          <w:tcPr>
            <w:tcW w:w="380" w:type="dxa"/>
            <w:tcBorders>
              <w:left w:val="single" w:sz="8" w:space="0" w:color="C95C96"/>
              <w:bottom w:val="single" w:sz="8" w:space="0" w:color="963266"/>
            </w:tcBorders>
            <w:shd w:val="clear" w:color="auto" w:fill="C95C96"/>
            <w:vAlign w:val="bottom"/>
          </w:tcPr>
          <w:p w:rsidR="00AC12B4" w:rsidRDefault="00AC12B4">
            <w:pPr>
              <w:rPr>
                <w:sz w:val="24"/>
                <w:szCs w:val="24"/>
              </w:rPr>
            </w:pPr>
          </w:p>
        </w:tc>
        <w:tc>
          <w:tcPr>
            <w:tcW w:w="380" w:type="dxa"/>
            <w:tcBorders>
              <w:bottom w:val="single" w:sz="8" w:space="0" w:color="963266"/>
            </w:tcBorders>
            <w:shd w:val="clear" w:color="auto" w:fill="C95C96"/>
            <w:vAlign w:val="bottom"/>
          </w:tcPr>
          <w:p w:rsidR="00AC12B4" w:rsidRDefault="00AC12B4">
            <w:pPr>
              <w:rPr>
                <w:sz w:val="24"/>
                <w:szCs w:val="24"/>
              </w:rPr>
            </w:pPr>
          </w:p>
        </w:tc>
        <w:tc>
          <w:tcPr>
            <w:tcW w:w="260" w:type="dxa"/>
            <w:tcBorders>
              <w:bottom w:val="single" w:sz="8" w:space="0" w:color="963266"/>
            </w:tcBorders>
            <w:shd w:val="clear" w:color="auto" w:fill="C95C96"/>
            <w:vAlign w:val="bottom"/>
          </w:tcPr>
          <w:p w:rsidR="00AC12B4" w:rsidRDefault="00AC12B4">
            <w:pPr>
              <w:rPr>
                <w:sz w:val="24"/>
                <w:szCs w:val="24"/>
              </w:rPr>
            </w:pPr>
          </w:p>
        </w:tc>
        <w:tc>
          <w:tcPr>
            <w:tcW w:w="660" w:type="dxa"/>
            <w:tcBorders>
              <w:bottom w:val="single" w:sz="8" w:space="0" w:color="963266"/>
              <w:right w:val="single" w:sz="8" w:space="0" w:color="963266"/>
            </w:tcBorders>
            <w:shd w:val="clear" w:color="auto" w:fill="C95C96"/>
            <w:vAlign w:val="bottom"/>
          </w:tcPr>
          <w:p w:rsidR="00AC12B4" w:rsidRDefault="00AC12B4">
            <w:pPr>
              <w:rPr>
                <w:sz w:val="24"/>
                <w:szCs w:val="24"/>
              </w:rPr>
            </w:pPr>
          </w:p>
        </w:tc>
        <w:tc>
          <w:tcPr>
            <w:tcW w:w="380" w:type="dxa"/>
            <w:tcBorders>
              <w:right w:val="single" w:sz="8" w:space="0" w:color="963266"/>
            </w:tcBorders>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200" w:type="dxa"/>
            <w:vAlign w:val="bottom"/>
          </w:tcPr>
          <w:p w:rsidR="00AC12B4" w:rsidRDefault="00AC12B4">
            <w:pPr>
              <w:rPr>
                <w:sz w:val="24"/>
                <w:szCs w:val="24"/>
              </w:rPr>
            </w:pPr>
          </w:p>
        </w:tc>
        <w:tc>
          <w:tcPr>
            <w:tcW w:w="2300" w:type="dxa"/>
            <w:gridSpan w:val="3"/>
            <w:tcBorders>
              <w:right w:val="single" w:sz="8" w:space="0" w:color="963266"/>
            </w:tcBorders>
            <w:vAlign w:val="bottom"/>
          </w:tcPr>
          <w:p w:rsidR="00AC12B4" w:rsidRDefault="00C27636">
            <w:pPr>
              <w:ind w:right="1640"/>
              <w:jc w:val="right"/>
              <w:rPr>
                <w:sz w:val="20"/>
                <w:szCs w:val="20"/>
              </w:rPr>
            </w:pPr>
            <w:r>
              <w:rPr>
                <w:rFonts w:ascii="Calibri" w:eastAsia="Calibri" w:hAnsi="Calibri" w:cs="Calibri"/>
                <w:sz w:val="20"/>
                <w:szCs w:val="20"/>
              </w:rPr>
              <w:t>54,3%</w:t>
            </w:r>
          </w:p>
        </w:tc>
        <w:tc>
          <w:tcPr>
            <w:tcW w:w="0" w:type="dxa"/>
            <w:vAlign w:val="bottom"/>
          </w:tcPr>
          <w:p w:rsidR="00AC12B4" w:rsidRDefault="00AC12B4">
            <w:pPr>
              <w:rPr>
                <w:sz w:val="1"/>
                <w:szCs w:val="1"/>
              </w:rPr>
            </w:pPr>
          </w:p>
        </w:tc>
      </w:tr>
      <w:tr w:rsidR="00AC12B4">
        <w:trPr>
          <w:trHeight w:val="164"/>
        </w:trPr>
        <w:tc>
          <w:tcPr>
            <w:tcW w:w="5660" w:type="dxa"/>
            <w:gridSpan w:val="10"/>
            <w:vMerge w:val="restart"/>
            <w:vAlign w:val="bottom"/>
          </w:tcPr>
          <w:p w:rsidR="00AC12B4" w:rsidRPr="00C27636" w:rsidRDefault="00C27636">
            <w:pPr>
              <w:ind w:left="1440"/>
              <w:rPr>
                <w:sz w:val="20"/>
                <w:szCs w:val="20"/>
                <w:lang w:val="fr-BE"/>
              </w:rPr>
            </w:pPr>
            <w:r w:rsidRPr="00C27636">
              <w:rPr>
                <w:rFonts w:ascii="Calibri" w:eastAsia="Calibri" w:hAnsi="Calibri" w:cs="Calibri"/>
                <w:lang w:val="fr-BE"/>
              </w:rPr>
              <w:t>Dans   les   décisions   qui   ont   des</w:t>
            </w:r>
          </w:p>
        </w:tc>
        <w:tc>
          <w:tcPr>
            <w:tcW w:w="380" w:type="dxa"/>
            <w:tcBorders>
              <w:right w:val="single" w:sz="8" w:space="0" w:color="963266"/>
            </w:tcBorders>
            <w:vAlign w:val="bottom"/>
          </w:tcPr>
          <w:p w:rsidR="00AC12B4" w:rsidRPr="00C27636" w:rsidRDefault="00AC12B4">
            <w:pPr>
              <w:rPr>
                <w:sz w:val="14"/>
                <w:szCs w:val="14"/>
                <w:lang w:val="fr-BE"/>
              </w:rPr>
            </w:pPr>
          </w:p>
        </w:tc>
        <w:tc>
          <w:tcPr>
            <w:tcW w:w="300" w:type="dxa"/>
            <w:vAlign w:val="bottom"/>
          </w:tcPr>
          <w:p w:rsidR="00AC12B4" w:rsidRPr="00C27636" w:rsidRDefault="00AC12B4">
            <w:pPr>
              <w:rPr>
                <w:sz w:val="14"/>
                <w:szCs w:val="14"/>
                <w:lang w:val="fr-BE"/>
              </w:rPr>
            </w:pPr>
          </w:p>
        </w:tc>
        <w:tc>
          <w:tcPr>
            <w:tcW w:w="100" w:type="dxa"/>
            <w:vAlign w:val="bottom"/>
          </w:tcPr>
          <w:p w:rsidR="00AC12B4" w:rsidRPr="00C27636" w:rsidRDefault="00AC12B4">
            <w:pPr>
              <w:rPr>
                <w:sz w:val="14"/>
                <w:szCs w:val="14"/>
                <w:lang w:val="fr-BE"/>
              </w:rPr>
            </w:pPr>
          </w:p>
        </w:tc>
        <w:tc>
          <w:tcPr>
            <w:tcW w:w="1500" w:type="dxa"/>
            <w:gridSpan w:val="2"/>
            <w:vMerge w:val="restart"/>
            <w:vAlign w:val="bottom"/>
          </w:tcPr>
          <w:p w:rsidR="00AC12B4" w:rsidRDefault="00C27636">
            <w:pPr>
              <w:ind w:left="60"/>
              <w:rPr>
                <w:sz w:val="20"/>
                <w:szCs w:val="20"/>
              </w:rPr>
            </w:pPr>
            <w:r>
              <w:rPr>
                <w:rFonts w:ascii="Calibri" w:eastAsia="Calibri" w:hAnsi="Calibri" w:cs="Calibri"/>
                <w:sz w:val="20"/>
                <w:szCs w:val="20"/>
              </w:rPr>
              <w:t>Très heureux</w:t>
            </w:r>
          </w:p>
        </w:tc>
        <w:tc>
          <w:tcPr>
            <w:tcW w:w="260" w:type="dxa"/>
            <w:vMerge w:val="restart"/>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940" w:type="dxa"/>
            <w:vMerge w:val="restart"/>
            <w:tcBorders>
              <w:right w:val="single" w:sz="8" w:space="0" w:color="963266"/>
            </w:tcBorders>
            <w:vAlign w:val="bottom"/>
          </w:tcPr>
          <w:p w:rsidR="00AC12B4" w:rsidRDefault="00C27636">
            <w:pPr>
              <w:ind w:left="60"/>
              <w:rPr>
                <w:sz w:val="20"/>
                <w:szCs w:val="20"/>
              </w:rPr>
            </w:pPr>
            <w:r>
              <w:rPr>
                <w:rFonts w:ascii="Calibri" w:eastAsia="Calibri" w:hAnsi="Calibri" w:cs="Calibri"/>
                <w:sz w:val="20"/>
                <w:szCs w:val="20"/>
              </w:rPr>
              <w:t>Heureux</w:t>
            </w:r>
          </w:p>
        </w:tc>
        <w:tc>
          <w:tcPr>
            <w:tcW w:w="0" w:type="dxa"/>
            <w:vAlign w:val="bottom"/>
          </w:tcPr>
          <w:p w:rsidR="00AC12B4" w:rsidRDefault="00AC12B4">
            <w:pPr>
              <w:rPr>
                <w:sz w:val="1"/>
                <w:szCs w:val="1"/>
              </w:rPr>
            </w:pPr>
          </w:p>
        </w:tc>
      </w:tr>
      <w:tr w:rsidR="00AC12B4">
        <w:trPr>
          <w:trHeight w:val="110"/>
        </w:trPr>
        <w:tc>
          <w:tcPr>
            <w:tcW w:w="5660" w:type="dxa"/>
            <w:gridSpan w:val="10"/>
            <w:vMerge/>
            <w:vAlign w:val="bottom"/>
          </w:tcPr>
          <w:p w:rsidR="00AC12B4" w:rsidRDefault="00AC12B4">
            <w:pPr>
              <w:rPr>
                <w:sz w:val="9"/>
                <w:szCs w:val="9"/>
              </w:rPr>
            </w:pPr>
          </w:p>
        </w:tc>
        <w:tc>
          <w:tcPr>
            <w:tcW w:w="380" w:type="dxa"/>
            <w:tcBorders>
              <w:right w:val="single" w:sz="8" w:space="0" w:color="963266"/>
            </w:tcBorders>
            <w:vAlign w:val="bottom"/>
          </w:tcPr>
          <w:p w:rsidR="00AC12B4" w:rsidRDefault="00AC12B4">
            <w:pPr>
              <w:rPr>
                <w:sz w:val="9"/>
                <w:szCs w:val="9"/>
              </w:rPr>
            </w:pPr>
          </w:p>
        </w:tc>
        <w:tc>
          <w:tcPr>
            <w:tcW w:w="300" w:type="dxa"/>
            <w:vAlign w:val="bottom"/>
          </w:tcPr>
          <w:p w:rsidR="00AC12B4" w:rsidRDefault="00AC12B4">
            <w:pPr>
              <w:rPr>
                <w:sz w:val="9"/>
                <w:szCs w:val="9"/>
              </w:rPr>
            </w:pPr>
          </w:p>
        </w:tc>
        <w:tc>
          <w:tcPr>
            <w:tcW w:w="100" w:type="dxa"/>
            <w:shd w:val="clear" w:color="auto" w:fill="4F81BD"/>
            <w:vAlign w:val="bottom"/>
          </w:tcPr>
          <w:p w:rsidR="00AC12B4" w:rsidRDefault="00AC12B4">
            <w:pPr>
              <w:rPr>
                <w:sz w:val="9"/>
                <w:szCs w:val="9"/>
              </w:rPr>
            </w:pPr>
          </w:p>
        </w:tc>
        <w:tc>
          <w:tcPr>
            <w:tcW w:w="1500" w:type="dxa"/>
            <w:gridSpan w:val="2"/>
            <w:vMerge/>
            <w:vAlign w:val="bottom"/>
          </w:tcPr>
          <w:p w:rsidR="00AC12B4" w:rsidRDefault="00AC12B4">
            <w:pPr>
              <w:rPr>
                <w:sz w:val="9"/>
                <w:szCs w:val="9"/>
              </w:rPr>
            </w:pPr>
          </w:p>
        </w:tc>
        <w:tc>
          <w:tcPr>
            <w:tcW w:w="260" w:type="dxa"/>
            <w:vMerge/>
            <w:vAlign w:val="bottom"/>
          </w:tcPr>
          <w:p w:rsidR="00AC12B4" w:rsidRDefault="00AC12B4">
            <w:pPr>
              <w:rPr>
                <w:sz w:val="9"/>
                <w:szCs w:val="9"/>
              </w:rPr>
            </w:pPr>
          </w:p>
        </w:tc>
        <w:tc>
          <w:tcPr>
            <w:tcW w:w="100" w:type="dxa"/>
            <w:shd w:val="clear" w:color="auto" w:fill="C0504D"/>
            <w:vAlign w:val="bottom"/>
          </w:tcPr>
          <w:p w:rsidR="00AC12B4" w:rsidRDefault="00AC12B4">
            <w:pPr>
              <w:rPr>
                <w:sz w:val="9"/>
                <w:szCs w:val="9"/>
              </w:rPr>
            </w:pPr>
          </w:p>
        </w:tc>
        <w:tc>
          <w:tcPr>
            <w:tcW w:w="1940" w:type="dxa"/>
            <w:vMerge/>
            <w:tcBorders>
              <w:right w:val="single" w:sz="8" w:space="0" w:color="963266"/>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5660" w:type="dxa"/>
            <w:gridSpan w:val="10"/>
            <w:vMerge/>
            <w:vAlign w:val="bottom"/>
          </w:tcPr>
          <w:p w:rsidR="00AC12B4" w:rsidRDefault="00AC12B4">
            <w:pPr>
              <w:rPr>
                <w:sz w:val="4"/>
                <w:szCs w:val="4"/>
              </w:rPr>
            </w:pPr>
          </w:p>
        </w:tc>
        <w:tc>
          <w:tcPr>
            <w:tcW w:w="380" w:type="dxa"/>
            <w:tcBorders>
              <w:right w:val="single" w:sz="8" w:space="0" w:color="963266"/>
            </w:tcBorders>
            <w:vAlign w:val="bottom"/>
          </w:tcPr>
          <w:p w:rsidR="00AC12B4" w:rsidRDefault="00AC12B4">
            <w:pPr>
              <w:rPr>
                <w:sz w:val="4"/>
                <w:szCs w:val="4"/>
              </w:rPr>
            </w:pPr>
          </w:p>
        </w:tc>
        <w:tc>
          <w:tcPr>
            <w:tcW w:w="3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500" w:type="dxa"/>
            <w:gridSpan w:val="2"/>
            <w:vMerge/>
            <w:vAlign w:val="bottom"/>
          </w:tcPr>
          <w:p w:rsidR="00AC12B4" w:rsidRDefault="00AC12B4">
            <w:pPr>
              <w:rPr>
                <w:sz w:val="4"/>
                <w:szCs w:val="4"/>
              </w:rPr>
            </w:pPr>
          </w:p>
        </w:tc>
        <w:tc>
          <w:tcPr>
            <w:tcW w:w="260" w:type="dxa"/>
            <w:vMerge/>
            <w:vAlign w:val="bottom"/>
          </w:tcPr>
          <w:p w:rsidR="00AC12B4" w:rsidRDefault="00AC12B4">
            <w:pPr>
              <w:rPr>
                <w:sz w:val="4"/>
                <w:szCs w:val="4"/>
              </w:rPr>
            </w:pPr>
          </w:p>
        </w:tc>
        <w:tc>
          <w:tcPr>
            <w:tcW w:w="100" w:type="dxa"/>
            <w:vAlign w:val="bottom"/>
          </w:tcPr>
          <w:p w:rsidR="00AC12B4" w:rsidRDefault="00AC12B4">
            <w:pPr>
              <w:rPr>
                <w:sz w:val="4"/>
                <w:szCs w:val="4"/>
              </w:rPr>
            </w:pPr>
          </w:p>
        </w:tc>
        <w:tc>
          <w:tcPr>
            <w:tcW w:w="1940" w:type="dxa"/>
            <w:vMerge/>
            <w:tcBorders>
              <w:right w:val="single" w:sz="8" w:space="0" w:color="963266"/>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2"/>
        </w:trPr>
        <w:tc>
          <w:tcPr>
            <w:tcW w:w="5660" w:type="dxa"/>
            <w:gridSpan w:val="10"/>
            <w:vMerge/>
            <w:vAlign w:val="bottom"/>
          </w:tcPr>
          <w:p w:rsidR="00AC12B4" w:rsidRDefault="00AC12B4">
            <w:pPr>
              <w:rPr>
                <w:sz w:val="17"/>
                <w:szCs w:val="17"/>
              </w:rPr>
            </w:pPr>
          </w:p>
        </w:tc>
        <w:tc>
          <w:tcPr>
            <w:tcW w:w="380" w:type="dxa"/>
            <w:tcBorders>
              <w:right w:val="single" w:sz="8" w:space="0" w:color="963266"/>
            </w:tcBorders>
            <w:vAlign w:val="bottom"/>
          </w:tcPr>
          <w:p w:rsidR="00AC12B4" w:rsidRDefault="00AC12B4">
            <w:pPr>
              <w:rPr>
                <w:sz w:val="17"/>
                <w:szCs w:val="17"/>
              </w:rPr>
            </w:pPr>
          </w:p>
        </w:tc>
        <w:tc>
          <w:tcPr>
            <w:tcW w:w="30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1500" w:type="dxa"/>
            <w:gridSpan w:val="2"/>
            <w:vMerge w:val="restart"/>
            <w:vAlign w:val="bottom"/>
          </w:tcPr>
          <w:p w:rsidR="00AC12B4" w:rsidRDefault="00C27636">
            <w:pPr>
              <w:ind w:left="60"/>
              <w:rPr>
                <w:sz w:val="20"/>
                <w:szCs w:val="20"/>
              </w:rPr>
            </w:pPr>
            <w:r>
              <w:rPr>
                <w:rFonts w:ascii="Calibri" w:eastAsia="Calibri" w:hAnsi="Calibri" w:cs="Calibri"/>
                <w:sz w:val="20"/>
                <w:szCs w:val="20"/>
              </w:rPr>
              <w:t xml:space="preserve">Pas très </w:t>
            </w:r>
            <w:r>
              <w:rPr>
                <w:rFonts w:ascii="Calibri" w:eastAsia="Calibri" w:hAnsi="Calibri" w:cs="Calibri"/>
                <w:sz w:val="20"/>
                <w:szCs w:val="20"/>
              </w:rPr>
              <w:lastRenderedPageBreak/>
              <w:t>heureux</w:t>
            </w:r>
          </w:p>
        </w:tc>
        <w:tc>
          <w:tcPr>
            <w:tcW w:w="26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1940" w:type="dxa"/>
            <w:vMerge w:val="restart"/>
            <w:tcBorders>
              <w:right w:val="single" w:sz="8" w:space="0" w:color="963266"/>
            </w:tcBorders>
            <w:vAlign w:val="bottom"/>
          </w:tcPr>
          <w:p w:rsidR="00AC12B4" w:rsidRDefault="00C27636">
            <w:pPr>
              <w:ind w:left="60"/>
              <w:rPr>
                <w:sz w:val="20"/>
                <w:szCs w:val="20"/>
              </w:rPr>
            </w:pPr>
            <w:r>
              <w:rPr>
                <w:rFonts w:ascii="Calibri" w:eastAsia="Calibri" w:hAnsi="Calibri" w:cs="Calibri"/>
                <w:sz w:val="20"/>
                <w:szCs w:val="20"/>
              </w:rPr>
              <w:t xml:space="preserve">Pas heureux </w:t>
            </w:r>
            <w:r>
              <w:rPr>
                <w:rFonts w:ascii="Calibri" w:eastAsia="Calibri" w:hAnsi="Calibri" w:cs="Calibri"/>
                <w:sz w:val="20"/>
                <w:szCs w:val="20"/>
              </w:rPr>
              <w:lastRenderedPageBreak/>
              <w:t>du tout</w:t>
            </w:r>
          </w:p>
        </w:tc>
        <w:tc>
          <w:tcPr>
            <w:tcW w:w="0" w:type="dxa"/>
            <w:vAlign w:val="bottom"/>
          </w:tcPr>
          <w:p w:rsidR="00AC12B4" w:rsidRDefault="00AC12B4">
            <w:pPr>
              <w:rPr>
                <w:sz w:val="1"/>
                <w:szCs w:val="1"/>
              </w:rPr>
            </w:pPr>
          </w:p>
        </w:tc>
      </w:tr>
      <w:tr w:rsidR="00AC12B4">
        <w:trPr>
          <w:trHeight w:val="108"/>
        </w:trPr>
        <w:tc>
          <w:tcPr>
            <w:tcW w:w="5660" w:type="dxa"/>
            <w:gridSpan w:val="10"/>
            <w:vMerge/>
            <w:vAlign w:val="bottom"/>
          </w:tcPr>
          <w:p w:rsidR="00AC12B4" w:rsidRDefault="00AC12B4">
            <w:pPr>
              <w:rPr>
                <w:sz w:val="9"/>
                <w:szCs w:val="9"/>
              </w:rPr>
            </w:pPr>
          </w:p>
        </w:tc>
        <w:tc>
          <w:tcPr>
            <w:tcW w:w="380" w:type="dxa"/>
            <w:tcBorders>
              <w:right w:val="single" w:sz="8" w:space="0" w:color="963266"/>
            </w:tcBorders>
            <w:vAlign w:val="bottom"/>
          </w:tcPr>
          <w:p w:rsidR="00AC12B4" w:rsidRDefault="00AC12B4">
            <w:pPr>
              <w:rPr>
                <w:sz w:val="9"/>
                <w:szCs w:val="9"/>
              </w:rPr>
            </w:pPr>
          </w:p>
        </w:tc>
        <w:tc>
          <w:tcPr>
            <w:tcW w:w="300" w:type="dxa"/>
            <w:vAlign w:val="bottom"/>
          </w:tcPr>
          <w:p w:rsidR="00AC12B4" w:rsidRDefault="00AC12B4">
            <w:pPr>
              <w:rPr>
                <w:sz w:val="9"/>
                <w:szCs w:val="9"/>
              </w:rPr>
            </w:pPr>
          </w:p>
        </w:tc>
        <w:tc>
          <w:tcPr>
            <w:tcW w:w="100" w:type="dxa"/>
            <w:shd w:val="clear" w:color="auto" w:fill="9BBB59"/>
            <w:vAlign w:val="bottom"/>
          </w:tcPr>
          <w:p w:rsidR="00AC12B4" w:rsidRDefault="00AC12B4">
            <w:pPr>
              <w:rPr>
                <w:sz w:val="9"/>
                <w:szCs w:val="9"/>
              </w:rPr>
            </w:pPr>
          </w:p>
        </w:tc>
        <w:tc>
          <w:tcPr>
            <w:tcW w:w="1500" w:type="dxa"/>
            <w:gridSpan w:val="2"/>
            <w:vMerge/>
            <w:vAlign w:val="bottom"/>
          </w:tcPr>
          <w:p w:rsidR="00AC12B4" w:rsidRDefault="00AC12B4">
            <w:pPr>
              <w:rPr>
                <w:sz w:val="9"/>
                <w:szCs w:val="9"/>
              </w:rPr>
            </w:pPr>
          </w:p>
        </w:tc>
        <w:tc>
          <w:tcPr>
            <w:tcW w:w="260" w:type="dxa"/>
            <w:vAlign w:val="bottom"/>
          </w:tcPr>
          <w:p w:rsidR="00AC12B4" w:rsidRDefault="00AC12B4">
            <w:pPr>
              <w:rPr>
                <w:sz w:val="9"/>
                <w:szCs w:val="9"/>
              </w:rPr>
            </w:pPr>
          </w:p>
        </w:tc>
        <w:tc>
          <w:tcPr>
            <w:tcW w:w="100" w:type="dxa"/>
            <w:shd w:val="clear" w:color="auto" w:fill="8064A2"/>
            <w:vAlign w:val="bottom"/>
          </w:tcPr>
          <w:p w:rsidR="00AC12B4" w:rsidRDefault="00AC12B4">
            <w:pPr>
              <w:rPr>
                <w:sz w:val="9"/>
                <w:szCs w:val="9"/>
              </w:rPr>
            </w:pPr>
          </w:p>
        </w:tc>
        <w:tc>
          <w:tcPr>
            <w:tcW w:w="1940" w:type="dxa"/>
            <w:vMerge/>
            <w:tcBorders>
              <w:right w:val="single" w:sz="8" w:space="0" w:color="963266"/>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2"/>
        </w:trPr>
        <w:tc>
          <w:tcPr>
            <w:tcW w:w="5660" w:type="dxa"/>
            <w:gridSpan w:val="10"/>
            <w:vMerge/>
            <w:vAlign w:val="bottom"/>
          </w:tcPr>
          <w:p w:rsidR="00AC12B4" w:rsidRDefault="00AC12B4">
            <w:pPr>
              <w:rPr>
                <w:sz w:val="4"/>
                <w:szCs w:val="4"/>
              </w:rPr>
            </w:pPr>
          </w:p>
        </w:tc>
        <w:tc>
          <w:tcPr>
            <w:tcW w:w="380" w:type="dxa"/>
            <w:tcBorders>
              <w:right w:val="single" w:sz="8" w:space="0" w:color="963266"/>
            </w:tcBorders>
            <w:vAlign w:val="bottom"/>
          </w:tcPr>
          <w:p w:rsidR="00AC12B4" w:rsidRDefault="00AC12B4">
            <w:pPr>
              <w:rPr>
                <w:sz w:val="4"/>
                <w:szCs w:val="4"/>
              </w:rPr>
            </w:pPr>
          </w:p>
        </w:tc>
        <w:tc>
          <w:tcPr>
            <w:tcW w:w="3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500" w:type="dxa"/>
            <w:gridSpan w:val="2"/>
            <w:vMerge/>
            <w:vAlign w:val="bottom"/>
          </w:tcPr>
          <w:p w:rsidR="00AC12B4" w:rsidRDefault="00AC12B4">
            <w:pPr>
              <w:rPr>
                <w:sz w:val="4"/>
                <w:szCs w:val="4"/>
              </w:rPr>
            </w:pPr>
          </w:p>
        </w:tc>
        <w:tc>
          <w:tcPr>
            <w:tcW w:w="26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940" w:type="dxa"/>
            <w:vMerge/>
            <w:tcBorders>
              <w:right w:val="single" w:sz="8" w:space="0" w:color="963266"/>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rsidRPr="00C27636">
        <w:trPr>
          <w:trHeight w:val="158"/>
        </w:trPr>
        <w:tc>
          <w:tcPr>
            <w:tcW w:w="5660" w:type="dxa"/>
            <w:gridSpan w:val="10"/>
            <w:vMerge w:val="restart"/>
            <w:vAlign w:val="bottom"/>
          </w:tcPr>
          <w:p w:rsidR="00AC12B4" w:rsidRPr="00C27636" w:rsidRDefault="00C27636">
            <w:pPr>
              <w:spacing w:line="243" w:lineRule="exact"/>
              <w:ind w:left="1440"/>
              <w:rPr>
                <w:sz w:val="20"/>
                <w:szCs w:val="20"/>
                <w:lang w:val="fr-BE"/>
              </w:rPr>
            </w:pPr>
            <w:r w:rsidRPr="00C27636">
              <w:rPr>
                <w:rFonts w:ascii="Calibri" w:eastAsia="Calibri" w:hAnsi="Calibri" w:cs="Calibri"/>
                <w:lang w:val="fr-BE"/>
              </w:rPr>
              <w:t>conséquences pour les enfants, l’intérêt</w:t>
            </w:r>
          </w:p>
        </w:tc>
        <w:tc>
          <w:tcPr>
            <w:tcW w:w="380" w:type="dxa"/>
            <w:tcBorders>
              <w:right w:val="single" w:sz="8" w:space="0" w:color="963266"/>
            </w:tcBorders>
            <w:vAlign w:val="bottom"/>
          </w:tcPr>
          <w:p w:rsidR="00AC12B4" w:rsidRPr="00C27636" w:rsidRDefault="00AC12B4">
            <w:pPr>
              <w:rPr>
                <w:sz w:val="13"/>
                <w:szCs w:val="13"/>
                <w:lang w:val="fr-BE"/>
              </w:rPr>
            </w:pPr>
          </w:p>
        </w:tc>
        <w:tc>
          <w:tcPr>
            <w:tcW w:w="300" w:type="dxa"/>
            <w:tcBorders>
              <w:bottom w:val="single" w:sz="8" w:space="0" w:color="963266"/>
            </w:tcBorders>
            <w:vAlign w:val="bottom"/>
          </w:tcPr>
          <w:p w:rsidR="00AC12B4" w:rsidRPr="00C27636" w:rsidRDefault="00AC12B4">
            <w:pPr>
              <w:rPr>
                <w:sz w:val="13"/>
                <w:szCs w:val="13"/>
                <w:lang w:val="fr-BE"/>
              </w:rPr>
            </w:pPr>
          </w:p>
        </w:tc>
        <w:tc>
          <w:tcPr>
            <w:tcW w:w="100" w:type="dxa"/>
            <w:tcBorders>
              <w:bottom w:val="single" w:sz="8" w:space="0" w:color="963266"/>
            </w:tcBorders>
            <w:vAlign w:val="bottom"/>
          </w:tcPr>
          <w:p w:rsidR="00AC12B4" w:rsidRPr="00C27636" w:rsidRDefault="00AC12B4">
            <w:pPr>
              <w:rPr>
                <w:sz w:val="13"/>
                <w:szCs w:val="13"/>
                <w:lang w:val="fr-BE"/>
              </w:rPr>
            </w:pPr>
          </w:p>
        </w:tc>
        <w:tc>
          <w:tcPr>
            <w:tcW w:w="300" w:type="dxa"/>
            <w:tcBorders>
              <w:bottom w:val="single" w:sz="8" w:space="0" w:color="963266"/>
            </w:tcBorders>
            <w:vAlign w:val="bottom"/>
          </w:tcPr>
          <w:p w:rsidR="00AC12B4" w:rsidRPr="00C27636" w:rsidRDefault="00AC12B4">
            <w:pPr>
              <w:rPr>
                <w:sz w:val="13"/>
                <w:szCs w:val="13"/>
                <w:lang w:val="fr-BE"/>
              </w:rPr>
            </w:pPr>
          </w:p>
        </w:tc>
        <w:tc>
          <w:tcPr>
            <w:tcW w:w="1200" w:type="dxa"/>
            <w:tcBorders>
              <w:bottom w:val="single" w:sz="8" w:space="0" w:color="963266"/>
            </w:tcBorders>
            <w:vAlign w:val="bottom"/>
          </w:tcPr>
          <w:p w:rsidR="00AC12B4" w:rsidRPr="00C27636" w:rsidRDefault="00AC12B4">
            <w:pPr>
              <w:rPr>
                <w:sz w:val="13"/>
                <w:szCs w:val="13"/>
                <w:lang w:val="fr-BE"/>
              </w:rPr>
            </w:pPr>
          </w:p>
        </w:tc>
        <w:tc>
          <w:tcPr>
            <w:tcW w:w="260" w:type="dxa"/>
            <w:tcBorders>
              <w:bottom w:val="single" w:sz="8" w:space="0" w:color="963266"/>
            </w:tcBorders>
            <w:vAlign w:val="bottom"/>
          </w:tcPr>
          <w:p w:rsidR="00AC12B4" w:rsidRPr="00C27636" w:rsidRDefault="00AC12B4">
            <w:pPr>
              <w:rPr>
                <w:sz w:val="13"/>
                <w:szCs w:val="13"/>
                <w:lang w:val="fr-BE"/>
              </w:rPr>
            </w:pPr>
          </w:p>
        </w:tc>
        <w:tc>
          <w:tcPr>
            <w:tcW w:w="100" w:type="dxa"/>
            <w:tcBorders>
              <w:bottom w:val="single" w:sz="8" w:space="0" w:color="963266"/>
            </w:tcBorders>
            <w:vAlign w:val="bottom"/>
          </w:tcPr>
          <w:p w:rsidR="00AC12B4" w:rsidRPr="00C27636" w:rsidRDefault="00AC12B4">
            <w:pPr>
              <w:rPr>
                <w:sz w:val="13"/>
                <w:szCs w:val="13"/>
                <w:lang w:val="fr-BE"/>
              </w:rPr>
            </w:pPr>
          </w:p>
        </w:tc>
        <w:tc>
          <w:tcPr>
            <w:tcW w:w="1940" w:type="dxa"/>
            <w:tcBorders>
              <w:bottom w:val="single" w:sz="8" w:space="0" w:color="963266"/>
              <w:right w:val="single" w:sz="8" w:space="0" w:color="963266"/>
            </w:tcBorders>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65"/>
        </w:trPr>
        <w:tc>
          <w:tcPr>
            <w:tcW w:w="5660" w:type="dxa"/>
            <w:gridSpan w:val="10"/>
            <w:vMerge/>
            <w:vAlign w:val="bottom"/>
          </w:tcPr>
          <w:p w:rsidR="00AC12B4" w:rsidRPr="00C27636" w:rsidRDefault="00AC12B4">
            <w:pPr>
              <w:rPr>
                <w:sz w:val="5"/>
                <w:szCs w:val="5"/>
                <w:lang w:val="fr-BE"/>
              </w:rPr>
            </w:pPr>
          </w:p>
        </w:tc>
        <w:tc>
          <w:tcPr>
            <w:tcW w:w="380" w:type="dxa"/>
            <w:vAlign w:val="bottom"/>
          </w:tcPr>
          <w:p w:rsidR="00AC12B4" w:rsidRPr="00C27636" w:rsidRDefault="00AC12B4">
            <w:pPr>
              <w:rPr>
                <w:sz w:val="5"/>
                <w:szCs w:val="5"/>
                <w:lang w:val="fr-BE"/>
              </w:rPr>
            </w:pPr>
          </w:p>
        </w:tc>
        <w:tc>
          <w:tcPr>
            <w:tcW w:w="300" w:type="dxa"/>
            <w:vAlign w:val="bottom"/>
          </w:tcPr>
          <w:p w:rsidR="00AC12B4" w:rsidRPr="00C27636" w:rsidRDefault="00AC12B4">
            <w:pPr>
              <w:rPr>
                <w:sz w:val="5"/>
                <w:szCs w:val="5"/>
                <w:lang w:val="fr-BE"/>
              </w:rPr>
            </w:pPr>
          </w:p>
        </w:tc>
        <w:tc>
          <w:tcPr>
            <w:tcW w:w="100" w:type="dxa"/>
            <w:vAlign w:val="bottom"/>
          </w:tcPr>
          <w:p w:rsidR="00AC12B4" w:rsidRPr="00C27636" w:rsidRDefault="00AC12B4">
            <w:pPr>
              <w:rPr>
                <w:sz w:val="5"/>
                <w:szCs w:val="5"/>
                <w:lang w:val="fr-BE"/>
              </w:rPr>
            </w:pPr>
          </w:p>
        </w:tc>
        <w:tc>
          <w:tcPr>
            <w:tcW w:w="300" w:type="dxa"/>
            <w:vAlign w:val="bottom"/>
          </w:tcPr>
          <w:p w:rsidR="00AC12B4" w:rsidRPr="00C27636" w:rsidRDefault="00AC12B4">
            <w:pPr>
              <w:rPr>
                <w:sz w:val="5"/>
                <w:szCs w:val="5"/>
                <w:lang w:val="fr-BE"/>
              </w:rPr>
            </w:pPr>
          </w:p>
        </w:tc>
        <w:tc>
          <w:tcPr>
            <w:tcW w:w="1200" w:type="dxa"/>
            <w:vAlign w:val="bottom"/>
          </w:tcPr>
          <w:p w:rsidR="00AC12B4" w:rsidRPr="00C27636" w:rsidRDefault="00AC12B4">
            <w:pPr>
              <w:rPr>
                <w:sz w:val="5"/>
                <w:szCs w:val="5"/>
                <w:lang w:val="fr-BE"/>
              </w:rPr>
            </w:pPr>
          </w:p>
        </w:tc>
        <w:tc>
          <w:tcPr>
            <w:tcW w:w="260" w:type="dxa"/>
            <w:vAlign w:val="bottom"/>
          </w:tcPr>
          <w:p w:rsidR="00AC12B4" w:rsidRPr="00C27636" w:rsidRDefault="00AC12B4">
            <w:pPr>
              <w:rPr>
                <w:sz w:val="5"/>
                <w:szCs w:val="5"/>
                <w:lang w:val="fr-BE"/>
              </w:rPr>
            </w:pPr>
          </w:p>
        </w:tc>
        <w:tc>
          <w:tcPr>
            <w:tcW w:w="100" w:type="dxa"/>
            <w:vAlign w:val="bottom"/>
          </w:tcPr>
          <w:p w:rsidR="00AC12B4" w:rsidRPr="00C27636" w:rsidRDefault="00AC12B4">
            <w:pPr>
              <w:rPr>
                <w:sz w:val="5"/>
                <w:szCs w:val="5"/>
                <w:lang w:val="fr-BE"/>
              </w:rPr>
            </w:pPr>
          </w:p>
        </w:tc>
        <w:tc>
          <w:tcPr>
            <w:tcW w:w="1940" w:type="dxa"/>
            <w:vAlign w:val="bottom"/>
          </w:tcPr>
          <w:p w:rsidR="00AC12B4" w:rsidRPr="00C27636" w:rsidRDefault="00AC12B4">
            <w:pPr>
              <w:rPr>
                <w:sz w:val="5"/>
                <w:szCs w:val="5"/>
                <w:lang w:val="fr-BE"/>
              </w:rPr>
            </w:pPr>
          </w:p>
        </w:tc>
        <w:tc>
          <w:tcPr>
            <w:tcW w:w="0" w:type="dxa"/>
            <w:vAlign w:val="bottom"/>
          </w:tcPr>
          <w:p w:rsidR="00AC12B4" w:rsidRPr="00C27636" w:rsidRDefault="00AC12B4">
            <w:pPr>
              <w:rPr>
                <w:sz w:val="1"/>
                <w:szCs w:val="1"/>
                <w:lang w:val="fr-BE"/>
              </w:rPr>
            </w:pPr>
          </w:p>
        </w:tc>
      </w:tr>
      <w:tr w:rsidR="00AC12B4" w:rsidRPr="00C27636">
        <w:trPr>
          <w:trHeight w:val="278"/>
        </w:trPr>
        <w:tc>
          <w:tcPr>
            <w:tcW w:w="5660" w:type="dxa"/>
            <w:gridSpan w:val="10"/>
            <w:vAlign w:val="bottom"/>
          </w:tcPr>
          <w:p w:rsidR="00AC12B4" w:rsidRPr="00C27636" w:rsidRDefault="00C27636">
            <w:pPr>
              <w:ind w:left="1440"/>
              <w:rPr>
                <w:sz w:val="20"/>
                <w:szCs w:val="20"/>
                <w:lang w:val="fr-BE"/>
              </w:rPr>
            </w:pPr>
            <w:r w:rsidRPr="00C27636">
              <w:rPr>
                <w:rFonts w:ascii="Calibri" w:eastAsia="Calibri" w:hAnsi="Calibri" w:cs="Calibri"/>
                <w:lang w:val="fr-BE"/>
              </w:rPr>
              <w:t>supérieur  de  l’enfant  doit  être  une</w:t>
            </w:r>
          </w:p>
        </w:tc>
        <w:tc>
          <w:tcPr>
            <w:tcW w:w="380" w:type="dxa"/>
            <w:vAlign w:val="bottom"/>
          </w:tcPr>
          <w:p w:rsidR="00AC12B4" w:rsidRPr="00C27636" w:rsidRDefault="00AC12B4">
            <w:pPr>
              <w:rPr>
                <w:sz w:val="24"/>
                <w:szCs w:val="24"/>
                <w:lang w:val="fr-BE"/>
              </w:rPr>
            </w:pPr>
          </w:p>
        </w:tc>
        <w:tc>
          <w:tcPr>
            <w:tcW w:w="4200" w:type="dxa"/>
            <w:gridSpan w:val="7"/>
            <w:vAlign w:val="bottom"/>
          </w:tcPr>
          <w:p w:rsidR="00AC12B4" w:rsidRPr="00C27636" w:rsidRDefault="00C27636">
            <w:pPr>
              <w:rPr>
                <w:sz w:val="20"/>
                <w:szCs w:val="20"/>
                <w:lang w:val="fr-BE"/>
              </w:rPr>
            </w:pPr>
            <w:r w:rsidRPr="00C27636">
              <w:rPr>
                <w:rFonts w:ascii="Calibri" w:eastAsia="Calibri" w:hAnsi="Calibri" w:cs="Calibri"/>
                <w:b/>
                <w:bCs/>
                <w:color w:val="4F81BD"/>
                <w:sz w:val="18"/>
                <w:szCs w:val="18"/>
                <w:lang w:val="fr-BE"/>
              </w:rPr>
              <w:t>Figure 1. Le sentiment de bonheur parmi les jeunes</w:t>
            </w:r>
          </w:p>
        </w:tc>
        <w:tc>
          <w:tcPr>
            <w:tcW w:w="0" w:type="dxa"/>
            <w:vAlign w:val="bottom"/>
          </w:tcPr>
          <w:p w:rsidR="00AC12B4" w:rsidRPr="00C27636" w:rsidRDefault="00AC12B4">
            <w:pPr>
              <w:rPr>
                <w:sz w:val="1"/>
                <w:szCs w:val="1"/>
                <w:lang w:val="fr-BE"/>
              </w:rPr>
            </w:pPr>
          </w:p>
        </w:tc>
      </w:tr>
      <w:tr w:rsidR="00AC12B4">
        <w:trPr>
          <w:trHeight w:val="260"/>
        </w:trPr>
        <w:tc>
          <w:tcPr>
            <w:tcW w:w="2740" w:type="dxa"/>
            <w:gridSpan w:val="3"/>
            <w:vAlign w:val="bottom"/>
          </w:tcPr>
          <w:p w:rsidR="00AC12B4" w:rsidRDefault="00C27636">
            <w:pPr>
              <w:spacing w:line="259" w:lineRule="exact"/>
              <w:ind w:left="1440"/>
              <w:rPr>
                <w:sz w:val="20"/>
                <w:szCs w:val="20"/>
              </w:rPr>
            </w:pPr>
            <w:r>
              <w:rPr>
                <w:rFonts w:ascii="Calibri" w:eastAsia="Calibri" w:hAnsi="Calibri" w:cs="Calibri"/>
              </w:rPr>
              <w:t>considération</w:t>
            </w:r>
          </w:p>
        </w:tc>
        <w:tc>
          <w:tcPr>
            <w:tcW w:w="1240" w:type="dxa"/>
            <w:gridSpan w:val="3"/>
            <w:vAlign w:val="bottom"/>
          </w:tcPr>
          <w:p w:rsidR="00AC12B4" w:rsidRDefault="00C27636">
            <w:pPr>
              <w:spacing w:line="259" w:lineRule="exact"/>
              <w:jc w:val="right"/>
              <w:rPr>
                <w:sz w:val="20"/>
                <w:szCs w:val="20"/>
              </w:rPr>
            </w:pPr>
            <w:r>
              <w:rPr>
                <w:rFonts w:ascii="Calibri" w:eastAsia="Calibri" w:hAnsi="Calibri" w:cs="Calibri"/>
              </w:rPr>
              <w:t>primordiale</w:t>
            </w:r>
          </w:p>
        </w:tc>
        <w:tc>
          <w:tcPr>
            <w:tcW w:w="380" w:type="dxa"/>
            <w:vAlign w:val="bottom"/>
          </w:tcPr>
          <w:p w:rsidR="00AC12B4" w:rsidRDefault="00C27636">
            <w:pPr>
              <w:spacing w:line="259" w:lineRule="exact"/>
              <w:ind w:left="100"/>
              <w:rPr>
                <w:sz w:val="20"/>
                <w:szCs w:val="20"/>
              </w:rPr>
            </w:pPr>
            <w:r>
              <w:rPr>
                <w:rFonts w:ascii="Calibri" w:eastAsia="Calibri" w:hAnsi="Calibri" w:cs="Calibri"/>
              </w:rPr>
              <w:t>et</w:t>
            </w:r>
          </w:p>
        </w:tc>
        <w:tc>
          <w:tcPr>
            <w:tcW w:w="380" w:type="dxa"/>
            <w:vAlign w:val="bottom"/>
          </w:tcPr>
          <w:p w:rsidR="00AC12B4" w:rsidRDefault="00C27636">
            <w:pPr>
              <w:spacing w:line="259" w:lineRule="exact"/>
              <w:jc w:val="right"/>
              <w:rPr>
                <w:sz w:val="20"/>
                <w:szCs w:val="20"/>
              </w:rPr>
            </w:pPr>
            <w:r>
              <w:rPr>
                <w:rFonts w:ascii="Calibri" w:eastAsia="Calibri" w:hAnsi="Calibri" w:cs="Calibri"/>
              </w:rPr>
              <w:t>les</w:t>
            </w:r>
          </w:p>
        </w:tc>
        <w:tc>
          <w:tcPr>
            <w:tcW w:w="920" w:type="dxa"/>
            <w:gridSpan w:val="2"/>
            <w:vAlign w:val="bottom"/>
          </w:tcPr>
          <w:p w:rsidR="00AC12B4" w:rsidRDefault="00C27636">
            <w:pPr>
              <w:spacing w:line="259" w:lineRule="exact"/>
              <w:ind w:right="235"/>
              <w:jc w:val="right"/>
              <w:rPr>
                <w:sz w:val="20"/>
                <w:szCs w:val="20"/>
              </w:rPr>
            </w:pPr>
            <w:r>
              <w:rPr>
                <w:rFonts w:ascii="Calibri" w:eastAsia="Calibri" w:hAnsi="Calibri" w:cs="Calibri"/>
              </w:rPr>
              <w:t>États</w:t>
            </w:r>
          </w:p>
        </w:tc>
        <w:tc>
          <w:tcPr>
            <w:tcW w:w="380" w:type="dxa"/>
            <w:vAlign w:val="bottom"/>
          </w:tcPr>
          <w:p w:rsidR="00AC12B4" w:rsidRDefault="00AC12B4"/>
        </w:tc>
        <w:tc>
          <w:tcPr>
            <w:tcW w:w="4200" w:type="dxa"/>
            <w:gridSpan w:val="7"/>
            <w:vAlign w:val="bottom"/>
          </w:tcPr>
          <w:p w:rsidR="00AC12B4" w:rsidRDefault="00C27636">
            <w:pPr>
              <w:rPr>
                <w:sz w:val="20"/>
                <w:szCs w:val="20"/>
              </w:rPr>
            </w:pPr>
            <w:r w:rsidRPr="00C27636">
              <w:rPr>
                <w:rFonts w:ascii="Calibri" w:eastAsia="Calibri" w:hAnsi="Calibri" w:cs="Calibri"/>
                <w:b/>
                <w:bCs/>
                <w:color w:val="4F81BD"/>
                <w:sz w:val="18"/>
                <w:szCs w:val="18"/>
                <w:lang w:val="fr-BE"/>
              </w:rPr>
              <w:t xml:space="preserve">en Fédération Wallonie-Bruxelles (n=12.709). </w:t>
            </w:r>
            <w:r>
              <w:rPr>
                <w:rFonts w:ascii="Calibri" w:eastAsia="Calibri" w:hAnsi="Calibri" w:cs="Calibri"/>
                <w:b/>
                <w:bCs/>
                <w:color w:val="4F81BD"/>
                <w:sz w:val="18"/>
                <w:szCs w:val="18"/>
              </w:rPr>
              <w:t>HBSC</w:t>
            </w:r>
          </w:p>
        </w:tc>
        <w:tc>
          <w:tcPr>
            <w:tcW w:w="0" w:type="dxa"/>
            <w:vAlign w:val="bottom"/>
          </w:tcPr>
          <w:p w:rsidR="00AC12B4" w:rsidRDefault="00AC12B4">
            <w:pPr>
              <w:rPr>
                <w:sz w:val="1"/>
                <w:szCs w:val="1"/>
              </w:rPr>
            </w:pPr>
          </w:p>
        </w:tc>
      </w:tr>
      <w:tr w:rsidR="00AC12B4">
        <w:trPr>
          <w:trHeight w:val="180"/>
        </w:trPr>
        <w:tc>
          <w:tcPr>
            <w:tcW w:w="5660" w:type="dxa"/>
            <w:gridSpan w:val="10"/>
            <w:vMerge w:val="restart"/>
            <w:vAlign w:val="bottom"/>
          </w:tcPr>
          <w:p w:rsidR="00AC12B4" w:rsidRPr="00C27636" w:rsidRDefault="00C27636">
            <w:pPr>
              <w:ind w:left="1440"/>
              <w:rPr>
                <w:sz w:val="20"/>
                <w:szCs w:val="20"/>
                <w:lang w:val="fr-BE"/>
              </w:rPr>
            </w:pPr>
            <w:r w:rsidRPr="00C27636">
              <w:rPr>
                <w:rFonts w:ascii="Calibri" w:eastAsia="Calibri" w:hAnsi="Calibri" w:cs="Calibri"/>
                <w:lang w:val="fr-BE"/>
              </w:rPr>
              <w:t>parties  s’engagent  à assurer  à l’enfant</w:t>
            </w:r>
          </w:p>
        </w:tc>
        <w:tc>
          <w:tcPr>
            <w:tcW w:w="1080" w:type="dxa"/>
            <w:gridSpan w:val="4"/>
            <w:vAlign w:val="bottom"/>
          </w:tcPr>
          <w:p w:rsidR="00AC12B4" w:rsidRDefault="00C27636">
            <w:pPr>
              <w:spacing w:line="180" w:lineRule="exact"/>
              <w:ind w:right="140"/>
              <w:jc w:val="right"/>
              <w:rPr>
                <w:sz w:val="20"/>
                <w:szCs w:val="20"/>
              </w:rPr>
            </w:pPr>
            <w:r>
              <w:rPr>
                <w:rFonts w:ascii="Calibri" w:eastAsia="Calibri" w:hAnsi="Calibri" w:cs="Calibri"/>
                <w:b/>
                <w:bCs/>
                <w:color w:val="4F81BD"/>
                <w:sz w:val="18"/>
                <w:szCs w:val="18"/>
              </w:rPr>
              <w:t>(2014)</w:t>
            </w:r>
          </w:p>
        </w:tc>
        <w:tc>
          <w:tcPr>
            <w:tcW w:w="120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194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9"/>
        </w:trPr>
        <w:tc>
          <w:tcPr>
            <w:tcW w:w="5660" w:type="dxa"/>
            <w:gridSpan w:val="10"/>
            <w:vMerge/>
            <w:vAlign w:val="bottom"/>
          </w:tcPr>
          <w:p w:rsidR="00AC12B4" w:rsidRDefault="00AC12B4">
            <w:pPr>
              <w:rPr>
                <w:sz w:val="7"/>
                <w:szCs w:val="7"/>
              </w:rPr>
            </w:pPr>
          </w:p>
        </w:tc>
        <w:tc>
          <w:tcPr>
            <w:tcW w:w="38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20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194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69"/>
        </w:trPr>
        <w:tc>
          <w:tcPr>
            <w:tcW w:w="1940" w:type="dxa"/>
            <w:vAlign w:val="bottom"/>
          </w:tcPr>
          <w:p w:rsidR="00AC12B4" w:rsidRDefault="00C27636">
            <w:pPr>
              <w:ind w:left="1440"/>
              <w:rPr>
                <w:sz w:val="20"/>
                <w:szCs w:val="20"/>
              </w:rPr>
            </w:pPr>
            <w:r>
              <w:rPr>
                <w:rFonts w:ascii="Calibri" w:eastAsia="Calibri" w:hAnsi="Calibri" w:cs="Calibri"/>
                <w:w w:val="98"/>
              </w:rPr>
              <w:t>toute</w:t>
            </w:r>
          </w:p>
        </w:tc>
        <w:tc>
          <w:tcPr>
            <w:tcW w:w="340" w:type="dxa"/>
            <w:vAlign w:val="bottom"/>
          </w:tcPr>
          <w:p w:rsidR="00AC12B4" w:rsidRDefault="00C27636">
            <w:pPr>
              <w:ind w:left="160"/>
              <w:rPr>
                <w:sz w:val="20"/>
                <w:szCs w:val="20"/>
              </w:rPr>
            </w:pPr>
            <w:r>
              <w:rPr>
                <w:rFonts w:ascii="Calibri" w:eastAsia="Calibri" w:hAnsi="Calibri" w:cs="Calibri"/>
              </w:rPr>
              <w:t>la</w:t>
            </w:r>
          </w:p>
        </w:tc>
        <w:tc>
          <w:tcPr>
            <w:tcW w:w="1140" w:type="dxa"/>
            <w:gridSpan w:val="3"/>
            <w:vAlign w:val="bottom"/>
          </w:tcPr>
          <w:p w:rsidR="00AC12B4" w:rsidRDefault="00C27636">
            <w:pPr>
              <w:ind w:left="160"/>
              <w:rPr>
                <w:sz w:val="20"/>
                <w:szCs w:val="20"/>
              </w:rPr>
            </w:pPr>
            <w:r>
              <w:rPr>
                <w:rFonts w:ascii="Calibri" w:eastAsia="Calibri" w:hAnsi="Calibri" w:cs="Calibri"/>
              </w:rPr>
              <w:t>protection</w:t>
            </w:r>
          </w:p>
        </w:tc>
        <w:tc>
          <w:tcPr>
            <w:tcW w:w="940" w:type="dxa"/>
            <w:gridSpan w:val="2"/>
            <w:vAlign w:val="bottom"/>
          </w:tcPr>
          <w:p w:rsidR="00AC12B4" w:rsidRDefault="00C27636">
            <w:pPr>
              <w:ind w:left="120"/>
              <w:rPr>
                <w:sz w:val="20"/>
                <w:szCs w:val="20"/>
              </w:rPr>
            </w:pPr>
            <w:r>
              <w:rPr>
                <w:rFonts w:ascii="Calibri" w:eastAsia="Calibri" w:hAnsi="Calibri" w:cs="Calibri"/>
              </w:rPr>
              <w:t>et  tous</w:t>
            </w:r>
          </w:p>
        </w:tc>
        <w:tc>
          <w:tcPr>
            <w:tcW w:w="380" w:type="dxa"/>
            <w:vAlign w:val="bottom"/>
          </w:tcPr>
          <w:p w:rsidR="00AC12B4" w:rsidRDefault="00C27636">
            <w:pPr>
              <w:jc w:val="right"/>
              <w:rPr>
                <w:sz w:val="20"/>
                <w:szCs w:val="20"/>
              </w:rPr>
            </w:pPr>
            <w:r>
              <w:rPr>
                <w:rFonts w:ascii="Calibri" w:eastAsia="Calibri" w:hAnsi="Calibri" w:cs="Calibri"/>
              </w:rPr>
              <w:t>les</w:t>
            </w:r>
          </w:p>
        </w:tc>
        <w:tc>
          <w:tcPr>
            <w:tcW w:w="920" w:type="dxa"/>
            <w:gridSpan w:val="2"/>
            <w:vAlign w:val="bottom"/>
          </w:tcPr>
          <w:p w:rsidR="00AC12B4" w:rsidRDefault="00C27636">
            <w:pPr>
              <w:ind w:right="235"/>
              <w:jc w:val="right"/>
              <w:rPr>
                <w:sz w:val="20"/>
                <w:szCs w:val="20"/>
              </w:rPr>
            </w:pPr>
            <w:r>
              <w:rPr>
                <w:rFonts w:ascii="Calibri" w:eastAsia="Calibri" w:hAnsi="Calibri" w:cs="Calibri"/>
              </w:rPr>
              <w:t>soins</w:t>
            </w:r>
          </w:p>
        </w:tc>
        <w:tc>
          <w:tcPr>
            <w:tcW w:w="380" w:type="dxa"/>
            <w:vAlign w:val="bottom"/>
          </w:tcPr>
          <w:p w:rsidR="00AC12B4" w:rsidRDefault="00AC12B4">
            <w:pPr>
              <w:rPr>
                <w:sz w:val="23"/>
                <w:szCs w:val="23"/>
              </w:rPr>
            </w:pPr>
          </w:p>
        </w:tc>
        <w:tc>
          <w:tcPr>
            <w:tcW w:w="1900" w:type="dxa"/>
            <w:gridSpan w:val="4"/>
            <w:vMerge w:val="restart"/>
            <w:vAlign w:val="bottom"/>
          </w:tcPr>
          <w:p w:rsidR="00AC12B4" w:rsidRDefault="00C27636">
            <w:pPr>
              <w:rPr>
                <w:sz w:val="20"/>
                <w:szCs w:val="20"/>
              </w:rPr>
            </w:pPr>
            <w:r>
              <w:rPr>
                <w:rFonts w:ascii="Cambria" w:eastAsia="Cambria" w:hAnsi="Cambria" w:cs="Cambria"/>
                <w:b/>
                <w:bCs/>
                <w:i/>
                <w:iCs/>
                <w:color w:val="963266"/>
                <w:sz w:val="26"/>
                <w:szCs w:val="26"/>
              </w:rPr>
              <w:t>Evolution</w:t>
            </w:r>
          </w:p>
        </w:tc>
        <w:tc>
          <w:tcPr>
            <w:tcW w:w="26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9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151"/>
        </w:trPr>
        <w:tc>
          <w:tcPr>
            <w:tcW w:w="5660" w:type="dxa"/>
            <w:gridSpan w:val="10"/>
            <w:vMerge w:val="restart"/>
            <w:vAlign w:val="bottom"/>
          </w:tcPr>
          <w:p w:rsidR="00AC12B4" w:rsidRPr="00C27636" w:rsidRDefault="00C27636">
            <w:pPr>
              <w:ind w:left="1440"/>
              <w:rPr>
                <w:sz w:val="20"/>
                <w:szCs w:val="20"/>
                <w:lang w:val="fr-BE"/>
              </w:rPr>
            </w:pPr>
            <w:r w:rsidRPr="00C27636">
              <w:rPr>
                <w:rFonts w:ascii="Calibri" w:eastAsia="Calibri" w:hAnsi="Calibri" w:cs="Calibri"/>
                <w:lang w:val="fr-BE"/>
              </w:rPr>
              <w:t>nécessaires à son bien-être (art. 3 CIDE).</w:t>
            </w:r>
          </w:p>
        </w:tc>
        <w:tc>
          <w:tcPr>
            <w:tcW w:w="380" w:type="dxa"/>
            <w:vAlign w:val="bottom"/>
          </w:tcPr>
          <w:p w:rsidR="00AC12B4" w:rsidRPr="00C27636" w:rsidRDefault="00AC12B4">
            <w:pPr>
              <w:rPr>
                <w:sz w:val="13"/>
                <w:szCs w:val="13"/>
                <w:lang w:val="fr-BE"/>
              </w:rPr>
            </w:pPr>
          </w:p>
        </w:tc>
        <w:tc>
          <w:tcPr>
            <w:tcW w:w="1900" w:type="dxa"/>
            <w:gridSpan w:val="4"/>
            <w:vMerge/>
            <w:vAlign w:val="bottom"/>
          </w:tcPr>
          <w:p w:rsidR="00AC12B4" w:rsidRPr="00C27636" w:rsidRDefault="00AC12B4">
            <w:pPr>
              <w:rPr>
                <w:sz w:val="13"/>
                <w:szCs w:val="13"/>
                <w:lang w:val="fr-BE"/>
              </w:rPr>
            </w:pPr>
          </w:p>
        </w:tc>
        <w:tc>
          <w:tcPr>
            <w:tcW w:w="260" w:type="dxa"/>
            <w:vAlign w:val="bottom"/>
          </w:tcPr>
          <w:p w:rsidR="00AC12B4" w:rsidRPr="00C27636" w:rsidRDefault="00AC12B4">
            <w:pPr>
              <w:rPr>
                <w:sz w:val="13"/>
                <w:szCs w:val="13"/>
                <w:lang w:val="fr-BE"/>
              </w:rPr>
            </w:pPr>
          </w:p>
        </w:tc>
        <w:tc>
          <w:tcPr>
            <w:tcW w:w="100" w:type="dxa"/>
            <w:vAlign w:val="bottom"/>
          </w:tcPr>
          <w:p w:rsidR="00AC12B4" w:rsidRPr="00C27636" w:rsidRDefault="00AC12B4">
            <w:pPr>
              <w:rPr>
                <w:sz w:val="13"/>
                <w:szCs w:val="13"/>
                <w:lang w:val="fr-BE"/>
              </w:rPr>
            </w:pPr>
          </w:p>
        </w:tc>
        <w:tc>
          <w:tcPr>
            <w:tcW w:w="194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118"/>
        </w:trPr>
        <w:tc>
          <w:tcPr>
            <w:tcW w:w="5660" w:type="dxa"/>
            <w:gridSpan w:val="10"/>
            <w:vMerge/>
            <w:vAlign w:val="bottom"/>
          </w:tcPr>
          <w:p w:rsidR="00AC12B4" w:rsidRPr="00C27636" w:rsidRDefault="00AC12B4">
            <w:pPr>
              <w:rPr>
                <w:sz w:val="10"/>
                <w:szCs w:val="10"/>
                <w:lang w:val="fr-BE"/>
              </w:rPr>
            </w:pPr>
          </w:p>
        </w:tc>
        <w:tc>
          <w:tcPr>
            <w:tcW w:w="380" w:type="dxa"/>
            <w:vAlign w:val="bottom"/>
          </w:tcPr>
          <w:p w:rsidR="00AC12B4" w:rsidRPr="00C27636" w:rsidRDefault="00AC12B4">
            <w:pPr>
              <w:rPr>
                <w:sz w:val="10"/>
                <w:szCs w:val="10"/>
                <w:lang w:val="fr-BE"/>
              </w:rPr>
            </w:pPr>
          </w:p>
        </w:tc>
        <w:tc>
          <w:tcPr>
            <w:tcW w:w="300" w:type="dxa"/>
            <w:vAlign w:val="bottom"/>
          </w:tcPr>
          <w:p w:rsidR="00AC12B4" w:rsidRPr="00C27636" w:rsidRDefault="00AC12B4">
            <w:pPr>
              <w:rPr>
                <w:sz w:val="10"/>
                <w:szCs w:val="10"/>
                <w:lang w:val="fr-BE"/>
              </w:rPr>
            </w:pPr>
          </w:p>
        </w:tc>
        <w:tc>
          <w:tcPr>
            <w:tcW w:w="100" w:type="dxa"/>
            <w:vAlign w:val="bottom"/>
          </w:tcPr>
          <w:p w:rsidR="00AC12B4" w:rsidRPr="00C27636" w:rsidRDefault="00AC12B4">
            <w:pPr>
              <w:rPr>
                <w:sz w:val="10"/>
                <w:szCs w:val="10"/>
                <w:lang w:val="fr-BE"/>
              </w:rPr>
            </w:pPr>
          </w:p>
        </w:tc>
        <w:tc>
          <w:tcPr>
            <w:tcW w:w="300" w:type="dxa"/>
            <w:vAlign w:val="bottom"/>
          </w:tcPr>
          <w:p w:rsidR="00AC12B4" w:rsidRPr="00C27636" w:rsidRDefault="00AC12B4">
            <w:pPr>
              <w:rPr>
                <w:sz w:val="10"/>
                <w:szCs w:val="10"/>
                <w:lang w:val="fr-BE"/>
              </w:rPr>
            </w:pPr>
          </w:p>
        </w:tc>
        <w:tc>
          <w:tcPr>
            <w:tcW w:w="1200" w:type="dxa"/>
            <w:vAlign w:val="bottom"/>
          </w:tcPr>
          <w:p w:rsidR="00AC12B4" w:rsidRPr="00C27636" w:rsidRDefault="00AC12B4">
            <w:pPr>
              <w:rPr>
                <w:sz w:val="10"/>
                <w:szCs w:val="10"/>
                <w:lang w:val="fr-BE"/>
              </w:rPr>
            </w:pPr>
          </w:p>
        </w:tc>
        <w:tc>
          <w:tcPr>
            <w:tcW w:w="260" w:type="dxa"/>
            <w:vAlign w:val="bottom"/>
          </w:tcPr>
          <w:p w:rsidR="00AC12B4" w:rsidRPr="00C27636" w:rsidRDefault="00AC12B4">
            <w:pPr>
              <w:rPr>
                <w:sz w:val="10"/>
                <w:szCs w:val="10"/>
                <w:lang w:val="fr-BE"/>
              </w:rPr>
            </w:pPr>
          </w:p>
        </w:tc>
        <w:tc>
          <w:tcPr>
            <w:tcW w:w="100" w:type="dxa"/>
            <w:vAlign w:val="bottom"/>
          </w:tcPr>
          <w:p w:rsidR="00AC12B4" w:rsidRPr="00C27636" w:rsidRDefault="00AC12B4">
            <w:pPr>
              <w:rPr>
                <w:sz w:val="10"/>
                <w:szCs w:val="10"/>
                <w:lang w:val="fr-BE"/>
              </w:rPr>
            </w:pPr>
          </w:p>
        </w:tc>
        <w:tc>
          <w:tcPr>
            <w:tcW w:w="1940" w:type="dxa"/>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rsidRPr="00C27636">
        <w:trPr>
          <w:trHeight w:val="310"/>
        </w:trPr>
        <w:tc>
          <w:tcPr>
            <w:tcW w:w="2740" w:type="dxa"/>
            <w:gridSpan w:val="3"/>
            <w:vMerge w:val="restart"/>
            <w:vAlign w:val="bottom"/>
          </w:tcPr>
          <w:p w:rsidR="00AC12B4" w:rsidRDefault="00C27636">
            <w:pPr>
              <w:ind w:left="1440"/>
              <w:rPr>
                <w:sz w:val="20"/>
                <w:szCs w:val="20"/>
              </w:rPr>
            </w:pPr>
            <w:r>
              <w:rPr>
                <w:rFonts w:ascii="Calibri" w:eastAsia="Calibri" w:hAnsi="Calibri" w:cs="Calibri"/>
              </w:rPr>
              <w:t>Le  bien-être</w:t>
            </w:r>
          </w:p>
        </w:tc>
        <w:tc>
          <w:tcPr>
            <w:tcW w:w="680" w:type="dxa"/>
            <w:gridSpan w:val="2"/>
            <w:vMerge w:val="restart"/>
            <w:vAlign w:val="bottom"/>
          </w:tcPr>
          <w:p w:rsidR="00AC12B4" w:rsidRDefault="00C27636">
            <w:pPr>
              <w:ind w:left="240"/>
              <w:rPr>
                <w:sz w:val="20"/>
                <w:szCs w:val="20"/>
              </w:rPr>
            </w:pPr>
            <w:r>
              <w:rPr>
                <w:rFonts w:ascii="Calibri" w:eastAsia="Calibri" w:hAnsi="Calibri" w:cs="Calibri"/>
              </w:rPr>
              <w:t>des</w:t>
            </w:r>
          </w:p>
        </w:tc>
        <w:tc>
          <w:tcPr>
            <w:tcW w:w="940" w:type="dxa"/>
            <w:gridSpan w:val="2"/>
            <w:vMerge w:val="restart"/>
            <w:vAlign w:val="bottom"/>
          </w:tcPr>
          <w:p w:rsidR="00AC12B4" w:rsidRDefault="00C27636">
            <w:pPr>
              <w:ind w:left="100"/>
              <w:rPr>
                <w:sz w:val="20"/>
                <w:szCs w:val="20"/>
              </w:rPr>
            </w:pPr>
            <w:r>
              <w:rPr>
                <w:rFonts w:ascii="Calibri" w:eastAsia="Calibri" w:hAnsi="Calibri" w:cs="Calibri"/>
              </w:rPr>
              <w:t>enfants</w:t>
            </w:r>
          </w:p>
        </w:tc>
        <w:tc>
          <w:tcPr>
            <w:tcW w:w="1300" w:type="dxa"/>
            <w:gridSpan w:val="3"/>
            <w:vMerge w:val="restart"/>
            <w:vAlign w:val="bottom"/>
          </w:tcPr>
          <w:p w:rsidR="00AC12B4" w:rsidRDefault="00C27636">
            <w:pPr>
              <w:ind w:right="235"/>
              <w:jc w:val="right"/>
              <w:rPr>
                <w:sz w:val="20"/>
                <w:szCs w:val="20"/>
              </w:rPr>
            </w:pPr>
            <w:r>
              <w:rPr>
                <w:rFonts w:ascii="Calibri" w:eastAsia="Calibri" w:hAnsi="Calibri" w:cs="Calibri"/>
              </w:rPr>
              <w:t>comporte</w:t>
            </w:r>
          </w:p>
        </w:tc>
        <w:tc>
          <w:tcPr>
            <w:tcW w:w="380" w:type="dxa"/>
            <w:vAlign w:val="bottom"/>
          </w:tcPr>
          <w:p w:rsidR="00AC12B4" w:rsidRDefault="00AC12B4">
            <w:pPr>
              <w:rPr>
                <w:sz w:val="24"/>
                <w:szCs w:val="24"/>
              </w:rPr>
            </w:pPr>
          </w:p>
        </w:tc>
        <w:tc>
          <w:tcPr>
            <w:tcW w:w="4200" w:type="dxa"/>
            <w:gridSpan w:val="7"/>
            <w:vAlign w:val="bottom"/>
          </w:tcPr>
          <w:p w:rsidR="00AC12B4" w:rsidRPr="00C27636" w:rsidRDefault="00C27636">
            <w:pPr>
              <w:ind w:right="240"/>
              <w:jc w:val="right"/>
              <w:rPr>
                <w:sz w:val="20"/>
                <w:szCs w:val="20"/>
                <w:lang w:val="fr-BE"/>
              </w:rPr>
            </w:pPr>
            <w:r w:rsidRPr="00C27636">
              <w:rPr>
                <w:rFonts w:ascii="Calibri" w:eastAsia="Calibri" w:hAnsi="Calibri" w:cs="Calibri"/>
                <w:lang w:val="fr-BE"/>
              </w:rPr>
              <w:t>L’indicateur satisfaction vis-à-vis de la vie</w:t>
            </w:r>
          </w:p>
        </w:tc>
        <w:tc>
          <w:tcPr>
            <w:tcW w:w="0" w:type="dxa"/>
            <w:vAlign w:val="bottom"/>
          </w:tcPr>
          <w:p w:rsidR="00AC12B4" w:rsidRPr="00C27636" w:rsidRDefault="00AC12B4">
            <w:pPr>
              <w:rPr>
                <w:sz w:val="1"/>
                <w:szCs w:val="1"/>
                <w:lang w:val="fr-BE"/>
              </w:rPr>
            </w:pPr>
          </w:p>
        </w:tc>
      </w:tr>
      <w:tr w:rsidR="00AC12B4" w:rsidRPr="00C27636">
        <w:trPr>
          <w:trHeight w:val="79"/>
        </w:trPr>
        <w:tc>
          <w:tcPr>
            <w:tcW w:w="2740" w:type="dxa"/>
            <w:gridSpan w:val="3"/>
            <w:vMerge/>
            <w:vAlign w:val="bottom"/>
          </w:tcPr>
          <w:p w:rsidR="00AC12B4" w:rsidRPr="00C27636" w:rsidRDefault="00AC12B4">
            <w:pPr>
              <w:rPr>
                <w:sz w:val="6"/>
                <w:szCs w:val="6"/>
                <w:lang w:val="fr-BE"/>
              </w:rPr>
            </w:pPr>
          </w:p>
        </w:tc>
        <w:tc>
          <w:tcPr>
            <w:tcW w:w="680" w:type="dxa"/>
            <w:gridSpan w:val="2"/>
            <w:vMerge/>
            <w:vAlign w:val="bottom"/>
          </w:tcPr>
          <w:p w:rsidR="00AC12B4" w:rsidRPr="00C27636" w:rsidRDefault="00AC12B4">
            <w:pPr>
              <w:rPr>
                <w:sz w:val="6"/>
                <w:szCs w:val="6"/>
                <w:lang w:val="fr-BE"/>
              </w:rPr>
            </w:pPr>
          </w:p>
        </w:tc>
        <w:tc>
          <w:tcPr>
            <w:tcW w:w="940" w:type="dxa"/>
            <w:gridSpan w:val="2"/>
            <w:vMerge/>
            <w:vAlign w:val="bottom"/>
          </w:tcPr>
          <w:p w:rsidR="00AC12B4" w:rsidRPr="00C27636" w:rsidRDefault="00AC12B4">
            <w:pPr>
              <w:rPr>
                <w:sz w:val="6"/>
                <w:szCs w:val="6"/>
                <w:lang w:val="fr-BE"/>
              </w:rPr>
            </w:pPr>
          </w:p>
        </w:tc>
        <w:tc>
          <w:tcPr>
            <w:tcW w:w="1300" w:type="dxa"/>
            <w:gridSpan w:val="3"/>
            <w:vMerge/>
            <w:vAlign w:val="bottom"/>
          </w:tcPr>
          <w:p w:rsidR="00AC12B4" w:rsidRPr="00C27636" w:rsidRDefault="00AC12B4">
            <w:pPr>
              <w:rPr>
                <w:sz w:val="6"/>
                <w:szCs w:val="6"/>
                <w:lang w:val="fr-BE"/>
              </w:rPr>
            </w:pPr>
          </w:p>
        </w:tc>
        <w:tc>
          <w:tcPr>
            <w:tcW w:w="380" w:type="dxa"/>
            <w:vAlign w:val="bottom"/>
          </w:tcPr>
          <w:p w:rsidR="00AC12B4" w:rsidRPr="00C27636" w:rsidRDefault="00AC12B4">
            <w:pPr>
              <w:rPr>
                <w:sz w:val="6"/>
                <w:szCs w:val="6"/>
                <w:lang w:val="fr-BE"/>
              </w:rPr>
            </w:pPr>
          </w:p>
        </w:tc>
        <w:tc>
          <w:tcPr>
            <w:tcW w:w="4200" w:type="dxa"/>
            <w:gridSpan w:val="7"/>
            <w:vMerge w:val="restart"/>
            <w:vAlign w:val="bottom"/>
          </w:tcPr>
          <w:p w:rsidR="00AC12B4" w:rsidRPr="00C27636" w:rsidRDefault="00C27636">
            <w:pPr>
              <w:rPr>
                <w:sz w:val="20"/>
                <w:szCs w:val="20"/>
                <w:lang w:val="fr-BE"/>
              </w:rPr>
            </w:pPr>
            <w:r w:rsidRPr="00C27636">
              <w:rPr>
                <w:rFonts w:ascii="Calibri" w:eastAsia="Calibri" w:hAnsi="Calibri" w:cs="Calibri"/>
                <w:lang w:val="fr-BE"/>
              </w:rPr>
              <w:t>n’a été utilisé que depuis 2010.</w:t>
            </w:r>
          </w:p>
        </w:tc>
        <w:tc>
          <w:tcPr>
            <w:tcW w:w="0" w:type="dxa"/>
            <w:vAlign w:val="bottom"/>
          </w:tcPr>
          <w:p w:rsidR="00AC12B4" w:rsidRPr="00C27636" w:rsidRDefault="00AC12B4">
            <w:pPr>
              <w:rPr>
                <w:sz w:val="1"/>
                <w:szCs w:val="1"/>
                <w:lang w:val="fr-BE"/>
              </w:rPr>
            </w:pPr>
          </w:p>
        </w:tc>
      </w:tr>
      <w:tr w:rsidR="00AC12B4">
        <w:trPr>
          <w:trHeight w:val="190"/>
        </w:trPr>
        <w:tc>
          <w:tcPr>
            <w:tcW w:w="2280" w:type="dxa"/>
            <w:gridSpan w:val="2"/>
            <w:vMerge w:val="restart"/>
            <w:vAlign w:val="bottom"/>
          </w:tcPr>
          <w:p w:rsidR="00AC12B4" w:rsidRDefault="00C27636">
            <w:pPr>
              <w:ind w:left="1440"/>
              <w:rPr>
                <w:sz w:val="20"/>
                <w:szCs w:val="20"/>
              </w:rPr>
            </w:pPr>
            <w:r>
              <w:rPr>
                <w:rFonts w:ascii="Calibri" w:eastAsia="Calibri" w:hAnsi="Calibri" w:cs="Calibri"/>
              </w:rPr>
              <w:t>m</w:t>
            </w:r>
            <w:r>
              <w:rPr>
                <w:rFonts w:ascii="Calibri" w:eastAsia="Calibri" w:hAnsi="Calibri" w:cs="Calibri"/>
              </w:rPr>
              <w:lastRenderedPageBreak/>
              <w:t>ultiple</w:t>
            </w:r>
          </w:p>
        </w:tc>
        <w:tc>
          <w:tcPr>
            <w:tcW w:w="940" w:type="dxa"/>
            <w:gridSpan w:val="2"/>
            <w:vMerge w:val="restart"/>
            <w:vAlign w:val="bottom"/>
          </w:tcPr>
          <w:p w:rsidR="00AC12B4" w:rsidRDefault="00C27636">
            <w:pPr>
              <w:ind w:left="100"/>
              <w:rPr>
                <w:sz w:val="20"/>
                <w:szCs w:val="20"/>
              </w:rPr>
            </w:pPr>
            <w:r>
              <w:rPr>
                <w:rFonts w:ascii="Calibri" w:eastAsia="Calibri" w:hAnsi="Calibri" w:cs="Calibri"/>
              </w:rPr>
              <w:lastRenderedPageBreak/>
              <w:t>facet</w:t>
            </w:r>
            <w:r>
              <w:rPr>
                <w:rFonts w:ascii="Calibri" w:eastAsia="Calibri" w:hAnsi="Calibri" w:cs="Calibri"/>
              </w:rPr>
              <w:lastRenderedPageBreak/>
              <w:t>tes.</w:t>
            </w:r>
          </w:p>
        </w:tc>
        <w:tc>
          <w:tcPr>
            <w:tcW w:w="760" w:type="dxa"/>
            <w:gridSpan w:val="2"/>
            <w:vMerge w:val="restart"/>
            <w:vAlign w:val="bottom"/>
          </w:tcPr>
          <w:p w:rsidR="00AC12B4" w:rsidRDefault="00C27636">
            <w:pPr>
              <w:ind w:right="50"/>
              <w:jc w:val="right"/>
              <w:rPr>
                <w:sz w:val="20"/>
                <w:szCs w:val="20"/>
              </w:rPr>
            </w:pPr>
            <w:r>
              <w:rPr>
                <w:rFonts w:ascii="Calibri" w:eastAsia="Calibri" w:hAnsi="Calibri" w:cs="Calibri"/>
              </w:rPr>
              <w:lastRenderedPageBreak/>
              <w:t>Nou</w:t>
            </w:r>
            <w:r>
              <w:rPr>
                <w:rFonts w:ascii="Calibri" w:eastAsia="Calibri" w:hAnsi="Calibri" w:cs="Calibri"/>
              </w:rPr>
              <w:lastRenderedPageBreak/>
              <w:t>s</w:t>
            </w:r>
          </w:p>
        </w:tc>
        <w:tc>
          <w:tcPr>
            <w:tcW w:w="1020" w:type="dxa"/>
            <w:gridSpan w:val="3"/>
            <w:vMerge w:val="restart"/>
            <w:vAlign w:val="bottom"/>
          </w:tcPr>
          <w:p w:rsidR="00AC12B4" w:rsidRDefault="00C27636">
            <w:pPr>
              <w:ind w:left="20"/>
              <w:rPr>
                <w:sz w:val="20"/>
                <w:szCs w:val="20"/>
              </w:rPr>
            </w:pPr>
            <w:r>
              <w:rPr>
                <w:rFonts w:ascii="Calibri" w:eastAsia="Calibri" w:hAnsi="Calibri" w:cs="Calibri"/>
              </w:rPr>
              <w:lastRenderedPageBreak/>
              <w:t>utiliser</w:t>
            </w:r>
            <w:r>
              <w:rPr>
                <w:rFonts w:ascii="Calibri" w:eastAsia="Calibri" w:hAnsi="Calibri" w:cs="Calibri"/>
              </w:rPr>
              <w:lastRenderedPageBreak/>
              <w:t>ons</w:t>
            </w:r>
          </w:p>
        </w:tc>
        <w:tc>
          <w:tcPr>
            <w:tcW w:w="660" w:type="dxa"/>
            <w:vMerge w:val="restart"/>
            <w:vAlign w:val="bottom"/>
          </w:tcPr>
          <w:p w:rsidR="00AC12B4" w:rsidRDefault="00C27636">
            <w:pPr>
              <w:ind w:right="235"/>
              <w:jc w:val="right"/>
              <w:rPr>
                <w:sz w:val="20"/>
                <w:szCs w:val="20"/>
              </w:rPr>
            </w:pPr>
            <w:r>
              <w:rPr>
                <w:rFonts w:ascii="Calibri" w:eastAsia="Calibri" w:hAnsi="Calibri" w:cs="Calibri"/>
              </w:rPr>
              <w:lastRenderedPageBreak/>
              <w:t>ici</w:t>
            </w:r>
          </w:p>
        </w:tc>
        <w:tc>
          <w:tcPr>
            <w:tcW w:w="380" w:type="dxa"/>
            <w:vAlign w:val="bottom"/>
          </w:tcPr>
          <w:p w:rsidR="00AC12B4" w:rsidRDefault="00AC12B4">
            <w:pPr>
              <w:rPr>
                <w:sz w:val="16"/>
                <w:szCs w:val="16"/>
              </w:rPr>
            </w:pPr>
          </w:p>
        </w:tc>
        <w:tc>
          <w:tcPr>
            <w:tcW w:w="4200" w:type="dxa"/>
            <w:gridSpan w:val="7"/>
            <w:vMerge/>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79"/>
        </w:trPr>
        <w:tc>
          <w:tcPr>
            <w:tcW w:w="2280" w:type="dxa"/>
            <w:gridSpan w:val="2"/>
            <w:vMerge/>
            <w:vAlign w:val="bottom"/>
          </w:tcPr>
          <w:p w:rsidR="00AC12B4" w:rsidRDefault="00AC12B4">
            <w:pPr>
              <w:rPr>
                <w:sz w:val="6"/>
                <w:szCs w:val="6"/>
              </w:rPr>
            </w:pPr>
          </w:p>
        </w:tc>
        <w:tc>
          <w:tcPr>
            <w:tcW w:w="940" w:type="dxa"/>
            <w:gridSpan w:val="2"/>
            <w:vMerge/>
            <w:vAlign w:val="bottom"/>
          </w:tcPr>
          <w:p w:rsidR="00AC12B4" w:rsidRDefault="00AC12B4">
            <w:pPr>
              <w:rPr>
                <w:sz w:val="6"/>
                <w:szCs w:val="6"/>
              </w:rPr>
            </w:pPr>
          </w:p>
        </w:tc>
        <w:tc>
          <w:tcPr>
            <w:tcW w:w="760" w:type="dxa"/>
            <w:gridSpan w:val="2"/>
            <w:vMerge/>
            <w:vAlign w:val="bottom"/>
          </w:tcPr>
          <w:p w:rsidR="00AC12B4" w:rsidRDefault="00AC12B4">
            <w:pPr>
              <w:rPr>
                <w:sz w:val="6"/>
                <w:szCs w:val="6"/>
              </w:rPr>
            </w:pPr>
          </w:p>
        </w:tc>
        <w:tc>
          <w:tcPr>
            <w:tcW w:w="1020" w:type="dxa"/>
            <w:gridSpan w:val="3"/>
            <w:vMerge/>
            <w:vAlign w:val="bottom"/>
          </w:tcPr>
          <w:p w:rsidR="00AC12B4" w:rsidRDefault="00AC12B4">
            <w:pPr>
              <w:rPr>
                <w:sz w:val="6"/>
                <w:szCs w:val="6"/>
              </w:rPr>
            </w:pPr>
          </w:p>
        </w:tc>
        <w:tc>
          <w:tcPr>
            <w:tcW w:w="660" w:type="dxa"/>
            <w:vMerge/>
            <w:vAlign w:val="bottom"/>
          </w:tcPr>
          <w:p w:rsidR="00AC12B4" w:rsidRDefault="00AC12B4">
            <w:pPr>
              <w:rPr>
                <w:sz w:val="6"/>
                <w:szCs w:val="6"/>
              </w:rPr>
            </w:pPr>
          </w:p>
        </w:tc>
        <w:tc>
          <w:tcPr>
            <w:tcW w:w="38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1200" w:type="dxa"/>
            <w:vAlign w:val="bottom"/>
          </w:tcPr>
          <w:p w:rsidR="00AC12B4" w:rsidRDefault="00AC12B4">
            <w:pPr>
              <w:rPr>
                <w:sz w:val="6"/>
                <w:szCs w:val="6"/>
              </w:rPr>
            </w:pPr>
          </w:p>
        </w:tc>
        <w:tc>
          <w:tcPr>
            <w:tcW w:w="26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194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rsidRPr="00C27636">
        <w:trPr>
          <w:trHeight w:val="310"/>
        </w:trPr>
        <w:tc>
          <w:tcPr>
            <w:tcW w:w="5660" w:type="dxa"/>
            <w:gridSpan w:val="10"/>
            <w:vAlign w:val="bottom"/>
          </w:tcPr>
          <w:p w:rsidR="00AC12B4" w:rsidRPr="00C27636" w:rsidRDefault="00C27636">
            <w:pPr>
              <w:spacing w:line="267" w:lineRule="exact"/>
              <w:ind w:left="1440"/>
              <w:rPr>
                <w:sz w:val="20"/>
                <w:szCs w:val="20"/>
                <w:lang w:val="fr-BE"/>
              </w:rPr>
            </w:pPr>
            <w:r w:rsidRPr="00C27636">
              <w:rPr>
                <w:rFonts w:ascii="Calibri" w:eastAsia="Calibri" w:hAnsi="Calibri" w:cs="Calibri"/>
                <w:lang w:val="fr-BE"/>
              </w:rPr>
              <w:lastRenderedPageBreak/>
              <w:t>comme mesure l’indicateur de satisfaction</w:t>
            </w:r>
          </w:p>
        </w:tc>
        <w:tc>
          <w:tcPr>
            <w:tcW w:w="380" w:type="dxa"/>
            <w:vAlign w:val="bottom"/>
          </w:tcPr>
          <w:p w:rsidR="00AC12B4" w:rsidRPr="00C27636" w:rsidRDefault="00AC12B4">
            <w:pPr>
              <w:rPr>
                <w:sz w:val="24"/>
                <w:szCs w:val="24"/>
                <w:lang w:val="fr-BE"/>
              </w:rPr>
            </w:pPr>
          </w:p>
        </w:tc>
        <w:tc>
          <w:tcPr>
            <w:tcW w:w="4200" w:type="dxa"/>
            <w:gridSpan w:val="7"/>
            <w:vAlign w:val="bottom"/>
          </w:tcPr>
          <w:p w:rsidR="00AC12B4" w:rsidRPr="00C27636" w:rsidRDefault="00C27636">
            <w:pPr>
              <w:ind w:right="240"/>
              <w:jc w:val="right"/>
              <w:rPr>
                <w:sz w:val="20"/>
                <w:szCs w:val="20"/>
                <w:lang w:val="fr-BE"/>
              </w:rPr>
            </w:pPr>
            <w:r w:rsidRPr="00C27636">
              <w:rPr>
                <w:rFonts w:ascii="Calibri" w:eastAsia="Calibri" w:hAnsi="Calibri" w:cs="Calibri"/>
                <w:lang w:val="fr-BE"/>
              </w:rPr>
              <w:t xml:space="preserve">L’indicateur portant sur </w:t>
            </w:r>
            <w:r w:rsidRPr="00C27636">
              <w:rPr>
                <w:rFonts w:ascii="Calibri" w:eastAsia="Calibri" w:hAnsi="Calibri" w:cs="Calibri"/>
                <w:lang w:val="fr-BE"/>
              </w:rPr>
              <w:t>le bonheur est lui</w:t>
            </w:r>
          </w:p>
        </w:tc>
        <w:tc>
          <w:tcPr>
            <w:tcW w:w="0" w:type="dxa"/>
            <w:vAlign w:val="bottom"/>
          </w:tcPr>
          <w:p w:rsidR="00AC12B4" w:rsidRPr="00C27636" w:rsidRDefault="00AC12B4">
            <w:pPr>
              <w:rPr>
                <w:sz w:val="1"/>
                <w:szCs w:val="1"/>
                <w:lang w:val="fr-BE"/>
              </w:rPr>
            </w:pPr>
          </w:p>
        </w:tc>
      </w:tr>
      <w:tr w:rsidR="00AC12B4" w:rsidRPr="00C27636">
        <w:trPr>
          <w:trHeight w:val="269"/>
        </w:trPr>
        <w:tc>
          <w:tcPr>
            <w:tcW w:w="5660" w:type="dxa"/>
            <w:gridSpan w:val="10"/>
            <w:vAlign w:val="bottom"/>
          </w:tcPr>
          <w:p w:rsidR="00AC12B4" w:rsidRPr="00C27636" w:rsidRDefault="00C27636">
            <w:pPr>
              <w:spacing w:line="225" w:lineRule="exact"/>
              <w:ind w:left="1440"/>
              <w:rPr>
                <w:sz w:val="20"/>
                <w:szCs w:val="20"/>
                <w:lang w:val="fr-BE"/>
              </w:rPr>
            </w:pPr>
            <w:r w:rsidRPr="00C27636">
              <w:rPr>
                <w:rFonts w:ascii="Calibri" w:eastAsia="Calibri" w:hAnsi="Calibri" w:cs="Calibri"/>
                <w:lang w:val="fr-BE"/>
              </w:rPr>
              <w:t>vis-à-vis  de  la  vie  en  général  et  le</w:t>
            </w:r>
          </w:p>
        </w:tc>
        <w:tc>
          <w:tcPr>
            <w:tcW w:w="380" w:type="dxa"/>
            <w:vAlign w:val="bottom"/>
          </w:tcPr>
          <w:p w:rsidR="00AC12B4" w:rsidRPr="00C27636" w:rsidRDefault="00AC12B4">
            <w:pPr>
              <w:rPr>
                <w:sz w:val="23"/>
                <w:szCs w:val="23"/>
                <w:lang w:val="fr-BE"/>
              </w:rPr>
            </w:pPr>
          </w:p>
        </w:tc>
        <w:tc>
          <w:tcPr>
            <w:tcW w:w="4200" w:type="dxa"/>
            <w:gridSpan w:val="7"/>
            <w:vAlign w:val="bottom"/>
          </w:tcPr>
          <w:p w:rsidR="00AC12B4" w:rsidRPr="00C27636" w:rsidRDefault="00C27636">
            <w:pPr>
              <w:ind w:right="240"/>
              <w:jc w:val="right"/>
              <w:rPr>
                <w:sz w:val="20"/>
                <w:szCs w:val="20"/>
                <w:lang w:val="fr-BE"/>
              </w:rPr>
            </w:pPr>
            <w:r w:rsidRPr="00C27636">
              <w:rPr>
                <w:rFonts w:ascii="Calibri" w:eastAsia="Calibri" w:hAnsi="Calibri" w:cs="Calibri"/>
                <w:lang w:val="fr-BE"/>
              </w:rPr>
              <w:t>utilisé depuis plus longtemps. Les données</w:t>
            </w:r>
          </w:p>
        </w:tc>
        <w:tc>
          <w:tcPr>
            <w:tcW w:w="0" w:type="dxa"/>
            <w:vAlign w:val="bottom"/>
          </w:tcPr>
          <w:p w:rsidR="00AC12B4" w:rsidRPr="00C27636" w:rsidRDefault="00AC12B4">
            <w:pPr>
              <w:rPr>
                <w:sz w:val="1"/>
                <w:szCs w:val="1"/>
                <w:lang w:val="fr-BE"/>
              </w:rPr>
            </w:pPr>
          </w:p>
        </w:tc>
      </w:tr>
      <w:tr w:rsidR="00AC12B4">
        <w:trPr>
          <w:trHeight w:val="269"/>
        </w:trPr>
        <w:tc>
          <w:tcPr>
            <w:tcW w:w="3980" w:type="dxa"/>
            <w:gridSpan w:val="6"/>
            <w:vAlign w:val="bottom"/>
          </w:tcPr>
          <w:p w:rsidR="00AC12B4" w:rsidRDefault="00C27636">
            <w:pPr>
              <w:spacing w:line="225" w:lineRule="exact"/>
              <w:ind w:left="1440"/>
              <w:rPr>
                <w:sz w:val="20"/>
                <w:szCs w:val="20"/>
              </w:rPr>
            </w:pPr>
            <w:r>
              <w:rPr>
                <w:rFonts w:ascii="Calibri" w:eastAsia="Calibri" w:hAnsi="Calibri" w:cs="Calibri"/>
              </w:rPr>
              <w:t>sentiment de bonheur.</w:t>
            </w:r>
          </w:p>
        </w:tc>
        <w:tc>
          <w:tcPr>
            <w:tcW w:w="38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66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4200" w:type="dxa"/>
            <w:gridSpan w:val="7"/>
            <w:vAlign w:val="bottom"/>
          </w:tcPr>
          <w:p w:rsidR="00AC12B4" w:rsidRDefault="00C27636">
            <w:pPr>
              <w:ind w:right="240"/>
              <w:jc w:val="right"/>
              <w:rPr>
                <w:sz w:val="20"/>
                <w:szCs w:val="20"/>
              </w:rPr>
            </w:pPr>
            <w:r>
              <w:rPr>
                <w:rFonts w:ascii="Calibri" w:eastAsia="Calibri" w:hAnsi="Calibri" w:cs="Calibri"/>
              </w:rPr>
              <w:t>sont  globalement  stables  depuis  1994</w:t>
            </w:r>
          </w:p>
        </w:tc>
        <w:tc>
          <w:tcPr>
            <w:tcW w:w="0" w:type="dxa"/>
            <w:vAlign w:val="bottom"/>
          </w:tcPr>
          <w:p w:rsidR="00AC12B4" w:rsidRDefault="00AC12B4">
            <w:pPr>
              <w:rPr>
                <w:sz w:val="1"/>
                <w:szCs w:val="1"/>
              </w:rPr>
            </w:pPr>
          </w:p>
        </w:tc>
      </w:tr>
      <w:tr w:rsidR="00AC12B4">
        <w:trPr>
          <w:trHeight w:val="269"/>
        </w:trPr>
        <w:tc>
          <w:tcPr>
            <w:tcW w:w="2280" w:type="dxa"/>
            <w:gridSpan w:val="2"/>
            <w:vMerge w:val="restart"/>
            <w:vAlign w:val="bottom"/>
          </w:tcPr>
          <w:p w:rsidR="00AC12B4" w:rsidRDefault="00C27636">
            <w:pPr>
              <w:ind w:left="1440"/>
              <w:rPr>
                <w:sz w:val="20"/>
                <w:szCs w:val="20"/>
              </w:rPr>
            </w:pPr>
            <w:r>
              <w:rPr>
                <w:rFonts w:ascii="Calibri" w:eastAsia="Calibri" w:hAnsi="Calibri" w:cs="Calibri"/>
              </w:rPr>
              <w:t>Notons</w:t>
            </w:r>
          </w:p>
        </w:tc>
        <w:tc>
          <w:tcPr>
            <w:tcW w:w="460" w:type="dxa"/>
            <w:vMerge w:val="restart"/>
            <w:vAlign w:val="bottom"/>
          </w:tcPr>
          <w:p w:rsidR="00AC12B4" w:rsidRDefault="00C27636">
            <w:pPr>
              <w:ind w:left="20"/>
              <w:rPr>
                <w:sz w:val="20"/>
                <w:szCs w:val="20"/>
              </w:rPr>
            </w:pPr>
            <w:r>
              <w:rPr>
                <w:rFonts w:ascii="Calibri" w:eastAsia="Calibri" w:hAnsi="Calibri" w:cs="Calibri"/>
              </w:rPr>
              <w:t>que</w:t>
            </w:r>
          </w:p>
        </w:tc>
        <w:tc>
          <w:tcPr>
            <w:tcW w:w="1240" w:type="dxa"/>
            <w:gridSpan w:val="3"/>
            <w:vMerge w:val="restart"/>
            <w:vAlign w:val="bottom"/>
          </w:tcPr>
          <w:p w:rsidR="00AC12B4" w:rsidRDefault="00C27636">
            <w:pPr>
              <w:ind w:right="270"/>
              <w:jc w:val="right"/>
              <w:rPr>
                <w:sz w:val="20"/>
                <w:szCs w:val="20"/>
              </w:rPr>
            </w:pPr>
            <w:r>
              <w:rPr>
                <w:rFonts w:ascii="Calibri" w:eastAsia="Calibri" w:hAnsi="Calibri" w:cs="Calibri"/>
              </w:rPr>
              <w:t>d’autres</w:t>
            </w:r>
          </w:p>
        </w:tc>
        <w:tc>
          <w:tcPr>
            <w:tcW w:w="38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66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700" w:type="dxa"/>
            <w:gridSpan w:val="3"/>
            <w:vAlign w:val="bottom"/>
          </w:tcPr>
          <w:p w:rsidR="00AC12B4" w:rsidRDefault="00C27636">
            <w:pPr>
              <w:rPr>
                <w:sz w:val="20"/>
                <w:szCs w:val="20"/>
              </w:rPr>
            </w:pPr>
            <w:r>
              <w:rPr>
                <w:rFonts w:ascii="Calibri" w:eastAsia="Calibri" w:hAnsi="Calibri" w:cs="Calibri"/>
              </w:rPr>
              <w:t>(FWB).</w:t>
            </w:r>
          </w:p>
        </w:tc>
        <w:tc>
          <w:tcPr>
            <w:tcW w:w="12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9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77"/>
        </w:trPr>
        <w:tc>
          <w:tcPr>
            <w:tcW w:w="2280" w:type="dxa"/>
            <w:gridSpan w:val="2"/>
            <w:vMerge/>
            <w:vAlign w:val="bottom"/>
          </w:tcPr>
          <w:p w:rsidR="00AC12B4" w:rsidRDefault="00AC12B4">
            <w:pPr>
              <w:rPr>
                <w:sz w:val="6"/>
                <w:szCs w:val="6"/>
              </w:rPr>
            </w:pPr>
          </w:p>
        </w:tc>
        <w:tc>
          <w:tcPr>
            <w:tcW w:w="460" w:type="dxa"/>
            <w:vMerge/>
            <w:vAlign w:val="bottom"/>
          </w:tcPr>
          <w:p w:rsidR="00AC12B4" w:rsidRDefault="00AC12B4">
            <w:pPr>
              <w:rPr>
                <w:sz w:val="6"/>
                <w:szCs w:val="6"/>
              </w:rPr>
            </w:pPr>
          </w:p>
        </w:tc>
        <w:tc>
          <w:tcPr>
            <w:tcW w:w="1240" w:type="dxa"/>
            <w:gridSpan w:val="3"/>
            <w:vMerge/>
            <w:vAlign w:val="bottom"/>
          </w:tcPr>
          <w:p w:rsidR="00AC12B4" w:rsidRDefault="00AC12B4">
            <w:pPr>
              <w:rPr>
                <w:sz w:val="6"/>
                <w:szCs w:val="6"/>
              </w:rPr>
            </w:pPr>
          </w:p>
        </w:tc>
        <w:tc>
          <w:tcPr>
            <w:tcW w:w="38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260" w:type="dxa"/>
            <w:vAlign w:val="bottom"/>
          </w:tcPr>
          <w:p w:rsidR="00AC12B4" w:rsidRDefault="00AC12B4">
            <w:pPr>
              <w:rPr>
                <w:sz w:val="6"/>
                <w:szCs w:val="6"/>
              </w:rPr>
            </w:pPr>
          </w:p>
        </w:tc>
        <w:tc>
          <w:tcPr>
            <w:tcW w:w="66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1200" w:type="dxa"/>
            <w:vAlign w:val="bottom"/>
          </w:tcPr>
          <w:p w:rsidR="00AC12B4" w:rsidRDefault="00AC12B4">
            <w:pPr>
              <w:rPr>
                <w:sz w:val="6"/>
                <w:szCs w:val="6"/>
              </w:rPr>
            </w:pPr>
          </w:p>
        </w:tc>
        <w:tc>
          <w:tcPr>
            <w:tcW w:w="26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194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29"/>
        </w:trPr>
        <w:tc>
          <w:tcPr>
            <w:tcW w:w="2280" w:type="dxa"/>
            <w:gridSpan w:val="2"/>
            <w:vMerge w:val="restart"/>
            <w:vAlign w:val="bottom"/>
          </w:tcPr>
          <w:p w:rsidR="00AC12B4" w:rsidRDefault="00C27636">
            <w:pPr>
              <w:ind w:left="1440"/>
              <w:rPr>
                <w:sz w:val="20"/>
                <w:szCs w:val="20"/>
              </w:rPr>
            </w:pPr>
            <w:r>
              <w:rPr>
                <w:rFonts w:ascii="Calibri" w:eastAsia="Calibri" w:hAnsi="Calibri" w:cs="Calibri"/>
              </w:rPr>
              <w:t>asp</w:t>
            </w:r>
            <w:r>
              <w:rPr>
                <w:rFonts w:ascii="Calibri" w:eastAsia="Calibri" w:hAnsi="Calibri" w:cs="Calibri"/>
              </w:rPr>
              <w:lastRenderedPageBreak/>
              <w:t>ects</w:t>
            </w:r>
          </w:p>
        </w:tc>
        <w:tc>
          <w:tcPr>
            <w:tcW w:w="460" w:type="dxa"/>
            <w:vMerge w:val="restart"/>
            <w:vAlign w:val="bottom"/>
          </w:tcPr>
          <w:p w:rsidR="00AC12B4" w:rsidRDefault="00C27636">
            <w:pPr>
              <w:ind w:left="40"/>
              <w:rPr>
                <w:sz w:val="20"/>
                <w:szCs w:val="20"/>
              </w:rPr>
            </w:pPr>
            <w:r>
              <w:rPr>
                <w:rFonts w:ascii="Calibri" w:eastAsia="Calibri" w:hAnsi="Calibri" w:cs="Calibri"/>
              </w:rPr>
              <w:lastRenderedPageBreak/>
              <w:t>du</w:t>
            </w:r>
          </w:p>
        </w:tc>
        <w:tc>
          <w:tcPr>
            <w:tcW w:w="1240" w:type="dxa"/>
            <w:gridSpan w:val="3"/>
            <w:vMerge w:val="restart"/>
            <w:vAlign w:val="bottom"/>
          </w:tcPr>
          <w:p w:rsidR="00AC12B4" w:rsidRDefault="00C27636">
            <w:pPr>
              <w:ind w:right="270"/>
              <w:jc w:val="right"/>
              <w:rPr>
                <w:sz w:val="20"/>
                <w:szCs w:val="20"/>
              </w:rPr>
            </w:pPr>
            <w:r>
              <w:rPr>
                <w:rFonts w:ascii="Calibri" w:eastAsia="Calibri" w:hAnsi="Calibri" w:cs="Calibri"/>
              </w:rPr>
              <w:t>bien-être</w:t>
            </w:r>
          </w:p>
        </w:tc>
        <w:tc>
          <w:tcPr>
            <w:tcW w:w="380" w:type="dxa"/>
            <w:tcBorders>
              <w:bottom w:val="single" w:sz="8" w:space="0" w:color="C95C96"/>
            </w:tcBorders>
            <w:vAlign w:val="bottom"/>
          </w:tcPr>
          <w:p w:rsidR="00AC12B4" w:rsidRDefault="00AC12B4">
            <w:pPr>
              <w:rPr>
                <w:sz w:val="11"/>
                <w:szCs w:val="11"/>
              </w:rPr>
            </w:pPr>
          </w:p>
        </w:tc>
        <w:tc>
          <w:tcPr>
            <w:tcW w:w="380" w:type="dxa"/>
            <w:tcBorders>
              <w:bottom w:val="single" w:sz="8" w:space="0" w:color="C95C96"/>
            </w:tcBorders>
            <w:vAlign w:val="bottom"/>
          </w:tcPr>
          <w:p w:rsidR="00AC12B4" w:rsidRDefault="00AC12B4">
            <w:pPr>
              <w:rPr>
                <w:sz w:val="11"/>
                <w:szCs w:val="11"/>
              </w:rPr>
            </w:pPr>
          </w:p>
        </w:tc>
        <w:tc>
          <w:tcPr>
            <w:tcW w:w="260" w:type="dxa"/>
            <w:tcBorders>
              <w:bottom w:val="single" w:sz="8" w:space="0" w:color="C95C96"/>
            </w:tcBorders>
            <w:vAlign w:val="bottom"/>
          </w:tcPr>
          <w:p w:rsidR="00AC12B4" w:rsidRDefault="00AC12B4">
            <w:pPr>
              <w:rPr>
                <w:sz w:val="11"/>
                <w:szCs w:val="11"/>
              </w:rPr>
            </w:pPr>
          </w:p>
        </w:tc>
        <w:tc>
          <w:tcPr>
            <w:tcW w:w="660" w:type="dxa"/>
            <w:tcBorders>
              <w:bottom w:val="single" w:sz="8" w:space="0" w:color="C95C96"/>
            </w:tcBorders>
            <w:vAlign w:val="bottom"/>
          </w:tcPr>
          <w:p w:rsidR="00AC12B4" w:rsidRDefault="00AC12B4">
            <w:pPr>
              <w:rPr>
                <w:sz w:val="11"/>
                <w:szCs w:val="11"/>
              </w:rPr>
            </w:pPr>
          </w:p>
        </w:tc>
        <w:tc>
          <w:tcPr>
            <w:tcW w:w="380" w:type="dxa"/>
            <w:tcBorders>
              <w:bottom w:val="single" w:sz="8" w:space="0" w:color="C95C96"/>
            </w:tcBorders>
            <w:vAlign w:val="bottom"/>
          </w:tcPr>
          <w:p w:rsidR="00AC12B4" w:rsidRDefault="00AC12B4">
            <w:pPr>
              <w:rPr>
                <w:sz w:val="11"/>
                <w:szCs w:val="11"/>
              </w:rPr>
            </w:pPr>
          </w:p>
        </w:tc>
        <w:tc>
          <w:tcPr>
            <w:tcW w:w="300" w:type="dxa"/>
            <w:tcBorders>
              <w:bottom w:val="single" w:sz="8" w:space="0" w:color="C95C96"/>
            </w:tcBorders>
            <w:vAlign w:val="bottom"/>
          </w:tcPr>
          <w:p w:rsidR="00AC12B4" w:rsidRDefault="00AC12B4">
            <w:pPr>
              <w:rPr>
                <w:sz w:val="11"/>
                <w:szCs w:val="11"/>
              </w:rPr>
            </w:pPr>
          </w:p>
        </w:tc>
        <w:tc>
          <w:tcPr>
            <w:tcW w:w="100" w:type="dxa"/>
            <w:tcBorders>
              <w:bottom w:val="single" w:sz="8" w:space="0" w:color="C95C96"/>
            </w:tcBorders>
            <w:vAlign w:val="bottom"/>
          </w:tcPr>
          <w:p w:rsidR="00AC12B4" w:rsidRDefault="00AC12B4">
            <w:pPr>
              <w:rPr>
                <w:sz w:val="11"/>
                <w:szCs w:val="11"/>
              </w:rPr>
            </w:pPr>
          </w:p>
        </w:tc>
        <w:tc>
          <w:tcPr>
            <w:tcW w:w="300" w:type="dxa"/>
            <w:tcBorders>
              <w:bottom w:val="single" w:sz="8" w:space="0" w:color="C95C96"/>
            </w:tcBorders>
            <w:vAlign w:val="bottom"/>
          </w:tcPr>
          <w:p w:rsidR="00AC12B4" w:rsidRDefault="00AC12B4">
            <w:pPr>
              <w:rPr>
                <w:sz w:val="11"/>
                <w:szCs w:val="11"/>
              </w:rPr>
            </w:pPr>
          </w:p>
        </w:tc>
        <w:tc>
          <w:tcPr>
            <w:tcW w:w="1200" w:type="dxa"/>
            <w:vMerge w:val="restart"/>
            <w:vAlign w:val="bottom"/>
          </w:tcPr>
          <w:p w:rsidR="00AC12B4" w:rsidRDefault="00C27636">
            <w:pPr>
              <w:ind w:left="160"/>
              <w:rPr>
                <w:sz w:val="20"/>
                <w:szCs w:val="20"/>
              </w:rPr>
            </w:pPr>
            <w:r>
              <w:rPr>
                <w:rFonts w:ascii="Cambria" w:eastAsia="Cambria" w:hAnsi="Cambria" w:cs="Cambria"/>
                <w:b/>
                <w:bCs/>
                <w:i/>
                <w:iCs/>
                <w:color w:val="963266"/>
                <w:sz w:val="26"/>
                <w:szCs w:val="26"/>
              </w:rPr>
              <w:t>Iniquité</w:t>
            </w:r>
          </w:p>
        </w:tc>
        <w:tc>
          <w:tcPr>
            <w:tcW w:w="26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194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19"/>
        </w:trPr>
        <w:tc>
          <w:tcPr>
            <w:tcW w:w="2280" w:type="dxa"/>
            <w:gridSpan w:val="2"/>
            <w:vMerge/>
            <w:vAlign w:val="bottom"/>
          </w:tcPr>
          <w:p w:rsidR="00AC12B4" w:rsidRDefault="00AC12B4">
            <w:pPr>
              <w:rPr>
                <w:sz w:val="10"/>
                <w:szCs w:val="10"/>
              </w:rPr>
            </w:pPr>
          </w:p>
        </w:tc>
        <w:tc>
          <w:tcPr>
            <w:tcW w:w="460" w:type="dxa"/>
            <w:vMerge/>
            <w:vAlign w:val="bottom"/>
          </w:tcPr>
          <w:p w:rsidR="00AC12B4" w:rsidRDefault="00AC12B4">
            <w:pPr>
              <w:rPr>
                <w:sz w:val="10"/>
                <w:szCs w:val="10"/>
              </w:rPr>
            </w:pPr>
          </w:p>
        </w:tc>
        <w:tc>
          <w:tcPr>
            <w:tcW w:w="1240" w:type="dxa"/>
            <w:gridSpan w:val="3"/>
            <w:vMerge/>
            <w:vAlign w:val="bottom"/>
          </w:tcPr>
          <w:p w:rsidR="00AC12B4" w:rsidRDefault="00AC12B4">
            <w:pPr>
              <w:rPr>
                <w:sz w:val="10"/>
                <w:szCs w:val="10"/>
              </w:rPr>
            </w:pPr>
          </w:p>
        </w:tc>
        <w:tc>
          <w:tcPr>
            <w:tcW w:w="2760" w:type="dxa"/>
            <w:gridSpan w:val="8"/>
            <w:vMerge w:val="restart"/>
            <w:tcBorders>
              <w:left w:val="single" w:sz="8" w:space="0" w:color="C95C96"/>
              <w:right w:val="single" w:sz="8" w:space="0" w:color="C95C96"/>
            </w:tcBorders>
            <w:vAlign w:val="bottom"/>
          </w:tcPr>
          <w:p w:rsidR="00AC12B4" w:rsidRDefault="00C27636">
            <w:pPr>
              <w:spacing w:line="975" w:lineRule="exact"/>
              <w:ind w:right="120"/>
              <w:jc w:val="right"/>
              <w:rPr>
                <w:sz w:val="20"/>
                <w:szCs w:val="20"/>
              </w:rPr>
            </w:pPr>
            <w:r>
              <w:rPr>
                <w:rFonts w:ascii="Comic Sans MS" w:eastAsia="Comic Sans MS" w:hAnsi="Comic Sans MS" w:cs="Comic Sans MS"/>
                <w:color w:val="C95C96"/>
                <w:sz w:val="72"/>
                <w:szCs w:val="72"/>
              </w:rPr>
              <w:t xml:space="preserve">86.6 </w:t>
            </w:r>
            <w:r>
              <w:rPr>
                <w:rFonts w:ascii="Comic Sans MS" w:eastAsia="Comic Sans MS" w:hAnsi="Comic Sans MS" w:cs="Comic Sans MS"/>
                <w:color w:val="C95C96"/>
                <w:sz w:val="72"/>
                <w:szCs w:val="72"/>
              </w:rPr>
              <w:lastRenderedPageBreak/>
              <w:t>%</w:t>
            </w:r>
          </w:p>
        </w:tc>
        <w:tc>
          <w:tcPr>
            <w:tcW w:w="1200" w:type="dxa"/>
            <w:vMerge/>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19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65"/>
        </w:trPr>
        <w:tc>
          <w:tcPr>
            <w:tcW w:w="1940" w:type="dxa"/>
            <w:vMerge w:val="restart"/>
            <w:vAlign w:val="bottom"/>
          </w:tcPr>
          <w:p w:rsidR="00AC12B4" w:rsidRDefault="00C27636">
            <w:pPr>
              <w:ind w:left="1440"/>
              <w:rPr>
                <w:sz w:val="20"/>
                <w:szCs w:val="20"/>
              </w:rPr>
            </w:pPr>
            <w:r>
              <w:rPr>
                <w:rFonts w:ascii="Calibri" w:eastAsia="Calibri" w:hAnsi="Calibri" w:cs="Calibri"/>
              </w:rPr>
              <w:lastRenderedPageBreak/>
              <w:t>sont</w:t>
            </w:r>
          </w:p>
        </w:tc>
        <w:tc>
          <w:tcPr>
            <w:tcW w:w="1280" w:type="dxa"/>
            <w:gridSpan w:val="3"/>
            <w:vMerge w:val="restart"/>
            <w:vAlign w:val="bottom"/>
          </w:tcPr>
          <w:p w:rsidR="00AC12B4" w:rsidRDefault="00C27636">
            <w:pPr>
              <w:ind w:left="40"/>
              <w:rPr>
                <w:sz w:val="20"/>
                <w:szCs w:val="20"/>
              </w:rPr>
            </w:pPr>
            <w:r>
              <w:rPr>
                <w:rFonts w:ascii="Calibri" w:eastAsia="Calibri" w:hAnsi="Calibri" w:cs="Calibri"/>
              </w:rPr>
              <w:t>traités  dans</w:t>
            </w:r>
          </w:p>
        </w:tc>
        <w:tc>
          <w:tcPr>
            <w:tcW w:w="760" w:type="dxa"/>
            <w:gridSpan w:val="2"/>
            <w:vMerge w:val="restart"/>
            <w:vAlign w:val="bottom"/>
          </w:tcPr>
          <w:p w:rsidR="00AC12B4" w:rsidRDefault="00C27636">
            <w:pPr>
              <w:ind w:right="290"/>
              <w:jc w:val="right"/>
              <w:rPr>
                <w:sz w:val="20"/>
                <w:szCs w:val="20"/>
              </w:rPr>
            </w:pPr>
            <w:r>
              <w:rPr>
                <w:rFonts w:ascii="Calibri" w:eastAsia="Calibri" w:hAnsi="Calibri" w:cs="Calibri"/>
              </w:rPr>
              <w:t>nos</w:t>
            </w:r>
          </w:p>
        </w:tc>
        <w:tc>
          <w:tcPr>
            <w:tcW w:w="2760" w:type="dxa"/>
            <w:gridSpan w:val="8"/>
            <w:vMerge/>
            <w:tcBorders>
              <w:left w:val="single" w:sz="8" w:space="0" w:color="C95C96"/>
              <w:right w:val="single" w:sz="8" w:space="0" w:color="C95C96"/>
            </w:tcBorders>
            <w:vAlign w:val="bottom"/>
          </w:tcPr>
          <w:p w:rsidR="00AC12B4" w:rsidRDefault="00AC12B4">
            <w:pPr>
              <w:rPr>
                <w:sz w:val="14"/>
                <w:szCs w:val="14"/>
              </w:rPr>
            </w:pPr>
          </w:p>
        </w:tc>
        <w:tc>
          <w:tcPr>
            <w:tcW w:w="1200" w:type="dxa"/>
            <w:vMerge/>
            <w:vAlign w:val="bottom"/>
          </w:tcPr>
          <w:p w:rsidR="00AC12B4" w:rsidRDefault="00AC12B4">
            <w:pPr>
              <w:rPr>
                <w:sz w:val="14"/>
                <w:szCs w:val="14"/>
              </w:rPr>
            </w:pPr>
          </w:p>
        </w:tc>
        <w:tc>
          <w:tcPr>
            <w:tcW w:w="26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94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4"/>
        </w:trPr>
        <w:tc>
          <w:tcPr>
            <w:tcW w:w="1940" w:type="dxa"/>
            <w:vMerge/>
            <w:vAlign w:val="bottom"/>
          </w:tcPr>
          <w:p w:rsidR="00AC12B4" w:rsidRDefault="00AC12B4">
            <w:pPr>
              <w:rPr>
                <w:sz w:val="9"/>
                <w:szCs w:val="9"/>
              </w:rPr>
            </w:pPr>
          </w:p>
        </w:tc>
        <w:tc>
          <w:tcPr>
            <w:tcW w:w="1280" w:type="dxa"/>
            <w:gridSpan w:val="3"/>
            <w:vMerge/>
            <w:vAlign w:val="bottom"/>
          </w:tcPr>
          <w:p w:rsidR="00AC12B4" w:rsidRDefault="00AC12B4">
            <w:pPr>
              <w:rPr>
                <w:sz w:val="9"/>
                <w:szCs w:val="9"/>
              </w:rPr>
            </w:pPr>
          </w:p>
        </w:tc>
        <w:tc>
          <w:tcPr>
            <w:tcW w:w="760" w:type="dxa"/>
            <w:gridSpan w:val="2"/>
            <w:vMerge/>
            <w:vAlign w:val="bottom"/>
          </w:tcPr>
          <w:p w:rsidR="00AC12B4" w:rsidRDefault="00AC12B4">
            <w:pPr>
              <w:rPr>
                <w:sz w:val="9"/>
                <w:szCs w:val="9"/>
              </w:rPr>
            </w:pPr>
          </w:p>
        </w:tc>
        <w:tc>
          <w:tcPr>
            <w:tcW w:w="2760" w:type="dxa"/>
            <w:gridSpan w:val="8"/>
            <w:vMerge/>
            <w:tcBorders>
              <w:left w:val="single" w:sz="8" w:space="0" w:color="C95C96"/>
              <w:right w:val="single" w:sz="8" w:space="0" w:color="C95C96"/>
            </w:tcBorders>
            <w:vAlign w:val="bottom"/>
          </w:tcPr>
          <w:p w:rsidR="00AC12B4" w:rsidRDefault="00AC12B4">
            <w:pPr>
              <w:rPr>
                <w:sz w:val="9"/>
                <w:szCs w:val="9"/>
              </w:rPr>
            </w:pPr>
          </w:p>
        </w:tc>
        <w:tc>
          <w:tcPr>
            <w:tcW w:w="120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19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269"/>
        </w:trPr>
        <w:tc>
          <w:tcPr>
            <w:tcW w:w="2280" w:type="dxa"/>
            <w:gridSpan w:val="2"/>
            <w:vAlign w:val="bottom"/>
          </w:tcPr>
          <w:p w:rsidR="00AC12B4" w:rsidRDefault="00C27636">
            <w:pPr>
              <w:ind w:left="1440"/>
              <w:rPr>
                <w:sz w:val="20"/>
                <w:szCs w:val="20"/>
              </w:rPr>
            </w:pPr>
            <w:r>
              <w:rPr>
                <w:rFonts w:ascii="Calibri" w:eastAsia="Calibri" w:hAnsi="Calibri" w:cs="Calibri"/>
              </w:rPr>
              <w:t>autres</w:t>
            </w:r>
          </w:p>
        </w:tc>
        <w:tc>
          <w:tcPr>
            <w:tcW w:w="1700" w:type="dxa"/>
            <w:gridSpan w:val="4"/>
            <w:vAlign w:val="bottom"/>
          </w:tcPr>
          <w:p w:rsidR="00AC12B4" w:rsidRDefault="00C27636">
            <w:pPr>
              <w:ind w:right="290"/>
              <w:jc w:val="right"/>
              <w:rPr>
                <w:sz w:val="20"/>
                <w:szCs w:val="20"/>
              </w:rPr>
            </w:pPr>
            <w:r>
              <w:rPr>
                <w:rFonts w:ascii="Calibri" w:eastAsia="Calibri" w:hAnsi="Calibri" w:cs="Calibri"/>
              </w:rPr>
              <w:t>indicateurs,</w:t>
            </w:r>
          </w:p>
        </w:tc>
        <w:tc>
          <w:tcPr>
            <w:tcW w:w="2760" w:type="dxa"/>
            <w:gridSpan w:val="8"/>
            <w:vMerge/>
            <w:tcBorders>
              <w:left w:val="single" w:sz="8" w:space="0" w:color="C95C96"/>
              <w:right w:val="single" w:sz="8" w:space="0" w:color="C95C96"/>
            </w:tcBorders>
            <w:vAlign w:val="bottom"/>
          </w:tcPr>
          <w:p w:rsidR="00AC12B4" w:rsidRDefault="00AC12B4">
            <w:pPr>
              <w:rPr>
                <w:sz w:val="23"/>
                <w:szCs w:val="23"/>
              </w:rPr>
            </w:pPr>
          </w:p>
        </w:tc>
        <w:tc>
          <w:tcPr>
            <w:tcW w:w="3500" w:type="dxa"/>
            <w:gridSpan w:val="4"/>
            <w:vMerge w:val="restart"/>
            <w:vAlign w:val="bottom"/>
          </w:tcPr>
          <w:p w:rsidR="00AC12B4" w:rsidRPr="00C27636" w:rsidRDefault="00C27636">
            <w:pPr>
              <w:ind w:right="240"/>
              <w:jc w:val="right"/>
              <w:rPr>
                <w:sz w:val="20"/>
                <w:szCs w:val="20"/>
                <w:lang w:val="fr-BE"/>
              </w:rPr>
            </w:pPr>
            <w:r w:rsidRPr="00C27636">
              <w:rPr>
                <w:rFonts w:ascii="Calibri" w:eastAsia="Calibri" w:hAnsi="Calibri" w:cs="Calibri"/>
                <w:lang w:val="fr-BE"/>
              </w:rPr>
              <w:t>La proportion de jeunes qui se</w:t>
            </w:r>
          </w:p>
        </w:tc>
        <w:tc>
          <w:tcPr>
            <w:tcW w:w="0" w:type="dxa"/>
            <w:vAlign w:val="bottom"/>
          </w:tcPr>
          <w:p w:rsidR="00AC12B4" w:rsidRPr="00C27636" w:rsidRDefault="00AC12B4">
            <w:pPr>
              <w:rPr>
                <w:sz w:val="1"/>
                <w:szCs w:val="1"/>
                <w:lang w:val="fr-BE"/>
              </w:rPr>
            </w:pPr>
          </w:p>
        </w:tc>
      </w:tr>
      <w:tr w:rsidR="00AC12B4">
        <w:trPr>
          <w:trHeight w:val="55"/>
        </w:trPr>
        <w:tc>
          <w:tcPr>
            <w:tcW w:w="3980" w:type="dxa"/>
            <w:gridSpan w:val="6"/>
            <w:vMerge w:val="restart"/>
            <w:vAlign w:val="bottom"/>
          </w:tcPr>
          <w:p w:rsidR="00AC12B4" w:rsidRDefault="00C27636">
            <w:pPr>
              <w:ind w:left="1440"/>
              <w:rPr>
                <w:sz w:val="20"/>
                <w:szCs w:val="20"/>
              </w:rPr>
            </w:pPr>
            <w:r>
              <w:rPr>
                <w:rFonts w:ascii="Calibri" w:eastAsia="Calibri" w:hAnsi="Calibri" w:cs="Calibri"/>
              </w:rPr>
              <w:t>comme par exemple le</w:t>
            </w:r>
          </w:p>
        </w:tc>
        <w:tc>
          <w:tcPr>
            <w:tcW w:w="2760" w:type="dxa"/>
            <w:gridSpan w:val="8"/>
            <w:vMerge/>
            <w:tcBorders>
              <w:left w:val="single" w:sz="8" w:space="0" w:color="C95C96"/>
              <w:right w:val="single" w:sz="8" w:space="0" w:color="C95C96"/>
            </w:tcBorders>
            <w:vAlign w:val="bottom"/>
          </w:tcPr>
          <w:p w:rsidR="00AC12B4" w:rsidRDefault="00AC12B4">
            <w:pPr>
              <w:rPr>
                <w:sz w:val="4"/>
                <w:szCs w:val="4"/>
              </w:rPr>
            </w:pPr>
          </w:p>
        </w:tc>
        <w:tc>
          <w:tcPr>
            <w:tcW w:w="3500" w:type="dxa"/>
            <w:gridSpan w:val="4"/>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rsidRPr="00C27636">
        <w:trPr>
          <w:trHeight w:val="263"/>
        </w:trPr>
        <w:tc>
          <w:tcPr>
            <w:tcW w:w="3980" w:type="dxa"/>
            <w:gridSpan w:val="6"/>
            <w:vMerge/>
            <w:vAlign w:val="bottom"/>
          </w:tcPr>
          <w:p w:rsidR="00AC12B4" w:rsidRDefault="00AC12B4"/>
        </w:tc>
        <w:tc>
          <w:tcPr>
            <w:tcW w:w="2760" w:type="dxa"/>
            <w:gridSpan w:val="8"/>
            <w:vMerge/>
            <w:tcBorders>
              <w:left w:val="single" w:sz="8" w:space="0" w:color="C95C96"/>
              <w:right w:val="single" w:sz="8" w:space="0" w:color="C95C96"/>
            </w:tcBorders>
            <w:vAlign w:val="bottom"/>
          </w:tcPr>
          <w:p w:rsidR="00AC12B4" w:rsidRDefault="00AC12B4"/>
        </w:tc>
        <w:tc>
          <w:tcPr>
            <w:tcW w:w="3500" w:type="dxa"/>
            <w:gridSpan w:val="4"/>
            <w:vAlign w:val="bottom"/>
          </w:tcPr>
          <w:p w:rsidR="00AC12B4" w:rsidRPr="00C27636" w:rsidRDefault="00C27636">
            <w:pPr>
              <w:spacing w:line="262" w:lineRule="exact"/>
              <w:ind w:right="240"/>
              <w:jc w:val="right"/>
              <w:rPr>
                <w:sz w:val="20"/>
                <w:szCs w:val="20"/>
                <w:lang w:val="fr-BE"/>
              </w:rPr>
            </w:pPr>
            <w:r w:rsidRPr="00C27636">
              <w:rPr>
                <w:rFonts w:ascii="Calibri" w:eastAsia="Calibri" w:hAnsi="Calibri" w:cs="Calibri"/>
                <w:lang w:val="fr-BE"/>
              </w:rPr>
              <w:t>sentent heureux ou très heureux</w:t>
            </w:r>
          </w:p>
        </w:tc>
        <w:tc>
          <w:tcPr>
            <w:tcW w:w="0" w:type="dxa"/>
            <w:vAlign w:val="bottom"/>
          </w:tcPr>
          <w:p w:rsidR="00AC12B4" w:rsidRPr="00C27636" w:rsidRDefault="00AC12B4">
            <w:pPr>
              <w:rPr>
                <w:sz w:val="1"/>
                <w:szCs w:val="1"/>
                <w:lang w:val="fr-BE"/>
              </w:rPr>
            </w:pPr>
          </w:p>
        </w:tc>
      </w:tr>
      <w:tr w:rsidR="00AC12B4" w:rsidRPr="00C27636">
        <w:trPr>
          <w:trHeight w:val="220"/>
        </w:trPr>
        <w:tc>
          <w:tcPr>
            <w:tcW w:w="1940" w:type="dxa"/>
            <w:vAlign w:val="bottom"/>
          </w:tcPr>
          <w:p w:rsidR="00AC12B4" w:rsidRDefault="00C27636">
            <w:pPr>
              <w:spacing w:line="220" w:lineRule="exact"/>
              <w:ind w:left="1440"/>
              <w:rPr>
                <w:sz w:val="20"/>
                <w:szCs w:val="20"/>
              </w:rPr>
            </w:pPr>
            <w:r>
              <w:rPr>
                <w:rFonts w:ascii="Calibri" w:eastAsia="Calibri" w:hAnsi="Calibri" w:cs="Calibri"/>
              </w:rPr>
              <w:t>bien</w:t>
            </w:r>
          </w:p>
        </w:tc>
        <w:tc>
          <w:tcPr>
            <w:tcW w:w="1480" w:type="dxa"/>
            <w:gridSpan w:val="4"/>
            <w:vAlign w:val="bottom"/>
          </w:tcPr>
          <w:p w:rsidR="00AC12B4" w:rsidRDefault="00C27636">
            <w:pPr>
              <w:spacing w:line="220" w:lineRule="exact"/>
              <w:ind w:left="20"/>
              <w:rPr>
                <w:sz w:val="20"/>
                <w:szCs w:val="20"/>
              </w:rPr>
            </w:pPr>
            <w:r>
              <w:rPr>
                <w:rFonts w:ascii="Calibri" w:eastAsia="Calibri" w:hAnsi="Calibri" w:cs="Calibri"/>
              </w:rPr>
              <w:t>être à l’école,</w:t>
            </w:r>
          </w:p>
        </w:tc>
        <w:tc>
          <w:tcPr>
            <w:tcW w:w="560" w:type="dxa"/>
            <w:vAlign w:val="bottom"/>
          </w:tcPr>
          <w:p w:rsidR="00AC12B4" w:rsidRDefault="00C27636">
            <w:pPr>
              <w:spacing w:line="220" w:lineRule="exact"/>
              <w:ind w:right="290"/>
              <w:jc w:val="right"/>
              <w:rPr>
                <w:sz w:val="20"/>
                <w:szCs w:val="20"/>
              </w:rPr>
            </w:pPr>
            <w:r>
              <w:rPr>
                <w:rFonts w:ascii="Calibri" w:eastAsia="Calibri" w:hAnsi="Calibri" w:cs="Calibri"/>
                <w:w w:val="89"/>
              </w:rPr>
              <w:t>la</w:t>
            </w:r>
          </w:p>
        </w:tc>
        <w:tc>
          <w:tcPr>
            <w:tcW w:w="760" w:type="dxa"/>
            <w:gridSpan w:val="2"/>
            <w:vMerge w:val="restart"/>
            <w:tcBorders>
              <w:lef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0D0D0D"/>
                <w:sz w:val="20"/>
                <w:szCs w:val="20"/>
              </w:rPr>
              <w:t>des</w:t>
            </w:r>
          </w:p>
        </w:tc>
        <w:tc>
          <w:tcPr>
            <w:tcW w:w="920" w:type="dxa"/>
            <w:gridSpan w:val="2"/>
            <w:vMerge w:val="restart"/>
            <w:vAlign w:val="bottom"/>
          </w:tcPr>
          <w:p w:rsidR="00AC12B4" w:rsidRDefault="00C27636">
            <w:pPr>
              <w:ind w:right="175"/>
              <w:jc w:val="right"/>
              <w:rPr>
                <w:sz w:val="20"/>
                <w:szCs w:val="20"/>
              </w:rPr>
            </w:pPr>
            <w:r>
              <w:rPr>
                <w:rFonts w:ascii="Comic Sans MS" w:eastAsia="Comic Sans MS" w:hAnsi="Comic Sans MS" w:cs="Comic Sans MS"/>
                <w:color w:val="0D0D0D"/>
                <w:sz w:val="20"/>
                <w:szCs w:val="20"/>
              </w:rPr>
              <w:t>jeunes</w:t>
            </w:r>
          </w:p>
        </w:tc>
        <w:tc>
          <w:tcPr>
            <w:tcW w:w="1080" w:type="dxa"/>
            <w:gridSpan w:val="4"/>
            <w:vMerge w:val="restart"/>
            <w:tcBorders>
              <w:right w:val="single" w:sz="8" w:space="0" w:color="C95C96"/>
            </w:tcBorders>
            <w:vAlign w:val="bottom"/>
          </w:tcPr>
          <w:p w:rsidR="00AC12B4" w:rsidRDefault="00C27636">
            <w:pPr>
              <w:ind w:right="80"/>
              <w:jc w:val="right"/>
              <w:rPr>
                <w:sz w:val="20"/>
                <w:szCs w:val="20"/>
              </w:rPr>
            </w:pPr>
            <w:r>
              <w:rPr>
                <w:rFonts w:ascii="Comic Sans MS" w:eastAsia="Comic Sans MS" w:hAnsi="Comic Sans MS" w:cs="Comic Sans MS"/>
                <w:color w:val="0D0D0D"/>
                <w:sz w:val="20"/>
                <w:szCs w:val="20"/>
              </w:rPr>
              <w:t>sont   en</w:t>
            </w:r>
          </w:p>
        </w:tc>
        <w:tc>
          <w:tcPr>
            <w:tcW w:w="3500" w:type="dxa"/>
            <w:gridSpan w:val="4"/>
            <w:vMerge w:val="restart"/>
            <w:vAlign w:val="bottom"/>
          </w:tcPr>
          <w:p w:rsidR="00AC12B4" w:rsidRPr="00C27636" w:rsidRDefault="00C27636">
            <w:pPr>
              <w:ind w:right="240"/>
              <w:jc w:val="right"/>
              <w:rPr>
                <w:sz w:val="20"/>
                <w:szCs w:val="20"/>
                <w:lang w:val="fr-BE"/>
              </w:rPr>
            </w:pPr>
            <w:r w:rsidRPr="00C27636">
              <w:rPr>
                <w:rFonts w:ascii="Calibri" w:eastAsia="Calibri" w:hAnsi="Calibri" w:cs="Calibri"/>
                <w:lang w:val="fr-BE"/>
              </w:rPr>
              <w:t xml:space="preserve">est plus élevée </w:t>
            </w:r>
            <w:r w:rsidRPr="00C27636">
              <w:rPr>
                <w:rFonts w:ascii="Calibri" w:eastAsia="Calibri" w:hAnsi="Calibri" w:cs="Calibri"/>
                <w:lang w:val="fr-BE"/>
              </w:rPr>
              <w:t>parmi les garçons</w:t>
            </w:r>
          </w:p>
        </w:tc>
        <w:tc>
          <w:tcPr>
            <w:tcW w:w="0" w:type="dxa"/>
            <w:vAlign w:val="bottom"/>
          </w:tcPr>
          <w:p w:rsidR="00AC12B4" w:rsidRPr="00C27636" w:rsidRDefault="00AC12B4">
            <w:pPr>
              <w:rPr>
                <w:sz w:val="1"/>
                <w:szCs w:val="1"/>
                <w:lang w:val="fr-BE"/>
              </w:rPr>
            </w:pPr>
          </w:p>
        </w:tc>
      </w:tr>
      <w:tr w:rsidR="00AC12B4">
        <w:trPr>
          <w:trHeight w:val="104"/>
        </w:trPr>
        <w:tc>
          <w:tcPr>
            <w:tcW w:w="3980" w:type="dxa"/>
            <w:gridSpan w:val="6"/>
            <w:vMerge w:val="restart"/>
            <w:vAlign w:val="bottom"/>
          </w:tcPr>
          <w:p w:rsidR="00AC12B4" w:rsidRDefault="00C27636">
            <w:pPr>
              <w:ind w:left="1440"/>
              <w:rPr>
                <w:sz w:val="20"/>
                <w:szCs w:val="20"/>
              </w:rPr>
            </w:pPr>
            <w:r>
              <w:rPr>
                <w:rFonts w:ascii="Calibri" w:eastAsia="Calibri" w:hAnsi="Calibri" w:cs="Calibri"/>
              </w:rPr>
              <w:t>santé subjective ou les</w:t>
            </w:r>
          </w:p>
        </w:tc>
        <w:tc>
          <w:tcPr>
            <w:tcW w:w="760" w:type="dxa"/>
            <w:gridSpan w:val="2"/>
            <w:vMerge/>
            <w:tcBorders>
              <w:left w:val="single" w:sz="8" w:space="0" w:color="C95C96"/>
            </w:tcBorders>
            <w:vAlign w:val="bottom"/>
          </w:tcPr>
          <w:p w:rsidR="00AC12B4" w:rsidRDefault="00AC12B4">
            <w:pPr>
              <w:rPr>
                <w:sz w:val="9"/>
                <w:szCs w:val="9"/>
              </w:rPr>
            </w:pPr>
          </w:p>
        </w:tc>
        <w:tc>
          <w:tcPr>
            <w:tcW w:w="920" w:type="dxa"/>
            <w:gridSpan w:val="2"/>
            <w:vMerge/>
            <w:vAlign w:val="bottom"/>
          </w:tcPr>
          <w:p w:rsidR="00AC12B4" w:rsidRDefault="00AC12B4">
            <w:pPr>
              <w:rPr>
                <w:sz w:val="9"/>
                <w:szCs w:val="9"/>
              </w:rPr>
            </w:pPr>
          </w:p>
        </w:tc>
        <w:tc>
          <w:tcPr>
            <w:tcW w:w="1080" w:type="dxa"/>
            <w:gridSpan w:val="4"/>
            <w:vMerge/>
            <w:tcBorders>
              <w:right w:val="single" w:sz="8" w:space="0" w:color="C95C96"/>
            </w:tcBorders>
            <w:vAlign w:val="bottom"/>
          </w:tcPr>
          <w:p w:rsidR="00AC12B4" w:rsidRDefault="00AC12B4">
            <w:pPr>
              <w:rPr>
                <w:sz w:val="9"/>
                <w:szCs w:val="9"/>
              </w:rPr>
            </w:pPr>
          </w:p>
        </w:tc>
        <w:tc>
          <w:tcPr>
            <w:tcW w:w="3500" w:type="dxa"/>
            <w:gridSpan w:val="4"/>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4"/>
        </w:trPr>
        <w:tc>
          <w:tcPr>
            <w:tcW w:w="3980" w:type="dxa"/>
            <w:gridSpan w:val="6"/>
            <w:vMerge/>
            <w:vAlign w:val="bottom"/>
          </w:tcPr>
          <w:p w:rsidR="00AC12B4" w:rsidRDefault="00AC12B4">
            <w:pPr>
              <w:rPr>
                <w:sz w:val="14"/>
                <w:szCs w:val="14"/>
              </w:rPr>
            </w:pPr>
          </w:p>
        </w:tc>
        <w:tc>
          <w:tcPr>
            <w:tcW w:w="1020" w:type="dxa"/>
            <w:gridSpan w:val="3"/>
            <w:vMerge w:val="restart"/>
            <w:tcBorders>
              <w:lef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0D0D0D"/>
                <w:sz w:val="20"/>
                <w:szCs w:val="20"/>
              </w:rPr>
              <w:t>général</w:t>
            </w:r>
          </w:p>
        </w:tc>
        <w:tc>
          <w:tcPr>
            <w:tcW w:w="660" w:type="dxa"/>
            <w:vMerge w:val="restart"/>
            <w:vAlign w:val="bottom"/>
          </w:tcPr>
          <w:p w:rsidR="00AC12B4" w:rsidRDefault="00C27636">
            <w:pPr>
              <w:ind w:right="95"/>
              <w:jc w:val="right"/>
              <w:rPr>
                <w:sz w:val="20"/>
                <w:szCs w:val="20"/>
              </w:rPr>
            </w:pPr>
            <w:r>
              <w:rPr>
                <w:rFonts w:ascii="Comic Sans MS" w:eastAsia="Comic Sans MS" w:hAnsi="Comic Sans MS" w:cs="Comic Sans MS"/>
                <w:color w:val="0D0D0D"/>
                <w:sz w:val="20"/>
                <w:szCs w:val="20"/>
              </w:rPr>
              <w:t>très</w:t>
            </w:r>
          </w:p>
        </w:tc>
        <w:tc>
          <w:tcPr>
            <w:tcW w:w="1080" w:type="dxa"/>
            <w:gridSpan w:val="4"/>
            <w:vMerge w:val="restart"/>
            <w:tcBorders>
              <w:right w:val="single" w:sz="8" w:space="0" w:color="C95C96"/>
            </w:tcBorders>
            <w:vAlign w:val="bottom"/>
          </w:tcPr>
          <w:p w:rsidR="00AC12B4" w:rsidRDefault="00C27636">
            <w:pPr>
              <w:ind w:right="80"/>
              <w:jc w:val="right"/>
              <w:rPr>
                <w:sz w:val="20"/>
                <w:szCs w:val="20"/>
              </w:rPr>
            </w:pPr>
            <w:r>
              <w:rPr>
                <w:rFonts w:ascii="Comic Sans MS" w:eastAsia="Comic Sans MS" w:hAnsi="Comic Sans MS" w:cs="Comic Sans MS"/>
                <w:color w:val="C0504D"/>
                <w:w w:val="97"/>
                <w:sz w:val="20"/>
                <w:szCs w:val="20"/>
              </w:rPr>
              <w:t>satisfaits</w:t>
            </w:r>
          </w:p>
        </w:tc>
        <w:tc>
          <w:tcPr>
            <w:tcW w:w="3500" w:type="dxa"/>
            <w:gridSpan w:val="4"/>
            <w:vMerge w:val="restart"/>
            <w:vAlign w:val="bottom"/>
          </w:tcPr>
          <w:p w:rsidR="00AC12B4" w:rsidRDefault="00C27636">
            <w:pPr>
              <w:spacing w:line="220" w:lineRule="exact"/>
              <w:ind w:right="240"/>
              <w:jc w:val="right"/>
              <w:rPr>
                <w:sz w:val="20"/>
                <w:szCs w:val="20"/>
              </w:rPr>
            </w:pPr>
            <w:r>
              <w:rPr>
                <w:rFonts w:ascii="Calibri" w:eastAsia="Calibri" w:hAnsi="Calibri" w:cs="Calibri"/>
              </w:rPr>
              <w:t>et parmi les jeunes qui vivent</w:t>
            </w:r>
          </w:p>
        </w:tc>
        <w:tc>
          <w:tcPr>
            <w:tcW w:w="0" w:type="dxa"/>
            <w:vAlign w:val="bottom"/>
          </w:tcPr>
          <w:p w:rsidR="00AC12B4" w:rsidRDefault="00AC12B4">
            <w:pPr>
              <w:rPr>
                <w:sz w:val="1"/>
                <w:szCs w:val="1"/>
              </w:rPr>
            </w:pPr>
          </w:p>
        </w:tc>
      </w:tr>
      <w:tr w:rsidR="00AC12B4">
        <w:trPr>
          <w:trHeight w:val="55"/>
        </w:trPr>
        <w:tc>
          <w:tcPr>
            <w:tcW w:w="3420" w:type="dxa"/>
            <w:gridSpan w:val="5"/>
            <w:vMerge w:val="restart"/>
            <w:vAlign w:val="bottom"/>
          </w:tcPr>
          <w:p w:rsidR="00AC12B4" w:rsidRDefault="00C27636">
            <w:pPr>
              <w:spacing w:line="267" w:lineRule="exact"/>
              <w:ind w:left="1440"/>
              <w:rPr>
                <w:sz w:val="20"/>
                <w:szCs w:val="20"/>
              </w:rPr>
            </w:pPr>
            <w:r>
              <w:rPr>
                <w:rFonts w:ascii="Calibri" w:eastAsia="Calibri" w:hAnsi="Calibri" w:cs="Calibri"/>
              </w:rPr>
              <w:t>perspec</w:t>
            </w:r>
            <w:r>
              <w:rPr>
                <w:rFonts w:ascii="Calibri" w:eastAsia="Calibri" w:hAnsi="Calibri" w:cs="Calibri"/>
              </w:rPr>
              <w:lastRenderedPageBreak/>
              <w:t>tives d’avenir.</w:t>
            </w:r>
          </w:p>
        </w:tc>
        <w:tc>
          <w:tcPr>
            <w:tcW w:w="560" w:type="dxa"/>
            <w:vAlign w:val="bottom"/>
          </w:tcPr>
          <w:p w:rsidR="00AC12B4" w:rsidRDefault="00AC12B4">
            <w:pPr>
              <w:rPr>
                <w:sz w:val="4"/>
                <w:szCs w:val="4"/>
              </w:rPr>
            </w:pPr>
          </w:p>
        </w:tc>
        <w:tc>
          <w:tcPr>
            <w:tcW w:w="1020" w:type="dxa"/>
            <w:gridSpan w:val="3"/>
            <w:vMerge/>
            <w:tcBorders>
              <w:left w:val="single" w:sz="8" w:space="0" w:color="C95C96"/>
            </w:tcBorders>
            <w:vAlign w:val="bottom"/>
          </w:tcPr>
          <w:p w:rsidR="00AC12B4" w:rsidRDefault="00AC12B4">
            <w:pPr>
              <w:rPr>
                <w:sz w:val="4"/>
                <w:szCs w:val="4"/>
              </w:rPr>
            </w:pPr>
          </w:p>
        </w:tc>
        <w:tc>
          <w:tcPr>
            <w:tcW w:w="660" w:type="dxa"/>
            <w:vMerge/>
            <w:vAlign w:val="bottom"/>
          </w:tcPr>
          <w:p w:rsidR="00AC12B4" w:rsidRDefault="00AC12B4">
            <w:pPr>
              <w:rPr>
                <w:sz w:val="4"/>
                <w:szCs w:val="4"/>
              </w:rPr>
            </w:pPr>
          </w:p>
        </w:tc>
        <w:tc>
          <w:tcPr>
            <w:tcW w:w="1080" w:type="dxa"/>
            <w:gridSpan w:val="4"/>
            <w:vMerge/>
            <w:tcBorders>
              <w:right w:val="single" w:sz="8" w:space="0" w:color="C95C96"/>
            </w:tcBorders>
            <w:vAlign w:val="bottom"/>
          </w:tcPr>
          <w:p w:rsidR="00AC12B4" w:rsidRDefault="00AC12B4">
            <w:pPr>
              <w:rPr>
                <w:sz w:val="4"/>
                <w:szCs w:val="4"/>
              </w:rPr>
            </w:pPr>
          </w:p>
        </w:tc>
        <w:tc>
          <w:tcPr>
            <w:tcW w:w="3500" w:type="dxa"/>
            <w:gridSpan w:val="4"/>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17"/>
        </w:trPr>
        <w:tc>
          <w:tcPr>
            <w:tcW w:w="3420" w:type="dxa"/>
            <w:gridSpan w:val="5"/>
            <w:vMerge/>
            <w:vAlign w:val="bottom"/>
          </w:tcPr>
          <w:p w:rsidR="00AC12B4" w:rsidRDefault="00AC12B4">
            <w:pPr>
              <w:rPr>
                <w:sz w:val="10"/>
                <w:szCs w:val="10"/>
              </w:rPr>
            </w:pPr>
          </w:p>
        </w:tc>
        <w:tc>
          <w:tcPr>
            <w:tcW w:w="560" w:type="dxa"/>
            <w:vAlign w:val="bottom"/>
          </w:tcPr>
          <w:p w:rsidR="00AC12B4" w:rsidRDefault="00AC12B4">
            <w:pPr>
              <w:rPr>
                <w:sz w:val="10"/>
                <w:szCs w:val="10"/>
              </w:rPr>
            </w:pPr>
          </w:p>
        </w:tc>
        <w:tc>
          <w:tcPr>
            <w:tcW w:w="1020" w:type="dxa"/>
            <w:gridSpan w:val="3"/>
            <w:vMerge/>
            <w:tcBorders>
              <w:left w:val="single" w:sz="8" w:space="0" w:color="C95C96"/>
            </w:tcBorders>
            <w:vAlign w:val="bottom"/>
          </w:tcPr>
          <w:p w:rsidR="00AC12B4" w:rsidRDefault="00AC12B4">
            <w:pPr>
              <w:rPr>
                <w:sz w:val="10"/>
                <w:szCs w:val="10"/>
              </w:rPr>
            </w:pPr>
          </w:p>
        </w:tc>
        <w:tc>
          <w:tcPr>
            <w:tcW w:w="660" w:type="dxa"/>
            <w:vMerge/>
            <w:vAlign w:val="bottom"/>
          </w:tcPr>
          <w:p w:rsidR="00AC12B4" w:rsidRDefault="00AC12B4">
            <w:pPr>
              <w:rPr>
                <w:sz w:val="10"/>
                <w:szCs w:val="10"/>
              </w:rPr>
            </w:pPr>
          </w:p>
        </w:tc>
        <w:tc>
          <w:tcPr>
            <w:tcW w:w="1080" w:type="dxa"/>
            <w:gridSpan w:val="4"/>
            <w:vMerge/>
            <w:tcBorders>
              <w:right w:val="single" w:sz="8" w:space="0" w:color="C95C96"/>
            </w:tcBorders>
            <w:vAlign w:val="bottom"/>
          </w:tcPr>
          <w:p w:rsidR="00AC12B4" w:rsidRDefault="00AC12B4">
            <w:pPr>
              <w:rPr>
                <w:sz w:val="10"/>
                <w:szCs w:val="10"/>
              </w:rPr>
            </w:pPr>
          </w:p>
        </w:tc>
        <w:tc>
          <w:tcPr>
            <w:tcW w:w="1200" w:type="dxa"/>
            <w:vMerge w:val="restart"/>
            <w:vAlign w:val="bottom"/>
          </w:tcPr>
          <w:p w:rsidR="00AC12B4" w:rsidRDefault="00C27636">
            <w:pPr>
              <w:ind w:left="160"/>
              <w:rPr>
                <w:sz w:val="20"/>
                <w:szCs w:val="20"/>
              </w:rPr>
            </w:pPr>
            <w:r>
              <w:rPr>
                <w:rFonts w:ascii="Calibri" w:eastAsia="Calibri" w:hAnsi="Calibri" w:cs="Calibri"/>
              </w:rPr>
              <w:t xml:space="preserve">avec </w:t>
            </w:r>
            <w:r>
              <w:rPr>
                <w:rFonts w:ascii="Calibri" w:eastAsia="Calibri" w:hAnsi="Calibri" w:cs="Calibri"/>
              </w:rPr>
              <w:lastRenderedPageBreak/>
              <w:t>leurs</w:t>
            </w:r>
          </w:p>
        </w:tc>
        <w:tc>
          <w:tcPr>
            <w:tcW w:w="2300" w:type="dxa"/>
            <w:gridSpan w:val="3"/>
            <w:vMerge w:val="restart"/>
            <w:vAlign w:val="bottom"/>
          </w:tcPr>
          <w:p w:rsidR="00AC12B4" w:rsidRDefault="00C27636">
            <w:pPr>
              <w:ind w:right="240"/>
              <w:jc w:val="right"/>
              <w:rPr>
                <w:sz w:val="20"/>
                <w:szCs w:val="20"/>
              </w:rPr>
            </w:pPr>
            <w:r>
              <w:rPr>
                <w:rFonts w:ascii="Calibri" w:eastAsia="Calibri" w:hAnsi="Calibri" w:cs="Calibri"/>
              </w:rPr>
              <w:lastRenderedPageBreak/>
              <w:t xml:space="preserve">deux </w:t>
            </w:r>
            <w:r>
              <w:rPr>
                <w:rFonts w:ascii="Calibri" w:eastAsia="Calibri" w:hAnsi="Calibri" w:cs="Calibri"/>
              </w:rPr>
              <w:lastRenderedPageBreak/>
              <w:t>parents. Cette</w:t>
            </w:r>
          </w:p>
        </w:tc>
        <w:tc>
          <w:tcPr>
            <w:tcW w:w="0" w:type="dxa"/>
            <w:vAlign w:val="bottom"/>
          </w:tcPr>
          <w:p w:rsidR="00AC12B4" w:rsidRDefault="00AC12B4">
            <w:pPr>
              <w:rPr>
                <w:sz w:val="1"/>
                <w:szCs w:val="1"/>
              </w:rPr>
            </w:pPr>
          </w:p>
        </w:tc>
      </w:tr>
      <w:tr w:rsidR="00AC12B4">
        <w:trPr>
          <w:trHeight w:val="94"/>
        </w:trPr>
        <w:tc>
          <w:tcPr>
            <w:tcW w:w="3420" w:type="dxa"/>
            <w:gridSpan w:val="5"/>
            <w:vMerge/>
            <w:vAlign w:val="bottom"/>
          </w:tcPr>
          <w:p w:rsidR="00AC12B4" w:rsidRDefault="00AC12B4">
            <w:pPr>
              <w:rPr>
                <w:sz w:val="8"/>
                <w:szCs w:val="8"/>
              </w:rPr>
            </w:pPr>
          </w:p>
        </w:tc>
        <w:tc>
          <w:tcPr>
            <w:tcW w:w="560" w:type="dxa"/>
            <w:vAlign w:val="bottom"/>
          </w:tcPr>
          <w:p w:rsidR="00AC12B4" w:rsidRDefault="00AC12B4">
            <w:pPr>
              <w:rPr>
                <w:sz w:val="8"/>
                <w:szCs w:val="8"/>
              </w:rPr>
            </w:pPr>
          </w:p>
        </w:tc>
        <w:tc>
          <w:tcPr>
            <w:tcW w:w="2760" w:type="dxa"/>
            <w:gridSpan w:val="8"/>
            <w:vMerge w:val="restart"/>
            <w:tcBorders>
              <w:left w:val="single" w:sz="8" w:space="0" w:color="C95C96"/>
              <w:righ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C0504D"/>
                <w:sz w:val="20"/>
                <w:szCs w:val="20"/>
              </w:rPr>
              <w:t xml:space="preserve">de leur vie </w:t>
            </w:r>
            <w:r>
              <w:rPr>
                <w:rFonts w:ascii="Comic Sans MS" w:eastAsia="Comic Sans MS" w:hAnsi="Comic Sans MS" w:cs="Comic Sans MS"/>
                <w:color w:val="C0504D"/>
                <w:sz w:val="20"/>
                <w:szCs w:val="20"/>
              </w:rPr>
              <w:lastRenderedPageBreak/>
              <w:t>(</w:t>
            </w:r>
            <w:r>
              <w:rPr>
                <w:rFonts w:ascii="Comic Sans MS" w:eastAsia="Comic Sans MS" w:hAnsi="Comic Sans MS" w:cs="Comic Sans MS"/>
                <w:color w:val="0D0D0D"/>
                <w:sz w:val="20"/>
                <w:szCs w:val="20"/>
              </w:rPr>
              <w:t>HBSC 2014)</w:t>
            </w:r>
          </w:p>
        </w:tc>
        <w:tc>
          <w:tcPr>
            <w:tcW w:w="1200" w:type="dxa"/>
            <w:vMerge/>
            <w:vAlign w:val="bottom"/>
          </w:tcPr>
          <w:p w:rsidR="00AC12B4" w:rsidRDefault="00AC12B4">
            <w:pPr>
              <w:rPr>
                <w:sz w:val="8"/>
                <w:szCs w:val="8"/>
              </w:rPr>
            </w:pPr>
          </w:p>
        </w:tc>
        <w:tc>
          <w:tcPr>
            <w:tcW w:w="2300" w:type="dxa"/>
            <w:gridSpan w:val="3"/>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58"/>
        </w:trPr>
        <w:tc>
          <w:tcPr>
            <w:tcW w:w="194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46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560" w:type="dxa"/>
            <w:vAlign w:val="bottom"/>
          </w:tcPr>
          <w:p w:rsidR="00AC12B4" w:rsidRDefault="00AC12B4">
            <w:pPr>
              <w:rPr>
                <w:sz w:val="5"/>
                <w:szCs w:val="5"/>
              </w:rPr>
            </w:pPr>
          </w:p>
        </w:tc>
        <w:tc>
          <w:tcPr>
            <w:tcW w:w="2760" w:type="dxa"/>
            <w:gridSpan w:val="8"/>
            <w:vMerge/>
            <w:tcBorders>
              <w:left w:val="single" w:sz="8" w:space="0" w:color="C95C96"/>
              <w:right w:val="single" w:sz="8" w:space="0" w:color="C95C96"/>
            </w:tcBorders>
            <w:vAlign w:val="bottom"/>
          </w:tcPr>
          <w:p w:rsidR="00AC12B4" w:rsidRDefault="00AC12B4">
            <w:pPr>
              <w:rPr>
                <w:sz w:val="5"/>
                <w:szCs w:val="5"/>
              </w:rPr>
            </w:pPr>
          </w:p>
        </w:tc>
        <w:tc>
          <w:tcPr>
            <w:tcW w:w="1200" w:type="dxa"/>
            <w:vMerge/>
            <w:vAlign w:val="bottom"/>
          </w:tcPr>
          <w:p w:rsidR="00AC12B4" w:rsidRDefault="00AC12B4">
            <w:pPr>
              <w:rPr>
                <w:sz w:val="5"/>
                <w:szCs w:val="5"/>
              </w:rPr>
            </w:pPr>
          </w:p>
        </w:tc>
        <w:tc>
          <w:tcPr>
            <w:tcW w:w="2300" w:type="dxa"/>
            <w:gridSpan w:val="3"/>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26"/>
        </w:trPr>
        <w:tc>
          <w:tcPr>
            <w:tcW w:w="3980" w:type="dxa"/>
            <w:gridSpan w:val="6"/>
            <w:vMerge w:val="restart"/>
            <w:vAlign w:val="bottom"/>
          </w:tcPr>
          <w:p w:rsidR="00AC12B4" w:rsidRDefault="00C27636">
            <w:pPr>
              <w:ind w:left="1440"/>
              <w:rPr>
                <w:sz w:val="20"/>
                <w:szCs w:val="20"/>
              </w:rPr>
            </w:pPr>
            <w:r>
              <w:rPr>
                <w:rFonts w:ascii="Calibri" w:eastAsia="Calibri" w:hAnsi="Calibri" w:cs="Calibri"/>
              </w:rPr>
              <w:t>Près de 9 jeunes sur 10</w:t>
            </w:r>
          </w:p>
        </w:tc>
        <w:tc>
          <w:tcPr>
            <w:tcW w:w="2760" w:type="dxa"/>
            <w:gridSpan w:val="8"/>
            <w:vMerge/>
            <w:tcBorders>
              <w:left w:val="single" w:sz="8" w:space="0" w:color="C95C96"/>
              <w:right w:val="single" w:sz="8" w:space="0" w:color="C95C96"/>
            </w:tcBorders>
            <w:vAlign w:val="bottom"/>
          </w:tcPr>
          <w:p w:rsidR="00AC12B4" w:rsidRDefault="00AC12B4">
            <w:pPr>
              <w:rPr>
                <w:sz w:val="10"/>
                <w:szCs w:val="10"/>
              </w:rPr>
            </w:pPr>
          </w:p>
        </w:tc>
        <w:tc>
          <w:tcPr>
            <w:tcW w:w="3500" w:type="dxa"/>
            <w:gridSpan w:val="4"/>
            <w:vMerge w:val="restart"/>
            <w:vAlign w:val="bottom"/>
          </w:tcPr>
          <w:p w:rsidR="00AC12B4" w:rsidRDefault="00C27636">
            <w:pPr>
              <w:ind w:right="240"/>
              <w:jc w:val="right"/>
              <w:rPr>
                <w:sz w:val="20"/>
                <w:szCs w:val="20"/>
              </w:rPr>
            </w:pPr>
            <w:r>
              <w:rPr>
                <w:rFonts w:ascii="Calibri" w:eastAsia="Calibri" w:hAnsi="Calibri" w:cs="Calibri"/>
              </w:rPr>
              <w:t xml:space="preserve">proportion </w:t>
            </w:r>
            <w:r>
              <w:rPr>
                <w:rFonts w:ascii="Calibri" w:eastAsia="Calibri" w:hAnsi="Calibri" w:cs="Calibri"/>
              </w:rPr>
              <w:t>diminue au fur et à</w:t>
            </w:r>
          </w:p>
        </w:tc>
        <w:tc>
          <w:tcPr>
            <w:tcW w:w="0" w:type="dxa"/>
            <w:vAlign w:val="bottom"/>
          </w:tcPr>
          <w:p w:rsidR="00AC12B4" w:rsidRDefault="00AC12B4">
            <w:pPr>
              <w:rPr>
                <w:sz w:val="1"/>
                <w:szCs w:val="1"/>
              </w:rPr>
            </w:pPr>
          </w:p>
        </w:tc>
      </w:tr>
      <w:tr w:rsidR="00AC12B4">
        <w:trPr>
          <w:trHeight w:val="142"/>
        </w:trPr>
        <w:tc>
          <w:tcPr>
            <w:tcW w:w="3980" w:type="dxa"/>
            <w:gridSpan w:val="6"/>
            <w:vMerge/>
            <w:vAlign w:val="bottom"/>
          </w:tcPr>
          <w:p w:rsidR="00AC12B4" w:rsidRDefault="00AC12B4">
            <w:pPr>
              <w:rPr>
                <w:sz w:val="12"/>
                <w:szCs w:val="12"/>
              </w:rPr>
            </w:pPr>
          </w:p>
        </w:tc>
        <w:tc>
          <w:tcPr>
            <w:tcW w:w="380" w:type="dxa"/>
            <w:tcBorders>
              <w:left w:val="single" w:sz="8" w:space="0" w:color="C95C96"/>
            </w:tcBorders>
            <w:vAlign w:val="bottom"/>
          </w:tcPr>
          <w:p w:rsidR="00AC12B4" w:rsidRDefault="00AC12B4">
            <w:pPr>
              <w:rPr>
                <w:sz w:val="12"/>
                <w:szCs w:val="12"/>
              </w:rPr>
            </w:pPr>
          </w:p>
        </w:tc>
        <w:tc>
          <w:tcPr>
            <w:tcW w:w="380" w:type="dxa"/>
            <w:vAlign w:val="bottom"/>
          </w:tcPr>
          <w:p w:rsidR="00AC12B4" w:rsidRDefault="00AC12B4">
            <w:pPr>
              <w:rPr>
                <w:sz w:val="12"/>
                <w:szCs w:val="12"/>
              </w:rPr>
            </w:pPr>
          </w:p>
        </w:tc>
        <w:tc>
          <w:tcPr>
            <w:tcW w:w="260" w:type="dxa"/>
            <w:vAlign w:val="bottom"/>
          </w:tcPr>
          <w:p w:rsidR="00AC12B4" w:rsidRDefault="00AC12B4">
            <w:pPr>
              <w:rPr>
                <w:sz w:val="12"/>
                <w:szCs w:val="12"/>
              </w:rPr>
            </w:pPr>
          </w:p>
        </w:tc>
        <w:tc>
          <w:tcPr>
            <w:tcW w:w="660" w:type="dxa"/>
            <w:vAlign w:val="bottom"/>
          </w:tcPr>
          <w:p w:rsidR="00AC12B4" w:rsidRDefault="00AC12B4">
            <w:pPr>
              <w:rPr>
                <w:sz w:val="12"/>
                <w:szCs w:val="12"/>
              </w:rPr>
            </w:pPr>
          </w:p>
        </w:tc>
        <w:tc>
          <w:tcPr>
            <w:tcW w:w="38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300" w:type="dxa"/>
            <w:tcBorders>
              <w:right w:val="single" w:sz="8" w:space="0" w:color="C95C96"/>
            </w:tcBorders>
            <w:vAlign w:val="bottom"/>
          </w:tcPr>
          <w:p w:rsidR="00AC12B4" w:rsidRDefault="00AC12B4">
            <w:pPr>
              <w:rPr>
                <w:sz w:val="12"/>
                <w:szCs w:val="12"/>
              </w:rPr>
            </w:pPr>
          </w:p>
        </w:tc>
        <w:tc>
          <w:tcPr>
            <w:tcW w:w="3500" w:type="dxa"/>
            <w:gridSpan w:val="4"/>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74"/>
        </w:trPr>
        <w:tc>
          <w:tcPr>
            <w:tcW w:w="3980" w:type="dxa"/>
            <w:gridSpan w:val="6"/>
            <w:vMerge/>
            <w:vAlign w:val="bottom"/>
          </w:tcPr>
          <w:p w:rsidR="00AC12B4" w:rsidRDefault="00AC12B4">
            <w:pPr>
              <w:rPr>
                <w:sz w:val="6"/>
                <w:szCs w:val="6"/>
              </w:rPr>
            </w:pPr>
          </w:p>
        </w:tc>
        <w:tc>
          <w:tcPr>
            <w:tcW w:w="380" w:type="dxa"/>
            <w:tcBorders>
              <w:left w:val="single" w:sz="8" w:space="0" w:color="C95C96"/>
              <w:bottom w:val="single" w:sz="8" w:space="0" w:color="C95C96"/>
            </w:tcBorders>
            <w:vAlign w:val="bottom"/>
          </w:tcPr>
          <w:p w:rsidR="00AC12B4" w:rsidRDefault="00AC12B4">
            <w:pPr>
              <w:rPr>
                <w:sz w:val="6"/>
                <w:szCs w:val="6"/>
              </w:rPr>
            </w:pPr>
          </w:p>
        </w:tc>
        <w:tc>
          <w:tcPr>
            <w:tcW w:w="380" w:type="dxa"/>
            <w:tcBorders>
              <w:bottom w:val="single" w:sz="8" w:space="0" w:color="C95C96"/>
            </w:tcBorders>
            <w:vAlign w:val="bottom"/>
          </w:tcPr>
          <w:p w:rsidR="00AC12B4" w:rsidRDefault="00AC12B4">
            <w:pPr>
              <w:rPr>
                <w:sz w:val="6"/>
                <w:szCs w:val="6"/>
              </w:rPr>
            </w:pPr>
          </w:p>
        </w:tc>
        <w:tc>
          <w:tcPr>
            <w:tcW w:w="260" w:type="dxa"/>
            <w:tcBorders>
              <w:bottom w:val="single" w:sz="8" w:space="0" w:color="C95C96"/>
            </w:tcBorders>
            <w:vAlign w:val="bottom"/>
          </w:tcPr>
          <w:p w:rsidR="00AC12B4" w:rsidRDefault="00AC12B4">
            <w:pPr>
              <w:rPr>
                <w:sz w:val="6"/>
                <w:szCs w:val="6"/>
              </w:rPr>
            </w:pPr>
          </w:p>
        </w:tc>
        <w:tc>
          <w:tcPr>
            <w:tcW w:w="660" w:type="dxa"/>
            <w:tcBorders>
              <w:bottom w:val="single" w:sz="8" w:space="0" w:color="C95C96"/>
            </w:tcBorders>
            <w:vAlign w:val="bottom"/>
          </w:tcPr>
          <w:p w:rsidR="00AC12B4" w:rsidRDefault="00AC12B4">
            <w:pPr>
              <w:rPr>
                <w:sz w:val="6"/>
                <w:szCs w:val="6"/>
              </w:rPr>
            </w:pPr>
          </w:p>
        </w:tc>
        <w:tc>
          <w:tcPr>
            <w:tcW w:w="380" w:type="dxa"/>
            <w:tcBorders>
              <w:bottom w:val="single" w:sz="8" w:space="0" w:color="C95C96"/>
            </w:tcBorders>
            <w:vAlign w:val="bottom"/>
          </w:tcPr>
          <w:p w:rsidR="00AC12B4" w:rsidRDefault="00AC12B4">
            <w:pPr>
              <w:rPr>
                <w:sz w:val="6"/>
                <w:szCs w:val="6"/>
              </w:rPr>
            </w:pPr>
          </w:p>
        </w:tc>
        <w:tc>
          <w:tcPr>
            <w:tcW w:w="300" w:type="dxa"/>
            <w:tcBorders>
              <w:bottom w:val="single" w:sz="8" w:space="0" w:color="C95C96"/>
            </w:tcBorders>
            <w:vAlign w:val="bottom"/>
          </w:tcPr>
          <w:p w:rsidR="00AC12B4" w:rsidRDefault="00AC12B4">
            <w:pPr>
              <w:rPr>
                <w:sz w:val="6"/>
                <w:szCs w:val="6"/>
              </w:rPr>
            </w:pPr>
          </w:p>
        </w:tc>
        <w:tc>
          <w:tcPr>
            <w:tcW w:w="100" w:type="dxa"/>
            <w:tcBorders>
              <w:bottom w:val="single" w:sz="8" w:space="0" w:color="C95C96"/>
            </w:tcBorders>
            <w:vAlign w:val="bottom"/>
          </w:tcPr>
          <w:p w:rsidR="00AC12B4" w:rsidRDefault="00AC12B4">
            <w:pPr>
              <w:rPr>
                <w:sz w:val="6"/>
                <w:szCs w:val="6"/>
              </w:rPr>
            </w:pPr>
          </w:p>
        </w:tc>
        <w:tc>
          <w:tcPr>
            <w:tcW w:w="300" w:type="dxa"/>
            <w:tcBorders>
              <w:bottom w:val="single" w:sz="8" w:space="0" w:color="C95C96"/>
              <w:right w:val="single" w:sz="8" w:space="0" w:color="C95C96"/>
            </w:tcBorders>
            <w:vAlign w:val="bottom"/>
          </w:tcPr>
          <w:p w:rsidR="00AC12B4" w:rsidRDefault="00AC12B4">
            <w:pPr>
              <w:rPr>
                <w:sz w:val="6"/>
                <w:szCs w:val="6"/>
              </w:rPr>
            </w:pPr>
          </w:p>
        </w:tc>
        <w:tc>
          <w:tcPr>
            <w:tcW w:w="3500" w:type="dxa"/>
            <w:gridSpan w:val="4"/>
            <w:vMerge w:val="restart"/>
            <w:vAlign w:val="bottom"/>
          </w:tcPr>
          <w:p w:rsidR="00AC12B4" w:rsidRDefault="00C27636">
            <w:pPr>
              <w:spacing w:line="267" w:lineRule="exact"/>
              <w:ind w:right="240"/>
              <w:jc w:val="right"/>
              <w:rPr>
                <w:sz w:val="20"/>
                <w:szCs w:val="20"/>
              </w:rPr>
            </w:pPr>
            <w:r>
              <w:rPr>
                <w:rFonts w:ascii="Calibri" w:eastAsia="Calibri" w:hAnsi="Calibri" w:cs="Calibri"/>
              </w:rPr>
              <w:t>mesure que le niveau d'aisance</w:t>
            </w:r>
          </w:p>
        </w:tc>
        <w:tc>
          <w:tcPr>
            <w:tcW w:w="0" w:type="dxa"/>
            <w:vAlign w:val="bottom"/>
          </w:tcPr>
          <w:p w:rsidR="00AC12B4" w:rsidRDefault="00AC12B4">
            <w:pPr>
              <w:rPr>
                <w:sz w:val="1"/>
                <w:szCs w:val="1"/>
              </w:rPr>
            </w:pPr>
          </w:p>
        </w:tc>
      </w:tr>
      <w:tr w:rsidR="00AC12B4">
        <w:trPr>
          <w:trHeight w:val="173"/>
        </w:trPr>
        <w:tc>
          <w:tcPr>
            <w:tcW w:w="2280" w:type="dxa"/>
            <w:gridSpan w:val="2"/>
            <w:vMerge w:val="restart"/>
            <w:vAlign w:val="bottom"/>
          </w:tcPr>
          <w:p w:rsidR="00AC12B4" w:rsidRDefault="00C27636">
            <w:pPr>
              <w:spacing w:line="222" w:lineRule="exact"/>
              <w:ind w:left="1440"/>
              <w:rPr>
                <w:sz w:val="20"/>
                <w:szCs w:val="20"/>
              </w:rPr>
            </w:pPr>
            <w:r>
              <w:rPr>
                <w:rFonts w:ascii="Calibri" w:eastAsia="Calibri" w:hAnsi="Calibri" w:cs="Calibri"/>
              </w:rPr>
              <w:t>(86,6%)</w:t>
            </w:r>
          </w:p>
        </w:tc>
        <w:tc>
          <w:tcPr>
            <w:tcW w:w="1700" w:type="dxa"/>
            <w:gridSpan w:val="4"/>
            <w:vMerge w:val="restart"/>
            <w:vAlign w:val="bottom"/>
          </w:tcPr>
          <w:p w:rsidR="00AC12B4" w:rsidRDefault="00C27636">
            <w:pPr>
              <w:spacing w:line="222" w:lineRule="exact"/>
              <w:ind w:right="290"/>
              <w:jc w:val="right"/>
              <w:rPr>
                <w:sz w:val="20"/>
                <w:szCs w:val="20"/>
              </w:rPr>
            </w:pPr>
            <w:r>
              <w:rPr>
                <w:rFonts w:ascii="Calibri" w:eastAsia="Calibri" w:hAnsi="Calibri" w:cs="Calibri"/>
              </w:rPr>
              <w:t>rapportent</w:t>
            </w:r>
          </w:p>
        </w:tc>
        <w:tc>
          <w:tcPr>
            <w:tcW w:w="380" w:type="dxa"/>
            <w:vAlign w:val="bottom"/>
          </w:tcPr>
          <w:p w:rsidR="00AC12B4" w:rsidRDefault="00AC12B4">
            <w:pPr>
              <w:rPr>
                <w:sz w:val="15"/>
                <w:szCs w:val="15"/>
              </w:rPr>
            </w:pPr>
          </w:p>
        </w:tc>
        <w:tc>
          <w:tcPr>
            <w:tcW w:w="38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660" w:type="dxa"/>
            <w:vAlign w:val="bottom"/>
          </w:tcPr>
          <w:p w:rsidR="00AC12B4" w:rsidRDefault="00AC12B4">
            <w:pPr>
              <w:rPr>
                <w:sz w:val="15"/>
                <w:szCs w:val="15"/>
              </w:rPr>
            </w:pPr>
          </w:p>
        </w:tc>
        <w:tc>
          <w:tcPr>
            <w:tcW w:w="380" w:type="dxa"/>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3500" w:type="dxa"/>
            <w:gridSpan w:val="4"/>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49"/>
        </w:trPr>
        <w:tc>
          <w:tcPr>
            <w:tcW w:w="2280" w:type="dxa"/>
            <w:gridSpan w:val="2"/>
            <w:vMerge/>
            <w:vAlign w:val="bottom"/>
          </w:tcPr>
          <w:p w:rsidR="00AC12B4" w:rsidRDefault="00AC12B4">
            <w:pPr>
              <w:rPr>
                <w:sz w:val="4"/>
                <w:szCs w:val="4"/>
              </w:rPr>
            </w:pPr>
          </w:p>
        </w:tc>
        <w:tc>
          <w:tcPr>
            <w:tcW w:w="1700" w:type="dxa"/>
            <w:gridSpan w:val="4"/>
            <w:vMerge/>
            <w:vAlign w:val="bottom"/>
          </w:tcPr>
          <w:p w:rsidR="00AC12B4" w:rsidRDefault="00AC12B4">
            <w:pPr>
              <w:rPr>
                <w:sz w:val="4"/>
                <w:szCs w:val="4"/>
              </w:rPr>
            </w:pPr>
          </w:p>
        </w:tc>
        <w:tc>
          <w:tcPr>
            <w:tcW w:w="38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260" w:type="dxa"/>
            <w:vAlign w:val="bottom"/>
          </w:tcPr>
          <w:p w:rsidR="00AC12B4" w:rsidRDefault="00AC12B4">
            <w:pPr>
              <w:rPr>
                <w:sz w:val="4"/>
                <w:szCs w:val="4"/>
              </w:rPr>
            </w:pPr>
          </w:p>
        </w:tc>
        <w:tc>
          <w:tcPr>
            <w:tcW w:w="66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1200" w:type="dxa"/>
            <w:vAlign w:val="bottom"/>
          </w:tcPr>
          <w:p w:rsidR="00AC12B4" w:rsidRDefault="00AC12B4">
            <w:pPr>
              <w:rPr>
                <w:sz w:val="4"/>
                <w:szCs w:val="4"/>
              </w:rPr>
            </w:pPr>
          </w:p>
        </w:tc>
        <w:tc>
          <w:tcPr>
            <w:tcW w:w="26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940" w:type="dxa"/>
            <w:vAlign w:val="bottom"/>
          </w:tcPr>
          <w:p w:rsidR="00AC12B4" w:rsidRDefault="00AC12B4">
            <w:pPr>
              <w:rPr>
                <w:sz w:val="4"/>
                <w:szCs w:val="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389440" behindDoc="1" locked="0" layoutInCell="0" allowOverlap="1">
            <wp:simplePos x="0" y="0"/>
            <wp:positionH relativeFrom="column">
              <wp:posOffset>4491990</wp:posOffset>
            </wp:positionH>
            <wp:positionV relativeFrom="paragraph">
              <wp:posOffset>-5681345</wp:posOffset>
            </wp:positionV>
            <wp:extent cx="1315720" cy="131318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blip>
                    <a:srcRect/>
                    <a:stretch>
                      <a:fillRect/>
                    </a:stretch>
                  </pic:blipFill>
                  <pic:spPr bwMode="auto">
                    <a:xfrm>
                      <a:off x="0" y="0"/>
                      <a:ext cx="1315720" cy="1313180"/>
                    </a:xfrm>
                    <a:prstGeom prst="rect">
                      <a:avLst/>
                    </a:prstGeom>
                    <a:noFill/>
                  </pic:spPr>
                </pic:pic>
              </a:graphicData>
            </a:graphic>
          </wp:anchor>
        </w:drawing>
      </w:r>
    </w:p>
    <w:tbl>
      <w:tblPr>
        <w:tblW w:w="0" w:type="auto"/>
        <w:tblInd w:w="1440" w:type="dxa"/>
        <w:tblLayout w:type="fixed"/>
        <w:tblCellMar>
          <w:left w:w="0" w:type="dxa"/>
          <w:right w:w="0" w:type="dxa"/>
        </w:tblCellMar>
        <w:tblLook w:val="04A0" w:firstRow="1" w:lastRow="0" w:firstColumn="1" w:lastColumn="0" w:noHBand="0" w:noVBand="1"/>
      </w:tblPr>
      <w:tblGrid>
        <w:gridCol w:w="4240"/>
        <w:gridCol w:w="4220"/>
        <w:gridCol w:w="20"/>
      </w:tblGrid>
      <w:tr w:rsidR="00AC12B4">
        <w:trPr>
          <w:trHeight w:val="220"/>
        </w:trPr>
        <w:tc>
          <w:tcPr>
            <w:tcW w:w="4240" w:type="dxa"/>
            <w:vMerge w:val="restart"/>
            <w:vAlign w:val="bottom"/>
          </w:tcPr>
          <w:p w:rsidR="00AC12B4" w:rsidRDefault="00C27636">
            <w:pPr>
              <w:rPr>
                <w:sz w:val="20"/>
                <w:szCs w:val="20"/>
              </w:rPr>
            </w:pPr>
            <w:r>
              <w:rPr>
                <w:rFonts w:ascii="Calibri" w:eastAsia="Calibri" w:hAnsi="Calibri" w:cs="Calibri"/>
              </w:rPr>
              <w:t>qu'ils sont très satisfaits de leur vie.</w:t>
            </w:r>
          </w:p>
        </w:tc>
        <w:tc>
          <w:tcPr>
            <w:tcW w:w="4220" w:type="dxa"/>
            <w:vAlign w:val="bottom"/>
          </w:tcPr>
          <w:p w:rsidR="00AC12B4" w:rsidRDefault="00C27636">
            <w:pPr>
              <w:spacing w:line="220" w:lineRule="exact"/>
              <w:ind w:left="360"/>
              <w:rPr>
                <w:sz w:val="20"/>
                <w:szCs w:val="20"/>
              </w:rPr>
            </w:pPr>
            <w:r>
              <w:rPr>
                <w:rFonts w:ascii="Calibri" w:eastAsia="Calibri" w:hAnsi="Calibri" w:cs="Calibri"/>
              </w:rPr>
              <w:t>matérielle de la famille diminue et lorsque</w:t>
            </w:r>
          </w:p>
        </w:tc>
        <w:tc>
          <w:tcPr>
            <w:tcW w:w="0" w:type="dxa"/>
            <w:vAlign w:val="bottom"/>
          </w:tcPr>
          <w:p w:rsidR="00AC12B4" w:rsidRDefault="00AC12B4">
            <w:pPr>
              <w:rPr>
                <w:sz w:val="1"/>
                <w:szCs w:val="1"/>
              </w:rPr>
            </w:pPr>
          </w:p>
        </w:tc>
      </w:tr>
      <w:tr w:rsidR="00AC12B4">
        <w:trPr>
          <w:trHeight w:val="65"/>
        </w:trPr>
        <w:tc>
          <w:tcPr>
            <w:tcW w:w="4240" w:type="dxa"/>
            <w:vMerge/>
            <w:vAlign w:val="bottom"/>
          </w:tcPr>
          <w:p w:rsidR="00AC12B4" w:rsidRDefault="00AC12B4">
            <w:pPr>
              <w:rPr>
                <w:sz w:val="5"/>
                <w:szCs w:val="5"/>
              </w:rPr>
            </w:pPr>
          </w:p>
        </w:tc>
        <w:tc>
          <w:tcPr>
            <w:tcW w:w="4220" w:type="dxa"/>
            <w:vMerge w:val="restart"/>
            <w:vAlign w:val="bottom"/>
          </w:tcPr>
          <w:p w:rsidR="00AC12B4" w:rsidRDefault="00C27636">
            <w:pPr>
              <w:ind w:left="360"/>
              <w:rPr>
                <w:sz w:val="20"/>
                <w:szCs w:val="20"/>
              </w:rPr>
            </w:pPr>
            <w:r>
              <w:rPr>
                <w:rFonts w:ascii="Calibri" w:eastAsia="Calibri" w:hAnsi="Calibri" w:cs="Calibri"/>
              </w:rPr>
              <w:t>l'âge augmente.</w:t>
            </w:r>
          </w:p>
        </w:tc>
        <w:tc>
          <w:tcPr>
            <w:tcW w:w="0" w:type="dxa"/>
            <w:vAlign w:val="bottom"/>
          </w:tcPr>
          <w:p w:rsidR="00AC12B4" w:rsidRDefault="00AC12B4">
            <w:pPr>
              <w:rPr>
                <w:sz w:val="1"/>
                <w:szCs w:val="1"/>
              </w:rPr>
            </w:pPr>
          </w:p>
        </w:tc>
      </w:tr>
      <w:tr w:rsidR="00AC12B4">
        <w:trPr>
          <w:trHeight w:val="204"/>
        </w:trPr>
        <w:tc>
          <w:tcPr>
            <w:tcW w:w="4240" w:type="dxa"/>
            <w:vMerge w:val="restart"/>
            <w:vAlign w:val="bottom"/>
          </w:tcPr>
          <w:p w:rsidR="00AC12B4" w:rsidRDefault="00C27636">
            <w:pPr>
              <w:rPr>
                <w:sz w:val="20"/>
                <w:szCs w:val="20"/>
              </w:rPr>
            </w:pPr>
            <w:r>
              <w:rPr>
                <w:rFonts w:ascii="Calibri" w:eastAsia="Calibri" w:hAnsi="Calibri" w:cs="Calibri"/>
              </w:rPr>
              <w:t xml:space="preserve">En  Fédération  </w:t>
            </w:r>
            <w:r>
              <w:rPr>
                <w:rFonts w:ascii="Calibri" w:eastAsia="Calibri" w:hAnsi="Calibri" w:cs="Calibri"/>
              </w:rPr>
              <w:t>Wallonie-Bruxelles</w:t>
            </w:r>
            <w:r>
              <w:rPr>
                <w:rFonts w:ascii="Calibri" w:eastAsia="Calibri" w:hAnsi="Calibri" w:cs="Calibri"/>
                <w:sz w:val="27"/>
                <w:szCs w:val="27"/>
                <w:vertAlign w:val="superscript"/>
              </w:rPr>
              <w:t>1</w:t>
            </w:r>
            <w:r>
              <w:rPr>
                <w:rFonts w:ascii="Calibri" w:eastAsia="Calibri" w:hAnsi="Calibri" w:cs="Calibri"/>
              </w:rPr>
              <w:t>,  trois</w:t>
            </w:r>
          </w:p>
        </w:tc>
        <w:tc>
          <w:tcPr>
            <w:tcW w:w="4220" w:type="dxa"/>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221"/>
        </w:trPr>
        <w:tc>
          <w:tcPr>
            <w:tcW w:w="4240" w:type="dxa"/>
            <w:vMerge/>
            <w:vAlign w:val="bottom"/>
          </w:tcPr>
          <w:p w:rsidR="00AC12B4" w:rsidRDefault="00AC12B4">
            <w:pPr>
              <w:rPr>
                <w:sz w:val="19"/>
                <w:szCs w:val="19"/>
              </w:rPr>
            </w:pPr>
          </w:p>
        </w:tc>
        <w:tc>
          <w:tcPr>
            <w:tcW w:w="4220" w:type="dxa"/>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34"/>
        </w:trPr>
        <w:tc>
          <w:tcPr>
            <w:tcW w:w="4240" w:type="dxa"/>
            <w:vAlign w:val="bottom"/>
          </w:tcPr>
          <w:p w:rsidR="00AC12B4" w:rsidRDefault="00C27636">
            <w:pPr>
              <w:spacing w:line="233" w:lineRule="exact"/>
              <w:rPr>
                <w:sz w:val="20"/>
                <w:szCs w:val="20"/>
              </w:rPr>
            </w:pPr>
            <w:r>
              <w:rPr>
                <w:rFonts w:ascii="Calibri" w:eastAsia="Calibri" w:hAnsi="Calibri" w:cs="Calibri"/>
              </w:rPr>
              <w:t>jeunes sur quatre (76,1%) rapportent qu'ils</w:t>
            </w:r>
          </w:p>
        </w:tc>
        <w:tc>
          <w:tcPr>
            <w:tcW w:w="422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69"/>
        </w:trPr>
        <w:tc>
          <w:tcPr>
            <w:tcW w:w="4240" w:type="dxa"/>
            <w:vAlign w:val="bottom"/>
          </w:tcPr>
          <w:p w:rsidR="00AC12B4" w:rsidRDefault="00C27636">
            <w:pPr>
              <w:rPr>
                <w:sz w:val="20"/>
                <w:szCs w:val="20"/>
              </w:rPr>
            </w:pPr>
            <w:r>
              <w:rPr>
                <w:rFonts w:ascii="Calibri" w:eastAsia="Calibri" w:hAnsi="Calibri" w:cs="Calibri"/>
              </w:rPr>
              <w:t>se sentent heureux ou très heureux et une</w:t>
            </w:r>
          </w:p>
        </w:tc>
        <w:tc>
          <w:tcPr>
            <w:tcW w:w="422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4240" w:type="dxa"/>
            <w:vAlign w:val="bottom"/>
          </w:tcPr>
          <w:p w:rsidR="00AC12B4" w:rsidRDefault="00C27636">
            <w:pPr>
              <w:rPr>
                <w:sz w:val="20"/>
                <w:szCs w:val="20"/>
              </w:rPr>
            </w:pPr>
            <w:r>
              <w:rPr>
                <w:rFonts w:ascii="Calibri" w:eastAsia="Calibri" w:hAnsi="Calibri" w:cs="Calibri"/>
              </w:rPr>
              <w:t>faible minorité (3,7%) rapporte qu'ils ne se</w:t>
            </w:r>
          </w:p>
        </w:tc>
        <w:tc>
          <w:tcPr>
            <w:tcW w:w="422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4240" w:type="dxa"/>
            <w:vAlign w:val="bottom"/>
          </w:tcPr>
          <w:p w:rsidR="00AC12B4" w:rsidRDefault="00C27636">
            <w:pPr>
              <w:rPr>
                <w:sz w:val="20"/>
                <w:szCs w:val="20"/>
              </w:rPr>
            </w:pPr>
            <w:r>
              <w:rPr>
                <w:rFonts w:ascii="Calibri" w:eastAsia="Calibri" w:hAnsi="Calibri" w:cs="Calibri"/>
              </w:rPr>
              <w:lastRenderedPageBreak/>
              <w:t>sentent pas heureux du tout.</w:t>
            </w:r>
          </w:p>
        </w:tc>
        <w:tc>
          <w:tcPr>
            <w:tcW w:w="4220" w:type="dxa"/>
            <w:vAlign w:val="bottom"/>
          </w:tcPr>
          <w:p w:rsidR="00AC12B4" w:rsidRDefault="00AC12B4">
            <w:pPr>
              <w:rPr>
                <w:sz w:val="23"/>
                <w:szCs w:val="23"/>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390464" behindDoc="1" locked="0" layoutInCell="0" allowOverlap="1">
                <wp:simplePos x="0" y="0"/>
                <wp:positionH relativeFrom="column">
                  <wp:posOffset>918210</wp:posOffset>
                </wp:positionH>
                <wp:positionV relativeFrom="paragraph">
                  <wp:posOffset>812800</wp:posOffset>
                </wp:positionV>
                <wp:extent cx="1829435" cy="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3pt,64pt" to="216.35pt,64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52" w:lineRule="exact"/>
        <w:rPr>
          <w:sz w:val="20"/>
          <w:szCs w:val="20"/>
        </w:rPr>
      </w:pPr>
    </w:p>
    <w:p w:rsidR="00AC12B4" w:rsidRDefault="00C27636">
      <w:pPr>
        <w:ind w:left="1440"/>
        <w:rPr>
          <w:sz w:val="20"/>
          <w:szCs w:val="20"/>
        </w:rPr>
      </w:pPr>
      <w:r>
        <w:rPr>
          <w:rFonts w:ascii="Calibri" w:eastAsia="Calibri" w:hAnsi="Calibri" w:cs="Calibri"/>
          <w:sz w:val="25"/>
          <w:szCs w:val="25"/>
          <w:vertAlign w:val="superscript"/>
        </w:rPr>
        <w:t>1</w:t>
      </w:r>
      <w:r>
        <w:rPr>
          <w:rFonts w:ascii="Calibri" w:eastAsia="Calibri" w:hAnsi="Calibri" w:cs="Calibri"/>
          <w:sz w:val="20"/>
          <w:szCs w:val="20"/>
        </w:rPr>
        <w:t xml:space="preserve">  Cette question n’est pas reprise dans le</w:t>
      </w:r>
    </w:p>
    <w:p w:rsidR="00AC12B4" w:rsidRDefault="00C27636">
      <w:pPr>
        <w:spacing w:line="212" w:lineRule="auto"/>
        <w:ind w:left="1440"/>
        <w:rPr>
          <w:sz w:val="20"/>
          <w:szCs w:val="20"/>
        </w:rPr>
      </w:pPr>
      <w:r>
        <w:rPr>
          <w:rFonts w:ascii="Calibri" w:eastAsia="Calibri" w:hAnsi="Calibri" w:cs="Calibri"/>
          <w:sz w:val="20"/>
          <w:szCs w:val="20"/>
        </w:rPr>
        <w:t>versant flamand de l’enquête HBSC</w:t>
      </w:r>
    </w:p>
    <w:p w:rsidR="00AC12B4" w:rsidRDefault="00AC12B4">
      <w:pPr>
        <w:spacing w:line="242" w:lineRule="exact"/>
        <w:rPr>
          <w:sz w:val="20"/>
          <w:szCs w:val="20"/>
        </w:rPr>
      </w:pPr>
    </w:p>
    <w:p w:rsidR="00AC12B4" w:rsidRDefault="00C27636">
      <w:pPr>
        <w:ind w:left="5560"/>
        <w:rPr>
          <w:sz w:val="20"/>
          <w:szCs w:val="20"/>
        </w:rPr>
      </w:pPr>
      <w:r>
        <w:rPr>
          <w:rFonts w:ascii="Calibri" w:eastAsia="Calibri" w:hAnsi="Calibri" w:cs="Calibri"/>
        </w:rPr>
        <w:t>47</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trPr>
          <w:trHeight w:val="4100"/>
        </w:trPr>
        <w:tc>
          <w:tcPr>
            <w:tcW w:w="330" w:type="dxa"/>
            <w:textDirection w:val="btLr"/>
            <w:vAlign w:val="bottom"/>
          </w:tcPr>
          <w:p w:rsidR="00AC12B4" w:rsidRDefault="00C27636">
            <w:pPr>
              <w:rPr>
                <w:sz w:val="20"/>
                <w:szCs w:val="20"/>
              </w:rPr>
            </w:pPr>
            <w:r>
              <w:rPr>
                <w:rFonts w:ascii="Calibri" w:eastAsia="Calibri" w:hAnsi="Calibri" w:cs="Calibri"/>
                <w:b/>
                <w:bCs/>
                <w:i/>
                <w:iCs/>
                <w:color w:val="F2F2F2"/>
                <w:sz w:val="27"/>
                <w:szCs w:val="27"/>
              </w:rPr>
              <w:lastRenderedPageBreak/>
              <w:t>Le droit de poursuivre son bien -être</w:t>
            </w: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391488" behindDoc="1" locked="0" layoutInCell="0" allowOverlap="1">
                <wp:simplePos x="0" y="0"/>
                <wp:positionH relativeFrom="column">
                  <wp:posOffset>-220980</wp:posOffset>
                </wp:positionH>
                <wp:positionV relativeFrom="paragraph">
                  <wp:posOffset>-9943465</wp:posOffset>
                </wp:positionV>
                <wp:extent cx="734060" cy="10906760"/>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43" o:spid="_x0000_s1068" style="position:absolute;margin-left:-17.3999pt;margin-top:-782.9499pt;width:57.8pt;height:85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p>
    <w:p w:rsidR="00AC12B4" w:rsidRDefault="00AC12B4">
      <w:pPr>
        <w:sectPr w:rsidR="00AC12B4">
          <w:pgSz w:w="12080" w:h="17179"/>
          <w:pgMar w:top="1440" w:right="479" w:bottom="659" w:left="560" w:header="0" w:footer="0" w:gutter="0"/>
          <w:cols w:num="2" w:space="720" w:equalWidth="0">
            <w:col w:w="10220" w:space="488"/>
            <w:col w:w="330"/>
          </w:cols>
        </w:sectPr>
      </w:pPr>
    </w:p>
    <w:bookmarkStart w:id="47" w:name="page48"/>
    <w:bookmarkEnd w:id="47"/>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392512" behindDoc="1" locked="0" layoutInCell="0" allowOverlap="1">
                <wp:simplePos x="0" y="0"/>
                <wp:positionH relativeFrom="page">
                  <wp:posOffset>0</wp:posOffset>
                </wp:positionH>
                <wp:positionV relativeFrom="page">
                  <wp:posOffset>0</wp:posOffset>
                </wp:positionV>
                <wp:extent cx="727075" cy="10905490"/>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7075" cy="10905490"/>
                        </a:xfrm>
                        <a:prstGeom prst="rect">
                          <a:avLst/>
                        </a:prstGeom>
                        <a:solidFill>
                          <a:srgbClr val="C95C96"/>
                        </a:solidFill>
                      </wps:spPr>
                      <wps:bodyPr/>
                    </wps:wsp>
                  </a:graphicData>
                </a:graphic>
              </wp:anchor>
            </w:drawing>
          </mc:Choice>
          <mc:Fallback>
            <w:pict>
              <v:rect id="Shape 44" o:spid="_x0000_s1069" style="position:absolute;margin-left:0pt;margin-top:0pt;width:57.25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AC12B4">
      <w:pPr>
        <w:spacing w:line="351" w:lineRule="exact"/>
        <w:rPr>
          <w:sz w:val="20"/>
          <w:szCs w:val="20"/>
        </w:rPr>
      </w:pPr>
    </w:p>
    <w:tbl>
      <w:tblPr>
        <w:tblW w:w="0" w:type="auto"/>
        <w:tblInd w:w="950" w:type="dxa"/>
        <w:tblLayout w:type="fixed"/>
        <w:tblCellMar>
          <w:left w:w="0" w:type="dxa"/>
          <w:right w:w="0" w:type="dxa"/>
        </w:tblCellMar>
        <w:tblLook w:val="04A0" w:firstRow="1" w:lastRow="0" w:firstColumn="1" w:lastColumn="0" w:noHBand="0" w:noVBand="1"/>
      </w:tblPr>
      <w:tblGrid>
        <w:gridCol w:w="1260"/>
        <w:gridCol w:w="1000"/>
        <w:gridCol w:w="960"/>
        <w:gridCol w:w="780"/>
      </w:tblGrid>
      <w:tr w:rsidR="00AC12B4">
        <w:trPr>
          <w:trHeight w:val="269"/>
        </w:trPr>
        <w:tc>
          <w:tcPr>
            <w:tcW w:w="1260" w:type="dxa"/>
            <w:vAlign w:val="bottom"/>
          </w:tcPr>
          <w:p w:rsidR="00AC12B4" w:rsidRDefault="00AC12B4">
            <w:pPr>
              <w:rPr>
                <w:sz w:val="23"/>
                <w:szCs w:val="23"/>
              </w:rPr>
            </w:pPr>
          </w:p>
        </w:tc>
        <w:tc>
          <w:tcPr>
            <w:tcW w:w="1000" w:type="dxa"/>
            <w:vAlign w:val="bottom"/>
          </w:tcPr>
          <w:p w:rsidR="00AC12B4" w:rsidRDefault="00AC12B4">
            <w:pPr>
              <w:rPr>
                <w:sz w:val="23"/>
                <w:szCs w:val="23"/>
              </w:rPr>
            </w:pPr>
          </w:p>
        </w:tc>
        <w:tc>
          <w:tcPr>
            <w:tcW w:w="960" w:type="dxa"/>
            <w:vAlign w:val="bottom"/>
          </w:tcPr>
          <w:p w:rsidR="00AC12B4" w:rsidRDefault="00C27636">
            <w:pPr>
              <w:ind w:left="120"/>
              <w:rPr>
                <w:sz w:val="20"/>
                <w:szCs w:val="20"/>
              </w:rPr>
            </w:pPr>
            <w:r>
              <w:rPr>
                <w:rFonts w:ascii="Calibri" w:eastAsia="Calibri" w:hAnsi="Calibri" w:cs="Calibri"/>
                <w:color w:val="963266"/>
              </w:rPr>
              <w:t>Life</w:t>
            </w:r>
          </w:p>
        </w:tc>
        <w:tc>
          <w:tcPr>
            <w:tcW w:w="780" w:type="dxa"/>
            <w:vAlign w:val="bottom"/>
          </w:tcPr>
          <w:p w:rsidR="00AC12B4" w:rsidRDefault="00AC12B4">
            <w:pPr>
              <w:rPr>
                <w:sz w:val="23"/>
                <w:szCs w:val="23"/>
              </w:rPr>
            </w:pPr>
          </w:p>
        </w:tc>
      </w:tr>
      <w:tr w:rsidR="00AC12B4">
        <w:trPr>
          <w:trHeight w:val="269"/>
        </w:trPr>
        <w:tc>
          <w:tcPr>
            <w:tcW w:w="1260" w:type="dxa"/>
            <w:vAlign w:val="bottom"/>
          </w:tcPr>
          <w:p w:rsidR="00AC12B4" w:rsidRDefault="00AC12B4">
            <w:pPr>
              <w:rPr>
                <w:sz w:val="23"/>
                <w:szCs w:val="23"/>
              </w:rPr>
            </w:pPr>
          </w:p>
        </w:tc>
        <w:tc>
          <w:tcPr>
            <w:tcW w:w="1000" w:type="dxa"/>
            <w:vAlign w:val="bottom"/>
          </w:tcPr>
          <w:p w:rsidR="00AC12B4" w:rsidRDefault="00AC12B4">
            <w:pPr>
              <w:rPr>
                <w:sz w:val="23"/>
                <w:szCs w:val="23"/>
              </w:rPr>
            </w:pPr>
          </w:p>
        </w:tc>
        <w:tc>
          <w:tcPr>
            <w:tcW w:w="960" w:type="dxa"/>
            <w:vAlign w:val="bottom"/>
          </w:tcPr>
          <w:p w:rsidR="00AC12B4" w:rsidRDefault="00C27636">
            <w:pPr>
              <w:ind w:left="120"/>
              <w:rPr>
                <w:sz w:val="20"/>
                <w:szCs w:val="20"/>
              </w:rPr>
            </w:pPr>
            <w:r>
              <w:rPr>
                <w:rFonts w:ascii="Calibri" w:eastAsia="Calibri" w:hAnsi="Calibri" w:cs="Calibri"/>
                <w:color w:val="963266"/>
              </w:rPr>
              <w:t>satisfact</w:t>
            </w:r>
          </w:p>
        </w:tc>
        <w:tc>
          <w:tcPr>
            <w:tcW w:w="780" w:type="dxa"/>
            <w:vAlign w:val="bottom"/>
          </w:tcPr>
          <w:p w:rsidR="00AC12B4" w:rsidRDefault="00AC12B4">
            <w:pPr>
              <w:rPr>
                <w:sz w:val="23"/>
                <w:szCs w:val="23"/>
              </w:rPr>
            </w:pPr>
          </w:p>
        </w:tc>
      </w:tr>
      <w:tr w:rsidR="00AC12B4">
        <w:trPr>
          <w:trHeight w:val="269"/>
        </w:trPr>
        <w:tc>
          <w:tcPr>
            <w:tcW w:w="1260" w:type="dxa"/>
            <w:vAlign w:val="bottom"/>
          </w:tcPr>
          <w:p w:rsidR="00AC12B4" w:rsidRDefault="00AC12B4">
            <w:pPr>
              <w:rPr>
                <w:sz w:val="23"/>
                <w:szCs w:val="23"/>
              </w:rPr>
            </w:pPr>
          </w:p>
        </w:tc>
        <w:tc>
          <w:tcPr>
            <w:tcW w:w="1000" w:type="dxa"/>
            <w:vAlign w:val="bottom"/>
          </w:tcPr>
          <w:p w:rsidR="00AC12B4" w:rsidRDefault="00AC12B4">
            <w:pPr>
              <w:rPr>
                <w:sz w:val="23"/>
                <w:szCs w:val="23"/>
              </w:rPr>
            </w:pPr>
          </w:p>
        </w:tc>
        <w:tc>
          <w:tcPr>
            <w:tcW w:w="960" w:type="dxa"/>
            <w:vAlign w:val="bottom"/>
          </w:tcPr>
          <w:p w:rsidR="00AC12B4" w:rsidRDefault="00C27636">
            <w:pPr>
              <w:ind w:left="120"/>
              <w:rPr>
                <w:sz w:val="20"/>
                <w:szCs w:val="20"/>
              </w:rPr>
            </w:pPr>
            <w:r>
              <w:rPr>
                <w:rFonts w:ascii="Calibri" w:eastAsia="Calibri" w:hAnsi="Calibri" w:cs="Calibri"/>
                <w:color w:val="963266"/>
              </w:rPr>
              <w:t>ion</w:t>
            </w:r>
          </w:p>
        </w:tc>
        <w:tc>
          <w:tcPr>
            <w:tcW w:w="780" w:type="dxa"/>
            <w:vAlign w:val="bottom"/>
          </w:tcPr>
          <w:p w:rsidR="00AC12B4" w:rsidRDefault="00AC12B4">
            <w:pPr>
              <w:rPr>
                <w:sz w:val="23"/>
                <w:szCs w:val="23"/>
              </w:rPr>
            </w:pPr>
          </w:p>
        </w:tc>
      </w:tr>
      <w:tr w:rsidR="00AC12B4">
        <w:trPr>
          <w:trHeight w:val="271"/>
        </w:trPr>
        <w:tc>
          <w:tcPr>
            <w:tcW w:w="1260" w:type="dxa"/>
            <w:tcBorders>
              <w:bottom w:val="single" w:sz="8" w:space="0" w:color="963266"/>
            </w:tcBorders>
            <w:vAlign w:val="bottom"/>
          </w:tcPr>
          <w:p w:rsidR="00AC12B4" w:rsidRDefault="00AC12B4">
            <w:pPr>
              <w:rPr>
                <w:sz w:val="23"/>
                <w:szCs w:val="23"/>
              </w:rPr>
            </w:pPr>
          </w:p>
        </w:tc>
        <w:tc>
          <w:tcPr>
            <w:tcW w:w="1000" w:type="dxa"/>
            <w:tcBorders>
              <w:bottom w:val="single" w:sz="8" w:space="0" w:color="963266"/>
            </w:tcBorders>
            <w:vAlign w:val="bottom"/>
          </w:tcPr>
          <w:p w:rsidR="00AC12B4" w:rsidRDefault="00C27636">
            <w:pPr>
              <w:spacing w:line="267" w:lineRule="exact"/>
              <w:ind w:left="70"/>
              <w:jc w:val="center"/>
              <w:rPr>
                <w:sz w:val="20"/>
                <w:szCs w:val="20"/>
              </w:rPr>
            </w:pPr>
            <w:r>
              <w:rPr>
                <w:rFonts w:ascii="Calibri" w:eastAsia="Calibri" w:hAnsi="Calibri" w:cs="Calibri"/>
                <w:color w:val="963266"/>
                <w:w w:val="98"/>
              </w:rPr>
              <w:t>N</w:t>
            </w:r>
          </w:p>
        </w:tc>
        <w:tc>
          <w:tcPr>
            <w:tcW w:w="960" w:type="dxa"/>
            <w:tcBorders>
              <w:bottom w:val="single" w:sz="8" w:space="0" w:color="963266"/>
            </w:tcBorders>
            <w:vAlign w:val="bottom"/>
          </w:tcPr>
          <w:p w:rsidR="00AC12B4" w:rsidRDefault="00C27636">
            <w:pPr>
              <w:spacing w:line="267" w:lineRule="exact"/>
              <w:ind w:left="120"/>
              <w:rPr>
                <w:sz w:val="20"/>
                <w:szCs w:val="20"/>
              </w:rPr>
            </w:pPr>
            <w:r>
              <w:rPr>
                <w:rFonts w:ascii="Calibri" w:eastAsia="Calibri" w:hAnsi="Calibri" w:cs="Calibri"/>
                <w:color w:val="963266"/>
              </w:rPr>
              <w:t>(High)</w:t>
            </w:r>
          </w:p>
        </w:tc>
        <w:tc>
          <w:tcPr>
            <w:tcW w:w="780" w:type="dxa"/>
            <w:tcBorders>
              <w:bottom w:val="single" w:sz="8" w:space="0" w:color="963266"/>
            </w:tcBorders>
            <w:vAlign w:val="bottom"/>
          </w:tcPr>
          <w:p w:rsidR="00AC12B4" w:rsidRDefault="00C27636">
            <w:pPr>
              <w:spacing w:line="267" w:lineRule="exact"/>
              <w:jc w:val="center"/>
              <w:rPr>
                <w:sz w:val="20"/>
                <w:szCs w:val="20"/>
              </w:rPr>
            </w:pPr>
            <w:r>
              <w:rPr>
                <w:rFonts w:ascii="Calibri" w:eastAsia="Calibri" w:hAnsi="Calibri" w:cs="Calibri"/>
                <w:color w:val="963266"/>
              </w:rPr>
              <w:t>p</w:t>
            </w:r>
          </w:p>
        </w:tc>
      </w:tr>
      <w:tr w:rsidR="00AC12B4">
        <w:trPr>
          <w:trHeight w:val="288"/>
        </w:trPr>
        <w:tc>
          <w:tcPr>
            <w:tcW w:w="1260" w:type="dxa"/>
            <w:vAlign w:val="bottom"/>
          </w:tcPr>
          <w:p w:rsidR="00AC12B4" w:rsidRDefault="00C27636">
            <w:pPr>
              <w:ind w:left="60"/>
              <w:rPr>
                <w:sz w:val="20"/>
                <w:szCs w:val="20"/>
              </w:rPr>
            </w:pPr>
            <w:r>
              <w:rPr>
                <w:rFonts w:ascii="Calibri" w:eastAsia="Calibri" w:hAnsi="Calibri" w:cs="Calibri"/>
                <w:color w:val="963266"/>
              </w:rPr>
              <w:t>Genre</w:t>
            </w:r>
          </w:p>
        </w:tc>
        <w:tc>
          <w:tcPr>
            <w:tcW w:w="1000" w:type="dxa"/>
            <w:vAlign w:val="bottom"/>
          </w:tcPr>
          <w:p w:rsidR="00AC12B4" w:rsidRDefault="00C27636">
            <w:pPr>
              <w:ind w:left="50"/>
              <w:jc w:val="center"/>
              <w:rPr>
                <w:sz w:val="20"/>
                <w:szCs w:val="20"/>
              </w:rPr>
            </w:pPr>
            <w:r>
              <w:rPr>
                <w:rFonts w:ascii="Calibri" w:eastAsia="Calibri" w:hAnsi="Calibri" w:cs="Calibri"/>
              </w:rPr>
              <w:t>22057</w:t>
            </w:r>
          </w:p>
        </w:tc>
        <w:tc>
          <w:tcPr>
            <w:tcW w:w="960" w:type="dxa"/>
            <w:vAlign w:val="bottom"/>
          </w:tcPr>
          <w:p w:rsidR="00AC12B4" w:rsidRDefault="00AC12B4">
            <w:pPr>
              <w:rPr>
                <w:sz w:val="24"/>
                <w:szCs w:val="24"/>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Garçons</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89,5</w:t>
            </w:r>
          </w:p>
        </w:tc>
        <w:tc>
          <w:tcPr>
            <w:tcW w:w="780" w:type="dxa"/>
            <w:vAlign w:val="bottom"/>
          </w:tcPr>
          <w:p w:rsidR="00AC12B4" w:rsidRDefault="00AC12B4">
            <w:pPr>
              <w:rPr>
                <w:sz w:val="24"/>
                <w:szCs w:val="24"/>
              </w:rPr>
            </w:pP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Filles</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83,7</w:t>
            </w:r>
          </w:p>
        </w:tc>
        <w:tc>
          <w:tcPr>
            <w:tcW w:w="780" w:type="dxa"/>
            <w:vAlign w:val="bottom"/>
          </w:tcPr>
          <w:p w:rsidR="00AC12B4" w:rsidRDefault="00AC12B4">
            <w:pPr>
              <w:rPr>
                <w:sz w:val="24"/>
                <w:szCs w:val="24"/>
              </w:rPr>
            </w:pPr>
          </w:p>
        </w:tc>
      </w:tr>
      <w:tr w:rsidR="00AC12B4">
        <w:trPr>
          <w:trHeight w:val="600"/>
        </w:trPr>
        <w:tc>
          <w:tcPr>
            <w:tcW w:w="1260" w:type="dxa"/>
            <w:vAlign w:val="bottom"/>
          </w:tcPr>
          <w:p w:rsidR="00AC12B4" w:rsidRDefault="00C27636">
            <w:pPr>
              <w:ind w:left="60"/>
              <w:rPr>
                <w:sz w:val="20"/>
                <w:szCs w:val="20"/>
              </w:rPr>
            </w:pPr>
            <w:r>
              <w:rPr>
                <w:rFonts w:ascii="Calibri" w:eastAsia="Calibri" w:hAnsi="Calibri" w:cs="Calibri"/>
                <w:color w:val="963266"/>
              </w:rPr>
              <w:t>Age</w:t>
            </w:r>
          </w:p>
        </w:tc>
        <w:tc>
          <w:tcPr>
            <w:tcW w:w="1000" w:type="dxa"/>
            <w:vAlign w:val="bottom"/>
          </w:tcPr>
          <w:p w:rsidR="00AC12B4" w:rsidRDefault="00C27636">
            <w:pPr>
              <w:ind w:left="50"/>
              <w:jc w:val="center"/>
              <w:rPr>
                <w:sz w:val="20"/>
                <w:szCs w:val="20"/>
              </w:rPr>
            </w:pPr>
            <w:r>
              <w:rPr>
                <w:rFonts w:ascii="Calibri" w:eastAsia="Calibri" w:hAnsi="Calibri" w:cs="Calibri"/>
              </w:rPr>
              <w:t>21857</w:t>
            </w:r>
          </w:p>
        </w:tc>
        <w:tc>
          <w:tcPr>
            <w:tcW w:w="960" w:type="dxa"/>
            <w:vAlign w:val="bottom"/>
          </w:tcPr>
          <w:p w:rsidR="00AC12B4" w:rsidRDefault="00AC12B4">
            <w:pPr>
              <w:rPr>
                <w:sz w:val="24"/>
                <w:szCs w:val="24"/>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10-12 ans</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89,9</w:t>
            </w:r>
          </w:p>
        </w:tc>
        <w:tc>
          <w:tcPr>
            <w:tcW w:w="780" w:type="dxa"/>
            <w:vAlign w:val="bottom"/>
          </w:tcPr>
          <w:p w:rsidR="00AC12B4" w:rsidRDefault="00AC12B4">
            <w:pPr>
              <w:rPr>
                <w:sz w:val="24"/>
                <w:szCs w:val="24"/>
              </w:rPr>
            </w:pP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13-14 ans</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87,0</w:t>
            </w:r>
          </w:p>
        </w:tc>
        <w:tc>
          <w:tcPr>
            <w:tcW w:w="780" w:type="dxa"/>
            <w:vAlign w:val="bottom"/>
          </w:tcPr>
          <w:p w:rsidR="00AC12B4" w:rsidRDefault="00AC12B4">
            <w:pPr>
              <w:rPr>
                <w:sz w:val="24"/>
                <w:szCs w:val="24"/>
              </w:rPr>
            </w:pPr>
          </w:p>
        </w:tc>
      </w:tr>
      <w:tr w:rsidR="00AC12B4">
        <w:trPr>
          <w:trHeight w:val="301"/>
        </w:trPr>
        <w:tc>
          <w:tcPr>
            <w:tcW w:w="1260" w:type="dxa"/>
            <w:vAlign w:val="bottom"/>
          </w:tcPr>
          <w:p w:rsidR="00AC12B4" w:rsidRDefault="00C27636">
            <w:pPr>
              <w:ind w:left="60"/>
              <w:rPr>
                <w:sz w:val="20"/>
                <w:szCs w:val="20"/>
              </w:rPr>
            </w:pPr>
            <w:r>
              <w:rPr>
                <w:rFonts w:ascii="Calibri" w:eastAsia="Calibri" w:hAnsi="Calibri" w:cs="Calibri"/>
                <w:color w:val="963266"/>
              </w:rPr>
              <w:t>15-16 ans</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85,2</w:t>
            </w:r>
          </w:p>
        </w:tc>
        <w:tc>
          <w:tcPr>
            <w:tcW w:w="780" w:type="dxa"/>
            <w:vAlign w:val="bottom"/>
          </w:tcPr>
          <w:p w:rsidR="00AC12B4" w:rsidRDefault="00AC12B4">
            <w:pPr>
              <w:rPr>
                <w:sz w:val="24"/>
                <w:szCs w:val="24"/>
              </w:rPr>
            </w:pP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17-19 ans</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84,5</w:t>
            </w:r>
          </w:p>
        </w:tc>
        <w:tc>
          <w:tcPr>
            <w:tcW w:w="780" w:type="dxa"/>
            <w:vAlign w:val="bottom"/>
          </w:tcPr>
          <w:p w:rsidR="00AC12B4" w:rsidRDefault="00AC12B4">
            <w:pPr>
              <w:rPr>
                <w:sz w:val="24"/>
                <w:szCs w:val="24"/>
              </w:rPr>
            </w:pPr>
          </w:p>
        </w:tc>
      </w:tr>
      <w:tr w:rsidR="00AC12B4">
        <w:trPr>
          <w:trHeight w:val="566"/>
        </w:trPr>
        <w:tc>
          <w:tcPr>
            <w:tcW w:w="1260" w:type="dxa"/>
            <w:vAlign w:val="bottom"/>
          </w:tcPr>
          <w:p w:rsidR="00AC12B4" w:rsidRDefault="00C27636">
            <w:pPr>
              <w:ind w:left="60"/>
              <w:rPr>
                <w:sz w:val="20"/>
                <w:szCs w:val="20"/>
              </w:rPr>
            </w:pPr>
            <w:r>
              <w:rPr>
                <w:rFonts w:ascii="Calibri" w:eastAsia="Calibri" w:hAnsi="Calibri" w:cs="Calibri"/>
                <w:color w:val="963266"/>
              </w:rPr>
              <w:t>Niveau</w:t>
            </w:r>
          </w:p>
        </w:tc>
        <w:tc>
          <w:tcPr>
            <w:tcW w:w="1000" w:type="dxa"/>
            <w:vAlign w:val="bottom"/>
          </w:tcPr>
          <w:p w:rsidR="00AC12B4" w:rsidRDefault="00AC12B4">
            <w:pPr>
              <w:rPr>
                <w:sz w:val="24"/>
                <w:szCs w:val="24"/>
              </w:rPr>
            </w:pPr>
          </w:p>
        </w:tc>
        <w:tc>
          <w:tcPr>
            <w:tcW w:w="960" w:type="dxa"/>
            <w:vAlign w:val="bottom"/>
          </w:tcPr>
          <w:p w:rsidR="00AC12B4" w:rsidRDefault="00AC12B4">
            <w:pPr>
              <w:rPr>
                <w:sz w:val="24"/>
                <w:szCs w:val="24"/>
              </w:rPr>
            </w:pPr>
          </w:p>
        </w:tc>
        <w:tc>
          <w:tcPr>
            <w:tcW w:w="780" w:type="dxa"/>
            <w:vAlign w:val="bottom"/>
          </w:tcPr>
          <w:p w:rsidR="00AC12B4" w:rsidRDefault="00AC12B4">
            <w:pPr>
              <w:rPr>
                <w:sz w:val="24"/>
                <w:szCs w:val="24"/>
              </w:rPr>
            </w:pPr>
          </w:p>
        </w:tc>
      </w:tr>
      <w:tr w:rsidR="00AC12B4">
        <w:trPr>
          <w:trHeight w:val="269"/>
        </w:trPr>
        <w:tc>
          <w:tcPr>
            <w:tcW w:w="1260" w:type="dxa"/>
            <w:vAlign w:val="bottom"/>
          </w:tcPr>
          <w:p w:rsidR="00AC12B4" w:rsidRDefault="00C27636">
            <w:pPr>
              <w:ind w:left="60"/>
              <w:rPr>
                <w:sz w:val="20"/>
                <w:szCs w:val="20"/>
              </w:rPr>
            </w:pPr>
            <w:r>
              <w:rPr>
                <w:rFonts w:ascii="Calibri" w:eastAsia="Calibri" w:hAnsi="Calibri" w:cs="Calibri"/>
                <w:color w:val="963266"/>
              </w:rPr>
              <w:t>d'aisance</w:t>
            </w:r>
          </w:p>
        </w:tc>
        <w:tc>
          <w:tcPr>
            <w:tcW w:w="1000" w:type="dxa"/>
            <w:vAlign w:val="bottom"/>
          </w:tcPr>
          <w:p w:rsidR="00AC12B4" w:rsidRDefault="00AC12B4">
            <w:pPr>
              <w:rPr>
                <w:sz w:val="23"/>
                <w:szCs w:val="23"/>
              </w:rPr>
            </w:pPr>
          </w:p>
        </w:tc>
        <w:tc>
          <w:tcPr>
            <w:tcW w:w="960" w:type="dxa"/>
            <w:vAlign w:val="bottom"/>
          </w:tcPr>
          <w:p w:rsidR="00AC12B4" w:rsidRDefault="00AC12B4">
            <w:pPr>
              <w:rPr>
                <w:sz w:val="23"/>
                <w:szCs w:val="23"/>
              </w:rPr>
            </w:pPr>
          </w:p>
        </w:tc>
        <w:tc>
          <w:tcPr>
            <w:tcW w:w="780" w:type="dxa"/>
            <w:vAlign w:val="bottom"/>
          </w:tcPr>
          <w:p w:rsidR="00AC12B4" w:rsidRDefault="00AC12B4">
            <w:pPr>
              <w:rPr>
                <w:sz w:val="23"/>
                <w:szCs w:val="23"/>
              </w:rPr>
            </w:pPr>
          </w:p>
        </w:tc>
      </w:tr>
      <w:tr w:rsidR="00AC12B4">
        <w:trPr>
          <w:trHeight w:val="269"/>
        </w:trPr>
        <w:tc>
          <w:tcPr>
            <w:tcW w:w="1260" w:type="dxa"/>
            <w:vAlign w:val="bottom"/>
          </w:tcPr>
          <w:p w:rsidR="00AC12B4" w:rsidRDefault="00C27636">
            <w:pPr>
              <w:ind w:left="60"/>
              <w:rPr>
                <w:sz w:val="20"/>
                <w:szCs w:val="20"/>
              </w:rPr>
            </w:pPr>
            <w:r>
              <w:rPr>
                <w:rFonts w:ascii="Calibri" w:eastAsia="Calibri" w:hAnsi="Calibri" w:cs="Calibri"/>
                <w:color w:val="963266"/>
              </w:rPr>
              <w:t>matérielle</w:t>
            </w:r>
          </w:p>
        </w:tc>
        <w:tc>
          <w:tcPr>
            <w:tcW w:w="1000" w:type="dxa"/>
            <w:vAlign w:val="bottom"/>
          </w:tcPr>
          <w:p w:rsidR="00AC12B4" w:rsidRDefault="00C27636">
            <w:pPr>
              <w:ind w:left="50"/>
              <w:jc w:val="center"/>
              <w:rPr>
                <w:sz w:val="20"/>
                <w:szCs w:val="20"/>
              </w:rPr>
            </w:pPr>
            <w:r>
              <w:rPr>
                <w:rFonts w:ascii="Calibri" w:eastAsia="Calibri" w:hAnsi="Calibri" w:cs="Calibri"/>
              </w:rPr>
              <w:t>20459</w:t>
            </w:r>
          </w:p>
        </w:tc>
        <w:tc>
          <w:tcPr>
            <w:tcW w:w="960" w:type="dxa"/>
            <w:vAlign w:val="bottom"/>
          </w:tcPr>
          <w:p w:rsidR="00AC12B4" w:rsidRDefault="00AC12B4">
            <w:pPr>
              <w:rPr>
                <w:sz w:val="23"/>
                <w:szCs w:val="23"/>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Faible</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78,9</w:t>
            </w:r>
          </w:p>
        </w:tc>
        <w:tc>
          <w:tcPr>
            <w:tcW w:w="780" w:type="dxa"/>
            <w:vAlign w:val="bottom"/>
          </w:tcPr>
          <w:p w:rsidR="00AC12B4" w:rsidRDefault="00AC12B4">
            <w:pPr>
              <w:rPr>
                <w:sz w:val="24"/>
                <w:szCs w:val="24"/>
              </w:rPr>
            </w:pP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Moyen</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86,6</w:t>
            </w:r>
          </w:p>
        </w:tc>
        <w:tc>
          <w:tcPr>
            <w:tcW w:w="780" w:type="dxa"/>
            <w:vAlign w:val="bottom"/>
          </w:tcPr>
          <w:p w:rsidR="00AC12B4" w:rsidRDefault="00AC12B4">
            <w:pPr>
              <w:rPr>
                <w:sz w:val="24"/>
                <w:szCs w:val="24"/>
              </w:rPr>
            </w:pP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Elevé</w:t>
            </w:r>
          </w:p>
        </w:tc>
        <w:tc>
          <w:tcPr>
            <w:tcW w:w="1000" w:type="dxa"/>
            <w:vAlign w:val="bottom"/>
          </w:tcPr>
          <w:p w:rsidR="00AC12B4" w:rsidRDefault="00AC12B4">
            <w:pPr>
              <w:rPr>
                <w:sz w:val="24"/>
                <w:szCs w:val="24"/>
              </w:rPr>
            </w:pPr>
          </w:p>
        </w:tc>
        <w:tc>
          <w:tcPr>
            <w:tcW w:w="960" w:type="dxa"/>
            <w:vAlign w:val="bottom"/>
          </w:tcPr>
          <w:p w:rsidR="00AC12B4" w:rsidRDefault="00C27636">
            <w:pPr>
              <w:ind w:right="150"/>
              <w:jc w:val="right"/>
              <w:rPr>
                <w:sz w:val="20"/>
                <w:szCs w:val="20"/>
              </w:rPr>
            </w:pPr>
            <w:r>
              <w:rPr>
                <w:rFonts w:ascii="Calibri" w:eastAsia="Calibri" w:hAnsi="Calibri" w:cs="Calibri"/>
              </w:rPr>
              <w:t>91,1</w:t>
            </w:r>
          </w:p>
        </w:tc>
        <w:tc>
          <w:tcPr>
            <w:tcW w:w="780" w:type="dxa"/>
            <w:vAlign w:val="bottom"/>
          </w:tcPr>
          <w:p w:rsidR="00AC12B4" w:rsidRDefault="00AC12B4">
            <w:pPr>
              <w:rPr>
                <w:sz w:val="24"/>
                <w:szCs w:val="24"/>
              </w:rPr>
            </w:pPr>
          </w:p>
        </w:tc>
      </w:tr>
      <w:tr w:rsidR="00AC12B4">
        <w:trPr>
          <w:trHeight w:val="600"/>
        </w:trPr>
        <w:tc>
          <w:tcPr>
            <w:tcW w:w="1260" w:type="dxa"/>
            <w:vAlign w:val="bottom"/>
          </w:tcPr>
          <w:p w:rsidR="00AC12B4" w:rsidRDefault="00C27636">
            <w:pPr>
              <w:ind w:left="60"/>
              <w:rPr>
                <w:sz w:val="20"/>
                <w:szCs w:val="20"/>
              </w:rPr>
            </w:pPr>
            <w:r>
              <w:rPr>
                <w:rFonts w:ascii="Calibri" w:eastAsia="Calibri" w:hAnsi="Calibri" w:cs="Calibri"/>
                <w:color w:val="963266"/>
              </w:rPr>
              <w:lastRenderedPageBreak/>
              <w:t>Famille</w:t>
            </w:r>
          </w:p>
        </w:tc>
        <w:tc>
          <w:tcPr>
            <w:tcW w:w="1000" w:type="dxa"/>
            <w:vAlign w:val="bottom"/>
          </w:tcPr>
          <w:p w:rsidR="00AC12B4" w:rsidRDefault="00C27636">
            <w:pPr>
              <w:ind w:left="50"/>
              <w:jc w:val="center"/>
              <w:rPr>
                <w:sz w:val="20"/>
                <w:szCs w:val="20"/>
              </w:rPr>
            </w:pPr>
            <w:r>
              <w:rPr>
                <w:rFonts w:ascii="Calibri" w:eastAsia="Calibri" w:hAnsi="Calibri" w:cs="Calibri"/>
              </w:rPr>
              <w:t>21861</w:t>
            </w:r>
          </w:p>
        </w:tc>
        <w:tc>
          <w:tcPr>
            <w:tcW w:w="960" w:type="dxa"/>
            <w:vAlign w:val="bottom"/>
          </w:tcPr>
          <w:p w:rsidR="00AC12B4" w:rsidRDefault="00AC12B4">
            <w:pPr>
              <w:rPr>
                <w:sz w:val="24"/>
                <w:szCs w:val="24"/>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300"/>
        </w:trPr>
        <w:tc>
          <w:tcPr>
            <w:tcW w:w="2260" w:type="dxa"/>
            <w:gridSpan w:val="2"/>
            <w:vAlign w:val="bottom"/>
          </w:tcPr>
          <w:p w:rsidR="00AC12B4" w:rsidRDefault="00C27636">
            <w:pPr>
              <w:ind w:left="60"/>
              <w:rPr>
                <w:sz w:val="20"/>
                <w:szCs w:val="20"/>
              </w:rPr>
            </w:pPr>
            <w:r>
              <w:rPr>
                <w:rFonts w:ascii="Calibri" w:eastAsia="Calibri" w:hAnsi="Calibri" w:cs="Calibri"/>
                <w:color w:val="963266"/>
              </w:rPr>
              <w:t xml:space="preserve">2 </w:t>
            </w:r>
            <w:r>
              <w:rPr>
                <w:rFonts w:ascii="Calibri" w:eastAsia="Calibri" w:hAnsi="Calibri" w:cs="Calibri"/>
                <w:color w:val="963266"/>
              </w:rPr>
              <w:t>parents biologiques</w:t>
            </w:r>
          </w:p>
        </w:tc>
        <w:tc>
          <w:tcPr>
            <w:tcW w:w="960" w:type="dxa"/>
            <w:vAlign w:val="bottom"/>
          </w:tcPr>
          <w:p w:rsidR="00AC12B4" w:rsidRDefault="00C27636">
            <w:pPr>
              <w:ind w:right="10"/>
              <w:jc w:val="right"/>
              <w:rPr>
                <w:sz w:val="20"/>
                <w:szCs w:val="20"/>
              </w:rPr>
            </w:pPr>
            <w:r>
              <w:rPr>
                <w:rFonts w:ascii="Calibri" w:eastAsia="Calibri" w:hAnsi="Calibri" w:cs="Calibri"/>
              </w:rPr>
              <w:t>90,0</w:t>
            </w:r>
          </w:p>
        </w:tc>
        <w:tc>
          <w:tcPr>
            <w:tcW w:w="780" w:type="dxa"/>
            <w:vAlign w:val="bottom"/>
          </w:tcPr>
          <w:p w:rsidR="00AC12B4" w:rsidRDefault="00AC12B4">
            <w:pPr>
              <w:rPr>
                <w:sz w:val="24"/>
                <w:szCs w:val="24"/>
              </w:rPr>
            </w:pPr>
          </w:p>
        </w:tc>
      </w:tr>
      <w:tr w:rsidR="00AC12B4">
        <w:trPr>
          <w:trHeight w:val="300"/>
        </w:trPr>
        <w:tc>
          <w:tcPr>
            <w:tcW w:w="1260" w:type="dxa"/>
            <w:vAlign w:val="bottom"/>
          </w:tcPr>
          <w:p w:rsidR="00AC12B4" w:rsidRDefault="00C27636">
            <w:pPr>
              <w:ind w:left="60"/>
              <w:rPr>
                <w:sz w:val="20"/>
                <w:szCs w:val="20"/>
              </w:rPr>
            </w:pPr>
            <w:r>
              <w:rPr>
                <w:rFonts w:ascii="Calibri" w:eastAsia="Calibri" w:hAnsi="Calibri" w:cs="Calibri"/>
                <w:color w:val="963266"/>
              </w:rPr>
              <w:t>Autres</w:t>
            </w:r>
          </w:p>
        </w:tc>
        <w:tc>
          <w:tcPr>
            <w:tcW w:w="1000" w:type="dxa"/>
            <w:vAlign w:val="bottom"/>
          </w:tcPr>
          <w:p w:rsidR="00AC12B4" w:rsidRDefault="00AC12B4">
            <w:pPr>
              <w:rPr>
                <w:sz w:val="24"/>
                <w:szCs w:val="24"/>
              </w:rPr>
            </w:pPr>
          </w:p>
        </w:tc>
        <w:tc>
          <w:tcPr>
            <w:tcW w:w="960" w:type="dxa"/>
            <w:vAlign w:val="bottom"/>
          </w:tcPr>
          <w:p w:rsidR="00AC12B4" w:rsidRDefault="00C27636">
            <w:pPr>
              <w:ind w:right="10"/>
              <w:jc w:val="right"/>
              <w:rPr>
                <w:sz w:val="20"/>
                <w:szCs w:val="20"/>
              </w:rPr>
            </w:pPr>
            <w:r>
              <w:rPr>
                <w:rFonts w:ascii="Calibri" w:eastAsia="Calibri" w:hAnsi="Calibri" w:cs="Calibri"/>
              </w:rPr>
              <w:t>79,6</w:t>
            </w:r>
          </w:p>
        </w:tc>
        <w:tc>
          <w:tcPr>
            <w:tcW w:w="78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393536" behindDoc="1" locked="0" layoutInCell="0" allowOverlap="1">
                <wp:simplePos x="0" y="0"/>
                <wp:positionH relativeFrom="column">
                  <wp:posOffset>588010</wp:posOffset>
                </wp:positionH>
                <wp:positionV relativeFrom="paragraph">
                  <wp:posOffset>8255</wp:posOffset>
                </wp:positionV>
                <wp:extent cx="2234565" cy="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34565" cy="4763"/>
                        </a:xfrm>
                        <a:prstGeom prst="line">
                          <a:avLst/>
                        </a:prstGeom>
                        <a:solidFill>
                          <a:srgbClr val="FFFFFF"/>
                        </a:solidFill>
                        <a:ln w="6095">
                          <a:solidFill>
                            <a:srgbClr val="963266"/>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pt,0.65pt" to="222.25pt,0.65pt" o:allowincell="f" strokecolor="#963266" strokeweight="0.4799pt"/>
            </w:pict>
          </mc:Fallback>
        </mc:AlternateContent>
      </w:r>
      <w:r>
        <w:rPr>
          <w:noProof/>
          <w:sz w:val="20"/>
          <w:szCs w:val="20"/>
        </w:rPr>
        <mc:AlternateContent>
          <mc:Choice Requires="wps">
            <w:drawing>
              <wp:anchor distT="0" distB="0" distL="114300" distR="114300" simplePos="0" relativeHeight="251394560" behindDoc="1" locked="0" layoutInCell="0" allowOverlap="1">
                <wp:simplePos x="0" y="0"/>
                <wp:positionH relativeFrom="column">
                  <wp:posOffset>2813685</wp:posOffset>
                </wp:positionH>
                <wp:positionV relativeFrom="paragraph">
                  <wp:posOffset>8255</wp:posOffset>
                </wp:positionV>
                <wp:extent cx="333375" cy="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33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55pt,0.65pt" to="247.8pt,0.65pt" o:allowincell="f" strokecolor="#000000" strokeweight="0.4799pt"/>
            </w:pict>
          </mc:Fallback>
        </mc:AlternateContent>
      </w:r>
    </w:p>
    <w:p w:rsidR="00AC12B4" w:rsidRDefault="00AC12B4">
      <w:pPr>
        <w:spacing w:line="33" w:lineRule="exact"/>
        <w:rPr>
          <w:sz w:val="20"/>
          <w:szCs w:val="20"/>
        </w:rPr>
      </w:pPr>
    </w:p>
    <w:p w:rsidR="00AC12B4" w:rsidRDefault="00C27636">
      <w:pPr>
        <w:spacing w:line="218" w:lineRule="auto"/>
        <w:ind w:left="1010" w:right="60"/>
        <w:jc w:val="both"/>
        <w:rPr>
          <w:sz w:val="20"/>
          <w:szCs w:val="20"/>
        </w:rPr>
      </w:pPr>
      <w:r>
        <w:rPr>
          <w:rFonts w:ascii="Calibri" w:eastAsia="Calibri" w:hAnsi="Calibri" w:cs="Calibri"/>
          <w:b/>
          <w:bCs/>
          <w:color w:val="4F81BD"/>
          <w:sz w:val="18"/>
          <w:szCs w:val="18"/>
        </w:rPr>
        <w:t>Table 1. Facteurs associés à un niveau élevé de satisfaction par rapport à la vie. HBSC (2014)</w:t>
      </w:r>
    </w:p>
    <w:p w:rsidR="00AC12B4" w:rsidRDefault="00AC12B4">
      <w:pPr>
        <w:spacing w:line="247" w:lineRule="exact"/>
        <w:rPr>
          <w:sz w:val="20"/>
          <w:szCs w:val="20"/>
        </w:rPr>
      </w:pPr>
    </w:p>
    <w:p w:rsidR="00AC12B4" w:rsidRDefault="00C27636">
      <w:pPr>
        <w:spacing w:line="218" w:lineRule="auto"/>
        <w:ind w:left="1010" w:right="60"/>
        <w:jc w:val="both"/>
        <w:rPr>
          <w:sz w:val="20"/>
          <w:szCs w:val="20"/>
        </w:rPr>
      </w:pPr>
      <w:r>
        <w:rPr>
          <w:rFonts w:ascii="Calibri" w:eastAsia="Calibri" w:hAnsi="Calibri" w:cs="Calibri"/>
        </w:rPr>
        <w:t>Note : Les données de comparaisons internationales seront disponibles mi 2016.</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395584" behindDoc="1" locked="0" layoutInCell="0" allowOverlap="1">
                <wp:simplePos x="0" y="0"/>
                <wp:positionH relativeFrom="column">
                  <wp:posOffset>3146425</wp:posOffset>
                </wp:positionH>
                <wp:positionV relativeFrom="paragraph">
                  <wp:posOffset>416560</wp:posOffset>
                </wp:positionV>
                <wp:extent cx="0" cy="2756535"/>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756535"/>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75pt,32.8pt" to="247.75pt,249.85pt" o:allowincell="f" strokecolor="#C95C96" strokeweight="2pt"/>
            </w:pict>
          </mc:Fallback>
        </mc:AlternateContent>
      </w:r>
      <w:r>
        <w:rPr>
          <w:noProof/>
          <w:sz w:val="20"/>
          <w:szCs w:val="20"/>
        </w:rPr>
        <mc:AlternateContent>
          <mc:Choice Requires="wps">
            <w:drawing>
              <wp:anchor distT="0" distB="0" distL="114300" distR="114300" simplePos="0" relativeHeight="251396608" behindDoc="1" locked="0" layoutInCell="0" allowOverlap="1">
                <wp:simplePos x="0" y="0"/>
                <wp:positionH relativeFrom="column">
                  <wp:posOffset>545465</wp:posOffset>
                </wp:positionH>
                <wp:positionV relativeFrom="paragraph">
                  <wp:posOffset>429260</wp:posOffset>
                </wp:positionV>
                <wp:extent cx="2613660" cy="0"/>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13660"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pt,33.8pt" to="248.75pt,33.8pt" o:allowincell="f" strokecolor="#C95C96" strokeweight="2pt"/>
            </w:pict>
          </mc:Fallback>
        </mc:AlternateContent>
      </w:r>
      <w:r>
        <w:rPr>
          <w:noProof/>
          <w:sz w:val="20"/>
          <w:szCs w:val="20"/>
        </w:rPr>
        <mc:AlternateContent>
          <mc:Choice Requires="wps">
            <w:drawing>
              <wp:anchor distT="0" distB="0" distL="114300" distR="114300" simplePos="0" relativeHeight="251397632" behindDoc="1" locked="0" layoutInCell="0" allowOverlap="1">
                <wp:simplePos x="0" y="0"/>
                <wp:positionH relativeFrom="column">
                  <wp:posOffset>558165</wp:posOffset>
                </wp:positionH>
                <wp:positionV relativeFrom="paragraph">
                  <wp:posOffset>416560</wp:posOffset>
                </wp:positionV>
                <wp:extent cx="0" cy="2756535"/>
                <wp:effectExtent l="0" t="0" r="0" b="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756535"/>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5pt,32.8pt" to="43.95pt,249.85pt" o:allowincell="f" strokecolor="#C95C96" strokeweight="2pt"/>
            </w:pict>
          </mc:Fallback>
        </mc:AlternateContent>
      </w:r>
      <w:r>
        <w:rPr>
          <w:noProof/>
          <w:sz w:val="20"/>
          <w:szCs w:val="20"/>
        </w:rPr>
        <mc:AlternateContent>
          <mc:Choice Requires="wps">
            <w:drawing>
              <wp:anchor distT="0" distB="0" distL="114300" distR="114300" simplePos="0" relativeHeight="251398656" behindDoc="1" locked="0" layoutInCell="0" allowOverlap="1">
                <wp:simplePos x="0" y="0"/>
                <wp:positionH relativeFrom="column">
                  <wp:posOffset>545465</wp:posOffset>
                </wp:positionH>
                <wp:positionV relativeFrom="paragraph">
                  <wp:posOffset>3160395</wp:posOffset>
                </wp:positionV>
                <wp:extent cx="2613660" cy="0"/>
                <wp:effectExtent l="0" t="0" r="0" b="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13660"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pt,248.85pt" to="248.75pt,248.85pt" o:allowincell="f" strokecolor="#C95C96" strokeweight="2pt"/>
            </w:pict>
          </mc:Fallback>
        </mc:AlternateContent>
      </w:r>
    </w:p>
    <w:p w:rsidR="00AC12B4" w:rsidRDefault="00C27636">
      <w:pPr>
        <w:spacing w:line="20" w:lineRule="exact"/>
        <w:rPr>
          <w:sz w:val="20"/>
          <w:szCs w:val="20"/>
        </w:rPr>
      </w:pPr>
      <w:r>
        <w:rPr>
          <w:sz w:val="20"/>
          <w:szCs w:val="20"/>
        </w:rPr>
        <w:br w:type="column"/>
      </w:r>
    </w:p>
    <w:p w:rsidR="00AC12B4" w:rsidRDefault="00AC12B4">
      <w:pPr>
        <w:spacing w:line="149" w:lineRule="exact"/>
        <w:rPr>
          <w:sz w:val="20"/>
          <w:szCs w:val="20"/>
        </w:rPr>
      </w:pPr>
    </w:p>
    <w:p w:rsidR="00AC12B4" w:rsidRDefault="00C27636">
      <w:pPr>
        <w:rPr>
          <w:sz w:val="20"/>
          <w:szCs w:val="20"/>
        </w:rPr>
      </w:pPr>
      <w:r>
        <w:rPr>
          <w:rFonts w:ascii="Cambria" w:eastAsia="Cambria" w:hAnsi="Cambria" w:cs="Cambria"/>
          <w:b/>
          <w:bCs/>
          <w:i/>
          <w:iCs/>
          <w:color w:val="963266"/>
          <w:sz w:val="26"/>
          <w:szCs w:val="26"/>
        </w:rPr>
        <w:t xml:space="preserve">D’où viennent ces chiffres </w:t>
      </w:r>
      <w:r>
        <w:rPr>
          <w:rFonts w:ascii="Cambria" w:eastAsia="Cambria" w:hAnsi="Cambria" w:cs="Cambria"/>
          <w:b/>
          <w:bCs/>
          <w:i/>
          <w:iCs/>
          <w:color w:val="963266"/>
          <w:sz w:val="26"/>
          <w:szCs w:val="26"/>
        </w:rPr>
        <w:t>?</w:t>
      </w:r>
    </w:p>
    <w:p w:rsidR="00AC12B4" w:rsidRDefault="00AC12B4">
      <w:pPr>
        <w:spacing w:line="166" w:lineRule="exact"/>
        <w:rPr>
          <w:sz w:val="20"/>
          <w:szCs w:val="20"/>
        </w:rPr>
      </w:pPr>
    </w:p>
    <w:p w:rsidR="00AC12B4" w:rsidRDefault="00C27636">
      <w:pPr>
        <w:numPr>
          <w:ilvl w:val="0"/>
          <w:numId w:val="31"/>
        </w:numPr>
        <w:tabs>
          <w:tab w:val="left" w:pos="720"/>
        </w:tabs>
        <w:ind w:left="720" w:hanging="355"/>
        <w:rPr>
          <w:rFonts w:ascii="Wingdings" w:eastAsia="Wingdings" w:hAnsi="Wingdings" w:cs="Wingdings"/>
          <w:color w:val="C95C96"/>
        </w:rPr>
      </w:pPr>
      <w:r>
        <w:rPr>
          <w:rFonts w:ascii="Cambria" w:eastAsia="Cambria" w:hAnsi="Cambria" w:cs="Cambria"/>
          <w:i/>
          <w:iCs/>
          <w:color w:val="C95C96"/>
        </w:rPr>
        <w:t>Enquête HBSC</w:t>
      </w:r>
    </w:p>
    <w:p w:rsidR="00AC12B4" w:rsidRDefault="00AC12B4">
      <w:pPr>
        <w:spacing w:line="199" w:lineRule="exact"/>
        <w:rPr>
          <w:sz w:val="20"/>
          <w:szCs w:val="20"/>
        </w:rPr>
      </w:pPr>
    </w:p>
    <w:p w:rsidR="00AC12B4" w:rsidRDefault="00C27636">
      <w:pPr>
        <w:spacing w:line="229" w:lineRule="auto"/>
        <w:ind w:right="737"/>
        <w:jc w:val="both"/>
        <w:rPr>
          <w:sz w:val="20"/>
          <w:szCs w:val="20"/>
        </w:rPr>
      </w:pPr>
      <w:r>
        <w:rPr>
          <w:rFonts w:ascii="Calibri" w:eastAsia="Calibri" w:hAnsi="Calibri" w:cs="Calibri"/>
        </w:rPr>
        <w:t>L’enquête HBSC est décrite dans la section «sources» de cette publication (Partie I). L’objectif, les modalités et les limites des données collectées y sont présentés.</w:t>
      </w:r>
    </w:p>
    <w:p w:rsidR="00AC12B4" w:rsidRDefault="00AC12B4">
      <w:pPr>
        <w:spacing w:line="128" w:lineRule="exact"/>
        <w:rPr>
          <w:sz w:val="20"/>
          <w:szCs w:val="20"/>
        </w:rPr>
      </w:pPr>
    </w:p>
    <w:p w:rsidR="00AC12B4" w:rsidRDefault="00C27636">
      <w:pPr>
        <w:numPr>
          <w:ilvl w:val="0"/>
          <w:numId w:val="32"/>
        </w:numPr>
        <w:tabs>
          <w:tab w:val="left" w:pos="720"/>
        </w:tabs>
        <w:ind w:left="720" w:hanging="355"/>
        <w:rPr>
          <w:rFonts w:ascii="Wingdings" w:eastAsia="Wingdings" w:hAnsi="Wingdings" w:cs="Wingdings"/>
          <w:color w:val="C95C96"/>
        </w:rPr>
      </w:pPr>
      <w:r>
        <w:rPr>
          <w:rFonts w:ascii="Cambria" w:eastAsia="Cambria" w:hAnsi="Cambria" w:cs="Cambria"/>
          <w:i/>
          <w:iCs/>
          <w:color w:val="C95C96"/>
        </w:rPr>
        <w:t>Limite de la mesure</w:t>
      </w:r>
    </w:p>
    <w:p w:rsidR="00AC12B4" w:rsidRDefault="00AC12B4">
      <w:pPr>
        <w:spacing w:line="202" w:lineRule="exact"/>
        <w:rPr>
          <w:sz w:val="20"/>
          <w:szCs w:val="20"/>
        </w:rPr>
      </w:pPr>
    </w:p>
    <w:p w:rsidR="00AC12B4" w:rsidRDefault="00C27636">
      <w:pPr>
        <w:spacing w:line="224" w:lineRule="auto"/>
        <w:ind w:right="737"/>
        <w:jc w:val="both"/>
        <w:rPr>
          <w:sz w:val="20"/>
          <w:szCs w:val="20"/>
        </w:rPr>
      </w:pPr>
      <w:r>
        <w:rPr>
          <w:rFonts w:ascii="Calibri" w:eastAsia="Calibri" w:hAnsi="Calibri" w:cs="Calibri"/>
        </w:rPr>
        <w:t xml:space="preserve">Actuellement, cette enquête n’est pas menée au </w:t>
      </w:r>
      <w:r>
        <w:rPr>
          <w:rFonts w:ascii="Calibri" w:eastAsia="Calibri" w:hAnsi="Calibri" w:cs="Calibri"/>
        </w:rPr>
        <w:t>niveau de la Communauté germanophone.</w:t>
      </w:r>
    </w:p>
    <w:p w:rsidR="00AC12B4" w:rsidRDefault="00AC12B4">
      <w:pPr>
        <w:spacing w:line="172" w:lineRule="exact"/>
        <w:rPr>
          <w:sz w:val="20"/>
          <w:szCs w:val="20"/>
        </w:rPr>
      </w:pPr>
    </w:p>
    <w:p w:rsidR="00AC12B4" w:rsidRDefault="00C27636">
      <w:pPr>
        <w:spacing w:line="218" w:lineRule="auto"/>
        <w:ind w:right="737"/>
        <w:jc w:val="both"/>
        <w:rPr>
          <w:sz w:val="20"/>
          <w:szCs w:val="20"/>
        </w:rPr>
      </w:pPr>
      <w:r>
        <w:rPr>
          <w:rFonts w:ascii="Calibri" w:eastAsia="Calibri" w:hAnsi="Calibri" w:cs="Calibri"/>
        </w:rPr>
        <w:t>De plus, les élèves de l’enseignement spécialisé ne sont pas interrogés.</w:t>
      </w:r>
    </w:p>
    <w:p w:rsidR="00AC12B4" w:rsidRDefault="00AC12B4">
      <w:pPr>
        <w:spacing w:line="170" w:lineRule="exact"/>
        <w:rPr>
          <w:sz w:val="20"/>
          <w:szCs w:val="20"/>
        </w:rPr>
      </w:pPr>
    </w:p>
    <w:p w:rsidR="00AC12B4" w:rsidRDefault="00C27636">
      <w:pPr>
        <w:spacing w:line="232" w:lineRule="auto"/>
        <w:ind w:right="737"/>
        <w:jc w:val="both"/>
        <w:rPr>
          <w:sz w:val="20"/>
          <w:szCs w:val="20"/>
        </w:rPr>
      </w:pPr>
      <w:r>
        <w:rPr>
          <w:rFonts w:ascii="Calibri" w:eastAsia="Calibri" w:hAnsi="Calibri" w:cs="Calibri"/>
        </w:rPr>
        <w:t xml:space="preserve">Seuls les élèves présents le jour de l’enquête remplissent le questionnaire. Cela signifie que les élèves absents car malades, non-scolarisés, </w:t>
      </w:r>
      <w:r>
        <w:rPr>
          <w:rFonts w:ascii="Calibri" w:eastAsia="Calibri" w:hAnsi="Calibri" w:cs="Calibri"/>
        </w:rPr>
        <w:t>ou séchant les cours ne sont pas repris dans cette enquête.</w:t>
      </w:r>
    </w:p>
    <w:p w:rsidR="00AC12B4" w:rsidRDefault="00AC12B4">
      <w:pPr>
        <w:spacing w:line="133" w:lineRule="exact"/>
        <w:rPr>
          <w:sz w:val="20"/>
          <w:szCs w:val="20"/>
        </w:rPr>
      </w:pPr>
    </w:p>
    <w:p w:rsidR="00AC12B4" w:rsidRDefault="00C27636">
      <w:pPr>
        <w:numPr>
          <w:ilvl w:val="0"/>
          <w:numId w:val="33"/>
        </w:numPr>
        <w:tabs>
          <w:tab w:val="left" w:pos="720"/>
        </w:tabs>
        <w:ind w:left="720" w:hanging="355"/>
        <w:rPr>
          <w:rFonts w:ascii="Wingdings" w:eastAsia="Wingdings" w:hAnsi="Wingdings" w:cs="Wingdings"/>
          <w:color w:val="C95C96"/>
        </w:rPr>
      </w:pPr>
      <w:r>
        <w:rPr>
          <w:rFonts w:ascii="Cambria" w:eastAsia="Cambria" w:hAnsi="Cambria" w:cs="Cambria"/>
          <w:i/>
          <w:iCs/>
          <w:color w:val="C95C96"/>
        </w:rPr>
        <w:t>Recommandations</w:t>
      </w:r>
    </w:p>
    <w:p w:rsidR="00AC12B4" w:rsidRDefault="00AC12B4">
      <w:pPr>
        <w:spacing w:line="199" w:lineRule="exact"/>
        <w:rPr>
          <w:sz w:val="20"/>
          <w:szCs w:val="20"/>
        </w:rPr>
      </w:pPr>
    </w:p>
    <w:p w:rsidR="00AC12B4" w:rsidRDefault="00C27636">
      <w:pPr>
        <w:spacing w:line="218" w:lineRule="auto"/>
        <w:ind w:right="737"/>
        <w:rPr>
          <w:sz w:val="20"/>
          <w:szCs w:val="20"/>
        </w:rPr>
      </w:pPr>
      <w:r>
        <w:rPr>
          <w:rFonts w:ascii="Calibri" w:eastAsia="Calibri" w:hAnsi="Calibri" w:cs="Calibri"/>
        </w:rPr>
        <w:t>L’Enquête HBSC devrait être étendue aux élèves de l’enseignement spécialisé.</w:t>
      </w:r>
    </w:p>
    <w:p w:rsidR="00AC12B4" w:rsidRDefault="00AC12B4">
      <w:pPr>
        <w:spacing w:line="170" w:lineRule="exact"/>
        <w:rPr>
          <w:sz w:val="20"/>
          <w:szCs w:val="20"/>
        </w:rPr>
      </w:pPr>
    </w:p>
    <w:p w:rsidR="00AC12B4" w:rsidRDefault="00C27636">
      <w:pPr>
        <w:spacing w:line="218" w:lineRule="auto"/>
        <w:ind w:right="737"/>
        <w:rPr>
          <w:sz w:val="20"/>
          <w:szCs w:val="20"/>
        </w:rPr>
      </w:pPr>
      <w:r>
        <w:rPr>
          <w:rFonts w:ascii="Calibri" w:eastAsia="Calibri" w:hAnsi="Calibri" w:cs="Calibri"/>
        </w:rPr>
        <w:t>La Communauté germanophone devrait participer à cette enquête.</w:t>
      </w:r>
    </w:p>
    <w:p w:rsidR="00AC12B4" w:rsidRDefault="00AC12B4">
      <w:pPr>
        <w:spacing w:line="1342" w:lineRule="exact"/>
        <w:rPr>
          <w:sz w:val="20"/>
          <w:szCs w:val="20"/>
        </w:rPr>
      </w:pPr>
    </w:p>
    <w:p w:rsidR="00AC12B4" w:rsidRDefault="00AC12B4">
      <w:pPr>
        <w:sectPr w:rsidR="00AC12B4">
          <w:pgSz w:w="12080" w:h="17179"/>
          <w:pgMar w:top="1440" w:right="1440" w:bottom="659" w:left="430" w:header="0" w:footer="0" w:gutter="0"/>
          <w:cols w:num="2" w:space="720" w:equalWidth="0">
            <w:col w:w="4950" w:space="640"/>
            <w:col w:w="4617"/>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7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41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 xml:space="preserve">Le </w:t>
            </w:r>
            <w:r>
              <w:rPr>
                <w:rFonts w:ascii="Calibri" w:eastAsia="Calibri" w:hAnsi="Calibri" w:cs="Calibri"/>
                <w:b/>
                <w:bCs/>
                <w:i/>
                <w:iCs/>
                <w:color w:val="F2F2F2"/>
                <w:sz w:val="28"/>
                <w:szCs w:val="28"/>
              </w:rPr>
              <w:t>droit de poursuivre son bien-être</w:t>
            </w:r>
          </w:p>
        </w:tc>
      </w:tr>
    </w:tbl>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36" w:lineRule="exact"/>
        <w:rPr>
          <w:sz w:val="20"/>
          <w:szCs w:val="20"/>
        </w:rPr>
      </w:pPr>
    </w:p>
    <w:p w:rsidR="00AC12B4" w:rsidRDefault="00C27636">
      <w:pPr>
        <w:rPr>
          <w:sz w:val="20"/>
          <w:szCs w:val="20"/>
        </w:rPr>
      </w:pPr>
      <w:r>
        <w:rPr>
          <w:rFonts w:eastAsia="Times New Roman"/>
          <w:b/>
          <w:bCs/>
          <w:color w:val="963266"/>
          <w:sz w:val="24"/>
          <w:szCs w:val="24"/>
        </w:rPr>
        <w:t>Question originale dans l’enquête</w:t>
      </w:r>
    </w:p>
    <w:p w:rsidR="00AC12B4" w:rsidRDefault="00C27636">
      <w:pPr>
        <w:rPr>
          <w:sz w:val="20"/>
          <w:szCs w:val="20"/>
        </w:rPr>
      </w:pPr>
      <w:r>
        <w:rPr>
          <w:rFonts w:eastAsia="Times New Roman"/>
          <w:b/>
          <w:bCs/>
          <w:color w:val="963266"/>
          <w:sz w:val="24"/>
          <w:szCs w:val="24"/>
        </w:rPr>
        <w:t>HBSC :</w:t>
      </w:r>
    </w:p>
    <w:p w:rsidR="00AC12B4" w:rsidRDefault="00AC12B4">
      <w:pPr>
        <w:spacing w:line="205" w:lineRule="exact"/>
        <w:rPr>
          <w:sz w:val="20"/>
          <w:szCs w:val="20"/>
        </w:rPr>
      </w:pPr>
    </w:p>
    <w:p w:rsidR="00AC12B4" w:rsidRDefault="00C27636">
      <w:pPr>
        <w:ind w:left="340"/>
        <w:rPr>
          <w:sz w:val="20"/>
          <w:szCs w:val="20"/>
        </w:rPr>
      </w:pPr>
      <w:r>
        <w:rPr>
          <w:rFonts w:ascii="Calibri" w:eastAsia="Calibri" w:hAnsi="Calibri" w:cs="Calibri"/>
          <w:b/>
          <w:bCs/>
          <w:sz w:val="20"/>
          <w:szCs w:val="20"/>
        </w:rPr>
        <w:t xml:space="preserve">Satisfaction vis-à-vis de la vie : </w:t>
      </w:r>
      <w:r>
        <w:rPr>
          <w:rFonts w:ascii="Calibri" w:eastAsia="Calibri" w:hAnsi="Calibri" w:cs="Calibri"/>
          <w:sz w:val="20"/>
          <w:szCs w:val="20"/>
        </w:rPr>
        <w:t>Voici le</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dessin d’une échelle pour mesurer ce que tu</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penses de ta vie en général. Le sommet de</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l’échelle «10» signifie que tu considères</w:t>
      </w:r>
      <w:r>
        <w:rPr>
          <w:rFonts w:ascii="Calibri" w:eastAsia="Calibri" w:hAnsi="Calibri" w:cs="Calibri"/>
          <w:sz w:val="20"/>
          <w:szCs w:val="20"/>
        </w:rPr>
        <w:t xml:space="preserve"> que</w:t>
      </w:r>
    </w:p>
    <w:p w:rsidR="00AC12B4" w:rsidRDefault="00C27636">
      <w:pPr>
        <w:spacing w:line="238" w:lineRule="auto"/>
        <w:rPr>
          <w:sz w:val="20"/>
          <w:szCs w:val="20"/>
        </w:rPr>
      </w:pPr>
      <w:r>
        <w:rPr>
          <w:rFonts w:ascii="Calibri" w:eastAsia="Calibri" w:hAnsi="Calibri" w:cs="Calibri"/>
          <w:sz w:val="20"/>
          <w:szCs w:val="20"/>
        </w:rPr>
        <w:t>ta vie est la meilleure possible et le bas de</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l’échelle «0» signifie que tu considères que ta</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vie est la pire possible. De façon générale,</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pour l’instant, où te situes-tu sur l’échelle ?</w:t>
      </w:r>
    </w:p>
    <w:p w:rsidR="00AC12B4" w:rsidRDefault="00C27636">
      <w:pPr>
        <w:spacing w:line="238" w:lineRule="auto"/>
        <w:rPr>
          <w:sz w:val="20"/>
          <w:szCs w:val="20"/>
        </w:rPr>
      </w:pPr>
      <w:r>
        <w:rPr>
          <w:rFonts w:ascii="Calibri" w:eastAsia="Calibri" w:hAnsi="Calibri" w:cs="Calibri"/>
          <w:i/>
          <w:iCs/>
          <w:sz w:val="20"/>
          <w:szCs w:val="20"/>
        </w:rPr>
        <w:t>(FWB et FL : 2010-2014)</w:t>
      </w:r>
    </w:p>
    <w:p w:rsidR="00AC12B4" w:rsidRDefault="00AC12B4">
      <w:pPr>
        <w:spacing w:line="1" w:lineRule="exact"/>
        <w:rPr>
          <w:sz w:val="20"/>
          <w:szCs w:val="20"/>
        </w:rPr>
      </w:pPr>
    </w:p>
    <w:p w:rsidR="00AC12B4" w:rsidRDefault="00C27636">
      <w:pPr>
        <w:ind w:left="340"/>
        <w:rPr>
          <w:sz w:val="20"/>
          <w:szCs w:val="20"/>
        </w:rPr>
      </w:pPr>
      <w:r>
        <w:rPr>
          <w:rFonts w:ascii="Calibri" w:eastAsia="Calibri" w:hAnsi="Calibri" w:cs="Calibri"/>
          <w:b/>
          <w:bCs/>
          <w:sz w:val="20"/>
          <w:szCs w:val="20"/>
        </w:rPr>
        <w:t xml:space="preserve">Bonheur : </w:t>
      </w:r>
      <w:r>
        <w:rPr>
          <w:rFonts w:ascii="Calibri" w:eastAsia="Calibri" w:hAnsi="Calibri" w:cs="Calibri"/>
          <w:sz w:val="20"/>
          <w:szCs w:val="20"/>
        </w:rPr>
        <w:t xml:space="preserve">En général, comment te </w:t>
      </w:r>
      <w:r>
        <w:rPr>
          <w:rFonts w:ascii="Calibri" w:eastAsia="Calibri" w:hAnsi="Calibri" w:cs="Calibri"/>
          <w:sz w:val="20"/>
          <w:szCs w:val="20"/>
        </w:rPr>
        <w:t>sens-</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tu pour le moment ? Très heureux, heureux,</w:t>
      </w:r>
    </w:p>
    <w:p w:rsidR="00AC12B4" w:rsidRDefault="00C27636">
      <w:pPr>
        <w:spacing w:line="238" w:lineRule="auto"/>
        <w:rPr>
          <w:sz w:val="20"/>
          <w:szCs w:val="20"/>
        </w:rPr>
      </w:pPr>
      <w:r>
        <w:rPr>
          <w:rFonts w:ascii="Calibri" w:eastAsia="Calibri" w:hAnsi="Calibri" w:cs="Calibri"/>
          <w:sz w:val="20"/>
          <w:szCs w:val="20"/>
        </w:rPr>
        <w:t>pas très heureux, pas heureux du tout (FWB</w:t>
      </w:r>
    </w:p>
    <w:p w:rsidR="00AC12B4" w:rsidRDefault="00AC12B4">
      <w:pPr>
        <w:spacing w:line="1" w:lineRule="exact"/>
        <w:rPr>
          <w:sz w:val="20"/>
          <w:szCs w:val="20"/>
        </w:rPr>
      </w:pPr>
    </w:p>
    <w:p w:rsidR="00AC12B4" w:rsidRDefault="00C27636">
      <w:pPr>
        <w:rPr>
          <w:sz w:val="20"/>
          <w:szCs w:val="20"/>
        </w:rPr>
      </w:pPr>
      <w:r>
        <w:rPr>
          <w:rFonts w:ascii="Calibri" w:eastAsia="Calibri" w:hAnsi="Calibri" w:cs="Calibri"/>
          <w:sz w:val="20"/>
          <w:szCs w:val="20"/>
        </w:rPr>
        <w:t>et FL 1994 - 2014)</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43" w:lineRule="exact"/>
        <w:rPr>
          <w:sz w:val="20"/>
          <w:szCs w:val="20"/>
        </w:rPr>
      </w:pPr>
    </w:p>
    <w:p w:rsidR="00AC12B4" w:rsidRDefault="00C27636">
      <w:pPr>
        <w:ind w:right="777"/>
        <w:jc w:val="center"/>
        <w:rPr>
          <w:sz w:val="20"/>
          <w:szCs w:val="20"/>
        </w:rPr>
      </w:pPr>
      <w:r>
        <w:rPr>
          <w:rFonts w:ascii="Calibri" w:eastAsia="Calibri" w:hAnsi="Calibri" w:cs="Calibri"/>
          <w:sz w:val="21"/>
          <w:szCs w:val="21"/>
        </w:rPr>
        <w:t>48</w:t>
      </w:r>
    </w:p>
    <w:p w:rsidR="00AC12B4" w:rsidRDefault="00AC12B4">
      <w:pPr>
        <w:sectPr w:rsidR="00AC12B4">
          <w:type w:val="continuous"/>
          <w:pgSz w:w="12080" w:h="17179"/>
          <w:pgMar w:top="1440" w:right="1440" w:bottom="659" w:left="430" w:header="0" w:footer="0" w:gutter="0"/>
          <w:cols w:num="2" w:space="720" w:equalWidth="0">
            <w:col w:w="342" w:space="708"/>
            <w:col w:w="9157"/>
          </w:cols>
        </w:sectPr>
      </w:pPr>
    </w:p>
    <w:p w:rsidR="00AC12B4" w:rsidRDefault="00AC12B4">
      <w:pPr>
        <w:spacing w:line="168" w:lineRule="exact"/>
        <w:rPr>
          <w:sz w:val="20"/>
          <w:szCs w:val="20"/>
        </w:rPr>
      </w:pPr>
      <w:bookmarkStart w:id="48" w:name="page49"/>
      <w:bookmarkEnd w:id="48"/>
    </w:p>
    <w:p w:rsidR="00AC12B4" w:rsidRDefault="00C27636">
      <w:pPr>
        <w:ind w:left="1460"/>
        <w:rPr>
          <w:sz w:val="20"/>
          <w:szCs w:val="20"/>
        </w:rPr>
      </w:pPr>
      <w:r>
        <w:rPr>
          <w:rFonts w:ascii="Comic Sans MS" w:eastAsia="Comic Sans MS" w:hAnsi="Comic Sans MS" w:cs="Comic Sans MS"/>
          <w:color w:val="C95C96"/>
          <w:sz w:val="40"/>
          <w:szCs w:val="40"/>
        </w:rPr>
        <w:t>B2. Perspective d'avenir</w:t>
      </w:r>
    </w:p>
    <w:p w:rsidR="00AC12B4" w:rsidRDefault="00AC12B4">
      <w:pPr>
        <w:spacing w:line="26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540"/>
        <w:gridCol w:w="320"/>
        <w:gridCol w:w="340"/>
        <w:gridCol w:w="1060"/>
        <w:gridCol w:w="380"/>
        <w:gridCol w:w="380"/>
        <w:gridCol w:w="460"/>
        <w:gridCol w:w="600"/>
        <w:gridCol w:w="120"/>
        <w:gridCol w:w="320"/>
        <w:gridCol w:w="760"/>
        <w:gridCol w:w="120"/>
        <w:gridCol w:w="100"/>
        <w:gridCol w:w="380"/>
        <w:gridCol w:w="100"/>
        <w:gridCol w:w="140"/>
        <w:gridCol w:w="280"/>
        <w:gridCol w:w="300"/>
        <w:gridCol w:w="260"/>
        <w:gridCol w:w="40"/>
        <w:gridCol w:w="260"/>
        <w:gridCol w:w="300"/>
        <w:gridCol w:w="1200"/>
        <w:gridCol w:w="30"/>
      </w:tblGrid>
      <w:tr w:rsidR="00AC12B4">
        <w:trPr>
          <w:trHeight w:val="263"/>
        </w:trPr>
        <w:tc>
          <w:tcPr>
            <w:tcW w:w="1980" w:type="dxa"/>
            <w:vMerge w:val="restart"/>
            <w:tcBorders>
              <w:top w:val="single" w:sz="8" w:space="0" w:color="963266"/>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b/>
                <w:bCs/>
                <w:i/>
                <w:iCs/>
                <w:color w:val="EAF1DD"/>
                <w:sz w:val="20"/>
                <w:szCs w:val="20"/>
              </w:rPr>
              <w:t>Article 3 CIDE</w:t>
            </w:r>
          </w:p>
        </w:tc>
        <w:tc>
          <w:tcPr>
            <w:tcW w:w="540" w:type="dxa"/>
            <w:tcBorders>
              <w:top w:val="single" w:sz="8" w:space="0" w:color="963266"/>
            </w:tcBorders>
            <w:shd w:val="clear" w:color="auto" w:fill="C95C96"/>
            <w:vAlign w:val="bottom"/>
          </w:tcPr>
          <w:p w:rsidR="00AC12B4" w:rsidRDefault="00AC12B4"/>
        </w:tc>
        <w:tc>
          <w:tcPr>
            <w:tcW w:w="320" w:type="dxa"/>
            <w:tcBorders>
              <w:top w:val="single" w:sz="8" w:space="0" w:color="963266"/>
            </w:tcBorders>
            <w:shd w:val="clear" w:color="auto" w:fill="C95C96"/>
            <w:vAlign w:val="bottom"/>
          </w:tcPr>
          <w:p w:rsidR="00AC12B4" w:rsidRDefault="00AC12B4"/>
        </w:tc>
        <w:tc>
          <w:tcPr>
            <w:tcW w:w="340" w:type="dxa"/>
            <w:tcBorders>
              <w:top w:val="single" w:sz="8" w:space="0" w:color="963266"/>
            </w:tcBorders>
            <w:shd w:val="clear" w:color="auto" w:fill="C95C96"/>
            <w:vAlign w:val="bottom"/>
          </w:tcPr>
          <w:p w:rsidR="00AC12B4" w:rsidRDefault="00AC12B4"/>
        </w:tc>
        <w:tc>
          <w:tcPr>
            <w:tcW w:w="1060" w:type="dxa"/>
            <w:tcBorders>
              <w:top w:val="single" w:sz="8" w:space="0" w:color="963266"/>
            </w:tcBorders>
            <w:shd w:val="clear" w:color="auto" w:fill="C95C96"/>
            <w:vAlign w:val="bottom"/>
          </w:tcPr>
          <w:p w:rsidR="00AC12B4" w:rsidRDefault="00AC12B4"/>
        </w:tc>
        <w:tc>
          <w:tcPr>
            <w:tcW w:w="380" w:type="dxa"/>
            <w:tcBorders>
              <w:top w:val="single" w:sz="8" w:space="0" w:color="963266"/>
            </w:tcBorders>
            <w:shd w:val="clear" w:color="auto" w:fill="C95C96"/>
            <w:vAlign w:val="bottom"/>
          </w:tcPr>
          <w:p w:rsidR="00AC12B4" w:rsidRDefault="00AC12B4"/>
        </w:tc>
        <w:tc>
          <w:tcPr>
            <w:tcW w:w="380" w:type="dxa"/>
            <w:tcBorders>
              <w:top w:val="single" w:sz="8" w:space="0" w:color="963266"/>
            </w:tcBorders>
            <w:shd w:val="clear" w:color="auto" w:fill="C95C96"/>
            <w:vAlign w:val="bottom"/>
          </w:tcPr>
          <w:p w:rsidR="00AC12B4" w:rsidRDefault="00AC12B4"/>
        </w:tc>
        <w:tc>
          <w:tcPr>
            <w:tcW w:w="460" w:type="dxa"/>
            <w:tcBorders>
              <w:top w:val="single" w:sz="8" w:space="0" w:color="963266"/>
            </w:tcBorders>
            <w:shd w:val="clear" w:color="auto" w:fill="C95C96"/>
            <w:vAlign w:val="bottom"/>
          </w:tcPr>
          <w:p w:rsidR="00AC12B4" w:rsidRDefault="00AC12B4"/>
        </w:tc>
        <w:tc>
          <w:tcPr>
            <w:tcW w:w="600" w:type="dxa"/>
            <w:tcBorders>
              <w:top w:val="single" w:sz="8" w:space="0" w:color="963266"/>
            </w:tcBorders>
            <w:shd w:val="clear" w:color="auto" w:fill="C95C96"/>
            <w:vAlign w:val="bottom"/>
          </w:tcPr>
          <w:p w:rsidR="00AC12B4" w:rsidRDefault="00AC12B4"/>
        </w:tc>
        <w:tc>
          <w:tcPr>
            <w:tcW w:w="120" w:type="dxa"/>
            <w:tcBorders>
              <w:top w:val="single" w:sz="8" w:space="0" w:color="963266"/>
            </w:tcBorders>
            <w:shd w:val="clear" w:color="auto" w:fill="C95C96"/>
            <w:vAlign w:val="bottom"/>
          </w:tcPr>
          <w:p w:rsidR="00AC12B4" w:rsidRDefault="00AC12B4"/>
        </w:tc>
        <w:tc>
          <w:tcPr>
            <w:tcW w:w="320" w:type="dxa"/>
            <w:tcBorders>
              <w:top w:val="single" w:sz="8" w:space="0" w:color="963266"/>
            </w:tcBorders>
            <w:shd w:val="clear" w:color="auto" w:fill="C95C96"/>
            <w:vAlign w:val="bottom"/>
          </w:tcPr>
          <w:p w:rsidR="00AC12B4" w:rsidRDefault="00AC12B4"/>
        </w:tc>
        <w:tc>
          <w:tcPr>
            <w:tcW w:w="760" w:type="dxa"/>
            <w:tcBorders>
              <w:top w:val="single" w:sz="8" w:space="0" w:color="963266"/>
            </w:tcBorders>
            <w:shd w:val="clear" w:color="auto" w:fill="C95C96"/>
            <w:vAlign w:val="bottom"/>
          </w:tcPr>
          <w:p w:rsidR="00AC12B4" w:rsidRDefault="00AC12B4"/>
        </w:tc>
        <w:tc>
          <w:tcPr>
            <w:tcW w:w="120" w:type="dxa"/>
            <w:tcBorders>
              <w:top w:val="single" w:sz="8" w:space="0" w:color="963266"/>
              <w:right w:val="single" w:sz="8" w:space="0" w:color="963266"/>
            </w:tcBorders>
            <w:shd w:val="clear" w:color="auto" w:fill="C95C96"/>
            <w:vAlign w:val="bottom"/>
          </w:tcPr>
          <w:p w:rsidR="00AC12B4" w:rsidRDefault="00AC12B4"/>
        </w:tc>
        <w:tc>
          <w:tcPr>
            <w:tcW w:w="100" w:type="dxa"/>
            <w:vAlign w:val="bottom"/>
          </w:tcPr>
          <w:p w:rsidR="00AC12B4" w:rsidRDefault="00AC12B4"/>
        </w:tc>
        <w:tc>
          <w:tcPr>
            <w:tcW w:w="3260" w:type="dxa"/>
            <w:gridSpan w:val="10"/>
            <w:vAlign w:val="bottom"/>
          </w:tcPr>
          <w:p w:rsidR="00AC12B4" w:rsidRDefault="00C27636">
            <w:pPr>
              <w:spacing w:line="263" w:lineRule="exact"/>
              <w:ind w:left="80"/>
              <w:rPr>
                <w:sz w:val="20"/>
                <w:szCs w:val="20"/>
              </w:rPr>
            </w:pPr>
            <w:r>
              <w:rPr>
                <w:rFonts w:ascii="Calibri" w:eastAsia="Calibri" w:hAnsi="Calibri" w:cs="Calibri"/>
              </w:rPr>
              <w:t>40.1 et 40.4 ainsi que les</w:t>
            </w:r>
          </w:p>
        </w:tc>
        <w:tc>
          <w:tcPr>
            <w:tcW w:w="0" w:type="dxa"/>
            <w:vAlign w:val="bottom"/>
          </w:tcPr>
          <w:p w:rsidR="00AC12B4" w:rsidRDefault="00AC12B4">
            <w:pPr>
              <w:rPr>
                <w:sz w:val="1"/>
                <w:szCs w:val="1"/>
              </w:rPr>
            </w:pPr>
          </w:p>
        </w:tc>
      </w:tr>
      <w:tr w:rsidR="00AC12B4">
        <w:trPr>
          <w:trHeight w:val="92"/>
        </w:trPr>
        <w:tc>
          <w:tcPr>
            <w:tcW w:w="1980" w:type="dxa"/>
            <w:vMerge/>
            <w:tcBorders>
              <w:left w:val="single" w:sz="8" w:space="0" w:color="963266"/>
            </w:tcBorders>
            <w:shd w:val="clear" w:color="auto" w:fill="C95C96"/>
            <w:vAlign w:val="bottom"/>
          </w:tcPr>
          <w:p w:rsidR="00AC12B4" w:rsidRDefault="00AC12B4">
            <w:pPr>
              <w:rPr>
                <w:sz w:val="8"/>
                <w:szCs w:val="8"/>
              </w:rPr>
            </w:pPr>
          </w:p>
        </w:tc>
        <w:tc>
          <w:tcPr>
            <w:tcW w:w="540" w:type="dxa"/>
            <w:shd w:val="clear" w:color="auto" w:fill="C95C96"/>
            <w:vAlign w:val="bottom"/>
          </w:tcPr>
          <w:p w:rsidR="00AC12B4" w:rsidRDefault="00AC12B4">
            <w:pPr>
              <w:rPr>
                <w:sz w:val="8"/>
                <w:szCs w:val="8"/>
              </w:rPr>
            </w:pPr>
          </w:p>
        </w:tc>
        <w:tc>
          <w:tcPr>
            <w:tcW w:w="320" w:type="dxa"/>
            <w:shd w:val="clear" w:color="auto" w:fill="C95C96"/>
            <w:vAlign w:val="bottom"/>
          </w:tcPr>
          <w:p w:rsidR="00AC12B4" w:rsidRDefault="00AC12B4">
            <w:pPr>
              <w:rPr>
                <w:sz w:val="8"/>
                <w:szCs w:val="8"/>
              </w:rPr>
            </w:pPr>
          </w:p>
        </w:tc>
        <w:tc>
          <w:tcPr>
            <w:tcW w:w="340" w:type="dxa"/>
            <w:shd w:val="clear" w:color="auto" w:fill="C95C96"/>
            <w:vAlign w:val="bottom"/>
          </w:tcPr>
          <w:p w:rsidR="00AC12B4" w:rsidRDefault="00AC12B4">
            <w:pPr>
              <w:rPr>
                <w:sz w:val="8"/>
                <w:szCs w:val="8"/>
              </w:rPr>
            </w:pPr>
          </w:p>
        </w:tc>
        <w:tc>
          <w:tcPr>
            <w:tcW w:w="1060" w:type="dxa"/>
            <w:shd w:val="clear" w:color="auto" w:fill="C95C96"/>
            <w:vAlign w:val="bottom"/>
          </w:tcPr>
          <w:p w:rsidR="00AC12B4" w:rsidRDefault="00AC12B4">
            <w:pPr>
              <w:rPr>
                <w:sz w:val="8"/>
                <w:szCs w:val="8"/>
              </w:rPr>
            </w:pPr>
          </w:p>
        </w:tc>
        <w:tc>
          <w:tcPr>
            <w:tcW w:w="380" w:type="dxa"/>
            <w:shd w:val="clear" w:color="auto" w:fill="C95C96"/>
            <w:vAlign w:val="bottom"/>
          </w:tcPr>
          <w:p w:rsidR="00AC12B4" w:rsidRDefault="00AC12B4">
            <w:pPr>
              <w:rPr>
                <w:sz w:val="8"/>
                <w:szCs w:val="8"/>
              </w:rPr>
            </w:pPr>
          </w:p>
        </w:tc>
        <w:tc>
          <w:tcPr>
            <w:tcW w:w="380" w:type="dxa"/>
            <w:shd w:val="clear" w:color="auto" w:fill="C95C96"/>
            <w:vAlign w:val="bottom"/>
          </w:tcPr>
          <w:p w:rsidR="00AC12B4" w:rsidRDefault="00AC12B4">
            <w:pPr>
              <w:rPr>
                <w:sz w:val="8"/>
                <w:szCs w:val="8"/>
              </w:rPr>
            </w:pPr>
          </w:p>
        </w:tc>
        <w:tc>
          <w:tcPr>
            <w:tcW w:w="460" w:type="dxa"/>
            <w:shd w:val="clear" w:color="auto" w:fill="C95C96"/>
            <w:vAlign w:val="bottom"/>
          </w:tcPr>
          <w:p w:rsidR="00AC12B4" w:rsidRDefault="00AC12B4">
            <w:pPr>
              <w:rPr>
                <w:sz w:val="8"/>
                <w:szCs w:val="8"/>
              </w:rPr>
            </w:pPr>
          </w:p>
        </w:tc>
        <w:tc>
          <w:tcPr>
            <w:tcW w:w="600" w:type="dxa"/>
            <w:shd w:val="clear" w:color="auto" w:fill="C95C96"/>
            <w:vAlign w:val="bottom"/>
          </w:tcPr>
          <w:p w:rsidR="00AC12B4" w:rsidRDefault="00AC12B4">
            <w:pPr>
              <w:rPr>
                <w:sz w:val="8"/>
                <w:szCs w:val="8"/>
              </w:rPr>
            </w:pPr>
          </w:p>
        </w:tc>
        <w:tc>
          <w:tcPr>
            <w:tcW w:w="120" w:type="dxa"/>
            <w:shd w:val="clear" w:color="auto" w:fill="C95C96"/>
            <w:vAlign w:val="bottom"/>
          </w:tcPr>
          <w:p w:rsidR="00AC12B4" w:rsidRDefault="00AC12B4">
            <w:pPr>
              <w:rPr>
                <w:sz w:val="8"/>
                <w:szCs w:val="8"/>
              </w:rPr>
            </w:pPr>
          </w:p>
        </w:tc>
        <w:tc>
          <w:tcPr>
            <w:tcW w:w="320" w:type="dxa"/>
            <w:shd w:val="clear" w:color="auto" w:fill="C95C96"/>
            <w:vAlign w:val="bottom"/>
          </w:tcPr>
          <w:p w:rsidR="00AC12B4" w:rsidRDefault="00AC12B4">
            <w:pPr>
              <w:rPr>
                <w:sz w:val="8"/>
                <w:szCs w:val="8"/>
              </w:rPr>
            </w:pPr>
          </w:p>
        </w:tc>
        <w:tc>
          <w:tcPr>
            <w:tcW w:w="760" w:type="dxa"/>
            <w:shd w:val="clear" w:color="auto" w:fill="C95C96"/>
            <w:vAlign w:val="bottom"/>
          </w:tcPr>
          <w:p w:rsidR="00AC12B4" w:rsidRDefault="00AC12B4">
            <w:pPr>
              <w:rPr>
                <w:sz w:val="8"/>
                <w:szCs w:val="8"/>
              </w:rPr>
            </w:pPr>
          </w:p>
        </w:tc>
        <w:tc>
          <w:tcPr>
            <w:tcW w:w="120" w:type="dxa"/>
            <w:tcBorders>
              <w:right w:val="single" w:sz="8" w:space="0" w:color="963266"/>
            </w:tcBorders>
            <w:shd w:val="clear" w:color="auto" w:fill="C95C96"/>
            <w:vAlign w:val="bottom"/>
          </w:tcPr>
          <w:p w:rsidR="00AC12B4" w:rsidRDefault="00AC12B4">
            <w:pPr>
              <w:rPr>
                <w:sz w:val="8"/>
                <w:szCs w:val="8"/>
              </w:rPr>
            </w:pPr>
          </w:p>
        </w:tc>
        <w:tc>
          <w:tcPr>
            <w:tcW w:w="100" w:type="dxa"/>
            <w:vAlign w:val="bottom"/>
          </w:tcPr>
          <w:p w:rsidR="00AC12B4" w:rsidRDefault="00AC12B4">
            <w:pPr>
              <w:rPr>
                <w:sz w:val="8"/>
                <w:szCs w:val="8"/>
              </w:rPr>
            </w:pPr>
          </w:p>
        </w:tc>
        <w:tc>
          <w:tcPr>
            <w:tcW w:w="1760" w:type="dxa"/>
            <w:gridSpan w:val="8"/>
            <w:vMerge w:val="restart"/>
            <w:vAlign w:val="bottom"/>
          </w:tcPr>
          <w:p w:rsidR="00AC12B4" w:rsidRDefault="00C27636">
            <w:pPr>
              <w:ind w:left="80"/>
              <w:rPr>
                <w:sz w:val="20"/>
                <w:szCs w:val="20"/>
              </w:rPr>
            </w:pPr>
            <w:r>
              <w:rPr>
                <w:rFonts w:ascii="Calibri" w:eastAsia="Calibri" w:hAnsi="Calibri" w:cs="Calibri"/>
              </w:rPr>
              <w:t xml:space="preserve">Règles de </w:t>
            </w:r>
            <w:r>
              <w:rPr>
                <w:rFonts w:ascii="Calibri" w:eastAsia="Calibri" w:hAnsi="Calibri" w:cs="Calibri"/>
              </w:rPr>
              <w:t>Beijing</w:t>
            </w:r>
          </w:p>
        </w:tc>
        <w:tc>
          <w:tcPr>
            <w:tcW w:w="1500" w:type="dxa"/>
            <w:gridSpan w:val="2"/>
            <w:vMerge w:val="restart"/>
            <w:vAlign w:val="bottom"/>
          </w:tcPr>
          <w:p w:rsidR="00AC12B4" w:rsidRDefault="00C27636">
            <w:pPr>
              <w:ind w:right="690"/>
              <w:jc w:val="right"/>
              <w:rPr>
                <w:sz w:val="20"/>
                <w:szCs w:val="20"/>
              </w:rPr>
            </w:pPr>
            <w:r>
              <w:rPr>
                <w:rFonts w:ascii="Calibri" w:eastAsia="Calibri" w:hAnsi="Calibri" w:cs="Calibri"/>
              </w:rPr>
              <w:t>(Règles</w:t>
            </w:r>
          </w:p>
        </w:tc>
        <w:tc>
          <w:tcPr>
            <w:tcW w:w="0" w:type="dxa"/>
            <w:vAlign w:val="bottom"/>
          </w:tcPr>
          <w:p w:rsidR="00AC12B4" w:rsidRDefault="00AC12B4">
            <w:pPr>
              <w:rPr>
                <w:sz w:val="1"/>
                <w:szCs w:val="1"/>
              </w:rPr>
            </w:pPr>
          </w:p>
        </w:tc>
      </w:tr>
      <w:tr w:rsidR="00AC12B4">
        <w:trPr>
          <w:trHeight w:val="176"/>
        </w:trPr>
        <w:tc>
          <w:tcPr>
            <w:tcW w:w="7260" w:type="dxa"/>
            <w:gridSpan w:val="12"/>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1. Dans toutes les décisions qui concernent les enfants, qu’elles soient le fait des</w:t>
            </w:r>
          </w:p>
        </w:tc>
        <w:tc>
          <w:tcPr>
            <w:tcW w:w="120" w:type="dxa"/>
            <w:tcBorders>
              <w:right w:val="single" w:sz="8" w:space="0" w:color="963266"/>
            </w:tcBorders>
            <w:shd w:val="clear" w:color="auto" w:fill="C95C96"/>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1760" w:type="dxa"/>
            <w:gridSpan w:val="8"/>
            <w:vMerge/>
            <w:vAlign w:val="bottom"/>
          </w:tcPr>
          <w:p w:rsidR="00AC12B4" w:rsidRDefault="00AC12B4">
            <w:pPr>
              <w:rPr>
                <w:sz w:val="15"/>
                <w:szCs w:val="15"/>
              </w:rPr>
            </w:pPr>
          </w:p>
        </w:tc>
        <w:tc>
          <w:tcPr>
            <w:tcW w:w="1500" w:type="dxa"/>
            <w:gridSpan w:val="2"/>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88"/>
        </w:trPr>
        <w:tc>
          <w:tcPr>
            <w:tcW w:w="7260" w:type="dxa"/>
            <w:gridSpan w:val="12"/>
            <w:vMerge/>
            <w:tcBorders>
              <w:left w:val="single" w:sz="8" w:space="0" w:color="963266"/>
            </w:tcBorders>
            <w:shd w:val="clear" w:color="auto" w:fill="C95C96"/>
            <w:vAlign w:val="bottom"/>
          </w:tcPr>
          <w:p w:rsidR="00AC12B4" w:rsidRDefault="00AC12B4">
            <w:pPr>
              <w:rPr>
                <w:sz w:val="16"/>
                <w:szCs w:val="16"/>
              </w:rPr>
            </w:pPr>
          </w:p>
        </w:tc>
        <w:tc>
          <w:tcPr>
            <w:tcW w:w="120" w:type="dxa"/>
            <w:tcBorders>
              <w:right w:val="single" w:sz="8" w:space="0" w:color="963266"/>
            </w:tcBorders>
            <w:shd w:val="clear" w:color="auto" w:fill="C95C96"/>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3260" w:type="dxa"/>
            <w:gridSpan w:val="10"/>
            <w:vMerge w:val="restart"/>
            <w:vAlign w:val="bottom"/>
          </w:tcPr>
          <w:p w:rsidR="00AC12B4" w:rsidRDefault="00C27636">
            <w:pPr>
              <w:ind w:left="80"/>
              <w:rPr>
                <w:sz w:val="20"/>
                <w:szCs w:val="20"/>
              </w:rPr>
            </w:pPr>
            <w:r>
              <w:rPr>
                <w:rFonts w:ascii="Calibri" w:eastAsia="Calibri" w:hAnsi="Calibri" w:cs="Calibri"/>
              </w:rPr>
              <w:t>minima des Nations Unies</w:t>
            </w:r>
          </w:p>
        </w:tc>
        <w:tc>
          <w:tcPr>
            <w:tcW w:w="0" w:type="dxa"/>
            <w:vAlign w:val="bottom"/>
          </w:tcPr>
          <w:p w:rsidR="00AC12B4" w:rsidRDefault="00AC12B4">
            <w:pPr>
              <w:rPr>
                <w:sz w:val="1"/>
                <w:szCs w:val="1"/>
              </w:rPr>
            </w:pPr>
          </w:p>
        </w:tc>
      </w:tr>
      <w:tr w:rsidR="00AC12B4">
        <w:trPr>
          <w:trHeight w:val="80"/>
        </w:trPr>
        <w:tc>
          <w:tcPr>
            <w:tcW w:w="2520" w:type="dxa"/>
            <w:gridSpan w:val="2"/>
            <w:vMerge w:val="restart"/>
            <w:tcBorders>
              <w:left w:val="single" w:sz="8" w:space="0" w:color="963266"/>
            </w:tcBorders>
            <w:shd w:val="clear" w:color="auto" w:fill="C95C96"/>
            <w:vAlign w:val="bottom"/>
          </w:tcPr>
          <w:p w:rsidR="00AC12B4" w:rsidRDefault="00C27636">
            <w:pPr>
              <w:spacing w:line="243" w:lineRule="exact"/>
              <w:ind w:left="580"/>
              <w:rPr>
                <w:sz w:val="20"/>
                <w:szCs w:val="20"/>
              </w:rPr>
            </w:pPr>
            <w:r>
              <w:rPr>
                <w:rFonts w:ascii="Calibri" w:eastAsia="Calibri" w:hAnsi="Calibri" w:cs="Calibri"/>
                <w:i/>
                <w:iCs/>
                <w:color w:val="EAF1DD"/>
                <w:sz w:val="20"/>
                <w:szCs w:val="20"/>
              </w:rPr>
              <w:t>institutions publiques</w:t>
            </w:r>
          </w:p>
        </w:tc>
        <w:tc>
          <w:tcPr>
            <w:tcW w:w="320" w:type="dxa"/>
            <w:vMerge w:val="restart"/>
            <w:shd w:val="clear" w:color="auto" w:fill="C95C96"/>
            <w:vAlign w:val="bottom"/>
          </w:tcPr>
          <w:p w:rsidR="00AC12B4" w:rsidRDefault="00C27636">
            <w:pPr>
              <w:spacing w:line="243" w:lineRule="exact"/>
              <w:ind w:right="15"/>
              <w:jc w:val="center"/>
              <w:rPr>
                <w:sz w:val="20"/>
                <w:szCs w:val="20"/>
              </w:rPr>
            </w:pPr>
            <w:r>
              <w:rPr>
                <w:rFonts w:ascii="Calibri" w:eastAsia="Calibri" w:hAnsi="Calibri" w:cs="Calibri"/>
                <w:i/>
                <w:iCs/>
                <w:color w:val="EAF1DD"/>
                <w:w w:val="97"/>
                <w:sz w:val="20"/>
                <w:szCs w:val="20"/>
              </w:rPr>
              <w:t>ou</w:t>
            </w:r>
          </w:p>
        </w:tc>
        <w:tc>
          <w:tcPr>
            <w:tcW w:w="4420" w:type="dxa"/>
            <w:gridSpan w:val="9"/>
            <w:vMerge w:val="restart"/>
            <w:shd w:val="clear" w:color="auto" w:fill="C95C96"/>
            <w:vAlign w:val="bottom"/>
          </w:tcPr>
          <w:p w:rsidR="00AC12B4" w:rsidRDefault="00C27636">
            <w:pPr>
              <w:spacing w:line="243" w:lineRule="exact"/>
              <w:jc w:val="right"/>
              <w:rPr>
                <w:sz w:val="20"/>
                <w:szCs w:val="20"/>
              </w:rPr>
            </w:pPr>
            <w:r>
              <w:rPr>
                <w:rFonts w:ascii="Calibri" w:eastAsia="Calibri" w:hAnsi="Calibri" w:cs="Calibri"/>
                <w:i/>
                <w:iCs/>
                <w:color w:val="EAF1DD"/>
                <w:sz w:val="20"/>
                <w:szCs w:val="20"/>
              </w:rPr>
              <w:t>privées de protection sociale, des tribunaux, des</w:t>
            </w:r>
          </w:p>
        </w:tc>
        <w:tc>
          <w:tcPr>
            <w:tcW w:w="120" w:type="dxa"/>
            <w:tcBorders>
              <w:right w:val="single" w:sz="8" w:space="0" w:color="963266"/>
            </w:tcBorders>
            <w:shd w:val="clear" w:color="auto" w:fill="C95C96"/>
            <w:vAlign w:val="bottom"/>
          </w:tcPr>
          <w:p w:rsidR="00AC12B4" w:rsidRDefault="00AC12B4">
            <w:pPr>
              <w:rPr>
                <w:sz w:val="6"/>
                <w:szCs w:val="6"/>
              </w:rPr>
            </w:pPr>
          </w:p>
        </w:tc>
        <w:tc>
          <w:tcPr>
            <w:tcW w:w="100" w:type="dxa"/>
            <w:vAlign w:val="bottom"/>
          </w:tcPr>
          <w:p w:rsidR="00AC12B4" w:rsidRDefault="00AC12B4">
            <w:pPr>
              <w:rPr>
                <w:sz w:val="6"/>
                <w:szCs w:val="6"/>
              </w:rPr>
            </w:pPr>
          </w:p>
        </w:tc>
        <w:tc>
          <w:tcPr>
            <w:tcW w:w="3260" w:type="dxa"/>
            <w:gridSpan w:val="10"/>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62"/>
        </w:trPr>
        <w:tc>
          <w:tcPr>
            <w:tcW w:w="2520" w:type="dxa"/>
            <w:gridSpan w:val="2"/>
            <w:vMerge/>
            <w:tcBorders>
              <w:left w:val="single" w:sz="8" w:space="0" w:color="963266"/>
            </w:tcBorders>
            <w:shd w:val="clear" w:color="auto" w:fill="C95C96"/>
            <w:vAlign w:val="bottom"/>
          </w:tcPr>
          <w:p w:rsidR="00AC12B4" w:rsidRDefault="00AC12B4">
            <w:pPr>
              <w:rPr>
                <w:sz w:val="14"/>
                <w:szCs w:val="14"/>
              </w:rPr>
            </w:pPr>
          </w:p>
        </w:tc>
        <w:tc>
          <w:tcPr>
            <w:tcW w:w="320" w:type="dxa"/>
            <w:vMerge/>
            <w:shd w:val="clear" w:color="auto" w:fill="C95C96"/>
            <w:vAlign w:val="bottom"/>
          </w:tcPr>
          <w:p w:rsidR="00AC12B4" w:rsidRDefault="00AC12B4">
            <w:pPr>
              <w:rPr>
                <w:sz w:val="14"/>
                <w:szCs w:val="14"/>
              </w:rPr>
            </w:pPr>
          </w:p>
        </w:tc>
        <w:tc>
          <w:tcPr>
            <w:tcW w:w="4420" w:type="dxa"/>
            <w:gridSpan w:val="9"/>
            <w:vMerge/>
            <w:shd w:val="clear" w:color="auto" w:fill="C95C96"/>
            <w:vAlign w:val="bottom"/>
          </w:tcPr>
          <w:p w:rsidR="00AC12B4" w:rsidRDefault="00AC12B4">
            <w:pPr>
              <w:rPr>
                <w:sz w:val="14"/>
                <w:szCs w:val="14"/>
              </w:rPr>
            </w:pPr>
          </w:p>
        </w:tc>
        <w:tc>
          <w:tcPr>
            <w:tcW w:w="120" w:type="dxa"/>
            <w:tcBorders>
              <w:right w:val="single" w:sz="8" w:space="0" w:color="963266"/>
            </w:tcBorders>
            <w:shd w:val="clear" w:color="auto" w:fill="C95C96"/>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38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80" w:type="dxa"/>
            <w:vAlign w:val="bottom"/>
          </w:tcPr>
          <w:p w:rsidR="00AC12B4" w:rsidRDefault="00AC12B4">
            <w:pPr>
              <w:rPr>
                <w:sz w:val="14"/>
                <w:szCs w:val="14"/>
              </w:rPr>
            </w:pPr>
          </w:p>
        </w:tc>
        <w:tc>
          <w:tcPr>
            <w:tcW w:w="300" w:type="dxa"/>
            <w:vAlign w:val="bottom"/>
          </w:tcPr>
          <w:p w:rsidR="00AC12B4" w:rsidRDefault="00AC12B4">
            <w:pPr>
              <w:rPr>
                <w:sz w:val="14"/>
                <w:szCs w:val="14"/>
              </w:rPr>
            </w:pPr>
          </w:p>
        </w:tc>
        <w:tc>
          <w:tcPr>
            <w:tcW w:w="2060" w:type="dxa"/>
            <w:gridSpan w:val="5"/>
            <w:vMerge w:val="restart"/>
            <w:vAlign w:val="bottom"/>
          </w:tcPr>
          <w:p w:rsidR="00AC12B4" w:rsidRDefault="00C27636">
            <w:pPr>
              <w:ind w:right="690"/>
              <w:jc w:val="right"/>
              <w:rPr>
                <w:sz w:val="20"/>
                <w:szCs w:val="20"/>
              </w:rPr>
            </w:pPr>
            <w:r>
              <w:rPr>
                <w:rFonts w:ascii="Calibri" w:eastAsia="Calibri" w:hAnsi="Calibri" w:cs="Calibri"/>
              </w:rPr>
              <w:t>concernant</w:t>
            </w:r>
          </w:p>
        </w:tc>
        <w:tc>
          <w:tcPr>
            <w:tcW w:w="0" w:type="dxa"/>
            <w:vAlign w:val="bottom"/>
          </w:tcPr>
          <w:p w:rsidR="00AC12B4" w:rsidRDefault="00AC12B4">
            <w:pPr>
              <w:rPr>
                <w:sz w:val="1"/>
                <w:szCs w:val="1"/>
              </w:rPr>
            </w:pPr>
          </w:p>
        </w:tc>
      </w:tr>
      <w:tr w:rsidR="00AC12B4">
        <w:trPr>
          <w:trHeight w:val="107"/>
        </w:trPr>
        <w:tc>
          <w:tcPr>
            <w:tcW w:w="7260" w:type="dxa"/>
            <w:gridSpan w:val="12"/>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 xml:space="preserve">autorités </w:t>
            </w:r>
            <w:r>
              <w:rPr>
                <w:rFonts w:ascii="Calibri" w:eastAsia="Calibri" w:hAnsi="Calibri" w:cs="Calibri"/>
                <w:i/>
                <w:iCs/>
                <w:color w:val="EAF1DD"/>
                <w:sz w:val="20"/>
                <w:szCs w:val="20"/>
              </w:rPr>
              <w:t>administratives ou des organes législatifs, l’intérêt supérieur de l’enfant</w:t>
            </w:r>
          </w:p>
        </w:tc>
        <w:tc>
          <w:tcPr>
            <w:tcW w:w="120" w:type="dxa"/>
            <w:tcBorders>
              <w:right w:val="single" w:sz="8" w:space="0" w:color="963266"/>
            </w:tcBorders>
            <w:shd w:val="clear" w:color="auto" w:fill="C95C96"/>
            <w:vAlign w:val="bottom"/>
          </w:tcPr>
          <w:p w:rsidR="00AC12B4" w:rsidRDefault="00AC12B4">
            <w:pPr>
              <w:rPr>
                <w:sz w:val="9"/>
                <w:szCs w:val="9"/>
              </w:rPr>
            </w:pPr>
          </w:p>
        </w:tc>
        <w:tc>
          <w:tcPr>
            <w:tcW w:w="10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2060" w:type="dxa"/>
            <w:gridSpan w:val="5"/>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38"/>
        </w:trPr>
        <w:tc>
          <w:tcPr>
            <w:tcW w:w="7260" w:type="dxa"/>
            <w:gridSpan w:val="12"/>
            <w:vMerge/>
            <w:tcBorders>
              <w:left w:val="single" w:sz="8" w:space="0" w:color="963266"/>
            </w:tcBorders>
            <w:shd w:val="clear" w:color="auto" w:fill="C95C96"/>
            <w:vAlign w:val="bottom"/>
          </w:tcPr>
          <w:p w:rsidR="00AC12B4" w:rsidRDefault="00AC12B4">
            <w:pPr>
              <w:rPr>
                <w:sz w:val="12"/>
                <w:szCs w:val="12"/>
              </w:rPr>
            </w:pPr>
          </w:p>
        </w:tc>
        <w:tc>
          <w:tcPr>
            <w:tcW w:w="120" w:type="dxa"/>
            <w:tcBorders>
              <w:right w:val="single" w:sz="8" w:space="0" w:color="963266"/>
            </w:tcBorders>
            <w:shd w:val="clear" w:color="auto" w:fill="C95C96"/>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1500" w:type="dxa"/>
            <w:gridSpan w:val="7"/>
            <w:vMerge w:val="restart"/>
            <w:vAlign w:val="bottom"/>
          </w:tcPr>
          <w:p w:rsidR="00AC12B4" w:rsidRDefault="00C27636">
            <w:pPr>
              <w:ind w:left="80"/>
              <w:rPr>
                <w:sz w:val="20"/>
                <w:szCs w:val="20"/>
              </w:rPr>
            </w:pPr>
            <w:r>
              <w:rPr>
                <w:rFonts w:ascii="Calibri" w:eastAsia="Calibri" w:hAnsi="Calibri" w:cs="Calibri"/>
                <w:w w:val="99"/>
              </w:rPr>
              <w:t>l'administration</w:t>
            </w:r>
          </w:p>
        </w:tc>
        <w:tc>
          <w:tcPr>
            <w:tcW w:w="260" w:type="dxa"/>
            <w:vAlign w:val="bottom"/>
          </w:tcPr>
          <w:p w:rsidR="00AC12B4" w:rsidRDefault="00AC12B4">
            <w:pPr>
              <w:rPr>
                <w:sz w:val="12"/>
                <w:szCs w:val="12"/>
              </w:rPr>
            </w:pPr>
          </w:p>
        </w:tc>
        <w:tc>
          <w:tcPr>
            <w:tcW w:w="300" w:type="dxa"/>
            <w:vMerge w:val="restart"/>
            <w:vAlign w:val="bottom"/>
          </w:tcPr>
          <w:p w:rsidR="00AC12B4" w:rsidRDefault="00C27636">
            <w:pPr>
              <w:ind w:left="20"/>
              <w:rPr>
                <w:sz w:val="20"/>
                <w:szCs w:val="20"/>
              </w:rPr>
            </w:pPr>
            <w:r>
              <w:rPr>
                <w:rFonts w:ascii="Calibri" w:eastAsia="Calibri" w:hAnsi="Calibri" w:cs="Calibri"/>
              </w:rPr>
              <w:t>de</w:t>
            </w:r>
          </w:p>
        </w:tc>
        <w:tc>
          <w:tcPr>
            <w:tcW w:w="1200" w:type="dxa"/>
            <w:vMerge w:val="restart"/>
            <w:vAlign w:val="bottom"/>
          </w:tcPr>
          <w:p w:rsidR="00AC12B4" w:rsidRDefault="00C27636">
            <w:pPr>
              <w:ind w:right="690"/>
              <w:jc w:val="right"/>
              <w:rPr>
                <w:sz w:val="20"/>
                <w:szCs w:val="20"/>
              </w:rPr>
            </w:pPr>
            <w:r>
              <w:rPr>
                <w:rFonts w:ascii="Calibri" w:eastAsia="Calibri" w:hAnsi="Calibri" w:cs="Calibri"/>
              </w:rPr>
              <w:t>la</w:t>
            </w:r>
          </w:p>
        </w:tc>
        <w:tc>
          <w:tcPr>
            <w:tcW w:w="0" w:type="dxa"/>
            <w:vAlign w:val="bottom"/>
          </w:tcPr>
          <w:p w:rsidR="00AC12B4" w:rsidRDefault="00AC12B4">
            <w:pPr>
              <w:rPr>
                <w:sz w:val="1"/>
                <w:szCs w:val="1"/>
              </w:rPr>
            </w:pPr>
          </w:p>
        </w:tc>
      </w:tr>
      <w:tr w:rsidR="00AC12B4">
        <w:trPr>
          <w:trHeight w:val="131"/>
        </w:trPr>
        <w:tc>
          <w:tcPr>
            <w:tcW w:w="4240" w:type="dxa"/>
            <w:gridSpan w:val="5"/>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doit être une considération primordiale.</w:t>
            </w:r>
          </w:p>
        </w:tc>
        <w:tc>
          <w:tcPr>
            <w:tcW w:w="380" w:type="dxa"/>
            <w:shd w:val="clear" w:color="auto" w:fill="C95C96"/>
            <w:vAlign w:val="bottom"/>
          </w:tcPr>
          <w:p w:rsidR="00AC12B4" w:rsidRDefault="00AC12B4">
            <w:pPr>
              <w:rPr>
                <w:sz w:val="11"/>
                <w:szCs w:val="11"/>
              </w:rPr>
            </w:pPr>
          </w:p>
        </w:tc>
        <w:tc>
          <w:tcPr>
            <w:tcW w:w="380" w:type="dxa"/>
            <w:shd w:val="clear" w:color="auto" w:fill="C95C96"/>
            <w:vAlign w:val="bottom"/>
          </w:tcPr>
          <w:p w:rsidR="00AC12B4" w:rsidRDefault="00AC12B4">
            <w:pPr>
              <w:rPr>
                <w:sz w:val="11"/>
                <w:szCs w:val="11"/>
              </w:rPr>
            </w:pPr>
          </w:p>
        </w:tc>
        <w:tc>
          <w:tcPr>
            <w:tcW w:w="460" w:type="dxa"/>
            <w:shd w:val="clear" w:color="auto" w:fill="C95C96"/>
            <w:vAlign w:val="bottom"/>
          </w:tcPr>
          <w:p w:rsidR="00AC12B4" w:rsidRDefault="00AC12B4">
            <w:pPr>
              <w:rPr>
                <w:sz w:val="11"/>
                <w:szCs w:val="11"/>
              </w:rPr>
            </w:pPr>
          </w:p>
        </w:tc>
        <w:tc>
          <w:tcPr>
            <w:tcW w:w="600" w:type="dxa"/>
            <w:shd w:val="clear" w:color="auto" w:fill="C95C96"/>
            <w:vAlign w:val="bottom"/>
          </w:tcPr>
          <w:p w:rsidR="00AC12B4" w:rsidRDefault="00AC12B4">
            <w:pPr>
              <w:rPr>
                <w:sz w:val="11"/>
                <w:szCs w:val="11"/>
              </w:rPr>
            </w:pPr>
          </w:p>
        </w:tc>
        <w:tc>
          <w:tcPr>
            <w:tcW w:w="120" w:type="dxa"/>
            <w:shd w:val="clear" w:color="auto" w:fill="C95C96"/>
            <w:vAlign w:val="bottom"/>
          </w:tcPr>
          <w:p w:rsidR="00AC12B4" w:rsidRDefault="00AC12B4">
            <w:pPr>
              <w:rPr>
                <w:sz w:val="11"/>
                <w:szCs w:val="11"/>
              </w:rPr>
            </w:pPr>
          </w:p>
        </w:tc>
        <w:tc>
          <w:tcPr>
            <w:tcW w:w="320" w:type="dxa"/>
            <w:shd w:val="clear" w:color="auto" w:fill="C95C96"/>
            <w:vAlign w:val="bottom"/>
          </w:tcPr>
          <w:p w:rsidR="00AC12B4" w:rsidRDefault="00AC12B4">
            <w:pPr>
              <w:rPr>
                <w:sz w:val="11"/>
                <w:szCs w:val="11"/>
              </w:rPr>
            </w:pPr>
          </w:p>
        </w:tc>
        <w:tc>
          <w:tcPr>
            <w:tcW w:w="760" w:type="dxa"/>
            <w:shd w:val="clear" w:color="auto" w:fill="C95C96"/>
            <w:vAlign w:val="bottom"/>
          </w:tcPr>
          <w:p w:rsidR="00AC12B4" w:rsidRDefault="00AC12B4">
            <w:pPr>
              <w:rPr>
                <w:sz w:val="11"/>
                <w:szCs w:val="11"/>
              </w:rPr>
            </w:pPr>
          </w:p>
        </w:tc>
        <w:tc>
          <w:tcPr>
            <w:tcW w:w="120" w:type="dxa"/>
            <w:tcBorders>
              <w:right w:val="single" w:sz="8" w:space="0" w:color="963266"/>
            </w:tcBorders>
            <w:shd w:val="clear" w:color="auto" w:fill="C95C96"/>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1500" w:type="dxa"/>
            <w:gridSpan w:val="7"/>
            <w:vMerge/>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300" w:type="dxa"/>
            <w:vMerge/>
            <w:vAlign w:val="bottom"/>
          </w:tcPr>
          <w:p w:rsidR="00AC12B4" w:rsidRDefault="00AC12B4">
            <w:pPr>
              <w:rPr>
                <w:sz w:val="11"/>
                <w:szCs w:val="11"/>
              </w:rPr>
            </w:pPr>
          </w:p>
        </w:tc>
        <w:tc>
          <w:tcPr>
            <w:tcW w:w="1200" w:type="dxa"/>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14"/>
        </w:trPr>
        <w:tc>
          <w:tcPr>
            <w:tcW w:w="4240" w:type="dxa"/>
            <w:gridSpan w:val="5"/>
            <w:vMerge/>
            <w:tcBorders>
              <w:left w:val="single" w:sz="8" w:space="0" w:color="963266"/>
            </w:tcBorders>
            <w:shd w:val="clear" w:color="auto" w:fill="C95C96"/>
            <w:vAlign w:val="bottom"/>
          </w:tcPr>
          <w:p w:rsidR="00AC12B4" w:rsidRDefault="00AC12B4">
            <w:pPr>
              <w:rPr>
                <w:sz w:val="9"/>
                <w:szCs w:val="9"/>
              </w:rPr>
            </w:pPr>
          </w:p>
        </w:tc>
        <w:tc>
          <w:tcPr>
            <w:tcW w:w="380" w:type="dxa"/>
            <w:shd w:val="clear" w:color="auto" w:fill="C95C96"/>
            <w:vAlign w:val="bottom"/>
          </w:tcPr>
          <w:p w:rsidR="00AC12B4" w:rsidRDefault="00AC12B4">
            <w:pPr>
              <w:rPr>
                <w:sz w:val="9"/>
                <w:szCs w:val="9"/>
              </w:rPr>
            </w:pPr>
          </w:p>
        </w:tc>
        <w:tc>
          <w:tcPr>
            <w:tcW w:w="380" w:type="dxa"/>
            <w:shd w:val="clear" w:color="auto" w:fill="C95C96"/>
            <w:vAlign w:val="bottom"/>
          </w:tcPr>
          <w:p w:rsidR="00AC12B4" w:rsidRDefault="00AC12B4">
            <w:pPr>
              <w:rPr>
                <w:sz w:val="9"/>
                <w:szCs w:val="9"/>
              </w:rPr>
            </w:pPr>
          </w:p>
        </w:tc>
        <w:tc>
          <w:tcPr>
            <w:tcW w:w="460" w:type="dxa"/>
            <w:shd w:val="clear" w:color="auto" w:fill="C95C96"/>
            <w:vAlign w:val="bottom"/>
          </w:tcPr>
          <w:p w:rsidR="00AC12B4" w:rsidRDefault="00AC12B4">
            <w:pPr>
              <w:rPr>
                <w:sz w:val="9"/>
                <w:szCs w:val="9"/>
              </w:rPr>
            </w:pPr>
          </w:p>
        </w:tc>
        <w:tc>
          <w:tcPr>
            <w:tcW w:w="600" w:type="dxa"/>
            <w:shd w:val="clear" w:color="auto" w:fill="C95C96"/>
            <w:vAlign w:val="bottom"/>
          </w:tcPr>
          <w:p w:rsidR="00AC12B4" w:rsidRDefault="00AC12B4">
            <w:pPr>
              <w:rPr>
                <w:sz w:val="9"/>
                <w:szCs w:val="9"/>
              </w:rPr>
            </w:pPr>
          </w:p>
        </w:tc>
        <w:tc>
          <w:tcPr>
            <w:tcW w:w="120" w:type="dxa"/>
            <w:shd w:val="clear" w:color="auto" w:fill="C95C96"/>
            <w:vAlign w:val="bottom"/>
          </w:tcPr>
          <w:p w:rsidR="00AC12B4" w:rsidRDefault="00AC12B4">
            <w:pPr>
              <w:rPr>
                <w:sz w:val="9"/>
                <w:szCs w:val="9"/>
              </w:rPr>
            </w:pPr>
          </w:p>
        </w:tc>
        <w:tc>
          <w:tcPr>
            <w:tcW w:w="320" w:type="dxa"/>
            <w:shd w:val="clear" w:color="auto" w:fill="C95C96"/>
            <w:vAlign w:val="bottom"/>
          </w:tcPr>
          <w:p w:rsidR="00AC12B4" w:rsidRDefault="00AC12B4">
            <w:pPr>
              <w:rPr>
                <w:sz w:val="9"/>
                <w:szCs w:val="9"/>
              </w:rPr>
            </w:pPr>
          </w:p>
        </w:tc>
        <w:tc>
          <w:tcPr>
            <w:tcW w:w="760" w:type="dxa"/>
            <w:shd w:val="clear" w:color="auto" w:fill="C95C96"/>
            <w:vAlign w:val="bottom"/>
          </w:tcPr>
          <w:p w:rsidR="00AC12B4" w:rsidRDefault="00AC12B4">
            <w:pPr>
              <w:rPr>
                <w:sz w:val="9"/>
                <w:szCs w:val="9"/>
              </w:rPr>
            </w:pPr>
          </w:p>
        </w:tc>
        <w:tc>
          <w:tcPr>
            <w:tcW w:w="120" w:type="dxa"/>
            <w:tcBorders>
              <w:right w:val="single" w:sz="8" w:space="0" w:color="963266"/>
            </w:tcBorders>
            <w:shd w:val="clear" w:color="auto" w:fill="C95C96"/>
            <w:vAlign w:val="bottom"/>
          </w:tcPr>
          <w:p w:rsidR="00AC12B4" w:rsidRDefault="00AC12B4">
            <w:pPr>
              <w:rPr>
                <w:sz w:val="9"/>
                <w:szCs w:val="9"/>
              </w:rPr>
            </w:pPr>
          </w:p>
        </w:tc>
        <w:tc>
          <w:tcPr>
            <w:tcW w:w="100" w:type="dxa"/>
            <w:vAlign w:val="bottom"/>
          </w:tcPr>
          <w:p w:rsidR="00AC12B4" w:rsidRDefault="00AC12B4">
            <w:pPr>
              <w:rPr>
                <w:sz w:val="9"/>
                <w:szCs w:val="9"/>
              </w:rPr>
            </w:pPr>
          </w:p>
        </w:tc>
        <w:tc>
          <w:tcPr>
            <w:tcW w:w="900" w:type="dxa"/>
            <w:gridSpan w:val="4"/>
            <w:vMerge w:val="restart"/>
            <w:vAlign w:val="bottom"/>
          </w:tcPr>
          <w:p w:rsidR="00AC12B4" w:rsidRDefault="00C27636">
            <w:pPr>
              <w:ind w:left="80"/>
              <w:rPr>
                <w:sz w:val="20"/>
                <w:szCs w:val="20"/>
              </w:rPr>
            </w:pPr>
            <w:r>
              <w:rPr>
                <w:rFonts w:ascii="Calibri" w:eastAsia="Calibri" w:hAnsi="Calibri" w:cs="Calibri"/>
              </w:rPr>
              <w:t>justice</w:t>
            </w:r>
          </w:p>
        </w:tc>
        <w:tc>
          <w:tcPr>
            <w:tcW w:w="600" w:type="dxa"/>
            <w:gridSpan w:val="3"/>
            <w:vMerge w:val="restart"/>
            <w:vAlign w:val="bottom"/>
          </w:tcPr>
          <w:p w:rsidR="00AC12B4" w:rsidRDefault="00C27636">
            <w:pPr>
              <w:ind w:left="60"/>
              <w:rPr>
                <w:sz w:val="20"/>
                <w:szCs w:val="20"/>
              </w:rPr>
            </w:pPr>
            <w:r>
              <w:rPr>
                <w:rFonts w:ascii="Calibri" w:eastAsia="Calibri" w:hAnsi="Calibri" w:cs="Calibri"/>
              </w:rPr>
              <w:t>pour</w:t>
            </w:r>
          </w:p>
        </w:tc>
        <w:tc>
          <w:tcPr>
            <w:tcW w:w="1760" w:type="dxa"/>
            <w:gridSpan w:val="3"/>
            <w:vMerge w:val="restart"/>
            <w:vAlign w:val="bottom"/>
          </w:tcPr>
          <w:p w:rsidR="00AC12B4" w:rsidRDefault="00C27636">
            <w:pPr>
              <w:ind w:right="690"/>
              <w:jc w:val="right"/>
              <w:rPr>
                <w:sz w:val="20"/>
                <w:szCs w:val="20"/>
              </w:rPr>
            </w:pPr>
            <w:r>
              <w:rPr>
                <w:rFonts w:ascii="Calibri" w:eastAsia="Calibri" w:hAnsi="Calibri" w:cs="Calibri"/>
              </w:rPr>
              <w:t>mineurs,</w:t>
            </w:r>
          </w:p>
        </w:tc>
        <w:tc>
          <w:tcPr>
            <w:tcW w:w="0" w:type="dxa"/>
            <w:vAlign w:val="bottom"/>
          </w:tcPr>
          <w:p w:rsidR="00AC12B4" w:rsidRDefault="00AC12B4">
            <w:pPr>
              <w:rPr>
                <w:sz w:val="1"/>
                <w:szCs w:val="1"/>
              </w:rPr>
            </w:pPr>
          </w:p>
        </w:tc>
      </w:tr>
      <w:tr w:rsidR="00AC12B4">
        <w:trPr>
          <w:trHeight w:val="155"/>
        </w:trPr>
        <w:tc>
          <w:tcPr>
            <w:tcW w:w="1980" w:type="dxa"/>
            <w:tcBorders>
              <w:left w:val="single" w:sz="8" w:space="0" w:color="963266"/>
            </w:tcBorders>
            <w:shd w:val="clear" w:color="auto" w:fill="C95C96"/>
            <w:vAlign w:val="bottom"/>
          </w:tcPr>
          <w:p w:rsidR="00AC12B4" w:rsidRDefault="00AC12B4">
            <w:pPr>
              <w:rPr>
                <w:sz w:val="13"/>
                <w:szCs w:val="13"/>
              </w:rPr>
            </w:pPr>
          </w:p>
        </w:tc>
        <w:tc>
          <w:tcPr>
            <w:tcW w:w="540" w:type="dxa"/>
            <w:shd w:val="clear" w:color="auto" w:fill="C95C96"/>
            <w:vAlign w:val="bottom"/>
          </w:tcPr>
          <w:p w:rsidR="00AC12B4" w:rsidRDefault="00AC12B4">
            <w:pPr>
              <w:rPr>
                <w:sz w:val="13"/>
                <w:szCs w:val="13"/>
              </w:rPr>
            </w:pPr>
          </w:p>
        </w:tc>
        <w:tc>
          <w:tcPr>
            <w:tcW w:w="320" w:type="dxa"/>
            <w:shd w:val="clear" w:color="auto" w:fill="C95C96"/>
            <w:vAlign w:val="bottom"/>
          </w:tcPr>
          <w:p w:rsidR="00AC12B4" w:rsidRDefault="00AC12B4">
            <w:pPr>
              <w:rPr>
                <w:sz w:val="13"/>
                <w:szCs w:val="13"/>
              </w:rPr>
            </w:pPr>
          </w:p>
        </w:tc>
        <w:tc>
          <w:tcPr>
            <w:tcW w:w="340" w:type="dxa"/>
            <w:shd w:val="clear" w:color="auto" w:fill="C95C96"/>
            <w:vAlign w:val="bottom"/>
          </w:tcPr>
          <w:p w:rsidR="00AC12B4" w:rsidRDefault="00AC12B4">
            <w:pPr>
              <w:rPr>
                <w:sz w:val="13"/>
                <w:szCs w:val="13"/>
              </w:rPr>
            </w:pPr>
          </w:p>
        </w:tc>
        <w:tc>
          <w:tcPr>
            <w:tcW w:w="1060" w:type="dxa"/>
            <w:shd w:val="clear" w:color="auto" w:fill="C95C96"/>
            <w:vAlign w:val="bottom"/>
          </w:tcPr>
          <w:p w:rsidR="00AC12B4" w:rsidRDefault="00AC12B4">
            <w:pPr>
              <w:rPr>
                <w:sz w:val="13"/>
                <w:szCs w:val="13"/>
              </w:rPr>
            </w:pPr>
          </w:p>
        </w:tc>
        <w:tc>
          <w:tcPr>
            <w:tcW w:w="380" w:type="dxa"/>
            <w:shd w:val="clear" w:color="auto" w:fill="C95C96"/>
            <w:vAlign w:val="bottom"/>
          </w:tcPr>
          <w:p w:rsidR="00AC12B4" w:rsidRDefault="00AC12B4">
            <w:pPr>
              <w:rPr>
                <w:sz w:val="13"/>
                <w:szCs w:val="13"/>
              </w:rPr>
            </w:pPr>
          </w:p>
        </w:tc>
        <w:tc>
          <w:tcPr>
            <w:tcW w:w="380" w:type="dxa"/>
            <w:shd w:val="clear" w:color="auto" w:fill="C95C96"/>
            <w:vAlign w:val="bottom"/>
          </w:tcPr>
          <w:p w:rsidR="00AC12B4" w:rsidRDefault="00AC12B4">
            <w:pPr>
              <w:rPr>
                <w:sz w:val="13"/>
                <w:szCs w:val="13"/>
              </w:rPr>
            </w:pPr>
          </w:p>
        </w:tc>
        <w:tc>
          <w:tcPr>
            <w:tcW w:w="460" w:type="dxa"/>
            <w:shd w:val="clear" w:color="auto" w:fill="C95C96"/>
            <w:vAlign w:val="bottom"/>
          </w:tcPr>
          <w:p w:rsidR="00AC12B4" w:rsidRDefault="00AC12B4">
            <w:pPr>
              <w:rPr>
                <w:sz w:val="13"/>
                <w:szCs w:val="13"/>
              </w:rPr>
            </w:pPr>
          </w:p>
        </w:tc>
        <w:tc>
          <w:tcPr>
            <w:tcW w:w="600" w:type="dxa"/>
            <w:shd w:val="clear" w:color="auto" w:fill="C95C96"/>
            <w:vAlign w:val="bottom"/>
          </w:tcPr>
          <w:p w:rsidR="00AC12B4" w:rsidRDefault="00AC12B4">
            <w:pPr>
              <w:rPr>
                <w:sz w:val="13"/>
                <w:szCs w:val="13"/>
              </w:rPr>
            </w:pPr>
          </w:p>
        </w:tc>
        <w:tc>
          <w:tcPr>
            <w:tcW w:w="120" w:type="dxa"/>
            <w:shd w:val="clear" w:color="auto" w:fill="C95C96"/>
            <w:vAlign w:val="bottom"/>
          </w:tcPr>
          <w:p w:rsidR="00AC12B4" w:rsidRDefault="00AC12B4">
            <w:pPr>
              <w:rPr>
                <w:sz w:val="13"/>
                <w:szCs w:val="13"/>
              </w:rPr>
            </w:pPr>
          </w:p>
        </w:tc>
        <w:tc>
          <w:tcPr>
            <w:tcW w:w="320" w:type="dxa"/>
            <w:shd w:val="clear" w:color="auto" w:fill="C95C96"/>
            <w:vAlign w:val="bottom"/>
          </w:tcPr>
          <w:p w:rsidR="00AC12B4" w:rsidRDefault="00AC12B4">
            <w:pPr>
              <w:rPr>
                <w:sz w:val="13"/>
                <w:szCs w:val="13"/>
              </w:rPr>
            </w:pPr>
          </w:p>
        </w:tc>
        <w:tc>
          <w:tcPr>
            <w:tcW w:w="760" w:type="dxa"/>
            <w:shd w:val="clear" w:color="auto" w:fill="C95C96"/>
            <w:vAlign w:val="bottom"/>
          </w:tcPr>
          <w:p w:rsidR="00AC12B4" w:rsidRDefault="00AC12B4">
            <w:pPr>
              <w:rPr>
                <w:sz w:val="13"/>
                <w:szCs w:val="13"/>
              </w:rPr>
            </w:pPr>
          </w:p>
        </w:tc>
        <w:tc>
          <w:tcPr>
            <w:tcW w:w="120" w:type="dxa"/>
            <w:tcBorders>
              <w:right w:val="single" w:sz="8" w:space="0" w:color="963266"/>
            </w:tcBorders>
            <w:shd w:val="clear" w:color="auto" w:fill="C95C96"/>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900" w:type="dxa"/>
            <w:gridSpan w:val="4"/>
            <w:vMerge/>
            <w:vAlign w:val="bottom"/>
          </w:tcPr>
          <w:p w:rsidR="00AC12B4" w:rsidRDefault="00AC12B4">
            <w:pPr>
              <w:rPr>
                <w:sz w:val="13"/>
                <w:szCs w:val="13"/>
              </w:rPr>
            </w:pPr>
          </w:p>
        </w:tc>
        <w:tc>
          <w:tcPr>
            <w:tcW w:w="600" w:type="dxa"/>
            <w:gridSpan w:val="3"/>
            <w:vMerge/>
            <w:vAlign w:val="bottom"/>
          </w:tcPr>
          <w:p w:rsidR="00AC12B4" w:rsidRDefault="00AC12B4">
            <w:pPr>
              <w:rPr>
                <w:sz w:val="13"/>
                <w:szCs w:val="13"/>
              </w:rPr>
            </w:pPr>
          </w:p>
        </w:tc>
        <w:tc>
          <w:tcPr>
            <w:tcW w:w="1760" w:type="dxa"/>
            <w:gridSpan w:val="3"/>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55"/>
        </w:trPr>
        <w:tc>
          <w:tcPr>
            <w:tcW w:w="7260" w:type="dxa"/>
            <w:gridSpan w:val="12"/>
            <w:tcBorders>
              <w:left w:val="single" w:sz="8" w:space="0" w:color="963266"/>
            </w:tcBorders>
            <w:shd w:val="clear" w:color="auto" w:fill="C95C96"/>
            <w:vAlign w:val="bottom"/>
          </w:tcPr>
          <w:p w:rsidR="00AC12B4" w:rsidRDefault="00C27636">
            <w:pPr>
              <w:spacing w:line="208" w:lineRule="exact"/>
              <w:ind w:left="580"/>
              <w:rPr>
                <w:sz w:val="20"/>
                <w:szCs w:val="20"/>
              </w:rPr>
            </w:pPr>
            <w:r>
              <w:rPr>
                <w:rFonts w:ascii="Calibri" w:eastAsia="Calibri" w:hAnsi="Calibri" w:cs="Calibri"/>
                <w:i/>
                <w:iCs/>
                <w:color w:val="EAF1DD"/>
                <w:sz w:val="20"/>
                <w:szCs w:val="20"/>
              </w:rPr>
              <w:t xml:space="preserve">2. Les Etats parties s’engagent </w:t>
            </w:r>
            <w:r>
              <w:rPr>
                <w:rFonts w:ascii="Calibri" w:eastAsia="Calibri" w:hAnsi="Calibri" w:cs="Calibri"/>
                <w:i/>
                <w:iCs/>
                <w:color w:val="EAF1DD"/>
                <w:sz w:val="20"/>
                <w:szCs w:val="20"/>
              </w:rPr>
              <w:t>à assurer à l’enfant la protection et les soins</w:t>
            </w:r>
          </w:p>
        </w:tc>
        <w:tc>
          <w:tcPr>
            <w:tcW w:w="120" w:type="dxa"/>
            <w:tcBorders>
              <w:right w:val="single" w:sz="8" w:space="0" w:color="963266"/>
            </w:tcBorders>
            <w:shd w:val="clear" w:color="auto" w:fill="C95C96"/>
            <w:vAlign w:val="bottom"/>
          </w:tcPr>
          <w:p w:rsidR="00AC12B4" w:rsidRDefault="00AC12B4"/>
        </w:tc>
        <w:tc>
          <w:tcPr>
            <w:tcW w:w="100" w:type="dxa"/>
            <w:vAlign w:val="bottom"/>
          </w:tcPr>
          <w:p w:rsidR="00AC12B4" w:rsidRDefault="00AC12B4"/>
        </w:tc>
        <w:tc>
          <w:tcPr>
            <w:tcW w:w="620" w:type="dxa"/>
            <w:gridSpan w:val="3"/>
            <w:vAlign w:val="bottom"/>
          </w:tcPr>
          <w:p w:rsidR="00AC12B4" w:rsidRDefault="00C27636">
            <w:pPr>
              <w:spacing w:line="255" w:lineRule="exact"/>
              <w:ind w:left="80"/>
              <w:rPr>
                <w:sz w:val="20"/>
                <w:szCs w:val="20"/>
              </w:rPr>
            </w:pPr>
            <w:r>
              <w:rPr>
                <w:rFonts w:ascii="Calibri" w:eastAsia="Calibri" w:hAnsi="Calibri" w:cs="Calibri"/>
              </w:rPr>
              <w:t>1985)</w:t>
            </w:r>
          </w:p>
        </w:tc>
        <w:tc>
          <w:tcPr>
            <w:tcW w:w="280" w:type="dxa"/>
            <w:vAlign w:val="bottom"/>
          </w:tcPr>
          <w:p w:rsidR="00AC12B4" w:rsidRDefault="00AC12B4"/>
        </w:tc>
        <w:tc>
          <w:tcPr>
            <w:tcW w:w="1160" w:type="dxa"/>
            <w:gridSpan w:val="5"/>
            <w:vAlign w:val="bottom"/>
          </w:tcPr>
          <w:p w:rsidR="00AC12B4" w:rsidRDefault="00C27636">
            <w:pPr>
              <w:spacing w:line="255" w:lineRule="exact"/>
              <w:ind w:left="80"/>
              <w:rPr>
                <w:sz w:val="20"/>
                <w:szCs w:val="20"/>
              </w:rPr>
            </w:pPr>
            <w:r>
              <w:rPr>
                <w:rFonts w:ascii="Calibri" w:eastAsia="Calibri" w:hAnsi="Calibri" w:cs="Calibri"/>
              </w:rPr>
              <w:t>soulignent</w:t>
            </w:r>
          </w:p>
        </w:tc>
        <w:tc>
          <w:tcPr>
            <w:tcW w:w="1200" w:type="dxa"/>
            <w:vAlign w:val="bottom"/>
          </w:tcPr>
          <w:p w:rsidR="00AC12B4" w:rsidRDefault="00C27636">
            <w:pPr>
              <w:spacing w:line="255" w:lineRule="exact"/>
              <w:ind w:right="690"/>
              <w:jc w:val="right"/>
              <w:rPr>
                <w:sz w:val="20"/>
                <w:szCs w:val="20"/>
              </w:rPr>
            </w:pPr>
            <w:r>
              <w:rPr>
                <w:rFonts w:ascii="Calibri" w:eastAsia="Calibri" w:hAnsi="Calibri" w:cs="Calibri"/>
              </w:rPr>
              <w:t>la</w:t>
            </w:r>
          </w:p>
        </w:tc>
        <w:tc>
          <w:tcPr>
            <w:tcW w:w="0" w:type="dxa"/>
            <w:vAlign w:val="bottom"/>
          </w:tcPr>
          <w:p w:rsidR="00AC12B4" w:rsidRDefault="00AC12B4">
            <w:pPr>
              <w:rPr>
                <w:sz w:val="1"/>
                <w:szCs w:val="1"/>
              </w:rPr>
            </w:pPr>
          </w:p>
        </w:tc>
      </w:tr>
      <w:tr w:rsidR="00AC12B4">
        <w:trPr>
          <w:trHeight w:val="197"/>
        </w:trPr>
        <w:tc>
          <w:tcPr>
            <w:tcW w:w="7260" w:type="dxa"/>
            <w:gridSpan w:val="12"/>
            <w:tcBorders>
              <w:left w:val="single" w:sz="8" w:space="0" w:color="963266"/>
            </w:tcBorders>
            <w:shd w:val="clear" w:color="auto" w:fill="C95C96"/>
            <w:vAlign w:val="bottom"/>
          </w:tcPr>
          <w:p w:rsidR="00AC12B4" w:rsidRDefault="00C27636">
            <w:pPr>
              <w:spacing w:line="198" w:lineRule="exact"/>
              <w:ind w:left="580"/>
              <w:rPr>
                <w:sz w:val="20"/>
                <w:szCs w:val="20"/>
              </w:rPr>
            </w:pPr>
            <w:r>
              <w:rPr>
                <w:rFonts w:ascii="Calibri" w:eastAsia="Calibri" w:hAnsi="Calibri" w:cs="Calibri"/>
                <w:i/>
                <w:iCs/>
                <w:color w:val="EAF1DD"/>
                <w:sz w:val="20"/>
                <w:szCs w:val="20"/>
              </w:rPr>
              <w:t>nécessaires à son bien-être, compte tenu des droits et des devoirs de ses parents,</w:t>
            </w:r>
          </w:p>
        </w:tc>
        <w:tc>
          <w:tcPr>
            <w:tcW w:w="120" w:type="dxa"/>
            <w:tcBorders>
              <w:right w:val="single" w:sz="8" w:space="0" w:color="963266"/>
            </w:tcBorders>
            <w:shd w:val="clear" w:color="auto" w:fill="C95C96"/>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3260" w:type="dxa"/>
            <w:gridSpan w:val="10"/>
            <w:vMerge w:val="restart"/>
            <w:vAlign w:val="bottom"/>
          </w:tcPr>
          <w:p w:rsidR="00AC12B4" w:rsidRDefault="00C27636">
            <w:pPr>
              <w:ind w:left="80"/>
              <w:rPr>
                <w:sz w:val="20"/>
                <w:szCs w:val="20"/>
              </w:rPr>
            </w:pPr>
            <w:r>
              <w:rPr>
                <w:rFonts w:ascii="Calibri" w:eastAsia="Calibri" w:hAnsi="Calibri" w:cs="Calibri"/>
              </w:rPr>
              <w:t>nécessité de l'acceptation</w:t>
            </w:r>
          </w:p>
        </w:tc>
        <w:tc>
          <w:tcPr>
            <w:tcW w:w="0" w:type="dxa"/>
            <w:vAlign w:val="bottom"/>
          </w:tcPr>
          <w:p w:rsidR="00AC12B4" w:rsidRDefault="00AC12B4">
            <w:pPr>
              <w:rPr>
                <w:sz w:val="1"/>
                <w:szCs w:val="1"/>
              </w:rPr>
            </w:pPr>
          </w:p>
        </w:tc>
      </w:tr>
      <w:tr w:rsidR="00AC12B4">
        <w:trPr>
          <w:trHeight w:val="85"/>
        </w:trPr>
        <w:tc>
          <w:tcPr>
            <w:tcW w:w="7260" w:type="dxa"/>
            <w:gridSpan w:val="12"/>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 xml:space="preserve">de ses tuteurs ou des autres personnes légalement responsables de </w:t>
            </w:r>
            <w:r>
              <w:rPr>
                <w:rFonts w:ascii="Calibri" w:eastAsia="Calibri" w:hAnsi="Calibri" w:cs="Calibri"/>
                <w:i/>
                <w:iCs/>
                <w:color w:val="EAF1DD"/>
                <w:sz w:val="20"/>
                <w:szCs w:val="20"/>
              </w:rPr>
              <w:t>lui, et ils</w:t>
            </w:r>
          </w:p>
        </w:tc>
        <w:tc>
          <w:tcPr>
            <w:tcW w:w="120" w:type="dxa"/>
            <w:tcBorders>
              <w:right w:val="single" w:sz="8" w:space="0" w:color="963266"/>
            </w:tcBorders>
            <w:shd w:val="clear" w:color="auto" w:fill="C95C96"/>
            <w:vAlign w:val="bottom"/>
          </w:tcPr>
          <w:p w:rsidR="00AC12B4" w:rsidRDefault="00AC12B4">
            <w:pPr>
              <w:rPr>
                <w:sz w:val="7"/>
                <w:szCs w:val="7"/>
              </w:rPr>
            </w:pPr>
          </w:p>
        </w:tc>
        <w:tc>
          <w:tcPr>
            <w:tcW w:w="100" w:type="dxa"/>
            <w:vAlign w:val="bottom"/>
          </w:tcPr>
          <w:p w:rsidR="00AC12B4" w:rsidRDefault="00AC12B4">
            <w:pPr>
              <w:rPr>
                <w:sz w:val="7"/>
                <w:szCs w:val="7"/>
              </w:rPr>
            </w:pPr>
          </w:p>
        </w:tc>
        <w:tc>
          <w:tcPr>
            <w:tcW w:w="3260" w:type="dxa"/>
            <w:gridSpan w:val="10"/>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60"/>
        </w:trPr>
        <w:tc>
          <w:tcPr>
            <w:tcW w:w="7260" w:type="dxa"/>
            <w:gridSpan w:val="12"/>
            <w:vMerge/>
            <w:tcBorders>
              <w:left w:val="single" w:sz="8" w:space="0" w:color="963266"/>
            </w:tcBorders>
            <w:shd w:val="clear" w:color="auto" w:fill="C95C96"/>
            <w:vAlign w:val="bottom"/>
          </w:tcPr>
          <w:p w:rsidR="00AC12B4" w:rsidRDefault="00AC12B4">
            <w:pPr>
              <w:rPr>
                <w:sz w:val="13"/>
                <w:szCs w:val="13"/>
              </w:rPr>
            </w:pPr>
          </w:p>
        </w:tc>
        <w:tc>
          <w:tcPr>
            <w:tcW w:w="120" w:type="dxa"/>
            <w:tcBorders>
              <w:right w:val="single" w:sz="8" w:space="0" w:color="963266"/>
            </w:tcBorders>
            <w:shd w:val="clear" w:color="auto" w:fill="C95C96"/>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380" w:type="dxa"/>
            <w:vMerge w:val="restart"/>
            <w:vAlign w:val="bottom"/>
          </w:tcPr>
          <w:p w:rsidR="00AC12B4" w:rsidRDefault="00C27636">
            <w:pPr>
              <w:spacing w:line="267" w:lineRule="exact"/>
              <w:ind w:left="80"/>
              <w:rPr>
                <w:sz w:val="20"/>
                <w:szCs w:val="20"/>
              </w:rPr>
            </w:pPr>
            <w:r>
              <w:rPr>
                <w:rFonts w:ascii="Calibri" w:eastAsia="Calibri" w:hAnsi="Calibri" w:cs="Calibri"/>
                <w:w w:val="93"/>
              </w:rPr>
              <w:t>par</w:t>
            </w:r>
          </w:p>
        </w:tc>
        <w:tc>
          <w:tcPr>
            <w:tcW w:w="100" w:type="dxa"/>
            <w:vAlign w:val="bottom"/>
          </w:tcPr>
          <w:p w:rsidR="00AC12B4" w:rsidRDefault="00AC12B4">
            <w:pPr>
              <w:rPr>
                <w:sz w:val="13"/>
                <w:szCs w:val="13"/>
              </w:rPr>
            </w:pPr>
          </w:p>
        </w:tc>
        <w:tc>
          <w:tcPr>
            <w:tcW w:w="1020" w:type="dxa"/>
            <w:gridSpan w:val="5"/>
            <w:vMerge w:val="restart"/>
            <w:vAlign w:val="bottom"/>
          </w:tcPr>
          <w:p w:rsidR="00AC12B4" w:rsidRDefault="00C27636">
            <w:pPr>
              <w:spacing w:line="267" w:lineRule="exact"/>
              <w:ind w:left="120"/>
              <w:rPr>
                <w:sz w:val="20"/>
                <w:szCs w:val="20"/>
              </w:rPr>
            </w:pPr>
            <w:r>
              <w:rPr>
                <w:rFonts w:ascii="Calibri" w:eastAsia="Calibri" w:hAnsi="Calibri" w:cs="Calibri"/>
              </w:rPr>
              <w:t>l'enfant</w:t>
            </w:r>
          </w:p>
        </w:tc>
        <w:tc>
          <w:tcPr>
            <w:tcW w:w="560" w:type="dxa"/>
            <w:gridSpan w:val="2"/>
            <w:vMerge w:val="restart"/>
            <w:vAlign w:val="bottom"/>
          </w:tcPr>
          <w:p w:rsidR="00AC12B4" w:rsidRDefault="00C27636">
            <w:pPr>
              <w:spacing w:line="267" w:lineRule="exact"/>
              <w:rPr>
                <w:sz w:val="20"/>
                <w:szCs w:val="20"/>
              </w:rPr>
            </w:pPr>
            <w:r>
              <w:rPr>
                <w:rFonts w:ascii="Calibri" w:eastAsia="Calibri" w:hAnsi="Calibri" w:cs="Calibri"/>
              </w:rPr>
              <w:t>d'un</w:t>
            </w:r>
          </w:p>
        </w:tc>
        <w:tc>
          <w:tcPr>
            <w:tcW w:w="1200" w:type="dxa"/>
            <w:vMerge w:val="restart"/>
            <w:vAlign w:val="bottom"/>
          </w:tcPr>
          <w:p w:rsidR="00AC12B4" w:rsidRDefault="00C27636">
            <w:pPr>
              <w:spacing w:line="267" w:lineRule="exact"/>
              <w:ind w:right="690"/>
              <w:jc w:val="right"/>
              <w:rPr>
                <w:sz w:val="20"/>
                <w:szCs w:val="20"/>
              </w:rPr>
            </w:pPr>
            <w:r>
              <w:rPr>
                <w:rFonts w:ascii="Calibri" w:eastAsia="Calibri" w:hAnsi="Calibri" w:cs="Calibri"/>
              </w:rPr>
              <w:t>rôl</w:t>
            </w:r>
            <w:r>
              <w:rPr>
                <w:rFonts w:ascii="Calibri" w:eastAsia="Calibri" w:hAnsi="Calibri" w:cs="Calibri"/>
              </w:rPr>
              <w:lastRenderedPageBreak/>
              <w:t>e</w:t>
            </w:r>
          </w:p>
        </w:tc>
        <w:tc>
          <w:tcPr>
            <w:tcW w:w="0" w:type="dxa"/>
            <w:vAlign w:val="bottom"/>
          </w:tcPr>
          <w:p w:rsidR="00AC12B4" w:rsidRDefault="00AC12B4">
            <w:pPr>
              <w:rPr>
                <w:sz w:val="1"/>
                <w:szCs w:val="1"/>
              </w:rPr>
            </w:pPr>
          </w:p>
        </w:tc>
      </w:tr>
      <w:tr w:rsidR="00AC12B4">
        <w:trPr>
          <w:trHeight w:val="107"/>
        </w:trPr>
        <w:tc>
          <w:tcPr>
            <w:tcW w:w="2520" w:type="dxa"/>
            <w:gridSpan w:val="2"/>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prennent  à  cette  fin</w:t>
            </w:r>
          </w:p>
        </w:tc>
        <w:tc>
          <w:tcPr>
            <w:tcW w:w="4740" w:type="dxa"/>
            <w:gridSpan w:val="10"/>
            <w:vMerge w:val="restart"/>
            <w:shd w:val="clear" w:color="auto" w:fill="C95C96"/>
            <w:vAlign w:val="bottom"/>
          </w:tcPr>
          <w:p w:rsidR="00AC12B4" w:rsidRDefault="00C27636">
            <w:pPr>
              <w:jc w:val="right"/>
              <w:rPr>
                <w:sz w:val="20"/>
                <w:szCs w:val="20"/>
              </w:rPr>
            </w:pPr>
            <w:r>
              <w:rPr>
                <w:rFonts w:ascii="Calibri" w:eastAsia="Calibri" w:hAnsi="Calibri" w:cs="Calibri"/>
                <w:i/>
                <w:iCs/>
                <w:color w:val="EAF1DD"/>
                <w:sz w:val="20"/>
                <w:szCs w:val="20"/>
              </w:rPr>
              <w:t>toutes  les  mesures  législatives  et  administratives</w:t>
            </w:r>
          </w:p>
        </w:tc>
        <w:tc>
          <w:tcPr>
            <w:tcW w:w="120" w:type="dxa"/>
            <w:tcBorders>
              <w:right w:val="single" w:sz="8" w:space="0" w:color="963266"/>
            </w:tcBorders>
            <w:shd w:val="clear" w:color="auto" w:fill="C95C96"/>
            <w:vAlign w:val="bottom"/>
          </w:tcPr>
          <w:p w:rsidR="00AC12B4" w:rsidRDefault="00AC12B4">
            <w:pPr>
              <w:rPr>
                <w:sz w:val="9"/>
                <w:szCs w:val="9"/>
              </w:rPr>
            </w:pPr>
          </w:p>
        </w:tc>
        <w:tc>
          <w:tcPr>
            <w:tcW w:w="100" w:type="dxa"/>
            <w:vAlign w:val="bottom"/>
          </w:tcPr>
          <w:p w:rsidR="00AC12B4" w:rsidRDefault="00AC12B4">
            <w:pPr>
              <w:rPr>
                <w:sz w:val="9"/>
                <w:szCs w:val="9"/>
              </w:rPr>
            </w:pPr>
          </w:p>
        </w:tc>
        <w:tc>
          <w:tcPr>
            <w:tcW w:w="380" w:type="dxa"/>
            <w:vMerge/>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gridSpan w:val="5"/>
            <w:vMerge/>
            <w:vAlign w:val="bottom"/>
          </w:tcPr>
          <w:p w:rsidR="00AC12B4" w:rsidRDefault="00AC12B4">
            <w:pPr>
              <w:rPr>
                <w:sz w:val="9"/>
                <w:szCs w:val="9"/>
              </w:rPr>
            </w:pPr>
          </w:p>
        </w:tc>
        <w:tc>
          <w:tcPr>
            <w:tcW w:w="560" w:type="dxa"/>
            <w:gridSpan w:val="2"/>
            <w:vMerge/>
            <w:vAlign w:val="bottom"/>
          </w:tcPr>
          <w:p w:rsidR="00AC12B4" w:rsidRDefault="00AC12B4">
            <w:pPr>
              <w:rPr>
                <w:sz w:val="9"/>
                <w:szCs w:val="9"/>
              </w:rPr>
            </w:pPr>
          </w:p>
        </w:tc>
        <w:tc>
          <w:tcPr>
            <w:tcW w:w="120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38"/>
        </w:trPr>
        <w:tc>
          <w:tcPr>
            <w:tcW w:w="2520" w:type="dxa"/>
            <w:gridSpan w:val="2"/>
            <w:vMerge/>
            <w:tcBorders>
              <w:left w:val="single" w:sz="8" w:space="0" w:color="963266"/>
            </w:tcBorders>
            <w:shd w:val="clear" w:color="auto" w:fill="C95C96"/>
            <w:vAlign w:val="bottom"/>
          </w:tcPr>
          <w:p w:rsidR="00AC12B4" w:rsidRDefault="00AC12B4">
            <w:pPr>
              <w:rPr>
                <w:sz w:val="12"/>
                <w:szCs w:val="12"/>
              </w:rPr>
            </w:pPr>
          </w:p>
        </w:tc>
        <w:tc>
          <w:tcPr>
            <w:tcW w:w="4740" w:type="dxa"/>
            <w:gridSpan w:val="10"/>
            <w:vMerge/>
            <w:shd w:val="clear" w:color="auto" w:fill="C95C96"/>
            <w:vAlign w:val="bottom"/>
          </w:tcPr>
          <w:p w:rsidR="00AC12B4" w:rsidRDefault="00AC12B4">
            <w:pPr>
              <w:rPr>
                <w:sz w:val="12"/>
                <w:szCs w:val="12"/>
              </w:rPr>
            </w:pPr>
          </w:p>
        </w:tc>
        <w:tc>
          <w:tcPr>
            <w:tcW w:w="120" w:type="dxa"/>
            <w:tcBorders>
              <w:right w:val="single" w:sz="8" w:space="0" w:color="963266"/>
            </w:tcBorders>
            <w:shd w:val="clear" w:color="auto" w:fill="C95C96"/>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3260" w:type="dxa"/>
            <w:gridSpan w:val="10"/>
            <w:vMerge w:val="restart"/>
            <w:vAlign w:val="bottom"/>
          </w:tcPr>
          <w:p w:rsidR="00AC12B4" w:rsidRDefault="00C27636">
            <w:pPr>
              <w:ind w:left="80"/>
              <w:rPr>
                <w:sz w:val="20"/>
                <w:szCs w:val="20"/>
              </w:rPr>
            </w:pPr>
            <w:r>
              <w:rPr>
                <w:rFonts w:ascii="Calibri" w:eastAsia="Calibri" w:hAnsi="Calibri" w:cs="Calibri"/>
              </w:rPr>
              <w:t>constructif dans la société</w:t>
            </w:r>
          </w:p>
        </w:tc>
        <w:tc>
          <w:tcPr>
            <w:tcW w:w="0" w:type="dxa"/>
            <w:vAlign w:val="bottom"/>
          </w:tcPr>
          <w:p w:rsidR="00AC12B4" w:rsidRDefault="00AC12B4">
            <w:pPr>
              <w:rPr>
                <w:sz w:val="1"/>
                <w:szCs w:val="1"/>
              </w:rPr>
            </w:pPr>
          </w:p>
        </w:tc>
      </w:tr>
      <w:tr w:rsidR="00AC12B4">
        <w:trPr>
          <w:trHeight w:val="131"/>
        </w:trPr>
        <w:tc>
          <w:tcPr>
            <w:tcW w:w="1980" w:type="dxa"/>
            <w:vMerge w:val="restart"/>
            <w:tcBorders>
              <w:left w:val="single" w:sz="8" w:space="0" w:color="963266"/>
            </w:tcBorders>
            <w:shd w:val="clear" w:color="auto" w:fill="C95C96"/>
            <w:vAlign w:val="bottom"/>
          </w:tcPr>
          <w:p w:rsidR="00AC12B4" w:rsidRDefault="00C27636">
            <w:pPr>
              <w:spacing w:line="243" w:lineRule="exact"/>
              <w:ind w:left="580"/>
              <w:rPr>
                <w:sz w:val="20"/>
                <w:szCs w:val="20"/>
              </w:rPr>
            </w:pPr>
            <w:r>
              <w:rPr>
                <w:rFonts w:ascii="Calibri" w:eastAsia="Calibri" w:hAnsi="Calibri" w:cs="Calibri"/>
                <w:i/>
                <w:iCs/>
                <w:color w:val="EAF1DD"/>
                <w:sz w:val="20"/>
                <w:szCs w:val="20"/>
              </w:rPr>
              <w:t>appropriées.</w:t>
            </w:r>
          </w:p>
        </w:tc>
        <w:tc>
          <w:tcPr>
            <w:tcW w:w="540" w:type="dxa"/>
            <w:shd w:val="clear" w:color="auto" w:fill="C95C96"/>
            <w:vAlign w:val="bottom"/>
          </w:tcPr>
          <w:p w:rsidR="00AC12B4" w:rsidRDefault="00AC12B4">
            <w:pPr>
              <w:rPr>
                <w:sz w:val="11"/>
                <w:szCs w:val="11"/>
              </w:rPr>
            </w:pPr>
          </w:p>
        </w:tc>
        <w:tc>
          <w:tcPr>
            <w:tcW w:w="320" w:type="dxa"/>
            <w:shd w:val="clear" w:color="auto" w:fill="C95C96"/>
            <w:vAlign w:val="bottom"/>
          </w:tcPr>
          <w:p w:rsidR="00AC12B4" w:rsidRDefault="00AC12B4">
            <w:pPr>
              <w:rPr>
                <w:sz w:val="11"/>
                <w:szCs w:val="11"/>
              </w:rPr>
            </w:pPr>
          </w:p>
        </w:tc>
        <w:tc>
          <w:tcPr>
            <w:tcW w:w="340" w:type="dxa"/>
            <w:shd w:val="clear" w:color="auto" w:fill="C95C96"/>
            <w:vAlign w:val="bottom"/>
          </w:tcPr>
          <w:p w:rsidR="00AC12B4" w:rsidRDefault="00AC12B4">
            <w:pPr>
              <w:rPr>
                <w:sz w:val="11"/>
                <w:szCs w:val="11"/>
              </w:rPr>
            </w:pPr>
          </w:p>
        </w:tc>
        <w:tc>
          <w:tcPr>
            <w:tcW w:w="1060" w:type="dxa"/>
            <w:shd w:val="clear" w:color="auto" w:fill="C95C96"/>
            <w:vAlign w:val="bottom"/>
          </w:tcPr>
          <w:p w:rsidR="00AC12B4" w:rsidRDefault="00AC12B4">
            <w:pPr>
              <w:rPr>
                <w:sz w:val="11"/>
                <w:szCs w:val="11"/>
              </w:rPr>
            </w:pPr>
          </w:p>
        </w:tc>
        <w:tc>
          <w:tcPr>
            <w:tcW w:w="380" w:type="dxa"/>
            <w:shd w:val="clear" w:color="auto" w:fill="C95C96"/>
            <w:vAlign w:val="bottom"/>
          </w:tcPr>
          <w:p w:rsidR="00AC12B4" w:rsidRDefault="00AC12B4">
            <w:pPr>
              <w:rPr>
                <w:sz w:val="11"/>
                <w:szCs w:val="11"/>
              </w:rPr>
            </w:pPr>
          </w:p>
        </w:tc>
        <w:tc>
          <w:tcPr>
            <w:tcW w:w="380" w:type="dxa"/>
            <w:shd w:val="clear" w:color="auto" w:fill="C95C96"/>
            <w:vAlign w:val="bottom"/>
          </w:tcPr>
          <w:p w:rsidR="00AC12B4" w:rsidRDefault="00AC12B4">
            <w:pPr>
              <w:rPr>
                <w:sz w:val="11"/>
                <w:szCs w:val="11"/>
              </w:rPr>
            </w:pPr>
          </w:p>
        </w:tc>
        <w:tc>
          <w:tcPr>
            <w:tcW w:w="460" w:type="dxa"/>
            <w:shd w:val="clear" w:color="auto" w:fill="C95C96"/>
            <w:vAlign w:val="bottom"/>
          </w:tcPr>
          <w:p w:rsidR="00AC12B4" w:rsidRDefault="00AC12B4">
            <w:pPr>
              <w:rPr>
                <w:sz w:val="11"/>
                <w:szCs w:val="11"/>
              </w:rPr>
            </w:pPr>
          </w:p>
        </w:tc>
        <w:tc>
          <w:tcPr>
            <w:tcW w:w="600" w:type="dxa"/>
            <w:shd w:val="clear" w:color="auto" w:fill="C95C96"/>
            <w:vAlign w:val="bottom"/>
          </w:tcPr>
          <w:p w:rsidR="00AC12B4" w:rsidRDefault="00AC12B4">
            <w:pPr>
              <w:rPr>
                <w:sz w:val="11"/>
                <w:szCs w:val="11"/>
              </w:rPr>
            </w:pPr>
          </w:p>
        </w:tc>
        <w:tc>
          <w:tcPr>
            <w:tcW w:w="120" w:type="dxa"/>
            <w:shd w:val="clear" w:color="auto" w:fill="C95C96"/>
            <w:vAlign w:val="bottom"/>
          </w:tcPr>
          <w:p w:rsidR="00AC12B4" w:rsidRDefault="00AC12B4">
            <w:pPr>
              <w:rPr>
                <w:sz w:val="11"/>
                <w:szCs w:val="11"/>
              </w:rPr>
            </w:pPr>
          </w:p>
        </w:tc>
        <w:tc>
          <w:tcPr>
            <w:tcW w:w="320" w:type="dxa"/>
            <w:shd w:val="clear" w:color="auto" w:fill="C95C96"/>
            <w:vAlign w:val="bottom"/>
          </w:tcPr>
          <w:p w:rsidR="00AC12B4" w:rsidRDefault="00AC12B4">
            <w:pPr>
              <w:rPr>
                <w:sz w:val="11"/>
                <w:szCs w:val="11"/>
              </w:rPr>
            </w:pPr>
          </w:p>
        </w:tc>
        <w:tc>
          <w:tcPr>
            <w:tcW w:w="760" w:type="dxa"/>
            <w:shd w:val="clear" w:color="auto" w:fill="C95C96"/>
            <w:vAlign w:val="bottom"/>
          </w:tcPr>
          <w:p w:rsidR="00AC12B4" w:rsidRDefault="00AC12B4">
            <w:pPr>
              <w:rPr>
                <w:sz w:val="11"/>
                <w:szCs w:val="11"/>
              </w:rPr>
            </w:pPr>
          </w:p>
        </w:tc>
        <w:tc>
          <w:tcPr>
            <w:tcW w:w="120" w:type="dxa"/>
            <w:tcBorders>
              <w:right w:val="single" w:sz="8" w:space="0" w:color="963266"/>
            </w:tcBorders>
            <w:shd w:val="clear" w:color="auto" w:fill="C95C96"/>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3260" w:type="dxa"/>
            <w:gridSpan w:val="10"/>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12"/>
        </w:trPr>
        <w:tc>
          <w:tcPr>
            <w:tcW w:w="1980" w:type="dxa"/>
            <w:vMerge/>
            <w:tcBorders>
              <w:left w:val="single" w:sz="8" w:space="0" w:color="963266"/>
            </w:tcBorders>
            <w:shd w:val="clear" w:color="auto" w:fill="C95C96"/>
            <w:vAlign w:val="bottom"/>
          </w:tcPr>
          <w:p w:rsidR="00AC12B4" w:rsidRDefault="00AC12B4">
            <w:pPr>
              <w:rPr>
                <w:sz w:val="9"/>
                <w:szCs w:val="9"/>
              </w:rPr>
            </w:pPr>
          </w:p>
        </w:tc>
        <w:tc>
          <w:tcPr>
            <w:tcW w:w="540" w:type="dxa"/>
            <w:shd w:val="clear" w:color="auto" w:fill="C95C96"/>
            <w:vAlign w:val="bottom"/>
          </w:tcPr>
          <w:p w:rsidR="00AC12B4" w:rsidRDefault="00AC12B4">
            <w:pPr>
              <w:rPr>
                <w:sz w:val="9"/>
                <w:szCs w:val="9"/>
              </w:rPr>
            </w:pPr>
          </w:p>
        </w:tc>
        <w:tc>
          <w:tcPr>
            <w:tcW w:w="320" w:type="dxa"/>
            <w:shd w:val="clear" w:color="auto" w:fill="C95C96"/>
            <w:vAlign w:val="bottom"/>
          </w:tcPr>
          <w:p w:rsidR="00AC12B4" w:rsidRDefault="00AC12B4">
            <w:pPr>
              <w:rPr>
                <w:sz w:val="9"/>
                <w:szCs w:val="9"/>
              </w:rPr>
            </w:pPr>
          </w:p>
        </w:tc>
        <w:tc>
          <w:tcPr>
            <w:tcW w:w="340" w:type="dxa"/>
            <w:shd w:val="clear" w:color="auto" w:fill="C95C96"/>
            <w:vAlign w:val="bottom"/>
          </w:tcPr>
          <w:p w:rsidR="00AC12B4" w:rsidRDefault="00AC12B4">
            <w:pPr>
              <w:rPr>
                <w:sz w:val="9"/>
                <w:szCs w:val="9"/>
              </w:rPr>
            </w:pPr>
          </w:p>
        </w:tc>
        <w:tc>
          <w:tcPr>
            <w:tcW w:w="1060" w:type="dxa"/>
            <w:shd w:val="clear" w:color="auto" w:fill="C95C96"/>
            <w:vAlign w:val="bottom"/>
          </w:tcPr>
          <w:p w:rsidR="00AC12B4" w:rsidRDefault="00AC12B4">
            <w:pPr>
              <w:rPr>
                <w:sz w:val="9"/>
                <w:szCs w:val="9"/>
              </w:rPr>
            </w:pPr>
          </w:p>
        </w:tc>
        <w:tc>
          <w:tcPr>
            <w:tcW w:w="380" w:type="dxa"/>
            <w:shd w:val="clear" w:color="auto" w:fill="C95C96"/>
            <w:vAlign w:val="bottom"/>
          </w:tcPr>
          <w:p w:rsidR="00AC12B4" w:rsidRDefault="00AC12B4">
            <w:pPr>
              <w:rPr>
                <w:sz w:val="9"/>
                <w:szCs w:val="9"/>
              </w:rPr>
            </w:pPr>
          </w:p>
        </w:tc>
        <w:tc>
          <w:tcPr>
            <w:tcW w:w="380" w:type="dxa"/>
            <w:shd w:val="clear" w:color="auto" w:fill="C95C96"/>
            <w:vAlign w:val="bottom"/>
          </w:tcPr>
          <w:p w:rsidR="00AC12B4" w:rsidRDefault="00AC12B4">
            <w:pPr>
              <w:rPr>
                <w:sz w:val="9"/>
                <w:szCs w:val="9"/>
              </w:rPr>
            </w:pPr>
          </w:p>
        </w:tc>
        <w:tc>
          <w:tcPr>
            <w:tcW w:w="460" w:type="dxa"/>
            <w:shd w:val="clear" w:color="auto" w:fill="C95C96"/>
            <w:vAlign w:val="bottom"/>
          </w:tcPr>
          <w:p w:rsidR="00AC12B4" w:rsidRDefault="00AC12B4">
            <w:pPr>
              <w:rPr>
                <w:sz w:val="9"/>
                <w:szCs w:val="9"/>
              </w:rPr>
            </w:pPr>
          </w:p>
        </w:tc>
        <w:tc>
          <w:tcPr>
            <w:tcW w:w="600" w:type="dxa"/>
            <w:shd w:val="clear" w:color="auto" w:fill="C95C96"/>
            <w:vAlign w:val="bottom"/>
          </w:tcPr>
          <w:p w:rsidR="00AC12B4" w:rsidRDefault="00AC12B4">
            <w:pPr>
              <w:rPr>
                <w:sz w:val="9"/>
                <w:szCs w:val="9"/>
              </w:rPr>
            </w:pPr>
          </w:p>
        </w:tc>
        <w:tc>
          <w:tcPr>
            <w:tcW w:w="120" w:type="dxa"/>
            <w:shd w:val="clear" w:color="auto" w:fill="C95C96"/>
            <w:vAlign w:val="bottom"/>
          </w:tcPr>
          <w:p w:rsidR="00AC12B4" w:rsidRDefault="00AC12B4">
            <w:pPr>
              <w:rPr>
                <w:sz w:val="9"/>
                <w:szCs w:val="9"/>
              </w:rPr>
            </w:pPr>
          </w:p>
        </w:tc>
        <w:tc>
          <w:tcPr>
            <w:tcW w:w="320" w:type="dxa"/>
            <w:shd w:val="clear" w:color="auto" w:fill="C95C96"/>
            <w:vAlign w:val="bottom"/>
          </w:tcPr>
          <w:p w:rsidR="00AC12B4" w:rsidRDefault="00AC12B4">
            <w:pPr>
              <w:rPr>
                <w:sz w:val="9"/>
                <w:szCs w:val="9"/>
              </w:rPr>
            </w:pPr>
          </w:p>
        </w:tc>
        <w:tc>
          <w:tcPr>
            <w:tcW w:w="760" w:type="dxa"/>
            <w:shd w:val="clear" w:color="auto" w:fill="C95C96"/>
            <w:vAlign w:val="bottom"/>
          </w:tcPr>
          <w:p w:rsidR="00AC12B4" w:rsidRDefault="00AC12B4">
            <w:pPr>
              <w:rPr>
                <w:sz w:val="9"/>
                <w:szCs w:val="9"/>
              </w:rPr>
            </w:pPr>
          </w:p>
        </w:tc>
        <w:tc>
          <w:tcPr>
            <w:tcW w:w="120" w:type="dxa"/>
            <w:tcBorders>
              <w:right w:val="single" w:sz="8" w:space="0" w:color="963266"/>
            </w:tcBorders>
            <w:shd w:val="clear" w:color="auto" w:fill="C95C96"/>
            <w:vAlign w:val="bottom"/>
          </w:tcPr>
          <w:p w:rsidR="00AC12B4" w:rsidRDefault="00AC12B4">
            <w:pPr>
              <w:rPr>
                <w:sz w:val="9"/>
                <w:szCs w:val="9"/>
              </w:rPr>
            </w:pPr>
          </w:p>
        </w:tc>
        <w:tc>
          <w:tcPr>
            <w:tcW w:w="100" w:type="dxa"/>
            <w:vAlign w:val="bottom"/>
          </w:tcPr>
          <w:p w:rsidR="00AC12B4" w:rsidRDefault="00AC12B4">
            <w:pPr>
              <w:rPr>
                <w:sz w:val="9"/>
                <w:szCs w:val="9"/>
              </w:rPr>
            </w:pPr>
          </w:p>
        </w:tc>
        <w:tc>
          <w:tcPr>
            <w:tcW w:w="3260" w:type="dxa"/>
            <w:gridSpan w:val="10"/>
            <w:vMerge w:val="restart"/>
            <w:vAlign w:val="bottom"/>
          </w:tcPr>
          <w:p w:rsidR="00AC12B4" w:rsidRDefault="00C27636">
            <w:pPr>
              <w:ind w:left="80"/>
              <w:rPr>
                <w:sz w:val="20"/>
                <w:szCs w:val="20"/>
              </w:rPr>
            </w:pPr>
            <w:r>
              <w:rPr>
                <w:rFonts w:ascii="Calibri" w:eastAsia="Calibri" w:hAnsi="Calibri" w:cs="Calibri"/>
              </w:rPr>
              <w:t>ainsi que de la promotion</w:t>
            </w:r>
          </w:p>
        </w:tc>
        <w:tc>
          <w:tcPr>
            <w:tcW w:w="0" w:type="dxa"/>
            <w:vAlign w:val="bottom"/>
          </w:tcPr>
          <w:p w:rsidR="00AC12B4" w:rsidRDefault="00AC12B4">
            <w:pPr>
              <w:rPr>
                <w:sz w:val="1"/>
                <w:szCs w:val="1"/>
              </w:rPr>
            </w:pPr>
          </w:p>
        </w:tc>
      </w:tr>
      <w:tr w:rsidR="00AC12B4">
        <w:trPr>
          <w:trHeight w:val="157"/>
        </w:trPr>
        <w:tc>
          <w:tcPr>
            <w:tcW w:w="1980" w:type="dxa"/>
            <w:tcBorders>
              <w:left w:val="single" w:sz="8" w:space="0" w:color="963266"/>
            </w:tcBorders>
            <w:shd w:val="clear" w:color="auto" w:fill="C95C96"/>
            <w:vAlign w:val="bottom"/>
          </w:tcPr>
          <w:p w:rsidR="00AC12B4" w:rsidRDefault="00AC12B4">
            <w:pPr>
              <w:rPr>
                <w:sz w:val="13"/>
                <w:szCs w:val="13"/>
              </w:rPr>
            </w:pPr>
          </w:p>
        </w:tc>
        <w:tc>
          <w:tcPr>
            <w:tcW w:w="540" w:type="dxa"/>
            <w:shd w:val="clear" w:color="auto" w:fill="C95C96"/>
            <w:vAlign w:val="bottom"/>
          </w:tcPr>
          <w:p w:rsidR="00AC12B4" w:rsidRDefault="00AC12B4">
            <w:pPr>
              <w:rPr>
                <w:sz w:val="13"/>
                <w:szCs w:val="13"/>
              </w:rPr>
            </w:pPr>
          </w:p>
        </w:tc>
        <w:tc>
          <w:tcPr>
            <w:tcW w:w="320" w:type="dxa"/>
            <w:shd w:val="clear" w:color="auto" w:fill="C95C96"/>
            <w:vAlign w:val="bottom"/>
          </w:tcPr>
          <w:p w:rsidR="00AC12B4" w:rsidRDefault="00AC12B4">
            <w:pPr>
              <w:rPr>
                <w:sz w:val="13"/>
                <w:szCs w:val="13"/>
              </w:rPr>
            </w:pPr>
          </w:p>
        </w:tc>
        <w:tc>
          <w:tcPr>
            <w:tcW w:w="340" w:type="dxa"/>
            <w:shd w:val="clear" w:color="auto" w:fill="C95C96"/>
            <w:vAlign w:val="bottom"/>
          </w:tcPr>
          <w:p w:rsidR="00AC12B4" w:rsidRDefault="00AC12B4">
            <w:pPr>
              <w:rPr>
                <w:sz w:val="13"/>
                <w:szCs w:val="13"/>
              </w:rPr>
            </w:pPr>
          </w:p>
        </w:tc>
        <w:tc>
          <w:tcPr>
            <w:tcW w:w="1060" w:type="dxa"/>
            <w:shd w:val="clear" w:color="auto" w:fill="C95C96"/>
            <w:vAlign w:val="bottom"/>
          </w:tcPr>
          <w:p w:rsidR="00AC12B4" w:rsidRDefault="00AC12B4">
            <w:pPr>
              <w:rPr>
                <w:sz w:val="13"/>
                <w:szCs w:val="13"/>
              </w:rPr>
            </w:pPr>
          </w:p>
        </w:tc>
        <w:tc>
          <w:tcPr>
            <w:tcW w:w="380" w:type="dxa"/>
            <w:shd w:val="clear" w:color="auto" w:fill="C95C96"/>
            <w:vAlign w:val="bottom"/>
          </w:tcPr>
          <w:p w:rsidR="00AC12B4" w:rsidRDefault="00AC12B4">
            <w:pPr>
              <w:rPr>
                <w:sz w:val="13"/>
                <w:szCs w:val="13"/>
              </w:rPr>
            </w:pPr>
          </w:p>
        </w:tc>
        <w:tc>
          <w:tcPr>
            <w:tcW w:w="380" w:type="dxa"/>
            <w:shd w:val="clear" w:color="auto" w:fill="C95C96"/>
            <w:vAlign w:val="bottom"/>
          </w:tcPr>
          <w:p w:rsidR="00AC12B4" w:rsidRDefault="00AC12B4">
            <w:pPr>
              <w:rPr>
                <w:sz w:val="13"/>
                <w:szCs w:val="13"/>
              </w:rPr>
            </w:pPr>
          </w:p>
        </w:tc>
        <w:tc>
          <w:tcPr>
            <w:tcW w:w="460" w:type="dxa"/>
            <w:shd w:val="clear" w:color="auto" w:fill="C95C96"/>
            <w:vAlign w:val="bottom"/>
          </w:tcPr>
          <w:p w:rsidR="00AC12B4" w:rsidRDefault="00AC12B4">
            <w:pPr>
              <w:rPr>
                <w:sz w:val="13"/>
                <w:szCs w:val="13"/>
              </w:rPr>
            </w:pPr>
          </w:p>
        </w:tc>
        <w:tc>
          <w:tcPr>
            <w:tcW w:w="600" w:type="dxa"/>
            <w:shd w:val="clear" w:color="auto" w:fill="C95C96"/>
            <w:vAlign w:val="bottom"/>
          </w:tcPr>
          <w:p w:rsidR="00AC12B4" w:rsidRDefault="00AC12B4">
            <w:pPr>
              <w:rPr>
                <w:sz w:val="13"/>
                <w:szCs w:val="13"/>
              </w:rPr>
            </w:pPr>
          </w:p>
        </w:tc>
        <w:tc>
          <w:tcPr>
            <w:tcW w:w="120" w:type="dxa"/>
            <w:shd w:val="clear" w:color="auto" w:fill="C95C96"/>
            <w:vAlign w:val="bottom"/>
          </w:tcPr>
          <w:p w:rsidR="00AC12B4" w:rsidRDefault="00AC12B4">
            <w:pPr>
              <w:rPr>
                <w:sz w:val="13"/>
                <w:szCs w:val="13"/>
              </w:rPr>
            </w:pPr>
          </w:p>
        </w:tc>
        <w:tc>
          <w:tcPr>
            <w:tcW w:w="320" w:type="dxa"/>
            <w:shd w:val="clear" w:color="auto" w:fill="C95C96"/>
            <w:vAlign w:val="bottom"/>
          </w:tcPr>
          <w:p w:rsidR="00AC12B4" w:rsidRDefault="00AC12B4">
            <w:pPr>
              <w:rPr>
                <w:sz w:val="13"/>
                <w:szCs w:val="13"/>
              </w:rPr>
            </w:pPr>
          </w:p>
        </w:tc>
        <w:tc>
          <w:tcPr>
            <w:tcW w:w="760" w:type="dxa"/>
            <w:shd w:val="clear" w:color="auto" w:fill="C95C96"/>
            <w:vAlign w:val="bottom"/>
          </w:tcPr>
          <w:p w:rsidR="00AC12B4" w:rsidRDefault="00AC12B4">
            <w:pPr>
              <w:rPr>
                <w:sz w:val="13"/>
                <w:szCs w:val="13"/>
              </w:rPr>
            </w:pPr>
          </w:p>
        </w:tc>
        <w:tc>
          <w:tcPr>
            <w:tcW w:w="120" w:type="dxa"/>
            <w:tcBorders>
              <w:right w:val="single" w:sz="8" w:space="0" w:color="963266"/>
            </w:tcBorders>
            <w:shd w:val="clear" w:color="auto" w:fill="C95C96"/>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3260" w:type="dxa"/>
            <w:gridSpan w:val="10"/>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69"/>
        </w:trPr>
        <w:tc>
          <w:tcPr>
            <w:tcW w:w="1980" w:type="dxa"/>
            <w:tcBorders>
              <w:left w:val="single" w:sz="8" w:space="0" w:color="963266"/>
            </w:tcBorders>
            <w:shd w:val="clear" w:color="auto" w:fill="C95C96"/>
            <w:vAlign w:val="bottom"/>
          </w:tcPr>
          <w:p w:rsidR="00AC12B4" w:rsidRDefault="00C27636">
            <w:pPr>
              <w:spacing w:line="208" w:lineRule="exact"/>
              <w:ind w:left="580"/>
              <w:rPr>
                <w:sz w:val="20"/>
                <w:szCs w:val="20"/>
              </w:rPr>
            </w:pPr>
            <w:r>
              <w:rPr>
                <w:rFonts w:ascii="Calibri" w:eastAsia="Calibri" w:hAnsi="Calibri" w:cs="Calibri"/>
                <w:b/>
                <w:bCs/>
                <w:i/>
                <w:iCs/>
                <w:color w:val="EAF1DD"/>
                <w:sz w:val="20"/>
                <w:szCs w:val="20"/>
              </w:rPr>
              <w:t>Article 29 CIDE</w:t>
            </w:r>
          </w:p>
        </w:tc>
        <w:tc>
          <w:tcPr>
            <w:tcW w:w="540" w:type="dxa"/>
            <w:shd w:val="clear" w:color="auto" w:fill="C95C96"/>
            <w:vAlign w:val="bottom"/>
          </w:tcPr>
          <w:p w:rsidR="00AC12B4" w:rsidRDefault="00AC12B4">
            <w:pPr>
              <w:rPr>
                <w:sz w:val="23"/>
                <w:szCs w:val="23"/>
              </w:rPr>
            </w:pPr>
          </w:p>
        </w:tc>
        <w:tc>
          <w:tcPr>
            <w:tcW w:w="320" w:type="dxa"/>
            <w:shd w:val="clear" w:color="auto" w:fill="C95C96"/>
            <w:vAlign w:val="bottom"/>
          </w:tcPr>
          <w:p w:rsidR="00AC12B4" w:rsidRDefault="00AC12B4">
            <w:pPr>
              <w:rPr>
                <w:sz w:val="23"/>
                <w:szCs w:val="23"/>
              </w:rPr>
            </w:pPr>
          </w:p>
        </w:tc>
        <w:tc>
          <w:tcPr>
            <w:tcW w:w="340" w:type="dxa"/>
            <w:shd w:val="clear" w:color="auto" w:fill="C95C96"/>
            <w:vAlign w:val="bottom"/>
          </w:tcPr>
          <w:p w:rsidR="00AC12B4" w:rsidRDefault="00AC12B4">
            <w:pPr>
              <w:rPr>
                <w:sz w:val="23"/>
                <w:szCs w:val="23"/>
              </w:rPr>
            </w:pPr>
          </w:p>
        </w:tc>
        <w:tc>
          <w:tcPr>
            <w:tcW w:w="1060" w:type="dxa"/>
            <w:shd w:val="clear" w:color="auto" w:fill="C95C96"/>
            <w:vAlign w:val="bottom"/>
          </w:tcPr>
          <w:p w:rsidR="00AC12B4" w:rsidRDefault="00AC12B4">
            <w:pPr>
              <w:rPr>
                <w:sz w:val="23"/>
                <w:szCs w:val="23"/>
              </w:rPr>
            </w:pPr>
          </w:p>
        </w:tc>
        <w:tc>
          <w:tcPr>
            <w:tcW w:w="380" w:type="dxa"/>
            <w:shd w:val="clear" w:color="auto" w:fill="C95C96"/>
            <w:vAlign w:val="bottom"/>
          </w:tcPr>
          <w:p w:rsidR="00AC12B4" w:rsidRDefault="00AC12B4">
            <w:pPr>
              <w:rPr>
                <w:sz w:val="23"/>
                <w:szCs w:val="23"/>
              </w:rPr>
            </w:pPr>
          </w:p>
        </w:tc>
        <w:tc>
          <w:tcPr>
            <w:tcW w:w="380" w:type="dxa"/>
            <w:shd w:val="clear" w:color="auto" w:fill="C95C96"/>
            <w:vAlign w:val="bottom"/>
          </w:tcPr>
          <w:p w:rsidR="00AC12B4" w:rsidRDefault="00AC12B4">
            <w:pPr>
              <w:rPr>
                <w:sz w:val="23"/>
                <w:szCs w:val="23"/>
              </w:rPr>
            </w:pPr>
          </w:p>
        </w:tc>
        <w:tc>
          <w:tcPr>
            <w:tcW w:w="460" w:type="dxa"/>
            <w:shd w:val="clear" w:color="auto" w:fill="C95C96"/>
            <w:vAlign w:val="bottom"/>
          </w:tcPr>
          <w:p w:rsidR="00AC12B4" w:rsidRDefault="00AC12B4">
            <w:pPr>
              <w:rPr>
                <w:sz w:val="23"/>
                <w:szCs w:val="23"/>
              </w:rPr>
            </w:pPr>
          </w:p>
        </w:tc>
        <w:tc>
          <w:tcPr>
            <w:tcW w:w="600" w:type="dxa"/>
            <w:shd w:val="clear" w:color="auto" w:fill="C95C96"/>
            <w:vAlign w:val="bottom"/>
          </w:tcPr>
          <w:p w:rsidR="00AC12B4" w:rsidRDefault="00AC12B4">
            <w:pPr>
              <w:rPr>
                <w:sz w:val="23"/>
                <w:szCs w:val="23"/>
              </w:rPr>
            </w:pPr>
          </w:p>
        </w:tc>
        <w:tc>
          <w:tcPr>
            <w:tcW w:w="120" w:type="dxa"/>
            <w:shd w:val="clear" w:color="auto" w:fill="C95C96"/>
            <w:vAlign w:val="bottom"/>
          </w:tcPr>
          <w:p w:rsidR="00AC12B4" w:rsidRDefault="00AC12B4">
            <w:pPr>
              <w:rPr>
                <w:sz w:val="23"/>
                <w:szCs w:val="23"/>
              </w:rPr>
            </w:pPr>
          </w:p>
        </w:tc>
        <w:tc>
          <w:tcPr>
            <w:tcW w:w="320" w:type="dxa"/>
            <w:shd w:val="clear" w:color="auto" w:fill="C95C96"/>
            <w:vAlign w:val="bottom"/>
          </w:tcPr>
          <w:p w:rsidR="00AC12B4" w:rsidRDefault="00AC12B4">
            <w:pPr>
              <w:rPr>
                <w:sz w:val="23"/>
                <w:szCs w:val="23"/>
              </w:rPr>
            </w:pPr>
          </w:p>
        </w:tc>
        <w:tc>
          <w:tcPr>
            <w:tcW w:w="760" w:type="dxa"/>
            <w:shd w:val="clear" w:color="auto" w:fill="C95C96"/>
            <w:vAlign w:val="bottom"/>
          </w:tcPr>
          <w:p w:rsidR="00AC12B4" w:rsidRDefault="00AC12B4">
            <w:pPr>
              <w:rPr>
                <w:sz w:val="23"/>
                <w:szCs w:val="23"/>
              </w:rPr>
            </w:pPr>
          </w:p>
        </w:tc>
        <w:tc>
          <w:tcPr>
            <w:tcW w:w="120" w:type="dxa"/>
            <w:tcBorders>
              <w:right w:val="single" w:sz="8" w:space="0" w:color="963266"/>
            </w:tcBorders>
            <w:shd w:val="clear" w:color="auto" w:fill="C95C96"/>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260" w:type="dxa"/>
            <w:gridSpan w:val="10"/>
            <w:vAlign w:val="bottom"/>
          </w:tcPr>
          <w:p w:rsidR="00AC12B4" w:rsidRDefault="00C27636">
            <w:pPr>
              <w:ind w:left="80"/>
              <w:rPr>
                <w:sz w:val="20"/>
                <w:szCs w:val="20"/>
              </w:rPr>
            </w:pPr>
            <w:r>
              <w:rPr>
                <w:rFonts w:ascii="Calibri" w:eastAsia="Calibri" w:hAnsi="Calibri" w:cs="Calibri"/>
              </w:rPr>
              <w:t>du bien-être, notamment</w:t>
            </w:r>
          </w:p>
        </w:tc>
        <w:tc>
          <w:tcPr>
            <w:tcW w:w="0" w:type="dxa"/>
            <w:vAlign w:val="bottom"/>
          </w:tcPr>
          <w:p w:rsidR="00AC12B4" w:rsidRDefault="00AC12B4">
            <w:pPr>
              <w:rPr>
                <w:sz w:val="1"/>
                <w:szCs w:val="1"/>
              </w:rPr>
            </w:pPr>
          </w:p>
        </w:tc>
      </w:tr>
      <w:tr w:rsidR="00AC12B4">
        <w:trPr>
          <w:trHeight w:val="306"/>
        </w:trPr>
        <w:tc>
          <w:tcPr>
            <w:tcW w:w="6500" w:type="dxa"/>
            <w:gridSpan w:val="11"/>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1.  Les Etats parties conviennent que l’éducation de l’enfant doit viser à</w:t>
            </w:r>
          </w:p>
        </w:tc>
        <w:tc>
          <w:tcPr>
            <w:tcW w:w="760" w:type="dxa"/>
            <w:shd w:val="clear" w:color="auto" w:fill="C95C96"/>
            <w:vAlign w:val="bottom"/>
          </w:tcPr>
          <w:p w:rsidR="00AC12B4" w:rsidRDefault="00AC12B4">
            <w:pPr>
              <w:rPr>
                <w:sz w:val="24"/>
                <w:szCs w:val="24"/>
              </w:rPr>
            </w:pPr>
          </w:p>
        </w:tc>
        <w:tc>
          <w:tcPr>
            <w:tcW w:w="120" w:type="dxa"/>
            <w:tcBorders>
              <w:right w:val="single" w:sz="8" w:space="0" w:color="963266"/>
            </w:tcBorders>
            <w:shd w:val="clear" w:color="auto" w:fill="C95C96"/>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3260" w:type="dxa"/>
            <w:gridSpan w:val="10"/>
            <w:vAlign w:val="bottom"/>
          </w:tcPr>
          <w:p w:rsidR="00AC12B4" w:rsidRDefault="00C27636">
            <w:pPr>
              <w:ind w:left="80"/>
              <w:rPr>
                <w:sz w:val="20"/>
                <w:szCs w:val="20"/>
              </w:rPr>
            </w:pPr>
            <w:r>
              <w:rPr>
                <w:rFonts w:ascii="Calibri" w:eastAsia="Calibri" w:hAnsi="Calibri" w:cs="Calibri"/>
              </w:rPr>
              <w:t>par l'accompagnement du</w:t>
            </w:r>
          </w:p>
        </w:tc>
        <w:tc>
          <w:tcPr>
            <w:tcW w:w="0" w:type="dxa"/>
            <w:vAlign w:val="bottom"/>
          </w:tcPr>
          <w:p w:rsidR="00AC12B4" w:rsidRDefault="00AC12B4">
            <w:pPr>
              <w:rPr>
                <w:sz w:val="1"/>
                <w:szCs w:val="1"/>
              </w:rPr>
            </w:pPr>
          </w:p>
        </w:tc>
      </w:tr>
      <w:tr w:rsidR="00AC12B4">
        <w:trPr>
          <w:trHeight w:val="232"/>
        </w:trPr>
        <w:tc>
          <w:tcPr>
            <w:tcW w:w="1980" w:type="dxa"/>
            <w:tcBorders>
              <w:left w:val="single" w:sz="8" w:space="0" w:color="963266"/>
            </w:tcBorders>
            <w:shd w:val="clear" w:color="auto" w:fill="C95C96"/>
            <w:vAlign w:val="bottom"/>
          </w:tcPr>
          <w:p w:rsidR="00AC12B4" w:rsidRDefault="00AC12B4">
            <w:pPr>
              <w:rPr>
                <w:sz w:val="20"/>
                <w:szCs w:val="20"/>
              </w:rPr>
            </w:pPr>
          </w:p>
        </w:tc>
        <w:tc>
          <w:tcPr>
            <w:tcW w:w="540" w:type="dxa"/>
            <w:shd w:val="clear" w:color="auto" w:fill="C95C96"/>
            <w:vAlign w:val="bottom"/>
          </w:tcPr>
          <w:p w:rsidR="00AC12B4" w:rsidRDefault="00AC12B4">
            <w:pPr>
              <w:rPr>
                <w:sz w:val="20"/>
                <w:szCs w:val="20"/>
              </w:rPr>
            </w:pPr>
          </w:p>
        </w:tc>
        <w:tc>
          <w:tcPr>
            <w:tcW w:w="320" w:type="dxa"/>
            <w:shd w:val="clear" w:color="auto" w:fill="C95C96"/>
            <w:vAlign w:val="bottom"/>
          </w:tcPr>
          <w:p w:rsidR="00AC12B4" w:rsidRDefault="00AC12B4">
            <w:pPr>
              <w:rPr>
                <w:sz w:val="20"/>
                <w:szCs w:val="20"/>
              </w:rPr>
            </w:pPr>
          </w:p>
        </w:tc>
        <w:tc>
          <w:tcPr>
            <w:tcW w:w="340" w:type="dxa"/>
            <w:shd w:val="clear" w:color="auto" w:fill="C95C96"/>
            <w:vAlign w:val="bottom"/>
          </w:tcPr>
          <w:p w:rsidR="00AC12B4" w:rsidRDefault="00AC12B4">
            <w:pPr>
              <w:rPr>
                <w:sz w:val="20"/>
                <w:szCs w:val="20"/>
              </w:rPr>
            </w:pPr>
          </w:p>
        </w:tc>
        <w:tc>
          <w:tcPr>
            <w:tcW w:w="1060" w:type="dxa"/>
            <w:shd w:val="clear" w:color="auto" w:fill="C95C96"/>
            <w:vAlign w:val="bottom"/>
          </w:tcPr>
          <w:p w:rsidR="00AC12B4" w:rsidRDefault="00AC12B4">
            <w:pPr>
              <w:rPr>
                <w:sz w:val="20"/>
                <w:szCs w:val="20"/>
              </w:rPr>
            </w:pPr>
          </w:p>
        </w:tc>
        <w:tc>
          <w:tcPr>
            <w:tcW w:w="380" w:type="dxa"/>
            <w:shd w:val="clear" w:color="auto" w:fill="C95C96"/>
            <w:vAlign w:val="bottom"/>
          </w:tcPr>
          <w:p w:rsidR="00AC12B4" w:rsidRDefault="00AC12B4">
            <w:pPr>
              <w:rPr>
                <w:sz w:val="20"/>
                <w:szCs w:val="20"/>
              </w:rPr>
            </w:pPr>
          </w:p>
        </w:tc>
        <w:tc>
          <w:tcPr>
            <w:tcW w:w="380" w:type="dxa"/>
            <w:shd w:val="clear" w:color="auto" w:fill="C95C96"/>
            <w:vAlign w:val="bottom"/>
          </w:tcPr>
          <w:p w:rsidR="00AC12B4" w:rsidRDefault="00AC12B4">
            <w:pPr>
              <w:rPr>
                <w:sz w:val="20"/>
                <w:szCs w:val="20"/>
              </w:rPr>
            </w:pPr>
          </w:p>
        </w:tc>
        <w:tc>
          <w:tcPr>
            <w:tcW w:w="460" w:type="dxa"/>
            <w:shd w:val="clear" w:color="auto" w:fill="C95C96"/>
            <w:vAlign w:val="bottom"/>
          </w:tcPr>
          <w:p w:rsidR="00AC12B4" w:rsidRDefault="00AC12B4">
            <w:pPr>
              <w:rPr>
                <w:sz w:val="20"/>
                <w:szCs w:val="20"/>
              </w:rPr>
            </w:pPr>
          </w:p>
        </w:tc>
        <w:tc>
          <w:tcPr>
            <w:tcW w:w="600" w:type="dxa"/>
            <w:shd w:val="clear" w:color="auto" w:fill="C95C96"/>
            <w:vAlign w:val="bottom"/>
          </w:tcPr>
          <w:p w:rsidR="00AC12B4" w:rsidRDefault="00AC12B4">
            <w:pPr>
              <w:rPr>
                <w:sz w:val="20"/>
                <w:szCs w:val="20"/>
              </w:rPr>
            </w:pPr>
          </w:p>
        </w:tc>
        <w:tc>
          <w:tcPr>
            <w:tcW w:w="120" w:type="dxa"/>
            <w:shd w:val="clear" w:color="auto" w:fill="C95C96"/>
            <w:vAlign w:val="bottom"/>
          </w:tcPr>
          <w:p w:rsidR="00AC12B4" w:rsidRDefault="00AC12B4">
            <w:pPr>
              <w:rPr>
                <w:sz w:val="20"/>
                <w:szCs w:val="20"/>
              </w:rPr>
            </w:pPr>
          </w:p>
        </w:tc>
        <w:tc>
          <w:tcPr>
            <w:tcW w:w="320" w:type="dxa"/>
            <w:shd w:val="clear" w:color="auto" w:fill="C95C96"/>
            <w:vAlign w:val="bottom"/>
          </w:tcPr>
          <w:p w:rsidR="00AC12B4" w:rsidRDefault="00AC12B4">
            <w:pPr>
              <w:rPr>
                <w:sz w:val="20"/>
                <w:szCs w:val="20"/>
              </w:rPr>
            </w:pPr>
          </w:p>
        </w:tc>
        <w:tc>
          <w:tcPr>
            <w:tcW w:w="760" w:type="dxa"/>
            <w:shd w:val="clear" w:color="auto" w:fill="C95C96"/>
            <w:vAlign w:val="bottom"/>
          </w:tcPr>
          <w:p w:rsidR="00AC12B4" w:rsidRDefault="00AC12B4">
            <w:pPr>
              <w:rPr>
                <w:sz w:val="20"/>
                <w:szCs w:val="20"/>
              </w:rPr>
            </w:pPr>
          </w:p>
        </w:tc>
        <w:tc>
          <w:tcPr>
            <w:tcW w:w="120" w:type="dxa"/>
            <w:tcBorders>
              <w:right w:val="single" w:sz="8" w:space="0" w:color="963266"/>
            </w:tcBorders>
            <w:shd w:val="clear" w:color="auto" w:fill="C95C96"/>
            <w:vAlign w:val="bottom"/>
          </w:tcPr>
          <w:p w:rsidR="00AC12B4" w:rsidRDefault="00AC12B4">
            <w:pPr>
              <w:rPr>
                <w:sz w:val="20"/>
                <w:szCs w:val="20"/>
              </w:rPr>
            </w:pPr>
          </w:p>
        </w:tc>
        <w:tc>
          <w:tcPr>
            <w:tcW w:w="100" w:type="dxa"/>
            <w:vAlign w:val="bottom"/>
          </w:tcPr>
          <w:p w:rsidR="00AC12B4" w:rsidRDefault="00AC12B4">
            <w:pPr>
              <w:rPr>
                <w:sz w:val="20"/>
                <w:szCs w:val="20"/>
              </w:rPr>
            </w:pPr>
          </w:p>
        </w:tc>
        <w:tc>
          <w:tcPr>
            <w:tcW w:w="620" w:type="dxa"/>
            <w:gridSpan w:val="3"/>
            <w:vAlign w:val="bottom"/>
          </w:tcPr>
          <w:p w:rsidR="00AC12B4" w:rsidRDefault="00C27636">
            <w:pPr>
              <w:spacing w:line="231" w:lineRule="exact"/>
              <w:ind w:left="80"/>
              <w:rPr>
                <w:sz w:val="20"/>
                <w:szCs w:val="20"/>
              </w:rPr>
            </w:pPr>
            <w:r>
              <w:rPr>
                <w:rFonts w:ascii="Calibri" w:eastAsia="Calibri" w:hAnsi="Calibri" w:cs="Calibri"/>
                <w:w w:val="94"/>
              </w:rPr>
              <w:t>trajet.</w:t>
            </w:r>
          </w:p>
        </w:tc>
        <w:tc>
          <w:tcPr>
            <w:tcW w:w="280" w:type="dxa"/>
            <w:vAlign w:val="bottom"/>
          </w:tcPr>
          <w:p w:rsidR="00AC12B4" w:rsidRDefault="00AC12B4">
            <w:pPr>
              <w:rPr>
                <w:sz w:val="20"/>
                <w:szCs w:val="20"/>
              </w:rPr>
            </w:pPr>
          </w:p>
        </w:tc>
        <w:tc>
          <w:tcPr>
            <w:tcW w:w="300" w:type="dxa"/>
            <w:vAlign w:val="bottom"/>
          </w:tcPr>
          <w:p w:rsidR="00AC12B4" w:rsidRDefault="00AC12B4">
            <w:pPr>
              <w:rPr>
                <w:sz w:val="20"/>
                <w:szCs w:val="20"/>
              </w:rPr>
            </w:pPr>
          </w:p>
        </w:tc>
        <w:tc>
          <w:tcPr>
            <w:tcW w:w="260" w:type="dxa"/>
            <w:vAlign w:val="bottom"/>
          </w:tcPr>
          <w:p w:rsidR="00AC12B4" w:rsidRDefault="00AC12B4">
            <w:pPr>
              <w:rPr>
                <w:sz w:val="20"/>
                <w:szCs w:val="20"/>
              </w:rPr>
            </w:pPr>
          </w:p>
        </w:tc>
        <w:tc>
          <w:tcPr>
            <w:tcW w:w="40" w:type="dxa"/>
            <w:vAlign w:val="bottom"/>
          </w:tcPr>
          <w:p w:rsidR="00AC12B4" w:rsidRDefault="00AC12B4">
            <w:pPr>
              <w:rPr>
                <w:sz w:val="20"/>
                <w:szCs w:val="20"/>
              </w:rPr>
            </w:pPr>
          </w:p>
        </w:tc>
        <w:tc>
          <w:tcPr>
            <w:tcW w:w="260" w:type="dxa"/>
            <w:vAlign w:val="bottom"/>
          </w:tcPr>
          <w:p w:rsidR="00AC12B4" w:rsidRDefault="00AC12B4">
            <w:pPr>
              <w:rPr>
                <w:sz w:val="20"/>
                <w:szCs w:val="20"/>
              </w:rPr>
            </w:pPr>
          </w:p>
        </w:tc>
        <w:tc>
          <w:tcPr>
            <w:tcW w:w="300" w:type="dxa"/>
            <w:vAlign w:val="bottom"/>
          </w:tcPr>
          <w:p w:rsidR="00AC12B4" w:rsidRDefault="00AC12B4">
            <w:pPr>
              <w:rPr>
                <w:sz w:val="20"/>
                <w:szCs w:val="20"/>
              </w:rPr>
            </w:pPr>
          </w:p>
        </w:tc>
        <w:tc>
          <w:tcPr>
            <w:tcW w:w="120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46"/>
        </w:trPr>
        <w:tc>
          <w:tcPr>
            <w:tcW w:w="7260" w:type="dxa"/>
            <w:gridSpan w:val="12"/>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 xml:space="preserve">a) Favoriser l’épanouissement de la personnalité de l’enfant et </w:t>
            </w:r>
            <w:r>
              <w:rPr>
                <w:rFonts w:ascii="Calibri" w:eastAsia="Calibri" w:hAnsi="Calibri" w:cs="Calibri"/>
                <w:i/>
                <w:iCs/>
                <w:color w:val="EAF1DD"/>
                <w:sz w:val="20"/>
                <w:szCs w:val="20"/>
              </w:rPr>
              <w:t>le développement</w:t>
            </w:r>
          </w:p>
        </w:tc>
        <w:tc>
          <w:tcPr>
            <w:tcW w:w="120" w:type="dxa"/>
            <w:tcBorders>
              <w:right w:val="single" w:sz="8" w:space="0" w:color="963266"/>
            </w:tcBorders>
            <w:shd w:val="clear" w:color="auto" w:fill="C95C96"/>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2060" w:type="dxa"/>
            <w:gridSpan w:val="9"/>
            <w:vMerge w:val="restart"/>
            <w:vAlign w:val="bottom"/>
          </w:tcPr>
          <w:p w:rsidR="00AC12B4" w:rsidRDefault="00C27636">
            <w:pPr>
              <w:ind w:left="80"/>
              <w:rPr>
                <w:sz w:val="20"/>
                <w:szCs w:val="20"/>
              </w:rPr>
            </w:pPr>
            <w:r>
              <w:rPr>
                <w:rFonts w:ascii="Calibri" w:eastAsia="Calibri" w:hAnsi="Calibri" w:cs="Calibri"/>
              </w:rPr>
              <w:t>Malheureusement,</w:t>
            </w:r>
          </w:p>
        </w:tc>
        <w:tc>
          <w:tcPr>
            <w:tcW w:w="1200" w:type="dxa"/>
            <w:vMerge w:val="restart"/>
            <w:vAlign w:val="bottom"/>
          </w:tcPr>
          <w:p w:rsidR="00AC12B4" w:rsidRDefault="00C27636">
            <w:pPr>
              <w:ind w:right="690"/>
              <w:jc w:val="right"/>
              <w:rPr>
                <w:sz w:val="20"/>
                <w:szCs w:val="20"/>
              </w:rPr>
            </w:pPr>
            <w:r>
              <w:rPr>
                <w:rFonts w:ascii="Calibri" w:eastAsia="Calibri" w:hAnsi="Calibri" w:cs="Calibri"/>
              </w:rPr>
              <w:t>ces</w:t>
            </w:r>
          </w:p>
        </w:tc>
        <w:tc>
          <w:tcPr>
            <w:tcW w:w="0" w:type="dxa"/>
            <w:vAlign w:val="bottom"/>
          </w:tcPr>
          <w:p w:rsidR="00AC12B4" w:rsidRDefault="00AC12B4">
            <w:pPr>
              <w:rPr>
                <w:sz w:val="1"/>
                <w:szCs w:val="1"/>
              </w:rPr>
            </w:pPr>
          </w:p>
        </w:tc>
      </w:tr>
      <w:tr w:rsidR="00AC12B4">
        <w:trPr>
          <w:trHeight w:val="143"/>
        </w:trPr>
        <w:tc>
          <w:tcPr>
            <w:tcW w:w="7260" w:type="dxa"/>
            <w:gridSpan w:val="12"/>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de ses dons et de ses aptitudes mentales et physiques, dans toute la mesure de</w:t>
            </w:r>
          </w:p>
        </w:tc>
        <w:tc>
          <w:tcPr>
            <w:tcW w:w="120" w:type="dxa"/>
            <w:tcBorders>
              <w:right w:val="single" w:sz="8" w:space="0" w:color="963266"/>
            </w:tcBorders>
            <w:shd w:val="clear" w:color="auto" w:fill="C95C96"/>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2060" w:type="dxa"/>
            <w:gridSpan w:val="9"/>
            <w:vMerge/>
            <w:vAlign w:val="bottom"/>
          </w:tcPr>
          <w:p w:rsidR="00AC12B4" w:rsidRDefault="00AC12B4">
            <w:pPr>
              <w:rPr>
                <w:sz w:val="12"/>
                <w:szCs w:val="12"/>
              </w:rPr>
            </w:pPr>
          </w:p>
        </w:tc>
        <w:tc>
          <w:tcPr>
            <w:tcW w:w="1200" w:type="dxa"/>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02"/>
        </w:trPr>
        <w:tc>
          <w:tcPr>
            <w:tcW w:w="7260" w:type="dxa"/>
            <w:gridSpan w:val="12"/>
            <w:vMerge/>
            <w:tcBorders>
              <w:left w:val="single" w:sz="8" w:space="0" w:color="963266"/>
            </w:tcBorders>
            <w:shd w:val="clear" w:color="auto" w:fill="C95C96"/>
            <w:vAlign w:val="bottom"/>
          </w:tcPr>
          <w:p w:rsidR="00AC12B4" w:rsidRDefault="00AC12B4">
            <w:pPr>
              <w:rPr>
                <w:sz w:val="8"/>
                <w:szCs w:val="8"/>
              </w:rPr>
            </w:pPr>
          </w:p>
        </w:tc>
        <w:tc>
          <w:tcPr>
            <w:tcW w:w="120" w:type="dxa"/>
            <w:tcBorders>
              <w:right w:val="single" w:sz="8" w:space="0" w:color="963266"/>
            </w:tcBorders>
            <w:shd w:val="clear" w:color="auto" w:fill="C95C96"/>
            <w:vAlign w:val="bottom"/>
          </w:tcPr>
          <w:p w:rsidR="00AC12B4" w:rsidRDefault="00AC12B4">
            <w:pPr>
              <w:rPr>
                <w:sz w:val="8"/>
                <w:szCs w:val="8"/>
              </w:rPr>
            </w:pPr>
          </w:p>
        </w:tc>
        <w:tc>
          <w:tcPr>
            <w:tcW w:w="100" w:type="dxa"/>
            <w:vAlign w:val="bottom"/>
          </w:tcPr>
          <w:p w:rsidR="00AC12B4" w:rsidRDefault="00AC12B4">
            <w:pPr>
              <w:rPr>
                <w:sz w:val="8"/>
                <w:szCs w:val="8"/>
              </w:rPr>
            </w:pPr>
          </w:p>
        </w:tc>
        <w:tc>
          <w:tcPr>
            <w:tcW w:w="900" w:type="dxa"/>
            <w:gridSpan w:val="4"/>
            <w:vMerge w:val="restart"/>
            <w:vAlign w:val="bottom"/>
          </w:tcPr>
          <w:p w:rsidR="00AC12B4" w:rsidRDefault="00C27636">
            <w:pPr>
              <w:ind w:left="80"/>
              <w:rPr>
                <w:sz w:val="20"/>
                <w:szCs w:val="20"/>
              </w:rPr>
            </w:pPr>
            <w:r>
              <w:rPr>
                <w:rFonts w:ascii="Calibri" w:eastAsia="Calibri" w:hAnsi="Calibri" w:cs="Calibri"/>
              </w:rPr>
              <w:t>enfants</w:t>
            </w:r>
          </w:p>
        </w:tc>
        <w:tc>
          <w:tcPr>
            <w:tcW w:w="1160" w:type="dxa"/>
            <w:gridSpan w:val="5"/>
            <w:vMerge w:val="restart"/>
            <w:vAlign w:val="bottom"/>
          </w:tcPr>
          <w:p w:rsidR="00AC12B4" w:rsidRDefault="00C27636">
            <w:pPr>
              <w:ind w:left="80"/>
              <w:rPr>
                <w:sz w:val="20"/>
                <w:szCs w:val="20"/>
              </w:rPr>
            </w:pPr>
            <w:r>
              <w:rPr>
                <w:rFonts w:ascii="Calibri" w:eastAsia="Calibri" w:hAnsi="Calibri" w:cs="Calibri"/>
              </w:rPr>
              <w:t>vulnérables</w:t>
            </w:r>
          </w:p>
        </w:tc>
        <w:tc>
          <w:tcPr>
            <w:tcW w:w="1200" w:type="dxa"/>
            <w:vMerge w:val="restart"/>
            <w:vAlign w:val="bottom"/>
          </w:tcPr>
          <w:p w:rsidR="00AC12B4" w:rsidRDefault="00C27636">
            <w:pPr>
              <w:ind w:right="690"/>
              <w:jc w:val="right"/>
              <w:rPr>
                <w:sz w:val="20"/>
                <w:szCs w:val="20"/>
              </w:rPr>
            </w:pPr>
            <w:r>
              <w:rPr>
                <w:rFonts w:ascii="Calibri" w:eastAsia="Calibri" w:hAnsi="Calibri" w:cs="Calibri"/>
              </w:rPr>
              <w:t>ne</w:t>
            </w:r>
          </w:p>
        </w:tc>
        <w:tc>
          <w:tcPr>
            <w:tcW w:w="0" w:type="dxa"/>
            <w:vAlign w:val="bottom"/>
          </w:tcPr>
          <w:p w:rsidR="00AC12B4" w:rsidRDefault="00AC12B4">
            <w:pPr>
              <w:rPr>
                <w:sz w:val="1"/>
                <w:szCs w:val="1"/>
              </w:rPr>
            </w:pPr>
          </w:p>
        </w:tc>
      </w:tr>
      <w:tr w:rsidR="00AC12B4">
        <w:trPr>
          <w:trHeight w:val="167"/>
        </w:trPr>
        <w:tc>
          <w:tcPr>
            <w:tcW w:w="2520" w:type="dxa"/>
            <w:gridSpan w:val="2"/>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sz w:val="20"/>
                <w:szCs w:val="20"/>
              </w:rPr>
              <w:t>leurs potentialités.</w:t>
            </w:r>
          </w:p>
        </w:tc>
        <w:tc>
          <w:tcPr>
            <w:tcW w:w="320" w:type="dxa"/>
            <w:shd w:val="clear" w:color="auto" w:fill="C95C96"/>
            <w:vAlign w:val="bottom"/>
          </w:tcPr>
          <w:p w:rsidR="00AC12B4" w:rsidRDefault="00AC12B4">
            <w:pPr>
              <w:rPr>
                <w:sz w:val="14"/>
                <w:szCs w:val="14"/>
              </w:rPr>
            </w:pPr>
          </w:p>
        </w:tc>
        <w:tc>
          <w:tcPr>
            <w:tcW w:w="340" w:type="dxa"/>
            <w:shd w:val="clear" w:color="auto" w:fill="C95C96"/>
            <w:vAlign w:val="bottom"/>
          </w:tcPr>
          <w:p w:rsidR="00AC12B4" w:rsidRDefault="00AC12B4">
            <w:pPr>
              <w:rPr>
                <w:sz w:val="14"/>
                <w:szCs w:val="14"/>
              </w:rPr>
            </w:pPr>
          </w:p>
        </w:tc>
        <w:tc>
          <w:tcPr>
            <w:tcW w:w="1060" w:type="dxa"/>
            <w:shd w:val="clear" w:color="auto" w:fill="C95C96"/>
            <w:vAlign w:val="bottom"/>
          </w:tcPr>
          <w:p w:rsidR="00AC12B4" w:rsidRDefault="00AC12B4">
            <w:pPr>
              <w:rPr>
                <w:sz w:val="14"/>
                <w:szCs w:val="14"/>
              </w:rPr>
            </w:pPr>
          </w:p>
        </w:tc>
        <w:tc>
          <w:tcPr>
            <w:tcW w:w="380" w:type="dxa"/>
            <w:shd w:val="clear" w:color="auto" w:fill="C95C96"/>
            <w:vAlign w:val="bottom"/>
          </w:tcPr>
          <w:p w:rsidR="00AC12B4" w:rsidRDefault="00AC12B4">
            <w:pPr>
              <w:rPr>
                <w:sz w:val="14"/>
                <w:szCs w:val="14"/>
              </w:rPr>
            </w:pPr>
          </w:p>
        </w:tc>
        <w:tc>
          <w:tcPr>
            <w:tcW w:w="380" w:type="dxa"/>
            <w:shd w:val="clear" w:color="auto" w:fill="C95C96"/>
            <w:vAlign w:val="bottom"/>
          </w:tcPr>
          <w:p w:rsidR="00AC12B4" w:rsidRDefault="00AC12B4">
            <w:pPr>
              <w:rPr>
                <w:sz w:val="14"/>
                <w:szCs w:val="14"/>
              </w:rPr>
            </w:pPr>
          </w:p>
        </w:tc>
        <w:tc>
          <w:tcPr>
            <w:tcW w:w="460" w:type="dxa"/>
            <w:shd w:val="clear" w:color="auto" w:fill="C95C96"/>
            <w:vAlign w:val="bottom"/>
          </w:tcPr>
          <w:p w:rsidR="00AC12B4" w:rsidRDefault="00AC12B4">
            <w:pPr>
              <w:rPr>
                <w:sz w:val="14"/>
                <w:szCs w:val="14"/>
              </w:rPr>
            </w:pPr>
          </w:p>
        </w:tc>
        <w:tc>
          <w:tcPr>
            <w:tcW w:w="600" w:type="dxa"/>
            <w:shd w:val="clear" w:color="auto" w:fill="C95C96"/>
            <w:vAlign w:val="bottom"/>
          </w:tcPr>
          <w:p w:rsidR="00AC12B4" w:rsidRDefault="00AC12B4">
            <w:pPr>
              <w:rPr>
                <w:sz w:val="14"/>
                <w:szCs w:val="14"/>
              </w:rPr>
            </w:pPr>
          </w:p>
        </w:tc>
        <w:tc>
          <w:tcPr>
            <w:tcW w:w="120" w:type="dxa"/>
            <w:shd w:val="clear" w:color="auto" w:fill="C95C96"/>
            <w:vAlign w:val="bottom"/>
          </w:tcPr>
          <w:p w:rsidR="00AC12B4" w:rsidRDefault="00AC12B4">
            <w:pPr>
              <w:rPr>
                <w:sz w:val="14"/>
                <w:szCs w:val="14"/>
              </w:rPr>
            </w:pPr>
          </w:p>
        </w:tc>
        <w:tc>
          <w:tcPr>
            <w:tcW w:w="320" w:type="dxa"/>
            <w:shd w:val="clear" w:color="auto" w:fill="C95C96"/>
            <w:vAlign w:val="bottom"/>
          </w:tcPr>
          <w:p w:rsidR="00AC12B4" w:rsidRDefault="00AC12B4">
            <w:pPr>
              <w:rPr>
                <w:sz w:val="14"/>
                <w:szCs w:val="14"/>
              </w:rPr>
            </w:pPr>
          </w:p>
        </w:tc>
        <w:tc>
          <w:tcPr>
            <w:tcW w:w="760" w:type="dxa"/>
            <w:shd w:val="clear" w:color="auto" w:fill="C95C96"/>
            <w:vAlign w:val="bottom"/>
          </w:tcPr>
          <w:p w:rsidR="00AC12B4" w:rsidRDefault="00AC12B4">
            <w:pPr>
              <w:rPr>
                <w:sz w:val="14"/>
                <w:szCs w:val="14"/>
              </w:rPr>
            </w:pPr>
          </w:p>
        </w:tc>
        <w:tc>
          <w:tcPr>
            <w:tcW w:w="120" w:type="dxa"/>
            <w:tcBorders>
              <w:right w:val="single" w:sz="8" w:space="0" w:color="963266"/>
            </w:tcBorders>
            <w:shd w:val="clear" w:color="auto" w:fill="C95C96"/>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900" w:type="dxa"/>
            <w:gridSpan w:val="4"/>
            <w:vMerge/>
            <w:vAlign w:val="bottom"/>
          </w:tcPr>
          <w:p w:rsidR="00AC12B4" w:rsidRDefault="00AC12B4">
            <w:pPr>
              <w:rPr>
                <w:sz w:val="14"/>
                <w:szCs w:val="14"/>
              </w:rPr>
            </w:pPr>
          </w:p>
        </w:tc>
        <w:tc>
          <w:tcPr>
            <w:tcW w:w="1160" w:type="dxa"/>
            <w:gridSpan w:val="5"/>
            <w:vMerge/>
            <w:vAlign w:val="bottom"/>
          </w:tcPr>
          <w:p w:rsidR="00AC12B4" w:rsidRDefault="00AC12B4">
            <w:pPr>
              <w:rPr>
                <w:sz w:val="14"/>
                <w:szCs w:val="14"/>
              </w:rPr>
            </w:pPr>
          </w:p>
        </w:tc>
        <w:tc>
          <w:tcPr>
            <w:tcW w:w="1200" w:type="dxa"/>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78"/>
        </w:trPr>
        <w:tc>
          <w:tcPr>
            <w:tcW w:w="2520" w:type="dxa"/>
            <w:gridSpan w:val="2"/>
            <w:vMerge/>
            <w:tcBorders>
              <w:left w:val="single" w:sz="8" w:space="0" w:color="963266"/>
            </w:tcBorders>
            <w:shd w:val="clear" w:color="auto" w:fill="C95C96"/>
            <w:vAlign w:val="bottom"/>
          </w:tcPr>
          <w:p w:rsidR="00AC12B4" w:rsidRDefault="00AC12B4">
            <w:pPr>
              <w:rPr>
                <w:sz w:val="6"/>
                <w:szCs w:val="6"/>
              </w:rPr>
            </w:pPr>
          </w:p>
        </w:tc>
        <w:tc>
          <w:tcPr>
            <w:tcW w:w="320" w:type="dxa"/>
            <w:shd w:val="clear" w:color="auto" w:fill="C95C96"/>
            <w:vAlign w:val="bottom"/>
          </w:tcPr>
          <w:p w:rsidR="00AC12B4" w:rsidRDefault="00AC12B4">
            <w:pPr>
              <w:rPr>
                <w:sz w:val="6"/>
                <w:szCs w:val="6"/>
              </w:rPr>
            </w:pPr>
          </w:p>
        </w:tc>
        <w:tc>
          <w:tcPr>
            <w:tcW w:w="340" w:type="dxa"/>
            <w:shd w:val="clear" w:color="auto" w:fill="C95C96"/>
            <w:vAlign w:val="bottom"/>
          </w:tcPr>
          <w:p w:rsidR="00AC12B4" w:rsidRDefault="00AC12B4">
            <w:pPr>
              <w:rPr>
                <w:sz w:val="6"/>
                <w:szCs w:val="6"/>
              </w:rPr>
            </w:pPr>
          </w:p>
        </w:tc>
        <w:tc>
          <w:tcPr>
            <w:tcW w:w="1060" w:type="dxa"/>
            <w:shd w:val="clear" w:color="auto" w:fill="C95C96"/>
            <w:vAlign w:val="bottom"/>
          </w:tcPr>
          <w:p w:rsidR="00AC12B4" w:rsidRDefault="00AC12B4">
            <w:pPr>
              <w:rPr>
                <w:sz w:val="6"/>
                <w:szCs w:val="6"/>
              </w:rPr>
            </w:pPr>
          </w:p>
        </w:tc>
        <w:tc>
          <w:tcPr>
            <w:tcW w:w="380" w:type="dxa"/>
            <w:shd w:val="clear" w:color="auto" w:fill="C95C96"/>
            <w:vAlign w:val="bottom"/>
          </w:tcPr>
          <w:p w:rsidR="00AC12B4" w:rsidRDefault="00AC12B4">
            <w:pPr>
              <w:rPr>
                <w:sz w:val="6"/>
                <w:szCs w:val="6"/>
              </w:rPr>
            </w:pPr>
          </w:p>
        </w:tc>
        <w:tc>
          <w:tcPr>
            <w:tcW w:w="380" w:type="dxa"/>
            <w:shd w:val="clear" w:color="auto" w:fill="C95C96"/>
            <w:vAlign w:val="bottom"/>
          </w:tcPr>
          <w:p w:rsidR="00AC12B4" w:rsidRDefault="00AC12B4">
            <w:pPr>
              <w:rPr>
                <w:sz w:val="6"/>
                <w:szCs w:val="6"/>
              </w:rPr>
            </w:pPr>
          </w:p>
        </w:tc>
        <w:tc>
          <w:tcPr>
            <w:tcW w:w="460" w:type="dxa"/>
            <w:shd w:val="clear" w:color="auto" w:fill="C95C96"/>
            <w:vAlign w:val="bottom"/>
          </w:tcPr>
          <w:p w:rsidR="00AC12B4" w:rsidRDefault="00AC12B4">
            <w:pPr>
              <w:rPr>
                <w:sz w:val="6"/>
                <w:szCs w:val="6"/>
              </w:rPr>
            </w:pPr>
          </w:p>
        </w:tc>
        <w:tc>
          <w:tcPr>
            <w:tcW w:w="600" w:type="dxa"/>
            <w:shd w:val="clear" w:color="auto" w:fill="C95C96"/>
            <w:vAlign w:val="bottom"/>
          </w:tcPr>
          <w:p w:rsidR="00AC12B4" w:rsidRDefault="00AC12B4">
            <w:pPr>
              <w:rPr>
                <w:sz w:val="6"/>
                <w:szCs w:val="6"/>
              </w:rPr>
            </w:pPr>
          </w:p>
        </w:tc>
        <w:tc>
          <w:tcPr>
            <w:tcW w:w="120" w:type="dxa"/>
            <w:shd w:val="clear" w:color="auto" w:fill="C95C96"/>
            <w:vAlign w:val="bottom"/>
          </w:tcPr>
          <w:p w:rsidR="00AC12B4" w:rsidRDefault="00AC12B4">
            <w:pPr>
              <w:rPr>
                <w:sz w:val="6"/>
                <w:szCs w:val="6"/>
              </w:rPr>
            </w:pPr>
          </w:p>
        </w:tc>
        <w:tc>
          <w:tcPr>
            <w:tcW w:w="320" w:type="dxa"/>
            <w:shd w:val="clear" w:color="auto" w:fill="C95C96"/>
            <w:vAlign w:val="bottom"/>
          </w:tcPr>
          <w:p w:rsidR="00AC12B4" w:rsidRDefault="00AC12B4">
            <w:pPr>
              <w:rPr>
                <w:sz w:val="6"/>
                <w:szCs w:val="6"/>
              </w:rPr>
            </w:pPr>
          </w:p>
        </w:tc>
        <w:tc>
          <w:tcPr>
            <w:tcW w:w="760" w:type="dxa"/>
            <w:shd w:val="clear" w:color="auto" w:fill="C95C96"/>
            <w:vAlign w:val="bottom"/>
          </w:tcPr>
          <w:p w:rsidR="00AC12B4" w:rsidRDefault="00AC12B4">
            <w:pPr>
              <w:rPr>
                <w:sz w:val="6"/>
                <w:szCs w:val="6"/>
              </w:rPr>
            </w:pPr>
          </w:p>
        </w:tc>
        <w:tc>
          <w:tcPr>
            <w:tcW w:w="120" w:type="dxa"/>
            <w:tcBorders>
              <w:right w:val="single" w:sz="8" w:space="0" w:color="963266"/>
            </w:tcBorders>
            <w:shd w:val="clear" w:color="auto" w:fill="C95C96"/>
            <w:vAlign w:val="bottom"/>
          </w:tcPr>
          <w:p w:rsidR="00AC12B4" w:rsidRDefault="00AC12B4">
            <w:pPr>
              <w:rPr>
                <w:sz w:val="6"/>
                <w:szCs w:val="6"/>
              </w:rPr>
            </w:pPr>
          </w:p>
        </w:tc>
        <w:tc>
          <w:tcPr>
            <w:tcW w:w="100" w:type="dxa"/>
            <w:vAlign w:val="bottom"/>
          </w:tcPr>
          <w:p w:rsidR="00AC12B4" w:rsidRDefault="00AC12B4">
            <w:pPr>
              <w:rPr>
                <w:sz w:val="6"/>
                <w:szCs w:val="6"/>
              </w:rPr>
            </w:pPr>
          </w:p>
        </w:tc>
        <w:tc>
          <w:tcPr>
            <w:tcW w:w="620" w:type="dxa"/>
            <w:gridSpan w:val="3"/>
            <w:vMerge w:val="restart"/>
            <w:vAlign w:val="bottom"/>
          </w:tcPr>
          <w:p w:rsidR="00AC12B4" w:rsidRDefault="00C27636">
            <w:pPr>
              <w:ind w:left="80"/>
              <w:rPr>
                <w:sz w:val="20"/>
                <w:szCs w:val="20"/>
              </w:rPr>
            </w:pPr>
            <w:r>
              <w:rPr>
                <w:rFonts w:ascii="Calibri" w:eastAsia="Calibri" w:hAnsi="Calibri" w:cs="Calibri"/>
              </w:rPr>
              <w:t>sont</w:t>
            </w:r>
          </w:p>
        </w:tc>
        <w:tc>
          <w:tcPr>
            <w:tcW w:w="1440" w:type="dxa"/>
            <w:gridSpan w:val="6"/>
            <w:vMerge w:val="restart"/>
            <w:vAlign w:val="bottom"/>
          </w:tcPr>
          <w:p w:rsidR="00AC12B4" w:rsidRDefault="00C27636">
            <w:pPr>
              <w:ind w:left="100"/>
              <w:rPr>
                <w:sz w:val="20"/>
                <w:szCs w:val="20"/>
              </w:rPr>
            </w:pPr>
            <w:r>
              <w:rPr>
                <w:rFonts w:ascii="Calibri" w:eastAsia="Calibri" w:hAnsi="Calibri" w:cs="Calibri"/>
              </w:rPr>
              <w:t>actuellement</w:t>
            </w:r>
          </w:p>
        </w:tc>
        <w:tc>
          <w:tcPr>
            <w:tcW w:w="1200" w:type="dxa"/>
            <w:vMerge w:val="restart"/>
            <w:vAlign w:val="bottom"/>
          </w:tcPr>
          <w:p w:rsidR="00AC12B4" w:rsidRDefault="00C27636">
            <w:pPr>
              <w:ind w:right="690"/>
              <w:jc w:val="right"/>
              <w:rPr>
                <w:sz w:val="20"/>
                <w:szCs w:val="20"/>
              </w:rPr>
            </w:pPr>
            <w:r>
              <w:rPr>
                <w:rFonts w:ascii="Calibri" w:eastAsia="Calibri" w:hAnsi="Calibri" w:cs="Calibri"/>
              </w:rPr>
              <w:t>pas</w:t>
            </w:r>
          </w:p>
        </w:tc>
        <w:tc>
          <w:tcPr>
            <w:tcW w:w="0" w:type="dxa"/>
            <w:vAlign w:val="bottom"/>
          </w:tcPr>
          <w:p w:rsidR="00AC12B4" w:rsidRDefault="00AC12B4">
            <w:pPr>
              <w:rPr>
                <w:sz w:val="1"/>
                <w:szCs w:val="1"/>
              </w:rPr>
            </w:pPr>
          </w:p>
        </w:tc>
      </w:tr>
      <w:tr w:rsidR="00AC12B4">
        <w:trPr>
          <w:trHeight w:val="223"/>
        </w:trPr>
        <w:tc>
          <w:tcPr>
            <w:tcW w:w="1980" w:type="dxa"/>
            <w:tcBorders>
              <w:left w:val="single" w:sz="8" w:space="0" w:color="963266"/>
              <w:bottom w:val="single" w:sz="8" w:space="0" w:color="963266"/>
            </w:tcBorders>
            <w:shd w:val="clear" w:color="auto" w:fill="C95C96"/>
            <w:vAlign w:val="bottom"/>
          </w:tcPr>
          <w:p w:rsidR="00AC12B4" w:rsidRDefault="00AC12B4">
            <w:pPr>
              <w:rPr>
                <w:sz w:val="19"/>
                <w:szCs w:val="19"/>
              </w:rPr>
            </w:pPr>
          </w:p>
        </w:tc>
        <w:tc>
          <w:tcPr>
            <w:tcW w:w="540" w:type="dxa"/>
            <w:tcBorders>
              <w:bottom w:val="single" w:sz="8" w:space="0" w:color="963266"/>
            </w:tcBorders>
            <w:shd w:val="clear" w:color="auto" w:fill="C95C96"/>
            <w:vAlign w:val="bottom"/>
          </w:tcPr>
          <w:p w:rsidR="00AC12B4" w:rsidRDefault="00AC12B4">
            <w:pPr>
              <w:rPr>
                <w:sz w:val="19"/>
                <w:szCs w:val="19"/>
              </w:rPr>
            </w:pPr>
          </w:p>
        </w:tc>
        <w:tc>
          <w:tcPr>
            <w:tcW w:w="320" w:type="dxa"/>
            <w:tcBorders>
              <w:bottom w:val="single" w:sz="8" w:space="0" w:color="963266"/>
            </w:tcBorders>
            <w:shd w:val="clear" w:color="auto" w:fill="C95C96"/>
            <w:vAlign w:val="bottom"/>
          </w:tcPr>
          <w:p w:rsidR="00AC12B4" w:rsidRDefault="00AC12B4">
            <w:pPr>
              <w:rPr>
                <w:sz w:val="19"/>
                <w:szCs w:val="19"/>
              </w:rPr>
            </w:pPr>
          </w:p>
        </w:tc>
        <w:tc>
          <w:tcPr>
            <w:tcW w:w="340" w:type="dxa"/>
            <w:tcBorders>
              <w:bottom w:val="single" w:sz="8" w:space="0" w:color="963266"/>
            </w:tcBorders>
            <w:shd w:val="clear" w:color="auto" w:fill="C95C96"/>
            <w:vAlign w:val="bottom"/>
          </w:tcPr>
          <w:p w:rsidR="00AC12B4" w:rsidRDefault="00AC12B4">
            <w:pPr>
              <w:rPr>
                <w:sz w:val="19"/>
                <w:szCs w:val="19"/>
              </w:rPr>
            </w:pPr>
          </w:p>
        </w:tc>
        <w:tc>
          <w:tcPr>
            <w:tcW w:w="1060" w:type="dxa"/>
            <w:tcBorders>
              <w:bottom w:val="single" w:sz="8" w:space="0" w:color="963266"/>
            </w:tcBorders>
            <w:shd w:val="clear" w:color="auto" w:fill="C95C96"/>
            <w:vAlign w:val="bottom"/>
          </w:tcPr>
          <w:p w:rsidR="00AC12B4" w:rsidRDefault="00AC12B4">
            <w:pPr>
              <w:rPr>
                <w:sz w:val="19"/>
                <w:szCs w:val="19"/>
              </w:rPr>
            </w:pPr>
          </w:p>
        </w:tc>
        <w:tc>
          <w:tcPr>
            <w:tcW w:w="380" w:type="dxa"/>
            <w:tcBorders>
              <w:bottom w:val="single" w:sz="8" w:space="0" w:color="963266"/>
            </w:tcBorders>
            <w:shd w:val="clear" w:color="auto" w:fill="C95C96"/>
            <w:vAlign w:val="bottom"/>
          </w:tcPr>
          <w:p w:rsidR="00AC12B4" w:rsidRDefault="00AC12B4">
            <w:pPr>
              <w:rPr>
                <w:sz w:val="19"/>
                <w:szCs w:val="19"/>
              </w:rPr>
            </w:pPr>
          </w:p>
        </w:tc>
        <w:tc>
          <w:tcPr>
            <w:tcW w:w="380" w:type="dxa"/>
            <w:tcBorders>
              <w:bottom w:val="single" w:sz="8" w:space="0" w:color="963266"/>
            </w:tcBorders>
            <w:shd w:val="clear" w:color="auto" w:fill="C95C96"/>
            <w:vAlign w:val="bottom"/>
          </w:tcPr>
          <w:p w:rsidR="00AC12B4" w:rsidRDefault="00AC12B4">
            <w:pPr>
              <w:rPr>
                <w:sz w:val="19"/>
                <w:szCs w:val="19"/>
              </w:rPr>
            </w:pPr>
          </w:p>
        </w:tc>
        <w:tc>
          <w:tcPr>
            <w:tcW w:w="460" w:type="dxa"/>
            <w:tcBorders>
              <w:bottom w:val="single" w:sz="8" w:space="0" w:color="963266"/>
            </w:tcBorders>
            <w:shd w:val="clear" w:color="auto" w:fill="C95C96"/>
            <w:vAlign w:val="bottom"/>
          </w:tcPr>
          <w:p w:rsidR="00AC12B4" w:rsidRDefault="00AC12B4">
            <w:pPr>
              <w:rPr>
                <w:sz w:val="19"/>
                <w:szCs w:val="19"/>
              </w:rPr>
            </w:pPr>
          </w:p>
        </w:tc>
        <w:tc>
          <w:tcPr>
            <w:tcW w:w="600" w:type="dxa"/>
            <w:tcBorders>
              <w:bottom w:val="single" w:sz="8" w:space="0" w:color="963266"/>
            </w:tcBorders>
            <w:shd w:val="clear" w:color="auto" w:fill="C95C96"/>
            <w:vAlign w:val="bottom"/>
          </w:tcPr>
          <w:p w:rsidR="00AC12B4" w:rsidRDefault="00AC12B4">
            <w:pPr>
              <w:rPr>
                <w:sz w:val="19"/>
                <w:szCs w:val="19"/>
              </w:rPr>
            </w:pPr>
          </w:p>
        </w:tc>
        <w:tc>
          <w:tcPr>
            <w:tcW w:w="120" w:type="dxa"/>
            <w:tcBorders>
              <w:bottom w:val="single" w:sz="8" w:space="0" w:color="963266"/>
            </w:tcBorders>
            <w:shd w:val="clear" w:color="auto" w:fill="C95C96"/>
            <w:vAlign w:val="bottom"/>
          </w:tcPr>
          <w:p w:rsidR="00AC12B4" w:rsidRDefault="00AC12B4">
            <w:pPr>
              <w:rPr>
                <w:sz w:val="19"/>
                <w:szCs w:val="19"/>
              </w:rPr>
            </w:pPr>
          </w:p>
        </w:tc>
        <w:tc>
          <w:tcPr>
            <w:tcW w:w="320" w:type="dxa"/>
            <w:tcBorders>
              <w:bottom w:val="single" w:sz="8" w:space="0" w:color="963266"/>
            </w:tcBorders>
            <w:shd w:val="clear" w:color="auto" w:fill="C95C96"/>
            <w:vAlign w:val="bottom"/>
          </w:tcPr>
          <w:p w:rsidR="00AC12B4" w:rsidRDefault="00AC12B4">
            <w:pPr>
              <w:rPr>
                <w:sz w:val="19"/>
                <w:szCs w:val="19"/>
              </w:rPr>
            </w:pPr>
          </w:p>
        </w:tc>
        <w:tc>
          <w:tcPr>
            <w:tcW w:w="760" w:type="dxa"/>
            <w:tcBorders>
              <w:bottom w:val="single" w:sz="8" w:space="0" w:color="963266"/>
            </w:tcBorders>
            <w:shd w:val="clear" w:color="auto" w:fill="C95C96"/>
            <w:vAlign w:val="bottom"/>
          </w:tcPr>
          <w:p w:rsidR="00AC12B4" w:rsidRDefault="00AC12B4">
            <w:pPr>
              <w:rPr>
                <w:sz w:val="19"/>
                <w:szCs w:val="19"/>
              </w:rPr>
            </w:pPr>
          </w:p>
        </w:tc>
        <w:tc>
          <w:tcPr>
            <w:tcW w:w="120" w:type="dxa"/>
            <w:tcBorders>
              <w:bottom w:val="single" w:sz="8" w:space="0" w:color="963266"/>
              <w:right w:val="single" w:sz="8" w:space="0" w:color="963266"/>
            </w:tcBorders>
            <w:shd w:val="clear" w:color="auto" w:fill="C95C96"/>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620" w:type="dxa"/>
            <w:gridSpan w:val="3"/>
            <w:vMerge/>
            <w:vAlign w:val="bottom"/>
          </w:tcPr>
          <w:p w:rsidR="00AC12B4" w:rsidRDefault="00AC12B4">
            <w:pPr>
              <w:rPr>
                <w:sz w:val="19"/>
                <w:szCs w:val="19"/>
              </w:rPr>
            </w:pPr>
          </w:p>
        </w:tc>
        <w:tc>
          <w:tcPr>
            <w:tcW w:w="1440" w:type="dxa"/>
            <w:gridSpan w:val="6"/>
            <w:vMerge/>
            <w:vAlign w:val="bottom"/>
          </w:tcPr>
          <w:p w:rsidR="00AC12B4" w:rsidRDefault="00AC12B4">
            <w:pPr>
              <w:rPr>
                <w:sz w:val="19"/>
                <w:szCs w:val="19"/>
              </w:rPr>
            </w:pPr>
          </w:p>
        </w:tc>
        <w:tc>
          <w:tcPr>
            <w:tcW w:w="1200" w:type="dxa"/>
            <w:vMerge/>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17"/>
        </w:trPr>
        <w:tc>
          <w:tcPr>
            <w:tcW w:w="1980" w:type="dxa"/>
            <w:vAlign w:val="bottom"/>
          </w:tcPr>
          <w:p w:rsidR="00AC12B4" w:rsidRDefault="00AC12B4">
            <w:pPr>
              <w:rPr>
                <w:sz w:val="18"/>
                <w:szCs w:val="18"/>
              </w:rPr>
            </w:pPr>
          </w:p>
        </w:tc>
        <w:tc>
          <w:tcPr>
            <w:tcW w:w="540" w:type="dxa"/>
            <w:vAlign w:val="bottom"/>
          </w:tcPr>
          <w:p w:rsidR="00AC12B4" w:rsidRDefault="00AC12B4">
            <w:pPr>
              <w:rPr>
                <w:sz w:val="18"/>
                <w:szCs w:val="18"/>
              </w:rPr>
            </w:pPr>
          </w:p>
        </w:tc>
        <w:tc>
          <w:tcPr>
            <w:tcW w:w="320" w:type="dxa"/>
            <w:vAlign w:val="bottom"/>
          </w:tcPr>
          <w:p w:rsidR="00AC12B4" w:rsidRDefault="00AC12B4">
            <w:pPr>
              <w:rPr>
                <w:sz w:val="18"/>
                <w:szCs w:val="18"/>
              </w:rPr>
            </w:pPr>
          </w:p>
        </w:tc>
        <w:tc>
          <w:tcPr>
            <w:tcW w:w="340" w:type="dxa"/>
            <w:vAlign w:val="bottom"/>
          </w:tcPr>
          <w:p w:rsidR="00AC12B4" w:rsidRDefault="00AC12B4">
            <w:pPr>
              <w:rPr>
                <w:sz w:val="18"/>
                <w:szCs w:val="18"/>
              </w:rPr>
            </w:pPr>
          </w:p>
        </w:tc>
        <w:tc>
          <w:tcPr>
            <w:tcW w:w="1060" w:type="dxa"/>
            <w:vAlign w:val="bottom"/>
          </w:tcPr>
          <w:p w:rsidR="00AC12B4" w:rsidRDefault="00AC12B4">
            <w:pPr>
              <w:rPr>
                <w:sz w:val="18"/>
                <w:szCs w:val="18"/>
              </w:rPr>
            </w:pPr>
          </w:p>
        </w:tc>
        <w:tc>
          <w:tcPr>
            <w:tcW w:w="380" w:type="dxa"/>
            <w:vAlign w:val="bottom"/>
          </w:tcPr>
          <w:p w:rsidR="00AC12B4" w:rsidRDefault="00AC12B4">
            <w:pPr>
              <w:rPr>
                <w:sz w:val="18"/>
                <w:szCs w:val="18"/>
              </w:rPr>
            </w:pPr>
          </w:p>
        </w:tc>
        <w:tc>
          <w:tcPr>
            <w:tcW w:w="380" w:type="dxa"/>
            <w:vAlign w:val="bottom"/>
          </w:tcPr>
          <w:p w:rsidR="00AC12B4" w:rsidRDefault="00AC12B4">
            <w:pPr>
              <w:rPr>
                <w:sz w:val="18"/>
                <w:szCs w:val="18"/>
              </w:rPr>
            </w:pPr>
          </w:p>
        </w:tc>
        <w:tc>
          <w:tcPr>
            <w:tcW w:w="460" w:type="dxa"/>
            <w:vAlign w:val="bottom"/>
          </w:tcPr>
          <w:p w:rsidR="00AC12B4" w:rsidRDefault="00AC12B4">
            <w:pPr>
              <w:rPr>
                <w:sz w:val="18"/>
                <w:szCs w:val="18"/>
              </w:rPr>
            </w:pPr>
          </w:p>
        </w:tc>
        <w:tc>
          <w:tcPr>
            <w:tcW w:w="600" w:type="dxa"/>
            <w:vAlign w:val="bottom"/>
          </w:tcPr>
          <w:p w:rsidR="00AC12B4" w:rsidRDefault="00AC12B4">
            <w:pPr>
              <w:rPr>
                <w:sz w:val="18"/>
                <w:szCs w:val="18"/>
              </w:rPr>
            </w:pPr>
          </w:p>
        </w:tc>
        <w:tc>
          <w:tcPr>
            <w:tcW w:w="120" w:type="dxa"/>
            <w:vAlign w:val="bottom"/>
          </w:tcPr>
          <w:p w:rsidR="00AC12B4" w:rsidRDefault="00AC12B4">
            <w:pPr>
              <w:rPr>
                <w:sz w:val="18"/>
                <w:szCs w:val="18"/>
              </w:rPr>
            </w:pPr>
          </w:p>
        </w:tc>
        <w:tc>
          <w:tcPr>
            <w:tcW w:w="320" w:type="dxa"/>
            <w:vAlign w:val="bottom"/>
          </w:tcPr>
          <w:p w:rsidR="00AC12B4" w:rsidRDefault="00AC12B4">
            <w:pPr>
              <w:rPr>
                <w:sz w:val="18"/>
                <w:szCs w:val="18"/>
              </w:rPr>
            </w:pPr>
          </w:p>
        </w:tc>
        <w:tc>
          <w:tcPr>
            <w:tcW w:w="760" w:type="dxa"/>
            <w:vAlign w:val="bottom"/>
          </w:tcPr>
          <w:p w:rsidR="00AC12B4" w:rsidRDefault="00AC12B4">
            <w:pPr>
              <w:rPr>
                <w:sz w:val="18"/>
                <w:szCs w:val="18"/>
              </w:rPr>
            </w:pPr>
          </w:p>
        </w:tc>
        <w:tc>
          <w:tcPr>
            <w:tcW w:w="120" w:type="dxa"/>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200" w:type="dxa"/>
            <w:gridSpan w:val="5"/>
            <w:vAlign w:val="bottom"/>
          </w:tcPr>
          <w:p w:rsidR="00AC12B4" w:rsidRDefault="00C27636">
            <w:pPr>
              <w:spacing w:line="216" w:lineRule="exact"/>
              <w:ind w:left="80"/>
              <w:rPr>
                <w:sz w:val="20"/>
                <w:szCs w:val="20"/>
              </w:rPr>
            </w:pPr>
            <w:r>
              <w:rPr>
                <w:rFonts w:ascii="Calibri" w:eastAsia="Calibri" w:hAnsi="Calibri" w:cs="Calibri"/>
                <w:w w:val="99"/>
              </w:rPr>
              <w:t>directement</w:t>
            </w:r>
          </w:p>
        </w:tc>
        <w:tc>
          <w:tcPr>
            <w:tcW w:w="2060" w:type="dxa"/>
            <w:gridSpan w:val="5"/>
            <w:vAlign w:val="bottom"/>
          </w:tcPr>
          <w:p w:rsidR="00AC12B4" w:rsidRDefault="00C27636">
            <w:pPr>
              <w:spacing w:line="216" w:lineRule="exact"/>
              <w:ind w:right="690"/>
              <w:jc w:val="right"/>
              <w:rPr>
                <w:sz w:val="20"/>
                <w:szCs w:val="20"/>
              </w:rPr>
            </w:pPr>
            <w:r>
              <w:rPr>
                <w:rFonts w:ascii="Calibri" w:eastAsia="Calibri" w:hAnsi="Calibri" w:cs="Calibri"/>
              </w:rPr>
              <w:t>représentés</w:t>
            </w:r>
          </w:p>
        </w:tc>
        <w:tc>
          <w:tcPr>
            <w:tcW w:w="0" w:type="dxa"/>
            <w:vAlign w:val="bottom"/>
          </w:tcPr>
          <w:p w:rsidR="00AC12B4" w:rsidRDefault="00AC12B4">
            <w:pPr>
              <w:rPr>
                <w:sz w:val="1"/>
                <w:szCs w:val="1"/>
              </w:rPr>
            </w:pPr>
          </w:p>
        </w:tc>
      </w:tr>
      <w:tr w:rsidR="00AC12B4">
        <w:trPr>
          <w:trHeight w:val="231"/>
        </w:trPr>
        <w:tc>
          <w:tcPr>
            <w:tcW w:w="5460" w:type="dxa"/>
            <w:gridSpan w:val="8"/>
            <w:vMerge w:val="restart"/>
            <w:vAlign w:val="bottom"/>
          </w:tcPr>
          <w:p w:rsidR="00AC12B4" w:rsidRDefault="00C27636">
            <w:pPr>
              <w:ind w:left="1460"/>
              <w:rPr>
                <w:sz w:val="20"/>
                <w:szCs w:val="20"/>
              </w:rPr>
            </w:pPr>
            <w:r>
              <w:rPr>
                <w:rFonts w:ascii="Calibri" w:eastAsia="Calibri" w:hAnsi="Calibri" w:cs="Calibri"/>
              </w:rPr>
              <w:t xml:space="preserve">La mise en œuvre </w:t>
            </w:r>
            <w:r>
              <w:rPr>
                <w:rFonts w:ascii="Calibri" w:eastAsia="Calibri" w:hAnsi="Calibri" w:cs="Calibri"/>
              </w:rPr>
              <w:lastRenderedPageBreak/>
              <w:t>des droits de l’enfant</w:t>
            </w:r>
          </w:p>
        </w:tc>
        <w:tc>
          <w:tcPr>
            <w:tcW w:w="600" w:type="dxa"/>
            <w:vAlign w:val="bottom"/>
          </w:tcPr>
          <w:p w:rsidR="00AC12B4" w:rsidRDefault="00AC12B4">
            <w:pPr>
              <w:rPr>
                <w:sz w:val="20"/>
                <w:szCs w:val="20"/>
              </w:rPr>
            </w:pPr>
          </w:p>
        </w:tc>
        <w:tc>
          <w:tcPr>
            <w:tcW w:w="440" w:type="dxa"/>
            <w:gridSpan w:val="2"/>
            <w:vAlign w:val="bottom"/>
          </w:tcPr>
          <w:p w:rsidR="00AC12B4" w:rsidRDefault="00C27636">
            <w:pPr>
              <w:spacing w:line="231" w:lineRule="exact"/>
              <w:rPr>
                <w:sz w:val="20"/>
                <w:szCs w:val="20"/>
              </w:rPr>
            </w:pPr>
            <w:r>
              <w:rPr>
                <w:rFonts w:ascii="Calibri" w:eastAsia="Calibri" w:hAnsi="Calibri" w:cs="Calibri"/>
                <w:w w:val="99"/>
              </w:rPr>
              <w:t>da</w:t>
            </w:r>
            <w:r>
              <w:rPr>
                <w:rFonts w:ascii="Calibri" w:eastAsia="Calibri" w:hAnsi="Calibri" w:cs="Calibri"/>
                <w:w w:val="99"/>
              </w:rPr>
              <w:lastRenderedPageBreak/>
              <w:t>ns</w:t>
            </w:r>
          </w:p>
        </w:tc>
        <w:tc>
          <w:tcPr>
            <w:tcW w:w="1360" w:type="dxa"/>
            <w:gridSpan w:val="4"/>
            <w:vAlign w:val="bottom"/>
          </w:tcPr>
          <w:p w:rsidR="00AC12B4" w:rsidRDefault="00C27636">
            <w:pPr>
              <w:spacing w:line="231" w:lineRule="exact"/>
              <w:jc w:val="right"/>
              <w:rPr>
                <w:sz w:val="20"/>
                <w:szCs w:val="20"/>
              </w:rPr>
            </w:pPr>
            <w:r>
              <w:rPr>
                <w:rFonts w:ascii="Calibri" w:eastAsia="Calibri" w:hAnsi="Calibri" w:cs="Calibri"/>
              </w:rPr>
              <w:lastRenderedPageBreak/>
              <w:t xml:space="preserve">les </w:t>
            </w:r>
            <w:r>
              <w:rPr>
                <w:rFonts w:ascii="Calibri" w:eastAsia="Calibri" w:hAnsi="Calibri" w:cs="Calibri"/>
              </w:rPr>
              <w:lastRenderedPageBreak/>
              <w:t>données</w:t>
            </w:r>
          </w:p>
        </w:tc>
        <w:tc>
          <w:tcPr>
            <w:tcW w:w="100" w:type="dxa"/>
            <w:vAlign w:val="bottom"/>
          </w:tcPr>
          <w:p w:rsidR="00AC12B4" w:rsidRDefault="00AC12B4">
            <w:pPr>
              <w:rPr>
                <w:sz w:val="20"/>
                <w:szCs w:val="20"/>
              </w:rPr>
            </w:pPr>
          </w:p>
        </w:tc>
        <w:tc>
          <w:tcPr>
            <w:tcW w:w="140" w:type="dxa"/>
            <w:tcBorders>
              <w:bottom w:val="single" w:sz="8" w:space="0" w:color="C95C96"/>
            </w:tcBorders>
            <w:vAlign w:val="bottom"/>
          </w:tcPr>
          <w:p w:rsidR="00AC12B4" w:rsidRDefault="00AC12B4">
            <w:pPr>
              <w:rPr>
                <w:sz w:val="20"/>
                <w:szCs w:val="20"/>
              </w:rPr>
            </w:pPr>
          </w:p>
        </w:tc>
        <w:tc>
          <w:tcPr>
            <w:tcW w:w="280" w:type="dxa"/>
            <w:tcBorders>
              <w:bottom w:val="single" w:sz="8" w:space="0" w:color="C95C96"/>
            </w:tcBorders>
            <w:vAlign w:val="bottom"/>
          </w:tcPr>
          <w:p w:rsidR="00AC12B4" w:rsidRDefault="00AC12B4">
            <w:pPr>
              <w:rPr>
                <w:sz w:val="20"/>
                <w:szCs w:val="20"/>
              </w:rPr>
            </w:pPr>
          </w:p>
        </w:tc>
        <w:tc>
          <w:tcPr>
            <w:tcW w:w="300" w:type="dxa"/>
            <w:tcBorders>
              <w:bottom w:val="single" w:sz="8" w:space="0" w:color="C95C96"/>
            </w:tcBorders>
            <w:vAlign w:val="bottom"/>
          </w:tcPr>
          <w:p w:rsidR="00AC12B4" w:rsidRDefault="00AC12B4">
            <w:pPr>
              <w:rPr>
                <w:sz w:val="20"/>
                <w:szCs w:val="20"/>
              </w:rPr>
            </w:pPr>
          </w:p>
        </w:tc>
        <w:tc>
          <w:tcPr>
            <w:tcW w:w="260" w:type="dxa"/>
            <w:tcBorders>
              <w:bottom w:val="single" w:sz="8" w:space="0" w:color="C95C96"/>
            </w:tcBorders>
            <w:vAlign w:val="bottom"/>
          </w:tcPr>
          <w:p w:rsidR="00AC12B4" w:rsidRDefault="00AC12B4">
            <w:pPr>
              <w:rPr>
                <w:sz w:val="20"/>
                <w:szCs w:val="20"/>
              </w:rPr>
            </w:pPr>
          </w:p>
        </w:tc>
        <w:tc>
          <w:tcPr>
            <w:tcW w:w="40" w:type="dxa"/>
            <w:tcBorders>
              <w:bottom w:val="single" w:sz="8" w:space="0" w:color="C95C96"/>
            </w:tcBorders>
            <w:vAlign w:val="bottom"/>
          </w:tcPr>
          <w:p w:rsidR="00AC12B4" w:rsidRDefault="00AC12B4">
            <w:pPr>
              <w:rPr>
                <w:sz w:val="20"/>
                <w:szCs w:val="20"/>
              </w:rPr>
            </w:pPr>
          </w:p>
        </w:tc>
        <w:tc>
          <w:tcPr>
            <w:tcW w:w="260" w:type="dxa"/>
            <w:tcBorders>
              <w:bottom w:val="single" w:sz="8" w:space="0" w:color="C95C96"/>
            </w:tcBorders>
            <w:vAlign w:val="bottom"/>
          </w:tcPr>
          <w:p w:rsidR="00AC12B4" w:rsidRDefault="00AC12B4">
            <w:pPr>
              <w:rPr>
                <w:sz w:val="20"/>
                <w:szCs w:val="20"/>
              </w:rPr>
            </w:pPr>
          </w:p>
        </w:tc>
        <w:tc>
          <w:tcPr>
            <w:tcW w:w="300" w:type="dxa"/>
            <w:tcBorders>
              <w:bottom w:val="single" w:sz="8" w:space="0" w:color="C95C96"/>
            </w:tcBorders>
            <w:vAlign w:val="bottom"/>
          </w:tcPr>
          <w:p w:rsidR="00AC12B4" w:rsidRDefault="00AC12B4">
            <w:pPr>
              <w:rPr>
                <w:sz w:val="20"/>
                <w:szCs w:val="20"/>
              </w:rPr>
            </w:pPr>
          </w:p>
        </w:tc>
        <w:tc>
          <w:tcPr>
            <w:tcW w:w="1200" w:type="dxa"/>
            <w:tcBorders>
              <w:bottom w:val="single" w:sz="8" w:space="0" w:color="C95C96"/>
            </w:tcBorders>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179"/>
        </w:trPr>
        <w:tc>
          <w:tcPr>
            <w:tcW w:w="5460" w:type="dxa"/>
            <w:gridSpan w:val="8"/>
            <w:vMerge/>
            <w:vAlign w:val="bottom"/>
          </w:tcPr>
          <w:p w:rsidR="00AC12B4" w:rsidRDefault="00AC12B4">
            <w:pPr>
              <w:rPr>
                <w:sz w:val="15"/>
                <w:szCs w:val="15"/>
              </w:rPr>
            </w:pPr>
          </w:p>
        </w:tc>
        <w:tc>
          <w:tcPr>
            <w:tcW w:w="600" w:type="dxa"/>
            <w:vAlign w:val="bottom"/>
          </w:tcPr>
          <w:p w:rsidR="00AC12B4" w:rsidRDefault="00AC12B4">
            <w:pPr>
              <w:rPr>
                <w:sz w:val="15"/>
                <w:szCs w:val="15"/>
              </w:rPr>
            </w:pPr>
          </w:p>
        </w:tc>
        <w:tc>
          <w:tcPr>
            <w:tcW w:w="440" w:type="dxa"/>
            <w:gridSpan w:val="2"/>
            <w:vMerge w:val="restart"/>
            <w:vAlign w:val="bottom"/>
          </w:tcPr>
          <w:p w:rsidR="00AC12B4" w:rsidRDefault="00C27636">
            <w:pPr>
              <w:rPr>
                <w:sz w:val="20"/>
                <w:szCs w:val="20"/>
              </w:rPr>
            </w:pPr>
            <w:r>
              <w:rPr>
                <w:rFonts w:ascii="Calibri" w:eastAsia="Calibri" w:hAnsi="Calibri" w:cs="Calibri"/>
              </w:rPr>
              <w:t>de</w:t>
            </w:r>
          </w:p>
        </w:tc>
        <w:tc>
          <w:tcPr>
            <w:tcW w:w="1360" w:type="dxa"/>
            <w:gridSpan w:val="4"/>
            <w:vMerge w:val="restart"/>
            <w:vAlign w:val="bottom"/>
          </w:tcPr>
          <w:p w:rsidR="00AC12B4" w:rsidRDefault="00C27636">
            <w:pPr>
              <w:jc w:val="right"/>
              <w:rPr>
                <w:sz w:val="20"/>
                <w:szCs w:val="20"/>
              </w:rPr>
            </w:pPr>
            <w:r>
              <w:rPr>
                <w:rFonts w:ascii="Calibri" w:eastAsia="Calibri" w:hAnsi="Calibri" w:cs="Calibri"/>
              </w:rPr>
              <w:t>l’enquête</w:t>
            </w:r>
          </w:p>
        </w:tc>
        <w:tc>
          <w:tcPr>
            <w:tcW w:w="100" w:type="dxa"/>
            <w:tcBorders>
              <w:right w:val="single" w:sz="8" w:space="0" w:color="C95C96"/>
            </w:tcBorders>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2640" w:type="dxa"/>
            <w:gridSpan w:val="7"/>
            <w:vMerge w:val="restart"/>
            <w:tcBorders>
              <w:right w:val="single" w:sz="8" w:space="0" w:color="C95C96"/>
            </w:tcBorders>
            <w:vAlign w:val="bottom"/>
          </w:tcPr>
          <w:p w:rsidR="00AC12B4" w:rsidRDefault="00C27636">
            <w:pPr>
              <w:rPr>
                <w:sz w:val="20"/>
                <w:szCs w:val="20"/>
              </w:rPr>
            </w:pPr>
            <w:r>
              <w:rPr>
                <w:rFonts w:ascii="Comic Sans MS" w:eastAsia="Comic Sans MS" w:hAnsi="Comic Sans MS" w:cs="Comic Sans MS"/>
                <w:color w:val="0D0D0D"/>
                <w:sz w:val="20"/>
                <w:szCs w:val="20"/>
              </w:rPr>
              <w:t>En Fédération Wallonie-</w:t>
            </w:r>
          </w:p>
        </w:tc>
        <w:tc>
          <w:tcPr>
            <w:tcW w:w="0" w:type="dxa"/>
            <w:vAlign w:val="bottom"/>
          </w:tcPr>
          <w:p w:rsidR="00AC12B4" w:rsidRDefault="00AC12B4">
            <w:pPr>
              <w:rPr>
                <w:sz w:val="1"/>
                <w:szCs w:val="1"/>
              </w:rPr>
            </w:pPr>
          </w:p>
        </w:tc>
      </w:tr>
      <w:tr w:rsidR="00AC12B4">
        <w:trPr>
          <w:trHeight w:val="106"/>
        </w:trPr>
        <w:tc>
          <w:tcPr>
            <w:tcW w:w="5460" w:type="dxa"/>
            <w:gridSpan w:val="8"/>
            <w:vMerge w:val="restart"/>
            <w:vAlign w:val="bottom"/>
          </w:tcPr>
          <w:p w:rsidR="00AC12B4" w:rsidRDefault="00C27636">
            <w:pPr>
              <w:ind w:left="1460"/>
              <w:rPr>
                <w:sz w:val="20"/>
                <w:szCs w:val="20"/>
              </w:rPr>
            </w:pPr>
            <w:r>
              <w:rPr>
                <w:rFonts w:ascii="Calibri" w:eastAsia="Calibri" w:hAnsi="Calibri" w:cs="Calibri"/>
              </w:rPr>
              <w:t>implique d’être axé sur l'accompagnement</w:t>
            </w:r>
          </w:p>
        </w:tc>
        <w:tc>
          <w:tcPr>
            <w:tcW w:w="600" w:type="dxa"/>
            <w:vAlign w:val="bottom"/>
          </w:tcPr>
          <w:p w:rsidR="00AC12B4" w:rsidRDefault="00AC12B4">
            <w:pPr>
              <w:rPr>
                <w:sz w:val="9"/>
                <w:szCs w:val="9"/>
              </w:rPr>
            </w:pPr>
          </w:p>
        </w:tc>
        <w:tc>
          <w:tcPr>
            <w:tcW w:w="440" w:type="dxa"/>
            <w:gridSpan w:val="2"/>
            <w:vMerge/>
            <w:vAlign w:val="bottom"/>
          </w:tcPr>
          <w:p w:rsidR="00AC12B4" w:rsidRDefault="00AC12B4">
            <w:pPr>
              <w:rPr>
                <w:sz w:val="9"/>
                <w:szCs w:val="9"/>
              </w:rPr>
            </w:pPr>
          </w:p>
        </w:tc>
        <w:tc>
          <w:tcPr>
            <w:tcW w:w="1360" w:type="dxa"/>
            <w:gridSpan w:val="4"/>
            <w:vMerge/>
            <w:vAlign w:val="bottom"/>
          </w:tcPr>
          <w:p w:rsidR="00AC12B4" w:rsidRDefault="00AC12B4">
            <w:pPr>
              <w:rPr>
                <w:sz w:val="9"/>
                <w:szCs w:val="9"/>
              </w:rPr>
            </w:pPr>
          </w:p>
        </w:tc>
        <w:tc>
          <w:tcPr>
            <w:tcW w:w="100" w:type="dxa"/>
            <w:tcBorders>
              <w:right w:val="single" w:sz="8" w:space="0" w:color="C95C96"/>
            </w:tcBorders>
            <w:vAlign w:val="bottom"/>
          </w:tcPr>
          <w:p w:rsidR="00AC12B4" w:rsidRDefault="00AC12B4">
            <w:pPr>
              <w:rPr>
                <w:sz w:val="9"/>
                <w:szCs w:val="9"/>
              </w:rPr>
            </w:pPr>
          </w:p>
        </w:tc>
        <w:tc>
          <w:tcPr>
            <w:tcW w:w="140" w:type="dxa"/>
            <w:vAlign w:val="bottom"/>
          </w:tcPr>
          <w:p w:rsidR="00AC12B4" w:rsidRDefault="00AC12B4">
            <w:pPr>
              <w:rPr>
                <w:sz w:val="9"/>
                <w:szCs w:val="9"/>
              </w:rPr>
            </w:pPr>
          </w:p>
        </w:tc>
        <w:tc>
          <w:tcPr>
            <w:tcW w:w="2640" w:type="dxa"/>
            <w:gridSpan w:val="7"/>
            <w:vMerge/>
            <w:tcBorders>
              <w:right w:val="single" w:sz="8" w:space="0" w:color="C95C96"/>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36"/>
        </w:trPr>
        <w:tc>
          <w:tcPr>
            <w:tcW w:w="5460" w:type="dxa"/>
            <w:gridSpan w:val="8"/>
            <w:vMerge/>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1200" w:type="dxa"/>
            <w:gridSpan w:val="3"/>
            <w:vMerge w:val="restart"/>
            <w:vAlign w:val="bottom"/>
          </w:tcPr>
          <w:p w:rsidR="00AC12B4" w:rsidRDefault="00C27636">
            <w:pPr>
              <w:spacing w:line="212" w:lineRule="exact"/>
              <w:rPr>
                <w:sz w:val="20"/>
                <w:szCs w:val="20"/>
              </w:rPr>
            </w:pPr>
            <w:r>
              <w:rPr>
                <w:rFonts w:ascii="Calibri" w:eastAsia="Calibri" w:hAnsi="Calibri" w:cs="Calibri"/>
                <w:sz w:val="19"/>
                <w:szCs w:val="19"/>
              </w:rPr>
              <w:t>HBSC</w:t>
            </w:r>
            <w:r>
              <w:rPr>
                <w:rFonts w:ascii="Calibri" w:eastAsia="Calibri" w:hAnsi="Calibri" w:cs="Calibri"/>
                <w:sz w:val="23"/>
                <w:szCs w:val="23"/>
                <w:vertAlign w:val="superscript"/>
              </w:rPr>
              <w:t>1</w:t>
            </w:r>
            <w:r>
              <w:rPr>
                <w:rFonts w:ascii="Calibri" w:eastAsia="Calibri" w:hAnsi="Calibri" w:cs="Calibri"/>
                <w:sz w:val="19"/>
                <w:szCs w:val="19"/>
              </w:rPr>
              <w:t>.</w:t>
            </w:r>
          </w:p>
        </w:tc>
        <w:tc>
          <w:tcPr>
            <w:tcW w:w="12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380" w:type="dxa"/>
            <w:vAlign w:val="bottom"/>
          </w:tcPr>
          <w:p w:rsidR="00AC12B4" w:rsidRDefault="00AC12B4">
            <w:pPr>
              <w:rPr>
                <w:sz w:val="11"/>
                <w:szCs w:val="11"/>
              </w:rPr>
            </w:pPr>
          </w:p>
        </w:tc>
        <w:tc>
          <w:tcPr>
            <w:tcW w:w="100" w:type="dxa"/>
            <w:tcBorders>
              <w:right w:val="single" w:sz="8" w:space="0" w:color="C95C96"/>
            </w:tcBorders>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640" w:type="dxa"/>
            <w:gridSpan w:val="7"/>
            <w:vMerge/>
            <w:tcBorders>
              <w:right w:val="single" w:sz="8" w:space="0" w:color="C95C96"/>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76"/>
        </w:trPr>
        <w:tc>
          <w:tcPr>
            <w:tcW w:w="5460" w:type="dxa"/>
            <w:gridSpan w:val="8"/>
            <w:vMerge/>
            <w:vAlign w:val="bottom"/>
          </w:tcPr>
          <w:p w:rsidR="00AC12B4" w:rsidRDefault="00AC12B4">
            <w:pPr>
              <w:rPr>
                <w:sz w:val="6"/>
                <w:szCs w:val="6"/>
              </w:rPr>
            </w:pPr>
          </w:p>
        </w:tc>
        <w:tc>
          <w:tcPr>
            <w:tcW w:w="600" w:type="dxa"/>
            <w:vAlign w:val="bottom"/>
          </w:tcPr>
          <w:p w:rsidR="00AC12B4" w:rsidRDefault="00AC12B4">
            <w:pPr>
              <w:rPr>
                <w:sz w:val="6"/>
                <w:szCs w:val="6"/>
              </w:rPr>
            </w:pPr>
          </w:p>
        </w:tc>
        <w:tc>
          <w:tcPr>
            <w:tcW w:w="1200" w:type="dxa"/>
            <w:gridSpan w:val="3"/>
            <w:vMerge/>
            <w:vAlign w:val="bottom"/>
          </w:tcPr>
          <w:p w:rsidR="00AC12B4" w:rsidRDefault="00AC12B4">
            <w:pPr>
              <w:rPr>
                <w:sz w:val="6"/>
                <w:szCs w:val="6"/>
              </w:rPr>
            </w:pPr>
          </w:p>
        </w:tc>
        <w:tc>
          <w:tcPr>
            <w:tcW w:w="12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100" w:type="dxa"/>
            <w:tcBorders>
              <w:right w:val="single" w:sz="8" w:space="0" w:color="C95C96"/>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2640" w:type="dxa"/>
            <w:gridSpan w:val="7"/>
            <w:vMerge w:val="restart"/>
            <w:tcBorders>
              <w:right w:val="single" w:sz="8" w:space="0" w:color="C95C96"/>
            </w:tcBorders>
            <w:vAlign w:val="bottom"/>
          </w:tcPr>
          <w:p w:rsidR="00AC12B4" w:rsidRDefault="00C27636">
            <w:pPr>
              <w:rPr>
                <w:sz w:val="20"/>
                <w:szCs w:val="20"/>
              </w:rPr>
            </w:pPr>
            <w:r>
              <w:rPr>
                <w:rFonts w:ascii="Comic Sans MS" w:eastAsia="Comic Sans MS" w:hAnsi="Comic Sans MS" w:cs="Comic Sans MS"/>
                <w:color w:val="0D0D0D"/>
                <w:sz w:val="20"/>
                <w:szCs w:val="20"/>
              </w:rPr>
              <w:t>Bruxelles, quand ils sont</w:t>
            </w:r>
          </w:p>
        </w:tc>
        <w:tc>
          <w:tcPr>
            <w:tcW w:w="0" w:type="dxa"/>
            <w:vAlign w:val="bottom"/>
          </w:tcPr>
          <w:p w:rsidR="00AC12B4" w:rsidRDefault="00AC12B4">
            <w:pPr>
              <w:rPr>
                <w:sz w:val="1"/>
                <w:szCs w:val="1"/>
              </w:rPr>
            </w:pPr>
          </w:p>
        </w:tc>
      </w:tr>
      <w:tr w:rsidR="00AC12B4">
        <w:trPr>
          <w:trHeight w:val="203"/>
        </w:trPr>
        <w:tc>
          <w:tcPr>
            <w:tcW w:w="5460" w:type="dxa"/>
            <w:gridSpan w:val="8"/>
            <w:vAlign w:val="bottom"/>
          </w:tcPr>
          <w:p w:rsidR="00AC12B4" w:rsidRDefault="00C27636">
            <w:pPr>
              <w:spacing w:line="203" w:lineRule="exact"/>
              <w:ind w:left="1460"/>
              <w:rPr>
                <w:sz w:val="20"/>
                <w:szCs w:val="20"/>
              </w:rPr>
            </w:pPr>
            <w:r>
              <w:rPr>
                <w:rFonts w:ascii="Calibri" w:eastAsia="Calibri" w:hAnsi="Calibri" w:cs="Calibri"/>
              </w:rPr>
              <w:t>de chaque</w:t>
            </w:r>
            <w:r>
              <w:rPr>
                <w:rFonts w:ascii="Calibri" w:eastAsia="Calibri" w:hAnsi="Calibri" w:cs="Calibri"/>
              </w:rPr>
              <w:t xml:space="preserve"> enfant dans le développement</w:t>
            </w:r>
          </w:p>
        </w:tc>
        <w:tc>
          <w:tcPr>
            <w:tcW w:w="600" w:type="dxa"/>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320" w:type="dxa"/>
            <w:vAlign w:val="bottom"/>
          </w:tcPr>
          <w:p w:rsidR="00AC12B4" w:rsidRDefault="00AC12B4">
            <w:pPr>
              <w:rPr>
                <w:sz w:val="17"/>
                <w:szCs w:val="17"/>
              </w:rPr>
            </w:pPr>
          </w:p>
        </w:tc>
        <w:tc>
          <w:tcPr>
            <w:tcW w:w="760" w:type="dxa"/>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380" w:type="dxa"/>
            <w:vAlign w:val="bottom"/>
          </w:tcPr>
          <w:p w:rsidR="00AC12B4" w:rsidRDefault="00AC12B4">
            <w:pPr>
              <w:rPr>
                <w:sz w:val="17"/>
                <w:szCs w:val="17"/>
              </w:rPr>
            </w:pPr>
          </w:p>
        </w:tc>
        <w:tc>
          <w:tcPr>
            <w:tcW w:w="100" w:type="dxa"/>
            <w:tcBorders>
              <w:right w:val="single" w:sz="8" w:space="0" w:color="C95C96"/>
            </w:tcBorders>
            <w:vAlign w:val="bottom"/>
          </w:tcPr>
          <w:p w:rsidR="00AC12B4" w:rsidRDefault="00AC12B4">
            <w:pPr>
              <w:rPr>
                <w:sz w:val="17"/>
                <w:szCs w:val="17"/>
              </w:rPr>
            </w:pPr>
          </w:p>
        </w:tc>
        <w:tc>
          <w:tcPr>
            <w:tcW w:w="140" w:type="dxa"/>
            <w:vAlign w:val="bottom"/>
          </w:tcPr>
          <w:p w:rsidR="00AC12B4" w:rsidRDefault="00AC12B4">
            <w:pPr>
              <w:rPr>
                <w:sz w:val="17"/>
                <w:szCs w:val="17"/>
              </w:rPr>
            </w:pPr>
          </w:p>
        </w:tc>
        <w:tc>
          <w:tcPr>
            <w:tcW w:w="2640" w:type="dxa"/>
            <w:gridSpan w:val="7"/>
            <w:vMerge/>
            <w:tcBorders>
              <w:right w:val="single" w:sz="8" w:space="0" w:color="C95C96"/>
            </w:tcBorders>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278"/>
        </w:trPr>
        <w:tc>
          <w:tcPr>
            <w:tcW w:w="1980" w:type="dxa"/>
            <w:vAlign w:val="bottom"/>
          </w:tcPr>
          <w:p w:rsidR="00AC12B4" w:rsidRDefault="00C27636">
            <w:pPr>
              <w:ind w:left="1460"/>
              <w:rPr>
                <w:sz w:val="20"/>
                <w:szCs w:val="20"/>
              </w:rPr>
            </w:pPr>
            <w:r>
              <w:rPr>
                <w:rFonts w:ascii="Calibri" w:eastAsia="Calibri" w:hAnsi="Calibri" w:cs="Calibri"/>
                <w:w w:val="98"/>
              </w:rPr>
              <w:t>d'une</w:t>
            </w:r>
          </w:p>
        </w:tc>
        <w:tc>
          <w:tcPr>
            <w:tcW w:w="1200" w:type="dxa"/>
            <w:gridSpan w:val="3"/>
            <w:vAlign w:val="bottom"/>
          </w:tcPr>
          <w:p w:rsidR="00AC12B4" w:rsidRDefault="00C27636">
            <w:pPr>
              <w:ind w:left="10"/>
              <w:jc w:val="center"/>
              <w:rPr>
                <w:sz w:val="20"/>
                <w:szCs w:val="20"/>
              </w:rPr>
            </w:pPr>
            <w:r>
              <w:rPr>
                <w:rFonts w:ascii="Calibri" w:eastAsia="Calibri" w:hAnsi="Calibri" w:cs="Calibri"/>
              </w:rPr>
              <w:t>perspective</w:t>
            </w:r>
          </w:p>
        </w:tc>
        <w:tc>
          <w:tcPr>
            <w:tcW w:w="1440" w:type="dxa"/>
            <w:gridSpan w:val="2"/>
            <w:vAlign w:val="bottom"/>
          </w:tcPr>
          <w:p w:rsidR="00AC12B4" w:rsidRDefault="00C27636">
            <w:pPr>
              <w:jc w:val="right"/>
              <w:rPr>
                <w:sz w:val="20"/>
                <w:szCs w:val="20"/>
              </w:rPr>
            </w:pPr>
            <w:r>
              <w:rPr>
                <w:rFonts w:ascii="Calibri" w:eastAsia="Calibri" w:hAnsi="Calibri" w:cs="Calibri"/>
              </w:rPr>
              <w:t>d'avenir. Ceci</w:t>
            </w:r>
          </w:p>
        </w:tc>
        <w:tc>
          <w:tcPr>
            <w:tcW w:w="840" w:type="dxa"/>
            <w:gridSpan w:val="2"/>
            <w:vAlign w:val="bottom"/>
          </w:tcPr>
          <w:p w:rsidR="00AC12B4" w:rsidRDefault="00C27636">
            <w:pPr>
              <w:ind w:right="10"/>
              <w:jc w:val="right"/>
              <w:rPr>
                <w:sz w:val="20"/>
                <w:szCs w:val="20"/>
              </w:rPr>
            </w:pPr>
            <w:r>
              <w:rPr>
                <w:rFonts w:ascii="Calibri" w:eastAsia="Calibri" w:hAnsi="Calibri" w:cs="Calibri"/>
              </w:rPr>
              <w:t>résulte</w:t>
            </w:r>
          </w:p>
        </w:tc>
        <w:tc>
          <w:tcPr>
            <w:tcW w:w="600" w:type="dxa"/>
            <w:vAlign w:val="bottom"/>
          </w:tcPr>
          <w:p w:rsidR="00AC12B4" w:rsidRDefault="00AC12B4">
            <w:pPr>
              <w:rPr>
                <w:sz w:val="24"/>
                <w:szCs w:val="24"/>
              </w:rPr>
            </w:pPr>
          </w:p>
        </w:tc>
        <w:tc>
          <w:tcPr>
            <w:tcW w:w="440" w:type="dxa"/>
            <w:gridSpan w:val="2"/>
            <w:vAlign w:val="bottom"/>
          </w:tcPr>
          <w:p w:rsidR="00AC12B4" w:rsidRDefault="00C27636">
            <w:pPr>
              <w:spacing w:line="242" w:lineRule="exact"/>
              <w:rPr>
                <w:sz w:val="20"/>
                <w:szCs w:val="20"/>
              </w:rPr>
            </w:pPr>
            <w:r>
              <w:rPr>
                <w:rFonts w:ascii="Calibri" w:eastAsia="Calibri" w:hAnsi="Calibri" w:cs="Calibri"/>
              </w:rPr>
              <w:t>Les</w:t>
            </w:r>
          </w:p>
        </w:tc>
        <w:tc>
          <w:tcPr>
            <w:tcW w:w="980" w:type="dxa"/>
            <w:gridSpan w:val="3"/>
            <w:vAlign w:val="bottom"/>
          </w:tcPr>
          <w:p w:rsidR="00AC12B4" w:rsidRDefault="00C27636">
            <w:pPr>
              <w:spacing w:line="242" w:lineRule="exact"/>
              <w:ind w:left="20"/>
              <w:rPr>
                <w:sz w:val="20"/>
                <w:szCs w:val="20"/>
              </w:rPr>
            </w:pPr>
            <w:r>
              <w:rPr>
                <w:rFonts w:ascii="Calibri" w:eastAsia="Calibri" w:hAnsi="Calibri" w:cs="Calibri"/>
              </w:rPr>
              <w:t>données</w:t>
            </w:r>
          </w:p>
        </w:tc>
        <w:tc>
          <w:tcPr>
            <w:tcW w:w="380" w:type="dxa"/>
            <w:vAlign w:val="bottom"/>
          </w:tcPr>
          <w:p w:rsidR="00AC12B4" w:rsidRDefault="00C27636">
            <w:pPr>
              <w:spacing w:line="242" w:lineRule="exact"/>
              <w:jc w:val="right"/>
              <w:rPr>
                <w:sz w:val="20"/>
                <w:szCs w:val="20"/>
              </w:rPr>
            </w:pPr>
            <w:r>
              <w:rPr>
                <w:rFonts w:ascii="Calibri" w:eastAsia="Calibri" w:hAnsi="Calibri" w:cs="Calibri"/>
                <w:w w:val="92"/>
              </w:rPr>
              <w:t>qui</w:t>
            </w:r>
          </w:p>
        </w:tc>
        <w:tc>
          <w:tcPr>
            <w:tcW w:w="100" w:type="dxa"/>
            <w:tcBorders>
              <w:right w:val="single" w:sz="8" w:space="0" w:color="C95C96"/>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640" w:type="dxa"/>
            <w:gridSpan w:val="7"/>
            <w:tcBorders>
              <w:right w:val="single" w:sz="8" w:space="0" w:color="C95C96"/>
            </w:tcBorders>
            <w:vAlign w:val="bottom"/>
          </w:tcPr>
          <w:p w:rsidR="00AC12B4" w:rsidRDefault="00C27636">
            <w:pPr>
              <w:spacing w:line="277" w:lineRule="exact"/>
              <w:rPr>
                <w:sz w:val="20"/>
                <w:szCs w:val="20"/>
              </w:rPr>
            </w:pPr>
            <w:r>
              <w:rPr>
                <w:rFonts w:ascii="Comic Sans MS" w:eastAsia="Comic Sans MS" w:hAnsi="Comic Sans MS" w:cs="Comic Sans MS"/>
                <w:color w:val="0D0D0D"/>
                <w:sz w:val="20"/>
                <w:szCs w:val="20"/>
              </w:rPr>
              <w:t>face à un problème,</w:t>
            </w:r>
          </w:p>
        </w:tc>
        <w:tc>
          <w:tcPr>
            <w:tcW w:w="0" w:type="dxa"/>
            <w:vAlign w:val="bottom"/>
          </w:tcPr>
          <w:p w:rsidR="00AC12B4" w:rsidRDefault="00AC12B4">
            <w:pPr>
              <w:rPr>
                <w:sz w:val="1"/>
                <w:szCs w:val="1"/>
              </w:rPr>
            </w:pPr>
          </w:p>
        </w:tc>
      </w:tr>
      <w:tr w:rsidR="00AC12B4">
        <w:trPr>
          <w:trHeight w:val="13"/>
        </w:trPr>
        <w:tc>
          <w:tcPr>
            <w:tcW w:w="1980" w:type="dxa"/>
            <w:vAlign w:val="bottom"/>
          </w:tcPr>
          <w:p w:rsidR="00AC12B4" w:rsidRDefault="00AC12B4">
            <w:pPr>
              <w:spacing w:line="20" w:lineRule="exact"/>
              <w:rPr>
                <w:sz w:val="1"/>
                <w:szCs w:val="1"/>
              </w:rPr>
            </w:pPr>
          </w:p>
        </w:tc>
        <w:tc>
          <w:tcPr>
            <w:tcW w:w="540" w:type="dxa"/>
            <w:vAlign w:val="bottom"/>
          </w:tcPr>
          <w:p w:rsidR="00AC12B4" w:rsidRDefault="00AC12B4">
            <w:pPr>
              <w:spacing w:line="20" w:lineRule="exact"/>
              <w:rPr>
                <w:sz w:val="1"/>
                <w:szCs w:val="1"/>
              </w:rPr>
            </w:pPr>
          </w:p>
        </w:tc>
        <w:tc>
          <w:tcPr>
            <w:tcW w:w="320" w:type="dxa"/>
            <w:vAlign w:val="bottom"/>
          </w:tcPr>
          <w:p w:rsidR="00AC12B4" w:rsidRDefault="00AC12B4">
            <w:pPr>
              <w:spacing w:line="20" w:lineRule="exact"/>
              <w:rPr>
                <w:sz w:val="1"/>
                <w:szCs w:val="1"/>
              </w:rPr>
            </w:pPr>
          </w:p>
        </w:tc>
        <w:tc>
          <w:tcPr>
            <w:tcW w:w="340" w:type="dxa"/>
            <w:vAlign w:val="bottom"/>
          </w:tcPr>
          <w:p w:rsidR="00AC12B4" w:rsidRDefault="00AC12B4">
            <w:pPr>
              <w:spacing w:line="20" w:lineRule="exact"/>
              <w:rPr>
                <w:sz w:val="1"/>
                <w:szCs w:val="1"/>
              </w:rPr>
            </w:pPr>
          </w:p>
        </w:tc>
        <w:tc>
          <w:tcPr>
            <w:tcW w:w="1060" w:type="dxa"/>
            <w:vAlign w:val="bottom"/>
          </w:tcPr>
          <w:p w:rsidR="00AC12B4" w:rsidRDefault="00AC12B4">
            <w:pPr>
              <w:spacing w:line="20" w:lineRule="exact"/>
              <w:rPr>
                <w:sz w:val="1"/>
                <w:szCs w:val="1"/>
              </w:rPr>
            </w:pPr>
          </w:p>
        </w:tc>
        <w:tc>
          <w:tcPr>
            <w:tcW w:w="380" w:type="dxa"/>
            <w:vAlign w:val="bottom"/>
          </w:tcPr>
          <w:p w:rsidR="00AC12B4" w:rsidRDefault="00AC12B4">
            <w:pPr>
              <w:spacing w:line="20" w:lineRule="exact"/>
              <w:rPr>
                <w:sz w:val="1"/>
                <w:szCs w:val="1"/>
              </w:rPr>
            </w:pPr>
          </w:p>
        </w:tc>
        <w:tc>
          <w:tcPr>
            <w:tcW w:w="380" w:type="dxa"/>
            <w:vAlign w:val="bottom"/>
          </w:tcPr>
          <w:p w:rsidR="00AC12B4" w:rsidRDefault="00AC12B4">
            <w:pPr>
              <w:spacing w:line="20" w:lineRule="exact"/>
              <w:rPr>
                <w:sz w:val="1"/>
                <w:szCs w:val="1"/>
              </w:rPr>
            </w:pPr>
          </w:p>
        </w:tc>
        <w:tc>
          <w:tcPr>
            <w:tcW w:w="460" w:type="dxa"/>
            <w:vAlign w:val="bottom"/>
          </w:tcPr>
          <w:p w:rsidR="00AC12B4" w:rsidRDefault="00AC12B4">
            <w:pPr>
              <w:spacing w:line="20" w:lineRule="exact"/>
              <w:rPr>
                <w:sz w:val="1"/>
                <w:szCs w:val="1"/>
              </w:rPr>
            </w:pPr>
          </w:p>
        </w:tc>
        <w:tc>
          <w:tcPr>
            <w:tcW w:w="600" w:type="dxa"/>
            <w:vAlign w:val="bottom"/>
          </w:tcPr>
          <w:p w:rsidR="00AC12B4" w:rsidRDefault="00AC12B4">
            <w:pPr>
              <w:spacing w:line="20" w:lineRule="exact"/>
              <w:rPr>
                <w:sz w:val="1"/>
                <w:szCs w:val="1"/>
              </w:rPr>
            </w:pPr>
          </w:p>
        </w:tc>
        <w:tc>
          <w:tcPr>
            <w:tcW w:w="1200" w:type="dxa"/>
            <w:gridSpan w:val="3"/>
            <w:vAlign w:val="bottom"/>
          </w:tcPr>
          <w:p w:rsidR="00AC12B4" w:rsidRDefault="00C27636">
            <w:pPr>
              <w:rPr>
                <w:sz w:val="20"/>
                <w:szCs w:val="20"/>
              </w:rPr>
            </w:pPr>
            <w:r>
              <w:rPr>
                <w:rFonts w:ascii="Calibri" w:eastAsia="Calibri" w:hAnsi="Calibri" w:cs="Calibri"/>
                <w:sz w:val="1"/>
                <w:szCs w:val="1"/>
              </w:rPr>
              <w:t>l’enquête</w:t>
            </w:r>
          </w:p>
        </w:tc>
        <w:tc>
          <w:tcPr>
            <w:tcW w:w="600" w:type="dxa"/>
            <w:gridSpan w:val="3"/>
            <w:vAlign w:val="bottom"/>
          </w:tcPr>
          <w:p w:rsidR="00AC12B4" w:rsidRDefault="00C27636">
            <w:pPr>
              <w:jc w:val="right"/>
              <w:rPr>
                <w:sz w:val="20"/>
                <w:szCs w:val="20"/>
              </w:rPr>
            </w:pPr>
            <w:r>
              <w:rPr>
                <w:rFonts w:ascii="Calibri" w:eastAsia="Calibri" w:hAnsi="Calibri" w:cs="Calibri"/>
                <w:sz w:val="1"/>
                <w:szCs w:val="1"/>
              </w:rPr>
              <w:t>HBSC</w:t>
            </w:r>
          </w:p>
        </w:tc>
        <w:tc>
          <w:tcPr>
            <w:tcW w:w="100" w:type="dxa"/>
            <w:tcBorders>
              <w:right w:val="single" w:sz="8" w:space="0" w:color="C95C96"/>
            </w:tcBorders>
            <w:vAlign w:val="bottom"/>
          </w:tcPr>
          <w:p w:rsidR="00AC12B4" w:rsidRDefault="00AC12B4">
            <w:pPr>
              <w:spacing w:line="20" w:lineRule="exact"/>
              <w:rPr>
                <w:sz w:val="1"/>
                <w:szCs w:val="1"/>
              </w:rPr>
            </w:pPr>
          </w:p>
        </w:tc>
        <w:tc>
          <w:tcPr>
            <w:tcW w:w="140" w:type="dxa"/>
            <w:vAlign w:val="bottom"/>
          </w:tcPr>
          <w:p w:rsidR="00AC12B4" w:rsidRDefault="00AC12B4">
            <w:pPr>
              <w:spacing w:line="20" w:lineRule="exact"/>
              <w:rPr>
                <w:sz w:val="1"/>
                <w:szCs w:val="1"/>
              </w:rPr>
            </w:pPr>
          </w:p>
        </w:tc>
        <w:tc>
          <w:tcPr>
            <w:tcW w:w="2640" w:type="dxa"/>
            <w:gridSpan w:val="7"/>
            <w:tcBorders>
              <w:right w:val="single" w:sz="8" w:space="0" w:color="C95C96"/>
            </w:tcBorders>
            <w:vAlign w:val="bottom"/>
          </w:tcPr>
          <w:p w:rsidR="00AC12B4" w:rsidRDefault="00C27636">
            <w:pPr>
              <w:ind w:right="190"/>
              <w:jc w:val="right"/>
              <w:rPr>
                <w:sz w:val="20"/>
                <w:szCs w:val="20"/>
              </w:rPr>
            </w:pPr>
            <w:r>
              <w:rPr>
                <w:rFonts w:ascii="Comic Sans MS" w:eastAsia="Comic Sans MS" w:hAnsi="Comic Sans MS" w:cs="Comic Sans MS"/>
                <w:color w:val="C95C96"/>
                <w:sz w:val="1"/>
                <w:szCs w:val="1"/>
              </w:rPr>
              <w:t>6 jeunes</w:t>
            </w:r>
          </w:p>
        </w:tc>
        <w:tc>
          <w:tcPr>
            <w:tcW w:w="0" w:type="dxa"/>
            <w:vAlign w:val="bottom"/>
          </w:tcPr>
          <w:p w:rsidR="00AC12B4" w:rsidRDefault="00AC12B4">
            <w:pPr>
              <w:spacing w:line="20" w:lineRule="exact"/>
              <w:rPr>
                <w:sz w:val="1"/>
                <w:szCs w:val="1"/>
              </w:rPr>
            </w:pPr>
          </w:p>
        </w:tc>
      </w:tr>
      <w:tr w:rsidR="00AC12B4">
        <w:trPr>
          <w:trHeight w:val="260"/>
        </w:trPr>
        <w:tc>
          <w:tcPr>
            <w:tcW w:w="5000" w:type="dxa"/>
            <w:gridSpan w:val="7"/>
            <w:vAlign w:val="bottom"/>
          </w:tcPr>
          <w:p w:rsidR="00AC12B4" w:rsidRDefault="00C27636">
            <w:pPr>
              <w:spacing w:line="260" w:lineRule="exact"/>
              <w:ind w:left="1460"/>
              <w:rPr>
                <w:sz w:val="20"/>
                <w:szCs w:val="20"/>
              </w:rPr>
            </w:pPr>
            <w:r>
              <w:rPr>
                <w:rFonts w:ascii="Calibri" w:eastAsia="Calibri" w:hAnsi="Calibri" w:cs="Calibri"/>
              </w:rPr>
              <w:t>directement de l'article 3 de la CIDE.</w:t>
            </w:r>
          </w:p>
        </w:tc>
        <w:tc>
          <w:tcPr>
            <w:tcW w:w="460" w:type="dxa"/>
            <w:vAlign w:val="bottom"/>
          </w:tcPr>
          <w:p w:rsidR="00AC12B4" w:rsidRDefault="00AC12B4"/>
        </w:tc>
        <w:tc>
          <w:tcPr>
            <w:tcW w:w="600" w:type="dxa"/>
            <w:vAlign w:val="bottom"/>
          </w:tcPr>
          <w:p w:rsidR="00AC12B4" w:rsidRDefault="00AC12B4"/>
        </w:tc>
        <w:tc>
          <w:tcPr>
            <w:tcW w:w="1200" w:type="dxa"/>
            <w:gridSpan w:val="3"/>
            <w:vAlign w:val="bottom"/>
          </w:tcPr>
          <w:p w:rsidR="00AC12B4" w:rsidRDefault="00C27636">
            <w:pPr>
              <w:spacing w:line="220" w:lineRule="exact"/>
              <w:rPr>
                <w:sz w:val="20"/>
                <w:szCs w:val="20"/>
              </w:rPr>
            </w:pPr>
            <w:r>
              <w:rPr>
                <w:rFonts w:ascii="Calibri" w:eastAsia="Calibri" w:hAnsi="Calibri" w:cs="Calibri"/>
              </w:rPr>
              <w:t>suivent</w:t>
            </w:r>
          </w:p>
        </w:tc>
        <w:tc>
          <w:tcPr>
            <w:tcW w:w="120" w:type="dxa"/>
            <w:vAlign w:val="bottom"/>
          </w:tcPr>
          <w:p w:rsidR="00AC12B4" w:rsidRDefault="00AC12B4"/>
        </w:tc>
        <w:tc>
          <w:tcPr>
            <w:tcW w:w="100" w:type="dxa"/>
            <w:vAlign w:val="bottom"/>
          </w:tcPr>
          <w:p w:rsidR="00AC12B4" w:rsidRDefault="00AC12B4"/>
        </w:tc>
        <w:tc>
          <w:tcPr>
            <w:tcW w:w="380" w:type="dxa"/>
            <w:vAlign w:val="bottom"/>
          </w:tcPr>
          <w:p w:rsidR="00AC12B4" w:rsidRDefault="00AC12B4"/>
        </w:tc>
        <w:tc>
          <w:tcPr>
            <w:tcW w:w="100" w:type="dxa"/>
            <w:tcBorders>
              <w:right w:val="single" w:sz="8" w:space="0" w:color="C95C96"/>
            </w:tcBorders>
            <w:vAlign w:val="bottom"/>
          </w:tcPr>
          <w:p w:rsidR="00AC12B4" w:rsidRDefault="00AC12B4"/>
        </w:tc>
        <w:tc>
          <w:tcPr>
            <w:tcW w:w="140" w:type="dxa"/>
            <w:vAlign w:val="bottom"/>
          </w:tcPr>
          <w:p w:rsidR="00AC12B4" w:rsidRDefault="00AC12B4"/>
        </w:tc>
        <w:tc>
          <w:tcPr>
            <w:tcW w:w="280" w:type="dxa"/>
            <w:vAlign w:val="bottom"/>
          </w:tcPr>
          <w:p w:rsidR="00AC12B4" w:rsidRDefault="00AC12B4"/>
        </w:tc>
        <w:tc>
          <w:tcPr>
            <w:tcW w:w="300" w:type="dxa"/>
            <w:vAlign w:val="bottom"/>
          </w:tcPr>
          <w:p w:rsidR="00AC12B4" w:rsidRDefault="00AC12B4"/>
        </w:tc>
        <w:tc>
          <w:tcPr>
            <w:tcW w:w="260" w:type="dxa"/>
            <w:vAlign w:val="bottom"/>
          </w:tcPr>
          <w:p w:rsidR="00AC12B4" w:rsidRDefault="00AC12B4"/>
        </w:tc>
        <w:tc>
          <w:tcPr>
            <w:tcW w:w="40" w:type="dxa"/>
            <w:vAlign w:val="bottom"/>
          </w:tcPr>
          <w:p w:rsidR="00AC12B4" w:rsidRDefault="00AC12B4"/>
        </w:tc>
        <w:tc>
          <w:tcPr>
            <w:tcW w:w="260" w:type="dxa"/>
            <w:vAlign w:val="bottom"/>
          </w:tcPr>
          <w:p w:rsidR="00AC12B4" w:rsidRDefault="00AC12B4"/>
        </w:tc>
        <w:tc>
          <w:tcPr>
            <w:tcW w:w="300" w:type="dxa"/>
            <w:vAlign w:val="bottom"/>
          </w:tcPr>
          <w:p w:rsidR="00AC12B4" w:rsidRDefault="00AC12B4"/>
        </w:tc>
        <w:tc>
          <w:tcPr>
            <w:tcW w:w="1200" w:type="dxa"/>
            <w:tcBorders>
              <w:right w:val="single" w:sz="8" w:space="0" w:color="C95C96"/>
            </w:tcBorders>
            <w:vAlign w:val="bottom"/>
          </w:tcPr>
          <w:p w:rsidR="00AC12B4" w:rsidRDefault="00AC12B4"/>
        </w:tc>
        <w:tc>
          <w:tcPr>
            <w:tcW w:w="0" w:type="dxa"/>
            <w:vAlign w:val="bottom"/>
          </w:tcPr>
          <w:p w:rsidR="00AC12B4" w:rsidRDefault="00AC12B4">
            <w:pPr>
              <w:rPr>
                <w:sz w:val="1"/>
                <w:szCs w:val="1"/>
              </w:rPr>
            </w:pPr>
          </w:p>
        </w:tc>
      </w:tr>
      <w:tr w:rsidR="00AC12B4">
        <w:trPr>
          <w:trHeight w:val="228"/>
        </w:trPr>
        <w:tc>
          <w:tcPr>
            <w:tcW w:w="5460" w:type="dxa"/>
            <w:gridSpan w:val="8"/>
            <w:vMerge w:val="restart"/>
            <w:vAlign w:val="bottom"/>
          </w:tcPr>
          <w:p w:rsidR="00AC12B4" w:rsidRDefault="00C27636">
            <w:pPr>
              <w:ind w:left="1460"/>
              <w:rPr>
                <w:sz w:val="20"/>
                <w:szCs w:val="20"/>
              </w:rPr>
            </w:pPr>
            <w:r>
              <w:rPr>
                <w:rFonts w:ascii="Calibri" w:eastAsia="Calibri" w:hAnsi="Calibri" w:cs="Calibri"/>
              </w:rPr>
              <w:t xml:space="preserve">Pour cet indicateur, nous </w:t>
            </w:r>
            <w:r>
              <w:rPr>
                <w:rFonts w:ascii="Calibri" w:eastAsia="Calibri" w:hAnsi="Calibri" w:cs="Calibri"/>
              </w:rPr>
              <w:t>utiliserons les</w:t>
            </w:r>
          </w:p>
        </w:tc>
        <w:tc>
          <w:tcPr>
            <w:tcW w:w="600" w:type="dxa"/>
            <w:vAlign w:val="bottom"/>
          </w:tcPr>
          <w:p w:rsidR="00AC12B4" w:rsidRDefault="00AC12B4">
            <w:pPr>
              <w:rPr>
                <w:sz w:val="19"/>
                <w:szCs w:val="19"/>
              </w:rPr>
            </w:pPr>
          </w:p>
        </w:tc>
        <w:tc>
          <w:tcPr>
            <w:tcW w:w="1200" w:type="dxa"/>
            <w:gridSpan w:val="3"/>
            <w:vAlign w:val="bottom"/>
          </w:tcPr>
          <w:p w:rsidR="00AC12B4" w:rsidRDefault="00C27636">
            <w:pPr>
              <w:spacing w:line="229" w:lineRule="exact"/>
              <w:rPr>
                <w:sz w:val="20"/>
                <w:szCs w:val="20"/>
              </w:rPr>
            </w:pPr>
            <w:r>
              <w:rPr>
                <w:rFonts w:ascii="Calibri" w:eastAsia="Calibri" w:hAnsi="Calibri" w:cs="Calibri"/>
              </w:rPr>
              <w:t>proviennent</w:t>
            </w:r>
          </w:p>
        </w:tc>
        <w:tc>
          <w:tcPr>
            <w:tcW w:w="120" w:type="dxa"/>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380" w:type="dxa"/>
            <w:vAlign w:val="bottom"/>
          </w:tcPr>
          <w:p w:rsidR="00AC12B4" w:rsidRDefault="00C27636">
            <w:pPr>
              <w:spacing w:line="229" w:lineRule="exact"/>
              <w:ind w:left="60"/>
              <w:rPr>
                <w:sz w:val="20"/>
                <w:szCs w:val="20"/>
              </w:rPr>
            </w:pPr>
            <w:r>
              <w:rPr>
                <w:rFonts w:ascii="Calibri" w:eastAsia="Calibri" w:hAnsi="Calibri" w:cs="Calibri"/>
              </w:rPr>
              <w:t>de</w:t>
            </w:r>
          </w:p>
        </w:tc>
        <w:tc>
          <w:tcPr>
            <w:tcW w:w="100" w:type="dxa"/>
            <w:tcBorders>
              <w:right w:val="single" w:sz="8" w:space="0" w:color="C95C96"/>
            </w:tcBorders>
            <w:vAlign w:val="bottom"/>
          </w:tcPr>
          <w:p w:rsidR="00AC12B4" w:rsidRDefault="00AC12B4">
            <w:pPr>
              <w:rPr>
                <w:sz w:val="19"/>
                <w:szCs w:val="19"/>
              </w:rPr>
            </w:pPr>
          </w:p>
        </w:tc>
        <w:tc>
          <w:tcPr>
            <w:tcW w:w="140" w:type="dxa"/>
            <w:vAlign w:val="bottom"/>
          </w:tcPr>
          <w:p w:rsidR="00AC12B4" w:rsidRDefault="00AC12B4">
            <w:pPr>
              <w:rPr>
                <w:sz w:val="19"/>
                <w:szCs w:val="19"/>
              </w:rPr>
            </w:pPr>
          </w:p>
        </w:tc>
        <w:tc>
          <w:tcPr>
            <w:tcW w:w="28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260" w:type="dxa"/>
            <w:vAlign w:val="bottom"/>
          </w:tcPr>
          <w:p w:rsidR="00AC12B4" w:rsidRDefault="00AC12B4">
            <w:pPr>
              <w:rPr>
                <w:sz w:val="19"/>
                <w:szCs w:val="19"/>
              </w:rPr>
            </w:pPr>
          </w:p>
        </w:tc>
        <w:tc>
          <w:tcPr>
            <w:tcW w:w="40" w:type="dxa"/>
            <w:vAlign w:val="bottom"/>
          </w:tcPr>
          <w:p w:rsidR="00AC12B4" w:rsidRDefault="00AC12B4">
            <w:pPr>
              <w:rPr>
                <w:sz w:val="19"/>
                <w:szCs w:val="19"/>
              </w:rPr>
            </w:pPr>
          </w:p>
        </w:tc>
        <w:tc>
          <w:tcPr>
            <w:tcW w:w="26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1200" w:type="dxa"/>
            <w:tcBorders>
              <w:right w:val="single" w:sz="8" w:space="0" w:color="C95C96"/>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61"/>
        </w:trPr>
        <w:tc>
          <w:tcPr>
            <w:tcW w:w="5460" w:type="dxa"/>
            <w:gridSpan w:val="8"/>
            <w:vMerge/>
            <w:vAlign w:val="bottom"/>
          </w:tcPr>
          <w:p w:rsidR="00AC12B4" w:rsidRDefault="00AC12B4">
            <w:pPr>
              <w:rPr>
                <w:sz w:val="13"/>
                <w:szCs w:val="13"/>
              </w:rPr>
            </w:pPr>
          </w:p>
        </w:tc>
        <w:tc>
          <w:tcPr>
            <w:tcW w:w="60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76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380" w:type="dxa"/>
            <w:vAlign w:val="bottom"/>
          </w:tcPr>
          <w:p w:rsidR="00AC12B4" w:rsidRDefault="00AC12B4">
            <w:pPr>
              <w:rPr>
                <w:sz w:val="13"/>
                <w:szCs w:val="13"/>
              </w:rPr>
            </w:pPr>
          </w:p>
        </w:tc>
        <w:tc>
          <w:tcPr>
            <w:tcW w:w="100" w:type="dxa"/>
            <w:tcBorders>
              <w:right w:val="single" w:sz="8" w:space="0" w:color="C95C96"/>
            </w:tcBorders>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4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1200" w:type="dxa"/>
            <w:tcBorders>
              <w:right w:val="single" w:sz="8" w:space="0" w:color="C95C96"/>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69"/>
        </w:trPr>
        <w:tc>
          <w:tcPr>
            <w:tcW w:w="5460" w:type="dxa"/>
            <w:gridSpan w:val="8"/>
            <w:vAlign w:val="bottom"/>
          </w:tcPr>
          <w:p w:rsidR="00AC12B4" w:rsidRDefault="00C27636">
            <w:pPr>
              <w:ind w:left="1460"/>
              <w:rPr>
                <w:sz w:val="20"/>
                <w:szCs w:val="20"/>
              </w:rPr>
            </w:pPr>
            <w:r>
              <w:rPr>
                <w:rFonts w:ascii="Calibri" w:eastAsia="Calibri" w:hAnsi="Calibri" w:cs="Calibri"/>
              </w:rPr>
              <w:t xml:space="preserve">données de l’enquête internationale </w:t>
            </w:r>
            <w:r>
              <w:rPr>
                <w:rFonts w:ascii="Calibri" w:eastAsia="Calibri" w:hAnsi="Calibri" w:cs="Calibri"/>
              </w:rPr>
              <w:lastRenderedPageBreak/>
              <w:t>HBSC</w:t>
            </w:r>
          </w:p>
        </w:tc>
        <w:tc>
          <w:tcPr>
            <w:tcW w:w="600" w:type="dxa"/>
            <w:vAlign w:val="bottom"/>
          </w:tcPr>
          <w:p w:rsidR="00AC12B4" w:rsidRDefault="00AC12B4">
            <w:pPr>
              <w:rPr>
                <w:sz w:val="23"/>
                <w:szCs w:val="23"/>
              </w:rPr>
            </w:pPr>
          </w:p>
        </w:tc>
        <w:tc>
          <w:tcPr>
            <w:tcW w:w="440" w:type="dxa"/>
            <w:gridSpan w:val="2"/>
            <w:vMerge w:val="restart"/>
            <w:vAlign w:val="bottom"/>
          </w:tcPr>
          <w:p w:rsidR="00AC12B4" w:rsidRDefault="00C27636">
            <w:pPr>
              <w:rPr>
                <w:sz w:val="20"/>
                <w:szCs w:val="20"/>
              </w:rPr>
            </w:pPr>
            <w:r>
              <w:rPr>
                <w:rFonts w:ascii="Calibri" w:eastAsia="Calibri" w:hAnsi="Calibri" w:cs="Calibri"/>
              </w:rPr>
              <w:t>mais</w:t>
            </w:r>
          </w:p>
        </w:tc>
        <w:tc>
          <w:tcPr>
            <w:tcW w:w="1360" w:type="dxa"/>
            <w:gridSpan w:val="4"/>
            <w:vMerge w:val="restart"/>
            <w:vAlign w:val="bottom"/>
          </w:tcPr>
          <w:p w:rsidR="00AC12B4" w:rsidRDefault="00C27636">
            <w:pPr>
              <w:jc w:val="right"/>
              <w:rPr>
                <w:sz w:val="20"/>
                <w:szCs w:val="20"/>
              </w:rPr>
            </w:pPr>
            <w:r>
              <w:rPr>
                <w:rFonts w:ascii="Calibri" w:eastAsia="Calibri" w:hAnsi="Calibri" w:cs="Calibri"/>
              </w:rPr>
              <w:t>uniquement</w:t>
            </w:r>
          </w:p>
        </w:tc>
        <w:tc>
          <w:tcPr>
            <w:tcW w:w="100" w:type="dxa"/>
            <w:tcBorders>
              <w:right w:val="single" w:sz="8" w:space="0" w:color="C95C96"/>
            </w:tcBorders>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2360" w:type="dxa"/>
            <w:gridSpan w:val="6"/>
            <w:vMerge w:val="restart"/>
            <w:tcBorders>
              <w:right w:val="single" w:sz="8" w:space="0" w:color="C95C96"/>
            </w:tcBorders>
            <w:vAlign w:val="bottom"/>
          </w:tcPr>
          <w:p w:rsidR="00AC12B4" w:rsidRDefault="00C27636">
            <w:pPr>
              <w:ind w:right="510"/>
              <w:jc w:val="right"/>
              <w:rPr>
                <w:sz w:val="20"/>
                <w:szCs w:val="20"/>
              </w:rPr>
            </w:pPr>
            <w:r>
              <w:rPr>
                <w:rFonts w:ascii="Comic Sans MS" w:eastAsia="Comic Sans MS" w:hAnsi="Comic Sans MS" w:cs="Comic Sans MS"/>
                <w:color w:val="C95C96"/>
                <w:sz w:val="56"/>
                <w:szCs w:val="56"/>
              </w:rPr>
              <w:t xml:space="preserve">sur </w:t>
            </w:r>
            <w:r>
              <w:rPr>
                <w:rFonts w:ascii="Comic Sans MS" w:eastAsia="Comic Sans MS" w:hAnsi="Comic Sans MS" w:cs="Comic Sans MS"/>
                <w:color w:val="C95C96"/>
                <w:sz w:val="56"/>
                <w:szCs w:val="56"/>
              </w:rPr>
              <w:lastRenderedPageBreak/>
              <w:t>10</w:t>
            </w:r>
          </w:p>
        </w:tc>
        <w:tc>
          <w:tcPr>
            <w:tcW w:w="0" w:type="dxa"/>
            <w:vAlign w:val="bottom"/>
          </w:tcPr>
          <w:p w:rsidR="00AC12B4" w:rsidRDefault="00AC12B4">
            <w:pPr>
              <w:rPr>
                <w:sz w:val="1"/>
                <w:szCs w:val="1"/>
              </w:rPr>
            </w:pPr>
          </w:p>
        </w:tc>
      </w:tr>
      <w:tr w:rsidR="00AC12B4">
        <w:trPr>
          <w:trHeight w:val="108"/>
        </w:trPr>
        <w:tc>
          <w:tcPr>
            <w:tcW w:w="5460" w:type="dxa"/>
            <w:gridSpan w:val="8"/>
            <w:vMerge w:val="restart"/>
            <w:vAlign w:val="bottom"/>
          </w:tcPr>
          <w:p w:rsidR="00AC12B4" w:rsidRDefault="00C27636">
            <w:pPr>
              <w:ind w:left="1460"/>
              <w:rPr>
                <w:sz w:val="20"/>
                <w:szCs w:val="20"/>
              </w:rPr>
            </w:pPr>
            <w:r>
              <w:rPr>
                <w:rFonts w:ascii="Calibri" w:eastAsia="Calibri" w:hAnsi="Calibri" w:cs="Calibri"/>
              </w:rPr>
              <w:lastRenderedPageBreak/>
              <w:t>interrogeant les jeunes, entre autres, sur</w:t>
            </w:r>
          </w:p>
        </w:tc>
        <w:tc>
          <w:tcPr>
            <w:tcW w:w="600" w:type="dxa"/>
            <w:vAlign w:val="bottom"/>
          </w:tcPr>
          <w:p w:rsidR="00AC12B4" w:rsidRDefault="00AC12B4">
            <w:pPr>
              <w:rPr>
                <w:sz w:val="9"/>
                <w:szCs w:val="9"/>
              </w:rPr>
            </w:pPr>
          </w:p>
        </w:tc>
        <w:tc>
          <w:tcPr>
            <w:tcW w:w="440" w:type="dxa"/>
            <w:gridSpan w:val="2"/>
            <w:vMerge/>
            <w:vAlign w:val="bottom"/>
          </w:tcPr>
          <w:p w:rsidR="00AC12B4" w:rsidRDefault="00AC12B4">
            <w:pPr>
              <w:rPr>
                <w:sz w:val="9"/>
                <w:szCs w:val="9"/>
              </w:rPr>
            </w:pPr>
          </w:p>
        </w:tc>
        <w:tc>
          <w:tcPr>
            <w:tcW w:w="1360" w:type="dxa"/>
            <w:gridSpan w:val="4"/>
            <w:vMerge/>
            <w:vAlign w:val="bottom"/>
          </w:tcPr>
          <w:p w:rsidR="00AC12B4" w:rsidRDefault="00AC12B4">
            <w:pPr>
              <w:rPr>
                <w:sz w:val="9"/>
                <w:szCs w:val="9"/>
              </w:rPr>
            </w:pPr>
          </w:p>
        </w:tc>
        <w:tc>
          <w:tcPr>
            <w:tcW w:w="100" w:type="dxa"/>
            <w:tcBorders>
              <w:right w:val="single" w:sz="8" w:space="0" w:color="C95C96"/>
            </w:tcBorders>
            <w:vAlign w:val="bottom"/>
          </w:tcPr>
          <w:p w:rsidR="00AC12B4" w:rsidRDefault="00AC12B4">
            <w:pPr>
              <w:rPr>
                <w:sz w:val="9"/>
                <w:szCs w:val="9"/>
              </w:rPr>
            </w:pPr>
          </w:p>
        </w:tc>
        <w:tc>
          <w:tcPr>
            <w:tcW w:w="14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2360" w:type="dxa"/>
            <w:gridSpan w:val="6"/>
            <w:vMerge/>
            <w:tcBorders>
              <w:right w:val="single" w:sz="8" w:space="0" w:color="C95C96"/>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1"/>
        </w:trPr>
        <w:tc>
          <w:tcPr>
            <w:tcW w:w="5460" w:type="dxa"/>
            <w:gridSpan w:val="8"/>
            <w:vMerge/>
            <w:vAlign w:val="bottom"/>
          </w:tcPr>
          <w:p w:rsidR="00AC12B4" w:rsidRDefault="00AC12B4">
            <w:pPr>
              <w:rPr>
                <w:sz w:val="13"/>
                <w:szCs w:val="13"/>
              </w:rPr>
            </w:pPr>
          </w:p>
        </w:tc>
        <w:tc>
          <w:tcPr>
            <w:tcW w:w="600" w:type="dxa"/>
            <w:vAlign w:val="bottom"/>
          </w:tcPr>
          <w:p w:rsidR="00AC12B4" w:rsidRDefault="00AC12B4">
            <w:pPr>
              <w:rPr>
                <w:sz w:val="13"/>
                <w:szCs w:val="13"/>
              </w:rPr>
            </w:pPr>
          </w:p>
        </w:tc>
        <w:tc>
          <w:tcPr>
            <w:tcW w:w="440" w:type="dxa"/>
            <w:gridSpan w:val="2"/>
            <w:vMerge w:val="restart"/>
            <w:vAlign w:val="bottom"/>
          </w:tcPr>
          <w:p w:rsidR="00AC12B4" w:rsidRDefault="00C27636">
            <w:pPr>
              <w:rPr>
                <w:sz w:val="20"/>
                <w:szCs w:val="20"/>
              </w:rPr>
            </w:pPr>
            <w:r>
              <w:rPr>
                <w:rFonts w:ascii="Calibri" w:eastAsia="Calibri" w:hAnsi="Calibri" w:cs="Calibri"/>
                <w:w w:val="99"/>
              </w:rPr>
              <w:t>pour</w:t>
            </w:r>
          </w:p>
        </w:tc>
        <w:tc>
          <w:tcPr>
            <w:tcW w:w="1360" w:type="dxa"/>
            <w:gridSpan w:val="4"/>
            <w:vMerge w:val="restart"/>
            <w:vAlign w:val="bottom"/>
          </w:tcPr>
          <w:p w:rsidR="00AC12B4" w:rsidRDefault="00C27636">
            <w:pPr>
              <w:jc w:val="right"/>
              <w:rPr>
                <w:sz w:val="20"/>
                <w:szCs w:val="20"/>
              </w:rPr>
            </w:pPr>
            <w:r>
              <w:rPr>
                <w:rFonts w:ascii="Calibri" w:eastAsia="Calibri" w:hAnsi="Calibri" w:cs="Calibri"/>
              </w:rPr>
              <w:t>la  FWB. En</w:t>
            </w:r>
          </w:p>
        </w:tc>
        <w:tc>
          <w:tcPr>
            <w:tcW w:w="100" w:type="dxa"/>
            <w:tcBorders>
              <w:right w:val="single" w:sz="8" w:space="0" w:color="C95C96"/>
            </w:tcBorders>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2360" w:type="dxa"/>
            <w:gridSpan w:val="6"/>
            <w:vMerge/>
            <w:tcBorders>
              <w:right w:val="single" w:sz="8" w:space="0" w:color="C95C96"/>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08"/>
        </w:trPr>
        <w:tc>
          <w:tcPr>
            <w:tcW w:w="5460" w:type="dxa"/>
            <w:gridSpan w:val="8"/>
            <w:vMerge w:val="restart"/>
            <w:vAlign w:val="bottom"/>
          </w:tcPr>
          <w:p w:rsidR="00AC12B4" w:rsidRDefault="00C27636">
            <w:pPr>
              <w:ind w:left="1460"/>
              <w:rPr>
                <w:sz w:val="20"/>
                <w:szCs w:val="20"/>
              </w:rPr>
            </w:pPr>
            <w:r>
              <w:rPr>
                <w:rFonts w:ascii="Calibri" w:eastAsia="Calibri" w:hAnsi="Calibri" w:cs="Calibri"/>
              </w:rPr>
              <w:t>leur confiance en eux et leur capacité de</w:t>
            </w:r>
          </w:p>
        </w:tc>
        <w:tc>
          <w:tcPr>
            <w:tcW w:w="600" w:type="dxa"/>
            <w:vAlign w:val="bottom"/>
          </w:tcPr>
          <w:p w:rsidR="00AC12B4" w:rsidRDefault="00AC12B4">
            <w:pPr>
              <w:rPr>
                <w:sz w:val="9"/>
                <w:szCs w:val="9"/>
              </w:rPr>
            </w:pPr>
          </w:p>
        </w:tc>
        <w:tc>
          <w:tcPr>
            <w:tcW w:w="440" w:type="dxa"/>
            <w:gridSpan w:val="2"/>
            <w:vMerge/>
            <w:vAlign w:val="bottom"/>
          </w:tcPr>
          <w:p w:rsidR="00AC12B4" w:rsidRDefault="00AC12B4">
            <w:pPr>
              <w:rPr>
                <w:sz w:val="9"/>
                <w:szCs w:val="9"/>
              </w:rPr>
            </w:pPr>
          </w:p>
        </w:tc>
        <w:tc>
          <w:tcPr>
            <w:tcW w:w="1360" w:type="dxa"/>
            <w:gridSpan w:val="4"/>
            <w:vMerge/>
            <w:vAlign w:val="bottom"/>
          </w:tcPr>
          <w:p w:rsidR="00AC12B4" w:rsidRDefault="00AC12B4">
            <w:pPr>
              <w:rPr>
                <w:sz w:val="9"/>
                <w:szCs w:val="9"/>
              </w:rPr>
            </w:pPr>
          </w:p>
        </w:tc>
        <w:tc>
          <w:tcPr>
            <w:tcW w:w="100" w:type="dxa"/>
            <w:tcBorders>
              <w:right w:val="single" w:sz="8" w:space="0" w:color="C95C96"/>
            </w:tcBorders>
            <w:vAlign w:val="bottom"/>
          </w:tcPr>
          <w:p w:rsidR="00AC12B4" w:rsidRDefault="00AC12B4">
            <w:pPr>
              <w:rPr>
                <w:sz w:val="9"/>
                <w:szCs w:val="9"/>
              </w:rPr>
            </w:pPr>
          </w:p>
        </w:tc>
        <w:tc>
          <w:tcPr>
            <w:tcW w:w="14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2360" w:type="dxa"/>
            <w:gridSpan w:val="6"/>
            <w:vMerge/>
            <w:tcBorders>
              <w:right w:val="single" w:sz="8" w:space="0" w:color="C95C96"/>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15"/>
        </w:trPr>
        <w:tc>
          <w:tcPr>
            <w:tcW w:w="5460" w:type="dxa"/>
            <w:gridSpan w:val="8"/>
            <w:vMerge/>
            <w:vAlign w:val="bottom"/>
          </w:tcPr>
          <w:p w:rsidR="00AC12B4" w:rsidRDefault="00AC12B4">
            <w:pPr>
              <w:rPr>
                <w:sz w:val="18"/>
                <w:szCs w:val="18"/>
              </w:rPr>
            </w:pPr>
          </w:p>
        </w:tc>
        <w:tc>
          <w:tcPr>
            <w:tcW w:w="600" w:type="dxa"/>
            <w:vAlign w:val="bottom"/>
          </w:tcPr>
          <w:p w:rsidR="00AC12B4" w:rsidRDefault="00AC12B4">
            <w:pPr>
              <w:rPr>
                <w:sz w:val="18"/>
                <w:szCs w:val="18"/>
              </w:rPr>
            </w:pPr>
          </w:p>
        </w:tc>
        <w:tc>
          <w:tcPr>
            <w:tcW w:w="1800" w:type="dxa"/>
            <w:gridSpan w:val="6"/>
            <w:vAlign w:val="bottom"/>
          </w:tcPr>
          <w:p w:rsidR="00AC12B4" w:rsidRDefault="00C27636">
            <w:pPr>
              <w:spacing w:line="214" w:lineRule="exact"/>
              <w:rPr>
                <w:sz w:val="20"/>
                <w:szCs w:val="20"/>
              </w:rPr>
            </w:pPr>
            <w:r>
              <w:rPr>
                <w:rFonts w:ascii="Calibri" w:eastAsia="Calibri" w:hAnsi="Calibri" w:cs="Calibri"/>
              </w:rPr>
              <w:t>effet, la Flandre ne</w:t>
            </w:r>
          </w:p>
        </w:tc>
        <w:tc>
          <w:tcPr>
            <w:tcW w:w="100" w:type="dxa"/>
            <w:tcBorders>
              <w:right w:val="single" w:sz="8" w:space="0" w:color="C95C96"/>
            </w:tcBorders>
            <w:vAlign w:val="bottom"/>
          </w:tcPr>
          <w:p w:rsidR="00AC12B4" w:rsidRDefault="00AC12B4">
            <w:pPr>
              <w:rPr>
                <w:sz w:val="18"/>
                <w:szCs w:val="18"/>
              </w:rPr>
            </w:pPr>
          </w:p>
        </w:tc>
        <w:tc>
          <w:tcPr>
            <w:tcW w:w="140" w:type="dxa"/>
            <w:vAlign w:val="bottom"/>
          </w:tcPr>
          <w:p w:rsidR="00AC12B4" w:rsidRDefault="00AC12B4">
            <w:pPr>
              <w:rPr>
                <w:sz w:val="18"/>
                <w:szCs w:val="18"/>
              </w:rPr>
            </w:pPr>
          </w:p>
        </w:tc>
        <w:tc>
          <w:tcPr>
            <w:tcW w:w="280" w:type="dxa"/>
            <w:vAlign w:val="bottom"/>
          </w:tcPr>
          <w:p w:rsidR="00AC12B4" w:rsidRDefault="00AC12B4">
            <w:pPr>
              <w:rPr>
                <w:sz w:val="18"/>
                <w:szCs w:val="18"/>
              </w:rPr>
            </w:pPr>
          </w:p>
        </w:tc>
        <w:tc>
          <w:tcPr>
            <w:tcW w:w="2360" w:type="dxa"/>
            <w:gridSpan w:val="6"/>
            <w:vMerge/>
            <w:tcBorders>
              <w:right w:val="single" w:sz="8" w:space="0" w:color="C95C96"/>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316"/>
        </w:trPr>
        <w:tc>
          <w:tcPr>
            <w:tcW w:w="4240" w:type="dxa"/>
            <w:gridSpan w:val="5"/>
            <w:vAlign w:val="bottom"/>
          </w:tcPr>
          <w:p w:rsidR="00AC12B4" w:rsidRDefault="00C27636">
            <w:pPr>
              <w:spacing w:line="220" w:lineRule="exact"/>
              <w:ind w:left="1460"/>
              <w:rPr>
                <w:sz w:val="20"/>
                <w:szCs w:val="20"/>
              </w:rPr>
            </w:pPr>
            <w:r>
              <w:rPr>
                <w:rFonts w:ascii="Calibri" w:eastAsia="Calibri" w:hAnsi="Calibri" w:cs="Calibri"/>
              </w:rPr>
              <w:t>s’en sortir face à un problème.</w:t>
            </w:r>
          </w:p>
        </w:tc>
        <w:tc>
          <w:tcPr>
            <w:tcW w:w="38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600" w:type="dxa"/>
            <w:vAlign w:val="bottom"/>
          </w:tcPr>
          <w:p w:rsidR="00AC12B4" w:rsidRDefault="00AC12B4">
            <w:pPr>
              <w:rPr>
                <w:sz w:val="24"/>
                <w:szCs w:val="24"/>
              </w:rPr>
            </w:pPr>
          </w:p>
        </w:tc>
        <w:tc>
          <w:tcPr>
            <w:tcW w:w="1200" w:type="dxa"/>
            <w:gridSpan w:val="3"/>
            <w:vAlign w:val="bottom"/>
          </w:tcPr>
          <w:p w:rsidR="00AC12B4" w:rsidRDefault="00C27636">
            <w:pPr>
              <w:rPr>
                <w:sz w:val="20"/>
                <w:szCs w:val="20"/>
              </w:rPr>
            </w:pPr>
            <w:r>
              <w:rPr>
                <w:rFonts w:ascii="Calibri" w:eastAsia="Calibri" w:hAnsi="Calibri" w:cs="Calibri"/>
              </w:rPr>
              <w:t>reprend</w:t>
            </w:r>
          </w:p>
        </w:tc>
        <w:tc>
          <w:tcPr>
            <w:tcW w:w="12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100" w:type="dxa"/>
            <w:tcBorders>
              <w:right w:val="single" w:sz="8" w:space="0" w:color="C95C96"/>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80" w:type="dxa"/>
            <w:vAlign w:val="bottom"/>
          </w:tcPr>
          <w:p w:rsidR="00AC12B4" w:rsidRDefault="00C27636">
            <w:pPr>
              <w:rPr>
                <w:sz w:val="20"/>
                <w:szCs w:val="20"/>
              </w:rPr>
            </w:pPr>
            <w:r>
              <w:rPr>
                <w:rFonts w:ascii="Comic Sans MS" w:eastAsia="Comic Sans MS" w:hAnsi="Comic Sans MS" w:cs="Comic Sans MS"/>
                <w:color w:val="0D0D0D"/>
                <w:sz w:val="20"/>
                <w:szCs w:val="20"/>
              </w:rPr>
              <w:t>se</w:t>
            </w:r>
          </w:p>
        </w:tc>
        <w:tc>
          <w:tcPr>
            <w:tcW w:w="860" w:type="dxa"/>
            <w:gridSpan w:val="4"/>
            <w:vAlign w:val="bottom"/>
          </w:tcPr>
          <w:p w:rsidR="00AC12B4" w:rsidRDefault="00C27636">
            <w:pPr>
              <w:jc w:val="center"/>
              <w:rPr>
                <w:sz w:val="20"/>
                <w:szCs w:val="20"/>
              </w:rPr>
            </w:pPr>
            <w:r>
              <w:rPr>
                <w:rFonts w:ascii="Comic Sans MS" w:eastAsia="Comic Sans MS" w:hAnsi="Comic Sans MS" w:cs="Comic Sans MS"/>
                <w:color w:val="0D0D0D"/>
                <w:w w:val="97"/>
                <w:sz w:val="20"/>
                <w:szCs w:val="20"/>
              </w:rPr>
              <w:t>sentent</w:t>
            </w:r>
          </w:p>
        </w:tc>
        <w:tc>
          <w:tcPr>
            <w:tcW w:w="1500" w:type="dxa"/>
            <w:gridSpan w:val="2"/>
            <w:tcBorders>
              <w:right w:val="single" w:sz="8" w:space="0" w:color="C95C96"/>
            </w:tcBorders>
            <w:vAlign w:val="bottom"/>
          </w:tcPr>
          <w:p w:rsidR="00AC12B4" w:rsidRDefault="00C27636">
            <w:pPr>
              <w:ind w:right="90"/>
              <w:jc w:val="right"/>
              <w:rPr>
                <w:sz w:val="20"/>
                <w:szCs w:val="20"/>
              </w:rPr>
            </w:pPr>
            <w:r>
              <w:rPr>
                <w:rFonts w:ascii="Comic Sans MS" w:eastAsia="Comic Sans MS" w:hAnsi="Comic Sans MS" w:cs="Comic Sans MS"/>
                <w:color w:val="0D0D0D"/>
                <w:sz w:val="20"/>
                <w:szCs w:val="20"/>
              </w:rPr>
              <w:t>toujours  ou</w:t>
            </w:r>
          </w:p>
        </w:tc>
        <w:tc>
          <w:tcPr>
            <w:tcW w:w="0" w:type="dxa"/>
            <w:vAlign w:val="bottom"/>
          </w:tcPr>
          <w:p w:rsidR="00AC12B4" w:rsidRDefault="00AC12B4">
            <w:pPr>
              <w:rPr>
                <w:sz w:val="1"/>
                <w:szCs w:val="1"/>
              </w:rPr>
            </w:pPr>
          </w:p>
        </w:tc>
      </w:tr>
      <w:tr w:rsidR="00AC12B4">
        <w:trPr>
          <w:trHeight w:val="281"/>
        </w:trPr>
        <w:tc>
          <w:tcPr>
            <w:tcW w:w="5460" w:type="dxa"/>
            <w:gridSpan w:val="8"/>
            <w:vAlign w:val="bottom"/>
          </w:tcPr>
          <w:p w:rsidR="00AC12B4" w:rsidRDefault="00C27636">
            <w:pPr>
              <w:ind w:left="1460"/>
              <w:rPr>
                <w:sz w:val="20"/>
                <w:szCs w:val="20"/>
              </w:rPr>
            </w:pPr>
            <w:r>
              <w:rPr>
                <w:rFonts w:ascii="Calibri" w:eastAsia="Calibri" w:hAnsi="Calibri" w:cs="Calibri"/>
              </w:rPr>
              <w:t>Certains groupes vulnérables comme les</w:t>
            </w:r>
          </w:p>
        </w:tc>
        <w:tc>
          <w:tcPr>
            <w:tcW w:w="600" w:type="dxa"/>
            <w:vAlign w:val="bottom"/>
          </w:tcPr>
          <w:p w:rsidR="00AC12B4" w:rsidRDefault="00AC12B4">
            <w:pPr>
              <w:rPr>
                <w:sz w:val="24"/>
                <w:szCs w:val="24"/>
              </w:rPr>
            </w:pPr>
          </w:p>
        </w:tc>
        <w:tc>
          <w:tcPr>
            <w:tcW w:w="1200" w:type="dxa"/>
            <w:gridSpan w:val="3"/>
            <w:vAlign w:val="bottom"/>
          </w:tcPr>
          <w:p w:rsidR="00AC12B4" w:rsidRDefault="00C27636">
            <w:pPr>
              <w:rPr>
                <w:sz w:val="20"/>
                <w:szCs w:val="20"/>
              </w:rPr>
            </w:pPr>
            <w:r>
              <w:rPr>
                <w:rFonts w:ascii="Calibri" w:eastAsia="Calibri" w:hAnsi="Calibri" w:cs="Calibri"/>
                <w:w w:val="99"/>
              </w:rPr>
              <w:t>actuellement</w:t>
            </w:r>
          </w:p>
        </w:tc>
        <w:tc>
          <w:tcPr>
            <w:tcW w:w="120" w:type="dxa"/>
            <w:vAlign w:val="bottom"/>
          </w:tcPr>
          <w:p w:rsidR="00AC12B4" w:rsidRDefault="00AC12B4">
            <w:pPr>
              <w:rPr>
                <w:sz w:val="24"/>
                <w:szCs w:val="24"/>
              </w:rPr>
            </w:pPr>
          </w:p>
        </w:tc>
        <w:tc>
          <w:tcPr>
            <w:tcW w:w="480" w:type="dxa"/>
            <w:gridSpan w:val="2"/>
            <w:vAlign w:val="bottom"/>
          </w:tcPr>
          <w:p w:rsidR="00AC12B4" w:rsidRDefault="00C27636">
            <w:pPr>
              <w:jc w:val="right"/>
              <w:rPr>
                <w:sz w:val="20"/>
                <w:szCs w:val="20"/>
              </w:rPr>
            </w:pPr>
            <w:r>
              <w:rPr>
                <w:rFonts w:ascii="Calibri" w:eastAsia="Calibri" w:hAnsi="Calibri" w:cs="Calibri"/>
              </w:rPr>
              <w:t>pas</w:t>
            </w:r>
          </w:p>
        </w:tc>
        <w:tc>
          <w:tcPr>
            <w:tcW w:w="100" w:type="dxa"/>
            <w:tcBorders>
              <w:right w:val="single" w:sz="8" w:space="0" w:color="C95C96"/>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640" w:type="dxa"/>
            <w:gridSpan w:val="7"/>
            <w:tcBorders>
              <w:right w:val="single" w:sz="8" w:space="0" w:color="C95C96"/>
            </w:tcBorders>
            <w:vAlign w:val="bottom"/>
          </w:tcPr>
          <w:p w:rsidR="00AC12B4" w:rsidRDefault="00C27636">
            <w:pPr>
              <w:spacing w:line="277" w:lineRule="exact"/>
              <w:rPr>
                <w:sz w:val="20"/>
                <w:szCs w:val="20"/>
              </w:rPr>
            </w:pPr>
            <w:r>
              <w:rPr>
                <w:rFonts w:ascii="Comic Sans MS" w:eastAsia="Comic Sans MS" w:hAnsi="Comic Sans MS" w:cs="Comic Sans MS"/>
                <w:color w:val="0D0D0D"/>
                <w:sz w:val="20"/>
                <w:szCs w:val="20"/>
              </w:rPr>
              <w:t>souvent capables de s'en</w:t>
            </w:r>
          </w:p>
        </w:tc>
        <w:tc>
          <w:tcPr>
            <w:tcW w:w="0" w:type="dxa"/>
            <w:vAlign w:val="bottom"/>
          </w:tcPr>
          <w:p w:rsidR="00AC12B4" w:rsidRDefault="00AC12B4">
            <w:pPr>
              <w:rPr>
                <w:sz w:val="1"/>
                <w:szCs w:val="1"/>
              </w:rPr>
            </w:pPr>
          </w:p>
        </w:tc>
      </w:tr>
      <w:tr w:rsidR="00AC12B4">
        <w:trPr>
          <w:trHeight w:val="278"/>
        </w:trPr>
        <w:tc>
          <w:tcPr>
            <w:tcW w:w="5460" w:type="dxa"/>
            <w:gridSpan w:val="8"/>
            <w:vAlign w:val="bottom"/>
          </w:tcPr>
          <w:p w:rsidR="00AC12B4" w:rsidRDefault="00C27636">
            <w:pPr>
              <w:ind w:left="1460"/>
              <w:rPr>
                <w:sz w:val="20"/>
                <w:szCs w:val="20"/>
              </w:rPr>
            </w:pPr>
            <w:r>
              <w:rPr>
                <w:rFonts w:ascii="Calibri" w:eastAsia="Calibri" w:hAnsi="Calibri" w:cs="Calibri"/>
              </w:rPr>
              <w:t>mineurs étrangers et les mineurs ayant</w:t>
            </w:r>
          </w:p>
        </w:tc>
        <w:tc>
          <w:tcPr>
            <w:tcW w:w="600" w:type="dxa"/>
            <w:vAlign w:val="bottom"/>
          </w:tcPr>
          <w:p w:rsidR="00AC12B4" w:rsidRDefault="00AC12B4">
            <w:pPr>
              <w:rPr>
                <w:sz w:val="24"/>
                <w:szCs w:val="24"/>
              </w:rPr>
            </w:pPr>
          </w:p>
        </w:tc>
        <w:tc>
          <w:tcPr>
            <w:tcW w:w="1420" w:type="dxa"/>
            <w:gridSpan w:val="5"/>
            <w:vAlign w:val="bottom"/>
          </w:tcPr>
          <w:p w:rsidR="00AC12B4" w:rsidRDefault="00C27636">
            <w:pPr>
              <w:spacing w:line="261" w:lineRule="exact"/>
              <w:rPr>
                <w:sz w:val="20"/>
                <w:szCs w:val="20"/>
              </w:rPr>
            </w:pPr>
            <w:r>
              <w:rPr>
                <w:rFonts w:ascii="Calibri" w:eastAsia="Calibri" w:hAnsi="Calibri" w:cs="Calibri"/>
              </w:rPr>
              <w:t>ces questions.</w:t>
            </w:r>
          </w:p>
        </w:tc>
        <w:tc>
          <w:tcPr>
            <w:tcW w:w="380" w:type="dxa"/>
            <w:vAlign w:val="bottom"/>
          </w:tcPr>
          <w:p w:rsidR="00AC12B4" w:rsidRDefault="00AC12B4">
            <w:pPr>
              <w:rPr>
                <w:sz w:val="24"/>
                <w:szCs w:val="24"/>
              </w:rPr>
            </w:pPr>
          </w:p>
        </w:tc>
        <w:tc>
          <w:tcPr>
            <w:tcW w:w="100" w:type="dxa"/>
            <w:tcBorders>
              <w:right w:val="single" w:sz="8" w:space="0" w:color="C95C96"/>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640" w:type="dxa"/>
            <w:gridSpan w:val="7"/>
            <w:tcBorders>
              <w:right w:val="single" w:sz="8" w:space="0" w:color="C95C96"/>
            </w:tcBorders>
            <w:vAlign w:val="bottom"/>
          </w:tcPr>
          <w:p w:rsidR="00AC12B4" w:rsidRDefault="00C27636">
            <w:pPr>
              <w:spacing w:line="277" w:lineRule="exact"/>
              <w:rPr>
                <w:sz w:val="20"/>
                <w:szCs w:val="20"/>
              </w:rPr>
            </w:pPr>
            <w:r>
              <w:rPr>
                <w:rFonts w:ascii="Comic Sans MS" w:eastAsia="Comic Sans MS" w:hAnsi="Comic Sans MS" w:cs="Comic Sans MS"/>
                <w:color w:val="0D0D0D"/>
                <w:sz w:val="20"/>
                <w:szCs w:val="20"/>
              </w:rPr>
              <w:t>sortir (HBSC 2014)</w:t>
            </w:r>
          </w:p>
        </w:tc>
        <w:tc>
          <w:tcPr>
            <w:tcW w:w="0" w:type="dxa"/>
            <w:vAlign w:val="bottom"/>
          </w:tcPr>
          <w:p w:rsidR="00AC12B4" w:rsidRDefault="00AC12B4">
            <w:pPr>
              <w:rPr>
                <w:sz w:val="1"/>
                <w:szCs w:val="1"/>
              </w:rPr>
            </w:pPr>
          </w:p>
        </w:tc>
      </w:tr>
      <w:tr w:rsidR="00AC12B4">
        <w:trPr>
          <w:trHeight w:val="158"/>
        </w:trPr>
        <w:tc>
          <w:tcPr>
            <w:tcW w:w="5460" w:type="dxa"/>
            <w:gridSpan w:val="8"/>
            <w:vMerge w:val="restart"/>
            <w:vAlign w:val="bottom"/>
          </w:tcPr>
          <w:p w:rsidR="00AC12B4" w:rsidRDefault="00C27636">
            <w:pPr>
              <w:spacing w:line="267" w:lineRule="exact"/>
              <w:ind w:left="1460"/>
              <w:rPr>
                <w:sz w:val="20"/>
                <w:szCs w:val="20"/>
              </w:rPr>
            </w:pPr>
            <w:r>
              <w:rPr>
                <w:rFonts w:ascii="Calibri" w:eastAsia="Calibri" w:hAnsi="Calibri" w:cs="Calibri"/>
              </w:rPr>
              <w:t>commis un fait qualifié infraction méritent</w:t>
            </w:r>
          </w:p>
        </w:tc>
        <w:tc>
          <w:tcPr>
            <w:tcW w:w="600" w:type="dxa"/>
            <w:vAlign w:val="bottom"/>
          </w:tcPr>
          <w:p w:rsidR="00AC12B4" w:rsidRDefault="00AC12B4">
            <w:pPr>
              <w:rPr>
                <w:sz w:val="13"/>
                <w:szCs w:val="13"/>
              </w:rPr>
            </w:pPr>
          </w:p>
        </w:tc>
        <w:tc>
          <w:tcPr>
            <w:tcW w:w="440" w:type="dxa"/>
            <w:gridSpan w:val="2"/>
            <w:vMerge w:val="restart"/>
            <w:vAlign w:val="bottom"/>
          </w:tcPr>
          <w:p w:rsidR="00AC12B4" w:rsidRDefault="00C27636">
            <w:pPr>
              <w:rPr>
                <w:sz w:val="20"/>
                <w:szCs w:val="20"/>
              </w:rPr>
            </w:pPr>
            <w:r>
              <w:rPr>
                <w:rFonts w:ascii="Calibri" w:eastAsia="Calibri" w:hAnsi="Calibri" w:cs="Calibri"/>
              </w:rPr>
              <w:t>En</w:t>
            </w:r>
          </w:p>
        </w:tc>
        <w:tc>
          <w:tcPr>
            <w:tcW w:w="1360" w:type="dxa"/>
            <w:gridSpan w:val="4"/>
            <w:vMerge w:val="restart"/>
            <w:vAlign w:val="bottom"/>
          </w:tcPr>
          <w:p w:rsidR="00AC12B4" w:rsidRDefault="00C27636">
            <w:pPr>
              <w:jc w:val="right"/>
              <w:rPr>
                <w:sz w:val="20"/>
                <w:szCs w:val="20"/>
              </w:rPr>
            </w:pPr>
            <w:r>
              <w:rPr>
                <w:rFonts w:ascii="Calibri" w:eastAsia="Calibri" w:hAnsi="Calibri" w:cs="Calibri"/>
              </w:rPr>
              <w:t>Fédération</w:t>
            </w:r>
          </w:p>
        </w:tc>
        <w:tc>
          <w:tcPr>
            <w:tcW w:w="100" w:type="dxa"/>
            <w:tcBorders>
              <w:right w:val="single" w:sz="8" w:space="0" w:color="C95C96"/>
            </w:tcBorders>
            <w:vAlign w:val="bottom"/>
          </w:tcPr>
          <w:p w:rsidR="00AC12B4" w:rsidRDefault="00AC12B4">
            <w:pPr>
              <w:rPr>
                <w:sz w:val="13"/>
                <w:szCs w:val="13"/>
              </w:rPr>
            </w:pPr>
          </w:p>
        </w:tc>
        <w:tc>
          <w:tcPr>
            <w:tcW w:w="140" w:type="dxa"/>
            <w:tcBorders>
              <w:bottom w:val="single" w:sz="8" w:space="0" w:color="C95C96"/>
            </w:tcBorders>
            <w:vAlign w:val="bottom"/>
          </w:tcPr>
          <w:p w:rsidR="00AC12B4" w:rsidRDefault="00AC12B4">
            <w:pPr>
              <w:rPr>
                <w:sz w:val="13"/>
                <w:szCs w:val="13"/>
              </w:rPr>
            </w:pPr>
          </w:p>
        </w:tc>
        <w:tc>
          <w:tcPr>
            <w:tcW w:w="280" w:type="dxa"/>
            <w:tcBorders>
              <w:bottom w:val="single" w:sz="8" w:space="0" w:color="C95C96"/>
            </w:tcBorders>
            <w:vAlign w:val="bottom"/>
          </w:tcPr>
          <w:p w:rsidR="00AC12B4" w:rsidRDefault="00AC12B4">
            <w:pPr>
              <w:rPr>
                <w:sz w:val="13"/>
                <w:szCs w:val="13"/>
              </w:rPr>
            </w:pPr>
          </w:p>
        </w:tc>
        <w:tc>
          <w:tcPr>
            <w:tcW w:w="300" w:type="dxa"/>
            <w:tcBorders>
              <w:bottom w:val="single" w:sz="8" w:space="0" w:color="C95C96"/>
            </w:tcBorders>
            <w:vAlign w:val="bottom"/>
          </w:tcPr>
          <w:p w:rsidR="00AC12B4" w:rsidRDefault="00AC12B4">
            <w:pPr>
              <w:rPr>
                <w:sz w:val="13"/>
                <w:szCs w:val="13"/>
              </w:rPr>
            </w:pPr>
          </w:p>
        </w:tc>
        <w:tc>
          <w:tcPr>
            <w:tcW w:w="260" w:type="dxa"/>
            <w:tcBorders>
              <w:bottom w:val="single" w:sz="8" w:space="0" w:color="C95C96"/>
            </w:tcBorders>
            <w:vAlign w:val="bottom"/>
          </w:tcPr>
          <w:p w:rsidR="00AC12B4" w:rsidRDefault="00AC12B4">
            <w:pPr>
              <w:rPr>
                <w:sz w:val="13"/>
                <w:szCs w:val="13"/>
              </w:rPr>
            </w:pPr>
          </w:p>
        </w:tc>
        <w:tc>
          <w:tcPr>
            <w:tcW w:w="40" w:type="dxa"/>
            <w:tcBorders>
              <w:bottom w:val="single" w:sz="8" w:space="0" w:color="C95C96"/>
            </w:tcBorders>
            <w:vAlign w:val="bottom"/>
          </w:tcPr>
          <w:p w:rsidR="00AC12B4" w:rsidRDefault="00AC12B4">
            <w:pPr>
              <w:rPr>
                <w:sz w:val="13"/>
                <w:szCs w:val="13"/>
              </w:rPr>
            </w:pPr>
          </w:p>
        </w:tc>
        <w:tc>
          <w:tcPr>
            <w:tcW w:w="260" w:type="dxa"/>
            <w:tcBorders>
              <w:bottom w:val="single" w:sz="8" w:space="0" w:color="C95C96"/>
            </w:tcBorders>
            <w:vAlign w:val="bottom"/>
          </w:tcPr>
          <w:p w:rsidR="00AC12B4" w:rsidRDefault="00AC12B4">
            <w:pPr>
              <w:rPr>
                <w:sz w:val="13"/>
                <w:szCs w:val="13"/>
              </w:rPr>
            </w:pPr>
          </w:p>
        </w:tc>
        <w:tc>
          <w:tcPr>
            <w:tcW w:w="300" w:type="dxa"/>
            <w:tcBorders>
              <w:bottom w:val="single" w:sz="8" w:space="0" w:color="C95C96"/>
            </w:tcBorders>
            <w:vAlign w:val="bottom"/>
          </w:tcPr>
          <w:p w:rsidR="00AC12B4" w:rsidRDefault="00AC12B4">
            <w:pPr>
              <w:rPr>
                <w:sz w:val="13"/>
                <w:szCs w:val="13"/>
              </w:rPr>
            </w:pPr>
          </w:p>
        </w:tc>
        <w:tc>
          <w:tcPr>
            <w:tcW w:w="1200" w:type="dxa"/>
            <w:tcBorders>
              <w:bottom w:val="single" w:sz="8" w:space="0" w:color="C95C96"/>
              <w:right w:val="single" w:sz="8" w:space="0" w:color="C95C96"/>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89"/>
        </w:trPr>
        <w:tc>
          <w:tcPr>
            <w:tcW w:w="5460" w:type="dxa"/>
            <w:gridSpan w:val="8"/>
            <w:vMerge/>
            <w:vAlign w:val="bottom"/>
          </w:tcPr>
          <w:p w:rsidR="00AC12B4" w:rsidRDefault="00AC12B4">
            <w:pPr>
              <w:rPr>
                <w:sz w:val="7"/>
                <w:szCs w:val="7"/>
              </w:rPr>
            </w:pPr>
          </w:p>
        </w:tc>
        <w:tc>
          <w:tcPr>
            <w:tcW w:w="600" w:type="dxa"/>
            <w:vAlign w:val="bottom"/>
          </w:tcPr>
          <w:p w:rsidR="00AC12B4" w:rsidRDefault="00AC12B4">
            <w:pPr>
              <w:rPr>
                <w:sz w:val="7"/>
                <w:szCs w:val="7"/>
              </w:rPr>
            </w:pPr>
          </w:p>
        </w:tc>
        <w:tc>
          <w:tcPr>
            <w:tcW w:w="440" w:type="dxa"/>
            <w:gridSpan w:val="2"/>
            <w:vMerge/>
            <w:vAlign w:val="bottom"/>
          </w:tcPr>
          <w:p w:rsidR="00AC12B4" w:rsidRDefault="00AC12B4">
            <w:pPr>
              <w:rPr>
                <w:sz w:val="7"/>
                <w:szCs w:val="7"/>
              </w:rPr>
            </w:pPr>
          </w:p>
        </w:tc>
        <w:tc>
          <w:tcPr>
            <w:tcW w:w="1360" w:type="dxa"/>
            <w:gridSpan w:val="4"/>
            <w:vMerge/>
            <w:vAlign w:val="bottom"/>
          </w:tcPr>
          <w:p w:rsidR="00AC12B4" w:rsidRDefault="00AC12B4">
            <w:pPr>
              <w:rPr>
                <w:sz w:val="7"/>
                <w:szCs w:val="7"/>
              </w:rPr>
            </w:pPr>
          </w:p>
        </w:tc>
        <w:tc>
          <w:tcPr>
            <w:tcW w:w="10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2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06"/>
        </w:trPr>
        <w:tc>
          <w:tcPr>
            <w:tcW w:w="1980" w:type="dxa"/>
            <w:vMerge w:val="restart"/>
            <w:vAlign w:val="bottom"/>
          </w:tcPr>
          <w:p w:rsidR="00AC12B4" w:rsidRDefault="00C27636">
            <w:pPr>
              <w:spacing w:line="267" w:lineRule="exact"/>
              <w:ind w:left="1460"/>
              <w:rPr>
                <w:sz w:val="20"/>
                <w:szCs w:val="20"/>
              </w:rPr>
            </w:pPr>
            <w:r>
              <w:rPr>
                <w:rFonts w:ascii="Calibri" w:eastAsia="Calibri" w:hAnsi="Calibri" w:cs="Calibri"/>
              </w:rPr>
              <w:t>une</w:t>
            </w:r>
          </w:p>
        </w:tc>
        <w:tc>
          <w:tcPr>
            <w:tcW w:w="860" w:type="dxa"/>
            <w:gridSpan w:val="2"/>
            <w:vMerge w:val="restart"/>
            <w:vAlign w:val="bottom"/>
          </w:tcPr>
          <w:p w:rsidR="00AC12B4" w:rsidRDefault="00C27636">
            <w:pPr>
              <w:spacing w:line="267" w:lineRule="exact"/>
              <w:ind w:left="20"/>
              <w:rPr>
                <w:sz w:val="20"/>
                <w:szCs w:val="20"/>
              </w:rPr>
            </w:pPr>
            <w:r>
              <w:rPr>
                <w:rFonts w:ascii="Calibri" w:eastAsia="Calibri" w:hAnsi="Calibri" w:cs="Calibri"/>
                <w:w w:val="98"/>
              </w:rPr>
              <w:t>attention</w:t>
            </w:r>
          </w:p>
        </w:tc>
        <w:tc>
          <w:tcPr>
            <w:tcW w:w="1400" w:type="dxa"/>
            <w:gridSpan w:val="2"/>
            <w:vMerge w:val="restart"/>
            <w:vAlign w:val="bottom"/>
          </w:tcPr>
          <w:p w:rsidR="00AC12B4" w:rsidRDefault="00C27636">
            <w:pPr>
              <w:spacing w:line="267" w:lineRule="exact"/>
              <w:ind w:left="180"/>
              <w:rPr>
                <w:sz w:val="20"/>
                <w:szCs w:val="20"/>
              </w:rPr>
            </w:pPr>
            <w:r>
              <w:rPr>
                <w:rFonts w:ascii="Calibri" w:eastAsia="Calibri" w:hAnsi="Calibri" w:cs="Calibri"/>
              </w:rPr>
              <w:t>particulière</w:t>
            </w:r>
          </w:p>
        </w:tc>
        <w:tc>
          <w:tcPr>
            <w:tcW w:w="380" w:type="dxa"/>
            <w:vMerge w:val="restart"/>
            <w:vAlign w:val="bottom"/>
          </w:tcPr>
          <w:p w:rsidR="00AC12B4" w:rsidRDefault="00C27636">
            <w:pPr>
              <w:spacing w:line="267" w:lineRule="exact"/>
              <w:ind w:right="30"/>
              <w:jc w:val="right"/>
              <w:rPr>
                <w:sz w:val="20"/>
                <w:szCs w:val="20"/>
              </w:rPr>
            </w:pPr>
            <w:r>
              <w:rPr>
                <w:rFonts w:ascii="Calibri" w:eastAsia="Calibri" w:hAnsi="Calibri" w:cs="Calibri"/>
                <w:w w:val="97"/>
              </w:rPr>
              <w:t>en</w:t>
            </w:r>
          </w:p>
        </w:tc>
        <w:tc>
          <w:tcPr>
            <w:tcW w:w="380" w:type="dxa"/>
            <w:vMerge w:val="restart"/>
            <w:vAlign w:val="bottom"/>
          </w:tcPr>
          <w:p w:rsidR="00AC12B4" w:rsidRDefault="00C27636">
            <w:pPr>
              <w:spacing w:line="267" w:lineRule="exact"/>
              <w:ind w:left="40"/>
              <w:rPr>
                <w:sz w:val="20"/>
                <w:szCs w:val="20"/>
              </w:rPr>
            </w:pPr>
            <w:r>
              <w:rPr>
                <w:rFonts w:ascii="Calibri" w:eastAsia="Calibri" w:hAnsi="Calibri" w:cs="Calibri"/>
              </w:rPr>
              <w:t>ce</w:t>
            </w:r>
          </w:p>
        </w:tc>
        <w:tc>
          <w:tcPr>
            <w:tcW w:w="460" w:type="dxa"/>
            <w:vMerge w:val="restart"/>
            <w:vAlign w:val="bottom"/>
          </w:tcPr>
          <w:p w:rsidR="00AC12B4" w:rsidRDefault="00C27636">
            <w:pPr>
              <w:spacing w:line="267" w:lineRule="exact"/>
              <w:ind w:right="10"/>
              <w:jc w:val="right"/>
              <w:rPr>
                <w:sz w:val="20"/>
                <w:szCs w:val="20"/>
              </w:rPr>
            </w:pPr>
            <w:r>
              <w:rPr>
                <w:rFonts w:ascii="Calibri" w:eastAsia="Calibri" w:hAnsi="Calibri" w:cs="Calibri"/>
              </w:rPr>
              <w:t>qui</w:t>
            </w:r>
          </w:p>
        </w:tc>
        <w:tc>
          <w:tcPr>
            <w:tcW w:w="600" w:type="dxa"/>
            <w:vAlign w:val="bottom"/>
          </w:tcPr>
          <w:p w:rsidR="00AC12B4" w:rsidRDefault="00AC12B4">
            <w:pPr>
              <w:rPr>
                <w:sz w:val="9"/>
                <w:szCs w:val="9"/>
              </w:rPr>
            </w:pPr>
          </w:p>
        </w:tc>
        <w:tc>
          <w:tcPr>
            <w:tcW w:w="440" w:type="dxa"/>
            <w:gridSpan w:val="2"/>
            <w:vMerge/>
            <w:vAlign w:val="bottom"/>
          </w:tcPr>
          <w:p w:rsidR="00AC12B4" w:rsidRDefault="00AC12B4">
            <w:pPr>
              <w:rPr>
                <w:sz w:val="9"/>
                <w:szCs w:val="9"/>
              </w:rPr>
            </w:pPr>
          </w:p>
        </w:tc>
        <w:tc>
          <w:tcPr>
            <w:tcW w:w="1360" w:type="dxa"/>
            <w:gridSpan w:val="4"/>
            <w:vMerge/>
            <w:vAlign w:val="bottom"/>
          </w:tcPr>
          <w:p w:rsidR="00AC12B4" w:rsidRDefault="00AC12B4">
            <w:pPr>
              <w:rPr>
                <w:sz w:val="9"/>
                <w:szCs w:val="9"/>
              </w:rPr>
            </w:pPr>
          </w:p>
        </w:tc>
        <w:tc>
          <w:tcPr>
            <w:tcW w:w="10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4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120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1"/>
        </w:trPr>
        <w:tc>
          <w:tcPr>
            <w:tcW w:w="1980" w:type="dxa"/>
            <w:vMerge/>
            <w:vAlign w:val="bottom"/>
          </w:tcPr>
          <w:p w:rsidR="00AC12B4" w:rsidRDefault="00AC12B4">
            <w:pPr>
              <w:rPr>
                <w:sz w:val="13"/>
                <w:szCs w:val="13"/>
              </w:rPr>
            </w:pPr>
          </w:p>
        </w:tc>
        <w:tc>
          <w:tcPr>
            <w:tcW w:w="860" w:type="dxa"/>
            <w:gridSpan w:val="2"/>
            <w:vMerge/>
            <w:vAlign w:val="bottom"/>
          </w:tcPr>
          <w:p w:rsidR="00AC12B4" w:rsidRDefault="00AC12B4">
            <w:pPr>
              <w:rPr>
                <w:sz w:val="13"/>
                <w:szCs w:val="13"/>
              </w:rPr>
            </w:pPr>
          </w:p>
        </w:tc>
        <w:tc>
          <w:tcPr>
            <w:tcW w:w="1400" w:type="dxa"/>
            <w:gridSpan w:val="2"/>
            <w:vMerge/>
            <w:vAlign w:val="bottom"/>
          </w:tcPr>
          <w:p w:rsidR="00AC12B4" w:rsidRDefault="00AC12B4">
            <w:pPr>
              <w:rPr>
                <w:sz w:val="13"/>
                <w:szCs w:val="13"/>
              </w:rPr>
            </w:pPr>
          </w:p>
        </w:tc>
        <w:tc>
          <w:tcPr>
            <w:tcW w:w="380" w:type="dxa"/>
            <w:vMerge/>
            <w:vAlign w:val="bottom"/>
          </w:tcPr>
          <w:p w:rsidR="00AC12B4" w:rsidRDefault="00AC12B4">
            <w:pPr>
              <w:rPr>
                <w:sz w:val="13"/>
                <w:szCs w:val="13"/>
              </w:rPr>
            </w:pPr>
          </w:p>
        </w:tc>
        <w:tc>
          <w:tcPr>
            <w:tcW w:w="380" w:type="dxa"/>
            <w:vMerge/>
            <w:vAlign w:val="bottom"/>
          </w:tcPr>
          <w:p w:rsidR="00AC12B4" w:rsidRDefault="00AC12B4">
            <w:pPr>
              <w:rPr>
                <w:sz w:val="13"/>
                <w:szCs w:val="13"/>
              </w:rPr>
            </w:pPr>
          </w:p>
        </w:tc>
        <w:tc>
          <w:tcPr>
            <w:tcW w:w="460" w:type="dxa"/>
            <w:vMerge/>
            <w:vAlign w:val="bottom"/>
          </w:tcPr>
          <w:p w:rsidR="00AC12B4" w:rsidRDefault="00AC12B4">
            <w:pPr>
              <w:rPr>
                <w:sz w:val="13"/>
                <w:szCs w:val="13"/>
              </w:rPr>
            </w:pPr>
          </w:p>
        </w:tc>
        <w:tc>
          <w:tcPr>
            <w:tcW w:w="600" w:type="dxa"/>
            <w:vAlign w:val="bottom"/>
          </w:tcPr>
          <w:p w:rsidR="00AC12B4" w:rsidRDefault="00AC12B4">
            <w:pPr>
              <w:rPr>
                <w:sz w:val="13"/>
                <w:szCs w:val="13"/>
              </w:rPr>
            </w:pPr>
          </w:p>
        </w:tc>
        <w:tc>
          <w:tcPr>
            <w:tcW w:w="4680" w:type="dxa"/>
            <w:gridSpan w:val="15"/>
            <w:vMerge w:val="restart"/>
            <w:vAlign w:val="bottom"/>
          </w:tcPr>
          <w:p w:rsidR="00AC12B4" w:rsidRDefault="00C27636">
            <w:pPr>
              <w:rPr>
                <w:sz w:val="20"/>
                <w:szCs w:val="20"/>
              </w:rPr>
            </w:pPr>
            <w:r>
              <w:rPr>
                <w:rFonts w:ascii="Calibri" w:eastAsia="Calibri" w:hAnsi="Calibri" w:cs="Calibri"/>
              </w:rPr>
              <w:t>Wallonie-Bruxelles, près de 6 jeunes sur 10</w:t>
            </w:r>
          </w:p>
        </w:tc>
        <w:tc>
          <w:tcPr>
            <w:tcW w:w="0" w:type="dxa"/>
            <w:vAlign w:val="bottom"/>
          </w:tcPr>
          <w:p w:rsidR="00AC12B4" w:rsidRDefault="00AC12B4">
            <w:pPr>
              <w:rPr>
                <w:sz w:val="1"/>
                <w:szCs w:val="1"/>
              </w:rPr>
            </w:pPr>
          </w:p>
        </w:tc>
      </w:tr>
      <w:tr w:rsidR="00AC12B4">
        <w:trPr>
          <w:trHeight w:val="108"/>
        </w:trPr>
        <w:tc>
          <w:tcPr>
            <w:tcW w:w="5000" w:type="dxa"/>
            <w:gridSpan w:val="7"/>
            <w:vMerge w:val="restart"/>
            <w:vAlign w:val="bottom"/>
          </w:tcPr>
          <w:p w:rsidR="00AC12B4" w:rsidRDefault="00C27636">
            <w:pPr>
              <w:ind w:left="1460"/>
              <w:rPr>
                <w:sz w:val="20"/>
                <w:szCs w:val="20"/>
              </w:rPr>
            </w:pPr>
            <w:r>
              <w:rPr>
                <w:rFonts w:ascii="Calibri" w:eastAsia="Calibri" w:hAnsi="Calibri" w:cs="Calibri"/>
              </w:rPr>
              <w:t xml:space="preserve">concerne leurs perspectives </w:t>
            </w:r>
            <w:r>
              <w:rPr>
                <w:rFonts w:ascii="Calibri" w:eastAsia="Calibri" w:hAnsi="Calibri" w:cs="Calibri"/>
              </w:rPr>
              <w:lastRenderedPageBreak/>
              <w:t>d’avenir.</w:t>
            </w:r>
          </w:p>
        </w:tc>
        <w:tc>
          <w:tcPr>
            <w:tcW w:w="460" w:type="dxa"/>
            <w:vAlign w:val="bottom"/>
          </w:tcPr>
          <w:p w:rsidR="00AC12B4" w:rsidRDefault="00AC12B4">
            <w:pPr>
              <w:rPr>
                <w:sz w:val="9"/>
                <w:szCs w:val="9"/>
              </w:rPr>
            </w:pPr>
          </w:p>
        </w:tc>
        <w:tc>
          <w:tcPr>
            <w:tcW w:w="600" w:type="dxa"/>
            <w:vAlign w:val="bottom"/>
          </w:tcPr>
          <w:p w:rsidR="00AC12B4" w:rsidRDefault="00AC12B4">
            <w:pPr>
              <w:rPr>
                <w:sz w:val="9"/>
                <w:szCs w:val="9"/>
              </w:rPr>
            </w:pPr>
          </w:p>
        </w:tc>
        <w:tc>
          <w:tcPr>
            <w:tcW w:w="4680" w:type="dxa"/>
            <w:gridSpan w:val="15"/>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1"/>
        </w:trPr>
        <w:tc>
          <w:tcPr>
            <w:tcW w:w="5000" w:type="dxa"/>
            <w:gridSpan w:val="7"/>
            <w:vMerge/>
            <w:vAlign w:val="bottom"/>
          </w:tcPr>
          <w:p w:rsidR="00AC12B4" w:rsidRDefault="00AC12B4">
            <w:pPr>
              <w:rPr>
                <w:sz w:val="13"/>
                <w:szCs w:val="13"/>
              </w:rPr>
            </w:pPr>
          </w:p>
        </w:tc>
        <w:tc>
          <w:tcPr>
            <w:tcW w:w="460" w:type="dxa"/>
            <w:vAlign w:val="bottom"/>
          </w:tcPr>
          <w:p w:rsidR="00AC12B4" w:rsidRDefault="00AC12B4">
            <w:pPr>
              <w:rPr>
                <w:sz w:val="13"/>
                <w:szCs w:val="13"/>
              </w:rPr>
            </w:pPr>
          </w:p>
        </w:tc>
        <w:tc>
          <w:tcPr>
            <w:tcW w:w="600" w:type="dxa"/>
            <w:vAlign w:val="bottom"/>
          </w:tcPr>
          <w:p w:rsidR="00AC12B4" w:rsidRDefault="00AC12B4">
            <w:pPr>
              <w:rPr>
                <w:sz w:val="13"/>
                <w:szCs w:val="13"/>
              </w:rPr>
            </w:pPr>
          </w:p>
        </w:tc>
        <w:tc>
          <w:tcPr>
            <w:tcW w:w="4680" w:type="dxa"/>
            <w:gridSpan w:val="15"/>
            <w:vMerge w:val="restart"/>
            <w:vAlign w:val="bottom"/>
          </w:tcPr>
          <w:p w:rsidR="00AC12B4" w:rsidRDefault="00C27636">
            <w:pPr>
              <w:rPr>
                <w:sz w:val="20"/>
                <w:szCs w:val="20"/>
              </w:rPr>
            </w:pPr>
            <w:r>
              <w:rPr>
                <w:rFonts w:ascii="Calibri" w:eastAsia="Calibri" w:hAnsi="Calibri" w:cs="Calibri"/>
              </w:rPr>
              <w:t xml:space="preserve">(56,7%) rapportent qu'ils ont </w:t>
            </w:r>
            <w:r>
              <w:rPr>
                <w:rFonts w:ascii="Calibri" w:eastAsia="Calibri" w:hAnsi="Calibri" w:cs="Calibri"/>
              </w:rPr>
              <w:lastRenderedPageBreak/>
              <w:t>toujours ou</w:t>
            </w:r>
          </w:p>
        </w:tc>
        <w:tc>
          <w:tcPr>
            <w:tcW w:w="0" w:type="dxa"/>
            <w:vAlign w:val="bottom"/>
          </w:tcPr>
          <w:p w:rsidR="00AC12B4" w:rsidRDefault="00AC12B4">
            <w:pPr>
              <w:rPr>
                <w:sz w:val="1"/>
                <w:szCs w:val="1"/>
              </w:rPr>
            </w:pPr>
          </w:p>
        </w:tc>
      </w:tr>
      <w:tr w:rsidR="00AC12B4">
        <w:trPr>
          <w:trHeight w:val="108"/>
        </w:trPr>
        <w:tc>
          <w:tcPr>
            <w:tcW w:w="1980" w:type="dxa"/>
            <w:vAlign w:val="bottom"/>
          </w:tcPr>
          <w:p w:rsidR="00AC12B4" w:rsidRDefault="00AC12B4">
            <w:pPr>
              <w:rPr>
                <w:sz w:val="9"/>
                <w:szCs w:val="9"/>
              </w:rPr>
            </w:pPr>
          </w:p>
        </w:tc>
        <w:tc>
          <w:tcPr>
            <w:tcW w:w="54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106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600" w:type="dxa"/>
            <w:vAlign w:val="bottom"/>
          </w:tcPr>
          <w:p w:rsidR="00AC12B4" w:rsidRDefault="00AC12B4">
            <w:pPr>
              <w:rPr>
                <w:sz w:val="9"/>
                <w:szCs w:val="9"/>
              </w:rPr>
            </w:pPr>
          </w:p>
        </w:tc>
        <w:tc>
          <w:tcPr>
            <w:tcW w:w="4680" w:type="dxa"/>
            <w:gridSpan w:val="15"/>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81"/>
        </w:trPr>
        <w:tc>
          <w:tcPr>
            <w:tcW w:w="5460" w:type="dxa"/>
            <w:gridSpan w:val="8"/>
            <w:vAlign w:val="bottom"/>
          </w:tcPr>
          <w:p w:rsidR="00AC12B4" w:rsidRDefault="00C27636">
            <w:pPr>
              <w:ind w:left="1460"/>
              <w:rPr>
                <w:sz w:val="20"/>
                <w:szCs w:val="20"/>
              </w:rPr>
            </w:pPr>
            <w:r>
              <w:rPr>
                <w:rFonts w:ascii="Calibri" w:eastAsia="Calibri" w:hAnsi="Calibri" w:cs="Calibri"/>
              </w:rPr>
              <w:t>Tant   l'enseignement   que   le   projet</w:t>
            </w:r>
          </w:p>
        </w:tc>
        <w:tc>
          <w:tcPr>
            <w:tcW w:w="600" w:type="dxa"/>
            <w:vAlign w:val="bottom"/>
          </w:tcPr>
          <w:p w:rsidR="00AC12B4" w:rsidRDefault="00AC12B4">
            <w:pPr>
              <w:rPr>
                <w:sz w:val="24"/>
                <w:szCs w:val="24"/>
              </w:rPr>
            </w:pPr>
          </w:p>
        </w:tc>
        <w:tc>
          <w:tcPr>
            <w:tcW w:w="4680" w:type="dxa"/>
            <w:gridSpan w:val="15"/>
            <w:vAlign w:val="bottom"/>
          </w:tcPr>
          <w:p w:rsidR="00AC12B4" w:rsidRDefault="00C27636">
            <w:pPr>
              <w:rPr>
                <w:sz w:val="20"/>
                <w:szCs w:val="20"/>
              </w:rPr>
            </w:pPr>
            <w:r>
              <w:rPr>
                <w:rFonts w:ascii="Calibri" w:eastAsia="Calibri" w:hAnsi="Calibri" w:cs="Calibri"/>
              </w:rPr>
              <w:t>souvent confiance en eux et un jeune sur</w:t>
            </w:r>
          </w:p>
        </w:tc>
        <w:tc>
          <w:tcPr>
            <w:tcW w:w="0" w:type="dxa"/>
            <w:vAlign w:val="bottom"/>
          </w:tcPr>
          <w:p w:rsidR="00AC12B4" w:rsidRDefault="00AC12B4">
            <w:pPr>
              <w:rPr>
                <w:sz w:val="1"/>
                <w:szCs w:val="1"/>
              </w:rPr>
            </w:pPr>
          </w:p>
        </w:tc>
      </w:tr>
      <w:tr w:rsidR="00AC12B4">
        <w:trPr>
          <w:trHeight w:val="269"/>
        </w:trPr>
        <w:tc>
          <w:tcPr>
            <w:tcW w:w="5460" w:type="dxa"/>
            <w:gridSpan w:val="8"/>
            <w:vAlign w:val="bottom"/>
          </w:tcPr>
          <w:p w:rsidR="00AC12B4" w:rsidRDefault="00C27636">
            <w:pPr>
              <w:ind w:left="1460"/>
              <w:rPr>
                <w:sz w:val="20"/>
                <w:szCs w:val="20"/>
              </w:rPr>
            </w:pPr>
            <w:r>
              <w:rPr>
                <w:rFonts w:ascii="Calibri" w:eastAsia="Calibri" w:hAnsi="Calibri" w:cs="Calibri"/>
              </w:rPr>
              <w:t>(pédagogique) d'institutions et de services</w:t>
            </w:r>
          </w:p>
        </w:tc>
        <w:tc>
          <w:tcPr>
            <w:tcW w:w="600" w:type="dxa"/>
            <w:vAlign w:val="bottom"/>
          </w:tcPr>
          <w:p w:rsidR="00AC12B4" w:rsidRDefault="00AC12B4">
            <w:pPr>
              <w:rPr>
                <w:sz w:val="23"/>
                <w:szCs w:val="23"/>
              </w:rPr>
            </w:pPr>
          </w:p>
        </w:tc>
        <w:tc>
          <w:tcPr>
            <w:tcW w:w="4680" w:type="dxa"/>
            <w:gridSpan w:val="15"/>
            <w:vAlign w:val="bottom"/>
          </w:tcPr>
          <w:p w:rsidR="00AC12B4" w:rsidRDefault="00C27636">
            <w:pPr>
              <w:spacing w:line="257" w:lineRule="exact"/>
              <w:rPr>
                <w:sz w:val="20"/>
                <w:szCs w:val="20"/>
              </w:rPr>
            </w:pPr>
            <w:r>
              <w:rPr>
                <w:rFonts w:ascii="Calibri" w:eastAsia="Calibri" w:hAnsi="Calibri" w:cs="Calibri"/>
              </w:rPr>
              <w:t>six (16,2%) rapporte qu'il n'a jamais ou</w:t>
            </w:r>
          </w:p>
        </w:tc>
        <w:tc>
          <w:tcPr>
            <w:tcW w:w="0" w:type="dxa"/>
            <w:vAlign w:val="bottom"/>
          </w:tcPr>
          <w:p w:rsidR="00AC12B4" w:rsidRDefault="00AC12B4">
            <w:pPr>
              <w:rPr>
                <w:sz w:val="1"/>
                <w:szCs w:val="1"/>
              </w:rPr>
            </w:pPr>
          </w:p>
        </w:tc>
      </w:tr>
      <w:tr w:rsidR="00AC12B4">
        <w:trPr>
          <w:trHeight w:val="269"/>
        </w:trPr>
        <w:tc>
          <w:tcPr>
            <w:tcW w:w="5460" w:type="dxa"/>
            <w:gridSpan w:val="8"/>
            <w:vAlign w:val="bottom"/>
          </w:tcPr>
          <w:p w:rsidR="00AC12B4" w:rsidRDefault="00C27636">
            <w:pPr>
              <w:ind w:left="1460"/>
              <w:rPr>
                <w:sz w:val="20"/>
                <w:szCs w:val="20"/>
              </w:rPr>
            </w:pPr>
            <w:r>
              <w:rPr>
                <w:rFonts w:ascii="Calibri" w:eastAsia="Calibri" w:hAnsi="Calibri" w:cs="Calibri"/>
              </w:rPr>
              <w:t xml:space="preserve">au sein de l'aide à la </w:t>
            </w:r>
            <w:r>
              <w:rPr>
                <w:rFonts w:ascii="Calibri" w:eastAsia="Calibri" w:hAnsi="Calibri" w:cs="Calibri"/>
              </w:rPr>
              <w:t>jeunesse et d'autres</w:t>
            </w:r>
          </w:p>
        </w:tc>
        <w:tc>
          <w:tcPr>
            <w:tcW w:w="600" w:type="dxa"/>
            <w:vAlign w:val="bottom"/>
          </w:tcPr>
          <w:p w:rsidR="00AC12B4" w:rsidRDefault="00AC12B4">
            <w:pPr>
              <w:rPr>
                <w:sz w:val="23"/>
                <w:szCs w:val="23"/>
              </w:rPr>
            </w:pPr>
          </w:p>
        </w:tc>
        <w:tc>
          <w:tcPr>
            <w:tcW w:w="1200" w:type="dxa"/>
            <w:gridSpan w:val="3"/>
            <w:vAlign w:val="bottom"/>
          </w:tcPr>
          <w:p w:rsidR="00AC12B4" w:rsidRDefault="00C27636">
            <w:pPr>
              <w:spacing w:line="258" w:lineRule="exact"/>
              <w:rPr>
                <w:sz w:val="20"/>
                <w:szCs w:val="20"/>
              </w:rPr>
            </w:pPr>
            <w:r>
              <w:rPr>
                <w:rFonts w:ascii="Calibri" w:eastAsia="Calibri" w:hAnsi="Calibri" w:cs="Calibri"/>
              </w:rPr>
              <w:t>rarement</w:t>
            </w:r>
          </w:p>
        </w:tc>
        <w:tc>
          <w:tcPr>
            <w:tcW w:w="120" w:type="dxa"/>
            <w:vAlign w:val="bottom"/>
          </w:tcPr>
          <w:p w:rsidR="00AC12B4" w:rsidRDefault="00AC12B4">
            <w:pPr>
              <w:rPr>
                <w:sz w:val="23"/>
                <w:szCs w:val="23"/>
              </w:rPr>
            </w:pPr>
          </w:p>
        </w:tc>
        <w:tc>
          <w:tcPr>
            <w:tcW w:w="1000" w:type="dxa"/>
            <w:gridSpan w:val="5"/>
            <w:vAlign w:val="bottom"/>
          </w:tcPr>
          <w:p w:rsidR="00AC12B4" w:rsidRDefault="00C27636">
            <w:pPr>
              <w:spacing w:line="258" w:lineRule="exact"/>
              <w:ind w:left="80"/>
              <w:rPr>
                <w:sz w:val="20"/>
                <w:szCs w:val="20"/>
              </w:rPr>
            </w:pPr>
            <w:r>
              <w:rPr>
                <w:rFonts w:ascii="Calibri" w:eastAsia="Calibri" w:hAnsi="Calibri" w:cs="Calibri"/>
              </w:rPr>
              <w:t>confiance</w:t>
            </w:r>
          </w:p>
        </w:tc>
        <w:tc>
          <w:tcPr>
            <w:tcW w:w="300" w:type="dxa"/>
            <w:vAlign w:val="bottom"/>
          </w:tcPr>
          <w:p w:rsidR="00AC12B4" w:rsidRDefault="00AC12B4">
            <w:pPr>
              <w:rPr>
                <w:sz w:val="23"/>
                <w:szCs w:val="23"/>
              </w:rPr>
            </w:pPr>
          </w:p>
        </w:tc>
        <w:tc>
          <w:tcPr>
            <w:tcW w:w="560" w:type="dxa"/>
            <w:gridSpan w:val="3"/>
            <w:vAlign w:val="bottom"/>
          </w:tcPr>
          <w:p w:rsidR="00AC12B4" w:rsidRDefault="00C27636">
            <w:pPr>
              <w:spacing w:line="258" w:lineRule="exact"/>
              <w:ind w:left="200"/>
              <w:rPr>
                <w:sz w:val="20"/>
                <w:szCs w:val="20"/>
              </w:rPr>
            </w:pPr>
            <w:r>
              <w:rPr>
                <w:rFonts w:ascii="Calibri" w:eastAsia="Calibri" w:hAnsi="Calibri" w:cs="Calibri"/>
              </w:rPr>
              <w:t>en</w:t>
            </w:r>
          </w:p>
        </w:tc>
        <w:tc>
          <w:tcPr>
            <w:tcW w:w="300" w:type="dxa"/>
            <w:vAlign w:val="bottom"/>
          </w:tcPr>
          <w:p w:rsidR="00AC12B4" w:rsidRDefault="00AC12B4">
            <w:pPr>
              <w:rPr>
                <w:sz w:val="23"/>
                <w:szCs w:val="23"/>
              </w:rPr>
            </w:pPr>
          </w:p>
        </w:tc>
        <w:tc>
          <w:tcPr>
            <w:tcW w:w="1200" w:type="dxa"/>
            <w:vAlign w:val="bottom"/>
          </w:tcPr>
          <w:p w:rsidR="00AC12B4" w:rsidRDefault="00C27636">
            <w:pPr>
              <w:spacing w:line="258" w:lineRule="exact"/>
              <w:ind w:right="710"/>
              <w:jc w:val="right"/>
              <w:rPr>
                <w:sz w:val="20"/>
                <w:szCs w:val="20"/>
              </w:rPr>
            </w:pPr>
            <w:r>
              <w:rPr>
                <w:rFonts w:ascii="Calibri" w:eastAsia="Calibri" w:hAnsi="Calibri" w:cs="Calibri"/>
              </w:rPr>
              <w:t>lui.</w:t>
            </w:r>
          </w:p>
        </w:tc>
        <w:tc>
          <w:tcPr>
            <w:tcW w:w="0" w:type="dxa"/>
            <w:vAlign w:val="bottom"/>
          </w:tcPr>
          <w:p w:rsidR="00AC12B4" w:rsidRDefault="00AC12B4">
            <w:pPr>
              <w:rPr>
                <w:sz w:val="1"/>
                <w:szCs w:val="1"/>
              </w:rPr>
            </w:pPr>
          </w:p>
        </w:tc>
      </w:tr>
      <w:tr w:rsidR="00AC12B4">
        <w:trPr>
          <w:trHeight w:val="269"/>
        </w:trPr>
        <w:tc>
          <w:tcPr>
            <w:tcW w:w="5460" w:type="dxa"/>
            <w:gridSpan w:val="8"/>
            <w:vAlign w:val="bottom"/>
          </w:tcPr>
          <w:p w:rsidR="00AC12B4" w:rsidRDefault="00C27636">
            <w:pPr>
              <w:ind w:left="1460"/>
              <w:rPr>
                <w:sz w:val="20"/>
                <w:szCs w:val="20"/>
              </w:rPr>
            </w:pPr>
            <w:r>
              <w:rPr>
                <w:rFonts w:ascii="Calibri" w:eastAsia="Calibri" w:hAnsi="Calibri" w:cs="Calibri"/>
              </w:rPr>
              <w:t>services  créés  par,  ou  bénéficiant  de</w:t>
            </w:r>
          </w:p>
        </w:tc>
        <w:tc>
          <w:tcPr>
            <w:tcW w:w="60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2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5460" w:type="dxa"/>
            <w:gridSpan w:val="8"/>
            <w:vAlign w:val="bottom"/>
          </w:tcPr>
          <w:p w:rsidR="00AC12B4" w:rsidRDefault="00C27636">
            <w:pPr>
              <w:ind w:left="1460"/>
              <w:rPr>
                <w:sz w:val="20"/>
                <w:szCs w:val="20"/>
              </w:rPr>
            </w:pPr>
            <w:r>
              <w:rPr>
                <w:rFonts w:ascii="Calibri" w:eastAsia="Calibri" w:hAnsi="Calibri" w:cs="Calibri"/>
              </w:rPr>
              <w:t>l'appui d'une autorité (exemple : Fedasil,</w:t>
            </w:r>
          </w:p>
        </w:tc>
        <w:tc>
          <w:tcPr>
            <w:tcW w:w="60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2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5460" w:type="dxa"/>
            <w:gridSpan w:val="8"/>
            <w:vAlign w:val="bottom"/>
          </w:tcPr>
          <w:p w:rsidR="00AC12B4" w:rsidRDefault="00C27636">
            <w:pPr>
              <w:ind w:left="1460"/>
              <w:rPr>
                <w:sz w:val="20"/>
                <w:szCs w:val="20"/>
              </w:rPr>
            </w:pPr>
            <w:r>
              <w:rPr>
                <w:rFonts w:ascii="Calibri" w:eastAsia="Calibri" w:hAnsi="Calibri" w:cs="Calibri"/>
              </w:rPr>
              <w:t>service  des  Tutelles  pour  les  mineurs</w:t>
            </w:r>
          </w:p>
        </w:tc>
        <w:tc>
          <w:tcPr>
            <w:tcW w:w="60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2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2520" w:type="dxa"/>
            <w:gridSpan w:val="2"/>
            <w:vAlign w:val="bottom"/>
          </w:tcPr>
          <w:p w:rsidR="00AC12B4" w:rsidRDefault="00C27636">
            <w:pPr>
              <w:ind w:left="1460"/>
              <w:rPr>
                <w:sz w:val="20"/>
                <w:szCs w:val="20"/>
              </w:rPr>
            </w:pPr>
            <w:r>
              <w:rPr>
                <w:rFonts w:ascii="Calibri" w:eastAsia="Calibri" w:hAnsi="Calibri" w:cs="Calibri"/>
              </w:rPr>
              <w:t>étra</w:t>
            </w:r>
            <w:r>
              <w:rPr>
                <w:rFonts w:ascii="Calibri" w:eastAsia="Calibri" w:hAnsi="Calibri" w:cs="Calibri"/>
              </w:rPr>
              <w:lastRenderedPageBreak/>
              <w:t>ngers</w:t>
            </w:r>
          </w:p>
        </w:tc>
        <w:tc>
          <w:tcPr>
            <w:tcW w:w="660" w:type="dxa"/>
            <w:gridSpan w:val="2"/>
            <w:vAlign w:val="bottom"/>
          </w:tcPr>
          <w:p w:rsidR="00AC12B4" w:rsidRDefault="00C27636">
            <w:pPr>
              <w:ind w:left="60"/>
              <w:rPr>
                <w:sz w:val="20"/>
                <w:szCs w:val="20"/>
              </w:rPr>
            </w:pPr>
            <w:r>
              <w:rPr>
                <w:rFonts w:ascii="Calibri" w:eastAsia="Calibri" w:hAnsi="Calibri" w:cs="Calibri"/>
              </w:rPr>
              <w:lastRenderedPageBreak/>
              <w:t>non</w:t>
            </w:r>
          </w:p>
        </w:tc>
        <w:tc>
          <w:tcPr>
            <w:tcW w:w="1440" w:type="dxa"/>
            <w:gridSpan w:val="2"/>
            <w:vAlign w:val="bottom"/>
          </w:tcPr>
          <w:p w:rsidR="00AC12B4" w:rsidRDefault="00C27636">
            <w:pPr>
              <w:ind w:right="50"/>
              <w:jc w:val="right"/>
              <w:rPr>
                <w:sz w:val="20"/>
                <w:szCs w:val="20"/>
              </w:rPr>
            </w:pPr>
            <w:r>
              <w:rPr>
                <w:rFonts w:ascii="Calibri" w:eastAsia="Calibri" w:hAnsi="Calibri" w:cs="Calibri"/>
                <w:w w:val="98"/>
              </w:rPr>
              <w:t>accompagnés,</w:t>
            </w:r>
          </w:p>
        </w:tc>
        <w:tc>
          <w:tcPr>
            <w:tcW w:w="840" w:type="dxa"/>
            <w:gridSpan w:val="2"/>
            <w:vAlign w:val="bottom"/>
          </w:tcPr>
          <w:p w:rsidR="00AC12B4" w:rsidRDefault="00C27636">
            <w:pPr>
              <w:ind w:right="10"/>
              <w:jc w:val="right"/>
              <w:rPr>
                <w:sz w:val="20"/>
                <w:szCs w:val="20"/>
              </w:rPr>
            </w:pPr>
            <w:r>
              <w:rPr>
                <w:rFonts w:ascii="Calibri" w:eastAsia="Calibri" w:hAnsi="Calibri" w:cs="Calibri"/>
              </w:rPr>
              <w:t>service</w:t>
            </w:r>
          </w:p>
        </w:tc>
        <w:tc>
          <w:tcPr>
            <w:tcW w:w="60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2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6"/>
        </w:trPr>
        <w:tc>
          <w:tcPr>
            <w:tcW w:w="5460" w:type="dxa"/>
            <w:gridSpan w:val="8"/>
            <w:vAlign w:val="bottom"/>
          </w:tcPr>
          <w:p w:rsidR="00AC12B4" w:rsidRDefault="00C27636">
            <w:pPr>
              <w:spacing w:line="267" w:lineRule="exact"/>
              <w:ind w:left="1460"/>
              <w:rPr>
                <w:sz w:val="20"/>
                <w:szCs w:val="20"/>
              </w:rPr>
            </w:pPr>
            <w:r>
              <w:rPr>
                <w:rFonts w:ascii="Calibri" w:eastAsia="Calibri" w:hAnsi="Calibri" w:cs="Calibri"/>
              </w:rPr>
              <w:lastRenderedPageBreak/>
              <w:t>MINTEH  de  l'Office  des  étrangers,  SPP</w:t>
            </w:r>
          </w:p>
        </w:tc>
        <w:tc>
          <w:tcPr>
            <w:tcW w:w="60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2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2520" w:type="dxa"/>
            <w:gridSpan w:val="2"/>
            <w:vAlign w:val="bottom"/>
          </w:tcPr>
          <w:p w:rsidR="00AC12B4" w:rsidRDefault="00C27636">
            <w:pPr>
              <w:ind w:left="1460"/>
              <w:rPr>
                <w:sz w:val="20"/>
                <w:szCs w:val="20"/>
              </w:rPr>
            </w:pPr>
            <w:r>
              <w:rPr>
                <w:rFonts w:ascii="Calibri" w:eastAsia="Calibri" w:hAnsi="Calibri" w:cs="Calibri"/>
              </w:rPr>
              <w:t>Intégration</w:t>
            </w:r>
          </w:p>
        </w:tc>
        <w:tc>
          <w:tcPr>
            <w:tcW w:w="2480" w:type="dxa"/>
            <w:gridSpan w:val="5"/>
            <w:vAlign w:val="bottom"/>
          </w:tcPr>
          <w:p w:rsidR="00AC12B4" w:rsidRDefault="00C27636">
            <w:pPr>
              <w:ind w:left="60"/>
              <w:rPr>
                <w:sz w:val="20"/>
                <w:szCs w:val="20"/>
              </w:rPr>
            </w:pPr>
            <w:r>
              <w:rPr>
                <w:rFonts w:ascii="Calibri" w:eastAsia="Calibri" w:hAnsi="Calibri" w:cs="Calibri"/>
              </w:rPr>
              <w:t>sociale) doivent soutenir</w:t>
            </w:r>
          </w:p>
        </w:tc>
        <w:tc>
          <w:tcPr>
            <w:tcW w:w="460" w:type="dxa"/>
            <w:vAlign w:val="bottom"/>
          </w:tcPr>
          <w:p w:rsidR="00AC12B4" w:rsidRDefault="00C27636">
            <w:pPr>
              <w:ind w:right="10"/>
              <w:jc w:val="right"/>
              <w:rPr>
                <w:sz w:val="20"/>
                <w:szCs w:val="20"/>
              </w:rPr>
            </w:pPr>
            <w:r>
              <w:rPr>
                <w:rFonts w:ascii="Calibri" w:eastAsia="Calibri" w:hAnsi="Calibri" w:cs="Calibri"/>
              </w:rPr>
              <w:t>le</w:t>
            </w:r>
          </w:p>
        </w:tc>
        <w:tc>
          <w:tcPr>
            <w:tcW w:w="60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2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16"/>
        </w:trPr>
        <w:tc>
          <w:tcPr>
            <w:tcW w:w="5460" w:type="dxa"/>
            <w:gridSpan w:val="8"/>
            <w:vMerge w:val="restart"/>
            <w:vAlign w:val="bottom"/>
          </w:tcPr>
          <w:p w:rsidR="00AC12B4" w:rsidRDefault="00C27636">
            <w:pPr>
              <w:ind w:left="1460"/>
              <w:rPr>
                <w:sz w:val="20"/>
                <w:szCs w:val="20"/>
              </w:rPr>
            </w:pPr>
            <w:r>
              <w:rPr>
                <w:rFonts w:ascii="Calibri" w:eastAsia="Calibri" w:hAnsi="Calibri" w:cs="Calibri"/>
              </w:rPr>
              <w:t>jeune  dans  sa  construction  de  projets</w:t>
            </w:r>
          </w:p>
        </w:tc>
        <w:tc>
          <w:tcPr>
            <w:tcW w:w="600" w:type="dxa"/>
            <w:vAlign w:val="bottom"/>
          </w:tcPr>
          <w:p w:rsidR="00AC12B4" w:rsidRDefault="00AC12B4">
            <w:pPr>
              <w:rPr>
                <w:sz w:val="10"/>
                <w:szCs w:val="10"/>
              </w:rPr>
            </w:pPr>
          </w:p>
        </w:tc>
        <w:tc>
          <w:tcPr>
            <w:tcW w:w="120" w:type="dxa"/>
            <w:tcBorders>
              <w:bottom w:val="single" w:sz="8" w:space="0" w:color="auto"/>
            </w:tcBorders>
            <w:vAlign w:val="bottom"/>
          </w:tcPr>
          <w:p w:rsidR="00AC12B4" w:rsidRDefault="00AC12B4">
            <w:pPr>
              <w:rPr>
                <w:sz w:val="10"/>
                <w:szCs w:val="10"/>
              </w:rPr>
            </w:pPr>
          </w:p>
        </w:tc>
        <w:tc>
          <w:tcPr>
            <w:tcW w:w="320" w:type="dxa"/>
            <w:tcBorders>
              <w:bottom w:val="single" w:sz="8" w:space="0" w:color="auto"/>
            </w:tcBorders>
            <w:vAlign w:val="bottom"/>
          </w:tcPr>
          <w:p w:rsidR="00AC12B4" w:rsidRDefault="00AC12B4">
            <w:pPr>
              <w:rPr>
                <w:sz w:val="10"/>
                <w:szCs w:val="10"/>
              </w:rPr>
            </w:pPr>
          </w:p>
        </w:tc>
        <w:tc>
          <w:tcPr>
            <w:tcW w:w="760" w:type="dxa"/>
            <w:tcBorders>
              <w:bottom w:val="single" w:sz="8" w:space="0" w:color="auto"/>
            </w:tcBorders>
            <w:vAlign w:val="bottom"/>
          </w:tcPr>
          <w:p w:rsidR="00AC12B4" w:rsidRDefault="00AC12B4">
            <w:pPr>
              <w:rPr>
                <w:sz w:val="10"/>
                <w:szCs w:val="10"/>
              </w:rPr>
            </w:pPr>
          </w:p>
        </w:tc>
        <w:tc>
          <w:tcPr>
            <w:tcW w:w="120" w:type="dxa"/>
            <w:tcBorders>
              <w:bottom w:val="single" w:sz="8" w:space="0" w:color="auto"/>
            </w:tcBorders>
            <w:vAlign w:val="bottom"/>
          </w:tcPr>
          <w:p w:rsidR="00AC12B4" w:rsidRDefault="00AC12B4">
            <w:pPr>
              <w:rPr>
                <w:sz w:val="10"/>
                <w:szCs w:val="10"/>
              </w:rPr>
            </w:pPr>
          </w:p>
        </w:tc>
        <w:tc>
          <w:tcPr>
            <w:tcW w:w="100" w:type="dxa"/>
            <w:tcBorders>
              <w:bottom w:val="single" w:sz="8" w:space="0" w:color="auto"/>
            </w:tcBorders>
            <w:vAlign w:val="bottom"/>
          </w:tcPr>
          <w:p w:rsidR="00AC12B4" w:rsidRDefault="00AC12B4">
            <w:pPr>
              <w:rPr>
                <w:sz w:val="10"/>
                <w:szCs w:val="10"/>
              </w:rPr>
            </w:pPr>
          </w:p>
        </w:tc>
        <w:tc>
          <w:tcPr>
            <w:tcW w:w="380" w:type="dxa"/>
            <w:tcBorders>
              <w:bottom w:val="single" w:sz="8" w:space="0" w:color="auto"/>
            </w:tcBorders>
            <w:vAlign w:val="bottom"/>
          </w:tcPr>
          <w:p w:rsidR="00AC12B4" w:rsidRDefault="00AC12B4">
            <w:pPr>
              <w:rPr>
                <w:sz w:val="10"/>
                <w:szCs w:val="10"/>
              </w:rPr>
            </w:pPr>
          </w:p>
        </w:tc>
        <w:tc>
          <w:tcPr>
            <w:tcW w:w="100" w:type="dxa"/>
            <w:tcBorders>
              <w:bottom w:val="single" w:sz="8" w:space="0" w:color="auto"/>
            </w:tcBorders>
            <w:vAlign w:val="bottom"/>
          </w:tcPr>
          <w:p w:rsidR="00AC12B4" w:rsidRDefault="00AC12B4">
            <w:pPr>
              <w:rPr>
                <w:sz w:val="10"/>
                <w:szCs w:val="10"/>
              </w:rPr>
            </w:pPr>
          </w:p>
        </w:tc>
        <w:tc>
          <w:tcPr>
            <w:tcW w:w="140" w:type="dxa"/>
            <w:tcBorders>
              <w:bottom w:val="single" w:sz="8" w:space="0" w:color="auto"/>
            </w:tcBorders>
            <w:vAlign w:val="bottom"/>
          </w:tcPr>
          <w:p w:rsidR="00AC12B4" w:rsidRDefault="00AC12B4">
            <w:pPr>
              <w:rPr>
                <w:sz w:val="10"/>
                <w:szCs w:val="10"/>
              </w:rPr>
            </w:pPr>
          </w:p>
        </w:tc>
        <w:tc>
          <w:tcPr>
            <w:tcW w:w="280" w:type="dxa"/>
            <w:tcBorders>
              <w:bottom w:val="single" w:sz="8" w:space="0" w:color="auto"/>
            </w:tcBorders>
            <w:vAlign w:val="bottom"/>
          </w:tcPr>
          <w:p w:rsidR="00AC12B4" w:rsidRDefault="00AC12B4">
            <w:pPr>
              <w:rPr>
                <w:sz w:val="10"/>
                <w:szCs w:val="10"/>
              </w:rPr>
            </w:pPr>
          </w:p>
        </w:tc>
        <w:tc>
          <w:tcPr>
            <w:tcW w:w="300" w:type="dxa"/>
            <w:tcBorders>
              <w:bottom w:val="single" w:sz="8" w:space="0" w:color="auto"/>
            </w:tcBorders>
            <w:vAlign w:val="bottom"/>
          </w:tcPr>
          <w:p w:rsidR="00AC12B4" w:rsidRDefault="00AC12B4">
            <w:pPr>
              <w:rPr>
                <w:sz w:val="10"/>
                <w:szCs w:val="10"/>
              </w:rPr>
            </w:pPr>
          </w:p>
        </w:tc>
        <w:tc>
          <w:tcPr>
            <w:tcW w:w="260" w:type="dxa"/>
            <w:tcBorders>
              <w:bottom w:val="single" w:sz="8" w:space="0" w:color="auto"/>
            </w:tcBorders>
            <w:vAlign w:val="bottom"/>
          </w:tcPr>
          <w:p w:rsidR="00AC12B4" w:rsidRDefault="00AC12B4">
            <w:pPr>
              <w:rPr>
                <w:sz w:val="10"/>
                <w:szCs w:val="10"/>
              </w:rPr>
            </w:pPr>
          </w:p>
        </w:tc>
        <w:tc>
          <w:tcPr>
            <w:tcW w:w="4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120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32"/>
        </w:trPr>
        <w:tc>
          <w:tcPr>
            <w:tcW w:w="5460" w:type="dxa"/>
            <w:gridSpan w:val="8"/>
            <w:vMerge/>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320" w:type="dxa"/>
            <w:vAlign w:val="bottom"/>
          </w:tcPr>
          <w:p w:rsidR="00AC12B4" w:rsidRDefault="00AC12B4">
            <w:pPr>
              <w:rPr>
                <w:sz w:val="11"/>
                <w:szCs w:val="11"/>
              </w:rPr>
            </w:pPr>
          </w:p>
        </w:tc>
        <w:tc>
          <w:tcPr>
            <w:tcW w:w="76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38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2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69"/>
        </w:trPr>
        <w:tc>
          <w:tcPr>
            <w:tcW w:w="2520" w:type="dxa"/>
            <w:gridSpan w:val="2"/>
            <w:vAlign w:val="bottom"/>
          </w:tcPr>
          <w:p w:rsidR="00AC12B4" w:rsidRDefault="00C27636">
            <w:pPr>
              <w:ind w:left="1460"/>
              <w:rPr>
                <w:sz w:val="20"/>
                <w:szCs w:val="20"/>
              </w:rPr>
            </w:pPr>
            <w:r>
              <w:rPr>
                <w:rFonts w:ascii="Calibri" w:eastAsia="Calibri" w:hAnsi="Calibri" w:cs="Calibri"/>
              </w:rPr>
              <w:t>d’</w:t>
            </w:r>
            <w:r>
              <w:rPr>
                <w:rFonts w:ascii="Calibri" w:eastAsia="Calibri" w:hAnsi="Calibri" w:cs="Calibri"/>
              </w:rPr>
              <w:lastRenderedPageBreak/>
              <w:t>avenir.</w:t>
            </w:r>
          </w:p>
        </w:tc>
        <w:tc>
          <w:tcPr>
            <w:tcW w:w="320" w:type="dxa"/>
            <w:vAlign w:val="bottom"/>
          </w:tcPr>
          <w:p w:rsidR="00AC12B4" w:rsidRDefault="00AC12B4">
            <w:pPr>
              <w:rPr>
                <w:sz w:val="23"/>
                <w:szCs w:val="23"/>
              </w:rPr>
            </w:pPr>
          </w:p>
        </w:tc>
        <w:tc>
          <w:tcPr>
            <w:tcW w:w="340" w:type="dxa"/>
            <w:vAlign w:val="bottom"/>
          </w:tcPr>
          <w:p w:rsidR="00AC12B4" w:rsidRDefault="00AC12B4">
            <w:pPr>
              <w:rPr>
                <w:sz w:val="23"/>
                <w:szCs w:val="23"/>
              </w:rPr>
            </w:pPr>
          </w:p>
        </w:tc>
        <w:tc>
          <w:tcPr>
            <w:tcW w:w="106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460" w:type="dxa"/>
            <w:vAlign w:val="bottom"/>
          </w:tcPr>
          <w:p w:rsidR="00AC12B4" w:rsidRDefault="00AC12B4">
            <w:pPr>
              <w:rPr>
                <w:sz w:val="23"/>
                <w:szCs w:val="23"/>
              </w:rPr>
            </w:pPr>
          </w:p>
        </w:tc>
        <w:tc>
          <w:tcPr>
            <w:tcW w:w="720" w:type="dxa"/>
            <w:gridSpan w:val="2"/>
            <w:vAlign w:val="bottom"/>
          </w:tcPr>
          <w:p w:rsidR="00AC12B4" w:rsidRDefault="00C27636">
            <w:pPr>
              <w:ind w:left="600"/>
              <w:rPr>
                <w:sz w:val="20"/>
                <w:szCs w:val="20"/>
              </w:rPr>
            </w:pPr>
            <w:r>
              <w:rPr>
                <w:rFonts w:ascii="Calibri" w:eastAsia="Calibri" w:hAnsi="Calibri" w:cs="Calibri"/>
                <w:sz w:val="13"/>
                <w:szCs w:val="13"/>
              </w:rPr>
              <w:t>1</w:t>
            </w:r>
          </w:p>
        </w:tc>
        <w:tc>
          <w:tcPr>
            <w:tcW w:w="1080" w:type="dxa"/>
            <w:gridSpan w:val="2"/>
            <w:vMerge w:val="restart"/>
            <w:vAlign w:val="bottom"/>
          </w:tcPr>
          <w:p w:rsidR="00AC12B4" w:rsidRDefault="00C27636">
            <w:pPr>
              <w:jc w:val="right"/>
              <w:rPr>
                <w:sz w:val="20"/>
                <w:szCs w:val="20"/>
              </w:rPr>
            </w:pPr>
            <w:r>
              <w:rPr>
                <w:rFonts w:ascii="Calibri" w:eastAsia="Calibri" w:hAnsi="Calibri" w:cs="Calibri"/>
                <w:sz w:val="20"/>
                <w:szCs w:val="20"/>
              </w:rPr>
              <w:t>Soit  parce</w:t>
            </w:r>
          </w:p>
        </w:tc>
        <w:tc>
          <w:tcPr>
            <w:tcW w:w="600" w:type="dxa"/>
            <w:gridSpan w:val="3"/>
            <w:vMerge w:val="restart"/>
            <w:vAlign w:val="bottom"/>
          </w:tcPr>
          <w:p w:rsidR="00AC12B4" w:rsidRDefault="00C27636">
            <w:pPr>
              <w:ind w:right="30"/>
              <w:jc w:val="right"/>
              <w:rPr>
                <w:sz w:val="20"/>
                <w:szCs w:val="20"/>
              </w:rPr>
            </w:pPr>
            <w:r>
              <w:rPr>
                <w:rFonts w:ascii="Calibri" w:eastAsia="Calibri" w:hAnsi="Calibri" w:cs="Calibri"/>
                <w:sz w:val="20"/>
                <w:szCs w:val="20"/>
              </w:rPr>
              <w:t>qu’ils</w:t>
            </w:r>
          </w:p>
        </w:tc>
        <w:tc>
          <w:tcPr>
            <w:tcW w:w="240" w:type="dxa"/>
            <w:gridSpan w:val="2"/>
            <w:vMerge w:val="restart"/>
            <w:vAlign w:val="bottom"/>
          </w:tcPr>
          <w:p w:rsidR="00AC12B4" w:rsidRDefault="00C27636">
            <w:pPr>
              <w:rPr>
                <w:sz w:val="20"/>
                <w:szCs w:val="20"/>
              </w:rPr>
            </w:pPr>
            <w:r>
              <w:rPr>
                <w:rFonts w:ascii="Calibri" w:eastAsia="Calibri" w:hAnsi="Calibri" w:cs="Calibri"/>
                <w:sz w:val="20"/>
                <w:szCs w:val="20"/>
              </w:rPr>
              <w:t>ne</w:t>
            </w:r>
          </w:p>
        </w:tc>
        <w:tc>
          <w:tcPr>
            <w:tcW w:w="580" w:type="dxa"/>
            <w:gridSpan w:val="2"/>
            <w:vMerge w:val="restart"/>
            <w:vAlign w:val="bottom"/>
          </w:tcPr>
          <w:p w:rsidR="00AC12B4" w:rsidRDefault="00C27636">
            <w:pPr>
              <w:ind w:left="100"/>
              <w:rPr>
                <w:sz w:val="20"/>
                <w:szCs w:val="20"/>
              </w:rPr>
            </w:pPr>
            <w:r>
              <w:rPr>
                <w:rFonts w:ascii="Calibri" w:eastAsia="Calibri" w:hAnsi="Calibri" w:cs="Calibri"/>
                <w:sz w:val="20"/>
                <w:szCs w:val="20"/>
              </w:rPr>
              <w:t>font</w:t>
            </w:r>
          </w:p>
        </w:tc>
        <w:tc>
          <w:tcPr>
            <w:tcW w:w="300" w:type="dxa"/>
            <w:gridSpan w:val="2"/>
            <w:vMerge w:val="restart"/>
            <w:vAlign w:val="bottom"/>
          </w:tcPr>
          <w:p w:rsidR="00AC12B4" w:rsidRDefault="00C27636">
            <w:pPr>
              <w:ind w:right="20"/>
              <w:jc w:val="center"/>
              <w:rPr>
                <w:sz w:val="20"/>
                <w:szCs w:val="20"/>
              </w:rPr>
            </w:pPr>
            <w:r>
              <w:rPr>
                <w:rFonts w:ascii="Calibri" w:eastAsia="Calibri" w:hAnsi="Calibri" w:cs="Calibri"/>
                <w:sz w:val="20"/>
                <w:szCs w:val="20"/>
              </w:rPr>
              <w:t>pas</w:t>
            </w:r>
          </w:p>
        </w:tc>
        <w:tc>
          <w:tcPr>
            <w:tcW w:w="1760" w:type="dxa"/>
            <w:gridSpan w:val="3"/>
            <w:vMerge w:val="restart"/>
            <w:vAlign w:val="bottom"/>
          </w:tcPr>
          <w:p w:rsidR="00AC12B4" w:rsidRDefault="00C27636">
            <w:pPr>
              <w:ind w:right="710"/>
              <w:jc w:val="right"/>
              <w:rPr>
                <w:sz w:val="20"/>
                <w:szCs w:val="20"/>
              </w:rPr>
            </w:pPr>
            <w:r>
              <w:rPr>
                <w:rFonts w:ascii="Calibri" w:eastAsia="Calibri" w:hAnsi="Calibri" w:cs="Calibri"/>
                <w:sz w:val="20"/>
                <w:szCs w:val="20"/>
              </w:rPr>
              <w:t xml:space="preserve">partie  </w:t>
            </w:r>
            <w:r>
              <w:rPr>
                <w:rFonts w:ascii="Calibri" w:eastAsia="Calibri" w:hAnsi="Calibri" w:cs="Calibri"/>
                <w:sz w:val="20"/>
                <w:szCs w:val="20"/>
              </w:rPr>
              <w:lastRenderedPageBreak/>
              <w:t>de</w:t>
            </w:r>
          </w:p>
        </w:tc>
        <w:tc>
          <w:tcPr>
            <w:tcW w:w="0" w:type="dxa"/>
            <w:vAlign w:val="bottom"/>
          </w:tcPr>
          <w:p w:rsidR="00AC12B4" w:rsidRDefault="00AC12B4">
            <w:pPr>
              <w:rPr>
                <w:sz w:val="1"/>
                <w:szCs w:val="1"/>
              </w:rPr>
            </w:pPr>
          </w:p>
        </w:tc>
      </w:tr>
      <w:tr w:rsidR="00AC12B4">
        <w:trPr>
          <w:trHeight w:val="54"/>
        </w:trPr>
        <w:tc>
          <w:tcPr>
            <w:tcW w:w="1980" w:type="dxa"/>
            <w:vAlign w:val="bottom"/>
          </w:tcPr>
          <w:p w:rsidR="00AC12B4" w:rsidRDefault="00AC12B4">
            <w:pPr>
              <w:rPr>
                <w:sz w:val="4"/>
                <w:szCs w:val="4"/>
              </w:rPr>
            </w:pPr>
          </w:p>
        </w:tc>
        <w:tc>
          <w:tcPr>
            <w:tcW w:w="54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106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6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1080" w:type="dxa"/>
            <w:gridSpan w:val="2"/>
            <w:vMerge/>
            <w:vAlign w:val="bottom"/>
          </w:tcPr>
          <w:p w:rsidR="00AC12B4" w:rsidRDefault="00AC12B4">
            <w:pPr>
              <w:rPr>
                <w:sz w:val="4"/>
                <w:szCs w:val="4"/>
              </w:rPr>
            </w:pPr>
          </w:p>
        </w:tc>
        <w:tc>
          <w:tcPr>
            <w:tcW w:w="600" w:type="dxa"/>
            <w:gridSpan w:val="3"/>
            <w:vMerge/>
            <w:vAlign w:val="bottom"/>
          </w:tcPr>
          <w:p w:rsidR="00AC12B4" w:rsidRDefault="00AC12B4">
            <w:pPr>
              <w:rPr>
                <w:sz w:val="4"/>
                <w:szCs w:val="4"/>
              </w:rPr>
            </w:pPr>
          </w:p>
        </w:tc>
        <w:tc>
          <w:tcPr>
            <w:tcW w:w="240" w:type="dxa"/>
            <w:gridSpan w:val="2"/>
            <w:vMerge/>
            <w:vAlign w:val="bottom"/>
          </w:tcPr>
          <w:p w:rsidR="00AC12B4" w:rsidRDefault="00AC12B4">
            <w:pPr>
              <w:rPr>
                <w:sz w:val="4"/>
                <w:szCs w:val="4"/>
              </w:rPr>
            </w:pPr>
          </w:p>
        </w:tc>
        <w:tc>
          <w:tcPr>
            <w:tcW w:w="580" w:type="dxa"/>
            <w:gridSpan w:val="2"/>
            <w:vMerge/>
            <w:vAlign w:val="bottom"/>
          </w:tcPr>
          <w:p w:rsidR="00AC12B4" w:rsidRDefault="00AC12B4">
            <w:pPr>
              <w:rPr>
                <w:sz w:val="4"/>
                <w:szCs w:val="4"/>
              </w:rPr>
            </w:pPr>
          </w:p>
        </w:tc>
        <w:tc>
          <w:tcPr>
            <w:tcW w:w="300" w:type="dxa"/>
            <w:gridSpan w:val="2"/>
            <w:vMerge/>
            <w:vAlign w:val="bottom"/>
          </w:tcPr>
          <w:p w:rsidR="00AC12B4" w:rsidRDefault="00AC12B4">
            <w:pPr>
              <w:rPr>
                <w:sz w:val="4"/>
                <w:szCs w:val="4"/>
              </w:rPr>
            </w:pPr>
          </w:p>
        </w:tc>
        <w:tc>
          <w:tcPr>
            <w:tcW w:w="1760" w:type="dxa"/>
            <w:gridSpan w:val="3"/>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45"/>
        </w:trPr>
        <w:tc>
          <w:tcPr>
            <w:tcW w:w="5460" w:type="dxa"/>
            <w:gridSpan w:val="8"/>
            <w:vMerge w:val="restart"/>
            <w:vAlign w:val="bottom"/>
          </w:tcPr>
          <w:p w:rsidR="00AC12B4" w:rsidRDefault="00C27636">
            <w:pPr>
              <w:ind w:left="1460"/>
              <w:rPr>
                <w:sz w:val="20"/>
                <w:szCs w:val="20"/>
              </w:rPr>
            </w:pPr>
            <w:r>
              <w:rPr>
                <w:rFonts w:ascii="Calibri" w:eastAsia="Calibri" w:hAnsi="Calibri" w:cs="Calibri"/>
              </w:rPr>
              <w:t>Concernant l'approche de la délinquance</w:t>
            </w:r>
          </w:p>
        </w:tc>
        <w:tc>
          <w:tcPr>
            <w:tcW w:w="600" w:type="dxa"/>
            <w:vAlign w:val="bottom"/>
          </w:tcPr>
          <w:p w:rsidR="00AC12B4" w:rsidRDefault="00AC12B4">
            <w:pPr>
              <w:rPr>
                <w:sz w:val="21"/>
                <w:szCs w:val="21"/>
              </w:rPr>
            </w:pPr>
          </w:p>
        </w:tc>
        <w:tc>
          <w:tcPr>
            <w:tcW w:w="1420" w:type="dxa"/>
            <w:gridSpan w:val="5"/>
            <w:vAlign w:val="bottom"/>
          </w:tcPr>
          <w:p w:rsidR="00AC12B4" w:rsidRDefault="00C27636">
            <w:pPr>
              <w:rPr>
                <w:sz w:val="20"/>
                <w:szCs w:val="20"/>
              </w:rPr>
            </w:pPr>
            <w:r>
              <w:rPr>
                <w:rFonts w:ascii="Calibri" w:eastAsia="Calibri" w:hAnsi="Calibri" w:cs="Calibri"/>
                <w:sz w:val="20"/>
                <w:szCs w:val="20"/>
              </w:rPr>
              <w:t>l’échantillon, soit</w:t>
            </w:r>
          </w:p>
        </w:tc>
        <w:tc>
          <w:tcPr>
            <w:tcW w:w="3260" w:type="dxa"/>
            <w:gridSpan w:val="10"/>
            <w:vAlign w:val="bottom"/>
          </w:tcPr>
          <w:p w:rsidR="00AC12B4" w:rsidRDefault="00C27636">
            <w:pPr>
              <w:ind w:left="100"/>
              <w:rPr>
                <w:sz w:val="20"/>
                <w:szCs w:val="20"/>
              </w:rPr>
            </w:pPr>
            <w:r>
              <w:rPr>
                <w:rFonts w:ascii="Calibri" w:eastAsia="Calibri" w:hAnsi="Calibri" w:cs="Calibri"/>
                <w:sz w:val="20"/>
                <w:szCs w:val="20"/>
              </w:rPr>
              <w:t>parce qu’aucune ventilation</w:t>
            </w:r>
          </w:p>
        </w:tc>
        <w:tc>
          <w:tcPr>
            <w:tcW w:w="0" w:type="dxa"/>
            <w:vAlign w:val="bottom"/>
          </w:tcPr>
          <w:p w:rsidR="00AC12B4" w:rsidRDefault="00AC12B4">
            <w:pPr>
              <w:rPr>
                <w:sz w:val="1"/>
                <w:szCs w:val="1"/>
              </w:rPr>
            </w:pPr>
          </w:p>
        </w:tc>
      </w:tr>
      <w:tr w:rsidR="00AC12B4">
        <w:trPr>
          <w:trHeight w:val="90"/>
        </w:trPr>
        <w:tc>
          <w:tcPr>
            <w:tcW w:w="5460" w:type="dxa"/>
            <w:gridSpan w:val="8"/>
            <w:vMerge/>
            <w:vAlign w:val="bottom"/>
          </w:tcPr>
          <w:p w:rsidR="00AC12B4" w:rsidRDefault="00AC12B4">
            <w:pPr>
              <w:rPr>
                <w:sz w:val="7"/>
                <w:szCs w:val="7"/>
              </w:rPr>
            </w:pPr>
          </w:p>
        </w:tc>
        <w:tc>
          <w:tcPr>
            <w:tcW w:w="600" w:type="dxa"/>
            <w:vAlign w:val="bottom"/>
          </w:tcPr>
          <w:p w:rsidR="00AC12B4" w:rsidRDefault="00AC12B4">
            <w:pPr>
              <w:rPr>
                <w:sz w:val="7"/>
                <w:szCs w:val="7"/>
              </w:rPr>
            </w:pPr>
          </w:p>
        </w:tc>
        <w:tc>
          <w:tcPr>
            <w:tcW w:w="2920" w:type="dxa"/>
            <w:gridSpan w:val="12"/>
            <w:vMerge w:val="restart"/>
            <w:vAlign w:val="bottom"/>
          </w:tcPr>
          <w:p w:rsidR="00AC12B4" w:rsidRDefault="00C27636">
            <w:pPr>
              <w:rPr>
                <w:sz w:val="20"/>
                <w:szCs w:val="20"/>
              </w:rPr>
            </w:pPr>
            <w:r>
              <w:rPr>
                <w:rFonts w:ascii="Calibri" w:eastAsia="Calibri" w:hAnsi="Calibri" w:cs="Calibri"/>
                <w:sz w:val="20"/>
                <w:szCs w:val="20"/>
              </w:rPr>
              <w:t>ne permet de les mettre en avant.</w:t>
            </w:r>
          </w:p>
        </w:tc>
        <w:tc>
          <w:tcPr>
            <w:tcW w:w="26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2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55"/>
        </w:trPr>
        <w:tc>
          <w:tcPr>
            <w:tcW w:w="4240" w:type="dxa"/>
            <w:gridSpan w:val="5"/>
            <w:vMerge w:val="restart"/>
            <w:vAlign w:val="bottom"/>
          </w:tcPr>
          <w:p w:rsidR="00AC12B4" w:rsidRDefault="00C27636">
            <w:pPr>
              <w:ind w:left="1460"/>
              <w:rPr>
                <w:sz w:val="20"/>
                <w:szCs w:val="20"/>
              </w:rPr>
            </w:pPr>
            <w:r>
              <w:rPr>
                <w:rFonts w:ascii="Calibri" w:eastAsia="Calibri" w:hAnsi="Calibri" w:cs="Calibri"/>
              </w:rPr>
              <w:t>juvénile plus spécifiquement,</w:t>
            </w:r>
          </w:p>
        </w:tc>
        <w:tc>
          <w:tcPr>
            <w:tcW w:w="380" w:type="dxa"/>
            <w:vMerge w:val="restart"/>
            <w:vAlign w:val="bottom"/>
          </w:tcPr>
          <w:p w:rsidR="00AC12B4" w:rsidRDefault="00C27636">
            <w:pPr>
              <w:jc w:val="right"/>
              <w:rPr>
                <w:sz w:val="20"/>
                <w:szCs w:val="20"/>
              </w:rPr>
            </w:pPr>
            <w:r>
              <w:rPr>
                <w:rFonts w:ascii="Calibri" w:eastAsia="Calibri" w:hAnsi="Calibri" w:cs="Calibri"/>
              </w:rPr>
              <w:t>les</w:t>
            </w:r>
          </w:p>
        </w:tc>
        <w:tc>
          <w:tcPr>
            <w:tcW w:w="840" w:type="dxa"/>
            <w:gridSpan w:val="2"/>
            <w:vMerge w:val="restart"/>
            <w:vAlign w:val="bottom"/>
          </w:tcPr>
          <w:p w:rsidR="00AC12B4" w:rsidRDefault="00C27636">
            <w:pPr>
              <w:ind w:right="10"/>
              <w:jc w:val="right"/>
              <w:rPr>
                <w:sz w:val="20"/>
                <w:szCs w:val="20"/>
              </w:rPr>
            </w:pPr>
            <w:r>
              <w:rPr>
                <w:rFonts w:ascii="Calibri" w:eastAsia="Calibri" w:hAnsi="Calibri" w:cs="Calibri"/>
              </w:rPr>
              <w:t>articles</w:t>
            </w:r>
          </w:p>
        </w:tc>
        <w:tc>
          <w:tcPr>
            <w:tcW w:w="600" w:type="dxa"/>
            <w:vAlign w:val="bottom"/>
          </w:tcPr>
          <w:p w:rsidR="00AC12B4" w:rsidRDefault="00AC12B4">
            <w:pPr>
              <w:rPr>
                <w:sz w:val="13"/>
                <w:szCs w:val="13"/>
              </w:rPr>
            </w:pPr>
          </w:p>
        </w:tc>
        <w:tc>
          <w:tcPr>
            <w:tcW w:w="2920" w:type="dxa"/>
            <w:gridSpan w:val="12"/>
            <w:vMerge/>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120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4"/>
        </w:trPr>
        <w:tc>
          <w:tcPr>
            <w:tcW w:w="4240" w:type="dxa"/>
            <w:gridSpan w:val="5"/>
            <w:vMerge/>
            <w:vAlign w:val="bottom"/>
          </w:tcPr>
          <w:p w:rsidR="00AC12B4" w:rsidRDefault="00AC12B4">
            <w:pPr>
              <w:rPr>
                <w:sz w:val="9"/>
                <w:szCs w:val="9"/>
              </w:rPr>
            </w:pPr>
          </w:p>
        </w:tc>
        <w:tc>
          <w:tcPr>
            <w:tcW w:w="380" w:type="dxa"/>
            <w:vMerge/>
            <w:vAlign w:val="bottom"/>
          </w:tcPr>
          <w:p w:rsidR="00AC12B4" w:rsidRDefault="00AC12B4">
            <w:pPr>
              <w:rPr>
                <w:sz w:val="9"/>
                <w:szCs w:val="9"/>
              </w:rPr>
            </w:pPr>
          </w:p>
        </w:tc>
        <w:tc>
          <w:tcPr>
            <w:tcW w:w="840" w:type="dxa"/>
            <w:gridSpan w:val="2"/>
            <w:vMerge/>
            <w:vAlign w:val="bottom"/>
          </w:tcPr>
          <w:p w:rsidR="00AC12B4" w:rsidRDefault="00AC12B4">
            <w:pPr>
              <w:rPr>
                <w:sz w:val="9"/>
                <w:szCs w:val="9"/>
              </w:rPr>
            </w:pPr>
          </w:p>
        </w:tc>
        <w:tc>
          <w:tcPr>
            <w:tcW w:w="60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76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4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120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396"/>
        </w:trPr>
        <w:tc>
          <w:tcPr>
            <w:tcW w:w="198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32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106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600" w:type="dxa"/>
            <w:vAlign w:val="bottom"/>
          </w:tcPr>
          <w:p w:rsidR="00AC12B4" w:rsidRDefault="00C27636">
            <w:pPr>
              <w:ind w:right="152"/>
              <w:jc w:val="right"/>
              <w:rPr>
                <w:sz w:val="20"/>
                <w:szCs w:val="20"/>
              </w:rPr>
            </w:pPr>
            <w:r>
              <w:rPr>
                <w:rFonts w:ascii="Calibri" w:eastAsia="Calibri" w:hAnsi="Calibri" w:cs="Calibri"/>
              </w:rPr>
              <w:t>49</w:t>
            </w:r>
          </w:p>
        </w:tc>
        <w:tc>
          <w:tcPr>
            <w:tcW w:w="120" w:type="dxa"/>
            <w:vAlign w:val="bottom"/>
          </w:tcPr>
          <w:p w:rsidR="00AC12B4" w:rsidRDefault="00AC12B4">
            <w:pPr>
              <w:rPr>
                <w:sz w:val="24"/>
                <w:szCs w:val="24"/>
              </w:rPr>
            </w:pPr>
          </w:p>
        </w:tc>
        <w:tc>
          <w:tcPr>
            <w:tcW w:w="320" w:type="dxa"/>
            <w:vAlign w:val="bottom"/>
          </w:tcPr>
          <w:p w:rsidR="00AC12B4" w:rsidRDefault="00AC12B4">
            <w:pPr>
              <w:rPr>
                <w:sz w:val="24"/>
                <w:szCs w:val="24"/>
              </w:rPr>
            </w:pPr>
          </w:p>
        </w:tc>
        <w:tc>
          <w:tcPr>
            <w:tcW w:w="76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20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trPr>
          <w:trHeight w:val="4100"/>
        </w:trPr>
        <w:tc>
          <w:tcPr>
            <w:tcW w:w="330" w:type="dxa"/>
            <w:textDirection w:val="btLr"/>
            <w:vAlign w:val="bottom"/>
          </w:tcPr>
          <w:p w:rsidR="00AC12B4" w:rsidRDefault="00C27636">
            <w:pPr>
              <w:rPr>
                <w:sz w:val="20"/>
                <w:szCs w:val="20"/>
              </w:rPr>
            </w:pPr>
            <w:r>
              <w:rPr>
                <w:rFonts w:ascii="Calibri" w:eastAsia="Calibri" w:hAnsi="Calibri" w:cs="Calibri"/>
                <w:b/>
                <w:bCs/>
                <w:i/>
                <w:iCs/>
                <w:color w:val="F2F2F2"/>
                <w:sz w:val="27"/>
                <w:szCs w:val="27"/>
              </w:rPr>
              <w:lastRenderedPageBreak/>
              <w:t>Le droit de poursuivre son bien-être</w:t>
            </w: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399680" behindDoc="1" locked="0" layoutInCell="0" allowOverlap="1">
                <wp:simplePos x="0" y="0"/>
                <wp:positionH relativeFrom="column">
                  <wp:posOffset>-228600</wp:posOffset>
                </wp:positionH>
                <wp:positionV relativeFrom="paragraph">
                  <wp:posOffset>-9943465</wp:posOffset>
                </wp:positionV>
                <wp:extent cx="734060" cy="10906760"/>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51" o:spid="_x0000_s1076" style="position:absolute;margin-left:-18pt;margin-top:-782.9499pt;width:57.8pt;height:85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p>
    <w:p w:rsidR="00AC12B4" w:rsidRDefault="00AC12B4">
      <w:pPr>
        <w:sectPr w:rsidR="00AC12B4">
          <w:pgSz w:w="12080" w:h="17179"/>
          <w:pgMar w:top="1440" w:right="467" w:bottom="659" w:left="540" w:header="0" w:footer="0" w:gutter="0"/>
          <w:cols w:num="2" w:space="720" w:equalWidth="0">
            <w:col w:w="10740" w:space="0"/>
            <w:col w:w="330"/>
          </w:cols>
        </w:sectPr>
      </w:pPr>
    </w:p>
    <w:p w:rsidR="00AC12B4" w:rsidRDefault="00AC12B4">
      <w:pPr>
        <w:framePr w:w="2712" w:h="3765" w:wrap="auto" w:vAnchor="page" w:hAnchor="page" w:x="7525" w:y="2686"/>
        <w:spacing w:line="20" w:lineRule="exact"/>
        <w:rPr>
          <w:sz w:val="20"/>
          <w:szCs w:val="20"/>
        </w:rPr>
      </w:pPr>
      <w:bookmarkStart w:id="49" w:name="page50"/>
      <w:bookmarkEnd w:id="49"/>
    </w:p>
    <w:p w:rsidR="00AC12B4" w:rsidRDefault="00C27636">
      <w:pPr>
        <w:framePr w:w="1940" w:h="666" w:wrap="auto" w:vAnchor="page" w:hAnchor="page" w:x="7920" w:y="4312"/>
        <w:spacing w:line="181" w:lineRule="auto"/>
        <w:rPr>
          <w:rFonts w:ascii="Calibri" w:eastAsia="Calibri" w:hAnsi="Calibri" w:cs="Calibri"/>
          <w:i/>
          <w:iCs/>
          <w:color w:val="403152"/>
          <w:sz w:val="18"/>
          <w:szCs w:val="18"/>
        </w:rPr>
      </w:pPr>
      <w:r>
        <w:rPr>
          <w:rFonts w:ascii="Wingdings" w:eastAsia="Wingdings" w:hAnsi="Wingdings" w:cs="Wingdings"/>
          <w:color w:val="403152"/>
          <w:sz w:val="36"/>
          <w:szCs w:val="36"/>
          <w:vertAlign w:val="superscript"/>
        </w:rPr>
        <w:t></w:t>
      </w:r>
      <w:r>
        <w:rPr>
          <w:rFonts w:ascii="Calibri" w:eastAsia="Calibri" w:hAnsi="Calibri" w:cs="Calibri"/>
          <w:i/>
          <w:iCs/>
          <w:color w:val="403152"/>
          <w:sz w:val="18"/>
          <w:szCs w:val="18"/>
        </w:rPr>
        <w:t xml:space="preserve"> Confiance en soi : Généralement, as-tu confiance en toi ?</w:t>
      </w:r>
    </w:p>
    <w:p w:rsidR="00AC12B4" w:rsidRDefault="00C27636">
      <w:pPr>
        <w:framePr w:w="2360" w:h="921" w:wrap="auto" w:vAnchor="page" w:hAnchor="page" w:x="7920" w:y="5071"/>
        <w:spacing w:line="201" w:lineRule="auto"/>
        <w:rPr>
          <w:rFonts w:ascii="Calibri" w:eastAsia="Calibri" w:hAnsi="Calibri" w:cs="Calibri"/>
          <w:i/>
          <w:iCs/>
          <w:color w:val="403152"/>
          <w:sz w:val="18"/>
          <w:szCs w:val="18"/>
        </w:rPr>
      </w:pPr>
      <w:r>
        <w:rPr>
          <w:rFonts w:ascii="Wingdings" w:eastAsia="Wingdings" w:hAnsi="Wingdings" w:cs="Wingdings"/>
          <w:color w:val="403152"/>
          <w:sz w:val="36"/>
          <w:szCs w:val="36"/>
          <w:vertAlign w:val="superscript"/>
        </w:rPr>
        <w:t></w:t>
      </w:r>
      <w:r>
        <w:rPr>
          <w:rFonts w:ascii="Calibri" w:eastAsia="Calibri" w:hAnsi="Calibri" w:cs="Calibri"/>
          <w:i/>
          <w:iCs/>
          <w:color w:val="403152"/>
          <w:sz w:val="18"/>
          <w:szCs w:val="18"/>
        </w:rPr>
        <w:t xml:space="preserve"> Capacité de s’en sortir : En général, quand tu as un problème, te sens-tu capable de t’en sortir ?</w:t>
      </w:r>
    </w:p>
    <w:p w:rsidR="00AC12B4" w:rsidRDefault="00AC12B4">
      <w:pPr>
        <w:framePr w:w="2608" w:h="3765" w:wrap="auto" w:vAnchor="page" w:hAnchor="page" w:x="7525" w:y="2686"/>
        <w:spacing w:line="201" w:lineRule="auto"/>
        <w:rPr>
          <w:rFonts w:ascii="Calibri" w:eastAsia="Calibri" w:hAnsi="Calibri" w:cs="Calibri"/>
          <w:i/>
          <w:iCs/>
          <w:color w:val="403152"/>
          <w:sz w:val="18"/>
          <w:szCs w:val="18"/>
        </w:rPr>
      </w:pPr>
    </w:p>
    <w:p w:rsidR="00AC12B4" w:rsidRDefault="00C27636">
      <w:pPr>
        <w:framePr w:w="2620" w:h="628" w:wrap="auto" w:vAnchor="page" w:hAnchor="page" w:x="7560" w:y="3400"/>
        <w:spacing w:line="218" w:lineRule="auto"/>
        <w:rPr>
          <w:rFonts w:eastAsia="Times New Roman"/>
          <w:b/>
          <w:bCs/>
          <w:i/>
          <w:iCs/>
          <w:color w:val="963266"/>
          <w:sz w:val="20"/>
          <w:szCs w:val="20"/>
        </w:rPr>
      </w:pPr>
      <w:r>
        <w:rPr>
          <w:rFonts w:eastAsia="Times New Roman"/>
          <w:b/>
          <w:bCs/>
          <w:i/>
          <w:iCs/>
          <w:color w:val="963266"/>
          <w:sz w:val="20"/>
          <w:szCs w:val="20"/>
        </w:rPr>
        <w:t>Questions originales dans l’enquête HBSC FWB (pas en Flandre !):</w:t>
      </w:r>
    </w:p>
    <w:p w:rsidR="00AC12B4" w:rsidRDefault="00C27636">
      <w:pPr>
        <w:spacing w:line="200" w:lineRule="exact"/>
        <w:rPr>
          <w:rFonts w:eastAsia="Times New Roman"/>
          <w:b/>
          <w:bCs/>
          <w:i/>
          <w:iCs/>
          <w:color w:val="963266"/>
          <w:sz w:val="20"/>
          <w:szCs w:val="20"/>
        </w:rPr>
      </w:pPr>
      <w:r>
        <w:rPr>
          <w:rFonts w:eastAsia="Times New Roman"/>
          <w:b/>
          <w:bCs/>
          <w:i/>
          <w:iCs/>
          <w:noProof/>
          <w:color w:val="963266"/>
          <w:sz w:val="20"/>
          <w:szCs w:val="20"/>
        </w:rPr>
        <w:drawing>
          <wp:anchor distT="0" distB="0" distL="114300" distR="114300" simplePos="0" relativeHeight="251400704" behindDoc="1" locked="0" layoutInCell="0" allowOverlap="1">
            <wp:simplePos x="0" y="0"/>
            <wp:positionH relativeFrom="page">
              <wp:posOffset>0</wp:posOffset>
            </wp:positionH>
            <wp:positionV relativeFrom="page">
              <wp:posOffset>0</wp:posOffset>
            </wp:positionV>
            <wp:extent cx="3560445" cy="1090549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clrChange>
                        <a:clrFrom>
                          <a:srgbClr val="FFFFFF"/>
                        </a:clrFrom>
                        <a:clrTo>
                          <a:srgbClr val="FFFFFF">
                            <a:alpha val="0"/>
                          </a:srgbClr>
                        </a:clrTo>
                      </a:clrChange>
                      <a:extLst/>
                    </a:blip>
                    <a:srcRect/>
                    <a:stretch>
                      <a:fillRect/>
                    </a:stretch>
                  </pic:blipFill>
                  <pic:spPr bwMode="auto">
                    <a:xfrm>
                      <a:off x="0" y="0"/>
                      <a:ext cx="3560445" cy="10905490"/>
                    </a:xfrm>
                    <a:prstGeom prst="rect">
                      <a:avLst/>
                    </a:prstGeom>
                    <a:noFill/>
                  </pic:spPr>
                </pic:pic>
              </a:graphicData>
            </a:graphic>
          </wp:anchor>
        </w:drawing>
      </w:r>
    </w:p>
    <w:p w:rsidR="00AC12B4" w:rsidRDefault="00AC12B4">
      <w:pPr>
        <w:spacing w:line="200" w:lineRule="exact"/>
        <w:rPr>
          <w:rFonts w:eastAsia="Times New Roman"/>
          <w:b/>
          <w:bCs/>
          <w:i/>
          <w:iCs/>
          <w:color w:val="963266"/>
          <w:sz w:val="20"/>
          <w:szCs w:val="20"/>
        </w:rPr>
      </w:pPr>
    </w:p>
    <w:p w:rsidR="00AC12B4" w:rsidRDefault="00AC12B4">
      <w:pPr>
        <w:spacing w:line="217" w:lineRule="exact"/>
        <w:rPr>
          <w:rFonts w:eastAsia="Times New Roman"/>
          <w:b/>
          <w:bCs/>
          <w:i/>
          <w:iCs/>
          <w:color w:val="963266"/>
          <w:sz w:val="20"/>
          <w:szCs w:val="20"/>
        </w:rPr>
      </w:pPr>
    </w:p>
    <w:tbl>
      <w:tblPr>
        <w:tblW w:w="0" w:type="auto"/>
        <w:tblInd w:w="1070" w:type="dxa"/>
        <w:tblLayout w:type="fixed"/>
        <w:tblCellMar>
          <w:left w:w="0" w:type="dxa"/>
          <w:right w:w="0" w:type="dxa"/>
        </w:tblCellMar>
        <w:tblLook w:val="04A0" w:firstRow="1" w:lastRow="0" w:firstColumn="1" w:lastColumn="0" w:noHBand="0" w:noVBand="1"/>
      </w:tblPr>
      <w:tblGrid>
        <w:gridCol w:w="840"/>
        <w:gridCol w:w="2100"/>
        <w:gridCol w:w="100"/>
        <w:gridCol w:w="860"/>
        <w:gridCol w:w="20"/>
      </w:tblGrid>
      <w:tr w:rsidR="00AC12B4">
        <w:trPr>
          <w:trHeight w:val="244"/>
        </w:trPr>
        <w:tc>
          <w:tcPr>
            <w:tcW w:w="840" w:type="dxa"/>
            <w:vMerge w:val="restart"/>
            <w:vAlign w:val="bottom"/>
          </w:tcPr>
          <w:p w:rsidR="00AC12B4" w:rsidRDefault="00C27636">
            <w:pPr>
              <w:jc w:val="right"/>
              <w:rPr>
                <w:sz w:val="20"/>
                <w:szCs w:val="20"/>
              </w:rPr>
            </w:pPr>
            <w:r>
              <w:rPr>
                <w:rFonts w:ascii="Calibri" w:eastAsia="Calibri" w:hAnsi="Calibri" w:cs="Calibri"/>
                <w:sz w:val="20"/>
                <w:szCs w:val="20"/>
              </w:rPr>
              <w:t>11,4%</w:t>
            </w:r>
          </w:p>
        </w:tc>
        <w:tc>
          <w:tcPr>
            <w:tcW w:w="2100" w:type="dxa"/>
            <w:vAlign w:val="bottom"/>
          </w:tcPr>
          <w:p w:rsidR="00AC12B4" w:rsidRDefault="00C27636">
            <w:pPr>
              <w:ind w:right="1526"/>
              <w:jc w:val="right"/>
              <w:rPr>
                <w:sz w:val="20"/>
                <w:szCs w:val="20"/>
              </w:rPr>
            </w:pPr>
            <w:r>
              <w:rPr>
                <w:rFonts w:ascii="Calibri" w:eastAsia="Calibri" w:hAnsi="Calibri" w:cs="Calibri"/>
                <w:sz w:val="20"/>
                <w:szCs w:val="20"/>
              </w:rPr>
              <w:t>4,8%</w:t>
            </w:r>
          </w:p>
        </w:tc>
        <w:tc>
          <w:tcPr>
            <w:tcW w:w="100" w:type="dxa"/>
            <w:vAlign w:val="bottom"/>
          </w:tcPr>
          <w:p w:rsidR="00AC12B4" w:rsidRDefault="00AC12B4">
            <w:pPr>
              <w:rPr>
                <w:sz w:val="21"/>
                <w:szCs w:val="21"/>
              </w:rPr>
            </w:pPr>
          </w:p>
        </w:tc>
        <w:tc>
          <w:tcPr>
            <w:tcW w:w="86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68"/>
        </w:trPr>
        <w:tc>
          <w:tcPr>
            <w:tcW w:w="840" w:type="dxa"/>
            <w:vMerge/>
            <w:vAlign w:val="bottom"/>
          </w:tcPr>
          <w:p w:rsidR="00AC12B4" w:rsidRDefault="00AC12B4">
            <w:pPr>
              <w:rPr>
                <w:sz w:val="14"/>
                <w:szCs w:val="14"/>
              </w:rPr>
            </w:pPr>
          </w:p>
        </w:tc>
        <w:tc>
          <w:tcPr>
            <w:tcW w:w="2100" w:type="dxa"/>
            <w:vAlign w:val="bottom"/>
          </w:tcPr>
          <w:p w:rsidR="00AC12B4" w:rsidRDefault="00C27636">
            <w:pPr>
              <w:spacing w:line="168" w:lineRule="exact"/>
              <w:ind w:right="326"/>
              <w:jc w:val="right"/>
              <w:rPr>
                <w:sz w:val="20"/>
                <w:szCs w:val="20"/>
              </w:rPr>
            </w:pPr>
            <w:r>
              <w:rPr>
                <w:rFonts w:ascii="Calibri" w:eastAsia="Calibri" w:hAnsi="Calibri" w:cs="Calibri"/>
                <w:sz w:val="18"/>
                <w:szCs w:val="18"/>
              </w:rPr>
              <w:t>21,3%</w:t>
            </w:r>
          </w:p>
        </w:tc>
        <w:tc>
          <w:tcPr>
            <w:tcW w:w="100" w:type="dxa"/>
            <w:vAlign w:val="bottom"/>
          </w:tcPr>
          <w:p w:rsidR="00AC12B4" w:rsidRDefault="00AC12B4">
            <w:pPr>
              <w:rPr>
                <w:sz w:val="14"/>
                <w:szCs w:val="14"/>
              </w:rPr>
            </w:pPr>
          </w:p>
        </w:tc>
        <w:tc>
          <w:tcPr>
            <w:tcW w:w="860" w:type="dxa"/>
            <w:vMerge w:val="restart"/>
            <w:vAlign w:val="bottom"/>
          </w:tcPr>
          <w:p w:rsidR="00AC12B4" w:rsidRDefault="00C27636">
            <w:pPr>
              <w:ind w:left="60"/>
              <w:rPr>
                <w:sz w:val="20"/>
                <w:szCs w:val="20"/>
              </w:rPr>
            </w:pPr>
            <w:r>
              <w:rPr>
                <w:rFonts w:ascii="Calibri" w:eastAsia="Calibri" w:hAnsi="Calibri" w:cs="Calibri"/>
                <w:sz w:val="20"/>
                <w:szCs w:val="20"/>
              </w:rPr>
              <w:t>Toujours</w:t>
            </w:r>
          </w:p>
        </w:tc>
        <w:tc>
          <w:tcPr>
            <w:tcW w:w="0" w:type="dxa"/>
            <w:vAlign w:val="bottom"/>
          </w:tcPr>
          <w:p w:rsidR="00AC12B4" w:rsidRDefault="00AC12B4">
            <w:pPr>
              <w:rPr>
                <w:sz w:val="1"/>
                <w:szCs w:val="1"/>
              </w:rPr>
            </w:pPr>
          </w:p>
        </w:tc>
      </w:tr>
      <w:tr w:rsidR="00AC12B4">
        <w:trPr>
          <w:trHeight w:val="108"/>
        </w:trPr>
        <w:tc>
          <w:tcPr>
            <w:tcW w:w="840" w:type="dxa"/>
            <w:vAlign w:val="bottom"/>
          </w:tcPr>
          <w:p w:rsidR="00AC12B4" w:rsidRDefault="00AC12B4">
            <w:pPr>
              <w:rPr>
                <w:sz w:val="9"/>
                <w:szCs w:val="9"/>
              </w:rPr>
            </w:pPr>
          </w:p>
        </w:tc>
        <w:tc>
          <w:tcPr>
            <w:tcW w:w="2100" w:type="dxa"/>
            <w:vAlign w:val="bottom"/>
          </w:tcPr>
          <w:p w:rsidR="00AC12B4" w:rsidRDefault="00AC12B4">
            <w:pPr>
              <w:rPr>
                <w:sz w:val="9"/>
                <w:szCs w:val="9"/>
              </w:rPr>
            </w:pPr>
          </w:p>
        </w:tc>
        <w:tc>
          <w:tcPr>
            <w:tcW w:w="100" w:type="dxa"/>
            <w:shd w:val="clear" w:color="auto" w:fill="4F81BD"/>
            <w:vAlign w:val="bottom"/>
          </w:tcPr>
          <w:p w:rsidR="00AC12B4" w:rsidRDefault="00AC12B4">
            <w:pPr>
              <w:rPr>
                <w:sz w:val="9"/>
                <w:szCs w:val="9"/>
              </w:rPr>
            </w:pPr>
          </w:p>
        </w:tc>
        <w:tc>
          <w:tcPr>
            <w:tcW w:w="8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840" w:type="dxa"/>
            <w:vAlign w:val="bottom"/>
          </w:tcPr>
          <w:p w:rsidR="00AC12B4" w:rsidRDefault="00AC12B4">
            <w:pPr>
              <w:rPr>
                <w:sz w:val="4"/>
                <w:szCs w:val="4"/>
              </w:rPr>
            </w:pPr>
          </w:p>
        </w:tc>
        <w:tc>
          <w:tcPr>
            <w:tcW w:w="21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8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2"/>
        </w:trPr>
        <w:tc>
          <w:tcPr>
            <w:tcW w:w="840" w:type="dxa"/>
            <w:vAlign w:val="bottom"/>
          </w:tcPr>
          <w:p w:rsidR="00AC12B4" w:rsidRDefault="00AC12B4">
            <w:pPr>
              <w:rPr>
                <w:sz w:val="17"/>
                <w:szCs w:val="17"/>
              </w:rPr>
            </w:pPr>
          </w:p>
        </w:tc>
        <w:tc>
          <w:tcPr>
            <w:tcW w:w="210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860" w:type="dxa"/>
            <w:vMerge w:val="restart"/>
            <w:vAlign w:val="bottom"/>
          </w:tcPr>
          <w:p w:rsidR="00AC12B4" w:rsidRDefault="00C27636">
            <w:pPr>
              <w:ind w:left="60"/>
              <w:rPr>
                <w:sz w:val="20"/>
                <w:szCs w:val="20"/>
              </w:rPr>
            </w:pPr>
            <w:r>
              <w:rPr>
                <w:rFonts w:ascii="Calibri" w:eastAsia="Calibri" w:hAnsi="Calibri" w:cs="Calibri"/>
                <w:sz w:val="20"/>
                <w:szCs w:val="20"/>
              </w:rPr>
              <w:t>Souvent</w:t>
            </w:r>
          </w:p>
        </w:tc>
        <w:tc>
          <w:tcPr>
            <w:tcW w:w="0" w:type="dxa"/>
            <w:vAlign w:val="bottom"/>
          </w:tcPr>
          <w:p w:rsidR="00AC12B4" w:rsidRDefault="00AC12B4">
            <w:pPr>
              <w:rPr>
                <w:sz w:val="1"/>
                <w:szCs w:val="1"/>
              </w:rPr>
            </w:pPr>
          </w:p>
        </w:tc>
      </w:tr>
      <w:tr w:rsidR="00AC12B4">
        <w:trPr>
          <w:trHeight w:val="110"/>
        </w:trPr>
        <w:tc>
          <w:tcPr>
            <w:tcW w:w="840" w:type="dxa"/>
            <w:vAlign w:val="bottom"/>
          </w:tcPr>
          <w:p w:rsidR="00AC12B4" w:rsidRDefault="00AC12B4">
            <w:pPr>
              <w:rPr>
                <w:sz w:val="9"/>
                <w:szCs w:val="9"/>
              </w:rPr>
            </w:pPr>
          </w:p>
        </w:tc>
        <w:tc>
          <w:tcPr>
            <w:tcW w:w="2100" w:type="dxa"/>
            <w:vAlign w:val="bottom"/>
          </w:tcPr>
          <w:p w:rsidR="00AC12B4" w:rsidRDefault="00AC12B4">
            <w:pPr>
              <w:rPr>
                <w:sz w:val="9"/>
                <w:szCs w:val="9"/>
              </w:rPr>
            </w:pPr>
          </w:p>
        </w:tc>
        <w:tc>
          <w:tcPr>
            <w:tcW w:w="100" w:type="dxa"/>
            <w:shd w:val="clear" w:color="auto" w:fill="C0504D"/>
            <w:vAlign w:val="bottom"/>
          </w:tcPr>
          <w:p w:rsidR="00AC12B4" w:rsidRDefault="00AC12B4">
            <w:pPr>
              <w:rPr>
                <w:sz w:val="9"/>
                <w:szCs w:val="9"/>
              </w:rPr>
            </w:pPr>
          </w:p>
        </w:tc>
        <w:tc>
          <w:tcPr>
            <w:tcW w:w="8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49"/>
        </w:trPr>
        <w:tc>
          <w:tcPr>
            <w:tcW w:w="840" w:type="dxa"/>
            <w:vAlign w:val="bottom"/>
          </w:tcPr>
          <w:p w:rsidR="00AC12B4" w:rsidRDefault="00AC12B4">
            <w:pPr>
              <w:rPr>
                <w:sz w:val="4"/>
                <w:szCs w:val="4"/>
              </w:rPr>
            </w:pPr>
          </w:p>
        </w:tc>
        <w:tc>
          <w:tcPr>
            <w:tcW w:w="21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8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3"/>
        </w:trPr>
        <w:tc>
          <w:tcPr>
            <w:tcW w:w="840" w:type="dxa"/>
            <w:vMerge w:val="restart"/>
            <w:vAlign w:val="bottom"/>
          </w:tcPr>
          <w:p w:rsidR="00AC12B4" w:rsidRDefault="00C27636">
            <w:pPr>
              <w:ind w:right="240"/>
              <w:jc w:val="right"/>
              <w:rPr>
                <w:sz w:val="20"/>
                <w:szCs w:val="20"/>
              </w:rPr>
            </w:pPr>
            <w:r>
              <w:rPr>
                <w:rFonts w:ascii="Calibri" w:eastAsia="Calibri" w:hAnsi="Calibri" w:cs="Calibri"/>
                <w:w w:val="96"/>
                <w:sz w:val="20"/>
                <w:szCs w:val="20"/>
              </w:rPr>
              <w:t>27,1%</w:t>
            </w:r>
          </w:p>
        </w:tc>
        <w:tc>
          <w:tcPr>
            <w:tcW w:w="210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860" w:type="dxa"/>
            <w:vMerge w:val="restart"/>
            <w:vAlign w:val="bottom"/>
          </w:tcPr>
          <w:p w:rsidR="00AC12B4" w:rsidRDefault="00C27636">
            <w:pPr>
              <w:ind w:left="60"/>
              <w:rPr>
                <w:sz w:val="20"/>
                <w:szCs w:val="20"/>
              </w:rPr>
            </w:pPr>
            <w:r>
              <w:rPr>
                <w:rFonts w:ascii="Calibri" w:eastAsia="Calibri" w:hAnsi="Calibri" w:cs="Calibri"/>
                <w:sz w:val="20"/>
                <w:szCs w:val="20"/>
              </w:rPr>
              <w:t>Parfois</w:t>
            </w:r>
          </w:p>
        </w:tc>
        <w:tc>
          <w:tcPr>
            <w:tcW w:w="0" w:type="dxa"/>
            <w:vAlign w:val="bottom"/>
          </w:tcPr>
          <w:p w:rsidR="00AC12B4" w:rsidRDefault="00AC12B4">
            <w:pPr>
              <w:rPr>
                <w:sz w:val="1"/>
                <w:szCs w:val="1"/>
              </w:rPr>
            </w:pPr>
          </w:p>
        </w:tc>
      </w:tr>
      <w:tr w:rsidR="00AC12B4">
        <w:trPr>
          <w:trHeight w:val="110"/>
        </w:trPr>
        <w:tc>
          <w:tcPr>
            <w:tcW w:w="840" w:type="dxa"/>
            <w:vMerge/>
            <w:vAlign w:val="bottom"/>
          </w:tcPr>
          <w:p w:rsidR="00AC12B4" w:rsidRDefault="00AC12B4">
            <w:pPr>
              <w:rPr>
                <w:sz w:val="9"/>
                <w:szCs w:val="9"/>
              </w:rPr>
            </w:pPr>
          </w:p>
        </w:tc>
        <w:tc>
          <w:tcPr>
            <w:tcW w:w="2100" w:type="dxa"/>
            <w:vAlign w:val="bottom"/>
          </w:tcPr>
          <w:p w:rsidR="00AC12B4" w:rsidRDefault="00AC12B4">
            <w:pPr>
              <w:rPr>
                <w:sz w:val="9"/>
                <w:szCs w:val="9"/>
              </w:rPr>
            </w:pPr>
          </w:p>
        </w:tc>
        <w:tc>
          <w:tcPr>
            <w:tcW w:w="100" w:type="dxa"/>
            <w:shd w:val="clear" w:color="auto" w:fill="9BBB59"/>
            <w:vAlign w:val="bottom"/>
          </w:tcPr>
          <w:p w:rsidR="00AC12B4" w:rsidRDefault="00AC12B4">
            <w:pPr>
              <w:rPr>
                <w:sz w:val="9"/>
                <w:szCs w:val="9"/>
              </w:rPr>
            </w:pPr>
          </w:p>
        </w:tc>
        <w:tc>
          <w:tcPr>
            <w:tcW w:w="8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48"/>
        </w:trPr>
        <w:tc>
          <w:tcPr>
            <w:tcW w:w="840" w:type="dxa"/>
            <w:vMerge/>
            <w:vAlign w:val="bottom"/>
          </w:tcPr>
          <w:p w:rsidR="00AC12B4" w:rsidRDefault="00AC12B4">
            <w:pPr>
              <w:rPr>
                <w:sz w:val="4"/>
                <w:szCs w:val="4"/>
              </w:rPr>
            </w:pPr>
          </w:p>
        </w:tc>
        <w:tc>
          <w:tcPr>
            <w:tcW w:w="21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8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4"/>
        </w:trPr>
        <w:tc>
          <w:tcPr>
            <w:tcW w:w="840" w:type="dxa"/>
            <w:vMerge/>
            <w:vAlign w:val="bottom"/>
          </w:tcPr>
          <w:p w:rsidR="00AC12B4" w:rsidRDefault="00AC12B4">
            <w:pPr>
              <w:rPr>
                <w:sz w:val="17"/>
                <w:szCs w:val="17"/>
              </w:rPr>
            </w:pPr>
          </w:p>
        </w:tc>
        <w:tc>
          <w:tcPr>
            <w:tcW w:w="210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860" w:type="dxa"/>
            <w:vMerge w:val="restart"/>
            <w:vAlign w:val="bottom"/>
          </w:tcPr>
          <w:p w:rsidR="00AC12B4" w:rsidRDefault="00C27636">
            <w:pPr>
              <w:ind w:left="60"/>
              <w:rPr>
                <w:sz w:val="20"/>
                <w:szCs w:val="20"/>
              </w:rPr>
            </w:pPr>
            <w:r>
              <w:rPr>
                <w:rFonts w:ascii="Calibri" w:eastAsia="Calibri" w:hAnsi="Calibri" w:cs="Calibri"/>
                <w:w w:val="96"/>
                <w:sz w:val="20"/>
                <w:szCs w:val="20"/>
              </w:rPr>
              <w:t>Rarement</w:t>
            </w:r>
          </w:p>
        </w:tc>
        <w:tc>
          <w:tcPr>
            <w:tcW w:w="0" w:type="dxa"/>
            <w:vAlign w:val="bottom"/>
          </w:tcPr>
          <w:p w:rsidR="00AC12B4" w:rsidRDefault="00AC12B4">
            <w:pPr>
              <w:rPr>
                <w:sz w:val="1"/>
                <w:szCs w:val="1"/>
              </w:rPr>
            </w:pPr>
          </w:p>
        </w:tc>
      </w:tr>
      <w:tr w:rsidR="00AC12B4">
        <w:trPr>
          <w:trHeight w:val="108"/>
        </w:trPr>
        <w:tc>
          <w:tcPr>
            <w:tcW w:w="840" w:type="dxa"/>
            <w:vMerge/>
            <w:vAlign w:val="bottom"/>
          </w:tcPr>
          <w:p w:rsidR="00AC12B4" w:rsidRDefault="00AC12B4">
            <w:pPr>
              <w:rPr>
                <w:sz w:val="9"/>
                <w:szCs w:val="9"/>
              </w:rPr>
            </w:pPr>
          </w:p>
        </w:tc>
        <w:tc>
          <w:tcPr>
            <w:tcW w:w="2100" w:type="dxa"/>
            <w:vAlign w:val="bottom"/>
          </w:tcPr>
          <w:p w:rsidR="00AC12B4" w:rsidRDefault="00AC12B4">
            <w:pPr>
              <w:rPr>
                <w:sz w:val="9"/>
                <w:szCs w:val="9"/>
              </w:rPr>
            </w:pPr>
          </w:p>
        </w:tc>
        <w:tc>
          <w:tcPr>
            <w:tcW w:w="100" w:type="dxa"/>
            <w:shd w:val="clear" w:color="auto" w:fill="8064A2"/>
            <w:vAlign w:val="bottom"/>
          </w:tcPr>
          <w:p w:rsidR="00AC12B4" w:rsidRDefault="00AC12B4">
            <w:pPr>
              <w:rPr>
                <w:sz w:val="9"/>
                <w:szCs w:val="9"/>
              </w:rPr>
            </w:pPr>
          </w:p>
        </w:tc>
        <w:tc>
          <w:tcPr>
            <w:tcW w:w="8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840" w:type="dxa"/>
            <w:vMerge/>
            <w:vAlign w:val="bottom"/>
          </w:tcPr>
          <w:p w:rsidR="00AC12B4" w:rsidRDefault="00AC12B4">
            <w:pPr>
              <w:rPr>
                <w:sz w:val="4"/>
                <w:szCs w:val="4"/>
              </w:rPr>
            </w:pPr>
          </w:p>
        </w:tc>
        <w:tc>
          <w:tcPr>
            <w:tcW w:w="21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8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bl>
    <w:p w:rsidR="00AC12B4" w:rsidRDefault="00C27636">
      <w:pPr>
        <w:spacing w:line="20" w:lineRule="exact"/>
        <w:rPr>
          <w:rFonts w:eastAsia="Times New Roman"/>
          <w:b/>
          <w:bCs/>
          <w:i/>
          <w:iCs/>
          <w:color w:val="963266"/>
          <w:sz w:val="20"/>
          <w:szCs w:val="20"/>
        </w:rPr>
      </w:pPr>
      <w:r>
        <w:rPr>
          <w:rFonts w:eastAsia="Times New Roman"/>
          <w:b/>
          <w:bCs/>
          <w:i/>
          <w:iCs/>
          <w:color w:val="963266"/>
          <w:sz w:val="20"/>
          <w:szCs w:val="20"/>
        </w:rPr>
        <w:br w:type="column"/>
      </w:r>
    </w:p>
    <w:p w:rsidR="00AC12B4" w:rsidRDefault="00AC12B4">
      <w:pPr>
        <w:spacing w:line="228" w:lineRule="exact"/>
        <w:rPr>
          <w:rFonts w:eastAsia="Times New Roman"/>
          <w:b/>
          <w:bCs/>
          <w:i/>
          <w:iCs/>
          <w:color w:val="963266"/>
          <w:sz w:val="20"/>
          <w:szCs w:val="20"/>
        </w:rPr>
      </w:pPr>
    </w:p>
    <w:p w:rsidR="00AC12B4" w:rsidRDefault="00C27636">
      <w:pPr>
        <w:rPr>
          <w:sz w:val="20"/>
          <w:szCs w:val="20"/>
        </w:rPr>
      </w:pPr>
      <w:r>
        <w:rPr>
          <w:rFonts w:ascii="Cambria" w:eastAsia="Cambria" w:hAnsi="Cambria" w:cs="Cambria"/>
          <w:b/>
          <w:bCs/>
          <w:i/>
          <w:iCs/>
          <w:color w:val="963266"/>
          <w:sz w:val="26"/>
          <w:szCs w:val="26"/>
        </w:rPr>
        <w:t>Iniquité</w:t>
      </w:r>
    </w:p>
    <w:p w:rsidR="00AC12B4" w:rsidRDefault="00AC12B4">
      <w:pPr>
        <w:spacing w:line="208" w:lineRule="exact"/>
        <w:rPr>
          <w:rFonts w:eastAsia="Times New Roman"/>
          <w:b/>
          <w:bCs/>
          <w:i/>
          <w:iCs/>
          <w:color w:val="963266"/>
          <w:sz w:val="20"/>
          <w:szCs w:val="20"/>
        </w:rPr>
      </w:pPr>
    </w:p>
    <w:p w:rsidR="00AC12B4" w:rsidRDefault="00C27636">
      <w:pPr>
        <w:ind w:right="757"/>
        <w:rPr>
          <w:sz w:val="20"/>
          <w:szCs w:val="20"/>
        </w:rPr>
      </w:pPr>
      <w:r>
        <w:rPr>
          <w:rFonts w:ascii="Calibri" w:eastAsia="Calibri" w:hAnsi="Calibri" w:cs="Calibri"/>
          <w:sz w:val="19"/>
          <w:szCs w:val="19"/>
        </w:rPr>
        <w:t>Les garçons rapportent plus fréquemment qu'ils ont toujours ou souvent confiance en eux.</w:t>
      </w:r>
    </w:p>
    <w:p w:rsidR="00AC12B4" w:rsidRDefault="00C27636">
      <w:pPr>
        <w:spacing w:line="20" w:lineRule="exact"/>
        <w:rPr>
          <w:rFonts w:eastAsia="Times New Roman"/>
          <w:b/>
          <w:bCs/>
          <w:i/>
          <w:iCs/>
          <w:color w:val="963266"/>
          <w:sz w:val="20"/>
          <w:szCs w:val="20"/>
        </w:rPr>
      </w:pPr>
      <w:r>
        <w:rPr>
          <w:rFonts w:eastAsia="Times New Roman"/>
          <w:b/>
          <w:bCs/>
          <w:i/>
          <w:iCs/>
          <w:noProof/>
          <w:color w:val="963266"/>
          <w:sz w:val="20"/>
          <w:szCs w:val="20"/>
        </w:rPr>
        <mc:AlternateContent>
          <mc:Choice Requires="wps">
            <w:drawing>
              <wp:anchor distT="0" distB="0" distL="114300" distR="114300" simplePos="0" relativeHeight="251401728" behindDoc="1" locked="0" layoutInCell="0" allowOverlap="1">
                <wp:simplePos x="0" y="0"/>
                <wp:positionH relativeFrom="column">
                  <wp:posOffset>2861310</wp:posOffset>
                </wp:positionH>
                <wp:positionV relativeFrom="paragraph">
                  <wp:posOffset>384175</wp:posOffset>
                </wp:positionV>
                <wp:extent cx="0" cy="1901190"/>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01190"/>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3pt,30.25pt" to="225.3pt,179.95pt" o:allowincell="f" strokecolor="#C95C96" strokeweight="2pt"/>
            </w:pict>
          </mc:Fallback>
        </mc:AlternateContent>
      </w:r>
      <w:r>
        <w:rPr>
          <w:rFonts w:eastAsia="Times New Roman"/>
          <w:b/>
          <w:bCs/>
          <w:i/>
          <w:iCs/>
          <w:noProof/>
          <w:color w:val="963266"/>
          <w:sz w:val="20"/>
          <w:szCs w:val="20"/>
        </w:rPr>
        <mc:AlternateContent>
          <mc:Choice Requires="wps">
            <w:drawing>
              <wp:anchor distT="0" distB="0" distL="114300" distR="114300" simplePos="0" relativeHeight="251402752" behindDoc="1" locked="0" layoutInCell="0" allowOverlap="1">
                <wp:simplePos x="0" y="0"/>
                <wp:positionH relativeFrom="column">
                  <wp:posOffset>878840</wp:posOffset>
                </wp:positionH>
                <wp:positionV relativeFrom="paragraph">
                  <wp:posOffset>396875</wp:posOffset>
                </wp:positionV>
                <wp:extent cx="1995170" cy="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95170"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2pt,31.25pt" to="226.3pt,31.25pt" o:allowincell="f" strokecolor="#C95C96" strokeweight="2pt"/>
            </w:pict>
          </mc:Fallback>
        </mc:AlternateContent>
      </w:r>
      <w:r>
        <w:rPr>
          <w:rFonts w:eastAsia="Times New Roman"/>
          <w:b/>
          <w:bCs/>
          <w:i/>
          <w:iCs/>
          <w:noProof/>
          <w:color w:val="963266"/>
          <w:sz w:val="20"/>
          <w:szCs w:val="20"/>
        </w:rPr>
        <mc:AlternateContent>
          <mc:Choice Requires="wps">
            <w:drawing>
              <wp:anchor distT="0" distB="0" distL="114300" distR="114300" simplePos="0" relativeHeight="251403776" behindDoc="1" locked="0" layoutInCell="0" allowOverlap="1">
                <wp:simplePos x="0" y="0"/>
                <wp:positionH relativeFrom="column">
                  <wp:posOffset>891540</wp:posOffset>
                </wp:positionH>
                <wp:positionV relativeFrom="paragraph">
                  <wp:posOffset>384175</wp:posOffset>
                </wp:positionV>
                <wp:extent cx="0" cy="1901190"/>
                <wp:effectExtent l="0" t="0" r="0" b="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01190"/>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2pt,30.25pt" to="70.2pt,179.95pt" o:allowincell="f" strokecolor="#C95C96" strokeweight="2pt"/>
            </w:pict>
          </mc:Fallback>
        </mc:AlternateContent>
      </w:r>
      <w:r>
        <w:rPr>
          <w:rFonts w:eastAsia="Times New Roman"/>
          <w:b/>
          <w:bCs/>
          <w:i/>
          <w:iCs/>
          <w:noProof/>
          <w:color w:val="963266"/>
          <w:sz w:val="20"/>
          <w:szCs w:val="20"/>
        </w:rPr>
        <mc:AlternateContent>
          <mc:Choice Requires="wps">
            <w:drawing>
              <wp:anchor distT="0" distB="0" distL="114300" distR="114300" simplePos="0" relativeHeight="251404800" behindDoc="1" locked="0" layoutInCell="0" allowOverlap="1">
                <wp:simplePos x="0" y="0"/>
                <wp:positionH relativeFrom="column">
                  <wp:posOffset>878840</wp:posOffset>
                </wp:positionH>
                <wp:positionV relativeFrom="paragraph">
                  <wp:posOffset>2272665</wp:posOffset>
                </wp:positionV>
                <wp:extent cx="1995170" cy="0"/>
                <wp:effectExtent l="0" t="0" r="0" b="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95170"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2pt,178.95pt" to="226.3pt,178.95pt" o:allowincell="f" strokecolor="#C95C96" strokeweight="2pt"/>
            </w:pict>
          </mc:Fallback>
        </mc:AlternateContent>
      </w:r>
    </w:p>
    <w:p w:rsidR="00AC12B4" w:rsidRDefault="00AC12B4">
      <w:pPr>
        <w:spacing w:line="200" w:lineRule="exact"/>
        <w:rPr>
          <w:rFonts w:eastAsia="Times New Roman"/>
          <w:b/>
          <w:bCs/>
          <w:i/>
          <w:iCs/>
          <w:color w:val="963266"/>
          <w:sz w:val="20"/>
          <w:szCs w:val="20"/>
        </w:rPr>
      </w:pPr>
    </w:p>
    <w:p w:rsidR="00AC12B4" w:rsidRDefault="00AC12B4">
      <w:pPr>
        <w:spacing w:line="342" w:lineRule="exact"/>
        <w:rPr>
          <w:rFonts w:eastAsia="Times New Roman"/>
          <w:b/>
          <w:bCs/>
          <w:i/>
          <w:iCs/>
          <w:color w:val="963266"/>
          <w:sz w:val="20"/>
          <w:szCs w:val="20"/>
        </w:rPr>
      </w:pPr>
    </w:p>
    <w:p w:rsidR="00AC12B4" w:rsidRDefault="00C27636">
      <w:pPr>
        <w:rPr>
          <w:sz w:val="20"/>
          <w:szCs w:val="20"/>
        </w:rPr>
      </w:pPr>
      <w:r>
        <w:rPr>
          <w:rFonts w:ascii="Calibri" w:eastAsia="Calibri" w:hAnsi="Calibri" w:cs="Calibri"/>
        </w:rPr>
        <w:t>C'est aussi le</w:t>
      </w:r>
    </w:p>
    <w:p w:rsidR="00AC12B4" w:rsidRDefault="00C27636">
      <w:pPr>
        <w:tabs>
          <w:tab w:val="left" w:pos="900"/>
        </w:tabs>
        <w:rPr>
          <w:sz w:val="20"/>
          <w:szCs w:val="20"/>
        </w:rPr>
      </w:pPr>
      <w:r>
        <w:rPr>
          <w:rFonts w:ascii="Calibri" w:eastAsia="Calibri" w:hAnsi="Calibri" w:cs="Calibri"/>
        </w:rPr>
        <w:t>cas</w:t>
      </w:r>
      <w:r>
        <w:rPr>
          <w:sz w:val="20"/>
          <w:szCs w:val="20"/>
        </w:rPr>
        <w:tab/>
      </w:r>
      <w:r>
        <w:rPr>
          <w:rFonts w:ascii="Calibri" w:eastAsia="Calibri" w:hAnsi="Calibri" w:cs="Calibri"/>
        </w:rPr>
        <w:t>des</w:t>
      </w:r>
    </w:p>
    <w:p w:rsidR="00AC12B4" w:rsidRDefault="00AC12B4">
      <w:pPr>
        <w:spacing w:line="90" w:lineRule="exact"/>
        <w:rPr>
          <w:rFonts w:eastAsia="Times New Roman"/>
          <w:b/>
          <w:bCs/>
          <w:i/>
          <w:iCs/>
          <w:color w:val="963266"/>
          <w:sz w:val="20"/>
          <w:szCs w:val="20"/>
        </w:rPr>
      </w:pPr>
    </w:p>
    <w:p w:rsidR="00AC12B4" w:rsidRDefault="00AC12B4">
      <w:pPr>
        <w:sectPr w:rsidR="00AC12B4">
          <w:pgSz w:w="12080" w:h="17179"/>
          <w:pgMar w:top="1440" w:right="1440" w:bottom="659" w:left="430" w:header="0" w:footer="0" w:gutter="0"/>
          <w:cols w:num="2" w:space="720" w:equalWidth="0">
            <w:col w:w="4970" w:space="620"/>
            <w:col w:w="4617"/>
          </w:cols>
        </w:sectPr>
      </w:pPr>
    </w:p>
    <w:p w:rsidR="00AC12B4" w:rsidRDefault="00AC12B4">
      <w:pPr>
        <w:spacing w:line="113" w:lineRule="exact"/>
        <w:rPr>
          <w:rFonts w:eastAsia="Times New Roman"/>
          <w:b/>
          <w:bCs/>
          <w:i/>
          <w:iCs/>
          <w:color w:val="963266"/>
          <w:sz w:val="20"/>
          <w:szCs w:val="20"/>
        </w:rPr>
      </w:pPr>
    </w:p>
    <w:p w:rsidR="00AC12B4" w:rsidRDefault="00C27636">
      <w:pPr>
        <w:ind w:left="3110"/>
        <w:rPr>
          <w:sz w:val="20"/>
          <w:szCs w:val="20"/>
        </w:rPr>
      </w:pPr>
      <w:r>
        <w:rPr>
          <w:rFonts w:ascii="Calibri" w:eastAsia="Calibri" w:hAnsi="Calibri" w:cs="Calibri"/>
          <w:sz w:val="20"/>
          <w:szCs w:val="20"/>
        </w:rPr>
        <w:t>35,4%</w:t>
      </w:r>
    </w:p>
    <w:p w:rsidR="00AC12B4" w:rsidRDefault="00C27636">
      <w:pPr>
        <w:spacing w:line="20" w:lineRule="exact"/>
        <w:rPr>
          <w:rFonts w:eastAsia="Times New Roman"/>
          <w:b/>
          <w:bCs/>
          <w:i/>
          <w:iCs/>
          <w:color w:val="963266"/>
          <w:sz w:val="20"/>
          <w:szCs w:val="20"/>
        </w:rPr>
      </w:pPr>
      <w:r>
        <w:rPr>
          <w:rFonts w:eastAsia="Times New Roman"/>
          <w:b/>
          <w:bCs/>
          <w:i/>
          <w:iCs/>
          <w:color w:val="963266"/>
          <w:sz w:val="20"/>
          <w:szCs w:val="20"/>
        </w:rPr>
        <w:br w:type="column"/>
      </w:r>
    </w:p>
    <w:p w:rsidR="00AC12B4" w:rsidRDefault="00C27636">
      <w:pPr>
        <w:rPr>
          <w:sz w:val="20"/>
          <w:szCs w:val="20"/>
        </w:rPr>
      </w:pPr>
      <w:r>
        <w:rPr>
          <w:noProof/>
          <w:sz w:val="1"/>
          <w:szCs w:val="1"/>
        </w:rPr>
        <w:drawing>
          <wp:inline distT="0" distB="0" distL="0" distR="0">
            <wp:extent cx="68580" cy="698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18"/>
          <w:szCs w:val="18"/>
        </w:rPr>
        <w:t xml:space="preserve"> Jamais</w:t>
      </w:r>
    </w:p>
    <w:p w:rsidR="00AC12B4" w:rsidRDefault="00C27636">
      <w:pPr>
        <w:spacing w:line="20" w:lineRule="exact"/>
        <w:rPr>
          <w:rFonts w:eastAsia="Times New Roman"/>
          <w:b/>
          <w:bCs/>
          <w:i/>
          <w:iCs/>
          <w:color w:val="963266"/>
          <w:sz w:val="20"/>
          <w:szCs w:val="20"/>
        </w:rPr>
      </w:pPr>
      <w:r>
        <w:rPr>
          <w:rFonts w:eastAsia="Times New Roman"/>
          <w:b/>
          <w:bCs/>
          <w:i/>
          <w:iCs/>
          <w:color w:val="963266"/>
          <w:sz w:val="20"/>
          <w:szCs w:val="20"/>
        </w:rPr>
        <w:br w:type="column"/>
      </w:r>
    </w:p>
    <w:p w:rsidR="00AC12B4" w:rsidRDefault="00AC12B4">
      <w:pPr>
        <w:spacing w:line="2" w:lineRule="exact"/>
        <w:rPr>
          <w:rFonts w:eastAsia="Times New Roman"/>
          <w:b/>
          <w:bCs/>
          <w:i/>
          <w:iCs/>
          <w:color w:val="963266"/>
          <w:sz w:val="20"/>
          <w:szCs w:val="20"/>
        </w:rPr>
      </w:pPr>
    </w:p>
    <w:p w:rsidR="00AC12B4" w:rsidRDefault="00C27636">
      <w:pPr>
        <w:spacing w:line="206" w:lineRule="auto"/>
        <w:ind w:right="3397"/>
        <w:jc w:val="both"/>
        <w:rPr>
          <w:sz w:val="20"/>
          <w:szCs w:val="20"/>
        </w:rPr>
      </w:pPr>
      <w:r>
        <w:rPr>
          <w:rFonts w:ascii="Calibri" w:eastAsia="Calibri" w:hAnsi="Calibri" w:cs="Calibri"/>
        </w:rPr>
        <w:t>jeunes qui vivent avec leurs deux</w:t>
      </w:r>
    </w:p>
    <w:p w:rsidR="00AC12B4" w:rsidRDefault="00AC12B4">
      <w:pPr>
        <w:spacing w:line="107" w:lineRule="exact"/>
        <w:rPr>
          <w:rFonts w:eastAsia="Times New Roman"/>
          <w:b/>
          <w:bCs/>
          <w:i/>
          <w:iCs/>
          <w:color w:val="963266"/>
          <w:sz w:val="20"/>
          <w:szCs w:val="20"/>
        </w:rPr>
      </w:pPr>
    </w:p>
    <w:p w:rsidR="00AC12B4" w:rsidRDefault="00AC12B4">
      <w:pPr>
        <w:sectPr w:rsidR="00AC12B4">
          <w:type w:val="continuous"/>
          <w:pgSz w:w="12080" w:h="17179"/>
          <w:pgMar w:top="1440" w:right="1440" w:bottom="659" w:left="430" w:header="0" w:footer="0" w:gutter="0"/>
          <w:cols w:num="3" w:space="720" w:equalWidth="0">
            <w:col w:w="3610" w:space="400"/>
            <w:col w:w="860" w:space="720"/>
            <w:col w:w="4617"/>
          </w:cols>
        </w:sect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64" w:lineRule="exact"/>
        <w:rPr>
          <w:rFonts w:eastAsia="Times New Roman"/>
          <w:b/>
          <w:bCs/>
          <w:i/>
          <w:iCs/>
          <w:color w:val="963266"/>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41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de poursuivre son bien-être</w:t>
            </w:r>
          </w:p>
        </w:tc>
      </w:tr>
    </w:tbl>
    <w:p w:rsidR="00AC12B4" w:rsidRDefault="00C27636">
      <w:pPr>
        <w:spacing w:line="20" w:lineRule="exact"/>
        <w:rPr>
          <w:rFonts w:eastAsia="Times New Roman"/>
          <w:b/>
          <w:bCs/>
          <w:i/>
          <w:iCs/>
          <w:color w:val="963266"/>
          <w:sz w:val="20"/>
          <w:szCs w:val="20"/>
        </w:rPr>
      </w:pPr>
      <w:r>
        <w:rPr>
          <w:rFonts w:eastAsia="Times New Roman"/>
          <w:b/>
          <w:bCs/>
          <w:i/>
          <w:iCs/>
          <w:color w:val="963266"/>
          <w:sz w:val="20"/>
          <w:szCs w:val="20"/>
        </w:rPr>
        <w:br w:type="column"/>
      </w:r>
    </w:p>
    <w:p w:rsidR="00AC12B4" w:rsidRDefault="00C27636">
      <w:pPr>
        <w:spacing w:line="225" w:lineRule="auto"/>
        <w:ind w:right="460"/>
        <w:jc w:val="both"/>
        <w:rPr>
          <w:sz w:val="20"/>
          <w:szCs w:val="20"/>
        </w:rPr>
      </w:pPr>
      <w:r>
        <w:rPr>
          <w:rFonts w:ascii="Calibri" w:eastAsia="Calibri" w:hAnsi="Calibri" w:cs="Calibri"/>
          <w:b/>
          <w:bCs/>
          <w:color w:val="4F81BD"/>
          <w:sz w:val="18"/>
          <w:szCs w:val="18"/>
        </w:rPr>
        <w:t>Figure 1. La confiance en soi parmi les jeunes en Fédération Wallonie-Bruxelles (n=12.929). HBSC (2014)</w:t>
      </w:r>
    </w:p>
    <w:p w:rsidR="00AC12B4" w:rsidRDefault="00AC12B4">
      <w:pPr>
        <w:spacing w:line="247" w:lineRule="exact"/>
        <w:rPr>
          <w:rFonts w:eastAsia="Times New Roman"/>
          <w:b/>
          <w:bCs/>
          <w:i/>
          <w:iCs/>
          <w:color w:val="963266"/>
          <w:sz w:val="20"/>
          <w:szCs w:val="20"/>
        </w:rPr>
      </w:pPr>
    </w:p>
    <w:p w:rsidR="00AC12B4" w:rsidRDefault="00C27636">
      <w:pPr>
        <w:spacing w:line="232" w:lineRule="auto"/>
        <w:ind w:right="460"/>
        <w:jc w:val="both"/>
        <w:rPr>
          <w:sz w:val="20"/>
          <w:szCs w:val="20"/>
        </w:rPr>
      </w:pPr>
      <w:r>
        <w:rPr>
          <w:rFonts w:ascii="Calibri" w:eastAsia="Calibri" w:hAnsi="Calibri" w:cs="Calibri"/>
        </w:rPr>
        <w:t>En Fédération Wallonie-Bruxelles, lorsqu'ils</w:t>
      </w:r>
      <w:r>
        <w:rPr>
          <w:rFonts w:ascii="Calibri" w:eastAsia="Calibri" w:hAnsi="Calibri" w:cs="Calibri"/>
        </w:rPr>
        <w:t xml:space="preserve"> sont face à un problème, six jeunes sur dix (63,2%) rapportent qu'ils se sentent toujours ou souvent capables de s'en sortir et un jeune sur dix s'en sent rarement ou jamais capable (10,2%).</w:t>
      </w:r>
    </w:p>
    <w:p w:rsidR="00AC12B4" w:rsidRDefault="00C27636">
      <w:pPr>
        <w:spacing w:line="20" w:lineRule="exact"/>
        <w:rPr>
          <w:rFonts w:eastAsia="Times New Roman"/>
          <w:b/>
          <w:bCs/>
          <w:i/>
          <w:iCs/>
          <w:color w:val="963266"/>
          <w:sz w:val="20"/>
          <w:szCs w:val="20"/>
        </w:rPr>
      </w:pPr>
      <w:r>
        <w:rPr>
          <w:rFonts w:eastAsia="Times New Roman"/>
          <w:b/>
          <w:bCs/>
          <w:i/>
          <w:iCs/>
          <w:noProof/>
          <w:color w:val="963266"/>
          <w:sz w:val="20"/>
          <w:szCs w:val="20"/>
        </w:rPr>
        <w:drawing>
          <wp:anchor distT="0" distB="0" distL="114300" distR="114300" simplePos="0" relativeHeight="251405824" behindDoc="1" locked="0" layoutInCell="0" allowOverlap="1">
            <wp:simplePos x="0" y="0"/>
            <wp:positionH relativeFrom="column">
              <wp:posOffset>-4445</wp:posOffset>
            </wp:positionH>
            <wp:positionV relativeFrom="paragraph">
              <wp:posOffset>325120</wp:posOffset>
            </wp:positionV>
            <wp:extent cx="2650490" cy="159385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8">
                      <a:extLst/>
                    </a:blip>
                    <a:srcRect/>
                    <a:stretch>
                      <a:fillRect/>
                    </a:stretch>
                  </pic:blipFill>
                  <pic:spPr bwMode="auto">
                    <a:xfrm>
                      <a:off x="0" y="0"/>
                      <a:ext cx="2650490" cy="1593850"/>
                    </a:xfrm>
                    <a:prstGeom prst="rect">
                      <a:avLst/>
                    </a:prstGeom>
                    <a:noFill/>
                  </pic:spPr>
                </pic:pic>
              </a:graphicData>
            </a:graphic>
          </wp:anchor>
        </w:drawing>
      </w:r>
    </w:p>
    <w:p w:rsidR="00AC12B4" w:rsidRDefault="00AC12B4">
      <w:pPr>
        <w:spacing w:line="200" w:lineRule="exact"/>
        <w:rPr>
          <w:rFonts w:eastAsia="Times New Roman"/>
          <w:b/>
          <w:bCs/>
          <w:i/>
          <w:iCs/>
          <w:color w:val="963266"/>
          <w:sz w:val="20"/>
          <w:szCs w:val="20"/>
        </w:rPr>
      </w:pPr>
    </w:p>
    <w:p w:rsidR="00AC12B4" w:rsidRDefault="00AC12B4">
      <w:pPr>
        <w:spacing w:line="365" w:lineRule="exact"/>
        <w:rPr>
          <w:rFonts w:eastAsia="Times New Roman"/>
          <w:b/>
          <w:bCs/>
          <w:i/>
          <w:iCs/>
          <w:color w:val="963266"/>
          <w:sz w:val="20"/>
          <w:szCs w:val="20"/>
        </w:rPr>
      </w:pPr>
    </w:p>
    <w:tbl>
      <w:tblPr>
        <w:tblW w:w="0" w:type="auto"/>
        <w:tblInd w:w="620" w:type="dxa"/>
        <w:tblLayout w:type="fixed"/>
        <w:tblCellMar>
          <w:left w:w="0" w:type="dxa"/>
          <w:right w:w="0" w:type="dxa"/>
        </w:tblCellMar>
        <w:tblLook w:val="04A0" w:firstRow="1" w:lastRow="0" w:firstColumn="1" w:lastColumn="0" w:noHBand="0" w:noVBand="1"/>
      </w:tblPr>
      <w:tblGrid>
        <w:gridCol w:w="440"/>
        <w:gridCol w:w="1940"/>
        <w:gridCol w:w="100"/>
        <w:gridCol w:w="760"/>
        <w:gridCol w:w="20"/>
      </w:tblGrid>
      <w:tr w:rsidR="00AC12B4">
        <w:trPr>
          <w:trHeight w:val="266"/>
        </w:trPr>
        <w:tc>
          <w:tcPr>
            <w:tcW w:w="440" w:type="dxa"/>
            <w:vAlign w:val="bottom"/>
          </w:tcPr>
          <w:p w:rsidR="00AC12B4" w:rsidRDefault="00C27636">
            <w:pPr>
              <w:jc w:val="right"/>
              <w:rPr>
                <w:sz w:val="20"/>
                <w:szCs w:val="20"/>
              </w:rPr>
            </w:pPr>
            <w:r>
              <w:rPr>
                <w:rFonts w:ascii="Calibri" w:eastAsia="Calibri" w:hAnsi="Calibri" w:cs="Calibri"/>
                <w:w w:val="95"/>
                <w:sz w:val="20"/>
                <w:szCs w:val="20"/>
              </w:rPr>
              <w:t>7,5%</w:t>
            </w:r>
          </w:p>
        </w:tc>
        <w:tc>
          <w:tcPr>
            <w:tcW w:w="1940" w:type="dxa"/>
            <w:vAlign w:val="bottom"/>
          </w:tcPr>
          <w:p w:rsidR="00AC12B4" w:rsidRDefault="00C27636">
            <w:pPr>
              <w:ind w:right="1400"/>
              <w:jc w:val="right"/>
              <w:rPr>
                <w:sz w:val="20"/>
                <w:szCs w:val="20"/>
              </w:rPr>
            </w:pPr>
            <w:r>
              <w:rPr>
                <w:rFonts w:ascii="Calibri" w:eastAsia="Calibri" w:hAnsi="Calibri" w:cs="Calibri"/>
                <w:sz w:val="20"/>
                <w:szCs w:val="20"/>
              </w:rPr>
              <w:t>2,7%</w:t>
            </w:r>
          </w:p>
        </w:tc>
        <w:tc>
          <w:tcPr>
            <w:tcW w:w="10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27"/>
        </w:trPr>
        <w:tc>
          <w:tcPr>
            <w:tcW w:w="440" w:type="dxa"/>
            <w:vAlign w:val="bottom"/>
          </w:tcPr>
          <w:p w:rsidR="00AC12B4" w:rsidRDefault="00AC12B4">
            <w:pPr>
              <w:rPr>
                <w:sz w:val="19"/>
                <w:szCs w:val="19"/>
              </w:rPr>
            </w:pPr>
          </w:p>
        </w:tc>
        <w:tc>
          <w:tcPr>
            <w:tcW w:w="1940" w:type="dxa"/>
            <w:vAlign w:val="bottom"/>
          </w:tcPr>
          <w:p w:rsidR="00AC12B4" w:rsidRDefault="00C27636">
            <w:pPr>
              <w:spacing w:line="198" w:lineRule="exact"/>
              <w:ind w:right="300"/>
              <w:jc w:val="right"/>
              <w:rPr>
                <w:sz w:val="20"/>
                <w:szCs w:val="20"/>
              </w:rPr>
            </w:pPr>
            <w:r>
              <w:rPr>
                <w:rFonts w:ascii="Calibri" w:eastAsia="Calibri" w:hAnsi="Calibri" w:cs="Calibri"/>
                <w:sz w:val="20"/>
                <w:szCs w:val="20"/>
              </w:rPr>
              <w:t>22,4%</w:t>
            </w:r>
          </w:p>
        </w:tc>
        <w:tc>
          <w:tcPr>
            <w:tcW w:w="100" w:type="dxa"/>
            <w:tcBorders>
              <w:bottom w:val="single" w:sz="8" w:space="0" w:color="4F81BD"/>
            </w:tcBorders>
            <w:vAlign w:val="bottom"/>
          </w:tcPr>
          <w:p w:rsidR="00AC12B4" w:rsidRDefault="00AC12B4">
            <w:pPr>
              <w:rPr>
                <w:sz w:val="19"/>
                <w:szCs w:val="19"/>
              </w:rPr>
            </w:pPr>
          </w:p>
        </w:tc>
        <w:tc>
          <w:tcPr>
            <w:tcW w:w="760" w:type="dxa"/>
            <w:vMerge w:val="restart"/>
            <w:vAlign w:val="bottom"/>
          </w:tcPr>
          <w:p w:rsidR="00AC12B4" w:rsidRDefault="00C27636">
            <w:pPr>
              <w:ind w:left="60"/>
              <w:rPr>
                <w:sz w:val="20"/>
                <w:szCs w:val="20"/>
              </w:rPr>
            </w:pPr>
            <w:r>
              <w:rPr>
                <w:rFonts w:ascii="Calibri" w:eastAsia="Calibri" w:hAnsi="Calibri" w:cs="Calibri"/>
                <w:w w:val="95"/>
                <w:sz w:val="20"/>
                <w:szCs w:val="20"/>
              </w:rPr>
              <w:t>Toujours</w:t>
            </w:r>
          </w:p>
        </w:tc>
        <w:tc>
          <w:tcPr>
            <w:tcW w:w="0" w:type="dxa"/>
            <w:vAlign w:val="bottom"/>
          </w:tcPr>
          <w:p w:rsidR="00AC12B4" w:rsidRDefault="00AC12B4">
            <w:pPr>
              <w:rPr>
                <w:sz w:val="1"/>
                <w:szCs w:val="1"/>
              </w:rPr>
            </w:pPr>
          </w:p>
        </w:tc>
      </w:tr>
      <w:tr w:rsidR="00AC12B4">
        <w:trPr>
          <w:trHeight w:val="51"/>
        </w:trPr>
        <w:tc>
          <w:tcPr>
            <w:tcW w:w="440" w:type="dxa"/>
            <w:vAlign w:val="bottom"/>
          </w:tcPr>
          <w:p w:rsidR="00AC12B4" w:rsidRDefault="00AC12B4">
            <w:pPr>
              <w:rPr>
                <w:sz w:val="4"/>
                <w:szCs w:val="4"/>
              </w:rPr>
            </w:pPr>
          </w:p>
        </w:tc>
        <w:tc>
          <w:tcPr>
            <w:tcW w:w="194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7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bl>
    <w:p w:rsidR="00AC12B4" w:rsidRDefault="00AC12B4">
      <w:pPr>
        <w:spacing w:line="118" w:lineRule="exact"/>
        <w:rPr>
          <w:rFonts w:eastAsia="Times New Roman"/>
          <w:b/>
          <w:bCs/>
          <w:i/>
          <w:iCs/>
          <w:color w:val="963266"/>
          <w:sz w:val="20"/>
          <w:szCs w:val="20"/>
        </w:rPr>
      </w:pPr>
    </w:p>
    <w:p w:rsidR="00AC12B4" w:rsidRDefault="00C27636">
      <w:pPr>
        <w:ind w:left="3000"/>
        <w:rPr>
          <w:sz w:val="20"/>
          <w:szCs w:val="20"/>
        </w:rPr>
      </w:pPr>
      <w:r>
        <w:rPr>
          <w:noProof/>
          <w:sz w:val="1"/>
          <w:szCs w:val="1"/>
        </w:rPr>
        <w:drawing>
          <wp:inline distT="0" distB="0" distL="0" distR="0">
            <wp:extent cx="68580" cy="698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9">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20"/>
          <w:szCs w:val="20"/>
        </w:rPr>
        <w:t xml:space="preserve"> Souvent</w:t>
      </w:r>
    </w:p>
    <w:p w:rsidR="00AC12B4" w:rsidRDefault="00AC12B4">
      <w:pPr>
        <w:spacing w:line="29" w:lineRule="exact"/>
        <w:rPr>
          <w:rFonts w:eastAsia="Times New Roman"/>
          <w:b/>
          <w:bCs/>
          <w:i/>
          <w:iCs/>
          <w:color w:val="963266"/>
          <w:sz w:val="20"/>
          <w:szCs w:val="20"/>
        </w:rPr>
      </w:pPr>
    </w:p>
    <w:tbl>
      <w:tblPr>
        <w:tblW w:w="0" w:type="auto"/>
        <w:tblInd w:w="60" w:type="dxa"/>
        <w:tblLayout w:type="fixed"/>
        <w:tblCellMar>
          <w:left w:w="0" w:type="dxa"/>
          <w:right w:w="0" w:type="dxa"/>
        </w:tblCellMar>
        <w:tblLook w:val="04A0" w:firstRow="1" w:lastRow="0" w:firstColumn="1" w:lastColumn="0" w:noHBand="0" w:noVBand="1"/>
      </w:tblPr>
      <w:tblGrid>
        <w:gridCol w:w="1180"/>
        <w:gridCol w:w="1760"/>
        <w:gridCol w:w="100"/>
        <w:gridCol w:w="860"/>
        <w:gridCol w:w="20"/>
      </w:tblGrid>
      <w:tr w:rsidR="00AC12B4">
        <w:trPr>
          <w:trHeight w:val="172"/>
        </w:trPr>
        <w:tc>
          <w:tcPr>
            <w:tcW w:w="1180" w:type="dxa"/>
            <w:vMerge w:val="restart"/>
            <w:vAlign w:val="bottom"/>
          </w:tcPr>
          <w:p w:rsidR="00AC12B4" w:rsidRDefault="00C27636">
            <w:pPr>
              <w:ind w:right="580"/>
              <w:jc w:val="right"/>
              <w:rPr>
                <w:sz w:val="20"/>
                <w:szCs w:val="20"/>
              </w:rPr>
            </w:pPr>
            <w:r>
              <w:rPr>
                <w:rFonts w:ascii="Calibri" w:eastAsia="Calibri" w:hAnsi="Calibri" w:cs="Calibri"/>
                <w:w w:val="96"/>
                <w:sz w:val="20"/>
                <w:szCs w:val="20"/>
              </w:rPr>
              <w:t>26,6%</w:t>
            </w:r>
          </w:p>
        </w:tc>
        <w:tc>
          <w:tcPr>
            <w:tcW w:w="176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860" w:type="dxa"/>
            <w:vMerge w:val="restart"/>
            <w:vAlign w:val="bottom"/>
          </w:tcPr>
          <w:p w:rsidR="00AC12B4" w:rsidRDefault="00C27636">
            <w:pPr>
              <w:ind w:left="60"/>
              <w:rPr>
                <w:sz w:val="20"/>
                <w:szCs w:val="20"/>
              </w:rPr>
            </w:pPr>
            <w:r>
              <w:rPr>
                <w:rFonts w:ascii="Calibri" w:eastAsia="Calibri" w:hAnsi="Calibri" w:cs="Calibri"/>
                <w:sz w:val="20"/>
                <w:szCs w:val="20"/>
              </w:rPr>
              <w:t>Parfois</w:t>
            </w:r>
          </w:p>
        </w:tc>
        <w:tc>
          <w:tcPr>
            <w:tcW w:w="0" w:type="dxa"/>
            <w:vAlign w:val="bottom"/>
          </w:tcPr>
          <w:p w:rsidR="00AC12B4" w:rsidRDefault="00AC12B4">
            <w:pPr>
              <w:rPr>
                <w:sz w:val="1"/>
                <w:szCs w:val="1"/>
              </w:rPr>
            </w:pPr>
          </w:p>
        </w:tc>
      </w:tr>
      <w:tr w:rsidR="00AC12B4">
        <w:trPr>
          <w:trHeight w:val="90"/>
        </w:trPr>
        <w:tc>
          <w:tcPr>
            <w:tcW w:w="1180" w:type="dxa"/>
            <w:vMerge/>
            <w:vAlign w:val="bottom"/>
          </w:tcPr>
          <w:p w:rsidR="00AC12B4" w:rsidRDefault="00AC12B4">
            <w:pPr>
              <w:rPr>
                <w:sz w:val="7"/>
                <w:szCs w:val="7"/>
              </w:rPr>
            </w:pPr>
          </w:p>
        </w:tc>
        <w:tc>
          <w:tcPr>
            <w:tcW w:w="1760" w:type="dxa"/>
            <w:vAlign w:val="bottom"/>
          </w:tcPr>
          <w:p w:rsidR="00AC12B4" w:rsidRDefault="00AC12B4">
            <w:pPr>
              <w:rPr>
                <w:sz w:val="7"/>
                <w:szCs w:val="7"/>
              </w:rPr>
            </w:pPr>
          </w:p>
        </w:tc>
        <w:tc>
          <w:tcPr>
            <w:tcW w:w="100" w:type="dxa"/>
            <w:tcBorders>
              <w:bottom w:val="single" w:sz="8" w:space="0" w:color="9BBB59"/>
            </w:tcBorders>
            <w:shd w:val="clear" w:color="auto" w:fill="9BBB59"/>
            <w:vAlign w:val="bottom"/>
          </w:tcPr>
          <w:p w:rsidR="00AC12B4" w:rsidRDefault="00AC12B4">
            <w:pPr>
              <w:rPr>
                <w:sz w:val="7"/>
                <w:szCs w:val="7"/>
              </w:rPr>
            </w:pPr>
          </w:p>
        </w:tc>
        <w:tc>
          <w:tcPr>
            <w:tcW w:w="86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50"/>
        </w:trPr>
        <w:tc>
          <w:tcPr>
            <w:tcW w:w="1180" w:type="dxa"/>
            <w:vAlign w:val="bottom"/>
          </w:tcPr>
          <w:p w:rsidR="00AC12B4" w:rsidRDefault="00AC12B4">
            <w:pPr>
              <w:rPr>
                <w:sz w:val="4"/>
                <w:szCs w:val="4"/>
              </w:rPr>
            </w:pPr>
          </w:p>
        </w:tc>
        <w:tc>
          <w:tcPr>
            <w:tcW w:w="176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8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2"/>
        </w:trPr>
        <w:tc>
          <w:tcPr>
            <w:tcW w:w="1180" w:type="dxa"/>
            <w:vAlign w:val="bottom"/>
          </w:tcPr>
          <w:p w:rsidR="00AC12B4" w:rsidRDefault="00AC12B4">
            <w:pPr>
              <w:rPr>
                <w:sz w:val="17"/>
                <w:szCs w:val="17"/>
              </w:rPr>
            </w:pPr>
          </w:p>
        </w:tc>
        <w:tc>
          <w:tcPr>
            <w:tcW w:w="176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860" w:type="dxa"/>
            <w:vMerge w:val="restart"/>
            <w:vAlign w:val="bottom"/>
          </w:tcPr>
          <w:p w:rsidR="00AC12B4" w:rsidRDefault="00C27636">
            <w:pPr>
              <w:ind w:left="60"/>
              <w:rPr>
                <w:sz w:val="20"/>
                <w:szCs w:val="20"/>
              </w:rPr>
            </w:pPr>
            <w:r>
              <w:rPr>
                <w:rFonts w:ascii="Calibri" w:eastAsia="Calibri" w:hAnsi="Calibri" w:cs="Calibri"/>
                <w:w w:val="96"/>
                <w:sz w:val="20"/>
                <w:szCs w:val="20"/>
              </w:rPr>
              <w:t>Rarement</w:t>
            </w:r>
          </w:p>
        </w:tc>
        <w:tc>
          <w:tcPr>
            <w:tcW w:w="0" w:type="dxa"/>
            <w:vAlign w:val="bottom"/>
          </w:tcPr>
          <w:p w:rsidR="00AC12B4" w:rsidRDefault="00AC12B4">
            <w:pPr>
              <w:rPr>
                <w:sz w:val="1"/>
                <w:szCs w:val="1"/>
              </w:rPr>
            </w:pPr>
          </w:p>
        </w:tc>
      </w:tr>
      <w:tr w:rsidR="00AC12B4">
        <w:trPr>
          <w:trHeight w:val="108"/>
        </w:trPr>
        <w:tc>
          <w:tcPr>
            <w:tcW w:w="1180" w:type="dxa"/>
            <w:vAlign w:val="bottom"/>
          </w:tcPr>
          <w:p w:rsidR="00AC12B4" w:rsidRDefault="00AC12B4">
            <w:pPr>
              <w:rPr>
                <w:sz w:val="9"/>
                <w:szCs w:val="9"/>
              </w:rPr>
            </w:pPr>
          </w:p>
        </w:tc>
        <w:tc>
          <w:tcPr>
            <w:tcW w:w="1760" w:type="dxa"/>
            <w:vAlign w:val="bottom"/>
          </w:tcPr>
          <w:p w:rsidR="00AC12B4" w:rsidRDefault="00AC12B4">
            <w:pPr>
              <w:rPr>
                <w:sz w:val="9"/>
                <w:szCs w:val="9"/>
              </w:rPr>
            </w:pPr>
          </w:p>
        </w:tc>
        <w:tc>
          <w:tcPr>
            <w:tcW w:w="100" w:type="dxa"/>
            <w:shd w:val="clear" w:color="auto" w:fill="8064A2"/>
            <w:vAlign w:val="bottom"/>
          </w:tcPr>
          <w:p w:rsidR="00AC12B4" w:rsidRDefault="00AC12B4">
            <w:pPr>
              <w:rPr>
                <w:sz w:val="9"/>
                <w:szCs w:val="9"/>
              </w:rPr>
            </w:pPr>
          </w:p>
        </w:tc>
        <w:tc>
          <w:tcPr>
            <w:tcW w:w="8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2"/>
        </w:trPr>
        <w:tc>
          <w:tcPr>
            <w:tcW w:w="1180" w:type="dxa"/>
            <w:vAlign w:val="bottom"/>
          </w:tcPr>
          <w:p w:rsidR="00AC12B4" w:rsidRDefault="00AC12B4">
            <w:pPr>
              <w:rPr>
                <w:sz w:val="4"/>
                <w:szCs w:val="4"/>
              </w:rPr>
            </w:pPr>
          </w:p>
        </w:tc>
        <w:tc>
          <w:tcPr>
            <w:tcW w:w="176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8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0"/>
        </w:trPr>
        <w:tc>
          <w:tcPr>
            <w:tcW w:w="1180" w:type="dxa"/>
            <w:vAlign w:val="bottom"/>
          </w:tcPr>
          <w:p w:rsidR="00AC12B4" w:rsidRDefault="00AC12B4">
            <w:pPr>
              <w:rPr>
                <w:sz w:val="17"/>
                <w:szCs w:val="17"/>
              </w:rPr>
            </w:pPr>
          </w:p>
        </w:tc>
        <w:tc>
          <w:tcPr>
            <w:tcW w:w="1760" w:type="dxa"/>
            <w:vMerge w:val="restart"/>
            <w:vAlign w:val="bottom"/>
          </w:tcPr>
          <w:p w:rsidR="00AC12B4" w:rsidRDefault="00C27636">
            <w:pPr>
              <w:ind w:right="480"/>
              <w:jc w:val="right"/>
              <w:rPr>
                <w:sz w:val="20"/>
                <w:szCs w:val="20"/>
              </w:rPr>
            </w:pPr>
            <w:r>
              <w:rPr>
                <w:rFonts w:ascii="Calibri" w:eastAsia="Calibri" w:hAnsi="Calibri" w:cs="Calibri"/>
                <w:sz w:val="20"/>
                <w:szCs w:val="20"/>
              </w:rPr>
              <w:t>40,8%</w:t>
            </w:r>
          </w:p>
        </w:tc>
        <w:tc>
          <w:tcPr>
            <w:tcW w:w="100" w:type="dxa"/>
            <w:vAlign w:val="bottom"/>
          </w:tcPr>
          <w:p w:rsidR="00AC12B4" w:rsidRDefault="00AC12B4">
            <w:pPr>
              <w:rPr>
                <w:sz w:val="17"/>
                <w:szCs w:val="17"/>
              </w:rPr>
            </w:pPr>
          </w:p>
        </w:tc>
        <w:tc>
          <w:tcPr>
            <w:tcW w:w="860" w:type="dxa"/>
            <w:vMerge w:val="restart"/>
            <w:vAlign w:val="bottom"/>
          </w:tcPr>
          <w:p w:rsidR="00AC12B4" w:rsidRDefault="00C27636">
            <w:pPr>
              <w:ind w:left="60"/>
              <w:rPr>
                <w:sz w:val="20"/>
                <w:szCs w:val="20"/>
              </w:rPr>
            </w:pPr>
            <w:r>
              <w:rPr>
                <w:rFonts w:ascii="Calibri" w:eastAsia="Calibri" w:hAnsi="Calibri" w:cs="Calibri"/>
                <w:sz w:val="20"/>
                <w:szCs w:val="20"/>
              </w:rPr>
              <w:t>Jamais</w:t>
            </w:r>
          </w:p>
        </w:tc>
        <w:tc>
          <w:tcPr>
            <w:tcW w:w="0" w:type="dxa"/>
            <w:vAlign w:val="bottom"/>
          </w:tcPr>
          <w:p w:rsidR="00AC12B4" w:rsidRDefault="00AC12B4">
            <w:pPr>
              <w:rPr>
                <w:sz w:val="1"/>
                <w:szCs w:val="1"/>
              </w:rPr>
            </w:pPr>
          </w:p>
        </w:tc>
      </w:tr>
      <w:tr w:rsidR="00AC12B4">
        <w:trPr>
          <w:trHeight w:val="110"/>
        </w:trPr>
        <w:tc>
          <w:tcPr>
            <w:tcW w:w="1180" w:type="dxa"/>
            <w:vAlign w:val="bottom"/>
          </w:tcPr>
          <w:p w:rsidR="00AC12B4" w:rsidRDefault="00AC12B4">
            <w:pPr>
              <w:rPr>
                <w:sz w:val="9"/>
                <w:szCs w:val="9"/>
              </w:rPr>
            </w:pPr>
          </w:p>
        </w:tc>
        <w:tc>
          <w:tcPr>
            <w:tcW w:w="1760" w:type="dxa"/>
            <w:vMerge/>
            <w:vAlign w:val="bottom"/>
          </w:tcPr>
          <w:p w:rsidR="00AC12B4" w:rsidRDefault="00AC12B4">
            <w:pPr>
              <w:rPr>
                <w:sz w:val="9"/>
                <w:szCs w:val="9"/>
              </w:rPr>
            </w:pPr>
          </w:p>
        </w:tc>
        <w:tc>
          <w:tcPr>
            <w:tcW w:w="100" w:type="dxa"/>
            <w:shd w:val="clear" w:color="auto" w:fill="4BACC6"/>
            <w:vAlign w:val="bottom"/>
          </w:tcPr>
          <w:p w:rsidR="00AC12B4" w:rsidRDefault="00AC12B4">
            <w:pPr>
              <w:rPr>
                <w:sz w:val="9"/>
                <w:szCs w:val="9"/>
              </w:rPr>
            </w:pPr>
          </w:p>
        </w:tc>
        <w:tc>
          <w:tcPr>
            <w:tcW w:w="8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1180" w:type="dxa"/>
            <w:vAlign w:val="bottom"/>
          </w:tcPr>
          <w:p w:rsidR="00AC12B4" w:rsidRDefault="00AC12B4">
            <w:pPr>
              <w:rPr>
                <w:sz w:val="4"/>
                <w:szCs w:val="4"/>
              </w:rPr>
            </w:pPr>
          </w:p>
        </w:tc>
        <w:tc>
          <w:tcPr>
            <w:tcW w:w="1760" w:type="dxa"/>
            <w:vMerge/>
            <w:vAlign w:val="bottom"/>
          </w:tcPr>
          <w:p w:rsidR="00AC12B4" w:rsidRDefault="00AC12B4">
            <w:pPr>
              <w:rPr>
                <w:sz w:val="4"/>
                <w:szCs w:val="4"/>
              </w:rPr>
            </w:pPr>
          </w:p>
        </w:tc>
        <w:tc>
          <w:tcPr>
            <w:tcW w:w="100" w:type="dxa"/>
            <w:vAlign w:val="bottom"/>
          </w:tcPr>
          <w:p w:rsidR="00AC12B4" w:rsidRDefault="00AC12B4">
            <w:pPr>
              <w:rPr>
                <w:sz w:val="4"/>
                <w:szCs w:val="4"/>
              </w:rPr>
            </w:pPr>
          </w:p>
        </w:tc>
        <w:tc>
          <w:tcPr>
            <w:tcW w:w="8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55"/>
        </w:trPr>
        <w:tc>
          <w:tcPr>
            <w:tcW w:w="1180" w:type="dxa"/>
            <w:vAlign w:val="bottom"/>
          </w:tcPr>
          <w:p w:rsidR="00AC12B4" w:rsidRDefault="00AC12B4"/>
        </w:tc>
        <w:tc>
          <w:tcPr>
            <w:tcW w:w="1760" w:type="dxa"/>
            <w:vMerge/>
            <w:vAlign w:val="bottom"/>
          </w:tcPr>
          <w:p w:rsidR="00AC12B4" w:rsidRDefault="00AC12B4"/>
        </w:tc>
        <w:tc>
          <w:tcPr>
            <w:tcW w:w="100" w:type="dxa"/>
            <w:vAlign w:val="bottom"/>
          </w:tcPr>
          <w:p w:rsidR="00AC12B4" w:rsidRDefault="00AC12B4"/>
        </w:tc>
        <w:tc>
          <w:tcPr>
            <w:tcW w:w="860" w:type="dxa"/>
            <w:vAlign w:val="bottom"/>
          </w:tcPr>
          <w:p w:rsidR="00AC12B4" w:rsidRDefault="00AC12B4"/>
        </w:tc>
        <w:tc>
          <w:tcPr>
            <w:tcW w:w="0" w:type="dxa"/>
            <w:vAlign w:val="bottom"/>
          </w:tcPr>
          <w:p w:rsidR="00AC12B4" w:rsidRDefault="00AC12B4">
            <w:pPr>
              <w:rPr>
                <w:sz w:val="1"/>
                <w:szCs w:val="1"/>
              </w:rPr>
            </w:pPr>
          </w:p>
        </w:tc>
      </w:tr>
    </w:tbl>
    <w:p w:rsidR="00AC12B4" w:rsidRDefault="00AC12B4">
      <w:pPr>
        <w:spacing w:line="345" w:lineRule="exact"/>
        <w:rPr>
          <w:rFonts w:eastAsia="Times New Roman"/>
          <w:b/>
          <w:bCs/>
          <w:i/>
          <w:iCs/>
          <w:color w:val="963266"/>
          <w:sz w:val="20"/>
          <w:szCs w:val="20"/>
        </w:rPr>
      </w:pPr>
    </w:p>
    <w:p w:rsidR="00AC12B4" w:rsidRDefault="00C27636">
      <w:pPr>
        <w:spacing w:line="225" w:lineRule="auto"/>
        <w:ind w:right="460"/>
        <w:jc w:val="both"/>
        <w:rPr>
          <w:sz w:val="20"/>
          <w:szCs w:val="20"/>
        </w:rPr>
      </w:pPr>
      <w:r>
        <w:rPr>
          <w:rFonts w:ascii="Calibri" w:eastAsia="Calibri" w:hAnsi="Calibri" w:cs="Calibri"/>
          <w:b/>
          <w:bCs/>
          <w:color w:val="4F81BD"/>
          <w:sz w:val="18"/>
          <w:szCs w:val="18"/>
        </w:rPr>
        <w:t>Figure 2. La capacité de s’en sortir face à un problème parmi les jeunes en Fédération Wallonie-Bruxelles (n=12.939). HBSC (2014)</w:t>
      </w:r>
    </w:p>
    <w:p w:rsidR="00AC12B4" w:rsidRDefault="00AC12B4">
      <w:pPr>
        <w:spacing w:line="204" w:lineRule="exact"/>
        <w:rPr>
          <w:rFonts w:eastAsia="Times New Roman"/>
          <w:b/>
          <w:bCs/>
          <w:i/>
          <w:iCs/>
          <w:color w:val="963266"/>
          <w:sz w:val="20"/>
          <w:szCs w:val="20"/>
        </w:rPr>
      </w:pPr>
    </w:p>
    <w:p w:rsidR="00AC12B4" w:rsidRDefault="00C27636">
      <w:pPr>
        <w:rPr>
          <w:sz w:val="20"/>
          <w:szCs w:val="20"/>
        </w:rPr>
      </w:pPr>
      <w:r>
        <w:rPr>
          <w:rFonts w:ascii="Cambria" w:eastAsia="Cambria" w:hAnsi="Cambria" w:cs="Cambria"/>
          <w:b/>
          <w:bCs/>
          <w:i/>
          <w:iCs/>
          <w:color w:val="963266"/>
          <w:sz w:val="26"/>
          <w:szCs w:val="26"/>
        </w:rPr>
        <w:t>Evolution</w:t>
      </w:r>
    </w:p>
    <w:p w:rsidR="00AC12B4" w:rsidRDefault="00AC12B4">
      <w:pPr>
        <w:spacing w:line="208" w:lineRule="exact"/>
        <w:rPr>
          <w:rFonts w:eastAsia="Times New Roman"/>
          <w:b/>
          <w:bCs/>
          <w:i/>
          <w:iCs/>
          <w:color w:val="963266"/>
          <w:sz w:val="20"/>
          <w:szCs w:val="20"/>
        </w:rPr>
      </w:pPr>
    </w:p>
    <w:p w:rsidR="00AC12B4" w:rsidRDefault="00C27636">
      <w:pPr>
        <w:spacing w:line="225" w:lineRule="auto"/>
        <w:ind w:right="460"/>
        <w:jc w:val="both"/>
        <w:rPr>
          <w:sz w:val="20"/>
          <w:szCs w:val="20"/>
        </w:rPr>
      </w:pPr>
      <w:r>
        <w:rPr>
          <w:rFonts w:ascii="Calibri" w:eastAsia="Calibri" w:hAnsi="Calibri" w:cs="Calibri"/>
        </w:rPr>
        <w:t xml:space="preserve">La proportion de jeunes </w:t>
      </w:r>
      <w:r>
        <w:rPr>
          <w:rFonts w:ascii="Calibri" w:eastAsia="Calibri" w:hAnsi="Calibri" w:cs="Calibri"/>
        </w:rPr>
        <w:t>déclarant avoir confiance en eux a tendance à diminuer depuis 1994.</w:t>
      </w: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200" w:lineRule="exact"/>
        <w:rPr>
          <w:rFonts w:eastAsia="Times New Roman"/>
          <w:b/>
          <w:bCs/>
          <w:i/>
          <w:iCs/>
          <w:color w:val="963266"/>
          <w:sz w:val="20"/>
          <w:szCs w:val="20"/>
        </w:rPr>
      </w:pPr>
    </w:p>
    <w:p w:rsidR="00AC12B4" w:rsidRDefault="00AC12B4">
      <w:pPr>
        <w:spacing w:line="303" w:lineRule="exact"/>
        <w:rPr>
          <w:rFonts w:eastAsia="Times New Roman"/>
          <w:b/>
          <w:bCs/>
          <w:i/>
          <w:iCs/>
          <w:color w:val="963266"/>
          <w:sz w:val="20"/>
          <w:szCs w:val="20"/>
        </w:rPr>
      </w:pPr>
    </w:p>
    <w:p w:rsidR="00AC12B4" w:rsidRDefault="00C27636">
      <w:pPr>
        <w:jc w:val="right"/>
        <w:rPr>
          <w:sz w:val="20"/>
          <w:szCs w:val="20"/>
        </w:rPr>
      </w:pPr>
      <w:r>
        <w:rPr>
          <w:rFonts w:ascii="Calibri" w:eastAsia="Calibri" w:hAnsi="Calibri" w:cs="Calibri"/>
        </w:rPr>
        <w:t>50</w:t>
      </w:r>
    </w:p>
    <w:p w:rsidR="00AC12B4" w:rsidRDefault="00C27636">
      <w:pPr>
        <w:spacing w:line="20" w:lineRule="exact"/>
        <w:rPr>
          <w:rFonts w:eastAsia="Times New Roman"/>
          <w:b/>
          <w:bCs/>
          <w:i/>
          <w:iCs/>
          <w:color w:val="963266"/>
          <w:sz w:val="20"/>
          <w:szCs w:val="20"/>
        </w:rPr>
      </w:pPr>
      <w:r>
        <w:rPr>
          <w:rFonts w:eastAsia="Times New Roman"/>
          <w:b/>
          <w:bCs/>
          <w:i/>
          <w:iCs/>
          <w:color w:val="963266"/>
          <w:sz w:val="20"/>
          <w:szCs w:val="20"/>
        </w:rPr>
        <w:br w:type="column"/>
      </w:r>
    </w:p>
    <w:p w:rsidR="00AC12B4" w:rsidRDefault="00C27636">
      <w:pPr>
        <w:spacing w:line="192" w:lineRule="auto"/>
        <w:ind w:right="3397"/>
        <w:jc w:val="both"/>
        <w:rPr>
          <w:sz w:val="20"/>
          <w:szCs w:val="20"/>
        </w:rPr>
      </w:pPr>
      <w:r>
        <w:rPr>
          <w:rFonts w:ascii="Calibri" w:eastAsia="Calibri" w:hAnsi="Calibri" w:cs="Calibri"/>
        </w:rPr>
        <w:t>parents par rapport à</w:t>
      </w:r>
    </w:p>
    <w:p w:rsidR="00AC12B4" w:rsidRDefault="00AC12B4">
      <w:pPr>
        <w:spacing w:line="51" w:lineRule="exact"/>
        <w:rPr>
          <w:rFonts w:eastAsia="Times New Roman"/>
          <w:b/>
          <w:bCs/>
          <w:i/>
          <w:iCs/>
          <w:color w:val="963266"/>
          <w:sz w:val="20"/>
          <w:szCs w:val="20"/>
        </w:rPr>
      </w:pPr>
    </w:p>
    <w:p w:rsidR="00AC12B4" w:rsidRDefault="00C27636">
      <w:pPr>
        <w:spacing w:line="231" w:lineRule="auto"/>
        <w:ind w:right="3397"/>
        <w:jc w:val="both"/>
        <w:rPr>
          <w:sz w:val="20"/>
          <w:szCs w:val="20"/>
        </w:rPr>
      </w:pPr>
      <w:r>
        <w:rPr>
          <w:rFonts w:ascii="Calibri" w:eastAsia="Calibri" w:hAnsi="Calibri" w:cs="Calibri"/>
        </w:rPr>
        <w:t>ceux qui vivent dans une autre configuration familiale. La</w:t>
      </w:r>
    </w:p>
    <w:p w:rsidR="00AC12B4" w:rsidRDefault="00AC12B4">
      <w:pPr>
        <w:spacing w:line="52" w:lineRule="exact"/>
        <w:rPr>
          <w:rFonts w:eastAsia="Times New Roman"/>
          <w:b/>
          <w:bCs/>
          <w:i/>
          <w:iCs/>
          <w:color w:val="963266"/>
          <w:sz w:val="20"/>
          <w:szCs w:val="20"/>
        </w:rPr>
      </w:pPr>
    </w:p>
    <w:p w:rsidR="00AC12B4" w:rsidRDefault="00C27636">
      <w:pPr>
        <w:spacing w:line="228" w:lineRule="auto"/>
        <w:ind w:right="737"/>
        <w:jc w:val="both"/>
        <w:rPr>
          <w:sz w:val="20"/>
          <w:szCs w:val="20"/>
        </w:rPr>
      </w:pPr>
      <w:r>
        <w:rPr>
          <w:rFonts w:ascii="Calibri" w:eastAsia="Calibri" w:hAnsi="Calibri" w:cs="Calibri"/>
        </w:rPr>
        <w:t xml:space="preserve">proportion de jeunes qui ont toujours ou souvent confiance en eux diminue lorsque </w:t>
      </w:r>
      <w:r>
        <w:rPr>
          <w:rFonts w:ascii="Calibri" w:eastAsia="Calibri" w:hAnsi="Calibri" w:cs="Calibri"/>
        </w:rPr>
        <w:t>l’âge augmente et lorsque le niveau d'aisance matérielle de la famille diminue.</w:t>
      </w:r>
    </w:p>
    <w:p w:rsidR="00AC12B4" w:rsidRDefault="00AC12B4">
      <w:pPr>
        <w:spacing w:line="172" w:lineRule="exact"/>
        <w:rPr>
          <w:rFonts w:eastAsia="Times New Roman"/>
          <w:b/>
          <w:bCs/>
          <w:i/>
          <w:iCs/>
          <w:color w:val="963266"/>
          <w:sz w:val="20"/>
          <w:szCs w:val="20"/>
        </w:rPr>
      </w:pPr>
    </w:p>
    <w:p w:rsidR="00AC12B4" w:rsidRDefault="00C27636">
      <w:pPr>
        <w:spacing w:line="236" w:lineRule="auto"/>
        <w:ind w:right="737"/>
        <w:jc w:val="both"/>
        <w:rPr>
          <w:sz w:val="20"/>
          <w:szCs w:val="20"/>
        </w:rPr>
      </w:pPr>
      <w:r>
        <w:rPr>
          <w:rFonts w:ascii="Calibri" w:eastAsia="Calibri" w:hAnsi="Calibri" w:cs="Calibri"/>
        </w:rPr>
        <w:t>Les garçons rapportent plus fréquemment qu'ils se sentent toujours ou souvent capables de s'en sortir face à un problème. La capacité de s'en sortir est plus fréquemment rappo</w:t>
      </w:r>
      <w:r>
        <w:rPr>
          <w:rFonts w:ascii="Calibri" w:eastAsia="Calibri" w:hAnsi="Calibri" w:cs="Calibri"/>
        </w:rPr>
        <w:t>rtée par les jeunes qui vivent avec leurs deux parents. La proportion de jeunes qui se sentent toujours ou souvent capable de s'en sortir augmente avec l'âge et au fur et à mesure que le niveau d'aisance matérielle de la famille augmente.</w:t>
      </w:r>
    </w:p>
    <w:p w:rsidR="00AC12B4" w:rsidRDefault="00AC12B4">
      <w:pPr>
        <w:sectPr w:rsidR="00AC12B4">
          <w:type w:val="continuous"/>
          <w:pgSz w:w="12080" w:h="17179"/>
          <w:pgMar w:top="1440" w:right="1440" w:bottom="659" w:left="430" w:header="0" w:footer="0" w:gutter="0"/>
          <w:cols w:num="3" w:space="720" w:equalWidth="0">
            <w:col w:w="342" w:space="668"/>
            <w:col w:w="4340" w:space="240"/>
            <w:col w:w="4617"/>
          </w:cols>
        </w:sectPr>
      </w:pPr>
    </w:p>
    <w:p w:rsidR="00AC12B4" w:rsidRDefault="00AC12B4">
      <w:pPr>
        <w:spacing w:line="163" w:lineRule="exact"/>
        <w:rPr>
          <w:sz w:val="20"/>
          <w:szCs w:val="20"/>
        </w:rPr>
      </w:pPr>
      <w:bookmarkStart w:id="50" w:name="page51"/>
      <w:bookmarkEnd w:id="50"/>
    </w:p>
    <w:tbl>
      <w:tblPr>
        <w:tblW w:w="0" w:type="auto"/>
        <w:tblInd w:w="500" w:type="dxa"/>
        <w:tblLayout w:type="fixed"/>
        <w:tblCellMar>
          <w:left w:w="0" w:type="dxa"/>
          <w:right w:w="0" w:type="dxa"/>
        </w:tblCellMar>
        <w:tblLook w:val="04A0" w:firstRow="1" w:lastRow="0" w:firstColumn="1" w:lastColumn="0" w:noHBand="0" w:noVBand="1"/>
      </w:tblPr>
      <w:tblGrid>
        <w:gridCol w:w="1240"/>
        <w:gridCol w:w="780"/>
        <w:gridCol w:w="1220"/>
        <w:gridCol w:w="780"/>
      </w:tblGrid>
      <w:tr w:rsidR="00AC12B4">
        <w:trPr>
          <w:trHeight w:val="269"/>
        </w:trPr>
        <w:tc>
          <w:tcPr>
            <w:tcW w:w="1240" w:type="dxa"/>
            <w:vAlign w:val="bottom"/>
          </w:tcPr>
          <w:p w:rsidR="00AC12B4" w:rsidRDefault="00AC12B4">
            <w:pPr>
              <w:rPr>
                <w:sz w:val="23"/>
                <w:szCs w:val="23"/>
              </w:rPr>
            </w:pPr>
          </w:p>
        </w:tc>
        <w:tc>
          <w:tcPr>
            <w:tcW w:w="780" w:type="dxa"/>
            <w:vAlign w:val="bottom"/>
          </w:tcPr>
          <w:p w:rsidR="00AC12B4" w:rsidRDefault="00AC12B4">
            <w:pPr>
              <w:rPr>
                <w:sz w:val="23"/>
                <w:szCs w:val="23"/>
              </w:rPr>
            </w:pPr>
          </w:p>
        </w:tc>
        <w:tc>
          <w:tcPr>
            <w:tcW w:w="1220" w:type="dxa"/>
            <w:vAlign w:val="bottom"/>
          </w:tcPr>
          <w:p w:rsidR="00AC12B4" w:rsidRDefault="00C27636">
            <w:pPr>
              <w:ind w:left="80"/>
              <w:rPr>
                <w:sz w:val="20"/>
                <w:szCs w:val="20"/>
              </w:rPr>
            </w:pPr>
            <w:r>
              <w:rPr>
                <w:rFonts w:ascii="Calibri" w:eastAsia="Calibri" w:hAnsi="Calibri" w:cs="Calibri"/>
                <w:color w:val="963266"/>
              </w:rPr>
              <w:t>S'en sortir</w:t>
            </w:r>
          </w:p>
        </w:tc>
        <w:tc>
          <w:tcPr>
            <w:tcW w:w="780" w:type="dxa"/>
            <w:vAlign w:val="bottom"/>
          </w:tcPr>
          <w:p w:rsidR="00AC12B4" w:rsidRDefault="00AC12B4">
            <w:pPr>
              <w:rPr>
                <w:sz w:val="23"/>
                <w:szCs w:val="23"/>
              </w:rPr>
            </w:pPr>
          </w:p>
        </w:tc>
      </w:tr>
      <w:tr w:rsidR="00AC12B4">
        <w:trPr>
          <w:trHeight w:val="269"/>
        </w:trPr>
        <w:tc>
          <w:tcPr>
            <w:tcW w:w="1240" w:type="dxa"/>
            <w:vAlign w:val="bottom"/>
          </w:tcPr>
          <w:p w:rsidR="00AC12B4" w:rsidRDefault="00AC12B4">
            <w:pPr>
              <w:rPr>
                <w:sz w:val="23"/>
                <w:szCs w:val="23"/>
              </w:rPr>
            </w:pPr>
          </w:p>
        </w:tc>
        <w:tc>
          <w:tcPr>
            <w:tcW w:w="780" w:type="dxa"/>
            <w:vAlign w:val="bottom"/>
          </w:tcPr>
          <w:p w:rsidR="00AC12B4" w:rsidRDefault="00AC12B4">
            <w:pPr>
              <w:rPr>
                <w:sz w:val="23"/>
                <w:szCs w:val="23"/>
              </w:rPr>
            </w:pPr>
          </w:p>
        </w:tc>
        <w:tc>
          <w:tcPr>
            <w:tcW w:w="1220" w:type="dxa"/>
            <w:vAlign w:val="bottom"/>
          </w:tcPr>
          <w:p w:rsidR="00AC12B4" w:rsidRDefault="00C27636">
            <w:pPr>
              <w:ind w:left="80"/>
              <w:rPr>
                <w:sz w:val="20"/>
                <w:szCs w:val="20"/>
              </w:rPr>
            </w:pPr>
            <w:r>
              <w:rPr>
                <w:rFonts w:ascii="Calibri" w:eastAsia="Calibri" w:hAnsi="Calibri" w:cs="Calibri"/>
                <w:color w:val="963266"/>
              </w:rPr>
              <w:t>(toujours</w:t>
            </w:r>
          </w:p>
        </w:tc>
        <w:tc>
          <w:tcPr>
            <w:tcW w:w="780" w:type="dxa"/>
            <w:vAlign w:val="bottom"/>
          </w:tcPr>
          <w:p w:rsidR="00AC12B4" w:rsidRDefault="00AC12B4">
            <w:pPr>
              <w:rPr>
                <w:sz w:val="23"/>
                <w:szCs w:val="23"/>
              </w:rPr>
            </w:pPr>
          </w:p>
        </w:tc>
      </w:tr>
      <w:tr w:rsidR="00AC12B4">
        <w:trPr>
          <w:trHeight w:val="269"/>
        </w:trPr>
        <w:tc>
          <w:tcPr>
            <w:tcW w:w="1240" w:type="dxa"/>
            <w:vAlign w:val="bottom"/>
          </w:tcPr>
          <w:p w:rsidR="00AC12B4" w:rsidRDefault="00AC12B4">
            <w:pPr>
              <w:rPr>
                <w:sz w:val="23"/>
                <w:szCs w:val="23"/>
              </w:rPr>
            </w:pPr>
          </w:p>
        </w:tc>
        <w:tc>
          <w:tcPr>
            <w:tcW w:w="780" w:type="dxa"/>
            <w:vAlign w:val="bottom"/>
          </w:tcPr>
          <w:p w:rsidR="00AC12B4" w:rsidRDefault="00AC12B4">
            <w:pPr>
              <w:rPr>
                <w:sz w:val="23"/>
                <w:szCs w:val="23"/>
              </w:rPr>
            </w:pPr>
          </w:p>
        </w:tc>
        <w:tc>
          <w:tcPr>
            <w:tcW w:w="1220" w:type="dxa"/>
            <w:vAlign w:val="bottom"/>
          </w:tcPr>
          <w:p w:rsidR="00AC12B4" w:rsidRDefault="00C27636">
            <w:pPr>
              <w:ind w:left="80"/>
              <w:rPr>
                <w:sz w:val="20"/>
                <w:szCs w:val="20"/>
              </w:rPr>
            </w:pPr>
            <w:r>
              <w:rPr>
                <w:rFonts w:ascii="Calibri" w:eastAsia="Calibri" w:hAnsi="Calibri" w:cs="Calibri"/>
                <w:color w:val="963266"/>
              </w:rPr>
              <w:t>ou</w:t>
            </w:r>
          </w:p>
        </w:tc>
        <w:tc>
          <w:tcPr>
            <w:tcW w:w="780" w:type="dxa"/>
            <w:vAlign w:val="bottom"/>
          </w:tcPr>
          <w:p w:rsidR="00AC12B4" w:rsidRDefault="00AC12B4">
            <w:pPr>
              <w:rPr>
                <w:sz w:val="23"/>
                <w:szCs w:val="23"/>
              </w:rPr>
            </w:pPr>
          </w:p>
        </w:tc>
      </w:tr>
      <w:tr w:rsidR="00AC12B4">
        <w:trPr>
          <w:trHeight w:val="272"/>
        </w:trPr>
        <w:tc>
          <w:tcPr>
            <w:tcW w:w="1240" w:type="dxa"/>
            <w:tcBorders>
              <w:bottom w:val="single" w:sz="8" w:space="0" w:color="963266"/>
            </w:tcBorders>
            <w:vAlign w:val="bottom"/>
          </w:tcPr>
          <w:p w:rsidR="00AC12B4" w:rsidRDefault="00AC12B4">
            <w:pPr>
              <w:rPr>
                <w:sz w:val="23"/>
                <w:szCs w:val="23"/>
              </w:rPr>
            </w:pPr>
          </w:p>
        </w:tc>
        <w:tc>
          <w:tcPr>
            <w:tcW w:w="780" w:type="dxa"/>
            <w:tcBorders>
              <w:bottom w:val="single" w:sz="8" w:space="0" w:color="963266"/>
            </w:tcBorders>
            <w:vAlign w:val="bottom"/>
          </w:tcPr>
          <w:p w:rsidR="00AC12B4" w:rsidRDefault="00C27636">
            <w:pPr>
              <w:ind w:right="210"/>
              <w:jc w:val="right"/>
              <w:rPr>
                <w:sz w:val="20"/>
                <w:szCs w:val="20"/>
              </w:rPr>
            </w:pPr>
            <w:r>
              <w:rPr>
                <w:rFonts w:ascii="Calibri" w:eastAsia="Calibri" w:hAnsi="Calibri" w:cs="Calibri"/>
                <w:color w:val="963266"/>
              </w:rPr>
              <w:t>N</w:t>
            </w:r>
          </w:p>
        </w:tc>
        <w:tc>
          <w:tcPr>
            <w:tcW w:w="1220" w:type="dxa"/>
            <w:tcBorders>
              <w:bottom w:val="single" w:sz="8" w:space="0" w:color="963266"/>
            </w:tcBorders>
            <w:vAlign w:val="bottom"/>
          </w:tcPr>
          <w:p w:rsidR="00AC12B4" w:rsidRDefault="00C27636">
            <w:pPr>
              <w:ind w:left="80"/>
              <w:rPr>
                <w:sz w:val="20"/>
                <w:szCs w:val="20"/>
              </w:rPr>
            </w:pPr>
            <w:r>
              <w:rPr>
                <w:rFonts w:ascii="Calibri" w:eastAsia="Calibri" w:hAnsi="Calibri" w:cs="Calibri"/>
                <w:color w:val="963266"/>
              </w:rPr>
              <w:t>souvent)</w:t>
            </w:r>
          </w:p>
        </w:tc>
        <w:tc>
          <w:tcPr>
            <w:tcW w:w="780" w:type="dxa"/>
            <w:tcBorders>
              <w:bottom w:val="single" w:sz="8" w:space="0" w:color="963266"/>
            </w:tcBorders>
            <w:vAlign w:val="bottom"/>
          </w:tcPr>
          <w:p w:rsidR="00AC12B4" w:rsidRDefault="00C27636">
            <w:pPr>
              <w:jc w:val="center"/>
              <w:rPr>
                <w:sz w:val="20"/>
                <w:szCs w:val="20"/>
              </w:rPr>
            </w:pPr>
            <w:r>
              <w:rPr>
                <w:rFonts w:ascii="Calibri" w:eastAsia="Calibri" w:hAnsi="Calibri" w:cs="Calibri"/>
                <w:color w:val="963266"/>
              </w:rPr>
              <w:t>p</w:t>
            </w:r>
          </w:p>
        </w:tc>
      </w:tr>
      <w:tr w:rsidR="00AC12B4">
        <w:trPr>
          <w:trHeight w:val="287"/>
        </w:trPr>
        <w:tc>
          <w:tcPr>
            <w:tcW w:w="1240" w:type="dxa"/>
            <w:vAlign w:val="bottom"/>
          </w:tcPr>
          <w:p w:rsidR="00AC12B4" w:rsidRDefault="00C27636">
            <w:pPr>
              <w:ind w:left="60"/>
              <w:rPr>
                <w:sz w:val="20"/>
                <w:szCs w:val="20"/>
              </w:rPr>
            </w:pPr>
            <w:r>
              <w:rPr>
                <w:rFonts w:ascii="Calibri" w:eastAsia="Calibri" w:hAnsi="Calibri" w:cs="Calibri"/>
                <w:color w:val="963266"/>
              </w:rPr>
              <w:t>Genre</w:t>
            </w:r>
          </w:p>
        </w:tc>
        <w:tc>
          <w:tcPr>
            <w:tcW w:w="780" w:type="dxa"/>
            <w:vAlign w:val="bottom"/>
          </w:tcPr>
          <w:p w:rsidR="00AC12B4" w:rsidRDefault="00C27636">
            <w:pPr>
              <w:jc w:val="right"/>
              <w:rPr>
                <w:sz w:val="20"/>
                <w:szCs w:val="20"/>
              </w:rPr>
            </w:pPr>
            <w:r>
              <w:rPr>
                <w:rFonts w:ascii="Calibri" w:eastAsia="Calibri" w:hAnsi="Calibri" w:cs="Calibri"/>
              </w:rPr>
              <w:t>12939</w:t>
            </w:r>
          </w:p>
        </w:tc>
        <w:tc>
          <w:tcPr>
            <w:tcW w:w="1220" w:type="dxa"/>
            <w:vAlign w:val="bottom"/>
          </w:tcPr>
          <w:p w:rsidR="00AC12B4" w:rsidRDefault="00AC12B4">
            <w:pPr>
              <w:rPr>
                <w:sz w:val="24"/>
                <w:szCs w:val="24"/>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Garçons</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71,4</w:t>
            </w:r>
          </w:p>
        </w:tc>
        <w:tc>
          <w:tcPr>
            <w:tcW w:w="780" w:type="dxa"/>
            <w:vAlign w:val="bottom"/>
          </w:tcPr>
          <w:p w:rsidR="00AC12B4" w:rsidRDefault="00AC12B4">
            <w:pPr>
              <w:rPr>
                <w:sz w:val="24"/>
                <w:szCs w:val="24"/>
              </w:rPr>
            </w:pP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Filles</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55,1</w:t>
            </w:r>
          </w:p>
        </w:tc>
        <w:tc>
          <w:tcPr>
            <w:tcW w:w="780" w:type="dxa"/>
            <w:vAlign w:val="bottom"/>
          </w:tcPr>
          <w:p w:rsidR="00AC12B4" w:rsidRDefault="00AC12B4">
            <w:pPr>
              <w:rPr>
                <w:sz w:val="24"/>
                <w:szCs w:val="24"/>
              </w:rPr>
            </w:pPr>
          </w:p>
        </w:tc>
      </w:tr>
      <w:tr w:rsidR="00AC12B4">
        <w:trPr>
          <w:trHeight w:val="600"/>
        </w:trPr>
        <w:tc>
          <w:tcPr>
            <w:tcW w:w="1240" w:type="dxa"/>
            <w:vAlign w:val="bottom"/>
          </w:tcPr>
          <w:p w:rsidR="00AC12B4" w:rsidRDefault="00C27636">
            <w:pPr>
              <w:ind w:left="60"/>
              <w:rPr>
                <w:sz w:val="20"/>
                <w:szCs w:val="20"/>
              </w:rPr>
            </w:pPr>
            <w:r>
              <w:rPr>
                <w:rFonts w:ascii="Calibri" w:eastAsia="Calibri" w:hAnsi="Calibri" w:cs="Calibri"/>
                <w:color w:val="963266"/>
              </w:rPr>
              <w:t>Age</w:t>
            </w:r>
          </w:p>
        </w:tc>
        <w:tc>
          <w:tcPr>
            <w:tcW w:w="780" w:type="dxa"/>
            <w:vAlign w:val="bottom"/>
          </w:tcPr>
          <w:p w:rsidR="00AC12B4" w:rsidRDefault="00C27636">
            <w:pPr>
              <w:jc w:val="right"/>
              <w:rPr>
                <w:sz w:val="20"/>
                <w:szCs w:val="20"/>
              </w:rPr>
            </w:pPr>
            <w:r>
              <w:rPr>
                <w:rFonts w:ascii="Calibri" w:eastAsia="Calibri" w:hAnsi="Calibri" w:cs="Calibri"/>
              </w:rPr>
              <w:t>12898</w:t>
            </w:r>
          </w:p>
        </w:tc>
        <w:tc>
          <w:tcPr>
            <w:tcW w:w="1220" w:type="dxa"/>
            <w:vAlign w:val="bottom"/>
          </w:tcPr>
          <w:p w:rsidR="00AC12B4" w:rsidRDefault="00AC12B4">
            <w:pPr>
              <w:rPr>
                <w:sz w:val="24"/>
                <w:szCs w:val="24"/>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10-12 ans</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56,7</w:t>
            </w:r>
          </w:p>
        </w:tc>
        <w:tc>
          <w:tcPr>
            <w:tcW w:w="780" w:type="dxa"/>
            <w:vAlign w:val="bottom"/>
          </w:tcPr>
          <w:p w:rsidR="00AC12B4" w:rsidRDefault="00AC12B4">
            <w:pPr>
              <w:rPr>
                <w:sz w:val="24"/>
                <w:szCs w:val="24"/>
              </w:rPr>
            </w:pP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13-14 ans</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61,6</w:t>
            </w:r>
          </w:p>
        </w:tc>
        <w:tc>
          <w:tcPr>
            <w:tcW w:w="780" w:type="dxa"/>
            <w:vAlign w:val="bottom"/>
          </w:tcPr>
          <w:p w:rsidR="00AC12B4" w:rsidRDefault="00AC12B4">
            <w:pPr>
              <w:rPr>
                <w:sz w:val="24"/>
                <w:szCs w:val="24"/>
              </w:rPr>
            </w:pP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15-16 ans</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67,2</w:t>
            </w:r>
          </w:p>
        </w:tc>
        <w:tc>
          <w:tcPr>
            <w:tcW w:w="780" w:type="dxa"/>
            <w:vAlign w:val="bottom"/>
          </w:tcPr>
          <w:p w:rsidR="00AC12B4" w:rsidRDefault="00AC12B4">
            <w:pPr>
              <w:rPr>
                <w:sz w:val="24"/>
                <w:szCs w:val="24"/>
              </w:rPr>
            </w:pP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17-19 ans</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68,9</w:t>
            </w:r>
          </w:p>
        </w:tc>
        <w:tc>
          <w:tcPr>
            <w:tcW w:w="780" w:type="dxa"/>
            <w:vAlign w:val="bottom"/>
          </w:tcPr>
          <w:p w:rsidR="00AC12B4" w:rsidRDefault="00AC12B4">
            <w:pPr>
              <w:rPr>
                <w:sz w:val="24"/>
                <w:szCs w:val="24"/>
              </w:rPr>
            </w:pPr>
          </w:p>
        </w:tc>
      </w:tr>
      <w:tr w:rsidR="00AC12B4">
        <w:trPr>
          <w:trHeight w:val="569"/>
        </w:trPr>
        <w:tc>
          <w:tcPr>
            <w:tcW w:w="1240" w:type="dxa"/>
            <w:vAlign w:val="bottom"/>
          </w:tcPr>
          <w:p w:rsidR="00AC12B4" w:rsidRDefault="00C27636">
            <w:pPr>
              <w:ind w:left="60"/>
              <w:rPr>
                <w:sz w:val="20"/>
                <w:szCs w:val="20"/>
              </w:rPr>
            </w:pPr>
            <w:r>
              <w:rPr>
                <w:rFonts w:ascii="Calibri" w:eastAsia="Calibri" w:hAnsi="Calibri" w:cs="Calibri"/>
                <w:color w:val="963266"/>
              </w:rPr>
              <w:t>Niveau</w:t>
            </w:r>
          </w:p>
        </w:tc>
        <w:tc>
          <w:tcPr>
            <w:tcW w:w="780" w:type="dxa"/>
            <w:vAlign w:val="bottom"/>
          </w:tcPr>
          <w:p w:rsidR="00AC12B4" w:rsidRDefault="00AC12B4">
            <w:pPr>
              <w:rPr>
                <w:sz w:val="24"/>
                <w:szCs w:val="24"/>
              </w:rPr>
            </w:pPr>
          </w:p>
        </w:tc>
        <w:tc>
          <w:tcPr>
            <w:tcW w:w="1220" w:type="dxa"/>
            <w:vAlign w:val="bottom"/>
          </w:tcPr>
          <w:p w:rsidR="00AC12B4" w:rsidRDefault="00AC12B4">
            <w:pPr>
              <w:rPr>
                <w:sz w:val="24"/>
                <w:szCs w:val="24"/>
              </w:rPr>
            </w:pPr>
          </w:p>
        </w:tc>
        <w:tc>
          <w:tcPr>
            <w:tcW w:w="780" w:type="dxa"/>
            <w:vAlign w:val="bottom"/>
          </w:tcPr>
          <w:p w:rsidR="00AC12B4" w:rsidRDefault="00AC12B4">
            <w:pPr>
              <w:rPr>
                <w:sz w:val="24"/>
                <w:szCs w:val="24"/>
              </w:rPr>
            </w:pPr>
          </w:p>
        </w:tc>
      </w:tr>
      <w:tr w:rsidR="00AC12B4">
        <w:trPr>
          <w:trHeight w:val="266"/>
        </w:trPr>
        <w:tc>
          <w:tcPr>
            <w:tcW w:w="1240" w:type="dxa"/>
            <w:vAlign w:val="bottom"/>
          </w:tcPr>
          <w:p w:rsidR="00AC12B4" w:rsidRDefault="00C27636">
            <w:pPr>
              <w:spacing w:line="267" w:lineRule="exact"/>
              <w:ind w:left="60"/>
              <w:rPr>
                <w:sz w:val="20"/>
                <w:szCs w:val="20"/>
              </w:rPr>
            </w:pPr>
            <w:r>
              <w:rPr>
                <w:rFonts w:ascii="Calibri" w:eastAsia="Calibri" w:hAnsi="Calibri" w:cs="Calibri"/>
                <w:color w:val="963266"/>
              </w:rPr>
              <w:t>d'aisance</w:t>
            </w:r>
          </w:p>
        </w:tc>
        <w:tc>
          <w:tcPr>
            <w:tcW w:w="780" w:type="dxa"/>
            <w:vAlign w:val="bottom"/>
          </w:tcPr>
          <w:p w:rsidR="00AC12B4" w:rsidRDefault="00AC12B4">
            <w:pPr>
              <w:rPr>
                <w:sz w:val="23"/>
                <w:szCs w:val="23"/>
              </w:rPr>
            </w:pPr>
          </w:p>
        </w:tc>
        <w:tc>
          <w:tcPr>
            <w:tcW w:w="1220" w:type="dxa"/>
            <w:vAlign w:val="bottom"/>
          </w:tcPr>
          <w:p w:rsidR="00AC12B4" w:rsidRDefault="00AC12B4">
            <w:pPr>
              <w:rPr>
                <w:sz w:val="23"/>
                <w:szCs w:val="23"/>
              </w:rPr>
            </w:pPr>
          </w:p>
        </w:tc>
        <w:tc>
          <w:tcPr>
            <w:tcW w:w="780" w:type="dxa"/>
            <w:vAlign w:val="bottom"/>
          </w:tcPr>
          <w:p w:rsidR="00AC12B4" w:rsidRDefault="00AC12B4">
            <w:pPr>
              <w:rPr>
                <w:sz w:val="23"/>
                <w:szCs w:val="23"/>
              </w:rPr>
            </w:pPr>
          </w:p>
        </w:tc>
      </w:tr>
      <w:tr w:rsidR="00AC12B4">
        <w:trPr>
          <w:trHeight w:val="269"/>
        </w:trPr>
        <w:tc>
          <w:tcPr>
            <w:tcW w:w="1240" w:type="dxa"/>
            <w:vAlign w:val="bottom"/>
          </w:tcPr>
          <w:p w:rsidR="00AC12B4" w:rsidRDefault="00C27636">
            <w:pPr>
              <w:ind w:left="60"/>
              <w:rPr>
                <w:sz w:val="20"/>
                <w:szCs w:val="20"/>
              </w:rPr>
            </w:pPr>
            <w:r>
              <w:rPr>
                <w:rFonts w:ascii="Calibri" w:eastAsia="Calibri" w:hAnsi="Calibri" w:cs="Calibri"/>
                <w:color w:val="963266"/>
              </w:rPr>
              <w:t>matérielle</w:t>
            </w:r>
          </w:p>
        </w:tc>
        <w:tc>
          <w:tcPr>
            <w:tcW w:w="780" w:type="dxa"/>
            <w:vAlign w:val="bottom"/>
          </w:tcPr>
          <w:p w:rsidR="00AC12B4" w:rsidRDefault="00C27636">
            <w:pPr>
              <w:jc w:val="right"/>
              <w:rPr>
                <w:sz w:val="20"/>
                <w:szCs w:val="20"/>
              </w:rPr>
            </w:pPr>
            <w:r>
              <w:rPr>
                <w:rFonts w:ascii="Calibri" w:eastAsia="Calibri" w:hAnsi="Calibri" w:cs="Calibri"/>
              </w:rPr>
              <w:t>12056</w:t>
            </w:r>
          </w:p>
        </w:tc>
        <w:tc>
          <w:tcPr>
            <w:tcW w:w="1220" w:type="dxa"/>
            <w:vAlign w:val="bottom"/>
          </w:tcPr>
          <w:p w:rsidR="00AC12B4" w:rsidRDefault="00AC12B4">
            <w:pPr>
              <w:rPr>
                <w:sz w:val="23"/>
                <w:szCs w:val="23"/>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Faible</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59,0</w:t>
            </w:r>
          </w:p>
        </w:tc>
        <w:tc>
          <w:tcPr>
            <w:tcW w:w="780" w:type="dxa"/>
            <w:vAlign w:val="bottom"/>
          </w:tcPr>
          <w:p w:rsidR="00AC12B4" w:rsidRDefault="00AC12B4">
            <w:pPr>
              <w:rPr>
                <w:sz w:val="24"/>
                <w:szCs w:val="24"/>
              </w:rPr>
            </w:pP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Moyen</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62,9</w:t>
            </w:r>
          </w:p>
        </w:tc>
        <w:tc>
          <w:tcPr>
            <w:tcW w:w="780" w:type="dxa"/>
            <w:vAlign w:val="bottom"/>
          </w:tcPr>
          <w:p w:rsidR="00AC12B4" w:rsidRDefault="00AC12B4">
            <w:pPr>
              <w:rPr>
                <w:sz w:val="24"/>
                <w:szCs w:val="24"/>
              </w:rPr>
            </w:pP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Elevé</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66,6</w:t>
            </w:r>
          </w:p>
        </w:tc>
        <w:tc>
          <w:tcPr>
            <w:tcW w:w="780" w:type="dxa"/>
            <w:vAlign w:val="bottom"/>
          </w:tcPr>
          <w:p w:rsidR="00AC12B4" w:rsidRDefault="00AC12B4">
            <w:pPr>
              <w:rPr>
                <w:sz w:val="24"/>
                <w:szCs w:val="24"/>
              </w:rPr>
            </w:pPr>
          </w:p>
        </w:tc>
      </w:tr>
      <w:tr w:rsidR="00AC12B4">
        <w:trPr>
          <w:trHeight w:val="600"/>
        </w:trPr>
        <w:tc>
          <w:tcPr>
            <w:tcW w:w="1240" w:type="dxa"/>
            <w:vAlign w:val="bottom"/>
          </w:tcPr>
          <w:p w:rsidR="00AC12B4" w:rsidRDefault="00C27636">
            <w:pPr>
              <w:ind w:left="60"/>
              <w:rPr>
                <w:sz w:val="20"/>
                <w:szCs w:val="20"/>
              </w:rPr>
            </w:pPr>
            <w:r>
              <w:rPr>
                <w:rFonts w:ascii="Calibri" w:eastAsia="Calibri" w:hAnsi="Calibri" w:cs="Calibri"/>
                <w:color w:val="963266"/>
              </w:rPr>
              <w:t>Famille</w:t>
            </w:r>
          </w:p>
        </w:tc>
        <w:tc>
          <w:tcPr>
            <w:tcW w:w="780" w:type="dxa"/>
            <w:vAlign w:val="bottom"/>
          </w:tcPr>
          <w:p w:rsidR="00AC12B4" w:rsidRDefault="00C27636">
            <w:pPr>
              <w:jc w:val="right"/>
              <w:rPr>
                <w:sz w:val="20"/>
                <w:szCs w:val="20"/>
              </w:rPr>
            </w:pPr>
            <w:r>
              <w:rPr>
                <w:rFonts w:ascii="Calibri" w:eastAsia="Calibri" w:hAnsi="Calibri" w:cs="Calibri"/>
              </w:rPr>
              <w:t>12736</w:t>
            </w:r>
          </w:p>
        </w:tc>
        <w:tc>
          <w:tcPr>
            <w:tcW w:w="1220" w:type="dxa"/>
            <w:vAlign w:val="bottom"/>
          </w:tcPr>
          <w:p w:rsidR="00AC12B4" w:rsidRDefault="00AC12B4">
            <w:pPr>
              <w:rPr>
                <w:sz w:val="24"/>
                <w:szCs w:val="24"/>
              </w:rPr>
            </w:pPr>
          </w:p>
        </w:tc>
        <w:tc>
          <w:tcPr>
            <w:tcW w:w="780" w:type="dxa"/>
            <w:vAlign w:val="bottom"/>
          </w:tcPr>
          <w:p w:rsidR="00AC12B4" w:rsidRDefault="00C27636">
            <w:pPr>
              <w:jc w:val="center"/>
              <w:rPr>
                <w:sz w:val="20"/>
                <w:szCs w:val="20"/>
              </w:rPr>
            </w:pPr>
            <w:r>
              <w:rPr>
                <w:rFonts w:ascii="Calibri" w:eastAsia="Calibri" w:hAnsi="Calibri" w:cs="Calibri"/>
                <w:w w:val="98"/>
              </w:rPr>
              <w:t>&lt;0,001</w:t>
            </w:r>
          </w:p>
        </w:tc>
      </w:tr>
      <w:tr w:rsidR="00AC12B4">
        <w:trPr>
          <w:trHeight w:val="269"/>
        </w:trPr>
        <w:tc>
          <w:tcPr>
            <w:tcW w:w="1240" w:type="dxa"/>
            <w:vAlign w:val="bottom"/>
          </w:tcPr>
          <w:p w:rsidR="00AC12B4" w:rsidRDefault="00C27636">
            <w:pPr>
              <w:ind w:left="60"/>
              <w:rPr>
                <w:sz w:val="20"/>
                <w:szCs w:val="20"/>
              </w:rPr>
            </w:pPr>
            <w:r>
              <w:rPr>
                <w:rFonts w:ascii="Calibri" w:eastAsia="Calibri" w:hAnsi="Calibri" w:cs="Calibri"/>
                <w:color w:val="963266"/>
              </w:rPr>
              <w:lastRenderedPageBreak/>
              <w:t>2 parents</w:t>
            </w:r>
          </w:p>
        </w:tc>
        <w:tc>
          <w:tcPr>
            <w:tcW w:w="780" w:type="dxa"/>
            <w:vAlign w:val="bottom"/>
          </w:tcPr>
          <w:p w:rsidR="00AC12B4" w:rsidRDefault="00AC12B4">
            <w:pPr>
              <w:rPr>
                <w:sz w:val="23"/>
                <w:szCs w:val="23"/>
              </w:rPr>
            </w:pPr>
          </w:p>
        </w:tc>
        <w:tc>
          <w:tcPr>
            <w:tcW w:w="1220" w:type="dxa"/>
            <w:vAlign w:val="bottom"/>
          </w:tcPr>
          <w:p w:rsidR="00AC12B4" w:rsidRDefault="00AC12B4">
            <w:pPr>
              <w:rPr>
                <w:sz w:val="23"/>
                <w:szCs w:val="23"/>
              </w:rPr>
            </w:pPr>
          </w:p>
        </w:tc>
        <w:tc>
          <w:tcPr>
            <w:tcW w:w="780" w:type="dxa"/>
            <w:vAlign w:val="bottom"/>
          </w:tcPr>
          <w:p w:rsidR="00AC12B4" w:rsidRDefault="00AC12B4">
            <w:pPr>
              <w:rPr>
                <w:sz w:val="23"/>
                <w:szCs w:val="23"/>
              </w:rPr>
            </w:pPr>
          </w:p>
        </w:tc>
      </w:tr>
      <w:tr w:rsidR="00AC12B4">
        <w:trPr>
          <w:trHeight w:val="269"/>
        </w:trPr>
        <w:tc>
          <w:tcPr>
            <w:tcW w:w="1240" w:type="dxa"/>
            <w:vAlign w:val="bottom"/>
          </w:tcPr>
          <w:p w:rsidR="00AC12B4" w:rsidRDefault="00C27636">
            <w:pPr>
              <w:ind w:left="60"/>
              <w:rPr>
                <w:sz w:val="20"/>
                <w:szCs w:val="20"/>
              </w:rPr>
            </w:pPr>
            <w:r>
              <w:rPr>
                <w:rFonts w:ascii="Calibri" w:eastAsia="Calibri" w:hAnsi="Calibri" w:cs="Calibri"/>
                <w:color w:val="963266"/>
              </w:rPr>
              <w:t>biologiques</w:t>
            </w:r>
          </w:p>
        </w:tc>
        <w:tc>
          <w:tcPr>
            <w:tcW w:w="780" w:type="dxa"/>
            <w:vAlign w:val="bottom"/>
          </w:tcPr>
          <w:p w:rsidR="00AC12B4" w:rsidRDefault="00AC12B4">
            <w:pPr>
              <w:rPr>
                <w:sz w:val="23"/>
                <w:szCs w:val="23"/>
              </w:rPr>
            </w:pPr>
          </w:p>
        </w:tc>
        <w:tc>
          <w:tcPr>
            <w:tcW w:w="1220" w:type="dxa"/>
            <w:vAlign w:val="bottom"/>
          </w:tcPr>
          <w:p w:rsidR="00AC12B4" w:rsidRDefault="00C27636">
            <w:pPr>
              <w:jc w:val="right"/>
              <w:rPr>
                <w:sz w:val="20"/>
                <w:szCs w:val="20"/>
              </w:rPr>
            </w:pPr>
            <w:r>
              <w:rPr>
                <w:rFonts w:ascii="Calibri" w:eastAsia="Calibri" w:hAnsi="Calibri" w:cs="Calibri"/>
              </w:rPr>
              <w:t>65,0</w:t>
            </w:r>
          </w:p>
        </w:tc>
        <w:tc>
          <w:tcPr>
            <w:tcW w:w="780" w:type="dxa"/>
            <w:vAlign w:val="bottom"/>
          </w:tcPr>
          <w:p w:rsidR="00AC12B4" w:rsidRDefault="00AC12B4">
            <w:pPr>
              <w:rPr>
                <w:sz w:val="23"/>
                <w:szCs w:val="23"/>
              </w:rPr>
            </w:pPr>
          </w:p>
        </w:tc>
      </w:tr>
      <w:tr w:rsidR="00AC12B4">
        <w:trPr>
          <w:trHeight w:val="300"/>
        </w:trPr>
        <w:tc>
          <w:tcPr>
            <w:tcW w:w="1240" w:type="dxa"/>
            <w:vAlign w:val="bottom"/>
          </w:tcPr>
          <w:p w:rsidR="00AC12B4" w:rsidRDefault="00C27636">
            <w:pPr>
              <w:ind w:left="60"/>
              <w:rPr>
                <w:sz w:val="20"/>
                <w:szCs w:val="20"/>
              </w:rPr>
            </w:pPr>
            <w:r>
              <w:rPr>
                <w:rFonts w:ascii="Calibri" w:eastAsia="Calibri" w:hAnsi="Calibri" w:cs="Calibri"/>
                <w:color w:val="963266"/>
              </w:rPr>
              <w:t>Autres</w:t>
            </w:r>
          </w:p>
        </w:tc>
        <w:tc>
          <w:tcPr>
            <w:tcW w:w="780" w:type="dxa"/>
            <w:vAlign w:val="bottom"/>
          </w:tcPr>
          <w:p w:rsidR="00AC12B4" w:rsidRDefault="00AC12B4">
            <w:pPr>
              <w:rPr>
                <w:sz w:val="24"/>
                <w:szCs w:val="24"/>
              </w:rPr>
            </w:pPr>
          </w:p>
        </w:tc>
        <w:tc>
          <w:tcPr>
            <w:tcW w:w="1220" w:type="dxa"/>
            <w:vAlign w:val="bottom"/>
          </w:tcPr>
          <w:p w:rsidR="00AC12B4" w:rsidRDefault="00C27636">
            <w:pPr>
              <w:jc w:val="right"/>
              <w:rPr>
                <w:sz w:val="20"/>
                <w:szCs w:val="20"/>
              </w:rPr>
            </w:pPr>
            <w:r>
              <w:rPr>
                <w:rFonts w:ascii="Calibri" w:eastAsia="Calibri" w:hAnsi="Calibri" w:cs="Calibri"/>
              </w:rPr>
              <w:t>60,6</w:t>
            </w:r>
          </w:p>
        </w:tc>
        <w:tc>
          <w:tcPr>
            <w:tcW w:w="78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06848" behindDoc="1" locked="0" layoutInCell="0" allowOverlap="1">
                <wp:simplePos x="0" y="0"/>
                <wp:positionH relativeFrom="column">
                  <wp:posOffset>306070</wp:posOffset>
                </wp:positionH>
                <wp:positionV relativeFrom="paragraph">
                  <wp:posOffset>8255</wp:posOffset>
                </wp:positionV>
                <wp:extent cx="2559685" cy="0"/>
                <wp:effectExtent l="0" t="0" r="0" b="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9685" cy="4763"/>
                        </a:xfrm>
                        <a:prstGeom prst="line">
                          <a:avLst/>
                        </a:prstGeom>
                        <a:solidFill>
                          <a:srgbClr val="FFFFFF"/>
                        </a:solidFill>
                        <a:ln w="6096">
                          <a:solidFill>
                            <a:srgbClr val="963266"/>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pt,0.65pt" to="225.65pt,0.65pt" o:allowincell="f" strokecolor="#963266" strokeweight="0.48pt"/>
            </w:pict>
          </mc:Fallback>
        </mc:AlternateContent>
      </w:r>
    </w:p>
    <w:p w:rsidR="00AC12B4" w:rsidRDefault="00AC12B4">
      <w:pPr>
        <w:spacing w:line="34" w:lineRule="exact"/>
        <w:rPr>
          <w:sz w:val="20"/>
          <w:szCs w:val="20"/>
        </w:rPr>
      </w:pPr>
    </w:p>
    <w:p w:rsidR="00AC12B4" w:rsidRDefault="00C27636">
      <w:pPr>
        <w:spacing w:line="229" w:lineRule="auto"/>
        <w:ind w:left="560" w:right="480"/>
        <w:jc w:val="both"/>
        <w:rPr>
          <w:sz w:val="20"/>
          <w:szCs w:val="20"/>
        </w:rPr>
      </w:pPr>
      <w:r>
        <w:rPr>
          <w:rFonts w:ascii="Calibri" w:eastAsia="Calibri" w:hAnsi="Calibri" w:cs="Calibri"/>
          <w:b/>
          <w:bCs/>
          <w:color w:val="4F81BD"/>
          <w:sz w:val="18"/>
          <w:szCs w:val="18"/>
        </w:rPr>
        <w:t xml:space="preserve">Table 1. Facteurs associés au sentiment d’être capable (toujours ou souvent) de s’en sortir face à un problème </w:t>
      </w:r>
      <w:r>
        <w:rPr>
          <w:rFonts w:ascii="Calibri" w:eastAsia="Calibri" w:hAnsi="Calibri" w:cs="Calibri"/>
          <w:b/>
          <w:bCs/>
          <w:color w:val="4F81BD"/>
          <w:sz w:val="18"/>
          <w:szCs w:val="18"/>
        </w:rPr>
        <w:t>parmi les jeunes en Fédération Wallonie-Bruxelles.</w:t>
      </w:r>
    </w:p>
    <w:p w:rsidR="00AC12B4" w:rsidRDefault="00AC12B4">
      <w:pPr>
        <w:spacing w:line="247" w:lineRule="exact"/>
        <w:rPr>
          <w:sz w:val="20"/>
          <w:szCs w:val="20"/>
        </w:rPr>
      </w:pPr>
    </w:p>
    <w:p w:rsidR="00AC12B4" w:rsidRDefault="00C27636">
      <w:pPr>
        <w:spacing w:line="218" w:lineRule="auto"/>
        <w:ind w:left="560" w:right="480"/>
        <w:jc w:val="both"/>
        <w:rPr>
          <w:sz w:val="20"/>
          <w:szCs w:val="20"/>
        </w:rPr>
      </w:pPr>
      <w:r>
        <w:rPr>
          <w:rFonts w:ascii="Calibri" w:eastAsia="Calibri" w:hAnsi="Calibri" w:cs="Calibri"/>
        </w:rPr>
        <w:t>Note : Les données de comparaisons internationales seront disponibles mi 2016.</w:t>
      </w:r>
    </w:p>
    <w:p w:rsidR="00AC12B4" w:rsidRDefault="00AC12B4">
      <w:pPr>
        <w:spacing w:line="207" w:lineRule="exact"/>
        <w:rPr>
          <w:sz w:val="20"/>
          <w:szCs w:val="20"/>
        </w:rPr>
      </w:pPr>
    </w:p>
    <w:p w:rsidR="00AC12B4" w:rsidRDefault="00C27636">
      <w:pPr>
        <w:ind w:left="560"/>
        <w:rPr>
          <w:sz w:val="20"/>
          <w:szCs w:val="20"/>
        </w:rPr>
      </w:pPr>
      <w:r>
        <w:rPr>
          <w:rFonts w:ascii="Cambria" w:eastAsia="Cambria" w:hAnsi="Cambria" w:cs="Cambria"/>
          <w:b/>
          <w:bCs/>
          <w:i/>
          <w:iCs/>
          <w:color w:val="963266"/>
          <w:sz w:val="26"/>
          <w:szCs w:val="26"/>
        </w:rPr>
        <w:t>D’où viennent ces chiffres ?</w:t>
      </w:r>
    </w:p>
    <w:p w:rsidR="00AC12B4" w:rsidRDefault="00AC12B4">
      <w:pPr>
        <w:spacing w:line="166" w:lineRule="exact"/>
        <w:rPr>
          <w:sz w:val="20"/>
          <w:szCs w:val="20"/>
        </w:rPr>
      </w:pPr>
    </w:p>
    <w:p w:rsidR="00AC12B4" w:rsidRDefault="00C27636">
      <w:pPr>
        <w:numPr>
          <w:ilvl w:val="0"/>
          <w:numId w:val="34"/>
        </w:numPr>
        <w:tabs>
          <w:tab w:val="left" w:pos="1280"/>
        </w:tabs>
        <w:ind w:left="1280" w:hanging="353"/>
        <w:rPr>
          <w:rFonts w:ascii="Wingdings" w:eastAsia="Wingdings" w:hAnsi="Wingdings" w:cs="Wingdings"/>
          <w:color w:val="C95C96"/>
        </w:rPr>
      </w:pPr>
      <w:r>
        <w:rPr>
          <w:rFonts w:ascii="Cambria" w:eastAsia="Cambria" w:hAnsi="Cambria" w:cs="Cambria"/>
          <w:i/>
          <w:iCs/>
          <w:color w:val="C95C96"/>
        </w:rPr>
        <w:t>HBSC</w:t>
      </w:r>
    </w:p>
    <w:p w:rsidR="00AC12B4" w:rsidRDefault="00AC12B4">
      <w:pPr>
        <w:spacing w:line="153" w:lineRule="exact"/>
        <w:rPr>
          <w:sz w:val="20"/>
          <w:szCs w:val="20"/>
        </w:rPr>
      </w:pPr>
    </w:p>
    <w:p w:rsidR="00AC12B4" w:rsidRDefault="00C27636">
      <w:pPr>
        <w:ind w:left="560"/>
        <w:rPr>
          <w:sz w:val="20"/>
          <w:szCs w:val="20"/>
        </w:rPr>
      </w:pPr>
      <w:r>
        <w:rPr>
          <w:rFonts w:ascii="Calibri" w:eastAsia="Calibri" w:hAnsi="Calibri" w:cs="Calibri"/>
        </w:rPr>
        <w:t>L’enquête HBSC est décrite dans la section</w:t>
      </w:r>
    </w:p>
    <w:p w:rsidR="00AC12B4" w:rsidRDefault="00C27636">
      <w:pPr>
        <w:numPr>
          <w:ilvl w:val="0"/>
          <w:numId w:val="35"/>
        </w:numPr>
        <w:tabs>
          <w:tab w:val="left" w:pos="760"/>
        </w:tabs>
        <w:spacing w:line="238" w:lineRule="auto"/>
        <w:ind w:left="760" w:hanging="193"/>
        <w:rPr>
          <w:rFonts w:ascii="Calibri" w:eastAsia="Calibri" w:hAnsi="Calibri" w:cs="Calibri"/>
        </w:rPr>
      </w:pPr>
      <w:r>
        <w:rPr>
          <w:rFonts w:ascii="Calibri" w:eastAsia="Calibri" w:hAnsi="Calibri" w:cs="Calibri"/>
        </w:rPr>
        <w:t>sources » de cette publication (Partie I).</w:t>
      </w:r>
    </w:p>
    <w:p w:rsidR="00AC12B4" w:rsidRDefault="00AC12B4">
      <w:pPr>
        <w:spacing w:line="49" w:lineRule="exact"/>
        <w:rPr>
          <w:rFonts w:ascii="Calibri" w:eastAsia="Calibri" w:hAnsi="Calibri" w:cs="Calibri"/>
        </w:rPr>
      </w:pPr>
    </w:p>
    <w:p w:rsidR="00AC12B4" w:rsidRDefault="00C27636">
      <w:pPr>
        <w:spacing w:line="218" w:lineRule="auto"/>
        <w:ind w:left="560" w:right="480"/>
        <w:rPr>
          <w:rFonts w:ascii="Calibri" w:eastAsia="Calibri" w:hAnsi="Calibri" w:cs="Calibri"/>
        </w:rPr>
      </w:pPr>
      <w:r>
        <w:rPr>
          <w:rFonts w:ascii="Calibri" w:eastAsia="Calibri" w:hAnsi="Calibri" w:cs="Calibri"/>
        </w:rPr>
        <w:t>L’objectif, les modalités et les limites des données collectées y sont présentés.</w:t>
      </w:r>
    </w:p>
    <w:p w:rsidR="00AC12B4" w:rsidRDefault="00AC12B4">
      <w:pPr>
        <w:spacing w:line="128" w:lineRule="exact"/>
        <w:rPr>
          <w:rFonts w:ascii="Calibri" w:eastAsia="Calibri" w:hAnsi="Calibri" w:cs="Calibri"/>
        </w:rPr>
      </w:pPr>
    </w:p>
    <w:p w:rsidR="00AC12B4" w:rsidRDefault="00C27636">
      <w:pPr>
        <w:numPr>
          <w:ilvl w:val="1"/>
          <w:numId w:val="35"/>
        </w:numPr>
        <w:tabs>
          <w:tab w:val="left" w:pos="1280"/>
        </w:tabs>
        <w:ind w:left="1280" w:hanging="353"/>
        <w:rPr>
          <w:rFonts w:ascii="Wingdings" w:eastAsia="Wingdings" w:hAnsi="Wingdings" w:cs="Wingdings"/>
          <w:color w:val="C95C96"/>
        </w:rPr>
      </w:pPr>
      <w:r>
        <w:rPr>
          <w:rFonts w:ascii="Cambria" w:eastAsia="Cambria" w:hAnsi="Cambria" w:cs="Cambria"/>
          <w:i/>
          <w:iCs/>
          <w:color w:val="C95C96"/>
        </w:rPr>
        <w:t>Limite de la mesure</w:t>
      </w:r>
    </w:p>
    <w:p w:rsidR="00AC12B4" w:rsidRDefault="00AC12B4">
      <w:pPr>
        <w:spacing w:line="202" w:lineRule="exact"/>
        <w:rPr>
          <w:sz w:val="20"/>
          <w:szCs w:val="20"/>
        </w:rPr>
      </w:pPr>
    </w:p>
    <w:p w:rsidR="00AC12B4" w:rsidRDefault="00C27636">
      <w:pPr>
        <w:spacing w:line="225" w:lineRule="auto"/>
        <w:ind w:left="560" w:right="480"/>
        <w:jc w:val="both"/>
        <w:rPr>
          <w:sz w:val="20"/>
          <w:szCs w:val="20"/>
        </w:rPr>
      </w:pPr>
      <w:r>
        <w:rPr>
          <w:rFonts w:ascii="Calibri" w:eastAsia="Calibri" w:hAnsi="Calibri" w:cs="Calibri"/>
        </w:rPr>
        <w:t>Les élèves de l’enseignement spécialisé et ceux de la Communauté germanophone ne sont pas atteints par l’enquête.</w:t>
      </w:r>
    </w:p>
    <w:p w:rsidR="00AC12B4" w:rsidRDefault="00AC12B4">
      <w:pPr>
        <w:spacing w:line="169" w:lineRule="exact"/>
        <w:rPr>
          <w:sz w:val="20"/>
          <w:szCs w:val="20"/>
        </w:rPr>
      </w:pPr>
    </w:p>
    <w:p w:rsidR="00AC12B4" w:rsidRDefault="00C27636">
      <w:pPr>
        <w:spacing w:line="231" w:lineRule="auto"/>
        <w:ind w:left="560" w:right="480"/>
        <w:jc w:val="both"/>
        <w:rPr>
          <w:sz w:val="20"/>
          <w:szCs w:val="20"/>
        </w:rPr>
      </w:pPr>
      <w:r>
        <w:rPr>
          <w:rFonts w:ascii="Calibri" w:eastAsia="Calibri" w:hAnsi="Calibri" w:cs="Calibri"/>
        </w:rPr>
        <w:t>En outre, comme nous l’avons déjà évo</w:t>
      </w:r>
      <w:r>
        <w:rPr>
          <w:rFonts w:ascii="Calibri" w:eastAsia="Calibri" w:hAnsi="Calibri" w:cs="Calibri"/>
        </w:rPr>
        <w:t>qué, il ne s’agit que d’une approche partielle de la perspective d’avenir. Il est indiqué d’approfondir la recherche sur cette thématique.</w:t>
      </w:r>
    </w:p>
    <w:p w:rsidR="00AC12B4" w:rsidRDefault="00AC12B4">
      <w:pPr>
        <w:spacing w:line="267" w:lineRule="exact"/>
        <w:rPr>
          <w:sz w:val="20"/>
          <w:szCs w:val="20"/>
        </w:rPr>
      </w:pPr>
    </w:p>
    <w:p w:rsidR="00AC12B4" w:rsidRDefault="00C27636">
      <w:pPr>
        <w:jc w:val="right"/>
        <w:rPr>
          <w:sz w:val="20"/>
          <w:szCs w:val="20"/>
        </w:rPr>
      </w:pPr>
      <w:r>
        <w:rPr>
          <w:rFonts w:ascii="Calibri" w:eastAsia="Calibri" w:hAnsi="Calibri" w:cs="Calibri"/>
        </w:rPr>
        <w:t>51</w:t>
      </w:r>
    </w:p>
    <w:p w:rsidR="00AC12B4" w:rsidRDefault="00C27636">
      <w:pPr>
        <w:spacing w:line="20" w:lineRule="exact"/>
        <w:rPr>
          <w:sz w:val="20"/>
          <w:szCs w:val="20"/>
        </w:rPr>
      </w:pPr>
      <w:r>
        <w:rPr>
          <w:sz w:val="20"/>
          <w:szCs w:val="20"/>
        </w:rPr>
        <w:br w:type="column"/>
      </w:r>
    </w:p>
    <w:p w:rsidR="00AC12B4" w:rsidRDefault="00AC12B4">
      <w:pPr>
        <w:spacing w:line="150" w:lineRule="exact"/>
        <w:rPr>
          <w:sz w:val="20"/>
          <w:szCs w:val="20"/>
        </w:rPr>
      </w:pPr>
    </w:p>
    <w:p w:rsidR="00AC12B4" w:rsidRDefault="00C27636">
      <w:pPr>
        <w:numPr>
          <w:ilvl w:val="0"/>
          <w:numId w:val="36"/>
        </w:numPr>
        <w:tabs>
          <w:tab w:val="left" w:pos="728"/>
        </w:tabs>
        <w:ind w:left="728" w:hanging="368"/>
        <w:rPr>
          <w:rFonts w:ascii="Wingdings" w:eastAsia="Wingdings" w:hAnsi="Wingdings" w:cs="Wingdings"/>
          <w:color w:val="C95C96"/>
        </w:rPr>
      </w:pPr>
      <w:r>
        <w:rPr>
          <w:rFonts w:ascii="Cambria" w:eastAsia="Cambria" w:hAnsi="Cambria" w:cs="Cambria"/>
          <w:i/>
          <w:iCs/>
          <w:color w:val="C95C96"/>
        </w:rPr>
        <w:t>Recommandations</w:t>
      </w:r>
    </w:p>
    <w:p w:rsidR="00AC12B4" w:rsidRDefault="00AC12B4">
      <w:pPr>
        <w:spacing w:line="199" w:lineRule="exact"/>
        <w:rPr>
          <w:sz w:val="20"/>
          <w:szCs w:val="20"/>
        </w:rPr>
      </w:pPr>
    </w:p>
    <w:p w:rsidR="00AC12B4" w:rsidRDefault="00C27636">
      <w:pPr>
        <w:spacing w:line="218" w:lineRule="auto"/>
        <w:ind w:left="8" w:right="88"/>
        <w:jc w:val="both"/>
        <w:rPr>
          <w:sz w:val="20"/>
          <w:szCs w:val="20"/>
        </w:rPr>
      </w:pPr>
      <w:r>
        <w:rPr>
          <w:rFonts w:ascii="Calibri" w:eastAsia="Calibri" w:hAnsi="Calibri" w:cs="Calibri"/>
        </w:rPr>
        <w:t>L’enquête HBSC devrait être étendue aux élèves de l’enseignement spécialisé.</w:t>
      </w:r>
    </w:p>
    <w:p w:rsidR="00AC12B4" w:rsidRDefault="00AC12B4">
      <w:pPr>
        <w:spacing w:line="170" w:lineRule="exact"/>
        <w:rPr>
          <w:sz w:val="20"/>
          <w:szCs w:val="20"/>
        </w:rPr>
      </w:pPr>
    </w:p>
    <w:p w:rsidR="00AC12B4" w:rsidRDefault="00C27636">
      <w:pPr>
        <w:spacing w:line="218" w:lineRule="auto"/>
        <w:ind w:left="8" w:right="88"/>
        <w:jc w:val="both"/>
        <w:rPr>
          <w:sz w:val="20"/>
          <w:szCs w:val="20"/>
        </w:rPr>
      </w:pPr>
      <w:r>
        <w:rPr>
          <w:rFonts w:ascii="Calibri" w:eastAsia="Calibri" w:hAnsi="Calibri" w:cs="Calibri"/>
        </w:rPr>
        <w:t xml:space="preserve">La Communauté </w:t>
      </w:r>
      <w:r>
        <w:rPr>
          <w:rFonts w:ascii="Calibri" w:eastAsia="Calibri" w:hAnsi="Calibri" w:cs="Calibri"/>
        </w:rPr>
        <w:t>germanophone devrait participer à cette enquête.</w:t>
      </w:r>
    </w:p>
    <w:p w:rsidR="00AC12B4" w:rsidRDefault="00AC12B4">
      <w:pPr>
        <w:spacing w:line="170" w:lineRule="exact"/>
        <w:rPr>
          <w:sz w:val="20"/>
          <w:szCs w:val="20"/>
        </w:rPr>
      </w:pPr>
    </w:p>
    <w:p w:rsidR="00AC12B4" w:rsidRDefault="00C27636">
      <w:pPr>
        <w:spacing w:line="229" w:lineRule="auto"/>
        <w:ind w:left="8" w:right="68"/>
        <w:jc w:val="both"/>
        <w:rPr>
          <w:sz w:val="20"/>
          <w:szCs w:val="20"/>
        </w:rPr>
      </w:pPr>
      <w:r>
        <w:rPr>
          <w:rFonts w:ascii="Calibri" w:eastAsia="Calibri" w:hAnsi="Calibri" w:cs="Calibri"/>
        </w:rPr>
        <w:t>L’Enquête HBSC devrait reprendre pour l’exercice 2018 une question du type « je suis persuadé que j’aurai un avenir positif » (Cf. Jop monitor).</w:t>
      </w:r>
    </w:p>
    <w:p w:rsidR="00AC12B4" w:rsidRDefault="00AC12B4">
      <w:pPr>
        <w:spacing w:line="170" w:lineRule="exact"/>
        <w:rPr>
          <w:sz w:val="20"/>
          <w:szCs w:val="20"/>
        </w:rPr>
      </w:pPr>
    </w:p>
    <w:p w:rsidR="00AC12B4" w:rsidRDefault="00C27636">
      <w:pPr>
        <w:spacing w:line="224" w:lineRule="auto"/>
        <w:ind w:left="8" w:right="88"/>
        <w:jc w:val="both"/>
        <w:rPr>
          <w:sz w:val="20"/>
          <w:szCs w:val="20"/>
        </w:rPr>
      </w:pPr>
      <w:r>
        <w:rPr>
          <w:rFonts w:ascii="Calibri" w:eastAsia="Calibri" w:hAnsi="Calibri" w:cs="Calibri"/>
        </w:rPr>
        <w:t>Une enquête spécifique devrait être mise en place pour attei</w:t>
      </w:r>
      <w:r>
        <w:rPr>
          <w:rFonts w:ascii="Calibri" w:eastAsia="Calibri" w:hAnsi="Calibri" w:cs="Calibri"/>
        </w:rPr>
        <w:t>ndre les groupes les plus vulnérables non atteints (Cf. section</w:t>
      </w:r>
    </w:p>
    <w:p w:rsidR="00AC12B4" w:rsidRDefault="00AC12B4">
      <w:pPr>
        <w:spacing w:line="53" w:lineRule="exact"/>
        <w:rPr>
          <w:sz w:val="20"/>
          <w:szCs w:val="20"/>
        </w:rPr>
      </w:pPr>
    </w:p>
    <w:p w:rsidR="00AC12B4" w:rsidRDefault="00C27636">
      <w:pPr>
        <w:numPr>
          <w:ilvl w:val="0"/>
          <w:numId w:val="37"/>
        </w:numPr>
        <w:tabs>
          <w:tab w:val="left" w:pos="171"/>
        </w:tabs>
        <w:spacing w:line="218" w:lineRule="auto"/>
        <w:ind w:left="8" w:right="88" w:hanging="8"/>
        <w:rPr>
          <w:rFonts w:ascii="Calibri" w:eastAsia="Calibri" w:hAnsi="Calibri" w:cs="Calibri"/>
        </w:rPr>
      </w:pPr>
      <w:r>
        <w:rPr>
          <w:rFonts w:ascii="Calibri" w:eastAsia="Calibri" w:hAnsi="Calibri" w:cs="Calibri"/>
        </w:rPr>
        <w:t>atteindre les plus vulnérables » dans la PARTIE I de cette publication)</w:t>
      </w:r>
    </w:p>
    <w:p w:rsidR="00AC12B4" w:rsidRDefault="00AC12B4">
      <w:pPr>
        <w:spacing w:line="207" w:lineRule="exact"/>
        <w:rPr>
          <w:sz w:val="20"/>
          <w:szCs w:val="20"/>
        </w:rPr>
      </w:pPr>
    </w:p>
    <w:p w:rsidR="00AC12B4" w:rsidRDefault="00C27636">
      <w:pPr>
        <w:ind w:left="8"/>
        <w:rPr>
          <w:sz w:val="20"/>
          <w:szCs w:val="20"/>
        </w:rPr>
      </w:pPr>
      <w:r>
        <w:rPr>
          <w:rFonts w:ascii="Cambria" w:eastAsia="Cambria" w:hAnsi="Cambria" w:cs="Cambria"/>
          <w:b/>
          <w:bCs/>
          <w:i/>
          <w:iCs/>
          <w:color w:val="963266"/>
          <w:sz w:val="26"/>
          <w:szCs w:val="26"/>
        </w:rPr>
        <w:t>Pour aller plus loin</w:t>
      </w:r>
    </w:p>
    <w:p w:rsidR="00AC12B4" w:rsidRDefault="00AC12B4">
      <w:pPr>
        <w:spacing w:line="162" w:lineRule="exact"/>
        <w:rPr>
          <w:sz w:val="20"/>
          <w:szCs w:val="20"/>
        </w:rPr>
      </w:pPr>
    </w:p>
    <w:p w:rsidR="00AC12B4" w:rsidRDefault="00C27636">
      <w:pPr>
        <w:numPr>
          <w:ilvl w:val="0"/>
          <w:numId w:val="38"/>
        </w:numPr>
        <w:tabs>
          <w:tab w:val="left" w:pos="428"/>
        </w:tabs>
        <w:ind w:left="428" w:hanging="361"/>
        <w:rPr>
          <w:rFonts w:ascii="Symbol" w:eastAsia="Symbol" w:hAnsi="Symbol" w:cs="Symbol"/>
          <w:sz w:val="20"/>
          <w:szCs w:val="20"/>
        </w:rPr>
      </w:pPr>
      <w:r>
        <w:rPr>
          <w:rFonts w:ascii="Calibri" w:eastAsia="Calibri" w:hAnsi="Calibri" w:cs="Calibri"/>
          <w:b/>
          <w:bCs/>
          <w:i/>
          <w:iCs/>
          <w:color w:val="C95C96"/>
          <w:sz w:val="20"/>
          <w:szCs w:val="20"/>
        </w:rPr>
        <w:t>Etudes non récurrentes</w:t>
      </w:r>
    </w:p>
    <w:p w:rsidR="00AC12B4" w:rsidRDefault="00AC12B4">
      <w:pPr>
        <w:spacing w:line="67" w:lineRule="exact"/>
        <w:rPr>
          <w:sz w:val="20"/>
          <w:szCs w:val="20"/>
        </w:rPr>
      </w:pPr>
    </w:p>
    <w:p w:rsidR="00AC12B4" w:rsidRDefault="00C27636">
      <w:pPr>
        <w:tabs>
          <w:tab w:val="left" w:pos="828"/>
        </w:tabs>
        <w:spacing w:line="265" w:lineRule="auto"/>
        <w:ind w:left="848" w:right="88" w:hanging="359"/>
        <w:jc w:val="both"/>
        <w:rPr>
          <w:sz w:val="20"/>
          <w:szCs w:val="20"/>
        </w:rPr>
      </w:pPr>
      <w:r>
        <w:rPr>
          <w:rFonts w:ascii="Courier New" w:eastAsia="Courier New" w:hAnsi="Courier New" w:cs="Courier New"/>
          <w:sz w:val="20"/>
          <w:szCs w:val="20"/>
        </w:rPr>
        <w:t>o</w:t>
      </w:r>
      <w:r>
        <w:rPr>
          <w:sz w:val="20"/>
          <w:szCs w:val="20"/>
        </w:rPr>
        <w:tab/>
      </w:r>
      <w:r>
        <w:rPr>
          <w:rFonts w:ascii="Calibri" w:eastAsia="Calibri" w:hAnsi="Calibri" w:cs="Calibri"/>
          <w:sz w:val="20"/>
          <w:szCs w:val="20"/>
        </w:rPr>
        <w:t xml:space="preserve">An Nuytiens, Yana Jaspers et Jenneke Christiaens, “Trajecten van uit handen gegeven jongeren in de volwassenheid”, </w:t>
      </w:r>
      <w:r>
        <w:rPr>
          <w:rFonts w:ascii="Calibri" w:eastAsia="Calibri" w:hAnsi="Calibri" w:cs="Calibri"/>
          <w:i/>
          <w:iCs/>
          <w:sz w:val="20"/>
          <w:szCs w:val="20"/>
        </w:rPr>
        <w:t>Panopticon</w:t>
      </w:r>
      <w:r>
        <w:rPr>
          <w:rFonts w:ascii="Calibri" w:eastAsia="Calibri" w:hAnsi="Calibri" w:cs="Calibri"/>
          <w:sz w:val="20"/>
          <w:szCs w:val="20"/>
        </w:rPr>
        <w:t xml:space="preserve"> 2015: résultats intermédiaires de la recherche de doctorat de</w:t>
      </w:r>
    </w:p>
    <w:p w:rsidR="00AC12B4" w:rsidRDefault="00AC12B4">
      <w:pPr>
        <w:spacing w:line="7" w:lineRule="exact"/>
        <w:rPr>
          <w:sz w:val="20"/>
          <w:szCs w:val="20"/>
        </w:rPr>
      </w:pPr>
    </w:p>
    <w:p w:rsidR="00AC12B4" w:rsidRDefault="00C27636">
      <w:pPr>
        <w:tabs>
          <w:tab w:val="left" w:pos="828"/>
          <w:tab w:val="left" w:pos="1528"/>
          <w:tab w:val="left" w:pos="2488"/>
          <w:tab w:val="left" w:pos="3568"/>
        </w:tabs>
        <w:ind w:left="488"/>
        <w:rPr>
          <w:sz w:val="20"/>
          <w:szCs w:val="20"/>
        </w:rPr>
      </w:pPr>
      <w:r>
        <w:rPr>
          <w:rFonts w:ascii="Courier New" w:eastAsia="Courier New" w:hAnsi="Courier New" w:cs="Courier New"/>
          <w:sz w:val="20"/>
          <w:szCs w:val="20"/>
        </w:rPr>
        <w:t>o</w:t>
      </w:r>
      <w:r>
        <w:rPr>
          <w:sz w:val="20"/>
          <w:szCs w:val="20"/>
        </w:rPr>
        <w:tab/>
      </w:r>
      <w:r>
        <w:rPr>
          <w:rFonts w:ascii="Calibri" w:eastAsia="Calibri" w:hAnsi="Calibri" w:cs="Calibri"/>
          <w:sz w:val="20"/>
          <w:szCs w:val="20"/>
        </w:rPr>
        <w:t>Yana</w:t>
      </w:r>
      <w:r>
        <w:rPr>
          <w:rFonts w:ascii="Calibri" w:eastAsia="Calibri" w:hAnsi="Calibri" w:cs="Calibri"/>
          <w:sz w:val="20"/>
          <w:szCs w:val="20"/>
        </w:rPr>
        <w:tab/>
        <w:t>Jaspers,</w:t>
      </w:r>
      <w:r>
        <w:rPr>
          <w:sz w:val="20"/>
          <w:szCs w:val="20"/>
        </w:rPr>
        <w:tab/>
      </w:r>
      <w:r>
        <w:rPr>
          <w:rFonts w:ascii="Calibri" w:eastAsia="Calibri" w:hAnsi="Calibri" w:cs="Calibri"/>
          <w:i/>
          <w:iCs/>
          <w:sz w:val="20"/>
          <w:szCs w:val="20"/>
        </w:rPr>
        <w:t>Trajecten</w:t>
      </w:r>
      <w:r>
        <w:rPr>
          <w:sz w:val="20"/>
          <w:szCs w:val="20"/>
        </w:rPr>
        <w:tab/>
      </w:r>
      <w:r>
        <w:rPr>
          <w:rFonts w:ascii="Calibri" w:eastAsia="Calibri" w:hAnsi="Calibri" w:cs="Calibri"/>
          <w:i/>
          <w:iCs/>
          <w:sz w:val="18"/>
          <w:szCs w:val="18"/>
        </w:rPr>
        <w:t>van</w:t>
      </w:r>
    </w:p>
    <w:p w:rsidR="00AC12B4" w:rsidRDefault="00AC12B4">
      <w:pPr>
        <w:spacing w:line="54" w:lineRule="exact"/>
        <w:rPr>
          <w:sz w:val="20"/>
          <w:szCs w:val="20"/>
        </w:rPr>
      </w:pPr>
    </w:p>
    <w:p w:rsidR="00AC12B4" w:rsidRDefault="00C27636">
      <w:pPr>
        <w:ind w:left="848"/>
        <w:rPr>
          <w:sz w:val="20"/>
          <w:szCs w:val="20"/>
        </w:rPr>
      </w:pPr>
      <w:r>
        <w:rPr>
          <w:rFonts w:ascii="Calibri" w:eastAsia="Calibri" w:hAnsi="Calibri" w:cs="Calibri"/>
          <w:i/>
          <w:iCs/>
          <w:sz w:val="20"/>
          <w:szCs w:val="20"/>
        </w:rPr>
        <w:t>uithandengegeven</w:t>
      </w:r>
    </w:p>
    <w:p w:rsidR="00AC12B4" w:rsidRDefault="00AC12B4">
      <w:pPr>
        <w:spacing w:line="37" w:lineRule="exact"/>
        <w:rPr>
          <w:sz w:val="20"/>
          <w:szCs w:val="20"/>
        </w:rPr>
      </w:pPr>
    </w:p>
    <w:p w:rsidR="00AC12B4" w:rsidRDefault="00C27636">
      <w:pPr>
        <w:ind w:left="848"/>
        <w:rPr>
          <w:sz w:val="20"/>
          <w:szCs w:val="20"/>
        </w:rPr>
      </w:pPr>
      <w:r>
        <w:rPr>
          <w:rFonts w:ascii="Calibri" w:eastAsia="Calibri" w:hAnsi="Calibri" w:cs="Calibri"/>
          <w:i/>
          <w:iCs/>
          <w:sz w:val="20"/>
          <w:szCs w:val="20"/>
        </w:rPr>
        <w:t>jeugddelinquenten:</w:t>
      </w:r>
      <w:r>
        <w:rPr>
          <w:rFonts w:ascii="Calibri" w:eastAsia="Calibri" w:hAnsi="Calibri" w:cs="Calibri"/>
          <w:i/>
          <w:iCs/>
          <w:sz w:val="20"/>
          <w:szCs w:val="20"/>
        </w:rPr>
        <w:t xml:space="preserve">  een  kwalitatief</w:t>
      </w:r>
    </w:p>
    <w:p w:rsidR="00AC12B4" w:rsidRDefault="00AC12B4">
      <w:pPr>
        <w:spacing w:line="37" w:lineRule="exact"/>
        <w:rPr>
          <w:sz w:val="20"/>
          <w:szCs w:val="20"/>
        </w:rPr>
      </w:pPr>
    </w:p>
    <w:p w:rsidR="00AC12B4" w:rsidRDefault="00C27636">
      <w:pPr>
        <w:ind w:left="848"/>
        <w:rPr>
          <w:sz w:val="20"/>
          <w:szCs w:val="20"/>
        </w:rPr>
      </w:pPr>
      <w:r>
        <w:rPr>
          <w:rFonts w:ascii="Calibri" w:eastAsia="Calibri" w:hAnsi="Calibri" w:cs="Calibri"/>
          <w:i/>
          <w:iCs/>
          <w:sz w:val="20"/>
          <w:szCs w:val="20"/>
        </w:rPr>
        <w:t>onderzoek naar de gevolgen van de</w:t>
      </w:r>
    </w:p>
    <w:p w:rsidR="00AC12B4" w:rsidRDefault="00AC12B4">
      <w:pPr>
        <w:spacing w:line="37" w:lineRule="exact"/>
        <w:rPr>
          <w:sz w:val="20"/>
          <w:szCs w:val="20"/>
        </w:rPr>
      </w:pPr>
    </w:p>
    <w:p w:rsidR="00AC12B4" w:rsidRDefault="00C27636">
      <w:pPr>
        <w:tabs>
          <w:tab w:val="left" w:pos="2388"/>
          <w:tab w:val="left" w:pos="2788"/>
          <w:tab w:val="left" w:pos="3168"/>
        </w:tabs>
        <w:ind w:left="848"/>
        <w:rPr>
          <w:sz w:val="20"/>
          <w:szCs w:val="20"/>
        </w:rPr>
      </w:pPr>
      <w:r>
        <w:rPr>
          <w:rFonts w:ascii="Calibri" w:eastAsia="Calibri" w:hAnsi="Calibri" w:cs="Calibri"/>
          <w:i/>
          <w:iCs/>
          <w:sz w:val="20"/>
          <w:szCs w:val="20"/>
        </w:rPr>
        <w:t>uithandengeving</w:t>
      </w:r>
      <w:r>
        <w:rPr>
          <w:rFonts w:ascii="Calibri" w:eastAsia="Calibri" w:hAnsi="Calibri" w:cs="Calibri"/>
          <w:i/>
          <w:iCs/>
          <w:sz w:val="20"/>
          <w:szCs w:val="20"/>
        </w:rPr>
        <w:tab/>
        <w:t>op</w:t>
      </w:r>
      <w:r>
        <w:rPr>
          <w:rFonts w:ascii="Calibri" w:eastAsia="Calibri" w:hAnsi="Calibri" w:cs="Calibri"/>
          <w:i/>
          <w:iCs/>
          <w:sz w:val="20"/>
          <w:szCs w:val="20"/>
        </w:rPr>
        <w:tab/>
        <w:t>de</w:t>
      </w:r>
      <w:r>
        <w:rPr>
          <w:sz w:val="20"/>
          <w:szCs w:val="20"/>
        </w:rPr>
        <w:tab/>
      </w:r>
      <w:r>
        <w:rPr>
          <w:rFonts w:ascii="Calibri" w:eastAsia="Calibri" w:hAnsi="Calibri" w:cs="Calibri"/>
          <w:i/>
          <w:iCs/>
          <w:sz w:val="19"/>
          <w:szCs w:val="19"/>
        </w:rPr>
        <w:t>justitiële</w:t>
      </w:r>
    </w:p>
    <w:p w:rsidR="00AC12B4" w:rsidRDefault="00AC12B4">
      <w:pPr>
        <w:spacing w:line="37" w:lineRule="exact"/>
        <w:rPr>
          <w:sz w:val="20"/>
          <w:szCs w:val="20"/>
        </w:rPr>
      </w:pPr>
    </w:p>
    <w:p w:rsidR="00AC12B4" w:rsidRDefault="00C27636">
      <w:pPr>
        <w:ind w:left="848"/>
        <w:rPr>
          <w:sz w:val="20"/>
          <w:szCs w:val="20"/>
        </w:rPr>
      </w:pPr>
      <w:r>
        <w:rPr>
          <w:rFonts w:ascii="Calibri" w:eastAsia="Calibri" w:hAnsi="Calibri" w:cs="Calibri"/>
          <w:i/>
          <w:iCs/>
          <w:sz w:val="20"/>
          <w:szCs w:val="20"/>
        </w:rPr>
        <w:t>trajecten in de jongvolwassenheid,</w:t>
      </w:r>
    </w:p>
    <w:p w:rsidR="00AC12B4" w:rsidRDefault="00AC12B4">
      <w:pPr>
        <w:spacing w:line="37" w:lineRule="exact"/>
        <w:rPr>
          <w:sz w:val="20"/>
          <w:szCs w:val="20"/>
        </w:rPr>
      </w:pPr>
    </w:p>
    <w:p w:rsidR="00AC12B4" w:rsidRDefault="00C27636">
      <w:pPr>
        <w:tabs>
          <w:tab w:val="left" w:pos="2008"/>
          <w:tab w:val="left" w:pos="2668"/>
          <w:tab w:val="left" w:pos="3188"/>
        </w:tabs>
        <w:ind w:left="848"/>
        <w:rPr>
          <w:sz w:val="20"/>
          <w:szCs w:val="20"/>
        </w:rPr>
      </w:pPr>
      <w:r>
        <w:rPr>
          <w:rFonts w:ascii="Calibri" w:eastAsia="Calibri" w:hAnsi="Calibri" w:cs="Calibri"/>
          <w:sz w:val="20"/>
          <w:szCs w:val="20"/>
        </w:rPr>
        <w:t>promotrice</w:t>
      </w:r>
      <w:r>
        <w:rPr>
          <w:rFonts w:ascii="Calibri" w:eastAsia="Calibri" w:hAnsi="Calibri" w:cs="Calibri"/>
          <w:sz w:val="20"/>
          <w:szCs w:val="20"/>
        </w:rPr>
        <w:tab/>
        <w:t>Prof.</w:t>
      </w:r>
      <w:r>
        <w:rPr>
          <w:rFonts w:ascii="Calibri" w:eastAsia="Calibri" w:hAnsi="Calibri" w:cs="Calibri"/>
          <w:sz w:val="20"/>
          <w:szCs w:val="20"/>
        </w:rPr>
        <w:tab/>
        <w:t>Dr.</w:t>
      </w:r>
      <w:r>
        <w:rPr>
          <w:sz w:val="20"/>
          <w:szCs w:val="20"/>
        </w:rPr>
        <w:tab/>
      </w:r>
      <w:r>
        <w:rPr>
          <w:rFonts w:ascii="Calibri" w:eastAsia="Calibri" w:hAnsi="Calibri" w:cs="Calibri"/>
          <w:sz w:val="19"/>
          <w:szCs w:val="19"/>
        </w:rPr>
        <w:t>Jenneke</w:t>
      </w:r>
    </w:p>
    <w:p w:rsidR="00AC12B4" w:rsidRDefault="00AC12B4">
      <w:pPr>
        <w:spacing w:line="37" w:lineRule="exact"/>
        <w:rPr>
          <w:sz w:val="20"/>
          <w:szCs w:val="20"/>
        </w:rPr>
      </w:pPr>
    </w:p>
    <w:p w:rsidR="00AC12B4" w:rsidRDefault="00C27636">
      <w:pPr>
        <w:ind w:left="848"/>
        <w:rPr>
          <w:sz w:val="20"/>
          <w:szCs w:val="20"/>
        </w:rPr>
      </w:pPr>
      <w:r>
        <w:rPr>
          <w:rFonts w:ascii="Calibri" w:eastAsia="Calibri" w:hAnsi="Calibri" w:cs="Calibri"/>
          <w:sz w:val="20"/>
          <w:szCs w:val="20"/>
        </w:rPr>
        <w:t>Christiaens, co-promotrice Prof. Dr.</w:t>
      </w:r>
    </w:p>
    <w:p w:rsidR="00AC12B4" w:rsidRDefault="00AC12B4">
      <w:pPr>
        <w:spacing w:line="37" w:lineRule="exact"/>
        <w:rPr>
          <w:sz w:val="20"/>
          <w:szCs w:val="20"/>
        </w:rPr>
      </w:pPr>
    </w:p>
    <w:p w:rsidR="00AC12B4" w:rsidRDefault="00C27636">
      <w:pPr>
        <w:tabs>
          <w:tab w:val="left" w:pos="1408"/>
          <w:tab w:val="left" w:pos="2648"/>
          <w:tab w:val="left" w:pos="3488"/>
        </w:tabs>
        <w:ind w:left="848"/>
        <w:rPr>
          <w:sz w:val="20"/>
          <w:szCs w:val="20"/>
        </w:rPr>
      </w:pPr>
      <w:r>
        <w:rPr>
          <w:rFonts w:ascii="Calibri" w:eastAsia="Calibri" w:hAnsi="Calibri" w:cs="Calibri"/>
          <w:sz w:val="20"/>
          <w:szCs w:val="20"/>
        </w:rPr>
        <w:t>Els</w:t>
      </w:r>
      <w:r>
        <w:rPr>
          <w:sz w:val="20"/>
          <w:szCs w:val="20"/>
        </w:rPr>
        <w:tab/>
      </w:r>
      <w:r>
        <w:rPr>
          <w:rFonts w:ascii="Calibri" w:eastAsia="Calibri" w:hAnsi="Calibri" w:cs="Calibri"/>
          <w:sz w:val="20"/>
          <w:szCs w:val="20"/>
        </w:rPr>
        <w:t>Dumortier,</w:t>
      </w:r>
      <w:r>
        <w:rPr>
          <w:sz w:val="20"/>
          <w:szCs w:val="20"/>
        </w:rPr>
        <w:tab/>
      </w:r>
      <w:r>
        <w:rPr>
          <w:rFonts w:ascii="Calibri" w:eastAsia="Calibri" w:hAnsi="Calibri" w:cs="Calibri"/>
          <w:sz w:val="20"/>
          <w:szCs w:val="20"/>
        </w:rPr>
        <w:t>Fonds</w:t>
      </w:r>
      <w:r>
        <w:rPr>
          <w:sz w:val="20"/>
          <w:szCs w:val="20"/>
        </w:rPr>
        <w:tab/>
      </w:r>
      <w:r>
        <w:rPr>
          <w:rFonts w:ascii="Calibri" w:eastAsia="Calibri" w:hAnsi="Calibri" w:cs="Calibri"/>
          <w:sz w:val="19"/>
          <w:szCs w:val="19"/>
        </w:rPr>
        <w:t>voor</w:t>
      </w:r>
    </w:p>
    <w:p w:rsidR="00AC12B4" w:rsidRDefault="00AC12B4">
      <w:pPr>
        <w:spacing w:line="37" w:lineRule="exact"/>
        <w:rPr>
          <w:sz w:val="20"/>
          <w:szCs w:val="20"/>
        </w:rPr>
      </w:pPr>
    </w:p>
    <w:p w:rsidR="00AC12B4" w:rsidRDefault="00C27636">
      <w:pPr>
        <w:tabs>
          <w:tab w:val="left" w:pos="2968"/>
        </w:tabs>
        <w:ind w:left="848"/>
        <w:rPr>
          <w:sz w:val="20"/>
          <w:szCs w:val="20"/>
        </w:rPr>
      </w:pPr>
      <w:r>
        <w:rPr>
          <w:rFonts w:ascii="Calibri" w:eastAsia="Calibri" w:hAnsi="Calibri" w:cs="Calibri"/>
          <w:sz w:val="20"/>
          <w:szCs w:val="20"/>
        </w:rPr>
        <w:t>Wetenschappelijk</w:t>
      </w:r>
      <w:r>
        <w:rPr>
          <w:sz w:val="20"/>
          <w:szCs w:val="20"/>
        </w:rPr>
        <w:tab/>
      </w:r>
      <w:r>
        <w:rPr>
          <w:rFonts w:ascii="Calibri" w:eastAsia="Calibri" w:hAnsi="Calibri" w:cs="Calibri"/>
          <w:sz w:val="20"/>
          <w:szCs w:val="20"/>
        </w:rPr>
        <w:t>Onderzoek</w:t>
      </w:r>
    </w:p>
    <w:p w:rsidR="00AC12B4" w:rsidRDefault="00AC12B4">
      <w:pPr>
        <w:spacing w:line="83" w:lineRule="exact"/>
        <w:rPr>
          <w:sz w:val="20"/>
          <w:szCs w:val="20"/>
        </w:rPr>
      </w:pPr>
    </w:p>
    <w:p w:rsidR="00AC12B4" w:rsidRDefault="00C27636">
      <w:pPr>
        <w:spacing w:line="235" w:lineRule="auto"/>
        <w:ind w:left="848" w:right="88"/>
        <w:rPr>
          <w:sz w:val="20"/>
          <w:szCs w:val="20"/>
        </w:rPr>
      </w:pPr>
      <w:r>
        <w:rPr>
          <w:rFonts w:ascii="Calibri" w:eastAsia="Calibri" w:hAnsi="Calibri" w:cs="Calibri"/>
          <w:sz w:val="20"/>
          <w:szCs w:val="20"/>
        </w:rPr>
        <w:t>(G098713N), 01/01/2013– 31/12/2015;</w:t>
      </w:r>
    </w:p>
    <w:p w:rsidR="00AC12B4" w:rsidRDefault="00AC12B4">
      <w:pPr>
        <w:spacing w:line="84" w:lineRule="exact"/>
        <w:rPr>
          <w:sz w:val="20"/>
          <w:szCs w:val="20"/>
        </w:rPr>
      </w:pPr>
    </w:p>
    <w:p w:rsidR="00AC12B4" w:rsidRDefault="00C27636">
      <w:pPr>
        <w:numPr>
          <w:ilvl w:val="0"/>
          <w:numId w:val="39"/>
        </w:numPr>
        <w:tabs>
          <w:tab w:val="left" w:pos="848"/>
        </w:tabs>
        <w:spacing w:line="250" w:lineRule="auto"/>
        <w:ind w:left="848" w:right="88" w:hanging="356"/>
        <w:jc w:val="both"/>
        <w:rPr>
          <w:rFonts w:ascii="Courier New" w:eastAsia="Courier New" w:hAnsi="Courier New" w:cs="Courier New"/>
          <w:sz w:val="20"/>
          <w:szCs w:val="20"/>
        </w:rPr>
      </w:pPr>
      <w:r>
        <w:rPr>
          <w:rFonts w:ascii="Calibri" w:eastAsia="Calibri" w:hAnsi="Calibri" w:cs="Calibri"/>
          <w:sz w:val="20"/>
          <w:szCs w:val="20"/>
        </w:rPr>
        <w:t xml:space="preserve">Nuytiens, A., </w:t>
      </w:r>
      <w:r>
        <w:rPr>
          <w:rFonts w:ascii="Calibri" w:eastAsia="Calibri" w:hAnsi="Calibri" w:cs="Calibri"/>
          <w:i/>
          <w:iCs/>
          <w:sz w:val="20"/>
          <w:szCs w:val="20"/>
        </w:rPr>
        <w:t>Small numbers, big</w:t>
      </w:r>
      <w:r>
        <w:rPr>
          <w:rFonts w:ascii="Calibri" w:eastAsia="Calibri" w:hAnsi="Calibri" w:cs="Calibri"/>
          <w:sz w:val="20"/>
          <w:szCs w:val="20"/>
        </w:rPr>
        <w:t xml:space="preserve"> </w:t>
      </w:r>
      <w:r>
        <w:rPr>
          <w:rFonts w:ascii="Calibri" w:eastAsia="Calibri" w:hAnsi="Calibri" w:cs="Calibri"/>
          <w:i/>
          <w:iCs/>
          <w:sz w:val="20"/>
          <w:szCs w:val="20"/>
        </w:rPr>
        <w:t>problems. Een kwalitatieve studie naar het jeugdbeschermingstraject</w:t>
      </w:r>
    </w:p>
    <w:p w:rsidR="00AC12B4" w:rsidRDefault="00AC12B4">
      <w:pPr>
        <w:spacing w:line="73" w:lineRule="exact"/>
        <w:rPr>
          <w:sz w:val="20"/>
          <w:szCs w:val="20"/>
        </w:rPr>
      </w:pPr>
    </w:p>
    <w:p w:rsidR="00AC12B4" w:rsidRDefault="00C27636">
      <w:pPr>
        <w:spacing w:line="235" w:lineRule="auto"/>
        <w:ind w:left="848" w:right="88"/>
        <w:rPr>
          <w:sz w:val="20"/>
          <w:szCs w:val="20"/>
        </w:rPr>
      </w:pPr>
      <w:r>
        <w:rPr>
          <w:rFonts w:ascii="Calibri" w:eastAsia="Calibri" w:hAnsi="Calibri" w:cs="Calibri"/>
          <w:i/>
          <w:iCs/>
          <w:sz w:val="20"/>
          <w:szCs w:val="20"/>
        </w:rPr>
        <w:t>van vrouwelijke persistente delinquenten</w:t>
      </w:r>
      <w:r>
        <w:rPr>
          <w:rFonts w:ascii="Calibri" w:eastAsia="Calibri" w:hAnsi="Calibri" w:cs="Calibri"/>
          <w:sz w:val="20"/>
          <w:szCs w:val="20"/>
        </w:rPr>
        <w:t>, 2011 (doct.);</w:t>
      </w:r>
    </w:p>
    <w:p w:rsidR="00AC12B4" w:rsidRDefault="00AC12B4">
      <w:pPr>
        <w:spacing w:line="84" w:lineRule="exact"/>
        <w:rPr>
          <w:sz w:val="20"/>
          <w:szCs w:val="20"/>
        </w:rPr>
      </w:pPr>
    </w:p>
    <w:p w:rsidR="00AC12B4" w:rsidRDefault="00C27636">
      <w:pPr>
        <w:numPr>
          <w:ilvl w:val="0"/>
          <w:numId w:val="40"/>
        </w:numPr>
        <w:tabs>
          <w:tab w:val="left" w:pos="848"/>
        </w:tabs>
        <w:spacing w:line="257" w:lineRule="auto"/>
        <w:ind w:left="848" w:right="88" w:hanging="356"/>
        <w:jc w:val="both"/>
        <w:rPr>
          <w:rFonts w:ascii="Courier New" w:eastAsia="Courier New" w:hAnsi="Courier New" w:cs="Courier New"/>
          <w:sz w:val="20"/>
          <w:szCs w:val="20"/>
        </w:rPr>
      </w:pPr>
      <w:r>
        <w:rPr>
          <w:rFonts w:ascii="Calibri" w:eastAsia="Calibri" w:hAnsi="Calibri" w:cs="Calibri"/>
          <w:sz w:val="20"/>
          <w:szCs w:val="20"/>
        </w:rPr>
        <w:t xml:space="preserve">Nuytiens, A., </w:t>
      </w:r>
      <w:r>
        <w:rPr>
          <w:rFonts w:ascii="Calibri" w:eastAsia="Calibri" w:hAnsi="Calibri" w:cs="Calibri"/>
          <w:i/>
          <w:iCs/>
          <w:sz w:val="20"/>
          <w:szCs w:val="20"/>
        </w:rPr>
        <w:t>Eindrapport: ernstige</w:t>
      </w:r>
      <w:r>
        <w:rPr>
          <w:rFonts w:ascii="Calibri" w:eastAsia="Calibri" w:hAnsi="Calibri" w:cs="Calibri"/>
          <w:sz w:val="20"/>
          <w:szCs w:val="20"/>
        </w:rPr>
        <w:t xml:space="preserve"> </w:t>
      </w:r>
      <w:r>
        <w:rPr>
          <w:rFonts w:ascii="Calibri" w:eastAsia="Calibri" w:hAnsi="Calibri" w:cs="Calibri"/>
          <w:i/>
          <w:iCs/>
          <w:sz w:val="20"/>
          <w:szCs w:val="20"/>
        </w:rPr>
        <w:t>jeugddelinquenten worden</w:t>
      </w:r>
      <w:r>
        <w:rPr>
          <w:rFonts w:ascii="Calibri" w:eastAsia="Calibri" w:hAnsi="Calibri" w:cs="Calibri"/>
          <w:i/>
          <w:iCs/>
          <w:sz w:val="20"/>
          <w:szCs w:val="20"/>
        </w:rPr>
        <w:t xml:space="preserve"> gestraft? Een onderzoek naar de praktijk van de uithandengeving</w:t>
      </w:r>
      <w:r>
        <w:rPr>
          <w:rFonts w:ascii="Calibri" w:eastAsia="Calibri" w:hAnsi="Calibri" w:cs="Calibri"/>
          <w:sz w:val="20"/>
          <w:szCs w:val="20"/>
        </w:rPr>
        <w:t>, 2004.</w:t>
      </w:r>
    </w:p>
    <w:p w:rsidR="00AC12B4" w:rsidRDefault="00AC12B4">
      <w:pPr>
        <w:spacing w:line="68" w:lineRule="exact"/>
        <w:rPr>
          <w:sz w:val="20"/>
          <w:szCs w:val="20"/>
        </w:rPr>
      </w:pPr>
    </w:p>
    <w:p w:rsidR="00AC12B4" w:rsidRDefault="00C27636">
      <w:pPr>
        <w:numPr>
          <w:ilvl w:val="0"/>
          <w:numId w:val="41"/>
        </w:numPr>
        <w:tabs>
          <w:tab w:val="left" w:pos="848"/>
        </w:tabs>
        <w:spacing w:line="258" w:lineRule="auto"/>
        <w:ind w:left="848" w:right="88" w:hanging="356"/>
        <w:jc w:val="both"/>
        <w:rPr>
          <w:rFonts w:ascii="Calibri" w:eastAsia="Calibri" w:hAnsi="Calibri" w:cs="Calibri"/>
          <w:color w:val="0000FF"/>
          <w:sz w:val="20"/>
          <w:szCs w:val="20"/>
          <w:u w:val="single"/>
        </w:rPr>
      </w:pPr>
      <w:r>
        <w:rPr>
          <w:rFonts w:ascii="Calibri" w:eastAsia="Calibri" w:hAnsi="Calibri" w:cs="Calibri"/>
          <w:sz w:val="20"/>
          <w:szCs w:val="20"/>
        </w:rPr>
        <w:t xml:space="preserve">DGDE, </w:t>
      </w:r>
      <w:r>
        <w:rPr>
          <w:rFonts w:ascii="Calibri" w:eastAsia="Calibri" w:hAnsi="Calibri" w:cs="Calibri"/>
          <w:i/>
          <w:iCs/>
          <w:sz w:val="20"/>
          <w:szCs w:val="20"/>
        </w:rPr>
        <w:t>Rapport « Quel avenir pour</w:t>
      </w:r>
      <w:r>
        <w:rPr>
          <w:rFonts w:ascii="Calibri" w:eastAsia="Calibri" w:hAnsi="Calibri" w:cs="Calibri"/>
          <w:sz w:val="20"/>
          <w:szCs w:val="20"/>
        </w:rPr>
        <w:t xml:space="preserve"> </w:t>
      </w:r>
      <w:r>
        <w:rPr>
          <w:rFonts w:ascii="Calibri" w:eastAsia="Calibri" w:hAnsi="Calibri" w:cs="Calibri"/>
          <w:i/>
          <w:iCs/>
          <w:sz w:val="20"/>
          <w:szCs w:val="20"/>
        </w:rPr>
        <w:t>les jeunes dessaisis ? »</w:t>
      </w:r>
      <w:r>
        <w:rPr>
          <w:rFonts w:ascii="Calibri" w:eastAsia="Calibri" w:hAnsi="Calibri" w:cs="Calibri"/>
          <w:sz w:val="20"/>
          <w:szCs w:val="20"/>
        </w:rPr>
        <w:t>, 2012,</w:t>
      </w:r>
      <w:r>
        <w:rPr>
          <w:rFonts w:ascii="Calibri" w:eastAsia="Calibri" w:hAnsi="Calibri" w:cs="Calibri"/>
          <w:i/>
          <w:iCs/>
          <w:sz w:val="20"/>
          <w:szCs w:val="20"/>
        </w:rPr>
        <w:t xml:space="preserve"> </w:t>
      </w:r>
      <w:hyperlink r:id="rId50">
        <w:r>
          <w:rPr>
            <w:rFonts w:ascii="Calibri" w:eastAsia="Calibri" w:hAnsi="Calibri" w:cs="Calibri"/>
            <w:color w:val="0000FF"/>
            <w:sz w:val="20"/>
            <w:szCs w:val="20"/>
            <w:u w:val="single"/>
          </w:rPr>
          <w:t>www.dgde.cfwb.be/index.php?id=42</w:t>
        </w:r>
      </w:hyperlink>
      <w:r>
        <w:rPr>
          <w:rFonts w:ascii="Calibri" w:eastAsia="Calibri" w:hAnsi="Calibri" w:cs="Calibri"/>
          <w:color w:val="0000FF"/>
          <w:sz w:val="20"/>
          <w:szCs w:val="20"/>
          <w:u w:val="single"/>
        </w:rPr>
        <w:t xml:space="preserve"> </w:t>
      </w:r>
      <w:hyperlink r:id="rId51">
        <w:r>
          <w:rPr>
            <w:rFonts w:ascii="Calibri" w:eastAsia="Calibri" w:hAnsi="Calibri" w:cs="Calibri"/>
            <w:color w:val="0000FF"/>
            <w:sz w:val="20"/>
            <w:szCs w:val="20"/>
            <w:u w:val="single"/>
          </w:rPr>
          <w:t>32</w:t>
        </w:r>
      </w:hyperlink>
    </w:p>
    <w:p w:rsidR="00AC12B4" w:rsidRDefault="00C27636">
      <w:pPr>
        <w:spacing w:line="20" w:lineRule="exact"/>
        <w:rPr>
          <w:rFonts w:ascii="Courier New" w:eastAsia="Courier New" w:hAnsi="Courier New" w:cs="Courier New"/>
          <w:sz w:val="20"/>
          <w:szCs w:val="20"/>
        </w:rPr>
      </w:pPr>
      <w:r>
        <w:rPr>
          <w:rFonts w:ascii="Courier New" w:eastAsia="Courier New" w:hAnsi="Courier New" w:cs="Courier New"/>
          <w:sz w:val="20"/>
          <w:szCs w:val="20"/>
        </w:rPr>
        <w:br w:type="column"/>
      </w: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99" w:lineRule="exact"/>
        <w:rPr>
          <w:rFonts w:ascii="Courier New" w:eastAsia="Courier New" w:hAnsi="Courier New" w:cs="Courier New"/>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trPr>
          <w:trHeight w:val="4100"/>
        </w:trPr>
        <w:tc>
          <w:tcPr>
            <w:tcW w:w="330" w:type="dxa"/>
            <w:textDirection w:val="btLr"/>
            <w:vAlign w:val="bottom"/>
          </w:tcPr>
          <w:p w:rsidR="00AC12B4" w:rsidRDefault="00C27636">
            <w:pPr>
              <w:rPr>
                <w:sz w:val="20"/>
                <w:szCs w:val="20"/>
              </w:rPr>
            </w:pPr>
            <w:r>
              <w:rPr>
                <w:rFonts w:ascii="Calibri" w:eastAsia="Calibri" w:hAnsi="Calibri" w:cs="Calibri"/>
                <w:b/>
                <w:bCs/>
                <w:i/>
                <w:iCs/>
                <w:color w:val="F2F2F2"/>
                <w:sz w:val="27"/>
                <w:szCs w:val="27"/>
              </w:rPr>
              <w:lastRenderedPageBreak/>
              <w:t>Le droit de poursuivre son bien-être</w:t>
            </w:r>
          </w:p>
        </w:tc>
      </w:tr>
    </w:tbl>
    <w:p w:rsidR="00AC12B4" w:rsidRDefault="00C27636">
      <w:pPr>
        <w:spacing w:line="20" w:lineRule="exact"/>
        <w:rPr>
          <w:rFonts w:ascii="Courier New" w:eastAsia="Courier New" w:hAnsi="Courier New" w:cs="Courier New"/>
          <w:sz w:val="20"/>
          <w:szCs w:val="20"/>
        </w:rPr>
      </w:pPr>
      <w:r>
        <w:rPr>
          <w:rFonts w:ascii="Courier New" w:eastAsia="Courier New" w:hAnsi="Courier New" w:cs="Courier New"/>
          <w:noProof/>
          <w:sz w:val="20"/>
          <w:szCs w:val="20"/>
        </w:rPr>
        <mc:AlternateContent>
          <mc:Choice Requires="wps">
            <w:drawing>
              <wp:anchor distT="0" distB="0" distL="114300" distR="114300" simplePos="0" relativeHeight="251407872" behindDoc="1" locked="0" layoutInCell="0" allowOverlap="1">
                <wp:simplePos x="0" y="0"/>
                <wp:positionH relativeFrom="column">
                  <wp:posOffset>-220980</wp:posOffset>
                </wp:positionH>
                <wp:positionV relativeFrom="paragraph">
                  <wp:posOffset>-9943465</wp:posOffset>
                </wp:positionV>
                <wp:extent cx="734060" cy="10906760"/>
                <wp:effectExtent l="0" t="0" r="0" b="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61" o:spid="_x0000_s1086" style="position:absolute;margin-left:-17.3999pt;margin-top:-782.9499pt;width:57.8pt;height:85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p>
    <w:p w:rsidR="00AC12B4" w:rsidRDefault="00AC12B4">
      <w:pPr>
        <w:sectPr w:rsidR="00AC12B4">
          <w:pgSz w:w="12080" w:h="17179"/>
          <w:pgMar w:top="1440" w:right="479" w:bottom="659" w:left="1440" w:header="0" w:footer="0" w:gutter="0"/>
          <w:cols w:num="3" w:space="720" w:equalWidth="0">
            <w:col w:w="4920" w:space="232"/>
            <w:col w:w="3956" w:space="720"/>
            <w:col w:w="330"/>
          </w:cols>
        </w:sectPr>
      </w:pPr>
    </w:p>
    <w:bookmarkStart w:id="51" w:name="page52"/>
    <w:bookmarkEnd w:id="51"/>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408896" behindDoc="1" locked="0" layoutInCell="0" allowOverlap="1">
                <wp:simplePos x="0" y="0"/>
                <wp:positionH relativeFrom="page">
                  <wp:posOffset>0</wp:posOffset>
                </wp:positionH>
                <wp:positionV relativeFrom="page">
                  <wp:posOffset>0</wp:posOffset>
                </wp:positionV>
                <wp:extent cx="727075" cy="10905490"/>
                <wp:effectExtent l="0" t="0" r="0" b="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7075" cy="10905490"/>
                        </a:xfrm>
                        <a:prstGeom prst="rect">
                          <a:avLst/>
                        </a:prstGeom>
                        <a:solidFill>
                          <a:srgbClr val="C95C96"/>
                        </a:solidFill>
                      </wps:spPr>
                      <wps:bodyPr/>
                    </wps:wsp>
                  </a:graphicData>
                </a:graphic>
              </wp:anchor>
            </w:drawing>
          </mc:Choice>
          <mc:Fallback>
            <w:pict>
              <v:rect id="Shape 62" o:spid="_x0000_s1087" style="position:absolute;margin-left:0pt;margin-top:0pt;width:57.25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41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de poursuivre son bien-être</w:t>
            </w:r>
          </w:p>
        </w:tc>
      </w:tr>
    </w:tbl>
    <w:p w:rsidR="00AC12B4" w:rsidRDefault="00C27636">
      <w:pPr>
        <w:spacing w:line="20" w:lineRule="exact"/>
        <w:rPr>
          <w:sz w:val="20"/>
          <w:szCs w:val="20"/>
        </w:rPr>
      </w:pPr>
      <w:r>
        <w:rPr>
          <w:sz w:val="20"/>
          <w:szCs w:val="20"/>
        </w:rPr>
        <w:br w:type="column"/>
      </w:r>
    </w:p>
    <w:p w:rsidR="00AC12B4" w:rsidRDefault="00AC12B4">
      <w:pPr>
        <w:spacing w:line="191" w:lineRule="exact"/>
        <w:rPr>
          <w:sz w:val="20"/>
          <w:szCs w:val="20"/>
        </w:rPr>
      </w:pPr>
    </w:p>
    <w:p w:rsidR="00AC12B4" w:rsidRDefault="00C27636">
      <w:pPr>
        <w:numPr>
          <w:ilvl w:val="0"/>
          <w:numId w:val="42"/>
        </w:numPr>
        <w:tabs>
          <w:tab w:val="left" w:pos="800"/>
        </w:tabs>
        <w:spacing w:line="249" w:lineRule="auto"/>
        <w:ind w:left="800" w:right="5317" w:hanging="368"/>
        <w:jc w:val="both"/>
        <w:rPr>
          <w:rFonts w:ascii="Courier New" w:eastAsia="Courier New" w:hAnsi="Courier New" w:cs="Courier New"/>
          <w:sz w:val="20"/>
          <w:szCs w:val="20"/>
        </w:rPr>
      </w:pPr>
      <w:r>
        <w:rPr>
          <w:rFonts w:ascii="Calibri" w:eastAsia="Calibri" w:hAnsi="Calibri" w:cs="Calibri"/>
          <w:sz w:val="20"/>
          <w:szCs w:val="20"/>
        </w:rPr>
        <w:t>Enquête prévue à l’INCC sur des personnes condamnées et leur parcours pendant les 30 dernières</w:t>
      </w:r>
    </w:p>
    <w:p w:rsidR="00AC12B4" w:rsidRDefault="00AC12B4">
      <w:pPr>
        <w:spacing w:line="75" w:lineRule="exact"/>
        <w:rPr>
          <w:rFonts w:ascii="Courier New" w:eastAsia="Courier New" w:hAnsi="Courier New" w:cs="Courier New"/>
          <w:sz w:val="20"/>
          <w:szCs w:val="20"/>
        </w:rPr>
      </w:pPr>
    </w:p>
    <w:p w:rsidR="00AC12B4" w:rsidRDefault="00C27636">
      <w:pPr>
        <w:spacing w:line="235" w:lineRule="auto"/>
        <w:ind w:left="800" w:right="5317"/>
        <w:rPr>
          <w:rFonts w:ascii="Courier New" w:eastAsia="Courier New" w:hAnsi="Courier New" w:cs="Courier New"/>
          <w:sz w:val="20"/>
          <w:szCs w:val="20"/>
        </w:rPr>
      </w:pPr>
      <w:r>
        <w:rPr>
          <w:rFonts w:ascii="Calibri" w:eastAsia="Calibri" w:hAnsi="Calibri" w:cs="Calibri"/>
          <w:sz w:val="20"/>
          <w:szCs w:val="20"/>
        </w:rPr>
        <w:t>années (en attente d’un financement).</w:t>
      </w:r>
    </w:p>
    <w:p w:rsidR="00AC12B4" w:rsidRDefault="00C27636">
      <w:pPr>
        <w:tabs>
          <w:tab w:val="left" w:pos="340"/>
          <w:tab w:val="left" w:pos="1700"/>
          <w:tab w:val="left" w:pos="3000"/>
        </w:tabs>
        <w:rPr>
          <w:sz w:val="20"/>
          <w:szCs w:val="20"/>
        </w:rPr>
      </w:pPr>
      <w:r>
        <w:rPr>
          <w:rFonts w:ascii="Symbol" w:eastAsia="Symbol" w:hAnsi="Symbol" w:cs="Symbol"/>
          <w:sz w:val="20"/>
          <w:szCs w:val="20"/>
        </w:rPr>
        <w:t></w:t>
      </w:r>
      <w:r>
        <w:rPr>
          <w:sz w:val="20"/>
          <w:szCs w:val="20"/>
        </w:rPr>
        <w:tab/>
      </w:r>
      <w:r>
        <w:rPr>
          <w:rFonts w:ascii="Calibri" w:eastAsia="Calibri" w:hAnsi="Calibri" w:cs="Calibri"/>
          <w:b/>
          <w:bCs/>
          <w:i/>
          <w:iCs/>
          <w:sz w:val="20"/>
          <w:szCs w:val="20"/>
        </w:rPr>
        <w:t>Thermomètre</w:t>
      </w:r>
      <w:r>
        <w:rPr>
          <w:rFonts w:ascii="Calibri" w:eastAsia="Calibri" w:hAnsi="Calibri" w:cs="Calibri"/>
          <w:b/>
          <w:bCs/>
          <w:i/>
          <w:iCs/>
          <w:sz w:val="20"/>
          <w:szCs w:val="20"/>
        </w:rPr>
        <w:tab/>
        <w:t>solidaris n°3:</w:t>
      </w:r>
      <w:r>
        <w:rPr>
          <w:sz w:val="20"/>
          <w:szCs w:val="20"/>
        </w:rPr>
        <w:tab/>
      </w:r>
      <w:r>
        <w:rPr>
          <w:rFonts w:ascii="Calibri" w:eastAsia="Calibri" w:hAnsi="Calibri" w:cs="Calibri"/>
          <w:b/>
          <w:bCs/>
          <w:i/>
          <w:iCs/>
          <w:sz w:val="19"/>
          <w:szCs w:val="19"/>
        </w:rPr>
        <w:t>Comment</w:t>
      </w:r>
    </w:p>
    <w:p w:rsidR="00AC12B4" w:rsidRDefault="00AC12B4">
      <w:pPr>
        <w:spacing w:line="85" w:lineRule="exact"/>
        <w:rPr>
          <w:sz w:val="20"/>
          <w:szCs w:val="20"/>
        </w:rPr>
      </w:pPr>
    </w:p>
    <w:p w:rsidR="00AC12B4" w:rsidRDefault="00C27636">
      <w:pPr>
        <w:ind w:left="360"/>
        <w:rPr>
          <w:sz w:val="20"/>
          <w:szCs w:val="20"/>
        </w:rPr>
      </w:pPr>
      <w:r>
        <w:rPr>
          <w:rFonts w:ascii="Calibri" w:eastAsia="Calibri" w:hAnsi="Calibri" w:cs="Calibri"/>
          <w:b/>
          <w:bCs/>
          <w:i/>
          <w:iCs/>
          <w:sz w:val="20"/>
          <w:szCs w:val="20"/>
        </w:rPr>
        <w:t xml:space="preserve">vont les ados ? (mai 2013) </w:t>
      </w:r>
      <w:r>
        <w:rPr>
          <w:rFonts w:ascii="Calibri" w:eastAsia="Calibri" w:hAnsi="Calibri" w:cs="Calibri"/>
          <w:sz w:val="20"/>
          <w:szCs w:val="20"/>
        </w:rPr>
        <w:t>: 400 jeunes de</w:t>
      </w:r>
    </w:p>
    <w:p w:rsidR="00AC12B4" w:rsidRDefault="00AC12B4">
      <w:pPr>
        <w:spacing w:line="37" w:lineRule="exact"/>
        <w:rPr>
          <w:sz w:val="20"/>
          <w:szCs w:val="20"/>
        </w:rPr>
      </w:pPr>
    </w:p>
    <w:p w:rsidR="00AC12B4" w:rsidRDefault="00C27636">
      <w:pPr>
        <w:tabs>
          <w:tab w:val="left" w:pos="760"/>
          <w:tab w:val="left" w:pos="1060"/>
          <w:tab w:val="left" w:pos="1460"/>
          <w:tab w:val="left" w:pos="1960"/>
          <w:tab w:val="left" w:pos="2440"/>
          <w:tab w:val="left" w:pos="2920"/>
        </w:tabs>
        <w:ind w:left="360"/>
        <w:rPr>
          <w:sz w:val="20"/>
          <w:szCs w:val="20"/>
        </w:rPr>
      </w:pPr>
      <w:r>
        <w:rPr>
          <w:rFonts w:ascii="Calibri" w:eastAsia="Calibri" w:hAnsi="Calibri" w:cs="Calibri"/>
          <w:sz w:val="20"/>
          <w:szCs w:val="20"/>
        </w:rPr>
        <w:t>14</w:t>
      </w:r>
      <w:r>
        <w:rPr>
          <w:rFonts w:ascii="Calibri" w:eastAsia="Calibri" w:hAnsi="Calibri" w:cs="Calibri"/>
          <w:sz w:val="20"/>
          <w:szCs w:val="20"/>
        </w:rPr>
        <w:tab/>
        <w:t>à</w:t>
      </w:r>
      <w:r>
        <w:rPr>
          <w:rFonts w:ascii="Calibri" w:eastAsia="Calibri" w:hAnsi="Calibri" w:cs="Calibri"/>
          <w:sz w:val="20"/>
          <w:szCs w:val="20"/>
        </w:rPr>
        <w:tab/>
        <w:t>18</w:t>
      </w:r>
      <w:r>
        <w:rPr>
          <w:rFonts w:ascii="Calibri" w:eastAsia="Calibri" w:hAnsi="Calibri" w:cs="Calibri"/>
          <w:sz w:val="20"/>
          <w:szCs w:val="20"/>
        </w:rPr>
        <w:tab/>
        <w:t>ans</w:t>
      </w:r>
      <w:r>
        <w:rPr>
          <w:rFonts w:ascii="Calibri" w:eastAsia="Calibri" w:hAnsi="Calibri" w:cs="Calibri"/>
          <w:sz w:val="20"/>
          <w:szCs w:val="20"/>
        </w:rPr>
        <w:tab/>
        <w:t>ont</w:t>
      </w:r>
      <w:r>
        <w:rPr>
          <w:rFonts w:ascii="Calibri" w:eastAsia="Calibri" w:hAnsi="Calibri" w:cs="Calibri"/>
          <w:sz w:val="20"/>
          <w:szCs w:val="20"/>
        </w:rPr>
        <w:tab/>
        <w:t>été</w:t>
      </w:r>
      <w:r>
        <w:rPr>
          <w:sz w:val="20"/>
          <w:szCs w:val="20"/>
        </w:rPr>
        <w:tab/>
      </w:r>
      <w:r>
        <w:rPr>
          <w:rFonts w:ascii="Calibri" w:eastAsia="Calibri" w:hAnsi="Calibri" w:cs="Calibri"/>
          <w:sz w:val="19"/>
          <w:szCs w:val="19"/>
        </w:rPr>
        <w:t>interrogés,</w:t>
      </w:r>
    </w:p>
    <w:p w:rsidR="00AC12B4" w:rsidRDefault="00AC12B4">
      <w:pPr>
        <w:spacing w:line="37" w:lineRule="exact"/>
        <w:rPr>
          <w:sz w:val="20"/>
          <w:szCs w:val="20"/>
        </w:rPr>
      </w:pPr>
    </w:p>
    <w:p w:rsidR="00AC12B4" w:rsidRDefault="00C27636">
      <w:pPr>
        <w:ind w:left="360"/>
        <w:rPr>
          <w:sz w:val="20"/>
          <w:szCs w:val="20"/>
        </w:rPr>
      </w:pPr>
      <w:r>
        <w:rPr>
          <w:rFonts w:ascii="Calibri" w:eastAsia="Calibri" w:hAnsi="Calibri" w:cs="Calibri"/>
          <w:sz w:val="20"/>
          <w:szCs w:val="20"/>
        </w:rPr>
        <w:t>notamment  sur  leurs  visions  de  leur</w:t>
      </w:r>
    </w:p>
    <w:p w:rsidR="00AC12B4" w:rsidRDefault="00AC12B4">
      <w:pPr>
        <w:spacing w:line="37" w:lineRule="exact"/>
        <w:rPr>
          <w:sz w:val="20"/>
          <w:szCs w:val="20"/>
        </w:rPr>
      </w:pPr>
    </w:p>
    <w:p w:rsidR="00AC12B4" w:rsidRDefault="00C27636">
      <w:pPr>
        <w:ind w:left="360"/>
        <w:rPr>
          <w:sz w:val="20"/>
          <w:szCs w:val="20"/>
        </w:rPr>
      </w:pPr>
      <w:r>
        <w:rPr>
          <w:rFonts w:ascii="Calibri" w:eastAsia="Calibri" w:hAnsi="Calibri" w:cs="Calibri"/>
          <w:sz w:val="20"/>
          <w:szCs w:val="20"/>
        </w:rPr>
        <w:t>avenir.</w:t>
      </w:r>
    </w:p>
    <w:p w:rsidR="00AC12B4" w:rsidRDefault="00AC12B4">
      <w:pPr>
        <w:spacing w:line="83" w:lineRule="exact"/>
        <w:rPr>
          <w:sz w:val="20"/>
          <w:szCs w:val="20"/>
        </w:rPr>
      </w:pPr>
    </w:p>
    <w:p w:rsidR="00AC12B4" w:rsidRDefault="00C27636">
      <w:pPr>
        <w:numPr>
          <w:ilvl w:val="0"/>
          <w:numId w:val="43"/>
        </w:numPr>
        <w:tabs>
          <w:tab w:val="left" w:pos="800"/>
        </w:tabs>
        <w:spacing w:line="249" w:lineRule="auto"/>
        <w:ind w:left="800" w:right="5317" w:hanging="368"/>
        <w:jc w:val="both"/>
        <w:rPr>
          <w:rFonts w:ascii="Courier New" w:eastAsia="Courier New" w:hAnsi="Courier New" w:cs="Courier New"/>
          <w:sz w:val="20"/>
          <w:szCs w:val="20"/>
        </w:rPr>
      </w:pPr>
      <w:r>
        <w:rPr>
          <w:rFonts w:ascii="Calibri" w:eastAsia="Calibri" w:hAnsi="Calibri" w:cs="Calibri"/>
          <w:sz w:val="20"/>
          <w:szCs w:val="20"/>
        </w:rPr>
        <w:t>25% des jeunes déclarent avoir peur quand ils pensent à leur avenir (35% des jeunes interrogés sont issus d’un</w:t>
      </w:r>
    </w:p>
    <w:p w:rsidR="00AC12B4" w:rsidRDefault="00AC12B4">
      <w:pPr>
        <w:spacing w:line="30" w:lineRule="exact"/>
        <w:rPr>
          <w:sz w:val="20"/>
          <w:szCs w:val="20"/>
        </w:rPr>
      </w:pPr>
    </w:p>
    <w:p w:rsidR="00AC12B4" w:rsidRDefault="00C27636">
      <w:pPr>
        <w:ind w:left="800"/>
        <w:rPr>
          <w:sz w:val="20"/>
          <w:szCs w:val="20"/>
        </w:rPr>
      </w:pPr>
      <w:r>
        <w:rPr>
          <w:rFonts w:ascii="Calibri" w:eastAsia="Calibri" w:hAnsi="Calibri" w:cs="Calibri"/>
          <w:sz w:val="20"/>
          <w:szCs w:val="20"/>
        </w:rPr>
        <w:t>milieu défavorisé).</w:t>
      </w:r>
    </w:p>
    <w:p w:rsidR="00AC12B4" w:rsidRDefault="00AC12B4">
      <w:pPr>
        <w:spacing w:line="83" w:lineRule="exact"/>
        <w:rPr>
          <w:sz w:val="20"/>
          <w:szCs w:val="20"/>
        </w:rPr>
      </w:pPr>
    </w:p>
    <w:p w:rsidR="00AC12B4" w:rsidRDefault="00C27636">
      <w:pPr>
        <w:numPr>
          <w:ilvl w:val="0"/>
          <w:numId w:val="44"/>
        </w:numPr>
        <w:tabs>
          <w:tab w:val="left" w:pos="800"/>
        </w:tabs>
        <w:spacing w:line="232" w:lineRule="auto"/>
        <w:ind w:left="800" w:right="5317" w:hanging="368"/>
        <w:jc w:val="both"/>
        <w:rPr>
          <w:rFonts w:ascii="Courier New" w:eastAsia="Courier New" w:hAnsi="Courier New" w:cs="Courier New"/>
          <w:sz w:val="20"/>
          <w:szCs w:val="20"/>
        </w:rPr>
      </w:pPr>
      <w:r>
        <w:rPr>
          <w:rFonts w:ascii="Calibri" w:eastAsia="Calibri" w:hAnsi="Calibri" w:cs="Calibri"/>
          <w:sz w:val="20"/>
          <w:szCs w:val="20"/>
        </w:rPr>
        <w:t>68% se déclarent très confiants par rapport à leurs capacités</w:t>
      </w:r>
    </w:p>
    <w:p w:rsidR="00AC12B4" w:rsidRDefault="00AC12B4">
      <w:pPr>
        <w:spacing w:line="37" w:lineRule="exact"/>
        <w:rPr>
          <w:sz w:val="20"/>
          <w:szCs w:val="20"/>
        </w:rPr>
      </w:pPr>
    </w:p>
    <w:p w:rsidR="00AC12B4" w:rsidRDefault="00C27636">
      <w:pPr>
        <w:ind w:left="800"/>
        <w:rPr>
          <w:sz w:val="20"/>
          <w:szCs w:val="20"/>
        </w:rPr>
      </w:pPr>
      <w:r>
        <w:rPr>
          <w:rFonts w:ascii="Calibri" w:eastAsia="Calibri" w:hAnsi="Calibri" w:cs="Calibri"/>
          <w:sz w:val="20"/>
          <w:szCs w:val="20"/>
        </w:rPr>
        <w:t>personnel</w:t>
      </w:r>
      <w:r>
        <w:rPr>
          <w:rFonts w:ascii="Calibri" w:eastAsia="Calibri" w:hAnsi="Calibri" w:cs="Calibri"/>
          <w:sz w:val="20"/>
          <w:szCs w:val="20"/>
        </w:rPr>
        <w:t>les pour réussir leur vie</w:t>
      </w:r>
    </w:p>
    <w:p w:rsidR="00AC12B4" w:rsidRDefault="00AC12B4">
      <w:pPr>
        <w:spacing w:line="37" w:lineRule="exact"/>
        <w:rPr>
          <w:sz w:val="20"/>
          <w:szCs w:val="20"/>
        </w:rPr>
      </w:pPr>
    </w:p>
    <w:p w:rsidR="00AC12B4" w:rsidRDefault="00C27636">
      <w:pPr>
        <w:ind w:left="800"/>
        <w:rPr>
          <w:sz w:val="20"/>
          <w:szCs w:val="20"/>
        </w:rPr>
      </w:pPr>
      <w:r>
        <w:rPr>
          <w:rFonts w:ascii="Calibri" w:eastAsia="Calibri" w:hAnsi="Calibri" w:cs="Calibri"/>
          <w:sz w:val="20"/>
          <w:szCs w:val="20"/>
        </w:rPr>
        <w:t>telle qu’ils la conçoivent.</w:t>
      </w:r>
    </w:p>
    <w:p w:rsidR="00AC12B4" w:rsidRDefault="00AC12B4">
      <w:pPr>
        <w:spacing w:line="37" w:lineRule="exact"/>
        <w:rPr>
          <w:sz w:val="20"/>
          <w:szCs w:val="20"/>
        </w:rPr>
      </w:pPr>
    </w:p>
    <w:p w:rsidR="00AC12B4" w:rsidRDefault="00C27636">
      <w:pPr>
        <w:ind w:left="360"/>
        <w:rPr>
          <w:rFonts w:ascii="Calibri" w:eastAsia="Calibri" w:hAnsi="Calibri" w:cs="Calibri"/>
          <w:i/>
          <w:iCs/>
          <w:color w:val="0000FF"/>
          <w:sz w:val="20"/>
          <w:szCs w:val="20"/>
          <w:u w:val="single"/>
        </w:rPr>
      </w:pPr>
      <w:hyperlink r:id="rId52">
        <w:r>
          <w:rPr>
            <w:rFonts w:ascii="Calibri" w:eastAsia="Calibri" w:hAnsi="Calibri" w:cs="Calibri"/>
            <w:i/>
            <w:iCs/>
            <w:color w:val="0000FF"/>
            <w:sz w:val="20"/>
            <w:szCs w:val="20"/>
            <w:u w:val="single"/>
          </w:rPr>
          <w:t>www.solidaris.be/BW/Pages/Thermometr</w:t>
        </w:r>
      </w:hyperlink>
    </w:p>
    <w:p w:rsidR="00AC12B4" w:rsidRDefault="00AC12B4">
      <w:pPr>
        <w:spacing w:line="37" w:lineRule="exact"/>
        <w:rPr>
          <w:sz w:val="20"/>
          <w:szCs w:val="20"/>
        </w:rPr>
      </w:pPr>
    </w:p>
    <w:p w:rsidR="00AC12B4" w:rsidRDefault="00C27636">
      <w:pPr>
        <w:ind w:left="360"/>
        <w:rPr>
          <w:rFonts w:ascii="Calibri" w:eastAsia="Calibri" w:hAnsi="Calibri" w:cs="Calibri"/>
          <w:i/>
          <w:iCs/>
          <w:color w:val="0000FF"/>
          <w:sz w:val="20"/>
          <w:szCs w:val="20"/>
          <w:u w:val="single"/>
        </w:rPr>
      </w:pPr>
      <w:hyperlink r:id="rId53">
        <w:r>
          <w:rPr>
            <w:rFonts w:ascii="Calibri" w:eastAsia="Calibri" w:hAnsi="Calibri" w:cs="Calibri"/>
            <w:i/>
            <w:iCs/>
            <w:color w:val="0000FF"/>
            <w:sz w:val="20"/>
            <w:szCs w:val="20"/>
            <w:u w:val="single"/>
          </w:rPr>
          <w:t>e-Solidaris-3-Comment-vont-les-ados-mai-</w:t>
        </w:r>
      </w:hyperlink>
    </w:p>
    <w:p w:rsidR="00AC12B4" w:rsidRDefault="00AC12B4">
      <w:pPr>
        <w:spacing w:line="37" w:lineRule="exact"/>
        <w:rPr>
          <w:sz w:val="20"/>
          <w:szCs w:val="20"/>
        </w:rPr>
      </w:pPr>
    </w:p>
    <w:p w:rsidR="00AC12B4" w:rsidRDefault="00C27636">
      <w:pPr>
        <w:ind w:left="360"/>
        <w:rPr>
          <w:rFonts w:ascii="Calibri" w:eastAsia="Calibri" w:hAnsi="Calibri" w:cs="Calibri"/>
          <w:i/>
          <w:iCs/>
          <w:color w:val="0000FF"/>
          <w:sz w:val="20"/>
          <w:szCs w:val="20"/>
          <w:u w:val="single"/>
        </w:rPr>
      </w:pPr>
      <w:hyperlink r:id="rId54">
        <w:r>
          <w:rPr>
            <w:rFonts w:ascii="Calibri" w:eastAsia="Calibri" w:hAnsi="Calibri" w:cs="Calibri"/>
            <w:i/>
            <w:iCs/>
            <w:color w:val="0000FF"/>
            <w:sz w:val="20"/>
            <w:szCs w:val="20"/>
            <w:u w:val="single"/>
          </w:rPr>
          <w:t>2013.aspx</w:t>
        </w:r>
      </w:hyperlink>
    </w:p>
    <w:p w:rsidR="00AC12B4" w:rsidRDefault="00AC12B4">
      <w:pPr>
        <w:spacing w:line="95" w:lineRule="exact"/>
        <w:rPr>
          <w:sz w:val="20"/>
          <w:szCs w:val="20"/>
        </w:rPr>
      </w:pPr>
    </w:p>
    <w:p w:rsidR="00AC12B4" w:rsidRDefault="00C27636">
      <w:pPr>
        <w:numPr>
          <w:ilvl w:val="0"/>
          <w:numId w:val="45"/>
        </w:numPr>
        <w:tabs>
          <w:tab w:val="left" w:pos="360"/>
        </w:tabs>
        <w:spacing w:line="246" w:lineRule="auto"/>
        <w:ind w:left="360" w:right="5317" w:hanging="352"/>
        <w:jc w:val="both"/>
        <w:rPr>
          <w:rFonts w:ascii="Symbol" w:eastAsia="Symbol" w:hAnsi="Symbol" w:cs="Symbol"/>
          <w:sz w:val="20"/>
          <w:szCs w:val="20"/>
        </w:rPr>
      </w:pPr>
      <w:r>
        <w:rPr>
          <w:rFonts w:ascii="Calibri" w:eastAsia="Calibri" w:hAnsi="Calibri" w:cs="Calibri"/>
          <w:b/>
          <w:bCs/>
          <w:i/>
          <w:iCs/>
          <w:color w:val="C95C96"/>
          <w:sz w:val="20"/>
          <w:szCs w:val="20"/>
        </w:rPr>
        <w:t xml:space="preserve">Jop-moniteur 3 (2013) : </w:t>
      </w:r>
      <w:r>
        <w:rPr>
          <w:rFonts w:ascii="Calibri" w:eastAsia="Calibri" w:hAnsi="Calibri" w:cs="Calibri"/>
          <w:color w:val="000000"/>
          <w:sz w:val="20"/>
          <w:szCs w:val="20"/>
        </w:rPr>
        <w:t>Voici un résumé</w:t>
      </w:r>
      <w:r>
        <w:rPr>
          <w:rFonts w:ascii="Calibri" w:eastAsia="Calibri" w:hAnsi="Calibri" w:cs="Calibri"/>
          <w:b/>
          <w:bCs/>
          <w:i/>
          <w:iCs/>
          <w:color w:val="C95C96"/>
          <w:sz w:val="20"/>
          <w:szCs w:val="20"/>
        </w:rPr>
        <w:t xml:space="preserve"> </w:t>
      </w:r>
      <w:r>
        <w:rPr>
          <w:rFonts w:ascii="Calibri" w:eastAsia="Calibri" w:hAnsi="Calibri" w:cs="Calibri"/>
          <w:color w:val="000000"/>
          <w:sz w:val="20"/>
          <w:szCs w:val="20"/>
        </w:rPr>
        <w:t>des réponses de plus de 3000 jeunes flamands aux questions suivantes:</w:t>
      </w:r>
    </w:p>
    <w:p w:rsidR="00AC12B4" w:rsidRDefault="00AC12B4">
      <w:pPr>
        <w:spacing w:line="78" w:lineRule="exact"/>
        <w:rPr>
          <w:rFonts w:ascii="Symbol" w:eastAsia="Symbol" w:hAnsi="Symbol" w:cs="Symbol"/>
          <w:sz w:val="20"/>
          <w:szCs w:val="20"/>
        </w:rPr>
      </w:pPr>
    </w:p>
    <w:p w:rsidR="00AC12B4" w:rsidRDefault="00C27636">
      <w:pPr>
        <w:numPr>
          <w:ilvl w:val="1"/>
          <w:numId w:val="45"/>
        </w:numPr>
        <w:tabs>
          <w:tab w:val="left" w:pos="800"/>
        </w:tabs>
        <w:spacing w:line="269" w:lineRule="auto"/>
        <w:ind w:left="800" w:right="5317" w:hanging="368"/>
        <w:jc w:val="both"/>
        <w:rPr>
          <w:rFonts w:ascii="Calibri" w:eastAsia="Calibri" w:hAnsi="Calibri" w:cs="Calibri"/>
          <w:sz w:val="20"/>
          <w:szCs w:val="20"/>
        </w:rPr>
      </w:pPr>
      <w:r>
        <w:rPr>
          <w:rFonts w:ascii="Calibri" w:eastAsia="Calibri" w:hAnsi="Calibri" w:cs="Calibri"/>
          <w:sz w:val="20"/>
          <w:szCs w:val="20"/>
        </w:rPr>
        <w:t xml:space="preserve">j’ai plein d’attentes pour mon avenir” (“Ik kijk vol verwachting uit naar de toekomst”) : pas (du tout) d’accord : 5.2% ; </w:t>
      </w:r>
      <w:r>
        <w:rPr>
          <w:rFonts w:ascii="Calibri" w:eastAsia="Calibri" w:hAnsi="Calibri" w:cs="Calibri"/>
          <w:sz w:val="20"/>
          <w:szCs w:val="20"/>
        </w:rPr>
        <w:t>(tout à fait) d’accord : 71%. Nous constatons une évolution constante ou légèrement positive comparé aux JOP-moniteurs 2008 et 2006.</w:t>
      </w:r>
    </w:p>
    <w:p w:rsidR="00AC12B4" w:rsidRDefault="00AC12B4">
      <w:pPr>
        <w:spacing w:line="57" w:lineRule="exact"/>
        <w:rPr>
          <w:rFonts w:ascii="Calibri" w:eastAsia="Calibri" w:hAnsi="Calibri" w:cs="Calibri"/>
          <w:sz w:val="20"/>
          <w:szCs w:val="20"/>
        </w:rPr>
      </w:pPr>
    </w:p>
    <w:p w:rsidR="00AC12B4" w:rsidRDefault="00C27636">
      <w:pPr>
        <w:numPr>
          <w:ilvl w:val="1"/>
          <w:numId w:val="45"/>
        </w:numPr>
        <w:tabs>
          <w:tab w:val="left" w:pos="800"/>
        </w:tabs>
        <w:spacing w:line="265" w:lineRule="auto"/>
        <w:ind w:left="800" w:right="5317" w:hanging="368"/>
        <w:jc w:val="both"/>
        <w:rPr>
          <w:rFonts w:ascii="Calibri" w:eastAsia="Calibri" w:hAnsi="Calibri" w:cs="Calibri"/>
          <w:sz w:val="20"/>
          <w:szCs w:val="20"/>
        </w:rPr>
      </w:pPr>
      <w:r>
        <w:rPr>
          <w:rFonts w:ascii="Calibri" w:eastAsia="Calibri" w:hAnsi="Calibri" w:cs="Calibri"/>
          <w:sz w:val="20"/>
          <w:szCs w:val="20"/>
        </w:rPr>
        <w:t>« Je vois mon avenir souvent de façon sombre” (“Ik zie mijn toekomst vaak somber in”) : (pas du tout) d’accord : 67%; (tou</w:t>
      </w:r>
      <w:r>
        <w:rPr>
          <w:rFonts w:ascii="Calibri" w:eastAsia="Calibri" w:hAnsi="Calibri" w:cs="Calibri"/>
          <w:sz w:val="20"/>
          <w:szCs w:val="20"/>
        </w:rPr>
        <w:t>t à fait) d’accord : 10,3%.</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5" w:lineRule="exact"/>
        <w:rPr>
          <w:sz w:val="20"/>
          <w:szCs w:val="20"/>
        </w:rPr>
      </w:pPr>
    </w:p>
    <w:p w:rsidR="00AC12B4" w:rsidRDefault="00C27636">
      <w:pPr>
        <w:ind w:right="797"/>
        <w:jc w:val="center"/>
        <w:rPr>
          <w:sz w:val="20"/>
          <w:szCs w:val="20"/>
        </w:rPr>
      </w:pPr>
      <w:r>
        <w:rPr>
          <w:rFonts w:ascii="Calibri" w:eastAsia="Calibri" w:hAnsi="Calibri" w:cs="Calibri"/>
          <w:sz w:val="21"/>
          <w:szCs w:val="21"/>
        </w:rPr>
        <w:t>52</w:t>
      </w:r>
    </w:p>
    <w:p w:rsidR="00AC12B4" w:rsidRDefault="00AC12B4">
      <w:pPr>
        <w:sectPr w:rsidR="00AC12B4">
          <w:pgSz w:w="12080" w:h="17179"/>
          <w:pgMar w:top="1440" w:right="1440" w:bottom="659" w:left="430" w:header="0" w:footer="0" w:gutter="0"/>
          <w:cols w:num="2" w:space="720" w:equalWidth="0">
            <w:col w:w="350" w:space="720"/>
            <w:col w:w="9137"/>
          </w:cols>
        </w:sectPr>
      </w:pPr>
    </w:p>
    <w:bookmarkStart w:id="52" w:name="page53"/>
    <w:bookmarkEnd w:id="52"/>
    <w:p w:rsidR="00AC12B4" w:rsidRDefault="00C27636">
      <w:pPr>
        <w:spacing w:line="168" w:lineRule="exact"/>
        <w:rPr>
          <w:sz w:val="20"/>
          <w:szCs w:val="20"/>
        </w:rPr>
      </w:pPr>
      <w:r>
        <w:rPr>
          <w:noProof/>
          <w:sz w:val="20"/>
          <w:szCs w:val="20"/>
        </w:rPr>
        <w:lastRenderedPageBreak/>
        <mc:AlternateContent>
          <mc:Choice Requires="wps">
            <w:drawing>
              <wp:anchor distT="0" distB="0" distL="114300" distR="114300" simplePos="0" relativeHeight="251409920" behindDoc="1" locked="0" layoutInCell="0" allowOverlap="1">
                <wp:simplePos x="0" y="0"/>
                <wp:positionH relativeFrom="page">
                  <wp:posOffset>6934200</wp:posOffset>
                </wp:positionH>
                <wp:positionV relativeFrom="page">
                  <wp:posOffset>0</wp:posOffset>
                </wp:positionV>
                <wp:extent cx="734060" cy="10906760"/>
                <wp:effectExtent l="0" t="0" r="0" b="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63" o:spid="_x0000_s1088" style="position:absolute;margin-left:546pt;margin-top:0pt;width:57.8pt;height:858.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C27636">
      <w:pPr>
        <w:ind w:left="920"/>
        <w:rPr>
          <w:sz w:val="20"/>
          <w:szCs w:val="20"/>
        </w:rPr>
      </w:pPr>
      <w:r>
        <w:rPr>
          <w:rFonts w:ascii="Comic Sans MS" w:eastAsia="Comic Sans MS" w:hAnsi="Comic Sans MS" w:cs="Comic Sans MS"/>
          <w:color w:val="C95C96"/>
          <w:sz w:val="40"/>
          <w:szCs w:val="40"/>
        </w:rPr>
        <w:t>B3. Perceptions du quartier</w:t>
      </w:r>
    </w:p>
    <w:p w:rsidR="00AC12B4" w:rsidRDefault="00AC12B4">
      <w:pPr>
        <w:sectPr w:rsidR="00AC12B4">
          <w:pgSz w:w="12080" w:h="17179"/>
          <w:pgMar w:top="1440" w:right="528" w:bottom="659" w:left="1080" w:header="0" w:footer="0" w:gutter="0"/>
          <w:cols w:space="720" w:equalWidth="0">
            <w:col w:w="10469"/>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83" w:lineRule="exact"/>
        <w:rPr>
          <w:sz w:val="20"/>
          <w:szCs w:val="20"/>
        </w:rPr>
      </w:pPr>
    </w:p>
    <w:p w:rsidR="00AC12B4" w:rsidRDefault="00C27636">
      <w:pPr>
        <w:rPr>
          <w:sz w:val="20"/>
          <w:szCs w:val="20"/>
        </w:rPr>
      </w:pPr>
      <w:r>
        <w:rPr>
          <w:rFonts w:ascii="Calibri" w:eastAsia="Calibri" w:hAnsi="Calibri" w:cs="Calibri"/>
          <w:i/>
          <w:iCs/>
          <w:color w:val="FFFFFF"/>
        </w:rPr>
        <w:t>Article 27 CIDE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10944" behindDoc="1" locked="0" layoutInCell="0" allowOverlap="1">
                <wp:simplePos x="0" y="0"/>
                <wp:positionH relativeFrom="column">
                  <wp:posOffset>-349250</wp:posOffset>
                </wp:positionH>
                <wp:positionV relativeFrom="paragraph">
                  <wp:posOffset>-400050</wp:posOffset>
                </wp:positionV>
                <wp:extent cx="3869690" cy="2573020"/>
                <wp:effectExtent l="0" t="0" r="0" b="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69690" cy="2573020"/>
                        </a:xfrm>
                        <a:prstGeom prst="rect">
                          <a:avLst/>
                        </a:prstGeom>
                        <a:solidFill>
                          <a:srgbClr val="C95C96"/>
                        </a:solidFill>
                      </wps:spPr>
                      <wps:bodyPr/>
                    </wps:wsp>
                  </a:graphicData>
                </a:graphic>
              </wp:anchor>
            </w:drawing>
          </mc:Choice>
          <mc:Fallback>
            <w:pict>
              <v:rect id="Shape 64" o:spid="_x0000_s1089" style="position:absolute;margin-left:-27.4999pt;margin-top:-31.4999pt;width:304.7pt;height:20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r>
        <w:rPr>
          <w:noProof/>
          <w:sz w:val="20"/>
          <w:szCs w:val="20"/>
        </w:rPr>
        <mc:AlternateContent>
          <mc:Choice Requires="wps">
            <w:drawing>
              <wp:anchor distT="0" distB="0" distL="114300" distR="114300" simplePos="0" relativeHeight="251411968" behindDoc="1" locked="0" layoutInCell="0" allowOverlap="1">
                <wp:simplePos x="0" y="0"/>
                <wp:positionH relativeFrom="column">
                  <wp:posOffset>3520440</wp:posOffset>
                </wp:positionH>
                <wp:positionV relativeFrom="paragraph">
                  <wp:posOffset>-412750</wp:posOffset>
                </wp:positionV>
                <wp:extent cx="0" cy="2598420"/>
                <wp:effectExtent l="0" t="0" r="0" b="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598420"/>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pt,-32.4999pt" to="277.2pt,172.1pt" o:allowincell="f" strokecolor="#963266" strokeweight="2pt"/>
            </w:pict>
          </mc:Fallback>
        </mc:AlternateContent>
      </w:r>
      <w:r>
        <w:rPr>
          <w:noProof/>
          <w:sz w:val="20"/>
          <w:szCs w:val="20"/>
        </w:rPr>
        <mc:AlternateContent>
          <mc:Choice Requires="wps">
            <w:drawing>
              <wp:anchor distT="0" distB="0" distL="114300" distR="114300" simplePos="0" relativeHeight="251412992" behindDoc="1" locked="0" layoutInCell="0" allowOverlap="1">
                <wp:simplePos x="0" y="0"/>
                <wp:positionH relativeFrom="column">
                  <wp:posOffset>-361950</wp:posOffset>
                </wp:positionH>
                <wp:positionV relativeFrom="paragraph">
                  <wp:posOffset>-400050</wp:posOffset>
                </wp:positionV>
                <wp:extent cx="3895090" cy="0"/>
                <wp:effectExtent l="0" t="0" r="0" b="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95090" cy="4763"/>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9pt,-31.4999pt" to="278.2pt,-31.4999pt" o:allowincell="f" strokecolor="#963266" strokeweight="2pt"/>
            </w:pict>
          </mc:Fallback>
        </mc:AlternateContent>
      </w:r>
      <w:r>
        <w:rPr>
          <w:noProof/>
          <w:sz w:val="20"/>
          <w:szCs w:val="20"/>
        </w:rPr>
        <mc:AlternateContent>
          <mc:Choice Requires="wps">
            <w:drawing>
              <wp:anchor distT="0" distB="0" distL="114300" distR="114300" simplePos="0" relativeHeight="251414016" behindDoc="1" locked="0" layoutInCell="0" allowOverlap="1">
                <wp:simplePos x="0" y="0"/>
                <wp:positionH relativeFrom="column">
                  <wp:posOffset>-349250</wp:posOffset>
                </wp:positionH>
                <wp:positionV relativeFrom="paragraph">
                  <wp:posOffset>-412750</wp:posOffset>
                </wp:positionV>
                <wp:extent cx="0" cy="2598420"/>
                <wp:effectExtent l="0" t="0" r="0" b="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598420"/>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9pt,-32.4999pt" to="-27.4999pt,172.1pt" o:allowincell="f" strokecolor="#963266" strokeweight="2pt"/>
            </w:pict>
          </mc:Fallback>
        </mc:AlternateContent>
      </w:r>
      <w:r>
        <w:rPr>
          <w:noProof/>
          <w:sz w:val="20"/>
          <w:szCs w:val="20"/>
        </w:rPr>
        <mc:AlternateContent>
          <mc:Choice Requires="wps">
            <w:drawing>
              <wp:anchor distT="0" distB="0" distL="114300" distR="114300" simplePos="0" relativeHeight="251415040" behindDoc="1" locked="0" layoutInCell="0" allowOverlap="1">
                <wp:simplePos x="0" y="0"/>
                <wp:positionH relativeFrom="column">
                  <wp:posOffset>-361950</wp:posOffset>
                </wp:positionH>
                <wp:positionV relativeFrom="paragraph">
                  <wp:posOffset>2172970</wp:posOffset>
                </wp:positionV>
                <wp:extent cx="3895090" cy="0"/>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95090" cy="4763"/>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9pt,171.1pt" to="278.2pt,171.1pt" o:allowincell="f" strokecolor="#963266" strokeweight="2pt"/>
            </w:pict>
          </mc:Fallback>
        </mc:AlternateContent>
      </w:r>
    </w:p>
    <w:p w:rsidR="00AC12B4" w:rsidRDefault="00AC12B4">
      <w:pPr>
        <w:spacing w:line="149" w:lineRule="exact"/>
        <w:rPr>
          <w:sz w:val="20"/>
          <w:szCs w:val="20"/>
        </w:rPr>
      </w:pPr>
    </w:p>
    <w:p w:rsidR="00AC12B4" w:rsidRDefault="00C27636">
      <w:pPr>
        <w:numPr>
          <w:ilvl w:val="0"/>
          <w:numId w:val="46"/>
        </w:numPr>
        <w:tabs>
          <w:tab w:val="left" w:pos="240"/>
        </w:tabs>
        <w:spacing w:line="224" w:lineRule="auto"/>
        <w:ind w:firstLine="10"/>
        <w:jc w:val="both"/>
        <w:rPr>
          <w:rFonts w:ascii="Calibri" w:eastAsia="Calibri" w:hAnsi="Calibri" w:cs="Calibri"/>
          <w:color w:val="FFFFFF"/>
        </w:rPr>
      </w:pPr>
      <w:r>
        <w:rPr>
          <w:rFonts w:ascii="Calibri" w:eastAsia="Calibri" w:hAnsi="Calibri" w:cs="Calibri"/>
          <w:color w:val="FFFFFF"/>
        </w:rPr>
        <w:t xml:space="preserve">Les Etats parties reconnaissent le droit de tout enfant à un niveau de vie suffisant pour permettre son </w:t>
      </w:r>
      <w:r>
        <w:rPr>
          <w:rFonts w:ascii="Calibri" w:eastAsia="Calibri" w:hAnsi="Calibri" w:cs="Calibri"/>
          <w:color w:val="FFFFFF"/>
        </w:rPr>
        <w:t>développement physique, mental, spirituel, moral et social.</w:t>
      </w:r>
    </w:p>
    <w:p w:rsidR="00AC12B4" w:rsidRDefault="00C27636">
      <w:pPr>
        <w:spacing w:line="20" w:lineRule="exact"/>
        <w:rPr>
          <w:sz w:val="20"/>
          <w:szCs w:val="20"/>
        </w:rPr>
      </w:pPr>
      <w:r>
        <w:rPr>
          <w:sz w:val="20"/>
          <w:szCs w:val="20"/>
        </w:rPr>
        <w:br w:type="column"/>
      </w:r>
    </w:p>
    <w:p w:rsidR="00AC12B4" w:rsidRDefault="00AC12B4">
      <w:pPr>
        <w:spacing w:line="306" w:lineRule="exact"/>
        <w:rPr>
          <w:sz w:val="20"/>
          <w:szCs w:val="20"/>
        </w:rPr>
      </w:pPr>
    </w:p>
    <w:p w:rsidR="00AC12B4" w:rsidRDefault="00C27636">
      <w:pPr>
        <w:spacing w:line="232" w:lineRule="auto"/>
        <w:ind w:right="1089"/>
        <w:jc w:val="both"/>
        <w:rPr>
          <w:sz w:val="20"/>
          <w:szCs w:val="20"/>
        </w:rPr>
      </w:pPr>
      <w:r>
        <w:rPr>
          <w:rFonts w:ascii="Calibri" w:eastAsia="Calibri" w:hAnsi="Calibri" w:cs="Calibri"/>
        </w:rPr>
        <w:t>En Communauté flamande, près de 7 jeunes sur 10 (67,4%) estiment que l'on peut se promener ou jouer tout seul en toute sécurité dans leur quartier et un jeune sur six (16,7%) ne s’y sent pas en</w:t>
      </w:r>
      <w:r>
        <w:rPr>
          <w:rFonts w:ascii="Calibri" w:eastAsia="Calibri" w:hAnsi="Calibri" w:cs="Calibri"/>
        </w:rPr>
        <w:t xml:space="preserve"> sécurité.</w:t>
      </w:r>
    </w:p>
    <w:p w:rsidR="00AC12B4" w:rsidRDefault="00AC12B4">
      <w:pPr>
        <w:spacing w:line="126" w:lineRule="exact"/>
        <w:rPr>
          <w:sz w:val="20"/>
          <w:szCs w:val="20"/>
        </w:rPr>
      </w:pPr>
    </w:p>
    <w:p w:rsidR="00AC12B4" w:rsidRDefault="00AC12B4">
      <w:pPr>
        <w:sectPr w:rsidR="00AC12B4">
          <w:type w:val="continuous"/>
          <w:pgSz w:w="12080" w:h="17179"/>
          <w:pgMar w:top="1440" w:right="528" w:bottom="659" w:left="1080" w:header="0" w:footer="0" w:gutter="0"/>
          <w:cols w:num="2" w:space="720" w:equalWidth="0">
            <w:col w:w="5380" w:space="380"/>
            <w:col w:w="4709"/>
          </w:cols>
        </w:sectPr>
      </w:pPr>
    </w:p>
    <w:p w:rsidR="00AC12B4" w:rsidRDefault="00AC12B4">
      <w:pPr>
        <w:spacing w:line="135" w:lineRule="exact"/>
        <w:rPr>
          <w:sz w:val="20"/>
          <w:szCs w:val="20"/>
        </w:rPr>
      </w:pPr>
    </w:p>
    <w:p w:rsidR="00AC12B4" w:rsidRDefault="00C27636">
      <w:pPr>
        <w:numPr>
          <w:ilvl w:val="0"/>
          <w:numId w:val="47"/>
        </w:numPr>
        <w:tabs>
          <w:tab w:val="left" w:pos="295"/>
        </w:tabs>
        <w:spacing w:line="234" w:lineRule="auto"/>
        <w:ind w:firstLine="10"/>
        <w:jc w:val="both"/>
        <w:rPr>
          <w:rFonts w:ascii="Calibri" w:eastAsia="Calibri" w:hAnsi="Calibri" w:cs="Calibri"/>
          <w:color w:val="FFFFFF"/>
        </w:rPr>
      </w:pPr>
      <w:r>
        <w:rPr>
          <w:rFonts w:ascii="Calibri" w:eastAsia="Calibri" w:hAnsi="Calibri" w:cs="Calibri"/>
          <w:color w:val="FFFFFF"/>
        </w:rPr>
        <w:t xml:space="preserve">Les Etats parties adoptent les mesures appropriées, compte tenu des conditions nationales et dans la mesure de leurs moyens, pour aider les parents et autres personnes ayant la charge de l’enfant à mettre en œuvre </w:t>
      </w:r>
      <w:r>
        <w:rPr>
          <w:rFonts w:ascii="Calibri" w:eastAsia="Calibri" w:hAnsi="Calibri" w:cs="Calibri"/>
          <w:color w:val="FFFFFF"/>
        </w:rPr>
        <w:t>ce droit et offrent, en cas de besoin, une assistance matérielle et des programmes d’appui, notamment en ce qui concerne l’alimentation, le vêtement et le logement.</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3" w:lineRule="exact"/>
        <w:rPr>
          <w:sz w:val="20"/>
          <w:szCs w:val="20"/>
        </w:rPr>
      </w:pPr>
    </w:p>
    <w:p w:rsidR="00AC12B4" w:rsidRDefault="00C27636">
      <w:pPr>
        <w:spacing w:line="217" w:lineRule="auto"/>
        <w:ind w:left="920" w:right="580"/>
        <w:jc w:val="both"/>
        <w:rPr>
          <w:sz w:val="20"/>
          <w:szCs w:val="20"/>
        </w:rPr>
      </w:pPr>
      <w:r>
        <w:rPr>
          <w:rFonts w:ascii="Calibri" w:eastAsia="Calibri" w:hAnsi="Calibri" w:cs="Calibri"/>
        </w:rPr>
        <w:t>Se sentir bien dans son quartier est une des composantes du bien-être.</w:t>
      </w:r>
    </w:p>
    <w:p w:rsidR="00AC12B4" w:rsidRDefault="00AC12B4">
      <w:pPr>
        <w:spacing w:line="170" w:lineRule="exact"/>
        <w:rPr>
          <w:sz w:val="20"/>
          <w:szCs w:val="20"/>
        </w:rPr>
      </w:pPr>
    </w:p>
    <w:p w:rsidR="00AC12B4" w:rsidRDefault="00C27636">
      <w:pPr>
        <w:spacing w:line="225" w:lineRule="auto"/>
        <w:ind w:left="920" w:right="580"/>
        <w:jc w:val="both"/>
        <w:rPr>
          <w:sz w:val="20"/>
          <w:szCs w:val="20"/>
        </w:rPr>
      </w:pPr>
      <w:r>
        <w:rPr>
          <w:rFonts w:ascii="Calibri" w:eastAsia="Calibri" w:hAnsi="Calibri" w:cs="Calibri"/>
        </w:rPr>
        <w:t xml:space="preserve">Dans </w:t>
      </w:r>
      <w:r>
        <w:rPr>
          <w:rFonts w:ascii="Calibri" w:eastAsia="Calibri" w:hAnsi="Calibri" w:cs="Calibri"/>
        </w:rPr>
        <w:t>l'observation générale n° 17 du 17 avril 2013 concernant le droit des enfants aux loisirs (art. 31), le Comité des droits de</w:t>
      </w:r>
    </w:p>
    <w:p w:rsidR="00AC12B4" w:rsidRDefault="00C27636">
      <w:pPr>
        <w:spacing w:line="20" w:lineRule="exact"/>
        <w:rPr>
          <w:sz w:val="20"/>
          <w:szCs w:val="20"/>
        </w:rPr>
      </w:pPr>
      <w:r>
        <w:rPr>
          <w:sz w:val="20"/>
          <w:szCs w:val="20"/>
        </w:rPr>
        <w:br w:type="column"/>
      </w:r>
    </w:p>
    <w:p w:rsidR="00AC12B4" w:rsidRDefault="00C27636">
      <w:pPr>
        <w:tabs>
          <w:tab w:val="left" w:pos="1320"/>
        </w:tabs>
        <w:ind w:left="240"/>
        <w:rPr>
          <w:sz w:val="20"/>
          <w:szCs w:val="20"/>
        </w:rPr>
      </w:pPr>
      <w:r>
        <w:rPr>
          <w:rFonts w:ascii="Calibri" w:eastAsia="Calibri" w:hAnsi="Calibri" w:cs="Calibri"/>
        </w:rPr>
        <w:t>Toujours</w:t>
      </w:r>
      <w:r>
        <w:rPr>
          <w:rFonts w:ascii="Calibri" w:eastAsia="Calibri" w:hAnsi="Calibri" w:cs="Calibri"/>
        </w:rPr>
        <w:tab/>
        <w:t>en</w:t>
      </w:r>
    </w:p>
    <w:p w:rsidR="00AC12B4" w:rsidRDefault="00C27636">
      <w:pPr>
        <w:ind w:left="240"/>
        <w:rPr>
          <w:sz w:val="20"/>
          <w:szCs w:val="20"/>
        </w:rPr>
      </w:pPr>
      <w:r>
        <w:rPr>
          <w:rFonts w:ascii="Calibri" w:eastAsia="Calibri" w:hAnsi="Calibri" w:cs="Calibri"/>
        </w:rPr>
        <w:t>Communauté</w:t>
      </w:r>
    </w:p>
    <w:p w:rsidR="00AC12B4" w:rsidRDefault="00C27636">
      <w:pPr>
        <w:tabs>
          <w:tab w:val="left" w:pos="1400"/>
        </w:tabs>
        <w:spacing w:line="238" w:lineRule="auto"/>
        <w:ind w:left="240"/>
        <w:rPr>
          <w:sz w:val="20"/>
          <w:szCs w:val="20"/>
        </w:rPr>
      </w:pPr>
      <w:r>
        <w:rPr>
          <w:rFonts w:ascii="Calibri" w:eastAsia="Calibri" w:hAnsi="Calibri" w:cs="Calibri"/>
        </w:rPr>
        <w:t>flamande,</w:t>
      </w:r>
      <w:r>
        <w:rPr>
          <w:rFonts w:ascii="Calibri" w:eastAsia="Calibri" w:hAnsi="Calibri" w:cs="Calibri"/>
        </w:rPr>
        <w:tab/>
        <w:t>la</w:t>
      </w:r>
    </w:p>
    <w:p w:rsidR="00AC12B4" w:rsidRDefault="00C27636">
      <w:pPr>
        <w:ind w:left="240"/>
        <w:rPr>
          <w:sz w:val="20"/>
          <w:szCs w:val="20"/>
        </w:rPr>
      </w:pPr>
      <w:r>
        <w:rPr>
          <w:rFonts w:ascii="Calibri" w:eastAsia="Calibri" w:hAnsi="Calibri" w:cs="Calibri"/>
        </w:rPr>
        <w:t>même</w:t>
      </w:r>
    </w:p>
    <w:p w:rsidR="00AC12B4" w:rsidRDefault="00AC12B4">
      <w:pPr>
        <w:spacing w:line="1" w:lineRule="exact"/>
        <w:rPr>
          <w:sz w:val="20"/>
          <w:szCs w:val="20"/>
        </w:rPr>
      </w:pPr>
    </w:p>
    <w:p w:rsidR="00AC12B4" w:rsidRDefault="00C27636">
      <w:pPr>
        <w:ind w:left="240"/>
        <w:rPr>
          <w:sz w:val="20"/>
          <w:szCs w:val="20"/>
        </w:rPr>
      </w:pPr>
      <w:r>
        <w:rPr>
          <w:rFonts w:ascii="Calibri" w:eastAsia="Calibri" w:hAnsi="Calibri" w:cs="Calibri"/>
        </w:rPr>
        <w:t>proportion de</w:t>
      </w:r>
    </w:p>
    <w:p w:rsidR="00AC12B4" w:rsidRDefault="00C27636">
      <w:pPr>
        <w:ind w:left="240"/>
        <w:rPr>
          <w:sz w:val="20"/>
          <w:szCs w:val="20"/>
        </w:rPr>
      </w:pPr>
      <w:r>
        <w:rPr>
          <w:rFonts w:ascii="Calibri" w:eastAsia="Calibri" w:hAnsi="Calibri" w:cs="Calibri"/>
        </w:rPr>
        <w:t>jeunes (65,5%)</w:t>
      </w:r>
    </w:p>
    <w:p w:rsidR="00AC12B4" w:rsidRDefault="00C27636">
      <w:pPr>
        <w:ind w:left="240"/>
        <w:rPr>
          <w:sz w:val="20"/>
          <w:szCs w:val="20"/>
        </w:rPr>
      </w:pPr>
      <w:r>
        <w:rPr>
          <w:rFonts w:ascii="Calibri" w:eastAsia="Calibri" w:hAnsi="Calibri" w:cs="Calibri"/>
        </w:rPr>
        <w:t>rapportent</w:t>
      </w:r>
    </w:p>
    <w:p w:rsidR="00AC12B4" w:rsidRDefault="00C27636">
      <w:pPr>
        <w:ind w:left="240"/>
        <w:rPr>
          <w:sz w:val="20"/>
          <w:szCs w:val="20"/>
        </w:rPr>
      </w:pPr>
      <w:r>
        <w:rPr>
          <w:rFonts w:ascii="Calibri" w:eastAsia="Calibri" w:hAnsi="Calibri" w:cs="Calibri"/>
        </w:rPr>
        <w:t>qu'ils peuvent</w:t>
      </w:r>
    </w:p>
    <w:p w:rsidR="00AC12B4" w:rsidRDefault="00C27636">
      <w:pPr>
        <w:tabs>
          <w:tab w:val="left" w:pos="1320"/>
        </w:tabs>
        <w:ind w:left="240"/>
        <w:rPr>
          <w:sz w:val="20"/>
          <w:szCs w:val="20"/>
        </w:rPr>
      </w:pPr>
      <w:r>
        <w:rPr>
          <w:rFonts w:ascii="Calibri" w:eastAsia="Calibri" w:hAnsi="Calibri" w:cs="Calibri"/>
        </w:rPr>
        <w:t>demander</w:t>
      </w:r>
      <w:r>
        <w:rPr>
          <w:sz w:val="20"/>
          <w:szCs w:val="20"/>
        </w:rPr>
        <w:tab/>
      </w:r>
      <w:r>
        <w:rPr>
          <w:rFonts w:ascii="Calibri" w:eastAsia="Calibri" w:hAnsi="Calibri" w:cs="Calibri"/>
          <w:sz w:val="21"/>
          <w:szCs w:val="21"/>
        </w:rPr>
        <w:t>de</w:t>
      </w:r>
    </w:p>
    <w:p w:rsidR="00AC12B4" w:rsidRDefault="00C27636">
      <w:pPr>
        <w:ind w:left="240"/>
        <w:rPr>
          <w:sz w:val="20"/>
          <w:szCs w:val="20"/>
        </w:rPr>
      </w:pPr>
      <w:r>
        <w:rPr>
          <w:rFonts w:ascii="Calibri" w:eastAsia="Calibri" w:hAnsi="Calibri" w:cs="Calibri"/>
        </w:rPr>
        <w:t>l'aide  à  leurs</w:t>
      </w:r>
    </w:p>
    <w:p w:rsidR="00AC12B4" w:rsidRDefault="00AC12B4">
      <w:pPr>
        <w:spacing w:line="49" w:lineRule="exact"/>
        <w:rPr>
          <w:sz w:val="20"/>
          <w:szCs w:val="20"/>
        </w:rPr>
      </w:pPr>
    </w:p>
    <w:p w:rsidR="00AC12B4" w:rsidRDefault="00C27636">
      <w:pPr>
        <w:spacing w:line="228" w:lineRule="auto"/>
        <w:ind w:right="420" w:firstLine="240"/>
        <w:jc w:val="both"/>
        <w:rPr>
          <w:sz w:val="20"/>
          <w:szCs w:val="20"/>
        </w:rPr>
      </w:pPr>
      <w:r>
        <w:rPr>
          <w:rFonts w:ascii="Calibri" w:eastAsia="Calibri" w:hAnsi="Calibri" w:cs="Calibri"/>
        </w:rPr>
        <w:t>vo</w:t>
      </w:r>
      <w:r>
        <w:rPr>
          <w:rFonts w:ascii="Calibri" w:eastAsia="Calibri" w:hAnsi="Calibri" w:cs="Calibri"/>
        </w:rPr>
        <w:t>isins et environ un jeune sur dix rapporte que ce n'est pas</w:t>
      </w:r>
    </w:p>
    <w:p w:rsidR="00AC12B4" w:rsidRDefault="00AC12B4">
      <w:pPr>
        <w:spacing w:line="16" w:lineRule="exact"/>
        <w:rPr>
          <w:sz w:val="20"/>
          <w:szCs w:val="20"/>
        </w:rPr>
      </w:pPr>
    </w:p>
    <w:p w:rsidR="00AC12B4" w:rsidRDefault="00C27636">
      <w:pPr>
        <w:rPr>
          <w:sz w:val="20"/>
          <w:szCs w:val="20"/>
        </w:rPr>
      </w:pPr>
      <w:r>
        <w:rPr>
          <w:rFonts w:ascii="Calibri" w:eastAsia="Calibri" w:hAnsi="Calibri" w:cs="Calibri"/>
          <w:sz w:val="21"/>
          <w:szCs w:val="21"/>
        </w:rPr>
        <w:t>le cas avec ses voisins.</w:t>
      </w:r>
    </w:p>
    <w:p w:rsidR="00AC12B4" w:rsidRDefault="00C27636">
      <w:pPr>
        <w:spacing w:line="20" w:lineRule="exact"/>
        <w:rPr>
          <w:sz w:val="20"/>
          <w:szCs w:val="20"/>
        </w:rPr>
      </w:pPr>
      <w:r>
        <w:rPr>
          <w:sz w:val="20"/>
          <w:szCs w:val="20"/>
        </w:rPr>
        <w:br w:type="column"/>
      </w:r>
    </w:p>
    <w:p w:rsidR="00AC12B4" w:rsidRDefault="00AC12B4">
      <w:pPr>
        <w:spacing w:line="256" w:lineRule="exact"/>
        <w:rPr>
          <w:sz w:val="20"/>
          <w:szCs w:val="20"/>
        </w:rPr>
      </w:pPr>
    </w:p>
    <w:p w:rsidR="00AC12B4" w:rsidRDefault="00C27636">
      <w:pPr>
        <w:rPr>
          <w:sz w:val="20"/>
          <w:szCs w:val="20"/>
        </w:rPr>
      </w:pPr>
      <w:r>
        <w:rPr>
          <w:rFonts w:ascii="Comic Sans MS" w:eastAsia="Comic Sans MS" w:hAnsi="Comic Sans MS" w:cs="Comic Sans MS"/>
          <w:color w:val="0D0D0D"/>
          <w:sz w:val="19"/>
          <w:szCs w:val="19"/>
        </w:rPr>
        <w:t>En Commauté flamande,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16064" behindDoc="1" locked="0" layoutInCell="0" allowOverlap="1">
                <wp:simplePos x="0" y="0"/>
                <wp:positionH relativeFrom="column">
                  <wp:posOffset>-111125</wp:posOffset>
                </wp:positionH>
                <wp:positionV relativeFrom="paragraph">
                  <wp:posOffset>-287655</wp:posOffset>
                </wp:positionV>
                <wp:extent cx="1616075" cy="232664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6075" cy="2326640"/>
                        </a:xfrm>
                        <a:prstGeom prst="rect">
                          <a:avLst/>
                        </a:prstGeom>
                        <a:solidFill>
                          <a:srgbClr val="FFFFFF"/>
                        </a:solidFill>
                      </wps:spPr>
                      <wps:bodyPr/>
                    </wps:wsp>
                  </a:graphicData>
                </a:graphic>
              </wp:anchor>
            </w:drawing>
          </mc:Choice>
          <mc:Fallback>
            <w:pict>
              <v:rect id="Shape 69" o:spid="_x0000_s1094" style="position:absolute;margin-left:-8.7499pt;margin-top:-22.6499pt;width:127.25pt;height:18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417088" behindDoc="1" locked="0" layoutInCell="0" allowOverlap="1">
                <wp:simplePos x="0" y="0"/>
                <wp:positionH relativeFrom="column">
                  <wp:posOffset>-123825</wp:posOffset>
                </wp:positionH>
                <wp:positionV relativeFrom="paragraph">
                  <wp:posOffset>2038985</wp:posOffset>
                </wp:positionV>
                <wp:extent cx="1641475" cy="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499pt,160.55pt" to="119.5pt,160.55pt" o:allowincell="f" strokecolor="#C95C96" strokeweight="2pt"/>
            </w:pict>
          </mc:Fallback>
        </mc:AlternateContent>
      </w:r>
      <w:r>
        <w:rPr>
          <w:noProof/>
          <w:sz w:val="20"/>
          <w:szCs w:val="20"/>
        </w:rPr>
        <mc:AlternateContent>
          <mc:Choice Requires="wps">
            <w:drawing>
              <wp:anchor distT="0" distB="0" distL="114300" distR="114300" simplePos="0" relativeHeight="251418112" behindDoc="1" locked="0" layoutInCell="0" allowOverlap="1">
                <wp:simplePos x="0" y="0"/>
                <wp:positionH relativeFrom="column">
                  <wp:posOffset>1504950</wp:posOffset>
                </wp:positionH>
                <wp:positionV relativeFrom="paragraph">
                  <wp:posOffset>-300355</wp:posOffset>
                </wp:positionV>
                <wp:extent cx="0" cy="2352040"/>
                <wp:effectExtent l="0" t="0" r="0" b="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52040"/>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5pt,-23.6499pt" to="118.5pt,161.55pt" o:allowincell="f" strokecolor="#C95C96" strokeweight="2pt"/>
            </w:pict>
          </mc:Fallback>
        </mc:AlternateContent>
      </w:r>
      <w:r>
        <w:rPr>
          <w:noProof/>
          <w:sz w:val="20"/>
          <w:szCs w:val="20"/>
        </w:rPr>
        <mc:AlternateContent>
          <mc:Choice Requires="wps">
            <w:drawing>
              <wp:anchor distT="0" distB="0" distL="114300" distR="114300" simplePos="0" relativeHeight="251419136" behindDoc="1" locked="0" layoutInCell="0" allowOverlap="1">
                <wp:simplePos x="0" y="0"/>
                <wp:positionH relativeFrom="column">
                  <wp:posOffset>-123825</wp:posOffset>
                </wp:positionH>
                <wp:positionV relativeFrom="paragraph">
                  <wp:posOffset>-287655</wp:posOffset>
                </wp:positionV>
                <wp:extent cx="1641475" cy="0"/>
                <wp:effectExtent l="0" t="0" r="0" b="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499pt,-22.6499pt" to="119.5pt,-22.6499pt" o:allowincell="f" strokecolor="#C95C96" strokeweight="2pt"/>
            </w:pict>
          </mc:Fallback>
        </mc:AlternateContent>
      </w:r>
      <w:r>
        <w:rPr>
          <w:noProof/>
          <w:sz w:val="20"/>
          <w:szCs w:val="20"/>
        </w:rPr>
        <mc:AlternateContent>
          <mc:Choice Requires="wps">
            <w:drawing>
              <wp:anchor distT="0" distB="0" distL="114300" distR="114300" simplePos="0" relativeHeight="251420160" behindDoc="1" locked="0" layoutInCell="0" allowOverlap="1">
                <wp:simplePos x="0" y="0"/>
                <wp:positionH relativeFrom="column">
                  <wp:posOffset>-111125</wp:posOffset>
                </wp:positionH>
                <wp:positionV relativeFrom="paragraph">
                  <wp:posOffset>-300355</wp:posOffset>
                </wp:positionV>
                <wp:extent cx="0" cy="2352040"/>
                <wp:effectExtent l="0" t="0" r="0" b="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52040"/>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7499pt,-23.6499pt" to="-8.7499pt,161.55pt" o:allowincell="f" strokecolor="#C95C96" strokeweight="2pt"/>
            </w:pict>
          </mc:Fallback>
        </mc:AlternateContent>
      </w:r>
    </w:p>
    <w:p w:rsidR="00AC12B4" w:rsidRDefault="00C27636">
      <w:pPr>
        <w:ind w:left="120"/>
        <w:rPr>
          <w:sz w:val="20"/>
          <w:szCs w:val="20"/>
        </w:rPr>
      </w:pPr>
      <w:r>
        <w:rPr>
          <w:rFonts w:ascii="Comic Sans MS" w:eastAsia="Comic Sans MS" w:hAnsi="Comic Sans MS" w:cs="Comic Sans MS"/>
          <w:color w:val="C95C96"/>
          <w:sz w:val="96"/>
          <w:szCs w:val="96"/>
        </w:rPr>
        <w:t>67%</w:t>
      </w:r>
    </w:p>
    <w:p w:rsidR="00AC12B4" w:rsidRDefault="00AC12B4">
      <w:pPr>
        <w:spacing w:line="2" w:lineRule="exact"/>
        <w:rPr>
          <w:sz w:val="20"/>
          <w:szCs w:val="20"/>
        </w:rPr>
      </w:pPr>
    </w:p>
    <w:p w:rsidR="00AC12B4" w:rsidRDefault="00C27636">
      <w:pPr>
        <w:spacing w:line="239" w:lineRule="auto"/>
        <w:ind w:right="609"/>
        <w:jc w:val="both"/>
        <w:rPr>
          <w:sz w:val="20"/>
          <w:szCs w:val="20"/>
        </w:rPr>
      </w:pPr>
      <w:r>
        <w:rPr>
          <w:rFonts w:ascii="Comic Sans MS" w:eastAsia="Comic Sans MS" w:hAnsi="Comic Sans MS" w:cs="Comic Sans MS"/>
          <w:color w:val="0D0D0D"/>
          <w:sz w:val="20"/>
          <w:szCs w:val="20"/>
        </w:rPr>
        <w:t>des jeunes estiment que l'on peut se promener ou jouer tout seul en toute sécurité</w:t>
      </w:r>
    </w:p>
    <w:p w:rsidR="00AC12B4" w:rsidRDefault="00AC12B4">
      <w:pPr>
        <w:spacing w:line="3" w:lineRule="exact"/>
        <w:rPr>
          <w:sz w:val="20"/>
          <w:szCs w:val="20"/>
        </w:rPr>
      </w:pPr>
    </w:p>
    <w:p w:rsidR="00AC12B4" w:rsidRDefault="00C27636">
      <w:pPr>
        <w:ind w:right="609"/>
        <w:jc w:val="both"/>
        <w:rPr>
          <w:sz w:val="20"/>
          <w:szCs w:val="20"/>
        </w:rPr>
      </w:pPr>
      <w:r>
        <w:rPr>
          <w:rFonts w:ascii="Comic Sans MS" w:eastAsia="Comic Sans MS" w:hAnsi="Comic Sans MS" w:cs="Comic Sans MS"/>
          <w:color w:val="0D0D0D"/>
          <w:sz w:val="20"/>
          <w:szCs w:val="20"/>
        </w:rPr>
        <w:t>dans son quartier (HBSC 2014)</w:t>
      </w:r>
    </w:p>
    <w:p w:rsidR="00AC12B4" w:rsidRDefault="00AC12B4">
      <w:pPr>
        <w:spacing w:line="668" w:lineRule="exact"/>
        <w:rPr>
          <w:sz w:val="20"/>
          <w:szCs w:val="20"/>
        </w:rPr>
      </w:pPr>
    </w:p>
    <w:p w:rsidR="00AC12B4" w:rsidRDefault="00AC12B4">
      <w:pPr>
        <w:sectPr w:rsidR="00AC12B4">
          <w:type w:val="continuous"/>
          <w:pgSz w:w="12080" w:h="17179"/>
          <w:pgMar w:top="1440" w:right="528" w:bottom="659" w:left="1080" w:header="0" w:footer="0" w:gutter="0"/>
          <w:cols w:num="3" w:space="720" w:equalWidth="0">
            <w:col w:w="5380" w:space="140"/>
            <w:col w:w="1980" w:space="160"/>
            <w:col w:w="2809"/>
          </w:cols>
        </w:sectPr>
      </w:pPr>
    </w:p>
    <w:p w:rsidR="00AC12B4" w:rsidRDefault="00AC12B4">
      <w:pPr>
        <w:spacing w:line="3" w:lineRule="exact"/>
        <w:rPr>
          <w:sz w:val="20"/>
          <w:szCs w:val="20"/>
        </w:rPr>
      </w:pPr>
    </w:p>
    <w:p w:rsidR="00AC12B4" w:rsidRDefault="00C27636">
      <w:pPr>
        <w:spacing w:line="232" w:lineRule="auto"/>
        <w:ind w:left="920" w:right="60"/>
        <w:jc w:val="both"/>
        <w:rPr>
          <w:sz w:val="20"/>
          <w:szCs w:val="20"/>
        </w:rPr>
      </w:pPr>
      <w:r>
        <w:rPr>
          <w:rFonts w:ascii="Calibri" w:eastAsia="Calibri" w:hAnsi="Calibri" w:cs="Calibri"/>
        </w:rPr>
        <w:t>l'enfant indique que dans le cadre de la politique d'hébergement et d'organisation de l'espace public, il convient de tenir compte du droit des enfants aux loisirs, surtout pour ceux qui n’ont pas la possibilité de jouer</w:t>
      </w:r>
      <w:r>
        <w:rPr>
          <w:rFonts w:ascii="Calibri" w:eastAsia="Calibri" w:hAnsi="Calibri" w:cs="Calibri"/>
        </w:rPr>
        <w:t xml:space="preserve"> ou d’avoir des activités récréatives chez eux.</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21184" behindDoc="1" locked="0" layoutInCell="0" allowOverlap="1">
                <wp:simplePos x="0" y="0"/>
                <wp:positionH relativeFrom="column">
                  <wp:posOffset>3211830</wp:posOffset>
                </wp:positionH>
                <wp:positionV relativeFrom="paragraph">
                  <wp:posOffset>87630</wp:posOffset>
                </wp:positionV>
                <wp:extent cx="0" cy="2218690"/>
                <wp:effectExtent l="0" t="0" r="0" b="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218690"/>
                        </a:xfrm>
                        <a:prstGeom prst="line">
                          <a:avLst/>
                        </a:prstGeom>
                        <a:solidFill>
                          <a:srgbClr val="FFFFFF"/>
                        </a:solidFill>
                        <a:ln w="9525">
                          <a:solidFill>
                            <a:srgbClr val="868686"/>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9pt,6.9pt" to="252.9pt,181.6pt" o:allowincell="f" strokecolor="#868686" strokeweight="0.75pt"/>
            </w:pict>
          </mc:Fallback>
        </mc:AlternateContent>
      </w:r>
      <w:r>
        <w:rPr>
          <w:noProof/>
          <w:sz w:val="20"/>
          <w:szCs w:val="20"/>
        </w:rPr>
        <mc:AlternateContent>
          <mc:Choice Requires="wps">
            <w:drawing>
              <wp:anchor distT="0" distB="0" distL="114300" distR="114300" simplePos="0" relativeHeight="251422208" behindDoc="1" locked="0" layoutInCell="0" allowOverlap="1">
                <wp:simplePos x="0" y="0"/>
                <wp:positionH relativeFrom="column">
                  <wp:posOffset>71755</wp:posOffset>
                </wp:positionH>
                <wp:positionV relativeFrom="paragraph">
                  <wp:posOffset>92710</wp:posOffset>
                </wp:positionV>
                <wp:extent cx="3144520" cy="0"/>
                <wp:effectExtent l="0" t="0" r="0" b="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44520" cy="4763"/>
                        </a:xfrm>
                        <a:prstGeom prst="line">
                          <a:avLst/>
                        </a:prstGeom>
                        <a:solidFill>
                          <a:srgbClr val="FFFFFF"/>
                        </a:solidFill>
                        <a:ln w="9525">
                          <a:solidFill>
                            <a:srgbClr val="868686"/>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5pt,7.3pt" to="253.25pt,7.3pt" o:allowincell="f" strokecolor="#868686" strokeweight="0.75pt"/>
            </w:pict>
          </mc:Fallback>
        </mc:AlternateContent>
      </w:r>
      <w:r>
        <w:rPr>
          <w:noProof/>
          <w:sz w:val="20"/>
          <w:szCs w:val="20"/>
        </w:rPr>
        <mc:AlternateContent>
          <mc:Choice Requires="wps">
            <w:drawing>
              <wp:anchor distT="0" distB="0" distL="114300" distR="114300" simplePos="0" relativeHeight="251423232" behindDoc="1" locked="0" layoutInCell="0" allowOverlap="1">
                <wp:simplePos x="0" y="0"/>
                <wp:positionH relativeFrom="column">
                  <wp:posOffset>76200</wp:posOffset>
                </wp:positionH>
                <wp:positionV relativeFrom="paragraph">
                  <wp:posOffset>87630</wp:posOffset>
                </wp:positionV>
                <wp:extent cx="0" cy="2218690"/>
                <wp:effectExtent l="0" t="0" r="0" b="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218690"/>
                        </a:xfrm>
                        <a:prstGeom prst="line">
                          <a:avLst/>
                        </a:prstGeom>
                        <a:solidFill>
                          <a:srgbClr val="FFFFFF"/>
                        </a:solidFill>
                        <a:ln w="9525">
                          <a:solidFill>
                            <a:srgbClr val="868686"/>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6.9pt" to="6pt,181.6pt" o:allowincell="f" strokecolor="#868686" strokeweight="0.75pt"/>
            </w:pict>
          </mc:Fallback>
        </mc:AlternateContent>
      </w:r>
      <w:r>
        <w:rPr>
          <w:noProof/>
          <w:sz w:val="20"/>
          <w:szCs w:val="20"/>
        </w:rPr>
        <mc:AlternateContent>
          <mc:Choice Requires="wps">
            <w:drawing>
              <wp:anchor distT="0" distB="0" distL="114300" distR="114300" simplePos="0" relativeHeight="251424256" behindDoc="1" locked="0" layoutInCell="0" allowOverlap="1">
                <wp:simplePos x="0" y="0"/>
                <wp:positionH relativeFrom="column">
                  <wp:posOffset>71755</wp:posOffset>
                </wp:positionH>
                <wp:positionV relativeFrom="paragraph">
                  <wp:posOffset>2301240</wp:posOffset>
                </wp:positionV>
                <wp:extent cx="3144520" cy="0"/>
                <wp:effectExtent l="0" t="0" r="0" b="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44520" cy="4763"/>
                        </a:xfrm>
                        <a:prstGeom prst="line">
                          <a:avLst/>
                        </a:prstGeom>
                        <a:solidFill>
                          <a:srgbClr val="FFFFFF"/>
                        </a:solidFill>
                        <a:ln w="9525">
                          <a:solidFill>
                            <a:srgbClr val="868686"/>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5pt,181.2pt" to="253.25pt,181.2pt" o:allowincell="f" strokecolor="#868686" strokeweight="0.75pt"/>
            </w:pict>
          </mc:Fallback>
        </mc:AlternateContent>
      </w:r>
    </w:p>
    <w:p w:rsidR="00AC12B4" w:rsidRDefault="00AC12B4">
      <w:pPr>
        <w:spacing w:line="400" w:lineRule="exact"/>
        <w:rPr>
          <w:sz w:val="20"/>
          <w:szCs w:val="20"/>
        </w:rPr>
      </w:pPr>
    </w:p>
    <w:tbl>
      <w:tblPr>
        <w:tblW w:w="0" w:type="auto"/>
        <w:tblInd w:w="700" w:type="dxa"/>
        <w:tblLayout w:type="fixed"/>
        <w:tblCellMar>
          <w:left w:w="0" w:type="dxa"/>
          <w:right w:w="0" w:type="dxa"/>
        </w:tblCellMar>
        <w:tblLook w:val="04A0" w:firstRow="1" w:lastRow="0" w:firstColumn="1" w:lastColumn="0" w:noHBand="0" w:noVBand="1"/>
      </w:tblPr>
      <w:tblGrid>
        <w:gridCol w:w="660"/>
        <w:gridCol w:w="2060"/>
        <w:gridCol w:w="120"/>
        <w:gridCol w:w="880"/>
        <w:gridCol w:w="20"/>
      </w:tblGrid>
      <w:tr w:rsidR="00AC12B4">
        <w:trPr>
          <w:trHeight w:val="84"/>
        </w:trPr>
        <w:tc>
          <w:tcPr>
            <w:tcW w:w="660" w:type="dxa"/>
            <w:vMerge w:val="restart"/>
            <w:vAlign w:val="bottom"/>
          </w:tcPr>
          <w:p w:rsidR="00AC12B4" w:rsidRDefault="00C27636">
            <w:pPr>
              <w:ind w:right="60"/>
              <w:jc w:val="right"/>
              <w:rPr>
                <w:sz w:val="20"/>
                <w:szCs w:val="20"/>
              </w:rPr>
            </w:pPr>
            <w:r>
              <w:rPr>
                <w:rFonts w:ascii="Calibri" w:eastAsia="Calibri" w:hAnsi="Calibri" w:cs="Calibri"/>
                <w:w w:val="96"/>
                <w:sz w:val="20"/>
                <w:szCs w:val="20"/>
              </w:rPr>
              <w:t>11,5%</w:t>
            </w:r>
          </w:p>
        </w:tc>
        <w:tc>
          <w:tcPr>
            <w:tcW w:w="2060" w:type="dxa"/>
            <w:vMerge w:val="restart"/>
            <w:vAlign w:val="bottom"/>
          </w:tcPr>
          <w:p w:rsidR="00AC12B4" w:rsidRDefault="00C27636">
            <w:pPr>
              <w:ind w:right="1400"/>
              <w:jc w:val="right"/>
              <w:rPr>
                <w:sz w:val="20"/>
                <w:szCs w:val="20"/>
              </w:rPr>
            </w:pPr>
            <w:r>
              <w:rPr>
                <w:rFonts w:ascii="Calibri" w:eastAsia="Calibri" w:hAnsi="Calibri" w:cs="Calibri"/>
                <w:sz w:val="20"/>
                <w:szCs w:val="20"/>
              </w:rPr>
              <w:t>5,2%</w:t>
            </w:r>
          </w:p>
        </w:tc>
        <w:tc>
          <w:tcPr>
            <w:tcW w:w="120" w:type="dxa"/>
            <w:vAlign w:val="bottom"/>
          </w:tcPr>
          <w:p w:rsidR="00AC12B4" w:rsidRDefault="00AC12B4">
            <w:pPr>
              <w:rPr>
                <w:sz w:val="7"/>
                <w:szCs w:val="7"/>
              </w:rPr>
            </w:pPr>
          </w:p>
        </w:tc>
        <w:tc>
          <w:tcPr>
            <w:tcW w:w="880" w:type="dxa"/>
            <w:vMerge w:val="restart"/>
            <w:vAlign w:val="bottom"/>
          </w:tcPr>
          <w:p w:rsidR="00AC12B4" w:rsidRDefault="00C27636">
            <w:pPr>
              <w:ind w:left="40"/>
              <w:rPr>
                <w:sz w:val="20"/>
                <w:szCs w:val="20"/>
              </w:rPr>
            </w:pPr>
            <w:r>
              <w:rPr>
                <w:rFonts w:ascii="Calibri" w:eastAsia="Calibri" w:hAnsi="Calibri" w:cs="Calibri"/>
                <w:w w:val="98"/>
                <w:sz w:val="20"/>
                <w:szCs w:val="20"/>
              </w:rPr>
              <w:t>Tout à fait</w:t>
            </w:r>
          </w:p>
        </w:tc>
        <w:tc>
          <w:tcPr>
            <w:tcW w:w="0" w:type="dxa"/>
            <w:vAlign w:val="bottom"/>
          </w:tcPr>
          <w:p w:rsidR="00AC12B4" w:rsidRDefault="00AC12B4">
            <w:pPr>
              <w:rPr>
                <w:sz w:val="1"/>
                <w:szCs w:val="1"/>
              </w:rPr>
            </w:pPr>
          </w:p>
        </w:tc>
      </w:tr>
      <w:tr w:rsidR="00AC12B4">
        <w:trPr>
          <w:trHeight w:val="108"/>
        </w:trPr>
        <w:tc>
          <w:tcPr>
            <w:tcW w:w="660" w:type="dxa"/>
            <w:vMerge/>
            <w:vAlign w:val="bottom"/>
          </w:tcPr>
          <w:p w:rsidR="00AC12B4" w:rsidRDefault="00AC12B4">
            <w:pPr>
              <w:rPr>
                <w:sz w:val="9"/>
                <w:szCs w:val="9"/>
              </w:rPr>
            </w:pPr>
          </w:p>
        </w:tc>
        <w:tc>
          <w:tcPr>
            <w:tcW w:w="2060" w:type="dxa"/>
            <w:vMerge/>
            <w:vAlign w:val="bottom"/>
          </w:tcPr>
          <w:p w:rsidR="00AC12B4" w:rsidRDefault="00AC12B4">
            <w:pPr>
              <w:rPr>
                <w:sz w:val="9"/>
                <w:szCs w:val="9"/>
              </w:rPr>
            </w:pPr>
          </w:p>
        </w:tc>
        <w:tc>
          <w:tcPr>
            <w:tcW w:w="120" w:type="dxa"/>
            <w:shd w:val="clear" w:color="auto" w:fill="4F81BD"/>
            <w:vAlign w:val="bottom"/>
          </w:tcPr>
          <w:p w:rsidR="00AC12B4" w:rsidRDefault="00AC12B4">
            <w:pPr>
              <w:rPr>
                <w:sz w:val="9"/>
                <w:szCs w:val="9"/>
              </w:rPr>
            </w:pPr>
          </w:p>
        </w:tc>
        <w:tc>
          <w:tcPr>
            <w:tcW w:w="88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2"/>
        </w:trPr>
        <w:tc>
          <w:tcPr>
            <w:tcW w:w="660" w:type="dxa"/>
            <w:vMerge/>
            <w:vAlign w:val="bottom"/>
          </w:tcPr>
          <w:p w:rsidR="00AC12B4" w:rsidRDefault="00AC12B4">
            <w:pPr>
              <w:rPr>
                <w:sz w:val="4"/>
                <w:szCs w:val="4"/>
              </w:rPr>
            </w:pPr>
          </w:p>
        </w:tc>
        <w:tc>
          <w:tcPr>
            <w:tcW w:w="2060" w:type="dxa"/>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88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66"/>
        </w:trPr>
        <w:tc>
          <w:tcPr>
            <w:tcW w:w="660" w:type="dxa"/>
            <w:vMerge/>
            <w:vAlign w:val="bottom"/>
          </w:tcPr>
          <w:p w:rsidR="00AC12B4" w:rsidRDefault="00AC12B4">
            <w:pPr>
              <w:rPr>
                <w:sz w:val="14"/>
                <w:szCs w:val="14"/>
              </w:rPr>
            </w:pPr>
          </w:p>
        </w:tc>
        <w:tc>
          <w:tcPr>
            <w:tcW w:w="2060" w:type="dxa"/>
            <w:vMerge/>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880" w:type="dxa"/>
            <w:vMerge w:val="restart"/>
            <w:vAlign w:val="bottom"/>
          </w:tcPr>
          <w:p w:rsidR="00AC12B4" w:rsidRDefault="00C27636">
            <w:pPr>
              <w:ind w:left="40"/>
              <w:rPr>
                <w:sz w:val="20"/>
                <w:szCs w:val="20"/>
              </w:rPr>
            </w:pPr>
            <w:r>
              <w:rPr>
                <w:rFonts w:ascii="Calibri" w:eastAsia="Calibri" w:hAnsi="Calibri" w:cs="Calibri"/>
                <w:sz w:val="20"/>
                <w:szCs w:val="20"/>
              </w:rPr>
              <w:t>d'accord</w:t>
            </w:r>
          </w:p>
        </w:tc>
        <w:tc>
          <w:tcPr>
            <w:tcW w:w="0" w:type="dxa"/>
            <w:vAlign w:val="bottom"/>
          </w:tcPr>
          <w:p w:rsidR="00AC12B4" w:rsidRDefault="00AC12B4">
            <w:pPr>
              <w:rPr>
                <w:sz w:val="1"/>
                <w:szCs w:val="1"/>
              </w:rPr>
            </w:pPr>
          </w:p>
        </w:tc>
      </w:tr>
      <w:tr w:rsidR="00AC12B4">
        <w:trPr>
          <w:trHeight w:val="79"/>
        </w:trPr>
        <w:tc>
          <w:tcPr>
            <w:tcW w:w="660" w:type="dxa"/>
            <w:vMerge/>
            <w:vAlign w:val="bottom"/>
          </w:tcPr>
          <w:p w:rsidR="00AC12B4" w:rsidRDefault="00AC12B4">
            <w:pPr>
              <w:rPr>
                <w:sz w:val="6"/>
                <w:szCs w:val="6"/>
              </w:rPr>
            </w:pPr>
          </w:p>
        </w:tc>
        <w:tc>
          <w:tcPr>
            <w:tcW w:w="206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880" w:type="dxa"/>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98"/>
        </w:trPr>
        <w:tc>
          <w:tcPr>
            <w:tcW w:w="660" w:type="dxa"/>
            <w:vAlign w:val="bottom"/>
          </w:tcPr>
          <w:p w:rsidR="00AC12B4" w:rsidRDefault="00AC12B4">
            <w:pPr>
              <w:rPr>
                <w:sz w:val="17"/>
                <w:szCs w:val="17"/>
              </w:rPr>
            </w:pPr>
          </w:p>
        </w:tc>
        <w:tc>
          <w:tcPr>
            <w:tcW w:w="2060" w:type="dxa"/>
            <w:vMerge w:val="restart"/>
            <w:vAlign w:val="bottom"/>
          </w:tcPr>
          <w:p w:rsidR="00AC12B4" w:rsidRDefault="00C27636">
            <w:pPr>
              <w:jc w:val="right"/>
              <w:rPr>
                <w:sz w:val="20"/>
                <w:szCs w:val="20"/>
              </w:rPr>
            </w:pPr>
            <w:r>
              <w:rPr>
                <w:rFonts w:ascii="Calibri" w:eastAsia="Calibri" w:hAnsi="Calibri" w:cs="Calibri"/>
                <w:sz w:val="20"/>
                <w:szCs w:val="20"/>
              </w:rPr>
              <w:t>29,3%</w:t>
            </w:r>
          </w:p>
        </w:tc>
        <w:tc>
          <w:tcPr>
            <w:tcW w:w="120" w:type="dxa"/>
            <w:vAlign w:val="bottom"/>
          </w:tcPr>
          <w:p w:rsidR="00AC12B4" w:rsidRDefault="00AC12B4">
            <w:pPr>
              <w:rPr>
                <w:sz w:val="17"/>
                <w:szCs w:val="17"/>
              </w:rPr>
            </w:pPr>
          </w:p>
        </w:tc>
        <w:tc>
          <w:tcPr>
            <w:tcW w:w="880" w:type="dxa"/>
            <w:vMerge w:val="restart"/>
            <w:vAlign w:val="bottom"/>
          </w:tcPr>
          <w:p w:rsidR="00AC12B4" w:rsidRDefault="00C27636">
            <w:pPr>
              <w:ind w:left="40"/>
              <w:rPr>
                <w:sz w:val="20"/>
                <w:szCs w:val="20"/>
              </w:rPr>
            </w:pPr>
            <w:r>
              <w:rPr>
                <w:rFonts w:ascii="Calibri" w:eastAsia="Calibri" w:hAnsi="Calibri" w:cs="Calibri"/>
                <w:sz w:val="20"/>
                <w:szCs w:val="20"/>
              </w:rPr>
              <w:t>D'accord</w:t>
            </w:r>
          </w:p>
        </w:tc>
        <w:tc>
          <w:tcPr>
            <w:tcW w:w="0" w:type="dxa"/>
            <w:vAlign w:val="bottom"/>
          </w:tcPr>
          <w:p w:rsidR="00AC12B4" w:rsidRDefault="00AC12B4">
            <w:pPr>
              <w:rPr>
                <w:sz w:val="1"/>
                <w:szCs w:val="1"/>
              </w:rPr>
            </w:pPr>
          </w:p>
        </w:tc>
      </w:tr>
      <w:tr w:rsidR="00AC12B4">
        <w:trPr>
          <w:trHeight w:val="110"/>
        </w:trPr>
        <w:tc>
          <w:tcPr>
            <w:tcW w:w="660" w:type="dxa"/>
            <w:vAlign w:val="bottom"/>
          </w:tcPr>
          <w:p w:rsidR="00AC12B4" w:rsidRDefault="00AC12B4">
            <w:pPr>
              <w:rPr>
                <w:sz w:val="9"/>
                <w:szCs w:val="9"/>
              </w:rPr>
            </w:pPr>
          </w:p>
        </w:tc>
        <w:tc>
          <w:tcPr>
            <w:tcW w:w="2060" w:type="dxa"/>
            <w:vMerge/>
            <w:vAlign w:val="bottom"/>
          </w:tcPr>
          <w:p w:rsidR="00AC12B4" w:rsidRDefault="00AC12B4">
            <w:pPr>
              <w:rPr>
                <w:sz w:val="9"/>
                <w:szCs w:val="9"/>
              </w:rPr>
            </w:pPr>
          </w:p>
        </w:tc>
        <w:tc>
          <w:tcPr>
            <w:tcW w:w="120" w:type="dxa"/>
            <w:shd w:val="clear" w:color="auto" w:fill="C0504D"/>
            <w:vAlign w:val="bottom"/>
          </w:tcPr>
          <w:p w:rsidR="00AC12B4" w:rsidRDefault="00AC12B4">
            <w:pPr>
              <w:rPr>
                <w:sz w:val="9"/>
                <w:szCs w:val="9"/>
              </w:rPr>
            </w:pPr>
          </w:p>
        </w:tc>
        <w:tc>
          <w:tcPr>
            <w:tcW w:w="88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660" w:type="dxa"/>
            <w:vAlign w:val="bottom"/>
          </w:tcPr>
          <w:p w:rsidR="00AC12B4" w:rsidRDefault="00AC12B4">
            <w:pPr>
              <w:rPr>
                <w:sz w:val="4"/>
                <w:szCs w:val="4"/>
              </w:rPr>
            </w:pPr>
          </w:p>
        </w:tc>
        <w:tc>
          <w:tcPr>
            <w:tcW w:w="2060" w:type="dxa"/>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88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425280" behindDoc="1" locked="0" layoutInCell="0" allowOverlap="1">
            <wp:simplePos x="0" y="0"/>
            <wp:positionH relativeFrom="column">
              <wp:posOffset>384810</wp:posOffset>
            </wp:positionH>
            <wp:positionV relativeFrom="paragraph">
              <wp:posOffset>-318135</wp:posOffset>
            </wp:positionV>
            <wp:extent cx="1603375" cy="159385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5">
                      <a:extLst/>
                    </a:blip>
                    <a:srcRect/>
                    <a:stretch>
                      <a:fillRect/>
                    </a:stretch>
                  </pic:blipFill>
                  <pic:spPr bwMode="auto">
                    <a:xfrm>
                      <a:off x="0" y="0"/>
                      <a:ext cx="1603375" cy="1593850"/>
                    </a:xfrm>
                    <a:prstGeom prst="rect">
                      <a:avLst/>
                    </a:prstGeom>
                    <a:noFill/>
                  </pic:spPr>
                </pic:pic>
              </a:graphicData>
            </a:graphic>
          </wp:anchor>
        </w:drawing>
      </w:r>
    </w:p>
    <w:p w:rsidR="00AC12B4" w:rsidRDefault="00AC12B4">
      <w:pPr>
        <w:spacing w:line="269" w:lineRule="exact"/>
        <w:rPr>
          <w:sz w:val="20"/>
          <w:szCs w:val="20"/>
        </w:rPr>
      </w:pPr>
    </w:p>
    <w:p w:rsidR="00AC12B4" w:rsidRDefault="00C27636">
      <w:pPr>
        <w:ind w:left="3420"/>
        <w:rPr>
          <w:sz w:val="20"/>
          <w:szCs w:val="20"/>
        </w:rPr>
      </w:pPr>
      <w:r>
        <w:rPr>
          <w:noProof/>
          <w:sz w:val="1"/>
          <w:szCs w:val="1"/>
        </w:rPr>
        <w:drawing>
          <wp:inline distT="0" distB="0" distL="0" distR="0">
            <wp:extent cx="69850" cy="5842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6">
                      <a:extLst/>
                    </a:blip>
                    <a:srcRect/>
                    <a:stretch>
                      <a:fillRect/>
                    </a:stretch>
                  </pic:blipFill>
                  <pic:spPr bwMode="auto">
                    <a:xfrm>
                      <a:off x="0" y="0"/>
                      <a:ext cx="69850" cy="58420"/>
                    </a:xfrm>
                    <a:prstGeom prst="rect">
                      <a:avLst/>
                    </a:prstGeom>
                    <a:noFill/>
                    <a:ln>
                      <a:noFill/>
                    </a:ln>
                  </pic:spPr>
                </pic:pic>
              </a:graphicData>
            </a:graphic>
          </wp:inline>
        </w:drawing>
      </w:r>
      <w:r>
        <w:rPr>
          <w:rFonts w:ascii="Calibri" w:eastAsia="Calibri" w:hAnsi="Calibri" w:cs="Calibri"/>
          <w:sz w:val="20"/>
          <w:szCs w:val="20"/>
        </w:rPr>
        <w:t xml:space="preserve"> Ni d'accord, ni</w:t>
      </w:r>
    </w:p>
    <w:p w:rsidR="00AC12B4" w:rsidRDefault="00C27636">
      <w:pPr>
        <w:spacing w:line="192" w:lineRule="auto"/>
        <w:ind w:left="180"/>
        <w:rPr>
          <w:sz w:val="20"/>
          <w:szCs w:val="20"/>
        </w:rPr>
      </w:pPr>
      <w:r>
        <w:rPr>
          <w:rFonts w:ascii="Calibri" w:eastAsia="Calibri" w:hAnsi="Calibri" w:cs="Calibri"/>
          <w:sz w:val="12"/>
          <w:szCs w:val="12"/>
        </w:rPr>
        <w:t>15,9%</w:t>
      </w:r>
    </w:p>
    <w:p w:rsidR="00AC12B4" w:rsidRDefault="00C27636">
      <w:pPr>
        <w:spacing w:line="194" w:lineRule="auto"/>
        <w:ind w:left="3580"/>
        <w:rPr>
          <w:sz w:val="20"/>
          <w:szCs w:val="20"/>
        </w:rPr>
      </w:pPr>
      <w:r>
        <w:rPr>
          <w:rFonts w:ascii="Calibri" w:eastAsia="Calibri" w:hAnsi="Calibri" w:cs="Calibri"/>
          <w:sz w:val="20"/>
          <w:szCs w:val="20"/>
        </w:rPr>
        <w:t>pas d'accord</w:t>
      </w:r>
    </w:p>
    <w:p w:rsidR="00AC12B4" w:rsidRDefault="00AC12B4">
      <w:pPr>
        <w:spacing w:line="115" w:lineRule="exact"/>
        <w:rPr>
          <w:sz w:val="20"/>
          <w:szCs w:val="20"/>
        </w:rPr>
      </w:pPr>
    </w:p>
    <w:p w:rsidR="00AC12B4" w:rsidRDefault="00C27636">
      <w:pPr>
        <w:ind w:left="3420"/>
        <w:rPr>
          <w:sz w:val="20"/>
          <w:szCs w:val="20"/>
        </w:rPr>
      </w:pPr>
      <w:r>
        <w:rPr>
          <w:noProof/>
          <w:sz w:val="1"/>
          <w:szCs w:val="1"/>
        </w:rPr>
        <w:drawing>
          <wp:inline distT="0" distB="0" distL="0" distR="0">
            <wp:extent cx="69850" cy="698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7">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Pas d'accord</w:t>
      </w:r>
    </w:p>
    <w:p w:rsidR="00AC12B4" w:rsidRDefault="00AC12B4">
      <w:pPr>
        <w:spacing w:line="372" w:lineRule="exact"/>
        <w:rPr>
          <w:sz w:val="20"/>
          <w:szCs w:val="20"/>
        </w:rPr>
      </w:pPr>
    </w:p>
    <w:p w:rsidR="00AC12B4" w:rsidRDefault="00C27636">
      <w:pPr>
        <w:ind w:left="3420"/>
        <w:rPr>
          <w:sz w:val="20"/>
          <w:szCs w:val="20"/>
        </w:rPr>
      </w:pPr>
      <w:r>
        <w:rPr>
          <w:noProof/>
          <w:sz w:val="1"/>
          <w:szCs w:val="1"/>
        </w:rPr>
        <w:drawing>
          <wp:inline distT="0" distB="0" distL="0" distR="0">
            <wp:extent cx="69850" cy="698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8">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19"/>
          <w:szCs w:val="19"/>
        </w:rPr>
        <w:t xml:space="preserve"> Pas d'accord du</w:t>
      </w:r>
    </w:p>
    <w:p w:rsidR="00AC12B4" w:rsidRDefault="00C27636">
      <w:pPr>
        <w:tabs>
          <w:tab w:val="left" w:pos="3560"/>
        </w:tabs>
        <w:spacing w:line="230" w:lineRule="auto"/>
        <w:ind w:left="1720"/>
        <w:rPr>
          <w:sz w:val="20"/>
          <w:szCs w:val="20"/>
        </w:rPr>
      </w:pPr>
      <w:r>
        <w:rPr>
          <w:rFonts w:ascii="Calibri" w:eastAsia="Calibri" w:hAnsi="Calibri" w:cs="Calibri"/>
          <w:sz w:val="20"/>
          <w:szCs w:val="20"/>
        </w:rPr>
        <w:t>38,1%</w:t>
      </w:r>
      <w:r>
        <w:rPr>
          <w:sz w:val="20"/>
          <w:szCs w:val="20"/>
        </w:rPr>
        <w:tab/>
      </w:r>
      <w:r>
        <w:rPr>
          <w:rFonts w:ascii="Calibri" w:eastAsia="Calibri" w:hAnsi="Calibri" w:cs="Calibri"/>
          <w:sz w:val="40"/>
          <w:szCs w:val="40"/>
          <w:vertAlign w:val="superscript"/>
        </w:rPr>
        <w:t>tout</w:t>
      </w:r>
    </w:p>
    <w:p w:rsidR="00AC12B4" w:rsidRDefault="00C27636">
      <w:pPr>
        <w:spacing w:line="20" w:lineRule="exact"/>
        <w:rPr>
          <w:sz w:val="20"/>
          <w:szCs w:val="20"/>
        </w:rPr>
      </w:pPr>
      <w:r>
        <w:rPr>
          <w:noProof/>
          <w:sz w:val="20"/>
          <w:szCs w:val="20"/>
        </w:rPr>
        <w:drawing>
          <wp:anchor distT="0" distB="0" distL="114300" distR="114300" simplePos="0" relativeHeight="251426304" behindDoc="1" locked="0" layoutInCell="0" allowOverlap="1">
            <wp:simplePos x="0" y="0"/>
            <wp:positionH relativeFrom="column">
              <wp:posOffset>76200</wp:posOffset>
            </wp:positionH>
            <wp:positionV relativeFrom="paragraph">
              <wp:posOffset>168275</wp:posOffset>
            </wp:positionV>
            <wp:extent cx="2971800" cy="545465"/>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9">
                      <a:extLst/>
                    </a:blip>
                    <a:srcRect/>
                    <a:stretch>
                      <a:fillRect/>
                    </a:stretch>
                  </pic:blipFill>
                  <pic:spPr bwMode="auto">
                    <a:xfrm>
                      <a:off x="0" y="0"/>
                      <a:ext cx="2971800" cy="545465"/>
                    </a:xfrm>
                    <a:prstGeom prst="rect">
                      <a:avLst/>
                    </a:prstGeom>
                    <a:noFill/>
                  </pic:spPr>
                </pic:pic>
              </a:graphicData>
            </a:graphic>
          </wp:anchor>
        </w:drawing>
      </w:r>
    </w:p>
    <w:p w:rsidR="00AC12B4" w:rsidRDefault="00C27636">
      <w:pPr>
        <w:spacing w:line="20" w:lineRule="exact"/>
        <w:rPr>
          <w:sz w:val="20"/>
          <w:szCs w:val="20"/>
        </w:rPr>
      </w:pPr>
      <w:r>
        <w:rPr>
          <w:sz w:val="20"/>
          <w:szCs w:val="20"/>
        </w:rPr>
        <w:br w:type="column"/>
      </w:r>
    </w:p>
    <w:p w:rsidR="00AC12B4" w:rsidRDefault="00C27636">
      <w:pPr>
        <w:rPr>
          <w:sz w:val="20"/>
          <w:szCs w:val="20"/>
        </w:rPr>
      </w:pPr>
      <w:r>
        <w:rPr>
          <w:rFonts w:ascii="Cambria" w:eastAsia="Cambria" w:hAnsi="Cambria" w:cs="Cambria"/>
          <w:b/>
          <w:bCs/>
          <w:i/>
          <w:iCs/>
          <w:color w:val="963266"/>
          <w:sz w:val="26"/>
          <w:szCs w:val="26"/>
        </w:rPr>
        <w:t>Evolution</w:t>
      </w:r>
    </w:p>
    <w:p w:rsidR="00AC12B4" w:rsidRDefault="00AC12B4">
      <w:pPr>
        <w:spacing w:line="211" w:lineRule="exact"/>
        <w:rPr>
          <w:sz w:val="20"/>
          <w:szCs w:val="20"/>
        </w:rPr>
      </w:pPr>
    </w:p>
    <w:p w:rsidR="00AC12B4" w:rsidRDefault="00C27636">
      <w:pPr>
        <w:spacing w:line="228" w:lineRule="auto"/>
        <w:ind w:right="89"/>
        <w:jc w:val="both"/>
        <w:rPr>
          <w:sz w:val="20"/>
          <w:szCs w:val="20"/>
        </w:rPr>
      </w:pPr>
      <w:r>
        <w:rPr>
          <w:rFonts w:ascii="Calibri" w:eastAsia="Calibri" w:hAnsi="Calibri" w:cs="Calibri"/>
        </w:rPr>
        <w:t xml:space="preserve">La question </w:t>
      </w:r>
      <w:r>
        <w:rPr>
          <w:rFonts w:ascii="Calibri" w:eastAsia="Calibri" w:hAnsi="Calibri" w:cs="Calibri"/>
        </w:rPr>
        <w:t>a été introduite seulement en 2014 dans l’enquête HBSC. Il n’est dès lors pas encore possible d’en mesurer une évolution.</w:t>
      </w:r>
    </w:p>
    <w:p w:rsidR="00AC12B4" w:rsidRDefault="00AC12B4">
      <w:pPr>
        <w:spacing w:line="209" w:lineRule="exact"/>
        <w:rPr>
          <w:sz w:val="20"/>
          <w:szCs w:val="20"/>
        </w:rPr>
      </w:pPr>
    </w:p>
    <w:p w:rsidR="00AC12B4" w:rsidRDefault="00C27636">
      <w:pPr>
        <w:rPr>
          <w:sz w:val="20"/>
          <w:szCs w:val="20"/>
        </w:rPr>
      </w:pPr>
      <w:r>
        <w:rPr>
          <w:rFonts w:ascii="Cambria" w:eastAsia="Cambria" w:hAnsi="Cambria" w:cs="Cambria"/>
          <w:b/>
          <w:bCs/>
          <w:i/>
          <w:iCs/>
          <w:color w:val="963266"/>
          <w:sz w:val="26"/>
          <w:szCs w:val="26"/>
        </w:rPr>
        <w:t>Iniquité</w:t>
      </w:r>
    </w:p>
    <w:p w:rsidR="00AC12B4" w:rsidRDefault="00AC12B4">
      <w:pPr>
        <w:spacing w:line="208" w:lineRule="exact"/>
        <w:rPr>
          <w:sz w:val="20"/>
          <w:szCs w:val="20"/>
        </w:rPr>
      </w:pPr>
    </w:p>
    <w:p w:rsidR="00AC12B4" w:rsidRDefault="00C27636">
      <w:pPr>
        <w:spacing w:line="234" w:lineRule="auto"/>
        <w:ind w:right="69"/>
        <w:jc w:val="both"/>
        <w:rPr>
          <w:sz w:val="20"/>
          <w:szCs w:val="20"/>
        </w:rPr>
      </w:pPr>
      <w:r>
        <w:rPr>
          <w:rFonts w:ascii="Calibri" w:eastAsia="Calibri" w:hAnsi="Calibri" w:cs="Calibri"/>
        </w:rPr>
        <w:t xml:space="preserve">Se sentir en sécurité dans son quartier est plus fréquemment rapporté par les garçons et par les jeunes qui vivent avec </w:t>
      </w:r>
      <w:r>
        <w:rPr>
          <w:rFonts w:ascii="Calibri" w:eastAsia="Calibri" w:hAnsi="Calibri" w:cs="Calibri"/>
        </w:rPr>
        <w:t>leurs deux parents. La proportion de jeunes qui se sentent en sécurité dans leur quartier ne varie pas en fonction de l'âge mais elle diminue lorsque le niveau d'aisance matérielle de la famille diminue.</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3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0"/>
      </w:tblGrid>
      <w:tr w:rsidR="00AC12B4">
        <w:trPr>
          <w:trHeight w:val="2520"/>
        </w:trPr>
        <w:tc>
          <w:tcPr>
            <w:tcW w:w="280" w:type="dxa"/>
            <w:textDirection w:val="btLr"/>
            <w:vAlign w:val="bottom"/>
          </w:tcPr>
          <w:p w:rsidR="00AC12B4" w:rsidRDefault="00C27636">
            <w:pPr>
              <w:spacing w:line="229" w:lineRule="auto"/>
              <w:rPr>
                <w:sz w:val="20"/>
                <w:szCs w:val="20"/>
              </w:rPr>
            </w:pPr>
            <w:r>
              <w:rPr>
                <w:rFonts w:ascii="Calibri" w:eastAsia="Calibri" w:hAnsi="Calibri" w:cs="Calibri"/>
                <w:b/>
                <w:bCs/>
                <w:i/>
                <w:iCs/>
                <w:color w:val="F2F2F2"/>
                <w:sz w:val="24"/>
                <w:szCs w:val="24"/>
              </w:rPr>
              <w:t>poursuivre son bien -être</w:t>
            </w:r>
          </w:p>
        </w:tc>
      </w:tr>
    </w:tbl>
    <w:p w:rsidR="00AC12B4" w:rsidRDefault="00AC12B4">
      <w:pPr>
        <w:spacing w:line="1" w:lineRule="exact"/>
        <w:rPr>
          <w:sz w:val="20"/>
          <w:szCs w:val="20"/>
        </w:rPr>
      </w:pPr>
    </w:p>
    <w:p w:rsidR="00AC12B4" w:rsidRDefault="00AC12B4">
      <w:pPr>
        <w:sectPr w:rsidR="00AC12B4">
          <w:type w:val="continuous"/>
          <w:pgSz w:w="12080" w:h="17179"/>
          <w:pgMar w:top="1440" w:right="528" w:bottom="659" w:left="1080" w:header="0" w:footer="0" w:gutter="0"/>
          <w:cols w:num="3" w:space="720" w:equalWidth="0">
            <w:col w:w="4860" w:space="660"/>
            <w:col w:w="3949" w:space="720"/>
            <w:col w:w="280"/>
          </w:cols>
        </w:sectPr>
      </w:pPr>
    </w:p>
    <w:p w:rsidR="00AC12B4" w:rsidRDefault="00C27636">
      <w:pPr>
        <w:spacing w:line="195" w:lineRule="auto"/>
        <w:ind w:left="120"/>
        <w:rPr>
          <w:sz w:val="20"/>
          <w:szCs w:val="20"/>
        </w:rPr>
      </w:pPr>
      <w:r>
        <w:rPr>
          <w:rFonts w:ascii="Calibri" w:eastAsia="Calibri" w:hAnsi="Calibri" w:cs="Calibri"/>
          <w:b/>
          <w:bCs/>
          <w:color w:val="4F81BD"/>
          <w:sz w:val="18"/>
          <w:szCs w:val="18"/>
        </w:rPr>
        <w:lastRenderedPageBreak/>
        <w:t>Figure 1. Sentiment de sécurité pour se promener ou jouer</w:t>
      </w:r>
    </w:p>
    <w:p w:rsidR="00AC12B4" w:rsidRDefault="00AC12B4">
      <w:pPr>
        <w:spacing w:line="2" w:lineRule="exact"/>
        <w:rPr>
          <w:sz w:val="20"/>
          <w:szCs w:val="20"/>
        </w:rPr>
      </w:pPr>
    </w:p>
    <w:p w:rsidR="00AC12B4" w:rsidRDefault="00C27636">
      <w:pPr>
        <w:ind w:left="120"/>
        <w:rPr>
          <w:sz w:val="20"/>
          <w:szCs w:val="20"/>
        </w:rPr>
      </w:pPr>
      <w:r>
        <w:rPr>
          <w:rFonts w:ascii="Calibri" w:eastAsia="Calibri" w:hAnsi="Calibri" w:cs="Calibri"/>
          <w:b/>
          <w:bCs/>
          <w:color w:val="4F81BD"/>
          <w:sz w:val="18"/>
          <w:szCs w:val="18"/>
        </w:rPr>
        <w:t>seul dans son quartier parmi les jeunes en Communauté</w:t>
      </w:r>
    </w:p>
    <w:p w:rsidR="00AC12B4" w:rsidRDefault="00C27636">
      <w:pPr>
        <w:spacing w:line="235" w:lineRule="auto"/>
        <w:ind w:left="120"/>
        <w:rPr>
          <w:sz w:val="20"/>
          <w:szCs w:val="20"/>
        </w:rPr>
      </w:pPr>
      <w:r>
        <w:rPr>
          <w:rFonts w:ascii="Calibri" w:eastAsia="Calibri" w:hAnsi="Calibri" w:cs="Calibri"/>
          <w:b/>
          <w:bCs/>
          <w:color w:val="4F81BD"/>
          <w:sz w:val="18"/>
          <w:szCs w:val="18"/>
        </w:rPr>
        <w:t>flamande (n=8.704). HBSC 2014.</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5" w:lineRule="exact"/>
        <w:rPr>
          <w:sz w:val="20"/>
          <w:szCs w:val="20"/>
        </w:rPr>
      </w:pPr>
    </w:p>
    <w:p w:rsidR="00AC12B4" w:rsidRDefault="00C27636">
      <w:pPr>
        <w:ind w:left="851"/>
        <w:jc w:val="center"/>
        <w:rPr>
          <w:sz w:val="20"/>
          <w:szCs w:val="20"/>
        </w:rPr>
      </w:pPr>
      <w:r>
        <w:rPr>
          <w:rFonts w:ascii="Calibri" w:eastAsia="Calibri" w:hAnsi="Calibri" w:cs="Calibri"/>
        </w:rPr>
        <w:t>53</w:t>
      </w:r>
    </w:p>
    <w:p w:rsidR="00AC12B4" w:rsidRDefault="00C27636">
      <w:pPr>
        <w:spacing w:line="20" w:lineRule="exact"/>
        <w:rPr>
          <w:sz w:val="20"/>
          <w:szCs w:val="20"/>
        </w:rPr>
      </w:pPr>
      <w:r>
        <w:rPr>
          <w:sz w:val="20"/>
          <w:szCs w:val="20"/>
        </w:rPr>
        <w:br w:type="column"/>
      </w:r>
    </w:p>
    <w:p w:rsidR="00AC12B4" w:rsidRDefault="00AC12B4">
      <w:pPr>
        <w:spacing w:line="3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0"/>
      </w:tblGrid>
      <w:tr w:rsidR="00AC12B4">
        <w:trPr>
          <w:trHeight w:val="1220"/>
        </w:trPr>
        <w:tc>
          <w:tcPr>
            <w:tcW w:w="280" w:type="dxa"/>
            <w:textDirection w:val="btLr"/>
            <w:vAlign w:val="bottom"/>
          </w:tcPr>
          <w:p w:rsidR="00AC12B4" w:rsidRDefault="00C27636">
            <w:pPr>
              <w:spacing w:line="204" w:lineRule="auto"/>
              <w:rPr>
                <w:sz w:val="20"/>
                <w:szCs w:val="20"/>
              </w:rPr>
            </w:pPr>
            <w:r>
              <w:rPr>
                <w:rFonts w:ascii="Calibri" w:eastAsia="Calibri" w:hAnsi="Calibri" w:cs="Calibri"/>
                <w:b/>
                <w:bCs/>
                <w:i/>
                <w:iCs/>
                <w:color w:val="F2F2F2"/>
                <w:sz w:val="27"/>
                <w:szCs w:val="27"/>
              </w:rPr>
              <w:t>Le droit de</w:t>
            </w:r>
          </w:p>
        </w:tc>
      </w:tr>
    </w:tbl>
    <w:p w:rsidR="00AC12B4" w:rsidRDefault="00AC12B4">
      <w:pPr>
        <w:sectPr w:rsidR="00AC12B4">
          <w:type w:val="continuous"/>
          <w:pgSz w:w="12080" w:h="17179"/>
          <w:pgMar w:top="1440" w:right="528" w:bottom="659" w:left="1080" w:header="0" w:footer="0" w:gutter="0"/>
          <w:cols w:num="2" w:space="720" w:equalWidth="0">
            <w:col w:w="9469" w:space="720"/>
            <w:col w:w="280"/>
          </w:cols>
        </w:sectPr>
      </w:pPr>
    </w:p>
    <w:bookmarkStart w:id="53" w:name="page54"/>
    <w:bookmarkEnd w:id="53"/>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427328" behindDoc="1" locked="0" layoutInCell="0" allowOverlap="1">
                <wp:simplePos x="0" y="0"/>
                <wp:positionH relativeFrom="page">
                  <wp:posOffset>0</wp:posOffset>
                </wp:positionH>
                <wp:positionV relativeFrom="page">
                  <wp:posOffset>0</wp:posOffset>
                </wp:positionV>
                <wp:extent cx="727075" cy="10905490"/>
                <wp:effectExtent l="0" t="0" r="0" b="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7075" cy="10905490"/>
                        </a:xfrm>
                        <a:prstGeom prst="rect">
                          <a:avLst/>
                        </a:prstGeom>
                        <a:solidFill>
                          <a:srgbClr val="C95C96"/>
                        </a:solidFill>
                      </wps:spPr>
                      <wps:bodyPr/>
                    </wps:wsp>
                  </a:graphicData>
                </a:graphic>
              </wp:anchor>
            </w:drawing>
          </mc:Choice>
          <mc:Fallback>
            <w:pict>
              <v:rect id="Shape 83" o:spid="_x0000_s1108" style="position:absolute;margin-left:0pt;margin-top:0pt;width:57.25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41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de poursuivre son bien-être</w:t>
            </w:r>
          </w:p>
        </w:tc>
      </w:tr>
    </w:tbl>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13" w:lineRule="exact"/>
        <w:rPr>
          <w:sz w:val="20"/>
          <w:szCs w:val="20"/>
        </w:rPr>
      </w:pPr>
    </w:p>
    <w:p w:rsidR="00AC12B4" w:rsidRDefault="00AC12B4">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1660"/>
        <w:gridCol w:w="640"/>
        <w:gridCol w:w="920"/>
        <w:gridCol w:w="780"/>
      </w:tblGrid>
      <w:tr w:rsidR="00AC12B4">
        <w:trPr>
          <w:trHeight w:val="244"/>
        </w:trPr>
        <w:tc>
          <w:tcPr>
            <w:tcW w:w="1660" w:type="dxa"/>
            <w:vAlign w:val="bottom"/>
          </w:tcPr>
          <w:p w:rsidR="00AC12B4" w:rsidRDefault="00AC12B4">
            <w:pPr>
              <w:rPr>
                <w:sz w:val="21"/>
                <w:szCs w:val="21"/>
              </w:rPr>
            </w:pPr>
          </w:p>
        </w:tc>
        <w:tc>
          <w:tcPr>
            <w:tcW w:w="640" w:type="dxa"/>
            <w:vAlign w:val="bottom"/>
          </w:tcPr>
          <w:p w:rsidR="00AC12B4" w:rsidRDefault="00AC12B4">
            <w:pPr>
              <w:rPr>
                <w:sz w:val="21"/>
                <w:szCs w:val="21"/>
              </w:rPr>
            </w:pPr>
          </w:p>
        </w:tc>
        <w:tc>
          <w:tcPr>
            <w:tcW w:w="920" w:type="dxa"/>
            <w:vAlign w:val="bottom"/>
          </w:tcPr>
          <w:p w:rsidR="00AC12B4" w:rsidRDefault="00C27636">
            <w:pPr>
              <w:jc w:val="center"/>
              <w:rPr>
                <w:sz w:val="20"/>
                <w:szCs w:val="20"/>
              </w:rPr>
            </w:pPr>
            <w:r>
              <w:rPr>
                <w:rFonts w:ascii="Calibri" w:eastAsia="Calibri" w:hAnsi="Calibri" w:cs="Calibri"/>
                <w:color w:val="963266"/>
                <w:sz w:val="20"/>
                <w:szCs w:val="20"/>
              </w:rPr>
              <w:t>Quartier</w:t>
            </w:r>
          </w:p>
        </w:tc>
        <w:tc>
          <w:tcPr>
            <w:tcW w:w="780" w:type="dxa"/>
            <w:vAlign w:val="bottom"/>
          </w:tcPr>
          <w:p w:rsidR="00AC12B4" w:rsidRDefault="00AC12B4">
            <w:pPr>
              <w:rPr>
                <w:sz w:val="21"/>
                <w:szCs w:val="21"/>
              </w:rPr>
            </w:pPr>
          </w:p>
        </w:tc>
      </w:tr>
      <w:tr w:rsidR="00AC12B4">
        <w:trPr>
          <w:trHeight w:val="246"/>
        </w:trPr>
        <w:tc>
          <w:tcPr>
            <w:tcW w:w="1660" w:type="dxa"/>
            <w:tcBorders>
              <w:bottom w:val="single" w:sz="8" w:space="0" w:color="auto"/>
            </w:tcBorders>
            <w:vAlign w:val="bottom"/>
          </w:tcPr>
          <w:p w:rsidR="00AC12B4" w:rsidRDefault="00AC12B4">
            <w:pPr>
              <w:rPr>
                <w:sz w:val="21"/>
                <w:szCs w:val="21"/>
              </w:rPr>
            </w:pPr>
          </w:p>
        </w:tc>
        <w:tc>
          <w:tcPr>
            <w:tcW w:w="640" w:type="dxa"/>
            <w:tcBorders>
              <w:bottom w:val="single" w:sz="8" w:space="0" w:color="auto"/>
            </w:tcBorders>
            <w:vAlign w:val="bottom"/>
          </w:tcPr>
          <w:p w:rsidR="00AC12B4" w:rsidRDefault="00C27636">
            <w:pPr>
              <w:spacing w:line="243" w:lineRule="exact"/>
              <w:ind w:left="320"/>
              <w:rPr>
                <w:sz w:val="20"/>
                <w:szCs w:val="20"/>
              </w:rPr>
            </w:pPr>
            <w:r>
              <w:rPr>
                <w:rFonts w:ascii="Calibri" w:eastAsia="Calibri" w:hAnsi="Calibri" w:cs="Calibri"/>
                <w:color w:val="963266"/>
                <w:sz w:val="20"/>
                <w:szCs w:val="20"/>
              </w:rPr>
              <w:t>N</w:t>
            </w:r>
          </w:p>
        </w:tc>
        <w:tc>
          <w:tcPr>
            <w:tcW w:w="920" w:type="dxa"/>
            <w:tcBorders>
              <w:bottom w:val="single" w:sz="8" w:space="0" w:color="auto"/>
            </w:tcBorders>
            <w:vAlign w:val="bottom"/>
          </w:tcPr>
          <w:p w:rsidR="00AC12B4" w:rsidRDefault="00C27636">
            <w:pPr>
              <w:spacing w:line="243" w:lineRule="exact"/>
              <w:jc w:val="center"/>
              <w:rPr>
                <w:sz w:val="20"/>
                <w:szCs w:val="20"/>
              </w:rPr>
            </w:pPr>
            <w:r>
              <w:rPr>
                <w:rFonts w:ascii="Calibri" w:eastAsia="Calibri" w:hAnsi="Calibri" w:cs="Calibri"/>
                <w:color w:val="963266"/>
                <w:sz w:val="20"/>
                <w:szCs w:val="20"/>
              </w:rPr>
              <w:t>sûr</w:t>
            </w:r>
          </w:p>
        </w:tc>
        <w:tc>
          <w:tcPr>
            <w:tcW w:w="780" w:type="dxa"/>
            <w:tcBorders>
              <w:bottom w:val="single" w:sz="8" w:space="0" w:color="auto"/>
            </w:tcBorders>
            <w:vAlign w:val="bottom"/>
          </w:tcPr>
          <w:p w:rsidR="00AC12B4" w:rsidRDefault="00C27636">
            <w:pPr>
              <w:spacing w:line="243" w:lineRule="exact"/>
              <w:jc w:val="center"/>
              <w:rPr>
                <w:sz w:val="20"/>
                <w:szCs w:val="20"/>
              </w:rPr>
            </w:pPr>
            <w:r>
              <w:rPr>
                <w:rFonts w:ascii="Calibri" w:eastAsia="Calibri" w:hAnsi="Calibri" w:cs="Calibri"/>
                <w:color w:val="963266"/>
                <w:sz w:val="20"/>
                <w:szCs w:val="20"/>
              </w:rPr>
              <w:t>p</w:t>
            </w:r>
          </w:p>
        </w:tc>
      </w:tr>
      <w:tr w:rsidR="00AC12B4">
        <w:trPr>
          <w:trHeight w:val="231"/>
        </w:trPr>
        <w:tc>
          <w:tcPr>
            <w:tcW w:w="1660" w:type="dxa"/>
            <w:vAlign w:val="bottom"/>
          </w:tcPr>
          <w:p w:rsidR="00AC12B4" w:rsidRDefault="00AC12B4">
            <w:pPr>
              <w:rPr>
                <w:sz w:val="20"/>
                <w:szCs w:val="20"/>
              </w:rPr>
            </w:pPr>
          </w:p>
        </w:tc>
        <w:tc>
          <w:tcPr>
            <w:tcW w:w="640" w:type="dxa"/>
            <w:vAlign w:val="bottom"/>
          </w:tcPr>
          <w:p w:rsidR="00AC12B4" w:rsidRDefault="00C27636">
            <w:pPr>
              <w:spacing w:line="230" w:lineRule="exact"/>
              <w:ind w:left="20"/>
              <w:jc w:val="center"/>
              <w:rPr>
                <w:sz w:val="20"/>
                <w:szCs w:val="20"/>
              </w:rPr>
            </w:pPr>
            <w:r>
              <w:rPr>
                <w:rFonts w:ascii="Calibri" w:eastAsia="Calibri" w:hAnsi="Calibri" w:cs="Calibri"/>
                <w:sz w:val="20"/>
                <w:szCs w:val="20"/>
              </w:rPr>
              <w:t>870</w:t>
            </w:r>
          </w:p>
        </w:tc>
        <w:tc>
          <w:tcPr>
            <w:tcW w:w="920" w:type="dxa"/>
            <w:vAlign w:val="bottom"/>
          </w:tcPr>
          <w:p w:rsidR="00AC12B4" w:rsidRDefault="00AC12B4">
            <w:pPr>
              <w:rPr>
                <w:sz w:val="20"/>
                <w:szCs w:val="20"/>
              </w:rPr>
            </w:pPr>
          </w:p>
        </w:tc>
        <w:tc>
          <w:tcPr>
            <w:tcW w:w="780" w:type="dxa"/>
            <w:vAlign w:val="bottom"/>
          </w:tcPr>
          <w:p w:rsidR="00AC12B4" w:rsidRDefault="00AC12B4">
            <w:pPr>
              <w:rPr>
                <w:sz w:val="20"/>
                <w:szCs w:val="20"/>
              </w:rPr>
            </w:pP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Genre</w:t>
            </w:r>
          </w:p>
        </w:tc>
        <w:tc>
          <w:tcPr>
            <w:tcW w:w="640" w:type="dxa"/>
            <w:vAlign w:val="bottom"/>
          </w:tcPr>
          <w:p w:rsidR="00AC12B4" w:rsidRDefault="00C27636">
            <w:pPr>
              <w:ind w:left="40"/>
              <w:jc w:val="center"/>
              <w:rPr>
                <w:sz w:val="20"/>
                <w:szCs w:val="20"/>
              </w:rPr>
            </w:pPr>
            <w:r>
              <w:rPr>
                <w:rFonts w:ascii="Calibri" w:eastAsia="Calibri" w:hAnsi="Calibri" w:cs="Calibri"/>
                <w:w w:val="98"/>
                <w:sz w:val="20"/>
                <w:szCs w:val="20"/>
              </w:rPr>
              <w:t>4</w:t>
            </w:r>
          </w:p>
        </w:tc>
        <w:tc>
          <w:tcPr>
            <w:tcW w:w="920" w:type="dxa"/>
            <w:vAlign w:val="bottom"/>
          </w:tcPr>
          <w:p w:rsidR="00AC12B4" w:rsidRDefault="00AC12B4">
            <w:pPr>
              <w:rPr>
                <w:sz w:val="21"/>
                <w:szCs w:val="21"/>
              </w:rPr>
            </w:pPr>
          </w:p>
        </w:tc>
        <w:tc>
          <w:tcPr>
            <w:tcW w:w="780" w:type="dxa"/>
            <w:vAlign w:val="bottom"/>
          </w:tcPr>
          <w:p w:rsidR="00AC12B4" w:rsidRDefault="00C27636">
            <w:pPr>
              <w:jc w:val="center"/>
              <w:rPr>
                <w:sz w:val="20"/>
                <w:szCs w:val="20"/>
              </w:rPr>
            </w:pPr>
            <w:r>
              <w:rPr>
                <w:rFonts w:ascii="Calibri" w:eastAsia="Calibri" w:hAnsi="Calibri" w:cs="Calibri"/>
                <w:sz w:val="20"/>
                <w:szCs w:val="20"/>
              </w:rPr>
              <w:t>&lt;0,001</w:t>
            </w: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Garçons</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70,1</w:t>
            </w:r>
          </w:p>
        </w:tc>
        <w:tc>
          <w:tcPr>
            <w:tcW w:w="78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Filles</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64,7</w:t>
            </w:r>
          </w:p>
        </w:tc>
        <w:tc>
          <w:tcPr>
            <w:tcW w:w="780" w:type="dxa"/>
            <w:vAlign w:val="bottom"/>
          </w:tcPr>
          <w:p w:rsidR="00AC12B4" w:rsidRDefault="00AC12B4">
            <w:pPr>
              <w:rPr>
                <w:sz w:val="24"/>
                <w:szCs w:val="24"/>
              </w:rPr>
            </w:pPr>
          </w:p>
        </w:tc>
      </w:tr>
      <w:tr w:rsidR="00AC12B4">
        <w:trPr>
          <w:trHeight w:val="545"/>
        </w:trPr>
        <w:tc>
          <w:tcPr>
            <w:tcW w:w="1660" w:type="dxa"/>
            <w:vAlign w:val="bottom"/>
          </w:tcPr>
          <w:p w:rsidR="00AC12B4" w:rsidRDefault="00AC12B4">
            <w:pPr>
              <w:rPr>
                <w:sz w:val="24"/>
                <w:szCs w:val="24"/>
              </w:rPr>
            </w:pPr>
          </w:p>
        </w:tc>
        <w:tc>
          <w:tcPr>
            <w:tcW w:w="640" w:type="dxa"/>
            <w:vAlign w:val="bottom"/>
          </w:tcPr>
          <w:p w:rsidR="00AC12B4" w:rsidRDefault="00C27636">
            <w:pPr>
              <w:ind w:left="20"/>
              <w:jc w:val="center"/>
              <w:rPr>
                <w:sz w:val="20"/>
                <w:szCs w:val="20"/>
              </w:rPr>
            </w:pPr>
            <w:r>
              <w:rPr>
                <w:rFonts w:ascii="Calibri" w:eastAsia="Calibri" w:hAnsi="Calibri" w:cs="Calibri"/>
                <w:sz w:val="20"/>
                <w:szCs w:val="20"/>
              </w:rPr>
              <w:t>856</w:t>
            </w:r>
          </w:p>
        </w:tc>
        <w:tc>
          <w:tcPr>
            <w:tcW w:w="920" w:type="dxa"/>
            <w:vAlign w:val="bottom"/>
          </w:tcPr>
          <w:p w:rsidR="00AC12B4" w:rsidRDefault="00AC12B4">
            <w:pPr>
              <w:rPr>
                <w:sz w:val="24"/>
                <w:szCs w:val="24"/>
              </w:rPr>
            </w:pPr>
          </w:p>
        </w:tc>
        <w:tc>
          <w:tcPr>
            <w:tcW w:w="780" w:type="dxa"/>
            <w:vAlign w:val="bottom"/>
          </w:tcPr>
          <w:p w:rsidR="00AC12B4" w:rsidRDefault="00AC12B4">
            <w:pPr>
              <w:rPr>
                <w:sz w:val="24"/>
                <w:szCs w:val="24"/>
              </w:rPr>
            </w:pP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Age</w:t>
            </w:r>
          </w:p>
        </w:tc>
        <w:tc>
          <w:tcPr>
            <w:tcW w:w="640" w:type="dxa"/>
            <w:vAlign w:val="bottom"/>
          </w:tcPr>
          <w:p w:rsidR="00AC12B4" w:rsidRDefault="00C27636">
            <w:pPr>
              <w:ind w:left="40"/>
              <w:jc w:val="center"/>
              <w:rPr>
                <w:sz w:val="20"/>
                <w:szCs w:val="20"/>
              </w:rPr>
            </w:pPr>
            <w:r>
              <w:rPr>
                <w:rFonts w:ascii="Calibri" w:eastAsia="Calibri" w:hAnsi="Calibri" w:cs="Calibri"/>
                <w:w w:val="98"/>
                <w:sz w:val="20"/>
                <w:szCs w:val="20"/>
              </w:rPr>
              <w:t>3</w:t>
            </w:r>
          </w:p>
        </w:tc>
        <w:tc>
          <w:tcPr>
            <w:tcW w:w="920" w:type="dxa"/>
            <w:vAlign w:val="bottom"/>
          </w:tcPr>
          <w:p w:rsidR="00AC12B4" w:rsidRDefault="00AC12B4">
            <w:pPr>
              <w:rPr>
                <w:sz w:val="21"/>
                <w:szCs w:val="21"/>
              </w:rPr>
            </w:pPr>
          </w:p>
        </w:tc>
        <w:tc>
          <w:tcPr>
            <w:tcW w:w="780" w:type="dxa"/>
            <w:vAlign w:val="bottom"/>
          </w:tcPr>
          <w:p w:rsidR="00AC12B4" w:rsidRDefault="00C27636">
            <w:pPr>
              <w:jc w:val="center"/>
              <w:rPr>
                <w:sz w:val="20"/>
                <w:szCs w:val="20"/>
              </w:rPr>
            </w:pPr>
            <w:r>
              <w:rPr>
                <w:rFonts w:ascii="Calibri" w:eastAsia="Calibri" w:hAnsi="Calibri" w:cs="Calibri"/>
                <w:w w:val="98"/>
                <w:sz w:val="20"/>
                <w:szCs w:val="20"/>
              </w:rPr>
              <w:t>n.s.</w:t>
            </w: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10-12 ans</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67,5</w:t>
            </w:r>
          </w:p>
        </w:tc>
        <w:tc>
          <w:tcPr>
            <w:tcW w:w="78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13-14 ans</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68,4</w:t>
            </w:r>
          </w:p>
        </w:tc>
        <w:tc>
          <w:tcPr>
            <w:tcW w:w="78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15-16 ans</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68,0</w:t>
            </w:r>
          </w:p>
        </w:tc>
        <w:tc>
          <w:tcPr>
            <w:tcW w:w="780" w:type="dxa"/>
            <w:vAlign w:val="bottom"/>
          </w:tcPr>
          <w:p w:rsidR="00AC12B4" w:rsidRDefault="00AC12B4">
            <w:pPr>
              <w:rPr>
                <w:sz w:val="24"/>
                <w:szCs w:val="24"/>
              </w:rPr>
            </w:pPr>
          </w:p>
        </w:tc>
      </w:tr>
      <w:tr w:rsidR="00AC12B4">
        <w:trPr>
          <w:trHeight w:val="301"/>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17-19 ans</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66,4</w:t>
            </w:r>
          </w:p>
        </w:tc>
        <w:tc>
          <w:tcPr>
            <w:tcW w:w="780" w:type="dxa"/>
            <w:vAlign w:val="bottom"/>
          </w:tcPr>
          <w:p w:rsidR="00AC12B4" w:rsidRDefault="00AC12B4">
            <w:pPr>
              <w:rPr>
                <w:sz w:val="24"/>
                <w:szCs w:val="24"/>
              </w:rPr>
            </w:pPr>
          </w:p>
        </w:tc>
      </w:tr>
      <w:tr w:rsidR="00AC12B4">
        <w:trPr>
          <w:trHeight w:val="542"/>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 xml:space="preserve">Niveau </w:t>
            </w:r>
            <w:r>
              <w:rPr>
                <w:rFonts w:ascii="Calibri" w:eastAsia="Calibri" w:hAnsi="Calibri" w:cs="Calibri"/>
                <w:color w:val="963266"/>
                <w:sz w:val="20"/>
                <w:szCs w:val="20"/>
              </w:rPr>
              <w:t>d'aisance</w:t>
            </w:r>
          </w:p>
        </w:tc>
        <w:tc>
          <w:tcPr>
            <w:tcW w:w="640" w:type="dxa"/>
            <w:vAlign w:val="bottom"/>
          </w:tcPr>
          <w:p w:rsidR="00AC12B4" w:rsidRDefault="00C27636">
            <w:pPr>
              <w:ind w:left="20"/>
              <w:jc w:val="center"/>
              <w:rPr>
                <w:sz w:val="20"/>
                <w:szCs w:val="20"/>
              </w:rPr>
            </w:pPr>
            <w:r>
              <w:rPr>
                <w:rFonts w:ascii="Calibri" w:eastAsia="Calibri" w:hAnsi="Calibri" w:cs="Calibri"/>
                <w:sz w:val="20"/>
                <w:szCs w:val="20"/>
              </w:rPr>
              <w:t>838</w:t>
            </w:r>
          </w:p>
        </w:tc>
        <w:tc>
          <w:tcPr>
            <w:tcW w:w="920" w:type="dxa"/>
            <w:vAlign w:val="bottom"/>
          </w:tcPr>
          <w:p w:rsidR="00AC12B4" w:rsidRDefault="00AC12B4">
            <w:pPr>
              <w:rPr>
                <w:sz w:val="24"/>
                <w:szCs w:val="24"/>
              </w:rPr>
            </w:pPr>
          </w:p>
        </w:tc>
        <w:tc>
          <w:tcPr>
            <w:tcW w:w="780" w:type="dxa"/>
            <w:vAlign w:val="bottom"/>
          </w:tcPr>
          <w:p w:rsidR="00AC12B4" w:rsidRDefault="00AC12B4">
            <w:pPr>
              <w:rPr>
                <w:sz w:val="24"/>
                <w:szCs w:val="24"/>
              </w:rPr>
            </w:pP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matérielle</w:t>
            </w:r>
          </w:p>
        </w:tc>
        <w:tc>
          <w:tcPr>
            <w:tcW w:w="640" w:type="dxa"/>
            <w:vAlign w:val="bottom"/>
          </w:tcPr>
          <w:p w:rsidR="00AC12B4" w:rsidRDefault="00C27636">
            <w:pPr>
              <w:ind w:left="40"/>
              <w:jc w:val="center"/>
              <w:rPr>
                <w:sz w:val="20"/>
                <w:szCs w:val="20"/>
              </w:rPr>
            </w:pPr>
            <w:r>
              <w:rPr>
                <w:rFonts w:ascii="Calibri" w:eastAsia="Calibri" w:hAnsi="Calibri" w:cs="Calibri"/>
                <w:w w:val="98"/>
                <w:sz w:val="20"/>
                <w:szCs w:val="20"/>
              </w:rPr>
              <w:t>7</w:t>
            </w:r>
          </w:p>
        </w:tc>
        <w:tc>
          <w:tcPr>
            <w:tcW w:w="920" w:type="dxa"/>
            <w:vAlign w:val="bottom"/>
          </w:tcPr>
          <w:p w:rsidR="00AC12B4" w:rsidRDefault="00AC12B4">
            <w:pPr>
              <w:rPr>
                <w:sz w:val="21"/>
                <w:szCs w:val="21"/>
              </w:rPr>
            </w:pPr>
          </w:p>
        </w:tc>
        <w:tc>
          <w:tcPr>
            <w:tcW w:w="780" w:type="dxa"/>
            <w:vAlign w:val="bottom"/>
          </w:tcPr>
          <w:p w:rsidR="00AC12B4" w:rsidRDefault="00C27636">
            <w:pPr>
              <w:jc w:val="center"/>
              <w:rPr>
                <w:sz w:val="20"/>
                <w:szCs w:val="20"/>
              </w:rPr>
            </w:pPr>
            <w:r>
              <w:rPr>
                <w:rFonts w:ascii="Calibri" w:eastAsia="Calibri" w:hAnsi="Calibri" w:cs="Calibri"/>
                <w:sz w:val="20"/>
                <w:szCs w:val="20"/>
              </w:rPr>
              <w:t>&lt;0,001</w:t>
            </w: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Faible</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55,1</w:t>
            </w:r>
          </w:p>
        </w:tc>
        <w:tc>
          <w:tcPr>
            <w:tcW w:w="78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Moyen</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68,4</w:t>
            </w:r>
          </w:p>
        </w:tc>
        <w:tc>
          <w:tcPr>
            <w:tcW w:w="78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Elevé</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70,9</w:t>
            </w:r>
          </w:p>
        </w:tc>
        <w:tc>
          <w:tcPr>
            <w:tcW w:w="780" w:type="dxa"/>
            <w:vAlign w:val="bottom"/>
          </w:tcPr>
          <w:p w:rsidR="00AC12B4" w:rsidRDefault="00AC12B4">
            <w:pPr>
              <w:rPr>
                <w:sz w:val="24"/>
                <w:szCs w:val="24"/>
              </w:rPr>
            </w:pPr>
          </w:p>
        </w:tc>
      </w:tr>
      <w:tr w:rsidR="00AC12B4">
        <w:trPr>
          <w:trHeight w:val="545"/>
        </w:trPr>
        <w:tc>
          <w:tcPr>
            <w:tcW w:w="1660" w:type="dxa"/>
            <w:vAlign w:val="bottom"/>
          </w:tcPr>
          <w:p w:rsidR="00AC12B4" w:rsidRDefault="00AC12B4">
            <w:pPr>
              <w:rPr>
                <w:sz w:val="24"/>
                <w:szCs w:val="24"/>
              </w:rPr>
            </w:pPr>
          </w:p>
        </w:tc>
        <w:tc>
          <w:tcPr>
            <w:tcW w:w="640" w:type="dxa"/>
            <w:vAlign w:val="bottom"/>
          </w:tcPr>
          <w:p w:rsidR="00AC12B4" w:rsidRDefault="00C27636">
            <w:pPr>
              <w:ind w:left="20"/>
              <w:jc w:val="center"/>
              <w:rPr>
                <w:sz w:val="20"/>
                <w:szCs w:val="20"/>
              </w:rPr>
            </w:pPr>
            <w:r>
              <w:rPr>
                <w:rFonts w:ascii="Calibri" w:eastAsia="Calibri" w:hAnsi="Calibri" w:cs="Calibri"/>
                <w:sz w:val="20"/>
                <w:szCs w:val="20"/>
              </w:rPr>
              <w:t>870</w:t>
            </w:r>
          </w:p>
        </w:tc>
        <w:tc>
          <w:tcPr>
            <w:tcW w:w="920" w:type="dxa"/>
            <w:vAlign w:val="bottom"/>
          </w:tcPr>
          <w:p w:rsidR="00AC12B4" w:rsidRDefault="00AC12B4">
            <w:pPr>
              <w:rPr>
                <w:sz w:val="24"/>
                <w:szCs w:val="24"/>
              </w:rPr>
            </w:pPr>
          </w:p>
        </w:tc>
        <w:tc>
          <w:tcPr>
            <w:tcW w:w="780" w:type="dxa"/>
            <w:vAlign w:val="bottom"/>
          </w:tcPr>
          <w:p w:rsidR="00AC12B4" w:rsidRDefault="00AC12B4">
            <w:pPr>
              <w:rPr>
                <w:sz w:val="24"/>
                <w:szCs w:val="24"/>
              </w:rPr>
            </w:pPr>
          </w:p>
        </w:tc>
      </w:tr>
      <w:tr w:rsidR="00AC12B4">
        <w:trPr>
          <w:trHeight w:val="242"/>
        </w:trPr>
        <w:tc>
          <w:tcPr>
            <w:tcW w:w="1660" w:type="dxa"/>
            <w:vAlign w:val="bottom"/>
          </w:tcPr>
          <w:p w:rsidR="00AC12B4" w:rsidRDefault="00C27636">
            <w:pPr>
              <w:spacing w:line="243" w:lineRule="exact"/>
              <w:ind w:left="60"/>
              <w:rPr>
                <w:sz w:val="20"/>
                <w:szCs w:val="20"/>
              </w:rPr>
            </w:pPr>
            <w:r>
              <w:rPr>
                <w:rFonts w:ascii="Calibri" w:eastAsia="Calibri" w:hAnsi="Calibri" w:cs="Calibri"/>
                <w:color w:val="963266"/>
                <w:sz w:val="20"/>
                <w:szCs w:val="20"/>
              </w:rPr>
              <w:t>Famille</w:t>
            </w:r>
          </w:p>
        </w:tc>
        <w:tc>
          <w:tcPr>
            <w:tcW w:w="640" w:type="dxa"/>
            <w:vAlign w:val="bottom"/>
          </w:tcPr>
          <w:p w:rsidR="00AC12B4" w:rsidRDefault="00C27636">
            <w:pPr>
              <w:spacing w:line="243" w:lineRule="exact"/>
              <w:ind w:left="40"/>
              <w:jc w:val="center"/>
              <w:rPr>
                <w:sz w:val="20"/>
                <w:szCs w:val="20"/>
              </w:rPr>
            </w:pPr>
            <w:r>
              <w:rPr>
                <w:rFonts w:ascii="Calibri" w:eastAsia="Calibri" w:hAnsi="Calibri" w:cs="Calibri"/>
                <w:w w:val="98"/>
                <w:sz w:val="20"/>
                <w:szCs w:val="20"/>
              </w:rPr>
              <w:t>4</w:t>
            </w:r>
          </w:p>
        </w:tc>
        <w:tc>
          <w:tcPr>
            <w:tcW w:w="920" w:type="dxa"/>
            <w:vAlign w:val="bottom"/>
          </w:tcPr>
          <w:p w:rsidR="00AC12B4" w:rsidRDefault="00AC12B4">
            <w:pPr>
              <w:rPr>
                <w:sz w:val="21"/>
                <w:szCs w:val="21"/>
              </w:rPr>
            </w:pPr>
          </w:p>
        </w:tc>
        <w:tc>
          <w:tcPr>
            <w:tcW w:w="780" w:type="dxa"/>
            <w:vAlign w:val="bottom"/>
          </w:tcPr>
          <w:p w:rsidR="00AC12B4" w:rsidRDefault="00C27636">
            <w:pPr>
              <w:spacing w:line="243" w:lineRule="exact"/>
              <w:jc w:val="center"/>
              <w:rPr>
                <w:sz w:val="20"/>
                <w:szCs w:val="20"/>
              </w:rPr>
            </w:pPr>
            <w:r>
              <w:rPr>
                <w:rFonts w:ascii="Calibri" w:eastAsia="Calibri" w:hAnsi="Calibri" w:cs="Calibri"/>
                <w:sz w:val="20"/>
                <w:szCs w:val="20"/>
              </w:rPr>
              <w:t>&lt;0,001</w:t>
            </w: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lastRenderedPageBreak/>
              <w:t>2 parents</w:t>
            </w:r>
          </w:p>
        </w:tc>
        <w:tc>
          <w:tcPr>
            <w:tcW w:w="640" w:type="dxa"/>
            <w:vAlign w:val="bottom"/>
          </w:tcPr>
          <w:p w:rsidR="00AC12B4" w:rsidRDefault="00AC12B4">
            <w:pPr>
              <w:rPr>
                <w:sz w:val="21"/>
                <w:szCs w:val="21"/>
              </w:rPr>
            </w:pPr>
          </w:p>
        </w:tc>
        <w:tc>
          <w:tcPr>
            <w:tcW w:w="920" w:type="dxa"/>
            <w:vAlign w:val="bottom"/>
          </w:tcPr>
          <w:p w:rsidR="00AC12B4" w:rsidRDefault="00AC12B4">
            <w:pPr>
              <w:rPr>
                <w:sz w:val="21"/>
                <w:szCs w:val="21"/>
              </w:rPr>
            </w:pPr>
          </w:p>
        </w:tc>
        <w:tc>
          <w:tcPr>
            <w:tcW w:w="780" w:type="dxa"/>
            <w:vAlign w:val="bottom"/>
          </w:tcPr>
          <w:p w:rsidR="00AC12B4" w:rsidRDefault="00AC12B4">
            <w:pPr>
              <w:rPr>
                <w:sz w:val="21"/>
                <w:szCs w:val="21"/>
              </w:rPr>
            </w:pP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biologiques</w:t>
            </w:r>
          </w:p>
        </w:tc>
        <w:tc>
          <w:tcPr>
            <w:tcW w:w="640" w:type="dxa"/>
            <w:vAlign w:val="bottom"/>
          </w:tcPr>
          <w:p w:rsidR="00AC12B4" w:rsidRDefault="00AC12B4">
            <w:pPr>
              <w:rPr>
                <w:sz w:val="21"/>
                <w:szCs w:val="21"/>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68,5</w:t>
            </w:r>
          </w:p>
        </w:tc>
        <w:tc>
          <w:tcPr>
            <w:tcW w:w="780" w:type="dxa"/>
            <w:vAlign w:val="bottom"/>
          </w:tcPr>
          <w:p w:rsidR="00AC12B4" w:rsidRDefault="00AC12B4">
            <w:pPr>
              <w:rPr>
                <w:sz w:val="21"/>
                <w:szCs w:val="21"/>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Autres</w:t>
            </w:r>
          </w:p>
        </w:tc>
        <w:tc>
          <w:tcPr>
            <w:tcW w:w="640" w:type="dxa"/>
            <w:vAlign w:val="bottom"/>
          </w:tcPr>
          <w:p w:rsidR="00AC12B4" w:rsidRDefault="00AC12B4">
            <w:pPr>
              <w:rPr>
                <w:sz w:val="24"/>
                <w:szCs w:val="24"/>
              </w:rPr>
            </w:pPr>
          </w:p>
        </w:tc>
        <w:tc>
          <w:tcPr>
            <w:tcW w:w="920" w:type="dxa"/>
            <w:vAlign w:val="bottom"/>
          </w:tcPr>
          <w:p w:rsidR="00AC12B4" w:rsidRDefault="00C27636">
            <w:pPr>
              <w:jc w:val="center"/>
              <w:rPr>
                <w:sz w:val="20"/>
                <w:szCs w:val="20"/>
              </w:rPr>
            </w:pPr>
            <w:r>
              <w:rPr>
                <w:rFonts w:ascii="Calibri" w:eastAsia="Calibri" w:hAnsi="Calibri" w:cs="Calibri"/>
                <w:w w:val="95"/>
                <w:sz w:val="20"/>
                <w:szCs w:val="20"/>
              </w:rPr>
              <w:t>64,4</w:t>
            </w:r>
          </w:p>
        </w:tc>
        <w:tc>
          <w:tcPr>
            <w:tcW w:w="78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28352" behindDoc="1" locked="0" layoutInCell="0" allowOverlap="1">
                <wp:simplePos x="0" y="0"/>
                <wp:positionH relativeFrom="column">
                  <wp:posOffset>-14605</wp:posOffset>
                </wp:positionH>
                <wp:positionV relativeFrom="paragraph">
                  <wp:posOffset>6985</wp:posOffset>
                </wp:positionV>
                <wp:extent cx="2558415" cy="0"/>
                <wp:effectExtent l="0" t="0" r="0" b="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55pt" to="200.3pt,0.55pt" o:allowincell="f" strokecolor="#000000" strokeweight="0.48pt"/>
            </w:pict>
          </mc:Fallback>
        </mc:AlternateContent>
      </w:r>
    </w:p>
    <w:p w:rsidR="00AC12B4" w:rsidRDefault="00AC12B4">
      <w:pPr>
        <w:spacing w:line="32" w:lineRule="exact"/>
        <w:rPr>
          <w:sz w:val="20"/>
          <w:szCs w:val="20"/>
        </w:rPr>
      </w:pPr>
    </w:p>
    <w:p w:rsidR="00AC12B4" w:rsidRDefault="00C27636">
      <w:pPr>
        <w:spacing w:line="225" w:lineRule="auto"/>
        <w:ind w:left="60" w:right="60"/>
        <w:jc w:val="both"/>
        <w:rPr>
          <w:sz w:val="20"/>
          <w:szCs w:val="20"/>
        </w:rPr>
      </w:pPr>
      <w:r>
        <w:rPr>
          <w:rFonts w:ascii="Calibri" w:eastAsia="Calibri" w:hAnsi="Calibri" w:cs="Calibri"/>
          <w:b/>
          <w:bCs/>
          <w:color w:val="4F81BD"/>
          <w:sz w:val="18"/>
          <w:szCs w:val="18"/>
        </w:rPr>
        <w:t xml:space="preserve">Table 1. Facteurs associés au sentiment de sécurité dans son quartier parmi les jeunes en </w:t>
      </w:r>
      <w:r>
        <w:rPr>
          <w:rFonts w:ascii="Calibri" w:eastAsia="Calibri" w:hAnsi="Calibri" w:cs="Calibri"/>
          <w:b/>
          <w:bCs/>
          <w:color w:val="4F81BD"/>
          <w:sz w:val="18"/>
          <w:szCs w:val="18"/>
        </w:rPr>
        <w:t>Communauté flamande, HBSC 2014.</w:t>
      </w:r>
    </w:p>
    <w:p w:rsidR="00AC12B4" w:rsidRDefault="00AC12B4">
      <w:pPr>
        <w:spacing w:line="247" w:lineRule="exact"/>
        <w:rPr>
          <w:sz w:val="20"/>
          <w:szCs w:val="20"/>
        </w:rPr>
      </w:pPr>
    </w:p>
    <w:p w:rsidR="00AC12B4" w:rsidRDefault="00C27636">
      <w:pPr>
        <w:spacing w:line="233" w:lineRule="auto"/>
        <w:ind w:left="60" w:right="60"/>
        <w:jc w:val="both"/>
        <w:rPr>
          <w:sz w:val="20"/>
          <w:szCs w:val="20"/>
        </w:rPr>
      </w:pPr>
      <w:r>
        <w:rPr>
          <w:rFonts w:ascii="Calibri" w:eastAsia="Calibri" w:hAnsi="Calibri" w:cs="Calibri"/>
        </w:rPr>
        <w:t>La proportion de jeunes qui rapportent qu'ils peuvent trouver de l'aide auprès de leurs voisins ne varie pas en fonction du genre. Elle diminue avec l'âge et elle augmente lorsque le niveau d'aisance matérielle de la famill</w:t>
      </w:r>
      <w:r>
        <w:rPr>
          <w:rFonts w:ascii="Calibri" w:eastAsia="Calibri" w:hAnsi="Calibri" w:cs="Calibri"/>
        </w:rPr>
        <w:t>e augmente. Elle est plus élevée parmi les jeunes qui vivent</w:t>
      </w:r>
    </w:p>
    <w:p w:rsidR="00AC12B4" w:rsidRDefault="00AC12B4">
      <w:pPr>
        <w:spacing w:line="5" w:lineRule="exact"/>
        <w:rPr>
          <w:sz w:val="20"/>
          <w:szCs w:val="20"/>
        </w:rPr>
      </w:pPr>
    </w:p>
    <w:p w:rsidR="00AC12B4" w:rsidRDefault="00C27636">
      <w:pPr>
        <w:tabs>
          <w:tab w:val="left" w:pos="1060"/>
          <w:tab w:val="left" w:pos="2120"/>
          <w:tab w:val="left" w:pos="3180"/>
        </w:tabs>
        <w:ind w:left="60"/>
        <w:rPr>
          <w:sz w:val="20"/>
          <w:szCs w:val="20"/>
        </w:rPr>
      </w:pPr>
      <w:r>
        <w:rPr>
          <w:rFonts w:ascii="Calibri" w:eastAsia="Calibri" w:hAnsi="Calibri" w:cs="Calibri"/>
        </w:rPr>
        <w:t>avec</w:t>
      </w:r>
      <w:r>
        <w:rPr>
          <w:sz w:val="20"/>
          <w:szCs w:val="20"/>
        </w:rPr>
        <w:tab/>
      </w:r>
      <w:r>
        <w:rPr>
          <w:rFonts w:ascii="Calibri" w:eastAsia="Calibri" w:hAnsi="Calibri" w:cs="Calibri"/>
        </w:rPr>
        <w:t>leurs</w:t>
      </w:r>
      <w:r>
        <w:rPr>
          <w:sz w:val="20"/>
          <w:szCs w:val="20"/>
        </w:rPr>
        <w:tab/>
      </w:r>
      <w:r>
        <w:rPr>
          <w:rFonts w:ascii="Calibri" w:eastAsia="Calibri" w:hAnsi="Calibri" w:cs="Calibri"/>
        </w:rPr>
        <w:t>deux</w:t>
      </w:r>
      <w:r>
        <w:rPr>
          <w:sz w:val="20"/>
          <w:szCs w:val="20"/>
        </w:rPr>
        <w:tab/>
      </w:r>
      <w:r>
        <w:rPr>
          <w:rFonts w:ascii="Calibri" w:eastAsia="Calibri" w:hAnsi="Calibri" w:cs="Calibri"/>
        </w:rPr>
        <w:t>parents.</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333" w:lineRule="exact"/>
        <w:rPr>
          <w:sz w:val="20"/>
          <w:szCs w:val="20"/>
        </w:rPr>
      </w:pPr>
    </w:p>
    <w:p w:rsidR="00AC12B4" w:rsidRDefault="00AC12B4">
      <w:pPr>
        <w:spacing w:line="1" w:lineRule="exact"/>
        <w:rPr>
          <w:sz w:val="1"/>
          <w:szCs w:val="1"/>
        </w:rPr>
      </w:pPr>
    </w:p>
    <w:tbl>
      <w:tblPr>
        <w:tblW w:w="0" w:type="auto"/>
        <w:tblInd w:w="400" w:type="dxa"/>
        <w:tblLayout w:type="fixed"/>
        <w:tblCellMar>
          <w:left w:w="0" w:type="dxa"/>
          <w:right w:w="0" w:type="dxa"/>
        </w:tblCellMar>
        <w:tblLook w:val="04A0" w:firstRow="1" w:lastRow="0" w:firstColumn="1" w:lastColumn="0" w:noHBand="0" w:noVBand="1"/>
      </w:tblPr>
      <w:tblGrid>
        <w:gridCol w:w="1660"/>
        <w:gridCol w:w="740"/>
        <w:gridCol w:w="820"/>
        <w:gridCol w:w="800"/>
      </w:tblGrid>
      <w:tr w:rsidR="00AC12B4">
        <w:trPr>
          <w:trHeight w:val="244"/>
        </w:trPr>
        <w:tc>
          <w:tcPr>
            <w:tcW w:w="1660" w:type="dxa"/>
            <w:vAlign w:val="bottom"/>
          </w:tcPr>
          <w:p w:rsidR="00AC12B4" w:rsidRDefault="00AC12B4">
            <w:pPr>
              <w:rPr>
                <w:sz w:val="21"/>
                <w:szCs w:val="21"/>
              </w:rPr>
            </w:pPr>
          </w:p>
        </w:tc>
        <w:tc>
          <w:tcPr>
            <w:tcW w:w="740" w:type="dxa"/>
            <w:vAlign w:val="bottom"/>
          </w:tcPr>
          <w:p w:rsidR="00AC12B4" w:rsidRDefault="00AC12B4">
            <w:pPr>
              <w:rPr>
                <w:sz w:val="21"/>
                <w:szCs w:val="21"/>
              </w:rPr>
            </w:pPr>
          </w:p>
        </w:tc>
        <w:tc>
          <w:tcPr>
            <w:tcW w:w="820" w:type="dxa"/>
            <w:vAlign w:val="bottom"/>
          </w:tcPr>
          <w:p w:rsidR="00AC12B4" w:rsidRDefault="00C27636">
            <w:pPr>
              <w:jc w:val="center"/>
              <w:rPr>
                <w:sz w:val="20"/>
                <w:szCs w:val="20"/>
              </w:rPr>
            </w:pPr>
            <w:r>
              <w:rPr>
                <w:rFonts w:ascii="Calibri" w:eastAsia="Calibri" w:hAnsi="Calibri" w:cs="Calibri"/>
                <w:color w:val="963266"/>
                <w:sz w:val="20"/>
                <w:szCs w:val="20"/>
              </w:rPr>
              <w:t>Quartie</w:t>
            </w:r>
          </w:p>
        </w:tc>
        <w:tc>
          <w:tcPr>
            <w:tcW w:w="800" w:type="dxa"/>
            <w:vAlign w:val="bottom"/>
          </w:tcPr>
          <w:p w:rsidR="00AC12B4" w:rsidRDefault="00AC12B4">
            <w:pPr>
              <w:rPr>
                <w:sz w:val="21"/>
                <w:szCs w:val="21"/>
              </w:rPr>
            </w:pPr>
          </w:p>
        </w:tc>
      </w:tr>
      <w:tr w:rsidR="00AC12B4">
        <w:trPr>
          <w:trHeight w:val="246"/>
        </w:trPr>
        <w:tc>
          <w:tcPr>
            <w:tcW w:w="1660" w:type="dxa"/>
            <w:tcBorders>
              <w:bottom w:val="single" w:sz="8" w:space="0" w:color="963266"/>
            </w:tcBorders>
            <w:vAlign w:val="bottom"/>
          </w:tcPr>
          <w:p w:rsidR="00AC12B4" w:rsidRDefault="00AC12B4">
            <w:pPr>
              <w:rPr>
                <w:sz w:val="21"/>
                <w:szCs w:val="21"/>
              </w:rPr>
            </w:pPr>
          </w:p>
        </w:tc>
        <w:tc>
          <w:tcPr>
            <w:tcW w:w="740" w:type="dxa"/>
            <w:tcBorders>
              <w:bottom w:val="single" w:sz="8" w:space="0" w:color="963266"/>
            </w:tcBorders>
            <w:vAlign w:val="bottom"/>
          </w:tcPr>
          <w:p w:rsidR="00AC12B4" w:rsidRDefault="00C27636">
            <w:pPr>
              <w:spacing w:line="243" w:lineRule="exact"/>
              <w:ind w:left="20"/>
              <w:jc w:val="center"/>
              <w:rPr>
                <w:sz w:val="20"/>
                <w:szCs w:val="20"/>
              </w:rPr>
            </w:pPr>
            <w:r>
              <w:rPr>
                <w:rFonts w:ascii="Calibri" w:eastAsia="Calibri" w:hAnsi="Calibri" w:cs="Calibri"/>
                <w:color w:val="963266"/>
                <w:sz w:val="20"/>
                <w:szCs w:val="20"/>
              </w:rPr>
              <w:t>N</w:t>
            </w:r>
          </w:p>
        </w:tc>
        <w:tc>
          <w:tcPr>
            <w:tcW w:w="820" w:type="dxa"/>
            <w:tcBorders>
              <w:bottom w:val="single" w:sz="8" w:space="0" w:color="963266"/>
            </w:tcBorders>
            <w:vAlign w:val="bottom"/>
          </w:tcPr>
          <w:p w:rsidR="00AC12B4" w:rsidRDefault="00C27636">
            <w:pPr>
              <w:spacing w:line="243" w:lineRule="exact"/>
              <w:jc w:val="center"/>
              <w:rPr>
                <w:sz w:val="20"/>
                <w:szCs w:val="20"/>
              </w:rPr>
            </w:pPr>
            <w:r>
              <w:rPr>
                <w:rFonts w:ascii="Calibri" w:eastAsia="Calibri" w:hAnsi="Calibri" w:cs="Calibri"/>
                <w:color w:val="963266"/>
                <w:w w:val="99"/>
                <w:sz w:val="20"/>
                <w:szCs w:val="20"/>
              </w:rPr>
              <w:t>r aide</w:t>
            </w:r>
          </w:p>
        </w:tc>
        <w:tc>
          <w:tcPr>
            <w:tcW w:w="800" w:type="dxa"/>
            <w:tcBorders>
              <w:bottom w:val="single" w:sz="8" w:space="0" w:color="963266"/>
            </w:tcBorders>
            <w:vAlign w:val="bottom"/>
          </w:tcPr>
          <w:p w:rsidR="00AC12B4" w:rsidRDefault="00C27636">
            <w:pPr>
              <w:spacing w:line="243" w:lineRule="exact"/>
              <w:jc w:val="center"/>
              <w:rPr>
                <w:sz w:val="20"/>
                <w:szCs w:val="20"/>
              </w:rPr>
            </w:pPr>
            <w:r>
              <w:rPr>
                <w:rFonts w:ascii="Calibri" w:eastAsia="Calibri" w:hAnsi="Calibri" w:cs="Calibri"/>
                <w:color w:val="963266"/>
                <w:w w:val="94"/>
                <w:sz w:val="20"/>
                <w:szCs w:val="20"/>
              </w:rPr>
              <w:t>p</w:t>
            </w:r>
          </w:p>
        </w:tc>
      </w:tr>
      <w:tr w:rsidR="00AC12B4">
        <w:trPr>
          <w:trHeight w:val="288"/>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Genre</w:t>
            </w:r>
          </w:p>
        </w:tc>
        <w:tc>
          <w:tcPr>
            <w:tcW w:w="740" w:type="dxa"/>
            <w:vAlign w:val="bottom"/>
          </w:tcPr>
          <w:p w:rsidR="00AC12B4" w:rsidRDefault="00C27636">
            <w:pPr>
              <w:jc w:val="center"/>
              <w:rPr>
                <w:sz w:val="20"/>
                <w:szCs w:val="20"/>
              </w:rPr>
            </w:pPr>
            <w:r>
              <w:rPr>
                <w:rFonts w:ascii="Calibri" w:eastAsia="Calibri" w:hAnsi="Calibri" w:cs="Calibri"/>
                <w:w w:val="98"/>
                <w:sz w:val="20"/>
                <w:szCs w:val="20"/>
              </w:rPr>
              <w:t>8703</w:t>
            </w:r>
          </w:p>
        </w:tc>
        <w:tc>
          <w:tcPr>
            <w:tcW w:w="82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8"/>
                <w:sz w:val="20"/>
                <w:szCs w:val="20"/>
              </w:rPr>
              <w:t>n.s.</w:t>
            </w: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Garçons</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64,7</w:t>
            </w:r>
          </w:p>
        </w:tc>
        <w:tc>
          <w:tcPr>
            <w:tcW w:w="80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Filles</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66,4</w:t>
            </w:r>
          </w:p>
        </w:tc>
        <w:tc>
          <w:tcPr>
            <w:tcW w:w="800" w:type="dxa"/>
            <w:vAlign w:val="bottom"/>
          </w:tcPr>
          <w:p w:rsidR="00AC12B4" w:rsidRDefault="00AC12B4">
            <w:pPr>
              <w:rPr>
                <w:sz w:val="24"/>
                <w:szCs w:val="24"/>
              </w:rPr>
            </w:pPr>
          </w:p>
        </w:tc>
      </w:tr>
      <w:tr w:rsidR="00AC12B4">
        <w:trPr>
          <w:trHeight w:val="6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Age</w:t>
            </w:r>
          </w:p>
        </w:tc>
        <w:tc>
          <w:tcPr>
            <w:tcW w:w="740" w:type="dxa"/>
            <w:vAlign w:val="bottom"/>
          </w:tcPr>
          <w:p w:rsidR="00AC12B4" w:rsidRDefault="00C27636">
            <w:pPr>
              <w:jc w:val="center"/>
              <w:rPr>
                <w:sz w:val="20"/>
                <w:szCs w:val="20"/>
              </w:rPr>
            </w:pPr>
            <w:r>
              <w:rPr>
                <w:rFonts w:ascii="Calibri" w:eastAsia="Calibri" w:hAnsi="Calibri" w:cs="Calibri"/>
                <w:w w:val="98"/>
                <w:sz w:val="20"/>
                <w:szCs w:val="20"/>
              </w:rPr>
              <w:t>8562</w:t>
            </w:r>
          </w:p>
        </w:tc>
        <w:tc>
          <w:tcPr>
            <w:tcW w:w="82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sz w:val="20"/>
                <w:szCs w:val="20"/>
              </w:rPr>
              <w:t>&lt;0,01</w:t>
            </w: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10-12 ans</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68,0</w:t>
            </w:r>
          </w:p>
        </w:tc>
        <w:tc>
          <w:tcPr>
            <w:tcW w:w="80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13-14 ans</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66,8</w:t>
            </w:r>
          </w:p>
        </w:tc>
        <w:tc>
          <w:tcPr>
            <w:tcW w:w="80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15-16 ans</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65,3</w:t>
            </w:r>
          </w:p>
        </w:tc>
        <w:tc>
          <w:tcPr>
            <w:tcW w:w="80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17-19 ans</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62,6</w:t>
            </w:r>
          </w:p>
        </w:tc>
        <w:tc>
          <w:tcPr>
            <w:tcW w:w="800" w:type="dxa"/>
            <w:vAlign w:val="bottom"/>
          </w:tcPr>
          <w:p w:rsidR="00AC12B4" w:rsidRDefault="00AC12B4">
            <w:pPr>
              <w:rPr>
                <w:sz w:val="24"/>
                <w:szCs w:val="24"/>
              </w:rPr>
            </w:pPr>
          </w:p>
        </w:tc>
      </w:tr>
      <w:tr w:rsidR="00AC12B4">
        <w:trPr>
          <w:trHeight w:val="543"/>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Niveau d'aisance</w:t>
            </w:r>
          </w:p>
        </w:tc>
        <w:tc>
          <w:tcPr>
            <w:tcW w:w="740" w:type="dxa"/>
            <w:vAlign w:val="bottom"/>
          </w:tcPr>
          <w:p w:rsidR="00AC12B4" w:rsidRDefault="00AC12B4">
            <w:pPr>
              <w:rPr>
                <w:sz w:val="24"/>
                <w:szCs w:val="24"/>
              </w:rPr>
            </w:pPr>
          </w:p>
        </w:tc>
        <w:tc>
          <w:tcPr>
            <w:tcW w:w="820" w:type="dxa"/>
            <w:vAlign w:val="bottom"/>
          </w:tcPr>
          <w:p w:rsidR="00AC12B4" w:rsidRDefault="00AC12B4">
            <w:pPr>
              <w:rPr>
                <w:sz w:val="24"/>
                <w:szCs w:val="24"/>
              </w:rPr>
            </w:pPr>
          </w:p>
        </w:tc>
        <w:tc>
          <w:tcPr>
            <w:tcW w:w="800" w:type="dxa"/>
            <w:vAlign w:val="bottom"/>
          </w:tcPr>
          <w:p w:rsidR="00AC12B4" w:rsidRDefault="00AC12B4">
            <w:pPr>
              <w:rPr>
                <w:sz w:val="24"/>
                <w:szCs w:val="24"/>
              </w:rPr>
            </w:pP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matérielle</w:t>
            </w:r>
          </w:p>
        </w:tc>
        <w:tc>
          <w:tcPr>
            <w:tcW w:w="740" w:type="dxa"/>
            <w:vAlign w:val="bottom"/>
          </w:tcPr>
          <w:p w:rsidR="00AC12B4" w:rsidRDefault="00C27636">
            <w:pPr>
              <w:jc w:val="center"/>
              <w:rPr>
                <w:sz w:val="20"/>
                <w:szCs w:val="20"/>
              </w:rPr>
            </w:pPr>
            <w:r>
              <w:rPr>
                <w:rFonts w:ascii="Calibri" w:eastAsia="Calibri" w:hAnsi="Calibri" w:cs="Calibri"/>
                <w:w w:val="98"/>
                <w:sz w:val="20"/>
                <w:szCs w:val="20"/>
              </w:rPr>
              <w:t>8387</w:t>
            </w:r>
          </w:p>
        </w:tc>
        <w:tc>
          <w:tcPr>
            <w:tcW w:w="820" w:type="dxa"/>
            <w:vAlign w:val="bottom"/>
          </w:tcPr>
          <w:p w:rsidR="00AC12B4" w:rsidRDefault="00AC12B4">
            <w:pPr>
              <w:rPr>
                <w:sz w:val="21"/>
                <w:szCs w:val="21"/>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Faible</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55,7</w:t>
            </w:r>
          </w:p>
        </w:tc>
        <w:tc>
          <w:tcPr>
            <w:tcW w:w="80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Moyen</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66,0</w:t>
            </w:r>
          </w:p>
        </w:tc>
        <w:tc>
          <w:tcPr>
            <w:tcW w:w="800" w:type="dxa"/>
            <w:vAlign w:val="bottom"/>
          </w:tcPr>
          <w:p w:rsidR="00AC12B4" w:rsidRDefault="00AC12B4">
            <w:pPr>
              <w:rPr>
                <w:sz w:val="24"/>
                <w:szCs w:val="24"/>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Elevé</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69,2</w:t>
            </w:r>
          </w:p>
        </w:tc>
        <w:tc>
          <w:tcPr>
            <w:tcW w:w="800" w:type="dxa"/>
            <w:vAlign w:val="bottom"/>
          </w:tcPr>
          <w:p w:rsidR="00AC12B4" w:rsidRDefault="00AC12B4">
            <w:pPr>
              <w:rPr>
                <w:sz w:val="24"/>
                <w:szCs w:val="24"/>
              </w:rPr>
            </w:pPr>
          </w:p>
        </w:tc>
      </w:tr>
      <w:tr w:rsidR="00AC12B4">
        <w:trPr>
          <w:trHeight w:val="6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Famille</w:t>
            </w:r>
          </w:p>
        </w:tc>
        <w:tc>
          <w:tcPr>
            <w:tcW w:w="740" w:type="dxa"/>
            <w:vAlign w:val="bottom"/>
          </w:tcPr>
          <w:p w:rsidR="00AC12B4" w:rsidRDefault="00C27636">
            <w:pPr>
              <w:jc w:val="center"/>
              <w:rPr>
                <w:sz w:val="20"/>
                <w:szCs w:val="20"/>
              </w:rPr>
            </w:pPr>
            <w:r>
              <w:rPr>
                <w:rFonts w:ascii="Calibri" w:eastAsia="Calibri" w:hAnsi="Calibri" w:cs="Calibri"/>
                <w:w w:val="98"/>
                <w:sz w:val="20"/>
                <w:szCs w:val="20"/>
              </w:rPr>
              <w:t>8703</w:t>
            </w:r>
          </w:p>
        </w:tc>
        <w:tc>
          <w:tcPr>
            <w:tcW w:w="82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2 parents</w:t>
            </w:r>
          </w:p>
        </w:tc>
        <w:tc>
          <w:tcPr>
            <w:tcW w:w="740" w:type="dxa"/>
            <w:vAlign w:val="bottom"/>
          </w:tcPr>
          <w:p w:rsidR="00AC12B4" w:rsidRDefault="00AC12B4">
            <w:pPr>
              <w:rPr>
                <w:sz w:val="21"/>
                <w:szCs w:val="21"/>
              </w:rPr>
            </w:pPr>
          </w:p>
        </w:tc>
        <w:tc>
          <w:tcPr>
            <w:tcW w:w="820" w:type="dxa"/>
            <w:vAlign w:val="bottom"/>
          </w:tcPr>
          <w:p w:rsidR="00AC12B4" w:rsidRDefault="00AC12B4">
            <w:pPr>
              <w:rPr>
                <w:sz w:val="21"/>
                <w:szCs w:val="21"/>
              </w:rPr>
            </w:pPr>
          </w:p>
        </w:tc>
        <w:tc>
          <w:tcPr>
            <w:tcW w:w="800" w:type="dxa"/>
            <w:vAlign w:val="bottom"/>
          </w:tcPr>
          <w:p w:rsidR="00AC12B4" w:rsidRDefault="00AC12B4">
            <w:pPr>
              <w:rPr>
                <w:sz w:val="21"/>
                <w:szCs w:val="21"/>
              </w:rPr>
            </w:pPr>
          </w:p>
        </w:tc>
      </w:tr>
      <w:tr w:rsidR="00AC12B4">
        <w:trPr>
          <w:trHeight w:val="245"/>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t>biologiques</w:t>
            </w:r>
          </w:p>
        </w:tc>
        <w:tc>
          <w:tcPr>
            <w:tcW w:w="740" w:type="dxa"/>
            <w:vAlign w:val="bottom"/>
          </w:tcPr>
          <w:p w:rsidR="00AC12B4" w:rsidRDefault="00AC12B4">
            <w:pPr>
              <w:rPr>
                <w:sz w:val="21"/>
                <w:szCs w:val="21"/>
              </w:rPr>
            </w:pPr>
          </w:p>
        </w:tc>
        <w:tc>
          <w:tcPr>
            <w:tcW w:w="820" w:type="dxa"/>
            <w:vAlign w:val="bottom"/>
          </w:tcPr>
          <w:p w:rsidR="00AC12B4" w:rsidRDefault="00C27636">
            <w:pPr>
              <w:jc w:val="center"/>
              <w:rPr>
                <w:sz w:val="20"/>
                <w:szCs w:val="20"/>
              </w:rPr>
            </w:pPr>
            <w:r>
              <w:rPr>
                <w:rFonts w:ascii="Calibri" w:eastAsia="Calibri" w:hAnsi="Calibri" w:cs="Calibri"/>
                <w:sz w:val="20"/>
                <w:szCs w:val="20"/>
              </w:rPr>
              <w:t>67,3</w:t>
            </w:r>
          </w:p>
        </w:tc>
        <w:tc>
          <w:tcPr>
            <w:tcW w:w="800" w:type="dxa"/>
            <w:vAlign w:val="bottom"/>
          </w:tcPr>
          <w:p w:rsidR="00AC12B4" w:rsidRDefault="00AC12B4">
            <w:pPr>
              <w:rPr>
                <w:sz w:val="21"/>
                <w:szCs w:val="21"/>
              </w:rPr>
            </w:pPr>
          </w:p>
        </w:tc>
      </w:tr>
      <w:tr w:rsidR="00AC12B4">
        <w:trPr>
          <w:trHeight w:val="300"/>
        </w:trPr>
        <w:tc>
          <w:tcPr>
            <w:tcW w:w="1660" w:type="dxa"/>
            <w:vAlign w:val="bottom"/>
          </w:tcPr>
          <w:p w:rsidR="00AC12B4" w:rsidRDefault="00C27636">
            <w:pPr>
              <w:ind w:left="60"/>
              <w:rPr>
                <w:sz w:val="20"/>
                <w:szCs w:val="20"/>
              </w:rPr>
            </w:pPr>
            <w:r>
              <w:rPr>
                <w:rFonts w:ascii="Calibri" w:eastAsia="Calibri" w:hAnsi="Calibri" w:cs="Calibri"/>
                <w:color w:val="963266"/>
                <w:sz w:val="20"/>
                <w:szCs w:val="20"/>
              </w:rPr>
              <w:lastRenderedPageBreak/>
              <w:t>Autres</w:t>
            </w:r>
          </w:p>
        </w:tc>
        <w:tc>
          <w:tcPr>
            <w:tcW w:w="740" w:type="dxa"/>
            <w:vAlign w:val="bottom"/>
          </w:tcPr>
          <w:p w:rsidR="00AC12B4" w:rsidRDefault="00AC12B4">
            <w:pPr>
              <w:rPr>
                <w:sz w:val="24"/>
                <w:szCs w:val="24"/>
              </w:rPr>
            </w:pPr>
          </w:p>
        </w:tc>
        <w:tc>
          <w:tcPr>
            <w:tcW w:w="820" w:type="dxa"/>
            <w:vAlign w:val="bottom"/>
          </w:tcPr>
          <w:p w:rsidR="00AC12B4" w:rsidRDefault="00C27636">
            <w:pPr>
              <w:jc w:val="center"/>
              <w:rPr>
                <w:sz w:val="20"/>
                <w:szCs w:val="20"/>
              </w:rPr>
            </w:pPr>
            <w:r>
              <w:rPr>
                <w:rFonts w:ascii="Calibri" w:eastAsia="Calibri" w:hAnsi="Calibri" w:cs="Calibri"/>
                <w:sz w:val="20"/>
                <w:szCs w:val="20"/>
              </w:rPr>
              <w:t>60,9</w:t>
            </w:r>
          </w:p>
        </w:tc>
        <w:tc>
          <w:tcPr>
            <w:tcW w:w="80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29376" behindDoc="1" locked="0" layoutInCell="0" allowOverlap="1">
                <wp:simplePos x="0" y="0"/>
                <wp:positionH relativeFrom="column">
                  <wp:posOffset>241935</wp:posOffset>
                </wp:positionH>
                <wp:positionV relativeFrom="paragraph">
                  <wp:posOffset>5715</wp:posOffset>
                </wp:positionV>
                <wp:extent cx="2559050" cy="0"/>
                <wp:effectExtent l="0" t="0" r="0" b="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9050" cy="4763"/>
                        </a:xfrm>
                        <a:prstGeom prst="line">
                          <a:avLst/>
                        </a:prstGeom>
                        <a:solidFill>
                          <a:srgbClr val="FFFFFF"/>
                        </a:solidFill>
                        <a:ln w="6095">
                          <a:solidFill>
                            <a:srgbClr val="963266"/>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5pt,0.45pt" to="220.55pt,0.45pt" o:allowincell="f" strokecolor="#963266" strokeweight="0.4799pt"/>
            </w:pict>
          </mc:Fallback>
        </mc:AlternateContent>
      </w:r>
    </w:p>
    <w:p w:rsidR="00AC12B4" w:rsidRDefault="00AC12B4">
      <w:pPr>
        <w:spacing w:line="30" w:lineRule="exact"/>
        <w:rPr>
          <w:sz w:val="20"/>
          <w:szCs w:val="20"/>
        </w:rPr>
      </w:pPr>
    </w:p>
    <w:p w:rsidR="00AC12B4" w:rsidRDefault="00C27636">
      <w:pPr>
        <w:spacing w:line="225" w:lineRule="auto"/>
        <w:ind w:left="460" w:right="737"/>
        <w:jc w:val="both"/>
        <w:rPr>
          <w:sz w:val="20"/>
          <w:szCs w:val="20"/>
        </w:rPr>
      </w:pPr>
      <w:r>
        <w:rPr>
          <w:rFonts w:ascii="Calibri" w:eastAsia="Calibri" w:hAnsi="Calibri" w:cs="Calibri"/>
          <w:b/>
          <w:bCs/>
          <w:color w:val="4F81BD"/>
          <w:sz w:val="18"/>
          <w:szCs w:val="18"/>
        </w:rPr>
        <w:t xml:space="preserve">Table 2. Facteurs associés à la possibilité de trouver de l’aide auprès de ses voisins parmi </w:t>
      </w:r>
      <w:r>
        <w:rPr>
          <w:rFonts w:ascii="Calibri" w:eastAsia="Calibri" w:hAnsi="Calibri" w:cs="Calibri"/>
          <w:b/>
          <w:bCs/>
          <w:color w:val="4F81BD"/>
          <w:sz w:val="18"/>
          <w:szCs w:val="18"/>
        </w:rPr>
        <w:t>les jeunes en Communauté flamande, HBSC 2014.</w:t>
      </w:r>
    </w:p>
    <w:p w:rsidR="00AC12B4" w:rsidRDefault="00AC12B4">
      <w:pPr>
        <w:spacing w:line="205" w:lineRule="exact"/>
        <w:rPr>
          <w:sz w:val="20"/>
          <w:szCs w:val="20"/>
        </w:rPr>
      </w:pPr>
    </w:p>
    <w:p w:rsidR="00AC12B4" w:rsidRDefault="00C27636">
      <w:pPr>
        <w:ind w:left="460"/>
        <w:rPr>
          <w:sz w:val="20"/>
          <w:szCs w:val="20"/>
        </w:rPr>
      </w:pPr>
      <w:r>
        <w:rPr>
          <w:rFonts w:ascii="Cambria" w:eastAsia="Cambria" w:hAnsi="Cambria" w:cs="Cambria"/>
          <w:b/>
          <w:bCs/>
          <w:i/>
          <w:iCs/>
          <w:color w:val="963266"/>
          <w:sz w:val="26"/>
          <w:szCs w:val="26"/>
        </w:rPr>
        <w:t>D’où viennent ces chiffres ?</w:t>
      </w:r>
    </w:p>
    <w:p w:rsidR="00AC12B4" w:rsidRDefault="00AC12B4">
      <w:pPr>
        <w:spacing w:line="166" w:lineRule="exact"/>
        <w:rPr>
          <w:sz w:val="20"/>
          <w:szCs w:val="20"/>
        </w:rPr>
      </w:pPr>
    </w:p>
    <w:p w:rsidR="00AC12B4" w:rsidRDefault="00C27636">
      <w:pPr>
        <w:numPr>
          <w:ilvl w:val="0"/>
          <w:numId w:val="48"/>
        </w:numPr>
        <w:tabs>
          <w:tab w:val="left" w:pos="1180"/>
        </w:tabs>
        <w:ind w:left="1180" w:hanging="355"/>
        <w:rPr>
          <w:rFonts w:ascii="Wingdings" w:eastAsia="Wingdings" w:hAnsi="Wingdings" w:cs="Wingdings"/>
          <w:color w:val="C95C96"/>
        </w:rPr>
      </w:pPr>
      <w:r>
        <w:rPr>
          <w:rFonts w:ascii="Cambria" w:eastAsia="Cambria" w:hAnsi="Cambria" w:cs="Cambria"/>
          <w:i/>
          <w:iCs/>
          <w:color w:val="C95C96"/>
        </w:rPr>
        <w:t>HBSC</w:t>
      </w:r>
    </w:p>
    <w:p w:rsidR="00AC12B4" w:rsidRDefault="00AC12B4">
      <w:pPr>
        <w:spacing w:line="202" w:lineRule="exact"/>
        <w:rPr>
          <w:sz w:val="20"/>
          <w:szCs w:val="20"/>
        </w:rPr>
      </w:pPr>
    </w:p>
    <w:p w:rsidR="00AC12B4" w:rsidRDefault="00C27636">
      <w:pPr>
        <w:spacing w:line="233" w:lineRule="auto"/>
        <w:ind w:left="460" w:right="737"/>
        <w:jc w:val="both"/>
        <w:rPr>
          <w:sz w:val="20"/>
          <w:szCs w:val="20"/>
        </w:rPr>
      </w:pPr>
      <w:r>
        <w:rPr>
          <w:rFonts w:ascii="Calibri" w:eastAsia="Calibri" w:hAnsi="Calibri" w:cs="Calibri"/>
        </w:rPr>
        <w:t xml:space="preserve">L’enquête «Health Behaviour in School-aged Children» est une enquête internationale à laquelle participent 40 pays (ou régions), réalisée tous les 4 ans. En Belgique, elle </w:t>
      </w:r>
      <w:r>
        <w:rPr>
          <w:rFonts w:ascii="Calibri" w:eastAsia="Calibri" w:hAnsi="Calibri" w:cs="Calibri"/>
        </w:rPr>
        <w:t>est réalisée au niveau de la FWB par l’ULB (SIPES ) et en Communauté flamande par l’UGent.</w:t>
      </w:r>
    </w:p>
    <w:p w:rsidR="00AC12B4" w:rsidRDefault="00AC12B4">
      <w:pPr>
        <w:spacing w:line="174" w:lineRule="exact"/>
        <w:rPr>
          <w:sz w:val="20"/>
          <w:szCs w:val="20"/>
        </w:rPr>
      </w:pPr>
    </w:p>
    <w:p w:rsidR="00AC12B4" w:rsidRDefault="00C27636">
      <w:pPr>
        <w:spacing w:line="225" w:lineRule="auto"/>
        <w:ind w:left="460" w:right="737"/>
        <w:jc w:val="both"/>
        <w:rPr>
          <w:sz w:val="20"/>
          <w:szCs w:val="20"/>
        </w:rPr>
      </w:pPr>
      <w:r>
        <w:rPr>
          <w:rFonts w:ascii="Calibri" w:eastAsia="Calibri" w:hAnsi="Calibri" w:cs="Calibri"/>
        </w:rPr>
        <w:t>Cette enquête par questionnaire a lieu tous les quatre ans. Son public cible sont les enfants scolarisés de plus de 10 ans.</w:t>
      </w:r>
    </w:p>
    <w:p w:rsidR="00AC12B4" w:rsidRDefault="00AC12B4">
      <w:pPr>
        <w:spacing w:line="172" w:lineRule="exact"/>
        <w:rPr>
          <w:sz w:val="20"/>
          <w:szCs w:val="20"/>
        </w:rPr>
      </w:pPr>
    </w:p>
    <w:p w:rsidR="00AC12B4" w:rsidRDefault="00C27636">
      <w:pPr>
        <w:spacing w:line="218" w:lineRule="auto"/>
        <w:ind w:left="460" w:right="737"/>
        <w:jc w:val="both"/>
        <w:rPr>
          <w:sz w:val="20"/>
          <w:szCs w:val="20"/>
        </w:rPr>
      </w:pPr>
      <w:r>
        <w:rPr>
          <w:rFonts w:ascii="Calibri" w:eastAsia="Calibri" w:hAnsi="Calibri" w:cs="Calibri"/>
        </w:rPr>
        <w:t>Note : Les données de comparaisons inte</w:t>
      </w:r>
      <w:r>
        <w:rPr>
          <w:rFonts w:ascii="Calibri" w:eastAsia="Calibri" w:hAnsi="Calibri" w:cs="Calibri"/>
        </w:rPr>
        <w:t>rnationales seront disponibles mi 2016.</w:t>
      </w:r>
    </w:p>
    <w:p w:rsidR="00AC12B4" w:rsidRDefault="00AC12B4">
      <w:pPr>
        <w:spacing w:line="128" w:lineRule="exact"/>
        <w:rPr>
          <w:sz w:val="20"/>
          <w:szCs w:val="20"/>
        </w:rPr>
      </w:pPr>
    </w:p>
    <w:p w:rsidR="00AC12B4" w:rsidRDefault="00C27636">
      <w:pPr>
        <w:numPr>
          <w:ilvl w:val="0"/>
          <w:numId w:val="49"/>
        </w:numPr>
        <w:tabs>
          <w:tab w:val="left" w:pos="1180"/>
        </w:tabs>
        <w:ind w:left="1180" w:hanging="355"/>
        <w:rPr>
          <w:rFonts w:ascii="Wingdings" w:eastAsia="Wingdings" w:hAnsi="Wingdings" w:cs="Wingdings"/>
          <w:color w:val="C95C96"/>
        </w:rPr>
      </w:pPr>
      <w:r>
        <w:rPr>
          <w:rFonts w:ascii="Cambria" w:eastAsia="Cambria" w:hAnsi="Cambria" w:cs="Cambria"/>
          <w:i/>
          <w:iCs/>
          <w:color w:val="C95C96"/>
        </w:rPr>
        <w:t>Limite de la mesure</w:t>
      </w:r>
    </w:p>
    <w:p w:rsidR="00AC12B4" w:rsidRDefault="00AC12B4">
      <w:pPr>
        <w:spacing w:line="199" w:lineRule="exact"/>
        <w:rPr>
          <w:sz w:val="20"/>
          <w:szCs w:val="20"/>
        </w:rPr>
      </w:pPr>
    </w:p>
    <w:p w:rsidR="00AC12B4" w:rsidRDefault="00C27636">
      <w:pPr>
        <w:spacing w:line="225" w:lineRule="auto"/>
        <w:ind w:left="460" w:right="737"/>
        <w:jc w:val="both"/>
        <w:rPr>
          <w:sz w:val="20"/>
          <w:szCs w:val="20"/>
        </w:rPr>
      </w:pPr>
      <w:r>
        <w:rPr>
          <w:rFonts w:ascii="Calibri" w:eastAsia="Calibri" w:hAnsi="Calibri" w:cs="Calibri"/>
        </w:rPr>
        <w:t>Actuellement, cette enquête n’est pas menée au niveau de la Communauté germanophone.</w:t>
      </w:r>
    </w:p>
    <w:p w:rsidR="00AC12B4" w:rsidRDefault="00AC12B4">
      <w:pPr>
        <w:spacing w:line="171" w:lineRule="exact"/>
        <w:rPr>
          <w:sz w:val="20"/>
          <w:szCs w:val="20"/>
        </w:rPr>
      </w:pPr>
    </w:p>
    <w:p w:rsidR="00AC12B4" w:rsidRDefault="00C27636">
      <w:pPr>
        <w:spacing w:line="218" w:lineRule="auto"/>
        <w:ind w:left="460" w:right="737"/>
        <w:jc w:val="both"/>
        <w:rPr>
          <w:sz w:val="20"/>
          <w:szCs w:val="20"/>
        </w:rPr>
      </w:pPr>
      <w:r>
        <w:rPr>
          <w:rFonts w:ascii="Calibri" w:eastAsia="Calibri" w:hAnsi="Calibri" w:cs="Calibri"/>
        </w:rPr>
        <w:t>De plus, les élèves de l’enseignement spécialisé ne sont pas interrogés.</w:t>
      </w:r>
    </w:p>
    <w:p w:rsidR="00AC12B4" w:rsidRDefault="00AC12B4">
      <w:pPr>
        <w:spacing w:line="202" w:lineRule="exact"/>
        <w:rPr>
          <w:sz w:val="20"/>
          <w:szCs w:val="20"/>
        </w:rPr>
      </w:pPr>
    </w:p>
    <w:p w:rsidR="00AC12B4" w:rsidRDefault="00C27636">
      <w:pPr>
        <w:rPr>
          <w:sz w:val="20"/>
          <w:szCs w:val="20"/>
        </w:rPr>
      </w:pPr>
      <w:r>
        <w:rPr>
          <w:rFonts w:ascii="Calibri" w:eastAsia="Calibri" w:hAnsi="Calibri" w:cs="Calibri"/>
        </w:rPr>
        <w:t>54</w:t>
      </w:r>
    </w:p>
    <w:p w:rsidR="00AC12B4" w:rsidRDefault="00AC12B4">
      <w:pPr>
        <w:sectPr w:rsidR="00AC12B4">
          <w:pgSz w:w="12080" w:h="17179"/>
          <w:pgMar w:top="1440" w:right="1440" w:bottom="659" w:left="430" w:header="0" w:footer="0" w:gutter="0"/>
          <w:cols w:num="3" w:space="720" w:equalWidth="0">
            <w:col w:w="342" w:space="608"/>
            <w:col w:w="4000" w:space="180"/>
            <w:col w:w="5077"/>
          </w:cols>
        </w:sectPr>
      </w:pPr>
    </w:p>
    <w:bookmarkStart w:id="54" w:name="page55"/>
    <w:bookmarkEnd w:id="54"/>
    <w:p w:rsidR="00AC12B4" w:rsidRDefault="00C27636">
      <w:pPr>
        <w:spacing w:line="249" w:lineRule="exact"/>
        <w:rPr>
          <w:sz w:val="20"/>
          <w:szCs w:val="20"/>
        </w:rPr>
      </w:pPr>
      <w:r>
        <w:rPr>
          <w:noProof/>
          <w:sz w:val="20"/>
          <w:szCs w:val="20"/>
        </w:rPr>
        <w:lastRenderedPageBreak/>
        <mc:AlternateContent>
          <mc:Choice Requires="wps">
            <w:drawing>
              <wp:anchor distT="0" distB="0" distL="114300" distR="114300" simplePos="0" relativeHeight="251430400" behindDoc="1" locked="0" layoutInCell="0" allowOverlap="1">
                <wp:simplePos x="0" y="0"/>
                <wp:positionH relativeFrom="page">
                  <wp:posOffset>3552190</wp:posOffset>
                </wp:positionH>
                <wp:positionV relativeFrom="page">
                  <wp:posOffset>882650</wp:posOffset>
                </wp:positionV>
                <wp:extent cx="0" cy="3834130"/>
                <wp:effectExtent l="0" t="0" r="0" b="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834130"/>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9.7pt,69.5pt" to="279.7pt,371.4pt" o:allowincell="f" strokecolor="#C95C96" strokeweight="2pt">
                <w10:wrap anchorx="page" anchory="page"/>
              </v:line>
            </w:pict>
          </mc:Fallback>
        </mc:AlternateContent>
      </w:r>
      <w:r>
        <w:rPr>
          <w:noProof/>
          <w:sz w:val="20"/>
          <w:szCs w:val="20"/>
        </w:rPr>
        <mc:AlternateContent>
          <mc:Choice Requires="wps">
            <w:drawing>
              <wp:anchor distT="0" distB="0" distL="114300" distR="114300" simplePos="0" relativeHeight="251431424" behindDoc="1" locked="0" layoutInCell="0" allowOverlap="1">
                <wp:simplePos x="0" y="0"/>
                <wp:positionH relativeFrom="page">
                  <wp:posOffset>530225</wp:posOffset>
                </wp:positionH>
                <wp:positionV relativeFrom="page">
                  <wp:posOffset>895350</wp:posOffset>
                </wp:positionV>
                <wp:extent cx="3034665" cy="0"/>
                <wp:effectExtent l="0" t="0" r="0" b="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1.75pt,70.5pt" to="280.7pt,70.5pt" o:allowincell="f" strokecolor="#C95C96" strokeweight="2pt">
                <w10:wrap anchorx="page" anchory="page"/>
              </v:line>
            </w:pict>
          </mc:Fallback>
        </mc:AlternateContent>
      </w:r>
      <w:r>
        <w:rPr>
          <w:noProof/>
          <w:sz w:val="20"/>
          <w:szCs w:val="20"/>
        </w:rPr>
        <mc:AlternateContent>
          <mc:Choice Requires="wps">
            <w:drawing>
              <wp:anchor distT="0" distB="0" distL="114300" distR="114300" simplePos="0" relativeHeight="251432448" behindDoc="1" locked="0" layoutInCell="0" allowOverlap="1">
                <wp:simplePos x="0" y="0"/>
                <wp:positionH relativeFrom="page">
                  <wp:posOffset>542925</wp:posOffset>
                </wp:positionH>
                <wp:positionV relativeFrom="page">
                  <wp:posOffset>882650</wp:posOffset>
                </wp:positionV>
                <wp:extent cx="0" cy="3834130"/>
                <wp:effectExtent l="0" t="0" r="0" b="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834130"/>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75pt,69.5pt" to="42.75pt,371.4pt" o:allowincell="f" strokecolor="#C95C96" strokeweight="2pt">
                <w10:wrap anchorx="page" anchory="page"/>
              </v:line>
            </w:pict>
          </mc:Fallback>
        </mc:AlternateContent>
      </w:r>
      <w:r>
        <w:rPr>
          <w:noProof/>
          <w:sz w:val="20"/>
          <w:szCs w:val="20"/>
        </w:rPr>
        <mc:AlternateContent>
          <mc:Choice Requires="wps">
            <w:drawing>
              <wp:anchor distT="0" distB="0" distL="114300" distR="114300" simplePos="0" relativeHeight="251433472" behindDoc="1" locked="0" layoutInCell="0" allowOverlap="1">
                <wp:simplePos x="0" y="0"/>
                <wp:positionH relativeFrom="page">
                  <wp:posOffset>530225</wp:posOffset>
                </wp:positionH>
                <wp:positionV relativeFrom="page">
                  <wp:posOffset>4704080</wp:posOffset>
                </wp:positionV>
                <wp:extent cx="3034665" cy="0"/>
                <wp:effectExtent l="0" t="0" r="0" b="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1.75pt,370.4pt" to="280.7pt,370.4pt" o:allowincell="f" strokecolor="#C95C96" strokeweight="2pt">
                <w10:wrap anchorx="page" anchory="page"/>
              </v:line>
            </w:pict>
          </mc:Fallback>
        </mc:AlternateContent>
      </w:r>
    </w:p>
    <w:p w:rsidR="00AC12B4" w:rsidRDefault="00C27636">
      <w:pPr>
        <w:rPr>
          <w:sz w:val="20"/>
          <w:szCs w:val="20"/>
        </w:rPr>
      </w:pPr>
      <w:r>
        <w:rPr>
          <w:rFonts w:eastAsia="Times New Roman"/>
          <w:b/>
          <w:bCs/>
          <w:color w:val="963266"/>
          <w:sz w:val="20"/>
          <w:szCs w:val="20"/>
        </w:rPr>
        <w:t>Question dans l’enquête HBSC :</w:t>
      </w:r>
    </w:p>
    <w:p w:rsidR="00AC12B4" w:rsidRDefault="00AC12B4">
      <w:pPr>
        <w:spacing w:line="274" w:lineRule="exact"/>
        <w:rPr>
          <w:sz w:val="20"/>
          <w:szCs w:val="20"/>
        </w:rPr>
      </w:pPr>
    </w:p>
    <w:p w:rsidR="00AC12B4" w:rsidRDefault="00C27636">
      <w:pPr>
        <w:numPr>
          <w:ilvl w:val="0"/>
          <w:numId w:val="50"/>
        </w:numPr>
        <w:tabs>
          <w:tab w:val="left" w:pos="720"/>
        </w:tabs>
        <w:spacing w:line="212" w:lineRule="auto"/>
        <w:ind w:left="720" w:right="440" w:hanging="360"/>
        <w:jc w:val="both"/>
        <w:rPr>
          <w:rFonts w:ascii="Wingdings" w:eastAsia="Wingdings" w:hAnsi="Wingdings" w:cs="Wingdings"/>
          <w:color w:val="963266"/>
          <w:sz w:val="40"/>
          <w:szCs w:val="40"/>
          <w:vertAlign w:val="superscript"/>
        </w:rPr>
      </w:pPr>
      <w:r>
        <w:rPr>
          <w:rFonts w:ascii="Calibri" w:eastAsia="Calibri" w:hAnsi="Calibri" w:cs="Calibri"/>
          <w:i/>
          <w:iCs/>
          <w:color w:val="963266"/>
          <w:sz w:val="20"/>
          <w:szCs w:val="20"/>
        </w:rPr>
        <w:t>« Dans quelle mesure trouves-tu que le quartier dans lequel tu vis est riche et agréable (avec de belles maisons, des espaces publiques bien entretenus, …) ? »</w:t>
      </w:r>
    </w:p>
    <w:p w:rsidR="00AC12B4" w:rsidRDefault="00AC12B4">
      <w:pPr>
        <w:spacing w:line="84" w:lineRule="exact"/>
        <w:rPr>
          <w:rFonts w:ascii="Wingdings" w:eastAsia="Wingdings" w:hAnsi="Wingdings" w:cs="Wingdings"/>
          <w:color w:val="963266"/>
          <w:sz w:val="40"/>
          <w:szCs w:val="40"/>
          <w:vertAlign w:val="superscript"/>
        </w:rPr>
      </w:pPr>
    </w:p>
    <w:p w:rsidR="00AC12B4" w:rsidRDefault="00C27636">
      <w:pPr>
        <w:spacing w:line="235" w:lineRule="auto"/>
        <w:ind w:left="720" w:right="440"/>
        <w:rPr>
          <w:rFonts w:ascii="Wingdings" w:eastAsia="Wingdings" w:hAnsi="Wingdings" w:cs="Wingdings"/>
          <w:color w:val="963266"/>
          <w:sz w:val="40"/>
          <w:szCs w:val="40"/>
          <w:vertAlign w:val="superscript"/>
        </w:rPr>
      </w:pPr>
      <w:r>
        <w:rPr>
          <w:rFonts w:ascii="Calibri" w:eastAsia="Calibri" w:hAnsi="Calibri" w:cs="Calibri"/>
          <w:i/>
          <w:iCs/>
          <w:color w:val="963266"/>
          <w:sz w:val="20"/>
          <w:szCs w:val="20"/>
        </w:rPr>
        <w:t>(primaire et secondaire en 2010 et uniquement secondaire en</w:t>
      </w:r>
      <w:r>
        <w:rPr>
          <w:rFonts w:ascii="Calibri" w:eastAsia="Calibri" w:hAnsi="Calibri" w:cs="Calibri"/>
          <w:i/>
          <w:iCs/>
          <w:color w:val="963266"/>
          <w:sz w:val="20"/>
          <w:szCs w:val="20"/>
        </w:rPr>
        <w:t xml:space="preserve"> 2014)</w:t>
      </w:r>
    </w:p>
    <w:p w:rsidR="00AC12B4" w:rsidRDefault="00AC12B4">
      <w:pPr>
        <w:spacing w:line="83" w:lineRule="exact"/>
        <w:rPr>
          <w:rFonts w:ascii="Wingdings" w:eastAsia="Wingdings" w:hAnsi="Wingdings" w:cs="Wingdings"/>
          <w:color w:val="963266"/>
          <w:sz w:val="40"/>
          <w:szCs w:val="40"/>
          <w:vertAlign w:val="superscript"/>
        </w:rPr>
      </w:pPr>
    </w:p>
    <w:p w:rsidR="00AC12B4" w:rsidRDefault="00C27636">
      <w:pPr>
        <w:numPr>
          <w:ilvl w:val="0"/>
          <w:numId w:val="50"/>
        </w:numPr>
        <w:tabs>
          <w:tab w:val="left" w:pos="720"/>
        </w:tabs>
        <w:spacing w:line="195" w:lineRule="auto"/>
        <w:ind w:left="720" w:right="460" w:hanging="360"/>
        <w:jc w:val="both"/>
        <w:rPr>
          <w:rFonts w:ascii="Wingdings" w:eastAsia="Wingdings" w:hAnsi="Wingdings" w:cs="Wingdings"/>
          <w:color w:val="963266"/>
          <w:sz w:val="40"/>
          <w:szCs w:val="40"/>
          <w:vertAlign w:val="superscript"/>
        </w:rPr>
      </w:pPr>
      <w:r>
        <w:rPr>
          <w:rFonts w:ascii="Calibri" w:eastAsia="Calibri" w:hAnsi="Calibri" w:cs="Calibri"/>
          <w:i/>
          <w:iCs/>
          <w:color w:val="963266"/>
          <w:sz w:val="20"/>
          <w:szCs w:val="20"/>
        </w:rPr>
        <w:t>« Dans mon quartier, on peut se promener ou jouer tout seul en toute sécurité durant la journée » (2014 primaire)</w:t>
      </w:r>
    </w:p>
    <w:p w:rsidR="00AC12B4" w:rsidRDefault="00AC12B4">
      <w:pPr>
        <w:spacing w:line="365" w:lineRule="exact"/>
        <w:rPr>
          <w:rFonts w:ascii="Wingdings" w:eastAsia="Wingdings" w:hAnsi="Wingdings" w:cs="Wingdings"/>
          <w:color w:val="963266"/>
          <w:sz w:val="40"/>
          <w:szCs w:val="40"/>
          <w:vertAlign w:val="superscript"/>
        </w:rPr>
      </w:pPr>
    </w:p>
    <w:p w:rsidR="00AC12B4" w:rsidRDefault="00C27636">
      <w:pPr>
        <w:spacing w:line="267" w:lineRule="auto"/>
        <w:ind w:left="720" w:right="440"/>
        <w:jc w:val="both"/>
        <w:rPr>
          <w:rFonts w:ascii="Wingdings" w:eastAsia="Wingdings" w:hAnsi="Wingdings" w:cs="Wingdings"/>
          <w:color w:val="963266"/>
          <w:sz w:val="40"/>
          <w:szCs w:val="40"/>
          <w:vertAlign w:val="superscript"/>
        </w:rPr>
      </w:pPr>
      <w:r>
        <w:rPr>
          <w:rFonts w:ascii="Calibri" w:eastAsia="Calibri" w:hAnsi="Calibri" w:cs="Calibri"/>
          <w:i/>
          <w:iCs/>
          <w:color w:val="963266"/>
          <w:sz w:val="20"/>
          <w:szCs w:val="20"/>
        </w:rPr>
        <w:t xml:space="preserve">Ces questions sont légèrement divergentes de celles utilisées en Flandre. Nous avons opté pour les questions les plus pertinentes et </w:t>
      </w:r>
      <w:r>
        <w:rPr>
          <w:rFonts w:ascii="Calibri" w:eastAsia="Calibri" w:hAnsi="Calibri" w:cs="Calibri"/>
          <w:i/>
          <w:iCs/>
          <w:color w:val="963266"/>
          <w:sz w:val="20"/>
          <w:szCs w:val="20"/>
        </w:rPr>
        <w:t>en même temps suffisamment comparables (FL : "Mensen zeggen er goedendag en praten regelmatig met elkaar op straat" (2006, 2014, pas 2010))</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0" w:lineRule="exact"/>
        <w:rPr>
          <w:sz w:val="20"/>
          <w:szCs w:val="20"/>
        </w:rPr>
      </w:pPr>
    </w:p>
    <w:p w:rsidR="00AC12B4" w:rsidRDefault="00C27636">
      <w:pPr>
        <w:spacing w:line="232" w:lineRule="auto"/>
        <w:ind w:left="980"/>
        <w:jc w:val="both"/>
        <w:rPr>
          <w:sz w:val="20"/>
          <w:szCs w:val="20"/>
        </w:rPr>
      </w:pPr>
      <w:r>
        <w:rPr>
          <w:rFonts w:ascii="Calibri" w:eastAsia="Calibri" w:hAnsi="Calibri" w:cs="Calibri"/>
        </w:rPr>
        <w:t>Seuls les élèves présents le jour de l’enquête remplissent le questionnaire. Cela signifie que les élèves absents</w:t>
      </w:r>
      <w:r>
        <w:rPr>
          <w:rFonts w:ascii="Calibri" w:eastAsia="Calibri" w:hAnsi="Calibri" w:cs="Calibri"/>
        </w:rPr>
        <w:t xml:space="preserve"> car malades, non-scolarisés, ou séchant les cours ne sont pas repris dans cette enquête.</w:t>
      </w:r>
    </w:p>
    <w:p w:rsidR="00AC12B4" w:rsidRDefault="00AC12B4">
      <w:pPr>
        <w:spacing w:line="173" w:lineRule="exact"/>
        <w:rPr>
          <w:sz w:val="20"/>
          <w:szCs w:val="20"/>
        </w:rPr>
      </w:pPr>
    </w:p>
    <w:p w:rsidR="00AC12B4" w:rsidRDefault="00C27636">
      <w:pPr>
        <w:spacing w:line="231" w:lineRule="auto"/>
        <w:ind w:left="980"/>
        <w:jc w:val="both"/>
        <w:rPr>
          <w:sz w:val="20"/>
          <w:szCs w:val="20"/>
        </w:rPr>
      </w:pPr>
      <w:r>
        <w:rPr>
          <w:rFonts w:ascii="Calibri" w:eastAsia="Calibri" w:hAnsi="Calibri" w:cs="Calibri"/>
        </w:rPr>
        <w:t xml:space="preserve">Les questions présentes actuellement dans les enquêtes HBSC ne couvrent que très partiellement l’aspect du « capital social » du lieu de vie des enfants. (cf. </w:t>
      </w:r>
      <w:r>
        <w:rPr>
          <w:rFonts w:ascii="Calibri" w:eastAsia="Calibri" w:hAnsi="Calibri" w:cs="Calibri"/>
        </w:rPr>
        <w:t>recommandations)</w:t>
      </w:r>
    </w:p>
    <w:p w:rsidR="00AC12B4" w:rsidRDefault="00AC12B4">
      <w:pPr>
        <w:spacing w:line="130" w:lineRule="exact"/>
        <w:rPr>
          <w:sz w:val="20"/>
          <w:szCs w:val="20"/>
        </w:rPr>
      </w:pPr>
    </w:p>
    <w:p w:rsidR="00AC12B4" w:rsidRDefault="00C27636">
      <w:pPr>
        <w:numPr>
          <w:ilvl w:val="0"/>
          <w:numId w:val="51"/>
        </w:numPr>
        <w:tabs>
          <w:tab w:val="left" w:pos="1700"/>
        </w:tabs>
        <w:ind w:left="1700" w:hanging="353"/>
        <w:rPr>
          <w:rFonts w:ascii="Wingdings" w:eastAsia="Wingdings" w:hAnsi="Wingdings" w:cs="Wingdings"/>
          <w:color w:val="C95C96"/>
        </w:rPr>
      </w:pPr>
      <w:r>
        <w:rPr>
          <w:rFonts w:ascii="Cambria" w:eastAsia="Cambria" w:hAnsi="Cambria" w:cs="Cambria"/>
          <w:i/>
          <w:iCs/>
          <w:color w:val="C95C96"/>
        </w:rPr>
        <w:t>Recommandations</w:t>
      </w:r>
    </w:p>
    <w:p w:rsidR="00AC12B4" w:rsidRDefault="00AC12B4">
      <w:pPr>
        <w:spacing w:line="199" w:lineRule="exact"/>
        <w:rPr>
          <w:sz w:val="20"/>
          <w:szCs w:val="20"/>
        </w:rPr>
      </w:pPr>
    </w:p>
    <w:p w:rsidR="00AC12B4" w:rsidRDefault="00C27636">
      <w:pPr>
        <w:spacing w:line="218" w:lineRule="auto"/>
        <w:ind w:left="980"/>
        <w:jc w:val="both"/>
        <w:rPr>
          <w:sz w:val="20"/>
          <w:szCs w:val="20"/>
        </w:rPr>
      </w:pPr>
      <w:r>
        <w:rPr>
          <w:rFonts w:ascii="Calibri" w:eastAsia="Calibri" w:hAnsi="Calibri" w:cs="Calibri"/>
        </w:rPr>
        <w:t>L’Enquête HBSC devrait être étendue aux élèves de l’enseignement spécialisé.</w:t>
      </w:r>
    </w:p>
    <w:p w:rsidR="00AC12B4" w:rsidRDefault="00AC12B4">
      <w:pPr>
        <w:spacing w:line="170" w:lineRule="exact"/>
        <w:rPr>
          <w:sz w:val="20"/>
          <w:szCs w:val="20"/>
        </w:rPr>
      </w:pPr>
    </w:p>
    <w:p w:rsidR="00AC12B4" w:rsidRDefault="00C27636">
      <w:pPr>
        <w:spacing w:line="218" w:lineRule="auto"/>
        <w:ind w:left="980"/>
        <w:jc w:val="both"/>
        <w:rPr>
          <w:sz w:val="20"/>
          <w:szCs w:val="20"/>
        </w:rPr>
      </w:pPr>
      <w:r>
        <w:rPr>
          <w:rFonts w:ascii="Calibri" w:eastAsia="Calibri" w:hAnsi="Calibri" w:cs="Calibri"/>
        </w:rPr>
        <w:t>La Communauté germanophone devrait participer à cette enquête.</w:t>
      </w:r>
    </w:p>
    <w:p w:rsidR="00AC12B4" w:rsidRDefault="00AC12B4">
      <w:pPr>
        <w:spacing w:line="170" w:lineRule="exact"/>
        <w:rPr>
          <w:sz w:val="20"/>
          <w:szCs w:val="20"/>
        </w:rPr>
      </w:pPr>
    </w:p>
    <w:p w:rsidR="00AC12B4" w:rsidRDefault="00C27636">
      <w:pPr>
        <w:spacing w:line="232" w:lineRule="auto"/>
        <w:ind w:left="980"/>
        <w:jc w:val="both"/>
        <w:rPr>
          <w:sz w:val="20"/>
          <w:szCs w:val="20"/>
        </w:rPr>
      </w:pPr>
      <w:r>
        <w:rPr>
          <w:rFonts w:ascii="Calibri" w:eastAsia="Calibri" w:hAnsi="Calibri" w:cs="Calibri"/>
        </w:rPr>
        <w:t xml:space="preserve">Pour les enquêtes suivantes (à partir de 2018) HBSC FWB et HBSC Flandre devraient reprendre la question suivante, déjà posée en enseignement primaire et secondaire flamand : « </w:t>
      </w:r>
      <w:r>
        <w:rPr>
          <w:rFonts w:ascii="Calibri" w:eastAsia="Calibri" w:hAnsi="Calibri" w:cs="Calibri"/>
          <w:i/>
          <w:iCs/>
        </w:rPr>
        <w:t>Je peux demander</w:t>
      </w:r>
      <w:r>
        <w:rPr>
          <w:rFonts w:ascii="Calibri" w:eastAsia="Calibri" w:hAnsi="Calibri" w:cs="Calibri"/>
        </w:rPr>
        <w:t xml:space="preserve"> </w:t>
      </w:r>
      <w:r>
        <w:rPr>
          <w:rFonts w:ascii="Calibri" w:eastAsia="Calibri" w:hAnsi="Calibri" w:cs="Calibri"/>
          <w:i/>
          <w:iCs/>
        </w:rPr>
        <w:t xml:space="preserve">de l’aide ou du soutien à mes voisins </w:t>
      </w:r>
      <w:r>
        <w:rPr>
          <w:rFonts w:ascii="Calibri" w:eastAsia="Calibri" w:hAnsi="Calibri" w:cs="Calibri"/>
        </w:rPr>
        <w:t>».</w:t>
      </w:r>
    </w:p>
    <w:p w:rsidR="00AC12B4" w:rsidRDefault="00C27636">
      <w:pPr>
        <w:spacing w:line="20" w:lineRule="exact"/>
        <w:rPr>
          <w:sz w:val="20"/>
          <w:szCs w:val="20"/>
        </w:rPr>
      </w:pPr>
      <w:r>
        <w:rPr>
          <w:sz w:val="20"/>
          <w:szCs w:val="20"/>
        </w:rPr>
        <w:br w:type="column"/>
      </w:r>
    </w:p>
    <w:p w:rsidR="00AC12B4" w:rsidRDefault="00AC12B4">
      <w:pPr>
        <w:spacing w:line="149" w:lineRule="exact"/>
        <w:rPr>
          <w:sz w:val="20"/>
          <w:szCs w:val="20"/>
        </w:rPr>
      </w:pPr>
    </w:p>
    <w:p w:rsidR="00AC12B4" w:rsidRDefault="00C27636">
      <w:pPr>
        <w:rPr>
          <w:sz w:val="20"/>
          <w:szCs w:val="20"/>
        </w:rPr>
      </w:pPr>
      <w:r>
        <w:rPr>
          <w:rFonts w:ascii="Cambria" w:eastAsia="Cambria" w:hAnsi="Cambria" w:cs="Cambria"/>
          <w:b/>
          <w:bCs/>
          <w:i/>
          <w:iCs/>
          <w:color w:val="963266"/>
          <w:sz w:val="26"/>
          <w:szCs w:val="26"/>
        </w:rPr>
        <w:t>Pour aller plus loi</w:t>
      </w:r>
      <w:r>
        <w:rPr>
          <w:rFonts w:ascii="Cambria" w:eastAsia="Cambria" w:hAnsi="Cambria" w:cs="Cambria"/>
          <w:b/>
          <w:bCs/>
          <w:i/>
          <w:iCs/>
          <w:color w:val="963266"/>
          <w:sz w:val="26"/>
          <w:szCs w:val="26"/>
        </w:rPr>
        <w:t>n</w:t>
      </w:r>
    </w:p>
    <w:p w:rsidR="00AC12B4" w:rsidRDefault="00AC12B4">
      <w:pPr>
        <w:spacing w:line="66" w:lineRule="exact"/>
        <w:rPr>
          <w:sz w:val="20"/>
          <w:szCs w:val="20"/>
        </w:rPr>
      </w:pPr>
    </w:p>
    <w:p w:rsidR="00AC12B4" w:rsidRDefault="00C27636">
      <w:pPr>
        <w:tabs>
          <w:tab w:val="left" w:pos="400"/>
          <w:tab w:val="left" w:pos="1440"/>
          <w:tab w:val="left" w:pos="3060"/>
          <w:tab w:val="left" w:pos="3800"/>
        </w:tabs>
        <w:ind w:left="60"/>
        <w:rPr>
          <w:sz w:val="20"/>
          <w:szCs w:val="20"/>
        </w:rPr>
      </w:pPr>
      <w:r>
        <w:rPr>
          <w:rFonts w:ascii="Symbol" w:eastAsia="Symbol" w:hAnsi="Symbol" w:cs="Symbol"/>
          <w:sz w:val="20"/>
          <w:szCs w:val="20"/>
        </w:rPr>
        <w:t></w:t>
      </w:r>
      <w:r>
        <w:rPr>
          <w:sz w:val="20"/>
          <w:szCs w:val="20"/>
        </w:rPr>
        <w:tab/>
      </w:r>
      <w:r>
        <w:rPr>
          <w:rFonts w:ascii="Calibri" w:eastAsia="Calibri" w:hAnsi="Calibri" w:cs="Calibri"/>
          <w:b/>
          <w:bCs/>
          <w:i/>
          <w:iCs/>
          <w:color w:val="C95C96"/>
          <w:sz w:val="20"/>
          <w:szCs w:val="20"/>
        </w:rPr>
        <w:t>Indicateur</w:t>
      </w:r>
      <w:r>
        <w:rPr>
          <w:rFonts w:ascii="Calibri" w:eastAsia="Calibri" w:hAnsi="Calibri" w:cs="Calibri"/>
          <w:b/>
          <w:bCs/>
          <w:i/>
          <w:iCs/>
          <w:color w:val="C95C96"/>
          <w:sz w:val="20"/>
          <w:szCs w:val="20"/>
        </w:rPr>
        <w:tab/>
        <w:t>« environnement</w:t>
      </w:r>
      <w:r>
        <w:rPr>
          <w:rFonts w:ascii="Calibri" w:eastAsia="Calibri" w:hAnsi="Calibri" w:cs="Calibri"/>
          <w:b/>
          <w:bCs/>
          <w:i/>
          <w:iCs/>
          <w:color w:val="C95C96"/>
          <w:sz w:val="20"/>
          <w:szCs w:val="20"/>
        </w:rPr>
        <w:tab/>
        <w:t xml:space="preserve">sain </w:t>
      </w:r>
      <w:r>
        <w:rPr>
          <w:rFonts w:ascii="Calibri" w:eastAsia="Calibri" w:hAnsi="Calibri" w:cs="Calibri"/>
          <w:color w:val="C95C96"/>
          <w:sz w:val="20"/>
          <w:szCs w:val="20"/>
        </w:rPr>
        <w:t>»</w:t>
      </w:r>
      <w:r>
        <w:rPr>
          <w:rFonts w:ascii="Calibri" w:eastAsia="Calibri" w:hAnsi="Calibri" w:cs="Calibri"/>
          <w:b/>
          <w:bCs/>
          <w:i/>
          <w:iCs/>
          <w:color w:val="9BBB59"/>
          <w:sz w:val="20"/>
          <w:szCs w:val="20"/>
        </w:rPr>
        <w:tab/>
        <w:t>:</w:t>
      </w:r>
    </w:p>
    <w:p w:rsidR="00AC12B4" w:rsidRDefault="00AC12B4">
      <w:pPr>
        <w:spacing w:line="85" w:lineRule="exact"/>
        <w:rPr>
          <w:sz w:val="20"/>
          <w:szCs w:val="20"/>
        </w:rPr>
      </w:pPr>
    </w:p>
    <w:p w:rsidR="00AC12B4" w:rsidRDefault="00C27636">
      <w:pPr>
        <w:tabs>
          <w:tab w:val="left" w:pos="140"/>
          <w:tab w:val="left" w:pos="160"/>
          <w:tab w:val="left" w:pos="160"/>
          <w:tab w:val="left" w:pos="140"/>
          <w:tab w:val="left" w:pos="140"/>
        </w:tabs>
        <w:ind w:left="-331"/>
        <w:jc w:val="center"/>
        <w:rPr>
          <w:sz w:val="20"/>
          <w:szCs w:val="20"/>
        </w:rPr>
      </w:pPr>
      <w:r>
        <w:rPr>
          <w:rFonts w:ascii="Calibri" w:eastAsia="Calibri" w:hAnsi="Calibri" w:cs="Calibri"/>
          <w:sz w:val="20"/>
          <w:szCs w:val="20"/>
        </w:rPr>
        <w:t>L’enquête</w:t>
      </w:r>
      <w:r>
        <w:rPr>
          <w:rFonts w:ascii="Calibri" w:eastAsia="Calibri" w:hAnsi="Calibri" w:cs="Calibri"/>
          <w:sz w:val="20"/>
          <w:szCs w:val="20"/>
        </w:rPr>
        <w:tab/>
        <w:t>HIS</w:t>
      </w:r>
      <w:r>
        <w:rPr>
          <w:rFonts w:ascii="Calibri" w:eastAsia="Calibri" w:hAnsi="Calibri" w:cs="Calibri"/>
          <w:sz w:val="20"/>
          <w:szCs w:val="20"/>
        </w:rPr>
        <w:tab/>
        <w:t>pose</w:t>
      </w:r>
      <w:r>
        <w:rPr>
          <w:rFonts w:ascii="Calibri" w:eastAsia="Calibri" w:hAnsi="Calibri" w:cs="Calibri"/>
          <w:sz w:val="20"/>
          <w:szCs w:val="20"/>
        </w:rPr>
        <w:tab/>
        <w:t>la</w:t>
      </w:r>
      <w:r>
        <w:rPr>
          <w:rFonts w:ascii="Calibri" w:eastAsia="Calibri" w:hAnsi="Calibri" w:cs="Calibri"/>
          <w:sz w:val="20"/>
          <w:szCs w:val="20"/>
        </w:rPr>
        <w:tab/>
        <w:t>question</w:t>
      </w:r>
      <w:r>
        <w:rPr>
          <w:sz w:val="20"/>
          <w:szCs w:val="20"/>
        </w:rPr>
        <w:tab/>
      </w:r>
      <w:r>
        <w:rPr>
          <w:rFonts w:ascii="Calibri" w:eastAsia="Calibri" w:hAnsi="Calibri" w:cs="Calibri"/>
          <w:sz w:val="19"/>
          <w:szCs w:val="19"/>
        </w:rPr>
        <w:t>des</w:t>
      </w:r>
    </w:p>
    <w:p w:rsidR="00AC12B4" w:rsidRDefault="00AC12B4">
      <w:pPr>
        <w:spacing w:line="83" w:lineRule="exact"/>
        <w:rPr>
          <w:sz w:val="20"/>
          <w:szCs w:val="20"/>
        </w:rPr>
      </w:pPr>
    </w:p>
    <w:p w:rsidR="00AC12B4" w:rsidRDefault="00C27636">
      <w:pPr>
        <w:spacing w:line="235" w:lineRule="auto"/>
        <w:ind w:left="420" w:right="88"/>
        <w:rPr>
          <w:sz w:val="20"/>
          <w:szCs w:val="20"/>
        </w:rPr>
      </w:pPr>
      <w:r>
        <w:rPr>
          <w:rFonts w:ascii="Calibri" w:eastAsia="Calibri" w:hAnsi="Calibri" w:cs="Calibri"/>
          <w:sz w:val="20"/>
          <w:szCs w:val="20"/>
        </w:rPr>
        <w:t>nuisances environnementales dans le quartier de résidence : bruit, pollution,</w:t>
      </w:r>
    </w:p>
    <w:p w:rsidR="00AC12B4" w:rsidRDefault="00AC12B4">
      <w:pPr>
        <w:spacing w:line="37" w:lineRule="exact"/>
        <w:rPr>
          <w:sz w:val="20"/>
          <w:szCs w:val="20"/>
        </w:rPr>
      </w:pPr>
    </w:p>
    <w:p w:rsidR="00AC12B4" w:rsidRDefault="00C27636">
      <w:pPr>
        <w:ind w:left="420"/>
        <w:rPr>
          <w:sz w:val="20"/>
          <w:szCs w:val="20"/>
        </w:rPr>
      </w:pPr>
      <w:r>
        <w:rPr>
          <w:rFonts w:ascii="Calibri" w:eastAsia="Calibri" w:hAnsi="Calibri" w:cs="Calibri"/>
          <w:sz w:val="20"/>
          <w:szCs w:val="20"/>
        </w:rPr>
        <w:t>mauvaises odeurs,…</w:t>
      </w:r>
    </w:p>
    <w:p w:rsidR="00AC12B4" w:rsidRDefault="00AC12B4">
      <w:pPr>
        <w:spacing w:line="95" w:lineRule="exact"/>
        <w:rPr>
          <w:sz w:val="20"/>
          <w:szCs w:val="20"/>
        </w:rPr>
      </w:pPr>
    </w:p>
    <w:p w:rsidR="00AC12B4" w:rsidRDefault="00C27636">
      <w:pPr>
        <w:numPr>
          <w:ilvl w:val="0"/>
          <w:numId w:val="52"/>
        </w:numPr>
        <w:tabs>
          <w:tab w:val="left" w:pos="420"/>
        </w:tabs>
        <w:spacing w:line="267" w:lineRule="auto"/>
        <w:ind w:left="420" w:right="88" w:hanging="361"/>
        <w:jc w:val="both"/>
        <w:rPr>
          <w:rFonts w:ascii="Symbol" w:eastAsia="Symbol" w:hAnsi="Symbol" w:cs="Symbol"/>
          <w:sz w:val="20"/>
          <w:szCs w:val="20"/>
        </w:rPr>
      </w:pPr>
      <w:r>
        <w:rPr>
          <w:rFonts w:ascii="Calibri" w:eastAsia="Calibri" w:hAnsi="Calibri" w:cs="Calibri"/>
          <w:b/>
          <w:bCs/>
          <w:i/>
          <w:iCs/>
          <w:color w:val="C95C96"/>
          <w:sz w:val="20"/>
          <w:szCs w:val="20"/>
        </w:rPr>
        <w:t xml:space="preserve">Het Grote Woononderzoek 2013 (GWO 2013) </w:t>
      </w:r>
      <w:r>
        <w:rPr>
          <w:rFonts w:ascii="Calibri" w:eastAsia="Calibri" w:hAnsi="Calibri" w:cs="Calibri"/>
          <w:b/>
          <w:bCs/>
          <w:i/>
          <w:iCs/>
          <w:color w:val="9BBB59"/>
          <w:sz w:val="20"/>
          <w:szCs w:val="20"/>
        </w:rPr>
        <w:t>:</w:t>
      </w:r>
      <w:r>
        <w:rPr>
          <w:rFonts w:ascii="Calibri" w:eastAsia="Calibri" w:hAnsi="Calibri" w:cs="Calibri"/>
          <w:b/>
          <w:bCs/>
          <w:i/>
          <w:iCs/>
          <w:color w:val="C95C96"/>
          <w:sz w:val="20"/>
          <w:szCs w:val="20"/>
        </w:rPr>
        <w:t xml:space="preserve"> </w:t>
      </w:r>
      <w:r>
        <w:rPr>
          <w:rFonts w:ascii="Calibri" w:eastAsia="Calibri" w:hAnsi="Calibri" w:cs="Calibri"/>
          <w:color w:val="000000"/>
          <w:sz w:val="20"/>
          <w:szCs w:val="20"/>
        </w:rPr>
        <w:t>La Communauté flamande a</w:t>
      </w:r>
      <w:r>
        <w:rPr>
          <w:rFonts w:ascii="Calibri" w:eastAsia="Calibri" w:hAnsi="Calibri" w:cs="Calibri"/>
          <w:b/>
          <w:bCs/>
          <w:i/>
          <w:iCs/>
          <w:color w:val="C95C96"/>
          <w:sz w:val="20"/>
          <w:szCs w:val="20"/>
        </w:rPr>
        <w:t xml:space="preserve"> </w:t>
      </w:r>
      <w:r>
        <w:rPr>
          <w:rFonts w:ascii="Calibri" w:eastAsia="Calibri" w:hAnsi="Calibri" w:cs="Calibri"/>
          <w:color w:val="000000"/>
          <w:sz w:val="20"/>
          <w:szCs w:val="20"/>
        </w:rPr>
        <w:t xml:space="preserve">mené une </w:t>
      </w:r>
      <w:r>
        <w:rPr>
          <w:rFonts w:ascii="Calibri" w:eastAsia="Calibri" w:hAnsi="Calibri" w:cs="Calibri"/>
          <w:color w:val="000000"/>
          <w:sz w:val="20"/>
          <w:szCs w:val="20"/>
        </w:rPr>
        <w:t>grande enquête sur les conditions de logements de près de 10.000 ménages flamands. La grande majorité (entre 76% et 94% selon le type de nuisances) des répondants estime qu’il n’y a pas de problème dans leur quartier.</w:t>
      </w:r>
    </w:p>
    <w:p w:rsidR="00AC12B4" w:rsidRDefault="00AC12B4">
      <w:pPr>
        <w:spacing w:line="62" w:lineRule="exact"/>
        <w:rPr>
          <w:rFonts w:ascii="Symbol" w:eastAsia="Symbol" w:hAnsi="Symbol" w:cs="Symbol"/>
          <w:sz w:val="20"/>
          <w:szCs w:val="20"/>
        </w:rPr>
      </w:pPr>
    </w:p>
    <w:p w:rsidR="00AC12B4" w:rsidRDefault="00C27636">
      <w:pPr>
        <w:spacing w:line="267" w:lineRule="auto"/>
        <w:ind w:left="420" w:right="88"/>
        <w:rPr>
          <w:rFonts w:ascii="Calibri" w:eastAsia="Calibri" w:hAnsi="Calibri" w:cs="Calibri"/>
          <w:color w:val="0000FF"/>
          <w:sz w:val="20"/>
          <w:szCs w:val="20"/>
        </w:rPr>
      </w:pPr>
      <w:r>
        <w:rPr>
          <w:rFonts w:ascii="Calibri" w:eastAsia="Calibri" w:hAnsi="Calibri" w:cs="Calibri"/>
          <w:sz w:val="20"/>
          <w:szCs w:val="20"/>
        </w:rPr>
        <w:t>Les problèmes revenant le plus sont e</w:t>
      </w:r>
      <w:r>
        <w:rPr>
          <w:rFonts w:ascii="Calibri" w:eastAsia="Calibri" w:hAnsi="Calibri" w:cs="Calibri"/>
          <w:sz w:val="20"/>
          <w:szCs w:val="20"/>
        </w:rPr>
        <w:t xml:space="preserve">ntre autres des problèmes de sécurité routière et des pistes cyclables/ trottoirs mal entretenus. </w:t>
      </w:r>
      <w:hyperlink r:id="rId60">
        <w:r>
          <w:rPr>
            <w:rFonts w:ascii="Calibri" w:eastAsia="Calibri" w:hAnsi="Calibri" w:cs="Calibri"/>
            <w:color w:val="0000FF"/>
            <w:sz w:val="20"/>
            <w:szCs w:val="20"/>
            <w:u w:val="single"/>
          </w:rPr>
          <w:t>http://steunpuntwonen.be/Studiedagen/</w:t>
        </w:r>
      </w:hyperlink>
      <w:r>
        <w:rPr>
          <w:rFonts w:ascii="Calibri" w:eastAsia="Calibri" w:hAnsi="Calibri" w:cs="Calibri"/>
          <w:color w:val="0000FF"/>
          <w:sz w:val="20"/>
          <w:szCs w:val="20"/>
          <w:u w:val="single"/>
        </w:rPr>
        <w:t xml:space="preserve"> </w:t>
      </w:r>
      <w:hyperlink r:id="rId61">
        <w:r>
          <w:rPr>
            <w:rFonts w:ascii="Calibri" w:eastAsia="Calibri" w:hAnsi="Calibri" w:cs="Calibri"/>
            <w:color w:val="0000FF"/>
            <w:sz w:val="20"/>
            <w:szCs w:val="20"/>
            <w:u w:val="single"/>
          </w:rPr>
          <w:t>Grote_Woononderzoek_2013_3_maart_2</w:t>
        </w:r>
      </w:hyperlink>
      <w:r>
        <w:rPr>
          <w:rFonts w:ascii="Calibri" w:eastAsia="Calibri" w:hAnsi="Calibri" w:cs="Calibri"/>
          <w:color w:val="0000FF"/>
          <w:sz w:val="20"/>
          <w:szCs w:val="20"/>
          <w:u w:val="single"/>
        </w:rPr>
        <w:t xml:space="preserve"> </w:t>
      </w:r>
      <w:hyperlink r:id="rId62">
        <w:r>
          <w:rPr>
            <w:rFonts w:ascii="Calibri" w:eastAsia="Calibri" w:hAnsi="Calibri" w:cs="Calibri"/>
            <w:color w:val="0000FF"/>
            <w:sz w:val="20"/>
            <w:szCs w:val="20"/>
            <w:u w:val="single"/>
          </w:rPr>
          <w:t>015</w:t>
        </w:r>
        <w:r>
          <w:rPr>
            <w:rFonts w:ascii="Calibri" w:eastAsia="Calibri" w:hAnsi="Calibri" w:cs="Calibri"/>
            <w:color w:val="000000"/>
            <w:sz w:val="20"/>
            <w:szCs w:val="20"/>
          </w:rPr>
          <w:t>.</w:t>
        </w:r>
      </w:hyperlink>
    </w:p>
    <w:p w:rsidR="00AC12B4" w:rsidRDefault="00AC12B4">
      <w:pPr>
        <w:spacing w:line="74" w:lineRule="exact"/>
        <w:rPr>
          <w:rFonts w:ascii="Calibri" w:eastAsia="Calibri" w:hAnsi="Calibri" w:cs="Calibri"/>
          <w:color w:val="0000FF"/>
          <w:sz w:val="20"/>
          <w:szCs w:val="20"/>
        </w:rPr>
      </w:pPr>
    </w:p>
    <w:p w:rsidR="00AC12B4" w:rsidRDefault="00C27636">
      <w:pPr>
        <w:numPr>
          <w:ilvl w:val="0"/>
          <w:numId w:val="52"/>
        </w:numPr>
        <w:tabs>
          <w:tab w:val="left" w:pos="420"/>
        </w:tabs>
        <w:spacing w:line="247" w:lineRule="auto"/>
        <w:ind w:left="420" w:right="88" w:hanging="361"/>
        <w:jc w:val="both"/>
        <w:rPr>
          <w:rFonts w:ascii="Symbol" w:eastAsia="Symbol" w:hAnsi="Symbol" w:cs="Symbol"/>
          <w:sz w:val="20"/>
          <w:szCs w:val="20"/>
        </w:rPr>
      </w:pPr>
      <w:r>
        <w:rPr>
          <w:rFonts w:ascii="Calibri" w:eastAsia="Calibri" w:hAnsi="Calibri" w:cs="Calibri"/>
          <w:sz w:val="20"/>
          <w:szCs w:val="20"/>
        </w:rPr>
        <w:t xml:space="preserve">Le Stadmonitor flamand 2014 a questionné des jeunes </w:t>
      </w:r>
      <w:r>
        <w:rPr>
          <w:rFonts w:ascii="Calibri" w:eastAsia="Calibri" w:hAnsi="Calibri" w:cs="Calibri"/>
          <w:sz w:val="20"/>
          <w:szCs w:val="20"/>
        </w:rPr>
        <w:t>habitant une ville moyenne sur leur satisfaction par rapport</w:t>
      </w:r>
    </w:p>
    <w:p w:rsidR="00AC12B4" w:rsidRDefault="00AC12B4">
      <w:pPr>
        <w:spacing w:line="30" w:lineRule="exact"/>
        <w:rPr>
          <w:rFonts w:ascii="Symbol" w:eastAsia="Symbol" w:hAnsi="Symbol" w:cs="Symbol"/>
          <w:sz w:val="20"/>
          <w:szCs w:val="20"/>
        </w:rPr>
      </w:pPr>
    </w:p>
    <w:p w:rsidR="00AC12B4" w:rsidRDefault="00C27636">
      <w:pPr>
        <w:ind w:left="420"/>
        <w:rPr>
          <w:rFonts w:ascii="Symbol" w:eastAsia="Symbol" w:hAnsi="Symbol" w:cs="Symbol"/>
          <w:sz w:val="20"/>
          <w:szCs w:val="20"/>
        </w:rPr>
      </w:pPr>
      <w:r>
        <w:rPr>
          <w:rFonts w:ascii="Calibri" w:eastAsia="Calibri" w:hAnsi="Calibri" w:cs="Calibri"/>
          <w:sz w:val="20"/>
          <w:szCs w:val="20"/>
        </w:rPr>
        <w:t>à leur quartier, la sécurité et d’autres</w:t>
      </w:r>
    </w:p>
    <w:p w:rsidR="00AC12B4" w:rsidRDefault="00AC12B4">
      <w:pPr>
        <w:spacing w:line="83" w:lineRule="exact"/>
        <w:rPr>
          <w:rFonts w:ascii="Symbol" w:eastAsia="Symbol" w:hAnsi="Symbol" w:cs="Symbol"/>
          <w:sz w:val="20"/>
          <w:szCs w:val="20"/>
        </w:rPr>
      </w:pPr>
    </w:p>
    <w:p w:rsidR="00AC12B4" w:rsidRDefault="00C27636">
      <w:pPr>
        <w:spacing w:line="254" w:lineRule="auto"/>
        <w:ind w:left="420" w:right="68"/>
        <w:rPr>
          <w:rFonts w:ascii="Calibri" w:eastAsia="Calibri" w:hAnsi="Calibri" w:cs="Calibri"/>
          <w:color w:val="0000FF"/>
          <w:sz w:val="20"/>
          <w:szCs w:val="20"/>
          <w:u w:val="single"/>
        </w:rPr>
      </w:pPr>
      <w:r>
        <w:rPr>
          <w:rFonts w:ascii="Calibri" w:eastAsia="Calibri" w:hAnsi="Calibri" w:cs="Calibri"/>
          <w:sz w:val="20"/>
          <w:szCs w:val="20"/>
        </w:rPr>
        <w:t xml:space="preserve">éléments : voir </w:t>
      </w:r>
      <w:hyperlink r:id="rId63">
        <w:r>
          <w:rPr>
            <w:rFonts w:ascii="Calibri" w:eastAsia="Calibri" w:hAnsi="Calibri" w:cs="Calibri"/>
            <w:color w:val="0000FF"/>
            <w:sz w:val="20"/>
            <w:szCs w:val="20"/>
            <w:u w:val="single"/>
          </w:rPr>
          <w:t>http://www.stadsmonitor.be//gezinnen-</w:t>
        </w:r>
      </w:hyperlink>
      <w:hyperlink r:id="rId64">
        <w:r>
          <w:rPr>
            <w:rFonts w:ascii="Calibri" w:eastAsia="Calibri" w:hAnsi="Calibri" w:cs="Calibri"/>
            <w:color w:val="0000FF"/>
            <w:sz w:val="20"/>
            <w:szCs w:val="20"/>
            <w:u w:val="single"/>
          </w:rPr>
          <w:t>in-de-stad</w:t>
        </w:r>
      </w:hyperlink>
    </w:p>
    <w:p w:rsidR="00AC12B4" w:rsidRDefault="00C27636">
      <w:pPr>
        <w:spacing w:line="20" w:lineRule="exact"/>
        <w:rPr>
          <w:rFonts w:ascii="Symbol" w:eastAsia="Symbol" w:hAnsi="Symbol" w:cs="Symbol"/>
          <w:sz w:val="20"/>
          <w:szCs w:val="20"/>
        </w:rPr>
      </w:pPr>
      <w:r>
        <w:rPr>
          <w:rFonts w:ascii="Symbol" w:eastAsia="Symbol" w:hAnsi="Symbol" w:cs="Symbol"/>
          <w:sz w:val="20"/>
          <w:szCs w:val="20"/>
        </w:rPr>
        <w:br w:type="column"/>
      </w: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99" w:lineRule="exact"/>
        <w:rPr>
          <w:rFonts w:ascii="Symbol" w:eastAsia="Symbol" w:hAnsi="Symbol" w:cs="Symbol"/>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trPr>
          <w:trHeight w:val="4100"/>
        </w:trPr>
        <w:tc>
          <w:tcPr>
            <w:tcW w:w="330" w:type="dxa"/>
            <w:textDirection w:val="btLr"/>
            <w:vAlign w:val="bottom"/>
          </w:tcPr>
          <w:p w:rsidR="00AC12B4" w:rsidRDefault="00C27636">
            <w:pPr>
              <w:rPr>
                <w:sz w:val="20"/>
                <w:szCs w:val="20"/>
              </w:rPr>
            </w:pPr>
            <w:r>
              <w:rPr>
                <w:rFonts w:ascii="Calibri" w:eastAsia="Calibri" w:hAnsi="Calibri" w:cs="Calibri"/>
                <w:b/>
                <w:bCs/>
                <w:i/>
                <w:iCs/>
                <w:color w:val="F2F2F2"/>
                <w:sz w:val="27"/>
                <w:szCs w:val="27"/>
              </w:rPr>
              <w:lastRenderedPageBreak/>
              <w:t>Le droit de poursuivre son bien-être</w:t>
            </w:r>
          </w:p>
        </w:tc>
      </w:tr>
    </w:tbl>
    <w:p w:rsidR="00AC12B4" w:rsidRDefault="00C27636">
      <w:pPr>
        <w:spacing w:line="20" w:lineRule="exact"/>
        <w:rPr>
          <w:rFonts w:ascii="Symbol" w:eastAsia="Symbol" w:hAnsi="Symbol" w:cs="Symbol"/>
          <w:sz w:val="20"/>
          <w:szCs w:val="20"/>
        </w:rPr>
      </w:pPr>
      <w:r>
        <w:rPr>
          <w:rFonts w:ascii="Symbol" w:eastAsia="Symbol" w:hAnsi="Symbol" w:cs="Symbol"/>
          <w:noProof/>
          <w:sz w:val="20"/>
          <w:szCs w:val="20"/>
        </w:rPr>
        <mc:AlternateContent>
          <mc:Choice Requires="wps">
            <w:drawing>
              <wp:anchor distT="0" distB="0" distL="114300" distR="114300" simplePos="0" relativeHeight="251434496" behindDoc="1" locked="0" layoutInCell="0" allowOverlap="1">
                <wp:simplePos x="0" y="0"/>
                <wp:positionH relativeFrom="column">
                  <wp:posOffset>-220980</wp:posOffset>
                </wp:positionH>
                <wp:positionV relativeFrom="paragraph">
                  <wp:posOffset>-9943465</wp:posOffset>
                </wp:positionV>
                <wp:extent cx="734060" cy="10906760"/>
                <wp:effectExtent l="0" t="0" r="0" b="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90" o:spid="_x0000_s1115" style="position:absolute;margin-left:-17.3999pt;margin-top:-782.9499pt;width:57.8pt;height:85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p>
    <w:p w:rsidR="00AC12B4" w:rsidRDefault="00AC12B4">
      <w:pPr>
        <w:spacing w:line="28" w:lineRule="exact"/>
        <w:rPr>
          <w:rFonts w:ascii="Symbol" w:eastAsia="Symbol" w:hAnsi="Symbol" w:cs="Symbol"/>
          <w:sz w:val="20"/>
          <w:szCs w:val="20"/>
        </w:rPr>
      </w:pPr>
    </w:p>
    <w:p w:rsidR="00AC12B4" w:rsidRDefault="00AC12B4">
      <w:pPr>
        <w:sectPr w:rsidR="00AC12B4">
          <w:pgSz w:w="12080" w:h="17179"/>
          <w:pgMar w:top="1440" w:right="479" w:bottom="659" w:left="1020" w:header="0" w:footer="0" w:gutter="0"/>
          <w:cols w:num="3" w:space="720" w:equalWidth="0">
            <w:col w:w="4860" w:space="720"/>
            <w:col w:w="3948" w:space="720"/>
            <w:col w:w="330"/>
          </w:cols>
        </w:sectPr>
      </w:pPr>
    </w:p>
    <w:p w:rsidR="00AC12B4" w:rsidRDefault="00C27636">
      <w:pPr>
        <w:ind w:right="138"/>
        <w:jc w:val="center"/>
        <w:rPr>
          <w:sz w:val="20"/>
          <w:szCs w:val="20"/>
        </w:rPr>
      </w:pPr>
      <w:r>
        <w:rPr>
          <w:rFonts w:ascii="Calibri" w:eastAsia="Calibri" w:hAnsi="Calibri" w:cs="Calibri"/>
        </w:rPr>
        <w:lastRenderedPageBreak/>
        <w:t>55</w:t>
      </w:r>
    </w:p>
    <w:p w:rsidR="00AC12B4" w:rsidRDefault="00AC12B4">
      <w:pPr>
        <w:sectPr w:rsidR="00AC12B4">
          <w:type w:val="continuous"/>
          <w:pgSz w:w="12080" w:h="17179"/>
          <w:pgMar w:top="1440" w:right="479" w:bottom="659" w:left="1020" w:header="0" w:footer="0" w:gutter="0"/>
          <w:cols w:space="720" w:equalWidth="0">
            <w:col w:w="10578"/>
          </w:cols>
        </w:sectPr>
      </w:pPr>
    </w:p>
    <w:p w:rsidR="00AC12B4" w:rsidRDefault="00AC12B4">
      <w:pPr>
        <w:jc w:val="center"/>
        <w:rPr>
          <w:sz w:val="20"/>
          <w:szCs w:val="20"/>
        </w:rPr>
      </w:pPr>
      <w:bookmarkStart w:id="55" w:name="page56"/>
      <w:bookmarkEnd w:id="55"/>
    </w:p>
    <w:p w:rsidR="00AC12B4" w:rsidRDefault="00AC12B4">
      <w:pPr>
        <w:sectPr w:rsidR="00AC12B4">
          <w:pgSz w:w="12080" w:h="17179"/>
          <w:pgMar w:top="1440" w:right="1440" w:bottom="875" w:left="1440" w:header="0" w:footer="0" w:gutter="0"/>
          <w:cols w:space="0"/>
        </w:sectPr>
      </w:pPr>
    </w:p>
    <w:p w:rsidR="00AC12B4" w:rsidRDefault="00AC12B4">
      <w:pPr>
        <w:spacing w:line="168" w:lineRule="exact"/>
        <w:rPr>
          <w:sz w:val="20"/>
          <w:szCs w:val="20"/>
        </w:rPr>
      </w:pPr>
      <w:bookmarkStart w:id="56" w:name="page57"/>
      <w:bookmarkEnd w:id="56"/>
    </w:p>
    <w:p w:rsidR="00AC12B4" w:rsidRDefault="00C27636">
      <w:pPr>
        <w:ind w:left="1460"/>
        <w:rPr>
          <w:sz w:val="20"/>
          <w:szCs w:val="20"/>
        </w:rPr>
      </w:pPr>
      <w:r>
        <w:rPr>
          <w:rFonts w:ascii="Comic Sans MS" w:eastAsia="Comic Sans MS" w:hAnsi="Comic Sans MS" w:cs="Comic Sans MS"/>
          <w:color w:val="C95C96"/>
          <w:sz w:val="40"/>
          <w:szCs w:val="40"/>
        </w:rPr>
        <w:t>B4. Violence entre pairs</w:t>
      </w:r>
    </w:p>
    <w:p w:rsidR="00AC12B4" w:rsidRDefault="00AC12B4">
      <w:pPr>
        <w:spacing w:line="27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960"/>
        <w:gridCol w:w="1640"/>
        <w:gridCol w:w="120"/>
        <w:gridCol w:w="640"/>
        <w:gridCol w:w="880"/>
        <w:gridCol w:w="680"/>
        <w:gridCol w:w="420"/>
        <w:gridCol w:w="100"/>
        <w:gridCol w:w="80"/>
        <w:gridCol w:w="840"/>
        <w:gridCol w:w="380"/>
        <w:gridCol w:w="380"/>
        <w:gridCol w:w="140"/>
        <w:gridCol w:w="60"/>
        <w:gridCol w:w="500"/>
        <w:gridCol w:w="300"/>
        <w:gridCol w:w="100"/>
        <w:gridCol w:w="400"/>
        <w:gridCol w:w="340"/>
        <w:gridCol w:w="200"/>
        <w:gridCol w:w="240"/>
        <w:gridCol w:w="240"/>
        <w:gridCol w:w="300"/>
        <w:gridCol w:w="740"/>
        <w:gridCol w:w="30"/>
      </w:tblGrid>
      <w:tr w:rsidR="00AC12B4">
        <w:trPr>
          <w:trHeight w:val="123"/>
        </w:trPr>
        <w:tc>
          <w:tcPr>
            <w:tcW w:w="960" w:type="dxa"/>
            <w:tcBorders>
              <w:bottom w:val="single" w:sz="8" w:space="0" w:color="963266"/>
            </w:tcBorders>
            <w:vAlign w:val="bottom"/>
          </w:tcPr>
          <w:p w:rsidR="00AC12B4" w:rsidRDefault="00AC12B4">
            <w:pPr>
              <w:rPr>
                <w:sz w:val="10"/>
                <w:szCs w:val="10"/>
              </w:rPr>
            </w:pPr>
          </w:p>
        </w:tc>
        <w:tc>
          <w:tcPr>
            <w:tcW w:w="1640" w:type="dxa"/>
            <w:tcBorders>
              <w:bottom w:val="single" w:sz="8" w:space="0" w:color="963266"/>
            </w:tcBorders>
            <w:vAlign w:val="bottom"/>
          </w:tcPr>
          <w:p w:rsidR="00AC12B4" w:rsidRDefault="00AC12B4">
            <w:pPr>
              <w:rPr>
                <w:sz w:val="10"/>
                <w:szCs w:val="10"/>
              </w:rPr>
            </w:pPr>
          </w:p>
        </w:tc>
        <w:tc>
          <w:tcPr>
            <w:tcW w:w="120" w:type="dxa"/>
            <w:tcBorders>
              <w:bottom w:val="single" w:sz="8" w:space="0" w:color="963266"/>
            </w:tcBorders>
            <w:vAlign w:val="bottom"/>
          </w:tcPr>
          <w:p w:rsidR="00AC12B4" w:rsidRDefault="00AC12B4">
            <w:pPr>
              <w:rPr>
                <w:sz w:val="10"/>
                <w:szCs w:val="10"/>
              </w:rPr>
            </w:pPr>
          </w:p>
        </w:tc>
        <w:tc>
          <w:tcPr>
            <w:tcW w:w="640" w:type="dxa"/>
            <w:tcBorders>
              <w:bottom w:val="single" w:sz="8" w:space="0" w:color="963266"/>
            </w:tcBorders>
            <w:vAlign w:val="bottom"/>
          </w:tcPr>
          <w:p w:rsidR="00AC12B4" w:rsidRDefault="00AC12B4">
            <w:pPr>
              <w:rPr>
                <w:sz w:val="10"/>
                <w:szCs w:val="10"/>
              </w:rPr>
            </w:pPr>
          </w:p>
        </w:tc>
        <w:tc>
          <w:tcPr>
            <w:tcW w:w="880" w:type="dxa"/>
            <w:tcBorders>
              <w:bottom w:val="single" w:sz="8" w:space="0" w:color="963266"/>
            </w:tcBorders>
            <w:vAlign w:val="bottom"/>
          </w:tcPr>
          <w:p w:rsidR="00AC12B4" w:rsidRDefault="00AC12B4">
            <w:pPr>
              <w:rPr>
                <w:sz w:val="10"/>
                <w:szCs w:val="10"/>
              </w:rPr>
            </w:pPr>
          </w:p>
        </w:tc>
        <w:tc>
          <w:tcPr>
            <w:tcW w:w="680" w:type="dxa"/>
            <w:tcBorders>
              <w:bottom w:val="single" w:sz="8" w:space="0" w:color="963266"/>
            </w:tcBorders>
            <w:vAlign w:val="bottom"/>
          </w:tcPr>
          <w:p w:rsidR="00AC12B4" w:rsidRDefault="00AC12B4">
            <w:pPr>
              <w:rPr>
                <w:sz w:val="10"/>
                <w:szCs w:val="10"/>
              </w:rPr>
            </w:pPr>
          </w:p>
        </w:tc>
        <w:tc>
          <w:tcPr>
            <w:tcW w:w="420" w:type="dxa"/>
            <w:tcBorders>
              <w:bottom w:val="single" w:sz="8" w:space="0" w:color="963266"/>
            </w:tcBorders>
            <w:vAlign w:val="bottom"/>
          </w:tcPr>
          <w:p w:rsidR="00AC12B4" w:rsidRDefault="00AC12B4">
            <w:pPr>
              <w:rPr>
                <w:sz w:val="10"/>
                <w:szCs w:val="10"/>
              </w:rPr>
            </w:pPr>
          </w:p>
        </w:tc>
        <w:tc>
          <w:tcPr>
            <w:tcW w:w="100" w:type="dxa"/>
            <w:tcBorders>
              <w:bottom w:val="single" w:sz="8" w:space="0" w:color="963266"/>
            </w:tcBorders>
            <w:vAlign w:val="bottom"/>
          </w:tcPr>
          <w:p w:rsidR="00AC12B4" w:rsidRDefault="00AC12B4">
            <w:pPr>
              <w:rPr>
                <w:sz w:val="10"/>
                <w:szCs w:val="10"/>
              </w:rPr>
            </w:pPr>
          </w:p>
        </w:tc>
        <w:tc>
          <w:tcPr>
            <w:tcW w:w="80" w:type="dxa"/>
            <w:tcBorders>
              <w:bottom w:val="single" w:sz="8" w:space="0" w:color="963266"/>
            </w:tcBorders>
            <w:vAlign w:val="bottom"/>
          </w:tcPr>
          <w:p w:rsidR="00AC12B4" w:rsidRDefault="00AC12B4">
            <w:pPr>
              <w:rPr>
                <w:sz w:val="10"/>
                <w:szCs w:val="10"/>
              </w:rPr>
            </w:pPr>
          </w:p>
        </w:tc>
        <w:tc>
          <w:tcPr>
            <w:tcW w:w="4420" w:type="dxa"/>
            <w:gridSpan w:val="14"/>
            <w:vMerge w:val="restart"/>
            <w:vAlign w:val="bottom"/>
          </w:tcPr>
          <w:p w:rsidR="00AC12B4" w:rsidRDefault="00C27636">
            <w:pPr>
              <w:ind w:left="540"/>
              <w:rPr>
                <w:sz w:val="20"/>
                <w:szCs w:val="20"/>
              </w:rPr>
            </w:pPr>
            <w:r>
              <w:rPr>
                <w:rFonts w:ascii="Calibri" w:eastAsia="Calibri" w:hAnsi="Calibri" w:cs="Calibri"/>
              </w:rPr>
              <w:t xml:space="preserve">Dans le </w:t>
            </w:r>
            <w:r>
              <w:rPr>
                <w:rFonts w:ascii="Calibri" w:eastAsia="Calibri" w:hAnsi="Calibri" w:cs="Calibri"/>
              </w:rPr>
              <w:t>cadre de la problématique du</w:t>
            </w:r>
          </w:p>
        </w:tc>
        <w:tc>
          <w:tcPr>
            <w:tcW w:w="7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25"/>
        </w:trPr>
        <w:tc>
          <w:tcPr>
            <w:tcW w:w="960" w:type="dxa"/>
            <w:tcBorders>
              <w:left w:val="single" w:sz="8" w:space="0" w:color="963266"/>
              <w:right w:val="single" w:sz="8" w:space="0" w:color="C95C96"/>
            </w:tcBorders>
            <w:shd w:val="clear" w:color="auto" w:fill="C95C96"/>
            <w:vAlign w:val="bottom"/>
          </w:tcPr>
          <w:p w:rsidR="00AC12B4" w:rsidRDefault="00AC12B4">
            <w:pPr>
              <w:rPr>
                <w:sz w:val="10"/>
                <w:szCs w:val="10"/>
              </w:rPr>
            </w:pPr>
          </w:p>
        </w:tc>
        <w:tc>
          <w:tcPr>
            <w:tcW w:w="1640" w:type="dxa"/>
            <w:shd w:val="clear" w:color="auto" w:fill="C95C96"/>
            <w:vAlign w:val="bottom"/>
          </w:tcPr>
          <w:p w:rsidR="00AC12B4" w:rsidRDefault="00AC12B4">
            <w:pPr>
              <w:rPr>
                <w:sz w:val="10"/>
                <w:szCs w:val="10"/>
              </w:rPr>
            </w:pPr>
          </w:p>
        </w:tc>
        <w:tc>
          <w:tcPr>
            <w:tcW w:w="120" w:type="dxa"/>
            <w:shd w:val="clear" w:color="auto" w:fill="C95C96"/>
            <w:vAlign w:val="bottom"/>
          </w:tcPr>
          <w:p w:rsidR="00AC12B4" w:rsidRDefault="00AC12B4">
            <w:pPr>
              <w:rPr>
                <w:sz w:val="10"/>
                <w:szCs w:val="10"/>
              </w:rPr>
            </w:pPr>
          </w:p>
        </w:tc>
        <w:tc>
          <w:tcPr>
            <w:tcW w:w="640" w:type="dxa"/>
            <w:shd w:val="clear" w:color="auto" w:fill="C95C96"/>
            <w:vAlign w:val="bottom"/>
          </w:tcPr>
          <w:p w:rsidR="00AC12B4" w:rsidRDefault="00AC12B4">
            <w:pPr>
              <w:rPr>
                <w:sz w:val="10"/>
                <w:szCs w:val="10"/>
              </w:rPr>
            </w:pPr>
          </w:p>
        </w:tc>
        <w:tc>
          <w:tcPr>
            <w:tcW w:w="880" w:type="dxa"/>
            <w:shd w:val="clear" w:color="auto" w:fill="C95C96"/>
            <w:vAlign w:val="bottom"/>
          </w:tcPr>
          <w:p w:rsidR="00AC12B4" w:rsidRDefault="00AC12B4">
            <w:pPr>
              <w:rPr>
                <w:sz w:val="10"/>
                <w:szCs w:val="10"/>
              </w:rPr>
            </w:pPr>
          </w:p>
        </w:tc>
        <w:tc>
          <w:tcPr>
            <w:tcW w:w="680" w:type="dxa"/>
            <w:shd w:val="clear" w:color="auto" w:fill="C95C96"/>
            <w:vAlign w:val="bottom"/>
          </w:tcPr>
          <w:p w:rsidR="00AC12B4" w:rsidRDefault="00AC12B4">
            <w:pPr>
              <w:rPr>
                <w:sz w:val="10"/>
                <w:szCs w:val="10"/>
              </w:rPr>
            </w:pPr>
          </w:p>
        </w:tc>
        <w:tc>
          <w:tcPr>
            <w:tcW w:w="420" w:type="dxa"/>
            <w:shd w:val="clear" w:color="auto" w:fill="C95C96"/>
            <w:vAlign w:val="bottom"/>
          </w:tcPr>
          <w:p w:rsidR="00AC12B4" w:rsidRDefault="00AC12B4">
            <w:pPr>
              <w:rPr>
                <w:sz w:val="10"/>
                <w:szCs w:val="10"/>
              </w:rPr>
            </w:pPr>
          </w:p>
        </w:tc>
        <w:tc>
          <w:tcPr>
            <w:tcW w:w="100" w:type="dxa"/>
            <w:shd w:val="clear" w:color="auto" w:fill="C95C96"/>
            <w:vAlign w:val="bottom"/>
          </w:tcPr>
          <w:p w:rsidR="00AC12B4" w:rsidRDefault="00AC12B4">
            <w:pPr>
              <w:rPr>
                <w:sz w:val="10"/>
                <w:szCs w:val="10"/>
              </w:rPr>
            </w:pPr>
          </w:p>
        </w:tc>
        <w:tc>
          <w:tcPr>
            <w:tcW w:w="80" w:type="dxa"/>
            <w:tcBorders>
              <w:left w:val="single" w:sz="8" w:space="0" w:color="C95C96"/>
            </w:tcBorders>
            <w:shd w:val="clear" w:color="auto" w:fill="963266"/>
            <w:vAlign w:val="bottom"/>
          </w:tcPr>
          <w:p w:rsidR="00AC12B4" w:rsidRDefault="00AC12B4">
            <w:pPr>
              <w:rPr>
                <w:sz w:val="10"/>
                <w:szCs w:val="10"/>
              </w:rPr>
            </w:pPr>
          </w:p>
        </w:tc>
        <w:tc>
          <w:tcPr>
            <w:tcW w:w="4420" w:type="dxa"/>
            <w:gridSpan w:val="14"/>
            <w:vMerge/>
            <w:vAlign w:val="bottom"/>
          </w:tcPr>
          <w:p w:rsidR="00AC12B4" w:rsidRDefault="00AC12B4">
            <w:pPr>
              <w:rPr>
                <w:sz w:val="10"/>
                <w:szCs w:val="10"/>
              </w:rPr>
            </w:pPr>
          </w:p>
        </w:tc>
        <w:tc>
          <w:tcPr>
            <w:tcW w:w="7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69"/>
        </w:trPr>
        <w:tc>
          <w:tcPr>
            <w:tcW w:w="2600" w:type="dxa"/>
            <w:gridSpan w:val="2"/>
            <w:vMerge w:val="restart"/>
            <w:tcBorders>
              <w:left w:val="single" w:sz="8" w:space="0" w:color="963266"/>
            </w:tcBorders>
            <w:shd w:val="clear" w:color="auto" w:fill="C95C96"/>
            <w:vAlign w:val="bottom"/>
          </w:tcPr>
          <w:p w:rsidR="00AC12B4" w:rsidRDefault="00C27636">
            <w:pPr>
              <w:ind w:left="580"/>
              <w:rPr>
                <w:sz w:val="20"/>
                <w:szCs w:val="20"/>
              </w:rPr>
            </w:pPr>
            <w:r>
              <w:rPr>
                <w:rFonts w:ascii="Calibri" w:eastAsia="Calibri" w:hAnsi="Calibri" w:cs="Calibri"/>
                <w:i/>
                <w:iCs/>
                <w:color w:val="EAF1DD"/>
              </w:rPr>
              <w:t>Article 19 CIDE</w:t>
            </w:r>
          </w:p>
        </w:tc>
        <w:tc>
          <w:tcPr>
            <w:tcW w:w="120" w:type="dxa"/>
            <w:shd w:val="clear" w:color="auto" w:fill="C95C96"/>
            <w:vAlign w:val="bottom"/>
          </w:tcPr>
          <w:p w:rsidR="00AC12B4" w:rsidRDefault="00AC12B4">
            <w:pPr>
              <w:rPr>
                <w:sz w:val="23"/>
                <w:szCs w:val="23"/>
              </w:rPr>
            </w:pPr>
          </w:p>
        </w:tc>
        <w:tc>
          <w:tcPr>
            <w:tcW w:w="640" w:type="dxa"/>
            <w:shd w:val="clear" w:color="auto" w:fill="C95C96"/>
            <w:vAlign w:val="bottom"/>
          </w:tcPr>
          <w:p w:rsidR="00AC12B4" w:rsidRDefault="00AC12B4">
            <w:pPr>
              <w:rPr>
                <w:sz w:val="23"/>
                <w:szCs w:val="23"/>
              </w:rPr>
            </w:pPr>
          </w:p>
        </w:tc>
        <w:tc>
          <w:tcPr>
            <w:tcW w:w="880" w:type="dxa"/>
            <w:shd w:val="clear" w:color="auto" w:fill="C95C96"/>
            <w:vAlign w:val="bottom"/>
          </w:tcPr>
          <w:p w:rsidR="00AC12B4" w:rsidRDefault="00AC12B4">
            <w:pPr>
              <w:rPr>
                <w:sz w:val="23"/>
                <w:szCs w:val="23"/>
              </w:rPr>
            </w:pPr>
          </w:p>
        </w:tc>
        <w:tc>
          <w:tcPr>
            <w:tcW w:w="680" w:type="dxa"/>
            <w:shd w:val="clear" w:color="auto" w:fill="C95C96"/>
            <w:vAlign w:val="bottom"/>
          </w:tcPr>
          <w:p w:rsidR="00AC12B4" w:rsidRDefault="00AC12B4">
            <w:pPr>
              <w:rPr>
                <w:sz w:val="23"/>
                <w:szCs w:val="23"/>
              </w:rPr>
            </w:pPr>
          </w:p>
        </w:tc>
        <w:tc>
          <w:tcPr>
            <w:tcW w:w="420" w:type="dxa"/>
            <w:shd w:val="clear" w:color="auto" w:fill="C95C96"/>
            <w:vAlign w:val="bottom"/>
          </w:tcPr>
          <w:p w:rsidR="00AC12B4" w:rsidRDefault="00AC12B4">
            <w:pPr>
              <w:rPr>
                <w:sz w:val="23"/>
                <w:szCs w:val="23"/>
              </w:rPr>
            </w:pPr>
          </w:p>
        </w:tc>
        <w:tc>
          <w:tcPr>
            <w:tcW w:w="100" w:type="dxa"/>
            <w:shd w:val="clear" w:color="auto" w:fill="C95C96"/>
            <w:vAlign w:val="bottom"/>
          </w:tcPr>
          <w:p w:rsidR="00AC12B4" w:rsidRDefault="00AC12B4">
            <w:pPr>
              <w:rPr>
                <w:sz w:val="23"/>
                <w:szCs w:val="23"/>
              </w:rPr>
            </w:pPr>
          </w:p>
        </w:tc>
        <w:tc>
          <w:tcPr>
            <w:tcW w:w="80" w:type="dxa"/>
            <w:tcBorders>
              <w:left w:val="single" w:sz="8" w:space="0" w:color="C95C96"/>
            </w:tcBorders>
            <w:shd w:val="clear" w:color="auto" w:fill="963266"/>
            <w:vAlign w:val="bottom"/>
          </w:tcPr>
          <w:p w:rsidR="00AC12B4" w:rsidRDefault="00AC12B4">
            <w:pPr>
              <w:rPr>
                <w:sz w:val="23"/>
                <w:szCs w:val="23"/>
              </w:rPr>
            </w:pPr>
          </w:p>
        </w:tc>
        <w:tc>
          <w:tcPr>
            <w:tcW w:w="1740" w:type="dxa"/>
            <w:gridSpan w:val="4"/>
            <w:vAlign w:val="bottom"/>
          </w:tcPr>
          <w:p w:rsidR="00AC12B4" w:rsidRDefault="00C27636">
            <w:pPr>
              <w:ind w:left="540"/>
              <w:rPr>
                <w:sz w:val="20"/>
                <w:szCs w:val="20"/>
              </w:rPr>
            </w:pPr>
            <w:r>
              <w:rPr>
                <w:rFonts w:ascii="Calibri" w:eastAsia="Calibri" w:hAnsi="Calibri" w:cs="Calibri"/>
                <w:w w:val="99"/>
              </w:rPr>
              <w:t>harcèlement,</w:t>
            </w:r>
          </w:p>
        </w:tc>
        <w:tc>
          <w:tcPr>
            <w:tcW w:w="60" w:type="dxa"/>
            <w:vAlign w:val="bottom"/>
          </w:tcPr>
          <w:p w:rsidR="00AC12B4" w:rsidRDefault="00AC12B4">
            <w:pPr>
              <w:rPr>
                <w:sz w:val="23"/>
                <w:szCs w:val="23"/>
              </w:rPr>
            </w:pPr>
          </w:p>
        </w:tc>
        <w:tc>
          <w:tcPr>
            <w:tcW w:w="500" w:type="dxa"/>
            <w:vAlign w:val="bottom"/>
          </w:tcPr>
          <w:p w:rsidR="00AC12B4" w:rsidRDefault="00C27636">
            <w:pPr>
              <w:jc w:val="right"/>
              <w:rPr>
                <w:sz w:val="20"/>
                <w:szCs w:val="20"/>
              </w:rPr>
            </w:pPr>
            <w:r>
              <w:rPr>
                <w:rFonts w:ascii="Calibri" w:eastAsia="Calibri" w:hAnsi="Calibri" w:cs="Calibri"/>
              </w:rPr>
              <w:t>nous</w:t>
            </w:r>
          </w:p>
        </w:tc>
        <w:tc>
          <w:tcPr>
            <w:tcW w:w="1140" w:type="dxa"/>
            <w:gridSpan w:val="4"/>
            <w:vAlign w:val="bottom"/>
          </w:tcPr>
          <w:p w:rsidR="00AC12B4" w:rsidRDefault="00C27636">
            <w:pPr>
              <w:ind w:left="100"/>
              <w:rPr>
                <w:sz w:val="20"/>
                <w:szCs w:val="20"/>
              </w:rPr>
            </w:pPr>
            <w:r>
              <w:rPr>
                <w:rFonts w:ascii="Calibri" w:eastAsia="Calibri" w:hAnsi="Calibri" w:cs="Calibri"/>
              </w:rPr>
              <w:t>renvoyons</w:t>
            </w:r>
          </w:p>
        </w:tc>
        <w:tc>
          <w:tcPr>
            <w:tcW w:w="980" w:type="dxa"/>
            <w:gridSpan w:val="4"/>
            <w:vAlign w:val="bottom"/>
          </w:tcPr>
          <w:p w:rsidR="00AC12B4" w:rsidRDefault="00C27636">
            <w:pPr>
              <w:jc w:val="right"/>
              <w:rPr>
                <w:sz w:val="20"/>
                <w:szCs w:val="20"/>
              </w:rPr>
            </w:pPr>
            <w:r>
              <w:rPr>
                <w:rFonts w:ascii="Calibri" w:eastAsia="Calibri" w:hAnsi="Calibri" w:cs="Calibri"/>
                <w:w w:val="98"/>
              </w:rPr>
              <w:t>également</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18"/>
        </w:trPr>
        <w:tc>
          <w:tcPr>
            <w:tcW w:w="2600" w:type="dxa"/>
            <w:gridSpan w:val="2"/>
            <w:vMerge/>
            <w:tcBorders>
              <w:left w:val="single" w:sz="8" w:space="0" w:color="963266"/>
            </w:tcBorders>
            <w:shd w:val="clear" w:color="auto" w:fill="C95C96"/>
            <w:vAlign w:val="bottom"/>
          </w:tcPr>
          <w:p w:rsidR="00AC12B4" w:rsidRDefault="00AC12B4">
            <w:pPr>
              <w:rPr>
                <w:sz w:val="10"/>
                <w:szCs w:val="10"/>
              </w:rPr>
            </w:pPr>
          </w:p>
        </w:tc>
        <w:tc>
          <w:tcPr>
            <w:tcW w:w="120" w:type="dxa"/>
            <w:shd w:val="clear" w:color="auto" w:fill="C95C96"/>
            <w:vAlign w:val="bottom"/>
          </w:tcPr>
          <w:p w:rsidR="00AC12B4" w:rsidRDefault="00AC12B4">
            <w:pPr>
              <w:rPr>
                <w:sz w:val="10"/>
                <w:szCs w:val="10"/>
              </w:rPr>
            </w:pPr>
          </w:p>
        </w:tc>
        <w:tc>
          <w:tcPr>
            <w:tcW w:w="640" w:type="dxa"/>
            <w:shd w:val="clear" w:color="auto" w:fill="C95C96"/>
            <w:vAlign w:val="bottom"/>
          </w:tcPr>
          <w:p w:rsidR="00AC12B4" w:rsidRDefault="00AC12B4">
            <w:pPr>
              <w:rPr>
                <w:sz w:val="10"/>
                <w:szCs w:val="10"/>
              </w:rPr>
            </w:pPr>
          </w:p>
        </w:tc>
        <w:tc>
          <w:tcPr>
            <w:tcW w:w="880" w:type="dxa"/>
            <w:shd w:val="clear" w:color="auto" w:fill="C95C96"/>
            <w:vAlign w:val="bottom"/>
          </w:tcPr>
          <w:p w:rsidR="00AC12B4" w:rsidRDefault="00AC12B4">
            <w:pPr>
              <w:rPr>
                <w:sz w:val="10"/>
                <w:szCs w:val="10"/>
              </w:rPr>
            </w:pPr>
          </w:p>
        </w:tc>
        <w:tc>
          <w:tcPr>
            <w:tcW w:w="680" w:type="dxa"/>
            <w:shd w:val="clear" w:color="auto" w:fill="C95C96"/>
            <w:vAlign w:val="bottom"/>
          </w:tcPr>
          <w:p w:rsidR="00AC12B4" w:rsidRDefault="00AC12B4">
            <w:pPr>
              <w:rPr>
                <w:sz w:val="10"/>
                <w:szCs w:val="10"/>
              </w:rPr>
            </w:pPr>
          </w:p>
        </w:tc>
        <w:tc>
          <w:tcPr>
            <w:tcW w:w="420" w:type="dxa"/>
            <w:shd w:val="clear" w:color="auto" w:fill="C95C96"/>
            <w:vAlign w:val="bottom"/>
          </w:tcPr>
          <w:p w:rsidR="00AC12B4" w:rsidRDefault="00AC12B4">
            <w:pPr>
              <w:rPr>
                <w:sz w:val="10"/>
                <w:szCs w:val="10"/>
              </w:rPr>
            </w:pPr>
          </w:p>
        </w:tc>
        <w:tc>
          <w:tcPr>
            <w:tcW w:w="100" w:type="dxa"/>
            <w:shd w:val="clear" w:color="auto" w:fill="C95C96"/>
            <w:vAlign w:val="bottom"/>
          </w:tcPr>
          <w:p w:rsidR="00AC12B4" w:rsidRDefault="00AC12B4">
            <w:pPr>
              <w:rPr>
                <w:sz w:val="10"/>
                <w:szCs w:val="10"/>
              </w:rPr>
            </w:pPr>
          </w:p>
        </w:tc>
        <w:tc>
          <w:tcPr>
            <w:tcW w:w="80" w:type="dxa"/>
            <w:tcBorders>
              <w:left w:val="single" w:sz="8" w:space="0" w:color="C95C96"/>
            </w:tcBorders>
            <w:shd w:val="clear" w:color="auto" w:fill="963266"/>
            <w:vAlign w:val="bottom"/>
          </w:tcPr>
          <w:p w:rsidR="00AC12B4" w:rsidRDefault="00AC12B4">
            <w:pPr>
              <w:rPr>
                <w:sz w:val="10"/>
                <w:szCs w:val="10"/>
              </w:rPr>
            </w:pPr>
          </w:p>
        </w:tc>
        <w:tc>
          <w:tcPr>
            <w:tcW w:w="4420" w:type="dxa"/>
            <w:gridSpan w:val="14"/>
            <w:vMerge w:val="restart"/>
            <w:vAlign w:val="bottom"/>
          </w:tcPr>
          <w:p w:rsidR="00AC12B4" w:rsidRDefault="00C27636">
            <w:pPr>
              <w:ind w:left="540"/>
              <w:rPr>
                <w:sz w:val="20"/>
                <w:szCs w:val="20"/>
              </w:rPr>
            </w:pPr>
            <w:r>
              <w:rPr>
                <w:rFonts w:ascii="Calibri" w:eastAsia="Calibri" w:hAnsi="Calibri" w:cs="Calibri"/>
              </w:rPr>
              <w:t>au droit de l’enfant à la protection contre</w:t>
            </w:r>
          </w:p>
        </w:tc>
        <w:tc>
          <w:tcPr>
            <w:tcW w:w="7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1"/>
        </w:trPr>
        <w:tc>
          <w:tcPr>
            <w:tcW w:w="960" w:type="dxa"/>
            <w:tcBorders>
              <w:left w:val="single" w:sz="8" w:space="0" w:color="963266"/>
              <w:right w:val="single" w:sz="8" w:space="0" w:color="C95C96"/>
            </w:tcBorders>
            <w:shd w:val="clear" w:color="auto" w:fill="C95C96"/>
            <w:vAlign w:val="bottom"/>
          </w:tcPr>
          <w:p w:rsidR="00AC12B4" w:rsidRDefault="00AC12B4">
            <w:pPr>
              <w:rPr>
                <w:sz w:val="13"/>
                <w:szCs w:val="13"/>
              </w:rPr>
            </w:pPr>
          </w:p>
        </w:tc>
        <w:tc>
          <w:tcPr>
            <w:tcW w:w="1640" w:type="dxa"/>
            <w:shd w:val="clear" w:color="auto" w:fill="C95C96"/>
            <w:vAlign w:val="bottom"/>
          </w:tcPr>
          <w:p w:rsidR="00AC12B4" w:rsidRDefault="00AC12B4">
            <w:pPr>
              <w:rPr>
                <w:sz w:val="13"/>
                <w:szCs w:val="13"/>
              </w:rPr>
            </w:pPr>
          </w:p>
        </w:tc>
        <w:tc>
          <w:tcPr>
            <w:tcW w:w="120" w:type="dxa"/>
            <w:shd w:val="clear" w:color="auto" w:fill="C95C96"/>
            <w:vAlign w:val="bottom"/>
          </w:tcPr>
          <w:p w:rsidR="00AC12B4" w:rsidRDefault="00AC12B4">
            <w:pPr>
              <w:rPr>
                <w:sz w:val="13"/>
                <w:szCs w:val="13"/>
              </w:rPr>
            </w:pPr>
          </w:p>
        </w:tc>
        <w:tc>
          <w:tcPr>
            <w:tcW w:w="640" w:type="dxa"/>
            <w:shd w:val="clear" w:color="auto" w:fill="C95C96"/>
            <w:vAlign w:val="bottom"/>
          </w:tcPr>
          <w:p w:rsidR="00AC12B4" w:rsidRDefault="00AC12B4">
            <w:pPr>
              <w:rPr>
                <w:sz w:val="13"/>
                <w:szCs w:val="13"/>
              </w:rPr>
            </w:pPr>
          </w:p>
        </w:tc>
        <w:tc>
          <w:tcPr>
            <w:tcW w:w="880" w:type="dxa"/>
            <w:shd w:val="clear" w:color="auto" w:fill="C95C96"/>
            <w:vAlign w:val="bottom"/>
          </w:tcPr>
          <w:p w:rsidR="00AC12B4" w:rsidRDefault="00AC12B4">
            <w:pPr>
              <w:rPr>
                <w:sz w:val="13"/>
                <w:szCs w:val="13"/>
              </w:rPr>
            </w:pPr>
          </w:p>
        </w:tc>
        <w:tc>
          <w:tcPr>
            <w:tcW w:w="680" w:type="dxa"/>
            <w:shd w:val="clear" w:color="auto" w:fill="C95C96"/>
            <w:vAlign w:val="bottom"/>
          </w:tcPr>
          <w:p w:rsidR="00AC12B4" w:rsidRDefault="00AC12B4">
            <w:pPr>
              <w:rPr>
                <w:sz w:val="13"/>
                <w:szCs w:val="13"/>
              </w:rPr>
            </w:pPr>
          </w:p>
        </w:tc>
        <w:tc>
          <w:tcPr>
            <w:tcW w:w="420" w:type="dxa"/>
            <w:shd w:val="clear" w:color="auto" w:fill="C95C96"/>
            <w:vAlign w:val="bottom"/>
          </w:tcPr>
          <w:p w:rsidR="00AC12B4" w:rsidRDefault="00AC12B4">
            <w:pPr>
              <w:rPr>
                <w:sz w:val="13"/>
                <w:szCs w:val="13"/>
              </w:rPr>
            </w:pPr>
          </w:p>
        </w:tc>
        <w:tc>
          <w:tcPr>
            <w:tcW w:w="100" w:type="dxa"/>
            <w:shd w:val="clear" w:color="auto" w:fill="C95C96"/>
            <w:vAlign w:val="bottom"/>
          </w:tcPr>
          <w:p w:rsidR="00AC12B4" w:rsidRDefault="00AC12B4">
            <w:pPr>
              <w:rPr>
                <w:sz w:val="13"/>
                <w:szCs w:val="13"/>
              </w:rPr>
            </w:pPr>
          </w:p>
        </w:tc>
        <w:tc>
          <w:tcPr>
            <w:tcW w:w="80" w:type="dxa"/>
            <w:tcBorders>
              <w:left w:val="single" w:sz="8" w:space="0" w:color="C95C96"/>
            </w:tcBorders>
            <w:shd w:val="clear" w:color="auto" w:fill="963266"/>
            <w:vAlign w:val="bottom"/>
          </w:tcPr>
          <w:p w:rsidR="00AC12B4" w:rsidRDefault="00AC12B4">
            <w:pPr>
              <w:rPr>
                <w:sz w:val="13"/>
                <w:szCs w:val="13"/>
              </w:rPr>
            </w:pPr>
          </w:p>
        </w:tc>
        <w:tc>
          <w:tcPr>
            <w:tcW w:w="4420" w:type="dxa"/>
            <w:gridSpan w:val="14"/>
            <w:vMerge/>
            <w:vAlign w:val="bottom"/>
          </w:tcPr>
          <w:p w:rsidR="00AC12B4" w:rsidRDefault="00AC12B4">
            <w:pPr>
              <w:rPr>
                <w:sz w:val="13"/>
                <w:szCs w:val="13"/>
              </w:rPr>
            </w:pPr>
          </w:p>
        </w:tc>
        <w:tc>
          <w:tcPr>
            <w:tcW w:w="7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69"/>
        </w:trPr>
        <w:tc>
          <w:tcPr>
            <w:tcW w:w="5440" w:type="dxa"/>
            <w:gridSpan w:val="8"/>
            <w:tcBorders>
              <w:left w:val="single" w:sz="8" w:space="0" w:color="963266"/>
            </w:tcBorders>
            <w:shd w:val="clear" w:color="auto" w:fill="C95C96"/>
            <w:vAlign w:val="bottom"/>
          </w:tcPr>
          <w:p w:rsidR="00AC12B4" w:rsidRDefault="00C27636">
            <w:pPr>
              <w:spacing w:line="238" w:lineRule="exact"/>
              <w:ind w:right="100"/>
              <w:jc w:val="right"/>
              <w:rPr>
                <w:sz w:val="20"/>
                <w:szCs w:val="20"/>
              </w:rPr>
            </w:pPr>
            <w:r>
              <w:rPr>
                <w:rFonts w:ascii="Calibri" w:eastAsia="Calibri" w:hAnsi="Calibri" w:cs="Calibri"/>
                <w:i/>
                <w:iCs/>
                <w:color w:val="EAF1DD"/>
              </w:rPr>
              <w:t>1. Les Etats parties prennent toutes les mesures</w:t>
            </w:r>
          </w:p>
        </w:tc>
        <w:tc>
          <w:tcPr>
            <w:tcW w:w="80" w:type="dxa"/>
            <w:tcBorders>
              <w:left w:val="single" w:sz="8" w:space="0" w:color="C95C96"/>
            </w:tcBorders>
            <w:shd w:val="clear" w:color="auto" w:fill="963266"/>
            <w:vAlign w:val="bottom"/>
          </w:tcPr>
          <w:p w:rsidR="00AC12B4" w:rsidRDefault="00AC12B4">
            <w:pPr>
              <w:rPr>
                <w:sz w:val="23"/>
                <w:szCs w:val="23"/>
              </w:rPr>
            </w:pPr>
          </w:p>
        </w:tc>
        <w:tc>
          <w:tcPr>
            <w:tcW w:w="4420" w:type="dxa"/>
            <w:gridSpan w:val="14"/>
            <w:vAlign w:val="bottom"/>
          </w:tcPr>
          <w:p w:rsidR="00AC12B4" w:rsidRDefault="00C27636">
            <w:pPr>
              <w:ind w:left="540"/>
              <w:rPr>
                <w:sz w:val="20"/>
                <w:szCs w:val="20"/>
              </w:rPr>
            </w:pPr>
            <w:r>
              <w:rPr>
                <w:rFonts w:ascii="Calibri" w:eastAsia="Calibri" w:hAnsi="Calibri" w:cs="Calibri"/>
              </w:rPr>
              <w:t xml:space="preserve">la violence physique et </w:t>
            </w:r>
            <w:r>
              <w:rPr>
                <w:rFonts w:ascii="Calibri" w:eastAsia="Calibri" w:hAnsi="Calibri" w:cs="Calibri"/>
              </w:rPr>
              <w:t>psychique et à un</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5440" w:type="dxa"/>
            <w:gridSpan w:val="8"/>
            <w:tcBorders>
              <w:left w:val="single" w:sz="8" w:space="0" w:color="963266"/>
            </w:tcBorders>
            <w:shd w:val="clear" w:color="auto" w:fill="C95C96"/>
            <w:vAlign w:val="bottom"/>
          </w:tcPr>
          <w:p w:rsidR="00AC12B4" w:rsidRDefault="00C27636">
            <w:pPr>
              <w:spacing w:line="238" w:lineRule="exact"/>
              <w:ind w:right="100"/>
              <w:jc w:val="right"/>
              <w:rPr>
                <w:sz w:val="20"/>
                <w:szCs w:val="20"/>
              </w:rPr>
            </w:pPr>
            <w:r>
              <w:rPr>
                <w:rFonts w:ascii="Calibri" w:eastAsia="Calibri" w:hAnsi="Calibri" w:cs="Calibri"/>
                <w:i/>
                <w:iCs/>
                <w:color w:val="EAF1DD"/>
              </w:rPr>
              <w:t>législatives, administratives, sociales et éducatives</w:t>
            </w:r>
          </w:p>
        </w:tc>
        <w:tc>
          <w:tcPr>
            <w:tcW w:w="80" w:type="dxa"/>
            <w:tcBorders>
              <w:left w:val="single" w:sz="8" w:space="0" w:color="C95C96"/>
            </w:tcBorders>
            <w:shd w:val="clear" w:color="auto" w:fill="963266"/>
            <w:vAlign w:val="bottom"/>
          </w:tcPr>
          <w:p w:rsidR="00AC12B4" w:rsidRDefault="00AC12B4">
            <w:pPr>
              <w:rPr>
                <w:sz w:val="23"/>
                <w:szCs w:val="23"/>
              </w:rPr>
            </w:pPr>
          </w:p>
        </w:tc>
        <w:tc>
          <w:tcPr>
            <w:tcW w:w="1600" w:type="dxa"/>
            <w:gridSpan w:val="3"/>
            <w:vAlign w:val="bottom"/>
          </w:tcPr>
          <w:p w:rsidR="00AC12B4" w:rsidRDefault="00C27636">
            <w:pPr>
              <w:ind w:left="540"/>
              <w:rPr>
                <w:sz w:val="20"/>
                <w:szCs w:val="20"/>
              </w:rPr>
            </w:pPr>
            <w:r>
              <w:rPr>
                <w:rFonts w:ascii="Calibri" w:eastAsia="Calibri" w:hAnsi="Calibri" w:cs="Calibri"/>
              </w:rPr>
              <w:t>traitement</w:t>
            </w:r>
          </w:p>
        </w:tc>
        <w:tc>
          <w:tcPr>
            <w:tcW w:w="700" w:type="dxa"/>
            <w:gridSpan w:val="3"/>
            <w:vAlign w:val="bottom"/>
          </w:tcPr>
          <w:p w:rsidR="00AC12B4" w:rsidRDefault="00C27636">
            <w:pPr>
              <w:jc w:val="right"/>
              <w:rPr>
                <w:sz w:val="20"/>
                <w:szCs w:val="20"/>
              </w:rPr>
            </w:pPr>
            <w:r>
              <w:rPr>
                <w:rFonts w:ascii="Calibri" w:eastAsia="Calibri" w:hAnsi="Calibri" w:cs="Calibri"/>
              </w:rPr>
              <w:t>adapté</w:t>
            </w:r>
          </w:p>
        </w:tc>
        <w:tc>
          <w:tcPr>
            <w:tcW w:w="400" w:type="dxa"/>
            <w:gridSpan w:val="2"/>
            <w:vAlign w:val="bottom"/>
          </w:tcPr>
          <w:p w:rsidR="00AC12B4" w:rsidRDefault="00C27636">
            <w:pPr>
              <w:ind w:left="120"/>
              <w:rPr>
                <w:sz w:val="20"/>
                <w:szCs w:val="20"/>
              </w:rPr>
            </w:pPr>
            <w:r>
              <w:rPr>
                <w:rFonts w:ascii="Calibri" w:eastAsia="Calibri" w:hAnsi="Calibri" w:cs="Calibri"/>
              </w:rPr>
              <w:t>et</w:t>
            </w:r>
          </w:p>
        </w:tc>
        <w:tc>
          <w:tcPr>
            <w:tcW w:w="400" w:type="dxa"/>
            <w:vAlign w:val="bottom"/>
          </w:tcPr>
          <w:p w:rsidR="00AC12B4" w:rsidRDefault="00C27636">
            <w:pPr>
              <w:ind w:left="40"/>
              <w:rPr>
                <w:sz w:val="20"/>
                <w:szCs w:val="20"/>
              </w:rPr>
            </w:pPr>
            <w:r>
              <w:rPr>
                <w:rFonts w:ascii="Calibri" w:eastAsia="Calibri" w:hAnsi="Calibri" w:cs="Calibri"/>
                <w:w w:val="99"/>
              </w:rPr>
              <w:t>une</w:t>
            </w:r>
          </w:p>
        </w:tc>
        <w:tc>
          <w:tcPr>
            <w:tcW w:w="1320" w:type="dxa"/>
            <w:gridSpan w:val="5"/>
            <w:vAlign w:val="bottom"/>
          </w:tcPr>
          <w:p w:rsidR="00AC12B4" w:rsidRDefault="00C27636">
            <w:pPr>
              <w:jc w:val="right"/>
              <w:rPr>
                <w:sz w:val="20"/>
                <w:szCs w:val="20"/>
              </w:rPr>
            </w:pPr>
            <w:r>
              <w:rPr>
                <w:rFonts w:ascii="Calibri" w:eastAsia="Calibri" w:hAnsi="Calibri" w:cs="Calibri"/>
              </w:rPr>
              <w:t>réintégration</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5440" w:type="dxa"/>
            <w:gridSpan w:val="8"/>
            <w:tcBorders>
              <w:left w:val="single" w:sz="8" w:space="0" w:color="963266"/>
            </w:tcBorders>
            <w:shd w:val="clear" w:color="auto" w:fill="C95C96"/>
            <w:vAlign w:val="bottom"/>
          </w:tcPr>
          <w:p w:rsidR="00AC12B4" w:rsidRDefault="00C27636">
            <w:pPr>
              <w:spacing w:line="238" w:lineRule="exact"/>
              <w:ind w:right="100"/>
              <w:jc w:val="right"/>
              <w:rPr>
                <w:sz w:val="20"/>
                <w:szCs w:val="20"/>
              </w:rPr>
            </w:pPr>
            <w:r>
              <w:rPr>
                <w:rFonts w:ascii="Calibri" w:eastAsia="Calibri" w:hAnsi="Calibri" w:cs="Calibri"/>
                <w:i/>
                <w:iCs/>
                <w:color w:val="EAF1DD"/>
              </w:rPr>
              <w:t>appropriées  pour  protéger  l’enfant  contre  toute</w:t>
            </w:r>
          </w:p>
        </w:tc>
        <w:tc>
          <w:tcPr>
            <w:tcW w:w="80" w:type="dxa"/>
            <w:tcBorders>
              <w:left w:val="single" w:sz="8" w:space="0" w:color="C95C96"/>
            </w:tcBorders>
            <w:shd w:val="clear" w:color="auto" w:fill="963266"/>
            <w:vAlign w:val="bottom"/>
          </w:tcPr>
          <w:p w:rsidR="00AC12B4" w:rsidRDefault="00AC12B4">
            <w:pPr>
              <w:rPr>
                <w:sz w:val="23"/>
                <w:szCs w:val="23"/>
              </w:rPr>
            </w:pPr>
          </w:p>
        </w:tc>
        <w:tc>
          <w:tcPr>
            <w:tcW w:w="4420" w:type="dxa"/>
            <w:gridSpan w:val="14"/>
            <w:vAlign w:val="bottom"/>
          </w:tcPr>
          <w:p w:rsidR="00AC12B4" w:rsidRDefault="00C27636">
            <w:pPr>
              <w:ind w:left="540"/>
              <w:rPr>
                <w:sz w:val="20"/>
                <w:szCs w:val="20"/>
              </w:rPr>
            </w:pPr>
            <w:r>
              <w:rPr>
                <w:rFonts w:ascii="Calibri" w:eastAsia="Calibri" w:hAnsi="Calibri" w:cs="Calibri"/>
              </w:rPr>
              <w:t>sociale (art. 19 et 39 CIDE, commentaire</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2600" w:type="dxa"/>
            <w:gridSpan w:val="2"/>
            <w:tcBorders>
              <w:left w:val="single" w:sz="8" w:space="0" w:color="963266"/>
            </w:tcBorders>
            <w:shd w:val="clear" w:color="auto" w:fill="C95C96"/>
            <w:vAlign w:val="bottom"/>
          </w:tcPr>
          <w:p w:rsidR="00AC12B4" w:rsidRDefault="00C27636">
            <w:pPr>
              <w:spacing w:line="242" w:lineRule="exact"/>
              <w:ind w:left="580"/>
              <w:rPr>
                <w:sz w:val="20"/>
                <w:szCs w:val="20"/>
              </w:rPr>
            </w:pPr>
            <w:r>
              <w:rPr>
                <w:rFonts w:ascii="Calibri" w:eastAsia="Calibri" w:hAnsi="Calibri" w:cs="Calibri"/>
                <w:i/>
                <w:iCs/>
                <w:color w:val="EAF1DD"/>
              </w:rPr>
              <w:t>forme de violence, […]</w:t>
            </w:r>
          </w:p>
        </w:tc>
        <w:tc>
          <w:tcPr>
            <w:tcW w:w="120" w:type="dxa"/>
            <w:shd w:val="clear" w:color="auto" w:fill="C95C96"/>
            <w:vAlign w:val="bottom"/>
          </w:tcPr>
          <w:p w:rsidR="00AC12B4" w:rsidRDefault="00AC12B4">
            <w:pPr>
              <w:rPr>
                <w:sz w:val="23"/>
                <w:szCs w:val="23"/>
              </w:rPr>
            </w:pPr>
          </w:p>
        </w:tc>
        <w:tc>
          <w:tcPr>
            <w:tcW w:w="640" w:type="dxa"/>
            <w:shd w:val="clear" w:color="auto" w:fill="C95C96"/>
            <w:vAlign w:val="bottom"/>
          </w:tcPr>
          <w:p w:rsidR="00AC12B4" w:rsidRDefault="00AC12B4">
            <w:pPr>
              <w:rPr>
                <w:sz w:val="23"/>
                <w:szCs w:val="23"/>
              </w:rPr>
            </w:pPr>
          </w:p>
        </w:tc>
        <w:tc>
          <w:tcPr>
            <w:tcW w:w="880" w:type="dxa"/>
            <w:shd w:val="clear" w:color="auto" w:fill="C95C96"/>
            <w:vAlign w:val="bottom"/>
          </w:tcPr>
          <w:p w:rsidR="00AC12B4" w:rsidRDefault="00AC12B4">
            <w:pPr>
              <w:rPr>
                <w:sz w:val="23"/>
                <w:szCs w:val="23"/>
              </w:rPr>
            </w:pPr>
          </w:p>
        </w:tc>
        <w:tc>
          <w:tcPr>
            <w:tcW w:w="680" w:type="dxa"/>
            <w:shd w:val="clear" w:color="auto" w:fill="C95C96"/>
            <w:vAlign w:val="bottom"/>
          </w:tcPr>
          <w:p w:rsidR="00AC12B4" w:rsidRDefault="00AC12B4">
            <w:pPr>
              <w:rPr>
                <w:sz w:val="23"/>
                <w:szCs w:val="23"/>
              </w:rPr>
            </w:pPr>
          </w:p>
        </w:tc>
        <w:tc>
          <w:tcPr>
            <w:tcW w:w="420" w:type="dxa"/>
            <w:shd w:val="clear" w:color="auto" w:fill="C95C96"/>
            <w:vAlign w:val="bottom"/>
          </w:tcPr>
          <w:p w:rsidR="00AC12B4" w:rsidRDefault="00AC12B4">
            <w:pPr>
              <w:rPr>
                <w:sz w:val="23"/>
                <w:szCs w:val="23"/>
              </w:rPr>
            </w:pPr>
          </w:p>
        </w:tc>
        <w:tc>
          <w:tcPr>
            <w:tcW w:w="100" w:type="dxa"/>
            <w:shd w:val="clear" w:color="auto" w:fill="C95C96"/>
            <w:vAlign w:val="bottom"/>
          </w:tcPr>
          <w:p w:rsidR="00AC12B4" w:rsidRDefault="00AC12B4">
            <w:pPr>
              <w:rPr>
                <w:sz w:val="23"/>
                <w:szCs w:val="23"/>
              </w:rPr>
            </w:pPr>
          </w:p>
        </w:tc>
        <w:tc>
          <w:tcPr>
            <w:tcW w:w="80" w:type="dxa"/>
            <w:tcBorders>
              <w:left w:val="single" w:sz="8" w:space="0" w:color="C95C96"/>
            </w:tcBorders>
            <w:shd w:val="clear" w:color="auto" w:fill="963266"/>
            <w:vAlign w:val="bottom"/>
          </w:tcPr>
          <w:p w:rsidR="00AC12B4" w:rsidRDefault="00AC12B4">
            <w:pPr>
              <w:rPr>
                <w:sz w:val="23"/>
                <w:szCs w:val="23"/>
              </w:rPr>
            </w:pPr>
          </w:p>
        </w:tc>
        <w:tc>
          <w:tcPr>
            <w:tcW w:w="1220" w:type="dxa"/>
            <w:gridSpan w:val="2"/>
            <w:vAlign w:val="bottom"/>
          </w:tcPr>
          <w:p w:rsidR="00AC12B4" w:rsidRDefault="00C27636">
            <w:pPr>
              <w:ind w:left="540"/>
              <w:rPr>
                <w:sz w:val="20"/>
                <w:szCs w:val="20"/>
              </w:rPr>
            </w:pPr>
            <w:r>
              <w:rPr>
                <w:rFonts w:ascii="Calibri" w:eastAsia="Calibri" w:hAnsi="Calibri" w:cs="Calibri"/>
                <w:w w:val="98"/>
              </w:rPr>
              <w:t>général</w:t>
            </w:r>
          </w:p>
        </w:tc>
        <w:tc>
          <w:tcPr>
            <w:tcW w:w="380" w:type="dxa"/>
            <w:vAlign w:val="bottom"/>
          </w:tcPr>
          <w:p w:rsidR="00AC12B4" w:rsidRDefault="00C27636">
            <w:pPr>
              <w:ind w:left="100"/>
              <w:rPr>
                <w:sz w:val="20"/>
                <w:szCs w:val="20"/>
              </w:rPr>
            </w:pPr>
            <w:r>
              <w:rPr>
                <w:rFonts w:ascii="Calibri" w:eastAsia="Calibri" w:hAnsi="Calibri" w:cs="Calibri"/>
              </w:rPr>
              <w:t>n°</w:t>
            </w:r>
          </w:p>
        </w:tc>
        <w:tc>
          <w:tcPr>
            <w:tcW w:w="700" w:type="dxa"/>
            <w:gridSpan w:val="3"/>
            <w:vAlign w:val="bottom"/>
          </w:tcPr>
          <w:p w:rsidR="00AC12B4" w:rsidRDefault="00C27636">
            <w:pPr>
              <w:jc w:val="right"/>
              <w:rPr>
                <w:sz w:val="20"/>
                <w:szCs w:val="20"/>
              </w:rPr>
            </w:pPr>
            <w:r>
              <w:rPr>
                <w:rFonts w:ascii="Calibri" w:eastAsia="Calibri" w:hAnsi="Calibri" w:cs="Calibri"/>
              </w:rPr>
              <w:t>13 du</w:t>
            </w:r>
          </w:p>
        </w:tc>
        <w:tc>
          <w:tcPr>
            <w:tcW w:w="800" w:type="dxa"/>
            <w:gridSpan w:val="3"/>
            <w:vAlign w:val="bottom"/>
          </w:tcPr>
          <w:p w:rsidR="00AC12B4" w:rsidRDefault="00C27636">
            <w:pPr>
              <w:ind w:left="40"/>
              <w:rPr>
                <w:sz w:val="20"/>
                <w:szCs w:val="20"/>
              </w:rPr>
            </w:pPr>
            <w:r>
              <w:rPr>
                <w:rFonts w:ascii="Calibri" w:eastAsia="Calibri" w:hAnsi="Calibri" w:cs="Calibri"/>
              </w:rPr>
              <w:t>Comité</w:t>
            </w:r>
          </w:p>
        </w:tc>
        <w:tc>
          <w:tcPr>
            <w:tcW w:w="340" w:type="dxa"/>
            <w:vAlign w:val="bottom"/>
          </w:tcPr>
          <w:p w:rsidR="00AC12B4" w:rsidRDefault="00C27636">
            <w:pPr>
              <w:jc w:val="right"/>
              <w:rPr>
                <w:sz w:val="20"/>
                <w:szCs w:val="20"/>
              </w:rPr>
            </w:pPr>
            <w:r>
              <w:rPr>
                <w:rFonts w:ascii="Calibri" w:eastAsia="Calibri" w:hAnsi="Calibri" w:cs="Calibri"/>
                <w:w w:val="96"/>
              </w:rPr>
              <w:t>des</w:t>
            </w:r>
          </w:p>
        </w:tc>
        <w:tc>
          <w:tcPr>
            <w:tcW w:w="680" w:type="dxa"/>
            <w:gridSpan w:val="3"/>
            <w:vAlign w:val="bottom"/>
          </w:tcPr>
          <w:p w:rsidR="00AC12B4" w:rsidRDefault="00C27636">
            <w:pPr>
              <w:ind w:left="100"/>
              <w:rPr>
                <w:sz w:val="20"/>
                <w:szCs w:val="20"/>
              </w:rPr>
            </w:pPr>
            <w:r>
              <w:rPr>
                <w:rFonts w:ascii="Calibri" w:eastAsia="Calibri" w:hAnsi="Calibri" w:cs="Calibri"/>
              </w:rPr>
              <w:t>droits</w:t>
            </w:r>
          </w:p>
        </w:tc>
        <w:tc>
          <w:tcPr>
            <w:tcW w:w="300" w:type="dxa"/>
            <w:vAlign w:val="bottom"/>
          </w:tcPr>
          <w:p w:rsidR="00AC12B4" w:rsidRDefault="00C27636">
            <w:pPr>
              <w:jc w:val="right"/>
              <w:rPr>
                <w:sz w:val="20"/>
                <w:szCs w:val="20"/>
              </w:rPr>
            </w:pPr>
            <w:r>
              <w:rPr>
                <w:rFonts w:ascii="Calibri" w:eastAsia="Calibri" w:hAnsi="Calibri" w:cs="Calibri"/>
              </w:rPr>
              <w:t>de</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960" w:type="dxa"/>
            <w:tcBorders>
              <w:left w:val="single" w:sz="8" w:space="0" w:color="963266"/>
              <w:right w:val="single" w:sz="8" w:space="0" w:color="C95C96"/>
            </w:tcBorders>
            <w:shd w:val="clear" w:color="auto" w:fill="C95C96"/>
            <w:vAlign w:val="bottom"/>
          </w:tcPr>
          <w:p w:rsidR="00AC12B4" w:rsidRDefault="00AC12B4">
            <w:pPr>
              <w:rPr>
                <w:sz w:val="23"/>
                <w:szCs w:val="23"/>
              </w:rPr>
            </w:pPr>
          </w:p>
        </w:tc>
        <w:tc>
          <w:tcPr>
            <w:tcW w:w="1640" w:type="dxa"/>
            <w:shd w:val="clear" w:color="auto" w:fill="C95C96"/>
            <w:vAlign w:val="bottom"/>
          </w:tcPr>
          <w:p w:rsidR="00AC12B4" w:rsidRDefault="00AC12B4">
            <w:pPr>
              <w:rPr>
                <w:sz w:val="23"/>
                <w:szCs w:val="23"/>
              </w:rPr>
            </w:pPr>
          </w:p>
        </w:tc>
        <w:tc>
          <w:tcPr>
            <w:tcW w:w="120" w:type="dxa"/>
            <w:shd w:val="clear" w:color="auto" w:fill="C95C96"/>
            <w:vAlign w:val="bottom"/>
          </w:tcPr>
          <w:p w:rsidR="00AC12B4" w:rsidRDefault="00AC12B4">
            <w:pPr>
              <w:rPr>
                <w:sz w:val="23"/>
                <w:szCs w:val="23"/>
              </w:rPr>
            </w:pPr>
          </w:p>
        </w:tc>
        <w:tc>
          <w:tcPr>
            <w:tcW w:w="640" w:type="dxa"/>
            <w:shd w:val="clear" w:color="auto" w:fill="C95C96"/>
            <w:vAlign w:val="bottom"/>
          </w:tcPr>
          <w:p w:rsidR="00AC12B4" w:rsidRDefault="00AC12B4">
            <w:pPr>
              <w:rPr>
                <w:sz w:val="23"/>
                <w:szCs w:val="23"/>
              </w:rPr>
            </w:pPr>
          </w:p>
        </w:tc>
        <w:tc>
          <w:tcPr>
            <w:tcW w:w="880" w:type="dxa"/>
            <w:shd w:val="clear" w:color="auto" w:fill="C95C96"/>
            <w:vAlign w:val="bottom"/>
          </w:tcPr>
          <w:p w:rsidR="00AC12B4" w:rsidRDefault="00AC12B4">
            <w:pPr>
              <w:rPr>
                <w:sz w:val="23"/>
                <w:szCs w:val="23"/>
              </w:rPr>
            </w:pPr>
          </w:p>
        </w:tc>
        <w:tc>
          <w:tcPr>
            <w:tcW w:w="680" w:type="dxa"/>
            <w:shd w:val="clear" w:color="auto" w:fill="C95C96"/>
            <w:vAlign w:val="bottom"/>
          </w:tcPr>
          <w:p w:rsidR="00AC12B4" w:rsidRDefault="00AC12B4">
            <w:pPr>
              <w:rPr>
                <w:sz w:val="23"/>
                <w:szCs w:val="23"/>
              </w:rPr>
            </w:pPr>
          </w:p>
        </w:tc>
        <w:tc>
          <w:tcPr>
            <w:tcW w:w="420" w:type="dxa"/>
            <w:shd w:val="clear" w:color="auto" w:fill="C95C96"/>
            <w:vAlign w:val="bottom"/>
          </w:tcPr>
          <w:p w:rsidR="00AC12B4" w:rsidRDefault="00AC12B4">
            <w:pPr>
              <w:rPr>
                <w:sz w:val="23"/>
                <w:szCs w:val="23"/>
              </w:rPr>
            </w:pPr>
          </w:p>
        </w:tc>
        <w:tc>
          <w:tcPr>
            <w:tcW w:w="100" w:type="dxa"/>
            <w:shd w:val="clear" w:color="auto" w:fill="C95C96"/>
            <w:vAlign w:val="bottom"/>
          </w:tcPr>
          <w:p w:rsidR="00AC12B4" w:rsidRDefault="00AC12B4">
            <w:pPr>
              <w:rPr>
                <w:sz w:val="23"/>
                <w:szCs w:val="23"/>
              </w:rPr>
            </w:pPr>
          </w:p>
        </w:tc>
        <w:tc>
          <w:tcPr>
            <w:tcW w:w="80" w:type="dxa"/>
            <w:tcBorders>
              <w:left w:val="single" w:sz="8" w:space="0" w:color="C95C96"/>
            </w:tcBorders>
            <w:shd w:val="clear" w:color="auto" w:fill="963266"/>
            <w:vAlign w:val="bottom"/>
          </w:tcPr>
          <w:p w:rsidR="00AC12B4" w:rsidRDefault="00AC12B4">
            <w:pPr>
              <w:rPr>
                <w:sz w:val="23"/>
                <w:szCs w:val="23"/>
              </w:rPr>
            </w:pPr>
          </w:p>
        </w:tc>
        <w:tc>
          <w:tcPr>
            <w:tcW w:w="4420" w:type="dxa"/>
            <w:gridSpan w:val="14"/>
            <w:vAlign w:val="bottom"/>
          </w:tcPr>
          <w:p w:rsidR="00AC12B4" w:rsidRDefault="00C27636">
            <w:pPr>
              <w:ind w:left="540"/>
              <w:rPr>
                <w:sz w:val="20"/>
                <w:szCs w:val="20"/>
              </w:rPr>
            </w:pPr>
            <w:r>
              <w:rPr>
                <w:rFonts w:ascii="Calibri" w:eastAsia="Calibri" w:hAnsi="Calibri" w:cs="Calibri"/>
              </w:rPr>
              <w:t>l’enfant et l’étude des Nations-Unies sur la</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98"/>
        </w:trPr>
        <w:tc>
          <w:tcPr>
            <w:tcW w:w="960" w:type="dxa"/>
            <w:tcBorders>
              <w:left w:val="single" w:sz="8" w:space="0" w:color="963266"/>
              <w:bottom w:val="single" w:sz="8" w:space="0" w:color="963266"/>
              <w:right w:val="single" w:sz="8" w:space="0" w:color="C95C96"/>
            </w:tcBorders>
            <w:shd w:val="clear" w:color="auto" w:fill="C95C96"/>
            <w:vAlign w:val="bottom"/>
          </w:tcPr>
          <w:p w:rsidR="00AC12B4" w:rsidRDefault="00AC12B4">
            <w:pPr>
              <w:rPr>
                <w:sz w:val="8"/>
                <w:szCs w:val="8"/>
              </w:rPr>
            </w:pPr>
          </w:p>
        </w:tc>
        <w:tc>
          <w:tcPr>
            <w:tcW w:w="1640" w:type="dxa"/>
            <w:tcBorders>
              <w:bottom w:val="single" w:sz="8" w:space="0" w:color="963266"/>
            </w:tcBorders>
            <w:shd w:val="clear" w:color="auto" w:fill="C95C96"/>
            <w:vAlign w:val="bottom"/>
          </w:tcPr>
          <w:p w:rsidR="00AC12B4" w:rsidRDefault="00AC12B4">
            <w:pPr>
              <w:rPr>
                <w:sz w:val="8"/>
                <w:szCs w:val="8"/>
              </w:rPr>
            </w:pPr>
          </w:p>
        </w:tc>
        <w:tc>
          <w:tcPr>
            <w:tcW w:w="120" w:type="dxa"/>
            <w:tcBorders>
              <w:bottom w:val="single" w:sz="8" w:space="0" w:color="963266"/>
            </w:tcBorders>
            <w:shd w:val="clear" w:color="auto" w:fill="C95C96"/>
            <w:vAlign w:val="bottom"/>
          </w:tcPr>
          <w:p w:rsidR="00AC12B4" w:rsidRDefault="00AC12B4">
            <w:pPr>
              <w:rPr>
                <w:sz w:val="8"/>
                <w:szCs w:val="8"/>
              </w:rPr>
            </w:pPr>
          </w:p>
        </w:tc>
        <w:tc>
          <w:tcPr>
            <w:tcW w:w="640" w:type="dxa"/>
            <w:tcBorders>
              <w:bottom w:val="single" w:sz="8" w:space="0" w:color="963266"/>
            </w:tcBorders>
            <w:shd w:val="clear" w:color="auto" w:fill="C95C96"/>
            <w:vAlign w:val="bottom"/>
          </w:tcPr>
          <w:p w:rsidR="00AC12B4" w:rsidRDefault="00AC12B4">
            <w:pPr>
              <w:rPr>
                <w:sz w:val="8"/>
                <w:szCs w:val="8"/>
              </w:rPr>
            </w:pPr>
          </w:p>
        </w:tc>
        <w:tc>
          <w:tcPr>
            <w:tcW w:w="880" w:type="dxa"/>
            <w:tcBorders>
              <w:bottom w:val="single" w:sz="8" w:space="0" w:color="963266"/>
            </w:tcBorders>
            <w:shd w:val="clear" w:color="auto" w:fill="C95C96"/>
            <w:vAlign w:val="bottom"/>
          </w:tcPr>
          <w:p w:rsidR="00AC12B4" w:rsidRDefault="00AC12B4">
            <w:pPr>
              <w:rPr>
                <w:sz w:val="8"/>
                <w:szCs w:val="8"/>
              </w:rPr>
            </w:pPr>
          </w:p>
        </w:tc>
        <w:tc>
          <w:tcPr>
            <w:tcW w:w="680" w:type="dxa"/>
            <w:tcBorders>
              <w:bottom w:val="single" w:sz="8" w:space="0" w:color="963266"/>
            </w:tcBorders>
            <w:shd w:val="clear" w:color="auto" w:fill="C95C96"/>
            <w:vAlign w:val="bottom"/>
          </w:tcPr>
          <w:p w:rsidR="00AC12B4" w:rsidRDefault="00AC12B4">
            <w:pPr>
              <w:rPr>
                <w:sz w:val="8"/>
                <w:szCs w:val="8"/>
              </w:rPr>
            </w:pPr>
          </w:p>
        </w:tc>
        <w:tc>
          <w:tcPr>
            <w:tcW w:w="420" w:type="dxa"/>
            <w:tcBorders>
              <w:bottom w:val="single" w:sz="8" w:space="0" w:color="963266"/>
            </w:tcBorders>
            <w:shd w:val="clear" w:color="auto" w:fill="C95C96"/>
            <w:vAlign w:val="bottom"/>
          </w:tcPr>
          <w:p w:rsidR="00AC12B4" w:rsidRDefault="00AC12B4">
            <w:pPr>
              <w:rPr>
                <w:sz w:val="8"/>
                <w:szCs w:val="8"/>
              </w:rPr>
            </w:pPr>
          </w:p>
        </w:tc>
        <w:tc>
          <w:tcPr>
            <w:tcW w:w="100" w:type="dxa"/>
            <w:tcBorders>
              <w:bottom w:val="single" w:sz="8" w:space="0" w:color="963266"/>
            </w:tcBorders>
            <w:shd w:val="clear" w:color="auto" w:fill="C95C96"/>
            <w:vAlign w:val="bottom"/>
          </w:tcPr>
          <w:p w:rsidR="00AC12B4" w:rsidRDefault="00AC12B4">
            <w:pPr>
              <w:rPr>
                <w:sz w:val="8"/>
                <w:szCs w:val="8"/>
              </w:rPr>
            </w:pPr>
          </w:p>
        </w:tc>
        <w:tc>
          <w:tcPr>
            <w:tcW w:w="80" w:type="dxa"/>
            <w:tcBorders>
              <w:left w:val="single" w:sz="8" w:space="0" w:color="C95C96"/>
              <w:bottom w:val="single" w:sz="8" w:space="0" w:color="963266"/>
            </w:tcBorders>
            <w:shd w:val="clear" w:color="auto" w:fill="963266"/>
            <w:vAlign w:val="bottom"/>
          </w:tcPr>
          <w:p w:rsidR="00AC12B4" w:rsidRDefault="00AC12B4">
            <w:pPr>
              <w:rPr>
                <w:sz w:val="8"/>
                <w:szCs w:val="8"/>
              </w:rPr>
            </w:pPr>
          </w:p>
        </w:tc>
        <w:tc>
          <w:tcPr>
            <w:tcW w:w="1600" w:type="dxa"/>
            <w:gridSpan w:val="3"/>
            <w:vMerge w:val="restart"/>
            <w:vAlign w:val="bottom"/>
          </w:tcPr>
          <w:p w:rsidR="00AC12B4" w:rsidRDefault="00C27636">
            <w:pPr>
              <w:spacing w:line="267" w:lineRule="exact"/>
              <w:ind w:left="540"/>
              <w:rPr>
                <w:sz w:val="20"/>
                <w:szCs w:val="20"/>
              </w:rPr>
            </w:pPr>
            <w:r>
              <w:rPr>
                <w:rFonts w:ascii="Calibri" w:eastAsia="Calibri" w:hAnsi="Calibri" w:cs="Calibri"/>
              </w:rPr>
              <w:t>violence</w:t>
            </w:r>
          </w:p>
        </w:tc>
        <w:tc>
          <w:tcPr>
            <w:tcW w:w="140" w:type="dxa"/>
            <w:vAlign w:val="bottom"/>
          </w:tcPr>
          <w:p w:rsidR="00AC12B4" w:rsidRDefault="00AC12B4">
            <w:pPr>
              <w:rPr>
                <w:sz w:val="8"/>
                <w:szCs w:val="8"/>
              </w:rPr>
            </w:pPr>
          </w:p>
        </w:tc>
        <w:tc>
          <w:tcPr>
            <w:tcW w:w="560" w:type="dxa"/>
            <w:gridSpan w:val="2"/>
            <w:vMerge w:val="restart"/>
            <w:vAlign w:val="bottom"/>
          </w:tcPr>
          <w:p w:rsidR="00AC12B4" w:rsidRDefault="00C27636">
            <w:pPr>
              <w:spacing w:line="267" w:lineRule="exact"/>
              <w:jc w:val="right"/>
              <w:rPr>
                <w:sz w:val="20"/>
                <w:szCs w:val="20"/>
              </w:rPr>
            </w:pPr>
            <w:r>
              <w:rPr>
                <w:rFonts w:ascii="Calibri" w:eastAsia="Calibri" w:hAnsi="Calibri" w:cs="Calibri"/>
              </w:rPr>
              <w:t>à</w:t>
            </w: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74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48"/>
        </w:trPr>
        <w:tc>
          <w:tcPr>
            <w:tcW w:w="960" w:type="dxa"/>
            <w:vAlign w:val="bottom"/>
          </w:tcPr>
          <w:p w:rsidR="00AC12B4" w:rsidRDefault="00AC12B4">
            <w:pPr>
              <w:rPr>
                <w:sz w:val="12"/>
                <w:szCs w:val="12"/>
              </w:rPr>
            </w:pPr>
          </w:p>
        </w:tc>
        <w:tc>
          <w:tcPr>
            <w:tcW w:w="164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640" w:type="dxa"/>
            <w:vAlign w:val="bottom"/>
          </w:tcPr>
          <w:p w:rsidR="00AC12B4" w:rsidRDefault="00AC12B4">
            <w:pPr>
              <w:rPr>
                <w:sz w:val="12"/>
                <w:szCs w:val="12"/>
              </w:rPr>
            </w:pPr>
          </w:p>
        </w:tc>
        <w:tc>
          <w:tcPr>
            <w:tcW w:w="880" w:type="dxa"/>
            <w:vAlign w:val="bottom"/>
          </w:tcPr>
          <w:p w:rsidR="00AC12B4" w:rsidRDefault="00AC12B4">
            <w:pPr>
              <w:rPr>
                <w:sz w:val="12"/>
                <w:szCs w:val="12"/>
              </w:rPr>
            </w:pPr>
          </w:p>
        </w:tc>
        <w:tc>
          <w:tcPr>
            <w:tcW w:w="68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1600" w:type="dxa"/>
            <w:gridSpan w:val="3"/>
            <w:vMerge/>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560" w:type="dxa"/>
            <w:gridSpan w:val="2"/>
            <w:vMerge/>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400" w:type="dxa"/>
            <w:vAlign w:val="bottom"/>
          </w:tcPr>
          <w:p w:rsidR="00AC12B4" w:rsidRDefault="00AC12B4">
            <w:pPr>
              <w:rPr>
                <w:sz w:val="12"/>
                <w:szCs w:val="12"/>
              </w:rPr>
            </w:pPr>
          </w:p>
        </w:tc>
        <w:tc>
          <w:tcPr>
            <w:tcW w:w="340" w:type="dxa"/>
            <w:vAlign w:val="bottom"/>
          </w:tcPr>
          <w:p w:rsidR="00AC12B4" w:rsidRDefault="00AC12B4">
            <w:pPr>
              <w:rPr>
                <w:sz w:val="12"/>
                <w:szCs w:val="12"/>
              </w:rPr>
            </w:pPr>
          </w:p>
        </w:tc>
        <w:tc>
          <w:tcPr>
            <w:tcW w:w="200" w:type="dxa"/>
            <w:vAlign w:val="bottom"/>
          </w:tcPr>
          <w:p w:rsidR="00AC12B4" w:rsidRDefault="00AC12B4">
            <w:pPr>
              <w:rPr>
                <w:sz w:val="12"/>
                <w:szCs w:val="12"/>
              </w:rPr>
            </w:pPr>
          </w:p>
        </w:tc>
        <w:tc>
          <w:tcPr>
            <w:tcW w:w="240" w:type="dxa"/>
            <w:vAlign w:val="bottom"/>
          </w:tcPr>
          <w:p w:rsidR="00AC12B4" w:rsidRDefault="00AC12B4">
            <w:pPr>
              <w:rPr>
                <w:sz w:val="12"/>
                <w:szCs w:val="12"/>
              </w:rPr>
            </w:pPr>
          </w:p>
        </w:tc>
        <w:tc>
          <w:tcPr>
            <w:tcW w:w="24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74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41"/>
        </w:trPr>
        <w:tc>
          <w:tcPr>
            <w:tcW w:w="960" w:type="dxa"/>
            <w:vAlign w:val="bottom"/>
          </w:tcPr>
          <w:p w:rsidR="00AC12B4" w:rsidRDefault="00AC12B4">
            <w:pPr>
              <w:rPr>
                <w:sz w:val="12"/>
                <w:szCs w:val="12"/>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 xml:space="preserve">Le droit de l'enfant à être </w:t>
            </w:r>
            <w:r>
              <w:rPr>
                <w:rFonts w:ascii="Calibri" w:eastAsia="Calibri" w:hAnsi="Calibri" w:cs="Calibri"/>
              </w:rPr>
              <w:lastRenderedPageBreak/>
              <w:t>protégé contre</w:t>
            </w:r>
          </w:p>
        </w:tc>
        <w:tc>
          <w:tcPr>
            <w:tcW w:w="80" w:type="dxa"/>
            <w:vMerge w:val="restart"/>
            <w:vAlign w:val="bottom"/>
          </w:tcPr>
          <w:p w:rsidR="00AC12B4" w:rsidRDefault="00AC12B4">
            <w:pPr>
              <w:rPr>
                <w:sz w:val="12"/>
                <w:szCs w:val="12"/>
              </w:rPr>
            </w:pPr>
          </w:p>
        </w:tc>
        <w:tc>
          <w:tcPr>
            <w:tcW w:w="1600" w:type="dxa"/>
            <w:gridSpan w:val="3"/>
            <w:vMerge w:val="restart"/>
            <w:vAlign w:val="bottom"/>
          </w:tcPr>
          <w:p w:rsidR="00AC12B4" w:rsidRDefault="00C27636">
            <w:pPr>
              <w:ind w:left="540"/>
              <w:rPr>
                <w:sz w:val="20"/>
                <w:szCs w:val="20"/>
              </w:rPr>
            </w:pPr>
            <w:r>
              <w:rPr>
                <w:rFonts w:ascii="Calibri" w:eastAsia="Calibri" w:hAnsi="Calibri" w:cs="Calibri"/>
              </w:rPr>
              <w:t>l’enc</w:t>
            </w:r>
            <w:r>
              <w:rPr>
                <w:rFonts w:ascii="Calibri" w:eastAsia="Calibri" w:hAnsi="Calibri" w:cs="Calibri"/>
              </w:rPr>
              <w:lastRenderedPageBreak/>
              <w:t>ontre</w:t>
            </w:r>
          </w:p>
        </w:tc>
        <w:tc>
          <w:tcPr>
            <w:tcW w:w="14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50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100" w:type="dxa"/>
            <w:tcBorders>
              <w:bottom w:val="single" w:sz="8" w:space="0" w:color="C95C96"/>
            </w:tcBorders>
            <w:vAlign w:val="bottom"/>
          </w:tcPr>
          <w:p w:rsidR="00AC12B4" w:rsidRDefault="00AC12B4">
            <w:pPr>
              <w:rPr>
                <w:sz w:val="12"/>
                <w:szCs w:val="12"/>
              </w:rPr>
            </w:pPr>
          </w:p>
        </w:tc>
        <w:tc>
          <w:tcPr>
            <w:tcW w:w="400" w:type="dxa"/>
            <w:tcBorders>
              <w:bottom w:val="single" w:sz="8" w:space="0" w:color="C95C96"/>
            </w:tcBorders>
            <w:vAlign w:val="bottom"/>
          </w:tcPr>
          <w:p w:rsidR="00AC12B4" w:rsidRDefault="00AC12B4">
            <w:pPr>
              <w:rPr>
                <w:sz w:val="12"/>
                <w:szCs w:val="12"/>
              </w:rPr>
            </w:pPr>
          </w:p>
        </w:tc>
        <w:tc>
          <w:tcPr>
            <w:tcW w:w="340" w:type="dxa"/>
            <w:tcBorders>
              <w:bottom w:val="single" w:sz="8" w:space="0" w:color="C95C96"/>
            </w:tcBorders>
            <w:vAlign w:val="bottom"/>
          </w:tcPr>
          <w:p w:rsidR="00AC12B4" w:rsidRDefault="00AC12B4">
            <w:pPr>
              <w:rPr>
                <w:sz w:val="12"/>
                <w:szCs w:val="12"/>
              </w:rPr>
            </w:pPr>
          </w:p>
        </w:tc>
        <w:tc>
          <w:tcPr>
            <w:tcW w:w="200" w:type="dxa"/>
            <w:tcBorders>
              <w:bottom w:val="single" w:sz="8" w:space="0" w:color="C95C96"/>
            </w:tcBorders>
            <w:vAlign w:val="bottom"/>
          </w:tcPr>
          <w:p w:rsidR="00AC12B4" w:rsidRDefault="00AC12B4">
            <w:pPr>
              <w:rPr>
                <w:sz w:val="12"/>
                <w:szCs w:val="12"/>
              </w:rPr>
            </w:pPr>
          </w:p>
        </w:tc>
        <w:tc>
          <w:tcPr>
            <w:tcW w:w="240" w:type="dxa"/>
            <w:tcBorders>
              <w:bottom w:val="single" w:sz="8" w:space="0" w:color="C95C96"/>
            </w:tcBorders>
            <w:vAlign w:val="bottom"/>
          </w:tcPr>
          <w:p w:rsidR="00AC12B4" w:rsidRDefault="00AC12B4">
            <w:pPr>
              <w:rPr>
                <w:sz w:val="12"/>
                <w:szCs w:val="12"/>
              </w:rPr>
            </w:pPr>
          </w:p>
        </w:tc>
        <w:tc>
          <w:tcPr>
            <w:tcW w:w="240" w:type="dxa"/>
            <w:tcBorders>
              <w:bottom w:val="single" w:sz="8" w:space="0" w:color="C95C96"/>
            </w:tcBorders>
            <w:vAlign w:val="bottom"/>
          </w:tcPr>
          <w:p w:rsidR="00AC12B4" w:rsidRDefault="00AC12B4">
            <w:pPr>
              <w:rPr>
                <w:sz w:val="12"/>
                <w:szCs w:val="12"/>
              </w:rPr>
            </w:pPr>
          </w:p>
        </w:tc>
        <w:tc>
          <w:tcPr>
            <w:tcW w:w="300" w:type="dxa"/>
            <w:tcBorders>
              <w:bottom w:val="single" w:sz="8" w:space="0" w:color="C95C96"/>
            </w:tcBorders>
            <w:vAlign w:val="bottom"/>
          </w:tcPr>
          <w:p w:rsidR="00AC12B4" w:rsidRDefault="00AC12B4">
            <w:pPr>
              <w:rPr>
                <w:sz w:val="12"/>
                <w:szCs w:val="12"/>
              </w:rPr>
            </w:pPr>
          </w:p>
        </w:tc>
        <w:tc>
          <w:tcPr>
            <w:tcW w:w="740" w:type="dxa"/>
            <w:tcBorders>
              <w:bottom w:val="single" w:sz="8" w:space="0" w:color="C95C96"/>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08"/>
        </w:trPr>
        <w:tc>
          <w:tcPr>
            <w:tcW w:w="960" w:type="dxa"/>
            <w:vAlign w:val="bottom"/>
          </w:tcPr>
          <w:p w:rsidR="00AC12B4" w:rsidRDefault="00AC12B4">
            <w:pPr>
              <w:rPr>
                <w:sz w:val="9"/>
                <w:szCs w:val="9"/>
              </w:rPr>
            </w:pPr>
          </w:p>
        </w:tc>
        <w:tc>
          <w:tcPr>
            <w:tcW w:w="4480" w:type="dxa"/>
            <w:gridSpan w:val="7"/>
            <w:vMerge/>
            <w:vAlign w:val="bottom"/>
          </w:tcPr>
          <w:p w:rsidR="00AC12B4" w:rsidRDefault="00AC12B4">
            <w:pPr>
              <w:rPr>
                <w:sz w:val="9"/>
                <w:szCs w:val="9"/>
              </w:rPr>
            </w:pPr>
          </w:p>
        </w:tc>
        <w:tc>
          <w:tcPr>
            <w:tcW w:w="80" w:type="dxa"/>
            <w:vMerge/>
            <w:vAlign w:val="bottom"/>
          </w:tcPr>
          <w:p w:rsidR="00AC12B4" w:rsidRDefault="00AC12B4">
            <w:pPr>
              <w:rPr>
                <w:sz w:val="9"/>
                <w:szCs w:val="9"/>
              </w:rPr>
            </w:pPr>
          </w:p>
        </w:tc>
        <w:tc>
          <w:tcPr>
            <w:tcW w:w="1600" w:type="dxa"/>
            <w:gridSpan w:val="3"/>
            <w:vMerge/>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500" w:type="dxa"/>
            <w:vAlign w:val="bottom"/>
          </w:tcPr>
          <w:p w:rsidR="00AC12B4" w:rsidRDefault="00AC12B4">
            <w:pPr>
              <w:rPr>
                <w:sz w:val="9"/>
                <w:szCs w:val="9"/>
              </w:rPr>
            </w:pPr>
          </w:p>
        </w:tc>
        <w:tc>
          <w:tcPr>
            <w:tcW w:w="300" w:type="dxa"/>
            <w:tcBorders>
              <w:right w:val="single" w:sz="8" w:space="0" w:color="C95C96"/>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60" w:type="dxa"/>
            <w:gridSpan w:val="6"/>
            <w:vMerge w:val="restart"/>
            <w:tcBorders>
              <w:right w:val="single" w:sz="8" w:space="0" w:color="C95C96"/>
            </w:tcBorders>
            <w:vAlign w:val="bottom"/>
          </w:tcPr>
          <w:p w:rsidR="00AC12B4" w:rsidRDefault="00C27636">
            <w:pPr>
              <w:spacing w:line="1232" w:lineRule="exact"/>
              <w:ind w:right="490"/>
              <w:jc w:val="right"/>
              <w:rPr>
                <w:sz w:val="20"/>
                <w:szCs w:val="20"/>
              </w:rPr>
            </w:pPr>
            <w:r>
              <w:rPr>
                <w:rFonts w:ascii="Comic Sans MS" w:eastAsia="Comic Sans MS" w:hAnsi="Comic Sans MS" w:cs="Comic Sans MS"/>
                <w:color w:val="C95C96"/>
                <w:sz w:val="96"/>
                <w:szCs w:val="96"/>
              </w:rPr>
              <w:t>7</w:t>
            </w:r>
            <w:r>
              <w:rPr>
                <w:rFonts w:ascii="Comic Sans MS" w:eastAsia="Comic Sans MS" w:hAnsi="Comic Sans MS" w:cs="Comic Sans MS"/>
                <w:color w:val="C95C96"/>
                <w:sz w:val="96"/>
                <w:szCs w:val="96"/>
              </w:rPr>
              <w:lastRenderedPageBreak/>
              <w:t>%</w:t>
            </w:r>
          </w:p>
        </w:tc>
        <w:tc>
          <w:tcPr>
            <w:tcW w:w="0" w:type="dxa"/>
            <w:vAlign w:val="bottom"/>
          </w:tcPr>
          <w:p w:rsidR="00AC12B4" w:rsidRDefault="00AC12B4">
            <w:pPr>
              <w:rPr>
                <w:sz w:val="1"/>
                <w:szCs w:val="1"/>
              </w:rPr>
            </w:pPr>
          </w:p>
        </w:tc>
      </w:tr>
      <w:tr w:rsidR="00AC12B4">
        <w:trPr>
          <w:trHeight w:val="86"/>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1600" w:type="dxa"/>
            <w:gridSpan w:val="3"/>
            <w:vMerge w:val="restart"/>
            <w:vAlign w:val="bottom"/>
          </w:tcPr>
          <w:p w:rsidR="00AC12B4" w:rsidRDefault="00C27636">
            <w:pPr>
              <w:ind w:left="540"/>
              <w:rPr>
                <w:sz w:val="20"/>
                <w:szCs w:val="20"/>
              </w:rPr>
            </w:pPr>
            <w:r>
              <w:rPr>
                <w:rFonts w:ascii="Calibri" w:eastAsia="Calibri" w:hAnsi="Calibri" w:cs="Calibri"/>
              </w:rPr>
              <w:t>d’enfants).</w:t>
            </w:r>
          </w:p>
        </w:tc>
        <w:tc>
          <w:tcPr>
            <w:tcW w:w="140" w:type="dxa"/>
            <w:vAlign w:val="bottom"/>
          </w:tcPr>
          <w:p w:rsidR="00AC12B4" w:rsidRDefault="00AC12B4">
            <w:pPr>
              <w:rPr>
                <w:sz w:val="7"/>
                <w:szCs w:val="7"/>
              </w:rPr>
            </w:pPr>
          </w:p>
        </w:tc>
        <w:tc>
          <w:tcPr>
            <w:tcW w:w="560" w:type="dxa"/>
            <w:gridSpan w:val="2"/>
            <w:vMerge w:val="restart"/>
            <w:vAlign w:val="bottom"/>
          </w:tcPr>
          <w:p w:rsidR="00AC12B4" w:rsidRDefault="00C27636">
            <w:pPr>
              <w:ind w:right="10"/>
              <w:jc w:val="right"/>
              <w:rPr>
                <w:sz w:val="20"/>
                <w:szCs w:val="20"/>
              </w:rPr>
            </w:pPr>
            <w:r>
              <w:rPr>
                <w:rFonts w:ascii="Calibri" w:eastAsia="Calibri" w:hAnsi="Calibri" w:cs="Calibri"/>
                <w:w w:val="94"/>
              </w:rPr>
              <w:t>Dans</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60" w:type="dxa"/>
            <w:gridSpan w:val="6"/>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2"/>
        </w:trPr>
        <w:tc>
          <w:tcPr>
            <w:tcW w:w="960" w:type="dxa"/>
            <w:vAlign w:val="bottom"/>
          </w:tcPr>
          <w:p w:rsidR="00AC12B4" w:rsidRDefault="00AC12B4">
            <w:pPr>
              <w:rPr>
                <w:sz w:val="15"/>
                <w:szCs w:val="15"/>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les violences physiques ou mentales, ainsi</w:t>
            </w:r>
          </w:p>
        </w:tc>
        <w:tc>
          <w:tcPr>
            <w:tcW w:w="80" w:type="dxa"/>
            <w:vAlign w:val="bottom"/>
          </w:tcPr>
          <w:p w:rsidR="00AC12B4" w:rsidRDefault="00AC12B4">
            <w:pPr>
              <w:rPr>
                <w:sz w:val="15"/>
                <w:szCs w:val="15"/>
              </w:rPr>
            </w:pPr>
          </w:p>
        </w:tc>
        <w:tc>
          <w:tcPr>
            <w:tcW w:w="1600" w:type="dxa"/>
            <w:gridSpan w:val="3"/>
            <w:vMerge/>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560" w:type="dxa"/>
            <w:gridSpan w:val="2"/>
            <w:vMerge/>
            <w:vAlign w:val="bottom"/>
          </w:tcPr>
          <w:p w:rsidR="00AC12B4" w:rsidRDefault="00AC12B4">
            <w:pPr>
              <w:rPr>
                <w:sz w:val="15"/>
                <w:szCs w:val="15"/>
              </w:rPr>
            </w:pPr>
          </w:p>
        </w:tc>
        <w:tc>
          <w:tcPr>
            <w:tcW w:w="300" w:type="dxa"/>
            <w:tcBorders>
              <w:right w:val="single" w:sz="8" w:space="0" w:color="C95C96"/>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2060" w:type="dxa"/>
            <w:gridSpan w:val="6"/>
            <w:vMerge/>
            <w:tcBorders>
              <w:right w:val="single" w:sz="8" w:space="0" w:color="C95C96"/>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7"/>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840" w:type="dxa"/>
            <w:vMerge w:val="restart"/>
            <w:vAlign w:val="bottom"/>
          </w:tcPr>
          <w:p w:rsidR="00AC12B4" w:rsidRDefault="00C27636">
            <w:pPr>
              <w:ind w:left="540"/>
              <w:rPr>
                <w:sz w:val="20"/>
                <w:szCs w:val="20"/>
              </w:rPr>
            </w:pPr>
            <w:r>
              <w:rPr>
                <w:rFonts w:ascii="Calibri" w:eastAsia="Calibri" w:hAnsi="Calibri" w:cs="Calibri"/>
              </w:rPr>
              <w:t>le</w:t>
            </w:r>
          </w:p>
        </w:tc>
        <w:tc>
          <w:tcPr>
            <w:tcW w:w="900" w:type="dxa"/>
            <w:gridSpan w:val="3"/>
            <w:vMerge w:val="restart"/>
            <w:vAlign w:val="bottom"/>
          </w:tcPr>
          <w:p w:rsidR="00AC12B4" w:rsidRDefault="00C27636">
            <w:pPr>
              <w:jc w:val="right"/>
              <w:rPr>
                <w:sz w:val="20"/>
                <w:szCs w:val="20"/>
              </w:rPr>
            </w:pPr>
            <w:r>
              <w:rPr>
                <w:rFonts w:ascii="Calibri" w:eastAsia="Calibri" w:hAnsi="Calibri" w:cs="Calibri"/>
              </w:rPr>
              <w:t>cadre  de</w:t>
            </w:r>
          </w:p>
        </w:tc>
        <w:tc>
          <w:tcPr>
            <w:tcW w:w="60" w:type="dxa"/>
            <w:vAlign w:val="bottom"/>
          </w:tcPr>
          <w:p w:rsidR="00AC12B4" w:rsidRDefault="00AC12B4">
            <w:pPr>
              <w:rPr>
                <w:sz w:val="7"/>
                <w:szCs w:val="7"/>
              </w:rPr>
            </w:pPr>
          </w:p>
        </w:tc>
        <w:tc>
          <w:tcPr>
            <w:tcW w:w="500" w:type="dxa"/>
            <w:vMerge w:val="restart"/>
            <w:vAlign w:val="bottom"/>
          </w:tcPr>
          <w:p w:rsidR="00AC12B4" w:rsidRDefault="00C27636">
            <w:pPr>
              <w:ind w:right="10"/>
              <w:jc w:val="right"/>
              <w:rPr>
                <w:sz w:val="20"/>
                <w:szCs w:val="20"/>
              </w:rPr>
            </w:pPr>
            <w:r>
              <w:rPr>
                <w:rFonts w:ascii="Calibri" w:eastAsia="Calibri" w:hAnsi="Calibri" w:cs="Calibri"/>
              </w:rPr>
              <w:t>ses</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60" w:type="dxa"/>
            <w:gridSpan w:val="6"/>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2"/>
        </w:trPr>
        <w:tc>
          <w:tcPr>
            <w:tcW w:w="960" w:type="dxa"/>
            <w:vAlign w:val="bottom"/>
          </w:tcPr>
          <w:p w:rsidR="00AC12B4" w:rsidRDefault="00AC12B4">
            <w:pPr>
              <w:rPr>
                <w:sz w:val="15"/>
                <w:szCs w:val="15"/>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que le droit à la réadaptation physique et</w:t>
            </w:r>
          </w:p>
        </w:tc>
        <w:tc>
          <w:tcPr>
            <w:tcW w:w="80" w:type="dxa"/>
            <w:vAlign w:val="bottom"/>
          </w:tcPr>
          <w:p w:rsidR="00AC12B4" w:rsidRDefault="00AC12B4">
            <w:pPr>
              <w:rPr>
                <w:sz w:val="15"/>
                <w:szCs w:val="15"/>
              </w:rPr>
            </w:pPr>
          </w:p>
        </w:tc>
        <w:tc>
          <w:tcPr>
            <w:tcW w:w="840" w:type="dxa"/>
            <w:vMerge/>
            <w:vAlign w:val="bottom"/>
          </w:tcPr>
          <w:p w:rsidR="00AC12B4" w:rsidRDefault="00AC12B4">
            <w:pPr>
              <w:rPr>
                <w:sz w:val="15"/>
                <w:szCs w:val="15"/>
              </w:rPr>
            </w:pPr>
          </w:p>
        </w:tc>
        <w:tc>
          <w:tcPr>
            <w:tcW w:w="900" w:type="dxa"/>
            <w:gridSpan w:val="3"/>
            <w:vMerge/>
            <w:vAlign w:val="bottom"/>
          </w:tcPr>
          <w:p w:rsidR="00AC12B4" w:rsidRDefault="00AC12B4">
            <w:pPr>
              <w:rPr>
                <w:sz w:val="15"/>
                <w:szCs w:val="15"/>
              </w:rPr>
            </w:pPr>
          </w:p>
        </w:tc>
        <w:tc>
          <w:tcPr>
            <w:tcW w:w="60" w:type="dxa"/>
            <w:vAlign w:val="bottom"/>
          </w:tcPr>
          <w:p w:rsidR="00AC12B4" w:rsidRDefault="00AC12B4">
            <w:pPr>
              <w:rPr>
                <w:sz w:val="15"/>
                <w:szCs w:val="15"/>
              </w:rPr>
            </w:pPr>
          </w:p>
        </w:tc>
        <w:tc>
          <w:tcPr>
            <w:tcW w:w="500" w:type="dxa"/>
            <w:vMerge/>
            <w:vAlign w:val="bottom"/>
          </w:tcPr>
          <w:p w:rsidR="00AC12B4" w:rsidRDefault="00AC12B4">
            <w:pPr>
              <w:rPr>
                <w:sz w:val="15"/>
                <w:szCs w:val="15"/>
              </w:rPr>
            </w:pPr>
          </w:p>
        </w:tc>
        <w:tc>
          <w:tcPr>
            <w:tcW w:w="300" w:type="dxa"/>
            <w:tcBorders>
              <w:right w:val="single" w:sz="8" w:space="0" w:color="C95C96"/>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2060" w:type="dxa"/>
            <w:gridSpan w:val="6"/>
            <w:vMerge/>
            <w:tcBorders>
              <w:right w:val="single" w:sz="8" w:space="0" w:color="C95C96"/>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6"/>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1740" w:type="dxa"/>
            <w:gridSpan w:val="4"/>
            <w:vMerge w:val="restart"/>
            <w:vAlign w:val="bottom"/>
          </w:tcPr>
          <w:p w:rsidR="00AC12B4" w:rsidRDefault="00C27636">
            <w:pPr>
              <w:ind w:left="540"/>
              <w:rPr>
                <w:sz w:val="20"/>
                <w:szCs w:val="20"/>
              </w:rPr>
            </w:pPr>
            <w:r>
              <w:rPr>
                <w:rFonts w:ascii="Calibri" w:eastAsia="Calibri" w:hAnsi="Calibri" w:cs="Calibri"/>
              </w:rPr>
              <w:t>observations</w:t>
            </w:r>
          </w:p>
        </w:tc>
        <w:tc>
          <w:tcPr>
            <w:tcW w:w="60" w:type="dxa"/>
            <w:vAlign w:val="bottom"/>
          </w:tcPr>
          <w:p w:rsidR="00AC12B4" w:rsidRDefault="00AC12B4">
            <w:pPr>
              <w:rPr>
                <w:sz w:val="7"/>
                <w:szCs w:val="7"/>
              </w:rPr>
            </w:pPr>
          </w:p>
        </w:tc>
        <w:tc>
          <w:tcPr>
            <w:tcW w:w="500" w:type="dxa"/>
            <w:vAlign w:val="bottom"/>
          </w:tcPr>
          <w:p w:rsidR="00AC12B4" w:rsidRDefault="00AC12B4">
            <w:pPr>
              <w:rPr>
                <w:sz w:val="7"/>
                <w:szCs w:val="7"/>
              </w:rPr>
            </w:pP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60" w:type="dxa"/>
            <w:gridSpan w:val="6"/>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2"/>
        </w:trPr>
        <w:tc>
          <w:tcPr>
            <w:tcW w:w="960" w:type="dxa"/>
            <w:vAlign w:val="bottom"/>
          </w:tcPr>
          <w:p w:rsidR="00AC12B4" w:rsidRDefault="00AC12B4">
            <w:pPr>
              <w:rPr>
                <w:sz w:val="15"/>
                <w:szCs w:val="15"/>
              </w:rPr>
            </w:pPr>
          </w:p>
        </w:tc>
        <w:tc>
          <w:tcPr>
            <w:tcW w:w="4480" w:type="dxa"/>
            <w:gridSpan w:val="7"/>
            <w:vMerge w:val="restart"/>
            <w:vAlign w:val="bottom"/>
          </w:tcPr>
          <w:p w:rsidR="00AC12B4" w:rsidRDefault="00C27636">
            <w:pPr>
              <w:spacing w:line="267" w:lineRule="exact"/>
              <w:ind w:right="100"/>
              <w:jc w:val="right"/>
              <w:rPr>
                <w:sz w:val="20"/>
                <w:szCs w:val="20"/>
              </w:rPr>
            </w:pPr>
            <w:r>
              <w:rPr>
                <w:rFonts w:ascii="Calibri" w:eastAsia="Calibri" w:hAnsi="Calibri" w:cs="Calibri"/>
              </w:rPr>
              <w:t>psychologique et à la réinsertion sociale</w:t>
            </w:r>
          </w:p>
        </w:tc>
        <w:tc>
          <w:tcPr>
            <w:tcW w:w="80" w:type="dxa"/>
            <w:vAlign w:val="bottom"/>
          </w:tcPr>
          <w:p w:rsidR="00AC12B4" w:rsidRDefault="00AC12B4">
            <w:pPr>
              <w:rPr>
                <w:sz w:val="15"/>
                <w:szCs w:val="15"/>
              </w:rPr>
            </w:pPr>
          </w:p>
        </w:tc>
        <w:tc>
          <w:tcPr>
            <w:tcW w:w="1740" w:type="dxa"/>
            <w:gridSpan w:val="4"/>
            <w:vMerge/>
            <w:vAlign w:val="bottom"/>
          </w:tcPr>
          <w:p w:rsidR="00AC12B4" w:rsidRDefault="00AC12B4">
            <w:pPr>
              <w:rPr>
                <w:sz w:val="15"/>
                <w:szCs w:val="15"/>
              </w:rPr>
            </w:pPr>
          </w:p>
        </w:tc>
        <w:tc>
          <w:tcPr>
            <w:tcW w:w="60" w:type="dxa"/>
            <w:vAlign w:val="bottom"/>
          </w:tcPr>
          <w:p w:rsidR="00AC12B4" w:rsidRDefault="00AC12B4">
            <w:pPr>
              <w:rPr>
                <w:sz w:val="15"/>
                <w:szCs w:val="15"/>
              </w:rPr>
            </w:pPr>
          </w:p>
        </w:tc>
        <w:tc>
          <w:tcPr>
            <w:tcW w:w="500" w:type="dxa"/>
            <w:vAlign w:val="bottom"/>
          </w:tcPr>
          <w:p w:rsidR="00AC12B4" w:rsidRDefault="00AC12B4">
            <w:pPr>
              <w:rPr>
                <w:sz w:val="15"/>
                <w:szCs w:val="15"/>
              </w:rPr>
            </w:pPr>
          </w:p>
        </w:tc>
        <w:tc>
          <w:tcPr>
            <w:tcW w:w="300" w:type="dxa"/>
            <w:tcBorders>
              <w:right w:val="single" w:sz="8" w:space="0" w:color="C95C96"/>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2060" w:type="dxa"/>
            <w:gridSpan w:val="6"/>
            <w:vMerge/>
            <w:tcBorders>
              <w:right w:val="single" w:sz="8" w:space="0" w:color="C95C96"/>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1220" w:type="dxa"/>
            <w:gridSpan w:val="2"/>
            <w:vMerge w:val="restart"/>
            <w:vAlign w:val="bottom"/>
          </w:tcPr>
          <w:p w:rsidR="00AC12B4" w:rsidRDefault="00C27636">
            <w:pPr>
              <w:ind w:left="540"/>
              <w:rPr>
                <w:sz w:val="20"/>
                <w:szCs w:val="20"/>
              </w:rPr>
            </w:pPr>
            <w:r>
              <w:rPr>
                <w:rFonts w:ascii="Calibri" w:eastAsia="Calibri" w:hAnsi="Calibri" w:cs="Calibri"/>
              </w:rPr>
              <w:t>finales</w:t>
            </w:r>
          </w:p>
        </w:tc>
        <w:tc>
          <w:tcPr>
            <w:tcW w:w="520" w:type="dxa"/>
            <w:gridSpan w:val="2"/>
            <w:vMerge w:val="restart"/>
            <w:vAlign w:val="bottom"/>
          </w:tcPr>
          <w:p w:rsidR="00AC12B4" w:rsidRDefault="00C27636">
            <w:pPr>
              <w:jc w:val="right"/>
              <w:rPr>
                <w:sz w:val="20"/>
                <w:szCs w:val="20"/>
              </w:rPr>
            </w:pPr>
            <w:r>
              <w:rPr>
                <w:rFonts w:ascii="Calibri" w:eastAsia="Calibri" w:hAnsi="Calibri" w:cs="Calibri"/>
              </w:rPr>
              <w:t>sur</w:t>
            </w:r>
          </w:p>
        </w:tc>
        <w:tc>
          <w:tcPr>
            <w:tcW w:w="60" w:type="dxa"/>
            <w:vAlign w:val="bottom"/>
          </w:tcPr>
          <w:p w:rsidR="00AC12B4" w:rsidRDefault="00AC12B4">
            <w:pPr>
              <w:rPr>
                <w:sz w:val="7"/>
                <w:szCs w:val="7"/>
              </w:rPr>
            </w:pPr>
          </w:p>
        </w:tc>
        <w:tc>
          <w:tcPr>
            <w:tcW w:w="500" w:type="dxa"/>
            <w:vMerge w:val="restart"/>
            <w:vAlign w:val="bottom"/>
          </w:tcPr>
          <w:p w:rsidR="00AC12B4" w:rsidRDefault="00C27636">
            <w:pPr>
              <w:ind w:right="10"/>
              <w:jc w:val="right"/>
              <w:rPr>
                <w:sz w:val="20"/>
                <w:szCs w:val="20"/>
              </w:rPr>
            </w:pPr>
            <w:r>
              <w:rPr>
                <w:rFonts w:ascii="Calibri" w:eastAsia="Calibri" w:hAnsi="Calibri" w:cs="Calibri"/>
              </w:rPr>
              <w:t>le</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60" w:type="dxa"/>
            <w:gridSpan w:val="6"/>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34"/>
        </w:trPr>
        <w:tc>
          <w:tcPr>
            <w:tcW w:w="960" w:type="dxa"/>
            <w:vAlign w:val="bottom"/>
          </w:tcPr>
          <w:p w:rsidR="00AC12B4" w:rsidRDefault="00AC12B4">
            <w:pPr>
              <w:rPr>
                <w:sz w:val="20"/>
                <w:szCs w:val="20"/>
              </w:rPr>
            </w:pPr>
          </w:p>
        </w:tc>
        <w:tc>
          <w:tcPr>
            <w:tcW w:w="1760" w:type="dxa"/>
            <w:gridSpan w:val="2"/>
            <w:vAlign w:val="bottom"/>
          </w:tcPr>
          <w:p w:rsidR="00AC12B4" w:rsidRDefault="00C27636">
            <w:pPr>
              <w:spacing w:line="234" w:lineRule="exact"/>
              <w:ind w:left="500"/>
              <w:rPr>
                <w:sz w:val="20"/>
                <w:szCs w:val="20"/>
              </w:rPr>
            </w:pPr>
            <w:r>
              <w:rPr>
                <w:rFonts w:ascii="Calibri" w:eastAsia="Calibri" w:hAnsi="Calibri" w:cs="Calibri"/>
              </w:rPr>
              <w:t>sont énoncés</w:t>
            </w:r>
          </w:p>
        </w:tc>
        <w:tc>
          <w:tcPr>
            <w:tcW w:w="2720" w:type="dxa"/>
            <w:gridSpan w:val="5"/>
            <w:vAlign w:val="bottom"/>
          </w:tcPr>
          <w:p w:rsidR="00AC12B4" w:rsidRDefault="00C27636">
            <w:pPr>
              <w:spacing w:line="234" w:lineRule="exact"/>
              <w:ind w:right="100"/>
              <w:jc w:val="right"/>
              <w:rPr>
                <w:sz w:val="20"/>
                <w:szCs w:val="20"/>
              </w:rPr>
            </w:pPr>
            <w:r>
              <w:rPr>
                <w:rFonts w:ascii="Calibri" w:eastAsia="Calibri" w:hAnsi="Calibri" w:cs="Calibri"/>
              </w:rPr>
              <w:t xml:space="preserve">aux </w:t>
            </w:r>
            <w:r>
              <w:rPr>
                <w:rFonts w:ascii="Calibri" w:eastAsia="Calibri" w:hAnsi="Calibri" w:cs="Calibri"/>
              </w:rPr>
              <w:t>articles 19 et 39 de la</w:t>
            </w:r>
          </w:p>
        </w:tc>
        <w:tc>
          <w:tcPr>
            <w:tcW w:w="80" w:type="dxa"/>
            <w:vAlign w:val="bottom"/>
          </w:tcPr>
          <w:p w:rsidR="00AC12B4" w:rsidRDefault="00AC12B4">
            <w:pPr>
              <w:rPr>
                <w:sz w:val="20"/>
                <w:szCs w:val="20"/>
              </w:rPr>
            </w:pPr>
          </w:p>
        </w:tc>
        <w:tc>
          <w:tcPr>
            <w:tcW w:w="1220" w:type="dxa"/>
            <w:gridSpan w:val="2"/>
            <w:vMerge/>
            <w:vAlign w:val="bottom"/>
          </w:tcPr>
          <w:p w:rsidR="00AC12B4" w:rsidRDefault="00AC12B4">
            <w:pPr>
              <w:rPr>
                <w:sz w:val="20"/>
                <w:szCs w:val="20"/>
              </w:rPr>
            </w:pPr>
          </w:p>
        </w:tc>
        <w:tc>
          <w:tcPr>
            <w:tcW w:w="520" w:type="dxa"/>
            <w:gridSpan w:val="2"/>
            <w:vMerge/>
            <w:vAlign w:val="bottom"/>
          </w:tcPr>
          <w:p w:rsidR="00AC12B4" w:rsidRDefault="00AC12B4">
            <w:pPr>
              <w:rPr>
                <w:sz w:val="20"/>
                <w:szCs w:val="20"/>
              </w:rPr>
            </w:pPr>
          </w:p>
        </w:tc>
        <w:tc>
          <w:tcPr>
            <w:tcW w:w="60" w:type="dxa"/>
            <w:vAlign w:val="bottom"/>
          </w:tcPr>
          <w:p w:rsidR="00AC12B4" w:rsidRDefault="00AC12B4">
            <w:pPr>
              <w:rPr>
                <w:sz w:val="20"/>
                <w:szCs w:val="20"/>
              </w:rPr>
            </w:pPr>
          </w:p>
        </w:tc>
        <w:tc>
          <w:tcPr>
            <w:tcW w:w="500" w:type="dxa"/>
            <w:vMerge/>
            <w:vAlign w:val="bottom"/>
          </w:tcPr>
          <w:p w:rsidR="00AC12B4" w:rsidRDefault="00AC12B4">
            <w:pPr>
              <w:rPr>
                <w:sz w:val="20"/>
                <w:szCs w:val="20"/>
              </w:rPr>
            </w:pPr>
          </w:p>
        </w:tc>
        <w:tc>
          <w:tcPr>
            <w:tcW w:w="300" w:type="dxa"/>
            <w:tcBorders>
              <w:right w:val="single" w:sz="8" w:space="0" w:color="C95C96"/>
            </w:tcBorders>
            <w:vAlign w:val="bottom"/>
          </w:tcPr>
          <w:p w:rsidR="00AC12B4" w:rsidRDefault="00AC12B4">
            <w:pPr>
              <w:rPr>
                <w:sz w:val="20"/>
                <w:szCs w:val="20"/>
              </w:rPr>
            </w:pPr>
          </w:p>
        </w:tc>
        <w:tc>
          <w:tcPr>
            <w:tcW w:w="100" w:type="dxa"/>
            <w:vAlign w:val="bottom"/>
          </w:tcPr>
          <w:p w:rsidR="00AC12B4" w:rsidRDefault="00AC12B4">
            <w:pPr>
              <w:rPr>
                <w:sz w:val="20"/>
                <w:szCs w:val="20"/>
              </w:rPr>
            </w:pPr>
          </w:p>
        </w:tc>
        <w:tc>
          <w:tcPr>
            <w:tcW w:w="400" w:type="dxa"/>
            <w:vAlign w:val="bottom"/>
          </w:tcPr>
          <w:p w:rsidR="00AC12B4" w:rsidRDefault="00AC12B4">
            <w:pPr>
              <w:rPr>
                <w:sz w:val="20"/>
                <w:szCs w:val="20"/>
              </w:rPr>
            </w:pPr>
          </w:p>
        </w:tc>
        <w:tc>
          <w:tcPr>
            <w:tcW w:w="2060" w:type="dxa"/>
            <w:gridSpan w:val="6"/>
            <w:vMerge/>
            <w:tcBorders>
              <w:right w:val="single" w:sz="8" w:space="0" w:color="C95C96"/>
            </w:tcBorders>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20"/>
        </w:trPr>
        <w:tc>
          <w:tcPr>
            <w:tcW w:w="960" w:type="dxa"/>
            <w:vAlign w:val="bottom"/>
          </w:tcPr>
          <w:p w:rsidR="00AC12B4" w:rsidRDefault="00AC12B4">
            <w:pPr>
              <w:rPr>
                <w:sz w:val="19"/>
                <w:szCs w:val="19"/>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Convention relative aux droits de l'enfant,</w:t>
            </w:r>
          </w:p>
        </w:tc>
        <w:tc>
          <w:tcPr>
            <w:tcW w:w="80" w:type="dxa"/>
            <w:vAlign w:val="bottom"/>
          </w:tcPr>
          <w:p w:rsidR="00AC12B4" w:rsidRDefault="00AC12B4">
            <w:pPr>
              <w:rPr>
                <w:sz w:val="19"/>
                <w:szCs w:val="19"/>
              </w:rPr>
            </w:pPr>
          </w:p>
        </w:tc>
        <w:tc>
          <w:tcPr>
            <w:tcW w:w="2300" w:type="dxa"/>
            <w:gridSpan w:val="6"/>
            <w:vAlign w:val="bottom"/>
          </w:tcPr>
          <w:p w:rsidR="00AC12B4" w:rsidRDefault="00C27636">
            <w:pPr>
              <w:spacing w:line="220" w:lineRule="exact"/>
              <w:ind w:left="540"/>
              <w:rPr>
                <w:sz w:val="20"/>
                <w:szCs w:val="20"/>
              </w:rPr>
            </w:pPr>
            <w:r>
              <w:rPr>
                <w:rFonts w:ascii="Calibri" w:eastAsia="Calibri" w:hAnsi="Calibri" w:cs="Calibri"/>
              </w:rPr>
              <w:t>précédent rapport</w:t>
            </w:r>
          </w:p>
        </w:tc>
        <w:tc>
          <w:tcPr>
            <w:tcW w:w="300" w:type="dxa"/>
            <w:tcBorders>
              <w:right w:val="single" w:sz="8" w:space="0" w:color="C95C96"/>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400" w:type="dxa"/>
            <w:vAlign w:val="bottom"/>
          </w:tcPr>
          <w:p w:rsidR="00AC12B4" w:rsidRDefault="00AC12B4">
            <w:pPr>
              <w:rPr>
                <w:sz w:val="19"/>
                <w:szCs w:val="19"/>
              </w:rPr>
            </w:pPr>
          </w:p>
        </w:tc>
        <w:tc>
          <w:tcPr>
            <w:tcW w:w="34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740" w:type="dxa"/>
            <w:tcBorders>
              <w:right w:val="single" w:sz="8" w:space="0" w:color="C95C96"/>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1600" w:type="dxa"/>
            <w:gridSpan w:val="3"/>
            <w:vMerge w:val="restart"/>
            <w:vAlign w:val="bottom"/>
          </w:tcPr>
          <w:p w:rsidR="00AC12B4" w:rsidRDefault="00C27636">
            <w:pPr>
              <w:ind w:left="540"/>
              <w:rPr>
                <w:sz w:val="20"/>
                <w:szCs w:val="20"/>
              </w:rPr>
            </w:pPr>
            <w:r>
              <w:rPr>
                <w:rFonts w:ascii="Calibri" w:eastAsia="Calibri" w:hAnsi="Calibri" w:cs="Calibri"/>
              </w:rPr>
              <w:t>périodique</w:t>
            </w:r>
          </w:p>
        </w:tc>
        <w:tc>
          <w:tcPr>
            <w:tcW w:w="700" w:type="dxa"/>
            <w:gridSpan w:val="3"/>
            <w:vMerge w:val="restart"/>
            <w:vAlign w:val="bottom"/>
          </w:tcPr>
          <w:p w:rsidR="00AC12B4" w:rsidRDefault="00C27636">
            <w:pPr>
              <w:ind w:right="10"/>
              <w:jc w:val="right"/>
              <w:rPr>
                <w:sz w:val="20"/>
                <w:szCs w:val="20"/>
              </w:rPr>
            </w:pPr>
            <w:r>
              <w:rPr>
                <w:rFonts w:ascii="Calibri" w:eastAsia="Calibri" w:hAnsi="Calibri" w:cs="Calibri"/>
              </w:rPr>
              <w:t>belge</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740" w:type="dxa"/>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5"/>
        </w:trPr>
        <w:tc>
          <w:tcPr>
            <w:tcW w:w="960" w:type="dxa"/>
            <w:vAlign w:val="bottom"/>
          </w:tcPr>
          <w:p w:rsidR="00AC12B4" w:rsidRDefault="00AC12B4">
            <w:pPr>
              <w:rPr>
                <w:sz w:val="16"/>
                <w:szCs w:val="16"/>
              </w:rPr>
            </w:pPr>
          </w:p>
        </w:tc>
        <w:tc>
          <w:tcPr>
            <w:tcW w:w="2400" w:type="dxa"/>
            <w:gridSpan w:val="3"/>
            <w:vMerge w:val="restart"/>
            <w:vAlign w:val="bottom"/>
          </w:tcPr>
          <w:p w:rsidR="00AC12B4" w:rsidRDefault="00C27636">
            <w:pPr>
              <w:ind w:left="500"/>
              <w:rPr>
                <w:sz w:val="20"/>
                <w:szCs w:val="20"/>
              </w:rPr>
            </w:pPr>
            <w:r>
              <w:rPr>
                <w:rFonts w:ascii="Calibri" w:eastAsia="Calibri" w:hAnsi="Calibri" w:cs="Calibri"/>
              </w:rPr>
              <w:t>dans  l'observation</w:t>
            </w:r>
          </w:p>
        </w:tc>
        <w:tc>
          <w:tcPr>
            <w:tcW w:w="880" w:type="dxa"/>
            <w:vMerge w:val="restart"/>
            <w:vAlign w:val="bottom"/>
          </w:tcPr>
          <w:p w:rsidR="00AC12B4" w:rsidRDefault="00C27636">
            <w:pPr>
              <w:ind w:left="100"/>
              <w:rPr>
                <w:sz w:val="20"/>
                <w:szCs w:val="20"/>
              </w:rPr>
            </w:pPr>
            <w:r>
              <w:rPr>
                <w:rFonts w:ascii="Calibri" w:eastAsia="Calibri" w:hAnsi="Calibri" w:cs="Calibri"/>
                <w:w w:val="97"/>
              </w:rPr>
              <w:t>générale</w:t>
            </w:r>
          </w:p>
        </w:tc>
        <w:tc>
          <w:tcPr>
            <w:tcW w:w="680" w:type="dxa"/>
            <w:vMerge w:val="restart"/>
            <w:vAlign w:val="bottom"/>
          </w:tcPr>
          <w:p w:rsidR="00AC12B4" w:rsidRDefault="00C27636">
            <w:pPr>
              <w:ind w:left="200"/>
              <w:rPr>
                <w:sz w:val="20"/>
                <w:szCs w:val="20"/>
              </w:rPr>
            </w:pPr>
            <w:r>
              <w:rPr>
                <w:rFonts w:ascii="Calibri" w:eastAsia="Calibri" w:hAnsi="Calibri" w:cs="Calibri"/>
                <w:w w:val="99"/>
              </w:rPr>
              <w:t>n° 13</w:t>
            </w:r>
          </w:p>
        </w:tc>
        <w:tc>
          <w:tcPr>
            <w:tcW w:w="520" w:type="dxa"/>
            <w:gridSpan w:val="2"/>
            <w:vMerge w:val="restart"/>
            <w:vAlign w:val="bottom"/>
          </w:tcPr>
          <w:p w:rsidR="00AC12B4" w:rsidRDefault="00C27636">
            <w:pPr>
              <w:ind w:right="100"/>
              <w:jc w:val="right"/>
              <w:rPr>
                <w:sz w:val="20"/>
                <w:szCs w:val="20"/>
              </w:rPr>
            </w:pPr>
            <w:r>
              <w:rPr>
                <w:rFonts w:ascii="Calibri" w:eastAsia="Calibri" w:hAnsi="Calibri" w:cs="Calibri"/>
              </w:rPr>
              <w:t>du</w:t>
            </w:r>
          </w:p>
        </w:tc>
        <w:tc>
          <w:tcPr>
            <w:tcW w:w="80" w:type="dxa"/>
            <w:vAlign w:val="bottom"/>
          </w:tcPr>
          <w:p w:rsidR="00AC12B4" w:rsidRDefault="00AC12B4">
            <w:pPr>
              <w:rPr>
                <w:sz w:val="16"/>
                <w:szCs w:val="16"/>
              </w:rPr>
            </w:pPr>
          </w:p>
        </w:tc>
        <w:tc>
          <w:tcPr>
            <w:tcW w:w="1600" w:type="dxa"/>
            <w:gridSpan w:val="3"/>
            <w:vMerge/>
            <w:vAlign w:val="bottom"/>
          </w:tcPr>
          <w:p w:rsidR="00AC12B4" w:rsidRDefault="00AC12B4">
            <w:pPr>
              <w:rPr>
                <w:sz w:val="16"/>
                <w:szCs w:val="16"/>
              </w:rPr>
            </w:pPr>
          </w:p>
        </w:tc>
        <w:tc>
          <w:tcPr>
            <w:tcW w:w="700" w:type="dxa"/>
            <w:gridSpan w:val="3"/>
            <w:vMerge/>
            <w:vAlign w:val="bottom"/>
          </w:tcPr>
          <w:p w:rsidR="00AC12B4" w:rsidRDefault="00AC12B4">
            <w:pPr>
              <w:rPr>
                <w:sz w:val="16"/>
                <w:szCs w:val="16"/>
              </w:rPr>
            </w:pPr>
          </w:p>
        </w:tc>
        <w:tc>
          <w:tcPr>
            <w:tcW w:w="300" w:type="dxa"/>
            <w:tcBorders>
              <w:right w:val="single" w:sz="8" w:space="0" w:color="C95C96"/>
            </w:tcBorders>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2460" w:type="dxa"/>
            <w:gridSpan w:val="7"/>
            <w:vMerge w:val="restart"/>
            <w:tcBorders>
              <w:right w:val="single" w:sz="8" w:space="0" w:color="C95C96"/>
            </w:tcBorders>
            <w:vAlign w:val="bottom"/>
          </w:tcPr>
          <w:p w:rsidR="00AC12B4" w:rsidRDefault="00C27636">
            <w:pPr>
              <w:spacing w:line="255" w:lineRule="exact"/>
              <w:ind w:left="60"/>
              <w:rPr>
                <w:sz w:val="20"/>
                <w:szCs w:val="20"/>
              </w:rPr>
            </w:pPr>
            <w:r>
              <w:rPr>
                <w:rFonts w:ascii="Calibri" w:eastAsia="Calibri" w:hAnsi="Calibri" w:cs="Calibri"/>
              </w:rPr>
              <w:t>des jeunes en Belgique</w:t>
            </w: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2400" w:type="dxa"/>
            <w:gridSpan w:val="3"/>
            <w:vMerge/>
            <w:vAlign w:val="bottom"/>
          </w:tcPr>
          <w:p w:rsidR="00AC12B4" w:rsidRDefault="00AC12B4">
            <w:pPr>
              <w:rPr>
                <w:sz w:val="7"/>
                <w:szCs w:val="7"/>
              </w:rPr>
            </w:pPr>
          </w:p>
        </w:tc>
        <w:tc>
          <w:tcPr>
            <w:tcW w:w="880" w:type="dxa"/>
            <w:vMerge/>
            <w:vAlign w:val="bottom"/>
          </w:tcPr>
          <w:p w:rsidR="00AC12B4" w:rsidRDefault="00AC12B4">
            <w:pPr>
              <w:rPr>
                <w:sz w:val="7"/>
                <w:szCs w:val="7"/>
              </w:rPr>
            </w:pPr>
          </w:p>
        </w:tc>
        <w:tc>
          <w:tcPr>
            <w:tcW w:w="680" w:type="dxa"/>
            <w:vMerge/>
            <w:vAlign w:val="bottom"/>
          </w:tcPr>
          <w:p w:rsidR="00AC12B4" w:rsidRDefault="00AC12B4">
            <w:pPr>
              <w:rPr>
                <w:sz w:val="7"/>
                <w:szCs w:val="7"/>
              </w:rPr>
            </w:pPr>
          </w:p>
        </w:tc>
        <w:tc>
          <w:tcPr>
            <w:tcW w:w="520" w:type="dxa"/>
            <w:gridSpan w:val="2"/>
            <w:vMerge/>
            <w:vAlign w:val="bottom"/>
          </w:tcPr>
          <w:p w:rsidR="00AC12B4" w:rsidRDefault="00AC12B4">
            <w:pPr>
              <w:rPr>
                <w:sz w:val="7"/>
                <w:szCs w:val="7"/>
              </w:rPr>
            </w:pPr>
          </w:p>
        </w:tc>
        <w:tc>
          <w:tcPr>
            <w:tcW w:w="1300" w:type="dxa"/>
            <w:gridSpan w:val="3"/>
            <w:vMerge w:val="restart"/>
            <w:vAlign w:val="bottom"/>
          </w:tcPr>
          <w:p w:rsidR="00AC12B4" w:rsidRDefault="00C27636">
            <w:pPr>
              <w:ind w:left="620"/>
              <w:rPr>
                <w:sz w:val="20"/>
                <w:szCs w:val="20"/>
              </w:rPr>
            </w:pPr>
            <w:r>
              <w:rPr>
                <w:rFonts w:ascii="Calibri" w:eastAsia="Calibri" w:hAnsi="Calibri" w:cs="Calibri"/>
              </w:rPr>
              <w:t>(2010),</w:t>
            </w:r>
          </w:p>
        </w:tc>
        <w:tc>
          <w:tcPr>
            <w:tcW w:w="1080" w:type="dxa"/>
            <w:gridSpan w:val="4"/>
            <w:vMerge w:val="restart"/>
            <w:vAlign w:val="bottom"/>
          </w:tcPr>
          <w:p w:rsidR="00AC12B4" w:rsidRDefault="00C27636">
            <w:pPr>
              <w:ind w:right="10"/>
              <w:jc w:val="right"/>
              <w:rPr>
                <w:sz w:val="20"/>
                <w:szCs w:val="20"/>
              </w:rPr>
            </w:pPr>
            <w:r>
              <w:rPr>
                <w:rFonts w:ascii="Calibri" w:eastAsia="Calibri" w:hAnsi="Calibri" w:cs="Calibri"/>
              </w:rPr>
              <w:t>le Comité</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2460" w:type="dxa"/>
            <w:gridSpan w:val="7"/>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5"/>
        </w:trPr>
        <w:tc>
          <w:tcPr>
            <w:tcW w:w="960" w:type="dxa"/>
            <w:vAlign w:val="bottom"/>
          </w:tcPr>
          <w:p w:rsidR="00AC12B4" w:rsidRDefault="00AC12B4">
            <w:pPr>
              <w:rPr>
                <w:sz w:val="16"/>
                <w:szCs w:val="16"/>
              </w:rPr>
            </w:pPr>
          </w:p>
        </w:tc>
        <w:tc>
          <w:tcPr>
            <w:tcW w:w="1640" w:type="dxa"/>
            <w:vMerge w:val="restart"/>
            <w:vAlign w:val="bottom"/>
          </w:tcPr>
          <w:p w:rsidR="00AC12B4" w:rsidRDefault="00C27636">
            <w:pPr>
              <w:ind w:left="500"/>
              <w:rPr>
                <w:sz w:val="20"/>
                <w:szCs w:val="20"/>
              </w:rPr>
            </w:pPr>
            <w:r>
              <w:rPr>
                <w:rFonts w:ascii="Calibri" w:eastAsia="Calibri" w:hAnsi="Calibri" w:cs="Calibri"/>
              </w:rPr>
              <w:t>Comité  des</w:t>
            </w:r>
          </w:p>
        </w:tc>
        <w:tc>
          <w:tcPr>
            <w:tcW w:w="120" w:type="dxa"/>
            <w:vAlign w:val="bottom"/>
          </w:tcPr>
          <w:p w:rsidR="00AC12B4" w:rsidRDefault="00AC12B4">
            <w:pPr>
              <w:rPr>
                <w:sz w:val="16"/>
                <w:szCs w:val="16"/>
              </w:rPr>
            </w:pPr>
          </w:p>
        </w:tc>
        <w:tc>
          <w:tcPr>
            <w:tcW w:w="640" w:type="dxa"/>
            <w:vMerge w:val="restart"/>
            <w:vAlign w:val="bottom"/>
          </w:tcPr>
          <w:p w:rsidR="00AC12B4" w:rsidRDefault="00C27636">
            <w:pPr>
              <w:ind w:right="10"/>
              <w:jc w:val="right"/>
              <w:rPr>
                <w:sz w:val="20"/>
                <w:szCs w:val="20"/>
              </w:rPr>
            </w:pPr>
            <w:r>
              <w:rPr>
                <w:rFonts w:ascii="Calibri" w:eastAsia="Calibri" w:hAnsi="Calibri" w:cs="Calibri"/>
                <w:w w:val="96"/>
              </w:rPr>
              <w:t>droits</w:t>
            </w:r>
          </w:p>
        </w:tc>
        <w:tc>
          <w:tcPr>
            <w:tcW w:w="1560" w:type="dxa"/>
            <w:gridSpan w:val="2"/>
            <w:vMerge w:val="restart"/>
            <w:vAlign w:val="bottom"/>
          </w:tcPr>
          <w:p w:rsidR="00AC12B4" w:rsidRDefault="00C27636">
            <w:pPr>
              <w:ind w:left="20"/>
              <w:rPr>
                <w:sz w:val="20"/>
                <w:szCs w:val="20"/>
              </w:rPr>
            </w:pPr>
            <w:r>
              <w:rPr>
                <w:rFonts w:ascii="Calibri" w:eastAsia="Calibri" w:hAnsi="Calibri" w:cs="Calibri"/>
              </w:rPr>
              <w:t>de  l'enfant  et</w:t>
            </w:r>
          </w:p>
        </w:tc>
        <w:tc>
          <w:tcPr>
            <w:tcW w:w="520" w:type="dxa"/>
            <w:gridSpan w:val="2"/>
            <w:vMerge w:val="restart"/>
            <w:vAlign w:val="bottom"/>
          </w:tcPr>
          <w:p w:rsidR="00AC12B4" w:rsidRDefault="00C27636">
            <w:pPr>
              <w:ind w:right="100"/>
              <w:jc w:val="right"/>
              <w:rPr>
                <w:sz w:val="20"/>
                <w:szCs w:val="20"/>
              </w:rPr>
            </w:pPr>
            <w:r>
              <w:rPr>
                <w:rFonts w:ascii="Calibri" w:eastAsia="Calibri" w:hAnsi="Calibri" w:cs="Calibri"/>
                <w:w w:val="94"/>
              </w:rPr>
              <w:t>dans</w:t>
            </w:r>
          </w:p>
        </w:tc>
        <w:tc>
          <w:tcPr>
            <w:tcW w:w="1300" w:type="dxa"/>
            <w:gridSpan w:val="3"/>
            <w:vMerge/>
            <w:vAlign w:val="bottom"/>
          </w:tcPr>
          <w:p w:rsidR="00AC12B4" w:rsidRDefault="00AC12B4">
            <w:pPr>
              <w:rPr>
                <w:sz w:val="16"/>
                <w:szCs w:val="16"/>
              </w:rPr>
            </w:pPr>
          </w:p>
        </w:tc>
        <w:tc>
          <w:tcPr>
            <w:tcW w:w="1080" w:type="dxa"/>
            <w:gridSpan w:val="4"/>
            <w:vMerge/>
            <w:vAlign w:val="bottom"/>
          </w:tcPr>
          <w:p w:rsidR="00AC12B4" w:rsidRDefault="00AC12B4">
            <w:pPr>
              <w:rPr>
                <w:sz w:val="16"/>
                <w:szCs w:val="16"/>
              </w:rPr>
            </w:pPr>
          </w:p>
        </w:tc>
        <w:tc>
          <w:tcPr>
            <w:tcW w:w="300" w:type="dxa"/>
            <w:tcBorders>
              <w:right w:val="single" w:sz="8" w:space="0" w:color="C95C96"/>
            </w:tcBorders>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1180" w:type="dxa"/>
            <w:gridSpan w:val="4"/>
            <w:vMerge w:val="restart"/>
            <w:vAlign w:val="bottom"/>
          </w:tcPr>
          <w:p w:rsidR="00AC12B4" w:rsidRDefault="00C27636">
            <w:pPr>
              <w:spacing w:line="255" w:lineRule="exact"/>
              <w:ind w:left="60"/>
              <w:rPr>
                <w:sz w:val="20"/>
                <w:szCs w:val="20"/>
              </w:rPr>
            </w:pPr>
            <w:r>
              <w:rPr>
                <w:rFonts w:ascii="Calibri" w:eastAsia="Calibri" w:hAnsi="Calibri" w:cs="Calibri"/>
              </w:rPr>
              <w:t>rapportent</w:t>
            </w:r>
          </w:p>
        </w:tc>
        <w:tc>
          <w:tcPr>
            <w:tcW w:w="540" w:type="dxa"/>
            <w:gridSpan w:val="2"/>
            <w:vMerge w:val="restart"/>
            <w:vAlign w:val="bottom"/>
          </w:tcPr>
          <w:p w:rsidR="00AC12B4" w:rsidRDefault="00C27636">
            <w:pPr>
              <w:spacing w:line="255" w:lineRule="exact"/>
              <w:jc w:val="right"/>
              <w:rPr>
                <w:sz w:val="20"/>
                <w:szCs w:val="20"/>
              </w:rPr>
            </w:pPr>
            <w:r>
              <w:rPr>
                <w:rFonts w:ascii="Calibri" w:eastAsia="Calibri" w:hAnsi="Calibri" w:cs="Calibri"/>
                <w:color w:val="C95C96"/>
              </w:rPr>
              <w:t>avoir</w:t>
            </w:r>
          </w:p>
        </w:tc>
        <w:tc>
          <w:tcPr>
            <w:tcW w:w="740" w:type="dxa"/>
            <w:vMerge w:val="restart"/>
            <w:tcBorders>
              <w:right w:val="single" w:sz="8" w:space="0" w:color="C95C96"/>
            </w:tcBorders>
            <w:vAlign w:val="bottom"/>
          </w:tcPr>
          <w:p w:rsidR="00AC12B4" w:rsidRDefault="00C27636">
            <w:pPr>
              <w:spacing w:line="255" w:lineRule="exact"/>
              <w:ind w:right="90"/>
              <w:jc w:val="right"/>
              <w:rPr>
                <w:sz w:val="20"/>
                <w:szCs w:val="20"/>
              </w:rPr>
            </w:pPr>
            <w:r>
              <w:rPr>
                <w:rFonts w:ascii="Calibri" w:eastAsia="Calibri" w:hAnsi="Calibri" w:cs="Calibri"/>
                <w:color w:val="C95C96"/>
              </w:rPr>
              <w:t>été</w:t>
            </w: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1640" w:type="dxa"/>
            <w:vMerge/>
            <w:vAlign w:val="bottom"/>
          </w:tcPr>
          <w:p w:rsidR="00AC12B4" w:rsidRDefault="00AC12B4">
            <w:pPr>
              <w:rPr>
                <w:sz w:val="7"/>
                <w:szCs w:val="7"/>
              </w:rPr>
            </w:pPr>
          </w:p>
        </w:tc>
        <w:tc>
          <w:tcPr>
            <w:tcW w:w="120" w:type="dxa"/>
            <w:vAlign w:val="bottom"/>
          </w:tcPr>
          <w:p w:rsidR="00AC12B4" w:rsidRDefault="00AC12B4">
            <w:pPr>
              <w:rPr>
                <w:sz w:val="7"/>
                <w:szCs w:val="7"/>
              </w:rPr>
            </w:pPr>
          </w:p>
        </w:tc>
        <w:tc>
          <w:tcPr>
            <w:tcW w:w="640" w:type="dxa"/>
            <w:vMerge/>
            <w:vAlign w:val="bottom"/>
          </w:tcPr>
          <w:p w:rsidR="00AC12B4" w:rsidRDefault="00AC12B4">
            <w:pPr>
              <w:rPr>
                <w:sz w:val="7"/>
                <w:szCs w:val="7"/>
              </w:rPr>
            </w:pPr>
          </w:p>
        </w:tc>
        <w:tc>
          <w:tcPr>
            <w:tcW w:w="1560" w:type="dxa"/>
            <w:gridSpan w:val="2"/>
            <w:vMerge/>
            <w:vAlign w:val="bottom"/>
          </w:tcPr>
          <w:p w:rsidR="00AC12B4" w:rsidRDefault="00AC12B4">
            <w:pPr>
              <w:rPr>
                <w:sz w:val="7"/>
                <w:szCs w:val="7"/>
              </w:rPr>
            </w:pPr>
          </w:p>
        </w:tc>
        <w:tc>
          <w:tcPr>
            <w:tcW w:w="520" w:type="dxa"/>
            <w:gridSpan w:val="2"/>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2300" w:type="dxa"/>
            <w:gridSpan w:val="6"/>
            <w:vMerge w:val="restart"/>
            <w:vAlign w:val="bottom"/>
          </w:tcPr>
          <w:p w:rsidR="00AC12B4" w:rsidRDefault="00C27636">
            <w:pPr>
              <w:ind w:left="540"/>
              <w:rPr>
                <w:sz w:val="20"/>
                <w:szCs w:val="20"/>
              </w:rPr>
            </w:pPr>
            <w:r>
              <w:rPr>
                <w:rFonts w:ascii="Calibri" w:eastAsia="Calibri" w:hAnsi="Calibri" w:cs="Calibri"/>
              </w:rPr>
              <w:t>a recommandé à</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1180" w:type="dxa"/>
            <w:gridSpan w:val="4"/>
            <w:vMerge/>
            <w:vAlign w:val="bottom"/>
          </w:tcPr>
          <w:p w:rsidR="00AC12B4" w:rsidRDefault="00AC12B4">
            <w:pPr>
              <w:rPr>
                <w:sz w:val="7"/>
                <w:szCs w:val="7"/>
              </w:rPr>
            </w:pPr>
          </w:p>
        </w:tc>
        <w:tc>
          <w:tcPr>
            <w:tcW w:w="540" w:type="dxa"/>
            <w:gridSpan w:val="2"/>
            <w:vMerge/>
            <w:vAlign w:val="bottom"/>
          </w:tcPr>
          <w:p w:rsidR="00AC12B4" w:rsidRDefault="00AC12B4">
            <w:pPr>
              <w:rPr>
                <w:sz w:val="7"/>
                <w:szCs w:val="7"/>
              </w:rPr>
            </w:pPr>
          </w:p>
        </w:tc>
        <w:tc>
          <w:tcPr>
            <w:tcW w:w="740" w:type="dxa"/>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5"/>
        </w:trPr>
        <w:tc>
          <w:tcPr>
            <w:tcW w:w="960" w:type="dxa"/>
            <w:vAlign w:val="bottom"/>
          </w:tcPr>
          <w:p w:rsidR="00AC12B4" w:rsidRDefault="00AC12B4">
            <w:pPr>
              <w:rPr>
                <w:sz w:val="16"/>
                <w:szCs w:val="16"/>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l'étude des Nations Unies sur la violence à</w:t>
            </w:r>
          </w:p>
        </w:tc>
        <w:tc>
          <w:tcPr>
            <w:tcW w:w="80" w:type="dxa"/>
            <w:vAlign w:val="bottom"/>
          </w:tcPr>
          <w:p w:rsidR="00AC12B4" w:rsidRDefault="00AC12B4">
            <w:pPr>
              <w:rPr>
                <w:sz w:val="16"/>
                <w:szCs w:val="16"/>
              </w:rPr>
            </w:pPr>
          </w:p>
        </w:tc>
        <w:tc>
          <w:tcPr>
            <w:tcW w:w="2300" w:type="dxa"/>
            <w:gridSpan w:val="6"/>
            <w:vMerge/>
            <w:vAlign w:val="bottom"/>
          </w:tcPr>
          <w:p w:rsidR="00AC12B4" w:rsidRDefault="00AC12B4">
            <w:pPr>
              <w:rPr>
                <w:sz w:val="16"/>
                <w:szCs w:val="16"/>
              </w:rPr>
            </w:pPr>
          </w:p>
        </w:tc>
        <w:tc>
          <w:tcPr>
            <w:tcW w:w="300" w:type="dxa"/>
            <w:tcBorders>
              <w:right w:val="single" w:sz="8" w:space="0" w:color="C95C96"/>
            </w:tcBorders>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1180" w:type="dxa"/>
            <w:gridSpan w:val="4"/>
            <w:vMerge w:val="restart"/>
            <w:vAlign w:val="bottom"/>
          </w:tcPr>
          <w:p w:rsidR="00AC12B4" w:rsidRDefault="00C27636">
            <w:pPr>
              <w:spacing w:line="255" w:lineRule="exact"/>
              <w:ind w:left="60"/>
              <w:rPr>
                <w:sz w:val="20"/>
                <w:szCs w:val="20"/>
              </w:rPr>
            </w:pPr>
            <w:r>
              <w:rPr>
                <w:rFonts w:ascii="Calibri" w:eastAsia="Calibri" w:hAnsi="Calibri" w:cs="Calibri"/>
                <w:color w:val="C95C96"/>
              </w:rPr>
              <w:t>provoqués</w:t>
            </w:r>
          </w:p>
        </w:tc>
        <w:tc>
          <w:tcPr>
            <w:tcW w:w="540" w:type="dxa"/>
            <w:gridSpan w:val="2"/>
            <w:vMerge w:val="restart"/>
            <w:vAlign w:val="bottom"/>
          </w:tcPr>
          <w:p w:rsidR="00AC12B4" w:rsidRDefault="00C27636">
            <w:pPr>
              <w:spacing w:line="255" w:lineRule="exact"/>
              <w:ind w:right="50"/>
              <w:jc w:val="right"/>
              <w:rPr>
                <w:sz w:val="20"/>
                <w:szCs w:val="20"/>
              </w:rPr>
            </w:pPr>
            <w:r>
              <w:rPr>
                <w:rFonts w:ascii="Calibri" w:eastAsia="Calibri" w:hAnsi="Calibri" w:cs="Calibri"/>
              </w:rPr>
              <w:t>au</w:t>
            </w:r>
          </w:p>
        </w:tc>
        <w:tc>
          <w:tcPr>
            <w:tcW w:w="740" w:type="dxa"/>
            <w:vMerge w:val="restart"/>
            <w:tcBorders>
              <w:right w:val="single" w:sz="8" w:space="0" w:color="C95C96"/>
            </w:tcBorders>
            <w:vAlign w:val="bottom"/>
          </w:tcPr>
          <w:p w:rsidR="00AC12B4" w:rsidRDefault="00C27636">
            <w:pPr>
              <w:spacing w:line="255" w:lineRule="exact"/>
              <w:ind w:right="70"/>
              <w:jc w:val="right"/>
              <w:rPr>
                <w:sz w:val="20"/>
                <w:szCs w:val="20"/>
              </w:rPr>
            </w:pPr>
            <w:r>
              <w:rPr>
                <w:rFonts w:ascii="Calibri" w:eastAsia="Calibri" w:hAnsi="Calibri" w:cs="Calibri"/>
                <w:w w:val="99"/>
              </w:rPr>
              <w:t>moins</w:t>
            </w: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840" w:type="dxa"/>
            <w:vMerge w:val="restart"/>
            <w:vAlign w:val="bottom"/>
          </w:tcPr>
          <w:p w:rsidR="00AC12B4" w:rsidRDefault="00C27636">
            <w:pPr>
              <w:spacing w:line="267" w:lineRule="exact"/>
              <w:ind w:left="540"/>
              <w:rPr>
                <w:sz w:val="20"/>
                <w:szCs w:val="20"/>
              </w:rPr>
            </w:pPr>
            <w:r>
              <w:rPr>
                <w:rFonts w:ascii="Calibri" w:eastAsia="Calibri" w:hAnsi="Calibri" w:cs="Calibri"/>
              </w:rPr>
              <w:t>la</w:t>
            </w:r>
          </w:p>
        </w:tc>
        <w:tc>
          <w:tcPr>
            <w:tcW w:w="900" w:type="dxa"/>
            <w:gridSpan w:val="3"/>
            <w:vMerge w:val="restart"/>
            <w:vAlign w:val="bottom"/>
          </w:tcPr>
          <w:p w:rsidR="00AC12B4" w:rsidRDefault="00C27636">
            <w:pPr>
              <w:spacing w:line="267" w:lineRule="exact"/>
              <w:jc w:val="right"/>
              <w:rPr>
                <w:sz w:val="20"/>
                <w:szCs w:val="20"/>
              </w:rPr>
            </w:pPr>
            <w:r>
              <w:rPr>
                <w:rFonts w:ascii="Calibri" w:eastAsia="Calibri" w:hAnsi="Calibri" w:cs="Calibri"/>
              </w:rPr>
              <w:t>Belgique</w:t>
            </w:r>
          </w:p>
        </w:tc>
        <w:tc>
          <w:tcPr>
            <w:tcW w:w="60" w:type="dxa"/>
            <w:vAlign w:val="bottom"/>
          </w:tcPr>
          <w:p w:rsidR="00AC12B4" w:rsidRDefault="00AC12B4">
            <w:pPr>
              <w:rPr>
                <w:sz w:val="7"/>
                <w:szCs w:val="7"/>
              </w:rPr>
            </w:pPr>
          </w:p>
        </w:tc>
        <w:tc>
          <w:tcPr>
            <w:tcW w:w="500" w:type="dxa"/>
            <w:vMerge w:val="restart"/>
            <w:vAlign w:val="bottom"/>
          </w:tcPr>
          <w:p w:rsidR="00AC12B4" w:rsidRDefault="00C27636">
            <w:pPr>
              <w:spacing w:line="267" w:lineRule="exact"/>
              <w:ind w:right="10"/>
              <w:jc w:val="right"/>
              <w:rPr>
                <w:sz w:val="20"/>
                <w:szCs w:val="20"/>
              </w:rPr>
            </w:pPr>
            <w:r>
              <w:rPr>
                <w:rFonts w:ascii="Calibri" w:eastAsia="Calibri" w:hAnsi="Calibri" w:cs="Calibri"/>
              </w:rPr>
              <w:t>de</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1180" w:type="dxa"/>
            <w:gridSpan w:val="4"/>
            <w:vMerge/>
            <w:vAlign w:val="bottom"/>
          </w:tcPr>
          <w:p w:rsidR="00AC12B4" w:rsidRDefault="00AC12B4">
            <w:pPr>
              <w:rPr>
                <w:sz w:val="7"/>
                <w:szCs w:val="7"/>
              </w:rPr>
            </w:pPr>
          </w:p>
        </w:tc>
        <w:tc>
          <w:tcPr>
            <w:tcW w:w="540" w:type="dxa"/>
            <w:gridSpan w:val="2"/>
            <w:vMerge/>
            <w:vAlign w:val="bottom"/>
          </w:tcPr>
          <w:p w:rsidR="00AC12B4" w:rsidRDefault="00AC12B4">
            <w:pPr>
              <w:rPr>
                <w:sz w:val="7"/>
                <w:szCs w:val="7"/>
              </w:rPr>
            </w:pPr>
          </w:p>
        </w:tc>
        <w:tc>
          <w:tcPr>
            <w:tcW w:w="740" w:type="dxa"/>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2"/>
        </w:trPr>
        <w:tc>
          <w:tcPr>
            <w:tcW w:w="960" w:type="dxa"/>
            <w:vAlign w:val="bottom"/>
          </w:tcPr>
          <w:p w:rsidR="00AC12B4" w:rsidRDefault="00AC12B4">
            <w:pPr>
              <w:rPr>
                <w:sz w:val="15"/>
                <w:szCs w:val="15"/>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l'encontre des enfants. Dans le cadre de</w:t>
            </w:r>
          </w:p>
        </w:tc>
        <w:tc>
          <w:tcPr>
            <w:tcW w:w="80" w:type="dxa"/>
            <w:vAlign w:val="bottom"/>
          </w:tcPr>
          <w:p w:rsidR="00AC12B4" w:rsidRDefault="00AC12B4">
            <w:pPr>
              <w:rPr>
                <w:sz w:val="15"/>
                <w:szCs w:val="15"/>
              </w:rPr>
            </w:pPr>
          </w:p>
        </w:tc>
        <w:tc>
          <w:tcPr>
            <w:tcW w:w="840" w:type="dxa"/>
            <w:vMerge/>
            <w:vAlign w:val="bottom"/>
          </w:tcPr>
          <w:p w:rsidR="00AC12B4" w:rsidRDefault="00AC12B4">
            <w:pPr>
              <w:rPr>
                <w:sz w:val="15"/>
                <w:szCs w:val="15"/>
              </w:rPr>
            </w:pPr>
          </w:p>
        </w:tc>
        <w:tc>
          <w:tcPr>
            <w:tcW w:w="900" w:type="dxa"/>
            <w:gridSpan w:val="3"/>
            <w:vMerge/>
            <w:vAlign w:val="bottom"/>
          </w:tcPr>
          <w:p w:rsidR="00AC12B4" w:rsidRDefault="00AC12B4">
            <w:pPr>
              <w:rPr>
                <w:sz w:val="15"/>
                <w:szCs w:val="15"/>
              </w:rPr>
            </w:pPr>
          </w:p>
        </w:tc>
        <w:tc>
          <w:tcPr>
            <w:tcW w:w="60" w:type="dxa"/>
            <w:vAlign w:val="bottom"/>
          </w:tcPr>
          <w:p w:rsidR="00AC12B4" w:rsidRDefault="00AC12B4">
            <w:pPr>
              <w:rPr>
                <w:sz w:val="15"/>
                <w:szCs w:val="15"/>
              </w:rPr>
            </w:pPr>
          </w:p>
        </w:tc>
        <w:tc>
          <w:tcPr>
            <w:tcW w:w="500" w:type="dxa"/>
            <w:vMerge/>
            <w:vAlign w:val="bottom"/>
          </w:tcPr>
          <w:p w:rsidR="00AC12B4" w:rsidRDefault="00AC12B4">
            <w:pPr>
              <w:rPr>
                <w:sz w:val="15"/>
                <w:szCs w:val="15"/>
              </w:rPr>
            </w:pPr>
          </w:p>
        </w:tc>
        <w:tc>
          <w:tcPr>
            <w:tcW w:w="300" w:type="dxa"/>
            <w:tcBorders>
              <w:right w:val="single" w:sz="8" w:space="0" w:color="C95C96"/>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Merge w:val="restart"/>
            <w:vAlign w:val="bottom"/>
          </w:tcPr>
          <w:p w:rsidR="00AC12B4" w:rsidRDefault="00C27636">
            <w:pPr>
              <w:spacing w:line="255" w:lineRule="exact"/>
              <w:ind w:left="60"/>
              <w:rPr>
                <w:sz w:val="20"/>
                <w:szCs w:val="20"/>
              </w:rPr>
            </w:pPr>
            <w:r>
              <w:rPr>
                <w:rFonts w:ascii="Calibri" w:eastAsia="Calibri" w:hAnsi="Calibri" w:cs="Calibri"/>
                <w:w w:val="93"/>
              </w:rPr>
              <w:t>une</w:t>
            </w:r>
          </w:p>
        </w:tc>
        <w:tc>
          <w:tcPr>
            <w:tcW w:w="540" w:type="dxa"/>
            <w:gridSpan w:val="2"/>
            <w:vMerge w:val="restart"/>
            <w:vAlign w:val="bottom"/>
          </w:tcPr>
          <w:p w:rsidR="00AC12B4" w:rsidRDefault="00C27636">
            <w:pPr>
              <w:spacing w:line="255" w:lineRule="exact"/>
              <w:ind w:left="160"/>
              <w:rPr>
                <w:sz w:val="20"/>
                <w:szCs w:val="20"/>
              </w:rPr>
            </w:pPr>
            <w:r>
              <w:rPr>
                <w:rFonts w:ascii="Calibri" w:eastAsia="Calibri" w:hAnsi="Calibri" w:cs="Calibri"/>
              </w:rPr>
              <w:t>fois</w:t>
            </w:r>
          </w:p>
        </w:tc>
        <w:tc>
          <w:tcPr>
            <w:tcW w:w="480" w:type="dxa"/>
            <w:gridSpan w:val="2"/>
            <w:vMerge w:val="restart"/>
            <w:vAlign w:val="bottom"/>
          </w:tcPr>
          <w:p w:rsidR="00AC12B4" w:rsidRDefault="00C27636">
            <w:pPr>
              <w:spacing w:line="255" w:lineRule="exact"/>
              <w:jc w:val="right"/>
              <w:rPr>
                <w:sz w:val="20"/>
                <w:szCs w:val="20"/>
              </w:rPr>
            </w:pPr>
            <w:r>
              <w:rPr>
                <w:rFonts w:ascii="Calibri" w:eastAsia="Calibri" w:hAnsi="Calibri" w:cs="Calibri"/>
              </w:rPr>
              <w:t>par</w:t>
            </w:r>
          </w:p>
        </w:tc>
        <w:tc>
          <w:tcPr>
            <w:tcW w:w="1040" w:type="dxa"/>
            <w:gridSpan w:val="2"/>
            <w:vMerge w:val="restart"/>
            <w:tcBorders>
              <w:right w:val="single" w:sz="8" w:space="0" w:color="C95C96"/>
            </w:tcBorders>
            <w:vAlign w:val="bottom"/>
          </w:tcPr>
          <w:p w:rsidR="00AC12B4" w:rsidRDefault="00C27636">
            <w:pPr>
              <w:spacing w:line="255" w:lineRule="exact"/>
              <w:ind w:right="70"/>
              <w:jc w:val="right"/>
              <w:rPr>
                <w:sz w:val="20"/>
                <w:szCs w:val="20"/>
              </w:rPr>
            </w:pPr>
            <w:r>
              <w:rPr>
                <w:rFonts w:ascii="Calibri" w:eastAsia="Calibri" w:hAnsi="Calibri" w:cs="Calibri"/>
              </w:rPr>
              <w:t>semaine</w:t>
            </w:r>
          </w:p>
        </w:tc>
        <w:tc>
          <w:tcPr>
            <w:tcW w:w="0" w:type="dxa"/>
            <w:vAlign w:val="bottom"/>
          </w:tcPr>
          <w:p w:rsidR="00AC12B4" w:rsidRDefault="00AC12B4">
            <w:pPr>
              <w:rPr>
                <w:sz w:val="1"/>
                <w:szCs w:val="1"/>
              </w:rPr>
            </w:pPr>
          </w:p>
        </w:tc>
      </w:tr>
      <w:tr w:rsidR="00AC12B4">
        <w:trPr>
          <w:trHeight w:val="86"/>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1220" w:type="dxa"/>
            <w:gridSpan w:val="2"/>
            <w:vMerge w:val="restart"/>
            <w:vAlign w:val="bottom"/>
          </w:tcPr>
          <w:p w:rsidR="00AC12B4" w:rsidRDefault="00C27636">
            <w:pPr>
              <w:ind w:left="540"/>
              <w:rPr>
                <w:sz w:val="20"/>
                <w:szCs w:val="20"/>
              </w:rPr>
            </w:pPr>
            <w:r>
              <w:rPr>
                <w:rFonts w:ascii="Calibri" w:eastAsia="Calibri" w:hAnsi="Calibri" w:cs="Calibri"/>
              </w:rPr>
              <w:t>m</w:t>
            </w:r>
            <w:r>
              <w:rPr>
                <w:rFonts w:ascii="Calibri" w:eastAsia="Calibri" w:hAnsi="Calibri" w:cs="Calibri"/>
              </w:rPr>
              <w:lastRenderedPageBreak/>
              <w:t>ettre</w:t>
            </w:r>
          </w:p>
        </w:tc>
        <w:tc>
          <w:tcPr>
            <w:tcW w:w="380" w:type="dxa"/>
            <w:vMerge w:val="restart"/>
            <w:vAlign w:val="bottom"/>
          </w:tcPr>
          <w:p w:rsidR="00AC12B4" w:rsidRDefault="00C27636">
            <w:pPr>
              <w:ind w:left="100"/>
              <w:rPr>
                <w:sz w:val="20"/>
                <w:szCs w:val="20"/>
              </w:rPr>
            </w:pPr>
            <w:r>
              <w:rPr>
                <w:rFonts w:ascii="Calibri" w:eastAsia="Calibri" w:hAnsi="Calibri" w:cs="Calibri"/>
              </w:rPr>
              <w:lastRenderedPageBreak/>
              <w:t>a</w:t>
            </w:r>
            <w:r>
              <w:rPr>
                <w:rFonts w:ascii="Calibri" w:eastAsia="Calibri" w:hAnsi="Calibri" w:cs="Calibri"/>
              </w:rPr>
              <w:lastRenderedPageBreak/>
              <w:t>u</w:t>
            </w:r>
          </w:p>
        </w:tc>
        <w:tc>
          <w:tcPr>
            <w:tcW w:w="700" w:type="dxa"/>
            <w:gridSpan w:val="3"/>
            <w:vMerge w:val="restart"/>
            <w:vAlign w:val="bottom"/>
          </w:tcPr>
          <w:p w:rsidR="00AC12B4" w:rsidRDefault="00C27636">
            <w:pPr>
              <w:ind w:right="10"/>
              <w:jc w:val="right"/>
              <w:rPr>
                <w:sz w:val="20"/>
                <w:szCs w:val="20"/>
              </w:rPr>
            </w:pPr>
            <w:r>
              <w:rPr>
                <w:rFonts w:ascii="Calibri" w:eastAsia="Calibri" w:hAnsi="Calibri" w:cs="Calibri"/>
              </w:rPr>
              <w:lastRenderedPageBreak/>
              <w:t>poin</w:t>
            </w:r>
            <w:r>
              <w:rPr>
                <w:rFonts w:ascii="Calibri" w:eastAsia="Calibri" w:hAnsi="Calibri" w:cs="Calibri"/>
              </w:rPr>
              <w:lastRenderedPageBreak/>
              <w:t>t</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Merge/>
            <w:vAlign w:val="bottom"/>
          </w:tcPr>
          <w:p w:rsidR="00AC12B4" w:rsidRDefault="00AC12B4">
            <w:pPr>
              <w:rPr>
                <w:sz w:val="7"/>
                <w:szCs w:val="7"/>
              </w:rPr>
            </w:pPr>
          </w:p>
        </w:tc>
        <w:tc>
          <w:tcPr>
            <w:tcW w:w="540" w:type="dxa"/>
            <w:gridSpan w:val="2"/>
            <w:vMerge/>
            <w:vAlign w:val="bottom"/>
          </w:tcPr>
          <w:p w:rsidR="00AC12B4" w:rsidRDefault="00AC12B4">
            <w:pPr>
              <w:rPr>
                <w:sz w:val="7"/>
                <w:szCs w:val="7"/>
              </w:rPr>
            </w:pPr>
          </w:p>
        </w:tc>
        <w:tc>
          <w:tcPr>
            <w:tcW w:w="480" w:type="dxa"/>
            <w:gridSpan w:val="2"/>
            <w:vMerge/>
            <w:vAlign w:val="bottom"/>
          </w:tcPr>
          <w:p w:rsidR="00AC12B4" w:rsidRDefault="00AC12B4">
            <w:pPr>
              <w:rPr>
                <w:sz w:val="7"/>
                <w:szCs w:val="7"/>
              </w:rPr>
            </w:pPr>
          </w:p>
        </w:tc>
        <w:tc>
          <w:tcPr>
            <w:tcW w:w="1040" w:type="dxa"/>
            <w:gridSpan w:val="2"/>
            <w:vMerge/>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2"/>
        </w:trPr>
        <w:tc>
          <w:tcPr>
            <w:tcW w:w="960" w:type="dxa"/>
            <w:vAlign w:val="bottom"/>
          </w:tcPr>
          <w:p w:rsidR="00AC12B4" w:rsidRDefault="00AC12B4">
            <w:pPr>
              <w:rPr>
                <w:sz w:val="15"/>
                <w:szCs w:val="15"/>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 xml:space="preserve">ses observations finales </w:t>
            </w:r>
            <w:r>
              <w:rPr>
                <w:rFonts w:ascii="Calibri" w:eastAsia="Calibri" w:hAnsi="Calibri" w:cs="Calibri"/>
              </w:rPr>
              <w:lastRenderedPageBreak/>
              <w:t>(2010), le Comité a</w:t>
            </w:r>
          </w:p>
        </w:tc>
        <w:tc>
          <w:tcPr>
            <w:tcW w:w="80" w:type="dxa"/>
            <w:vAlign w:val="bottom"/>
          </w:tcPr>
          <w:p w:rsidR="00AC12B4" w:rsidRDefault="00AC12B4">
            <w:pPr>
              <w:rPr>
                <w:sz w:val="15"/>
                <w:szCs w:val="15"/>
              </w:rPr>
            </w:pPr>
          </w:p>
        </w:tc>
        <w:tc>
          <w:tcPr>
            <w:tcW w:w="1220" w:type="dxa"/>
            <w:gridSpan w:val="2"/>
            <w:vMerge/>
            <w:vAlign w:val="bottom"/>
          </w:tcPr>
          <w:p w:rsidR="00AC12B4" w:rsidRDefault="00AC12B4">
            <w:pPr>
              <w:rPr>
                <w:sz w:val="15"/>
                <w:szCs w:val="15"/>
              </w:rPr>
            </w:pPr>
          </w:p>
        </w:tc>
        <w:tc>
          <w:tcPr>
            <w:tcW w:w="380" w:type="dxa"/>
            <w:vMerge/>
            <w:vAlign w:val="bottom"/>
          </w:tcPr>
          <w:p w:rsidR="00AC12B4" w:rsidRDefault="00AC12B4">
            <w:pPr>
              <w:rPr>
                <w:sz w:val="15"/>
                <w:szCs w:val="15"/>
              </w:rPr>
            </w:pPr>
          </w:p>
        </w:tc>
        <w:tc>
          <w:tcPr>
            <w:tcW w:w="700" w:type="dxa"/>
            <w:gridSpan w:val="3"/>
            <w:vMerge/>
            <w:vAlign w:val="bottom"/>
          </w:tcPr>
          <w:p w:rsidR="00AC12B4" w:rsidRDefault="00AC12B4">
            <w:pPr>
              <w:rPr>
                <w:sz w:val="15"/>
                <w:szCs w:val="15"/>
              </w:rPr>
            </w:pPr>
          </w:p>
        </w:tc>
        <w:tc>
          <w:tcPr>
            <w:tcW w:w="300" w:type="dxa"/>
            <w:tcBorders>
              <w:right w:val="single" w:sz="8" w:space="0" w:color="C95C96"/>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1180" w:type="dxa"/>
            <w:gridSpan w:val="4"/>
            <w:vMerge w:val="restart"/>
            <w:vAlign w:val="bottom"/>
          </w:tcPr>
          <w:p w:rsidR="00AC12B4" w:rsidRDefault="00C27636">
            <w:pPr>
              <w:spacing w:line="255" w:lineRule="exact"/>
              <w:ind w:left="60"/>
              <w:rPr>
                <w:sz w:val="20"/>
                <w:szCs w:val="20"/>
              </w:rPr>
            </w:pPr>
            <w:r>
              <w:rPr>
                <w:rFonts w:ascii="Calibri" w:eastAsia="Calibri" w:hAnsi="Calibri" w:cs="Calibri"/>
                <w:w w:val="99"/>
              </w:rPr>
              <w:t xml:space="preserve">(HBSC </w:t>
            </w:r>
            <w:r>
              <w:rPr>
                <w:rFonts w:ascii="Calibri" w:eastAsia="Calibri" w:hAnsi="Calibri" w:cs="Calibri"/>
                <w:w w:val="99"/>
              </w:rPr>
              <w:lastRenderedPageBreak/>
              <w:t>2014)</w:t>
            </w:r>
          </w:p>
        </w:tc>
        <w:tc>
          <w:tcPr>
            <w:tcW w:w="240" w:type="dxa"/>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740" w:type="dxa"/>
            <w:tcBorders>
              <w:right w:val="single" w:sz="8" w:space="0" w:color="C95C96"/>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6"/>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840" w:type="dxa"/>
            <w:vMerge w:val="restart"/>
            <w:vAlign w:val="bottom"/>
          </w:tcPr>
          <w:p w:rsidR="00AC12B4" w:rsidRDefault="00C27636">
            <w:pPr>
              <w:spacing w:line="233" w:lineRule="exact"/>
              <w:ind w:left="540"/>
              <w:rPr>
                <w:sz w:val="20"/>
                <w:szCs w:val="20"/>
              </w:rPr>
            </w:pPr>
            <w:r>
              <w:rPr>
                <w:rFonts w:ascii="Calibri" w:eastAsia="Calibri" w:hAnsi="Calibri" w:cs="Calibri"/>
                <w:w w:val="89"/>
              </w:rPr>
              <w:t>des</w:t>
            </w:r>
          </w:p>
        </w:tc>
        <w:tc>
          <w:tcPr>
            <w:tcW w:w="1460" w:type="dxa"/>
            <w:gridSpan w:val="5"/>
            <w:vMerge w:val="restart"/>
            <w:vAlign w:val="bottom"/>
          </w:tcPr>
          <w:p w:rsidR="00AC12B4" w:rsidRDefault="00C27636">
            <w:pPr>
              <w:spacing w:line="233" w:lineRule="exact"/>
              <w:ind w:right="10"/>
              <w:jc w:val="right"/>
              <w:rPr>
                <w:sz w:val="20"/>
                <w:szCs w:val="20"/>
              </w:rPr>
            </w:pPr>
            <w:r>
              <w:rPr>
                <w:rFonts w:ascii="Calibri" w:eastAsia="Calibri" w:hAnsi="Calibri" w:cs="Calibri"/>
              </w:rPr>
              <w:t>programmes</w:t>
            </w:r>
          </w:p>
        </w:tc>
        <w:tc>
          <w:tcPr>
            <w:tcW w:w="300" w:type="dxa"/>
            <w:tcBorders>
              <w:right w:val="single" w:sz="8" w:space="0" w:color="C95C9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1180" w:type="dxa"/>
            <w:gridSpan w:val="4"/>
            <w:vMerge/>
            <w:vAlign w:val="bottom"/>
          </w:tcPr>
          <w:p w:rsidR="00AC12B4" w:rsidRDefault="00AC12B4">
            <w:pPr>
              <w:rPr>
                <w:sz w:val="7"/>
                <w:szCs w:val="7"/>
              </w:rPr>
            </w:pPr>
          </w:p>
        </w:tc>
        <w:tc>
          <w:tcPr>
            <w:tcW w:w="24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740" w:type="dxa"/>
            <w:tcBorders>
              <w:right w:val="single" w:sz="8" w:space="0" w:color="C95C96"/>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47"/>
        </w:trPr>
        <w:tc>
          <w:tcPr>
            <w:tcW w:w="960" w:type="dxa"/>
            <w:vAlign w:val="bottom"/>
          </w:tcPr>
          <w:p w:rsidR="00AC12B4" w:rsidRDefault="00AC12B4">
            <w:pPr>
              <w:rPr>
                <w:sz w:val="12"/>
                <w:szCs w:val="12"/>
              </w:rPr>
            </w:pPr>
          </w:p>
        </w:tc>
        <w:tc>
          <w:tcPr>
            <w:tcW w:w="1760" w:type="dxa"/>
            <w:gridSpan w:val="2"/>
            <w:vMerge w:val="restart"/>
            <w:vAlign w:val="bottom"/>
          </w:tcPr>
          <w:p w:rsidR="00AC12B4" w:rsidRDefault="00C27636">
            <w:pPr>
              <w:ind w:left="500"/>
              <w:rPr>
                <w:sz w:val="20"/>
                <w:szCs w:val="20"/>
              </w:rPr>
            </w:pPr>
            <w:r>
              <w:rPr>
                <w:rFonts w:ascii="Calibri" w:eastAsia="Calibri" w:hAnsi="Calibri" w:cs="Calibri"/>
              </w:rPr>
              <w:t>recommandé</w:t>
            </w:r>
          </w:p>
        </w:tc>
        <w:tc>
          <w:tcPr>
            <w:tcW w:w="640" w:type="dxa"/>
            <w:vMerge w:val="restart"/>
            <w:vAlign w:val="bottom"/>
          </w:tcPr>
          <w:p w:rsidR="00AC12B4" w:rsidRDefault="00C27636">
            <w:pPr>
              <w:jc w:val="right"/>
              <w:rPr>
                <w:sz w:val="20"/>
                <w:szCs w:val="20"/>
              </w:rPr>
            </w:pPr>
            <w:r>
              <w:rPr>
                <w:rFonts w:ascii="Calibri" w:eastAsia="Calibri" w:hAnsi="Calibri" w:cs="Calibri"/>
              </w:rPr>
              <w:t>à  la</w:t>
            </w:r>
          </w:p>
        </w:tc>
        <w:tc>
          <w:tcPr>
            <w:tcW w:w="880" w:type="dxa"/>
            <w:vMerge w:val="restart"/>
            <w:vAlign w:val="bottom"/>
          </w:tcPr>
          <w:p w:rsidR="00AC12B4" w:rsidRDefault="00C27636">
            <w:pPr>
              <w:ind w:left="80"/>
              <w:rPr>
                <w:sz w:val="20"/>
                <w:szCs w:val="20"/>
              </w:rPr>
            </w:pPr>
            <w:r>
              <w:rPr>
                <w:rFonts w:ascii="Calibri" w:eastAsia="Calibri" w:hAnsi="Calibri" w:cs="Calibri"/>
              </w:rPr>
              <w:t>Belgique</w:t>
            </w:r>
          </w:p>
        </w:tc>
        <w:tc>
          <w:tcPr>
            <w:tcW w:w="1200" w:type="dxa"/>
            <w:gridSpan w:val="3"/>
            <w:vMerge w:val="restart"/>
            <w:vAlign w:val="bottom"/>
          </w:tcPr>
          <w:p w:rsidR="00AC12B4" w:rsidRDefault="00C27636">
            <w:pPr>
              <w:ind w:right="100"/>
              <w:jc w:val="right"/>
              <w:rPr>
                <w:sz w:val="20"/>
                <w:szCs w:val="20"/>
              </w:rPr>
            </w:pPr>
            <w:r>
              <w:rPr>
                <w:rFonts w:ascii="Calibri" w:eastAsia="Calibri" w:hAnsi="Calibri" w:cs="Calibri"/>
              </w:rPr>
              <w:t>d'interdire</w:t>
            </w:r>
          </w:p>
        </w:tc>
        <w:tc>
          <w:tcPr>
            <w:tcW w:w="80" w:type="dxa"/>
            <w:vAlign w:val="bottom"/>
          </w:tcPr>
          <w:p w:rsidR="00AC12B4" w:rsidRDefault="00AC12B4">
            <w:pPr>
              <w:rPr>
                <w:sz w:val="12"/>
                <w:szCs w:val="12"/>
              </w:rPr>
            </w:pPr>
          </w:p>
        </w:tc>
        <w:tc>
          <w:tcPr>
            <w:tcW w:w="840" w:type="dxa"/>
            <w:vMerge/>
            <w:vAlign w:val="bottom"/>
          </w:tcPr>
          <w:p w:rsidR="00AC12B4" w:rsidRDefault="00AC12B4">
            <w:pPr>
              <w:rPr>
                <w:sz w:val="12"/>
                <w:szCs w:val="12"/>
              </w:rPr>
            </w:pPr>
          </w:p>
        </w:tc>
        <w:tc>
          <w:tcPr>
            <w:tcW w:w="1460" w:type="dxa"/>
            <w:gridSpan w:val="5"/>
            <w:vMerge/>
            <w:vAlign w:val="bottom"/>
          </w:tcPr>
          <w:p w:rsidR="00AC12B4" w:rsidRDefault="00AC12B4">
            <w:pPr>
              <w:rPr>
                <w:sz w:val="12"/>
                <w:szCs w:val="12"/>
              </w:rPr>
            </w:pPr>
          </w:p>
        </w:tc>
        <w:tc>
          <w:tcPr>
            <w:tcW w:w="300" w:type="dxa"/>
            <w:tcBorders>
              <w:right w:val="single" w:sz="8" w:space="0" w:color="C95C96"/>
            </w:tcBorders>
            <w:vAlign w:val="bottom"/>
          </w:tcPr>
          <w:p w:rsidR="00AC12B4" w:rsidRDefault="00AC12B4">
            <w:pPr>
              <w:rPr>
                <w:sz w:val="12"/>
                <w:szCs w:val="12"/>
              </w:rPr>
            </w:pPr>
          </w:p>
        </w:tc>
        <w:tc>
          <w:tcPr>
            <w:tcW w:w="100" w:type="dxa"/>
            <w:tcBorders>
              <w:bottom w:val="single" w:sz="8" w:space="0" w:color="C95C96"/>
            </w:tcBorders>
            <w:vAlign w:val="bottom"/>
          </w:tcPr>
          <w:p w:rsidR="00AC12B4" w:rsidRDefault="00AC12B4">
            <w:pPr>
              <w:rPr>
                <w:sz w:val="12"/>
                <w:szCs w:val="12"/>
              </w:rPr>
            </w:pPr>
          </w:p>
        </w:tc>
        <w:tc>
          <w:tcPr>
            <w:tcW w:w="400" w:type="dxa"/>
            <w:tcBorders>
              <w:bottom w:val="single" w:sz="8" w:space="0" w:color="C95C96"/>
            </w:tcBorders>
            <w:vAlign w:val="bottom"/>
          </w:tcPr>
          <w:p w:rsidR="00AC12B4" w:rsidRDefault="00AC12B4">
            <w:pPr>
              <w:rPr>
                <w:sz w:val="12"/>
                <w:szCs w:val="12"/>
              </w:rPr>
            </w:pPr>
          </w:p>
        </w:tc>
        <w:tc>
          <w:tcPr>
            <w:tcW w:w="340" w:type="dxa"/>
            <w:tcBorders>
              <w:bottom w:val="single" w:sz="8" w:space="0" w:color="C95C96"/>
            </w:tcBorders>
            <w:vAlign w:val="bottom"/>
          </w:tcPr>
          <w:p w:rsidR="00AC12B4" w:rsidRDefault="00AC12B4">
            <w:pPr>
              <w:rPr>
                <w:sz w:val="12"/>
                <w:szCs w:val="12"/>
              </w:rPr>
            </w:pPr>
          </w:p>
        </w:tc>
        <w:tc>
          <w:tcPr>
            <w:tcW w:w="200" w:type="dxa"/>
            <w:tcBorders>
              <w:bottom w:val="single" w:sz="8" w:space="0" w:color="C95C96"/>
            </w:tcBorders>
            <w:vAlign w:val="bottom"/>
          </w:tcPr>
          <w:p w:rsidR="00AC12B4" w:rsidRDefault="00AC12B4">
            <w:pPr>
              <w:rPr>
                <w:sz w:val="12"/>
                <w:szCs w:val="12"/>
              </w:rPr>
            </w:pPr>
          </w:p>
        </w:tc>
        <w:tc>
          <w:tcPr>
            <w:tcW w:w="240" w:type="dxa"/>
            <w:tcBorders>
              <w:bottom w:val="single" w:sz="8" w:space="0" w:color="C95C96"/>
            </w:tcBorders>
            <w:vAlign w:val="bottom"/>
          </w:tcPr>
          <w:p w:rsidR="00AC12B4" w:rsidRDefault="00AC12B4">
            <w:pPr>
              <w:rPr>
                <w:sz w:val="12"/>
                <w:szCs w:val="12"/>
              </w:rPr>
            </w:pPr>
          </w:p>
        </w:tc>
        <w:tc>
          <w:tcPr>
            <w:tcW w:w="240" w:type="dxa"/>
            <w:tcBorders>
              <w:bottom w:val="single" w:sz="8" w:space="0" w:color="C95C96"/>
            </w:tcBorders>
            <w:vAlign w:val="bottom"/>
          </w:tcPr>
          <w:p w:rsidR="00AC12B4" w:rsidRDefault="00AC12B4">
            <w:pPr>
              <w:rPr>
                <w:sz w:val="12"/>
                <w:szCs w:val="12"/>
              </w:rPr>
            </w:pPr>
          </w:p>
        </w:tc>
        <w:tc>
          <w:tcPr>
            <w:tcW w:w="300" w:type="dxa"/>
            <w:tcBorders>
              <w:bottom w:val="single" w:sz="8" w:space="0" w:color="C95C96"/>
            </w:tcBorders>
            <w:vAlign w:val="bottom"/>
          </w:tcPr>
          <w:p w:rsidR="00AC12B4" w:rsidRDefault="00AC12B4">
            <w:pPr>
              <w:rPr>
                <w:sz w:val="12"/>
                <w:szCs w:val="12"/>
              </w:rPr>
            </w:pPr>
          </w:p>
        </w:tc>
        <w:tc>
          <w:tcPr>
            <w:tcW w:w="740" w:type="dxa"/>
            <w:tcBorders>
              <w:bottom w:val="single" w:sz="8" w:space="0" w:color="C95C96"/>
              <w:right w:val="single" w:sz="8" w:space="0" w:color="C95C96"/>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01"/>
        </w:trPr>
        <w:tc>
          <w:tcPr>
            <w:tcW w:w="960" w:type="dxa"/>
            <w:vAlign w:val="bottom"/>
          </w:tcPr>
          <w:p w:rsidR="00AC12B4" w:rsidRDefault="00AC12B4">
            <w:pPr>
              <w:rPr>
                <w:sz w:val="8"/>
                <w:szCs w:val="8"/>
              </w:rPr>
            </w:pPr>
          </w:p>
        </w:tc>
        <w:tc>
          <w:tcPr>
            <w:tcW w:w="1760" w:type="dxa"/>
            <w:gridSpan w:val="2"/>
            <w:vMerge/>
            <w:vAlign w:val="bottom"/>
          </w:tcPr>
          <w:p w:rsidR="00AC12B4" w:rsidRDefault="00AC12B4">
            <w:pPr>
              <w:rPr>
                <w:sz w:val="8"/>
                <w:szCs w:val="8"/>
              </w:rPr>
            </w:pPr>
          </w:p>
        </w:tc>
        <w:tc>
          <w:tcPr>
            <w:tcW w:w="640" w:type="dxa"/>
            <w:vMerge/>
            <w:vAlign w:val="bottom"/>
          </w:tcPr>
          <w:p w:rsidR="00AC12B4" w:rsidRDefault="00AC12B4">
            <w:pPr>
              <w:rPr>
                <w:sz w:val="8"/>
                <w:szCs w:val="8"/>
              </w:rPr>
            </w:pPr>
          </w:p>
        </w:tc>
        <w:tc>
          <w:tcPr>
            <w:tcW w:w="880" w:type="dxa"/>
            <w:vMerge/>
            <w:vAlign w:val="bottom"/>
          </w:tcPr>
          <w:p w:rsidR="00AC12B4" w:rsidRDefault="00AC12B4">
            <w:pPr>
              <w:rPr>
                <w:sz w:val="8"/>
                <w:szCs w:val="8"/>
              </w:rPr>
            </w:pPr>
          </w:p>
        </w:tc>
        <w:tc>
          <w:tcPr>
            <w:tcW w:w="1200" w:type="dxa"/>
            <w:gridSpan w:val="3"/>
            <w:vMerge/>
            <w:vAlign w:val="bottom"/>
          </w:tcPr>
          <w:p w:rsidR="00AC12B4" w:rsidRDefault="00AC12B4">
            <w:pPr>
              <w:rPr>
                <w:sz w:val="8"/>
                <w:szCs w:val="8"/>
              </w:rPr>
            </w:pPr>
          </w:p>
        </w:tc>
        <w:tc>
          <w:tcPr>
            <w:tcW w:w="80" w:type="dxa"/>
            <w:vAlign w:val="bottom"/>
          </w:tcPr>
          <w:p w:rsidR="00AC12B4" w:rsidRDefault="00AC12B4">
            <w:pPr>
              <w:rPr>
                <w:sz w:val="8"/>
                <w:szCs w:val="8"/>
              </w:rPr>
            </w:pPr>
          </w:p>
        </w:tc>
        <w:tc>
          <w:tcPr>
            <w:tcW w:w="840" w:type="dxa"/>
            <w:vMerge w:val="restart"/>
            <w:vAlign w:val="bottom"/>
          </w:tcPr>
          <w:p w:rsidR="00AC12B4" w:rsidRDefault="00C27636">
            <w:pPr>
              <w:ind w:left="540"/>
              <w:rPr>
                <w:sz w:val="20"/>
                <w:szCs w:val="20"/>
              </w:rPr>
            </w:pPr>
            <w:r>
              <w:rPr>
                <w:rFonts w:ascii="Calibri" w:eastAsia="Calibri" w:hAnsi="Calibri" w:cs="Calibri"/>
              </w:rPr>
              <w:t>de</w:t>
            </w:r>
          </w:p>
        </w:tc>
        <w:tc>
          <w:tcPr>
            <w:tcW w:w="3580" w:type="dxa"/>
            <w:gridSpan w:val="13"/>
            <w:vMerge w:val="restart"/>
            <w:vAlign w:val="bottom"/>
          </w:tcPr>
          <w:p w:rsidR="00AC12B4" w:rsidRDefault="00C27636">
            <w:pPr>
              <w:jc w:val="right"/>
              <w:rPr>
                <w:sz w:val="20"/>
                <w:szCs w:val="20"/>
              </w:rPr>
            </w:pPr>
            <w:r>
              <w:rPr>
                <w:rFonts w:ascii="Calibri" w:eastAsia="Calibri" w:hAnsi="Calibri" w:cs="Calibri"/>
              </w:rPr>
              <w:t>prévention  et  de  sensibilisation  de</w:t>
            </w:r>
          </w:p>
        </w:tc>
        <w:tc>
          <w:tcPr>
            <w:tcW w:w="74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82"/>
        </w:trPr>
        <w:tc>
          <w:tcPr>
            <w:tcW w:w="960" w:type="dxa"/>
            <w:vAlign w:val="bottom"/>
          </w:tcPr>
          <w:p w:rsidR="00AC12B4" w:rsidRDefault="00AC12B4">
            <w:pPr>
              <w:rPr>
                <w:sz w:val="15"/>
                <w:szCs w:val="15"/>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 xml:space="preserve">toute forme de violence à </w:t>
            </w:r>
            <w:r>
              <w:rPr>
                <w:rFonts w:ascii="Calibri" w:eastAsia="Calibri" w:hAnsi="Calibri" w:cs="Calibri"/>
              </w:rPr>
              <w:t>l’encontre des</w:t>
            </w:r>
          </w:p>
        </w:tc>
        <w:tc>
          <w:tcPr>
            <w:tcW w:w="80" w:type="dxa"/>
            <w:vAlign w:val="bottom"/>
          </w:tcPr>
          <w:p w:rsidR="00AC12B4" w:rsidRDefault="00AC12B4">
            <w:pPr>
              <w:rPr>
                <w:sz w:val="15"/>
                <w:szCs w:val="15"/>
              </w:rPr>
            </w:pPr>
          </w:p>
        </w:tc>
        <w:tc>
          <w:tcPr>
            <w:tcW w:w="840" w:type="dxa"/>
            <w:vMerge/>
            <w:vAlign w:val="bottom"/>
          </w:tcPr>
          <w:p w:rsidR="00AC12B4" w:rsidRDefault="00AC12B4">
            <w:pPr>
              <w:rPr>
                <w:sz w:val="15"/>
                <w:szCs w:val="15"/>
              </w:rPr>
            </w:pPr>
          </w:p>
        </w:tc>
        <w:tc>
          <w:tcPr>
            <w:tcW w:w="3580" w:type="dxa"/>
            <w:gridSpan w:val="13"/>
            <w:vMerge/>
            <w:vAlign w:val="bottom"/>
          </w:tcPr>
          <w:p w:rsidR="00AC12B4" w:rsidRDefault="00AC12B4">
            <w:pPr>
              <w:rPr>
                <w:sz w:val="15"/>
                <w:szCs w:val="15"/>
              </w:rPr>
            </w:pPr>
          </w:p>
        </w:tc>
        <w:tc>
          <w:tcPr>
            <w:tcW w:w="74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6"/>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1220" w:type="dxa"/>
            <w:gridSpan w:val="2"/>
            <w:vMerge w:val="restart"/>
            <w:vAlign w:val="bottom"/>
          </w:tcPr>
          <w:p w:rsidR="00AC12B4" w:rsidRDefault="00C27636">
            <w:pPr>
              <w:ind w:left="540"/>
              <w:rPr>
                <w:sz w:val="20"/>
                <w:szCs w:val="20"/>
              </w:rPr>
            </w:pPr>
            <w:r>
              <w:rPr>
                <w:rFonts w:ascii="Calibri" w:eastAsia="Calibri" w:hAnsi="Calibri" w:cs="Calibri"/>
              </w:rPr>
              <w:t>grande</w:t>
            </w:r>
          </w:p>
        </w:tc>
        <w:tc>
          <w:tcPr>
            <w:tcW w:w="3200" w:type="dxa"/>
            <w:gridSpan w:val="12"/>
            <w:vMerge w:val="restart"/>
            <w:vAlign w:val="bottom"/>
          </w:tcPr>
          <w:p w:rsidR="00AC12B4" w:rsidRDefault="00C27636">
            <w:pPr>
              <w:jc w:val="right"/>
              <w:rPr>
                <w:sz w:val="20"/>
                <w:szCs w:val="20"/>
              </w:rPr>
            </w:pPr>
            <w:r>
              <w:rPr>
                <w:rFonts w:ascii="Calibri" w:eastAsia="Calibri" w:hAnsi="Calibri" w:cs="Calibri"/>
              </w:rPr>
              <w:t>ampleur  pour  lutter  contre  les</w:t>
            </w:r>
          </w:p>
        </w:tc>
        <w:tc>
          <w:tcPr>
            <w:tcW w:w="74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2"/>
        </w:trPr>
        <w:tc>
          <w:tcPr>
            <w:tcW w:w="960" w:type="dxa"/>
            <w:vAlign w:val="bottom"/>
          </w:tcPr>
          <w:p w:rsidR="00AC12B4" w:rsidRDefault="00AC12B4">
            <w:pPr>
              <w:rPr>
                <w:sz w:val="15"/>
                <w:szCs w:val="15"/>
              </w:rPr>
            </w:pPr>
          </w:p>
        </w:tc>
        <w:tc>
          <w:tcPr>
            <w:tcW w:w="1640" w:type="dxa"/>
            <w:vMerge w:val="restart"/>
            <w:vAlign w:val="bottom"/>
          </w:tcPr>
          <w:p w:rsidR="00AC12B4" w:rsidRDefault="00C27636">
            <w:pPr>
              <w:spacing w:line="267" w:lineRule="exact"/>
              <w:ind w:left="500"/>
              <w:rPr>
                <w:sz w:val="20"/>
                <w:szCs w:val="20"/>
              </w:rPr>
            </w:pPr>
            <w:r>
              <w:rPr>
                <w:rFonts w:ascii="Calibri" w:eastAsia="Calibri" w:hAnsi="Calibri" w:cs="Calibri"/>
              </w:rPr>
              <w:t>enfants, de</w:t>
            </w:r>
          </w:p>
        </w:tc>
        <w:tc>
          <w:tcPr>
            <w:tcW w:w="1640" w:type="dxa"/>
            <w:gridSpan w:val="3"/>
            <w:vMerge w:val="restart"/>
            <w:vAlign w:val="bottom"/>
          </w:tcPr>
          <w:p w:rsidR="00AC12B4" w:rsidRDefault="00C27636">
            <w:pPr>
              <w:spacing w:line="267" w:lineRule="exact"/>
              <w:ind w:left="40"/>
              <w:rPr>
                <w:sz w:val="20"/>
                <w:szCs w:val="20"/>
              </w:rPr>
            </w:pPr>
            <w:r>
              <w:rPr>
                <w:rFonts w:ascii="Calibri" w:eastAsia="Calibri" w:hAnsi="Calibri" w:cs="Calibri"/>
              </w:rPr>
              <w:t>promouvoir des</w:t>
            </w:r>
          </w:p>
        </w:tc>
        <w:tc>
          <w:tcPr>
            <w:tcW w:w="680" w:type="dxa"/>
            <w:vMerge w:val="restart"/>
            <w:vAlign w:val="bottom"/>
          </w:tcPr>
          <w:p w:rsidR="00AC12B4" w:rsidRDefault="00C27636">
            <w:pPr>
              <w:spacing w:line="267" w:lineRule="exact"/>
              <w:rPr>
                <w:sz w:val="20"/>
                <w:szCs w:val="20"/>
              </w:rPr>
            </w:pPr>
            <w:r>
              <w:rPr>
                <w:rFonts w:ascii="Calibri" w:eastAsia="Calibri" w:hAnsi="Calibri" w:cs="Calibri"/>
              </w:rPr>
              <w:t>valeurs</w:t>
            </w:r>
          </w:p>
        </w:tc>
        <w:tc>
          <w:tcPr>
            <w:tcW w:w="520" w:type="dxa"/>
            <w:gridSpan w:val="2"/>
            <w:vMerge w:val="restart"/>
            <w:vAlign w:val="bottom"/>
          </w:tcPr>
          <w:p w:rsidR="00AC12B4" w:rsidRDefault="00C27636">
            <w:pPr>
              <w:spacing w:line="267" w:lineRule="exact"/>
              <w:ind w:right="100"/>
              <w:jc w:val="right"/>
              <w:rPr>
                <w:sz w:val="20"/>
                <w:szCs w:val="20"/>
              </w:rPr>
            </w:pPr>
            <w:r>
              <w:rPr>
                <w:rFonts w:ascii="Calibri" w:eastAsia="Calibri" w:hAnsi="Calibri" w:cs="Calibri"/>
              </w:rPr>
              <w:t>non</w:t>
            </w:r>
          </w:p>
        </w:tc>
        <w:tc>
          <w:tcPr>
            <w:tcW w:w="80" w:type="dxa"/>
            <w:vAlign w:val="bottom"/>
          </w:tcPr>
          <w:p w:rsidR="00AC12B4" w:rsidRDefault="00AC12B4">
            <w:pPr>
              <w:rPr>
                <w:sz w:val="15"/>
                <w:szCs w:val="15"/>
              </w:rPr>
            </w:pPr>
          </w:p>
        </w:tc>
        <w:tc>
          <w:tcPr>
            <w:tcW w:w="1220" w:type="dxa"/>
            <w:gridSpan w:val="2"/>
            <w:vMerge/>
            <w:vAlign w:val="bottom"/>
          </w:tcPr>
          <w:p w:rsidR="00AC12B4" w:rsidRDefault="00AC12B4">
            <w:pPr>
              <w:rPr>
                <w:sz w:val="15"/>
                <w:szCs w:val="15"/>
              </w:rPr>
            </w:pPr>
          </w:p>
        </w:tc>
        <w:tc>
          <w:tcPr>
            <w:tcW w:w="3200" w:type="dxa"/>
            <w:gridSpan w:val="12"/>
            <w:vMerge/>
            <w:vAlign w:val="bottom"/>
          </w:tcPr>
          <w:p w:rsidR="00AC12B4" w:rsidRDefault="00AC12B4">
            <w:pPr>
              <w:rPr>
                <w:sz w:val="15"/>
                <w:szCs w:val="15"/>
              </w:rPr>
            </w:pPr>
          </w:p>
        </w:tc>
        <w:tc>
          <w:tcPr>
            <w:tcW w:w="74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1640" w:type="dxa"/>
            <w:vMerge/>
            <w:vAlign w:val="bottom"/>
          </w:tcPr>
          <w:p w:rsidR="00AC12B4" w:rsidRDefault="00AC12B4">
            <w:pPr>
              <w:rPr>
                <w:sz w:val="7"/>
                <w:szCs w:val="7"/>
              </w:rPr>
            </w:pPr>
          </w:p>
        </w:tc>
        <w:tc>
          <w:tcPr>
            <w:tcW w:w="1640" w:type="dxa"/>
            <w:gridSpan w:val="3"/>
            <w:vMerge/>
            <w:vAlign w:val="bottom"/>
          </w:tcPr>
          <w:p w:rsidR="00AC12B4" w:rsidRDefault="00AC12B4">
            <w:pPr>
              <w:rPr>
                <w:sz w:val="7"/>
                <w:szCs w:val="7"/>
              </w:rPr>
            </w:pPr>
          </w:p>
        </w:tc>
        <w:tc>
          <w:tcPr>
            <w:tcW w:w="680" w:type="dxa"/>
            <w:vMerge/>
            <w:vAlign w:val="bottom"/>
          </w:tcPr>
          <w:p w:rsidR="00AC12B4" w:rsidRDefault="00AC12B4">
            <w:pPr>
              <w:rPr>
                <w:sz w:val="7"/>
                <w:szCs w:val="7"/>
              </w:rPr>
            </w:pPr>
          </w:p>
        </w:tc>
        <w:tc>
          <w:tcPr>
            <w:tcW w:w="520" w:type="dxa"/>
            <w:gridSpan w:val="2"/>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4420" w:type="dxa"/>
            <w:gridSpan w:val="14"/>
            <w:vMerge w:val="restart"/>
            <w:vAlign w:val="bottom"/>
          </w:tcPr>
          <w:p w:rsidR="00AC12B4" w:rsidRDefault="00C27636">
            <w:pPr>
              <w:ind w:left="540"/>
              <w:rPr>
                <w:sz w:val="20"/>
                <w:szCs w:val="20"/>
              </w:rPr>
            </w:pPr>
            <w:r>
              <w:rPr>
                <w:rFonts w:ascii="Calibri" w:eastAsia="Calibri" w:hAnsi="Calibri" w:cs="Calibri"/>
              </w:rPr>
              <w:t>brimades et toutes les autres formes de</w:t>
            </w:r>
          </w:p>
        </w:tc>
        <w:tc>
          <w:tcPr>
            <w:tcW w:w="74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5"/>
        </w:trPr>
        <w:tc>
          <w:tcPr>
            <w:tcW w:w="960" w:type="dxa"/>
            <w:vAlign w:val="bottom"/>
          </w:tcPr>
          <w:p w:rsidR="00AC12B4" w:rsidRDefault="00AC12B4">
            <w:pPr>
              <w:rPr>
                <w:sz w:val="16"/>
                <w:szCs w:val="16"/>
              </w:rPr>
            </w:pPr>
          </w:p>
        </w:tc>
        <w:tc>
          <w:tcPr>
            <w:tcW w:w="1640" w:type="dxa"/>
            <w:vMerge w:val="restart"/>
            <w:vAlign w:val="bottom"/>
          </w:tcPr>
          <w:p w:rsidR="00AC12B4" w:rsidRDefault="00C27636">
            <w:pPr>
              <w:ind w:left="500"/>
              <w:rPr>
                <w:sz w:val="20"/>
                <w:szCs w:val="20"/>
              </w:rPr>
            </w:pPr>
            <w:r>
              <w:rPr>
                <w:rFonts w:ascii="Calibri" w:eastAsia="Calibri" w:hAnsi="Calibri" w:cs="Calibri"/>
              </w:rPr>
              <w:t>violentes,</w:t>
            </w:r>
          </w:p>
        </w:tc>
        <w:tc>
          <w:tcPr>
            <w:tcW w:w="760" w:type="dxa"/>
            <w:gridSpan w:val="2"/>
            <w:vMerge w:val="restart"/>
            <w:vAlign w:val="bottom"/>
          </w:tcPr>
          <w:p w:rsidR="00AC12B4" w:rsidRDefault="00C27636">
            <w:pPr>
              <w:ind w:right="10"/>
              <w:jc w:val="right"/>
              <w:rPr>
                <w:sz w:val="20"/>
                <w:szCs w:val="20"/>
              </w:rPr>
            </w:pPr>
            <w:r>
              <w:rPr>
                <w:rFonts w:ascii="Calibri" w:eastAsia="Calibri" w:hAnsi="Calibri" w:cs="Calibri"/>
              </w:rPr>
              <w:t>d'offrir</w:t>
            </w:r>
          </w:p>
        </w:tc>
        <w:tc>
          <w:tcPr>
            <w:tcW w:w="1560" w:type="dxa"/>
            <w:gridSpan w:val="2"/>
            <w:vMerge w:val="restart"/>
            <w:vAlign w:val="bottom"/>
          </w:tcPr>
          <w:p w:rsidR="00AC12B4" w:rsidRDefault="00C27636">
            <w:pPr>
              <w:ind w:left="160"/>
              <w:rPr>
                <w:sz w:val="20"/>
                <w:szCs w:val="20"/>
              </w:rPr>
            </w:pPr>
            <w:r>
              <w:rPr>
                <w:rFonts w:ascii="Calibri" w:eastAsia="Calibri" w:hAnsi="Calibri" w:cs="Calibri"/>
              </w:rPr>
              <w:t>des   services</w:t>
            </w:r>
          </w:p>
        </w:tc>
        <w:tc>
          <w:tcPr>
            <w:tcW w:w="520" w:type="dxa"/>
            <w:gridSpan w:val="2"/>
            <w:vMerge w:val="restart"/>
            <w:vAlign w:val="bottom"/>
          </w:tcPr>
          <w:p w:rsidR="00AC12B4" w:rsidRDefault="00C27636">
            <w:pPr>
              <w:ind w:right="100"/>
              <w:jc w:val="right"/>
              <w:rPr>
                <w:sz w:val="20"/>
                <w:szCs w:val="20"/>
              </w:rPr>
            </w:pPr>
            <w:r>
              <w:rPr>
                <w:rFonts w:ascii="Calibri" w:eastAsia="Calibri" w:hAnsi="Calibri" w:cs="Calibri"/>
              </w:rPr>
              <w:t>de</w:t>
            </w:r>
          </w:p>
        </w:tc>
        <w:tc>
          <w:tcPr>
            <w:tcW w:w="80" w:type="dxa"/>
            <w:vAlign w:val="bottom"/>
          </w:tcPr>
          <w:p w:rsidR="00AC12B4" w:rsidRDefault="00AC12B4">
            <w:pPr>
              <w:rPr>
                <w:sz w:val="16"/>
                <w:szCs w:val="16"/>
              </w:rPr>
            </w:pPr>
          </w:p>
        </w:tc>
        <w:tc>
          <w:tcPr>
            <w:tcW w:w="4420" w:type="dxa"/>
            <w:gridSpan w:val="14"/>
            <w:vMerge/>
            <w:vAlign w:val="bottom"/>
          </w:tcPr>
          <w:p w:rsidR="00AC12B4" w:rsidRDefault="00AC12B4">
            <w:pPr>
              <w:rPr>
                <w:sz w:val="16"/>
                <w:szCs w:val="16"/>
              </w:rPr>
            </w:pPr>
          </w:p>
        </w:tc>
        <w:tc>
          <w:tcPr>
            <w:tcW w:w="74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1640" w:type="dxa"/>
            <w:vMerge/>
            <w:vAlign w:val="bottom"/>
          </w:tcPr>
          <w:p w:rsidR="00AC12B4" w:rsidRDefault="00AC12B4">
            <w:pPr>
              <w:rPr>
                <w:sz w:val="7"/>
                <w:szCs w:val="7"/>
              </w:rPr>
            </w:pPr>
          </w:p>
        </w:tc>
        <w:tc>
          <w:tcPr>
            <w:tcW w:w="760" w:type="dxa"/>
            <w:gridSpan w:val="2"/>
            <w:vMerge/>
            <w:vAlign w:val="bottom"/>
          </w:tcPr>
          <w:p w:rsidR="00AC12B4" w:rsidRDefault="00AC12B4">
            <w:pPr>
              <w:rPr>
                <w:sz w:val="7"/>
                <w:szCs w:val="7"/>
              </w:rPr>
            </w:pPr>
          </w:p>
        </w:tc>
        <w:tc>
          <w:tcPr>
            <w:tcW w:w="1560" w:type="dxa"/>
            <w:gridSpan w:val="2"/>
            <w:vMerge/>
            <w:vAlign w:val="bottom"/>
          </w:tcPr>
          <w:p w:rsidR="00AC12B4" w:rsidRDefault="00AC12B4">
            <w:pPr>
              <w:rPr>
                <w:sz w:val="7"/>
                <w:szCs w:val="7"/>
              </w:rPr>
            </w:pPr>
          </w:p>
        </w:tc>
        <w:tc>
          <w:tcPr>
            <w:tcW w:w="520" w:type="dxa"/>
            <w:gridSpan w:val="2"/>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2300" w:type="dxa"/>
            <w:gridSpan w:val="6"/>
            <w:vMerge w:val="restart"/>
            <w:vAlign w:val="bottom"/>
          </w:tcPr>
          <w:p w:rsidR="00AC12B4" w:rsidRDefault="00C27636">
            <w:pPr>
              <w:ind w:left="540"/>
              <w:rPr>
                <w:sz w:val="20"/>
                <w:szCs w:val="20"/>
              </w:rPr>
            </w:pPr>
            <w:r>
              <w:rPr>
                <w:rFonts w:ascii="Calibri" w:eastAsia="Calibri" w:hAnsi="Calibri" w:cs="Calibri"/>
              </w:rPr>
              <w:t>violence à l’école.</w:t>
            </w: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74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5"/>
        </w:trPr>
        <w:tc>
          <w:tcPr>
            <w:tcW w:w="960" w:type="dxa"/>
            <w:vAlign w:val="bottom"/>
          </w:tcPr>
          <w:p w:rsidR="00AC12B4" w:rsidRDefault="00AC12B4">
            <w:pPr>
              <w:rPr>
                <w:sz w:val="16"/>
                <w:szCs w:val="16"/>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réadaptation et de réinsertion sociale et de</w:t>
            </w:r>
          </w:p>
        </w:tc>
        <w:tc>
          <w:tcPr>
            <w:tcW w:w="80" w:type="dxa"/>
            <w:vAlign w:val="bottom"/>
          </w:tcPr>
          <w:p w:rsidR="00AC12B4" w:rsidRDefault="00AC12B4">
            <w:pPr>
              <w:rPr>
                <w:sz w:val="16"/>
                <w:szCs w:val="16"/>
              </w:rPr>
            </w:pPr>
          </w:p>
        </w:tc>
        <w:tc>
          <w:tcPr>
            <w:tcW w:w="2300" w:type="dxa"/>
            <w:gridSpan w:val="6"/>
            <w:vMerge/>
            <w:vAlign w:val="bottom"/>
          </w:tcPr>
          <w:p w:rsidR="00AC12B4" w:rsidRDefault="00AC12B4">
            <w:pPr>
              <w:rPr>
                <w:sz w:val="16"/>
                <w:szCs w:val="16"/>
              </w:rPr>
            </w:pPr>
          </w:p>
        </w:tc>
        <w:tc>
          <w:tcPr>
            <w:tcW w:w="300" w:type="dxa"/>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240" w:type="dxa"/>
            <w:vAlign w:val="bottom"/>
          </w:tcPr>
          <w:p w:rsidR="00AC12B4" w:rsidRDefault="00AC12B4">
            <w:pPr>
              <w:rPr>
                <w:sz w:val="16"/>
                <w:szCs w:val="16"/>
              </w:rPr>
            </w:pPr>
          </w:p>
        </w:tc>
        <w:tc>
          <w:tcPr>
            <w:tcW w:w="240" w:type="dxa"/>
            <w:vAlign w:val="bottom"/>
          </w:tcPr>
          <w:p w:rsidR="00AC12B4" w:rsidRDefault="00AC12B4">
            <w:pPr>
              <w:rPr>
                <w:sz w:val="16"/>
                <w:szCs w:val="16"/>
              </w:rPr>
            </w:pPr>
          </w:p>
        </w:tc>
        <w:tc>
          <w:tcPr>
            <w:tcW w:w="300" w:type="dxa"/>
            <w:vAlign w:val="bottom"/>
          </w:tcPr>
          <w:p w:rsidR="00AC12B4" w:rsidRDefault="00AC12B4">
            <w:pPr>
              <w:rPr>
                <w:sz w:val="16"/>
                <w:szCs w:val="16"/>
              </w:rPr>
            </w:pPr>
          </w:p>
        </w:tc>
        <w:tc>
          <w:tcPr>
            <w:tcW w:w="74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84"/>
        </w:trPr>
        <w:tc>
          <w:tcPr>
            <w:tcW w:w="960" w:type="dxa"/>
            <w:vAlign w:val="bottom"/>
          </w:tcPr>
          <w:p w:rsidR="00AC12B4" w:rsidRDefault="00AC12B4">
            <w:pPr>
              <w:rPr>
                <w:sz w:val="7"/>
                <w:szCs w:val="7"/>
              </w:rPr>
            </w:pPr>
          </w:p>
        </w:tc>
        <w:tc>
          <w:tcPr>
            <w:tcW w:w="4480" w:type="dxa"/>
            <w:gridSpan w:val="7"/>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84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50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74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69"/>
        </w:trPr>
        <w:tc>
          <w:tcPr>
            <w:tcW w:w="960" w:type="dxa"/>
            <w:vAlign w:val="bottom"/>
          </w:tcPr>
          <w:p w:rsidR="00AC12B4" w:rsidRDefault="00AC12B4">
            <w:pPr>
              <w:rPr>
                <w:sz w:val="23"/>
                <w:szCs w:val="23"/>
              </w:rPr>
            </w:pPr>
          </w:p>
        </w:tc>
        <w:tc>
          <w:tcPr>
            <w:tcW w:w="4480" w:type="dxa"/>
            <w:gridSpan w:val="7"/>
            <w:vAlign w:val="bottom"/>
          </w:tcPr>
          <w:p w:rsidR="00AC12B4" w:rsidRDefault="00C27636">
            <w:pPr>
              <w:ind w:right="100"/>
              <w:jc w:val="right"/>
              <w:rPr>
                <w:sz w:val="20"/>
                <w:szCs w:val="20"/>
              </w:rPr>
            </w:pPr>
            <w:r>
              <w:rPr>
                <w:rFonts w:ascii="Calibri" w:eastAsia="Calibri" w:hAnsi="Calibri" w:cs="Calibri"/>
              </w:rPr>
              <w:t>mettre en œuvre des dispositifs de collecte</w:t>
            </w:r>
          </w:p>
        </w:tc>
        <w:tc>
          <w:tcPr>
            <w:tcW w:w="80" w:type="dxa"/>
            <w:vAlign w:val="bottom"/>
          </w:tcPr>
          <w:p w:rsidR="00AC12B4" w:rsidRDefault="00AC12B4">
            <w:pPr>
              <w:rPr>
                <w:sz w:val="23"/>
                <w:szCs w:val="23"/>
              </w:rPr>
            </w:pPr>
          </w:p>
        </w:tc>
        <w:tc>
          <w:tcPr>
            <w:tcW w:w="3640" w:type="dxa"/>
            <w:gridSpan w:val="11"/>
            <w:vMerge w:val="restart"/>
            <w:vAlign w:val="bottom"/>
          </w:tcPr>
          <w:p w:rsidR="00AC12B4" w:rsidRDefault="00C27636">
            <w:pPr>
              <w:ind w:left="540"/>
              <w:rPr>
                <w:sz w:val="20"/>
                <w:szCs w:val="20"/>
              </w:rPr>
            </w:pPr>
            <w:r>
              <w:rPr>
                <w:rFonts w:ascii="Cambria" w:eastAsia="Cambria" w:hAnsi="Cambria" w:cs="Cambria"/>
                <w:b/>
                <w:bCs/>
                <w:i/>
                <w:iCs/>
                <w:color w:val="963266"/>
                <w:sz w:val="26"/>
                <w:szCs w:val="26"/>
              </w:rPr>
              <w:t>Harcèlement « Classique »</w:t>
            </w:r>
          </w:p>
        </w:tc>
        <w:tc>
          <w:tcPr>
            <w:tcW w:w="24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58"/>
        </w:trPr>
        <w:tc>
          <w:tcPr>
            <w:tcW w:w="960" w:type="dxa"/>
            <w:vAlign w:val="bottom"/>
          </w:tcPr>
          <w:p w:rsidR="00AC12B4" w:rsidRDefault="00AC12B4">
            <w:pPr>
              <w:rPr>
                <w:sz w:val="13"/>
                <w:szCs w:val="13"/>
              </w:rPr>
            </w:pPr>
          </w:p>
        </w:tc>
        <w:tc>
          <w:tcPr>
            <w:tcW w:w="4480" w:type="dxa"/>
            <w:gridSpan w:val="7"/>
            <w:vMerge w:val="restart"/>
            <w:vAlign w:val="bottom"/>
          </w:tcPr>
          <w:p w:rsidR="00AC12B4" w:rsidRDefault="00C27636">
            <w:pPr>
              <w:ind w:right="100"/>
              <w:jc w:val="right"/>
              <w:rPr>
                <w:sz w:val="20"/>
                <w:szCs w:val="20"/>
              </w:rPr>
            </w:pPr>
            <w:r>
              <w:rPr>
                <w:rFonts w:ascii="Calibri" w:eastAsia="Calibri" w:hAnsi="Calibri" w:cs="Calibri"/>
              </w:rPr>
              <w:t>et de recherche de données nationales. Il</w:t>
            </w:r>
          </w:p>
        </w:tc>
        <w:tc>
          <w:tcPr>
            <w:tcW w:w="80" w:type="dxa"/>
            <w:vAlign w:val="bottom"/>
          </w:tcPr>
          <w:p w:rsidR="00AC12B4" w:rsidRDefault="00AC12B4">
            <w:pPr>
              <w:rPr>
                <w:sz w:val="13"/>
                <w:szCs w:val="13"/>
              </w:rPr>
            </w:pPr>
          </w:p>
        </w:tc>
        <w:tc>
          <w:tcPr>
            <w:tcW w:w="3640" w:type="dxa"/>
            <w:gridSpan w:val="11"/>
            <w:vMerge/>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7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1"/>
        </w:trPr>
        <w:tc>
          <w:tcPr>
            <w:tcW w:w="960" w:type="dxa"/>
            <w:vAlign w:val="bottom"/>
          </w:tcPr>
          <w:p w:rsidR="00AC12B4" w:rsidRDefault="00AC12B4">
            <w:pPr>
              <w:rPr>
                <w:sz w:val="9"/>
                <w:szCs w:val="9"/>
              </w:rPr>
            </w:pPr>
          </w:p>
        </w:tc>
        <w:tc>
          <w:tcPr>
            <w:tcW w:w="4480" w:type="dxa"/>
            <w:gridSpan w:val="7"/>
            <w:vMerge/>
            <w:vAlign w:val="bottom"/>
          </w:tcPr>
          <w:p w:rsidR="00AC12B4" w:rsidRDefault="00AC12B4">
            <w:pPr>
              <w:rPr>
                <w:sz w:val="9"/>
                <w:szCs w:val="9"/>
              </w:rPr>
            </w:pPr>
          </w:p>
        </w:tc>
        <w:tc>
          <w:tcPr>
            <w:tcW w:w="80" w:type="dxa"/>
            <w:vAlign w:val="bottom"/>
          </w:tcPr>
          <w:p w:rsidR="00AC12B4" w:rsidRDefault="00AC12B4">
            <w:pPr>
              <w:rPr>
                <w:sz w:val="9"/>
                <w:szCs w:val="9"/>
              </w:rPr>
            </w:pPr>
          </w:p>
        </w:tc>
        <w:tc>
          <w:tcPr>
            <w:tcW w:w="84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50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7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317"/>
        </w:trPr>
        <w:tc>
          <w:tcPr>
            <w:tcW w:w="960" w:type="dxa"/>
            <w:vAlign w:val="bottom"/>
          </w:tcPr>
          <w:p w:rsidR="00AC12B4" w:rsidRDefault="00AC12B4">
            <w:pPr>
              <w:rPr>
                <w:sz w:val="24"/>
                <w:szCs w:val="24"/>
              </w:rPr>
            </w:pPr>
          </w:p>
        </w:tc>
        <w:tc>
          <w:tcPr>
            <w:tcW w:w="4480" w:type="dxa"/>
            <w:gridSpan w:val="7"/>
            <w:vAlign w:val="bottom"/>
          </w:tcPr>
          <w:p w:rsidR="00AC12B4" w:rsidRDefault="00C27636">
            <w:pPr>
              <w:ind w:right="100"/>
              <w:jc w:val="right"/>
              <w:rPr>
                <w:sz w:val="20"/>
                <w:szCs w:val="20"/>
              </w:rPr>
            </w:pPr>
            <w:r>
              <w:rPr>
                <w:rFonts w:ascii="Calibri" w:eastAsia="Calibri" w:hAnsi="Calibri" w:cs="Calibri"/>
              </w:rPr>
              <w:t xml:space="preserve">est également demandé de </w:t>
            </w:r>
            <w:r>
              <w:rPr>
                <w:rFonts w:ascii="Calibri" w:eastAsia="Calibri" w:hAnsi="Calibri" w:cs="Calibri"/>
              </w:rPr>
              <w:t>développer</w:t>
            </w:r>
          </w:p>
        </w:tc>
        <w:tc>
          <w:tcPr>
            <w:tcW w:w="80" w:type="dxa"/>
            <w:vAlign w:val="bottom"/>
          </w:tcPr>
          <w:p w:rsidR="00AC12B4" w:rsidRDefault="00AC12B4">
            <w:pPr>
              <w:rPr>
                <w:sz w:val="24"/>
                <w:szCs w:val="24"/>
              </w:rPr>
            </w:pPr>
          </w:p>
        </w:tc>
        <w:tc>
          <w:tcPr>
            <w:tcW w:w="4420" w:type="dxa"/>
            <w:gridSpan w:val="14"/>
            <w:vAlign w:val="bottom"/>
          </w:tcPr>
          <w:p w:rsidR="00AC12B4" w:rsidRDefault="00C27636">
            <w:pPr>
              <w:ind w:left="540"/>
              <w:rPr>
                <w:sz w:val="20"/>
                <w:szCs w:val="20"/>
              </w:rPr>
            </w:pPr>
            <w:r>
              <w:rPr>
                <w:rFonts w:ascii="Calibri" w:eastAsia="Calibri" w:hAnsi="Calibri" w:cs="Calibri"/>
                <w:w w:val="99"/>
              </w:rPr>
              <w:t>En 2014, trois jeunes sur quatre rapportent</w:t>
            </w:r>
          </w:p>
        </w:tc>
        <w:tc>
          <w:tcPr>
            <w:tcW w:w="74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960" w:type="dxa"/>
            <w:vAlign w:val="bottom"/>
          </w:tcPr>
          <w:p w:rsidR="00AC12B4" w:rsidRDefault="00AC12B4">
            <w:pPr>
              <w:rPr>
                <w:sz w:val="23"/>
                <w:szCs w:val="23"/>
              </w:rPr>
            </w:pPr>
          </w:p>
        </w:tc>
        <w:tc>
          <w:tcPr>
            <w:tcW w:w="4480" w:type="dxa"/>
            <w:gridSpan w:val="7"/>
            <w:vAlign w:val="bottom"/>
          </w:tcPr>
          <w:p w:rsidR="00AC12B4" w:rsidRDefault="00C27636">
            <w:pPr>
              <w:spacing w:line="221" w:lineRule="exact"/>
              <w:ind w:right="100"/>
              <w:jc w:val="right"/>
              <w:rPr>
                <w:sz w:val="20"/>
                <w:szCs w:val="20"/>
              </w:rPr>
            </w:pPr>
            <w:r>
              <w:rPr>
                <w:rFonts w:ascii="Calibri" w:eastAsia="Calibri" w:hAnsi="Calibri" w:cs="Calibri"/>
              </w:rPr>
              <w:t>une   stratégie   nationale   globale   et</w:t>
            </w:r>
          </w:p>
        </w:tc>
        <w:tc>
          <w:tcPr>
            <w:tcW w:w="80" w:type="dxa"/>
            <w:vAlign w:val="bottom"/>
          </w:tcPr>
          <w:p w:rsidR="00AC12B4" w:rsidRDefault="00AC12B4">
            <w:pPr>
              <w:rPr>
                <w:sz w:val="23"/>
                <w:szCs w:val="23"/>
              </w:rPr>
            </w:pPr>
          </w:p>
        </w:tc>
        <w:tc>
          <w:tcPr>
            <w:tcW w:w="4420" w:type="dxa"/>
            <w:gridSpan w:val="14"/>
            <w:vAlign w:val="bottom"/>
          </w:tcPr>
          <w:p w:rsidR="00AC12B4" w:rsidRDefault="00C27636">
            <w:pPr>
              <w:ind w:left="540"/>
              <w:rPr>
                <w:sz w:val="20"/>
                <w:szCs w:val="20"/>
              </w:rPr>
            </w:pPr>
            <w:r>
              <w:rPr>
                <w:rFonts w:ascii="Calibri" w:eastAsia="Calibri" w:hAnsi="Calibri" w:cs="Calibri"/>
              </w:rPr>
              <w:t>qu'ils n'ont pas provoqué ou "cherché" un</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960" w:type="dxa"/>
            <w:vAlign w:val="bottom"/>
          </w:tcPr>
          <w:p w:rsidR="00AC12B4" w:rsidRDefault="00AC12B4">
            <w:pPr>
              <w:rPr>
                <w:sz w:val="23"/>
                <w:szCs w:val="23"/>
              </w:rPr>
            </w:pPr>
          </w:p>
        </w:tc>
        <w:tc>
          <w:tcPr>
            <w:tcW w:w="4480" w:type="dxa"/>
            <w:gridSpan w:val="7"/>
            <w:vAlign w:val="bottom"/>
          </w:tcPr>
          <w:p w:rsidR="00AC12B4" w:rsidRDefault="00C27636">
            <w:pPr>
              <w:spacing w:line="221" w:lineRule="exact"/>
              <w:ind w:right="100"/>
              <w:jc w:val="right"/>
              <w:rPr>
                <w:sz w:val="20"/>
                <w:szCs w:val="20"/>
              </w:rPr>
            </w:pPr>
            <w:r>
              <w:rPr>
                <w:rFonts w:ascii="Calibri" w:eastAsia="Calibri" w:hAnsi="Calibri" w:cs="Calibri"/>
              </w:rPr>
              <w:t>coordonnée pour lutter contre toutes les</w:t>
            </w:r>
          </w:p>
        </w:tc>
        <w:tc>
          <w:tcPr>
            <w:tcW w:w="80" w:type="dxa"/>
            <w:vAlign w:val="bottom"/>
          </w:tcPr>
          <w:p w:rsidR="00AC12B4" w:rsidRDefault="00AC12B4">
            <w:pPr>
              <w:rPr>
                <w:sz w:val="23"/>
                <w:szCs w:val="23"/>
              </w:rPr>
            </w:pPr>
          </w:p>
        </w:tc>
        <w:tc>
          <w:tcPr>
            <w:tcW w:w="1220" w:type="dxa"/>
            <w:gridSpan w:val="2"/>
            <w:vAlign w:val="bottom"/>
          </w:tcPr>
          <w:p w:rsidR="00AC12B4" w:rsidRDefault="00C27636">
            <w:pPr>
              <w:ind w:left="540"/>
              <w:rPr>
                <w:sz w:val="20"/>
                <w:szCs w:val="20"/>
              </w:rPr>
            </w:pPr>
            <w:r>
              <w:rPr>
                <w:rFonts w:ascii="Calibri" w:eastAsia="Calibri" w:hAnsi="Calibri" w:cs="Calibri"/>
              </w:rPr>
              <w:t>autre</w:t>
            </w:r>
          </w:p>
        </w:tc>
        <w:tc>
          <w:tcPr>
            <w:tcW w:w="520" w:type="dxa"/>
            <w:gridSpan w:val="2"/>
            <w:vAlign w:val="bottom"/>
          </w:tcPr>
          <w:p w:rsidR="00AC12B4" w:rsidRDefault="00C27636">
            <w:pPr>
              <w:jc w:val="right"/>
              <w:rPr>
                <w:sz w:val="20"/>
                <w:szCs w:val="20"/>
              </w:rPr>
            </w:pPr>
            <w:r>
              <w:rPr>
                <w:rFonts w:ascii="Calibri" w:eastAsia="Calibri" w:hAnsi="Calibri" w:cs="Calibri"/>
              </w:rPr>
              <w:t>élève</w:t>
            </w:r>
          </w:p>
        </w:tc>
        <w:tc>
          <w:tcPr>
            <w:tcW w:w="60" w:type="dxa"/>
            <w:vAlign w:val="bottom"/>
          </w:tcPr>
          <w:p w:rsidR="00AC12B4" w:rsidRDefault="00AC12B4">
            <w:pPr>
              <w:rPr>
                <w:sz w:val="23"/>
                <w:szCs w:val="23"/>
              </w:rPr>
            </w:pPr>
          </w:p>
        </w:tc>
        <w:tc>
          <w:tcPr>
            <w:tcW w:w="900" w:type="dxa"/>
            <w:gridSpan w:val="3"/>
            <w:vAlign w:val="bottom"/>
          </w:tcPr>
          <w:p w:rsidR="00AC12B4" w:rsidRDefault="00C27636">
            <w:pPr>
              <w:ind w:left="180"/>
              <w:rPr>
                <w:sz w:val="20"/>
                <w:szCs w:val="20"/>
              </w:rPr>
            </w:pPr>
            <w:r>
              <w:rPr>
                <w:rFonts w:ascii="Calibri" w:eastAsia="Calibri" w:hAnsi="Calibri" w:cs="Calibri"/>
              </w:rPr>
              <w:t>durant</w:t>
            </w:r>
          </w:p>
        </w:tc>
        <w:tc>
          <w:tcPr>
            <w:tcW w:w="400" w:type="dxa"/>
            <w:vAlign w:val="bottom"/>
          </w:tcPr>
          <w:p w:rsidR="00AC12B4" w:rsidRDefault="00C27636">
            <w:pPr>
              <w:ind w:left="120"/>
              <w:rPr>
                <w:sz w:val="20"/>
                <w:szCs w:val="20"/>
              </w:rPr>
            </w:pPr>
            <w:r>
              <w:rPr>
                <w:rFonts w:ascii="Calibri" w:eastAsia="Calibri" w:hAnsi="Calibri" w:cs="Calibri"/>
              </w:rPr>
              <w:t>le</w:t>
            </w:r>
            <w:r>
              <w:rPr>
                <w:rFonts w:ascii="Calibri" w:eastAsia="Calibri" w:hAnsi="Calibri" w:cs="Calibri"/>
              </w:rPr>
              <w:lastRenderedPageBreak/>
              <w:t>s</w:t>
            </w:r>
          </w:p>
        </w:tc>
        <w:tc>
          <w:tcPr>
            <w:tcW w:w="780" w:type="dxa"/>
            <w:gridSpan w:val="3"/>
            <w:vAlign w:val="bottom"/>
          </w:tcPr>
          <w:p w:rsidR="00AC12B4" w:rsidRDefault="00C27636">
            <w:pPr>
              <w:ind w:left="200"/>
              <w:rPr>
                <w:sz w:val="20"/>
                <w:szCs w:val="20"/>
              </w:rPr>
            </w:pPr>
            <w:r>
              <w:rPr>
                <w:rFonts w:ascii="Calibri" w:eastAsia="Calibri" w:hAnsi="Calibri" w:cs="Calibri"/>
              </w:rPr>
              <w:lastRenderedPageBreak/>
              <w:t>deux</w:t>
            </w:r>
          </w:p>
        </w:tc>
        <w:tc>
          <w:tcPr>
            <w:tcW w:w="540" w:type="dxa"/>
            <w:gridSpan w:val="2"/>
            <w:vAlign w:val="bottom"/>
          </w:tcPr>
          <w:p w:rsidR="00AC12B4" w:rsidRDefault="00C27636">
            <w:pPr>
              <w:jc w:val="right"/>
              <w:rPr>
                <w:sz w:val="20"/>
                <w:szCs w:val="20"/>
              </w:rPr>
            </w:pPr>
            <w:r>
              <w:rPr>
                <w:rFonts w:ascii="Calibri" w:eastAsia="Calibri" w:hAnsi="Calibri" w:cs="Calibri"/>
              </w:rPr>
              <w:t>mois</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960" w:type="dxa"/>
            <w:vAlign w:val="bottom"/>
          </w:tcPr>
          <w:p w:rsidR="00AC12B4" w:rsidRDefault="00AC12B4">
            <w:pPr>
              <w:rPr>
                <w:sz w:val="23"/>
                <w:szCs w:val="23"/>
              </w:rPr>
            </w:pPr>
          </w:p>
        </w:tc>
        <w:tc>
          <w:tcPr>
            <w:tcW w:w="4480" w:type="dxa"/>
            <w:gridSpan w:val="7"/>
            <w:vAlign w:val="bottom"/>
          </w:tcPr>
          <w:p w:rsidR="00AC12B4" w:rsidRDefault="00C27636">
            <w:pPr>
              <w:spacing w:line="221" w:lineRule="exact"/>
              <w:ind w:right="100"/>
              <w:jc w:val="right"/>
              <w:rPr>
                <w:sz w:val="20"/>
                <w:szCs w:val="20"/>
              </w:rPr>
            </w:pPr>
            <w:r>
              <w:rPr>
                <w:rFonts w:ascii="Calibri" w:eastAsia="Calibri" w:hAnsi="Calibri" w:cs="Calibri"/>
              </w:rPr>
              <w:t xml:space="preserve">formes de violence à </w:t>
            </w:r>
            <w:r>
              <w:rPr>
                <w:rFonts w:ascii="Calibri" w:eastAsia="Calibri" w:hAnsi="Calibri" w:cs="Calibri"/>
              </w:rPr>
              <w:t>l’égard des femmes</w:t>
            </w:r>
          </w:p>
        </w:tc>
        <w:tc>
          <w:tcPr>
            <w:tcW w:w="80" w:type="dxa"/>
            <w:vAlign w:val="bottom"/>
          </w:tcPr>
          <w:p w:rsidR="00AC12B4" w:rsidRDefault="00AC12B4">
            <w:pPr>
              <w:rPr>
                <w:sz w:val="23"/>
                <w:szCs w:val="23"/>
              </w:rPr>
            </w:pPr>
          </w:p>
        </w:tc>
        <w:tc>
          <w:tcPr>
            <w:tcW w:w="4420" w:type="dxa"/>
            <w:gridSpan w:val="14"/>
            <w:vAlign w:val="bottom"/>
          </w:tcPr>
          <w:p w:rsidR="00AC12B4" w:rsidRDefault="00C27636">
            <w:pPr>
              <w:ind w:left="540"/>
              <w:rPr>
                <w:sz w:val="20"/>
                <w:szCs w:val="20"/>
              </w:rPr>
            </w:pPr>
            <w:r>
              <w:rPr>
                <w:rFonts w:ascii="Calibri" w:eastAsia="Calibri" w:hAnsi="Calibri" w:cs="Calibri"/>
              </w:rPr>
              <w:t>précédant l'enquête, et une faible minorité</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960" w:type="dxa"/>
            <w:vAlign w:val="bottom"/>
          </w:tcPr>
          <w:p w:rsidR="00AC12B4" w:rsidRDefault="00AC12B4">
            <w:pPr>
              <w:rPr>
                <w:sz w:val="23"/>
                <w:szCs w:val="23"/>
              </w:rPr>
            </w:pPr>
          </w:p>
        </w:tc>
        <w:tc>
          <w:tcPr>
            <w:tcW w:w="1640" w:type="dxa"/>
            <w:vAlign w:val="bottom"/>
          </w:tcPr>
          <w:p w:rsidR="00AC12B4" w:rsidRDefault="00C27636">
            <w:pPr>
              <w:spacing w:line="221" w:lineRule="exact"/>
              <w:ind w:left="500"/>
              <w:rPr>
                <w:sz w:val="20"/>
                <w:szCs w:val="20"/>
              </w:rPr>
            </w:pPr>
            <w:r>
              <w:rPr>
                <w:rFonts w:ascii="Calibri" w:eastAsia="Calibri" w:hAnsi="Calibri" w:cs="Calibri"/>
              </w:rPr>
              <w:t>et des filles.</w:t>
            </w:r>
          </w:p>
        </w:tc>
        <w:tc>
          <w:tcPr>
            <w:tcW w:w="120" w:type="dxa"/>
            <w:vAlign w:val="bottom"/>
          </w:tcPr>
          <w:p w:rsidR="00AC12B4" w:rsidRDefault="00AC12B4">
            <w:pPr>
              <w:rPr>
                <w:sz w:val="23"/>
                <w:szCs w:val="23"/>
              </w:rPr>
            </w:pPr>
          </w:p>
        </w:tc>
        <w:tc>
          <w:tcPr>
            <w:tcW w:w="640" w:type="dxa"/>
            <w:vAlign w:val="bottom"/>
          </w:tcPr>
          <w:p w:rsidR="00AC12B4" w:rsidRDefault="00AC12B4">
            <w:pPr>
              <w:rPr>
                <w:sz w:val="23"/>
                <w:szCs w:val="23"/>
              </w:rPr>
            </w:pPr>
          </w:p>
        </w:tc>
        <w:tc>
          <w:tcPr>
            <w:tcW w:w="880" w:type="dxa"/>
            <w:vAlign w:val="bottom"/>
          </w:tcPr>
          <w:p w:rsidR="00AC12B4" w:rsidRDefault="00AC12B4">
            <w:pPr>
              <w:rPr>
                <w:sz w:val="23"/>
                <w:szCs w:val="23"/>
              </w:rPr>
            </w:pPr>
          </w:p>
        </w:tc>
        <w:tc>
          <w:tcPr>
            <w:tcW w:w="6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4420" w:type="dxa"/>
            <w:gridSpan w:val="14"/>
            <w:vAlign w:val="bottom"/>
          </w:tcPr>
          <w:p w:rsidR="00AC12B4" w:rsidRDefault="00C27636">
            <w:pPr>
              <w:ind w:left="540"/>
              <w:rPr>
                <w:sz w:val="20"/>
                <w:szCs w:val="20"/>
              </w:rPr>
            </w:pPr>
            <w:r>
              <w:rPr>
                <w:rFonts w:ascii="Calibri" w:eastAsia="Calibri" w:hAnsi="Calibri" w:cs="Calibri"/>
              </w:rPr>
              <w:t>(3,6%) des jeunes rapporte qu'ils l'ont fait</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45"/>
        </w:trPr>
        <w:tc>
          <w:tcPr>
            <w:tcW w:w="960" w:type="dxa"/>
            <w:vAlign w:val="bottom"/>
          </w:tcPr>
          <w:p w:rsidR="00AC12B4" w:rsidRDefault="00AC12B4">
            <w:pPr>
              <w:rPr>
                <w:sz w:val="12"/>
                <w:szCs w:val="12"/>
              </w:rPr>
            </w:pPr>
          </w:p>
        </w:tc>
        <w:tc>
          <w:tcPr>
            <w:tcW w:w="1640" w:type="dxa"/>
            <w:tcBorders>
              <w:bottom w:val="single" w:sz="8" w:space="0" w:color="963266"/>
            </w:tcBorders>
            <w:vAlign w:val="bottom"/>
          </w:tcPr>
          <w:p w:rsidR="00AC12B4" w:rsidRDefault="00AC12B4">
            <w:pPr>
              <w:rPr>
                <w:sz w:val="12"/>
                <w:szCs w:val="12"/>
              </w:rPr>
            </w:pPr>
          </w:p>
        </w:tc>
        <w:tc>
          <w:tcPr>
            <w:tcW w:w="120" w:type="dxa"/>
            <w:tcBorders>
              <w:bottom w:val="single" w:sz="8" w:space="0" w:color="963266"/>
            </w:tcBorders>
            <w:vAlign w:val="bottom"/>
          </w:tcPr>
          <w:p w:rsidR="00AC12B4" w:rsidRDefault="00AC12B4">
            <w:pPr>
              <w:rPr>
                <w:sz w:val="12"/>
                <w:szCs w:val="12"/>
              </w:rPr>
            </w:pPr>
          </w:p>
        </w:tc>
        <w:tc>
          <w:tcPr>
            <w:tcW w:w="640" w:type="dxa"/>
            <w:tcBorders>
              <w:bottom w:val="single" w:sz="8" w:space="0" w:color="963266"/>
            </w:tcBorders>
            <w:vAlign w:val="bottom"/>
          </w:tcPr>
          <w:p w:rsidR="00AC12B4" w:rsidRDefault="00AC12B4">
            <w:pPr>
              <w:rPr>
                <w:sz w:val="12"/>
                <w:szCs w:val="12"/>
              </w:rPr>
            </w:pPr>
          </w:p>
        </w:tc>
        <w:tc>
          <w:tcPr>
            <w:tcW w:w="880" w:type="dxa"/>
            <w:tcBorders>
              <w:bottom w:val="single" w:sz="8" w:space="0" w:color="963266"/>
            </w:tcBorders>
            <w:vAlign w:val="bottom"/>
          </w:tcPr>
          <w:p w:rsidR="00AC12B4" w:rsidRDefault="00AC12B4">
            <w:pPr>
              <w:rPr>
                <w:sz w:val="12"/>
                <w:szCs w:val="12"/>
              </w:rPr>
            </w:pPr>
          </w:p>
        </w:tc>
        <w:tc>
          <w:tcPr>
            <w:tcW w:w="680" w:type="dxa"/>
            <w:tcBorders>
              <w:bottom w:val="single" w:sz="8" w:space="0" w:color="963266"/>
            </w:tcBorders>
            <w:vAlign w:val="bottom"/>
          </w:tcPr>
          <w:p w:rsidR="00AC12B4" w:rsidRDefault="00AC12B4">
            <w:pPr>
              <w:rPr>
                <w:sz w:val="12"/>
                <w:szCs w:val="12"/>
              </w:rPr>
            </w:pPr>
          </w:p>
        </w:tc>
        <w:tc>
          <w:tcPr>
            <w:tcW w:w="420" w:type="dxa"/>
            <w:tcBorders>
              <w:bottom w:val="single" w:sz="8" w:space="0" w:color="963266"/>
            </w:tcBorders>
            <w:vAlign w:val="bottom"/>
          </w:tcPr>
          <w:p w:rsidR="00AC12B4" w:rsidRDefault="00AC12B4">
            <w:pPr>
              <w:rPr>
                <w:sz w:val="12"/>
                <w:szCs w:val="12"/>
              </w:rPr>
            </w:pPr>
          </w:p>
        </w:tc>
        <w:tc>
          <w:tcPr>
            <w:tcW w:w="100" w:type="dxa"/>
            <w:tcBorders>
              <w:bottom w:val="single" w:sz="8" w:space="0" w:color="963266"/>
            </w:tcBorders>
            <w:vAlign w:val="bottom"/>
          </w:tcPr>
          <w:p w:rsidR="00AC12B4" w:rsidRDefault="00AC12B4">
            <w:pPr>
              <w:rPr>
                <w:sz w:val="12"/>
                <w:szCs w:val="12"/>
              </w:rPr>
            </w:pPr>
          </w:p>
        </w:tc>
        <w:tc>
          <w:tcPr>
            <w:tcW w:w="80" w:type="dxa"/>
            <w:tcBorders>
              <w:bottom w:val="single" w:sz="8" w:space="0" w:color="963266"/>
            </w:tcBorders>
            <w:vAlign w:val="bottom"/>
          </w:tcPr>
          <w:p w:rsidR="00AC12B4" w:rsidRDefault="00AC12B4">
            <w:pPr>
              <w:rPr>
                <w:sz w:val="12"/>
                <w:szCs w:val="12"/>
              </w:rPr>
            </w:pPr>
          </w:p>
        </w:tc>
        <w:tc>
          <w:tcPr>
            <w:tcW w:w="840" w:type="dxa"/>
            <w:tcBorders>
              <w:bottom w:val="single" w:sz="8" w:space="0" w:color="963266"/>
            </w:tcBorders>
            <w:vAlign w:val="bottom"/>
          </w:tcPr>
          <w:p w:rsidR="00AC12B4" w:rsidRDefault="00AC12B4">
            <w:pPr>
              <w:rPr>
                <w:sz w:val="12"/>
                <w:szCs w:val="12"/>
              </w:rPr>
            </w:pPr>
          </w:p>
        </w:tc>
        <w:tc>
          <w:tcPr>
            <w:tcW w:w="380" w:type="dxa"/>
            <w:tcBorders>
              <w:bottom w:val="single" w:sz="8" w:space="0" w:color="963266"/>
            </w:tcBorders>
            <w:vAlign w:val="bottom"/>
          </w:tcPr>
          <w:p w:rsidR="00AC12B4" w:rsidRDefault="00AC12B4">
            <w:pPr>
              <w:rPr>
                <w:sz w:val="12"/>
                <w:szCs w:val="12"/>
              </w:rPr>
            </w:pPr>
          </w:p>
        </w:tc>
        <w:tc>
          <w:tcPr>
            <w:tcW w:w="380" w:type="dxa"/>
            <w:tcBorders>
              <w:bottom w:val="single" w:sz="8" w:space="0" w:color="963266"/>
            </w:tcBorders>
            <w:vAlign w:val="bottom"/>
          </w:tcPr>
          <w:p w:rsidR="00AC12B4" w:rsidRDefault="00AC12B4">
            <w:pPr>
              <w:rPr>
                <w:sz w:val="12"/>
                <w:szCs w:val="12"/>
              </w:rPr>
            </w:pPr>
          </w:p>
        </w:tc>
        <w:tc>
          <w:tcPr>
            <w:tcW w:w="140" w:type="dxa"/>
            <w:tcBorders>
              <w:bottom w:val="single" w:sz="8" w:space="0" w:color="963266"/>
            </w:tcBorders>
            <w:vAlign w:val="bottom"/>
          </w:tcPr>
          <w:p w:rsidR="00AC12B4" w:rsidRDefault="00AC12B4">
            <w:pPr>
              <w:rPr>
                <w:sz w:val="12"/>
                <w:szCs w:val="12"/>
              </w:rPr>
            </w:pPr>
          </w:p>
        </w:tc>
        <w:tc>
          <w:tcPr>
            <w:tcW w:w="60" w:type="dxa"/>
            <w:tcBorders>
              <w:bottom w:val="single" w:sz="8" w:space="0" w:color="963266"/>
            </w:tcBorders>
            <w:vAlign w:val="bottom"/>
          </w:tcPr>
          <w:p w:rsidR="00AC12B4" w:rsidRDefault="00AC12B4">
            <w:pPr>
              <w:rPr>
                <w:sz w:val="12"/>
                <w:szCs w:val="12"/>
              </w:rPr>
            </w:pPr>
          </w:p>
        </w:tc>
        <w:tc>
          <w:tcPr>
            <w:tcW w:w="2620" w:type="dxa"/>
            <w:gridSpan w:val="9"/>
            <w:vMerge w:val="restart"/>
            <w:vAlign w:val="bottom"/>
          </w:tcPr>
          <w:p w:rsidR="00AC12B4" w:rsidRDefault="00C27636">
            <w:pPr>
              <w:jc w:val="right"/>
              <w:rPr>
                <w:sz w:val="20"/>
                <w:szCs w:val="20"/>
              </w:rPr>
            </w:pPr>
            <w:r>
              <w:rPr>
                <w:rFonts w:ascii="Calibri" w:eastAsia="Calibri" w:hAnsi="Calibri" w:cs="Calibri"/>
              </w:rPr>
              <w:t>au  moins  une  fois  par</w:t>
            </w:r>
          </w:p>
        </w:tc>
        <w:tc>
          <w:tcPr>
            <w:tcW w:w="74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04"/>
        </w:trPr>
        <w:tc>
          <w:tcPr>
            <w:tcW w:w="960" w:type="dxa"/>
            <w:tcBorders>
              <w:right w:val="single" w:sz="8" w:space="0" w:color="963266"/>
            </w:tcBorders>
            <w:vAlign w:val="bottom"/>
          </w:tcPr>
          <w:p w:rsidR="00AC12B4" w:rsidRDefault="00AC12B4">
            <w:pPr>
              <w:rPr>
                <w:sz w:val="9"/>
                <w:szCs w:val="9"/>
              </w:rPr>
            </w:pPr>
          </w:p>
        </w:tc>
        <w:tc>
          <w:tcPr>
            <w:tcW w:w="164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640" w:type="dxa"/>
            <w:vAlign w:val="bottom"/>
          </w:tcPr>
          <w:p w:rsidR="00AC12B4" w:rsidRDefault="00AC12B4">
            <w:pPr>
              <w:rPr>
                <w:sz w:val="9"/>
                <w:szCs w:val="9"/>
              </w:rPr>
            </w:pPr>
          </w:p>
        </w:tc>
        <w:tc>
          <w:tcPr>
            <w:tcW w:w="880" w:type="dxa"/>
            <w:vAlign w:val="bottom"/>
          </w:tcPr>
          <w:p w:rsidR="00AC12B4" w:rsidRDefault="00AC12B4">
            <w:pPr>
              <w:rPr>
                <w:sz w:val="9"/>
                <w:szCs w:val="9"/>
              </w:rPr>
            </w:pPr>
          </w:p>
        </w:tc>
        <w:tc>
          <w:tcPr>
            <w:tcW w:w="6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84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38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tcBorders>
              <w:right w:val="single" w:sz="8" w:space="0" w:color="963266"/>
            </w:tcBorders>
            <w:vAlign w:val="bottom"/>
          </w:tcPr>
          <w:p w:rsidR="00AC12B4" w:rsidRDefault="00AC12B4">
            <w:pPr>
              <w:rPr>
                <w:sz w:val="9"/>
                <w:szCs w:val="9"/>
              </w:rPr>
            </w:pPr>
          </w:p>
        </w:tc>
        <w:tc>
          <w:tcPr>
            <w:tcW w:w="2620" w:type="dxa"/>
            <w:gridSpan w:val="9"/>
            <w:vMerge/>
            <w:vAlign w:val="bottom"/>
          </w:tcPr>
          <w:p w:rsidR="00AC12B4" w:rsidRDefault="00AC12B4">
            <w:pPr>
              <w:rPr>
                <w:sz w:val="9"/>
                <w:szCs w:val="9"/>
              </w:rPr>
            </w:pPr>
          </w:p>
        </w:tc>
        <w:tc>
          <w:tcPr>
            <w:tcW w:w="7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421"/>
        </w:trPr>
        <w:tc>
          <w:tcPr>
            <w:tcW w:w="960" w:type="dxa"/>
            <w:tcBorders>
              <w:right w:val="single" w:sz="8" w:space="0" w:color="963266"/>
            </w:tcBorders>
            <w:vAlign w:val="bottom"/>
          </w:tcPr>
          <w:p w:rsidR="00AC12B4" w:rsidRDefault="00AC12B4">
            <w:pPr>
              <w:rPr>
                <w:sz w:val="24"/>
                <w:szCs w:val="24"/>
              </w:rPr>
            </w:pPr>
          </w:p>
        </w:tc>
        <w:tc>
          <w:tcPr>
            <w:tcW w:w="2400" w:type="dxa"/>
            <w:gridSpan w:val="3"/>
            <w:vAlign w:val="bottom"/>
          </w:tcPr>
          <w:p w:rsidR="00AC12B4" w:rsidRDefault="00C27636">
            <w:pPr>
              <w:spacing w:line="421" w:lineRule="exact"/>
              <w:ind w:left="1100"/>
              <w:rPr>
                <w:sz w:val="20"/>
                <w:szCs w:val="20"/>
              </w:rPr>
            </w:pPr>
            <w:r>
              <w:rPr>
                <w:rFonts w:ascii="Calibri" w:eastAsia="Calibri" w:hAnsi="Calibri" w:cs="Calibri"/>
                <w:w w:val="91"/>
                <w:sz w:val="39"/>
                <w:szCs w:val="39"/>
                <w:vertAlign w:val="subscript"/>
              </w:rPr>
              <w:t>3,3%</w:t>
            </w:r>
            <w:r>
              <w:rPr>
                <w:rFonts w:ascii="Calibri" w:eastAsia="Calibri" w:hAnsi="Calibri" w:cs="Calibri"/>
                <w:w w:val="91"/>
                <w:sz w:val="20"/>
                <w:szCs w:val="20"/>
              </w:rPr>
              <w:t xml:space="preserve"> 1,7% 1,9%</w:t>
            </w:r>
          </w:p>
        </w:tc>
        <w:tc>
          <w:tcPr>
            <w:tcW w:w="880" w:type="dxa"/>
            <w:vAlign w:val="bottom"/>
          </w:tcPr>
          <w:p w:rsidR="00AC12B4" w:rsidRDefault="00AC12B4">
            <w:pPr>
              <w:rPr>
                <w:sz w:val="24"/>
                <w:szCs w:val="24"/>
              </w:rPr>
            </w:pPr>
          </w:p>
        </w:tc>
        <w:tc>
          <w:tcPr>
            <w:tcW w:w="68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84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60" w:type="dxa"/>
            <w:tcBorders>
              <w:right w:val="single" w:sz="8" w:space="0" w:color="963266"/>
            </w:tcBorders>
            <w:vAlign w:val="bottom"/>
          </w:tcPr>
          <w:p w:rsidR="00AC12B4" w:rsidRDefault="00AC12B4">
            <w:pPr>
              <w:rPr>
                <w:sz w:val="24"/>
                <w:szCs w:val="24"/>
              </w:rPr>
            </w:pPr>
          </w:p>
        </w:tc>
        <w:tc>
          <w:tcPr>
            <w:tcW w:w="1300" w:type="dxa"/>
            <w:gridSpan w:val="4"/>
            <w:vAlign w:val="bottom"/>
          </w:tcPr>
          <w:p w:rsidR="00AC12B4" w:rsidRDefault="00C27636">
            <w:pPr>
              <w:spacing w:line="267" w:lineRule="exact"/>
              <w:ind w:left="200"/>
              <w:rPr>
                <w:sz w:val="20"/>
                <w:szCs w:val="20"/>
              </w:rPr>
            </w:pPr>
            <w:r>
              <w:rPr>
                <w:rFonts w:ascii="Calibri" w:eastAsia="Calibri" w:hAnsi="Calibri" w:cs="Calibri"/>
              </w:rPr>
              <w:t>semaine.</w:t>
            </w:r>
          </w:p>
        </w:tc>
        <w:tc>
          <w:tcPr>
            <w:tcW w:w="3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74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73"/>
        </w:trPr>
        <w:tc>
          <w:tcPr>
            <w:tcW w:w="960" w:type="dxa"/>
            <w:tcBorders>
              <w:right w:val="single" w:sz="8" w:space="0" w:color="963266"/>
            </w:tcBorders>
            <w:vAlign w:val="bottom"/>
          </w:tcPr>
          <w:p w:rsidR="00AC12B4" w:rsidRDefault="00AC12B4">
            <w:pPr>
              <w:rPr>
                <w:sz w:val="6"/>
                <w:szCs w:val="6"/>
              </w:rPr>
            </w:pPr>
          </w:p>
        </w:tc>
        <w:tc>
          <w:tcPr>
            <w:tcW w:w="164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640" w:type="dxa"/>
            <w:vAlign w:val="bottom"/>
          </w:tcPr>
          <w:p w:rsidR="00AC12B4" w:rsidRDefault="00AC12B4">
            <w:pPr>
              <w:rPr>
                <w:sz w:val="6"/>
                <w:szCs w:val="6"/>
              </w:rPr>
            </w:pPr>
          </w:p>
        </w:tc>
        <w:tc>
          <w:tcPr>
            <w:tcW w:w="880" w:type="dxa"/>
            <w:vAlign w:val="bottom"/>
          </w:tcPr>
          <w:p w:rsidR="00AC12B4" w:rsidRDefault="00AC12B4">
            <w:pPr>
              <w:rPr>
                <w:sz w:val="6"/>
                <w:szCs w:val="6"/>
              </w:rPr>
            </w:pPr>
          </w:p>
        </w:tc>
        <w:tc>
          <w:tcPr>
            <w:tcW w:w="68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1680" w:type="dxa"/>
            <w:gridSpan w:val="4"/>
            <w:vMerge w:val="restart"/>
            <w:vAlign w:val="bottom"/>
          </w:tcPr>
          <w:p w:rsidR="00AC12B4" w:rsidRDefault="00C27636">
            <w:pPr>
              <w:spacing w:line="233" w:lineRule="exact"/>
              <w:ind w:left="40"/>
              <w:rPr>
                <w:sz w:val="20"/>
                <w:szCs w:val="20"/>
              </w:rPr>
            </w:pPr>
            <w:r>
              <w:rPr>
                <w:rFonts w:ascii="Calibri" w:eastAsia="Calibri" w:hAnsi="Calibri" w:cs="Calibri"/>
                <w:sz w:val="20"/>
                <w:szCs w:val="20"/>
              </w:rPr>
              <w:t>Jamais</w:t>
            </w:r>
            <w:r>
              <w:rPr>
                <w:rFonts w:ascii="Calibri" w:eastAsia="Calibri" w:hAnsi="Calibri" w:cs="Calibri"/>
                <w:sz w:val="20"/>
                <w:szCs w:val="20"/>
              </w:rPr>
              <w:t xml:space="preserve"> durant les 2</w:t>
            </w:r>
          </w:p>
        </w:tc>
        <w:tc>
          <w:tcPr>
            <w:tcW w:w="140" w:type="dxa"/>
            <w:vAlign w:val="bottom"/>
          </w:tcPr>
          <w:p w:rsidR="00AC12B4" w:rsidRDefault="00AC12B4">
            <w:pPr>
              <w:rPr>
                <w:sz w:val="6"/>
                <w:szCs w:val="6"/>
              </w:rPr>
            </w:pPr>
          </w:p>
        </w:tc>
        <w:tc>
          <w:tcPr>
            <w:tcW w:w="60" w:type="dxa"/>
            <w:vMerge w:val="restart"/>
            <w:tcBorders>
              <w:right w:val="single" w:sz="8" w:space="0" w:color="963266"/>
            </w:tcBorders>
            <w:vAlign w:val="bottom"/>
          </w:tcPr>
          <w:p w:rsidR="00AC12B4" w:rsidRDefault="00AC12B4">
            <w:pPr>
              <w:rPr>
                <w:sz w:val="6"/>
                <w:szCs w:val="6"/>
              </w:rPr>
            </w:pPr>
          </w:p>
        </w:tc>
        <w:tc>
          <w:tcPr>
            <w:tcW w:w="2620" w:type="dxa"/>
            <w:gridSpan w:val="9"/>
            <w:vMerge w:val="restart"/>
            <w:vAlign w:val="bottom"/>
          </w:tcPr>
          <w:p w:rsidR="00AC12B4" w:rsidRDefault="00C27636">
            <w:pPr>
              <w:spacing w:line="233" w:lineRule="exact"/>
              <w:jc w:val="right"/>
              <w:rPr>
                <w:sz w:val="20"/>
                <w:szCs w:val="20"/>
              </w:rPr>
            </w:pPr>
            <w:r>
              <w:rPr>
                <w:rFonts w:ascii="Calibri" w:eastAsia="Calibri" w:hAnsi="Calibri" w:cs="Calibri"/>
              </w:rPr>
              <w:t>Sept jeunes sur dix (70,9%)</w:t>
            </w:r>
          </w:p>
        </w:tc>
        <w:tc>
          <w:tcPr>
            <w:tcW w:w="74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10"/>
        </w:trPr>
        <w:tc>
          <w:tcPr>
            <w:tcW w:w="960" w:type="dxa"/>
            <w:tcBorders>
              <w:right w:val="single" w:sz="8" w:space="0" w:color="963266"/>
            </w:tcBorders>
            <w:vAlign w:val="bottom"/>
          </w:tcPr>
          <w:p w:rsidR="00AC12B4" w:rsidRDefault="00AC12B4">
            <w:pPr>
              <w:rPr>
                <w:sz w:val="9"/>
                <w:szCs w:val="9"/>
              </w:rPr>
            </w:pPr>
          </w:p>
        </w:tc>
        <w:tc>
          <w:tcPr>
            <w:tcW w:w="164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640" w:type="dxa"/>
            <w:vAlign w:val="bottom"/>
          </w:tcPr>
          <w:p w:rsidR="00AC12B4" w:rsidRDefault="00AC12B4">
            <w:pPr>
              <w:rPr>
                <w:sz w:val="9"/>
                <w:szCs w:val="9"/>
              </w:rPr>
            </w:pPr>
          </w:p>
        </w:tc>
        <w:tc>
          <w:tcPr>
            <w:tcW w:w="880" w:type="dxa"/>
            <w:vAlign w:val="bottom"/>
          </w:tcPr>
          <w:p w:rsidR="00AC12B4" w:rsidRDefault="00AC12B4">
            <w:pPr>
              <w:rPr>
                <w:sz w:val="9"/>
                <w:szCs w:val="9"/>
              </w:rPr>
            </w:pPr>
          </w:p>
        </w:tc>
        <w:tc>
          <w:tcPr>
            <w:tcW w:w="6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100" w:type="dxa"/>
            <w:shd w:val="clear" w:color="auto" w:fill="4F81BD"/>
            <w:vAlign w:val="bottom"/>
          </w:tcPr>
          <w:p w:rsidR="00AC12B4" w:rsidRDefault="00AC12B4">
            <w:pPr>
              <w:rPr>
                <w:sz w:val="9"/>
                <w:szCs w:val="9"/>
              </w:rPr>
            </w:pPr>
          </w:p>
        </w:tc>
        <w:tc>
          <w:tcPr>
            <w:tcW w:w="1680" w:type="dxa"/>
            <w:gridSpan w:val="4"/>
            <w:vMerge/>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vMerge/>
            <w:tcBorders>
              <w:right w:val="single" w:sz="8" w:space="0" w:color="963266"/>
            </w:tcBorders>
            <w:vAlign w:val="bottom"/>
          </w:tcPr>
          <w:p w:rsidR="00AC12B4" w:rsidRDefault="00AC12B4">
            <w:pPr>
              <w:rPr>
                <w:sz w:val="9"/>
                <w:szCs w:val="9"/>
              </w:rPr>
            </w:pPr>
          </w:p>
        </w:tc>
        <w:tc>
          <w:tcPr>
            <w:tcW w:w="2620" w:type="dxa"/>
            <w:gridSpan w:val="9"/>
            <w:vMerge/>
            <w:vAlign w:val="bottom"/>
          </w:tcPr>
          <w:p w:rsidR="00AC12B4" w:rsidRDefault="00AC12B4">
            <w:pPr>
              <w:rPr>
                <w:sz w:val="9"/>
                <w:szCs w:val="9"/>
              </w:rPr>
            </w:pPr>
          </w:p>
        </w:tc>
        <w:tc>
          <w:tcPr>
            <w:tcW w:w="7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960" w:type="dxa"/>
            <w:tcBorders>
              <w:right w:val="single" w:sz="8" w:space="0" w:color="963266"/>
            </w:tcBorders>
            <w:vAlign w:val="bottom"/>
          </w:tcPr>
          <w:p w:rsidR="00AC12B4" w:rsidRDefault="00AC12B4">
            <w:pPr>
              <w:rPr>
                <w:sz w:val="4"/>
                <w:szCs w:val="4"/>
              </w:rPr>
            </w:pPr>
          </w:p>
        </w:tc>
        <w:tc>
          <w:tcPr>
            <w:tcW w:w="164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640" w:type="dxa"/>
            <w:vAlign w:val="bottom"/>
          </w:tcPr>
          <w:p w:rsidR="00AC12B4" w:rsidRDefault="00AC12B4">
            <w:pPr>
              <w:rPr>
                <w:sz w:val="4"/>
                <w:szCs w:val="4"/>
              </w:rPr>
            </w:pPr>
          </w:p>
        </w:tc>
        <w:tc>
          <w:tcPr>
            <w:tcW w:w="880" w:type="dxa"/>
            <w:vAlign w:val="bottom"/>
          </w:tcPr>
          <w:p w:rsidR="00AC12B4" w:rsidRDefault="00AC12B4">
            <w:pPr>
              <w:rPr>
                <w:sz w:val="4"/>
                <w:szCs w:val="4"/>
              </w:rPr>
            </w:pPr>
          </w:p>
        </w:tc>
        <w:tc>
          <w:tcPr>
            <w:tcW w:w="6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680" w:type="dxa"/>
            <w:gridSpan w:val="4"/>
            <w:vMerge/>
            <w:vAlign w:val="bottom"/>
          </w:tcPr>
          <w:p w:rsidR="00AC12B4" w:rsidRDefault="00AC12B4">
            <w:pPr>
              <w:rPr>
                <w:sz w:val="4"/>
                <w:szCs w:val="4"/>
              </w:rPr>
            </w:pPr>
          </w:p>
        </w:tc>
        <w:tc>
          <w:tcPr>
            <w:tcW w:w="140" w:type="dxa"/>
            <w:vAlign w:val="bottom"/>
          </w:tcPr>
          <w:p w:rsidR="00AC12B4" w:rsidRDefault="00AC12B4">
            <w:pPr>
              <w:rPr>
                <w:sz w:val="4"/>
                <w:szCs w:val="4"/>
              </w:rPr>
            </w:pPr>
          </w:p>
        </w:tc>
        <w:tc>
          <w:tcPr>
            <w:tcW w:w="60" w:type="dxa"/>
            <w:vMerge/>
            <w:tcBorders>
              <w:right w:val="single" w:sz="8" w:space="0" w:color="963266"/>
            </w:tcBorders>
            <w:vAlign w:val="bottom"/>
          </w:tcPr>
          <w:p w:rsidR="00AC12B4" w:rsidRDefault="00AC12B4">
            <w:pPr>
              <w:rPr>
                <w:sz w:val="4"/>
                <w:szCs w:val="4"/>
              </w:rPr>
            </w:pPr>
          </w:p>
        </w:tc>
        <w:tc>
          <w:tcPr>
            <w:tcW w:w="2620" w:type="dxa"/>
            <w:gridSpan w:val="9"/>
            <w:vMerge/>
            <w:vAlign w:val="bottom"/>
          </w:tcPr>
          <w:p w:rsidR="00AC12B4" w:rsidRDefault="00AC12B4">
            <w:pPr>
              <w:rPr>
                <w:sz w:val="4"/>
                <w:szCs w:val="4"/>
              </w:rPr>
            </w:pPr>
          </w:p>
        </w:tc>
        <w:tc>
          <w:tcPr>
            <w:tcW w:w="74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69"/>
        </w:trPr>
        <w:tc>
          <w:tcPr>
            <w:tcW w:w="960" w:type="dxa"/>
            <w:tcBorders>
              <w:right w:val="single" w:sz="8" w:space="0" w:color="963266"/>
            </w:tcBorders>
            <w:vAlign w:val="bottom"/>
          </w:tcPr>
          <w:p w:rsidR="00AC12B4" w:rsidRDefault="00AC12B4">
            <w:pPr>
              <w:rPr>
                <w:sz w:val="23"/>
                <w:szCs w:val="23"/>
              </w:rPr>
            </w:pPr>
          </w:p>
        </w:tc>
        <w:tc>
          <w:tcPr>
            <w:tcW w:w="1640" w:type="dxa"/>
            <w:vMerge w:val="restart"/>
            <w:vAlign w:val="bottom"/>
          </w:tcPr>
          <w:p w:rsidR="00AC12B4" w:rsidRDefault="00C27636">
            <w:pPr>
              <w:ind w:left="260"/>
              <w:rPr>
                <w:sz w:val="20"/>
                <w:szCs w:val="20"/>
              </w:rPr>
            </w:pPr>
            <w:r>
              <w:rPr>
                <w:rFonts w:ascii="Calibri" w:eastAsia="Calibri" w:hAnsi="Calibri" w:cs="Calibri"/>
                <w:sz w:val="20"/>
                <w:szCs w:val="20"/>
              </w:rPr>
              <w:t>16,8%</w:t>
            </w:r>
          </w:p>
        </w:tc>
        <w:tc>
          <w:tcPr>
            <w:tcW w:w="120" w:type="dxa"/>
            <w:vAlign w:val="bottom"/>
          </w:tcPr>
          <w:p w:rsidR="00AC12B4" w:rsidRDefault="00AC12B4">
            <w:pPr>
              <w:rPr>
                <w:sz w:val="23"/>
                <w:szCs w:val="23"/>
              </w:rPr>
            </w:pPr>
          </w:p>
        </w:tc>
        <w:tc>
          <w:tcPr>
            <w:tcW w:w="640" w:type="dxa"/>
            <w:vAlign w:val="bottom"/>
          </w:tcPr>
          <w:p w:rsidR="00AC12B4" w:rsidRDefault="00AC12B4">
            <w:pPr>
              <w:rPr>
                <w:sz w:val="23"/>
                <w:szCs w:val="23"/>
              </w:rPr>
            </w:pPr>
          </w:p>
        </w:tc>
        <w:tc>
          <w:tcPr>
            <w:tcW w:w="880" w:type="dxa"/>
            <w:vAlign w:val="bottom"/>
          </w:tcPr>
          <w:p w:rsidR="00AC12B4" w:rsidRDefault="00AC12B4">
            <w:pPr>
              <w:rPr>
                <w:sz w:val="23"/>
                <w:szCs w:val="23"/>
              </w:rPr>
            </w:pPr>
          </w:p>
        </w:tc>
        <w:tc>
          <w:tcPr>
            <w:tcW w:w="6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300" w:type="dxa"/>
            <w:gridSpan w:val="3"/>
            <w:vAlign w:val="bottom"/>
          </w:tcPr>
          <w:p w:rsidR="00AC12B4" w:rsidRDefault="00C27636">
            <w:pPr>
              <w:ind w:left="40"/>
              <w:rPr>
                <w:sz w:val="20"/>
                <w:szCs w:val="20"/>
              </w:rPr>
            </w:pPr>
            <w:r>
              <w:rPr>
                <w:rFonts w:ascii="Calibri" w:eastAsia="Calibri" w:hAnsi="Calibri" w:cs="Calibri"/>
                <w:sz w:val="20"/>
                <w:szCs w:val="20"/>
              </w:rPr>
              <w:t>derniers mois</w:t>
            </w:r>
          </w:p>
        </w:tc>
        <w:tc>
          <w:tcPr>
            <w:tcW w:w="3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60" w:type="dxa"/>
            <w:tcBorders>
              <w:right w:val="single" w:sz="8" w:space="0" w:color="963266"/>
            </w:tcBorders>
            <w:vAlign w:val="bottom"/>
          </w:tcPr>
          <w:p w:rsidR="00AC12B4" w:rsidRDefault="00AC12B4">
            <w:pPr>
              <w:rPr>
                <w:sz w:val="23"/>
                <w:szCs w:val="23"/>
              </w:rPr>
            </w:pPr>
          </w:p>
        </w:tc>
        <w:tc>
          <w:tcPr>
            <w:tcW w:w="2620" w:type="dxa"/>
            <w:gridSpan w:val="9"/>
            <w:vAlign w:val="bottom"/>
          </w:tcPr>
          <w:p w:rsidR="00AC12B4" w:rsidRDefault="00C27636">
            <w:pPr>
              <w:jc w:val="right"/>
              <w:rPr>
                <w:sz w:val="20"/>
                <w:szCs w:val="20"/>
              </w:rPr>
            </w:pPr>
            <w:r>
              <w:rPr>
                <w:rFonts w:ascii="Calibri" w:eastAsia="Calibri" w:hAnsi="Calibri" w:cs="Calibri"/>
              </w:rPr>
              <w:t>rapportent qu'ils n'ont pas</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56"/>
        </w:trPr>
        <w:tc>
          <w:tcPr>
            <w:tcW w:w="960" w:type="dxa"/>
            <w:tcBorders>
              <w:right w:val="single" w:sz="8" w:space="0" w:color="963266"/>
            </w:tcBorders>
            <w:vAlign w:val="bottom"/>
          </w:tcPr>
          <w:p w:rsidR="00AC12B4" w:rsidRDefault="00AC12B4">
            <w:pPr>
              <w:rPr>
                <w:sz w:val="4"/>
                <w:szCs w:val="4"/>
              </w:rPr>
            </w:pPr>
          </w:p>
        </w:tc>
        <w:tc>
          <w:tcPr>
            <w:tcW w:w="1640" w:type="dxa"/>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640" w:type="dxa"/>
            <w:vAlign w:val="bottom"/>
          </w:tcPr>
          <w:p w:rsidR="00AC12B4" w:rsidRDefault="00AC12B4">
            <w:pPr>
              <w:rPr>
                <w:sz w:val="4"/>
                <w:szCs w:val="4"/>
              </w:rPr>
            </w:pPr>
          </w:p>
        </w:tc>
        <w:tc>
          <w:tcPr>
            <w:tcW w:w="880" w:type="dxa"/>
            <w:vAlign w:val="bottom"/>
          </w:tcPr>
          <w:p w:rsidR="00AC12B4" w:rsidRDefault="00AC12B4">
            <w:pPr>
              <w:rPr>
                <w:sz w:val="4"/>
                <w:szCs w:val="4"/>
              </w:rPr>
            </w:pPr>
          </w:p>
        </w:tc>
        <w:tc>
          <w:tcPr>
            <w:tcW w:w="6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84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140" w:type="dxa"/>
            <w:vAlign w:val="bottom"/>
          </w:tcPr>
          <w:p w:rsidR="00AC12B4" w:rsidRDefault="00AC12B4">
            <w:pPr>
              <w:rPr>
                <w:sz w:val="4"/>
                <w:szCs w:val="4"/>
              </w:rPr>
            </w:pPr>
          </w:p>
        </w:tc>
        <w:tc>
          <w:tcPr>
            <w:tcW w:w="60" w:type="dxa"/>
            <w:tcBorders>
              <w:right w:val="single" w:sz="8" w:space="0" w:color="963266"/>
            </w:tcBorders>
            <w:vAlign w:val="bottom"/>
          </w:tcPr>
          <w:p w:rsidR="00AC12B4" w:rsidRDefault="00AC12B4">
            <w:pPr>
              <w:rPr>
                <w:sz w:val="4"/>
                <w:szCs w:val="4"/>
              </w:rPr>
            </w:pPr>
          </w:p>
        </w:tc>
        <w:tc>
          <w:tcPr>
            <w:tcW w:w="500" w:type="dxa"/>
            <w:vMerge w:val="restart"/>
            <w:vAlign w:val="bottom"/>
          </w:tcPr>
          <w:p w:rsidR="00AC12B4" w:rsidRDefault="00C27636">
            <w:pPr>
              <w:ind w:left="200"/>
              <w:rPr>
                <w:sz w:val="20"/>
                <w:szCs w:val="20"/>
              </w:rPr>
            </w:pPr>
            <w:r>
              <w:rPr>
                <w:rFonts w:ascii="Calibri" w:eastAsia="Calibri" w:hAnsi="Calibri" w:cs="Calibri"/>
                <w:w w:val="95"/>
              </w:rPr>
              <w:t>été</w:t>
            </w:r>
          </w:p>
        </w:tc>
        <w:tc>
          <w:tcPr>
            <w:tcW w:w="3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180" w:type="dxa"/>
            <w:gridSpan w:val="4"/>
            <w:vMerge w:val="restart"/>
            <w:vAlign w:val="bottom"/>
          </w:tcPr>
          <w:p w:rsidR="00AC12B4" w:rsidRDefault="00C27636">
            <w:pPr>
              <w:ind w:left="60"/>
              <w:rPr>
                <w:sz w:val="20"/>
                <w:szCs w:val="20"/>
              </w:rPr>
            </w:pPr>
            <w:r>
              <w:rPr>
                <w:rFonts w:ascii="Calibri" w:eastAsia="Calibri" w:hAnsi="Calibri" w:cs="Calibri"/>
              </w:rPr>
              <w:t>provoqués</w:t>
            </w:r>
          </w:p>
        </w:tc>
        <w:tc>
          <w:tcPr>
            <w:tcW w:w="240" w:type="dxa"/>
            <w:vAlign w:val="bottom"/>
          </w:tcPr>
          <w:p w:rsidR="00AC12B4" w:rsidRDefault="00AC12B4">
            <w:pPr>
              <w:rPr>
                <w:sz w:val="4"/>
                <w:szCs w:val="4"/>
              </w:rPr>
            </w:pPr>
          </w:p>
        </w:tc>
        <w:tc>
          <w:tcPr>
            <w:tcW w:w="300" w:type="dxa"/>
            <w:vMerge w:val="restart"/>
            <w:vAlign w:val="bottom"/>
          </w:tcPr>
          <w:p w:rsidR="00AC12B4" w:rsidRDefault="00C27636">
            <w:pPr>
              <w:jc w:val="right"/>
              <w:rPr>
                <w:sz w:val="20"/>
                <w:szCs w:val="20"/>
              </w:rPr>
            </w:pPr>
            <w:r>
              <w:rPr>
                <w:rFonts w:ascii="Calibri" w:eastAsia="Calibri" w:hAnsi="Calibri" w:cs="Calibri"/>
              </w:rPr>
              <w:t>ou</w:t>
            </w:r>
          </w:p>
        </w:tc>
        <w:tc>
          <w:tcPr>
            <w:tcW w:w="74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16"/>
        </w:trPr>
        <w:tc>
          <w:tcPr>
            <w:tcW w:w="960" w:type="dxa"/>
            <w:tcBorders>
              <w:right w:val="single" w:sz="8" w:space="0" w:color="963266"/>
            </w:tcBorders>
            <w:vAlign w:val="bottom"/>
          </w:tcPr>
          <w:p w:rsidR="00AC12B4" w:rsidRDefault="00AC12B4">
            <w:pPr>
              <w:rPr>
                <w:sz w:val="10"/>
                <w:szCs w:val="10"/>
              </w:rPr>
            </w:pPr>
          </w:p>
        </w:tc>
        <w:tc>
          <w:tcPr>
            <w:tcW w:w="164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640" w:type="dxa"/>
            <w:vAlign w:val="bottom"/>
          </w:tcPr>
          <w:p w:rsidR="00AC12B4" w:rsidRDefault="00AC12B4">
            <w:pPr>
              <w:rPr>
                <w:sz w:val="10"/>
                <w:szCs w:val="10"/>
              </w:rPr>
            </w:pPr>
          </w:p>
        </w:tc>
        <w:tc>
          <w:tcPr>
            <w:tcW w:w="880" w:type="dxa"/>
            <w:vAlign w:val="bottom"/>
          </w:tcPr>
          <w:p w:rsidR="00AC12B4" w:rsidRDefault="00AC12B4">
            <w:pPr>
              <w:rPr>
                <w:sz w:val="10"/>
                <w:szCs w:val="10"/>
              </w:rPr>
            </w:pPr>
          </w:p>
        </w:tc>
        <w:tc>
          <w:tcPr>
            <w:tcW w:w="68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1680" w:type="dxa"/>
            <w:gridSpan w:val="4"/>
            <w:vMerge w:val="restart"/>
            <w:vAlign w:val="bottom"/>
          </w:tcPr>
          <w:p w:rsidR="00AC12B4" w:rsidRDefault="00C27636">
            <w:pPr>
              <w:ind w:left="40"/>
              <w:rPr>
                <w:sz w:val="20"/>
                <w:szCs w:val="20"/>
              </w:rPr>
            </w:pPr>
            <w:r>
              <w:rPr>
                <w:rFonts w:ascii="Calibri" w:eastAsia="Calibri" w:hAnsi="Calibri" w:cs="Calibri"/>
                <w:sz w:val="20"/>
                <w:szCs w:val="20"/>
              </w:rPr>
              <w:t>1-2 fois durant les 2</w:t>
            </w:r>
          </w:p>
        </w:tc>
        <w:tc>
          <w:tcPr>
            <w:tcW w:w="140" w:type="dxa"/>
            <w:vAlign w:val="bottom"/>
          </w:tcPr>
          <w:p w:rsidR="00AC12B4" w:rsidRDefault="00AC12B4">
            <w:pPr>
              <w:rPr>
                <w:sz w:val="10"/>
                <w:szCs w:val="10"/>
              </w:rPr>
            </w:pPr>
          </w:p>
        </w:tc>
        <w:tc>
          <w:tcPr>
            <w:tcW w:w="60" w:type="dxa"/>
            <w:vMerge w:val="restart"/>
            <w:tcBorders>
              <w:right w:val="single" w:sz="8" w:space="0" w:color="963266"/>
            </w:tcBorders>
            <w:vAlign w:val="bottom"/>
          </w:tcPr>
          <w:p w:rsidR="00AC12B4" w:rsidRDefault="00AC12B4">
            <w:pPr>
              <w:rPr>
                <w:sz w:val="10"/>
                <w:szCs w:val="10"/>
              </w:rPr>
            </w:pPr>
          </w:p>
        </w:tc>
        <w:tc>
          <w:tcPr>
            <w:tcW w:w="500" w:type="dxa"/>
            <w:vMerge/>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1180" w:type="dxa"/>
            <w:gridSpan w:val="4"/>
            <w:vMerge/>
            <w:vAlign w:val="bottom"/>
          </w:tcPr>
          <w:p w:rsidR="00AC12B4" w:rsidRDefault="00AC12B4">
            <w:pPr>
              <w:rPr>
                <w:sz w:val="10"/>
                <w:szCs w:val="10"/>
              </w:rPr>
            </w:pPr>
          </w:p>
        </w:tc>
        <w:tc>
          <w:tcPr>
            <w:tcW w:w="240" w:type="dxa"/>
            <w:vAlign w:val="bottom"/>
          </w:tcPr>
          <w:p w:rsidR="00AC12B4" w:rsidRDefault="00AC12B4">
            <w:pPr>
              <w:rPr>
                <w:sz w:val="10"/>
                <w:szCs w:val="10"/>
              </w:rPr>
            </w:pPr>
          </w:p>
        </w:tc>
        <w:tc>
          <w:tcPr>
            <w:tcW w:w="300" w:type="dxa"/>
            <w:vMerge/>
            <w:vAlign w:val="bottom"/>
          </w:tcPr>
          <w:p w:rsidR="00AC12B4" w:rsidRDefault="00AC12B4">
            <w:pPr>
              <w:rPr>
                <w:sz w:val="10"/>
                <w:szCs w:val="10"/>
              </w:rPr>
            </w:pPr>
          </w:p>
        </w:tc>
        <w:tc>
          <w:tcPr>
            <w:tcW w:w="7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10"/>
        </w:trPr>
        <w:tc>
          <w:tcPr>
            <w:tcW w:w="960" w:type="dxa"/>
            <w:tcBorders>
              <w:right w:val="single" w:sz="8" w:space="0" w:color="963266"/>
            </w:tcBorders>
            <w:vAlign w:val="bottom"/>
          </w:tcPr>
          <w:p w:rsidR="00AC12B4" w:rsidRDefault="00AC12B4">
            <w:pPr>
              <w:rPr>
                <w:sz w:val="9"/>
                <w:szCs w:val="9"/>
              </w:rPr>
            </w:pPr>
          </w:p>
        </w:tc>
        <w:tc>
          <w:tcPr>
            <w:tcW w:w="164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640" w:type="dxa"/>
            <w:vAlign w:val="bottom"/>
          </w:tcPr>
          <w:p w:rsidR="00AC12B4" w:rsidRDefault="00AC12B4">
            <w:pPr>
              <w:rPr>
                <w:sz w:val="9"/>
                <w:szCs w:val="9"/>
              </w:rPr>
            </w:pPr>
          </w:p>
        </w:tc>
        <w:tc>
          <w:tcPr>
            <w:tcW w:w="880" w:type="dxa"/>
            <w:vAlign w:val="bottom"/>
          </w:tcPr>
          <w:p w:rsidR="00AC12B4" w:rsidRDefault="00AC12B4">
            <w:pPr>
              <w:rPr>
                <w:sz w:val="9"/>
                <w:szCs w:val="9"/>
              </w:rPr>
            </w:pPr>
          </w:p>
        </w:tc>
        <w:tc>
          <w:tcPr>
            <w:tcW w:w="6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100" w:type="dxa"/>
            <w:shd w:val="clear" w:color="auto" w:fill="C0504D"/>
            <w:vAlign w:val="bottom"/>
          </w:tcPr>
          <w:p w:rsidR="00AC12B4" w:rsidRDefault="00AC12B4">
            <w:pPr>
              <w:rPr>
                <w:sz w:val="9"/>
                <w:szCs w:val="9"/>
              </w:rPr>
            </w:pPr>
          </w:p>
        </w:tc>
        <w:tc>
          <w:tcPr>
            <w:tcW w:w="1680" w:type="dxa"/>
            <w:gridSpan w:val="4"/>
            <w:vMerge/>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vMerge/>
            <w:tcBorders>
              <w:right w:val="single" w:sz="8" w:space="0" w:color="963266"/>
            </w:tcBorders>
            <w:vAlign w:val="bottom"/>
          </w:tcPr>
          <w:p w:rsidR="00AC12B4" w:rsidRDefault="00AC12B4">
            <w:pPr>
              <w:rPr>
                <w:sz w:val="9"/>
                <w:szCs w:val="9"/>
              </w:rPr>
            </w:pPr>
          </w:p>
        </w:tc>
        <w:tc>
          <w:tcPr>
            <w:tcW w:w="500" w:type="dxa"/>
            <w:vMerge/>
            <w:vAlign w:val="bottom"/>
          </w:tcPr>
          <w:p w:rsidR="00AC12B4" w:rsidRDefault="00AC12B4">
            <w:pPr>
              <w:rPr>
                <w:sz w:val="9"/>
                <w:szCs w:val="9"/>
              </w:rPr>
            </w:pPr>
          </w:p>
        </w:tc>
        <w:tc>
          <w:tcPr>
            <w:tcW w:w="30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1180" w:type="dxa"/>
            <w:gridSpan w:val="4"/>
            <w:vMerge/>
            <w:vAlign w:val="bottom"/>
          </w:tcPr>
          <w:p w:rsidR="00AC12B4" w:rsidRDefault="00AC12B4">
            <w:pPr>
              <w:rPr>
                <w:sz w:val="9"/>
                <w:szCs w:val="9"/>
              </w:rPr>
            </w:pPr>
          </w:p>
        </w:tc>
        <w:tc>
          <w:tcPr>
            <w:tcW w:w="240" w:type="dxa"/>
            <w:vAlign w:val="bottom"/>
          </w:tcPr>
          <w:p w:rsidR="00AC12B4" w:rsidRDefault="00AC12B4">
            <w:pPr>
              <w:rPr>
                <w:sz w:val="9"/>
                <w:szCs w:val="9"/>
              </w:rPr>
            </w:pPr>
          </w:p>
        </w:tc>
        <w:tc>
          <w:tcPr>
            <w:tcW w:w="300" w:type="dxa"/>
            <w:vMerge/>
            <w:vAlign w:val="bottom"/>
          </w:tcPr>
          <w:p w:rsidR="00AC12B4" w:rsidRDefault="00AC12B4">
            <w:pPr>
              <w:rPr>
                <w:sz w:val="9"/>
                <w:szCs w:val="9"/>
              </w:rPr>
            </w:pPr>
          </w:p>
        </w:tc>
        <w:tc>
          <w:tcPr>
            <w:tcW w:w="7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960" w:type="dxa"/>
            <w:tcBorders>
              <w:right w:val="single" w:sz="8" w:space="0" w:color="963266"/>
            </w:tcBorders>
            <w:vAlign w:val="bottom"/>
          </w:tcPr>
          <w:p w:rsidR="00AC12B4" w:rsidRDefault="00AC12B4">
            <w:pPr>
              <w:rPr>
                <w:sz w:val="4"/>
                <w:szCs w:val="4"/>
              </w:rPr>
            </w:pPr>
          </w:p>
        </w:tc>
        <w:tc>
          <w:tcPr>
            <w:tcW w:w="164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640" w:type="dxa"/>
            <w:vAlign w:val="bottom"/>
          </w:tcPr>
          <w:p w:rsidR="00AC12B4" w:rsidRDefault="00AC12B4">
            <w:pPr>
              <w:rPr>
                <w:sz w:val="4"/>
                <w:szCs w:val="4"/>
              </w:rPr>
            </w:pPr>
          </w:p>
        </w:tc>
        <w:tc>
          <w:tcPr>
            <w:tcW w:w="880" w:type="dxa"/>
            <w:vAlign w:val="bottom"/>
          </w:tcPr>
          <w:p w:rsidR="00AC12B4" w:rsidRDefault="00AC12B4">
            <w:pPr>
              <w:rPr>
                <w:sz w:val="4"/>
                <w:szCs w:val="4"/>
              </w:rPr>
            </w:pPr>
          </w:p>
        </w:tc>
        <w:tc>
          <w:tcPr>
            <w:tcW w:w="6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680" w:type="dxa"/>
            <w:gridSpan w:val="4"/>
            <w:vMerge/>
            <w:vAlign w:val="bottom"/>
          </w:tcPr>
          <w:p w:rsidR="00AC12B4" w:rsidRDefault="00AC12B4">
            <w:pPr>
              <w:rPr>
                <w:sz w:val="4"/>
                <w:szCs w:val="4"/>
              </w:rPr>
            </w:pPr>
          </w:p>
        </w:tc>
        <w:tc>
          <w:tcPr>
            <w:tcW w:w="140" w:type="dxa"/>
            <w:vAlign w:val="bottom"/>
          </w:tcPr>
          <w:p w:rsidR="00AC12B4" w:rsidRDefault="00AC12B4">
            <w:pPr>
              <w:rPr>
                <w:sz w:val="4"/>
                <w:szCs w:val="4"/>
              </w:rPr>
            </w:pPr>
          </w:p>
        </w:tc>
        <w:tc>
          <w:tcPr>
            <w:tcW w:w="60" w:type="dxa"/>
            <w:tcBorders>
              <w:right w:val="single" w:sz="8" w:space="0" w:color="963266"/>
            </w:tcBorders>
            <w:vAlign w:val="bottom"/>
          </w:tcPr>
          <w:p w:rsidR="00AC12B4" w:rsidRDefault="00AC12B4">
            <w:pPr>
              <w:rPr>
                <w:sz w:val="4"/>
                <w:szCs w:val="4"/>
              </w:rPr>
            </w:pPr>
          </w:p>
        </w:tc>
        <w:tc>
          <w:tcPr>
            <w:tcW w:w="1300" w:type="dxa"/>
            <w:gridSpan w:val="4"/>
            <w:vMerge w:val="restart"/>
            <w:vAlign w:val="bottom"/>
          </w:tcPr>
          <w:p w:rsidR="00AC12B4" w:rsidRDefault="00C27636">
            <w:pPr>
              <w:spacing w:line="256" w:lineRule="exact"/>
              <w:ind w:left="200"/>
              <w:rPr>
                <w:sz w:val="20"/>
                <w:szCs w:val="20"/>
              </w:rPr>
            </w:pPr>
            <w:r>
              <w:rPr>
                <w:rFonts w:ascii="Calibri" w:eastAsia="Calibri" w:hAnsi="Calibri" w:cs="Calibri"/>
              </w:rPr>
              <w:t>"cherchés</w:t>
            </w:r>
            <w:r>
              <w:rPr>
                <w:rFonts w:ascii="Calibri" w:eastAsia="Calibri" w:hAnsi="Calibri" w:cs="Calibri"/>
              </w:rPr>
              <w:t>"</w:t>
            </w:r>
          </w:p>
        </w:tc>
        <w:tc>
          <w:tcPr>
            <w:tcW w:w="340" w:type="dxa"/>
            <w:vMerge w:val="restart"/>
            <w:vAlign w:val="bottom"/>
          </w:tcPr>
          <w:p w:rsidR="00AC12B4" w:rsidRDefault="00C27636">
            <w:pPr>
              <w:spacing w:line="256" w:lineRule="exact"/>
              <w:jc w:val="right"/>
              <w:rPr>
                <w:sz w:val="20"/>
                <w:szCs w:val="20"/>
              </w:rPr>
            </w:pPr>
            <w:r>
              <w:rPr>
                <w:rFonts w:ascii="Calibri" w:eastAsia="Calibri" w:hAnsi="Calibri" w:cs="Calibri"/>
              </w:rPr>
              <w:t>par</w:t>
            </w:r>
          </w:p>
        </w:tc>
        <w:tc>
          <w:tcPr>
            <w:tcW w:w="440" w:type="dxa"/>
            <w:gridSpan w:val="2"/>
            <w:vMerge w:val="restart"/>
            <w:vAlign w:val="bottom"/>
          </w:tcPr>
          <w:p w:rsidR="00AC12B4" w:rsidRDefault="00C27636">
            <w:pPr>
              <w:spacing w:line="256" w:lineRule="exact"/>
              <w:ind w:left="120"/>
              <w:rPr>
                <w:sz w:val="20"/>
                <w:szCs w:val="20"/>
              </w:rPr>
            </w:pPr>
            <w:r>
              <w:rPr>
                <w:rFonts w:ascii="Calibri" w:eastAsia="Calibri" w:hAnsi="Calibri" w:cs="Calibri"/>
              </w:rPr>
              <w:t>un</w:t>
            </w:r>
          </w:p>
        </w:tc>
        <w:tc>
          <w:tcPr>
            <w:tcW w:w="540" w:type="dxa"/>
            <w:gridSpan w:val="2"/>
            <w:vMerge w:val="restart"/>
            <w:vAlign w:val="bottom"/>
          </w:tcPr>
          <w:p w:rsidR="00AC12B4" w:rsidRDefault="00C27636">
            <w:pPr>
              <w:spacing w:line="256" w:lineRule="exact"/>
              <w:jc w:val="right"/>
              <w:rPr>
                <w:sz w:val="20"/>
                <w:szCs w:val="20"/>
              </w:rPr>
            </w:pPr>
            <w:r>
              <w:rPr>
                <w:rFonts w:ascii="Calibri" w:eastAsia="Calibri" w:hAnsi="Calibri" w:cs="Calibri"/>
              </w:rPr>
              <w:t>autre</w:t>
            </w:r>
          </w:p>
        </w:tc>
        <w:tc>
          <w:tcPr>
            <w:tcW w:w="74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45"/>
        </w:trPr>
        <w:tc>
          <w:tcPr>
            <w:tcW w:w="960" w:type="dxa"/>
            <w:tcBorders>
              <w:right w:val="single" w:sz="8" w:space="0" w:color="963266"/>
            </w:tcBorders>
            <w:vAlign w:val="bottom"/>
          </w:tcPr>
          <w:p w:rsidR="00AC12B4" w:rsidRDefault="00AC12B4">
            <w:pPr>
              <w:rPr>
                <w:sz w:val="21"/>
                <w:szCs w:val="21"/>
              </w:rPr>
            </w:pPr>
          </w:p>
        </w:tc>
        <w:tc>
          <w:tcPr>
            <w:tcW w:w="164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640" w:type="dxa"/>
            <w:vAlign w:val="bottom"/>
          </w:tcPr>
          <w:p w:rsidR="00AC12B4" w:rsidRDefault="00AC12B4">
            <w:pPr>
              <w:rPr>
                <w:sz w:val="21"/>
                <w:szCs w:val="21"/>
              </w:rPr>
            </w:pPr>
          </w:p>
        </w:tc>
        <w:tc>
          <w:tcPr>
            <w:tcW w:w="880" w:type="dxa"/>
            <w:vAlign w:val="bottom"/>
          </w:tcPr>
          <w:p w:rsidR="00AC12B4" w:rsidRDefault="00AC12B4">
            <w:pPr>
              <w:rPr>
                <w:sz w:val="21"/>
                <w:szCs w:val="21"/>
              </w:rPr>
            </w:pPr>
          </w:p>
        </w:tc>
        <w:tc>
          <w:tcPr>
            <w:tcW w:w="68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1300" w:type="dxa"/>
            <w:gridSpan w:val="3"/>
            <w:vAlign w:val="bottom"/>
          </w:tcPr>
          <w:p w:rsidR="00AC12B4" w:rsidRDefault="00C27636">
            <w:pPr>
              <w:ind w:left="40"/>
              <w:rPr>
                <w:sz w:val="20"/>
                <w:szCs w:val="20"/>
              </w:rPr>
            </w:pPr>
            <w:r>
              <w:rPr>
                <w:rFonts w:ascii="Calibri" w:eastAsia="Calibri" w:hAnsi="Calibri" w:cs="Calibri"/>
                <w:sz w:val="20"/>
                <w:szCs w:val="20"/>
              </w:rPr>
              <w:t>derniers mois</w:t>
            </w:r>
          </w:p>
        </w:tc>
        <w:tc>
          <w:tcPr>
            <w:tcW w:w="380" w:type="dxa"/>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60" w:type="dxa"/>
            <w:tcBorders>
              <w:right w:val="single" w:sz="8" w:space="0" w:color="963266"/>
            </w:tcBorders>
            <w:vAlign w:val="bottom"/>
          </w:tcPr>
          <w:p w:rsidR="00AC12B4" w:rsidRDefault="00AC12B4">
            <w:pPr>
              <w:rPr>
                <w:sz w:val="21"/>
                <w:szCs w:val="21"/>
              </w:rPr>
            </w:pPr>
          </w:p>
        </w:tc>
        <w:tc>
          <w:tcPr>
            <w:tcW w:w="1300" w:type="dxa"/>
            <w:gridSpan w:val="4"/>
            <w:vMerge/>
            <w:vAlign w:val="bottom"/>
          </w:tcPr>
          <w:p w:rsidR="00AC12B4" w:rsidRDefault="00AC12B4">
            <w:pPr>
              <w:rPr>
                <w:sz w:val="21"/>
                <w:szCs w:val="21"/>
              </w:rPr>
            </w:pPr>
          </w:p>
        </w:tc>
        <w:tc>
          <w:tcPr>
            <w:tcW w:w="340" w:type="dxa"/>
            <w:vMerge/>
            <w:vAlign w:val="bottom"/>
          </w:tcPr>
          <w:p w:rsidR="00AC12B4" w:rsidRDefault="00AC12B4">
            <w:pPr>
              <w:rPr>
                <w:sz w:val="21"/>
                <w:szCs w:val="21"/>
              </w:rPr>
            </w:pPr>
          </w:p>
        </w:tc>
        <w:tc>
          <w:tcPr>
            <w:tcW w:w="440" w:type="dxa"/>
            <w:gridSpan w:val="2"/>
            <w:vMerge/>
            <w:vAlign w:val="bottom"/>
          </w:tcPr>
          <w:p w:rsidR="00AC12B4" w:rsidRDefault="00AC12B4">
            <w:pPr>
              <w:rPr>
                <w:sz w:val="21"/>
                <w:szCs w:val="21"/>
              </w:rPr>
            </w:pPr>
          </w:p>
        </w:tc>
        <w:tc>
          <w:tcPr>
            <w:tcW w:w="540" w:type="dxa"/>
            <w:gridSpan w:val="2"/>
            <w:vMerge/>
            <w:vAlign w:val="bottom"/>
          </w:tcPr>
          <w:p w:rsidR="00AC12B4" w:rsidRDefault="00AC12B4">
            <w:pPr>
              <w:rPr>
                <w:sz w:val="21"/>
                <w:szCs w:val="21"/>
              </w:rPr>
            </w:pPr>
          </w:p>
        </w:tc>
        <w:tc>
          <w:tcPr>
            <w:tcW w:w="74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99"/>
        </w:trPr>
        <w:tc>
          <w:tcPr>
            <w:tcW w:w="960" w:type="dxa"/>
            <w:tcBorders>
              <w:right w:val="single" w:sz="8" w:space="0" w:color="963266"/>
            </w:tcBorders>
            <w:vAlign w:val="bottom"/>
          </w:tcPr>
          <w:p w:rsidR="00AC12B4" w:rsidRDefault="00AC12B4">
            <w:pPr>
              <w:rPr>
                <w:sz w:val="17"/>
                <w:szCs w:val="17"/>
              </w:rPr>
            </w:pPr>
          </w:p>
        </w:tc>
        <w:tc>
          <w:tcPr>
            <w:tcW w:w="1640" w:type="dxa"/>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640" w:type="dxa"/>
            <w:vAlign w:val="bottom"/>
          </w:tcPr>
          <w:p w:rsidR="00AC12B4" w:rsidRDefault="00AC12B4">
            <w:pPr>
              <w:rPr>
                <w:sz w:val="17"/>
                <w:szCs w:val="17"/>
              </w:rPr>
            </w:pPr>
          </w:p>
        </w:tc>
        <w:tc>
          <w:tcPr>
            <w:tcW w:w="880" w:type="dxa"/>
            <w:vAlign w:val="bottom"/>
          </w:tcPr>
          <w:p w:rsidR="00AC12B4" w:rsidRDefault="00AC12B4">
            <w:pPr>
              <w:rPr>
                <w:sz w:val="17"/>
                <w:szCs w:val="17"/>
              </w:rPr>
            </w:pPr>
          </w:p>
        </w:tc>
        <w:tc>
          <w:tcPr>
            <w:tcW w:w="680" w:type="dxa"/>
            <w:vAlign w:val="bottom"/>
          </w:tcPr>
          <w:p w:rsidR="00AC12B4" w:rsidRDefault="00AC12B4">
            <w:pPr>
              <w:rPr>
                <w:sz w:val="17"/>
                <w:szCs w:val="17"/>
              </w:rPr>
            </w:pPr>
          </w:p>
        </w:tc>
        <w:tc>
          <w:tcPr>
            <w:tcW w:w="42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1680" w:type="dxa"/>
            <w:gridSpan w:val="4"/>
            <w:vMerge w:val="restart"/>
            <w:vAlign w:val="bottom"/>
          </w:tcPr>
          <w:p w:rsidR="00AC12B4" w:rsidRDefault="00C27636">
            <w:pPr>
              <w:ind w:left="40"/>
              <w:rPr>
                <w:sz w:val="20"/>
                <w:szCs w:val="20"/>
              </w:rPr>
            </w:pPr>
            <w:r>
              <w:rPr>
                <w:rFonts w:ascii="Calibri" w:eastAsia="Calibri" w:hAnsi="Calibri" w:cs="Calibri"/>
                <w:sz w:val="20"/>
                <w:szCs w:val="20"/>
              </w:rPr>
              <w:t>2-3 fois par mois</w:t>
            </w:r>
          </w:p>
        </w:tc>
        <w:tc>
          <w:tcPr>
            <w:tcW w:w="140" w:type="dxa"/>
            <w:vAlign w:val="bottom"/>
          </w:tcPr>
          <w:p w:rsidR="00AC12B4" w:rsidRDefault="00AC12B4">
            <w:pPr>
              <w:rPr>
                <w:sz w:val="17"/>
                <w:szCs w:val="17"/>
              </w:rPr>
            </w:pPr>
          </w:p>
        </w:tc>
        <w:tc>
          <w:tcPr>
            <w:tcW w:w="60" w:type="dxa"/>
            <w:tcBorders>
              <w:right w:val="single" w:sz="8" w:space="0" w:color="963266"/>
            </w:tcBorders>
            <w:vAlign w:val="bottom"/>
          </w:tcPr>
          <w:p w:rsidR="00AC12B4" w:rsidRDefault="00AC12B4">
            <w:pPr>
              <w:rPr>
                <w:sz w:val="17"/>
                <w:szCs w:val="17"/>
              </w:rPr>
            </w:pPr>
          </w:p>
        </w:tc>
        <w:tc>
          <w:tcPr>
            <w:tcW w:w="1640" w:type="dxa"/>
            <w:gridSpan w:val="5"/>
            <w:vAlign w:val="bottom"/>
          </w:tcPr>
          <w:p w:rsidR="00AC12B4" w:rsidRDefault="00C27636">
            <w:pPr>
              <w:spacing w:line="199" w:lineRule="exact"/>
              <w:ind w:left="200"/>
              <w:rPr>
                <w:sz w:val="20"/>
                <w:szCs w:val="20"/>
              </w:rPr>
            </w:pPr>
            <w:r>
              <w:rPr>
                <w:rFonts w:ascii="Calibri" w:eastAsia="Calibri" w:hAnsi="Calibri" w:cs="Calibri"/>
                <w:sz w:val="21"/>
                <w:szCs w:val="21"/>
              </w:rPr>
              <w:t>élève au cours</w:t>
            </w:r>
          </w:p>
        </w:tc>
        <w:tc>
          <w:tcPr>
            <w:tcW w:w="440" w:type="dxa"/>
            <w:gridSpan w:val="2"/>
            <w:vAlign w:val="bottom"/>
          </w:tcPr>
          <w:p w:rsidR="00AC12B4" w:rsidRDefault="00C27636">
            <w:pPr>
              <w:spacing w:line="199" w:lineRule="exact"/>
              <w:ind w:left="100"/>
              <w:rPr>
                <w:sz w:val="20"/>
                <w:szCs w:val="20"/>
              </w:rPr>
            </w:pPr>
            <w:r>
              <w:rPr>
                <w:rFonts w:ascii="Calibri" w:eastAsia="Calibri" w:hAnsi="Calibri" w:cs="Calibri"/>
                <w:sz w:val="21"/>
                <w:szCs w:val="21"/>
              </w:rPr>
              <w:t>des</w:t>
            </w:r>
          </w:p>
        </w:tc>
        <w:tc>
          <w:tcPr>
            <w:tcW w:w="540" w:type="dxa"/>
            <w:gridSpan w:val="2"/>
            <w:vAlign w:val="bottom"/>
          </w:tcPr>
          <w:p w:rsidR="00AC12B4" w:rsidRDefault="00C27636">
            <w:pPr>
              <w:spacing w:line="199" w:lineRule="exact"/>
              <w:jc w:val="right"/>
              <w:rPr>
                <w:sz w:val="20"/>
                <w:szCs w:val="20"/>
              </w:rPr>
            </w:pPr>
            <w:r>
              <w:rPr>
                <w:rFonts w:ascii="Calibri" w:eastAsia="Calibri" w:hAnsi="Calibri" w:cs="Calibri"/>
                <w:sz w:val="21"/>
                <w:szCs w:val="21"/>
              </w:rPr>
              <w:t>deux</w:t>
            </w:r>
          </w:p>
        </w:tc>
        <w:tc>
          <w:tcPr>
            <w:tcW w:w="740" w:type="dxa"/>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108"/>
        </w:trPr>
        <w:tc>
          <w:tcPr>
            <w:tcW w:w="960" w:type="dxa"/>
            <w:tcBorders>
              <w:right w:val="single" w:sz="8" w:space="0" w:color="963266"/>
            </w:tcBorders>
            <w:vAlign w:val="bottom"/>
          </w:tcPr>
          <w:p w:rsidR="00AC12B4" w:rsidRDefault="00AC12B4">
            <w:pPr>
              <w:rPr>
                <w:sz w:val="9"/>
                <w:szCs w:val="9"/>
              </w:rPr>
            </w:pPr>
          </w:p>
        </w:tc>
        <w:tc>
          <w:tcPr>
            <w:tcW w:w="164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640" w:type="dxa"/>
            <w:vAlign w:val="bottom"/>
          </w:tcPr>
          <w:p w:rsidR="00AC12B4" w:rsidRDefault="00AC12B4">
            <w:pPr>
              <w:rPr>
                <w:sz w:val="9"/>
                <w:szCs w:val="9"/>
              </w:rPr>
            </w:pPr>
          </w:p>
        </w:tc>
        <w:tc>
          <w:tcPr>
            <w:tcW w:w="880" w:type="dxa"/>
            <w:vAlign w:val="bottom"/>
          </w:tcPr>
          <w:p w:rsidR="00AC12B4" w:rsidRDefault="00AC12B4">
            <w:pPr>
              <w:rPr>
                <w:sz w:val="9"/>
                <w:szCs w:val="9"/>
              </w:rPr>
            </w:pPr>
          </w:p>
        </w:tc>
        <w:tc>
          <w:tcPr>
            <w:tcW w:w="6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100" w:type="dxa"/>
            <w:shd w:val="clear" w:color="auto" w:fill="9BBB59"/>
            <w:vAlign w:val="bottom"/>
          </w:tcPr>
          <w:p w:rsidR="00AC12B4" w:rsidRDefault="00AC12B4">
            <w:pPr>
              <w:rPr>
                <w:sz w:val="9"/>
                <w:szCs w:val="9"/>
              </w:rPr>
            </w:pPr>
          </w:p>
        </w:tc>
        <w:tc>
          <w:tcPr>
            <w:tcW w:w="1680" w:type="dxa"/>
            <w:gridSpan w:val="4"/>
            <w:vMerge/>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tcBorders>
              <w:right w:val="single" w:sz="8" w:space="0" w:color="963266"/>
            </w:tcBorders>
            <w:vAlign w:val="bottom"/>
          </w:tcPr>
          <w:p w:rsidR="00AC12B4" w:rsidRDefault="00AC12B4">
            <w:pPr>
              <w:rPr>
                <w:sz w:val="9"/>
                <w:szCs w:val="9"/>
              </w:rPr>
            </w:pPr>
          </w:p>
        </w:tc>
        <w:tc>
          <w:tcPr>
            <w:tcW w:w="2620" w:type="dxa"/>
            <w:gridSpan w:val="9"/>
            <w:vMerge w:val="restart"/>
            <w:vAlign w:val="bottom"/>
          </w:tcPr>
          <w:p w:rsidR="00AC12B4" w:rsidRDefault="00C27636">
            <w:pPr>
              <w:jc w:val="right"/>
              <w:rPr>
                <w:sz w:val="20"/>
                <w:szCs w:val="20"/>
              </w:rPr>
            </w:pPr>
            <w:r>
              <w:rPr>
                <w:rFonts w:ascii="Calibri" w:eastAsia="Calibri" w:hAnsi="Calibri" w:cs="Calibri"/>
              </w:rPr>
              <w:t>mois précédant l'enquête,</w:t>
            </w:r>
          </w:p>
        </w:tc>
        <w:tc>
          <w:tcPr>
            <w:tcW w:w="7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2"/>
        </w:trPr>
        <w:tc>
          <w:tcPr>
            <w:tcW w:w="960" w:type="dxa"/>
            <w:tcBorders>
              <w:right w:val="single" w:sz="8" w:space="0" w:color="963266"/>
            </w:tcBorders>
            <w:vAlign w:val="bottom"/>
          </w:tcPr>
          <w:p w:rsidR="00AC12B4" w:rsidRDefault="00AC12B4">
            <w:pPr>
              <w:rPr>
                <w:sz w:val="4"/>
                <w:szCs w:val="4"/>
              </w:rPr>
            </w:pPr>
          </w:p>
        </w:tc>
        <w:tc>
          <w:tcPr>
            <w:tcW w:w="164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640" w:type="dxa"/>
            <w:vAlign w:val="bottom"/>
          </w:tcPr>
          <w:p w:rsidR="00AC12B4" w:rsidRDefault="00AC12B4">
            <w:pPr>
              <w:rPr>
                <w:sz w:val="4"/>
                <w:szCs w:val="4"/>
              </w:rPr>
            </w:pPr>
          </w:p>
        </w:tc>
        <w:tc>
          <w:tcPr>
            <w:tcW w:w="880" w:type="dxa"/>
            <w:vAlign w:val="bottom"/>
          </w:tcPr>
          <w:p w:rsidR="00AC12B4" w:rsidRDefault="00AC12B4">
            <w:pPr>
              <w:rPr>
                <w:sz w:val="4"/>
                <w:szCs w:val="4"/>
              </w:rPr>
            </w:pPr>
          </w:p>
        </w:tc>
        <w:tc>
          <w:tcPr>
            <w:tcW w:w="6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680" w:type="dxa"/>
            <w:gridSpan w:val="4"/>
            <w:vMerge/>
            <w:vAlign w:val="bottom"/>
          </w:tcPr>
          <w:p w:rsidR="00AC12B4" w:rsidRDefault="00AC12B4">
            <w:pPr>
              <w:rPr>
                <w:sz w:val="4"/>
                <w:szCs w:val="4"/>
              </w:rPr>
            </w:pPr>
          </w:p>
        </w:tc>
        <w:tc>
          <w:tcPr>
            <w:tcW w:w="140" w:type="dxa"/>
            <w:vAlign w:val="bottom"/>
          </w:tcPr>
          <w:p w:rsidR="00AC12B4" w:rsidRDefault="00AC12B4">
            <w:pPr>
              <w:rPr>
                <w:sz w:val="4"/>
                <w:szCs w:val="4"/>
              </w:rPr>
            </w:pPr>
          </w:p>
        </w:tc>
        <w:tc>
          <w:tcPr>
            <w:tcW w:w="60" w:type="dxa"/>
            <w:tcBorders>
              <w:right w:val="single" w:sz="8" w:space="0" w:color="963266"/>
            </w:tcBorders>
            <w:vAlign w:val="bottom"/>
          </w:tcPr>
          <w:p w:rsidR="00AC12B4" w:rsidRDefault="00AC12B4">
            <w:pPr>
              <w:rPr>
                <w:sz w:val="4"/>
                <w:szCs w:val="4"/>
              </w:rPr>
            </w:pPr>
          </w:p>
        </w:tc>
        <w:tc>
          <w:tcPr>
            <w:tcW w:w="2620" w:type="dxa"/>
            <w:gridSpan w:val="9"/>
            <w:vMerge/>
            <w:vAlign w:val="bottom"/>
          </w:tcPr>
          <w:p w:rsidR="00AC12B4" w:rsidRDefault="00AC12B4">
            <w:pPr>
              <w:rPr>
                <w:sz w:val="4"/>
                <w:szCs w:val="4"/>
              </w:rPr>
            </w:pPr>
          </w:p>
        </w:tc>
        <w:tc>
          <w:tcPr>
            <w:tcW w:w="74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39"/>
        </w:trPr>
        <w:tc>
          <w:tcPr>
            <w:tcW w:w="960" w:type="dxa"/>
            <w:tcBorders>
              <w:right w:val="single" w:sz="8" w:space="0" w:color="963266"/>
            </w:tcBorders>
            <w:vAlign w:val="bottom"/>
          </w:tcPr>
          <w:p w:rsidR="00AC12B4" w:rsidRDefault="00AC12B4">
            <w:pPr>
              <w:rPr>
                <w:sz w:val="12"/>
                <w:szCs w:val="12"/>
              </w:rPr>
            </w:pPr>
          </w:p>
        </w:tc>
        <w:tc>
          <w:tcPr>
            <w:tcW w:w="164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640" w:type="dxa"/>
            <w:vAlign w:val="bottom"/>
          </w:tcPr>
          <w:p w:rsidR="00AC12B4" w:rsidRDefault="00AC12B4">
            <w:pPr>
              <w:rPr>
                <w:sz w:val="12"/>
                <w:szCs w:val="12"/>
              </w:rPr>
            </w:pPr>
          </w:p>
        </w:tc>
        <w:tc>
          <w:tcPr>
            <w:tcW w:w="880" w:type="dxa"/>
            <w:vAlign w:val="bottom"/>
          </w:tcPr>
          <w:p w:rsidR="00AC12B4" w:rsidRDefault="00AC12B4">
            <w:pPr>
              <w:rPr>
                <w:sz w:val="12"/>
                <w:szCs w:val="12"/>
              </w:rPr>
            </w:pPr>
          </w:p>
        </w:tc>
        <w:tc>
          <w:tcPr>
            <w:tcW w:w="68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840" w:type="dxa"/>
            <w:vAlign w:val="bottom"/>
          </w:tcPr>
          <w:p w:rsidR="00AC12B4" w:rsidRDefault="00AC12B4">
            <w:pPr>
              <w:rPr>
                <w:sz w:val="12"/>
                <w:szCs w:val="12"/>
              </w:rPr>
            </w:pPr>
          </w:p>
        </w:tc>
        <w:tc>
          <w:tcPr>
            <w:tcW w:w="380" w:type="dxa"/>
            <w:vAlign w:val="bottom"/>
          </w:tcPr>
          <w:p w:rsidR="00AC12B4" w:rsidRDefault="00AC12B4">
            <w:pPr>
              <w:rPr>
                <w:sz w:val="12"/>
                <w:szCs w:val="12"/>
              </w:rPr>
            </w:pPr>
          </w:p>
        </w:tc>
        <w:tc>
          <w:tcPr>
            <w:tcW w:w="38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60" w:type="dxa"/>
            <w:tcBorders>
              <w:right w:val="single" w:sz="8" w:space="0" w:color="963266"/>
            </w:tcBorders>
            <w:vAlign w:val="bottom"/>
          </w:tcPr>
          <w:p w:rsidR="00AC12B4" w:rsidRDefault="00AC12B4">
            <w:pPr>
              <w:rPr>
                <w:sz w:val="12"/>
                <w:szCs w:val="12"/>
              </w:rPr>
            </w:pPr>
          </w:p>
        </w:tc>
        <w:tc>
          <w:tcPr>
            <w:tcW w:w="2620" w:type="dxa"/>
            <w:gridSpan w:val="9"/>
            <w:vMerge/>
            <w:vAlign w:val="bottom"/>
          </w:tcPr>
          <w:p w:rsidR="00AC12B4" w:rsidRDefault="00AC12B4">
            <w:pPr>
              <w:rPr>
                <w:sz w:val="12"/>
                <w:szCs w:val="12"/>
              </w:rPr>
            </w:pPr>
          </w:p>
        </w:tc>
        <w:tc>
          <w:tcPr>
            <w:tcW w:w="74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269"/>
        </w:trPr>
        <w:tc>
          <w:tcPr>
            <w:tcW w:w="960" w:type="dxa"/>
            <w:tcBorders>
              <w:right w:val="single" w:sz="8" w:space="0" w:color="963266"/>
            </w:tcBorders>
            <w:vAlign w:val="bottom"/>
          </w:tcPr>
          <w:p w:rsidR="00AC12B4" w:rsidRDefault="00AC12B4">
            <w:pPr>
              <w:rPr>
                <w:sz w:val="23"/>
                <w:szCs w:val="23"/>
              </w:rPr>
            </w:pPr>
          </w:p>
        </w:tc>
        <w:tc>
          <w:tcPr>
            <w:tcW w:w="164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640" w:type="dxa"/>
            <w:vAlign w:val="bottom"/>
          </w:tcPr>
          <w:p w:rsidR="00AC12B4" w:rsidRDefault="00AC12B4">
            <w:pPr>
              <w:rPr>
                <w:sz w:val="23"/>
                <w:szCs w:val="23"/>
              </w:rPr>
            </w:pPr>
          </w:p>
        </w:tc>
        <w:tc>
          <w:tcPr>
            <w:tcW w:w="880" w:type="dxa"/>
            <w:vAlign w:val="bottom"/>
          </w:tcPr>
          <w:p w:rsidR="00AC12B4" w:rsidRDefault="00AC12B4">
            <w:pPr>
              <w:rPr>
                <w:sz w:val="23"/>
                <w:szCs w:val="23"/>
              </w:rPr>
            </w:pPr>
          </w:p>
        </w:tc>
        <w:tc>
          <w:tcPr>
            <w:tcW w:w="6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300" w:type="dxa"/>
            <w:gridSpan w:val="3"/>
            <w:vMerge w:val="restart"/>
            <w:vAlign w:val="bottom"/>
          </w:tcPr>
          <w:p w:rsidR="00AC12B4" w:rsidRDefault="00C27636">
            <w:pPr>
              <w:ind w:left="40"/>
              <w:rPr>
                <w:sz w:val="20"/>
                <w:szCs w:val="20"/>
              </w:rPr>
            </w:pPr>
            <w:r>
              <w:rPr>
                <w:rFonts w:ascii="Calibri" w:eastAsia="Calibri" w:hAnsi="Calibri" w:cs="Calibri"/>
                <w:sz w:val="20"/>
                <w:szCs w:val="20"/>
              </w:rPr>
              <w:t>1 fois/semaine</w:t>
            </w:r>
          </w:p>
        </w:tc>
        <w:tc>
          <w:tcPr>
            <w:tcW w:w="3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60" w:type="dxa"/>
            <w:tcBorders>
              <w:right w:val="single" w:sz="8" w:space="0" w:color="963266"/>
            </w:tcBorders>
            <w:vAlign w:val="bottom"/>
          </w:tcPr>
          <w:p w:rsidR="00AC12B4" w:rsidRDefault="00AC12B4">
            <w:pPr>
              <w:rPr>
                <w:sz w:val="23"/>
                <w:szCs w:val="23"/>
              </w:rPr>
            </w:pPr>
          </w:p>
        </w:tc>
        <w:tc>
          <w:tcPr>
            <w:tcW w:w="500" w:type="dxa"/>
            <w:vAlign w:val="bottom"/>
          </w:tcPr>
          <w:p w:rsidR="00AC12B4" w:rsidRDefault="00C27636">
            <w:pPr>
              <w:ind w:left="200"/>
              <w:rPr>
                <w:sz w:val="20"/>
                <w:szCs w:val="20"/>
              </w:rPr>
            </w:pPr>
            <w:r>
              <w:rPr>
                <w:rFonts w:ascii="Calibri" w:eastAsia="Calibri" w:hAnsi="Calibri" w:cs="Calibri"/>
              </w:rPr>
              <w:t>et</w:t>
            </w:r>
          </w:p>
        </w:tc>
        <w:tc>
          <w:tcPr>
            <w:tcW w:w="400" w:type="dxa"/>
            <w:gridSpan w:val="2"/>
            <w:vAlign w:val="bottom"/>
          </w:tcPr>
          <w:p w:rsidR="00AC12B4" w:rsidRDefault="00C27636">
            <w:pPr>
              <w:ind w:left="20"/>
              <w:rPr>
                <w:sz w:val="20"/>
                <w:szCs w:val="20"/>
              </w:rPr>
            </w:pPr>
            <w:r>
              <w:rPr>
                <w:rFonts w:ascii="Calibri" w:eastAsia="Calibri" w:hAnsi="Calibri" w:cs="Calibri"/>
              </w:rPr>
              <w:t>une</w:t>
            </w:r>
          </w:p>
        </w:tc>
        <w:tc>
          <w:tcPr>
            <w:tcW w:w="940" w:type="dxa"/>
            <w:gridSpan w:val="3"/>
            <w:vAlign w:val="bottom"/>
          </w:tcPr>
          <w:p w:rsidR="00AC12B4" w:rsidRDefault="00C27636">
            <w:pPr>
              <w:ind w:left="100"/>
              <w:rPr>
                <w:sz w:val="20"/>
                <w:szCs w:val="20"/>
              </w:rPr>
            </w:pPr>
            <w:r>
              <w:rPr>
                <w:rFonts w:ascii="Calibri" w:eastAsia="Calibri" w:hAnsi="Calibri" w:cs="Calibri"/>
              </w:rPr>
              <w:t>minorité</w:t>
            </w:r>
          </w:p>
        </w:tc>
        <w:tc>
          <w:tcPr>
            <w:tcW w:w="480" w:type="dxa"/>
            <w:gridSpan w:val="2"/>
            <w:vAlign w:val="bottom"/>
          </w:tcPr>
          <w:p w:rsidR="00AC12B4" w:rsidRDefault="00C27636">
            <w:pPr>
              <w:jc w:val="right"/>
              <w:rPr>
                <w:sz w:val="20"/>
                <w:szCs w:val="20"/>
              </w:rPr>
            </w:pPr>
            <w:r>
              <w:rPr>
                <w:rFonts w:ascii="Calibri" w:eastAsia="Calibri" w:hAnsi="Calibri" w:cs="Calibri"/>
              </w:rPr>
              <w:t>(7,0</w:t>
            </w:r>
          </w:p>
        </w:tc>
        <w:tc>
          <w:tcPr>
            <w:tcW w:w="300" w:type="dxa"/>
            <w:vAlign w:val="bottom"/>
          </w:tcPr>
          <w:p w:rsidR="00AC12B4" w:rsidRDefault="00C27636">
            <w:pPr>
              <w:jc w:val="right"/>
              <w:rPr>
                <w:sz w:val="20"/>
                <w:szCs w:val="20"/>
              </w:rPr>
            </w:pPr>
            <w:r>
              <w:rPr>
                <w:rFonts w:ascii="Calibri" w:eastAsia="Calibri" w:hAnsi="Calibri" w:cs="Calibri"/>
              </w:rPr>
              <w:t>%)</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5"/>
        </w:trPr>
        <w:tc>
          <w:tcPr>
            <w:tcW w:w="960" w:type="dxa"/>
            <w:tcBorders>
              <w:right w:val="single" w:sz="8" w:space="0" w:color="963266"/>
            </w:tcBorders>
            <w:vAlign w:val="bottom"/>
          </w:tcPr>
          <w:p w:rsidR="00AC12B4" w:rsidRDefault="00AC12B4">
            <w:pPr>
              <w:rPr>
                <w:sz w:val="3"/>
                <w:szCs w:val="3"/>
              </w:rPr>
            </w:pPr>
          </w:p>
        </w:tc>
        <w:tc>
          <w:tcPr>
            <w:tcW w:w="1640" w:type="dxa"/>
            <w:vAlign w:val="bottom"/>
          </w:tcPr>
          <w:p w:rsidR="00AC12B4" w:rsidRDefault="00AC12B4">
            <w:pPr>
              <w:rPr>
                <w:sz w:val="3"/>
                <w:szCs w:val="3"/>
              </w:rPr>
            </w:pPr>
          </w:p>
        </w:tc>
        <w:tc>
          <w:tcPr>
            <w:tcW w:w="120" w:type="dxa"/>
            <w:vAlign w:val="bottom"/>
          </w:tcPr>
          <w:p w:rsidR="00AC12B4" w:rsidRDefault="00AC12B4">
            <w:pPr>
              <w:rPr>
                <w:sz w:val="3"/>
                <w:szCs w:val="3"/>
              </w:rPr>
            </w:pPr>
          </w:p>
        </w:tc>
        <w:tc>
          <w:tcPr>
            <w:tcW w:w="640" w:type="dxa"/>
            <w:vAlign w:val="bottom"/>
          </w:tcPr>
          <w:p w:rsidR="00AC12B4" w:rsidRDefault="00AC12B4">
            <w:pPr>
              <w:rPr>
                <w:sz w:val="3"/>
                <w:szCs w:val="3"/>
              </w:rPr>
            </w:pPr>
          </w:p>
        </w:tc>
        <w:tc>
          <w:tcPr>
            <w:tcW w:w="880" w:type="dxa"/>
            <w:vAlign w:val="bottom"/>
          </w:tcPr>
          <w:p w:rsidR="00AC12B4" w:rsidRDefault="00AC12B4">
            <w:pPr>
              <w:rPr>
                <w:sz w:val="3"/>
                <w:szCs w:val="3"/>
              </w:rPr>
            </w:pPr>
          </w:p>
        </w:tc>
        <w:tc>
          <w:tcPr>
            <w:tcW w:w="680" w:type="dxa"/>
            <w:vAlign w:val="bottom"/>
          </w:tcPr>
          <w:p w:rsidR="00AC12B4" w:rsidRDefault="00AC12B4">
            <w:pPr>
              <w:rPr>
                <w:sz w:val="3"/>
                <w:szCs w:val="3"/>
              </w:rPr>
            </w:pPr>
          </w:p>
        </w:tc>
        <w:tc>
          <w:tcPr>
            <w:tcW w:w="420" w:type="dxa"/>
            <w:vAlign w:val="bottom"/>
          </w:tcPr>
          <w:p w:rsidR="00AC12B4" w:rsidRDefault="00AC12B4">
            <w:pPr>
              <w:rPr>
                <w:sz w:val="3"/>
                <w:szCs w:val="3"/>
              </w:rPr>
            </w:pPr>
          </w:p>
        </w:tc>
        <w:tc>
          <w:tcPr>
            <w:tcW w:w="100" w:type="dxa"/>
            <w:vAlign w:val="bottom"/>
          </w:tcPr>
          <w:p w:rsidR="00AC12B4" w:rsidRDefault="00AC12B4">
            <w:pPr>
              <w:rPr>
                <w:sz w:val="3"/>
                <w:szCs w:val="3"/>
              </w:rPr>
            </w:pPr>
          </w:p>
        </w:tc>
        <w:tc>
          <w:tcPr>
            <w:tcW w:w="1300" w:type="dxa"/>
            <w:gridSpan w:val="3"/>
            <w:vMerge/>
            <w:vAlign w:val="bottom"/>
          </w:tcPr>
          <w:p w:rsidR="00AC12B4" w:rsidRDefault="00AC12B4">
            <w:pPr>
              <w:rPr>
                <w:sz w:val="3"/>
                <w:szCs w:val="3"/>
              </w:rPr>
            </w:pPr>
          </w:p>
        </w:tc>
        <w:tc>
          <w:tcPr>
            <w:tcW w:w="380" w:type="dxa"/>
            <w:vAlign w:val="bottom"/>
          </w:tcPr>
          <w:p w:rsidR="00AC12B4" w:rsidRDefault="00AC12B4">
            <w:pPr>
              <w:rPr>
                <w:sz w:val="3"/>
                <w:szCs w:val="3"/>
              </w:rPr>
            </w:pPr>
          </w:p>
        </w:tc>
        <w:tc>
          <w:tcPr>
            <w:tcW w:w="140" w:type="dxa"/>
            <w:vAlign w:val="bottom"/>
          </w:tcPr>
          <w:p w:rsidR="00AC12B4" w:rsidRDefault="00AC12B4">
            <w:pPr>
              <w:rPr>
                <w:sz w:val="3"/>
                <w:szCs w:val="3"/>
              </w:rPr>
            </w:pPr>
          </w:p>
        </w:tc>
        <w:tc>
          <w:tcPr>
            <w:tcW w:w="60" w:type="dxa"/>
            <w:tcBorders>
              <w:right w:val="single" w:sz="8" w:space="0" w:color="963266"/>
            </w:tcBorders>
            <w:vAlign w:val="bottom"/>
          </w:tcPr>
          <w:p w:rsidR="00AC12B4" w:rsidRDefault="00AC12B4">
            <w:pPr>
              <w:rPr>
                <w:sz w:val="3"/>
                <w:szCs w:val="3"/>
              </w:rPr>
            </w:pPr>
          </w:p>
        </w:tc>
        <w:tc>
          <w:tcPr>
            <w:tcW w:w="2620" w:type="dxa"/>
            <w:gridSpan w:val="9"/>
            <w:vMerge w:val="restart"/>
            <w:vAlign w:val="bottom"/>
          </w:tcPr>
          <w:p w:rsidR="00AC12B4" w:rsidRDefault="00C27636">
            <w:pPr>
              <w:jc w:val="right"/>
              <w:rPr>
                <w:sz w:val="20"/>
                <w:szCs w:val="20"/>
              </w:rPr>
            </w:pPr>
            <w:r>
              <w:rPr>
                <w:rFonts w:ascii="Calibri" w:eastAsia="Calibri" w:hAnsi="Calibri" w:cs="Calibri"/>
              </w:rPr>
              <w:t xml:space="preserve">des jeunes </w:t>
            </w:r>
            <w:r>
              <w:rPr>
                <w:rFonts w:ascii="Calibri" w:eastAsia="Calibri" w:hAnsi="Calibri" w:cs="Calibri"/>
              </w:rPr>
              <w:t>rapporte qu'ils</w:t>
            </w:r>
          </w:p>
        </w:tc>
        <w:tc>
          <w:tcPr>
            <w:tcW w:w="740" w:type="dxa"/>
            <w:vAlign w:val="bottom"/>
          </w:tcPr>
          <w:p w:rsidR="00AC12B4" w:rsidRDefault="00AC12B4">
            <w:pPr>
              <w:rPr>
                <w:sz w:val="3"/>
                <w:szCs w:val="3"/>
              </w:rPr>
            </w:pPr>
          </w:p>
        </w:tc>
        <w:tc>
          <w:tcPr>
            <w:tcW w:w="0" w:type="dxa"/>
            <w:vAlign w:val="bottom"/>
          </w:tcPr>
          <w:p w:rsidR="00AC12B4" w:rsidRDefault="00AC12B4">
            <w:pPr>
              <w:spacing w:line="20" w:lineRule="exact"/>
              <w:rPr>
                <w:sz w:val="1"/>
                <w:szCs w:val="1"/>
              </w:rPr>
            </w:pPr>
          </w:p>
        </w:tc>
      </w:tr>
      <w:tr w:rsidR="00AC12B4">
        <w:trPr>
          <w:trHeight w:val="110"/>
        </w:trPr>
        <w:tc>
          <w:tcPr>
            <w:tcW w:w="960" w:type="dxa"/>
            <w:tcBorders>
              <w:right w:val="single" w:sz="8" w:space="0" w:color="963266"/>
            </w:tcBorders>
            <w:vAlign w:val="bottom"/>
          </w:tcPr>
          <w:p w:rsidR="00AC12B4" w:rsidRDefault="00AC12B4">
            <w:pPr>
              <w:rPr>
                <w:sz w:val="9"/>
                <w:szCs w:val="9"/>
              </w:rPr>
            </w:pPr>
          </w:p>
        </w:tc>
        <w:tc>
          <w:tcPr>
            <w:tcW w:w="164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640" w:type="dxa"/>
            <w:vAlign w:val="bottom"/>
          </w:tcPr>
          <w:p w:rsidR="00AC12B4" w:rsidRDefault="00AC12B4">
            <w:pPr>
              <w:rPr>
                <w:sz w:val="9"/>
                <w:szCs w:val="9"/>
              </w:rPr>
            </w:pPr>
          </w:p>
        </w:tc>
        <w:tc>
          <w:tcPr>
            <w:tcW w:w="880" w:type="dxa"/>
            <w:vAlign w:val="bottom"/>
          </w:tcPr>
          <w:p w:rsidR="00AC12B4" w:rsidRDefault="00AC12B4">
            <w:pPr>
              <w:rPr>
                <w:sz w:val="9"/>
                <w:szCs w:val="9"/>
              </w:rPr>
            </w:pPr>
          </w:p>
        </w:tc>
        <w:tc>
          <w:tcPr>
            <w:tcW w:w="6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100" w:type="dxa"/>
            <w:shd w:val="clear" w:color="auto" w:fill="8064A2"/>
            <w:vAlign w:val="bottom"/>
          </w:tcPr>
          <w:p w:rsidR="00AC12B4" w:rsidRDefault="00AC12B4">
            <w:pPr>
              <w:rPr>
                <w:sz w:val="9"/>
                <w:szCs w:val="9"/>
              </w:rPr>
            </w:pPr>
          </w:p>
        </w:tc>
        <w:tc>
          <w:tcPr>
            <w:tcW w:w="1300" w:type="dxa"/>
            <w:gridSpan w:val="3"/>
            <w:vMerge/>
            <w:vAlign w:val="bottom"/>
          </w:tcPr>
          <w:p w:rsidR="00AC12B4" w:rsidRDefault="00AC12B4">
            <w:pPr>
              <w:rPr>
                <w:sz w:val="9"/>
                <w:szCs w:val="9"/>
              </w:rPr>
            </w:pPr>
          </w:p>
        </w:tc>
        <w:tc>
          <w:tcPr>
            <w:tcW w:w="38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tcBorders>
              <w:right w:val="single" w:sz="8" w:space="0" w:color="963266"/>
            </w:tcBorders>
            <w:vAlign w:val="bottom"/>
          </w:tcPr>
          <w:p w:rsidR="00AC12B4" w:rsidRDefault="00AC12B4">
            <w:pPr>
              <w:rPr>
                <w:sz w:val="9"/>
                <w:szCs w:val="9"/>
              </w:rPr>
            </w:pPr>
          </w:p>
        </w:tc>
        <w:tc>
          <w:tcPr>
            <w:tcW w:w="2620" w:type="dxa"/>
            <w:gridSpan w:val="9"/>
            <w:vMerge/>
            <w:vAlign w:val="bottom"/>
          </w:tcPr>
          <w:p w:rsidR="00AC12B4" w:rsidRDefault="00AC12B4">
            <w:pPr>
              <w:rPr>
                <w:sz w:val="9"/>
                <w:szCs w:val="9"/>
              </w:rPr>
            </w:pPr>
          </w:p>
        </w:tc>
        <w:tc>
          <w:tcPr>
            <w:tcW w:w="7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960" w:type="dxa"/>
            <w:tcBorders>
              <w:right w:val="single" w:sz="8" w:space="0" w:color="963266"/>
            </w:tcBorders>
            <w:vAlign w:val="bottom"/>
          </w:tcPr>
          <w:p w:rsidR="00AC12B4" w:rsidRDefault="00AC12B4">
            <w:pPr>
              <w:rPr>
                <w:sz w:val="4"/>
                <w:szCs w:val="4"/>
              </w:rPr>
            </w:pPr>
          </w:p>
        </w:tc>
        <w:tc>
          <w:tcPr>
            <w:tcW w:w="164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640" w:type="dxa"/>
            <w:vAlign w:val="bottom"/>
          </w:tcPr>
          <w:p w:rsidR="00AC12B4" w:rsidRDefault="00AC12B4">
            <w:pPr>
              <w:rPr>
                <w:sz w:val="4"/>
                <w:szCs w:val="4"/>
              </w:rPr>
            </w:pPr>
          </w:p>
        </w:tc>
        <w:tc>
          <w:tcPr>
            <w:tcW w:w="880" w:type="dxa"/>
            <w:vAlign w:val="bottom"/>
          </w:tcPr>
          <w:p w:rsidR="00AC12B4" w:rsidRDefault="00AC12B4">
            <w:pPr>
              <w:rPr>
                <w:sz w:val="4"/>
                <w:szCs w:val="4"/>
              </w:rPr>
            </w:pPr>
          </w:p>
        </w:tc>
        <w:tc>
          <w:tcPr>
            <w:tcW w:w="6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300" w:type="dxa"/>
            <w:gridSpan w:val="3"/>
            <w:vMerge/>
            <w:vAlign w:val="bottom"/>
          </w:tcPr>
          <w:p w:rsidR="00AC12B4" w:rsidRDefault="00AC12B4">
            <w:pPr>
              <w:rPr>
                <w:sz w:val="4"/>
                <w:szCs w:val="4"/>
              </w:rPr>
            </w:pPr>
          </w:p>
        </w:tc>
        <w:tc>
          <w:tcPr>
            <w:tcW w:w="380" w:type="dxa"/>
            <w:vAlign w:val="bottom"/>
          </w:tcPr>
          <w:p w:rsidR="00AC12B4" w:rsidRDefault="00AC12B4">
            <w:pPr>
              <w:rPr>
                <w:sz w:val="4"/>
                <w:szCs w:val="4"/>
              </w:rPr>
            </w:pPr>
          </w:p>
        </w:tc>
        <w:tc>
          <w:tcPr>
            <w:tcW w:w="140" w:type="dxa"/>
            <w:vAlign w:val="bottom"/>
          </w:tcPr>
          <w:p w:rsidR="00AC12B4" w:rsidRDefault="00AC12B4">
            <w:pPr>
              <w:rPr>
                <w:sz w:val="4"/>
                <w:szCs w:val="4"/>
              </w:rPr>
            </w:pPr>
          </w:p>
        </w:tc>
        <w:tc>
          <w:tcPr>
            <w:tcW w:w="60" w:type="dxa"/>
            <w:tcBorders>
              <w:right w:val="single" w:sz="8" w:space="0" w:color="963266"/>
            </w:tcBorders>
            <w:vAlign w:val="bottom"/>
          </w:tcPr>
          <w:p w:rsidR="00AC12B4" w:rsidRDefault="00AC12B4">
            <w:pPr>
              <w:rPr>
                <w:sz w:val="4"/>
                <w:szCs w:val="4"/>
              </w:rPr>
            </w:pPr>
          </w:p>
        </w:tc>
        <w:tc>
          <w:tcPr>
            <w:tcW w:w="2620" w:type="dxa"/>
            <w:gridSpan w:val="9"/>
            <w:vMerge/>
            <w:vAlign w:val="bottom"/>
          </w:tcPr>
          <w:p w:rsidR="00AC12B4" w:rsidRDefault="00AC12B4">
            <w:pPr>
              <w:rPr>
                <w:sz w:val="4"/>
                <w:szCs w:val="4"/>
              </w:rPr>
            </w:pPr>
          </w:p>
        </w:tc>
        <w:tc>
          <w:tcPr>
            <w:tcW w:w="74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73"/>
        </w:trPr>
        <w:tc>
          <w:tcPr>
            <w:tcW w:w="960" w:type="dxa"/>
            <w:tcBorders>
              <w:right w:val="single" w:sz="8" w:space="0" w:color="963266"/>
            </w:tcBorders>
            <w:vAlign w:val="bottom"/>
          </w:tcPr>
          <w:p w:rsidR="00AC12B4" w:rsidRDefault="00AC12B4">
            <w:pPr>
              <w:rPr>
                <w:sz w:val="6"/>
                <w:szCs w:val="6"/>
              </w:rPr>
            </w:pPr>
          </w:p>
        </w:tc>
        <w:tc>
          <w:tcPr>
            <w:tcW w:w="164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640" w:type="dxa"/>
            <w:vAlign w:val="bottom"/>
          </w:tcPr>
          <w:p w:rsidR="00AC12B4" w:rsidRDefault="00AC12B4">
            <w:pPr>
              <w:rPr>
                <w:sz w:val="6"/>
                <w:szCs w:val="6"/>
              </w:rPr>
            </w:pPr>
          </w:p>
        </w:tc>
        <w:tc>
          <w:tcPr>
            <w:tcW w:w="880" w:type="dxa"/>
            <w:vAlign w:val="bottom"/>
          </w:tcPr>
          <w:p w:rsidR="00AC12B4" w:rsidRDefault="00AC12B4">
            <w:pPr>
              <w:rPr>
                <w:sz w:val="6"/>
                <w:szCs w:val="6"/>
              </w:rPr>
            </w:pPr>
          </w:p>
        </w:tc>
        <w:tc>
          <w:tcPr>
            <w:tcW w:w="68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84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60" w:type="dxa"/>
            <w:tcBorders>
              <w:right w:val="single" w:sz="8" w:space="0" w:color="963266"/>
            </w:tcBorders>
            <w:vAlign w:val="bottom"/>
          </w:tcPr>
          <w:p w:rsidR="00AC12B4" w:rsidRDefault="00AC12B4">
            <w:pPr>
              <w:rPr>
                <w:sz w:val="6"/>
                <w:szCs w:val="6"/>
              </w:rPr>
            </w:pPr>
          </w:p>
        </w:tc>
        <w:tc>
          <w:tcPr>
            <w:tcW w:w="2620" w:type="dxa"/>
            <w:gridSpan w:val="9"/>
            <w:vMerge/>
            <w:vAlign w:val="bottom"/>
          </w:tcPr>
          <w:p w:rsidR="00AC12B4" w:rsidRDefault="00AC12B4">
            <w:pPr>
              <w:rPr>
                <w:sz w:val="6"/>
                <w:szCs w:val="6"/>
              </w:rPr>
            </w:pPr>
          </w:p>
        </w:tc>
        <w:tc>
          <w:tcPr>
            <w:tcW w:w="74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269"/>
        </w:trPr>
        <w:tc>
          <w:tcPr>
            <w:tcW w:w="960" w:type="dxa"/>
            <w:tcBorders>
              <w:right w:val="single" w:sz="8" w:space="0" w:color="963266"/>
            </w:tcBorders>
            <w:vAlign w:val="bottom"/>
          </w:tcPr>
          <w:p w:rsidR="00AC12B4" w:rsidRDefault="00AC12B4">
            <w:pPr>
              <w:rPr>
                <w:sz w:val="23"/>
                <w:szCs w:val="23"/>
              </w:rPr>
            </w:pPr>
          </w:p>
        </w:tc>
        <w:tc>
          <w:tcPr>
            <w:tcW w:w="164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640" w:type="dxa"/>
            <w:vAlign w:val="bottom"/>
          </w:tcPr>
          <w:p w:rsidR="00AC12B4" w:rsidRDefault="00AC12B4">
            <w:pPr>
              <w:rPr>
                <w:sz w:val="23"/>
                <w:szCs w:val="23"/>
              </w:rPr>
            </w:pPr>
          </w:p>
        </w:tc>
        <w:tc>
          <w:tcPr>
            <w:tcW w:w="880" w:type="dxa"/>
            <w:vAlign w:val="bottom"/>
          </w:tcPr>
          <w:p w:rsidR="00AC12B4" w:rsidRDefault="00AC12B4">
            <w:pPr>
              <w:rPr>
                <w:sz w:val="23"/>
                <w:szCs w:val="23"/>
              </w:rPr>
            </w:pPr>
          </w:p>
        </w:tc>
        <w:tc>
          <w:tcPr>
            <w:tcW w:w="6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84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60" w:type="dxa"/>
            <w:tcBorders>
              <w:right w:val="single" w:sz="8" w:space="0" w:color="963266"/>
            </w:tcBorders>
            <w:vAlign w:val="bottom"/>
          </w:tcPr>
          <w:p w:rsidR="00AC12B4" w:rsidRDefault="00AC12B4">
            <w:pPr>
              <w:rPr>
                <w:sz w:val="23"/>
                <w:szCs w:val="23"/>
              </w:rPr>
            </w:pPr>
          </w:p>
        </w:tc>
        <w:tc>
          <w:tcPr>
            <w:tcW w:w="2620" w:type="dxa"/>
            <w:gridSpan w:val="9"/>
            <w:vAlign w:val="bottom"/>
          </w:tcPr>
          <w:p w:rsidR="00AC12B4" w:rsidRDefault="00C27636">
            <w:pPr>
              <w:jc w:val="right"/>
              <w:rPr>
                <w:sz w:val="20"/>
                <w:szCs w:val="20"/>
              </w:rPr>
            </w:pPr>
            <w:r>
              <w:rPr>
                <w:rFonts w:ascii="Calibri" w:eastAsia="Calibri" w:hAnsi="Calibri" w:cs="Calibri"/>
              </w:rPr>
              <w:t>l'ont été au moins une fois</w:t>
            </w:r>
          </w:p>
        </w:tc>
        <w:tc>
          <w:tcPr>
            <w:tcW w:w="7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00"/>
        </w:trPr>
        <w:tc>
          <w:tcPr>
            <w:tcW w:w="960" w:type="dxa"/>
            <w:tcBorders>
              <w:right w:val="single" w:sz="8" w:space="0" w:color="963266"/>
            </w:tcBorders>
            <w:vAlign w:val="bottom"/>
          </w:tcPr>
          <w:p w:rsidR="00AC12B4" w:rsidRDefault="00AC12B4">
            <w:pPr>
              <w:rPr>
                <w:sz w:val="8"/>
                <w:szCs w:val="8"/>
              </w:rPr>
            </w:pPr>
          </w:p>
        </w:tc>
        <w:tc>
          <w:tcPr>
            <w:tcW w:w="164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640" w:type="dxa"/>
            <w:vAlign w:val="bottom"/>
          </w:tcPr>
          <w:p w:rsidR="00AC12B4" w:rsidRDefault="00AC12B4">
            <w:pPr>
              <w:rPr>
                <w:sz w:val="8"/>
                <w:szCs w:val="8"/>
              </w:rPr>
            </w:pPr>
          </w:p>
        </w:tc>
        <w:tc>
          <w:tcPr>
            <w:tcW w:w="880" w:type="dxa"/>
            <w:vAlign w:val="bottom"/>
          </w:tcPr>
          <w:p w:rsidR="00AC12B4" w:rsidRDefault="00AC12B4">
            <w:pPr>
              <w:rPr>
                <w:sz w:val="8"/>
                <w:szCs w:val="8"/>
              </w:rPr>
            </w:pPr>
          </w:p>
        </w:tc>
        <w:tc>
          <w:tcPr>
            <w:tcW w:w="680" w:type="dxa"/>
            <w:vMerge w:val="restart"/>
            <w:vAlign w:val="bottom"/>
          </w:tcPr>
          <w:p w:rsidR="00AC12B4" w:rsidRDefault="00C27636">
            <w:pPr>
              <w:rPr>
                <w:sz w:val="20"/>
                <w:szCs w:val="20"/>
              </w:rPr>
            </w:pPr>
            <w:r>
              <w:rPr>
                <w:rFonts w:ascii="Calibri" w:eastAsia="Calibri" w:hAnsi="Calibri" w:cs="Calibri"/>
                <w:sz w:val="20"/>
                <w:szCs w:val="20"/>
              </w:rPr>
              <w:t>76,3%</w:t>
            </w:r>
          </w:p>
        </w:tc>
        <w:tc>
          <w:tcPr>
            <w:tcW w:w="4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680" w:type="dxa"/>
            <w:gridSpan w:val="4"/>
            <w:vMerge w:val="restart"/>
            <w:vAlign w:val="bottom"/>
          </w:tcPr>
          <w:p w:rsidR="00AC12B4" w:rsidRDefault="00C27636">
            <w:pPr>
              <w:ind w:left="40"/>
              <w:rPr>
                <w:sz w:val="20"/>
                <w:szCs w:val="20"/>
              </w:rPr>
            </w:pPr>
            <w:r>
              <w:rPr>
                <w:rFonts w:ascii="Calibri" w:eastAsia="Calibri" w:hAnsi="Calibri" w:cs="Calibri"/>
                <w:sz w:val="20"/>
                <w:szCs w:val="20"/>
              </w:rPr>
              <w:t>&gt; 1 fois/semaine</w:t>
            </w:r>
          </w:p>
        </w:tc>
        <w:tc>
          <w:tcPr>
            <w:tcW w:w="140" w:type="dxa"/>
            <w:vAlign w:val="bottom"/>
          </w:tcPr>
          <w:p w:rsidR="00AC12B4" w:rsidRDefault="00AC12B4">
            <w:pPr>
              <w:rPr>
                <w:sz w:val="8"/>
                <w:szCs w:val="8"/>
              </w:rPr>
            </w:pPr>
          </w:p>
        </w:tc>
        <w:tc>
          <w:tcPr>
            <w:tcW w:w="60" w:type="dxa"/>
            <w:vMerge w:val="restart"/>
            <w:tcBorders>
              <w:right w:val="single" w:sz="8" w:space="0" w:color="963266"/>
            </w:tcBorders>
            <w:vAlign w:val="bottom"/>
          </w:tcPr>
          <w:p w:rsidR="00AC12B4" w:rsidRDefault="00AC12B4">
            <w:pPr>
              <w:rPr>
                <w:sz w:val="8"/>
                <w:szCs w:val="8"/>
              </w:rPr>
            </w:pPr>
          </w:p>
        </w:tc>
        <w:tc>
          <w:tcPr>
            <w:tcW w:w="1300" w:type="dxa"/>
            <w:gridSpan w:val="4"/>
            <w:vMerge w:val="restart"/>
            <w:vAlign w:val="bottom"/>
          </w:tcPr>
          <w:p w:rsidR="00AC12B4" w:rsidRDefault="00C27636">
            <w:pPr>
              <w:spacing w:line="267" w:lineRule="exact"/>
              <w:ind w:left="200"/>
              <w:rPr>
                <w:sz w:val="20"/>
                <w:szCs w:val="20"/>
              </w:rPr>
            </w:pPr>
            <w:r>
              <w:rPr>
                <w:rFonts w:ascii="Calibri" w:eastAsia="Calibri" w:hAnsi="Calibri" w:cs="Calibri"/>
                <w:w w:val="98"/>
              </w:rPr>
              <w:t>par semaine</w:t>
            </w:r>
          </w:p>
        </w:tc>
        <w:tc>
          <w:tcPr>
            <w:tcW w:w="3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74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10"/>
        </w:trPr>
        <w:tc>
          <w:tcPr>
            <w:tcW w:w="960" w:type="dxa"/>
            <w:tcBorders>
              <w:right w:val="single" w:sz="8" w:space="0" w:color="963266"/>
            </w:tcBorders>
            <w:vAlign w:val="bottom"/>
          </w:tcPr>
          <w:p w:rsidR="00AC12B4" w:rsidRDefault="00AC12B4">
            <w:pPr>
              <w:rPr>
                <w:sz w:val="9"/>
                <w:szCs w:val="9"/>
              </w:rPr>
            </w:pPr>
          </w:p>
        </w:tc>
        <w:tc>
          <w:tcPr>
            <w:tcW w:w="164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640" w:type="dxa"/>
            <w:vAlign w:val="bottom"/>
          </w:tcPr>
          <w:p w:rsidR="00AC12B4" w:rsidRDefault="00AC12B4">
            <w:pPr>
              <w:rPr>
                <w:sz w:val="9"/>
                <w:szCs w:val="9"/>
              </w:rPr>
            </w:pPr>
          </w:p>
        </w:tc>
        <w:tc>
          <w:tcPr>
            <w:tcW w:w="880" w:type="dxa"/>
            <w:vAlign w:val="bottom"/>
          </w:tcPr>
          <w:p w:rsidR="00AC12B4" w:rsidRDefault="00AC12B4">
            <w:pPr>
              <w:rPr>
                <w:sz w:val="9"/>
                <w:szCs w:val="9"/>
              </w:rPr>
            </w:pPr>
          </w:p>
        </w:tc>
        <w:tc>
          <w:tcPr>
            <w:tcW w:w="680" w:type="dxa"/>
            <w:vMerge/>
            <w:vAlign w:val="bottom"/>
          </w:tcPr>
          <w:p w:rsidR="00AC12B4" w:rsidRDefault="00AC12B4">
            <w:pPr>
              <w:rPr>
                <w:sz w:val="9"/>
                <w:szCs w:val="9"/>
              </w:rPr>
            </w:pPr>
          </w:p>
        </w:tc>
        <w:tc>
          <w:tcPr>
            <w:tcW w:w="420" w:type="dxa"/>
            <w:vAlign w:val="bottom"/>
          </w:tcPr>
          <w:p w:rsidR="00AC12B4" w:rsidRDefault="00AC12B4">
            <w:pPr>
              <w:rPr>
                <w:sz w:val="9"/>
                <w:szCs w:val="9"/>
              </w:rPr>
            </w:pPr>
          </w:p>
        </w:tc>
        <w:tc>
          <w:tcPr>
            <w:tcW w:w="100" w:type="dxa"/>
            <w:shd w:val="clear" w:color="auto" w:fill="4BACC6"/>
            <w:vAlign w:val="bottom"/>
          </w:tcPr>
          <w:p w:rsidR="00AC12B4" w:rsidRDefault="00AC12B4">
            <w:pPr>
              <w:rPr>
                <w:sz w:val="9"/>
                <w:szCs w:val="9"/>
              </w:rPr>
            </w:pPr>
          </w:p>
        </w:tc>
        <w:tc>
          <w:tcPr>
            <w:tcW w:w="1680" w:type="dxa"/>
            <w:gridSpan w:val="4"/>
            <w:vMerge/>
            <w:vAlign w:val="bottom"/>
          </w:tcPr>
          <w:p w:rsidR="00AC12B4" w:rsidRDefault="00AC12B4">
            <w:pPr>
              <w:rPr>
                <w:sz w:val="9"/>
                <w:szCs w:val="9"/>
              </w:rPr>
            </w:pPr>
          </w:p>
        </w:tc>
        <w:tc>
          <w:tcPr>
            <w:tcW w:w="140" w:type="dxa"/>
            <w:vAlign w:val="bottom"/>
          </w:tcPr>
          <w:p w:rsidR="00AC12B4" w:rsidRDefault="00AC12B4">
            <w:pPr>
              <w:rPr>
                <w:sz w:val="9"/>
                <w:szCs w:val="9"/>
              </w:rPr>
            </w:pPr>
          </w:p>
        </w:tc>
        <w:tc>
          <w:tcPr>
            <w:tcW w:w="60" w:type="dxa"/>
            <w:vMerge/>
            <w:tcBorders>
              <w:right w:val="single" w:sz="8" w:space="0" w:color="963266"/>
            </w:tcBorders>
            <w:vAlign w:val="bottom"/>
          </w:tcPr>
          <w:p w:rsidR="00AC12B4" w:rsidRDefault="00AC12B4">
            <w:pPr>
              <w:rPr>
                <w:sz w:val="9"/>
                <w:szCs w:val="9"/>
              </w:rPr>
            </w:pPr>
          </w:p>
        </w:tc>
        <w:tc>
          <w:tcPr>
            <w:tcW w:w="1300" w:type="dxa"/>
            <w:gridSpan w:val="4"/>
            <w:vMerge/>
            <w:vAlign w:val="bottom"/>
          </w:tcPr>
          <w:p w:rsidR="00AC12B4" w:rsidRDefault="00AC12B4">
            <w:pPr>
              <w:rPr>
                <w:sz w:val="9"/>
                <w:szCs w:val="9"/>
              </w:rPr>
            </w:pPr>
          </w:p>
        </w:tc>
        <w:tc>
          <w:tcPr>
            <w:tcW w:w="34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7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6"/>
        </w:trPr>
        <w:tc>
          <w:tcPr>
            <w:tcW w:w="960" w:type="dxa"/>
            <w:tcBorders>
              <w:right w:val="single" w:sz="8" w:space="0" w:color="963266"/>
            </w:tcBorders>
            <w:vAlign w:val="bottom"/>
          </w:tcPr>
          <w:p w:rsidR="00AC12B4" w:rsidRDefault="00AC12B4">
            <w:pPr>
              <w:rPr>
                <w:sz w:val="4"/>
                <w:szCs w:val="4"/>
              </w:rPr>
            </w:pPr>
          </w:p>
        </w:tc>
        <w:tc>
          <w:tcPr>
            <w:tcW w:w="164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640" w:type="dxa"/>
            <w:vAlign w:val="bottom"/>
          </w:tcPr>
          <w:p w:rsidR="00AC12B4" w:rsidRDefault="00AC12B4">
            <w:pPr>
              <w:rPr>
                <w:sz w:val="4"/>
                <w:szCs w:val="4"/>
              </w:rPr>
            </w:pPr>
          </w:p>
        </w:tc>
        <w:tc>
          <w:tcPr>
            <w:tcW w:w="880" w:type="dxa"/>
            <w:vAlign w:val="bottom"/>
          </w:tcPr>
          <w:p w:rsidR="00AC12B4" w:rsidRDefault="00AC12B4">
            <w:pPr>
              <w:rPr>
                <w:sz w:val="4"/>
                <w:szCs w:val="4"/>
              </w:rPr>
            </w:pPr>
          </w:p>
        </w:tc>
        <w:tc>
          <w:tcPr>
            <w:tcW w:w="680" w:type="dxa"/>
            <w:vMerge/>
            <w:vAlign w:val="bottom"/>
          </w:tcPr>
          <w:p w:rsidR="00AC12B4" w:rsidRDefault="00AC12B4">
            <w:pPr>
              <w:rPr>
                <w:sz w:val="4"/>
                <w:szCs w:val="4"/>
              </w:rPr>
            </w:pPr>
          </w:p>
        </w:tc>
        <w:tc>
          <w:tcPr>
            <w:tcW w:w="4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680" w:type="dxa"/>
            <w:gridSpan w:val="4"/>
            <w:vMerge/>
            <w:vAlign w:val="bottom"/>
          </w:tcPr>
          <w:p w:rsidR="00AC12B4" w:rsidRDefault="00AC12B4">
            <w:pPr>
              <w:rPr>
                <w:sz w:val="4"/>
                <w:szCs w:val="4"/>
              </w:rPr>
            </w:pPr>
          </w:p>
        </w:tc>
        <w:tc>
          <w:tcPr>
            <w:tcW w:w="140" w:type="dxa"/>
            <w:vAlign w:val="bottom"/>
          </w:tcPr>
          <w:p w:rsidR="00AC12B4" w:rsidRDefault="00AC12B4">
            <w:pPr>
              <w:rPr>
                <w:sz w:val="4"/>
                <w:szCs w:val="4"/>
              </w:rPr>
            </w:pPr>
          </w:p>
        </w:tc>
        <w:tc>
          <w:tcPr>
            <w:tcW w:w="60" w:type="dxa"/>
            <w:vMerge/>
            <w:tcBorders>
              <w:right w:val="single" w:sz="8" w:space="0" w:color="963266"/>
            </w:tcBorders>
            <w:vAlign w:val="bottom"/>
          </w:tcPr>
          <w:p w:rsidR="00AC12B4" w:rsidRDefault="00AC12B4">
            <w:pPr>
              <w:rPr>
                <w:sz w:val="4"/>
                <w:szCs w:val="4"/>
              </w:rPr>
            </w:pPr>
          </w:p>
        </w:tc>
        <w:tc>
          <w:tcPr>
            <w:tcW w:w="1300" w:type="dxa"/>
            <w:gridSpan w:val="4"/>
            <w:vMerge/>
            <w:vAlign w:val="bottom"/>
          </w:tcPr>
          <w:p w:rsidR="00AC12B4" w:rsidRDefault="00AC12B4">
            <w:pPr>
              <w:rPr>
                <w:sz w:val="4"/>
                <w:szCs w:val="4"/>
              </w:rPr>
            </w:pPr>
          </w:p>
        </w:tc>
        <w:tc>
          <w:tcPr>
            <w:tcW w:w="34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240" w:type="dxa"/>
            <w:vAlign w:val="bottom"/>
          </w:tcPr>
          <w:p w:rsidR="00AC12B4" w:rsidRDefault="00AC12B4">
            <w:pPr>
              <w:rPr>
                <w:sz w:val="4"/>
                <w:szCs w:val="4"/>
              </w:rPr>
            </w:pPr>
          </w:p>
        </w:tc>
        <w:tc>
          <w:tcPr>
            <w:tcW w:w="24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74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37"/>
        </w:trPr>
        <w:tc>
          <w:tcPr>
            <w:tcW w:w="960" w:type="dxa"/>
            <w:tcBorders>
              <w:right w:val="single" w:sz="8" w:space="0" w:color="963266"/>
            </w:tcBorders>
            <w:vAlign w:val="bottom"/>
          </w:tcPr>
          <w:p w:rsidR="00AC12B4" w:rsidRDefault="00AC12B4">
            <w:pPr>
              <w:rPr>
                <w:sz w:val="20"/>
                <w:szCs w:val="20"/>
              </w:rPr>
            </w:pPr>
          </w:p>
        </w:tc>
        <w:tc>
          <w:tcPr>
            <w:tcW w:w="1640" w:type="dxa"/>
            <w:vAlign w:val="bottom"/>
          </w:tcPr>
          <w:p w:rsidR="00AC12B4" w:rsidRDefault="00AC12B4">
            <w:pPr>
              <w:rPr>
                <w:sz w:val="20"/>
                <w:szCs w:val="20"/>
              </w:rPr>
            </w:pPr>
          </w:p>
        </w:tc>
        <w:tc>
          <w:tcPr>
            <w:tcW w:w="120" w:type="dxa"/>
            <w:vAlign w:val="bottom"/>
          </w:tcPr>
          <w:p w:rsidR="00AC12B4" w:rsidRDefault="00AC12B4">
            <w:pPr>
              <w:rPr>
                <w:sz w:val="20"/>
                <w:szCs w:val="20"/>
              </w:rPr>
            </w:pPr>
          </w:p>
        </w:tc>
        <w:tc>
          <w:tcPr>
            <w:tcW w:w="640" w:type="dxa"/>
            <w:vAlign w:val="bottom"/>
          </w:tcPr>
          <w:p w:rsidR="00AC12B4" w:rsidRDefault="00AC12B4">
            <w:pPr>
              <w:rPr>
                <w:sz w:val="20"/>
                <w:szCs w:val="20"/>
              </w:rPr>
            </w:pPr>
          </w:p>
        </w:tc>
        <w:tc>
          <w:tcPr>
            <w:tcW w:w="880" w:type="dxa"/>
            <w:vAlign w:val="bottom"/>
          </w:tcPr>
          <w:p w:rsidR="00AC12B4" w:rsidRDefault="00AC12B4">
            <w:pPr>
              <w:rPr>
                <w:sz w:val="20"/>
                <w:szCs w:val="20"/>
              </w:rPr>
            </w:pPr>
          </w:p>
        </w:tc>
        <w:tc>
          <w:tcPr>
            <w:tcW w:w="680" w:type="dxa"/>
            <w:vMerge/>
            <w:vAlign w:val="bottom"/>
          </w:tcPr>
          <w:p w:rsidR="00AC12B4" w:rsidRDefault="00AC12B4">
            <w:pPr>
              <w:rPr>
                <w:sz w:val="20"/>
                <w:szCs w:val="20"/>
              </w:rPr>
            </w:pPr>
          </w:p>
        </w:tc>
        <w:tc>
          <w:tcPr>
            <w:tcW w:w="420" w:type="dxa"/>
            <w:vAlign w:val="bottom"/>
          </w:tcPr>
          <w:p w:rsidR="00AC12B4" w:rsidRDefault="00AC12B4">
            <w:pPr>
              <w:rPr>
                <w:sz w:val="20"/>
                <w:szCs w:val="20"/>
              </w:rPr>
            </w:pPr>
          </w:p>
        </w:tc>
        <w:tc>
          <w:tcPr>
            <w:tcW w:w="100" w:type="dxa"/>
            <w:vAlign w:val="bottom"/>
          </w:tcPr>
          <w:p w:rsidR="00AC12B4" w:rsidRDefault="00AC12B4">
            <w:pPr>
              <w:rPr>
                <w:sz w:val="20"/>
                <w:szCs w:val="20"/>
              </w:rPr>
            </w:pPr>
          </w:p>
        </w:tc>
        <w:tc>
          <w:tcPr>
            <w:tcW w:w="80" w:type="dxa"/>
            <w:vAlign w:val="bottom"/>
          </w:tcPr>
          <w:p w:rsidR="00AC12B4" w:rsidRDefault="00AC12B4">
            <w:pPr>
              <w:rPr>
                <w:sz w:val="20"/>
                <w:szCs w:val="20"/>
              </w:rPr>
            </w:pPr>
          </w:p>
        </w:tc>
        <w:tc>
          <w:tcPr>
            <w:tcW w:w="840" w:type="dxa"/>
            <w:vAlign w:val="bottom"/>
          </w:tcPr>
          <w:p w:rsidR="00AC12B4" w:rsidRDefault="00AC12B4">
            <w:pPr>
              <w:rPr>
                <w:sz w:val="20"/>
                <w:szCs w:val="20"/>
              </w:rPr>
            </w:pPr>
          </w:p>
        </w:tc>
        <w:tc>
          <w:tcPr>
            <w:tcW w:w="380" w:type="dxa"/>
            <w:vAlign w:val="bottom"/>
          </w:tcPr>
          <w:p w:rsidR="00AC12B4" w:rsidRDefault="00AC12B4">
            <w:pPr>
              <w:rPr>
                <w:sz w:val="20"/>
                <w:szCs w:val="20"/>
              </w:rPr>
            </w:pPr>
          </w:p>
        </w:tc>
        <w:tc>
          <w:tcPr>
            <w:tcW w:w="380" w:type="dxa"/>
            <w:vAlign w:val="bottom"/>
          </w:tcPr>
          <w:p w:rsidR="00AC12B4" w:rsidRDefault="00AC12B4">
            <w:pPr>
              <w:rPr>
                <w:sz w:val="20"/>
                <w:szCs w:val="20"/>
              </w:rPr>
            </w:pPr>
          </w:p>
        </w:tc>
        <w:tc>
          <w:tcPr>
            <w:tcW w:w="140" w:type="dxa"/>
            <w:vAlign w:val="bottom"/>
          </w:tcPr>
          <w:p w:rsidR="00AC12B4" w:rsidRDefault="00AC12B4">
            <w:pPr>
              <w:rPr>
                <w:sz w:val="20"/>
                <w:szCs w:val="20"/>
              </w:rPr>
            </w:pPr>
          </w:p>
        </w:tc>
        <w:tc>
          <w:tcPr>
            <w:tcW w:w="60" w:type="dxa"/>
            <w:tcBorders>
              <w:right w:val="single" w:sz="8" w:space="0" w:color="963266"/>
            </w:tcBorders>
            <w:vAlign w:val="bottom"/>
          </w:tcPr>
          <w:p w:rsidR="00AC12B4" w:rsidRDefault="00AC12B4">
            <w:pPr>
              <w:rPr>
                <w:sz w:val="20"/>
                <w:szCs w:val="20"/>
              </w:rPr>
            </w:pPr>
          </w:p>
        </w:tc>
        <w:tc>
          <w:tcPr>
            <w:tcW w:w="500" w:type="dxa"/>
            <w:vAlign w:val="bottom"/>
          </w:tcPr>
          <w:p w:rsidR="00AC12B4" w:rsidRDefault="00AC12B4">
            <w:pPr>
              <w:rPr>
                <w:sz w:val="20"/>
                <w:szCs w:val="20"/>
              </w:rPr>
            </w:pPr>
          </w:p>
        </w:tc>
        <w:tc>
          <w:tcPr>
            <w:tcW w:w="1340" w:type="dxa"/>
            <w:gridSpan w:val="5"/>
            <w:vMerge w:val="restart"/>
            <w:vAlign w:val="bottom"/>
          </w:tcPr>
          <w:p w:rsidR="00AC12B4" w:rsidRDefault="00C27636">
            <w:pPr>
              <w:ind w:left="60"/>
              <w:rPr>
                <w:sz w:val="20"/>
                <w:szCs w:val="20"/>
              </w:rPr>
            </w:pPr>
            <w:r>
              <w:rPr>
                <w:rFonts w:ascii="Wingdings" w:eastAsia="Wingdings" w:hAnsi="Wingdings" w:cs="Wingdings"/>
                <w:color w:val="963266"/>
              </w:rPr>
              <w:t></w:t>
            </w:r>
            <w:r>
              <w:rPr>
                <w:rFonts w:ascii="Wingdings" w:eastAsia="Wingdings" w:hAnsi="Wingdings" w:cs="Wingdings"/>
                <w:color w:val="963266"/>
              </w:rPr>
              <w:t></w:t>
            </w:r>
            <w:r>
              <w:rPr>
                <w:rFonts w:ascii="Cambria" w:eastAsia="Cambria" w:hAnsi="Cambria" w:cs="Cambria"/>
                <w:i/>
                <w:iCs/>
                <w:color w:val="C95C96"/>
              </w:rPr>
              <w:t>Iniquité</w:t>
            </w:r>
          </w:p>
        </w:tc>
        <w:tc>
          <w:tcPr>
            <w:tcW w:w="240" w:type="dxa"/>
            <w:vAlign w:val="bottom"/>
          </w:tcPr>
          <w:p w:rsidR="00AC12B4" w:rsidRDefault="00AC12B4">
            <w:pPr>
              <w:rPr>
                <w:sz w:val="20"/>
                <w:szCs w:val="20"/>
              </w:rPr>
            </w:pPr>
          </w:p>
        </w:tc>
        <w:tc>
          <w:tcPr>
            <w:tcW w:w="240" w:type="dxa"/>
            <w:vAlign w:val="bottom"/>
          </w:tcPr>
          <w:p w:rsidR="00AC12B4" w:rsidRDefault="00AC12B4">
            <w:pPr>
              <w:rPr>
                <w:sz w:val="20"/>
                <w:szCs w:val="20"/>
              </w:rPr>
            </w:pPr>
          </w:p>
        </w:tc>
        <w:tc>
          <w:tcPr>
            <w:tcW w:w="300" w:type="dxa"/>
            <w:vAlign w:val="bottom"/>
          </w:tcPr>
          <w:p w:rsidR="00AC12B4" w:rsidRDefault="00AC12B4">
            <w:pPr>
              <w:rPr>
                <w:sz w:val="20"/>
                <w:szCs w:val="20"/>
              </w:rPr>
            </w:pPr>
          </w:p>
        </w:tc>
        <w:tc>
          <w:tcPr>
            <w:tcW w:w="74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148"/>
        </w:trPr>
        <w:tc>
          <w:tcPr>
            <w:tcW w:w="960" w:type="dxa"/>
            <w:tcBorders>
              <w:right w:val="single" w:sz="8" w:space="0" w:color="963266"/>
            </w:tcBorders>
            <w:vAlign w:val="bottom"/>
          </w:tcPr>
          <w:p w:rsidR="00AC12B4" w:rsidRDefault="00AC12B4">
            <w:pPr>
              <w:rPr>
                <w:sz w:val="12"/>
                <w:szCs w:val="12"/>
              </w:rPr>
            </w:pPr>
          </w:p>
        </w:tc>
        <w:tc>
          <w:tcPr>
            <w:tcW w:w="164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640" w:type="dxa"/>
            <w:vAlign w:val="bottom"/>
          </w:tcPr>
          <w:p w:rsidR="00AC12B4" w:rsidRDefault="00AC12B4">
            <w:pPr>
              <w:rPr>
                <w:sz w:val="12"/>
                <w:szCs w:val="12"/>
              </w:rPr>
            </w:pPr>
          </w:p>
        </w:tc>
        <w:tc>
          <w:tcPr>
            <w:tcW w:w="880" w:type="dxa"/>
            <w:vAlign w:val="bottom"/>
          </w:tcPr>
          <w:p w:rsidR="00AC12B4" w:rsidRDefault="00AC12B4">
            <w:pPr>
              <w:rPr>
                <w:sz w:val="12"/>
                <w:szCs w:val="12"/>
              </w:rPr>
            </w:pPr>
          </w:p>
        </w:tc>
        <w:tc>
          <w:tcPr>
            <w:tcW w:w="68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840" w:type="dxa"/>
            <w:vAlign w:val="bottom"/>
          </w:tcPr>
          <w:p w:rsidR="00AC12B4" w:rsidRDefault="00AC12B4">
            <w:pPr>
              <w:rPr>
                <w:sz w:val="12"/>
                <w:szCs w:val="12"/>
              </w:rPr>
            </w:pPr>
          </w:p>
        </w:tc>
        <w:tc>
          <w:tcPr>
            <w:tcW w:w="380" w:type="dxa"/>
            <w:vAlign w:val="bottom"/>
          </w:tcPr>
          <w:p w:rsidR="00AC12B4" w:rsidRDefault="00AC12B4">
            <w:pPr>
              <w:rPr>
                <w:sz w:val="12"/>
                <w:szCs w:val="12"/>
              </w:rPr>
            </w:pPr>
          </w:p>
        </w:tc>
        <w:tc>
          <w:tcPr>
            <w:tcW w:w="38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60" w:type="dxa"/>
            <w:tcBorders>
              <w:right w:val="single" w:sz="8" w:space="0" w:color="963266"/>
            </w:tcBorders>
            <w:vAlign w:val="bottom"/>
          </w:tcPr>
          <w:p w:rsidR="00AC12B4" w:rsidRDefault="00AC12B4">
            <w:pPr>
              <w:rPr>
                <w:sz w:val="12"/>
                <w:szCs w:val="12"/>
              </w:rPr>
            </w:pPr>
          </w:p>
        </w:tc>
        <w:tc>
          <w:tcPr>
            <w:tcW w:w="500" w:type="dxa"/>
            <w:vAlign w:val="bottom"/>
          </w:tcPr>
          <w:p w:rsidR="00AC12B4" w:rsidRDefault="00AC12B4">
            <w:pPr>
              <w:rPr>
                <w:sz w:val="12"/>
                <w:szCs w:val="12"/>
              </w:rPr>
            </w:pPr>
          </w:p>
        </w:tc>
        <w:tc>
          <w:tcPr>
            <w:tcW w:w="1340" w:type="dxa"/>
            <w:gridSpan w:val="5"/>
            <w:vMerge/>
            <w:vAlign w:val="bottom"/>
          </w:tcPr>
          <w:p w:rsidR="00AC12B4" w:rsidRDefault="00AC12B4">
            <w:pPr>
              <w:rPr>
                <w:sz w:val="12"/>
                <w:szCs w:val="12"/>
              </w:rPr>
            </w:pPr>
          </w:p>
        </w:tc>
        <w:tc>
          <w:tcPr>
            <w:tcW w:w="240" w:type="dxa"/>
            <w:vAlign w:val="bottom"/>
          </w:tcPr>
          <w:p w:rsidR="00AC12B4" w:rsidRDefault="00AC12B4">
            <w:pPr>
              <w:rPr>
                <w:sz w:val="12"/>
                <w:szCs w:val="12"/>
              </w:rPr>
            </w:pPr>
          </w:p>
        </w:tc>
        <w:tc>
          <w:tcPr>
            <w:tcW w:w="24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74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402"/>
        </w:trPr>
        <w:tc>
          <w:tcPr>
            <w:tcW w:w="960" w:type="dxa"/>
            <w:tcBorders>
              <w:right w:val="single" w:sz="8" w:space="0" w:color="963266"/>
            </w:tcBorders>
            <w:vAlign w:val="bottom"/>
          </w:tcPr>
          <w:p w:rsidR="00AC12B4" w:rsidRDefault="00AC12B4">
            <w:pPr>
              <w:rPr>
                <w:sz w:val="24"/>
                <w:szCs w:val="24"/>
              </w:rPr>
            </w:pPr>
          </w:p>
        </w:tc>
        <w:tc>
          <w:tcPr>
            <w:tcW w:w="6360" w:type="dxa"/>
            <w:gridSpan w:val="13"/>
            <w:tcBorders>
              <w:bottom w:val="single" w:sz="8" w:space="0" w:color="963266"/>
              <w:right w:val="single" w:sz="8" w:space="0" w:color="963266"/>
            </w:tcBorders>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74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96"/>
        </w:trPr>
        <w:tc>
          <w:tcPr>
            <w:tcW w:w="960" w:type="dxa"/>
            <w:vAlign w:val="bottom"/>
          </w:tcPr>
          <w:p w:rsidR="00AC12B4" w:rsidRDefault="00AC12B4">
            <w:pPr>
              <w:rPr>
                <w:sz w:val="24"/>
                <w:szCs w:val="24"/>
              </w:rPr>
            </w:pPr>
          </w:p>
        </w:tc>
        <w:tc>
          <w:tcPr>
            <w:tcW w:w="6860" w:type="dxa"/>
            <w:gridSpan w:val="14"/>
            <w:vAlign w:val="bottom"/>
          </w:tcPr>
          <w:p w:rsidR="00AC12B4" w:rsidRDefault="00C27636">
            <w:pPr>
              <w:rPr>
                <w:sz w:val="20"/>
                <w:szCs w:val="20"/>
              </w:rPr>
            </w:pPr>
            <w:r>
              <w:rPr>
                <w:rFonts w:ascii="Calibri" w:eastAsia="Calibri" w:hAnsi="Calibri" w:cs="Calibri"/>
                <w:b/>
                <w:bCs/>
                <w:color w:val="4F81BD"/>
                <w:sz w:val="18"/>
                <w:szCs w:val="18"/>
              </w:rPr>
              <w:t>Figure 1. Avoir provoqué ou « cherché » un autre élève durant les 2 mois précédant</w:t>
            </w:r>
          </w:p>
        </w:tc>
        <w:tc>
          <w:tcPr>
            <w:tcW w:w="3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74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18"/>
        </w:trPr>
        <w:tc>
          <w:tcPr>
            <w:tcW w:w="960" w:type="dxa"/>
            <w:vAlign w:val="bottom"/>
          </w:tcPr>
          <w:p w:rsidR="00AC12B4" w:rsidRDefault="00AC12B4">
            <w:pPr>
              <w:rPr>
                <w:sz w:val="18"/>
                <w:szCs w:val="18"/>
              </w:rPr>
            </w:pPr>
          </w:p>
        </w:tc>
        <w:tc>
          <w:tcPr>
            <w:tcW w:w="3280" w:type="dxa"/>
            <w:gridSpan w:val="4"/>
            <w:vAlign w:val="bottom"/>
          </w:tcPr>
          <w:p w:rsidR="00AC12B4" w:rsidRDefault="00C27636">
            <w:pPr>
              <w:spacing w:line="218" w:lineRule="exact"/>
              <w:rPr>
                <w:sz w:val="20"/>
                <w:szCs w:val="20"/>
              </w:rPr>
            </w:pPr>
            <w:r>
              <w:rPr>
                <w:rFonts w:ascii="Calibri" w:eastAsia="Calibri" w:hAnsi="Calibri" w:cs="Calibri"/>
                <w:b/>
                <w:bCs/>
                <w:color w:val="4F81BD"/>
                <w:sz w:val="18"/>
                <w:szCs w:val="18"/>
              </w:rPr>
              <w:t>l’enquête (n=22.017,) HBSC 2014.</w:t>
            </w:r>
          </w:p>
        </w:tc>
        <w:tc>
          <w:tcPr>
            <w:tcW w:w="680" w:type="dxa"/>
            <w:vAlign w:val="bottom"/>
          </w:tcPr>
          <w:p w:rsidR="00AC12B4" w:rsidRDefault="00AC12B4">
            <w:pPr>
              <w:rPr>
                <w:sz w:val="18"/>
                <w:szCs w:val="18"/>
              </w:rPr>
            </w:pPr>
          </w:p>
        </w:tc>
        <w:tc>
          <w:tcPr>
            <w:tcW w:w="420" w:type="dxa"/>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920" w:type="dxa"/>
            <w:gridSpan w:val="2"/>
            <w:vMerge w:val="restart"/>
            <w:vAlign w:val="bottom"/>
          </w:tcPr>
          <w:p w:rsidR="00AC12B4" w:rsidRDefault="00C27636">
            <w:pPr>
              <w:ind w:left="140"/>
              <w:rPr>
                <w:sz w:val="20"/>
                <w:szCs w:val="20"/>
              </w:rPr>
            </w:pPr>
            <w:r>
              <w:rPr>
                <w:rFonts w:ascii="Calibri" w:eastAsia="Calibri" w:hAnsi="Calibri" w:cs="Calibri"/>
              </w:rPr>
              <w:t>57</w:t>
            </w:r>
          </w:p>
        </w:tc>
        <w:tc>
          <w:tcPr>
            <w:tcW w:w="380" w:type="dxa"/>
            <w:vAlign w:val="bottom"/>
          </w:tcPr>
          <w:p w:rsidR="00AC12B4" w:rsidRDefault="00AC12B4">
            <w:pPr>
              <w:rPr>
                <w:sz w:val="18"/>
                <w:szCs w:val="18"/>
              </w:rPr>
            </w:pPr>
          </w:p>
        </w:tc>
        <w:tc>
          <w:tcPr>
            <w:tcW w:w="380" w:type="dxa"/>
            <w:vAlign w:val="bottom"/>
          </w:tcPr>
          <w:p w:rsidR="00AC12B4" w:rsidRDefault="00AC12B4">
            <w:pPr>
              <w:rPr>
                <w:sz w:val="18"/>
                <w:szCs w:val="18"/>
              </w:rPr>
            </w:pPr>
          </w:p>
        </w:tc>
        <w:tc>
          <w:tcPr>
            <w:tcW w:w="140" w:type="dxa"/>
            <w:vAlign w:val="bottom"/>
          </w:tcPr>
          <w:p w:rsidR="00AC12B4" w:rsidRDefault="00AC12B4">
            <w:pPr>
              <w:rPr>
                <w:sz w:val="18"/>
                <w:szCs w:val="18"/>
              </w:rPr>
            </w:pPr>
          </w:p>
        </w:tc>
        <w:tc>
          <w:tcPr>
            <w:tcW w:w="60" w:type="dxa"/>
            <w:vAlign w:val="bottom"/>
          </w:tcPr>
          <w:p w:rsidR="00AC12B4" w:rsidRDefault="00AC12B4">
            <w:pPr>
              <w:rPr>
                <w:sz w:val="18"/>
                <w:szCs w:val="18"/>
              </w:rPr>
            </w:pPr>
          </w:p>
        </w:tc>
        <w:tc>
          <w:tcPr>
            <w:tcW w:w="500" w:type="dxa"/>
            <w:vAlign w:val="bottom"/>
          </w:tcPr>
          <w:p w:rsidR="00AC12B4" w:rsidRDefault="00AC12B4">
            <w:pPr>
              <w:rPr>
                <w:sz w:val="18"/>
                <w:szCs w:val="18"/>
              </w:rPr>
            </w:pPr>
          </w:p>
        </w:tc>
        <w:tc>
          <w:tcPr>
            <w:tcW w:w="300" w:type="dxa"/>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400" w:type="dxa"/>
            <w:vAlign w:val="bottom"/>
          </w:tcPr>
          <w:p w:rsidR="00AC12B4" w:rsidRDefault="00AC12B4">
            <w:pPr>
              <w:rPr>
                <w:sz w:val="18"/>
                <w:szCs w:val="18"/>
              </w:rPr>
            </w:pPr>
          </w:p>
        </w:tc>
        <w:tc>
          <w:tcPr>
            <w:tcW w:w="340" w:type="dxa"/>
            <w:vAlign w:val="bottom"/>
          </w:tcPr>
          <w:p w:rsidR="00AC12B4" w:rsidRDefault="00AC12B4">
            <w:pPr>
              <w:rPr>
                <w:sz w:val="18"/>
                <w:szCs w:val="18"/>
              </w:rPr>
            </w:pPr>
          </w:p>
        </w:tc>
        <w:tc>
          <w:tcPr>
            <w:tcW w:w="200" w:type="dxa"/>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300" w:type="dxa"/>
            <w:vAlign w:val="bottom"/>
          </w:tcPr>
          <w:p w:rsidR="00AC12B4" w:rsidRDefault="00AC12B4">
            <w:pPr>
              <w:rPr>
                <w:sz w:val="18"/>
                <w:szCs w:val="18"/>
              </w:rPr>
            </w:pPr>
          </w:p>
        </w:tc>
        <w:tc>
          <w:tcPr>
            <w:tcW w:w="740" w:type="dxa"/>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20"/>
        </w:trPr>
        <w:tc>
          <w:tcPr>
            <w:tcW w:w="960" w:type="dxa"/>
            <w:vAlign w:val="bottom"/>
          </w:tcPr>
          <w:p w:rsidR="00AC12B4" w:rsidRDefault="00AC12B4">
            <w:pPr>
              <w:rPr>
                <w:sz w:val="10"/>
                <w:szCs w:val="10"/>
              </w:rPr>
            </w:pPr>
          </w:p>
        </w:tc>
        <w:tc>
          <w:tcPr>
            <w:tcW w:w="164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640" w:type="dxa"/>
            <w:vAlign w:val="bottom"/>
          </w:tcPr>
          <w:p w:rsidR="00AC12B4" w:rsidRDefault="00AC12B4">
            <w:pPr>
              <w:rPr>
                <w:sz w:val="10"/>
                <w:szCs w:val="10"/>
              </w:rPr>
            </w:pPr>
          </w:p>
        </w:tc>
        <w:tc>
          <w:tcPr>
            <w:tcW w:w="880" w:type="dxa"/>
            <w:vAlign w:val="bottom"/>
          </w:tcPr>
          <w:p w:rsidR="00AC12B4" w:rsidRDefault="00AC12B4">
            <w:pPr>
              <w:rPr>
                <w:sz w:val="10"/>
                <w:szCs w:val="10"/>
              </w:rPr>
            </w:pPr>
          </w:p>
        </w:tc>
        <w:tc>
          <w:tcPr>
            <w:tcW w:w="68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920" w:type="dxa"/>
            <w:gridSpan w:val="2"/>
            <w:vMerge/>
            <w:vAlign w:val="bottom"/>
          </w:tcPr>
          <w:p w:rsidR="00AC12B4" w:rsidRDefault="00AC12B4">
            <w:pPr>
              <w:rPr>
                <w:sz w:val="10"/>
                <w:szCs w:val="10"/>
              </w:rPr>
            </w:pPr>
          </w:p>
        </w:tc>
        <w:tc>
          <w:tcPr>
            <w:tcW w:w="380" w:type="dxa"/>
            <w:vAlign w:val="bottom"/>
          </w:tcPr>
          <w:p w:rsidR="00AC12B4" w:rsidRDefault="00AC12B4">
            <w:pPr>
              <w:rPr>
                <w:sz w:val="10"/>
                <w:szCs w:val="10"/>
              </w:rPr>
            </w:pPr>
          </w:p>
        </w:tc>
        <w:tc>
          <w:tcPr>
            <w:tcW w:w="38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50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240" w:type="dxa"/>
            <w:vAlign w:val="bottom"/>
          </w:tcPr>
          <w:p w:rsidR="00AC12B4" w:rsidRDefault="00AC12B4">
            <w:pPr>
              <w:rPr>
                <w:sz w:val="10"/>
                <w:szCs w:val="10"/>
              </w:rPr>
            </w:pPr>
          </w:p>
        </w:tc>
        <w:tc>
          <w:tcPr>
            <w:tcW w:w="24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740" w:type="dxa"/>
            <w:vAlign w:val="bottom"/>
          </w:tcPr>
          <w:p w:rsidR="00AC12B4" w:rsidRDefault="00AC12B4">
            <w:pPr>
              <w:rPr>
                <w:sz w:val="10"/>
                <w:szCs w:val="10"/>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435520" behindDoc="1" locked="0" layoutInCell="0" allowOverlap="1">
            <wp:simplePos x="0" y="0"/>
            <wp:positionH relativeFrom="column">
              <wp:posOffset>901700</wp:posOffset>
            </wp:positionH>
            <wp:positionV relativeFrom="paragraph">
              <wp:posOffset>-2692400</wp:posOffset>
            </wp:positionV>
            <wp:extent cx="2116455" cy="2075815"/>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5">
                      <a:extLst/>
                    </a:blip>
                    <a:srcRect/>
                    <a:stretch>
                      <a:fillRect/>
                    </a:stretch>
                  </pic:blipFill>
                  <pic:spPr bwMode="auto">
                    <a:xfrm>
                      <a:off x="0" y="0"/>
                      <a:ext cx="2116455" cy="2075815"/>
                    </a:xfrm>
                    <a:prstGeom prst="rect">
                      <a:avLst/>
                    </a:prstGeom>
                    <a:noFill/>
                  </pic:spPr>
                </pic:pic>
              </a:graphicData>
            </a:graphic>
          </wp:anchor>
        </w:drawing>
      </w:r>
      <w:r>
        <w:rPr>
          <w:noProof/>
          <w:sz w:val="20"/>
          <w:szCs w:val="20"/>
        </w:rPr>
        <w:drawing>
          <wp:anchor distT="0" distB="0" distL="114300" distR="114300" simplePos="0" relativeHeight="251436544" behindDoc="1" locked="0" layoutInCell="0" allowOverlap="1">
            <wp:simplePos x="0" y="0"/>
            <wp:positionH relativeFrom="column">
              <wp:posOffset>597535</wp:posOffset>
            </wp:positionH>
            <wp:positionV relativeFrom="paragraph">
              <wp:posOffset>-351790</wp:posOffset>
            </wp:positionV>
            <wp:extent cx="4037330" cy="40513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6">
                      <a:extLst/>
                    </a:blip>
                    <a:srcRect/>
                    <a:stretch>
                      <a:fillRect/>
                    </a:stretch>
                  </pic:blipFill>
                  <pic:spPr bwMode="auto">
                    <a:xfrm>
                      <a:off x="0" y="0"/>
                      <a:ext cx="4037330" cy="405130"/>
                    </a:xfrm>
                    <a:prstGeom prst="rect">
                      <a:avLst/>
                    </a:prstGeom>
                    <a:noFill/>
                  </pic:spPr>
                </pic:pic>
              </a:graphicData>
            </a:graphic>
          </wp:anchor>
        </w:drawing>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trPr>
          <w:trHeight w:val="4100"/>
        </w:trPr>
        <w:tc>
          <w:tcPr>
            <w:tcW w:w="330" w:type="dxa"/>
            <w:textDirection w:val="btLr"/>
            <w:vAlign w:val="bottom"/>
          </w:tcPr>
          <w:p w:rsidR="00AC12B4" w:rsidRDefault="00C27636">
            <w:pPr>
              <w:rPr>
                <w:sz w:val="20"/>
                <w:szCs w:val="20"/>
              </w:rPr>
            </w:pPr>
            <w:r>
              <w:rPr>
                <w:rFonts w:ascii="Calibri" w:eastAsia="Calibri" w:hAnsi="Calibri" w:cs="Calibri"/>
                <w:b/>
                <w:bCs/>
                <w:i/>
                <w:iCs/>
                <w:color w:val="F2F2F2"/>
                <w:sz w:val="27"/>
                <w:szCs w:val="27"/>
              </w:rPr>
              <w:lastRenderedPageBreak/>
              <w:t xml:space="preserve">Le </w:t>
            </w:r>
            <w:r>
              <w:rPr>
                <w:rFonts w:ascii="Calibri" w:eastAsia="Calibri" w:hAnsi="Calibri" w:cs="Calibri"/>
                <w:b/>
                <w:bCs/>
                <w:i/>
                <w:iCs/>
                <w:color w:val="F2F2F2"/>
                <w:sz w:val="27"/>
                <w:szCs w:val="27"/>
              </w:rPr>
              <w:t>droit de poursuivre son bien-être</w:t>
            </w: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37568" behindDoc="1" locked="0" layoutInCell="0" allowOverlap="1">
                <wp:simplePos x="0" y="0"/>
                <wp:positionH relativeFrom="column">
                  <wp:posOffset>-220980</wp:posOffset>
                </wp:positionH>
                <wp:positionV relativeFrom="paragraph">
                  <wp:posOffset>-9943465</wp:posOffset>
                </wp:positionV>
                <wp:extent cx="734060" cy="10906760"/>
                <wp:effectExtent l="0" t="0" r="0" b="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93" o:spid="_x0000_s1118" style="position:absolute;margin-left:-17.3999pt;margin-top:-782.9499pt;width:57.8pt;height:85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p>
    <w:p w:rsidR="00AC12B4" w:rsidRDefault="00AC12B4">
      <w:pPr>
        <w:sectPr w:rsidR="00AC12B4">
          <w:pgSz w:w="12080" w:h="17179"/>
          <w:pgMar w:top="1440" w:right="479" w:bottom="659" w:left="540" w:header="0" w:footer="0" w:gutter="0"/>
          <w:cols w:num="2" w:space="720" w:equalWidth="0">
            <w:col w:w="10680" w:space="48"/>
            <w:col w:w="330"/>
          </w:cols>
        </w:sectPr>
      </w:pPr>
    </w:p>
    <w:bookmarkStart w:id="57" w:name="page58"/>
    <w:bookmarkEnd w:id="57"/>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438592" behindDoc="1" locked="0" layoutInCell="0" allowOverlap="1">
                <wp:simplePos x="0" y="0"/>
                <wp:positionH relativeFrom="page">
                  <wp:posOffset>0</wp:posOffset>
                </wp:positionH>
                <wp:positionV relativeFrom="page">
                  <wp:posOffset>0</wp:posOffset>
                </wp:positionV>
                <wp:extent cx="727075" cy="10905490"/>
                <wp:effectExtent l="0" t="0" r="0" b="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7075" cy="10905490"/>
                        </a:xfrm>
                        <a:prstGeom prst="rect">
                          <a:avLst/>
                        </a:prstGeom>
                        <a:solidFill>
                          <a:srgbClr val="C95C96"/>
                        </a:solidFill>
                      </wps:spPr>
                      <wps:bodyPr/>
                    </wps:wsp>
                  </a:graphicData>
                </a:graphic>
              </wp:anchor>
            </w:drawing>
          </mc:Choice>
          <mc:Fallback>
            <w:pict>
              <v:rect id="Shape 94" o:spid="_x0000_s1119" style="position:absolute;margin-left:0pt;margin-top:0pt;width:57.25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41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de poursuivre son bien-être</w:t>
            </w:r>
          </w:p>
        </w:tc>
      </w:tr>
    </w:tbl>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Default="00C27636">
      <w:pPr>
        <w:spacing w:line="235" w:lineRule="auto"/>
        <w:ind w:right="460"/>
        <w:jc w:val="both"/>
        <w:rPr>
          <w:sz w:val="20"/>
          <w:szCs w:val="20"/>
        </w:rPr>
      </w:pPr>
      <w:r>
        <w:rPr>
          <w:rFonts w:ascii="Calibri" w:eastAsia="Calibri" w:hAnsi="Calibri" w:cs="Calibri"/>
        </w:rPr>
        <w:t xml:space="preserve">Les provocations sont plus fréquemment rapportées par les garçons et par les jeunes qui ne vivent </w:t>
      </w:r>
      <w:r>
        <w:rPr>
          <w:rFonts w:ascii="Calibri" w:eastAsia="Calibri" w:hAnsi="Calibri" w:cs="Calibri"/>
        </w:rPr>
        <w:t>pas avec leurs deux parents. La provocation est moins fréquemment rapportée à partir de 15 ans. Elle varie peu en fonction du niveau d'aisance matérielle même si elle est moins fréquemment rapportée par les jeunes issus d'une famille dont le niveau d'aisan</w:t>
      </w:r>
      <w:r>
        <w:rPr>
          <w:rFonts w:ascii="Calibri" w:eastAsia="Calibri" w:hAnsi="Calibri" w:cs="Calibri"/>
        </w:rPr>
        <w:t>ce matérielle est moyen par rapport</w:t>
      </w:r>
    </w:p>
    <w:p w:rsidR="00AC12B4" w:rsidRDefault="00AC12B4">
      <w:pPr>
        <w:spacing w:line="56" w:lineRule="exact"/>
        <w:rPr>
          <w:sz w:val="20"/>
          <w:szCs w:val="20"/>
        </w:rPr>
      </w:pPr>
    </w:p>
    <w:p w:rsidR="00AC12B4" w:rsidRDefault="00C27636">
      <w:pPr>
        <w:numPr>
          <w:ilvl w:val="0"/>
          <w:numId w:val="53"/>
        </w:numPr>
        <w:tabs>
          <w:tab w:val="left" w:pos="197"/>
        </w:tabs>
        <w:spacing w:line="218" w:lineRule="auto"/>
        <w:ind w:right="460"/>
        <w:rPr>
          <w:rFonts w:ascii="Calibri" w:eastAsia="Calibri" w:hAnsi="Calibri" w:cs="Calibri"/>
        </w:rPr>
      </w:pPr>
      <w:r>
        <w:rPr>
          <w:rFonts w:ascii="Calibri" w:eastAsia="Calibri" w:hAnsi="Calibri" w:cs="Calibri"/>
        </w:rPr>
        <w:t>ceux issus d'une famille dont le niveau est élevé.</w:t>
      </w:r>
    </w:p>
    <w:p w:rsidR="00AC12B4" w:rsidRDefault="00AC12B4">
      <w:pPr>
        <w:spacing w:line="170" w:lineRule="exact"/>
        <w:rPr>
          <w:sz w:val="20"/>
          <w:szCs w:val="20"/>
        </w:rPr>
      </w:pPr>
    </w:p>
    <w:p w:rsidR="00AC12B4" w:rsidRDefault="00C27636">
      <w:pPr>
        <w:spacing w:line="235" w:lineRule="auto"/>
        <w:ind w:right="460"/>
        <w:jc w:val="both"/>
        <w:rPr>
          <w:sz w:val="20"/>
          <w:szCs w:val="20"/>
        </w:rPr>
      </w:pPr>
      <w:r>
        <w:rPr>
          <w:rFonts w:ascii="Calibri" w:eastAsia="Calibri" w:hAnsi="Calibri" w:cs="Calibri"/>
        </w:rPr>
        <w:t>Les garçons rapportent également plus fréquemment avoir été provoqués ou "cherchés" par d'autres élèves, ainsi que les jeunes qui ne vivent pas avec leurs deux parents</w:t>
      </w:r>
      <w:r>
        <w:rPr>
          <w:rFonts w:ascii="Calibri" w:eastAsia="Calibri" w:hAnsi="Calibri" w:cs="Calibri"/>
        </w:rPr>
        <w:t>. La proportion de jeunes qui rapportent avoir été provoqués ou "cherchés" par d'autres élèves diminue avec l'âge et est plus élevée parmi les jeunes qui vivent dans une famille dont le niveau d'aisance matérielle est faible.</w:t>
      </w:r>
    </w:p>
    <w:p w:rsidR="00AC12B4" w:rsidRDefault="00AC12B4">
      <w:pPr>
        <w:spacing w:line="134" w:lineRule="exact"/>
        <w:rPr>
          <w:sz w:val="20"/>
          <w:szCs w:val="20"/>
        </w:rPr>
      </w:pPr>
    </w:p>
    <w:p w:rsidR="00AC12B4" w:rsidRDefault="00C27636">
      <w:pPr>
        <w:rPr>
          <w:sz w:val="20"/>
          <w:szCs w:val="20"/>
        </w:rPr>
      </w:pPr>
      <w:r>
        <w:rPr>
          <w:rFonts w:ascii="Cambria" w:eastAsia="Cambria" w:hAnsi="Cambria" w:cs="Cambria"/>
          <w:b/>
          <w:bCs/>
          <w:i/>
          <w:iCs/>
          <w:color w:val="963266"/>
          <w:sz w:val="26"/>
          <w:szCs w:val="26"/>
        </w:rPr>
        <w:t>Cyber-harcèlement</w:t>
      </w:r>
    </w:p>
    <w:p w:rsidR="00AC12B4" w:rsidRDefault="00AC12B4">
      <w:pPr>
        <w:spacing w:line="162" w:lineRule="exact"/>
        <w:rPr>
          <w:sz w:val="20"/>
          <w:szCs w:val="20"/>
        </w:rPr>
      </w:pPr>
    </w:p>
    <w:p w:rsidR="00AC12B4" w:rsidRDefault="00C27636">
      <w:pPr>
        <w:spacing w:line="232" w:lineRule="auto"/>
        <w:ind w:right="460"/>
        <w:jc w:val="both"/>
        <w:rPr>
          <w:sz w:val="20"/>
          <w:szCs w:val="20"/>
        </w:rPr>
      </w:pPr>
      <w:r>
        <w:rPr>
          <w:rFonts w:ascii="Calibri" w:eastAsia="Calibri" w:hAnsi="Calibri" w:cs="Calibri"/>
        </w:rPr>
        <w:t xml:space="preserve">La grande </w:t>
      </w:r>
      <w:r>
        <w:rPr>
          <w:rFonts w:ascii="Calibri" w:eastAsia="Calibri" w:hAnsi="Calibri" w:cs="Calibri"/>
        </w:rPr>
        <w:t>majorité des jeunes (90,5%) rapporte qu’au cours des deux mois précédant l'enquête, ils n’ont jamais reçu de messages (instantanés ou sur leur mur), ni de mails, de sms méchants ni qu'un site web a été créé pour se moquer d’eux.</w:t>
      </w:r>
    </w:p>
    <w:p w:rsidR="00AC12B4" w:rsidRDefault="00AC12B4">
      <w:pPr>
        <w:spacing w:line="173" w:lineRule="exact"/>
        <w:rPr>
          <w:sz w:val="20"/>
          <w:szCs w:val="20"/>
        </w:rPr>
      </w:pPr>
    </w:p>
    <w:p w:rsidR="00AC12B4" w:rsidRDefault="00C27636">
      <w:pPr>
        <w:spacing w:line="232" w:lineRule="auto"/>
        <w:ind w:right="460"/>
        <w:jc w:val="both"/>
        <w:rPr>
          <w:sz w:val="20"/>
          <w:szCs w:val="20"/>
        </w:rPr>
      </w:pPr>
      <w:r>
        <w:rPr>
          <w:rFonts w:ascii="Calibri" w:eastAsia="Calibri" w:hAnsi="Calibri" w:cs="Calibri"/>
        </w:rPr>
        <w:t xml:space="preserve">Il en va de même pour la </w:t>
      </w:r>
      <w:r>
        <w:rPr>
          <w:rFonts w:ascii="Calibri" w:eastAsia="Calibri" w:hAnsi="Calibri" w:cs="Calibri"/>
        </w:rPr>
        <w:t>diffusion de photos peu flatteuses ou inappropriées d'un jeune sans son autorisation. La grande majorité des jeunes (93,9%) rapporte que cela ne lui est jamais arrivé au cours des deux mois précédant l'enquête.</w:t>
      </w:r>
    </w:p>
    <w:p w:rsidR="00AC12B4" w:rsidRDefault="00AC12B4">
      <w:pPr>
        <w:spacing w:line="131" w:lineRule="exact"/>
        <w:rPr>
          <w:sz w:val="20"/>
          <w:szCs w:val="20"/>
        </w:rPr>
      </w:pPr>
    </w:p>
    <w:p w:rsidR="00AC12B4" w:rsidRDefault="00C27636">
      <w:pPr>
        <w:numPr>
          <w:ilvl w:val="0"/>
          <w:numId w:val="54"/>
        </w:numPr>
        <w:tabs>
          <w:tab w:val="left" w:pos="720"/>
        </w:tabs>
        <w:ind w:left="720" w:hanging="360"/>
        <w:rPr>
          <w:rFonts w:ascii="Wingdings" w:eastAsia="Wingdings" w:hAnsi="Wingdings" w:cs="Wingdings"/>
          <w:color w:val="963266"/>
        </w:rPr>
      </w:pPr>
      <w:r>
        <w:rPr>
          <w:rFonts w:ascii="Cambria" w:eastAsia="Cambria" w:hAnsi="Cambria" w:cs="Cambria"/>
          <w:i/>
          <w:iCs/>
          <w:color w:val="C95C96"/>
        </w:rPr>
        <w:t>Iniquité</w:t>
      </w:r>
    </w:p>
    <w:p w:rsidR="00AC12B4" w:rsidRDefault="00AC12B4">
      <w:pPr>
        <w:spacing w:line="202" w:lineRule="exact"/>
        <w:rPr>
          <w:sz w:val="20"/>
          <w:szCs w:val="20"/>
        </w:rPr>
      </w:pPr>
    </w:p>
    <w:p w:rsidR="00AC12B4" w:rsidRDefault="00C27636">
      <w:pPr>
        <w:spacing w:line="234" w:lineRule="auto"/>
        <w:ind w:right="460"/>
        <w:jc w:val="both"/>
        <w:rPr>
          <w:sz w:val="20"/>
          <w:szCs w:val="20"/>
        </w:rPr>
      </w:pPr>
      <w:r>
        <w:rPr>
          <w:rFonts w:ascii="Calibri" w:eastAsia="Calibri" w:hAnsi="Calibri" w:cs="Calibri"/>
        </w:rPr>
        <w:t>La proportion de jeunes dont une p</w:t>
      </w:r>
      <w:r>
        <w:rPr>
          <w:rFonts w:ascii="Calibri" w:eastAsia="Calibri" w:hAnsi="Calibri" w:cs="Calibri"/>
        </w:rPr>
        <w:t>hoto peu flatteuse ou inappropriée a été prise et diffusée sans leur accord ne varie pas en fonction du genre ni du niveau d'aisance matérielle de la famille. Elle tend à augmenter avec l'âge et est plus élevée parmi les jeunes qui ne vivent pas avec leurs</w:t>
      </w:r>
      <w:r>
        <w:rPr>
          <w:rFonts w:ascii="Calibri" w:eastAsia="Calibri" w:hAnsi="Calibri" w:cs="Calibri"/>
        </w:rPr>
        <w:t xml:space="preserve"> deux parents (7,7% contre 5,2%).</w:t>
      </w:r>
    </w:p>
    <w:p w:rsidR="00AC12B4" w:rsidRDefault="00AC12B4">
      <w:pPr>
        <w:spacing w:line="174" w:lineRule="exact"/>
        <w:rPr>
          <w:sz w:val="20"/>
          <w:szCs w:val="20"/>
        </w:rPr>
      </w:pPr>
    </w:p>
    <w:p w:rsidR="00AC12B4" w:rsidRDefault="00C27636">
      <w:pPr>
        <w:spacing w:line="229" w:lineRule="auto"/>
        <w:ind w:right="460"/>
        <w:jc w:val="both"/>
        <w:rPr>
          <w:sz w:val="20"/>
          <w:szCs w:val="20"/>
        </w:rPr>
      </w:pPr>
      <w:r>
        <w:rPr>
          <w:rFonts w:ascii="Calibri" w:eastAsia="Calibri" w:hAnsi="Calibri" w:cs="Calibri"/>
        </w:rPr>
        <w:t>La proportion de jeunes qui rapportent avoir reçu des messages à caractère méchant ou moqueur est plus élevée parmi les filles, parmi les jeunes qui ne</w:t>
      </w:r>
    </w:p>
    <w:p w:rsidR="00AC12B4" w:rsidRDefault="00AC12B4">
      <w:pPr>
        <w:spacing w:line="289" w:lineRule="exact"/>
        <w:rPr>
          <w:sz w:val="20"/>
          <w:szCs w:val="20"/>
        </w:rPr>
      </w:pPr>
    </w:p>
    <w:p w:rsidR="00AC12B4" w:rsidRDefault="00C27636">
      <w:pPr>
        <w:jc w:val="right"/>
        <w:rPr>
          <w:sz w:val="20"/>
          <w:szCs w:val="20"/>
        </w:rPr>
      </w:pPr>
      <w:r>
        <w:rPr>
          <w:rFonts w:ascii="Calibri" w:eastAsia="Calibri" w:hAnsi="Calibri" w:cs="Calibri"/>
        </w:rPr>
        <w:t>58</w:t>
      </w:r>
    </w:p>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Default="00C27636">
      <w:pPr>
        <w:spacing w:line="232" w:lineRule="auto"/>
        <w:ind w:left="60" w:right="737"/>
        <w:jc w:val="both"/>
        <w:rPr>
          <w:sz w:val="20"/>
          <w:szCs w:val="20"/>
        </w:rPr>
      </w:pPr>
      <w:r>
        <w:rPr>
          <w:rFonts w:ascii="Calibri" w:eastAsia="Calibri" w:hAnsi="Calibri" w:cs="Calibri"/>
        </w:rPr>
        <w:t>vivent pas avec leurs deux parents et parmi les jeunes dont le</w:t>
      </w:r>
      <w:r>
        <w:rPr>
          <w:rFonts w:ascii="Calibri" w:eastAsia="Calibri" w:hAnsi="Calibri" w:cs="Calibri"/>
        </w:rPr>
        <w:t xml:space="preserve"> niveau d'aisance matérielle de la famille est faible. Cette proportion est plus élevée parmi les jeunes de 13 à 16 ans par rapport à ceux de 10-12 ans.</w:t>
      </w:r>
    </w:p>
    <w:p w:rsidR="00AC12B4" w:rsidRDefault="00AC12B4">
      <w:pPr>
        <w:spacing w:line="15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520"/>
        <w:gridCol w:w="1040"/>
        <w:gridCol w:w="800"/>
        <w:gridCol w:w="660"/>
      </w:tblGrid>
      <w:tr w:rsidR="00AC12B4">
        <w:trPr>
          <w:trHeight w:val="273"/>
        </w:trPr>
        <w:tc>
          <w:tcPr>
            <w:tcW w:w="1520" w:type="dxa"/>
            <w:tcBorders>
              <w:bottom w:val="single" w:sz="8" w:space="0" w:color="963266"/>
            </w:tcBorders>
            <w:vAlign w:val="bottom"/>
          </w:tcPr>
          <w:p w:rsidR="00AC12B4" w:rsidRDefault="00AC12B4">
            <w:pPr>
              <w:rPr>
                <w:sz w:val="23"/>
                <w:szCs w:val="23"/>
              </w:rPr>
            </w:pPr>
          </w:p>
        </w:tc>
        <w:tc>
          <w:tcPr>
            <w:tcW w:w="1040" w:type="dxa"/>
            <w:tcBorders>
              <w:bottom w:val="single" w:sz="8" w:space="0" w:color="963266"/>
            </w:tcBorders>
            <w:vAlign w:val="bottom"/>
          </w:tcPr>
          <w:p w:rsidR="00AC12B4" w:rsidRDefault="00C27636">
            <w:pPr>
              <w:ind w:right="290"/>
              <w:jc w:val="right"/>
              <w:rPr>
                <w:sz w:val="20"/>
                <w:szCs w:val="20"/>
              </w:rPr>
            </w:pPr>
            <w:r>
              <w:rPr>
                <w:rFonts w:ascii="Calibri" w:eastAsia="Calibri" w:hAnsi="Calibri" w:cs="Calibri"/>
                <w:color w:val="963266"/>
              </w:rPr>
              <w:t>N</w:t>
            </w:r>
          </w:p>
        </w:tc>
        <w:tc>
          <w:tcPr>
            <w:tcW w:w="800" w:type="dxa"/>
            <w:tcBorders>
              <w:bottom w:val="single" w:sz="8" w:space="0" w:color="963266"/>
            </w:tcBorders>
            <w:vAlign w:val="bottom"/>
          </w:tcPr>
          <w:p w:rsidR="00AC12B4" w:rsidRDefault="00C27636">
            <w:pPr>
              <w:ind w:right="230"/>
              <w:jc w:val="right"/>
              <w:rPr>
                <w:sz w:val="20"/>
                <w:szCs w:val="20"/>
              </w:rPr>
            </w:pPr>
            <w:r>
              <w:rPr>
                <w:rFonts w:ascii="Calibri" w:eastAsia="Calibri" w:hAnsi="Calibri" w:cs="Calibri"/>
                <w:color w:val="963266"/>
              </w:rPr>
              <w:t>SMS</w:t>
            </w:r>
          </w:p>
        </w:tc>
        <w:tc>
          <w:tcPr>
            <w:tcW w:w="660" w:type="dxa"/>
            <w:tcBorders>
              <w:bottom w:val="single" w:sz="8" w:space="0" w:color="963266"/>
            </w:tcBorders>
            <w:vAlign w:val="bottom"/>
          </w:tcPr>
          <w:p w:rsidR="00AC12B4" w:rsidRDefault="00C27636">
            <w:pPr>
              <w:ind w:right="170"/>
              <w:jc w:val="right"/>
              <w:rPr>
                <w:sz w:val="20"/>
                <w:szCs w:val="20"/>
              </w:rPr>
            </w:pPr>
            <w:r>
              <w:rPr>
                <w:rFonts w:ascii="Calibri" w:eastAsia="Calibri" w:hAnsi="Calibri" w:cs="Calibri"/>
                <w:color w:val="963266"/>
              </w:rPr>
              <w:t>p</w:t>
            </w:r>
          </w:p>
        </w:tc>
      </w:tr>
      <w:tr w:rsidR="00AC12B4">
        <w:trPr>
          <w:trHeight w:val="254"/>
        </w:trPr>
        <w:tc>
          <w:tcPr>
            <w:tcW w:w="1520" w:type="dxa"/>
            <w:vAlign w:val="bottom"/>
          </w:tcPr>
          <w:p w:rsidR="00AC12B4" w:rsidRDefault="00AC12B4"/>
        </w:tc>
        <w:tc>
          <w:tcPr>
            <w:tcW w:w="1040" w:type="dxa"/>
            <w:vAlign w:val="bottom"/>
          </w:tcPr>
          <w:p w:rsidR="00AC12B4" w:rsidRDefault="00AC12B4"/>
        </w:tc>
        <w:tc>
          <w:tcPr>
            <w:tcW w:w="800" w:type="dxa"/>
            <w:vAlign w:val="bottom"/>
          </w:tcPr>
          <w:p w:rsidR="00AC12B4" w:rsidRDefault="00AC12B4"/>
        </w:tc>
        <w:tc>
          <w:tcPr>
            <w:tcW w:w="660" w:type="dxa"/>
            <w:vAlign w:val="bottom"/>
          </w:tcPr>
          <w:p w:rsidR="00AC12B4" w:rsidRDefault="00C27636">
            <w:pPr>
              <w:spacing w:line="255" w:lineRule="exact"/>
              <w:jc w:val="right"/>
              <w:rPr>
                <w:sz w:val="20"/>
                <w:szCs w:val="20"/>
              </w:rPr>
            </w:pPr>
            <w:r>
              <w:rPr>
                <w:rFonts w:ascii="Calibri" w:eastAsia="Calibri" w:hAnsi="Calibri" w:cs="Calibri"/>
              </w:rPr>
              <w:t>&lt;0,00</w:t>
            </w:r>
          </w:p>
        </w:tc>
      </w:tr>
      <w:tr w:rsidR="00AC12B4">
        <w:trPr>
          <w:trHeight w:val="269"/>
        </w:trPr>
        <w:tc>
          <w:tcPr>
            <w:tcW w:w="1520" w:type="dxa"/>
            <w:vAlign w:val="bottom"/>
          </w:tcPr>
          <w:p w:rsidR="00AC12B4" w:rsidRDefault="00C27636">
            <w:pPr>
              <w:ind w:left="60"/>
              <w:rPr>
                <w:sz w:val="20"/>
                <w:szCs w:val="20"/>
              </w:rPr>
            </w:pPr>
            <w:r>
              <w:rPr>
                <w:rFonts w:ascii="Calibri" w:eastAsia="Calibri" w:hAnsi="Calibri" w:cs="Calibri"/>
                <w:color w:val="963266"/>
              </w:rPr>
              <w:t>Genre</w:t>
            </w:r>
          </w:p>
        </w:tc>
        <w:tc>
          <w:tcPr>
            <w:tcW w:w="1040" w:type="dxa"/>
            <w:vAlign w:val="bottom"/>
          </w:tcPr>
          <w:p w:rsidR="00AC12B4" w:rsidRDefault="00C27636">
            <w:pPr>
              <w:jc w:val="right"/>
              <w:rPr>
                <w:sz w:val="20"/>
                <w:szCs w:val="20"/>
              </w:rPr>
            </w:pPr>
            <w:r>
              <w:rPr>
                <w:rFonts w:ascii="Calibri" w:eastAsia="Calibri" w:hAnsi="Calibri" w:cs="Calibri"/>
              </w:rPr>
              <w:t>21880</w:t>
            </w:r>
          </w:p>
        </w:tc>
        <w:tc>
          <w:tcPr>
            <w:tcW w:w="800" w:type="dxa"/>
            <w:vAlign w:val="bottom"/>
          </w:tcPr>
          <w:p w:rsidR="00AC12B4" w:rsidRDefault="00AC12B4">
            <w:pPr>
              <w:rPr>
                <w:sz w:val="23"/>
                <w:szCs w:val="23"/>
              </w:rPr>
            </w:pPr>
          </w:p>
        </w:tc>
        <w:tc>
          <w:tcPr>
            <w:tcW w:w="660" w:type="dxa"/>
            <w:vAlign w:val="bottom"/>
          </w:tcPr>
          <w:p w:rsidR="00AC12B4" w:rsidRDefault="00C27636">
            <w:pPr>
              <w:jc w:val="right"/>
              <w:rPr>
                <w:sz w:val="20"/>
                <w:szCs w:val="20"/>
              </w:rPr>
            </w:pPr>
            <w:r>
              <w:rPr>
                <w:rFonts w:ascii="Calibri" w:eastAsia="Calibri" w:hAnsi="Calibri" w:cs="Calibri"/>
              </w:rPr>
              <w:t>1</w:t>
            </w: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Garçons</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7,5</w:t>
            </w:r>
          </w:p>
        </w:tc>
        <w:tc>
          <w:tcPr>
            <w:tcW w:w="66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Filles</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11,5</w:t>
            </w:r>
          </w:p>
        </w:tc>
        <w:tc>
          <w:tcPr>
            <w:tcW w:w="660" w:type="dxa"/>
            <w:vAlign w:val="bottom"/>
          </w:tcPr>
          <w:p w:rsidR="00AC12B4" w:rsidRDefault="00AC12B4">
            <w:pPr>
              <w:rPr>
                <w:sz w:val="24"/>
                <w:szCs w:val="24"/>
              </w:rPr>
            </w:pPr>
          </w:p>
        </w:tc>
      </w:tr>
      <w:tr w:rsidR="00AC12B4">
        <w:trPr>
          <w:trHeight w:val="569"/>
        </w:trPr>
        <w:tc>
          <w:tcPr>
            <w:tcW w:w="1520" w:type="dxa"/>
            <w:vAlign w:val="bottom"/>
          </w:tcPr>
          <w:p w:rsidR="00AC12B4" w:rsidRDefault="00AC12B4">
            <w:pPr>
              <w:rPr>
                <w:sz w:val="24"/>
                <w:szCs w:val="24"/>
              </w:rPr>
            </w:pPr>
          </w:p>
        </w:tc>
        <w:tc>
          <w:tcPr>
            <w:tcW w:w="1040" w:type="dxa"/>
            <w:vAlign w:val="bottom"/>
          </w:tcPr>
          <w:p w:rsidR="00AC12B4" w:rsidRDefault="00AC12B4">
            <w:pPr>
              <w:rPr>
                <w:sz w:val="24"/>
                <w:szCs w:val="24"/>
              </w:rPr>
            </w:pPr>
          </w:p>
        </w:tc>
        <w:tc>
          <w:tcPr>
            <w:tcW w:w="800" w:type="dxa"/>
            <w:vAlign w:val="bottom"/>
          </w:tcPr>
          <w:p w:rsidR="00AC12B4" w:rsidRDefault="00AC12B4">
            <w:pPr>
              <w:rPr>
                <w:sz w:val="24"/>
                <w:szCs w:val="24"/>
              </w:rPr>
            </w:pPr>
          </w:p>
        </w:tc>
        <w:tc>
          <w:tcPr>
            <w:tcW w:w="660" w:type="dxa"/>
            <w:vAlign w:val="bottom"/>
          </w:tcPr>
          <w:p w:rsidR="00AC12B4" w:rsidRDefault="00C27636">
            <w:pPr>
              <w:jc w:val="right"/>
              <w:rPr>
                <w:sz w:val="20"/>
                <w:szCs w:val="20"/>
              </w:rPr>
            </w:pPr>
            <w:r>
              <w:rPr>
                <w:rFonts w:ascii="Calibri" w:eastAsia="Calibri" w:hAnsi="Calibri" w:cs="Calibri"/>
              </w:rPr>
              <w:t>&lt;0,00</w:t>
            </w:r>
          </w:p>
        </w:tc>
      </w:tr>
      <w:tr w:rsidR="00AC12B4">
        <w:trPr>
          <w:trHeight w:val="269"/>
        </w:trPr>
        <w:tc>
          <w:tcPr>
            <w:tcW w:w="1520" w:type="dxa"/>
            <w:vAlign w:val="bottom"/>
          </w:tcPr>
          <w:p w:rsidR="00AC12B4" w:rsidRDefault="00C27636">
            <w:pPr>
              <w:ind w:left="60"/>
              <w:rPr>
                <w:sz w:val="20"/>
                <w:szCs w:val="20"/>
              </w:rPr>
            </w:pPr>
            <w:r>
              <w:rPr>
                <w:rFonts w:ascii="Calibri" w:eastAsia="Calibri" w:hAnsi="Calibri" w:cs="Calibri"/>
                <w:color w:val="963266"/>
              </w:rPr>
              <w:t>Age</w:t>
            </w:r>
          </w:p>
        </w:tc>
        <w:tc>
          <w:tcPr>
            <w:tcW w:w="1040" w:type="dxa"/>
            <w:vAlign w:val="bottom"/>
          </w:tcPr>
          <w:p w:rsidR="00AC12B4" w:rsidRDefault="00C27636">
            <w:pPr>
              <w:jc w:val="right"/>
              <w:rPr>
                <w:sz w:val="20"/>
                <w:szCs w:val="20"/>
              </w:rPr>
            </w:pPr>
            <w:r>
              <w:rPr>
                <w:rFonts w:ascii="Calibri" w:eastAsia="Calibri" w:hAnsi="Calibri" w:cs="Calibri"/>
              </w:rPr>
              <w:t>21676</w:t>
            </w:r>
          </w:p>
        </w:tc>
        <w:tc>
          <w:tcPr>
            <w:tcW w:w="800" w:type="dxa"/>
            <w:vAlign w:val="bottom"/>
          </w:tcPr>
          <w:p w:rsidR="00AC12B4" w:rsidRDefault="00AC12B4">
            <w:pPr>
              <w:rPr>
                <w:sz w:val="23"/>
                <w:szCs w:val="23"/>
              </w:rPr>
            </w:pPr>
          </w:p>
        </w:tc>
        <w:tc>
          <w:tcPr>
            <w:tcW w:w="660" w:type="dxa"/>
            <w:vAlign w:val="bottom"/>
          </w:tcPr>
          <w:p w:rsidR="00AC12B4" w:rsidRDefault="00C27636">
            <w:pPr>
              <w:jc w:val="right"/>
              <w:rPr>
                <w:sz w:val="20"/>
                <w:szCs w:val="20"/>
              </w:rPr>
            </w:pPr>
            <w:r>
              <w:rPr>
                <w:rFonts w:ascii="Calibri" w:eastAsia="Calibri" w:hAnsi="Calibri" w:cs="Calibri"/>
              </w:rPr>
              <w:t>1</w:t>
            </w: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10-12 ans</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7,6</w:t>
            </w:r>
          </w:p>
        </w:tc>
        <w:tc>
          <w:tcPr>
            <w:tcW w:w="66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13-14 ans</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10,6</w:t>
            </w:r>
          </w:p>
        </w:tc>
        <w:tc>
          <w:tcPr>
            <w:tcW w:w="66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15-16 ans</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10,3</w:t>
            </w:r>
          </w:p>
        </w:tc>
        <w:tc>
          <w:tcPr>
            <w:tcW w:w="66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17-19 ans</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9,6</w:t>
            </w:r>
          </w:p>
        </w:tc>
        <w:tc>
          <w:tcPr>
            <w:tcW w:w="660" w:type="dxa"/>
            <w:vAlign w:val="bottom"/>
          </w:tcPr>
          <w:p w:rsidR="00AC12B4" w:rsidRDefault="00AC12B4">
            <w:pPr>
              <w:rPr>
                <w:sz w:val="24"/>
                <w:szCs w:val="24"/>
              </w:rPr>
            </w:pPr>
          </w:p>
        </w:tc>
      </w:tr>
      <w:tr w:rsidR="00AC12B4">
        <w:trPr>
          <w:trHeight w:val="569"/>
        </w:trPr>
        <w:tc>
          <w:tcPr>
            <w:tcW w:w="1520" w:type="dxa"/>
            <w:vAlign w:val="bottom"/>
          </w:tcPr>
          <w:p w:rsidR="00AC12B4" w:rsidRDefault="00C27636">
            <w:pPr>
              <w:ind w:left="60"/>
              <w:rPr>
                <w:sz w:val="20"/>
                <w:szCs w:val="20"/>
              </w:rPr>
            </w:pPr>
            <w:r>
              <w:rPr>
                <w:rFonts w:ascii="Calibri" w:eastAsia="Calibri" w:hAnsi="Calibri" w:cs="Calibri"/>
                <w:color w:val="963266"/>
              </w:rPr>
              <w:t>Niveau</w:t>
            </w:r>
          </w:p>
        </w:tc>
        <w:tc>
          <w:tcPr>
            <w:tcW w:w="1040" w:type="dxa"/>
            <w:vAlign w:val="bottom"/>
          </w:tcPr>
          <w:p w:rsidR="00AC12B4" w:rsidRDefault="00AC12B4">
            <w:pPr>
              <w:rPr>
                <w:sz w:val="24"/>
                <w:szCs w:val="24"/>
              </w:rPr>
            </w:pPr>
          </w:p>
        </w:tc>
        <w:tc>
          <w:tcPr>
            <w:tcW w:w="800" w:type="dxa"/>
            <w:vAlign w:val="bottom"/>
          </w:tcPr>
          <w:p w:rsidR="00AC12B4" w:rsidRDefault="00AC12B4">
            <w:pPr>
              <w:rPr>
                <w:sz w:val="24"/>
                <w:szCs w:val="24"/>
              </w:rPr>
            </w:pPr>
          </w:p>
        </w:tc>
        <w:tc>
          <w:tcPr>
            <w:tcW w:w="660" w:type="dxa"/>
            <w:vAlign w:val="bottom"/>
          </w:tcPr>
          <w:p w:rsidR="00AC12B4" w:rsidRDefault="00AC12B4">
            <w:pPr>
              <w:rPr>
                <w:sz w:val="24"/>
                <w:szCs w:val="24"/>
              </w:rPr>
            </w:pPr>
          </w:p>
        </w:tc>
      </w:tr>
      <w:tr w:rsidR="00AC12B4">
        <w:trPr>
          <w:trHeight w:val="269"/>
        </w:trPr>
        <w:tc>
          <w:tcPr>
            <w:tcW w:w="1520" w:type="dxa"/>
            <w:vAlign w:val="bottom"/>
          </w:tcPr>
          <w:p w:rsidR="00AC12B4" w:rsidRDefault="00C27636">
            <w:pPr>
              <w:ind w:left="60"/>
              <w:rPr>
                <w:sz w:val="20"/>
                <w:szCs w:val="20"/>
              </w:rPr>
            </w:pPr>
            <w:r>
              <w:rPr>
                <w:rFonts w:ascii="Calibri" w:eastAsia="Calibri" w:hAnsi="Calibri" w:cs="Calibri"/>
                <w:color w:val="963266"/>
              </w:rPr>
              <w:t>d'aisance</w:t>
            </w:r>
          </w:p>
        </w:tc>
        <w:tc>
          <w:tcPr>
            <w:tcW w:w="1040" w:type="dxa"/>
            <w:vAlign w:val="bottom"/>
          </w:tcPr>
          <w:p w:rsidR="00AC12B4" w:rsidRDefault="00AC12B4">
            <w:pPr>
              <w:rPr>
                <w:sz w:val="23"/>
                <w:szCs w:val="23"/>
              </w:rPr>
            </w:pPr>
          </w:p>
        </w:tc>
        <w:tc>
          <w:tcPr>
            <w:tcW w:w="800" w:type="dxa"/>
            <w:vAlign w:val="bottom"/>
          </w:tcPr>
          <w:p w:rsidR="00AC12B4" w:rsidRDefault="00AC12B4">
            <w:pPr>
              <w:rPr>
                <w:sz w:val="23"/>
                <w:szCs w:val="23"/>
              </w:rPr>
            </w:pPr>
          </w:p>
        </w:tc>
        <w:tc>
          <w:tcPr>
            <w:tcW w:w="660" w:type="dxa"/>
            <w:vAlign w:val="bottom"/>
          </w:tcPr>
          <w:p w:rsidR="00AC12B4" w:rsidRDefault="00C27636">
            <w:pPr>
              <w:jc w:val="right"/>
              <w:rPr>
                <w:sz w:val="20"/>
                <w:szCs w:val="20"/>
              </w:rPr>
            </w:pPr>
            <w:r>
              <w:rPr>
                <w:rFonts w:ascii="Calibri" w:eastAsia="Calibri" w:hAnsi="Calibri" w:cs="Calibri"/>
              </w:rPr>
              <w:t>&lt;0,00</w:t>
            </w:r>
          </w:p>
        </w:tc>
      </w:tr>
      <w:tr w:rsidR="00AC12B4">
        <w:trPr>
          <w:trHeight w:val="269"/>
        </w:trPr>
        <w:tc>
          <w:tcPr>
            <w:tcW w:w="1520" w:type="dxa"/>
            <w:vAlign w:val="bottom"/>
          </w:tcPr>
          <w:p w:rsidR="00AC12B4" w:rsidRDefault="00C27636">
            <w:pPr>
              <w:ind w:left="60"/>
              <w:rPr>
                <w:sz w:val="20"/>
                <w:szCs w:val="20"/>
              </w:rPr>
            </w:pPr>
            <w:r>
              <w:rPr>
                <w:rFonts w:ascii="Calibri" w:eastAsia="Calibri" w:hAnsi="Calibri" w:cs="Calibri"/>
                <w:color w:val="963266"/>
              </w:rPr>
              <w:t>matérielle</w:t>
            </w:r>
          </w:p>
        </w:tc>
        <w:tc>
          <w:tcPr>
            <w:tcW w:w="1040" w:type="dxa"/>
            <w:vAlign w:val="bottom"/>
          </w:tcPr>
          <w:p w:rsidR="00AC12B4" w:rsidRDefault="00C27636">
            <w:pPr>
              <w:jc w:val="right"/>
              <w:rPr>
                <w:sz w:val="20"/>
                <w:szCs w:val="20"/>
              </w:rPr>
            </w:pPr>
            <w:r>
              <w:rPr>
                <w:rFonts w:ascii="Calibri" w:eastAsia="Calibri" w:hAnsi="Calibri" w:cs="Calibri"/>
              </w:rPr>
              <w:t>20420</w:t>
            </w:r>
          </w:p>
        </w:tc>
        <w:tc>
          <w:tcPr>
            <w:tcW w:w="800" w:type="dxa"/>
            <w:vAlign w:val="bottom"/>
          </w:tcPr>
          <w:p w:rsidR="00AC12B4" w:rsidRDefault="00AC12B4">
            <w:pPr>
              <w:rPr>
                <w:sz w:val="23"/>
                <w:szCs w:val="23"/>
              </w:rPr>
            </w:pPr>
          </w:p>
        </w:tc>
        <w:tc>
          <w:tcPr>
            <w:tcW w:w="660" w:type="dxa"/>
            <w:vAlign w:val="bottom"/>
          </w:tcPr>
          <w:p w:rsidR="00AC12B4" w:rsidRDefault="00C27636">
            <w:pPr>
              <w:jc w:val="right"/>
              <w:rPr>
                <w:sz w:val="20"/>
                <w:szCs w:val="20"/>
              </w:rPr>
            </w:pPr>
            <w:r>
              <w:rPr>
                <w:rFonts w:ascii="Calibri" w:eastAsia="Calibri" w:hAnsi="Calibri" w:cs="Calibri"/>
              </w:rPr>
              <w:t>1</w:t>
            </w: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Faible</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12,0</w:t>
            </w:r>
          </w:p>
        </w:tc>
        <w:tc>
          <w:tcPr>
            <w:tcW w:w="66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Moyen</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9,1</w:t>
            </w:r>
          </w:p>
        </w:tc>
        <w:tc>
          <w:tcPr>
            <w:tcW w:w="66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Elevé</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8,6</w:t>
            </w:r>
          </w:p>
        </w:tc>
        <w:tc>
          <w:tcPr>
            <w:tcW w:w="660" w:type="dxa"/>
            <w:vAlign w:val="bottom"/>
          </w:tcPr>
          <w:p w:rsidR="00AC12B4" w:rsidRDefault="00AC12B4">
            <w:pPr>
              <w:rPr>
                <w:sz w:val="24"/>
                <w:szCs w:val="24"/>
              </w:rPr>
            </w:pPr>
          </w:p>
        </w:tc>
      </w:tr>
      <w:tr w:rsidR="00AC12B4">
        <w:trPr>
          <w:trHeight w:val="569"/>
        </w:trPr>
        <w:tc>
          <w:tcPr>
            <w:tcW w:w="1520" w:type="dxa"/>
            <w:vAlign w:val="bottom"/>
          </w:tcPr>
          <w:p w:rsidR="00AC12B4" w:rsidRDefault="00AC12B4">
            <w:pPr>
              <w:rPr>
                <w:sz w:val="24"/>
                <w:szCs w:val="24"/>
              </w:rPr>
            </w:pPr>
          </w:p>
        </w:tc>
        <w:tc>
          <w:tcPr>
            <w:tcW w:w="1040" w:type="dxa"/>
            <w:vAlign w:val="bottom"/>
          </w:tcPr>
          <w:p w:rsidR="00AC12B4" w:rsidRDefault="00AC12B4">
            <w:pPr>
              <w:rPr>
                <w:sz w:val="24"/>
                <w:szCs w:val="24"/>
              </w:rPr>
            </w:pPr>
          </w:p>
        </w:tc>
        <w:tc>
          <w:tcPr>
            <w:tcW w:w="800" w:type="dxa"/>
            <w:vAlign w:val="bottom"/>
          </w:tcPr>
          <w:p w:rsidR="00AC12B4" w:rsidRDefault="00AC12B4">
            <w:pPr>
              <w:rPr>
                <w:sz w:val="24"/>
                <w:szCs w:val="24"/>
              </w:rPr>
            </w:pPr>
          </w:p>
        </w:tc>
        <w:tc>
          <w:tcPr>
            <w:tcW w:w="660" w:type="dxa"/>
            <w:vAlign w:val="bottom"/>
          </w:tcPr>
          <w:p w:rsidR="00AC12B4" w:rsidRDefault="00C27636">
            <w:pPr>
              <w:jc w:val="right"/>
              <w:rPr>
                <w:sz w:val="20"/>
                <w:szCs w:val="20"/>
              </w:rPr>
            </w:pPr>
            <w:r>
              <w:rPr>
                <w:rFonts w:ascii="Calibri" w:eastAsia="Calibri" w:hAnsi="Calibri" w:cs="Calibri"/>
              </w:rPr>
              <w:t>&lt;0,00</w:t>
            </w:r>
          </w:p>
        </w:tc>
      </w:tr>
      <w:tr w:rsidR="00AC12B4">
        <w:trPr>
          <w:trHeight w:val="269"/>
        </w:trPr>
        <w:tc>
          <w:tcPr>
            <w:tcW w:w="1520" w:type="dxa"/>
            <w:vAlign w:val="bottom"/>
          </w:tcPr>
          <w:p w:rsidR="00AC12B4" w:rsidRDefault="00C27636">
            <w:pPr>
              <w:ind w:left="60"/>
              <w:rPr>
                <w:sz w:val="20"/>
                <w:szCs w:val="20"/>
              </w:rPr>
            </w:pPr>
            <w:r>
              <w:rPr>
                <w:rFonts w:ascii="Calibri" w:eastAsia="Calibri" w:hAnsi="Calibri" w:cs="Calibri"/>
                <w:color w:val="963266"/>
              </w:rPr>
              <w:t>Famille</w:t>
            </w:r>
          </w:p>
        </w:tc>
        <w:tc>
          <w:tcPr>
            <w:tcW w:w="1040" w:type="dxa"/>
            <w:vAlign w:val="bottom"/>
          </w:tcPr>
          <w:p w:rsidR="00AC12B4" w:rsidRDefault="00C27636">
            <w:pPr>
              <w:jc w:val="right"/>
              <w:rPr>
                <w:sz w:val="20"/>
                <w:szCs w:val="20"/>
              </w:rPr>
            </w:pPr>
            <w:r>
              <w:rPr>
                <w:rFonts w:ascii="Calibri" w:eastAsia="Calibri" w:hAnsi="Calibri" w:cs="Calibri"/>
              </w:rPr>
              <w:t>21686</w:t>
            </w:r>
          </w:p>
        </w:tc>
        <w:tc>
          <w:tcPr>
            <w:tcW w:w="800" w:type="dxa"/>
            <w:vAlign w:val="bottom"/>
          </w:tcPr>
          <w:p w:rsidR="00AC12B4" w:rsidRDefault="00AC12B4">
            <w:pPr>
              <w:rPr>
                <w:sz w:val="23"/>
                <w:szCs w:val="23"/>
              </w:rPr>
            </w:pPr>
          </w:p>
        </w:tc>
        <w:tc>
          <w:tcPr>
            <w:tcW w:w="660" w:type="dxa"/>
            <w:vAlign w:val="bottom"/>
          </w:tcPr>
          <w:p w:rsidR="00AC12B4" w:rsidRDefault="00C27636">
            <w:pPr>
              <w:jc w:val="right"/>
              <w:rPr>
                <w:sz w:val="20"/>
                <w:szCs w:val="20"/>
              </w:rPr>
            </w:pPr>
            <w:r>
              <w:rPr>
                <w:rFonts w:ascii="Calibri" w:eastAsia="Calibri" w:hAnsi="Calibri" w:cs="Calibri"/>
              </w:rPr>
              <w:t>1</w:t>
            </w:r>
          </w:p>
        </w:tc>
      </w:tr>
      <w:tr w:rsidR="00AC12B4">
        <w:trPr>
          <w:trHeight w:val="266"/>
        </w:trPr>
        <w:tc>
          <w:tcPr>
            <w:tcW w:w="1520" w:type="dxa"/>
            <w:vAlign w:val="bottom"/>
          </w:tcPr>
          <w:p w:rsidR="00AC12B4" w:rsidRDefault="00C27636">
            <w:pPr>
              <w:spacing w:line="267" w:lineRule="exact"/>
              <w:ind w:left="60"/>
              <w:rPr>
                <w:sz w:val="20"/>
                <w:szCs w:val="20"/>
              </w:rPr>
            </w:pPr>
            <w:r>
              <w:rPr>
                <w:rFonts w:ascii="Calibri" w:eastAsia="Calibri" w:hAnsi="Calibri" w:cs="Calibri"/>
                <w:color w:val="963266"/>
              </w:rPr>
              <w:t>2 parents</w:t>
            </w:r>
          </w:p>
        </w:tc>
        <w:tc>
          <w:tcPr>
            <w:tcW w:w="1040" w:type="dxa"/>
            <w:vAlign w:val="bottom"/>
          </w:tcPr>
          <w:p w:rsidR="00AC12B4" w:rsidRDefault="00AC12B4">
            <w:pPr>
              <w:rPr>
                <w:sz w:val="23"/>
                <w:szCs w:val="23"/>
              </w:rPr>
            </w:pPr>
          </w:p>
        </w:tc>
        <w:tc>
          <w:tcPr>
            <w:tcW w:w="800" w:type="dxa"/>
            <w:vAlign w:val="bottom"/>
          </w:tcPr>
          <w:p w:rsidR="00AC12B4" w:rsidRDefault="00AC12B4">
            <w:pPr>
              <w:rPr>
                <w:sz w:val="23"/>
                <w:szCs w:val="23"/>
              </w:rPr>
            </w:pPr>
          </w:p>
        </w:tc>
        <w:tc>
          <w:tcPr>
            <w:tcW w:w="660" w:type="dxa"/>
            <w:vAlign w:val="bottom"/>
          </w:tcPr>
          <w:p w:rsidR="00AC12B4" w:rsidRDefault="00AC12B4">
            <w:pPr>
              <w:rPr>
                <w:sz w:val="23"/>
                <w:szCs w:val="23"/>
              </w:rPr>
            </w:pPr>
          </w:p>
        </w:tc>
      </w:tr>
      <w:tr w:rsidR="00AC12B4">
        <w:trPr>
          <w:trHeight w:val="269"/>
        </w:trPr>
        <w:tc>
          <w:tcPr>
            <w:tcW w:w="1520" w:type="dxa"/>
            <w:vAlign w:val="bottom"/>
          </w:tcPr>
          <w:p w:rsidR="00AC12B4" w:rsidRDefault="00C27636">
            <w:pPr>
              <w:ind w:left="60"/>
              <w:rPr>
                <w:sz w:val="20"/>
                <w:szCs w:val="20"/>
              </w:rPr>
            </w:pPr>
            <w:r>
              <w:rPr>
                <w:rFonts w:ascii="Calibri" w:eastAsia="Calibri" w:hAnsi="Calibri" w:cs="Calibri"/>
                <w:color w:val="963266"/>
              </w:rPr>
              <w:t>biologiques</w:t>
            </w:r>
          </w:p>
        </w:tc>
        <w:tc>
          <w:tcPr>
            <w:tcW w:w="1040" w:type="dxa"/>
            <w:vAlign w:val="bottom"/>
          </w:tcPr>
          <w:p w:rsidR="00AC12B4" w:rsidRDefault="00AC12B4">
            <w:pPr>
              <w:rPr>
                <w:sz w:val="23"/>
                <w:szCs w:val="23"/>
              </w:rPr>
            </w:pPr>
          </w:p>
        </w:tc>
        <w:tc>
          <w:tcPr>
            <w:tcW w:w="800" w:type="dxa"/>
            <w:vAlign w:val="bottom"/>
          </w:tcPr>
          <w:p w:rsidR="00AC12B4" w:rsidRDefault="00C27636">
            <w:pPr>
              <w:jc w:val="right"/>
              <w:rPr>
                <w:sz w:val="20"/>
                <w:szCs w:val="20"/>
              </w:rPr>
            </w:pPr>
            <w:r>
              <w:rPr>
                <w:rFonts w:ascii="Calibri" w:eastAsia="Calibri" w:hAnsi="Calibri" w:cs="Calibri"/>
              </w:rPr>
              <w:t>8,0</w:t>
            </w:r>
          </w:p>
        </w:tc>
        <w:tc>
          <w:tcPr>
            <w:tcW w:w="660" w:type="dxa"/>
            <w:vAlign w:val="bottom"/>
          </w:tcPr>
          <w:p w:rsidR="00AC12B4" w:rsidRDefault="00AC12B4">
            <w:pPr>
              <w:rPr>
                <w:sz w:val="23"/>
                <w:szCs w:val="23"/>
              </w:rPr>
            </w:pPr>
          </w:p>
        </w:tc>
      </w:tr>
      <w:tr w:rsidR="00AC12B4">
        <w:trPr>
          <w:trHeight w:val="300"/>
        </w:trPr>
        <w:tc>
          <w:tcPr>
            <w:tcW w:w="1520" w:type="dxa"/>
            <w:vAlign w:val="bottom"/>
          </w:tcPr>
          <w:p w:rsidR="00AC12B4" w:rsidRDefault="00C27636">
            <w:pPr>
              <w:ind w:left="60"/>
              <w:rPr>
                <w:sz w:val="20"/>
                <w:szCs w:val="20"/>
              </w:rPr>
            </w:pPr>
            <w:r>
              <w:rPr>
                <w:rFonts w:ascii="Calibri" w:eastAsia="Calibri" w:hAnsi="Calibri" w:cs="Calibri"/>
                <w:color w:val="963266"/>
              </w:rPr>
              <w:t>Autres</w:t>
            </w:r>
          </w:p>
        </w:tc>
        <w:tc>
          <w:tcPr>
            <w:tcW w:w="1040" w:type="dxa"/>
            <w:vAlign w:val="bottom"/>
          </w:tcPr>
          <w:p w:rsidR="00AC12B4" w:rsidRDefault="00AC12B4">
            <w:pPr>
              <w:rPr>
                <w:sz w:val="24"/>
                <w:szCs w:val="24"/>
              </w:rPr>
            </w:pPr>
          </w:p>
        </w:tc>
        <w:tc>
          <w:tcPr>
            <w:tcW w:w="800" w:type="dxa"/>
            <w:vAlign w:val="bottom"/>
          </w:tcPr>
          <w:p w:rsidR="00AC12B4" w:rsidRDefault="00C27636">
            <w:pPr>
              <w:jc w:val="right"/>
              <w:rPr>
                <w:sz w:val="20"/>
                <w:szCs w:val="20"/>
              </w:rPr>
            </w:pPr>
            <w:r>
              <w:rPr>
                <w:rFonts w:ascii="Calibri" w:eastAsia="Calibri" w:hAnsi="Calibri" w:cs="Calibri"/>
              </w:rPr>
              <w:t>12,6</w:t>
            </w:r>
          </w:p>
        </w:tc>
        <w:tc>
          <w:tcPr>
            <w:tcW w:w="66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39616" behindDoc="1" locked="0" layoutInCell="0" allowOverlap="1">
                <wp:simplePos x="0" y="0"/>
                <wp:positionH relativeFrom="column">
                  <wp:posOffset>-11430</wp:posOffset>
                </wp:positionH>
                <wp:positionV relativeFrom="paragraph">
                  <wp:posOffset>8255</wp:posOffset>
                </wp:positionV>
                <wp:extent cx="2558415" cy="0"/>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4763"/>
                        </a:xfrm>
                        <a:prstGeom prst="line">
                          <a:avLst/>
                        </a:prstGeom>
                        <a:solidFill>
                          <a:srgbClr val="FFFFFF"/>
                        </a:solidFill>
                        <a:ln w="6095">
                          <a:solidFill>
                            <a:srgbClr val="963266"/>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0.65pt" to="200.55pt,0.65pt" o:allowincell="f" strokecolor="#963266" strokeweight="0.4799pt"/>
            </w:pict>
          </mc:Fallback>
        </mc:AlternateContent>
      </w:r>
    </w:p>
    <w:p w:rsidR="00AC12B4" w:rsidRDefault="00AC12B4">
      <w:pPr>
        <w:spacing w:line="33" w:lineRule="exact"/>
        <w:rPr>
          <w:sz w:val="20"/>
          <w:szCs w:val="20"/>
        </w:rPr>
      </w:pPr>
    </w:p>
    <w:p w:rsidR="00AC12B4" w:rsidRDefault="00C27636">
      <w:pPr>
        <w:spacing w:line="225" w:lineRule="auto"/>
        <w:ind w:left="60" w:right="737"/>
        <w:jc w:val="both"/>
        <w:rPr>
          <w:sz w:val="20"/>
          <w:szCs w:val="20"/>
        </w:rPr>
      </w:pPr>
      <w:r>
        <w:rPr>
          <w:rFonts w:ascii="Calibri" w:eastAsia="Calibri" w:hAnsi="Calibri" w:cs="Calibri"/>
          <w:b/>
          <w:bCs/>
          <w:color w:val="4F81BD"/>
          <w:sz w:val="18"/>
          <w:szCs w:val="18"/>
        </w:rPr>
        <w:t xml:space="preserve">Table 1.Facteurs associés </w:t>
      </w:r>
      <w:r>
        <w:rPr>
          <w:rFonts w:ascii="Calibri" w:eastAsia="Calibri" w:hAnsi="Calibri" w:cs="Calibri"/>
          <w:b/>
          <w:bCs/>
          <w:color w:val="4F81BD"/>
          <w:sz w:val="18"/>
          <w:szCs w:val="18"/>
        </w:rPr>
        <w:t>au fait d’avoir reçu des messages méchants ou moqueurs durant les 2 mois précédant l’enquête (n=21.880), HBSC 2014.</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35" w:lineRule="exact"/>
        <w:rPr>
          <w:sz w:val="20"/>
          <w:szCs w:val="20"/>
        </w:rPr>
      </w:pPr>
    </w:p>
    <w:p w:rsidR="00AC12B4" w:rsidRDefault="00C27636">
      <w:pPr>
        <w:spacing w:line="218" w:lineRule="auto"/>
        <w:ind w:left="60" w:right="737"/>
        <w:jc w:val="both"/>
        <w:rPr>
          <w:sz w:val="20"/>
          <w:szCs w:val="20"/>
        </w:rPr>
      </w:pPr>
      <w:r>
        <w:rPr>
          <w:rFonts w:ascii="Calibri" w:eastAsia="Calibri" w:hAnsi="Calibri" w:cs="Calibri"/>
        </w:rPr>
        <w:t>Note : Les données de comparaisons internationales seront disponibles mi 2016.</w:t>
      </w:r>
    </w:p>
    <w:p w:rsidR="00AC12B4" w:rsidRDefault="00AC12B4">
      <w:pPr>
        <w:sectPr w:rsidR="00AC12B4">
          <w:pgSz w:w="12080" w:h="17179"/>
          <w:pgMar w:top="1440" w:right="1440" w:bottom="659" w:left="430" w:header="0" w:footer="0" w:gutter="0"/>
          <w:cols w:num="3" w:space="720" w:equalWidth="0">
            <w:col w:w="342" w:space="668"/>
            <w:col w:w="4340" w:space="180"/>
            <w:col w:w="4677"/>
          </w:cols>
        </w:sectPr>
      </w:pPr>
    </w:p>
    <w:p w:rsidR="00AC12B4" w:rsidRDefault="00AC12B4">
      <w:pPr>
        <w:spacing w:line="248" w:lineRule="exact"/>
        <w:rPr>
          <w:sz w:val="20"/>
          <w:szCs w:val="20"/>
        </w:rPr>
      </w:pPr>
      <w:bookmarkStart w:id="58" w:name="page59"/>
      <w:bookmarkEnd w:id="58"/>
    </w:p>
    <w:p w:rsidR="00AC12B4" w:rsidRDefault="00C27636">
      <w:pPr>
        <w:ind w:left="800"/>
        <w:rPr>
          <w:sz w:val="20"/>
          <w:szCs w:val="20"/>
        </w:rPr>
      </w:pPr>
      <w:r>
        <w:rPr>
          <w:rFonts w:ascii="Cambria" w:eastAsia="Cambria" w:hAnsi="Cambria" w:cs="Cambria"/>
          <w:b/>
          <w:bCs/>
          <w:i/>
          <w:iCs/>
          <w:color w:val="963266"/>
          <w:sz w:val="26"/>
          <w:szCs w:val="26"/>
        </w:rPr>
        <w:t xml:space="preserve">D’où viennent ces chiffres </w:t>
      </w:r>
      <w:r>
        <w:rPr>
          <w:rFonts w:ascii="Cambria" w:eastAsia="Cambria" w:hAnsi="Cambria" w:cs="Cambria"/>
          <w:b/>
          <w:bCs/>
          <w:i/>
          <w:iCs/>
          <w:color w:val="963266"/>
          <w:sz w:val="26"/>
          <w:szCs w:val="26"/>
        </w:rPr>
        <w:t>?</w:t>
      </w:r>
    </w:p>
    <w:p w:rsidR="00AC12B4" w:rsidRDefault="00AC12B4">
      <w:pPr>
        <w:spacing w:line="166" w:lineRule="exact"/>
        <w:rPr>
          <w:sz w:val="20"/>
          <w:szCs w:val="20"/>
        </w:rPr>
      </w:pPr>
    </w:p>
    <w:p w:rsidR="00AC12B4" w:rsidRDefault="00C27636">
      <w:pPr>
        <w:numPr>
          <w:ilvl w:val="0"/>
          <w:numId w:val="55"/>
        </w:numPr>
        <w:tabs>
          <w:tab w:val="left" w:pos="1520"/>
        </w:tabs>
        <w:ind w:left="1520" w:hanging="353"/>
        <w:rPr>
          <w:rFonts w:ascii="Wingdings" w:eastAsia="Wingdings" w:hAnsi="Wingdings" w:cs="Wingdings"/>
          <w:color w:val="C95C96"/>
        </w:rPr>
      </w:pPr>
      <w:r>
        <w:rPr>
          <w:rFonts w:ascii="Cambria" w:eastAsia="Cambria" w:hAnsi="Cambria" w:cs="Cambria"/>
          <w:i/>
          <w:iCs/>
          <w:color w:val="C95C96"/>
        </w:rPr>
        <w:t>HBSC</w:t>
      </w:r>
    </w:p>
    <w:p w:rsidR="00AC12B4" w:rsidRDefault="00AC12B4">
      <w:pPr>
        <w:spacing w:line="202" w:lineRule="exact"/>
        <w:rPr>
          <w:sz w:val="20"/>
          <w:szCs w:val="20"/>
        </w:rPr>
      </w:pPr>
    </w:p>
    <w:p w:rsidR="00AC12B4" w:rsidRDefault="00C27636">
      <w:pPr>
        <w:spacing w:line="218" w:lineRule="auto"/>
        <w:ind w:left="1160" w:right="480"/>
        <w:rPr>
          <w:sz w:val="20"/>
          <w:szCs w:val="20"/>
        </w:rPr>
      </w:pPr>
      <w:r>
        <w:rPr>
          <w:rFonts w:ascii="Calibri" w:eastAsia="Calibri" w:hAnsi="Calibri" w:cs="Calibri"/>
        </w:rPr>
        <w:t>L’enquête HBSC est décrite dans la section « sources » de cette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40640" behindDoc="1" locked="0" layoutInCell="0" allowOverlap="1">
                <wp:simplePos x="0" y="0"/>
                <wp:positionH relativeFrom="column">
                  <wp:posOffset>2822575</wp:posOffset>
                </wp:positionH>
                <wp:positionV relativeFrom="paragraph">
                  <wp:posOffset>100330</wp:posOffset>
                </wp:positionV>
                <wp:extent cx="0" cy="4989195"/>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989195"/>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25pt,7.9pt" to="222.25pt,400.75pt" o:allowincell="f" strokecolor="#C95C96" strokeweight="2pt"/>
            </w:pict>
          </mc:Fallback>
        </mc:AlternateContent>
      </w:r>
      <w:r>
        <w:rPr>
          <w:noProof/>
          <w:sz w:val="20"/>
          <w:szCs w:val="20"/>
        </w:rPr>
        <mc:AlternateContent>
          <mc:Choice Requires="wps">
            <w:drawing>
              <wp:anchor distT="0" distB="0" distL="114300" distR="114300" simplePos="0" relativeHeight="251441664" behindDoc="1" locked="0" layoutInCell="0" allowOverlap="1">
                <wp:simplePos x="0" y="0"/>
                <wp:positionH relativeFrom="column">
                  <wp:posOffset>-336550</wp:posOffset>
                </wp:positionH>
                <wp:positionV relativeFrom="paragraph">
                  <wp:posOffset>113030</wp:posOffset>
                </wp:positionV>
                <wp:extent cx="3171825" cy="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71825"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99pt,8.9pt" to="223.25pt,8.9pt" o:allowincell="f" strokecolor="#C95C96" strokeweight="2pt"/>
            </w:pict>
          </mc:Fallback>
        </mc:AlternateContent>
      </w:r>
      <w:r>
        <w:rPr>
          <w:noProof/>
          <w:sz w:val="20"/>
          <w:szCs w:val="20"/>
        </w:rPr>
        <mc:AlternateContent>
          <mc:Choice Requires="wps">
            <w:drawing>
              <wp:anchor distT="0" distB="0" distL="114300" distR="114300" simplePos="0" relativeHeight="251442688" behindDoc="1" locked="0" layoutInCell="0" allowOverlap="1">
                <wp:simplePos x="0" y="0"/>
                <wp:positionH relativeFrom="column">
                  <wp:posOffset>-323850</wp:posOffset>
                </wp:positionH>
                <wp:positionV relativeFrom="paragraph">
                  <wp:posOffset>100330</wp:posOffset>
                </wp:positionV>
                <wp:extent cx="0" cy="4989195"/>
                <wp:effectExtent l="0" t="0" r="0" b="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989195"/>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999pt,7.9pt" to="-25.4999pt,400.75pt" o:allowincell="f" strokecolor="#C95C96" strokeweight="2pt"/>
            </w:pict>
          </mc:Fallback>
        </mc:AlternateContent>
      </w:r>
      <w:r>
        <w:rPr>
          <w:noProof/>
          <w:sz w:val="20"/>
          <w:szCs w:val="20"/>
        </w:rPr>
        <mc:AlternateContent>
          <mc:Choice Requires="wps">
            <w:drawing>
              <wp:anchor distT="0" distB="0" distL="114300" distR="114300" simplePos="0" relativeHeight="251443712" behindDoc="1" locked="0" layoutInCell="0" allowOverlap="1">
                <wp:simplePos x="0" y="0"/>
                <wp:positionH relativeFrom="column">
                  <wp:posOffset>-336550</wp:posOffset>
                </wp:positionH>
                <wp:positionV relativeFrom="paragraph">
                  <wp:posOffset>5076825</wp:posOffset>
                </wp:positionV>
                <wp:extent cx="3171825" cy="0"/>
                <wp:effectExtent l="0" t="0" r="0" b="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71825"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99pt,399.75pt" to="223.25pt,399.75pt" o:allowincell="f" strokecolor="#C95C96" strokeweight="2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73" w:lineRule="exact"/>
        <w:rPr>
          <w:sz w:val="20"/>
          <w:szCs w:val="20"/>
        </w:rPr>
      </w:pPr>
    </w:p>
    <w:p w:rsidR="00AC12B4" w:rsidRDefault="00C27636">
      <w:pPr>
        <w:rPr>
          <w:sz w:val="20"/>
          <w:szCs w:val="20"/>
        </w:rPr>
      </w:pPr>
      <w:r>
        <w:rPr>
          <w:rFonts w:eastAsia="Times New Roman"/>
          <w:b/>
          <w:bCs/>
          <w:color w:val="963266"/>
          <w:sz w:val="24"/>
          <w:szCs w:val="24"/>
        </w:rPr>
        <w:t>Question originale dans l’enquête HBSC:</w:t>
      </w:r>
    </w:p>
    <w:p w:rsidR="00AC12B4" w:rsidRDefault="00AC12B4">
      <w:pPr>
        <w:spacing w:line="205" w:lineRule="exact"/>
        <w:rPr>
          <w:sz w:val="20"/>
          <w:szCs w:val="20"/>
        </w:rPr>
      </w:pPr>
    </w:p>
    <w:p w:rsidR="00AC12B4" w:rsidRDefault="00C27636">
      <w:pPr>
        <w:ind w:left="20"/>
        <w:rPr>
          <w:sz w:val="20"/>
          <w:szCs w:val="20"/>
        </w:rPr>
      </w:pPr>
      <w:r>
        <w:rPr>
          <w:rFonts w:ascii="Calibri" w:eastAsia="Calibri" w:hAnsi="Calibri" w:cs="Calibri"/>
          <w:b/>
          <w:bCs/>
          <w:sz w:val="20"/>
          <w:szCs w:val="20"/>
        </w:rPr>
        <w:t>Harcèlement</w:t>
      </w:r>
    </w:p>
    <w:p w:rsidR="00AC12B4" w:rsidRDefault="00AC12B4">
      <w:pPr>
        <w:spacing w:line="163" w:lineRule="exact"/>
        <w:rPr>
          <w:sz w:val="20"/>
          <w:szCs w:val="20"/>
        </w:rPr>
      </w:pPr>
    </w:p>
    <w:p w:rsidR="00AC12B4" w:rsidRDefault="00C27636">
      <w:pPr>
        <w:numPr>
          <w:ilvl w:val="0"/>
          <w:numId w:val="56"/>
        </w:numPr>
        <w:tabs>
          <w:tab w:val="left" w:pos="380"/>
        </w:tabs>
        <w:spacing w:line="183" w:lineRule="auto"/>
        <w:ind w:left="380" w:right="880" w:hanging="365"/>
        <w:rPr>
          <w:rFonts w:ascii="Wingdings" w:eastAsia="Wingdings" w:hAnsi="Wingdings" w:cs="Wingdings"/>
          <w:sz w:val="31"/>
          <w:szCs w:val="31"/>
          <w:vertAlign w:val="superscript"/>
        </w:rPr>
      </w:pPr>
      <w:r>
        <w:rPr>
          <w:rFonts w:ascii="Calibri" w:eastAsia="Calibri" w:hAnsi="Calibri" w:cs="Calibri"/>
          <w:sz w:val="18"/>
          <w:szCs w:val="18"/>
        </w:rPr>
        <w:t>2010-2014 : Durant les 12 derniers mois, combien de fois t’es-tu bagarré(e) ou battu(e) ?</w:t>
      </w:r>
    </w:p>
    <w:p w:rsidR="00AC12B4" w:rsidRDefault="00AC12B4">
      <w:pPr>
        <w:spacing w:line="74" w:lineRule="exact"/>
        <w:rPr>
          <w:rFonts w:ascii="Wingdings" w:eastAsia="Wingdings" w:hAnsi="Wingdings" w:cs="Wingdings"/>
          <w:sz w:val="31"/>
          <w:szCs w:val="31"/>
          <w:vertAlign w:val="superscript"/>
        </w:rPr>
      </w:pPr>
    </w:p>
    <w:p w:rsidR="00AC12B4" w:rsidRDefault="00C27636">
      <w:pPr>
        <w:numPr>
          <w:ilvl w:val="0"/>
          <w:numId w:val="56"/>
        </w:numPr>
        <w:tabs>
          <w:tab w:val="left" w:pos="380"/>
        </w:tabs>
        <w:spacing w:line="207" w:lineRule="auto"/>
        <w:ind w:left="380" w:right="880" w:hanging="365"/>
        <w:jc w:val="both"/>
        <w:rPr>
          <w:rFonts w:ascii="Wingdings" w:eastAsia="Wingdings" w:hAnsi="Wingdings" w:cs="Wingdings"/>
          <w:sz w:val="32"/>
          <w:szCs w:val="32"/>
          <w:vertAlign w:val="superscript"/>
        </w:rPr>
      </w:pPr>
      <w:r>
        <w:rPr>
          <w:rFonts w:ascii="Calibri" w:eastAsia="Calibri" w:hAnsi="Calibri" w:cs="Calibri"/>
          <w:sz w:val="18"/>
          <w:szCs w:val="18"/>
        </w:rPr>
        <w:t xml:space="preserve">2010-2014 : Combien de fois </w:t>
      </w:r>
      <w:r>
        <w:rPr>
          <w:rFonts w:ascii="Calibri" w:eastAsia="Calibri" w:hAnsi="Calibri" w:cs="Calibri"/>
          <w:sz w:val="18"/>
          <w:szCs w:val="18"/>
        </w:rPr>
        <w:t>as-tu provoqué ou «cherché» un autre élève à l’école durant les 2 derniers mois ?</w:t>
      </w:r>
    </w:p>
    <w:p w:rsidR="00AC12B4" w:rsidRDefault="00AC12B4">
      <w:pPr>
        <w:spacing w:line="73" w:lineRule="exact"/>
        <w:rPr>
          <w:rFonts w:ascii="Wingdings" w:eastAsia="Wingdings" w:hAnsi="Wingdings" w:cs="Wingdings"/>
          <w:sz w:val="32"/>
          <w:szCs w:val="32"/>
          <w:vertAlign w:val="superscript"/>
        </w:rPr>
      </w:pPr>
    </w:p>
    <w:p w:rsidR="00AC12B4" w:rsidRDefault="00C27636">
      <w:pPr>
        <w:numPr>
          <w:ilvl w:val="0"/>
          <w:numId w:val="56"/>
        </w:numPr>
        <w:tabs>
          <w:tab w:val="left" w:pos="380"/>
        </w:tabs>
        <w:spacing w:line="180" w:lineRule="auto"/>
        <w:ind w:left="380" w:right="880" w:hanging="365"/>
        <w:jc w:val="both"/>
        <w:rPr>
          <w:rFonts w:ascii="Wingdings" w:eastAsia="Wingdings" w:hAnsi="Wingdings" w:cs="Wingdings"/>
          <w:sz w:val="32"/>
          <w:szCs w:val="32"/>
          <w:vertAlign w:val="superscript"/>
        </w:rPr>
      </w:pPr>
      <w:r>
        <w:rPr>
          <w:rFonts w:ascii="Calibri" w:eastAsia="Calibri" w:hAnsi="Calibri" w:cs="Calibri"/>
          <w:sz w:val="18"/>
          <w:szCs w:val="18"/>
        </w:rPr>
        <w:t>2010-2014 : Combien de fois as-tu été provoqué(e) ou «cherché(e)» à l’école durant les 2 derniers mois?</w:t>
      </w:r>
    </w:p>
    <w:p w:rsidR="00AC12B4" w:rsidRDefault="00AC12B4">
      <w:pPr>
        <w:spacing w:line="233" w:lineRule="exact"/>
        <w:rPr>
          <w:sz w:val="20"/>
          <w:szCs w:val="20"/>
        </w:rPr>
      </w:pPr>
    </w:p>
    <w:p w:rsidR="00AC12B4" w:rsidRDefault="00C27636">
      <w:pPr>
        <w:ind w:left="20"/>
        <w:rPr>
          <w:sz w:val="20"/>
          <w:szCs w:val="20"/>
        </w:rPr>
      </w:pPr>
      <w:r>
        <w:rPr>
          <w:rFonts w:ascii="Calibri" w:eastAsia="Calibri" w:hAnsi="Calibri" w:cs="Calibri"/>
          <w:b/>
          <w:bCs/>
          <w:sz w:val="20"/>
          <w:szCs w:val="20"/>
        </w:rPr>
        <w:t>Cyber harcèlement</w:t>
      </w:r>
    </w:p>
    <w:p w:rsidR="00AC12B4" w:rsidRDefault="00AC12B4">
      <w:pPr>
        <w:spacing w:line="163" w:lineRule="exact"/>
        <w:rPr>
          <w:sz w:val="20"/>
          <w:szCs w:val="20"/>
        </w:rPr>
      </w:pPr>
    </w:p>
    <w:p w:rsidR="00AC12B4" w:rsidRDefault="00C27636">
      <w:pPr>
        <w:numPr>
          <w:ilvl w:val="0"/>
          <w:numId w:val="57"/>
        </w:numPr>
        <w:tabs>
          <w:tab w:val="left" w:pos="380"/>
        </w:tabs>
        <w:spacing w:line="195" w:lineRule="auto"/>
        <w:ind w:left="380" w:right="880" w:hanging="365"/>
        <w:jc w:val="both"/>
        <w:rPr>
          <w:rFonts w:ascii="Wingdings" w:eastAsia="Wingdings" w:hAnsi="Wingdings" w:cs="Wingdings"/>
          <w:sz w:val="36"/>
          <w:szCs w:val="36"/>
          <w:vertAlign w:val="superscript"/>
        </w:rPr>
      </w:pPr>
      <w:r>
        <w:rPr>
          <w:rFonts w:ascii="Calibri" w:eastAsia="Calibri" w:hAnsi="Calibri" w:cs="Calibri"/>
          <w:sz w:val="18"/>
          <w:szCs w:val="18"/>
        </w:rPr>
        <w:t xml:space="preserve">2014 FWB (seule) : Combien de fois as-tu été </w:t>
      </w:r>
      <w:r>
        <w:rPr>
          <w:rFonts w:ascii="Calibri" w:eastAsia="Calibri" w:hAnsi="Calibri" w:cs="Calibri"/>
          <w:sz w:val="18"/>
          <w:szCs w:val="18"/>
        </w:rPr>
        <w:t>provoqué(e) ou «cherché(e)» de la façon suivante durant les 2 derniers mois ?</w:t>
      </w:r>
    </w:p>
    <w:p w:rsidR="00AC12B4" w:rsidRDefault="00AC12B4">
      <w:pPr>
        <w:spacing w:line="86" w:lineRule="exact"/>
        <w:rPr>
          <w:rFonts w:ascii="Wingdings" w:eastAsia="Wingdings" w:hAnsi="Wingdings" w:cs="Wingdings"/>
          <w:sz w:val="36"/>
          <w:szCs w:val="36"/>
          <w:vertAlign w:val="superscript"/>
        </w:rPr>
      </w:pPr>
    </w:p>
    <w:p w:rsidR="00AC12B4" w:rsidRDefault="00C27636">
      <w:pPr>
        <w:numPr>
          <w:ilvl w:val="1"/>
          <w:numId w:val="57"/>
        </w:numPr>
        <w:tabs>
          <w:tab w:val="left" w:pos="740"/>
        </w:tabs>
        <w:spacing w:line="277" w:lineRule="auto"/>
        <w:ind w:left="740" w:right="880" w:hanging="365"/>
        <w:jc w:val="both"/>
        <w:rPr>
          <w:rFonts w:ascii="Symbol" w:eastAsia="Symbol" w:hAnsi="Symbol" w:cs="Symbol"/>
          <w:sz w:val="17"/>
          <w:szCs w:val="17"/>
        </w:rPr>
      </w:pPr>
      <w:r>
        <w:rPr>
          <w:rFonts w:ascii="Calibri" w:eastAsia="Calibri" w:hAnsi="Calibri" w:cs="Calibri"/>
          <w:sz w:val="17"/>
          <w:szCs w:val="17"/>
        </w:rPr>
        <w:t>Quelqu’un m’a envoyé des messages instantanés, a posté des messages sur mon mur, m’a envoyé des mails et des sms méchants, ou a créé un site web pour se moquer de moi.</w:t>
      </w:r>
    </w:p>
    <w:p w:rsidR="00AC12B4" w:rsidRDefault="00AC12B4">
      <w:pPr>
        <w:spacing w:line="51" w:lineRule="exact"/>
        <w:rPr>
          <w:rFonts w:ascii="Symbol" w:eastAsia="Symbol" w:hAnsi="Symbol" w:cs="Symbol"/>
          <w:sz w:val="17"/>
          <w:szCs w:val="17"/>
        </w:rPr>
      </w:pPr>
    </w:p>
    <w:p w:rsidR="00AC12B4" w:rsidRDefault="00C27636">
      <w:pPr>
        <w:numPr>
          <w:ilvl w:val="1"/>
          <w:numId w:val="57"/>
        </w:numPr>
        <w:tabs>
          <w:tab w:val="left" w:pos="740"/>
        </w:tabs>
        <w:spacing w:line="247" w:lineRule="auto"/>
        <w:ind w:left="740" w:right="880" w:hanging="365"/>
        <w:jc w:val="both"/>
        <w:rPr>
          <w:rFonts w:ascii="Symbol" w:eastAsia="Symbol" w:hAnsi="Symbol" w:cs="Symbol"/>
          <w:sz w:val="18"/>
          <w:szCs w:val="18"/>
        </w:rPr>
      </w:pPr>
      <w:r>
        <w:rPr>
          <w:rFonts w:ascii="Calibri" w:eastAsia="Calibri" w:hAnsi="Calibri" w:cs="Calibri"/>
          <w:sz w:val="18"/>
          <w:szCs w:val="18"/>
        </w:rPr>
        <w:t>Quelqu’u</w:t>
      </w:r>
      <w:r>
        <w:rPr>
          <w:rFonts w:ascii="Calibri" w:eastAsia="Calibri" w:hAnsi="Calibri" w:cs="Calibri"/>
          <w:sz w:val="18"/>
          <w:szCs w:val="18"/>
        </w:rPr>
        <w:t>n a pris des photos de moi peu flatteuses ou inappropriées sans me demander la permission et les a mises en ligne.</w:t>
      </w:r>
    </w:p>
    <w:p w:rsidR="00AC12B4" w:rsidRDefault="00AC12B4">
      <w:pPr>
        <w:spacing w:line="274" w:lineRule="exact"/>
        <w:rPr>
          <w:rFonts w:ascii="Symbol" w:eastAsia="Symbol" w:hAnsi="Symbol" w:cs="Symbol"/>
          <w:sz w:val="18"/>
          <w:szCs w:val="18"/>
        </w:rPr>
      </w:pPr>
    </w:p>
    <w:p w:rsidR="00AC12B4" w:rsidRDefault="00C27636">
      <w:pPr>
        <w:spacing w:line="225" w:lineRule="auto"/>
        <w:ind w:left="740" w:right="880"/>
        <w:jc w:val="both"/>
        <w:rPr>
          <w:rFonts w:ascii="Symbol" w:eastAsia="Symbol" w:hAnsi="Symbol" w:cs="Symbol"/>
          <w:sz w:val="18"/>
          <w:szCs w:val="18"/>
        </w:rPr>
      </w:pPr>
      <w:r>
        <w:rPr>
          <w:rFonts w:ascii="Calibri" w:eastAsia="Calibri" w:hAnsi="Calibri" w:cs="Calibri"/>
          <w:sz w:val="20"/>
          <w:szCs w:val="20"/>
        </w:rPr>
        <w:t>L’objectif est de faire reprendre ces questions sur le cyber harcèlement par le 2 Communautés.</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23" w:lineRule="exact"/>
        <w:rPr>
          <w:sz w:val="20"/>
          <w:szCs w:val="20"/>
        </w:rPr>
      </w:pPr>
    </w:p>
    <w:p w:rsidR="00AC12B4" w:rsidRDefault="00C27636">
      <w:pPr>
        <w:spacing w:line="225" w:lineRule="auto"/>
        <w:ind w:left="1160" w:right="480"/>
        <w:jc w:val="both"/>
        <w:rPr>
          <w:sz w:val="20"/>
          <w:szCs w:val="20"/>
        </w:rPr>
      </w:pPr>
      <w:r>
        <w:rPr>
          <w:rFonts w:ascii="Calibri" w:eastAsia="Calibri" w:hAnsi="Calibri" w:cs="Calibri"/>
        </w:rPr>
        <w:t xml:space="preserve">publication (Partie I). L’objectif, les </w:t>
      </w:r>
      <w:r>
        <w:rPr>
          <w:rFonts w:ascii="Calibri" w:eastAsia="Calibri" w:hAnsi="Calibri" w:cs="Calibri"/>
        </w:rPr>
        <w:t>modalités et les limites des données collectées y sont présentés.</w:t>
      </w:r>
    </w:p>
    <w:p w:rsidR="00AC12B4" w:rsidRDefault="00AC12B4">
      <w:pPr>
        <w:spacing w:line="172" w:lineRule="exact"/>
        <w:rPr>
          <w:sz w:val="20"/>
          <w:szCs w:val="20"/>
        </w:rPr>
      </w:pPr>
    </w:p>
    <w:p w:rsidR="00AC12B4" w:rsidRDefault="00C27636">
      <w:pPr>
        <w:spacing w:line="229" w:lineRule="auto"/>
        <w:ind w:left="1160" w:right="480"/>
        <w:jc w:val="both"/>
        <w:rPr>
          <w:sz w:val="20"/>
          <w:szCs w:val="20"/>
        </w:rPr>
      </w:pPr>
      <w:r>
        <w:rPr>
          <w:rFonts w:ascii="Calibri" w:eastAsia="Calibri" w:hAnsi="Calibri" w:cs="Calibri"/>
        </w:rPr>
        <w:t>Cette question est présente dans l’enquête flamande depuis 2010. Elle a été reprise pour la première fois dans la version francophone en 2014.</w:t>
      </w:r>
    </w:p>
    <w:p w:rsidR="00AC12B4" w:rsidRDefault="00AC12B4">
      <w:pPr>
        <w:spacing w:line="128" w:lineRule="exact"/>
        <w:rPr>
          <w:sz w:val="20"/>
          <w:szCs w:val="20"/>
        </w:rPr>
      </w:pPr>
    </w:p>
    <w:p w:rsidR="00AC12B4" w:rsidRDefault="00C27636">
      <w:pPr>
        <w:numPr>
          <w:ilvl w:val="0"/>
          <w:numId w:val="58"/>
        </w:numPr>
        <w:tabs>
          <w:tab w:val="left" w:pos="1520"/>
        </w:tabs>
        <w:ind w:left="1520" w:hanging="353"/>
        <w:rPr>
          <w:rFonts w:ascii="Wingdings" w:eastAsia="Wingdings" w:hAnsi="Wingdings" w:cs="Wingdings"/>
          <w:color w:val="C95C96"/>
        </w:rPr>
      </w:pPr>
      <w:r>
        <w:rPr>
          <w:rFonts w:ascii="Cambria" w:eastAsia="Cambria" w:hAnsi="Cambria" w:cs="Cambria"/>
          <w:i/>
          <w:iCs/>
          <w:color w:val="C95C96"/>
        </w:rPr>
        <w:t>Recommandations</w:t>
      </w:r>
    </w:p>
    <w:p w:rsidR="00AC12B4" w:rsidRDefault="00AC12B4">
      <w:pPr>
        <w:spacing w:line="199" w:lineRule="exact"/>
        <w:rPr>
          <w:sz w:val="20"/>
          <w:szCs w:val="20"/>
        </w:rPr>
      </w:pPr>
    </w:p>
    <w:p w:rsidR="00AC12B4" w:rsidRDefault="00C27636">
      <w:pPr>
        <w:spacing w:line="218" w:lineRule="auto"/>
        <w:ind w:left="800" w:right="480"/>
        <w:rPr>
          <w:sz w:val="20"/>
          <w:szCs w:val="20"/>
        </w:rPr>
      </w:pPr>
      <w:r>
        <w:rPr>
          <w:rFonts w:ascii="Calibri" w:eastAsia="Calibri" w:hAnsi="Calibri" w:cs="Calibri"/>
        </w:rPr>
        <w:t xml:space="preserve">L’Enquête HBSC devrait être </w:t>
      </w:r>
      <w:r>
        <w:rPr>
          <w:rFonts w:ascii="Calibri" w:eastAsia="Calibri" w:hAnsi="Calibri" w:cs="Calibri"/>
        </w:rPr>
        <w:t>étendue aux élèves de l’enseignement spécialisé.</w:t>
      </w:r>
    </w:p>
    <w:p w:rsidR="00AC12B4" w:rsidRDefault="00AC12B4">
      <w:pPr>
        <w:spacing w:line="170" w:lineRule="exact"/>
        <w:rPr>
          <w:sz w:val="20"/>
          <w:szCs w:val="20"/>
        </w:rPr>
      </w:pPr>
    </w:p>
    <w:p w:rsidR="00AC12B4" w:rsidRDefault="00C27636">
      <w:pPr>
        <w:spacing w:line="218" w:lineRule="auto"/>
        <w:ind w:left="800" w:right="480"/>
        <w:rPr>
          <w:sz w:val="20"/>
          <w:szCs w:val="20"/>
        </w:rPr>
      </w:pPr>
      <w:r>
        <w:rPr>
          <w:rFonts w:ascii="Calibri" w:eastAsia="Calibri" w:hAnsi="Calibri" w:cs="Calibri"/>
        </w:rPr>
        <w:t>La Communauté germanophone devrait participer à cette enquête.</w:t>
      </w:r>
    </w:p>
    <w:p w:rsidR="00AC12B4" w:rsidRDefault="00AC12B4">
      <w:pPr>
        <w:spacing w:line="200" w:lineRule="exact"/>
        <w:rPr>
          <w:sz w:val="20"/>
          <w:szCs w:val="20"/>
        </w:rPr>
      </w:pPr>
    </w:p>
    <w:p w:rsidR="00AC12B4" w:rsidRDefault="00AC12B4">
      <w:pPr>
        <w:spacing w:line="324" w:lineRule="exact"/>
        <w:rPr>
          <w:sz w:val="20"/>
          <w:szCs w:val="20"/>
        </w:rPr>
      </w:pPr>
    </w:p>
    <w:p w:rsidR="00AC12B4" w:rsidRDefault="00C27636">
      <w:pPr>
        <w:jc w:val="right"/>
        <w:rPr>
          <w:sz w:val="20"/>
          <w:szCs w:val="20"/>
        </w:rPr>
      </w:pPr>
      <w:r>
        <w:rPr>
          <w:rFonts w:ascii="Calibri" w:eastAsia="Calibri" w:hAnsi="Calibri" w:cs="Calibri"/>
        </w:rPr>
        <w:t>59</w:t>
      </w:r>
    </w:p>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Default="00C27636">
      <w:pPr>
        <w:spacing w:line="233" w:lineRule="auto"/>
        <w:ind w:right="88"/>
        <w:jc w:val="both"/>
        <w:rPr>
          <w:sz w:val="20"/>
          <w:szCs w:val="20"/>
        </w:rPr>
      </w:pPr>
      <w:r>
        <w:rPr>
          <w:rFonts w:ascii="Calibri" w:eastAsia="Calibri" w:hAnsi="Calibri" w:cs="Calibri"/>
        </w:rPr>
        <w:t xml:space="preserve">En principe, toute confrontation avec de la violence, quelle qu’en soit la forme, par exemple également suite à des problèmes en </w:t>
      </w:r>
      <w:r>
        <w:rPr>
          <w:rFonts w:ascii="Calibri" w:eastAsia="Calibri" w:hAnsi="Calibri" w:cs="Calibri"/>
        </w:rPr>
        <w:t>matière de sécurité routière, devrait être questionnée. Il n’y a pas d’argument objectif justifiant de mettre en avant uniquement la violence entre pairs.</w:t>
      </w:r>
    </w:p>
    <w:p w:rsidR="00AC12B4" w:rsidRDefault="00AC12B4">
      <w:pPr>
        <w:spacing w:line="132" w:lineRule="exact"/>
        <w:rPr>
          <w:sz w:val="20"/>
          <w:szCs w:val="20"/>
        </w:rPr>
      </w:pPr>
    </w:p>
    <w:p w:rsidR="00AC12B4" w:rsidRDefault="00C27636">
      <w:pPr>
        <w:numPr>
          <w:ilvl w:val="0"/>
          <w:numId w:val="59"/>
        </w:numPr>
        <w:tabs>
          <w:tab w:val="left" w:pos="720"/>
        </w:tabs>
        <w:ind w:left="720" w:hanging="368"/>
        <w:rPr>
          <w:rFonts w:ascii="Wingdings" w:eastAsia="Wingdings" w:hAnsi="Wingdings" w:cs="Wingdings"/>
          <w:color w:val="C95C96"/>
        </w:rPr>
      </w:pPr>
      <w:r>
        <w:rPr>
          <w:rFonts w:ascii="Cambria" w:eastAsia="Cambria" w:hAnsi="Cambria" w:cs="Cambria"/>
          <w:i/>
          <w:iCs/>
          <w:color w:val="C95C96"/>
        </w:rPr>
        <w:t>Limite de la mesure</w:t>
      </w:r>
    </w:p>
    <w:p w:rsidR="00AC12B4" w:rsidRDefault="00AC12B4">
      <w:pPr>
        <w:spacing w:line="202" w:lineRule="exact"/>
        <w:rPr>
          <w:sz w:val="20"/>
          <w:szCs w:val="20"/>
        </w:rPr>
      </w:pPr>
    </w:p>
    <w:p w:rsidR="00AC12B4" w:rsidRDefault="00C27636">
      <w:pPr>
        <w:spacing w:line="224" w:lineRule="auto"/>
        <w:ind w:right="88"/>
        <w:jc w:val="both"/>
        <w:rPr>
          <w:sz w:val="20"/>
          <w:szCs w:val="20"/>
        </w:rPr>
      </w:pPr>
      <w:r>
        <w:rPr>
          <w:rFonts w:ascii="Calibri" w:eastAsia="Calibri" w:hAnsi="Calibri" w:cs="Calibri"/>
        </w:rPr>
        <w:t>Actuellement, cette enquête n’est pas menée au niveau de la Communauté germanop</w:t>
      </w:r>
      <w:r>
        <w:rPr>
          <w:rFonts w:ascii="Calibri" w:eastAsia="Calibri" w:hAnsi="Calibri" w:cs="Calibri"/>
        </w:rPr>
        <w:t>hone.</w:t>
      </w:r>
    </w:p>
    <w:p w:rsidR="00AC12B4" w:rsidRDefault="00AC12B4">
      <w:pPr>
        <w:spacing w:line="172" w:lineRule="exact"/>
        <w:rPr>
          <w:sz w:val="20"/>
          <w:szCs w:val="20"/>
        </w:rPr>
      </w:pPr>
    </w:p>
    <w:p w:rsidR="00AC12B4" w:rsidRDefault="00C27636">
      <w:pPr>
        <w:spacing w:line="218" w:lineRule="auto"/>
        <w:ind w:right="88"/>
        <w:jc w:val="both"/>
        <w:rPr>
          <w:sz w:val="20"/>
          <w:szCs w:val="20"/>
        </w:rPr>
      </w:pPr>
      <w:r>
        <w:rPr>
          <w:rFonts w:ascii="Calibri" w:eastAsia="Calibri" w:hAnsi="Calibri" w:cs="Calibri"/>
        </w:rPr>
        <w:t>De plus, les élèves de l’enseignement spécialisé ne sont pas interrogés.</w:t>
      </w:r>
    </w:p>
    <w:p w:rsidR="00AC12B4" w:rsidRDefault="00AC12B4">
      <w:pPr>
        <w:spacing w:line="170" w:lineRule="exact"/>
        <w:rPr>
          <w:sz w:val="20"/>
          <w:szCs w:val="20"/>
        </w:rPr>
      </w:pPr>
    </w:p>
    <w:p w:rsidR="00AC12B4" w:rsidRDefault="00C27636">
      <w:pPr>
        <w:spacing w:line="232" w:lineRule="auto"/>
        <w:ind w:right="88"/>
        <w:jc w:val="both"/>
        <w:rPr>
          <w:sz w:val="20"/>
          <w:szCs w:val="20"/>
        </w:rPr>
      </w:pPr>
      <w:r>
        <w:rPr>
          <w:rFonts w:ascii="Calibri" w:eastAsia="Calibri" w:hAnsi="Calibri" w:cs="Calibri"/>
        </w:rPr>
        <w:t>Seuls les élèves présents le jour de l’enquête remplissent le questionnaire. Cela signifie que les élèves absents car malades, non-scolarisés, ou séchant les cours ne sont pas</w:t>
      </w:r>
      <w:r>
        <w:rPr>
          <w:rFonts w:ascii="Calibri" w:eastAsia="Calibri" w:hAnsi="Calibri" w:cs="Calibri"/>
        </w:rPr>
        <w:t xml:space="preserve"> repris dans cette enquête.</w:t>
      </w:r>
    </w:p>
    <w:p w:rsidR="00AC12B4" w:rsidRDefault="00AC12B4">
      <w:pPr>
        <w:spacing w:line="175" w:lineRule="exact"/>
        <w:rPr>
          <w:sz w:val="20"/>
          <w:szCs w:val="20"/>
        </w:rPr>
      </w:pPr>
    </w:p>
    <w:p w:rsidR="00AC12B4" w:rsidRDefault="00C27636">
      <w:pPr>
        <w:spacing w:line="236" w:lineRule="auto"/>
        <w:ind w:right="68"/>
        <w:jc w:val="both"/>
        <w:rPr>
          <w:sz w:val="20"/>
          <w:szCs w:val="20"/>
        </w:rPr>
      </w:pPr>
      <w:r>
        <w:rPr>
          <w:rFonts w:ascii="Calibri" w:eastAsia="Calibri" w:hAnsi="Calibri" w:cs="Calibri"/>
        </w:rPr>
        <w:t>Les limites de ce qui est considéré comme un acte violent ou provocateur sont évidemment subjectives. Différentes personnes qualifieront différemment une même situation. Il se peut donc bien qu’un jeune se soit senti « provoqué</w:t>
      </w:r>
      <w:r>
        <w:rPr>
          <w:rFonts w:ascii="Calibri" w:eastAsia="Calibri" w:hAnsi="Calibri" w:cs="Calibri"/>
        </w:rPr>
        <w:t xml:space="preserve"> » sans que la personne en cause ne se soit perçue comme provocatrice. Finalement, ce qui importe dans cette analyse, c’est le sentiment de l’enfant d’avoir été confronté à de la violence par ses pairs.</w:t>
      </w:r>
    </w:p>
    <w:p w:rsidR="00AC12B4" w:rsidRDefault="00AC12B4">
      <w:pPr>
        <w:spacing w:line="204" w:lineRule="exact"/>
        <w:rPr>
          <w:sz w:val="20"/>
          <w:szCs w:val="20"/>
        </w:rPr>
      </w:pPr>
    </w:p>
    <w:p w:rsidR="00AC12B4" w:rsidRDefault="00C27636">
      <w:pPr>
        <w:rPr>
          <w:sz w:val="20"/>
          <w:szCs w:val="20"/>
        </w:rPr>
      </w:pPr>
      <w:r>
        <w:rPr>
          <w:rFonts w:ascii="Cambria" w:eastAsia="Cambria" w:hAnsi="Cambria" w:cs="Cambria"/>
          <w:b/>
          <w:bCs/>
          <w:i/>
          <w:iCs/>
          <w:color w:val="963266"/>
          <w:sz w:val="26"/>
          <w:szCs w:val="26"/>
        </w:rPr>
        <w:t>Pour aller plus loin</w:t>
      </w:r>
    </w:p>
    <w:p w:rsidR="00AC12B4" w:rsidRDefault="00AC12B4">
      <w:pPr>
        <w:spacing w:line="169" w:lineRule="exact"/>
        <w:rPr>
          <w:sz w:val="20"/>
          <w:szCs w:val="20"/>
        </w:rPr>
      </w:pPr>
    </w:p>
    <w:p w:rsidR="00AC12B4" w:rsidRDefault="00C27636">
      <w:pPr>
        <w:numPr>
          <w:ilvl w:val="1"/>
          <w:numId w:val="60"/>
        </w:numPr>
        <w:tabs>
          <w:tab w:val="left" w:pos="720"/>
        </w:tabs>
        <w:ind w:left="720" w:hanging="368"/>
        <w:rPr>
          <w:rFonts w:ascii="Wingdings" w:eastAsia="Wingdings" w:hAnsi="Wingdings" w:cs="Wingdings"/>
          <w:color w:val="C95C96"/>
          <w:sz w:val="20"/>
          <w:szCs w:val="20"/>
        </w:rPr>
      </w:pPr>
      <w:r>
        <w:rPr>
          <w:rFonts w:ascii="Cambria" w:eastAsia="Cambria" w:hAnsi="Cambria" w:cs="Cambria"/>
          <w:i/>
          <w:iCs/>
          <w:color w:val="C95C96"/>
          <w:sz w:val="20"/>
          <w:szCs w:val="20"/>
        </w:rPr>
        <w:t>Harcèlement classique</w:t>
      </w:r>
    </w:p>
    <w:p w:rsidR="00AC12B4" w:rsidRDefault="00AC12B4">
      <w:pPr>
        <w:spacing w:line="150" w:lineRule="exact"/>
        <w:rPr>
          <w:rFonts w:ascii="Wingdings" w:eastAsia="Wingdings" w:hAnsi="Wingdings" w:cs="Wingdings"/>
          <w:color w:val="C95C96"/>
          <w:sz w:val="20"/>
          <w:szCs w:val="20"/>
        </w:rPr>
      </w:pPr>
    </w:p>
    <w:p w:rsidR="00AC12B4" w:rsidRDefault="00C27636">
      <w:pPr>
        <w:numPr>
          <w:ilvl w:val="0"/>
          <w:numId w:val="60"/>
        </w:numPr>
        <w:tabs>
          <w:tab w:val="left" w:pos="420"/>
        </w:tabs>
        <w:ind w:left="420" w:hanging="361"/>
        <w:rPr>
          <w:rFonts w:ascii="Symbol" w:eastAsia="Symbol" w:hAnsi="Symbol" w:cs="Symbol"/>
          <w:sz w:val="20"/>
          <w:szCs w:val="20"/>
        </w:rPr>
      </w:pPr>
      <w:r>
        <w:rPr>
          <w:rFonts w:ascii="Calibri" w:eastAsia="Calibri" w:hAnsi="Calibri" w:cs="Calibri"/>
          <w:b/>
          <w:bCs/>
          <w:i/>
          <w:iCs/>
          <w:color w:val="963266"/>
          <w:sz w:val="20"/>
          <w:szCs w:val="20"/>
        </w:rPr>
        <w:t xml:space="preserve">La </w:t>
      </w:r>
      <w:r>
        <w:rPr>
          <w:rFonts w:ascii="Calibri" w:eastAsia="Calibri" w:hAnsi="Calibri" w:cs="Calibri"/>
          <w:b/>
          <w:bCs/>
          <w:i/>
          <w:iCs/>
          <w:color w:val="963266"/>
          <w:sz w:val="20"/>
          <w:szCs w:val="20"/>
        </w:rPr>
        <w:t>Communauté flamande</w:t>
      </w:r>
    </w:p>
    <w:p w:rsidR="00AC12B4" w:rsidRDefault="00AC12B4">
      <w:pPr>
        <w:spacing w:line="83" w:lineRule="exact"/>
        <w:rPr>
          <w:rFonts w:ascii="Symbol" w:eastAsia="Symbol" w:hAnsi="Symbol" w:cs="Symbol"/>
          <w:sz w:val="20"/>
          <w:szCs w:val="20"/>
        </w:rPr>
      </w:pPr>
    </w:p>
    <w:p w:rsidR="00AC12B4" w:rsidRDefault="00C27636">
      <w:pPr>
        <w:spacing w:line="236" w:lineRule="auto"/>
        <w:ind w:left="420" w:right="88"/>
        <w:rPr>
          <w:rFonts w:ascii="Symbol" w:eastAsia="Symbol" w:hAnsi="Symbol" w:cs="Symbol"/>
          <w:sz w:val="20"/>
          <w:szCs w:val="20"/>
        </w:rPr>
      </w:pPr>
      <w:r>
        <w:rPr>
          <w:rFonts w:ascii="Calibri" w:eastAsia="Calibri" w:hAnsi="Calibri" w:cs="Calibri"/>
          <w:sz w:val="20"/>
          <w:szCs w:val="20"/>
        </w:rPr>
        <w:t>Résultats JOP-Moniteur 2013 du Jeugdonderzoeksplatform:</w:t>
      </w:r>
    </w:p>
    <w:p w:rsidR="00AC12B4" w:rsidRDefault="00AC12B4">
      <w:pPr>
        <w:spacing w:line="281" w:lineRule="exact"/>
        <w:rPr>
          <w:rFonts w:ascii="Symbol" w:eastAsia="Symbol" w:hAnsi="Symbol" w:cs="Symbol"/>
          <w:sz w:val="20"/>
          <w:szCs w:val="20"/>
        </w:rPr>
      </w:pPr>
    </w:p>
    <w:p w:rsidR="00AC12B4" w:rsidRDefault="00C27636">
      <w:pPr>
        <w:spacing w:line="236" w:lineRule="auto"/>
        <w:ind w:left="420" w:right="88"/>
        <w:jc w:val="both"/>
        <w:rPr>
          <w:rFonts w:ascii="Symbol" w:eastAsia="Symbol" w:hAnsi="Symbol" w:cs="Symbol"/>
          <w:sz w:val="20"/>
          <w:szCs w:val="20"/>
        </w:rPr>
      </w:pPr>
      <w:r>
        <w:rPr>
          <w:rFonts w:ascii="Calibri" w:eastAsia="Calibri" w:hAnsi="Calibri" w:cs="Calibri"/>
          <w:sz w:val="20"/>
          <w:szCs w:val="20"/>
        </w:rPr>
        <w:t>« Combien de fois as-tu été harcelé l’année passée »: 90,4% jamais; 4,4% 1 fois; 1,9% 2 fois; 0,6% 3 fois; 2,8% plus de 3 fois. Les garçons indiquent un problème d’harcèlement un</w:t>
      </w:r>
      <w:r>
        <w:rPr>
          <w:rFonts w:ascii="Calibri" w:eastAsia="Calibri" w:hAnsi="Calibri" w:cs="Calibri"/>
          <w:sz w:val="20"/>
          <w:szCs w:val="20"/>
        </w:rPr>
        <w:t xml:space="preserve"> peu plus élevé que les filles (10,3% des garçons versus 8,7% des filles). Les jeunes entre 14 et 17 ans déclarent plus de problèmes de harcèlement que les jeunes âgés de plus de 18 ans : 15,2% versus environ 10% et moins (le chiffre descend avec l’âge – m</w:t>
      </w:r>
      <w:r>
        <w:rPr>
          <w:rFonts w:ascii="Calibri" w:eastAsia="Calibri" w:hAnsi="Calibri" w:cs="Calibri"/>
          <w:sz w:val="20"/>
          <w:szCs w:val="20"/>
        </w:rPr>
        <w:t>esuré jusque 30 ans). En 2008, encore</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trPr>
          <w:trHeight w:val="4100"/>
        </w:trPr>
        <w:tc>
          <w:tcPr>
            <w:tcW w:w="330" w:type="dxa"/>
            <w:textDirection w:val="btLr"/>
            <w:vAlign w:val="bottom"/>
          </w:tcPr>
          <w:p w:rsidR="00AC12B4" w:rsidRDefault="00C27636">
            <w:pPr>
              <w:rPr>
                <w:sz w:val="20"/>
                <w:szCs w:val="20"/>
              </w:rPr>
            </w:pPr>
            <w:r>
              <w:rPr>
                <w:rFonts w:ascii="Calibri" w:eastAsia="Calibri" w:hAnsi="Calibri" w:cs="Calibri"/>
                <w:b/>
                <w:bCs/>
                <w:i/>
                <w:iCs/>
                <w:color w:val="F2F2F2"/>
                <w:sz w:val="27"/>
                <w:szCs w:val="27"/>
              </w:rPr>
              <w:lastRenderedPageBreak/>
              <w:t>Le droit de poursuivre son bien-être</w:t>
            </w: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44736" behindDoc="1" locked="0" layoutInCell="0" allowOverlap="1">
                <wp:simplePos x="0" y="0"/>
                <wp:positionH relativeFrom="column">
                  <wp:posOffset>-220980</wp:posOffset>
                </wp:positionH>
                <wp:positionV relativeFrom="paragraph">
                  <wp:posOffset>-9943465</wp:posOffset>
                </wp:positionV>
                <wp:extent cx="734060" cy="10906760"/>
                <wp:effectExtent l="0" t="0" r="0" b="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100" o:spid="_x0000_s1125" style="position:absolute;margin-left:-17.3999pt;margin-top:-782.9499pt;width:57.8pt;height:85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p>
    <w:p w:rsidR="00AC12B4" w:rsidRDefault="00AC12B4">
      <w:pPr>
        <w:sectPr w:rsidR="00AC12B4">
          <w:pgSz w:w="12080" w:h="17179"/>
          <w:pgMar w:top="1440" w:right="479" w:bottom="659" w:left="1200" w:header="0" w:footer="0" w:gutter="0"/>
          <w:cols w:num="3" w:space="720" w:equalWidth="0">
            <w:col w:w="5160" w:space="240"/>
            <w:col w:w="3948" w:space="720"/>
            <w:col w:w="330"/>
          </w:cols>
        </w:sectPr>
      </w:pPr>
    </w:p>
    <w:bookmarkStart w:id="59" w:name="page60"/>
    <w:bookmarkEnd w:id="59"/>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445760" behindDoc="1" locked="0" layoutInCell="0" allowOverlap="1">
                <wp:simplePos x="0" y="0"/>
                <wp:positionH relativeFrom="page">
                  <wp:posOffset>0</wp:posOffset>
                </wp:positionH>
                <wp:positionV relativeFrom="page">
                  <wp:posOffset>0</wp:posOffset>
                </wp:positionV>
                <wp:extent cx="727075" cy="10905490"/>
                <wp:effectExtent l="0" t="0" r="0" b="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7075" cy="10905490"/>
                        </a:xfrm>
                        <a:prstGeom prst="rect">
                          <a:avLst/>
                        </a:prstGeom>
                        <a:solidFill>
                          <a:srgbClr val="C95C96"/>
                        </a:solidFill>
                      </wps:spPr>
                      <wps:bodyPr/>
                    </wps:wsp>
                  </a:graphicData>
                </a:graphic>
              </wp:anchor>
            </w:drawing>
          </mc:Choice>
          <mc:Fallback>
            <w:pict>
              <v:rect id="Shape 101" o:spid="_x0000_s1126" style="position:absolute;margin-left:0pt;margin-top:0pt;width:57.25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41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de poursuivre son bien-être</w:t>
            </w:r>
          </w:p>
        </w:tc>
      </w:tr>
    </w:tbl>
    <w:p w:rsidR="00AC12B4" w:rsidRDefault="00C27636">
      <w:pPr>
        <w:spacing w:line="20" w:lineRule="exact"/>
        <w:rPr>
          <w:sz w:val="20"/>
          <w:szCs w:val="20"/>
        </w:rPr>
      </w:pPr>
      <w:r>
        <w:rPr>
          <w:sz w:val="20"/>
          <w:szCs w:val="20"/>
        </w:rPr>
        <w:br w:type="column"/>
      </w:r>
    </w:p>
    <w:p w:rsidR="00AC12B4" w:rsidRDefault="00AC12B4">
      <w:pPr>
        <w:spacing w:line="191" w:lineRule="exact"/>
        <w:rPr>
          <w:sz w:val="20"/>
          <w:szCs w:val="20"/>
        </w:rPr>
      </w:pPr>
    </w:p>
    <w:p w:rsidR="00AC12B4" w:rsidRDefault="00C27636">
      <w:pPr>
        <w:spacing w:line="228" w:lineRule="auto"/>
        <w:ind w:left="60"/>
        <w:jc w:val="both"/>
        <w:rPr>
          <w:sz w:val="20"/>
          <w:szCs w:val="20"/>
        </w:rPr>
      </w:pPr>
      <w:r>
        <w:rPr>
          <w:rFonts w:ascii="Calibri" w:eastAsia="Calibri" w:hAnsi="Calibri" w:cs="Calibri"/>
          <w:sz w:val="20"/>
          <w:szCs w:val="20"/>
        </w:rPr>
        <w:t>beaucoup plus de jeunes rapportaient un problème de harcèlement (20% des garçons et 15,7% des filles ; 26,4% des jeunes entre 14 et 17 ans).</w:t>
      </w:r>
    </w:p>
    <w:p w:rsidR="00AC12B4" w:rsidRDefault="00AC12B4">
      <w:pPr>
        <w:spacing w:line="169" w:lineRule="exact"/>
        <w:rPr>
          <w:sz w:val="20"/>
          <w:szCs w:val="20"/>
        </w:rPr>
      </w:pPr>
    </w:p>
    <w:p w:rsidR="00AC12B4" w:rsidRDefault="00C27636">
      <w:pPr>
        <w:numPr>
          <w:ilvl w:val="0"/>
          <w:numId w:val="61"/>
        </w:numPr>
        <w:tabs>
          <w:tab w:val="left" w:pos="209"/>
        </w:tabs>
        <w:spacing w:line="234" w:lineRule="auto"/>
        <w:ind w:left="60" w:firstLine="8"/>
        <w:rPr>
          <w:rFonts w:ascii="Calibri" w:eastAsia="Calibri" w:hAnsi="Calibri" w:cs="Calibri"/>
          <w:color w:val="0000FF"/>
          <w:sz w:val="20"/>
          <w:szCs w:val="20"/>
          <w:u w:val="single"/>
        </w:rPr>
      </w:pPr>
      <w:r>
        <w:rPr>
          <w:rFonts w:ascii="Calibri" w:eastAsia="Calibri" w:hAnsi="Calibri" w:cs="Calibri"/>
          <w:sz w:val="20"/>
          <w:szCs w:val="20"/>
        </w:rPr>
        <w:t>Je suis harcelé à l’école »: 72,7%: pas du tout d’accord; 20,4% pas d’accord; 3,9% entre les 2; 1,6% d’accord; 1,5% tout à fait d’accord. 3,9% des garçons versus 2,3% des filles. Il n’y a pas de différences entre les mineurs et les jeunes majeurs. Source :</w:t>
      </w:r>
      <w:r>
        <w:rPr>
          <w:rFonts w:ascii="Calibri" w:eastAsia="Calibri" w:hAnsi="Calibri" w:cs="Calibri"/>
          <w:sz w:val="20"/>
          <w:szCs w:val="20"/>
        </w:rPr>
        <w:t xml:space="preserve"> </w:t>
      </w:r>
      <w:hyperlink r:id="rId67">
        <w:r>
          <w:rPr>
            <w:rFonts w:ascii="Calibri" w:eastAsia="Calibri" w:hAnsi="Calibri" w:cs="Calibri"/>
            <w:color w:val="0000FF"/>
            <w:sz w:val="20"/>
            <w:szCs w:val="20"/>
            <w:u w:val="single"/>
          </w:rPr>
          <w:t>http://databank.jeugdonderzoeksplatfor</w:t>
        </w:r>
      </w:hyperlink>
      <w:r>
        <w:rPr>
          <w:rFonts w:ascii="Calibri" w:eastAsia="Calibri" w:hAnsi="Calibri" w:cs="Calibri"/>
          <w:color w:val="0000FF"/>
          <w:sz w:val="20"/>
          <w:szCs w:val="20"/>
          <w:u w:val="single"/>
        </w:rPr>
        <w:t xml:space="preserve"> </w:t>
      </w:r>
      <w:hyperlink r:id="rId68">
        <w:r>
          <w:rPr>
            <w:rFonts w:ascii="Calibri" w:eastAsia="Calibri" w:hAnsi="Calibri" w:cs="Calibri"/>
            <w:color w:val="0000FF"/>
            <w:sz w:val="20"/>
            <w:szCs w:val="20"/>
            <w:u w:val="single"/>
          </w:rPr>
          <w:t>m.be</w:t>
        </w:r>
      </w:hyperlink>
    </w:p>
    <w:p w:rsidR="00AC12B4" w:rsidRDefault="00AC12B4">
      <w:pPr>
        <w:spacing w:line="169" w:lineRule="exact"/>
        <w:rPr>
          <w:rFonts w:ascii="Calibri" w:eastAsia="Calibri" w:hAnsi="Calibri" w:cs="Calibri"/>
          <w:sz w:val="20"/>
          <w:szCs w:val="20"/>
        </w:rPr>
      </w:pPr>
    </w:p>
    <w:p w:rsidR="00AC12B4" w:rsidRDefault="00C27636">
      <w:pPr>
        <w:spacing w:line="228" w:lineRule="auto"/>
        <w:ind w:left="60"/>
        <w:jc w:val="both"/>
        <w:rPr>
          <w:sz w:val="20"/>
          <w:szCs w:val="20"/>
        </w:rPr>
      </w:pPr>
      <w:r>
        <w:rPr>
          <w:rFonts w:ascii="Calibri" w:eastAsia="Calibri" w:hAnsi="Calibri" w:cs="Calibri"/>
          <w:sz w:val="20"/>
          <w:szCs w:val="20"/>
        </w:rPr>
        <w:t>Tableau: Zelfgerapporteerd slachtofferschap van klassiek pestgedrag naar geslacht en</w:t>
      </w:r>
      <w:r>
        <w:rPr>
          <w:rFonts w:ascii="Calibri" w:eastAsia="Calibri" w:hAnsi="Calibri" w:cs="Calibri"/>
          <w:sz w:val="20"/>
          <w:szCs w:val="20"/>
        </w:rPr>
        <w:t xml:space="preserve"> onderwijsvorm – Vlaanderen</w:t>
      </w:r>
    </w:p>
    <w:p w:rsidR="00AC12B4" w:rsidRDefault="00C27636">
      <w:pPr>
        <w:spacing w:line="20" w:lineRule="exact"/>
        <w:rPr>
          <w:rFonts w:ascii="Calibri" w:eastAsia="Calibri" w:hAnsi="Calibri" w:cs="Calibri"/>
          <w:sz w:val="20"/>
          <w:szCs w:val="20"/>
        </w:rPr>
      </w:pPr>
      <w:r>
        <w:rPr>
          <w:rFonts w:ascii="Calibri" w:eastAsia="Calibri" w:hAnsi="Calibri" w:cs="Calibri"/>
          <w:noProof/>
          <w:sz w:val="20"/>
          <w:szCs w:val="20"/>
        </w:rPr>
        <w:drawing>
          <wp:anchor distT="0" distB="0" distL="114300" distR="114300" simplePos="0" relativeHeight="251446784" behindDoc="1" locked="0" layoutInCell="0" allowOverlap="1">
            <wp:simplePos x="0" y="0"/>
            <wp:positionH relativeFrom="column">
              <wp:posOffset>-227965</wp:posOffset>
            </wp:positionH>
            <wp:positionV relativeFrom="paragraph">
              <wp:posOffset>80645</wp:posOffset>
            </wp:positionV>
            <wp:extent cx="2636520" cy="129413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9">
                      <a:extLst/>
                    </a:blip>
                    <a:srcRect/>
                    <a:stretch>
                      <a:fillRect/>
                    </a:stretch>
                  </pic:blipFill>
                  <pic:spPr bwMode="auto">
                    <a:xfrm>
                      <a:off x="0" y="0"/>
                      <a:ext cx="2636520" cy="1294130"/>
                    </a:xfrm>
                    <a:prstGeom prst="rect">
                      <a:avLst/>
                    </a:prstGeom>
                    <a:noFill/>
                  </pic:spPr>
                </pic:pic>
              </a:graphicData>
            </a:graphic>
          </wp:anchor>
        </w:drawing>
      </w: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307" w:lineRule="exact"/>
        <w:rPr>
          <w:rFonts w:ascii="Calibri" w:eastAsia="Calibri" w:hAnsi="Calibri" w:cs="Calibri"/>
          <w:sz w:val="20"/>
          <w:szCs w:val="20"/>
        </w:rPr>
      </w:pPr>
    </w:p>
    <w:p w:rsidR="00AC12B4" w:rsidRDefault="00C27636">
      <w:pPr>
        <w:spacing w:line="233" w:lineRule="auto"/>
        <w:jc w:val="both"/>
        <w:rPr>
          <w:sz w:val="20"/>
          <w:szCs w:val="20"/>
        </w:rPr>
      </w:pPr>
      <w:r>
        <w:rPr>
          <w:rFonts w:ascii="Calibri" w:eastAsia="Calibri" w:hAnsi="Calibri" w:cs="Calibri"/>
          <w:sz w:val="20"/>
          <w:szCs w:val="20"/>
        </w:rPr>
        <w:t xml:space="preserve">Voir aussi De Boeck, A., ”Over zelfwaardering, slachtofferschap van (cyber)pesten, en de beschermende invloed van vrienden”, in: </w:t>
      </w:r>
      <w:r>
        <w:rPr>
          <w:rFonts w:ascii="Calibri" w:eastAsia="Calibri" w:hAnsi="Calibri" w:cs="Calibri"/>
          <w:i/>
          <w:iCs/>
          <w:sz w:val="20"/>
          <w:szCs w:val="20"/>
        </w:rPr>
        <w:t>Jongeren in</w:t>
      </w:r>
      <w:r>
        <w:rPr>
          <w:rFonts w:ascii="Calibri" w:eastAsia="Calibri" w:hAnsi="Calibri" w:cs="Calibri"/>
          <w:sz w:val="20"/>
          <w:szCs w:val="20"/>
        </w:rPr>
        <w:t xml:space="preserve"> </w:t>
      </w:r>
      <w:r>
        <w:rPr>
          <w:rFonts w:ascii="Calibri" w:eastAsia="Calibri" w:hAnsi="Calibri" w:cs="Calibri"/>
          <w:i/>
          <w:iCs/>
          <w:sz w:val="20"/>
          <w:szCs w:val="20"/>
        </w:rPr>
        <w:t>Cijfers en Letters: Bevindingen uit de JOP-Monitor 3 en de JOP-School-Moni</w:t>
      </w:r>
      <w:r>
        <w:rPr>
          <w:rFonts w:ascii="Calibri" w:eastAsia="Calibri" w:hAnsi="Calibri" w:cs="Calibri"/>
          <w:i/>
          <w:iCs/>
          <w:sz w:val="20"/>
          <w:szCs w:val="20"/>
        </w:rPr>
        <w:t>tor 2013</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Leuven, Acco, 2014, 111-13.</w:t>
      </w:r>
    </w:p>
    <w:p w:rsidR="00AC12B4" w:rsidRDefault="00AC12B4">
      <w:pPr>
        <w:spacing w:line="173" w:lineRule="exact"/>
        <w:rPr>
          <w:rFonts w:ascii="Calibri" w:eastAsia="Calibri" w:hAnsi="Calibri" w:cs="Calibri"/>
          <w:sz w:val="20"/>
          <w:szCs w:val="20"/>
        </w:rPr>
      </w:pPr>
    </w:p>
    <w:p w:rsidR="00AC12B4" w:rsidRDefault="00C27636">
      <w:pPr>
        <w:spacing w:line="234" w:lineRule="auto"/>
        <w:ind w:left="60"/>
        <w:jc w:val="both"/>
        <w:rPr>
          <w:sz w:val="20"/>
          <w:szCs w:val="20"/>
        </w:rPr>
      </w:pPr>
      <w:r>
        <w:rPr>
          <w:rFonts w:ascii="Calibri" w:eastAsia="Calibri" w:hAnsi="Calibri" w:cs="Calibri"/>
          <w:sz w:val="20"/>
          <w:szCs w:val="20"/>
        </w:rPr>
        <w:t>La Communauté flamande annonce pour mars 2017 (rapport final septembre 2018) le lancement d’une recherche scientifique quantitative périodique (tous les 5 ans) sur la prévalence de violence envers l’enfant (jeunes 10-</w:t>
      </w:r>
      <w:r>
        <w:rPr>
          <w:rFonts w:ascii="Calibri" w:eastAsia="Calibri" w:hAnsi="Calibri" w:cs="Calibri"/>
          <w:sz w:val="20"/>
          <w:szCs w:val="20"/>
        </w:rPr>
        <w:t>18 ans) dans ses différents cadres de vie. Cette recherche sera basée sur les indicateurs</w:t>
      </w:r>
    </w:p>
    <w:p w:rsidR="00AC12B4" w:rsidRDefault="00C27636">
      <w:pPr>
        <w:tabs>
          <w:tab w:val="left" w:pos="1840"/>
          <w:tab w:val="left" w:pos="3360"/>
        </w:tabs>
        <w:ind w:left="60"/>
        <w:rPr>
          <w:sz w:val="20"/>
          <w:szCs w:val="20"/>
        </w:rPr>
      </w:pPr>
      <w:r>
        <w:rPr>
          <w:rFonts w:ascii="Calibri" w:eastAsia="Calibri" w:hAnsi="Calibri" w:cs="Calibri"/>
          <w:sz w:val="20"/>
          <w:szCs w:val="20"/>
        </w:rPr>
        <w:t>utilisés</w:t>
      </w:r>
      <w:r>
        <w:rPr>
          <w:sz w:val="20"/>
          <w:szCs w:val="20"/>
        </w:rPr>
        <w:tab/>
      </w:r>
      <w:r>
        <w:rPr>
          <w:rFonts w:ascii="Calibri" w:eastAsia="Calibri" w:hAnsi="Calibri" w:cs="Calibri"/>
          <w:sz w:val="20"/>
          <w:szCs w:val="20"/>
        </w:rPr>
        <w:t>par</w:t>
      </w:r>
      <w:r>
        <w:rPr>
          <w:sz w:val="20"/>
          <w:szCs w:val="20"/>
        </w:rPr>
        <w:tab/>
      </w:r>
      <w:r>
        <w:rPr>
          <w:rFonts w:ascii="Calibri" w:eastAsia="Calibri" w:hAnsi="Calibri" w:cs="Calibri"/>
          <w:sz w:val="19"/>
          <w:szCs w:val="19"/>
        </w:rPr>
        <w:t>le</w:t>
      </w:r>
    </w:p>
    <w:p w:rsidR="00AC12B4" w:rsidRDefault="00AC12B4">
      <w:pPr>
        <w:spacing w:line="47" w:lineRule="exact"/>
        <w:rPr>
          <w:rFonts w:ascii="Calibri" w:eastAsia="Calibri" w:hAnsi="Calibri" w:cs="Calibri"/>
          <w:sz w:val="20"/>
          <w:szCs w:val="20"/>
        </w:rPr>
      </w:pPr>
    </w:p>
    <w:p w:rsidR="00AC12B4" w:rsidRDefault="00C27636">
      <w:pPr>
        <w:spacing w:line="235" w:lineRule="auto"/>
        <w:ind w:left="60"/>
        <w:jc w:val="both"/>
        <w:rPr>
          <w:sz w:val="20"/>
          <w:szCs w:val="20"/>
        </w:rPr>
      </w:pPr>
      <w:r>
        <w:rPr>
          <w:rFonts w:ascii="Calibri" w:eastAsia="Calibri" w:hAnsi="Calibri" w:cs="Calibri"/>
          <w:sz w:val="20"/>
          <w:szCs w:val="20"/>
        </w:rPr>
        <w:t xml:space="preserve">Kinderrechtencommissariaat (Geweld gemeld en geteld). Cette recherche se situe dans le cadre d’un plan d’action en vue de la promotion et de la </w:t>
      </w:r>
      <w:r>
        <w:rPr>
          <w:rFonts w:ascii="Calibri" w:eastAsia="Calibri" w:hAnsi="Calibri" w:cs="Calibri"/>
          <w:sz w:val="20"/>
          <w:szCs w:val="20"/>
        </w:rPr>
        <w:t>protection de l’intégrité physique, psychique et sexuelle du mineur dans l’aide à la jeunesse, l’accueil de la petite enfance, l’enseignement, le secteur de la jeunesse et du sport, en vue d’une approche transversale.</w:t>
      </w:r>
    </w:p>
    <w:p w:rsidR="00AC12B4" w:rsidRDefault="00C27636">
      <w:pPr>
        <w:spacing w:line="20" w:lineRule="exact"/>
        <w:rPr>
          <w:rFonts w:ascii="Calibri" w:eastAsia="Calibri" w:hAnsi="Calibri" w:cs="Calibri"/>
          <w:sz w:val="20"/>
          <w:szCs w:val="20"/>
        </w:rPr>
      </w:pPr>
      <w:r>
        <w:rPr>
          <w:rFonts w:ascii="Calibri" w:eastAsia="Calibri" w:hAnsi="Calibri" w:cs="Calibri"/>
          <w:sz w:val="20"/>
          <w:szCs w:val="20"/>
        </w:rPr>
        <w:br w:type="column"/>
      </w:r>
    </w:p>
    <w:p w:rsidR="00AC12B4" w:rsidRDefault="00AC12B4">
      <w:pPr>
        <w:spacing w:line="146" w:lineRule="exact"/>
        <w:rPr>
          <w:rFonts w:ascii="Calibri" w:eastAsia="Calibri" w:hAnsi="Calibri" w:cs="Calibri"/>
          <w:sz w:val="20"/>
          <w:szCs w:val="20"/>
        </w:rPr>
      </w:pPr>
    </w:p>
    <w:p w:rsidR="00AC12B4" w:rsidRDefault="00C27636">
      <w:pPr>
        <w:numPr>
          <w:ilvl w:val="0"/>
          <w:numId w:val="62"/>
        </w:numPr>
        <w:tabs>
          <w:tab w:val="left" w:pos="900"/>
        </w:tabs>
        <w:ind w:left="900" w:hanging="367"/>
        <w:rPr>
          <w:rFonts w:ascii="Symbol" w:eastAsia="Symbol" w:hAnsi="Symbol" w:cs="Symbol"/>
          <w:sz w:val="20"/>
          <w:szCs w:val="20"/>
        </w:rPr>
      </w:pPr>
      <w:r>
        <w:rPr>
          <w:rFonts w:ascii="Calibri" w:eastAsia="Calibri" w:hAnsi="Calibri" w:cs="Calibri"/>
          <w:b/>
          <w:bCs/>
          <w:i/>
          <w:iCs/>
          <w:color w:val="963266"/>
          <w:sz w:val="20"/>
          <w:szCs w:val="20"/>
        </w:rPr>
        <w:t>Fédération Wallonie-Bruxelles</w:t>
      </w:r>
    </w:p>
    <w:p w:rsidR="00AC12B4" w:rsidRDefault="00AC12B4">
      <w:pPr>
        <w:spacing w:line="282" w:lineRule="exact"/>
        <w:rPr>
          <w:rFonts w:ascii="Symbol" w:eastAsia="Symbol" w:hAnsi="Symbol" w:cs="Symbol"/>
          <w:sz w:val="20"/>
          <w:szCs w:val="20"/>
        </w:rPr>
      </w:pPr>
    </w:p>
    <w:p w:rsidR="00AC12B4" w:rsidRDefault="00C27636">
      <w:pPr>
        <w:spacing w:line="228" w:lineRule="auto"/>
        <w:ind w:left="820" w:right="737"/>
        <w:jc w:val="both"/>
        <w:rPr>
          <w:rFonts w:ascii="Symbol" w:eastAsia="Symbol" w:hAnsi="Symbol" w:cs="Symbol"/>
          <w:sz w:val="20"/>
          <w:szCs w:val="20"/>
        </w:rPr>
      </w:pPr>
      <w:r>
        <w:rPr>
          <w:rFonts w:ascii="Calibri" w:eastAsia="Calibri" w:hAnsi="Calibri" w:cs="Calibri"/>
          <w:sz w:val="20"/>
          <w:szCs w:val="20"/>
        </w:rPr>
        <w:t>B. G</w:t>
      </w:r>
      <w:r>
        <w:rPr>
          <w:rFonts w:ascii="Calibri" w:eastAsia="Calibri" w:hAnsi="Calibri" w:cs="Calibri"/>
          <w:sz w:val="20"/>
          <w:szCs w:val="20"/>
        </w:rPr>
        <w:t xml:space="preserve">ALANT, V. HOSPEL et N. BAUDOIN, </w:t>
      </w:r>
      <w:r>
        <w:rPr>
          <w:rFonts w:ascii="Calibri" w:eastAsia="Calibri" w:hAnsi="Calibri" w:cs="Calibri"/>
          <w:i/>
          <w:iCs/>
          <w:sz w:val="20"/>
          <w:szCs w:val="20"/>
        </w:rPr>
        <w:t>Prévalence du harcèlement en Fédération Wallonie-Bruxelles: Rapport d'enquête</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GIRSEF, UCL, février 2014. Rapport</w:t>
      </w:r>
    </w:p>
    <w:p w:rsidR="00AC12B4" w:rsidRDefault="00AC12B4">
      <w:pPr>
        <w:spacing w:line="46" w:lineRule="exact"/>
        <w:rPr>
          <w:rFonts w:ascii="Symbol" w:eastAsia="Symbol" w:hAnsi="Symbol" w:cs="Symbol"/>
          <w:sz w:val="20"/>
          <w:szCs w:val="20"/>
        </w:rPr>
      </w:pPr>
    </w:p>
    <w:p w:rsidR="00AC12B4" w:rsidRDefault="00C27636">
      <w:pPr>
        <w:spacing w:line="242" w:lineRule="auto"/>
        <w:ind w:left="820" w:right="737"/>
        <w:jc w:val="both"/>
        <w:rPr>
          <w:rFonts w:ascii="Symbol" w:eastAsia="Symbol" w:hAnsi="Symbol" w:cs="Symbol"/>
          <w:sz w:val="20"/>
          <w:szCs w:val="20"/>
        </w:rPr>
      </w:pPr>
      <w:r>
        <w:rPr>
          <w:rFonts w:ascii="Calibri" w:eastAsia="Calibri" w:hAnsi="Calibri" w:cs="Calibri"/>
          <w:sz w:val="19"/>
          <w:szCs w:val="19"/>
        </w:rPr>
        <w:t>d’enquête sur un échantillon d’élèves (de la 6</w:t>
      </w:r>
      <w:r>
        <w:rPr>
          <w:rFonts w:ascii="Calibri" w:eastAsia="Calibri" w:hAnsi="Calibri" w:cs="Calibri"/>
          <w:sz w:val="24"/>
          <w:szCs w:val="24"/>
          <w:vertAlign w:val="superscript"/>
        </w:rPr>
        <w:t>ème</w:t>
      </w:r>
      <w:r>
        <w:rPr>
          <w:rFonts w:ascii="Calibri" w:eastAsia="Calibri" w:hAnsi="Calibri" w:cs="Calibri"/>
          <w:sz w:val="19"/>
          <w:szCs w:val="19"/>
        </w:rPr>
        <w:t xml:space="preserve"> primaire à la 3</w:t>
      </w:r>
      <w:r>
        <w:rPr>
          <w:rFonts w:ascii="Calibri" w:eastAsia="Calibri" w:hAnsi="Calibri" w:cs="Calibri"/>
          <w:sz w:val="24"/>
          <w:szCs w:val="24"/>
          <w:vertAlign w:val="superscript"/>
        </w:rPr>
        <w:t>ème</w:t>
      </w:r>
      <w:r>
        <w:rPr>
          <w:rFonts w:ascii="Calibri" w:eastAsia="Calibri" w:hAnsi="Calibri" w:cs="Calibri"/>
          <w:sz w:val="19"/>
          <w:szCs w:val="19"/>
        </w:rPr>
        <w:t xml:space="preserve"> secondaire) ayant répondu à diverses questions portant sur leur vécu en matière d’harcèlement (en tant que victime ou auteur). Il en ressort que la forme verbale (insulte, moquerie) est la forme de harcèlement la plus courante. La victimisation est faible</w:t>
      </w:r>
      <w:r>
        <w:rPr>
          <w:rFonts w:ascii="Calibri" w:eastAsia="Calibri" w:hAnsi="Calibri" w:cs="Calibri"/>
          <w:sz w:val="19"/>
          <w:szCs w:val="19"/>
        </w:rPr>
        <w:t>ment associée à l’année d’étude (les plus jeunes sont les plus harcelés) et les garçons sont plus souvent auteurs d’harcèlement.</w:t>
      </w:r>
    </w:p>
    <w:p w:rsidR="00AC12B4" w:rsidRDefault="00AC12B4">
      <w:pPr>
        <w:spacing w:line="172" w:lineRule="exact"/>
        <w:rPr>
          <w:rFonts w:ascii="Calibri" w:eastAsia="Calibri" w:hAnsi="Calibri" w:cs="Calibri"/>
          <w:sz w:val="20"/>
          <w:szCs w:val="20"/>
        </w:rPr>
      </w:pPr>
    </w:p>
    <w:p w:rsidR="00AC12B4" w:rsidRDefault="00C27636">
      <w:pPr>
        <w:spacing w:line="229" w:lineRule="auto"/>
        <w:ind w:left="820" w:right="737"/>
        <w:jc w:val="both"/>
        <w:rPr>
          <w:sz w:val="20"/>
          <w:szCs w:val="20"/>
        </w:rPr>
      </w:pPr>
      <w:r>
        <w:rPr>
          <w:rFonts w:ascii="Calibri" w:eastAsia="Calibri" w:hAnsi="Calibri" w:cs="Calibri"/>
          <w:sz w:val="20"/>
          <w:szCs w:val="20"/>
        </w:rPr>
        <w:t>Dans cette enquête, plus d’un élève sur trois est touché par le harcèlement scolaire (qu’il soit victime (16%), auteur (14%) o</w:t>
      </w:r>
      <w:r>
        <w:rPr>
          <w:rFonts w:ascii="Calibri" w:eastAsia="Calibri" w:hAnsi="Calibri" w:cs="Calibri"/>
          <w:sz w:val="20"/>
          <w:szCs w:val="20"/>
        </w:rPr>
        <w:t>u les deux à la fois (5%)).</w:t>
      </w:r>
    </w:p>
    <w:p w:rsidR="00AC12B4" w:rsidRDefault="00AC12B4">
      <w:pPr>
        <w:spacing w:line="124" w:lineRule="exact"/>
        <w:rPr>
          <w:rFonts w:ascii="Calibri" w:eastAsia="Calibri" w:hAnsi="Calibri" w:cs="Calibri"/>
          <w:sz w:val="20"/>
          <w:szCs w:val="20"/>
        </w:rPr>
      </w:pPr>
    </w:p>
    <w:p w:rsidR="00AC12B4" w:rsidRDefault="00C27636">
      <w:pPr>
        <w:numPr>
          <w:ilvl w:val="0"/>
          <w:numId w:val="63"/>
        </w:numPr>
        <w:tabs>
          <w:tab w:val="left" w:pos="1180"/>
        </w:tabs>
        <w:ind w:left="1180" w:hanging="355"/>
        <w:rPr>
          <w:rFonts w:ascii="Wingdings" w:eastAsia="Wingdings" w:hAnsi="Wingdings" w:cs="Wingdings"/>
          <w:color w:val="C95C96"/>
          <w:sz w:val="20"/>
          <w:szCs w:val="20"/>
        </w:rPr>
      </w:pPr>
      <w:r>
        <w:rPr>
          <w:rFonts w:ascii="Cambria" w:eastAsia="Cambria" w:hAnsi="Cambria" w:cs="Cambria"/>
          <w:i/>
          <w:iCs/>
          <w:color w:val="C95C96"/>
          <w:sz w:val="20"/>
          <w:szCs w:val="20"/>
        </w:rPr>
        <w:t>Cyber-harcèlement</w:t>
      </w:r>
    </w:p>
    <w:p w:rsidR="00AC12B4" w:rsidRDefault="00AC12B4">
      <w:pPr>
        <w:spacing w:line="198" w:lineRule="exact"/>
        <w:rPr>
          <w:rFonts w:ascii="Calibri" w:eastAsia="Calibri" w:hAnsi="Calibri" w:cs="Calibri"/>
          <w:sz w:val="20"/>
          <w:szCs w:val="20"/>
        </w:rPr>
      </w:pPr>
    </w:p>
    <w:p w:rsidR="00AC12B4" w:rsidRDefault="00C27636">
      <w:pPr>
        <w:spacing w:line="230" w:lineRule="auto"/>
        <w:ind w:left="460" w:right="737"/>
        <w:jc w:val="both"/>
        <w:rPr>
          <w:sz w:val="20"/>
          <w:szCs w:val="20"/>
        </w:rPr>
      </w:pPr>
      <w:r>
        <w:rPr>
          <w:rFonts w:ascii="Calibri" w:eastAsia="Calibri" w:hAnsi="Calibri" w:cs="Calibri"/>
          <w:sz w:val="20"/>
          <w:szCs w:val="20"/>
        </w:rPr>
        <w:t xml:space="preserve">En Flandre, la fréquence de cyber-harcèlement est un peu inférieure à celle du harcèlement classique. Dans les deux cas, 3 à 5% des jeunes signalent en avoir été plusieurs fois victimes au cours de l’année </w:t>
      </w:r>
      <w:r>
        <w:rPr>
          <w:rFonts w:ascii="Calibri" w:eastAsia="Calibri" w:hAnsi="Calibri" w:cs="Calibri"/>
          <w:sz w:val="20"/>
          <w:szCs w:val="20"/>
        </w:rPr>
        <w:t>dernière (JOP-moniteur 2013).</w:t>
      </w:r>
    </w:p>
    <w:p w:rsidR="00AC12B4" w:rsidRDefault="00AC12B4">
      <w:pPr>
        <w:spacing w:line="169" w:lineRule="exact"/>
        <w:rPr>
          <w:rFonts w:ascii="Calibri" w:eastAsia="Calibri" w:hAnsi="Calibri" w:cs="Calibri"/>
          <w:sz w:val="20"/>
          <w:szCs w:val="20"/>
        </w:rPr>
      </w:pPr>
    </w:p>
    <w:p w:rsidR="00AC12B4" w:rsidRDefault="00C27636">
      <w:pPr>
        <w:spacing w:line="222" w:lineRule="auto"/>
        <w:ind w:left="460" w:right="737"/>
        <w:jc w:val="both"/>
        <w:rPr>
          <w:sz w:val="20"/>
          <w:szCs w:val="20"/>
        </w:rPr>
      </w:pPr>
      <w:r>
        <w:rPr>
          <w:rFonts w:ascii="Calibri" w:eastAsia="Calibri" w:hAnsi="Calibri" w:cs="Calibri"/>
          <w:sz w:val="20"/>
          <w:szCs w:val="20"/>
        </w:rPr>
        <w:t>Dans une enquête de 2009 auprès d’écoles néerlandophones et francophones, 34,3% de jeunes déclaraient avoir déjà été victime de cyber-harcèlement</w:t>
      </w:r>
      <w:r>
        <w:rPr>
          <w:rFonts w:ascii="Calibri" w:eastAsia="Calibri" w:hAnsi="Calibri" w:cs="Calibri"/>
          <w:sz w:val="25"/>
          <w:szCs w:val="25"/>
          <w:vertAlign w:val="superscript"/>
        </w:rPr>
        <w:t>1</w:t>
      </w:r>
      <w:r>
        <w:rPr>
          <w:rFonts w:ascii="Calibri" w:eastAsia="Calibri" w:hAnsi="Calibri" w:cs="Calibri"/>
          <w:sz w:val="20"/>
          <w:szCs w:val="20"/>
        </w:rPr>
        <w:t>.</w:t>
      </w:r>
    </w:p>
    <w:p w:rsidR="00AC12B4" w:rsidRDefault="00C27636">
      <w:pPr>
        <w:spacing w:line="20" w:lineRule="exact"/>
        <w:rPr>
          <w:rFonts w:ascii="Calibri" w:eastAsia="Calibri" w:hAnsi="Calibri" w:cs="Calibri"/>
          <w:sz w:val="20"/>
          <w:szCs w:val="20"/>
        </w:rPr>
      </w:pPr>
      <w:r>
        <w:rPr>
          <w:rFonts w:ascii="Calibri" w:eastAsia="Calibri" w:hAnsi="Calibri" w:cs="Calibri"/>
          <w:noProof/>
          <w:sz w:val="20"/>
          <w:szCs w:val="20"/>
        </w:rPr>
        <mc:AlternateContent>
          <mc:Choice Requires="wps">
            <w:drawing>
              <wp:anchor distT="0" distB="0" distL="114300" distR="114300" simplePos="0" relativeHeight="251447808" behindDoc="1" locked="0" layoutInCell="0" allowOverlap="1">
                <wp:simplePos x="0" y="0"/>
                <wp:positionH relativeFrom="column">
                  <wp:posOffset>295275</wp:posOffset>
                </wp:positionH>
                <wp:positionV relativeFrom="paragraph">
                  <wp:posOffset>2522855</wp:posOffset>
                </wp:positionV>
                <wp:extent cx="1828800" cy="0"/>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pt,198.65pt" to="167.25pt,198.65pt" o:allowincell="f" strokecolor="#000000" strokeweight="0.7199pt"/>
            </w:pict>
          </mc:Fallback>
        </mc:AlternateContent>
      </w: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24" w:lineRule="exact"/>
        <w:rPr>
          <w:rFonts w:ascii="Calibri" w:eastAsia="Calibri" w:hAnsi="Calibri" w:cs="Calibri"/>
          <w:sz w:val="20"/>
          <w:szCs w:val="20"/>
        </w:rPr>
      </w:pPr>
    </w:p>
    <w:p w:rsidR="00AC12B4" w:rsidRDefault="00C27636">
      <w:pPr>
        <w:numPr>
          <w:ilvl w:val="0"/>
          <w:numId w:val="64"/>
        </w:numPr>
        <w:tabs>
          <w:tab w:val="left" w:pos="604"/>
        </w:tabs>
        <w:spacing w:line="221" w:lineRule="auto"/>
        <w:ind w:left="460" w:right="737" w:firstLine="5"/>
        <w:jc w:val="both"/>
        <w:rPr>
          <w:rFonts w:ascii="Calibri" w:eastAsia="Calibri" w:hAnsi="Calibri" w:cs="Calibri"/>
          <w:color w:val="0000FF"/>
        </w:rPr>
      </w:pPr>
      <w:r>
        <w:rPr>
          <w:rFonts w:ascii="Calibri" w:eastAsia="Calibri" w:hAnsi="Calibri" w:cs="Calibri"/>
          <w:sz w:val="20"/>
          <w:szCs w:val="20"/>
        </w:rPr>
        <w:t xml:space="preserve">Walrave, M., Demoulin, M., Heirman, W. en Van Der Perre, A., </w:t>
      </w:r>
      <w:r>
        <w:rPr>
          <w:rFonts w:ascii="Calibri" w:eastAsia="Calibri" w:hAnsi="Calibri" w:cs="Calibri"/>
          <w:i/>
          <w:iCs/>
          <w:sz w:val="20"/>
          <w:szCs w:val="20"/>
        </w:rPr>
        <w:t>Cyberpesten: pesten in bits &amp;</w:t>
      </w:r>
      <w:r>
        <w:rPr>
          <w:rFonts w:ascii="Calibri" w:eastAsia="Calibri" w:hAnsi="Calibri" w:cs="Calibri"/>
          <w:sz w:val="20"/>
          <w:szCs w:val="20"/>
        </w:rPr>
        <w:t xml:space="preserve"> </w:t>
      </w:r>
      <w:r>
        <w:rPr>
          <w:rFonts w:ascii="Calibri" w:eastAsia="Calibri" w:hAnsi="Calibri" w:cs="Calibri"/>
          <w:i/>
          <w:iCs/>
          <w:sz w:val="20"/>
          <w:szCs w:val="20"/>
        </w:rPr>
        <w:t>bytes</w:t>
      </w:r>
      <w:r>
        <w:rPr>
          <w:rFonts w:ascii="Calibri" w:eastAsia="Calibri" w:hAnsi="Calibri" w:cs="Calibri"/>
          <w:sz w:val="20"/>
          <w:szCs w:val="20"/>
        </w:rPr>
        <w:t>, Brussel, Observatorium van de rechten</w:t>
      </w:r>
      <w:r>
        <w:rPr>
          <w:rFonts w:ascii="Calibri" w:eastAsia="Calibri" w:hAnsi="Calibri" w:cs="Calibri"/>
          <w:i/>
          <w:iCs/>
          <w:sz w:val="20"/>
          <w:szCs w:val="20"/>
        </w:rPr>
        <w:t xml:space="preserve"> </w:t>
      </w:r>
      <w:r>
        <w:rPr>
          <w:rFonts w:ascii="Calibri" w:eastAsia="Calibri" w:hAnsi="Calibri" w:cs="Calibri"/>
          <w:sz w:val="20"/>
          <w:szCs w:val="20"/>
        </w:rPr>
        <w:t xml:space="preserve">op Internet, 2009, 32, </w:t>
      </w:r>
      <w:hyperlink r:id="rId70">
        <w:r>
          <w:rPr>
            <w:rFonts w:ascii="Calibri" w:eastAsia="Calibri" w:hAnsi="Calibri" w:cs="Calibri"/>
            <w:color w:val="0000FF"/>
            <w:u w:val="single"/>
          </w:rPr>
          <w:t>http://www.internet-</w:t>
        </w:r>
      </w:hyperlink>
      <w:hyperlink r:id="rId71">
        <w:r>
          <w:rPr>
            <w:rFonts w:ascii="Calibri" w:eastAsia="Calibri" w:hAnsi="Calibri" w:cs="Calibri"/>
            <w:color w:val="0000FF"/>
            <w:u w:val="single"/>
          </w:rPr>
          <w:t>observatory.</w:t>
        </w:r>
        <w:r>
          <w:rPr>
            <w:rFonts w:ascii="Calibri" w:eastAsia="Calibri" w:hAnsi="Calibri" w:cs="Calibri"/>
            <w:color w:val="0000FF"/>
            <w:u w:val="single"/>
          </w:rPr>
          <w:t>be/internet_observatory/pdf/</w:t>
        </w:r>
      </w:hyperlink>
      <w:r>
        <w:rPr>
          <w:rFonts w:ascii="Calibri" w:eastAsia="Calibri" w:hAnsi="Calibri" w:cs="Calibri"/>
          <w:color w:val="0000FF"/>
          <w:u w:val="single"/>
        </w:rPr>
        <w:t xml:space="preserve"> </w:t>
      </w:r>
      <w:hyperlink r:id="rId72">
        <w:r>
          <w:rPr>
            <w:rFonts w:ascii="Calibri" w:eastAsia="Calibri" w:hAnsi="Calibri" w:cs="Calibri"/>
            <w:color w:val="0000FF"/>
            <w:u w:val="single"/>
          </w:rPr>
          <w:t>brochures/Boek_cyberpesten_nl.pdf</w:t>
        </w:r>
        <w:r>
          <w:rPr>
            <w:rFonts w:ascii="Calibri" w:eastAsia="Calibri" w:hAnsi="Calibri" w:cs="Calibri"/>
            <w:color w:val="000000"/>
            <w:sz w:val="19"/>
            <w:szCs w:val="19"/>
          </w:rPr>
          <w:t>)</w:t>
        </w:r>
      </w:hyperlink>
      <w:r>
        <w:rPr>
          <w:rFonts w:ascii="Calibri" w:eastAsia="Calibri" w:hAnsi="Calibri" w:cs="Calibri"/>
          <w:color w:val="0000FF"/>
        </w:rPr>
        <w:t>.</w:t>
      </w:r>
    </w:p>
    <w:p w:rsidR="00AC12B4" w:rsidRDefault="00AC12B4">
      <w:pPr>
        <w:spacing w:line="249" w:lineRule="exact"/>
        <w:rPr>
          <w:rFonts w:ascii="Calibri" w:eastAsia="Calibri" w:hAnsi="Calibri" w:cs="Calibri"/>
          <w:sz w:val="20"/>
          <w:szCs w:val="20"/>
        </w:rPr>
      </w:pPr>
    </w:p>
    <w:p w:rsidR="00AC12B4" w:rsidRDefault="00C27636">
      <w:pPr>
        <w:rPr>
          <w:sz w:val="20"/>
          <w:szCs w:val="20"/>
        </w:rPr>
      </w:pPr>
      <w:r>
        <w:rPr>
          <w:rFonts w:ascii="Calibri" w:eastAsia="Calibri" w:hAnsi="Calibri" w:cs="Calibri"/>
        </w:rPr>
        <w:t>60</w:t>
      </w:r>
    </w:p>
    <w:p w:rsidR="00AC12B4" w:rsidRDefault="00AC12B4">
      <w:pPr>
        <w:sectPr w:rsidR="00AC12B4">
          <w:pgSz w:w="12080" w:h="17179"/>
          <w:pgMar w:top="1440" w:right="1440" w:bottom="659" w:left="430" w:header="0" w:footer="0" w:gutter="0"/>
          <w:cols w:num="3" w:space="720" w:equalWidth="0">
            <w:col w:w="650" w:space="720"/>
            <w:col w:w="3520" w:space="240"/>
            <w:col w:w="5077"/>
          </w:cols>
        </w:sectPr>
      </w:pPr>
    </w:p>
    <w:bookmarkStart w:id="60" w:name="page61"/>
    <w:bookmarkEnd w:id="60"/>
    <w:p w:rsidR="00AC12B4" w:rsidRDefault="00C27636">
      <w:pPr>
        <w:spacing w:line="168" w:lineRule="exact"/>
        <w:rPr>
          <w:sz w:val="20"/>
          <w:szCs w:val="20"/>
        </w:rPr>
      </w:pPr>
      <w:r>
        <w:rPr>
          <w:noProof/>
          <w:sz w:val="20"/>
          <w:szCs w:val="20"/>
        </w:rPr>
        <w:lastRenderedPageBreak/>
        <mc:AlternateContent>
          <mc:Choice Requires="wps">
            <w:drawing>
              <wp:anchor distT="0" distB="0" distL="114300" distR="114300" simplePos="0" relativeHeight="251448832" behindDoc="1" locked="0" layoutInCell="0" allowOverlap="1">
                <wp:simplePos x="0" y="0"/>
                <wp:positionH relativeFrom="page">
                  <wp:posOffset>6934200</wp:posOffset>
                </wp:positionH>
                <wp:positionV relativeFrom="page">
                  <wp:posOffset>0</wp:posOffset>
                </wp:positionV>
                <wp:extent cx="734060" cy="10906760"/>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6760"/>
                        </a:xfrm>
                        <a:prstGeom prst="rect">
                          <a:avLst/>
                        </a:prstGeom>
                        <a:solidFill>
                          <a:srgbClr val="C95C96"/>
                        </a:solidFill>
                      </wps:spPr>
                      <wps:bodyPr/>
                    </wps:wsp>
                  </a:graphicData>
                </a:graphic>
              </wp:anchor>
            </w:drawing>
          </mc:Choice>
          <mc:Fallback>
            <w:pict>
              <v:rect id="Shape 104" o:spid="_x0000_s1129" style="position:absolute;margin-left:546pt;margin-top:0pt;width:57.8pt;height:858.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C27636">
      <w:pPr>
        <w:spacing w:line="276" w:lineRule="auto"/>
        <w:ind w:left="629" w:right="1170"/>
        <w:rPr>
          <w:sz w:val="20"/>
          <w:szCs w:val="20"/>
        </w:rPr>
      </w:pPr>
      <w:r>
        <w:rPr>
          <w:rFonts w:ascii="Comic Sans MS" w:eastAsia="Comic Sans MS" w:hAnsi="Comic Sans MS" w:cs="Comic Sans MS"/>
          <w:color w:val="C95C96"/>
          <w:sz w:val="40"/>
          <w:szCs w:val="40"/>
        </w:rPr>
        <w:t>B5. Accessibilité psychologique des servic</w:t>
      </w:r>
      <w:r>
        <w:rPr>
          <w:rFonts w:ascii="Comic Sans MS" w:eastAsia="Comic Sans MS" w:hAnsi="Comic Sans MS" w:cs="Comic Sans MS"/>
          <w:color w:val="C95C96"/>
          <w:sz w:val="40"/>
          <w:szCs w:val="40"/>
        </w:rPr>
        <w:t>es d'aide</w:t>
      </w:r>
    </w:p>
    <w:p w:rsidR="00AC12B4" w:rsidRDefault="00AC12B4">
      <w:pPr>
        <w:sectPr w:rsidR="00AC12B4">
          <w:pgSz w:w="12080" w:h="17179"/>
          <w:pgMar w:top="1440" w:right="447" w:bottom="659" w:left="1371" w:header="0" w:footer="0" w:gutter="0"/>
          <w:cols w:space="720" w:equalWidth="0">
            <w:col w:w="10259"/>
          </w:cols>
        </w:sectPr>
      </w:pPr>
    </w:p>
    <w:p w:rsidR="00AC12B4" w:rsidRDefault="00AC12B4">
      <w:pPr>
        <w:spacing w:line="200" w:lineRule="exact"/>
        <w:rPr>
          <w:sz w:val="20"/>
          <w:szCs w:val="20"/>
        </w:rPr>
      </w:pPr>
    </w:p>
    <w:p w:rsidR="00AC12B4" w:rsidRDefault="00AC12B4">
      <w:pPr>
        <w:spacing w:line="231" w:lineRule="exact"/>
        <w:rPr>
          <w:sz w:val="20"/>
          <w:szCs w:val="20"/>
        </w:rPr>
      </w:pPr>
    </w:p>
    <w:p w:rsidR="00AC12B4" w:rsidRDefault="00C27636">
      <w:pPr>
        <w:ind w:left="9"/>
        <w:rPr>
          <w:sz w:val="20"/>
          <w:szCs w:val="20"/>
        </w:rPr>
      </w:pPr>
      <w:r>
        <w:rPr>
          <w:rFonts w:ascii="Calibri" w:eastAsia="Calibri" w:hAnsi="Calibri" w:cs="Calibri"/>
          <w:i/>
          <w:iCs/>
          <w:color w:val="EAF1DD"/>
        </w:rPr>
        <w:t>Article 3 CIDE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49856" behindDoc="1" locked="0" layoutInCell="0" allowOverlap="1">
                <wp:simplePos x="0" y="0"/>
                <wp:positionH relativeFrom="column">
                  <wp:posOffset>-355600</wp:posOffset>
                </wp:positionH>
                <wp:positionV relativeFrom="paragraph">
                  <wp:posOffset>-245745</wp:posOffset>
                </wp:positionV>
                <wp:extent cx="3476625" cy="2778125"/>
                <wp:effectExtent l="0" t="0" r="0" b="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76625" cy="2778125"/>
                        </a:xfrm>
                        <a:prstGeom prst="rect">
                          <a:avLst/>
                        </a:prstGeom>
                        <a:solidFill>
                          <a:srgbClr val="C95C96"/>
                        </a:solidFill>
                      </wps:spPr>
                      <wps:bodyPr/>
                    </wps:wsp>
                  </a:graphicData>
                </a:graphic>
              </wp:anchor>
            </w:drawing>
          </mc:Choice>
          <mc:Fallback>
            <w:pict>
              <v:rect id="Shape 105" o:spid="_x0000_s1130" style="position:absolute;margin-left:-28pt;margin-top:-19.3499pt;width:273.75pt;height:21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5C96" stroked="f"/>
            </w:pict>
          </mc:Fallback>
        </mc:AlternateContent>
      </w:r>
      <w:r>
        <w:rPr>
          <w:noProof/>
          <w:sz w:val="20"/>
          <w:szCs w:val="20"/>
        </w:rPr>
        <mc:AlternateContent>
          <mc:Choice Requires="wps">
            <w:drawing>
              <wp:anchor distT="0" distB="0" distL="114300" distR="114300" simplePos="0" relativeHeight="251450880" behindDoc="1" locked="0" layoutInCell="0" allowOverlap="1">
                <wp:simplePos x="0" y="0"/>
                <wp:positionH relativeFrom="column">
                  <wp:posOffset>3121025</wp:posOffset>
                </wp:positionH>
                <wp:positionV relativeFrom="paragraph">
                  <wp:posOffset>-258445</wp:posOffset>
                </wp:positionV>
                <wp:extent cx="0" cy="2803525"/>
                <wp:effectExtent l="0" t="0" r="0" b="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03525"/>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20.3499pt" to="245.75pt,200.4pt" o:allowincell="f" strokecolor="#963266" strokeweight="2pt"/>
            </w:pict>
          </mc:Fallback>
        </mc:AlternateContent>
      </w:r>
      <w:r>
        <w:rPr>
          <w:noProof/>
          <w:sz w:val="20"/>
          <w:szCs w:val="20"/>
        </w:rPr>
        <mc:AlternateContent>
          <mc:Choice Requires="wps">
            <w:drawing>
              <wp:anchor distT="0" distB="0" distL="114300" distR="114300" simplePos="0" relativeHeight="251451904" behindDoc="1" locked="0" layoutInCell="0" allowOverlap="1">
                <wp:simplePos x="0" y="0"/>
                <wp:positionH relativeFrom="column">
                  <wp:posOffset>-368300</wp:posOffset>
                </wp:positionH>
                <wp:positionV relativeFrom="paragraph">
                  <wp:posOffset>-245745</wp:posOffset>
                </wp:positionV>
                <wp:extent cx="3502025" cy="0"/>
                <wp:effectExtent l="0" t="0" r="0" b="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2025" cy="4763"/>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19.3499pt" to="246.75pt,-19.3499pt" o:allowincell="f" strokecolor="#963266" strokeweight="2pt"/>
            </w:pict>
          </mc:Fallback>
        </mc:AlternateContent>
      </w:r>
      <w:r>
        <w:rPr>
          <w:noProof/>
          <w:sz w:val="20"/>
          <w:szCs w:val="20"/>
        </w:rPr>
        <mc:AlternateContent>
          <mc:Choice Requires="wps">
            <w:drawing>
              <wp:anchor distT="0" distB="0" distL="114300" distR="114300" simplePos="0" relativeHeight="251452928" behindDoc="1" locked="0" layoutInCell="0" allowOverlap="1">
                <wp:simplePos x="0" y="0"/>
                <wp:positionH relativeFrom="column">
                  <wp:posOffset>-355600</wp:posOffset>
                </wp:positionH>
                <wp:positionV relativeFrom="paragraph">
                  <wp:posOffset>-258445</wp:posOffset>
                </wp:positionV>
                <wp:extent cx="0" cy="2803525"/>
                <wp:effectExtent l="0" t="0" r="0" b="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03525"/>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20.3499pt" to="-28pt,200.4pt" o:allowincell="f" strokecolor="#963266" strokeweight="2pt"/>
            </w:pict>
          </mc:Fallback>
        </mc:AlternateContent>
      </w:r>
      <w:r>
        <w:rPr>
          <w:noProof/>
          <w:sz w:val="20"/>
          <w:szCs w:val="20"/>
        </w:rPr>
        <mc:AlternateContent>
          <mc:Choice Requires="wps">
            <w:drawing>
              <wp:anchor distT="0" distB="0" distL="114300" distR="114300" simplePos="0" relativeHeight="251453952" behindDoc="1" locked="0" layoutInCell="0" allowOverlap="1">
                <wp:simplePos x="0" y="0"/>
                <wp:positionH relativeFrom="column">
                  <wp:posOffset>-368300</wp:posOffset>
                </wp:positionH>
                <wp:positionV relativeFrom="paragraph">
                  <wp:posOffset>2532380</wp:posOffset>
                </wp:positionV>
                <wp:extent cx="3502025" cy="0"/>
                <wp:effectExtent l="0" t="0" r="0" b="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2025" cy="4763"/>
                        </a:xfrm>
                        <a:prstGeom prst="line">
                          <a:avLst/>
                        </a:prstGeom>
                        <a:solidFill>
                          <a:srgbClr val="FFFFFF"/>
                        </a:solidFill>
                        <a:ln w="25400">
                          <a:solidFill>
                            <a:srgbClr val="963266"/>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199.4pt" to="246.75pt,199.4pt" o:allowincell="f" strokecolor="#963266" strokeweight="2pt"/>
            </w:pict>
          </mc:Fallback>
        </mc:AlternateContent>
      </w:r>
    </w:p>
    <w:p w:rsidR="00AC12B4" w:rsidRDefault="00AC12B4">
      <w:pPr>
        <w:spacing w:line="149" w:lineRule="exact"/>
        <w:rPr>
          <w:sz w:val="20"/>
          <w:szCs w:val="20"/>
        </w:rPr>
      </w:pPr>
    </w:p>
    <w:p w:rsidR="00AC12B4" w:rsidRDefault="00C27636">
      <w:pPr>
        <w:numPr>
          <w:ilvl w:val="0"/>
          <w:numId w:val="65"/>
        </w:numPr>
        <w:tabs>
          <w:tab w:val="left" w:pos="234"/>
        </w:tabs>
        <w:spacing w:line="229" w:lineRule="auto"/>
        <w:ind w:left="9" w:right="240" w:hanging="9"/>
        <w:jc w:val="both"/>
        <w:rPr>
          <w:rFonts w:ascii="Calibri" w:eastAsia="Calibri" w:hAnsi="Calibri" w:cs="Calibri"/>
          <w:i/>
          <w:iCs/>
          <w:color w:val="EAF1DD"/>
        </w:rPr>
      </w:pPr>
      <w:r>
        <w:rPr>
          <w:rFonts w:ascii="Calibri" w:eastAsia="Calibri" w:hAnsi="Calibri" w:cs="Calibri"/>
          <w:i/>
          <w:iCs/>
          <w:color w:val="EAF1DD"/>
        </w:rPr>
        <w:t>Les Etats parties s'engagent à assurer à l'enfant la protection et les soins nécessaires à son bien-être (…) et ils prennent à cette fin toutes les mesures législatives et administratives appropriées.</w:t>
      </w:r>
    </w:p>
    <w:p w:rsidR="00AC12B4" w:rsidRDefault="00AC12B4">
      <w:pPr>
        <w:spacing w:line="170" w:lineRule="exact"/>
        <w:rPr>
          <w:rFonts w:ascii="Calibri" w:eastAsia="Calibri" w:hAnsi="Calibri" w:cs="Calibri"/>
          <w:i/>
          <w:iCs/>
          <w:color w:val="EAF1DD"/>
        </w:rPr>
      </w:pPr>
    </w:p>
    <w:p w:rsidR="00AC12B4" w:rsidRDefault="00C27636">
      <w:pPr>
        <w:numPr>
          <w:ilvl w:val="0"/>
          <w:numId w:val="65"/>
        </w:numPr>
        <w:tabs>
          <w:tab w:val="left" w:pos="400"/>
        </w:tabs>
        <w:spacing w:line="235" w:lineRule="auto"/>
        <w:ind w:left="9" w:right="240" w:hanging="9"/>
        <w:jc w:val="both"/>
        <w:rPr>
          <w:rFonts w:ascii="Calibri" w:eastAsia="Calibri" w:hAnsi="Calibri" w:cs="Calibri"/>
          <w:i/>
          <w:iCs/>
          <w:color w:val="EAF1DD"/>
        </w:rPr>
      </w:pPr>
      <w:r>
        <w:rPr>
          <w:rFonts w:ascii="Calibri" w:eastAsia="Calibri" w:hAnsi="Calibri" w:cs="Calibri"/>
          <w:i/>
          <w:iCs/>
          <w:color w:val="EAF1DD"/>
        </w:rPr>
        <w:t xml:space="preserve">Les Etats parties veillent à ce que le fonctionnement des institutions, services et établissements qui ont la charge des enfants et assurent leur protection soit conforme aux normes fixées par les autorités compétentes, particulièrement dans le domaine de </w:t>
      </w:r>
      <w:r>
        <w:rPr>
          <w:rFonts w:ascii="Calibri" w:eastAsia="Calibri" w:hAnsi="Calibri" w:cs="Calibri"/>
          <w:i/>
          <w:iCs/>
          <w:color w:val="EAF1DD"/>
        </w:rPr>
        <w:t>la sécurité et de la santé et en ce qui concerne le nombre et la compétence de leur personnel ainsi que l'existence d'un contrôle approprié.</w:t>
      </w:r>
    </w:p>
    <w:p w:rsidR="00AC12B4" w:rsidRDefault="00AC12B4">
      <w:pPr>
        <w:spacing w:line="200" w:lineRule="exact"/>
        <w:rPr>
          <w:sz w:val="20"/>
          <w:szCs w:val="20"/>
        </w:rPr>
      </w:pPr>
    </w:p>
    <w:p w:rsidR="00AC12B4" w:rsidRDefault="00AC12B4">
      <w:pPr>
        <w:spacing w:line="360" w:lineRule="exact"/>
        <w:rPr>
          <w:sz w:val="20"/>
          <w:szCs w:val="20"/>
        </w:rPr>
      </w:pPr>
    </w:p>
    <w:p w:rsidR="00AC12B4" w:rsidRDefault="00C27636">
      <w:pPr>
        <w:spacing w:line="233" w:lineRule="auto"/>
        <w:ind w:left="629" w:right="480"/>
        <w:jc w:val="both"/>
        <w:rPr>
          <w:sz w:val="20"/>
          <w:szCs w:val="20"/>
        </w:rPr>
      </w:pPr>
      <w:r>
        <w:rPr>
          <w:rFonts w:ascii="Calibri" w:eastAsia="Calibri" w:hAnsi="Calibri" w:cs="Calibri"/>
          <w:i/>
          <w:iCs/>
          <w:color w:val="EAF1DD"/>
        </w:rPr>
        <w:t xml:space="preserve">. </w:t>
      </w:r>
      <w:r>
        <w:rPr>
          <w:rFonts w:ascii="Calibri" w:eastAsia="Calibri" w:hAnsi="Calibri" w:cs="Calibri"/>
          <w:color w:val="000000"/>
        </w:rPr>
        <w:t>Des principes généraux de l'intérêt de</w:t>
      </w:r>
      <w:r>
        <w:rPr>
          <w:rFonts w:ascii="Calibri" w:eastAsia="Calibri" w:hAnsi="Calibri" w:cs="Calibri"/>
          <w:i/>
          <w:iCs/>
          <w:color w:val="EAF1DD"/>
        </w:rPr>
        <w:t xml:space="preserve"> </w:t>
      </w:r>
      <w:r>
        <w:rPr>
          <w:rFonts w:ascii="Calibri" w:eastAsia="Calibri" w:hAnsi="Calibri" w:cs="Calibri"/>
          <w:color w:val="000000"/>
        </w:rPr>
        <w:t>l'enfant (art. 3 CIDE) et de son droit à la participation (art. 12) et à</w:t>
      </w:r>
      <w:r>
        <w:rPr>
          <w:rFonts w:ascii="Calibri" w:eastAsia="Calibri" w:hAnsi="Calibri" w:cs="Calibri"/>
          <w:color w:val="000000"/>
        </w:rPr>
        <w:t xml:space="preserve"> l'information (art. 13) découle le souci que chaque enfant sache à qui il peut s'adresser en cas de problème et que la démarche en ce sens soit la plus facile possible.</w:t>
      </w:r>
    </w:p>
    <w:p w:rsidR="00AC12B4" w:rsidRDefault="00AC12B4">
      <w:pPr>
        <w:spacing w:line="177" w:lineRule="exact"/>
        <w:rPr>
          <w:sz w:val="20"/>
          <w:szCs w:val="20"/>
        </w:rPr>
      </w:pPr>
    </w:p>
    <w:p w:rsidR="00AC12B4" w:rsidRDefault="00C27636">
      <w:pPr>
        <w:spacing w:line="232" w:lineRule="auto"/>
        <w:ind w:left="629" w:right="480"/>
        <w:jc w:val="both"/>
        <w:rPr>
          <w:sz w:val="20"/>
          <w:szCs w:val="20"/>
        </w:rPr>
      </w:pPr>
      <w:r>
        <w:rPr>
          <w:rFonts w:ascii="Calibri" w:eastAsia="Calibri" w:hAnsi="Calibri" w:cs="Calibri"/>
        </w:rPr>
        <w:t>Il est complexe de mesurer l’accessibilité réelle des services d’aide. L’accessibilit</w:t>
      </w:r>
      <w:r>
        <w:rPr>
          <w:rFonts w:ascii="Calibri" w:eastAsia="Calibri" w:hAnsi="Calibri" w:cs="Calibri"/>
        </w:rPr>
        <w:t>é a de nombreuses facettes : elle peut être géographique, financière ou d’ordre psychologique. C’est sur cette dernière facette que nous nous arrêterons ici.</w:t>
      </w:r>
    </w:p>
    <w:p w:rsidR="00AC12B4" w:rsidRDefault="00AC12B4">
      <w:pPr>
        <w:spacing w:line="173" w:lineRule="exact"/>
        <w:rPr>
          <w:sz w:val="20"/>
          <w:szCs w:val="20"/>
        </w:rPr>
      </w:pPr>
    </w:p>
    <w:p w:rsidR="00AC12B4" w:rsidRDefault="00C27636">
      <w:pPr>
        <w:spacing w:line="232" w:lineRule="auto"/>
        <w:ind w:left="629" w:right="480"/>
        <w:jc w:val="both"/>
        <w:rPr>
          <w:sz w:val="20"/>
          <w:szCs w:val="20"/>
        </w:rPr>
      </w:pPr>
      <w:r>
        <w:rPr>
          <w:rFonts w:ascii="Calibri" w:eastAsia="Calibri" w:hAnsi="Calibri" w:cs="Calibri"/>
        </w:rPr>
        <w:t>Ce que nous appelons accessibilité psychologique peut être résumé comme suit : Est-ce que je veux</w:t>
      </w:r>
      <w:r>
        <w:rPr>
          <w:rFonts w:ascii="Calibri" w:eastAsia="Calibri" w:hAnsi="Calibri" w:cs="Calibri"/>
        </w:rPr>
        <w:t xml:space="preserve"> de l’aide ? Est-ce que j’ose demander de l’aide ? Est-ce que je peux demander de l’aide (savoir où demander,…) ?</w:t>
      </w:r>
    </w:p>
    <w:p w:rsidR="00AC12B4" w:rsidRDefault="00AC12B4">
      <w:pPr>
        <w:spacing w:line="173" w:lineRule="exact"/>
        <w:rPr>
          <w:sz w:val="20"/>
          <w:szCs w:val="20"/>
        </w:rPr>
      </w:pPr>
    </w:p>
    <w:p w:rsidR="00AC12B4" w:rsidRDefault="00C27636">
      <w:pPr>
        <w:spacing w:line="231" w:lineRule="auto"/>
        <w:ind w:left="629" w:right="480"/>
        <w:jc w:val="both"/>
        <w:rPr>
          <w:sz w:val="20"/>
          <w:szCs w:val="20"/>
        </w:rPr>
      </w:pPr>
      <w:r>
        <w:rPr>
          <w:rFonts w:ascii="Calibri" w:eastAsia="Calibri" w:hAnsi="Calibri" w:cs="Calibri"/>
        </w:rPr>
        <w:t>Il n’existe à l’heure actuelle aucune enquête reprenant exactement ces éléments au niveau national. Or, avoir pu demander et recevoir de l’ai</w:t>
      </w:r>
      <w:r>
        <w:rPr>
          <w:rFonts w:ascii="Calibri" w:eastAsia="Calibri" w:hAnsi="Calibri" w:cs="Calibri"/>
        </w:rPr>
        <w:t>de à temps est très important (Cf. encadré).</w:t>
      </w:r>
    </w:p>
    <w:p w:rsidR="00AC12B4" w:rsidRDefault="00AC12B4">
      <w:pPr>
        <w:spacing w:line="172" w:lineRule="exact"/>
        <w:rPr>
          <w:sz w:val="20"/>
          <w:szCs w:val="20"/>
        </w:rPr>
      </w:pPr>
    </w:p>
    <w:p w:rsidR="00AC12B4" w:rsidRDefault="00C27636">
      <w:pPr>
        <w:spacing w:line="225" w:lineRule="auto"/>
        <w:ind w:left="629" w:right="480"/>
        <w:jc w:val="both"/>
        <w:rPr>
          <w:sz w:val="20"/>
          <w:szCs w:val="20"/>
        </w:rPr>
      </w:pPr>
      <w:r>
        <w:rPr>
          <w:rFonts w:ascii="Calibri" w:eastAsia="Calibri" w:hAnsi="Calibri" w:cs="Calibri"/>
        </w:rPr>
        <w:t>Seule l’enquête HBSC flamande reprend la question suivante, uniquement pour les 5ème et sixième secondaire: « A quel point</w:t>
      </w:r>
    </w:p>
    <w:p w:rsidR="00AC12B4" w:rsidRDefault="00AC12B4">
      <w:pPr>
        <w:spacing w:line="124" w:lineRule="exact"/>
        <w:rPr>
          <w:sz w:val="20"/>
          <w:szCs w:val="20"/>
        </w:rPr>
      </w:pPr>
    </w:p>
    <w:p w:rsidR="00AC12B4" w:rsidRDefault="00C27636">
      <w:pPr>
        <w:jc w:val="right"/>
        <w:rPr>
          <w:sz w:val="20"/>
          <w:szCs w:val="20"/>
        </w:rPr>
      </w:pPr>
      <w:r>
        <w:rPr>
          <w:rFonts w:ascii="Calibri" w:eastAsia="Calibri" w:hAnsi="Calibri" w:cs="Calibri"/>
        </w:rPr>
        <w:t>61</w:t>
      </w:r>
    </w:p>
    <w:p w:rsidR="00AC12B4" w:rsidRDefault="00C27636">
      <w:pPr>
        <w:spacing w:line="20" w:lineRule="exact"/>
        <w:rPr>
          <w:sz w:val="20"/>
          <w:szCs w:val="20"/>
        </w:rPr>
      </w:pPr>
      <w:r>
        <w:rPr>
          <w:sz w:val="20"/>
          <w:szCs w:val="20"/>
        </w:rPr>
        <w:br w:type="column"/>
      </w:r>
    </w:p>
    <w:p w:rsidR="00AC12B4" w:rsidRDefault="00AC12B4">
      <w:pPr>
        <w:spacing w:line="222" w:lineRule="exact"/>
        <w:rPr>
          <w:sz w:val="20"/>
          <w:szCs w:val="20"/>
        </w:rPr>
      </w:pPr>
    </w:p>
    <w:p w:rsidR="00AC12B4" w:rsidRDefault="00C27636">
      <w:pPr>
        <w:spacing w:line="229" w:lineRule="auto"/>
        <w:ind w:right="820"/>
        <w:jc w:val="both"/>
        <w:rPr>
          <w:sz w:val="20"/>
          <w:szCs w:val="20"/>
        </w:rPr>
      </w:pPr>
      <w:r>
        <w:rPr>
          <w:rFonts w:ascii="Calibri" w:eastAsia="Calibri" w:hAnsi="Calibri" w:cs="Calibri"/>
        </w:rPr>
        <w:t xml:space="preserve">est-il facile ou difficile pour toi de trouver de l’information pour savoir </w:t>
      </w:r>
      <w:r>
        <w:rPr>
          <w:rFonts w:ascii="Calibri" w:eastAsia="Calibri" w:hAnsi="Calibri" w:cs="Calibri"/>
        </w:rPr>
        <w:t>comment gérer des problèmes psychiques comme le stress et la dépression ? ».</w:t>
      </w:r>
    </w:p>
    <w:p w:rsidR="00AC12B4" w:rsidRDefault="00AC12B4">
      <w:pPr>
        <w:spacing w:line="131" w:lineRule="exact"/>
        <w:rPr>
          <w:sz w:val="20"/>
          <w:szCs w:val="20"/>
        </w:rPr>
      </w:pPr>
    </w:p>
    <w:p w:rsidR="00AC12B4" w:rsidRDefault="00C27636">
      <w:pPr>
        <w:spacing w:line="231" w:lineRule="auto"/>
        <w:ind w:right="820"/>
        <w:jc w:val="both"/>
        <w:rPr>
          <w:sz w:val="20"/>
          <w:szCs w:val="20"/>
        </w:rPr>
      </w:pPr>
      <w:r>
        <w:rPr>
          <w:rFonts w:ascii="Calibri" w:eastAsia="Calibri" w:hAnsi="Calibri" w:cs="Calibri"/>
        </w:rPr>
        <w:t>57,6% des jeunes flamands questionnés (3</w:t>
      </w:r>
      <w:r>
        <w:rPr>
          <w:rFonts w:ascii="Calibri" w:eastAsia="Calibri" w:hAnsi="Calibri" w:cs="Calibri"/>
          <w:sz w:val="27"/>
          <w:szCs w:val="27"/>
          <w:vertAlign w:val="superscript"/>
        </w:rPr>
        <w:t>e</w:t>
      </w:r>
      <w:r>
        <w:rPr>
          <w:rFonts w:ascii="Calibri" w:eastAsia="Calibri" w:hAnsi="Calibri" w:cs="Calibri"/>
        </w:rPr>
        <w:t xml:space="preserve"> degré de l’enseignement secondaire) déclarent avoir facilement accès à cette information. 18,7% déclarent rencontrer des difficultés en </w:t>
      </w:r>
      <w:r>
        <w:rPr>
          <w:rFonts w:ascii="Calibri" w:eastAsia="Calibri" w:hAnsi="Calibri" w:cs="Calibri"/>
        </w:rPr>
        <w:t>la matière. Les 23,7% restants ont déclaré que la question ne les concerne pas.</w:t>
      </w:r>
    </w:p>
    <w:p w:rsidR="00AC12B4" w:rsidRDefault="00AC12B4">
      <w:pPr>
        <w:spacing w:line="12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940"/>
        <w:gridCol w:w="400"/>
        <w:gridCol w:w="780"/>
        <w:gridCol w:w="940"/>
        <w:gridCol w:w="940"/>
        <w:gridCol w:w="700"/>
        <w:gridCol w:w="30"/>
      </w:tblGrid>
      <w:tr w:rsidR="00AC12B4">
        <w:trPr>
          <w:trHeight w:val="269"/>
        </w:trPr>
        <w:tc>
          <w:tcPr>
            <w:tcW w:w="4000" w:type="dxa"/>
            <w:gridSpan w:val="5"/>
            <w:vAlign w:val="bottom"/>
          </w:tcPr>
          <w:p w:rsidR="00AC12B4" w:rsidRDefault="00C27636">
            <w:pPr>
              <w:rPr>
                <w:sz w:val="20"/>
                <w:szCs w:val="20"/>
              </w:rPr>
            </w:pPr>
            <w:r>
              <w:rPr>
                <w:rFonts w:ascii="Calibri" w:eastAsia="Calibri" w:hAnsi="Calibri" w:cs="Calibri"/>
              </w:rPr>
              <w:t>Pour  toucher  des  groupes  vulnérables</w:t>
            </w:r>
          </w:p>
        </w:tc>
        <w:tc>
          <w:tcPr>
            <w:tcW w:w="7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4000" w:type="dxa"/>
            <w:gridSpan w:val="5"/>
            <w:vAlign w:val="bottom"/>
          </w:tcPr>
          <w:p w:rsidR="00AC12B4" w:rsidRDefault="00C27636">
            <w:pPr>
              <w:rPr>
                <w:sz w:val="20"/>
                <w:szCs w:val="20"/>
              </w:rPr>
            </w:pPr>
            <w:r>
              <w:rPr>
                <w:rFonts w:ascii="Calibri" w:eastAsia="Calibri" w:hAnsi="Calibri" w:cs="Calibri"/>
              </w:rPr>
              <w:t>absents de l’échantillon d’HBSC, la CNDE</w:t>
            </w:r>
          </w:p>
        </w:tc>
        <w:tc>
          <w:tcPr>
            <w:tcW w:w="7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940" w:type="dxa"/>
            <w:vAlign w:val="bottom"/>
          </w:tcPr>
          <w:p w:rsidR="00AC12B4" w:rsidRDefault="00C27636">
            <w:pPr>
              <w:rPr>
                <w:sz w:val="20"/>
                <w:szCs w:val="20"/>
              </w:rPr>
            </w:pPr>
            <w:r>
              <w:rPr>
                <w:rFonts w:ascii="Calibri" w:eastAsia="Calibri" w:hAnsi="Calibri" w:cs="Calibri"/>
              </w:rPr>
              <w:t>souhaite</w:t>
            </w:r>
          </w:p>
        </w:tc>
        <w:tc>
          <w:tcPr>
            <w:tcW w:w="1180" w:type="dxa"/>
            <w:gridSpan w:val="2"/>
            <w:vAlign w:val="bottom"/>
          </w:tcPr>
          <w:p w:rsidR="00AC12B4" w:rsidRDefault="00C27636">
            <w:pPr>
              <w:ind w:right="270"/>
              <w:jc w:val="right"/>
              <w:rPr>
                <w:sz w:val="20"/>
                <w:szCs w:val="20"/>
              </w:rPr>
            </w:pPr>
            <w:r>
              <w:rPr>
                <w:rFonts w:ascii="Calibri" w:eastAsia="Calibri" w:hAnsi="Calibri" w:cs="Calibri"/>
              </w:rPr>
              <w:t>réaliser</w:t>
            </w:r>
          </w:p>
        </w:tc>
        <w:tc>
          <w:tcPr>
            <w:tcW w:w="940" w:type="dxa"/>
            <w:vAlign w:val="bottom"/>
          </w:tcPr>
          <w:p w:rsidR="00AC12B4" w:rsidRDefault="00AC12B4">
            <w:pPr>
              <w:rPr>
                <w:sz w:val="23"/>
                <w:szCs w:val="23"/>
              </w:rPr>
            </w:pPr>
          </w:p>
        </w:tc>
        <w:tc>
          <w:tcPr>
            <w:tcW w:w="940" w:type="dxa"/>
            <w:vAlign w:val="bottom"/>
          </w:tcPr>
          <w:p w:rsidR="00AC12B4" w:rsidRDefault="00AC12B4">
            <w:pPr>
              <w:rPr>
                <w:sz w:val="23"/>
                <w:szCs w:val="23"/>
              </w:rPr>
            </w:pPr>
          </w:p>
        </w:tc>
        <w:tc>
          <w:tcPr>
            <w:tcW w:w="7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57"/>
        </w:trPr>
        <w:tc>
          <w:tcPr>
            <w:tcW w:w="940" w:type="dxa"/>
            <w:vAlign w:val="bottom"/>
          </w:tcPr>
          <w:p w:rsidR="00AC12B4" w:rsidRDefault="00AC12B4">
            <w:pPr>
              <w:rPr>
                <w:sz w:val="4"/>
                <w:szCs w:val="4"/>
              </w:rPr>
            </w:pPr>
          </w:p>
        </w:tc>
        <w:tc>
          <w:tcPr>
            <w:tcW w:w="1180" w:type="dxa"/>
            <w:gridSpan w:val="2"/>
            <w:vAlign w:val="bottom"/>
          </w:tcPr>
          <w:p w:rsidR="00AC12B4" w:rsidRDefault="00AC12B4">
            <w:pPr>
              <w:rPr>
                <w:sz w:val="4"/>
                <w:szCs w:val="4"/>
              </w:rPr>
            </w:pPr>
          </w:p>
        </w:tc>
        <w:tc>
          <w:tcPr>
            <w:tcW w:w="940" w:type="dxa"/>
            <w:vAlign w:val="bottom"/>
          </w:tcPr>
          <w:p w:rsidR="00AC12B4" w:rsidRDefault="00AC12B4">
            <w:pPr>
              <w:rPr>
                <w:sz w:val="4"/>
                <w:szCs w:val="4"/>
              </w:rPr>
            </w:pPr>
          </w:p>
        </w:tc>
        <w:tc>
          <w:tcPr>
            <w:tcW w:w="940" w:type="dxa"/>
            <w:vAlign w:val="bottom"/>
          </w:tcPr>
          <w:p w:rsidR="00AC12B4" w:rsidRDefault="00AC12B4">
            <w:pPr>
              <w:rPr>
                <w:sz w:val="4"/>
                <w:szCs w:val="4"/>
              </w:rPr>
            </w:pPr>
          </w:p>
        </w:tc>
        <w:tc>
          <w:tcPr>
            <w:tcW w:w="70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91"/>
        </w:trPr>
        <w:tc>
          <w:tcPr>
            <w:tcW w:w="940" w:type="dxa"/>
            <w:vAlign w:val="bottom"/>
          </w:tcPr>
          <w:p w:rsidR="00AC12B4" w:rsidRDefault="00C27636">
            <w:pPr>
              <w:spacing w:line="192" w:lineRule="exact"/>
              <w:rPr>
                <w:sz w:val="20"/>
                <w:szCs w:val="20"/>
              </w:rPr>
            </w:pPr>
            <w:r>
              <w:rPr>
                <w:rFonts w:ascii="Calibri" w:eastAsia="Calibri" w:hAnsi="Calibri" w:cs="Calibri"/>
                <w:sz w:val="20"/>
                <w:szCs w:val="20"/>
              </w:rPr>
              <w:t>une</w:t>
            </w:r>
          </w:p>
        </w:tc>
        <w:tc>
          <w:tcPr>
            <w:tcW w:w="1180" w:type="dxa"/>
            <w:gridSpan w:val="2"/>
            <w:vAlign w:val="bottom"/>
          </w:tcPr>
          <w:p w:rsidR="00AC12B4" w:rsidRDefault="00C27636">
            <w:pPr>
              <w:spacing w:line="192" w:lineRule="exact"/>
              <w:ind w:right="270"/>
              <w:jc w:val="right"/>
              <w:rPr>
                <w:sz w:val="20"/>
                <w:szCs w:val="20"/>
              </w:rPr>
            </w:pPr>
            <w:r>
              <w:rPr>
                <w:rFonts w:ascii="Calibri" w:eastAsia="Calibri" w:hAnsi="Calibri" w:cs="Calibri"/>
                <w:sz w:val="20"/>
                <w:szCs w:val="20"/>
              </w:rPr>
              <w:t>enquête</w:t>
            </w:r>
          </w:p>
        </w:tc>
        <w:tc>
          <w:tcPr>
            <w:tcW w:w="940" w:type="dxa"/>
            <w:tcBorders>
              <w:top w:val="single" w:sz="8" w:space="0" w:color="C95C96"/>
              <w:left w:val="single" w:sz="8" w:space="0" w:color="C95C96"/>
            </w:tcBorders>
            <w:vAlign w:val="bottom"/>
          </w:tcPr>
          <w:p w:rsidR="00AC12B4" w:rsidRDefault="00AC12B4">
            <w:pPr>
              <w:rPr>
                <w:sz w:val="16"/>
                <w:szCs w:val="16"/>
              </w:rPr>
            </w:pPr>
          </w:p>
        </w:tc>
        <w:tc>
          <w:tcPr>
            <w:tcW w:w="940" w:type="dxa"/>
            <w:tcBorders>
              <w:top w:val="single" w:sz="8" w:space="0" w:color="C95C96"/>
            </w:tcBorders>
            <w:vAlign w:val="bottom"/>
          </w:tcPr>
          <w:p w:rsidR="00AC12B4" w:rsidRDefault="00AC12B4">
            <w:pPr>
              <w:rPr>
                <w:sz w:val="16"/>
                <w:szCs w:val="16"/>
              </w:rPr>
            </w:pPr>
          </w:p>
        </w:tc>
        <w:tc>
          <w:tcPr>
            <w:tcW w:w="700" w:type="dxa"/>
            <w:tcBorders>
              <w:top w:val="single" w:sz="8" w:space="0" w:color="C95C96"/>
              <w:right w:val="single" w:sz="8" w:space="0" w:color="C95C96"/>
            </w:tcBorders>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269"/>
        </w:trPr>
        <w:tc>
          <w:tcPr>
            <w:tcW w:w="940" w:type="dxa"/>
            <w:vAlign w:val="bottom"/>
          </w:tcPr>
          <w:p w:rsidR="00AC12B4" w:rsidRDefault="00C27636">
            <w:pPr>
              <w:rPr>
                <w:sz w:val="20"/>
                <w:szCs w:val="20"/>
              </w:rPr>
            </w:pPr>
            <w:r>
              <w:rPr>
                <w:rFonts w:ascii="Calibri" w:eastAsia="Calibri" w:hAnsi="Calibri" w:cs="Calibri"/>
              </w:rPr>
              <w:t>spécifique</w:t>
            </w:r>
          </w:p>
        </w:tc>
        <w:tc>
          <w:tcPr>
            <w:tcW w:w="400" w:type="dxa"/>
            <w:vAlign w:val="bottom"/>
          </w:tcPr>
          <w:p w:rsidR="00AC12B4" w:rsidRDefault="00AC12B4">
            <w:pPr>
              <w:rPr>
                <w:sz w:val="23"/>
                <w:szCs w:val="23"/>
              </w:rPr>
            </w:pPr>
          </w:p>
        </w:tc>
        <w:tc>
          <w:tcPr>
            <w:tcW w:w="780" w:type="dxa"/>
            <w:vAlign w:val="bottom"/>
          </w:tcPr>
          <w:p w:rsidR="00AC12B4" w:rsidRDefault="00C27636">
            <w:pPr>
              <w:ind w:right="270"/>
              <w:jc w:val="right"/>
              <w:rPr>
                <w:sz w:val="20"/>
                <w:szCs w:val="20"/>
              </w:rPr>
            </w:pPr>
            <w:r>
              <w:rPr>
                <w:rFonts w:ascii="Calibri" w:eastAsia="Calibri" w:hAnsi="Calibri" w:cs="Calibri"/>
              </w:rPr>
              <w:t>à</w:t>
            </w:r>
          </w:p>
        </w:tc>
        <w:tc>
          <w:tcPr>
            <w:tcW w:w="2580" w:type="dxa"/>
            <w:gridSpan w:val="3"/>
            <w:vMerge w:val="restart"/>
            <w:tcBorders>
              <w:left w:val="single" w:sz="8" w:space="0" w:color="C95C96"/>
              <w:right w:val="single" w:sz="8" w:space="0" w:color="C95C96"/>
            </w:tcBorders>
            <w:vAlign w:val="bottom"/>
          </w:tcPr>
          <w:p w:rsidR="00AC12B4" w:rsidRDefault="00C27636">
            <w:pPr>
              <w:ind w:left="320"/>
              <w:rPr>
                <w:sz w:val="20"/>
                <w:szCs w:val="20"/>
              </w:rPr>
            </w:pPr>
            <w:r>
              <w:rPr>
                <w:rFonts w:ascii="Comic Sans MS" w:eastAsia="Comic Sans MS" w:hAnsi="Comic Sans MS" w:cs="Comic Sans MS"/>
                <w:color w:val="C95C96"/>
                <w:sz w:val="96"/>
                <w:szCs w:val="96"/>
              </w:rPr>
              <w:t>N/A</w:t>
            </w:r>
          </w:p>
        </w:tc>
        <w:tc>
          <w:tcPr>
            <w:tcW w:w="0" w:type="dxa"/>
            <w:vAlign w:val="bottom"/>
          </w:tcPr>
          <w:p w:rsidR="00AC12B4" w:rsidRDefault="00AC12B4">
            <w:pPr>
              <w:rPr>
                <w:sz w:val="1"/>
                <w:szCs w:val="1"/>
              </w:rPr>
            </w:pPr>
          </w:p>
        </w:tc>
      </w:tr>
      <w:tr w:rsidR="00AC12B4">
        <w:trPr>
          <w:trHeight w:val="269"/>
        </w:trPr>
        <w:tc>
          <w:tcPr>
            <w:tcW w:w="1340" w:type="dxa"/>
            <w:gridSpan w:val="2"/>
            <w:vAlign w:val="bottom"/>
          </w:tcPr>
          <w:p w:rsidR="00AC12B4" w:rsidRDefault="00C27636">
            <w:pPr>
              <w:rPr>
                <w:sz w:val="20"/>
                <w:szCs w:val="20"/>
              </w:rPr>
            </w:pPr>
            <w:r>
              <w:rPr>
                <w:rFonts w:ascii="Calibri" w:eastAsia="Calibri" w:hAnsi="Calibri" w:cs="Calibri"/>
              </w:rPr>
              <w:t>destination</w:t>
            </w:r>
          </w:p>
        </w:tc>
        <w:tc>
          <w:tcPr>
            <w:tcW w:w="780" w:type="dxa"/>
            <w:vAlign w:val="bottom"/>
          </w:tcPr>
          <w:p w:rsidR="00AC12B4" w:rsidRDefault="00C27636">
            <w:pPr>
              <w:ind w:right="270"/>
              <w:jc w:val="right"/>
              <w:rPr>
                <w:sz w:val="20"/>
                <w:szCs w:val="20"/>
              </w:rPr>
            </w:pPr>
            <w:r>
              <w:rPr>
                <w:rFonts w:ascii="Calibri" w:eastAsia="Calibri" w:hAnsi="Calibri" w:cs="Calibri"/>
              </w:rPr>
              <w:t>de</w:t>
            </w:r>
          </w:p>
        </w:tc>
        <w:tc>
          <w:tcPr>
            <w:tcW w:w="2580" w:type="dxa"/>
            <w:gridSpan w:val="3"/>
            <w:vMerge/>
            <w:tcBorders>
              <w:left w:val="single" w:sz="8" w:space="0" w:color="C95C96"/>
              <w:right w:val="single" w:sz="8" w:space="0" w:color="C95C96"/>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940" w:type="dxa"/>
            <w:vAlign w:val="bottom"/>
          </w:tcPr>
          <w:p w:rsidR="00AC12B4" w:rsidRDefault="00C27636">
            <w:pPr>
              <w:rPr>
                <w:sz w:val="20"/>
                <w:szCs w:val="20"/>
              </w:rPr>
            </w:pPr>
            <w:r>
              <w:rPr>
                <w:rFonts w:ascii="Calibri" w:eastAsia="Calibri" w:hAnsi="Calibri" w:cs="Calibri"/>
              </w:rPr>
              <w:t>groupes</w:t>
            </w:r>
          </w:p>
        </w:tc>
        <w:tc>
          <w:tcPr>
            <w:tcW w:w="400" w:type="dxa"/>
            <w:vAlign w:val="bottom"/>
          </w:tcPr>
          <w:p w:rsidR="00AC12B4" w:rsidRDefault="00AC12B4">
            <w:pPr>
              <w:rPr>
                <w:sz w:val="23"/>
                <w:szCs w:val="23"/>
              </w:rPr>
            </w:pPr>
          </w:p>
        </w:tc>
        <w:tc>
          <w:tcPr>
            <w:tcW w:w="780" w:type="dxa"/>
            <w:vAlign w:val="bottom"/>
          </w:tcPr>
          <w:p w:rsidR="00AC12B4" w:rsidRDefault="00AC12B4">
            <w:pPr>
              <w:rPr>
                <w:sz w:val="23"/>
                <w:szCs w:val="23"/>
              </w:rPr>
            </w:pPr>
          </w:p>
        </w:tc>
        <w:tc>
          <w:tcPr>
            <w:tcW w:w="2580" w:type="dxa"/>
            <w:gridSpan w:val="3"/>
            <w:vMerge/>
            <w:tcBorders>
              <w:left w:val="single" w:sz="8" w:space="0" w:color="C95C96"/>
              <w:right w:val="single" w:sz="8" w:space="0" w:color="C95C96"/>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340" w:type="dxa"/>
            <w:gridSpan w:val="2"/>
            <w:vAlign w:val="bottom"/>
          </w:tcPr>
          <w:p w:rsidR="00AC12B4" w:rsidRDefault="00C27636">
            <w:pPr>
              <w:rPr>
                <w:sz w:val="20"/>
                <w:szCs w:val="20"/>
              </w:rPr>
            </w:pPr>
            <w:r>
              <w:rPr>
                <w:rFonts w:ascii="Calibri" w:eastAsia="Calibri" w:hAnsi="Calibri" w:cs="Calibri"/>
              </w:rPr>
              <w:t>vulnérables</w:t>
            </w:r>
          </w:p>
        </w:tc>
        <w:tc>
          <w:tcPr>
            <w:tcW w:w="780" w:type="dxa"/>
            <w:vAlign w:val="bottom"/>
          </w:tcPr>
          <w:p w:rsidR="00AC12B4" w:rsidRDefault="00AC12B4">
            <w:pPr>
              <w:rPr>
                <w:sz w:val="23"/>
                <w:szCs w:val="23"/>
              </w:rPr>
            </w:pPr>
          </w:p>
        </w:tc>
        <w:tc>
          <w:tcPr>
            <w:tcW w:w="2580" w:type="dxa"/>
            <w:gridSpan w:val="3"/>
            <w:vMerge/>
            <w:tcBorders>
              <w:left w:val="single" w:sz="8" w:space="0" w:color="C95C96"/>
              <w:right w:val="single" w:sz="8" w:space="0" w:color="C95C96"/>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6"/>
        </w:trPr>
        <w:tc>
          <w:tcPr>
            <w:tcW w:w="940" w:type="dxa"/>
            <w:vAlign w:val="bottom"/>
          </w:tcPr>
          <w:p w:rsidR="00AC12B4" w:rsidRDefault="00C27636">
            <w:pPr>
              <w:spacing w:line="267" w:lineRule="exact"/>
              <w:rPr>
                <w:sz w:val="20"/>
                <w:szCs w:val="20"/>
              </w:rPr>
            </w:pPr>
            <w:r>
              <w:rPr>
                <w:rFonts w:ascii="Calibri" w:eastAsia="Calibri" w:hAnsi="Calibri" w:cs="Calibri"/>
              </w:rPr>
              <w:t>(mineurs</w:t>
            </w:r>
          </w:p>
        </w:tc>
        <w:tc>
          <w:tcPr>
            <w:tcW w:w="1180" w:type="dxa"/>
            <w:gridSpan w:val="2"/>
            <w:vAlign w:val="bottom"/>
          </w:tcPr>
          <w:p w:rsidR="00AC12B4" w:rsidRDefault="00C27636">
            <w:pPr>
              <w:spacing w:line="267" w:lineRule="exact"/>
              <w:ind w:right="270"/>
              <w:jc w:val="right"/>
              <w:rPr>
                <w:sz w:val="20"/>
                <w:szCs w:val="20"/>
              </w:rPr>
            </w:pPr>
            <w:r>
              <w:rPr>
                <w:rFonts w:ascii="Calibri" w:eastAsia="Calibri" w:hAnsi="Calibri" w:cs="Calibri"/>
              </w:rPr>
              <w:t>ayant</w:t>
            </w:r>
          </w:p>
        </w:tc>
        <w:tc>
          <w:tcPr>
            <w:tcW w:w="2580" w:type="dxa"/>
            <w:gridSpan w:val="3"/>
            <w:vMerge/>
            <w:tcBorders>
              <w:left w:val="single" w:sz="8" w:space="0" w:color="C95C96"/>
              <w:right w:val="single" w:sz="8" w:space="0" w:color="C95C96"/>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0"/>
        </w:trPr>
        <w:tc>
          <w:tcPr>
            <w:tcW w:w="2120" w:type="dxa"/>
            <w:gridSpan w:val="3"/>
            <w:vAlign w:val="bottom"/>
          </w:tcPr>
          <w:p w:rsidR="00AC12B4" w:rsidRDefault="00C27636">
            <w:pPr>
              <w:spacing w:line="220" w:lineRule="exact"/>
              <w:rPr>
                <w:sz w:val="20"/>
                <w:szCs w:val="20"/>
              </w:rPr>
            </w:pPr>
            <w:r>
              <w:rPr>
                <w:rFonts w:ascii="Calibri" w:eastAsia="Calibri" w:hAnsi="Calibri" w:cs="Calibri"/>
              </w:rPr>
              <w:t>commis un FQI et</w:t>
            </w:r>
          </w:p>
        </w:tc>
        <w:tc>
          <w:tcPr>
            <w:tcW w:w="2580" w:type="dxa"/>
            <w:gridSpan w:val="3"/>
            <w:vMerge w:val="restart"/>
            <w:tcBorders>
              <w:left w:val="single" w:sz="8" w:space="0" w:color="C95C96"/>
              <w:righ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0D0D0D"/>
                <w:sz w:val="20"/>
                <w:szCs w:val="20"/>
              </w:rPr>
              <w:t>Il n’existe actuellement</w:t>
            </w:r>
          </w:p>
        </w:tc>
        <w:tc>
          <w:tcPr>
            <w:tcW w:w="0" w:type="dxa"/>
            <w:vAlign w:val="bottom"/>
          </w:tcPr>
          <w:p w:rsidR="00AC12B4" w:rsidRDefault="00AC12B4">
            <w:pPr>
              <w:rPr>
                <w:sz w:val="1"/>
                <w:szCs w:val="1"/>
              </w:rPr>
            </w:pPr>
          </w:p>
        </w:tc>
      </w:tr>
      <w:tr w:rsidR="00AC12B4">
        <w:trPr>
          <w:trHeight w:val="170"/>
        </w:trPr>
        <w:tc>
          <w:tcPr>
            <w:tcW w:w="2120" w:type="dxa"/>
            <w:gridSpan w:val="3"/>
            <w:vMerge w:val="restart"/>
            <w:vAlign w:val="bottom"/>
          </w:tcPr>
          <w:p w:rsidR="00AC12B4" w:rsidRDefault="00C27636">
            <w:pPr>
              <w:rPr>
                <w:sz w:val="20"/>
                <w:szCs w:val="20"/>
              </w:rPr>
            </w:pPr>
            <w:r>
              <w:rPr>
                <w:rFonts w:ascii="Calibri" w:eastAsia="Calibri" w:hAnsi="Calibri" w:cs="Calibri"/>
              </w:rPr>
              <w:t>mineurs en danger</w:t>
            </w:r>
          </w:p>
        </w:tc>
        <w:tc>
          <w:tcPr>
            <w:tcW w:w="2580" w:type="dxa"/>
            <w:gridSpan w:val="3"/>
            <w:vMerge/>
            <w:tcBorders>
              <w:left w:val="single" w:sz="8" w:space="0" w:color="C95C96"/>
              <w:right w:val="single" w:sz="8" w:space="0" w:color="C95C96"/>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99"/>
        </w:trPr>
        <w:tc>
          <w:tcPr>
            <w:tcW w:w="2120" w:type="dxa"/>
            <w:gridSpan w:val="3"/>
            <w:vMerge/>
            <w:vAlign w:val="bottom"/>
          </w:tcPr>
          <w:p w:rsidR="00AC12B4" w:rsidRDefault="00AC12B4">
            <w:pPr>
              <w:rPr>
                <w:sz w:val="8"/>
                <w:szCs w:val="8"/>
              </w:rPr>
            </w:pPr>
          </w:p>
        </w:tc>
        <w:tc>
          <w:tcPr>
            <w:tcW w:w="940" w:type="dxa"/>
            <w:vMerge w:val="restart"/>
            <w:tcBorders>
              <w:lef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0D0D0D"/>
                <w:sz w:val="20"/>
                <w:szCs w:val="20"/>
              </w:rPr>
              <w:t>aucune</w:t>
            </w:r>
          </w:p>
        </w:tc>
        <w:tc>
          <w:tcPr>
            <w:tcW w:w="940" w:type="dxa"/>
            <w:vMerge w:val="restart"/>
            <w:vAlign w:val="bottom"/>
          </w:tcPr>
          <w:p w:rsidR="00AC12B4" w:rsidRDefault="00C27636">
            <w:pPr>
              <w:ind w:left="240"/>
              <w:rPr>
                <w:sz w:val="20"/>
                <w:szCs w:val="20"/>
              </w:rPr>
            </w:pPr>
            <w:r>
              <w:rPr>
                <w:rFonts w:ascii="Comic Sans MS" w:eastAsia="Comic Sans MS" w:hAnsi="Comic Sans MS" w:cs="Comic Sans MS"/>
                <w:color w:val="0D0D0D"/>
                <w:sz w:val="20"/>
                <w:szCs w:val="20"/>
              </w:rPr>
              <w:t>donnée</w:t>
            </w:r>
          </w:p>
        </w:tc>
        <w:tc>
          <w:tcPr>
            <w:tcW w:w="700" w:type="dxa"/>
            <w:vMerge w:val="restart"/>
            <w:tcBorders>
              <w:right w:val="single" w:sz="8" w:space="0" w:color="C95C96"/>
            </w:tcBorders>
            <w:vAlign w:val="bottom"/>
          </w:tcPr>
          <w:p w:rsidR="00AC12B4" w:rsidRDefault="00C27636">
            <w:pPr>
              <w:ind w:right="80"/>
              <w:jc w:val="right"/>
              <w:rPr>
                <w:sz w:val="20"/>
                <w:szCs w:val="20"/>
              </w:rPr>
            </w:pPr>
            <w:r>
              <w:rPr>
                <w:rFonts w:ascii="Comic Sans MS" w:eastAsia="Comic Sans MS" w:hAnsi="Comic Sans MS" w:cs="Comic Sans MS"/>
                <w:color w:val="0D0D0D"/>
                <w:sz w:val="20"/>
                <w:szCs w:val="20"/>
              </w:rPr>
              <w:t>au</w:t>
            </w:r>
          </w:p>
        </w:tc>
        <w:tc>
          <w:tcPr>
            <w:tcW w:w="0" w:type="dxa"/>
            <w:vAlign w:val="bottom"/>
          </w:tcPr>
          <w:p w:rsidR="00AC12B4" w:rsidRDefault="00AC12B4">
            <w:pPr>
              <w:rPr>
                <w:sz w:val="1"/>
                <w:szCs w:val="1"/>
              </w:rPr>
            </w:pPr>
          </w:p>
        </w:tc>
      </w:tr>
      <w:tr w:rsidR="00AC12B4">
        <w:trPr>
          <w:trHeight w:val="179"/>
        </w:trPr>
        <w:tc>
          <w:tcPr>
            <w:tcW w:w="940" w:type="dxa"/>
            <w:vMerge w:val="restart"/>
            <w:vAlign w:val="bottom"/>
          </w:tcPr>
          <w:p w:rsidR="00AC12B4" w:rsidRDefault="00C27636">
            <w:pPr>
              <w:rPr>
                <w:sz w:val="20"/>
                <w:szCs w:val="20"/>
              </w:rPr>
            </w:pPr>
            <w:r>
              <w:rPr>
                <w:rFonts w:ascii="Calibri" w:eastAsia="Calibri" w:hAnsi="Calibri" w:cs="Calibri"/>
              </w:rPr>
              <w:t>dans</w:t>
            </w:r>
          </w:p>
        </w:tc>
        <w:tc>
          <w:tcPr>
            <w:tcW w:w="1180" w:type="dxa"/>
            <w:gridSpan w:val="2"/>
            <w:vMerge w:val="restart"/>
            <w:vAlign w:val="bottom"/>
          </w:tcPr>
          <w:p w:rsidR="00AC12B4" w:rsidRDefault="00C27636">
            <w:pPr>
              <w:ind w:right="270"/>
              <w:jc w:val="right"/>
              <w:rPr>
                <w:sz w:val="20"/>
                <w:szCs w:val="20"/>
              </w:rPr>
            </w:pPr>
            <w:r>
              <w:rPr>
                <w:rFonts w:ascii="Calibri" w:eastAsia="Calibri" w:hAnsi="Calibri" w:cs="Calibri"/>
              </w:rPr>
              <w:t>l’aide</w:t>
            </w:r>
          </w:p>
        </w:tc>
        <w:tc>
          <w:tcPr>
            <w:tcW w:w="940" w:type="dxa"/>
            <w:vMerge/>
            <w:tcBorders>
              <w:left w:val="single" w:sz="8" w:space="0" w:color="C95C96"/>
            </w:tcBorders>
            <w:vAlign w:val="bottom"/>
          </w:tcPr>
          <w:p w:rsidR="00AC12B4" w:rsidRDefault="00AC12B4">
            <w:pPr>
              <w:rPr>
                <w:sz w:val="15"/>
                <w:szCs w:val="15"/>
              </w:rPr>
            </w:pPr>
          </w:p>
        </w:tc>
        <w:tc>
          <w:tcPr>
            <w:tcW w:w="940" w:type="dxa"/>
            <w:vMerge/>
            <w:vAlign w:val="bottom"/>
          </w:tcPr>
          <w:p w:rsidR="00AC12B4" w:rsidRDefault="00AC12B4">
            <w:pPr>
              <w:rPr>
                <w:sz w:val="15"/>
                <w:szCs w:val="15"/>
              </w:rPr>
            </w:pPr>
          </w:p>
        </w:tc>
        <w:tc>
          <w:tcPr>
            <w:tcW w:w="700" w:type="dxa"/>
            <w:vMerge/>
            <w:tcBorders>
              <w:right w:val="single" w:sz="8" w:space="0" w:color="C95C96"/>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0"/>
        </w:trPr>
        <w:tc>
          <w:tcPr>
            <w:tcW w:w="940" w:type="dxa"/>
            <w:vMerge/>
            <w:vAlign w:val="bottom"/>
          </w:tcPr>
          <w:p w:rsidR="00AC12B4" w:rsidRDefault="00AC12B4">
            <w:pPr>
              <w:rPr>
                <w:sz w:val="7"/>
                <w:szCs w:val="7"/>
              </w:rPr>
            </w:pPr>
          </w:p>
        </w:tc>
        <w:tc>
          <w:tcPr>
            <w:tcW w:w="1180" w:type="dxa"/>
            <w:gridSpan w:val="2"/>
            <w:vMerge/>
            <w:vAlign w:val="bottom"/>
          </w:tcPr>
          <w:p w:rsidR="00AC12B4" w:rsidRDefault="00AC12B4">
            <w:pPr>
              <w:rPr>
                <w:sz w:val="7"/>
                <w:szCs w:val="7"/>
              </w:rPr>
            </w:pPr>
          </w:p>
        </w:tc>
        <w:tc>
          <w:tcPr>
            <w:tcW w:w="940" w:type="dxa"/>
            <w:vMerge w:val="restart"/>
            <w:tcBorders>
              <w:lef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0D0D0D"/>
                <w:sz w:val="20"/>
                <w:szCs w:val="20"/>
              </w:rPr>
              <w:t>niveau</w:t>
            </w:r>
          </w:p>
        </w:tc>
        <w:tc>
          <w:tcPr>
            <w:tcW w:w="940" w:type="dxa"/>
            <w:vMerge w:val="restart"/>
            <w:vAlign w:val="bottom"/>
          </w:tcPr>
          <w:p w:rsidR="00AC12B4" w:rsidRDefault="00C27636">
            <w:pPr>
              <w:ind w:left="120"/>
              <w:rPr>
                <w:sz w:val="20"/>
                <w:szCs w:val="20"/>
              </w:rPr>
            </w:pPr>
            <w:r>
              <w:rPr>
                <w:rFonts w:ascii="Comic Sans MS" w:eastAsia="Comic Sans MS" w:hAnsi="Comic Sans MS" w:cs="Comic Sans MS"/>
                <w:color w:val="0D0D0D"/>
                <w:sz w:val="20"/>
                <w:szCs w:val="20"/>
              </w:rPr>
              <w:t>national</w:t>
            </w:r>
          </w:p>
        </w:tc>
        <w:tc>
          <w:tcPr>
            <w:tcW w:w="700" w:type="dxa"/>
            <w:vMerge w:val="restart"/>
            <w:tcBorders>
              <w:right w:val="single" w:sz="8" w:space="0" w:color="C95C96"/>
            </w:tcBorders>
            <w:vAlign w:val="bottom"/>
          </w:tcPr>
          <w:p w:rsidR="00AC12B4" w:rsidRDefault="00C27636">
            <w:pPr>
              <w:ind w:right="80"/>
              <w:jc w:val="right"/>
              <w:rPr>
                <w:sz w:val="20"/>
                <w:szCs w:val="20"/>
              </w:rPr>
            </w:pPr>
            <w:r>
              <w:rPr>
                <w:rFonts w:ascii="Comic Sans MS" w:eastAsia="Comic Sans MS" w:hAnsi="Comic Sans MS" w:cs="Comic Sans MS"/>
                <w:color w:val="0D0D0D"/>
                <w:sz w:val="20"/>
                <w:szCs w:val="20"/>
              </w:rPr>
              <w:t>sur</w:t>
            </w:r>
          </w:p>
        </w:tc>
        <w:tc>
          <w:tcPr>
            <w:tcW w:w="0" w:type="dxa"/>
            <w:vAlign w:val="bottom"/>
          </w:tcPr>
          <w:p w:rsidR="00AC12B4" w:rsidRDefault="00AC12B4">
            <w:pPr>
              <w:rPr>
                <w:sz w:val="1"/>
                <w:szCs w:val="1"/>
              </w:rPr>
            </w:pPr>
          </w:p>
        </w:tc>
      </w:tr>
      <w:tr w:rsidR="00AC12B4">
        <w:trPr>
          <w:trHeight w:val="189"/>
        </w:trPr>
        <w:tc>
          <w:tcPr>
            <w:tcW w:w="940" w:type="dxa"/>
            <w:vMerge w:val="restart"/>
            <w:vAlign w:val="bottom"/>
          </w:tcPr>
          <w:p w:rsidR="00AC12B4" w:rsidRDefault="00C27636">
            <w:pPr>
              <w:rPr>
                <w:sz w:val="20"/>
                <w:szCs w:val="20"/>
              </w:rPr>
            </w:pPr>
            <w:r>
              <w:rPr>
                <w:rFonts w:ascii="Calibri" w:eastAsia="Calibri" w:hAnsi="Calibri" w:cs="Calibri"/>
              </w:rPr>
              <w:t>judiciaire,</w:t>
            </w:r>
          </w:p>
        </w:tc>
        <w:tc>
          <w:tcPr>
            <w:tcW w:w="400" w:type="dxa"/>
            <w:vMerge w:val="restart"/>
            <w:vAlign w:val="bottom"/>
          </w:tcPr>
          <w:p w:rsidR="00AC12B4" w:rsidRDefault="00C27636">
            <w:pPr>
              <w:ind w:left="100"/>
              <w:rPr>
                <w:sz w:val="20"/>
                <w:szCs w:val="20"/>
              </w:rPr>
            </w:pPr>
            <w:r>
              <w:rPr>
                <w:rFonts w:ascii="Calibri" w:eastAsia="Calibri" w:hAnsi="Calibri" w:cs="Calibri"/>
              </w:rPr>
              <w:t>via</w:t>
            </w:r>
          </w:p>
        </w:tc>
        <w:tc>
          <w:tcPr>
            <w:tcW w:w="780" w:type="dxa"/>
            <w:vMerge w:val="restart"/>
            <w:vAlign w:val="bottom"/>
          </w:tcPr>
          <w:p w:rsidR="00AC12B4" w:rsidRDefault="00C27636">
            <w:pPr>
              <w:ind w:right="270"/>
              <w:jc w:val="right"/>
              <w:rPr>
                <w:sz w:val="20"/>
                <w:szCs w:val="20"/>
              </w:rPr>
            </w:pPr>
            <w:r>
              <w:rPr>
                <w:rFonts w:ascii="Calibri" w:eastAsia="Calibri" w:hAnsi="Calibri" w:cs="Calibri"/>
              </w:rPr>
              <w:t>les</w:t>
            </w:r>
          </w:p>
        </w:tc>
        <w:tc>
          <w:tcPr>
            <w:tcW w:w="940" w:type="dxa"/>
            <w:vMerge/>
            <w:tcBorders>
              <w:left w:val="single" w:sz="8" w:space="0" w:color="C95C96"/>
            </w:tcBorders>
            <w:vAlign w:val="bottom"/>
          </w:tcPr>
          <w:p w:rsidR="00AC12B4" w:rsidRDefault="00AC12B4">
            <w:pPr>
              <w:rPr>
                <w:sz w:val="16"/>
                <w:szCs w:val="16"/>
              </w:rPr>
            </w:pPr>
          </w:p>
        </w:tc>
        <w:tc>
          <w:tcPr>
            <w:tcW w:w="940" w:type="dxa"/>
            <w:vMerge/>
            <w:vAlign w:val="bottom"/>
          </w:tcPr>
          <w:p w:rsidR="00AC12B4" w:rsidRDefault="00AC12B4">
            <w:pPr>
              <w:rPr>
                <w:sz w:val="16"/>
                <w:szCs w:val="16"/>
              </w:rPr>
            </w:pPr>
          </w:p>
        </w:tc>
        <w:tc>
          <w:tcPr>
            <w:tcW w:w="700" w:type="dxa"/>
            <w:vMerge/>
            <w:tcBorders>
              <w:right w:val="single" w:sz="8" w:space="0" w:color="C95C96"/>
            </w:tcBorders>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80"/>
        </w:trPr>
        <w:tc>
          <w:tcPr>
            <w:tcW w:w="940" w:type="dxa"/>
            <w:vMerge/>
            <w:vAlign w:val="bottom"/>
          </w:tcPr>
          <w:p w:rsidR="00AC12B4" w:rsidRDefault="00AC12B4">
            <w:pPr>
              <w:rPr>
                <w:sz w:val="6"/>
                <w:szCs w:val="6"/>
              </w:rPr>
            </w:pPr>
          </w:p>
        </w:tc>
        <w:tc>
          <w:tcPr>
            <w:tcW w:w="400" w:type="dxa"/>
            <w:vMerge/>
            <w:vAlign w:val="bottom"/>
          </w:tcPr>
          <w:p w:rsidR="00AC12B4" w:rsidRDefault="00AC12B4">
            <w:pPr>
              <w:rPr>
                <w:sz w:val="6"/>
                <w:szCs w:val="6"/>
              </w:rPr>
            </w:pPr>
          </w:p>
        </w:tc>
        <w:tc>
          <w:tcPr>
            <w:tcW w:w="780" w:type="dxa"/>
            <w:vMerge/>
            <w:vAlign w:val="bottom"/>
          </w:tcPr>
          <w:p w:rsidR="00AC12B4" w:rsidRDefault="00AC12B4">
            <w:pPr>
              <w:rPr>
                <w:sz w:val="6"/>
                <w:szCs w:val="6"/>
              </w:rPr>
            </w:pPr>
          </w:p>
        </w:tc>
        <w:tc>
          <w:tcPr>
            <w:tcW w:w="1880" w:type="dxa"/>
            <w:gridSpan w:val="2"/>
            <w:vMerge w:val="restart"/>
            <w:tcBorders>
              <w:lef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0D0D0D"/>
                <w:sz w:val="20"/>
                <w:szCs w:val="20"/>
              </w:rPr>
              <w:t>l’accessibilité  de</w:t>
            </w:r>
          </w:p>
        </w:tc>
        <w:tc>
          <w:tcPr>
            <w:tcW w:w="700" w:type="dxa"/>
            <w:vMerge w:val="restart"/>
            <w:tcBorders>
              <w:right w:val="single" w:sz="8" w:space="0" w:color="C95C96"/>
            </w:tcBorders>
            <w:vAlign w:val="bottom"/>
          </w:tcPr>
          <w:p w:rsidR="00AC12B4" w:rsidRDefault="00C27636">
            <w:pPr>
              <w:ind w:right="80"/>
              <w:jc w:val="right"/>
              <w:rPr>
                <w:sz w:val="20"/>
                <w:szCs w:val="20"/>
              </w:rPr>
            </w:pPr>
            <w:r>
              <w:rPr>
                <w:rFonts w:ascii="Comic Sans MS" w:eastAsia="Comic Sans MS" w:hAnsi="Comic Sans MS" w:cs="Comic Sans MS"/>
                <w:color w:val="0D0D0D"/>
                <w:sz w:val="20"/>
                <w:szCs w:val="20"/>
              </w:rPr>
              <w:t>l’aide</w:t>
            </w:r>
          </w:p>
        </w:tc>
        <w:tc>
          <w:tcPr>
            <w:tcW w:w="0" w:type="dxa"/>
            <w:vAlign w:val="bottom"/>
          </w:tcPr>
          <w:p w:rsidR="00AC12B4" w:rsidRDefault="00AC12B4">
            <w:pPr>
              <w:rPr>
                <w:sz w:val="1"/>
                <w:szCs w:val="1"/>
              </w:rPr>
            </w:pPr>
          </w:p>
        </w:tc>
      </w:tr>
      <w:tr w:rsidR="00AC12B4">
        <w:trPr>
          <w:trHeight w:val="198"/>
        </w:trPr>
        <w:tc>
          <w:tcPr>
            <w:tcW w:w="940" w:type="dxa"/>
            <w:vMerge w:val="restart"/>
            <w:vAlign w:val="bottom"/>
          </w:tcPr>
          <w:p w:rsidR="00AC12B4" w:rsidRDefault="00C27636">
            <w:pPr>
              <w:rPr>
                <w:sz w:val="20"/>
                <w:szCs w:val="20"/>
              </w:rPr>
            </w:pPr>
            <w:r>
              <w:rPr>
                <w:rFonts w:ascii="Calibri" w:eastAsia="Calibri" w:hAnsi="Calibri" w:cs="Calibri"/>
              </w:rPr>
              <w:t>avocats</w:t>
            </w:r>
          </w:p>
        </w:tc>
        <w:tc>
          <w:tcPr>
            <w:tcW w:w="400" w:type="dxa"/>
            <w:vAlign w:val="bottom"/>
          </w:tcPr>
          <w:p w:rsidR="00AC12B4" w:rsidRDefault="00AC12B4">
            <w:pPr>
              <w:rPr>
                <w:sz w:val="17"/>
                <w:szCs w:val="17"/>
              </w:rPr>
            </w:pPr>
          </w:p>
        </w:tc>
        <w:tc>
          <w:tcPr>
            <w:tcW w:w="780" w:type="dxa"/>
            <w:vMerge w:val="restart"/>
            <w:vAlign w:val="bottom"/>
          </w:tcPr>
          <w:p w:rsidR="00AC12B4" w:rsidRDefault="00C27636">
            <w:pPr>
              <w:ind w:right="270"/>
              <w:jc w:val="right"/>
              <w:rPr>
                <w:sz w:val="20"/>
                <w:szCs w:val="20"/>
              </w:rPr>
            </w:pPr>
            <w:r>
              <w:rPr>
                <w:rFonts w:ascii="Calibri" w:eastAsia="Calibri" w:hAnsi="Calibri" w:cs="Calibri"/>
              </w:rPr>
              <w:t>des</w:t>
            </w:r>
          </w:p>
        </w:tc>
        <w:tc>
          <w:tcPr>
            <w:tcW w:w="1880" w:type="dxa"/>
            <w:gridSpan w:val="2"/>
            <w:vMerge/>
            <w:tcBorders>
              <w:left w:val="single" w:sz="8" w:space="0" w:color="C95C96"/>
            </w:tcBorders>
            <w:vAlign w:val="bottom"/>
          </w:tcPr>
          <w:p w:rsidR="00AC12B4" w:rsidRDefault="00AC12B4">
            <w:pPr>
              <w:rPr>
                <w:sz w:val="17"/>
                <w:szCs w:val="17"/>
              </w:rPr>
            </w:pPr>
          </w:p>
        </w:tc>
        <w:tc>
          <w:tcPr>
            <w:tcW w:w="700" w:type="dxa"/>
            <w:vMerge/>
            <w:tcBorders>
              <w:right w:val="single" w:sz="8" w:space="0" w:color="C95C96"/>
            </w:tcBorders>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70"/>
        </w:trPr>
        <w:tc>
          <w:tcPr>
            <w:tcW w:w="940" w:type="dxa"/>
            <w:vMerge/>
            <w:vAlign w:val="bottom"/>
          </w:tcPr>
          <w:p w:rsidR="00AC12B4" w:rsidRDefault="00AC12B4">
            <w:pPr>
              <w:rPr>
                <w:sz w:val="6"/>
                <w:szCs w:val="6"/>
              </w:rPr>
            </w:pPr>
          </w:p>
        </w:tc>
        <w:tc>
          <w:tcPr>
            <w:tcW w:w="400" w:type="dxa"/>
            <w:vAlign w:val="bottom"/>
          </w:tcPr>
          <w:p w:rsidR="00AC12B4" w:rsidRDefault="00AC12B4">
            <w:pPr>
              <w:rPr>
                <w:sz w:val="6"/>
                <w:szCs w:val="6"/>
              </w:rPr>
            </w:pPr>
          </w:p>
        </w:tc>
        <w:tc>
          <w:tcPr>
            <w:tcW w:w="780" w:type="dxa"/>
            <w:vMerge/>
            <w:vAlign w:val="bottom"/>
          </w:tcPr>
          <w:p w:rsidR="00AC12B4" w:rsidRDefault="00AC12B4">
            <w:pPr>
              <w:rPr>
                <w:sz w:val="6"/>
                <w:szCs w:val="6"/>
              </w:rPr>
            </w:pPr>
          </w:p>
        </w:tc>
        <w:tc>
          <w:tcPr>
            <w:tcW w:w="1880" w:type="dxa"/>
            <w:gridSpan w:val="2"/>
            <w:vMerge w:val="restart"/>
            <w:tcBorders>
              <w:left w:val="single" w:sz="8" w:space="0" w:color="C95C96"/>
            </w:tcBorders>
            <w:vAlign w:val="bottom"/>
          </w:tcPr>
          <w:p w:rsidR="00AC12B4" w:rsidRDefault="00C27636">
            <w:pPr>
              <w:ind w:left="180"/>
              <w:rPr>
                <w:sz w:val="20"/>
                <w:szCs w:val="20"/>
              </w:rPr>
            </w:pPr>
            <w:r>
              <w:rPr>
                <w:rFonts w:ascii="Comic Sans MS" w:eastAsia="Comic Sans MS" w:hAnsi="Comic Sans MS" w:cs="Comic Sans MS"/>
                <w:color w:val="0D0D0D"/>
                <w:sz w:val="20"/>
                <w:szCs w:val="20"/>
              </w:rPr>
              <w:t xml:space="preserve">aux </w:t>
            </w:r>
            <w:r>
              <w:rPr>
                <w:rFonts w:ascii="Comic Sans MS" w:eastAsia="Comic Sans MS" w:hAnsi="Comic Sans MS" w:cs="Comic Sans MS"/>
                <w:color w:val="0D0D0D"/>
                <w:sz w:val="20"/>
                <w:szCs w:val="20"/>
              </w:rPr>
              <w:t>enfants</w:t>
            </w:r>
          </w:p>
        </w:tc>
        <w:tc>
          <w:tcPr>
            <w:tcW w:w="700" w:type="dxa"/>
            <w:tcBorders>
              <w:right w:val="single" w:sz="8" w:space="0" w:color="C95C96"/>
            </w:tcBorders>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208"/>
        </w:trPr>
        <w:tc>
          <w:tcPr>
            <w:tcW w:w="940" w:type="dxa"/>
            <w:vMerge w:val="restart"/>
            <w:vAlign w:val="bottom"/>
          </w:tcPr>
          <w:p w:rsidR="00AC12B4" w:rsidRDefault="00C27636">
            <w:pPr>
              <w:rPr>
                <w:sz w:val="20"/>
                <w:szCs w:val="20"/>
              </w:rPr>
            </w:pPr>
            <w:r>
              <w:rPr>
                <w:rFonts w:ascii="Calibri" w:eastAsia="Calibri" w:hAnsi="Calibri" w:cs="Calibri"/>
              </w:rPr>
              <w:t>mineurs,</w:t>
            </w:r>
          </w:p>
        </w:tc>
        <w:tc>
          <w:tcPr>
            <w:tcW w:w="1180" w:type="dxa"/>
            <w:gridSpan w:val="2"/>
            <w:vMerge w:val="restart"/>
            <w:vAlign w:val="bottom"/>
          </w:tcPr>
          <w:p w:rsidR="00AC12B4" w:rsidRDefault="00C27636">
            <w:pPr>
              <w:ind w:right="290"/>
              <w:jc w:val="right"/>
              <w:rPr>
                <w:sz w:val="20"/>
                <w:szCs w:val="20"/>
              </w:rPr>
            </w:pPr>
            <w:r>
              <w:rPr>
                <w:rFonts w:ascii="Calibri" w:eastAsia="Calibri" w:hAnsi="Calibri" w:cs="Calibri"/>
              </w:rPr>
              <w:t>mineurs</w:t>
            </w:r>
          </w:p>
        </w:tc>
        <w:tc>
          <w:tcPr>
            <w:tcW w:w="1880" w:type="dxa"/>
            <w:gridSpan w:val="2"/>
            <w:vMerge/>
            <w:tcBorders>
              <w:left w:val="single" w:sz="8" w:space="0" w:color="C95C96"/>
            </w:tcBorders>
            <w:vAlign w:val="bottom"/>
          </w:tcPr>
          <w:p w:rsidR="00AC12B4" w:rsidRDefault="00AC12B4">
            <w:pPr>
              <w:rPr>
                <w:sz w:val="18"/>
                <w:szCs w:val="18"/>
              </w:rPr>
            </w:pPr>
          </w:p>
        </w:tc>
        <w:tc>
          <w:tcPr>
            <w:tcW w:w="700" w:type="dxa"/>
            <w:tcBorders>
              <w:right w:val="single" w:sz="8" w:space="0" w:color="C95C96"/>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61"/>
        </w:trPr>
        <w:tc>
          <w:tcPr>
            <w:tcW w:w="940" w:type="dxa"/>
            <w:vMerge/>
            <w:vAlign w:val="bottom"/>
          </w:tcPr>
          <w:p w:rsidR="00AC12B4" w:rsidRDefault="00AC12B4">
            <w:pPr>
              <w:rPr>
                <w:sz w:val="5"/>
                <w:szCs w:val="5"/>
              </w:rPr>
            </w:pPr>
          </w:p>
        </w:tc>
        <w:tc>
          <w:tcPr>
            <w:tcW w:w="1180" w:type="dxa"/>
            <w:gridSpan w:val="2"/>
            <w:vMerge/>
            <w:vAlign w:val="bottom"/>
          </w:tcPr>
          <w:p w:rsidR="00AC12B4" w:rsidRDefault="00AC12B4">
            <w:pPr>
              <w:rPr>
                <w:sz w:val="5"/>
                <w:szCs w:val="5"/>
              </w:rPr>
            </w:pPr>
          </w:p>
        </w:tc>
        <w:tc>
          <w:tcPr>
            <w:tcW w:w="940" w:type="dxa"/>
            <w:tcBorders>
              <w:left w:val="single" w:sz="8" w:space="0" w:color="C95C96"/>
            </w:tcBorders>
            <w:vAlign w:val="bottom"/>
          </w:tcPr>
          <w:p w:rsidR="00AC12B4" w:rsidRDefault="00AC12B4">
            <w:pPr>
              <w:rPr>
                <w:sz w:val="5"/>
                <w:szCs w:val="5"/>
              </w:rPr>
            </w:pPr>
          </w:p>
        </w:tc>
        <w:tc>
          <w:tcPr>
            <w:tcW w:w="940" w:type="dxa"/>
            <w:vAlign w:val="bottom"/>
          </w:tcPr>
          <w:p w:rsidR="00AC12B4" w:rsidRDefault="00AC12B4">
            <w:pPr>
              <w:rPr>
                <w:sz w:val="5"/>
                <w:szCs w:val="5"/>
              </w:rPr>
            </w:pPr>
          </w:p>
        </w:tc>
        <w:tc>
          <w:tcPr>
            <w:tcW w:w="700" w:type="dxa"/>
            <w:tcBorders>
              <w:right w:val="single" w:sz="8" w:space="0" w:color="C95C96"/>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269"/>
        </w:trPr>
        <w:tc>
          <w:tcPr>
            <w:tcW w:w="940" w:type="dxa"/>
            <w:vAlign w:val="bottom"/>
          </w:tcPr>
          <w:p w:rsidR="00AC12B4" w:rsidRDefault="00C27636">
            <w:pPr>
              <w:rPr>
                <w:sz w:val="20"/>
                <w:szCs w:val="20"/>
              </w:rPr>
            </w:pPr>
            <w:r>
              <w:rPr>
                <w:rFonts w:ascii="Calibri" w:eastAsia="Calibri" w:hAnsi="Calibri" w:cs="Calibri"/>
              </w:rPr>
              <w:t>étrangers</w:t>
            </w:r>
          </w:p>
        </w:tc>
        <w:tc>
          <w:tcPr>
            <w:tcW w:w="400" w:type="dxa"/>
            <w:vAlign w:val="bottom"/>
          </w:tcPr>
          <w:p w:rsidR="00AC12B4" w:rsidRDefault="00AC12B4">
            <w:pPr>
              <w:rPr>
                <w:sz w:val="23"/>
                <w:szCs w:val="23"/>
              </w:rPr>
            </w:pPr>
          </w:p>
        </w:tc>
        <w:tc>
          <w:tcPr>
            <w:tcW w:w="780" w:type="dxa"/>
            <w:vAlign w:val="bottom"/>
          </w:tcPr>
          <w:p w:rsidR="00AC12B4" w:rsidRDefault="00C27636">
            <w:pPr>
              <w:ind w:right="290"/>
              <w:jc w:val="right"/>
              <w:rPr>
                <w:sz w:val="20"/>
                <w:szCs w:val="20"/>
              </w:rPr>
            </w:pPr>
            <w:r>
              <w:rPr>
                <w:rFonts w:ascii="Calibri" w:eastAsia="Calibri" w:hAnsi="Calibri" w:cs="Calibri"/>
              </w:rPr>
              <w:t>non</w:t>
            </w:r>
          </w:p>
        </w:tc>
        <w:tc>
          <w:tcPr>
            <w:tcW w:w="940" w:type="dxa"/>
            <w:tcBorders>
              <w:left w:val="single" w:sz="8" w:space="0" w:color="C95C96"/>
            </w:tcBorders>
            <w:vAlign w:val="bottom"/>
          </w:tcPr>
          <w:p w:rsidR="00AC12B4" w:rsidRDefault="00AC12B4">
            <w:pPr>
              <w:rPr>
                <w:sz w:val="23"/>
                <w:szCs w:val="23"/>
              </w:rPr>
            </w:pPr>
          </w:p>
        </w:tc>
        <w:tc>
          <w:tcPr>
            <w:tcW w:w="940" w:type="dxa"/>
            <w:vAlign w:val="bottom"/>
          </w:tcPr>
          <w:p w:rsidR="00AC12B4" w:rsidRDefault="00AC12B4">
            <w:pPr>
              <w:rPr>
                <w:sz w:val="23"/>
                <w:szCs w:val="23"/>
              </w:rPr>
            </w:pPr>
          </w:p>
        </w:tc>
        <w:tc>
          <w:tcPr>
            <w:tcW w:w="700" w:type="dxa"/>
            <w:tcBorders>
              <w:right w:val="single" w:sz="8" w:space="0" w:color="C95C96"/>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43"/>
        </w:trPr>
        <w:tc>
          <w:tcPr>
            <w:tcW w:w="1340" w:type="dxa"/>
            <w:gridSpan w:val="2"/>
            <w:vMerge w:val="restart"/>
            <w:vAlign w:val="bottom"/>
          </w:tcPr>
          <w:p w:rsidR="00AC12B4" w:rsidRDefault="00C27636">
            <w:pPr>
              <w:rPr>
                <w:sz w:val="20"/>
                <w:szCs w:val="20"/>
              </w:rPr>
            </w:pPr>
            <w:r>
              <w:rPr>
                <w:rFonts w:ascii="Calibri" w:eastAsia="Calibri" w:hAnsi="Calibri" w:cs="Calibri"/>
              </w:rPr>
              <w:t>accompagnés</w:t>
            </w:r>
          </w:p>
        </w:tc>
        <w:tc>
          <w:tcPr>
            <w:tcW w:w="780" w:type="dxa"/>
            <w:vMerge w:val="restart"/>
            <w:vAlign w:val="bottom"/>
          </w:tcPr>
          <w:p w:rsidR="00AC12B4" w:rsidRDefault="00C27636">
            <w:pPr>
              <w:ind w:right="290"/>
              <w:jc w:val="right"/>
              <w:rPr>
                <w:sz w:val="20"/>
                <w:szCs w:val="20"/>
              </w:rPr>
            </w:pPr>
            <w:r>
              <w:rPr>
                <w:rFonts w:ascii="Calibri" w:eastAsia="Calibri" w:hAnsi="Calibri" w:cs="Calibri"/>
              </w:rPr>
              <w:t>via</w:t>
            </w:r>
          </w:p>
        </w:tc>
        <w:tc>
          <w:tcPr>
            <w:tcW w:w="940" w:type="dxa"/>
            <w:tcBorders>
              <w:left w:val="single" w:sz="8" w:space="0" w:color="C95C96"/>
              <w:bottom w:val="single" w:sz="8" w:space="0" w:color="C95C96"/>
            </w:tcBorders>
            <w:vAlign w:val="bottom"/>
          </w:tcPr>
          <w:p w:rsidR="00AC12B4" w:rsidRDefault="00AC12B4">
            <w:pPr>
              <w:rPr>
                <w:sz w:val="3"/>
                <w:szCs w:val="3"/>
              </w:rPr>
            </w:pPr>
          </w:p>
        </w:tc>
        <w:tc>
          <w:tcPr>
            <w:tcW w:w="940" w:type="dxa"/>
            <w:tcBorders>
              <w:bottom w:val="single" w:sz="8" w:space="0" w:color="C95C96"/>
            </w:tcBorders>
            <w:vAlign w:val="bottom"/>
          </w:tcPr>
          <w:p w:rsidR="00AC12B4" w:rsidRDefault="00AC12B4">
            <w:pPr>
              <w:rPr>
                <w:sz w:val="3"/>
                <w:szCs w:val="3"/>
              </w:rPr>
            </w:pPr>
          </w:p>
        </w:tc>
        <w:tc>
          <w:tcPr>
            <w:tcW w:w="700" w:type="dxa"/>
            <w:tcBorders>
              <w:bottom w:val="single" w:sz="8" w:space="0" w:color="C95C96"/>
              <w:right w:val="single" w:sz="8" w:space="0" w:color="C95C96"/>
            </w:tcBorders>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206"/>
        </w:trPr>
        <w:tc>
          <w:tcPr>
            <w:tcW w:w="1340" w:type="dxa"/>
            <w:gridSpan w:val="2"/>
            <w:vMerge/>
            <w:vAlign w:val="bottom"/>
          </w:tcPr>
          <w:p w:rsidR="00AC12B4" w:rsidRDefault="00AC12B4">
            <w:pPr>
              <w:rPr>
                <w:sz w:val="17"/>
                <w:szCs w:val="17"/>
              </w:rPr>
            </w:pPr>
          </w:p>
        </w:tc>
        <w:tc>
          <w:tcPr>
            <w:tcW w:w="780" w:type="dxa"/>
            <w:vMerge/>
            <w:vAlign w:val="bottom"/>
          </w:tcPr>
          <w:p w:rsidR="00AC12B4" w:rsidRDefault="00AC12B4">
            <w:pPr>
              <w:rPr>
                <w:sz w:val="17"/>
                <w:szCs w:val="17"/>
              </w:rPr>
            </w:pPr>
          </w:p>
        </w:tc>
        <w:tc>
          <w:tcPr>
            <w:tcW w:w="940" w:type="dxa"/>
            <w:vAlign w:val="bottom"/>
          </w:tcPr>
          <w:p w:rsidR="00AC12B4" w:rsidRDefault="00AC12B4">
            <w:pPr>
              <w:rPr>
                <w:sz w:val="17"/>
                <w:szCs w:val="17"/>
              </w:rPr>
            </w:pPr>
          </w:p>
        </w:tc>
        <w:tc>
          <w:tcPr>
            <w:tcW w:w="940" w:type="dxa"/>
            <w:vAlign w:val="bottom"/>
          </w:tcPr>
          <w:p w:rsidR="00AC12B4" w:rsidRDefault="00AC12B4">
            <w:pPr>
              <w:rPr>
                <w:sz w:val="17"/>
                <w:szCs w:val="17"/>
              </w:rPr>
            </w:pPr>
          </w:p>
        </w:tc>
        <w:tc>
          <w:tcPr>
            <w:tcW w:w="700" w:type="dxa"/>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269"/>
        </w:trPr>
        <w:tc>
          <w:tcPr>
            <w:tcW w:w="1340" w:type="dxa"/>
            <w:gridSpan w:val="2"/>
            <w:vAlign w:val="bottom"/>
          </w:tcPr>
          <w:p w:rsidR="00AC12B4" w:rsidRDefault="00C27636">
            <w:pPr>
              <w:rPr>
                <w:sz w:val="20"/>
                <w:szCs w:val="20"/>
              </w:rPr>
            </w:pPr>
            <w:r>
              <w:rPr>
                <w:rFonts w:ascii="Calibri" w:eastAsia="Calibri" w:hAnsi="Calibri" w:cs="Calibri"/>
              </w:rPr>
              <w:t>leurs tuteurs).</w:t>
            </w:r>
          </w:p>
        </w:tc>
        <w:tc>
          <w:tcPr>
            <w:tcW w:w="780" w:type="dxa"/>
            <w:vAlign w:val="bottom"/>
          </w:tcPr>
          <w:p w:rsidR="00AC12B4" w:rsidRDefault="00AC12B4">
            <w:pPr>
              <w:rPr>
                <w:sz w:val="23"/>
                <w:szCs w:val="23"/>
              </w:rPr>
            </w:pPr>
          </w:p>
        </w:tc>
        <w:tc>
          <w:tcPr>
            <w:tcW w:w="940" w:type="dxa"/>
            <w:vAlign w:val="bottom"/>
          </w:tcPr>
          <w:p w:rsidR="00AC12B4" w:rsidRDefault="00AC12B4">
            <w:pPr>
              <w:rPr>
                <w:sz w:val="23"/>
                <w:szCs w:val="23"/>
              </w:rPr>
            </w:pPr>
          </w:p>
        </w:tc>
        <w:tc>
          <w:tcPr>
            <w:tcW w:w="940" w:type="dxa"/>
            <w:vAlign w:val="bottom"/>
          </w:tcPr>
          <w:p w:rsidR="00AC12B4" w:rsidRDefault="00AC12B4">
            <w:pPr>
              <w:rPr>
                <w:sz w:val="23"/>
                <w:szCs w:val="23"/>
              </w:rPr>
            </w:pPr>
          </w:p>
        </w:tc>
        <w:tc>
          <w:tcPr>
            <w:tcW w:w="700" w:type="dxa"/>
            <w:vAlign w:val="bottom"/>
          </w:tcPr>
          <w:p w:rsidR="00AC12B4" w:rsidRDefault="00AC12B4">
            <w:pPr>
              <w:rPr>
                <w:sz w:val="23"/>
                <w:szCs w:val="23"/>
              </w:rPr>
            </w:pPr>
          </w:p>
        </w:tc>
        <w:tc>
          <w:tcPr>
            <w:tcW w:w="0" w:type="dxa"/>
            <w:vAlign w:val="bottom"/>
          </w:tcPr>
          <w:p w:rsidR="00AC12B4" w:rsidRDefault="00AC12B4">
            <w:pPr>
              <w:rPr>
                <w:sz w:val="1"/>
                <w:szCs w:val="1"/>
              </w:rPr>
            </w:pPr>
          </w:p>
        </w:tc>
      </w:tr>
    </w:tbl>
    <w:p w:rsidR="00AC12B4" w:rsidRDefault="00AC12B4">
      <w:pPr>
        <w:spacing w:line="200" w:lineRule="exact"/>
        <w:rPr>
          <w:sz w:val="20"/>
          <w:szCs w:val="20"/>
        </w:rPr>
      </w:pPr>
    </w:p>
    <w:p w:rsidR="00AC12B4" w:rsidRDefault="00AC12B4">
      <w:pPr>
        <w:spacing w:line="392" w:lineRule="exact"/>
        <w:rPr>
          <w:sz w:val="20"/>
          <w:szCs w:val="20"/>
        </w:rPr>
      </w:pPr>
    </w:p>
    <w:p w:rsidR="00AC12B4" w:rsidRDefault="00C27636">
      <w:pPr>
        <w:rPr>
          <w:sz w:val="20"/>
          <w:szCs w:val="20"/>
        </w:rPr>
      </w:pPr>
      <w:r>
        <w:rPr>
          <w:rFonts w:ascii="Cambria" w:eastAsia="Cambria" w:hAnsi="Cambria" w:cs="Cambria"/>
          <w:b/>
          <w:bCs/>
          <w:i/>
          <w:iCs/>
          <w:color w:val="963266"/>
          <w:sz w:val="26"/>
          <w:szCs w:val="26"/>
        </w:rPr>
        <w:t>Iniquité</w:t>
      </w:r>
    </w:p>
    <w:p w:rsidR="00AC12B4" w:rsidRDefault="00AC12B4">
      <w:pPr>
        <w:spacing w:line="210" w:lineRule="exact"/>
        <w:rPr>
          <w:sz w:val="20"/>
          <w:szCs w:val="20"/>
        </w:rPr>
      </w:pPr>
    </w:p>
    <w:p w:rsidR="00AC12B4" w:rsidRDefault="00C27636">
      <w:pPr>
        <w:spacing w:line="228" w:lineRule="auto"/>
        <w:ind w:right="840"/>
        <w:jc w:val="both"/>
        <w:rPr>
          <w:sz w:val="20"/>
          <w:szCs w:val="20"/>
        </w:rPr>
      </w:pPr>
      <w:r>
        <w:rPr>
          <w:rFonts w:ascii="Calibri" w:eastAsia="Calibri" w:hAnsi="Calibri" w:cs="Calibri"/>
        </w:rPr>
        <w:t xml:space="preserve">Il est important de mesurer des différences selon l’âge et le niveau d’études, afin d’évaluer si l’information est suffisamment </w:t>
      </w:r>
      <w:r>
        <w:rPr>
          <w:rFonts w:ascii="Calibri" w:eastAsia="Calibri" w:hAnsi="Calibri" w:cs="Calibri"/>
        </w:rPr>
        <w:t>accessible à tous.</w:t>
      </w:r>
    </w:p>
    <w:p w:rsidR="00AC12B4" w:rsidRDefault="00AC12B4">
      <w:pPr>
        <w:spacing w:line="173" w:lineRule="exact"/>
        <w:rPr>
          <w:sz w:val="20"/>
          <w:szCs w:val="20"/>
        </w:rPr>
      </w:pPr>
    </w:p>
    <w:p w:rsidR="00AC12B4" w:rsidRDefault="00C27636">
      <w:pPr>
        <w:spacing w:line="231" w:lineRule="auto"/>
        <w:ind w:right="820"/>
        <w:jc w:val="both"/>
        <w:rPr>
          <w:sz w:val="20"/>
          <w:szCs w:val="20"/>
        </w:rPr>
      </w:pPr>
      <w:r>
        <w:rPr>
          <w:rFonts w:ascii="Calibri" w:eastAsia="Calibri" w:hAnsi="Calibri" w:cs="Calibri"/>
        </w:rPr>
        <w:t>Vu que l’enquête flamande n’atteint que les élèves du troisième degré de l’enseignement secondaire (n=2.082), une comparaison entre groupes d’âge n’est pas possible.</w:t>
      </w:r>
    </w:p>
    <w:p w:rsidR="00AC12B4" w:rsidRDefault="00AC12B4">
      <w:pPr>
        <w:spacing w:line="172" w:lineRule="exact"/>
        <w:rPr>
          <w:sz w:val="20"/>
          <w:szCs w:val="20"/>
        </w:rPr>
      </w:pPr>
    </w:p>
    <w:p w:rsidR="00AC12B4" w:rsidRDefault="00C27636">
      <w:pPr>
        <w:spacing w:line="228" w:lineRule="auto"/>
        <w:ind w:right="840"/>
        <w:jc w:val="both"/>
        <w:rPr>
          <w:sz w:val="20"/>
          <w:szCs w:val="20"/>
        </w:rPr>
      </w:pPr>
      <w:r>
        <w:rPr>
          <w:rFonts w:ascii="Calibri" w:eastAsia="Calibri" w:hAnsi="Calibri" w:cs="Calibri"/>
          <w:sz w:val="21"/>
          <w:szCs w:val="21"/>
        </w:rPr>
        <w:t>Les filles rapportent plus de difficultés pour obtenir des informatio</w:t>
      </w:r>
      <w:r>
        <w:rPr>
          <w:rFonts w:ascii="Calibri" w:eastAsia="Calibri" w:hAnsi="Calibri" w:cs="Calibri"/>
          <w:sz w:val="21"/>
          <w:szCs w:val="21"/>
        </w:rPr>
        <w:t>ns que les garçons</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4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trPr>
          <w:trHeight w:val="4100"/>
        </w:trPr>
        <w:tc>
          <w:tcPr>
            <w:tcW w:w="330" w:type="dxa"/>
            <w:textDirection w:val="btLr"/>
            <w:vAlign w:val="bottom"/>
          </w:tcPr>
          <w:p w:rsidR="00AC12B4" w:rsidRDefault="00C27636">
            <w:pPr>
              <w:rPr>
                <w:sz w:val="20"/>
                <w:szCs w:val="20"/>
              </w:rPr>
            </w:pPr>
            <w:r>
              <w:rPr>
                <w:rFonts w:ascii="Calibri" w:eastAsia="Calibri" w:hAnsi="Calibri" w:cs="Calibri"/>
                <w:b/>
                <w:bCs/>
                <w:i/>
                <w:iCs/>
                <w:color w:val="F2F2F2"/>
                <w:sz w:val="27"/>
                <w:szCs w:val="27"/>
              </w:rPr>
              <w:t>Le droit de poursuivre son bien-être</w:t>
            </w:r>
          </w:p>
        </w:tc>
      </w:tr>
    </w:tbl>
    <w:p w:rsidR="00AC12B4" w:rsidRDefault="00AC12B4">
      <w:pPr>
        <w:sectPr w:rsidR="00AC12B4">
          <w:type w:val="continuous"/>
          <w:pgSz w:w="12080" w:h="17179"/>
          <w:pgMar w:top="1440" w:right="447" w:bottom="659" w:left="1371" w:header="0" w:footer="0" w:gutter="0"/>
          <w:cols w:num="3" w:space="720" w:equalWidth="0">
            <w:col w:w="4989" w:space="240"/>
            <w:col w:w="4700" w:space="0"/>
            <w:col w:w="330"/>
          </w:cols>
        </w:sectPr>
      </w:pPr>
    </w:p>
    <w:bookmarkStart w:id="61" w:name="page62"/>
    <w:bookmarkEnd w:id="61"/>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454976" behindDoc="1" locked="0" layoutInCell="0" allowOverlap="1">
                <wp:simplePos x="0" y="0"/>
                <wp:positionH relativeFrom="page">
                  <wp:posOffset>0</wp:posOffset>
                </wp:positionH>
                <wp:positionV relativeFrom="page">
                  <wp:posOffset>0</wp:posOffset>
                </wp:positionV>
                <wp:extent cx="727075" cy="10905490"/>
                <wp:effectExtent l="0" t="0" r="0" b="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7075" cy="10905490"/>
                        </a:xfrm>
                        <a:prstGeom prst="rect">
                          <a:avLst/>
                        </a:prstGeom>
                        <a:solidFill>
                          <a:srgbClr val="C95C96"/>
                        </a:solidFill>
                      </wps:spPr>
                      <wps:bodyPr/>
                    </wps:wsp>
                  </a:graphicData>
                </a:graphic>
              </wp:anchor>
            </w:drawing>
          </mc:Choice>
          <mc:Fallback>
            <w:pict>
              <v:rect id="Shape 110" o:spid="_x0000_s1135" style="position:absolute;margin-left:0pt;margin-top:0pt;width:57.25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5C96"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41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de poursuivre son bien-être</w:t>
            </w:r>
          </w:p>
        </w:tc>
      </w:tr>
    </w:tbl>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Default="00C27636">
      <w:pPr>
        <w:spacing w:line="235" w:lineRule="auto"/>
        <w:ind w:left="400" w:right="460"/>
        <w:jc w:val="both"/>
        <w:rPr>
          <w:sz w:val="20"/>
          <w:szCs w:val="20"/>
        </w:rPr>
      </w:pPr>
      <w:r>
        <w:rPr>
          <w:rFonts w:ascii="Calibri" w:eastAsia="Calibri" w:hAnsi="Calibri" w:cs="Calibri"/>
        </w:rPr>
        <w:t xml:space="preserve">(22,5% contre 14,5%). Des </w:t>
      </w:r>
      <w:r>
        <w:rPr>
          <w:rFonts w:ascii="Calibri" w:eastAsia="Calibri" w:hAnsi="Calibri" w:cs="Calibri"/>
        </w:rPr>
        <w:t>différences significatives se présentent au niveau de l’aisance matérielle (information plus aisée pour les jeunes issus d’une famille matériellement plus aisée) et de la composition de la famille (plus aisée pour jeunes vivant avec leurs deux parents). Il</w:t>
      </w:r>
      <w:r>
        <w:rPr>
          <w:rFonts w:ascii="Calibri" w:eastAsia="Calibri" w:hAnsi="Calibri" w:cs="Calibri"/>
        </w:rPr>
        <w:t xml:space="preserve"> n’y a pas de différence significative en ce qui concerne le type d’enseignement.</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56000" behindDoc="1" locked="0" layoutInCell="0" allowOverlap="1">
                <wp:simplePos x="0" y="0"/>
                <wp:positionH relativeFrom="column">
                  <wp:posOffset>-102235</wp:posOffset>
                </wp:positionH>
                <wp:positionV relativeFrom="paragraph">
                  <wp:posOffset>285750</wp:posOffset>
                </wp:positionV>
                <wp:extent cx="3110230" cy="2802255"/>
                <wp:effectExtent l="0" t="0" r="0" b="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0230" cy="2802255"/>
                        </a:xfrm>
                        <a:prstGeom prst="rect">
                          <a:avLst/>
                        </a:prstGeom>
                        <a:solidFill>
                          <a:srgbClr val="FFFFFF"/>
                        </a:solidFill>
                      </wps:spPr>
                      <wps:bodyPr/>
                    </wps:wsp>
                  </a:graphicData>
                </a:graphic>
              </wp:anchor>
            </w:drawing>
          </mc:Choice>
          <mc:Fallback>
            <w:pict>
              <v:rect id="Shape 111" o:spid="_x0000_s1136" style="position:absolute;margin-left:-8.0499pt;margin-top:22.5pt;width:244.9pt;height:220.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457024" behindDoc="1" locked="0" layoutInCell="0" allowOverlap="1">
                <wp:simplePos x="0" y="0"/>
                <wp:positionH relativeFrom="column">
                  <wp:posOffset>3007995</wp:posOffset>
                </wp:positionH>
                <wp:positionV relativeFrom="paragraph">
                  <wp:posOffset>273050</wp:posOffset>
                </wp:positionV>
                <wp:extent cx="0" cy="2827655"/>
                <wp:effectExtent l="0" t="0" r="0" b="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27655"/>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85pt,21.5pt" to="236.85pt,244.15pt" o:allowincell="f" strokecolor="#C95C96" strokeweight="2pt"/>
            </w:pict>
          </mc:Fallback>
        </mc:AlternateContent>
      </w:r>
      <w:r>
        <w:rPr>
          <w:noProof/>
          <w:sz w:val="20"/>
          <w:szCs w:val="20"/>
        </w:rPr>
        <mc:AlternateContent>
          <mc:Choice Requires="wps">
            <w:drawing>
              <wp:anchor distT="0" distB="0" distL="114300" distR="114300" simplePos="0" relativeHeight="251458048" behindDoc="1" locked="0" layoutInCell="0" allowOverlap="1">
                <wp:simplePos x="0" y="0"/>
                <wp:positionH relativeFrom="column">
                  <wp:posOffset>-114935</wp:posOffset>
                </wp:positionH>
                <wp:positionV relativeFrom="paragraph">
                  <wp:posOffset>285750</wp:posOffset>
                </wp:positionV>
                <wp:extent cx="3135630" cy="0"/>
                <wp:effectExtent l="0" t="0" r="0" b="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35630"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499pt,22.5pt" to="237.85pt,22.5pt" o:allowincell="f" strokecolor="#C95C96" strokeweight="2pt"/>
            </w:pict>
          </mc:Fallback>
        </mc:AlternateContent>
      </w:r>
      <w:r>
        <w:rPr>
          <w:noProof/>
          <w:sz w:val="20"/>
          <w:szCs w:val="20"/>
        </w:rPr>
        <mc:AlternateContent>
          <mc:Choice Requires="wps">
            <w:drawing>
              <wp:anchor distT="0" distB="0" distL="114300" distR="114300" simplePos="0" relativeHeight="251459072" behindDoc="1" locked="0" layoutInCell="0" allowOverlap="1">
                <wp:simplePos x="0" y="0"/>
                <wp:positionH relativeFrom="column">
                  <wp:posOffset>-102235</wp:posOffset>
                </wp:positionH>
                <wp:positionV relativeFrom="paragraph">
                  <wp:posOffset>273050</wp:posOffset>
                </wp:positionV>
                <wp:extent cx="0" cy="2827655"/>
                <wp:effectExtent l="0" t="0" r="0" b="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27655"/>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499pt,21.5pt" to="-8.0499pt,244.15pt" o:allowincell="f" strokecolor="#C95C96" strokeweight="2pt"/>
            </w:pict>
          </mc:Fallback>
        </mc:AlternateContent>
      </w:r>
      <w:r>
        <w:rPr>
          <w:noProof/>
          <w:sz w:val="20"/>
          <w:szCs w:val="20"/>
        </w:rPr>
        <mc:AlternateContent>
          <mc:Choice Requires="wps">
            <w:drawing>
              <wp:anchor distT="0" distB="0" distL="114300" distR="114300" simplePos="0" relativeHeight="251460096" behindDoc="1" locked="0" layoutInCell="0" allowOverlap="1">
                <wp:simplePos x="0" y="0"/>
                <wp:positionH relativeFrom="column">
                  <wp:posOffset>-114935</wp:posOffset>
                </wp:positionH>
                <wp:positionV relativeFrom="paragraph">
                  <wp:posOffset>3088005</wp:posOffset>
                </wp:positionV>
                <wp:extent cx="3135630" cy="0"/>
                <wp:effectExtent l="0" t="0" r="0" b="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35630" cy="4763"/>
                        </a:xfrm>
                        <a:prstGeom prst="line">
                          <a:avLst/>
                        </a:prstGeom>
                        <a:solidFill>
                          <a:srgbClr val="FFFFFF"/>
                        </a:solidFill>
                        <a:ln w="25400">
                          <a:solidFill>
                            <a:srgbClr val="C95C96"/>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499pt,243.15pt" to="237.85pt,243.15pt" o:allowincell="f" strokecolor="#C95C96" strokeweight="2pt"/>
            </w:pict>
          </mc:Fallback>
        </mc:AlternateContent>
      </w:r>
    </w:p>
    <w:p w:rsidR="00AC12B4" w:rsidRDefault="00AC12B4">
      <w:pPr>
        <w:spacing w:line="200" w:lineRule="exact"/>
        <w:rPr>
          <w:sz w:val="20"/>
          <w:szCs w:val="20"/>
        </w:rPr>
      </w:pPr>
    </w:p>
    <w:p w:rsidR="00AC12B4" w:rsidRDefault="00AC12B4">
      <w:pPr>
        <w:spacing w:line="362" w:lineRule="exact"/>
        <w:rPr>
          <w:sz w:val="20"/>
          <w:szCs w:val="20"/>
        </w:rPr>
      </w:pPr>
    </w:p>
    <w:p w:rsidR="00AC12B4" w:rsidRDefault="00C27636">
      <w:pPr>
        <w:spacing w:line="236" w:lineRule="auto"/>
        <w:ind w:right="160"/>
        <w:jc w:val="both"/>
        <w:rPr>
          <w:sz w:val="20"/>
          <w:szCs w:val="20"/>
        </w:rPr>
      </w:pPr>
      <w:r>
        <w:rPr>
          <w:rFonts w:ascii="Calibri" w:eastAsia="Calibri" w:hAnsi="Calibri" w:cs="Calibri"/>
          <w:i/>
          <w:iCs/>
          <w:color w:val="632423"/>
          <w:sz w:val="20"/>
          <w:szCs w:val="20"/>
        </w:rPr>
        <w:t>Depuis 2008, une étude nous permet de conclure que l'importance d'un recours en temps opportun aux instances compétentes ne peut être sous-estimée : il est apparu que</w:t>
      </w:r>
      <w:r>
        <w:rPr>
          <w:rFonts w:ascii="Calibri" w:eastAsia="Calibri" w:hAnsi="Calibri" w:cs="Calibri"/>
          <w:i/>
          <w:iCs/>
          <w:color w:val="632423"/>
          <w:sz w:val="20"/>
          <w:szCs w:val="20"/>
        </w:rPr>
        <w:t xml:space="preserve"> 14 femmes détenues interrogées sur 41 avaient un passé dans le secteur de l'aide à la jeunesse. Une très petite minorité avait commis des faits qualifiés infractions en tant que mineur (attention : la représentativité de ce dernier résultat n'est pas gara</w:t>
      </w:r>
      <w:r>
        <w:rPr>
          <w:rFonts w:ascii="Calibri" w:eastAsia="Calibri" w:hAnsi="Calibri" w:cs="Calibri"/>
          <w:i/>
          <w:iCs/>
          <w:color w:val="632423"/>
          <w:sz w:val="20"/>
          <w:szCs w:val="20"/>
        </w:rPr>
        <w:t>ntie : il est possible que des femmes ayant un tel profil aient refusé de participer à l'étude). Il apparaît donc que de nombreuses détenues ont grandi dans une situation de mineur en danger.</w:t>
      </w:r>
    </w:p>
    <w:p w:rsidR="00AC12B4" w:rsidRDefault="00AC12B4">
      <w:pPr>
        <w:spacing w:line="165" w:lineRule="exact"/>
        <w:rPr>
          <w:sz w:val="20"/>
          <w:szCs w:val="20"/>
        </w:rPr>
      </w:pPr>
    </w:p>
    <w:p w:rsidR="00AC12B4" w:rsidRDefault="00C27636">
      <w:pPr>
        <w:spacing w:line="245" w:lineRule="auto"/>
        <w:ind w:right="200"/>
        <w:rPr>
          <w:sz w:val="20"/>
          <w:szCs w:val="20"/>
        </w:rPr>
      </w:pPr>
      <w:r>
        <w:rPr>
          <w:rFonts w:ascii="Calibri" w:eastAsia="Calibri" w:hAnsi="Calibri" w:cs="Calibri"/>
          <w:sz w:val="17"/>
          <w:szCs w:val="17"/>
        </w:rPr>
        <w:t xml:space="preserve">Nuytiens, A., “Het levensverhaal en (jeugd)delinquente traject </w:t>
      </w:r>
      <w:r>
        <w:rPr>
          <w:rFonts w:ascii="Calibri" w:eastAsia="Calibri" w:hAnsi="Calibri" w:cs="Calibri"/>
          <w:sz w:val="17"/>
          <w:szCs w:val="17"/>
        </w:rPr>
        <w:t xml:space="preserve">van vrouwelijke gedetineerden”, </w:t>
      </w:r>
      <w:r>
        <w:rPr>
          <w:rFonts w:ascii="Calibri" w:eastAsia="Calibri" w:hAnsi="Calibri" w:cs="Calibri"/>
          <w:i/>
          <w:iCs/>
          <w:sz w:val="17"/>
          <w:szCs w:val="17"/>
        </w:rPr>
        <w:t>Fatik</w:t>
      </w:r>
      <w:r>
        <w:rPr>
          <w:rFonts w:ascii="Calibri" w:eastAsia="Calibri" w:hAnsi="Calibri" w:cs="Calibri"/>
          <w:sz w:val="17"/>
          <w:szCs w:val="17"/>
        </w:rPr>
        <w:t xml:space="preserve">, vol. 134, 20 – 31 et Nuytiens, A. &amp; Christiaens, J., “Trajecten van vrouwelijke gedetineerden. Weinig jeugddelinquenten, veel late starters”, </w:t>
      </w:r>
      <w:r>
        <w:rPr>
          <w:rFonts w:ascii="Calibri" w:eastAsia="Calibri" w:hAnsi="Calibri" w:cs="Calibri"/>
          <w:i/>
          <w:iCs/>
          <w:sz w:val="17"/>
          <w:szCs w:val="17"/>
        </w:rPr>
        <w:t xml:space="preserve">Tijdschrift voor Criminologie </w:t>
      </w:r>
      <w:r>
        <w:rPr>
          <w:rFonts w:ascii="Calibri" w:eastAsia="Calibri" w:hAnsi="Calibri" w:cs="Calibri"/>
          <w:sz w:val="17"/>
          <w:szCs w:val="17"/>
        </w:rPr>
        <w:t>2010, 52 (4), 394-410.</w:t>
      </w:r>
    </w:p>
    <w:p w:rsidR="00AC12B4" w:rsidRDefault="00AC12B4">
      <w:pPr>
        <w:spacing w:line="380" w:lineRule="exact"/>
        <w:rPr>
          <w:sz w:val="20"/>
          <w:szCs w:val="20"/>
        </w:rPr>
      </w:pPr>
    </w:p>
    <w:p w:rsidR="00AC12B4" w:rsidRDefault="00C27636">
      <w:pPr>
        <w:ind w:left="400"/>
        <w:rPr>
          <w:sz w:val="20"/>
          <w:szCs w:val="20"/>
        </w:rPr>
      </w:pPr>
      <w:r>
        <w:rPr>
          <w:rFonts w:ascii="Cambria" w:eastAsia="Cambria" w:hAnsi="Cambria" w:cs="Cambria"/>
          <w:b/>
          <w:bCs/>
          <w:i/>
          <w:iCs/>
          <w:color w:val="963266"/>
          <w:sz w:val="26"/>
          <w:szCs w:val="26"/>
        </w:rPr>
        <w:t xml:space="preserve">D’où viennent ces </w:t>
      </w:r>
      <w:r>
        <w:rPr>
          <w:rFonts w:ascii="Cambria" w:eastAsia="Cambria" w:hAnsi="Cambria" w:cs="Cambria"/>
          <w:b/>
          <w:bCs/>
          <w:i/>
          <w:iCs/>
          <w:color w:val="963266"/>
          <w:sz w:val="26"/>
          <w:szCs w:val="26"/>
        </w:rPr>
        <w:t>chiffres ?</w:t>
      </w:r>
    </w:p>
    <w:p w:rsidR="00AC12B4" w:rsidRDefault="00AC12B4">
      <w:pPr>
        <w:spacing w:line="168" w:lineRule="exact"/>
        <w:rPr>
          <w:sz w:val="20"/>
          <w:szCs w:val="20"/>
        </w:rPr>
      </w:pPr>
    </w:p>
    <w:p w:rsidR="00AC12B4" w:rsidRDefault="00C27636">
      <w:pPr>
        <w:numPr>
          <w:ilvl w:val="0"/>
          <w:numId w:val="66"/>
        </w:numPr>
        <w:tabs>
          <w:tab w:val="left" w:pos="1120"/>
        </w:tabs>
        <w:ind w:left="1120" w:hanging="360"/>
        <w:rPr>
          <w:rFonts w:ascii="Wingdings" w:eastAsia="Wingdings" w:hAnsi="Wingdings" w:cs="Wingdings"/>
          <w:color w:val="C95C96"/>
        </w:rPr>
      </w:pPr>
      <w:r>
        <w:rPr>
          <w:rFonts w:ascii="Cambria" w:eastAsia="Cambria" w:hAnsi="Cambria" w:cs="Cambria"/>
          <w:i/>
          <w:iCs/>
          <w:color w:val="C95C96"/>
        </w:rPr>
        <w:t>HBSC</w:t>
      </w:r>
    </w:p>
    <w:p w:rsidR="00AC12B4" w:rsidRDefault="00AC12B4">
      <w:pPr>
        <w:spacing w:line="150" w:lineRule="exact"/>
        <w:rPr>
          <w:sz w:val="20"/>
          <w:szCs w:val="20"/>
        </w:rPr>
      </w:pPr>
    </w:p>
    <w:p w:rsidR="00AC12B4" w:rsidRDefault="00C27636">
      <w:pPr>
        <w:ind w:right="60"/>
        <w:jc w:val="center"/>
        <w:rPr>
          <w:sz w:val="20"/>
          <w:szCs w:val="20"/>
        </w:rPr>
      </w:pPr>
      <w:r>
        <w:rPr>
          <w:rFonts w:ascii="Calibri" w:eastAsia="Calibri" w:hAnsi="Calibri" w:cs="Calibri"/>
        </w:rPr>
        <w:t>L’enquête HBSC est décrite dans la section</w:t>
      </w:r>
    </w:p>
    <w:p w:rsidR="00AC12B4" w:rsidRDefault="00C27636">
      <w:pPr>
        <w:numPr>
          <w:ilvl w:val="0"/>
          <w:numId w:val="67"/>
        </w:numPr>
        <w:tabs>
          <w:tab w:val="left" w:pos="580"/>
        </w:tabs>
        <w:ind w:left="580" w:hanging="180"/>
        <w:rPr>
          <w:rFonts w:ascii="Calibri" w:eastAsia="Calibri" w:hAnsi="Calibri" w:cs="Calibri"/>
        </w:rPr>
      </w:pPr>
      <w:r>
        <w:rPr>
          <w:rFonts w:ascii="Calibri" w:eastAsia="Calibri" w:hAnsi="Calibri" w:cs="Calibri"/>
        </w:rPr>
        <w:t>sources » de cette publication (Partie I).</w:t>
      </w:r>
    </w:p>
    <w:p w:rsidR="00AC12B4" w:rsidRDefault="00AC12B4">
      <w:pPr>
        <w:spacing w:line="49" w:lineRule="exact"/>
        <w:rPr>
          <w:rFonts w:ascii="Calibri" w:eastAsia="Calibri" w:hAnsi="Calibri" w:cs="Calibri"/>
        </w:rPr>
      </w:pPr>
    </w:p>
    <w:p w:rsidR="00AC12B4" w:rsidRDefault="00C27636">
      <w:pPr>
        <w:spacing w:line="218" w:lineRule="auto"/>
        <w:ind w:left="400" w:right="460"/>
        <w:rPr>
          <w:rFonts w:ascii="Calibri" w:eastAsia="Calibri" w:hAnsi="Calibri" w:cs="Calibri"/>
        </w:rPr>
      </w:pPr>
      <w:r>
        <w:rPr>
          <w:rFonts w:ascii="Calibri" w:eastAsia="Calibri" w:hAnsi="Calibri" w:cs="Calibri"/>
        </w:rPr>
        <w:t>L’objectif, les modalités et les limites des données collectées y sont présentés.</w:t>
      </w:r>
    </w:p>
    <w:p w:rsidR="00AC12B4" w:rsidRDefault="00AC12B4">
      <w:pPr>
        <w:spacing w:line="200" w:lineRule="exact"/>
        <w:rPr>
          <w:sz w:val="20"/>
          <w:szCs w:val="20"/>
        </w:rPr>
      </w:pPr>
    </w:p>
    <w:p w:rsidR="00AC12B4" w:rsidRDefault="00AC12B4">
      <w:pPr>
        <w:spacing w:line="317" w:lineRule="exact"/>
        <w:rPr>
          <w:sz w:val="20"/>
          <w:szCs w:val="20"/>
        </w:rPr>
      </w:pPr>
    </w:p>
    <w:p w:rsidR="00AC12B4" w:rsidRDefault="00C27636">
      <w:pPr>
        <w:numPr>
          <w:ilvl w:val="0"/>
          <w:numId w:val="68"/>
        </w:numPr>
        <w:tabs>
          <w:tab w:val="left" w:pos="1120"/>
        </w:tabs>
        <w:ind w:left="1120" w:hanging="360"/>
        <w:rPr>
          <w:rFonts w:ascii="Wingdings" w:eastAsia="Wingdings" w:hAnsi="Wingdings" w:cs="Wingdings"/>
          <w:color w:val="C95C96"/>
        </w:rPr>
      </w:pPr>
      <w:r>
        <w:rPr>
          <w:rFonts w:ascii="Cambria" w:eastAsia="Cambria" w:hAnsi="Cambria" w:cs="Cambria"/>
          <w:i/>
          <w:iCs/>
          <w:color w:val="C95C96"/>
        </w:rPr>
        <w:t>Limite de la mesure</w:t>
      </w:r>
    </w:p>
    <w:p w:rsidR="00AC12B4" w:rsidRDefault="00AC12B4">
      <w:pPr>
        <w:spacing w:line="199" w:lineRule="exact"/>
        <w:rPr>
          <w:sz w:val="20"/>
          <w:szCs w:val="20"/>
        </w:rPr>
      </w:pPr>
    </w:p>
    <w:p w:rsidR="00AC12B4" w:rsidRDefault="00C27636">
      <w:pPr>
        <w:spacing w:line="225" w:lineRule="auto"/>
        <w:ind w:left="400" w:right="460"/>
        <w:jc w:val="both"/>
        <w:rPr>
          <w:sz w:val="20"/>
          <w:szCs w:val="20"/>
        </w:rPr>
      </w:pPr>
      <w:r>
        <w:rPr>
          <w:rFonts w:ascii="Calibri" w:eastAsia="Calibri" w:hAnsi="Calibri" w:cs="Calibri"/>
        </w:rPr>
        <w:t>Actuellement, cette enquête n’est pas menée au</w:t>
      </w:r>
      <w:r>
        <w:rPr>
          <w:rFonts w:ascii="Calibri" w:eastAsia="Calibri" w:hAnsi="Calibri" w:cs="Calibri"/>
        </w:rPr>
        <w:t xml:space="preserve"> niveau de la Communauté germanophone.</w:t>
      </w:r>
    </w:p>
    <w:p w:rsidR="00AC12B4" w:rsidRDefault="00AC12B4">
      <w:pPr>
        <w:spacing w:line="172" w:lineRule="exact"/>
        <w:rPr>
          <w:sz w:val="20"/>
          <w:szCs w:val="20"/>
        </w:rPr>
      </w:pPr>
    </w:p>
    <w:p w:rsidR="00AC12B4" w:rsidRDefault="00C27636">
      <w:pPr>
        <w:spacing w:line="225" w:lineRule="auto"/>
        <w:ind w:left="400" w:right="460"/>
        <w:jc w:val="both"/>
        <w:rPr>
          <w:sz w:val="20"/>
          <w:szCs w:val="20"/>
        </w:rPr>
      </w:pPr>
      <w:r>
        <w:rPr>
          <w:rFonts w:ascii="Calibri" w:eastAsia="Calibri" w:hAnsi="Calibri" w:cs="Calibri"/>
        </w:rPr>
        <w:t>La question présentée ici n’est en outre pas reprise actuellement dans l’enquête HBSC en FWB.</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89" w:lineRule="exact"/>
        <w:rPr>
          <w:sz w:val="20"/>
          <w:szCs w:val="20"/>
        </w:rPr>
      </w:pPr>
    </w:p>
    <w:p w:rsidR="00AC12B4" w:rsidRDefault="00C27636">
      <w:pPr>
        <w:jc w:val="right"/>
        <w:rPr>
          <w:sz w:val="20"/>
          <w:szCs w:val="20"/>
        </w:rPr>
      </w:pPr>
      <w:r>
        <w:rPr>
          <w:rFonts w:ascii="Calibri" w:eastAsia="Calibri" w:hAnsi="Calibri" w:cs="Calibri"/>
        </w:rPr>
        <w:t>62</w:t>
      </w:r>
    </w:p>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Default="00C27636">
      <w:pPr>
        <w:spacing w:line="218" w:lineRule="auto"/>
        <w:ind w:right="737"/>
        <w:jc w:val="both"/>
        <w:rPr>
          <w:sz w:val="20"/>
          <w:szCs w:val="20"/>
        </w:rPr>
      </w:pPr>
      <w:r>
        <w:rPr>
          <w:rFonts w:ascii="Calibri" w:eastAsia="Calibri" w:hAnsi="Calibri" w:cs="Calibri"/>
        </w:rPr>
        <w:t>De plus, les élèves de l’enseignement spécialisé ne sont pas interrogés.</w:t>
      </w:r>
    </w:p>
    <w:p w:rsidR="00AC12B4" w:rsidRDefault="00AC12B4">
      <w:pPr>
        <w:spacing w:line="170" w:lineRule="exact"/>
        <w:rPr>
          <w:sz w:val="20"/>
          <w:szCs w:val="20"/>
        </w:rPr>
      </w:pPr>
    </w:p>
    <w:p w:rsidR="00AC12B4" w:rsidRDefault="00C27636">
      <w:pPr>
        <w:spacing w:line="232" w:lineRule="auto"/>
        <w:ind w:right="737"/>
        <w:jc w:val="both"/>
        <w:rPr>
          <w:sz w:val="20"/>
          <w:szCs w:val="20"/>
        </w:rPr>
      </w:pPr>
      <w:r>
        <w:rPr>
          <w:rFonts w:ascii="Calibri" w:eastAsia="Calibri" w:hAnsi="Calibri" w:cs="Calibri"/>
        </w:rPr>
        <w:t>Seuls les élèves présents le jour</w:t>
      </w:r>
      <w:r>
        <w:rPr>
          <w:rFonts w:ascii="Calibri" w:eastAsia="Calibri" w:hAnsi="Calibri" w:cs="Calibri"/>
        </w:rPr>
        <w:t xml:space="preserve"> de l’enquête remplissent le questionnaire. Cela signifie que les élèves absents car malades, non-scolarisés, ou séchant les cours ne sont pas repris dans cette enquête.</w:t>
      </w:r>
    </w:p>
    <w:p w:rsidR="00AC12B4" w:rsidRDefault="00AC12B4">
      <w:pPr>
        <w:spacing w:line="131" w:lineRule="exact"/>
        <w:rPr>
          <w:sz w:val="20"/>
          <w:szCs w:val="20"/>
        </w:rPr>
      </w:pPr>
    </w:p>
    <w:p w:rsidR="00AC12B4" w:rsidRDefault="00C27636">
      <w:pPr>
        <w:numPr>
          <w:ilvl w:val="0"/>
          <w:numId w:val="69"/>
        </w:numPr>
        <w:tabs>
          <w:tab w:val="left" w:pos="720"/>
        </w:tabs>
        <w:ind w:left="720" w:hanging="355"/>
        <w:rPr>
          <w:rFonts w:ascii="Wingdings" w:eastAsia="Wingdings" w:hAnsi="Wingdings" w:cs="Wingdings"/>
          <w:color w:val="C95C96"/>
        </w:rPr>
      </w:pPr>
      <w:r>
        <w:rPr>
          <w:rFonts w:ascii="Cambria" w:eastAsia="Cambria" w:hAnsi="Cambria" w:cs="Cambria"/>
          <w:i/>
          <w:iCs/>
          <w:color w:val="C95C96"/>
        </w:rPr>
        <w:t>Recommandations</w:t>
      </w:r>
    </w:p>
    <w:p w:rsidR="00AC12B4" w:rsidRDefault="00AC12B4">
      <w:pPr>
        <w:spacing w:line="202" w:lineRule="exact"/>
        <w:rPr>
          <w:sz w:val="20"/>
          <w:szCs w:val="20"/>
        </w:rPr>
      </w:pPr>
    </w:p>
    <w:p w:rsidR="00AC12B4" w:rsidRDefault="00C27636">
      <w:pPr>
        <w:spacing w:line="224" w:lineRule="auto"/>
        <w:ind w:right="737"/>
        <w:jc w:val="both"/>
        <w:rPr>
          <w:sz w:val="20"/>
          <w:szCs w:val="20"/>
        </w:rPr>
      </w:pPr>
      <w:r>
        <w:rPr>
          <w:rFonts w:ascii="Calibri" w:eastAsia="Calibri" w:hAnsi="Calibri" w:cs="Calibri"/>
        </w:rPr>
        <w:t>Cette question devrait être intégrée dans les deux enquêtes HBSC, et</w:t>
      </w:r>
      <w:r>
        <w:rPr>
          <w:rFonts w:ascii="Calibri" w:eastAsia="Calibri" w:hAnsi="Calibri" w:cs="Calibri"/>
        </w:rPr>
        <w:t xml:space="preserve"> ce pour toutes les tranches d’âge.</w:t>
      </w:r>
    </w:p>
    <w:p w:rsidR="00AC12B4" w:rsidRDefault="00AC12B4">
      <w:pPr>
        <w:spacing w:line="173" w:lineRule="exact"/>
        <w:rPr>
          <w:sz w:val="20"/>
          <w:szCs w:val="20"/>
        </w:rPr>
      </w:pPr>
    </w:p>
    <w:p w:rsidR="00AC12B4" w:rsidRDefault="00C27636">
      <w:pPr>
        <w:spacing w:line="218" w:lineRule="auto"/>
        <w:ind w:right="737"/>
        <w:jc w:val="both"/>
        <w:rPr>
          <w:sz w:val="20"/>
          <w:szCs w:val="20"/>
        </w:rPr>
      </w:pPr>
      <w:r>
        <w:rPr>
          <w:rFonts w:ascii="Calibri" w:eastAsia="Calibri" w:hAnsi="Calibri" w:cs="Calibri"/>
        </w:rPr>
        <w:t>L’Enquête HBSC devrait être étendue aux élèves de l’enseignement spécialisé.</w:t>
      </w:r>
    </w:p>
    <w:p w:rsidR="00AC12B4" w:rsidRDefault="00AC12B4">
      <w:pPr>
        <w:spacing w:line="170" w:lineRule="exact"/>
        <w:rPr>
          <w:sz w:val="20"/>
          <w:szCs w:val="20"/>
        </w:rPr>
      </w:pPr>
    </w:p>
    <w:p w:rsidR="00AC12B4" w:rsidRDefault="00C27636">
      <w:pPr>
        <w:spacing w:line="218" w:lineRule="auto"/>
        <w:ind w:right="737"/>
        <w:jc w:val="both"/>
        <w:rPr>
          <w:sz w:val="20"/>
          <w:szCs w:val="20"/>
        </w:rPr>
      </w:pPr>
      <w:r>
        <w:rPr>
          <w:rFonts w:ascii="Calibri" w:eastAsia="Calibri" w:hAnsi="Calibri" w:cs="Calibri"/>
        </w:rPr>
        <w:t>La Communauté germanophone devrait participer à cette enquête.</w:t>
      </w:r>
    </w:p>
    <w:p w:rsidR="00AC12B4" w:rsidRDefault="00AC12B4">
      <w:pPr>
        <w:spacing w:line="170" w:lineRule="exact"/>
        <w:rPr>
          <w:sz w:val="20"/>
          <w:szCs w:val="20"/>
        </w:rPr>
      </w:pPr>
    </w:p>
    <w:p w:rsidR="00AC12B4" w:rsidRDefault="00C27636">
      <w:pPr>
        <w:spacing w:line="230" w:lineRule="auto"/>
        <w:ind w:right="737"/>
        <w:jc w:val="both"/>
        <w:rPr>
          <w:sz w:val="20"/>
          <w:szCs w:val="20"/>
        </w:rPr>
      </w:pPr>
      <w:r>
        <w:rPr>
          <w:rFonts w:ascii="Calibri" w:eastAsia="Calibri" w:hAnsi="Calibri" w:cs="Calibri"/>
        </w:rPr>
        <w:t>Pour les groupes vulnérables non-atteints, cette question pourrait être repri</w:t>
      </w:r>
      <w:r>
        <w:rPr>
          <w:rFonts w:ascii="Calibri" w:eastAsia="Calibri" w:hAnsi="Calibri" w:cs="Calibri"/>
        </w:rPr>
        <w:t>se dans une enquête spécifique (voir section ‘Atteindre les plus vulnérables’, PARTIE I de cette publication).</w:t>
      </w:r>
    </w:p>
    <w:p w:rsidR="00AC12B4" w:rsidRDefault="00AC12B4">
      <w:pPr>
        <w:spacing w:line="212" w:lineRule="exact"/>
        <w:rPr>
          <w:sz w:val="20"/>
          <w:szCs w:val="20"/>
        </w:rPr>
      </w:pPr>
    </w:p>
    <w:p w:rsidR="00AC12B4" w:rsidRDefault="00C27636">
      <w:pPr>
        <w:rPr>
          <w:sz w:val="20"/>
          <w:szCs w:val="20"/>
        </w:rPr>
      </w:pPr>
      <w:r>
        <w:rPr>
          <w:rFonts w:ascii="Cambria" w:eastAsia="Cambria" w:hAnsi="Cambria" w:cs="Cambria"/>
          <w:b/>
          <w:bCs/>
          <w:i/>
          <w:iCs/>
          <w:color w:val="963266"/>
          <w:sz w:val="26"/>
          <w:szCs w:val="26"/>
        </w:rPr>
        <w:t>Pour aller plus loin</w:t>
      </w:r>
    </w:p>
    <w:p w:rsidR="00AC12B4" w:rsidRDefault="00AC12B4">
      <w:pPr>
        <w:spacing w:line="210" w:lineRule="exact"/>
        <w:rPr>
          <w:sz w:val="20"/>
          <w:szCs w:val="20"/>
        </w:rPr>
      </w:pPr>
    </w:p>
    <w:p w:rsidR="00AC12B4" w:rsidRDefault="00C27636">
      <w:pPr>
        <w:spacing w:line="232" w:lineRule="auto"/>
        <w:ind w:right="737"/>
        <w:jc w:val="both"/>
        <w:rPr>
          <w:sz w:val="20"/>
          <w:szCs w:val="20"/>
        </w:rPr>
      </w:pPr>
      <w:r>
        <w:rPr>
          <w:rFonts w:ascii="Calibri" w:eastAsia="Calibri" w:hAnsi="Calibri" w:cs="Calibri"/>
          <w:b/>
          <w:bCs/>
          <w:i/>
          <w:iCs/>
          <w:color w:val="C95C96"/>
          <w:sz w:val="20"/>
          <w:szCs w:val="20"/>
        </w:rPr>
        <w:t xml:space="preserve">JOP-moniteur </w:t>
      </w:r>
      <w:r>
        <w:rPr>
          <w:rFonts w:ascii="Calibri" w:eastAsia="Calibri" w:hAnsi="Calibri" w:cs="Calibri"/>
          <w:b/>
          <w:bCs/>
          <w:i/>
          <w:iCs/>
          <w:color w:val="D99594"/>
          <w:sz w:val="20"/>
          <w:szCs w:val="20"/>
        </w:rPr>
        <w:t>:</w:t>
      </w:r>
      <w:r>
        <w:rPr>
          <w:rFonts w:ascii="Calibri" w:eastAsia="Calibri" w:hAnsi="Calibri" w:cs="Calibri"/>
          <w:b/>
          <w:bCs/>
          <w:i/>
          <w:iCs/>
          <w:color w:val="C95C96"/>
          <w:sz w:val="20"/>
          <w:szCs w:val="20"/>
        </w:rPr>
        <w:t xml:space="preserve"> </w:t>
      </w:r>
      <w:r>
        <w:rPr>
          <w:rFonts w:ascii="Calibri" w:eastAsia="Calibri" w:hAnsi="Calibri" w:cs="Calibri"/>
          <w:color w:val="000000"/>
          <w:sz w:val="20"/>
          <w:szCs w:val="20"/>
        </w:rPr>
        <w:t>Le JOP (Flandre) reprend une</w:t>
      </w:r>
      <w:r>
        <w:rPr>
          <w:rFonts w:ascii="Calibri" w:eastAsia="Calibri" w:hAnsi="Calibri" w:cs="Calibri"/>
          <w:b/>
          <w:bCs/>
          <w:i/>
          <w:iCs/>
          <w:color w:val="C95C96"/>
          <w:sz w:val="20"/>
          <w:szCs w:val="20"/>
        </w:rPr>
        <w:t xml:space="preserve"> </w:t>
      </w:r>
      <w:r>
        <w:rPr>
          <w:rFonts w:ascii="Calibri" w:eastAsia="Calibri" w:hAnsi="Calibri" w:cs="Calibri"/>
          <w:color w:val="000000"/>
          <w:sz w:val="20"/>
          <w:szCs w:val="20"/>
        </w:rPr>
        <w:t xml:space="preserve">question sur le sentiment de pouvoir aller vers telle ou telle personne quand </w:t>
      </w:r>
      <w:r>
        <w:rPr>
          <w:rFonts w:ascii="Calibri" w:eastAsia="Calibri" w:hAnsi="Calibri" w:cs="Calibri"/>
          <w:color w:val="000000"/>
          <w:sz w:val="20"/>
          <w:szCs w:val="20"/>
        </w:rPr>
        <w:t>on a un problème. Les parents et les amis sont les personnes vers lesquelles se dirigent le plus les jeunes interrogés. Notons que cet indicateur</w:t>
      </w:r>
    </w:p>
    <w:p w:rsidR="00AC12B4" w:rsidRDefault="00AC12B4">
      <w:pPr>
        <w:spacing w:line="2" w:lineRule="exact"/>
        <w:rPr>
          <w:sz w:val="20"/>
          <w:szCs w:val="20"/>
        </w:rPr>
      </w:pPr>
    </w:p>
    <w:p w:rsidR="00AC12B4" w:rsidRDefault="00C27636">
      <w:pPr>
        <w:tabs>
          <w:tab w:val="left" w:pos="680"/>
          <w:tab w:val="left" w:pos="1980"/>
          <w:tab w:val="left" w:pos="2880"/>
          <w:tab w:val="left" w:pos="3720"/>
        </w:tabs>
        <w:rPr>
          <w:sz w:val="20"/>
          <w:szCs w:val="20"/>
        </w:rPr>
      </w:pPr>
      <w:r>
        <w:rPr>
          <w:rFonts w:ascii="Calibri" w:eastAsia="Calibri" w:hAnsi="Calibri" w:cs="Calibri"/>
          <w:sz w:val="20"/>
          <w:szCs w:val="20"/>
        </w:rPr>
        <w:t>est</w:t>
      </w:r>
      <w:r>
        <w:rPr>
          <w:sz w:val="20"/>
          <w:szCs w:val="20"/>
        </w:rPr>
        <w:tab/>
      </w:r>
      <w:r>
        <w:rPr>
          <w:rFonts w:ascii="Calibri" w:eastAsia="Calibri" w:hAnsi="Calibri" w:cs="Calibri"/>
          <w:sz w:val="20"/>
          <w:szCs w:val="20"/>
        </w:rPr>
        <w:t>également</w:t>
      </w:r>
      <w:r>
        <w:rPr>
          <w:sz w:val="20"/>
          <w:szCs w:val="20"/>
        </w:rPr>
        <w:tab/>
      </w:r>
      <w:r>
        <w:rPr>
          <w:rFonts w:ascii="Calibri" w:eastAsia="Calibri" w:hAnsi="Calibri" w:cs="Calibri"/>
          <w:sz w:val="20"/>
          <w:szCs w:val="20"/>
        </w:rPr>
        <w:t>repris</w:t>
      </w:r>
      <w:r>
        <w:rPr>
          <w:sz w:val="20"/>
          <w:szCs w:val="20"/>
        </w:rPr>
        <w:tab/>
      </w:r>
      <w:r>
        <w:rPr>
          <w:rFonts w:ascii="Calibri" w:eastAsia="Calibri" w:hAnsi="Calibri" w:cs="Calibri"/>
          <w:sz w:val="20"/>
          <w:szCs w:val="20"/>
        </w:rPr>
        <w:t>dans</w:t>
      </w:r>
      <w:r>
        <w:rPr>
          <w:sz w:val="20"/>
          <w:szCs w:val="20"/>
        </w:rPr>
        <w:tab/>
      </w:r>
      <w:r>
        <w:rPr>
          <w:rFonts w:ascii="Calibri" w:eastAsia="Calibri" w:hAnsi="Calibri" w:cs="Calibri"/>
          <w:sz w:val="19"/>
          <w:szCs w:val="19"/>
        </w:rPr>
        <w:t>le</w:t>
      </w:r>
    </w:p>
    <w:p w:rsidR="00AC12B4" w:rsidRDefault="00AC12B4">
      <w:pPr>
        <w:spacing w:line="47" w:lineRule="exact"/>
        <w:rPr>
          <w:sz w:val="20"/>
          <w:szCs w:val="20"/>
        </w:rPr>
      </w:pPr>
    </w:p>
    <w:p w:rsidR="00AC12B4" w:rsidRDefault="00C27636">
      <w:pPr>
        <w:spacing w:line="235" w:lineRule="auto"/>
        <w:ind w:right="737"/>
        <w:jc w:val="both"/>
        <w:rPr>
          <w:rFonts w:ascii="Calibri" w:eastAsia="Calibri" w:hAnsi="Calibri" w:cs="Calibri"/>
          <w:sz w:val="20"/>
          <w:szCs w:val="20"/>
        </w:rPr>
      </w:pPr>
      <w:r>
        <w:rPr>
          <w:rFonts w:ascii="Calibri" w:eastAsia="Calibri" w:hAnsi="Calibri" w:cs="Calibri"/>
          <w:sz w:val="20"/>
          <w:szCs w:val="20"/>
        </w:rPr>
        <w:t xml:space="preserve">Kinderrechtenmonitor flamand </w:t>
      </w:r>
      <w:hyperlink r:id="rId73">
        <w:r>
          <w:rPr>
            <w:rFonts w:ascii="Calibri" w:eastAsia="Calibri" w:hAnsi="Calibri" w:cs="Calibri"/>
            <w:sz w:val="20"/>
            <w:szCs w:val="20"/>
          </w:rPr>
          <w:t>(http://www.sociaalcultureel.be/jeugd/kinderr</w:t>
        </w:r>
      </w:hyperlink>
      <w:r>
        <w:rPr>
          <w:rFonts w:ascii="Calibri" w:eastAsia="Calibri" w:hAnsi="Calibri" w:cs="Calibri"/>
          <w:sz w:val="20"/>
          <w:szCs w:val="20"/>
        </w:rPr>
        <w:t xml:space="preserve"> </w:t>
      </w:r>
      <w:hyperlink r:id="rId74">
        <w:r>
          <w:rPr>
            <w:rFonts w:ascii="Calibri" w:eastAsia="Calibri" w:hAnsi="Calibri" w:cs="Calibri"/>
            <w:sz w:val="20"/>
            <w:szCs w:val="20"/>
          </w:rPr>
          <w:t>echt_monitor_indicatoren.aspx</w:t>
        </w:r>
      </w:hyperlink>
      <w:r>
        <w:rPr>
          <w:rFonts w:ascii="Calibri" w:eastAsia="Calibri" w:hAnsi="Calibri" w:cs="Calibri"/>
          <w:sz w:val="20"/>
          <w:szCs w:val="20"/>
        </w:rPr>
        <w:t>): “ Peux-tu faire appel aux personnes suivan</w:t>
      </w:r>
      <w:r>
        <w:rPr>
          <w:rFonts w:ascii="Calibri" w:eastAsia="Calibri" w:hAnsi="Calibri" w:cs="Calibri"/>
          <w:sz w:val="20"/>
          <w:szCs w:val="20"/>
        </w:rPr>
        <w:t>tes lorsque tu as un problème: l’aide professionnelle (PMS, CPAS…) », (Kan je bij de volgende personen terecht met een probleem: De professionele hulpverlening (CLB-medewerker of JAC-medewerker, OCMW-consulent…)”. 46.8% ont répondu que la question ne s’app</w:t>
      </w:r>
      <w:r>
        <w:rPr>
          <w:rFonts w:ascii="Calibri" w:eastAsia="Calibri" w:hAnsi="Calibri" w:cs="Calibri"/>
          <w:sz w:val="20"/>
          <w:szCs w:val="20"/>
        </w:rPr>
        <w:t>lique pas à eux.; 28.3% ont répondu ‘oui’, 24.9% ‘non’.</w:t>
      </w:r>
    </w:p>
    <w:p w:rsidR="00AC12B4" w:rsidRDefault="00AC12B4">
      <w:pPr>
        <w:sectPr w:rsidR="00AC12B4">
          <w:pgSz w:w="12080" w:h="17179"/>
          <w:pgMar w:top="1440" w:right="1440" w:bottom="659" w:left="430" w:header="0" w:footer="0" w:gutter="0"/>
          <w:cols w:num="3" w:space="720" w:equalWidth="0">
            <w:col w:w="342" w:space="268"/>
            <w:col w:w="4740" w:space="240"/>
            <w:col w:w="4617"/>
          </w:cols>
        </w:sectPr>
      </w:pPr>
    </w:p>
    <w:p w:rsidR="00AC12B4" w:rsidRDefault="00AC12B4">
      <w:pPr>
        <w:spacing w:line="200" w:lineRule="exact"/>
        <w:rPr>
          <w:sz w:val="20"/>
          <w:szCs w:val="20"/>
        </w:rPr>
      </w:pPr>
      <w:bookmarkStart w:id="62" w:name="page63"/>
      <w:bookmarkEnd w:id="62"/>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66" w:lineRule="exact"/>
        <w:rPr>
          <w:sz w:val="20"/>
          <w:szCs w:val="20"/>
        </w:rPr>
      </w:pPr>
    </w:p>
    <w:p w:rsidR="00AC12B4" w:rsidRDefault="00C27636">
      <w:pPr>
        <w:spacing w:line="218" w:lineRule="auto"/>
        <w:ind w:left="460" w:right="177"/>
        <w:jc w:val="right"/>
        <w:rPr>
          <w:sz w:val="20"/>
          <w:szCs w:val="20"/>
        </w:rPr>
      </w:pPr>
      <w:r>
        <w:rPr>
          <w:rFonts w:ascii="Calibri" w:eastAsia="Calibri" w:hAnsi="Calibri" w:cs="Calibri"/>
          <w:color w:val="C9D11D"/>
          <w:sz w:val="96"/>
          <w:szCs w:val="96"/>
        </w:rPr>
        <w:t>Le droit à la protection de la santé</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42" w:lineRule="exact"/>
        <w:rPr>
          <w:sz w:val="20"/>
          <w:szCs w:val="20"/>
        </w:rPr>
      </w:pPr>
    </w:p>
    <w:tbl>
      <w:tblPr>
        <w:tblW w:w="0" w:type="auto"/>
        <w:tblInd w:w="1560" w:type="dxa"/>
        <w:tblLayout w:type="fixed"/>
        <w:tblCellMar>
          <w:left w:w="0" w:type="dxa"/>
          <w:right w:w="0" w:type="dxa"/>
        </w:tblCellMar>
        <w:tblLook w:val="04A0" w:firstRow="1" w:lastRow="0" w:firstColumn="1" w:lastColumn="0" w:noHBand="0" w:noVBand="1"/>
      </w:tblPr>
      <w:tblGrid>
        <w:gridCol w:w="460"/>
        <w:gridCol w:w="6180"/>
        <w:gridCol w:w="480"/>
      </w:tblGrid>
      <w:tr w:rsidR="00AC12B4">
        <w:trPr>
          <w:trHeight w:val="439"/>
        </w:trPr>
        <w:tc>
          <w:tcPr>
            <w:tcW w:w="460" w:type="dxa"/>
            <w:vAlign w:val="bottom"/>
          </w:tcPr>
          <w:p w:rsidR="00AC12B4" w:rsidRDefault="00C27636">
            <w:pPr>
              <w:rPr>
                <w:sz w:val="20"/>
                <w:szCs w:val="20"/>
              </w:rPr>
            </w:pPr>
            <w:r>
              <w:rPr>
                <w:rFonts w:ascii="Calibri" w:eastAsia="Calibri" w:hAnsi="Calibri" w:cs="Calibri"/>
                <w:b/>
                <w:bCs/>
                <w:color w:val="C9D11D"/>
                <w:sz w:val="36"/>
                <w:szCs w:val="36"/>
              </w:rPr>
              <w:t>S1</w:t>
            </w:r>
          </w:p>
        </w:tc>
        <w:tc>
          <w:tcPr>
            <w:tcW w:w="6180" w:type="dxa"/>
            <w:vAlign w:val="bottom"/>
          </w:tcPr>
          <w:p w:rsidR="00AC12B4" w:rsidRDefault="00C27636">
            <w:pPr>
              <w:ind w:left="100"/>
              <w:rPr>
                <w:sz w:val="20"/>
                <w:szCs w:val="20"/>
              </w:rPr>
            </w:pPr>
            <w:r>
              <w:rPr>
                <w:rFonts w:ascii="Calibri" w:eastAsia="Calibri" w:hAnsi="Calibri" w:cs="Calibri"/>
                <w:sz w:val="32"/>
                <w:szCs w:val="32"/>
              </w:rPr>
              <w:t>Santé Subjective…………………………………………</w:t>
            </w:r>
          </w:p>
        </w:tc>
        <w:tc>
          <w:tcPr>
            <w:tcW w:w="480" w:type="dxa"/>
            <w:vAlign w:val="bottom"/>
          </w:tcPr>
          <w:p w:rsidR="00AC12B4" w:rsidRDefault="00C27636">
            <w:pPr>
              <w:jc w:val="right"/>
              <w:rPr>
                <w:rFonts w:ascii="Calibri" w:eastAsia="Calibri" w:hAnsi="Calibri" w:cs="Calibri"/>
                <w:sz w:val="32"/>
                <w:szCs w:val="32"/>
              </w:rPr>
            </w:pPr>
            <w:hyperlink w:anchor="page65">
              <w:r>
                <w:rPr>
                  <w:rFonts w:ascii="Calibri" w:eastAsia="Calibri" w:hAnsi="Calibri" w:cs="Calibri"/>
                  <w:sz w:val="32"/>
                  <w:szCs w:val="32"/>
                </w:rPr>
                <w:t>65</w:t>
              </w:r>
            </w:hyperlink>
          </w:p>
        </w:tc>
      </w:tr>
      <w:tr w:rsidR="00AC12B4">
        <w:trPr>
          <w:trHeight w:val="780"/>
        </w:trPr>
        <w:tc>
          <w:tcPr>
            <w:tcW w:w="460" w:type="dxa"/>
            <w:vAlign w:val="bottom"/>
          </w:tcPr>
          <w:p w:rsidR="00AC12B4" w:rsidRDefault="00C27636">
            <w:pPr>
              <w:rPr>
                <w:sz w:val="20"/>
                <w:szCs w:val="20"/>
              </w:rPr>
            </w:pPr>
            <w:r>
              <w:rPr>
                <w:rFonts w:ascii="Calibri" w:eastAsia="Calibri" w:hAnsi="Calibri" w:cs="Calibri"/>
                <w:b/>
                <w:bCs/>
                <w:color w:val="C9D11D"/>
                <w:sz w:val="36"/>
                <w:szCs w:val="36"/>
              </w:rPr>
              <w:lastRenderedPageBreak/>
              <w:t>S2</w:t>
            </w:r>
          </w:p>
        </w:tc>
        <w:tc>
          <w:tcPr>
            <w:tcW w:w="6180" w:type="dxa"/>
            <w:vAlign w:val="bottom"/>
          </w:tcPr>
          <w:p w:rsidR="00AC12B4" w:rsidRDefault="00C27636">
            <w:pPr>
              <w:ind w:left="100"/>
              <w:rPr>
                <w:sz w:val="20"/>
                <w:szCs w:val="20"/>
              </w:rPr>
            </w:pPr>
            <w:r>
              <w:rPr>
                <w:rFonts w:ascii="Calibri" w:eastAsia="Calibri" w:hAnsi="Calibri" w:cs="Calibri"/>
                <w:sz w:val="32"/>
                <w:szCs w:val="32"/>
              </w:rPr>
              <w:t>Mortalité infantile………………………………………</w:t>
            </w:r>
          </w:p>
        </w:tc>
        <w:tc>
          <w:tcPr>
            <w:tcW w:w="480" w:type="dxa"/>
            <w:vAlign w:val="bottom"/>
          </w:tcPr>
          <w:p w:rsidR="00AC12B4" w:rsidRDefault="00C27636">
            <w:pPr>
              <w:jc w:val="right"/>
              <w:rPr>
                <w:rFonts w:ascii="Calibri" w:eastAsia="Calibri" w:hAnsi="Calibri" w:cs="Calibri"/>
                <w:sz w:val="32"/>
                <w:szCs w:val="32"/>
              </w:rPr>
            </w:pPr>
            <w:hyperlink w:anchor="page67">
              <w:r>
                <w:rPr>
                  <w:rFonts w:ascii="Calibri" w:eastAsia="Calibri" w:hAnsi="Calibri" w:cs="Calibri"/>
                  <w:sz w:val="32"/>
                  <w:szCs w:val="32"/>
                </w:rPr>
                <w:t>67</w:t>
              </w:r>
            </w:hyperlink>
          </w:p>
        </w:tc>
      </w:tr>
      <w:tr w:rsidR="00AC12B4">
        <w:trPr>
          <w:trHeight w:val="780"/>
        </w:trPr>
        <w:tc>
          <w:tcPr>
            <w:tcW w:w="460" w:type="dxa"/>
            <w:vAlign w:val="bottom"/>
          </w:tcPr>
          <w:p w:rsidR="00AC12B4" w:rsidRDefault="00C27636">
            <w:pPr>
              <w:rPr>
                <w:sz w:val="20"/>
                <w:szCs w:val="20"/>
              </w:rPr>
            </w:pPr>
            <w:r>
              <w:rPr>
                <w:rFonts w:ascii="Calibri" w:eastAsia="Calibri" w:hAnsi="Calibri" w:cs="Calibri"/>
                <w:b/>
                <w:bCs/>
                <w:color w:val="C9D11D"/>
                <w:sz w:val="36"/>
                <w:szCs w:val="36"/>
              </w:rPr>
              <w:t>S3</w:t>
            </w:r>
          </w:p>
        </w:tc>
        <w:tc>
          <w:tcPr>
            <w:tcW w:w="6180" w:type="dxa"/>
            <w:vAlign w:val="bottom"/>
          </w:tcPr>
          <w:p w:rsidR="00AC12B4" w:rsidRDefault="00C27636">
            <w:pPr>
              <w:ind w:left="100"/>
              <w:rPr>
                <w:sz w:val="20"/>
                <w:szCs w:val="20"/>
              </w:rPr>
            </w:pPr>
            <w:r>
              <w:rPr>
                <w:rFonts w:ascii="Calibri" w:eastAsia="Calibri" w:hAnsi="Calibri" w:cs="Calibri"/>
                <w:sz w:val="32"/>
                <w:szCs w:val="32"/>
              </w:rPr>
              <w:t>Suivi prénatal…………………………………...…………</w:t>
            </w:r>
          </w:p>
        </w:tc>
        <w:tc>
          <w:tcPr>
            <w:tcW w:w="480" w:type="dxa"/>
            <w:vAlign w:val="bottom"/>
          </w:tcPr>
          <w:p w:rsidR="00AC12B4" w:rsidRDefault="00C27636">
            <w:pPr>
              <w:jc w:val="right"/>
              <w:rPr>
                <w:rFonts w:ascii="Calibri" w:eastAsia="Calibri" w:hAnsi="Calibri" w:cs="Calibri"/>
                <w:sz w:val="32"/>
                <w:szCs w:val="32"/>
              </w:rPr>
            </w:pPr>
            <w:hyperlink w:anchor="page69">
              <w:r>
                <w:rPr>
                  <w:rFonts w:ascii="Calibri" w:eastAsia="Calibri" w:hAnsi="Calibri" w:cs="Calibri"/>
                  <w:sz w:val="32"/>
                  <w:szCs w:val="32"/>
                </w:rPr>
                <w:t>69</w:t>
              </w:r>
            </w:hyperlink>
          </w:p>
        </w:tc>
      </w:tr>
      <w:tr w:rsidR="00AC12B4">
        <w:trPr>
          <w:trHeight w:val="778"/>
        </w:trPr>
        <w:tc>
          <w:tcPr>
            <w:tcW w:w="460" w:type="dxa"/>
            <w:vAlign w:val="bottom"/>
          </w:tcPr>
          <w:p w:rsidR="00AC12B4" w:rsidRDefault="00C27636">
            <w:pPr>
              <w:rPr>
                <w:sz w:val="20"/>
                <w:szCs w:val="20"/>
              </w:rPr>
            </w:pPr>
            <w:r>
              <w:rPr>
                <w:rFonts w:ascii="Calibri" w:eastAsia="Calibri" w:hAnsi="Calibri" w:cs="Calibri"/>
                <w:b/>
                <w:bCs/>
                <w:color w:val="C9D11D"/>
                <w:sz w:val="36"/>
                <w:szCs w:val="36"/>
              </w:rPr>
              <w:t>S4</w:t>
            </w:r>
          </w:p>
        </w:tc>
        <w:tc>
          <w:tcPr>
            <w:tcW w:w="6180" w:type="dxa"/>
            <w:vAlign w:val="bottom"/>
          </w:tcPr>
          <w:p w:rsidR="00AC12B4" w:rsidRDefault="00C27636">
            <w:pPr>
              <w:ind w:left="100"/>
              <w:rPr>
                <w:sz w:val="20"/>
                <w:szCs w:val="20"/>
              </w:rPr>
            </w:pPr>
            <w:r>
              <w:rPr>
                <w:rFonts w:ascii="Calibri" w:eastAsia="Calibri" w:hAnsi="Calibri" w:cs="Calibri"/>
                <w:sz w:val="32"/>
                <w:szCs w:val="32"/>
              </w:rPr>
              <w:t>Vaccination…………………………………………………</w:t>
            </w:r>
          </w:p>
        </w:tc>
        <w:tc>
          <w:tcPr>
            <w:tcW w:w="480" w:type="dxa"/>
            <w:vAlign w:val="bottom"/>
          </w:tcPr>
          <w:p w:rsidR="00AC12B4" w:rsidRDefault="00C27636">
            <w:pPr>
              <w:jc w:val="right"/>
              <w:rPr>
                <w:rFonts w:ascii="Calibri" w:eastAsia="Calibri" w:hAnsi="Calibri" w:cs="Calibri"/>
                <w:sz w:val="32"/>
                <w:szCs w:val="32"/>
              </w:rPr>
            </w:pPr>
            <w:hyperlink w:anchor="page71">
              <w:r>
                <w:rPr>
                  <w:rFonts w:ascii="Calibri" w:eastAsia="Calibri" w:hAnsi="Calibri" w:cs="Calibri"/>
                  <w:sz w:val="32"/>
                  <w:szCs w:val="32"/>
                </w:rPr>
                <w:t>71</w:t>
              </w:r>
            </w:hyperlink>
          </w:p>
        </w:tc>
      </w:tr>
      <w:tr w:rsidR="00AC12B4">
        <w:trPr>
          <w:trHeight w:val="780"/>
        </w:trPr>
        <w:tc>
          <w:tcPr>
            <w:tcW w:w="460" w:type="dxa"/>
            <w:vAlign w:val="bottom"/>
          </w:tcPr>
          <w:p w:rsidR="00AC12B4" w:rsidRDefault="00C27636">
            <w:pPr>
              <w:rPr>
                <w:sz w:val="20"/>
                <w:szCs w:val="20"/>
              </w:rPr>
            </w:pPr>
            <w:r>
              <w:rPr>
                <w:rFonts w:ascii="Calibri" w:eastAsia="Calibri" w:hAnsi="Calibri" w:cs="Calibri"/>
                <w:b/>
                <w:bCs/>
                <w:color w:val="C9D11D"/>
                <w:sz w:val="36"/>
                <w:szCs w:val="36"/>
              </w:rPr>
              <w:t>S5</w:t>
            </w:r>
          </w:p>
        </w:tc>
        <w:tc>
          <w:tcPr>
            <w:tcW w:w="6180" w:type="dxa"/>
            <w:vAlign w:val="bottom"/>
          </w:tcPr>
          <w:p w:rsidR="00AC12B4" w:rsidRDefault="00C27636">
            <w:pPr>
              <w:ind w:left="100"/>
              <w:rPr>
                <w:sz w:val="20"/>
                <w:szCs w:val="20"/>
              </w:rPr>
            </w:pPr>
            <w:r>
              <w:rPr>
                <w:rFonts w:ascii="Calibri" w:eastAsia="Calibri" w:hAnsi="Calibri" w:cs="Calibri"/>
                <w:sz w:val="32"/>
                <w:szCs w:val="32"/>
              </w:rPr>
              <w:t>Postposition de soins de santé……………………</w:t>
            </w:r>
          </w:p>
        </w:tc>
        <w:tc>
          <w:tcPr>
            <w:tcW w:w="480" w:type="dxa"/>
            <w:vAlign w:val="bottom"/>
          </w:tcPr>
          <w:p w:rsidR="00AC12B4" w:rsidRDefault="00C27636">
            <w:pPr>
              <w:jc w:val="right"/>
              <w:rPr>
                <w:rFonts w:ascii="Calibri" w:eastAsia="Calibri" w:hAnsi="Calibri" w:cs="Calibri"/>
                <w:sz w:val="32"/>
                <w:szCs w:val="32"/>
              </w:rPr>
            </w:pPr>
            <w:hyperlink w:anchor="page75">
              <w:r>
                <w:rPr>
                  <w:rFonts w:ascii="Calibri" w:eastAsia="Calibri" w:hAnsi="Calibri" w:cs="Calibri"/>
                  <w:sz w:val="32"/>
                  <w:szCs w:val="32"/>
                </w:rPr>
                <w:t>75</w:t>
              </w:r>
            </w:hyperlink>
          </w:p>
        </w:tc>
      </w:tr>
      <w:tr w:rsidR="00AC12B4">
        <w:trPr>
          <w:trHeight w:val="780"/>
        </w:trPr>
        <w:tc>
          <w:tcPr>
            <w:tcW w:w="460" w:type="dxa"/>
            <w:vAlign w:val="bottom"/>
          </w:tcPr>
          <w:p w:rsidR="00AC12B4" w:rsidRDefault="00C27636">
            <w:pPr>
              <w:rPr>
                <w:sz w:val="20"/>
                <w:szCs w:val="20"/>
              </w:rPr>
            </w:pPr>
            <w:r>
              <w:rPr>
                <w:rFonts w:ascii="Calibri" w:eastAsia="Calibri" w:hAnsi="Calibri" w:cs="Calibri"/>
                <w:b/>
                <w:bCs/>
                <w:color w:val="C9D11D"/>
                <w:sz w:val="36"/>
                <w:szCs w:val="36"/>
              </w:rPr>
              <w:t>S6</w:t>
            </w:r>
          </w:p>
        </w:tc>
        <w:tc>
          <w:tcPr>
            <w:tcW w:w="6180" w:type="dxa"/>
            <w:vAlign w:val="bottom"/>
          </w:tcPr>
          <w:p w:rsidR="00AC12B4" w:rsidRDefault="00C27636">
            <w:pPr>
              <w:ind w:left="100"/>
              <w:rPr>
                <w:sz w:val="20"/>
                <w:szCs w:val="20"/>
              </w:rPr>
            </w:pPr>
            <w:r>
              <w:rPr>
                <w:rFonts w:ascii="Calibri" w:eastAsia="Calibri" w:hAnsi="Calibri" w:cs="Calibri"/>
                <w:sz w:val="32"/>
                <w:szCs w:val="32"/>
              </w:rPr>
              <w:t xml:space="preserve">Temps </w:t>
            </w:r>
            <w:r>
              <w:rPr>
                <w:rFonts w:ascii="Calibri" w:eastAsia="Calibri" w:hAnsi="Calibri" w:cs="Calibri"/>
                <w:sz w:val="32"/>
                <w:szCs w:val="32"/>
              </w:rPr>
              <w:t>d'attente avant prise en charge……….</w:t>
            </w:r>
          </w:p>
        </w:tc>
        <w:tc>
          <w:tcPr>
            <w:tcW w:w="480" w:type="dxa"/>
            <w:vAlign w:val="bottom"/>
          </w:tcPr>
          <w:p w:rsidR="00AC12B4" w:rsidRDefault="00C27636">
            <w:pPr>
              <w:jc w:val="right"/>
              <w:rPr>
                <w:rFonts w:ascii="Calibri" w:eastAsia="Calibri" w:hAnsi="Calibri" w:cs="Calibri"/>
                <w:sz w:val="32"/>
                <w:szCs w:val="32"/>
              </w:rPr>
            </w:pPr>
            <w:hyperlink w:anchor="page79">
              <w:r>
                <w:rPr>
                  <w:rFonts w:ascii="Calibri" w:eastAsia="Calibri" w:hAnsi="Calibri" w:cs="Calibri"/>
                  <w:sz w:val="32"/>
                  <w:szCs w:val="32"/>
                </w:rPr>
                <w:t>79</w:t>
              </w:r>
            </w:hyperlink>
          </w:p>
        </w:tc>
      </w:tr>
      <w:tr w:rsidR="00AC12B4">
        <w:trPr>
          <w:trHeight w:val="778"/>
        </w:trPr>
        <w:tc>
          <w:tcPr>
            <w:tcW w:w="460" w:type="dxa"/>
            <w:vAlign w:val="bottom"/>
          </w:tcPr>
          <w:p w:rsidR="00AC12B4" w:rsidRDefault="00C27636">
            <w:pPr>
              <w:rPr>
                <w:sz w:val="20"/>
                <w:szCs w:val="20"/>
              </w:rPr>
            </w:pPr>
            <w:r>
              <w:rPr>
                <w:rFonts w:ascii="Calibri" w:eastAsia="Calibri" w:hAnsi="Calibri" w:cs="Calibri"/>
                <w:b/>
                <w:bCs/>
                <w:color w:val="C9D11D"/>
                <w:sz w:val="36"/>
                <w:szCs w:val="36"/>
              </w:rPr>
              <w:t>S7</w:t>
            </w:r>
          </w:p>
        </w:tc>
        <w:tc>
          <w:tcPr>
            <w:tcW w:w="6180" w:type="dxa"/>
            <w:vAlign w:val="bottom"/>
          </w:tcPr>
          <w:p w:rsidR="00AC12B4" w:rsidRDefault="00C27636">
            <w:pPr>
              <w:ind w:left="100"/>
              <w:rPr>
                <w:sz w:val="20"/>
                <w:szCs w:val="20"/>
              </w:rPr>
            </w:pPr>
            <w:r>
              <w:rPr>
                <w:rFonts w:ascii="Calibri" w:eastAsia="Calibri" w:hAnsi="Calibri" w:cs="Calibri"/>
                <w:sz w:val="32"/>
                <w:szCs w:val="32"/>
              </w:rPr>
              <w:t>Qualité des soins de santé……….……………………</w:t>
            </w:r>
          </w:p>
        </w:tc>
        <w:tc>
          <w:tcPr>
            <w:tcW w:w="480" w:type="dxa"/>
            <w:vAlign w:val="bottom"/>
          </w:tcPr>
          <w:p w:rsidR="00AC12B4" w:rsidRDefault="00C27636">
            <w:pPr>
              <w:jc w:val="right"/>
              <w:rPr>
                <w:rFonts w:ascii="Calibri" w:eastAsia="Calibri" w:hAnsi="Calibri" w:cs="Calibri"/>
                <w:sz w:val="32"/>
                <w:szCs w:val="32"/>
              </w:rPr>
            </w:pPr>
            <w:hyperlink w:anchor="page81">
              <w:r>
                <w:rPr>
                  <w:rFonts w:ascii="Calibri" w:eastAsia="Calibri" w:hAnsi="Calibri" w:cs="Calibri"/>
                  <w:sz w:val="32"/>
                  <w:szCs w:val="32"/>
                </w:rPr>
                <w:t>81</w:t>
              </w:r>
            </w:hyperlink>
          </w:p>
        </w:tc>
      </w:tr>
      <w:tr w:rsidR="00AC12B4">
        <w:trPr>
          <w:trHeight w:val="781"/>
        </w:trPr>
        <w:tc>
          <w:tcPr>
            <w:tcW w:w="460" w:type="dxa"/>
            <w:vAlign w:val="bottom"/>
          </w:tcPr>
          <w:p w:rsidR="00AC12B4" w:rsidRDefault="00C27636">
            <w:pPr>
              <w:rPr>
                <w:sz w:val="20"/>
                <w:szCs w:val="20"/>
              </w:rPr>
            </w:pPr>
            <w:r>
              <w:rPr>
                <w:rFonts w:ascii="Calibri" w:eastAsia="Calibri" w:hAnsi="Calibri" w:cs="Calibri"/>
                <w:b/>
                <w:bCs/>
                <w:color w:val="C9D11D"/>
                <w:sz w:val="36"/>
                <w:szCs w:val="36"/>
              </w:rPr>
              <w:t>S8</w:t>
            </w:r>
          </w:p>
        </w:tc>
        <w:tc>
          <w:tcPr>
            <w:tcW w:w="6180" w:type="dxa"/>
            <w:vAlign w:val="bottom"/>
          </w:tcPr>
          <w:p w:rsidR="00AC12B4" w:rsidRDefault="00C27636">
            <w:pPr>
              <w:ind w:left="100"/>
              <w:rPr>
                <w:sz w:val="20"/>
                <w:szCs w:val="20"/>
              </w:rPr>
            </w:pPr>
            <w:r>
              <w:rPr>
                <w:rFonts w:ascii="Calibri" w:eastAsia="Calibri" w:hAnsi="Calibri" w:cs="Calibri"/>
                <w:sz w:val="32"/>
                <w:szCs w:val="32"/>
              </w:rPr>
              <w:t>Style de vie sain…………………….…………………</w:t>
            </w:r>
            <w:r>
              <w:rPr>
                <w:rFonts w:ascii="Calibri" w:eastAsia="Calibri" w:hAnsi="Calibri" w:cs="Calibri"/>
                <w:sz w:val="32"/>
                <w:szCs w:val="32"/>
              </w:rPr>
              <w:lastRenderedPageBreak/>
              <w:t>…</w:t>
            </w:r>
          </w:p>
        </w:tc>
        <w:tc>
          <w:tcPr>
            <w:tcW w:w="480" w:type="dxa"/>
            <w:vAlign w:val="bottom"/>
          </w:tcPr>
          <w:p w:rsidR="00AC12B4" w:rsidRDefault="00C27636">
            <w:pPr>
              <w:jc w:val="right"/>
              <w:rPr>
                <w:rFonts w:ascii="Calibri" w:eastAsia="Calibri" w:hAnsi="Calibri" w:cs="Calibri"/>
                <w:sz w:val="32"/>
                <w:szCs w:val="32"/>
              </w:rPr>
            </w:pPr>
            <w:hyperlink w:anchor="page87">
              <w:r>
                <w:rPr>
                  <w:rFonts w:ascii="Calibri" w:eastAsia="Calibri" w:hAnsi="Calibri" w:cs="Calibri"/>
                  <w:sz w:val="32"/>
                  <w:szCs w:val="32"/>
                </w:rPr>
                <w:t>87</w:t>
              </w:r>
            </w:hyperlink>
          </w:p>
        </w:tc>
      </w:tr>
      <w:tr w:rsidR="00AC12B4">
        <w:trPr>
          <w:trHeight w:val="780"/>
        </w:trPr>
        <w:tc>
          <w:tcPr>
            <w:tcW w:w="460" w:type="dxa"/>
            <w:vAlign w:val="bottom"/>
          </w:tcPr>
          <w:p w:rsidR="00AC12B4" w:rsidRDefault="00C27636">
            <w:pPr>
              <w:rPr>
                <w:sz w:val="20"/>
                <w:szCs w:val="20"/>
              </w:rPr>
            </w:pPr>
            <w:r>
              <w:rPr>
                <w:rFonts w:ascii="Calibri" w:eastAsia="Calibri" w:hAnsi="Calibri" w:cs="Calibri"/>
                <w:b/>
                <w:bCs/>
                <w:color w:val="C9D11D"/>
                <w:sz w:val="36"/>
                <w:szCs w:val="36"/>
              </w:rPr>
              <w:lastRenderedPageBreak/>
              <w:t>S9</w:t>
            </w:r>
          </w:p>
        </w:tc>
        <w:tc>
          <w:tcPr>
            <w:tcW w:w="6180" w:type="dxa"/>
            <w:vAlign w:val="bottom"/>
          </w:tcPr>
          <w:p w:rsidR="00AC12B4" w:rsidRDefault="00C27636">
            <w:pPr>
              <w:ind w:left="180"/>
              <w:rPr>
                <w:sz w:val="20"/>
                <w:szCs w:val="20"/>
              </w:rPr>
            </w:pPr>
            <w:r>
              <w:rPr>
                <w:rFonts w:ascii="Calibri" w:eastAsia="Calibri" w:hAnsi="Calibri" w:cs="Calibri"/>
                <w:sz w:val="32"/>
                <w:szCs w:val="32"/>
              </w:rPr>
              <w:t>Conditions de logement………………………………</w:t>
            </w:r>
          </w:p>
        </w:tc>
        <w:tc>
          <w:tcPr>
            <w:tcW w:w="480" w:type="dxa"/>
            <w:vAlign w:val="bottom"/>
          </w:tcPr>
          <w:p w:rsidR="00AC12B4" w:rsidRDefault="00C27636">
            <w:pPr>
              <w:jc w:val="right"/>
              <w:rPr>
                <w:rFonts w:ascii="Calibri" w:eastAsia="Calibri" w:hAnsi="Calibri" w:cs="Calibri"/>
                <w:sz w:val="32"/>
                <w:szCs w:val="32"/>
              </w:rPr>
            </w:pPr>
            <w:hyperlink w:anchor="page95">
              <w:r>
                <w:rPr>
                  <w:rFonts w:ascii="Calibri" w:eastAsia="Calibri" w:hAnsi="Calibri" w:cs="Calibri"/>
                  <w:sz w:val="32"/>
                  <w:szCs w:val="32"/>
                </w:rPr>
                <w:t>95</w:t>
              </w:r>
            </w:hyperlink>
          </w:p>
        </w:tc>
      </w:tr>
      <w:tr w:rsidR="00AC12B4">
        <w:trPr>
          <w:trHeight w:val="778"/>
        </w:trPr>
        <w:tc>
          <w:tcPr>
            <w:tcW w:w="6640" w:type="dxa"/>
            <w:gridSpan w:val="2"/>
            <w:vAlign w:val="bottom"/>
          </w:tcPr>
          <w:p w:rsidR="00AC12B4" w:rsidRDefault="00C27636">
            <w:pPr>
              <w:rPr>
                <w:sz w:val="20"/>
                <w:szCs w:val="20"/>
              </w:rPr>
            </w:pPr>
            <w:r>
              <w:rPr>
                <w:rFonts w:ascii="Calibri" w:eastAsia="Calibri" w:hAnsi="Calibri" w:cs="Calibri"/>
                <w:b/>
                <w:bCs/>
                <w:color w:val="C9D11D"/>
                <w:sz w:val="36"/>
                <w:szCs w:val="36"/>
              </w:rPr>
              <w:t xml:space="preserve">S10 </w:t>
            </w:r>
            <w:r>
              <w:rPr>
                <w:rFonts w:ascii="Calibri" w:eastAsia="Calibri" w:hAnsi="Calibri" w:cs="Calibri"/>
                <w:color w:val="000000"/>
                <w:sz w:val="31"/>
                <w:szCs w:val="31"/>
              </w:rPr>
              <w:t>Environnement sain……………………………………</w:t>
            </w:r>
          </w:p>
        </w:tc>
        <w:tc>
          <w:tcPr>
            <w:tcW w:w="480" w:type="dxa"/>
            <w:vAlign w:val="bottom"/>
          </w:tcPr>
          <w:p w:rsidR="00AC12B4" w:rsidRDefault="00C27636">
            <w:pPr>
              <w:jc w:val="right"/>
              <w:rPr>
                <w:rFonts w:ascii="Calibri" w:eastAsia="Calibri" w:hAnsi="Calibri" w:cs="Calibri"/>
                <w:sz w:val="32"/>
                <w:szCs w:val="32"/>
              </w:rPr>
            </w:pPr>
            <w:hyperlink w:anchor="page99">
              <w:r>
                <w:rPr>
                  <w:rFonts w:ascii="Calibri" w:eastAsia="Calibri" w:hAnsi="Calibri" w:cs="Calibri"/>
                  <w:sz w:val="32"/>
                  <w:szCs w:val="32"/>
                </w:rPr>
                <w:t>99</w:t>
              </w:r>
            </w:hyperlink>
          </w:p>
        </w:tc>
      </w:tr>
    </w:tbl>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57" w:lineRule="exact"/>
        <w:rPr>
          <w:sz w:val="20"/>
          <w:szCs w:val="20"/>
        </w:rPr>
      </w:pPr>
    </w:p>
    <w:p w:rsidR="00AC12B4" w:rsidRDefault="00C27636">
      <w:pPr>
        <w:ind w:right="-382"/>
        <w:jc w:val="center"/>
        <w:rPr>
          <w:sz w:val="20"/>
          <w:szCs w:val="20"/>
        </w:rPr>
      </w:pPr>
      <w:r>
        <w:rPr>
          <w:rFonts w:ascii="Calibri" w:eastAsia="Calibri" w:hAnsi="Calibri" w:cs="Calibri"/>
        </w:rPr>
        <w:t>63</w:t>
      </w:r>
    </w:p>
    <w:p w:rsidR="00AC12B4" w:rsidRDefault="00AC12B4">
      <w:pPr>
        <w:sectPr w:rsidR="00AC12B4">
          <w:pgSz w:w="12080" w:h="17179"/>
          <w:pgMar w:top="1440" w:right="1440" w:bottom="659" w:left="1440" w:header="0" w:footer="0" w:gutter="0"/>
          <w:cols w:space="720" w:equalWidth="0">
            <w:col w:w="9197"/>
          </w:cols>
        </w:sectPr>
      </w:pPr>
    </w:p>
    <w:p w:rsidR="00AC12B4" w:rsidRDefault="00AC12B4">
      <w:pPr>
        <w:jc w:val="center"/>
        <w:rPr>
          <w:sz w:val="20"/>
          <w:szCs w:val="20"/>
        </w:rPr>
      </w:pPr>
      <w:bookmarkStart w:id="63" w:name="page64"/>
      <w:bookmarkEnd w:id="63"/>
    </w:p>
    <w:p w:rsidR="00AC12B4" w:rsidRDefault="00AC12B4">
      <w:pPr>
        <w:sectPr w:rsidR="00AC12B4">
          <w:pgSz w:w="12080" w:h="17179"/>
          <w:pgMar w:top="1440" w:right="1440" w:bottom="875" w:left="1440" w:header="0" w:footer="0" w:gutter="0"/>
          <w:cols w:space="0"/>
        </w:sectPr>
      </w:pPr>
    </w:p>
    <w:p w:rsidR="00AC12B4" w:rsidRDefault="00AC12B4">
      <w:pPr>
        <w:spacing w:line="168" w:lineRule="exact"/>
        <w:rPr>
          <w:sz w:val="20"/>
          <w:szCs w:val="20"/>
        </w:rPr>
      </w:pPr>
      <w:bookmarkStart w:id="64" w:name="page65"/>
      <w:bookmarkEnd w:id="64"/>
    </w:p>
    <w:p w:rsidR="00AC12B4" w:rsidRDefault="00C27636">
      <w:pPr>
        <w:ind w:left="880"/>
        <w:rPr>
          <w:sz w:val="20"/>
          <w:szCs w:val="20"/>
        </w:rPr>
      </w:pPr>
      <w:r>
        <w:rPr>
          <w:rFonts w:ascii="Comic Sans MS" w:eastAsia="Comic Sans MS" w:hAnsi="Comic Sans MS" w:cs="Comic Sans MS"/>
          <w:color w:val="C9D11D"/>
          <w:sz w:val="40"/>
          <w:szCs w:val="40"/>
        </w:rPr>
        <w:t>S1. Santé Subjective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61120" behindDoc="1" locked="0" layoutInCell="0" allowOverlap="1">
                <wp:simplePos x="0" y="0"/>
                <wp:positionH relativeFrom="column">
                  <wp:posOffset>-351155</wp:posOffset>
                </wp:positionH>
                <wp:positionV relativeFrom="paragraph">
                  <wp:posOffset>296545</wp:posOffset>
                </wp:positionV>
                <wp:extent cx="3559810" cy="1094105"/>
                <wp:effectExtent l="0" t="0" r="0" b="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094105"/>
                        </a:xfrm>
                        <a:prstGeom prst="rect">
                          <a:avLst/>
                        </a:prstGeom>
                        <a:solidFill>
                          <a:srgbClr val="C9D11D"/>
                        </a:solidFill>
                      </wps:spPr>
                      <wps:bodyPr/>
                    </wps:wsp>
                  </a:graphicData>
                </a:graphic>
              </wp:anchor>
            </w:drawing>
          </mc:Choice>
          <mc:Fallback>
            <w:pict>
              <v:rect id="Shape 116" o:spid="_x0000_s1141" style="position:absolute;margin-left:-27.6499pt;margin-top:23.35pt;width:280.3pt;height:8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D11D" stroked="f"/>
            </w:pict>
          </mc:Fallback>
        </mc:AlternateContent>
      </w:r>
      <w:r>
        <w:rPr>
          <w:noProof/>
          <w:sz w:val="20"/>
          <w:szCs w:val="20"/>
        </w:rPr>
        <mc:AlternateContent>
          <mc:Choice Requires="wps">
            <w:drawing>
              <wp:anchor distT="0" distB="0" distL="114300" distR="114300" simplePos="0" relativeHeight="251462144" behindDoc="1" locked="0" layoutInCell="0" allowOverlap="1">
                <wp:simplePos x="0" y="0"/>
                <wp:positionH relativeFrom="column">
                  <wp:posOffset>3208655</wp:posOffset>
                </wp:positionH>
                <wp:positionV relativeFrom="paragraph">
                  <wp:posOffset>283845</wp:posOffset>
                </wp:positionV>
                <wp:extent cx="0" cy="1119505"/>
                <wp:effectExtent l="0" t="0" r="0" b="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1950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22.35pt" to="252.65pt,110.5pt" o:allowincell="f" strokecolor="#919715" strokeweight="2pt"/>
            </w:pict>
          </mc:Fallback>
        </mc:AlternateContent>
      </w:r>
      <w:r>
        <w:rPr>
          <w:noProof/>
          <w:sz w:val="20"/>
          <w:szCs w:val="20"/>
        </w:rPr>
        <mc:AlternateContent>
          <mc:Choice Requires="wps">
            <w:drawing>
              <wp:anchor distT="0" distB="0" distL="114300" distR="114300" simplePos="0" relativeHeight="251463168" behindDoc="1" locked="0" layoutInCell="0" allowOverlap="1">
                <wp:simplePos x="0" y="0"/>
                <wp:positionH relativeFrom="column">
                  <wp:posOffset>-363855</wp:posOffset>
                </wp:positionH>
                <wp:positionV relativeFrom="paragraph">
                  <wp:posOffset>296545</wp:posOffset>
                </wp:positionV>
                <wp:extent cx="3585210" cy="0"/>
                <wp:effectExtent l="0" t="0" r="0" b="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3.35pt" to="253.65pt,23.35pt" o:allowincell="f" strokecolor="#919715" strokeweight="2pt"/>
            </w:pict>
          </mc:Fallback>
        </mc:AlternateContent>
      </w:r>
      <w:r>
        <w:rPr>
          <w:noProof/>
          <w:sz w:val="20"/>
          <w:szCs w:val="20"/>
        </w:rPr>
        <mc:AlternateContent>
          <mc:Choice Requires="wps">
            <w:drawing>
              <wp:anchor distT="0" distB="0" distL="114300" distR="114300" simplePos="0" relativeHeight="251464192" behindDoc="1" locked="0" layoutInCell="0" allowOverlap="1">
                <wp:simplePos x="0" y="0"/>
                <wp:positionH relativeFrom="column">
                  <wp:posOffset>-351155</wp:posOffset>
                </wp:positionH>
                <wp:positionV relativeFrom="paragraph">
                  <wp:posOffset>283845</wp:posOffset>
                </wp:positionV>
                <wp:extent cx="0" cy="1119505"/>
                <wp:effectExtent l="0" t="0" r="0" b="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1950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22.35pt" to="-27.6499pt,110.5pt" o:allowincell="f" strokecolor="#919715" strokeweight="2pt"/>
            </w:pict>
          </mc:Fallback>
        </mc:AlternateContent>
      </w:r>
      <w:r>
        <w:rPr>
          <w:noProof/>
          <w:sz w:val="20"/>
          <w:szCs w:val="20"/>
        </w:rPr>
        <mc:AlternateContent>
          <mc:Choice Requires="wps">
            <w:drawing>
              <wp:anchor distT="0" distB="0" distL="114300" distR="114300" simplePos="0" relativeHeight="251465216" behindDoc="1" locked="0" layoutInCell="0" allowOverlap="1">
                <wp:simplePos x="0" y="0"/>
                <wp:positionH relativeFrom="column">
                  <wp:posOffset>-363855</wp:posOffset>
                </wp:positionH>
                <wp:positionV relativeFrom="paragraph">
                  <wp:posOffset>1390650</wp:posOffset>
                </wp:positionV>
                <wp:extent cx="3585210" cy="0"/>
                <wp:effectExtent l="0" t="0" r="0" b="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09.5pt" to="253.65pt,109.5pt" o:allowincell="f" strokecolor="#919715" strokeweight="2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43" w:lineRule="exact"/>
        <w:rPr>
          <w:sz w:val="20"/>
          <w:szCs w:val="20"/>
        </w:rPr>
      </w:pPr>
    </w:p>
    <w:p w:rsidR="00AC12B4" w:rsidRDefault="00C27636">
      <w:pPr>
        <w:rPr>
          <w:sz w:val="20"/>
          <w:szCs w:val="20"/>
        </w:rPr>
      </w:pPr>
      <w:r>
        <w:rPr>
          <w:rFonts w:ascii="Calibri" w:eastAsia="Calibri" w:hAnsi="Calibri" w:cs="Calibri"/>
          <w:i/>
          <w:iCs/>
          <w:color w:val="EAF1DD"/>
        </w:rPr>
        <w:t>Article 24 CIDE :</w:t>
      </w:r>
    </w:p>
    <w:p w:rsidR="00AC12B4" w:rsidRDefault="00AC12B4">
      <w:pPr>
        <w:spacing w:line="169" w:lineRule="exact"/>
        <w:rPr>
          <w:sz w:val="20"/>
          <w:szCs w:val="20"/>
        </w:rPr>
      </w:pPr>
    </w:p>
    <w:p w:rsidR="00AC12B4" w:rsidRPr="00C27636" w:rsidRDefault="00C27636">
      <w:pPr>
        <w:numPr>
          <w:ilvl w:val="0"/>
          <w:numId w:val="70"/>
        </w:numPr>
        <w:tabs>
          <w:tab w:val="left" w:pos="247"/>
        </w:tabs>
        <w:spacing w:line="226" w:lineRule="auto"/>
        <w:ind w:firstLine="8"/>
        <w:jc w:val="both"/>
        <w:rPr>
          <w:rFonts w:ascii="Calibri" w:eastAsia="Calibri" w:hAnsi="Calibri" w:cs="Calibri"/>
          <w:i/>
          <w:iCs/>
          <w:color w:val="EAF1DD"/>
          <w:lang w:val="fr-BE"/>
        </w:rPr>
      </w:pPr>
      <w:r w:rsidRPr="00C27636">
        <w:rPr>
          <w:rFonts w:ascii="Calibri" w:eastAsia="Calibri" w:hAnsi="Calibri" w:cs="Calibri"/>
          <w:i/>
          <w:iCs/>
          <w:color w:val="EAF1DD"/>
          <w:lang w:val="fr-BE"/>
        </w:rPr>
        <w:t xml:space="preserve">Les États parties reconnaissent le droit de l'enfant de jouir du </w:t>
      </w:r>
      <w:r w:rsidRPr="00C27636">
        <w:rPr>
          <w:rFonts w:ascii="Calibri" w:eastAsia="Calibri" w:hAnsi="Calibri" w:cs="Calibri"/>
          <w:i/>
          <w:iCs/>
          <w:color w:val="EAF1DD"/>
          <w:lang w:val="fr-BE"/>
        </w:rPr>
        <w:t>meilleur état de santé possible et de bénéficier de services médicaux et de rééducation.</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7" w:lineRule="exact"/>
        <w:rPr>
          <w:sz w:val="20"/>
          <w:szCs w:val="20"/>
          <w:lang w:val="fr-BE"/>
        </w:rPr>
      </w:pPr>
    </w:p>
    <w:p w:rsidR="00AC12B4" w:rsidRPr="00C27636" w:rsidRDefault="00C27636">
      <w:pPr>
        <w:spacing w:line="236" w:lineRule="auto"/>
        <w:ind w:left="880" w:right="120" w:firstLine="50"/>
        <w:jc w:val="both"/>
        <w:rPr>
          <w:sz w:val="20"/>
          <w:szCs w:val="20"/>
          <w:lang w:val="fr-BE"/>
        </w:rPr>
      </w:pPr>
      <w:r w:rsidRPr="00C27636">
        <w:rPr>
          <w:rFonts w:ascii="Calibri" w:eastAsia="Calibri" w:hAnsi="Calibri" w:cs="Calibri"/>
          <w:lang w:val="fr-BE"/>
        </w:rPr>
        <w:t>La CIDE reconnaît le droit de l'enfant de jouir du meilleur état de santé possible. La santé physique et la santé mentale ne peuvent être dissociées de la manière d</w:t>
      </w:r>
      <w:r w:rsidRPr="00C27636">
        <w:rPr>
          <w:rFonts w:ascii="Calibri" w:eastAsia="Calibri" w:hAnsi="Calibri" w:cs="Calibri"/>
          <w:lang w:val="fr-BE"/>
        </w:rPr>
        <w:t>ont on ressent personnellement son état de santé. C'est la raison pour laquelle il est important, outre des mesures objectives, de vérifier comment la perception subjective de la santé évolue dans le temps et est fonction du contexte socioéconomique des in</w:t>
      </w:r>
      <w:r w:rsidRPr="00C27636">
        <w:rPr>
          <w:rFonts w:ascii="Calibri" w:eastAsia="Calibri" w:hAnsi="Calibri" w:cs="Calibri"/>
          <w:lang w:val="fr-BE"/>
        </w:rPr>
        <w:t>téressés.</w:t>
      </w:r>
    </w:p>
    <w:p w:rsidR="00AC12B4" w:rsidRPr="00C27636" w:rsidRDefault="00AC12B4">
      <w:pPr>
        <w:spacing w:line="170" w:lineRule="exact"/>
        <w:rPr>
          <w:sz w:val="20"/>
          <w:szCs w:val="20"/>
          <w:lang w:val="fr-BE"/>
        </w:rPr>
      </w:pPr>
    </w:p>
    <w:p w:rsidR="00AC12B4" w:rsidRPr="00C27636" w:rsidRDefault="00C27636">
      <w:pPr>
        <w:spacing w:line="231" w:lineRule="auto"/>
        <w:ind w:left="880" w:right="120"/>
        <w:jc w:val="both"/>
        <w:rPr>
          <w:sz w:val="20"/>
          <w:szCs w:val="20"/>
          <w:lang w:val="fr-BE"/>
        </w:rPr>
      </w:pPr>
      <w:r w:rsidRPr="00C27636">
        <w:rPr>
          <w:rFonts w:ascii="Calibri" w:eastAsia="Calibri" w:hAnsi="Calibri" w:cs="Calibri"/>
          <w:lang w:val="fr-BE"/>
        </w:rPr>
        <w:t>En 2014, près de huit jeunes sur dix (79,2%) estiment que leur santé est excellente ou bonne et un jeune sur cinq (20,8%) a une perception plus négative de sa santé (plutôt ou pas très bonne).</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466240" behindDoc="1" locked="0" layoutInCell="0" allowOverlap="1">
            <wp:simplePos x="0" y="0"/>
            <wp:positionH relativeFrom="column">
              <wp:posOffset>558165</wp:posOffset>
            </wp:positionH>
            <wp:positionV relativeFrom="paragraph">
              <wp:posOffset>76200</wp:posOffset>
            </wp:positionV>
            <wp:extent cx="2582545" cy="1880235"/>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5">
                      <a:extLst/>
                    </a:blip>
                    <a:srcRect/>
                    <a:stretch>
                      <a:fillRect/>
                    </a:stretch>
                  </pic:blipFill>
                  <pic:spPr bwMode="auto">
                    <a:xfrm>
                      <a:off x="0" y="0"/>
                      <a:ext cx="2582545" cy="1880235"/>
                    </a:xfrm>
                    <a:prstGeom prst="rect">
                      <a:avLst/>
                    </a:prstGeom>
                    <a:noFill/>
                  </pic:spPr>
                </pic:pic>
              </a:graphicData>
            </a:graphic>
          </wp:anchor>
        </w:drawing>
      </w:r>
    </w:p>
    <w:p w:rsidR="00AC12B4" w:rsidRPr="00C27636" w:rsidRDefault="00AC12B4">
      <w:pPr>
        <w:spacing w:line="311" w:lineRule="exact"/>
        <w:rPr>
          <w:sz w:val="20"/>
          <w:szCs w:val="20"/>
          <w:lang w:val="fr-BE"/>
        </w:rPr>
      </w:pPr>
    </w:p>
    <w:tbl>
      <w:tblPr>
        <w:tblW w:w="0" w:type="auto"/>
        <w:tblInd w:w="2020" w:type="dxa"/>
        <w:tblLayout w:type="fixed"/>
        <w:tblCellMar>
          <w:left w:w="0" w:type="dxa"/>
          <w:right w:w="0" w:type="dxa"/>
        </w:tblCellMar>
        <w:tblLook w:val="04A0" w:firstRow="1" w:lastRow="0" w:firstColumn="1" w:lastColumn="0" w:noHBand="0" w:noVBand="1"/>
      </w:tblPr>
      <w:tblGrid>
        <w:gridCol w:w="1020"/>
        <w:gridCol w:w="1460"/>
        <w:gridCol w:w="20"/>
      </w:tblGrid>
      <w:tr w:rsidR="00AC12B4">
        <w:trPr>
          <w:trHeight w:val="244"/>
        </w:trPr>
        <w:tc>
          <w:tcPr>
            <w:tcW w:w="1020" w:type="dxa"/>
            <w:vAlign w:val="bottom"/>
          </w:tcPr>
          <w:p w:rsidR="00AC12B4" w:rsidRDefault="00C27636">
            <w:pPr>
              <w:ind w:right="540"/>
              <w:jc w:val="right"/>
              <w:rPr>
                <w:sz w:val="20"/>
                <w:szCs w:val="20"/>
              </w:rPr>
            </w:pPr>
            <w:r>
              <w:rPr>
                <w:rFonts w:ascii="Calibri" w:eastAsia="Calibri" w:hAnsi="Calibri" w:cs="Calibri"/>
                <w:w w:val="90"/>
                <w:sz w:val="20"/>
                <w:szCs w:val="20"/>
              </w:rPr>
              <w:t>4,0%</w:t>
            </w:r>
          </w:p>
        </w:tc>
        <w:tc>
          <w:tcPr>
            <w:tcW w:w="1460" w:type="dxa"/>
            <w:vMerge w:val="restart"/>
            <w:vAlign w:val="bottom"/>
          </w:tcPr>
          <w:p w:rsidR="00AC12B4" w:rsidRDefault="00C27636">
            <w:pPr>
              <w:ind w:left="640"/>
              <w:rPr>
                <w:sz w:val="20"/>
                <w:szCs w:val="20"/>
              </w:rPr>
            </w:pPr>
            <w:r>
              <w:rPr>
                <w:rFonts w:ascii="Calibri" w:eastAsia="Calibri" w:hAnsi="Calibri" w:cs="Calibri"/>
                <w:w w:val="96"/>
                <w:sz w:val="20"/>
                <w:szCs w:val="20"/>
              </w:rPr>
              <w:t>Excellente</w:t>
            </w:r>
          </w:p>
        </w:tc>
        <w:tc>
          <w:tcPr>
            <w:tcW w:w="0" w:type="dxa"/>
            <w:vAlign w:val="bottom"/>
          </w:tcPr>
          <w:p w:rsidR="00AC12B4" w:rsidRDefault="00AC12B4">
            <w:pPr>
              <w:rPr>
                <w:sz w:val="1"/>
                <w:szCs w:val="1"/>
              </w:rPr>
            </w:pPr>
          </w:p>
        </w:tc>
      </w:tr>
      <w:tr w:rsidR="00AC12B4">
        <w:trPr>
          <w:trHeight w:val="106"/>
        </w:trPr>
        <w:tc>
          <w:tcPr>
            <w:tcW w:w="1020" w:type="dxa"/>
            <w:vAlign w:val="bottom"/>
          </w:tcPr>
          <w:p w:rsidR="00AC12B4" w:rsidRDefault="00AC12B4">
            <w:pPr>
              <w:rPr>
                <w:sz w:val="9"/>
                <w:szCs w:val="9"/>
              </w:rPr>
            </w:pPr>
          </w:p>
        </w:tc>
        <w:tc>
          <w:tcPr>
            <w:tcW w:w="14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bl>
    <w:p w:rsidR="00AC12B4" w:rsidRDefault="00C27636">
      <w:pPr>
        <w:spacing w:line="234" w:lineRule="auto"/>
        <w:ind w:left="980"/>
        <w:rPr>
          <w:sz w:val="20"/>
          <w:szCs w:val="20"/>
        </w:rPr>
      </w:pPr>
      <w:r>
        <w:rPr>
          <w:rFonts w:ascii="Calibri" w:eastAsia="Calibri" w:hAnsi="Calibri" w:cs="Calibri"/>
          <w:sz w:val="20"/>
          <w:szCs w:val="20"/>
        </w:rPr>
        <w:t>16,8%</w:t>
      </w:r>
    </w:p>
    <w:p w:rsidR="00AC12B4" w:rsidRDefault="00C27636">
      <w:pPr>
        <w:spacing w:line="230" w:lineRule="auto"/>
        <w:ind w:left="3160"/>
        <w:rPr>
          <w:sz w:val="20"/>
          <w:szCs w:val="20"/>
        </w:rPr>
      </w:pPr>
      <w:r>
        <w:rPr>
          <w:rFonts w:ascii="Calibri" w:eastAsia="Calibri" w:hAnsi="Calibri" w:cs="Calibri"/>
          <w:sz w:val="39"/>
          <w:szCs w:val="39"/>
          <w:vertAlign w:val="superscript"/>
        </w:rPr>
        <w:t>31,5%</w:t>
      </w:r>
      <w:r>
        <w:rPr>
          <w:rFonts w:ascii="Calibri" w:eastAsia="Calibri" w:hAnsi="Calibri" w:cs="Calibri"/>
          <w:sz w:val="20"/>
          <w:szCs w:val="20"/>
        </w:rPr>
        <w:t xml:space="preserve"> Bonne</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2" w:lineRule="exact"/>
        <w:rPr>
          <w:sz w:val="20"/>
          <w:szCs w:val="20"/>
        </w:rPr>
      </w:pPr>
    </w:p>
    <w:p w:rsidR="00AC12B4" w:rsidRPr="00C27636" w:rsidRDefault="00C27636">
      <w:pPr>
        <w:spacing w:line="211" w:lineRule="auto"/>
        <w:ind w:left="80" w:right="1060"/>
        <w:rPr>
          <w:sz w:val="20"/>
          <w:szCs w:val="20"/>
          <w:lang w:val="fr-BE"/>
        </w:rPr>
      </w:pPr>
      <w:r w:rsidRPr="00C27636">
        <w:rPr>
          <w:rFonts w:ascii="Calibri" w:eastAsia="Calibri" w:hAnsi="Calibri" w:cs="Calibri"/>
          <w:lang w:val="fr-BE"/>
        </w:rPr>
        <w:t>lorsque le niveau d'aisance matérielle</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 xml:space="preserve"> de la famille diminue.</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467264" behindDoc="1" locked="0" layoutInCell="0" allowOverlap="1">
            <wp:simplePos x="0" y="0"/>
            <wp:positionH relativeFrom="column">
              <wp:posOffset>2728595</wp:posOffset>
            </wp:positionH>
            <wp:positionV relativeFrom="paragraph">
              <wp:posOffset>-1890395</wp:posOffset>
            </wp:positionV>
            <wp:extent cx="800100" cy="10908665"/>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spacing w:line="313"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1520"/>
        <w:gridCol w:w="660"/>
        <w:gridCol w:w="1100"/>
        <w:gridCol w:w="740"/>
      </w:tblGrid>
      <w:tr w:rsidR="00AC12B4">
        <w:trPr>
          <w:trHeight w:val="244"/>
        </w:trPr>
        <w:tc>
          <w:tcPr>
            <w:tcW w:w="1520" w:type="dxa"/>
            <w:vAlign w:val="bottom"/>
          </w:tcPr>
          <w:p w:rsidR="00AC12B4" w:rsidRPr="00C27636" w:rsidRDefault="00AC12B4">
            <w:pPr>
              <w:rPr>
                <w:sz w:val="21"/>
                <w:szCs w:val="21"/>
                <w:lang w:val="fr-BE"/>
              </w:rPr>
            </w:pPr>
          </w:p>
        </w:tc>
        <w:tc>
          <w:tcPr>
            <w:tcW w:w="660" w:type="dxa"/>
            <w:vAlign w:val="bottom"/>
          </w:tcPr>
          <w:p w:rsidR="00AC12B4" w:rsidRPr="00C27636" w:rsidRDefault="00AC12B4">
            <w:pPr>
              <w:rPr>
                <w:sz w:val="21"/>
                <w:szCs w:val="21"/>
                <w:lang w:val="fr-BE"/>
              </w:rPr>
            </w:pPr>
          </w:p>
        </w:tc>
        <w:tc>
          <w:tcPr>
            <w:tcW w:w="1100" w:type="dxa"/>
            <w:vAlign w:val="bottom"/>
          </w:tcPr>
          <w:p w:rsidR="00AC12B4" w:rsidRDefault="00C27636">
            <w:pPr>
              <w:ind w:left="80"/>
              <w:rPr>
                <w:sz w:val="20"/>
                <w:szCs w:val="20"/>
              </w:rPr>
            </w:pPr>
            <w:r>
              <w:rPr>
                <w:rFonts w:ascii="Calibri" w:eastAsia="Calibri" w:hAnsi="Calibri" w:cs="Calibri"/>
                <w:color w:val="C9D11D"/>
                <w:sz w:val="20"/>
                <w:szCs w:val="20"/>
              </w:rPr>
              <w:t>Santé</w:t>
            </w:r>
          </w:p>
        </w:tc>
        <w:tc>
          <w:tcPr>
            <w:tcW w:w="740" w:type="dxa"/>
            <w:vAlign w:val="bottom"/>
          </w:tcPr>
          <w:p w:rsidR="00AC12B4" w:rsidRDefault="00AC12B4">
            <w:pPr>
              <w:rPr>
                <w:sz w:val="21"/>
                <w:szCs w:val="21"/>
              </w:rPr>
            </w:pPr>
          </w:p>
        </w:tc>
      </w:tr>
      <w:tr w:rsidR="00AC12B4">
        <w:trPr>
          <w:trHeight w:val="242"/>
        </w:trPr>
        <w:tc>
          <w:tcPr>
            <w:tcW w:w="1520" w:type="dxa"/>
            <w:vAlign w:val="bottom"/>
          </w:tcPr>
          <w:p w:rsidR="00AC12B4" w:rsidRDefault="00AC12B4">
            <w:pPr>
              <w:rPr>
                <w:sz w:val="21"/>
                <w:szCs w:val="21"/>
              </w:rPr>
            </w:pPr>
          </w:p>
        </w:tc>
        <w:tc>
          <w:tcPr>
            <w:tcW w:w="660" w:type="dxa"/>
            <w:vAlign w:val="bottom"/>
          </w:tcPr>
          <w:p w:rsidR="00AC12B4" w:rsidRDefault="00AC12B4">
            <w:pPr>
              <w:rPr>
                <w:sz w:val="21"/>
                <w:szCs w:val="21"/>
              </w:rPr>
            </w:pPr>
          </w:p>
        </w:tc>
        <w:tc>
          <w:tcPr>
            <w:tcW w:w="1100" w:type="dxa"/>
            <w:vAlign w:val="bottom"/>
          </w:tcPr>
          <w:p w:rsidR="00AC12B4" w:rsidRDefault="00C27636">
            <w:pPr>
              <w:spacing w:line="243" w:lineRule="exact"/>
              <w:ind w:left="80"/>
              <w:rPr>
                <w:sz w:val="20"/>
                <w:szCs w:val="20"/>
              </w:rPr>
            </w:pPr>
            <w:r>
              <w:rPr>
                <w:rFonts w:ascii="Calibri" w:eastAsia="Calibri" w:hAnsi="Calibri" w:cs="Calibri"/>
                <w:color w:val="C9D11D"/>
                <w:sz w:val="20"/>
                <w:szCs w:val="20"/>
              </w:rPr>
              <w:t>plutôt, pas</w:t>
            </w:r>
          </w:p>
        </w:tc>
        <w:tc>
          <w:tcPr>
            <w:tcW w:w="740" w:type="dxa"/>
            <w:vAlign w:val="bottom"/>
          </w:tcPr>
          <w:p w:rsidR="00AC12B4" w:rsidRDefault="00AC12B4">
            <w:pPr>
              <w:rPr>
                <w:sz w:val="21"/>
                <w:szCs w:val="21"/>
              </w:rPr>
            </w:pPr>
          </w:p>
        </w:tc>
      </w:tr>
      <w:tr w:rsidR="00AC12B4">
        <w:trPr>
          <w:trHeight w:val="248"/>
        </w:trPr>
        <w:tc>
          <w:tcPr>
            <w:tcW w:w="1520" w:type="dxa"/>
            <w:tcBorders>
              <w:bottom w:val="single" w:sz="8" w:space="0" w:color="C9D11D"/>
            </w:tcBorders>
            <w:vAlign w:val="bottom"/>
          </w:tcPr>
          <w:p w:rsidR="00AC12B4" w:rsidRDefault="00AC12B4">
            <w:pPr>
              <w:rPr>
                <w:sz w:val="21"/>
                <w:szCs w:val="21"/>
              </w:rPr>
            </w:pPr>
          </w:p>
        </w:tc>
        <w:tc>
          <w:tcPr>
            <w:tcW w:w="660" w:type="dxa"/>
            <w:tcBorders>
              <w:bottom w:val="single" w:sz="8" w:space="0" w:color="C9D11D"/>
            </w:tcBorders>
            <w:vAlign w:val="bottom"/>
          </w:tcPr>
          <w:p w:rsidR="00AC12B4" w:rsidRDefault="00C27636">
            <w:pPr>
              <w:jc w:val="center"/>
              <w:rPr>
                <w:sz w:val="20"/>
                <w:szCs w:val="20"/>
              </w:rPr>
            </w:pPr>
            <w:r>
              <w:rPr>
                <w:rFonts w:ascii="Calibri" w:eastAsia="Calibri" w:hAnsi="Calibri" w:cs="Calibri"/>
                <w:color w:val="C9D11D"/>
                <w:w w:val="92"/>
                <w:sz w:val="20"/>
                <w:szCs w:val="20"/>
              </w:rPr>
              <w:t>N</w:t>
            </w:r>
          </w:p>
        </w:tc>
        <w:tc>
          <w:tcPr>
            <w:tcW w:w="1100" w:type="dxa"/>
            <w:tcBorders>
              <w:bottom w:val="single" w:sz="8" w:space="0" w:color="C9D11D"/>
            </w:tcBorders>
            <w:vAlign w:val="bottom"/>
          </w:tcPr>
          <w:p w:rsidR="00AC12B4" w:rsidRDefault="00C27636">
            <w:pPr>
              <w:ind w:left="80"/>
              <w:rPr>
                <w:sz w:val="20"/>
                <w:szCs w:val="20"/>
              </w:rPr>
            </w:pPr>
            <w:r>
              <w:rPr>
                <w:rFonts w:ascii="Calibri" w:eastAsia="Calibri" w:hAnsi="Calibri" w:cs="Calibri"/>
                <w:color w:val="C9D11D"/>
                <w:sz w:val="20"/>
                <w:szCs w:val="20"/>
              </w:rPr>
              <w:t>très bonne</w:t>
            </w:r>
          </w:p>
        </w:tc>
        <w:tc>
          <w:tcPr>
            <w:tcW w:w="740" w:type="dxa"/>
            <w:tcBorders>
              <w:bottom w:val="single" w:sz="8" w:space="0" w:color="C9D11D"/>
            </w:tcBorders>
            <w:vAlign w:val="bottom"/>
          </w:tcPr>
          <w:p w:rsidR="00AC12B4" w:rsidRDefault="00C27636">
            <w:pPr>
              <w:ind w:right="240"/>
              <w:jc w:val="right"/>
              <w:rPr>
                <w:sz w:val="20"/>
                <w:szCs w:val="20"/>
              </w:rPr>
            </w:pPr>
            <w:r>
              <w:rPr>
                <w:rFonts w:ascii="Calibri" w:eastAsia="Calibri" w:hAnsi="Calibri" w:cs="Calibri"/>
                <w:color w:val="C9D11D"/>
                <w:sz w:val="20"/>
                <w:szCs w:val="20"/>
              </w:rPr>
              <w:t>p</w:t>
            </w:r>
          </w:p>
        </w:tc>
      </w:tr>
      <w:tr w:rsidR="00AC12B4">
        <w:trPr>
          <w:trHeight w:val="286"/>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Genre</w:t>
            </w:r>
          </w:p>
        </w:tc>
        <w:tc>
          <w:tcPr>
            <w:tcW w:w="660" w:type="dxa"/>
            <w:vAlign w:val="bottom"/>
          </w:tcPr>
          <w:p w:rsidR="00AC12B4" w:rsidRDefault="00C27636">
            <w:pPr>
              <w:jc w:val="center"/>
              <w:rPr>
                <w:sz w:val="20"/>
                <w:szCs w:val="20"/>
              </w:rPr>
            </w:pPr>
            <w:r>
              <w:rPr>
                <w:rFonts w:ascii="Calibri" w:eastAsia="Calibri" w:hAnsi="Calibri" w:cs="Calibri"/>
                <w:w w:val="98"/>
                <w:sz w:val="20"/>
                <w:szCs w:val="20"/>
              </w:rPr>
              <w:t>22154</w:t>
            </w:r>
          </w:p>
        </w:tc>
        <w:tc>
          <w:tcPr>
            <w:tcW w:w="1100" w:type="dxa"/>
            <w:vAlign w:val="bottom"/>
          </w:tcPr>
          <w:p w:rsidR="00AC12B4" w:rsidRDefault="00AC12B4">
            <w:pPr>
              <w:rPr>
                <w:sz w:val="24"/>
                <w:szCs w:val="24"/>
              </w:rPr>
            </w:pPr>
          </w:p>
        </w:tc>
        <w:tc>
          <w:tcPr>
            <w:tcW w:w="74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Garçons</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83,7</w:t>
            </w:r>
          </w:p>
        </w:tc>
        <w:tc>
          <w:tcPr>
            <w:tcW w:w="74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Filles</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74,8</w:t>
            </w:r>
          </w:p>
        </w:tc>
        <w:tc>
          <w:tcPr>
            <w:tcW w:w="740" w:type="dxa"/>
            <w:vAlign w:val="bottom"/>
          </w:tcPr>
          <w:p w:rsidR="00AC12B4" w:rsidRDefault="00AC12B4">
            <w:pPr>
              <w:rPr>
                <w:sz w:val="24"/>
                <w:szCs w:val="24"/>
              </w:rPr>
            </w:pPr>
          </w:p>
        </w:tc>
      </w:tr>
      <w:tr w:rsidR="00AC12B4">
        <w:trPr>
          <w:trHeight w:val="601"/>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Age</w:t>
            </w:r>
          </w:p>
        </w:tc>
        <w:tc>
          <w:tcPr>
            <w:tcW w:w="660" w:type="dxa"/>
            <w:vAlign w:val="bottom"/>
          </w:tcPr>
          <w:p w:rsidR="00AC12B4" w:rsidRDefault="00C27636">
            <w:pPr>
              <w:jc w:val="center"/>
              <w:rPr>
                <w:sz w:val="20"/>
                <w:szCs w:val="20"/>
              </w:rPr>
            </w:pPr>
            <w:r>
              <w:rPr>
                <w:rFonts w:ascii="Calibri" w:eastAsia="Calibri" w:hAnsi="Calibri" w:cs="Calibri"/>
                <w:w w:val="98"/>
                <w:sz w:val="20"/>
                <w:szCs w:val="20"/>
              </w:rPr>
              <w:t>21947</w:t>
            </w:r>
          </w:p>
        </w:tc>
        <w:tc>
          <w:tcPr>
            <w:tcW w:w="1100" w:type="dxa"/>
            <w:vAlign w:val="bottom"/>
          </w:tcPr>
          <w:p w:rsidR="00AC12B4" w:rsidRDefault="00AC12B4">
            <w:pPr>
              <w:rPr>
                <w:sz w:val="24"/>
                <w:szCs w:val="24"/>
              </w:rPr>
            </w:pPr>
          </w:p>
        </w:tc>
        <w:tc>
          <w:tcPr>
            <w:tcW w:w="74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10-12 ans</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85,9</w:t>
            </w:r>
          </w:p>
        </w:tc>
        <w:tc>
          <w:tcPr>
            <w:tcW w:w="74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13-14 ans</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82,1</w:t>
            </w:r>
          </w:p>
        </w:tc>
        <w:tc>
          <w:tcPr>
            <w:tcW w:w="74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15-16 ans</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77,2</w:t>
            </w:r>
          </w:p>
        </w:tc>
        <w:tc>
          <w:tcPr>
            <w:tcW w:w="74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17-19 ans</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72,0</w:t>
            </w:r>
          </w:p>
        </w:tc>
        <w:tc>
          <w:tcPr>
            <w:tcW w:w="740" w:type="dxa"/>
            <w:vAlign w:val="bottom"/>
          </w:tcPr>
          <w:p w:rsidR="00AC12B4" w:rsidRDefault="00AC12B4">
            <w:pPr>
              <w:rPr>
                <w:sz w:val="24"/>
                <w:szCs w:val="24"/>
              </w:rPr>
            </w:pPr>
          </w:p>
        </w:tc>
      </w:tr>
      <w:tr w:rsidR="00AC12B4">
        <w:trPr>
          <w:trHeight w:val="545"/>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Niveau d'aisance</w:t>
            </w:r>
          </w:p>
        </w:tc>
        <w:tc>
          <w:tcPr>
            <w:tcW w:w="660" w:type="dxa"/>
            <w:vAlign w:val="bottom"/>
          </w:tcPr>
          <w:p w:rsidR="00AC12B4" w:rsidRDefault="00AC12B4">
            <w:pPr>
              <w:rPr>
                <w:sz w:val="24"/>
                <w:szCs w:val="24"/>
              </w:rPr>
            </w:pPr>
          </w:p>
        </w:tc>
        <w:tc>
          <w:tcPr>
            <w:tcW w:w="1100" w:type="dxa"/>
            <w:vAlign w:val="bottom"/>
          </w:tcPr>
          <w:p w:rsidR="00AC12B4" w:rsidRDefault="00AC12B4">
            <w:pPr>
              <w:rPr>
                <w:sz w:val="24"/>
                <w:szCs w:val="24"/>
              </w:rPr>
            </w:pPr>
          </w:p>
        </w:tc>
        <w:tc>
          <w:tcPr>
            <w:tcW w:w="740" w:type="dxa"/>
            <w:vAlign w:val="bottom"/>
          </w:tcPr>
          <w:p w:rsidR="00AC12B4" w:rsidRDefault="00AC12B4">
            <w:pPr>
              <w:rPr>
                <w:sz w:val="24"/>
                <w:szCs w:val="24"/>
              </w:rPr>
            </w:pPr>
          </w:p>
        </w:tc>
      </w:tr>
      <w:tr w:rsidR="00AC12B4">
        <w:trPr>
          <w:trHeight w:val="245"/>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matérielle</w:t>
            </w:r>
          </w:p>
        </w:tc>
        <w:tc>
          <w:tcPr>
            <w:tcW w:w="660" w:type="dxa"/>
            <w:vAlign w:val="bottom"/>
          </w:tcPr>
          <w:p w:rsidR="00AC12B4" w:rsidRDefault="00C27636">
            <w:pPr>
              <w:jc w:val="center"/>
              <w:rPr>
                <w:sz w:val="20"/>
                <w:szCs w:val="20"/>
              </w:rPr>
            </w:pPr>
            <w:r>
              <w:rPr>
                <w:rFonts w:ascii="Calibri" w:eastAsia="Calibri" w:hAnsi="Calibri" w:cs="Calibri"/>
                <w:w w:val="98"/>
                <w:sz w:val="20"/>
                <w:szCs w:val="20"/>
              </w:rPr>
              <w:t>20607</w:t>
            </w:r>
          </w:p>
        </w:tc>
        <w:tc>
          <w:tcPr>
            <w:tcW w:w="1100" w:type="dxa"/>
            <w:vAlign w:val="bottom"/>
          </w:tcPr>
          <w:p w:rsidR="00AC12B4" w:rsidRDefault="00AC12B4">
            <w:pPr>
              <w:rPr>
                <w:sz w:val="21"/>
                <w:szCs w:val="21"/>
              </w:rPr>
            </w:pPr>
          </w:p>
        </w:tc>
        <w:tc>
          <w:tcPr>
            <w:tcW w:w="74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Faible</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70,9</w:t>
            </w:r>
          </w:p>
        </w:tc>
        <w:tc>
          <w:tcPr>
            <w:tcW w:w="74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Moyen</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78,8</w:t>
            </w:r>
          </w:p>
        </w:tc>
        <w:tc>
          <w:tcPr>
            <w:tcW w:w="74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lastRenderedPageBreak/>
              <w:t>Elevé</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84,1</w:t>
            </w:r>
          </w:p>
        </w:tc>
        <w:tc>
          <w:tcPr>
            <w:tcW w:w="740" w:type="dxa"/>
            <w:vAlign w:val="bottom"/>
          </w:tcPr>
          <w:p w:rsidR="00AC12B4" w:rsidRDefault="00AC12B4">
            <w:pPr>
              <w:rPr>
                <w:sz w:val="24"/>
                <w:szCs w:val="24"/>
              </w:rPr>
            </w:pPr>
          </w:p>
        </w:tc>
      </w:tr>
      <w:tr w:rsidR="00AC12B4">
        <w:trPr>
          <w:trHeight w:val="6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Famille</w:t>
            </w:r>
          </w:p>
        </w:tc>
        <w:tc>
          <w:tcPr>
            <w:tcW w:w="660" w:type="dxa"/>
            <w:vAlign w:val="bottom"/>
          </w:tcPr>
          <w:p w:rsidR="00AC12B4" w:rsidRDefault="00C27636">
            <w:pPr>
              <w:jc w:val="center"/>
              <w:rPr>
                <w:sz w:val="20"/>
                <w:szCs w:val="20"/>
              </w:rPr>
            </w:pPr>
            <w:r>
              <w:rPr>
                <w:rFonts w:ascii="Calibri" w:eastAsia="Calibri" w:hAnsi="Calibri" w:cs="Calibri"/>
                <w:w w:val="98"/>
                <w:sz w:val="20"/>
                <w:szCs w:val="20"/>
              </w:rPr>
              <w:t>21951</w:t>
            </w:r>
          </w:p>
        </w:tc>
        <w:tc>
          <w:tcPr>
            <w:tcW w:w="1100" w:type="dxa"/>
            <w:vAlign w:val="bottom"/>
          </w:tcPr>
          <w:p w:rsidR="00AC12B4" w:rsidRDefault="00AC12B4">
            <w:pPr>
              <w:rPr>
                <w:sz w:val="24"/>
                <w:szCs w:val="24"/>
              </w:rPr>
            </w:pPr>
          </w:p>
        </w:tc>
        <w:tc>
          <w:tcPr>
            <w:tcW w:w="74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245"/>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2 parents</w:t>
            </w:r>
          </w:p>
        </w:tc>
        <w:tc>
          <w:tcPr>
            <w:tcW w:w="660" w:type="dxa"/>
            <w:vAlign w:val="bottom"/>
          </w:tcPr>
          <w:p w:rsidR="00AC12B4" w:rsidRDefault="00AC12B4">
            <w:pPr>
              <w:rPr>
                <w:sz w:val="21"/>
                <w:szCs w:val="21"/>
              </w:rPr>
            </w:pPr>
          </w:p>
        </w:tc>
        <w:tc>
          <w:tcPr>
            <w:tcW w:w="1100" w:type="dxa"/>
            <w:vAlign w:val="bottom"/>
          </w:tcPr>
          <w:p w:rsidR="00AC12B4" w:rsidRDefault="00AC12B4">
            <w:pPr>
              <w:rPr>
                <w:sz w:val="21"/>
                <w:szCs w:val="21"/>
              </w:rPr>
            </w:pPr>
          </w:p>
        </w:tc>
        <w:tc>
          <w:tcPr>
            <w:tcW w:w="740" w:type="dxa"/>
            <w:vAlign w:val="bottom"/>
          </w:tcPr>
          <w:p w:rsidR="00AC12B4" w:rsidRDefault="00AC12B4">
            <w:pPr>
              <w:rPr>
                <w:sz w:val="21"/>
                <w:szCs w:val="21"/>
              </w:rPr>
            </w:pPr>
          </w:p>
        </w:tc>
      </w:tr>
      <w:tr w:rsidR="00AC12B4">
        <w:trPr>
          <w:trHeight w:val="242"/>
        </w:trPr>
        <w:tc>
          <w:tcPr>
            <w:tcW w:w="1520" w:type="dxa"/>
            <w:vAlign w:val="bottom"/>
          </w:tcPr>
          <w:p w:rsidR="00AC12B4" w:rsidRDefault="00C27636">
            <w:pPr>
              <w:spacing w:line="243" w:lineRule="exact"/>
              <w:ind w:left="80"/>
              <w:rPr>
                <w:sz w:val="20"/>
                <w:szCs w:val="20"/>
              </w:rPr>
            </w:pPr>
            <w:r>
              <w:rPr>
                <w:rFonts w:ascii="Calibri" w:eastAsia="Calibri" w:hAnsi="Calibri" w:cs="Calibri"/>
                <w:color w:val="C9D11D"/>
                <w:sz w:val="20"/>
                <w:szCs w:val="20"/>
              </w:rPr>
              <w:t>biologiques</w:t>
            </w:r>
          </w:p>
        </w:tc>
        <w:tc>
          <w:tcPr>
            <w:tcW w:w="660" w:type="dxa"/>
            <w:vAlign w:val="bottom"/>
          </w:tcPr>
          <w:p w:rsidR="00AC12B4" w:rsidRDefault="00AC12B4">
            <w:pPr>
              <w:rPr>
                <w:sz w:val="21"/>
                <w:szCs w:val="21"/>
              </w:rPr>
            </w:pPr>
          </w:p>
        </w:tc>
        <w:tc>
          <w:tcPr>
            <w:tcW w:w="1100" w:type="dxa"/>
            <w:vAlign w:val="bottom"/>
          </w:tcPr>
          <w:p w:rsidR="00AC12B4" w:rsidRDefault="00C27636">
            <w:pPr>
              <w:spacing w:line="243" w:lineRule="exact"/>
              <w:jc w:val="right"/>
              <w:rPr>
                <w:sz w:val="20"/>
                <w:szCs w:val="20"/>
              </w:rPr>
            </w:pPr>
            <w:r>
              <w:rPr>
                <w:rFonts w:ascii="Calibri" w:eastAsia="Calibri" w:hAnsi="Calibri" w:cs="Calibri"/>
                <w:sz w:val="20"/>
                <w:szCs w:val="20"/>
              </w:rPr>
              <w:t>82,1</w:t>
            </w:r>
          </w:p>
        </w:tc>
        <w:tc>
          <w:tcPr>
            <w:tcW w:w="740" w:type="dxa"/>
            <w:vAlign w:val="bottom"/>
          </w:tcPr>
          <w:p w:rsidR="00AC12B4" w:rsidRDefault="00AC12B4">
            <w:pPr>
              <w:rPr>
                <w:sz w:val="21"/>
                <w:szCs w:val="21"/>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Autres</w:t>
            </w:r>
          </w:p>
        </w:tc>
        <w:tc>
          <w:tcPr>
            <w:tcW w:w="660" w:type="dxa"/>
            <w:vAlign w:val="bottom"/>
          </w:tcPr>
          <w:p w:rsidR="00AC12B4" w:rsidRDefault="00AC12B4">
            <w:pPr>
              <w:rPr>
                <w:sz w:val="24"/>
                <w:szCs w:val="24"/>
              </w:rPr>
            </w:pPr>
          </w:p>
        </w:tc>
        <w:tc>
          <w:tcPr>
            <w:tcW w:w="1100" w:type="dxa"/>
            <w:vAlign w:val="bottom"/>
          </w:tcPr>
          <w:p w:rsidR="00AC12B4" w:rsidRDefault="00C27636">
            <w:pPr>
              <w:jc w:val="right"/>
              <w:rPr>
                <w:sz w:val="20"/>
                <w:szCs w:val="20"/>
              </w:rPr>
            </w:pPr>
            <w:r>
              <w:rPr>
                <w:rFonts w:ascii="Calibri" w:eastAsia="Calibri" w:hAnsi="Calibri" w:cs="Calibri"/>
                <w:sz w:val="20"/>
                <w:szCs w:val="20"/>
              </w:rPr>
              <w:t>73,3</w:t>
            </w:r>
          </w:p>
        </w:tc>
        <w:tc>
          <w:tcPr>
            <w:tcW w:w="74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w:drawing>
          <wp:anchor distT="0" distB="0" distL="114300" distR="114300" simplePos="0" relativeHeight="251468288" behindDoc="1" locked="0" layoutInCell="0" allowOverlap="1">
            <wp:simplePos x="0" y="0"/>
            <wp:positionH relativeFrom="column">
              <wp:posOffset>-6985</wp:posOffset>
            </wp:positionH>
            <wp:positionV relativeFrom="paragraph">
              <wp:posOffset>4445</wp:posOffset>
            </wp:positionV>
            <wp:extent cx="2559685" cy="6350"/>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a:extLst/>
                    </a:blip>
                    <a:srcRect/>
                    <a:stretch>
                      <a:fillRect/>
                    </a:stretch>
                  </pic:blipFill>
                  <pic:spPr bwMode="auto">
                    <a:xfrm>
                      <a:off x="0" y="0"/>
                      <a:ext cx="2559685" cy="6350"/>
                    </a:xfrm>
                    <a:prstGeom prst="rect">
                      <a:avLst/>
                    </a:prstGeom>
                    <a:noFill/>
                  </pic:spPr>
                </pic:pic>
              </a:graphicData>
            </a:graphic>
          </wp:anchor>
        </w:drawing>
      </w:r>
    </w:p>
    <w:p w:rsidR="00AC12B4" w:rsidRDefault="00AC12B4">
      <w:pPr>
        <w:spacing w:line="32" w:lineRule="exact"/>
        <w:rPr>
          <w:sz w:val="20"/>
          <w:szCs w:val="20"/>
        </w:rPr>
      </w:pPr>
    </w:p>
    <w:p w:rsidR="00AC12B4" w:rsidRPr="00C27636" w:rsidRDefault="00C27636">
      <w:pPr>
        <w:spacing w:line="218" w:lineRule="auto"/>
        <w:ind w:left="80" w:right="1060"/>
        <w:jc w:val="both"/>
        <w:rPr>
          <w:sz w:val="20"/>
          <w:szCs w:val="20"/>
          <w:lang w:val="fr-BE"/>
        </w:rPr>
      </w:pPr>
      <w:r w:rsidRPr="00C27636">
        <w:rPr>
          <w:rFonts w:ascii="Calibri" w:eastAsia="Calibri" w:hAnsi="Calibri" w:cs="Calibri"/>
          <w:b/>
          <w:bCs/>
          <w:color w:val="4F81BD"/>
          <w:sz w:val="18"/>
          <w:szCs w:val="18"/>
          <w:lang w:val="fr-BE"/>
        </w:rPr>
        <w:t>Table 1.Facteurs associés à une perception positive de la santé (excellente ou bonne), HBSC</w:t>
      </w:r>
      <w:r w:rsidRPr="00C27636">
        <w:rPr>
          <w:rFonts w:ascii="Calibri" w:eastAsia="Calibri" w:hAnsi="Calibri" w:cs="Calibri"/>
          <w:b/>
          <w:bCs/>
          <w:color w:val="4F81BD"/>
          <w:sz w:val="18"/>
          <w:szCs w:val="18"/>
          <w:lang w:val="fr-BE"/>
        </w:rPr>
        <w:t xml:space="preserve"> 2014.</w:t>
      </w:r>
    </w:p>
    <w:p w:rsidR="00AC12B4" w:rsidRPr="00C27636" w:rsidRDefault="00AC12B4">
      <w:pPr>
        <w:spacing w:line="247" w:lineRule="exact"/>
        <w:rPr>
          <w:sz w:val="20"/>
          <w:szCs w:val="20"/>
          <w:lang w:val="fr-BE"/>
        </w:rPr>
      </w:pPr>
    </w:p>
    <w:p w:rsidR="00AC12B4" w:rsidRPr="00C27636" w:rsidRDefault="00AC12B4">
      <w:pPr>
        <w:rPr>
          <w:lang w:val="fr-BE"/>
        </w:rPr>
        <w:sectPr w:rsidR="00AC12B4" w:rsidRPr="00C27636">
          <w:pgSz w:w="12080" w:h="17179"/>
          <w:pgMar w:top="1440" w:right="557" w:bottom="659" w:left="1120" w:header="0" w:footer="0" w:gutter="0"/>
          <w:cols w:num="2" w:space="720" w:equalWidth="0">
            <w:col w:w="4880" w:space="520"/>
            <w:col w:w="500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9" w:lineRule="exact"/>
        <w:rPr>
          <w:sz w:val="20"/>
          <w:szCs w:val="20"/>
          <w:lang w:val="fr-BE"/>
        </w:rPr>
      </w:pPr>
    </w:p>
    <w:p w:rsidR="00AC12B4" w:rsidRPr="00C27636" w:rsidRDefault="00C27636">
      <w:pPr>
        <w:ind w:left="1360"/>
        <w:rPr>
          <w:sz w:val="20"/>
          <w:szCs w:val="20"/>
          <w:lang w:val="fr-BE"/>
        </w:rPr>
      </w:pPr>
      <w:r w:rsidRPr="00C27636">
        <w:rPr>
          <w:rFonts w:ascii="Calibri" w:eastAsia="Calibri" w:hAnsi="Calibri" w:cs="Calibri"/>
          <w:sz w:val="19"/>
          <w:szCs w:val="19"/>
          <w:lang w:val="fr-BE"/>
        </w:rPr>
        <w:t>47,7%</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16" w:lineRule="exact"/>
        <w:rPr>
          <w:sz w:val="20"/>
          <w:szCs w:val="20"/>
          <w:lang w:val="fr-BE"/>
        </w:rPr>
      </w:pPr>
    </w:p>
    <w:p w:rsidR="00AC12B4" w:rsidRPr="00C27636" w:rsidRDefault="00C27636">
      <w:pPr>
        <w:rPr>
          <w:sz w:val="20"/>
          <w:szCs w:val="20"/>
          <w:lang w:val="fr-BE"/>
        </w:rPr>
      </w:pPr>
      <w:r>
        <w:rPr>
          <w:noProof/>
          <w:sz w:val="1"/>
          <w:szCs w:val="1"/>
        </w:rPr>
        <w:drawing>
          <wp:inline distT="0" distB="0" distL="0" distR="0">
            <wp:extent cx="69850" cy="698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8">
                      <a:extLst/>
                    </a:blip>
                    <a:srcRect/>
                    <a:stretch>
                      <a:fillRect/>
                    </a:stretch>
                  </pic:blipFill>
                  <pic:spPr bwMode="auto">
                    <a:xfrm>
                      <a:off x="0" y="0"/>
                      <a:ext cx="69850" cy="69850"/>
                    </a:xfrm>
                    <a:prstGeom prst="rect">
                      <a:avLst/>
                    </a:prstGeom>
                    <a:noFill/>
                    <a:ln>
                      <a:noFill/>
                    </a:ln>
                  </pic:spPr>
                </pic:pic>
              </a:graphicData>
            </a:graphic>
          </wp:inline>
        </w:drawing>
      </w:r>
      <w:r w:rsidRPr="00C27636">
        <w:rPr>
          <w:rFonts w:ascii="Calibri" w:eastAsia="Calibri" w:hAnsi="Calibri" w:cs="Calibri"/>
          <w:sz w:val="19"/>
          <w:szCs w:val="19"/>
          <w:lang w:val="fr-BE"/>
        </w:rPr>
        <w:t xml:space="preserve"> Plutôt bonne</w:t>
      </w:r>
    </w:p>
    <w:p w:rsidR="00AC12B4" w:rsidRPr="00C27636" w:rsidRDefault="00AC12B4">
      <w:pPr>
        <w:spacing w:line="359" w:lineRule="exact"/>
        <w:rPr>
          <w:sz w:val="20"/>
          <w:szCs w:val="20"/>
          <w:lang w:val="fr-BE"/>
        </w:rPr>
      </w:pPr>
    </w:p>
    <w:p w:rsidR="00AC12B4" w:rsidRPr="00C27636" w:rsidRDefault="00C27636">
      <w:pPr>
        <w:rPr>
          <w:sz w:val="20"/>
          <w:szCs w:val="20"/>
          <w:lang w:val="fr-BE"/>
        </w:rPr>
      </w:pPr>
      <w:r>
        <w:rPr>
          <w:noProof/>
          <w:sz w:val="1"/>
          <w:szCs w:val="1"/>
        </w:rPr>
        <w:drawing>
          <wp:inline distT="0" distB="0" distL="0" distR="0">
            <wp:extent cx="69850" cy="6858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9">
                      <a:extLst/>
                    </a:blip>
                    <a:srcRect/>
                    <a:stretch>
                      <a:fillRect/>
                    </a:stretch>
                  </pic:blipFill>
                  <pic:spPr bwMode="auto">
                    <a:xfrm>
                      <a:off x="0" y="0"/>
                      <a:ext cx="69850" cy="68580"/>
                    </a:xfrm>
                    <a:prstGeom prst="rect">
                      <a:avLst/>
                    </a:prstGeom>
                    <a:noFill/>
                    <a:ln>
                      <a:noFill/>
                    </a:ln>
                  </pic:spPr>
                </pic:pic>
              </a:graphicData>
            </a:graphic>
          </wp:inline>
        </w:drawing>
      </w:r>
      <w:r w:rsidRPr="00C27636">
        <w:rPr>
          <w:rFonts w:ascii="Calibri" w:eastAsia="Calibri" w:hAnsi="Calibri" w:cs="Calibri"/>
          <w:sz w:val="20"/>
          <w:szCs w:val="20"/>
          <w:lang w:val="fr-BE"/>
        </w:rPr>
        <w:t xml:space="preserve"> Pas très</w:t>
      </w:r>
    </w:p>
    <w:p w:rsidR="00AC12B4" w:rsidRPr="00C27636" w:rsidRDefault="00AC12B4">
      <w:pPr>
        <w:spacing w:line="1" w:lineRule="exact"/>
        <w:rPr>
          <w:sz w:val="20"/>
          <w:szCs w:val="20"/>
          <w:lang w:val="fr-BE"/>
        </w:rPr>
      </w:pPr>
    </w:p>
    <w:p w:rsidR="00AC12B4" w:rsidRPr="00C27636" w:rsidRDefault="00C27636">
      <w:pPr>
        <w:ind w:left="160"/>
        <w:rPr>
          <w:sz w:val="20"/>
          <w:szCs w:val="20"/>
          <w:lang w:val="fr-BE"/>
        </w:rPr>
      </w:pPr>
      <w:r w:rsidRPr="00C27636">
        <w:rPr>
          <w:rFonts w:ascii="Calibri" w:eastAsia="Calibri" w:hAnsi="Calibri" w:cs="Calibri"/>
          <w:sz w:val="20"/>
          <w:szCs w:val="20"/>
          <w:lang w:val="fr-BE"/>
        </w:rPr>
        <w:t>bonne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217" w:lineRule="auto"/>
        <w:ind w:right="1060"/>
        <w:rPr>
          <w:sz w:val="20"/>
          <w:szCs w:val="20"/>
          <w:lang w:val="fr-BE"/>
        </w:rPr>
      </w:pPr>
      <w:r w:rsidRPr="00C27636">
        <w:rPr>
          <w:rFonts w:ascii="Calibri" w:eastAsia="Calibri" w:hAnsi="Calibri" w:cs="Calibri"/>
          <w:lang w:val="fr-BE"/>
        </w:rPr>
        <w:t>Note: Les données de comparaisons internationales seront disponibles mi 2016</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469312" behindDoc="1" locked="0" layoutInCell="0" allowOverlap="1">
                <wp:simplePos x="0" y="0"/>
                <wp:positionH relativeFrom="column">
                  <wp:posOffset>974090</wp:posOffset>
                </wp:positionH>
                <wp:positionV relativeFrom="paragraph">
                  <wp:posOffset>1862455</wp:posOffset>
                </wp:positionV>
                <wp:extent cx="1629410" cy="0"/>
                <wp:effectExtent l="0" t="0" r="0" b="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29410" cy="4763"/>
                        </a:xfrm>
                        <a:prstGeom prst="line">
                          <a:avLst/>
                        </a:prstGeom>
                        <a:solidFill>
                          <a:srgbClr val="FFFFFF"/>
                        </a:solidFill>
                        <a:ln w="25400">
                          <a:solidFill>
                            <a:srgbClr val="C9D11D"/>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7pt,146.65pt" to="205pt,146.65pt" o:allowincell="f" strokecolor="#C9D11D" strokeweight="2pt"/>
            </w:pict>
          </mc:Fallback>
        </mc:AlternateContent>
      </w:r>
      <w:r>
        <w:rPr>
          <w:noProof/>
          <w:sz w:val="20"/>
          <w:szCs w:val="20"/>
        </w:rPr>
        <mc:AlternateContent>
          <mc:Choice Requires="wps">
            <w:drawing>
              <wp:anchor distT="0" distB="0" distL="114300" distR="114300" simplePos="0" relativeHeight="251470336" behindDoc="1" locked="0" layoutInCell="0" allowOverlap="1">
                <wp:simplePos x="0" y="0"/>
                <wp:positionH relativeFrom="column">
                  <wp:posOffset>2590800</wp:posOffset>
                </wp:positionH>
                <wp:positionV relativeFrom="paragraph">
                  <wp:posOffset>170180</wp:posOffset>
                </wp:positionV>
                <wp:extent cx="0" cy="1704975"/>
                <wp:effectExtent l="0" t="0" r="0" b="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04975"/>
                        </a:xfrm>
                        <a:prstGeom prst="line">
                          <a:avLst/>
                        </a:prstGeom>
                        <a:solidFill>
                          <a:srgbClr val="FFFFFF"/>
                        </a:solidFill>
                        <a:ln w="25400">
                          <a:solidFill>
                            <a:srgbClr val="C9D11D"/>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13.4pt" to="204pt,147.65pt" o:allowincell="f" strokecolor="#C9D11D" strokeweight="2pt"/>
            </w:pict>
          </mc:Fallback>
        </mc:AlternateContent>
      </w:r>
      <w:r>
        <w:rPr>
          <w:noProof/>
          <w:sz w:val="20"/>
          <w:szCs w:val="20"/>
        </w:rPr>
        <mc:AlternateContent>
          <mc:Choice Requires="wps">
            <w:drawing>
              <wp:anchor distT="0" distB="0" distL="114300" distR="114300" simplePos="0" relativeHeight="251471360" behindDoc="1" locked="0" layoutInCell="0" allowOverlap="1">
                <wp:simplePos x="0" y="0"/>
                <wp:positionH relativeFrom="column">
                  <wp:posOffset>974090</wp:posOffset>
                </wp:positionH>
                <wp:positionV relativeFrom="paragraph">
                  <wp:posOffset>182880</wp:posOffset>
                </wp:positionV>
                <wp:extent cx="1629410" cy="0"/>
                <wp:effectExtent l="0" t="0" r="0" b="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29410" cy="4763"/>
                        </a:xfrm>
                        <a:prstGeom prst="line">
                          <a:avLst/>
                        </a:prstGeom>
                        <a:solidFill>
                          <a:srgbClr val="FFFFFF"/>
                        </a:solidFill>
                        <a:ln w="25400">
                          <a:solidFill>
                            <a:srgbClr val="C9D11D"/>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7pt,14.4pt" to="205pt,14.4pt" o:allowincell="f" strokecolor="#C9D11D" strokeweight="2pt"/>
            </w:pict>
          </mc:Fallback>
        </mc:AlternateContent>
      </w:r>
      <w:r>
        <w:rPr>
          <w:noProof/>
          <w:sz w:val="20"/>
          <w:szCs w:val="20"/>
        </w:rPr>
        <mc:AlternateContent>
          <mc:Choice Requires="wps">
            <w:drawing>
              <wp:anchor distT="0" distB="0" distL="114300" distR="114300" simplePos="0" relativeHeight="251472384" behindDoc="1" locked="0" layoutInCell="0" allowOverlap="1">
                <wp:simplePos x="0" y="0"/>
                <wp:positionH relativeFrom="column">
                  <wp:posOffset>986790</wp:posOffset>
                </wp:positionH>
                <wp:positionV relativeFrom="paragraph">
                  <wp:posOffset>170180</wp:posOffset>
                </wp:positionV>
                <wp:extent cx="0" cy="1704975"/>
                <wp:effectExtent l="0" t="0" r="0" b="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04975"/>
                        </a:xfrm>
                        <a:prstGeom prst="line">
                          <a:avLst/>
                        </a:prstGeom>
                        <a:solidFill>
                          <a:srgbClr val="FFFFFF"/>
                        </a:solidFill>
                        <a:ln w="25400">
                          <a:solidFill>
                            <a:srgbClr val="C9D11D"/>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7pt,13.4pt" to="77.7pt,147.65pt" o:allowincell="f" strokecolor="#C9D11D" strokeweight="2pt"/>
            </w:pict>
          </mc:Fallback>
        </mc:AlternateContent>
      </w:r>
    </w:p>
    <w:p w:rsidR="00AC12B4" w:rsidRPr="00C27636" w:rsidRDefault="00C27636">
      <w:pPr>
        <w:spacing w:line="224" w:lineRule="auto"/>
        <w:ind w:left="1840"/>
        <w:rPr>
          <w:sz w:val="20"/>
          <w:szCs w:val="20"/>
          <w:lang w:val="fr-BE"/>
        </w:rPr>
      </w:pPr>
      <w:r w:rsidRPr="00C27636">
        <w:rPr>
          <w:rFonts w:ascii="Comic Sans MS" w:eastAsia="Comic Sans MS" w:hAnsi="Comic Sans MS" w:cs="Comic Sans MS"/>
          <w:color w:val="C9D11D"/>
          <w:sz w:val="96"/>
          <w:szCs w:val="96"/>
          <w:lang w:val="fr-BE"/>
        </w:rPr>
        <w:t>79%</w:t>
      </w:r>
    </w:p>
    <w:p w:rsidR="00AC12B4" w:rsidRPr="00C27636" w:rsidRDefault="00AC12B4">
      <w:pPr>
        <w:spacing w:line="3" w:lineRule="exact"/>
        <w:rPr>
          <w:sz w:val="20"/>
          <w:szCs w:val="20"/>
          <w:lang w:val="fr-BE"/>
        </w:rPr>
      </w:pPr>
    </w:p>
    <w:p w:rsidR="00AC12B4" w:rsidRPr="00C27636" w:rsidRDefault="00AC12B4">
      <w:pPr>
        <w:rPr>
          <w:lang w:val="fr-BE"/>
        </w:rPr>
        <w:sectPr w:rsidR="00AC12B4" w:rsidRPr="00C27636">
          <w:type w:val="continuous"/>
          <w:pgSz w:w="12080" w:h="17179"/>
          <w:pgMar w:top="1440" w:right="557" w:bottom="659" w:left="1120" w:header="0" w:footer="0" w:gutter="0"/>
          <w:cols w:num="3" w:space="720" w:equalWidth="0">
            <w:col w:w="2800" w:space="720"/>
            <w:col w:w="1240" w:space="720"/>
            <w:col w:w="4920"/>
          </w:cols>
        </w:sectPr>
      </w:pPr>
    </w:p>
    <w:p w:rsidR="00AC12B4" w:rsidRPr="00C27636" w:rsidRDefault="00C27636">
      <w:pPr>
        <w:spacing w:line="217" w:lineRule="auto"/>
        <w:ind w:left="880" w:right="480"/>
        <w:jc w:val="both"/>
        <w:rPr>
          <w:sz w:val="20"/>
          <w:szCs w:val="20"/>
          <w:lang w:val="fr-BE"/>
        </w:rPr>
      </w:pPr>
      <w:r w:rsidRPr="00C27636">
        <w:rPr>
          <w:rFonts w:ascii="Calibri" w:eastAsia="Calibri" w:hAnsi="Calibri" w:cs="Calibri"/>
          <w:b/>
          <w:bCs/>
          <w:color w:val="4F81BD"/>
          <w:sz w:val="18"/>
          <w:szCs w:val="18"/>
          <w:lang w:val="fr-BE"/>
        </w:rPr>
        <w:lastRenderedPageBreak/>
        <w:t xml:space="preserve">Figure 1. Evaluation subjective de la santé </w:t>
      </w:r>
      <w:r w:rsidRPr="00C27636">
        <w:rPr>
          <w:rFonts w:ascii="Calibri" w:eastAsia="Calibri" w:hAnsi="Calibri" w:cs="Calibri"/>
          <w:b/>
          <w:bCs/>
          <w:color w:val="4F81BD"/>
          <w:sz w:val="18"/>
          <w:szCs w:val="18"/>
          <w:lang w:val="fr-BE"/>
        </w:rPr>
        <w:t>(n=22.154), HBSC 2014.</w:t>
      </w:r>
    </w:p>
    <w:p w:rsidR="00AC12B4" w:rsidRPr="00C27636" w:rsidRDefault="00AC12B4">
      <w:pPr>
        <w:spacing w:line="205" w:lineRule="exact"/>
        <w:rPr>
          <w:sz w:val="20"/>
          <w:szCs w:val="20"/>
          <w:lang w:val="fr-BE"/>
        </w:rPr>
      </w:pPr>
    </w:p>
    <w:p w:rsidR="00AC12B4" w:rsidRPr="00C27636" w:rsidRDefault="00C27636">
      <w:pPr>
        <w:ind w:left="880"/>
        <w:rPr>
          <w:sz w:val="20"/>
          <w:szCs w:val="20"/>
          <w:lang w:val="fr-BE"/>
        </w:rPr>
      </w:pPr>
      <w:r w:rsidRPr="00C27636">
        <w:rPr>
          <w:rFonts w:ascii="Cambria" w:eastAsia="Cambria" w:hAnsi="Cambria" w:cs="Cambria"/>
          <w:b/>
          <w:bCs/>
          <w:i/>
          <w:iCs/>
          <w:color w:val="919715"/>
          <w:sz w:val="26"/>
          <w:szCs w:val="26"/>
          <w:lang w:val="fr-BE"/>
        </w:rPr>
        <w:t>Iniquité</w:t>
      </w:r>
    </w:p>
    <w:p w:rsidR="00AC12B4" w:rsidRPr="00C27636" w:rsidRDefault="00AC12B4">
      <w:pPr>
        <w:spacing w:line="208" w:lineRule="exact"/>
        <w:rPr>
          <w:sz w:val="20"/>
          <w:szCs w:val="20"/>
          <w:lang w:val="fr-BE"/>
        </w:rPr>
      </w:pPr>
    </w:p>
    <w:p w:rsidR="00AC12B4" w:rsidRPr="00C27636" w:rsidRDefault="00C27636">
      <w:pPr>
        <w:spacing w:line="232" w:lineRule="auto"/>
        <w:ind w:left="880" w:right="480"/>
        <w:jc w:val="both"/>
        <w:rPr>
          <w:sz w:val="20"/>
          <w:szCs w:val="20"/>
          <w:lang w:val="fr-BE"/>
        </w:rPr>
      </w:pPr>
      <w:r w:rsidRPr="00C27636">
        <w:rPr>
          <w:rFonts w:ascii="Calibri" w:eastAsia="Calibri" w:hAnsi="Calibri" w:cs="Calibri"/>
          <w:lang w:val="fr-BE"/>
        </w:rPr>
        <w:t xml:space="preserve">Percevoir sa santé de manière positive est plus fréquemment rapporté par les garçons et par les jeunes qui vivent avec leurs deux parents. Une perception positive de la santé devient moins fréquente lorsque l'âge augmente </w:t>
      </w:r>
      <w:r w:rsidRPr="00C27636">
        <w:rPr>
          <w:rFonts w:ascii="Calibri" w:eastAsia="Calibri" w:hAnsi="Calibri" w:cs="Calibri"/>
          <w:lang w:val="fr-BE"/>
        </w:rPr>
        <w:t>et</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0"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65</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51" w:lineRule="exact"/>
        <w:rPr>
          <w:sz w:val="20"/>
          <w:szCs w:val="20"/>
          <w:lang w:val="fr-BE"/>
        </w:rPr>
      </w:pPr>
    </w:p>
    <w:p w:rsidR="00AC12B4" w:rsidRPr="00C27636" w:rsidRDefault="00C27636">
      <w:pPr>
        <w:tabs>
          <w:tab w:val="left" w:pos="2248"/>
          <w:tab w:val="left" w:pos="3088"/>
        </w:tabs>
        <w:ind w:left="1728"/>
        <w:rPr>
          <w:sz w:val="20"/>
          <w:szCs w:val="20"/>
          <w:lang w:val="fr-BE"/>
        </w:rPr>
      </w:pPr>
      <w:r w:rsidRPr="00C27636">
        <w:rPr>
          <w:rFonts w:ascii="Comic Sans MS" w:eastAsia="Comic Sans MS" w:hAnsi="Comic Sans MS" w:cs="Comic Sans MS"/>
          <w:sz w:val="20"/>
          <w:szCs w:val="20"/>
          <w:lang w:val="fr-BE"/>
        </w:rPr>
        <w:t>des</w:t>
      </w:r>
      <w:r w:rsidRPr="00C27636">
        <w:rPr>
          <w:rFonts w:ascii="Comic Sans MS" w:eastAsia="Comic Sans MS" w:hAnsi="Comic Sans MS" w:cs="Comic Sans MS"/>
          <w:sz w:val="20"/>
          <w:szCs w:val="20"/>
          <w:lang w:val="fr-BE"/>
        </w:rPr>
        <w:tab/>
        <w:t>jeunes</w:t>
      </w:r>
      <w:r w:rsidRPr="00C27636">
        <w:rPr>
          <w:sz w:val="20"/>
          <w:szCs w:val="20"/>
          <w:lang w:val="fr-BE"/>
        </w:rPr>
        <w:tab/>
      </w:r>
      <w:r w:rsidRPr="00C27636">
        <w:rPr>
          <w:rFonts w:ascii="Comic Sans MS" w:eastAsia="Comic Sans MS" w:hAnsi="Comic Sans MS" w:cs="Comic Sans MS"/>
          <w:sz w:val="19"/>
          <w:szCs w:val="19"/>
          <w:lang w:val="fr-BE"/>
        </w:rPr>
        <w:t>estiment</w:t>
      </w:r>
    </w:p>
    <w:p w:rsidR="00AC12B4" w:rsidRPr="00C27636" w:rsidRDefault="00AC12B4">
      <w:pPr>
        <w:spacing w:line="2" w:lineRule="exact"/>
        <w:rPr>
          <w:sz w:val="20"/>
          <w:szCs w:val="20"/>
          <w:lang w:val="fr-BE"/>
        </w:rPr>
      </w:pPr>
    </w:p>
    <w:p w:rsidR="00AC12B4" w:rsidRPr="00C27636" w:rsidRDefault="00C27636">
      <w:pPr>
        <w:tabs>
          <w:tab w:val="left" w:pos="2248"/>
          <w:tab w:val="left" w:pos="2868"/>
          <w:tab w:val="left" w:pos="3608"/>
        </w:tabs>
        <w:ind w:left="1728"/>
        <w:rPr>
          <w:sz w:val="20"/>
          <w:szCs w:val="20"/>
          <w:lang w:val="fr-BE"/>
        </w:rPr>
      </w:pPr>
      <w:r w:rsidRPr="00C27636">
        <w:rPr>
          <w:rFonts w:ascii="Comic Sans MS" w:eastAsia="Comic Sans MS" w:hAnsi="Comic Sans MS" w:cs="Comic Sans MS"/>
          <w:sz w:val="20"/>
          <w:szCs w:val="20"/>
          <w:lang w:val="fr-BE"/>
        </w:rPr>
        <w:t>que</w:t>
      </w:r>
      <w:r w:rsidRPr="00C27636">
        <w:rPr>
          <w:rFonts w:ascii="Comic Sans MS" w:eastAsia="Comic Sans MS" w:hAnsi="Comic Sans MS" w:cs="Comic Sans MS"/>
          <w:sz w:val="20"/>
          <w:szCs w:val="20"/>
          <w:lang w:val="fr-BE"/>
        </w:rPr>
        <w:tab/>
        <w:t>leur</w:t>
      </w:r>
      <w:r w:rsidRPr="00C27636">
        <w:rPr>
          <w:rFonts w:ascii="Comic Sans MS" w:eastAsia="Comic Sans MS" w:hAnsi="Comic Sans MS" w:cs="Comic Sans MS"/>
          <w:sz w:val="20"/>
          <w:szCs w:val="20"/>
          <w:lang w:val="fr-BE"/>
        </w:rPr>
        <w:tab/>
        <w:t>santé</w:t>
      </w:r>
      <w:r w:rsidRPr="00C27636">
        <w:rPr>
          <w:sz w:val="20"/>
          <w:szCs w:val="20"/>
          <w:lang w:val="fr-BE"/>
        </w:rPr>
        <w:tab/>
      </w:r>
      <w:r w:rsidRPr="00C27636">
        <w:rPr>
          <w:rFonts w:ascii="Comic Sans MS" w:eastAsia="Comic Sans MS" w:hAnsi="Comic Sans MS" w:cs="Comic Sans MS"/>
          <w:sz w:val="19"/>
          <w:szCs w:val="19"/>
          <w:lang w:val="fr-BE"/>
        </w:rPr>
        <w:t>est</w:t>
      </w:r>
    </w:p>
    <w:p w:rsidR="00AC12B4" w:rsidRDefault="00C27636">
      <w:pPr>
        <w:tabs>
          <w:tab w:val="left" w:pos="2908"/>
          <w:tab w:val="left" w:pos="3368"/>
        </w:tabs>
        <w:ind w:left="1728"/>
        <w:rPr>
          <w:sz w:val="20"/>
          <w:szCs w:val="20"/>
        </w:rPr>
      </w:pPr>
      <w:r>
        <w:rPr>
          <w:rFonts w:ascii="Comic Sans MS" w:eastAsia="Comic Sans MS" w:hAnsi="Comic Sans MS" w:cs="Comic Sans MS"/>
          <w:sz w:val="20"/>
          <w:szCs w:val="20"/>
        </w:rPr>
        <w:t>excellente</w:t>
      </w:r>
      <w:r>
        <w:rPr>
          <w:rFonts w:ascii="Comic Sans MS" w:eastAsia="Comic Sans MS" w:hAnsi="Comic Sans MS" w:cs="Comic Sans MS"/>
          <w:sz w:val="20"/>
          <w:szCs w:val="20"/>
        </w:rPr>
        <w:tab/>
        <w:t>ou</w:t>
      </w:r>
      <w:r>
        <w:rPr>
          <w:sz w:val="20"/>
          <w:szCs w:val="20"/>
        </w:rPr>
        <w:tab/>
      </w:r>
      <w:r>
        <w:rPr>
          <w:rFonts w:ascii="Comic Sans MS" w:eastAsia="Comic Sans MS" w:hAnsi="Comic Sans MS" w:cs="Comic Sans MS"/>
          <w:sz w:val="19"/>
          <w:szCs w:val="19"/>
        </w:rPr>
        <w:t>bonne</w:t>
      </w:r>
    </w:p>
    <w:p w:rsidR="00AC12B4" w:rsidRDefault="00C27636">
      <w:pPr>
        <w:ind w:left="1728"/>
        <w:rPr>
          <w:sz w:val="20"/>
          <w:szCs w:val="20"/>
        </w:rPr>
      </w:pPr>
      <w:r>
        <w:rPr>
          <w:rFonts w:ascii="Comic Sans MS" w:eastAsia="Comic Sans MS" w:hAnsi="Comic Sans MS" w:cs="Comic Sans MS"/>
          <w:sz w:val="20"/>
          <w:szCs w:val="20"/>
        </w:rPr>
        <w:t>(HBSC 2014)</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473408" behindDoc="1" locked="0" layoutInCell="0" allowOverlap="1">
                <wp:simplePos x="0" y="0"/>
                <wp:positionH relativeFrom="column">
                  <wp:posOffset>0</wp:posOffset>
                </wp:positionH>
                <wp:positionV relativeFrom="paragraph">
                  <wp:posOffset>558165</wp:posOffset>
                </wp:positionV>
                <wp:extent cx="1828800" cy="0"/>
                <wp:effectExtent l="0" t="0" r="0" b="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95pt" to="144pt,43.95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30" w:lineRule="exact"/>
        <w:rPr>
          <w:sz w:val="20"/>
          <w:szCs w:val="20"/>
        </w:rPr>
      </w:pPr>
    </w:p>
    <w:p w:rsidR="00AC12B4" w:rsidRPr="00C27636" w:rsidRDefault="00C27636">
      <w:pPr>
        <w:numPr>
          <w:ilvl w:val="0"/>
          <w:numId w:val="71"/>
        </w:numPr>
        <w:tabs>
          <w:tab w:val="left" w:pos="119"/>
        </w:tabs>
        <w:spacing w:line="188" w:lineRule="auto"/>
        <w:ind w:left="8" w:right="60" w:hanging="8"/>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Voir section ‘Sources’ pour une explication sur la notion du ‘Family Affluence Scale’.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4"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rsidRPr="00C27636">
        <w:trPr>
          <w:trHeight w:val="2080"/>
        </w:trPr>
        <w:tc>
          <w:tcPr>
            <w:tcW w:w="281" w:type="dxa"/>
            <w:textDirection w:val="btLr"/>
            <w:vAlign w:val="bottom"/>
          </w:tcPr>
          <w:p w:rsidR="00AC12B4" w:rsidRPr="00C27636" w:rsidRDefault="00C27636">
            <w:pPr>
              <w:spacing w:line="197" w:lineRule="auto"/>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AC12B4">
      <w:pPr>
        <w:rPr>
          <w:lang w:val="fr-BE"/>
        </w:rPr>
        <w:sectPr w:rsidR="00AC12B4" w:rsidRPr="00C27636">
          <w:type w:val="continuous"/>
          <w:pgSz w:w="12080" w:h="17179"/>
          <w:pgMar w:top="1440" w:right="557" w:bottom="659" w:left="1120" w:header="0" w:footer="0" w:gutter="0"/>
          <w:cols w:num="3" w:space="720" w:equalWidth="0">
            <w:col w:w="5240" w:space="232"/>
            <w:col w:w="3928" w:space="719"/>
            <w:col w:w="281"/>
          </w:cols>
        </w:sectPr>
      </w:pPr>
    </w:p>
    <w:p w:rsidR="00AC12B4" w:rsidRPr="00C27636" w:rsidRDefault="00C27636">
      <w:pPr>
        <w:spacing w:line="200" w:lineRule="exact"/>
        <w:rPr>
          <w:sz w:val="20"/>
          <w:szCs w:val="20"/>
          <w:lang w:val="fr-BE"/>
        </w:rPr>
      </w:pPr>
      <w:bookmarkStart w:id="65" w:name="page66"/>
      <w:bookmarkEnd w:id="65"/>
      <w:r>
        <w:rPr>
          <w:noProof/>
          <w:sz w:val="20"/>
          <w:szCs w:val="20"/>
        </w:rPr>
        <w:lastRenderedPageBreak/>
        <w:drawing>
          <wp:anchor distT="0" distB="0" distL="114300" distR="114300" simplePos="0" relativeHeight="251474432" behindDoc="1" locked="0" layoutInCell="0" allowOverlap="1">
            <wp:simplePos x="0" y="0"/>
            <wp:positionH relativeFrom="page">
              <wp:posOffset>0</wp:posOffset>
            </wp:positionH>
            <wp:positionV relativeFrom="page">
              <wp:posOffset>0</wp:posOffset>
            </wp:positionV>
            <wp:extent cx="2992120" cy="10908665"/>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0">
                      <a:clrChange>
                        <a:clrFrom>
                          <a:srgbClr val="FFFFFF"/>
                        </a:clrFrom>
                        <a:clrTo>
                          <a:srgbClr val="FFFFFF">
                            <a:alpha val="0"/>
                          </a:srgbClr>
                        </a:clrTo>
                      </a:clrChange>
                      <a:extLst/>
                    </a:blip>
                    <a:srcRect/>
                    <a:stretch>
                      <a:fillRect/>
                    </a:stretch>
                  </pic:blipFill>
                  <pic:spPr bwMode="auto">
                    <a:xfrm>
                      <a:off x="0" y="0"/>
                      <a:ext cx="2992120" cy="10908665"/>
                    </a:xfrm>
                    <a:prstGeom prst="rect">
                      <a:avLst/>
                    </a:prstGeom>
                    <a:noFill/>
                  </pic:spPr>
                </pic:pic>
              </a:graphicData>
            </a:graphic>
          </wp:anchor>
        </w:drawing>
      </w:r>
    </w:p>
    <w:p w:rsidR="00AC12B4" w:rsidRPr="00C27636" w:rsidRDefault="00AC12B4">
      <w:pPr>
        <w:spacing w:line="220" w:lineRule="exact"/>
        <w:rPr>
          <w:sz w:val="20"/>
          <w:szCs w:val="20"/>
          <w:lang w:val="fr-BE"/>
        </w:rPr>
      </w:pPr>
    </w:p>
    <w:p w:rsidR="00AC12B4" w:rsidRPr="00C27636" w:rsidRDefault="00C27636">
      <w:pPr>
        <w:ind w:left="782"/>
        <w:rPr>
          <w:sz w:val="20"/>
          <w:szCs w:val="20"/>
          <w:lang w:val="fr-BE"/>
        </w:rPr>
      </w:pPr>
      <w:r w:rsidRPr="00C27636">
        <w:rPr>
          <w:rFonts w:eastAsia="Times New Roman"/>
          <w:b/>
          <w:bCs/>
          <w:color w:val="4F6228"/>
          <w:sz w:val="20"/>
          <w:szCs w:val="20"/>
          <w:lang w:val="fr-BE"/>
        </w:rPr>
        <w:t xml:space="preserve">Question </w:t>
      </w:r>
      <w:r w:rsidRPr="00C27636">
        <w:rPr>
          <w:rFonts w:eastAsia="Times New Roman"/>
          <w:b/>
          <w:bCs/>
          <w:color w:val="4F6228"/>
          <w:sz w:val="20"/>
          <w:szCs w:val="20"/>
          <w:lang w:val="fr-BE"/>
        </w:rPr>
        <w:t>dans l’enquête HBSC :</w:t>
      </w:r>
    </w:p>
    <w:p w:rsidR="00AC12B4" w:rsidRPr="00C27636" w:rsidRDefault="00AC12B4">
      <w:pPr>
        <w:spacing w:line="225" w:lineRule="exact"/>
        <w:rPr>
          <w:sz w:val="20"/>
          <w:szCs w:val="20"/>
          <w:lang w:val="fr-BE"/>
        </w:rPr>
      </w:pPr>
    </w:p>
    <w:p w:rsidR="00AC12B4" w:rsidRPr="00C27636" w:rsidRDefault="00C27636">
      <w:pPr>
        <w:ind w:left="442"/>
        <w:rPr>
          <w:sz w:val="20"/>
          <w:szCs w:val="20"/>
          <w:lang w:val="fr-BE"/>
        </w:rPr>
      </w:pPr>
      <w:r w:rsidRPr="00C27636">
        <w:rPr>
          <w:rFonts w:ascii="Calibri" w:eastAsia="Calibri" w:hAnsi="Calibri" w:cs="Calibri"/>
          <w:sz w:val="20"/>
          <w:szCs w:val="20"/>
          <w:lang w:val="fr-BE"/>
        </w:rPr>
        <w:t>Dirais-tu que ta santé est</w:t>
      </w:r>
    </w:p>
    <w:p w:rsidR="00AC12B4" w:rsidRPr="00C27636" w:rsidRDefault="00AC12B4">
      <w:pPr>
        <w:spacing w:line="119" w:lineRule="exact"/>
        <w:rPr>
          <w:sz w:val="20"/>
          <w:szCs w:val="20"/>
          <w:lang w:val="fr-BE"/>
        </w:rPr>
      </w:pPr>
    </w:p>
    <w:p w:rsidR="00AC12B4" w:rsidRDefault="00C27636">
      <w:pPr>
        <w:numPr>
          <w:ilvl w:val="0"/>
          <w:numId w:val="72"/>
        </w:numPr>
        <w:tabs>
          <w:tab w:val="left" w:pos="1162"/>
        </w:tabs>
        <w:ind w:left="1162" w:hanging="368"/>
        <w:rPr>
          <w:rFonts w:ascii="Calibri" w:eastAsia="Calibri" w:hAnsi="Calibri" w:cs="Calibri"/>
        </w:rPr>
      </w:pPr>
      <w:r>
        <w:rPr>
          <w:rFonts w:ascii="Calibri" w:eastAsia="Calibri" w:hAnsi="Calibri" w:cs="Calibri"/>
        </w:rPr>
        <w:t>excellente</w:t>
      </w:r>
    </w:p>
    <w:p w:rsidR="00AC12B4" w:rsidRDefault="00AC12B4">
      <w:pPr>
        <w:spacing w:line="41" w:lineRule="exact"/>
        <w:rPr>
          <w:rFonts w:ascii="Calibri" w:eastAsia="Calibri" w:hAnsi="Calibri" w:cs="Calibri"/>
        </w:rPr>
      </w:pPr>
    </w:p>
    <w:p w:rsidR="00AC12B4" w:rsidRDefault="00C27636">
      <w:pPr>
        <w:numPr>
          <w:ilvl w:val="0"/>
          <w:numId w:val="72"/>
        </w:numPr>
        <w:tabs>
          <w:tab w:val="left" w:pos="1162"/>
        </w:tabs>
        <w:ind w:left="1162" w:hanging="368"/>
        <w:rPr>
          <w:rFonts w:ascii="Calibri" w:eastAsia="Calibri" w:hAnsi="Calibri" w:cs="Calibri"/>
        </w:rPr>
      </w:pPr>
      <w:r>
        <w:rPr>
          <w:rFonts w:ascii="Calibri" w:eastAsia="Calibri" w:hAnsi="Calibri" w:cs="Calibri"/>
        </w:rPr>
        <w:t>bonne</w:t>
      </w:r>
    </w:p>
    <w:p w:rsidR="00AC12B4" w:rsidRDefault="00AC12B4">
      <w:pPr>
        <w:spacing w:line="33" w:lineRule="exact"/>
        <w:rPr>
          <w:rFonts w:ascii="Calibri" w:eastAsia="Calibri" w:hAnsi="Calibri" w:cs="Calibri"/>
        </w:rPr>
      </w:pPr>
    </w:p>
    <w:p w:rsidR="00AC12B4" w:rsidRDefault="00C27636">
      <w:pPr>
        <w:numPr>
          <w:ilvl w:val="0"/>
          <w:numId w:val="72"/>
        </w:numPr>
        <w:tabs>
          <w:tab w:val="left" w:pos="1162"/>
        </w:tabs>
        <w:ind w:left="1162" w:hanging="368"/>
        <w:rPr>
          <w:rFonts w:ascii="Calibri" w:eastAsia="Calibri" w:hAnsi="Calibri" w:cs="Calibri"/>
          <w:color w:val="4F6228"/>
          <w:sz w:val="24"/>
          <w:szCs w:val="24"/>
        </w:rPr>
      </w:pPr>
      <w:r>
        <w:rPr>
          <w:rFonts w:ascii="Calibri" w:eastAsia="Calibri" w:hAnsi="Calibri" w:cs="Calibri"/>
        </w:rPr>
        <w:t>plutôt bonne</w:t>
      </w:r>
    </w:p>
    <w:p w:rsidR="00AC12B4" w:rsidRDefault="00AC12B4">
      <w:pPr>
        <w:spacing w:line="35" w:lineRule="exact"/>
        <w:rPr>
          <w:rFonts w:ascii="Calibri" w:eastAsia="Calibri" w:hAnsi="Calibri" w:cs="Calibri"/>
          <w:color w:val="4F6228"/>
          <w:sz w:val="24"/>
          <w:szCs w:val="24"/>
        </w:rPr>
      </w:pPr>
    </w:p>
    <w:p w:rsidR="00AC12B4" w:rsidRDefault="00C27636">
      <w:pPr>
        <w:numPr>
          <w:ilvl w:val="0"/>
          <w:numId w:val="72"/>
        </w:numPr>
        <w:tabs>
          <w:tab w:val="left" w:pos="1162"/>
        </w:tabs>
        <w:ind w:left="1162" w:hanging="368"/>
        <w:rPr>
          <w:rFonts w:ascii="Calibri" w:eastAsia="Calibri" w:hAnsi="Calibri" w:cs="Calibri"/>
          <w:color w:val="4F6228"/>
          <w:sz w:val="24"/>
          <w:szCs w:val="24"/>
        </w:rPr>
      </w:pPr>
      <w:r>
        <w:rPr>
          <w:rFonts w:ascii="Calibri" w:eastAsia="Calibri" w:hAnsi="Calibri" w:cs="Calibri"/>
        </w:rPr>
        <w:t>pas très bonne</w:t>
      </w:r>
    </w:p>
    <w:p w:rsidR="00AC12B4" w:rsidRDefault="00AC12B4">
      <w:pPr>
        <w:spacing w:line="200" w:lineRule="exact"/>
        <w:rPr>
          <w:sz w:val="20"/>
          <w:szCs w:val="20"/>
        </w:rPr>
      </w:pPr>
    </w:p>
    <w:p w:rsidR="00AC12B4" w:rsidRDefault="00AC12B4">
      <w:pPr>
        <w:spacing w:line="270" w:lineRule="exact"/>
        <w:rPr>
          <w:sz w:val="20"/>
          <w:szCs w:val="20"/>
        </w:rPr>
      </w:pPr>
    </w:p>
    <w:p w:rsidR="00AC12B4" w:rsidRDefault="00C27636">
      <w:pPr>
        <w:ind w:left="962"/>
        <w:rPr>
          <w:sz w:val="20"/>
          <w:szCs w:val="20"/>
        </w:rPr>
      </w:pPr>
      <w:r>
        <w:rPr>
          <w:rFonts w:ascii="Cambria" w:eastAsia="Cambria" w:hAnsi="Cambria" w:cs="Cambria"/>
          <w:b/>
          <w:bCs/>
          <w:i/>
          <w:iCs/>
          <w:color w:val="919715"/>
          <w:sz w:val="26"/>
          <w:szCs w:val="26"/>
        </w:rPr>
        <w:t>D’où viennent ces chiffres ?</w:t>
      </w:r>
    </w:p>
    <w:p w:rsidR="00AC12B4" w:rsidRDefault="00AC12B4">
      <w:pPr>
        <w:spacing w:line="168" w:lineRule="exact"/>
        <w:rPr>
          <w:sz w:val="20"/>
          <w:szCs w:val="20"/>
        </w:rPr>
      </w:pPr>
    </w:p>
    <w:p w:rsidR="00AC12B4" w:rsidRDefault="00C27636">
      <w:pPr>
        <w:numPr>
          <w:ilvl w:val="0"/>
          <w:numId w:val="73"/>
        </w:numPr>
        <w:tabs>
          <w:tab w:val="left" w:pos="1682"/>
        </w:tabs>
        <w:ind w:left="1682" w:hanging="360"/>
        <w:rPr>
          <w:rFonts w:ascii="Wingdings" w:eastAsia="Wingdings" w:hAnsi="Wingdings" w:cs="Wingdings"/>
          <w:color w:val="C9D11D"/>
        </w:rPr>
      </w:pPr>
      <w:r>
        <w:rPr>
          <w:rFonts w:ascii="Cambria" w:eastAsia="Cambria" w:hAnsi="Cambria" w:cs="Cambria"/>
          <w:i/>
          <w:iCs/>
          <w:color w:val="C9D11D"/>
        </w:rPr>
        <w:t>Enquête HBSC</w:t>
      </w:r>
    </w:p>
    <w:p w:rsidR="00AC12B4" w:rsidRDefault="00AC12B4">
      <w:pPr>
        <w:spacing w:line="151" w:lineRule="exact"/>
        <w:rPr>
          <w:sz w:val="20"/>
          <w:szCs w:val="20"/>
        </w:rPr>
      </w:pPr>
    </w:p>
    <w:p w:rsidR="00AC12B4" w:rsidRPr="00C27636" w:rsidRDefault="00C27636">
      <w:pPr>
        <w:ind w:left="962"/>
        <w:rPr>
          <w:sz w:val="20"/>
          <w:szCs w:val="20"/>
          <w:lang w:val="fr-BE"/>
        </w:rPr>
      </w:pPr>
      <w:r w:rsidRPr="00C27636">
        <w:rPr>
          <w:rFonts w:ascii="Calibri" w:eastAsia="Calibri" w:hAnsi="Calibri" w:cs="Calibri"/>
          <w:lang w:val="fr-BE"/>
        </w:rPr>
        <w:t>L’enquête HBSC est décrite dans la section</w:t>
      </w:r>
    </w:p>
    <w:p w:rsidR="00AC12B4" w:rsidRPr="00C27636" w:rsidRDefault="00C27636">
      <w:pPr>
        <w:numPr>
          <w:ilvl w:val="0"/>
          <w:numId w:val="74"/>
        </w:numPr>
        <w:tabs>
          <w:tab w:val="left" w:pos="1122"/>
        </w:tabs>
        <w:ind w:left="1122" w:hanging="160"/>
        <w:rPr>
          <w:rFonts w:ascii="Calibri" w:eastAsia="Calibri" w:hAnsi="Calibri" w:cs="Calibri"/>
          <w:lang w:val="fr-BE"/>
        </w:rPr>
      </w:pPr>
      <w:r w:rsidRPr="00C27636">
        <w:rPr>
          <w:rFonts w:ascii="Calibri" w:eastAsia="Calibri" w:hAnsi="Calibri" w:cs="Calibri"/>
          <w:lang w:val="fr-BE"/>
        </w:rPr>
        <w:t>sources » de cette publication (Partie I).</w:t>
      </w:r>
    </w:p>
    <w:p w:rsidR="00AC12B4" w:rsidRPr="00C27636" w:rsidRDefault="00AC12B4">
      <w:pPr>
        <w:spacing w:line="49" w:lineRule="exact"/>
        <w:rPr>
          <w:rFonts w:ascii="Calibri" w:eastAsia="Calibri" w:hAnsi="Calibri" w:cs="Calibri"/>
          <w:lang w:val="fr-BE"/>
        </w:rPr>
      </w:pPr>
    </w:p>
    <w:p w:rsidR="00AC12B4" w:rsidRPr="00C27636" w:rsidRDefault="00C27636">
      <w:pPr>
        <w:spacing w:line="218" w:lineRule="auto"/>
        <w:ind w:left="962" w:right="460"/>
        <w:rPr>
          <w:rFonts w:ascii="Calibri" w:eastAsia="Calibri" w:hAnsi="Calibri" w:cs="Calibri"/>
          <w:lang w:val="fr-BE"/>
        </w:rPr>
      </w:pPr>
      <w:r w:rsidRPr="00C27636">
        <w:rPr>
          <w:rFonts w:ascii="Calibri" w:eastAsia="Calibri" w:hAnsi="Calibri" w:cs="Calibri"/>
          <w:lang w:val="fr-BE"/>
        </w:rPr>
        <w:t xml:space="preserve">L’objectif, les </w:t>
      </w:r>
      <w:r w:rsidRPr="00C27636">
        <w:rPr>
          <w:rFonts w:ascii="Calibri" w:eastAsia="Calibri" w:hAnsi="Calibri" w:cs="Calibri"/>
          <w:lang w:val="fr-BE"/>
        </w:rPr>
        <w:t>modalités et les limites des données collectées y sont présentés.</w:t>
      </w:r>
    </w:p>
    <w:p w:rsidR="00AC12B4" w:rsidRPr="00C27636" w:rsidRDefault="00AC12B4">
      <w:pPr>
        <w:spacing w:line="127" w:lineRule="exact"/>
        <w:rPr>
          <w:rFonts w:ascii="Calibri" w:eastAsia="Calibri" w:hAnsi="Calibri" w:cs="Calibri"/>
          <w:lang w:val="fr-BE"/>
        </w:rPr>
      </w:pPr>
    </w:p>
    <w:p w:rsidR="00AC12B4" w:rsidRDefault="00C27636">
      <w:pPr>
        <w:numPr>
          <w:ilvl w:val="1"/>
          <w:numId w:val="74"/>
        </w:numPr>
        <w:tabs>
          <w:tab w:val="left" w:pos="1682"/>
        </w:tabs>
        <w:ind w:left="1682" w:hanging="360"/>
        <w:rPr>
          <w:rFonts w:ascii="Wingdings" w:eastAsia="Wingdings" w:hAnsi="Wingdings" w:cs="Wingdings"/>
          <w:color w:val="C9D11D"/>
        </w:rPr>
      </w:pPr>
      <w:r>
        <w:rPr>
          <w:rFonts w:ascii="Cambria" w:eastAsia="Cambria" w:hAnsi="Cambria" w:cs="Cambria"/>
          <w:i/>
          <w:iCs/>
          <w:color w:val="C9D11D"/>
        </w:rPr>
        <w:t>Limite de la mesure</w:t>
      </w:r>
    </w:p>
    <w:p w:rsidR="00AC12B4" w:rsidRDefault="00AC12B4">
      <w:pPr>
        <w:spacing w:line="199" w:lineRule="exact"/>
        <w:rPr>
          <w:sz w:val="20"/>
          <w:szCs w:val="20"/>
        </w:rPr>
      </w:pPr>
    </w:p>
    <w:p w:rsidR="00AC12B4" w:rsidRPr="00C27636" w:rsidRDefault="00C27636">
      <w:pPr>
        <w:spacing w:line="225" w:lineRule="auto"/>
        <w:ind w:left="962" w:right="460"/>
        <w:jc w:val="both"/>
        <w:rPr>
          <w:sz w:val="20"/>
          <w:szCs w:val="20"/>
          <w:lang w:val="fr-BE"/>
        </w:rPr>
      </w:pPr>
      <w:r w:rsidRPr="00C27636">
        <w:rPr>
          <w:rFonts w:ascii="Calibri" w:eastAsia="Calibri" w:hAnsi="Calibri" w:cs="Calibri"/>
          <w:lang w:val="fr-BE"/>
        </w:rPr>
        <w:t>Actuellement, cette enquête n’est pas menée au niveau de la Communauté germanophone.</w:t>
      </w:r>
    </w:p>
    <w:p w:rsidR="00AC12B4" w:rsidRPr="00C27636" w:rsidRDefault="00AC12B4">
      <w:pPr>
        <w:spacing w:line="171" w:lineRule="exact"/>
        <w:rPr>
          <w:sz w:val="20"/>
          <w:szCs w:val="20"/>
          <w:lang w:val="fr-BE"/>
        </w:rPr>
      </w:pPr>
    </w:p>
    <w:p w:rsidR="00AC12B4" w:rsidRPr="00C27636" w:rsidRDefault="00C27636">
      <w:pPr>
        <w:spacing w:line="218" w:lineRule="auto"/>
        <w:ind w:left="962" w:right="460"/>
        <w:jc w:val="both"/>
        <w:rPr>
          <w:sz w:val="20"/>
          <w:szCs w:val="20"/>
          <w:lang w:val="fr-BE"/>
        </w:rPr>
      </w:pPr>
      <w:r w:rsidRPr="00C27636">
        <w:rPr>
          <w:rFonts w:ascii="Calibri" w:eastAsia="Calibri" w:hAnsi="Calibri" w:cs="Calibri"/>
          <w:lang w:val="fr-BE"/>
        </w:rPr>
        <w:t>De plus, les élèves de l’enseignement spécialisé ne sont pas interrogés.</w:t>
      </w:r>
    </w:p>
    <w:p w:rsidR="00AC12B4" w:rsidRPr="00C27636" w:rsidRDefault="00AC12B4">
      <w:pPr>
        <w:spacing w:line="170" w:lineRule="exact"/>
        <w:rPr>
          <w:sz w:val="20"/>
          <w:szCs w:val="20"/>
          <w:lang w:val="fr-BE"/>
        </w:rPr>
      </w:pPr>
    </w:p>
    <w:p w:rsidR="00AC12B4" w:rsidRPr="00C27636" w:rsidRDefault="00C27636">
      <w:pPr>
        <w:spacing w:line="232" w:lineRule="auto"/>
        <w:ind w:left="962" w:right="460"/>
        <w:jc w:val="both"/>
        <w:rPr>
          <w:sz w:val="20"/>
          <w:szCs w:val="20"/>
          <w:lang w:val="fr-BE"/>
        </w:rPr>
      </w:pPr>
      <w:r w:rsidRPr="00C27636">
        <w:rPr>
          <w:rFonts w:ascii="Calibri" w:eastAsia="Calibri" w:hAnsi="Calibri" w:cs="Calibri"/>
          <w:lang w:val="fr-BE"/>
        </w:rPr>
        <w:t>En outre</w:t>
      </w:r>
      <w:r w:rsidRPr="00C27636">
        <w:rPr>
          <w:rFonts w:ascii="Calibri" w:eastAsia="Calibri" w:hAnsi="Calibri" w:cs="Calibri"/>
          <w:lang w:val="fr-BE"/>
        </w:rPr>
        <w:t>, seuls les élèves présents le jour de l’enquête remplissent le questionnaire. Cela signifie que les élèves absents car malades, non-scolarisés ou séchant les cours par exemple ne sont pas repris dans cette enquête.</w:t>
      </w:r>
    </w:p>
    <w:p w:rsidR="00AC12B4" w:rsidRPr="00C27636" w:rsidRDefault="00AC12B4">
      <w:pPr>
        <w:spacing w:line="131" w:lineRule="exact"/>
        <w:rPr>
          <w:sz w:val="20"/>
          <w:szCs w:val="20"/>
          <w:lang w:val="fr-BE"/>
        </w:rPr>
      </w:pPr>
    </w:p>
    <w:p w:rsidR="00AC12B4" w:rsidRDefault="00C27636">
      <w:pPr>
        <w:numPr>
          <w:ilvl w:val="0"/>
          <w:numId w:val="75"/>
        </w:numPr>
        <w:tabs>
          <w:tab w:val="left" w:pos="1742"/>
        </w:tabs>
        <w:ind w:left="1742" w:hanging="420"/>
        <w:rPr>
          <w:rFonts w:ascii="Wingdings" w:eastAsia="Wingdings" w:hAnsi="Wingdings" w:cs="Wingdings"/>
          <w:color w:val="C9D11D"/>
        </w:rPr>
      </w:pPr>
      <w:r>
        <w:rPr>
          <w:rFonts w:ascii="Cambria" w:eastAsia="Cambria" w:hAnsi="Cambria" w:cs="Cambria"/>
          <w:i/>
          <w:iCs/>
          <w:color w:val="C9D11D"/>
        </w:rPr>
        <w:t>Recommandations</w:t>
      </w:r>
    </w:p>
    <w:p w:rsidR="00AC12B4" w:rsidRDefault="00AC12B4">
      <w:pPr>
        <w:spacing w:line="202" w:lineRule="exact"/>
        <w:rPr>
          <w:sz w:val="20"/>
          <w:szCs w:val="20"/>
        </w:rPr>
      </w:pPr>
    </w:p>
    <w:p w:rsidR="00AC12B4" w:rsidRPr="00C27636" w:rsidRDefault="00C27636">
      <w:pPr>
        <w:spacing w:line="218" w:lineRule="auto"/>
        <w:ind w:left="962" w:right="460"/>
        <w:rPr>
          <w:sz w:val="20"/>
          <w:szCs w:val="20"/>
          <w:lang w:val="fr-BE"/>
        </w:rPr>
      </w:pPr>
      <w:r w:rsidRPr="00C27636">
        <w:rPr>
          <w:rFonts w:ascii="Calibri" w:eastAsia="Calibri" w:hAnsi="Calibri" w:cs="Calibri"/>
          <w:lang w:val="fr-BE"/>
        </w:rPr>
        <w:t>L’Enquête HBSC devrait</w:t>
      </w:r>
      <w:r w:rsidRPr="00C27636">
        <w:rPr>
          <w:rFonts w:ascii="Calibri" w:eastAsia="Calibri" w:hAnsi="Calibri" w:cs="Calibri"/>
          <w:lang w:val="fr-BE"/>
        </w:rPr>
        <w:t xml:space="preserve"> être étendue aux élèves de l’enseignement spécialisé.</w:t>
      </w:r>
    </w:p>
    <w:p w:rsidR="00AC12B4" w:rsidRPr="00C27636" w:rsidRDefault="00AC12B4">
      <w:pPr>
        <w:spacing w:line="170" w:lineRule="exact"/>
        <w:rPr>
          <w:sz w:val="20"/>
          <w:szCs w:val="20"/>
          <w:lang w:val="fr-BE"/>
        </w:rPr>
      </w:pPr>
    </w:p>
    <w:p w:rsidR="00AC12B4" w:rsidRPr="00C27636" w:rsidRDefault="00C27636">
      <w:pPr>
        <w:spacing w:line="218" w:lineRule="auto"/>
        <w:ind w:left="962" w:right="460"/>
        <w:rPr>
          <w:sz w:val="20"/>
          <w:szCs w:val="20"/>
          <w:lang w:val="fr-BE"/>
        </w:rPr>
      </w:pPr>
      <w:r w:rsidRPr="00C27636">
        <w:rPr>
          <w:rFonts w:ascii="Calibri" w:eastAsia="Calibri" w:hAnsi="Calibri" w:cs="Calibri"/>
          <w:lang w:val="fr-BE"/>
        </w:rPr>
        <w:t>La Communauté germanophone devrait participer à cette enquête.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9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AC12B4">
      <w:pPr>
        <w:spacing w:line="8" w:lineRule="exact"/>
        <w:rPr>
          <w:sz w:val="20"/>
          <w:szCs w:val="20"/>
          <w:lang w:val="fr-BE"/>
        </w:rPr>
      </w:pPr>
    </w:p>
    <w:p w:rsidR="00AC12B4" w:rsidRDefault="00C27636">
      <w:pPr>
        <w:jc w:val="right"/>
        <w:rPr>
          <w:sz w:val="20"/>
          <w:szCs w:val="20"/>
        </w:rPr>
      </w:pPr>
      <w:r>
        <w:rPr>
          <w:rFonts w:ascii="Calibri" w:eastAsia="Calibri" w:hAnsi="Calibri" w:cs="Calibri"/>
        </w:rPr>
        <w:t>66</w:t>
      </w:r>
    </w:p>
    <w:p w:rsidR="00AC12B4" w:rsidRDefault="00C27636">
      <w:pPr>
        <w:spacing w:line="20" w:lineRule="exact"/>
        <w:rPr>
          <w:sz w:val="20"/>
          <w:szCs w:val="20"/>
        </w:rPr>
      </w:pPr>
      <w:r>
        <w:rPr>
          <w:sz w:val="20"/>
          <w:szCs w:val="20"/>
        </w:rPr>
        <w:br w:type="column"/>
      </w:r>
    </w:p>
    <w:p w:rsidR="00AC12B4" w:rsidRDefault="00AC12B4">
      <w:pPr>
        <w:spacing w:line="149" w:lineRule="exact"/>
        <w:rPr>
          <w:sz w:val="20"/>
          <w:szCs w:val="20"/>
        </w:rPr>
      </w:pPr>
    </w:p>
    <w:p w:rsidR="00AC12B4" w:rsidRDefault="00C27636">
      <w:pPr>
        <w:rPr>
          <w:sz w:val="20"/>
          <w:szCs w:val="20"/>
        </w:rPr>
      </w:pPr>
      <w:r>
        <w:rPr>
          <w:rFonts w:ascii="Cambria" w:eastAsia="Cambria" w:hAnsi="Cambria" w:cs="Cambria"/>
          <w:b/>
          <w:bCs/>
          <w:i/>
          <w:iCs/>
          <w:color w:val="919715"/>
          <w:sz w:val="26"/>
          <w:szCs w:val="26"/>
        </w:rPr>
        <w:t>Pour aller plus loin</w:t>
      </w:r>
    </w:p>
    <w:p w:rsidR="00AC12B4" w:rsidRDefault="00AC12B4">
      <w:pPr>
        <w:spacing w:line="162" w:lineRule="exact"/>
        <w:rPr>
          <w:sz w:val="20"/>
          <w:szCs w:val="20"/>
        </w:rPr>
      </w:pPr>
    </w:p>
    <w:p w:rsidR="00AC12B4" w:rsidRPr="00C27636" w:rsidRDefault="00C27636">
      <w:pPr>
        <w:numPr>
          <w:ilvl w:val="0"/>
          <w:numId w:val="76"/>
        </w:numPr>
        <w:tabs>
          <w:tab w:val="left" w:pos="440"/>
        </w:tabs>
        <w:ind w:left="440" w:hanging="367"/>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Satisfaction globale par rapport à la vie </w:t>
      </w:r>
      <w:r w:rsidRPr="00C27636">
        <w:rPr>
          <w:rFonts w:ascii="Calibri" w:eastAsia="Calibri" w:hAnsi="Calibri" w:cs="Calibri"/>
          <w:color w:val="000000"/>
          <w:sz w:val="20"/>
          <w:szCs w:val="20"/>
          <w:lang w:val="fr-BE"/>
        </w:rPr>
        <w:t>:</w:t>
      </w:r>
    </w:p>
    <w:p w:rsidR="00AC12B4" w:rsidRPr="00C27636" w:rsidRDefault="00AC12B4">
      <w:pPr>
        <w:spacing w:line="80" w:lineRule="exact"/>
        <w:rPr>
          <w:rFonts w:ascii="Symbol" w:eastAsia="Symbol" w:hAnsi="Symbol" w:cs="Symbol"/>
          <w:sz w:val="20"/>
          <w:szCs w:val="20"/>
          <w:lang w:val="fr-BE"/>
        </w:rPr>
      </w:pPr>
    </w:p>
    <w:p w:rsidR="00AC12B4" w:rsidRPr="00C27636" w:rsidRDefault="00C27636">
      <w:pPr>
        <w:spacing w:line="271" w:lineRule="auto"/>
        <w:ind w:left="440" w:right="737"/>
        <w:jc w:val="both"/>
        <w:rPr>
          <w:rFonts w:ascii="Symbol" w:eastAsia="Symbol" w:hAnsi="Symbol" w:cs="Symbol"/>
          <w:sz w:val="20"/>
          <w:szCs w:val="20"/>
          <w:lang w:val="fr-BE"/>
        </w:rPr>
      </w:pPr>
      <w:r w:rsidRPr="00C27636">
        <w:rPr>
          <w:rFonts w:ascii="Calibri" w:eastAsia="Calibri" w:hAnsi="Calibri" w:cs="Calibri"/>
          <w:sz w:val="20"/>
          <w:szCs w:val="20"/>
          <w:lang w:val="fr-BE"/>
        </w:rPr>
        <w:t>L’enquête HBSC propose une échelle</w:t>
      </w:r>
      <w:r w:rsidRPr="00C27636">
        <w:rPr>
          <w:rFonts w:ascii="Calibri" w:eastAsia="Calibri" w:hAnsi="Calibri" w:cs="Calibri"/>
          <w:sz w:val="20"/>
          <w:szCs w:val="20"/>
          <w:lang w:val="fr-BE"/>
        </w:rPr>
        <w:t xml:space="preserve"> allant de 0 à 10 pour évaluer sa satisfaction par rapport à la vie. En 2010, 84.1% des élèves du secondaire (en FWB) interrogés mentionnaient un niveau élevé de satisfaction vis-à-vis de leur vie (score entre 6 et 10 sur l’échelle proposée). Ce score est </w:t>
      </w:r>
      <w:r w:rsidRPr="00C27636">
        <w:rPr>
          <w:rFonts w:ascii="Calibri" w:eastAsia="Calibri" w:hAnsi="Calibri" w:cs="Calibri"/>
          <w:sz w:val="20"/>
          <w:szCs w:val="20"/>
          <w:lang w:val="fr-BE"/>
        </w:rPr>
        <w:t>très lié à la perception de son état de santé. Ainsi, il diminue à 67.9% pour les élèves déclarant avoir un état de santé « plutôt/pas très bonne ».</w:t>
      </w:r>
    </w:p>
    <w:p w:rsidR="00AC12B4" w:rsidRPr="00C27636" w:rsidRDefault="00AC12B4">
      <w:pPr>
        <w:spacing w:line="69" w:lineRule="exact"/>
        <w:rPr>
          <w:rFonts w:ascii="Symbol" w:eastAsia="Symbol" w:hAnsi="Symbol" w:cs="Symbol"/>
          <w:sz w:val="20"/>
          <w:szCs w:val="20"/>
          <w:lang w:val="fr-BE"/>
        </w:rPr>
      </w:pPr>
    </w:p>
    <w:p w:rsidR="00AC12B4" w:rsidRPr="00C27636" w:rsidRDefault="00C27636">
      <w:pPr>
        <w:numPr>
          <w:ilvl w:val="0"/>
          <w:numId w:val="76"/>
        </w:numPr>
        <w:tabs>
          <w:tab w:val="left" w:pos="440"/>
        </w:tabs>
        <w:spacing w:line="268" w:lineRule="auto"/>
        <w:ind w:left="440" w:right="737" w:hanging="367"/>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Autres indicateurs HBSC: </w:t>
      </w:r>
      <w:r w:rsidRPr="00C27636">
        <w:rPr>
          <w:rFonts w:ascii="Calibri" w:eastAsia="Calibri" w:hAnsi="Calibri" w:cs="Calibri"/>
          <w:color w:val="000000"/>
          <w:sz w:val="20"/>
          <w:szCs w:val="20"/>
          <w:lang w:val="fr-BE"/>
        </w:rPr>
        <w:t>L’enquête HBSC</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ne se limite pas à la question générale sur l’évaluation de l’état</w:t>
      </w:r>
      <w:r w:rsidRPr="00C27636">
        <w:rPr>
          <w:rFonts w:ascii="Calibri" w:eastAsia="Calibri" w:hAnsi="Calibri" w:cs="Calibri"/>
          <w:color w:val="000000"/>
          <w:sz w:val="20"/>
          <w:szCs w:val="20"/>
          <w:lang w:val="fr-BE"/>
        </w:rPr>
        <w:t xml:space="preserve"> de santé et sur la consommation de médicaments. Des questions sur des symptômes précis sont également présentes pour la santé physique (mal de tête, de ventre, de dos) ainsi que mentale (déprime, nervosité, difficulté d’endormissement).</w:t>
      </w:r>
    </w:p>
    <w:p w:rsidR="00AC12B4" w:rsidRPr="00C27636" w:rsidRDefault="00AC12B4">
      <w:pPr>
        <w:spacing w:line="13" w:lineRule="exact"/>
        <w:rPr>
          <w:rFonts w:ascii="Symbol" w:eastAsia="Symbol" w:hAnsi="Symbol" w:cs="Symbol"/>
          <w:sz w:val="20"/>
          <w:szCs w:val="20"/>
          <w:lang w:val="fr-BE"/>
        </w:rPr>
      </w:pPr>
    </w:p>
    <w:p w:rsidR="00AC12B4" w:rsidRPr="00C27636" w:rsidRDefault="00C27636">
      <w:pPr>
        <w:numPr>
          <w:ilvl w:val="0"/>
          <w:numId w:val="76"/>
        </w:numPr>
        <w:tabs>
          <w:tab w:val="left" w:pos="440"/>
        </w:tabs>
        <w:ind w:left="440" w:hanging="367"/>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Consommation de s</w:t>
      </w:r>
      <w:r w:rsidRPr="00C27636">
        <w:rPr>
          <w:rFonts w:ascii="Calibri" w:eastAsia="Calibri" w:hAnsi="Calibri" w:cs="Calibri"/>
          <w:b/>
          <w:bCs/>
          <w:i/>
          <w:iCs/>
          <w:color w:val="9BBB59"/>
          <w:sz w:val="20"/>
          <w:szCs w:val="20"/>
          <w:lang w:val="fr-BE"/>
        </w:rPr>
        <w:t xml:space="preserve">oins de santé :  </w:t>
      </w:r>
      <w:r w:rsidRPr="00C27636">
        <w:rPr>
          <w:rFonts w:ascii="Calibri" w:eastAsia="Calibri" w:hAnsi="Calibri" w:cs="Calibri"/>
          <w:color w:val="000000"/>
          <w:sz w:val="20"/>
          <w:szCs w:val="20"/>
          <w:lang w:val="fr-BE"/>
        </w:rPr>
        <w:t>La</w:t>
      </w:r>
    </w:p>
    <w:p w:rsidR="00AC12B4" w:rsidRPr="00C27636" w:rsidRDefault="00AC12B4">
      <w:pPr>
        <w:spacing w:line="83" w:lineRule="exact"/>
        <w:rPr>
          <w:rFonts w:ascii="Symbol" w:eastAsia="Symbol" w:hAnsi="Symbol" w:cs="Symbol"/>
          <w:sz w:val="20"/>
          <w:szCs w:val="20"/>
          <w:lang w:val="fr-BE"/>
        </w:rPr>
      </w:pPr>
    </w:p>
    <w:p w:rsidR="00AC12B4" w:rsidRPr="00C27636" w:rsidRDefault="00C27636">
      <w:pPr>
        <w:spacing w:line="271" w:lineRule="auto"/>
        <w:ind w:left="440" w:right="737"/>
        <w:jc w:val="both"/>
        <w:rPr>
          <w:rFonts w:ascii="Symbol" w:eastAsia="Symbol" w:hAnsi="Symbol" w:cs="Symbol"/>
          <w:sz w:val="20"/>
          <w:szCs w:val="20"/>
          <w:lang w:val="fr-BE"/>
        </w:rPr>
      </w:pPr>
      <w:r w:rsidRPr="00C27636">
        <w:rPr>
          <w:rFonts w:ascii="Calibri" w:eastAsia="Calibri" w:hAnsi="Calibri" w:cs="Calibri"/>
          <w:sz w:val="20"/>
          <w:szCs w:val="20"/>
          <w:lang w:val="fr-BE"/>
        </w:rPr>
        <w:t>consommation de soins, bien qu’intéressante en-soi est un moins bon indicateur de l’état de santé car elle reste difficilement interprétable. En effet, une augmentation de celle-ci peut refléter un état de santé en détérioration mais é</w:t>
      </w:r>
      <w:r w:rsidRPr="00C27636">
        <w:rPr>
          <w:rFonts w:ascii="Calibri" w:eastAsia="Calibri" w:hAnsi="Calibri" w:cs="Calibri"/>
          <w:sz w:val="20"/>
          <w:szCs w:val="20"/>
          <w:lang w:val="fr-BE"/>
        </w:rPr>
        <w:t>galement une accessibilité accrue des soins de santé ou encore une surmédicalisation. (source : HBSC : Depuis un mois, as-tu pris des médicaments ? (recodé en oui/non)).</w:t>
      </w:r>
    </w:p>
    <w:p w:rsidR="00AC12B4" w:rsidRPr="00C27636" w:rsidRDefault="00AC12B4">
      <w:pPr>
        <w:rPr>
          <w:lang w:val="fr-BE"/>
        </w:rPr>
        <w:sectPr w:rsidR="00AC12B4" w:rsidRPr="00C27636">
          <w:pgSz w:w="12080" w:h="17179"/>
          <w:pgMar w:top="1440" w:right="1440" w:bottom="659" w:left="478" w:header="0" w:footer="0" w:gutter="0"/>
          <w:cols w:num="2" w:space="720" w:equalWidth="0">
            <w:col w:w="5302" w:space="240"/>
            <w:col w:w="4617"/>
          </w:cols>
        </w:sectPr>
      </w:pPr>
    </w:p>
    <w:p w:rsidR="00AC12B4" w:rsidRPr="00C27636" w:rsidRDefault="00AC12B4">
      <w:pPr>
        <w:spacing w:line="168" w:lineRule="exact"/>
        <w:rPr>
          <w:sz w:val="20"/>
          <w:szCs w:val="20"/>
          <w:lang w:val="fr-BE"/>
        </w:rPr>
      </w:pPr>
      <w:bookmarkStart w:id="66" w:name="page67"/>
      <w:bookmarkEnd w:id="66"/>
    </w:p>
    <w:p w:rsidR="00AC12B4" w:rsidRPr="00C27636" w:rsidRDefault="00C27636">
      <w:pPr>
        <w:jc w:val="right"/>
        <w:rPr>
          <w:sz w:val="20"/>
          <w:szCs w:val="20"/>
          <w:lang w:val="fr-BE"/>
        </w:rPr>
      </w:pPr>
      <w:r w:rsidRPr="00C27636">
        <w:rPr>
          <w:rFonts w:ascii="Comic Sans MS" w:eastAsia="Comic Sans MS" w:hAnsi="Comic Sans MS" w:cs="Comic Sans MS"/>
          <w:color w:val="C9D11D"/>
          <w:sz w:val="40"/>
          <w:szCs w:val="40"/>
          <w:lang w:val="fr-BE"/>
        </w:rPr>
        <w:t>S2. Mortalité infantile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475456" behindDoc="1" locked="0" layoutInCell="0" allowOverlap="1">
                <wp:simplePos x="0" y="0"/>
                <wp:positionH relativeFrom="column">
                  <wp:posOffset>-300355</wp:posOffset>
                </wp:positionH>
                <wp:positionV relativeFrom="paragraph">
                  <wp:posOffset>300990</wp:posOffset>
                </wp:positionV>
                <wp:extent cx="3559810" cy="1094105"/>
                <wp:effectExtent l="0" t="0" r="0" b="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094105"/>
                        </a:xfrm>
                        <a:prstGeom prst="rect">
                          <a:avLst/>
                        </a:prstGeom>
                        <a:solidFill>
                          <a:srgbClr val="C9D11D"/>
                        </a:solidFill>
                      </wps:spPr>
                      <wps:bodyPr/>
                    </wps:wsp>
                  </a:graphicData>
                </a:graphic>
              </wp:anchor>
            </w:drawing>
          </mc:Choice>
          <mc:Fallback>
            <w:pict>
              <v:rect id="Shape 132" o:spid="_x0000_s1157" style="position:absolute;margin-left:-23.6499pt;margin-top:23.7pt;width:280.3pt;height:8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D11D" stroked="f"/>
            </w:pict>
          </mc:Fallback>
        </mc:AlternateContent>
      </w:r>
      <w:r>
        <w:rPr>
          <w:noProof/>
          <w:sz w:val="20"/>
          <w:szCs w:val="20"/>
        </w:rPr>
        <mc:AlternateContent>
          <mc:Choice Requires="wps">
            <w:drawing>
              <wp:anchor distT="0" distB="0" distL="114300" distR="114300" simplePos="0" relativeHeight="251476480" behindDoc="1" locked="0" layoutInCell="0" allowOverlap="1">
                <wp:simplePos x="0" y="0"/>
                <wp:positionH relativeFrom="column">
                  <wp:posOffset>3259455</wp:posOffset>
                </wp:positionH>
                <wp:positionV relativeFrom="paragraph">
                  <wp:posOffset>288290</wp:posOffset>
                </wp:positionV>
                <wp:extent cx="0" cy="1119505"/>
                <wp:effectExtent l="0" t="0" r="0" b="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1950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65pt,22.7pt" to="256.65pt,110.85pt" o:allowincell="f" strokecolor="#919715" strokeweight="2pt"/>
            </w:pict>
          </mc:Fallback>
        </mc:AlternateContent>
      </w:r>
      <w:r>
        <w:rPr>
          <w:noProof/>
          <w:sz w:val="20"/>
          <w:szCs w:val="20"/>
        </w:rPr>
        <mc:AlternateContent>
          <mc:Choice Requires="wps">
            <w:drawing>
              <wp:anchor distT="0" distB="0" distL="114300" distR="114300" simplePos="0" relativeHeight="251477504" behindDoc="1" locked="0" layoutInCell="0" allowOverlap="1">
                <wp:simplePos x="0" y="0"/>
                <wp:positionH relativeFrom="column">
                  <wp:posOffset>-313055</wp:posOffset>
                </wp:positionH>
                <wp:positionV relativeFrom="paragraph">
                  <wp:posOffset>300990</wp:posOffset>
                </wp:positionV>
                <wp:extent cx="3585210" cy="0"/>
                <wp:effectExtent l="0" t="0" r="0" b="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499pt,23.7pt" to="257.65pt,23.7pt" o:allowincell="f" strokecolor="#919715" strokeweight="2pt"/>
            </w:pict>
          </mc:Fallback>
        </mc:AlternateContent>
      </w:r>
      <w:r>
        <w:rPr>
          <w:noProof/>
          <w:sz w:val="20"/>
          <w:szCs w:val="20"/>
        </w:rPr>
        <mc:AlternateContent>
          <mc:Choice Requires="wps">
            <w:drawing>
              <wp:anchor distT="0" distB="0" distL="114300" distR="114300" simplePos="0" relativeHeight="251478528" behindDoc="1" locked="0" layoutInCell="0" allowOverlap="1">
                <wp:simplePos x="0" y="0"/>
                <wp:positionH relativeFrom="column">
                  <wp:posOffset>-300355</wp:posOffset>
                </wp:positionH>
                <wp:positionV relativeFrom="paragraph">
                  <wp:posOffset>288290</wp:posOffset>
                </wp:positionV>
                <wp:extent cx="0" cy="1119505"/>
                <wp:effectExtent l="0" t="0" r="0" b="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1950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499pt,22.7pt" to="-23.6499pt,110.85pt" o:allowincell="f" strokecolor="#919715" strokeweight="2pt"/>
            </w:pict>
          </mc:Fallback>
        </mc:AlternateContent>
      </w:r>
      <w:r>
        <w:rPr>
          <w:noProof/>
          <w:sz w:val="20"/>
          <w:szCs w:val="20"/>
        </w:rPr>
        <mc:AlternateContent>
          <mc:Choice Requires="wps">
            <w:drawing>
              <wp:anchor distT="0" distB="0" distL="114300" distR="114300" simplePos="0" relativeHeight="251479552" behindDoc="1" locked="0" layoutInCell="0" allowOverlap="1">
                <wp:simplePos x="0" y="0"/>
                <wp:positionH relativeFrom="column">
                  <wp:posOffset>-313055</wp:posOffset>
                </wp:positionH>
                <wp:positionV relativeFrom="paragraph">
                  <wp:posOffset>1395095</wp:posOffset>
                </wp:positionV>
                <wp:extent cx="3585210" cy="0"/>
                <wp:effectExtent l="0" t="0" r="0" b="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499pt,109.85pt" to="257.65pt,109.85pt" o:allowincell="f" strokecolor="#919715" strokeweight="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1" w:lineRule="exact"/>
        <w:rPr>
          <w:sz w:val="20"/>
          <w:szCs w:val="20"/>
          <w:lang w:val="fr-BE"/>
        </w:rPr>
      </w:pPr>
    </w:p>
    <w:p w:rsidR="00AC12B4" w:rsidRPr="00C27636" w:rsidRDefault="00C27636">
      <w:pPr>
        <w:ind w:left="80"/>
        <w:rPr>
          <w:sz w:val="20"/>
          <w:szCs w:val="20"/>
          <w:lang w:val="fr-BE"/>
        </w:rPr>
      </w:pPr>
      <w:r w:rsidRPr="00C27636">
        <w:rPr>
          <w:rFonts w:ascii="Calibri" w:eastAsia="Calibri" w:hAnsi="Calibri" w:cs="Calibri"/>
          <w:color w:val="FFFFFF"/>
          <w:lang w:val="fr-BE"/>
        </w:rPr>
        <w:t>Article 24.</w:t>
      </w:r>
    </w:p>
    <w:p w:rsidR="00AC12B4" w:rsidRPr="00C27636" w:rsidRDefault="00AC12B4">
      <w:pPr>
        <w:spacing w:line="169" w:lineRule="exact"/>
        <w:rPr>
          <w:sz w:val="20"/>
          <w:szCs w:val="20"/>
          <w:lang w:val="fr-BE"/>
        </w:rPr>
      </w:pPr>
    </w:p>
    <w:p w:rsidR="00AC12B4" w:rsidRPr="00C27636" w:rsidRDefault="00C27636">
      <w:pPr>
        <w:spacing w:line="226" w:lineRule="auto"/>
        <w:ind w:left="80" w:right="220"/>
        <w:jc w:val="both"/>
        <w:rPr>
          <w:sz w:val="20"/>
          <w:szCs w:val="20"/>
          <w:lang w:val="fr-BE"/>
        </w:rPr>
      </w:pPr>
      <w:r w:rsidRPr="00C27636">
        <w:rPr>
          <w:rFonts w:ascii="Calibri" w:eastAsia="Calibri" w:hAnsi="Calibri" w:cs="Calibri"/>
          <w:i/>
          <w:iCs/>
          <w:color w:val="FFFFFF"/>
          <w:lang w:val="fr-BE"/>
        </w:rPr>
        <w:t>2.a. Les États</w:t>
      </w:r>
      <w:r w:rsidRPr="00C27636">
        <w:rPr>
          <w:rFonts w:ascii="Calibri" w:eastAsia="Calibri" w:hAnsi="Calibri" w:cs="Calibri"/>
          <w:i/>
          <w:iCs/>
          <w:color w:val="FFFFFF"/>
          <w:lang w:val="fr-BE"/>
        </w:rPr>
        <w:t xml:space="preserve"> prennent des mesures appropriées pour réduire la mortalité parmi les nourrissons et les enfants.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2" w:lineRule="exact"/>
        <w:rPr>
          <w:sz w:val="20"/>
          <w:szCs w:val="20"/>
          <w:lang w:val="fr-BE"/>
        </w:rPr>
      </w:pPr>
    </w:p>
    <w:p w:rsidR="00AC12B4" w:rsidRPr="00C27636" w:rsidRDefault="00C27636">
      <w:pPr>
        <w:spacing w:line="231" w:lineRule="auto"/>
        <w:ind w:right="1040"/>
        <w:jc w:val="both"/>
        <w:rPr>
          <w:sz w:val="20"/>
          <w:szCs w:val="20"/>
          <w:lang w:val="fr-BE"/>
        </w:rPr>
      </w:pPr>
      <w:r w:rsidRPr="00C27636">
        <w:rPr>
          <w:rFonts w:ascii="Calibri" w:eastAsia="Calibri" w:hAnsi="Calibri" w:cs="Calibri"/>
          <w:lang w:val="fr-BE"/>
        </w:rPr>
        <w:t>Notons qu’entre 0 et un an, 94% des décès sont dus à des causes naturelles. Celles-ci restent largement majoritaires entre 1 et 14 ans (plus de 80% des</w:t>
      </w:r>
      <w:r w:rsidRPr="00C27636">
        <w:rPr>
          <w:rFonts w:ascii="Calibri" w:eastAsia="Calibri" w:hAnsi="Calibri" w:cs="Calibri"/>
          <w:lang w:val="fr-BE"/>
        </w:rPr>
        <w:t xml:space="preserve"> décès des 5-14 ans). Par contre 63% des décès survenant entre 14 et 19 ans sont de causes externes (p.ex accident)</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480576" behindDoc="1" locked="0" layoutInCell="0" allowOverlap="1">
            <wp:simplePos x="0" y="0"/>
            <wp:positionH relativeFrom="column">
              <wp:posOffset>2677795</wp:posOffset>
            </wp:positionH>
            <wp:positionV relativeFrom="paragraph">
              <wp:posOffset>-2767965</wp:posOffset>
            </wp:positionV>
            <wp:extent cx="800100" cy="10908665"/>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spacing w:line="133" w:lineRule="exact"/>
        <w:rPr>
          <w:sz w:val="20"/>
          <w:szCs w:val="20"/>
          <w:lang w:val="fr-BE"/>
        </w:rPr>
      </w:pPr>
    </w:p>
    <w:p w:rsidR="00AC12B4" w:rsidRPr="00C27636" w:rsidRDefault="00AC12B4">
      <w:pPr>
        <w:rPr>
          <w:lang w:val="fr-BE"/>
        </w:rPr>
        <w:sectPr w:rsidR="00AC12B4" w:rsidRPr="00C27636">
          <w:pgSz w:w="12080" w:h="17179"/>
          <w:pgMar w:top="1440" w:right="557" w:bottom="659" w:left="1040" w:header="0" w:footer="0" w:gutter="0"/>
          <w:cols w:num="2" w:space="720" w:equalWidth="0">
            <w:col w:w="5180" w:space="380"/>
            <w:col w:w="4920"/>
          </w:cols>
        </w:sectPr>
      </w:pPr>
    </w:p>
    <w:p w:rsidR="00AC12B4" w:rsidRPr="00C27636" w:rsidRDefault="00AC12B4">
      <w:pPr>
        <w:spacing w:line="156" w:lineRule="exact"/>
        <w:rPr>
          <w:sz w:val="20"/>
          <w:szCs w:val="20"/>
          <w:lang w:val="fr-BE"/>
        </w:rPr>
      </w:pPr>
    </w:p>
    <w:p w:rsidR="00AC12B4" w:rsidRPr="00C27636" w:rsidRDefault="00C27636">
      <w:pPr>
        <w:spacing w:line="217" w:lineRule="auto"/>
        <w:ind w:left="960"/>
        <w:rPr>
          <w:sz w:val="20"/>
          <w:szCs w:val="20"/>
          <w:lang w:val="fr-BE"/>
        </w:rPr>
      </w:pPr>
      <w:r w:rsidRPr="00C27636">
        <w:rPr>
          <w:rFonts w:ascii="Calibri" w:eastAsia="Calibri" w:hAnsi="Calibri" w:cs="Calibri"/>
          <w:lang w:val="fr-BE"/>
        </w:rPr>
        <w:t>L'intérêt de l'enfant (art. 3) et le droit à la vie, à la survie et au développement (art.</w:t>
      </w:r>
    </w:p>
    <w:p w:rsidR="00AC12B4" w:rsidRPr="00C27636" w:rsidRDefault="00AC12B4">
      <w:pPr>
        <w:spacing w:line="50" w:lineRule="exact"/>
        <w:rPr>
          <w:sz w:val="20"/>
          <w:szCs w:val="20"/>
          <w:lang w:val="fr-BE"/>
        </w:rPr>
      </w:pPr>
    </w:p>
    <w:p w:rsidR="00AC12B4" w:rsidRPr="00C27636" w:rsidRDefault="00C27636">
      <w:pPr>
        <w:numPr>
          <w:ilvl w:val="0"/>
          <w:numId w:val="77"/>
        </w:numPr>
        <w:tabs>
          <w:tab w:val="left" w:pos="1192"/>
        </w:tabs>
        <w:spacing w:line="234" w:lineRule="auto"/>
        <w:ind w:left="960" w:firstLine="7"/>
        <w:jc w:val="both"/>
        <w:rPr>
          <w:rFonts w:ascii="Calibri" w:eastAsia="Calibri" w:hAnsi="Calibri" w:cs="Calibri"/>
          <w:lang w:val="fr-BE"/>
        </w:rPr>
      </w:pPr>
      <w:r w:rsidRPr="00C27636">
        <w:rPr>
          <w:rFonts w:ascii="Calibri" w:eastAsia="Calibri" w:hAnsi="Calibri" w:cs="Calibri"/>
          <w:lang w:val="fr-BE"/>
        </w:rPr>
        <w:t>appuient l'obli</w:t>
      </w:r>
      <w:r w:rsidRPr="00C27636">
        <w:rPr>
          <w:rFonts w:ascii="Calibri" w:eastAsia="Calibri" w:hAnsi="Calibri" w:cs="Calibri"/>
          <w:lang w:val="fr-BE"/>
        </w:rPr>
        <w:t>gation des États à prendre des mesures appropriées pour réduire la mortalité parmi les nourrissons et les enfants. Compte tenu également de la problématique du suicide, dans ses observations finales de 2010, le Comité des droits de l'enfant a appelé la Bel</w:t>
      </w:r>
      <w:r w:rsidRPr="00C27636">
        <w:rPr>
          <w:rFonts w:ascii="Calibri" w:eastAsia="Calibri" w:hAnsi="Calibri" w:cs="Calibri"/>
          <w:lang w:val="fr-BE"/>
        </w:rPr>
        <w:t>gique à donner accès à un large éventail de</w:t>
      </w:r>
    </w:p>
    <w:p w:rsidR="00AC12B4" w:rsidRPr="00C27636" w:rsidRDefault="00AC12B4">
      <w:pPr>
        <w:spacing w:line="55" w:lineRule="exact"/>
        <w:rPr>
          <w:rFonts w:ascii="Calibri" w:eastAsia="Calibri" w:hAnsi="Calibri" w:cs="Calibri"/>
          <w:lang w:val="fr-BE"/>
        </w:rPr>
      </w:pPr>
    </w:p>
    <w:p w:rsidR="00AC12B4" w:rsidRPr="00C27636" w:rsidRDefault="00C27636">
      <w:pPr>
        <w:spacing w:line="217" w:lineRule="auto"/>
        <w:ind w:left="960"/>
        <w:jc w:val="both"/>
        <w:rPr>
          <w:rFonts w:ascii="Calibri" w:eastAsia="Calibri" w:hAnsi="Calibri" w:cs="Calibri"/>
          <w:lang w:val="fr-BE"/>
        </w:rPr>
      </w:pPr>
      <w:r w:rsidRPr="00C27636">
        <w:rPr>
          <w:rFonts w:ascii="Calibri" w:eastAsia="Calibri" w:hAnsi="Calibri" w:cs="Calibri"/>
          <w:lang w:val="fr-BE"/>
        </w:rPr>
        <w:t>mesures et thérapies d’ordre psychologique, éducatif et social, à réduire</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481600" behindDoc="1" locked="0" layoutInCell="0" allowOverlap="1">
            <wp:simplePos x="0" y="0"/>
            <wp:positionH relativeFrom="column">
              <wp:posOffset>-4445</wp:posOffset>
            </wp:positionH>
            <wp:positionV relativeFrom="paragraph">
              <wp:posOffset>158115</wp:posOffset>
            </wp:positionV>
            <wp:extent cx="5359400" cy="307213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1">
                      <a:extLst/>
                    </a:blip>
                    <a:srcRect/>
                    <a:stretch>
                      <a:fillRect/>
                    </a:stretch>
                  </pic:blipFill>
                  <pic:spPr bwMode="auto">
                    <a:xfrm>
                      <a:off x="0" y="0"/>
                      <a:ext cx="5359400" cy="3072130"/>
                    </a:xfrm>
                    <a:prstGeom prst="rect">
                      <a:avLst/>
                    </a:prstGeom>
                    <a:noFill/>
                  </pic:spPr>
                </pic:pic>
              </a:graphicData>
            </a:graphic>
          </wp:anchor>
        </w:drawing>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209" w:lineRule="auto"/>
        <w:ind w:right="1040"/>
        <w:jc w:val="both"/>
        <w:rPr>
          <w:sz w:val="20"/>
          <w:szCs w:val="20"/>
          <w:lang w:val="fr-BE"/>
        </w:rPr>
      </w:pPr>
      <w:r w:rsidRPr="00C27636">
        <w:rPr>
          <w:rFonts w:ascii="Calibri" w:eastAsia="Calibri" w:hAnsi="Calibri" w:cs="Calibri"/>
          <w:lang w:val="fr-BE"/>
        </w:rPr>
        <w:t>Les données présentées ci-dessous proviennent de StatBel</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AC12B4">
      <w:pPr>
        <w:spacing w:line="172"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919715"/>
          <w:sz w:val="26"/>
          <w:szCs w:val="26"/>
          <w:lang w:val="fr-BE"/>
        </w:rPr>
        <w:t>Evolution</w:t>
      </w:r>
    </w:p>
    <w:p w:rsidR="00AC12B4" w:rsidRPr="00C27636" w:rsidRDefault="00AC12B4">
      <w:pPr>
        <w:spacing w:line="210" w:lineRule="exact"/>
        <w:rPr>
          <w:sz w:val="20"/>
          <w:szCs w:val="20"/>
          <w:lang w:val="fr-BE"/>
        </w:rPr>
      </w:pPr>
    </w:p>
    <w:p w:rsidR="00AC12B4" w:rsidRPr="00C27636" w:rsidRDefault="00C27636">
      <w:pPr>
        <w:spacing w:line="230" w:lineRule="auto"/>
        <w:ind w:right="1040"/>
        <w:jc w:val="both"/>
        <w:rPr>
          <w:rFonts w:ascii="Calibri" w:eastAsia="Calibri" w:hAnsi="Calibri" w:cs="Calibri"/>
          <w:lang w:val="fr-BE"/>
        </w:rPr>
      </w:pPr>
      <w:r w:rsidRPr="00C27636">
        <w:rPr>
          <w:rFonts w:ascii="Calibri" w:eastAsia="Calibri" w:hAnsi="Calibri" w:cs="Calibri"/>
          <w:lang w:val="fr-BE"/>
        </w:rPr>
        <w:t xml:space="preserve">La mortalité infantile (décès à moins d’un an) a diminué drastiquement au cours des dernières décennies jusqu’à se stabiliser depuis une vingtaine d’années aux alentours de 3.5‰ (Cf. </w:t>
      </w:r>
      <w:hyperlink w:anchor="page67">
        <w:r w:rsidRPr="00C27636">
          <w:rPr>
            <w:rFonts w:ascii="Calibri" w:eastAsia="Calibri" w:hAnsi="Calibri" w:cs="Calibri"/>
            <w:lang w:val="fr-BE"/>
          </w:rPr>
          <w:t>Figure )</w:t>
        </w:r>
      </w:hyperlink>
      <w:r w:rsidRPr="00C27636">
        <w:rPr>
          <w:rFonts w:ascii="Calibri" w:eastAsia="Calibri" w:hAnsi="Calibri" w:cs="Calibri"/>
          <w:lang w:val="fr-BE"/>
        </w:rPr>
        <w:t>.</w:t>
      </w:r>
    </w:p>
    <w:p w:rsidR="00AC12B4" w:rsidRPr="00C27636" w:rsidRDefault="00AC12B4">
      <w:pPr>
        <w:spacing w:line="175" w:lineRule="exact"/>
        <w:rPr>
          <w:sz w:val="20"/>
          <w:szCs w:val="20"/>
          <w:lang w:val="fr-BE"/>
        </w:rPr>
      </w:pPr>
    </w:p>
    <w:p w:rsidR="00AC12B4" w:rsidRPr="00C27636" w:rsidRDefault="00C27636">
      <w:pPr>
        <w:ind w:right="1060"/>
        <w:jc w:val="right"/>
        <w:rPr>
          <w:sz w:val="20"/>
          <w:szCs w:val="20"/>
          <w:lang w:val="fr-BE"/>
        </w:rPr>
      </w:pPr>
      <w:r w:rsidRPr="00C27636">
        <w:rPr>
          <w:rFonts w:ascii="Calibri" w:eastAsia="Calibri" w:hAnsi="Calibri" w:cs="Calibri"/>
          <w:lang w:val="fr-BE"/>
        </w:rPr>
        <w:t>En 2012 en Belgique, moins de 10%</w:t>
      </w:r>
      <w:r w:rsidRPr="00C27636">
        <w:rPr>
          <w:rFonts w:ascii="Calibri" w:eastAsia="Calibri" w:hAnsi="Calibri" w:cs="Calibri"/>
          <w:lang w:val="fr-BE"/>
        </w:rPr>
        <w:t xml:space="preserve"> des décès survenant à moins d’un an étaient dus  à  des  causes  externes  (accidents, maltraitance   p.ex.).   Le reste étant dû à des causes « naturelles »    (maladies congénitales, infections,…).</w:t>
      </w:r>
    </w:p>
    <w:p w:rsidR="00AC12B4" w:rsidRPr="00C27636" w:rsidRDefault="00AC12B4">
      <w:pPr>
        <w:spacing w:line="200" w:lineRule="exact"/>
        <w:rPr>
          <w:sz w:val="20"/>
          <w:szCs w:val="20"/>
          <w:lang w:val="fr-BE"/>
        </w:rPr>
      </w:pPr>
    </w:p>
    <w:p w:rsidR="00AC12B4" w:rsidRPr="00C27636" w:rsidRDefault="00AC12B4">
      <w:pPr>
        <w:spacing w:line="227" w:lineRule="exact"/>
        <w:rPr>
          <w:sz w:val="20"/>
          <w:szCs w:val="20"/>
          <w:lang w:val="fr-BE"/>
        </w:rPr>
      </w:pPr>
    </w:p>
    <w:p w:rsidR="00AC12B4" w:rsidRDefault="00C27636">
      <w:pPr>
        <w:ind w:left="1400"/>
        <w:rPr>
          <w:sz w:val="20"/>
          <w:szCs w:val="20"/>
        </w:rPr>
      </w:pPr>
      <w:r>
        <w:rPr>
          <w:rFonts w:ascii="Cambria" w:eastAsia="Cambria" w:hAnsi="Cambria" w:cs="Cambria"/>
          <w:b/>
          <w:bCs/>
          <w:i/>
          <w:iCs/>
          <w:color w:val="919715"/>
          <w:sz w:val="26"/>
          <w:szCs w:val="26"/>
        </w:rPr>
        <w:t>Iniquité</w:t>
      </w:r>
    </w:p>
    <w:p w:rsidR="00AC12B4" w:rsidRDefault="00AC12B4">
      <w:pPr>
        <w:spacing w:line="166" w:lineRule="exact"/>
        <w:rPr>
          <w:sz w:val="20"/>
          <w:szCs w:val="20"/>
        </w:rPr>
      </w:pPr>
    </w:p>
    <w:p w:rsidR="00AC12B4" w:rsidRDefault="00C27636">
      <w:pPr>
        <w:numPr>
          <w:ilvl w:val="0"/>
          <w:numId w:val="78"/>
        </w:numPr>
        <w:tabs>
          <w:tab w:val="left" w:pos="2100"/>
        </w:tabs>
        <w:ind w:left="2100" w:hanging="346"/>
        <w:rPr>
          <w:rFonts w:ascii="Wingdings" w:eastAsia="Wingdings" w:hAnsi="Wingdings" w:cs="Wingdings"/>
          <w:color w:val="C9D11D"/>
        </w:rPr>
      </w:pPr>
      <w:r>
        <w:rPr>
          <w:rFonts w:ascii="Cambria" w:eastAsia="Cambria" w:hAnsi="Cambria" w:cs="Cambria"/>
          <w:i/>
          <w:iCs/>
          <w:color w:val="C9D11D"/>
        </w:rPr>
        <w:t>Origine de la</w:t>
      </w:r>
    </w:p>
    <w:p w:rsidR="00AC12B4" w:rsidRDefault="00AC12B4">
      <w:pPr>
        <w:spacing w:line="37" w:lineRule="exact"/>
        <w:rPr>
          <w:rFonts w:ascii="Wingdings" w:eastAsia="Wingdings" w:hAnsi="Wingdings" w:cs="Wingdings"/>
          <w:color w:val="C9D11D"/>
        </w:rPr>
      </w:pPr>
    </w:p>
    <w:p w:rsidR="00AC12B4" w:rsidRDefault="00C27636">
      <w:pPr>
        <w:ind w:left="1400"/>
        <w:rPr>
          <w:rFonts w:ascii="Wingdings" w:eastAsia="Wingdings" w:hAnsi="Wingdings" w:cs="Wingdings"/>
          <w:color w:val="C9D11D"/>
        </w:rPr>
      </w:pPr>
      <w:r>
        <w:rPr>
          <w:rFonts w:ascii="Cambria" w:eastAsia="Cambria" w:hAnsi="Cambria" w:cs="Cambria"/>
          <w:i/>
          <w:iCs/>
          <w:color w:val="C9D11D"/>
        </w:rPr>
        <w:t>mère</w:t>
      </w:r>
    </w:p>
    <w:p w:rsidR="00AC12B4" w:rsidRDefault="00AC12B4">
      <w:pPr>
        <w:spacing w:line="202" w:lineRule="exact"/>
        <w:rPr>
          <w:sz w:val="20"/>
          <w:szCs w:val="20"/>
        </w:rPr>
      </w:pPr>
    </w:p>
    <w:p w:rsidR="00AC12B4" w:rsidRPr="00C27636" w:rsidRDefault="00C27636">
      <w:pPr>
        <w:spacing w:line="227" w:lineRule="auto"/>
        <w:ind w:left="1400" w:right="1060"/>
        <w:jc w:val="both"/>
        <w:rPr>
          <w:sz w:val="20"/>
          <w:szCs w:val="20"/>
          <w:lang w:val="fr-BE"/>
        </w:rPr>
      </w:pPr>
      <w:r w:rsidRPr="00C27636">
        <w:rPr>
          <w:rFonts w:ascii="Calibri" w:eastAsia="Calibri" w:hAnsi="Calibri" w:cs="Calibri"/>
          <w:lang w:val="fr-BE"/>
        </w:rPr>
        <w:t xml:space="preserve">Si l’on prend en </w:t>
      </w:r>
      <w:r w:rsidRPr="00C27636">
        <w:rPr>
          <w:rFonts w:ascii="Calibri" w:eastAsia="Calibri" w:hAnsi="Calibri" w:cs="Calibri"/>
          <w:lang w:val="fr-BE"/>
        </w:rPr>
        <w:t>considération les années 2010 et 2011, le taux de mortalité infantile qui est de 3,4‰ pour des enfants ayant une mère d’origine belge grimpe à 4,2‰ pour des mères originaires</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xml:space="preserve"> du</w:t>
      </w:r>
    </w:p>
    <w:p w:rsidR="00AC12B4" w:rsidRPr="00C27636" w:rsidRDefault="00AC12B4">
      <w:pPr>
        <w:spacing w:line="1" w:lineRule="exact"/>
        <w:rPr>
          <w:sz w:val="20"/>
          <w:szCs w:val="20"/>
          <w:lang w:val="fr-BE"/>
        </w:rPr>
      </w:pPr>
    </w:p>
    <w:p w:rsidR="00AC12B4" w:rsidRPr="00C27636" w:rsidRDefault="00AC12B4">
      <w:pPr>
        <w:rPr>
          <w:lang w:val="fr-BE"/>
        </w:rPr>
        <w:sectPr w:rsidR="00AC12B4" w:rsidRPr="00C27636">
          <w:type w:val="continuous"/>
          <w:pgSz w:w="12080" w:h="17179"/>
          <w:pgMar w:top="1440" w:right="557" w:bottom="659" w:left="1040" w:header="0" w:footer="0" w:gutter="0"/>
          <w:cols w:num="2" w:space="720" w:equalWidth="0">
            <w:col w:w="4840" w:space="720"/>
            <w:col w:w="4920"/>
          </w:cols>
        </w:sectPr>
      </w:pPr>
    </w:p>
    <w:p w:rsidR="00AC12B4" w:rsidRPr="00C27636" w:rsidRDefault="00C27636">
      <w:pPr>
        <w:spacing w:line="201" w:lineRule="auto"/>
        <w:rPr>
          <w:sz w:val="20"/>
          <w:szCs w:val="20"/>
          <w:lang w:val="fr-BE"/>
        </w:rPr>
      </w:pPr>
      <w:r w:rsidRPr="00C27636">
        <w:rPr>
          <w:rFonts w:ascii="Calibri" w:eastAsia="Calibri" w:hAnsi="Calibri" w:cs="Calibri"/>
          <w:b/>
          <w:bCs/>
          <w:color w:val="4F81BD"/>
          <w:sz w:val="18"/>
          <w:szCs w:val="18"/>
          <w:lang w:val="fr-BE"/>
        </w:rPr>
        <w:lastRenderedPageBreak/>
        <w:t>Figure 1. Statbel</w:t>
      </w:r>
    </w:p>
    <w:p w:rsidR="00AC12B4" w:rsidRPr="00C27636" w:rsidRDefault="00AC12B4">
      <w:pPr>
        <w:spacing w:line="256" w:lineRule="exact"/>
        <w:rPr>
          <w:sz w:val="20"/>
          <w:szCs w:val="20"/>
          <w:lang w:val="fr-BE"/>
        </w:rPr>
      </w:pPr>
    </w:p>
    <w:p w:rsidR="00AC12B4" w:rsidRPr="00C27636" w:rsidRDefault="00C27636">
      <w:pPr>
        <w:spacing w:line="231" w:lineRule="auto"/>
        <w:ind w:left="960"/>
        <w:jc w:val="both"/>
        <w:rPr>
          <w:sz w:val="20"/>
          <w:szCs w:val="20"/>
          <w:lang w:val="fr-BE"/>
        </w:rPr>
      </w:pPr>
      <w:r w:rsidRPr="00C27636">
        <w:rPr>
          <w:rFonts w:ascii="Calibri" w:eastAsia="Calibri" w:hAnsi="Calibri" w:cs="Calibri"/>
          <w:lang w:val="fr-BE"/>
        </w:rPr>
        <w:t>la longueur des listes d’att</w:t>
      </w:r>
      <w:r w:rsidRPr="00C27636">
        <w:rPr>
          <w:rFonts w:ascii="Calibri" w:eastAsia="Calibri" w:hAnsi="Calibri" w:cs="Calibri"/>
          <w:lang w:val="fr-BE"/>
        </w:rPr>
        <w:t>ente et à développer la prévention et le traitement des troubles mentaux relevant du système de soins de santé primaires et des services spécialisés (CO CRC 2010, § 45).</w:t>
      </w:r>
    </w:p>
    <w:p w:rsidR="00AC12B4" w:rsidRPr="00C27636" w:rsidRDefault="00AC12B4">
      <w:pPr>
        <w:spacing w:line="172" w:lineRule="exact"/>
        <w:rPr>
          <w:sz w:val="20"/>
          <w:szCs w:val="20"/>
          <w:lang w:val="fr-BE"/>
        </w:rPr>
      </w:pPr>
    </w:p>
    <w:p w:rsidR="00AC12B4" w:rsidRPr="00C27636" w:rsidRDefault="00C27636">
      <w:pPr>
        <w:spacing w:line="218" w:lineRule="auto"/>
        <w:ind w:left="960"/>
        <w:jc w:val="both"/>
        <w:rPr>
          <w:sz w:val="20"/>
          <w:szCs w:val="20"/>
          <w:lang w:val="fr-BE"/>
        </w:rPr>
      </w:pPr>
      <w:r w:rsidRPr="00C27636">
        <w:rPr>
          <w:rFonts w:ascii="Calibri" w:eastAsia="Calibri" w:hAnsi="Calibri" w:cs="Calibri"/>
          <w:lang w:val="fr-BE"/>
        </w:rPr>
        <w:t>La mortalité infantile est un indicateur très largement utilisé internationalement.</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97" w:lineRule="exact"/>
        <w:rPr>
          <w:sz w:val="20"/>
          <w:szCs w:val="20"/>
          <w:lang w:val="fr-BE"/>
        </w:rPr>
      </w:pPr>
    </w:p>
    <w:p w:rsidR="00AC12B4" w:rsidRDefault="00C27636">
      <w:pPr>
        <w:numPr>
          <w:ilvl w:val="0"/>
          <w:numId w:val="79"/>
        </w:numPr>
        <w:tabs>
          <w:tab w:val="left" w:pos="108"/>
        </w:tabs>
        <w:ind w:left="108" w:hanging="108"/>
        <w:rPr>
          <w:rFonts w:ascii="Calibri" w:eastAsia="Calibri" w:hAnsi="Calibri" w:cs="Calibri"/>
          <w:sz w:val="26"/>
          <w:szCs w:val="26"/>
          <w:vertAlign w:val="superscript"/>
        </w:rPr>
      </w:pPr>
      <w:r>
        <w:rPr>
          <w:rFonts w:ascii="Calibri" w:eastAsia="Calibri" w:hAnsi="Calibri" w:cs="Calibri"/>
          <w:sz w:val="20"/>
          <w:szCs w:val="20"/>
        </w:rPr>
        <w:t>Statbel 2012.</w:t>
      </w:r>
    </w:p>
    <w:p w:rsidR="00AC12B4" w:rsidRDefault="00AC12B4">
      <w:pPr>
        <w:spacing w:line="167" w:lineRule="exact"/>
        <w:rPr>
          <w:rFonts w:ascii="Calibri" w:eastAsia="Calibri" w:hAnsi="Calibri" w:cs="Calibri"/>
          <w:sz w:val="26"/>
          <w:szCs w:val="26"/>
          <w:vertAlign w:val="superscript"/>
        </w:rPr>
      </w:pPr>
    </w:p>
    <w:p w:rsidR="00AC12B4" w:rsidRPr="00C27636" w:rsidRDefault="00C27636">
      <w:pPr>
        <w:numPr>
          <w:ilvl w:val="0"/>
          <w:numId w:val="79"/>
        </w:numPr>
        <w:tabs>
          <w:tab w:val="left" w:pos="140"/>
        </w:tabs>
        <w:spacing w:line="221" w:lineRule="auto"/>
        <w:ind w:left="8" w:right="59" w:hanging="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La statistique de mortalité foeto-infantile est établie à partir de deux sources : le Registre National des personnes physiques (RN) et les bulletins statistiques de déclaration de décès d'un enfant de moins d'un an ou d'un mort-né (Modèle</w:t>
      </w:r>
      <w:r w:rsidRPr="00C27636">
        <w:rPr>
          <w:rFonts w:ascii="Calibri" w:eastAsia="Calibri" w:hAnsi="Calibri" w:cs="Calibri"/>
          <w:sz w:val="20"/>
          <w:szCs w:val="20"/>
          <w:lang w:val="fr-BE"/>
        </w:rPr>
        <w:t xml:space="preserve"> IIID).</w:t>
      </w:r>
    </w:p>
    <w:p w:rsidR="00AC12B4" w:rsidRPr="00C27636" w:rsidRDefault="00AC12B4">
      <w:pPr>
        <w:spacing w:line="167" w:lineRule="exact"/>
        <w:rPr>
          <w:rFonts w:ascii="Calibri" w:eastAsia="Calibri" w:hAnsi="Calibri" w:cs="Calibri"/>
          <w:sz w:val="26"/>
          <w:szCs w:val="26"/>
          <w:vertAlign w:val="superscript"/>
          <w:lang w:val="fr-BE"/>
        </w:rPr>
      </w:pPr>
    </w:p>
    <w:p w:rsidR="00AC12B4" w:rsidRPr="00C27636" w:rsidRDefault="00C27636">
      <w:pPr>
        <w:numPr>
          <w:ilvl w:val="0"/>
          <w:numId w:val="79"/>
        </w:numPr>
        <w:tabs>
          <w:tab w:val="left" w:pos="128"/>
        </w:tabs>
        <w:spacing w:line="188" w:lineRule="auto"/>
        <w:ind w:left="8" w:right="59" w:hanging="8"/>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Prise en compte de la nationalité d’origine de la mère, données Statbel.</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81"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rsidRPr="00C27636">
        <w:trPr>
          <w:trHeight w:val="2080"/>
        </w:trPr>
        <w:tc>
          <w:tcPr>
            <w:tcW w:w="281" w:type="dxa"/>
            <w:textDirection w:val="btLr"/>
            <w:vAlign w:val="bottom"/>
          </w:tcPr>
          <w:p w:rsidR="00AC12B4" w:rsidRPr="00C27636" w:rsidRDefault="00C27636">
            <w:pPr>
              <w:spacing w:line="197" w:lineRule="auto"/>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AC12B4">
      <w:pPr>
        <w:spacing w:line="1" w:lineRule="exact"/>
        <w:rPr>
          <w:sz w:val="20"/>
          <w:szCs w:val="20"/>
          <w:lang w:val="fr-BE"/>
        </w:rPr>
      </w:pPr>
    </w:p>
    <w:p w:rsidR="00AC12B4" w:rsidRPr="00C27636" w:rsidRDefault="00AC12B4">
      <w:pPr>
        <w:rPr>
          <w:lang w:val="fr-BE"/>
        </w:rPr>
        <w:sectPr w:rsidR="00AC12B4" w:rsidRPr="00C27636">
          <w:type w:val="continuous"/>
          <w:pgSz w:w="12080" w:h="17179"/>
          <w:pgMar w:top="1440" w:right="557" w:bottom="659" w:left="1040" w:header="0" w:footer="0" w:gutter="0"/>
          <w:cols w:num="3" w:space="720" w:equalWidth="0">
            <w:col w:w="4840" w:space="712"/>
            <w:col w:w="3928" w:space="720"/>
            <w:col w:w="281"/>
          </w:cols>
        </w:sectPr>
      </w:pPr>
    </w:p>
    <w:p w:rsidR="00AC12B4" w:rsidRPr="00C27636" w:rsidRDefault="00C27636">
      <w:pPr>
        <w:spacing w:line="229" w:lineRule="auto"/>
        <w:ind w:left="5080"/>
        <w:rPr>
          <w:sz w:val="20"/>
          <w:szCs w:val="20"/>
          <w:lang w:val="fr-BE"/>
        </w:rPr>
      </w:pPr>
      <w:r w:rsidRPr="00C27636">
        <w:rPr>
          <w:rFonts w:ascii="Calibri" w:eastAsia="Calibri" w:hAnsi="Calibri" w:cs="Calibri"/>
          <w:lang w:val="fr-BE"/>
        </w:rPr>
        <w:lastRenderedPageBreak/>
        <w:t>67</w:t>
      </w:r>
    </w:p>
    <w:p w:rsidR="00AC12B4" w:rsidRPr="00C27636" w:rsidRDefault="00AC12B4">
      <w:pPr>
        <w:rPr>
          <w:lang w:val="fr-BE"/>
        </w:rPr>
        <w:sectPr w:rsidR="00AC12B4" w:rsidRPr="00C27636">
          <w:type w:val="continuous"/>
          <w:pgSz w:w="12080" w:h="17179"/>
          <w:pgMar w:top="1440" w:right="557" w:bottom="659" w:left="1040" w:header="0" w:footer="0" w:gutter="0"/>
          <w:cols w:space="720" w:equalWidth="0">
            <w:col w:w="10480"/>
          </w:cols>
        </w:sectPr>
      </w:pPr>
    </w:p>
    <w:p w:rsidR="00AC12B4" w:rsidRPr="00C27636" w:rsidRDefault="00C27636">
      <w:pPr>
        <w:spacing w:line="212" w:lineRule="exact"/>
        <w:rPr>
          <w:sz w:val="20"/>
          <w:szCs w:val="20"/>
          <w:lang w:val="fr-BE"/>
        </w:rPr>
      </w:pPr>
      <w:bookmarkStart w:id="67" w:name="page68"/>
      <w:bookmarkEnd w:id="67"/>
      <w:r>
        <w:rPr>
          <w:noProof/>
          <w:sz w:val="20"/>
          <w:szCs w:val="20"/>
        </w:rPr>
        <w:lastRenderedPageBreak/>
        <w:drawing>
          <wp:anchor distT="0" distB="0" distL="114300" distR="114300" simplePos="0" relativeHeight="251482624" behindDoc="1" locked="0" layoutInCell="0" allowOverlap="1">
            <wp:simplePos x="0" y="0"/>
            <wp:positionH relativeFrom="page">
              <wp:posOffset>0</wp:posOffset>
            </wp:positionH>
            <wp:positionV relativeFrom="page">
              <wp:posOffset>0</wp:posOffset>
            </wp:positionV>
            <wp:extent cx="3394075" cy="10908665"/>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a:clrChange>
                        <a:clrFrom>
                          <a:srgbClr val="FFFFFF"/>
                        </a:clrFrom>
                        <a:clrTo>
                          <a:srgbClr val="FFFFFF">
                            <a:alpha val="0"/>
                          </a:srgbClr>
                        </a:clrTo>
                      </a:clrChange>
                      <a:extLst/>
                    </a:blip>
                    <a:srcRect/>
                    <a:stretch>
                      <a:fillRect/>
                    </a:stretch>
                  </pic:blipFill>
                  <pic:spPr bwMode="auto">
                    <a:xfrm>
                      <a:off x="0" y="0"/>
                      <a:ext cx="3394075" cy="10908665"/>
                    </a:xfrm>
                    <a:prstGeom prst="rect">
                      <a:avLst/>
                    </a:prstGeom>
                    <a:noFill/>
                  </pic:spPr>
                </pic:pic>
              </a:graphicData>
            </a:graphic>
          </wp:anchor>
        </w:drawing>
      </w:r>
    </w:p>
    <w:p w:rsidR="00AC12B4" w:rsidRPr="00C27636" w:rsidRDefault="00C27636">
      <w:pPr>
        <w:spacing w:line="218" w:lineRule="auto"/>
        <w:ind w:left="900" w:right="460"/>
        <w:rPr>
          <w:sz w:val="20"/>
          <w:szCs w:val="20"/>
          <w:lang w:val="fr-BE"/>
        </w:rPr>
      </w:pPr>
      <w:r w:rsidRPr="00C27636">
        <w:rPr>
          <w:rFonts w:ascii="Calibri" w:eastAsia="Calibri" w:hAnsi="Calibri" w:cs="Calibri"/>
          <w:lang w:val="fr-BE"/>
        </w:rPr>
        <w:t>Maghreb et 5.9‰ d’Afrique Sub-Saharienne.</w:t>
      </w:r>
    </w:p>
    <w:p w:rsidR="00AC12B4" w:rsidRPr="00C27636" w:rsidRDefault="00AC12B4">
      <w:pPr>
        <w:spacing w:line="260" w:lineRule="exact"/>
        <w:rPr>
          <w:sz w:val="20"/>
          <w:szCs w:val="20"/>
          <w:lang w:val="fr-BE"/>
        </w:rPr>
      </w:pPr>
    </w:p>
    <w:p w:rsidR="00AC12B4" w:rsidRPr="00C27636" w:rsidRDefault="00C27636">
      <w:pPr>
        <w:ind w:left="560"/>
        <w:rPr>
          <w:sz w:val="20"/>
          <w:szCs w:val="20"/>
          <w:lang w:val="fr-BE"/>
        </w:rPr>
      </w:pPr>
      <w:r w:rsidRPr="00C27636">
        <w:rPr>
          <w:rFonts w:eastAsia="Times New Roman"/>
          <w:b/>
          <w:bCs/>
          <w:color w:val="4F6228"/>
          <w:sz w:val="20"/>
          <w:szCs w:val="20"/>
          <w:lang w:val="fr-BE"/>
        </w:rPr>
        <w:t>Définition :</w:t>
      </w:r>
    </w:p>
    <w:p w:rsidR="00AC12B4" w:rsidRPr="00C27636" w:rsidRDefault="00AC12B4">
      <w:pPr>
        <w:spacing w:line="234" w:lineRule="exact"/>
        <w:rPr>
          <w:sz w:val="20"/>
          <w:szCs w:val="20"/>
          <w:lang w:val="fr-BE"/>
        </w:rPr>
      </w:pPr>
    </w:p>
    <w:p w:rsidR="00AC12B4" w:rsidRPr="00C27636" w:rsidRDefault="00C27636">
      <w:pPr>
        <w:spacing w:line="237" w:lineRule="auto"/>
        <w:ind w:left="220" w:right="620" w:firstLine="341"/>
        <w:rPr>
          <w:sz w:val="20"/>
          <w:szCs w:val="20"/>
          <w:lang w:val="fr-BE"/>
        </w:rPr>
      </w:pPr>
      <w:r w:rsidRPr="00C27636">
        <w:rPr>
          <w:rFonts w:eastAsia="Times New Roman"/>
          <w:i/>
          <w:iCs/>
          <w:color w:val="4F6228"/>
          <w:sz w:val="20"/>
          <w:szCs w:val="20"/>
          <w:lang w:val="fr-BE"/>
        </w:rPr>
        <w:t xml:space="preserve">Le taux de </w:t>
      </w:r>
      <w:r w:rsidRPr="00C27636">
        <w:rPr>
          <w:rFonts w:eastAsia="Times New Roman"/>
          <w:b/>
          <w:bCs/>
          <w:i/>
          <w:iCs/>
          <w:color w:val="4F6228"/>
          <w:sz w:val="20"/>
          <w:szCs w:val="20"/>
          <w:lang w:val="fr-BE"/>
        </w:rPr>
        <w:t xml:space="preserve">mortalité </w:t>
      </w:r>
      <w:r w:rsidRPr="00C27636">
        <w:rPr>
          <w:rFonts w:eastAsia="Times New Roman"/>
          <w:b/>
          <w:bCs/>
          <w:i/>
          <w:iCs/>
          <w:color w:val="4F6228"/>
          <w:sz w:val="20"/>
          <w:szCs w:val="20"/>
          <w:lang w:val="fr-BE"/>
        </w:rPr>
        <w:t>infantile</w:t>
      </w:r>
      <w:r w:rsidRPr="00C27636">
        <w:rPr>
          <w:rFonts w:eastAsia="Times New Roman"/>
          <w:i/>
          <w:iCs/>
          <w:color w:val="4F6228"/>
          <w:sz w:val="20"/>
          <w:szCs w:val="20"/>
          <w:lang w:val="fr-BE"/>
        </w:rPr>
        <w:t xml:space="preserve"> est ici calculé comme le rapport entre les décès à moins d'un an survenus au cours de l'année et les naissances vivantes de cette même année (en pour mille)</w:t>
      </w:r>
    </w:p>
    <w:p w:rsidR="00AC12B4" w:rsidRPr="00C27636" w:rsidRDefault="00AC12B4">
      <w:pPr>
        <w:spacing w:line="13" w:lineRule="exact"/>
        <w:rPr>
          <w:sz w:val="20"/>
          <w:szCs w:val="20"/>
          <w:lang w:val="fr-BE"/>
        </w:rPr>
      </w:pPr>
    </w:p>
    <w:p w:rsidR="00AC12B4" w:rsidRPr="00C27636" w:rsidRDefault="00C27636">
      <w:pPr>
        <w:spacing w:line="236" w:lineRule="auto"/>
        <w:ind w:left="220" w:right="760" w:firstLine="341"/>
        <w:jc w:val="both"/>
        <w:rPr>
          <w:sz w:val="20"/>
          <w:szCs w:val="20"/>
          <w:lang w:val="fr-BE"/>
        </w:rPr>
      </w:pPr>
      <w:r w:rsidRPr="00C27636">
        <w:rPr>
          <w:rFonts w:eastAsia="Times New Roman"/>
          <w:i/>
          <w:iCs/>
          <w:color w:val="4F6228"/>
          <w:sz w:val="20"/>
          <w:szCs w:val="20"/>
          <w:lang w:val="fr-BE"/>
        </w:rPr>
        <w:t xml:space="preserve">Le taux de </w:t>
      </w:r>
      <w:r w:rsidRPr="00C27636">
        <w:rPr>
          <w:rFonts w:eastAsia="Times New Roman"/>
          <w:b/>
          <w:bCs/>
          <w:i/>
          <w:iCs/>
          <w:color w:val="4F6228"/>
          <w:sz w:val="20"/>
          <w:szCs w:val="20"/>
          <w:lang w:val="fr-BE"/>
        </w:rPr>
        <w:t>mortinatalité</w:t>
      </w:r>
      <w:r w:rsidRPr="00C27636">
        <w:rPr>
          <w:rFonts w:eastAsia="Times New Roman"/>
          <w:i/>
          <w:iCs/>
          <w:color w:val="4F6228"/>
          <w:sz w:val="20"/>
          <w:szCs w:val="20"/>
          <w:lang w:val="fr-BE"/>
        </w:rPr>
        <w:t xml:space="preserve"> est ici calculé comme le rapport entre les mort-nés de l'année </w:t>
      </w:r>
      <w:r w:rsidRPr="00C27636">
        <w:rPr>
          <w:rFonts w:eastAsia="Times New Roman"/>
          <w:i/>
          <w:iCs/>
          <w:color w:val="4F6228"/>
          <w:sz w:val="20"/>
          <w:szCs w:val="20"/>
          <w:lang w:val="fr-BE"/>
        </w:rPr>
        <w:t>considérée et le total des naissances (mort-nés inclus) de cette même année (en pour mille).</w:t>
      </w:r>
    </w:p>
    <w:p w:rsidR="00AC12B4" w:rsidRPr="00C27636" w:rsidRDefault="00AC12B4">
      <w:pPr>
        <w:spacing w:line="200" w:lineRule="exact"/>
        <w:rPr>
          <w:sz w:val="20"/>
          <w:szCs w:val="20"/>
          <w:lang w:val="fr-BE"/>
        </w:rPr>
      </w:pPr>
    </w:p>
    <w:p w:rsidR="00AC12B4" w:rsidRPr="00C27636" w:rsidRDefault="00AC12B4">
      <w:pPr>
        <w:spacing w:line="325" w:lineRule="exact"/>
        <w:rPr>
          <w:sz w:val="20"/>
          <w:szCs w:val="20"/>
          <w:lang w:val="fr-BE"/>
        </w:rPr>
      </w:pPr>
    </w:p>
    <w:p w:rsidR="00AC12B4" w:rsidRPr="00C27636" w:rsidRDefault="00C27636">
      <w:pPr>
        <w:ind w:left="900"/>
        <w:rPr>
          <w:sz w:val="20"/>
          <w:szCs w:val="20"/>
          <w:lang w:val="fr-BE"/>
        </w:rPr>
      </w:pPr>
      <w:r w:rsidRPr="00C27636">
        <w:rPr>
          <w:rFonts w:ascii="Calibri" w:eastAsia="Calibri" w:hAnsi="Calibri" w:cs="Calibri"/>
          <w:lang w:val="fr-BE"/>
        </w:rPr>
        <w:t>Mais attention, selon l’ Observatoire de la</w:t>
      </w:r>
    </w:p>
    <w:p w:rsidR="00AC12B4" w:rsidRPr="00C27636" w:rsidRDefault="00C27636">
      <w:pPr>
        <w:spacing w:line="238" w:lineRule="auto"/>
        <w:ind w:left="900"/>
        <w:rPr>
          <w:sz w:val="20"/>
          <w:szCs w:val="20"/>
          <w:lang w:val="fr-BE"/>
        </w:rPr>
      </w:pPr>
      <w:r w:rsidRPr="00C27636">
        <w:rPr>
          <w:rFonts w:ascii="Calibri" w:eastAsia="Calibri" w:hAnsi="Calibri" w:cs="Calibri"/>
          <w:lang w:val="fr-BE"/>
        </w:rPr>
        <w:t>Santé et du Social de Bruxelles-Capitale :</w:t>
      </w:r>
    </w:p>
    <w:p w:rsidR="00AC12B4" w:rsidRPr="00C27636" w:rsidRDefault="00AC12B4">
      <w:pPr>
        <w:spacing w:line="49" w:lineRule="exact"/>
        <w:rPr>
          <w:sz w:val="20"/>
          <w:szCs w:val="20"/>
          <w:lang w:val="fr-BE"/>
        </w:rPr>
      </w:pPr>
    </w:p>
    <w:p w:rsidR="00AC12B4" w:rsidRPr="00C27636" w:rsidRDefault="00C27636">
      <w:pPr>
        <w:numPr>
          <w:ilvl w:val="0"/>
          <w:numId w:val="80"/>
        </w:numPr>
        <w:tabs>
          <w:tab w:val="left" w:pos="1063"/>
        </w:tabs>
        <w:spacing w:line="235" w:lineRule="auto"/>
        <w:ind w:left="900" w:right="460"/>
        <w:jc w:val="both"/>
        <w:rPr>
          <w:rFonts w:ascii="Calibri" w:eastAsia="Calibri" w:hAnsi="Calibri" w:cs="Calibri"/>
          <w:lang w:val="fr-BE"/>
        </w:rPr>
      </w:pPr>
      <w:r w:rsidRPr="00C27636">
        <w:rPr>
          <w:rFonts w:ascii="Calibri" w:eastAsia="Calibri" w:hAnsi="Calibri" w:cs="Calibri"/>
          <w:i/>
          <w:iCs/>
          <w:lang w:val="fr-BE"/>
        </w:rPr>
        <w:t xml:space="preserve">Pour la période 2006-2011, lorsque l’on étudie simultanément l’influence </w:t>
      </w:r>
      <w:r w:rsidRPr="00C27636">
        <w:rPr>
          <w:rFonts w:ascii="Calibri" w:eastAsia="Calibri" w:hAnsi="Calibri" w:cs="Calibri"/>
          <w:i/>
          <w:iCs/>
          <w:lang w:val="fr-BE"/>
        </w:rPr>
        <w:t>de la nationalité, de l’âge de la mère et du nombre de revenus du travail du ménage sur la mortalité périnatale, les naissances singletons de mères africaines n’ont plus une mortalité périnatale accrue comparée aux mères belges. Le nombre de revenus du tra</w:t>
      </w:r>
      <w:r w:rsidRPr="00C27636">
        <w:rPr>
          <w:rFonts w:ascii="Calibri" w:eastAsia="Calibri" w:hAnsi="Calibri" w:cs="Calibri"/>
          <w:i/>
          <w:iCs/>
          <w:lang w:val="fr-BE"/>
        </w:rPr>
        <w:t>vail dans le ménage explique la différence de mortalité périnatale observée</w:t>
      </w:r>
    </w:p>
    <w:p w:rsidR="00AC12B4" w:rsidRPr="00C27636" w:rsidRDefault="00AC12B4">
      <w:pPr>
        <w:spacing w:line="56" w:lineRule="exact"/>
        <w:rPr>
          <w:rFonts w:ascii="Calibri" w:eastAsia="Calibri" w:hAnsi="Calibri" w:cs="Calibri"/>
          <w:lang w:val="fr-BE"/>
        </w:rPr>
      </w:pPr>
    </w:p>
    <w:p w:rsidR="00AC12B4" w:rsidRPr="00C27636" w:rsidRDefault="00C27636">
      <w:pPr>
        <w:spacing w:line="210" w:lineRule="auto"/>
        <w:ind w:left="900" w:right="460"/>
        <w:rPr>
          <w:rFonts w:ascii="Calibri" w:eastAsia="Calibri" w:hAnsi="Calibri" w:cs="Calibri"/>
          <w:lang w:val="fr-BE"/>
        </w:rPr>
      </w:pPr>
      <w:r w:rsidRPr="00C27636">
        <w:rPr>
          <w:rFonts w:ascii="Calibri" w:eastAsia="Calibri" w:hAnsi="Calibri" w:cs="Calibri"/>
          <w:i/>
          <w:iCs/>
          <w:lang w:val="fr-BE"/>
        </w:rPr>
        <w:t xml:space="preserve">entre les naissances de mères africaines et les naissances de mères belges </w:t>
      </w:r>
      <w:r w:rsidRPr="00C27636">
        <w:rPr>
          <w:rFonts w:ascii="Calibri" w:eastAsia="Calibri" w:hAnsi="Calibri" w:cs="Calibri"/>
          <w:lang w:val="fr-BE"/>
        </w:rPr>
        <w:t>»</w:t>
      </w:r>
      <w:r w:rsidRPr="00C27636">
        <w:rPr>
          <w:rFonts w:ascii="Calibri" w:eastAsia="Calibri" w:hAnsi="Calibri" w:cs="Calibri"/>
          <w:sz w:val="27"/>
          <w:szCs w:val="27"/>
          <w:vertAlign w:val="superscript"/>
          <w:lang w:val="fr-BE"/>
        </w:rPr>
        <w:t>4</w:t>
      </w:r>
      <w:r w:rsidRPr="00C27636">
        <w:rPr>
          <w:rFonts w:ascii="Calibri" w:eastAsia="Calibri" w:hAnsi="Calibri" w:cs="Calibri"/>
          <w:i/>
          <w:iCs/>
          <w:lang w:val="fr-BE"/>
        </w:rPr>
        <w:t xml:space="preserve"> </w:t>
      </w:r>
      <w:r w:rsidRPr="00C27636">
        <w:rPr>
          <w:rFonts w:ascii="Calibri" w:eastAsia="Calibri" w:hAnsi="Calibri" w:cs="Calibri"/>
          <w:lang w:val="fr-BE"/>
        </w:rPr>
        <w:t>.</w:t>
      </w:r>
    </w:p>
    <w:p w:rsidR="00AC12B4" w:rsidRPr="00C27636" w:rsidRDefault="00AC12B4">
      <w:pPr>
        <w:spacing w:line="86" w:lineRule="exact"/>
        <w:rPr>
          <w:sz w:val="20"/>
          <w:szCs w:val="20"/>
          <w:lang w:val="fr-BE"/>
        </w:rPr>
      </w:pPr>
    </w:p>
    <w:p w:rsidR="00AC12B4" w:rsidRPr="00C27636" w:rsidRDefault="00C27636">
      <w:pPr>
        <w:ind w:left="900"/>
        <w:rPr>
          <w:sz w:val="20"/>
          <w:szCs w:val="20"/>
          <w:lang w:val="fr-BE"/>
        </w:rPr>
      </w:pPr>
      <w:r w:rsidRPr="00C27636">
        <w:rPr>
          <w:rFonts w:ascii="Calibri" w:eastAsia="Calibri" w:hAnsi="Calibri" w:cs="Calibri"/>
          <w:lang w:val="fr-BE"/>
        </w:rPr>
        <w:t>Notons finalement que depuis 2010, les</w:t>
      </w:r>
    </w:p>
    <w:p w:rsidR="00AC12B4" w:rsidRPr="00C27636" w:rsidRDefault="00AC12B4">
      <w:pPr>
        <w:spacing w:line="49" w:lineRule="exact"/>
        <w:rPr>
          <w:sz w:val="20"/>
          <w:szCs w:val="20"/>
          <w:lang w:val="fr-BE"/>
        </w:rPr>
      </w:pPr>
    </w:p>
    <w:p w:rsidR="00AC12B4" w:rsidRPr="00C27636" w:rsidRDefault="00C27636">
      <w:pPr>
        <w:spacing w:line="232" w:lineRule="auto"/>
        <w:ind w:left="900" w:right="460"/>
        <w:jc w:val="both"/>
        <w:rPr>
          <w:sz w:val="20"/>
          <w:szCs w:val="20"/>
          <w:lang w:val="fr-BE"/>
        </w:rPr>
      </w:pPr>
      <w:r w:rsidRPr="00C27636">
        <w:rPr>
          <w:rFonts w:ascii="Calibri" w:eastAsia="Calibri" w:hAnsi="Calibri" w:cs="Calibri"/>
          <w:lang w:val="fr-BE"/>
        </w:rPr>
        <w:t>statistiques belges permettent de distinguer les décès d’e</w:t>
      </w:r>
      <w:r w:rsidRPr="00C27636">
        <w:rPr>
          <w:rFonts w:ascii="Calibri" w:eastAsia="Calibri" w:hAnsi="Calibri" w:cs="Calibri"/>
          <w:lang w:val="fr-BE"/>
        </w:rPr>
        <w:t>nfants inscrits au registre d’attente (demandeurs d’asile). Pour l’instant cette population statistique reste trop peu nombreuse que pour tirer des conclusions fiables.</w:t>
      </w:r>
    </w:p>
    <w:p w:rsidR="00AC12B4" w:rsidRPr="00C27636" w:rsidRDefault="00AC12B4">
      <w:pPr>
        <w:spacing w:line="131" w:lineRule="exact"/>
        <w:rPr>
          <w:sz w:val="20"/>
          <w:szCs w:val="20"/>
          <w:lang w:val="fr-BE"/>
        </w:rPr>
      </w:pPr>
    </w:p>
    <w:p w:rsidR="00AC12B4" w:rsidRDefault="00C27636">
      <w:pPr>
        <w:numPr>
          <w:ilvl w:val="0"/>
          <w:numId w:val="81"/>
        </w:numPr>
        <w:tabs>
          <w:tab w:val="left" w:pos="1620"/>
        </w:tabs>
        <w:spacing w:line="276" w:lineRule="auto"/>
        <w:ind w:left="1620" w:right="900" w:hanging="360"/>
        <w:rPr>
          <w:rFonts w:ascii="Wingdings" w:eastAsia="Wingdings" w:hAnsi="Wingdings" w:cs="Wingdings"/>
          <w:color w:val="C9D11D"/>
        </w:rPr>
      </w:pPr>
      <w:r>
        <w:rPr>
          <w:rFonts w:ascii="Cambria" w:eastAsia="Cambria" w:hAnsi="Cambria" w:cs="Cambria"/>
          <w:i/>
          <w:iCs/>
          <w:color w:val="C9D11D"/>
        </w:rPr>
        <w:t>Niveau d’instruction de la mère</w:t>
      </w:r>
    </w:p>
    <w:p w:rsidR="00AC12B4" w:rsidRDefault="00AC12B4">
      <w:pPr>
        <w:spacing w:line="11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560"/>
        <w:gridCol w:w="340"/>
        <w:gridCol w:w="1040"/>
        <w:gridCol w:w="1000"/>
        <w:gridCol w:w="840"/>
        <w:gridCol w:w="1000"/>
        <w:gridCol w:w="20"/>
      </w:tblGrid>
      <w:tr w:rsidR="00AC12B4" w:rsidRPr="00C27636">
        <w:trPr>
          <w:trHeight w:val="269"/>
        </w:trPr>
        <w:tc>
          <w:tcPr>
            <w:tcW w:w="560" w:type="dxa"/>
            <w:vAlign w:val="bottom"/>
          </w:tcPr>
          <w:p w:rsidR="00AC12B4" w:rsidRDefault="00AC12B4">
            <w:pPr>
              <w:rPr>
                <w:sz w:val="23"/>
                <w:szCs w:val="23"/>
              </w:rPr>
            </w:pPr>
          </w:p>
        </w:tc>
        <w:tc>
          <w:tcPr>
            <w:tcW w:w="4220" w:type="dxa"/>
            <w:gridSpan w:val="5"/>
            <w:vAlign w:val="bottom"/>
          </w:tcPr>
          <w:p w:rsidR="00AC12B4" w:rsidRPr="00C27636" w:rsidRDefault="00C27636">
            <w:pPr>
              <w:ind w:left="340"/>
              <w:rPr>
                <w:sz w:val="20"/>
                <w:szCs w:val="20"/>
                <w:lang w:val="fr-BE"/>
              </w:rPr>
            </w:pPr>
            <w:r w:rsidRPr="00C27636">
              <w:rPr>
                <w:rFonts w:ascii="Calibri" w:eastAsia="Calibri" w:hAnsi="Calibri" w:cs="Calibri"/>
                <w:lang w:val="fr-BE"/>
              </w:rPr>
              <w:t>En 2011, le taux de mortalité infantile était</w:t>
            </w:r>
          </w:p>
        </w:tc>
        <w:tc>
          <w:tcPr>
            <w:tcW w:w="0" w:type="dxa"/>
            <w:vAlign w:val="bottom"/>
          </w:tcPr>
          <w:p w:rsidR="00AC12B4" w:rsidRPr="00C27636" w:rsidRDefault="00AC12B4">
            <w:pPr>
              <w:rPr>
                <w:sz w:val="1"/>
                <w:szCs w:val="1"/>
                <w:lang w:val="fr-BE"/>
              </w:rPr>
            </w:pPr>
          </w:p>
        </w:tc>
      </w:tr>
      <w:tr w:rsidR="00AC12B4" w:rsidRPr="00C27636">
        <w:trPr>
          <w:trHeight w:val="266"/>
        </w:trPr>
        <w:tc>
          <w:tcPr>
            <w:tcW w:w="560" w:type="dxa"/>
            <w:vAlign w:val="bottom"/>
          </w:tcPr>
          <w:p w:rsidR="00AC12B4" w:rsidRPr="00C27636" w:rsidRDefault="00AC12B4">
            <w:pPr>
              <w:rPr>
                <w:sz w:val="23"/>
                <w:szCs w:val="23"/>
                <w:lang w:val="fr-BE"/>
              </w:rPr>
            </w:pPr>
          </w:p>
        </w:tc>
        <w:tc>
          <w:tcPr>
            <w:tcW w:w="4220" w:type="dxa"/>
            <w:gridSpan w:val="5"/>
            <w:vAlign w:val="bottom"/>
          </w:tcPr>
          <w:p w:rsidR="00AC12B4" w:rsidRPr="00C27636" w:rsidRDefault="00C27636">
            <w:pPr>
              <w:spacing w:line="267" w:lineRule="exact"/>
              <w:ind w:left="340"/>
              <w:rPr>
                <w:sz w:val="20"/>
                <w:szCs w:val="20"/>
                <w:lang w:val="fr-BE"/>
              </w:rPr>
            </w:pPr>
            <w:r w:rsidRPr="00C27636">
              <w:rPr>
                <w:rFonts w:ascii="Calibri" w:eastAsia="Calibri" w:hAnsi="Calibri" w:cs="Calibri"/>
                <w:lang w:val="fr-BE"/>
              </w:rPr>
              <w:t>60%</w:t>
            </w:r>
            <w:r w:rsidRPr="00C27636">
              <w:rPr>
                <w:rFonts w:ascii="Calibri" w:eastAsia="Calibri" w:hAnsi="Calibri" w:cs="Calibri"/>
                <w:lang w:val="fr-BE"/>
              </w:rPr>
              <w:t xml:space="preserve"> plus élevé chez des femmes n’ayant</w:t>
            </w:r>
          </w:p>
        </w:tc>
        <w:tc>
          <w:tcPr>
            <w:tcW w:w="0" w:type="dxa"/>
            <w:vAlign w:val="bottom"/>
          </w:tcPr>
          <w:p w:rsidR="00AC12B4" w:rsidRPr="00C27636" w:rsidRDefault="00AC12B4">
            <w:pPr>
              <w:rPr>
                <w:sz w:val="1"/>
                <w:szCs w:val="1"/>
                <w:lang w:val="fr-BE"/>
              </w:rPr>
            </w:pPr>
          </w:p>
        </w:tc>
      </w:tr>
      <w:tr w:rsidR="00AC12B4" w:rsidRPr="00C27636">
        <w:trPr>
          <w:trHeight w:val="269"/>
        </w:trPr>
        <w:tc>
          <w:tcPr>
            <w:tcW w:w="560" w:type="dxa"/>
            <w:vAlign w:val="bottom"/>
          </w:tcPr>
          <w:p w:rsidR="00AC12B4" w:rsidRPr="00C27636" w:rsidRDefault="00AC12B4">
            <w:pPr>
              <w:rPr>
                <w:sz w:val="23"/>
                <w:szCs w:val="23"/>
                <w:lang w:val="fr-BE"/>
              </w:rPr>
            </w:pPr>
          </w:p>
        </w:tc>
        <w:tc>
          <w:tcPr>
            <w:tcW w:w="4220" w:type="dxa"/>
            <w:gridSpan w:val="5"/>
            <w:vAlign w:val="bottom"/>
          </w:tcPr>
          <w:p w:rsidR="00AC12B4" w:rsidRPr="00C27636" w:rsidRDefault="00C27636">
            <w:pPr>
              <w:ind w:left="340"/>
              <w:rPr>
                <w:sz w:val="20"/>
                <w:szCs w:val="20"/>
                <w:lang w:val="fr-BE"/>
              </w:rPr>
            </w:pPr>
            <w:r w:rsidRPr="00C27636">
              <w:rPr>
                <w:rFonts w:ascii="Calibri" w:eastAsia="Calibri" w:hAnsi="Calibri" w:cs="Calibri"/>
                <w:lang w:val="fr-BE"/>
              </w:rPr>
              <w:t>pas suivi d’enseignement supérieur par</w:t>
            </w:r>
          </w:p>
        </w:tc>
        <w:tc>
          <w:tcPr>
            <w:tcW w:w="0" w:type="dxa"/>
            <w:vAlign w:val="bottom"/>
          </w:tcPr>
          <w:p w:rsidR="00AC12B4" w:rsidRPr="00C27636" w:rsidRDefault="00AC12B4">
            <w:pPr>
              <w:rPr>
                <w:sz w:val="1"/>
                <w:szCs w:val="1"/>
                <w:lang w:val="fr-BE"/>
              </w:rPr>
            </w:pPr>
          </w:p>
        </w:tc>
      </w:tr>
      <w:tr w:rsidR="00AC12B4" w:rsidRPr="00C27636">
        <w:trPr>
          <w:trHeight w:val="269"/>
        </w:trPr>
        <w:tc>
          <w:tcPr>
            <w:tcW w:w="560" w:type="dxa"/>
            <w:vAlign w:val="bottom"/>
          </w:tcPr>
          <w:p w:rsidR="00AC12B4" w:rsidRPr="00C27636" w:rsidRDefault="00AC12B4">
            <w:pPr>
              <w:rPr>
                <w:sz w:val="23"/>
                <w:szCs w:val="23"/>
                <w:lang w:val="fr-BE"/>
              </w:rPr>
            </w:pPr>
          </w:p>
        </w:tc>
        <w:tc>
          <w:tcPr>
            <w:tcW w:w="4220" w:type="dxa"/>
            <w:gridSpan w:val="5"/>
            <w:vAlign w:val="bottom"/>
          </w:tcPr>
          <w:p w:rsidR="00AC12B4" w:rsidRPr="00C27636" w:rsidRDefault="00C27636">
            <w:pPr>
              <w:ind w:left="340"/>
              <w:rPr>
                <w:sz w:val="20"/>
                <w:szCs w:val="20"/>
                <w:lang w:val="fr-BE"/>
              </w:rPr>
            </w:pPr>
            <w:r w:rsidRPr="00C27636">
              <w:rPr>
                <w:rFonts w:ascii="Calibri" w:eastAsia="Calibri" w:hAnsi="Calibri" w:cs="Calibri"/>
                <w:lang w:val="fr-BE"/>
              </w:rPr>
              <w:t>rapport  aux  femmes  ayant  obtenu  au</w:t>
            </w:r>
          </w:p>
        </w:tc>
        <w:tc>
          <w:tcPr>
            <w:tcW w:w="0" w:type="dxa"/>
            <w:vAlign w:val="bottom"/>
          </w:tcPr>
          <w:p w:rsidR="00AC12B4" w:rsidRPr="00C27636" w:rsidRDefault="00AC12B4">
            <w:pPr>
              <w:rPr>
                <w:sz w:val="1"/>
                <w:szCs w:val="1"/>
                <w:lang w:val="fr-BE"/>
              </w:rPr>
            </w:pPr>
          </w:p>
        </w:tc>
      </w:tr>
      <w:tr w:rsidR="00AC12B4">
        <w:trPr>
          <w:trHeight w:val="269"/>
        </w:trPr>
        <w:tc>
          <w:tcPr>
            <w:tcW w:w="560" w:type="dxa"/>
            <w:vAlign w:val="bottom"/>
          </w:tcPr>
          <w:p w:rsidR="00AC12B4" w:rsidRPr="00C27636" w:rsidRDefault="00AC12B4">
            <w:pPr>
              <w:rPr>
                <w:sz w:val="23"/>
                <w:szCs w:val="23"/>
                <w:lang w:val="fr-BE"/>
              </w:rPr>
            </w:pPr>
          </w:p>
        </w:tc>
        <w:tc>
          <w:tcPr>
            <w:tcW w:w="1380" w:type="dxa"/>
            <w:gridSpan w:val="2"/>
            <w:vAlign w:val="bottom"/>
          </w:tcPr>
          <w:p w:rsidR="00AC12B4" w:rsidRDefault="00C27636">
            <w:pPr>
              <w:ind w:left="340"/>
              <w:rPr>
                <w:sz w:val="20"/>
                <w:szCs w:val="20"/>
              </w:rPr>
            </w:pPr>
            <w:r>
              <w:rPr>
                <w:rFonts w:ascii="Calibri" w:eastAsia="Calibri" w:hAnsi="Calibri" w:cs="Calibri"/>
              </w:rPr>
              <w:t>moins un</w:t>
            </w:r>
          </w:p>
        </w:tc>
        <w:tc>
          <w:tcPr>
            <w:tcW w:w="1000" w:type="dxa"/>
            <w:vAlign w:val="bottom"/>
          </w:tcPr>
          <w:p w:rsidR="00AC12B4" w:rsidRDefault="00C27636">
            <w:pPr>
              <w:ind w:left="220"/>
              <w:rPr>
                <w:sz w:val="20"/>
                <w:szCs w:val="20"/>
              </w:rPr>
            </w:pPr>
            <w:r>
              <w:rPr>
                <w:rFonts w:ascii="Calibri" w:eastAsia="Calibri" w:hAnsi="Calibri" w:cs="Calibri"/>
              </w:rPr>
              <w:t>diplôme</w:t>
            </w:r>
          </w:p>
        </w:tc>
        <w:tc>
          <w:tcPr>
            <w:tcW w:w="1840" w:type="dxa"/>
            <w:gridSpan w:val="2"/>
            <w:vAlign w:val="bottom"/>
          </w:tcPr>
          <w:p w:rsidR="00AC12B4" w:rsidRDefault="00C27636">
            <w:pPr>
              <w:ind w:left="400"/>
              <w:rPr>
                <w:sz w:val="20"/>
                <w:szCs w:val="20"/>
              </w:rPr>
            </w:pPr>
            <w:r>
              <w:rPr>
                <w:rFonts w:ascii="Calibri" w:eastAsia="Calibri" w:hAnsi="Calibri" w:cs="Calibri"/>
                <w:w w:val="98"/>
              </w:rPr>
              <w:t>d’enseignement</w:t>
            </w:r>
          </w:p>
        </w:tc>
        <w:tc>
          <w:tcPr>
            <w:tcW w:w="0" w:type="dxa"/>
            <w:vAlign w:val="bottom"/>
          </w:tcPr>
          <w:p w:rsidR="00AC12B4" w:rsidRDefault="00AC12B4">
            <w:pPr>
              <w:rPr>
                <w:sz w:val="1"/>
                <w:szCs w:val="1"/>
              </w:rPr>
            </w:pPr>
          </w:p>
        </w:tc>
      </w:tr>
      <w:tr w:rsidR="00AC12B4" w:rsidRPr="00C27636">
        <w:trPr>
          <w:trHeight w:val="269"/>
        </w:trPr>
        <w:tc>
          <w:tcPr>
            <w:tcW w:w="560" w:type="dxa"/>
            <w:vAlign w:val="bottom"/>
          </w:tcPr>
          <w:p w:rsidR="00AC12B4" w:rsidRDefault="00AC12B4">
            <w:pPr>
              <w:rPr>
                <w:sz w:val="23"/>
                <w:szCs w:val="23"/>
              </w:rPr>
            </w:pPr>
          </w:p>
        </w:tc>
        <w:tc>
          <w:tcPr>
            <w:tcW w:w="4220" w:type="dxa"/>
            <w:gridSpan w:val="5"/>
            <w:vAlign w:val="bottom"/>
          </w:tcPr>
          <w:p w:rsidR="00AC12B4" w:rsidRPr="00C27636" w:rsidRDefault="00C27636">
            <w:pPr>
              <w:ind w:left="340"/>
              <w:rPr>
                <w:sz w:val="20"/>
                <w:szCs w:val="20"/>
                <w:lang w:val="fr-BE"/>
              </w:rPr>
            </w:pPr>
            <w:r w:rsidRPr="00C27636">
              <w:rPr>
                <w:rFonts w:ascii="Calibri" w:eastAsia="Calibri" w:hAnsi="Calibri" w:cs="Calibri"/>
                <w:lang w:val="fr-BE"/>
              </w:rPr>
              <w:t>supérieur du type  long (3,8 ‰ versus</w:t>
            </w:r>
          </w:p>
        </w:tc>
        <w:tc>
          <w:tcPr>
            <w:tcW w:w="0" w:type="dxa"/>
            <w:vAlign w:val="bottom"/>
          </w:tcPr>
          <w:p w:rsidR="00AC12B4" w:rsidRPr="00C27636" w:rsidRDefault="00AC12B4">
            <w:pPr>
              <w:rPr>
                <w:sz w:val="1"/>
                <w:szCs w:val="1"/>
                <w:lang w:val="fr-BE"/>
              </w:rPr>
            </w:pPr>
          </w:p>
        </w:tc>
      </w:tr>
      <w:tr w:rsidR="00AC12B4" w:rsidRPr="00C27636">
        <w:trPr>
          <w:trHeight w:val="269"/>
        </w:trPr>
        <w:tc>
          <w:tcPr>
            <w:tcW w:w="560" w:type="dxa"/>
            <w:vMerge w:val="restart"/>
            <w:textDirection w:val="btLr"/>
            <w:vAlign w:val="bottom"/>
          </w:tcPr>
          <w:p w:rsidR="00AC12B4" w:rsidRDefault="00C27636">
            <w:pPr>
              <w:ind w:left="8"/>
              <w:rPr>
                <w:sz w:val="20"/>
                <w:szCs w:val="20"/>
              </w:rPr>
            </w:pPr>
            <w:r>
              <w:rPr>
                <w:rFonts w:ascii="Calibri" w:eastAsia="Calibri" w:hAnsi="Calibri" w:cs="Calibri"/>
                <w:b/>
                <w:bCs/>
                <w:i/>
                <w:iCs/>
                <w:color w:val="F2F2F2"/>
                <w:w w:val="99"/>
                <w:sz w:val="28"/>
                <w:szCs w:val="28"/>
              </w:rPr>
              <w:t>la santé</w:t>
            </w:r>
          </w:p>
        </w:tc>
        <w:tc>
          <w:tcPr>
            <w:tcW w:w="4220" w:type="dxa"/>
            <w:gridSpan w:val="5"/>
            <w:vAlign w:val="bottom"/>
          </w:tcPr>
          <w:p w:rsidR="00AC12B4" w:rsidRPr="00C27636" w:rsidRDefault="00C27636">
            <w:pPr>
              <w:ind w:left="340"/>
              <w:rPr>
                <w:sz w:val="20"/>
                <w:szCs w:val="20"/>
                <w:lang w:val="fr-BE"/>
              </w:rPr>
            </w:pPr>
            <w:r w:rsidRPr="00C27636">
              <w:rPr>
                <w:rFonts w:ascii="Calibri" w:eastAsia="Calibri" w:hAnsi="Calibri" w:cs="Calibri"/>
                <w:lang w:val="fr-BE"/>
              </w:rPr>
              <w:t>2,2‰). Notons cependant le niveau élevé</w:t>
            </w:r>
          </w:p>
        </w:tc>
        <w:tc>
          <w:tcPr>
            <w:tcW w:w="0" w:type="dxa"/>
            <w:vAlign w:val="bottom"/>
          </w:tcPr>
          <w:p w:rsidR="00AC12B4" w:rsidRPr="00C27636" w:rsidRDefault="00AC12B4">
            <w:pPr>
              <w:rPr>
                <w:sz w:val="1"/>
                <w:szCs w:val="1"/>
                <w:lang w:val="fr-BE"/>
              </w:rPr>
            </w:pPr>
          </w:p>
        </w:tc>
      </w:tr>
      <w:tr w:rsidR="00AC12B4" w:rsidRPr="00C27636">
        <w:trPr>
          <w:trHeight w:val="551"/>
        </w:trPr>
        <w:tc>
          <w:tcPr>
            <w:tcW w:w="560" w:type="dxa"/>
            <w:vMerge/>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1040" w:type="dxa"/>
            <w:tcBorders>
              <w:bottom w:val="single" w:sz="8" w:space="0" w:color="auto"/>
            </w:tcBorders>
            <w:vAlign w:val="bottom"/>
          </w:tcPr>
          <w:p w:rsidR="00AC12B4" w:rsidRPr="00C27636" w:rsidRDefault="00AC12B4">
            <w:pPr>
              <w:rPr>
                <w:sz w:val="24"/>
                <w:szCs w:val="24"/>
                <w:lang w:val="fr-BE"/>
              </w:rPr>
            </w:pPr>
          </w:p>
        </w:tc>
        <w:tc>
          <w:tcPr>
            <w:tcW w:w="1000" w:type="dxa"/>
            <w:tcBorders>
              <w:bottom w:val="single" w:sz="8" w:space="0" w:color="auto"/>
            </w:tcBorders>
            <w:vAlign w:val="bottom"/>
          </w:tcPr>
          <w:p w:rsidR="00AC12B4" w:rsidRPr="00C27636" w:rsidRDefault="00AC12B4">
            <w:pPr>
              <w:rPr>
                <w:sz w:val="24"/>
                <w:szCs w:val="24"/>
                <w:lang w:val="fr-BE"/>
              </w:rPr>
            </w:pPr>
          </w:p>
        </w:tc>
        <w:tc>
          <w:tcPr>
            <w:tcW w:w="840" w:type="dxa"/>
            <w:tcBorders>
              <w:bottom w:val="single" w:sz="8" w:space="0" w:color="auto"/>
            </w:tcBorders>
            <w:vAlign w:val="bottom"/>
          </w:tcPr>
          <w:p w:rsidR="00AC12B4" w:rsidRPr="00C27636" w:rsidRDefault="00AC12B4">
            <w:pPr>
              <w:rPr>
                <w:sz w:val="24"/>
                <w:szCs w:val="24"/>
                <w:lang w:val="fr-BE"/>
              </w:rPr>
            </w:pPr>
          </w:p>
        </w:tc>
        <w:tc>
          <w:tcPr>
            <w:tcW w:w="100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62"/>
        </w:trPr>
        <w:tc>
          <w:tcPr>
            <w:tcW w:w="560" w:type="dxa"/>
            <w:vMerge/>
            <w:vAlign w:val="bottom"/>
          </w:tcPr>
          <w:p w:rsidR="00AC12B4" w:rsidRPr="00C27636" w:rsidRDefault="00AC12B4">
            <w:pPr>
              <w:rPr>
                <w:lang w:val="fr-BE"/>
              </w:rPr>
            </w:pPr>
          </w:p>
        </w:tc>
        <w:tc>
          <w:tcPr>
            <w:tcW w:w="2380" w:type="dxa"/>
            <w:gridSpan w:val="3"/>
            <w:vMerge w:val="restart"/>
            <w:vAlign w:val="bottom"/>
          </w:tcPr>
          <w:p w:rsidR="00AC12B4" w:rsidRDefault="00C27636">
            <w:pPr>
              <w:ind w:left="340"/>
              <w:rPr>
                <w:sz w:val="20"/>
                <w:szCs w:val="20"/>
              </w:rPr>
            </w:pPr>
            <w:r>
              <w:rPr>
                <w:rFonts w:ascii="Calibri" w:eastAsia="Calibri" w:hAnsi="Calibri" w:cs="Calibri"/>
                <w:sz w:val="25"/>
                <w:szCs w:val="25"/>
                <w:vertAlign w:val="superscript"/>
              </w:rPr>
              <w:t>4</w:t>
            </w:r>
            <w:r>
              <w:rPr>
                <w:rFonts w:ascii="Calibri" w:eastAsia="Calibri" w:hAnsi="Calibri" w:cs="Calibri"/>
                <w:sz w:val="20"/>
                <w:szCs w:val="20"/>
              </w:rPr>
              <w:t xml:space="preserve">   Observatoire  de  la</w:t>
            </w:r>
          </w:p>
        </w:tc>
        <w:tc>
          <w:tcPr>
            <w:tcW w:w="1840" w:type="dxa"/>
            <w:gridSpan w:val="2"/>
            <w:vMerge w:val="restart"/>
            <w:vAlign w:val="bottom"/>
          </w:tcPr>
          <w:p w:rsidR="00AC12B4" w:rsidRDefault="00C27636">
            <w:pPr>
              <w:ind w:left="60"/>
              <w:rPr>
                <w:sz w:val="20"/>
                <w:szCs w:val="20"/>
              </w:rPr>
            </w:pPr>
            <w:r>
              <w:rPr>
                <w:rFonts w:ascii="Calibri" w:eastAsia="Calibri" w:hAnsi="Calibri" w:cs="Calibri"/>
                <w:sz w:val="20"/>
                <w:szCs w:val="20"/>
              </w:rPr>
              <w:t>santé  et  du  Social</w:t>
            </w:r>
          </w:p>
        </w:tc>
        <w:tc>
          <w:tcPr>
            <w:tcW w:w="0" w:type="dxa"/>
            <w:vAlign w:val="bottom"/>
          </w:tcPr>
          <w:p w:rsidR="00AC12B4" w:rsidRDefault="00AC12B4">
            <w:pPr>
              <w:rPr>
                <w:sz w:val="1"/>
                <w:szCs w:val="1"/>
              </w:rPr>
            </w:pPr>
          </w:p>
        </w:tc>
      </w:tr>
      <w:tr w:rsidR="00AC12B4">
        <w:trPr>
          <w:trHeight w:val="218"/>
        </w:trPr>
        <w:tc>
          <w:tcPr>
            <w:tcW w:w="560" w:type="dxa"/>
            <w:textDirection w:val="btLr"/>
            <w:vAlign w:val="bottom"/>
          </w:tcPr>
          <w:p w:rsidR="00AC12B4" w:rsidRDefault="00C27636">
            <w:pPr>
              <w:ind w:left="8"/>
              <w:rPr>
                <w:sz w:val="20"/>
                <w:szCs w:val="20"/>
              </w:rPr>
            </w:pPr>
            <w:r>
              <w:rPr>
                <w:rFonts w:ascii="Calibri" w:eastAsia="Calibri" w:hAnsi="Calibri" w:cs="Calibri"/>
                <w:b/>
                <w:bCs/>
                <w:i/>
                <w:iCs/>
                <w:color w:val="F2F2F2"/>
                <w:w w:val="94"/>
                <w:sz w:val="28"/>
                <w:szCs w:val="28"/>
              </w:rPr>
              <w:t>à</w:t>
            </w:r>
          </w:p>
        </w:tc>
        <w:tc>
          <w:tcPr>
            <w:tcW w:w="2380" w:type="dxa"/>
            <w:gridSpan w:val="3"/>
            <w:vMerge/>
            <w:vAlign w:val="bottom"/>
          </w:tcPr>
          <w:p w:rsidR="00AC12B4" w:rsidRDefault="00AC12B4">
            <w:pPr>
              <w:rPr>
                <w:sz w:val="18"/>
                <w:szCs w:val="18"/>
              </w:rPr>
            </w:pPr>
          </w:p>
        </w:tc>
        <w:tc>
          <w:tcPr>
            <w:tcW w:w="1840" w:type="dxa"/>
            <w:gridSpan w:val="2"/>
            <w:vMerge/>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rsidRPr="00C27636">
        <w:trPr>
          <w:trHeight w:val="218"/>
        </w:trPr>
        <w:tc>
          <w:tcPr>
            <w:tcW w:w="560" w:type="dxa"/>
            <w:vMerge w:val="restart"/>
            <w:textDirection w:val="btLr"/>
            <w:vAlign w:val="bottom"/>
          </w:tcPr>
          <w:p w:rsidR="00AC12B4" w:rsidRDefault="00C27636">
            <w:pPr>
              <w:ind w:left="8"/>
              <w:rPr>
                <w:sz w:val="20"/>
                <w:szCs w:val="20"/>
              </w:rPr>
            </w:pPr>
            <w:r>
              <w:rPr>
                <w:rFonts w:ascii="Calibri" w:eastAsia="Calibri" w:hAnsi="Calibri" w:cs="Calibri"/>
                <w:b/>
                <w:bCs/>
                <w:i/>
                <w:iCs/>
                <w:color w:val="F2F2F2"/>
                <w:w w:val="74"/>
                <w:sz w:val="28"/>
                <w:szCs w:val="28"/>
              </w:rPr>
              <w:t>droit</w:t>
            </w:r>
          </w:p>
        </w:tc>
        <w:tc>
          <w:tcPr>
            <w:tcW w:w="4220" w:type="dxa"/>
            <w:gridSpan w:val="5"/>
            <w:vAlign w:val="bottom"/>
          </w:tcPr>
          <w:p w:rsidR="00AC12B4" w:rsidRPr="00C27636" w:rsidRDefault="00C27636">
            <w:pPr>
              <w:spacing w:line="218" w:lineRule="exact"/>
              <w:ind w:left="340"/>
              <w:rPr>
                <w:sz w:val="20"/>
                <w:szCs w:val="20"/>
                <w:lang w:val="fr-BE"/>
              </w:rPr>
            </w:pPr>
            <w:r w:rsidRPr="00C27636">
              <w:rPr>
                <w:rFonts w:ascii="Calibri" w:eastAsia="Calibri" w:hAnsi="Calibri" w:cs="Calibri"/>
                <w:sz w:val="20"/>
                <w:szCs w:val="20"/>
                <w:lang w:val="fr-BE"/>
              </w:rPr>
              <w:t xml:space="preserve">Bruxelles, </w:t>
            </w:r>
            <w:r w:rsidRPr="00C27636">
              <w:rPr>
                <w:rFonts w:ascii="Calibri" w:eastAsia="Calibri" w:hAnsi="Calibri" w:cs="Calibri"/>
                <w:i/>
                <w:iCs/>
                <w:sz w:val="20"/>
                <w:szCs w:val="20"/>
                <w:lang w:val="fr-BE"/>
              </w:rPr>
              <w:t>Naître bruxellois(e). Indicateurs de</w:t>
            </w:r>
          </w:p>
        </w:tc>
        <w:tc>
          <w:tcPr>
            <w:tcW w:w="0" w:type="dxa"/>
            <w:vAlign w:val="bottom"/>
          </w:tcPr>
          <w:p w:rsidR="00AC12B4" w:rsidRPr="00C27636" w:rsidRDefault="00AC12B4">
            <w:pPr>
              <w:rPr>
                <w:sz w:val="1"/>
                <w:szCs w:val="1"/>
                <w:lang w:val="fr-BE"/>
              </w:rPr>
            </w:pPr>
          </w:p>
        </w:tc>
      </w:tr>
      <w:tr w:rsidR="00AC12B4" w:rsidRPr="00C27636">
        <w:trPr>
          <w:trHeight w:val="197"/>
        </w:trPr>
        <w:tc>
          <w:tcPr>
            <w:tcW w:w="560" w:type="dxa"/>
            <w:vMerge/>
            <w:vAlign w:val="bottom"/>
          </w:tcPr>
          <w:p w:rsidR="00AC12B4" w:rsidRPr="00C27636" w:rsidRDefault="00AC12B4">
            <w:pPr>
              <w:rPr>
                <w:sz w:val="17"/>
                <w:szCs w:val="17"/>
                <w:lang w:val="fr-BE"/>
              </w:rPr>
            </w:pPr>
          </w:p>
        </w:tc>
        <w:tc>
          <w:tcPr>
            <w:tcW w:w="4220" w:type="dxa"/>
            <w:gridSpan w:val="5"/>
            <w:vMerge w:val="restart"/>
            <w:vAlign w:val="bottom"/>
          </w:tcPr>
          <w:p w:rsidR="00AC12B4" w:rsidRPr="00C27636" w:rsidRDefault="00C27636">
            <w:pPr>
              <w:ind w:left="340"/>
              <w:rPr>
                <w:sz w:val="20"/>
                <w:szCs w:val="20"/>
                <w:lang w:val="fr-BE"/>
              </w:rPr>
            </w:pPr>
            <w:r w:rsidRPr="00C27636">
              <w:rPr>
                <w:rFonts w:ascii="Calibri" w:eastAsia="Calibri" w:hAnsi="Calibri" w:cs="Calibri"/>
                <w:i/>
                <w:iCs/>
                <w:sz w:val="20"/>
                <w:szCs w:val="20"/>
                <w:lang w:val="fr-BE"/>
              </w:rPr>
              <w:t>santé périnatale des Bruxellois(es) 2000-2012</w:t>
            </w:r>
            <w:r w:rsidRPr="00C27636">
              <w:rPr>
                <w:rFonts w:ascii="Calibri" w:eastAsia="Calibri" w:hAnsi="Calibri" w:cs="Calibri"/>
                <w:sz w:val="20"/>
                <w:szCs w:val="20"/>
                <w:lang w:val="fr-BE"/>
              </w:rPr>
              <w:t>,</w:t>
            </w:r>
          </w:p>
        </w:tc>
        <w:tc>
          <w:tcPr>
            <w:tcW w:w="0" w:type="dxa"/>
            <w:vAlign w:val="bottom"/>
          </w:tcPr>
          <w:p w:rsidR="00AC12B4" w:rsidRPr="00C27636" w:rsidRDefault="00AC12B4">
            <w:pPr>
              <w:rPr>
                <w:sz w:val="1"/>
                <w:szCs w:val="1"/>
                <w:lang w:val="fr-BE"/>
              </w:rPr>
            </w:pPr>
          </w:p>
        </w:tc>
      </w:tr>
      <w:tr w:rsidR="00AC12B4" w:rsidRPr="00C27636">
        <w:trPr>
          <w:trHeight w:val="48"/>
        </w:trPr>
        <w:tc>
          <w:tcPr>
            <w:tcW w:w="560" w:type="dxa"/>
            <w:vAlign w:val="bottom"/>
          </w:tcPr>
          <w:p w:rsidR="00AC12B4" w:rsidRPr="00C27636" w:rsidRDefault="00AC12B4">
            <w:pPr>
              <w:rPr>
                <w:sz w:val="4"/>
                <w:szCs w:val="4"/>
                <w:lang w:val="fr-BE"/>
              </w:rPr>
            </w:pPr>
          </w:p>
        </w:tc>
        <w:tc>
          <w:tcPr>
            <w:tcW w:w="4220" w:type="dxa"/>
            <w:gridSpan w:val="5"/>
            <w:vMerge/>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trPr>
          <w:trHeight w:val="245"/>
        </w:trPr>
        <w:tc>
          <w:tcPr>
            <w:tcW w:w="560" w:type="dxa"/>
            <w:vMerge w:val="restart"/>
            <w:textDirection w:val="btLr"/>
            <w:vAlign w:val="bottom"/>
          </w:tcPr>
          <w:p w:rsidR="00AC12B4" w:rsidRDefault="00C27636">
            <w:pPr>
              <w:ind w:left="8"/>
              <w:rPr>
                <w:sz w:val="20"/>
                <w:szCs w:val="20"/>
              </w:rPr>
            </w:pPr>
            <w:r>
              <w:rPr>
                <w:rFonts w:ascii="Calibri" w:eastAsia="Calibri" w:hAnsi="Calibri" w:cs="Calibri"/>
                <w:b/>
                <w:bCs/>
                <w:i/>
                <w:iCs/>
                <w:color w:val="F2F2F2"/>
                <w:sz w:val="28"/>
                <w:szCs w:val="28"/>
              </w:rPr>
              <w:t>Le</w:t>
            </w:r>
          </w:p>
        </w:tc>
        <w:tc>
          <w:tcPr>
            <w:tcW w:w="1380" w:type="dxa"/>
            <w:gridSpan w:val="2"/>
            <w:vAlign w:val="bottom"/>
          </w:tcPr>
          <w:p w:rsidR="00AC12B4" w:rsidRDefault="00C27636">
            <w:pPr>
              <w:ind w:left="340"/>
              <w:rPr>
                <w:sz w:val="20"/>
                <w:szCs w:val="20"/>
              </w:rPr>
            </w:pPr>
            <w:r>
              <w:rPr>
                <w:rFonts w:ascii="Calibri" w:eastAsia="Calibri" w:hAnsi="Calibri" w:cs="Calibri"/>
                <w:sz w:val="20"/>
                <w:szCs w:val="20"/>
              </w:rPr>
              <w:t>2015. 47.</w:t>
            </w:r>
          </w:p>
        </w:tc>
        <w:tc>
          <w:tcPr>
            <w:tcW w:w="1000" w:type="dxa"/>
            <w:vAlign w:val="bottom"/>
          </w:tcPr>
          <w:p w:rsidR="00AC12B4" w:rsidRDefault="00AC12B4">
            <w:pPr>
              <w:rPr>
                <w:sz w:val="21"/>
                <w:szCs w:val="21"/>
              </w:rPr>
            </w:pPr>
          </w:p>
        </w:tc>
        <w:tc>
          <w:tcPr>
            <w:tcW w:w="840" w:type="dxa"/>
            <w:vAlign w:val="bottom"/>
          </w:tcPr>
          <w:p w:rsidR="00AC12B4" w:rsidRDefault="00AC12B4">
            <w:pPr>
              <w:rPr>
                <w:sz w:val="21"/>
                <w:szCs w:val="21"/>
              </w:rPr>
            </w:pPr>
          </w:p>
        </w:tc>
        <w:tc>
          <w:tcPr>
            <w:tcW w:w="100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35"/>
        </w:trPr>
        <w:tc>
          <w:tcPr>
            <w:tcW w:w="560" w:type="dxa"/>
            <w:vMerge/>
            <w:vAlign w:val="bottom"/>
          </w:tcPr>
          <w:p w:rsidR="00AC12B4" w:rsidRDefault="00AC12B4">
            <w:pPr>
              <w:rPr>
                <w:sz w:val="20"/>
                <w:szCs w:val="20"/>
              </w:rPr>
            </w:pPr>
          </w:p>
        </w:tc>
        <w:tc>
          <w:tcPr>
            <w:tcW w:w="340" w:type="dxa"/>
            <w:vAlign w:val="bottom"/>
          </w:tcPr>
          <w:p w:rsidR="00AC12B4" w:rsidRDefault="00AC12B4">
            <w:pPr>
              <w:rPr>
                <w:sz w:val="20"/>
                <w:szCs w:val="20"/>
              </w:rPr>
            </w:pPr>
          </w:p>
        </w:tc>
        <w:tc>
          <w:tcPr>
            <w:tcW w:w="1040" w:type="dxa"/>
            <w:vAlign w:val="bottom"/>
          </w:tcPr>
          <w:p w:rsidR="00AC12B4" w:rsidRDefault="00AC12B4">
            <w:pPr>
              <w:rPr>
                <w:sz w:val="20"/>
                <w:szCs w:val="20"/>
              </w:rPr>
            </w:pPr>
          </w:p>
        </w:tc>
        <w:tc>
          <w:tcPr>
            <w:tcW w:w="1000" w:type="dxa"/>
            <w:vAlign w:val="bottom"/>
          </w:tcPr>
          <w:p w:rsidR="00AC12B4" w:rsidRDefault="00AC12B4">
            <w:pPr>
              <w:rPr>
                <w:sz w:val="20"/>
                <w:szCs w:val="20"/>
              </w:rPr>
            </w:pPr>
          </w:p>
        </w:tc>
        <w:tc>
          <w:tcPr>
            <w:tcW w:w="840" w:type="dxa"/>
            <w:vAlign w:val="bottom"/>
          </w:tcPr>
          <w:p w:rsidR="00AC12B4" w:rsidRDefault="00AC12B4">
            <w:pPr>
              <w:rPr>
                <w:sz w:val="20"/>
                <w:szCs w:val="20"/>
              </w:rPr>
            </w:pPr>
          </w:p>
        </w:tc>
        <w:tc>
          <w:tcPr>
            <w:tcW w:w="1000" w:type="dxa"/>
            <w:vAlign w:val="bottom"/>
          </w:tcPr>
          <w:p w:rsidR="00AC12B4" w:rsidRDefault="00AC12B4">
            <w:pPr>
              <w:rPr>
                <w:sz w:val="20"/>
                <w:szCs w:val="20"/>
              </w:rPr>
            </w:pPr>
          </w:p>
        </w:tc>
        <w:tc>
          <w:tcPr>
            <w:tcW w:w="0" w:type="dxa"/>
            <w:vAlign w:val="bottom"/>
          </w:tcPr>
          <w:p w:rsidR="00AC12B4" w:rsidRDefault="00AC12B4">
            <w:pPr>
              <w:rPr>
                <w:sz w:val="1"/>
                <w:szCs w:val="1"/>
              </w:rPr>
            </w:pPr>
          </w:p>
        </w:tc>
      </w:tr>
    </w:tbl>
    <w:p w:rsidR="00AC12B4" w:rsidRDefault="00AC12B4">
      <w:pPr>
        <w:spacing w:line="6" w:lineRule="exact"/>
        <w:rPr>
          <w:sz w:val="20"/>
          <w:szCs w:val="20"/>
        </w:rPr>
      </w:pPr>
    </w:p>
    <w:p w:rsidR="00AC12B4" w:rsidRDefault="00C27636">
      <w:pPr>
        <w:jc w:val="right"/>
        <w:rPr>
          <w:sz w:val="20"/>
          <w:szCs w:val="20"/>
        </w:rPr>
      </w:pPr>
      <w:r>
        <w:rPr>
          <w:rFonts w:ascii="Calibri" w:eastAsia="Calibri" w:hAnsi="Calibri" w:cs="Calibri"/>
        </w:rPr>
        <w:t>68</w:t>
      </w:r>
    </w:p>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Pr="00C27636" w:rsidRDefault="00C27636">
      <w:pPr>
        <w:spacing w:line="218" w:lineRule="auto"/>
        <w:ind w:right="737"/>
        <w:rPr>
          <w:sz w:val="20"/>
          <w:szCs w:val="20"/>
          <w:lang w:val="fr-BE"/>
        </w:rPr>
      </w:pPr>
      <w:r w:rsidRPr="00C27636">
        <w:rPr>
          <w:rFonts w:ascii="Calibri" w:eastAsia="Calibri" w:hAnsi="Calibri" w:cs="Calibri"/>
          <w:lang w:val="fr-BE"/>
        </w:rPr>
        <w:t xml:space="preserve">d’inconnue dans cette statistique, plus de 12% des </w:t>
      </w:r>
      <w:r w:rsidRPr="00C27636">
        <w:rPr>
          <w:rFonts w:ascii="Calibri" w:eastAsia="Calibri" w:hAnsi="Calibri" w:cs="Calibri"/>
          <w:lang w:val="fr-BE"/>
        </w:rPr>
        <w:t>femmes ayant accouché en 2011).</w:t>
      </w:r>
    </w:p>
    <w:p w:rsidR="00AC12B4" w:rsidRPr="00C27636" w:rsidRDefault="00AC12B4">
      <w:pPr>
        <w:spacing w:line="128" w:lineRule="exact"/>
        <w:rPr>
          <w:sz w:val="20"/>
          <w:szCs w:val="20"/>
          <w:lang w:val="fr-BE"/>
        </w:rPr>
      </w:pPr>
    </w:p>
    <w:p w:rsidR="00AC12B4" w:rsidRPr="00C27636" w:rsidRDefault="00C27636">
      <w:pPr>
        <w:numPr>
          <w:ilvl w:val="0"/>
          <w:numId w:val="82"/>
        </w:numPr>
        <w:tabs>
          <w:tab w:val="left" w:pos="720"/>
        </w:tabs>
        <w:spacing w:line="274" w:lineRule="auto"/>
        <w:ind w:left="720" w:right="1077" w:hanging="355"/>
        <w:rPr>
          <w:rFonts w:ascii="Wingdings" w:eastAsia="Wingdings" w:hAnsi="Wingdings" w:cs="Wingdings"/>
          <w:color w:val="C9D11D"/>
          <w:lang w:val="fr-BE"/>
        </w:rPr>
      </w:pPr>
      <w:r w:rsidRPr="00C27636">
        <w:rPr>
          <w:rFonts w:ascii="Cambria" w:eastAsia="Cambria" w:hAnsi="Cambria" w:cs="Cambria"/>
          <w:i/>
          <w:iCs/>
          <w:color w:val="C9D11D"/>
          <w:lang w:val="fr-BE"/>
        </w:rPr>
        <w:t>Nombre de revenus dans le ménage</w:t>
      </w:r>
    </w:p>
    <w:p w:rsidR="00AC12B4" w:rsidRPr="00C27636" w:rsidRDefault="00AC12B4">
      <w:pPr>
        <w:spacing w:line="166"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 xml:space="preserve">Selon l’Observatoire de la Santé, à Bruxelles, en 2011, les enfants nés dans un ménage sans revenu professionnel ont presque deux fois plus de risque d’être mort-nés que ceux naissant dans </w:t>
      </w:r>
      <w:r w:rsidRPr="00C27636">
        <w:rPr>
          <w:rFonts w:ascii="Calibri" w:eastAsia="Calibri" w:hAnsi="Calibri" w:cs="Calibri"/>
          <w:lang w:val="fr-BE"/>
        </w:rPr>
        <w:t>un ménage avec deux revenus</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w:t>
      </w:r>
    </w:p>
    <w:p w:rsidR="00AC12B4" w:rsidRPr="00C27636" w:rsidRDefault="00AC12B4">
      <w:pPr>
        <w:spacing w:line="171" w:lineRule="exact"/>
        <w:rPr>
          <w:sz w:val="20"/>
          <w:szCs w:val="20"/>
          <w:lang w:val="fr-BE"/>
        </w:rPr>
      </w:pPr>
    </w:p>
    <w:p w:rsidR="00AC12B4" w:rsidRDefault="00C27636">
      <w:pPr>
        <w:rPr>
          <w:sz w:val="20"/>
          <w:szCs w:val="20"/>
        </w:rPr>
      </w:pPr>
      <w:r>
        <w:rPr>
          <w:rFonts w:ascii="Cambria" w:eastAsia="Cambria" w:hAnsi="Cambria" w:cs="Cambria"/>
          <w:b/>
          <w:bCs/>
          <w:i/>
          <w:iCs/>
          <w:color w:val="919715"/>
          <w:sz w:val="26"/>
          <w:szCs w:val="26"/>
        </w:rPr>
        <w:t>D’où viennent ces chiffres ?</w:t>
      </w:r>
    </w:p>
    <w:p w:rsidR="00AC12B4" w:rsidRDefault="00AC12B4">
      <w:pPr>
        <w:spacing w:line="169" w:lineRule="exact"/>
        <w:rPr>
          <w:sz w:val="20"/>
          <w:szCs w:val="20"/>
        </w:rPr>
      </w:pPr>
    </w:p>
    <w:p w:rsidR="00AC12B4" w:rsidRDefault="00C27636">
      <w:pPr>
        <w:numPr>
          <w:ilvl w:val="0"/>
          <w:numId w:val="83"/>
        </w:numPr>
        <w:tabs>
          <w:tab w:val="left" w:pos="720"/>
        </w:tabs>
        <w:ind w:left="720" w:hanging="355"/>
        <w:rPr>
          <w:rFonts w:ascii="Wingdings" w:eastAsia="Wingdings" w:hAnsi="Wingdings" w:cs="Wingdings"/>
          <w:color w:val="C9D11D"/>
        </w:rPr>
      </w:pPr>
      <w:r>
        <w:rPr>
          <w:rFonts w:ascii="Cambria" w:eastAsia="Cambria" w:hAnsi="Cambria" w:cs="Cambria"/>
          <w:i/>
          <w:iCs/>
          <w:color w:val="C9D11D"/>
        </w:rPr>
        <w:t>Statbel</w:t>
      </w:r>
    </w:p>
    <w:p w:rsidR="00AC12B4" w:rsidRDefault="00AC12B4">
      <w:pPr>
        <w:spacing w:line="199" w:lineRule="exact"/>
        <w:rPr>
          <w:sz w:val="20"/>
          <w:szCs w:val="20"/>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La Belgique dispose de bases de données nationales des décès à moins d'un an et mort-nés déclarés à l'état civil, consolidées depuis 2010 par l'enregistrement au Registre National, ainsi</w:t>
      </w:r>
      <w:r w:rsidRPr="00C27636">
        <w:rPr>
          <w:rFonts w:ascii="Calibri" w:eastAsia="Calibri" w:hAnsi="Calibri" w:cs="Calibri"/>
          <w:lang w:val="fr-BE"/>
        </w:rPr>
        <w:t xml:space="preserve"> que d’une base de données des naissances vivantes, avec mêmes ventilations permettant le calcul de taux de mortalité foeto-infantile pour différents âges.</w:t>
      </w:r>
    </w:p>
    <w:p w:rsidR="00AC12B4" w:rsidRPr="00C27636" w:rsidRDefault="00AC12B4">
      <w:pPr>
        <w:spacing w:line="128" w:lineRule="exact"/>
        <w:rPr>
          <w:sz w:val="20"/>
          <w:szCs w:val="20"/>
          <w:lang w:val="fr-BE"/>
        </w:rPr>
      </w:pPr>
    </w:p>
    <w:p w:rsidR="00AC12B4" w:rsidRDefault="00C27636">
      <w:pPr>
        <w:numPr>
          <w:ilvl w:val="0"/>
          <w:numId w:val="84"/>
        </w:numPr>
        <w:tabs>
          <w:tab w:val="left" w:pos="720"/>
        </w:tabs>
        <w:ind w:left="720" w:hanging="355"/>
        <w:rPr>
          <w:rFonts w:ascii="Wingdings" w:eastAsia="Wingdings" w:hAnsi="Wingdings" w:cs="Wingdings"/>
          <w:color w:val="C9D11D"/>
        </w:rPr>
      </w:pPr>
      <w:r>
        <w:rPr>
          <w:rFonts w:ascii="Cambria" w:eastAsia="Cambria" w:hAnsi="Cambria" w:cs="Cambria"/>
          <w:i/>
          <w:iCs/>
          <w:color w:val="C9D11D"/>
        </w:rPr>
        <w:t>Limite de la mesure</w:t>
      </w:r>
    </w:p>
    <w:p w:rsidR="00AC12B4" w:rsidRDefault="00AC12B4">
      <w:pPr>
        <w:spacing w:line="202" w:lineRule="exact"/>
        <w:rPr>
          <w:sz w:val="20"/>
          <w:szCs w:val="20"/>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Les données présentées ne reprennent que les informations sur les personnes </w:t>
      </w:r>
      <w:r w:rsidRPr="00C27636">
        <w:rPr>
          <w:rFonts w:ascii="Calibri" w:eastAsia="Calibri" w:hAnsi="Calibri" w:cs="Calibri"/>
          <w:lang w:val="fr-BE"/>
        </w:rPr>
        <w:t>enregistrées au Registre National.</w:t>
      </w:r>
    </w:p>
    <w:p w:rsidR="00AC12B4" w:rsidRPr="00C27636" w:rsidRDefault="00AC12B4">
      <w:pPr>
        <w:spacing w:line="204"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De plus, les données recueillies sur le</w:t>
      </w:r>
    </w:p>
    <w:p w:rsidR="00AC12B4" w:rsidRPr="00C27636" w:rsidRDefault="00AC12B4">
      <w:pPr>
        <w:spacing w:line="39" w:lineRule="exact"/>
        <w:rPr>
          <w:sz w:val="20"/>
          <w:szCs w:val="20"/>
          <w:lang w:val="fr-BE"/>
        </w:rPr>
      </w:pPr>
    </w:p>
    <w:p w:rsidR="00AC12B4" w:rsidRPr="00C27636" w:rsidRDefault="00C27636">
      <w:pPr>
        <w:tabs>
          <w:tab w:val="left" w:pos="820"/>
          <w:tab w:val="left" w:pos="2200"/>
          <w:tab w:val="left" w:pos="2680"/>
          <w:tab w:val="left" w:pos="3080"/>
        </w:tabs>
        <w:rPr>
          <w:sz w:val="20"/>
          <w:szCs w:val="20"/>
          <w:lang w:val="fr-BE"/>
        </w:rPr>
      </w:pPr>
      <w:r w:rsidRPr="00C27636">
        <w:rPr>
          <w:rFonts w:ascii="Calibri" w:eastAsia="Calibri" w:hAnsi="Calibri" w:cs="Calibri"/>
          <w:lang w:val="fr-BE"/>
        </w:rPr>
        <w:t>niveau</w:t>
      </w:r>
      <w:r w:rsidRPr="00C27636">
        <w:rPr>
          <w:rFonts w:ascii="Calibri" w:eastAsia="Calibri" w:hAnsi="Calibri" w:cs="Calibri"/>
          <w:lang w:val="fr-BE"/>
        </w:rPr>
        <w:tab/>
        <w:t>d’instruction</w:t>
      </w:r>
      <w:r w:rsidRPr="00C27636">
        <w:rPr>
          <w:rFonts w:ascii="Calibri" w:eastAsia="Calibri" w:hAnsi="Calibri" w:cs="Calibri"/>
          <w:lang w:val="fr-BE"/>
        </w:rPr>
        <w:tab/>
        <w:t>ou</w:t>
      </w:r>
      <w:r w:rsidRPr="00C27636">
        <w:rPr>
          <w:rFonts w:ascii="Calibri" w:eastAsia="Calibri" w:hAnsi="Calibri" w:cs="Calibri"/>
          <w:lang w:val="fr-BE"/>
        </w:rPr>
        <w:tab/>
        <w:t>la</w:t>
      </w:r>
      <w:r w:rsidRPr="00C27636">
        <w:rPr>
          <w:sz w:val="20"/>
          <w:szCs w:val="20"/>
          <w:lang w:val="fr-BE"/>
        </w:rPr>
        <w:tab/>
      </w:r>
      <w:r w:rsidRPr="00C27636">
        <w:rPr>
          <w:rFonts w:ascii="Calibri" w:eastAsia="Calibri" w:hAnsi="Calibri" w:cs="Calibri"/>
          <w:sz w:val="21"/>
          <w:szCs w:val="21"/>
          <w:lang w:val="fr-BE"/>
        </w:rPr>
        <w:t>situation</w:t>
      </w:r>
    </w:p>
    <w:p w:rsidR="00AC12B4" w:rsidRPr="00C27636" w:rsidRDefault="00AC12B4">
      <w:pPr>
        <w:spacing w:line="39"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professionnelle de la mère ne sont pas</w:t>
      </w:r>
    </w:p>
    <w:p w:rsidR="00AC12B4" w:rsidRPr="00C27636" w:rsidRDefault="00AC12B4">
      <w:pPr>
        <w:spacing w:line="90" w:lineRule="exact"/>
        <w:rPr>
          <w:sz w:val="20"/>
          <w:szCs w:val="20"/>
          <w:lang w:val="fr-BE"/>
        </w:rPr>
      </w:pPr>
    </w:p>
    <w:p w:rsidR="00AC12B4" w:rsidRPr="00C27636" w:rsidRDefault="00C27636">
      <w:pPr>
        <w:spacing w:line="236" w:lineRule="auto"/>
        <w:ind w:right="737"/>
        <w:jc w:val="both"/>
        <w:rPr>
          <w:sz w:val="20"/>
          <w:szCs w:val="20"/>
          <w:lang w:val="fr-BE"/>
        </w:rPr>
      </w:pPr>
      <w:r w:rsidRPr="00C27636">
        <w:rPr>
          <w:rFonts w:ascii="Calibri" w:eastAsia="Calibri" w:hAnsi="Calibri" w:cs="Calibri"/>
          <w:lang w:val="fr-BE"/>
        </w:rPr>
        <w:t>complètes (plus de 10% d’inconnue pour le niveau d’instruction en 2011 p.ex).</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483648" behindDoc="1" locked="0" layoutInCell="0" allowOverlap="1">
                <wp:simplePos x="0" y="0"/>
                <wp:positionH relativeFrom="column">
                  <wp:posOffset>3175</wp:posOffset>
                </wp:positionH>
                <wp:positionV relativeFrom="paragraph">
                  <wp:posOffset>1743710</wp:posOffset>
                </wp:positionV>
                <wp:extent cx="1828800" cy="0"/>
                <wp:effectExtent l="0" t="0" r="0" b="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37.3pt" to="144.25pt,137.3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8" w:lineRule="exact"/>
        <w:rPr>
          <w:sz w:val="20"/>
          <w:szCs w:val="20"/>
          <w:lang w:val="fr-BE"/>
        </w:rPr>
      </w:pPr>
    </w:p>
    <w:p w:rsidR="00AC12B4" w:rsidRPr="00C27636" w:rsidRDefault="00C27636">
      <w:pPr>
        <w:spacing w:line="226" w:lineRule="auto"/>
        <w:ind w:right="737"/>
        <w:jc w:val="both"/>
        <w:rPr>
          <w:sz w:val="20"/>
          <w:szCs w:val="20"/>
          <w:lang w:val="fr-BE"/>
        </w:rPr>
      </w:pPr>
      <w:r w:rsidRPr="00C27636">
        <w:rPr>
          <w:rFonts w:ascii="Calibri" w:eastAsia="Calibri" w:hAnsi="Calibri" w:cs="Calibri"/>
          <w:sz w:val="25"/>
          <w:szCs w:val="25"/>
          <w:vertAlign w:val="superscript"/>
          <w:lang w:val="fr-BE"/>
        </w:rPr>
        <w:t>5</w:t>
      </w:r>
      <w:r w:rsidRPr="00C27636">
        <w:rPr>
          <w:rFonts w:ascii="Calibri" w:eastAsia="Calibri" w:hAnsi="Calibri" w:cs="Calibri"/>
          <w:sz w:val="20"/>
          <w:szCs w:val="20"/>
          <w:lang w:val="fr-BE"/>
        </w:rPr>
        <w:t xml:space="preserve"> Observatoire de la Santé et du Social de Bruxelles-Capitale, </w:t>
      </w:r>
      <w:r w:rsidRPr="00C27636">
        <w:rPr>
          <w:rFonts w:ascii="Calibri" w:eastAsia="Calibri" w:hAnsi="Calibri" w:cs="Calibri"/>
          <w:i/>
          <w:iCs/>
          <w:sz w:val="20"/>
          <w:szCs w:val="20"/>
          <w:lang w:val="fr-BE"/>
        </w:rPr>
        <w:t>Baromètre social 2014</w:t>
      </w:r>
      <w:r w:rsidRPr="00C27636">
        <w:rPr>
          <w:rFonts w:ascii="Calibri" w:eastAsia="Calibri" w:hAnsi="Calibri" w:cs="Calibri"/>
          <w:sz w:val="20"/>
          <w:szCs w:val="20"/>
          <w:lang w:val="fr-BE"/>
        </w:rPr>
        <w:t>, Bruxelles : Commission communautaire commune, 2014.</w:t>
      </w:r>
    </w:p>
    <w:p w:rsidR="00AC12B4" w:rsidRPr="00C27636" w:rsidRDefault="00AC12B4">
      <w:pPr>
        <w:rPr>
          <w:lang w:val="fr-BE"/>
        </w:rPr>
        <w:sectPr w:rsidR="00AC12B4" w:rsidRPr="00C27636">
          <w:pgSz w:w="12080" w:h="17179"/>
          <w:pgMar w:top="1440" w:right="1440" w:bottom="659" w:left="540" w:header="0" w:footer="0" w:gutter="0"/>
          <w:cols w:num="2" w:space="720" w:equalWidth="0">
            <w:col w:w="5240" w:space="240"/>
            <w:col w:w="4617"/>
          </w:cols>
        </w:sectPr>
      </w:pPr>
    </w:p>
    <w:p w:rsidR="00AC12B4" w:rsidRPr="00C27636" w:rsidRDefault="00AC12B4">
      <w:pPr>
        <w:spacing w:line="168" w:lineRule="exact"/>
        <w:rPr>
          <w:sz w:val="20"/>
          <w:szCs w:val="20"/>
          <w:lang w:val="fr-BE"/>
        </w:rPr>
      </w:pPr>
      <w:bookmarkStart w:id="68" w:name="page69"/>
      <w:bookmarkEnd w:id="68"/>
    </w:p>
    <w:p w:rsidR="00AC12B4" w:rsidRDefault="00C27636">
      <w:pPr>
        <w:ind w:left="1460"/>
        <w:rPr>
          <w:sz w:val="20"/>
          <w:szCs w:val="20"/>
        </w:rPr>
      </w:pPr>
      <w:r>
        <w:rPr>
          <w:rFonts w:ascii="Comic Sans MS" w:eastAsia="Comic Sans MS" w:hAnsi="Comic Sans MS" w:cs="Comic Sans MS"/>
          <w:color w:val="C9D11D"/>
          <w:sz w:val="40"/>
          <w:szCs w:val="40"/>
        </w:rPr>
        <w:t>S3. Suivi Prénatal</w:t>
      </w:r>
    </w:p>
    <w:p w:rsidR="00AC12B4" w:rsidRDefault="00AC12B4">
      <w:pPr>
        <w:spacing w:line="27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320"/>
        <w:gridCol w:w="140"/>
        <w:gridCol w:w="540"/>
        <w:gridCol w:w="80"/>
        <w:gridCol w:w="460"/>
        <w:gridCol w:w="20"/>
        <w:gridCol w:w="460"/>
        <w:gridCol w:w="20"/>
        <w:gridCol w:w="480"/>
        <w:gridCol w:w="20"/>
        <w:gridCol w:w="380"/>
        <w:gridCol w:w="80"/>
        <w:gridCol w:w="20"/>
        <w:gridCol w:w="340"/>
        <w:gridCol w:w="80"/>
        <w:gridCol w:w="40"/>
        <w:gridCol w:w="780"/>
        <w:gridCol w:w="720"/>
        <w:gridCol w:w="80"/>
        <w:gridCol w:w="440"/>
        <w:gridCol w:w="240"/>
        <w:gridCol w:w="240"/>
        <w:gridCol w:w="200"/>
        <w:gridCol w:w="540"/>
        <w:gridCol w:w="100"/>
        <w:gridCol w:w="400"/>
        <w:gridCol w:w="180"/>
        <w:gridCol w:w="280"/>
        <w:gridCol w:w="260"/>
        <w:gridCol w:w="180"/>
        <w:gridCol w:w="540"/>
        <w:gridCol w:w="280"/>
        <w:gridCol w:w="20"/>
      </w:tblGrid>
      <w:tr w:rsidR="00AC12B4" w:rsidRPr="00C27636">
        <w:trPr>
          <w:trHeight w:val="129"/>
        </w:trPr>
        <w:tc>
          <w:tcPr>
            <w:tcW w:w="1320" w:type="dxa"/>
            <w:tcBorders>
              <w:bottom w:val="single" w:sz="8" w:space="0" w:color="919715"/>
            </w:tcBorders>
            <w:vAlign w:val="bottom"/>
          </w:tcPr>
          <w:p w:rsidR="00AC12B4" w:rsidRDefault="00AC12B4">
            <w:pPr>
              <w:rPr>
                <w:sz w:val="11"/>
                <w:szCs w:val="11"/>
              </w:rPr>
            </w:pPr>
          </w:p>
        </w:tc>
        <w:tc>
          <w:tcPr>
            <w:tcW w:w="140" w:type="dxa"/>
            <w:tcBorders>
              <w:bottom w:val="single" w:sz="8" w:space="0" w:color="919715"/>
            </w:tcBorders>
            <w:vAlign w:val="bottom"/>
          </w:tcPr>
          <w:p w:rsidR="00AC12B4" w:rsidRDefault="00AC12B4">
            <w:pPr>
              <w:rPr>
                <w:sz w:val="11"/>
                <w:szCs w:val="11"/>
              </w:rPr>
            </w:pPr>
          </w:p>
        </w:tc>
        <w:tc>
          <w:tcPr>
            <w:tcW w:w="540" w:type="dxa"/>
            <w:tcBorders>
              <w:bottom w:val="single" w:sz="8" w:space="0" w:color="919715"/>
            </w:tcBorders>
            <w:vAlign w:val="bottom"/>
          </w:tcPr>
          <w:p w:rsidR="00AC12B4" w:rsidRDefault="00AC12B4">
            <w:pPr>
              <w:rPr>
                <w:sz w:val="11"/>
                <w:szCs w:val="11"/>
              </w:rPr>
            </w:pPr>
          </w:p>
        </w:tc>
        <w:tc>
          <w:tcPr>
            <w:tcW w:w="80" w:type="dxa"/>
            <w:tcBorders>
              <w:bottom w:val="single" w:sz="8" w:space="0" w:color="919715"/>
            </w:tcBorders>
            <w:vAlign w:val="bottom"/>
          </w:tcPr>
          <w:p w:rsidR="00AC12B4" w:rsidRDefault="00AC12B4">
            <w:pPr>
              <w:rPr>
                <w:sz w:val="11"/>
                <w:szCs w:val="11"/>
              </w:rPr>
            </w:pPr>
          </w:p>
        </w:tc>
        <w:tc>
          <w:tcPr>
            <w:tcW w:w="460" w:type="dxa"/>
            <w:tcBorders>
              <w:bottom w:val="single" w:sz="8" w:space="0" w:color="919715"/>
            </w:tcBorders>
            <w:vAlign w:val="bottom"/>
          </w:tcPr>
          <w:p w:rsidR="00AC12B4" w:rsidRDefault="00AC12B4">
            <w:pPr>
              <w:rPr>
                <w:sz w:val="11"/>
                <w:szCs w:val="11"/>
              </w:rPr>
            </w:pPr>
          </w:p>
        </w:tc>
        <w:tc>
          <w:tcPr>
            <w:tcW w:w="20" w:type="dxa"/>
            <w:tcBorders>
              <w:bottom w:val="single" w:sz="8" w:space="0" w:color="919715"/>
            </w:tcBorders>
            <w:vAlign w:val="bottom"/>
          </w:tcPr>
          <w:p w:rsidR="00AC12B4" w:rsidRDefault="00AC12B4">
            <w:pPr>
              <w:rPr>
                <w:sz w:val="11"/>
                <w:szCs w:val="11"/>
              </w:rPr>
            </w:pPr>
          </w:p>
        </w:tc>
        <w:tc>
          <w:tcPr>
            <w:tcW w:w="460" w:type="dxa"/>
            <w:tcBorders>
              <w:bottom w:val="single" w:sz="8" w:space="0" w:color="919715"/>
            </w:tcBorders>
            <w:vAlign w:val="bottom"/>
          </w:tcPr>
          <w:p w:rsidR="00AC12B4" w:rsidRDefault="00AC12B4">
            <w:pPr>
              <w:rPr>
                <w:sz w:val="11"/>
                <w:szCs w:val="11"/>
              </w:rPr>
            </w:pPr>
          </w:p>
        </w:tc>
        <w:tc>
          <w:tcPr>
            <w:tcW w:w="20" w:type="dxa"/>
            <w:tcBorders>
              <w:bottom w:val="single" w:sz="8" w:space="0" w:color="919715"/>
            </w:tcBorders>
            <w:vAlign w:val="bottom"/>
          </w:tcPr>
          <w:p w:rsidR="00AC12B4" w:rsidRDefault="00AC12B4">
            <w:pPr>
              <w:rPr>
                <w:sz w:val="11"/>
                <w:szCs w:val="11"/>
              </w:rPr>
            </w:pPr>
          </w:p>
        </w:tc>
        <w:tc>
          <w:tcPr>
            <w:tcW w:w="480" w:type="dxa"/>
            <w:tcBorders>
              <w:bottom w:val="single" w:sz="8" w:space="0" w:color="919715"/>
            </w:tcBorders>
            <w:vAlign w:val="bottom"/>
          </w:tcPr>
          <w:p w:rsidR="00AC12B4" w:rsidRDefault="00AC12B4">
            <w:pPr>
              <w:rPr>
                <w:sz w:val="11"/>
                <w:szCs w:val="11"/>
              </w:rPr>
            </w:pPr>
          </w:p>
        </w:tc>
        <w:tc>
          <w:tcPr>
            <w:tcW w:w="20" w:type="dxa"/>
            <w:tcBorders>
              <w:bottom w:val="single" w:sz="8" w:space="0" w:color="919715"/>
            </w:tcBorders>
            <w:vAlign w:val="bottom"/>
          </w:tcPr>
          <w:p w:rsidR="00AC12B4" w:rsidRDefault="00AC12B4">
            <w:pPr>
              <w:rPr>
                <w:sz w:val="11"/>
                <w:szCs w:val="11"/>
              </w:rPr>
            </w:pPr>
          </w:p>
        </w:tc>
        <w:tc>
          <w:tcPr>
            <w:tcW w:w="380" w:type="dxa"/>
            <w:tcBorders>
              <w:bottom w:val="single" w:sz="8" w:space="0" w:color="919715"/>
            </w:tcBorders>
            <w:vAlign w:val="bottom"/>
          </w:tcPr>
          <w:p w:rsidR="00AC12B4" w:rsidRDefault="00AC12B4">
            <w:pPr>
              <w:rPr>
                <w:sz w:val="11"/>
                <w:szCs w:val="11"/>
              </w:rPr>
            </w:pPr>
          </w:p>
        </w:tc>
        <w:tc>
          <w:tcPr>
            <w:tcW w:w="80" w:type="dxa"/>
            <w:tcBorders>
              <w:bottom w:val="single" w:sz="8" w:space="0" w:color="919715"/>
            </w:tcBorders>
            <w:vAlign w:val="bottom"/>
          </w:tcPr>
          <w:p w:rsidR="00AC12B4" w:rsidRDefault="00AC12B4">
            <w:pPr>
              <w:rPr>
                <w:sz w:val="11"/>
                <w:szCs w:val="11"/>
              </w:rPr>
            </w:pPr>
          </w:p>
        </w:tc>
        <w:tc>
          <w:tcPr>
            <w:tcW w:w="20" w:type="dxa"/>
            <w:tcBorders>
              <w:bottom w:val="single" w:sz="8" w:space="0" w:color="919715"/>
            </w:tcBorders>
            <w:vAlign w:val="bottom"/>
          </w:tcPr>
          <w:p w:rsidR="00AC12B4" w:rsidRDefault="00AC12B4">
            <w:pPr>
              <w:rPr>
                <w:sz w:val="11"/>
                <w:szCs w:val="11"/>
              </w:rPr>
            </w:pPr>
          </w:p>
        </w:tc>
        <w:tc>
          <w:tcPr>
            <w:tcW w:w="340" w:type="dxa"/>
            <w:tcBorders>
              <w:bottom w:val="single" w:sz="8" w:space="0" w:color="919715"/>
            </w:tcBorders>
            <w:vAlign w:val="bottom"/>
          </w:tcPr>
          <w:p w:rsidR="00AC12B4" w:rsidRDefault="00AC12B4">
            <w:pPr>
              <w:rPr>
                <w:sz w:val="11"/>
                <w:szCs w:val="11"/>
              </w:rPr>
            </w:pPr>
          </w:p>
        </w:tc>
        <w:tc>
          <w:tcPr>
            <w:tcW w:w="80" w:type="dxa"/>
            <w:tcBorders>
              <w:bottom w:val="single" w:sz="8" w:space="0" w:color="919715"/>
            </w:tcBorders>
            <w:vAlign w:val="bottom"/>
          </w:tcPr>
          <w:p w:rsidR="00AC12B4" w:rsidRDefault="00AC12B4">
            <w:pPr>
              <w:rPr>
                <w:sz w:val="11"/>
                <w:szCs w:val="11"/>
              </w:rPr>
            </w:pPr>
          </w:p>
        </w:tc>
        <w:tc>
          <w:tcPr>
            <w:tcW w:w="40" w:type="dxa"/>
            <w:tcBorders>
              <w:bottom w:val="single" w:sz="8" w:space="0" w:color="919715"/>
            </w:tcBorders>
            <w:vAlign w:val="bottom"/>
          </w:tcPr>
          <w:p w:rsidR="00AC12B4" w:rsidRDefault="00AC12B4">
            <w:pPr>
              <w:rPr>
                <w:sz w:val="11"/>
                <w:szCs w:val="11"/>
              </w:rPr>
            </w:pPr>
          </w:p>
        </w:tc>
        <w:tc>
          <w:tcPr>
            <w:tcW w:w="780" w:type="dxa"/>
            <w:tcBorders>
              <w:bottom w:val="single" w:sz="8" w:space="0" w:color="919715"/>
            </w:tcBorders>
            <w:vAlign w:val="bottom"/>
          </w:tcPr>
          <w:p w:rsidR="00AC12B4" w:rsidRDefault="00AC12B4">
            <w:pPr>
              <w:rPr>
                <w:sz w:val="11"/>
                <w:szCs w:val="11"/>
              </w:rPr>
            </w:pPr>
          </w:p>
        </w:tc>
        <w:tc>
          <w:tcPr>
            <w:tcW w:w="720" w:type="dxa"/>
            <w:tcBorders>
              <w:bottom w:val="single" w:sz="8" w:space="0" w:color="919715"/>
            </w:tcBorders>
            <w:vAlign w:val="bottom"/>
          </w:tcPr>
          <w:p w:rsidR="00AC12B4" w:rsidRDefault="00AC12B4">
            <w:pPr>
              <w:rPr>
                <w:sz w:val="11"/>
                <w:szCs w:val="11"/>
              </w:rPr>
            </w:pPr>
          </w:p>
        </w:tc>
        <w:tc>
          <w:tcPr>
            <w:tcW w:w="80" w:type="dxa"/>
            <w:tcBorders>
              <w:bottom w:val="single" w:sz="8" w:space="0" w:color="919715"/>
            </w:tcBorders>
            <w:vAlign w:val="bottom"/>
          </w:tcPr>
          <w:p w:rsidR="00AC12B4" w:rsidRDefault="00AC12B4">
            <w:pPr>
              <w:rPr>
                <w:sz w:val="11"/>
                <w:szCs w:val="11"/>
              </w:rPr>
            </w:pPr>
          </w:p>
        </w:tc>
        <w:tc>
          <w:tcPr>
            <w:tcW w:w="440" w:type="dxa"/>
            <w:tcBorders>
              <w:bottom w:val="single" w:sz="8" w:space="0" w:color="919715"/>
            </w:tcBorders>
            <w:vAlign w:val="bottom"/>
          </w:tcPr>
          <w:p w:rsidR="00AC12B4" w:rsidRDefault="00AC12B4">
            <w:pPr>
              <w:rPr>
                <w:sz w:val="11"/>
                <w:szCs w:val="11"/>
              </w:rPr>
            </w:pPr>
          </w:p>
        </w:tc>
        <w:tc>
          <w:tcPr>
            <w:tcW w:w="3160" w:type="dxa"/>
            <w:gridSpan w:val="11"/>
            <w:vMerge w:val="restart"/>
            <w:vAlign w:val="bottom"/>
          </w:tcPr>
          <w:p w:rsidR="00AC12B4" w:rsidRPr="00C27636" w:rsidRDefault="00C27636">
            <w:pPr>
              <w:jc w:val="right"/>
              <w:rPr>
                <w:sz w:val="20"/>
                <w:szCs w:val="20"/>
                <w:lang w:val="fr-BE"/>
              </w:rPr>
            </w:pPr>
            <w:r w:rsidRPr="00C27636">
              <w:rPr>
                <w:rFonts w:ascii="Calibri" w:eastAsia="Calibri" w:hAnsi="Calibri" w:cs="Calibri"/>
                <w:lang w:val="fr-BE"/>
              </w:rPr>
              <w:t>statut de « grossesse à risque » :</w:t>
            </w:r>
          </w:p>
        </w:tc>
        <w:tc>
          <w:tcPr>
            <w:tcW w:w="28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trPr>
          <w:trHeight w:val="119"/>
        </w:trPr>
        <w:tc>
          <w:tcPr>
            <w:tcW w:w="3920" w:type="dxa"/>
            <w:gridSpan w:val="11"/>
            <w:vMerge w:val="restart"/>
            <w:tcBorders>
              <w:left w:val="single" w:sz="8" w:space="0" w:color="919715"/>
            </w:tcBorders>
            <w:shd w:val="clear" w:color="auto" w:fill="C9D11D"/>
            <w:vAlign w:val="bottom"/>
          </w:tcPr>
          <w:p w:rsidR="00AC12B4" w:rsidRDefault="00C27636">
            <w:pPr>
              <w:ind w:left="580"/>
              <w:rPr>
                <w:sz w:val="20"/>
                <w:szCs w:val="20"/>
              </w:rPr>
            </w:pPr>
            <w:r>
              <w:rPr>
                <w:rFonts w:ascii="Calibri" w:eastAsia="Calibri" w:hAnsi="Calibri" w:cs="Calibri"/>
                <w:i/>
                <w:iCs/>
                <w:color w:val="FFFFFF"/>
              </w:rPr>
              <w:t>Article 24.</w:t>
            </w:r>
          </w:p>
        </w:tc>
        <w:tc>
          <w:tcPr>
            <w:tcW w:w="80" w:type="dxa"/>
            <w:shd w:val="clear" w:color="auto" w:fill="C9D11D"/>
            <w:vAlign w:val="bottom"/>
          </w:tcPr>
          <w:p w:rsidR="00AC12B4" w:rsidRDefault="00AC12B4">
            <w:pPr>
              <w:rPr>
                <w:sz w:val="10"/>
                <w:szCs w:val="10"/>
              </w:rPr>
            </w:pPr>
          </w:p>
        </w:tc>
        <w:tc>
          <w:tcPr>
            <w:tcW w:w="20" w:type="dxa"/>
            <w:shd w:val="clear" w:color="auto" w:fill="C9D11D"/>
            <w:vAlign w:val="bottom"/>
          </w:tcPr>
          <w:p w:rsidR="00AC12B4" w:rsidRDefault="00AC12B4">
            <w:pPr>
              <w:rPr>
                <w:sz w:val="10"/>
                <w:szCs w:val="10"/>
              </w:rPr>
            </w:pPr>
          </w:p>
        </w:tc>
        <w:tc>
          <w:tcPr>
            <w:tcW w:w="340" w:type="dxa"/>
            <w:tcBorders>
              <w:right w:val="single" w:sz="8" w:space="0" w:color="C9D11D"/>
            </w:tcBorders>
            <w:shd w:val="clear" w:color="auto" w:fill="C9D11D"/>
            <w:vAlign w:val="bottom"/>
          </w:tcPr>
          <w:p w:rsidR="00AC12B4" w:rsidRDefault="00AC12B4">
            <w:pPr>
              <w:rPr>
                <w:sz w:val="10"/>
                <w:szCs w:val="10"/>
              </w:rPr>
            </w:pPr>
          </w:p>
        </w:tc>
        <w:tc>
          <w:tcPr>
            <w:tcW w:w="80" w:type="dxa"/>
            <w:shd w:val="clear" w:color="auto" w:fill="C9D11D"/>
            <w:vAlign w:val="bottom"/>
          </w:tcPr>
          <w:p w:rsidR="00AC12B4" w:rsidRDefault="00AC12B4">
            <w:pPr>
              <w:rPr>
                <w:sz w:val="10"/>
                <w:szCs w:val="10"/>
              </w:rPr>
            </w:pPr>
          </w:p>
        </w:tc>
        <w:tc>
          <w:tcPr>
            <w:tcW w:w="40" w:type="dxa"/>
            <w:shd w:val="clear" w:color="auto" w:fill="C9D11D"/>
            <w:vAlign w:val="bottom"/>
          </w:tcPr>
          <w:p w:rsidR="00AC12B4" w:rsidRDefault="00AC12B4">
            <w:pPr>
              <w:rPr>
                <w:sz w:val="10"/>
                <w:szCs w:val="10"/>
              </w:rPr>
            </w:pPr>
          </w:p>
        </w:tc>
        <w:tc>
          <w:tcPr>
            <w:tcW w:w="780" w:type="dxa"/>
            <w:shd w:val="clear" w:color="auto" w:fill="C9D11D"/>
            <w:vAlign w:val="bottom"/>
          </w:tcPr>
          <w:p w:rsidR="00AC12B4" w:rsidRDefault="00AC12B4">
            <w:pPr>
              <w:rPr>
                <w:sz w:val="10"/>
                <w:szCs w:val="10"/>
              </w:rPr>
            </w:pPr>
          </w:p>
        </w:tc>
        <w:tc>
          <w:tcPr>
            <w:tcW w:w="720" w:type="dxa"/>
            <w:tcBorders>
              <w:right w:val="single" w:sz="8" w:space="0" w:color="C9D11D"/>
            </w:tcBorders>
            <w:shd w:val="clear" w:color="auto" w:fill="C9D11D"/>
            <w:vAlign w:val="bottom"/>
          </w:tcPr>
          <w:p w:rsidR="00AC12B4" w:rsidRDefault="00AC12B4">
            <w:pPr>
              <w:rPr>
                <w:sz w:val="10"/>
                <w:szCs w:val="10"/>
              </w:rPr>
            </w:pPr>
          </w:p>
        </w:tc>
        <w:tc>
          <w:tcPr>
            <w:tcW w:w="80" w:type="dxa"/>
            <w:shd w:val="clear" w:color="auto" w:fill="C9D11D"/>
            <w:vAlign w:val="bottom"/>
          </w:tcPr>
          <w:p w:rsidR="00AC12B4" w:rsidRDefault="00AC12B4">
            <w:pPr>
              <w:rPr>
                <w:sz w:val="10"/>
                <w:szCs w:val="10"/>
              </w:rPr>
            </w:pPr>
          </w:p>
        </w:tc>
        <w:tc>
          <w:tcPr>
            <w:tcW w:w="440" w:type="dxa"/>
            <w:tcBorders>
              <w:right w:val="single" w:sz="8" w:space="0" w:color="919715"/>
            </w:tcBorders>
            <w:shd w:val="clear" w:color="auto" w:fill="C9D11D"/>
            <w:vAlign w:val="bottom"/>
          </w:tcPr>
          <w:p w:rsidR="00AC12B4" w:rsidRDefault="00AC12B4">
            <w:pPr>
              <w:rPr>
                <w:sz w:val="10"/>
                <w:szCs w:val="10"/>
              </w:rPr>
            </w:pPr>
          </w:p>
        </w:tc>
        <w:tc>
          <w:tcPr>
            <w:tcW w:w="3160" w:type="dxa"/>
            <w:gridSpan w:val="11"/>
            <w:vMerge/>
            <w:vAlign w:val="bottom"/>
          </w:tcPr>
          <w:p w:rsidR="00AC12B4" w:rsidRDefault="00AC12B4">
            <w:pPr>
              <w:rPr>
                <w:sz w:val="10"/>
                <w:szCs w:val="10"/>
              </w:rPr>
            </w:pPr>
          </w:p>
        </w:tc>
        <w:tc>
          <w:tcPr>
            <w:tcW w:w="28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214"/>
        </w:trPr>
        <w:tc>
          <w:tcPr>
            <w:tcW w:w="3920" w:type="dxa"/>
            <w:gridSpan w:val="11"/>
            <w:vMerge/>
            <w:tcBorders>
              <w:left w:val="single" w:sz="8" w:space="0" w:color="919715"/>
            </w:tcBorders>
            <w:shd w:val="clear" w:color="auto" w:fill="C9D11D"/>
            <w:vAlign w:val="bottom"/>
          </w:tcPr>
          <w:p w:rsidR="00AC12B4" w:rsidRDefault="00AC12B4">
            <w:pPr>
              <w:rPr>
                <w:sz w:val="18"/>
                <w:szCs w:val="18"/>
              </w:rPr>
            </w:pPr>
          </w:p>
        </w:tc>
        <w:tc>
          <w:tcPr>
            <w:tcW w:w="80" w:type="dxa"/>
            <w:shd w:val="clear" w:color="auto" w:fill="C9D11D"/>
            <w:vAlign w:val="bottom"/>
          </w:tcPr>
          <w:p w:rsidR="00AC12B4" w:rsidRDefault="00AC12B4">
            <w:pPr>
              <w:rPr>
                <w:sz w:val="18"/>
                <w:szCs w:val="18"/>
              </w:rPr>
            </w:pPr>
          </w:p>
        </w:tc>
        <w:tc>
          <w:tcPr>
            <w:tcW w:w="20" w:type="dxa"/>
            <w:shd w:val="clear" w:color="auto" w:fill="C9D11D"/>
            <w:vAlign w:val="bottom"/>
          </w:tcPr>
          <w:p w:rsidR="00AC12B4" w:rsidRDefault="00AC12B4">
            <w:pPr>
              <w:rPr>
                <w:sz w:val="18"/>
                <w:szCs w:val="18"/>
              </w:rPr>
            </w:pPr>
          </w:p>
        </w:tc>
        <w:tc>
          <w:tcPr>
            <w:tcW w:w="340" w:type="dxa"/>
            <w:tcBorders>
              <w:right w:val="single" w:sz="8" w:space="0" w:color="C9D11D"/>
            </w:tcBorders>
            <w:shd w:val="clear" w:color="auto" w:fill="C9D11D"/>
            <w:vAlign w:val="bottom"/>
          </w:tcPr>
          <w:p w:rsidR="00AC12B4" w:rsidRDefault="00AC12B4">
            <w:pPr>
              <w:rPr>
                <w:sz w:val="18"/>
                <w:szCs w:val="18"/>
              </w:rPr>
            </w:pPr>
          </w:p>
        </w:tc>
        <w:tc>
          <w:tcPr>
            <w:tcW w:w="80" w:type="dxa"/>
            <w:shd w:val="clear" w:color="auto" w:fill="C9D11D"/>
            <w:vAlign w:val="bottom"/>
          </w:tcPr>
          <w:p w:rsidR="00AC12B4" w:rsidRDefault="00AC12B4">
            <w:pPr>
              <w:rPr>
                <w:sz w:val="18"/>
                <w:szCs w:val="18"/>
              </w:rPr>
            </w:pPr>
          </w:p>
        </w:tc>
        <w:tc>
          <w:tcPr>
            <w:tcW w:w="40" w:type="dxa"/>
            <w:shd w:val="clear" w:color="auto" w:fill="C9D11D"/>
            <w:vAlign w:val="bottom"/>
          </w:tcPr>
          <w:p w:rsidR="00AC12B4" w:rsidRDefault="00AC12B4">
            <w:pPr>
              <w:rPr>
                <w:sz w:val="18"/>
                <w:szCs w:val="18"/>
              </w:rPr>
            </w:pPr>
          </w:p>
        </w:tc>
        <w:tc>
          <w:tcPr>
            <w:tcW w:w="780" w:type="dxa"/>
            <w:shd w:val="clear" w:color="auto" w:fill="C9D11D"/>
            <w:vAlign w:val="bottom"/>
          </w:tcPr>
          <w:p w:rsidR="00AC12B4" w:rsidRDefault="00AC12B4">
            <w:pPr>
              <w:rPr>
                <w:sz w:val="18"/>
                <w:szCs w:val="18"/>
              </w:rPr>
            </w:pPr>
          </w:p>
        </w:tc>
        <w:tc>
          <w:tcPr>
            <w:tcW w:w="720" w:type="dxa"/>
            <w:tcBorders>
              <w:right w:val="single" w:sz="8" w:space="0" w:color="C9D11D"/>
            </w:tcBorders>
            <w:shd w:val="clear" w:color="auto" w:fill="C9D11D"/>
            <w:vAlign w:val="bottom"/>
          </w:tcPr>
          <w:p w:rsidR="00AC12B4" w:rsidRDefault="00AC12B4">
            <w:pPr>
              <w:rPr>
                <w:sz w:val="18"/>
                <w:szCs w:val="18"/>
              </w:rPr>
            </w:pPr>
          </w:p>
        </w:tc>
        <w:tc>
          <w:tcPr>
            <w:tcW w:w="80" w:type="dxa"/>
            <w:shd w:val="clear" w:color="auto" w:fill="C9D11D"/>
            <w:vAlign w:val="bottom"/>
          </w:tcPr>
          <w:p w:rsidR="00AC12B4" w:rsidRDefault="00AC12B4">
            <w:pPr>
              <w:rPr>
                <w:sz w:val="18"/>
                <w:szCs w:val="18"/>
              </w:rPr>
            </w:pPr>
          </w:p>
        </w:tc>
        <w:tc>
          <w:tcPr>
            <w:tcW w:w="440" w:type="dxa"/>
            <w:tcBorders>
              <w:right w:val="single" w:sz="8" w:space="0" w:color="919715"/>
            </w:tcBorders>
            <w:shd w:val="clear" w:color="auto" w:fill="C9D11D"/>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2960" w:type="dxa"/>
            <w:gridSpan w:val="10"/>
            <w:vMerge w:val="restart"/>
            <w:vAlign w:val="bottom"/>
          </w:tcPr>
          <w:p w:rsidR="00AC12B4" w:rsidRPr="00C27636" w:rsidRDefault="00C27636">
            <w:pPr>
              <w:ind w:left="60"/>
              <w:rPr>
                <w:sz w:val="20"/>
                <w:szCs w:val="20"/>
                <w:lang w:val="fr-BE"/>
              </w:rPr>
            </w:pPr>
            <w:r w:rsidRPr="00C27636">
              <w:rPr>
                <w:rFonts w:ascii="Calibri" w:eastAsia="Calibri" w:hAnsi="Calibri" w:cs="Calibri"/>
                <w:lang w:val="fr-BE"/>
              </w:rPr>
              <w:t>-   L’âge de la mère : les mères</w:t>
            </w:r>
          </w:p>
        </w:tc>
        <w:tc>
          <w:tcPr>
            <w:tcW w:w="0" w:type="dxa"/>
            <w:vAlign w:val="bottom"/>
          </w:tcPr>
          <w:p w:rsidR="00AC12B4" w:rsidRPr="00C27636" w:rsidRDefault="00AC12B4">
            <w:pPr>
              <w:rPr>
                <w:sz w:val="1"/>
                <w:szCs w:val="1"/>
                <w:lang w:val="fr-BE"/>
              </w:rPr>
            </w:pPr>
          </w:p>
        </w:tc>
      </w:tr>
      <w:tr w:rsidR="00AC12B4" w:rsidRPr="00C27636">
        <w:trPr>
          <w:trHeight w:val="175"/>
        </w:trPr>
        <w:tc>
          <w:tcPr>
            <w:tcW w:w="6500" w:type="dxa"/>
            <w:gridSpan w:val="20"/>
            <w:vMerge w:val="restart"/>
            <w:tcBorders>
              <w:left w:val="single" w:sz="8" w:space="0" w:color="919715"/>
              <w:righ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2.d. Les États prennent les mesures appropriées pour assurer</w:t>
            </w:r>
          </w:p>
        </w:tc>
        <w:tc>
          <w:tcPr>
            <w:tcW w:w="240" w:type="dxa"/>
            <w:vAlign w:val="bottom"/>
          </w:tcPr>
          <w:p w:rsidR="00AC12B4" w:rsidRPr="00C27636" w:rsidRDefault="00AC12B4">
            <w:pPr>
              <w:rPr>
                <w:sz w:val="15"/>
                <w:szCs w:val="15"/>
                <w:lang w:val="fr-BE"/>
              </w:rPr>
            </w:pPr>
          </w:p>
        </w:tc>
        <w:tc>
          <w:tcPr>
            <w:tcW w:w="240" w:type="dxa"/>
            <w:vAlign w:val="bottom"/>
          </w:tcPr>
          <w:p w:rsidR="00AC12B4" w:rsidRPr="00C27636" w:rsidRDefault="00AC12B4">
            <w:pPr>
              <w:rPr>
                <w:sz w:val="15"/>
                <w:szCs w:val="15"/>
                <w:lang w:val="fr-BE"/>
              </w:rPr>
            </w:pPr>
          </w:p>
        </w:tc>
        <w:tc>
          <w:tcPr>
            <w:tcW w:w="2960" w:type="dxa"/>
            <w:gridSpan w:val="10"/>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214"/>
        </w:trPr>
        <w:tc>
          <w:tcPr>
            <w:tcW w:w="6500" w:type="dxa"/>
            <w:gridSpan w:val="20"/>
            <w:vMerge/>
            <w:tcBorders>
              <w:left w:val="single" w:sz="8" w:space="0" w:color="919715"/>
              <w:right w:val="single" w:sz="8" w:space="0" w:color="919715"/>
            </w:tcBorders>
            <w:shd w:val="clear" w:color="auto" w:fill="C9D11D"/>
            <w:vAlign w:val="bottom"/>
          </w:tcPr>
          <w:p w:rsidR="00AC12B4" w:rsidRPr="00C27636" w:rsidRDefault="00AC12B4">
            <w:pPr>
              <w:rPr>
                <w:sz w:val="18"/>
                <w:szCs w:val="18"/>
                <w:lang w:val="fr-BE"/>
              </w:rPr>
            </w:pPr>
          </w:p>
        </w:tc>
        <w:tc>
          <w:tcPr>
            <w:tcW w:w="240" w:type="dxa"/>
            <w:vAlign w:val="bottom"/>
          </w:tcPr>
          <w:p w:rsidR="00AC12B4" w:rsidRPr="00C27636" w:rsidRDefault="00AC12B4">
            <w:pPr>
              <w:rPr>
                <w:sz w:val="18"/>
                <w:szCs w:val="18"/>
                <w:lang w:val="fr-BE"/>
              </w:rPr>
            </w:pPr>
          </w:p>
        </w:tc>
        <w:tc>
          <w:tcPr>
            <w:tcW w:w="3200" w:type="dxa"/>
            <w:gridSpan w:val="11"/>
            <w:vMerge w:val="restart"/>
            <w:vAlign w:val="bottom"/>
          </w:tcPr>
          <w:p w:rsidR="00AC12B4" w:rsidRPr="00C27636" w:rsidRDefault="00C27636">
            <w:pPr>
              <w:ind w:left="40"/>
              <w:rPr>
                <w:sz w:val="20"/>
                <w:szCs w:val="20"/>
                <w:lang w:val="fr-BE"/>
              </w:rPr>
            </w:pPr>
            <w:r w:rsidRPr="00C27636">
              <w:rPr>
                <w:rFonts w:ascii="Calibri" w:eastAsia="Calibri" w:hAnsi="Calibri" w:cs="Calibri"/>
                <w:lang w:val="fr-BE"/>
              </w:rPr>
              <w:t>ayant moins de 16 ans ou plus de</w:t>
            </w:r>
          </w:p>
        </w:tc>
        <w:tc>
          <w:tcPr>
            <w:tcW w:w="0" w:type="dxa"/>
            <w:vAlign w:val="bottom"/>
          </w:tcPr>
          <w:p w:rsidR="00AC12B4" w:rsidRPr="00C27636" w:rsidRDefault="00AC12B4">
            <w:pPr>
              <w:rPr>
                <w:sz w:val="1"/>
                <w:szCs w:val="1"/>
                <w:lang w:val="fr-BE"/>
              </w:rPr>
            </w:pPr>
          </w:p>
        </w:tc>
      </w:tr>
      <w:tr w:rsidR="00AC12B4" w:rsidRPr="00C27636">
        <w:trPr>
          <w:trHeight w:val="96"/>
        </w:trPr>
        <w:tc>
          <w:tcPr>
            <w:tcW w:w="6060" w:type="dxa"/>
            <w:gridSpan w:val="19"/>
            <w:vMerge w:val="restart"/>
            <w:tcBorders>
              <w:lef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aux mères des soins prénatals et postnatals appropriés.</w:t>
            </w:r>
          </w:p>
        </w:tc>
        <w:tc>
          <w:tcPr>
            <w:tcW w:w="440" w:type="dxa"/>
            <w:tcBorders>
              <w:right w:val="single" w:sz="8" w:space="0" w:color="919715"/>
            </w:tcBorders>
            <w:shd w:val="clear" w:color="auto" w:fill="C9D11D"/>
            <w:vAlign w:val="bottom"/>
          </w:tcPr>
          <w:p w:rsidR="00AC12B4" w:rsidRPr="00C27636" w:rsidRDefault="00AC12B4">
            <w:pPr>
              <w:rPr>
                <w:sz w:val="8"/>
                <w:szCs w:val="8"/>
                <w:lang w:val="fr-BE"/>
              </w:rPr>
            </w:pPr>
          </w:p>
        </w:tc>
        <w:tc>
          <w:tcPr>
            <w:tcW w:w="240" w:type="dxa"/>
            <w:vAlign w:val="bottom"/>
          </w:tcPr>
          <w:p w:rsidR="00AC12B4" w:rsidRPr="00C27636" w:rsidRDefault="00AC12B4">
            <w:pPr>
              <w:rPr>
                <w:sz w:val="8"/>
                <w:szCs w:val="8"/>
                <w:lang w:val="fr-BE"/>
              </w:rPr>
            </w:pPr>
          </w:p>
        </w:tc>
        <w:tc>
          <w:tcPr>
            <w:tcW w:w="3200" w:type="dxa"/>
            <w:gridSpan w:val="11"/>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173"/>
        </w:trPr>
        <w:tc>
          <w:tcPr>
            <w:tcW w:w="6060" w:type="dxa"/>
            <w:gridSpan w:val="19"/>
            <w:vMerge/>
            <w:tcBorders>
              <w:left w:val="single" w:sz="8" w:space="0" w:color="919715"/>
            </w:tcBorders>
            <w:shd w:val="clear" w:color="auto" w:fill="C9D11D"/>
            <w:vAlign w:val="bottom"/>
          </w:tcPr>
          <w:p w:rsidR="00AC12B4" w:rsidRPr="00C27636" w:rsidRDefault="00AC12B4">
            <w:pPr>
              <w:rPr>
                <w:sz w:val="15"/>
                <w:szCs w:val="15"/>
                <w:lang w:val="fr-BE"/>
              </w:rPr>
            </w:pPr>
          </w:p>
        </w:tc>
        <w:tc>
          <w:tcPr>
            <w:tcW w:w="440" w:type="dxa"/>
            <w:tcBorders>
              <w:right w:val="single" w:sz="8" w:space="0" w:color="919715"/>
            </w:tcBorders>
            <w:shd w:val="clear" w:color="auto" w:fill="C9D11D"/>
            <w:vAlign w:val="bottom"/>
          </w:tcPr>
          <w:p w:rsidR="00AC12B4" w:rsidRPr="00C27636" w:rsidRDefault="00AC12B4">
            <w:pPr>
              <w:rPr>
                <w:sz w:val="15"/>
                <w:szCs w:val="15"/>
                <w:lang w:val="fr-BE"/>
              </w:rPr>
            </w:pPr>
          </w:p>
        </w:tc>
        <w:tc>
          <w:tcPr>
            <w:tcW w:w="240" w:type="dxa"/>
            <w:vAlign w:val="bottom"/>
          </w:tcPr>
          <w:p w:rsidR="00AC12B4" w:rsidRPr="00C27636" w:rsidRDefault="00AC12B4">
            <w:pPr>
              <w:rPr>
                <w:sz w:val="15"/>
                <w:szCs w:val="15"/>
                <w:lang w:val="fr-BE"/>
              </w:rPr>
            </w:pPr>
          </w:p>
        </w:tc>
        <w:tc>
          <w:tcPr>
            <w:tcW w:w="2380" w:type="dxa"/>
            <w:gridSpan w:val="9"/>
            <w:vMerge w:val="restart"/>
            <w:vAlign w:val="bottom"/>
          </w:tcPr>
          <w:p w:rsidR="00AC12B4" w:rsidRDefault="00C27636">
            <w:pPr>
              <w:ind w:left="40"/>
              <w:rPr>
                <w:sz w:val="20"/>
                <w:szCs w:val="20"/>
              </w:rPr>
            </w:pPr>
            <w:r>
              <w:rPr>
                <w:rFonts w:ascii="Calibri" w:eastAsia="Calibri" w:hAnsi="Calibri" w:cs="Calibri"/>
              </w:rPr>
              <w:t>40 ans au moment de</w:t>
            </w:r>
          </w:p>
        </w:tc>
        <w:tc>
          <w:tcPr>
            <w:tcW w:w="54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37"/>
        </w:trPr>
        <w:tc>
          <w:tcPr>
            <w:tcW w:w="1320" w:type="dxa"/>
            <w:tcBorders>
              <w:left w:val="single" w:sz="8" w:space="0" w:color="919715"/>
              <w:right w:val="single" w:sz="8" w:space="0" w:color="C9D11D"/>
            </w:tcBorders>
            <w:shd w:val="clear" w:color="auto" w:fill="C9D11D"/>
            <w:vAlign w:val="bottom"/>
          </w:tcPr>
          <w:p w:rsidR="00AC12B4" w:rsidRDefault="00AC12B4">
            <w:pPr>
              <w:rPr>
                <w:sz w:val="11"/>
                <w:szCs w:val="11"/>
              </w:rPr>
            </w:pPr>
          </w:p>
        </w:tc>
        <w:tc>
          <w:tcPr>
            <w:tcW w:w="140" w:type="dxa"/>
            <w:shd w:val="clear" w:color="auto" w:fill="C9D11D"/>
            <w:vAlign w:val="bottom"/>
          </w:tcPr>
          <w:p w:rsidR="00AC12B4" w:rsidRDefault="00AC12B4">
            <w:pPr>
              <w:rPr>
                <w:sz w:val="11"/>
                <w:szCs w:val="11"/>
              </w:rPr>
            </w:pPr>
          </w:p>
        </w:tc>
        <w:tc>
          <w:tcPr>
            <w:tcW w:w="540" w:type="dxa"/>
            <w:shd w:val="clear" w:color="auto" w:fill="C9D11D"/>
            <w:vAlign w:val="bottom"/>
          </w:tcPr>
          <w:p w:rsidR="00AC12B4" w:rsidRDefault="00AC12B4">
            <w:pPr>
              <w:rPr>
                <w:sz w:val="11"/>
                <w:szCs w:val="11"/>
              </w:rPr>
            </w:pPr>
          </w:p>
        </w:tc>
        <w:tc>
          <w:tcPr>
            <w:tcW w:w="80" w:type="dxa"/>
            <w:tcBorders>
              <w:right w:val="single" w:sz="8" w:space="0" w:color="C9D11D"/>
            </w:tcBorders>
            <w:shd w:val="clear" w:color="auto" w:fill="C9D11D"/>
            <w:vAlign w:val="bottom"/>
          </w:tcPr>
          <w:p w:rsidR="00AC12B4" w:rsidRDefault="00AC12B4">
            <w:pPr>
              <w:rPr>
                <w:sz w:val="11"/>
                <w:szCs w:val="11"/>
              </w:rPr>
            </w:pPr>
          </w:p>
        </w:tc>
        <w:tc>
          <w:tcPr>
            <w:tcW w:w="460" w:type="dxa"/>
            <w:shd w:val="clear" w:color="auto" w:fill="C9D11D"/>
            <w:vAlign w:val="bottom"/>
          </w:tcPr>
          <w:p w:rsidR="00AC12B4" w:rsidRDefault="00AC12B4">
            <w:pPr>
              <w:rPr>
                <w:sz w:val="11"/>
                <w:szCs w:val="11"/>
              </w:rPr>
            </w:pPr>
          </w:p>
        </w:tc>
        <w:tc>
          <w:tcPr>
            <w:tcW w:w="20" w:type="dxa"/>
            <w:shd w:val="clear" w:color="auto" w:fill="C9D11D"/>
            <w:vAlign w:val="bottom"/>
          </w:tcPr>
          <w:p w:rsidR="00AC12B4" w:rsidRDefault="00AC12B4">
            <w:pPr>
              <w:rPr>
                <w:sz w:val="11"/>
                <w:szCs w:val="11"/>
              </w:rPr>
            </w:pPr>
          </w:p>
        </w:tc>
        <w:tc>
          <w:tcPr>
            <w:tcW w:w="460" w:type="dxa"/>
            <w:shd w:val="clear" w:color="auto" w:fill="C9D11D"/>
            <w:vAlign w:val="bottom"/>
          </w:tcPr>
          <w:p w:rsidR="00AC12B4" w:rsidRDefault="00AC12B4">
            <w:pPr>
              <w:rPr>
                <w:sz w:val="11"/>
                <w:szCs w:val="11"/>
              </w:rPr>
            </w:pPr>
          </w:p>
        </w:tc>
        <w:tc>
          <w:tcPr>
            <w:tcW w:w="20" w:type="dxa"/>
            <w:shd w:val="clear" w:color="auto" w:fill="C9D11D"/>
            <w:vAlign w:val="bottom"/>
          </w:tcPr>
          <w:p w:rsidR="00AC12B4" w:rsidRDefault="00AC12B4">
            <w:pPr>
              <w:rPr>
                <w:sz w:val="11"/>
                <w:szCs w:val="11"/>
              </w:rPr>
            </w:pPr>
          </w:p>
        </w:tc>
        <w:tc>
          <w:tcPr>
            <w:tcW w:w="480" w:type="dxa"/>
            <w:shd w:val="clear" w:color="auto" w:fill="C9D11D"/>
            <w:vAlign w:val="bottom"/>
          </w:tcPr>
          <w:p w:rsidR="00AC12B4" w:rsidRDefault="00AC12B4">
            <w:pPr>
              <w:rPr>
                <w:sz w:val="11"/>
                <w:szCs w:val="11"/>
              </w:rPr>
            </w:pPr>
          </w:p>
        </w:tc>
        <w:tc>
          <w:tcPr>
            <w:tcW w:w="20" w:type="dxa"/>
            <w:shd w:val="clear" w:color="auto" w:fill="C9D11D"/>
            <w:vAlign w:val="bottom"/>
          </w:tcPr>
          <w:p w:rsidR="00AC12B4" w:rsidRDefault="00AC12B4">
            <w:pPr>
              <w:rPr>
                <w:sz w:val="11"/>
                <w:szCs w:val="11"/>
              </w:rPr>
            </w:pPr>
          </w:p>
        </w:tc>
        <w:tc>
          <w:tcPr>
            <w:tcW w:w="380" w:type="dxa"/>
            <w:shd w:val="clear" w:color="auto" w:fill="C9D11D"/>
            <w:vAlign w:val="bottom"/>
          </w:tcPr>
          <w:p w:rsidR="00AC12B4" w:rsidRDefault="00AC12B4">
            <w:pPr>
              <w:rPr>
                <w:sz w:val="11"/>
                <w:szCs w:val="11"/>
              </w:rPr>
            </w:pPr>
          </w:p>
        </w:tc>
        <w:tc>
          <w:tcPr>
            <w:tcW w:w="80" w:type="dxa"/>
            <w:shd w:val="clear" w:color="auto" w:fill="C9D11D"/>
            <w:vAlign w:val="bottom"/>
          </w:tcPr>
          <w:p w:rsidR="00AC12B4" w:rsidRDefault="00AC12B4">
            <w:pPr>
              <w:rPr>
                <w:sz w:val="11"/>
                <w:szCs w:val="11"/>
              </w:rPr>
            </w:pPr>
          </w:p>
        </w:tc>
        <w:tc>
          <w:tcPr>
            <w:tcW w:w="20" w:type="dxa"/>
            <w:shd w:val="clear" w:color="auto" w:fill="C9D11D"/>
            <w:vAlign w:val="bottom"/>
          </w:tcPr>
          <w:p w:rsidR="00AC12B4" w:rsidRDefault="00AC12B4">
            <w:pPr>
              <w:rPr>
                <w:sz w:val="11"/>
                <w:szCs w:val="11"/>
              </w:rPr>
            </w:pPr>
          </w:p>
        </w:tc>
        <w:tc>
          <w:tcPr>
            <w:tcW w:w="340" w:type="dxa"/>
            <w:tcBorders>
              <w:right w:val="single" w:sz="8" w:space="0" w:color="C9D11D"/>
            </w:tcBorders>
            <w:shd w:val="clear" w:color="auto" w:fill="C9D11D"/>
            <w:vAlign w:val="bottom"/>
          </w:tcPr>
          <w:p w:rsidR="00AC12B4" w:rsidRDefault="00AC12B4">
            <w:pPr>
              <w:rPr>
                <w:sz w:val="11"/>
                <w:szCs w:val="11"/>
              </w:rPr>
            </w:pPr>
          </w:p>
        </w:tc>
        <w:tc>
          <w:tcPr>
            <w:tcW w:w="80" w:type="dxa"/>
            <w:shd w:val="clear" w:color="auto" w:fill="C9D11D"/>
            <w:vAlign w:val="bottom"/>
          </w:tcPr>
          <w:p w:rsidR="00AC12B4" w:rsidRDefault="00AC12B4">
            <w:pPr>
              <w:rPr>
                <w:sz w:val="11"/>
                <w:szCs w:val="11"/>
              </w:rPr>
            </w:pPr>
          </w:p>
        </w:tc>
        <w:tc>
          <w:tcPr>
            <w:tcW w:w="40" w:type="dxa"/>
            <w:shd w:val="clear" w:color="auto" w:fill="C9D11D"/>
            <w:vAlign w:val="bottom"/>
          </w:tcPr>
          <w:p w:rsidR="00AC12B4" w:rsidRDefault="00AC12B4">
            <w:pPr>
              <w:rPr>
                <w:sz w:val="11"/>
                <w:szCs w:val="11"/>
              </w:rPr>
            </w:pPr>
          </w:p>
        </w:tc>
        <w:tc>
          <w:tcPr>
            <w:tcW w:w="780" w:type="dxa"/>
            <w:shd w:val="clear" w:color="auto" w:fill="C9D11D"/>
            <w:vAlign w:val="bottom"/>
          </w:tcPr>
          <w:p w:rsidR="00AC12B4" w:rsidRDefault="00AC12B4">
            <w:pPr>
              <w:rPr>
                <w:sz w:val="11"/>
                <w:szCs w:val="11"/>
              </w:rPr>
            </w:pPr>
          </w:p>
        </w:tc>
        <w:tc>
          <w:tcPr>
            <w:tcW w:w="720" w:type="dxa"/>
            <w:tcBorders>
              <w:right w:val="single" w:sz="8" w:space="0" w:color="C9D11D"/>
            </w:tcBorders>
            <w:shd w:val="clear" w:color="auto" w:fill="C9D11D"/>
            <w:vAlign w:val="bottom"/>
          </w:tcPr>
          <w:p w:rsidR="00AC12B4" w:rsidRDefault="00AC12B4">
            <w:pPr>
              <w:rPr>
                <w:sz w:val="11"/>
                <w:szCs w:val="11"/>
              </w:rPr>
            </w:pPr>
          </w:p>
        </w:tc>
        <w:tc>
          <w:tcPr>
            <w:tcW w:w="80" w:type="dxa"/>
            <w:shd w:val="clear" w:color="auto" w:fill="C9D11D"/>
            <w:vAlign w:val="bottom"/>
          </w:tcPr>
          <w:p w:rsidR="00AC12B4" w:rsidRDefault="00AC12B4">
            <w:pPr>
              <w:rPr>
                <w:sz w:val="11"/>
                <w:szCs w:val="11"/>
              </w:rPr>
            </w:pPr>
          </w:p>
        </w:tc>
        <w:tc>
          <w:tcPr>
            <w:tcW w:w="440" w:type="dxa"/>
            <w:tcBorders>
              <w:right w:val="single" w:sz="8" w:space="0" w:color="919715"/>
            </w:tcBorders>
            <w:shd w:val="clear" w:color="auto" w:fill="C9D11D"/>
            <w:vAlign w:val="bottom"/>
          </w:tcPr>
          <w:p w:rsidR="00AC12B4" w:rsidRDefault="00AC12B4">
            <w:pPr>
              <w:rPr>
                <w:sz w:val="11"/>
                <w:szCs w:val="11"/>
              </w:rPr>
            </w:pPr>
          </w:p>
        </w:tc>
        <w:tc>
          <w:tcPr>
            <w:tcW w:w="240" w:type="dxa"/>
            <w:vAlign w:val="bottom"/>
          </w:tcPr>
          <w:p w:rsidR="00AC12B4" w:rsidRDefault="00AC12B4">
            <w:pPr>
              <w:rPr>
                <w:sz w:val="11"/>
                <w:szCs w:val="11"/>
              </w:rPr>
            </w:pPr>
          </w:p>
        </w:tc>
        <w:tc>
          <w:tcPr>
            <w:tcW w:w="2380" w:type="dxa"/>
            <w:gridSpan w:val="9"/>
            <w:vMerge/>
            <w:vAlign w:val="bottom"/>
          </w:tcPr>
          <w:p w:rsidR="00AC12B4" w:rsidRDefault="00AC12B4">
            <w:pPr>
              <w:rPr>
                <w:sz w:val="11"/>
                <w:szCs w:val="11"/>
              </w:rPr>
            </w:pPr>
          </w:p>
        </w:tc>
        <w:tc>
          <w:tcPr>
            <w:tcW w:w="54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52"/>
        </w:trPr>
        <w:tc>
          <w:tcPr>
            <w:tcW w:w="6500" w:type="dxa"/>
            <w:gridSpan w:val="20"/>
            <w:tcBorders>
              <w:left w:val="single" w:sz="8" w:space="0" w:color="919715"/>
              <w:right w:val="single" w:sz="8" w:space="0" w:color="919715"/>
            </w:tcBorders>
            <w:shd w:val="clear" w:color="auto" w:fill="C9D11D"/>
            <w:vAlign w:val="bottom"/>
          </w:tcPr>
          <w:p w:rsidR="00AC12B4" w:rsidRPr="00C27636" w:rsidRDefault="00C27636">
            <w:pPr>
              <w:spacing w:line="252" w:lineRule="exact"/>
              <w:ind w:left="580"/>
              <w:rPr>
                <w:sz w:val="20"/>
                <w:szCs w:val="20"/>
                <w:lang w:val="fr-BE"/>
              </w:rPr>
            </w:pPr>
            <w:r w:rsidRPr="00C27636">
              <w:rPr>
                <w:rFonts w:ascii="Calibri" w:eastAsia="Calibri" w:hAnsi="Calibri" w:cs="Calibri"/>
                <w:i/>
                <w:iCs/>
                <w:color w:val="FFFFFF"/>
                <w:lang w:val="fr-BE"/>
              </w:rPr>
              <w:t>2.f. Les États prennent les mesures appropriées pour développer</w:t>
            </w:r>
          </w:p>
        </w:tc>
        <w:tc>
          <w:tcPr>
            <w:tcW w:w="240" w:type="dxa"/>
            <w:vAlign w:val="bottom"/>
          </w:tcPr>
          <w:p w:rsidR="00AC12B4" w:rsidRPr="00C27636" w:rsidRDefault="00AC12B4">
            <w:pPr>
              <w:rPr>
                <w:sz w:val="21"/>
                <w:szCs w:val="21"/>
                <w:lang w:val="fr-BE"/>
              </w:rPr>
            </w:pPr>
          </w:p>
        </w:tc>
        <w:tc>
          <w:tcPr>
            <w:tcW w:w="1480" w:type="dxa"/>
            <w:gridSpan w:val="5"/>
            <w:vMerge w:val="restart"/>
            <w:vAlign w:val="bottom"/>
          </w:tcPr>
          <w:p w:rsidR="00AC12B4" w:rsidRDefault="00C27636">
            <w:pPr>
              <w:ind w:left="40"/>
              <w:rPr>
                <w:sz w:val="20"/>
                <w:szCs w:val="20"/>
              </w:rPr>
            </w:pPr>
            <w:r>
              <w:rPr>
                <w:rFonts w:ascii="Calibri" w:eastAsia="Calibri" w:hAnsi="Calibri" w:cs="Calibri"/>
                <w:w w:val="99"/>
              </w:rPr>
              <w:t>l’accouchement</w:t>
            </w:r>
          </w:p>
        </w:tc>
        <w:tc>
          <w:tcPr>
            <w:tcW w:w="180" w:type="dxa"/>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26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540" w:type="dxa"/>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55"/>
        </w:trPr>
        <w:tc>
          <w:tcPr>
            <w:tcW w:w="3920" w:type="dxa"/>
            <w:gridSpan w:val="11"/>
            <w:vMerge w:val="restart"/>
            <w:tcBorders>
              <w:lef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les soins de santé préventifs, les</w:t>
            </w:r>
          </w:p>
        </w:tc>
        <w:tc>
          <w:tcPr>
            <w:tcW w:w="80" w:type="dxa"/>
            <w:shd w:val="clear" w:color="auto" w:fill="C9D11D"/>
            <w:vAlign w:val="bottom"/>
          </w:tcPr>
          <w:p w:rsidR="00AC12B4" w:rsidRPr="00C27636" w:rsidRDefault="00AC12B4">
            <w:pPr>
              <w:rPr>
                <w:sz w:val="4"/>
                <w:szCs w:val="4"/>
                <w:lang w:val="fr-BE"/>
              </w:rPr>
            </w:pPr>
          </w:p>
        </w:tc>
        <w:tc>
          <w:tcPr>
            <w:tcW w:w="20" w:type="dxa"/>
            <w:shd w:val="clear" w:color="auto" w:fill="C9D11D"/>
            <w:vAlign w:val="bottom"/>
          </w:tcPr>
          <w:p w:rsidR="00AC12B4" w:rsidRPr="00C27636" w:rsidRDefault="00AC12B4">
            <w:pPr>
              <w:rPr>
                <w:sz w:val="4"/>
                <w:szCs w:val="4"/>
                <w:lang w:val="fr-BE"/>
              </w:rPr>
            </w:pPr>
          </w:p>
        </w:tc>
        <w:tc>
          <w:tcPr>
            <w:tcW w:w="2040" w:type="dxa"/>
            <w:gridSpan w:val="6"/>
            <w:vMerge w:val="restart"/>
            <w:shd w:val="clear" w:color="auto" w:fill="C9D11D"/>
            <w:vAlign w:val="bottom"/>
          </w:tcPr>
          <w:p w:rsidR="00AC12B4" w:rsidRDefault="00C27636">
            <w:pPr>
              <w:rPr>
                <w:sz w:val="20"/>
                <w:szCs w:val="20"/>
              </w:rPr>
            </w:pPr>
            <w:r>
              <w:rPr>
                <w:rFonts w:ascii="Calibri" w:eastAsia="Calibri" w:hAnsi="Calibri" w:cs="Calibri"/>
                <w:i/>
                <w:iCs/>
                <w:color w:val="FFFFFF"/>
              </w:rPr>
              <w:t>conseils aux parents</w:t>
            </w:r>
          </w:p>
        </w:tc>
        <w:tc>
          <w:tcPr>
            <w:tcW w:w="440" w:type="dxa"/>
            <w:vMerge w:val="restart"/>
            <w:tcBorders>
              <w:right w:val="single" w:sz="8" w:space="0" w:color="919715"/>
            </w:tcBorders>
            <w:shd w:val="clear" w:color="auto" w:fill="C9D11D"/>
            <w:vAlign w:val="bottom"/>
          </w:tcPr>
          <w:p w:rsidR="00AC12B4" w:rsidRDefault="00C27636">
            <w:pPr>
              <w:ind w:left="80"/>
              <w:rPr>
                <w:sz w:val="20"/>
                <w:szCs w:val="20"/>
              </w:rPr>
            </w:pPr>
            <w:r>
              <w:rPr>
                <w:rFonts w:ascii="Calibri" w:eastAsia="Calibri" w:hAnsi="Calibri" w:cs="Calibri"/>
                <w:i/>
                <w:iCs/>
                <w:color w:val="FFFFFF"/>
              </w:rPr>
              <w:t>et</w:t>
            </w:r>
          </w:p>
        </w:tc>
        <w:tc>
          <w:tcPr>
            <w:tcW w:w="240" w:type="dxa"/>
            <w:vAlign w:val="bottom"/>
          </w:tcPr>
          <w:p w:rsidR="00AC12B4" w:rsidRDefault="00AC12B4">
            <w:pPr>
              <w:rPr>
                <w:sz w:val="4"/>
                <w:szCs w:val="4"/>
              </w:rPr>
            </w:pPr>
          </w:p>
        </w:tc>
        <w:tc>
          <w:tcPr>
            <w:tcW w:w="1480" w:type="dxa"/>
            <w:gridSpan w:val="5"/>
            <w:vMerge/>
            <w:vAlign w:val="bottom"/>
          </w:tcPr>
          <w:p w:rsidR="00AC12B4" w:rsidRDefault="00AC12B4">
            <w:pPr>
              <w:rPr>
                <w:sz w:val="4"/>
                <w:szCs w:val="4"/>
              </w:rPr>
            </w:pPr>
          </w:p>
        </w:tc>
        <w:tc>
          <w:tcPr>
            <w:tcW w:w="18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26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54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14"/>
        </w:trPr>
        <w:tc>
          <w:tcPr>
            <w:tcW w:w="3920" w:type="dxa"/>
            <w:gridSpan w:val="11"/>
            <w:vMerge/>
            <w:tcBorders>
              <w:left w:val="single" w:sz="8" w:space="0" w:color="919715"/>
            </w:tcBorders>
            <w:shd w:val="clear" w:color="auto" w:fill="C9D11D"/>
            <w:vAlign w:val="bottom"/>
          </w:tcPr>
          <w:p w:rsidR="00AC12B4" w:rsidRDefault="00AC12B4">
            <w:pPr>
              <w:rPr>
                <w:sz w:val="18"/>
                <w:szCs w:val="18"/>
              </w:rPr>
            </w:pPr>
          </w:p>
        </w:tc>
        <w:tc>
          <w:tcPr>
            <w:tcW w:w="80" w:type="dxa"/>
            <w:shd w:val="clear" w:color="auto" w:fill="C9D11D"/>
            <w:vAlign w:val="bottom"/>
          </w:tcPr>
          <w:p w:rsidR="00AC12B4" w:rsidRDefault="00AC12B4">
            <w:pPr>
              <w:rPr>
                <w:sz w:val="18"/>
                <w:szCs w:val="18"/>
              </w:rPr>
            </w:pPr>
          </w:p>
        </w:tc>
        <w:tc>
          <w:tcPr>
            <w:tcW w:w="20" w:type="dxa"/>
            <w:shd w:val="clear" w:color="auto" w:fill="C9D11D"/>
            <w:vAlign w:val="bottom"/>
          </w:tcPr>
          <w:p w:rsidR="00AC12B4" w:rsidRDefault="00AC12B4">
            <w:pPr>
              <w:rPr>
                <w:sz w:val="18"/>
                <w:szCs w:val="18"/>
              </w:rPr>
            </w:pPr>
          </w:p>
        </w:tc>
        <w:tc>
          <w:tcPr>
            <w:tcW w:w="2040" w:type="dxa"/>
            <w:gridSpan w:val="6"/>
            <w:vMerge/>
            <w:shd w:val="clear" w:color="auto" w:fill="C9D11D"/>
            <w:vAlign w:val="bottom"/>
          </w:tcPr>
          <w:p w:rsidR="00AC12B4" w:rsidRDefault="00AC12B4">
            <w:pPr>
              <w:rPr>
                <w:sz w:val="18"/>
                <w:szCs w:val="18"/>
              </w:rPr>
            </w:pPr>
          </w:p>
        </w:tc>
        <w:tc>
          <w:tcPr>
            <w:tcW w:w="440" w:type="dxa"/>
            <w:vMerge/>
            <w:tcBorders>
              <w:right w:val="single" w:sz="8" w:space="0" w:color="919715"/>
            </w:tcBorders>
            <w:shd w:val="clear" w:color="auto" w:fill="C9D11D"/>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200" w:type="dxa"/>
            <w:vMerge w:val="restart"/>
            <w:vAlign w:val="bottom"/>
          </w:tcPr>
          <w:p w:rsidR="00AC12B4" w:rsidRDefault="00C27636">
            <w:pPr>
              <w:ind w:left="60"/>
              <w:rPr>
                <w:sz w:val="20"/>
                <w:szCs w:val="20"/>
              </w:rPr>
            </w:pPr>
            <w:r>
              <w:rPr>
                <w:rFonts w:ascii="Calibri" w:eastAsia="Calibri" w:hAnsi="Calibri" w:cs="Calibri"/>
              </w:rPr>
              <w:t>-</w:t>
            </w:r>
          </w:p>
        </w:tc>
        <w:tc>
          <w:tcPr>
            <w:tcW w:w="2760" w:type="dxa"/>
            <w:gridSpan w:val="9"/>
            <w:vMerge w:val="restart"/>
            <w:vAlign w:val="bottom"/>
          </w:tcPr>
          <w:p w:rsidR="00AC12B4" w:rsidRDefault="00C27636">
            <w:pPr>
              <w:ind w:left="220"/>
              <w:rPr>
                <w:sz w:val="20"/>
                <w:szCs w:val="20"/>
              </w:rPr>
            </w:pPr>
            <w:r>
              <w:rPr>
                <w:rFonts w:ascii="Calibri" w:eastAsia="Calibri" w:hAnsi="Calibri" w:cs="Calibri"/>
              </w:rPr>
              <w:t>Statut socio-économique :</w:t>
            </w:r>
          </w:p>
        </w:tc>
        <w:tc>
          <w:tcPr>
            <w:tcW w:w="0" w:type="dxa"/>
            <w:vAlign w:val="bottom"/>
          </w:tcPr>
          <w:p w:rsidR="00AC12B4" w:rsidRDefault="00AC12B4">
            <w:pPr>
              <w:rPr>
                <w:sz w:val="1"/>
                <w:szCs w:val="1"/>
              </w:rPr>
            </w:pPr>
          </w:p>
        </w:tc>
      </w:tr>
      <w:tr w:rsidR="00AC12B4" w:rsidRPr="00C27636">
        <w:trPr>
          <w:trHeight w:val="96"/>
        </w:trPr>
        <w:tc>
          <w:tcPr>
            <w:tcW w:w="6500" w:type="dxa"/>
            <w:gridSpan w:val="20"/>
            <w:vMerge w:val="restart"/>
            <w:tcBorders>
              <w:left w:val="single" w:sz="8" w:space="0" w:color="919715"/>
              <w:right w:val="single" w:sz="8" w:space="0" w:color="919715"/>
            </w:tcBorders>
            <w:shd w:val="clear" w:color="auto" w:fill="C9D11D"/>
            <w:vAlign w:val="bottom"/>
          </w:tcPr>
          <w:p w:rsidR="00AC12B4" w:rsidRPr="00C27636" w:rsidRDefault="00C27636">
            <w:pPr>
              <w:spacing w:line="267" w:lineRule="exact"/>
              <w:ind w:left="580"/>
              <w:rPr>
                <w:sz w:val="20"/>
                <w:szCs w:val="20"/>
                <w:lang w:val="fr-BE"/>
              </w:rPr>
            </w:pPr>
            <w:r w:rsidRPr="00C27636">
              <w:rPr>
                <w:rFonts w:ascii="Calibri" w:eastAsia="Calibri" w:hAnsi="Calibri" w:cs="Calibri"/>
                <w:i/>
                <w:iCs/>
                <w:color w:val="FFFFFF"/>
                <w:lang w:val="fr-BE"/>
              </w:rPr>
              <w:t xml:space="preserve">l'éducation et les services </w:t>
            </w:r>
            <w:r w:rsidRPr="00C27636">
              <w:rPr>
                <w:rFonts w:ascii="Calibri" w:eastAsia="Calibri" w:hAnsi="Calibri" w:cs="Calibri"/>
                <w:i/>
                <w:iCs/>
                <w:color w:val="FFFFFF"/>
                <w:lang w:val="fr-BE"/>
              </w:rPr>
              <w:t>en matière de planification familiale.</w:t>
            </w:r>
          </w:p>
        </w:tc>
        <w:tc>
          <w:tcPr>
            <w:tcW w:w="240" w:type="dxa"/>
            <w:vAlign w:val="bottom"/>
          </w:tcPr>
          <w:p w:rsidR="00AC12B4" w:rsidRPr="00C27636" w:rsidRDefault="00AC12B4">
            <w:pPr>
              <w:rPr>
                <w:sz w:val="8"/>
                <w:szCs w:val="8"/>
                <w:lang w:val="fr-BE"/>
              </w:rPr>
            </w:pPr>
          </w:p>
        </w:tc>
        <w:tc>
          <w:tcPr>
            <w:tcW w:w="240" w:type="dxa"/>
            <w:vAlign w:val="bottom"/>
          </w:tcPr>
          <w:p w:rsidR="00AC12B4" w:rsidRPr="00C27636" w:rsidRDefault="00AC12B4">
            <w:pPr>
              <w:rPr>
                <w:sz w:val="8"/>
                <w:szCs w:val="8"/>
                <w:lang w:val="fr-BE"/>
              </w:rPr>
            </w:pPr>
          </w:p>
        </w:tc>
        <w:tc>
          <w:tcPr>
            <w:tcW w:w="200" w:type="dxa"/>
            <w:vMerge/>
            <w:vAlign w:val="bottom"/>
          </w:tcPr>
          <w:p w:rsidR="00AC12B4" w:rsidRPr="00C27636" w:rsidRDefault="00AC12B4">
            <w:pPr>
              <w:rPr>
                <w:sz w:val="8"/>
                <w:szCs w:val="8"/>
                <w:lang w:val="fr-BE"/>
              </w:rPr>
            </w:pPr>
          </w:p>
        </w:tc>
        <w:tc>
          <w:tcPr>
            <w:tcW w:w="2760" w:type="dxa"/>
            <w:gridSpan w:val="9"/>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rsidRPr="00C27636">
        <w:trPr>
          <w:trHeight w:val="170"/>
        </w:trPr>
        <w:tc>
          <w:tcPr>
            <w:tcW w:w="6500" w:type="dxa"/>
            <w:gridSpan w:val="20"/>
            <w:vMerge/>
            <w:tcBorders>
              <w:left w:val="single" w:sz="8" w:space="0" w:color="919715"/>
              <w:right w:val="single" w:sz="8" w:space="0" w:color="919715"/>
            </w:tcBorders>
            <w:shd w:val="clear" w:color="auto" w:fill="C9D11D"/>
            <w:vAlign w:val="bottom"/>
          </w:tcPr>
          <w:p w:rsidR="00AC12B4" w:rsidRPr="00C27636" w:rsidRDefault="00AC12B4">
            <w:pPr>
              <w:rPr>
                <w:sz w:val="14"/>
                <w:szCs w:val="14"/>
                <w:lang w:val="fr-BE"/>
              </w:rPr>
            </w:pPr>
          </w:p>
        </w:tc>
        <w:tc>
          <w:tcPr>
            <w:tcW w:w="240" w:type="dxa"/>
            <w:vAlign w:val="bottom"/>
          </w:tcPr>
          <w:p w:rsidR="00AC12B4" w:rsidRPr="00C27636" w:rsidRDefault="00AC12B4">
            <w:pPr>
              <w:rPr>
                <w:sz w:val="14"/>
                <w:szCs w:val="14"/>
                <w:lang w:val="fr-BE"/>
              </w:rPr>
            </w:pPr>
          </w:p>
        </w:tc>
        <w:tc>
          <w:tcPr>
            <w:tcW w:w="3200" w:type="dxa"/>
            <w:gridSpan w:val="11"/>
            <w:vMerge w:val="restart"/>
            <w:vAlign w:val="bottom"/>
          </w:tcPr>
          <w:p w:rsidR="00AC12B4" w:rsidRPr="00C27636" w:rsidRDefault="00C27636">
            <w:pPr>
              <w:ind w:left="40"/>
              <w:rPr>
                <w:sz w:val="20"/>
                <w:szCs w:val="20"/>
                <w:lang w:val="fr-BE"/>
              </w:rPr>
            </w:pPr>
            <w:r w:rsidRPr="00C27636">
              <w:rPr>
                <w:rFonts w:ascii="Calibri" w:eastAsia="Calibri" w:hAnsi="Calibri" w:cs="Calibri"/>
                <w:lang w:val="fr-BE"/>
              </w:rPr>
              <w:t>celui-ci est approché par le statut</w:t>
            </w:r>
          </w:p>
        </w:tc>
        <w:tc>
          <w:tcPr>
            <w:tcW w:w="0" w:type="dxa"/>
            <w:vAlign w:val="bottom"/>
          </w:tcPr>
          <w:p w:rsidR="00AC12B4" w:rsidRPr="00C27636" w:rsidRDefault="00AC12B4">
            <w:pPr>
              <w:rPr>
                <w:sz w:val="1"/>
                <w:szCs w:val="1"/>
                <w:lang w:val="fr-BE"/>
              </w:rPr>
            </w:pPr>
          </w:p>
        </w:tc>
      </w:tr>
      <w:tr w:rsidR="00AC12B4" w:rsidRPr="00C27636">
        <w:trPr>
          <w:trHeight w:val="139"/>
        </w:trPr>
        <w:tc>
          <w:tcPr>
            <w:tcW w:w="1320" w:type="dxa"/>
            <w:tcBorders>
              <w:left w:val="single" w:sz="8" w:space="0" w:color="919715"/>
              <w:right w:val="single" w:sz="8" w:space="0" w:color="C9D11D"/>
            </w:tcBorders>
            <w:shd w:val="clear" w:color="auto" w:fill="C9D11D"/>
            <w:vAlign w:val="bottom"/>
          </w:tcPr>
          <w:p w:rsidR="00AC12B4" w:rsidRPr="00C27636" w:rsidRDefault="00AC12B4">
            <w:pPr>
              <w:rPr>
                <w:sz w:val="12"/>
                <w:szCs w:val="12"/>
                <w:lang w:val="fr-BE"/>
              </w:rPr>
            </w:pPr>
          </w:p>
        </w:tc>
        <w:tc>
          <w:tcPr>
            <w:tcW w:w="140" w:type="dxa"/>
            <w:shd w:val="clear" w:color="auto" w:fill="C9D11D"/>
            <w:vAlign w:val="bottom"/>
          </w:tcPr>
          <w:p w:rsidR="00AC12B4" w:rsidRPr="00C27636" w:rsidRDefault="00AC12B4">
            <w:pPr>
              <w:rPr>
                <w:sz w:val="12"/>
                <w:szCs w:val="12"/>
                <w:lang w:val="fr-BE"/>
              </w:rPr>
            </w:pPr>
          </w:p>
        </w:tc>
        <w:tc>
          <w:tcPr>
            <w:tcW w:w="540" w:type="dxa"/>
            <w:shd w:val="clear" w:color="auto" w:fill="C9D11D"/>
            <w:vAlign w:val="bottom"/>
          </w:tcPr>
          <w:p w:rsidR="00AC12B4" w:rsidRPr="00C27636" w:rsidRDefault="00AC12B4">
            <w:pPr>
              <w:rPr>
                <w:sz w:val="12"/>
                <w:szCs w:val="12"/>
                <w:lang w:val="fr-BE"/>
              </w:rPr>
            </w:pPr>
          </w:p>
        </w:tc>
        <w:tc>
          <w:tcPr>
            <w:tcW w:w="80" w:type="dxa"/>
            <w:tcBorders>
              <w:right w:val="single" w:sz="8" w:space="0" w:color="C9D11D"/>
            </w:tcBorders>
            <w:shd w:val="clear" w:color="auto" w:fill="C9D11D"/>
            <w:vAlign w:val="bottom"/>
          </w:tcPr>
          <w:p w:rsidR="00AC12B4" w:rsidRPr="00C27636" w:rsidRDefault="00AC12B4">
            <w:pPr>
              <w:rPr>
                <w:sz w:val="12"/>
                <w:szCs w:val="12"/>
                <w:lang w:val="fr-BE"/>
              </w:rPr>
            </w:pPr>
          </w:p>
        </w:tc>
        <w:tc>
          <w:tcPr>
            <w:tcW w:w="460" w:type="dxa"/>
            <w:shd w:val="clear" w:color="auto" w:fill="C9D11D"/>
            <w:vAlign w:val="bottom"/>
          </w:tcPr>
          <w:p w:rsidR="00AC12B4" w:rsidRPr="00C27636" w:rsidRDefault="00AC12B4">
            <w:pPr>
              <w:rPr>
                <w:sz w:val="12"/>
                <w:szCs w:val="12"/>
                <w:lang w:val="fr-BE"/>
              </w:rPr>
            </w:pPr>
          </w:p>
        </w:tc>
        <w:tc>
          <w:tcPr>
            <w:tcW w:w="20" w:type="dxa"/>
            <w:shd w:val="clear" w:color="auto" w:fill="C9D11D"/>
            <w:vAlign w:val="bottom"/>
          </w:tcPr>
          <w:p w:rsidR="00AC12B4" w:rsidRPr="00C27636" w:rsidRDefault="00AC12B4">
            <w:pPr>
              <w:rPr>
                <w:sz w:val="12"/>
                <w:szCs w:val="12"/>
                <w:lang w:val="fr-BE"/>
              </w:rPr>
            </w:pPr>
          </w:p>
        </w:tc>
        <w:tc>
          <w:tcPr>
            <w:tcW w:w="460" w:type="dxa"/>
            <w:shd w:val="clear" w:color="auto" w:fill="C9D11D"/>
            <w:vAlign w:val="bottom"/>
          </w:tcPr>
          <w:p w:rsidR="00AC12B4" w:rsidRPr="00C27636" w:rsidRDefault="00AC12B4">
            <w:pPr>
              <w:rPr>
                <w:sz w:val="12"/>
                <w:szCs w:val="12"/>
                <w:lang w:val="fr-BE"/>
              </w:rPr>
            </w:pPr>
          </w:p>
        </w:tc>
        <w:tc>
          <w:tcPr>
            <w:tcW w:w="20" w:type="dxa"/>
            <w:shd w:val="clear" w:color="auto" w:fill="C9D11D"/>
            <w:vAlign w:val="bottom"/>
          </w:tcPr>
          <w:p w:rsidR="00AC12B4" w:rsidRPr="00C27636" w:rsidRDefault="00AC12B4">
            <w:pPr>
              <w:rPr>
                <w:sz w:val="12"/>
                <w:szCs w:val="12"/>
                <w:lang w:val="fr-BE"/>
              </w:rPr>
            </w:pPr>
          </w:p>
        </w:tc>
        <w:tc>
          <w:tcPr>
            <w:tcW w:w="480" w:type="dxa"/>
            <w:shd w:val="clear" w:color="auto" w:fill="C9D11D"/>
            <w:vAlign w:val="bottom"/>
          </w:tcPr>
          <w:p w:rsidR="00AC12B4" w:rsidRPr="00C27636" w:rsidRDefault="00AC12B4">
            <w:pPr>
              <w:rPr>
                <w:sz w:val="12"/>
                <w:szCs w:val="12"/>
                <w:lang w:val="fr-BE"/>
              </w:rPr>
            </w:pPr>
          </w:p>
        </w:tc>
        <w:tc>
          <w:tcPr>
            <w:tcW w:w="20" w:type="dxa"/>
            <w:shd w:val="clear" w:color="auto" w:fill="C9D11D"/>
            <w:vAlign w:val="bottom"/>
          </w:tcPr>
          <w:p w:rsidR="00AC12B4" w:rsidRPr="00C27636" w:rsidRDefault="00AC12B4">
            <w:pPr>
              <w:rPr>
                <w:sz w:val="12"/>
                <w:szCs w:val="12"/>
                <w:lang w:val="fr-BE"/>
              </w:rPr>
            </w:pPr>
          </w:p>
        </w:tc>
        <w:tc>
          <w:tcPr>
            <w:tcW w:w="380" w:type="dxa"/>
            <w:shd w:val="clear" w:color="auto" w:fill="C9D11D"/>
            <w:vAlign w:val="bottom"/>
          </w:tcPr>
          <w:p w:rsidR="00AC12B4" w:rsidRPr="00C27636" w:rsidRDefault="00AC12B4">
            <w:pPr>
              <w:rPr>
                <w:sz w:val="12"/>
                <w:szCs w:val="12"/>
                <w:lang w:val="fr-BE"/>
              </w:rPr>
            </w:pPr>
          </w:p>
        </w:tc>
        <w:tc>
          <w:tcPr>
            <w:tcW w:w="80" w:type="dxa"/>
            <w:shd w:val="clear" w:color="auto" w:fill="C9D11D"/>
            <w:vAlign w:val="bottom"/>
          </w:tcPr>
          <w:p w:rsidR="00AC12B4" w:rsidRPr="00C27636" w:rsidRDefault="00AC12B4">
            <w:pPr>
              <w:rPr>
                <w:sz w:val="12"/>
                <w:szCs w:val="12"/>
                <w:lang w:val="fr-BE"/>
              </w:rPr>
            </w:pPr>
          </w:p>
        </w:tc>
        <w:tc>
          <w:tcPr>
            <w:tcW w:w="20" w:type="dxa"/>
            <w:shd w:val="clear" w:color="auto" w:fill="C9D11D"/>
            <w:vAlign w:val="bottom"/>
          </w:tcPr>
          <w:p w:rsidR="00AC12B4" w:rsidRPr="00C27636" w:rsidRDefault="00AC12B4">
            <w:pPr>
              <w:rPr>
                <w:sz w:val="12"/>
                <w:szCs w:val="12"/>
                <w:lang w:val="fr-BE"/>
              </w:rPr>
            </w:pPr>
          </w:p>
        </w:tc>
        <w:tc>
          <w:tcPr>
            <w:tcW w:w="340" w:type="dxa"/>
            <w:tcBorders>
              <w:right w:val="single" w:sz="8" w:space="0" w:color="C9D11D"/>
            </w:tcBorders>
            <w:shd w:val="clear" w:color="auto" w:fill="C9D11D"/>
            <w:vAlign w:val="bottom"/>
          </w:tcPr>
          <w:p w:rsidR="00AC12B4" w:rsidRPr="00C27636" w:rsidRDefault="00AC12B4">
            <w:pPr>
              <w:rPr>
                <w:sz w:val="12"/>
                <w:szCs w:val="12"/>
                <w:lang w:val="fr-BE"/>
              </w:rPr>
            </w:pPr>
          </w:p>
        </w:tc>
        <w:tc>
          <w:tcPr>
            <w:tcW w:w="80" w:type="dxa"/>
            <w:shd w:val="clear" w:color="auto" w:fill="C9D11D"/>
            <w:vAlign w:val="bottom"/>
          </w:tcPr>
          <w:p w:rsidR="00AC12B4" w:rsidRPr="00C27636" w:rsidRDefault="00AC12B4">
            <w:pPr>
              <w:rPr>
                <w:sz w:val="12"/>
                <w:szCs w:val="12"/>
                <w:lang w:val="fr-BE"/>
              </w:rPr>
            </w:pPr>
          </w:p>
        </w:tc>
        <w:tc>
          <w:tcPr>
            <w:tcW w:w="40" w:type="dxa"/>
            <w:shd w:val="clear" w:color="auto" w:fill="C9D11D"/>
            <w:vAlign w:val="bottom"/>
          </w:tcPr>
          <w:p w:rsidR="00AC12B4" w:rsidRPr="00C27636" w:rsidRDefault="00AC12B4">
            <w:pPr>
              <w:rPr>
                <w:sz w:val="12"/>
                <w:szCs w:val="12"/>
                <w:lang w:val="fr-BE"/>
              </w:rPr>
            </w:pPr>
          </w:p>
        </w:tc>
        <w:tc>
          <w:tcPr>
            <w:tcW w:w="780" w:type="dxa"/>
            <w:shd w:val="clear" w:color="auto" w:fill="C9D11D"/>
            <w:vAlign w:val="bottom"/>
          </w:tcPr>
          <w:p w:rsidR="00AC12B4" w:rsidRPr="00C27636" w:rsidRDefault="00AC12B4">
            <w:pPr>
              <w:rPr>
                <w:sz w:val="12"/>
                <w:szCs w:val="12"/>
                <w:lang w:val="fr-BE"/>
              </w:rPr>
            </w:pPr>
          </w:p>
        </w:tc>
        <w:tc>
          <w:tcPr>
            <w:tcW w:w="720" w:type="dxa"/>
            <w:tcBorders>
              <w:right w:val="single" w:sz="8" w:space="0" w:color="C9D11D"/>
            </w:tcBorders>
            <w:shd w:val="clear" w:color="auto" w:fill="C9D11D"/>
            <w:vAlign w:val="bottom"/>
          </w:tcPr>
          <w:p w:rsidR="00AC12B4" w:rsidRPr="00C27636" w:rsidRDefault="00AC12B4">
            <w:pPr>
              <w:rPr>
                <w:sz w:val="12"/>
                <w:szCs w:val="12"/>
                <w:lang w:val="fr-BE"/>
              </w:rPr>
            </w:pPr>
          </w:p>
        </w:tc>
        <w:tc>
          <w:tcPr>
            <w:tcW w:w="80" w:type="dxa"/>
            <w:shd w:val="clear" w:color="auto" w:fill="C9D11D"/>
            <w:vAlign w:val="bottom"/>
          </w:tcPr>
          <w:p w:rsidR="00AC12B4" w:rsidRPr="00C27636" w:rsidRDefault="00AC12B4">
            <w:pPr>
              <w:rPr>
                <w:sz w:val="12"/>
                <w:szCs w:val="12"/>
                <w:lang w:val="fr-BE"/>
              </w:rPr>
            </w:pPr>
          </w:p>
        </w:tc>
        <w:tc>
          <w:tcPr>
            <w:tcW w:w="440" w:type="dxa"/>
            <w:tcBorders>
              <w:right w:val="single" w:sz="8" w:space="0" w:color="919715"/>
            </w:tcBorders>
            <w:shd w:val="clear" w:color="auto" w:fill="C9D11D"/>
            <w:vAlign w:val="bottom"/>
          </w:tcPr>
          <w:p w:rsidR="00AC12B4" w:rsidRPr="00C27636" w:rsidRDefault="00AC12B4">
            <w:pPr>
              <w:rPr>
                <w:sz w:val="12"/>
                <w:szCs w:val="12"/>
                <w:lang w:val="fr-BE"/>
              </w:rPr>
            </w:pPr>
          </w:p>
        </w:tc>
        <w:tc>
          <w:tcPr>
            <w:tcW w:w="240" w:type="dxa"/>
            <w:vAlign w:val="bottom"/>
          </w:tcPr>
          <w:p w:rsidR="00AC12B4" w:rsidRPr="00C27636" w:rsidRDefault="00AC12B4">
            <w:pPr>
              <w:rPr>
                <w:sz w:val="12"/>
                <w:szCs w:val="12"/>
                <w:lang w:val="fr-BE"/>
              </w:rPr>
            </w:pPr>
          </w:p>
        </w:tc>
        <w:tc>
          <w:tcPr>
            <w:tcW w:w="3200" w:type="dxa"/>
            <w:gridSpan w:val="11"/>
            <w:vMerge/>
            <w:vAlign w:val="bottom"/>
          </w:tcPr>
          <w:p w:rsidR="00AC12B4" w:rsidRPr="00C27636" w:rsidRDefault="00AC12B4">
            <w:pPr>
              <w:rPr>
                <w:sz w:val="12"/>
                <w:szCs w:val="12"/>
                <w:lang w:val="fr-BE"/>
              </w:rPr>
            </w:pPr>
          </w:p>
        </w:tc>
        <w:tc>
          <w:tcPr>
            <w:tcW w:w="0" w:type="dxa"/>
            <w:vAlign w:val="bottom"/>
          </w:tcPr>
          <w:p w:rsidR="00AC12B4" w:rsidRPr="00C27636" w:rsidRDefault="00AC12B4">
            <w:pPr>
              <w:rPr>
                <w:sz w:val="1"/>
                <w:szCs w:val="1"/>
                <w:lang w:val="fr-BE"/>
              </w:rPr>
            </w:pPr>
          </w:p>
        </w:tc>
      </w:tr>
      <w:tr w:rsidR="00AC12B4">
        <w:trPr>
          <w:trHeight w:val="250"/>
        </w:trPr>
        <w:tc>
          <w:tcPr>
            <w:tcW w:w="1320" w:type="dxa"/>
            <w:tcBorders>
              <w:left w:val="single" w:sz="8" w:space="0" w:color="919715"/>
              <w:right w:val="single" w:sz="8" w:space="0" w:color="C9D11D"/>
            </w:tcBorders>
            <w:shd w:val="clear" w:color="auto" w:fill="C9D11D"/>
            <w:vAlign w:val="bottom"/>
          </w:tcPr>
          <w:p w:rsidR="00AC12B4" w:rsidRDefault="00C27636">
            <w:pPr>
              <w:spacing w:line="250" w:lineRule="exact"/>
              <w:ind w:left="580"/>
              <w:rPr>
                <w:sz w:val="20"/>
                <w:szCs w:val="20"/>
              </w:rPr>
            </w:pPr>
            <w:r>
              <w:rPr>
                <w:rFonts w:ascii="Calibri" w:eastAsia="Calibri" w:hAnsi="Calibri" w:cs="Calibri"/>
                <w:i/>
                <w:iCs/>
                <w:color w:val="FFFFFF"/>
              </w:rPr>
              <w:t>.</w:t>
            </w:r>
          </w:p>
        </w:tc>
        <w:tc>
          <w:tcPr>
            <w:tcW w:w="140" w:type="dxa"/>
            <w:shd w:val="clear" w:color="auto" w:fill="C9D11D"/>
            <w:vAlign w:val="bottom"/>
          </w:tcPr>
          <w:p w:rsidR="00AC12B4" w:rsidRDefault="00AC12B4">
            <w:pPr>
              <w:rPr>
                <w:sz w:val="21"/>
                <w:szCs w:val="21"/>
              </w:rPr>
            </w:pPr>
          </w:p>
        </w:tc>
        <w:tc>
          <w:tcPr>
            <w:tcW w:w="540" w:type="dxa"/>
            <w:shd w:val="clear" w:color="auto" w:fill="C9D11D"/>
            <w:vAlign w:val="bottom"/>
          </w:tcPr>
          <w:p w:rsidR="00AC12B4" w:rsidRDefault="00AC12B4">
            <w:pPr>
              <w:rPr>
                <w:sz w:val="21"/>
                <w:szCs w:val="21"/>
              </w:rPr>
            </w:pPr>
          </w:p>
        </w:tc>
        <w:tc>
          <w:tcPr>
            <w:tcW w:w="80" w:type="dxa"/>
            <w:tcBorders>
              <w:right w:val="single" w:sz="8" w:space="0" w:color="C9D11D"/>
            </w:tcBorders>
            <w:shd w:val="clear" w:color="auto" w:fill="C9D11D"/>
            <w:vAlign w:val="bottom"/>
          </w:tcPr>
          <w:p w:rsidR="00AC12B4" w:rsidRDefault="00AC12B4">
            <w:pPr>
              <w:rPr>
                <w:sz w:val="21"/>
                <w:szCs w:val="21"/>
              </w:rPr>
            </w:pPr>
          </w:p>
        </w:tc>
        <w:tc>
          <w:tcPr>
            <w:tcW w:w="460" w:type="dxa"/>
            <w:shd w:val="clear" w:color="auto" w:fill="C9D11D"/>
            <w:vAlign w:val="bottom"/>
          </w:tcPr>
          <w:p w:rsidR="00AC12B4" w:rsidRDefault="00AC12B4">
            <w:pPr>
              <w:rPr>
                <w:sz w:val="21"/>
                <w:szCs w:val="21"/>
              </w:rPr>
            </w:pPr>
          </w:p>
        </w:tc>
        <w:tc>
          <w:tcPr>
            <w:tcW w:w="20" w:type="dxa"/>
            <w:shd w:val="clear" w:color="auto" w:fill="C9D11D"/>
            <w:vAlign w:val="bottom"/>
          </w:tcPr>
          <w:p w:rsidR="00AC12B4" w:rsidRDefault="00AC12B4">
            <w:pPr>
              <w:rPr>
                <w:sz w:val="21"/>
                <w:szCs w:val="21"/>
              </w:rPr>
            </w:pPr>
          </w:p>
        </w:tc>
        <w:tc>
          <w:tcPr>
            <w:tcW w:w="460" w:type="dxa"/>
            <w:shd w:val="clear" w:color="auto" w:fill="C9D11D"/>
            <w:vAlign w:val="bottom"/>
          </w:tcPr>
          <w:p w:rsidR="00AC12B4" w:rsidRDefault="00AC12B4">
            <w:pPr>
              <w:rPr>
                <w:sz w:val="21"/>
                <w:szCs w:val="21"/>
              </w:rPr>
            </w:pPr>
          </w:p>
        </w:tc>
        <w:tc>
          <w:tcPr>
            <w:tcW w:w="20" w:type="dxa"/>
            <w:shd w:val="clear" w:color="auto" w:fill="C9D11D"/>
            <w:vAlign w:val="bottom"/>
          </w:tcPr>
          <w:p w:rsidR="00AC12B4" w:rsidRDefault="00AC12B4">
            <w:pPr>
              <w:rPr>
                <w:sz w:val="21"/>
                <w:szCs w:val="21"/>
              </w:rPr>
            </w:pPr>
          </w:p>
        </w:tc>
        <w:tc>
          <w:tcPr>
            <w:tcW w:w="480" w:type="dxa"/>
            <w:shd w:val="clear" w:color="auto" w:fill="C9D11D"/>
            <w:vAlign w:val="bottom"/>
          </w:tcPr>
          <w:p w:rsidR="00AC12B4" w:rsidRDefault="00AC12B4">
            <w:pPr>
              <w:rPr>
                <w:sz w:val="21"/>
                <w:szCs w:val="21"/>
              </w:rPr>
            </w:pPr>
          </w:p>
        </w:tc>
        <w:tc>
          <w:tcPr>
            <w:tcW w:w="20" w:type="dxa"/>
            <w:shd w:val="clear" w:color="auto" w:fill="C9D11D"/>
            <w:vAlign w:val="bottom"/>
          </w:tcPr>
          <w:p w:rsidR="00AC12B4" w:rsidRDefault="00AC12B4">
            <w:pPr>
              <w:rPr>
                <w:sz w:val="21"/>
                <w:szCs w:val="21"/>
              </w:rPr>
            </w:pPr>
          </w:p>
        </w:tc>
        <w:tc>
          <w:tcPr>
            <w:tcW w:w="380" w:type="dxa"/>
            <w:shd w:val="clear" w:color="auto" w:fill="C9D11D"/>
            <w:vAlign w:val="bottom"/>
          </w:tcPr>
          <w:p w:rsidR="00AC12B4" w:rsidRDefault="00AC12B4">
            <w:pPr>
              <w:rPr>
                <w:sz w:val="21"/>
                <w:szCs w:val="21"/>
              </w:rPr>
            </w:pPr>
          </w:p>
        </w:tc>
        <w:tc>
          <w:tcPr>
            <w:tcW w:w="80" w:type="dxa"/>
            <w:shd w:val="clear" w:color="auto" w:fill="C9D11D"/>
            <w:vAlign w:val="bottom"/>
          </w:tcPr>
          <w:p w:rsidR="00AC12B4" w:rsidRDefault="00AC12B4">
            <w:pPr>
              <w:rPr>
                <w:sz w:val="21"/>
                <w:szCs w:val="21"/>
              </w:rPr>
            </w:pPr>
          </w:p>
        </w:tc>
        <w:tc>
          <w:tcPr>
            <w:tcW w:w="20" w:type="dxa"/>
            <w:shd w:val="clear" w:color="auto" w:fill="C9D11D"/>
            <w:vAlign w:val="bottom"/>
          </w:tcPr>
          <w:p w:rsidR="00AC12B4" w:rsidRDefault="00AC12B4">
            <w:pPr>
              <w:rPr>
                <w:sz w:val="21"/>
                <w:szCs w:val="21"/>
              </w:rPr>
            </w:pPr>
          </w:p>
        </w:tc>
        <w:tc>
          <w:tcPr>
            <w:tcW w:w="340" w:type="dxa"/>
            <w:tcBorders>
              <w:right w:val="single" w:sz="8" w:space="0" w:color="C9D11D"/>
            </w:tcBorders>
            <w:shd w:val="clear" w:color="auto" w:fill="C9D11D"/>
            <w:vAlign w:val="bottom"/>
          </w:tcPr>
          <w:p w:rsidR="00AC12B4" w:rsidRDefault="00AC12B4">
            <w:pPr>
              <w:rPr>
                <w:sz w:val="21"/>
                <w:szCs w:val="21"/>
              </w:rPr>
            </w:pPr>
          </w:p>
        </w:tc>
        <w:tc>
          <w:tcPr>
            <w:tcW w:w="80" w:type="dxa"/>
            <w:shd w:val="clear" w:color="auto" w:fill="C9D11D"/>
            <w:vAlign w:val="bottom"/>
          </w:tcPr>
          <w:p w:rsidR="00AC12B4" w:rsidRDefault="00AC12B4">
            <w:pPr>
              <w:rPr>
                <w:sz w:val="21"/>
                <w:szCs w:val="21"/>
              </w:rPr>
            </w:pPr>
          </w:p>
        </w:tc>
        <w:tc>
          <w:tcPr>
            <w:tcW w:w="40" w:type="dxa"/>
            <w:shd w:val="clear" w:color="auto" w:fill="C9D11D"/>
            <w:vAlign w:val="bottom"/>
          </w:tcPr>
          <w:p w:rsidR="00AC12B4" w:rsidRDefault="00AC12B4">
            <w:pPr>
              <w:rPr>
                <w:sz w:val="21"/>
                <w:szCs w:val="21"/>
              </w:rPr>
            </w:pPr>
          </w:p>
        </w:tc>
        <w:tc>
          <w:tcPr>
            <w:tcW w:w="780" w:type="dxa"/>
            <w:shd w:val="clear" w:color="auto" w:fill="C9D11D"/>
            <w:vAlign w:val="bottom"/>
          </w:tcPr>
          <w:p w:rsidR="00AC12B4" w:rsidRDefault="00AC12B4">
            <w:pPr>
              <w:rPr>
                <w:sz w:val="21"/>
                <w:szCs w:val="21"/>
              </w:rPr>
            </w:pPr>
          </w:p>
        </w:tc>
        <w:tc>
          <w:tcPr>
            <w:tcW w:w="720" w:type="dxa"/>
            <w:tcBorders>
              <w:right w:val="single" w:sz="8" w:space="0" w:color="C9D11D"/>
            </w:tcBorders>
            <w:shd w:val="clear" w:color="auto" w:fill="C9D11D"/>
            <w:vAlign w:val="bottom"/>
          </w:tcPr>
          <w:p w:rsidR="00AC12B4" w:rsidRDefault="00AC12B4">
            <w:pPr>
              <w:rPr>
                <w:sz w:val="21"/>
                <w:szCs w:val="21"/>
              </w:rPr>
            </w:pPr>
          </w:p>
        </w:tc>
        <w:tc>
          <w:tcPr>
            <w:tcW w:w="80" w:type="dxa"/>
            <w:shd w:val="clear" w:color="auto" w:fill="C9D11D"/>
            <w:vAlign w:val="bottom"/>
          </w:tcPr>
          <w:p w:rsidR="00AC12B4" w:rsidRDefault="00AC12B4">
            <w:pPr>
              <w:rPr>
                <w:sz w:val="21"/>
                <w:szCs w:val="21"/>
              </w:rPr>
            </w:pPr>
          </w:p>
        </w:tc>
        <w:tc>
          <w:tcPr>
            <w:tcW w:w="440" w:type="dxa"/>
            <w:tcBorders>
              <w:right w:val="single" w:sz="8" w:space="0" w:color="919715"/>
            </w:tcBorders>
            <w:shd w:val="clear" w:color="auto" w:fill="C9D11D"/>
            <w:vAlign w:val="bottom"/>
          </w:tcPr>
          <w:p w:rsidR="00AC12B4" w:rsidRDefault="00AC12B4">
            <w:pPr>
              <w:rPr>
                <w:sz w:val="21"/>
                <w:szCs w:val="21"/>
              </w:rPr>
            </w:pPr>
          </w:p>
        </w:tc>
        <w:tc>
          <w:tcPr>
            <w:tcW w:w="240" w:type="dxa"/>
            <w:vAlign w:val="bottom"/>
          </w:tcPr>
          <w:p w:rsidR="00AC12B4" w:rsidRDefault="00AC12B4">
            <w:pPr>
              <w:rPr>
                <w:sz w:val="21"/>
                <w:szCs w:val="21"/>
              </w:rPr>
            </w:pPr>
          </w:p>
        </w:tc>
        <w:tc>
          <w:tcPr>
            <w:tcW w:w="2920" w:type="dxa"/>
            <w:gridSpan w:val="10"/>
            <w:vMerge w:val="restart"/>
            <w:vAlign w:val="bottom"/>
          </w:tcPr>
          <w:p w:rsidR="00AC12B4" w:rsidRDefault="00C27636">
            <w:pPr>
              <w:ind w:left="40"/>
              <w:rPr>
                <w:sz w:val="20"/>
                <w:szCs w:val="20"/>
              </w:rPr>
            </w:pPr>
            <w:r>
              <w:rPr>
                <w:rFonts w:ascii="Calibri" w:eastAsia="Calibri" w:hAnsi="Calibri" w:cs="Calibri"/>
                <w:w w:val="99"/>
              </w:rPr>
              <w:t>de bénéficiaire de l’intervention</w:t>
            </w:r>
          </w:p>
        </w:tc>
        <w:tc>
          <w:tcPr>
            <w:tcW w:w="28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58"/>
        </w:trPr>
        <w:tc>
          <w:tcPr>
            <w:tcW w:w="1320" w:type="dxa"/>
            <w:tcBorders>
              <w:left w:val="single" w:sz="8" w:space="0" w:color="919715"/>
              <w:right w:val="single" w:sz="8" w:space="0" w:color="C9D11D"/>
            </w:tcBorders>
            <w:shd w:val="clear" w:color="auto" w:fill="C9D11D"/>
            <w:vAlign w:val="bottom"/>
          </w:tcPr>
          <w:p w:rsidR="00AC12B4" w:rsidRDefault="00AC12B4">
            <w:pPr>
              <w:rPr>
                <w:sz w:val="5"/>
                <w:szCs w:val="5"/>
              </w:rPr>
            </w:pPr>
          </w:p>
        </w:tc>
        <w:tc>
          <w:tcPr>
            <w:tcW w:w="140" w:type="dxa"/>
            <w:shd w:val="clear" w:color="auto" w:fill="C9D11D"/>
            <w:vAlign w:val="bottom"/>
          </w:tcPr>
          <w:p w:rsidR="00AC12B4" w:rsidRDefault="00AC12B4">
            <w:pPr>
              <w:rPr>
                <w:sz w:val="5"/>
                <w:szCs w:val="5"/>
              </w:rPr>
            </w:pPr>
          </w:p>
        </w:tc>
        <w:tc>
          <w:tcPr>
            <w:tcW w:w="540" w:type="dxa"/>
            <w:shd w:val="clear" w:color="auto" w:fill="C9D11D"/>
            <w:vAlign w:val="bottom"/>
          </w:tcPr>
          <w:p w:rsidR="00AC12B4" w:rsidRDefault="00AC12B4">
            <w:pPr>
              <w:rPr>
                <w:sz w:val="5"/>
                <w:szCs w:val="5"/>
              </w:rPr>
            </w:pPr>
          </w:p>
        </w:tc>
        <w:tc>
          <w:tcPr>
            <w:tcW w:w="80" w:type="dxa"/>
            <w:tcBorders>
              <w:right w:val="single" w:sz="8" w:space="0" w:color="C9D11D"/>
            </w:tcBorders>
            <w:shd w:val="clear" w:color="auto" w:fill="C9D11D"/>
            <w:vAlign w:val="bottom"/>
          </w:tcPr>
          <w:p w:rsidR="00AC12B4" w:rsidRDefault="00AC12B4">
            <w:pPr>
              <w:rPr>
                <w:sz w:val="5"/>
                <w:szCs w:val="5"/>
              </w:rPr>
            </w:pPr>
          </w:p>
        </w:tc>
        <w:tc>
          <w:tcPr>
            <w:tcW w:w="460" w:type="dxa"/>
            <w:shd w:val="clear" w:color="auto" w:fill="C9D11D"/>
            <w:vAlign w:val="bottom"/>
          </w:tcPr>
          <w:p w:rsidR="00AC12B4" w:rsidRDefault="00AC12B4">
            <w:pPr>
              <w:rPr>
                <w:sz w:val="5"/>
                <w:szCs w:val="5"/>
              </w:rPr>
            </w:pPr>
          </w:p>
        </w:tc>
        <w:tc>
          <w:tcPr>
            <w:tcW w:w="20" w:type="dxa"/>
            <w:shd w:val="clear" w:color="auto" w:fill="C9D11D"/>
            <w:vAlign w:val="bottom"/>
          </w:tcPr>
          <w:p w:rsidR="00AC12B4" w:rsidRDefault="00AC12B4">
            <w:pPr>
              <w:rPr>
                <w:sz w:val="5"/>
                <w:szCs w:val="5"/>
              </w:rPr>
            </w:pPr>
          </w:p>
        </w:tc>
        <w:tc>
          <w:tcPr>
            <w:tcW w:w="460" w:type="dxa"/>
            <w:shd w:val="clear" w:color="auto" w:fill="C9D11D"/>
            <w:vAlign w:val="bottom"/>
          </w:tcPr>
          <w:p w:rsidR="00AC12B4" w:rsidRDefault="00AC12B4">
            <w:pPr>
              <w:rPr>
                <w:sz w:val="5"/>
                <w:szCs w:val="5"/>
              </w:rPr>
            </w:pPr>
          </w:p>
        </w:tc>
        <w:tc>
          <w:tcPr>
            <w:tcW w:w="20" w:type="dxa"/>
            <w:shd w:val="clear" w:color="auto" w:fill="C9D11D"/>
            <w:vAlign w:val="bottom"/>
          </w:tcPr>
          <w:p w:rsidR="00AC12B4" w:rsidRDefault="00AC12B4">
            <w:pPr>
              <w:rPr>
                <w:sz w:val="5"/>
                <w:szCs w:val="5"/>
              </w:rPr>
            </w:pPr>
          </w:p>
        </w:tc>
        <w:tc>
          <w:tcPr>
            <w:tcW w:w="480" w:type="dxa"/>
            <w:shd w:val="clear" w:color="auto" w:fill="C9D11D"/>
            <w:vAlign w:val="bottom"/>
          </w:tcPr>
          <w:p w:rsidR="00AC12B4" w:rsidRDefault="00AC12B4">
            <w:pPr>
              <w:rPr>
                <w:sz w:val="5"/>
                <w:szCs w:val="5"/>
              </w:rPr>
            </w:pPr>
          </w:p>
        </w:tc>
        <w:tc>
          <w:tcPr>
            <w:tcW w:w="20" w:type="dxa"/>
            <w:shd w:val="clear" w:color="auto" w:fill="C9D11D"/>
            <w:vAlign w:val="bottom"/>
          </w:tcPr>
          <w:p w:rsidR="00AC12B4" w:rsidRDefault="00AC12B4">
            <w:pPr>
              <w:rPr>
                <w:sz w:val="5"/>
                <w:szCs w:val="5"/>
              </w:rPr>
            </w:pPr>
          </w:p>
        </w:tc>
        <w:tc>
          <w:tcPr>
            <w:tcW w:w="380" w:type="dxa"/>
            <w:shd w:val="clear" w:color="auto" w:fill="C9D11D"/>
            <w:vAlign w:val="bottom"/>
          </w:tcPr>
          <w:p w:rsidR="00AC12B4" w:rsidRDefault="00AC12B4">
            <w:pPr>
              <w:rPr>
                <w:sz w:val="5"/>
                <w:szCs w:val="5"/>
              </w:rPr>
            </w:pPr>
          </w:p>
        </w:tc>
        <w:tc>
          <w:tcPr>
            <w:tcW w:w="80" w:type="dxa"/>
            <w:shd w:val="clear" w:color="auto" w:fill="C9D11D"/>
            <w:vAlign w:val="bottom"/>
          </w:tcPr>
          <w:p w:rsidR="00AC12B4" w:rsidRDefault="00AC12B4">
            <w:pPr>
              <w:rPr>
                <w:sz w:val="5"/>
                <w:szCs w:val="5"/>
              </w:rPr>
            </w:pPr>
          </w:p>
        </w:tc>
        <w:tc>
          <w:tcPr>
            <w:tcW w:w="20" w:type="dxa"/>
            <w:shd w:val="clear" w:color="auto" w:fill="C9D11D"/>
            <w:vAlign w:val="bottom"/>
          </w:tcPr>
          <w:p w:rsidR="00AC12B4" w:rsidRDefault="00AC12B4">
            <w:pPr>
              <w:rPr>
                <w:sz w:val="5"/>
                <w:szCs w:val="5"/>
              </w:rPr>
            </w:pPr>
          </w:p>
        </w:tc>
        <w:tc>
          <w:tcPr>
            <w:tcW w:w="340" w:type="dxa"/>
            <w:tcBorders>
              <w:right w:val="single" w:sz="8" w:space="0" w:color="C9D11D"/>
            </w:tcBorders>
            <w:shd w:val="clear" w:color="auto" w:fill="C9D11D"/>
            <w:vAlign w:val="bottom"/>
          </w:tcPr>
          <w:p w:rsidR="00AC12B4" w:rsidRDefault="00AC12B4">
            <w:pPr>
              <w:rPr>
                <w:sz w:val="5"/>
                <w:szCs w:val="5"/>
              </w:rPr>
            </w:pPr>
          </w:p>
        </w:tc>
        <w:tc>
          <w:tcPr>
            <w:tcW w:w="80" w:type="dxa"/>
            <w:shd w:val="clear" w:color="auto" w:fill="C9D11D"/>
            <w:vAlign w:val="bottom"/>
          </w:tcPr>
          <w:p w:rsidR="00AC12B4" w:rsidRDefault="00AC12B4">
            <w:pPr>
              <w:rPr>
                <w:sz w:val="5"/>
                <w:szCs w:val="5"/>
              </w:rPr>
            </w:pPr>
          </w:p>
        </w:tc>
        <w:tc>
          <w:tcPr>
            <w:tcW w:w="40" w:type="dxa"/>
            <w:shd w:val="clear" w:color="auto" w:fill="C9D11D"/>
            <w:vAlign w:val="bottom"/>
          </w:tcPr>
          <w:p w:rsidR="00AC12B4" w:rsidRDefault="00AC12B4">
            <w:pPr>
              <w:rPr>
                <w:sz w:val="5"/>
                <w:szCs w:val="5"/>
              </w:rPr>
            </w:pPr>
          </w:p>
        </w:tc>
        <w:tc>
          <w:tcPr>
            <w:tcW w:w="780" w:type="dxa"/>
            <w:shd w:val="clear" w:color="auto" w:fill="C9D11D"/>
            <w:vAlign w:val="bottom"/>
          </w:tcPr>
          <w:p w:rsidR="00AC12B4" w:rsidRDefault="00AC12B4">
            <w:pPr>
              <w:rPr>
                <w:sz w:val="5"/>
                <w:szCs w:val="5"/>
              </w:rPr>
            </w:pPr>
          </w:p>
        </w:tc>
        <w:tc>
          <w:tcPr>
            <w:tcW w:w="720" w:type="dxa"/>
            <w:tcBorders>
              <w:right w:val="single" w:sz="8" w:space="0" w:color="C9D11D"/>
            </w:tcBorders>
            <w:shd w:val="clear" w:color="auto" w:fill="C9D11D"/>
            <w:vAlign w:val="bottom"/>
          </w:tcPr>
          <w:p w:rsidR="00AC12B4" w:rsidRDefault="00AC12B4">
            <w:pPr>
              <w:rPr>
                <w:sz w:val="5"/>
                <w:szCs w:val="5"/>
              </w:rPr>
            </w:pPr>
          </w:p>
        </w:tc>
        <w:tc>
          <w:tcPr>
            <w:tcW w:w="80" w:type="dxa"/>
            <w:shd w:val="clear" w:color="auto" w:fill="C9D11D"/>
            <w:vAlign w:val="bottom"/>
          </w:tcPr>
          <w:p w:rsidR="00AC12B4" w:rsidRDefault="00AC12B4">
            <w:pPr>
              <w:rPr>
                <w:sz w:val="5"/>
                <w:szCs w:val="5"/>
              </w:rPr>
            </w:pPr>
          </w:p>
        </w:tc>
        <w:tc>
          <w:tcPr>
            <w:tcW w:w="440" w:type="dxa"/>
            <w:tcBorders>
              <w:right w:val="single" w:sz="8" w:space="0" w:color="919715"/>
            </w:tcBorders>
            <w:shd w:val="clear" w:color="auto" w:fill="C9D11D"/>
            <w:vAlign w:val="bottom"/>
          </w:tcPr>
          <w:p w:rsidR="00AC12B4" w:rsidRDefault="00AC12B4">
            <w:pPr>
              <w:rPr>
                <w:sz w:val="5"/>
                <w:szCs w:val="5"/>
              </w:rPr>
            </w:pPr>
          </w:p>
        </w:tc>
        <w:tc>
          <w:tcPr>
            <w:tcW w:w="240" w:type="dxa"/>
            <w:vAlign w:val="bottom"/>
          </w:tcPr>
          <w:p w:rsidR="00AC12B4" w:rsidRDefault="00AC12B4">
            <w:pPr>
              <w:rPr>
                <w:sz w:val="5"/>
                <w:szCs w:val="5"/>
              </w:rPr>
            </w:pPr>
          </w:p>
        </w:tc>
        <w:tc>
          <w:tcPr>
            <w:tcW w:w="2920" w:type="dxa"/>
            <w:gridSpan w:val="10"/>
            <w:vMerge/>
            <w:vAlign w:val="bottom"/>
          </w:tcPr>
          <w:p w:rsidR="00AC12B4" w:rsidRDefault="00AC12B4">
            <w:pPr>
              <w:rPr>
                <w:sz w:val="5"/>
                <w:szCs w:val="5"/>
              </w:rPr>
            </w:pPr>
          </w:p>
        </w:tc>
        <w:tc>
          <w:tcPr>
            <w:tcW w:w="28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96"/>
        </w:trPr>
        <w:tc>
          <w:tcPr>
            <w:tcW w:w="1320" w:type="dxa"/>
            <w:tcBorders>
              <w:left w:val="single" w:sz="8" w:space="0" w:color="919715"/>
              <w:bottom w:val="single" w:sz="8" w:space="0" w:color="919715"/>
              <w:right w:val="single" w:sz="8" w:space="0" w:color="C9D11D"/>
            </w:tcBorders>
            <w:shd w:val="clear" w:color="auto" w:fill="C9D11D"/>
            <w:vAlign w:val="bottom"/>
          </w:tcPr>
          <w:p w:rsidR="00AC12B4" w:rsidRDefault="00AC12B4">
            <w:pPr>
              <w:rPr>
                <w:sz w:val="8"/>
                <w:szCs w:val="8"/>
              </w:rPr>
            </w:pPr>
          </w:p>
        </w:tc>
        <w:tc>
          <w:tcPr>
            <w:tcW w:w="140" w:type="dxa"/>
            <w:tcBorders>
              <w:bottom w:val="single" w:sz="8" w:space="0" w:color="919715"/>
            </w:tcBorders>
            <w:shd w:val="clear" w:color="auto" w:fill="C9D11D"/>
            <w:vAlign w:val="bottom"/>
          </w:tcPr>
          <w:p w:rsidR="00AC12B4" w:rsidRDefault="00AC12B4">
            <w:pPr>
              <w:rPr>
                <w:sz w:val="8"/>
                <w:szCs w:val="8"/>
              </w:rPr>
            </w:pPr>
          </w:p>
        </w:tc>
        <w:tc>
          <w:tcPr>
            <w:tcW w:w="540" w:type="dxa"/>
            <w:tcBorders>
              <w:bottom w:val="single" w:sz="8" w:space="0" w:color="919715"/>
            </w:tcBorders>
            <w:shd w:val="clear" w:color="auto" w:fill="C9D11D"/>
            <w:vAlign w:val="bottom"/>
          </w:tcPr>
          <w:p w:rsidR="00AC12B4" w:rsidRDefault="00AC12B4">
            <w:pPr>
              <w:rPr>
                <w:sz w:val="8"/>
                <w:szCs w:val="8"/>
              </w:rPr>
            </w:pPr>
          </w:p>
        </w:tc>
        <w:tc>
          <w:tcPr>
            <w:tcW w:w="80" w:type="dxa"/>
            <w:tcBorders>
              <w:bottom w:val="single" w:sz="8" w:space="0" w:color="919715"/>
              <w:right w:val="single" w:sz="8" w:space="0" w:color="C9D11D"/>
            </w:tcBorders>
            <w:shd w:val="clear" w:color="auto" w:fill="C9D11D"/>
            <w:vAlign w:val="bottom"/>
          </w:tcPr>
          <w:p w:rsidR="00AC12B4" w:rsidRDefault="00AC12B4">
            <w:pPr>
              <w:rPr>
                <w:sz w:val="8"/>
                <w:szCs w:val="8"/>
              </w:rPr>
            </w:pPr>
          </w:p>
        </w:tc>
        <w:tc>
          <w:tcPr>
            <w:tcW w:w="460" w:type="dxa"/>
            <w:tcBorders>
              <w:bottom w:val="single" w:sz="8" w:space="0" w:color="919715"/>
            </w:tcBorders>
            <w:shd w:val="clear" w:color="auto" w:fill="C9D11D"/>
            <w:vAlign w:val="bottom"/>
          </w:tcPr>
          <w:p w:rsidR="00AC12B4" w:rsidRDefault="00AC12B4">
            <w:pPr>
              <w:rPr>
                <w:sz w:val="8"/>
                <w:szCs w:val="8"/>
              </w:rPr>
            </w:pPr>
          </w:p>
        </w:tc>
        <w:tc>
          <w:tcPr>
            <w:tcW w:w="20" w:type="dxa"/>
            <w:tcBorders>
              <w:bottom w:val="single" w:sz="8" w:space="0" w:color="919715"/>
            </w:tcBorders>
            <w:shd w:val="clear" w:color="auto" w:fill="C9D11D"/>
            <w:vAlign w:val="bottom"/>
          </w:tcPr>
          <w:p w:rsidR="00AC12B4" w:rsidRDefault="00AC12B4">
            <w:pPr>
              <w:rPr>
                <w:sz w:val="8"/>
                <w:szCs w:val="8"/>
              </w:rPr>
            </w:pPr>
          </w:p>
        </w:tc>
        <w:tc>
          <w:tcPr>
            <w:tcW w:w="460" w:type="dxa"/>
            <w:tcBorders>
              <w:bottom w:val="single" w:sz="8" w:space="0" w:color="919715"/>
            </w:tcBorders>
            <w:shd w:val="clear" w:color="auto" w:fill="C9D11D"/>
            <w:vAlign w:val="bottom"/>
          </w:tcPr>
          <w:p w:rsidR="00AC12B4" w:rsidRDefault="00AC12B4">
            <w:pPr>
              <w:rPr>
                <w:sz w:val="8"/>
                <w:szCs w:val="8"/>
              </w:rPr>
            </w:pPr>
          </w:p>
        </w:tc>
        <w:tc>
          <w:tcPr>
            <w:tcW w:w="20" w:type="dxa"/>
            <w:tcBorders>
              <w:bottom w:val="single" w:sz="8" w:space="0" w:color="919715"/>
            </w:tcBorders>
            <w:shd w:val="clear" w:color="auto" w:fill="C9D11D"/>
            <w:vAlign w:val="bottom"/>
          </w:tcPr>
          <w:p w:rsidR="00AC12B4" w:rsidRDefault="00AC12B4">
            <w:pPr>
              <w:rPr>
                <w:sz w:val="8"/>
                <w:szCs w:val="8"/>
              </w:rPr>
            </w:pPr>
          </w:p>
        </w:tc>
        <w:tc>
          <w:tcPr>
            <w:tcW w:w="480" w:type="dxa"/>
            <w:tcBorders>
              <w:bottom w:val="single" w:sz="8" w:space="0" w:color="919715"/>
            </w:tcBorders>
            <w:shd w:val="clear" w:color="auto" w:fill="C9D11D"/>
            <w:vAlign w:val="bottom"/>
          </w:tcPr>
          <w:p w:rsidR="00AC12B4" w:rsidRDefault="00AC12B4">
            <w:pPr>
              <w:rPr>
                <w:sz w:val="8"/>
                <w:szCs w:val="8"/>
              </w:rPr>
            </w:pPr>
          </w:p>
        </w:tc>
        <w:tc>
          <w:tcPr>
            <w:tcW w:w="20" w:type="dxa"/>
            <w:tcBorders>
              <w:bottom w:val="single" w:sz="8" w:space="0" w:color="919715"/>
            </w:tcBorders>
            <w:shd w:val="clear" w:color="auto" w:fill="C9D11D"/>
            <w:vAlign w:val="bottom"/>
          </w:tcPr>
          <w:p w:rsidR="00AC12B4" w:rsidRDefault="00AC12B4">
            <w:pPr>
              <w:rPr>
                <w:sz w:val="8"/>
                <w:szCs w:val="8"/>
              </w:rPr>
            </w:pPr>
          </w:p>
        </w:tc>
        <w:tc>
          <w:tcPr>
            <w:tcW w:w="380" w:type="dxa"/>
            <w:tcBorders>
              <w:bottom w:val="single" w:sz="8" w:space="0" w:color="919715"/>
            </w:tcBorders>
            <w:shd w:val="clear" w:color="auto" w:fill="C9D11D"/>
            <w:vAlign w:val="bottom"/>
          </w:tcPr>
          <w:p w:rsidR="00AC12B4" w:rsidRDefault="00AC12B4">
            <w:pPr>
              <w:rPr>
                <w:sz w:val="8"/>
                <w:szCs w:val="8"/>
              </w:rPr>
            </w:pPr>
          </w:p>
        </w:tc>
        <w:tc>
          <w:tcPr>
            <w:tcW w:w="80" w:type="dxa"/>
            <w:tcBorders>
              <w:bottom w:val="single" w:sz="8" w:space="0" w:color="919715"/>
            </w:tcBorders>
            <w:shd w:val="clear" w:color="auto" w:fill="C9D11D"/>
            <w:vAlign w:val="bottom"/>
          </w:tcPr>
          <w:p w:rsidR="00AC12B4" w:rsidRDefault="00AC12B4">
            <w:pPr>
              <w:rPr>
                <w:sz w:val="8"/>
                <w:szCs w:val="8"/>
              </w:rPr>
            </w:pPr>
          </w:p>
        </w:tc>
        <w:tc>
          <w:tcPr>
            <w:tcW w:w="20" w:type="dxa"/>
            <w:tcBorders>
              <w:bottom w:val="single" w:sz="8" w:space="0" w:color="919715"/>
            </w:tcBorders>
            <w:shd w:val="clear" w:color="auto" w:fill="C9D11D"/>
            <w:vAlign w:val="bottom"/>
          </w:tcPr>
          <w:p w:rsidR="00AC12B4" w:rsidRDefault="00AC12B4">
            <w:pPr>
              <w:rPr>
                <w:sz w:val="8"/>
                <w:szCs w:val="8"/>
              </w:rPr>
            </w:pPr>
          </w:p>
        </w:tc>
        <w:tc>
          <w:tcPr>
            <w:tcW w:w="340" w:type="dxa"/>
            <w:tcBorders>
              <w:bottom w:val="single" w:sz="8" w:space="0" w:color="919715"/>
              <w:right w:val="single" w:sz="8" w:space="0" w:color="C9D11D"/>
            </w:tcBorders>
            <w:shd w:val="clear" w:color="auto" w:fill="C9D11D"/>
            <w:vAlign w:val="bottom"/>
          </w:tcPr>
          <w:p w:rsidR="00AC12B4" w:rsidRDefault="00AC12B4">
            <w:pPr>
              <w:rPr>
                <w:sz w:val="8"/>
                <w:szCs w:val="8"/>
              </w:rPr>
            </w:pPr>
          </w:p>
        </w:tc>
        <w:tc>
          <w:tcPr>
            <w:tcW w:w="80" w:type="dxa"/>
            <w:tcBorders>
              <w:bottom w:val="single" w:sz="8" w:space="0" w:color="919715"/>
            </w:tcBorders>
            <w:shd w:val="clear" w:color="auto" w:fill="C9D11D"/>
            <w:vAlign w:val="bottom"/>
          </w:tcPr>
          <w:p w:rsidR="00AC12B4" w:rsidRDefault="00AC12B4">
            <w:pPr>
              <w:rPr>
                <w:sz w:val="8"/>
                <w:szCs w:val="8"/>
              </w:rPr>
            </w:pPr>
          </w:p>
        </w:tc>
        <w:tc>
          <w:tcPr>
            <w:tcW w:w="40" w:type="dxa"/>
            <w:tcBorders>
              <w:bottom w:val="single" w:sz="8" w:space="0" w:color="919715"/>
            </w:tcBorders>
            <w:shd w:val="clear" w:color="auto" w:fill="C9D11D"/>
            <w:vAlign w:val="bottom"/>
          </w:tcPr>
          <w:p w:rsidR="00AC12B4" w:rsidRDefault="00AC12B4">
            <w:pPr>
              <w:rPr>
                <w:sz w:val="8"/>
                <w:szCs w:val="8"/>
              </w:rPr>
            </w:pPr>
          </w:p>
        </w:tc>
        <w:tc>
          <w:tcPr>
            <w:tcW w:w="780" w:type="dxa"/>
            <w:tcBorders>
              <w:bottom w:val="single" w:sz="8" w:space="0" w:color="919715"/>
            </w:tcBorders>
            <w:shd w:val="clear" w:color="auto" w:fill="C9D11D"/>
            <w:vAlign w:val="bottom"/>
          </w:tcPr>
          <w:p w:rsidR="00AC12B4" w:rsidRDefault="00AC12B4">
            <w:pPr>
              <w:rPr>
                <w:sz w:val="8"/>
                <w:szCs w:val="8"/>
              </w:rPr>
            </w:pPr>
          </w:p>
        </w:tc>
        <w:tc>
          <w:tcPr>
            <w:tcW w:w="720" w:type="dxa"/>
            <w:tcBorders>
              <w:bottom w:val="single" w:sz="8" w:space="0" w:color="919715"/>
              <w:right w:val="single" w:sz="8" w:space="0" w:color="C9D11D"/>
            </w:tcBorders>
            <w:shd w:val="clear" w:color="auto" w:fill="C9D11D"/>
            <w:vAlign w:val="bottom"/>
          </w:tcPr>
          <w:p w:rsidR="00AC12B4" w:rsidRDefault="00AC12B4">
            <w:pPr>
              <w:rPr>
                <w:sz w:val="8"/>
                <w:szCs w:val="8"/>
              </w:rPr>
            </w:pPr>
          </w:p>
        </w:tc>
        <w:tc>
          <w:tcPr>
            <w:tcW w:w="80" w:type="dxa"/>
            <w:tcBorders>
              <w:bottom w:val="single" w:sz="8" w:space="0" w:color="919715"/>
            </w:tcBorders>
            <w:shd w:val="clear" w:color="auto" w:fill="C9D11D"/>
            <w:vAlign w:val="bottom"/>
          </w:tcPr>
          <w:p w:rsidR="00AC12B4" w:rsidRDefault="00AC12B4">
            <w:pPr>
              <w:rPr>
                <w:sz w:val="8"/>
                <w:szCs w:val="8"/>
              </w:rPr>
            </w:pPr>
          </w:p>
        </w:tc>
        <w:tc>
          <w:tcPr>
            <w:tcW w:w="440" w:type="dxa"/>
            <w:tcBorders>
              <w:bottom w:val="single" w:sz="8" w:space="0" w:color="919715"/>
              <w:right w:val="single" w:sz="8" w:space="0" w:color="919715"/>
            </w:tcBorders>
            <w:shd w:val="clear" w:color="auto" w:fill="C9D11D"/>
            <w:vAlign w:val="bottom"/>
          </w:tcPr>
          <w:p w:rsidR="00AC12B4" w:rsidRDefault="00AC12B4">
            <w:pPr>
              <w:rPr>
                <w:sz w:val="8"/>
                <w:szCs w:val="8"/>
              </w:rPr>
            </w:pPr>
          </w:p>
        </w:tc>
        <w:tc>
          <w:tcPr>
            <w:tcW w:w="240" w:type="dxa"/>
            <w:vAlign w:val="bottom"/>
          </w:tcPr>
          <w:p w:rsidR="00AC12B4" w:rsidRDefault="00AC12B4">
            <w:pPr>
              <w:rPr>
                <w:sz w:val="8"/>
                <w:szCs w:val="8"/>
              </w:rPr>
            </w:pPr>
          </w:p>
        </w:tc>
        <w:tc>
          <w:tcPr>
            <w:tcW w:w="1480" w:type="dxa"/>
            <w:gridSpan w:val="5"/>
            <w:vMerge w:val="restart"/>
            <w:vAlign w:val="bottom"/>
          </w:tcPr>
          <w:p w:rsidR="00AC12B4" w:rsidRDefault="00C27636">
            <w:pPr>
              <w:ind w:left="40"/>
              <w:rPr>
                <w:sz w:val="20"/>
                <w:szCs w:val="20"/>
              </w:rPr>
            </w:pPr>
            <w:r>
              <w:rPr>
                <w:rFonts w:ascii="Calibri" w:eastAsia="Calibri" w:hAnsi="Calibri" w:cs="Calibri"/>
              </w:rPr>
              <w:t>majorée (BIM)</w:t>
            </w:r>
          </w:p>
        </w:tc>
        <w:tc>
          <w:tcPr>
            <w:tcW w:w="18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26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54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93"/>
        </w:trPr>
        <w:tc>
          <w:tcPr>
            <w:tcW w:w="1320" w:type="dxa"/>
            <w:vAlign w:val="bottom"/>
          </w:tcPr>
          <w:p w:rsidR="00AC12B4" w:rsidRDefault="00AC12B4">
            <w:pPr>
              <w:rPr>
                <w:sz w:val="16"/>
                <w:szCs w:val="16"/>
              </w:rPr>
            </w:pPr>
          </w:p>
        </w:tc>
        <w:tc>
          <w:tcPr>
            <w:tcW w:w="140" w:type="dxa"/>
            <w:vAlign w:val="bottom"/>
          </w:tcPr>
          <w:p w:rsidR="00AC12B4" w:rsidRDefault="00AC12B4">
            <w:pPr>
              <w:rPr>
                <w:sz w:val="16"/>
                <w:szCs w:val="16"/>
              </w:rPr>
            </w:pPr>
          </w:p>
        </w:tc>
        <w:tc>
          <w:tcPr>
            <w:tcW w:w="54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46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46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38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40" w:type="dxa"/>
            <w:vAlign w:val="bottom"/>
          </w:tcPr>
          <w:p w:rsidR="00AC12B4" w:rsidRDefault="00AC12B4">
            <w:pPr>
              <w:rPr>
                <w:sz w:val="16"/>
                <w:szCs w:val="16"/>
              </w:rPr>
            </w:pPr>
          </w:p>
        </w:tc>
        <w:tc>
          <w:tcPr>
            <w:tcW w:w="780" w:type="dxa"/>
            <w:vAlign w:val="bottom"/>
          </w:tcPr>
          <w:p w:rsidR="00AC12B4" w:rsidRDefault="00AC12B4">
            <w:pPr>
              <w:rPr>
                <w:sz w:val="16"/>
                <w:szCs w:val="16"/>
              </w:rPr>
            </w:pPr>
          </w:p>
        </w:tc>
        <w:tc>
          <w:tcPr>
            <w:tcW w:w="72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440" w:type="dxa"/>
            <w:vAlign w:val="bottom"/>
          </w:tcPr>
          <w:p w:rsidR="00AC12B4" w:rsidRDefault="00AC12B4">
            <w:pPr>
              <w:rPr>
                <w:sz w:val="16"/>
                <w:szCs w:val="16"/>
              </w:rPr>
            </w:pPr>
          </w:p>
        </w:tc>
        <w:tc>
          <w:tcPr>
            <w:tcW w:w="240" w:type="dxa"/>
            <w:vAlign w:val="bottom"/>
          </w:tcPr>
          <w:p w:rsidR="00AC12B4" w:rsidRDefault="00AC12B4">
            <w:pPr>
              <w:rPr>
                <w:sz w:val="16"/>
                <w:szCs w:val="16"/>
              </w:rPr>
            </w:pPr>
          </w:p>
        </w:tc>
        <w:tc>
          <w:tcPr>
            <w:tcW w:w="1480" w:type="dxa"/>
            <w:gridSpan w:val="5"/>
            <w:vMerge/>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280" w:type="dxa"/>
            <w:vAlign w:val="bottom"/>
          </w:tcPr>
          <w:p w:rsidR="00AC12B4" w:rsidRDefault="00AC12B4">
            <w:pPr>
              <w:rPr>
                <w:sz w:val="16"/>
                <w:szCs w:val="16"/>
              </w:rPr>
            </w:pPr>
          </w:p>
        </w:tc>
        <w:tc>
          <w:tcPr>
            <w:tcW w:w="26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540" w:type="dxa"/>
            <w:vAlign w:val="bottom"/>
          </w:tcPr>
          <w:p w:rsidR="00AC12B4" w:rsidRDefault="00AC12B4">
            <w:pPr>
              <w:rPr>
                <w:sz w:val="16"/>
                <w:szCs w:val="16"/>
              </w:rPr>
            </w:pPr>
          </w:p>
        </w:tc>
        <w:tc>
          <w:tcPr>
            <w:tcW w:w="28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317"/>
        </w:trPr>
        <w:tc>
          <w:tcPr>
            <w:tcW w:w="13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4600" w:type="dxa"/>
            <w:gridSpan w:val="17"/>
            <w:vAlign w:val="bottom"/>
          </w:tcPr>
          <w:p w:rsidR="00AC12B4" w:rsidRPr="00C27636" w:rsidRDefault="00C27636">
            <w:pPr>
              <w:rPr>
                <w:sz w:val="20"/>
                <w:szCs w:val="20"/>
                <w:lang w:val="fr-BE"/>
              </w:rPr>
            </w:pPr>
            <w:r w:rsidRPr="00C27636">
              <w:rPr>
                <w:rFonts w:ascii="Calibri" w:eastAsia="Calibri" w:hAnsi="Calibri" w:cs="Calibri"/>
                <w:lang w:val="fr-BE"/>
              </w:rPr>
              <w:t>Un bon suivi prénatal est important pour la</w:t>
            </w:r>
          </w:p>
        </w:tc>
        <w:tc>
          <w:tcPr>
            <w:tcW w:w="44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2680" w:type="dxa"/>
            <w:gridSpan w:val="9"/>
            <w:vAlign w:val="bottom"/>
          </w:tcPr>
          <w:p w:rsidR="00AC12B4" w:rsidRDefault="00C27636">
            <w:pPr>
              <w:ind w:left="60"/>
              <w:rPr>
                <w:sz w:val="20"/>
                <w:szCs w:val="20"/>
              </w:rPr>
            </w:pPr>
            <w:r>
              <w:rPr>
                <w:rFonts w:ascii="Calibri" w:eastAsia="Calibri" w:hAnsi="Calibri" w:cs="Calibri"/>
              </w:rPr>
              <w:t>-   La consommation par la</w:t>
            </w:r>
          </w:p>
        </w:tc>
        <w:tc>
          <w:tcPr>
            <w:tcW w:w="28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18"/>
        </w:trPr>
        <w:tc>
          <w:tcPr>
            <w:tcW w:w="13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4600" w:type="dxa"/>
            <w:gridSpan w:val="17"/>
            <w:vAlign w:val="bottom"/>
          </w:tcPr>
          <w:p w:rsidR="00AC12B4" w:rsidRPr="00C27636" w:rsidRDefault="00C27636">
            <w:pPr>
              <w:rPr>
                <w:sz w:val="20"/>
                <w:szCs w:val="20"/>
                <w:lang w:val="fr-BE"/>
              </w:rPr>
            </w:pPr>
            <w:r w:rsidRPr="00C27636">
              <w:rPr>
                <w:rFonts w:ascii="Calibri" w:eastAsia="Calibri" w:hAnsi="Calibri" w:cs="Calibri"/>
                <w:lang w:val="fr-BE"/>
              </w:rPr>
              <w:t>santé de la mère et de l’enfant à naître</w:t>
            </w:r>
          </w:p>
        </w:tc>
        <w:tc>
          <w:tcPr>
            <w:tcW w:w="44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2920" w:type="dxa"/>
            <w:gridSpan w:val="10"/>
            <w:vAlign w:val="bottom"/>
          </w:tcPr>
          <w:p w:rsidR="00AC12B4" w:rsidRDefault="00C27636">
            <w:pPr>
              <w:spacing w:line="318" w:lineRule="exact"/>
              <w:ind w:left="40"/>
              <w:rPr>
                <w:sz w:val="20"/>
                <w:szCs w:val="20"/>
              </w:rPr>
            </w:pPr>
            <w:r>
              <w:rPr>
                <w:rFonts w:ascii="Calibri" w:eastAsia="Calibri" w:hAnsi="Calibri" w:cs="Calibri"/>
                <w:w w:val="98"/>
              </w:rPr>
              <w:t>mère de certains médicaments</w:t>
            </w:r>
            <w:r>
              <w:rPr>
                <w:rFonts w:ascii="Calibri" w:eastAsia="Calibri" w:hAnsi="Calibri" w:cs="Calibri"/>
                <w:w w:val="98"/>
                <w:sz w:val="27"/>
                <w:szCs w:val="27"/>
                <w:vertAlign w:val="superscript"/>
              </w:rPr>
              <w:t>2</w:t>
            </w:r>
            <w:r>
              <w:rPr>
                <w:rFonts w:ascii="Calibri" w:eastAsia="Calibri" w:hAnsi="Calibri" w:cs="Calibri"/>
                <w:w w:val="98"/>
              </w:rPr>
              <w:t>.</w:t>
            </w:r>
          </w:p>
        </w:tc>
        <w:tc>
          <w:tcPr>
            <w:tcW w:w="28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20"/>
        </w:trPr>
        <w:tc>
          <w:tcPr>
            <w:tcW w:w="1320" w:type="dxa"/>
            <w:vAlign w:val="bottom"/>
          </w:tcPr>
          <w:p w:rsidR="00AC12B4" w:rsidRDefault="00AC12B4">
            <w:pPr>
              <w:rPr>
                <w:sz w:val="19"/>
                <w:szCs w:val="19"/>
              </w:rPr>
            </w:pPr>
          </w:p>
        </w:tc>
        <w:tc>
          <w:tcPr>
            <w:tcW w:w="140" w:type="dxa"/>
            <w:vAlign w:val="bottom"/>
          </w:tcPr>
          <w:p w:rsidR="00AC12B4" w:rsidRDefault="00AC12B4">
            <w:pPr>
              <w:rPr>
                <w:sz w:val="19"/>
                <w:szCs w:val="19"/>
              </w:rPr>
            </w:pPr>
          </w:p>
        </w:tc>
        <w:tc>
          <w:tcPr>
            <w:tcW w:w="4600" w:type="dxa"/>
            <w:gridSpan w:val="17"/>
            <w:vAlign w:val="bottom"/>
          </w:tcPr>
          <w:p w:rsidR="00AC12B4" w:rsidRPr="00C27636" w:rsidRDefault="00C27636">
            <w:pPr>
              <w:spacing w:line="220" w:lineRule="exact"/>
              <w:rPr>
                <w:sz w:val="20"/>
                <w:szCs w:val="20"/>
                <w:lang w:val="fr-BE"/>
              </w:rPr>
            </w:pPr>
            <w:r w:rsidRPr="00C27636">
              <w:rPr>
                <w:rFonts w:ascii="Calibri" w:eastAsia="Calibri" w:hAnsi="Calibri" w:cs="Calibri"/>
                <w:lang w:val="fr-BE"/>
              </w:rPr>
              <w:t xml:space="preserve">(diminution </w:t>
            </w:r>
            <w:r w:rsidRPr="00C27636">
              <w:rPr>
                <w:rFonts w:ascii="Calibri" w:eastAsia="Calibri" w:hAnsi="Calibri" w:cs="Calibri"/>
                <w:lang w:val="fr-BE"/>
              </w:rPr>
              <w:t xml:space="preserve"> de  la mortalité  périnatale).</w:t>
            </w:r>
          </w:p>
        </w:tc>
        <w:tc>
          <w:tcPr>
            <w:tcW w:w="440" w:type="dxa"/>
            <w:vAlign w:val="bottom"/>
          </w:tcPr>
          <w:p w:rsidR="00AC12B4" w:rsidRPr="00C27636" w:rsidRDefault="00AC12B4">
            <w:pPr>
              <w:rPr>
                <w:sz w:val="19"/>
                <w:szCs w:val="19"/>
                <w:lang w:val="fr-BE"/>
              </w:rPr>
            </w:pPr>
          </w:p>
        </w:tc>
        <w:tc>
          <w:tcPr>
            <w:tcW w:w="240" w:type="dxa"/>
            <w:vAlign w:val="bottom"/>
          </w:tcPr>
          <w:p w:rsidR="00AC12B4" w:rsidRPr="00C27636" w:rsidRDefault="00AC12B4">
            <w:pPr>
              <w:rPr>
                <w:sz w:val="19"/>
                <w:szCs w:val="19"/>
                <w:lang w:val="fr-BE"/>
              </w:rPr>
            </w:pPr>
          </w:p>
        </w:tc>
        <w:tc>
          <w:tcPr>
            <w:tcW w:w="240" w:type="dxa"/>
            <w:vAlign w:val="bottom"/>
          </w:tcPr>
          <w:p w:rsidR="00AC12B4" w:rsidRPr="00C27636" w:rsidRDefault="00AC12B4">
            <w:pPr>
              <w:rPr>
                <w:sz w:val="19"/>
                <w:szCs w:val="19"/>
                <w:lang w:val="fr-BE"/>
              </w:rPr>
            </w:pPr>
          </w:p>
        </w:tc>
        <w:tc>
          <w:tcPr>
            <w:tcW w:w="200" w:type="dxa"/>
            <w:vAlign w:val="bottom"/>
          </w:tcPr>
          <w:p w:rsidR="00AC12B4" w:rsidRPr="00C27636" w:rsidRDefault="00AC12B4">
            <w:pPr>
              <w:rPr>
                <w:sz w:val="19"/>
                <w:szCs w:val="19"/>
                <w:lang w:val="fr-BE"/>
              </w:rPr>
            </w:pPr>
          </w:p>
        </w:tc>
        <w:tc>
          <w:tcPr>
            <w:tcW w:w="540" w:type="dxa"/>
            <w:vAlign w:val="bottom"/>
          </w:tcPr>
          <w:p w:rsidR="00AC12B4" w:rsidRPr="00C27636" w:rsidRDefault="00AC12B4">
            <w:pPr>
              <w:rPr>
                <w:sz w:val="19"/>
                <w:szCs w:val="19"/>
                <w:lang w:val="fr-BE"/>
              </w:rPr>
            </w:pPr>
          </w:p>
        </w:tc>
        <w:tc>
          <w:tcPr>
            <w:tcW w:w="100" w:type="dxa"/>
            <w:vAlign w:val="bottom"/>
          </w:tcPr>
          <w:p w:rsidR="00AC12B4" w:rsidRPr="00C27636" w:rsidRDefault="00AC12B4">
            <w:pPr>
              <w:rPr>
                <w:sz w:val="19"/>
                <w:szCs w:val="19"/>
                <w:lang w:val="fr-BE"/>
              </w:rPr>
            </w:pPr>
          </w:p>
        </w:tc>
        <w:tc>
          <w:tcPr>
            <w:tcW w:w="400" w:type="dxa"/>
            <w:vAlign w:val="bottom"/>
          </w:tcPr>
          <w:p w:rsidR="00AC12B4" w:rsidRPr="00C27636" w:rsidRDefault="00AC12B4">
            <w:pPr>
              <w:rPr>
                <w:sz w:val="19"/>
                <w:szCs w:val="19"/>
                <w:lang w:val="fr-BE"/>
              </w:rPr>
            </w:pPr>
          </w:p>
        </w:tc>
        <w:tc>
          <w:tcPr>
            <w:tcW w:w="180" w:type="dxa"/>
            <w:vAlign w:val="bottom"/>
          </w:tcPr>
          <w:p w:rsidR="00AC12B4" w:rsidRPr="00C27636" w:rsidRDefault="00AC12B4">
            <w:pPr>
              <w:rPr>
                <w:sz w:val="19"/>
                <w:szCs w:val="19"/>
                <w:lang w:val="fr-BE"/>
              </w:rPr>
            </w:pPr>
          </w:p>
        </w:tc>
        <w:tc>
          <w:tcPr>
            <w:tcW w:w="280" w:type="dxa"/>
            <w:vAlign w:val="bottom"/>
          </w:tcPr>
          <w:p w:rsidR="00AC12B4" w:rsidRPr="00C27636" w:rsidRDefault="00AC12B4">
            <w:pPr>
              <w:rPr>
                <w:sz w:val="19"/>
                <w:szCs w:val="19"/>
                <w:lang w:val="fr-BE"/>
              </w:rPr>
            </w:pPr>
          </w:p>
        </w:tc>
        <w:tc>
          <w:tcPr>
            <w:tcW w:w="260" w:type="dxa"/>
            <w:vAlign w:val="bottom"/>
          </w:tcPr>
          <w:p w:rsidR="00AC12B4" w:rsidRPr="00C27636" w:rsidRDefault="00AC12B4">
            <w:pPr>
              <w:rPr>
                <w:sz w:val="19"/>
                <w:szCs w:val="19"/>
                <w:lang w:val="fr-BE"/>
              </w:rPr>
            </w:pPr>
          </w:p>
        </w:tc>
        <w:tc>
          <w:tcPr>
            <w:tcW w:w="180" w:type="dxa"/>
            <w:vAlign w:val="bottom"/>
          </w:tcPr>
          <w:p w:rsidR="00AC12B4" w:rsidRPr="00C27636" w:rsidRDefault="00AC12B4">
            <w:pPr>
              <w:rPr>
                <w:sz w:val="19"/>
                <w:szCs w:val="19"/>
                <w:lang w:val="fr-BE"/>
              </w:rPr>
            </w:pPr>
          </w:p>
        </w:tc>
        <w:tc>
          <w:tcPr>
            <w:tcW w:w="540" w:type="dxa"/>
            <w:vAlign w:val="bottom"/>
          </w:tcPr>
          <w:p w:rsidR="00AC12B4" w:rsidRPr="00C27636" w:rsidRDefault="00AC12B4">
            <w:pPr>
              <w:rPr>
                <w:sz w:val="19"/>
                <w:szCs w:val="19"/>
                <w:lang w:val="fr-BE"/>
              </w:rPr>
            </w:pPr>
          </w:p>
        </w:tc>
        <w:tc>
          <w:tcPr>
            <w:tcW w:w="280" w:type="dxa"/>
            <w:vAlign w:val="bottom"/>
          </w:tcPr>
          <w:p w:rsidR="00AC12B4" w:rsidRPr="00C27636" w:rsidRDefault="00AC12B4">
            <w:pPr>
              <w:rPr>
                <w:sz w:val="19"/>
                <w:szCs w:val="19"/>
                <w:lang w:val="fr-BE"/>
              </w:rPr>
            </w:pPr>
          </w:p>
        </w:tc>
        <w:tc>
          <w:tcPr>
            <w:tcW w:w="0" w:type="dxa"/>
            <w:vAlign w:val="bottom"/>
          </w:tcPr>
          <w:p w:rsidR="00AC12B4" w:rsidRPr="00C27636" w:rsidRDefault="00AC12B4">
            <w:pPr>
              <w:rPr>
                <w:sz w:val="1"/>
                <w:szCs w:val="1"/>
                <w:lang w:val="fr-BE"/>
              </w:rPr>
            </w:pPr>
          </w:p>
        </w:tc>
      </w:tr>
      <w:tr w:rsidR="00AC12B4" w:rsidRPr="00C27636">
        <w:trPr>
          <w:trHeight w:val="271"/>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Align w:val="bottom"/>
          </w:tcPr>
          <w:p w:rsidR="00AC12B4" w:rsidRPr="00C27636" w:rsidRDefault="00C27636">
            <w:pPr>
              <w:rPr>
                <w:sz w:val="20"/>
                <w:szCs w:val="20"/>
                <w:lang w:val="fr-BE"/>
              </w:rPr>
            </w:pPr>
            <w:r w:rsidRPr="00C27636">
              <w:rPr>
                <w:rFonts w:ascii="Calibri" w:eastAsia="Calibri" w:hAnsi="Calibri" w:cs="Calibri"/>
                <w:lang w:val="fr-BE"/>
              </w:rPr>
              <w:t>C’est donc naturellement que cet aspect</w:t>
            </w: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Suivant ces critères, 21,7% des femmes</w:t>
            </w:r>
          </w:p>
        </w:tc>
        <w:tc>
          <w:tcPr>
            <w:tcW w:w="0" w:type="dxa"/>
            <w:vAlign w:val="bottom"/>
          </w:tcPr>
          <w:p w:rsidR="00AC12B4" w:rsidRPr="00C27636" w:rsidRDefault="00AC12B4">
            <w:pPr>
              <w:rPr>
                <w:sz w:val="1"/>
                <w:szCs w:val="1"/>
                <w:lang w:val="fr-BE"/>
              </w:rPr>
            </w:pPr>
          </w:p>
        </w:tc>
      </w:tr>
      <w:tr w:rsidR="00AC12B4" w:rsidRPr="00C27636">
        <w:trPr>
          <w:trHeight w:val="269"/>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Align w:val="bottom"/>
          </w:tcPr>
          <w:p w:rsidR="00AC12B4" w:rsidRDefault="00C27636">
            <w:pPr>
              <w:spacing w:line="267" w:lineRule="exact"/>
              <w:rPr>
                <w:sz w:val="20"/>
                <w:szCs w:val="20"/>
              </w:rPr>
            </w:pPr>
            <w:r w:rsidRPr="00C27636">
              <w:rPr>
                <w:rFonts w:ascii="Calibri" w:eastAsia="Calibri" w:hAnsi="Calibri" w:cs="Calibri"/>
                <w:lang w:val="fr-BE"/>
              </w:rPr>
              <w:t xml:space="preserve">du droit à la santé doit être considéré. </w:t>
            </w:r>
            <w:r>
              <w:rPr>
                <w:rFonts w:ascii="Calibri" w:eastAsia="Calibri" w:hAnsi="Calibri" w:cs="Calibri"/>
              </w:rPr>
              <w:t>En</w:t>
            </w: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ayant accouché en 2010 présentent au</w:t>
            </w:r>
          </w:p>
        </w:tc>
        <w:tc>
          <w:tcPr>
            <w:tcW w:w="0" w:type="dxa"/>
            <w:vAlign w:val="bottom"/>
          </w:tcPr>
          <w:p w:rsidR="00AC12B4" w:rsidRPr="00C27636" w:rsidRDefault="00AC12B4">
            <w:pPr>
              <w:rPr>
                <w:sz w:val="1"/>
                <w:szCs w:val="1"/>
                <w:lang w:val="fr-BE"/>
              </w:rPr>
            </w:pPr>
          </w:p>
        </w:tc>
      </w:tr>
      <w:tr w:rsidR="00AC12B4">
        <w:trPr>
          <w:trHeight w:val="269"/>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 xml:space="preserve">outre, dans ses remarques finales de </w:t>
            </w:r>
            <w:r w:rsidRPr="00C27636">
              <w:rPr>
                <w:rFonts w:ascii="Calibri" w:eastAsia="Calibri" w:hAnsi="Calibri" w:cs="Calibri"/>
                <w:lang w:val="fr-BE"/>
              </w:rPr>
              <w:t>2010,</w:t>
            </w:r>
          </w:p>
        </w:tc>
        <w:tc>
          <w:tcPr>
            <w:tcW w:w="3880" w:type="dxa"/>
            <w:gridSpan w:val="13"/>
            <w:vAlign w:val="bottom"/>
          </w:tcPr>
          <w:p w:rsidR="00AC12B4" w:rsidRDefault="00C27636">
            <w:pPr>
              <w:rPr>
                <w:sz w:val="20"/>
                <w:szCs w:val="20"/>
              </w:rPr>
            </w:pPr>
            <w:r w:rsidRPr="00C27636">
              <w:rPr>
                <w:rFonts w:ascii="Calibri" w:eastAsia="Calibri" w:hAnsi="Calibri" w:cs="Calibri"/>
                <w:lang w:val="fr-BE"/>
              </w:rPr>
              <w:t xml:space="preserve">moins un des facteurs de risque. </w:t>
            </w:r>
            <w:r>
              <w:rPr>
                <w:rFonts w:ascii="Calibri" w:eastAsia="Calibri" w:hAnsi="Calibri" w:cs="Calibri"/>
              </w:rPr>
              <w:t>Leurs</w:t>
            </w:r>
          </w:p>
        </w:tc>
        <w:tc>
          <w:tcPr>
            <w:tcW w:w="0" w:type="dxa"/>
            <w:vAlign w:val="bottom"/>
          </w:tcPr>
          <w:p w:rsidR="00AC12B4" w:rsidRDefault="00AC12B4">
            <w:pPr>
              <w:rPr>
                <w:sz w:val="1"/>
                <w:szCs w:val="1"/>
              </w:rPr>
            </w:pPr>
          </w:p>
        </w:tc>
      </w:tr>
      <w:tr w:rsidR="00AC12B4">
        <w:trPr>
          <w:trHeight w:val="269"/>
        </w:trPr>
        <w:tc>
          <w:tcPr>
            <w:tcW w:w="13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4600" w:type="dxa"/>
            <w:gridSpan w:val="17"/>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le Comité des droits de l'enfant a appelé la</w:t>
            </w:r>
          </w:p>
        </w:tc>
        <w:tc>
          <w:tcPr>
            <w:tcW w:w="1120" w:type="dxa"/>
            <w:gridSpan w:val="4"/>
            <w:vAlign w:val="bottom"/>
          </w:tcPr>
          <w:p w:rsidR="00AC12B4" w:rsidRDefault="00C27636">
            <w:pPr>
              <w:rPr>
                <w:sz w:val="20"/>
                <w:szCs w:val="20"/>
              </w:rPr>
            </w:pPr>
            <w:r>
              <w:rPr>
                <w:rFonts w:ascii="Calibri" w:eastAsia="Calibri" w:hAnsi="Calibri" w:cs="Calibri"/>
              </w:rPr>
              <w:t>grossesses</w:t>
            </w:r>
          </w:p>
        </w:tc>
        <w:tc>
          <w:tcPr>
            <w:tcW w:w="540" w:type="dxa"/>
            <w:vAlign w:val="bottom"/>
          </w:tcPr>
          <w:p w:rsidR="00AC12B4" w:rsidRDefault="00C27636">
            <w:pPr>
              <w:rPr>
                <w:sz w:val="20"/>
                <w:szCs w:val="20"/>
              </w:rPr>
            </w:pPr>
            <w:r>
              <w:rPr>
                <w:rFonts w:ascii="Calibri" w:eastAsia="Calibri" w:hAnsi="Calibri" w:cs="Calibri"/>
              </w:rPr>
              <w:t>sont</w:t>
            </w:r>
          </w:p>
        </w:tc>
        <w:tc>
          <w:tcPr>
            <w:tcW w:w="500" w:type="dxa"/>
            <w:gridSpan w:val="2"/>
            <w:vAlign w:val="bottom"/>
          </w:tcPr>
          <w:p w:rsidR="00AC12B4" w:rsidRDefault="00C27636">
            <w:pPr>
              <w:ind w:left="60"/>
              <w:rPr>
                <w:sz w:val="20"/>
                <w:szCs w:val="20"/>
              </w:rPr>
            </w:pPr>
            <w:r>
              <w:rPr>
                <w:rFonts w:ascii="Calibri" w:eastAsia="Calibri" w:hAnsi="Calibri" w:cs="Calibri"/>
                <w:w w:val="95"/>
              </w:rPr>
              <w:t>donc</w:t>
            </w:r>
          </w:p>
        </w:tc>
        <w:tc>
          <w:tcPr>
            <w:tcW w:w="180" w:type="dxa"/>
            <w:vAlign w:val="bottom"/>
          </w:tcPr>
          <w:p w:rsidR="00AC12B4" w:rsidRDefault="00AC12B4">
            <w:pPr>
              <w:rPr>
                <w:sz w:val="23"/>
                <w:szCs w:val="23"/>
              </w:rPr>
            </w:pPr>
          </w:p>
        </w:tc>
        <w:tc>
          <w:tcPr>
            <w:tcW w:w="1260" w:type="dxa"/>
            <w:gridSpan w:val="4"/>
            <w:vAlign w:val="bottom"/>
          </w:tcPr>
          <w:p w:rsidR="00AC12B4" w:rsidRDefault="00C27636">
            <w:pPr>
              <w:rPr>
                <w:sz w:val="20"/>
                <w:szCs w:val="20"/>
              </w:rPr>
            </w:pPr>
            <w:r>
              <w:rPr>
                <w:rFonts w:ascii="Calibri" w:eastAsia="Calibri" w:hAnsi="Calibri" w:cs="Calibri"/>
              </w:rPr>
              <w:t>considérées</w:t>
            </w:r>
          </w:p>
        </w:tc>
        <w:tc>
          <w:tcPr>
            <w:tcW w:w="280" w:type="dxa"/>
            <w:vAlign w:val="bottom"/>
          </w:tcPr>
          <w:p w:rsidR="00AC12B4" w:rsidRDefault="00C27636">
            <w:pPr>
              <w:jc w:val="right"/>
              <w:rPr>
                <w:sz w:val="20"/>
                <w:szCs w:val="20"/>
              </w:rPr>
            </w:pPr>
            <w:r>
              <w:rPr>
                <w:rFonts w:ascii="Calibri" w:eastAsia="Calibri" w:hAnsi="Calibri" w:cs="Calibri"/>
                <w:w w:val="96"/>
              </w:rPr>
              <w:t>« à</w:t>
            </w:r>
          </w:p>
        </w:tc>
        <w:tc>
          <w:tcPr>
            <w:tcW w:w="0" w:type="dxa"/>
            <w:vAlign w:val="bottom"/>
          </w:tcPr>
          <w:p w:rsidR="00AC12B4" w:rsidRDefault="00AC12B4">
            <w:pPr>
              <w:rPr>
                <w:sz w:val="1"/>
                <w:szCs w:val="1"/>
              </w:rPr>
            </w:pPr>
          </w:p>
        </w:tc>
      </w:tr>
      <w:tr w:rsidR="00AC12B4" w:rsidRPr="00C27636">
        <w:trPr>
          <w:trHeight w:val="269"/>
        </w:trPr>
        <w:tc>
          <w:tcPr>
            <w:tcW w:w="13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4600" w:type="dxa"/>
            <w:gridSpan w:val="17"/>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Belgique à prendre d'urgence des mesures</w:t>
            </w:r>
          </w:p>
        </w:tc>
        <w:tc>
          <w:tcPr>
            <w:tcW w:w="920" w:type="dxa"/>
            <w:gridSpan w:val="3"/>
            <w:vAlign w:val="bottom"/>
          </w:tcPr>
          <w:p w:rsidR="00AC12B4" w:rsidRDefault="00C27636">
            <w:pPr>
              <w:rPr>
                <w:sz w:val="20"/>
                <w:szCs w:val="20"/>
              </w:rPr>
            </w:pPr>
            <w:r>
              <w:rPr>
                <w:rFonts w:ascii="Calibri" w:eastAsia="Calibri" w:hAnsi="Calibri" w:cs="Calibri"/>
              </w:rPr>
              <w:t>risque ».</w:t>
            </w:r>
          </w:p>
        </w:tc>
        <w:tc>
          <w:tcPr>
            <w:tcW w:w="2960" w:type="dxa"/>
            <w:gridSpan w:val="10"/>
            <w:vAlign w:val="bottom"/>
          </w:tcPr>
          <w:p w:rsidR="00AC12B4" w:rsidRPr="00C27636" w:rsidRDefault="00C27636">
            <w:pPr>
              <w:jc w:val="right"/>
              <w:rPr>
                <w:sz w:val="20"/>
                <w:szCs w:val="20"/>
                <w:lang w:val="fr-BE"/>
              </w:rPr>
            </w:pPr>
            <w:r w:rsidRPr="00C27636">
              <w:rPr>
                <w:rFonts w:ascii="Calibri" w:eastAsia="Calibri" w:hAnsi="Calibri" w:cs="Calibri"/>
                <w:lang w:val="fr-BE"/>
              </w:rPr>
              <w:t>Le graphique ci-dessous montre</w:t>
            </w:r>
          </w:p>
        </w:tc>
        <w:tc>
          <w:tcPr>
            <w:tcW w:w="0" w:type="dxa"/>
            <w:vAlign w:val="bottom"/>
          </w:tcPr>
          <w:p w:rsidR="00AC12B4" w:rsidRPr="00C27636" w:rsidRDefault="00AC12B4">
            <w:pPr>
              <w:rPr>
                <w:sz w:val="1"/>
                <w:szCs w:val="1"/>
                <w:lang w:val="fr-BE"/>
              </w:rPr>
            </w:pPr>
          </w:p>
        </w:tc>
      </w:tr>
      <w:tr w:rsidR="00AC12B4" w:rsidRPr="00C27636">
        <w:trPr>
          <w:trHeight w:val="269"/>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Align w:val="bottom"/>
          </w:tcPr>
          <w:p w:rsidR="00AC12B4" w:rsidRPr="00C27636" w:rsidRDefault="00C27636">
            <w:pPr>
              <w:spacing w:line="263" w:lineRule="exact"/>
              <w:rPr>
                <w:sz w:val="20"/>
                <w:szCs w:val="20"/>
                <w:lang w:val="fr-BE"/>
              </w:rPr>
            </w:pPr>
            <w:r w:rsidRPr="00C27636">
              <w:rPr>
                <w:rFonts w:ascii="Calibri" w:eastAsia="Calibri" w:hAnsi="Calibri" w:cs="Calibri"/>
                <w:lang w:val="fr-BE"/>
              </w:rPr>
              <w:t xml:space="preserve">ciblées pour suivre l'état de </w:t>
            </w:r>
            <w:r w:rsidRPr="00C27636">
              <w:rPr>
                <w:rFonts w:ascii="Calibri" w:eastAsia="Calibri" w:hAnsi="Calibri" w:cs="Calibri"/>
                <w:lang w:val="fr-BE"/>
              </w:rPr>
              <w:t>santé des</w:t>
            </w: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pour 2010 le % de grossesses à risque dans</w:t>
            </w:r>
          </w:p>
        </w:tc>
        <w:tc>
          <w:tcPr>
            <w:tcW w:w="0" w:type="dxa"/>
            <w:vAlign w:val="bottom"/>
          </w:tcPr>
          <w:p w:rsidR="00AC12B4" w:rsidRPr="00C27636" w:rsidRDefault="00AC12B4">
            <w:pPr>
              <w:rPr>
                <w:sz w:val="1"/>
                <w:szCs w:val="1"/>
                <w:lang w:val="fr-BE"/>
              </w:rPr>
            </w:pPr>
          </w:p>
        </w:tc>
      </w:tr>
      <w:tr w:rsidR="00AC12B4" w:rsidRPr="00C27636">
        <w:trPr>
          <w:trHeight w:val="269"/>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Align w:val="bottom"/>
          </w:tcPr>
          <w:p w:rsidR="00AC12B4" w:rsidRPr="00C27636" w:rsidRDefault="00C27636">
            <w:pPr>
              <w:spacing w:line="263" w:lineRule="exact"/>
              <w:rPr>
                <w:sz w:val="20"/>
                <w:szCs w:val="20"/>
                <w:lang w:val="fr-BE"/>
              </w:rPr>
            </w:pPr>
            <w:r w:rsidRPr="00C27636">
              <w:rPr>
                <w:rFonts w:ascii="Calibri" w:eastAsia="Calibri" w:hAnsi="Calibri" w:cs="Calibri"/>
                <w:lang w:val="fr-BE"/>
              </w:rPr>
              <w:t>enfants  issus  des  familles  les  plus</w:t>
            </w: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les  différentes  régions.  Notons  que  la</w:t>
            </w:r>
          </w:p>
        </w:tc>
        <w:tc>
          <w:tcPr>
            <w:tcW w:w="0" w:type="dxa"/>
            <w:vAlign w:val="bottom"/>
          </w:tcPr>
          <w:p w:rsidR="00AC12B4" w:rsidRPr="00C27636" w:rsidRDefault="00AC12B4">
            <w:pPr>
              <w:rPr>
                <w:sz w:val="1"/>
                <w:szCs w:val="1"/>
                <w:lang w:val="fr-BE"/>
              </w:rPr>
            </w:pPr>
          </w:p>
        </w:tc>
      </w:tr>
      <w:tr w:rsidR="00AC12B4" w:rsidRPr="00C27636">
        <w:trPr>
          <w:trHeight w:val="269"/>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Align w:val="bottom"/>
          </w:tcPr>
          <w:p w:rsidR="00AC12B4" w:rsidRPr="00C27636" w:rsidRDefault="00C27636">
            <w:pPr>
              <w:spacing w:line="263" w:lineRule="exact"/>
              <w:rPr>
                <w:sz w:val="20"/>
                <w:szCs w:val="20"/>
                <w:lang w:val="fr-BE"/>
              </w:rPr>
            </w:pPr>
            <w:r w:rsidRPr="00C27636">
              <w:rPr>
                <w:rFonts w:ascii="Calibri" w:eastAsia="Calibri" w:hAnsi="Calibri" w:cs="Calibri"/>
                <w:lang w:val="fr-BE"/>
              </w:rPr>
              <w:t>vulnérables pendant leur première année.</w:t>
            </w: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différence principale est sur le % de statut</w:t>
            </w:r>
          </w:p>
        </w:tc>
        <w:tc>
          <w:tcPr>
            <w:tcW w:w="0" w:type="dxa"/>
            <w:vAlign w:val="bottom"/>
          </w:tcPr>
          <w:p w:rsidR="00AC12B4" w:rsidRPr="00C27636" w:rsidRDefault="00AC12B4">
            <w:pPr>
              <w:rPr>
                <w:sz w:val="1"/>
                <w:szCs w:val="1"/>
                <w:lang w:val="fr-BE"/>
              </w:rPr>
            </w:pPr>
          </w:p>
        </w:tc>
      </w:tr>
      <w:tr w:rsidR="00AC12B4">
        <w:trPr>
          <w:trHeight w:val="269"/>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Merge w:val="restart"/>
            <w:vAlign w:val="bottom"/>
          </w:tcPr>
          <w:p w:rsidR="00AC12B4" w:rsidRPr="00C27636" w:rsidRDefault="00C27636">
            <w:pPr>
              <w:rPr>
                <w:sz w:val="20"/>
                <w:szCs w:val="20"/>
                <w:lang w:val="fr-BE"/>
              </w:rPr>
            </w:pPr>
            <w:r w:rsidRPr="00C27636">
              <w:rPr>
                <w:rFonts w:ascii="Calibri" w:eastAsia="Calibri" w:hAnsi="Calibri" w:cs="Calibri"/>
                <w:lang w:val="fr-BE"/>
              </w:rPr>
              <w:t xml:space="preserve">L’indicateur retenu </w:t>
            </w:r>
            <w:r w:rsidRPr="00C27636">
              <w:rPr>
                <w:rFonts w:ascii="Calibri" w:eastAsia="Calibri" w:hAnsi="Calibri" w:cs="Calibri"/>
                <w:lang w:val="fr-BE"/>
              </w:rPr>
              <w:t>mesure le pourcentage</w:t>
            </w:r>
          </w:p>
        </w:tc>
        <w:tc>
          <w:tcPr>
            <w:tcW w:w="1120" w:type="dxa"/>
            <w:gridSpan w:val="4"/>
            <w:vAlign w:val="bottom"/>
          </w:tcPr>
          <w:p w:rsidR="00AC12B4" w:rsidRDefault="00C27636">
            <w:pPr>
              <w:rPr>
                <w:sz w:val="20"/>
                <w:szCs w:val="20"/>
              </w:rPr>
            </w:pPr>
            <w:r>
              <w:rPr>
                <w:rFonts w:ascii="Calibri" w:eastAsia="Calibri" w:hAnsi="Calibri" w:cs="Calibri"/>
              </w:rPr>
              <w:t>BIM (28.3%</w:t>
            </w:r>
          </w:p>
        </w:tc>
        <w:tc>
          <w:tcPr>
            <w:tcW w:w="1220" w:type="dxa"/>
            <w:gridSpan w:val="4"/>
            <w:vAlign w:val="bottom"/>
          </w:tcPr>
          <w:p w:rsidR="00AC12B4" w:rsidRDefault="00C27636">
            <w:pPr>
              <w:ind w:left="100"/>
              <w:rPr>
                <w:sz w:val="20"/>
                <w:szCs w:val="20"/>
              </w:rPr>
            </w:pPr>
            <w:r>
              <w:rPr>
                <w:rFonts w:ascii="Calibri" w:eastAsia="Calibri" w:hAnsi="Calibri" w:cs="Calibri"/>
              </w:rPr>
              <w:t>à Bruxelles</w:t>
            </w:r>
          </w:p>
        </w:tc>
        <w:tc>
          <w:tcPr>
            <w:tcW w:w="720" w:type="dxa"/>
            <w:gridSpan w:val="3"/>
            <w:vAlign w:val="bottom"/>
          </w:tcPr>
          <w:p w:rsidR="00AC12B4" w:rsidRDefault="00C27636">
            <w:pPr>
              <w:ind w:right="60"/>
              <w:jc w:val="center"/>
              <w:rPr>
                <w:sz w:val="20"/>
                <w:szCs w:val="20"/>
              </w:rPr>
            </w:pPr>
            <w:r>
              <w:rPr>
                <w:rFonts w:ascii="Calibri" w:eastAsia="Calibri" w:hAnsi="Calibri" w:cs="Calibri"/>
                <w:w w:val="99"/>
              </w:rPr>
              <w:t>contre</w:t>
            </w:r>
          </w:p>
        </w:tc>
        <w:tc>
          <w:tcPr>
            <w:tcW w:w="540" w:type="dxa"/>
            <w:vAlign w:val="bottom"/>
          </w:tcPr>
          <w:p w:rsidR="00AC12B4" w:rsidRDefault="00C27636">
            <w:pPr>
              <w:jc w:val="right"/>
              <w:rPr>
                <w:sz w:val="20"/>
                <w:szCs w:val="20"/>
              </w:rPr>
            </w:pPr>
            <w:r>
              <w:rPr>
                <w:rFonts w:ascii="Calibri" w:eastAsia="Calibri" w:hAnsi="Calibri" w:cs="Calibri"/>
              </w:rPr>
              <w:t>8.6%</w:t>
            </w:r>
          </w:p>
        </w:tc>
        <w:tc>
          <w:tcPr>
            <w:tcW w:w="280" w:type="dxa"/>
            <w:vAlign w:val="bottom"/>
          </w:tcPr>
          <w:p w:rsidR="00AC12B4" w:rsidRDefault="00C27636">
            <w:pPr>
              <w:jc w:val="right"/>
              <w:rPr>
                <w:sz w:val="20"/>
                <w:szCs w:val="20"/>
              </w:rPr>
            </w:pPr>
            <w:r>
              <w:rPr>
                <w:rFonts w:ascii="Calibri" w:eastAsia="Calibri" w:hAnsi="Calibri" w:cs="Calibri"/>
              </w:rPr>
              <w:t>en</w:t>
            </w:r>
          </w:p>
        </w:tc>
        <w:tc>
          <w:tcPr>
            <w:tcW w:w="0" w:type="dxa"/>
            <w:vAlign w:val="bottom"/>
          </w:tcPr>
          <w:p w:rsidR="00AC12B4" w:rsidRDefault="00AC12B4">
            <w:pPr>
              <w:rPr>
                <w:sz w:val="1"/>
                <w:szCs w:val="1"/>
              </w:rPr>
            </w:pPr>
          </w:p>
        </w:tc>
      </w:tr>
      <w:tr w:rsidR="00AC12B4">
        <w:trPr>
          <w:trHeight w:val="115"/>
        </w:trPr>
        <w:tc>
          <w:tcPr>
            <w:tcW w:w="13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4600" w:type="dxa"/>
            <w:gridSpan w:val="17"/>
            <w:vMerge/>
            <w:vAlign w:val="bottom"/>
          </w:tcPr>
          <w:p w:rsidR="00AC12B4" w:rsidRDefault="00AC12B4">
            <w:pPr>
              <w:rPr>
                <w:sz w:val="10"/>
                <w:szCs w:val="10"/>
              </w:rPr>
            </w:pPr>
          </w:p>
        </w:tc>
        <w:tc>
          <w:tcPr>
            <w:tcW w:w="920" w:type="dxa"/>
            <w:gridSpan w:val="3"/>
            <w:vMerge w:val="restart"/>
            <w:vAlign w:val="bottom"/>
          </w:tcPr>
          <w:p w:rsidR="00AC12B4" w:rsidRDefault="00C27636">
            <w:pPr>
              <w:spacing w:line="267" w:lineRule="exact"/>
              <w:rPr>
                <w:sz w:val="20"/>
                <w:szCs w:val="20"/>
              </w:rPr>
            </w:pPr>
            <w:r>
              <w:rPr>
                <w:rFonts w:ascii="Calibri" w:eastAsia="Calibri" w:hAnsi="Calibri" w:cs="Calibri"/>
              </w:rPr>
              <w:t>Flandre</w:t>
            </w:r>
            <w:r>
              <w:rPr>
                <w:rFonts w:ascii="Calibri" w:eastAsia="Calibri" w:hAnsi="Calibri" w:cs="Calibri"/>
              </w:rPr>
              <w:lastRenderedPageBreak/>
              <w:t>.)</w:t>
            </w:r>
          </w:p>
        </w:tc>
        <w:tc>
          <w:tcPr>
            <w:tcW w:w="20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28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28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151"/>
        </w:trPr>
        <w:tc>
          <w:tcPr>
            <w:tcW w:w="13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4600" w:type="dxa"/>
            <w:gridSpan w:val="17"/>
            <w:vMerge w:val="restart"/>
            <w:vAlign w:val="bottom"/>
          </w:tcPr>
          <w:p w:rsidR="00AC12B4" w:rsidRPr="00C27636" w:rsidRDefault="00C27636">
            <w:pPr>
              <w:rPr>
                <w:sz w:val="20"/>
                <w:szCs w:val="20"/>
                <w:lang w:val="fr-BE"/>
              </w:rPr>
            </w:pPr>
            <w:r w:rsidRPr="00C27636">
              <w:rPr>
                <w:rFonts w:ascii="Calibri" w:eastAsia="Calibri" w:hAnsi="Calibri" w:cs="Calibri"/>
                <w:lang w:val="fr-BE"/>
              </w:rPr>
              <w:t xml:space="preserve">de femmes ayant eu un suivi </w:t>
            </w:r>
            <w:r w:rsidRPr="00C27636">
              <w:rPr>
                <w:rFonts w:ascii="Calibri" w:eastAsia="Calibri" w:hAnsi="Calibri" w:cs="Calibri"/>
                <w:lang w:val="fr-BE"/>
              </w:rPr>
              <w:lastRenderedPageBreak/>
              <w:t>prénatal</w:t>
            </w:r>
          </w:p>
        </w:tc>
        <w:tc>
          <w:tcPr>
            <w:tcW w:w="920" w:type="dxa"/>
            <w:gridSpan w:val="3"/>
            <w:vMerge/>
            <w:vAlign w:val="bottom"/>
          </w:tcPr>
          <w:p w:rsidR="00AC12B4" w:rsidRPr="00C27636" w:rsidRDefault="00AC12B4">
            <w:pPr>
              <w:rPr>
                <w:sz w:val="13"/>
                <w:szCs w:val="13"/>
                <w:lang w:val="fr-BE"/>
              </w:rPr>
            </w:pPr>
          </w:p>
        </w:tc>
        <w:tc>
          <w:tcPr>
            <w:tcW w:w="200" w:type="dxa"/>
            <w:vAlign w:val="bottom"/>
          </w:tcPr>
          <w:p w:rsidR="00AC12B4" w:rsidRPr="00C27636" w:rsidRDefault="00AC12B4">
            <w:pPr>
              <w:rPr>
                <w:sz w:val="13"/>
                <w:szCs w:val="13"/>
                <w:lang w:val="fr-BE"/>
              </w:rPr>
            </w:pPr>
          </w:p>
        </w:tc>
        <w:tc>
          <w:tcPr>
            <w:tcW w:w="540" w:type="dxa"/>
            <w:vAlign w:val="bottom"/>
          </w:tcPr>
          <w:p w:rsidR="00AC12B4" w:rsidRPr="00C27636" w:rsidRDefault="00AC12B4">
            <w:pPr>
              <w:rPr>
                <w:sz w:val="13"/>
                <w:szCs w:val="13"/>
                <w:lang w:val="fr-BE"/>
              </w:rPr>
            </w:pPr>
          </w:p>
        </w:tc>
        <w:tc>
          <w:tcPr>
            <w:tcW w:w="100" w:type="dxa"/>
            <w:vAlign w:val="bottom"/>
          </w:tcPr>
          <w:p w:rsidR="00AC12B4" w:rsidRPr="00C27636" w:rsidRDefault="00AC12B4">
            <w:pPr>
              <w:rPr>
                <w:sz w:val="13"/>
                <w:szCs w:val="13"/>
                <w:lang w:val="fr-BE"/>
              </w:rPr>
            </w:pPr>
          </w:p>
        </w:tc>
        <w:tc>
          <w:tcPr>
            <w:tcW w:w="400" w:type="dxa"/>
            <w:vAlign w:val="bottom"/>
          </w:tcPr>
          <w:p w:rsidR="00AC12B4" w:rsidRPr="00C27636" w:rsidRDefault="00AC12B4">
            <w:pPr>
              <w:rPr>
                <w:sz w:val="13"/>
                <w:szCs w:val="13"/>
                <w:lang w:val="fr-BE"/>
              </w:rPr>
            </w:pPr>
          </w:p>
        </w:tc>
        <w:tc>
          <w:tcPr>
            <w:tcW w:w="180" w:type="dxa"/>
            <w:vAlign w:val="bottom"/>
          </w:tcPr>
          <w:p w:rsidR="00AC12B4" w:rsidRPr="00C27636" w:rsidRDefault="00AC12B4">
            <w:pPr>
              <w:rPr>
                <w:sz w:val="13"/>
                <w:szCs w:val="13"/>
                <w:lang w:val="fr-BE"/>
              </w:rPr>
            </w:pPr>
          </w:p>
        </w:tc>
        <w:tc>
          <w:tcPr>
            <w:tcW w:w="280" w:type="dxa"/>
            <w:vAlign w:val="bottom"/>
          </w:tcPr>
          <w:p w:rsidR="00AC12B4" w:rsidRPr="00C27636" w:rsidRDefault="00AC12B4">
            <w:pPr>
              <w:rPr>
                <w:sz w:val="13"/>
                <w:szCs w:val="13"/>
                <w:lang w:val="fr-BE"/>
              </w:rPr>
            </w:pPr>
          </w:p>
        </w:tc>
        <w:tc>
          <w:tcPr>
            <w:tcW w:w="260" w:type="dxa"/>
            <w:vAlign w:val="bottom"/>
          </w:tcPr>
          <w:p w:rsidR="00AC12B4" w:rsidRPr="00C27636" w:rsidRDefault="00AC12B4">
            <w:pPr>
              <w:rPr>
                <w:sz w:val="13"/>
                <w:szCs w:val="13"/>
                <w:lang w:val="fr-BE"/>
              </w:rPr>
            </w:pPr>
          </w:p>
        </w:tc>
        <w:tc>
          <w:tcPr>
            <w:tcW w:w="180" w:type="dxa"/>
            <w:vAlign w:val="bottom"/>
          </w:tcPr>
          <w:p w:rsidR="00AC12B4" w:rsidRPr="00C27636" w:rsidRDefault="00AC12B4">
            <w:pPr>
              <w:rPr>
                <w:sz w:val="13"/>
                <w:szCs w:val="13"/>
                <w:lang w:val="fr-BE"/>
              </w:rPr>
            </w:pPr>
          </w:p>
        </w:tc>
        <w:tc>
          <w:tcPr>
            <w:tcW w:w="540" w:type="dxa"/>
            <w:vAlign w:val="bottom"/>
          </w:tcPr>
          <w:p w:rsidR="00AC12B4" w:rsidRPr="00C27636" w:rsidRDefault="00AC12B4">
            <w:pPr>
              <w:rPr>
                <w:sz w:val="13"/>
                <w:szCs w:val="13"/>
                <w:lang w:val="fr-BE"/>
              </w:rPr>
            </w:pPr>
          </w:p>
        </w:tc>
        <w:tc>
          <w:tcPr>
            <w:tcW w:w="28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118"/>
        </w:trPr>
        <w:tc>
          <w:tcPr>
            <w:tcW w:w="1320" w:type="dxa"/>
            <w:vAlign w:val="bottom"/>
          </w:tcPr>
          <w:p w:rsidR="00AC12B4" w:rsidRPr="00C27636" w:rsidRDefault="00AC12B4">
            <w:pPr>
              <w:rPr>
                <w:sz w:val="10"/>
                <w:szCs w:val="10"/>
                <w:lang w:val="fr-BE"/>
              </w:rPr>
            </w:pPr>
          </w:p>
        </w:tc>
        <w:tc>
          <w:tcPr>
            <w:tcW w:w="140" w:type="dxa"/>
            <w:vAlign w:val="bottom"/>
          </w:tcPr>
          <w:p w:rsidR="00AC12B4" w:rsidRPr="00C27636" w:rsidRDefault="00AC12B4">
            <w:pPr>
              <w:rPr>
                <w:sz w:val="10"/>
                <w:szCs w:val="10"/>
                <w:lang w:val="fr-BE"/>
              </w:rPr>
            </w:pPr>
          </w:p>
        </w:tc>
        <w:tc>
          <w:tcPr>
            <w:tcW w:w="4600" w:type="dxa"/>
            <w:gridSpan w:val="17"/>
            <w:vMerge/>
            <w:vAlign w:val="bottom"/>
          </w:tcPr>
          <w:p w:rsidR="00AC12B4" w:rsidRPr="00C27636" w:rsidRDefault="00AC12B4">
            <w:pPr>
              <w:rPr>
                <w:sz w:val="10"/>
                <w:szCs w:val="10"/>
                <w:lang w:val="fr-BE"/>
              </w:rPr>
            </w:pPr>
          </w:p>
        </w:tc>
        <w:tc>
          <w:tcPr>
            <w:tcW w:w="440" w:type="dxa"/>
            <w:vAlign w:val="bottom"/>
          </w:tcPr>
          <w:p w:rsidR="00AC12B4" w:rsidRPr="00C27636" w:rsidRDefault="00AC12B4">
            <w:pPr>
              <w:rPr>
                <w:sz w:val="10"/>
                <w:szCs w:val="10"/>
                <w:lang w:val="fr-BE"/>
              </w:rPr>
            </w:pPr>
          </w:p>
        </w:tc>
        <w:tc>
          <w:tcPr>
            <w:tcW w:w="240" w:type="dxa"/>
            <w:vAlign w:val="bottom"/>
          </w:tcPr>
          <w:p w:rsidR="00AC12B4" w:rsidRPr="00C27636" w:rsidRDefault="00AC12B4">
            <w:pPr>
              <w:rPr>
                <w:sz w:val="10"/>
                <w:szCs w:val="10"/>
                <w:lang w:val="fr-BE"/>
              </w:rPr>
            </w:pPr>
          </w:p>
        </w:tc>
        <w:tc>
          <w:tcPr>
            <w:tcW w:w="240" w:type="dxa"/>
            <w:vAlign w:val="bottom"/>
          </w:tcPr>
          <w:p w:rsidR="00AC12B4" w:rsidRPr="00C27636" w:rsidRDefault="00AC12B4">
            <w:pPr>
              <w:rPr>
                <w:sz w:val="10"/>
                <w:szCs w:val="10"/>
                <w:lang w:val="fr-BE"/>
              </w:rPr>
            </w:pPr>
          </w:p>
        </w:tc>
        <w:tc>
          <w:tcPr>
            <w:tcW w:w="200" w:type="dxa"/>
            <w:vAlign w:val="bottom"/>
          </w:tcPr>
          <w:p w:rsidR="00AC12B4" w:rsidRPr="00C27636" w:rsidRDefault="00AC12B4">
            <w:pPr>
              <w:rPr>
                <w:sz w:val="10"/>
                <w:szCs w:val="10"/>
                <w:lang w:val="fr-BE"/>
              </w:rPr>
            </w:pPr>
          </w:p>
        </w:tc>
        <w:tc>
          <w:tcPr>
            <w:tcW w:w="540" w:type="dxa"/>
            <w:vAlign w:val="bottom"/>
          </w:tcPr>
          <w:p w:rsidR="00AC12B4" w:rsidRPr="00C27636" w:rsidRDefault="00AC12B4">
            <w:pPr>
              <w:rPr>
                <w:sz w:val="10"/>
                <w:szCs w:val="10"/>
                <w:lang w:val="fr-BE"/>
              </w:rPr>
            </w:pPr>
          </w:p>
        </w:tc>
        <w:tc>
          <w:tcPr>
            <w:tcW w:w="100" w:type="dxa"/>
            <w:vAlign w:val="bottom"/>
          </w:tcPr>
          <w:p w:rsidR="00AC12B4" w:rsidRPr="00C27636" w:rsidRDefault="00AC12B4">
            <w:pPr>
              <w:rPr>
                <w:sz w:val="10"/>
                <w:szCs w:val="10"/>
                <w:lang w:val="fr-BE"/>
              </w:rPr>
            </w:pPr>
          </w:p>
        </w:tc>
        <w:tc>
          <w:tcPr>
            <w:tcW w:w="400" w:type="dxa"/>
            <w:vAlign w:val="bottom"/>
          </w:tcPr>
          <w:p w:rsidR="00AC12B4" w:rsidRPr="00C27636" w:rsidRDefault="00AC12B4">
            <w:pPr>
              <w:rPr>
                <w:sz w:val="10"/>
                <w:szCs w:val="10"/>
                <w:lang w:val="fr-BE"/>
              </w:rPr>
            </w:pPr>
          </w:p>
        </w:tc>
        <w:tc>
          <w:tcPr>
            <w:tcW w:w="180" w:type="dxa"/>
            <w:vAlign w:val="bottom"/>
          </w:tcPr>
          <w:p w:rsidR="00AC12B4" w:rsidRPr="00C27636" w:rsidRDefault="00AC12B4">
            <w:pPr>
              <w:rPr>
                <w:sz w:val="10"/>
                <w:szCs w:val="10"/>
                <w:lang w:val="fr-BE"/>
              </w:rPr>
            </w:pPr>
          </w:p>
        </w:tc>
        <w:tc>
          <w:tcPr>
            <w:tcW w:w="280" w:type="dxa"/>
            <w:vAlign w:val="bottom"/>
          </w:tcPr>
          <w:p w:rsidR="00AC12B4" w:rsidRPr="00C27636" w:rsidRDefault="00AC12B4">
            <w:pPr>
              <w:rPr>
                <w:sz w:val="10"/>
                <w:szCs w:val="10"/>
                <w:lang w:val="fr-BE"/>
              </w:rPr>
            </w:pPr>
          </w:p>
        </w:tc>
        <w:tc>
          <w:tcPr>
            <w:tcW w:w="260" w:type="dxa"/>
            <w:vAlign w:val="bottom"/>
          </w:tcPr>
          <w:p w:rsidR="00AC12B4" w:rsidRPr="00C27636" w:rsidRDefault="00AC12B4">
            <w:pPr>
              <w:rPr>
                <w:sz w:val="10"/>
                <w:szCs w:val="10"/>
                <w:lang w:val="fr-BE"/>
              </w:rPr>
            </w:pPr>
          </w:p>
        </w:tc>
        <w:tc>
          <w:tcPr>
            <w:tcW w:w="180" w:type="dxa"/>
            <w:vAlign w:val="bottom"/>
          </w:tcPr>
          <w:p w:rsidR="00AC12B4" w:rsidRPr="00C27636" w:rsidRDefault="00AC12B4">
            <w:pPr>
              <w:rPr>
                <w:sz w:val="10"/>
                <w:szCs w:val="10"/>
                <w:lang w:val="fr-BE"/>
              </w:rPr>
            </w:pPr>
          </w:p>
        </w:tc>
        <w:tc>
          <w:tcPr>
            <w:tcW w:w="540" w:type="dxa"/>
            <w:vAlign w:val="bottom"/>
          </w:tcPr>
          <w:p w:rsidR="00AC12B4" w:rsidRPr="00C27636" w:rsidRDefault="00AC12B4">
            <w:pPr>
              <w:rPr>
                <w:sz w:val="10"/>
                <w:szCs w:val="10"/>
                <w:lang w:val="fr-BE"/>
              </w:rPr>
            </w:pPr>
          </w:p>
        </w:tc>
        <w:tc>
          <w:tcPr>
            <w:tcW w:w="280" w:type="dxa"/>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rsidRPr="00C27636">
        <w:trPr>
          <w:trHeight w:val="272"/>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Align w:val="bottom"/>
          </w:tcPr>
          <w:p w:rsidR="00AC12B4" w:rsidRPr="00C27636" w:rsidRDefault="00C27636">
            <w:pPr>
              <w:rPr>
                <w:sz w:val="20"/>
                <w:szCs w:val="20"/>
                <w:lang w:val="fr-BE"/>
              </w:rPr>
            </w:pPr>
            <w:r w:rsidRPr="00C27636">
              <w:rPr>
                <w:rFonts w:ascii="Calibri" w:eastAsia="Calibri" w:hAnsi="Calibri" w:cs="Calibri"/>
                <w:lang w:val="fr-BE"/>
              </w:rPr>
              <w:t>complet selon les recommandations du</w:t>
            </w: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99.1% des femmes ayant accouché ont eu</w:t>
            </w:r>
          </w:p>
        </w:tc>
        <w:tc>
          <w:tcPr>
            <w:tcW w:w="0" w:type="dxa"/>
            <w:vAlign w:val="bottom"/>
          </w:tcPr>
          <w:p w:rsidR="00AC12B4" w:rsidRPr="00C27636" w:rsidRDefault="00AC12B4">
            <w:pPr>
              <w:rPr>
                <w:sz w:val="1"/>
                <w:szCs w:val="1"/>
                <w:lang w:val="fr-BE"/>
              </w:rPr>
            </w:pPr>
          </w:p>
        </w:tc>
      </w:tr>
      <w:tr w:rsidR="00AC12B4" w:rsidRPr="00C27636">
        <w:trPr>
          <w:trHeight w:val="302"/>
        </w:trPr>
        <w:tc>
          <w:tcPr>
            <w:tcW w:w="132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460" w:type="dxa"/>
            <w:gridSpan w:val="9"/>
            <w:vAlign w:val="bottom"/>
          </w:tcPr>
          <w:p w:rsidR="00AC12B4" w:rsidRDefault="00C27636">
            <w:pPr>
              <w:spacing w:line="303" w:lineRule="exact"/>
              <w:rPr>
                <w:sz w:val="20"/>
                <w:szCs w:val="20"/>
              </w:rPr>
            </w:pPr>
            <w:r>
              <w:rPr>
                <w:rFonts w:ascii="Calibri" w:eastAsia="Calibri" w:hAnsi="Calibri" w:cs="Calibri"/>
              </w:rPr>
              <w:t>rapport KCE</w:t>
            </w:r>
            <w:r>
              <w:rPr>
                <w:rFonts w:ascii="Calibri" w:eastAsia="Calibri" w:hAnsi="Calibri" w:cs="Calibri"/>
                <w:sz w:val="27"/>
                <w:szCs w:val="27"/>
                <w:vertAlign w:val="superscript"/>
              </w:rPr>
              <w:t>1</w:t>
            </w:r>
            <w:r>
              <w:rPr>
                <w:rFonts w:ascii="Calibri" w:eastAsia="Calibri" w:hAnsi="Calibri" w:cs="Calibri"/>
              </w:rPr>
              <w:t xml:space="preserve"> (Cf. encadré).</w:t>
            </w:r>
          </w:p>
        </w:tc>
        <w:tc>
          <w:tcPr>
            <w:tcW w:w="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78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au moins un contact avec un gynécologue</w:t>
            </w:r>
          </w:p>
        </w:tc>
        <w:tc>
          <w:tcPr>
            <w:tcW w:w="0" w:type="dxa"/>
            <w:vAlign w:val="bottom"/>
          </w:tcPr>
          <w:p w:rsidR="00AC12B4" w:rsidRPr="00C27636" w:rsidRDefault="00AC12B4">
            <w:pPr>
              <w:rPr>
                <w:sz w:val="1"/>
                <w:szCs w:val="1"/>
                <w:lang w:val="fr-BE"/>
              </w:rPr>
            </w:pPr>
          </w:p>
        </w:tc>
      </w:tr>
      <w:tr w:rsidR="00AC12B4">
        <w:trPr>
          <w:trHeight w:val="235"/>
        </w:trPr>
        <w:tc>
          <w:tcPr>
            <w:tcW w:w="1320" w:type="dxa"/>
            <w:vAlign w:val="bottom"/>
          </w:tcPr>
          <w:p w:rsidR="00AC12B4" w:rsidRPr="00C27636" w:rsidRDefault="00AC12B4">
            <w:pPr>
              <w:rPr>
                <w:sz w:val="20"/>
                <w:szCs w:val="20"/>
                <w:lang w:val="fr-BE"/>
              </w:rPr>
            </w:pPr>
          </w:p>
        </w:tc>
        <w:tc>
          <w:tcPr>
            <w:tcW w:w="140" w:type="dxa"/>
            <w:vAlign w:val="bottom"/>
          </w:tcPr>
          <w:p w:rsidR="00AC12B4" w:rsidRPr="00C27636" w:rsidRDefault="00AC12B4">
            <w:pPr>
              <w:rPr>
                <w:sz w:val="20"/>
                <w:szCs w:val="20"/>
                <w:lang w:val="fr-BE"/>
              </w:rPr>
            </w:pPr>
          </w:p>
        </w:tc>
        <w:tc>
          <w:tcPr>
            <w:tcW w:w="2460" w:type="dxa"/>
            <w:gridSpan w:val="9"/>
            <w:vMerge w:val="restart"/>
            <w:vAlign w:val="bottom"/>
          </w:tcPr>
          <w:p w:rsidR="00AC12B4" w:rsidRDefault="00C27636">
            <w:pPr>
              <w:rPr>
                <w:sz w:val="20"/>
                <w:szCs w:val="20"/>
              </w:rPr>
            </w:pPr>
            <w:r>
              <w:rPr>
                <w:rFonts w:ascii="Calibri" w:eastAsia="Calibri" w:hAnsi="Calibri" w:cs="Calibri"/>
              </w:rPr>
              <w:t>L’agence  InterMutualiste</w:t>
            </w:r>
          </w:p>
        </w:tc>
        <w:tc>
          <w:tcPr>
            <w:tcW w:w="560" w:type="dxa"/>
            <w:gridSpan w:val="5"/>
            <w:vMerge w:val="restart"/>
            <w:vAlign w:val="bottom"/>
          </w:tcPr>
          <w:p w:rsidR="00AC12B4" w:rsidRDefault="00C27636">
            <w:pPr>
              <w:ind w:left="40"/>
              <w:rPr>
                <w:sz w:val="20"/>
                <w:szCs w:val="20"/>
              </w:rPr>
            </w:pPr>
            <w:r>
              <w:rPr>
                <w:rFonts w:ascii="Calibri" w:eastAsia="Calibri" w:hAnsi="Calibri" w:cs="Calibri"/>
                <w:w w:val="99"/>
              </w:rPr>
              <w:t>(AIM)</w:t>
            </w:r>
          </w:p>
        </w:tc>
        <w:tc>
          <w:tcPr>
            <w:tcW w:w="1580" w:type="dxa"/>
            <w:gridSpan w:val="3"/>
            <w:vMerge w:val="restart"/>
            <w:vAlign w:val="bottom"/>
          </w:tcPr>
          <w:p w:rsidR="00AC12B4" w:rsidRDefault="00C27636">
            <w:pPr>
              <w:ind w:right="720"/>
              <w:jc w:val="right"/>
              <w:rPr>
                <w:sz w:val="20"/>
                <w:szCs w:val="20"/>
              </w:rPr>
            </w:pPr>
            <w:r>
              <w:rPr>
                <w:rFonts w:ascii="Calibri" w:eastAsia="Calibri" w:hAnsi="Calibri" w:cs="Calibri"/>
              </w:rPr>
              <w:t>propose</w:t>
            </w:r>
          </w:p>
        </w:tc>
        <w:tc>
          <w:tcPr>
            <w:tcW w:w="920" w:type="dxa"/>
            <w:gridSpan w:val="3"/>
            <w:vAlign w:val="bottom"/>
          </w:tcPr>
          <w:p w:rsidR="00AC12B4" w:rsidRDefault="00C27636">
            <w:pPr>
              <w:spacing w:line="235" w:lineRule="exact"/>
              <w:rPr>
                <w:sz w:val="20"/>
                <w:szCs w:val="20"/>
              </w:rPr>
            </w:pPr>
            <w:r>
              <w:rPr>
                <w:rFonts w:ascii="Calibri" w:eastAsia="Calibri" w:hAnsi="Calibri" w:cs="Calibri"/>
              </w:rPr>
              <w:t>au cours</w:t>
            </w:r>
          </w:p>
        </w:tc>
        <w:tc>
          <w:tcPr>
            <w:tcW w:w="840" w:type="dxa"/>
            <w:gridSpan w:val="3"/>
            <w:vAlign w:val="bottom"/>
          </w:tcPr>
          <w:p w:rsidR="00AC12B4" w:rsidRDefault="00C27636">
            <w:pPr>
              <w:spacing w:line="235" w:lineRule="exact"/>
              <w:ind w:left="60"/>
              <w:rPr>
                <w:sz w:val="20"/>
                <w:szCs w:val="20"/>
              </w:rPr>
            </w:pPr>
            <w:r>
              <w:rPr>
                <w:rFonts w:ascii="Calibri" w:eastAsia="Calibri" w:hAnsi="Calibri" w:cs="Calibri"/>
              </w:rPr>
              <w:t>des 280</w:t>
            </w:r>
          </w:p>
        </w:tc>
        <w:tc>
          <w:tcPr>
            <w:tcW w:w="580" w:type="dxa"/>
            <w:gridSpan w:val="2"/>
            <w:vAlign w:val="bottom"/>
          </w:tcPr>
          <w:p w:rsidR="00AC12B4" w:rsidRDefault="00C27636">
            <w:pPr>
              <w:spacing w:line="235" w:lineRule="exact"/>
              <w:ind w:left="14"/>
              <w:jc w:val="center"/>
              <w:rPr>
                <w:sz w:val="20"/>
                <w:szCs w:val="20"/>
              </w:rPr>
            </w:pPr>
            <w:r>
              <w:rPr>
                <w:rFonts w:ascii="Calibri" w:eastAsia="Calibri" w:hAnsi="Calibri" w:cs="Calibri"/>
              </w:rPr>
              <w:t>jours</w:t>
            </w:r>
          </w:p>
        </w:tc>
        <w:tc>
          <w:tcPr>
            <w:tcW w:w="1540" w:type="dxa"/>
            <w:gridSpan w:val="5"/>
            <w:vAlign w:val="bottom"/>
          </w:tcPr>
          <w:p w:rsidR="00AC12B4" w:rsidRDefault="00C27636">
            <w:pPr>
              <w:spacing w:line="235" w:lineRule="exact"/>
              <w:jc w:val="right"/>
              <w:rPr>
                <w:sz w:val="20"/>
                <w:szCs w:val="20"/>
              </w:rPr>
            </w:pPr>
            <w:r>
              <w:rPr>
                <w:rFonts w:ascii="Calibri" w:eastAsia="Calibri" w:hAnsi="Calibri" w:cs="Calibri"/>
              </w:rPr>
              <w:t>précédant leur</w:t>
            </w:r>
          </w:p>
        </w:tc>
        <w:tc>
          <w:tcPr>
            <w:tcW w:w="0" w:type="dxa"/>
            <w:vAlign w:val="bottom"/>
          </w:tcPr>
          <w:p w:rsidR="00AC12B4" w:rsidRDefault="00AC12B4">
            <w:pPr>
              <w:rPr>
                <w:sz w:val="1"/>
                <w:szCs w:val="1"/>
              </w:rPr>
            </w:pPr>
          </w:p>
        </w:tc>
      </w:tr>
      <w:tr w:rsidR="00AC12B4" w:rsidRPr="00C27636">
        <w:trPr>
          <w:trHeight w:val="118"/>
        </w:trPr>
        <w:tc>
          <w:tcPr>
            <w:tcW w:w="13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460" w:type="dxa"/>
            <w:gridSpan w:val="9"/>
            <w:vMerge/>
            <w:vAlign w:val="bottom"/>
          </w:tcPr>
          <w:p w:rsidR="00AC12B4" w:rsidRDefault="00AC12B4">
            <w:pPr>
              <w:rPr>
                <w:sz w:val="10"/>
                <w:szCs w:val="10"/>
              </w:rPr>
            </w:pPr>
          </w:p>
        </w:tc>
        <w:tc>
          <w:tcPr>
            <w:tcW w:w="560" w:type="dxa"/>
            <w:gridSpan w:val="5"/>
            <w:vMerge/>
            <w:vAlign w:val="bottom"/>
          </w:tcPr>
          <w:p w:rsidR="00AC12B4" w:rsidRDefault="00AC12B4">
            <w:pPr>
              <w:rPr>
                <w:sz w:val="10"/>
                <w:szCs w:val="10"/>
              </w:rPr>
            </w:pPr>
          </w:p>
        </w:tc>
        <w:tc>
          <w:tcPr>
            <w:tcW w:w="1580" w:type="dxa"/>
            <w:gridSpan w:val="3"/>
            <w:vMerge/>
            <w:vAlign w:val="bottom"/>
          </w:tcPr>
          <w:p w:rsidR="00AC12B4" w:rsidRDefault="00AC12B4">
            <w:pPr>
              <w:rPr>
                <w:sz w:val="10"/>
                <w:szCs w:val="10"/>
              </w:rPr>
            </w:pPr>
          </w:p>
        </w:tc>
        <w:tc>
          <w:tcPr>
            <w:tcW w:w="3880" w:type="dxa"/>
            <w:gridSpan w:val="13"/>
            <w:vMerge w:val="restart"/>
            <w:vAlign w:val="bottom"/>
          </w:tcPr>
          <w:p w:rsidR="00AC12B4" w:rsidRPr="00C27636" w:rsidRDefault="00C27636">
            <w:pPr>
              <w:rPr>
                <w:sz w:val="20"/>
                <w:szCs w:val="20"/>
                <w:lang w:val="fr-BE"/>
              </w:rPr>
            </w:pPr>
            <w:r w:rsidRPr="00C27636">
              <w:rPr>
                <w:rFonts w:ascii="Calibri" w:eastAsia="Calibri" w:hAnsi="Calibri" w:cs="Calibri"/>
                <w:lang w:val="fr-BE"/>
              </w:rPr>
              <w:t>accouchement. Le nombre médian de ces</w:t>
            </w:r>
          </w:p>
        </w:tc>
        <w:tc>
          <w:tcPr>
            <w:tcW w:w="0" w:type="dxa"/>
            <w:vAlign w:val="bottom"/>
          </w:tcPr>
          <w:p w:rsidR="00AC12B4" w:rsidRPr="00C27636" w:rsidRDefault="00AC12B4">
            <w:pPr>
              <w:rPr>
                <w:sz w:val="1"/>
                <w:szCs w:val="1"/>
                <w:lang w:val="fr-BE"/>
              </w:rPr>
            </w:pPr>
          </w:p>
        </w:tc>
      </w:tr>
      <w:tr w:rsidR="00AC12B4">
        <w:trPr>
          <w:trHeight w:val="151"/>
        </w:trPr>
        <w:tc>
          <w:tcPr>
            <w:tcW w:w="1320" w:type="dxa"/>
            <w:vAlign w:val="bottom"/>
          </w:tcPr>
          <w:p w:rsidR="00AC12B4" w:rsidRPr="00C27636" w:rsidRDefault="00AC12B4">
            <w:pPr>
              <w:rPr>
                <w:sz w:val="13"/>
                <w:szCs w:val="13"/>
                <w:lang w:val="fr-BE"/>
              </w:rPr>
            </w:pPr>
          </w:p>
        </w:tc>
        <w:tc>
          <w:tcPr>
            <w:tcW w:w="140" w:type="dxa"/>
            <w:vAlign w:val="bottom"/>
          </w:tcPr>
          <w:p w:rsidR="00AC12B4" w:rsidRPr="00C27636" w:rsidRDefault="00AC12B4">
            <w:pPr>
              <w:rPr>
                <w:sz w:val="13"/>
                <w:szCs w:val="13"/>
                <w:lang w:val="fr-BE"/>
              </w:rPr>
            </w:pPr>
          </w:p>
        </w:tc>
        <w:tc>
          <w:tcPr>
            <w:tcW w:w="3020" w:type="dxa"/>
            <w:gridSpan w:val="14"/>
            <w:vMerge w:val="restart"/>
            <w:vAlign w:val="bottom"/>
          </w:tcPr>
          <w:p w:rsidR="00AC12B4" w:rsidRDefault="00C27636">
            <w:pPr>
              <w:rPr>
                <w:sz w:val="20"/>
                <w:szCs w:val="20"/>
              </w:rPr>
            </w:pPr>
            <w:r>
              <w:rPr>
                <w:rFonts w:ascii="Calibri" w:eastAsia="Calibri" w:hAnsi="Calibri" w:cs="Calibri"/>
              </w:rPr>
              <w:t>une stratification des données</w:t>
            </w:r>
          </w:p>
        </w:tc>
        <w:tc>
          <w:tcPr>
            <w:tcW w:w="1580" w:type="dxa"/>
            <w:gridSpan w:val="3"/>
            <w:vMerge w:val="restart"/>
            <w:vAlign w:val="bottom"/>
          </w:tcPr>
          <w:p w:rsidR="00AC12B4" w:rsidRDefault="00C27636">
            <w:pPr>
              <w:ind w:right="720"/>
              <w:jc w:val="right"/>
              <w:rPr>
                <w:sz w:val="20"/>
                <w:szCs w:val="20"/>
              </w:rPr>
            </w:pPr>
            <w:r>
              <w:rPr>
                <w:rFonts w:ascii="Calibri" w:eastAsia="Calibri" w:hAnsi="Calibri" w:cs="Calibri"/>
              </w:rPr>
              <w:t>de suivi</w:t>
            </w:r>
          </w:p>
        </w:tc>
        <w:tc>
          <w:tcPr>
            <w:tcW w:w="3880" w:type="dxa"/>
            <w:gridSpan w:val="13"/>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8"/>
        </w:trPr>
        <w:tc>
          <w:tcPr>
            <w:tcW w:w="13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3020" w:type="dxa"/>
            <w:gridSpan w:val="14"/>
            <w:vMerge/>
            <w:vAlign w:val="bottom"/>
          </w:tcPr>
          <w:p w:rsidR="00AC12B4" w:rsidRDefault="00AC12B4">
            <w:pPr>
              <w:rPr>
                <w:sz w:val="10"/>
                <w:szCs w:val="10"/>
              </w:rPr>
            </w:pPr>
          </w:p>
        </w:tc>
        <w:tc>
          <w:tcPr>
            <w:tcW w:w="1580" w:type="dxa"/>
            <w:gridSpan w:val="3"/>
            <w:vMerge/>
            <w:vAlign w:val="bottom"/>
          </w:tcPr>
          <w:p w:rsidR="00AC12B4" w:rsidRDefault="00AC12B4">
            <w:pPr>
              <w:rPr>
                <w:sz w:val="10"/>
                <w:szCs w:val="10"/>
              </w:rPr>
            </w:pPr>
          </w:p>
        </w:tc>
        <w:tc>
          <w:tcPr>
            <w:tcW w:w="920" w:type="dxa"/>
            <w:gridSpan w:val="3"/>
            <w:vMerge w:val="restart"/>
            <w:vAlign w:val="bottom"/>
          </w:tcPr>
          <w:p w:rsidR="00AC12B4" w:rsidRDefault="00C27636">
            <w:pPr>
              <w:rPr>
                <w:sz w:val="20"/>
                <w:szCs w:val="20"/>
              </w:rPr>
            </w:pPr>
            <w:r>
              <w:rPr>
                <w:rFonts w:ascii="Calibri" w:eastAsia="Calibri" w:hAnsi="Calibri" w:cs="Calibri"/>
              </w:rPr>
              <w:t>contacts</w:t>
            </w:r>
          </w:p>
        </w:tc>
        <w:tc>
          <w:tcPr>
            <w:tcW w:w="740" w:type="dxa"/>
            <w:gridSpan w:val="2"/>
            <w:vMerge w:val="restart"/>
            <w:vAlign w:val="bottom"/>
          </w:tcPr>
          <w:p w:rsidR="00AC12B4" w:rsidRDefault="00C27636">
            <w:pPr>
              <w:ind w:left="80"/>
              <w:rPr>
                <w:sz w:val="20"/>
                <w:szCs w:val="20"/>
              </w:rPr>
            </w:pPr>
            <w:r>
              <w:rPr>
                <w:rFonts w:ascii="Calibri" w:eastAsia="Calibri" w:hAnsi="Calibri" w:cs="Calibri"/>
              </w:rPr>
              <w:t xml:space="preserve">est </w:t>
            </w:r>
            <w:r>
              <w:rPr>
                <w:rFonts w:ascii="Calibri" w:eastAsia="Calibri" w:hAnsi="Calibri" w:cs="Calibri"/>
              </w:rPr>
              <w:t>de</w:t>
            </w:r>
          </w:p>
        </w:tc>
        <w:tc>
          <w:tcPr>
            <w:tcW w:w="100" w:type="dxa"/>
            <w:vAlign w:val="bottom"/>
          </w:tcPr>
          <w:p w:rsidR="00AC12B4" w:rsidRDefault="00AC12B4">
            <w:pPr>
              <w:rPr>
                <w:sz w:val="10"/>
                <w:szCs w:val="10"/>
              </w:rPr>
            </w:pPr>
          </w:p>
        </w:tc>
        <w:tc>
          <w:tcPr>
            <w:tcW w:w="400" w:type="dxa"/>
            <w:vMerge w:val="restart"/>
            <w:vAlign w:val="bottom"/>
          </w:tcPr>
          <w:p w:rsidR="00AC12B4" w:rsidRDefault="00C27636">
            <w:pPr>
              <w:rPr>
                <w:sz w:val="20"/>
                <w:szCs w:val="20"/>
              </w:rPr>
            </w:pPr>
            <w:r>
              <w:rPr>
                <w:rFonts w:ascii="Calibri" w:eastAsia="Calibri" w:hAnsi="Calibri" w:cs="Calibri"/>
              </w:rPr>
              <w:t>10.</w:t>
            </w:r>
          </w:p>
        </w:tc>
        <w:tc>
          <w:tcPr>
            <w:tcW w:w="460" w:type="dxa"/>
            <w:gridSpan w:val="2"/>
            <w:vMerge w:val="restart"/>
            <w:vAlign w:val="bottom"/>
          </w:tcPr>
          <w:p w:rsidR="00AC12B4" w:rsidRDefault="00C27636">
            <w:pPr>
              <w:rPr>
                <w:sz w:val="20"/>
                <w:szCs w:val="20"/>
              </w:rPr>
            </w:pPr>
            <w:r>
              <w:rPr>
                <w:rFonts w:ascii="Calibri" w:eastAsia="Calibri" w:hAnsi="Calibri" w:cs="Calibri"/>
              </w:rPr>
              <w:t>Ceci</w:t>
            </w:r>
          </w:p>
        </w:tc>
        <w:tc>
          <w:tcPr>
            <w:tcW w:w="1260" w:type="dxa"/>
            <w:gridSpan w:val="4"/>
            <w:vMerge w:val="restart"/>
            <w:vAlign w:val="bottom"/>
          </w:tcPr>
          <w:p w:rsidR="00AC12B4" w:rsidRDefault="00C27636">
            <w:pPr>
              <w:jc w:val="right"/>
              <w:rPr>
                <w:sz w:val="20"/>
                <w:szCs w:val="20"/>
              </w:rPr>
            </w:pPr>
            <w:r>
              <w:rPr>
                <w:rFonts w:ascii="Calibri" w:eastAsia="Calibri" w:hAnsi="Calibri" w:cs="Calibri"/>
              </w:rPr>
              <w:t>répond donc</w:t>
            </w:r>
          </w:p>
        </w:tc>
        <w:tc>
          <w:tcPr>
            <w:tcW w:w="0" w:type="dxa"/>
            <w:vAlign w:val="bottom"/>
          </w:tcPr>
          <w:p w:rsidR="00AC12B4" w:rsidRDefault="00AC12B4">
            <w:pPr>
              <w:rPr>
                <w:sz w:val="1"/>
                <w:szCs w:val="1"/>
              </w:rPr>
            </w:pPr>
          </w:p>
        </w:tc>
      </w:tr>
      <w:tr w:rsidR="00AC12B4" w:rsidRPr="00C27636">
        <w:trPr>
          <w:trHeight w:val="151"/>
        </w:trPr>
        <w:tc>
          <w:tcPr>
            <w:tcW w:w="13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4600" w:type="dxa"/>
            <w:gridSpan w:val="17"/>
            <w:vMerge w:val="restart"/>
            <w:vAlign w:val="bottom"/>
          </w:tcPr>
          <w:p w:rsidR="00AC12B4" w:rsidRPr="00C27636" w:rsidRDefault="00C27636">
            <w:pPr>
              <w:rPr>
                <w:sz w:val="20"/>
                <w:szCs w:val="20"/>
                <w:lang w:val="fr-BE"/>
              </w:rPr>
            </w:pPr>
            <w:r w:rsidRPr="00C27636">
              <w:rPr>
                <w:rFonts w:ascii="Calibri" w:eastAsia="Calibri" w:hAnsi="Calibri" w:cs="Calibri"/>
                <w:lang w:val="fr-BE"/>
              </w:rPr>
              <w:t>périnatal suivant le statut de grossesse à</w:t>
            </w:r>
          </w:p>
        </w:tc>
        <w:tc>
          <w:tcPr>
            <w:tcW w:w="920" w:type="dxa"/>
            <w:gridSpan w:val="3"/>
            <w:vMerge/>
            <w:vAlign w:val="bottom"/>
          </w:tcPr>
          <w:p w:rsidR="00AC12B4" w:rsidRPr="00C27636" w:rsidRDefault="00AC12B4">
            <w:pPr>
              <w:rPr>
                <w:sz w:val="13"/>
                <w:szCs w:val="13"/>
                <w:lang w:val="fr-BE"/>
              </w:rPr>
            </w:pPr>
          </w:p>
        </w:tc>
        <w:tc>
          <w:tcPr>
            <w:tcW w:w="740" w:type="dxa"/>
            <w:gridSpan w:val="2"/>
            <w:vMerge/>
            <w:vAlign w:val="bottom"/>
          </w:tcPr>
          <w:p w:rsidR="00AC12B4" w:rsidRPr="00C27636" w:rsidRDefault="00AC12B4">
            <w:pPr>
              <w:rPr>
                <w:sz w:val="13"/>
                <w:szCs w:val="13"/>
                <w:lang w:val="fr-BE"/>
              </w:rPr>
            </w:pPr>
          </w:p>
        </w:tc>
        <w:tc>
          <w:tcPr>
            <w:tcW w:w="100" w:type="dxa"/>
            <w:vAlign w:val="bottom"/>
          </w:tcPr>
          <w:p w:rsidR="00AC12B4" w:rsidRPr="00C27636" w:rsidRDefault="00AC12B4">
            <w:pPr>
              <w:rPr>
                <w:sz w:val="13"/>
                <w:szCs w:val="13"/>
                <w:lang w:val="fr-BE"/>
              </w:rPr>
            </w:pPr>
          </w:p>
        </w:tc>
        <w:tc>
          <w:tcPr>
            <w:tcW w:w="400" w:type="dxa"/>
            <w:vMerge/>
            <w:vAlign w:val="bottom"/>
          </w:tcPr>
          <w:p w:rsidR="00AC12B4" w:rsidRPr="00C27636" w:rsidRDefault="00AC12B4">
            <w:pPr>
              <w:rPr>
                <w:sz w:val="13"/>
                <w:szCs w:val="13"/>
                <w:lang w:val="fr-BE"/>
              </w:rPr>
            </w:pPr>
          </w:p>
        </w:tc>
        <w:tc>
          <w:tcPr>
            <w:tcW w:w="460" w:type="dxa"/>
            <w:gridSpan w:val="2"/>
            <w:vMerge/>
            <w:vAlign w:val="bottom"/>
          </w:tcPr>
          <w:p w:rsidR="00AC12B4" w:rsidRPr="00C27636" w:rsidRDefault="00AC12B4">
            <w:pPr>
              <w:rPr>
                <w:sz w:val="13"/>
                <w:szCs w:val="13"/>
                <w:lang w:val="fr-BE"/>
              </w:rPr>
            </w:pPr>
          </w:p>
        </w:tc>
        <w:tc>
          <w:tcPr>
            <w:tcW w:w="1260" w:type="dxa"/>
            <w:gridSpan w:val="4"/>
            <w:vMerge/>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trPr>
          <w:trHeight w:val="118"/>
        </w:trPr>
        <w:tc>
          <w:tcPr>
            <w:tcW w:w="1320" w:type="dxa"/>
            <w:vAlign w:val="bottom"/>
          </w:tcPr>
          <w:p w:rsidR="00AC12B4" w:rsidRPr="00C27636" w:rsidRDefault="00AC12B4">
            <w:pPr>
              <w:rPr>
                <w:sz w:val="10"/>
                <w:szCs w:val="10"/>
                <w:lang w:val="fr-BE"/>
              </w:rPr>
            </w:pPr>
          </w:p>
        </w:tc>
        <w:tc>
          <w:tcPr>
            <w:tcW w:w="140" w:type="dxa"/>
            <w:vAlign w:val="bottom"/>
          </w:tcPr>
          <w:p w:rsidR="00AC12B4" w:rsidRPr="00C27636" w:rsidRDefault="00AC12B4">
            <w:pPr>
              <w:rPr>
                <w:sz w:val="10"/>
                <w:szCs w:val="10"/>
                <w:lang w:val="fr-BE"/>
              </w:rPr>
            </w:pPr>
          </w:p>
        </w:tc>
        <w:tc>
          <w:tcPr>
            <w:tcW w:w="4600" w:type="dxa"/>
            <w:gridSpan w:val="17"/>
            <w:vMerge/>
            <w:vAlign w:val="bottom"/>
          </w:tcPr>
          <w:p w:rsidR="00AC12B4" w:rsidRPr="00C27636" w:rsidRDefault="00AC12B4">
            <w:pPr>
              <w:rPr>
                <w:sz w:val="10"/>
                <w:szCs w:val="10"/>
                <w:lang w:val="fr-BE"/>
              </w:rPr>
            </w:pPr>
          </w:p>
        </w:tc>
        <w:tc>
          <w:tcPr>
            <w:tcW w:w="920" w:type="dxa"/>
            <w:gridSpan w:val="3"/>
            <w:vMerge w:val="restart"/>
            <w:vAlign w:val="bottom"/>
          </w:tcPr>
          <w:p w:rsidR="00AC12B4" w:rsidRDefault="00C27636">
            <w:pPr>
              <w:rPr>
                <w:sz w:val="20"/>
                <w:szCs w:val="20"/>
              </w:rPr>
            </w:pPr>
            <w:r>
              <w:rPr>
                <w:rFonts w:ascii="Calibri" w:eastAsia="Calibri" w:hAnsi="Calibri" w:cs="Calibri"/>
                <w:w w:val="97"/>
              </w:rPr>
              <w:t>largement</w:t>
            </w:r>
          </w:p>
        </w:tc>
        <w:tc>
          <w:tcPr>
            <w:tcW w:w="200" w:type="dxa"/>
            <w:vAlign w:val="bottom"/>
          </w:tcPr>
          <w:p w:rsidR="00AC12B4" w:rsidRDefault="00AC12B4">
            <w:pPr>
              <w:rPr>
                <w:sz w:val="10"/>
                <w:szCs w:val="10"/>
              </w:rPr>
            </w:pPr>
          </w:p>
        </w:tc>
        <w:tc>
          <w:tcPr>
            <w:tcW w:w="540" w:type="dxa"/>
            <w:vMerge w:val="restart"/>
            <w:vAlign w:val="bottom"/>
          </w:tcPr>
          <w:p w:rsidR="00AC12B4" w:rsidRDefault="00C27636">
            <w:pPr>
              <w:ind w:left="60"/>
              <w:rPr>
                <w:sz w:val="20"/>
                <w:szCs w:val="20"/>
              </w:rPr>
            </w:pPr>
            <w:r>
              <w:rPr>
                <w:rFonts w:ascii="Calibri" w:eastAsia="Calibri" w:hAnsi="Calibri" w:cs="Calibri"/>
              </w:rPr>
              <w:t>aux</w:t>
            </w:r>
          </w:p>
        </w:tc>
        <w:tc>
          <w:tcPr>
            <w:tcW w:w="1940" w:type="dxa"/>
            <w:gridSpan w:val="7"/>
            <w:vMerge w:val="restart"/>
            <w:vAlign w:val="bottom"/>
          </w:tcPr>
          <w:p w:rsidR="00AC12B4" w:rsidRDefault="00C27636">
            <w:pPr>
              <w:ind w:left="80"/>
              <w:rPr>
                <w:sz w:val="20"/>
                <w:szCs w:val="20"/>
              </w:rPr>
            </w:pPr>
            <w:r>
              <w:rPr>
                <w:rFonts w:ascii="Calibri" w:eastAsia="Calibri" w:hAnsi="Calibri" w:cs="Calibri"/>
              </w:rPr>
              <w:t>recommandations</w:t>
            </w:r>
          </w:p>
        </w:tc>
        <w:tc>
          <w:tcPr>
            <w:tcW w:w="280" w:type="dxa"/>
            <w:vMerge w:val="restart"/>
            <w:vAlign w:val="bottom"/>
          </w:tcPr>
          <w:p w:rsidR="00AC12B4" w:rsidRDefault="00C27636">
            <w:pPr>
              <w:jc w:val="right"/>
              <w:rPr>
                <w:sz w:val="20"/>
                <w:szCs w:val="20"/>
              </w:rPr>
            </w:pPr>
            <w:r>
              <w:rPr>
                <w:rFonts w:ascii="Calibri" w:eastAsia="Calibri" w:hAnsi="Calibri" w:cs="Calibri"/>
              </w:rPr>
              <w:t>du</w:t>
            </w:r>
          </w:p>
        </w:tc>
        <w:tc>
          <w:tcPr>
            <w:tcW w:w="0" w:type="dxa"/>
            <w:vAlign w:val="bottom"/>
          </w:tcPr>
          <w:p w:rsidR="00AC12B4" w:rsidRDefault="00AC12B4">
            <w:pPr>
              <w:rPr>
                <w:sz w:val="1"/>
                <w:szCs w:val="1"/>
              </w:rPr>
            </w:pPr>
          </w:p>
        </w:tc>
      </w:tr>
      <w:tr w:rsidR="00AC12B4" w:rsidRPr="00C27636">
        <w:trPr>
          <w:trHeight w:val="151"/>
        </w:trPr>
        <w:tc>
          <w:tcPr>
            <w:tcW w:w="13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3020" w:type="dxa"/>
            <w:gridSpan w:val="14"/>
            <w:vMerge w:val="restart"/>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faible risque ou à risque élevé.</w:t>
            </w:r>
          </w:p>
        </w:tc>
        <w:tc>
          <w:tcPr>
            <w:tcW w:w="780" w:type="dxa"/>
            <w:vAlign w:val="bottom"/>
          </w:tcPr>
          <w:p w:rsidR="00AC12B4" w:rsidRPr="00C27636" w:rsidRDefault="00AC12B4">
            <w:pPr>
              <w:rPr>
                <w:sz w:val="13"/>
                <w:szCs w:val="13"/>
                <w:lang w:val="fr-BE"/>
              </w:rPr>
            </w:pPr>
          </w:p>
        </w:tc>
        <w:tc>
          <w:tcPr>
            <w:tcW w:w="720" w:type="dxa"/>
            <w:vAlign w:val="bottom"/>
          </w:tcPr>
          <w:p w:rsidR="00AC12B4" w:rsidRPr="00C27636" w:rsidRDefault="00AC12B4">
            <w:pPr>
              <w:rPr>
                <w:sz w:val="13"/>
                <w:szCs w:val="13"/>
                <w:lang w:val="fr-BE"/>
              </w:rPr>
            </w:pPr>
          </w:p>
        </w:tc>
        <w:tc>
          <w:tcPr>
            <w:tcW w:w="80" w:type="dxa"/>
            <w:vAlign w:val="bottom"/>
          </w:tcPr>
          <w:p w:rsidR="00AC12B4" w:rsidRPr="00C27636" w:rsidRDefault="00AC12B4">
            <w:pPr>
              <w:rPr>
                <w:sz w:val="13"/>
                <w:szCs w:val="13"/>
                <w:lang w:val="fr-BE"/>
              </w:rPr>
            </w:pPr>
          </w:p>
        </w:tc>
        <w:tc>
          <w:tcPr>
            <w:tcW w:w="920" w:type="dxa"/>
            <w:gridSpan w:val="3"/>
            <w:vMerge/>
            <w:vAlign w:val="bottom"/>
          </w:tcPr>
          <w:p w:rsidR="00AC12B4" w:rsidRPr="00C27636" w:rsidRDefault="00AC12B4">
            <w:pPr>
              <w:rPr>
                <w:sz w:val="13"/>
                <w:szCs w:val="13"/>
                <w:lang w:val="fr-BE"/>
              </w:rPr>
            </w:pPr>
          </w:p>
        </w:tc>
        <w:tc>
          <w:tcPr>
            <w:tcW w:w="200" w:type="dxa"/>
            <w:vAlign w:val="bottom"/>
          </w:tcPr>
          <w:p w:rsidR="00AC12B4" w:rsidRPr="00C27636" w:rsidRDefault="00AC12B4">
            <w:pPr>
              <w:rPr>
                <w:sz w:val="13"/>
                <w:szCs w:val="13"/>
                <w:lang w:val="fr-BE"/>
              </w:rPr>
            </w:pPr>
          </w:p>
        </w:tc>
        <w:tc>
          <w:tcPr>
            <w:tcW w:w="540" w:type="dxa"/>
            <w:vMerge/>
            <w:vAlign w:val="bottom"/>
          </w:tcPr>
          <w:p w:rsidR="00AC12B4" w:rsidRPr="00C27636" w:rsidRDefault="00AC12B4">
            <w:pPr>
              <w:rPr>
                <w:sz w:val="13"/>
                <w:szCs w:val="13"/>
                <w:lang w:val="fr-BE"/>
              </w:rPr>
            </w:pPr>
          </w:p>
        </w:tc>
        <w:tc>
          <w:tcPr>
            <w:tcW w:w="1940" w:type="dxa"/>
            <w:gridSpan w:val="7"/>
            <w:vMerge/>
            <w:vAlign w:val="bottom"/>
          </w:tcPr>
          <w:p w:rsidR="00AC12B4" w:rsidRPr="00C27636" w:rsidRDefault="00AC12B4">
            <w:pPr>
              <w:rPr>
                <w:sz w:val="13"/>
                <w:szCs w:val="13"/>
                <w:lang w:val="fr-BE"/>
              </w:rPr>
            </w:pPr>
          </w:p>
        </w:tc>
        <w:tc>
          <w:tcPr>
            <w:tcW w:w="280" w:type="dxa"/>
            <w:vMerge/>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trPr>
          <w:trHeight w:val="115"/>
        </w:trPr>
        <w:tc>
          <w:tcPr>
            <w:tcW w:w="1320" w:type="dxa"/>
            <w:vAlign w:val="bottom"/>
          </w:tcPr>
          <w:p w:rsidR="00AC12B4" w:rsidRPr="00C27636" w:rsidRDefault="00AC12B4">
            <w:pPr>
              <w:rPr>
                <w:sz w:val="10"/>
                <w:szCs w:val="10"/>
                <w:lang w:val="fr-BE"/>
              </w:rPr>
            </w:pPr>
          </w:p>
        </w:tc>
        <w:tc>
          <w:tcPr>
            <w:tcW w:w="140" w:type="dxa"/>
            <w:vAlign w:val="bottom"/>
          </w:tcPr>
          <w:p w:rsidR="00AC12B4" w:rsidRPr="00C27636" w:rsidRDefault="00AC12B4">
            <w:pPr>
              <w:rPr>
                <w:sz w:val="10"/>
                <w:szCs w:val="10"/>
                <w:lang w:val="fr-BE"/>
              </w:rPr>
            </w:pPr>
          </w:p>
        </w:tc>
        <w:tc>
          <w:tcPr>
            <w:tcW w:w="3020" w:type="dxa"/>
            <w:gridSpan w:val="14"/>
            <w:vMerge/>
            <w:vAlign w:val="bottom"/>
          </w:tcPr>
          <w:p w:rsidR="00AC12B4" w:rsidRPr="00C27636" w:rsidRDefault="00AC12B4">
            <w:pPr>
              <w:rPr>
                <w:sz w:val="10"/>
                <w:szCs w:val="10"/>
                <w:lang w:val="fr-BE"/>
              </w:rPr>
            </w:pPr>
          </w:p>
        </w:tc>
        <w:tc>
          <w:tcPr>
            <w:tcW w:w="780" w:type="dxa"/>
            <w:vAlign w:val="bottom"/>
          </w:tcPr>
          <w:p w:rsidR="00AC12B4" w:rsidRPr="00C27636" w:rsidRDefault="00AC12B4">
            <w:pPr>
              <w:rPr>
                <w:sz w:val="10"/>
                <w:szCs w:val="10"/>
                <w:lang w:val="fr-BE"/>
              </w:rPr>
            </w:pPr>
          </w:p>
        </w:tc>
        <w:tc>
          <w:tcPr>
            <w:tcW w:w="720" w:type="dxa"/>
            <w:vAlign w:val="bottom"/>
          </w:tcPr>
          <w:p w:rsidR="00AC12B4" w:rsidRPr="00C27636" w:rsidRDefault="00AC12B4">
            <w:pPr>
              <w:rPr>
                <w:sz w:val="10"/>
                <w:szCs w:val="10"/>
                <w:lang w:val="fr-BE"/>
              </w:rPr>
            </w:pPr>
          </w:p>
        </w:tc>
        <w:tc>
          <w:tcPr>
            <w:tcW w:w="80" w:type="dxa"/>
            <w:vAlign w:val="bottom"/>
          </w:tcPr>
          <w:p w:rsidR="00AC12B4" w:rsidRPr="00C27636" w:rsidRDefault="00AC12B4">
            <w:pPr>
              <w:rPr>
                <w:sz w:val="10"/>
                <w:szCs w:val="10"/>
                <w:lang w:val="fr-BE"/>
              </w:rPr>
            </w:pPr>
          </w:p>
        </w:tc>
        <w:tc>
          <w:tcPr>
            <w:tcW w:w="1120" w:type="dxa"/>
            <w:gridSpan w:val="4"/>
            <w:vMerge w:val="restart"/>
            <w:vAlign w:val="bottom"/>
          </w:tcPr>
          <w:p w:rsidR="00AC12B4" w:rsidRDefault="00C27636">
            <w:pPr>
              <w:rPr>
                <w:sz w:val="20"/>
                <w:szCs w:val="20"/>
              </w:rPr>
            </w:pPr>
            <w:r>
              <w:rPr>
                <w:rFonts w:ascii="Calibri" w:eastAsia="Calibri" w:hAnsi="Calibri" w:cs="Calibri"/>
                <w:w w:val="97"/>
              </w:rPr>
              <w:t>rapport KCE.</w:t>
            </w:r>
          </w:p>
        </w:tc>
        <w:tc>
          <w:tcPr>
            <w:tcW w:w="54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28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28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4"/>
        </w:trPr>
        <w:tc>
          <w:tcPr>
            <w:tcW w:w="13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54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4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4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48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8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4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40" w:type="dxa"/>
            <w:vAlign w:val="bottom"/>
          </w:tcPr>
          <w:p w:rsidR="00AC12B4" w:rsidRDefault="00AC12B4">
            <w:pPr>
              <w:rPr>
                <w:sz w:val="13"/>
                <w:szCs w:val="13"/>
              </w:rPr>
            </w:pPr>
          </w:p>
        </w:tc>
        <w:tc>
          <w:tcPr>
            <w:tcW w:w="780" w:type="dxa"/>
            <w:vAlign w:val="bottom"/>
          </w:tcPr>
          <w:p w:rsidR="00AC12B4" w:rsidRDefault="00AC12B4">
            <w:pPr>
              <w:rPr>
                <w:sz w:val="13"/>
                <w:szCs w:val="13"/>
              </w:rPr>
            </w:pPr>
          </w:p>
        </w:tc>
        <w:tc>
          <w:tcPr>
            <w:tcW w:w="72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120" w:type="dxa"/>
            <w:gridSpan w:val="4"/>
            <w:vMerge/>
            <w:vAlign w:val="bottom"/>
          </w:tcPr>
          <w:p w:rsidR="00AC12B4" w:rsidRDefault="00AC12B4">
            <w:pPr>
              <w:rPr>
                <w:sz w:val="13"/>
                <w:szCs w:val="13"/>
              </w:rPr>
            </w:pPr>
          </w:p>
        </w:tc>
        <w:tc>
          <w:tcPr>
            <w:tcW w:w="540" w:type="dxa"/>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54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35"/>
        </w:trPr>
        <w:tc>
          <w:tcPr>
            <w:tcW w:w="1320" w:type="dxa"/>
            <w:vAlign w:val="bottom"/>
          </w:tcPr>
          <w:p w:rsidR="00AC12B4" w:rsidRDefault="00AC12B4">
            <w:pPr>
              <w:rPr>
                <w:sz w:val="20"/>
                <w:szCs w:val="20"/>
              </w:rPr>
            </w:pPr>
          </w:p>
        </w:tc>
        <w:tc>
          <w:tcPr>
            <w:tcW w:w="140" w:type="dxa"/>
            <w:vAlign w:val="bottom"/>
          </w:tcPr>
          <w:p w:rsidR="00AC12B4" w:rsidRDefault="00AC12B4">
            <w:pPr>
              <w:rPr>
                <w:sz w:val="20"/>
                <w:szCs w:val="20"/>
              </w:rPr>
            </w:pPr>
          </w:p>
        </w:tc>
        <w:tc>
          <w:tcPr>
            <w:tcW w:w="4600" w:type="dxa"/>
            <w:gridSpan w:val="17"/>
            <w:vAlign w:val="bottom"/>
          </w:tcPr>
          <w:p w:rsidR="00AC12B4" w:rsidRPr="00C27636" w:rsidRDefault="00C27636">
            <w:pPr>
              <w:spacing w:line="235" w:lineRule="exact"/>
              <w:rPr>
                <w:sz w:val="20"/>
                <w:szCs w:val="20"/>
                <w:lang w:val="fr-BE"/>
              </w:rPr>
            </w:pPr>
            <w:r w:rsidRPr="00C27636">
              <w:rPr>
                <w:rFonts w:ascii="Calibri" w:eastAsia="Calibri" w:hAnsi="Calibri" w:cs="Calibri"/>
                <w:lang w:val="fr-BE"/>
              </w:rPr>
              <w:t xml:space="preserve">Il est intéressant de </w:t>
            </w:r>
            <w:r w:rsidRPr="00C27636">
              <w:rPr>
                <w:rFonts w:ascii="Calibri" w:eastAsia="Calibri" w:hAnsi="Calibri" w:cs="Calibri"/>
                <w:lang w:val="fr-BE"/>
              </w:rPr>
              <w:t>s’arrêter un instant sur</w:t>
            </w:r>
          </w:p>
        </w:tc>
        <w:tc>
          <w:tcPr>
            <w:tcW w:w="680" w:type="dxa"/>
            <w:gridSpan w:val="2"/>
            <w:vMerge w:val="restart"/>
            <w:vAlign w:val="bottom"/>
          </w:tcPr>
          <w:p w:rsidR="00AC12B4" w:rsidRDefault="00C27636">
            <w:pPr>
              <w:rPr>
                <w:sz w:val="20"/>
                <w:szCs w:val="20"/>
              </w:rPr>
            </w:pPr>
            <w:r>
              <w:rPr>
                <w:rFonts w:ascii="Calibri" w:eastAsia="Calibri" w:hAnsi="Calibri" w:cs="Calibri"/>
              </w:rPr>
              <w:t>Notons</w:t>
            </w:r>
          </w:p>
        </w:tc>
        <w:tc>
          <w:tcPr>
            <w:tcW w:w="440" w:type="dxa"/>
            <w:gridSpan w:val="2"/>
            <w:vMerge w:val="restart"/>
            <w:vAlign w:val="bottom"/>
          </w:tcPr>
          <w:p w:rsidR="00AC12B4" w:rsidRDefault="00C27636">
            <w:pPr>
              <w:ind w:left="140"/>
              <w:rPr>
                <w:sz w:val="20"/>
                <w:szCs w:val="20"/>
              </w:rPr>
            </w:pPr>
            <w:r>
              <w:rPr>
                <w:rFonts w:ascii="Calibri" w:eastAsia="Calibri" w:hAnsi="Calibri" w:cs="Calibri"/>
              </w:rPr>
              <w:t>de</w:t>
            </w:r>
          </w:p>
        </w:tc>
        <w:tc>
          <w:tcPr>
            <w:tcW w:w="540" w:type="dxa"/>
            <w:vMerge w:val="restart"/>
            <w:vAlign w:val="bottom"/>
          </w:tcPr>
          <w:p w:rsidR="00AC12B4" w:rsidRDefault="00C27636">
            <w:pPr>
              <w:ind w:left="120"/>
              <w:rPr>
                <w:sz w:val="20"/>
                <w:szCs w:val="20"/>
              </w:rPr>
            </w:pPr>
            <w:r>
              <w:rPr>
                <w:rFonts w:ascii="Calibri" w:eastAsia="Calibri" w:hAnsi="Calibri" w:cs="Calibri"/>
              </w:rPr>
              <w:t>plus</w:t>
            </w:r>
          </w:p>
        </w:tc>
        <w:tc>
          <w:tcPr>
            <w:tcW w:w="100" w:type="dxa"/>
            <w:vAlign w:val="bottom"/>
          </w:tcPr>
          <w:p w:rsidR="00AC12B4" w:rsidRDefault="00AC12B4">
            <w:pPr>
              <w:rPr>
                <w:sz w:val="20"/>
                <w:szCs w:val="20"/>
              </w:rPr>
            </w:pPr>
          </w:p>
        </w:tc>
        <w:tc>
          <w:tcPr>
            <w:tcW w:w="400" w:type="dxa"/>
            <w:vMerge w:val="restart"/>
            <w:vAlign w:val="bottom"/>
          </w:tcPr>
          <w:p w:rsidR="00AC12B4" w:rsidRDefault="00C27636">
            <w:pPr>
              <w:ind w:left="40"/>
              <w:rPr>
                <w:sz w:val="20"/>
                <w:szCs w:val="20"/>
              </w:rPr>
            </w:pPr>
            <w:r>
              <w:rPr>
                <w:rFonts w:ascii="Calibri" w:eastAsia="Calibri" w:hAnsi="Calibri" w:cs="Calibri"/>
                <w:w w:val="99"/>
              </w:rPr>
              <w:t>que</w:t>
            </w:r>
          </w:p>
        </w:tc>
        <w:tc>
          <w:tcPr>
            <w:tcW w:w="460" w:type="dxa"/>
            <w:gridSpan w:val="2"/>
            <w:vMerge w:val="restart"/>
            <w:vAlign w:val="bottom"/>
          </w:tcPr>
          <w:p w:rsidR="00AC12B4" w:rsidRDefault="00C27636">
            <w:pPr>
              <w:ind w:left="160"/>
              <w:rPr>
                <w:sz w:val="20"/>
                <w:szCs w:val="20"/>
              </w:rPr>
            </w:pPr>
            <w:r>
              <w:rPr>
                <w:rFonts w:ascii="Calibri" w:eastAsia="Calibri" w:hAnsi="Calibri" w:cs="Calibri"/>
                <w:w w:val="96"/>
              </w:rPr>
              <w:t>ces</w:t>
            </w:r>
          </w:p>
        </w:tc>
        <w:tc>
          <w:tcPr>
            <w:tcW w:w="980" w:type="dxa"/>
            <w:gridSpan w:val="3"/>
            <w:vMerge w:val="restart"/>
            <w:vAlign w:val="bottom"/>
          </w:tcPr>
          <w:p w:rsidR="00AC12B4" w:rsidRDefault="00C27636">
            <w:pPr>
              <w:ind w:right="37"/>
              <w:jc w:val="right"/>
              <w:rPr>
                <w:sz w:val="20"/>
                <w:szCs w:val="20"/>
              </w:rPr>
            </w:pPr>
            <w:r>
              <w:rPr>
                <w:rFonts w:ascii="Calibri" w:eastAsia="Calibri" w:hAnsi="Calibri" w:cs="Calibri"/>
              </w:rPr>
              <w:t>chiffres</w:t>
            </w:r>
          </w:p>
        </w:tc>
        <w:tc>
          <w:tcPr>
            <w:tcW w:w="280" w:type="dxa"/>
            <w:vMerge w:val="restart"/>
            <w:vAlign w:val="bottom"/>
          </w:tcPr>
          <w:p w:rsidR="00AC12B4" w:rsidRDefault="00C27636">
            <w:pPr>
              <w:jc w:val="right"/>
              <w:rPr>
                <w:sz w:val="20"/>
                <w:szCs w:val="20"/>
              </w:rPr>
            </w:pPr>
            <w:r>
              <w:rPr>
                <w:rFonts w:ascii="Calibri" w:eastAsia="Calibri" w:hAnsi="Calibri" w:cs="Calibri"/>
              </w:rPr>
              <w:t>ne</w:t>
            </w:r>
          </w:p>
        </w:tc>
        <w:tc>
          <w:tcPr>
            <w:tcW w:w="0" w:type="dxa"/>
            <w:vAlign w:val="bottom"/>
          </w:tcPr>
          <w:p w:rsidR="00AC12B4" w:rsidRDefault="00AC12B4">
            <w:pPr>
              <w:rPr>
                <w:sz w:val="1"/>
                <w:szCs w:val="1"/>
              </w:rPr>
            </w:pPr>
          </w:p>
        </w:tc>
      </w:tr>
      <w:tr w:rsidR="00AC12B4">
        <w:trPr>
          <w:trHeight w:val="154"/>
        </w:trPr>
        <w:tc>
          <w:tcPr>
            <w:tcW w:w="13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2460" w:type="dxa"/>
            <w:gridSpan w:val="9"/>
            <w:vMerge w:val="restart"/>
            <w:vAlign w:val="bottom"/>
          </w:tcPr>
          <w:p w:rsidR="00AC12B4" w:rsidRDefault="00C27636">
            <w:pPr>
              <w:rPr>
                <w:sz w:val="20"/>
                <w:szCs w:val="20"/>
              </w:rPr>
            </w:pPr>
            <w:r>
              <w:rPr>
                <w:rFonts w:ascii="Calibri" w:eastAsia="Calibri" w:hAnsi="Calibri" w:cs="Calibri"/>
              </w:rPr>
              <w:t>les facteurs choisis pour</w:t>
            </w:r>
          </w:p>
        </w:tc>
        <w:tc>
          <w:tcPr>
            <w:tcW w:w="2140" w:type="dxa"/>
            <w:gridSpan w:val="8"/>
            <w:vMerge w:val="restart"/>
            <w:vAlign w:val="bottom"/>
          </w:tcPr>
          <w:p w:rsidR="00AC12B4" w:rsidRDefault="00C27636">
            <w:pPr>
              <w:ind w:right="720"/>
              <w:jc w:val="right"/>
              <w:rPr>
                <w:sz w:val="20"/>
                <w:szCs w:val="20"/>
              </w:rPr>
            </w:pPr>
            <w:r>
              <w:rPr>
                <w:rFonts w:ascii="Calibri" w:eastAsia="Calibri" w:hAnsi="Calibri" w:cs="Calibri"/>
              </w:rPr>
              <w:t>déterminer ce</w:t>
            </w:r>
          </w:p>
        </w:tc>
        <w:tc>
          <w:tcPr>
            <w:tcW w:w="680" w:type="dxa"/>
            <w:gridSpan w:val="2"/>
            <w:vMerge/>
            <w:vAlign w:val="bottom"/>
          </w:tcPr>
          <w:p w:rsidR="00AC12B4" w:rsidRDefault="00AC12B4">
            <w:pPr>
              <w:rPr>
                <w:sz w:val="13"/>
                <w:szCs w:val="13"/>
              </w:rPr>
            </w:pPr>
          </w:p>
        </w:tc>
        <w:tc>
          <w:tcPr>
            <w:tcW w:w="440" w:type="dxa"/>
            <w:gridSpan w:val="2"/>
            <w:vMerge/>
            <w:vAlign w:val="bottom"/>
          </w:tcPr>
          <w:p w:rsidR="00AC12B4" w:rsidRDefault="00AC12B4">
            <w:pPr>
              <w:rPr>
                <w:sz w:val="13"/>
                <w:szCs w:val="13"/>
              </w:rPr>
            </w:pPr>
          </w:p>
        </w:tc>
        <w:tc>
          <w:tcPr>
            <w:tcW w:w="540" w:type="dxa"/>
            <w:vMerge/>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400" w:type="dxa"/>
            <w:vMerge/>
            <w:vAlign w:val="bottom"/>
          </w:tcPr>
          <w:p w:rsidR="00AC12B4" w:rsidRDefault="00AC12B4">
            <w:pPr>
              <w:rPr>
                <w:sz w:val="13"/>
                <w:szCs w:val="13"/>
              </w:rPr>
            </w:pPr>
          </w:p>
        </w:tc>
        <w:tc>
          <w:tcPr>
            <w:tcW w:w="460" w:type="dxa"/>
            <w:gridSpan w:val="2"/>
            <w:vMerge/>
            <w:vAlign w:val="bottom"/>
          </w:tcPr>
          <w:p w:rsidR="00AC12B4" w:rsidRDefault="00AC12B4">
            <w:pPr>
              <w:rPr>
                <w:sz w:val="13"/>
                <w:szCs w:val="13"/>
              </w:rPr>
            </w:pPr>
          </w:p>
        </w:tc>
        <w:tc>
          <w:tcPr>
            <w:tcW w:w="980" w:type="dxa"/>
            <w:gridSpan w:val="3"/>
            <w:vMerge/>
            <w:vAlign w:val="bottom"/>
          </w:tcPr>
          <w:p w:rsidR="00AC12B4" w:rsidRDefault="00AC12B4">
            <w:pPr>
              <w:rPr>
                <w:sz w:val="13"/>
                <w:szCs w:val="13"/>
              </w:rPr>
            </w:pPr>
          </w:p>
        </w:tc>
        <w:tc>
          <w:tcPr>
            <w:tcW w:w="280" w:type="dxa"/>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rsidRPr="00C27636">
        <w:trPr>
          <w:trHeight w:val="115"/>
        </w:trPr>
        <w:tc>
          <w:tcPr>
            <w:tcW w:w="13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460" w:type="dxa"/>
            <w:gridSpan w:val="9"/>
            <w:vMerge/>
            <w:vAlign w:val="bottom"/>
          </w:tcPr>
          <w:p w:rsidR="00AC12B4" w:rsidRDefault="00AC12B4">
            <w:pPr>
              <w:rPr>
                <w:sz w:val="10"/>
                <w:szCs w:val="10"/>
              </w:rPr>
            </w:pPr>
          </w:p>
        </w:tc>
        <w:tc>
          <w:tcPr>
            <w:tcW w:w="2140" w:type="dxa"/>
            <w:gridSpan w:val="8"/>
            <w:vMerge/>
            <w:vAlign w:val="bottom"/>
          </w:tcPr>
          <w:p w:rsidR="00AC12B4" w:rsidRDefault="00AC12B4">
            <w:pPr>
              <w:rPr>
                <w:sz w:val="10"/>
                <w:szCs w:val="10"/>
              </w:rPr>
            </w:pPr>
          </w:p>
        </w:tc>
        <w:tc>
          <w:tcPr>
            <w:tcW w:w="3880" w:type="dxa"/>
            <w:gridSpan w:val="13"/>
            <w:vMerge w:val="restart"/>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reprennent pas les consultations gratuites</w:t>
            </w:r>
          </w:p>
        </w:tc>
        <w:tc>
          <w:tcPr>
            <w:tcW w:w="0" w:type="dxa"/>
            <w:vAlign w:val="bottom"/>
          </w:tcPr>
          <w:p w:rsidR="00AC12B4" w:rsidRPr="00C27636" w:rsidRDefault="00AC12B4">
            <w:pPr>
              <w:rPr>
                <w:sz w:val="1"/>
                <w:szCs w:val="1"/>
                <w:lang w:val="fr-BE"/>
              </w:rPr>
            </w:pPr>
          </w:p>
        </w:tc>
      </w:tr>
      <w:tr w:rsidR="00AC12B4" w:rsidRPr="00C27636">
        <w:trPr>
          <w:trHeight w:val="151"/>
        </w:trPr>
        <w:tc>
          <w:tcPr>
            <w:tcW w:w="1320" w:type="dxa"/>
            <w:vAlign w:val="bottom"/>
          </w:tcPr>
          <w:p w:rsidR="00AC12B4" w:rsidRPr="00C27636" w:rsidRDefault="00AC12B4">
            <w:pPr>
              <w:rPr>
                <w:sz w:val="13"/>
                <w:szCs w:val="13"/>
                <w:lang w:val="fr-BE"/>
              </w:rPr>
            </w:pPr>
          </w:p>
        </w:tc>
        <w:tc>
          <w:tcPr>
            <w:tcW w:w="140" w:type="dxa"/>
            <w:vAlign w:val="bottom"/>
          </w:tcPr>
          <w:p w:rsidR="00AC12B4" w:rsidRPr="00C27636" w:rsidRDefault="00AC12B4">
            <w:pPr>
              <w:rPr>
                <w:sz w:val="13"/>
                <w:szCs w:val="13"/>
                <w:lang w:val="fr-BE"/>
              </w:rPr>
            </w:pPr>
          </w:p>
        </w:tc>
        <w:tc>
          <w:tcPr>
            <w:tcW w:w="540" w:type="dxa"/>
            <w:vAlign w:val="bottom"/>
          </w:tcPr>
          <w:p w:rsidR="00AC12B4" w:rsidRPr="00C27636" w:rsidRDefault="00AC12B4">
            <w:pPr>
              <w:rPr>
                <w:sz w:val="13"/>
                <w:szCs w:val="13"/>
                <w:lang w:val="fr-BE"/>
              </w:rPr>
            </w:pPr>
          </w:p>
        </w:tc>
        <w:tc>
          <w:tcPr>
            <w:tcW w:w="80" w:type="dxa"/>
            <w:vAlign w:val="bottom"/>
          </w:tcPr>
          <w:p w:rsidR="00AC12B4" w:rsidRPr="00C27636" w:rsidRDefault="00AC12B4">
            <w:pPr>
              <w:rPr>
                <w:sz w:val="13"/>
                <w:szCs w:val="13"/>
                <w:lang w:val="fr-BE"/>
              </w:rPr>
            </w:pPr>
          </w:p>
        </w:tc>
        <w:tc>
          <w:tcPr>
            <w:tcW w:w="460" w:type="dxa"/>
            <w:vAlign w:val="bottom"/>
          </w:tcPr>
          <w:p w:rsidR="00AC12B4" w:rsidRPr="00C27636" w:rsidRDefault="00AC12B4">
            <w:pPr>
              <w:rPr>
                <w:sz w:val="13"/>
                <w:szCs w:val="13"/>
                <w:lang w:val="fr-BE"/>
              </w:rPr>
            </w:pPr>
          </w:p>
        </w:tc>
        <w:tc>
          <w:tcPr>
            <w:tcW w:w="20" w:type="dxa"/>
            <w:vAlign w:val="bottom"/>
          </w:tcPr>
          <w:p w:rsidR="00AC12B4" w:rsidRPr="00C27636" w:rsidRDefault="00AC12B4">
            <w:pPr>
              <w:rPr>
                <w:sz w:val="13"/>
                <w:szCs w:val="13"/>
                <w:lang w:val="fr-BE"/>
              </w:rPr>
            </w:pPr>
          </w:p>
        </w:tc>
        <w:tc>
          <w:tcPr>
            <w:tcW w:w="460" w:type="dxa"/>
            <w:vAlign w:val="bottom"/>
          </w:tcPr>
          <w:p w:rsidR="00AC12B4" w:rsidRPr="00C27636" w:rsidRDefault="00AC12B4">
            <w:pPr>
              <w:rPr>
                <w:sz w:val="13"/>
                <w:szCs w:val="13"/>
                <w:lang w:val="fr-BE"/>
              </w:rPr>
            </w:pPr>
          </w:p>
        </w:tc>
        <w:tc>
          <w:tcPr>
            <w:tcW w:w="20" w:type="dxa"/>
            <w:vAlign w:val="bottom"/>
          </w:tcPr>
          <w:p w:rsidR="00AC12B4" w:rsidRPr="00C27636" w:rsidRDefault="00AC12B4">
            <w:pPr>
              <w:rPr>
                <w:sz w:val="13"/>
                <w:szCs w:val="13"/>
                <w:lang w:val="fr-BE"/>
              </w:rPr>
            </w:pPr>
          </w:p>
        </w:tc>
        <w:tc>
          <w:tcPr>
            <w:tcW w:w="480" w:type="dxa"/>
            <w:vAlign w:val="bottom"/>
          </w:tcPr>
          <w:p w:rsidR="00AC12B4" w:rsidRPr="00C27636" w:rsidRDefault="00AC12B4">
            <w:pPr>
              <w:rPr>
                <w:sz w:val="13"/>
                <w:szCs w:val="13"/>
                <w:lang w:val="fr-BE"/>
              </w:rPr>
            </w:pPr>
          </w:p>
        </w:tc>
        <w:tc>
          <w:tcPr>
            <w:tcW w:w="20" w:type="dxa"/>
            <w:vAlign w:val="bottom"/>
          </w:tcPr>
          <w:p w:rsidR="00AC12B4" w:rsidRPr="00C27636" w:rsidRDefault="00AC12B4">
            <w:pPr>
              <w:rPr>
                <w:sz w:val="13"/>
                <w:szCs w:val="13"/>
                <w:lang w:val="fr-BE"/>
              </w:rPr>
            </w:pPr>
          </w:p>
        </w:tc>
        <w:tc>
          <w:tcPr>
            <w:tcW w:w="380" w:type="dxa"/>
            <w:vAlign w:val="bottom"/>
          </w:tcPr>
          <w:p w:rsidR="00AC12B4" w:rsidRPr="00C27636" w:rsidRDefault="00AC12B4">
            <w:pPr>
              <w:rPr>
                <w:sz w:val="13"/>
                <w:szCs w:val="13"/>
                <w:lang w:val="fr-BE"/>
              </w:rPr>
            </w:pPr>
          </w:p>
        </w:tc>
        <w:tc>
          <w:tcPr>
            <w:tcW w:w="80" w:type="dxa"/>
            <w:vAlign w:val="bottom"/>
          </w:tcPr>
          <w:p w:rsidR="00AC12B4" w:rsidRPr="00C27636" w:rsidRDefault="00AC12B4">
            <w:pPr>
              <w:rPr>
                <w:sz w:val="13"/>
                <w:szCs w:val="13"/>
                <w:lang w:val="fr-BE"/>
              </w:rPr>
            </w:pPr>
          </w:p>
        </w:tc>
        <w:tc>
          <w:tcPr>
            <w:tcW w:w="20" w:type="dxa"/>
            <w:vAlign w:val="bottom"/>
          </w:tcPr>
          <w:p w:rsidR="00AC12B4" w:rsidRPr="00C27636" w:rsidRDefault="00AC12B4">
            <w:pPr>
              <w:rPr>
                <w:sz w:val="13"/>
                <w:szCs w:val="13"/>
                <w:lang w:val="fr-BE"/>
              </w:rPr>
            </w:pPr>
          </w:p>
        </w:tc>
        <w:tc>
          <w:tcPr>
            <w:tcW w:w="340" w:type="dxa"/>
            <w:vAlign w:val="bottom"/>
          </w:tcPr>
          <w:p w:rsidR="00AC12B4" w:rsidRPr="00C27636" w:rsidRDefault="00AC12B4">
            <w:pPr>
              <w:rPr>
                <w:sz w:val="13"/>
                <w:szCs w:val="13"/>
                <w:lang w:val="fr-BE"/>
              </w:rPr>
            </w:pPr>
          </w:p>
        </w:tc>
        <w:tc>
          <w:tcPr>
            <w:tcW w:w="80" w:type="dxa"/>
            <w:vAlign w:val="bottom"/>
          </w:tcPr>
          <w:p w:rsidR="00AC12B4" w:rsidRPr="00C27636" w:rsidRDefault="00AC12B4">
            <w:pPr>
              <w:rPr>
                <w:sz w:val="13"/>
                <w:szCs w:val="13"/>
                <w:lang w:val="fr-BE"/>
              </w:rPr>
            </w:pPr>
          </w:p>
        </w:tc>
        <w:tc>
          <w:tcPr>
            <w:tcW w:w="40" w:type="dxa"/>
            <w:vAlign w:val="bottom"/>
          </w:tcPr>
          <w:p w:rsidR="00AC12B4" w:rsidRPr="00C27636" w:rsidRDefault="00AC12B4">
            <w:pPr>
              <w:rPr>
                <w:sz w:val="13"/>
                <w:szCs w:val="13"/>
                <w:lang w:val="fr-BE"/>
              </w:rPr>
            </w:pPr>
          </w:p>
        </w:tc>
        <w:tc>
          <w:tcPr>
            <w:tcW w:w="780" w:type="dxa"/>
            <w:vAlign w:val="bottom"/>
          </w:tcPr>
          <w:p w:rsidR="00AC12B4" w:rsidRPr="00C27636" w:rsidRDefault="00AC12B4">
            <w:pPr>
              <w:rPr>
                <w:sz w:val="13"/>
                <w:szCs w:val="13"/>
                <w:lang w:val="fr-BE"/>
              </w:rPr>
            </w:pPr>
          </w:p>
        </w:tc>
        <w:tc>
          <w:tcPr>
            <w:tcW w:w="720" w:type="dxa"/>
            <w:vAlign w:val="bottom"/>
          </w:tcPr>
          <w:p w:rsidR="00AC12B4" w:rsidRPr="00C27636" w:rsidRDefault="00AC12B4">
            <w:pPr>
              <w:rPr>
                <w:sz w:val="13"/>
                <w:szCs w:val="13"/>
                <w:lang w:val="fr-BE"/>
              </w:rPr>
            </w:pPr>
          </w:p>
        </w:tc>
        <w:tc>
          <w:tcPr>
            <w:tcW w:w="80" w:type="dxa"/>
            <w:vAlign w:val="bottom"/>
          </w:tcPr>
          <w:p w:rsidR="00AC12B4" w:rsidRPr="00C27636" w:rsidRDefault="00AC12B4">
            <w:pPr>
              <w:rPr>
                <w:sz w:val="13"/>
                <w:szCs w:val="13"/>
                <w:lang w:val="fr-BE"/>
              </w:rPr>
            </w:pPr>
          </w:p>
        </w:tc>
        <w:tc>
          <w:tcPr>
            <w:tcW w:w="3880" w:type="dxa"/>
            <w:gridSpan w:val="13"/>
            <w:vMerge/>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187"/>
        </w:trPr>
        <w:tc>
          <w:tcPr>
            <w:tcW w:w="1320" w:type="dxa"/>
            <w:vAlign w:val="bottom"/>
          </w:tcPr>
          <w:p w:rsidR="00AC12B4" w:rsidRPr="00C27636" w:rsidRDefault="00AC12B4">
            <w:pPr>
              <w:rPr>
                <w:sz w:val="16"/>
                <w:szCs w:val="16"/>
                <w:lang w:val="fr-BE"/>
              </w:rPr>
            </w:pPr>
          </w:p>
        </w:tc>
        <w:tc>
          <w:tcPr>
            <w:tcW w:w="140" w:type="dxa"/>
            <w:tcBorders>
              <w:bottom w:val="single" w:sz="8" w:space="0" w:color="C9D11D"/>
            </w:tcBorders>
            <w:vAlign w:val="bottom"/>
          </w:tcPr>
          <w:p w:rsidR="00AC12B4" w:rsidRPr="00C27636" w:rsidRDefault="00AC12B4">
            <w:pPr>
              <w:rPr>
                <w:sz w:val="16"/>
                <w:szCs w:val="16"/>
                <w:lang w:val="fr-BE"/>
              </w:rPr>
            </w:pPr>
          </w:p>
        </w:tc>
        <w:tc>
          <w:tcPr>
            <w:tcW w:w="540" w:type="dxa"/>
            <w:tcBorders>
              <w:bottom w:val="single" w:sz="8" w:space="0" w:color="C9D11D"/>
            </w:tcBorders>
            <w:vAlign w:val="bottom"/>
          </w:tcPr>
          <w:p w:rsidR="00AC12B4" w:rsidRPr="00C27636" w:rsidRDefault="00AC12B4">
            <w:pPr>
              <w:rPr>
                <w:sz w:val="16"/>
                <w:szCs w:val="16"/>
                <w:lang w:val="fr-BE"/>
              </w:rPr>
            </w:pPr>
          </w:p>
        </w:tc>
        <w:tc>
          <w:tcPr>
            <w:tcW w:w="80" w:type="dxa"/>
            <w:tcBorders>
              <w:bottom w:val="single" w:sz="8" w:space="0" w:color="C9D11D"/>
            </w:tcBorders>
            <w:vAlign w:val="bottom"/>
          </w:tcPr>
          <w:p w:rsidR="00AC12B4" w:rsidRPr="00C27636" w:rsidRDefault="00AC12B4">
            <w:pPr>
              <w:rPr>
                <w:sz w:val="16"/>
                <w:szCs w:val="16"/>
                <w:lang w:val="fr-BE"/>
              </w:rPr>
            </w:pPr>
          </w:p>
        </w:tc>
        <w:tc>
          <w:tcPr>
            <w:tcW w:w="460" w:type="dxa"/>
            <w:tcBorders>
              <w:bottom w:val="single" w:sz="8" w:space="0" w:color="C9D11D"/>
            </w:tcBorders>
            <w:vAlign w:val="bottom"/>
          </w:tcPr>
          <w:p w:rsidR="00AC12B4" w:rsidRPr="00C27636" w:rsidRDefault="00AC12B4">
            <w:pPr>
              <w:rPr>
                <w:sz w:val="16"/>
                <w:szCs w:val="16"/>
                <w:lang w:val="fr-BE"/>
              </w:rPr>
            </w:pPr>
          </w:p>
        </w:tc>
        <w:tc>
          <w:tcPr>
            <w:tcW w:w="20" w:type="dxa"/>
            <w:tcBorders>
              <w:bottom w:val="single" w:sz="8" w:space="0" w:color="C9D11D"/>
            </w:tcBorders>
            <w:vAlign w:val="bottom"/>
          </w:tcPr>
          <w:p w:rsidR="00AC12B4" w:rsidRPr="00C27636" w:rsidRDefault="00AC12B4">
            <w:pPr>
              <w:rPr>
                <w:sz w:val="16"/>
                <w:szCs w:val="16"/>
                <w:lang w:val="fr-BE"/>
              </w:rPr>
            </w:pPr>
          </w:p>
        </w:tc>
        <w:tc>
          <w:tcPr>
            <w:tcW w:w="460" w:type="dxa"/>
            <w:tcBorders>
              <w:bottom w:val="single" w:sz="8" w:space="0" w:color="C9D11D"/>
            </w:tcBorders>
            <w:vAlign w:val="bottom"/>
          </w:tcPr>
          <w:p w:rsidR="00AC12B4" w:rsidRPr="00C27636" w:rsidRDefault="00AC12B4">
            <w:pPr>
              <w:rPr>
                <w:sz w:val="16"/>
                <w:szCs w:val="16"/>
                <w:lang w:val="fr-BE"/>
              </w:rPr>
            </w:pPr>
          </w:p>
        </w:tc>
        <w:tc>
          <w:tcPr>
            <w:tcW w:w="20" w:type="dxa"/>
            <w:tcBorders>
              <w:bottom w:val="single" w:sz="8" w:space="0" w:color="C9D11D"/>
            </w:tcBorders>
            <w:vAlign w:val="bottom"/>
          </w:tcPr>
          <w:p w:rsidR="00AC12B4" w:rsidRPr="00C27636" w:rsidRDefault="00AC12B4">
            <w:pPr>
              <w:rPr>
                <w:sz w:val="16"/>
                <w:szCs w:val="16"/>
                <w:lang w:val="fr-BE"/>
              </w:rPr>
            </w:pPr>
          </w:p>
        </w:tc>
        <w:tc>
          <w:tcPr>
            <w:tcW w:w="480" w:type="dxa"/>
            <w:tcBorders>
              <w:bottom w:val="single" w:sz="8" w:space="0" w:color="C9D11D"/>
            </w:tcBorders>
            <w:vAlign w:val="bottom"/>
          </w:tcPr>
          <w:p w:rsidR="00AC12B4" w:rsidRPr="00C27636" w:rsidRDefault="00AC12B4">
            <w:pPr>
              <w:rPr>
                <w:sz w:val="16"/>
                <w:szCs w:val="16"/>
                <w:lang w:val="fr-BE"/>
              </w:rPr>
            </w:pPr>
          </w:p>
        </w:tc>
        <w:tc>
          <w:tcPr>
            <w:tcW w:w="20" w:type="dxa"/>
            <w:tcBorders>
              <w:bottom w:val="single" w:sz="8" w:space="0" w:color="C9D11D"/>
            </w:tcBorders>
            <w:vAlign w:val="bottom"/>
          </w:tcPr>
          <w:p w:rsidR="00AC12B4" w:rsidRPr="00C27636" w:rsidRDefault="00AC12B4">
            <w:pPr>
              <w:rPr>
                <w:sz w:val="16"/>
                <w:szCs w:val="16"/>
                <w:lang w:val="fr-BE"/>
              </w:rPr>
            </w:pPr>
          </w:p>
        </w:tc>
        <w:tc>
          <w:tcPr>
            <w:tcW w:w="380" w:type="dxa"/>
            <w:tcBorders>
              <w:bottom w:val="single" w:sz="8" w:space="0" w:color="C9D11D"/>
            </w:tcBorders>
            <w:vAlign w:val="bottom"/>
          </w:tcPr>
          <w:p w:rsidR="00AC12B4" w:rsidRPr="00C27636" w:rsidRDefault="00AC12B4">
            <w:pPr>
              <w:rPr>
                <w:sz w:val="16"/>
                <w:szCs w:val="16"/>
                <w:lang w:val="fr-BE"/>
              </w:rPr>
            </w:pPr>
          </w:p>
        </w:tc>
        <w:tc>
          <w:tcPr>
            <w:tcW w:w="80" w:type="dxa"/>
            <w:tcBorders>
              <w:bottom w:val="single" w:sz="8" w:space="0" w:color="C9D11D"/>
            </w:tcBorders>
            <w:vAlign w:val="bottom"/>
          </w:tcPr>
          <w:p w:rsidR="00AC12B4" w:rsidRPr="00C27636" w:rsidRDefault="00AC12B4">
            <w:pPr>
              <w:rPr>
                <w:sz w:val="16"/>
                <w:szCs w:val="16"/>
                <w:lang w:val="fr-BE"/>
              </w:rPr>
            </w:pPr>
          </w:p>
        </w:tc>
        <w:tc>
          <w:tcPr>
            <w:tcW w:w="20" w:type="dxa"/>
            <w:tcBorders>
              <w:bottom w:val="single" w:sz="8" w:space="0" w:color="C9D11D"/>
            </w:tcBorders>
            <w:vAlign w:val="bottom"/>
          </w:tcPr>
          <w:p w:rsidR="00AC12B4" w:rsidRPr="00C27636" w:rsidRDefault="00AC12B4">
            <w:pPr>
              <w:rPr>
                <w:sz w:val="16"/>
                <w:szCs w:val="16"/>
                <w:lang w:val="fr-BE"/>
              </w:rPr>
            </w:pPr>
          </w:p>
        </w:tc>
        <w:tc>
          <w:tcPr>
            <w:tcW w:w="340" w:type="dxa"/>
            <w:tcBorders>
              <w:bottom w:val="single" w:sz="8" w:space="0" w:color="C9D11D"/>
            </w:tcBorders>
            <w:vAlign w:val="bottom"/>
          </w:tcPr>
          <w:p w:rsidR="00AC12B4" w:rsidRPr="00C27636" w:rsidRDefault="00AC12B4">
            <w:pPr>
              <w:rPr>
                <w:sz w:val="16"/>
                <w:szCs w:val="16"/>
                <w:lang w:val="fr-BE"/>
              </w:rPr>
            </w:pPr>
          </w:p>
        </w:tc>
        <w:tc>
          <w:tcPr>
            <w:tcW w:w="80" w:type="dxa"/>
            <w:tcBorders>
              <w:bottom w:val="single" w:sz="8" w:space="0" w:color="C9D11D"/>
            </w:tcBorders>
            <w:vAlign w:val="bottom"/>
          </w:tcPr>
          <w:p w:rsidR="00AC12B4" w:rsidRPr="00C27636" w:rsidRDefault="00AC12B4">
            <w:pPr>
              <w:rPr>
                <w:sz w:val="16"/>
                <w:szCs w:val="16"/>
                <w:lang w:val="fr-BE"/>
              </w:rPr>
            </w:pPr>
          </w:p>
        </w:tc>
        <w:tc>
          <w:tcPr>
            <w:tcW w:w="40" w:type="dxa"/>
            <w:tcBorders>
              <w:bottom w:val="single" w:sz="8" w:space="0" w:color="C9D11D"/>
            </w:tcBorders>
            <w:vAlign w:val="bottom"/>
          </w:tcPr>
          <w:p w:rsidR="00AC12B4" w:rsidRPr="00C27636" w:rsidRDefault="00AC12B4">
            <w:pPr>
              <w:rPr>
                <w:sz w:val="16"/>
                <w:szCs w:val="16"/>
                <w:lang w:val="fr-BE"/>
              </w:rPr>
            </w:pPr>
          </w:p>
        </w:tc>
        <w:tc>
          <w:tcPr>
            <w:tcW w:w="780" w:type="dxa"/>
            <w:tcBorders>
              <w:bottom w:val="single" w:sz="8" w:space="0" w:color="C9D11D"/>
            </w:tcBorders>
            <w:vAlign w:val="bottom"/>
          </w:tcPr>
          <w:p w:rsidR="00AC12B4" w:rsidRPr="00C27636" w:rsidRDefault="00AC12B4">
            <w:pPr>
              <w:rPr>
                <w:sz w:val="16"/>
                <w:szCs w:val="16"/>
                <w:lang w:val="fr-BE"/>
              </w:rPr>
            </w:pPr>
          </w:p>
        </w:tc>
        <w:tc>
          <w:tcPr>
            <w:tcW w:w="720" w:type="dxa"/>
            <w:tcBorders>
              <w:bottom w:val="single" w:sz="8" w:space="0" w:color="C9D11D"/>
            </w:tcBorders>
            <w:vAlign w:val="bottom"/>
          </w:tcPr>
          <w:p w:rsidR="00AC12B4" w:rsidRPr="00C27636" w:rsidRDefault="00AC12B4">
            <w:pPr>
              <w:rPr>
                <w:sz w:val="16"/>
                <w:szCs w:val="16"/>
                <w:lang w:val="fr-BE"/>
              </w:rPr>
            </w:pPr>
          </w:p>
        </w:tc>
        <w:tc>
          <w:tcPr>
            <w:tcW w:w="80" w:type="dxa"/>
            <w:vAlign w:val="bottom"/>
          </w:tcPr>
          <w:p w:rsidR="00AC12B4" w:rsidRPr="00C27636" w:rsidRDefault="00AC12B4">
            <w:pPr>
              <w:rPr>
                <w:sz w:val="16"/>
                <w:szCs w:val="16"/>
                <w:lang w:val="fr-BE"/>
              </w:rPr>
            </w:pPr>
          </w:p>
        </w:tc>
        <w:tc>
          <w:tcPr>
            <w:tcW w:w="3880" w:type="dxa"/>
            <w:gridSpan w:val="13"/>
            <w:vMerge w:val="restart"/>
            <w:vAlign w:val="bottom"/>
          </w:tcPr>
          <w:p w:rsidR="00AC12B4" w:rsidRPr="00C27636" w:rsidRDefault="00C27636">
            <w:pPr>
              <w:jc w:val="right"/>
              <w:rPr>
                <w:sz w:val="20"/>
                <w:szCs w:val="20"/>
                <w:lang w:val="fr-BE"/>
              </w:rPr>
            </w:pPr>
            <w:r w:rsidRPr="00C27636">
              <w:rPr>
                <w:rFonts w:ascii="Calibri" w:eastAsia="Calibri" w:hAnsi="Calibri" w:cs="Calibri"/>
                <w:lang w:val="fr-BE"/>
              </w:rPr>
              <w:t>telles que proposées par l’ONE et Kind en</w:t>
            </w:r>
          </w:p>
        </w:tc>
        <w:tc>
          <w:tcPr>
            <w:tcW w:w="0" w:type="dxa"/>
            <w:vAlign w:val="bottom"/>
          </w:tcPr>
          <w:p w:rsidR="00AC12B4" w:rsidRPr="00C27636" w:rsidRDefault="00AC12B4">
            <w:pPr>
              <w:rPr>
                <w:sz w:val="1"/>
                <w:szCs w:val="1"/>
                <w:lang w:val="fr-BE"/>
              </w:rPr>
            </w:pPr>
          </w:p>
        </w:tc>
      </w:tr>
      <w:tr w:rsidR="00AC12B4" w:rsidRPr="00C27636">
        <w:trPr>
          <w:trHeight w:val="61"/>
        </w:trPr>
        <w:tc>
          <w:tcPr>
            <w:tcW w:w="1320" w:type="dxa"/>
            <w:tcBorders>
              <w:right w:val="single" w:sz="8" w:space="0" w:color="C9D11D"/>
            </w:tcBorders>
            <w:vAlign w:val="bottom"/>
          </w:tcPr>
          <w:p w:rsidR="00AC12B4" w:rsidRPr="00C27636" w:rsidRDefault="00AC12B4">
            <w:pPr>
              <w:rPr>
                <w:sz w:val="5"/>
                <w:szCs w:val="5"/>
                <w:lang w:val="fr-BE"/>
              </w:rPr>
            </w:pPr>
          </w:p>
        </w:tc>
        <w:tc>
          <w:tcPr>
            <w:tcW w:w="140" w:type="dxa"/>
            <w:vAlign w:val="bottom"/>
          </w:tcPr>
          <w:p w:rsidR="00AC12B4" w:rsidRPr="00C27636" w:rsidRDefault="00AC12B4">
            <w:pPr>
              <w:rPr>
                <w:sz w:val="5"/>
                <w:szCs w:val="5"/>
                <w:lang w:val="fr-BE"/>
              </w:rPr>
            </w:pPr>
          </w:p>
        </w:tc>
        <w:tc>
          <w:tcPr>
            <w:tcW w:w="540" w:type="dxa"/>
            <w:vAlign w:val="bottom"/>
          </w:tcPr>
          <w:p w:rsidR="00AC12B4" w:rsidRPr="00C27636" w:rsidRDefault="00AC12B4">
            <w:pPr>
              <w:rPr>
                <w:sz w:val="5"/>
                <w:szCs w:val="5"/>
                <w:lang w:val="fr-BE"/>
              </w:rPr>
            </w:pPr>
          </w:p>
        </w:tc>
        <w:tc>
          <w:tcPr>
            <w:tcW w:w="80" w:type="dxa"/>
            <w:vAlign w:val="bottom"/>
          </w:tcPr>
          <w:p w:rsidR="00AC12B4" w:rsidRPr="00C27636" w:rsidRDefault="00AC12B4">
            <w:pPr>
              <w:rPr>
                <w:sz w:val="5"/>
                <w:szCs w:val="5"/>
                <w:lang w:val="fr-BE"/>
              </w:rPr>
            </w:pPr>
          </w:p>
        </w:tc>
        <w:tc>
          <w:tcPr>
            <w:tcW w:w="460" w:type="dxa"/>
            <w:vAlign w:val="bottom"/>
          </w:tcPr>
          <w:p w:rsidR="00AC12B4" w:rsidRPr="00C27636" w:rsidRDefault="00AC12B4">
            <w:pPr>
              <w:rPr>
                <w:sz w:val="5"/>
                <w:szCs w:val="5"/>
                <w:lang w:val="fr-BE"/>
              </w:rPr>
            </w:pPr>
          </w:p>
        </w:tc>
        <w:tc>
          <w:tcPr>
            <w:tcW w:w="20" w:type="dxa"/>
            <w:vAlign w:val="bottom"/>
          </w:tcPr>
          <w:p w:rsidR="00AC12B4" w:rsidRPr="00C27636" w:rsidRDefault="00AC12B4">
            <w:pPr>
              <w:rPr>
                <w:sz w:val="5"/>
                <w:szCs w:val="5"/>
                <w:lang w:val="fr-BE"/>
              </w:rPr>
            </w:pPr>
          </w:p>
        </w:tc>
        <w:tc>
          <w:tcPr>
            <w:tcW w:w="460" w:type="dxa"/>
            <w:vAlign w:val="bottom"/>
          </w:tcPr>
          <w:p w:rsidR="00AC12B4" w:rsidRPr="00C27636" w:rsidRDefault="00AC12B4">
            <w:pPr>
              <w:rPr>
                <w:sz w:val="5"/>
                <w:szCs w:val="5"/>
                <w:lang w:val="fr-BE"/>
              </w:rPr>
            </w:pPr>
          </w:p>
        </w:tc>
        <w:tc>
          <w:tcPr>
            <w:tcW w:w="20" w:type="dxa"/>
            <w:vAlign w:val="bottom"/>
          </w:tcPr>
          <w:p w:rsidR="00AC12B4" w:rsidRPr="00C27636" w:rsidRDefault="00AC12B4">
            <w:pPr>
              <w:rPr>
                <w:sz w:val="5"/>
                <w:szCs w:val="5"/>
                <w:lang w:val="fr-BE"/>
              </w:rPr>
            </w:pPr>
          </w:p>
        </w:tc>
        <w:tc>
          <w:tcPr>
            <w:tcW w:w="480" w:type="dxa"/>
            <w:vAlign w:val="bottom"/>
          </w:tcPr>
          <w:p w:rsidR="00AC12B4" w:rsidRPr="00C27636" w:rsidRDefault="00AC12B4">
            <w:pPr>
              <w:rPr>
                <w:sz w:val="5"/>
                <w:szCs w:val="5"/>
                <w:lang w:val="fr-BE"/>
              </w:rPr>
            </w:pPr>
          </w:p>
        </w:tc>
        <w:tc>
          <w:tcPr>
            <w:tcW w:w="20" w:type="dxa"/>
            <w:vAlign w:val="bottom"/>
          </w:tcPr>
          <w:p w:rsidR="00AC12B4" w:rsidRPr="00C27636" w:rsidRDefault="00AC12B4">
            <w:pPr>
              <w:rPr>
                <w:sz w:val="5"/>
                <w:szCs w:val="5"/>
                <w:lang w:val="fr-BE"/>
              </w:rPr>
            </w:pPr>
          </w:p>
        </w:tc>
        <w:tc>
          <w:tcPr>
            <w:tcW w:w="380" w:type="dxa"/>
            <w:vAlign w:val="bottom"/>
          </w:tcPr>
          <w:p w:rsidR="00AC12B4" w:rsidRPr="00C27636" w:rsidRDefault="00AC12B4">
            <w:pPr>
              <w:rPr>
                <w:sz w:val="5"/>
                <w:szCs w:val="5"/>
                <w:lang w:val="fr-BE"/>
              </w:rPr>
            </w:pPr>
          </w:p>
        </w:tc>
        <w:tc>
          <w:tcPr>
            <w:tcW w:w="80" w:type="dxa"/>
            <w:vAlign w:val="bottom"/>
          </w:tcPr>
          <w:p w:rsidR="00AC12B4" w:rsidRPr="00C27636" w:rsidRDefault="00AC12B4">
            <w:pPr>
              <w:rPr>
                <w:sz w:val="5"/>
                <w:szCs w:val="5"/>
                <w:lang w:val="fr-BE"/>
              </w:rPr>
            </w:pPr>
          </w:p>
        </w:tc>
        <w:tc>
          <w:tcPr>
            <w:tcW w:w="20" w:type="dxa"/>
            <w:vAlign w:val="bottom"/>
          </w:tcPr>
          <w:p w:rsidR="00AC12B4" w:rsidRPr="00C27636" w:rsidRDefault="00AC12B4">
            <w:pPr>
              <w:rPr>
                <w:sz w:val="5"/>
                <w:szCs w:val="5"/>
                <w:lang w:val="fr-BE"/>
              </w:rPr>
            </w:pPr>
          </w:p>
        </w:tc>
        <w:tc>
          <w:tcPr>
            <w:tcW w:w="340" w:type="dxa"/>
            <w:vAlign w:val="bottom"/>
          </w:tcPr>
          <w:p w:rsidR="00AC12B4" w:rsidRPr="00C27636" w:rsidRDefault="00AC12B4">
            <w:pPr>
              <w:rPr>
                <w:sz w:val="5"/>
                <w:szCs w:val="5"/>
                <w:lang w:val="fr-BE"/>
              </w:rPr>
            </w:pPr>
          </w:p>
        </w:tc>
        <w:tc>
          <w:tcPr>
            <w:tcW w:w="80" w:type="dxa"/>
            <w:vAlign w:val="bottom"/>
          </w:tcPr>
          <w:p w:rsidR="00AC12B4" w:rsidRPr="00C27636" w:rsidRDefault="00AC12B4">
            <w:pPr>
              <w:rPr>
                <w:sz w:val="5"/>
                <w:szCs w:val="5"/>
                <w:lang w:val="fr-BE"/>
              </w:rPr>
            </w:pPr>
          </w:p>
        </w:tc>
        <w:tc>
          <w:tcPr>
            <w:tcW w:w="40" w:type="dxa"/>
            <w:vAlign w:val="bottom"/>
          </w:tcPr>
          <w:p w:rsidR="00AC12B4" w:rsidRPr="00C27636" w:rsidRDefault="00AC12B4">
            <w:pPr>
              <w:rPr>
                <w:sz w:val="5"/>
                <w:szCs w:val="5"/>
                <w:lang w:val="fr-BE"/>
              </w:rPr>
            </w:pPr>
          </w:p>
        </w:tc>
        <w:tc>
          <w:tcPr>
            <w:tcW w:w="780" w:type="dxa"/>
            <w:vAlign w:val="bottom"/>
          </w:tcPr>
          <w:p w:rsidR="00AC12B4" w:rsidRPr="00C27636" w:rsidRDefault="00AC12B4">
            <w:pPr>
              <w:rPr>
                <w:sz w:val="5"/>
                <w:szCs w:val="5"/>
                <w:lang w:val="fr-BE"/>
              </w:rPr>
            </w:pPr>
          </w:p>
        </w:tc>
        <w:tc>
          <w:tcPr>
            <w:tcW w:w="720" w:type="dxa"/>
            <w:tcBorders>
              <w:right w:val="single" w:sz="8" w:space="0" w:color="C9D11D"/>
            </w:tcBorders>
            <w:vAlign w:val="bottom"/>
          </w:tcPr>
          <w:p w:rsidR="00AC12B4" w:rsidRPr="00C27636" w:rsidRDefault="00AC12B4">
            <w:pPr>
              <w:rPr>
                <w:sz w:val="5"/>
                <w:szCs w:val="5"/>
                <w:lang w:val="fr-BE"/>
              </w:rPr>
            </w:pPr>
          </w:p>
        </w:tc>
        <w:tc>
          <w:tcPr>
            <w:tcW w:w="80" w:type="dxa"/>
            <w:vAlign w:val="bottom"/>
          </w:tcPr>
          <w:p w:rsidR="00AC12B4" w:rsidRPr="00C27636" w:rsidRDefault="00AC12B4">
            <w:pPr>
              <w:rPr>
                <w:sz w:val="5"/>
                <w:szCs w:val="5"/>
                <w:lang w:val="fr-BE"/>
              </w:rPr>
            </w:pPr>
          </w:p>
        </w:tc>
        <w:tc>
          <w:tcPr>
            <w:tcW w:w="3880" w:type="dxa"/>
            <w:gridSpan w:val="13"/>
            <w:vMerge/>
            <w:vAlign w:val="bottom"/>
          </w:tcPr>
          <w:p w:rsidR="00AC12B4" w:rsidRPr="00C27636" w:rsidRDefault="00AC12B4">
            <w:pPr>
              <w:rPr>
                <w:sz w:val="5"/>
                <w:szCs w:val="5"/>
                <w:lang w:val="fr-BE"/>
              </w:rPr>
            </w:pPr>
          </w:p>
        </w:tc>
        <w:tc>
          <w:tcPr>
            <w:tcW w:w="0" w:type="dxa"/>
            <w:vAlign w:val="bottom"/>
          </w:tcPr>
          <w:p w:rsidR="00AC12B4" w:rsidRPr="00C27636" w:rsidRDefault="00AC12B4">
            <w:pPr>
              <w:rPr>
                <w:sz w:val="1"/>
                <w:szCs w:val="1"/>
                <w:lang w:val="fr-BE"/>
              </w:rPr>
            </w:pPr>
          </w:p>
        </w:tc>
      </w:tr>
      <w:tr w:rsidR="00AC12B4" w:rsidRPr="00C27636">
        <w:trPr>
          <w:trHeight w:val="137"/>
        </w:trPr>
        <w:tc>
          <w:tcPr>
            <w:tcW w:w="1320" w:type="dxa"/>
            <w:vMerge w:val="restart"/>
            <w:tcBorders>
              <w:right w:val="single" w:sz="8" w:space="0" w:color="C9D11D"/>
            </w:tcBorders>
            <w:vAlign w:val="bottom"/>
          </w:tcPr>
          <w:p w:rsidR="00AC12B4" w:rsidRPr="00C27636" w:rsidRDefault="00AC12B4">
            <w:pPr>
              <w:rPr>
                <w:sz w:val="11"/>
                <w:szCs w:val="11"/>
                <w:lang w:val="fr-BE"/>
              </w:rPr>
            </w:pPr>
          </w:p>
        </w:tc>
        <w:tc>
          <w:tcPr>
            <w:tcW w:w="680" w:type="dxa"/>
            <w:gridSpan w:val="2"/>
            <w:vMerge w:val="restart"/>
            <w:vAlign w:val="bottom"/>
          </w:tcPr>
          <w:p w:rsidR="00AC12B4" w:rsidRDefault="00C27636">
            <w:pPr>
              <w:ind w:right="10"/>
              <w:jc w:val="right"/>
              <w:rPr>
                <w:sz w:val="20"/>
                <w:szCs w:val="20"/>
              </w:rPr>
            </w:pPr>
            <w:r>
              <w:rPr>
                <w:rFonts w:ascii="Calibri" w:eastAsia="Calibri" w:hAnsi="Calibri" w:cs="Calibri"/>
                <w:sz w:val="20"/>
                <w:szCs w:val="20"/>
              </w:rPr>
              <w:t>100</w:t>
            </w:r>
            <w:r>
              <w:rPr>
                <w:rFonts w:ascii="Calibri" w:eastAsia="Calibri" w:hAnsi="Calibri" w:cs="Calibri"/>
                <w:sz w:val="20"/>
                <w:szCs w:val="20"/>
              </w:rPr>
              <w:lastRenderedPageBreak/>
              <w:t>%</w:t>
            </w:r>
          </w:p>
        </w:tc>
        <w:tc>
          <w:tcPr>
            <w:tcW w:w="80" w:type="dxa"/>
            <w:tcBorders>
              <w:bottom w:val="single" w:sz="8" w:space="0" w:color="868686"/>
            </w:tcBorders>
            <w:vAlign w:val="bottom"/>
          </w:tcPr>
          <w:p w:rsidR="00AC12B4" w:rsidRDefault="00AC12B4">
            <w:pPr>
              <w:rPr>
                <w:sz w:val="11"/>
                <w:szCs w:val="11"/>
              </w:rPr>
            </w:pPr>
          </w:p>
        </w:tc>
        <w:tc>
          <w:tcPr>
            <w:tcW w:w="4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8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380" w:type="dxa"/>
            <w:tcBorders>
              <w:bottom w:val="single" w:sz="8" w:space="0" w:color="868686"/>
            </w:tcBorders>
            <w:vAlign w:val="bottom"/>
          </w:tcPr>
          <w:p w:rsidR="00AC12B4" w:rsidRDefault="00AC12B4">
            <w:pPr>
              <w:rPr>
                <w:sz w:val="11"/>
                <w:szCs w:val="11"/>
              </w:rPr>
            </w:pPr>
          </w:p>
        </w:tc>
        <w:tc>
          <w:tcPr>
            <w:tcW w:w="8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780" w:type="dxa"/>
            <w:vAlign w:val="bottom"/>
          </w:tcPr>
          <w:p w:rsidR="00AC12B4" w:rsidRDefault="00AC12B4">
            <w:pPr>
              <w:rPr>
                <w:sz w:val="11"/>
                <w:szCs w:val="11"/>
              </w:rPr>
            </w:pPr>
          </w:p>
        </w:tc>
        <w:tc>
          <w:tcPr>
            <w:tcW w:w="720" w:type="dxa"/>
            <w:tcBorders>
              <w:right w:val="single" w:sz="8" w:space="0" w:color="C9D11D"/>
            </w:tcBorders>
            <w:vAlign w:val="bottom"/>
          </w:tcPr>
          <w:p w:rsidR="00AC12B4" w:rsidRDefault="00AC12B4">
            <w:pPr>
              <w:rPr>
                <w:sz w:val="11"/>
                <w:szCs w:val="11"/>
              </w:rPr>
            </w:pPr>
          </w:p>
        </w:tc>
        <w:tc>
          <w:tcPr>
            <w:tcW w:w="80" w:type="dxa"/>
            <w:vAlign w:val="bottom"/>
          </w:tcPr>
          <w:p w:rsidR="00AC12B4" w:rsidRDefault="00AC12B4">
            <w:pPr>
              <w:rPr>
                <w:sz w:val="11"/>
                <w:szCs w:val="11"/>
              </w:rPr>
            </w:pPr>
          </w:p>
        </w:tc>
        <w:tc>
          <w:tcPr>
            <w:tcW w:w="3060" w:type="dxa"/>
            <w:gridSpan w:val="11"/>
            <w:vMerge w:val="restart"/>
            <w:vAlign w:val="bottom"/>
          </w:tcPr>
          <w:p w:rsidR="00AC12B4" w:rsidRPr="00C27636" w:rsidRDefault="00C27636">
            <w:pPr>
              <w:ind w:left="120"/>
              <w:rPr>
                <w:sz w:val="20"/>
                <w:szCs w:val="20"/>
                <w:lang w:val="fr-BE"/>
              </w:rPr>
            </w:pPr>
            <w:r w:rsidRPr="00C27636">
              <w:rPr>
                <w:rFonts w:ascii="Calibri" w:eastAsia="Calibri" w:hAnsi="Calibri" w:cs="Calibri"/>
                <w:lang w:val="fr-BE"/>
              </w:rPr>
              <w:t xml:space="preserve">Gezin (Cf. limite de la </w:t>
            </w:r>
            <w:r w:rsidRPr="00C27636">
              <w:rPr>
                <w:rFonts w:ascii="Calibri" w:eastAsia="Calibri" w:hAnsi="Calibri" w:cs="Calibri"/>
                <w:lang w:val="fr-BE"/>
              </w:rPr>
              <w:lastRenderedPageBreak/>
              <w:t>mesure).</w:t>
            </w:r>
          </w:p>
        </w:tc>
        <w:tc>
          <w:tcPr>
            <w:tcW w:w="540" w:type="dxa"/>
            <w:vAlign w:val="bottom"/>
          </w:tcPr>
          <w:p w:rsidR="00AC12B4" w:rsidRPr="00C27636" w:rsidRDefault="00AC12B4">
            <w:pPr>
              <w:rPr>
                <w:sz w:val="11"/>
                <w:szCs w:val="11"/>
                <w:lang w:val="fr-BE"/>
              </w:rPr>
            </w:pPr>
          </w:p>
        </w:tc>
        <w:tc>
          <w:tcPr>
            <w:tcW w:w="28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rsidRPr="00C27636">
        <w:trPr>
          <w:trHeight w:val="112"/>
        </w:trPr>
        <w:tc>
          <w:tcPr>
            <w:tcW w:w="1320" w:type="dxa"/>
            <w:vMerge/>
            <w:tcBorders>
              <w:right w:val="single" w:sz="8" w:space="0" w:color="C9D11D"/>
            </w:tcBorders>
            <w:vAlign w:val="bottom"/>
          </w:tcPr>
          <w:p w:rsidR="00AC12B4" w:rsidRPr="00C27636" w:rsidRDefault="00AC12B4">
            <w:pPr>
              <w:rPr>
                <w:sz w:val="9"/>
                <w:szCs w:val="9"/>
                <w:lang w:val="fr-BE"/>
              </w:rPr>
            </w:pPr>
          </w:p>
        </w:tc>
        <w:tc>
          <w:tcPr>
            <w:tcW w:w="680" w:type="dxa"/>
            <w:gridSpan w:val="2"/>
            <w:vMerge/>
            <w:vAlign w:val="bottom"/>
          </w:tcPr>
          <w:p w:rsidR="00AC12B4" w:rsidRPr="00C27636" w:rsidRDefault="00AC12B4">
            <w:pPr>
              <w:rPr>
                <w:sz w:val="9"/>
                <w:szCs w:val="9"/>
                <w:lang w:val="fr-BE"/>
              </w:rPr>
            </w:pPr>
          </w:p>
        </w:tc>
        <w:tc>
          <w:tcPr>
            <w:tcW w:w="80" w:type="dxa"/>
            <w:tcBorders>
              <w:right w:val="single" w:sz="8" w:space="0" w:color="868686"/>
            </w:tcBorders>
            <w:vAlign w:val="bottom"/>
          </w:tcPr>
          <w:p w:rsidR="00AC12B4" w:rsidRPr="00C27636" w:rsidRDefault="00AC12B4">
            <w:pPr>
              <w:rPr>
                <w:sz w:val="9"/>
                <w:szCs w:val="9"/>
                <w:lang w:val="fr-BE"/>
              </w:rPr>
            </w:pPr>
          </w:p>
        </w:tc>
        <w:tc>
          <w:tcPr>
            <w:tcW w:w="46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46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4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380" w:type="dxa"/>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340" w:type="dxa"/>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40" w:type="dxa"/>
            <w:vAlign w:val="bottom"/>
          </w:tcPr>
          <w:p w:rsidR="00AC12B4" w:rsidRPr="00C27636" w:rsidRDefault="00AC12B4">
            <w:pPr>
              <w:rPr>
                <w:sz w:val="9"/>
                <w:szCs w:val="9"/>
                <w:lang w:val="fr-BE"/>
              </w:rPr>
            </w:pPr>
          </w:p>
        </w:tc>
        <w:tc>
          <w:tcPr>
            <w:tcW w:w="780" w:type="dxa"/>
            <w:vAlign w:val="bottom"/>
          </w:tcPr>
          <w:p w:rsidR="00AC12B4" w:rsidRPr="00C27636" w:rsidRDefault="00AC12B4">
            <w:pPr>
              <w:rPr>
                <w:sz w:val="9"/>
                <w:szCs w:val="9"/>
                <w:lang w:val="fr-BE"/>
              </w:rPr>
            </w:pPr>
          </w:p>
        </w:tc>
        <w:tc>
          <w:tcPr>
            <w:tcW w:w="720" w:type="dxa"/>
            <w:tcBorders>
              <w:right w:val="single" w:sz="8" w:space="0" w:color="C9D11D"/>
            </w:tcBorders>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3060" w:type="dxa"/>
            <w:gridSpan w:val="11"/>
            <w:vMerge/>
            <w:vAlign w:val="bottom"/>
          </w:tcPr>
          <w:p w:rsidR="00AC12B4" w:rsidRPr="00C27636" w:rsidRDefault="00AC12B4">
            <w:pPr>
              <w:rPr>
                <w:sz w:val="9"/>
                <w:szCs w:val="9"/>
                <w:lang w:val="fr-BE"/>
              </w:rPr>
            </w:pPr>
          </w:p>
        </w:tc>
        <w:tc>
          <w:tcPr>
            <w:tcW w:w="540" w:type="dxa"/>
            <w:vAlign w:val="bottom"/>
          </w:tcPr>
          <w:p w:rsidR="00AC12B4" w:rsidRPr="00C27636" w:rsidRDefault="00AC12B4">
            <w:pPr>
              <w:rPr>
                <w:sz w:val="9"/>
                <w:szCs w:val="9"/>
                <w:lang w:val="fr-BE"/>
              </w:rPr>
            </w:pPr>
          </w:p>
        </w:tc>
        <w:tc>
          <w:tcPr>
            <w:tcW w:w="28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170"/>
        </w:trPr>
        <w:tc>
          <w:tcPr>
            <w:tcW w:w="1320" w:type="dxa"/>
            <w:vMerge w:val="restart"/>
            <w:tcBorders>
              <w:right w:val="single" w:sz="8" w:space="0" w:color="C9D11D"/>
            </w:tcBorders>
            <w:vAlign w:val="bottom"/>
          </w:tcPr>
          <w:p w:rsidR="00AC12B4" w:rsidRPr="00C27636" w:rsidRDefault="00AC12B4">
            <w:pPr>
              <w:rPr>
                <w:sz w:val="14"/>
                <w:szCs w:val="14"/>
                <w:lang w:val="fr-BE"/>
              </w:rPr>
            </w:pPr>
          </w:p>
        </w:tc>
        <w:tc>
          <w:tcPr>
            <w:tcW w:w="680" w:type="dxa"/>
            <w:gridSpan w:val="2"/>
            <w:vMerge w:val="restart"/>
            <w:vAlign w:val="bottom"/>
          </w:tcPr>
          <w:p w:rsidR="00AC12B4" w:rsidRDefault="00C27636">
            <w:pPr>
              <w:ind w:right="10"/>
              <w:jc w:val="right"/>
              <w:rPr>
                <w:sz w:val="20"/>
                <w:szCs w:val="20"/>
              </w:rPr>
            </w:pPr>
            <w:r>
              <w:rPr>
                <w:rFonts w:ascii="Calibri" w:eastAsia="Calibri" w:hAnsi="Calibri" w:cs="Calibri"/>
                <w:sz w:val="20"/>
                <w:szCs w:val="20"/>
              </w:rPr>
              <w:t>80%</w:t>
            </w:r>
          </w:p>
        </w:tc>
        <w:tc>
          <w:tcPr>
            <w:tcW w:w="80" w:type="dxa"/>
            <w:tcBorders>
              <w:bottom w:val="single" w:sz="8" w:space="0" w:color="868686"/>
              <w:right w:val="single" w:sz="8" w:space="0" w:color="868686"/>
            </w:tcBorders>
            <w:vAlign w:val="bottom"/>
          </w:tcPr>
          <w:p w:rsidR="00AC12B4" w:rsidRDefault="00AC12B4">
            <w:pPr>
              <w:rPr>
                <w:sz w:val="14"/>
                <w:szCs w:val="14"/>
              </w:rPr>
            </w:pPr>
          </w:p>
        </w:tc>
        <w:tc>
          <w:tcPr>
            <w:tcW w:w="46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6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380" w:type="dxa"/>
            <w:tcBorders>
              <w:bottom w:val="single" w:sz="8" w:space="0" w:color="868686"/>
            </w:tcBorders>
            <w:vAlign w:val="bottom"/>
          </w:tcPr>
          <w:p w:rsidR="00AC12B4" w:rsidRDefault="00AC12B4">
            <w:pPr>
              <w:rPr>
                <w:sz w:val="14"/>
                <w:szCs w:val="14"/>
              </w:rPr>
            </w:pPr>
          </w:p>
        </w:tc>
        <w:tc>
          <w:tcPr>
            <w:tcW w:w="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340" w:type="dxa"/>
            <w:vAlign w:val="bottom"/>
          </w:tcPr>
          <w:p w:rsidR="00AC12B4" w:rsidRDefault="00AC12B4">
            <w:pPr>
              <w:rPr>
                <w:sz w:val="14"/>
                <w:szCs w:val="14"/>
              </w:rPr>
            </w:pPr>
          </w:p>
        </w:tc>
        <w:tc>
          <w:tcPr>
            <w:tcW w:w="80" w:type="dxa"/>
            <w:vAlign w:val="bottom"/>
          </w:tcPr>
          <w:p w:rsidR="00AC12B4" w:rsidRDefault="00AC12B4">
            <w:pPr>
              <w:rPr>
                <w:sz w:val="14"/>
                <w:szCs w:val="14"/>
              </w:rPr>
            </w:pPr>
          </w:p>
        </w:tc>
        <w:tc>
          <w:tcPr>
            <w:tcW w:w="40" w:type="dxa"/>
            <w:vAlign w:val="bottom"/>
          </w:tcPr>
          <w:p w:rsidR="00AC12B4" w:rsidRDefault="00AC12B4">
            <w:pPr>
              <w:rPr>
                <w:sz w:val="14"/>
                <w:szCs w:val="14"/>
              </w:rPr>
            </w:pPr>
          </w:p>
        </w:tc>
        <w:tc>
          <w:tcPr>
            <w:tcW w:w="1500" w:type="dxa"/>
            <w:gridSpan w:val="2"/>
            <w:vMerge w:val="restart"/>
            <w:tcBorders>
              <w:right w:val="single" w:sz="8" w:space="0" w:color="C9D11D"/>
            </w:tcBorders>
            <w:vAlign w:val="bottom"/>
          </w:tcPr>
          <w:p w:rsidR="00AC12B4" w:rsidRDefault="00C27636">
            <w:pPr>
              <w:ind w:left="20"/>
              <w:rPr>
                <w:sz w:val="20"/>
                <w:szCs w:val="20"/>
              </w:rPr>
            </w:pPr>
            <w:r>
              <w:rPr>
                <w:rFonts w:ascii="Calibri" w:eastAsia="Calibri" w:hAnsi="Calibri" w:cs="Calibri"/>
                <w:sz w:val="20"/>
                <w:szCs w:val="20"/>
              </w:rPr>
              <w:t>Femmes dont la</w:t>
            </w:r>
          </w:p>
        </w:tc>
        <w:tc>
          <w:tcPr>
            <w:tcW w:w="80" w:type="dxa"/>
            <w:vAlign w:val="bottom"/>
          </w:tcPr>
          <w:p w:rsidR="00AC12B4" w:rsidRDefault="00AC12B4">
            <w:pPr>
              <w:rPr>
                <w:sz w:val="14"/>
                <w:szCs w:val="14"/>
              </w:rPr>
            </w:pPr>
          </w:p>
        </w:tc>
        <w:tc>
          <w:tcPr>
            <w:tcW w:w="440" w:type="dxa"/>
            <w:vAlign w:val="bottom"/>
          </w:tcPr>
          <w:p w:rsidR="00AC12B4" w:rsidRDefault="00AC12B4">
            <w:pPr>
              <w:rPr>
                <w:sz w:val="14"/>
                <w:szCs w:val="14"/>
              </w:rPr>
            </w:pPr>
          </w:p>
        </w:tc>
        <w:tc>
          <w:tcPr>
            <w:tcW w:w="240" w:type="dxa"/>
            <w:vAlign w:val="bottom"/>
          </w:tcPr>
          <w:p w:rsidR="00AC12B4" w:rsidRDefault="00AC12B4">
            <w:pPr>
              <w:rPr>
                <w:sz w:val="14"/>
                <w:szCs w:val="14"/>
              </w:rPr>
            </w:pPr>
          </w:p>
        </w:tc>
        <w:tc>
          <w:tcPr>
            <w:tcW w:w="240" w:type="dxa"/>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54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400" w:type="dxa"/>
            <w:vAlign w:val="bottom"/>
          </w:tcPr>
          <w:p w:rsidR="00AC12B4" w:rsidRDefault="00AC12B4">
            <w:pPr>
              <w:rPr>
                <w:sz w:val="14"/>
                <w:szCs w:val="14"/>
              </w:rPr>
            </w:pPr>
          </w:p>
        </w:tc>
        <w:tc>
          <w:tcPr>
            <w:tcW w:w="180" w:type="dxa"/>
            <w:vAlign w:val="bottom"/>
          </w:tcPr>
          <w:p w:rsidR="00AC12B4" w:rsidRDefault="00AC12B4">
            <w:pPr>
              <w:rPr>
                <w:sz w:val="14"/>
                <w:szCs w:val="14"/>
              </w:rPr>
            </w:pPr>
          </w:p>
        </w:tc>
        <w:tc>
          <w:tcPr>
            <w:tcW w:w="280" w:type="dxa"/>
            <w:vAlign w:val="bottom"/>
          </w:tcPr>
          <w:p w:rsidR="00AC12B4" w:rsidRDefault="00AC12B4">
            <w:pPr>
              <w:rPr>
                <w:sz w:val="14"/>
                <w:szCs w:val="14"/>
              </w:rPr>
            </w:pPr>
          </w:p>
        </w:tc>
        <w:tc>
          <w:tcPr>
            <w:tcW w:w="260" w:type="dxa"/>
            <w:vAlign w:val="bottom"/>
          </w:tcPr>
          <w:p w:rsidR="00AC12B4" w:rsidRDefault="00AC12B4">
            <w:pPr>
              <w:rPr>
                <w:sz w:val="14"/>
                <w:szCs w:val="14"/>
              </w:rPr>
            </w:pPr>
          </w:p>
        </w:tc>
        <w:tc>
          <w:tcPr>
            <w:tcW w:w="180" w:type="dxa"/>
            <w:vAlign w:val="bottom"/>
          </w:tcPr>
          <w:p w:rsidR="00AC12B4" w:rsidRDefault="00AC12B4">
            <w:pPr>
              <w:rPr>
                <w:sz w:val="14"/>
                <w:szCs w:val="14"/>
              </w:rPr>
            </w:pPr>
          </w:p>
        </w:tc>
        <w:tc>
          <w:tcPr>
            <w:tcW w:w="540" w:type="dxa"/>
            <w:vAlign w:val="bottom"/>
          </w:tcPr>
          <w:p w:rsidR="00AC12B4" w:rsidRDefault="00AC12B4">
            <w:pPr>
              <w:rPr>
                <w:sz w:val="14"/>
                <w:szCs w:val="14"/>
              </w:rPr>
            </w:pPr>
          </w:p>
        </w:tc>
        <w:tc>
          <w:tcPr>
            <w:tcW w:w="28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91"/>
        </w:trPr>
        <w:tc>
          <w:tcPr>
            <w:tcW w:w="1320" w:type="dxa"/>
            <w:vMerge/>
            <w:tcBorders>
              <w:right w:val="single" w:sz="8" w:space="0" w:color="C9D11D"/>
            </w:tcBorders>
            <w:vAlign w:val="bottom"/>
          </w:tcPr>
          <w:p w:rsidR="00AC12B4" w:rsidRDefault="00AC12B4">
            <w:pPr>
              <w:rPr>
                <w:sz w:val="7"/>
                <w:szCs w:val="7"/>
              </w:rPr>
            </w:pPr>
          </w:p>
        </w:tc>
        <w:tc>
          <w:tcPr>
            <w:tcW w:w="680" w:type="dxa"/>
            <w:gridSpan w:val="2"/>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1500" w:type="dxa"/>
            <w:gridSpan w:val="2"/>
            <w:vMerge/>
            <w:tcBorders>
              <w:right w:val="single" w:sz="8" w:space="0" w:color="C9D11D"/>
            </w:tcBorders>
            <w:vAlign w:val="bottom"/>
          </w:tcPr>
          <w:p w:rsidR="00AC12B4" w:rsidRDefault="00AC12B4">
            <w:pPr>
              <w:rPr>
                <w:sz w:val="7"/>
                <w:szCs w:val="7"/>
              </w:rPr>
            </w:pPr>
          </w:p>
        </w:tc>
        <w:tc>
          <w:tcPr>
            <w:tcW w:w="8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54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54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43"/>
        </w:trPr>
        <w:tc>
          <w:tcPr>
            <w:tcW w:w="1320" w:type="dxa"/>
            <w:tcBorders>
              <w:right w:val="single" w:sz="8" w:space="0" w:color="C9D11D"/>
            </w:tcBorders>
            <w:vAlign w:val="bottom"/>
          </w:tcPr>
          <w:p w:rsidR="00AC12B4" w:rsidRDefault="00AC12B4">
            <w:pPr>
              <w:rPr>
                <w:sz w:val="21"/>
                <w:szCs w:val="21"/>
              </w:rPr>
            </w:pPr>
          </w:p>
        </w:tc>
        <w:tc>
          <w:tcPr>
            <w:tcW w:w="680" w:type="dxa"/>
            <w:gridSpan w:val="2"/>
            <w:vAlign w:val="bottom"/>
          </w:tcPr>
          <w:p w:rsidR="00AC12B4" w:rsidRDefault="00C27636">
            <w:pPr>
              <w:ind w:right="10"/>
              <w:jc w:val="right"/>
              <w:rPr>
                <w:sz w:val="20"/>
                <w:szCs w:val="20"/>
              </w:rPr>
            </w:pPr>
            <w:r>
              <w:rPr>
                <w:rFonts w:ascii="Calibri" w:eastAsia="Calibri" w:hAnsi="Calibri" w:cs="Calibri"/>
                <w:sz w:val="20"/>
                <w:szCs w:val="20"/>
              </w:rPr>
              <w:t>60%</w:t>
            </w:r>
          </w:p>
        </w:tc>
        <w:tc>
          <w:tcPr>
            <w:tcW w:w="80" w:type="dxa"/>
            <w:tcBorders>
              <w:bottom w:val="single" w:sz="8" w:space="0" w:color="868686"/>
              <w:right w:val="single" w:sz="8" w:space="0" w:color="868686"/>
            </w:tcBorders>
            <w:vAlign w:val="bottom"/>
          </w:tcPr>
          <w:p w:rsidR="00AC12B4" w:rsidRDefault="00AC12B4">
            <w:pPr>
              <w:rPr>
                <w:sz w:val="21"/>
                <w:szCs w:val="21"/>
              </w:rPr>
            </w:pPr>
          </w:p>
        </w:tc>
        <w:tc>
          <w:tcPr>
            <w:tcW w:w="46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46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4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380" w:type="dxa"/>
            <w:tcBorders>
              <w:bottom w:val="single" w:sz="8" w:space="0" w:color="868686"/>
            </w:tcBorders>
            <w:vAlign w:val="bottom"/>
          </w:tcPr>
          <w:p w:rsidR="00AC12B4" w:rsidRDefault="00AC12B4">
            <w:pPr>
              <w:rPr>
                <w:sz w:val="21"/>
                <w:szCs w:val="21"/>
              </w:rPr>
            </w:pPr>
          </w:p>
        </w:tc>
        <w:tc>
          <w:tcPr>
            <w:tcW w:w="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340" w:type="dxa"/>
            <w:vAlign w:val="bottom"/>
          </w:tcPr>
          <w:p w:rsidR="00AC12B4" w:rsidRDefault="00AC12B4">
            <w:pPr>
              <w:rPr>
                <w:sz w:val="21"/>
                <w:szCs w:val="21"/>
              </w:rPr>
            </w:pPr>
          </w:p>
        </w:tc>
        <w:tc>
          <w:tcPr>
            <w:tcW w:w="80" w:type="dxa"/>
            <w:tcBorders>
              <w:bottom w:val="single" w:sz="8" w:space="0" w:color="C0504D"/>
            </w:tcBorders>
            <w:vAlign w:val="bottom"/>
          </w:tcPr>
          <w:p w:rsidR="00AC12B4" w:rsidRDefault="00AC12B4">
            <w:pPr>
              <w:rPr>
                <w:sz w:val="21"/>
                <w:szCs w:val="21"/>
              </w:rPr>
            </w:pPr>
          </w:p>
        </w:tc>
        <w:tc>
          <w:tcPr>
            <w:tcW w:w="40" w:type="dxa"/>
            <w:vAlign w:val="bottom"/>
          </w:tcPr>
          <w:p w:rsidR="00AC12B4" w:rsidRDefault="00AC12B4">
            <w:pPr>
              <w:rPr>
                <w:sz w:val="21"/>
                <w:szCs w:val="21"/>
              </w:rPr>
            </w:pPr>
          </w:p>
        </w:tc>
        <w:tc>
          <w:tcPr>
            <w:tcW w:w="1500" w:type="dxa"/>
            <w:gridSpan w:val="2"/>
            <w:vMerge/>
            <w:tcBorders>
              <w:right w:val="single" w:sz="8" w:space="0" w:color="C9D11D"/>
            </w:tcBorders>
            <w:vAlign w:val="bottom"/>
          </w:tcPr>
          <w:p w:rsidR="00AC12B4" w:rsidRDefault="00AC12B4">
            <w:pPr>
              <w:rPr>
                <w:sz w:val="21"/>
                <w:szCs w:val="21"/>
              </w:rPr>
            </w:pPr>
          </w:p>
        </w:tc>
        <w:tc>
          <w:tcPr>
            <w:tcW w:w="80" w:type="dxa"/>
            <w:vAlign w:val="bottom"/>
          </w:tcPr>
          <w:p w:rsidR="00AC12B4" w:rsidRDefault="00AC12B4">
            <w:pPr>
              <w:rPr>
                <w:sz w:val="21"/>
                <w:szCs w:val="21"/>
              </w:rPr>
            </w:pPr>
          </w:p>
        </w:tc>
        <w:tc>
          <w:tcPr>
            <w:tcW w:w="440" w:type="dxa"/>
            <w:tcBorders>
              <w:bottom w:val="single" w:sz="8" w:space="0" w:color="auto"/>
            </w:tcBorders>
            <w:vAlign w:val="bottom"/>
          </w:tcPr>
          <w:p w:rsidR="00AC12B4" w:rsidRDefault="00AC12B4">
            <w:pPr>
              <w:rPr>
                <w:sz w:val="21"/>
                <w:szCs w:val="21"/>
              </w:rPr>
            </w:pPr>
          </w:p>
        </w:tc>
        <w:tc>
          <w:tcPr>
            <w:tcW w:w="240" w:type="dxa"/>
            <w:tcBorders>
              <w:bottom w:val="single" w:sz="8" w:space="0" w:color="auto"/>
            </w:tcBorders>
            <w:vAlign w:val="bottom"/>
          </w:tcPr>
          <w:p w:rsidR="00AC12B4" w:rsidRDefault="00AC12B4">
            <w:pPr>
              <w:rPr>
                <w:sz w:val="21"/>
                <w:szCs w:val="21"/>
              </w:rPr>
            </w:pPr>
          </w:p>
        </w:tc>
        <w:tc>
          <w:tcPr>
            <w:tcW w:w="240" w:type="dxa"/>
            <w:tcBorders>
              <w:bottom w:val="single" w:sz="8" w:space="0" w:color="auto"/>
            </w:tcBorders>
            <w:vAlign w:val="bottom"/>
          </w:tcPr>
          <w:p w:rsidR="00AC12B4" w:rsidRDefault="00AC12B4">
            <w:pPr>
              <w:rPr>
                <w:sz w:val="21"/>
                <w:szCs w:val="21"/>
              </w:rPr>
            </w:pPr>
          </w:p>
        </w:tc>
        <w:tc>
          <w:tcPr>
            <w:tcW w:w="200" w:type="dxa"/>
            <w:tcBorders>
              <w:bottom w:val="single" w:sz="8" w:space="0" w:color="auto"/>
            </w:tcBorders>
            <w:vAlign w:val="bottom"/>
          </w:tcPr>
          <w:p w:rsidR="00AC12B4" w:rsidRDefault="00AC12B4">
            <w:pPr>
              <w:rPr>
                <w:sz w:val="21"/>
                <w:szCs w:val="21"/>
              </w:rPr>
            </w:pPr>
          </w:p>
        </w:tc>
        <w:tc>
          <w:tcPr>
            <w:tcW w:w="540" w:type="dxa"/>
            <w:tcBorders>
              <w:bottom w:val="single" w:sz="8" w:space="0" w:color="auto"/>
            </w:tcBorders>
            <w:vAlign w:val="bottom"/>
          </w:tcPr>
          <w:p w:rsidR="00AC12B4" w:rsidRDefault="00AC12B4">
            <w:pPr>
              <w:rPr>
                <w:sz w:val="21"/>
                <w:szCs w:val="21"/>
              </w:rPr>
            </w:pPr>
          </w:p>
        </w:tc>
        <w:tc>
          <w:tcPr>
            <w:tcW w:w="100" w:type="dxa"/>
            <w:tcBorders>
              <w:bottom w:val="single" w:sz="8" w:space="0" w:color="auto"/>
            </w:tcBorders>
            <w:vAlign w:val="bottom"/>
          </w:tcPr>
          <w:p w:rsidR="00AC12B4" w:rsidRDefault="00AC12B4">
            <w:pPr>
              <w:rPr>
                <w:sz w:val="21"/>
                <w:szCs w:val="21"/>
              </w:rPr>
            </w:pPr>
          </w:p>
        </w:tc>
        <w:tc>
          <w:tcPr>
            <w:tcW w:w="400" w:type="dxa"/>
            <w:tcBorders>
              <w:bottom w:val="single" w:sz="8" w:space="0" w:color="auto"/>
            </w:tcBorders>
            <w:vAlign w:val="bottom"/>
          </w:tcPr>
          <w:p w:rsidR="00AC12B4" w:rsidRDefault="00AC12B4">
            <w:pPr>
              <w:rPr>
                <w:sz w:val="21"/>
                <w:szCs w:val="21"/>
              </w:rPr>
            </w:pPr>
          </w:p>
        </w:tc>
        <w:tc>
          <w:tcPr>
            <w:tcW w:w="180" w:type="dxa"/>
            <w:tcBorders>
              <w:bottom w:val="single" w:sz="8" w:space="0" w:color="auto"/>
            </w:tcBorders>
            <w:vAlign w:val="bottom"/>
          </w:tcPr>
          <w:p w:rsidR="00AC12B4" w:rsidRDefault="00AC12B4">
            <w:pPr>
              <w:rPr>
                <w:sz w:val="21"/>
                <w:szCs w:val="21"/>
              </w:rPr>
            </w:pPr>
          </w:p>
        </w:tc>
        <w:tc>
          <w:tcPr>
            <w:tcW w:w="280" w:type="dxa"/>
            <w:tcBorders>
              <w:bottom w:val="single" w:sz="8" w:space="0" w:color="auto"/>
            </w:tcBorders>
            <w:vAlign w:val="bottom"/>
          </w:tcPr>
          <w:p w:rsidR="00AC12B4" w:rsidRDefault="00AC12B4">
            <w:pPr>
              <w:rPr>
                <w:sz w:val="21"/>
                <w:szCs w:val="21"/>
              </w:rPr>
            </w:pPr>
          </w:p>
        </w:tc>
        <w:tc>
          <w:tcPr>
            <w:tcW w:w="260" w:type="dxa"/>
            <w:tcBorders>
              <w:bottom w:val="single" w:sz="8" w:space="0" w:color="auto"/>
            </w:tcBorders>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540" w:type="dxa"/>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33"/>
        </w:trPr>
        <w:tc>
          <w:tcPr>
            <w:tcW w:w="1320" w:type="dxa"/>
            <w:tcBorders>
              <w:right w:val="single" w:sz="8" w:space="0" w:color="C9D11D"/>
            </w:tcBorders>
            <w:vAlign w:val="bottom"/>
          </w:tcPr>
          <w:p w:rsidR="00AC12B4" w:rsidRDefault="00AC12B4">
            <w:pPr>
              <w:rPr>
                <w:sz w:val="20"/>
                <w:szCs w:val="20"/>
              </w:rPr>
            </w:pPr>
          </w:p>
        </w:tc>
        <w:tc>
          <w:tcPr>
            <w:tcW w:w="680" w:type="dxa"/>
            <w:gridSpan w:val="2"/>
            <w:vMerge w:val="restart"/>
            <w:vAlign w:val="bottom"/>
          </w:tcPr>
          <w:p w:rsidR="00AC12B4" w:rsidRDefault="00C27636">
            <w:pPr>
              <w:ind w:right="10"/>
              <w:jc w:val="right"/>
              <w:rPr>
                <w:sz w:val="20"/>
                <w:szCs w:val="20"/>
              </w:rPr>
            </w:pPr>
            <w:r>
              <w:rPr>
                <w:rFonts w:ascii="Calibri" w:eastAsia="Calibri" w:hAnsi="Calibri" w:cs="Calibri"/>
                <w:sz w:val="20"/>
                <w:szCs w:val="20"/>
              </w:rPr>
              <w:t>40%</w:t>
            </w:r>
          </w:p>
        </w:tc>
        <w:tc>
          <w:tcPr>
            <w:tcW w:w="80" w:type="dxa"/>
            <w:tcBorders>
              <w:bottom w:val="single" w:sz="8" w:space="0" w:color="868686"/>
              <w:right w:val="single" w:sz="8" w:space="0" w:color="868686"/>
            </w:tcBorders>
            <w:vAlign w:val="bottom"/>
          </w:tcPr>
          <w:p w:rsidR="00AC12B4" w:rsidRDefault="00AC12B4">
            <w:pPr>
              <w:rPr>
                <w:sz w:val="20"/>
                <w:szCs w:val="20"/>
              </w:rPr>
            </w:pPr>
          </w:p>
        </w:tc>
        <w:tc>
          <w:tcPr>
            <w:tcW w:w="460" w:type="dxa"/>
            <w:tcBorders>
              <w:bottom w:val="single" w:sz="8" w:space="0" w:color="868686"/>
            </w:tcBorders>
            <w:vAlign w:val="bottom"/>
          </w:tcPr>
          <w:p w:rsidR="00AC12B4" w:rsidRDefault="00AC12B4">
            <w:pPr>
              <w:rPr>
                <w:sz w:val="20"/>
                <w:szCs w:val="20"/>
              </w:rPr>
            </w:pPr>
          </w:p>
        </w:tc>
        <w:tc>
          <w:tcPr>
            <w:tcW w:w="20" w:type="dxa"/>
            <w:tcBorders>
              <w:bottom w:val="single" w:sz="8" w:space="0" w:color="868686"/>
            </w:tcBorders>
            <w:vAlign w:val="bottom"/>
          </w:tcPr>
          <w:p w:rsidR="00AC12B4" w:rsidRDefault="00AC12B4">
            <w:pPr>
              <w:rPr>
                <w:sz w:val="20"/>
                <w:szCs w:val="20"/>
              </w:rPr>
            </w:pPr>
          </w:p>
        </w:tc>
        <w:tc>
          <w:tcPr>
            <w:tcW w:w="460" w:type="dxa"/>
            <w:tcBorders>
              <w:bottom w:val="single" w:sz="8" w:space="0" w:color="868686"/>
            </w:tcBorders>
            <w:vAlign w:val="bottom"/>
          </w:tcPr>
          <w:p w:rsidR="00AC12B4" w:rsidRDefault="00AC12B4">
            <w:pPr>
              <w:rPr>
                <w:sz w:val="20"/>
                <w:szCs w:val="20"/>
              </w:rPr>
            </w:pPr>
          </w:p>
        </w:tc>
        <w:tc>
          <w:tcPr>
            <w:tcW w:w="20" w:type="dxa"/>
            <w:tcBorders>
              <w:bottom w:val="single" w:sz="8" w:space="0" w:color="868686"/>
            </w:tcBorders>
            <w:vAlign w:val="bottom"/>
          </w:tcPr>
          <w:p w:rsidR="00AC12B4" w:rsidRDefault="00AC12B4">
            <w:pPr>
              <w:rPr>
                <w:sz w:val="20"/>
                <w:szCs w:val="20"/>
              </w:rPr>
            </w:pPr>
          </w:p>
        </w:tc>
        <w:tc>
          <w:tcPr>
            <w:tcW w:w="480" w:type="dxa"/>
            <w:tcBorders>
              <w:bottom w:val="single" w:sz="8" w:space="0" w:color="868686"/>
            </w:tcBorders>
            <w:vAlign w:val="bottom"/>
          </w:tcPr>
          <w:p w:rsidR="00AC12B4" w:rsidRDefault="00AC12B4">
            <w:pPr>
              <w:rPr>
                <w:sz w:val="20"/>
                <w:szCs w:val="20"/>
              </w:rPr>
            </w:pPr>
          </w:p>
        </w:tc>
        <w:tc>
          <w:tcPr>
            <w:tcW w:w="20" w:type="dxa"/>
            <w:tcBorders>
              <w:bottom w:val="single" w:sz="8" w:space="0" w:color="868686"/>
            </w:tcBorders>
            <w:vAlign w:val="bottom"/>
          </w:tcPr>
          <w:p w:rsidR="00AC12B4" w:rsidRDefault="00AC12B4">
            <w:pPr>
              <w:rPr>
                <w:sz w:val="20"/>
                <w:szCs w:val="20"/>
              </w:rPr>
            </w:pPr>
          </w:p>
        </w:tc>
        <w:tc>
          <w:tcPr>
            <w:tcW w:w="380" w:type="dxa"/>
            <w:tcBorders>
              <w:bottom w:val="single" w:sz="8" w:space="0" w:color="868686"/>
            </w:tcBorders>
            <w:vAlign w:val="bottom"/>
          </w:tcPr>
          <w:p w:rsidR="00AC12B4" w:rsidRDefault="00AC12B4">
            <w:pPr>
              <w:rPr>
                <w:sz w:val="20"/>
                <w:szCs w:val="20"/>
              </w:rPr>
            </w:pPr>
          </w:p>
        </w:tc>
        <w:tc>
          <w:tcPr>
            <w:tcW w:w="80" w:type="dxa"/>
            <w:tcBorders>
              <w:bottom w:val="single" w:sz="8" w:space="0" w:color="868686"/>
            </w:tcBorders>
            <w:vAlign w:val="bottom"/>
          </w:tcPr>
          <w:p w:rsidR="00AC12B4" w:rsidRDefault="00AC12B4">
            <w:pPr>
              <w:rPr>
                <w:sz w:val="20"/>
                <w:szCs w:val="20"/>
              </w:rPr>
            </w:pPr>
          </w:p>
        </w:tc>
        <w:tc>
          <w:tcPr>
            <w:tcW w:w="20" w:type="dxa"/>
            <w:tcBorders>
              <w:bottom w:val="single" w:sz="8" w:space="0" w:color="868686"/>
            </w:tcBorders>
            <w:vAlign w:val="bottom"/>
          </w:tcPr>
          <w:p w:rsidR="00AC12B4" w:rsidRDefault="00AC12B4">
            <w:pPr>
              <w:rPr>
                <w:sz w:val="20"/>
                <w:szCs w:val="20"/>
              </w:rPr>
            </w:pPr>
          </w:p>
        </w:tc>
        <w:tc>
          <w:tcPr>
            <w:tcW w:w="340" w:type="dxa"/>
            <w:vAlign w:val="bottom"/>
          </w:tcPr>
          <w:p w:rsidR="00AC12B4" w:rsidRDefault="00AC12B4">
            <w:pPr>
              <w:rPr>
                <w:sz w:val="20"/>
                <w:szCs w:val="20"/>
              </w:rPr>
            </w:pPr>
          </w:p>
        </w:tc>
        <w:tc>
          <w:tcPr>
            <w:tcW w:w="80" w:type="dxa"/>
            <w:vAlign w:val="bottom"/>
          </w:tcPr>
          <w:p w:rsidR="00AC12B4" w:rsidRDefault="00AC12B4">
            <w:pPr>
              <w:rPr>
                <w:sz w:val="20"/>
                <w:szCs w:val="20"/>
              </w:rPr>
            </w:pPr>
          </w:p>
        </w:tc>
        <w:tc>
          <w:tcPr>
            <w:tcW w:w="40" w:type="dxa"/>
            <w:vAlign w:val="bottom"/>
          </w:tcPr>
          <w:p w:rsidR="00AC12B4" w:rsidRDefault="00AC12B4">
            <w:pPr>
              <w:rPr>
                <w:sz w:val="20"/>
                <w:szCs w:val="20"/>
              </w:rPr>
            </w:pPr>
          </w:p>
        </w:tc>
        <w:tc>
          <w:tcPr>
            <w:tcW w:w="1500" w:type="dxa"/>
            <w:gridSpan w:val="2"/>
            <w:tcBorders>
              <w:right w:val="single" w:sz="8" w:space="0" w:color="C9D11D"/>
            </w:tcBorders>
            <w:vAlign w:val="bottom"/>
          </w:tcPr>
          <w:p w:rsidR="00AC12B4" w:rsidRDefault="00C27636">
            <w:pPr>
              <w:spacing w:line="233" w:lineRule="exact"/>
              <w:ind w:left="20"/>
              <w:rPr>
                <w:sz w:val="20"/>
                <w:szCs w:val="20"/>
              </w:rPr>
            </w:pPr>
            <w:r>
              <w:rPr>
                <w:rFonts w:ascii="Calibri" w:eastAsia="Calibri" w:hAnsi="Calibri" w:cs="Calibri"/>
                <w:sz w:val="20"/>
                <w:szCs w:val="20"/>
              </w:rPr>
              <w:t>grossesse est à</w:t>
            </w:r>
          </w:p>
        </w:tc>
        <w:tc>
          <w:tcPr>
            <w:tcW w:w="80" w:type="dxa"/>
            <w:vAlign w:val="bottom"/>
          </w:tcPr>
          <w:p w:rsidR="00AC12B4" w:rsidRDefault="00AC12B4">
            <w:pPr>
              <w:rPr>
                <w:sz w:val="20"/>
                <w:szCs w:val="20"/>
              </w:rPr>
            </w:pPr>
          </w:p>
        </w:tc>
        <w:tc>
          <w:tcPr>
            <w:tcW w:w="680" w:type="dxa"/>
            <w:gridSpan w:val="2"/>
            <w:vMerge w:val="restart"/>
            <w:vAlign w:val="bottom"/>
          </w:tcPr>
          <w:p w:rsidR="00AC12B4" w:rsidRDefault="00C27636">
            <w:pPr>
              <w:rPr>
                <w:sz w:val="20"/>
                <w:szCs w:val="20"/>
              </w:rPr>
            </w:pPr>
            <w:r>
              <w:rPr>
                <w:rFonts w:ascii="Calibri" w:eastAsia="Calibri" w:hAnsi="Calibri" w:cs="Calibri"/>
                <w:sz w:val="25"/>
                <w:szCs w:val="25"/>
                <w:vertAlign w:val="superscript"/>
              </w:rPr>
              <w:t>2</w:t>
            </w:r>
            <w:r>
              <w:rPr>
                <w:rFonts w:ascii="Calibri" w:eastAsia="Calibri" w:hAnsi="Calibri" w:cs="Calibri"/>
                <w:sz w:val="20"/>
                <w:szCs w:val="20"/>
              </w:rPr>
              <w:t xml:space="preserve">  Dans</w:t>
            </w:r>
          </w:p>
        </w:tc>
        <w:tc>
          <w:tcPr>
            <w:tcW w:w="240" w:type="dxa"/>
            <w:vMerge w:val="restart"/>
            <w:vAlign w:val="bottom"/>
          </w:tcPr>
          <w:p w:rsidR="00AC12B4" w:rsidRDefault="00C27636">
            <w:pPr>
              <w:ind w:left="60"/>
              <w:rPr>
                <w:sz w:val="20"/>
                <w:szCs w:val="20"/>
              </w:rPr>
            </w:pPr>
            <w:r>
              <w:rPr>
                <w:rFonts w:ascii="Calibri" w:eastAsia="Calibri" w:hAnsi="Calibri" w:cs="Calibri"/>
                <w:sz w:val="20"/>
                <w:szCs w:val="20"/>
              </w:rPr>
              <w:t>le</w:t>
            </w:r>
          </w:p>
        </w:tc>
        <w:tc>
          <w:tcPr>
            <w:tcW w:w="740" w:type="dxa"/>
            <w:gridSpan w:val="2"/>
            <w:vMerge w:val="restart"/>
            <w:vAlign w:val="bottom"/>
          </w:tcPr>
          <w:p w:rsidR="00AC12B4" w:rsidRDefault="00C27636">
            <w:pPr>
              <w:ind w:left="100"/>
              <w:rPr>
                <w:sz w:val="20"/>
                <w:szCs w:val="20"/>
              </w:rPr>
            </w:pPr>
            <w:r>
              <w:rPr>
                <w:rFonts w:ascii="Calibri" w:eastAsia="Calibri" w:hAnsi="Calibri" w:cs="Calibri"/>
                <w:sz w:val="20"/>
                <w:szCs w:val="20"/>
              </w:rPr>
              <w:t>rapport</w:t>
            </w:r>
          </w:p>
        </w:tc>
        <w:tc>
          <w:tcPr>
            <w:tcW w:w="100" w:type="dxa"/>
            <w:vAlign w:val="bottom"/>
          </w:tcPr>
          <w:p w:rsidR="00AC12B4" w:rsidRDefault="00AC12B4">
            <w:pPr>
              <w:rPr>
                <w:sz w:val="20"/>
                <w:szCs w:val="20"/>
              </w:rPr>
            </w:pPr>
          </w:p>
        </w:tc>
        <w:tc>
          <w:tcPr>
            <w:tcW w:w="400" w:type="dxa"/>
            <w:vMerge w:val="restart"/>
            <w:vAlign w:val="bottom"/>
          </w:tcPr>
          <w:p w:rsidR="00AC12B4" w:rsidRDefault="00C27636">
            <w:pPr>
              <w:rPr>
                <w:sz w:val="20"/>
                <w:szCs w:val="20"/>
              </w:rPr>
            </w:pPr>
            <w:r>
              <w:rPr>
                <w:rFonts w:ascii="Calibri" w:eastAsia="Calibri" w:hAnsi="Calibri" w:cs="Calibri"/>
                <w:sz w:val="20"/>
                <w:szCs w:val="20"/>
              </w:rPr>
              <w:t>KCE,</w:t>
            </w:r>
          </w:p>
        </w:tc>
        <w:tc>
          <w:tcPr>
            <w:tcW w:w="460" w:type="dxa"/>
            <w:gridSpan w:val="2"/>
            <w:vMerge w:val="restart"/>
            <w:vAlign w:val="bottom"/>
          </w:tcPr>
          <w:p w:rsidR="00AC12B4" w:rsidRDefault="00C27636">
            <w:pPr>
              <w:ind w:left="100"/>
              <w:rPr>
                <w:sz w:val="20"/>
                <w:szCs w:val="20"/>
              </w:rPr>
            </w:pPr>
            <w:r>
              <w:rPr>
                <w:rFonts w:ascii="Calibri" w:eastAsia="Calibri" w:hAnsi="Calibri" w:cs="Calibri"/>
                <w:sz w:val="20"/>
                <w:szCs w:val="20"/>
              </w:rPr>
              <w:t>une</w:t>
            </w:r>
          </w:p>
        </w:tc>
        <w:tc>
          <w:tcPr>
            <w:tcW w:w="980" w:type="dxa"/>
            <w:gridSpan w:val="3"/>
            <w:vMerge w:val="restart"/>
            <w:vAlign w:val="bottom"/>
          </w:tcPr>
          <w:p w:rsidR="00AC12B4" w:rsidRDefault="00C27636">
            <w:pPr>
              <w:ind w:right="17"/>
              <w:jc w:val="right"/>
              <w:rPr>
                <w:sz w:val="20"/>
                <w:szCs w:val="20"/>
              </w:rPr>
            </w:pPr>
            <w:r>
              <w:rPr>
                <w:rFonts w:ascii="Calibri" w:eastAsia="Calibri" w:hAnsi="Calibri" w:cs="Calibri"/>
                <w:sz w:val="20"/>
                <w:szCs w:val="20"/>
              </w:rPr>
              <w:t>grossesse</w:t>
            </w:r>
          </w:p>
        </w:tc>
        <w:tc>
          <w:tcPr>
            <w:tcW w:w="280" w:type="dxa"/>
            <w:vMerge w:val="restart"/>
            <w:vAlign w:val="bottom"/>
          </w:tcPr>
          <w:p w:rsidR="00AC12B4" w:rsidRDefault="00C27636">
            <w:pPr>
              <w:jc w:val="right"/>
              <w:rPr>
                <w:sz w:val="20"/>
                <w:szCs w:val="20"/>
              </w:rPr>
            </w:pPr>
            <w:r>
              <w:rPr>
                <w:rFonts w:ascii="Calibri" w:eastAsia="Calibri" w:hAnsi="Calibri" w:cs="Calibri"/>
                <w:w w:val="97"/>
                <w:sz w:val="20"/>
                <w:szCs w:val="20"/>
              </w:rPr>
              <w:t>est</w:t>
            </w:r>
          </w:p>
        </w:tc>
        <w:tc>
          <w:tcPr>
            <w:tcW w:w="0" w:type="dxa"/>
            <w:vAlign w:val="bottom"/>
          </w:tcPr>
          <w:p w:rsidR="00AC12B4" w:rsidRDefault="00AC12B4">
            <w:pPr>
              <w:rPr>
                <w:sz w:val="1"/>
                <w:szCs w:val="1"/>
              </w:rPr>
            </w:pPr>
          </w:p>
        </w:tc>
      </w:tr>
      <w:tr w:rsidR="00AC12B4">
        <w:trPr>
          <w:trHeight w:val="196"/>
        </w:trPr>
        <w:tc>
          <w:tcPr>
            <w:tcW w:w="1320" w:type="dxa"/>
            <w:tcBorders>
              <w:right w:val="single" w:sz="8" w:space="0" w:color="C9D11D"/>
            </w:tcBorders>
            <w:vAlign w:val="bottom"/>
          </w:tcPr>
          <w:p w:rsidR="00AC12B4" w:rsidRDefault="00AC12B4">
            <w:pPr>
              <w:rPr>
                <w:sz w:val="17"/>
                <w:szCs w:val="17"/>
              </w:rPr>
            </w:pPr>
          </w:p>
        </w:tc>
        <w:tc>
          <w:tcPr>
            <w:tcW w:w="680" w:type="dxa"/>
            <w:gridSpan w:val="2"/>
            <w:vMerge/>
            <w:vAlign w:val="bottom"/>
          </w:tcPr>
          <w:p w:rsidR="00AC12B4" w:rsidRDefault="00AC12B4">
            <w:pPr>
              <w:rPr>
                <w:sz w:val="17"/>
                <w:szCs w:val="17"/>
              </w:rPr>
            </w:pPr>
          </w:p>
        </w:tc>
        <w:tc>
          <w:tcPr>
            <w:tcW w:w="80" w:type="dxa"/>
            <w:tcBorders>
              <w:right w:val="single" w:sz="8" w:space="0" w:color="868686"/>
            </w:tcBorders>
            <w:vAlign w:val="bottom"/>
          </w:tcPr>
          <w:p w:rsidR="00AC12B4" w:rsidRDefault="00AC12B4">
            <w:pPr>
              <w:rPr>
                <w:sz w:val="17"/>
                <w:szCs w:val="17"/>
              </w:rPr>
            </w:pPr>
          </w:p>
        </w:tc>
        <w:tc>
          <w:tcPr>
            <w:tcW w:w="460" w:type="dxa"/>
            <w:vAlign w:val="bottom"/>
          </w:tcPr>
          <w:p w:rsidR="00AC12B4" w:rsidRDefault="00AC12B4">
            <w:pPr>
              <w:rPr>
                <w:sz w:val="17"/>
                <w:szCs w:val="17"/>
              </w:rPr>
            </w:pPr>
          </w:p>
        </w:tc>
        <w:tc>
          <w:tcPr>
            <w:tcW w:w="20" w:type="dxa"/>
            <w:vAlign w:val="bottom"/>
          </w:tcPr>
          <w:p w:rsidR="00AC12B4" w:rsidRDefault="00AC12B4">
            <w:pPr>
              <w:rPr>
                <w:sz w:val="17"/>
                <w:szCs w:val="17"/>
              </w:rPr>
            </w:pPr>
          </w:p>
        </w:tc>
        <w:tc>
          <w:tcPr>
            <w:tcW w:w="460" w:type="dxa"/>
            <w:vAlign w:val="bottom"/>
          </w:tcPr>
          <w:p w:rsidR="00AC12B4" w:rsidRDefault="00AC12B4">
            <w:pPr>
              <w:rPr>
                <w:sz w:val="17"/>
                <w:szCs w:val="17"/>
              </w:rPr>
            </w:pPr>
          </w:p>
        </w:tc>
        <w:tc>
          <w:tcPr>
            <w:tcW w:w="20" w:type="dxa"/>
            <w:vAlign w:val="bottom"/>
          </w:tcPr>
          <w:p w:rsidR="00AC12B4" w:rsidRDefault="00AC12B4">
            <w:pPr>
              <w:rPr>
                <w:sz w:val="17"/>
                <w:szCs w:val="17"/>
              </w:rPr>
            </w:pPr>
          </w:p>
        </w:tc>
        <w:tc>
          <w:tcPr>
            <w:tcW w:w="480" w:type="dxa"/>
            <w:vAlign w:val="bottom"/>
          </w:tcPr>
          <w:p w:rsidR="00AC12B4" w:rsidRDefault="00AC12B4">
            <w:pPr>
              <w:rPr>
                <w:sz w:val="17"/>
                <w:szCs w:val="17"/>
              </w:rPr>
            </w:pPr>
          </w:p>
        </w:tc>
        <w:tc>
          <w:tcPr>
            <w:tcW w:w="20" w:type="dxa"/>
            <w:vAlign w:val="bottom"/>
          </w:tcPr>
          <w:p w:rsidR="00AC12B4" w:rsidRDefault="00AC12B4">
            <w:pPr>
              <w:rPr>
                <w:sz w:val="17"/>
                <w:szCs w:val="17"/>
              </w:rPr>
            </w:pPr>
          </w:p>
        </w:tc>
        <w:tc>
          <w:tcPr>
            <w:tcW w:w="380" w:type="dxa"/>
            <w:vAlign w:val="bottom"/>
          </w:tcPr>
          <w:p w:rsidR="00AC12B4" w:rsidRDefault="00AC12B4">
            <w:pPr>
              <w:rPr>
                <w:sz w:val="17"/>
                <w:szCs w:val="17"/>
              </w:rPr>
            </w:pPr>
          </w:p>
        </w:tc>
        <w:tc>
          <w:tcPr>
            <w:tcW w:w="80" w:type="dxa"/>
            <w:vAlign w:val="bottom"/>
          </w:tcPr>
          <w:p w:rsidR="00AC12B4" w:rsidRDefault="00AC12B4">
            <w:pPr>
              <w:rPr>
                <w:sz w:val="17"/>
                <w:szCs w:val="17"/>
              </w:rPr>
            </w:pPr>
          </w:p>
        </w:tc>
        <w:tc>
          <w:tcPr>
            <w:tcW w:w="20" w:type="dxa"/>
            <w:vAlign w:val="bottom"/>
          </w:tcPr>
          <w:p w:rsidR="00AC12B4" w:rsidRDefault="00AC12B4">
            <w:pPr>
              <w:rPr>
                <w:sz w:val="17"/>
                <w:szCs w:val="17"/>
              </w:rPr>
            </w:pPr>
          </w:p>
        </w:tc>
        <w:tc>
          <w:tcPr>
            <w:tcW w:w="340" w:type="dxa"/>
            <w:vAlign w:val="bottom"/>
          </w:tcPr>
          <w:p w:rsidR="00AC12B4" w:rsidRDefault="00AC12B4">
            <w:pPr>
              <w:rPr>
                <w:sz w:val="17"/>
                <w:szCs w:val="17"/>
              </w:rPr>
            </w:pPr>
          </w:p>
        </w:tc>
        <w:tc>
          <w:tcPr>
            <w:tcW w:w="80" w:type="dxa"/>
            <w:vAlign w:val="bottom"/>
          </w:tcPr>
          <w:p w:rsidR="00AC12B4" w:rsidRDefault="00AC12B4">
            <w:pPr>
              <w:rPr>
                <w:sz w:val="17"/>
                <w:szCs w:val="17"/>
              </w:rPr>
            </w:pPr>
          </w:p>
        </w:tc>
        <w:tc>
          <w:tcPr>
            <w:tcW w:w="40" w:type="dxa"/>
            <w:vAlign w:val="bottom"/>
          </w:tcPr>
          <w:p w:rsidR="00AC12B4" w:rsidRDefault="00AC12B4">
            <w:pPr>
              <w:rPr>
                <w:sz w:val="17"/>
                <w:szCs w:val="17"/>
              </w:rPr>
            </w:pPr>
          </w:p>
        </w:tc>
        <w:tc>
          <w:tcPr>
            <w:tcW w:w="1500" w:type="dxa"/>
            <w:gridSpan w:val="2"/>
            <w:vMerge w:val="restart"/>
            <w:tcBorders>
              <w:right w:val="single" w:sz="8" w:space="0" w:color="C9D11D"/>
            </w:tcBorders>
            <w:vAlign w:val="bottom"/>
          </w:tcPr>
          <w:p w:rsidR="00AC12B4" w:rsidRDefault="00C27636">
            <w:pPr>
              <w:ind w:left="20"/>
              <w:rPr>
                <w:sz w:val="20"/>
                <w:szCs w:val="20"/>
              </w:rPr>
            </w:pPr>
            <w:r>
              <w:rPr>
                <w:rFonts w:ascii="Calibri" w:eastAsia="Calibri" w:hAnsi="Calibri" w:cs="Calibri"/>
                <w:sz w:val="20"/>
                <w:szCs w:val="20"/>
              </w:rPr>
              <w:t>risque élevé</w:t>
            </w:r>
          </w:p>
        </w:tc>
        <w:tc>
          <w:tcPr>
            <w:tcW w:w="80" w:type="dxa"/>
            <w:vAlign w:val="bottom"/>
          </w:tcPr>
          <w:p w:rsidR="00AC12B4" w:rsidRDefault="00AC12B4">
            <w:pPr>
              <w:rPr>
                <w:sz w:val="17"/>
                <w:szCs w:val="17"/>
              </w:rPr>
            </w:pPr>
          </w:p>
        </w:tc>
        <w:tc>
          <w:tcPr>
            <w:tcW w:w="680" w:type="dxa"/>
            <w:gridSpan w:val="2"/>
            <w:vMerge/>
            <w:vAlign w:val="bottom"/>
          </w:tcPr>
          <w:p w:rsidR="00AC12B4" w:rsidRDefault="00AC12B4">
            <w:pPr>
              <w:rPr>
                <w:sz w:val="17"/>
                <w:szCs w:val="17"/>
              </w:rPr>
            </w:pPr>
          </w:p>
        </w:tc>
        <w:tc>
          <w:tcPr>
            <w:tcW w:w="240" w:type="dxa"/>
            <w:vMerge/>
            <w:vAlign w:val="bottom"/>
          </w:tcPr>
          <w:p w:rsidR="00AC12B4" w:rsidRDefault="00AC12B4">
            <w:pPr>
              <w:rPr>
                <w:sz w:val="17"/>
                <w:szCs w:val="17"/>
              </w:rPr>
            </w:pPr>
          </w:p>
        </w:tc>
        <w:tc>
          <w:tcPr>
            <w:tcW w:w="740" w:type="dxa"/>
            <w:gridSpan w:val="2"/>
            <w:vMerge/>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400" w:type="dxa"/>
            <w:vMerge/>
            <w:vAlign w:val="bottom"/>
          </w:tcPr>
          <w:p w:rsidR="00AC12B4" w:rsidRDefault="00AC12B4">
            <w:pPr>
              <w:rPr>
                <w:sz w:val="17"/>
                <w:szCs w:val="17"/>
              </w:rPr>
            </w:pPr>
          </w:p>
        </w:tc>
        <w:tc>
          <w:tcPr>
            <w:tcW w:w="460" w:type="dxa"/>
            <w:gridSpan w:val="2"/>
            <w:vMerge/>
            <w:vAlign w:val="bottom"/>
          </w:tcPr>
          <w:p w:rsidR="00AC12B4" w:rsidRDefault="00AC12B4">
            <w:pPr>
              <w:rPr>
                <w:sz w:val="17"/>
                <w:szCs w:val="17"/>
              </w:rPr>
            </w:pPr>
          </w:p>
        </w:tc>
        <w:tc>
          <w:tcPr>
            <w:tcW w:w="980" w:type="dxa"/>
            <w:gridSpan w:val="3"/>
            <w:vMerge/>
            <w:vAlign w:val="bottom"/>
          </w:tcPr>
          <w:p w:rsidR="00AC12B4" w:rsidRDefault="00AC12B4">
            <w:pPr>
              <w:rPr>
                <w:sz w:val="17"/>
                <w:szCs w:val="17"/>
              </w:rPr>
            </w:pPr>
          </w:p>
        </w:tc>
        <w:tc>
          <w:tcPr>
            <w:tcW w:w="280" w:type="dxa"/>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65"/>
        </w:trPr>
        <w:tc>
          <w:tcPr>
            <w:tcW w:w="1320" w:type="dxa"/>
            <w:tcBorders>
              <w:right w:val="single" w:sz="8" w:space="0" w:color="C9D11D"/>
            </w:tcBorders>
            <w:vAlign w:val="bottom"/>
          </w:tcPr>
          <w:p w:rsidR="00AC12B4" w:rsidRDefault="00AC12B4">
            <w:pPr>
              <w:rPr>
                <w:sz w:val="5"/>
                <w:szCs w:val="5"/>
              </w:rPr>
            </w:pPr>
          </w:p>
        </w:tc>
        <w:tc>
          <w:tcPr>
            <w:tcW w:w="680" w:type="dxa"/>
            <w:gridSpan w:val="2"/>
            <w:vMerge w:val="restart"/>
            <w:vAlign w:val="bottom"/>
          </w:tcPr>
          <w:p w:rsidR="00AC12B4" w:rsidRDefault="00C27636">
            <w:pPr>
              <w:spacing w:line="198" w:lineRule="exact"/>
              <w:ind w:right="10"/>
              <w:jc w:val="right"/>
              <w:rPr>
                <w:sz w:val="20"/>
                <w:szCs w:val="20"/>
              </w:rPr>
            </w:pPr>
            <w:r>
              <w:rPr>
                <w:rFonts w:ascii="Calibri" w:eastAsia="Calibri" w:hAnsi="Calibri" w:cs="Calibri"/>
                <w:sz w:val="20"/>
                <w:szCs w:val="20"/>
              </w:rPr>
              <w:t>20%</w:t>
            </w:r>
          </w:p>
        </w:tc>
        <w:tc>
          <w:tcPr>
            <w:tcW w:w="80" w:type="dxa"/>
            <w:tcBorders>
              <w:right w:val="single" w:sz="8" w:space="0" w:color="868686"/>
            </w:tcBorders>
            <w:vAlign w:val="bottom"/>
          </w:tcPr>
          <w:p w:rsidR="00AC12B4" w:rsidRDefault="00AC12B4">
            <w:pPr>
              <w:rPr>
                <w:sz w:val="5"/>
                <w:szCs w:val="5"/>
              </w:rPr>
            </w:pPr>
          </w:p>
        </w:tc>
        <w:tc>
          <w:tcPr>
            <w:tcW w:w="46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46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40" w:type="dxa"/>
            <w:vAlign w:val="bottom"/>
          </w:tcPr>
          <w:p w:rsidR="00AC12B4" w:rsidRDefault="00AC12B4">
            <w:pPr>
              <w:rPr>
                <w:sz w:val="5"/>
                <w:szCs w:val="5"/>
              </w:rPr>
            </w:pPr>
          </w:p>
        </w:tc>
        <w:tc>
          <w:tcPr>
            <w:tcW w:w="1500" w:type="dxa"/>
            <w:gridSpan w:val="2"/>
            <w:vMerge/>
            <w:tcBorders>
              <w:right w:val="single" w:sz="8" w:space="0" w:color="C9D11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3880" w:type="dxa"/>
            <w:gridSpan w:val="13"/>
            <w:vMerge w:val="restart"/>
            <w:vAlign w:val="bottom"/>
          </w:tcPr>
          <w:p w:rsidR="00AC12B4" w:rsidRPr="00C27636" w:rsidRDefault="00C27636">
            <w:pPr>
              <w:rPr>
                <w:sz w:val="20"/>
                <w:szCs w:val="20"/>
                <w:lang w:val="fr-BE"/>
              </w:rPr>
            </w:pPr>
            <w:r w:rsidRPr="00C27636">
              <w:rPr>
                <w:rFonts w:ascii="Calibri" w:eastAsia="Calibri" w:hAnsi="Calibri" w:cs="Calibri"/>
                <w:sz w:val="20"/>
                <w:szCs w:val="20"/>
                <w:lang w:val="fr-BE"/>
              </w:rPr>
              <w:t>considérée à risque élevé dès qu’une femme,</w:t>
            </w:r>
          </w:p>
        </w:tc>
        <w:tc>
          <w:tcPr>
            <w:tcW w:w="0" w:type="dxa"/>
            <w:vAlign w:val="bottom"/>
          </w:tcPr>
          <w:p w:rsidR="00AC12B4" w:rsidRPr="00C27636" w:rsidRDefault="00AC12B4">
            <w:pPr>
              <w:rPr>
                <w:sz w:val="1"/>
                <w:szCs w:val="1"/>
                <w:lang w:val="fr-BE"/>
              </w:rPr>
            </w:pPr>
          </w:p>
        </w:tc>
      </w:tr>
      <w:tr w:rsidR="00AC12B4">
        <w:trPr>
          <w:trHeight w:val="21"/>
        </w:trPr>
        <w:tc>
          <w:tcPr>
            <w:tcW w:w="1320" w:type="dxa"/>
            <w:vMerge w:val="restart"/>
            <w:tcBorders>
              <w:right w:val="single" w:sz="8" w:space="0" w:color="C9D11D"/>
            </w:tcBorders>
            <w:vAlign w:val="bottom"/>
          </w:tcPr>
          <w:p w:rsidR="00AC12B4" w:rsidRPr="00C27636" w:rsidRDefault="00AC12B4">
            <w:pPr>
              <w:spacing w:line="20" w:lineRule="exact"/>
              <w:rPr>
                <w:sz w:val="1"/>
                <w:szCs w:val="1"/>
                <w:lang w:val="fr-BE"/>
              </w:rPr>
            </w:pPr>
          </w:p>
        </w:tc>
        <w:tc>
          <w:tcPr>
            <w:tcW w:w="680" w:type="dxa"/>
            <w:gridSpan w:val="2"/>
            <w:vMerge/>
            <w:vAlign w:val="bottom"/>
          </w:tcPr>
          <w:p w:rsidR="00AC12B4" w:rsidRPr="00C27636" w:rsidRDefault="00AC12B4">
            <w:pPr>
              <w:spacing w:line="20" w:lineRule="exact"/>
              <w:rPr>
                <w:sz w:val="1"/>
                <w:szCs w:val="1"/>
                <w:lang w:val="fr-BE"/>
              </w:rPr>
            </w:pPr>
          </w:p>
        </w:tc>
        <w:tc>
          <w:tcPr>
            <w:tcW w:w="80" w:type="dxa"/>
            <w:tcBorders>
              <w:bottom w:val="single" w:sz="8" w:space="0" w:color="868686"/>
              <w:right w:val="single" w:sz="8" w:space="0" w:color="868686"/>
            </w:tcBorders>
            <w:vAlign w:val="bottom"/>
          </w:tcPr>
          <w:p w:rsidR="00AC12B4" w:rsidRPr="00C27636" w:rsidRDefault="00AC12B4">
            <w:pPr>
              <w:spacing w:line="20" w:lineRule="exact"/>
              <w:rPr>
                <w:sz w:val="1"/>
                <w:szCs w:val="1"/>
                <w:lang w:val="fr-BE"/>
              </w:rPr>
            </w:pPr>
          </w:p>
        </w:tc>
        <w:tc>
          <w:tcPr>
            <w:tcW w:w="460" w:type="dxa"/>
            <w:tcBorders>
              <w:bottom w:val="single" w:sz="8" w:space="0" w:color="868686"/>
            </w:tcBorders>
            <w:vAlign w:val="bottom"/>
          </w:tcPr>
          <w:p w:rsidR="00AC12B4" w:rsidRPr="00C27636" w:rsidRDefault="00AC12B4">
            <w:pPr>
              <w:spacing w:line="20" w:lineRule="exact"/>
              <w:rPr>
                <w:sz w:val="1"/>
                <w:szCs w:val="1"/>
                <w:lang w:val="fr-BE"/>
              </w:rPr>
            </w:pPr>
          </w:p>
        </w:tc>
        <w:tc>
          <w:tcPr>
            <w:tcW w:w="20" w:type="dxa"/>
            <w:tcBorders>
              <w:bottom w:val="single" w:sz="8" w:space="0" w:color="868686"/>
            </w:tcBorders>
            <w:vAlign w:val="bottom"/>
          </w:tcPr>
          <w:p w:rsidR="00AC12B4" w:rsidRPr="00C27636" w:rsidRDefault="00AC12B4">
            <w:pPr>
              <w:spacing w:line="20" w:lineRule="exact"/>
              <w:rPr>
                <w:sz w:val="1"/>
                <w:szCs w:val="1"/>
                <w:lang w:val="fr-BE"/>
              </w:rPr>
            </w:pPr>
          </w:p>
        </w:tc>
        <w:tc>
          <w:tcPr>
            <w:tcW w:w="460" w:type="dxa"/>
            <w:tcBorders>
              <w:bottom w:val="single" w:sz="8" w:space="0" w:color="868686"/>
            </w:tcBorders>
            <w:vAlign w:val="bottom"/>
          </w:tcPr>
          <w:p w:rsidR="00AC12B4" w:rsidRPr="00C27636" w:rsidRDefault="00AC12B4">
            <w:pPr>
              <w:spacing w:line="20" w:lineRule="exact"/>
              <w:rPr>
                <w:sz w:val="1"/>
                <w:szCs w:val="1"/>
                <w:lang w:val="fr-BE"/>
              </w:rPr>
            </w:pPr>
          </w:p>
        </w:tc>
        <w:tc>
          <w:tcPr>
            <w:tcW w:w="20" w:type="dxa"/>
            <w:tcBorders>
              <w:bottom w:val="single" w:sz="8" w:space="0" w:color="868686"/>
            </w:tcBorders>
            <w:vAlign w:val="bottom"/>
          </w:tcPr>
          <w:p w:rsidR="00AC12B4" w:rsidRPr="00C27636" w:rsidRDefault="00AC12B4">
            <w:pPr>
              <w:spacing w:line="20" w:lineRule="exact"/>
              <w:rPr>
                <w:sz w:val="1"/>
                <w:szCs w:val="1"/>
                <w:lang w:val="fr-BE"/>
              </w:rPr>
            </w:pPr>
          </w:p>
        </w:tc>
        <w:tc>
          <w:tcPr>
            <w:tcW w:w="480" w:type="dxa"/>
            <w:tcBorders>
              <w:bottom w:val="single" w:sz="8" w:space="0" w:color="868686"/>
            </w:tcBorders>
            <w:vAlign w:val="bottom"/>
          </w:tcPr>
          <w:p w:rsidR="00AC12B4" w:rsidRPr="00C27636" w:rsidRDefault="00AC12B4">
            <w:pPr>
              <w:spacing w:line="20" w:lineRule="exact"/>
              <w:rPr>
                <w:sz w:val="1"/>
                <w:szCs w:val="1"/>
                <w:lang w:val="fr-BE"/>
              </w:rPr>
            </w:pPr>
          </w:p>
        </w:tc>
        <w:tc>
          <w:tcPr>
            <w:tcW w:w="20" w:type="dxa"/>
            <w:tcBorders>
              <w:bottom w:val="single" w:sz="8" w:space="0" w:color="868686"/>
            </w:tcBorders>
            <w:vAlign w:val="bottom"/>
          </w:tcPr>
          <w:p w:rsidR="00AC12B4" w:rsidRPr="00C27636" w:rsidRDefault="00AC12B4">
            <w:pPr>
              <w:spacing w:line="20" w:lineRule="exact"/>
              <w:rPr>
                <w:sz w:val="1"/>
                <w:szCs w:val="1"/>
                <w:lang w:val="fr-BE"/>
              </w:rPr>
            </w:pPr>
          </w:p>
        </w:tc>
        <w:tc>
          <w:tcPr>
            <w:tcW w:w="380" w:type="dxa"/>
            <w:tcBorders>
              <w:bottom w:val="single" w:sz="8" w:space="0" w:color="868686"/>
            </w:tcBorders>
            <w:vAlign w:val="bottom"/>
          </w:tcPr>
          <w:p w:rsidR="00AC12B4" w:rsidRPr="00C27636" w:rsidRDefault="00AC12B4">
            <w:pPr>
              <w:spacing w:line="20" w:lineRule="exact"/>
              <w:rPr>
                <w:sz w:val="1"/>
                <w:szCs w:val="1"/>
                <w:lang w:val="fr-BE"/>
              </w:rPr>
            </w:pPr>
          </w:p>
        </w:tc>
        <w:tc>
          <w:tcPr>
            <w:tcW w:w="80" w:type="dxa"/>
            <w:tcBorders>
              <w:bottom w:val="single" w:sz="8" w:space="0" w:color="868686"/>
            </w:tcBorders>
            <w:vAlign w:val="bottom"/>
          </w:tcPr>
          <w:p w:rsidR="00AC12B4" w:rsidRPr="00C27636" w:rsidRDefault="00AC12B4">
            <w:pPr>
              <w:spacing w:line="20" w:lineRule="exact"/>
              <w:rPr>
                <w:sz w:val="1"/>
                <w:szCs w:val="1"/>
                <w:lang w:val="fr-BE"/>
              </w:rPr>
            </w:pPr>
          </w:p>
        </w:tc>
        <w:tc>
          <w:tcPr>
            <w:tcW w:w="20" w:type="dxa"/>
            <w:tcBorders>
              <w:bottom w:val="single" w:sz="8" w:space="0" w:color="868686"/>
            </w:tcBorders>
            <w:vAlign w:val="bottom"/>
          </w:tcPr>
          <w:p w:rsidR="00AC12B4" w:rsidRPr="00C27636" w:rsidRDefault="00AC12B4">
            <w:pPr>
              <w:spacing w:line="20" w:lineRule="exact"/>
              <w:rPr>
                <w:sz w:val="1"/>
                <w:szCs w:val="1"/>
                <w:lang w:val="fr-BE"/>
              </w:rPr>
            </w:pPr>
          </w:p>
        </w:tc>
        <w:tc>
          <w:tcPr>
            <w:tcW w:w="340" w:type="dxa"/>
            <w:vAlign w:val="bottom"/>
          </w:tcPr>
          <w:p w:rsidR="00AC12B4" w:rsidRPr="00C27636" w:rsidRDefault="00AC12B4">
            <w:pPr>
              <w:spacing w:line="20" w:lineRule="exact"/>
              <w:rPr>
                <w:sz w:val="1"/>
                <w:szCs w:val="1"/>
                <w:lang w:val="fr-BE"/>
              </w:rPr>
            </w:pPr>
          </w:p>
        </w:tc>
        <w:tc>
          <w:tcPr>
            <w:tcW w:w="80" w:type="dxa"/>
            <w:vAlign w:val="bottom"/>
          </w:tcPr>
          <w:p w:rsidR="00AC12B4" w:rsidRPr="00C27636" w:rsidRDefault="00AC12B4">
            <w:pPr>
              <w:spacing w:line="20" w:lineRule="exact"/>
              <w:rPr>
                <w:sz w:val="1"/>
                <w:szCs w:val="1"/>
                <w:lang w:val="fr-BE"/>
              </w:rPr>
            </w:pPr>
          </w:p>
        </w:tc>
        <w:tc>
          <w:tcPr>
            <w:tcW w:w="40" w:type="dxa"/>
            <w:vAlign w:val="bottom"/>
          </w:tcPr>
          <w:p w:rsidR="00AC12B4" w:rsidRPr="00C27636" w:rsidRDefault="00AC12B4">
            <w:pPr>
              <w:spacing w:line="20" w:lineRule="exact"/>
              <w:rPr>
                <w:sz w:val="1"/>
                <w:szCs w:val="1"/>
                <w:lang w:val="fr-BE"/>
              </w:rPr>
            </w:pPr>
          </w:p>
        </w:tc>
        <w:tc>
          <w:tcPr>
            <w:tcW w:w="1500" w:type="dxa"/>
            <w:gridSpan w:val="2"/>
            <w:vMerge w:val="restart"/>
            <w:tcBorders>
              <w:right w:val="single" w:sz="8" w:space="0" w:color="C9D11D"/>
            </w:tcBorders>
            <w:vAlign w:val="bottom"/>
          </w:tcPr>
          <w:p w:rsidR="00AC12B4" w:rsidRDefault="00C27636">
            <w:pPr>
              <w:ind w:left="20"/>
              <w:rPr>
                <w:sz w:val="20"/>
                <w:szCs w:val="20"/>
              </w:rPr>
            </w:pPr>
            <w:r>
              <w:rPr>
                <w:rFonts w:ascii="Calibri" w:eastAsia="Calibri" w:hAnsi="Calibri" w:cs="Calibri"/>
                <w:sz w:val="20"/>
                <w:szCs w:val="20"/>
              </w:rPr>
              <w:t>Femmes dont la</w:t>
            </w:r>
          </w:p>
        </w:tc>
        <w:tc>
          <w:tcPr>
            <w:tcW w:w="80" w:type="dxa"/>
            <w:vAlign w:val="bottom"/>
          </w:tcPr>
          <w:p w:rsidR="00AC12B4" w:rsidRDefault="00AC12B4">
            <w:pPr>
              <w:spacing w:line="20" w:lineRule="exact"/>
              <w:rPr>
                <w:sz w:val="1"/>
                <w:szCs w:val="1"/>
              </w:rPr>
            </w:pPr>
          </w:p>
        </w:tc>
        <w:tc>
          <w:tcPr>
            <w:tcW w:w="3880" w:type="dxa"/>
            <w:gridSpan w:val="13"/>
            <w:vMerge/>
            <w:vAlign w:val="bottom"/>
          </w:tcPr>
          <w:p w:rsidR="00AC12B4" w:rsidRDefault="00AC12B4">
            <w:pPr>
              <w:spacing w:line="20" w:lineRule="exact"/>
              <w:rPr>
                <w:sz w:val="1"/>
                <w:szCs w:val="1"/>
              </w:rPr>
            </w:pPr>
          </w:p>
        </w:tc>
        <w:tc>
          <w:tcPr>
            <w:tcW w:w="0" w:type="dxa"/>
            <w:vAlign w:val="bottom"/>
          </w:tcPr>
          <w:p w:rsidR="00AC12B4" w:rsidRDefault="00AC12B4">
            <w:pPr>
              <w:rPr>
                <w:sz w:val="1"/>
                <w:szCs w:val="1"/>
              </w:rPr>
            </w:pPr>
          </w:p>
        </w:tc>
      </w:tr>
      <w:tr w:rsidR="00AC12B4">
        <w:trPr>
          <w:trHeight w:val="91"/>
        </w:trPr>
        <w:tc>
          <w:tcPr>
            <w:tcW w:w="1320" w:type="dxa"/>
            <w:vMerge/>
            <w:tcBorders>
              <w:right w:val="single" w:sz="8" w:space="0" w:color="C9D11D"/>
            </w:tcBorders>
            <w:vAlign w:val="bottom"/>
          </w:tcPr>
          <w:p w:rsidR="00AC12B4" w:rsidRDefault="00AC12B4">
            <w:pPr>
              <w:rPr>
                <w:sz w:val="7"/>
                <w:szCs w:val="7"/>
              </w:rPr>
            </w:pPr>
          </w:p>
        </w:tc>
        <w:tc>
          <w:tcPr>
            <w:tcW w:w="680" w:type="dxa"/>
            <w:gridSpan w:val="2"/>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1500" w:type="dxa"/>
            <w:gridSpan w:val="2"/>
            <w:vMerge/>
            <w:tcBorders>
              <w:right w:val="single" w:sz="8" w:space="0" w:color="C9D11D"/>
            </w:tcBorders>
            <w:vAlign w:val="bottom"/>
          </w:tcPr>
          <w:p w:rsidR="00AC12B4" w:rsidRDefault="00AC12B4">
            <w:pPr>
              <w:rPr>
                <w:sz w:val="7"/>
                <w:szCs w:val="7"/>
              </w:rPr>
            </w:pPr>
          </w:p>
        </w:tc>
        <w:tc>
          <w:tcPr>
            <w:tcW w:w="80" w:type="dxa"/>
            <w:vAlign w:val="bottom"/>
          </w:tcPr>
          <w:p w:rsidR="00AC12B4" w:rsidRDefault="00AC12B4">
            <w:pPr>
              <w:rPr>
                <w:sz w:val="7"/>
                <w:szCs w:val="7"/>
              </w:rPr>
            </w:pPr>
          </w:p>
        </w:tc>
        <w:tc>
          <w:tcPr>
            <w:tcW w:w="3880" w:type="dxa"/>
            <w:gridSpan w:val="13"/>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56"/>
        </w:trPr>
        <w:tc>
          <w:tcPr>
            <w:tcW w:w="1320" w:type="dxa"/>
            <w:tcBorders>
              <w:right w:val="single" w:sz="8" w:space="0" w:color="C9D11D"/>
            </w:tcBorders>
            <w:vAlign w:val="bottom"/>
          </w:tcPr>
          <w:p w:rsidR="00AC12B4" w:rsidRDefault="00AC12B4">
            <w:pPr>
              <w:rPr>
                <w:sz w:val="4"/>
                <w:szCs w:val="4"/>
              </w:rPr>
            </w:pPr>
          </w:p>
        </w:tc>
        <w:tc>
          <w:tcPr>
            <w:tcW w:w="140" w:type="dxa"/>
            <w:vAlign w:val="bottom"/>
          </w:tcPr>
          <w:p w:rsidR="00AC12B4" w:rsidRDefault="00AC12B4">
            <w:pPr>
              <w:rPr>
                <w:sz w:val="4"/>
                <w:szCs w:val="4"/>
              </w:rPr>
            </w:pPr>
          </w:p>
        </w:tc>
        <w:tc>
          <w:tcPr>
            <w:tcW w:w="540" w:type="dxa"/>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40" w:type="dxa"/>
            <w:vAlign w:val="bottom"/>
          </w:tcPr>
          <w:p w:rsidR="00AC12B4" w:rsidRDefault="00AC12B4">
            <w:pPr>
              <w:rPr>
                <w:sz w:val="4"/>
                <w:szCs w:val="4"/>
              </w:rPr>
            </w:pPr>
          </w:p>
        </w:tc>
        <w:tc>
          <w:tcPr>
            <w:tcW w:w="1500" w:type="dxa"/>
            <w:gridSpan w:val="2"/>
            <w:vMerge/>
            <w:tcBorders>
              <w:right w:val="single" w:sz="8" w:space="0" w:color="C9D11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3880" w:type="dxa"/>
            <w:gridSpan w:val="13"/>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rsidRPr="00C27636">
        <w:trPr>
          <w:trHeight w:val="200"/>
        </w:trPr>
        <w:tc>
          <w:tcPr>
            <w:tcW w:w="1320" w:type="dxa"/>
            <w:tcBorders>
              <w:right w:val="single" w:sz="8" w:space="0" w:color="C9D11D"/>
            </w:tcBorders>
            <w:vAlign w:val="bottom"/>
          </w:tcPr>
          <w:p w:rsidR="00AC12B4" w:rsidRDefault="00AC12B4">
            <w:pPr>
              <w:rPr>
                <w:sz w:val="17"/>
                <w:szCs w:val="17"/>
              </w:rPr>
            </w:pPr>
          </w:p>
        </w:tc>
        <w:tc>
          <w:tcPr>
            <w:tcW w:w="680" w:type="dxa"/>
            <w:gridSpan w:val="2"/>
            <w:vAlign w:val="bottom"/>
          </w:tcPr>
          <w:p w:rsidR="00AC12B4" w:rsidRDefault="00C27636">
            <w:pPr>
              <w:spacing w:line="200" w:lineRule="exact"/>
              <w:ind w:right="10"/>
              <w:jc w:val="right"/>
              <w:rPr>
                <w:sz w:val="20"/>
                <w:szCs w:val="20"/>
              </w:rPr>
            </w:pPr>
            <w:r>
              <w:rPr>
                <w:rFonts w:ascii="Calibri" w:eastAsia="Calibri" w:hAnsi="Calibri" w:cs="Calibri"/>
                <w:sz w:val="20"/>
                <w:szCs w:val="20"/>
              </w:rPr>
              <w:t>0%</w:t>
            </w:r>
          </w:p>
        </w:tc>
        <w:tc>
          <w:tcPr>
            <w:tcW w:w="80" w:type="dxa"/>
            <w:tcBorders>
              <w:bottom w:val="single" w:sz="8" w:space="0" w:color="868686"/>
              <w:right w:val="single" w:sz="8" w:space="0" w:color="868686"/>
            </w:tcBorders>
            <w:vAlign w:val="bottom"/>
          </w:tcPr>
          <w:p w:rsidR="00AC12B4" w:rsidRDefault="00AC12B4">
            <w:pPr>
              <w:rPr>
                <w:sz w:val="17"/>
                <w:szCs w:val="17"/>
              </w:rPr>
            </w:pPr>
          </w:p>
        </w:tc>
        <w:tc>
          <w:tcPr>
            <w:tcW w:w="4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380" w:type="dxa"/>
            <w:tcBorders>
              <w:bottom w:val="single" w:sz="8" w:space="0" w:color="868686"/>
            </w:tcBorders>
            <w:vAlign w:val="bottom"/>
          </w:tcPr>
          <w:p w:rsidR="00AC12B4" w:rsidRDefault="00AC12B4">
            <w:pPr>
              <w:rPr>
                <w:sz w:val="17"/>
                <w:szCs w:val="17"/>
              </w:rPr>
            </w:pPr>
          </w:p>
        </w:tc>
        <w:tc>
          <w:tcPr>
            <w:tcW w:w="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340" w:type="dxa"/>
            <w:tcBorders>
              <w:right w:val="single" w:sz="8" w:space="0" w:color="4F81BD"/>
            </w:tcBorders>
            <w:vAlign w:val="bottom"/>
          </w:tcPr>
          <w:p w:rsidR="00AC12B4" w:rsidRDefault="00AC12B4">
            <w:pPr>
              <w:rPr>
                <w:sz w:val="17"/>
                <w:szCs w:val="17"/>
              </w:rPr>
            </w:pPr>
          </w:p>
        </w:tc>
        <w:tc>
          <w:tcPr>
            <w:tcW w:w="80" w:type="dxa"/>
            <w:shd w:val="clear" w:color="auto" w:fill="4F81BD"/>
            <w:vAlign w:val="bottom"/>
          </w:tcPr>
          <w:p w:rsidR="00AC12B4" w:rsidRDefault="00AC12B4">
            <w:pPr>
              <w:rPr>
                <w:sz w:val="17"/>
                <w:szCs w:val="17"/>
              </w:rPr>
            </w:pPr>
          </w:p>
        </w:tc>
        <w:tc>
          <w:tcPr>
            <w:tcW w:w="40" w:type="dxa"/>
            <w:vAlign w:val="bottom"/>
          </w:tcPr>
          <w:p w:rsidR="00AC12B4" w:rsidRDefault="00AC12B4">
            <w:pPr>
              <w:rPr>
                <w:sz w:val="17"/>
                <w:szCs w:val="17"/>
              </w:rPr>
            </w:pPr>
          </w:p>
        </w:tc>
        <w:tc>
          <w:tcPr>
            <w:tcW w:w="1500" w:type="dxa"/>
            <w:gridSpan w:val="2"/>
            <w:vMerge/>
            <w:tcBorders>
              <w:right w:val="single" w:sz="8" w:space="0" w:color="C9D11D"/>
            </w:tcBorders>
            <w:vAlign w:val="bottom"/>
          </w:tcPr>
          <w:p w:rsidR="00AC12B4" w:rsidRDefault="00AC12B4">
            <w:pPr>
              <w:rPr>
                <w:sz w:val="17"/>
                <w:szCs w:val="17"/>
              </w:rPr>
            </w:pPr>
          </w:p>
        </w:tc>
        <w:tc>
          <w:tcPr>
            <w:tcW w:w="80" w:type="dxa"/>
            <w:vAlign w:val="bottom"/>
          </w:tcPr>
          <w:p w:rsidR="00AC12B4" w:rsidRDefault="00AC12B4">
            <w:pPr>
              <w:rPr>
                <w:sz w:val="17"/>
                <w:szCs w:val="17"/>
              </w:rPr>
            </w:pPr>
          </w:p>
        </w:tc>
        <w:tc>
          <w:tcPr>
            <w:tcW w:w="3880" w:type="dxa"/>
            <w:gridSpan w:val="13"/>
            <w:vAlign w:val="bottom"/>
          </w:tcPr>
          <w:p w:rsidR="00AC12B4" w:rsidRPr="00C27636" w:rsidRDefault="00C27636">
            <w:pPr>
              <w:spacing w:line="200" w:lineRule="exact"/>
              <w:rPr>
                <w:sz w:val="20"/>
                <w:szCs w:val="20"/>
                <w:lang w:val="fr-BE"/>
              </w:rPr>
            </w:pPr>
            <w:r w:rsidRPr="00C27636">
              <w:rPr>
                <w:rFonts w:ascii="Calibri" w:eastAsia="Calibri" w:hAnsi="Calibri" w:cs="Calibri"/>
                <w:sz w:val="20"/>
                <w:szCs w:val="20"/>
                <w:lang w:val="fr-BE"/>
              </w:rPr>
              <w:t>pendant l’équivalent</w:t>
            </w:r>
            <w:r w:rsidRPr="00C27636">
              <w:rPr>
                <w:rFonts w:ascii="Calibri" w:eastAsia="Calibri" w:hAnsi="Calibri" w:cs="Calibri"/>
                <w:sz w:val="20"/>
                <w:szCs w:val="20"/>
                <w:lang w:val="fr-BE"/>
              </w:rPr>
              <w:t xml:space="preserve"> de 3 mois, consomme des</w:t>
            </w:r>
          </w:p>
        </w:tc>
        <w:tc>
          <w:tcPr>
            <w:tcW w:w="0" w:type="dxa"/>
            <w:vAlign w:val="bottom"/>
          </w:tcPr>
          <w:p w:rsidR="00AC12B4" w:rsidRPr="00C27636" w:rsidRDefault="00AC12B4">
            <w:pPr>
              <w:rPr>
                <w:sz w:val="1"/>
                <w:szCs w:val="1"/>
                <w:lang w:val="fr-BE"/>
              </w:rPr>
            </w:pPr>
          </w:p>
        </w:tc>
      </w:tr>
      <w:tr w:rsidR="00AC12B4">
        <w:trPr>
          <w:trHeight w:val="195"/>
        </w:trPr>
        <w:tc>
          <w:tcPr>
            <w:tcW w:w="1320" w:type="dxa"/>
            <w:tcBorders>
              <w:right w:val="single" w:sz="8" w:space="0" w:color="C9D11D"/>
            </w:tcBorders>
            <w:vAlign w:val="bottom"/>
          </w:tcPr>
          <w:p w:rsidR="00AC12B4" w:rsidRPr="00C27636" w:rsidRDefault="00AC12B4">
            <w:pPr>
              <w:rPr>
                <w:sz w:val="16"/>
                <w:szCs w:val="16"/>
                <w:lang w:val="fr-BE"/>
              </w:rPr>
            </w:pPr>
          </w:p>
        </w:tc>
        <w:tc>
          <w:tcPr>
            <w:tcW w:w="140" w:type="dxa"/>
            <w:vAlign w:val="bottom"/>
          </w:tcPr>
          <w:p w:rsidR="00AC12B4" w:rsidRPr="00C27636" w:rsidRDefault="00AC12B4">
            <w:pPr>
              <w:rPr>
                <w:sz w:val="16"/>
                <w:szCs w:val="16"/>
                <w:lang w:val="fr-BE"/>
              </w:rPr>
            </w:pPr>
          </w:p>
        </w:tc>
        <w:tc>
          <w:tcPr>
            <w:tcW w:w="540" w:type="dxa"/>
            <w:vAlign w:val="bottom"/>
          </w:tcPr>
          <w:p w:rsidR="00AC12B4" w:rsidRPr="00C27636" w:rsidRDefault="00AC12B4">
            <w:pPr>
              <w:rPr>
                <w:sz w:val="16"/>
                <w:szCs w:val="16"/>
                <w:lang w:val="fr-BE"/>
              </w:rPr>
            </w:pPr>
          </w:p>
        </w:tc>
        <w:tc>
          <w:tcPr>
            <w:tcW w:w="80" w:type="dxa"/>
            <w:vAlign w:val="bottom"/>
          </w:tcPr>
          <w:p w:rsidR="00AC12B4" w:rsidRPr="00C27636" w:rsidRDefault="00AC12B4">
            <w:pPr>
              <w:rPr>
                <w:sz w:val="16"/>
                <w:szCs w:val="16"/>
                <w:lang w:val="fr-BE"/>
              </w:rPr>
            </w:pPr>
          </w:p>
        </w:tc>
        <w:tc>
          <w:tcPr>
            <w:tcW w:w="46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46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48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380" w:type="dxa"/>
            <w:vAlign w:val="bottom"/>
          </w:tcPr>
          <w:p w:rsidR="00AC12B4" w:rsidRPr="00C27636" w:rsidRDefault="00AC12B4">
            <w:pPr>
              <w:rPr>
                <w:sz w:val="16"/>
                <w:szCs w:val="16"/>
                <w:lang w:val="fr-BE"/>
              </w:rPr>
            </w:pPr>
          </w:p>
        </w:tc>
        <w:tc>
          <w:tcPr>
            <w:tcW w:w="8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340" w:type="dxa"/>
            <w:vAlign w:val="bottom"/>
          </w:tcPr>
          <w:p w:rsidR="00AC12B4" w:rsidRPr="00C27636" w:rsidRDefault="00AC12B4">
            <w:pPr>
              <w:rPr>
                <w:sz w:val="16"/>
                <w:szCs w:val="16"/>
                <w:lang w:val="fr-BE"/>
              </w:rPr>
            </w:pPr>
          </w:p>
        </w:tc>
        <w:tc>
          <w:tcPr>
            <w:tcW w:w="80" w:type="dxa"/>
            <w:vAlign w:val="bottom"/>
          </w:tcPr>
          <w:p w:rsidR="00AC12B4" w:rsidRPr="00C27636" w:rsidRDefault="00AC12B4">
            <w:pPr>
              <w:rPr>
                <w:sz w:val="16"/>
                <w:szCs w:val="16"/>
                <w:lang w:val="fr-BE"/>
              </w:rPr>
            </w:pPr>
          </w:p>
        </w:tc>
        <w:tc>
          <w:tcPr>
            <w:tcW w:w="40" w:type="dxa"/>
            <w:vAlign w:val="bottom"/>
          </w:tcPr>
          <w:p w:rsidR="00AC12B4" w:rsidRPr="00C27636" w:rsidRDefault="00AC12B4">
            <w:pPr>
              <w:rPr>
                <w:sz w:val="16"/>
                <w:szCs w:val="16"/>
                <w:lang w:val="fr-BE"/>
              </w:rPr>
            </w:pPr>
          </w:p>
        </w:tc>
        <w:tc>
          <w:tcPr>
            <w:tcW w:w="1500" w:type="dxa"/>
            <w:gridSpan w:val="2"/>
            <w:tcBorders>
              <w:right w:val="single" w:sz="8" w:space="0" w:color="C9D11D"/>
            </w:tcBorders>
            <w:vAlign w:val="bottom"/>
          </w:tcPr>
          <w:p w:rsidR="00AC12B4" w:rsidRDefault="00C27636">
            <w:pPr>
              <w:spacing w:line="195" w:lineRule="exact"/>
              <w:ind w:left="20"/>
              <w:rPr>
                <w:sz w:val="20"/>
                <w:szCs w:val="20"/>
              </w:rPr>
            </w:pPr>
            <w:r>
              <w:rPr>
                <w:rFonts w:ascii="Calibri" w:eastAsia="Calibri" w:hAnsi="Calibri" w:cs="Calibri"/>
                <w:sz w:val="20"/>
                <w:szCs w:val="20"/>
              </w:rPr>
              <w:t>grossesse est à</w:t>
            </w:r>
          </w:p>
        </w:tc>
        <w:tc>
          <w:tcPr>
            <w:tcW w:w="80" w:type="dxa"/>
            <w:vAlign w:val="bottom"/>
          </w:tcPr>
          <w:p w:rsidR="00AC12B4" w:rsidRDefault="00AC12B4">
            <w:pPr>
              <w:rPr>
                <w:sz w:val="16"/>
                <w:szCs w:val="16"/>
              </w:rPr>
            </w:pPr>
          </w:p>
        </w:tc>
        <w:tc>
          <w:tcPr>
            <w:tcW w:w="1120" w:type="dxa"/>
            <w:gridSpan w:val="4"/>
            <w:vMerge w:val="restart"/>
            <w:vAlign w:val="bottom"/>
          </w:tcPr>
          <w:p w:rsidR="00AC12B4" w:rsidRDefault="00C27636">
            <w:pPr>
              <w:rPr>
                <w:sz w:val="20"/>
                <w:szCs w:val="20"/>
              </w:rPr>
            </w:pPr>
            <w:r>
              <w:rPr>
                <w:rFonts w:ascii="Calibri" w:eastAsia="Calibri" w:hAnsi="Calibri" w:cs="Calibri"/>
                <w:w w:val="99"/>
                <w:sz w:val="20"/>
                <w:szCs w:val="20"/>
              </w:rPr>
              <w:t>médicaments</w:t>
            </w:r>
          </w:p>
        </w:tc>
        <w:tc>
          <w:tcPr>
            <w:tcW w:w="640" w:type="dxa"/>
            <w:gridSpan w:val="2"/>
            <w:vMerge w:val="restart"/>
            <w:vAlign w:val="bottom"/>
          </w:tcPr>
          <w:p w:rsidR="00AC12B4" w:rsidRDefault="00C27636">
            <w:pPr>
              <w:ind w:left="220"/>
              <w:rPr>
                <w:sz w:val="20"/>
                <w:szCs w:val="20"/>
              </w:rPr>
            </w:pPr>
            <w:r>
              <w:rPr>
                <w:rFonts w:ascii="Calibri" w:eastAsia="Calibri" w:hAnsi="Calibri" w:cs="Calibri"/>
                <w:sz w:val="20"/>
                <w:szCs w:val="20"/>
              </w:rPr>
              <w:t>pour</w:t>
            </w:r>
          </w:p>
        </w:tc>
        <w:tc>
          <w:tcPr>
            <w:tcW w:w="580" w:type="dxa"/>
            <w:gridSpan w:val="2"/>
            <w:vMerge w:val="restart"/>
            <w:vAlign w:val="bottom"/>
          </w:tcPr>
          <w:p w:rsidR="00AC12B4" w:rsidRDefault="00C27636">
            <w:pPr>
              <w:ind w:left="54"/>
              <w:jc w:val="center"/>
              <w:rPr>
                <w:sz w:val="20"/>
                <w:szCs w:val="20"/>
              </w:rPr>
            </w:pPr>
            <w:r>
              <w:rPr>
                <w:rFonts w:ascii="Calibri" w:eastAsia="Calibri" w:hAnsi="Calibri" w:cs="Calibri"/>
                <w:w w:val="96"/>
                <w:sz w:val="20"/>
                <w:szCs w:val="20"/>
              </w:rPr>
              <w:t>une</w:t>
            </w:r>
          </w:p>
        </w:tc>
        <w:tc>
          <w:tcPr>
            <w:tcW w:w="720" w:type="dxa"/>
            <w:gridSpan w:val="3"/>
            <w:vMerge w:val="restart"/>
            <w:vAlign w:val="bottom"/>
          </w:tcPr>
          <w:p w:rsidR="00AC12B4" w:rsidRDefault="00C27636">
            <w:pPr>
              <w:ind w:right="40"/>
              <w:jc w:val="center"/>
              <w:rPr>
                <w:sz w:val="20"/>
                <w:szCs w:val="20"/>
              </w:rPr>
            </w:pPr>
            <w:r>
              <w:rPr>
                <w:rFonts w:ascii="Calibri" w:eastAsia="Calibri" w:hAnsi="Calibri" w:cs="Calibri"/>
                <w:w w:val="98"/>
                <w:sz w:val="20"/>
                <w:szCs w:val="20"/>
              </w:rPr>
              <w:t>des</w:t>
            </w:r>
          </w:p>
        </w:tc>
        <w:tc>
          <w:tcPr>
            <w:tcW w:w="820" w:type="dxa"/>
            <w:gridSpan w:val="2"/>
            <w:vMerge w:val="restart"/>
            <w:vAlign w:val="bottom"/>
          </w:tcPr>
          <w:p w:rsidR="00AC12B4" w:rsidRDefault="00C27636">
            <w:pPr>
              <w:jc w:val="right"/>
              <w:rPr>
                <w:sz w:val="20"/>
                <w:szCs w:val="20"/>
              </w:rPr>
            </w:pPr>
            <w:r>
              <w:rPr>
                <w:rFonts w:ascii="Calibri" w:eastAsia="Calibri" w:hAnsi="Calibri" w:cs="Calibri"/>
                <w:w w:val="97"/>
                <w:sz w:val="20"/>
                <w:szCs w:val="20"/>
              </w:rPr>
              <w:t>affections</w:t>
            </w:r>
          </w:p>
        </w:tc>
        <w:tc>
          <w:tcPr>
            <w:tcW w:w="0" w:type="dxa"/>
            <w:vAlign w:val="bottom"/>
          </w:tcPr>
          <w:p w:rsidR="00AC12B4" w:rsidRDefault="00AC12B4">
            <w:pPr>
              <w:rPr>
                <w:sz w:val="1"/>
                <w:szCs w:val="1"/>
              </w:rPr>
            </w:pPr>
          </w:p>
        </w:tc>
      </w:tr>
      <w:tr w:rsidR="00AC12B4">
        <w:trPr>
          <w:trHeight w:val="75"/>
        </w:trPr>
        <w:tc>
          <w:tcPr>
            <w:tcW w:w="1320" w:type="dxa"/>
            <w:tcBorders>
              <w:right w:val="single" w:sz="8" w:space="0" w:color="C9D11D"/>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54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46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6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1500" w:type="dxa"/>
            <w:gridSpan w:val="2"/>
            <w:vMerge w:val="restart"/>
            <w:tcBorders>
              <w:right w:val="single" w:sz="8" w:space="0" w:color="C9D11D"/>
            </w:tcBorders>
            <w:vAlign w:val="bottom"/>
          </w:tcPr>
          <w:p w:rsidR="00AC12B4" w:rsidRDefault="00C27636">
            <w:pPr>
              <w:spacing w:line="243" w:lineRule="exact"/>
              <w:ind w:left="20"/>
              <w:rPr>
                <w:sz w:val="20"/>
                <w:szCs w:val="20"/>
              </w:rPr>
            </w:pPr>
            <w:r>
              <w:rPr>
                <w:rFonts w:ascii="Calibri" w:eastAsia="Calibri" w:hAnsi="Calibri" w:cs="Calibri"/>
                <w:sz w:val="20"/>
                <w:szCs w:val="20"/>
              </w:rPr>
              <w:t>faible risque</w:t>
            </w:r>
          </w:p>
        </w:tc>
        <w:tc>
          <w:tcPr>
            <w:tcW w:w="80" w:type="dxa"/>
            <w:vAlign w:val="bottom"/>
          </w:tcPr>
          <w:p w:rsidR="00AC12B4" w:rsidRDefault="00AC12B4">
            <w:pPr>
              <w:rPr>
                <w:sz w:val="6"/>
                <w:szCs w:val="6"/>
              </w:rPr>
            </w:pPr>
          </w:p>
        </w:tc>
        <w:tc>
          <w:tcPr>
            <w:tcW w:w="1120" w:type="dxa"/>
            <w:gridSpan w:val="4"/>
            <w:vMerge/>
            <w:vAlign w:val="bottom"/>
          </w:tcPr>
          <w:p w:rsidR="00AC12B4" w:rsidRDefault="00AC12B4">
            <w:pPr>
              <w:rPr>
                <w:sz w:val="6"/>
                <w:szCs w:val="6"/>
              </w:rPr>
            </w:pPr>
          </w:p>
        </w:tc>
        <w:tc>
          <w:tcPr>
            <w:tcW w:w="640" w:type="dxa"/>
            <w:gridSpan w:val="2"/>
            <w:vMerge/>
            <w:vAlign w:val="bottom"/>
          </w:tcPr>
          <w:p w:rsidR="00AC12B4" w:rsidRDefault="00AC12B4">
            <w:pPr>
              <w:rPr>
                <w:sz w:val="6"/>
                <w:szCs w:val="6"/>
              </w:rPr>
            </w:pPr>
          </w:p>
        </w:tc>
        <w:tc>
          <w:tcPr>
            <w:tcW w:w="580" w:type="dxa"/>
            <w:gridSpan w:val="2"/>
            <w:vMerge/>
            <w:vAlign w:val="bottom"/>
          </w:tcPr>
          <w:p w:rsidR="00AC12B4" w:rsidRDefault="00AC12B4">
            <w:pPr>
              <w:rPr>
                <w:sz w:val="6"/>
                <w:szCs w:val="6"/>
              </w:rPr>
            </w:pPr>
          </w:p>
        </w:tc>
        <w:tc>
          <w:tcPr>
            <w:tcW w:w="720" w:type="dxa"/>
            <w:gridSpan w:val="3"/>
            <w:vMerge/>
            <w:vAlign w:val="bottom"/>
          </w:tcPr>
          <w:p w:rsidR="00AC12B4" w:rsidRDefault="00AC12B4">
            <w:pPr>
              <w:rPr>
                <w:sz w:val="6"/>
                <w:szCs w:val="6"/>
              </w:rPr>
            </w:pPr>
          </w:p>
        </w:tc>
        <w:tc>
          <w:tcPr>
            <w:tcW w:w="820" w:type="dxa"/>
            <w:gridSpan w:val="2"/>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67"/>
        </w:trPr>
        <w:tc>
          <w:tcPr>
            <w:tcW w:w="1320" w:type="dxa"/>
            <w:tcBorders>
              <w:right w:val="single" w:sz="8" w:space="0" w:color="C9D11D"/>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540" w:type="dxa"/>
            <w:vAlign w:val="bottom"/>
          </w:tcPr>
          <w:p w:rsidR="00AC12B4" w:rsidRDefault="00AC12B4">
            <w:pPr>
              <w:rPr>
                <w:sz w:val="14"/>
                <w:szCs w:val="14"/>
              </w:rPr>
            </w:pPr>
          </w:p>
        </w:tc>
        <w:tc>
          <w:tcPr>
            <w:tcW w:w="80" w:type="dxa"/>
            <w:vAlign w:val="bottom"/>
          </w:tcPr>
          <w:p w:rsidR="00AC12B4" w:rsidRDefault="00AC12B4">
            <w:pPr>
              <w:rPr>
                <w:sz w:val="14"/>
                <w:szCs w:val="14"/>
              </w:rPr>
            </w:pPr>
          </w:p>
        </w:tc>
        <w:tc>
          <w:tcPr>
            <w:tcW w:w="46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46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48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380" w:type="dxa"/>
            <w:vAlign w:val="bottom"/>
          </w:tcPr>
          <w:p w:rsidR="00AC12B4" w:rsidRDefault="00AC12B4">
            <w:pPr>
              <w:rPr>
                <w:sz w:val="14"/>
                <w:szCs w:val="14"/>
              </w:rPr>
            </w:pPr>
          </w:p>
        </w:tc>
        <w:tc>
          <w:tcPr>
            <w:tcW w:w="8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340" w:type="dxa"/>
            <w:vAlign w:val="bottom"/>
          </w:tcPr>
          <w:p w:rsidR="00AC12B4" w:rsidRDefault="00AC12B4">
            <w:pPr>
              <w:rPr>
                <w:sz w:val="14"/>
                <w:szCs w:val="14"/>
              </w:rPr>
            </w:pPr>
          </w:p>
        </w:tc>
        <w:tc>
          <w:tcPr>
            <w:tcW w:w="80" w:type="dxa"/>
            <w:vAlign w:val="bottom"/>
          </w:tcPr>
          <w:p w:rsidR="00AC12B4" w:rsidRDefault="00AC12B4">
            <w:pPr>
              <w:rPr>
                <w:sz w:val="14"/>
                <w:szCs w:val="14"/>
              </w:rPr>
            </w:pPr>
          </w:p>
        </w:tc>
        <w:tc>
          <w:tcPr>
            <w:tcW w:w="40" w:type="dxa"/>
            <w:vAlign w:val="bottom"/>
          </w:tcPr>
          <w:p w:rsidR="00AC12B4" w:rsidRDefault="00AC12B4">
            <w:pPr>
              <w:rPr>
                <w:sz w:val="14"/>
                <w:szCs w:val="14"/>
              </w:rPr>
            </w:pPr>
          </w:p>
        </w:tc>
        <w:tc>
          <w:tcPr>
            <w:tcW w:w="1500" w:type="dxa"/>
            <w:gridSpan w:val="2"/>
            <w:vMerge/>
            <w:tcBorders>
              <w:right w:val="single" w:sz="8" w:space="0" w:color="C9D11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660" w:type="dxa"/>
            <w:gridSpan w:val="5"/>
            <w:vMerge w:val="restart"/>
            <w:vAlign w:val="bottom"/>
          </w:tcPr>
          <w:p w:rsidR="00AC12B4" w:rsidRDefault="00C27636">
            <w:pPr>
              <w:spacing w:line="243" w:lineRule="exact"/>
              <w:rPr>
                <w:sz w:val="20"/>
                <w:szCs w:val="20"/>
              </w:rPr>
            </w:pPr>
            <w:r>
              <w:rPr>
                <w:rFonts w:ascii="Calibri" w:eastAsia="Calibri" w:hAnsi="Calibri" w:cs="Calibri"/>
                <w:sz w:val="20"/>
                <w:szCs w:val="20"/>
              </w:rPr>
              <w:t>suivantes: diabète,</w:t>
            </w:r>
          </w:p>
        </w:tc>
        <w:tc>
          <w:tcPr>
            <w:tcW w:w="2220" w:type="dxa"/>
            <w:gridSpan w:val="8"/>
            <w:vMerge w:val="restart"/>
            <w:vAlign w:val="bottom"/>
          </w:tcPr>
          <w:p w:rsidR="00AC12B4" w:rsidRDefault="00C27636">
            <w:pPr>
              <w:spacing w:line="243" w:lineRule="exact"/>
              <w:jc w:val="right"/>
              <w:rPr>
                <w:sz w:val="20"/>
                <w:szCs w:val="20"/>
              </w:rPr>
            </w:pPr>
            <w:r>
              <w:rPr>
                <w:rFonts w:ascii="Calibri" w:eastAsia="Calibri" w:hAnsi="Calibri" w:cs="Calibri"/>
                <w:sz w:val="20"/>
                <w:szCs w:val="20"/>
              </w:rPr>
              <w:t>hypertension, thrombose,</w:t>
            </w:r>
          </w:p>
        </w:tc>
        <w:tc>
          <w:tcPr>
            <w:tcW w:w="0" w:type="dxa"/>
            <w:vAlign w:val="bottom"/>
          </w:tcPr>
          <w:p w:rsidR="00AC12B4" w:rsidRDefault="00AC12B4">
            <w:pPr>
              <w:rPr>
                <w:sz w:val="1"/>
                <w:szCs w:val="1"/>
              </w:rPr>
            </w:pPr>
          </w:p>
        </w:tc>
      </w:tr>
      <w:tr w:rsidR="00AC12B4">
        <w:trPr>
          <w:trHeight w:val="75"/>
        </w:trPr>
        <w:tc>
          <w:tcPr>
            <w:tcW w:w="1320" w:type="dxa"/>
            <w:tcBorders>
              <w:right w:val="single" w:sz="8" w:space="0" w:color="C9D11D"/>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54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46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6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780" w:type="dxa"/>
            <w:vAlign w:val="bottom"/>
          </w:tcPr>
          <w:p w:rsidR="00AC12B4" w:rsidRDefault="00AC12B4">
            <w:pPr>
              <w:rPr>
                <w:sz w:val="6"/>
                <w:szCs w:val="6"/>
              </w:rPr>
            </w:pPr>
          </w:p>
        </w:tc>
        <w:tc>
          <w:tcPr>
            <w:tcW w:w="720" w:type="dxa"/>
            <w:tcBorders>
              <w:right w:val="single" w:sz="8" w:space="0" w:color="C9D11D"/>
            </w:tcBorders>
            <w:vAlign w:val="bottom"/>
          </w:tcPr>
          <w:p w:rsidR="00AC12B4" w:rsidRDefault="00AC12B4">
            <w:pPr>
              <w:rPr>
                <w:sz w:val="6"/>
                <w:szCs w:val="6"/>
              </w:rPr>
            </w:pPr>
          </w:p>
        </w:tc>
        <w:tc>
          <w:tcPr>
            <w:tcW w:w="80" w:type="dxa"/>
            <w:vAlign w:val="bottom"/>
          </w:tcPr>
          <w:p w:rsidR="00AC12B4" w:rsidRDefault="00AC12B4">
            <w:pPr>
              <w:rPr>
                <w:sz w:val="6"/>
                <w:szCs w:val="6"/>
              </w:rPr>
            </w:pPr>
          </w:p>
        </w:tc>
        <w:tc>
          <w:tcPr>
            <w:tcW w:w="1660" w:type="dxa"/>
            <w:gridSpan w:val="5"/>
            <w:vMerge/>
            <w:vAlign w:val="bottom"/>
          </w:tcPr>
          <w:p w:rsidR="00AC12B4" w:rsidRDefault="00AC12B4">
            <w:pPr>
              <w:rPr>
                <w:sz w:val="6"/>
                <w:szCs w:val="6"/>
              </w:rPr>
            </w:pPr>
          </w:p>
        </w:tc>
        <w:tc>
          <w:tcPr>
            <w:tcW w:w="2220" w:type="dxa"/>
            <w:gridSpan w:val="8"/>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rsidRPr="00C27636">
        <w:trPr>
          <w:trHeight w:val="245"/>
        </w:trPr>
        <w:tc>
          <w:tcPr>
            <w:tcW w:w="1320" w:type="dxa"/>
            <w:tcBorders>
              <w:right w:val="single" w:sz="8" w:space="0" w:color="C9D11D"/>
            </w:tcBorders>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54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46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46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4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38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34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40" w:type="dxa"/>
            <w:vAlign w:val="bottom"/>
          </w:tcPr>
          <w:p w:rsidR="00AC12B4" w:rsidRDefault="00AC12B4">
            <w:pPr>
              <w:rPr>
                <w:sz w:val="21"/>
                <w:szCs w:val="21"/>
              </w:rPr>
            </w:pPr>
          </w:p>
        </w:tc>
        <w:tc>
          <w:tcPr>
            <w:tcW w:w="780" w:type="dxa"/>
            <w:vAlign w:val="bottom"/>
          </w:tcPr>
          <w:p w:rsidR="00AC12B4" w:rsidRDefault="00AC12B4">
            <w:pPr>
              <w:rPr>
                <w:sz w:val="21"/>
                <w:szCs w:val="21"/>
              </w:rPr>
            </w:pPr>
          </w:p>
        </w:tc>
        <w:tc>
          <w:tcPr>
            <w:tcW w:w="720" w:type="dxa"/>
            <w:tcBorders>
              <w:right w:val="single" w:sz="8" w:space="0" w:color="C9D11D"/>
            </w:tcBorders>
            <w:vAlign w:val="bottom"/>
          </w:tcPr>
          <w:p w:rsidR="00AC12B4" w:rsidRDefault="00AC12B4">
            <w:pPr>
              <w:rPr>
                <w:sz w:val="21"/>
                <w:szCs w:val="21"/>
              </w:rPr>
            </w:pPr>
          </w:p>
        </w:tc>
        <w:tc>
          <w:tcPr>
            <w:tcW w:w="80" w:type="dxa"/>
            <w:vAlign w:val="bottom"/>
          </w:tcPr>
          <w:p w:rsidR="00AC12B4" w:rsidRDefault="00AC12B4">
            <w:pPr>
              <w:rPr>
                <w:sz w:val="21"/>
                <w:szCs w:val="21"/>
              </w:rPr>
            </w:pP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sz w:val="20"/>
                <w:szCs w:val="20"/>
                <w:lang w:val="fr-BE"/>
              </w:rPr>
              <w:t xml:space="preserve">troubles de </w:t>
            </w:r>
            <w:r w:rsidRPr="00C27636">
              <w:rPr>
                <w:rFonts w:ascii="Calibri" w:eastAsia="Calibri" w:hAnsi="Calibri" w:cs="Calibri"/>
                <w:sz w:val="20"/>
                <w:szCs w:val="20"/>
                <w:lang w:val="fr-BE"/>
              </w:rPr>
              <w:t>la coagulation, dépression, asthme,</w:t>
            </w:r>
          </w:p>
        </w:tc>
        <w:tc>
          <w:tcPr>
            <w:tcW w:w="0" w:type="dxa"/>
            <w:vAlign w:val="bottom"/>
          </w:tcPr>
          <w:p w:rsidR="00AC12B4" w:rsidRPr="00C27636" w:rsidRDefault="00AC12B4">
            <w:pPr>
              <w:rPr>
                <w:sz w:val="1"/>
                <w:szCs w:val="1"/>
                <w:lang w:val="fr-BE"/>
              </w:rPr>
            </w:pPr>
          </w:p>
        </w:tc>
      </w:tr>
      <w:tr w:rsidR="00AC12B4" w:rsidRPr="00C27636">
        <w:trPr>
          <w:trHeight w:val="245"/>
        </w:trPr>
        <w:tc>
          <w:tcPr>
            <w:tcW w:w="1320" w:type="dxa"/>
            <w:tcBorders>
              <w:right w:val="single" w:sz="8" w:space="0" w:color="C9D11D"/>
            </w:tcBorders>
            <w:vAlign w:val="bottom"/>
          </w:tcPr>
          <w:p w:rsidR="00AC12B4" w:rsidRPr="00C27636" w:rsidRDefault="00AC12B4">
            <w:pPr>
              <w:rPr>
                <w:sz w:val="21"/>
                <w:szCs w:val="21"/>
                <w:lang w:val="fr-BE"/>
              </w:rPr>
            </w:pPr>
          </w:p>
        </w:tc>
        <w:tc>
          <w:tcPr>
            <w:tcW w:w="140" w:type="dxa"/>
            <w:vAlign w:val="bottom"/>
          </w:tcPr>
          <w:p w:rsidR="00AC12B4" w:rsidRPr="00C27636" w:rsidRDefault="00AC12B4">
            <w:pPr>
              <w:rPr>
                <w:sz w:val="21"/>
                <w:szCs w:val="21"/>
                <w:lang w:val="fr-BE"/>
              </w:rPr>
            </w:pPr>
          </w:p>
        </w:tc>
        <w:tc>
          <w:tcPr>
            <w:tcW w:w="540" w:type="dxa"/>
            <w:vAlign w:val="bottom"/>
          </w:tcPr>
          <w:p w:rsidR="00AC12B4" w:rsidRPr="00C27636" w:rsidRDefault="00AC12B4">
            <w:pPr>
              <w:rPr>
                <w:sz w:val="21"/>
                <w:szCs w:val="21"/>
                <w:lang w:val="fr-BE"/>
              </w:rPr>
            </w:pPr>
          </w:p>
        </w:tc>
        <w:tc>
          <w:tcPr>
            <w:tcW w:w="80" w:type="dxa"/>
            <w:vAlign w:val="bottom"/>
          </w:tcPr>
          <w:p w:rsidR="00AC12B4" w:rsidRPr="00C27636" w:rsidRDefault="00AC12B4">
            <w:pPr>
              <w:rPr>
                <w:sz w:val="21"/>
                <w:szCs w:val="21"/>
                <w:lang w:val="fr-BE"/>
              </w:rPr>
            </w:pPr>
          </w:p>
        </w:tc>
        <w:tc>
          <w:tcPr>
            <w:tcW w:w="460" w:type="dxa"/>
            <w:vAlign w:val="bottom"/>
          </w:tcPr>
          <w:p w:rsidR="00AC12B4" w:rsidRPr="00C27636" w:rsidRDefault="00AC12B4">
            <w:pPr>
              <w:rPr>
                <w:sz w:val="21"/>
                <w:szCs w:val="21"/>
                <w:lang w:val="fr-BE"/>
              </w:rPr>
            </w:pPr>
          </w:p>
        </w:tc>
        <w:tc>
          <w:tcPr>
            <w:tcW w:w="20" w:type="dxa"/>
            <w:vAlign w:val="bottom"/>
          </w:tcPr>
          <w:p w:rsidR="00AC12B4" w:rsidRPr="00C27636" w:rsidRDefault="00AC12B4">
            <w:pPr>
              <w:rPr>
                <w:sz w:val="21"/>
                <w:szCs w:val="21"/>
                <w:lang w:val="fr-BE"/>
              </w:rPr>
            </w:pPr>
          </w:p>
        </w:tc>
        <w:tc>
          <w:tcPr>
            <w:tcW w:w="460" w:type="dxa"/>
            <w:vAlign w:val="bottom"/>
          </w:tcPr>
          <w:p w:rsidR="00AC12B4" w:rsidRPr="00C27636" w:rsidRDefault="00AC12B4">
            <w:pPr>
              <w:rPr>
                <w:sz w:val="21"/>
                <w:szCs w:val="21"/>
                <w:lang w:val="fr-BE"/>
              </w:rPr>
            </w:pPr>
          </w:p>
        </w:tc>
        <w:tc>
          <w:tcPr>
            <w:tcW w:w="20" w:type="dxa"/>
            <w:vAlign w:val="bottom"/>
          </w:tcPr>
          <w:p w:rsidR="00AC12B4" w:rsidRPr="00C27636" w:rsidRDefault="00AC12B4">
            <w:pPr>
              <w:rPr>
                <w:sz w:val="21"/>
                <w:szCs w:val="21"/>
                <w:lang w:val="fr-BE"/>
              </w:rPr>
            </w:pPr>
          </w:p>
        </w:tc>
        <w:tc>
          <w:tcPr>
            <w:tcW w:w="480" w:type="dxa"/>
            <w:vAlign w:val="bottom"/>
          </w:tcPr>
          <w:p w:rsidR="00AC12B4" w:rsidRPr="00C27636" w:rsidRDefault="00AC12B4">
            <w:pPr>
              <w:rPr>
                <w:sz w:val="21"/>
                <w:szCs w:val="21"/>
                <w:lang w:val="fr-BE"/>
              </w:rPr>
            </w:pPr>
          </w:p>
        </w:tc>
        <w:tc>
          <w:tcPr>
            <w:tcW w:w="20" w:type="dxa"/>
            <w:vAlign w:val="bottom"/>
          </w:tcPr>
          <w:p w:rsidR="00AC12B4" w:rsidRPr="00C27636" w:rsidRDefault="00AC12B4">
            <w:pPr>
              <w:rPr>
                <w:sz w:val="21"/>
                <w:szCs w:val="21"/>
                <w:lang w:val="fr-BE"/>
              </w:rPr>
            </w:pPr>
          </w:p>
        </w:tc>
        <w:tc>
          <w:tcPr>
            <w:tcW w:w="380" w:type="dxa"/>
            <w:vAlign w:val="bottom"/>
          </w:tcPr>
          <w:p w:rsidR="00AC12B4" w:rsidRPr="00C27636" w:rsidRDefault="00AC12B4">
            <w:pPr>
              <w:rPr>
                <w:sz w:val="21"/>
                <w:szCs w:val="21"/>
                <w:lang w:val="fr-BE"/>
              </w:rPr>
            </w:pPr>
          </w:p>
        </w:tc>
        <w:tc>
          <w:tcPr>
            <w:tcW w:w="80" w:type="dxa"/>
            <w:vAlign w:val="bottom"/>
          </w:tcPr>
          <w:p w:rsidR="00AC12B4" w:rsidRPr="00C27636" w:rsidRDefault="00AC12B4">
            <w:pPr>
              <w:rPr>
                <w:sz w:val="21"/>
                <w:szCs w:val="21"/>
                <w:lang w:val="fr-BE"/>
              </w:rPr>
            </w:pPr>
          </w:p>
        </w:tc>
        <w:tc>
          <w:tcPr>
            <w:tcW w:w="20" w:type="dxa"/>
            <w:vAlign w:val="bottom"/>
          </w:tcPr>
          <w:p w:rsidR="00AC12B4" w:rsidRPr="00C27636" w:rsidRDefault="00AC12B4">
            <w:pPr>
              <w:rPr>
                <w:sz w:val="21"/>
                <w:szCs w:val="21"/>
                <w:lang w:val="fr-BE"/>
              </w:rPr>
            </w:pPr>
          </w:p>
        </w:tc>
        <w:tc>
          <w:tcPr>
            <w:tcW w:w="340" w:type="dxa"/>
            <w:vAlign w:val="bottom"/>
          </w:tcPr>
          <w:p w:rsidR="00AC12B4" w:rsidRPr="00C27636" w:rsidRDefault="00AC12B4">
            <w:pPr>
              <w:rPr>
                <w:sz w:val="21"/>
                <w:szCs w:val="21"/>
                <w:lang w:val="fr-BE"/>
              </w:rPr>
            </w:pPr>
          </w:p>
        </w:tc>
        <w:tc>
          <w:tcPr>
            <w:tcW w:w="80" w:type="dxa"/>
            <w:vAlign w:val="bottom"/>
          </w:tcPr>
          <w:p w:rsidR="00AC12B4" w:rsidRPr="00C27636" w:rsidRDefault="00AC12B4">
            <w:pPr>
              <w:rPr>
                <w:sz w:val="21"/>
                <w:szCs w:val="21"/>
                <w:lang w:val="fr-BE"/>
              </w:rPr>
            </w:pPr>
          </w:p>
        </w:tc>
        <w:tc>
          <w:tcPr>
            <w:tcW w:w="40" w:type="dxa"/>
            <w:vAlign w:val="bottom"/>
          </w:tcPr>
          <w:p w:rsidR="00AC12B4" w:rsidRPr="00C27636" w:rsidRDefault="00AC12B4">
            <w:pPr>
              <w:rPr>
                <w:sz w:val="21"/>
                <w:szCs w:val="21"/>
                <w:lang w:val="fr-BE"/>
              </w:rPr>
            </w:pPr>
          </w:p>
        </w:tc>
        <w:tc>
          <w:tcPr>
            <w:tcW w:w="780" w:type="dxa"/>
            <w:vAlign w:val="bottom"/>
          </w:tcPr>
          <w:p w:rsidR="00AC12B4" w:rsidRPr="00C27636" w:rsidRDefault="00AC12B4">
            <w:pPr>
              <w:rPr>
                <w:sz w:val="21"/>
                <w:szCs w:val="21"/>
                <w:lang w:val="fr-BE"/>
              </w:rPr>
            </w:pPr>
          </w:p>
        </w:tc>
        <w:tc>
          <w:tcPr>
            <w:tcW w:w="720" w:type="dxa"/>
            <w:tcBorders>
              <w:right w:val="single" w:sz="8" w:space="0" w:color="C9D11D"/>
            </w:tcBorders>
            <w:vAlign w:val="bottom"/>
          </w:tcPr>
          <w:p w:rsidR="00AC12B4" w:rsidRPr="00C27636" w:rsidRDefault="00AC12B4">
            <w:pPr>
              <w:rPr>
                <w:sz w:val="21"/>
                <w:szCs w:val="21"/>
                <w:lang w:val="fr-BE"/>
              </w:rPr>
            </w:pPr>
          </w:p>
        </w:tc>
        <w:tc>
          <w:tcPr>
            <w:tcW w:w="80" w:type="dxa"/>
            <w:vAlign w:val="bottom"/>
          </w:tcPr>
          <w:p w:rsidR="00AC12B4" w:rsidRPr="00C27636" w:rsidRDefault="00AC12B4">
            <w:pPr>
              <w:rPr>
                <w:sz w:val="21"/>
                <w:szCs w:val="21"/>
                <w:lang w:val="fr-BE"/>
              </w:rPr>
            </w:pPr>
          </w:p>
        </w:tc>
        <w:tc>
          <w:tcPr>
            <w:tcW w:w="3880" w:type="dxa"/>
            <w:gridSpan w:val="13"/>
            <w:vAlign w:val="bottom"/>
          </w:tcPr>
          <w:p w:rsidR="00AC12B4" w:rsidRPr="00C27636" w:rsidRDefault="00C27636">
            <w:pPr>
              <w:rPr>
                <w:sz w:val="20"/>
                <w:szCs w:val="20"/>
                <w:lang w:val="fr-BE"/>
              </w:rPr>
            </w:pPr>
            <w:r w:rsidRPr="00C27636">
              <w:rPr>
                <w:rFonts w:ascii="Calibri" w:eastAsia="Calibri" w:hAnsi="Calibri" w:cs="Calibri"/>
                <w:sz w:val="20"/>
                <w:szCs w:val="20"/>
                <w:lang w:val="fr-BE"/>
              </w:rPr>
              <w:t>arthrite rhumatoïde, maladie de Crohn, colite</w:t>
            </w:r>
          </w:p>
        </w:tc>
        <w:tc>
          <w:tcPr>
            <w:tcW w:w="0" w:type="dxa"/>
            <w:vAlign w:val="bottom"/>
          </w:tcPr>
          <w:p w:rsidR="00AC12B4" w:rsidRPr="00C27636" w:rsidRDefault="00AC12B4">
            <w:pPr>
              <w:rPr>
                <w:sz w:val="1"/>
                <w:szCs w:val="1"/>
                <w:lang w:val="fr-BE"/>
              </w:rPr>
            </w:pPr>
          </w:p>
        </w:tc>
      </w:tr>
      <w:tr w:rsidR="00AC12B4">
        <w:trPr>
          <w:trHeight w:val="145"/>
        </w:trPr>
        <w:tc>
          <w:tcPr>
            <w:tcW w:w="1320" w:type="dxa"/>
            <w:tcBorders>
              <w:right w:val="single" w:sz="8" w:space="0" w:color="C9D11D"/>
            </w:tcBorders>
            <w:vAlign w:val="bottom"/>
          </w:tcPr>
          <w:p w:rsidR="00AC12B4" w:rsidRPr="00C27636" w:rsidRDefault="00AC12B4">
            <w:pPr>
              <w:rPr>
                <w:sz w:val="12"/>
                <w:szCs w:val="12"/>
                <w:lang w:val="fr-BE"/>
              </w:rPr>
            </w:pPr>
          </w:p>
        </w:tc>
        <w:tc>
          <w:tcPr>
            <w:tcW w:w="140" w:type="dxa"/>
            <w:tcBorders>
              <w:bottom w:val="single" w:sz="8" w:space="0" w:color="C9D11D"/>
            </w:tcBorders>
            <w:vAlign w:val="bottom"/>
          </w:tcPr>
          <w:p w:rsidR="00AC12B4" w:rsidRPr="00C27636" w:rsidRDefault="00AC12B4">
            <w:pPr>
              <w:rPr>
                <w:sz w:val="12"/>
                <w:szCs w:val="12"/>
                <w:lang w:val="fr-BE"/>
              </w:rPr>
            </w:pPr>
          </w:p>
        </w:tc>
        <w:tc>
          <w:tcPr>
            <w:tcW w:w="540" w:type="dxa"/>
            <w:tcBorders>
              <w:bottom w:val="single" w:sz="8" w:space="0" w:color="C9D11D"/>
            </w:tcBorders>
            <w:vAlign w:val="bottom"/>
          </w:tcPr>
          <w:p w:rsidR="00AC12B4" w:rsidRPr="00C27636" w:rsidRDefault="00AC12B4">
            <w:pPr>
              <w:rPr>
                <w:sz w:val="12"/>
                <w:szCs w:val="12"/>
                <w:lang w:val="fr-BE"/>
              </w:rPr>
            </w:pPr>
          </w:p>
        </w:tc>
        <w:tc>
          <w:tcPr>
            <w:tcW w:w="80" w:type="dxa"/>
            <w:tcBorders>
              <w:bottom w:val="single" w:sz="8" w:space="0" w:color="C9D11D"/>
            </w:tcBorders>
            <w:vAlign w:val="bottom"/>
          </w:tcPr>
          <w:p w:rsidR="00AC12B4" w:rsidRPr="00C27636" w:rsidRDefault="00AC12B4">
            <w:pPr>
              <w:rPr>
                <w:sz w:val="12"/>
                <w:szCs w:val="12"/>
                <w:lang w:val="fr-BE"/>
              </w:rPr>
            </w:pPr>
          </w:p>
        </w:tc>
        <w:tc>
          <w:tcPr>
            <w:tcW w:w="460" w:type="dxa"/>
            <w:tcBorders>
              <w:bottom w:val="single" w:sz="8" w:space="0" w:color="C9D11D"/>
            </w:tcBorders>
            <w:vAlign w:val="bottom"/>
          </w:tcPr>
          <w:p w:rsidR="00AC12B4" w:rsidRPr="00C27636" w:rsidRDefault="00AC12B4">
            <w:pPr>
              <w:rPr>
                <w:sz w:val="12"/>
                <w:szCs w:val="12"/>
                <w:lang w:val="fr-BE"/>
              </w:rPr>
            </w:pPr>
          </w:p>
        </w:tc>
        <w:tc>
          <w:tcPr>
            <w:tcW w:w="20" w:type="dxa"/>
            <w:tcBorders>
              <w:bottom w:val="single" w:sz="8" w:space="0" w:color="C9D11D"/>
            </w:tcBorders>
            <w:vAlign w:val="bottom"/>
          </w:tcPr>
          <w:p w:rsidR="00AC12B4" w:rsidRPr="00C27636" w:rsidRDefault="00AC12B4">
            <w:pPr>
              <w:rPr>
                <w:sz w:val="12"/>
                <w:szCs w:val="12"/>
                <w:lang w:val="fr-BE"/>
              </w:rPr>
            </w:pPr>
          </w:p>
        </w:tc>
        <w:tc>
          <w:tcPr>
            <w:tcW w:w="460" w:type="dxa"/>
            <w:tcBorders>
              <w:bottom w:val="single" w:sz="8" w:space="0" w:color="C9D11D"/>
            </w:tcBorders>
            <w:vAlign w:val="bottom"/>
          </w:tcPr>
          <w:p w:rsidR="00AC12B4" w:rsidRPr="00C27636" w:rsidRDefault="00AC12B4">
            <w:pPr>
              <w:rPr>
                <w:sz w:val="12"/>
                <w:szCs w:val="12"/>
                <w:lang w:val="fr-BE"/>
              </w:rPr>
            </w:pPr>
          </w:p>
        </w:tc>
        <w:tc>
          <w:tcPr>
            <w:tcW w:w="20" w:type="dxa"/>
            <w:tcBorders>
              <w:bottom w:val="single" w:sz="8" w:space="0" w:color="C9D11D"/>
            </w:tcBorders>
            <w:vAlign w:val="bottom"/>
          </w:tcPr>
          <w:p w:rsidR="00AC12B4" w:rsidRPr="00C27636" w:rsidRDefault="00AC12B4">
            <w:pPr>
              <w:rPr>
                <w:sz w:val="12"/>
                <w:szCs w:val="12"/>
                <w:lang w:val="fr-BE"/>
              </w:rPr>
            </w:pPr>
          </w:p>
        </w:tc>
        <w:tc>
          <w:tcPr>
            <w:tcW w:w="480" w:type="dxa"/>
            <w:tcBorders>
              <w:bottom w:val="single" w:sz="8" w:space="0" w:color="C9D11D"/>
            </w:tcBorders>
            <w:vAlign w:val="bottom"/>
          </w:tcPr>
          <w:p w:rsidR="00AC12B4" w:rsidRPr="00C27636" w:rsidRDefault="00AC12B4">
            <w:pPr>
              <w:rPr>
                <w:sz w:val="12"/>
                <w:szCs w:val="12"/>
                <w:lang w:val="fr-BE"/>
              </w:rPr>
            </w:pPr>
          </w:p>
        </w:tc>
        <w:tc>
          <w:tcPr>
            <w:tcW w:w="20" w:type="dxa"/>
            <w:tcBorders>
              <w:bottom w:val="single" w:sz="8" w:space="0" w:color="C9D11D"/>
            </w:tcBorders>
            <w:vAlign w:val="bottom"/>
          </w:tcPr>
          <w:p w:rsidR="00AC12B4" w:rsidRPr="00C27636" w:rsidRDefault="00AC12B4">
            <w:pPr>
              <w:rPr>
                <w:sz w:val="12"/>
                <w:szCs w:val="12"/>
                <w:lang w:val="fr-BE"/>
              </w:rPr>
            </w:pPr>
          </w:p>
        </w:tc>
        <w:tc>
          <w:tcPr>
            <w:tcW w:w="380" w:type="dxa"/>
            <w:tcBorders>
              <w:bottom w:val="single" w:sz="8" w:space="0" w:color="C9D11D"/>
            </w:tcBorders>
            <w:vAlign w:val="bottom"/>
          </w:tcPr>
          <w:p w:rsidR="00AC12B4" w:rsidRPr="00C27636" w:rsidRDefault="00AC12B4">
            <w:pPr>
              <w:rPr>
                <w:sz w:val="12"/>
                <w:szCs w:val="12"/>
                <w:lang w:val="fr-BE"/>
              </w:rPr>
            </w:pPr>
          </w:p>
        </w:tc>
        <w:tc>
          <w:tcPr>
            <w:tcW w:w="80" w:type="dxa"/>
            <w:tcBorders>
              <w:bottom w:val="single" w:sz="8" w:space="0" w:color="C9D11D"/>
            </w:tcBorders>
            <w:vAlign w:val="bottom"/>
          </w:tcPr>
          <w:p w:rsidR="00AC12B4" w:rsidRPr="00C27636" w:rsidRDefault="00AC12B4">
            <w:pPr>
              <w:rPr>
                <w:sz w:val="12"/>
                <w:szCs w:val="12"/>
                <w:lang w:val="fr-BE"/>
              </w:rPr>
            </w:pPr>
          </w:p>
        </w:tc>
        <w:tc>
          <w:tcPr>
            <w:tcW w:w="20" w:type="dxa"/>
            <w:tcBorders>
              <w:bottom w:val="single" w:sz="8" w:space="0" w:color="C9D11D"/>
            </w:tcBorders>
            <w:vAlign w:val="bottom"/>
          </w:tcPr>
          <w:p w:rsidR="00AC12B4" w:rsidRPr="00C27636" w:rsidRDefault="00AC12B4">
            <w:pPr>
              <w:rPr>
                <w:sz w:val="12"/>
                <w:szCs w:val="12"/>
                <w:lang w:val="fr-BE"/>
              </w:rPr>
            </w:pPr>
          </w:p>
        </w:tc>
        <w:tc>
          <w:tcPr>
            <w:tcW w:w="340" w:type="dxa"/>
            <w:tcBorders>
              <w:bottom w:val="single" w:sz="8" w:space="0" w:color="C9D11D"/>
            </w:tcBorders>
            <w:vAlign w:val="bottom"/>
          </w:tcPr>
          <w:p w:rsidR="00AC12B4" w:rsidRPr="00C27636" w:rsidRDefault="00AC12B4">
            <w:pPr>
              <w:rPr>
                <w:sz w:val="12"/>
                <w:szCs w:val="12"/>
                <w:lang w:val="fr-BE"/>
              </w:rPr>
            </w:pPr>
          </w:p>
        </w:tc>
        <w:tc>
          <w:tcPr>
            <w:tcW w:w="80" w:type="dxa"/>
            <w:tcBorders>
              <w:bottom w:val="single" w:sz="8" w:space="0" w:color="C9D11D"/>
            </w:tcBorders>
            <w:vAlign w:val="bottom"/>
          </w:tcPr>
          <w:p w:rsidR="00AC12B4" w:rsidRPr="00C27636" w:rsidRDefault="00AC12B4">
            <w:pPr>
              <w:rPr>
                <w:sz w:val="12"/>
                <w:szCs w:val="12"/>
                <w:lang w:val="fr-BE"/>
              </w:rPr>
            </w:pPr>
          </w:p>
        </w:tc>
        <w:tc>
          <w:tcPr>
            <w:tcW w:w="40" w:type="dxa"/>
            <w:tcBorders>
              <w:bottom w:val="single" w:sz="8" w:space="0" w:color="C9D11D"/>
            </w:tcBorders>
            <w:vAlign w:val="bottom"/>
          </w:tcPr>
          <w:p w:rsidR="00AC12B4" w:rsidRPr="00C27636" w:rsidRDefault="00AC12B4">
            <w:pPr>
              <w:rPr>
                <w:sz w:val="12"/>
                <w:szCs w:val="12"/>
                <w:lang w:val="fr-BE"/>
              </w:rPr>
            </w:pPr>
          </w:p>
        </w:tc>
        <w:tc>
          <w:tcPr>
            <w:tcW w:w="780" w:type="dxa"/>
            <w:tcBorders>
              <w:bottom w:val="single" w:sz="8" w:space="0" w:color="C9D11D"/>
            </w:tcBorders>
            <w:vAlign w:val="bottom"/>
          </w:tcPr>
          <w:p w:rsidR="00AC12B4" w:rsidRPr="00C27636" w:rsidRDefault="00AC12B4">
            <w:pPr>
              <w:rPr>
                <w:sz w:val="12"/>
                <w:szCs w:val="12"/>
                <w:lang w:val="fr-BE"/>
              </w:rPr>
            </w:pPr>
          </w:p>
        </w:tc>
        <w:tc>
          <w:tcPr>
            <w:tcW w:w="720" w:type="dxa"/>
            <w:tcBorders>
              <w:bottom w:val="single" w:sz="8" w:space="0" w:color="C9D11D"/>
              <w:right w:val="single" w:sz="8" w:space="0" w:color="C9D11D"/>
            </w:tcBorders>
            <w:vAlign w:val="bottom"/>
          </w:tcPr>
          <w:p w:rsidR="00AC12B4" w:rsidRPr="00C27636" w:rsidRDefault="00AC12B4">
            <w:pPr>
              <w:rPr>
                <w:sz w:val="12"/>
                <w:szCs w:val="12"/>
                <w:lang w:val="fr-BE"/>
              </w:rPr>
            </w:pPr>
          </w:p>
        </w:tc>
        <w:tc>
          <w:tcPr>
            <w:tcW w:w="80" w:type="dxa"/>
            <w:vAlign w:val="bottom"/>
          </w:tcPr>
          <w:p w:rsidR="00AC12B4" w:rsidRPr="00C27636" w:rsidRDefault="00AC12B4">
            <w:pPr>
              <w:rPr>
                <w:sz w:val="12"/>
                <w:szCs w:val="12"/>
                <w:lang w:val="fr-BE"/>
              </w:rPr>
            </w:pPr>
          </w:p>
        </w:tc>
        <w:tc>
          <w:tcPr>
            <w:tcW w:w="920" w:type="dxa"/>
            <w:gridSpan w:val="3"/>
            <w:vMerge w:val="restart"/>
            <w:vAlign w:val="bottom"/>
          </w:tcPr>
          <w:p w:rsidR="00AC12B4" w:rsidRDefault="00C27636">
            <w:pPr>
              <w:rPr>
                <w:sz w:val="20"/>
                <w:szCs w:val="20"/>
              </w:rPr>
            </w:pPr>
            <w:r>
              <w:rPr>
                <w:rFonts w:ascii="Calibri" w:eastAsia="Calibri" w:hAnsi="Calibri" w:cs="Calibri"/>
                <w:sz w:val="20"/>
                <w:szCs w:val="20"/>
              </w:rPr>
              <w:t>ulcéreuse,</w:t>
            </w:r>
          </w:p>
        </w:tc>
        <w:tc>
          <w:tcPr>
            <w:tcW w:w="1240" w:type="dxa"/>
            <w:gridSpan w:val="4"/>
            <w:vMerge w:val="restart"/>
            <w:vAlign w:val="bottom"/>
          </w:tcPr>
          <w:p w:rsidR="00AC12B4" w:rsidRDefault="00C27636">
            <w:pPr>
              <w:ind w:left="40"/>
              <w:rPr>
                <w:sz w:val="20"/>
                <w:szCs w:val="20"/>
              </w:rPr>
            </w:pPr>
            <w:r>
              <w:rPr>
                <w:rFonts w:ascii="Calibri" w:eastAsia="Calibri" w:hAnsi="Calibri" w:cs="Calibri"/>
                <w:sz w:val="20"/>
                <w:szCs w:val="20"/>
              </w:rPr>
              <w:t>VIH, hépatite</w:t>
            </w:r>
          </w:p>
        </w:tc>
        <w:tc>
          <w:tcPr>
            <w:tcW w:w="900" w:type="dxa"/>
            <w:gridSpan w:val="4"/>
            <w:vMerge w:val="restart"/>
            <w:vAlign w:val="bottom"/>
          </w:tcPr>
          <w:p w:rsidR="00AC12B4" w:rsidRDefault="00C27636">
            <w:pPr>
              <w:ind w:left="60"/>
              <w:rPr>
                <w:sz w:val="20"/>
                <w:szCs w:val="20"/>
              </w:rPr>
            </w:pPr>
            <w:r>
              <w:rPr>
                <w:rFonts w:ascii="Calibri" w:eastAsia="Calibri" w:hAnsi="Calibri" w:cs="Calibri"/>
                <w:w w:val="99"/>
                <w:sz w:val="20"/>
                <w:szCs w:val="20"/>
              </w:rPr>
              <w:t>chronique</w:t>
            </w:r>
          </w:p>
        </w:tc>
        <w:tc>
          <w:tcPr>
            <w:tcW w:w="540" w:type="dxa"/>
            <w:vMerge w:val="restart"/>
            <w:vAlign w:val="bottom"/>
          </w:tcPr>
          <w:p w:rsidR="00AC12B4" w:rsidRDefault="00C27636">
            <w:pPr>
              <w:jc w:val="right"/>
              <w:rPr>
                <w:sz w:val="20"/>
                <w:szCs w:val="20"/>
              </w:rPr>
            </w:pPr>
            <w:r>
              <w:rPr>
                <w:rFonts w:ascii="Calibri" w:eastAsia="Calibri" w:hAnsi="Calibri" w:cs="Calibri"/>
                <w:sz w:val="20"/>
                <w:szCs w:val="20"/>
              </w:rPr>
              <w:t>B et</w:t>
            </w:r>
          </w:p>
        </w:tc>
        <w:tc>
          <w:tcPr>
            <w:tcW w:w="280" w:type="dxa"/>
            <w:vMerge w:val="restart"/>
            <w:vAlign w:val="bottom"/>
          </w:tcPr>
          <w:p w:rsidR="00AC12B4" w:rsidRDefault="00C27636">
            <w:pPr>
              <w:jc w:val="right"/>
              <w:rPr>
                <w:sz w:val="20"/>
                <w:szCs w:val="20"/>
              </w:rPr>
            </w:pPr>
            <w:r>
              <w:rPr>
                <w:rFonts w:ascii="Calibri" w:eastAsia="Calibri" w:hAnsi="Calibri" w:cs="Calibri"/>
                <w:sz w:val="20"/>
                <w:szCs w:val="20"/>
              </w:rPr>
              <w:t>C,</w:t>
            </w:r>
          </w:p>
        </w:tc>
        <w:tc>
          <w:tcPr>
            <w:tcW w:w="0" w:type="dxa"/>
            <w:vAlign w:val="bottom"/>
          </w:tcPr>
          <w:p w:rsidR="00AC12B4" w:rsidRDefault="00AC12B4">
            <w:pPr>
              <w:rPr>
                <w:sz w:val="1"/>
                <w:szCs w:val="1"/>
              </w:rPr>
            </w:pPr>
          </w:p>
        </w:tc>
      </w:tr>
      <w:tr w:rsidR="00AC12B4">
        <w:trPr>
          <w:trHeight w:val="80"/>
        </w:trPr>
        <w:tc>
          <w:tcPr>
            <w:tcW w:w="1320" w:type="dxa"/>
            <w:vAlign w:val="bottom"/>
          </w:tcPr>
          <w:p w:rsidR="00AC12B4" w:rsidRDefault="00AC12B4">
            <w:pPr>
              <w:rPr>
                <w:sz w:val="6"/>
                <w:szCs w:val="6"/>
              </w:rPr>
            </w:pPr>
          </w:p>
        </w:tc>
        <w:tc>
          <w:tcPr>
            <w:tcW w:w="2600" w:type="dxa"/>
            <w:gridSpan w:val="10"/>
            <w:vMerge w:val="restart"/>
            <w:vAlign w:val="bottom"/>
          </w:tcPr>
          <w:p w:rsidR="00AC12B4" w:rsidRDefault="00C27636">
            <w:pPr>
              <w:rPr>
                <w:sz w:val="20"/>
                <w:szCs w:val="20"/>
              </w:rPr>
            </w:pPr>
            <w:r>
              <w:rPr>
                <w:rFonts w:ascii="Calibri" w:eastAsia="Calibri" w:hAnsi="Calibri" w:cs="Calibri"/>
                <w:b/>
                <w:bCs/>
                <w:color w:val="4F81BD"/>
                <w:sz w:val="18"/>
                <w:szCs w:val="18"/>
              </w:rPr>
              <w:t>Figure 1. AIM année 2010</w:t>
            </w: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780" w:type="dxa"/>
            <w:vAlign w:val="bottom"/>
          </w:tcPr>
          <w:p w:rsidR="00AC12B4" w:rsidRDefault="00AC12B4">
            <w:pPr>
              <w:rPr>
                <w:sz w:val="6"/>
                <w:szCs w:val="6"/>
              </w:rPr>
            </w:pPr>
          </w:p>
        </w:tc>
        <w:tc>
          <w:tcPr>
            <w:tcW w:w="72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920" w:type="dxa"/>
            <w:gridSpan w:val="3"/>
            <w:vMerge/>
            <w:vAlign w:val="bottom"/>
          </w:tcPr>
          <w:p w:rsidR="00AC12B4" w:rsidRDefault="00AC12B4">
            <w:pPr>
              <w:rPr>
                <w:sz w:val="6"/>
                <w:szCs w:val="6"/>
              </w:rPr>
            </w:pPr>
          </w:p>
        </w:tc>
        <w:tc>
          <w:tcPr>
            <w:tcW w:w="1240" w:type="dxa"/>
            <w:gridSpan w:val="4"/>
            <w:vMerge/>
            <w:vAlign w:val="bottom"/>
          </w:tcPr>
          <w:p w:rsidR="00AC12B4" w:rsidRDefault="00AC12B4">
            <w:pPr>
              <w:rPr>
                <w:sz w:val="6"/>
                <w:szCs w:val="6"/>
              </w:rPr>
            </w:pPr>
          </w:p>
        </w:tc>
        <w:tc>
          <w:tcPr>
            <w:tcW w:w="900" w:type="dxa"/>
            <w:gridSpan w:val="4"/>
            <w:vMerge/>
            <w:vAlign w:val="bottom"/>
          </w:tcPr>
          <w:p w:rsidR="00AC12B4" w:rsidRDefault="00AC12B4">
            <w:pPr>
              <w:rPr>
                <w:sz w:val="6"/>
                <w:szCs w:val="6"/>
              </w:rPr>
            </w:pPr>
          </w:p>
        </w:tc>
        <w:tc>
          <w:tcPr>
            <w:tcW w:w="540" w:type="dxa"/>
            <w:vMerge/>
            <w:vAlign w:val="bottom"/>
          </w:tcPr>
          <w:p w:rsidR="00AC12B4" w:rsidRDefault="00AC12B4">
            <w:pPr>
              <w:rPr>
                <w:sz w:val="6"/>
                <w:szCs w:val="6"/>
              </w:rPr>
            </w:pPr>
          </w:p>
        </w:tc>
        <w:tc>
          <w:tcPr>
            <w:tcW w:w="280" w:type="dxa"/>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rsidRPr="00C27636">
        <w:trPr>
          <w:trHeight w:val="140"/>
        </w:trPr>
        <w:tc>
          <w:tcPr>
            <w:tcW w:w="1320" w:type="dxa"/>
            <w:vAlign w:val="bottom"/>
          </w:tcPr>
          <w:p w:rsidR="00AC12B4" w:rsidRDefault="00AC12B4">
            <w:pPr>
              <w:rPr>
                <w:sz w:val="12"/>
                <w:szCs w:val="12"/>
              </w:rPr>
            </w:pPr>
          </w:p>
        </w:tc>
        <w:tc>
          <w:tcPr>
            <w:tcW w:w="2600" w:type="dxa"/>
            <w:gridSpan w:val="10"/>
            <w:vMerge/>
            <w:vAlign w:val="bottom"/>
          </w:tcPr>
          <w:p w:rsidR="00AC12B4" w:rsidRDefault="00AC12B4">
            <w:pPr>
              <w:rPr>
                <w:sz w:val="12"/>
                <w:szCs w:val="12"/>
              </w:rPr>
            </w:pPr>
          </w:p>
        </w:tc>
        <w:tc>
          <w:tcPr>
            <w:tcW w:w="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34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40" w:type="dxa"/>
            <w:vAlign w:val="bottom"/>
          </w:tcPr>
          <w:p w:rsidR="00AC12B4" w:rsidRDefault="00AC12B4">
            <w:pPr>
              <w:rPr>
                <w:sz w:val="12"/>
                <w:szCs w:val="12"/>
              </w:rPr>
            </w:pPr>
          </w:p>
        </w:tc>
        <w:tc>
          <w:tcPr>
            <w:tcW w:w="780" w:type="dxa"/>
            <w:vAlign w:val="bottom"/>
          </w:tcPr>
          <w:p w:rsidR="00AC12B4" w:rsidRDefault="00AC12B4">
            <w:pPr>
              <w:rPr>
                <w:sz w:val="12"/>
                <w:szCs w:val="12"/>
              </w:rPr>
            </w:pPr>
          </w:p>
        </w:tc>
        <w:tc>
          <w:tcPr>
            <w:tcW w:w="72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3880" w:type="dxa"/>
            <w:gridSpan w:val="13"/>
            <w:vMerge w:val="restart"/>
            <w:vAlign w:val="bottom"/>
          </w:tcPr>
          <w:p w:rsidR="00AC12B4" w:rsidRPr="00C27636" w:rsidRDefault="00C27636">
            <w:pPr>
              <w:spacing w:line="217" w:lineRule="exact"/>
              <w:rPr>
                <w:sz w:val="20"/>
                <w:szCs w:val="20"/>
                <w:lang w:val="fr-BE"/>
              </w:rPr>
            </w:pPr>
            <w:r w:rsidRPr="00C27636">
              <w:rPr>
                <w:rFonts w:ascii="Calibri" w:eastAsia="Calibri" w:hAnsi="Calibri" w:cs="Calibri"/>
                <w:sz w:val="20"/>
                <w:szCs w:val="20"/>
                <w:lang w:val="fr-BE"/>
              </w:rPr>
              <w:t xml:space="preserve">sclérose  en  plaques,  épilepsie,  </w:t>
            </w:r>
            <w:r w:rsidRPr="00C27636">
              <w:rPr>
                <w:rFonts w:ascii="Calibri" w:eastAsia="Calibri" w:hAnsi="Calibri" w:cs="Calibri"/>
                <w:sz w:val="20"/>
                <w:szCs w:val="20"/>
                <w:lang w:val="fr-BE"/>
              </w:rPr>
              <w:t>affections</w:t>
            </w:r>
          </w:p>
        </w:tc>
        <w:tc>
          <w:tcPr>
            <w:tcW w:w="0" w:type="dxa"/>
            <w:vAlign w:val="bottom"/>
          </w:tcPr>
          <w:p w:rsidR="00AC12B4" w:rsidRPr="00C27636" w:rsidRDefault="00AC12B4">
            <w:pPr>
              <w:rPr>
                <w:sz w:val="1"/>
                <w:szCs w:val="1"/>
                <w:lang w:val="fr-BE"/>
              </w:rPr>
            </w:pPr>
          </w:p>
        </w:tc>
      </w:tr>
      <w:tr w:rsidR="00AC12B4" w:rsidRPr="00C27636">
        <w:trPr>
          <w:trHeight w:val="77"/>
        </w:trPr>
        <w:tc>
          <w:tcPr>
            <w:tcW w:w="1320" w:type="dxa"/>
            <w:vAlign w:val="bottom"/>
          </w:tcPr>
          <w:p w:rsidR="00AC12B4" w:rsidRPr="00C27636" w:rsidRDefault="00AC12B4">
            <w:pPr>
              <w:rPr>
                <w:sz w:val="6"/>
                <w:szCs w:val="6"/>
                <w:lang w:val="fr-BE"/>
              </w:rPr>
            </w:pPr>
          </w:p>
        </w:tc>
        <w:tc>
          <w:tcPr>
            <w:tcW w:w="140" w:type="dxa"/>
            <w:vAlign w:val="bottom"/>
          </w:tcPr>
          <w:p w:rsidR="00AC12B4" w:rsidRPr="00C27636" w:rsidRDefault="00AC12B4">
            <w:pPr>
              <w:rPr>
                <w:sz w:val="6"/>
                <w:szCs w:val="6"/>
                <w:lang w:val="fr-BE"/>
              </w:rPr>
            </w:pPr>
          </w:p>
        </w:tc>
        <w:tc>
          <w:tcPr>
            <w:tcW w:w="54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46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46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4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38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34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40" w:type="dxa"/>
            <w:vAlign w:val="bottom"/>
          </w:tcPr>
          <w:p w:rsidR="00AC12B4" w:rsidRPr="00C27636" w:rsidRDefault="00AC12B4">
            <w:pPr>
              <w:rPr>
                <w:sz w:val="6"/>
                <w:szCs w:val="6"/>
                <w:lang w:val="fr-BE"/>
              </w:rPr>
            </w:pPr>
          </w:p>
        </w:tc>
        <w:tc>
          <w:tcPr>
            <w:tcW w:w="780" w:type="dxa"/>
            <w:vAlign w:val="bottom"/>
          </w:tcPr>
          <w:p w:rsidR="00AC12B4" w:rsidRPr="00C27636" w:rsidRDefault="00AC12B4">
            <w:pPr>
              <w:rPr>
                <w:sz w:val="6"/>
                <w:szCs w:val="6"/>
                <w:lang w:val="fr-BE"/>
              </w:rPr>
            </w:pPr>
          </w:p>
        </w:tc>
        <w:tc>
          <w:tcPr>
            <w:tcW w:w="72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3880" w:type="dxa"/>
            <w:gridSpan w:val="13"/>
            <w:vMerge/>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40"/>
        </w:trPr>
        <w:tc>
          <w:tcPr>
            <w:tcW w:w="1320" w:type="dxa"/>
            <w:vAlign w:val="bottom"/>
          </w:tcPr>
          <w:p w:rsidR="00AC12B4" w:rsidRPr="00C27636" w:rsidRDefault="00AC12B4">
            <w:pPr>
              <w:rPr>
                <w:sz w:val="3"/>
                <w:szCs w:val="3"/>
                <w:lang w:val="fr-BE"/>
              </w:rPr>
            </w:pPr>
          </w:p>
        </w:tc>
        <w:tc>
          <w:tcPr>
            <w:tcW w:w="140" w:type="dxa"/>
            <w:vAlign w:val="bottom"/>
          </w:tcPr>
          <w:p w:rsidR="00AC12B4" w:rsidRPr="00C27636" w:rsidRDefault="00AC12B4">
            <w:pPr>
              <w:rPr>
                <w:sz w:val="3"/>
                <w:szCs w:val="3"/>
                <w:lang w:val="fr-BE"/>
              </w:rPr>
            </w:pPr>
          </w:p>
        </w:tc>
        <w:tc>
          <w:tcPr>
            <w:tcW w:w="540" w:type="dxa"/>
            <w:tcBorders>
              <w:bottom w:val="single" w:sz="8" w:space="0" w:color="auto"/>
            </w:tcBorders>
            <w:vAlign w:val="bottom"/>
          </w:tcPr>
          <w:p w:rsidR="00AC12B4" w:rsidRPr="00C27636" w:rsidRDefault="00AC12B4">
            <w:pPr>
              <w:rPr>
                <w:sz w:val="3"/>
                <w:szCs w:val="3"/>
                <w:lang w:val="fr-BE"/>
              </w:rPr>
            </w:pPr>
          </w:p>
        </w:tc>
        <w:tc>
          <w:tcPr>
            <w:tcW w:w="80" w:type="dxa"/>
            <w:tcBorders>
              <w:bottom w:val="single" w:sz="8" w:space="0" w:color="auto"/>
            </w:tcBorders>
            <w:vAlign w:val="bottom"/>
          </w:tcPr>
          <w:p w:rsidR="00AC12B4" w:rsidRPr="00C27636" w:rsidRDefault="00AC12B4">
            <w:pPr>
              <w:rPr>
                <w:sz w:val="3"/>
                <w:szCs w:val="3"/>
                <w:lang w:val="fr-BE"/>
              </w:rPr>
            </w:pPr>
          </w:p>
        </w:tc>
        <w:tc>
          <w:tcPr>
            <w:tcW w:w="460" w:type="dxa"/>
            <w:tcBorders>
              <w:bottom w:val="single" w:sz="8" w:space="0" w:color="auto"/>
            </w:tcBorders>
            <w:vAlign w:val="bottom"/>
          </w:tcPr>
          <w:p w:rsidR="00AC12B4" w:rsidRPr="00C27636" w:rsidRDefault="00AC12B4">
            <w:pPr>
              <w:rPr>
                <w:sz w:val="3"/>
                <w:szCs w:val="3"/>
                <w:lang w:val="fr-BE"/>
              </w:rPr>
            </w:pPr>
          </w:p>
        </w:tc>
        <w:tc>
          <w:tcPr>
            <w:tcW w:w="20" w:type="dxa"/>
            <w:tcBorders>
              <w:bottom w:val="single" w:sz="8" w:space="0" w:color="auto"/>
            </w:tcBorders>
            <w:vAlign w:val="bottom"/>
          </w:tcPr>
          <w:p w:rsidR="00AC12B4" w:rsidRPr="00C27636" w:rsidRDefault="00AC12B4">
            <w:pPr>
              <w:rPr>
                <w:sz w:val="3"/>
                <w:szCs w:val="3"/>
                <w:lang w:val="fr-BE"/>
              </w:rPr>
            </w:pPr>
          </w:p>
        </w:tc>
        <w:tc>
          <w:tcPr>
            <w:tcW w:w="460" w:type="dxa"/>
            <w:tcBorders>
              <w:bottom w:val="single" w:sz="8" w:space="0" w:color="auto"/>
            </w:tcBorders>
            <w:vAlign w:val="bottom"/>
          </w:tcPr>
          <w:p w:rsidR="00AC12B4" w:rsidRPr="00C27636" w:rsidRDefault="00AC12B4">
            <w:pPr>
              <w:rPr>
                <w:sz w:val="3"/>
                <w:szCs w:val="3"/>
                <w:lang w:val="fr-BE"/>
              </w:rPr>
            </w:pPr>
          </w:p>
        </w:tc>
        <w:tc>
          <w:tcPr>
            <w:tcW w:w="20" w:type="dxa"/>
            <w:tcBorders>
              <w:bottom w:val="single" w:sz="8" w:space="0" w:color="auto"/>
            </w:tcBorders>
            <w:vAlign w:val="bottom"/>
          </w:tcPr>
          <w:p w:rsidR="00AC12B4" w:rsidRPr="00C27636" w:rsidRDefault="00AC12B4">
            <w:pPr>
              <w:rPr>
                <w:sz w:val="3"/>
                <w:szCs w:val="3"/>
                <w:lang w:val="fr-BE"/>
              </w:rPr>
            </w:pPr>
          </w:p>
        </w:tc>
        <w:tc>
          <w:tcPr>
            <w:tcW w:w="480" w:type="dxa"/>
            <w:tcBorders>
              <w:bottom w:val="single" w:sz="8" w:space="0" w:color="auto"/>
            </w:tcBorders>
            <w:vAlign w:val="bottom"/>
          </w:tcPr>
          <w:p w:rsidR="00AC12B4" w:rsidRPr="00C27636" w:rsidRDefault="00AC12B4">
            <w:pPr>
              <w:rPr>
                <w:sz w:val="3"/>
                <w:szCs w:val="3"/>
                <w:lang w:val="fr-BE"/>
              </w:rPr>
            </w:pPr>
          </w:p>
        </w:tc>
        <w:tc>
          <w:tcPr>
            <w:tcW w:w="20" w:type="dxa"/>
            <w:tcBorders>
              <w:bottom w:val="single" w:sz="8" w:space="0" w:color="auto"/>
            </w:tcBorders>
            <w:vAlign w:val="bottom"/>
          </w:tcPr>
          <w:p w:rsidR="00AC12B4" w:rsidRPr="00C27636" w:rsidRDefault="00AC12B4">
            <w:pPr>
              <w:rPr>
                <w:sz w:val="3"/>
                <w:szCs w:val="3"/>
                <w:lang w:val="fr-BE"/>
              </w:rPr>
            </w:pPr>
          </w:p>
        </w:tc>
        <w:tc>
          <w:tcPr>
            <w:tcW w:w="380" w:type="dxa"/>
            <w:tcBorders>
              <w:bottom w:val="single" w:sz="8" w:space="0" w:color="auto"/>
            </w:tcBorders>
            <w:vAlign w:val="bottom"/>
          </w:tcPr>
          <w:p w:rsidR="00AC12B4" w:rsidRPr="00C27636" w:rsidRDefault="00AC12B4">
            <w:pPr>
              <w:rPr>
                <w:sz w:val="3"/>
                <w:szCs w:val="3"/>
                <w:lang w:val="fr-BE"/>
              </w:rPr>
            </w:pPr>
          </w:p>
        </w:tc>
        <w:tc>
          <w:tcPr>
            <w:tcW w:w="80" w:type="dxa"/>
            <w:tcBorders>
              <w:bottom w:val="single" w:sz="8" w:space="0" w:color="auto"/>
            </w:tcBorders>
            <w:vAlign w:val="bottom"/>
          </w:tcPr>
          <w:p w:rsidR="00AC12B4" w:rsidRPr="00C27636" w:rsidRDefault="00AC12B4">
            <w:pPr>
              <w:rPr>
                <w:sz w:val="3"/>
                <w:szCs w:val="3"/>
                <w:lang w:val="fr-BE"/>
              </w:rPr>
            </w:pPr>
          </w:p>
        </w:tc>
        <w:tc>
          <w:tcPr>
            <w:tcW w:w="20" w:type="dxa"/>
            <w:tcBorders>
              <w:bottom w:val="single" w:sz="8" w:space="0" w:color="auto"/>
            </w:tcBorders>
            <w:vAlign w:val="bottom"/>
          </w:tcPr>
          <w:p w:rsidR="00AC12B4" w:rsidRPr="00C27636" w:rsidRDefault="00AC12B4">
            <w:pPr>
              <w:rPr>
                <w:sz w:val="3"/>
                <w:szCs w:val="3"/>
                <w:lang w:val="fr-BE"/>
              </w:rPr>
            </w:pPr>
          </w:p>
        </w:tc>
        <w:tc>
          <w:tcPr>
            <w:tcW w:w="340" w:type="dxa"/>
            <w:tcBorders>
              <w:bottom w:val="single" w:sz="8" w:space="0" w:color="auto"/>
            </w:tcBorders>
            <w:vAlign w:val="bottom"/>
          </w:tcPr>
          <w:p w:rsidR="00AC12B4" w:rsidRPr="00C27636" w:rsidRDefault="00AC12B4">
            <w:pPr>
              <w:rPr>
                <w:sz w:val="3"/>
                <w:szCs w:val="3"/>
                <w:lang w:val="fr-BE"/>
              </w:rPr>
            </w:pPr>
          </w:p>
        </w:tc>
        <w:tc>
          <w:tcPr>
            <w:tcW w:w="80" w:type="dxa"/>
            <w:vAlign w:val="bottom"/>
          </w:tcPr>
          <w:p w:rsidR="00AC12B4" w:rsidRPr="00C27636" w:rsidRDefault="00AC12B4">
            <w:pPr>
              <w:rPr>
                <w:sz w:val="3"/>
                <w:szCs w:val="3"/>
                <w:lang w:val="fr-BE"/>
              </w:rPr>
            </w:pPr>
          </w:p>
        </w:tc>
        <w:tc>
          <w:tcPr>
            <w:tcW w:w="40" w:type="dxa"/>
            <w:vAlign w:val="bottom"/>
          </w:tcPr>
          <w:p w:rsidR="00AC12B4" w:rsidRPr="00C27636" w:rsidRDefault="00AC12B4">
            <w:pPr>
              <w:rPr>
                <w:sz w:val="3"/>
                <w:szCs w:val="3"/>
                <w:lang w:val="fr-BE"/>
              </w:rPr>
            </w:pPr>
          </w:p>
        </w:tc>
        <w:tc>
          <w:tcPr>
            <w:tcW w:w="780" w:type="dxa"/>
            <w:vAlign w:val="bottom"/>
          </w:tcPr>
          <w:p w:rsidR="00AC12B4" w:rsidRPr="00C27636" w:rsidRDefault="00AC12B4">
            <w:pPr>
              <w:rPr>
                <w:sz w:val="3"/>
                <w:szCs w:val="3"/>
                <w:lang w:val="fr-BE"/>
              </w:rPr>
            </w:pPr>
          </w:p>
        </w:tc>
        <w:tc>
          <w:tcPr>
            <w:tcW w:w="720" w:type="dxa"/>
            <w:vAlign w:val="bottom"/>
          </w:tcPr>
          <w:p w:rsidR="00AC12B4" w:rsidRPr="00C27636" w:rsidRDefault="00AC12B4">
            <w:pPr>
              <w:rPr>
                <w:sz w:val="3"/>
                <w:szCs w:val="3"/>
                <w:lang w:val="fr-BE"/>
              </w:rPr>
            </w:pPr>
          </w:p>
        </w:tc>
        <w:tc>
          <w:tcPr>
            <w:tcW w:w="80" w:type="dxa"/>
            <w:vAlign w:val="bottom"/>
          </w:tcPr>
          <w:p w:rsidR="00AC12B4" w:rsidRPr="00C27636" w:rsidRDefault="00AC12B4">
            <w:pPr>
              <w:rPr>
                <w:sz w:val="3"/>
                <w:szCs w:val="3"/>
                <w:lang w:val="fr-BE"/>
              </w:rPr>
            </w:pPr>
          </w:p>
        </w:tc>
        <w:tc>
          <w:tcPr>
            <w:tcW w:w="1120" w:type="dxa"/>
            <w:gridSpan w:val="4"/>
            <w:vMerge w:val="restart"/>
            <w:vAlign w:val="bottom"/>
          </w:tcPr>
          <w:p w:rsidR="00AC12B4" w:rsidRDefault="00C27636">
            <w:pPr>
              <w:rPr>
                <w:sz w:val="20"/>
                <w:szCs w:val="20"/>
              </w:rPr>
            </w:pPr>
            <w:r>
              <w:rPr>
                <w:rFonts w:ascii="Calibri" w:eastAsia="Calibri" w:hAnsi="Calibri" w:cs="Calibri"/>
                <w:w w:val="98"/>
                <w:sz w:val="20"/>
                <w:szCs w:val="20"/>
              </w:rPr>
              <w:t>thyroïdiennes</w:t>
            </w:r>
          </w:p>
        </w:tc>
        <w:tc>
          <w:tcPr>
            <w:tcW w:w="2760" w:type="dxa"/>
            <w:gridSpan w:val="9"/>
            <w:vMerge w:val="restart"/>
            <w:vAlign w:val="bottom"/>
          </w:tcPr>
          <w:p w:rsidR="00AC12B4" w:rsidRDefault="00C27636">
            <w:pPr>
              <w:jc w:val="right"/>
              <w:rPr>
                <w:sz w:val="20"/>
                <w:szCs w:val="20"/>
              </w:rPr>
            </w:pPr>
            <w:r>
              <w:rPr>
                <w:rFonts w:ascii="Calibri" w:eastAsia="Calibri" w:hAnsi="Calibri" w:cs="Calibri"/>
                <w:sz w:val="20"/>
                <w:szCs w:val="20"/>
              </w:rPr>
              <w:t>et  immunosuppression  après</w:t>
            </w:r>
          </w:p>
        </w:tc>
        <w:tc>
          <w:tcPr>
            <w:tcW w:w="0" w:type="dxa"/>
            <w:vAlign w:val="bottom"/>
          </w:tcPr>
          <w:p w:rsidR="00AC12B4" w:rsidRDefault="00AC12B4">
            <w:pPr>
              <w:rPr>
                <w:sz w:val="1"/>
                <w:szCs w:val="1"/>
              </w:rPr>
            </w:pPr>
          </w:p>
        </w:tc>
      </w:tr>
      <w:tr w:rsidR="00AC12B4" w:rsidRPr="00C27636">
        <w:trPr>
          <w:trHeight w:val="210"/>
        </w:trPr>
        <w:tc>
          <w:tcPr>
            <w:tcW w:w="1320" w:type="dxa"/>
            <w:vAlign w:val="bottom"/>
          </w:tcPr>
          <w:p w:rsidR="00AC12B4" w:rsidRDefault="00AC12B4">
            <w:pPr>
              <w:rPr>
                <w:sz w:val="18"/>
                <w:szCs w:val="18"/>
              </w:rPr>
            </w:pPr>
          </w:p>
        </w:tc>
        <w:tc>
          <w:tcPr>
            <w:tcW w:w="140" w:type="dxa"/>
            <w:vAlign w:val="bottom"/>
          </w:tcPr>
          <w:p w:rsidR="00AC12B4" w:rsidRDefault="00AC12B4">
            <w:pPr>
              <w:rPr>
                <w:sz w:val="18"/>
                <w:szCs w:val="18"/>
              </w:rPr>
            </w:pPr>
          </w:p>
        </w:tc>
        <w:tc>
          <w:tcPr>
            <w:tcW w:w="4600" w:type="dxa"/>
            <w:gridSpan w:val="17"/>
            <w:vMerge w:val="restart"/>
            <w:vAlign w:val="bottom"/>
          </w:tcPr>
          <w:p w:rsidR="00AC12B4" w:rsidRPr="00C27636" w:rsidRDefault="00C27636">
            <w:pPr>
              <w:rPr>
                <w:sz w:val="20"/>
                <w:szCs w:val="20"/>
                <w:lang w:val="fr-BE"/>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Centre fédéral d'expertise des soins de santé</w:t>
            </w:r>
          </w:p>
        </w:tc>
        <w:tc>
          <w:tcPr>
            <w:tcW w:w="1120" w:type="dxa"/>
            <w:gridSpan w:val="4"/>
            <w:vMerge/>
            <w:vAlign w:val="bottom"/>
          </w:tcPr>
          <w:p w:rsidR="00AC12B4" w:rsidRPr="00C27636" w:rsidRDefault="00AC12B4">
            <w:pPr>
              <w:rPr>
                <w:sz w:val="18"/>
                <w:szCs w:val="18"/>
                <w:lang w:val="fr-BE"/>
              </w:rPr>
            </w:pPr>
          </w:p>
        </w:tc>
        <w:tc>
          <w:tcPr>
            <w:tcW w:w="2760" w:type="dxa"/>
            <w:gridSpan w:val="9"/>
            <w:vMerge/>
            <w:vAlign w:val="bottom"/>
          </w:tcPr>
          <w:p w:rsidR="00AC12B4" w:rsidRPr="00C27636" w:rsidRDefault="00AC12B4">
            <w:pPr>
              <w:rPr>
                <w:sz w:val="18"/>
                <w:szCs w:val="18"/>
                <w:lang w:val="fr-BE"/>
              </w:rPr>
            </w:pPr>
          </w:p>
        </w:tc>
        <w:tc>
          <w:tcPr>
            <w:tcW w:w="0" w:type="dxa"/>
            <w:vAlign w:val="bottom"/>
          </w:tcPr>
          <w:p w:rsidR="00AC12B4" w:rsidRPr="00C27636" w:rsidRDefault="00AC12B4">
            <w:pPr>
              <w:rPr>
                <w:sz w:val="1"/>
                <w:szCs w:val="1"/>
                <w:lang w:val="fr-BE"/>
              </w:rPr>
            </w:pPr>
          </w:p>
        </w:tc>
      </w:tr>
      <w:tr w:rsidR="00AC12B4">
        <w:trPr>
          <w:trHeight w:val="274"/>
        </w:trPr>
        <w:tc>
          <w:tcPr>
            <w:tcW w:w="13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600" w:type="dxa"/>
            <w:gridSpan w:val="17"/>
            <w:vMerge/>
            <w:vAlign w:val="bottom"/>
          </w:tcPr>
          <w:p w:rsidR="00AC12B4" w:rsidRPr="00C27636" w:rsidRDefault="00AC12B4">
            <w:pPr>
              <w:rPr>
                <w:sz w:val="23"/>
                <w:szCs w:val="23"/>
                <w:lang w:val="fr-BE"/>
              </w:rPr>
            </w:pPr>
          </w:p>
        </w:tc>
        <w:tc>
          <w:tcPr>
            <w:tcW w:w="2620" w:type="dxa"/>
            <w:gridSpan w:val="9"/>
            <w:vAlign w:val="bottom"/>
          </w:tcPr>
          <w:p w:rsidR="00AC12B4" w:rsidRDefault="00C27636">
            <w:pPr>
              <w:rPr>
                <w:sz w:val="20"/>
                <w:szCs w:val="20"/>
              </w:rPr>
            </w:pPr>
            <w:r>
              <w:rPr>
                <w:rFonts w:ascii="Calibri" w:eastAsia="Calibri" w:hAnsi="Calibri" w:cs="Calibri"/>
                <w:sz w:val="20"/>
                <w:szCs w:val="20"/>
              </w:rPr>
              <w:t>une transplantation d'organe.</w:t>
            </w:r>
          </w:p>
        </w:tc>
        <w:tc>
          <w:tcPr>
            <w:tcW w:w="26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5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481"/>
        </w:trPr>
        <w:tc>
          <w:tcPr>
            <w:tcW w:w="13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1500" w:type="dxa"/>
            <w:gridSpan w:val="2"/>
            <w:vAlign w:val="bottom"/>
          </w:tcPr>
          <w:p w:rsidR="00AC12B4" w:rsidRDefault="00C27636">
            <w:pPr>
              <w:ind w:right="160"/>
              <w:jc w:val="right"/>
              <w:rPr>
                <w:sz w:val="20"/>
                <w:szCs w:val="20"/>
              </w:rPr>
            </w:pPr>
            <w:r>
              <w:rPr>
                <w:rFonts w:ascii="Calibri" w:eastAsia="Calibri" w:hAnsi="Calibri" w:cs="Calibri"/>
              </w:rPr>
              <w:t>69</w:t>
            </w:r>
          </w:p>
        </w:tc>
        <w:tc>
          <w:tcPr>
            <w:tcW w:w="8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484672" behindDoc="1" locked="0" layoutInCell="0" allowOverlap="1">
            <wp:simplePos x="0" y="0"/>
            <wp:positionH relativeFrom="column">
              <wp:posOffset>824230</wp:posOffset>
            </wp:positionH>
            <wp:positionV relativeFrom="paragraph">
              <wp:posOffset>-2609215</wp:posOffset>
            </wp:positionV>
            <wp:extent cx="2517775" cy="195834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a:extLst/>
                    </a:blip>
                    <a:srcRect/>
                    <a:stretch>
                      <a:fillRect/>
                    </a:stretch>
                  </pic:blipFill>
                  <pic:spPr bwMode="auto">
                    <a:xfrm>
                      <a:off x="0" y="0"/>
                      <a:ext cx="2517775" cy="1958340"/>
                    </a:xfrm>
                    <a:prstGeom prst="rect">
                      <a:avLst/>
                    </a:prstGeom>
                    <a:noFill/>
                  </pic:spPr>
                </pic:pic>
              </a:graphicData>
            </a:graphic>
          </wp:anchor>
        </w:drawing>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485696"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6" w:bottom="659" w:left="540" w:header="0" w:footer="0" w:gutter="0"/>
          <w:cols w:num="2" w:space="720" w:equalWidth="0">
            <w:col w:w="9979" w:space="720"/>
            <w:col w:w="342"/>
          </w:cols>
        </w:sectPr>
      </w:pPr>
    </w:p>
    <w:p w:rsidR="00AC12B4" w:rsidRPr="00C27636" w:rsidRDefault="00AC12B4">
      <w:pPr>
        <w:framePr w:w="2880" w:h="4060" w:wrap="auto" w:vAnchor="page" w:hAnchor="page" w:x="648" w:y="7237"/>
        <w:spacing w:line="20" w:lineRule="exact"/>
        <w:rPr>
          <w:sz w:val="20"/>
          <w:szCs w:val="20"/>
          <w:lang w:val="fr-BE"/>
        </w:rPr>
      </w:pPr>
      <w:bookmarkStart w:id="69" w:name="page70"/>
      <w:bookmarkEnd w:id="69"/>
    </w:p>
    <w:p w:rsidR="00AC12B4" w:rsidRPr="00C27636" w:rsidRDefault="00C27636">
      <w:pPr>
        <w:framePr w:w="2540" w:h="637" w:wrap="auto" w:vAnchor="page" w:hAnchor="page" w:x="600" w:y="7472"/>
        <w:spacing w:line="208" w:lineRule="auto"/>
        <w:jc w:val="both"/>
        <w:rPr>
          <w:rFonts w:ascii="Calibri" w:eastAsia="Calibri" w:hAnsi="Calibri" w:cs="Calibri"/>
          <w:color w:val="4F6228"/>
          <w:sz w:val="20"/>
          <w:szCs w:val="20"/>
          <w:lang w:val="fr-BE"/>
        </w:rPr>
      </w:pPr>
      <w:r w:rsidRPr="00C27636">
        <w:rPr>
          <w:rFonts w:ascii="Calibri" w:eastAsia="Calibri" w:hAnsi="Calibri" w:cs="Calibri"/>
          <w:color w:val="4F6228"/>
          <w:sz w:val="20"/>
          <w:szCs w:val="20"/>
          <w:lang w:val="fr-BE"/>
        </w:rPr>
        <w:t>Selon le rapport KCE "Recommandation nationale relative aux soins prénataux":</w:t>
      </w:r>
    </w:p>
    <w:p w:rsidR="00AC12B4" w:rsidRDefault="00C27636">
      <w:pPr>
        <w:framePr w:w="2540" w:h="2103" w:wrap="auto" w:vAnchor="page" w:hAnchor="page" w:x="600" w:y="8324"/>
        <w:spacing w:line="229" w:lineRule="auto"/>
        <w:jc w:val="both"/>
        <w:rPr>
          <w:rFonts w:ascii="Calibri" w:eastAsia="Calibri" w:hAnsi="Calibri" w:cs="Calibri"/>
          <w:i/>
          <w:iCs/>
          <w:color w:val="4F6228"/>
          <w:sz w:val="20"/>
          <w:szCs w:val="20"/>
        </w:rPr>
      </w:pPr>
      <w:r w:rsidRPr="00C27636">
        <w:rPr>
          <w:rFonts w:ascii="Calibri" w:eastAsia="Calibri" w:hAnsi="Calibri" w:cs="Calibri"/>
          <w:color w:val="4F6228"/>
          <w:sz w:val="20"/>
          <w:szCs w:val="20"/>
          <w:lang w:val="fr-BE"/>
        </w:rPr>
        <w:t>"</w:t>
      </w:r>
      <w:r w:rsidRPr="00C27636">
        <w:rPr>
          <w:rFonts w:ascii="Calibri" w:eastAsia="Calibri" w:hAnsi="Calibri" w:cs="Calibri"/>
          <w:i/>
          <w:iCs/>
          <w:color w:val="4F6228"/>
          <w:sz w:val="20"/>
          <w:szCs w:val="20"/>
          <w:lang w:val="fr-BE"/>
        </w:rPr>
        <w:t>Pour une femme qui est</w:t>
      </w:r>
      <w:r w:rsidRPr="00C27636">
        <w:rPr>
          <w:rFonts w:ascii="Calibri" w:eastAsia="Calibri" w:hAnsi="Calibri" w:cs="Calibri"/>
          <w:color w:val="4F6228"/>
          <w:sz w:val="20"/>
          <w:szCs w:val="20"/>
          <w:lang w:val="fr-BE"/>
        </w:rPr>
        <w:t xml:space="preserve"> </w:t>
      </w:r>
      <w:r w:rsidRPr="00C27636">
        <w:rPr>
          <w:rFonts w:ascii="Calibri" w:eastAsia="Calibri" w:hAnsi="Calibri" w:cs="Calibri"/>
          <w:i/>
          <w:iCs/>
          <w:color w:val="4F6228"/>
          <w:sz w:val="20"/>
          <w:szCs w:val="20"/>
          <w:lang w:val="fr-BE"/>
        </w:rPr>
        <w:t xml:space="preserve">primipare en cas d'absence de complication, un programme de dix </w:t>
      </w:r>
      <w:r w:rsidRPr="00C27636">
        <w:rPr>
          <w:rFonts w:ascii="Calibri" w:eastAsia="Calibri" w:hAnsi="Calibri" w:cs="Calibri"/>
          <w:i/>
          <w:iCs/>
          <w:color w:val="4F6228"/>
          <w:sz w:val="20"/>
          <w:szCs w:val="20"/>
          <w:lang w:val="fr-BE"/>
        </w:rPr>
        <w:t>rendez-vous devrait être proposé. Pour une femme multipare en cas d'absence de complication, un programme de sept rendez-vous devrait être proposé</w:t>
      </w:r>
      <w:r w:rsidRPr="00C27636">
        <w:rPr>
          <w:rFonts w:ascii="Calibri" w:eastAsia="Calibri" w:hAnsi="Calibri" w:cs="Calibri"/>
          <w:color w:val="4F6228"/>
          <w:sz w:val="20"/>
          <w:szCs w:val="20"/>
          <w:lang w:val="fr-BE"/>
        </w:rPr>
        <w:t xml:space="preserve">. </w:t>
      </w:r>
      <w:r>
        <w:rPr>
          <w:rFonts w:ascii="Calibri" w:eastAsia="Calibri" w:hAnsi="Calibri" w:cs="Calibri"/>
          <w:color w:val="4F6228"/>
          <w:sz w:val="20"/>
          <w:szCs w:val="20"/>
        </w:rPr>
        <w:t>"</w:t>
      </w:r>
    </w:p>
    <w:p w:rsidR="00AC12B4" w:rsidRDefault="00C27636">
      <w:pPr>
        <w:spacing w:line="200" w:lineRule="exact"/>
        <w:rPr>
          <w:rFonts w:ascii="Calibri" w:eastAsia="Calibri" w:hAnsi="Calibri" w:cs="Calibri"/>
          <w:i/>
          <w:iCs/>
          <w:color w:val="4F6228"/>
          <w:sz w:val="20"/>
          <w:szCs w:val="20"/>
        </w:rPr>
      </w:pPr>
      <w:r>
        <w:rPr>
          <w:rFonts w:ascii="Calibri" w:eastAsia="Calibri" w:hAnsi="Calibri" w:cs="Calibri"/>
          <w:i/>
          <w:iCs/>
          <w:noProof/>
          <w:color w:val="4F6228"/>
          <w:sz w:val="20"/>
          <w:szCs w:val="20"/>
        </w:rPr>
        <w:drawing>
          <wp:anchor distT="0" distB="0" distL="114300" distR="114300" simplePos="0" relativeHeight="251486720" behindDoc="1" locked="0" layoutInCell="0" allowOverlap="1" wp14:anchorId="10468000" wp14:editId="7BA92F47">
            <wp:simplePos x="0" y="0"/>
            <wp:positionH relativeFrom="column">
              <wp:posOffset>-309241</wp:posOffset>
            </wp:positionH>
            <wp:positionV relativeFrom="paragraph">
              <wp:posOffset>-913765</wp:posOffset>
            </wp:positionV>
            <wp:extent cx="2743835" cy="10908665"/>
            <wp:effectExtent l="0" t="0" r="0" b="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a:extLst/>
                    </a:blip>
                    <a:srcRect/>
                    <a:stretch>
                      <a:fillRect/>
                    </a:stretch>
                  </pic:blipFill>
                  <pic:spPr bwMode="auto">
                    <a:xfrm>
                      <a:off x="0" y="0"/>
                      <a:ext cx="2743835" cy="10908665"/>
                    </a:xfrm>
                    <a:prstGeom prst="rect">
                      <a:avLst/>
                    </a:prstGeom>
                    <a:noFill/>
                  </pic:spPr>
                </pic:pic>
              </a:graphicData>
            </a:graphic>
          </wp:anchor>
        </w:drawing>
      </w: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200" w:lineRule="exact"/>
        <w:rPr>
          <w:rFonts w:ascii="Calibri" w:eastAsia="Calibri" w:hAnsi="Calibri" w:cs="Calibri"/>
          <w:i/>
          <w:iCs/>
          <w:color w:val="4F6228"/>
          <w:sz w:val="20"/>
          <w:szCs w:val="20"/>
        </w:rPr>
      </w:pPr>
    </w:p>
    <w:p w:rsidR="00AC12B4" w:rsidRDefault="00AC12B4">
      <w:pPr>
        <w:spacing w:line="359" w:lineRule="exact"/>
        <w:rPr>
          <w:rFonts w:ascii="Calibri" w:eastAsia="Calibri" w:hAnsi="Calibri" w:cs="Calibri"/>
          <w:i/>
          <w:iCs/>
          <w:color w:val="4F6228"/>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rFonts w:ascii="Calibri" w:eastAsia="Calibri" w:hAnsi="Calibri" w:cs="Calibri"/>
          <w:i/>
          <w:iCs/>
          <w:color w:val="4F6228"/>
          <w:sz w:val="20"/>
          <w:szCs w:val="20"/>
          <w:lang w:val="fr-BE"/>
        </w:rPr>
      </w:pPr>
      <w:r w:rsidRPr="00C27636">
        <w:rPr>
          <w:rFonts w:ascii="Calibri" w:eastAsia="Calibri" w:hAnsi="Calibri" w:cs="Calibri"/>
          <w:i/>
          <w:iCs/>
          <w:color w:val="4F6228"/>
          <w:sz w:val="20"/>
          <w:szCs w:val="20"/>
          <w:lang w:val="fr-BE"/>
        </w:rPr>
        <w:br w:type="column"/>
      </w:r>
    </w:p>
    <w:p w:rsidR="00AC12B4" w:rsidRPr="00C27636" w:rsidRDefault="00AC12B4">
      <w:pPr>
        <w:spacing w:line="192" w:lineRule="exact"/>
        <w:rPr>
          <w:rFonts w:ascii="Calibri" w:eastAsia="Calibri" w:hAnsi="Calibri" w:cs="Calibri"/>
          <w:i/>
          <w:iCs/>
          <w:color w:val="4F6228"/>
          <w:sz w:val="20"/>
          <w:szCs w:val="20"/>
          <w:lang w:val="fr-BE"/>
        </w:rPr>
      </w:pPr>
    </w:p>
    <w:p w:rsidR="00AC12B4" w:rsidRPr="00C27636" w:rsidRDefault="00C27636">
      <w:pPr>
        <w:spacing w:line="229" w:lineRule="auto"/>
        <w:ind w:right="460"/>
        <w:jc w:val="both"/>
        <w:rPr>
          <w:sz w:val="20"/>
          <w:szCs w:val="20"/>
          <w:lang w:val="fr-BE"/>
        </w:rPr>
      </w:pPr>
      <w:r w:rsidRPr="00C27636">
        <w:rPr>
          <w:rFonts w:ascii="Calibri" w:eastAsia="Calibri" w:hAnsi="Calibri" w:cs="Calibri"/>
          <w:lang w:val="fr-BE"/>
        </w:rPr>
        <w:t xml:space="preserve">Les données ventilées </w:t>
      </w:r>
      <w:r w:rsidRPr="00C27636">
        <w:rPr>
          <w:rFonts w:ascii="Calibri" w:eastAsia="Calibri" w:hAnsi="Calibri" w:cs="Calibri"/>
          <w:lang w:val="fr-BE"/>
        </w:rPr>
        <w:t>selon le statut « à risque » de la grossesse ou selon le statut socio-économique ne sont pas disponibles actuellement.</w:t>
      </w:r>
    </w:p>
    <w:p w:rsidR="00AC12B4" w:rsidRPr="00C27636" w:rsidRDefault="00AC12B4">
      <w:pPr>
        <w:spacing w:line="20" w:lineRule="exact"/>
        <w:rPr>
          <w:rFonts w:ascii="Calibri" w:eastAsia="Calibri" w:hAnsi="Calibri" w:cs="Calibri"/>
          <w:i/>
          <w:iCs/>
          <w:color w:val="4F6228"/>
          <w:sz w:val="20"/>
          <w:szCs w:val="20"/>
          <w:lang w:val="fr-BE"/>
        </w:rPr>
      </w:pPr>
    </w:p>
    <w:p w:rsidR="00AC12B4" w:rsidRPr="00C27636" w:rsidRDefault="00AC12B4">
      <w:pPr>
        <w:spacing w:line="185" w:lineRule="exact"/>
        <w:rPr>
          <w:rFonts w:ascii="Calibri" w:eastAsia="Calibri" w:hAnsi="Calibri" w:cs="Calibri"/>
          <w:i/>
          <w:iCs/>
          <w:color w:val="4F6228"/>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919715"/>
          <w:sz w:val="26"/>
          <w:szCs w:val="26"/>
          <w:lang w:val="fr-BE"/>
        </w:rPr>
        <w:t>Évolution</w:t>
      </w:r>
    </w:p>
    <w:p w:rsidR="00AC12B4" w:rsidRPr="00C27636" w:rsidRDefault="00AC12B4">
      <w:pPr>
        <w:spacing w:line="161" w:lineRule="exact"/>
        <w:rPr>
          <w:rFonts w:ascii="Calibri" w:eastAsia="Calibri" w:hAnsi="Calibri" w:cs="Calibri"/>
          <w:i/>
          <w:iCs/>
          <w:color w:val="4F6228"/>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Ces chiffres sont stables depuis 2010.</w:t>
      </w:r>
    </w:p>
    <w:p w:rsidR="00AC12B4" w:rsidRPr="00C27636" w:rsidRDefault="00AC12B4">
      <w:pPr>
        <w:spacing w:line="206" w:lineRule="exact"/>
        <w:rPr>
          <w:rFonts w:ascii="Calibri" w:eastAsia="Calibri" w:hAnsi="Calibri" w:cs="Calibri"/>
          <w:i/>
          <w:iCs/>
          <w:color w:val="4F6228"/>
          <w:sz w:val="20"/>
          <w:szCs w:val="20"/>
          <w:lang w:val="fr-BE"/>
        </w:rPr>
      </w:pPr>
    </w:p>
    <w:p w:rsidR="00AC12B4" w:rsidRDefault="00C27636">
      <w:pPr>
        <w:rPr>
          <w:sz w:val="20"/>
          <w:szCs w:val="20"/>
        </w:rPr>
      </w:pPr>
      <w:r>
        <w:rPr>
          <w:rFonts w:ascii="Cambria" w:eastAsia="Cambria" w:hAnsi="Cambria" w:cs="Cambria"/>
          <w:b/>
          <w:bCs/>
          <w:i/>
          <w:iCs/>
          <w:color w:val="919715"/>
          <w:sz w:val="26"/>
          <w:szCs w:val="26"/>
        </w:rPr>
        <w:t>D’où viennent ces chiffres ?</w:t>
      </w:r>
    </w:p>
    <w:p w:rsidR="00AC12B4" w:rsidRDefault="00AC12B4">
      <w:pPr>
        <w:spacing w:line="166" w:lineRule="exact"/>
        <w:rPr>
          <w:rFonts w:ascii="Calibri" w:eastAsia="Calibri" w:hAnsi="Calibri" w:cs="Calibri"/>
          <w:i/>
          <w:iCs/>
          <w:color w:val="4F6228"/>
          <w:sz w:val="20"/>
          <w:szCs w:val="20"/>
        </w:rPr>
      </w:pPr>
    </w:p>
    <w:p w:rsidR="00AC12B4" w:rsidRDefault="00C27636">
      <w:pPr>
        <w:numPr>
          <w:ilvl w:val="0"/>
          <w:numId w:val="85"/>
        </w:numPr>
        <w:tabs>
          <w:tab w:val="left" w:pos="720"/>
        </w:tabs>
        <w:ind w:left="720" w:hanging="360"/>
        <w:rPr>
          <w:rFonts w:ascii="Wingdings" w:eastAsia="Wingdings" w:hAnsi="Wingdings" w:cs="Wingdings"/>
          <w:color w:val="C9D11D"/>
        </w:rPr>
      </w:pPr>
      <w:r>
        <w:rPr>
          <w:rFonts w:ascii="Cambria" w:eastAsia="Cambria" w:hAnsi="Cambria" w:cs="Cambria"/>
          <w:i/>
          <w:iCs/>
          <w:color w:val="C9D11D"/>
        </w:rPr>
        <w:t>L’Agence InterMutualiste</w:t>
      </w:r>
    </w:p>
    <w:p w:rsidR="00AC12B4" w:rsidRDefault="00AC12B4">
      <w:pPr>
        <w:spacing w:line="202" w:lineRule="exact"/>
        <w:rPr>
          <w:rFonts w:ascii="Calibri" w:eastAsia="Calibri" w:hAnsi="Calibri" w:cs="Calibri"/>
          <w:i/>
          <w:iCs/>
          <w:color w:val="4F6228"/>
          <w:sz w:val="20"/>
          <w:szCs w:val="20"/>
        </w:rPr>
      </w:pPr>
    </w:p>
    <w:p w:rsidR="00AC12B4" w:rsidRPr="00C27636" w:rsidRDefault="00C27636">
      <w:pPr>
        <w:spacing w:line="231" w:lineRule="auto"/>
        <w:ind w:right="460"/>
        <w:jc w:val="both"/>
        <w:rPr>
          <w:sz w:val="20"/>
          <w:szCs w:val="20"/>
          <w:lang w:val="fr-BE"/>
        </w:rPr>
      </w:pPr>
      <w:r w:rsidRPr="00C27636">
        <w:rPr>
          <w:rFonts w:ascii="Calibri" w:eastAsia="Calibri" w:hAnsi="Calibri" w:cs="Calibri"/>
          <w:lang w:val="fr-BE"/>
        </w:rPr>
        <w:t xml:space="preserve">L’agence InterMutualiste </w:t>
      </w:r>
      <w:r w:rsidRPr="00C27636">
        <w:rPr>
          <w:rFonts w:ascii="Calibri" w:eastAsia="Calibri" w:hAnsi="Calibri" w:cs="Calibri"/>
          <w:lang w:val="fr-BE"/>
        </w:rPr>
        <w:t>(AIM) a comme mission d’« analyser les données collectées par les organismes assureurs dans le cadre de leurs missions et à leur procurer l’information en la matière ».</w:t>
      </w:r>
    </w:p>
    <w:p w:rsidR="00AC12B4" w:rsidRPr="00C27636" w:rsidRDefault="00AC12B4">
      <w:pPr>
        <w:spacing w:line="170" w:lineRule="exact"/>
        <w:rPr>
          <w:rFonts w:ascii="Calibri" w:eastAsia="Calibri" w:hAnsi="Calibri" w:cs="Calibri"/>
          <w:i/>
          <w:iCs/>
          <w:color w:val="4F6228"/>
          <w:sz w:val="20"/>
          <w:szCs w:val="20"/>
          <w:lang w:val="fr-BE"/>
        </w:rPr>
      </w:pPr>
    </w:p>
    <w:p w:rsidR="00AC12B4" w:rsidRPr="00C27636" w:rsidRDefault="00C27636">
      <w:pPr>
        <w:spacing w:line="246" w:lineRule="auto"/>
        <w:ind w:right="460"/>
        <w:jc w:val="both"/>
        <w:rPr>
          <w:sz w:val="20"/>
          <w:szCs w:val="20"/>
          <w:lang w:val="fr-BE"/>
        </w:rPr>
      </w:pPr>
      <w:r w:rsidRPr="00C27636">
        <w:rPr>
          <w:rFonts w:ascii="Calibri" w:eastAsia="Calibri" w:hAnsi="Calibri" w:cs="Calibri"/>
          <w:sz w:val="20"/>
          <w:szCs w:val="20"/>
          <w:lang w:val="fr-BE"/>
        </w:rPr>
        <w:t>Les 7 mutualités actives en Belgique collectent toutes sortes de données (administrati</w:t>
      </w:r>
      <w:r w:rsidRPr="00C27636">
        <w:rPr>
          <w:rFonts w:ascii="Calibri" w:eastAsia="Calibri" w:hAnsi="Calibri" w:cs="Calibri"/>
          <w:sz w:val="20"/>
          <w:szCs w:val="20"/>
          <w:lang w:val="fr-BE"/>
        </w:rPr>
        <w:t>ves, de facturation,...). AIM rassemble ces données pour réaliser des</w:t>
      </w:r>
    </w:p>
    <w:p w:rsidR="00AC12B4" w:rsidRPr="00C27636" w:rsidRDefault="00AC12B4">
      <w:pPr>
        <w:spacing w:line="25" w:lineRule="exact"/>
        <w:rPr>
          <w:rFonts w:ascii="Calibri" w:eastAsia="Calibri" w:hAnsi="Calibri" w:cs="Calibri"/>
          <w:i/>
          <w:iCs/>
          <w:color w:val="4F6228"/>
          <w:sz w:val="20"/>
          <w:szCs w:val="20"/>
          <w:lang w:val="fr-BE"/>
        </w:rPr>
      </w:pPr>
    </w:p>
    <w:p w:rsidR="00AC12B4" w:rsidRPr="00C27636" w:rsidRDefault="00C27636">
      <w:pPr>
        <w:ind w:left="32"/>
        <w:rPr>
          <w:sz w:val="20"/>
          <w:szCs w:val="20"/>
          <w:lang w:val="fr-BE"/>
        </w:rPr>
      </w:pPr>
      <w:r w:rsidRPr="00C27636">
        <w:rPr>
          <w:rFonts w:ascii="Calibri" w:eastAsia="Calibri" w:hAnsi="Calibri" w:cs="Calibri"/>
          <w:lang w:val="fr-BE"/>
        </w:rPr>
        <w:t>études globales.</w:t>
      </w:r>
    </w:p>
    <w:p w:rsidR="00AC12B4" w:rsidRPr="00C27636" w:rsidRDefault="00AC12B4">
      <w:pPr>
        <w:spacing w:line="127" w:lineRule="exact"/>
        <w:rPr>
          <w:rFonts w:ascii="Calibri" w:eastAsia="Calibri" w:hAnsi="Calibri" w:cs="Calibri"/>
          <w:i/>
          <w:iCs/>
          <w:color w:val="4F6228"/>
          <w:sz w:val="20"/>
          <w:szCs w:val="20"/>
          <w:lang w:val="fr-BE"/>
        </w:rPr>
      </w:pPr>
    </w:p>
    <w:p w:rsidR="00AC12B4" w:rsidRPr="00C27636" w:rsidRDefault="00C27636">
      <w:pPr>
        <w:spacing w:line="274" w:lineRule="auto"/>
        <w:ind w:left="32" w:right="560" w:firstLine="360"/>
        <w:rPr>
          <w:sz w:val="20"/>
          <w:szCs w:val="20"/>
          <w:lang w:val="fr-BE"/>
        </w:rPr>
      </w:pPr>
      <w:r>
        <w:rPr>
          <w:rFonts w:ascii="Wingdings" w:eastAsia="Wingdings" w:hAnsi="Wingdings" w:cs="Wingdings"/>
          <w:color w:val="C9D11D"/>
        </w:rPr>
        <w:t></w:t>
      </w:r>
      <w:r>
        <w:rPr>
          <w:rFonts w:ascii="Wingdings" w:eastAsia="Wingdings" w:hAnsi="Wingdings" w:cs="Wingdings"/>
          <w:color w:val="C9D11D"/>
        </w:rPr>
        <w:t></w:t>
      </w:r>
      <w:r w:rsidRPr="00C27636">
        <w:rPr>
          <w:rFonts w:ascii="Cambria" w:eastAsia="Cambria" w:hAnsi="Cambria" w:cs="Cambria"/>
          <w:i/>
          <w:iCs/>
          <w:color w:val="C9D11D"/>
          <w:lang w:val="fr-BE"/>
        </w:rPr>
        <w:t>Limite de</w:t>
      </w:r>
      <w:r>
        <w:rPr>
          <w:rFonts w:ascii="Wingdings" w:eastAsia="Wingdings" w:hAnsi="Wingdings" w:cs="Wingdings"/>
          <w:color w:val="C9D11D"/>
        </w:rPr>
        <w:t></w:t>
      </w:r>
      <w:r w:rsidRPr="00C27636">
        <w:rPr>
          <w:rFonts w:ascii="Cambria" w:eastAsia="Cambria" w:hAnsi="Cambria" w:cs="Cambria"/>
          <w:i/>
          <w:iCs/>
          <w:color w:val="C9D11D"/>
          <w:lang w:val="fr-BE"/>
        </w:rPr>
        <w:t>la mesure</w:t>
      </w:r>
    </w:p>
    <w:p w:rsidR="00AC12B4" w:rsidRPr="00C27636" w:rsidRDefault="00AC12B4">
      <w:pPr>
        <w:spacing w:line="166" w:lineRule="exact"/>
        <w:rPr>
          <w:rFonts w:ascii="Calibri" w:eastAsia="Calibri" w:hAnsi="Calibri" w:cs="Calibri"/>
          <w:i/>
          <w:iCs/>
          <w:color w:val="4F6228"/>
          <w:sz w:val="20"/>
          <w:szCs w:val="20"/>
          <w:lang w:val="fr-BE"/>
        </w:rPr>
      </w:pPr>
    </w:p>
    <w:p w:rsidR="00AC12B4" w:rsidRPr="00C27636" w:rsidRDefault="00C27636">
      <w:pPr>
        <w:spacing w:line="225" w:lineRule="auto"/>
        <w:ind w:left="32" w:right="460"/>
        <w:jc w:val="both"/>
        <w:rPr>
          <w:sz w:val="20"/>
          <w:szCs w:val="20"/>
          <w:lang w:val="fr-BE"/>
        </w:rPr>
      </w:pPr>
      <w:r w:rsidRPr="00C27636">
        <w:rPr>
          <w:rFonts w:ascii="Calibri" w:eastAsia="Calibri" w:hAnsi="Calibri" w:cs="Calibri"/>
          <w:lang w:val="fr-BE"/>
        </w:rPr>
        <w:t>Les consultations gratuites ne sont pas reprises dans</w:t>
      </w:r>
    </w:p>
    <w:p w:rsidR="00AC12B4" w:rsidRPr="00C27636" w:rsidRDefault="00AC12B4">
      <w:pPr>
        <w:spacing w:line="3" w:lineRule="exact"/>
        <w:rPr>
          <w:rFonts w:ascii="Calibri" w:eastAsia="Calibri" w:hAnsi="Calibri" w:cs="Calibri"/>
          <w:i/>
          <w:iCs/>
          <w:color w:val="4F6228"/>
          <w:sz w:val="20"/>
          <w:szCs w:val="20"/>
          <w:lang w:val="fr-BE"/>
        </w:rPr>
      </w:pPr>
    </w:p>
    <w:p w:rsidR="00AC12B4" w:rsidRPr="00C27636" w:rsidRDefault="00C27636">
      <w:pPr>
        <w:tabs>
          <w:tab w:val="left" w:pos="951"/>
        </w:tabs>
        <w:ind w:left="32"/>
        <w:rPr>
          <w:sz w:val="20"/>
          <w:szCs w:val="20"/>
          <w:lang w:val="fr-BE"/>
        </w:rPr>
      </w:pPr>
      <w:r w:rsidRPr="00C27636">
        <w:rPr>
          <w:rFonts w:ascii="Calibri" w:eastAsia="Calibri" w:hAnsi="Calibri" w:cs="Calibri"/>
          <w:lang w:val="fr-BE"/>
        </w:rPr>
        <w:t>ces</w:t>
      </w:r>
      <w:r w:rsidRPr="00C27636">
        <w:rPr>
          <w:sz w:val="20"/>
          <w:szCs w:val="20"/>
          <w:lang w:val="fr-BE"/>
        </w:rPr>
        <w:tab/>
      </w:r>
      <w:r w:rsidRPr="00C27636">
        <w:rPr>
          <w:rFonts w:ascii="Calibri" w:eastAsia="Calibri" w:hAnsi="Calibri" w:cs="Calibri"/>
          <w:lang w:val="fr-BE"/>
        </w:rPr>
        <w:t>données.</w:t>
      </w:r>
    </w:p>
    <w:p w:rsidR="00AC12B4" w:rsidRPr="00C27636" w:rsidRDefault="00AC12B4">
      <w:pPr>
        <w:spacing w:line="47" w:lineRule="exact"/>
        <w:rPr>
          <w:rFonts w:ascii="Calibri" w:eastAsia="Calibri" w:hAnsi="Calibri" w:cs="Calibri"/>
          <w:i/>
          <w:iCs/>
          <w:color w:val="4F6228"/>
          <w:sz w:val="20"/>
          <w:szCs w:val="20"/>
          <w:lang w:val="fr-BE"/>
        </w:rPr>
      </w:pPr>
    </w:p>
    <w:p w:rsidR="00AC12B4" w:rsidRPr="00C27636" w:rsidRDefault="00C27636">
      <w:pPr>
        <w:spacing w:line="232" w:lineRule="auto"/>
        <w:ind w:left="12" w:right="460" w:firstLine="2"/>
        <w:jc w:val="both"/>
        <w:rPr>
          <w:sz w:val="20"/>
          <w:szCs w:val="20"/>
          <w:lang w:val="fr-BE"/>
        </w:rPr>
      </w:pPr>
      <w:r w:rsidRPr="00C27636">
        <w:rPr>
          <w:rFonts w:ascii="Calibri" w:eastAsia="Calibri" w:hAnsi="Calibri" w:cs="Calibri"/>
          <w:lang w:val="fr-BE"/>
        </w:rPr>
        <w:t xml:space="preserve">Celles-ci sont dispensées par des institutions comme l’ONE en FWB et les </w:t>
      </w:r>
      <w:r w:rsidRPr="00C27636">
        <w:rPr>
          <w:rFonts w:ascii="Calibri" w:eastAsia="Calibri" w:hAnsi="Calibri" w:cs="Calibri"/>
          <w:lang w:val="fr-BE"/>
        </w:rPr>
        <w:t>centres de planning familiaux</w:t>
      </w:r>
    </w:p>
    <w:p w:rsidR="00AC12B4" w:rsidRPr="00C27636" w:rsidRDefault="00AC12B4">
      <w:pPr>
        <w:spacing w:line="294" w:lineRule="exact"/>
        <w:rPr>
          <w:rFonts w:ascii="Calibri" w:eastAsia="Calibri" w:hAnsi="Calibri" w:cs="Calibri"/>
          <w:i/>
          <w:iCs/>
          <w:color w:val="4F6228"/>
          <w:sz w:val="20"/>
          <w:szCs w:val="20"/>
          <w:lang w:val="fr-BE"/>
        </w:rPr>
      </w:pPr>
    </w:p>
    <w:p w:rsidR="00AC12B4" w:rsidRPr="00C27636" w:rsidRDefault="00C27636">
      <w:pPr>
        <w:numPr>
          <w:ilvl w:val="0"/>
          <w:numId w:val="86"/>
        </w:numPr>
        <w:tabs>
          <w:tab w:val="left" w:pos="2360"/>
        </w:tabs>
        <w:spacing w:line="203" w:lineRule="auto"/>
        <w:ind w:right="460" w:firstLine="2106"/>
        <w:jc w:val="both"/>
        <w:rPr>
          <w:rFonts w:ascii="Calibri" w:eastAsia="Calibri" w:hAnsi="Calibri" w:cs="Calibri"/>
          <w:lang w:val="fr-BE"/>
        </w:rPr>
      </w:pPr>
      <w:r w:rsidRPr="00C27636">
        <w:rPr>
          <w:rFonts w:ascii="Calibri" w:eastAsia="Calibri" w:hAnsi="Calibri" w:cs="Calibri"/>
          <w:lang w:val="fr-BE"/>
        </w:rPr>
        <w:t>Bruxelles et en FWB, ainsi que Kind en gezin en Communauté flamande et pour les néerlandophones à Bruxelles. 23.148 femmes ont eu un suivi prénatal hospitalier assuré par l’ONE en 2012, avec une moyenne de 4 visites dans l’an</w:t>
      </w:r>
      <w:r w:rsidRPr="00C27636">
        <w:rPr>
          <w:rFonts w:ascii="Calibri" w:eastAsia="Calibri" w:hAnsi="Calibri" w:cs="Calibri"/>
          <w:lang w:val="fr-BE"/>
        </w:rPr>
        <w:t>née (cf</w:t>
      </w:r>
    </w:p>
    <w:p w:rsidR="00AC12B4" w:rsidRPr="00C27636" w:rsidRDefault="00AC12B4">
      <w:pPr>
        <w:spacing w:line="50" w:lineRule="exact"/>
        <w:rPr>
          <w:rFonts w:ascii="Calibri" w:eastAsia="Calibri" w:hAnsi="Calibri" w:cs="Calibri"/>
          <w:lang w:val="fr-BE"/>
        </w:rPr>
      </w:pPr>
    </w:p>
    <w:p w:rsidR="00AC12B4" w:rsidRPr="00C27636" w:rsidRDefault="00C27636">
      <w:pPr>
        <w:spacing w:line="225" w:lineRule="auto"/>
        <w:ind w:right="460"/>
        <w:jc w:val="both"/>
        <w:rPr>
          <w:rFonts w:ascii="Calibri" w:eastAsia="Calibri" w:hAnsi="Calibri" w:cs="Calibri"/>
          <w:lang w:val="fr-BE"/>
        </w:rPr>
      </w:pPr>
      <w:r w:rsidRPr="00C27636">
        <w:rPr>
          <w:rFonts w:ascii="Calibri" w:eastAsia="Calibri" w:hAnsi="Calibri" w:cs="Calibri"/>
          <w:lang w:val="fr-BE"/>
        </w:rPr>
        <w:t>18.485 en 2008). 2.192 femmes ont eu une ou plusieurs consultations prénatales de quartier de l’ONE avec un total de 7.324</w:t>
      </w:r>
    </w:p>
    <w:p w:rsidR="00AC12B4" w:rsidRPr="00C27636" w:rsidRDefault="00AC12B4">
      <w:pPr>
        <w:spacing w:line="51" w:lineRule="exact"/>
        <w:rPr>
          <w:rFonts w:ascii="Calibri" w:eastAsia="Calibri" w:hAnsi="Calibri" w:cs="Calibri"/>
          <w:lang w:val="fr-BE"/>
        </w:rPr>
      </w:pPr>
    </w:p>
    <w:p w:rsidR="00AC12B4" w:rsidRDefault="00C27636">
      <w:pPr>
        <w:spacing w:line="216" w:lineRule="auto"/>
        <w:ind w:right="460"/>
        <w:jc w:val="both"/>
        <w:rPr>
          <w:rFonts w:ascii="Calibri" w:eastAsia="Calibri" w:hAnsi="Calibri" w:cs="Calibri"/>
        </w:rPr>
      </w:pPr>
      <w:r w:rsidRPr="00C27636">
        <w:rPr>
          <w:rFonts w:ascii="Calibri" w:eastAsia="Calibri" w:hAnsi="Calibri" w:cs="Calibri"/>
          <w:lang w:val="fr-BE"/>
        </w:rPr>
        <w:t>examens médicaux (diminution : 2.882 en 2008)</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xml:space="preserve">. Kind en Gezin axe sur les femmes enceintes socialement vulnérables. </w:t>
      </w:r>
      <w:r>
        <w:rPr>
          <w:rFonts w:ascii="Calibri" w:eastAsia="Calibri" w:hAnsi="Calibri" w:cs="Calibri"/>
        </w:rPr>
        <w:t xml:space="preserve">En </w:t>
      </w:r>
      <w:r>
        <w:rPr>
          <w:rFonts w:ascii="Calibri" w:eastAsia="Calibri" w:hAnsi="Calibri" w:cs="Calibri"/>
        </w:rPr>
        <w:t>2014, il y a eu 2.812 consultations</w:t>
      </w:r>
    </w:p>
    <w:p w:rsidR="00AC12B4" w:rsidRDefault="00AC12B4">
      <w:pPr>
        <w:spacing w:line="343" w:lineRule="exact"/>
        <w:rPr>
          <w:rFonts w:ascii="Calibri" w:eastAsia="Calibri" w:hAnsi="Calibri" w:cs="Calibri"/>
          <w:i/>
          <w:iCs/>
          <w:color w:val="4F6228"/>
          <w:sz w:val="20"/>
          <w:szCs w:val="20"/>
        </w:rPr>
      </w:pPr>
    </w:p>
    <w:p w:rsidR="00AC12B4" w:rsidRDefault="00C27636">
      <w:pPr>
        <w:numPr>
          <w:ilvl w:val="0"/>
          <w:numId w:val="87"/>
        </w:numPr>
        <w:tabs>
          <w:tab w:val="left" w:pos="120"/>
        </w:tabs>
        <w:ind w:left="120" w:hanging="120"/>
        <w:rPr>
          <w:rFonts w:ascii="Calibri" w:eastAsia="Calibri" w:hAnsi="Calibri" w:cs="Calibri"/>
          <w:sz w:val="26"/>
          <w:szCs w:val="26"/>
          <w:vertAlign w:val="superscript"/>
        </w:rPr>
      </w:pPr>
      <w:r>
        <w:rPr>
          <w:rFonts w:ascii="Calibri" w:eastAsia="Calibri" w:hAnsi="Calibri" w:cs="Calibri"/>
          <w:sz w:val="20"/>
          <w:szCs w:val="20"/>
        </w:rPr>
        <w:t>ONE, Rapport BDMS 2015.</w:t>
      </w:r>
    </w:p>
    <w:p w:rsidR="00AC12B4" w:rsidRDefault="00AC12B4">
      <w:pPr>
        <w:spacing w:line="241" w:lineRule="exact"/>
        <w:rPr>
          <w:rFonts w:ascii="Calibri" w:eastAsia="Calibri" w:hAnsi="Calibri" w:cs="Calibri"/>
          <w:i/>
          <w:iCs/>
          <w:color w:val="4F6228"/>
          <w:sz w:val="20"/>
          <w:szCs w:val="20"/>
        </w:rPr>
      </w:pPr>
    </w:p>
    <w:p w:rsidR="00AC12B4" w:rsidRDefault="00C27636">
      <w:pPr>
        <w:jc w:val="right"/>
        <w:rPr>
          <w:sz w:val="20"/>
          <w:szCs w:val="20"/>
        </w:rPr>
      </w:pPr>
      <w:r>
        <w:rPr>
          <w:rFonts w:ascii="Calibri" w:eastAsia="Calibri" w:hAnsi="Calibri" w:cs="Calibri"/>
        </w:rPr>
        <w:t>70</w:t>
      </w:r>
    </w:p>
    <w:p w:rsidR="00AC12B4" w:rsidRDefault="00C27636">
      <w:pPr>
        <w:spacing w:line="20" w:lineRule="exact"/>
        <w:rPr>
          <w:rFonts w:ascii="Calibri" w:eastAsia="Calibri" w:hAnsi="Calibri" w:cs="Calibri"/>
          <w:i/>
          <w:iCs/>
          <w:color w:val="4F6228"/>
          <w:sz w:val="20"/>
          <w:szCs w:val="20"/>
        </w:rPr>
      </w:pPr>
      <w:r>
        <w:rPr>
          <w:rFonts w:ascii="Calibri" w:eastAsia="Calibri" w:hAnsi="Calibri" w:cs="Calibri"/>
          <w:i/>
          <w:iCs/>
          <w:color w:val="4F6228"/>
          <w:sz w:val="20"/>
          <w:szCs w:val="20"/>
        </w:rPr>
        <w:br w:type="column"/>
      </w:r>
    </w:p>
    <w:p w:rsidR="00AC12B4" w:rsidRDefault="00AC12B4">
      <w:pPr>
        <w:spacing w:line="192" w:lineRule="exact"/>
        <w:rPr>
          <w:rFonts w:ascii="Calibri" w:eastAsia="Calibri" w:hAnsi="Calibri" w:cs="Calibri"/>
          <w:i/>
          <w:iCs/>
          <w:color w:val="4F6228"/>
          <w:sz w:val="20"/>
          <w:szCs w:val="20"/>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C27636" w:rsidRDefault="00C27636">
      <w:pPr>
        <w:spacing w:line="233" w:lineRule="auto"/>
        <w:ind w:right="737"/>
        <w:jc w:val="both"/>
        <w:rPr>
          <w:rFonts w:ascii="Calibri" w:eastAsia="Calibri" w:hAnsi="Calibri" w:cs="Calibri"/>
          <w:lang w:val="fr-BE"/>
        </w:rPr>
      </w:pPr>
    </w:p>
    <w:p w:rsidR="00AC12B4" w:rsidRPr="00C27636" w:rsidRDefault="00C27636">
      <w:pPr>
        <w:spacing w:line="233" w:lineRule="auto"/>
        <w:ind w:right="737"/>
        <w:jc w:val="both"/>
        <w:rPr>
          <w:sz w:val="20"/>
          <w:szCs w:val="20"/>
          <w:lang w:val="fr-BE"/>
        </w:rPr>
      </w:pPr>
      <w:r w:rsidRPr="00C27636">
        <w:rPr>
          <w:rFonts w:ascii="Calibri" w:eastAsia="Calibri" w:hAnsi="Calibri" w:cs="Calibri"/>
          <w:lang w:val="fr-BE"/>
        </w:rPr>
        <w:t>(médicales et psycho-sociales) dans les points d’appui mé</w:t>
      </w:r>
      <w:r w:rsidRPr="00C27636">
        <w:rPr>
          <w:rFonts w:ascii="Calibri" w:eastAsia="Calibri" w:hAnsi="Calibri" w:cs="Calibri"/>
          <w:lang w:val="fr-BE"/>
        </w:rPr>
        <w:t xml:space="preserve">dicaux en Flandre et en Région de Bruxelles-Capitale. Une </w:t>
      </w:r>
      <w:r w:rsidRPr="00C27636">
        <w:rPr>
          <w:rFonts w:ascii="Calibri" w:eastAsia="Calibri" w:hAnsi="Calibri" w:cs="Calibri"/>
          <w:lang w:val="fr-BE"/>
        </w:rPr>
        <w:t xml:space="preserve">collaboration intensive a lieu avec d’autres services du bien-être. En </w:t>
      </w:r>
      <w:r w:rsidRPr="00C27636">
        <w:rPr>
          <w:rFonts w:ascii="Calibri" w:eastAsia="Calibri" w:hAnsi="Calibri" w:cs="Calibri"/>
          <w:lang w:val="fr-BE"/>
        </w:rPr>
        <w:t>Communauté germanophone, une telle offre n’existe pas.</w:t>
      </w:r>
    </w:p>
    <w:p w:rsidR="00AC12B4" w:rsidRPr="00C27636" w:rsidRDefault="00AC12B4">
      <w:pPr>
        <w:spacing w:line="174" w:lineRule="exact"/>
        <w:rPr>
          <w:rFonts w:ascii="Calibri" w:eastAsia="Calibri" w:hAnsi="Calibri" w:cs="Calibri"/>
          <w:i/>
          <w:iCs/>
          <w:color w:val="4F6228"/>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Des femmes peuvent également consulter pour d’autres raisons que leur grossesse pendant celle-ci. Étant donné que les estimations se basent sur des données</w:t>
      </w:r>
    </w:p>
    <w:p w:rsidR="00AC12B4" w:rsidRPr="00C27636" w:rsidRDefault="00AC12B4">
      <w:pPr>
        <w:spacing w:line="50" w:lineRule="exact"/>
        <w:rPr>
          <w:rFonts w:ascii="Calibri" w:eastAsia="Calibri" w:hAnsi="Calibri" w:cs="Calibri"/>
          <w:i/>
          <w:iCs/>
          <w:color w:val="4F6228"/>
          <w:sz w:val="20"/>
          <w:szCs w:val="20"/>
          <w:lang w:val="fr-BE"/>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administratives et financières (rembourseme</w:t>
      </w:r>
      <w:r w:rsidRPr="00C27636">
        <w:rPr>
          <w:rFonts w:ascii="Calibri" w:eastAsia="Calibri" w:hAnsi="Calibri" w:cs="Calibri"/>
          <w:lang w:val="fr-BE"/>
        </w:rPr>
        <w:t>nt de soins), il est impossible de faire la distinction entre les visites concernant la grossesse et les autres. Ce n’est pas une option de se limiter aux visites d’un gynécologue ou d’une sage-femme, sachant que plusieurs femmes font (partiellement) assur</w:t>
      </w:r>
      <w:r w:rsidRPr="00C27636">
        <w:rPr>
          <w:rFonts w:ascii="Calibri" w:eastAsia="Calibri" w:hAnsi="Calibri" w:cs="Calibri"/>
          <w:lang w:val="fr-BE"/>
        </w:rPr>
        <w:t>er le suivi de leur grossesse par un médecin généraliste.</w:t>
      </w:r>
    </w:p>
    <w:p w:rsidR="00AC12B4" w:rsidRPr="00C27636" w:rsidRDefault="00AC12B4">
      <w:pPr>
        <w:spacing w:line="177" w:lineRule="exact"/>
        <w:rPr>
          <w:rFonts w:ascii="Calibri" w:eastAsia="Calibri" w:hAnsi="Calibri" w:cs="Calibri"/>
          <w:i/>
          <w:iCs/>
          <w:color w:val="4F6228"/>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lang w:val="fr-BE"/>
        </w:rPr>
        <w:t>La base de données d’AIM reprend toutes les personnes assurées au sein de l’assurance soins de santé obligatoire (99% de la population résidant en Belgique).</w:t>
      </w:r>
    </w:p>
    <w:p w:rsidR="00AC12B4" w:rsidRPr="00C27636" w:rsidRDefault="00AC12B4">
      <w:pPr>
        <w:spacing w:line="209" w:lineRule="exact"/>
        <w:rPr>
          <w:rFonts w:ascii="Calibri" w:eastAsia="Calibri" w:hAnsi="Calibri" w:cs="Calibri"/>
          <w:i/>
          <w:iCs/>
          <w:color w:val="4F6228"/>
          <w:sz w:val="20"/>
          <w:szCs w:val="20"/>
          <w:lang w:val="fr-BE"/>
        </w:rPr>
      </w:pPr>
    </w:p>
    <w:p w:rsidR="00AC12B4" w:rsidRDefault="00C27636">
      <w:pPr>
        <w:rPr>
          <w:sz w:val="20"/>
          <w:szCs w:val="20"/>
        </w:rPr>
      </w:pPr>
      <w:r>
        <w:rPr>
          <w:rFonts w:ascii="Cambria" w:eastAsia="Cambria" w:hAnsi="Cambria" w:cs="Cambria"/>
          <w:b/>
          <w:bCs/>
          <w:i/>
          <w:iCs/>
          <w:color w:val="919715"/>
          <w:sz w:val="26"/>
          <w:szCs w:val="26"/>
        </w:rPr>
        <w:t>Pour aller plus loin</w:t>
      </w:r>
    </w:p>
    <w:p w:rsidR="00AC12B4" w:rsidRDefault="00AC12B4">
      <w:pPr>
        <w:spacing w:line="222" w:lineRule="exact"/>
        <w:rPr>
          <w:rFonts w:ascii="Calibri" w:eastAsia="Calibri" w:hAnsi="Calibri" w:cs="Calibri"/>
          <w:i/>
          <w:iCs/>
          <w:color w:val="4F6228"/>
          <w:sz w:val="20"/>
          <w:szCs w:val="20"/>
        </w:rPr>
      </w:pPr>
    </w:p>
    <w:p w:rsidR="00AC12B4" w:rsidRPr="00C27636" w:rsidRDefault="00C27636">
      <w:pPr>
        <w:numPr>
          <w:ilvl w:val="0"/>
          <w:numId w:val="88"/>
        </w:numPr>
        <w:tabs>
          <w:tab w:val="left" w:pos="440"/>
        </w:tabs>
        <w:spacing w:line="267" w:lineRule="auto"/>
        <w:ind w:left="440" w:right="737" w:hanging="367"/>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Rapport KCE: </w:t>
      </w:r>
      <w:r w:rsidRPr="00C27636">
        <w:rPr>
          <w:rFonts w:ascii="Calibri" w:eastAsia="Calibri" w:hAnsi="Calibri" w:cs="Calibri"/>
          <w:color w:val="000000"/>
          <w:sz w:val="20"/>
          <w:szCs w:val="20"/>
          <w:lang w:val="fr-BE"/>
        </w:rPr>
        <w:t>Lodewyckx, K., Peeters, G.,</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 xml:space="preserve">Spitz, B., Blot, S., Temmerman, M., Zhang, W., et al., </w:t>
      </w:r>
      <w:r w:rsidRPr="00C27636">
        <w:rPr>
          <w:rFonts w:ascii="Calibri" w:eastAsia="Calibri" w:hAnsi="Calibri" w:cs="Calibri"/>
          <w:i/>
          <w:iCs/>
          <w:color w:val="000000"/>
          <w:sz w:val="20"/>
          <w:szCs w:val="20"/>
          <w:lang w:val="fr-BE"/>
        </w:rPr>
        <w:t>Recommandation nationale</w:t>
      </w:r>
      <w:r w:rsidRPr="00C27636">
        <w:rPr>
          <w:rFonts w:ascii="Calibri" w:eastAsia="Calibri" w:hAnsi="Calibri" w:cs="Calibri"/>
          <w:color w:val="000000"/>
          <w:sz w:val="20"/>
          <w:szCs w:val="20"/>
          <w:lang w:val="fr-BE"/>
        </w:rPr>
        <w:t xml:space="preserve"> </w:t>
      </w:r>
      <w:r w:rsidRPr="00C27636">
        <w:rPr>
          <w:rFonts w:ascii="Calibri" w:eastAsia="Calibri" w:hAnsi="Calibri" w:cs="Calibri"/>
          <w:i/>
          <w:iCs/>
          <w:color w:val="000000"/>
          <w:sz w:val="20"/>
          <w:szCs w:val="20"/>
          <w:lang w:val="fr-BE"/>
        </w:rPr>
        <w:t>relative aux soins prénatals: Une base pour un itinéraire clinique de suivi de grossesses. Rapport</w:t>
      </w:r>
      <w:r w:rsidRPr="00C27636">
        <w:rPr>
          <w:rFonts w:ascii="Calibri" w:eastAsia="Calibri" w:hAnsi="Calibri" w:cs="Calibri"/>
          <w:color w:val="000000"/>
          <w:sz w:val="20"/>
          <w:szCs w:val="20"/>
          <w:lang w:val="fr-BE"/>
        </w:rPr>
        <w:t>, Bruxelles, Centre</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00"/>
          <w:sz w:val="20"/>
          <w:szCs w:val="20"/>
          <w:lang w:val="fr-BE"/>
        </w:rPr>
        <w:t xml:space="preserve">fédéral d'expertise des soins </w:t>
      </w:r>
      <w:r w:rsidRPr="00C27636">
        <w:rPr>
          <w:rFonts w:ascii="Calibri" w:eastAsia="Calibri" w:hAnsi="Calibri" w:cs="Calibri"/>
          <w:color w:val="000000"/>
          <w:sz w:val="20"/>
          <w:szCs w:val="20"/>
          <w:lang w:val="fr-BE"/>
        </w:rPr>
        <w:t>de santé (KCE), 2004.</w:t>
      </w:r>
    </w:p>
    <w:p w:rsidR="00AC12B4" w:rsidRPr="00C27636" w:rsidRDefault="00AC12B4">
      <w:pPr>
        <w:spacing w:line="71" w:lineRule="exact"/>
        <w:rPr>
          <w:rFonts w:ascii="Symbol" w:eastAsia="Symbol" w:hAnsi="Symbol" w:cs="Symbol"/>
          <w:sz w:val="20"/>
          <w:szCs w:val="20"/>
          <w:lang w:val="fr-BE"/>
        </w:rPr>
      </w:pPr>
    </w:p>
    <w:p w:rsidR="00AC12B4" w:rsidRPr="00C27636" w:rsidRDefault="00C27636">
      <w:pPr>
        <w:numPr>
          <w:ilvl w:val="0"/>
          <w:numId w:val="88"/>
        </w:numPr>
        <w:tabs>
          <w:tab w:val="left" w:pos="440"/>
        </w:tabs>
        <w:spacing w:line="246" w:lineRule="auto"/>
        <w:ind w:left="440" w:right="737" w:hanging="367"/>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Rapport de l’AIM : </w:t>
      </w:r>
      <w:r w:rsidRPr="00C27636">
        <w:rPr>
          <w:rFonts w:ascii="Calibri" w:eastAsia="Calibri" w:hAnsi="Calibri" w:cs="Calibri"/>
          <w:color w:val="000000"/>
          <w:sz w:val="20"/>
          <w:szCs w:val="20"/>
          <w:lang w:val="fr-BE"/>
        </w:rPr>
        <w:t>AIM,</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i/>
          <w:iCs/>
          <w:color w:val="000000"/>
          <w:sz w:val="20"/>
          <w:szCs w:val="20"/>
          <w:lang w:val="fr-BE"/>
        </w:rPr>
        <w:t>Le suivi prénatal</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i/>
          <w:iCs/>
          <w:color w:val="000000"/>
          <w:sz w:val="20"/>
          <w:szCs w:val="20"/>
          <w:lang w:val="fr-BE"/>
        </w:rPr>
        <w:t>en Belgique en 2010. Comparaison avec les résultats 2005</w:t>
      </w:r>
      <w:r w:rsidRPr="00C27636">
        <w:rPr>
          <w:rFonts w:ascii="Calibri" w:eastAsia="Calibri" w:hAnsi="Calibri" w:cs="Calibri"/>
          <w:color w:val="000000"/>
          <w:sz w:val="20"/>
          <w:szCs w:val="20"/>
          <w:lang w:val="fr-BE"/>
        </w:rPr>
        <w:t>, juin 2013.</w:t>
      </w:r>
    </w:p>
    <w:p w:rsidR="00AC12B4" w:rsidRPr="00C27636" w:rsidRDefault="00AC12B4">
      <w:pPr>
        <w:spacing w:line="90" w:lineRule="exact"/>
        <w:rPr>
          <w:rFonts w:ascii="Symbol" w:eastAsia="Symbol" w:hAnsi="Symbol" w:cs="Symbol"/>
          <w:sz w:val="20"/>
          <w:szCs w:val="20"/>
          <w:lang w:val="fr-BE"/>
        </w:rPr>
      </w:pPr>
    </w:p>
    <w:p w:rsidR="00AC12B4" w:rsidRPr="00C27636" w:rsidRDefault="00C27636">
      <w:pPr>
        <w:numPr>
          <w:ilvl w:val="0"/>
          <w:numId w:val="88"/>
        </w:numPr>
        <w:tabs>
          <w:tab w:val="left" w:pos="440"/>
        </w:tabs>
        <w:spacing w:line="230" w:lineRule="auto"/>
        <w:ind w:left="440" w:right="737" w:hanging="367"/>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Rapport d’activité ONE </w:t>
      </w:r>
      <w:r w:rsidRPr="00C27636">
        <w:rPr>
          <w:rFonts w:ascii="Calibri" w:eastAsia="Calibri" w:hAnsi="Calibri" w:cs="Calibri"/>
          <w:color w:val="000000"/>
          <w:sz w:val="20"/>
          <w:szCs w:val="20"/>
          <w:lang w:val="fr-BE"/>
        </w:rPr>
        <w:t>: ONE, rapport</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annuel 2013.</w:t>
      </w:r>
    </w:p>
    <w:p w:rsidR="00AC12B4" w:rsidRPr="00C27636" w:rsidRDefault="00AC12B4">
      <w:pPr>
        <w:spacing w:line="38" w:lineRule="exact"/>
        <w:rPr>
          <w:rFonts w:ascii="Symbol" w:eastAsia="Symbol" w:hAnsi="Symbol" w:cs="Symbol"/>
          <w:sz w:val="20"/>
          <w:szCs w:val="20"/>
          <w:lang w:val="fr-BE"/>
        </w:rPr>
      </w:pPr>
    </w:p>
    <w:p w:rsidR="00AC12B4" w:rsidRDefault="00C27636">
      <w:pPr>
        <w:numPr>
          <w:ilvl w:val="0"/>
          <w:numId w:val="88"/>
        </w:numPr>
        <w:tabs>
          <w:tab w:val="left" w:pos="440"/>
        </w:tabs>
        <w:ind w:left="440" w:hanging="367"/>
        <w:rPr>
          <w:rFonts w:ascii="Calibri" w:eastAsia="Calibri" w:hAnsi="Calibri" w:cs="Calibri"/>
          <w:b/>
          <w:bCs/>
          <w:i/>
          <w:iCs/>
          <w:color w:val="9BBB59"/>
          <w:sz w:val="20"/>
          <w:szCs w:val="20"/>
        </w:rPr>
      </w:pPr>
      <w:r>
        <w:rPr>
          <w:rFonts w:ascii="Calibri" w:eastAsia="Calibri" w:hAnsi="Calibri" w:cs="Calibri"/>
          <w:b/>
          <w:bCs/>
          <w:i/>
          <w:iCs/>
          <w:color w:val="9BBB59"/>
          <w:sz w:val="20"/>
          <w:szCs w:val="20"/>
        </w:rPr>
        <w:t xml:space="preserve">Atlas AIM </w:t>
      </w:r>
      <w:r>
        <w:rPr>
          <w:rFonts w:ascii="Calibri" w:eastAsia="Calibri" w:hAnsi="Calibri" w:cs="Calibri"/>
          <w:color w:val="000000"/>
          <w:sz w:val="20"/>
          <w:szCs w:val="20"/>
        </w:rPr>
        <w:t>:</w:t>
      </w:r>
      <w:r>
        <w:rPr>
          <w:rFonts w:ascii="Calibri" w:eastAsia="Calibri" w:hAnsi="Calibri" w:cs="Calibri"/>
          <w:b/>
          <w:bCs/>
          <w:i/>
          <w:iCs/>
          <w:color w:val="9BBB59"/>
          <w:sz w:val="20"/>
          <w:szCs w:val="20"/>
        </w:rPr>
        <w:t xml:space="preserve"> </w:t>
      </w:r>
      <w:hyperlink r:id="rId85">
        <w:r>
          <w:rPr>
            <w:rFonts w:ascii="Calibri" w:eastAsia="Calibri" w:hAnsi="Calibri" w:cs="Calibri"/>
            <w:color w:val="0000FF"/>
            <w:sz w:val="20"/>
            <w:szCs w:val="20"/>
            <w:u w:val="single"/>
          </w:rPr>
          <w:t>http://atlas.</w:t>
        </w:r>
        <w:r>
          <w:rPr>
            <w:rFonts w:ascii="Calibri" w:eastAsia="Calibri" w:hAnsi="Calibri" w:cs="Calibri"/>
            <w:color w:val="0000FF"/>
            <w:sz w:val="20"/>
            <w:szCs w:val="20"/>
            <w:u w:val="single"/>
          </w:rPr>
          <w:t>aim-ima.be/</w:t>
        </w:r>
      </w:hyperlink>
    </w:p>
    <w:p w:rsidR="00AC12B4" w:rsidRDefault="00AC12B4">
      <w:pPr>
        <w:sectPr w:rsidR="00AC12B4">
          <w:pgSz w:w="12080" w:h="17179"/>
          <w:pgMar w:top="1440" w:right="1440" w:bottom="659" w:left="478" w:header="0" w:footer="0" w:gutter="0"/>
          <w:cols w:num="3" w:space="720" w:equalWidth="0">
            <w:col w:w="342" w:space="620"/>
            <w:col w:w="4340" w:space="240"/>
            <w:col w:w="4617"/>
          </w:cols>
        </w:sectPr>
      </w:pPr>
    </w:p>
    <w:p w:rsidR="00AC12B4" w:rsidRDefault="00AC12B4">
      <w:pPr>
        <w:framePr w:w="4344" w:h="8596" w:wrap="auto" w:vAnchor="page" w:hAnchor="page" w:x="2007" w:y="749"/>
        <w:tabs>
          <w:tab w:val="left" w:pos="440"/>
        </w:tabs>
        <w:rPr>
          <w:sz w:val="20"/>
          <w:szCs w:val="20"/>
        </w:rPr>
      </w:pPr>
      <w:bookmarkStart w:id="70" w:name="page71"/>
      <w:bookmarkEnd w:id="70"/>
    </w:p>
    <w:p w:rsidR="00AC12B4" w:rsidRPr="00C27636" w:rsidRDefault="00C27636">
      <w:pPr>
        <w:framePr w:w="3960" w:h="1778" w:wrap="auto" w:vAnchor="page" w:hAnchor="page" w:x="1960" w:y="5567"/>
        <w:tabs>
          <w:tab w:val="left" w:pos="440"/>
        </w:tabs>
        <w:spacing w:line="227" w:lineRule="auto"/>
        <w:jc w:val="both"/>
        <w:rPr>
          <w:rFonts w:ascii="Calibri" w:eastAsia="Calibri" w:hAnsi="Calibri" w:cs="Calibri"/>
          <w:lang w:val="fr-BE"/>
        </w:rPr>
      </w:pPr>
      <w:r w:rsidRPr="00C27636">
        <w:rPr>
          <w:rFonts w:ascii="Calibri" w:eastAsia="Calibri" w:hAnsi="Calibri" w:cs="Calibri"/>
          <w:lang w:val="fr-BE"/>
        </w:rPr>
        <w:t xml:space="preserve">Les États s'engagent avec la CIDE à garantir des soins de santé primaires préventifs pour tous les enfants. En outre, le taux de vaccination permet de mesurer d'une certaine façon le suivi médical des enfants de </w:t>
      </w:r>
      <w:r w:rsidRPr="00C27636">
        <w:rPr>
          <w:rFonts w:ascii="Calibri" w:eastAsia="Calibri" w:hAnsi="Calibri" w:cs="Calibri"/>
          <w:lang w:val="fr-BE"/>
        </w:rPr>
        <w:t>moins de 2 ans car la vaccination donne lieu à un examen médical général.</w:t>
      </w:r>
    </w:p>
    <w:p w:rsidR="00AC12B4" w:rsidRPr="00C27636" w:rsidRDefault="00C27636">
      <w:pPr>
        <w:framePr w:w="3960" w:h="1779" w:wrap="auto" w:vAnchor="page" w:hAnchor="page" w:x="1960" w:y="7566"/>
        <w:tabs>
          <w:tab w:val="left" w:pos="440"/>
        </w:tabs>
        <w:spacing w:line="219" w:lineRule="auto"/>
        <w:jc w:val="both"/>
        <w:rPr>
          <w:rFonts w:ascii="Calibri" w:eastAsia="Calibri" w:hAnsi="Calibri" w:cs="Calibri"/>
          <w:lang w:val="fr-BE"/>
        </w:rPr>
      </w:pPr>
      <w:r w:rsidRPr="00C27636">
        <w:rPr>
          <w:rFonts w:ascii="Calibri" w:eastAsia="Calibri" w:hAnsi="Calibri" w:cs="Calibri"/>
          <w:lang w:val="fr-BE"/>
        </w:rPr>
        <w:t xml:space="preserve">Les vaccinations reprises sous cet indicateur sont celles </w:t>
      </w:r>
      <w:r w:rsidRPr="00C27636">
        <w:rPr>
          <w:rFonts w:ascii="Calibri" w:eastAsia="Calibri" w:hAnsi="Calibri" w:cs="Calibri"/>
          <w:i/>
          <w:iCs/>
          <w:lang w:val="fr-BE"/>
        </w:rPr>
        <w:t>correspondant</w:t>
      </w:r>
      <w:r w:rsidRPr="00C27636">
        <w:rPr>
          <w:rFonts w:ascii="Calibri" w:eastAsia="Calibri" w:hAnsi="Calibri" w:cs="Calibri"/>
          <w:lang w:val="fr-BE"/>
        </w:rPr>
        <w:t xml:space="preserve"> au calendrier vaccinal de base recommandé par le Conseil Supérieur de la Santé (Cf. illustration). Les données sont issues d’enquêtes de couverture vaccinale (Cf. ci-dessous)</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AC12B4">
      <w:pPr>
        <w:framePr w:w="6559" w:h="4167" w:wrap="auto" w:vAnchor="page" w:hAnchor="page" w:x="1128" w:y="749"/>
        <w:tabs>
          <w:tab w:val="left" w:pos="440"/>
        </w:tabs>
        <w:spacing w:line="219" w:lineRule="auto"/>
        <w:jc w:val="both"/>
        <w:rPr>
          <w:rFonts w:ascii="Calibri" w:eastAsia="Calibri" w:hAnsi="Calibri" w:cs="Calibri"/>
          <w:lang w:val="fr-BE"/>
        </w:rPr>
      </w:pPr>
    </w:p>
    <w:p w:rsidR="00AC12B4" w:rsidRPr="00C27636" w:rsidRDefault="00C27636">
      <w:pPr>
        <w:framePr w:w="6320" w:h="703" w:wrap="auto" w:vAnchor="page" w:hAnchor="page" w:x="1080" w:y="4212"/>
        <w:tabs>
          <w:tab w:val="left" w:pos="440"/>
        </w:tabs>
        <w:spacing w:line="209" w:lineRule="auto"/>
        <w:jc w:val="both"/>
        <w:rPr>
          <w:rFonts w:ascii="Calibri" w:eastAsia="Calibri" w:hAnsi="Calibri" w:cs="Calibri"/>
          <w:i/>
          <w:iCs/>
          <w:color w:val="EAF1DD"/>
          <w:lang w:val="fr-BE"/>
        </w:rPr>
      </w:pPr>
      <w:r w:rsidRPr="00C27636">
        <w:rPr>
          <w:rFonts w:ascii="Calibri" w:eastAsia="Calibri" w:hAnsi="Calibri" w:cs="Calibri"/>
          <w:i/>
          <w:iCs/>
          <w:color w:val="EAF1DD"/>
          <w:lang w:val="fr-BE"/>
        </w:rPr>
        <w:t xml:space="preserve">[…]f) Développer les </w:t>
      </w:r>
      <w:r w:rsidRPr="00C27636">
        <w:rPr>
          <w:rFonts w:ascii="Calibri" w:eastAsia="Calibri" w:hAnsi="Calibri" w:cs="Calibri"/>
          <w:b/>
          <w:bCs/>
          <w:i/>
          <w:iCs/>
          <w:color w:val="EAF1DD"/>
          <w:lang w:val="fr-BE"/>
        </w:rPr>
        <w:t>soins de santé préventifs</w:t>
      </w:r>
      <w:r w:rsidRPr="00C27636">
        <w:rPr>
          <w:rFonts w:ascii="Calibri" w:eastAsia="Calibri" w:hAnsi="Calibri" w:cs="Calibri"/>
          <w:i/>
          <w:iCs/>
          <w:color w:val="EAF1DD"/>
          <w:lang w:val="fr-BE"/>
        </w:rPr>
        <w:t>, les conseils aux parents et l</w:t>
      </w:r>
      <w:r w:rsidRPr="00C27636">
        <w:rPr>
          <w:rFonts w:ascii="Calibri" w:eastAsia="Calibri" w:hAnsi="Calibri" w:cs="Calibri"/>
          <w:i/>
          <w:iCs/>
          <w:color w:val="EAF1DD"/>
          <w:lang w:val="fr-BE"/>
        </w:rPr>
        <w:t>’éducation et les services en matière de planification familiale.</w:t>
      </w:r>
    </w:p>
    <w:p w:rsidR="00AC12B4" w:rsidRPr="00C27636" w:rsidRDefault="00AC12B4">
      <w:pPr>
        <w:framePr w:w="6559" w:h="3240" w:wrap="auto" w:vAnchor="page" w:hAnchor="page" w:x="1128" w:y="749"/>
        <w:tabs>
          <w:tab w:val="left" w:pos="440"/>
        </w:tabs>
        <w:spacing w:line="209" w:lineRule="auto"/>
        <w:jc w:val="both"/>
        <w:rPr>
          <w:rFonts w:ascii="Calibri" w:eastAsia="Calibri" w:hAnsi="Calibri" w:cs="Calibri"/>
          <w:i/>
          <w:iCs/>
          <w:color w:val="EAF1DD"/>
          <w:lang w:val="fr-BE"/>
        </w:rPr>
      </w:pPr>
    </w:p>
    <w:p w:rsidR="00AC12B4" w:rsidRPr="00C27636" w:rsidRDefault="00C27636">
      <w:pPr>
        <w:framePr w:w="6340" w:h="703" w:wrap="auto" w:vAnchor="page" w:hAnchor="page" w:x="1080" w:y="3286"/>
        <w:tabs>
          <w:tab w:val="left" w:pos="440"/>
        </w:tabs>
        <w:spacing w:line="209" w:lineRule="auto"/>
        <w:jc w:val="both"/>
        <w:rPr>
          <w:rFonts w:ascii="Calibri" w:eastAsia="Calibri" w:hAnsi="Calibri" w:cs="Calibri"/>
          <w:b/>
          <w:bCs/>
          <w:i/>
          <w:iCs/>
          <w:color w:val="EAF1DD"/>
          <w:lang w:val="fr-BE"/>
        </w:rPr>
      </w:pPr>
      <w:r w:rsidRPr="00C27636">
        <w:rPr>
          <w:rFonts w:ascii="Calibri" w:eastAsia="Calibri" w:hAnsi="Calibri" w:cs="Calibri"/>
          <w:i/>
          <w:iCs/>
          <w:color w:val="EAF1DD"/>
          <w:lang w:val="fr-BE"/>
        </w:rPr>
        <w:t xml:space="preserve">2.b) Assurer à tous les enfants l’assistance médicale et les soins de santé nécessaires, l’accent étant mis sur le </w:t>
      </w:r>
      <w:r w:rsidRPr="00C27636">
        <w:rPr>
          <w:rFonts w:ascii="Calibri" w:eastAsia="Calibri" w:hAnsi="Calibri" w:cs="Calibri"/>
          <w:b/>
          <w:bCs/>
          <w:i/>
          <w:iCs/>
          <w:color w:val="EAF1DD"/>
          <w:lang w:val="fr-BE"/>
        </w:rPr>
        <w:t>développement des soins</w:t>
      </w:r>
      <w:r w:rsidRPr="00C27636">
        <w:rPr>
          <w:rFonts w:ascii="Calibri" w:eastAsia="Calibri" w:hAnsi="Calibri" w:cs="Calibri"/>
          <w:i/>
          <w:iCs/>
          <w:color w:val="EAF1DD"/>
          <w:lang w:val="fr-BE"/>
        </w:rPr>
        <w:t xml:space="preserve"> </w:t>
      </w:r>
      <w:r w:rsidRPr="00C27636">
        <w:rPr>
          <w:rFonts w:ascii="Calibri" w:eastAsia="Calibri" w:hAnsi="Calibri" w:cs="Calibri"/>
          <w:b/>
          <w:bCs/>
          <w:i/>
          <w:iCs/>
          <w:color w:val="EAF1DD"/>
          <w:lang w:val="fr-BE"/>
        </w:rPr>
        <w:t>de santé primaires</w:t>
      </w:r>
      <w:r w:rsidRPr="00C27636">
        <w:rPr>
          <w:rFonts w:ascii="Calibri" w:eastAsia="Calibri" w:hAnsi="Calibri" w:cs="Calibri"/>
          <w:i/>
          <w:iCs/>
          <w:color w:val="EAF1DD"/>
          <w:lang w:val="fr-BE"/>
        </w:rPr>
        <w:t>;</w:t>
      </w:r>
    </w:p>
    <w:p w:rsidR="00AC12B4" w:rsidRPr="00C27636" w:rsidRDefault="00AC12B4">
      <w:pPr>
        <w:framePr w:w="4754" w:h="2314" w:wrap="auto" w:vAnchor="page" w:hAnchor="page" w:x="1128" w:y="749"/>
        <w:tabs>
          <w:tab w:val="left" w:pos="440"/>
        </w:tabs>
        <w:spacing w:line="209" w:lineRule="auto"/>
        <w:jc w:val="both"/>
        <w:rPr>
          <w:rFonts w:ascii="Calibri" w:eastAsia="Calibri" w:hAnsi="Calibri" w:cs="Calibri"/>
          <w:b/>
          <w:bCs/>
          <w:i/>
          <w:iCs/>
          <w:color w:val="EAF1DD"/>
          <w:lang w:val="fr-BE"/>
        </w:rPr>
      </w:pPr>
    </w:p>
    <w:p w:rsidR="00AC12B4" w:rsidRPr="00C27636" w:rsidRDefault="00C27636">
      <w:pPr>
        <w:framePr w:w="2960" w:h="442" w:wrap="auto" w:vAnchor="page" w:hAnchor="page" w:x="1960" w:y="1608"/>
        <w:tabs>
          <w:tab w:val="left" w:pos="440"/>
        </w:tabs>
        <w:spacing w:line="190" w:lineRule="auto"/>
        <w:rPr>
          <w:rFonts w:ascii="Comic Sans MS" w:eastAsia="Comic Sans MS" w:hAnsi="Comic Sans MS" w:cs="Comic Sans MS"/>
          <w:b/>
          <w:bCs/>
          <w:i/>
          <w:iCs/>
          <w:color w:val="C9D11D"/>
          <w:sz w:val="40"/>
          <w:szCs w:val="40"/>
          <w:lang w:val="fr-BE"/>
        </w:rPr>
      </w:pPr>
      <w:r w:rsidRPr="00C27636">
        <w:rPr>
          <w:rFonts w:ascii="Comic Sans MS" w:eastAsia="Comic Sans MS" w:hAnsi="Comic Sans MS" w:cs="Comic Sans MS"/>
          <w:b/>
          <w:bCs/>
          <w:i/>
          <w:iCs/>
          <w:color w:val="C9D11D"/>
          <w:sz w:val="40"/>
          <w:szCs w:val="40"/>
          <w:lang w:val="fr-BE"/>
        </w:rPr>
        <w:t>S4. Vaccination</w:t>
      </w:r>
    </w:p>
    <w:p w:rsidR="00AC12B4" w:rsidRPr="00C27636" w:rsidRDefault="00C27636">
      <w:pPr>
        <w:framePr w:w="1400" w:h="166" w:wrap="auto" w:vAnchor="page" w:hAnchor="page" w:x="1080" w:y="2897"/>
        <w:tabs>
          <w:tab w:val="left" w:pos="440"/>
        </w:tabs>
        <w:spacing w:line="180" w:lineRule="auto"/>
        <w:rPr>
          <w:rFonts w:ascii="Calibri" w:eastAsia="Calibri" w:hAnsi="Calibri" w:cs="Calibri"/>
          <w:b/>
          <w:bCs/>
          <w:i/>
          <w:iCs/>
          <w:color w:val="EAF1DD"/>
          <w:sz w:val="18"/>
          <w:szCs w:val="18"/>
          <w:lang w:val="fr-BE"/>
        </w:rPr>
      </w:pPr>
      <w:r w:rsidRPr="00C27636">
        <w:rPr>
          <w:rFonts w:ascii="Calibri" w:eastAsia="Calibri" w:hAnsi="Calibri" w:cs="Calibri"/>
          <w:b/>
          <w:bCs/>
          <w:i/>
          <w:iCs/>
          <w:color w:val="EAF1DD"/>
          <w:sz w:val="18"/>
          <w:szCs w:val="18"/>
          <w:lang w:val="fr-BE"/>
        </w:rPr>
        <w:t xml:space="preserve">Article 24 </w:t>
      </w:r>
      <w:r w:rsidRPr="00C27636">
        <w:rPr>
          <w:rFonts w:ascii="Calibri" w:eastAsia="Calibri" w:hAnsi="Calibri" w:cs="Calibri"/>
          <w:b/>
          <w:bCs/>
          <w:i/>
          <w:iCs/>
          <w:color w:val="EAF1DD"/>
          <w:sz w:val="18"/>
          <w:szCs w:val="18"/>
          <w:lang w:val="fr-BE"/>
        </w:rPr>
        <w:t>CIDE</w:t>
      </w:r>
    </w:p>
    <w:p w:rsidR="00AC12B4" w:rsidRPr="00C27636" w:rsidRDefault="00C27636">
      <w:pPr>
        <w:spacing w:line="200" w:lineRule="exact"/>
        <w:rPr>
          <w:rFonts w:ascii="Calibri" w:eastAsia="Calibri" w:hAnsi="Calibri" w:cs="Calibri"/>
          <w:b/>
          <w:bCs/>
          <w:i/>
          <w:iCs/>
          <w:color w:val="EAF1DD"/>
          <w:sz w:val="18"/>
          <w:szCs w:val="18"/>
          <w:lang w:val="fr-BE"/>
        </w:rPr>
      </w:pPr>
      <w:r>
        <w:rPr>
          <w:rFonts w:ascii="Calibri" w:eastAsia="Calibri" w:hAnsi="Calibri" w:cs="Calibri"/>
          <w:b/>
          <w:bCs/>
          <w:i/>
          <w:iCs/>
          <w:noProof/>
          <w:color w:val="EAF1DD"/>
          <w:sz w:val="18"/>
          <w:szCs w:val="18"/>
        </w:rPr>
        <w:drawing>
          <wp:anchor distT="0" distB="0" distL="114300" distR="114300" simplePos="0" relativeHeight="251487744" behindDoc="1" locked="0" layoutInCell="0" allowOverlap="1">
            <wp:simplePos x="0" y="0"/>
            <wp:positionH relativeFrom="page">
              <wp:posOffset>6868795</wp:posOffset>
            </wp:positionH>
            <wp:positionV relativeFrom="page">
              <wp:posOffset>0</wp:posOffset>
            </wp:positionV>
            <wp:extent cx="800100" cy="10908665"/>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6">
                      <a:clrChange>
                        <a:clrFrom>
                          <a:srgbClr val="FFFFFF"/>
                        </a:clrFrom>
                        <a:clrTo>
                          <a:srgbClr val="FFFFFF">
                            <a:alpha val="0"/>
                          </a:srgbClr>
                        </a:clrTo>
                      </a:clrChange>
                      <a:extLst/>
                    </a:blip>
                    <a:srcRect/>
                    <a:stretch>
                      <a:fillRect/>
                    </a:stretch>
                  </pic:blipFill>
                  <pic:spPr bwMode="auto">
                    <a:xfrm>
                      <a:off x="0" y="0"/>
                      <a:ext cx="800100" cy="10908665"/>
                    </a:xfrm>
                    <a:prstGeom prst="rect">
                      <a:avLst/>
                    </a:prstGeom>
                    <a:noFill/>
                  </pic:spPr>
                </pic:pic>
              </a:graphicData>
            </a:graphic>
          </wp:anchor>
        </w:drawing>
      </w:r>
      <w:r>
        <w:rPr>
          <w:rFonts w:ascii="Calibri" w:eastAsia="Calibri" w:hAnsi="Calibri" w:cs="Calibri"/>
          <w:b/>
          <w:bCs/>
          <w:i/>
          <w:iCs/>
          <w:noProof/>
          <w:color w:val="EAF1DD"/>
          <w:sz w:val="18"/>
          <w:szCs w:val="18"/>
        </w:rPr>
        <mc:AlternateContent>
          <mc:Choice Requires="wps">
            <w:drawing>
              <wp:anchor distT="0" distB="0" distL="114300" distR="114300" simplePos="0" relativeHeight="251488768" behindDoc="1" locked="0" layoutInCell="0" allowOverlap="1">
                <wp:simplePos x="0" y="0"/>
                <wp:positionH relativeFrom="page">
                  <wp:posOffset>360045</wp:posOffset>
                </wp:positionH>
                <wp:positionV relativeFrom="page">
                  <wp:posOffset>1755775</wp:posOffset>
                </wp:positionV>
                <wp:extent cx="4422775" cy="1711325"/>
                <wp:effectExtent l="0" t="0" r="0" b="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22775" cy="1711325"/>
                        </a:xfrm>
                        <a:prstGeom prst="rect">
                          <a:avLst/>
                        </a:prstGeom>
                        <a:solidFill>
                          <a:srgbClr val="C9D11D"/>
                        </a:solidFill>
                      </wps:spPr>
                      <wps:bodyPr/>
                    </wps:wsp>
                  </a:graphicData>
                </a:graphic>
              </wp:anchor>
            </w:drawing>
          </mc:Choice>
          <mc:Fallback>
            <w:pict>
              <v:rect id="Shape 145" o:spid="_x0000_s1170" style="position:absolute;margin-left:28.35pt;margin-top:138.25pt;width:348.25pt;height:134.7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D11D" stroked="f">
                <w10:wrap anchorx="page" anchory="page"/>
              </v:rect>
            </w:pict>
          </mc:Fallback>
        </mc:AlternateContent>
      </w:r>
      <w:r>
        <w:rPr>
          <w:rFonts w:ascii="Calibri" w:eastAsia="Calibri" w:hAnsi="Calibri" w:cs="Calibri"/>
          <w:b/>
          <w:bCs/>
          <w:i/>
          <w:iCs/>
          <w:noProof/>
          <w:color w:val="EAF1DD"/>
          <w:sz w:val="18"/>
          <w:szCs w:val="18"/>
        </w:rPr>
        <mc:AlternateContent>
          <mc:Choice Requires="wps">
            <w:drawing>
              <wp:anchor distT="0" distB="0" distL="114300" distR="114300" simplePos="0" relativeHeight="251489792" behindDoc="1" locked="0" layoutInCell="0" allowOverlap="1">
                <wp:simplePos x="0" y="0"/>
                <wp:positionH relativeFrom="page">
                  <wp:posOffset>4782820</wp:posOffset>
                </wp:positionH>
                <wp:positionV relativeFrom="page">
                  <wp:posOffset>1743075</wp:posOffset>
                </wp:positionV>
                <wp:extent cx="0" cy="1736725"/>
                <wp:effectExtent l="0" t="0" r="0" b="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3672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6.6pt,137.25pt" to="376.6pt,274pt" o:allowincell="f" strokecolor="#919715" strokeweight="2pt">
                <w10:wrap anchorx="page" anchory="page"/>
              </v:line>
            </w:pict>
          </mc:Fallback>
        </mc:AlternateContent>
      </w:r>
      <w:r>
        <w:rPr>
          <w:rFonts w:ascii="Calibri" w:eastAsia="Calibri" w:hAnsi="Calibri" w:cs="Calibri"/>
          <w:b/>
          <w:bCs/>
          <w:i/>
          <w:iCs/>
          <w:noProof/>
          <w:color w:val="EAF1DD"/>
          <w:sz w:val="18"/>
          <w:szCs w:val="18"/>
        </w:rPr>
        <mc:AlternateContent>
          <mc:Choice Requires="wps">
            <w:drawing>
              <wp:anchor distT="0" distB="0" distL="114300" distR="114300" simplePos="0" relativeHeight="251490816" behindDoc="1" locked="0" layoutInCell="0" allowOverlap="1">
                <wp:simplePos x="0" y="0"/>
                <wp:positionH relativeFrom="page">
                  <wp:posOffset>347345</wp:posOffset>
                </wp:positionH>
                <wp:positionV relativeFrom="page">
                  <wp:posOffset>1755775</wp:posOffset>
                </wp:positionV>
                <wp:extent cx="4448175" cy="0"/>
                <wp:effectExtent l="0" t="0" r="0" b="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8175"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35pt,138.25pt" to="377.6pt,138.25pt" o:allowincell="f" strokecolor="#919715" strokeweight="2pt">
                <w10:wrap anchorx="page" anchory="page"/>
              </v:line>
            </w:pict>
          </mc:Fallback>
        </mc:AlternateContent>
      </w:r>
      <w:r>
        <w:rPr>
          <w:rFonts w:ascii="Calibri" w:eastAsia="Calibri" w:hAnsi="Calibri" w:cs="Calibri"/>
          <w:b/>
          <w:bCs/>
          <w:i/>
          <w:iCs/>
          <w:noProof/>
          <w:color w:val="EAF1DD"/>
          <w:sz w:val="18"/>
          <w:szCs w:val="18"/>
        </w:rPr>
        <mc:AlternateContent>
          <mc:Choice Requires="wps">
            <w:drawing>
              <wp:anchor distT="0" distB="0" distL="114300" distR="114300" simplePos="0" relativeHeight="251491840" behindDoc="1" locked="0" layoutInCell="0" allowOverlap="1">
                <wp:simplePos x="0" y="0"/>
                <wp:positionH relativeFrom="page">
                  <wp:posOffset>360045</wp:posOffset>
                </wp:positionH>
                <wp:positionV relativeFrom="page">
                  <wp:posOffset>1743075</wp:posOffset>
                </wp:positionV>
                <wp:extent cx="0" cy="1736725"/>
                <wp:effectExtent l="0" t="0" r="0" b="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3672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35pt,137.25pt" to="28.35pt,274pt" o:allowincell="f" strokecolor="#919715" strokeweight="2pt">
                <w10:wrap anchorx="page" anchory="page"/>
              </v:line>
            </w:pict>
          </mc:Fallback>
        </mc:AlternateContent>
      </w:r>
      <w:r>
        <w:rPr>
          <w:rFonts w:ascii="Calibri" w:eastAsia="Calibri" w:hAnsi="Calibri" w:cs="Calibri"/>
          <w:b/>
          <w:bCs/>
          <w:i/>
          <w:iCs/>
          <w:noProof/>
          <w:color w:val="EAF1DD"/>
          <w:sz w:val="18"/>
          <w:szCs w:val="18"/>
        </w:rPr>
        <mc:AlternateContent>
          <mc:Choice Requires="wps">
            <w:drawing>
              <wp:anchor distT="0" distB="0" distL="114300" distR="114300" simplePos="0" relativeHeight="251492864" behindDoc="1" locked="0" layoutInCell="0" allowOverlap="1">
                <wp:simplePos x="0" y="0"/>
                <wp:positionH relativeFrom="page">
                  <wp:posOffset>347345</wp:posOffset>
                </wp:positionH>
                <wp:positionV relativeFrom="page">
                  <wp:posOffset>3467100</wp:posOffset>
                </wp:positionV>
                <wp:extent cx="4448175" cy="0"/>
                <wp:effectExtent l="0" t="0" r="0" b="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8175"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35pt,273pt" to="377.6pt,273pt" o:allowincell="f" strokecolor="#919715" strokeweight="2pt">
                <w10:wrap anchorx="page" anchory="page"/>
              </v:line>
            </w:pict>
          </mc:Fallback>
        </mc:AlternateContent>
      </w:r>
    </w:p>
    <w:p w:rsidR="00AC12B4" w:rsidRPr="00C27636" w:rsidRDefault="00AC12B4">
      <w:pPr>
        <w:spacing w:line="200" w:lineRule="exact"/>
        <w:rPr>
          <w:rFonts w:ascii="Calibri" w:eastAsia="Calibri" w:hAnsi="Calibri" w:cs="Calibri"/>
          <w:b/>
          <w:bCs/>
          <w:i/>
          <w:iCs/>
          <w:color w:val="EAF1DD"/>
          <w:sz w:val="18"/>
          <w:szCs w:val="18"/>
          <w:lang w:val="fr-BE"/>
        </w:rPr>
      </w:pPr>
    </w:p>
    <w:p w:rsidR="00AC12B4" w:rsidRPr="00C27636" w:rsidRDefault="00AC12B4">
      <w:pPr>
        <w:spacing w:line="200" w:lineRule="exact"/>
        <w:rPr>
          <w:rFonts w:ascii="Calibri" w:eastAsia="Calibri" w:hAnsi="Calibri" w:cs="Calibri"/>
          <w:b/>
          <w:bCs/>
          <w:i/>
          <w:iCs/>
          <w:color w:val="EAF1DD"/>
          <w:sz w:val="18"/>
          <w:szCs w:val="18"/>
          <w:lang w:val="fr-BE"/>
        </w:rPr>
      </w:pPr>
    </w:p>
    <w:p w:rsidR="00AC12B4" w:rsidRPr="00C27636" w:rsidRDefault="00AC12B4">
      <w:pPr>
        <w:spacing w:line="200" w:lineRule="exact"/>
        <w:rPr>
          <w:rFonts w:ascii="Calibri" w:eastAsia="Calibri" w:hAnsi="Calibri" w:cs="Calibri"/>
          <w:b/>
          <w:bCs/>
          <w:i/>
          <w:iCs/>
          <w:color w:val="EAF1DD"/>
          <w:sz w:val="18"/>
          <w:szCs w:val="18"/>
          <w:lang w:val="fr-BE"/>
        </w:rPr>
      </w:pPr>
    </w:p>
    <w:p w:rsidR="00AC12B4" w:rsidRPr="00C27636" w:rsidRDefault="00AC12B4">
      <w:pPr>
        <w:spacing w:line="200" w:lineRule="exact"/>
        <w:rPr>
          <w:rFonts w:ascii="Calibri" w:eastAsia="Calibri" w:hAnsi="Calibri" w:cs="Calibri"/>
          <w:b/>
          <w:bCs/>
          <w:i/>
          <w:iCs/>
          <w:color w:val="EAF1DD"/>
          <w:sz w:val="18"/>
          <w:szCs w:val="18"/>
          <w:lang w:val="fr-BE"/>
        </w:rPr>
      </w:pPr>
    </w:p>
    <w:p w:rsidR="00AC12B4" w:rsidRPr="00C27636" w:rsidRDefault="00AC12B4">
      <w:pPr>
        <w:spacing w:line="391" w:lineRule="exact"/>
        <w:rPr>
          <w:rFonts w:ascii="Calibri" w:eastAsia="Calibri" w:hAnsi="Calibri" w:cs="Calibri"/>
          <w:b/>
          <w:bCs/>
          <w:i/>
          <w:iCs/>
          <w:color w:val="EAF1DD"/>
          <w:sz w:val="18"/>
          <w:szCs w:val="18"/>
          <w:lang w:val="fr-BE"/>
        </w:rPr>
      </w:pPr>
    </w:p>
    <w:p w:rsidR="00AC12B4" w:rsidRPr="00C27636" w:rsidRDefault="00C27636">
      <w:pPr>
        <w:ind w:left="6260"/>
        <w:rPr>
          <w:sz w:val="20"/>
          <w:szCs w:val="20"/>
          <w:lang w:val="fr-BE"/>
        </w:rPr>
      </w:pPr>
      <w:r w:rsidRPr="00C27636">
        <w:rPr>
          <w:rFonts w:ascii="Calibri" w:eastAsia="Calibri" w:hAnsi="Calibri" w:cs="Calibri"/>
          <w:lang w:val="fr-BE"/>
        </w:rPr>
        <w:t>Seule l</w:t>
      </w:r>
      <w:r w:rsidRPr="00C27636">
        <w:rPr>
          <w:rFonts w:ascii="Calibri" w:eastAsia="Calibri" w:hAnsi="Calibri" w:cs="Calibri"/>
          <w:lang w:val="fr-BE"/>
        </w:rPr>
        <w:lastRenderedPageBreak/>
        <w:t>a vaccination contre la</w:t>
      </w:r>
    </w:p>
    <w:p w:rsidR="00AC12B4" w:rsidRPr="00C27636" w:rsidRDefault="00AC12B4">
      <w:pPr>
        <w:spacing w:line="49" w:lineRule="exact"/>
        <w:rPr>
          <w:rFonts w:ascii="Calibri" w:eastAsia="Calibri" w:hAnsi="Calibri" w:cs="Calibri"/>
          <w:b/>
          <w:bCs/>
          <w:i/>
          <w:iCs/>
          <w:color w:val="EAF1DD"/>
          <w:sz w:val="18"/>
          <w:szCs w:val="18"/>
          <w:lang w:val="fr-BE"/>
        </w:rPr>
      </w:pPr>
    </w:p>
    <w:p w:rsidR="00AC12B4" w:rsidRPr="00C27636" w:rsidRDefault="00C27636">
      <w:pPr>
        <w:spacing w:line="229" w:lineRule="auto"/>
        <w:ind w:left="6260" w:right="1040"/>
        <w:jc w:val="both"/>
        <w:rPr>
          <w:sz w:val="20"/>
          <w:szCs w:val="20"/>
          <w:lang w:val="fr-BE"/>
        </w:rPr>
      </w:pPr>
      <w:r w:rsidRPr="00C27636">
        <w:rPr>
          <w:rFonts w:ascii="Calibri" w:eastAsia="Calibri" w:hAnsi="Calibri" w:cs="Calibri"/>
          <w:lang w:val="fr-BE"/>
        </w:rPr>
        <w:t>Polio est légalement obligatoire en Belgique</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Cependant, la vaccination contre la poliomyélite est combinée à la vaccination contre la diphtérie, le tétanos, la coqueluche, l'hépatite B, et l’Haemophilus in</w:t>
      </w:r>
      <w:r w:rsidRPr="00C27636">
        <w:rPr>
          <w:rFonts w:ascii="Calibri" w:eastAsia="Calibri" w:hAnsi="Calibri" w:cs="Calibri"/>
          <w:lang w:val="fr-BE"/>
        </w:rPr>
        <w:t>fluenzae de type b (Hib) depuis l’utilisation</w:t>
      </w:r>
    </w:p>
    <w:p w:rsidR="00AC12B4" w:rsidRPr="00C27636" w:rsidRDefault="00AC12B4">
      <w:pPr>
        <w:spacing w:line="53" w:lineRule="exact"/>
        <w:rPr>
          <w:rFonts w:ascii="Calibri" w:eastAsia="Calibri" w:hAnsi="Calibri" w:cs="Calibri"/>
          <w:b/>
          <w:bCs/>
          <w:i/>
          <w:iCs/>
          <w:color w:val="EAF1DD"/>
          <w:sz w:val="18"/>
          <w:szCs w:val="18"/>
          <w:lang w:val="fr-BE"/>
        </w:rPr>
      </w:pPr>
    </w:p>
    <w:p w:rsidR="00AC12B4" w:rsidRPr="00C27636" w:rsidRDefault="00C27636">
      <w:pPr>
        <w:spacing w:line="233" w:lineRule="auto"/>
        <w:ind w:left="5160" w:right="1040"/>
        <w:jc w:val="both"/>
        <w:rPr>
          <w:sz w:val="20"/>
          <w:szCs w:val="20"/>
          <w:lang w:val="fr-BE"/>
        </w:rPr>
      </w:pPr>
      <w:r w:rsidRPr="00C27636">
        <w:rPr>
          <w:rFonts w:ascii="Calibri" w:eastAsia="Calibri" w:hAnsi="Calibri" w:cs="Calibri"/>
          <w:lang w:val="fr-BE"/>
        </w:rPr>
        <w:t>du vaccin combiné hexavalent. Ceci explique sans doute la faible différence de couverture vaccinale complète pour ces maladies, aux alentours de 90% (2012). Il est important de noter que presque tous les enfan</w:t>
      </w:r>
      <w:r w:rsidRPr="00C27636">
        <w:rPr>
          <w:rFonts w:ascii="Calibri" w:eastAsia="Calibri" w:hAnsi="Calibri" w:cs="Calibri"/>
          <w:lang w:val="fr-BE"/>
        </w:rPr>
        <w:t>ts entament correctement leurs vaccinations. En 2012, en Flandre et en FWB, 99% des enfants ont reçu correctement les premières doses de vaccins administrés avant leur 6</w:t>
      </w:r>
      <w:r w:rsidRPr="00C27636">
        <w:rPr>
          <w:rFonts w:ascii="Calibri" w:eastAsia="Calibri" w:hAnsi="Calibri" w:cs="Calibri"/>
          <w:sz w:val="27"/>
          <w:szCs w:val="27"/>
          <w:vertAlign w:val="superscript"/>
          <w:lang w:val="fr-BE"/>
        </w:rPr>
        <w:t>ème</w:t>
      </w:r>
      <w:r w:rsidRPr="00C27636">
        <w:rPr>
          <w:rFonts w:ascii="Calibri" w:eastAsia="Calibri" w:hAnsi="Calibri" w:cs="Calibri"/>
          <w:lang w:val="fr-BE"/>
        </w:rPr>
        <w:t xml:space="preserve"> mois. Le décrochage a lieu généralement dans le courant de la deuxième année de vie</w:t>
      </w:r>
      <w:r w:rsidRPr="00C27636">
        <w:rPr>
          <w:rFonts w:ascii="Calibri" w:eastAsia="Calibri" w:hAnsi="Calibri" w:cs="Calibri"/>
          <w:lang w:val="fr-BE"/>
        </w:rPr>
        <w:t xml:space="preserve"> (PROVAC 2012 et Vaccinatiegraadstudie 2012).</w:t>
      </w:r>
    </w:p>
    <w:p w:rsidR="00AC12B4" w:rsidRPr="00C27636" w:rsidRDefault="00AC12B4">
      <w:pPr>
        <w:rPr>
          <w:lang w:val="fr-BE"/>
        </w:rPr>
        <w:sectPr w:rsidR="00AC12B4" w:rsidRPr="00C27636">
          <w:pgSz w:w="12080" w:h="17179"/>
          <w:pgMar w:top="1440" w:right="557" w:bottom="659" w:left="1440" w:header="0" w:footer="0" w:gutter="0"/>
          <w:cols w:space="720" w:equalWidth="0">
            <w:col w:w="10080"/>
          </w:cols>
        </w:sectPr>
      </w:pPr>
    </w:p>
    <w:p w:rsidR="00AC12B4" w:rsidRPr="00C27636" w:rsidRDefault="00AC12B4">
      <w:pPr>
        <w:spacing w:line="347" w:lineRule="exact"/>
        <w:rPr>
          <w:rFonts w:ascii="Calibri" w:eastAsia="Calibri" w:hAnsi="Calibri" w:cs="Calibri"/>
          <w:b/>
          <w:bCs/>
          <w:i/>
          <w:iCs/>
          <w:color w:val="EAF1DD"/>
          <w:sz w:val="18"/>
          <w:szCs w:val="18"/>
          <w:lang w:val="fr-BE"/>
        </w:rPr>
      </w:pPr>
    </w:p>
    <w:p w:rsidR="00AC12B4" w:rsidRPr="00C27636" w:rsidRDefault="00C27636">
      <w:pPr>
        <w:ind w:left="740"/>
        <w:jc w:val="center"/>
        <w:rPr>
          <w:sz w:val="20"/>
          <w:szCs w:val="20"/>
          <w:lang w:val="fr-BE"/>
        </w:rPr>
      </w:pPr>
      <w:r w:rsidRPr="00C27636">
        <w:rPr>
          <w:rFonts w:ascii="Calibri" w:eastAsia="Calibri" w:hAnsi="Calibri" w:cs="Calibri"/>
          <w:b/>
          <w:bCs/>
          <w:lang w:val="fr-BE"/>
        </w:rPr>
        <w:t>Couverture vaccinale chez les 18-24 mois en Belgique</w:t>
      </w:r>
    </w:p>
    <w:p w:rsidR="00AC12B4" w:rsidRPr="00C27636" w:rsidRDefault="00C27636">
      <w:pPr>
        <w:spacing w:line="20" w:lineRule="exact"/>
        <w:rPr>
          <w:rFonts w:ascii="Calibri" w:eastAsia="Calibri" w:hAnsi="Calibri" w:cs="Calibri"/>
          <w:b/>
          <w:bCs/>
          <w:i/>
          <w:iCs/>
          <w:color w:val="EAF1DD"/>
          <w:sz w:val="18"/>
          <w:szCs w:val="18"/>
          <w:lang w:val="fr-BE"/>
        </w:rPr>
      </w:pPr>
      <w:r>
        <w:rPr>
          <w:rFonts w:ascii="Calibri" w:eastAsia="Calibri" w:hAnsi="Calibri" w:cs="Calibri"/>
          <w:b/>
          <w:bCs/>
          <w:i/>
          <w:iCs/>
          <w:noProof/>
          <w:color w:val="EAF1DD"/>
          <w:sz w:val="18"/>
          <w:szCs w:val="18"/>
        </w:rPr>
        <w:drawing>
          <wp:anchor distT="0" distB="0" distL="114300" distR="114300" simplePos="0" relativeHeight="251493888" behindDoc="1" locked="0" layoutInCell="0" allowOverlap="1">
            <wp:simplePos x="0" y="0"/>
            <wp:positionH relativeFrom="column">
              <wp:posOffset>330835</wp:posOffset>
            </wp:positionH>
            <wp:positionV relativeFrom="paragraph">
              <wp:posOffset>-267335</wp:posOffset>
            </wp:positionV>
            <wp:extent cx="4123055" cy="2609215"/>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6">
                      <a:extLst/>
                    </a:blip>
                    <a:srcRect/>
                    <a:stretch>
                      <a:fillRect/>
                    </a:stretch>
                  </pic:blipFill>
                  <pic:spPr bwMode="auto">
                    <a:xfrm>
                      <a:off x="0" y="0"/>
                      <a:ext cx="4123055" cy="2609215"/>
                    </a:xfrm>
                    <a:prstGeom prst="rect">
                      <a:avLst/>
                    </a:prstGeom>
                    <a:noFill/>
                  </pic:spPr>
                </pic:pic>
              </a:graphicData>
            </a:graphic>
          </wp:anchor>
        </w:drawing>
      </w:r>
    </w:p>
    <w:p w:rsidR="00AC12B4" w:rsidRDefault="00C27636">
      <w:pPr>
        <w:ind w:left="740"/>
        <w:jc w:val="center"/>
        <w:rPr>
          <w:sz w:val="20"/>
          <w:szCs w:val="20"/>
        </w:rPr>
      </w:pPr>
      <w:r>
        <w:rPr>
          <w:rFonts w:ascii="Calibri" w:eastAsia="Calibri" w:hAnsi="Calibri" w:cs="Calibri"/>
          <w:b/>
          <w:bCs/>
        </w:rPr>
        <w:t>(2012)</w:t>
      </w:r>
    </w:p>
    <w:p w:rsidR="00AC12B4" w:rsidRDefault="00AC12B4">
      <w:pPr>
        <w:spacing w:line="118" w:lineRule="exact"/>
        <w:rPr>
          <w:rFonts w:ascii="Calibri" w:eastAsia="Calibri" w:hAnsi="Calibri" w:cs="Calibri"/>
          <w:b/>
          <w:bCs/>
          <w:i/>
          <w:iCs/>
          <w:color w:val="EAF1DD"/>
          <w:sz w:val="18"/>
          <w:szCs w:val="18"/>
        </w:rPr>
      </w:pPr>
    </w:p>
    <w:tbl>
      <w:tblPr>
        <w:tblW w:w="0" w:type="auto"/>
        <w:tblInd w:w="660" w:type="dxa"/>
        <w:tblLayout w:type="fixed"/>
        <w:tblCellMar>
          <w:left w:w="0" w:type="dxa"/>
          <w:right w:w="0" w:type="dxa"/>
        </w:tblCellMar>
        <w:tblLook w:val="04A0" w:firstRow="1" w:lastRow="0" w:firstColumn="1" w:lastColumn="0" w:noHBand="0" w:noVBand="1"/>
      </w:tblPr>
      <w:tblGrid>
        <w:gridCol w:w="560"/>
        <w:gridCol w:w="80"/>
        <w:gridCol w:w="400"/>
        <w:gridCol w:w="20"/>
        <w:gridCol w:w="400"/>
        <w:gridCol w:w="20"/>
        <w:gridCol w:w="400"/>
        <w:gridCol w:w="20"/>
        <w:gridCol w:w="400"/>
        <w:gridCol w:w="20"/>
        <w:gridCol w:w="400"/>
        <w:gridCol w:w="20"/>
        <w:gridCol w:w="400"/>
        <w:gridCol w:w="20"/>
        <w:gridCol w:w="400"/>
        <w:gridCol w:w="20"/>
        <w:gridCol w:w="400"/>
        <w:gridCol w:w="20"/>
        <w:gridCol w:w="320"/>
        <w:gridCol w:w="100"/>
        <w:gridCol w:w="1720"/>
        <w:gridCol w:w="20"/>
      </w:tblGrid>
      <w:tr w:rsidR="00AC12B4">
        <w:trPr>
          <w:trHeight w:val="130"/>
        </w:trPr>
        <w:tc>
          <w:tcPr>
            <w:tcW w:w="560" w:type="dxa"/>
            <w:vMerge w:val="restart"/>
            <w:vAlign w:val="bottom"/>
          </w:tcPr>
          <w:p w:rsidR="00AC12B4" w:rsidRDefault="00C27636">
            <w:pPr>
              <w:ind w:right="20"/>
              <w:jc w:val="right"/>
              <w:rPr>
                <w:sz w:val="20"/>
                <w:szCs w:val="20"/>
              </w:rPr>
            </w:pPr>
            <w:r>
              <w:rPr>
                <w:rFonts w:ascii="Calibri" w:eastAsia="Calibri" w:hAnsi="Calibri" w:cs="Calibri"/>
                <w:w w:val="93"/>
                <w:sz w:val="20"/>
                <w:szCs w:val="20"/>
              </w:rPr>
              <w:t>100%</w:t>
            </w:r>
          </w:p>
        </w:tc>
        <w:tc>
          <w:tcPr>
            <w:tcW w:w="8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4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32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17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4"/>
        </w:trPr>
        <w:tc>
          <w:tcPr>
            <w:tcW w:w="56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72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47"/>
        </w:trPr>
        <w:tc>
          <w:tcPr>
            <w:tcW w:w="560" w:type="dxa"/>
            <w:vMerge w:val="restart"/>
            <w:vAlign w:val="bottom"/>
          </w:tcPr>
          <w:p w:rsidR="00AC12B4" w:rsidRDefault="00C27636">
            <w:pPr>
              <w:ind w:right="20"/>
              <w:jc w:val="right"/>
              <w:rPr>
                <w:sz w:val="20"/>
                <w:szCs w:val="20"/>
              </w:rPr>
            </w:pPr>
            <w:r>
              <w:rPr>
                <w:rFonts w:ascii="Calibri" w:eastAsia="Calibri" w:hAnsi="Calibri" w:cs="Calibri"/>
                <w:sz w:val="20"/>
                <w:szCs w:val="20"/>
              </w:rPr>
              <w:t>90%</w:t>
            </w:r>
          </w:p>
        </w:tc>
        <w:tc>
          <w:tcPr>
            <w:tcW w:w="80" w:type="dxa"/>
            <w:tcBorders>
              <w:bottom w:val="single" w:sz="8" w:space="0" w:color="868686"/>
              <w:right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172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94"/>
        </w:trPr>
        <w:tc>
          <w:tcPr>
            <w:tcW w:w="56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72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47"/>
        </w:trPr>
        <w:tc>
          <w:tcPr>
            <w:tcW w:w="560" w:type="dxa"/>
            <w:vMerge w:val="restart"/>
            <w:vAlign w:val="bottom"/>
          </w:tcPr>
          <w:p w:rsidR="00AC12B4" w:rsidRDefault="00C27636">
            <w:pPr>
              <w:ind w:right="20"/>
              <w:jc w:val="right"/>
              <w:rPr>
                <w:sz w:val="20"/>
                <w:szCs w:val="20"/>
              </w:rPr>
            </w:pPr>
            <w:r>
              <w:rPr>
                <w:rFonts w:ascii="Calibri" w:eastAsia="Calibri" w:hAnsi="Calibri" w:cs="Calibri"/>
                <w:sz w:val="20"/>
                <w:szCs w:val="20"/>
              </w:rPr>
              <w:t>80%</w:t>
            </w:r>
          </w:p>
        </w:tc>
        <w:tc>
          <w:tcPr>
            <w:tcW w:w="80" w:type="dxa"/>
            <w:tcBorders>
              <w:bottom w:val="single" w:sz="8" w:space="0" w:color="868686"/>
              <w:right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172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94"/>
        </w:trPr>
        <w:tc>
          <w:tcPr>
            <w:tcW w:w="56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72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47"/>
        </w:trPr>
        <w:tc>
          <w:tcPr>
            <w:tcW w:w="560" w:type="dxa"/>
            <w:vMerge w:val="restart"/>
            <w:vAlign w:val="bottom"/>
          </w:tcPr>
          <w:p w:rsidR="00AC12B4" w:rsidRDefault="00C27636">
            <w:pPr>
              <w:spacing w:line="214" w:lineRule="exact"/>
              <w:ind w:right="20"/>
              <w:jc w:val="right"/>
              <w:rPr>
                <w:sz w:val="20"/>
                <w:szCs w:val="20"/>
              </w:rPr>
            </w:pPr>
            <w:r>
              <w:rPr>
                <w:rFonts w:ascii="Calibri" w:eastAsia="Calibri" w:hAnsi="Calibri" w:cs="Calibri"/>
                <w:sz w:val="20"/>
                <w:szCs w:val="20"/>
              </w:rPr>
              <w:t>70%</w:t>
            </w:r>
          </w:p>
        </w:tc>
        <w:tc>
          <w:tcPr>
            <w:tcW w:w="80" w:type="dxa"/>
            <w:tcBorders>
              <w:bottom w:val="single" w:sz="8" w:space="0" w:color="868686"/>
              <w:right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1720" w:type="dxa"/>
            <w:vMerge w:val="restart"/>
            <w:vAlign w:val="bottom"/>
          </w:tcPr>
          <w:p w:rsidR="00AC12B4" w:rsidRDefault="00C27636">
            <w:pPr>
              <w:ind w:left="60"/>
              <w:rPr>
                <w:sz w:val="20"/>
                <w:szCs w:val="20"/>
              </w:rPr>
            </w:pPr>
            <w:r>
              <w:rPr>
                <w:rFonts w:ascii="Calibri" w:eastAsia="Calibri" w:hAnsi="Calibri" w:cs="Calibri"/>
                <w:sz w:val="20"/>
                <w:szCs w:val="20"/>
              </w:rPr>
              <w:t>Bruxelles</w:t>
            </w:r>
          </w:p>
        </w:tc>
        <w:tc>
          <w:tcPr>
            <w:tcW w:w="0" w:type="dxa"/>
            <w:vAlign w:val="bottom"/>
          </w:tcPr>
          <w:p w:rsidR="00AC12B4" w:rsidRDefault="00AC12B4">
            <w:pPr>
              <w:rPr>
                <w:sz w:val="1"/>
                <w:szCs w:val="1"/>
              </w:rPr>
            </w:pPr>
          </w:p>
        </w:tc>
      </w:tr>
      <w:tr w:rsidR="00AC12B4">
        <w:trPr>
          <w:trHeight w:val="47"/>
        </w:trPr>
        <w:tc>
          <w:tcPr>
            <w:tcW w:w="560" w:type="dxa"/>
            <w:vMerge/>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72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10"/>
        </w:trPr>
        <w:tc>
          <w:tcPr>
            <w:tcW w:w="560" w:type="dxa"/>
            <w:vMerge w:val="restart"/>
            <w:vAlign w:val="bottom"/>
          </w:tcPr>
          <w:p w:rsidR="00AC12B4" w:rsidRDefault="00C27636">
            <w:pPr>
              <w:ind w:right="20"/>
              <w:jc w:val="right"/>
              <w:rPr>
                <w:sz w:val="20"/>
                <w:szCs w:val="20"/>
              </w:rPr>
            </w:pPr>
            <w:r>
              <w:rPr>
                <w:rFonts w:ascii="Calibri" w:eastAsia="Calibri" w:hAnsi="Calibri" w:cs="Calibri"/>
                <w:sz w:val="20"/>
                <w:szCs w:val="20"/>
              </w:rPr>
              <w:t>60%</w:t>
            </w:r>
          </w:p>
        </w:tc>
        <w:tc>
          <w:tcPr>
            <w:tcW w:w="80" w:type="dxa"/>
            <w:tcBorders>
              <w:right w:val="single" w:sz="8" w:space="0" w:color="868686"/>
            </w:tcBorders>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100" w:type="dxa"/>
            <w:shd w:val="clear" w:color="auto" w:fill="4F81BD"/>
            <w:vAlign w:val="bottom"/>
          </w:tcPr>
          <w:p w:rsidR="00AC12B4" w:rsidRDefault="00AC12B4">
            <w:pPr>
              <w:rPr>
                <w:sz w:val="9"/>
                <w:szCs w:val="9"/>
              </w:rPr>
            </w:pPr>
          </w:p>
        </w:tc>
        <w:tc>
          <w:tcPr>
            <w:tcW w:w="172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560" w:type="dxa"/>
            <w:vMerge/>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72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33"/>
        </w:trPr>
        <w:tc>
          <w:tcPr>
            <w:tcW w:w="560" w:type="dxa"/>
            <w:vMerge/>
            <w:vAlign w:val="bottom"/>
          </w:tcPr>
          <w:p w:rsidR="00AC12B4" w:rsidRDefault="00AC12B4">
            <w:pPr>
              <w:rPr>
                <w:sz w:val="2"/>
                <w:szCs w:val="2"/>
              </w:rPr>
            </w:pPr>
          </w:p>
        </w:tc>
        <w:tc>
          <w:tcPr>
            <w:tcW w:w="80" w:type="dxa"/>
            <w:tcBorders>
              <w:bottom w:val="single" w:sz="8" w:space="0" w:color="868686"/>
              <w:right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320" w:type="dxa"/>
            <w:vAlign w:val="bottom"/>
          </w:tcPr>
          <w:p w:rsidR="00AC12B4" w:rsidRDefault="00AC12B4">
            <w:pPr>
              <w:rPr>
                <w:sz w:val="2"/>
                <w:szCs w:val="2"/>
              </w:rPr>
            </w:pPr>
          </w:p>
        </w:tc>
        <w:tc>
          <w:tcPr>
            <w:tcW w:w="100" w:type="dxa"/>
            <w:vAlign w:val="bottom"/>
          </w:tcPr>
          <w:p w:rsidR="00AC12B4" w:rsidRDefault="00AC12B4">
            <w:pPr>
              <w:rPr>
                <w:sz w:val="2"/>
                <w:szCs w:val="2"/>
              </w:rPr>
            </w:pPr>
          </w:p>
        </w:tc>
        <w:tc>
          <w:tcPr>
            <w:tcW w:w="1720" w:type="dxa"/>
            <w:vMerge w:val="restart"/>
            <w:vAlign w:val="bottom"/>
          </w:tcPr>
          <w:p w:rsidR="00AC12B4" w:rsidRDefault="00C27636">
            <w:pPr>
              <w:ind w:left="60"/>
              <w:rPr>
                <w:sz w:val="20"/>
                <w:szCs w:val="20"/>
              </w:rPr>
            </w:pPr>
            <w:r>
              <w:rPr>
                <w:rFonts w:ascii="Calibri" w:eastAsia="Calibri" w:hAnsi="Calibri" w:cs="Calibri"/>
                <w:w w:val="98"/>
                <w:sz w:val="20"/>
                <w:szCs w:val="20"/>
              </w:rPr>
              <w:t>FWB (sauf Bruxelles)</w:t>
            </w:r>
          </w:p>
        </w:tc>
        <w:tc>
          <w:tcPr>
            <w:tcW w:w="0" w:type="dxa"/>
            <w:vAlign w:val="bottom"/>
          </w:tcPr>
          <w:p w:rsidR="00AC12B4" w:rsidRDefault="00AC12B4">
            <w:pPr>
              <w:rPr>
                <w:sz w:val="1"/>
                <w:szCs w:val="1"/>
              </w:rPr>
            </w:pPr>
          </w:p>
        </w:tc>
      </w:tr>
      <w:tr w:rsidR="00AC12B4">
        <w:trPr>
          <w:trHeight w:val="94"/>
        </w:trPr>
        <w:tc>
          <w:tcPr>
            <w:tcW w:w="56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72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54"/>
        </w:trPr>
        <w:tc>
          <w:tcPr>
            <w:tcW w:w="560" w:type="dxa"/>
            <w:vMerge w:val="restart"/>
            <w:vAlign w:val="bottom"/>
          </w:tcPr>
          <w:p w:rsidR="00AC12B4" w:rsidRDefault="00C27636">
            <w:pPr>
              <w:spacing w:line="217" w:lineRule="exact"/>
              <w:ind w:right="20"/>
              <w:jc w:val="right"/>
              <w:rPr>
                <w:sz w:val="20"/>
                <w:szCs w:val="20"/>
              </w:rPr>
            </w:pPr>
            <w:r>
              <w:rPr>
                <w:rFonts w:ascii="Calibri" w:eastAsia="Calibri" w:hAnsi="Calibri" w:cs="Calibri"/>
                <w:sz w:val="20"/>
                <w:szCs w:val="20"/>
              </w:rPr>
              <w:t>50%</w:t>
            </w:r>
          </w:p>
        </w:tc>
        <w:tc>
          <w:tcPr>
            <w:tcW w:w="80" w:type="dxa"/>
            <w:tcBorders>
              <w:right w:val="single" w:sz="8" w:space="0" w:color="868686"/>
            </w:tcBorders>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72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63"/>
        </w:trPr>
        <w:tc>
          <w:tcPr>
            <w:tcW w:w="560" w:type="dxa"/>
            <w:vMerge/>
            <w:vAlign w:val="bottom"/>
          </w:tcPr>
          <w:p w:rsidR="00AC12B4" w:rsidRDefault="00AC12B4">
            <w:pPr>
              <w:rPr>
                <w:sz w:val="14"/>
                <w:szCs w:val="14"/>
              </w:rPr>
            </w:pPr>
          </w:p>
        </w:tc>
        <w:tc>
          <w:tcPr>
            <w:tcW w:w="80" w:type="dxa"/>
            <w:tcBorders>
              <w:bottom w:val="single" w:sz="8" w:space="0" w:color="868686"/>
              <w:right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320" w:type="dxa"/>
            <w:vAlign w:val="bottom"/>
          </w:tcPr>
          <w:p w:rsidR="00AC12B4" w:rsidRDefault="00AC12B4">
            <w:pPr>
              <w:rPr>
                <w:sz w:val="14"/>
                <w:szCs w:val="14"/>
              </w:rPr>
            </w:pPr>
          </w:p>
        </w:tc>
        <w:tc>
          <w:tcPr>
            <w:tcW w:w="100" w:type="dxa"/>
            <w:tcBorders>
              <w:bottom w:val="single" w:sz="8" w:space="0" w:color="C0504D"/>
            </w:tcBorders>
            <w:shd w:val="clear" w:color="auto" w:fill="C0504D"/>
            <w:vAlign w:val="bottom"/>
          </w:tcPr>
          <w:p w:rsidR="00AC12B4" w:rsidRDefault="00AC12B4">
            <w:pPr>
              <w:rPr>
                <w:sz w:val="14"/>
                <w:szCs w:val="14"/>
              </w:rPr>
            </w:pPr>
          </w:p>
        </w:tc>
        <w:tc>
          <w:tcPr>
            <w:tcW w:w="1720" w:type="dxa"/>
            <w:vMerge/>
            <w:vAlign w:val="bottom"/>
          </w:tcPr>
          <w:p w:rsidR="00AC12B4" w:rsidRDefault="00AC12B4">
            <w:pPr>
              <w:rPr>
                <w:sz w:val="14"/>
                <w:szCs w:val="14"/>
              </w:rPr>
            </w:pPr>
          </w:p>
        </w:tc>
        <w:tc>
          <w:tcPr>
            <w:tcW w:w="0" w:type="dxa"/>
            <w:vAlign w:val="bottom"/>
          </w:tcPr>
          <w:p w:rsidR="00AC12B4" w:rsidRDefault="00AC12B4">
            <w:pPr>
              <w:rPr>
                <w:sz w:val="1"/>
                <w:szCs w:val="1"/>
              </w:rPr>
            </w:pPr>
          </w:p>
        </w:tc>
      </w:tr>
    </w:tbl>
    <w:p w:rsidR="00AC12B4" w:rsidRDefault="00AC12B4">
      <w:pPr>
        <w:spacing w:line="115" w:lineRule="exact"/>
        <w:rPr>
          <w:rFonts w:ascii="Calibri" w:eastAsia="Calibri" w:hAnsi="Calibri" w:cs="Calibri"/>
          <w:b/>
          <w:bCs/>
          <w:i/>
          <w:iCs/>
          <w:color w:val="EAF1DD"/>
          <w:sz w:val="18"/>
          <w:szCs w:val="18"/>
        </w:rPr>
      </w:pPr>
    </w:p>
    <w:p w:rsidR="00AC12B4" w:rsidRDefault="00C27636">
      <w:pPr>
        <w:ind w:left="4980"/>
        <w:rPr>
          <w:sz w:val="20"/>
          <w:szCs w:val="20"/>
        </w:rPr>
      </w:pPr>
      <w:r>
        <w:rPr>
          <w:noProof/>
          <w:sz w:val="1"/>
          <w:szCs w:val="1"/>
        </w:rPr>
        <w:drawing>
          <wp:inline distT="0" distB="0" distL="0" distR="0">
            <wp:extent cx="68580" cy="698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7">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20"/>
          <w:szCs w:val="20"/>
        </w:rPr>
        <w:t xml:space="preserve"> Flandre</w:t>
      </w: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08" w:lineRule="exact"/>
        <w:rPr>
          <w:rFonts w:ascii="Calibri" w:eastAsia="Calibri" w:hAnsi="Calibri" w:cs="Calibri"/>
          <w:b/>
          <w:bCs/>
          <w:i/>
          <w:iCs/>
          <w:color w:val="EAF1DD"/>
          <w:sz w:val="18"/>
          <w:szCs w:val="18"/>
        </w:rPr>
      </w:pPr>
    </w:p>
    <w:p w:rsidR="00AC12B4" w:rsidRDefault="00C27636">
      <w:pPr>
        <w:ind w:left="620"/>
        <w:rPr>
          <w:sz w:val="20"/>
          <w:szCs w:val="20"/>
        </w:rPr>
      </w:pPr>
      <w:r>
        <w:rPr>
          <w:rFonts w:ascii="Calibri" w:eastAsia="Calibri" w:hAnsi="Calibri" w:cs="Calibri"/>
          <w:b/>
          <w:bCs/>
          <w:color w:val="4F81BD"/>
          <w:sz w:val="18"/>
          <w:szCs w:val="18"/>
        </w:rPr>
        <w:t>Figure 1. Enquête PROVAC et Vaccinatiegraadstudie (2012)</w:t>
      </w:r>
    </w:p>
    <w:p w:rsidR="00AC12B4" w:rsidRDefault="00C27636">
      <w:pPr>
        <w:spacing w:line="20" w:lineRule="exact"/>
        <w:rPr>
          <w:rFonts w:ascii="Calibri" w:eastAsia="Calibri" w:hAnsi="Calibri" w:cs="Calibri"/>
          <w:b/>
          <w:bCs/>
          <w:i/>
          <w:iCs/>
          <w:color w:val="EAF1DD"/>
          <w:sz w:val="18"/>
          <w:szCs w:val="18"/>
        </w:rPr>
      </w:pPr>
      <w:r>
        <w:rPr>
          <w:rFonts w:ascii="Calibri" w:eastAsia="Calibri" w:hAnsi="Calibri" w:cs="Calibri"/>
          <w:b/>
          <w:bCs/>
          <w:i/>
          <w:iCs/>
          <w:color w:val="EAF1DD"/>
          <w:sz w:val="18"/>
          <w:szCs w:val="18"/>
        </w:rPr>
        <w:br w:type="column"/>
      </w:r>
    </w:p>
    <w:p w:rsidR="00AC12B4" w:rsidRDefault="00AC12B4">
      <w:pPr>
        <w:spacing w:line="103" w:lineRule="exact"/>
        <w:rPr>
          <w:rFonts w:ascii="Calibri" w:eastAsia="Calibri" w:hAnsi="Calibri" w:cs="Calibri"/>
          <w:b/>
          <w:bCs/>
          <w:i/>
          <w:iCs/>
          <w:color w:val="EAF1DD"/>
          <w:sz w:val="18"/>
          <w:szCs w:val="18"/>
        </w:rPr>
      </w:pPr>
    </w:p>
    <w:p w:rsidR="00AC12B4" w:rsidRDefault="00C27636">
      <w:pPr>
        <w:tabs>
          <w:tab w:val="left" w:pos="1500"/>
        </w:tabs>
        <w:rPr>
          <w:sz w:val="20"/>
          <w:szCs w:val="20"/>
        </w:rPr>
      </w:pPr>
      <w:r>
        <w:rPr>
          <w:rFonts w:ascii="Calibri" w:eastAsia="Calibri" w:hAnsi="Calibri" w:cs="Calibri"/>
        </w:rPr>
        <w:t>Contrairement</w:t>
      </w:r>
      <w:r>
        <w:rPr>
          <w:sz w:val="20"/>
          <w:szCs w:val="20"/>
        </w:rPr>
        <w:tab/>
      </w:r>
      <w:r>
        <w:rPr>
          <w:rFonts w:ascii="Calibri" w:eastAsia="Calibri" w:hAnsi="Calibri" w:cs="Calibri"/>
          <w:sz w:val="20"/>
          <w:szCs w:val="20"/>
        </w:rPr>
        <w:t>aux</w:t>
      </w:r>
    </w:p>
    <w:p w:rsidR="00AC12B4" w:rsidRDefault="00AC12B4">
      <w:pPr>
        <w:spacing w:line="49" w:lineRule="exact"/>
        <w:rPr>
          <w:rFonts w:ascii="Calibri" w:eastAsia="Calibri" w:hAnsi="Calibri" w:cs="Calibri"/>
          <w:b/>
          <w:bCs/>
          <w:i/>
          <w:iCs/>
          <w:color w:val="EAF1DD"/>
          <w:sz w:val="18"/>
          <w:szCs w:val="18"/>
        </w:rPr>
      </w:pPr>
    </w:p>
    <w:p w:rsidR="00AC12B4" w:rsidRPr="00C27636" w:rsidRDefault="00C27636">
      <w:pPr>
        <w:spacing w:line="232" w:lineRule="auto"/>
        <w:ind w:right="1040"/>
        <w:jc w:val="both"/>
        <w:rPr>
          <w:sz w:val="20"/>
          <w:szCs w:val="20"/>
          <w:lang w:val="fr-BE"/>
        </w:rPr>
      </w:pPr>
      <w:r w:rsidRPr="00C27636">
        <w:rPr>
          <w:rFonts w:ascii="Calibri" w:eastAsia="Calibri" w:hAnsi="Calibri" w:cs="Calibri"/>
          <w:lang w:val="fr-BE"/>
        </w:rPr>
        <w:t>autres vaccins recommandés, celui contre le rotavirus n’est pas disponible gratuitement dans les circuits de</w:t>
      </w:r>
    </w:p>
    <w:p w:rsidR="00AC12B4" w:rsidRPr="00C27636" w:rsidRDefault="00AC12B4">
      <w:pPr>
        <w:spacing w:line="53" w:lineRule="exact"/>
        <w:rPr>
          <w:rFonts w:ascii="Calibri" w:eastAsia="Calibri" w:hAnsi="Calibri" w:cs="Calibri"/>
          <w:b/>
          <w:bCs/>
          <w:i/>
          <w:iCs/>
          <w:color w:val="EAF1DD"/>
          <w:sz w:val="18"/>
          <w:szCs w:val="18"/>
          <w:lang w:val="fr-BE"/>
        </w:rPr>
      </w:pPr>
    </w:p>
    <w:p w:rsidR="00AC12B4" w:rsidRPr="00C27636" w:rsidRDefault="00C27636">
      <w:pPr>
        <w:spacing w:line="218" w:lineRule="auto"/>
        <w:ind w:right="1040"/>
        <w:jc w:val="both"/>
        <w:rPr>
          <w:sz w:val="20"/>
          <w:szCs w:val="20"/>
          <w:lang w:val="fr-BE"/>
        </w:rPr>
      </w:pPr>
      <w:r w:rsidRPr="00C27636">
        <w:rPr>
          <w:rFonts w:ascii="Calibri" w:eastAsia="Calibri" w:hAnsi="Calibri" w:cs="Calibri"/>
          <w:lang w:val="fr-BE"/>
        </w:rPr>
        <w:t>distribution des Communautés mais</w:t>
      </w:r>
    </w:p>
    <w:p w:rsidR="00AC12B4" w:rsidRPr="00C27636" w:rsidRDefault="00AC12B4">
      <w:pPr>
        <w:spacing w:line="50" w:lineRule="exact"/>
        <w:rPr>
          <w:rFonts w:ascii="Calibri" w:eastAsia="Calibri" w:hAnsi="Calibri" w:cs="Calibri"/>
          <w:b/>
          <w:bCs/>
          <w:i/>
          <w:iCs/>
          <w:color w:val="EAF1DD"/>
          <w:sz w:val="18"/>
          <w:szCs w:val="18"/>
          <w:lang w:val="fr-BE"/>
        </w:rPr>
      </w:pPr>
    </w:p>
    <w:p w:rsidR="00AC12B4" w:rsidRDefault="00C27636">
      <w:pPr>
        <w:spacing w:line="232" w:lineRule="auto"/>
        <w:ind w:right="1040"/>
        <w:jc w:val="right"/>
        <w:rPr>
          <w:sz w:val="20"/>
          <w:szCs w:val="20"/>
        </w:rPr>
      </w:pPr>
      <w:r w:rsidRPr="00C27636">
        <w:rPr>
          <w:rFonts w:ascii="Calibri" w:eastAsia="Calibri" w:hAnsi="Calibri" w:cs="Calibri"/>
          <w:lang w:val="fr-BE"/>
        </w:rPr>
        <w:t>est      seulement</w:t>
      </w:r>
      <w:r w:rsidRPr="00C27636">
        <w:rPr>
          <w:rFonts w:ascii="Calibri" w:eastAsia="Calibri" w:hAnsi="Calibri" w:cs="Calibri"/>
          <w:lang w:val="fr-BE"/>
        </w:rPr>
        <w:t xml:space="preserve"> remboursé partiellement   par les  mutuelles.  </w:t>
      </w:r>
      <w:r>
        <w:rPr>
          <w:rFonts w:ascii="Calibri" w:eastAsia="Calibri" w:hAnsi="Calibri" w:cs="Calibri"/>
        </w:rPr>
        <w:t>En 2012, la couverture pour ce vaccin était</w:t>
      </w:r>
    </w:p>
    <w:p w:rsidR="00AC12B4" w:rsidRDefault="00AC12B4">
      <w:pPr>
        <w:spacing w:line="53" w:lineRule="exact"/>
        <w:rPr>
          <w:rFonts w:ascii="Calibri" w:eastAsia="Calibri" w:hAnsi="Calibri" w:cs="Calibri"/>
          <w:b/>
          <w:bCs/>
          <w:i/>
          <w:iCs/>
          <w:color w:val="EAF1DD"/>
          <w:sz w:val="18"/>
          <w:szCs w:val="18"/>
        </w:rPr>
      </w:pPr>
    </w:p>
    <w:p w:rsidR="00AC12B4" w:rsidRDefault="00AC12B4">
      <w:pPr>
        <w:sectPr w:rsidR="00AC12B4">
          <w:type w:val="continuous"/>
          <w:pgSz w:w="12080" w:h="17179"/>
          <w:pgMar w:top="1440" w:right="557" w:bottom="659" w:left="1440" w:header="0" w:footer="0" w:gutter="0"/>
          <w:cols w:num="2" w:space="720" w:equalWidth="0">
            <w:col w:w="6800" w:space="400"/>
            <w:col w:w="2880"/>
          </w:cols>
        </w:sectPr>
      </w:pP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00" w:lineRule="exact"/>
        <w:rPr>
          <w:rFonts w:ascii="Calibri" w:eastAsia="Calibri" w:hAnsi="Calibri" w:cs="Calibri"/>
          <w:b/>
          <w:bCs/>
          <w:i/>
          <w:iCs/>
          <w:color w:val="EAF1DD"/>
          <w:sz w:val="18"/>
          <w:szCs w:val="18"/>
        </w:rPr>
      </w:pPr>
    </w:p>
    <w:p w:rsidR="00AC12B4" w:rsidRDefault="00AC12B4">
      <w:pPr>
        <w:spacing w:line="241" w:lineRule="exact"/>
        <w:rPr>
          <w:rFonts w:ascii="Calibri" w:eastAsia="Calibri" w:hAnsi="Calibri" w:cs="Calibri"/>
          <w:b/>
          <w:bCs/>
          <w:i/>
          <w:iCs/>
          <w:color w:val="EAF1DD"/>
          <w:sz w:val="18"/>
          <w:szCs w:val="18"/>
        </w:rPr>
      </w:pPr>
    </w:p>
    <w:p w:rsidR="00AC12B4" w:rsidRPr="00C27636" w:rsidRDefault="00C27636">
      <w:pPr>
        <w:numPr>
          <w:ilvl w:val="0"/>
          <w:numId w:val="89"/>
        </w:numPr>
        <w:tabs>
          <w:tab w:val="left" w:pos="728"/>
        </w:tabs>
        <w:spacing w:line="187" w:lineRule="auto"/>
        <w:ind w:left="560" w:firstLine="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Les données pour la FWB sont issues des enquêtes PROVAC 2012 et celles pour la</w:t>
      </w:r>
    </w:p>
    <w:p w:rsidR="00AC12B4" w:rsidRPr="00C27636" w:rsidRDefault="00AC12B4">
      <w:pPr>
        <w:spacing w:line="49" w:lineRule="exact"/>
        <w:rPr>
          <w:rFonts w:ascii="Calibri" w:eastAsia="Calibri" w:hAnsi="Calibri" w:cs="Calibri"/>
          <w:sz w:val="26"/>
          <w:szCs w:val="26"/>
          <w:vertAlign w:val="superscript"/>
          <w:lang w:val="fr-BE"/>
        </w:rPr>
      </w:pPr>
    </w:p>
    <w:p w:rsidR="00AC12B4" w:rsidRPr="00C27636" w:rsidRDefault="00C27636">
      <w:pPr>
        <w:spacing w:line="217" w:lineRule="auto"/>
        <w:ind w:left="56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Communauté flamande de la Vaccinatiegraadstudie 201</w:t>
      </w:r>
      <w:r w:rsidRPr="00C27636">
        <w:rPr>
          <w:rFonts w:ascii="Calibri" w:eastAsia="Calibri" w:hAnsi="Calibri" w:cs="Calibri"/>
          <w:sz w:val="20"/>
          <w:szCs w:val="20"/>
          <w:lang w:val="fr-BE"/>
        </w:rPr>
        <w:t>2.</w:t>
      </w:r>
    </w:p>
    <w:p w:rsidR="00AC12B4" w:rsidRPr="00C27636" w:rsidRDefault="00C27636">
      <w:pPr>
        <w:spacing w:line="20" w:lineRule="exact"/>
        <w:rPr>
          <w:rFonts w:ascii="Calibri" w:eastAsia="Calibri" w:hAnsi="Calibri" w:cs="Calibri"/>
          <w:b/>
          <w:bCs/>
          <w:i/>
          <w:iCs/>
          <w:color w:val="EAF1DD"/>
          <w:sz w:val="18"/>
          <w:szCs w:val="18"/>
          <w:lang w:val="fr-BE"/>
        </w:rPr>
      </w:pPr>
      <w:r>
        <w:rPr>
          <w:rFonts w:ascii="Calibri" w:eastAsia="Calibri" w:hAnsi="Calibri" w:cs="Calibri"/>
          <w:b/>
          <w:bCs/>
          <w:i/>
          <w:iCs/>
          <w:noProof/>
          <w:color w:val="EAF1DD"/>
          <w:sz w:val="18"/>
          <w:szCs w:val="18"/>
        </w:rPr>
        <mc:AlternateContent>
          <mc:Choice Requires="wps">
            <w:drawing>
              <wp:anchor distT="0" distB="0" distL="114300" distR="114300" simplePos="0" relativeHeight="251494912" behindDoc="1" locked="0" layoutInCell="0" allowOverlap="1">
                <wp:simplePos x="0" y="0"/>
                <wp:positionH relativeFrom="column">
                  <wp:posOffset>359410</wp:posOffset>
                </wp:positionH>
                <wp:positionV relativeFrom="paragraph">
                  <wp:posOffset>-761365</wp:posOffset>
                </wp:positionV>
                <wp:extent cx="1829435" cy="0"/>
                <wp:effectExtent l="0" t="0" r="0" b="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59.9499pt" to="172.35pt,-59.9499pt" o:allowincell="f" strokecolor="#000000" strokeweight="0.7199pt"/>
            </w:pict>
          </mc:Fallback>
        </mc:AlternateContent>
      </w:r>
    </w:p>
    <w:p w:rsidR="00AC12B4" w:rsidRPr="00C27636" w:rsidRDefault="00C27636">
      <w:pPr>
        <w:spacing w:line="20" w:lineRule="exact"/>
        <w:rPr>
          <w:rFonts w:ascii="Calibri" w:eastAsia="Calibri" w:hAnsi="Calibri" w:cs="Calibri"/>
          <w:b/>
          <w:bCs/>
          <w:i/>
          <w:iCs/>
          <w:color w:val="EAF1DD"/>
          <w:sz w:val="18"/>
          <w:szCs w:val="18"/>
          <w:lang w:val="fr-BE"/>
        </w:rPr>
      </w:pPr>
      <w:r w:rsidRPr="00C27636">
        <w:rPr>
          <w:rFonts w:ascii="Calibri" w:eastAsia="Calibri" w:hAnsi="Calibri" w:cs="Calibri"/>
          <w:b/>
          <w:bCs/>
          <w:i/>
          <w:iCs/>
          <w:color w:val="EAF1DD"/>
          <w:sz w:val="18"/>
          <w:szCs w:val="18"/>
          <w:lang w:val="fr-BE"/>
        </w:rPr>
        <w:br w:type="column"/>
      </w:r>
    </w:p>
    <w:p w:rsidR="00AC12B4" w:rsidRPr="00C27636" w:rsidRDefault="00C27636">
      <w:pPr>
        <w:spacing w:line="231" w:lineRule="auto"/>
        <w:ind w:left="8" w:right="235" w:firstLine="1349"/>
        <w:jc w:val="both"/>
        <w:rPr>
          <w:sz w:val="20"/>
          <w:szCs w:val="20"/>
          <w:lang w:val="fr-BE"/>
        </w:rPr>
      </w:pPr>
      <w:r w:rsidRPr="00C27636">
        <w:rPr>
          <w:rFonts w:ascii="Calibri" w:eastAsia="Calibri" w:hAnsi="Calibri" w:cs="Calibri"/>
          <w:lang w:val="fr-BE"/>
        </w:rPr>
        <w:t>de 92,2% en Flandre mais seulement de 80,7% en FWB et à peine 72,7% à Bruxelles. A Bruxelles, près de la moitié des parents dont les enfants n’ont pas été vaccinés déclarent ne pas</w:t>
      </w:r>
    </w:p>
    <w:p w:rsidR="00AC12B4" w:rsidRPr="00C27636" w:rsidRDefault="00C27636">
      <w:pPr>
        <w:spacing w:line="20" w:lineRule="exact"/>
        <w:rPr>
          <w:rFonts w:ascii="Calibri" w:eastAsia="Calibri" w:hAnsi="Calibri" w:cs="Calibri"/>
          <w:b/>
          <w:bCs/>
          <w:i/>
          <w:iCs/>
          <w:color w:val="EAF1DD"/>
          <w:sz w:val="18"/>
          <w:szCs w:val="18"/>
          <w:lang w:val="fr-BE"/>
        </w:rPr>
      </w:pPr>
      <w:r>
        <w:rPr>
          <w:rFonts w:ascii="Calibri" w:eastAsia="Calibri" w:hAnsi="Calibri" w:cs="Calibri"/>
          <w:b/>
          <w:bCs/>
          <w:i/>
          <w:iCs/>
          <w:noProof/>
          <w:color w:val="EAF1DD"/>
          <w:sz w:val="18"/>
          <w:szCs w:val="18"/>
        </w:rPr>
        <mc:AlternateContent>
          <mc:Choice Requires="wps">
            <w:drawing>
              <wp:anchor distT="0" distB="0" distL="114300" distR="114300" simplePos="0" relativeHeight="251495936" behindDoc="1" locked="0" layoutInCell="0" allowOverlap="1">
                <wp:simplePos x="0" y="0"/>
                <wp:positionH relativeFrom="column">
                  <wp:posOffset>0</wp:posOffset>
                </wp:positionH>
                <wp:positionV relativeFrom="paragraph">
                  <wp:posOffset>132715</wp:posOffset>
                </wp:positionV>
                <wp:extent cx="1828800" cy="0"/>
                <wp:effectExtent l="0" t="0" r="0" b="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5pt" to="144pt,10.45pt" o:allowincell="f" strokecolor="#000000" strokeweight="0.7199pt"/>
            </w:pict>
          </mc:Fallback>
        </mc:AlternateContent>
      </w:r>
    </w:p>
    <w:p w:rsidR="00AC12B4" w:rsidRPr="00C27636" w:rsidRDefault="00AC12B4">
      <w:pPr>
        <w:spacing w:line="341" w:lineRule="exact"/>
        <w:rPr>
          <w:rFonts w:ascii="Calibri" w:eastAsia="Calibri" w:hAnsi="Calibri" w:cs="Calibri"/>
          <w:b/>
          <w:bCs/>
          <w:i/>
          <w:iCs/>
          <w:color w:val="EAF1DD"/>
          <w:sz w:val="18"/>
          <w:szCs w:val="18"/>
          <w:lang w:val="fr-BE"/>
        </w:rPr>
      </w:pPr>
    </w:p>
    <w:p w:rsidR="00AC12B4" w:rsidRDefault="00C27636">
      <w:pPr>
        <w:numPr>
          <w:ilvl w:val="0"/>
          <w:numId w:val="90"/>
        </w:numPr>
        <w:tabs>
          <w:tab w:val="left" w:pos="108"/>
        </w:tabs>
        <w:ind w:left="108" w:hanging="108"/>
        <w:rPr>
          <w:rFonts w:ascii="Calibri" w:eastAsia="Calibri" w:hAnsi="Calibri" w:cs="Calibri"/>
          <w:sz w:val="20"/>
          <w:szCs w:val="20"/>
        </w:rPr>
      </w:pPr>
      <w:r>
        <w:rPr>
          <w:rFonts w:ascii="Calibri" w:eastAsia="Calibri" w:hAnsi="Calibri" w:cs="Calibri"/>
          <w:sz w:val="20"/>
          <w:szCs w:val="20"/>
        </w:rPr>
        <w:t xml:space="preserve">Cf. </w:t>
      </w:r>
      <w:hyperlink r:id="rId88">
        <w:r>
          <w:rPr>
            <w:rFonts w:ascii="Calibri" w:eastAsia="Calibri" w:hAnsi="Calibri" w:cs="Calibri"/>
            <w:color w:val="0000FF"/>
            <w:sz w:val="20"/>
            <w:szCs w:val="20"/>
            <w:u w:val="single"/>
          </w:rPr>
          <w:t>http://www.vaccination-info.be/</w:t>
        </w:r>
      </w:hyperlink>
    </w:p>
    <w:p w:rsidR="00AC12B4" w:rsidRDefault="00C27636">
      <w:pPr>
        <w:spacing w:line="20" w:lineRule="exact"/>
        <w:rPr>
          <w:rFonts w:ascii="Calibri" w:eastAsia="Calibri" w:hAnsi="Calibri" w:cs="Calibri"/>
          <w:b/>
          <w:bCs/>
          <w:i/>
          <w:iCs/>
          <w:color w:val="EAF1DD"/>
          <w:sz w:val="18"/>
          <w:szCs w:val="18"/>
        </w:rPr>
      </w:pPr>
      <w:r>
        <w:rPr>
          <w:rFonts w:ascii="Calibri" w:eastAsia="Calibri" w:hAnsi="Calibri" w:cs="Calibri"/>
          <w:b/>
          <w:bCs/>
          <w:i/>
          <w:iCs/>
          <w:color w:val="EAF1DD"/>
          <w:sz w:val="18"/>
          <w:szCs w:val="18"/>
        </w:rPr>
        <w:br w:type="column"/>
      </w:r>
    </w:p>
    <w:p w:rsidR="00AC12B4" w:rsidRDefault="00AC12B4">
      <w:pPr>
        <w:spacing w:line="124" w:lineRule="exact"/>
        <w:rPr>
          <w:rFonts w:ascii="Calibri" w:eastAsia="Calibri" w:hAnsi="Calibri" w:cs="Calibri"/>
          <w:b/>
          <w:bCs/>
          <w:i/>
          <w:iCs/>
          <w:color w:val="EAF1DD"/>
          <w:sz w:val="18"/>
          <w:szCs w:val="18"/>
        </w:rPr>
      </w:pPr>
    </w:p>
    <w:tbl>
      <w:tblPr>
        <w:tblW w:w="0" w:type="auto"/>
        <w:tblLayout w:type="fixed"/>
        <w:tblCellMar>
          <w:left w:w="0" w:type="dxa"/>
          <w:right w:w="0" w:type="dxa"/>
        </w:tblCellMar>
        <w:tblLook w:val="04A0" w:firstRow="1" w:lastRow="0" w:firstColumn="1" w:lastColumn="0" w:noHBand="0" w:noVBand="1"/>
      </w:tblPr>
      <w:tblGrid>
        <w:gridCol w:w="85"/>
      </w:tblGrid>
      <w:tr w:rsidR="00AC12B4" w:rsidRPr="00C27636">
        <w:trPr>
          <w:trHeight w:val="2080"/>
        </w:trPr>
        <w:tc>
          <w:tcPr>
            <w:tcW w:w="85"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7"/>
                <w:szCs w:val="7"/>
                <w:lang w:val="fr-BE"/>
              </w:rPr>
              <w:t>Le droit à la santé</w:t>
            </w:r>
          </w:p>
        </w:tc>
      </w:tr>
    </w:tbl>
    <w:p w:rsidR="00AC12B4" w:rsidRPr="00C27636" w:rsidRDefault="00AC12B4">
      <w:pPr>
        <w:spacing w:line="1" w:lineRule="exact"/>
        <w:rPr>
          <w:rFonts w:ascii="Calibri" w:eastAsia="Calibri" w:hAnsi="Calibri" w:cs="Calibri"/>
          <w:b/>
          <w:bCs/>
          <w:i/>
          <w:iCs/>
          <w:color w:val="EAF1DD"/>
          <w:sz w:val="18"/>
          <w:szCs w:val="18"/>
          <w:lang w:val="fr-BE"/>
        </w:rPr>
      </w:pPr>
    </w:p>
    <w:p w:rsidR="00AC12B4" w:rsidRPr="00C27636" w:rsidRDefault="00AC12B4">
      <w:pPr>
        <w:rPr>
          <w:lang w:val="fr-BE"/>
        </w:rPr>
        <w:sectPr w:rsidR="00AC12B4" w:rsidRPr="00C27636">
          <w:type w:val="continuous"/>
          <w:pgSz w:w="12080" w:h="17179"/>
          <w:pgMar w:top="1440" w:right="557" w:bottom="659" w:left="1440" w:header="0" w:footer="0" w:gutter="0"/>
          <w:cols w:num="3" w:space="720" w:equalWidth="0">
            <w:col w:w="4440" w:space="712"/>
            <w:col w:w="4123" w:space="720"/>
            <w:col w:w="85"/>
          </w:cols>
        </w:sectPr>
      </w:pPr>
    </w:p>
    <w:p w:rsidR="00AC12B4" w:rsidRDefault="00C27636">
      <w:pPr>
        <w:spacing w:line="229" w:lineRule="auto"/>
        <w:ind w:right="480"/>
        <w:jc w:val="center"/>
        <w:rPr>
          <w:sz w:val="20"/>
          <w:szCs w:val="20"/>
        </w:rPr>
      </w:pPr>
      <w:r>
        <w:rPr>
          <w:rFonts w:ascii="Calibri" w:eastAsia="Calibri" w:hAnsi="Calibri" w:cs="Calibri"/>
        </w:rPr>
        <w:lastRenderedPageBreak/>
        <w:t>71</w:t>
      </w:r>
    </w:p>
    <w:p w:rsidR="00AC12B4" w:rsidRDefault="00AC12B4">
      <w:pPr>
        <w:sectPr w:rsidR="00AC12B4">
          <w:type w:val="continuous"/>
          <w:pgSz w:w="12080" w:h="17179"/>
          <w:pgMar w:top="1440" w:right="557" w:bottom="659" w:left="1440" w:header="0" w:footer="0" w:gutter="0"/>
          <w:cols w:space="720" w:equalWidth="0">
            <w:col w:w="10080"/>
          </w:cols>
        </w:sectPr>
      </w:pPr>
    </w:p>
    <w:p w:rsidR="00AC12B4" w:rsidRDefault="00C27636">
      <w:pPr>
        <w:spacing w:line="200" w:lineRule="exact"/>
        <w:rPr>
          <w:sz w:val="20"/>
          <w:szCs w:val="20"/>
        </w:rPr>
      </w:pPr>
      <w:bookmarkStart w:id="71" w:name="page72"/>
      <w:bookmarkEnd w:id="71"/>
      <w:r>
        <w:rPr>
          <w:noProof/>
          <w:sz w:val="20"/>
          <w:szCs w:val="20"/>
        </w:rPr>
        <w:lastRenderedPageBreak/>
        <w:drawing>
          <wp:anchor distT="0" distB="0" distL="114300" distR="114300" simplePos="0" relativeHeight="251496960" behindDoc="1" locked="0" layoutInCell="0" allowOverlap="1">
            <wp:simplePos x="0" y="0"/>
            <wp:positionH relativeFrom="page">
              <wp:posOffset>0</wp:posOffset>
            </wp:positionH>
            <wp:positionV relativeFrom="page">
              <wp:posOffset>0</wp:posOffset>
            </wp:positionV>
            <wp:extent cx="804545" cy="10908665"/>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89">
                      <a:clrChange>
                        <a:clrFrom>
                          <a:srgbClr val="FFFFFF"/>
                        </a:clrFrom>
                        <a:clrTo>
                          <a:srgbClr val="FFFFFF">
                            <a:alpha val="0"/>
                          </a:srgbClr>
                        </a:clrTo>
                      </a:clrChange>
                      <a:extLst/>
                    </a:blip>
                    <a:srcRect/>
                    <a:stretch>
                      <a:fillRect/>
                    </a:stretch>
                  </pic:blipFill>
                  <pic:spPr bwMode="auto">
                    <a:xfrm>
                      <a:off x="0" y="0"/>
                      <a:ext cx="804545" cy="10908665"/>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4" w:lineRule="exact"/>
        <w:rPr>
          <w:sz w:val="20"/>
          <w:szCs w:val="20"/>
          <w:lang w:val="fr-BE"/>
        </w:rPr>
      </w:pPr>
    </w:p>
    <w:p w:rsidR="00AC12B4" w:rsidRPr="00C27636" w:rsidRDefault="00C27636">
      <w:pPr>
        <w:ind w:left="900"/>
        <w:rPr>
          <w:sz w:val="20"/>
          <w:szCs w:val="20"/>
          <w:lang w:val="fr-BE"/>
        </w:rPr>
      </w:pPr>
      <w:r w:rsidRPr="00C27636">
        <w:rPr>
          <w:rFonts w:ascii="Calibri" w:eastAsia="Calibri" w:hAnsi="Calibri" w:cs="Calibri"/>
          <w:b/>
          <w:bCs/>
          <w:color w:val="4F81BD"/>
          <w:sz w:val="18"/>
          <w:szCs w:val="18"/>
          <w:lang w:val="fr-BE"/>
        </w:rPr>
        <w:t xml:space="preserve">Figure 2. CSS: Calendrier </w:t>
      </w:r>
      <w:r w:rsidRPr="00C27636">
        <w:rPr>
          <w:rFonts w:ascii="Calibri" w:eastAsia="Calibri" w:hAnsi="Calibri" w:cs="Calibri"/>
          <w:b/>
          <w:bCs/>
          <w:color w:val="4F81BD"/>
          <w:sz w:val="18"/>
          <w:szCs w:val="18"/>
          <w:lang w:val="fr-BE"/>
        </w:rPr>
        <w:t>vaccinal de base</w:t>
      </w:r>
    </w:p>
    <w:p w:rsidR="00AC12B4" w:rsidRPr="00C27636" w:rsidRDefault="00AC12B4">
      <w:pPr>
        <w:spacing w:line="266" w:lineRule="exact"/>
        <w:rPr>
          <w:sz w:val="20"/>
          <w:szCs w:val="20"/>
          <w:lang w:val="fr-BE"/>
        </w:rPr>
      </w:pPr>
    </w:p>
    <w:p w:rsidR="00AC12B4" w:rsidRPr="00C27636" w:rsidRDefault="00C27636">
      <w:pPr>
        <w:spacing w:line="218" w:lineRule="auto"/>
        <w:ind w:right="460"/>
        <w:jc w:val="both"/>
        <w:rPr>
          <w:sz w:val="20"/>
          <w:szCs w:val="20"/>
          <w:lang w:val="fr-BE"/>
        </w:rPr>
      </w:pPr>
      <w:r w:rsidRPr="00C27636">
        <w:rPr>
          <w:rFonts w:ascii="Calibri" w:eastAsia="Calibri" w:hAnsi="Calibri" w:cs="Calibri"/>
          <w:lang w:val="fr-BE"/>
        </w:rPr>
        <w:t>connaître le vaccin ou que celui-ci n’a pas été proposé par le médecin.</w:t>
      </w:r>
    </w:p>
    <w:p w:rsidR="00AC12B4" w:rsidRPr="00C27636" w:rsidRDefault="00AC12B4">
      <w:pPr>
        <w:spacing w:line="209" w:lineRule="exact"/>
        <w:rPr>
          <w:sz w:val="20"/>
          <w:szCs w:val="20"/>
          <w:lang w:val="fr-BE"/>
        </w:rPr>
      </w:pPr>
    </w:p>
    <w:p w:rsidR="00AC12B4" w:rsidRPr="00C27636" w:rsidRDefault="00C27636">
      <w:pPr>
        <w:spacing w:line="275" w:lineRule="auto"/>
        <w:ind w:right="460"/>
        <w:jc w:val="both"/>
        <w:rPr>
          <w:sz w:val="20"/>
          <w:szCs w:val="20"/>
          <w:lang w:val="fr-BE"/>
        </w:rPr>
      </w:pPr>
      <w:r w:rsidRPr="00C27636">
        <w:rPr>
          <w:rFonts w:ascii="Cambria" w:eastAsia="Cambria" w:hAnsi="Cambria" w:cs="Cambria"/>
          <w:b/>
          <w:bCs/>
          <w:i/>
          <w:iCs/>
          <w:color w:val="919715"/>
          <w:sz w:val="26"/>
          <w:szCs w:val="26"/>
          <w:lang w:val="fr-BE"/>
        </w:rPr>
        <w:t>Une protection individuelle et collective</w:t>
      </w:r>
    </w:p>
    <w:p w:rsidR="00AC12B4" w:rsidRPr="00C27636" w:rsidRDefault="00AC12B4">
      <w:pPr>
        <w:spacing w:line="164" w:lineRule="exact"/>
        <w:rPr>
          <w:sz w:val="20"/>
          <w:szCs w:val="20"/>
          <w:lang w:val="fr-BE"/>
        </w:rPr>
      </w:pPr>
    </w:p>
    <w:p w:rsidR="00AC12B4" w:rsidRPr="00C27636" w:rsidRDefault="00C27636">
      <w:pPr>
        <w:spacing w:line="235" w:lineRule="auto"/>
        <w:ind w:right="460"/>
        <w:jc w:val="both"/>
        <w:rPr>
          <w:sz w:val="20"/>
          <w:szCs w:val="20"/>
          <w:lang w:val="fr-BE"/>
        </w:rPr>
      </w:pPr>
      <w:r w:rsidRPr="00C27636">
        <w:rPr>
          <w:rFonts w:ascii="Calibri" w:eastAsia="Calibri" w:hAnsi="Calibri" w:cs="Calibri"/>
          <w:lang w:val="fr-BE"/>
        </w:rPr>
        <w:t>La vaccination est d’abord une protection individuelle contre certaines maladies. Mais ce n’est pas tout. En plus de cette</w:t>
      </w:r>
      <w:r w:rsidRPr="00C27636">
        <w:rPr>
          <w:rFonts w:ascii="Calibri" w:eastAsia="Calibri" w:hAnsi="Calibri" w:cs="Calibri"/>
          <w:lang w:val="fr-BE"/>
        </w:rPr>
        <w:t xml:space="preserve"> protection individuelle, au-dessus d’une certaine couverture vaccinale de la population, celle-ci devient une protection collective, en empêchant la propagation de la maladie et protégeant par ce fait les personnes dans l’incapacité d’être vaccinées (pour</w:t>
      </w:r>
      <w:r w:rsidRPr="00C27636">
        <w:rPr>
          <w:rFonts w:ascii="Calibri" w:eastAsia="Calibri" w:hAnsi="Calibri" w:cs="Calibri"/>
          <w:lang w:val="fr-BE"/>
        </w:rPr>
        <w:t xml:space="preserve"> des raisons d’ordre médical par exemple). Cette couverture minimale est appelée seuil critique d’immunité collective et dépend de la propension de la maladie à se transmettre de personne à personne</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w:t>
      </w:r>
    </w:p>
    <w:p w:rsidR="00AC12B4" w:rsidRPr="00C27636" w:rsidRDefault="00AC12B4">
      <w:pPr>
        <w:spacing w:line="144" w:lineRule="exact"/>
        <w:rPr>
          <w:sz w:val="20"/>
          <w:szCs w:val="20"/>
          <w:lang w:val="fr-BE"/>
        </w:rPr>
      </w:pPr>
    </w:p>
    <w:p w:rsidR="00AC12B4" w:rsidRPr="00C27636" w:rsidRDefault="00C27636">
      <w:pPr>
        <w:spacing w:line="225" w:lineRule="auto"/>
        <w:ind w:right="460"/>
        <w:jc w:val="both"/>
        <w:rPr>
          <w:sz w:val="20"/>
          <w:szCs w:val="20"/>
          <w:lang w:val="fr-BE"/>
        </w:rPr>
      </w:pPr>
      <w:r w:rsidRPr="00C27636">
        <w:rPr>
          <w:rFonts w:ascii="Calibri" w:eastAsia="Calibri" w:hAnsi="Calibri" w:cs="Calibri"/>
          <w:lang w:val="fr-BE"/>
        </w:rPr>
        <w:t xml:space="preserve">En FWB (excepté Bruxelles) et en Communauté flamande, </w:t>
      </w:r>
      <w:r w:rsidRPr="00C27636">
        <w:rPr>
          <w:rFonts w:ascii="Calibri" w:eastAsia="Calibri" w:hAnsi="Calibri" w:cs="Calibri"/>
          <w:lang w:val="fr-BE"/>
        </w:rPr>
        <w:t>ces seuils sont atteints sauf pour la Coqueluche et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497984" behindDoc="1" locked="0" layoutInCell="0" allowOverlap="1">
                <wp:simplePos x="0" y="0"/>
                <wp:positionH relativeFrom="column">
                  <wp:posOffset>0</wp:posOffset>
                </wp:positionH>
                <wp:positionV relativeFrom="paragraph">
                  <wp:posOffset>269875</wp:posOffset>
                </wp:positionV>
                <wp:extent cx="1828800" cy="0"/>
                <wp:effectExtent l="0" t="0" r="0" b="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25pt" to="144pt,21.2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356" w:lineRule="exact"/>
        <w:rPr>
          <w:sz w:val="20"/>
          <w:szCs w:val="20"/>
          <w:lang w:val="fr-BE"/>
        </w:rPr>
      </w:pPr>
    </w:p>
    <w:p w:rsidR="00AC12B4" w:rsidRPr="00C27636" w:rsidRDefault="00C27636">
      <w:pPr>
        <w:numPr>
          <w:ilvl w:val="0"/>
          <w:numId w:val="91"/>
        </w:numPr>
        <w:tabs>
          <w:tab w:val="left" w:pos="120"/>
        </w:tabs>
        <w:ind w:left="120" w:hanging="12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Ne s’applique pas au tétanos.</w:t>
      </w:r>
    </w:p>
    <w:p w:rsidR="00AC12B4" w:rsidRPr="00C27636" w:rsidRDefault="00AC12B4">
      <w:pPr>
        <w:spacing w:line="241"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72</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9"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l’Haemophilus Influenzae de type b (Hib) (PROVAC 2012).</w:t>
      </w:r>
    </w:p>
    <w:p w:rsidR="00AC12B4" w:rsidRPr="00C27636" w:rsidRDefault="00C27636">
      <w:pPr>
        <w:spacing w:line="20" w:lineRule="exact"/>
        <w:rPr>
          <w:sz w:val="20"/>
          <w:szCs w:val="20"/>
          <w:lang w:val="fr-BE"/>
        </w:rPr>
      </w:pPr>
      <w:r>
        <w:rPr>
          <w:noProof/>
          <w:sz w:val="20"/>
          <w:szCs w:val="20"/>
        </w:rPr>
        <w:lastRenderedPageBreak/>
        <w:drawing>
          <wp:anchor distT="0" distB="0" distL="114300" distR="114300" simplePos="0" relativeHeight="251499008" behindDoc="1" locked="0" layoutInCell="0" allowOverlap="1">
            <wp:simplePos x="0" y="0"/>
            <wp:positionH relativeFrom="column">
              <wp:posOffset>-2336800</wp:posOffset>
            </wp:positionH>
            <wp:positionV relativeFrom="paragraph">
              <wp:posOffset>-4474845</wp:posOffset>
            </wp:positionV>
            <wp:extent cx="5030470" cy="4139565"/>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0">
                      <a:extLst/>
                    </a:blip>
                    <a:srcRect/>
                    <a:stretch>
                      <a:fillRect/>
                    </a:stretch>
                  </pic:blipFill>
                  <pic:spPr bwMode="auto">
                    <a:xfrm>
                      <a:off x="0" y="0"/>
                      <a:ext cx="5030470" cy="4139565"/>
                    </a:xfrm>
                    <a:prstGeom prst="rect">
                      <a:avLst/>
                    </a:prstGeom>
                    <a:noFill/>
                  </pic:spPr>
                </pic:pic>
              </a:graphicData>
            </a:graphic>
          </wp:anchor>
        </w:drawing>
      </w:r>
    </w:p>
    <w:p w:rsidR="00AC12B4" w:rsidRPr="00C27636" w:rsidRDefault="00AC12B4">
      <w:pPr>
        <w:spacing w:line="150" w:lineRule="exact"/>
        <w:rPr>
          <w:sz w:val="20"/>
          <w:szCs w:val="20"/>
          <w:lang w:val="fr-BE"/>
        </w:rPr>
      </w:pPr>
    </w:p>
    <w:p w:rsidR="00AC12B4" w:rsidRPr="00C27636" w:rsidRDefault="00C27636">
      <w:pPr>
        <w:spacing w:line="231" w:lineRule="auto"/>
        <w:ind w:right="737"/>
        <w:jc w:val="both"/>
        <w:rPr>
          <w:sz w:val="20"/>
          <w:szCs w:val="20"/>
          <w:lang w:val="fr-BE"/>
        </w:rPr>
      </w:pPr>
      <w:r w:rsidRPr="00C27636">
        <w:rPr>
          <w:rFonts w:ascii="Calibri" w:eastAsia="Calibri" w:hAnsi="Calibri" w:cs="Calibri"/>
          <w:lang w:val="fr-BE"/>
        </w:rPr>
        <w:t xml:space="preserve">A Bruxelles, le seuil n’est également pas atteint pour l’Hib, il est </w:t>
      </w:r>
      <w:r w:rsidRPr="00C27636">
        <w:rPr>
          <w:rFonts w:ascii="Calibri" w:eastAsia="Calibri" w:hAnsi="Calibri" w:cs="Calibri"/>
          <w:lang w:val="fr-BE"/>
        </w:rPr>
        <w:t>limite pour la Polio et le DTP (les limites inférieures des intervalles de confiance restent en deçà du seuil critique).</w:t>
      </w:r>
    </w:p>
    <w:p w:rsidR="00AC12B4" w:rsidRPr="00C27636" w:rsidRDefault="00AC12B4">
      <w:pPr>
        <w:spacing w:line="209"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919715"/>
          <w:sz w:val="26"/>
          <w:szCs w:val="26"/>
          <w:lang w:val="fr-BE"/>
        </w:rPr>
        <w:t>Evolution</w:t>
      </w:r>
    </w:p>
    <w:p w:rsidR="00AC12B4" w:rsidRPr="00C27636" w:rsidRDefault="00AC12B4">
      <w:pPr>
        <w:spacing w:line="208"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lang w:val="fr-BE"/>
        </w:rPr>
        <w:t>Une nouvelle enquête Provac a été réalisée en FWB en 2015. Les couvertures vaccinales sont restées relativement stables par</w:t>
      </w:r>
      <w:r w:rsidRPr="00C27636">
        <w:rPr>
          <w:rFonts w:ascii="Calibri" w:eastAsia="Calibri" w:hAnsi="Calibri" w:cs="Calibri"/>
          <w:lang w:val="fr-BE"/>
        </w:rPr>
        <w:t xml:space="preserve"> rapport à 2012, mais la couverture Rotavirus a bien augmenté, atteignant à présent 87,2%.</w:t>
      </w:r>
    </w:p>
    <w:p w:rsidR="00AC12B4" w:rsidRPr="00C27636" w:rsidRDefault="00AC12B4">
      <w:pPr>
        <w:spacing w:line="210"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919715"/>
          <w:sz w:val="26"/>
          <w:szCs w:val="26"/>
          <w:lang w:val="fr-BE"/>
        </w:rPr>
        <w:t>D’où viennent ces chiffres ?</w:t>
      </w:r>
    </w:p>
    <w:p w:rsidR="00AC12B4" w:rsidRPr="00C27636" w:rsidRDefault="00AC12B4">
      <w:pPr>
        <w:spacing w:line="210" w:lineRule="exact"/>
        <w:rPr>
          <w:sz w:val="20"/>
          <w:szCs w:val="20"/>
          <w:lang w:val="fr-BE"/>
        </w:rPr>
      </w:pPr>
    </w:p>
    <w:p w:rsidR="00AC12B4" w:rsidRPr="00C27636" w:rsidRDefault="00C27636">
      <w:pPr>
        <w:spacing w:line="230" w:lineRule="auto"/>
        <w:ind w:right="737"/>
        <w:jc w:val="both"/>
        <w:rPr>
          <w:sz w:val="20"/>
          <w:szCs w:val="20"/>
          <w:lang w:val="fr-BE"/>
        </w:rPr>
      </w:pPr>
      <w:r w:rsidRPr="00C27636">
        <w:rPr>
          <w:rFonts w:ascii="Calibri" w:eastAsia="Calibri" w:hAnsi="Calibri" w:cs="Calibri"/>
          <w:lang w:val="fr-BE"/>
        </w:rPr>
        <w:t>Trois enquêtes de couverture vaccinale ont lieu en Belgique en 2012. Il s’agit des enquêtes PROVAC en FWB et à Bruxelles, ainsi que la</w:t>
      </w:r>
      <w:r w:rsidRPr="00C27636">
        <w:rPr>
          <w:rFonts w:ascii="Calibri" w:eastAsia="Calibri" w:hAnsi="Calibri" w:cs="Calibri"/>
          <w:lang w:val="fr-BE"/>
        </w:rPr>
        <w:t xml:space="preserve"> vaccinatiegraadstudie en Communauté Flamande.</w:t>
      </w:r>
    </w:p>
    <w:p w:rsidR="00AC12B4" w:rsidRPr="00C27636" w:rsidRDefault="00AC12B4">
      <w:pPr>
        <w:spacing w:line="175"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En Communauté germanophone, seul le seuil de vaccination des 0-3 ans qui fréquentent la consultation volontaire (87% en 2014) est connu.</w:t>
      </w:r>
    </w:p>
    <w:p w:rsidR="00AC12B4" w:rsidRPr="00C27636" w:rsidRDefault="00AC12B4">
      <w:pPr>
        <w:rPr>
          <w:lang w:val="fr-BE"/>
        </w:rPr>
        <w:sectPr w:rsidR="00AC12B4" w:rsidRPr="00C27636">
          <w:pgSz w:w="12080" w:h="17179"/>
          <w:pgMar w:top="1440" w:right="1440" w:bottom="659" w:left="478" w:header="0" w:footer="0" w:gutter="0"/>
          <w:cols w:num="3" w:space="720" w:equalWidth="0">
            <w:col w:w="342" w:space="620"/>
            <w:col w:w="4340" w:space="240"/>
            <w:col w:w="4617"/>
          </w:cols>
        </w:sectPr>
      </w:pPr>
    </w:p>
    <w:p w:rsidR="00AC12B4" w:rsidRPr="00C27636" w:rsidRDefault="00AC12B4">
      <w:pPr>
        <w:spacing w:line="212" w:lineRule="exact"/>
        <w:rPr>
          <w:sz w:val="20"/>
          <w:szCs w:val="20"/>
          <w:lang w:val="fr-BE"/>
        </w:rPr>
      </w:pPr>
      <w:bookmarkStart w:id="72" w:name="page73"/>
      <w:bookmarkEnd w:id="72"/>
    </w:p>
    <w:p w:rsidR="00AC12B4" w:rsidRPr="00C27636" w:rsidRDefault="00C27636">
      <w:pPr>
        <w:spacing w:line="233" w:lineRule="auto"/>
        <w:ind w:left="560" w:right="480"/>
        <w:jc w:val="both"/>
        <w:rPr>
          <w:sz w:val="20"/>
          <w:szCs w:val="20"/>
          <w:lang w:val="fr-BE"/>
        </w:rPr>
      </w:pPr>
      <w:r w:rsidRPr="00C27636">
        <w:rPr>
          <w:rFonts w:ascii="Calibri" w:eastAsia="Calibri" w:hAnsi="Calibri" w:cs="Calibri"/>
          <w:lang w:val="fr-BE"/>
        </w:rPr>
        <w:t>L’introduction de la plate-forme E-Vax e</w:t>
      </w:r>
      <w:r w:rsidRPr="00C27636">
        <w:rPr>
          <w:rFonts w:ascii="Calibri" w:eastAsia="Calibri" w:hAnsi="Calibri" w:cs="Calibri"/>
          <w:lang w:val="fr-BE"/>
        </w:rPr>
        <w:t>n FWB, identique à Vaccinnet en Flandre, permettra à terme d’avoir une vue sur l’ensemble des vaccinations, aussi celles appliquées par le médecin généraliste et le pédiatre, quand tous les vaccinateurs l’utiliseront.</w:t>
      </w:r>
    </w:p>
    <w:p w:rsidR="00AC12B4" w:rsidRPr="00C27636" w:rsidRDefault="00AC12B4">
      <w:pPr>
        <w:spacing w:line="132" w:lineRule="exact"/>
        <w:rPr>
          <w:sz w:val="20"/>
          <w:szCs w:val="20"/>
          <w:lang w:val="fr-BE"/>
        </w:rPr>
      </w:pPr>
    </w:p>
    <w:p w:rsidR="00AC12B4" w:rsidRDefault="00C27636">
      <w:pPr>
        <w:numPr>
          <w:ilvl w:val="0"/>
          <w:numId w:val="92"/>
        </w:numPr>
        <w:tabs>
          <w:tab w:val="left" w:pos="1280"/>
        </w:tabs>
        <w:ind w:left="1280" w:hanging="353"/>
        <w:rPr>
          <w:rFonts w:ascii="Wingdings" w:eastAsia="Wingdings" w:hAnsi="Wingdings" w:cs="Wingdings"/>
          <w:color w:val="C9D11D"/>
        </w:rPr>
      </w:pPr>
      <w:r>
        <w:rPr>
          <w:rFonts w:ascii="Cambria" w:eastAsia="Cambria" w:hAnsi="Cambria" w:cs="Cambria"/>
          <w:i/>
          <w:iCs/>
          <w:color w:val="C9D11D"/>
        </w:rPr>
        <w:t>Enquête Provac</w:t>
      </w:r>
    </w:p>
    <w:p w:rsidR="00AC12B4" w:rsidRDefault="00AC12B4">
      <w:pPr>
        <w:spacing w:line="202" w:lineRule="exact"/>
        <w:rPr>
          <w:sz w:val="20"/>
          <w:szCs w:val="20"/>
        </w:rPr>
      </w:pPr>
    </w:p>
    <w:p w:rsidR="00AC12B4" w:rsidRPr="00C27636" w:rsidRDefault="00C27636">
      <w:pPr>
        <w:spacing w:line="230" w:lineRule="auto"/>
        <w:ind w:left="560" w:right="480"/>
        <w:jc w:val="both"/>
        <w:rPr>
          <w:sz w:val="20"/>
          <w:szCs w:val="20"/>
          <w:lang w:val="fr-BE"/>
        </w:rPr>
      </w:pPr>
      <w:r w:rsidRPr="00C27636">
        <w:rPr>
          <w:rFonts w:ascii="Calibri" w:eastAsia="Calibri" w:hAnsi="Calibri" w:cs="Calibri"/>
          <w:lang w:val="fr-BE"/>
        </w:rPr>
        <w:t>L’enquête PROVAC a li</w:t>
      </w:r>
      <w:r w:rsidRPr="00C27636">
        <w:rPr>
          <w:rFonts w:ascii="Calibri" w:eastAsia="Calibri" w:hAnsi="Calibri" w:cs="Calibri"/>
          <w:lang w:val="fr-BE"/>
        </w:rPr>
        <w:t>eu en FWB tous les 3 ans. Pour la vaccination des nourrissons, un échantillon de 1260 enfants de 18 à 24 mois a été utilisé (dont 600 pour Bruxelles).</w:t>
      </w:r>
    </w:p>
    <w:p w:rsidR="00AC12B4" w:rsidRPr="00C27636" w:rsidRDefault="00AC12B4">
      <w:pPr>
        <w:spacing w:line="133" w:lineRule="exact"/>
        <w:rPr>
          <w:sz w:val="20"/>
          <w:szCs w:val="20"/>
          <w:lang w:val="fr-BE"/>
        </w:rPr>
      </w:pPr>
    </w:p>
    <w:p w:rsidR="00AC12B4" w:rsidRDefault="00C27636">
      <w:pPr>
        <w:numPr>
          <w:ilvl w:val="0"/>
          <w:numId w:val="93"/>
        </w:numPr>
        <w:tabs>
          <w:tab w:val="left" w:pos="1280"/>
        </w:tabs>
        <w:ind w:left="1280" w:hanging="353"/>
        <w:rPr>
          <w:rFonts w:ascii="Wingdings" w:eastAsia="Wingdings" w:hAnsi="Wingdings" w:cs="Wingdings"/>
          <w:color w:val="C9D11D"/>
        </w:rPr>
      </w:pPr>
      <w:r>
        <w:rPr>
          <w:rFonts w:ascii="Cambria" w:eastAsia="Cambria" w:hAnsi="Cambria" w:cs="Cambria"/>
          <w:i/>
          <w:iCs/>
          <w:color w:val="C9D11D"/>
        </w:rPr>
        <w:t>La vaccinatiegraadstudie</w:t>
      </w:r>
    </w:p>
    <w:p w:rsidR="00AC12B4" w:rsidRDefault="00AC12B4">
      <w:pPr>
        <w:spacing w:line="202" w:lineRule="exact"/>
        <w:rPr>
          <w:sz w:val="20"/>
          <w:szCs w:val="20"/>
        </w:rPr>
      </w:pPr>
    </w:p>
    <w:p w:rsidR="00AC12B4" w:rsidRPr="00C27636" w:rsidRDefault="00C27636">
      <w:pPr>
        <w:spacing w:line="232" w:lineRule="auto"/>
        <w:ind w:left="560" w:right="480"/>
        <w:jc w:val="both"/>
        <w:rPr>
          <w:sz w:val="20"/>
          <w:szCs w:val="20"/>
          <w:lang w:val="fr-BE"/>
        </w:rPr>
      </w:pPr>
      <w:r w:rsidRPr="00C27636">
        <w:rPr>
          <w:rFonts w:ascii="Calibri" w:eastAsia="Calibri" w:hAnsi="Calibri" w:cs="Calibri"/>
          <w:lang w:val="fr-BE"/>
        </w:rPr>
        <w:t xml:space="preserve">La Vaccinatiegraadstudie flamande est également réalisée environ tous les 3 </w:t>
      </w:r>
      <w:r w:rsidRPr="00C27636">
        <w:rPr>
          <w:rFonts w:ascii="Calibri" w:eastAsia="Calibri" w:hAnsi="Calibri" w:cs="Calibri"/>
          <w:lang w:val="fr-BE"/>
        </w:rPr>
        <w:t>ans (2005, 2008 et 2012). Quant à la vaccination de nourrissons (âgés de 18 à 24 mois), la UA et la KULeuven ont utilisé un échantillon de 874 familles.</w:t>
      </w:r>
    </w:p>
    <w:p w:rsidR="00AC12B4" w:rsidRPr="00C27636" w:rsidRDefault="00AC12B4">
      <w:pPr>
        <w:spacing w:line="128" w:lineRule="exact"/>
        <w:rPr>
          <w:sz w:val="20"/>
          <w:szCs w:val="20"/>
          <w:lang w:val="fr-BE"/>
        </w:rPr>
      </w:pPr>
    </w:p>
    <w:p w:rsidR="00AC12B4" w:rsidRDefault="00C27636">
      <w:pPr>
        <w:numPr>
          <w:ilvl w:val="0"/>
          <w:numId w:val="94"/>
        </w:numPr>
        <w:tabs>
          <w:tab w:val="left" w:pos="1280"/>
        </w:tabs>
        <w:ind w:left="1280" w:hanging="353"/>
        <w:rPr>
          <w:rFonts w:ascii="Wingdings" w:eastAsia="Wingdings" w:hAnsi="Wingdings" w:cs="Wingdings"/>
          <w:color w:val="C9D11D"/>
        </w:rPr>
      </w:pPr>
      <w:r>
        <w:rPr>
          <w:rFonts w:ascii="Cambria" w:eastAsia="Cambria" w:hAnsi="Cambria" w:cs="Cambria"/>
          <w:color w:val="C9D11D"/>
          <w:sz w:val="24"/>
          <w:szCs w:val="24"/>
        </w:rPr>
        <w:t>Limites de la mesure</w:t>
      </w:r>
    </w:p>
    <w:p w:rsidR="00AC12B4" w:rsidRDefault="00AC12B4">
      <w:pPr>
        <w:spacing w:line="207" w:lineRule="exact"/>
        <w:rPr>
          <w:sz w:val="20"/>
          <w:szCs w:val="20"/>
        </w:rPr>
      </w:pPr>
    </w:p>
    <w:p w:rsidR="00AC12B4" w:rsidRPr="00C27636" w:rsidRDefault="00C27636">
      <w:pPr>
        <w:spacing w:line="232" w:lineRule="auto"/>
        <w:ind w:left="560" w:right="480"/>
        <w:jc w:val="both"/>
        <w:rPr>
          <w:sz w:val="20"/>
          <w:szCs w:val="20"/>
          <w:lang w:val="fr-BE"/>
        </w:rPr>
      </w:pPr>
      <w:r w:rsidRPr="00C27636">
        <w:rPr>
          <w:rFonts w:ascii="Calibri" w:eastAsia="Calibri" w:hAnsi="Calibri" w:cs="Calibri"/>
          <w:lang w:val="fr-BE"/>
        </w:rPr>
        <w:t>Seuls les enfants inscrits au Registre National peuvent faire partie de l’échant</w:t>
      </w:r>
      <w:r w:rsidRPr="00C27636">
        <w:rPr>
          <w:rFonts w:ascii="Calibri" w:eastAsia="Calibri" w:hAnsi="Calibri" w:cs="Calibri"/>
          <w:lang w:val="fr-BE"/>
        </w:rPr>
        <w:t>illon des enquêtes de vaccination. Les enfants en séjour illégal ou ceux sans domicile fixe ne sont pas pris en compte dans ces enquêtes.</w:t>
      </w:r>
    </w:p>
    <w:p w:rsidR="00AC12B4" w:rsidRPr="00C27636" w:rsidRDefault="00AC12B4">
      <w:pPr>
        <w:spacing w:line="210" w:lineRule="exact"/>
        <w:rPr>
          <w:sz w:val="20"/>
          <w:szCs w:val="20"/>
          <w:lang w:val="fr-BE"/>
        </w:rPr>
      </w:pPr>
    </w:p>
    <w:p w:rsidR="00AC12B4" w:rsidRDefault="00C27636">
      <w:pPr>
        <w:ind w:left="560"/>
        <w:rPr>
          <w:sz w:val="20"/>
          <w:szCs w:val="20"/>
        </w:rPr>
      </w:pPr>
      <w:r>
        <w:rPr>
          <w:rFonts w:ascii="Cambria" w:eastAsia="Cambria" w:hAnsi="Cambria" w:cs="Cambria"/>
          <w:b/>
          <w:bCs/>
          <w:i/>
          <w:iCs/>
          <w:color w:val="919715"/>
          <w:sz w:val="26"/>
          <w:szCs w:val="26"/>
        </w:rPr>
        <w:t>Pour aller plus loin</w:t>
      </w:r>
    </w:p>
    <w:p w:rsidR="00AC12B4" w:rsidRDefault="00AC12B4">
      <w:pPr>
        <w:spacing w:line="222" w:lineRule="exact"/>
        <w:rPr>
          <w:sz w:val="20"/>
          <w:szCs w:val="20"/>
        </w:rPr>
      </w:pPr>
    </w:p>
    <w:p w:rsidR="00AC12B4" w:rsidRPr="00C27636" w:rsidRDefault="00C27636">
      <w:pPr>
        <w:numPr>
          <w:ilvl w:val="1"/>
          <w:numId w:val="95"/>
        </w:numPr>
        <w:tabs>
          <w:tab w:val="left" w:pos="1000"/>
        </w:tabs>
        <w:spacing w:line="266" w:lineRule="auto"/>
        <w:ind w:left="1000" w:right="480" w:hanging="366"/>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Refus « par principe » des parents: </w:t>
      </w:r>
      <w:r w:rsidRPr="00C27636">
        <w:rPr>
          <w:rFonts w:ascii="Calibri" w:eastAsia="Calibri" w:hAnsi="Calibri" w:cs="Calibri"/>
          <w:color w:val="000000"/>
          <w:sz w:val="20"/>
          <w:szCs w:val="20"/>
          <w:lang w:val="fr-BE"/>
        </w:rPr>
        <w:t>Certains enfants ne sont pas vaccinés non pas par non infor</w:t>
      </w:r>
      <w:r w:rsidRPr="00C27636">
        <w:rPr>
          <w:rFonts w:ascii="Calibri" w:eastAsia="Calibri" w:hAnsi="Calibri" w:cs="Calibri"/>
          <w:color w:val="000000"/>
          <w:sz w:val="20"/>
          <w:szCs w:val="20"/>
          <w:lang w:val="fr-BE"/>
        </w:rPr>
        <w:t>mation ou non accessibilité des vaccins mais par refus des parents. Toutefois, selon les enquêtes, ce refus catégorique reste marginal et ne dépasse pas les 2% toutes</w:t>
      </w:r>
    </w:p>
    <w:p w:rsidR="00AC12B4" w:rsidRPr="00C27636" w:rsidRDefault="00AC12B4">
      <w:pPr>
        <w:spacing w:line="57" w:lineRule="exact"/>
        <w:rPr>
          <w:rFonts w:ascii="Symbol" w:eastAsia="Symbol" w:hAnsi="Symbol" w:cs="Symbol"/>
          <w:sz w:val="20"/>
          <w:szCs w:val="20"/>
          <w:lang w:val="fr-BE"/>
        </w:rPr>
      </w:pPr>
    </w:p>
    <w:p w:rsidR="00AC12B4" w:rsidRPr="00C27636" w:rsidRDefault="00C27636">
      <w:pPr>
        <w:spacing w:line="222" w:lineRule="auto"/>
        <w:ind w:left="1000" w:right="480"/>
        <w:rPr>
          <w:rFonts w:ascii="Symbol" w:eastAsia="Symbol" w:hAnsi="Symbol" w:cs="Symbol"/>
          <w:sz w:val="20"/>
          <w:szCs w:val="20"/>
          <w:lang w:val="fr-BE"/>
        </w:rPr>
      </w:pPr>
      <w:r w:rsidRPr="00C27636">
        <w:rPr>
          <w:rFonts w:ascii="Calibri" w:eastAsia="Calibri" w:hAnsi="Calibri" w:cs="Calibri"/>
          <w:sz w:val="20"/>
          <w:szCs w:val="20"/>
          <w:lang w:val="fr-BE"/>
        </w:rPr>
        <w:t>vaccinations confondues pour la FWB et les 3,8% en Flandre</w:t>
      </w: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w:t>
      </w:r>
    </w:p>
    <w:p w:rsidR="00AC12B4" w:rsidRPr="00C27636" w:rsidRDefault="00AC12B4">
      <w:pPr>
        <w:spacing w:line="207" w:lineRule="exact"/>
        <w:rPr>
          <w:rFonts w:ascii="Symbol" w:eastAsia="Symbol" w:hAnsi="Symbol" w:cs="Symbol"/>
          <w:sz w:val="20"/>
          <w:szCs w:val="20"/>
          <w:lang w:val="fr-BE"/>
        </w:rPr>
      </w:pPr>
    </w:p>
    <w:p w:rsidR="00AC12B4" w:rsidRDefault="00C27636">
      <w:pPr>
        <w:numPr>
          <w:ilvl w:val="0"/>
          <w:numId w:val="95"/>
        </w:numPr>
        <w:tabs>
          <w:tab w:val="left" w:pos="1000"/>
        </w:tabs>
        <w:ind w:left="1000" w:hanging="433"/>
        <w:rPr>
          <w:rFonts w:ascii="Symbol" w:eastAsia="Symbol" w:hAnsi="Symbol" w:cs="Symbol"/>
          <w:sz w:val="20"/>
          <w:szCs w:val="20"/>
        </w:rPr>
      </w:pPr>
      <w:r>
        <w:rPr>
          <w:rFonts w:ascii="Calibri" w:eastAsia="Calibri" w:hAnsi="Calibri" w:cs="Calibri"/>
          <w:b/>
          <w:bCs/>
          <w:i/>
          <w:iCs/>
          <w:color w:val="9BBB59"/>
          <w:sz w:val="20"/>
          <w:szCs w:val="20"/>
        </w:rPr>
        <w:t xml:space="preserve">Couverture vaccinale </w:t>
      </w:r>
      <w:r>
        <w:rPr>
          <w:rFonts w:ascii="Calibri" w:eastAsia="Calibri" w:hAnsi="Calibri" w:cs="Calibri"/>
          <w:b/>
          <w:bCs/>
          <w:i/>
          <w:iCs/>
          <w:color w:val="9BBB59"/>
          <w:sz w:val="20"/>
          <w:szCs w:val="20"/>
        </w:rPr>
        <w:t>reprenant les refus</w:t>
      </w:r>
    </w:p>
    <w:p w:rsidR="00AC12B4" w:rsidRDefault="00AC12B4">
      <w:pPr>
        <w:spacing w:line="83" w:lineRule="exact"/>
        <w:rPr>
          <w:sz w:val="20"/>
          <w:szCs w:val="20"/>
        </w:rPr>
      </w:pPr>
    </w:p>
    <w:p w:rsidR="00AC12B4" w:rsidRPr="00C27636" w:rsidRDefault="00C27636">
      <w:pPr>
        <w:spacing w:line="253" w:lineRule="auto"/>
        <w:ind w:left="1000" w:right="480"/>
        <w:jc w:val="both"/>
        <w:rPr>
          <w:sz w:val="20"/>
          <w:szCs w:val="20"/>
          <w:lang w:val="fr-BE"/>
        </w:rPr>
      </w:pPr>
      <w:r w:rsidRPr="00C27636">
        <w:rPr>
          <w:rFonts w:ascii="Calibri" w:eastAsia="Calibri" w:hAnsi="Calibri" w:cs="Calibri"/>
          <w:b/>
          <w:bCs/>
          <w:i/>
          <w:iCs/>
          <w:color w:val="9BBB59"/>
          <w:sz w:val="20"/>
          <w:szCs w:val="20"/>
          <w:lang w:val="fr-BE"/>
        </w:rPr>
        <w:t xml:space="preserve">de répondre à l’enquête : </w:t>
      </w:r>
      <w:r w:rsidRPr="00C27636">
        <w:rPr>
          <w:rFonts w:ascii="Calibri" w:eastAsia="Calibri" w:hAnsi="Calibri" w:cs="Calibri"/>
          <w:color w:val="000000"/>
          <w:sz w:val="20"/>
          <w:szCs w:val="20"/>
          <w:lang w:val="fr-BE"/>
        </w:rPr>
        <w:t>l’OMS</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recommande de considérer comme non vaccinés les enfants dont les parents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00032" behindDoc="1" locked="0" layoutInCell="0" allowOverlap="1">
                <wp:simplePos x="0" y="0"/>
                <wp:positionH relativeFrom="column">
                  <wp:posOffset>359410</wp:posOffset>
                </wp:positionH>
                <wp:positionV relativeFrom="paragraph">
                  <wp:posOffset>179070</wp:posOffset>
                </wp:positionV>
                <wp:extent cx="1829435" cy="0"/>
                <wp:effectExtent l="0" t="0" r="0" b="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4.1pt" to="172.35pt,14.1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13" w:lineRule="exact"/>
        <w:rPr>
          <w:sz w:val="20"/>
          <w:szCs w:val="20"/>
          <w:lang w:val="fr-BE"/>
        </w:rPr>
      </w:pPr>
    </w:p>
    <w:p w:rsidR="00AC12B4" w:rsidRPr="00C27636" w:rsidRDefault="00C27636">
      <w:pPr>
        <w:numPr>
          <w:ilvl w:val="0"/>
          <w:numId w:val="96"/>
        </w:numPr>
        <w:tabs>
          <w:tab w:val="left" w:pos="720"/>
        </w:tabs>
        <w:ind w:left="720" w:hanging="153"/>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A l’exception du vaccin contre le Rotavirus</w:t>
      </w:r>
    </w:p>
    <w:p w:rsidR="00AC12B4" w:rsidRPr="00C27636" w:rsidRDefault="00AC12B4">
      <w:pPr>
        <w:spacing w:line="47" w:lineRule="exact"/>
        <w:rPr>
          <w:rFonts w:ascii="Calibri" w:eastAsia="Calibri" w:hAnsi="Calibri" w:cs="Calibri"/>
          <w:sz w:val="26"/>
          <w:szCs w:val="26"/>
          <w:vertAlign w:val="superscript"/>
          <w:lang w:val="fr-BE"/>
        </w:rPr>
      </w:pPr>
    </w:p>
    <w:p w:rsidR="00AC12B4" w:rsidRPr="00C27636" w:rsidRDefault="00C27636">
      <w:pPr>
        <w:spacing w:line="217" w:lineRule="auto"/>
        <w:ind w:left="560" w:right="48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(4% en FWB et 27% en Flandre) et, en Flandre, aussi du vaccin contre RRO (14%).</w:t>
      </w:r>
    </w:p>
    <w:p w:rsidR="00AC12B4" w:rsidRPr="00C27636" w:rsidRDefault="00AC12B4">
      <w:pPr>
        <w:spacing w:line="242"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73</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1" w:lineRule="exact"/>
        <w:rPr>
          <w:sz w:val="20"/>
          <w:szCs w:val="20"/>
          <w:lang w:val="fr-BE"/>
        </w:rPr>
      </w:pPr>
    </w:p>
    <w:p w:rsidR="00AC12B4" w:rsidRPr="00C27636" w:rsidRDefault="00C27636">
      <w:pPr>
        <w:spacing w:line="270" w:lineRule="auto"/>
        <w:ind w:left="361" w:right="59"/>
        <w:jc w:val="both"/>
        <w:rPr>
          <w:sz w:val="20"/>
          <w:szCs w:val="20"/>
          <w:lang w:val="fr-BE"/>
        </w:rPr>
      </w:pPr>
      <w:r w:rsidRPr="00C27636">
        <w:rPr>
          <w:rFonts w:ascii="Calibri" w:eastAsia="Calibri" w:hAnsi="Calibri" w:cs="Calibri"/>
          <w:sz w:val="20"/>
          <w:szCs w:val="20"/>
          <w:lang w:val="fr-BE"/>
        </w:rPr>
        <w:t>refusent de répondre à une enquête de vaccination. Si l’on suit cette recommandation, le taux de couverture vaccinale chute fortement (moins 7% en Flandre, moins 9% en FWB (excepté Bruxelles) et moins 4.5% à Bruxelles). Il s’agit alors du pire scénar</w:t>
      </w:r>
      <w:r w:rsidRPr="00C27636">
        <w:rPr>
          <w:rFonts w:ascii="Calibri" w:eastAsia="Calibri" w:hAnsi="Calibri" w:cs="Calibri"/>
          <w:sz w:val="20"/>
          <w:szCs w:val="20"/>
          <w:lang w:val="fr-BE"/>
        </w:rPr>
        <w:t>io. Le taux réel de vaccination se situe très certainement entre ces deux données.</w:t>
      </w:r>
    </w:p>
    <w:p w:rsidR="00AC12B4" w:rsidRPr="00C27636" w:rsidRDefault="00AC12B4">
      <w:pPr>
        <w:spacing w:line="130" w:lineRule="exact"/>
        <w:rPr>
          <w:sz w:val="20"/>
          <w:szCs w:val="20"/>
          <w:lang w:val="fr-BE"/>
        </w:rPr>
      </w:pPr>
    </w:p>
    <w:p w:rsidR="00AC12B4" w:rsidRDefault="00C27636">
      <w:pPr>
        <w:numPr>
          <w:ilvl w:val="0"/>
          <w:numId w:val="97"/>
        </w:numPr>
        <w:tabs>
          <w:tab w:val="left" w:pos="361"/>
        </w:tabs>
        <w:ind w:left="361" w:hanging="361"/>
        <w:rPr>
          <w:rFonts w:ascii="Symbol" w:eastAsia="Symbol" w:hAnsi="Symbol" w:cs="Symbol"/>
          <w:sz w:val="20"/>
          <w:szCs w:val="20"/>
        </w:rPr>
      </w:pPr>
      <w:r>
        <w:rPr>
          <w:rFonts w:ascii="Calibri" w:eastAsia="Calibri" w:hAnsi="Calibri" w:cs="Calibri"/>
          <w:b/>
          <w:bCs/>
          <w:i/>
          <w:iCs/>
          <w:color w:val="9BBB59"/>
          <w:sz w:val="20"/>
          <w:szCs w:val="20"/>
        </w:rPr>
        <w:t>Enquête Provac :</w:t>
      </w:r>
    </w:p>
    <w:p w:rsidR="00AC12B4" w:rsidRDefault="00AC12B4">
      <w:pPr>
        <w:spacing w:line="81" w:lineRule="exact"/>
        <w:rPr>
          <w:sz w:val="20"/>
          <w:szCs w:val="20"/>
        </w:rPr>
      </w:pPr>
    </w:p>
    <w:p w:rsidR="00AC12B4" w:rsidRPr="00C27636" w:rsidRDefault="00C27636">
      <w:pPr>
        <w:numPr>
          <w:ilvl w:val="0"/>
          <w:numId w:val="98"/>
        </w:numPr>
        <w:tabs>
          <w:tab w:val="left" w:pos="861"/>
        </w:tabs>
        <w:spacing w:line="232" w:lineRule="auto"/>
        <w:ind w:left="861" w:right="59" w:hanging="362"/>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 xml:space="preserve">Robert, E., Swennen, B. </w:t>
      </w:r>
      <w:r w:rsidRPr="00C27636">
        <w:rPr>
          <w:rFonts w:ascii="Calibri" w:eastAsia="Calibri" w:hAnsi="Calibri" w:cs="Calibri"/>
          <w:i/>
          <w:iCs/>
          <w:sz w:val="20"/>
          <w:szCs w:val="20"/>
          <w:lang w:val="fr-BE"/>
        </w:rPr>
        <w:t>Enquête de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couverture vaccinale en Fédération</w:t>
      </w:r>
    </w:p>
    <w:p w:rsidR="00AC12B4" w:rsidRPr="00C27636" w:rsidRDefault="00AC12B4">
      <w:pPr>
        <w:spacing w:line="36" w:lineRule="exact"/>
        <w:rPr>
          <w:rFonts w:ascii="Courier New" w:eastAsia="Courier New" w:hAnsi="Courier New" w:cs="Courier New"/>
          <w:sz w:val="20"/>
          <w:szCs w:val="20"/>
          <w:lang w:val="fr-BE"/>
        </w:rPr>
      </w:pPr>
    </w:p>
    <w:p w:rsidR="00AC12B4" w:rsidRPr="00C27636" w:rsidRDefault="00C27636">
      <w:pPr>
        <w:ind w:left="861"/>
        <w:rPr>
          <w:rFonts w:ascii="Courier New" w:eastAsia="Courier New" w:hAnsi="Courier New" w:cs="Courier New"/>
          <w:sz w:val="20"/>
          <w:szCs w:val="20"/>
          <w:lang w:val="fr-BE"/>
        </w:rPr>
      </w:pPr>
      <w:r w:rsidRPr="00C27636">
        <w:rPr>
          <w:rFonts w:ascii="Calibri" w:eastAsia="Calibri" w:hAnsi="Calibri" w:cs="Calibri"/>
          <w:i/>
          <w:iCs/>
          <w:sz w:val="20"/>
          <w:szCs w:val="20"/>
          <w:lang w:val="fr-BE"/>
        </w:rPr>
        <w:t>Wallonie-Bruxelles,</w:t>
      </w:r>
      <w:r w:rsidRPr="00C27636">
        <w:rPr>
          <w:rFonts w:ascii="Calibri" w:eastAsia="Calibri" w:hAnsi="Calibri" w:cs="Calibri"/>
          <w:i/>
          <w:iCs/>
          <w:sz w:val="19"/>
          <w:szCs w:val="19"/>
          <w:lang w:val="fr-BE"/>
        </w:rPr>
        <w:t>Bruxelles</w:t>
      </w:r>
    </w:p>
    <w:p w:rsidR="00AC12B4" w:rsidRPr="00C27636" w:rsidRDefault="00AC12B4">
      <w:pPr>
        <w:spacing w:line="37" w:lineRule="exact"/>
        <w:rPr>
          <w:sz w:val="20"/>
          <w:szCs w:val="20"/>
          <w:lang w:val="fr-BE"/>
        </w:rPr>
      </w:pPr>
    </w:p>
    <w:p w:rsidR="00AC12B4" w:rsidRPr="00C27636" w:rsidRDefault="00C27636">
      <w:pPr>
        <w:ind w:left="861"/>
        <w:rPr>
          <w:sz w:val="20"/>
          <w:szCs w:val="20"/>
          <w:lang w:val="fr-BE"/>
        </w:rPr>
      </w:pPr>
      <w:r w:rsidRPr="00C27636">
        <w:rPr>
          <w:rFonts w:ascii="Calibri" w:eastAsia="Calibri" w:hAnsi="Calibri" w:cs="Calibri"/>
          <w:i/>
          <w:iCs/>
          <w:sz w:val="20"/>
          <w:szCs w:val="20"/>
          <w:lang w:val="fr-BE"/>
        </w:rPr>
        <w:t xml:space="preserve">excepté, </w:t>
      </w:r>
      <w:r w:rsidRPr="00C27636">
        <w:rPr>
          <w:rFonts w:ascii="Calibri" w:eastAsia="Calibri" w:hAnsi="Calibri" w:cs="Calibri"/>
          <w:sz w:val="20"/>
          <w:szCs w:val="20"/>
          <w:lang w:val="fr-BE"/>
        </w:rPr>
        <w:t>ULB, 2012 et 2015.</w:t>
      </w:r>
    </w:p>
    <w:p w:rsidR="00AC12B4" w:rsidRPr="00C27636" w:rsidRDefault="00AC12B4">
      <w:pPr>
        <w:spacing w:line="83" w:lineRule="exact"/>
        <w:rPr>
          <w:sz w:val="20"/>
          <w:szCs w:val="20"/>
          <w:lang w:val="fr-BE"/>
        </w:rPr>
      </w:pPr>
    </w:p>
    <w:p w:rsidR="00AC12B4" w:rsidRPr="00C27636" w:rsidRDefault="00C27636">
      <w:pPr>
        <w:numPr>
          <w:ilvl w:val="1"/>
          <w:numId w:val="99"/>
        </w:numPr>
        <w:tabs>
          <w:tab w:val="left" w:pos="861"/>
        </w:tabs>
        <w:spacing w:line="249" w:lineRule="auto"/>
        <w:ind w:left="861" w:right="59" w:hanging="362"/>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 xml:space="preserve">Robert, E., Swennen, B., </w:t>
      </w:r>
      <w:r w:rsidRPr="00C27636">
        <w:rPr>
          <w:rFonts w:ascii="Calibri" w:eastAsia="Calibri" w:hAnsi="Calibri" w:cs="Calibri"/>
          <w:i/>
          <w:iCs/>
          <w:sz w:val="20"/>
          <w:szCs w:val="20"/>
          <w:lang w:val="fr-BE"/>
        </w:rPr>
        <w:t>Couverture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vaccinale en Région de Bruxelles-Capitale</w:t>
      </w:r>
      <w:r w:rsidRPr="00C27636">
        <w:rPr>
          <w:rFonts w:ascii="Calibri" w:eastAsia="Calibri" w:hAnsi="Calibri" w:cs="Calibri"/>
          <w:sz w:val="20"/>
          <w:szCs w:val="20"/>
          <w:lang w:val="fr-BE"/>
        </w:rPr>
        <w:t>, ULB-ESP, 2012.</w:t>
      </w:r>
    </w:p>
    <w:p w:rsidR="00AC12B4" w:rsidRPr="00C27636" w:rsidRDefault="00AC12B4">
      <w:pPr>
        <w:spacing w:line="30" w:lineRule="exact"/>
        <w:rPr>
          <w:rFonts w:ascii="Courier New" w:eastAsia="Courier New" w:hAnsi="Courier New" w:cs="Courier New"/>
          <w:sz w:val="20"/>
          <w:szCs w:val="20"/>
          <w:lang w:val="fr-BE"/>
        </w:rPr>
      </w:pPr>
    </w:p>
    <w:p w:rsidR="00AC12B4" w:rsidRDefault="00C27636">
      <w:pPr>
        <w:numPr>
          <w:ilvl w:val="0"/>
          <w:numId w:val="99"/>
        </w:numPr>
        <w:tabs>
          <w:tab w:val="left" w:pos="361"/>
        </w:tabs>
        <w:ind w:left="361" w:hanging="361"/>
        <w:rPr>
          <w:rFonts w:ascii="Symbol" w:eastAsia="Symbol" w:hAnsi="Symbol" w:cs="Symbol"/>
          <w:sz w:val="20"/>
          <w:szCs w:val="20"/>
        </w:rPr>
      </w:pPr>
      <w:r>
        <w:rPr>
          <w:rFonts w:ascii="Calibri" w:eastAsia="Calibri" w:hAnsi="Calibri" w:cs="Calibri"/>
          <w:b/>
          <w:bCs/>
          <w:i/>
          <w:iCs/>
          <w:color w:val="9BBB59"/>
          <w:sz w:val="20"/>
          <w:szCs w:val="20"/>
        </w:rPr>
        <w:t>Vaccinatiegraadstudie :</w:t>
      </w:r>
    </w:p>
    <w:p w:rsidR="00AC12B4" w:rsidRDefault="00AC12B4">
      <w:pPr>
        <w:spacing w:line="80" w:lineRule="exact"/>
        <w:rPr>
          <w:rFonts w:ascii="Symbol" w:eastAsia="Symbol" w:hAnsi="Symbol" w:cs="Symbol"/>
          <w:sz w:val="20"/>
          <w:szCs w:val="20"/>
        </w:rPr>
      </w:pPr>
    </w:p>
    <w:p w:rsidR="00AC12B4" w:rsidRPr="00C27636" w:rsidRDefault="00C27636">
      <w:pPr>
        <w:numPr>
          <w:ilvl w:val="1"/>
          <w:numId w:val="99"/>
        </w:numPr>
        <w:tabs>
          <w:tab w:val="left" w:pos="861"/>
        </w:tabs>
        <w:spacing w:line="262" w:lineRule="auto"/>
        <w:ind w:left="861" w:right="59" w:hanging="362"/>
        <w:jc w:val="both"/>
        <w:rPr>
          <w:rFonts w:ascii="Courier New" w:eastAsia="Courier New" w:hAnsi="Courier New" w:cs="Courier New"/>
          <w:sz w:val="20"/>
          <w:szCs w:val="20"/>
          <w:lang w:val="nl-NL"/>
        </w:rPr>
      </w:pPr>
      <w:r w:rsidRPr="00C27636">
        <w:rPr>
          <w:rFonts w:ascii="Calibri" w:eastAsia="Calibri" w:hAnsi="Calibri" w:cs="Calibri"/>
          <w:sz w:val="20"/>
          <w:szCs w:val="20"/>
          <w:lang w:val="nl-NL"/>
        </w:rPr>
        <w:t xml:space="preserve">Hoppenbrouwers, K., Van Damme, P. et al., </w:t>
      </w:r>
      <w:r w:rsidRPr="00C27636">
        <w:rPr>
          <w:rFonts w:ascii="Calibri" w:eastAsia="Calibri" w:hAnsi="Calibri" w:cs="Calibri"/>
          <w:i/>
          <w:iCs/>
          <w:sz w:val="20"/>
          <w:szCs w:val="20"/>
          <w:lang w:val="nl-NL"/>
        </w:rPr>
        <w:t>Studie van de</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 xml:space="preserve">vaccinatiegraad bij jonge kinderen en adolescenten in Vlaanderen in 2012, </w:t>
      </w:r>
      <w:r w:rsidRPr="00C27636">
        <w:rPr>
          <w:rFonts w:ascii="Calibri" w:eastAsia="Calibri" w:hAnsi="Calibri" w:cs="Calibri"/>
          <w:sz w:val="20"/>
          <w:szCs w:val="20"/>
          <w:lang w:val="nl-NL"/>
        </w:rPr>
        <w:t xml:space="preserve">UA en </w:t>
      </w:r>
      <w:r w:rsidRPr="00C27636">
        <w:rPr>
          <w:rFonts w:ascii="Calibri" w:eastAsia="Calibri" w:hAnsi="Calibri" w:cs="Calibri"/>
          <w:sz w:val="20"/>
          <w:szCs w:val="20"/>
          <w:lang w:val="nl-NL"/>
        </w:rPr>
        <w:t>K.U. Leuven, 2013.</w:t>
      </w:r>
    </w:p>
    <w:p w:rsidR="00AC12B4" w:rsidRPr="00C27636" w:rsidRDefault="00C27636">
      <w:pPr>
        <w:spacing w:line="20" w:lineRule="exact"/>
        <w:rPr>
          <w:sz w:val="20"/>
          <w:szCs w:val="20"/>
          <w:lang w:val="nl-NL"/>
        </w:rPr>
      </w:pPr>
      <w:r w:rsidRPr="00C27636">
        <w:rPr>
          <w:sz w:val="20"/>
          <w:szCs w:val="20"/>
          <w:lang w:val="nl-NL"/>
        </w:rPr>
        <w:br w:type="column"/>
      </w: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359" w:lineRule="exact"/>
        <w:rPr>
          <w:sz w:val="20"/>
          <w:szCs w:val="20"/>
          <w:lang w:val="nl-NL"/>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01056"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6" w:bottom="659" w:left="1440" w:header="0" w:footer="0" w:gutter="0"/>
          <w:cols w:num="3" w:space="720" w:equalWidth="0">
            <w:col w:w="4920" w:space="299"/>
            <w:col w:w="3860" w:space="720"/>
            <w:col w:w="342"/>
          </w:cols>
        </w:sectPr>
      </w:pPr>
    </w:p>
    <w:p w:rsidR="00AC12B4" w:rsidRPr="00C27636" w:rsidRDefault="00AC12B4">
      <w:pPr>
        <w:spacing w:line="20" w:lineRule="exact"/>
        <w:rPr>
          <w:sz w:val="20"/>
          <w:szCs w:val="20"/>
          <w:lang w:val="fr-BE"/>
        </w:rPr>
      </w:pPr>
      <w:bookmarkStart w:id="73" w:name="page74"/>
      <w:bookmarkEnd w:id="73"/>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spacing w:line="168" w:lineRule="exact"/>
        <w:rPr>
          <w:sz w:val="20"/>
          <w:szCs w:val="20"/>
          <w:lang w:val="fr-BE"/>
        </w:rPr>
      </w:pPr>
      <w:bookmarkStart w:id="74" w:name="page75"/>
      <w:bookmarkEnd w:id="74"/>
    </w:p>
    <w:p w:rsidR="00AC12B4" w:rsidRPr="00C27636" w:rsidRDefault="00C27636">
      <w:pPr>
        <w:ind w:left="1460"/>
        <w:rPr>
          <w:sz w:val="20"/>
          <w:szCs w:val="20"/>
          <w:lang w:val="fr-BE"/>
        </w:rPr>
      </w:pPr>
      <w:r w:rsidRPr="00C27636">
        <w:rPr>
          <w:rFonts w:ascii="Comic Sans MS" w:eastAsia="Comic Sans MS" w:hAnsi="Comic Sans MS" w:cs="Comic Sans MS"/>
          <w:color w:val="C9D11D"/>
          <w:sz w:val="40"/>
          <w:szCs w:val="40"/>
          <w:lang w:val="fr-BE"/>
        </w:rPr>
        <w:t>S5. Postposition de soins de santé</w:t>
      </w:r>
    </w:p>
    <w:p w:rsidR="00AC12B4" w:rsidRPr="00C27636" w:rsidRDefault="00AC12B4">
      <w:pPr>
        <w:spacing w:line="277" w:lineRule="exact"/>
        <w:rPr>
          <w:sz w:val="20"/>
          <w:szCs w:val="20"/>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6640"/>
        <w:gridCol w:w="3300"/>
        <w:gridCol w:w="20"/>
      </w:tblGrid>
      <w:tr w:rsidR="00AC12B4" w:rsidRPr="00C27636">
        <w:trPr>
          <w:trHeight w:val="151"/>
        </w:trPr>
        <w:tc>
          <w:tcPr>
            <w:tcW w:w="6640" w:type="dxa"/>
            <w:tcBorders>
              <w:bottom w:val="single" w:sz="8" w:space="0" w:color="919715"/>
            </w:tcBorders>
            <w:vAlign w:val="bottom"/>
          </w:tcPr>
          <w:p w:rsidR="00AC12B4" w:rsidRPr="00C27636" w:rsidRDefault="00AC12B4">
            <w:pPr>
              <w:rPr>
                <w:sz w:val="13"/>
                <w:szCs w:val="13"/>
                <w:lang w:val="fr-BE"/>
              </w:rPr>
            </w:pPr>
          </w:p>
        </w:tc>
        <w:tc>
          <w:tcPr>
            <w:tcW w:w="3300" w:type="dxa"/>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En 2010, le comité des droits de</w:t>
            </w:r>
          </w:p>
        </w:tc>
        <w:tc>
          <w:tcPr>
            <w:tcW w:w="0" w:type="dxa"/>
            <w:vAlign w:val="bottom"/>
          </w:tcPr>
          <w:p w:rsidR="00AC12B4" w:rsidRPr="00C27636" w:rsidRDefault="00AC12B4">
            <w:pPr>
              <w:rPr>
                <w:sz w:val="1"/>
                <w:szCs w:val="1"/>
                <w:lang w:val="fr-BE"/>
              </w:rPr>
            </w:pPr>
          </w:p>
        </w:tc>
      </w:tr>
      <w:tr w:rsidR="00AC12B4" w:rsidRPr="00C27636">
        <w:trPr>
          <w:trHeight w:val="97"/>
        </w:trPr>
        <w:tc>
          <w:tcPr>
            <w:tcW w:w="6640" w:type="dxa"/>
            <w:tcBorders>
              <w:left w:val="single" w:sz="8" w:space="0" w:color="919715"/>
              <w:right w:val="single" w:sz="8" w:space="0" w:color="919715"/>
            </w:tcBorders>
            <w:shd w:val="clear" w:color="auto" w:fill="C9D11D"/>
            <w:vAlign w:val="bottom"/>
          </w:tcPr>
          <w:p w:rsidR="00AC12B4" w:rsidRPr="00C27636" w:rsidRDefault="00AC12B4">
            <w:pPr>
              <w:rPr>
                <w:sz w:val="8"/>
                <w:szCs w:val="8"/>
                <w:lang w:val="fr-BE"/>
              </w:rPr>
            </w:pPr>
          </w:p>
        </w:tc>
        <w:tc>
          <w:tcPr>
            <w:tcW w:w="3300" w:type="dxa"/>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640" w:type="dxa"/>
            <w:vMerge w:val="restart"/>
            <w:tcBorders>
              <w:left w:val="single" w:sz="8" w:space="0" w:color="919715"/>
              <w:right w:val="single" w:sz="8" w:space="0" w:color="919715"/>
            </w:tcBorders>
            <w:shd w:val="clear" w:color="auto" w:fill="C9D11D"/>
            <w:vAlign w:val="bottom"/>
          </w:tcPr>
          <w:p w:rsidR="00AC12B4" w:rsidRDefault="00C27636">
            <w:pPr>
              <w:ind w:left="580"/>
              <w:rPr>
                <w:sz w:val="20"/>
                <w:szCs w:val="20"/>
              </w:rPr>
            </w:pPr>
            <w:r>
              <w:rPr>
                <w:rFonts w:ascii="Calibri" w:eastAsia="Calibri" w:hAnsi="Calibri" w:cs="Calibri"/>
                <w:i/>
                <w:iCs/>
                <w:color w:val="EAF1DD"/>
              </w:rPr>
              <w:t>CIDE : Article 24</w:t>
            </w:r>
          </w:p>
        </w:tc>
        <w:tc>
          <w:tcPr>
            <w:tcW w:w="3300" w:type="dxa"/>
            <w:vAlign w:val="bottom"/>
          </w:tcPr>
          <w:p w:rsidR="00AC12B4" w:rsidRPr="00C27636" w:rsidRDefault="00C27636">
            <w:pPr>
              <w:ind w:left="200"/>
              <w:rPr>
                <w:sz w:val="20"/>
                <w:szCs w:val="20"/>
                <w:lang w:val="fr-BE"/>
              </w:rPr>
            </w:pPr>
            <w:r w:rsidRPr="00C27636">
              <w:rPr>
                <w:rFonts w:ascii="Calibri" w:eastAsia="Calibri" w:hAnsi="Calibri" w:cs="Calibri"/>
                <w:lang w:val="fr-BE"/>
              </w:rPr>
              <w:t xml:space="preserve">l’Enfant  </w:t>
            </w:r>
            <w:r w:rsidRPr="00C27636">
              <w:rPr>
                <w:rFonts w:ascii="Calibri" w:eastAsia="Calibri" w:hAnsi="Calibri" w:cs="Calibri"/>
                <w:lang w:val="fr-BE"/>
              </w:rPr>
              <w:t>appelait  la  Belgique  à</w:t>
            </w:r>
          </w:p>
        </w:tc>
        <w:tc>
          <w:tcPr>
            <w:tcW w:w="0" w:type="dxa"/>
            <w:vAlign w:val="bottom"/>
          </w:tcPr>
          <w:p w:rsidR="00AC12B4" w:rsidRPr="00C27636" w:rsidRDefault="00AC12B4">
            <w:pPr>
              <w:rPr>
                <w:sz w:val="1"/>
                <w:szCs w:val="1"/>
                <w:lang w:val="fr-BE"/>
              </w:rPr>
            </w:pPr>
          </w:p>
        </w:tc>
      </w:tr>
      <w:tr w:rsidR="00AC12B4">
        <w:trPr>
          <w:trHeight w:val="154"/>
        </w:trPr>
        <w:tc>
          <w:tcPr>
            <w:tcW w:w="6640" w:type="dxa"/>
            <w:vMerge/>
            <w:tcBorders>
              <w:left w:val="single" w:sz="8" w:space="0" w:color="919715"/>
              <w:right w:val="single" w:sz="8" w:space="0" w:color="919715"/>
            </w:tcBorders>
            <w:shd w:val="clear" w:color="auto" w:fill="C9D11D"/>
            <w:vAlign w:val="bottom"/>
          </w:tcPr>
          <w:p w:rsidR="00AC12B4" w:rsidRPr="00C27636" w:rsidRDefault="00AC12B4">
            <w:pPr>
              <w:rPr>
                <w:sz w:val="13"/>
                <w:szCs w:val="13"/>
                <w:lang w:val="fr-BE"/>
              </w:rPr>
            </w:pPr>
          </w:p>
        </w:tc>
        <w:tc>
          <w:tcPr>
            <w:tcW w:w="3300" w:type="dxa"/>
            <w:vMerge w:val="restart"/>
            <w:vAlign w:val="bottom"/>
          </w:tcPr>
          <w:p w:rsidR="00AC12B4" w:rsidRDefault="00C27636">
            <w:pPr>
              <w:ind w:left="200"/>
              <w:rPr>
                <w:sz w:val="20"/>
                <w:szCs w:val="20"/>
              </w:rPr>
            </w:pPr>
            <w:r>
              <w:rPr>
                <w:rFonts w:ascii="Calibri" w:eastAsia="Calibri" w:hAnsi="Calibri" w:cs="Calibri"/>
              </w:rPr>
              <w:t xml:space="preserve">« </w:t>
            </w:r>
            <w:r>
              <w:rPr>
                <w:rFonts w:ascii="Calibri" w:eastAsia="Calibri" w:hAnsi="Calibri" w:cs="Calibri"/>
                <w:i/>
                <w:iCs/>
              </w:rPr>
              <w:t>prendre d’urgence des mesures</w:t>
            </w:r>
          </w:p>
        </w:tc>
        <w:tc>
          <w:tcPr>
            <w:tcW w:w="0" w:type="dxa"/>
            <w:vAlign w:val="bottom"/>
          </w:tcPr>
          <w:p w:rsidR="00AC12B4" w:rsidRDefault="00AC12B4">
            <w:pPr>
              <w:rPr>
                <w:sz w:val="1"/>
                <w:szCs w:val="1"/>
              </w:rPr>
            </w:pPr>
          </w:p>
        </w:tc>
      </w:tr>
      <w:tr w:rsidR="00AC12B4">
        <w:trPr>
          <w:trHeight w:val="115"/>
        </w:trPr>
        <w:tc>
          <w:tcPr>
            <w:tcW w:w="6640" w:type="dxa"/>
            <w:tcBorders>
              <w:left w:val="single" w:sz="8" w:space="0" w:color="919715"/>
              <w:right w:val="single" w:sz="8" w:space="0" w:color="919715"/>
            </w:tcBorders>
            <w:shd w:val="clear" w:color="auto" w:fill="C9D11D"/>
            <w:vAlign w:val="bottom"/>
          </w:tcPr>
          <w:p w:rsidR="00AC12B4" w:rsidRDefault="00AC12B4">
            <w:pPr>
              <w:rPr>
                <w:sz w:val="10"/>
                <w:szCs w:val="10"/>
              </w:rPr>
            </w:pPr>
          </w:p>
        </w:tc>
        <w:tc>
          <w:tcPr>
            <w:tcW w:w="3300" w:type="dxa"/>
            <w:vMerge/>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74"/>
        </w:trPr>
        <w:tc>
          <w:tcPr>
            <w:tcW w:w="6640" w:type="dxa"/>
            <w:tcBorders>
              <w:left w:val="single" w:sz="8" w:space="0" w:color="919715"/>
              <w:righ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t>1. Les États parties reconnaissent le droit de l'enfant de jouir du</w:t>
            </w:r>
          </w:p>
        </w:tc>
        <w:tc>
          <w:tcPr>
            <w:tcW w:w="3300" w:type="dxa"/>
            <w:vAlign w:val="bottom"/>
          </w:tcPr>
          <w:p w:rsidR="00AC12B4" w:rsidRDefault="00C27636">
            <w:pPr>
              <w:ind w:left="200"/>
              <w:rPr>
                <w:sz w:val="20"/>
                <w:szCs w:val="20"/>
              </w:rPr>
            </w:pPr>
            <w:r>
              <w:rPr>
                <w:rFonts w:ascii="Calibri" w:eastAsia="Calibri" w:hAnsi="Calibri" w:cs="Calibri"/>
                <w:i/>
                <w:iCs/>
              </w:rPr>
              <w:t>ciblées pour […] garantir l’accès</w:t>
            </w:r>
          </w:p>
        </w:tc>
        <w:tc>
          <w:tcPr>
            <w:tcW w:w="0" w:type="dxa"/>
            <w:vAlign w:val="bottom"/>
          </w:tcPr>
          <w:p w:rsidR="00AC12B4" w:rsidRDefault="00AC12B4">
            <w:pPr>
              <w:rPr>
                <w:sz w:val="1"/>
                <w:szCs w:val="1"/>
              </w:rPr>
            </w:pPr>
          </w:p>
        </w:tc>
      </w:tr>
      <w:tr w:rsidR="00AC12B4" w:rsidRPr="00C27636">
        <w:trPr>
          <w:trHeight w:val="269"/>
        </w:trPr>
        <w:tc>
          <w:tcPr>
            <w:tcW w:w="6640" w:type="dxa"/>
            <w:tcBorders>
              <w:left w:val="single" w:sz="8" w:space="0" w:color="919715"/>
              <w:righ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t>meilleur état de santé possible et de bénéficier de services</w:t>
            </w:r>
          </w:p>
        </w:tc>
        <w:tc>
          <w:tcPr>
            <w:tcW w:w="3300" w:type="dxa"/>
            <w:vAlign w:val="bottom"/>
          </w:tcPr>
          <w:p w:rsidR="00AC12B4" w:rsidRPr="00C27636" w:rsidRDefault="00C27636">
            <w:pPr>
              <w:spacing w:line="263" w:lineRule="exact"/>
              <w:ind w:left="200"/>
              <w:rPr>
                <w:sz w:val="20"/>
                <w:szCs w:val="20"/>
                <w:lang w:val="fr-BE"/>
              </w:rPr>
            </w:pPr>
            <w:r w:rsidRPr="00C27636">
              <w:rPr>
                <w:rFonts w:ascii="Calibri" w:eastAsia="Calibri" w:hAnsi="Calibri" w:cs="Calibri"/>
                <w:i/>
                <w:iCs/>
                <w:lang w:val="fr-BE"/>
              </w:rPr>
              <w:t xml:space="preserve">aux services de santé à </w:t>
            </w:r>
            <w:r w:rsidRPr="00C27636">
              <w:rPr>
                <w:rFonts w:ascii="Calibri" w:eastAsia="Calibri" w:hAnsi="Calibri" w:cs="Calibri"/>
                <w:i/>
                <w:iCs/>
                <w:lang w:val="fr-BE"/>
              </w:rPr>
              <w:t>tous les</w:t>
            </w:r>
          </w:p>
        </w:tc>
        <w:tc>
          <w:tcPr>
            <w:tcW w:w="0" w:type="dxa"/>
            <w:vAlign w:val="bottom"/>
          </w:tcPr>
          <w:p w:rsidR="00AC12B4" w:rsidRPr="00C27636" w:rsidRDefault="00AC12B4">
            <w:pPr>
              <w:rPr>
                <w:sz w:val="1"/>
                <w:szCs w:val="1"/>
                <w:lang w:val="fr-BE"/>
              </w:rPr>
            </w:pPr>
          </w:p>
        </w:tc>
      </w:tr>
      <w:tr w:rsidR="00AC12B4" w:rsidRPr="00C27636">
        <w:trPr>
          <w:trHeight w:val="269"/>
        </w:trPr>
        <w:tc>
          <w:tcPr>
            <w:tcW w:w="6640" w:type="dxa"/>
            <w:tcBorders>
              <w:left w:val="single" w:sz="8" w:space="0" w:color="919715"/>
              <w:righ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t xml:space="preserve">médicaux et de rééducation. Ils s'efforcent de </w:t>
            </w:r>
            <w:r w:rsidRPr="00C27636">
              <w:rPr>
                <w:rFonts w:ascii="Calibri" w:eastAsia="Calibri" w:hAnsi="Calibri" w:cs="Calibri"/>
                <w:b/>
                <w:bCs/>
                <w:i/>
                <w:iCs/>
                <w:color w:val="EAF1DD"/>
                <w:lang w:val="fr-BE"/>
              </w:rPr>
              <w:t>garantir qu'aucun</w:t>
            </w:r>
          </w:p>
        </w:tc>
        <w:tc>
          <w:tcPr>
            <w:tcW w:w="3300" w:type="dxa"/>
            <w:vAlign w:val="bottom"/>
          </w:tcPr>
          <w:p w:rsidR="00AC12B4" w:rsidRPr="00C27636" w:rsidRDefault="00C27636">
            <w:pPr>
              <w:spacing w:line="263" w:lineRule="exact"/>
              <w:ind w:left="200"/>
              <w:rPr>
                <w:sz w:val="20"/>
                <w:szCs w:val="20"/>
                <w:lang w:val="fr-BE"/>
              </w:rPr>
            </w:pPr>
            <w:r w:rsidRPr="00C27636">
              <w:rPr>
                <w:rFonts w:ascii="Calibri" w:eastAsia="Calibri" w:hAnsi="Calibri" w:cs="Calibri"/>
                <w:i/>
                <w:iCs/>
                <w:lang w:val="fr-BE"/>
              </w:rPr>
              <w:t>enfants et encourager les parents</w:t>
            </w:r>
          </w:p>
        </w:tc>
        <w:tc>
          <w:tcPr>
            <w:tcW w:w="0" w:type="dxa"/>
            <w:vAlign w:val="bottom"/>
          </w:tcPr>
          <w:p w:rsidR="00AC12B4" w:rsidRPr="00C27636" w:rsidRDefault="00AC12B4">
            <w:pPr>
              <w:rPr>
                <w:sz w:val="1"/>
                <w:szCs w:val="1"/>
                <w:lang w:val="fr-BE"/>
              </w:rPr>
            </w:pPr>
          </w:p>
        </w:tc>
      </w:tr>
      <w:tr w:rsidR="00AC12B4" w:rsidRPr="00C27636">
        <w:trPr>
          <w:trHeight w:val="274"/>
        </w:trPr>
        <w:tc>
          <w:tcPr>
            <w:tcW w:w="6640" w:type="dxa"/>
            <w:tcBorders>
              <w:left w:val="single" w:sz="8" w:space="0" w:color="919715"/>
              <w:righ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b/>
                <w:bCs/>
                <w:i/>
                <w:iCs/>
                <w:color w:val="EAF1DD"/>
                <w:lang w:val="fr-BE"/>
              </w:rPr>
              <w:t>enfant ne soit privé du droit d'avoir accès à ces services</w:t>
            </w:r>
            <w:r w:rsidRPr="00C27636">
              <w:rPr>
                <w:rFonts w:ascii="Calibri" w:eastAsia="Calibri" w:hAnsi="Calibri" w:cs="Calibri"/>
                <w:i/>
                <w:iCs/>
                <w:color w:val="EAF1DD"/>
                <w:lang w:val="fr-BE"/>
              </w:rPr>
              <w:t>.</w:t>
            </w:r>
          </w:p>
        </w:tc>
        <w:tc>
          <w:tcPr>
            <w:tcW w:w="3300" w:type="dxa"/>
            <w:vAlign w:val="bottom"/>
          </w:tcPr>
          <w:p w:rsidR="00AC12B4" w:rsidRPr="00C27636" w:rsidRDefault="00C27636">
            <w:pPr>
              <w:spacing w:line="263" w:lineRule="exact"/>
              <w:ind w:left="200"/>
              <w:rPr>
                <w:sz w:val="20"/>
                <w:szCs w:val="20"/>
                <w:lang w:val="fr-BE"/>
              </w:rPr>
            </w:pPr>
            <w:r w:rsidRPr="00C27636">
              <w:rPr>
                <w:rFonts w:ascii="Calibri" w:eastAsia="Calibri" w:hAnsi="Calibri" w:cs="Calibri"/>
                <w:i/>
                <w:iCs/>
                <w:lang w:val="fr-BE"/>
              </w:rPr>
              <w:t>à rechercher des services de santé</w:t>
            </w:r>
          </w:p>
        </w:tc>
        <w:tc>
          <w:tcPr>
            <w:tcW w:w="0" w:type="dxa"/>
            <w:vAlign w:val="bottom"/>
          </w:tcPr>
          <w:p w:rsidR="00AC12B4" w:rsidRPr="00C27636" w:rsidRDefault="00AC12B4">
            <w:pPr>
              <w:rPr>
                <w:sz w:val="1"/>
                <w:szCs w:val="1"/>
                <w:lang w:val="fr-BE"/>
              </w:rPr>
            </w:pPr>
          </w:p>
        </w:tc>
      </w:tr>
      <w:tr w:rsidR="00AC12B4">
        <w:trPr>
          <w:trHeight w:val="259"/>
        </w:trPr>
        <w:tc>
          <w:tcPr>
            <w:tcW w:w="6640" w:type="dxa"/>
            <w:tcBorders>
              <w:left w:val="single" w:sz="8" w:space="0" w:color="919715"/>
              <w:right w:val="single" w:sz="8" w:space="0" w:color="919715"/>
            </w:tcBorders>
            <w:shd w:val="clear" w:color="auto" w:fill="C9D11D"/>
            <w:vAlign w:val="bottom"/>
          </w:tcPr>
          <w:p w:rsidR="00AC12B4" w:rsidRPr="00C27636" w:rsidRDefault="00AC12B4">
            <w:pPr>
              <w:rPr>
                <w:lang w:val="fr-BE"/>
              </w:rPr>
            </w:pPr>
          </w:p>
        </w:tc>
        <w:tc>
          <w:tcPr>
            <w:tcW w:w="3300" w:type="dxa"/>
            <w:vAlign w:val="bottom"/>
          </w:tcPr>
          <w:p w:rsidR="00AC12B4" w:rsidRDefault="00C27636">
            <w:pPr>
              <w:spacing w:line="259" w:lineRule="exact"/>
              <w:ind w:left="200"/>
              <w:rPr>
                <w:sz w:val="20"/>
                <w:szCs w:val="20"/>
              </w:rPr>
            </w:pPr>
            <w:r>
              <w:rPr>
                <w:rFonts w:ascii="Calibri" w:eastAsia="Calibri" w:hAnsi="Calibri" w:cs="Calibri"/>
                <w:i/>
                <w:iCs/>
              </w:rPr>
              <w:t>accessibles à leurs enfants […],</w:t>
            </w:r>
          </w:p>
        </w:tc>
        <w:tc>
          <w:tcPr>
            <w:tcW w:w="0" w:type="dxa"/>
            <w:vAlign w:val="bottom"/>
          </w:tcPr>
          <w:p w:rsidR="00AC12B4" w:rsidRDefault="00AC12B4">
            <w:pPr>
              <w:rPr>
                <w:sz w:val="1"/>
                <w:szCs w:val="1"/>
              </w:rPr>
            </w:pPr>
          </w:p>
        </w:tc>
      </w:tr>
      <w:tr w:rsidR="00AC12B4">
        <w:trPr>
          <w:trHeight w:val="144"/>
        </w:trPr>
        <w:tc>
          <w:tcPr>
            <w:tcW w:w="6640" w:type="dxa"/>
            <w:tcBorders>
              <w:left w:val="single" w:sz="8" w:space="0" w:color="919715"/>
              <w:bottom w:val="single" w:sz="8" w:space="0" w:color="919715"/>
              <w:right w:val="single" w:sz="8" w:space="0" w:color="919715"/>
            </w:tcBorders>
            <w:shd w:val="clear" w:color="auto" w:fill="C9D11D"/>
            <w:vAlign w:val="bottom"/>
          </w:tcPr>
          <w:p w:rsidR="00AC12B4" w:rsidRDefault="00AC12B4">
            <w:pPr>
              <w:rPr>
                <w:sz w:val="12"/>
                <w:szCs w:val="12"/>
              </w:rPr>
            </w:pPr>
          </w:p>
        </w:tc>
        <w:tc>
          <w:tcPr>
            <w:tcW w:w="3300" w:type="dxa"/>
            <w:vMerge w:val="restart"/>
            <w:vAlign w:val="bottom"/>
          </w:tcPr>
          <w:p w:rsidR="00AC12B4" w:rsidRDefault="00C27636">
            <w:pPr>
              <w:spacing w:line="267" w:lineRule="exact"/>
              <w:ind w:left="200"/>
              <w:rPr>
                <w:sz w:val="20"/>
                <w:szCs w:val="20"/>
              </w:rPr>
            </w:pPr>
            <w:r>
              <w:rPr>
                <w:rFonts w:ascii="Calibri" w:eastAsia="Calibri" w:hAnsi="Calibri" w:cs="Calibri"/>
                <w:i/>
                <w:iCs/>
              </w:rPr>
              <w:t xml:space="preserve">revoir  </w:t>
            </w:r>
            <w:r>
              <w:rPr>
                <w:rFonts w:ascii="Calibri" w:eastAsia="Calibri" w:hAnsi="Calibri" w:cs="Calibri"/>
                <w:i/>
                <w:iCs/>
              </w:rPr>
              <w:t>les  systèmes  d’assurance</w:t>
            </w:r>
          </w:p>
        </w:tc>
        <w:tc>
          <w:tcPr>
            <w:tcW w:w="0" w:type="dxa"/>
            <w:vAlign w:val="bottom"/>
          </w:tcPr>
          <w:p w:rsidR="00AC12B4" w:rsidRDefault="00AC12B4">
            <w:pPr>
              <w:rPr>
                <w:sz w:val="1"/>
                <w:szCs w:val="1"/>
              </w:rPr>
            </w:pPr>
          </w:p>
        </w:tc>
      </w:tr>
      <w:tr w:rsidR="00AC12B4">
        <w:trPr>
          <w:trHeight w:val="102"/>
        </w:trPr>
        <w:tc>
          <w:tcPr>
            <w:tcW w:w="6640" w:type="dxa"/>
            <w:vAlign w:val="bottom"/>
          </w:tcPr>
          <w:p w:rsidR="00AC12B4" w:rsidRDefault="00AC12B4">
            <w:pPr>
              <w:rPr>
                <w:sz w:val="8"/>
                <w:szCs w:val="8"/>
              </w:rPr>
            </w:pPr>
          </w:p>
        </w:tc>
        <w:tc>
          <w:tcPr>
            <w:tcW w:w="330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bl>
    <w:p w:rsidR="00AC12B4" w:rsidRDefault="00AC12B4">
      <w:pPr>
        <w:spacing w:line="1" w:lineRule="exact"/>
        <w:rPr>
          <w:sz w:val="20"/>
          <w:szCs w:val="20"/>
        </w:rPr>
      </w:pPr>
    </w:p>
    <w:tbl>
      <w:tblPr>
        <w:tblW w:w="0" w:type="auto"/>
        <w:tblInd w:w="1070" w:type="dxa"/>
        <w:tblLayout w:type="fixed"/>
        <w:tblCellMar>
          <w:left w:w="0" w:type="dxa"/>
          <w:right w:w="0" w:type="dxa"/>
        </w:tblCellMar>
        <w:tblLook w:val="04A0" w:firstRow="1" w:lastRow="0" w:firstColumn="1" w:lastColumn="0" w:noHBand="0" w:noVBand="1"/>
      </w:tblPr>
      <w:tblGrid>
        <w:gridCol w:w="400"/>
        <w:gridCol w:w="140"/>
        <w:gridCol w:w="580"/>
        <w:gridCol w:w="220"/>
        <w:gridCol w:w="420"/>
        <w:gridCol w:w="480"/>
        <w:gridCol w:w="160"/>
        <w:gridCol w:w="360"/>
        <w:gridCol w:w="520"/>
        <w:gridCol w:w="120"/>
        <w:gridCol w:w="300"/>
        <w:gridCol w:w="240"/>
        <w:gridCol w:w="160"/>
        <w:gridCol w:w="900"/>
        <w:gridCol w:w="600"/>
        <w:gridCol w:w="480"/>
        <w:gridCol w:w="480"/>
        <w:gridCol w:w="220"/>
        <w:gridCol w:w="120"/>
        <w:gridCol w:w="420"/>
        <w:gridCol w:w="380"/>
        <w:gridCol w:w="180"/>
        <w:gridCol w:w="420"/>
        <w:gridCol w:w="240"/>
        <w:gridCol w:w="1100"/>
        <w:gridCol w:w="30"/>
      </w:tblGrid>
      <w:tr w:rsidR="00AC12B4" w:rsidRPr="00C27636">
        <w:trPr>
          <w:trHeight w:val="269"/>
        </w:trPr>
        <w:tc>
          <w:tcPr>
            <w:tcW w:w="4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58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160" w:type="dxa"/>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160" w:type="dxa"/>
            <w:vAlign w:val="bottom"/>
          </w:tcPr>
          <w:p w:rsidR="00AC12B4" w:rsidRDefault="00AC12B4">
            <w:pPr>
              <w:rPr>
                <w:sz w:val="23"/>
                <w:szCs w:val="23"/>
              </w:rPr>
            </w:pPr>
          </w:p>
        </w:tc>
        <w:tc>
          <w:tcPr>
            <w:tcW w:w="900" w:type="dxa"/>
            <w:vAlign w:val="bottom"/>
          </w:tcPr>
          <w:p w:rsidR="00AC12B4" w:rsidRDefault="00AC12B4">
            <w:pPr>
              <w:rPr>
                <w:sz w:val="23"/>
                <w:szCs w:val="23"/>
              </w:rPr>
            </w:pPr>
          </w:p>
        </w:tc>
        <w:tc>
          <w:tcPr>
            <w:tcW w:w="4640" w:type="dxa"/>
            <w:gridSpan w:val="11"/>
            <w:vAlign w:val="bottom"/>
          </w:tcPr>
          <w:p w:rsidR="00AC12B4" w:rsidRPr="00C27636" w:rsidRDefault="00C27636">
            <w:pPr>
              <w:rPr>
                <w:sz w:val="20"/>
                <w:szCs w:val="20"/>
                <w:lang w:val="fr-BE"/>
              </w:rPr>
            </w:pPr>
            <w:r w:rsidRPr="00C27636">
              <w:rPr>
                <w:rFonts w:ascii="Calibri" w:eastAsia="Calibri" w:hAnsi="Calibri" w:cs="Calibri"/>
                <w:i/>
                <w:iCs/>
                <w:lang w:val="fr-BE"/>
              </w:rPr>
              <w:t>maladie afin d’abaisser le coût des services</w:t>
            </w:r>
          </w:p>
        </w:tc>
        <w:tc>
          <w:tcPr>
            <w:tcW w:w="0" w:type="dxa"/>
            <w:vAlign w:val="bottom"/>
          </w:tcPr>
          <w:p w:rsidR="00AC12B4" w:rsidRPr="00C27636" w:rsidRDefault="00AC12B4">
            <w:pPr>
              <w:rPr>
                <w:sz w:val="1"/>
                <w:szCs w:val="1"/>
                <w:lang w:val="fr-BE"/>
              </w:rPr>
            </w:pPr>
          </w:p>
        </w:tc>
      </w:tr>
      <w:tr w:rsidR="00AC12B4" w:rsidRPr="00C27636">
        <w:trPr>
          <w:trHeight w:val="277"/>
        </w:trPr>
        <w:tc>
          <w:tcPr>
            <w:tcW w:w="400" w:type="dxa"/>
            <w:vAlign w:val="bottom"/>
          </w:tcPr>
          <w:p w:rsidR="00AC12B4" w:rsidRPr="00C27636" w:rsidRDefault="00AC12B4">
            <w:pPr>
              <w:rPr>
                <w:sz w:val="24"/>
                <w:szCs w:val="24"/>
                <w:lang w:val="fr-BE"/>
              </w:rPr>
            </w:pPr>
          </w:p>
        </w:tc>
        <w:tc>
          <w:tcPr>
            <w:tcW w:w="460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 xml:space="preserve">La CIDE reconnait le droit </w:t>
            </w:r>
            <w:r w:rsidRPr="00C27636">
              <w:rPr>
                <w:rFonts w:ascii="Calibri" w:eastAsia="Calibri" w:hAnsi="Calibri" w:cs="Calibri"/>
                <w:lang w:val="fr-BE"/>
              </w:rPr>
              <w:lastRenderedPageBreak/>
              <w:t>aux enfants</w:t>
            </w:r>
          </w:p>
        </w:tc>
        <w:tc>
          <w:tcPr>
            <w:tcW w:w="4640" w:type="dxa"/>
            <w:gridSpan w:val="11"/>
            <w:vAlign w:val="bottom"/>
          </w:tcPr>
          <w:p w:rsidR="00AC12B4" w:rsidRPr="00C27636" w:rsidRDefault="00C27636">
            <w:pPr>
              <w:rPr>
                <w:sz w:val="20"/>
                <w:szCs w:val="20"/>
                <w:lang w:val="fr-BE"/>
              </w:rPr>
            </w:pPr>
            <w:r w:rsidRPr="00C27636">
              <w:rPr>
                <w:rFonts w:ascii="Calibri" w:eastAsia="Calibri" w:hAnsi="Calibri" w:cs="Calibri"/>
                <w:i/>
                <w:iCs/>
                <w:lang w:val="fr-BE"/>
              </w:rPr>
              <w:lastRenderedPageBreak/>
              <w:t xml:space="preserve">de  santé  pour  les  familles  </w:t>
            </w:r>
            <w:r w:rsidRPr="00C27636">
              <w:rPr>
                <w:rFonts w:ascii="Calibri" w:eastAsia="Calibri" w:hAnsi="Calibri" w:cs="Calibri"/>
                <w:i/>
                <w:iCs/>
                <w:lang w:val="fr-BE"/>
              </w:rPr>
              <w:lastRenderedPageBreak/>
              <w:t>les  plus</w:t>
            </w:r>
          </w:p>
        </w:tc>
        <w:tc>
          <w:tcPr>
            <w:tcW w:w="0" w:type="dxa"/>
            <w:vAlign w:val="bottom"/>
          </w:tcPr>
          <w:p w:rsidR="00AC12B4" w:rsidRPr="00C27636" w:rsidRDefault="00AC12B4">
            <w:pPr>
              <w:rPr>
                <w:sz w:val="1"/>
                <w:szCs w:val="1"/>
                <w:lang w:val="fr-BE"/>
              </w:rPr>
            </w:pPr>
          </w:p>
        </w:tc>
      </w:tr>
      <w:tr w:rsidR="00AC12B4">
        <w:trPr>
          <w:trHeight w:val="297"/>
        </w:trPr>
        <w:tc>
          <w:tcPr>
            <w:tcW w:w="400" w:type="dxa"/>
            <w:vAlign w:val="bottom"/>
          </w:tcPr>
          <w:p w:rsidR="00AC12B4" w:rsidRPr="00C27636" w:rsidRDefault="00AC12B4">
            <w:pPr>
              <w:rPr>
                <w:sz w:val="24"/>
                <w:szCs w:val="24"/>
                <w:lang w:val="fr-BE"/>
              </w:rPr>
            </w:pPr>
          </w:p>
        </w:tc>
        <w:tc>
          <w:tcPr>
            <w:tcW w:w="4600" w:type="dxa"/>
            <w:gridSpan w:val="13"/>
            <w:vAlign w:val="bottom"/>
          </w:tcPr>
          <w:p w:rsidR="00AC12B4" w:rsidRDefault="00C27636">
            <w:pPr>
              <w:rPr>
                <w:sz w:val="20"/>
                <w:szCs w:val="20"/>
              </w:rPr>
            </w:pPr>
            <w:r w:rsidRPr="00C27636">
              <w:rPr>
                <w:rFonts w:ascii="Calibri" w:eastAsia="Calibri" w:hAnsi="Calibri" w:cs="Calibri"/>
                <w:lang w:val="fr-BE"/>
              </w:rPr>
              <w:t xml:space="preserve">d’avoir accès aux soins de santé. </w:t>
            </w:r>
            <w:r>
              <w:rPr>
                <w:rFonts w:ascii="Calibri" w:eastAsia="Calibri" w:hAnsi="Calibri" w:cs="Calibri"/>
              </w:rPr>
              <w:t>Or, en</w:t>
            </w:r>
          </w:p>
        </w:tc>
        <w:tc>
          <w:tcPr>
            <w:tcW w:w="1560" w:type="dxa"/>
            <w:gridSpan w:val="3"/>
            <w:vAlign w:val="bottom"/>
          </w:tcPr>
          <w:p w:rsidR="00AC12B4" w:rsidRDefault="00C27636">
            <w:pPr>
              <w:spacing w:line="297" w:lineRule="exact"/>
              <w:rPr>
                <w:sz w:val="20"/>
                <w:szCs w:val="20"/>
              </w:rPr>
            </w:pPr>
            <w:r>
              <w:rPr>
                <w:rFonts w:ascii="Calibri" w:eastAsia="Calibri" w:hAnsi="Calibri" w:cs="Calibri"/>
                <w:i/>
                <w:iCs/>
              </w:rPr>
              <w:t>défavorisées »</w:t>
            </w:r>
            <w:r>
              <w:rPr>
                <w:rFonts w:ascii="Calibri" w:eastAsia="Calibri" w:hAnsi="Calibri" w:cs="Calibri"/>
                <w:sz w:val="27"/>
                <w:szCs w:val="27"/>
                <w:vertAlign w:val="superscript"/>
              </w:rPr>
              <w:t>2</w:t>
            </w:r>
          </w:p>
        </w:tc>
        <w:tc>
          <w:tcPr>
            <w:tcW w:w="2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11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75"/>
        </w:trPr>
        <w:tc>
          <w:tcPr>
            <w:tcW w:w="400" w:type="dxa"/>
            <w:vAlign w:val="bottom"/>
          </w:tcPr>
          <w:p w:rsidR="00AC12B4" w:rsidRDefault="00AC12B4">
            <w:pPr>
              <w:rPr>
                <w:sz w:val="15"/>
                <w:szCs w:val="15"/>
              </w:rPr>
            </w:pPr>
          </w:p>
        </w:tc>
        <w:tc>
          <w:tcPr>
            <w:tcW w:w="4600" w:type="dxa"/>
            <w:gridSpan w:val="13"/>
            <w:vAlign w:val="bottom"/>
          </w:tcPr>
          <w:p w:rsidR="00AC12B4" w:rsidRPr="00C27636" w:rsidRDefault="00C27636">
            <w:pPr>
              <w:spacing w:line="175" w:lineRule="exact"/>
              <w:rPr>
                <w:sz w:val="20"/>
                <w:szCs w:val="20"/>
                <w:lang w:val="fr-BE"/>
              </w:rPr>
            </w:pPr>
            <w:r w:rsidRPr="00C27636">
              <w:rPr>
                <w:rFonts w:ascii="Calibri" w:eastAsia="Calibri" w:hAnsi="Calibri" w:cs="Calibri"/>
                <w:sz w:val="19"/>
                <w:szCs w:val="19"/>
                <w:lang w:val="fr-BE"/>
              </w:rPr>
              <w:t>Belgique, malgré un système de soins de</w:t>
            </w:r>
          </w:p>
        </w:tc>
        <w:tc>
          <w:tcPr>
            <w:tcW w:w="1560" w:type="dxa"/>
            <w:gridSpan w:val="3"/>
            <w:vMerge w:val="restart"/>
            <w:vAlign w:val="bottom"/>
          </w:tcPr>
          <w:p w:rsidR="00AC12B4" w:rsidRDefault="00C27636">
            <w:pPr>
              <w:rPr>
                <w:sz w:val="20"/>
                <w:szCs w:val="20"/>
              </w:rPr>
            </w:pPr>
            <w:r>
              <w:rPr>
                <w:rFonts w:ascii="Cambria" w:eastAsia="Cambria" w:hAnsi="Cambria" w:cs="Cambria"/>
                <w:b/>
                <w:bCs/>
                <w:i/>
                <w:iCs/>
                <w:color w:val="919715"/>
                <w:sz w:val="26"/>
                <w:szCs w:val="26"/>
              </w:rPr>
              <w:t>Évolution</w:t>
            </w:r>
          </w:p>
        </w:tc>
        <w:tc>
          <w:tcPr>
            <w:tcW w:w="220" w:type="dxa"/>
            <w:vAlign w:val="bottom"/>
          </w:tcPr>
          <w:p w:rsidR="00AC12B4" w:rsidRDefault="00AC12B4">
            <w:pPr>
              <w:rPr>
                <w:sz w:val="15"/>
                <w:szCs w:val="15"/>
              </w:rPr>
            </w:pPr>
          </w:p>
        </w:tc>
        <w:tc>
          <w:tcPr>
            <w:tcW w:w="120" w:type="dxa"/>
            <w:tcBorders>
              <w:bottom w:val="single" w:sz="8" w:space="0" w:color="C9D11D"/>
            </w:tcBorders>
            <w:vAlign w:val="bottom"/>
          </w:tcPr>
          <w:p w:rsidR="00AC12B4" w:rsidRDefault="00AC12B4">
            <w:pPr>
              <w:rPr>
                <w:sz w:val="15"/>
                <w:szCs w:val="15"/>
              </w:rPr>
            </w:pPr>
          </w:p>
        </w:tc>
        <w:tc>
          <w:tcPr>
            <w:tcW w:w="420" w:type="dxa"/>
            <w:tcBorders>
              <w:bottom w:val="single" w:sz="8" w:space="0" w:color="C9D11D"/>
            </w:tcBorders>
            <w:vAlign w:val="bottom"/>
          </w:tcPr>
          <w:p w:rsidR="00AC12B4" w:rsidRDefault="00AC12B4">
            <w:pPr>
              <w:rPr>
                <w:sz w:val="15"/>
                <w:szCs w:val="15"/>
              </w:rPr>
            </w:pPr>
          </w:p>
        </w:tc>
        <w:tc>
          <w:tcPr>
            <w:tcW w:w="380" w:type="dxa"/>
            <w:tcBorders>
              <w:bottom w:val="single" w:sz="8" w:space="0" w:color="C9D11D"/>
            </w:tcBorders>
            <w:vAlign w:val="bottom"/>
          </w:tcPr>
          <w:p w:rsidR="00AC12B4" w:rsidRDefault="00AC12B4">
            <w:pPr>
              <w:rPr>
                <w:sz w:val="15"/>
                <w:szCs w:val="15"/>
              </w:rPr>
            </w:pPr>
          </w:p>
        </w:tc>
        <w:tc>
          <w:tcPr>
            <w:tcW w:w="180" w:type="dxa"/>
            <w:tcBorders>
              <w:bottom w:val="single" w:sz="8" w:space="0" w:color="C9D11D"/>
            </w:tcBorders>
            <w:vAlign w:val="bottom"/>
          </w:tcPr>
          <w:p w:rsidR="00AC12B4" w:rsidRDefault="00AC12B4">
            <w:pPr>
              <w:rPr>
                <w:sz w:val="15"/>
                <w:szCs w:val="15"/>
              </w:rPr>
            </w:pPr>
          </w:p>
        </w:tc>
        <w:tc>
          <w:tcPr>
            <w:tcW w:w="420" w:type="dxa"/>
            <w:tcBorders>
              <w:bottom w:val="single" w:sz="8" w:space="0" w:color="C9D11D"/>
            </w:tcBorders>
            <w:vAlign w:val="bottom"/>
          </w:tcPr>
          <w:p w:rsidR="00AC12B4" w:rsidRDefault="00AC12B4">
            <w:pPr>
              <w:rPr>
                <w:sz w:val="15"/>
                <w:szCs w:val="15"/>
              </w:rPr>
            </w:pPr>
          </w:p>
        </w:tc>
        <w:tc>
          <w:tcPr>
            <w:tcW w:w="240" w:type="dxa"/>
            <w:tcBorders>
              <w:bottom w:val="single" w:sz="8" w:space="0" w:color="C9D11D"/>
            </w:tcBorders>
            <w:vAlign w:val="bottom"/>
          </w:tcPr>
          <w:p w:rsidR="00AC12B4" w:rsidRDefault="00AC12B4">
            <w:pPr>
              <w:rPr>
                <w:sz w:val="15"/>
                <w:szCs w:val="15"/>
              </w:rPr>
            </w:pPr>
          </w:p>
        </w:tc>
        <w:tc>
          <w:tcPr>
            <w:tcW w:w="1100" w:type="dxa"/>
            <w:tcBorders>
              <w:bottom w:val="single" w:sz="8" w:space="0" w:color="C9D11D"/>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312"/>
        </w:trPr>
        <w:tc>
          <w:tcPr>
            <w:tcW w:w="400" w:type="dxa"/>
            <w:vAlign w:val="bottom"/>
          </w:tcPr>
          <w:p w:rsidR="00AC12B4" w:rsidRDefault="00AC12B4">
            <w:pPr>
              <w:rPr>
                <w:sz w:val="24"/>
                <w:szCs w:val="24"/>
              </w:rPr>
            </w:pPr>
          </w:p>
        </w:tc>
        <w:tc>
          <w:tcPr>
            <w:tcW w:w="460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santé  très  performant  et  un  système</w:t>
            </w:r>
          </w:p>
        </w:tc>
        <w:tc>
          <w:tcPr>
            <w:tcW w:w="1560" w:type="dxa"/>
            <w:gridSpan w:val="3"/>
            <w:vMerge/>
            <w:vAlign w:val="bottom"/>
          </w:tcPr>
          <w:p w:rsidR="00AC12B4" w:rsidRPr="00C27636" w:rsidRDefault="00AC12B4">
            <w:pPr>
              <w:rPr>
                <w:sz w:val="24"/>
                <w:szCs w:val="24"/>
                <w:lang w:val="fr-BE"/>
              </w:rPr>
            </w:pPr>
          </w:p>
        </w:tc>
        <w:tc>
          <w:tcPr>
            <w:tcW w:w="220" w:type="dxa"/>
            <w:tcBorders>
              <w:right w:val="single" w:sz="8" w:space="0" w:color="C9D11D"/>
            </w:tcBorders>
            <w:vAlign w:val="bottom"/>
          </w:tcPr>
          <w:p w:rsidR="00AC12B4" w:rsidRPr="00C27636" w:rsidRDefault="00AC12B4">
            <w:pPr>
              <w:rPr>
                <w:sz w:val="24"/>
                <w:szCs w:val="24"/>
                <w:lang w:val="fr-BE"/>
              </w:rPr>
            </w:pPr>
          </w:p>
        </w:tc>
        <w:tc>
          <w:tcPr>
            <w:tcW w:w="120" w:type="dxa"/>
            <w:vAlign w:val="bottom"/>
          </w:tcPr>
          <w:p w:rsidR="00AC12B4" w:rsidRPr="00C27636" w:rsidRDefault="00AC12B4">
            <w:pPr>
              <w:rPr>
                <w:sz w:val="24"/>
                <w:szCs w:val="24"/>
                <w:lang w:val="fr-BE"/>
              </w:rPr>
            </w:pPr>
          </w:p>
        </w:tc>
        <w:tc>
          <w:tcPr>
            <w:tcW w:w="2740" w:type="dxa"/>
            <w:gridSpan w:val="6"/>
            <w:vMerge w:val="restart"/>
            <w:tcBorders>
              <w:right w:val="single" w:sz="8" w:space="0" w:color="C9D11D"/>
            </w:tcBorders>
            <w:vAlign w:val="bottom"/>
          </w:tcPr>
          <w:p w:rsidR="00AC12B4" w:rsidRDefault="00C27636">
            <w:pPr>
              <w:ind w:left="40"/>
              <w:rPr>
                <w:sz w:val="20"/>
                <w:szCs w:val="20"/>
              </w:rPr>
            </w:pPr>
            <w:r>
              <w:rPr>
                <w:rFonts w:ascii="Comic Sans MS" w:eastAsia="Comic Sans MS" w:hAnsi="Comic Sans MS" w:cs="Comic Sans MS"/>
                <w:color w:val="C9D11D"/>
                <w:sz w:val="96"/>
                <w:szCs w:val="96"/>
              </w:rPr>
              <w:t>11,7%</w:t>
            </w:r>
          </w:p>
        </w:tc>
        <w:tc>
          <w:tcPr>
            <w:tcW w:w="0" w:type="dxa"/>
            <w:vAlign w:val="bottom"/>
          </w:tcPr>
          <w:p w:rsidR="00AC12B4" w:rsidRDefault="00AC12B4">
            <w:pPr>
              <w:rPr>
                <w:sz w:val="1"/>
                <w:szCs w:val="1"/>
              </w:rPr>
            </w:pPr>
          </w:p>
        </w:tc>
      </w:tr>
      <w:tr w:rsidR="00AC12B4">
        <w:trPr>
          <w:trHeight w:val="269"/>
        </w:trPr>
        <w:tc>
          <w:tcPr>
            <w:tcW w:w="400" w:type="dxa"/>
            <w:vAlign w:val="bottom"/>
          </w:tcPr>
          <w:p w:rsidR="00AC12B4" w:rsidRDefault="00AC12B4">
            <w:pPr>
              <w:rPr>
                <w:sz w:val="23"/>
                <w:szCs w:val="23"/>
              </w:rPr>
            </w:pPr>
          </w:p>
        </w:tc>
        <w:tc>
          <w:tcPr>
            <w:tcW w:w="2000" w:type="dxa"/>
            <w:gridSpan w:val="6"/>
            <w:vAlign w:val="bottom"/>
          </w:tcPr>
          <w:p w:rsidR="00AC12B4" w:rsidRDefault="00C27636">
            <w:pPr>
              <w:rPr>
                <w:sz w:val="20"/>
                <w:szCs w:val="20"/>
              </w:rPr>
            </w:pPr>
            <w:r>
              <w:rPr>
                <w:rFonts w:ascii="Calibri" w:eastAsia="Calibri" w:hAnsi="Calibri" w:cs="Calibri"/>
              </w:rPr>
              <w:t>d’assurance maladie</w:t>
            </w:r>
          </w:p>
        </w:tc>
        <w:tc>
          <w:tcPr>
            <w:tcW w:w="1540" w:type="dxa"/>
            <w:gridSpan w:val="5"/>
            <w:vAlign w:val="bottom"/>
          </w:tcPr>
          <w:p w:rsidR="00AC12B4" w:rsidRDefault="00C27636">
            <w:pPr>
              <w:ind w:left="40"/>
              <w:rPr>
                <w:sz w:val="20"/>
                <w:szCs w:val="20"/>
              </w:rPr>
            </w:pPr>
            <w:r>
              <w:rPr>
                <w:rFonts w:ascii="Calibri" w:eastAsia="Calibri" w:hAnsi="Calibri" w:cs="Calibri"/>
              </w:rPr>
              <w:t>développé, 8%</w:t>
            </w:r>
          </w:p>
        </w:tc>
        <w:tc>
          <w:tcPr>
            <w:tcW w:w="1060" w:type="dxa"/>
            <w:gridSpan w:val="2"/>
            <w:vAlign w:val="bottom"/>
          </w:tcPr>
          <w:p w:rsidR="00AC12B4" w:rsidRDefault="00C27636">
            <w:pPr>
              <w:ind w:right="640"/>
              <w:jc w:val="right"/>
              <w:rPr>
                <w:sz w:val="20"/>
                <w:szCs w:val="20"/>
              </w:rPr>
            </w:pPr>
            <w:r>
              <w:rPr>
                <w:rFonts w:ascii="Calibri" w:eastAsia="Calibri" w:hAnsi="Calibri" w:cs="Calibri"/>
              </w:rPr>
              <w:t>des</w:t>
            </w:r>
          </w:p>
        </w:tc>
        <w:tc>
          <w:tcPr>
            <w:tcW w:w="600" w:type="dxa"/>
            <w:vMerge w:val="restart"/>
            <w:vAlign w:val="bottom"/>
          </w:tcPr>
          <w:p w:rsidR="00AC12B4" w:rsidRDefault="00C27636">
            <w:pPr>
              <w:rPr>
                <w:sz w:val="20"/>
                <w:szCs w:val="20"/>
              </w:rPr>
            </w:pPr>
            <w:r>
              <w:rPr>
                <w:rFonts w:ascii="Calibri" w:eastAsia="Calibri" w:hAnsi="Calibri" w:cs="Calibri"/>
              </w:rPr>
              <w:t>Entre</w:t>
            </w:r>
          </w:p>
        </w:tc>
        <w:tc>
          <w:tcPr>
            <w:tcW w:w="480" w:type="dxa"/>
            <w:vMerge w:val="restart"/>
            <w:vAlign w:val="bottom"/>
          </w:tcPr>
          <w:p w:rsidR="00AC12B4" w:rsidRDefault="00C27636">
            <w:pPr>
              <w:rPr>
                <w:sz w:val="20"/>
                <w:szCs w:val="20"/>
              </w:rPr>
            </w:pPr>
            <w:r>
              <w:rPr>
                <w:rFonts w:ascii="Calibri" w:eastAsia="Calibri" w:hAnsi="Calibri" w:cs="Calibri"/>
              </w:rPr>
              <w:t>1997</w:t>
            </w:r>
          </w:p>
        </w:tc>
        <w:tc>
          <w:tcPr>
            <w:tcW w:w="480" w:type="dxa"/>
            <w:vMerge w:val="restart"/>
            <w:vAlign w:val="bottom"/>
          </w:tcPr>
          <w:p w:rsidR="00AC12B4" w:rsidRDefault="00C27636">
            <w:pPr>
              <w:ind w:right="110"/>
              <w:jc w:val="right"/>
              <w:rPr>
                <w:sz w:val="20"/>
                <w:szCs w:val="20"/>
              </w:rPr>
            </w:pPr>
            <w:r>
              <w:rPr>
                <w:rFonts w:ascii="Calibri" w:eastAsia="Calibri" w:hAnsi="Calibri" w:cs="Calibri"/>
              </w:rPr>
              <w:t>et</w:t>
            </w:r>
          </w:p>
        </w:tc>
        <w:tc>
          <w:tcPr>
            <w:tcW w:w="220" w:type="dxa"/>
            <w:tcBorders>
              <w:right w:val="single" w:sz="8" w:space="0" w:color="C9D11D"/>
            </w:tcBorders>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740" w:type="dxa"/>
            <w:gridSpan w:val="6"/>
            <w:vMerge/>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27"/>
        </w:trPr>
        <w:tc>
          <w:tcPr>
            <w:tcW w:w="400" w:type="dxa"/>
            <w:vAlign w:val="bottom"/>
          </w:tcPr>
          <w:p w:rsidR="00AC12B4" w:rsidRDefault="00AC12B4">
            <w:pPr>
              <w:rPr>
                <w:sz w:val="11"/>
                <w:szCs w:val="11"/>
              </w:rPr>
            </w:pPr>
          </w:p>
        </w:tc>
        <w:tc>
          <w:tcPr>
            <w:tcW w:w="940" w:type="dxa"/>
            <w:gridSpan w:val="3"/>
            <w:vMerge w:val="restart"/>
            <w:vAlign w:val="bottom"/>
          </w:tcPr>
          <w:p w:rsidR="00AC12B4" w:rsidRDefault="00C27636">
            <w:pPr>
              <w:rPr>
                <w:sz w:val="20"/>
                <w:szCs w:val="20"/>
              </w:rPr>
            </w:pPr>
            <w:r>
              <w:rPr>
                <w:rFonts w:ascii="Calibri" w:eastAsia="Calibri" w:hAnsi="Calibri" w:cs="Calibri"/>
              </w:rPr>
              <w:t>ménages</w:t>
            </w:r>
          </w:p>
        </w:tc>
        <w:tc>
          <w:tcPr>
            <w:tcW w:w="1060" w:type="dxa"/>
            <w:gridSpan w:val="3"/>
            <w:vMerge w:val="restart"/>
            <w:vAlign w:val="bottom"/>
          </w:tcPr>
          <w:p w:rsidR="00AC12B4" w:rsidRDefault="00C27636">
            <w:pPr>
              <w:spacing w:line="304" w:lineRule="exact"/>
              <w:rPr>
                <w:sz w:val="20"/>
                <w:szCs w:val="20"/>
              </w:rPr>
            </w:pPr>
            <w:r>
              <w:rPr>
                <w:rFonts w:ascii="Calibri" w:eastAsia="Calibri" w:hAnsi="Calibri" w:cs="Calibri"/>
              </w:rPr>
              <w:t>interrogés</w:t>
            </w:r>
            <w:r>
              <w:rPr>
                <w:rFonts w:ascii="Calibri" w:eastAsia="Calibri" w:hAnsi="Calibri" w:cs="Calibri"/>
                <w:sz w:val="27"/>
                <w:szCs w:val="27"/>
                <w:vertAlign w:val="superscript"/>
              </w:rPr>
              <w:t>1</w:t>
            </w:r>
          </w:p>
        </w:tc>
        <w:tc>
          <w:tcPr>
            <w:tcW w:w="1000" w:type="dxa"/>
            <w:gridSpan w:val="3"/>
            <w:vMerge w:val="restart"/>
            <w:vAlign w:val="bottom"/>
          </w:tcPr>
          <w:p w:rsidR="00AC12B4" w:rsidRDefault="00C27636">
            <w:pPr>
              <w:ind w:left="60"/>
              <w:rPr>
                <w:sz w:val="20"/>
                <w:szCs w:val="20"/>
              </w:rPr>
            </w:pPr>
            <w:r>
              <w:rPr>
                <w:rFonts w:ascii="Calibri" w:eastAsia="Calibri" w:hAnsi="Calibri" w:cs="Calibri"/>
              </w:rPr>
              <w:t>indiquent</w:t>
            </w:r>
          </w:p>
        </w:tc>
        <w:tc>
          <w:tcPr>
            <w:tcW w:w="540" w:type="dxa"/>
            <w:gridSpan w:val="2"/>
            <w:vMerge w:val="restart"/>
            <w:vAlign w:val="bottom"/>
          </w:tcPr>
          <w:p w:rsidR="00AC12B4" w:rsidRDefault="00C27636">
            <w:pPr>
              <w:ind w:left="60"/>
              <w:rPr>
                <w:sz w:val="20"/>
                <w:szCs w:val="20"/>
              </w:rPr>
            </w:pPr>
            <w:r>
              <w:rPr>
                <w:rFonts w:ascii="Calibri" w:eastAsia="Calibri" w:hAnsi="Calibri" w:cs="Calibri"/>
              </w:rPr>
              <w:t>avoir</w:t>
            </w:r>
          </w:p>
        </w:tc>
        <w:tc>
          <w:tcPr>
            <w:tcW w:w="1060" w:type="dxa"/>
            <w:gridSpan w:val="2"/>
            <w:vMerge w:val="restart"/>
            <w:vAlign w:val="bottom"/>
          </w:tcPr>
          <w:p w:rsidR="00AC12B4" w:rsidRDefault="00C27636">
            <w:pPr>
              <w:ind w:right="640"/>
              <w:jc w:val="right"/>
              <w:rPr>
                <w:sz w:val="20"/>
                <w:szCs w:val="20"/>
              </w:rPr>
            </w:pPr>
            <w:r>
              <w:rPr>
                <w:rFonts w:ascii="Calibri" w:eastAsia="Calibri" w:hAnsi="Calibri" w:cs="Calibri"/>
              </w:rPr>
              <w:t>dû</w:t>
            </w:r>
          </w:p>
        </w:tc>
        <w:tc>
          <w:tcPr>
            <w:tcW w:w="600" w:type="dxa"/>
            <w:vMerge/>
            <w:vAlign w:val="bottom"/>
          </w:tcPr>
          <w:p w:rsidR="00AC12B4" w:rsidRDefault="00AC12B4">
            <w:pPr>
              <w:rPr>
                <w:sz w:val="11"/>
                <w:szCs w:val="11"/>
              </w:rPr>
            </w:pPr>
          </w:p>
        </w:tc>
        <w:tc>
          <w:tcPr>
            <w:tcW w:w="480" w:type="dxa"/>
            <w:vMerge/>
            <w:vAlign w:val="bottom"/>
          </w:tcPr>
          <w:p w:rsidR="00AC12B4" w:rsidRDefault="00AC12B4">
            <w:pPr>
              <w:rPr>
                <w:sz w:val="11"/>
                <w:szCs w:val="11"/>
              </w:rPr>
            </w:pPr>
          </w:p>
        </w:tc>
        <w:tc>
          <w:tcPr>
            <w:tcW w:w="480" w:type="dxa"/>
            <w:vMerge/>
            <w:vAlign w:val="bottom"/>
          </w:tcPr>
          <w:p w:rsidR="00AC12B4" w:rsidRDefault="00AC12B4">
            <w:pPr>
              <w:rPr>
                <w:sz w:val="11"/>
                <w:szCs w:val="11"/>
              </w:rPr>
            </w:pPr>
          </w:p>
        </w:tc>
        <w:tc>
          <w:tcPr>
            <w:tcW w:w="220" w:type="dxa"/>
            <w:tcBorders>
              <w:right w:val="single" w:sz="8" w:space="0" w:color="C9D11D"/>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740" w:type="dxa"/>
            <w:gridSpan w:val="6"/>
            <w:vMerge/>
            <w:tcBorders>
              <w:right w:val="single" w:sz="8" w:space="0" w:color="C9D11D"/>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77"/>
        </w:trPr>
        <w:tc>
          <w:tcPr>
            <w:tcW w:w="400" w:type="dxa"/>
            <w:vAlign w:val="bottom"/>
          </w:tcPr>
          <w:p w:rsidR="00AC12B4" w:rsidRDefault="00AC12B4">
            <w:pPr>
              <w:rPr>
                <w:sz w:val="15"/>
                <w:szCs w:val="15"/>
              </w:rPr>
            </w:pPr>
          </w:p>
        </w:tc>
        <w:tc>
          <w:tcPr>
            <w:tcW w:w="940" w:type="dxa"/>
            <w:gridSpan w:val="3"/>
            <w:vMerge/>
            <w:vAlign w:val="bottom"/>
          </w:tcPr>
          <w:p w:rsidR="00AC12B4" w:rsidRDefault="00AC12B4">
            <w:pPr>
              <w:rPr>
                <w:sz w:val="15"/>
                <w:szCs w:val="15"/>
              </w:rPr>
            </w:pPr>
          </w:p>
        </w:tc>
        <w:tc>
          <w:tcPr>
            <w:tcW w:w="1060" w:type="dxa"/>
            <w:gridSpan w:val="3"/>
            <w:vMerge/>
            <w:vAlign w:val="bottom"/>
          </w:tcPr>
          <w:p w:rsidR="00AC12B4" w:rsidRDefault="00AC12B4">
            <w:pPr>
              <w:rPr>
                <w:sz w:val="15"/>
                <w:szCs w:val="15"/>
              </w:rPr>
            </w:pPr>
          </w:p>
        </w:tc>
        <w:tc>
          <w:tcPr>
            <w:tcW w:w="1000" w:type="dxa"/>
            <w:gridSpan w:val="3"/>
            <w:vMerge/>
            <w:vAlign w:val="bottom"/>
          </w:tcPr>
          <w:p w:rsidR="00AC12B4" w:rsidRDefault="00AC12B4">
            <w:pPr>
              <w:rPr>
                <w:sz w:val="15"/>
                <w:szCs w:val="15"/>
              </w:rPr>
            </w:pPr>
          </w:p>
        </w:tc>
        <w:tc>
          <w:tcPr>
            <w:tcW w:w="540" w:type="dxa"/>
            <w:gridSpan w:val="2"/>
            <w:vMerge/>
            <w:vAlign w:val="bottom"/>
          </w:tcPr>
          <w:p w:rsidR="00AC12B4" w:rsidRDefault="00AC12B4">
            <w:pPr>
              <w:rPr>
                <w:sz w:val="15"/>
                <w:szCs w:val="15"/>
              </w:rPr>
            </w:pPr>
          </w:p>
        </w:tc>
        <w:tc>
          <w:tcPr>
            <w:tcW w:w="1060" w:type="dxa"/>
            <w:gridSpan w:val="2"/>
            <w:vMerge/>
            <w:vAlign w:val="bottom"/>
          </w:tcPr>
          <w:p w:rsidR="00AC12B4" w:rsidRDefault="00AC12B4">
            <w:pPr>
              <w:rPr>
                <w:sz w:val="15"/>
                <w:szCs w:val="15"/>
              </w:rPr>
            </w:pPr>
          </w:p>
        </w:tc>
        <w:tc>
          <w:tcPr>
            <w:tcW w:w="600" w:type="dxa"/>
            <w:vMerge w:val="restart"/>
            <w:vAlign w:val="bottom"/>
          </w:tcPr>
          <w:p w:rsidR="00AC12B4" w:rsidRDefault="00C27636">
            <w:pPr>
              <w:rPr>
                <w:sz w:val="20"/>
                <w:szCs w:val="20"/>
              </w:rPr>
            </w:pPr>
            <w:r>
              <w:rPr>
                <w:rFonts w:ascii="Calibri" w:eastAsia="Calibri" w:hAnsi="Calibri" w:cs="Calibri"/>
              </w:rPr>
              <w:t>2008,</w:t>
            </w:r>
          </w:p>
        </w:tc>
        <w:tc>
          <w:tcPr>
            <w:tcW w:w="480" w:type="dxa"/>
            <w:vMerge w:val="restart"/>
            <w:vAlign w:val="bottom"/>
          </w:tcPr>
          <w:p w:rsidR="00AC12B4" w:rsidRDefault="00C27636">
            <w:pPr>
              <w:ind w:left="160"/>
              <w:rPr>
                <w:sz w:val="20"/>
                <w:szCs w:val="20"/>
              </w:rPr>
            </w:pPr>
            <w:r>
              <w:rPr>
                <w:rFonts w:ascii="Calibri" w:eastAsia="Calibri" w:hAnsi="Calibri" w:cs="Calibri"/>
              </w:rPr>
              <w:t>le</w:t>
            </w:r>
          </w:p>
        </w:tc>
        <w:tc>
          <w:tcPr>
            <w:tcW w:w="480" w:type="dxa"/>
            <w:vMerge w:val="restart"/>
            <w:vAlign w:val="bottom"/>
          </w:tcPr>
          <w:p w:rsidR="00AC12B4" w:rsidRDefault="00C27636">
            <w:pPr>
              <w:ind w:right="110"/>
              <w:jc w:val="right"/>
              <w:rPr>
                <w:sz w:val="20"/>
                <w:szCs w:val="20"/>
              </w:rPr>
            </w:pPr>
            <w:r>
              <w:rPr>
                <w:rFonts w:ascii="Calibri" w:eastAsia="Calibri" w:hAnsi="Calibri" w:cs="Calibri"/>
              </w:rPr>
              <w:t>%</w:t>
            </w:r>
          </w:p>
        </w:tc>
        <w:tc>
          <w:tcPr>
            <w:tcW w:w="220" w:type="dxa"/>
            <w:tcBorders>
              <w:right w:val="single" w:sz="8" w:space="0" w:color="C9D11D"/>
            </w:tcBorders>
            <w:vAlign w:val="bottom"/>
          </w:tcPr>
          <w:p w:rsidR="00AC12B4" w:rsidRDefault="00AC12B4">
            <w:pPr>
              <w:rPr>
                <w:sz w:val="15"/>
                <w:szCs w:val="15"/>
              </w:rPr>
            </w:pPr>
          </w:p>
        </w:tc>
        <w:tc>
          <w:tcPr>
            <w:tcW w:w="120" w:type="dxa"/>
            <w:vAlign w:val="bottom"/>
          </w:tcPr>
          <w:p w:rsidR="00AC12B4" w:rsidRDefault="00AC12B4">
            <w:pPr>
              <w:rPr>
                <w:sz w:val="15"/>
                <w:szCs w:val="15"/>
              </w:rPr>
            </w:pPr>
          </w:p>
        </w:tc>
        <w:tc>
          <w:tcPr>
            <w:tcW w:w="2740" w:type="dxa"/>
            <w:gridSpan w:val="6"/>
            <w:vMerge/>
            <w:tcBorders>
              <w:right w:val="single" w:sz="8" w:space="0" w:color="C9D11D"/>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1"/>
        </w:trPr>
        <w:tc>
          <w:tcPr>
            <w:tcW w:w="400" w:type="dxa"/>
            <w:vAlign w:val="bottom"/>
          </w:tcPr>
          <w:p w:rsidR="00AC12B4" w:rsidRDefault="00AC12B4">
            <w:pPr>
              <w:rPr>
                <w:sz w:val="7"/>
                <w:szCs w:val="7"/>
              </w:rPr>
            </w:pPr>
          </w:p>
        </w:tc>
        <w:tc>
          <w:tcPr>
            <w:tcW w:w="940" w:type="dxa"/>
            <w:gridSpan w:val="3"/>
            <w:vMerge w:val="restart"/>
            <w:vAlign w:val="bottom"/>
          </w:tcPr>
          <w:p w:rsidR="00AC12B4" w:rsidRDefault="00C27636">
            <w:pPr>
              <w:spacing w:line="233" w:lineRule="exact"/>
              <w:rPr>
                <w:sz w:val="20"/>
                <w:szCs w:val="20"/>
              </w:rPr>
            </w:pPr>
            <w:r>
              <w:rPr>
                <w:rFonts w:ascii="Calibri" w:eastAsia="Calibri" w:hAnsi="Calibri" w:cs="Calibri"/>
              </w:rPr>
              <w:t>postposer</w:t>
            </w:r>
          </w:p>
        </w:tc>
        <w:tc>
          <w:tcPr>
            <w:tcW w:w="420" w:type="dxa"/>
            <w:vMerge w:val="restart"/>
            <w:vAlign w:val="bottom"/>
          </w:tcPr>
          <w:p w:rsidR="00AC12B4" w:rsidRDefault="00C27636">
            <w:pPr>
              <w:spacing w:line="233" w:lineRule="exact"/>
              <w:ind w:left="100"/>
              <w:rPr>
                <w:sz w:val="20"/>
                <w:szCs w:val="20"/>
              </w:rPr>
            </w:pPr>
            <w:r>
              <w:rPr>
                <w:rFonts w:ascii="Calibri" w:eastAsia="Calibri" w:hAnsi="Calibri" w:cs="Calibri"/>
                <w:w w:val="96"/>
              </w:rPr>
              <w:t>des</w:t>
            </w:r>
          </w:p>
        </w:tc>
        <w:tc>
          <w:tcPr>
            <w:tcW w:w="640" w:type="dxa"/>
            <w:gridSpan w:val="2"/>
            <w:vMerge w:val="restart"/>
            <w:vAlign w:val="bottom"/>
          </w:tcPr>
          <w:p w:rsidR="00AC12B4" w:rsidRDefault="00C27636">
            <w:pPr>
              <w:spacing w:line="233" w:lineRule="exact"/>
              <w:ind w:left="120"/>
              <w:rPr>
                <w:sz w:val="20"/>
                <w:szCs w:val="20"/>
              </w:rPr>
            </w:pPr>
            <w:r>
              <w:rPr>
                <w:rFonts w:ascii="Calibri" w:eastAsia="Calibri" w:hAnsi="Calibri" w:cs="Calibri"/>
              </w:rPr>
              <w:t>soins</w:t>
            </w:r>
          </w:p>
        </w:tc>
        <w:tc>
          <w:tcPr>
            <w:tcW w:w="360" w:type="dxa"/>
            <w:vMerge w:val="restart"/>
            <w:vAlign w:val="bottom"/>
          </w:tcPr>
          <w:p w:rsidR="00AC12B4" w:rsidRDefault="00C27636">
            <w:pPr>
              <w:spacing w:line="233" w:lineRule="exact"/>
              <w:ind w:left="60"/>
              <w:rPr>
                <w:sz w:val="20"/>
                <w:szCs w:val="20"/>
              </w:rPr>
            </w:pPr>
            <w:r>
              <w:rPr>
                <w:rFonts w:ascii="Calibri" w:eastAsia="Calibri" w:hAnsi="Calibri" w:cs="Calibri"/>
              </w:rPr>
              <w:t>de</w:t>
            </w:r>
          </w:p>
        </w:tc>
        <w:tc>
          <w:tcPr>
            <w:tcW w:w="640" w:type="dxa"/>
            <w:gridSpan w:val="2"/>
            <w:vMerge w:val="restart"/>
            <w:vAlign w:val="bottom"/>
          </w:tcPr>
          <w:p w:rsidR="00AC12B4" w:rsidRDefault="00C27636">
            <w:pPr>
              <w:spacing w:line="233" w:lineRule="exact"/>
              <w:ind w:right="100"/>
              <w:jc w:val="right"/>
              <w:rPr>
                <w:sz w:val="20"/>
                <w:szCs w:val="20"/>
              </w:rPr>
            </w:pPr>
            <w:r>
              <w:rPr>
                <w:rFonts w:ascii="Calibri" w:eastAsia="Calibri" w:hAnsi="Calibri" w:cs="Calibri"/>
              </w:rPr>
              <w:t>santé</w:t>
            </w:r>
          </w:p>
        </w:tc>
        <w:tc>
          <w:tcPr>
            <w:tcW w:w="540" w:type="dxa"/>
            <w:gridSpan w:val="2"/>
            <w:vMerge w:val="restart"/>
            <w:vAlign w:val="bottom"/>
          </w:tcPr>
          <w:p w:rsidR="00AC12B4" w:rsidRDefault="00C27636">
            <w:pPr>
              <w:spacing w:line="233" w:lineRule="exact"/>
              <w:ind w:left="20"/>
              <w:rPr>
                <w:sz w:val="20"/>
                <w:szCs w:val="20"/>
              </w:rPr>
            </w:pPr>
            <w:r>
              <w:rPr>
                <w:rFonts w:ascii="Calibri" w:eastAsia="Calibri" w:hAnsi="Calibri" w:cs="Calibri"/>
              </w:rPr>
              <w:t>pour</w:t>
            </w:r>
          </w:p>
        </w:tc>
        <w:tc>
          <w:tcPr>
            <w:tcW w:w="1060" w:type="dxa"/>
            <w:gridSpan w:val="2"/>
            <w:vMerge w:val="restart"/>
            <w:vAlign w:val="bottom"/>
          </w:tcPr>
          <w:p w:rsidR="00AC12B4" w:rsidRDefault="00C27636">
            <w:pPr>
              <w:spacing w:line="233" w:lineRule="exact"/>
              <w:ind w:right="640"/>
              <w:jc w:val="right"/>
              <w:rPr>
                <w:sz w:val="20"/>
                <w:szCs w:val="20"/>
              </w:rPr>
            </w:pPr>
            <w:r>
              <w:rPr>
                <w:rFonts w:ascii="Calibri" w:eastAsia="Calibri" w:hAnsi="Calibri" w:cs="Calibri"/>
              </w:rPr>
              <w:t>des</w:t>
            </w:r>
          </w:p>
        </w:tc>
        <w:tc>
          <w:tcPr>
            <w:tcW w:w="600" w:type="dxa"/>
            <w:vMerge/>
            <w:vAlign w:val="bottom"/>
          </w:tcPr>
          <w:p w:rsidR="00AC12B4" w:rsidRDefault="00AC12B4">
            <w:pPr>
              <w:rPr>
                <w:sz w:val="7"/>
                <w:szCs w:val="7"/>
              </w:rPr>
            </w:pPr>
          </w:p>
        </w:tc>
        <w:tc>
          <w:tcPr>
            <w:tcW w:w="480" w:type="dxa"/>
            <w:vMerge/>
            <w:vAlign w:val="bottom"/>
          </w:tcPr>
          <w:p w:rsidR="00AC12B4" w:rsidRDefault="00AC12B4">
            <w:pPr>
              <w:rPr>
                <w:sz w:val="7"/>
                <w:szCs w:val="7"/>
              </w:rPr>
            </w:pPr>
          </w:p>
        </w:tc>
        <w:tc>
          <w:tcPr>
            <w:tcW w:w="480" w:type="dxa"/>
            <w:vMerge/>
            <w:vAlign w:val="bottom"/>
          </w:tcPr>
          <w:p w:rsidR="00AC12B4" w:rsidRDefault="00AC12B4">
            <w:pPr>
              <w:rPr>
                <w:sz w:val="7"/>
                <w:szCs w:val="7"/>
              </w:rPr>
            </w:pPr>
          </w:p>
        </w:tc>
        <w:tc>
          <w:tcPr>
            <w:tcW w:w="220" w:type="dxa"/>
            <w:tcBorders>
              <w:right w:val="single" w:sz="8" w:space="0" w:color="C9D11D"/>
            </w:tcBorders>
            <w:vAlign w:val="bottom"/>
          </w:tcPr>
          <w:p w:rsidR="00AC12B4" w:rsidRDefault="00AC12B4">
            <w:pPr>
              <w:rPr>
                <w:sz w:val="7"/>
                <w:szCs w:val="7"/>
              </w:rPr>
            </w:pPr>
          </w:p>
        </w:tc>
        <w:tc>
          <w:tcPr>
            <w:tcW w:w="120" w:type="dxa"/>
            <w:vAlign w:val="bottom"/>
          </w:tcPr>
          <w:p w:rsidR="00AC12B4" w:rsidRDefault="00AC12B4">
            <w:pPr>
              <w:rPr>
                <w:sz w:val="7"/>
                <w:szCs w:val="7"/>
              </w:rPr>
            </w:pPr>
          </w:p>
        </w:tc>
        <w:tc>
          <w:tcPr>
            <w:tcW w:w="2740" w:type="dxa"/>
            <w:gridSpan w:val="6"/>
            <w:vMerge/>
            <w:tcBorders>
              <w:right w:val="single" w:sz="8" w:space="0" w:color="C9D11D"/>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42"/>
        </w:trPr>
        <w:tc>
          <w:tcPr>
            <w:tcW w:w="400" w:type="dxa"/>
            <w:vAlign w:val="bottom"/>
          </w:tcPr>
          <w:p w:rsidR="00AC12B4" w:rsidRDefault="00AC12B4">
            <w:pPr>
              <w:rPr>
                <w:sz w:val="12"/>
                <w:szCs w:val="12"/>
              </w:rPr>
            </w:pPr>
          </w:p>
        </w:tc>
        <w:tc>
          <w:tcPr>
            <w:tcW w:w="940" w:type="dxa"/>
            <w:gridSpan w:val="3"/>
            <w:vMerge/>
            <w:vAlign w:val="bottom"/>
          </w:tcPr>
          <w:p w:rsidR="00AC12B4" w:rsidRDefault="00AC12B4">
            <w:pPr>
              <w:rPr>
                <w:sz w:val="12"/>
                <w:szCs w:val="12"/>
              </w:rPr>
            </w:pPr>
          </w:p>
        </w:tc>
        <w:tc>
          <w:tcPr>
            <w:tcW w:w="420" w:type="dxa"/>
            <w:vMerge/>
            <w:vAlign w:val="bottom"/>
          </w:tcPr>
          <w:p w:rsidR="00AC12B4" w:rsidRDefault="00AC12B4">
            <w:pPr>
              <w:rPr>
                <w:sz w:val="12"/>
                <w:szCs w:val="12"/>
              </w:rPr>
            </w:pPr>
          </w:p>
        </w:tc>
        <w:tc>
          <w:tcPr>
            <w:tcW w:w="640" w:type="dxa"/>
            <w:gridSpan w:val="2"/>
            <w:vMerge/>
            <w:vAlign w:val="bottom"/>
          </w:tcPr>
          <w:p w:rsidR="00AC12B4" w:rsidRDefault="00AC12B4">
            <w:pPr>
              <w:rPr>
                <w:sz w:val="12"/>
                <w:szCs w:val="12"/>
              </w:rPr>
            </w:pPr>
          </w:p>
        </w:tc>
        <w:tc>
          <w:tcPr>
            <w:tcW w:w="360" w:type="dxa"/>
            <w:vMerge/>
            <w:vAlign w:val="bottom"/>
          </w:tcPr>
          <w:p w:rsidR="00AC12B4" w:rsidRDefault="00AC12B4">
            <w:pPr>
              <w:rPr>
                <w:sz w:val="12"/>
                <w:szCs w:val="12"/>
              </w:rPr>
            </w:pPr>
          </w:p>
        </w:tc>
        <w:tc>
          <w:tcPr>
            <w:tcW w:w="640" w:type="dxa"/>
            <w:gridSpan w:val="2"/>
            <w:vMerge/>
            <w:vAlign w:val="bottom"/>
          </w:tcPr>
          <w:p w:rsidR="00AC12B4" w:rsidRDefault="00AC12B4">
            <w:pPr>
              <w:rPr>
                <w:sz w:val="12"/>
                <w:szCs w:val="12"/>
              </w:rPr>
            </w:pPr>
          </w:p>
        </w:tc>
        <w:tc>
          <w:tcPr>
            <w:tcW w:w="540" w:type="dxa"/>
            <w:gridSpan w:val="2"/>
            <w:vMerge/>
            <w:vAlign w:val="bottom"/>
          </w:tcPr>
          <w:p w:rsidR="00AC12B4" w:rsidRDefault="00AC12B4">
            <w:pPr>
              <w:rPr>
                <w:sz w:val="12"/>
                <w:szCs w:val="12"/>
              </w:rPr>
            </w:pPr>
          </w:p>
        </w:tc>
        <w:tc>
          <w:tcPr>
            <w:tcW w:w="1060" w:type="dxa"/>
            <w:gridSpan w:val="2"/>
            <w:vMerge/>
            <w:vAlign w:val="bottom"/>
          </w:tcPr>
          <w:p w:rsidR="00AC12B4" w:rsidRDefault="00AC12B4">
            <w:pPr>
              <w:rPr>
                <w:sz w:val="12"/>
                <w:szCs w:val="12"/>
              </w:rPr>
            </w:pPr>
          </w:p>
        </w:tc>
        <w:tc>
          <w:tcPr>
            <w:tcW w:w="1080" w:type="dxa"/>
            <w:gridSpan w:val="2"/>
            <w:vMerge w:val="restart"/>
            <w:vAlign w:val="bottom"/>
          </w:tcPr>
          <w:p w:rsidR="00AC12B4" w:rsidRDefault="00C27636">
            <w:pPr>
              <w:rPr>
                <w:sz w:val="20"/>
                <w:szCs w:val="20"/>
              </w:rPr>
            </w:pPr>
            <w:r>
              <w:rPr>
                <w:rFonts w:ascii="Calibri" w:eastAsia="Calibri" w:hAnsi="Calibri" w:cs="Calibri"/>
              </w:rPr>
              <w:t>d’enfants</w:t>
            </w:r>
          </w:p>
        </w:tc>
        <w:tc>
          <w:tcPr>
            <w:tcW w:w="480" w:type="dxa"/>
            <w:vAlign w:val="bottom"/>
          </w:tcPr>
          <w:p w:rsidR="00AC12B4" w:rsidRDefault="00AC12B4">
            <w:pPr>
              <w:rPr>
                <w:sz w:val="12"/>
                <w:szCs w:val="12"/>
              </w:rPr>
            </w:pPr>
          </w:p>
        </w:tc>
        <w:tc>
          <w:tcPr>
            <w:tcW w:w="220" w:type="dxa"/>
            <w:tcBorders>
              <w:right w:val="single" w:sz="8" w:space="0" w:color="C9D11D"/>
            </w:tcBorders>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2740" w:type="dxa"/>
            <w:gridSpan w:val="6"/>
            <w:vMerge/>
            <w:tcBorders>
              <w:right w:val="single" w:sz="8" w:space="0" w:color="C9D11D"/>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7"/>
        </w:trPr>
        <w:tc>
          <w:tcPr>
            <w:tcW w:w="400" w:type="dxa"/>
            <w:vAlign w:val="bottom"/>
          </w:tcPr>
          <w:p w:rsidR="00AC12B4" w:rsidRDefault="00AC12B4">
            <w:pPr>
              <w:rPr>
                <w:sz w:val="11"/>
                <w:szCs w:val="11"/>
              </w:rPr>
            </w:pPr>
          </w:p>
        </w:tc>
        <w:tc>
          <w:tcPr>
            <w:tcW w:w="720" w:type="dxa"/>
            <w:gridSpan w:val="2"/>
            <w:vMerge w:val="restart"/>
            <w:vAlign w:val="bottom"/>
          </w:tcPr>
          <w:p w:rsidR="00AC12B4" w:rsidRDefault="00C27636">
            <w:pPr>
              <w:rPr>
                <w:sz w:val="20"/>
                <w:szCs w:val="20"/>
              </w:rPr>
            </w:pPr>
            <w:r>
              <w:rPr>
                <w:rFonts w:ascii="Calibri" w:eastAsia="Calibri" w:hAnsi="Calibri" w:cs="Calibri"/>
              </w:rPr>
              <w:t>raisons</w:t>
            </w:r>
          </w:p>
        </w:tc>
        <w:tc>
          <w:tcPr>
            <w:tcW w:w="1120" w:type="dxa"/>
            <w:gridSpan w:val="3"/>
            <w:vMerge w:val="restart"/>
            <w:vAlign w:val="bottom"/>
          </w:tcPr>
          <w:p w:rsidR="00AC12B4" w:rsidRDefault="00C27636">
            <w:pPr>
              <w:ind w:left="60"/>
              <w:rPr>
                <w:sz w:val="20"/>
                <w:szCs w:val="20"/>
              </w:rPr>
            </w:pPr>
            <w:r>
              <w:rPr>
                <w:rFonts w:ascii="Calibri" w:eastAsia="Calibri" w:hAnsi="Calibri" w:cs="Calibri"/>
              </w:rPr>
              <w:t>financières</w:t>
            </w:r>
          </w:p>
        </w:tc>
        <w:tc>
          <w:tcPr>
            <w:tcW w:w="520" w:type="dxa"/>
            <w:gridSpan w:val="2"/>
            <w:vMerge w:val="restart"/>
            <w:vAlign w:val="bottom"/>
          </w:tcPr>
          <w:p w:rsidR="00AC12B4" w:rsidRDefault="00C27636">
            <w:pPr>
              <w:ind w:left="60"/>
              <w:rPr>
                <w:sz w:val="20"/>
                <w:szCs w:val="20"/>
              </w:rPr>
            </w:pPr>
            <w:r>
              <w:rPr>
                <w:rFonts w:ascii="Calibri" w:eastAsia="Calibri" w:hAnsi="Calibri" w:cs="Calibri"/>
              </w:rPr>
              <w:t>pour</w:t>
            </w:r>
          </w:p>
        </w:tc>
        <w:tc>
          <w:tcPr>
            <w:tcW w:w="640" w:type="dxa"/>
            <w:gridSpan w:val="2"/>
            <w:vMerge w:val="restart"/>
            <w:vAlign w:val="bottom"/>
          </w:tcPr>
          <w:p w:rsidR="00AC12B4" w:rsidRDefault="00C27636">
            <w:pPr>
              <w:ind w:right="60"/>
              <w:jc w:val="right"/>
              <w:rPr>
                <w:sz w:val="20"/>
                <w:szCs w:val="20"/>
              </w:rPr>
            </w:pPr>
            <w:r>
              <w:rPr>
                <w:rFonts w:ascii="Calibri" w:eastAsia="Calibri" w:hAnsi="Calibri" w:cs="Calibri"/>
              </w:rPr>
              <w:t>l’un</w:t>
            </w:r>
          </w:p>
        </w:tc>
        <w:tc>
          <w:tcPr>
            <w:tcW w:w="1600" w:type="dxa"/>
            <w:gridSpan w:val="4"/>
            <w:vMerge w:val="restart"/>
            <w:vAlign w:val="bottom"/>
          </w:tcPr>
          <w:p w:rsidR="00AC12B4" w:rsidRDefault="00C27636">
            <w:pPr>
              <w:ind w:right="640"/>
              <w:jc w:val="right"/>
              <w:rPr>
                <w:sz w:val="20"/>
                <w:szCs w:val="20"/>
              </w:rPr>
            </w:pPr>
            <w:r>
              <w:rPr>
                <w:rFonts w:ascii="Calibri" w:eastAsia="Calibri" w:hAnsi="Calibri" w:cs="Calibri"/>
              </w:rPr>
              <w:t>de leurs</w:t>
            </w:r>
          </w:p>
        </w:tc>
        <w:tc>
          <w:tcPr>
            <w:tcW w:w="1080" w:type="dxa"/>
            <w:gridSpan w:val="2"/>
            <w:vMerge/>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220" w:type="dxa"/>
            <w:tcBorders>
              <w:right w:val="single" w:sz="8" w:space="0" w:color="C9D11D"/>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740" w:type="dxa"/>
            <w:gridSpan w:val="6"/>
            <w:vMerge/>
            <w:tcBorders>
              <w:right w:val="single" w:sz="8" w:space="0" w:color="C9D11D"/>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15"/>
        </w:trPr>
        <w:tc>
          <w:tcPr>
            <w:tcW w:w="400" w:type="dxa"/>
            <w:vAlign w:val="bottom"/>
          </w:tcPr>
          <w:p w:rsidR="00AC12B4" w:rsidRDefault="00AC12B4">
            <w:pPr>
              <w:rPr>
                <w:sz w:val="18"/>
                <w:szCs w:val="18"/>
              </w:rPr>
            </w:pPr>
          </w:p>
        </w:tc>
        <w:tc>
          <w:tcPr>
            <w:tcW w:w="720" w:type="dxa"/>
            <w:gridSpan w:val="2"/>
            <w:vMerge/>
            <w:vAlign w:val="bottom"/>
          </w:tcPr>
          <w:p w:rsidR="00AC12B4" w:rsidRDefault="00AC12B4">
            <w:pPr>
              <w:rPr>
                <w:sz w:val="18"/>
                <w:szCs w:val="18"/>
              </w:rPr>
            </w:pPr>
          </w:p>
        </w:tc>
        <w:tc>
          <w:tcPr>
            <w:tcW w:w="1120" w:type="dxa"/>
            <w:gridSpan w:val="3"/>
            <w:vMerge/>
            <w:vAlign w:val="bottom"/>
          </w:tcPr>
          <w:p w:rsidR="00AC12B4" w:rsidRDefault="00AC12B4">
            <w:pPr>
              <w:rPr>
                <w:sz w:val="18"/>
                <w:szCs w:val="18"/>
              </w:rPr>
            </w:pPr>
          </w:p>
        </w:tc>
        <w:tc>
          <w:tcPr>
            <w:tcW w:w="520" w:type="dxa"/>
            <w:gridSpan w:val="2"/>
            <w:vMerge/>
            <w:vAlign w:val="bottom"/>
          </w:tcPr>
          <w:p w:rsidR="00AC12B4" w:rsidRDefault="00AC12B4">
            <w:pPr>
              <w:rPr>
                <w:sz w:val="18"/>
                <w:szCs w:val="18"/>
              </w:rPr>
            </w:pPr>
          </w:p>
        </w:tc>
        <w:tc>
          <w:tcPr>
            <w:tcW w:w="640" w:type="dxa"/>
            <w:gridSpan w:val="2"/>
            <w:vMerge/>
            <w:vAlign w:val="bottom"/>
          </w:tcPr>
          <w:p w:rsidR="00AC12B4" w:rsidRDefault="00AC12B4">
            <w:pPr>
              <w:rPr>
                <w:sz w:val="18"/>
                <w:szCs w:val="18"/>
              </w:rPr>
            </w:pPr>
          </w:p>
        </w:tc>
        <w:tc>
          <w:tcPr>
            <w:tcW w:w="1600" w:type="dxa"/>
            <w:gridSpan w:val="4"/>
            <w:vMerge/>
            <w:vAlign w:val="bottom"/>
          </w:tcPr>
          <w:p w:rsidR="00AC12B4" w:rsidRDefault="00AC12B4">
            <w:pPr>
              <w:rPr>
                <w:sz w:val="18"/>
                <w:szCs w:val="18"/>
              </w:rPr>
            </w:pPr>
          </w:p>
        </w:tc>
        <w:tc>
          <w:tcPr>
            <w:tcW w:w="600" w:type="dxa"/>
            <w:vAlign w:val="bottom"/>
          </w:tcPr>
          <w:p w:rsidR="00AC12B4" w:rsidRDefault="00C27636">
            <w:pPr>
              <w:spacing w:line="214" w:lineRule="exact"/>
              <w:rPr>
                <w:sz w:val="20"/>
                <w:szCs w:val="20"/>
              </w:rPr>
            </w:pPr>
            <w:r>
              <w:rPr>
                <w:rFonts w:ascii="Calibri" w:eastAsia="Calibri" w:hAnsi="Calibri" w:cs="Calibri"/>
              </w:rPr>
              <w:t>vivant</w:t>
            </w:r>
          </w:p>
        </w:tc>
        <w:tc>
          <w:tcPr>
            <w:tcW w:w="960" w:type="dxa"/>
            <w:gridSpan w:val="2"/>
            <w:vAlign w:val="bottom"/>
          </w:tcPr>
          <w:p w:rsidR="00AC12B4" w:rsidRDefault="00C27636">
            <w:pPr>
              <w:spacing w:line="214" w:lineRule="exact"/>
              <w:ind w:right="110"/>
              <w:jc w:val="right"/>
              <w:rPr>
                <w:sz w:val="20"/>
                <w:szCs w:val="20"/>
              </w:rPr>
            </w:pPr>
            <w:r>
              <w:rPr>
                <w:rFonts w:ascii="Calibri" w:eastAsia="Calibri" w:hAnsi="Calibri" w:cs="Calibri"/>
              </w:rPr>
              <w:t>dans</w:t>
            </w:r>
          </w:p>
        </w:tc>
        <w:tc>
          <w:tcPr>
            <w:tcW w:w="220" w:type="dxa"/>
            <w:tcBorders>
              <w:right w:val="single" w:sz="8" w:space="0" w:color="C9D11D"/>
            </w:tcBorders>
            <w:vAlign w:val="bottom"/>
          </w:tcPr>
          <w:p w:rsidR="00AC12B4" w:rsidRDefault="00AC12B4">
            <w:pPr>
              <w:rPr>
                <w:sz w:val="18"/>
                <w:szCs w:val="18"/>
              </w:rPr>
            </w:pPr>
          </w:p>
        </w:tc>
        <w:tc>
          <w:tcPr>
            <w:tcW w:w="120" w:type="dxa"/>
            <w:vAlign w:val="bottom"/>
          </w:tcPr>
          <w:p w:rsidR="00AC12B4" w:rsidRDefault="00AC12B4">
            <w:pPr>
              <w:rPr>
                <w:sz w:val="18"/>
                <w:szCs w:val="18"/>
              </w:rPr>
            </w:pPr>
          </w:p>
        </w:tc>
        <w:tc>
          <w:tcPr>
            <w:tcW w:w="2740" w:type="dxa"/>
            <w:gridSpan w:val="6"/>
            <w:vMerge/>
            <w:tcBorders>
              <w:right w:val="single" w:sz="8" w:space="0" w:color="C9D11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20"/>
        </w:trPr>
        <w:tc>
          <w:tcPr>
            <w:tcW w:w="400" w:type="dxa"/>
            <w:vAlign w:val="bottom"/>
          </w:tcPr>
          <w:p w:rsidR="00AC12B4" w:rsidRDefault="00AC12B4">
            <w:pPr>
              <w:rPr>
                <w:sz w:val="19"/>
                <w:szCs w:val="19"/>
              </w:rPr>
            </w:pPr>
          </w:p>
        </w:tc>
        <w:tc>
          <w:tcPr>
            <w:tcW w:w="940" w:type="dxa"/>
            <w:gridSpan w:val="3"/>
            <w:vAlign w:val="bottom"/>
          </w:tcPr>
          <w:p w:rsidR="00AC12B4" w:rsidRDefault="00C27636">
            <w:pPr>
              <w:spacing w:line="220" w:lineRule="exact"/>
              <w:rPr>
                <w:sz w:val="20"/>
                <w:szCs w:val="20"/>
              </w:rPr>
            </w:pPr>
            <w:r>
              <w:rPr>
                <w:rFonts w:ascii="Calibri" w:eastAsia="Calibri" w:hAnsi="Calibri" w:cs="Calibri"/>
              </w:rPr>
              <w:t>membres.</w:t>
            </w:r>
          </w:p>
        </w:tc>
        <w:tc>
          <w:tcPr>
            <w:tcW w:w="420" w:type="dxa"/>
            <w:vAlign w:val="bottom"/>
          </w:tcPr>
          <w:p w:rsidR="00AC12B4" w:rsidRDefault="00AC12B4">
            <w:pPr>
              <w:rPr>
                <w:sz w:val="19"/>
                <w:szCs w:val="19"/>
              </w:rPr>
            </w:pPr>
          </w:p>
        </w:tc>
        <w:tc>
          <w:tcPr>
            <w:tcW w:w="480" w:type="dxa"/>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360" w:type="dxa"/>
            <w:vAlign w:val="bottom"/>
          </w:tcPr>
          <w:p w:rsidR="00AC12B4" w:rsidRDefault="00AC12B4">
            <w:pPr>
              <w:rPr>
                <w:sz w:val="19"/>
                <w:szCs w:val="19"/>
              </w:rPr>
            </w:pPr>
          </w:p>
        </w:tc>
        <w:tc>
          <w:tcPr>
            <w:tcW w:w="52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900" w:type="dxa"/>
            <w:vAlign w:val="bottom"/>
          </w:tcPr>
          <w:p w:rsidR="00AC12B4" w:rsidRDefault="00AC12B4">
            <w:pPr>
              <w:rPr>
                <w:sz w:val="19"/>
                <w:szCs w:val="19"/>
              </w:rPr>
            </w:pPr>
          </w:p>
        </w:tc>
        <w:tc>
          <w:tcPr>
            <w:tcW w:w="600" w:type="dxa"/>
            <w:vMerge w:val="restart"/>
            <w:vAlign w:val="bottom"/>
          </w:tcPr>
          <w:p w:rsidR="00AC12B4" w:rsidRDefault="00C27636">
            <w:pPr>
              <w:rPr>
                <w:sz w:val="20"/>
                <w:szCs w:val="20"/>
              </w:rPr>
            </w:pPr>
            <w:r>
              <w:rPr>
                <w:rFonts w:ascii="Calibri" w:eastAsia="Calibri" w:hAnsi="Calibri" w:cs="Calibri"/>
              </w:rPr>
              <w:t>une</w:t>
            </w:r>
          </w:p>
        </w:tc>
        <w:tc>
          <w:tcPr>
            <w:tcW w:w="960" w:type="dxa"/>
            <w:gridSpan w:val="2"/>
            <w:vMerge w:val="restart"/>
            <w:vAlign w:val="bottom"/>
          </w:tcPr>
          <w:p w:rsidR="00AC12B4" w:rsidRDefault="00C27636">
            <w:pPr>
              <w:ind w:right="110"/>
              <w:jc w:val="right"/>
              <w:rPr>
                <w:sz w:val="20"/>
                <w:szCs w:val="20"/>
              </w:rPr>
            </w:pPr>
            <w:r>
              <w:rPr>
                <w:rFonts w:ascii="Calibri" w:eastAsia="Calibri" w:hAnsi="Calibri" w:cs="Calibri"/>
              </w:rPr>
              <w:t>famille</w:t>
            </w:r>
          </w:p>
        </w:tc>
        <w:tc>
          <w:tcPr>
            <w:tcW w:w="220" w:type="dxa"/>
            <w:tcBorders>
              <w:right w:val="single" w:sz="8" w:space="0" w:color="C9D11D"/>
            </w:tcBorders>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800" w:type="dxa"/>
            <w:gridSpan w:val="2"/>
            <w:vMerge w:val="restart"/>
            <w:vAlign w:val="bottom"/>
          </w:tcPr>
          <w:p w:rsidR="00AC12B4" w:rsidRDefault="00C27636">
            <w:pPr>
              <w:ind w:left="40"/>
              <w:rPr>
                <w:sz w:val="20"/>
                <w:szCs w:val="20"/>
              </w:rPr>
            </w:pPr>
            <w:r>
              <w:rPr>
                <w:rFonts w:ascii="Comic Sans MS" w:eastAsia="Comic Sans MS" w:hAnsi="Comic Sans MS" w:cs="Comic Sans MS"/>
                <w:sz w:val="20"/>
                <w:szCs w:val="20"/>
              </w:rPr>
              <w:t>c’est</w:t>
            </w:r>
          </w:p>
        </w:tc>
        <w:tc>
          <w:tcPr>
            <w:tcW w:w="600" w:type="dxa"/>
            <w:gridSpan w:val="2"/>
            <w:vMerge w:val="restart"/>
            <w:vAlign w:val="bottom"/>
          </w:tcPr>
          <w:p w:rsidR="00AC12B4" w:rsidRDefault="00C27636">
            <w:pPr>
              <w:ind w:right="210"/>
              <w:jc w:val="center"/>
              <w:rPr>
                <w:sz w:val="20"/>
                <w:szCs w:val="20"/>
              </w:rPr>
            </w:pPr>
            <w:r>
              <w:rPr>
                <w:rFonts w:ascii="Comic Sans MS" w:eastAsia="Comic Sans MS" w:hAnsi="Comic Sans MS" w:cs="Comic Sans MS"/>
                <w:w w:val="97"/>
                <w:sz w:val="20"/>
                <w:szCs w:val="20"/>
              </w:rPr>
              <w:t>le</w:t>
            </w:r>
          </w:p>
        </w:tc>
        <w:tc>
          <w:tcPr>
            <w:tcW w:w="1340" w:type="dxa"/>
            <w:gridSpan w:val="2"/>
            <w:vMerge w:val="restart"/>
            <w:tcBorders>
              <w:right w:val="single" w:sz="8" w:space="0" w:color="C9D11D"/>
            </w:tcBorders>
            <w:vAlign w:val="bottom"/>
          </w:tcPr>
          <w:p w:rsidR="00AC12B4" w:rsidRDefault="00C27636">
            <w:pPr>
              <w:ind w:right="90"/>
              <w:jc w:val="right"/>
              <w:rPr>
                <w:sz w:val="20"/>
                <w:szCs w:val="20"/>
              </w:rPr>
            </w:pPr>
            <w:r>
              <w:rPr>
                <w:rFonts w:ascii="Comic Sans MS" w:eastAsia="Comic Sans MS" w:hAnsi="Comic Sans MS" w:cs="Comic Sans MS"/>
                <w:w w:val="98"/>
                <w:sz w:val="20"/>
                <w:szCs w:val="20"/>
              </w:rPr>
              <w:t>pourcentage</w:t>
            </w:r>
          </w:p>
        </w:tc>
        <w:tc>
          <w:tcPr>
            <w:tcW w:w="0" w:type="dxa"/>
            <w:vAlign w:val="bottom"/>
          </w:tcPr>
          <w:p w:rsidR="00AC12B4" w:rsidRDefault="00AC12B4">
            <w:pPr>
              <w:rPr>
                <w:sz w:val="1"/>
                <w:szCs w:val="1"/>
              </w:rPr>
            </w:pPr>
          </w:p>
        </w:tc>
      </w:tr>
      <w:tr w:rsidR="00AC12B4" w:rsidRPr="00C27636">
        <w:trPr>
          <w:trHeight w:val="152"/>
        </w:trPr>
        <w:tc>
          <w:tcPr>
            <w:tcW w:w="400" w:type="dxa"/>
            <w:vAlign w:val="bottom"/>
          </w:tcPr>
          <w:p w:rsidR="00AC12B4" w:rsidRDefault="00AC12B4">
            <w:pPr>
              <w:rPr>
                <w:sz w:val="13"/>
                <w:szCs w:val="13"/>
              </w:rPr>
            </w:pPr>
          </w:p>
        </w:tc>
        <w:tc>
          <w:tcPr>
            <w:tcW w:w="4600" w:type="dxa"/>
            <w:gridSpan w:val="13"/>
            <w:vMerge w:val="restart"/>
            <w:vAlign w:val="bottom"/>
          </w:tcPr>
          <w:p w:rsidR="00AC12B4" w:rsidRPr="00C27636" w:rsidRDefault="00C27636">
            <w:pPr>
              <w:rPr>
                <w:sz w:val="20"/>
                <w:szCs w:val="20"/>
                <w:lang w:val="fr-BE"/>
              </w:rPr>
            </w:pPr>
            <w:r w:rsidRPr="00C27636">
              <w:rPr>
                <w:rFonts w:ascii="Calibri" w:eastAsia="Calibri" w:hAnsi="Calibri" w:cs="Calibri"/>
                <w:lang w:val="fr-BE"/>
              </w:rPr>
              <w:t>Ce nombre passe à près de 20% pour les</w:t>
            </w:r>
          </w:p>
        </w:tc>
        <w:tc>
          <w:tcPr>
            <w:tcW w:w="600" w:type="dxa"/>
            <w:vMerge/>
            <w:vAlign w:val="bottom"/>
          </w:tcPr>
          <w:p w:rsidR="00AC12B4" w:rsidRPr="00C27636" w:rsidRDefault="00AC12B4">
            <w:pPr>
              <w:rPr>
                <w:sz w:val="13"/>
                <w:szCs w:val="13"/>
                <w:lang w:val="fr-BE"/>
              </w:rPr>
            </w:pPr>
          </w:p>
        </w:tc>
        <w:tc>
          <w:tcPr>
            <w:tcW w:w="960" w:type="dxa"/>
            <w:gridSpan w:val="2"/>
            <w:vMerge/>
            <w:vAlign w:val="bottom"/>
          </w:tcPr>
          <w:p w:rsidR="00AC12B4" w:rsidRPr="00C27636" w:rsidRDefault="00AC12B4">
            <w:pPr>
              <w:rPr>
                <w:sz w:val="13"/>
                <w:szCs w:val="13"/>
                <w:lang w:val="fr-BE"/>
              </w:rPr>
            </w:pPr>
          </w:p>
        </w:tc>
        <w:tc>
          <w:tcPr>
            <w:tcW w:w="220" w:type="dxa"/>
            <w:tcBorders>
              <w:right w:val="single" w:sz="8" w:space="0" w:color="C9D11D"/>
            </w:tcBorders>
            <w:vAlign w:val="bottom"/>
          </w:tcPr>
          <w:p w:rsidR="00AC12B4" w:rsidRPr="00C27636" w:rsidRDefault="00AC12B4">
            <w:pPr>
              <w:rPr>
                <w:sz w:val="13"/>
                <w:szCs w:val="13"/>
                <w:lang w:val="fr-BE"/>
              </w:rPr>
            </w:pPr>
          </w:p>
        </w:tc>
        <w:tc>
          <w:tcPr>
            <w:tcW w:w="120" w:type="dxa"/>
            <w:vAlign w:val="bottom"/>
          </w:tcPr>
          <w:p w:rsidR="00AC12B4" w:rsidRPr="00C27636" w:rsidRDefault="00AC12B4">
            <w:pPr>
              <w:rPr>
                <w:sz w:val="13"/>
                <w:szCs w:val="13"/>
                <w:lang w:val="fr-BE"/>
              </w:rPr>
            </w:pPr>
          </w:p>
        </w:tc>
        <w:tc>
          <w:tcPr>
            <w:tcW w:w="800" w:type="dxa"/>
            <w:gridSpan w:val="2"/>
            <w:vMerge/>
            <w:vAlign w:val="bottom"/>
          </w:tcPr>
          <w:p w:rsidR="00AC12B4" w:rsidRPr="00C27636" w:rsidRDefault="00AC12B4">
            <w:pPr>
              <w:rPr>
                <w:sz w:val="13"/>
                <w:szCs w:val="13"/>
                <w:lang w:val="fr-BE"/>
              </w:rPr>
            </w:pPr>
          </w:p>
        </w:tc>
        <w:tc>
          <w:tcPr>
            <w:tcW w:w="600" w:type="dxa"/>
            <w:gridSpan w:val="2"/>
            <w:vMerge/>
            <w:vAlign w:val="bottom"/>
          </w:tcPr>
          <w:p w:rsidR="00AC12B4" w:rsidRPr="00C27636" w:rsidRDefault="00AC12B4">
            <w:pPr>
              <w:rPr>
                <w:sz w:val="13"/>
                <w:szCs w:val="13"/>
                <w:lang w:val="fr-BE"/>
              </w:rPr>
            </w:pPr>
          </w:p>
        </w:tc>
        <w:tc>
          <w:tcPr>
            <w:tcW w:w="1340" w:type="dxa"/>
            <w:gridSpan w:val="2"/>
            <w:vMerge/>
            <w:tcBorders>
              <w:right w:val="single" w:sz="8" w:space="0" w:color="C9D11D"/>
            </w:tcBorders>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trPr>
          <w:trHeight w:val="262"/>
        </w:trPr>
        <w:tc>
          <w:tcPr>
            <w:tcW w:w="400" w:type="dxa"/>
            <w:vAlign w:val="bottom"/>
          </w:tcPr>
          <w:p w:rsidR="00AC12B4" w:rsidRPr="00C27636" w:rsidRDefault="00AC12B4">
            <w:pPr>
              <w:rPr>
                <w:lang w:val="fr-BE"/>
              </w:rPr>
            </w:pPr>
          </w:p>
        </w:tc>
        <w:tc>
          <w:tcPr>
            <w:tcW w:w="4600" w:type="dxa"/>
            <w:gridSpan w:val="13"/>
            <w:vMerge/>
            <w:vAlign w:val="bottom"/>
          </w:tcPr>
          <w:p w:rsidR="00AC12B4" w:rsidRPr="00C27636" w:rsidRDefault="00AC12B4">
            <w:pPr>
              <w:rPr>
                <w:lang w:val="fr-BE"/>
              </w:rPr>
            </w:pPr>
          </w:p>
        </w:tc>
        <w:tc>
          <w:tcPr>
            <w:tcW w:w="1080" w:type="dxa"/>
            <w:gridSpan w:val="2"/>
            <w:vAlign w:val="bottom"/>
          </w:tcPr>
          <w:p w:rsidR="00AC12B4" w:rsidRDefault="00C27636">
            <w:pPr>
              <w:spacing w:line="220" w:lineRule="exact"/>
              <w:rPr>
                <w:sz w:val="20"/>
                <w:szCs w:val="20"/>
              </w:rPr>
            </w:pPr>
            <w:r>
              <w:rPr>
                <w:rFonts w:ascii="Calibri" w:eastAsia="Calibri" w:hAnsi="Calibri" w:cs="Calibri"/>
              </w:rPr>
              <w:t>indiqu</w:t>
            </w:r>
            <w:r>
              <w:rPr>
                <w:rFonts w:ascii="Calibri" w:eastAsia="Calibri" w:hAnsi="Calibri" w:cs="Calibri"/>
              </w:rPr>
              <w:lastRenderedPageBreak/>
              <w:t>ant</w:t>
            </w:r>
          </w:p>
        </w:tc>
        <w:tc>
          <w:tcPr>
            <w:tcW w:w="480" w:type="dxa"/>
            <w:vAlign w:val="bottom"/>
          </w:tcPr>
          <w:p w:rsidR="00AC12B4" w:rsidRDefault="00AC12B4"/>
        </w:tc>
        <w:tc>
          <w:tcPr>
            <w:tcW w:w="220" w:type="dxa"/>
            <w:tcBorders>
              <w:right w:val="single" w:sz="8" w:space="0" w:color="C9D11D"/>
            </w:tcBorders>
            <w:vAlign w:val="bottom"/>
          </w:tcPr>
          <w:p w:rsidR="00AC12B4" w:rsidRDefault="00AC12B4"/>
        </w:tc>
        <w:tc>
          <w:tcPr>
            <w:tcW w:w="120" w:type="dxa"/>
            <w:vAlign w:val="bottom"/>
          </w:tcPr>
          <w:p w:rsidR="00AC12B4" w:rsidRDefault="00AC12B4"/>
        </w:tc>
        <w:tc>
          <w:tcPr>
            <w:tcW w:w="2740" w:type="dxa"/>
            <w:gridSpan w:val="6"/>
            <w:tcBorders>
              <w:right w:val="single" w:sz="8" w:space="0" w:color="C9D11D"/>
            </w:tcBorders>
            <w:vAlign w:val="bottom"/>
          </w:tcPr>
          <w:p w:rsidR="00AC12B4" w:rsidRDefault="00C27636">
            <w:pPr>
              <w:spacing w:line="262" w:lineRule="exact"/>
              <w:ind w:left="40"/>
              <w:rPr>
                <w:sz w:val="20"/>
                <w:szCs w:val="20"/>
              </w:rPr>
            </w:pPr>
            <w:r>
              <w:rPr>
                <w:rFonts w:ascii="Comic Sans MS" w:eastAsia="Comic Sans MS" w:hAnsi="Comic Sans MS" w:cs="Comic Sans MS"/>
                <w:sz w:val="20"/>
                <w:szCs w:val="20"/>
              </w:rPr>
              <w:t>d’enfants</w:t>
            </w:r>
            <w:r>
              <w:rPr>
                <w:rFonts w:ascii="Comic Sans MS" w:eastAsia="Comic Sans MS" w:hAnsi="Comic Sans MS" w:cs="Comic Sans MS"/>
                <w:sz w:val="20"/>
                <w:szCs w:val="20"/>
              </w:rPr>
              <w:t xml:space="preserve"> </w:t>
            </w:r>
            <w:r>
              <w:rPr>
                <w:rFonts w:ascii="Comic Sans MS" w:eastAsia="Comic Sans MS" w:hAnsi="Comic Sans MS" w:cs="Comic Sans MS"/>
                <w:sz w:val="20"/>
                <w:szCs w:val="20"/>
              </w:rPr>
              <w:lastRenderedPageBreak/>
              <w:t>appartenant à un</w:t>
            </w:r>
          </w:p>
        </w:tc>
        <w:tc>
          <w:tcPr>
            <w:tcW w:w="0" w:type="dxa"/>
            <w:vAlign w:val="bottom"/>
          </w:tcPr>
          <w:p w:rsidR="00AC12B4" w:rsidRDefault="00AC12B4">
            <w:pPr>
              <w:rPr>
                <w:sz w:val="1"/>
                <w:szCs w:val="1"/>
              </w:rPr>
            </w:pPr>
          </w:p>
        </w:tc>
      </w:tr>
      <w:tr w:rsidR="00AC12B4">
        <w:trPr>
          <w:trHeight w:val="269"/>
        </w:trPr>
        <w:tc>
          <w:tcPr>
            <w:tcW w:w="400" w:type="dxa"/>
            <w:vAlign w:val="bottom"/>
          </w:tcPr>
          <w:p w:rsidR="00AC12B4" w:rsidRDefault="00AC12B4">
            <w:pPr>
              <w:rPr>
                <w:sz w:val="23"/>
                <w:szCs w:val="23"/>
              </w:rPr>
            </w:pPr>
          </w:p>
        </w:tc>
        <w:tc>
          <w:tcPr>
            <w:tcW w:w="4600" w:type="dxa"/>
            <w:gridSpan w:val="13"/>
            <w:vAlign w:val="bottom"/>
          </w:tcPr>
          <w:p w:rsidR="00AC12B4" w:rsidRPr="00C27636" w:rsidRDefault="00C27636">
            <w:pPr>
              <w:spacing w:line="220" w:lineRule="exact"/>
              <w:rPr>
                <w:sz w:val="20"/>
                <w:szCs w:val="20"/>
                <w:lang w:val="fr-BE"/>
              </w:rPr>
            </w:pPr>
            <w:r w:rsidRPr="00C27636">
              <w:rPr>
                <w:rFonts w:ascii="Calibri" w:eastAsia="Calibri" w:hAnsi="Calibri" w:cs="Calibri"/>
                <w:lang w:val="fr-BE"/>
              </w:rPr>
              <w:t>familles monoparentales, ce qui indique la</w:t>
            </w:r>
          </w:p>
        </w:tc>
        <w:tc>
          <w:tcPr>
            <w:tcW w:w="600" w:type="dxa"/>
            <w:vAlign w:val="bottom"/>
          </w:tcPr>
          <w:p w:rsidR="00AC12B4" w:rsidRDefault="00C27636">
            <w:pPr>
              <w:spacing w:line="227" w:lineRule="exact"/>
              <w:rPr>
                <w:sz w:val="20"/>
                <w:szCs w:val="20"/>
              </w:rPr>
            </w:pPr>
            <w:r>
              <w:rPr>
                <w:rFonts w:ascii="Calibri" w:eastAsia="Calibri" w:hAnsi="Calibri" w:cs="Calibri"/>
                <w:w w:val="98"/>
              </w:rPr>
              <w:t>devoir</w:t>
            </w:r>
          </w:p>
        </w:tc>
        <w:tc>
          <w:tcPr>
            <w:tcW w:w="480" w:type="dxa"/>
            <w:vAlign w:val="bottom"/>
          </w:tcPr>
          <w:p w:rsidR="00AC12B4" w:rsidRDefault="00AC12B4">
            <w:pPr>
              <w:rPr>
                <w:sz w:val="23"/>
                <w:szCs w:val="23"/>
              </w:rPr>
            </w:pPr>
          </w:p>
        </w:tc>
        <w:tc>
          <w:tcPr>
            <w:tcW w:w="480" w:type="dxa"/>
            <w:vMerge w:val="restart"/>
            <w:vAlign w:val="bottom"/>
          </w:tcPr>
          <w:p w:rsidR="00AC12B4" w:rsidRDefault="00C27636">
            <w:pPr>
              <w:ind w:right="110"/>
              <w:jc w:val="right"/>
              <w:rPr>
                <w:sz w:val="20"/>
                <w:szCs w:val="20"/>
              </w:rPr>
            </w:pPr>
            <w:r>
              <w:rPr>
                <w:rFonts w:ascii="Calibri" w:eastAsia="Calibri" w:hAnsi="Calibri" w:cs="Calibri"/>
                <w:w w:val="97"/>
              </w:rPr>
              <w:t>les</w:t>
            </w:r>
          </w:p>
        </w:tc>
        <w:tc>
          <w:tcPr>
            <w:tcW w:w="220" w:type="dxa"/>
            <w:tcBorders>
              <w:right w:val="single" w:sz="8" w:space="0" w:color="C9D11D"/>
            </w:tcBorders>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740" w:type="dxa"/>
            <w:gridSpan w:val="6"/>
            <w:tcBorders>
              <w:right w:val="single" w:sz="8" w:space="0" w:color="C9D11D"/>
            </w:tcBorders>
            <w:vAlign w:val="bottom"/>
          </w:tcPr>
          <w:p w:rsidR="00AC12B4" w:rsidRDefault="00C27636">
            <w:pPr>
              <w:spacing w:line="269" w:lineRule="exact"/>
              <w:ind w:left="40"/>
              <w:rPr>
                <w:sz w:val="20"/>
                <w:szCs w:val="20"/>
              </w:rPr>
            </w:pPr>
            <w:r>
              <w:rPr>
                <w:rFonts w:ascii="Comic Sans MS" w:eastAsia="Comic Sans MS" w:hAnsi="Comic Sans MS" w:cs="Comic Sans MS"/>
                <w:color w:val="C9D11D"/>
                <w:sz w:val="20"/>
                <w:szCs w:val="20"/>
              </w:rPr>
              <w:t>ménage ayant dû reporter</w:t>
            </w:r>
          </w:p>
        </w:tc>
        <w:tc>
          <w:tcPr>
            <w:tcW w:w="0" w:type="dxa"/>
            <w:vAlign w:val="bottom"/>
          </w:tcPr>
          <w:p w:rsidR="00AC12B4" w:rsidRDefault="00AC12B4">
            <w:pPr>
              <w:rPr>
                <w:sz w:val="1"/>
                <w:szCs w:val="1"/>
              </w:rPr>
            </w:pPr>
          </w:p>
        </w:tc>
      </w:tr>
      <w:tr w:rsidR="00AC12B4" w:rsidRPr="00C27636">
        <w:trPr>
          <w:trHeight w:val="227"/>
        </w:trPr>
        <w:tc>
          <w:tcPr>
            <w:tcW w:w="400" w:type="dxa"/>
            <w:vAlign w:val="bottom"/>
          </w:tcPr>
          <w:p w:rsidR="00AC12B4" w:rsidRDefault="00AC12B4">
            <w:pPr>
              <w:rPr>
                <w:sz w:val="19"/>
                <w:szCs w:val="19"/>
              </w:rPr>
            </w:pPr>
          </w:p>
        </w:tc>
        <w:tc>
          <w:tcPr>
            <w:tcW w:w="3000" w:type="dxa"/>
            <w:gridSpan w:val="9"/>
            <w:vAlign w:val="bottom"/>
          </w:tcPr>
          <w:p w:rsidR="00AC12B4" w:rsidRPr="00C27636" w:rsidRDefault="00C27636">
            <w:pPr>
              <w:spacing w:line="220" w:lineRule="exact"/>
              <w:rPr>
                <w:sz w:val="20"/>
                <w:szCs w:val="20"/>
                <w:lang w:val="fr-BE"/>
              </w:rPr>
            </w:pPr>
            <w:r w:rsidRPr="00C27636">
              <w:rPr>
                <w:rFonts w:ascii="Calibri" w:eastAsia="Calibri" w:hAnsi="Calibri" w:cs="Calibri"/>
                <w:lang w:val="fr-BE"/>
              </w:rPr>
              <w:t>grande précarité de ces familles.</w:t>
            </w:r>
          </w:p>
        </w:tc>
        <w:tc>
          <w:tcPr>
            <w:tcW w:w="300" w:type="dxa"/>
            <w:vAlign w:val="bottom"/>
          </w:tcPr>
          <w:p w:rsidR="00AC12B4" w:rsidRPr="00C27636" w:rsidRDefault="00AC12B4">
            <w:pPr>
              <w:rPr>
                <w:sz w:val="19"/>
                <w:szCs w:val="19"/>
                <w:lang w:val="fr-BE"/>
              </w:rPr>
            </w:pPr>
          </w:p>
        </w:tc>
        <w:tc>
          <w:tcPr>
            <w:tcW w:w="240" w:type="dxa"/>
            <w:vAlign w:val="bottom"/>
          </w:tcPr>
          <w:p w:rsidR="00AC12B4" w:rsidRPr="00C27636" w:rsidRDefault="00AC12B4">
            <w:pPr>
              <w:rPr>
                <w:sz w:val="19"/>
                <w:szCs w:val="19"/>
                <w:lang w:val="fr-BE"/>
              </w:rPr>
            </w:pPr>
          </w:p>
        </w:tc>
        <w:tc>
          <w:tcPr>
            <w:tcW w:w="160" w:type="dxa"/>
            <w:vAlign w:val="bottom"/>
          </w:tcPr>
          <w:p w:rsidR="00AC12B4" w:rsidRPr="00C27636" w:rsidRDefault="00AC12B4">
            <w:pPr>
              <w:rPr>
                <w:sz w:val="19"/>
                <w:szCs w:val="19"/>
                <w:lang w:val="fr-BE"/>
              </w:rPr>
            </w:pPr>
          </w:p>
        </w:tc>
        <w:tc>
          <w:tcPr>
            <w:tcW w:w="900" w:type="dxa"/>
            <w:vAlign w:val="bottom"/>
          </w:tcPr>
          <w:p w:rsidR="00AC12B4" w:rsidRPr="00C27636" w:rsidRDefault="00AC12B4">
            <w:pPr>
              <w:rPr>
                <w:sz w:val="19"/>
                <w:szCs w:val="19"/>
                <w:lang w:val="fr-BE"/>
              </w:rPr>
            </w:pPr>
          </w:p>
        </w:tc>
        <w:tc>
          <w:tcPr>
            <w:tcW w:w="1080" w:type="dxa"/>
            <w:gridSpan w:val="2"/>
            <w:vAlign w:val="bottom"/>
          </w:tcPr>
          <w:p w:rsidR="00AC12B4" w:rsidRDefault="00C27636">
            <w:pPr>
              <w:spacing w:line="227" w:lineRule="exact"/>
              <w:rPr>
                <w:sz w:val="20"/>
                <w:szCs w:val="20"/>
              </w:rPr>
            </w:pPr>
            <w:r>
              <w:rPr>
                <w:rFonts w:ascii="Calibri" w:eastAsia="Calibri" w:hAnsi="Calibri" w:cs="Calibri"/>
              </w:rPr>
              <w:t>postposer</w:t>
            </w:r>
          </w:p>
        </w:tc>
        <w:tc>
          <w:tcPr>
            <w:tcW w:w="480" w:type="dxa"/>
            <w:vMerge/>
            <w:vAlign w:val="bottom"/>
          </w:tcPr>
          <w:p w:rsidR="00AC12B4" w:rsidRDefault="00AC12B4">
            <w:pPr>
              <w:rPr>
                <w:sz w:val="19"/>
                <w:szCs w:val="19"/>
              </w:rPr>
            </w:pPr>
          </w:p>
        </w:tc>
        <w:tc>
          <w:tcPr>
            <w:tcW w:w="220" w:type="dxa"/>
            <w:tcBorders>
              <w:right w:val="single" w:sz="8" w:space="0" w:color="C9D11D"/>
            </w:tcBorders>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2740" w:type="dxa"/>
            <w:gridSpan w:val="6"/>
            <w:vMerge w:val="restart"/>
            <w:tcBorders>
              <w:right w:val="single" w:sz="8" w:space="0" w:color="C9D11D"/>
            </w:tcBorders>
            <w:vAlign w:val="bottom"/>
          </w:tcPr>
          <w:p w:rsidR="00AC12B4" w:rsidRPr="00C27636" w:rsidRDefault="00C27636">
            <w:pPr>
              <w:ind w:left="40"/>
              <w:rPr>
                <w:sz w:val="20"/>
                <w:szCs w:val="20"/>
                <w:lang w:val="fr-BE"/>
              </w:rPr>
            </w:pPr>
            <w:r w:rsidRPr="00C27636">
              <w:rPr>
                <w:rFonts w:ascii="Comic Sans MS" w:eastAsia="Comic Sans MS" w:hAnsi="Comic Sans MS" w:cs="Comic Sans MS"/>
                <w:sz w:val="20"/>
                <w:szCs w:val="20"/>
                <w:lang w:val="fr-BE"/>
              </w:rPr>
              <w:t>des soins de santé en 2013</w:t>
            </w:r>
          </w:p>
        </w:tc>
        <w:tc>
          <w:tcPr>
            <w:tcW w:w="0" w:type="dxa"/>
            <w:vAlign w:val="bottom"/>
          </w:tcPr>
          <w:p w:rsidR="00AC12B4" w:rsidRPr="00C27636" w:rsidRDefault="00AC12B4">
            <w:pPr>
              <w:rPr>
                <w:sz w:val="1"/>
                <w:szCs w:val="1"/>
                <w:lang w:val="fr-BE"/>
              </w:rPr>
            </w:pPr>
          </w:p>
        </w:tc>
      </w:tr>
      <w:tr w:rsidR="00AC12B4">
        <w:trPr>
          <w:trHeight w:val="108"/>
        </w:trPr>
        <w:tc>
          <w:tcPr>
            <w:tcW w:w="400" w:type="dxa"/>
            <w:vAlign w:val="bottom"/>
          </w:tcPr>
          <w:p w:rsidR="00AC12B4" w:rsidRPr="00C27636" w:rsidRDefault="00AC12B4">
            <w:pPr>
              <w:rPr>
                <w:sz w:val="9"/>
                <w:szCs w:val="9"/>
                <w:lang w:val="fr-BE"/>
              </w:rPr>
            </w:pPr>
          </w:p>
        </w:tc>
        <w:tc>
          <w:tcPr>
            <w:tcW w:w="140" w:type="dxa"/>
            <w:vAlign w:val="bottom"/>
          </w:tcPr>
          <w:p w:rsidR="00AC12B4" w:rsidRPr="00C27636" w:rsidRDefault="00AC12B4">
            <w:pPr>
              <w:rPr>
                <w:sz w:val="9"/>
                <w:szCs w:val="9"/>
                <w:lang w:val="fr-BE"/>
              </w:rPr>
            </w:pPr>
          </w:p>
        </w:tc>
        <w:tc>
          <w:tcPr>
            <w:tcW w:w="580" w:type="dxa"/>
            <w:vAlign w:val="bottom"/>
          </w:tcPr>
          <w:p w:rsidR="00AC12B4" w:rsidRPr="00C27636" w:rsidRDefault="00AC12B4">
            <w:pPr>
              <w:rPr>
                <w:sz w:val="9"/>
                <w:szCs w:val="9"/>
                <w:lang w:val="fr-BE"/>
              </w:rPr>
            </w:pPr>
          </w:p>
        </w:tc>
        <w:tc>
          <w:tcPr>
            <w:tcW w:w="220" w:type="dxa"/>
            <w:vAlign w:val="bottom"/>
          </w:tcPr>
          <w:p w:rsidR="00AC12B4" w:rsidRPr="00C27636" w:rsidRDefault="00AC12B4">
            <w:pPr>
              <w:rPr>
                <w:sz w:val="9"/>
                <w:szCs w:val="9"/>
                <w:lang w:val="fr-BE"/>
              </w:rPr>
            </w:pPr>
          </w:p>
        </w:tc>
        <w:tc>
          <w:tcPr>
            <w:tcW w:w="420" w:type="dxa"/>
            <w:vAlign w:val="bottom"/>
          </w:tcPr>
          <w:p w:rsidR="00AC12B4" w:rsidRPr="00C27636" w:rsidRDefault="00AC12B4">
            <w:pPr>
              <w:rPr>
                <w:sz w:val="9"/>
                <w:szCs w:val="9"/>
                <w:lang w:val="fr-BE"/>
              </w:rPr>
            </w:pPr>
          </w:p>
        </w:tc>
        <w:tc>
          <w:tcPr>
            <w:tcW w:w="48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360" w:type="dxa"/>
            <w:vAlign w:val="bottom"/>
          </w:tcPr>
          <w:p w:rsidR="00AC12B4" w:rsidRPr="00C27636" w:rsidRDefault="00AC12B4">
            <w:pPr>
              <w:rPr>
                <w:sz w:val="9"/>
                <w:szCs w:val="9"/>
                <w:lang w:val="fr-BE"/>
              </w:rPr>
            </w:pPr>
          </w:p>
        </w:tc>
        <w:tc>
          <w:tcPr>
            <w:tcW w:w="52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300" w:type="dxa"/>
            <w:vAlign w:val="bottom"/>
          </w:tcPr>
          <w:p w:rsidR="00AC12B4" w:rsidRPr="00C27636" w:rsidRDefault="00AC12B4">
            <w:pPr>
              <w:rPr>
                <w:sz w:val="9"/>
                <w:szCs w:val="9"/>
                <w:lang w:val="fr-BE"/>
              </w:rPr>
            </w:pPr>
          </w:p>
        </w:tc>
        <w:tc>
          <w:tcPr>
            <w:tcW w:w="24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900" w:type="dxa"/>
            <w:vAlign w:val="bottom"/>
          </w:tcPr>
          <w:p w:rsidR="00AC12B4" w:rsidRPr="00C27636" w:rsidRDefault="00AC12B4">
            <w:pPr>
              <w:rPr>
                <w:sz w:val="9"/>
                <w:szCs w:val="9"/>
                <w:lang w:val="fr-BE"/>
              </w:rPr>
            </w:pPr>
          </w:p>
        </w:tc>
        <w:tc>
          <w:tcPr>
            <w:tcW w:w="1560" w:type="dxa"/>
            <w:gridSpan w:val="3"/>
            <w:vMerge w:val="restart"/>
            <w:vAlign w:val="bottom"/>
          </w:tcPr>
          <w:p w:rsidR="00AC12B4" w:rsidRDefault="00C27636">
            <w:pPr>
              <w:rPr>
                <w:sz w:val="20"/>
                <w:szCs w:val="20"/>
              </w:rPr>
            </w:pPr>
            <w:r>
              <w:rPr>
                <w:rFonts w:ascii="Calibri" w:eastAsia="Calibri" w:hAnsi="Calibri" w:cs="Calibri"/>
              </w:rPr>
              <w:t>soins de santé</w:t>
            </w:r>
          </w:p>
        </w:tc>
        <w:tc>
          <w:tcPr>
            <w:tcW w:w="220" w:type="dxa"/>
            <w:tcBorders>
              <w:right w:val="single" w:sz="8" w:space="0" w:color="C9D11D"/>
            </w:tcBorders>
            <w:vAlign w:val="bottom"/>
          </w:tcPr>
          <w:p w:rsidR="00AC12B4" w:rsidRDefault="00AC12B4">
            <w:pPr>
              <w:rPr>
                <w:sz w:val="9"/>
                <w:szCs w:val="9"/>
              </w:rPr>
            </w:pPr>
          </w:p>
        </w:tc>
        <w:tc>
          <w:tcPr>
            <w:tcW w:w="120" w:type="dxa"/>
            <w:vAlign w:val="bottom"/>
          </w:tcPr>
          <w:p w:rsidR="00AC12B4" w:rsidRDefault="00AC12B4">
            <w:pPr>
              <w:rPr>
                <w:sz w:val="9"/>
                <w:szCs w:val="9"/>
              </w:rPr>
            </w:pPr>
          </w:p>
        </w:tc>
        <w:tc>
          <w:tcPr>
            <w:tcW w:w="2740" w:type="dxa"/>
            <w:gridSpan w:val="6"/>
            <w:vMerge/>
            <w:tcBorders>
              <w:right w:val="single" w:sz="8" w:space="0" w:color="C9D11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1"/>
        </w:trPr>
        <w:tc>
          <w:tcPr>
            <w:tcW w:w="400" w:type="dxa"/>
            <w:vAlign w:val="bottom"/>
          </w:tcPr>
          <w:p w:rsidR="00AC12B4" w:rsidRDefault="00AC12B4">
            <w:pPr>
              <w:rPr>
                <w:sz w:val="13"/>
                <w:szCs w:val="13"/>
              </w:rPr>
            </w:pPr>
          </w:p>
        </w:tc>
        <w:tc>
          <w:tcPr>
            <w:tcW w:w="940" w:type="dxa"/>
            <w:gridSpan w:val="3"/>
            <w:vMerge w:val="restart"/>
            <w:vAlign w:val="bottom"/>
          </w:tcPr>
          <w:p w:rsidR="00AC12B4" w:rsidRDefault="00C27636">
            <w:pPr>
              <w:rPr>
                <w:sz w:val="20"/>
                <w:szCs w:val="20"/>
              </w:rPr>
            </w:pPr>
            <w:r>
              <w:rPr>
                <w:rFonts w:ascii="Calibri" w:eastAsia="Calibri" w:hAnsi="Calibri" w:cs="Calibri"/>
              </w:rPr>
              <w:t>Recentré</w:t>
            </w:r>
          </w:p>
        </w:tc>
        <w:tc>
          <w:tcPr>
            <w:tcW w:w="420" w:type="dxa"/>
            <w:vMerge w:val="restart"/>
            <w:vAlign w:val="bottom"/>
          </w:tcPr>
          <w:p w:rsidR="00AC12B4" w:rsidRDefault="00C27636">
            <w:pPr>
              <w:ind w:left="40"/>
              <w:rPr>
                <w:sz w:val="20"/>
                <w:szCs w:val="20"/>
              </w:rPr>
            </w:pPr>
            <w:r>
              <w:rPr>
                <w:rFonts w:ascii="Calibri" w:eastAsia="Calibri" w:hAnsi="Calibri" w:cs="Calibri"/>
              </w:rPr>
              <w:t>sur</w:t>
            </w:r>
          </w:p>
        </w:tc>
        <w:tc>
          <w:tcPr>
            <w:tcW w:w="1640" w:type="dxa"/>
            <w:gridSpan w:val="5"/>
            <w:vMerge w:val="restart"/>
            <w:vAlign w:val="bottom"/>
          </w:tcPr>
          <w:p w:rsidR="00AC12B4" w:rsidRDefault="00C27636">
            <w:pPr>
              <w:ind w:right="60"/>
              <w:jc w:val="center"/>
              <w:rPr>
                <w:sz w:val="20"/>
                <w:szCs w:val="20"/>
              </w:rPr>
            </w:pPr>
            <w:r>
              <w:rPr>
                <w:rFonts w:ascii="Calibri" w:eastAsia="Calibri" w:hAnsi="Calibri" w:cs="Calibri"/>
              </w:rPr>
              <w:t>l’enfant,  11,7%</w:t>
            </w:r>
          </w:p>
        </w:tc>
        <w:tc>
          <w:tcPr>
            <w:tcW w:w="1600" w:type="dxa"/>
            <w:gridSpan w:val="4"/>
            <w:vMerge w:val="restart"/>
            <w:vAlign w:val="bottom"/>
          </w:tcPr>
          <w:p w:rsidR="00AC12B4" w:rsidRDefault="00C27636">
            <w:pPr>
              <w:ind w:right="640"/>
              <w:jc w:val="right"/>
              <w:rPr>
                <w:sz w:val="20"/>
                <w:szCs w:val="20"/>
              </w:rPr>
            </w:pPr>
            <w:r>
              <w:rPr>
                <w:rFonts w:ascii="Calibri" w:eastAsia="Calibri" w:hAnsi="Calibri" w:cs="Calibri"/>
              </w:rPr>
              <w:t>d’enfants</w:t>
            </w:r>
          </w:p>
        </w:tc>
        <w:tc>
          <w:tcPr>
            <w:tcW w:w="1560" w:type="dxa"/>
            <w:gridSpan w:val="3"/>
            <w:vMerge/>
            <w:vAlign w:val="bottom"/>
          </w:tcPr>
          <w:p w:rsidR="00AC12B4" w:rsidRDefault="00AC12B4">
            <w:pPr>
              <w:rPr>
                <w:sz w:val="13"/>
                <w:szCs w:val="13"/>
              </w:rPr>
            </w:pPr>
          </w:p>
        </w:tc>
        <w:tc>
          <w:tcPr>
            <w:tcW w:w="220" w:type="dxa"/>
            <w:tcBorders>
              <w:right w:val="single" w:sz="8" w:space="0" w:color="C9D11D"/>
            </w:tcBorders>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2740" w:type="dxa"/>
            <w:gridSpan w:val="6"/>
            <w:vMerge w:val="restart"/>
            <w:tcBorders>
              <w:right w:val="single" w:sz="8" w:space="0" w:color="C9D11D"/>
            </w:tcBorders>
            <w:vAlign w:val="bottom"/>
          </w:tcPr>
          <w:p w:rsidR="00AC12B4" w:rsidRDefault="00C27636">
            <w:pPr>
              <w:spacing w:line="277" w:lineRule="exact"/>
              <w:ind w:left="40"/>
              <w:rPr>
                <w:sz w:val="20"/>
                <w:szCs w:val="20"/>
              </w:rPr>
            </w:pPr>
            <w:r>
              <w:rPr>
                <w:rFonts w:ascii="Comic Sans MS" w:eastAsia="Comic Sans MS" w:hAnsi="Comic Sans MS" w:cs="Comic Sans MS"/>
                <w:sz w:val="20"/>
                <w:szCs w:val="20"/>
              </w:rPr>
              <w:t>en Belgique (HIS 2013).</w:t>
            </w:r>
          </w:p>
        </w:tc>
        <w:tc>
          <w:tcPr>
            <w:tcW w:w="0" w:type="dxa"/>
            <w:vAlign w:val="bottom"/>
          </w:tcPr>
          <w:p w:rsidR="00AC12B4" w:rsidRDefault="00AC12B4">
            <w:pPr>
              <w:rPr>
                <w:sz w:val="1"/>
                <w:szCs w:val="1"/>
              </w:rPr>
            </w:pPr>
          </w:p>
        </w:tc>
      </w:tr>
      <w:tr w:rsidR="00AC12B4">
        <w:trPr>
          <w:trHeight w:val="117"/>
        </w:trPr>
        <w:tc>
          <w:tcPr>
            <w:tcW w:w="400" w:type="dxa"/>
            <w:vAlign w:val="bottom"/>
          </w:tcPr>
          <w:p w:rsidR="00AC12B4" w:rsidRDefault="00AC12B4">
            <w:pPr>
              <w:rPr>
                <w:sz w:val="10"/>
                <w:szCs w:val="10"/>
              </w:rPr>
            </w:pPr>
          </w:p>
        </w:tc>
        <w:tc>
          <w:tcPr>
            <w:tcW w:w="940" w:type="dxa"/>
            <w:gridSpan w:val="3"/>
            <w:vMerge/>
            <w:vAlign w:val="bottom"/>
          </w:tcPr>
          <w:p w:rsidR="00AC12B4" w:rsidRDefault="00AC12B4">
            <w:pPr>
              <w:rPr>
                <w:sz w:val="10"/>
                <w:szCs w:val="10"/>
              </w:rPr>
            </w:pPr>
          </w:p>
        </w:tc>
        <w:tc>
          <w:tcPr>
            <w:tcW w:w="420" w:type="dxa"/>
            <w:vMerge/>
            <w:vAlign w:val="bottom"/>
          </w:tcPr>
          <w:p w:rsidR="00AC12B4" w:rsidRDefault="00AC12B4">
            <w:pPr>
              <w:rPr>
                <w:sz w:val="10"/>
                <w:szCs w:val="10"/>
              </w:rPr>
            </w:pPr>
          </w:p>
        </w:tc>
        <w:tc>
          <w:tcPr>
            <w:tcW w:w="1640" w:type="dxa"/>
            <w:gridSpan w:val="5"/>
            <w:vMerge/>
            <w:vAlign w:val="bottom"/>
          </w:tcPr>
          <w:p w:rsidR="00AC12B4" w:rsidRDefault="00AC12B4">
            <w:pPr>
              <w:rPr>
                <w:sz w:val="10"/>
                <w:szCs w:val="10"/>
              </w:rPr>
            </w:pPr>
          </w:p>
        </w:tc>
        <w:tc>
          <w:tcPr>
            <w:tcW w:w="1600" w:type="dxa"/>
            <w:gridSpan w:val="4"/>
            <w:vMerge/>
            <w:vAlign w:val="bottom"/>
          </w:tcPr>
          <w:p w:rsidR="00AC12B4" w:rsidRDefault="00AC12B4">
            <w:pPr>
              <w:rPr>
                <w:sz w:val="10"/>
                <w:szCs w:val="10"/>
              </w:rPr>
            </w:pPr>
          </w:p>
        </w:tc>
        <w:tc>
          <w:tcPr>
            <w:tcW w:w="600" w:type="dxa"/>
            <w:vMerge w:val="restart"/>
            <w:vAlign w:val="bottom"/>
          </w:tcPr>
          <w:p w:rsidR="00AC12B4" w:rsidRDefault="00C27636">
            <w:pPr>
              <w:rPr>
                <w:sz w:val="20"/>
                <w:szCs w:val="20"/>
              </w:rPr>
            </w:pPr>
            <w:r>
              <w:rPr>
                <w:rFonts w:ascii="Calibri" w:eastAsia="Calibri" w:hAnsi="Calibri" w:cs="Calibri"/>
              </w:rPr>
              <w:t>pour</w:t>
            </w:r>
          </w:p>
        </w:tc>
        <w:tc>
          <w:tcPr>
            <w:tcW w:w="960" w:type="dxa"/>
            <w:gridSpan w:val="2"/>
            <w:vMerge w:val="restart"/>
            <w:vAlign w:val="bottom"/>
          </w:tcPr>
          <w:p w:rsidR="00AC12B4" w:rsidRDefault="00C27636">
            <w:pPr>
              <w:ind w:right="110"/>
              <w:jc w:val="right"/>
              <w:rPr>
                <w:sz w:val="20"/>
                <w:szCs w:val="20"/>
              </w:rPr>
            </w:pPr>
            <w:r>
              <w:rPr>
                <w:rFonts w:ascii="Calibri" w:eastAsia="Calibri" w:hAnsi="Calibri" w:cs="Calibri"/>
              </w:rPr>
              <w:t>des</w:t>
            </w:r>
          </w:p>
        </w:tc>
        <w:tc>
          <w:tcPr>
            <w:tcW w:w="220" w:type="dxa"/>
            <w:tcBorders>
              <w:right w:val="single" w:sz="8" w:space="0" w:color="C9D11D"/>
            </w:tcBorders>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2740" w:type="dxa"/>
            <w:gridSpan w:val="6"/>
            <w:vMerge/>
            <w:tcBorders>
              <w:right w:val="single" w:sz="8" w:space="0" w:color="C9D11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152"/>
        </w:trPr>
        <w:tc>
          <w:tcPr>
            <w:tcW w:w="400" w:type="dxa"/>
            <w:vAlign w:val="bottom"/>
          </w:tcPr>
          <w:p w:rsidR="00AC12B4" w:rsidRDefault="00AC12B4">
            <w:pPr>
              <w:rPr>
                <w:sz w:val="13"/>
                <w:szCs w:val="13"/>
              </w:rPr>
            </w:pPr>
          </w:p>
        </w:tc>
        <w:tc>
          <w:tcPr>
            <w:tcW w:w="4600" w:type="dxa"/>
            <w:gridSpan w:val="13"/>
            <w:vMerge w:val="restart"/>
            <w:vAlign w:val="bottom"/>
          </w:tcPr>
          <w:p w:rsidR="00AC12B4" w:rsidRPr="00C27636" w:rsidRDefault="00C27636">
            <w:pPr>
              <w:spacing w:line="248" w:lineRule="exact"/>
              <w:rPr>
                <w:sz w:val="20"/>
                <w:szCs w:val="20"/>
                <w:lang w:val="fr-BE"/>
              </w:rPr>
            </w:pPr>
            <w:r w:rsidRPr="00C27636">
              <w:rPr>
                <w:rFonts w:ascii="Calibri" w:eastAsia="Calibri" w:hAnsi="Calibri" w:cs="Calibri"/>
                <w:lang w:val="fr-BE"/>
              </w:rPr>
              <w:t>(2013) vivent dans un ménage ayant dû</w:t>
            </w:r>
          </w:p>
        </w:tc>
        <w:tc>
          <w:tcPr>
            <w:tcW w:w="600" w:type="dxa"/>
            <w:vMerge/>
            <w:vAlign w:val="bottom"/>
          </w:tcPr>
          <w:p w:rsidR="00AC12B4" w:rsidRPr="00C27636" w:rsidRDefault="00AC12B4">
            <w:pPr>
              <w:rPr>
                <w:sz w:val="13"/>
                <w:szCs w:val="13"/>
                <w:lang w:val="fr-BE"/>
              </w:rPr>
            </w:pPr>
          </w:p>
        </w:tc>
        <w:tc>
          <w:tcPr>
            <w:tcW w:w="960" w:type="dxa"/>
            <w:gridSpan w:val="2"/>
            <w:vMerge/>
            <w:vAlign w:val="bottom"/>
          </w:tcPr>
          <w:p w:rsidR="00AC12B4" w:rsidRPr="00C27636" w:rsidRDefault="00AC12B4">
            <w:pPr>
              <w:rPr>
                <w:sz w:val="13"/>
                <w:szCs w:val="13"/>
                <w:lang w:val="fr-BE"/>
              </w:rPr>
            </w:pPr>
          </w:p>
        </w:tc>
        <w:tc>
          <w:tcPr>
            <w:tcW w:w="220" w:type="dxa"/>
            <w:tcBorders>
              <w:right w:val="single" w:sz="8" w:space="0" w:color="C9D11D"/>
            </w:tcBorders>
            <w:vAlign w:val="bottom"/>
          </w:tcPr>
          <w:p w:rsidR="00AC12B4" w:rsidRPr="00C27636" w:rsidRDefault="00AC12B4">
            <w:pPr>
              <w:rPr>
                <w:sz w:val="13"/>
                <w:szCs w:val="13"/>
                <w:lang w:val="fr-BE"/>
              </w:rPr>
            </w:pPr>
          </w:p>
        </w:tc>
        <w:tc>
          <w:tcPr>
            <w:tcW w:w="120" w:type="dxa"/>
            <w:vAlign w:val="bottom"/>
          </w:tcPr>
          <w:p w:rsidR="00AC12B4" w:rsidRPr="00C27636" w:rsidRDefault="00AC12B4">
            <w:pPr>
              <w:rPr>
                <w:sz w:val="13"/>
                <w:szCs w:val="13"/>
                <w:lang w:val="fr-BE"/>
              </w:rPr>
            </w:pPr>
          </w:p>
        </w:tc>
        <w:tc>
          <w:tcPr>
            <w:tcW w:w="420" w:type="dxa"/>
            <w:vAlign w:val="bottom"/>
          </w:tcPr>
          <w:p w:rsidR="00AC12B4" w:rsidRPr="00C27636" w:rsidRDefault="00AC12B4">
            <w:pPr>
              <w:rPr>
                <w:sz w:val="13"/>
                <w:szCs w:val="13"/>
                <w:lang w:val="fr-BE"/>
              </w:rPr>
            </w:pPr>
          </w:p>
        </w:tc>
        <w:tc>
          <w:tcPr>
            <w:tcW w:w="380" w:type="dxa"/>
            <w:vAlign w:val="bottom"/>
          </w:tcPr>
          <w:p w:rsidR="00AC12B4" w:rsidRPr="00C27636" w:rsidRDefault="00AC12B4">
            <w:pPr>
              <w:rPr>
                <w:sz w:val="13"/>
                <w:szCs w:val="13"/>
                <w:lang w:val="fr-BE"/>
              </w:rPr>
            </w:pPr>
          </w:p>
        </w:tc>
        <w:tc>
          <w:tcPr>
            <w:tcW w:w="180" w:type="dxa"/>
            <w:vAlign w:val="bottom"/>
          </w:tcPr>
          <w:p w:rsidR="00AC12B4" w:rsidRPr="00C27636" w:rsidRDefault="00AC12B4">
            <w:pPr>
              <w:rPr>
                <w:sz w:val="13"/>
                <w:szCs w:val="13"/>
                <w:lang w:val="fr-BE"/>
              </w:rPr>
            </w:pPr>
          </w:p>
        </w:tc>
        <w:tc>
          <w:tcPr>
            <w:tcW w:w="420" w:type="dxa"/>
            <w:vAlign w:val="bottom"/>
          </w:tcPr>
          <w:p w:rsidR="00AC12B4" w:rsidRPr="00C27636" w:rsidRDefault="00AC12B4">
            <w:pPr>
              <w:rPr>
                <w:sz w:val="13"/>
                <w:szCs w:val="13"/>
                <w:lang w:val="fr-BE"/>
              </w:rPr>
            </w:pPr>
          </w:p>
        </w:tc>
        <w:tc>
          <w:tcPr>
            <w:tcW w:w="240" w:type="dxa"/>
            <w:vAlign w:val="bottom"/>
          </w:tcPr>
          <w:p w:rsidR="00AC12B4" w:rsidRPr="00C27636" w:rsidRDefault="00AC12B4">
            <w:pPr>
              <w:rPr>
                <w:sz w:val="13"/>
                <w:szCs w:val="13"/>
                <w:lang w:val="fr-BE"/>
              </w:rPr>
            </w:pPr>
          </w:p>
        </w:tc>
        <w:tc>
          <w:tcPr>
            <w:tcW w:w="1100" w:type="dxa"/>
            <w:tcBorders>
              <w:right w:val="single" w:sz="8" w:space="0" w:color="C9D11D"/>
            </w:tcBorders>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trPr>
          <w:trHeight w:val="116"/>
        </w:trPr>
        <w:tc>
          <w:tcPr>
            <w:tcW w:w="400" w:type="dxa"/>
            <w:vAlign w:val="bottom"/>
          </w:tcPr>
          <w:p w:rsidR="00AC12B4" w:rsidRPr="00C27636" w:rsidRDefault="00AC12B4">
            <w:pPr>
              <w:rPr>
                <w:sz w:val="10"/>
                <w:szCs w:val="10"/>
                <w:lang w:val="fr-BE"/>
              </w:rPr>
            </w:pPr>
          </w:p>
        </w:tc>
        <w:tc>
          <w:tcPr>
            <w:tcW w:w="4600" w:type="dxa"/>
            <w:gridSpan w:val="13"/>
            <w:vMerge/>
            <w:vAlign w:val="bottom"/>
          </w:tcPr>
          <w:p w:rsidR="00AC12B4" w:rsidRPr="00C27636" w:rsidRDefault="00AC12B4">
            <w:pPr>
              <w:rPr>
                <w:sz w:val="10"/>
                <w:szCs w:val="10"/>
                <w:lang w:val="fr-BE"/>
              </w:rPr>
            </w:pPr>
          </w:p>
        </w:tc>
        <w:tc>
          <w:tcPr>
            <w:tcW w:w="1080" w:type="dxa"/>
            <w:gridSpan w:val="2"/>
            <w:vMerge w:val="restart"/>
            <w:vAlign w:val="bottom"/>
          </w:tcPr>
          <w:p w:rsidR="00AC12B4" w:rsidRDefault="00C27636">
            <w:pPr>
              <w:spacing w:line="267" w:lineRule="exact"/>
              <w:rPr>
                <w:sz w:val="20"/>
                <w:szCs w:val="20"/>
              </w:rPr>
            </w:pPr>
            <w:r>
              <w:rPr>
                <w:rFonts w:ascii="Calibri" w:eastAsia="Calibri" w:hAnsi="Calibri" w:cs="Calibri"/>
              </w:rPr>
              <w:t>raisons</w:t>
            </w:r>
          </w:p>
        </w:tc>
        <w:tc>
          <w:tcPr>
            <w:tcW w:w="480" w:type="dxa"/>
            <w:vAlign w:val="bottom"/>
          </w:tcPr>
          <w:p w:rsidR="00AC12B4" w:rsidRDefault="00AC12B4">
            <w:pPr>
              <w:rPr>
                <w:sz w:val="10"/>
                <w:szCs w:val="10"/>
              </w:rPr>
            </w:pPr>
          </w:p>
        </w:tc>
        <w:tc>
          <w:tcPr>
            <w:tcW w:w="220" w:type="dxa"/>
            <w:tcBorders>
              <w:right w:val="single" w:sz="8" w:space="0" w:color="C9D11D"/>
            </w:tcBorders>
            <w:vAlign w:val="bottom"/>
          </w:tcPr>
          <w:p w:rsidR="00AC12B4" w:rsidRDefault="00AC12B4">
            <w:pPr>
              <w:rPr>
                <w:sz w:val="10"/>
                <w:szCs w:val="10"/>
              </w:rPr>
            </w:pPr>
          </w:p>
        </w:tc>
        <w:tc>
          <w:tcPr>
            <w:tcW w:w="120" w:type="dxa"/>
            <w:tcBorders>
              <w:bottom w:val="single" w:sz="8" w:space="0" w:color="C9D11D"/>
            </w:tcBorders>
            <w:vAlign w:val="bottom"/>
          </w:tcPr>
          <w:p w:rsidR="00AC12B4" w:rsidRDefault="00AC12B4">
            <w:pPr>
              <w:rPr>
                <w:sz w:val="10"/>
                <w:szCs w:val="10"/>
              </w:rPr>
            </w:pPr>
          </w:p>
        </w:tc>
        <w:tc>
          <w:tcPr>
            <w:tcW w:w="420" w:type="dxa"/>
            <w:tcBorders>
              <w:bottom w:val="single" w:sz="8" w:space="0" w:color="C9D11D"/>
            </w:tcBorders>
            <w:vAlign w:val="bottom"/>
          </w:tcPr>
          <w:p w:rsidR="00AC12B4" w:rsidRDefault="00AC12B4">
            <w:pPr>
              <w:rPr>
                <w:sz w:val="10"/>
                <w:szCs w:val="10"/>
              </w:rPr>
            </w:pPr>
          </w:p>
        </w:tc>
        <w:tc>
          <w:tcPr>
            <w:tcW w:w="380" w:type="dxa"/>
            <w:tcBorders>
              <w:bottom w:val="single" w:sz="8" w:space="0" w:color="C9D11D"/>
            </w:tcBorders>
            <w:vAlign w:val="bottom"/>
          </w:tcPr>
          <w:p w:rsidR="00AC12B4" w:rsidRDefault="00AC12B4">
            <w:pPr>
              <w:rPr>
                <w:sz w:val="10"/>
                <w:szCs w:val="10"/>
              </w:rPr>
            </w:pPr>
          </w:p>
        </w:tc>
        <w:tc>
          <w:tcPr>
            <w:tcW w:w="180" w:type="dxa"/>
            <w:tcBorders>
              <w:bottom w:val="single" w:sz="8" w:space="0" w:color="C9D11D"/>
            </w:tcBorders>
            <w:vAlign w:val="bottom"/>
          </w:tcPr>
          <w:p w:rsidR="00AC12B4" w:rsidRDefault="00AC12B4">
            <w:pPr>
              <w:rPr>
                <w:sz w:val="10"/>
                <w:szCs w:val="10"/>
              </w:rPr>
            </w:pPr>
          </w:p>
        </w:tc>
        <w:tc>
          <w:tcPr>
            <w:tcW w:w="420" w:type="dxa"/>
            <w:tcBorders>
              <w:bottom w:val="single" w:sz="8" w:space="0" w:color="C9D11D"/>
            </w:tcBorders>
            <w:vAlign w:val="bottom"/>
          </w:tcPr>
          <w:p w:rsidR="00AC12B4" w:rsidRDefault="00AC12B4">
            <w:pPr>
              <w:rPr>
                <w:sz w:val="10"/>
                <w:szCs w:val="10"/>
              </w:rPr>
            </w:pPr>
          </w:p>
        </w:tc>
        <w:tc>
          <w:tcPr>
            <w:tcW w:w="240" w:type="dxa"/>
            <w:tcBorders>
              <w:bottom w:val="single" w:sz="8" w:space="0" w:color="C9D11D"/>
            </w:tcBorders>
            <w:vAlign w:val="bottom"/>
          </w:tcPr>
          <w:p w:rsidR="00AC12B4" w:rsidRDefault="00AC12B4">
            <w:pPr>
              <w:rPr>
                <w:sz w:val="10"/>
                <w:szCs w:val="10"/>
              </w:rPr>
            </w:pPr>
          </w:p>
        </w:tc>
        <w:tc>
          <w:tcPr>
            <w:tcW w:w="1100" w:type="dxa"/>
            <w:tcBorders>
              <w:bottom w:val="single" w:sz="8" w:space="0" w:color="C9D11D"/>
              <w:right w:val="single" w:sz="8" w:space="0" w:color="C9D11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131"/>
        </w:trPr>
        <w:tc>
          <w:tcPr>
            <w:tcW w:w="400" w:type="dxa"/>
            <w:vAlign w:val="bottom"/>
          </w:tcPr>
          <w:p w:rsidR="00AC12B4" w:rsidRDefault="00AC12B4">
            <w:pPr>
              <w:rPr>
                <w:sz w:val="11"/>
                <w:szCs w:val="11"/>
              </w:rPr>
            </w:pPr>
          </w:p>
        </w:tc>
        <w:tc>
          <w:tcPr>
            <w:tcW w:w="3000" w:type="dxa"/>
            <w:gridSpan w:val="9"/>
            <w:vMerge w:val="restart"/>
            <w:vAlign w:val="bottom"/>
          </w:tcPr>
          <w:p w:rsidR="00AC12B4" w:rsidRPr="00C27636" w:rsidRDefault="00C27636">
            <w:pPr>
              <w:spacing w:line="243" w:lineRule="exact"/>
              <w:rPr>
                <w:sz w:val="20"/>
                <w:szCs w:val="20"/>
                <w:lang w:val="fr-BE"/>
              </w:rPr>
            </w:pPr>
            <w:r w:rsidRPr="00C27636">
              <w:rPr>
                <w:rFonts w:ascii="Calibri" w:eastAsia="Calibri" w:hAnsi="Calibri" w:cs="Calibri"/>
                <w:lang w:val="fr-BE"/>
              </w:rPr>
              <w:t>postposer des soins de santé.</w:t>
            </w:r>
          </w:p>
        </w:tc>
        <w:tc>
          <w:tcPr>
            <w:tcW w:w="300" w:type="dxa"/>
            <w:vAlign w:val="bottom"/>
          </w:tcPr>
          <w:p w:rsidR="00AC12B4" w:rsidRPr="00C27636" w:rsidRDefault="00AC12B4">
            <w:pPr>
              <w:rPr>
                <w:sz w:val="11"/>
                <w:szCs w:val="11"/>
                <w:lang w:val="fr-BE"/>
              </w:rPr>
            </w:pPr>
          </w:p>
        </w:tc>
        <w:tc>
          <w:tcPr>
            <w:tcW w:w="240" w:type="dxa"/>
            <w:vAlign w:val="bottom"/>
          </w:tcPr>
          <w:p w:rsidR="00AC12B4" w:rsidRPr="00C27636" w:rsidRDefault="00AC12B4">
            <w:pPr>
              <w:rPr>
                <w:sz w:val="11"/>
                <w:szCs w:val="11"/>
                <w:lang w:val="fr-BE"/>
              </w:rPr>
            </w:pPr>
          </w:p>
        </w:tc>
        <w:tc>
          <w:tcPr>
            <w:tcW w:w="160" w:type="dxa"/>
            <w:vAlign w:val="bottom"/>
          </w:tcPr>
          <w:p w:rsidR="00AC12B4" w:rsidRPr="00C27636" w:rsidRDefault="00AC12B4">
            <w:pPr>
              <w:rPr>
                <w:sz w:val="11"/>
                <w:szCs w:val="11"/>
                <w:lang w:val="fr-BE"/>
              </w:rPr>
            </w:pPr>
          </w:p>
        </w:tc>
        <w:tc>
          <w:tcPr>
            <w:tcW w:w="900" w:type="dxa"/>
            <w:vAlign w:val="bottom"/>
          </w:tcPr>
          <w:p w:rsidR="00AC12B4" w:rsidRPr="00C27636" w:rsidRDefault="00AC12B4">
            <w:pPr>
              <w:rPr>
                <w:sz w:val="11"/>
                <w:szCs w:val="11"/>
                <w:lang w:val="fr-BE"/>
              </w:rPr>
            </w:pPr>
          </w:p>
        </w:tc>
        <w:tc>
          <w:tcPr>
            <w:tcW w:w="1080" w:type="dxa"/>
            <w:gridSpan w:val="2"/>
            <w:vMerge/>
            <w:vAlign w:val="bottom"/>
          </w:tcPr>
          <w:p w:rsidR="00AC12B4" w:rsidRPr="00C27636" w:rsidRDefault="00AC12B4">
            <w:pPr>
              <w:rPr>
                <w:sz w:val="11"/>
                <w:szCs w:val="11"/>
                <w:lang w:val="fr-BE"/>
              </w:rPr>
            </w:pPr>
          </w:p>
        </w:tc>
        <w:tc>
          <w:tcPr>
            <w:tcW w:w="480" w:type="dxa"/>
            <w:vAlign w:val="bottom"/>
          </w:tcPr>
          <w:p w:rsidR="00AC12B4" w:rsidRPr="00C27636" w:rsidRDefault="00AC12B4">
            <w:pPr>
              <w:rPr>
                <w:sz w:val="11"/>
                <w:szCs w:val="11"/>
                <w:lang w:val="fr-BE"/>
              </w:rPr>
            </w:pPr>
          </w:p>
        </w:tc>
        <w:tc>
          <w:tcPr>
            <w:tcW w:w="220" w:type="dxa"/>
            <w:vAlign w:val="bottom"/>
          </w:tcPr>
          <w:p w:rsidR="00AC12B4" w:rsidRPr="00C27636" w:rsidRDefault="00AC12B4">
            <w:pPr>
              <w:rPr>
                <w:sz w:val="11"/>
                <w:szCs w:val="11"/>
                <w:lang w:val="fr-BE"/>
              </w:rPr>
            </w:pPr>
          </w:p>
        </w:tc>
        <w:tc>
          <w:tcPr>
            <w:tcW w:w="120" w:type="dxa"/>
            <w:vAlign w:val="bottom"/>
          </w:tcPr>
          <w:p w:rsidR="00AC12B4" w:rsidRPr="00C27636" w:rsidRDefault="00AC12B4">
            <w:pPr>
              <w:rPr>
                <w:sz w:val="11"/>
                <w:szCs w:val="11"/>
                <w:lang w:val="fr-BE"/>
              </w:rPr>
            </w:pPr>
          </w:p>
        </w:tc>
        <w:tc>
          <w:tcPr>
            <w:tcW w:w="420" w:type="dxa"/>
            <w:vAlign w:val="bottom"/>
          </w:tcPr>
          <w:p w:rsidR="00AC12B4" w:rsidRPr="00C27636" w:rsidRDefault="00AC12B4">
            <w:pPr>
              <w:rPr>
                <w:sz w:val="11"/>
                <w:szCs w:val="11"/>
                <w:lang w:val="fr-BE"/>
              </w:rPr>
            </w:pPr>
          </w:p>
        </w:tc>
        <w:tc>
          <w:tcPr>
            <w:tcW w:w="380" w:type="dxa"/>
            <w:vAlign w:val="bottom"/>
          </w:tcPr>
          <w:p w:rsidR="00AC12B4" w:rsidRPr="00C27636" w:rsidRDefault="00AC12B4">
            <w:pPr>
              <w:rPr>
                <w:sz w:val="11"/>
                <w:szCs w:val="11"/>
                <w:lang w:val="fr-BE"/>
              </w:rPr>
            </w:pPr>
          </w:p>
        </w:tc>
        <w:tc>
          <w:tcPr>
            <w:tcW w:w="180" w:type="dxa"/>
            <w:vAlign w:val="bottom"/>
          </w:tcPr>
          <w:p w:rsidR="00AC12B4" w:rsidRPr="00C27636" w:rsidRDefault="00AC12B4">
            <w:pPr>
              <w:rPr>
                <w:sz w:val="11"/>
                <w:szCs w:val="11"/>
                <w:lang w:val="fr-BE"/>
              </w:rPr>
            </w:pPr>
          </w:p>
        </w:tc>
        <w:tc>
          <w:tcPr>
            <w:tcW w:w="420" w:type="dxa"/>
            <w:vAlign w:val="bottom"/>
          </w:tcPr>
          <w:p w:rsidR="00AC12B4" w:rsidRPr="00C27636" w:rsidRDefault="00AC12B4">
            <w:pPr>
              <w:rPr>
                <w:sz w:val="11"/>
                <w:szCs w:val="11"/>
                <w:lang w:val="fr-BE"/>
              </w:rPr>
            </w:pPr>
          </w:p>
        </w:tc>
        <w:tc>
          <w:tcPr>
            <w:tcW w:w="240" w:type="dxa"/>
            <w:vAlign w:val="bottom"/>
          </w:tcPr>
          <w:p w:rsidR="00AC12B4" w:rsidRPr="00C27636" w:rsidRDefault="00AC12B4">
            <w:pPr>
              <w:rPr>
                <w:sz w:val="11"/>
                <w:szCs w:val="11"/>
                <w:lang w:val="fr-BE"/>
              </w:rPr>
            </w:pPr>
          </w:p>
        </w:tc>
        <w:tc>
          <w:tcPr>
            <w:tcW w:w="110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trPr>
          <w:trHeight w:val="113"/>
        </w:trPr>
        <w:tc>
          <w:tcPr>
            <w:tcW w:w="400" w:type="dxa"/>
            <w:vAlign w:val="bottom"/>
          </w:tcPr>
          <w:p w:rsidR="00AC12B4" w:rsidRPr="00C27636" w:rsidRDefault="00AC12B4">
            <w:pPr>
              <w:rPr>
                <w:sz w:val="9"/>
                <w:szCs w:val="9"/>
                <w:lang w:val="fr-BE"/>
              </w:rPr>
            </w:pPr>
          </w:p>
        </w:tc>
        <w:tc>
          <w:tcPr>
            <w:tcW w:w="3000" w:type="dxa"/>
            <w:gridSpan w:val="9"/>
            <w:vMerge/>
            <w:vAlign w:val="bottom"/>
          </w:tcPr>
          <w:p w:rsidR="00AC12B4" w:rsidRPr="00C27636" w:rsidRDefault="00AC12B4">
            <w:pPr>
              <w:rPr>
                <w:sz w:val="9"/>
                <w:szCs w:val="9"/>
                <w:lang w:val="fr-BE"/>
              </w:rPr>
            </w:pPr>
          </w:p>
        </w:tc>
        <w:tc>
          <w:tcPr>
            <w:tcW w:w="300" w:type="dxa"/>
            <w:vAlign w:val="bottom"/>
          </w:tcPr>
          <w:p w:rsidR="00AC12B4" w:rsidRPr="00C27636" w:rsidRDefault="00AC12B4">
            <w:pPr>
              <w:rPr>
                <w:sz w:val="9"/>
                <w:szCs w:val="9"/>
                <w:lang w:val="fr-BE"/>
              </w:rPr>
            </w:pPr>
          </w:p>
        </w:tc>
        <w:tc>
          <w:tcPr>
            <w:tcW w:w="24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900" w:type="dxa"/>
            <w:vAlign w:val="bottom"/>
          </w:tcPr>
          <w:p w:rsidR="00AC12B4" w:rsidRPr="00C27636" w:rsidRDefault="00AC12B4">
            <w:pPr>
              <w:rPr>
                <w:sz w:val="9"/>
                <w:szCs w:val="9"/>
                <w:lang w:val="fr-BE"/>
              </w:rPr>
            </w:pPr>
          </w:p>
        </w:tc>
        <w:tc>
          <w:tcPr>
            <w:tcW w:w="600" w:type="dxa"/>
            <w:vAlign w:val="bottom"/>
          </w:tcPr>
          <w:p w:rsidR="00AC12B4" w:rsidRPr="00C27636" w:rsidRDefault="00AC12B4">
            <w:pPr>
              <w:rPr>
                <w:sz w:val="9"/>
                <w:szCs w:val="9"/>
                <w:lang w:val="fr-BE"/>
              </w:rPr>
            </w:pPr>
          </w:p>
        </w:tc>
        <w:tc>
          <w:tcPr>
            <w:tcW w:w="4040" w:type="dxa"/>
            <w:gridSpan w:val="10"/>
            <w:vMerge w:val="restart"/>
            <w:vAlign w:val="bottom"/>
          </w:tcPr>
          <w:p w:rsidR="00AC12B4" w:rsidRDefault="00C27636">
            <w:pPr>
              <w:spacing w:line="202" w:lineRule="exact"/>
              <w:ind w:left="140"/>
              <w:rPr>
                <w:sz w:val="20"/>
                <w:szCs w:val="20"/>
              </w:rPr>
            </w:pPr>
            <w:r>
              <w:rPr>
                <w:rFonts w:ascii="Calibri" w:eastAsia="Calibri" w:hAnsi="Calibri" w:cs="Calibri"/>
              </w:rPr>
              <w:t>financières, a augmenté : 11,5%</w:t>
            </w:r>
          </w:p>
        </w:tc>
        <w:tc>
          <w:tcPr>
            <w:tcW w:w="0" w:type="dxa"/>
            <w:vAlign w:val="bottom"/>
          </w:tcPr>
          <w:p w:rsidR="00AC12B4" w:rsidRDefault="00AC12B4">
            <w:pPr>
              <w:rPr>
                <w:sz w:val="1"/>
                <w:szCs w:val="1"/>
              </w:rPr>
            </w:pPr>
          </w:p>
        </w:tc>
      </w:tr>
      <w:tr w:rsidR="00AC12B4">
        <w:trPr>
          <w:trHeight w:val="90"/>
        </w:trPr>
        <w:tc>
          <w:tcPr>
            <w:tcW w:w="400" w:type="dxa"/>
            <w:tcBorders>
              <w:bottom w:val="single" w:sz="8" w:space="0" w:color="C9D11D"/>
            </w:tcBorders>
            <w:vAlign w:val="bottom"/>
          </w:tcPr>
          <w:p w:rsidR="00AC12B4" w:rsidRDefault="00AC12B4">
            <w:pPr>
              <w:rPr>
                <w:sz w:val="7"/>
                <w:szCs w:val="7"/>
              </w:rPr>
            </w:pPr>
          </w:p>
        </w:tc>
        <w:tc>
          <w:tcPr>
            <w:tcW w:w="140" w:type="dxa"/>
            <w:tcBorders>
              <w:bottom w:val="single" w:sz="8" w:space="0" w:color="C9D11D"/>
            </w:tcBorders>
            <w:vAlign w:val="bottom"/>
          </w:tcPr>
          <w:p w:rsidR="00AC12B4" w:rsidRDefault="00AC12B4">
            <w:pPr>
              <w:rPr>
                <w:sz w:val="7"/>
                <w:szCs w:val="7"/>
              </w:rPr>
            </w:pPr>
          </w:p>
        </w:tc>
        <w:tc>
          <w:tcPr>
            <w:tcW w:w="580" w:type="dxa"/>
            <w:tcBorders>
              <w:bottom w:val="single" w:sz="8" w:space="0" w:color="C9D11D"/>
            </w:tcBorders>
            <w:vAlign w:val="bottom"/>
          </w:tcPr>
          <w:p w:rsidR="00AC12B4" w:rsidRDefault="00AC12B4">
            <w:pPr>
              <w:rPr>
                <w:sz w:val="7"/>
                <w:szCs w:val="7"/>
              </w:rPr>
            </w:pPr>
          </w:p>
        </w:tc>
        <w:tc>
          <w:tcPr>
            <w:tcW w:w="220" w:type="dxa"/>
            <w:tcBorders>
              <w:bottom w:val="single" w:sz="8" w:space="0" w:color="C9D11D"/>
            </w:tcBorders>
            <w:vAlign w:val="bottom"/>
          </w:tcPr>
          <w:p w:rsidR="00AC12B4" w:rsidRDefault="00AC12B4">
            <w:pPr>
              <w:rPr>
                <w:sz w:val="7"/>
                <w:szCs w:val="7"/>
              </w:rPr>
            </w:pPr>
          </w:p>
        </w:tc>
        <w:tc>
          <w:tcPr>
            <w:tcW w:w="420" w:type="dxa"/>
            <w:tcBorders>
              <w:bottom w:val="single" w:sz="8" w:space="0" w:color="C9D11D"/>
            </w:tcBorders>
            <w:vAlign w:val="bottom"/>
          </w:tcPr>
          <w:p w:rsidR="00AC12B4" w:rsidRDefault="00AC12B4">
            <w:pPr>
              <w:rPr>
                <w:sz w:val="7"/>
                <w:szCs w:val="7"/>
              </w:rPr>
            </w:pPr>
          </w:p>
        </w:tc>
        <w:tc>
          <w:tcPr>
            <w:tcW w:w="480" w:type="dxa"/>
            <w:tcBorders>
              <w:bottom w:val="single" w:sz="8" w:space="0" w:color="C9D11D"/>
            </w:tcBorders>
            <w:vAlign w:val="bottom"/>
          </w:tcPr>
          <w:p w:rsidR="00AC12B4" w:rsidRDefault="00AC12B4">
            <w:pPr>
              <w:rPr>
                <w:sz w:val="7"/>
                <w:szCs w:val="7"/>
              </w:rPr>
            </w:pPr>
          </w:p>
        </w:tc>
        <w:tc>
          <w:tcPr>
            <w:tcW w:w="160" w:type="dxa"/>
            <w:tcBorders>
              <w:bottom w:val="single" w:sz="8" w:space="0" w:color="C9D11D"/>
            </w:tcBorders>
            <w:vAlign w:val="bottom"/>
          </w:tcPr>
          <w:p w:rsidR="00AC12B4" w:rsidRDefault="00AC12B4">
            <w:pPr>
              <w:rPr>
                <w:sz w:val="7"/>
                <w:szCs w:val="7"/>
              </w:rPr>
            </w:pPr>
          </w:p>
        </w:tc>
        <w:tc>
          <w:tcPr>
            <w:tcW w:w="360" w:type="dxa"/>
            <w:tcBorders>
              <w:bottom w:val="single" w:sz="8" w:space="0" w:color="C9D11D"/>
            </w:tcBorders>
            <w:vAlign w:val="bottom"/>
          </w:tcPr>
          <w:p w:rsidR="00AC12B4" w:rsidRDefault="00AC12B4">
            <w:pPr>
              <w:rPr>
                <w:sz w:val="7"/>
                <w:szCs w:val="7"/>
              </w:rPr>
            </w:pPr>
          </w:p>
        </w:tc>
        <w:tc>
          <w:tcPr>
            <w:tcW w:w="520" w:type="dxa"/>
            <w:tcBorders>
              <w:bottom w:val="single" w:sz="8" w:space="0" w:color="C9D11D"/>
            </w:tcBorders>
            <w:vAlign w:val="bottom"/>
          </w:tcPr>
          <w:p w:rsidR="00AC12B4" w:rsidRDefault="00AC12B4">
            <w:pPr>
              <w:rPr>
                <w:sz w:val="7"/>
                <w:szCs w:val="7"/>
              </w:rPr>
            </w:pPr>
          </w:p>
        </w:tc>
        <w:tc>
          <w:tcPr>
            <w:tcW w:w="120" w:type="dxa"/>
            <w:tcBorders>
              <w:bottom w:val="single" w:sz="8" w:space="0" w:color="C9D11D"/>
            </w:tcBorders>
            <w:vAlign w:val="bottom"/>
          </w:tcPr>
          <w:p w:rsidR="00AC12B4" w:rsidRDefault="00AC12B4">
            <w:pPr>
              <w:rPr>
                <w:sz w:val="7"/>
                <w:szCs w:val="7"/>
              </w:rPr>
            </w:pPr>
          </w:p>
        </w:tc>
        <w:tc>
          <w:tcPr>
            <w:tcW w:w="300" w:type="dxa"/>
            <w:tcBorders>
              <w:bottom w:val="single" w:sz="8" w:space="0" w:color="C9D11D"/>
            </w:tcBorders>
            <w:vAlign w:val="bottom"/>
          </w:tcPr>
          <w:p w:rsidR="00AC12B4" w:rsidRDefault="00AC12B4">
            <w:pPr>
              <w:rPr>
                <w:sz w:val="7"/>
                <w:szCs w:val="7"/>
              </w:rPr>
            </w:pPr>
          </w:p>
        </w:tc>
        <w:tc>
          <w:tcPr>
            <w:tcW w:w="240" w:type="dxa"/>
            <w:tcBorders>
              <w:bottom w:val="single" w:sz="8" w:space="0" w:color="C9D11D"/>
            </w:tcBorders>
            <w:vAlign w:val="bottom"/>
          </w:tcPr>
          <w:p w:rsidR="00AC12B4" w:rsidRDefault="00AC12B4">
            <w:pPr>
              <w:rPr>
                <w:sz w:val="7"/>
                <w:szCs w:val="7"/>
              </w:rPr>
            </w:pPr>
          </w:p>
        </w:tc>
        <w:tc>
          <w:tcPr>
            <w:tcW w:w="160" w:type="dxa"/>
            <w:tcBorders>
              <w:bottom w:val="single" w:sz="8" w:space="0" w:color="C9D11D"/>
            </w:tcBorders>
            <w:vAlign w:val="bottom"/>
          </w:tcPr>
          <w:p w:rsidR="00AC12B4" w:rsidRDefault="00AC12B4">
            <w:pPr>
              <w:rPr>
                <w:sz w:val="7"/>
                <w:szCs w:val="7"/>
              </w:rPr>
            </w:pPr>
          </w:p>
        </w:tc>
        <w:tc>
          <w:tcPr>
            <w:tcW w:w="900" w:type="dxa"/>
            <w:tcBorders>
              <w:bottom w:val="single" w:sz="8" w:space="0" w:color="C9D11D"/>
            </w:tcBorders>
            <w:vAlign w:val="bottom"/>
          </w:tcPr>
          <w:p w:rsidR="00AC12B4" w:rsidRDefault="00AC12B4">
            <w:pPr>
              <w:rPr>
                <w:sz w:val="7"/>
                <w:szCs w:val="7"/>
              </w:rPr>
            </w:pPr>
          </w:p>
        </w:tc>
        <w:tc>
          <w:tcPr>
            <w:tcW w:w="600" w:type="dxa"/>
            <w:tcBorders>
              <w:bottom w:val="single" w:sz="8" w:space="0" w:color="C9D11D"/>
            </w:tcBorders>
            <w:vAlign w:val="bottom"/>
          </w:tcPr>
          <w:p w:rsidR="00AC12B4" w:rsidRDefault="00AC12B4">
            <w:pPr>
              <w:rPr>
                <w:sz w:val="7"/>
                <w:szCs w:val="7"/>
              </w:rPr>
            </w:pPr>
          </w:p>
        </w:tc>
        <w:tc>
          <w:tcPr>
            <w:tcW w:w="4040" w:type="dxa"/>
            <w:gridSpan w:val="10"/>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315"/>
        </w:trPr>
        <w:tc>
          <w:tcPr>
            <w:tcW w:w="400" w:type="dxa"/>
            <w:tcBorders>
              <w:left w:val="single" w:sz="8" w:space="0" w:color="C9D11D"/>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4460" w:type="dxa"/>
            <w:gridSpan w:val="12"/>
            <w:vMerge w:val="restart"/>
            <w:vAlign w:val="bottom"/>
          </w:tcPr>
          <w:p w:rsidR="00AC12B4" w:rsidRPr="00C27636" w:rsidRDefault="00C27636">
            <w:pPr>
              <w:ind w:right="100"/>
              <w:jc w:val="right"/>
              <w:rPr>
                <w:sz w:val="20"/>
                <w:szCs w:val="20"/>
                <w:lang w:val="fr-BE"/>
              </w:rPr>
            </w:pPr>
            <w:r w:rsidRPr="00C27636">
              <w:rPr>
                <w:rFonts w:ascii="Calibri" w:eastAsia="Calibri" w:hAnsi="Calibri" w:cs="Calibri"/>
                <w:b/>
                <w:bCs/>
                <w:sz w:val="20"/>
                <w:szCs w:val="20"/>
                <w:lang w:val="fr-BE"/>
              </w:rPr>
              <w:t xml:space="preserve">Pourcentage de </w:t>
            </w:r>
            <w:r w:rsidRPr="00C27636">
              <w:rPr>
                <w:rFonts w:ascii="Calibri" w:eastAsia="Calibri" w:hAnsi="Calibri" w:cs="Calibri"/>
                <w:b/>
                <w:bCs/>
                <w:sz w:val="20"/>
                <w:szCs w:val="20"/>
                <w:lang w:val="fr-BE"/>
              </w:rPr>
              <w:t>ménages ayant dû postposer des</w:t>
            </w:r>
          </w:p>
        </w:tc>
        <w:tc>
          <w:tcPr>
            <w:tcW w:w="600" w:type="dxa"/>
            <w:tcBorders>
              <w:right w:val="single" w:sz="8" w:space="0" w:color="C9D11D"/>
            </w:tcBorders>
            <w:vAlign w:val="bottom"/>
          </w:tcPr>
          <w:p w:rsidR="00AC12B4" w:rsidRPr="00C27636" w:rsidRDefault="00AC12B4">
            <w:pPr>
              <w:rPr>
                <w:sz w:val="24"/>
                <w:szCs w:val="24"/>
                <w:lang w:val="fr-BE"/>
              </w:rPr>
            </w:pPr>
          </w:p>
        </w:tc>
        <w:tc>
          <w:tcPr>
            <w:tcW w:w="480" w:type="dxa"/>
            <w:vAlign w:val="bottom"/>
          </w:tcPr>
          <w:p w:rsidR="00AC12B4" w:rsidRDefault="00C27636">
            <w:pPr>
              <w:ind w:left="140"/>
              <w:rPr>
                <w:sz w:val="20"/>
                <w:szCs w:val="20"/>
              </w:rPr>
            </w:pPr>
            <w:r>
              <w:rPr>
                <w:rFonts w:ascii="Calibri" w:eastAsia="Calibri" w:hAnsi="Calibri" w:cs="Calibri"/>
              </w:rPr>
              <w:t>des</w:t>
            </w:r>
          </w:p>
        </w:tc>
        <w:tc>
          <w:tcPr>
            <w:tcW w:w="820" w:type="dxa"/>
            <w:gridSpan w:val="3"/>
            <w:vAlign w:val="bottom"/>
          </w:tcPr>
          <w:p w:rsidR="00AC12B4" w:rsidRDefault="00C27636">
            <w:pPr>
              <w:ind w:left="100"/>
              <w:rPr>
                <w:sz w:val="20"/>
                <w:szCs w:val="20"/>
              </w:rPr>
            </w:pPr>
            <w:r>
              <w:rPr>
                <w:rFonts w:ascii="Calibri" w:eastAsia="Calibri" w:hAnsi="Calibri" w:cs="Calibri"/>
              </w:rPr>
              <w:t>enfants</w:t>
            </w:r>
          </w:p>
        </w:tc>
        <w:tc>
          <w:tcPr>
            <w:tcW w:w="420" w:type="dxa"/>
            <w:vAlign w:val="bottom"/>
          </w:tcPr>
          <w:p w:rsidR="00AC12B4" w:rsidRDefault="00C27636">
            <w:pPr>
              <w:ind w:left="80"/>
              <w:rPr>
                <w:sz w:val="20"/>
                <w:szCs w:val="20"/>
              </w:rPr>
            </w:pPr>
            <w:r>
              <w:rPr>
                <w:rFonts w:ascii="Calibri" w:eastAsia="Calibri" w:hAnsi="Calibri" w:cs="Calibri"/>
              </w:rPr>
              <w:t>en</w:t>
            </w:r>
          </w:p>
        </w:tc>
        <w:tc>
          <w:tcPr>
            <w:tcW w:w="1220" w:type="dxa"/>
            <w:gridSpan w:val="4"/>
            <w:vAlign w:val="bottom"/>
          </w:tcPr>
          <w:p w:rsidR="00AC12B4" w:rsidRDefault="00C27636">
            <w:pPr>
              <w:ind w:left="20"/>
              <w:rPr>
                <w:sz w:val="20"/>
                <w:szCs w:val="20"/>
              </w:rPr>
            </w:pPr>
            <w:r>
              <w:rPr>
                <w:rFonts w:ascii="Calibri" w:eastAsia="Calibri" w:hAnsi="Calibri" w:cs="Calibri"/>
              </w:rPr>
              <w:t>1997, 12,3%</w:t>
            </w:r>
          </w:p>
        </w:tc>
        <w:tc>
          <w:tcPr>
            <w:tcW w:w="1100" w:type="dxa"/>
            <w:vAlign w:val="bottom"/>
          </w:tcPr>
          <w:p w:rsidR="00AC12B4" w:rsidRDefault="00C27636">
            <w:pPr>
              <w:ind w:right="670"/>
              <w:jc w:val="right"/>
              <w:rPr>
                <w:sz w:val="20"/>
                <w:szCs w:val="20"/>
              </w:rPr>
            </w:pPr>
            <w:r>
              <w:rPr>
                <w:rFonts w:ascii="Calibri" w:eastAsia="Calibri" w:hAnsi="Calibri" w:cs="Calibri"/>
              </w:rPr>
              <w:t>en</w:t>
            </w:r>
          </w:p>
        </w:tc>
        <w:tc>
          <w:tcPr>
            <w:tcW w:w="0" w:type="dxa"/>
            <w:vAlign w:val="bottom"/>
          </w:tcPr>
          <w:p w:rsidR="00AC12B4" w:rsidRDefault="00AC12B4">
            <w:pPr>
              <w:rPr>
                <w:sz w:val="1"/>
                <w:szCs w:val="1"/>
              </w:rPr>
            </w:pPr>
          </w:p>
        </w:tc>
      </w:tr>
      <w:tr w:rsidR="00AC12B4">
        <w:trPr>
          <w:trHeight w:val="54"/>
        </w:trPr>
        <w:tc>
          <w:tcPr>
            <w:tcW w:w="400" w:type="dxa"/>
            <w:tcBorders>
              <w:left w:val="single" w:sz="8" w:space="0" w:color="C9D11D"/>
            </w:tcBorders>
            <w:vAlign w:val="bottom"/>
          </w:tcPr>
          <w:p w:rsidR="00AC12B4" w:rsidRDefault="00AC12B4">
            <w:pPr>
              <w:rPr>
                <w:sz w:val="4"/>
                <w:szCs w:val="4"/>
              </w:rPr>
            </w:pPr>
          </w:p>
        </w:tc>
        <w:tc>
          <w:tcPr>
            <w:tcW w:w="140" w:type="dxa"/>
            <w:vAlign w:val="bottom"/>
          </w:tcPr>
          <w:p w:rsidR="00AC12B4" w:rsidRDefault="00AC12B4">
            <w:pPr>
              <w:rPr>
                <w:sz w:val="4"/>
                <w:szCs w:val="4"/>
              </w:rPr>
            </w:pPr>
          </w:p>
        </w:tc>
        <w:tc>
          <w:tcPr>
            <w:tcW w:w="4460" w:type="dxa"/>
            <w:gridSpan w:val="12"/>
            <w:vMerge/>
            <w:vAlign w:val="bottom"/>
          </w:tcPr>
          <w:p w:rsidR="00AC12B4" w:rsidRDefault="00AC12B4">
            <w:pPr>
              <w:rPr>
                <w:sz w:val="4"/>
                <w:szCs w:val="4"/>
              </w:rPr>
            </w:pPr>
          </w:p>
        </w:tc>
        <w:tc>
          <w:tcPr>
            <w:tcW w:w="600" w:type="dxa"/>
            <w:tcBorders>
              <w:right w:val="single" w:sz="8" w:space="0" w:color="C9D11D"/>
            </w:tcBorders>
            <w:vAlign w:val="bottom"/>
          </w:tcPr>
          <w:p w:rsidR="00AC12B4" w:rsidRDefault="00AC12B4">
            <w:pPr>
              <w:rPr>
                <w:sz w:val="4"/>
                <w:szCs w:val="4"/>
              </w:rPr>
            </w:pPr>
          </w:p>
        </w:tc>
        <w:tc>
          <w:tcPr>
            <w:tcW w:w="4040" w:type="dxa"/>
            <w:gridSpan w:val="10"/>
            <w:vMerge w:val="restart"/>
            <w:vAlign w:val="bottom"/>
          </w:tcPr>
          <w:p w:rsidR="00AC12B4" w:rsidRDefault="00C27636">
            <w:pPr>
              <w:ind w:left="140"/>
              <w:rPr>
                <w:sz w:val="20"/>
                <w:szCs w:val="20"/>
              </w:rPr>
            </w:pPr>
            <w:r>
              <w:rPr>
                <w:rFonts w:ascii="Calibri" w:eastAsia="Calibri" w:hAnsi="Calibri" w:cs="Calibri"/>
              </w:rPr>
              <w:t>2001, 12,2% en 2004, 17,6% en</w:t>
            </w:r>
          </w:p>
        </w:tc>
        <w:tc>
          <w:tcPr>
            <w:tcW w:w="0" w:type="dxa"/>
            <w:vAlign w:val="bottom"/>
          </w:tcPr>
          <w:p w:rsidR="00AC12B4" w:rsidRDefault="00AC12B4">
            <w:pPr>
              <w:rPr>
                <w:sz w:val="1"/>
                <w:szCs w:val="1"/>
              </w:rPr>
            </w:pPr>
          </w:p>
        </w:tc>
      </w:tr>
      <w:tr w:rsidR="00AC12B4" w:rsidRPr="00C27636">
        <w:trPr>
          <w:trHeight w:val="245"/>
        </w:trPr>
        <w:tc>
          <w:tcPr>
            <w:tcW w:w="400" w:type="dxa"/>
            <w:tcBorders>
              <w:left w:val="single" w:sz="8" w:space="0" w:color="C9D11D"/>
            </w:tcBorders>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4460" w:type="dxa"/>
            <w:gridSpan w:val="12"/>
            <w:vAlign w:val="bottom"/>
          </w:tcPr>
          <w:p w:rsidR="00AC12B4" w:rsidRPr="00C27636" w:rsidRDefault="00C27636">
            <w:pPr>
              <w:ind w:right="360"/>
              <w:jc w:val="right"/>
              <w:rPr>
                <w:sz w:val="20"/>
                <w:szCs w:val="20"/>
                <w:lang w:val="fr-BE"/>
              </w:rPr>
            </w:pPr>
            <w:r w:rsidRPr="00C27636">
              <w:rPr>
                <w:rFonts w:ascii="Calibri" w:eastAsia="Calibri" w:hAnsi="Calibri" w:cs="Calibri"/>
                <w:b/>
                <w:bCs/>
                <w:sz w:val="20"/>
                <w:szCs w:val="20"/>
                <w:lang w:val="fr-BE"/>
              </w:rPr>
              <w:t>soins de santé pour des raisons financières</w:t>
            </w:r>
          </w:p>
        </w:tc>
        <w:tc>
          <w:tcPr>
            <w:tcW w:w="600" w:type="dxa"/>
            <w:tcBorders>
              <w:right w:val="single" w:sz="8" w:space="0" w:color="C9D11D"/>
            </w:tcBorders>
            <w:vAlign w:val="bottom"/>
          </w:tcPr>
          <w:p w:rsidR="00AC12B4" w:rsidRPr="00C27636" w:rsidRDefault="00AC12B4">
            <w:pPr>
              <w:rPr>
                <w:sz w:val="21"/>
                <w:szCs w:val="21"/>
                <w:lang w:val="fr-BE"/>
              </w:rPr>
            </w:pPr>
          </w:p>
        </w:tc>
        <w:tc>
          <w:tcPr>
            <w:tcW w:w="4040" w:type="dxa"/>
            <w:gridSpan w:val="10"/>
            <w:vMerge/>
            <w:vAlign w:val="bottom"/>
          </w:tcPr>
          <w:p w:rsidR="00AC12B4" w:rsidRPr="00C27636" w:rsidRDefault="00AC12B4">
            <w:pPr>
              <w:rPr>
                <w:sz w:val="21"/>
                <w:szCs w:val="21"/>
                <w:lang w:val="fr-BE"/>
              </w:rPr>
            </w:pPr>
          </w:p>
        </w:tc>
        <w:tc>
          <w:tcPr>
            <w:tcW w:w="0" w:type="dxa"/>
            <w:vAlign w:val="bottom"/>
          </w:tcPr>
          <w:p w:rsidR="00AC12B4" w:rsidRPr="00C27636" w:rsidRDefault="00AC12B4">
            <w:pPr>
              <w:rPr>
                <w:sz w:val="1"/>
                <w:szCs w:val="1"/>
                <w:lang w:val="fr-BE"/>
              </w:rPr>
            </w:pPr>
          </w:p>
        </w:tc>
      </w:tr>
      <w:tr w:rsidR="00AC12B4">
        <w:trPr>
          <w:trHeight w:val="243"/>
        </w:trPr>
        <w:tc>
          <w:tcPr>
            <w:tcW w:w="400" w:type="dxa"/>
            <w:vMerge w:val="restart"/>
            <w:tcBorders>
              <w:left w:val="single" w:sz="8" w:space="0" w:color="C9D11D"/>
            </w:tcBorders>
            <w:vAlign w:val="bottom"/>
          </w:tcPr>
          <w:p w:rsidR="00AC12B4" w:rsidRDefault="00C27636">
            <w:pPr>
              <w:jc w:val="right"/>
              <w:rPr>
                <w:sz w:val="20"/>
                <w:szCs w:val="20"/>
              </w:rPr>
            </w:pPr>
            <w:r>
              <w:rPr>
                <w:rFonts w:ascii="Calibri" w:eastAsia="Calibri" w:hAnsi="Calibri" w:cs="Calibri"/>
                <w:sz w:val="20"/>
                <w:szCs w:val="20"/>
              </w:rPr>
              <w:t>35</w:t>
            </w:r>
          </w:p>
        </w:tc>
        <w:tc>
          <w:tcPr>
            <w:tcW w:w="140" w:type="dxa"/>
            <w:vAlign w:val="bottom"/>
          </w:tcPr>
          <w:p w:rsidR="00AC12B4" w:rsidRDefault="00AC12B4">
            <w:pPr>
              <w:rPr>
                <w:sz w:val="21"/>
                <w:szCs w:val="21"/>
              </w:rPr>
            </w:pPr>
          </w:p>
        </w:tc>
        <w:tc>
          <w:tcPr>
            <w:tcW w:w="580" w:type="dxa"/>
            <w:tcBorders>
              <w:bottom w:val="single" w:sz="8" w:space="0" w:color="868686"/>
            </w:tcBorders>
            <w:vAlign w:val="bottom"/>
          </w:tcPr>
          <w:p w:rsidR="00AC12B4" w:rsidRDefault="00AC12B4">
            <w:pPr>
              <w:rPr>
                <w:sz w:val="21"/>
                <w:szCs w:val="21"/>
              </w:rPr>
            </w:pPr>
          </w:p>
        </w:tc>
        <w:tc>
          <w:tcPr>
            <w:tcW w:w="220" w:type="dxa"/>
            <w:tcBorders>
              <w:bottom w:val="single" w:sz="8" w:space="0" w:color="868686"/>
            </w:tcBorders>
            <w:vAlign w:val="bottom"/>
          </w:tcPr>
          <w:p w:rsidR="00AC12B4" w:rsidRDefault="00AC12B4">
            <w:pPr>
              <w:rPr>
                <w:sz w:val="21"/>
                <w:szCs w:val="21"/>
              </w:rPr>
            </w:pPr>
          </w:p>
        </w:tc>
        <w:tc>
          <w:tcPr>
            <w:tcW w:w="420" w:type="dxa"/>
            <w:tcBorders>
              <w:bottom w:val="single" w:sz="8" w:space="0" w:color="868686"/>
            </w:tcBorders>
            <w:vAlign w:val="bottom"/>
          </w:tcPr>
          <w:p w:rsidR="00AC12B4" w:rsidRDefault="00AC12B4">
            <w:pPr>
              <w:rPr>
                <w:sz w:val="21"/>
                <w:szCs w:val="21"/>
              </w:rPr>
            </w:pPr>
          </w:p>
        </w:tc>
        <w:tc>
          <w:tcPr>
            <w:tcW w:w="480" w:type="dxa"/>
            <w:tcBorders>
              <w:bottom w:val="single" w:sz="8" w:space="0" w:color="868686"/>
            </w:tcBorders>
            <w:vAlign w:val="bottom"/>
          </w:tcPr>
          <w:p w:rsidR="00AC12B4" w:rsidRDefault="00AC12B4">
            <w:pPr>
              <w:rPr>
                <w:sz w:val="21"/>
                <w:szCs w:val="21"/>
              </w:rPr>
            </w:pPr>
          </w:p>
        </w:tc>
        <w:tc>
          <w:tcPr>
            <w:tcW w:w="160" w:type="dxa"/>
            <w:tcBorders>
              <w:bottom w:val="single" w:sz="8" w:space="0" w:color="868686"/>
            </w:tcBorders>
            <w:vAlign w:val="bottom"/>
          </w:tcPr>
          <w:p w:rsidR="00AC12B4" w:rsidRDefault="00AC12B4">
            <w:pPr>
              <w:rPr>
                <w:sz w:val="21"/>
                <w:szCs w:val="21"/>
              </w:rPr>
            </w:pPr>
          </w:p>
        </w:tc>
        <w:tc>
          <w:tcPr>
            <w:tcW w:w="360" w:type="dxa"/>
            <w:tcBorders>
              <w:bottom w:val="single" w:sz="8" w:space="0" w:color="868686"/>
            </w:tcBorders>
            <w:vAlign w:val="bottom"/>
          </w:tcPr>
          <w:p w:rsidR="00AC12B4" w:rsidRDefault="00AC12B4">
            <w:pPr>
              <w:rPr>
                <w:sz w:val="21"/>
                <w:szCs w:val="21"/>
              </w:rPr>
            </w:pPr>
          </w:p>
        </w:tc>
        <w:tc>
          <w:tcPr>
            <w:tcW w:w="520" w:type="dxa"/>
            <w:tcBorders>
              <w:bottom w:val="single" w:sz="8" w:space="0" w:color="868686"/>
            </w:tcBorders>
            <w:vAlign w:val="bottom"/>
          </w:tcPr>
          <w:p w:rsidR="00AC12B4" w:rsidRDefault="00AC12B4">
            <w:pPr>
              <w:rPr>
                <w:sz w:val="21"/>
                <w:szCs w:val="21"/>
              </w:rPr>
            </w:pPr>
          </w:p>
        </w:tc>
        <w:tc>
          <w:tcPr>
            <w:tcW w:w="120" w:type="dxa"/>
            <w:tcBorders>
              <w:bottom w:val="single" w:sz="8" w:space="0" w:color="868686"/>
            </w:tcBorders>
            <w:vAlign w:val="bottom"/>
          </w:tcPr>
          <w:p w:rsidR="00AC12B4" w:rsidRDefault="00AC12B4">
            <w:pPr>
              <w:rPr>
                <w:sz w:val="21"/>
                <w:szCs w:val="21"/>
              </w:rPr>
            </w:pPr>
          </w:p>
        </w:tc>
        <w:tc>
          <w:tcPr>
            <w:tcW w:w="300" w:type="dxa"/>
            <w:vAlign w:val="bottom"/>
          </w:tcPr>
          <w:p w:rsidR="00AC12B4" w:rsidRDefault="00AC12B4">
            <w:pPr>
              <w:rPr>
                <w:sz w:val="21"/>
                <w:szCs w:val="21"/>
              </w:rPr>
            </w:pPr>
          </w:p>
        </w:tc>
        <w:tc>
          <w:tcPr>
            <w:tcW w:w="240" w:type="dxa"/>
            <w:vAlign w:val="bottom"/>
          </w:tcPr>
          <w:p w:rsidR="00AC12B4" w:rsidRDefault="00AC12B4">
            <w:pPr>
              <w:rPr>
                <w:sz w:val="21"/>
                <w:szCs w:val="21"/>
              </w:rPr>
            </w:pPr>
          </w:p>
        </w:tc>
        <w:tc>
          <w:tcPr>
            <w:tcW w:w="160" w:type="dxa"/>
            <w:vAlign w:val="bottom"/>
          </w:tcPr>
          <w:p w:rsidR="00AC12B4" w:rsidRDefault="00AC12B4">
            <w:pPr>
              <w:rPr>
                <w:sz w:val="21"/>
                <w:szCs w:val="21"/>
              </w:rPr>
            </w:pPr>
          </w:p>
        </w:tc>
        <w:tc>
          <w:tcPr>
            <w:tcW w:w="900" w:type="dxa"/>
            <w:vAlign w:val="bottom"/>
          </w:tcPr>
          <w:p w:rsidR="00AC12B4" w:rsidRDefault="00AC12B4">
            <w:pPr>
              <w:rPr>
                <w:sz w:val="21"/>
                <w:szCs w:val="21"/>
              </w:rPr>
            </w:pPr>
          </w:p>
        </w:tc>
        <w:tc>
          <w:tcPr>
            <w:tcW w:w="600" w:type="dxa"/>
            <w:tcBorders>
              <w:right w:val="single" w:sz="8" w:space="0" w:color="C9D11D"/>
            </w:tcBorders>
            <w:vAlign w:val="bottom"/>
          </w:tcPr>
          <w:p w:rsidR="00AC12B4" w:rsidRDefault="00AC12B4">
            <w:pPr>
              <w:rPr>
                <w:sz w:val="21"/>
                <w:szCs w:val="21"/>
              </w:rPr>
            </w:pPr>
          </w:p>
        </w:tc>
        <w:tc>
          <w:tcPr>
            <w:tcW w:w="4040" w:type="dxa"/>
            <w:gridSpan w:val="10"/>
            <w:vAlign w:val="bottom"/>
          </w:tcPr>
          <w:p w:rsidR="00AC12B4" w:rsidRDefault="00C27636">
            <w:pPr>
              <w:spacing w:line="239" w:lineRule="exact"/>
              <w:ind w:left="140"/>
              <w:rPr>
                <w:sz w:val="20"/>
                <w:szCs w:val="20"/>
              </w:rPr>
            </w:pPr>
            <w:r>
              <w:rPr>
                <w:rFonts w:ascii="Calibri" w:eastAsia="Calibri" w:hAnsi="Calibri" w:cs="Calibri"/>
              </w:rPr>
              <w:t>2008. Ce pourcentage a diminué</w:t>
            </w:r>
          </w:p>
        </w:tc>
        <w:tc>
          <w:tcPr>
            <w:tcW w:w="0" w:type="dxa"/>
            <w:vAlign w:val="bottom"/>
          </w:tcPr>
          <w:p w:rsidR="00AC12B4" w:rsidRDefault="00AC12B4">
            <w:pPr>
              <w:rPr>
                <w:sz w:val="1"/>
                <w:szCs w:val="1"/>
              </w:rPr>
            </w:pPr>
          </w:p>
        </w:tc>
      </w:tr>
      <w:tr w:rsidR="00AC12B4">
        <w:trPr>
          <w:trHeight w:val="99"/>
        </w:trPr>
        <w:tc>
          <w:tcPr>
            <w:tcW w:w="400" w:type="dxa"/>
            <w:vMerge/>
            <w:tcBorders>
              <w:left w:val="single" w:sz="8" w:space="0" w:color="C9D11D"/>
            </w:tcBorders>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5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360" w:type="dxa"/>
            <w:vAlign w:val="bottom"/>
          </w:tcPr>
          <w:p w:rsidR="00AC12B4" w:rsidRDefault="00AC12B4">
            <w:pPr>
              <w:rPr>
                <w:sz w:val="8"/>
                <w:szCs w:val="8"/>
              </w:rPr>
            </w:pPr>
          </w:p>
        </w:tc>
        <w:tc>
          <w:tcPr>
            <w:tcW w:w="5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900" w:type="dxa"/>
            <w:vMerge w:val="restart"/>
            <w:vAlign w:val="bottom"/>
          </w:tcPr>
          <w:p w:rsidR="00AC12B4" w:rsidRDefault="00C27636">
            <w:pPr>
              <w:ind w:left="40"/>
              <w:rPr>
                <w:sz w:val="20"/>
                <w:szCs w:val="20"/>
              </w:rPr>
            </w:pPr>
            <w:r>
              <w:rPr>
                <w:rFonts w:ascii="Calibri" w:eastAsia="Calibri" w:hAnsi="Calibri" w:cs="Calibri"/>
                <w:sz w:val="16"/>
                <w:szCs w:val="16"/>
              </w:rPr>
              <w:t>Célibataire</w:t>
            </w:r>
          </w:p>
        </w:tc>
        <w:tc>
          <w:tcPr>
            <w:tcW w:w="600" w:type="dxa"/>
            <w:tcBorders>
              <w:right w:val="single" w:sz="8" w:space="0" w:color="C9D11D"/>
            </w:tcBorders>
            <w:vAlign w:val="bottom"/>
          </w:tcPr>
          <w:p w:rsidR="00AC12B4" w:rsidRDefault="00AC12B4">
            <w:pPr>
              <w:rPr>
                <w:sz w:val="8"/>
                <w:szCs w:val="8"/>
              </w:rPr>
            </w:pPr>
          </w:p>
        </w:tc>
        <w:tc>
          <w:tcPr>
            <w:tcW w:w="2700" w:type="dxa"/>
            <w:gridSpan w:val="8"/>
            <w:vMerge w:val="restart"/>
            <w:vAlign w:val="bottom"/>
          </w:tcPr>
          <w:p w:rsidR="00AC12B4" w:rsidRDefault="00C27636">
            <w:pPr>
              <w:spacing w:line="244" w:lineRule="exact"/>
              <w:ind w:left="140"/>
              <w:rPr>
                <w:sz w:val="20"/>
                <w:szCs w:val="20"/>
              </w:rPr>
            </w:pPr>
            <w:r>
              <w:rPr>
                <w:rFonts w:ascii="Calibri" w:eastAsia="Calibri" w:hAnsi="Calibri" w:cs="Calibri"/>
              </w:rPr>
              <w:t xml:space="preserve">fortement en </w:t>
            </w:r>
            <w:r>
              <w:rPr>
                <w:rFonts w:ascii="Calibri" w:eastAsia="Calibri" w:hAnsi="Calibri" w:cs="Calibri"/>
              </w:rPr>
              <w:lastRenderedPageBreak/>
              <w:t>2013 (11,7%).</w:t>
            </w:r>
          </w:p>
        </w:tc>
        <w:tc>
          <w:tcPr>
            <w:tcW w:w="240" w:type="dxa"/>
            <w:vAlign w:val="bottom"/>
          </w:tcPr>
          <w:p w:rsidR="00AC12B4" w:rsidRDefault="00AC12B4">
            <w:pPr>
              <w:rPr>
                <w:sz w:val="8"/>
                <w:szCs w:val="8"/>
              </w:rPr>
            </w:pPr>
          </w:p>
        </w:tc>
        <w:tc>
          <w:tcPr>
            <w:tcW w:w="11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46"/>
        </w:trPr>
        <w:tc>
          <w:tcPr>
            <w:tcW w:w="400" w:type="dxa"/>
            <w:vMerge w:val="restart"/>
            <w:tcBorders>
              <w:left w:val="single" w:sz="8" w:space="0" w:color="C9D11D"/>
            </w:tcBorders>
            <w:vAlign w:val="bottom"/>
          </w:tcPr>
          <w:p w:rsidR="00AC12B4" w:rsidRDefault="00C27636">
            <w:pPr>
              <w:jc w:val="right"/>
              <w:rPr>
                <w:sz w:val="20"/>
                <w:szCs w:val="20"/>
              </w:rPr>
            </w:pPr>
            <w:r>
              <w:rPr>
                <w:rFonts w:ascii="Calibri" w:eastAsia="Calibri" w:hAnsi="Calibri" w:cs="Calibri"/>
                <w:sz w:val="20"/>
                <w:szCs w:val="20"/>
              </w:rPr>
              <w:t>3</w:t>
            </w:r>
            <w:r>
              <w:rPr>
                <w:rFonts w:ascii="Calibri" w:eastAsia="Calibri" w:hAnsi="Calibri" w:cs="Calibri"/>
                <w:sz w:val="20"/>
                <w:szCs w:val="20"/>
              </w:rPr>
              <w:lastRenderedPageBreak/>
              <w:t>0</w:t>
            </w:r>
          </w:p>
        </w:tc>
        <w:tc>
          <w:tcPr>
            <w:tcW w:w="140" w:type="dxa"/>
            <w:tcBorders>
              <w:right w:val="single" w:sz="8" w:space="0" w:color="868686"/>
            </w:tcBorders>
            <w:vAlign w:val="bottom"/>
          </w:tcPr>
          <w:p w:rsidR="00AC12B4" w:rsidRDefault="00AC12B4">
            <w:pPr>
              <w:rPr>
                <w:sz w:val="4"/>
                <w:szCs w:val="4"/>
              </w:rPr>
            </w:pPr>
          </w:p>
        </w:tc>
        <w:tc>
          <w:tcPr>
            <w:tcW w:w="58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160" w:type="dxa"/>
            <w:vAlign w:val="bottom"/>
          </w:tcPr>
          <w:p w:rsidR="00AC12B4" w:rsidRDefault="00AC12B4">
            <w:pPr>
              <w:rPr>
                <w:sz w:val="4"/>
                <w:szCs w:val="4"/>
              </w:rPr>
            </w:pPr>
          </w:p>
        </w:tc>
        <w:tc>
          <w:tcPr>
            <w:tcW w:w="360" w:type="dxa"/>
            <w:vAlign w:val="bottom"/>
          </w:tcPr>
          <w:p w:rsidR="00AC12B4" w:rsidRDefault="00AC12B4">
            <w:pPr>
              <w:rPr>
                <w:sz w:val="4"/>
                <w:szCs w:val="4"/>
              </w:rPr>
            </w:pPr>
          </w:p>
        </w:tc>
        <w:tc>
          <w:tcPr>
            <w:tcW w:w="5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240" w:type="dxa"/>
            <w:tcBorders>
              <w:bottom w:val="single" w:sz="8" w:space="0" w:color="416FA6"/>
            </w:tcBorders>
            <w:vAlign w:val="bottom"/>
          </w:tcPr>
          <w:p w:rsidR="00AC12B4" w:rsidRDefault="00AC12B4">
            <w:pPr>
              <w:rPr>
                <w:sz w:val="4"/>
                <w:szCs w:val="4"/>
              </w:rPr>
            </w:pPr>
          </w:p>
        </w:tc>
        <w:tc>
          <w:tcPr>
            <w:tcW w:w="160" w:type="dxa"/>
            <w:tcBorders>
              <w:bottom w:val="single" w:sz="8" w:space="0" w:color="416FA6"/>
            </w:tcBorders>
            <w:vAlign w:val="bottom"/>
          </w:tcPr>
          <w:p w:rsidR="00AC12B4" w:rsidRDefault="00AC12B4">
            <w:pPr>
              <w:rPr>
                <w:sz w:val="4"/>
                <w:szCs w:val="4"/>
              </w:rPr>
            </w:pPr>
          </w:p>
        </w:tc>
        <w:tc>
          <w:tcPr>
            <w:tcW w:w="900" w:type="dxa"/>
            <w:vMerge/>
            <w:vAlign w:val="bottom"/>
          </w:tcPr>
          <w:p w:rsidR="00AC12B4" w:rsidRDefault="00AC12B4">
            <w:pPr>
              <w:rPr>
                <w:sz w:val="4"/>
                <w:szCs w:val="4"/>
              </w:rPr>
            </w:pPr>
          </w:p>
        </w:tc>
        <w:tc>
          <w:tcPr>
            <w:tcW w:w="600" w:type="dxa"/>
            <w:tcBorders>
              <w:right w:val="single" w:sz="8" w:space="0" w:color="C9D11D"/>
            </w:tcBorders>
            <w:vAlign w:val="bottom"/>
          </w:tcPr>
          <w:p w:rsidR="00AC12B4" w:rsidRDefault="00AC12B4">
            <w:pPr>
              <w:rPr>
                <w:sz w:val="4"/>
                <w:szCs w:val="4"/>
              </w:rPr>
            </w:pPr>
          </w:p>
        </w:tc>
        <w:tc>
          <w:tcPr>
            <w:tcW w:w="2700" w:type="dxa"/>
            <w:gridSpan w:val="8"/>
            <w:vMerge/>
            <w:vAlign w:val="bottom"/>
          </w:tcPr>
          <w:p w:rsidR="00AC12B4" w:rsidRDefault="00AC12B4">
            <w:pPr>
              <w:rPr>
                <w:sz w:val="4"/>
                <w:szCs w:val="4"/>
              </w:rPr>
            </w:pPr>
          </w:p>
        </w:tc>
        <w:tc>
          <w:tcPr>
            <w:tcW w:w="240" w:type="dxa"/>
            <w:vAlign w:val="bottom"/>
          </w:tcPr>
          <w:p w:rsidR="00AC12B4" w:rsidRDefault="00AC12B4">
            <w:pPr>
              <w:rPr>
                <w:sz w:val="4"/>
                <w:szCs w:val="4"/>
              </w:rPr>
            </w:pPr>
          </w:p>
        </w:tc>
        <w:tc>
          <w:tcPr>
            <w:tcW w:w="110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79"/>
        </w:trPr>
        <w:tc>
          <w:tcPr>
            <w:tcW w:w="400" w:type="dxa"/>
            <w:vMerge/>
            <w:tcBorders>
              <w:left w:val="single" w:sz="8" w:space="0" w:color="C9D11D"/>
            </w:tcBorders>
            <w:vAlign w:val="bottom"/>
          </w:tcPr>
          <w:p w:rsidR="00AC12B4" w:rsidRDefault="00AC12B4">
            <w:pPr>
              <w:rPr>
                <w:sz w:val="6"/>
                <w:szCs w:val="6"/>
              </w:rPr>
            </w:pPr>
          </w:p>
        </w:tc>
        <w:tc>
          <w:tcPr>
            <w:tcW w:w="140" w:type="dxa"/>
            <w:tcBorders>
              <w:right w:val="single" w:sz="8" w:space="0" w:color="868686"/>
            </w:tcBorders>
            <w:vAlign w:val="bottom"/>
          </w:tcPr>
          <w:p w:rsidR="00AC12B4" w:rsidRDefault="00AC12B4">
            <w:pPr>
              <w:rPr>
                <w:sz w:val="6"/>
                <w:szCs w:val="6"/>
              </w:rPr>
            </w:pPr>
          </w:p>
        </w:tc>
        <w:tc>
          <w:tcPr>
            <w:tcW w:w="580" w:type="dxa"/>
            <w:vAlign w:val="bottom"/>
          </w:tcPr>
          <w:p w:rsidR="00AC12B4" w:rsidRDefault="00AC12B4">
            <w:pPr>
              <w:rPr>
                <w:sz w:val="6"/>
                <w:szCs w:val="6"/>
              </w:rPr>
            </w:pPr>
          </w:p>
        </w:tc>
        <w:tc>
          <w:tcPr>
            <w:tcW w:w="22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160" w:type="dxa"/>
            <w:vAlign w:val="bottom"/>
          </w:tcPr>
          <w:p w:rsidR="00AC12B4" w:rsidRDefault="00AC12B4">
            <w:pPr>
              <w:rPr>
                <w:sz w:val="6"/>
                <w:szCs w:val="6"/>
              </w:rPr>
            </w:pPr>
          </w:p>
        </w:tc>
        <w:tc>
          <w:tcPr>
            <w:tcW w:w="360" w:type="dxa"/>
            <w:vAlign w:val="bottom"/>
          </w:tcPr>
          <w:p w:rsidR="00AC12B4" w:rsidRDefault="00AC12B4">
            <w:pPr>
              <w:rPr>
                <w:sz w:val="6"/>
                <w:szCs w:val="6"/>
              </w:rPr>
            </w:pPr>
          </w:p>
        </w:tc>
        <w:tc>
          <w:tcPr>
            <w:tcW w:w="5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160" w:type="dxa"/>
            <w:vAlign w:val="bottom"/>
          </w:tcPr>
          <w:p w:rsidR="00AC12B4" w:rsidRDefault="00AC12B4">
            <w:pPr>
              <w:rPr>
                <w:sz w:val="6"/>
                <w:szCs w:val="6"/>
              </w:rPr>
            </w:pPr>
          </w:p>
        </w:tc>
        <w:tc>
          <w:tcPr>
            <w:tcW w:w="900" w:type="dxa"/>
            <w:vMerge/>
            <w:vAlign w:val="bottom"/>
          </w:tcPr>
          <w:p w:rsidR="00AC12B4" w:rsidRDefault="00AC12B4">
            <w:pPr>
              <w:rPr>
                <w:sz w:val="6"/>
                <w:szCs w:val="6"/>
              </w:rPr>
            </w:pPr>
          </w:p>
        </w:tc>
        <w:tc>
          <w:tcPr>
            <w:tcW w:w="600" w:type="dxa"/>
            <w:tcBorders>
              <w:right w:val="single" w:sz="8" w:space="0" w:color="C9D11D"/>
            </w:tcBorders>
            <w:vAlign w:val="bottom"/>
          </w:tcPr>
          <w:p w:rsidR="00AC12B4" w:rsidRDefault="00AC12B4">
            <w:pPr>
              <w:rPr>
                <w:sz w:val="6"/>
                <w:szCs w:val="6"/>
              </w:rPr>
            </w:pPr>
          </w:p>
        </w:tc>
        <w:tc>
          <w:tcPr>
            <w:tcW w:w="2700" w:type="dxa"/>
            <w:gridSpan w:val="8"/>
            <w:vMerge/>
            <w:vAlign w:val="bottom"/>
          </w:tcPr>
          <w:p w:rsidR="00AC12B4" w:rsidRDefault="00AC12B4">
            <w:pPr>
              <w:rPr>
                <w:sz w:val="6"/>
                <w:szCs w:val="6"/>
              </w:rPr>
            </w:pPr>
          </w:p>
        </w:tc>
        <w:tc>
          <w:tcPr>
            <w:tcW w:w="240" w:type="dxa"/>
            <w:vAlign w:val="bottom"/>
          </w:tcPr>
          <w:p w:rsidR="00AC12B4" w:rsidRDefault="00AC12B4">
            <w:pPr>
              <w:rPr>
                <w:sz w:val="6"/>
                <w:szCs w:val="6"/>
              </w:rPr>
            </w:pPr>
          </w:p>
        </w:tc>
        <w:tc>
          <w:tcPr>
            <w:tcW w:w="11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60"/>
        </w:trPr>
        <w:tc>
          <w:tcPr>
            <w:tcW w:w="400" w:type="dxa"/>
            <w:vMerge/>
            <w:tcBorders>
              <w:left w:val="single" w:sz="8" w:space="0" w:color="C9D11D"/>
            </w:tcBorders>
            <w:vAlign w:val="bottom"/>
          </w:tcPr>
          <w:p w:rsidR="00AC12B4" w:rsidRDefault="00AC12B4">
            <w:pPr>
              <w:rPr>
                <w:sz w:val="5"/>
                <w:szCs w:val="5"/>
              </w:rPr>
            </w:pPr>
          </w:p>
        </w:tc>
        <w:tc>
          <w:tcPr>
            <w:tcW w:w="140" w:type="dxa"/>
            <w:tcBorders>
              <w:right w:val="single" w:sz="8" w:space="0" w:color="868686"/>
            </w:tcBorders>
            <w:vAlign w:val="bottom"/>
          </w:tcPr>
          <w:p w:rsidR="00AC12B4" w:rsidRDefault="00AC12B4">
            <w:pPr>
              <w:rPr>
                <w:sz w:val="5"/>
                <w:szCs w:val="5"/>
              </w:rPr>
            </w:pPr>
          </w:p>
        </w:tc>
        <w:tc>
          <w:tcPr>
            <w:tcW w:w="580" w:type="dxa"/>
            <w:tcBorders>
              <w:bottom w:val="single" w:sz="8" w:space="0" w:color="868686"/>
            </w:tcBorders>
            <w:vAlign w:val="bottom"/>
          </w:tcPr>
          <w:p w:rsidR="00AC12B4" w:rsidRDefault="00AC12B4">
            <w:pPr>
              <w:rPr>
                <w:sz w:val="5"/>
                <w:szCs w:val="5"/>
              </w:rPr>
            </w:pPr>
          </w:p>
        </w:tc>
        <w:tc>
          <w:tcPr>
            <w:tcW w:w="220" w:type="dxa"/>
            <w:tcBorders>
              <w:bottom w:val="single" w:sz="8" w:space="0" w:color="868686"/>
            </w:tcBorders>
            <w:vAlign w:val="bottom"/>
          </w:tcPr>
          <w:p w:rsidR="00AC12B4" w:rsidRDefault="00AC12B4">
            <w:pPr>
              <w:rPr>
                <w:sz w:val="5"/>
                <w:szCs w:val="5"/>
              </w:rPr>
            </w:pPr>
          </w:p>
        </w:tc>
        <w:tc>
          <w:tcPr>
            <w:tcW w:w="420" w:type="dxa"/>
            <w:tcBorders>
              <w:bottom w:val="single" w:sz="8" w:space="0" w:color="868686"/>
            </w:tcBorders>
            <w:vAlign w:val="bottom"/>
          </w:tcPr>
          <w:p w:rsidR="00AC12B4" w:rsidRDefault="00AC12B4">
            <w:pPr>
              <w:rPr>
                <w:sz w:val="5"/>
                <w:szCs w:val="5"/>
              </w:rPr>
            </w:pPr>
          </w:p>
        </w:tc>
        <w:tc>
          <w:tcPr>
            <w:tcW w:w="480" w:type="dxa"/>
            <w:tcBorders>
              <w:bottom w:val="single" w:sz="8" w:space="0" w:color="868686"/>
            </w:tcBorders>
            <w:vAlign w:val="bottom"/>
          </w:tcPr>
          <w:p w:rsidR="00AC12B4" w:rsidRDefault="00AC12B4">
            <w:pPr>
              <w:rPr>
                <w:sz w:val="5"/>
                <w:szCs w:val="5"/>
              </w:rPr>
            </w:pPr>
          </w:p>
        </w:tc>
        <w:tc>
          <w:tcPr>
            <w:tcW w:w="160" w:type="dxa"/>
            <w:tcBorders>
              <w:bottom w:val="single" w:sz="8" w:space="0" w:color="868686"/>
            </w:tcBorders>
            <w:vAlign w:val="bottom"/>
          </w:tcPr>
          <w:p w:rsidR="00AC12B4" w:rsidRDefault="00AC12B4">
            <w:pPr>
              <w:rPr>
                <w:sz w:val="5"/>
                <w:szCs w:val="5"/>
              </w:rPr>
            </w:pPr>
          </w:p>
        </w:tc>
        <w:tc>
          <w:tcPr>
            <w:tcW w:w="360" w:type="dxa"/>
            <w:tcBorders>
              <w:bottom w:val="single" w:sz="8" w:space="0" w:color="868686"/>
            </w:tcBorders>
            <w:vAlign w:val="bottom"/>
          </w:tcPr>
          <w:p w:rsidR="00AC12B4" w:rsidRDefault="00AC12B4">
            <w:pPr>
              <w:rPr>
                <w:sz w:val="5"/>
                <w:szCs w:val="5"/>
              </w:rPr>
            </w:pPr>
          </w:p>
        </w:tc>
        <w:tc>
          <w:tcPr>
            <w:tcW w:w="520" w:type="dxa"/>
            <w:tcBorders>
              <w:bottom w:val="single" w:sz="8" w:space="0" w:color="868686"/>
            </w:tcBorders>
            <w:vAlign w:val="bottom"/>
          </w:tcPr>
          <w:p w:rsidR="00AC12B4" w:rsidRDefault="00AC12B4">
            <w:pPr>
              <w:rPr>
                <w:sz w:val="5"/>
                <w:szCs w:val="5"/>
              </w:rPr>
            </w:pPr>
          </w:p>
        </w:tc>
        <w:tc>
          <w:tcPr>
            <w:tcW w:w="120" w:type="dxa"/>
            <w:tcBorders>
              <w:bottom w:val="single" w:sz="8" w:space="0" w:color="868686"/>
            </w:tcBorders>
            <w:vAlign w:val="bottom"/>
          </w:tcPr>
          <w:p w:rsidR="00AC12B4" w:rsidRDefault="00AC12B4">
            <w:pPr>
              <w:rPr>
                <w:sz w:val="5"/>
                <w:szCs w:val="5"/>
              </w:rPr>
            </w:pPr>
          </w:p>
        </w:tc>
        <w:tc>
          <w:tcPr>
            <w:tcW w:w="30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900" w:type="dxa"/>
            <w:vAlign w:val="bottom"/>
          </w:tcPr>
          <w:p w:rsidR="00AC12B4" w:rsidRDefault="00AC12B4">
            <w:pPr>
              <w:rPr>
                <w:sz w:val="5"/>
                <w:szCs w:val="5"/>
              </w:rPr>
            </w:pPr>
          </w:p>
        </w:tc>
        <w:tc>
          <w:tcPr>
            <w:tcW w:w="600" w:type="dxa"/>
            <w:tcBorders>
              <w:right w:val="single" w:sz="8" w:space="0" w:color="C9D11D"/>
            </w:tcBorders>
            <w:vAlign w:val="bottom"/>
          </w:tcPr>
          <w:p w:rsidR="00AC12B4" w:rsidRDefault="00AC12B4">
            <w:pPr>
              <w:rPr>
                <w:sz w:val="5"/>
                <w:szCs w:val="5"/>
              </w:rPr>
            </w:pPr>
          </w:p>
        </w:tc>
        <w:tc>
          <w:tcPr>
            <w:tcW w:w="960" w:type="dxa"/>
            <w:gridSpan w:val="2"/>
            <w:vMerge w:val="restart"/>
            <w:vAlign w:val="bottom"/>
          </w:tcPr>
          <w:p w:rsidR="00AC12B4" w:rsidRDefault="00C27636">
            <w:pPr>
              <w:ind w:left="140"/>
              <w:rPr>
                <w:sz w:val="20"/>
                <w:szCs w:val="20"/>
              </w:rPr>
            </w:pPr>
            <w:r>
              <w:rPr>
                <w:rFonts w:ascii="Calibri" w:eastAsia="Calibri" w:hAnsi="Calibri" w:cs="Calibri"/>
              </w:rPr>
              <w:t>Depuis</w:t>
            </w:r>
          </w:p>
        </w:tc>
        <w:tc>
          <w:tcPr>
            <w:tcW w:w="760" w:type="dxa"/>
            <w:gridSpan w:val="3"/>
            <w:vMerge w:val="restart"/>
            <w:vAlign w:val="bottom"/>
          </w:tcPr>
          <w:p w:rsidR="00AC12B4" w:rsidRDefault="00C27636">
            <w:pPr>
              <w:ind w:right="95"/>
              <w:jc w:val="right"/>
              <w:rPr>
                <w:sz w:val="20"/>
                <w:szCs w:val="20"/>
              </w:rPr>
            </w:pPr>
            <w:r>
              <w:rPr>
                <w:rFonts w:ascii="Calibri" w:eastAsia="Calibri" w:hAnsi="Calibri" w:cs="Calibri"/>
                <w:w w:val="99"/>
              </w:rPr>
              <w:t>2008,</w:t>
            </w:r>
          </w:p>
        </w:tc>
        <w:tc>
          <w:tcPr>
            <w:tcW w:w="380" w:type="dxa"/>
            <w:vMerge w:val="restart"/>
            <w:vAlign w:val="bottom"/>
          </w:tcPr>
          <w:p w:rsidR="00AC12B4" w:rsidRDefault="00C27636">
            <w:pPr>
              <w:rPr>
                <w:sz w:val="20"/>
                <w:szCs w:val="20"/>
              </w:rPr>
            </w:pPr>
            <w:r>
              <w:rPr>
                <w:rFonts w:ascii="Calibri" w:eastAsia="Calibri" w:hAnsi="Calibri" w:cs="Calibri"/>
              </w:rPr>
              <w:t>le</w:t>
            </w:r>
          </w:p>
        </w:tc>
        <w:tc>
          <w:tcPr>
            <w:tcW w:w="840" w:type="dxa"/>
            <w:gridSpan w:val="3"/>
            <w:vMerge w:val="restart"/>
            <w:vAlign w:val="bottom"/>
          </w:tcPr>
          <w:p w:rsidR="00AC12B4" w:rsidRDefault="00C27636">
            <w:pPr>
              <w:rPr>
                <w:sz w:val="20"/>
                <w:szCs w:val="20"/>
              </w:rPr>
            </w:pPr>
            <w:r>
              <w:rPr>
                <w:rFonts w:ascii="Calibri" w:eastAsia="Calibri" w:hAnsi="Calibri" w:cs="Calibri"/>
              </w:rPr>
              <w:t>nombre</w:t>
            </w:r>
          </w:p>
        </w:tc>
        <w:tc>
          <w:tcPr>
            <w:tcW w:w="1100" w:type="dxa"/>
            <w:vMerge w:val="restart"/>
            <w:vAlign w:val="bottom"/>
          </w:tcPr>
          <w:p w:rsidR="00AC12B4" w:rsidRDefault="00C27636">
            <w:pPr>
              <w:ind w:right="670"/>
              <w:jc w:val="right"/>
              <w:rPr>
                <w:sz w:val="20"/>
                <w:szCs w:val="20"/>
              </w:rPr>
            </w:pPr>
            <w:r>
              <w:rPr>
                <w:rFonts w:ascii="Calibri" w:eastAsia="Calibri" w:hAnsi="Calibri" w:cs="Calibri"/>
              </w:rPr>
              <w:t>de</w:t>
            </w:r>
          </w:p>
        </w:tc>
        <w:tc>
          <w:tcPr>
            <w:tcW w:w="0" w:type="dxa"/>
            <w:vAlign w:val="bottom"/>
          </w:tcPr>
          <w:p w:rsidR="00AC12B4" w:rsidRDefault="00AC12B4">
            <w:pPr>
              <w:rPr>
                <w:sz w:val="1"/>
                <w:szCs w:val="1"/>
              </w:rPr>
            </w:pPr>
          </w:p>
        </w:tc>
      </w:tr>
      <w:tr w:rsidR="00AC12B4">
        <w:trPr>
          <w:trHeight w:val="95"/>
        </w:trPr>
        <w:tc>
          <w:tcPr>
            <w:tcW w:w="400" w:type="dxa"/>
            <w:vMerge/>
            <w:tcBorders>
              <w:left w:val="single" w:sz="8" w:space="0" w:color="C9D11D"/>
            </w:tcBorders>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5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360" w:type="dxa"/>
            <w:vAlign w:val="bottom"/>
          </w:tcPr>
          <w:p w:rsidR="00AC12B4" w:rsidRDefault="00AC12B4">
            <w:pPr>
              <w:rPr>
                <w:sz w:val="8"/>
                <w:szCs w:val="8"/>
              </w:rPr>
            </w:pPr>
          </w:p>
        </w:tc>
        <w:tc>
          <w:tcPr>
            <w:tcW w:w="5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600" w:type="dxa"/>
            <w:tcBorders>
              <w:right w:val="single" w:sz="8" w:space="0" w:color="C9D11D"/>
            </w:tcBorders>
            <w:vAlign w:val="bottom"/>
          </w:tcPr>
          <w:p w:rsidR="00AC12B4" w:rsidRDefault="00AC12B4">
            <w:pPr>
              <w:rPr>
                <w:sz w:val="8"/>
                <w:szCs w:val="8"/>
              </w:rPr>
            </w:pPr>
          </w:p>
        </w:tc>
        <w:tc>
          <w:tcPr>
            <w:tcW w:w="960" w:type="dxa"/>
            <w:gridSpan w:val="2"/>
            <w:vMerge/>
            <w:vAlign w:val="bottom"/>
          </w:tcPr>
          <w:p w:rsidR="00AC12B4" w:rsidRDefault="00AC12B4">
            <w:pPr>
              <w:rPr>
                <w:sz w:val="8"/>
                <w:szCs w:val="8"/>
              </w:rPr>
            </w:pPr>
          </w:p>
        </w:tc>
        <w:tc>
          <w:tcPr>
            <w:tcW w:w="760" w:type="dxa"/>
            <w:gridSpan w:val="3"/>
            <w:vMerge/>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40" w:type="dxa"/>
            <w:gridSpan w:val="3"/>
            <w:vMerge/>
            <w:vAlign w:val="bottom"/>
          </w:tcPr>
          <w:p w:rsidR="00AC12B4" w:rsidRDefault="00AC12B4">
            <w:pPr>
              <w:rPr>
                <w:sz w:val="8"/>
                <w:szCs w:val="8"/>
              </w:rPr>
            </w:pPr>
          </w:p>
        </w:tc>
        <w:tc>
          <w:tcPr>
            <w:tcW w:w="110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32"/>
        </w:trPr>
        <w:tc>
          <w:tcPr>
            <w:tcW w:w="400" w:type="dxa"/>
            <w:vMerge w:val="restart"/>
            <w:tcBorders>
              <w:left w:val="single" w:sz="8" w:space="0" w:color="C9D11D"/>
            </w:tcBorders>
            <w:vAlign w:val="bottom"/>
          </w:tcPr>
          <w:p w:rsidR="00AC12B4" w:rsidRDefault="00C27636">
            <w:pPr>
              <w:jc w:val="right"/>
              <w:rPr>
                <w:sz w:val="20"/>
                <w:szCs w:val="20"/>
              </w:rPr>
            </w:pPr>
            <w:r>
              <w:rPr>
                <w:rFonts w:ascii="Calibri" w:eastAsia="Calibri" w:hAnsi="Calibri" w:cs="Calibri"/>
                <w:sz w:val="20"/>
                <w:szCs w:val="20"/>
              </w:rPr>
              <w:t>25</w:t>
            </w:r>
          </w:p>
        </w:tc>
        <w:tc>
          <w:tcPr>
            <w:tcW w:w="140" w:type="dxa"/>
            <w:tcBorders>
              <w:right w:val="single" w:sz="8" w:space="0" w:color="868686"/>
            </w:tcBorders>
            <w:vAlign w:val="bottom"/>
          </w:tcPr>
          <w:p w:rsidR="00AC12B4" w:rsidRDefault="00AC12B4">
            <w:pPr>
              <w:rPr>
                <w:sz w:val="20"/>
                <w:szCs w:val="20"/>
              </w:rPr>
            </w:pPr>
          </w:p>
        </w:tc>
        <w:tc>
          <w:tcPr>
            <w:tcW w:w="580" w:type="dxa"/>
            <w:tcBorders>
              <w:bottom w:val="single" w:sz="8" w:space="0" w:color="868686"/>
            </w:tcBorders>
            <w:vAlign w:val="bottom"/>
          </w:tcPr>
          <w:p w:rsidR="00AC12B4" w:rsidRDefault="00AC12B4">
            <w:pPr>
              <w:rPr>
                <w:sz w:val="20"/>
                <w:szCs w:val="20"/>
              </w:rPr>
            </w:pPr>
          </w:p>
        </w:tc>
        <w:tc>
          <w:tcPr>
            <w:tcW w:w="220" w:type="dxa"/>
            <w:tcBorders>
              <w:bottom w:val="single" w:sz="8" w:space="0" w:color="868686"/>
            </w:tcBorders>
            <w:vAlign w:val="bottom"/>
          </w:tcPr>
          <w:p w:rsidR="00AC12B4" w:rsidRDefault="00AC12B4">
            <w:pPr>
              <w:rPr>
                <w:sz w:val="20"/>
                <w:szCs w:val="20"/>
              </w:rPr>
            </w:pPr>
          </w:p>
        </w:tc>
        <w:tc>
          <w:tcPr>
            <w:tcW w:w="420" w:type="dxa"/>
            <w:tcBorders>
              <w:bottom w:val="single" w:sz="8" w:space="0" w:color="868686"/>
            </w:tcBorders>
            <w:vAlign w:val="bottom"/>
          </w:tcPr>
          <w:p w:rsidR="00AC12B4" w:rsidRDefault="00AC12B4">
            <w:pPr>
              <w:rPr>
                <w:sz w:val="20"/>
                <w:szCs w:val="20"/>
              </w:rPr>
            </w:pPr>
          </w:p>
        </w:tc>
        <w:tc>
          <w:tcPr>
            <w:tcW w:w="480" w:type="dxa"/>
            <w:tcBorders>
              <w:bottom w:val="single" w:sz="8" w:space="0" w:color="868686"/>
            </w:tcBorders>
            <w:vAlign w:val="bottom"/>
          </w:tcPr>
          <w:p w:rsidR="00AC12B4" w:rsidRDefault="00AC12B4">
            <w:pPr>
              <w:rPr>
                <w:sz w:val="20"/>
                <w:szCs w:val="20"/>
              </w:rPr>
            </w:pPr>
          </w:p>
        </w:tc>
        <w:tc>
          <w:tcPr>
            <w:tcW w:w="160" w:type="dxa"/>
            <w:tcBorders>
              <w:bottom w:val="single" w:sz="8" w:space="0" w:color="868686"/>
            </w:tcBorders>
            <w:vAlign w:val="bottom"/>
          </w:tcPr>
          <w:p w:rsidR="00AC12B4" w:rsidRDefault="00AC12B4">
            <w:pPr>
              <w:rPr>
                <w:sz w:val="20"/>
                <w:szCs w:val="20"/>
              </w:rPr>
            </w:pPr>
          </w:p>
        </w:tc>
        <w:tc>
          <w:tcPr>
            <w:tcW w:w="360" w:type="dxa"/>
            <w:tcBorders>
              <w:bottom w:val="single" w:sz="8" w:space="0" w:color="868686"/>
            </w:tcBorders>
            <w:vAlign w:val="bottom"/>
          </w:tcPr>
          <w:p w:rsidR="00AC12B4" w:rsidRDefault="00AC12B4">
            <w:pPr>
              <w:rPr>
                <w:sz w:val="20"/>
                <w:szCs w:val="20"/>
              </w:rPr>
            </w:pPr>
          </w:p>
        </w:tc>
        <w:tc>
          <w:tcPr>
            <w:tcW w:w="520" w:type="dxa"/>
            <w:tcBorders>
              <w:bottom w:val="single" w:sz="8" w:space="0" w:color="868686"/>
            </w:tcBorders>
            <w:vAlign w:val="bottom"/>
          </w:tcPr>
          <w:p w:rsidR="00AC12B4" w:rsidRDefault="00AC12B4">
            <w:pPr>
              <w:rPr>
                <w:sz w:val="20"/>
                <w:szCs w:val="20"/>
              </w:rPr>
            </w:pPr>
          </w:p>
        </w:tc>
        <w:tc>
          <w:tcPr>
            <w:tcW w:w="120" w:type="dxa"/>
            <w:tcBorders>
              <w:bottom w:val="single" w:sz="8" w:space="0" w:color="868686"/>
            </w:tcBorders>
            <w:vAlign w:val="bottom"/>
          </w:tcPr>
          <w:p w:rsidR="00AC12B4" w:rsidRDefault="00AC12B4">
            <w:pPr>
              <w:rPr>
                <w:sz w:val="20"/>
                <w:szCs w:val="20"/>
              </w:rPr>
            </w:pPr>
          </w:p>
        </w:tc>
        <w:tc>
          <w:tcPr>
            <w:tcW w:w="300" w:type="dxa"/>
            <w:vAlign w:val="bottom"/>
          </w:tcPr>
          <w:p w:rsidR="00AC12B4" w:rsidRDefault="00AC12B4">
            <w:pPr>
              <w:rPr>
                <w:sz w:val="20"/>
                <w:szCs w:val="20"/>
              </w:rPr>
            </w:pPr>
          </w:p>
        </w:tc>
        <w:tc>
          <w:tcPr>
            <w:tcW w:w="240" w:type="dxa"/>
            <w:tcBorders>
              <w:bottom w:val="single" w:sz="8" w:space="0" w:color="A8423F"/>
            </w:tcBorders>
            <w:vAlign w:val="bottom"/>
          </w:tcPr>
          <w:p w:rsidR="00AC12B4" w:rsidRDefault="00AC12B4">
            <w:pPr>
              <w:rPr>
                <w:sz w:val="20"/>
                <w:szCs w:val="20"/>
              </w:rPr>
            </w:pPr>
          </w:p>
        </w:tc>
        <w:tc>
          <w:tcPr>
            <w:tcW w:w="160" w:type="dxa"/>
            <w:tcBorders>
              <w:bottom w:val="single" w:sz="8" w:space="0" w:color="A8423F"/>
            </w:tcBorders>
            <w:vAlign w:val="bottom"/>
          </w:tcPr>
          <w:p w:rsidR="00AC12B4" w:rsidRDefault="00AC12B4">
            <w:pPr>
              <w:rPr>
                <w:sz w:val="20"/>
                <w:szCs w:val="20"/>
              </w:rPr>
            </w:pPr>
          </w:p>
        </w:tc>
        <w:tc>
          <w:tcPr>
            <w:tcW w:w="900" w:type="dxa"/>
            <w:vMerge w:val="restart"/>
            <w:vAlign w:val="bottom"/>
          </w:tcPr>
          <w:p w:rsidR="00AC12B4" w:rsidRDefault="00C27636">
            <w:pPr>
              <w:ind w:left="40"/>
              <w:rPr>
                <w:sz w:val="20"/>
                <w:szCs w:val="20"/>
              </w:rPr>
            </w:pPr>
            <w:r>
              <w:rPr>
                <w:rFonts w:ascii="Calibri" w:eastAsia="Calibri" w:hAnsi="Calibri" w:cs="Calibri"/>
                <w:sz w:val="16"/>
                <w:szCs w:val="16"/>
              </w:rPr>
              <w:t>Famille</w:t>
            </w:r>
          </w:p>
        </w:tc>
        <w:tc>
          <w:tcPr>
            <w:tcW w:w="600" w:type="dxa"/>
            <w:tcBorders>
              <w:right w:val="single" w:sz="8" w:space="0" w:color="C9D11D"/>
            </w:tcBorders>
            <w:vAlign w:val="bottom"/>
          </w:tcPr>
          <w:p w:rsidR="00AC12B4" w:rsidRDefault="00AC12B4">
            <w:pPr>
              <w:rPr>
                <w:sz w:val="20"/>
                <w:szCs w:val="20"/>
              </w:rPr>
            </w:pPr>
          </w:p>
        </w:tc>
        <w:tc>
          <w:tcPr>
            <w:tcW w:w="960" w:type="dxa"/>
            <w:gridSpan w:val="2"/>
            <w:vMerge/>
            <w:vAlign w:val="bottom"/>
          </w:tcPr>
          <w:p w:rsidR="00AC12B4" w:rsidRDefault="00AC12B4">
            <w:pPr>
              <w:rPr>
                <w:sz w:val="20"/>
                <w:szCs w:val="20"/>
              </w:rPr>
            </w:pPr>
          </w:p>
        </w:tc>
        <w:tc>
          <w:tcPr>
            <w:tcW w:w="760" w:type="dxa"/>
            <w:gridSpan w:val="3"/>
            <w:vMerge/>
            <w:vAlign w:val="bottom"/>
          </w:tcPr>
          <w:p w:rsidR="00AC12B4" w:rsidRDefault="00AC12B4">
            <w:pPr>
              <w:rPr>
                <w:sz w:val="20"/>
                <w:szCs w:val="20"/>
              </w:rPr>
            </w:pPr>
          </w:p>
        </w:tc>
        <w:tc>
          <w:tcPr>
            <w:tcW w:w="380" w:type="dxa"/>
            <w:vMerge/>
            <w:vAlign w:val="bottom"/>
          </w:tcPr>
          <w:p w:rsidR="00AC12B4" w:rsidRDefault="00AC12B4">
            <w:pPr>
              <w:rPr>
                <w:sz w:val="20"/>
                <w:szCs w:val="20"/>
              </w:rPr>
            </w:pPr>
          </w:p>
        </w:tc>
        <w:tc>
          <w:tcPr>
            <w:tcW w:w="840" w:type="dxa"/>
            <w:gridSpan w:val="3"/>
            <w:vMerge/>
            <w:vAlign w:val="bottom"/>
          </w:tcPr>
          <w:p w:rsidR="00AC12B4" w:rsidRDefault="00AC12B4">
            <w:pPr>
              <w:rPr>
                <w:sz w:val="20"/>
                <w:szCs w:val="20"/>
              </w:rPr>
            </w:pPr>
          </w:p>
        </w:tc>
        <w:tc>
          <w:tcPr>
            <w:tcW w:w="1100" w:type="dxa"/>
            <w:vMerge/>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rsidRPr="00C27636">
        <w:trPr>
          <w:trHeight w:val="68"/>
        </w:trPr>
        <w:tc>
          <w:tcPr>
            <w:tcW w:w="400" w:type="dxa"/>
            <w:vMerge/>
            <w:tcBorders>
              <w:left w:val="single" w:sz="8" w:space="0" w:color="C9D11D"/>
            </w:tcBorders>
            <w:vAlign w:val="bottom"/>
          </w:tcPr>
          <w:p w:rsidR="00AC12B4" w:rsidRDefault="00AC12B4">
            <w:pPr>
              <w:rPr>
                <w:sz w:val="5"/>
                <w:szCs w:val="5"/>
              </w:rPr>
            </w:pPr>
          </w:p>
        </w:tc>
        <w:tc>
          <w:tcPr>
            <w:tcW w:w="140" w:type="dxa"/>
            <w:tcBorders>
              <w:right w:val="single" w:sz="8" w:space="0" w:color="868686"/>
            </w:tcBorders>
            <w:vAlign w:val="bottom"/>
          </w:tcPr>
          <w:p w:rsidR="00AC12B4" w:rsidRDefault="00AC12B4">
            <w:pPr>
              <w:rPr>
                <w:sz w:val="5"/>
                <w:szCs w:val="5"/>
              </w:rPr>
            </w:pPr>
          </w:p>
        </w:tc>
        <w:tc>
          <w:tcPr>
            <w:tcW w:w="580" w:type="dxa"/>
            <w:vAlign w:val="bottom"/>
          </w:tcPr>
          <w:p w:rsidR="00AC12B4" w:rsidRDefault="00AC12B4">
            <w:pPr>
              <w:rPr>
                <w:sz w:val="5"/>
                <w:szCs w:val="5"/>
              </w:rPr>
            </w:pPr>
          </w:p>
        </w:tc>
        <w:tc>
          <w:tcPr>
            <w:tcW w:w="22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360" w:type="dxa"/>
            <w:vAlign w:val="bottom"/>
          </w:tcPr>
          <w:p w:rsidR="00AC12B4" w:rsidRDefault="00AC12B4">
            <w:pPr>
              <w:rPr>
                <w:sz w:val="5"/>
                <w:szCs w:val="5"/>
              </w:rPr>
            </w:pPr>
          </w:p>
        </w:tc>
        <w:tc>
          <w:tcPr>
            <w:tcW w:w="52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900" w:type="dxa"/>
            <w:vMerge/>
            <w:vAlign w:val="bottom"/>
          </w:tcPr>
          <w:p w:rsidR="00AC12B4" w:rsidRDefault="00AC12B4">
            <w:pPr>
              <w:rPr>
                <w:sz w:val="5"/>
                <w:szCs w:val="5"/>
              </w:rPr>
            </w:pPr>
          </w:p>
        </w:tc>
        <w:tc>
          <w:tcPr>
            <w:tcW w:w="600" w:type="dxa"/>
            <w:tcBorders>
              <w:right w:val="single" w:sz="8" w:space="0" w:color="C9D11D"/>
            </w:tcBorders>
            <w:vAlign w:val="bottom"/>
          </w:tcPr>
          <w:p w:rsidR="00AC12B4" w:rsidRDefault="00AC12B4">
            <w:pPr>
              <w:rPr>
                <w:sz w:val="5"/>
                <w:szCs w:val="5"/>
              </w:rPr>
            </w:pPr>
          </w:p>
        </w:tc>
        <w:tc>
          <w:tcPr>
            <w:tcW w:w="4040" w:type="dxa"/>
            <w:gridSpan w:val="10"/>
            <w:vMerge w:val="restart"/>
            <w:vAlign w:val="bottom"/>
          </w:tcPr>
          <w:p w:rsidR="00AC12B4" w:rsidRPr="00C27636" w:rsidRDefault="00C27636">
            <w:pPr>
              <w:spacing w:line="231" w:lineRule="exact"/>
              <w:ind w:left="140"/>
              <w:rPr>
                <w:sz w:val="20"/>
                <w:szCs w:val="20"/>
                <w:lang w:val="fr-BE"/>
              </w:rPr>
            </w:pPr>
            <w:r w:rsidRPr="00C27636">
              <w:rPr>
                <w:rFonts w:ascii="Calibri" w:eastAsia="Calibri" w:hAnsi="Calibri" w:cs="Calibri"/>
                <w:lang w:val="fr-BE"/>
              </w:rPr>
              <w:t>ménages ayant dû postposer des</w:t>
            </w:r>
          </w:p>
        </w:tc>
        <w:tc>
          <w:tcPr>
            <w:tcW w:w="0" w:type="dxa"/>
            <w:vAlign w:val="bottom"/>
          </w:tcPr>
          <w:p w:rsidR="00AC12B4" w:rsidRPr="00C27636" w:rsidRDefault="00AC12B4">
            <w:pPr>
              <w:rPr>
                <w:sz w:val="1"/>
                <w:szCs w:val="1"/>
                <w:lang w:val="fr-BE"/>
              </w:rPr>
            </w:pPr>
          </w:p>
        </w:tc>
      </w:tr>
      <w:tr w:rsidR="00AC12B4">
        <w:trPr>
          <w:trHeight w:val="200"/>
        </w:trPr>
        <w:tc>
          <w:tcPr>
            <w:tcW w:w="400" w:type="dxa"/>
            <w:vMerge w:val="restart"/>
            <w:tcBorders>
              <w:left w:val="single" w:sz="8" w:space="0" w:color="C9D11D"/>
            </w:tcBorders>
            <w:vAlign w:val="bottom"/>
          </w:tcPr>
          <w:p w:rsidR="00AC12B4" w:rsidRDefault="00C27636">
            <w:pPr>
              <w:jc w:val="right"/>
              <w:rPr>
                <w:sz w:val="20"/>
                <w:szCs w:val="20"/>
              </w:rPr>
            </w:pPr>
            <w:r>
              <w:rPr>
                <w:rFonts w:ascii="Calibri" w:eastAsia="Calibri" w:hAnsi="Calibri" w:cs="Calibri"/>
                <w:sz w:val="20"/>
                <w:szCs w:val="20"/>
              </w:rPr>
              <w:t>20</w:t>
            </w:r>
          </w:p>
        </w:tc>
        <w:tc>
          <w:tcPr>
            <w:tcW w:w="140" w:type="dxa"/>
            <w:tcBorders>
              <w:right w:val="single" w:sz="8" w:space="0" w:color="868686"/>
            </w:tcBorders>
            <w:vAlign w:val="bottom"/>
          </w:tcPr>
          <w:p w:rsidR="00AC12B4" w:rsidRDefault="00AC12B4">
            <w:pPr>
              <w:rPr>
                <w:sz w:val="17"/>
                <w:szCs w:val="17"/>
              </w:rPr>
            </w:pPr>
          </w:p>
        </w:tc>
        <w:tc>
          <w:tcPr>
            <w:tcW w:w="580" w:type="dxa"/>
            <w:tcBorders>
              <w:bottom w:val="single" w:sz="8" w:space="0" w:color="868686"/>
            </w:tcBorders>
            <w:vAlign w:val="bottom"/>
          </w:tcPr>
          <w:p w:rsidR="00AC12B4" w:rsidRDefault="00AC12B4">
            <w:pPr>
              <w:rPr>
                <w:sz w:val="17"/>
                <w:szCs w:val="17"/>
              </w:rPr>
            </w:pPr>
          </w:p>
        </w:tc>
        <w:tc>
          <w:tcPr>
            <w:tcW w:w="220" w:type="dxa"/>
            <w:tcBorders>
              <w:bottom w:val="single" w:sz="8" w:space="0" w:color="868686"/>
            </w:tcBorders>
            <w:vAlign w:val="bottom"/>
          </w:tcPr>
          <w:p w:rsidR="00AC12B4" w:rsidRDefault="00AC12B4">
            <w:pPr>
              <w:rPr>
                <w:sz w:val="17"/>
                <w:szCs w:val="17"/>
              </w:rPr>
            </w:pPr>
          </w:p>
        </w:tc>
        <w:tc>
          <w:tcPr>
            <w:tcW w:w="420" w:type="dxa"/>
            <w:tcBorders>
              <w:bottom w:val="single" w:sz="8" w:space="0" w:color="868686"/>
            </w:tcBorders>
            <w:vAlign w:val="bottom"/>
          </w:tcPr>
          <w:p w:rsidR="00AC12B4" w:rsidRDefault="00AC12B4">
            <w:pPr>
              <w:rPr>
                <w:sz w:val="17"/>
                <w:szCs w:val="17"/>
              </w:rPr>
            </w:pPr>
          </w:p>
        </w:tc>
        <w:tc>
          <w:tcPr>
            <w:tcW w:w="480" w:type="dxa"/>
            <w:tcBorders>
              <w:bottom w:val="single" w:sz="8" w:space="0" w:color="868686"/>
            </w:tcBorders>
            <w:vAlign w:val="bottom"/>
          </w:tcPr>
          <w:p w:rsidR="00AC12B4" w:rsidRDefault="00AC12B4">
            <w:pPr>
              <w:rPr>
                <w:sz w:val="17"/>
                <w:szCs w:val="17"/>
              </w:rPr>
            </w:pPr>
          </w:p>
        </w:tc>
        <w:tc>
          <w:tcPr>
            <w:tcW w:w="160" w:type="dxa"/>
            <w:tcBorders>
              <w:bottom w:val="single" w:sz="8" w:space="0" w:color="868686"/>
            </w:tcBorders>
            <w:vAlign w:val="bottom"/>
          </w:tcPr>
          <w:p w:rsidR="00AC12B4" w:rsidRDefault="00AC12B4">
            <w:pPr>
              <w:rPr>
                <w:sz w:val="17"/>
                <w:szCs w:val="17"/>
              </w:rPr>
            </w:pPr>
          </w:p>
        </w:tc>
        <w:tc>
          <w:tcPr>
            <w:tcW w:w="360" w:type="dxa"/>
            <w:tcBorders>
              <w:bottom w:val="single" w:sz="8" w:space="0" w:color="868686"/>
            </w:tcBorders>
            <w:vAlign w:val="bottom"/>
          </w:tcPr>
          <w:p w:rsidR="00AC12B4" w:rsidRDefault="00AC12B4">
            <w:pPr>
              <w:rPr>
                <w:sz w:val="17"/>
                <w:szCs w:val="17"/>
              </w:rPr>
            </w:pPr>
          </w:p>
        </w:tc>
        <w:tc>
          <w:tcPr>
            <w:tcW w:w="520" w:type="dxa"/>
            <w:tcBorders>
              <w:bottom w:val="single" w:sz="8" w:space="0" w:color="868686"/>
            </w:tcBorders>
            <w:vAlign w:val="bottom"/>
          </w:tcPr>
          <w:p w:rsidR="00AC12B4" w:rsidRDefault="00AC12B4">
            <w:pPr>
              <w:rPr>
                <w:sz w:val="17"/>
                <w:szCs w:val="17"/>
              </w:rPr>
            </w:pPr>
          </w:p>
        </w:tc>
        <w:tc>
          <w:tcPr>
            <w:tcW w:w="120" w:type="dxa"/>
            <w:tcBorders>
              <w:bottom w:val="single" w:sz="8" w:space="0" w:color="868686"/>
            </w:tcBorders>
            <w:vAlign w:val="bottom"/>
          </w:tcPr>
          <w:p w:rsidR="00AC12B4" w:rsidRDefault="00AC12B4">
            <w:pPr>
              <w:rPr>
                <w:sz w:val="17"/>
                <w:szCs w:val="17"/>
              </w:rPr>
            </w:pPr>
          </w:p>
        </w:tc>
        <w:tc>
          <w:tcPr>
            <w:tcW w:w="300" w:type="dxa"/>
            <w:vAlign w:val="bottom"/>
          </w:tcPr>
          <w:p w:rsidR="00AC12B4" w:rsidRDefault="00AC12B4">
            <w:pPr>
              <w:rPr>
                <w:sz w:val="17"/>
                <w:szCs w:val="17"/>
              </w:rPr>
            </w:pPr>
          </w:p>
        </w:tc>
        <w:tc>
          <w:tcPr>
            <w:tcW w:w="240" w:type="dxa"/>
            <w:vAlign w:val="bottom"/>
          </w:tcPr>
          <w:p w:rsidR="00AC12B4" w:rsidRDefault="00AC12B4">
            <w:pPr>
              <w:rPr>
                <w:sz w:val="17"/>
                <w:szCs w:val="17"/>
              </w:rPr>
            </w:pPr>
          </w:p>
        </w:tc>
        <w:tc>
          <w:tcPr>
            <w:tcW w:w="160" w:type="dxa"/>
            <w:vAlign w:val="bottom"/>
          </w:tcPr>
          <w:p w:rsidR="00AC12B4" w:rsidRDefault="00AC12B4">
            <w:pPr>
              <w:rPr>
                <w:sz w:val="17"/>
                <w:szCs w:val="17"/>
              </w:rPr>
            </w:pPr>
          </w:p>
        </w:tc>
        <w:tc>
          <w:tcPr>
            <w:tcW w:w="1500" w:type="dxa"/>
            <w:gridSpan w:val="2"/>
            <w:tcBorders>
              <w:right w:val="single" w:sz="8" w:space="0" w:color="C9D11D"/>
            </w:tcBorders>
            <w:vAlign w:val="bottom"/>
          </w:tcPr>
          <w:p w:rsidR="00AC12B4" w:rsidRDefault="00C27636">
            <w:pPr>
              <w:spacing w:line="191" w:lineRule="exact"/>
              <w:ind w:left="40"/>
              <w:rPr>
                <w:sz w:val="20"/>
                <w:szCs w:val="20"/>
              </w:rPr>
            </w:pPr>
            <w:r>
              <w:rPr>
                <w:rFonts w:ascii="Calibri" w:eastAsia="Calibri" w:hAnsi="Calibri" w:cs="Calibri"/>
                <w:sz w:val="16"/>
                <w:szCs w:val="16"/>
              </w:rPr>
              <w:t>monoparentale</w:t>
            </w:r>
          </w:p>
        </w:tc>
        <w:tc>
          <w:tcPr>
            <w:tcW w:w="4040" w:type="dxa"/>
            <w:gridSpan w:val="10"/>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101"/>
        </w:trPr>
        <w:tc>
          <w:tcPr>
            <w:tcW w:w="400" w:type="dxa"/>
            <w:vMerge/>
            <w:tcBorders>
              <w:left w:val="single" w:sz="8" w:space="0" w:color="C9D11D"/>
            </w:tcBorders>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5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360" w:type="dxa"/>
            <w:vAlign w:val="bottom"/>
          </w:tcPr>
          <w:p w:rsidR="00AC12B4" w:rsidRDefault="00AC12B4">
            <w:pPr>
              <w:rPr>
                <w:sz w:val="8"/>
                <w:szCs w:val="8"/>
              </w:rPr>
            </w:pPr>
          </w:p>
        </w:tc>
        <w:tc>
          <w:tcPr>
            <w:tcW w:w="5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1500" w:type="dxa"/>
            <w:gridSpan w:val="2"/>
            <w:vMerge w:val="restart"/>
            <w:tcBorders>
              <w:right w:val="single" w:sz="8" w:space="0" w:color="C9D11D"/>
            </w:tcBorders>
            <w:vAlign w:val="bottom"/>
          </w:tcPr>
          <w:p w:rsidR="00AC12B4" w:rsidRDefault="00C27636">
            <w:pPr>
              <w:ind w:left="40"/>
              <w:rPr>
                <w:sz w:val="20"/>
                <w:szCs w:val="20"/>
              </w:rPr>
            </w:pPr>
            <w:r>
              <w:rPr>
                <w:rFonts w:ascii="Calibri" w:eastAsia="Calibri" w:hAnsi="Calibri" w:cs="Calibri"/>
                <w:sz w:val="16"/>
                <w:szCs w:val="16"/>
              </w:rPr>
              <w:t>Couple sans enfant</w:t>
            </w:r>
          </w:p>
        </w:tc>
        <w:tc>
          <w:tcPr>
            <w:tcW w:w="960" w:type="dxa"/>
            <w:gridSpan w:val="2"/>
            <w:vMerge w:val="restart"/>
            <w:vAlign w:val="bottom"/>
          </w:tcPr>
          <w:p w:rsidR="00AC12B4" w:rsidRDefault="00C27636">
            <w:pPr>
              <w:spacing w:line="175" w:lineRule="exact"/>
              <w:ind w:left="140"/>
              <w:rPr>
                <w:sz w:val="20"/>
                <w:szCs w:val="20"/>
              </w:rPr>
            </w:pPr>
            <w:r>
              <w:rPr>
                <w:rFonts w:ascii="Calibri" w:eastAsia="Calibri" w:hAnsi="Calibri" w:cs="Calibri"/>
                <w:sz w:val="19"/>
                <w:szCs w:val="19"/>
              </w:rPr>
              <w:t>soins</w:t>
            </w:r>
            <w:r>
              <w:rPr>
                <w:rFonts w:ascii="Calibri" w:eastAsia="Calibri" w:hAnsi="Calibri" w:cs="Calibri"/>
                <w:sz w:val="19"/>
                <w:szCs w:val="19"/>
              </w:rPr>
              <w:t xml:space="preserve"> de</w:t>
            </w:r>
          </w:p>
        </w:tc>
        <w:tc>
          <w:tcPr>
            <w:tcW w:w="1140" w:type="dxa"/>
            <w:gridSpan w:val="4"/>
            <w:vMerge w:val="restart"/>
            <w:vAlign w:val="bottom"/>
          </w:tcPr>
          <w:p w:rsidR="00AC12B4" w:rsidRDefault="00C27636">
            <w:pPr>
              <w:spacing w:line="175" w:lineRule="exact"/>
              <w:ind w:left="100"/>
              <w:rPr>
                <w:sz w:val="20"/>
                <w:szCs w:val="20"/>
              </w:rPr>
            </w:pPr>
            <w:r>
              <w:rPr>
                <w:rFonts w:ascii="Calibri" w:eastAsia="Calibri" w:hAnsi="Calibri" w:cs="Calibri"/>
                <w:sz w:val="19"/>
                <w:szCs w:val="19"/>
              </w:rPr>
              <w:t>santé pour</w:t>
            </w:r>
          </w:p>
        </w:tc>
        <w:tc>
          <w:tcPr>
            <w:tcW w:w="1940" w:type="dxa"/>
            <w:gridSpan w:val="4"/>
            <w:vMerge w:val="restart"/>
            <w:vAlign w:val="bottom"/>
          </w:tcPr>
          <w:p w:rsidR="00AC12B4" w:rsidRDefault="00C27636">
            <w:pPr>
              <w:spacing w:line="175" w:lineRule="exact"/>
              <w:ind w:right="670"/>
              <w:jc w:val="right"/>
              <w:rPr>
                <w:sz w:val="20"/>
                <w:szCs w:val="20"/>
              </w:rPr>
            </w:pPr>
            <w:r>
              <w:rPr>
                <w:rFonts w:ascii="Calibri" w:eastAsia="Calibri" w:hAnsi="Calibri" w:cs="Calibri"/>
                <w:sz w:val="19"/>
                <w:szCs w:val="19"/>
              </w:rPr>
              <w:t>des raisons</w:t>
            </w:r>
          </w:p>
        </w:tc>
        <w:tc>
          <w:tcPr>
            <w:tcW w:w="0" w:type="dxa"/>
            <w:vAlign w:val="bottom"/>
          </w:tcPr>
          <w:p w:rsidR="00AC12B4" w:rsidRDefault="00AC12B4">
            <w:pPr>
              <w:rPr>
                <w:sz w:val="1"/>
                <w:szCs w:val="1"/>
              </w:rPr>
            </w:pPr>
          </w:p>
        </w:tc>
      </w:tr>
      <w:tr w:rsidR="00AC12B4">
        <w:trPr>
          <w:trHeight w:val="98"/>
        </w:trPr>
        <w:tc>
          <w:tcPr>
            <w:tcW w:w="400" w:type="dxa"/>
            <w:tcBorders>
              <w:left w:val="single" w:sz="8" w:space="0" w:color="C9D11D"/>
            </w:tcBorders>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5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360" w:type="dxa"/>
            <w:vAlign w:val="bottom"/>
          </w:tcPr>
          <w:p w:rsidR="00AC12B4" w:rsidRDefault="00AC12B4">
            <w:pPr>
              <w:rPr>
                <w:sz w:val="8"/>
                <w:szCs w:val="8"/>
              </w:rPr>
            </w:pPr>
          </w:p>
        </w:tc>
        <w:tc>
          <w:tcPr>
            <w:tcW w:w="5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40" w:type="dxa"/>
            <w:tcBorders>
              <w:bottom w:val="single" w:sz="8" w:space="0" w:color="86A44A"/>
            </w:tcBorders>
            <w:vAlign w:val="bottom"/>
          </w:tcPr>
          <w:p w:rsidR="00AC12B4" w:rsidRDefault="00AC12B4">
            <w:pPr>
              <w:rPr>
                <w:sz w:val="8"/>
                <w:szCs w:val="8"/>
              </w:rPr>
            </w:pPr>
          </w:p>
        </w:tc>
        <w:tc>
          <w:tcPr>
            <w:tcW w:w="160" w:type="dxa"/>
            <w:tcBorders>
              <w:bottom w:val="single" w:sz="8" w:space="0" w:color="86A44A"/>
            </w:tcBorders>
            <w:vAlign w:val="bottom"/>
          </w:tcPr>
          <w:p w:rsidR="00AC12B4" w:rsidRDefault="00AC12B4">
            <w:pPr>
              <w:rPr>
                <w:sz w:val="8"/>
                <w:szCs w:val="8"/>
              </w:rPr>
            </w:pPr>
          </w:p>
        </w:tc>
        <w:tc>
          <w:tcPr>
            <w:tcW w:w="1500" w:type="dxa"/>
            <w:gridSpan w:val="2"/>
            <w:vMerge/>
            <w:tcBorders>
              <w:right w:val="single" w:sz="8" w:space="0" w:color="C9D11D"/>
            </w:tcBorders>
            <w:vAlign w:val="bottom"/>
          </w:tcPr>
          <w:p w:rsidR="00AC12B4" w:rsidRDefault="00AC12B4">
            <w:pPr>
              <w:rPr>
                <w:sz w:val="8"/>
                <w:szCs w:val="8"/>
              </w:rPr>
            </w:pPr>
          </w:p>
        </w:tc>
        <w:tc>
          <w:tcPr>
            <w:tcW w:w="960" w:type="dxa"/>
            <w:gridSpan w:val="2"/>
            <w:vMerge/>
            <w:vAlign w:val="bottom"/>
          </w:tcPr>
          <w:p w:rsidR="00AC12B4" w:rsidRDefault="00AC12B4">
            <w:pPr>
              <w:rPr>
                <w:sz w:val="8"/>
                <w:szCs w:val="8"/>
              </w:rPr>
            </w:pPr>
          </w:p>
        </w:tc>
        <w:tc>
          <w:tcPr>
            <w:tcW w:w="1140" w:type="dxa"/>
            <w:gridSpan w:val="4"/>
            <w:vMerge/>
            <w:vAlign w:val="bottom"/>
          </w:tcPr>
          <w:p w:rsidR="00AC12B4" w:rsidRDefault="00AC12B4">
            <w:pPr>
              <w:rPr>
                <w:sz w:val="8"/>
                <w:szCs w:val="8"/>
              </w:rPr>
            </w:pPr>
          </w:p>
        </w:tc>
        <w:tc>
          <w:tcPr>
            <w:tcW w:w="1940" w:type="dxa"/>
            <w:gridSpan w:val="4"/>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65"/>
        </w:trPr>
        <w:tc>
          <w:tcPr>
            <w:tcW w:w="400" w:type="dxa"/>
            <w:vMerge w:val="restart"/>
            <w:tcBorders>
              <w:left w:val="single" w:sz="8" w:space="0" w:color="C9D11D"/>
            </w:tcBorders>
            <w:vAlign w:val="bottom"/>
          </w:tcPr>
          <w:p w:rsidR="00AC12B4" w:rsidRDefault="00C27636">
            <w:pPr>
              <w:spacing w:line="203" w:lineRule="exact"/>
              <w:jc w:val="right"/>
              <w:rPr>
                <w:sz w:val="20"/>
                <w:szCs w:val="20"/>
              </w:rPr>
            </w:pPr>
            <w:r>
              <w:rPr>
                <w:rFonts w:ascii="Calibri" w:eastAsia="Calibri" w:hAnsi="Calibri" w:cs="Calibri"/>
                <w:sz w:val="20"/>
                <w:szCs w:val="20"/>
              </w:rPr>
              <w:t>15</w:t>
            </w:r>
          </w:p>
        </w:tc>
        <w:tc>
          <w:tcPr>
            <w:tcW w:w="140" w:type="dxa"/>
            <w:tcBorders>
              <w:right w:val="single" w:sz="8" w:space="0" w:color="868686"/>
            </w:tcBorders>
            <w:vAlign w:val="bottom"/>
          </w:tcPr>
          <w:p w:rsidR="00AC12B4" w:rsidRDefault="00AC12B4">
            <w:pPr>
              <w:rPr>
                <w:sz w:val="5"/>
                <w:szCs w:val="5"/>
              </w:rPr>
            </w:pPr>
          </w:p>
        </w:tc>
        <w:tc>
          <w:tcPr>
            <w:tcW w:w="580" w:type="dxa"/>
            <w:vAlign w:val="bottom"/>
          </w:tcPr>
          <w:p w:rsidR="00AC12B4" w:rsidRDefault="00AC12B4">
            <w:pPr>
              <w:rPr>
                <w:sz w:val="5"/>
                <w:szCs w:val="5"/>
              </w:rPr>
            </w:pPr>
          </w:p>
        </w:tc>
        <w:tc>
          <w:tcPr>
            <w:tcW w:w="22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360" w:type="dxa"/>
            <w:vAlign w:val="bottom"/>
          </w:tcPr>
          <w:p w:rsidR="00AC12B4" w:rsidRDefault="00AC12B4">
            <w:pPr>
              <w:rPr>
                <w:sz w:val="5"/>
                <w:szCs w:val="5"/>
              </w:rPr>
            </w:pPr>
          </w:p>
        </w:tc>
        <w:tc>
          <w:tcPr>
            <w:tcW w:w="52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1500" w:type="dxa"/>
            <w:gridSpan w:val="2"/>
            <w:vMerge/>
            <w:tcBorders>
              <w:right w:val="single" w:sz="8" w:space="0" w:color="C9D11D"/>
            </w:tcBorders>
            <w:vAlign w:val="bottom"/>
          </w:tcPr>
          <w:p w:rsidR="00AC12B4" w:rsidRDefault="00AC12B4">
            <w:pPr>
              <w:rPr>
                <w:sz w:val="5"/>
                <w:szCs w:val="5"/>
              </w:rPr>
            </w:pPr>
          </w:p>
        </w:tc>
        <w:tc>
          <w:tcPr>
            <w:tcW w:w="4040" w:type="dxa"/>
            <w:gridSpan w:val="10"/>
            <w:vMerge w:val="restart"/>
            <w:vAlign w:val="bottom"/>
          </w:tcPr>
          <w:p w:rsidR="00AC12B4" w:rsidRPr="00C27636" w:rsidRDefault="00C27636">
            <w:pPr>
              <w:spacing w:line="259" w:lineRule="exact"/>
              <w:ind w:left="140"/>
              <w:rPr>
                <w:sz w:val="20"/>
                <w:szCs w:val="20"/>
                <w:lang w:val="fr-BE"/>
              </w:rPr>
            </w:pPr>
            <w:r w:rsidRPr="00C27636">
              <w:rPr>
                <w:rFonts w:ascii="Calibri" w:eastAsia="Calibri" w:hAnsi="Calibri" w:cs="Calibri"/>
                <w:lang w:val="fr-BE"/>
              </w:rPr>
              <w:t>financières a diminué de manière</w:t>
            </w:r>
          </w:p>
        </w:tc>
        <w:tc>
          <w:tcPr>
            <w:tcW w:w="0" w:type="dxa"/>
            <w:vAlign w:val="bottom"/>
          </w:tcPr>
          <w:p w:rsidR="00AC12B4" w:rsidRPr="00C27636" w:rsidRDefault="00AC12B4">
            <w:pPr>
              <w:rPr>
                <w:sz w:val="1"/>
                <w:szCs w:val="1"/>
                <w:lang w:val="fr-BE"/>
              </w:rPr>
            </w:pPr>
          </w:p>
        </w:tc>
      </w:tr>
      <w:tr w:rsidR="00AC12B4" w:rsidRPr="00C27636">
        <w:trPr>
          <w:trHeight w:val="23"/>
        </w:trPr>
        <w:tc>
          <w:tcPr>
            <w:tcW w:w="400" w:type="dxa"/>
            <w:vMerge/>
            <w:tcBorders>
              <w:left w:val="single" w:sz="8" w:space="0" w:color="C9D11D"/>
            </w:tcBorders>
            <w:vAlign w:val="bottom"/>
          </w:tcPr>
          <w:p w:rsidR="00AC12B4" w:rsidRPr="00C27636" w:rsidRDefault="00AC12B4">
            <w:pPr>
              <w:rPr>
                <w:sz w:val="2"/>
                <w:szCs w:val="2"/>
                <w:lang w:val="fr-BE"/>
              </w:rPr>
            </w:pPr>
          </w:p>
        </w:tc>
        <w:tc>
          <w:tcPr>
            <w:tcW w:w="140" w:type="dxa"/>
            <w:tcBorders>
              <w:right w:val="single" w:sz="8" w:space="0" w:color="868686"/>
            </w:tcBorders>
            <w:vAlign w:val="bottom"/>
          </w:tcPr>
          <w:p w:rsidR="00AC12B4" w:rsidRPr="00C27636" w:rsidRDefault="00AC12B4">
            <w:pPr>
              <w:rPr>
                <w:sz w:val="2"/>
                <w:szCs w:val="2"/>
                <w:lang w:val="fr-BE"/>
              </w:rPr>
            </w:pPr>
          </w:p>
        </w:tc>
        <w:tc>
          <w:tcPr>
            <w:tcW w:w="580" w:type="dxa"/>
            <w:tcBorders>
              <w:bottom w:val="single" w:sz="8" w:space="0" w:color="868686"/>
            </w:tcBorders>
            <w:vAlign w:val="bottom"/>
          </w:tcPr>
          <w:p w:rsidR="00AC12B4" w:rsidRPr="00C27636" w:rsidRDefault="00AC12B4">
            <w:pPr>
              <w:rPr>
                <w:sz w:val="2"/>
                <w:szCs w:val="2"/>
                <w:lang w:val="fr-BE"/>
              </w:rPr>
            </w:pPr>
          </w:p>
        </w:tc>
        <w:tc>
          <w:tcPr>
            <w:tcW w:w="220" w:type="dxa"/>
            <w:tcBorders>
              <w:bottom w:val="single" w:sz="8" w:space="0" w:color="868686"/>
            </w:tcBorders>
            <w:vAlign w:val="bottom"/>
          </w:tcPr>
          <w:p w:rsidR="00AC12B4" w:rsidRPr="00C27636" w:rsidRDefault="00AC12B4">
            <w:pPr>
              <w:rPr>
                <w:sz w:val="2"/>
                <w:szCs w:val="2"/>
                <w:lang w:val="fr-BE"/>
              </w:rPr>
            </w:pPr>
          </w:p>
        </w:tc>
        <w:tc>
          <w:tcPr>
            <w:tcW w:w="420" w:type="dxa"/>
            <w:tcBorders>
              <w:bottom w:val="single" w:sz="8" w:space="0" w:color="868686"/>
            </w:tcBorders>
            <w:vAlign w:val="bottom"/>
          </w:tcPr>
          <w:p w:rsidR="00AC12B4" w:rsidRPr="00C27636" w:rsidRDefault="00AC12B4">
            <w:pPr>
              <w:rPr>
                <w:sz w:val="2"/>
                <w:szCs w:val="2"/>
                <w:lang w:val="fr-BE"/>
              </w:rPr>
            </w:pPr>
          </w:p>
        </w:tc>
        <w:tc>
          <w:tcPr>
            <w:tcW w:w="480" w:type="dxa"/>
            <w:tcBorders>
              <w:bottom w:val="single" w:sz="8" w:space="0" w:color="868686"/>
            </w:tcBorders>
            <w:vAlign w:val="bottom"/>
          </w:tcPr>
          <w:p w:rsidR="00AC12B4" w:rsidRPr="00C27636" w:rsidRDefault="00AC12B4">
            <w:pPr>
              <w:rPr>
                <w:sz w:val="2"/>
                <w:szCs w:val="2"/>
                <w:lang w:val="fr-BE"/>
              </w:rPr>
            </w:pPr>
          </w:p>
        </w:tc>
        <w:tc>
          <w:tcPr>
            <w:tcW w:w="160" w:type="dxa"/>
            <w:tcBorders>
              <w:bottom w:val="single" w:sz="8" w:space="0" w:color="868686"/>
            </w:tcBorders>
            <w:vAlign w:val="bottom"/>
          </w:tcPr>
          <w:p w:rsidR="00AC12B4" w:rsidRPr="00C27636" w:rsidRDefault="00AC12B4">
            <w:pPr>
              <w:rPr>
                <w:sz w:val="2"/>
                <w:szCs w:val="2"/>
                <w:lang w:val="fr-BE"/>
              </w:rPr>
            </w:pPr>
          </w:p>
        </w:tc>
        <w:tc>
          <w:tcPr>
            <w:tcW w:w="360" w:type="dxa"/>
            <w:tcBorders>
              <w:bottom w:val="single" w:sz="8" w:space="0" w:color="868686"/>
            </w:tcBorders>
            <w:vAlign w:val="bottom"/>
          </w:tcPr>
          <w:p w:rsidR="00AC12B4" w:rsidRPr="00C27636" w:rsidRDefault="00AC12B4">
            <w:pPr>
              <w:rPr>
                <w:sz w:val="2"/>
                <w:szCs w:val="2"/>
                <w:lang w:val="fr-BE"/>
              </w:rPr>
            </w:pPr>
          </w:p>
        </w:tc>
        <w:tc>
          <w:tcPr>
            <w:tcW w:w="520" w:type="dxa"/>
            <w:tcBorders>
              <w:bottom w:val="single" w:sz="8" w:space="0" w:color="868686"/>
            </w:tcBorders>
            <w:vAlign w:val="bottom"/>
          </w:tcPr>
          <w:p w:rsidR="00AC12B4" w:rsidRPr="00C27636" w:rsidRDefault="00AC12B4">
            <w:pPr>
              <w:rPr>
                <w:sz w:val="2"/>
                <w:szCs w:val="2"/>
                <w:lang w:val="fr-BE"/>
              </w:rPr>
            </w:pPr>
          </w:p>
        </w:tc>
        <w:tc>
          <w:tcPr>
            <w:tcW w:w="120" w:type="dxa"/>
            <w:tcBorders>
              <w:bottom w:val="single" w:sz="8" w:space="0" w:color="868686"/>
            </w:tcBorders>
            <w:vAlign w:val="bottom"/>
          </w:tcPr>
          <w:p w:rsidR="00AC12B4" w:rsidRPr="00C27636" w:rsidRDefault="00AC12B4">
            <w:pPr>
              <w:rPr>
                <w:sz w:val="2"/>
                <w:szCs w:val="2"/>
                <w:lang w:val="fr-BE"/>
              </w:rPr>
            </w:pPr>
          </w:p>
        </w:tc>
        <w:tc>
          <w:tcPr>
            <w:tcW w:w="300" w:type="dxa"/>
            <w:vAlign w:val="bottom"/>
          </w:tcPr>
          <w:p w:rsidR="00AC12B4" w:rsidRPr="00C27636" w:rsidRDefault="00AC12B4">
            <w:pPr>
              <w:rPr>
                <w:sz w:val="2"/>
                <w:szCs w:val="2"/>
                <w:lang w:val="fr-BE"/>
              </w:rPr>
            </w:pPr>
          </w:p>
        </w:tc>
        <w:tc>
          <w:tcPr>
            <w:tcW w:w="240" w:type="dxa"/>
            <w:vAlign w:val="bottom"/>
          </w:tcPr>
          <w:p w:rsidR="00AC12B4" w:rsidRPr="00C27636" w:rsidRDefault="00AC12B4">
            <w:pPr>
              <w:rPr>
                <w:sz w:val="2"/>
                <w:szCs w:val="2"/>
                <w:lang w:val="fr-BE"/>
              </w:rPr>
            </w:pPr>
          </w:p>
        </w:tc>
        <w:tc>
          <w:tcPr>
            <w:tcW w:w="160" w:type="dxa"/>
            <w:vAlign w:val="bottom"/>
          </w:tcPr>
          <w:p w:rsidR="00AC12B4" w:rsidRPr="00C27636" w:rsidRDefault="00AC12B4">
            <w:pPr>
              <w:rPr>
                <w:sz w:val="2"/>
                <w:szCs w:val="2"/>
                <w:lang w:val="fr-BE"/>
              </w:rPr>
            </w:pPr>
          </w:p>
        </w:tc>
        <w:tc>
          <w:tcPr>
            <w:tcW w:w="900" w:type="dxa"/>
            <w:vAlign w:val="bottom"/>
          </w:tcPr>
          <w:p w:rsidR="00AC12B4" w:rsidRPr="00C27636" w:rsidRDefault="00AC12B4">
            <w:pPr>
              <w:rPr>
                <w:sz w:val="2"/>
                <w:szCs w:val="2"/>
                <w:lang w:val="fr-BE"/>
              </w:rPr>
            </w:pPr>
          </w:p>
        </w:tc>
        <w:tc>
          <w:tcPr>
            <w:tcW w:w="600" w:type="dxa"/>
            <w:tcBorders>
              <w:right w:val="single" w:sz="8" w:space="0" w:color="C9D11D"/>
            </w:tcBorders>
            <w:vAlign w:val="bottom"/>
          </w:tcPr>
          <w:p w:rsidR="00AC12B4" w:rsidRPr="00C27636" w:rsidRDefault="00AC12B4">
            <w:pPr>
              <w:rPr>
                <w:sz w:val="2"/>
                <w:szCs w:val="2"/>
                <w:lang w:val="fr-BE"/>
              </w:rPr>
            </w:pPr>
          </w:p>
        </w:tc>
        <w:tc>
          <w:tcPr>
            <w:tcW w:w="4040" w:type="dxa"/>
            <w:gridSpan w:val="10"/>
            <w:vMerge/>
            <w:vAlign w:val="bottom"/>
          </w:tcPr>
          <w:p w:rsidR="00AC12B4" w:rsidRPr="00C27636" w:rsidRDefault="00AC12B4">
            <w:pPr>
              <w:rPr>
                <w:sz w:val="2"/>
                <w:szCs w:val="2"/>
                <w:lang w:val="fr-BE"/>
              </w:rPr>
            </w:pPr>
          </w:p>
        </w:tc>
        <w:tc>
          <w:tcPr>
            <w:tcW w:w="0" w:type="dxa"/>
            <w:vAlign w:val="bottom"/>
          </w:tcPr>
          <w:p w:rsidR="00AC12B4" w:rsidRPr="00C27636" w:rsidRDefault="00AC12B4">
            <w:pPr>
              <w:rPr>
                <w:sz w:val="1"/>
                <w:szCs w:val="1"/>
                <w:lang w:val="fr-BE"/>
              </w:rPr>
            </w:pPr>
          </w:p>
        </w:tc>
      </w:tr>
      <w:tr w:rsidR="00AC12B4" w:rsidRPr="00C27636">
        <w:trPr>
          <w:trHeight w:val="151"/>
        </w:trPr>
        <w:tc>
          <w:tcPr>
            <w:tcW w:w="400" w:type="dxa"/>
            <w:vMerge/>
            <w:tcBorders>
              <w:left w:val="single" w:sz="8" w:space="0" w:color="C9D11D"/>
            </w:tcBorders>
            <w:vAlign w:val="bottom"/>
          </w:tcPr>
          <w:p w:rsidR="00AC12B4" w:rsidRPr="00C27636" w:rsidRDefault="00AC12B4">
            <w:pPr>
              <w:rPr>
                <w:sz w:val="13"/>
                <w:szCs w:val="13"/>
                <w:lang w:val="fr-BE"/>
              </w:rPr>
            </w:pPr>
          </w:p>
        </w:tc>
        <w:tc>
          <w:tcPr>
            <w:tcW w:w="140" w:type="dxa"/>
            <w:tcBorders>
              <w:right w:val="single" w:sz="8" w:space="0" w:color="868686"/>
            </w:tcBorders>
            <w:vAlign w:val="bottom"/>
          </w:tcPr>
          <w:p w:rsidR="00AC12B4" w:rsidRPr="00C27636" w:rsidRDefault="00AC12B4">
            <w:pPr>
              <w:rPr>
                <w:sz w:val="13"/>
                <w:szCs w:val="13"/>
                <w:lang w:val="fr-BE"/>
              </w:rPr>
            </w:pPr>
          </w:p>
        </w:tc>
        <w:tc>
          <w:tcPr>
            <w:tcW w:w="580" w:type="dxa"/>
            <w:vAlign w:val="bottom"/>
          </w:tcPr>
          <w:p w:rsidR="00AC12B4" w:rsidRPr="00C27636" w:rsidRDefault="00AC12B4">
            <w:pPr>
              <w:rPr>
                <w:sz w:val="13"/>
                <w:szCs w:val="13"/>
                <w:lang w:val="fr-BE"/>
              </w:rPr>
            </w:pPr>
          </w:p>
        </w:tc>
        <w:tc>
          <w:tcPr>
            <w:tcW w:w="220" w:type="dxa"/>
            <w:vAlign w:val="bottom"/>
          </w:tcPr>
          <w:p w:rsidR="00AC12B4" w:rsidRPr="00C27636" w:rsidRDefault="00AC12B4">
            <w:pPr>
              <w:rPr>
                <w:sz w:val="13"/>
                <w:szCs w:val="13"/>
                <w:lang w:val="fr-BE"/>
              </w:rPr>
            </w:pPr>
          </w:p>
        </w:tc>
        <w:tc>
          <w:tcPr>
            <w:tcW w:w="420" w:type="dxa"/>
            <w:vAlign w:val="bottom"/>
          </w:tcPr>
          <w:p w:rsidR="00AC12B4" w:rsidRPr="00C27636" w:rsidRDefault="00AC12B4">
            <w:pPr>
              <w:rPr>
                <w:sz w:val="13"/>
                <w:szCs w:val="13"/>
                <w:lang w:val="fr-BE"/>
              </w:rPr>
            </w:pPr>
          </w:p>
        </w:tc>
        <w:tc>
          <w:tcPr>
            <w:tcW w:w="480" w:type="dxa"/>
            <w:vAlign w:val="bottom"/>
          </w:tcPr>
          <w:p w:rsidR="00AC12B4" w:rsidRPr="00C27636" w:rsidRDefault="00AC12B4">
            <w:pPr>
              <w:rPr>
                <w:sz w:val="13"/>
                <w:szCs w:val="13"/>
                <w:lang w:val="fr-BE"/>
              </w:rPr>
            </w:pPr>
          </w:p>
        </w:tc>
        <w:tc>
          <w:tcPr>
            <w:tcW w:w="160" w:type="dxa"/>
            <w:vAlign w:val="bottom"/>
          </w:tcPr>
          <w:p w:rsidR="00AC12B4" w:rsidRPr="00C27636" w:rsidRDefault="00AC12B4">
            <w:pPr>
              <w:rPr>
                <w:sz w:val="13"/>
                <w:szCs w:val="13"/>
                <w:lang w:val="fr-BE"/>
              </w:rPr>
            </w:pPr>
          </w:p>
        </w:tc>
        <w:tc>
          <w:tcPr>
            <w:tcW w:w="360" w:type="dxa"/>
            <w:vAlign w:val="bottom"/>
          </w:tcPr>
          <w:p w:rsidR="00AC12B4" w:rsidRPr="00C27636" w:rsidRDefault="00AC12B4">
            <w:pPr>
              <w:rPr>
                <w:sz w:val="13"/>
                <w:szCs w:val="13"/>
                <w:lang w:val="fr-BE"/>
              </w:rPr>
            </w:pPr>
          </w:p>
        </w:tc>
        <w:tc>
          <w:tcPr>
            <w:tcW w:w="520" w:type="dxa"/>
            <w:vAlign w:val="bottom"/>
          </w:tcPr>
          <w:p w:rsidR="00AC12B4" w:rsidRPr="00C27636" w:rsidRDefault="00AC12B4">
            <w:pPr>
              <w:rPr>
                <w:sz w:val="13"/>
                <w:szCs w:val="13"/>
                <w:lang w:val="fr-BE"/>
              </w:rPr>
            </w:pPr>
          </w:p>
        </w:tc>
        <w:tc>
          <w:tcPr>
            <w:tcW w:w="120" w:type="dxa"/>
            <w:vAlign w:val="bottom"/>
          </w:tcPr>
          <w:p w:rsidR="00AC12B4" w:rsidRPr="00C27636" w:rsidRDefault="00AC12B4">
            <w:pPr>
              <w:rPr>
                <w:sz w:val="13"/>
                <w:szCs w:val="13"/>
                <w:lang w:val="fr-BE"/>
              </w:rPr>
            </w:pPr>
          </w:p>
        </w:tc>
        <w:tc>
          <w:tcPr>
            <w:tcW w:w="300" w:type="dxa"/>
            <w:vAlign w:val="bottom"/>
          </w:tcPr>
          <w:p w:rsidR="00AC12B4" w:rsidRPr="00C27636" w:rsidRDefault="00AC12B4">
            <w:pPr>
              <w:rPr>
                <w:sz w:val="13"/>
                <w:szCs w:val="13"/>
                <w:lang w:val="fr-BE"/>
              </w:rPr>
            </w:pPr>
          </w:p>
        </w:tc>
        <w:tc>
          <w:tcPr>
            <w:tcW w:w="240" w:type="dxa"/>
            <w:vAlign w:val="bottom"/>
          </w:tcPr>
          <w:p w:rsidR="00AC12B4" w:rsidRPr="00C27636" w:rsidRDefault="00AC12B4">
            <w:pPr>
              <w:rPr>
                <w:sz w:val="13"/>
                <w:szCs w:val="13"/>
                <w:lang w:val="fr-BE"/>
              </w:rPr>
            </w:pPr>
          </w:p>
        </w:tc>
        <w:tc>
          <w:tcPr>
            <w:tcW w:w="160" w:type="dxa"/>
            <w:vAlign w:val="bottom"/>
          </w:tcPr>
          <w:p w:rsidR="00AC12B4" w:rsidRPr="00C27636" w:rsidRDefault="00AC12B4">
            <w:pPr>
              <w:rPr>
                <w:sz w:val="13"/>
                <w:szCs w:val="13"/>
                <w:lang w:val="fr-BE"/>
              </w:rPr>
            </w:pPr>
          </w:p>
        </w:tc>
        <w:tc>
          <w:tcPr>
            <w:tcW w:w="900" w:type="dxa"/>
            <w:vAlign w:val="bottom"/>
          </w:tcPr>
          <w:p w:rsidR="00AC12B4" w:rsidRPr="00C27636" w:rsidRDefault="00AC12B4">
            <w:pPr>
              <w:rPr>
                <w:sz w:val="13"/>
                <w:szCs w:val="13"/>
                <w:lang w:val="fr-BE"/>
              </w:rPr>
            </w:pPr>
          </w:p>
        </w:tc>
        <w:tc>
          <w:tcPr>
            <w:tcW w:w="600" w:type="dxa"/>
            <w:tcBorders>
              <w:right w:val="single" w:sz="8" w:space="0" w:color="C9D11D"/>
            </w:tcBorders>
            <w:vAlign w:val="bottom"/>
          </w:tcPr>
          <w:p w:rsidR="00AC12B4" w:rsidRPr="00C27636" w:rsidRDefault="00AC12B4">
            <w:pPr>
              <w:rPr>
                <w:sz w:val="13"/>
                <w:szCs w:val="13"/>
                <w:lang w:val="fr-BE"/>
              </w:rPr>
            </w:pPr>
          </w:p>
        </w:tc>
        <w:tc>
          <w:tcPr>
            <w:tcW w:w="4040" w:type="dxa"/>
            <w:gridSpan w:val="10"/>
            <w:vMerge/>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trPr>
          <w:trHeight w:val="149"/>
        </w:trPr>
        <w:tc>
          <w:tcPr>
            <w:tcW w:w="400" w:type="dxa"/>
            <w:vMerge w:val="restart"/>
            <w:tcBorders>
              <w:left w:val="single" w:sz="8" w:space="0" w:color="C9D11D"/>
            </w:tcBorders>
            <w:vAlign w:val="bottom"/>
          </w:tcPr>
          <w:p w:rsidR="00AC12B4" w:rsidRDefault="00C27636">
            <w:pPr>
              <w:spacing w:line="227" w:lineRule="exact"/>
              <w:jc w:val="right"/>
              <w:rPr>
                <w:sz w:val="20"/>
                <w:szCs w:val="20"/>
              </w:rPr>
            </w:pPr>
            <w:r>
              <w:rPr>
                <w:rFonts w:ascii="Calibri" w:eastAsia="Calibri" w:hAnsi="Calibri" w:cs="Calibri"/>
                <w:sz w:val="20"/>
                <w:szCs w:val="20"/>
              </w:rPr>
              <w:t>10</w:t>
            </w:r>
          </w:p>
        </w:tc>
        <w:tc>
          <w:tcPr>
            <w:tcW w:w="140" w:type="dxa"/>
            <w:tcBorders>
              <w:right w:val="single" w:sz="8" w:space="0" w:color="868686"/>
            </w:tcBorders>
            <w:vAlign w:val="bottom"/>
          </w:tcPr>
          <w:p w:rsidR="00AC12B4" w:rsidRDefault="00AC12B4">
            <w:pPr>
              <w:rPr>
                <w:sz w:val="12"/>
                <w:szCs w:val="12"/>
              </w:rPr>
            </w:pPr>
          </w:p>
        </w:tc>
        <w:tc>
          <w:tcPr>
            <w:tcW w:w="58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420" w:type="dxa"/>
            <w:tcBorders>
              <w:bottom w:val="single" w:sz="8" w:space="0" w:color="868686"/>
            </w:tcBorders>
            <w:vAlign w:val="bottom"/>
          </w:tcPr>
          <w:p w:rsidR="00AC12B4" w:rsidRDefault="00AC12B4">
            <w:pPr>
              <w:rPr>
                <w:sz w:val="12"/>
                <w:szCs w:val="12"/>
              </w:rPr>
            </w:pPr>
          </w:p>
        </w:tc>
        <w:tc>
          <w:tcPr>
            <w:tcW w:w="480" w:type="dxa"/>
            <w:tcBorders>
              <w:bottom w:val="single" w:sz="8" w:space="0" w:color="868686"/>
            </w:tcBorders>
            <w:vAlign w:val="bottom"/>
          </w:tcPr>
          <w:p w:rsidR="00AC12B4" w:rsidRDefault="00AC12B4">
            <w:pPr>
              <w:rPr>
                <w:sz w:val="12"/>
                <w:szCs w:val="12"/>
              </w:rPr>
            </w:pPr>
          </w:p>
        </w:tc>
        <w:tc>
          <w:tcPr>
            <w:tcW w:w="160" w:type="dxa"/>
            <w:tcBorders>
              <w:bottom w:val="single" w:sz="8" w:space="0" w:color="868686"/>
            </w:tcBorders>
            <w:vAlign w:val="bottom"/>
          </w:tcPr>
          <w:p w:rsidR="00AC12B4" w:rsidRDefault="00AC12B4">
            <w:pPr>
              <w:rPr>
                <w:sz w:val="12"/>
                <w:szCs w:val="12"/>
              </w:rPr>
            </w:pPr>
          </w:p>
        </w:tc>
        <w:tc>
          <w:tcPr>
            <w:tcW w:w="360" w:type="dxa"/>
            <w:tcBorders>
              <w:bottom w:val="single" w:sz="8" w:space="0" w:color="868686"/>
            </w:tcBorders>
            <w:vAlign w:val="bottom"/>
          </w:tcPr>
          <w:p w:rsidR="00AC12B4" w:rsidRDefault="00AC12B4">
            <w:pPr>
              <w:rPr>
                <w:sz w:val="12"/>
                <w:szCs w:val="12"/>
              </w:rPr>
            </w:pPr>
          </w:p>
        </w:tc>
        <w:tc>
          <w:tcPr>
            <w:tcW w:w="520" w:type="dxa"/>
            <w:tcBorders>
              <w:bottom w:val="single" w:sz="8" w:space="0" w:color="868686"/>
            </w:tcBorders>
            <w:vAlign w:val="bottom"/>
          </w:tcPr>
          <w:p w:rsidR="00AC12B4" w:rsidRDefault="00AC12B4">
            <w:pPr>
              <w:rPr>
                <w:sz w:val="12"/>
                <w:szCs w:val="12"/>
              </w:rPr>
            </w:pPr>
          </w:p>
        </w:tc>
        <w:tc>
          <w:tcPr>
            <w:tcW w:w="120" w:type="dxa"/>
            <w:tcBorders>
              <w:bottom w:val="single" w:sz="8" w:space="0" w:color="868686"/>
            </w:tcBorders>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240" w:type="dxa"/>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900" w:type="dxa"/>
            <w:vMerge w:val="restart"/>
            <w:vAlign w:val="bottom"/>
          </w:tcPr>
          <w:p w:rsidR="00AC12B4" w:rsidRDefault="00C27636">
            <w:pPr>
              <w:ind w:left="40"/>
              <w:rPr>
                <w:sz w:val="20"/>
                <w:szCs w:val="20"/>
              </w:rPr>
            </w:pPr>
            <w:r>
              <w:rPr>
                <w:rFonts w:ascii="Calibri" w:eastAsia="Calibri" w:hAnsi="Calibri" w:cs="Calibri"/>
                <w:sz w:val="16"/>
                <w:szCs w:val="16"/>
              </w:rPr>
              <w:t>Couple avec</w:t>
            </w:r>
          </w:p>
        </w:tc>
        <w:tc>
          <w:tcPr>
            <w:tcW w:w="600" w:type="dxa"/>
            <w:tcBorders>
              <w:right w:val="single" w:sz="8" w:space="0" w:color="C9D11D"/>
            </w:tcBorders>
            <w:vAlign w:val="bottom"/>
          </w:tcPr>
          <w:p w:rsidR="00AC12B4" w:rsidRDefault="00AC12B4">
            <w:pPr>
              <w:rPr>
                <w:sz w:val="12"/>
                <w:szCs w:val="12"/>
              </w:rPr>
            </w:pPr>
          </w:p>
        </w:tc>
        <w:tc>
          <w:tcPr>
            <w:tcW w:w="1300" w:type="dxa"/>
            <w:gridSpan w:val="4"/>
            <w:vMerge w:val="restart"/>
            <w:vAlign w:val="bottom"/>
          </w:tcPr>
          <w:p w:rsidR="00AC12B4" w:rsidRDefault="00C27636">
            <w:pPr>
              <w:spacing w:line="227" w:lineRule="exact"/>
              <w:ind w:left="140"/>
              <w:rPr>
                <w:sz w:val="20"/>
                <w:szCs w:val="20"/>
              </w:rPr>
            </w:pPr>
            <w:r>
              <w:rPr>
                <w:rFonts w:ascii="Calibri" w:eastAsia="Calibri" w:hAnsi="Calibri" w:cs="Calibri"/>
              </w:rPr>
              <w:t>significative.</w:t>
            </w:r>
          </w:p>
        </w:tc>
        <w:tc>
          <w:tcPr>
            <w:tcW w:w="800" w:type="dxa"/>
            <w:gridSpan w:val="2"/>
            <w:vMerge w:val="restart"/>
            <w:vAlign w:val="bottom"/>
          </w:tcPr>
          <w:p w:rsidR="00AC12B4" w:rsidRDefault="00C27636">
            <w:pPr>
              <w:spacing w:line="227" w:lineRule="exact"/>
              <w:ind w:left="240"/>
              <w:rPr>
                <w:sz w:val="20"/>
                <w:szCs w:val="20"/>
              </w:rPr>
            </w:pPr>
            <w:r>
              <w:rPr>
                <w:rFonts w:ascii="Calibri" w:eastAsia="Calibri" w:hAnsi="Calibri" w:cs="Calibri"/>
              </w:rPr>
              <w:t>Cette</w:t>
            </w:r>
          </w:p>
        </w:tc>
        <w:tc>
          <w:tcPr>
            <w:tcW w:w="180" w:type="dxa"/>
            <w:vAlign w:val="bottom"/>
          </w:tcPr>
          <w:p w:rsidR="00AC12B4" w:rsidRDefault="00AC12B4">
            <w:pPr>
              <w:rPr>
                <w:sz w:val="12"/>
                <w:szCs w:val="12"/>
              </w:rPr>
            </w:pPr>
          </w:p>
        </w:tc>
        <w:tc>
          <w:tcPr>
            <w:tcW w:w="1760" w:type="dxa"/>
            <w:gridSpan w:val="3"/>
            <w:vMerge w:val="restart"/>
            <w:vAlign w:val="bottom"/>
          </w:tcPr>
          <w:p w:rsidR="00AC12B4" w:rsidRDefault="00C27636">
            <w:pPr>
              <w:spacing w:line="227" w:lineRule="exact"/>
              <w:ind w:right="670"/>
              <w:jc w:val="right"/>
              <w:rPr>
                <w:sz w:val="20"/>
                <w:szCs w:val="20"/>
              </w:rPr>
            </w:pPr>
            <w:r>
              <w:rPr>
                <w:rFonts w:ascii="Calibri" w:eastAsia="Calibri" w:hAnsi="Calibri" w:cs="Calibri"/>
                <w:w w:val="98"/>
              </w:rPr>
              <w:t>diminution</w:t>
            </w:r>
          </w:p>
        </w:tc>
        <w:tc>
          <w:tcPr>
            <w:tcW w:w="0" w:type="dxa"/>
            <w:vAlign w:val="bottom"/>
          </w:tcPr>
          <w:p w:rsidR="00AC12B4" w:rsidRDefault="00AC12B4">
            <w:pPr>
              <w:rPr>
                <w:sz w:val="1"/>
                <w:szCs w:val="1"/>
              </w:rPr>
            </w:pPr>
          </w:p>
        </w:tc>
      </w:tr>
      <w:tr w:rsidR="00AC12B4">
        <w:trPr>
          <w:trHeight w:val="58"/>
        </w:trPr>
        <w:tc>
          <w:tcPr>
            <w:tcW w:w="400" w:type="dxa"/>
            <w:vMerge/>
            <w:tcBorders>
              <w:left w:val="single" w:sz="8" w:space="0" w:color="C9D11D"/>
            </w:tcBorders>
            <w:vAlign w:val="bottom"/>
          </w:tcPr>
          <w:p w:rsidR="00AC12B4" w:rsidRDefault="00AC12B4">
            <w:pPr>
              <w:rPr>
                <w:sz w:val="5"/>
                <w:szCs w:val="5"/>
              </w:rPr>
            </w:pPr>
          </w:p>
        </w:tc>
        <w:tc>
          <w:tcPr>
            <w:tcW w:w="140" w:type="dxa"/>
            <w:tcBorders>
              <w:right w:val="single" w:sz="8" w:space="0" w:color="868686"/>
            </w:tcBorders>
            <w:vAlign w:val="bottom"/>
          </w:tcPr>
          <w:p w:rsidR="00AC12B4" w:rsidRDefault="00AC12B4">
            <w:pPr>
              <w:rPr>
                <w:sz w:val="5"/>
                <w:szCs w:val="5"/>
              </w:rPr>
            </w:pPr>
          </w:p>
        </w:tc>
        <w:tc>
          <w:tcPr>
            <w:tcW w:w="580" w:type="dxa"/>
            <w:vAlign w:val="bottom"/>
          </w:tcPr>
          <w:p w:rsidR="00AC12B4" w:rsidRDefault="00AC12B4">
            <w:pPr>
              <w:rPr>
                <w:sz w:val="5"/>
                <w:szCs w:val="5"/>
              </w:rPr>
            </w:pPr>
          </w:p>
        </w:tc>
        <w:tc>
          <w:tcPr>
            <w:tcW w:w="22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360" w:type="dxa"/>
            <w:vAlign w:val="bottom"/>
          </w:tcPr>
          <w:p w:rsidR="00AC12B4" w:rsidRDefault="00AC12B4">
            <w:pPr>
              <w:rPr>
                <w:sz w:val="5"/>
                <w:szCs w:val="5"/>
              </w:rPr>
            </w:pPr>
          </w:p>
        </w:tc>
        <w:tc>
          <w:tcPr>
            <w:tcW w:w="52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240" w:type="dxa"/>
            <w:tcBorders>
              <w:bottom w:val="single" w:sz="8" w:space="0" w:color="6E548D"/>
            </w:tcBorders>
            <w:vAlign w:val="bottom"/>
          </w:tcPr>
          <w:p w:rsidR="00AC12B4" w:rsidRDefault="00AC12B4">
            <w:pPr>
              <w:rPr>
                <w:sz w:val="5"/>
                <w:szCs w:val="5"/>
              </w:rPr>
            </w:pPr>
          </w:p>
        </w:tc>
        <w:tc>
          <w:tcPr>
            <w:tcW w:w="160" w:type="dxa"/>
            <w:tcBorders>
              <w:bottom w:val="single" w:sz="8" w:space="0" w:color="6E548D"/>
            </w:tcBorders>
            <w:vAlign w:val="bottom"/>
          </w:tcPr>
          <w:p w:rsidR="00AC12B4" w:rsidRDefault="00AC12B4">
            <w:pPr>
              <w:rPr>
                <w:sz w:val="5"/>
                <w:szCs w:val="5"/>
              </w:rPr>
            </w:pPr>
          </w:p>
        </w:tc>
        <w:tc>
          <w:tcPr>
            <w:tcW w:w="900" w:type="dxa"/>
            <w:vMerge/>
            <w:vAlign w:val="bottom"/>
          </w:tcPr>
          <w:p w:rsidR="00AC12B4" w:rsidRDefault="00AC12B4">
            <w:pPr>
              <w:rPr>
                <w:sz w:val="5"/>
                <w:szCs w:val="5"/>
              </w:rPr>
            </w:pPr>
          </w:p>
        </w:tc>
        <w:tc>
          <w:tcPr>
            <w:tcW w:w="600" w:type="dxa"/>
            <w:tcBorders>
              <w:right w:val="single" w:sz="8" w:space="0" w:color="C9D11D"/>
            </w:tcBorders>
            <w:vAlign w:val="bottom"/>
          </w:tcPr>
          <w:p w:rsidR="00AC12B4" w:rsidRDefault="00AC12B4">
            <w:pPr>
              <w:rPr>
                <w:sz w:val="5"/>
                <w:szCs w:val="5"/>
              </w:rPr>
            </w:pPr>
          </w:p>
        </w:tc>
        <w:tc>
          <w:tcPr>
            <w:tcW w:w="1300" w:type="dxa"/>
            <w:gridSpan w:val="4"/>
            <w:vMerge/>
            <w:vAlign w:val="bottom"/>
          </w:tcPr>
          <w:p w:rsidR="00AC12B4" w:rsidRDefault="00AC12B4">
            <w:pPr>
              <w:rPr>
                <w:sz w:val="5"/>
                <w:szCs w:val="5"/>
              </w:rPr>
            </w:pPr>
          </w:p>
        </w:tc>
        <w:tc>
          <w:tcPr>
            <w:tcW w:w="800" w:type="dxa"/>
            <w:gridSpan w:val="2"/>
            <w:vMerge/>
            <w:vAlign w:val="bottom"/>
          </w:tcPr>
          <w:p w:rsidR="00AC12B4" w:rsidRDefault="00AC12B4">
            <w:pPr>
              <w:rPr>
                <w:sz w:val="5"/>
                <w:szCs w:val="5"/>
              </w:rPr>
            </w:pPr>
          </w:p>
        </w:tc>
        <w:tc>
          <w:tcPr>
            <w:tcW w:w="180" w:type="dxa"/>
            <w:vAlign w:val="bottom"/>
          </w:tcPr>
          <w:p w:rsidR="00AC12B4" w:rsidRDefault="00AC12B4">
            <w:pPr>
              <w:rPr>
                <w:sz w:val="5"/>
                <w:szCs w:val="5"/>
              </w:rPr>
            </w:pPr>
          </w:p>
        </w:tc>
        <w:tc>
          <w:tcPr>
            <w:tcW w:w="1760" w:type="dxa"/>
            <w:gridSpan w:val="3"/>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66"/>
        </w:trPr>
        <w:tc>
          <w:tcPr>
            <w:tcW w:w="400" w:type="dxa"/>
            <w:tcBorders>
              <w:left w:val="single" w:sz="8" w:space="0" w:color="C9D11D"/>
            </w:tcBorders>
            <w:vAlign w:val="bottom"/>
          </w:tcPr>
          <w:p w:rsidR="00AC12B4" w:rsidRDefault="00AC12B4">
            <w:pPr>
              <w:rPr>
                <w:sz w:val="5"/>
                <w:szCs w:val="5"/>
              </w:rPr>
            </w:pPr>
          </w:p>
        </w:tc>
        <w:tc>
          <w:tcPr>
            <w:tcW w:w="140" w:type="dxa"/>
            <w:tcBorders>
              <w:right w:val="single" w:sz="8" w:space="0" w:color="868686"/>
            </w:tcBorders>
            <w:vAlign w:val="bottom"/>
          </w:tcPr>
          <w:p w:rsidR="00AC12B4" w:rsidRDefault="00AC12B4">
            <w:pPr>
              <w:rPr>
                <w:sz w:val="5"/>
                <w:szCs w:val="5"/>
              </w:rPr>
            </w:pPr>
          </w:p>
        </w:tc>
        <w:tc>
          <w:tcPr>
            <w:tcW w:w="580" w:type="dxa"/>
            <w:vAlign w:val="bottom"/>
          </w:tcPr>
          <w:p w:rsidR="00AC12B4" w:rsidRDefault="00AC12B4">
            <w:pPr>
              <w:rPr>
                <w:sz w:val="5"/>
                <w:szCs w:val="5"/>
              </w:rPr>
            </w:pPr>
          </w:p>
        </w:tc>
        <w:tc>
          <w:tcPr>
            <w:tcW w:w="22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360" w:type="dxa"/>
            <w:vAlign w:val="bottom"/>
          </w:tcPr>
          <w:p w:rsidR="00AC12B4" w:rsidRDefault="00AC12B4">
            <w:pPr>
              <w:rPr>
                <w:sz w:val="5"/>
                <w:szCs w:val="5"/>
              </w:rPr>
            </w:pPr>
          </w:p>
        </w:tc>
        <w:tc>
          <w:tcPr>
            <w:tcW w:w="52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900" w:type="dxa"/>
            <w:vMerge/>
            <w:vAlign w:val="bottom"/>
          </w:tcPr>
          <w:p w:rsidR="00AC12B4" w:rsidRDefault="00AC12B4">
            <w:pPr>
              <w:rPr>
                <w:sz w:val="5"/>
                <w:szCs w:val="5"/>
              </w:rPr>
            </w:pPr>
          </w:p>
        </w:tc>
        <w:tc>
          <w:tcPr>
            <w:tcW w:w="600" w:type="dxa"/>
            <w:tcBorders>
              <w:right w:val="single" w:sz="8" w:space="0" w:color="C9D11D"/>
            </w:tcBorders>
            <w:vAlign w:val="bottom"/>
          </w:tcPr>
          <w:p w:rsidR="00AC12B4" w:rsidRDefault="00AC12B4">
            <w:pPr>
              <w:rPr>
                <w:sz w:val="5"/>
                <w:szCs w:val="5"/>
              </w:rPr>
            </w:pPr>
          </w:p>
        </w:tc>
        <w:tc>
          <w:tcPr>
            <w:tcW w:w="960" w:type="dxa"/>
            <w:gridSpan w:val="2"/>
            <w:vMerge w:val="restart"/>
            <w:vAlign w:val="bottom"/>
          </w:tcPr>
          <w:p w:rsidR="00AC12B4" w:rsidRDefault="00C27636">
            <w:pPr>
              <w:ind w:left="140"/>
              <w:rPr>
                <w:sz w:val="20"/>
                <w:szCs w:val="20"/>
              </w:rPr>
            </w:pPr>
            <w:r>
              <w:rPr>
                <w:rFonts w:ascii="Calibri" w:eastAsia="Calibri" w:hAnsi="Calibri" w:cs="Calibri"/>
              </w:rPr>
              <w:t>globale</w:t>
            </w:r>
          </w:p>
        </w:tc>
        <w:tc>
          <w:tcPr>
            <w:tcW w:w="760" w:type="dxa"/>
            <w:gridSpan w:val="3"/>
            <w:vMerge w:val="restart"/>
            <w:vAlign w:val="bottom"/>
          </w:tcPr>
          <w:p w:rsidR="00AC12B4" w:rsidRDefault="00C27636">
            <w:pPr>
              <w:ind w:right="75"/>
              <w:jc w:val="right"/>
              <w:rPr>
                <w:sz w:val="20"/>
                <w:szCs w:val="20"/>
              </w:rPr>
            </w:pPr>
            <w:r>
              <w:rPr>
                <w:rFonts w:ascii="Calibri" w:eastAsia="Calibri" w:hAnsi="Calibri" w:cs="Calibri"/>
              </w:rPr>
              <w:t>n’est</w:t>
            </w:r>
          </w:p>
        </w:tc>
        <w:tc>
          <w:tcPr>
            <w:tcW w:w="980" w:type="dxa"/>
            <w:gridSpan w:val="3"/>
            <w:vMerge w:val="restart"/>
            <w:vAlign w:val="bottom"/>
          </w:tcPr>
          <w:p w:rsidR="00AC12B4" w:rsidRDefault="00C27636">
            <w:pPr>
              <w:jc w:val="center"/>
              <w:rPr>
                <w:sz w:val="20"/>
                <w:szCs w:val="20"/>
              </w:rPr>
            </w:pPr>
            <w:r>
              <w:rPr>
                <w:rFonts w:ascii="Calibri" w:eastAsia="Calibri" w:hAnsi="Calibri" w:cs="Calibri"/>
                <w:w w:val="98"/>
              </w:rPr>
              <w:t>cependant</w:t>
            </w:r>
          </w:p>
        </w:tc>
        <w:tc>
          <w:tcPr>
            <w:tcW w:w="240" w:type="dxa"/>
            <w:vAlign w:val="bottom"/>
          </w:tcPr>
          <w:p w:rsidR="00AC12B4" w:rsidRDefault="00AC12B4">
            <w:pPr>
              <w:rPr>
                <w:sz w:val="5"/>
                <w:szCs w:val="5"/>
              </w:rPr>
            </w:pPr>
          </w:p>
        </w:tc>
        <w:tc>
          <w:tcPr>
            <w:tcW w:w="1100" w:type="dxa"/>
            <w:vMerge w:val="restart"/>
            <w:vAlign w:val="bottom"/>
          </w:tcPr>
          <w:p w:rsidR="00AC12B4" w:rsidRDefault="00C27636">
            <w:pPr>
              <w:ind w:right="670"/>
              <w:jc w:val="right"/>
              <w:rPr>
                <w:sz w:val="20"/>
                <w:szCs w:val="20"/>
              </w:rPr>
            </w:pPr>
            <w:r>
              <w:rPr>
                <w:rFonts w:ascii="Calibri" w:eastAsia="Calibri" w:hAnsi="Calibri" w:cs="Calibri"/>
                <w:w w:val="97"/>
              </w:rPr>
              <w:t>pas</w:t>
            </w:r>
          </w:p>
        </w:tc>
        <w:tc>
          <w:tcPr>
            <w:tcW w:w="0" w:type="dxa"/>
            <w:vAlign w:val="bottom"/>
          </w:tcPr>
          <w:p w:rsidR="00AC12B4" w:rsidRDefault="00AC12B4">
            <w:pPr>
              <w:rPr>
                <w:sz w:val="1"/>
                <w:szCs w:val="1"/>
              </w:rPr>
            </w:pPr>
          </w:p>
        </w:tc>
      </w:tr>
      <w:tr w:rsidR="00AC12B4">
        <w:trPr>
          <w:trHeight w:val="157"/>
        </w:trPr>
        <w:tc>
          <w:tcPr>
            <w:tcW w:w="400" w:type="dxa"/>
            <w:vMerge w:val="restart"/>
            <w:tcBorders>
              <w:left w:val="single" w:sz="8" w:space="0" w:color="C9D11D"/>
            </w:tcBorders>
            <w:vAlign w:val="bottom"/>
          </w:tcPr>
          <w:p w:rsidR="00AC12B4" w:rsidRDefault="00C27636">
            <w:pPr>
              <w:jc w:val="right"/>
              <w:rPr>
                <w:sz w:val="20"/>
                <w:szCs w:val="20"/>
              </w:rPr>
            </w:pPr>
            <w:r>
              <w:rPr>
                <w:rFonts w:ascii="Calibri" w:eastAsia="Calibri" w:hAnsi="Calibri" w:cs="Calibri"/>
                <w:sz w:val="20"/>
                <w:szCs w:val="20"/>
              </w:rPr>
              <w:t>5</w:t>
            </w:r>
          </w:p>
        </w:tc>
        <w:tc>
          <w:tcPr>
            <w:tcW w:w="140" w:type="dxa"/>
            <w:tcBorders>
              <w:right w:val="single" w:sz="8" w:space="0" w:color="868686"/>
            </w:tcBorders>
            <w:vAlign w:val="bottom"/>
          </w:tcPr>
          <w:p w:rsidR="00AC12B4" w:rsidRDefault="00AC12B4">
            <w:pPr>
              <w:rPr>
                <w:sz w:val="13"/>
                <w:szCs w:val="13"/>
              </w:rPr>
            </w:pPr>
          </w:p>
        </w:tc>
        <w:tc>
          <w:tcPr>
            <w:tcW w:w="580" w:type="dxa"/>
            <w:tcBorders>
              <w:bottom w:val="single" w:sz="8" w:space="0" w:color="868686"/>
            </w:tcBorders>
            <w:vAlign w:val="bottom"/>
          </w:tcPr>
          <w:p w:rsidR="00AC12B4" w:rsidRDefault="00AC12B4">
            <w:pPr>
              <w:rPr>
                <w:sz w:val="13"/>
                <w:szCs w:val="13"/>
              </w:rPr>
            </w:pPr>
          </w:p>
        </w:tc>
        <w:tc>
          <w:tcPr>
            <w:tcW w:w="220" w:type="dxa"/>
            <w:tcBorders>
              <w:bottom w:val="single" w:sz="8" w:space="0" w:color="868686"/>
            </w:tcBorders>
            <w:vAlign w:val="bottom"/>
          </w:tcPr>
          <w:p w:rsidR="00AC12B4" w:rsidRDefault="00AC12B4">
            <w:pPr>
              <w:rPr>
                <w:sz w:val="13"/>
                <w:szCs w:val="13"/>
              </w:rPr>
            </w:pPr>
          </w:p>
        </w:tc>
        <w:tc>
          <w:tcPr>
            <w:tcW w:w="420" w:type="dxa"/>
            <w:tcBorders>
              <w:bottom w:val="single" w:sz="8" w:space="0" w:color="868686"/>
            </w:tcBorders>
            <w:vAlign w:val="bottom"/>
          </w:tcPr>
          <w:p w:rsidR="00AC12B4" w:rsidRDefault="00AC12B4">
            <w:pPr>
              <w:rPr>
                <w:sz w:val="13"/>
                <w:szCs w:val="13"/>
              </w:rPr>
            </w:pPr>
          </w:p>
        </w:tc>
        <w:tc>
          <w:tcPr>
            <w:tcW w:w="480" w:type="dxa"/>
            <w:tcBorders>
              <w:bottom w:val="single" w:sz="8" w:space="0" w:color="868686"/>
            </w:tcBorders>
            <w:vAlign w:val="bottom"/>
          </w:tcPr>
          <w:p w:rsidR="00AC12B4" w:rsidRDefault="00AC12B4">
            <w:pPr>
              <w:rPr>
                <w:sz w:val="13"/>
                <w:szCs w:val="13"/>
              </w:rPr>
            </w:pPr>
          </w:p>
        </w:tc>
        <w:tc>
          <w:tcPr>
            <w:tcW w:w="160" w:type="dxa"/>
            <w:tcBorders>
              <w:bottom w:val="single" w:sz="8" w:space="0" w:color="868686"/>
            </w:tcBorders>
            <w:vAlign w:val="bottom"/>
          </w:tcPr>
          <w:p w:rsidR="00AC12B4" w:rsidRDefault="00AC12B4">
            <w:pPr>
              <w:rPr>
                <w:sz w:val="13"/>
                <w:szCs w:val="13"/>
              </w:rPr>
            </w:pPr>
          </w:p>
        </w:tc>
        <w:tc>
          <w:tcPr>
            <w:tcW w:w="360" w:type="dxa"/>
            <w:tcBorders>
              <w:bottom w:val="single" w:sz="8" w:space="0" w:color="868686"/>
            </w:tcBorders>
            <w:vAlign w:val="bottom"/>
          </w:tcPr>
          <w:p w:rsidR="00AC12B4" w:rsidRDefault="00AC12B4">
            <w:pPr>
              <w:rPr>
                <w:sz w:val="13"/>
                <w:szCs w:val="13"/>
              </w:rPr>
            </w:pPr>
          </w:p>
        </w:tc>
        <w:tc>
          <w:tcPr>
            <w:tcW w:w="520" w:type="dxa"/>
            <w:tcBorders>
              <w:bottom w:val="single" w:sz="8" w:space="0" w:color="868686"/>
            </w:tcBorders>
            <w:vAlign w:val="bottom"/>
          </w:tcPr>
          <w:p w:rsidR="00AC12B4" w:rsidRDefault="00AC12B4">
            <w:pPr>
              <w:rPr>
                <w:sz w:val="13"/>
                <w:szCs w:val="13"/>
              </w:rPr>
            </w:pPr>
          </w:p>
        </w:tc>
        <w:tc>
          <w:tcPr>
            <w:tcW w:w="120" w:type="dxa"/>
            <w:tcBorders>
              <w:bottom w:val="single" w:sz="8" w:space="0" w:color="868686"/>
            </w:tcBorders>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160" w:type="dxa"/>
            <w:vMerge w:val="restart"/>
            <w:vAlign w:val="bottom"/>
          </w:tcPr>
          <w:p w:rsidR="00AC12B4" w:rsidRDefault="00AC12B4">
            <w:pPr>
              <w:rPr>
                <w:sz w:val="13"/>
                <w:szCs w:val="13"/>
              </w:rPr>
            </w:pPr>
          </w:p>
        </w:tc>
        <w:tc>
          <w:tcPr>
            <w:tcW w:w="900" w:type="dxa"/>
            <w:vMerge w:val="restart"/>
            <w:vAlign w:val="bottom"/>
          </w:tcPr>
          <w:p w:rsidR="00AC12B4" w:rsidRDefault="00C27636">
            <w:pPr>
              <w:ind w:left="40"/>
              <w:rPr>
                <w:sz w:val="20"/>
                <w:szCs w:val="20"/>
              </w:rPr>
            </w:pPr>
            <w:r>
              <w:rPr>
                <w:rFonts w:ascii="Calibri" w:eastAsia="Calibri" w:hAnsi="Calibri" w:cs="Calibri"/>
                <w:sz w:val="16"/>
                <w:szCs w:val="16"/>
              </w:rPr>
              <w:t>enfant(s)</w:t>
            </w:r>
          </w:p>
        </w:tc>
        <w:tc>
          <w:tcPr>
            <w:tcW w:w="600" w:type="dxa"/>
            <w:tcBorders>
              <w:right w:val="single" w:sz="8" w:space="0" w:color="C9D11D"/>
            </w:tcBorders>
            <w:vAlign w:val="bottom"/>
          </w:tcPr>
          <w:p w:rsidR="00AC12B4" w:rsidRDefault="00AC12B4">
            <w:pPr>
              <w:rPr>
                <w:sz w:val="13"/>
                <w:szCs w:val="13"/>
              </w:rPr>
            </w:pPr>
          </w:p>
        </w:tc>
        <w:tc>
          <w:tcPr>
            <w:tcW w:w="960" w:type="dxa"/>
            <w:gridSpan w:val="2"/>
            <w:vMerge/>
            <w:vAlign w:val="bottom"/>
          </w:tcPr>
          <w:p w:rsidR="00AC12B4" w:rsidRDefault="00AC12B4">
            <w:pPr>
              <w:rPr>
                <w:sz w:val="13"/>
                <w:szCs w:val="13"/>
              </w:rPr>
            </w:pPr>
          </w:p>
        </w:tc>
        <w:tc>
          <w:tcPr>
            <w:tcW w:w="760" w:type="dxa"/>
            <w:gridSpan w:val="3"/>
            <w:vMerge/>
            <w:vAlign w:val="bottom"/>
          </w:tcPr>
          <w:p w:rsidR="00AC12B4" w:rsidRDefault="00AC12B4">
            <w:pPr>
              <w:rPr>
                <w:sz w:val="13"/>
                <w:szCs w:val="13"/>
              </w:rPr>
            </w:pPr>
          </w:p>
        </w:tc>
        <w:tc>
          <w:tcPr>
            <w:tcW w:w="980" w:type="dxa"/>
            <w:gridSpan w:val="3"/>
            <w:vMerge/>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1100" w:type="dxa"/>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94"/>
        </w:trPr>
        <w:tc>
          <w:tcPr>
            <w:tcW w:w="400" w:type="dxa"/>
            <w:vMerge/>
            <w:tcBorders>
              <w:left w:val="single" w:sz="8" w:space="0" w:color="C9D11D"/>
            </w:tcBorders>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5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360" w:type="dxa"/>
            <w:vAlign w:val="bottom"/>
          </w:tcPr>
          <w:p w:rsidR="00AC12B4" w:rsidRDefault="00AC12B4">
            <w:pPr>
              <w:rPr>
                <w:sz w:val="8"/>
                <w:szCs w:val="8"/>
              </w:rPr>
            </w:pPr>
          </w:p>
        </w:tc>
        <w:tc>
          <w:tcPr>
            <w:tcW w:w="5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160" w:type="dxa"/>
            <w:vMerge/>
            <w:vAlign w:val="bottom"/>
          </w:tcPr>
          <w:p w:rsidR="00AC12B4" w:rsidRDefault="00AC12B4">
            <w:pPr>
              <w:rPr>
                <w:sz w:val="8"/>
                <w:szCs w:val="8"/>
              </w:rPr>
            </w:pPr>
          </w:p>
        </w:tc>
        <w:tc>
          <w:tcPr>
            <w:tcW w:w="900" w:type="dxa"/>
            <w:vMerge/>
            <w:vAlign w:val="bottom"/>
          </w:tcPr>
          <w:p w:rsidR="00AC12B4" w:rsidRDefault="00AC12B4">
            <w:pPr>
              <w:rPr>
                <w:sz w:val="8"/>
                <w:szCs w:val="8"/>
              </w:rPr>
            </w:pPr>
          </w:p>
        </w:tc>
        <w:tc>
          <w:tcPr>
            <w:tcW w:w="600" w:type="dxa"/>
            <w:tcBorders>
              <w:right w:val="single" w:sz="8" w:space="0" w:color="C9D11D"/>
            </w:tcBorders>
            <w:vAlign w:val="bottom"/>
          </w:tcPr>
          <w:p w:rsidR="00AC12B4" w:rsidRDefault="00AC12B4">
            <w:pPr>
              <w:rPr>
                <w:sz w:val="8"/>
                <w:szCs w:val="8"/>
              </w:rPr>
            </w:pPr>
          </w:p>
        </w:tc>
        <w:tc>
          <w:tcPr>
            <w:tcW w:w="960" w:type="dxa"/>
            <w:gridSpan w:val="2"/>
            <w:vMerge/>
            <w:vAlign w:val="bottom"/>
          </w:tcPr>
          <w:p w:rsidR="00AC12B4" w:rsidRDefault="00AC12B4">
            <w:pPr>
              <w:rPr>
                <w:sz w:val="8"/>
                <w:szCs w:val="8"/>
              </w:rPr>
            </w:pPr>
          </w:p>
        </w:tc>
        <w:tc>
          <w:tcPr>
            <w:tcW w:w="760" w:type="dxa"/>
            <w:gridSpan w:val="3"/>
            <w:vMerge/>
            <w:vAlign w:val="bottom"/>
          </w:tcPr>
          <w:p w:rsidR="00AC12B4" w:rsidRDefault="00AC12B4">
            <w:pPr>
              <w:rPr>
                <w:sz w:val="8"/>
                <w:szCs w:val="8"/>
              </w:rPr>
            </w:pPr>
          </w:p>
        </w:tc>
        <w:tc>
          <w:tcPr>
            <w:tcW w:w="980" w:type="dxa"/>
            <w:gridSpan w:val="3"/>
            <w:vMerge/>
            <w:vAlign w:val="bottom"/>
          </w:tcPr>
          <w:p w:rsidR="00AC12B4" w:rsidRDefault="00AC12B4">
            <w:pPr>
              <w:rPr>
                <w:sz w:val="8"/>
                <w:szCs w:val="8"/>
              </w:rPr>
            </w:pPr>
          </w:p>
        </w:tc>
        <w:tc>
          <w:tcPr>
            <w:tcW w:w="240" w:type="dxa"/>
            <w:vAlign w:val="bottom"/>
          </w:tcPr>
          <w:p w:rsidR="00AC12B4" w:rsidRDefault="00AC12B4">
            <w:pPr>
              <w:rPr>
                <w:sz w:val="8"/>
                <w:szCs w:val="8"/>
              </w:rPr>
            </w:pPr>
          </w:p>
        </w:tc>
        <w:tc>
          <w:tcPr>
            <w:tcW w:w="110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149"/>
        </w:trPr>
        <w:tc>
          <w:tcPr>
            <w:tcW w:w="400" w:type="dxa"/>
            <w:vMerge w:val="restart"/>
            <w:tcBorders>
              <w:left w:val="single" w:sz="8" w:space="0" w:color="C9D11D"/>
            </w:tcBorders>
            <w:vAlign w:val="bottom"/>
          </w:tcPr>
          <w:p w:rsidR="00AC12B4" w:rsidRDefault="00C27636">
            <w:pPr>
              <w:jc w:val="right"/>
              <w:rPr>
                <w:sz w:val="20"/>
                <w:szCs w:val="20"/>
              </w:rPr>
            </w:pPr>
            <w:r>
              <w:rPr>
                <w:rFonts w:ascii="Calibri" w:eastAsia="Calibri" w:hAnsi="Calibri" w:cs="Calibri"/>
                <w:sz w:val="20"/>
                <w:szCs w:val="20"/>
              </w:rPr>
              <w:t>0</w:t>
            </w:r>
          </w:p>
        </w:tc>
        <w:tc>
          <w:tcPr>
            <w:tcW w:w="140" w:type="dxa"/>
            <w:tcBorders>
              <w:right w:val="single" w:sz="8" w:space="0" w:color="868686"/>
            </w:tcBorders>
            <w:vAlign w:val="bottom"/>
          </w:tcPr>
          <w:p w:rsidR="00AC12B4" w:rsidRDefault="00AC12B4">
            <w:pPr>
              <w:rPr>
                <w:sz w:val="12"/>
                <w:szCs w:val="12"/>
              </w:rPr>
            </w:pPr>
          </w:p>
        </w:tc>
        <w:tc>
          <w:tcPr>
            <w:tcW w:w="580" w:type="dxa"/>
            <w:vAlign w:val="bottom"/>
          </w:tcPr>
          <w:p w:rsidR="00AC12B4" w:rsidRDefault="00AC12B4">
            <w:pPr>
              <w:rPr>
                <w:sz w:val="12"/>
                <w:szCs w:val="12"/>
              </w:rPr>
            </w:pPr>
          </w:p>
        </w:tc>
        <w:tc>
          <w:tcPr>
            <w:tcW w:w="22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360" w:type="dxa"/>
            <w:vAlign w:val="bottom"/>
          </w:tcPr>
          <w:p w:rsidR="00AC12B4" w:rsidRDefault="00AC12B4">
            <w:pPr>
              <w:rPr>
                <w:sz w:val="12"/>
                <w:szCs w:val="12"/>
              </w:rPr>
            </w:pPr>
          </w:p>
        </w:tc>
        <w:tc>
          <w:tcPr>
            <w:tcW w:w="5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240" w:type="dxa"/>
            <w:tcBorders>
              <w:bottom w:val="single" w:sz="8" w:space="0" w:color="3D96AE"/>
            </w:tcBorders>
            <w:vAlign w:val="bottom"/>
          </w:tcPr>
          <w:p w:rsidR="00AC12B4" w:rsidRDefault="00AC12B4">
            <w:pPr>
              <w:rPr>
                <w:sz w:val="12"/>
                <w:szCs w:val="12"/>
              </w:rPr>
            </w:pPr>
          </w:p>
        </w:tc>
        <w:tc>
          <w:tcPr>
            <w:tcW w:w="160" w:type="dxa"/>
            <w:tcBorders>
              <w:bottom w:val="single" w:sz="8" w:space="0" w:color="3D96AE"/>
            </w:tcBorders>
            <w:vAlign w:val="bottom"/>
          </w:tcPr>
          <w:p w:rsidR="00AC12B4" w:rsidRDefault="00AC12B4">
            <w:pPr>
              <w:rPr>
                <w:sz w:val="12"/>
                <w:szCs w:val="12"/>
              </w:rPr>
            </w:pPr>
          </w:p>
        </w:tc>
        <w:tc>
          <w:tcPr>
            <w:tcW w:w="1500" w:type="dxa"/>
            <w:gridSpan w:val="2"/>
            <w:vMerge w:val="restart"/>
            <w:tcBorders>
              <w:right w:val="single" w:sz="8" w:space="0" w:color="C9D11D"/>
            </w:tcBorders>
            <w:vAlign w:val="bottom"/>
          </w:tcPr>
          <w:p w:rsidR="00AC12B4" w:rsidRDefault="00C27636">
            <w:pPr>
              <w:ind w:left="40"/>
              <w:rPr>
                <w:sz w:val="20"/>
                <w:szCs w:val="20"/>
              </w:rPr>
            </w:pPr>
            <w:r>
              <w:rPr>
                <w:rFonts w:ascii="Calibri" w:eastAsia="Calibri" w:hAnsi="Calibri" w:cs="Calibri"/>
                <w:sz w:val="16"/>
                <w:szCs w:val="16"/>
              </w:rPr>
              <w:t>Autre ou inconnu</w:t>
            </w:r>
          </w:p>
        </w:tc>
        <w:tc>
          <w:tcPr>
            <w:tcW w:w="4040" w:type="dxa"/>
            <w:gridSpan w:val="10"/>
            <w:vMerge w:val="restart"/>
            <w:vAlign w:val="bottom"/>
          </w:tcPr>
          <w:p w:rsidR="00AC12B4" w:rsidRPr="00C27636" w:rsidRDefault="00C27636">
            <w:pPr>
              <w:spacing w:line="205" w:lineRule="exact"/>
              <w:ind w:left="140"/>
              <w:rPr>
                <w:sz w:val="20"/>
                <w:szCs w:val="20"/>
                <w:lang w:val="fr-BE"/>
              </w:rPr>
            </w:pPr>
            <w:r w:rsidRPr="00C27636">
              <w:rPr>
                <w:rFonts w:ascii="Calibri" w:eastAsia="Calibri" w:hAnsi="Calibri" w:cs="Calibri"/>
                <w:lang w:val="fr-BE"/>
              </w:rPr>
              <w:t>homogène. Il n’y a pas d’évolution</w:t>
            </w:r>
          </w:p>
        </w:tc>
        <w:tc>
          <w:tcPr>
            <w:tcW w:w="0" w:type="dxa"/>
            <w:vAlign w:val="bottom"/>
          </w:tcPr>
          <w:p w:rsidR="00AC12B4" w:rsidRPr="00C27636" w:rsidRDefault="00AC12B4">
            <w:pPr>
              <w:rPr>
                <w:sz w:val="1"/>
                <w:szCs w:val="1"/>
                <w:lang w:val="fr-BE"/>
              </w:rPr>
            </w:pPr>
          </w:p>
        </w:tc>
      </w:tr>
      <w:tr w:rsidR="00AC12B4" w:rsidRPr="00C27636">
        <w:trPr>
          <w:trHeight w:val="36"/>
        </w:trPr>
        <w:tc>
          <w:tcPr>
            <w:tcW w:w="400" w:type="dxa"/>
            <w:vMerge/>
            <w:tcBorders>
              <w:left w:val="single" w:sz="8" w:space="0" w:color="C9D11D"/>
            </w:tcBorders>
            <w:vAlign w:val="bottom"/>
          </w:tcPr>
          <w:p w:rsidR="00AC12B4" w:rsidRPr="00C27636" w:rsidRDefault="00AC12B4">
            <w:pPr>
              <w:rPr>
                <w:sz w:val="3"/>
                <w:szCs w:val="3"/>
                <w:lang w:val="fr-BE"/>
              </w:rPr>
            </w:pPr>
          </w:p>
        </w:tc>
        <w:tc>
          <w:tcPr>
            <w:tcW w:w="140" w:type="dxa"/>
            <w:tcBorders>
              <w:right w:val="single" w:sz="8" w:space="0" w:color="868686"/>
            </w:tcBorders>
            <w:vAlign w:val="bottom"/>
          </w:tcPr>
          <w:p w:rsidR="00AC12B4" w:rsidRPr="00C27636" w:rsidRDefault="00AC12B4">
            <w:pPr>
              <w:rPr>
                <w:sz w:val="3"/>
                <w:szCs w:val="3"/>
                <w:lang w:val="fr-BE"/>
              </w:rPr>
            </w:pPr>
          </w:p>
        </w:tc>
        <w:tc>
          <w:tcPr>
            <w:tcW w:w="580" w:type="dxa"/>
            <w:tcBorders>
              <w:bottom w:val="single" w:sz="8" w:space="0" w:color="868686"/>
            </w:tcBorders>
            <w:vAlign w:val="bottom"/>
          </w:tcPr>
          <w:p w:rsidR="00AC12B4" w:rsidRPr="00C27636" w:rsidRDefault="00AC12B4">
            <w:pPr>
              <w:rPr>
                <w:sz w:val="3"/>
                <w:szCs w:val="3"/>
                <w:lang w:val="fr-BE"/>
              </w:rPr>
            </w:pPr>
          </w:p>
        </w:tc>
        <w:tc>
          <w:tcPr>
            <w:tcW w:w="220" w:type="dxa"/>
            <w:tcBorders>
              <w:bottom w:val="single" w:sz="8" w:space="0" w:color="868686"/>
            </w:tcBorders>
            <w:vAlign w:val="bottom"/>
          </w:tcPr>
          <w:p w:rsidR="00AC12B4" w:rsidRPr="00C27636" w:rsidRDefault="00AC12B4">
            <w:pPr>
              <w:rPr>
                <w:sz w:val="3"/>
                <w:szCs w:val="3"/>
                <w:lang w:val="fr-BE"/>
              </w:rPr>
            </w:pPr>
          </w:p>
        </w:tc>
        <w:tc>
          <w:tcPr>
            <w:tcW w:w="420" w:type="dxa"/>
            <w:tcBorders>
              <w:bottom w:val="single" w:sz="8" w:space="0" w:color="868686"/>
            </w:tcBorders>
            <w:vAlign w:val="bottom"/>
          </w:tcPr>
          <w:p w:rsidR="00AC12B4" w:rsidRPr="00C27636" w:rsidRDefault="00AC12B4">
            <w:pPr>
              <w:rPr>
                <w:sz w:val="3"/>
                <w:szCs w:val="3"/>
                <w:lang w:val="fr-BE"/>
              </w:rPr>
            </w:pPr>
          </w:p>
        </w:tc>
        <w:tc>
          <w:tcPr>
            <w:tcW w:w="480" w:type="dxa"/>
            <w:tcBorders>
              <w:bottom w:val="single" w:sz="8" w:space="0" w:color="868686"/>
            </w:tcBorders>
            <w:vAlign w:val="bottom"/>
          </w:tcPr>
          <w:p w:rsidR="00AC12B4" w:rsidRPr="00C27636" w:rsidRDefault="00AC12B4">
            <w:pPr>
              <w:rPr>
                <w:sz w:val="3"/>
                <w:szCs w:val="3"/>
                <w:lang w:val="fr-BE"/>
              </w:rPr>
            </w:pPr>
          </w:p>
        </w:tc>
        <w:tc>
          <w:tcPr>
            <w:tcW w:w="160" w:type="dxa"/>
            <w:tcBorders>
              <w:bottom w:val="single" w:sz="8" w:space="0" w:color="868686"/>
            </w:tcBorders>
            <w:vAlign w:val="bottom"/>
          </w:tcPr>
          <w:p w:rsidR="00AC12B4" w:rsidRPr="00C27636" w:rsidRDefault="00AC12B4">
            <w:pPr>
              <w:rPr>
                <w:sz w:val="3"/>
                <w:szCs w:val="3"/>
                <w:lang w:val="fr-BE"/>
              </w:rPr>
            </w:pPr>
          </w:p>
        </w:tc>
        <w:tc>
          <w:tcPr>
            <w:tcW w:w="360" w:type="dxa"/>
            <w:tcBorders>
              <w:bottom w:val="single" w:sz="8" w:space="0" w:color="868686"/>
            </w:tcBorders>
            <w:vAlign w:val="bottom"/>
          </w:tcPr>
          <w:p w:rsidR="00AC12B4" w:rsidRPr="00C27636" w:rsidRDefault="00AC12B4">
            <w:pPr>
              <w:rPr>
                <w:sz w:val="3"/>
                <w:szCs w:val="3"/>
                <w:lang w:val="fr-BE"/>
              </w:rPr>
            </w:pPr>
          </w:p>
        </w:tc>
        <w:tc>
          <w:tcPr>
            <w:tcW w:w="520" w:type="dxa"/>
            <w:tcBorders>
              <w:bottom w:val="single" w:sz="8" w:space="0" w:color="868686"/>
            </w:tcBorders>
            <w:vAlign w:val="bottom"/>
          </w:tcPr>
          <w:p w:rsidR="00AC12B4" w:rsidRPr="00C27636" w:rsidRDefault="00AC12B4">
            <w:pPr>
              <w:rPr>
                <w:sz w:val="3"/>
                <w:szCs w:val="3"/>
                <w:lang w:val="fr-BE"/>
              </w:rPr>
            </w:pPr>
          </w:p>
        </w:tc>
        <w:tc>
          <w:tcPr>
            <w:tcW w:w="120" w:type="dxa"/>
            <w:tcBorders>
              <w:bottom w:val="single" w:sz="8" w:space="0" w:color="868686"/>
            </w:tcBorders>
            <w:vAlign w:val="bottom"/>
          </w:tcPr>
          <w:p w:rsidR="00AC12B4" w:rsidRPr="00C27636" w:rsidRDefault="00AC12B4">
            <w:pPr>
              <w:rPr>
                <w:sz w:val="3"/>
                <w:szCs w:val="3"/>
                <w:lang w:val="fr-BE"/>
              </w:rPr>
            </w:pPr>
          </w:p>
        </w:tc>
        <w:tc>
          <w:tcPr>
            <w:tcW w:w="300" w:type="dxa"/>
            <w:vAlign w:val="bottom"/>
          </w:tcPr>
          <w:p w:rsidR="00AC12B4" w:rsidRPr="00C27636" w:rsidRDefault="00AC12B4">
            <w:pPr>
              <w:rPr>
                <w:sz w:val="3"/>
                <w:szCs w:val="3"/>
                <w:lang w:val="fr-BE"/>
              </w:rPr>
            </w:pPr>
          </w:p>
        </w:tc>
        <w:tc>
          <w:tcPr>
            <w:tcW w:w="240" w:type="dxa"/>
            <w:vAlign w:val="bottom"/>
          </w:tcPr>
          <w:p w:rsidR="00AC12B4" w:rsidRPr="00C27636" w:rsidRDefault="00AC12B4">
            <w:pPr>
              <w:rPr>
                <w:sz w:val="3"/>
                <w:szCs w:val="3"/>
                <w:lang w:val="fr-BE"/>
              </w:rPr>
            </w:pPr>
          </w:p>
        </w:tc>
        <w:tc>
          <w:tcPr>
            <w:tcW w:w="160" w:type="dxa"/>
            <w:vAlign w:val="bottom"/>
          </w:tcPr>
          <w:p w:rsidR="00AC12B4" w:rsidRPr="00C27636" w:rsidRDefault="00AC12B4">
            <w:pPr>
              <w:rPr>
                <w:sz w:val="3"/>
                <w:szCs w:val="3"/>
                <w:lang w:val="fr-BE"/>
              </w:rPr>
            </w:pPr>
          </w:p>
        </w:tc>
        <w:tc>
          <w:tcPr>
            <w:tcW w:w="1500" w:type="dxa"/>
            <w:gridSpan w:val="2"/>
            <w:vMerge/>
            <w:tcBorders>
              <w:right w:val="single" w:sz="8" w:space="0" w:color="C9D11D"/>
            </w:tcBorders>
            <w:vAlign w:val="bottom"/>
          </w:tcPr>
          <w:p w:rsidR="00AC12B4" w:rsidRPr="00C27636" w:rsidRDefault="00AC12B4">
            <w:pPr>
              <w:rPr>
                <w:sz w:val="3"/>
                <w:szCs w:val="3"/>
                <w:lang w:val="fr-BE"/>
              </w:rPr>
            </w:pPr>
          </w:p>
        </w:tc>
        <w:tc>
          <w:tcPr>
            <w:tcW w:w="4040" w:type="dxa"/>
            <w:gridSpan w:val="10"/>
            <w:vMerge/>
            <w:vAlign w:val="bottom"/>
          </w:tcPr>
          <w:p w:rsidR="00AC12B4" w:rsidRPr="00C27636" w:rsidRDefault="00AC12B4">
            <w:pPr>
              <w:rPr>
                <w:sz w:val="3"/>
                <w:szCs w:val="3"/>
                <w:lang w:val="fr-BE"/>
              </w:rPr>
            </w:pPr>
          </w:p>
        </w:tc>
        <w:tc>
          <w:tcPr>
            <w:tcW w:w="0" w:type="dxa"/>
            <w:vAlign w:val="bottom"/>
          </w:tcPr>
          <w:p w:rsidR="00AC12B4" w:rsidRPr="00C27636" w:rsidRDefault="00AC12B4">
            <w:pPr>
              <w:rPr>
                <w:sz w:val="1"/>
                <w:szCs w:val="1"/>
                <w:lang w:val="fr-BE"/>
              </w:rPr>
            </w:pPr>
          </w:p>
        </w:tc>
      </w:tr>
      <w:tr w:rsidR="00AC12B4" w:rsidRPr="00C27636">
        <w:trPr>
          <w:trHeight w:val="95"/>
        </w:trPr>
        <w:tc>
          <w:tcPr>
            <w:tcW w:w="400" w:type="dxa"/>
            <w:vMerge/>
            <w:tcBorders>
              <w:left w:val="single" w:sz="8" w:space="0" w:color="C9D11D"/>
            </w:tcBorders>
            <w:vAlign w:val="bottom"/>
          </w:tcPr>
          <w:p w:rsidR="00AC12B4" w:rsidRPr="00C27636" w:rsidRDefault="00AC12B4">
            <w:pPr>
              <w:rPr>
                <w:sz w:val="8"/>
                <w:szCs w:val="8"/>
                <w:lang w:val="fr-BE"/>
              </w:rPr>
            </w:pPr>
          </w:p>
        </w:tc>
        <w:tc>
          <w:tcPr>
            <w:tcW w:w="140" w:type="dxa"/>
            <w:vAlign w:val="bottom"/>
          </w:tcPr>
          <w:p w:rsidR="00AC12B4" w:rsidRPr="00C27636" w:rsidRDefault="00AC12B4">
            <w:pPr>
              <w:rPr>
                <w:sz w:val="8"/>
                <w:szCs w:val="8"/>
                <w:lang w:val="fr-BE"/>
              </w:rPr>
            </w:pPr>
          </w:p>
        </w:tc>
        <w:tc>
          <w:tcPr>
            <w:tcW w:w="580" w:type="dxa"/>
            <w:vAlign w:val="bottom"/>
          </w:tcPr>
          <w:p w:rsidR="00AC12B4" w:rsidRPr="00C27636" w:rsidRDefault="00AC12B4">
            <w:pPr>
              <w:rPr>
                <w:sz w:val="8"/>
                <w:szCs w:val="8"/>
                <w:lang w:val="fr-BE"/>
              </w:rPr>
            </w:pPr>
          </w:p>
        </w:tc>
        <w:tc>
          <w:tcPr>
            <w:tcW w:w="220" w:type="dxa"/>
            <w:vAlign w:val="bottom"/>
          </w:tcPr>
          <w:p w:rsidR="00AC12B4" w:rsidRPr="00C27636" w:rsidRDefault="00AC12B4">
            <w:pPr>
              <w:rPr>
                <w:sz w:val="8"/>
                <w:szCs w:val="8"/>
                <w:lang w:val="fr-BE"/>
              </w:rPr>
            </w:pPr>
          </w:p>
        </w:tc>
        <w:tc>
          <w:tcPr>
            <w:tcW w:w="420" w:type="dxa"/>
            <w:vAlign w:val="bottom"/>
          </w:tcPr>
          <w:p w:rsidR="00AC12B4" w:rsidRPr="00C27636" w:rsidRDefault="00AC12B4">
            <w:pPr>
              <w:rPr>
                <w:sz w:val="8"/>
                <w:szCs w:val="8"/>
                <w:lang w:val="fr-BE"/>
              </w:rPr>
            </w:pPr>
          </w:p>
        </w:tc>
        <w:tc>
          <w:tcPr>
            <w:tcW w:w="480" w:type="dxa"/>
            <w:vAlign w:val="bottom"/>
          </w:tcPr>
          <w:p w:rsidR="00AC12B4" w:rsidRPr="00C27636" w:rsidRDefault="00AC12B4">
            <w:pPr>
              <w:rPr>
                <w:sz w:val="8"/>
                <w:szCs w:val="8"/>
                <w:lang w:val="fr-BE"/>
              </w:rPr>
            </w:pPr>
          </w:p>
        </w:tc>
        <w:tc>
          <w:tcPr>
            <w:tcW w:w="160" w:type="dxa"/>
            <w:vAlign w:val="bottom"/>
          </w:tcPr>
          <w:p w:rsidR="00AC12B4" w:rsidRPr="00C27636" w:rsidRDefault="00AC12B4">
            <w:pPr>
              <w:rPr>
                <w:sz w:val="8"/>
                <w:szCs w:val="8"/>
                <w:lang w:val="fr-BE"/>
              </w:rPr>
            </w:pPr>
          </w:p>
        </w:tc>
        <w:tc>
          <w:tcPr>
            <w:tcW w:w="360" w:type="dxa"/>
            <w:vAlign w:val="bottom"/>
          </w:tcPr>
          <w:p w:rsidR="00AC12B4" w:rsidRPr="00C27636" w:rsidRDefault="00AC12B4">
            <w:pPr>
              <w:rPr>
                <w:sz w:val="8"/>
                <w:szCs w:val="8"/>
                <w:lang w:val="fr-BE"/>
              </w:rPr>
            </w:pPr>
          </w:p>
        </w:tc>
        <w:tc>
          <w:tcPr>
            <w:tcW w:w="520" w:type="dxa"/>
            <w:vAlign w:val="bottom"/>
          </w:tcPr>
          <w:p w:rsidR="00AC12B4" w:rsidRPr="00C27636" w:rsidRDefault="00AC12B4">
            <w:pPr>
              <w:rPr>
                <w:sz w:val="8"/>
                <w:szCs w:val="8"/>
                <w:lang w:val="fr-BE"/>
              </w:rPr>
            </w:pPr>
          </w:p>
        </w:tc>
        <w:tc>
          <w:tcPr>
            <w:tcW w:w="120" w:type="dxa"/>
            <w:vAlign w:val="bottom"/>
          </w:tcPr>
          <w:p w:rsidR="00AC12B4" w:rsidRPr="00C27636" w:rsidRDefault="00AC12B4">
            <w:pPr>
              <w:rPr>
                <w:sz w:val="8"/>
                <w:szCs w:val="8"/>
                <w:lang w:val="fr-BE"/>
              </w:rPr>
            </w:pPr>
          </w:p>
        </w:tc>
        <w:tc>
          <w:tcPr>
            <w:tcW w:w="300" w:type="dxa"/>
            <w:vAlign w:val="bottom"/>
          </w:tcPr>
          <w:p w:rsidR="00AC12B4" w:rsidRPr="00C27636" w:rsidRDefault="00AC12B4">
            <w:pPr>
              <w:rPr>
                <w:sz w:val="8"/>
                <w:szCs w:val="8"/>
                <w:lang w:val="fr-BE"/>
              </w:rPr>
            </w:pPr>
          </w:p>
        </w:tc>
        <w:tc>
          <w:tcPr>
            <w:tcW w:w="240" w:type="dxa"/>
            <w:vAlign w:val="bottom"/>
          </w:tcPr>
          <w:p w:rsidR="00AC12B4" w:rsidRPr="00C27636" w:rsidRDefault="00AC12B4">
            <w:pPr>
              <w:rPr>
                <w:sz w:val="8"/>
                <w:szCs w:val="8"/>
                <w:lang w:val="fr-BE"/>
              </w:rPr>
            </w:pPr>
          </w:p>
        </w:tc>
        <w:tc>
          <w:tcPr>
            <w:tcW w:w="160" w:type="dxa"/>
            <w:vAlign w:val="bottom"/>
          </w:tcPr>
          <w:p w:rsidR="00AC12B4" w:rsidRPr="00C27636" w:rsidRDefault="00AC12B4">
            <w:pPr>
              <w:rPr>
                <w:sz w:val="8"/>
                <w:szCs w:val="8"/>
                <w:lang w:val="fr-BE"/>
              </w:rPr>
            </w:pPr>
          </w:p>
        </w:tc>
        <w:tc>
          <w:tcPr>
            <w:tcW w:w="900" w:type="dxa"/>
            <w:vAlign w:val="bottom"/>
          </w:tcPr>
          <w:p w:rsidR="00AC12B4" w:rsidRPr="00C27636" w:rsidRDefault="00AC12B4">
            <w:pPr>
              <w:rPr>
                <w:sz w:val="8"/>
                <w:szCs w:val="8"/>
                <w:lang w:val="fr-BE"/>
              </w:rPr>
            </w:pPr>
          </w:p>
        </w:tc>
        <w:tc>
          <w:tcPr>
            <w:tcW w:w="600" w:type="dxa"/>
            <w:tcBorders>
              <w:right w:val="single" w:sz="8" w:space="0" w:color="C9D11D"/>
            </w:tcBorders>
            <w:vAlign w:val="bottom"/>
          </w:tcPr>
          <w:p w:rsidR="00AC12B4" w:rsidRPr="00C27636" w:rsidRDefault="00AC12B4">
            <w:pPr>
              <w:rPr>
                <w:sz w:val="8"/>
                <w:szCs w:val="8"/>
                <w:lang w:val="fr-BE"/>
              </w:rPr>
            </w:pPr>
          </w:p>
        </w:tc>
        <w:tc>
          <w:tcPr>
            <w:tcW w:w="4040" w:type="dxa"/>
            <w:gridSpan w:val="10"/>
            <w:vMerge w:val="restart"/>
            <w:vAlign w:val="bottom"/>
          </w:tcPr>
          <w:p w:rsidR="00AC12B4" w:rsidRPr="00C27636" w:rsidRDefault="00C27636">
            <w:pPr>
              <w:spacing w:line="267" w:lineRule="exact"/>
              <w:ind w:left="140"/>
              <w:rPr>
                <w:sz w:val="20"/>
                <w:szCs w:val="20"/>
                <w:lang w:val="fr-BE"/>
              </w:rPr>
            </w:pPr>
            <w:r w:rsidRPr="00C27636">
              <w:rPr>
                <w:rFonts w:ascii="Calibri" w:eastAsia="Calibri" w:hAnsi="Calibri" w:cs="Calibri"/>
                <w:lang w:val="fr-BE"/>
              </w:rPr>
              <w:t>significative pour Bruxelles dont le</w:t>
            </w:r>
          </w:p>
        </w:tc>
        <w:tc>
          <w:tcPr>
            <w:tcW w:w="0" w:type="dxa"/>
            <w:vAlign w:val="bottom"/>
          </w:tcPr>
          <w:p w:rsidR="00AC12B4" w:rsidRPr="00C27636" w:rsidRDefault="00AC12B4">
            <w:pPr>
              <w:rPr>
                <w:sz w:val="1"/>
                <w:szCs w:val="1"/>
                <w:lang w:val="fr-BE"/>
              </w:rPr>
            </w:pPr>
          </w:p>
        </w:tc>
      </w:tr>
      <w:tr w:rsidR="00AC12B4">
        <w:trPr>
          <w:trHeight w:val="172"/>
        </w:trPr>
        <w:tc>
          <w:tcPr>
            <w:tcW w:w="1120" w:type="dxa"/>
            <w:gridSpan w:val="3"/>
            <w:vMerge w:val="restart"/>
            <w:tcBorders>
              <w:left w:val="single" w:sz="8" w:space="0" w:color="C9D11D"/>
            </w:tcBorders>
            <w:vAlign w:val="bottom"/>
          </w:tcPr>
          <w:p w:rsidR="00AC12B4" w:rsidRDefault="00C27636">
            <w:pPr>
              <w:jc w:val="right"/>
              <w:rPr>
                <w:sz w:val="20"/>
                <w:szCs w:val="20"/>
              </w:rPr>
            </w:pPr>
            <w:r>
              <w:rPr>
                <w:rFonts w:ascii="Calibri" w:eastAsia="Calibri" w:hAnsi="Calibri" w:cs="Calibri"/>
                <w:sz w:val="20"/>
                <w:szCs w:val="20"/>
              </w:rPr>
              <w:t>1997</w:t>
            </w:r>
          </w:p>
        </w:tc>
        <w:tc>
          <w:tcPr>
            <w:tcW w:w="640" w:type="dxa"/>
            <w:gridSpan w:val="2"/>
            <w:vMerge w:val="restart"/>
            <w:vAlign w:val="bottom"/>
          </w:tcPr>
          <w:p w:rsidR="00AC12B4" w:rsidRDefault="00C27636">
            <w:pPr>
              <w:ind w:left="60"/>
              <w:rPr>
                <w:sz w:val="20"/>
                <w:szCs w:val="20"/>
              </w:rPr>
            </w:pPr>
            <w:r>
              <w:rPr>
                <w:rFonts w:ascii="Calibri" w:eastAsia="Calibri" w:hAnsi="Calibri" w:cs="Calibri"/>
                <w:sz w:val="20"/>
                <w:szCs w:val="20"/>
              </w:rPr>
              <w:t>2001</w:t>
            </w:r>
          </w:p>
        </w:tc>
        <w:tc>
          <w:tcPr>
            <w:tcW w:w="480" w:type="dxa"/>
            <w:vMerge w:val="restart"/>
            <w:vAlign w:val="bottom"/>
          </w:tcPr>
          <w:p w:rsidR="00AC12B4" w:rsidRDefault="00C27636">
            <w:pPr>
              <w:jc w:val="right"/>
              <w:rPr>
                <w:sz w:val="20"/>
                <w:szCs w:val="20"/>
              </w:rPr>
            </w:pPr>
            <w:r>
              <w:rPr>
                <w:rFonts w:ascii="Calibri" w:eastAsia="Calibri" w:hAnsi="Calibri" w:cs="Calibri"/>
                <w:w w:val="93"/>
                <w:sz w:val="20"/>
                <w:szCs w:val="20"/>
              </w:rPr>
              <w:t>2004</w:t>
            </w:r>
          </w:p>
        </w:tc>
        <w:tc>
          <w:tcPr>
            <w:tcW w:w="520" w:type="dxa"/>
            <w:gridSpan w:val="2"/>
            <w:vMerge w:val="restart"/>
            <w:vAlign w:val="bottom"/>
          </w:tcPr>
          <w:p w:rsidR="00AC12B4" w:rsidRDefault="00C27636">
            <w:pPr>
              <w:jc w:val="right"/>
              <w:rPr>
                <w:sz w:val="20"/>
                <w:szCs w:val="20"/>
              </w:rPr>
            </w:pPr>
            <w:r>
              <w:rPr>
                <w:rFonts w:ascii="Calibri" w:eastAsia="Calibri" w:hAnsi="Calibri" w:cs="Calibri"/>
                <w:sz w:val="20"/>
                <w:szCs w:val="20"/>
              </w:rPr>
              <w:t>2008</w:t>
            </w:r>
          </w:p>
        </w:tc>
        <w:tc>
          <w:tcPr>
            <w:tcW w:w="640" w:type="dxa"/>
            <w:gridSpan w:val="2"/>
            <w:vMerge w:val="restart"/>
            <w:vAlign w:val="bottom"/>
          </w:tcPr>
          <w:p w:rsidR="00AC12B4" w:rsidRDefault="00C27636">
            <w:pPr>
              <w:ind w:right="80"/>
              <w:jc w:val="right"/>
              <w:rPr>
                <w:sz w:val="20"/>
                <w:szCs w:val="20"/>
              </w:rPr>
            </w:pPr>
            <w:r>
              <w:rPr>
                <w:rFonts w:ascii="Calibri" w:eastAsia="Calibri" w:hAnsi="Calibri" w:cs="Calibri"/>
                <w:sz w:val="20"/>
                <w:szCs w:val="20"/>
              </w:rPr>
              <w:t>2013</w:t>
            </w:r>
          </w:p>
        </w:tc>
        <w:tc>
          <w:tcPr>
            <w:tcW w:w="300" w:type="dxa"/>
            <w:vAlign w:val="bottom"/>
          </w:tcPr>
          <w:p w:rsidR="00AC12B4" w:rsidRDefault="00AC12B4">
            <w:pPr>
              <w:rPr>
                <w:sz w:val="14"/>
                <w:szCs w:val="14"/>
              </w:rPr>
            </w:pPr>
          </w:p>
        </w:tc>
        <w:tc>
          <w:tcPr>
            <w:tcW w:w="240" w:type="dxa"/>
            <w:vAlign w:val="bottom"/>
          </w:tcPr>
          <w:p w:rsidR="00AC12B4" w:rsidRDefault="00AC12B4">
            <w:pPr>
              <w:rPr>
                <w:sz w:val="14"/>
                <w:szCs w:val="14"/>
              </w:rPr>
            </w:pPr>
          </w:p>
        </w:tc>
        <w:tc>
          <w:tcPr>
            <w:tcW w:w="160" w:type="dxa"/>
            <w:vAlign w:val="bottom"/>
          </w:tcPr>
          <w:p w:rsidR="00AC12B4" w:rsidRDefault="00AC12B4">
            <w:pPr>
              <w:rPr>
                <w:sz w:val="14"/>
                <w:szCs w:val="14"/>
              </w:rPr>
            </w:pPr>
          </w:p>
        </w:tc>
        <w:tc>
          <w:tcPr>
            <w:tcW w:w="900" w:type="dxa"/>
            <w:vAlign w:val="bottom"/>
          </w:tcPr>
          <w:p w:rsidR="00AC12B4" w:rsidRDefault="00AC12B4">
            <w:pPr>
              <w:rPr>
                <w:sz w:val="14"/>
                <w:szCs w:val="14"/>
              </w:rPr>
            </w:pPr>
          </w:p>
        </w:tc>
        <w:tc>
          <w:tcPr>
            <w:tcW w:w="600" w:type="dxa"/>
            <w:tcBorders>
              <w:right w:val="single" w:sz="8" w:space="0" w:color="C9D11D"/>
            </w:tcBorders>
            <w:vAlign w:val="bottom"/>
          </w:tcPr>
          <w:p w:rsidR="00AC12B4" w:rsidRDefault="00AC12B4">
            <w:pPr>
              <w:rPr>
                <w:sz w:val="14"/>
                <w:szCs w:val="14"/>
              </w:rPr>
            </w:pPr>
          </w:p>
        </w:tc>
        <w:tc>
          <w:tcPr>
            <w:tcW w:w="4040" w:type="dxa"/>
            <w:gridSpan w:val="10"/>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88"/>
        </w:trPr>
        <w:tc>
          <w:tcPr>
            <w:tcW w:w="1120" w:type="dxa"/>
            <w:gridSpan w:val="3"/>
            <w:vMerge/>
            <w:tcBorders>
              <w:left w:val="single" w:sz="8" w:space="0" w:color="C9D11D"/>
            </w:tcBorders>
            <w:vAlign w:val="bottom"/>
          </w:tcPr>
          <w:p w:rsidR="00AC12B4" w:rsidRDefault="00AC12B4">
            <w:pPr>
              <w:rPr>
                <w:sz w:val="7"/>
                <w:szCs w:val="7"/>
              </w:rPr>
            </w:pPr>
          </w:p>
        </w:tc>
        <w:tc>
          <w:tcPr>
            <w:tcW w:w="640" w:type="dxa"/>
            <w:gridSpan w:val="2"/>
            <w:vMerge/>
            <w:vAlign w:val="bottom"/>
          </w:tcPr>
          <w:p w:rsidR="00AC12B4" w:rsidRDefault="00AC12B4">
            <w:pPr>
              <w:rPr>
                <w:sz w:val="7"/>
                <w:szCs w:val="7"/>
              </w:rPr>
            </w:pPr>
          </w:p>
        </w:tc>
        <w:tc>
          <w:tcPr>
            <w:tcW w:w="480" w:type="dxa"/>
            <w:vMerge/>
            <w:vAlign w:val="bottom"/>
          </w:tcPr>
          <w:p w:rsidR="00AC12B4" w:rsidRDefault="00AC12B4">
            <w:pPr>
              <w:rPr>
                <w:sz w:val="7"/>
                <w:szCs w:val="7"/>
              </w:rPr>
            </w:pPr>
          </w:p>
        </w:tc>
        <w:tc>
          <w:tcPr>
            <w:tcW w:w="520" w:type="dxa"/>
            <w:gridSpan w:val="2"/>
            <w:vMerge/>
            <w:vAlign w:val="bottom"/>
          </w:tcPr>
          <w:p w:rsidR="00AC12B4" w:rsidRDefault="00AC12B4">
            <w:pPr>
              <w:rPr>
                <w:sz w:val="7"/>
                <w:szCs w:val="7"/>
              </w:rPr>
            </w:pPr>
          </w:p>
        </w:tc>
        <w:tc>
          <w:tcPr>
            <w:tcW w:w="640" w:type="dxa"/>
            <w:gridSpan w:val="2"/>
            <w:vMerge/>
            <w:vAlign w:val="bottom"/>
          </w:tcPr>
          <w:p w:rsidR="00AC12B4" w:rsidRDefault="00AC12B4">
            <w:pPr>
              <w:rPr>
                <w:sz w:val="7"/>
                <w:szCs w:val="7"/>
              </w:rPr>
            </w:pPr>
          </w:p>
        </w:tc>
        <w:tc>
          <w:tcPr>
            <w:tcW w:w="3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160" w:type="dxa"/>
            <w:vAlign w:val="bottom"/>
          </w:tcPr>
          <w:p w:rsidR="00AC12B4" w:rsidRDefault="00AC12B4">
            <w:pPr>
              <w:rPr>
                <w:sz w:val="7"/>
                <w:szCs w:val="7"/>
              </w:rPr>
            </w:pPr>
          </w:p>
        </w:tc>
        <w:tc>
          <w:tcPr>
            <w:tcW w:w="900" w:type="dxa"/>
            <w:vAlign w:val="bottom"/>
          </w:tcPr>
          <w:p w:rsidR="00AC12B4" w:rsidRDefault="00AC12B4">
            <w:pPr>
              <w:rPr>
                <w:sz w:val="7"/>
                <w:szCs w:val="7"/>
              </w:rPr>
            </w:pPr>
          </w:p>
        </w:tc>
        <w:tc>
          <w:tcPr>
            <w:tcW w:w="600" w:type="dxa"/>
            <w:tcBorders>
              <w:right w:val="single" w:sz="8" w:space="0" w:color="C9D11D"/>
            </w:tcBorders>
            <w:vAlign w:val="bottom"/>
          </w:tcPr>
          <w:p w:rsidR="00AC12B4" w:rsidRDefault="00AC12B4">
            <w:pPr>
              <w:rPr>
                <w:sz w:val="7"/>
                <w:szCs w:val="7"/>
              </w:rPr>
            </w:pPr>
          </w:p>
        </w:tc>
        <w:tc>
          <w:tcPr>
            <w:tcW w:w="1300" w:type="dxa"/>
            <w:gridSpan w:val="4"/>
            <w:vMerge w:val="restart"/>
            <w:vAlign w:val="bottom"/>
          </w:tcPr>
          <w:p w:rsidR="00AC12B4" w:rsidRDefault="00C27636">
            <w:pPr>
              <w:spacing w:line="223" w:lineRule="exact"/>
              <w:ind w:left="140"/>
              <w:rPr>
                <w:sz w:val="20"/>
                <w:szCs w:val="20"/>
              </w:rPr>
            </w:pPr>
            <w:r>
              <w:rPr>
                <w:rFonts w:ascii="Calibri" w:eastAsia="Calibri" w:hAnsi="Calibri" w:cs="Calibri"/>
              </w:rPr>
              <w:t>pourcentage</w:t>
            </w:r>
          </w:p>
        </w:tc>
        <w:tc>
          <w:tcPr>
            <w:tcW w:w="420" w:type="dxa"/>
            <w:vMerge w:val="restart"/>
            <w:vAlign w:val="bottom"/>
          </w:tcPr>
          <w:p w:rsidR="00AC12B4" w:rsidRDefault="00C27636">
            <w:pPr>
              <w:spacing w:line="223" w:lineRule="exact"/>
              <w:ind w:left="100"/>
              <w:rPr>
                <w:sz w:val="20"/>
                <w:szCs w:val="20"/>
              </w:rPr>
            </w:pPr>
            <w:r>
              <w:rPr>
                <w:rFonts w:ascii="Calibri" w:eastAsia="Calibri" w:hAnsi="Calibri" w:cs="Calibri"/>
                <w:w w:val="96"/>
              </w:rPr>
              <w:t>des</w:t>
            </w:r>
          </w:p>
        </w:tc>
        <w:tc>
          <w:tcPr>
            <w:tcW w:w="980" w:type="dxa"/>
            <w:gridSpan w:val="3"/>
            <w:vMerge w:val="restart"/>
            <w:vAlign w:val="bottom"/>
          </w:tcPr>
          <w:p w:rsidR="00AC12B4" w:rsidRDefault="00C27636">
            <w:pPr>
              <w:spacing w:line="223" w:lineRule="exact"/>
              <w:jc w:val="center"/>
              <w:rPr>
                <w:sz w:val="20"/>
                <w:szCs w:val="20"/>
              </w:rPr>
            </w:pPr>
            <w:r>
              <w:rPr>
                <w:rFonts w:ascii="Calibri" w:eastAsia="Calibri" w:hAnsi="Calibri" w:cs="Calibri"/>
                <w:w w:val="99"/>
              </w:rPr>
              <w:t>ménages</w:t>
            </w:r>
          </w:p>
        </w:tc>
        <w:tc>
          <w:tcPr>
            <w:tcW w:w="1340" w:type="dxa"/>
            <w:gridSpan w:val="2"/>
            <w:vMerge w:val="restart"/>
            <w:vAlign w:val="bottom"/>
          </w:tcPr>
          <w:p w:rsidR="00AC12B4" w:rsidRDefault="00C27636">
            <w:pPr>
              <w:spacing w:line="223" w:lineRule="exact"/>
              <w:ind w:right="670"/>
              <w:jc w:val="right"/>
              <w:rPr>
                <w:sz w:val="20"/>
                <w:szCs w:val="20"/>
              </w:rPr>
            </w:pPr>
            <w:r>
              <w:rPr>
                <w:rFonts w:ascii="Calibri" w:eastAsia="Calibri" w:hAnsi="Calibri" w:cs="Calibri"/>
              </w:rPr>
              <w:t>ayan</w:t>
            </w:r>
            <w:r>
              <w:rPr>
                <w:rFonts w:ascii="Calibri" w:eastAsia="Calibri" w:hAnsi="Calibri" w:cs="Calibri"/>
              </w:rPr>
              <w:lastRenderedPageBreak/>
              <w:t>t</w:t>
            </w:r>
          </w:p>
        </w:tc>
        <w:tc>
          <w:tcPr>
            <w:tcW w:w="0" w:type="dxa"/>
            <w:vAlign w:val="bottom"/>
          </w:tcPr>
          <w:p w:rsidR="00AC12B4" w:rsidRDefault="00AC12B4">
            <w:pPr>
              <w:rPr>
                <w:sz w:val="1"/>
                <w:szCs w:val="1"/>
              </w:rPr>
            </w:pPr>
          </w:p>
        </w:tc>
      </w:tr>
      <w:tr w:rsidR="00AC12B4">
        <w:trPr>
          <w:trHeight w:val="135"/>
        </w:trPr>
        <w:tc>
          <w:tcPr>
            <w:tcW w:w="400" w:type="dxa"/>
            <w:tcBorders>
              <w:left w:val="single" w:sz="8" w:space="0" w:color="C9D11D"/>
              <w:bottom w:val="single" w:sz="8" w:space="0" w:color="C9D11D"/>
            </w:tcBorders>
            <w:vAlign w:val="bottom"/>
          </w:tcPr>
          <w:p w:rsidR="00AC12B4" w:rsidRDefault="00AC12B4">
            <w:pPr>
              <w:rPr>
                <w:sz w:val="11"/>
                <w:szCs w:val="11"/>
              </w:rPr>
            </w:pPr>
          </w:p>
        </w:tc>
        <w:tc>
          <w:tcPr>
            <w:tcW w:w="140" w:type="dxa"/>
            <w:tcBorders>
              <w:bottom w:val="single" w:sz="8" w:space="0" w:color="C9D11D"/>
            </w:tcBorders>
            <w:vAlign w:val="bottom"/>
          </w:tcPr>
          <w:p w:rsidR="00AC12B4" w:rsidRDefault="00AC12B4">
            <w:pPr>
              <w:rPr>
                <w:sz w:val="11"/>
                <w:szCs w:val="11"/>
              </w:rPr>
            </w:pPr>
          </w:p>
        </w:tc>
        <w:tc>
          <w:tcPr>
            <w:tcW w:w="580" w:type="dxa"/>
            <w:tcBorders>
              <w:bottom w:val="single" w:sz="8" w:space="0" w:color="C9D11D"/>
            </w:tcBorders>
            <w:vAlign w:val="bottom"/>
          </w:tcPr>
          <w:p w:rsidR="00AC12B4" w:rsidRDefault="00AC12B4">
            <w:pPr>
              <w:rPr>
                <w:sz w:val="11"/>
                <w:szCs w:val="11"/>
              </w:rPr>
            </w:pPr>
          </w:p>
        </w:tc>
        <w:tc>
          <w:tcPr>
            <w:tcW w:w="220" w:type="dxa"/>
            <w:tcBorders>
              <w:bottom w:val="single" w:sz="8" w:space="0" w:color="C9D11D"/>
            </w:tcBorders>
            <w:vAlign w:val="bottom"/>
          </w:tcPr>
          <w:p w:rsidR="00AC12B4" w:rsidRDefault="00AC12B4">
            <w:pPr>
              <w:rPr>
                <w:sz w:val="11"/>
                <w:szCs w:val="11"/>
              </w:rPr>
            </w:pPr>
          </w:p>
        </w:tc>
        <w:tc>
          <w:tcPr>
            <w:tcW w:w="420" w:type="dxa"/>
            <w:tcBorders>
              <w:bottom w:val="single" w:sz="8" w:space="0" w:color="C9D11D"/>
            </w:tcBorders>
            <w:vAlign w:val="bottom"/>
          </w:tcPr>
          <w:p w:rsidR="00AC12B4" w:rsidRDefault="00AC12B4">
            <w:pPr>
              <w:rPr>
                <w:sz w:val="11"/>
                <w:szCs w:val="11"/>
              </w:rPr>
            </w:pPr>
          </w:p>
        </w:tc>
        <w:tc>
          <w:tcPr>
            <w:tcW w:w="480" w:type="dxa"/>
            <w:tcBorders>
              <w:bottom w:val="single" w:sz="8" w:space="0" w:color="C9D11D"/>
            </w:tcBorders>
            <w:vAlign w:val="bottom"/>
          </w:tcPr>
          <w:p w:rsidR="00AC12B4" w:rsidRDefault="00AC12B4">
            <w:pPr>
              <w:rPr>
                <w:sz w:val="11"/>
                <w:szCs w:val="11"/>
              </w:rPr>
            </w:pPr>
          </w:p>
        </w:tc>
        <w:tc>
          <w:tcPr>
            <w:tcW w:w="160" w:type="dxa"/>
            <w:tcBorders>
              <w:bottom w:val="single" w:sz="8" w:space="0" w:color="C9D11D"/>
            </w:tcBorders>
            <w:vAlign w:val="bottom"/>
          </w:tcPr>
          <w:p w:rsidR="00AC12B4" w:rsidRDefault="00AC12B4">
            <w:pPr>
              <w:rPr>
                <w:sz w:val="11"/>
                <w:szCs w:val="11"/>
              </w:rPr>
            </w:pPr>
          </w:p>
        </w:tc>
        <w:tc>
          <w:tcPr>
            <w:tcW w:w="360" w:type="dxa"/>
            <w:tcBorders>
              <w:bottom w:val="single" w:sz="8" w:space="0" w:color="C9D11D"/>
            </w:tcBorders>
            <w:vAlign w:val="bottom"/>
          </w:tcPr>
          <w:p w:rsidR="00AC12B4" w:rsidRDefault="00AC12B4">
            <w:pPr>
              <w:rPr>
                <w:sz w:val="11"/>
                <w:szCs w:val="11"/>
              </w:rPr>
            </w:pPr>
          </w:p>
        </w:tc>
        <w:tc>
          <w:tcPr>
            <w:tcW w:w="520" w:type="dxa"/>
            <w:tcBorders>
              <w:bottom w:val="single" w:sz="8" w:space="0" w:color="C9D11D"/>
            </w:tcBorders>
            <w:vAlign w:val="bottom"/>
          </w:tcPr>
          <w:p w:rsidR="00AC12B4" w:rsidRDefault="00AC12B4">
            <w:pPr>
              <w:rPr>
                <w:sz w:val="11"/>
                <w:szCs w:val="11"/>
              </w:rPr>
            </w:pPr>
          </w:p>
        </w:tc>
        <w:tc>
          <w:tcPr>
            <w:tcW w:w="120" w:type="dxa"/>
            <w:tcBorders>
              <w:bottom w:val="single" w:sz="8" w:space="0" w:color="C9D11D"/>
            </w:tcBorders>
            <w:vAlign w:val="bottom"/>
          </w:tcPr>
          <w:p w:rsidR="00AC12B4" w:rsidRDefault="00AC12B4">
            <w:pPr>
              <w:rPr>
                <w:sz w:val="11"/>
                <w:szCs w:val="11"/>
              </w:rPr>
            </w:pPr>
          </w:p>
        </w:tc>
        <w:tc>
          <w:tcPr>
            <w:tcW w:w="300" w:type="dxa"/>
            <w:tcBorders>
              <w:bottom w:val="single" w:sz="8" w:space="0" w:color="C9D11D"/>
            </w:tcBorders>
            <w:vAlign w:val="bottom"/>
          </w:tcPr>
          <w:p w:rsidR="00AC12B4" w:rsidRDefault="00AC12B4">
            <w:pPr>
              <w:rPr>
                <w:sz w:val="11"/>
                <w:szCs w:val="11"/>
              </w:rPr>
            </w:pPr>
          </w:p>
        </w:tc>
        <w:tc>
          <w:tcPr>
            <w:tcW w:w="240" w:type="dxa"/>
            <w:tcBorders>
              <w:bottom w:val="single" w:sz="8" w:space="0" w:color="C9D11D"/>
            </w:tcBorders>
            <w:vAlign w:val="bottom"/>
          </w:tcPr>
          <w:p w:rsidR="00AC12B4" w:rsidRDefault="00AC12B4">
            <w:pPr>
              <w:rPr>
                <w:sz w:val="11"/>
                <w:szCs w:val="11"/>
              </w:rPr>
            </w:pPr>
          </w:p>
        </w:tc>
        <w:tc>
          <w:tcPr>
            <w:tcW w:w="160" w:type="dxa"/>
            <w:tcBorders>
              <w:bottom w:val="single" w:sz="8" w:space="0" w:color="C9D11D"/>
            </w:tcBorders>
            <w:vAlign w:val="bottom"/>
          </w:tcPr>
          <w:p w:rsidR="00AC12B4" w:rsidRDefault="00AC12B4">
            <w:pPr>
              <w:rPr>
                <w:sz w:val="11"/>
                <w:szCs w:val="11"/>
              </w:rPr>
            </w:pPr>
          </w:p>
        </w:tc>
        <w:tc>
          <w:tcPr>
            <w:tcW w:w="900" w:type="dxa"/>
            <w:tcBorders>
              <w:bottom w:val="single" w:sz="8" w:space="0" w:color="C9D11D"/>
            </w:tcBorders>
            <w:vAlign w:val="bottom"/>
          </w:tcPr>
          <w:p w:rsidR="00AC12B4" w:rsidRDefault="00AC12B4">
            <w:pPr>
              <w:rPr>
                <w:sz w:val="11"/>
                <w:szCs w:val="11"/>
              </w:rPr>
            </w:pPr>
          </w:p>
        </w:tc>
        <w:tc>
          <w:tcPr>
            <w:tcW w:w="600" w:type="dxa"/>
            <w:tcBorders>
              <w:bottom w:val="single" w:sz="8" w:space="0" w:color="C9D11D"/>
              <w:right w:val="single" w:sz="8" w:space="0" w:color="C9D11D"/>
            </w:tcBorders>
            <w:vAlign w:val="bottom"/>
          </w:tcPr>
          <w:p w:rsidR="00AC12B4" w:rsidRDefault="00AC12B4">
            <w:pPr>
              <w:rPr>
                <w:sz w:val="11"/>
                <w:szCs w:val="11"/>
              </w:rPr>
            </w:pPr>
          </w:p>
        </w:tc>
        <w:tc>
          <w:tcPr>
            <w:tcW w:w="1300" w:type="dxa"/>
            <w:gridSpan w:val="4"/>
            <w:vMerge/>
            <w:vAlign w:val="bottom"/>
          </w:tcPr>
          <w:p w:rsidR="00AC12B4" w:rsidRDefault="00AC12B4">
            <w:pPr>
              <w:rPr>
                <w:sz w:val="11"/>
                <w:szCs w:val="11"/>
              </w:rPr>
            </w:pPr>
          </w:p>
        </w:tc>
        <w:tc>
          <w:tcPr>
            <w:tcW w:w="420" w:type="dxa"/>
            <w:vMerge/>
            <w:vAlign w:val="bottom"/>
          </w:tcPr>
          <w:p w:rsidR="00AC12B4" w:rsidRDefault="00AC12B4">
            <w:pPr>
              <w:rPr>
                <w:sz w:val="11"/>
                <w:szCs w:val="11"/>
              </w:rPr>
            </w:pPr>
          </w:p>
        </w:tc>
        <w:tc>
          <w:tcPr>
            <w:tcW w:w="980" w:type="dxa"/>
            <w:gridSpan w:val="3"/>
            <w:vMerge/>
            <w:vAlign w:val="bottom"/>
          </w:tcPr>
          <w:p w:rsidR="00AC12B4" w:rsidRDefault="00AC12B4">
            <w:pPr>
              <w:rPr>
                <w:sz w:val="11"/>
                <w:szCs w:val="11"/>
              </w:rPr>
            </w:pPr>
          </w:p>
        </w:tc>
        <w:tc>
          <w:tcPr>
            <w:tcW w:w="1340" w:type="dxa"/>
            <w:gridSpan w:val="2"/>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294"/>
        </w:trPr>
        <w:tc>
          <w:tcPr>
            <w:tcW w:w="1340" w:type="dxa"/>
            <w:gridSpan w:val="4"/>
            <w:vAlign w:val="bottom"/>
          </w:tcPr>
          <w:p w:rsidR="00AC12B4" w:rsidRDefault="00C27636">
            <w:pPr>
              <w:ind w:left="20"/>
              <w:rPr>
                <w:sz w:val="20"/>
                <w:szCs w:val="20"/>
              </w:rPr>
            </w:pPr>
            <w:r>
              <w:rPr>
                <w:rFonts w:ascii="Calibri" w:eastAsia="Calibri" w:hAnsi="Calibri" w:cs="Calibri"/>
                <w:b/>
                <w:bCs/>
                <w:color w:val="4F81BD"/>
                <w:w w:val="97"/>
                <w:sz w:val="18"/>
                <w:szCs w:val="18"/>
              </w:rPr>
              <w:lastRenderedPageBreak/>
              <w:t>Figure 1. HIS 2013</w:t>
            </w:r>
          </w:p>
        </w:tc>
        <w:tc>
          <w:tcPr>
            <w:tcW w:w="4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900" w:type="dxa"/>
            <w:vAlign w:val="bottom"/>
          </w:tcPr>
          <w:p w:rsidR="00AC12B4" w:rsidRDefault="00AC12B4">
            <w:pPr>
              <w:rPr>
                <w:sz w:val="24"/>
                <w:szCs w:val="24"/>
              </w:rPr>
            </w:pPr>
          </w:p>
        </w:tc>
        <w:tc>
          <w:tcPr>
            <w:tcW w:w="600" w:type="dxa"/>
            <w:vAlign w:val="bottom"/>
          </w:tcPr>
          <w:p w:rsidR="00AC12B4" w:rsidRDefault="00AC12B4">
            <w:pPr>
              <w:rPr>
                <w:sz w:val="24"/>
                <w:szCs w:val="24"/>
              </w:rPr>
            </w:pPr>
          </w:p>
        </w:tc>
        <w:tc>
          <w:tcPr>
            <w:tcW w:w="4040" w:type="dxa"/>
            <w:gridSpan w:val="10"/>
            <w:vAlign w:val="bottom"/>
          </w:tcPr>
          <w:p w:rsidR="00AC12B4" w:rsidRPr="00C27636" w:rsidRDefault="00C27636">
            <w:pPr>
              <w:ind w:left="140"/>
              <w:rPr>
                <w:sz w:val="20"/>
                <w:szCs w:val="20"/>
                <w:lang w:val="fr-BE"/>
              </w:rPr>
            </w:pPr>
            <w:r w:rsidRPr="00C27636">
              <w:rPr>
                <w:rFonts w:ascii="Calibri" w:eastAsia="Calibri" w:hAnsi="Calibri" w:cs="Calibri"/>
                <w:lang w:val="fr-BE"/>
              </w:rPr>
              <w:t>dû postposer des soins de santé</w:t>
            </w:r>
          </w:p>
        </w:tc>
        <w:tc>
          <w:tcPr>
            <w:tcW w:w="0" w:type="dxa"/>
            <w:vAlign w:val="bottom"/>
          </w:tcPr>
          <w:p w:rsidR="00AC12B4" w:rsidRPr="00C27636" w:rsidRDefault="00AC12B4">
            <w:pPr>
              <w:rPr>
                <w:sz w:val="1"/>
                <w:szCs w:val="1"/>
                <w:lang w:val="fr-BE"/>
              </w:rPr>
            </w:pPr>
          </w:p>
        </w:tc>
      </w:tr>
      <w:tr w:rsidR="00AC12B4">
        <w:trPr>
          <w:trHeight w:val="306"/>
        </w:trPr>
        <w:tc>
          <w:tcPr>
            <w:tcW w:w="400" w:type="dxa"/>
            <w:vAlign w:val="bottom"/>
          </w:tcPr>
          <w:p w:rsidR="00AC12B4" w:rsidRPr="00C27636" w:rsidRDefault="00AC12B4">
            <w:pPr>
              <w:rPr>
                <w:sz w:val="24"/>
                <w:szCs w:val="24"/>
                <w:lang w:val="fr-BE"/>
              </w:rPr>
            </w:pPr>
          </w:p>
        </w:tc>
        <w:tc>
          <w:tcPr>
            <w:tcW w:w="140" w:type="dxa"/>
            <w:tcBorders>
              <w:bottom w:val="single" w:sz="8" w:space="0" w:color="auto"/>
            </w:tcBorders>
            <w:vAlign w:val="bottom"/>
          </w:tcPr>
          <w:p w:rsidR="00AC12B4" w:rsidRPr="00C27636" w:rsidRDefault="00AC12B4">
            <w:pPr>
              <w:rPr>
                <w:sz w:val="24"/>
                <w:szCs w:val="24"/>
                <w:lang w:val="fr-BE"/>
              </w:rPr>
            </w:pPr>
          </w:p>
        </w:tc>
        <w:tc>
          <w:tcPr>
            <w:tcW w:w="580" w:type="dxa"/>
            <w:tcBorders>
              <w:bottom w:val="single" w:sz="8" w:space="0" w:color="auto"/>
            </w:tcBorders>
            <w:vAlign w:val="bottom"/>
          </w:tcPr>
          <w:p w:rsidR="00AC12B4" w:rsidRPr="00C27636" w:rsidRDefault="00AC12B4">
            <w:pPr>
              <w:rPr>
                <w:sz w:val="24"/>
                <w:szCs w:val="24"/>
                <w:lang w:val="fr-BE"/>
              </w:rPr>
            </w:pPr>
          </w:p>
        </w:tc>
        <w:tc>
          <w:tcPr>
            <w:tcW w:w="220" w:type="dxa"/>
            <w:tcBorders>
              <w:bottom w:val="single" w:sz="8" w:space="0" w:color="auto"/>
            </w:tcBorders>
            <w:vAlign w:val="bottom"/>
          </w:tcPr>
          <w:p w:rsidR="00AC12B4" w:rsidRPr="00C27636" w:rsidRDefault="00AC12B4">
            <w:pPr>
              <w:rPr>
                <w:sz w:val="24"/>
                <w:szCs w:val="24"/>
                <w:lang w:val="fr-BE"/>
              </w:rPr>
            </w:pPr>
          </w:p>
        </w:tc>
        <w:tc>
          <w:tcPr>
            <w:tcW w:w="420" w:type="dxa"/>
            <w:tcBorders>
              <w:bottom w:val="single" w:sz="8" w:space="0" w:color="auto"/>
            </w:tcBorders>
            <w:vAlign w:val="bottom"/>
          </w:tcPr>
          <w:p w:rsidR="00AC12B4" w:rsidRPr="00C27636" w:rsidRDefault="00AC12B4">
            <w:pPr>
              <w:rPr>
                <w:sz w:val="24"/>
                <w:szCs w:val="24"/>
                <w:lang w:val="fr-BE"/>
              </w:rPr>
            </w:pPr>
          </w:p>
        </w:tc>
        <w:tc>
          <w:tcPr>
            <w:tcW w:w="480" w:type="dxa"/>
            <w:tcBorders>
              <w:bottom w:val="single" w:sz="8" w:space="0" w:color="auto"/>
            </w:tcBorders>
            <w:vAlign w:val="bottom"/>
          </w:tcPr>
          <w:p w:rsidR="00AC12B4" w:rsidRPr="00C27636" w:rsidRDefault="00AC12B4">
            <w:pPr>
              <w:rPr>
                <w:sz w:val="24"/>
                <w:szCs w:val="24"/>
                <w:lang w:val="fr-BE"/>
              </w:rPr>
            </w:pPr>
          </w:p>
        </w:tc>
        <w:tc>
          <w:tcPr>
            <w:tcW w:w="160" w:type="dxa"/>
            <w:tcBorders>
              <w:bottom w:val="single" w:sz="8" w:space="0" w:color="auto"/>
            </w:tcBorders>
            <w:vAlign w:val="bottom"/>
          </w:tcPr>
          <w:p w:rsidR="00AC12B4" w:rsidRPr="00C27636" w:rsidRDefault="00AC12B4">
            <w:pPr>
              <w:rPr>
                <w:sz w:val="24"/>
                <w:szCs w:val="24"/>
                <w:lang w:val="fr-BE"/>
              </w:rPr>
            </w:pPr>
          </w:p>
        </w:tc>
        <w:tc>
          <w:tcPr>
            <w:tcW w:w="360" w:type="dxa"/>
            <w:tcBorders>
              <w:bottom w:val="single" w:sz="8" w:space="0" w:color="auto"/>
            </w:tcBorders>
            <w:vAlign w:val="bottom"/>
          </w:tcPr>
          <w:p w:rsidR="00AC12B4" w:rsidRPr="00C27636" w:rsidRDefault="00AC12B4">
            <w:pPr>
              <w:rPr>
                <w:sz w:val="24"/>
                <w:szCs w:val="24"/>
                <w:lang w:val="fr-BE"/>
              </w:rPr>
            </w:pPr>
          </w:p>
        </w:tc>
        <w:tc>
          <w:tcPr>
            <w:tcW w:w="520" w:type="dxa"/>
            <w:tcBorders>
              <w:bottom w:val="single" w:sz="8" w:space="0" w:color="auto"/>
            </w:tcBorders>
            <w:vAlign w:val="bottom"/>
          </w:tcPr>
          <w:p w:rsidR="00AC12B4" w:rsidRPr="00C27636" w:rsidRDefault="00AC12B4">
            <w:pPr>
              <w:rPr>
                <w:sz w:val="24"/>
                <w:szCs w:val="24"/>
                <w:lang w:val="fr-BE"/>
              </w:rPr>
            </w:pPr>
          </w:p>
        </w:tc>
        <w:tc>
          <w:tcPr>
            <w:tcW w:w="120" w:type="dxa"/>
            <w:vAlign w:val="bottom"/>
          </w:tcPr>
          <w:p w:rsidR="00AC12B4" w:rsidRPr="00C27636" w:rsidRDefault="00AC12B4">
            <w:pPr>
              <w:rPr>
                <w:sz w:val="24"/>
                <w:szCs w:val="24"/>
                <w:lang w:val="fr-BE"/>
              </w:rPr>
            </w:pPr>
          </w:p>
        </w:tc>
        <w:tc>
          <w:tcPr>
            <w:tcW w:w="30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160" w:type="dxa"/>
            <w:vAlign w:val="bottom"/>
          </w:tcPr>
          <w:p w:rsidR="00AC12B4" w:rsidRPr="00C27636" w:rsidRDefault="00AC12B4">
            <w:pPr>
              <w:rPr>
                <w:sz w:val="24"/>
                <w:szCs w:val="24"/>
                <w:lang w:val="fr-BE"/>
              </w:rPr>
            </w:pPr>
          </w:p>
        </w:tc>
        <w:tc>
          <w:tcPr>
            <w:tcW w:w="900" w:type="dxa"/>
            <w:vAlign w:val="bottom"/>
          </w:tcPr>
          <w:p w:rsidR="00AC12B4" w:rsidRPr="00C27636" w:rsidRDefault="00AC12B4">
            <w:pPr>
              <w:rPr>
                <w:sz w:val="24"/>
                <w:szCs w:val="24"/>
                <w:lang w:val="fr-BE"/>
              </w:rPr>
            </w:pPr>
          </w:p>
        </w:tc>
        <w:tc>
          <w:tcPr>
            <w:tcW w:w="600" w:type="dxa"/>
            <w:vAlign w:val="bottom"/>
          </w:tcPr>
          <w:p w:rsidR="00AC12B4" w:rsidRPr="00C27636" w:rsidRDefault="00AC12B4">
            <w:pPr>
              <w:rPr>
                <w:sz w:val="24"/>
                <w:szCs w:val="24"/>
                <w:lang w:val="fr-BE"/>
              </w:rPr>
            </w:pPr>
          </w:p>
        </w:tc>
        <w:tc>
          <w:tcPr>
            <w:tcW w:w="2700" w:type="dxa"/>
            <w:gridSpan w:val="8"/>
            <w:vAlign w:val="bottom"/>
          </w:tcPr>
          <w:p w:rsidR="00AC12B4" w:rsidRDefault="00C27636">
            <w:pPr>
              <w:spacing w:line="304" w:lineRule="exact"/>
              <w:ind w:left="140"/>
              <w:rPr>
                <w:sz w:val="20"/>
                <w:szCs w:val="20"/>
              </w:rPr>
            </w:pPr>
            <w:r>
              <w:rPr>
                <w:rFonts w:ascii="Calibri" w:eastAsia="Calibri" w:hAnsi="Calibri" w:cs="Calibri"/>
              </w:rPr>
              <w:t>reste très élevé (22%)</w:t>
            </w:r>
            <w:r>
              <w:rPr>
                <w:rFonts w:ascii="Calibri" w:eastAsia="Calibri" w:hAnsi="Calibri" w:cs="Calibri"/>
                <w:sz w:val="27"/>
                <w:szCs w:val="27"/>
                <w:vertAlign w:val="superscript"/>
              </w:rPr>
              <w:t>3</w:t>
            </w:r>
          </w:p>
        </w:tc>
        <w:tc>
          <w:tcPr>
            <w:tcW w:w="240" w:type="dxa"/>
            <w:vAlign w:val="bottom"/>
          </w:tcPr>
          <w:p w:rsidR="00AC12B4" w:rsidRDefault="00AC12B4">
            <w:pPr>
              <w:rPr>
                <w:sz w:val="24"/>
                <w:szCs w:val="24"/>
              </w:rPr>
            </w:pPr>
          </w:p>
        </w:tc>
        <w:tc>
          <w:tcPr>
            <w:tcW w:w="11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352"/>
        </w:trPr>
        <w:tc>
          <w:tcPr>
            <w:tcW w:w="400" w:type="dxa"/>
            <w:vAlign w:val="bottom"/>
          </w:tcPr>
          <w:p w:rsidR="00AC12B4" w:rsidRDefault="00AC12B4">
            <w:pPr>
              <w:rPr>
                <w:sz w:val="24"/>
                <w:szCs w:val="24"/>
              </w:rPr>
            </w:pPr>
          </w:p>
        </w:tc>
        <w:tc>
          <w:tcPr>
            <w:tcW w:w="4600" w:type="dxa"/>
            <w:gridSpan w:val="13"/>
            <w:vMerge w:val="restart"/>
            <w:vAlign w:val="bottom"/>
          </w:tcPr>
          <w:p w:rsidR="00AC12B4" w:rsidRPr="00C27636" w:rsidRDefault="00C27636">
            <w:pPr>
              <w:rPr>
                <w:sz w:val="20"/>
                <w:szCs w:val="20"/>
                <w:lang w:val="fr-BE"/>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Enquête nationale de Santé:  Demarest S.,</w:t>
            </w:r>
          </w:p>
        </w:tc>
        <w:tc>
          <w:tcPr>
            <w:tcW w:w="600" w:type="dxa"/>
            <w:tcBorders>
              <w:bottom w:val="single" w:sz="8" w:space="0" w:color="auto"/>
            </w:tcBorders>
            <w:vAlign w:val="bottom"/>
          </w:tcPr>
          <w:p w:rsidR="00AC12B4" w:rsidRPr="00C27636" w:rsidRDefault="00AC12B4">
            <w:pPr>
              <w:rPr>
                <w:sz w:val="24"/>
                <w:szCs w:val="24"/>
                <w:lang w:val="fr-BE"/>
              </w:rPr>
            </w:pPr>
          </w:p>
        </w:tc>
        <w:tc>
          <w:tcPr>
            <w:tcW w:w="480" w:type="dxa"/>
            <w:tcBorders>
              <w:bottom w:val="single" w:sz="8" w:space="0" w:color="auto"/>
            </w:tcBorders>
            <w:vAlign w:val="bottom"/>
          </w:tcPr>
          <w:p w:rsidR="00AC12B4" w:rsidRPr="00C27636" w:rsidRDefault="00AC12B4">
            <w:pPr>
              <w:rPr>
                <w:sz w:val="24"/>
                <w:szCs w:val="24"/>
                <w:lang w:val="fr-BE"/>
              </w:rPr>
            </w:pPr>
          </w:p>
        </w:tc>
        <w:tc>
          <w:tcPr>
            <w:tcW w:w="480" w:type="dxa"/>
            <w:tcBorders>
              <w:bottom w:val="single" w:sz="8" w:space="0" w:color="auto"/>
            </w:tcBorders>
            <w:vAlign w:val="bottom"/>
          </w:tcPr>
          <w:p w:rsidR="00AC12B4" w:rsidRPr="00C27636" w:rsidRDefault="00AC12B4">
            <w:pPr>
              <w:rPr>
                <w:sz w:val="24"/>
                <w:szCs w:val="24"/>
                <w:lang w:val="fr-BE"/>
              </w:rPr>
            </w:pPr>
          </w:p>
        </w:tc>
        <w:tc>
          <w:tcPr>
            <w:tcW w:w="220" w:type="dxa"/>
            <w:tcBorders>
              <w:bottom w:val="single" w:sz="8" w:space="0" w:color="auto"/>
            </w:tcBorders>
            <w:vAlign w:val="bottom"/>
          </w:tcPr>
          <w:p w:rsidR="00AC12B4" w:rsidRPr="00C27636" w:rsidRDefault="00AC12B4">
            <w:pPr>
              <w:rPr>
                <w:sz w:val="24"/>
                <w:szCs w:val="24"/>
                <w:lang w:val="fr-BE"/>
              </w:rPr>
            </w:pPr>
          </w:p>
        </w:tc>
        <w:tc>
          <w:tcPr>
            <w:tcW w:w="120" w:type="dxa"/>
            <w:tcBorders>
              <w:bottom w:val="single" w:sz="8" w:space="0" w:color="auto"/>
            </w:tcBorders>
            <w:vAlign w:val="bottom"/>
          </w:tcPr>
          <w:p w:rsidR="00AC12B4" w:rsidRPr="00C27636" w:rsidRDefault="00AC12B4">
            <w:pPr>
              <w:rPr>
                <w:sz w:val="24"/>
                <w:szCs w:val="24"/>
                <w:lang w:val="fr-BE"/>
              </w:rPr>
            </w:pPr>
          </w:p>
        </w:tc>
        <w:tc>
          <w:tcPr>
            <w:tcW w:w="420" w:type="dxa"/>
            <w:tcBorders>
              <w:bottom w:val="single" w:sz="8" w:space="0" w:color="auto"/>
            </w:tcBorders>
            <w:vAlign w:val="bottom"/>
          </w:tcPr>
          <w:p w:rsidR="00AC12B4" w:rsidRPr="00C27636" w:rsidRDefault="00AC12B4">
            <w:pPr>
              <w:rPr>
                <w:sz w:val="24"/>
                <w:szCs w:val="24"/>
                <w:lang w:val="fr-BE"/>
              </w:rPr>
            </w:pPr>
          </w:p>
        </w:tc>
        <w:tc>
          <w:tcPr>
            <w:tcW w:w="380" w:type="dxa"/>
            <w:tcBorders>
              <w:bottom w:val="single" w:sz="8" w:space="0" w:color="auto"/>
            </w:tcBorders>
            <w:vAlign w:val="bottom"/>
          </w:tcPr>
          <w:p w:rsidR="00AC12B4" w:rsidRPr="00C27636" w:rsidRDefault="00AC12B4">
            <w:pPr>
              <w:rPr>
                <w:sz w:val="24"/>
                <w:szCs w:val="24"/>
                <w:lang w:val="fr-BE"/>
              </w:rPr>
            </w:pPr>
          </w:p>
        </w:tc>
        <w:tc>
          <w:tcPr>
            <w:tcW w:w="180" w:type="dxa"/>
            <w:tcBorders>
              <w:bottom w:val="single" w:sz="8" w:space="0" w:color="auto"/>
            </w:tcBorders>
            <w:vAlign w:val="bottom"/>
          </w:tcPr>
          <w:p w:rsidR="00AC12B4" w:rsidRPr="00C27636" w:rsidRDefault="00AC12B4">
            <w:pPr>
              <w:rPr>
                <w:sz w:val="24"/>
                <w:szCs w:val="24"/>
                <w:lang w:val="fr-BE"/>
              </w:rPr>
            </w:pPr>
          </w:p>
        </w:tc>
        <w:tc>
          <w:tcPr>
            <w:tcW w:w="42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110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115"/>
        </w:trPr>
        <w:tc>
          <w:tcPr>
            <w:tcW w:w="400" w:type="dxa"/>
            <w:vAlign w:val="bottom"/>
          </w:tcPr>
          <w:p w:rsidR="00AC12B4" w:rsidRPr="00C27636" w:rsidRDefault="00AC12B4">
            <w:pPr>
              <w:rPr>
                <w:sz w:val="9"/>
                <w:szCs w:val="9"/>
                <w:lang w:val="fr-BE"/>
              </w:rPr>
            </w:pPr>
          </w:p>
        </w:tc>
        <w:tc>
          <w:tcPr>
            <w:tcW w:w="4600" w:type="dxa"/>
            <w:gridSpan w:val="13"/>
            <w:vMerge/>
            <w:vAlign w:val="bottom"/>
          </w:tcPr>
          <w:p w:rsidR="00AC12B4" w:rsidRPr="00C27636" w:rsidRDefault="00AC12B4">
            <w:pPr>
              <w:rPr>
                <w:sz w:val="9"/>
                <w:szCs w:val="9"/>
                <w:lang w:val="fr-BE"/>
              </w:rPr>
            </w:pPr>
          </w:p>
        </w:tc>
        <w:tc>
          <w:tcPr>
            <w:tcW w:w="600" w:type="dxa"/>
            <w:vAlign w:val="bottom"/>
          </w:tcPr>
          <w:p w:rsidR="00AC12B4" w:rsidRPr="00C27636" w:rsidRDefault="00AC12B4">
            <w:pPr>
              <w:rPr>
                <w:sz w:val="9"/>
                <w:szCs w:val="9"/>
                <w:lang w:val="fr-BE"/>
              </w:rPr>
            </w:pPr>
          </w:p>
        </w:tc>
        <w:tc>
          <w:tcPr>
            <w:tcW w:w="480" w:type="dxa"/>
            <w:vAlign w:val="bottom"/>
          </w:tcPr>
          <w:p w:rsidR="00AC12B4" w:rsidRPr="00C27636" w:rsidRDefault="00AC12B4">
            <w:pPr>
              <w:rPr>
                <w:sz w:val="9"/>
                <w:szCs w:val="9"/>
                <w:lang w:val="fr-BE"/>
              </w:rPr>
            </w:pPr>
          </w:p>
        </w:tc>
        <w:tc>
          <w:tcPr>
            <w:tcW w:w="480" w:type="dxa"/>
            <w:vAlign w:val="bottom"/>
          </w:tcPr>
          <w:p w:rsidR="00AC12B4" w:rsidRPr="00C27636" w:rsidRDefault="00AC12B4">
            <w:pPr>
              <w:rPr>
                <w:sz w:val="9"/>
                <w:szCs w:val="9"/>
                <w:lang w:val="fr-BE"/>
              </w:rPr>
            </w:pPr>
          </w:p>
        </w:tc>
        <w:tc>
          <w:tcPr>
            <w:tcW w:w="22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420" w:type="dxa"/>
            <w:vAlign w:val="bottom"/>
          </w:tcPr>
          <w:p w:rsidR="00AC12B4" w:rsidRPr="00C27636" w:rsidRDefault="00AC12B4">
            <w:pPr>
              <w:rPr>
                <w:sz w:val="9"/>
                <w:szCs w:val="9"/>
                <w:lang w:val="fr-BE"/>
              </w:rPr>
            </w:pPr>
          </w:p>
        </w:tc>
        <w:tc>
          <w:tcPr>
            <w:tcW w:w="38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420" w:type="dxa"/>
            <w:vAlign w:val="bottom"/>
          </w:tcPr>
          <w:p w:rsidR="00AC12B4" w:rsidRPr="00C27636" w:rsidRDefault="00AC12B4">
            <w:pPr>
              <w:rPr>
                <w:sz w:val="9"/>
                <w:szCs w:val="9"/>
                <w:lang w:val="fr-BE"/>
              </w:rPr>
            </w:pPr>
          </w:p>
        </w:tc>
        <w:tc>
          <w:tcPr>
            <w:tcW w:w="240" w:type="dxa"/>
            <w:vAlign w:val="bottom"/>
          </w:tcPr>
          <w:p w:rsidR="00AC12B4" w:rsidRPr="00C27636" w:rsidRDefault="00AC12B4">
            <w:pPr>
              <w:rPr>
                <w:sz w:val="9"/>
                <w:szCs w:val="9"/>
                <w:lang w:val="fr-BE"/>
              </w:rPr>
            </w:pPr>
          </w:p>
        </w:tc>
        <w:tc>
          <w:tcPr>
            <w:tcW w:w="110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293"/>
        </w:trPr>
        <w:tc>
          <w:tcPr>
            <w:tcW w:w="400" w:type="dxa"/>
            <w:vAlign w:val="bottom"/>
          </w:tcPr>
          <w:p w:rsidR="00AC12B4" w:rsidRPr="00C27636" w:rsidRDefault="00AC12B4">
            <w:pPr>
              <w:rPr>
                <w:sz w:val="24"/>
                <w:szCs w:val="24"/>
                <w:lang w:val="fr-BE"/>
              </w:rPr>
            </w:pPr>
          </w:p>
        </w:tc>
        <w:tc>
          <w:tcPr>
            <w:tcW w:w="4600" w:type="dxa"/>
            <w:gridSpan w:val="13"/>
            <w:vAlign w:val="bottom"/>
          </w:tcPr>
          <w:p w:rsidR="00AC12B4" w:rsidRPr="00C27636" w:rsidRDefault="00C27636">
            <w:pPr>
              <w:spacing w:line="216" w:lineRule="exact"/>
              <w:rPr>
                <w:sz w:val="20"/>
                <w:szCs w:val="20"/>
                <w:lang w:val="fr-BE"/>
              </w:rPr>
            </w:pPr>
            <w:r w:rsidRPr="00C27636">
              <w:rPr>
                <w:rFonts w:ascii="Calibri" w:eastAsia="Calibri" w:hAnsi="Calibri" w:cs="Calibri"/>
                <w:sz w:val="20"/>
                <w:szCs w:val="20"/>
                <w:lang w:val="fr-BE"/>
              </w:rPr>
              <w:t xml:space="preserve">« Accessibilité </w:t>
            </w:r>
            <w:r w:rsidRPr="00C27636">
              <w:rPr>
                <w:rFonts w:ascii="Calibri" w:eastAsia="Calibri" w:hAnsi="Calibri" w:cs="Calibri"/>
                <w:sz w:val="20"/>
                <w:szCs w:val="20"/>
                <w:lang w:val="fr-BE"/>
              </w:rPr>
              <w:t>financière aux soins de santé »</w:t>
            </w:r>
          </w:p>
        </w:tc>
        <w:tc>
          <w:tcPr>
            <w:tcW w:w="4640" w:type="dxa"/>
            <w:gridSpan w:val="11"/>
            <w:vAlign w:val="bottom"/>
          </w:tcPr>
          <w:p w:rsidR="00AC12B4" w:rsidRDefault="00C27636">
            <w:pPr>
              <w:spacing w:line="293" w:lineRule="exact"/>
              <w:rPr>
                <w:sz w:val="20"/>
                <w:szCs w:val="20"/>
              </w:rPr>
            </w:pPr>
            <w:r>
              <w:rPr>
                <w:rFonts w:ascii="Calibri" w:eastAsia="Calibri" w:hAnsi="Calibri" w:cs="Calibri"/>
                <w:sz w:val="25"/>
                <w:szCs w:val="25"/>
                <w:vertAlign w:val="superscript"/>
              </w:rPr>
              <w:t>2</w:t>
            </w:r>
            <w:r>
              <w:rPr>
                <w:rFonts w:ascii="Calibri" w:eastAsia="Calibri" w:hAnsi="Calibri" w:cs="Calibri"/>
                <w:sz w:val="20"/>
                <w:szCs w:val="20"/>
              </w:rPr>
              <w:t xml:space="preserve">  CRC/C/BEL/CO/3-4 : Observations finales du</w:t>
            </w:r>
          </w:p>
        </w:tc>
        <w:tc>
          <w:tcPr>
            <w:tcW w:w="0" w:type="dxa"/>
            <w:vAlign w:val="bottom"/>
          </w:tcPr>
          <w:p w:rsidR="00AC12B4" w:rsidRDefault="00AC12B4">
            <w:pPr>
              <w:rPr>
                <w:sz w:val="1"/>
                <w:szCs w:val="1"/>
              </w:rPr>
            </w:pPr>
          </w:p>
        </w:tc>
      </w:tr>
      <w:tr w:rsidR="00AC12B4" w:rsidRPr="00C27636">
        <w:trPr>
          <w:trHeight w:val="197"/>
        </w:trPr>
        <w:tc>
          <w:tcPr>
            <w:tcW w:w="400" w:type="dxa"/>
            <w:vAlign w:val="bottom"/>
          </w:tcPr>
          <w:p w:rsidR="00AC12B4" w:rsidRDefault="00AC12B4">
            <w:pPr>
              <w:rPr>
                <w:sz w:val="17"/>
                <w:szCs w:val="17"/>
              </w:rPr>
            </w:pPr>
          </w:p>
        </w:tc>
        <w:tc>
          <w:tcPr>
            <w:tcW w:w="1360" w:type="dxa"/>
            <w:gridSpan w:val="4"/>
            <w:vAlign w:val="bottom"/>
          </w:tcPr>
          <w:p w:rsidR="00AC12B4" w:rsidRDefault="00C27636">
            <w:pPr>
              <w:spacing w:line="198" w:lineRule="exact"/>
              <w:rPr>
                <w:sz w:val="20"/>
                <w:szCs w:val="20"/>
              </w:rPr>
            </w:pPr>
            <w:r>
              <w:rPr>
                <w:rFonts w:ascii="Calibri" w:eastAsia="Calibri" w:hAnsi="Calibri" w:cs="Calibri"/>
                <w:sz w:val="20"/>
                <w:szCs w:val="20"/>
              </w:rPr>
              <w:t>dans Drieskens,</w:t>
            </w:r>
          </w:p>
        </w:tc>
        <w:tc>
          <w:tcPr>
            <w:tcW w:w="3240" w:type="dxa"/>
            <w:gridSpan w:val="9"/>
            <w:vAlign w:val="bottom"/>
          </w:tcPr>
          <w:p w:rsidR="00AC12B4" w:rsidRPr="00C27636" w:rsidRDefault="00C27636">
            <w:pPr>
              <w:spacing w:line="198" w:lineRule="exact"/>
              <w:ind w:right="640"/>
              <w:jc w:val="right"/>
              <w:rPr>
                <w:sz w:val="20"/>
                <w:szCs w:val="20"/>
                <w:lang w:val="fr-BE"/>
              </w:rPr>
            </w:pPr>
            <w:r w:rsidRPr="00C27636">
              <w:rPr>
                <w:rFonts w:ascii="Calibri" w:eastAsia="Calibri" w:hAnsi="Calibri" w:cs="Calibri"/>
                <w:sz w:val="20"/>
                <w:szCs w:val="20"/>
                <w:lang w:val="fr-BE"/>
              </w:rPr>
              <w:t xml:space="preserve">S., Gisle, L. (éd.). </w:t>
            </w:r>
            <w:r w:rsidRPr="00C27636">
              <w:rPr>
                <w:rFonts w:ascii="Calibri" w:eastAsia="Calibri" w:hAnsi="Calibri" w:cs="Calibri"/>
                <w:i/>
                <w:iCs/>
                <w:sz w:val="20"/>
                <w:szCs w:val="20"/>
                <w:lang w:val="fr-BE"/>
              </w:rPr>
              <w:t>Enquête de</w:t>
            </w:r>
          </w:p>
        </w:tc>
        <w:tc>
          <w:tcPr>
            <w:tcW w:w="3300" w:type="dxa"/>
            <w:gridSpan w:val="9"/>
            <w:vMerge w:val="restart"/>
            <w:vAlign w:val="bottom"/>
          </w:tcPr>
          <w:p w:rsidR="00AC12B4" w:rsidRPr="00C27636" w:rsidRDefault="00C27636">
            <w:pPr>
              <w:rPr>
                <w:sz w:val="20"/>
                <w:szCs w:val="20"/>
                <w:lang w:val="fr-BE"/>
              </w:rPr>
            </w:pPr>
            <w:r w:rsidRPr="00C27636">
              <w:rPr>
                <w:rFonts w:ascii="Calibri" w:eastAsia="Calibri" w:hAnsi="Calibri" w:cs="Calibri"/>
                <w:sz w:val="20"/>
                <w:szCs w:val="20"/>
                <w:lang w:val="fr-BE"/>
              </w:rPr>
              <w:t>CRC pour la Belgique, 2010, pt 57.</w:t>
            </w:r>
          </w:p>
        </w:tc>
        <w:tc>
          <w:tcPr>
            <w:tcW w:w="240" w:type="dxa"/>
            <w:vAlign w:val="bottom"/>
          </w:tcPr>
          <w:p w:rsidR="00AC12B4" w:rsidRPr="00C27636" w:rsidRDefault="00AC12B4">
            <w:pPr>
              <w:rPr>
                <w:sz w:val="17"/>
                <w:szCs w:val="17"/>
                <w:lang w:val="fr-BE"/>
              </w:rPr>
            </w:pPr>
          </w:p>
        </w:tc>
        <w:tc>
          <w:tcPr>
            <w:tcW w:w="1100" w:type="dxa"/>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93"/>
        </w:trPr>
        <w:tc>
          <w:tcPr>
            <w:tcW w:w="400" w:type="dxa"/>
            <w:vAlign w:val="bottom"/>
          </w:tcPr>
          <w:p w:rsidR="00AC12B4" w:rsidRPr="00C27636" w:rsidRDefault="00AC12B4">
            <w:pPr>
              <w:rPr>
                <w:sz w:val="8"/>
                <w:szCs w:val="8"/>
                <w:lang w:val="fr-BE"/>
              </w:rPr>
            </w:pPr>
          </w:p>
        </w:tc>
        <w:tc>
          <w:tcPr>
            <w:tcW w:w="4600" w:type="dxa"/>
            <w:gridSpan w:val="13"/>
            <w:vMerge w:val="restart"/>
            <w:vAlign w:val="bottom"/>
          </w:tcPr>
          <w:p w:rsidR="00AC12B4" w:rsidRPr="00C27636" w:rsidRDefault="00C27636">
            <w:pPr>
              <w:spacing w:line="213" w:lineRule="exact"/>
              <w:rPr>
                <w:sz w:val="20"/>
                <w:szCs w:val="20"/>
                <w:lang w:val="fr-BE"/>
              </w:rPr>
            </w:pPr>
            <w:r w:rsidRPr="00C27636">
              <w:rPr>
                <w:rFonts w:ascii="Calibri" w:eastAsia="Calibri" w:hAnsi="Calibri" w:cs="Calibri"/>
                <w:i/>
                <w:iCs/>
                <w:sz w:val="20"/>
                <w:szCs w:val="20"/>
                <w:lang w:val="fr-BE"/>
              </w:rPr>
              <w:t>santé 2013. Rapport 3 : Utilisation des services</w:t>
            </w:r>
          </w:p>
        </w:tc>
        <w:tc>
          <w:tcPr>
            <w:tcW w:w="3300" w:type="dxa"/>
            <w:gridSpan w:val="9"/>
            <w:vMerge/>
            <w:vAlign w:val="bottom"/>
          </w:tcPr>
          <w:p w:rsidR="00AC12B4" w:rsidRPr="00C27636" w:rsidRDefault="00AC12B4">
            <w:pPr>
              <w:rPr>
                <w:sz w:val="8"/>
                <w:szCs w:val="8"/>
                <w:lang w:val="fr-BE"/>
              </w:rPr>
            </w:pPr>
          </w:p>
        </w:tc>
        <w:tc>
          <w:tcPr>
            <w:tcW w:w="240" w:type="dxa"/>
            <w:vAlign w:val="bottom"/>
          </w:tcPr>
          <w:p w:rsidR="00AC12B4" w:rsidRPr="00C27636" w:rsidRDefault="00AC12B4">
            <w:pPr>
              <w:rPr>
                <w:sz w:val="8"/>
                <w:szCs w:val="8"/>
                <w:lang w:val="fr-BE"/>
              </w:rPr>
            </w:pPr>
          </w:p>
        </w:tc>
        <w:tc>
          <w:tcPr>
            <w:tcW w:w="1100" w:type="dxa"/>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rsidRPr="00C27636">
        <w:trPr>
          <w:trHeight w:val="120"/>
        </w:trPr>
        <w:tc>
          <w:tcPr>
            <w:tcW w:w="400" w:type="dxa"/>
            <w:vAlign w:val="bottom"/>
          </w:tcPr>
          <w:p w:rsidR="00AC12B4" w:rsidRPr="00C27636" w:rsidRDefault="00AC12B4">
            <w:pPr>
              <w:rPr>
                <w:sz w:val="10"/>
                <w:szCs w:val="10"/>
                <w:lang w:val="fr-BE"/>
              </w:rPr>
            </w:pPr>
          </w:p>
        </w:tc>
        <w:tc>
          <w:tcPr>
            <w:tcW w:w="4600" w:type="dxa"/>
            <w:gridSpan w:val="13"/>
            <w:vMerge/>
            <w:vAlign w:val="bottom"/>
          </w:tcPr>
          <w:p w:rsidR="00AC12B4" w:rsidRPr="00C27636" w:rsidRDefault="00AC12B4">
            <w:pPr>
              <w:rPr>
                <w:sz w:val="10"/>
                <w:szCs w:val="10"/>
                <w:lang w:val="fr-BE"/>
              </w:rPr>
            </w:pPr>
          </w:p>
        </w:tc>
        <w:tc>
          <w:tcPr>
            <w:tcW w:w="4640" w:type="dxa"/>
            <w:gridSpan w:val="11"/>
            <w:vMerge w:val="restart"/>
            <w:vAlign w:val="bottom"/>
          </w:tcPr>
          <w:p w:rsidR="00AC12B4" w:rsidRPr="00C27636" w:rsidRDefault="00C27636">
            <w:pPr>
              <w:rPr>
                <w:sz w:val="20"/>
                <w:szCs w:val="20"/>
                <w:lang w:val="fr-BE"/>
              </w:rPr>
            </w:pPr>
            <w:r w:rsidRPr="00C27636">
              <w:rPr>
                <w:rFonts w:ascii="Calibri" w:eastAsia="Calibri" w:hAnsi="Calibri" w:cs="Calibri"/>
                <w:sz w:val="25"/>
                <w:szCs w:val="25"/>
                <w:vertAlign w:val="superscript"/>
                <w:lang w:val="fr-BE"/>
              </w:rPr>
              <w:t>3</w:t>
            </w:r>
            <w:r w:rsidRPr="00C27636">
              <w:rPr>
                <w:rFonts w:ascii="Calibri" w:eastAsia="Calibri" w:hAnsi="Calibri" w:cs="Calibri"/>
                <w:sz w:val="20"/>
                <w:szCs w:val="20"/>
                <w:lang w:val="fr-BE"/>
              </w:rPr>
              <w:t xml:space="preserve">  Contre 9% en Région wallonne et 5% en</w:t>
            </w:r>
          </w:p>
        </w:tc>
        <w:tc>
          <w:tcPr>
            <w:tcW w:w="0" w:type="dxa"/>
            <w:vAlign w:val="bottom"/>
          </w:tcPr>
          <w:p w:rsidR="00AC12B4" w:rsidRPr="00C27636" w:rsidRDefault="00AC12B4">
            <w:pPr>
              <w:rPr>
                <w:sz w:val="1"/>
                <w:szCs w:val="1"/>
                <w:lang w:val="fr-BE"/>
              </w:rPr>
            </w:pPr>
          </w:p>
        </w:tc>
      </w:tr>
      <w:tr w:rsidR="00AC12B4" w:rsidRPr="00C27636">
        <w:trPr>
          <w:trHeight w:val="274"/>
        </w:trPr>
        <w:tc>
          <w:tcPr>
            <w:tcW w:w="400" w:type="dxa"/>
            <w:vAlign w:val="bottom"/>
          </w:tcPr>
          <w:p w:rsidR="00AC12B4" w:rsidRPr="00C27636" w:rsidRDefault="00AC12B4">
            <w:pPr>
              <w:rPr>
                <w:sz w:val="23"/>
                <w:szCs w:val="23"/>
                <w:lang w:val="fr-BE"/>
              </w:rPr>
            </w:pPr>
          </w:p>
        </w:tc>
        <w:tc>
          <w:tcPr>
            <w:tcW w:w="4600" w:type="dxa"/>
            <w:gridSpan w:val="13"/>
            <w:vAlign w:val="bottom"/>
          </w:tcPr>
          <w:p w:rsidR="00AC12B4" w:rsidRPr="00C27636" w:rsidRDefault="00C27636">
            <w:pPr>
              <w:rPr>
                <w:sz w:val="20"/>
                <w:szCs w:val="20"/>
                <w:lang w:val="fr-BE"/>
              </w:rPr>
            </w:pPr>
            <w:r w:rsidRPr="00C27636">
              <w:rPr>
                <w:rFonts w:ascii="Calibri" w:eastAsia="Calibri" w:hAnsi="Calibri" w:cs="Calibri"/>
                <w:i/>
                <w:iCs/>
                <w:sz w:val="20"/>
                <w:szCs w:val="20"/>
                <w:lang w:val="fr-BE"/>
              </w:rPr>
              <w:t xml:space="preserve">de soins de santé et des services sociaux, </w:t>
            </w:r>
            <w:r w:rsidRPr="00C27636">
              <w:rPr>
                <w:rFonts w:ascii="Calibri" w:eastAsia="Calibri" w:hAnsi="Calibri" w:cs="Calibri"/>
                <w:sz w:val="20"/>
                <w:szCs w:val="20"/>
                <w:lang w:val="fr-BE"/>
              </w:rPr>
              <w:t>WIV-</w:t>
            </w:r>
          </w:p>
        </w:tc>
        <w:tc>
          <w:tcPr>
            <w:tcW w:w="4640" w:type="dxa"/>
            <w:gridSpan w:val="11"/>
            <w:vMerge/>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16"/>
        </w:trPr>
        <w:tc>
          <w:tcPr>
            <w:tcW w:w="400" w:type="dxa"/>
            <w:vAlign w:val="bottom"/>
          </w:tcPr>
          <w:p w:rsidR="00AC12B4" w:rsidRPr="00C27636" w:rsidRDefault="00AC12B4">
            <w:pPr>
              <w:rPr>
                <w:sz w:val="18"/>
                <w:szCs w:val="18"/>
                <w:lang w:val="fr-BE"/>
              </w:rPr>
            </w:pPr>
          </w:p>
        </w:tc>
        <w:tc>
          <w:tcPr>
            <w:tcW w:w="1840" w:type="dxa"/>
            <w:gridSpan w:val="5"/>
            <w:vAlign w:val="bottom"/>
          </w:tcPr>
          <w:p w:rsidR="00AC12B4" w:rsidRDefault="00C27636">
            <w:pPr>
              <w:spacing w:line="216" w:lineRule="exact"/>
              <w:rPr>
                <w:sz w:val="20"/>
                <w:szCs w:val="20"/>
              </w:rPr>
            </w:pPr>
            <w:r>
              <w:rPr>
                <w:rFonts w:ascii="Calibri" w:eastAsia="Calibri" w:hAnsi="Calibri" w:cs="Calibri"/>
                <w:sz w:val="20"/>
                <w:szCs w:val="20"/>
              </w:rPr>
              <w:t>ISP, Bruxelles, 2015.</w:t>
            </w:r>
          </w:p>
        </w:tc>
        <w:tc>
          <w:tcPr>
            <w:tcW w:w="160" w:type="dxa"/>
            <w:vAlign w:val="bottom"/>
          </w:tcPr>
          <w:p w:rsidR="00AC12B4" w:rsidRDefault="00AC12B4">
            <w:pPr>
              <w:rPr>
                <w:sz w:val="18"/>
                <w:szCs w:val="18"/>
              </w:rPr>
            </w:pPr>
          </w:p>
        </w:tc>
        <w:tc>
          <w:tcPr>
            <w:tcW w:w="360" w:type="dxa"/>
            <w:vAlign w:val="bottom"/>
          </w:tcPr>
          <w:p w:rsidR="00AC12B4" w:rsidRDefault="00AC12B4">
            <w:pPr>
              <w:rPr>
                <w:sz w:val="18"/>
                <w:szCs w:val="18"/>
              </w:rPr>
            </w:pPr>
          </w:p>
        </w:tc>
        <w:tc>
          <w:tcPr>
            <w:tcW w:w="520" w:type="dxa"/>
            <w:vAlign w:val="bottom"/>
          </w:tcPr>
          <w:p w:rsidR="00AC12B4" w:rsidRDefault="00AC12B4">
            <w:pPr>
              <w:rPr>
                <w:sz w:val="18"/>
                <w:szCs w:val="18"/>
              </w:rPr>
            </w:pPr>
          </w:p>
        </w:tc>
        <w:tc>
          <w:tcPr>
            <w:tcW w:w="120" w:type="dxa"/>
            <w:vAlign w:val="bottom"/>
          </w:tcPr>
          <w:p w:rsidR="00AC12B4" w:rsidRDefault="00AC12B4">
            <w:pPr>
              <w:rPr>
                <w:sz w:val="18"/>
                <w:szCs w:val="18"/>
              </w:rPr>
            </w:pPr>
          </w:p>
        </w:tc>
        <w:tc>
          <w:tcPr>
            <w:tcW w:w="300" w:type="dxa"/>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160" w:type="dxa"/>
            <w:vAlign w:val="bottom"/>
          </w:tcPr>
          <w:p w:rsidR="00AC12B4" w:rsidRDefault="00AC12B4">
            <w:pPr>
              <w:rPr>
                <w:sz w:val="18"/>
                <w:szCs w:val="18"/>
              </w:rPr>
            </w:pPr>
          </w:p>
        </w:tc>
        <w:tc>
          <w:tcPr>
            <w:tcW w:w="900" w:type="dxa"/>
            <w:vAlign w:val="bottom"/>
          </w:tcPr>
          <w:p w:rsidR="00AC12B4" w:rsidRDefault="00AC12B4">
            <w:pPr>
              <w:rPr>
                <w:sz w:val="18"/>
                <w:szCs w:val="18"/>
              </w:rPr>
            </w:pPr>
          </w:p>
        </w:tc>
        <w:tc>
          <w:tcPr>
            <w:tcW w:w="1560" w:type="dxa"/>
            <w:gridSpan w:val="3"/>
            <w:vAlign w:val="bottom"/>
          </w:tcPr>
          <w:p w:rsidR="00AC12B4" w:rsidRDefault="00C27636">
            <w:pPr>
              <w:spacing w:line="216" w:lineRule="exact"/>
              <w:rPr>
                <w:sz w:val="20"/>
                <w:szCs w:val="20"/>
              </w:rPr>
            </w:pPr>
            <w:r>
              <w:rPr>
                <w:rFonts w:ascii="Calibri" w:eastAsia="Calibri" w:hAnsi="Calibri" w:cs="Calibri"/>
                <w:sz w:val="20"/>
                <w:szCs w:val="20"/>
              </w:rPr>
              <w:t>Région flamande.</w:t>
            </w:r>
          </w:p>
        </w:tc>
        <w:tc>
          <w:tcPr>
            <w:tcW w:w="220" w:type="dxa"/>
            <w:vAlign w:val="bottom"/>
          </w:tcPr>
          <w:p w:rsidR="00AC12B4" w:rsidRDefault="00AC12B4">
            <w:pPr>
              <w:rPr>
                <w:sz w:val="18"/>
                <w:szCs w:val="18"/>
              </w:rPr>
            </w:pPr>
          </w:p>
        </w:tc>
        <w:tc>
          <w:tcPr>
            <w:tcW w:w="120" w:type="dxa"/>
            <w:vAlign w:val="bottom"/>
          </w:tcPr>
          <w:p w:rsidR="00AC12B4" w:rsidRDefault="00AC12B4">
            <w:pPr>
              <w:rPr>
                <w:sz w:val="18"/>
                <w:szCs w:val="18"/>
              </w:rPr>
            </w:pPr>
          </w:p>
        </w:tc>
        <w:tc>
          <w:tcPr>
            <w:tcW w:w="420" w:type="dxa"/>
            <w:vAlign w:val="bottom"/>
          </w:tcPr>
          <w:p w:rsidR="00AC12B4" w:rsidRDefault="00AC12B4">
            <w:pPr>
              <w:rPr>
                <w:sz w:val="18"/>
                <w:szCs w:val="18"/>
              </w:rPr>
            </w:pPr>
          </w:p>
        </w:tc>
        <w:tc>
          <w:tcPr>
            <w:tcW w:w="380" w:type="dxa"/>
            <w:vAlign w:val="bottom"/>
          </w:tcPr>
          <w:p w:rsidR="00AC12B4" w:rsidRDefault="00AC12B4">
            <w:pPr>
              <w:rPr>
                <w:sz w:val="18"/>
                <w:szCs w:val="18"/>
              </w:rPr>
            </w:pPr>
          </w:p>
        </w:tc>
        <w:tc>
          <w:tcPr>
            <w:tcW w:w="180" w:type="dxa"/>
            <w:vAlign w:val="bottom"/>
          </w:tcPr>
          <w:p w:rsidR="00AC12B4" w:rsidRDefault="00AC12B4">
            <w:pPr>
              <w:rPr>
                <w:sz w:val="18"/>
                <w:szCs w:val="18"/>
              </w:rPr>
            </w:pPr>
          </w:p>
        </w:tc>
        <w:tc>
          <w:tcPr>
            <w:tcW w:w="420" w:type="dxa"/>
            <w:vAlign w:val="bottom"/>
          </w:tcPr>
          <w:p w:rsidR="00AC12B4" w:rsidRDefault="00AC12B4">
            <w:pPr>
              <w:rPr>
                <w:sz w:val="18"/>
                <w:szCs w:val="18"/>
              </w:rPr>
            </w:pPr>
          </w:p>
        </w:tc>
        <w:tc>
          <w:tcPr>
            <w:tcW w:w="240" w:type="dxa"/>
            <w:vAlign w:val="bottom"/>
          </w:tcPr>
          <w:p w:rsidR="00AC12B4" w:rsidRDefault="00AC12B4">
            <w:pPr>
              <w:rPr>
                <w:sz w:val="18"/>
                <w:szCs w:val="18"/>
              </w:rPr>
            </w:pPr>
          </w:p>
        </w:tc>
        <w:tc>
          <w:tcPr>
            <w:tcW w:w="1100" w:type="dxa"/>
            <w:vAlign w:val="bottom"/>
          </w:tcPr>
          <w:p w:rsidR="00AC12B4" w:rsidRDefault="00AC12B4">
            <w:pPr>
              <w:rPr>
                <w:sz w:val="18"/>
                <w:szCs w:val="18"/>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502080" behindDoc="1" locked="0" layoutInCell="0" allowOverlap="1">
            <wp:simplePos x="0" y="0"/>
            <wp:positionH relativeFrom="column">
              <wp:posOffset>1136650</wp:posOffset>
            </wp:positionH>
            <wp:positionV relativeFrom="paragraph">
              <wp:posOffset>-3033395</wp:posOffset>
            </wp:positionV>
            <wp:extent cx="1563370" cy="1113790"/>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1">
                      <a:extLst/>
                    </a:blip>
                    <a:srcRect/>
                    <a:stretch>
                      <a:fillRect/>
                    </a:stretch>
                  </pic:blipFill>
                  <pic:spPr bwMode="auto">
                    <a:xfrm>
                      <a:off x="0" y="0"/>
                      <a:ext cx="1563370" cy="1113790"/>
                    </a:xfrm>
                    <a:prstGeom prst="rect">
                      <a:avLst/>
                    </a:prstGeom>
                    <a:noFill/>
                  </pic:spPr>
                </pic:pic>
              </a:graphicData>
            </a:graphic>
          </wp:anchor>
        </w:drawing>
      </w:r>
      <w:r>
        <w:rPr>
          <w:noProof/>
          <w:sz w:val="20"/>
          <w:szCs w:val="20"/>
        </w:rPr>
        <w:drawing>
          <wp:anchor distT="0" distB="0" distL="114300" distR="114300" simplePos="0" relativeHeight="251503104" behindDoc="1" locked="0" layoutInCell="0" allowOverlap="1">
            <wp:simplePos x="0" y="0"/>
            <wp:positionH relativeFrom="column">
              <wp:posOffset>681355</wp:posOffset>
            </wp:positionH>
            <wp:positionV relativeFrom="paragraph">
              <wp:posOffset>-1419225</wp:posOffset>
            </wp:positionV>
            <wp:extent cx="3529330" cy="26670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2">
                      <a:extLst/>
                    </a:blip>
                    <a:srcRect/>
                    <a:stretch>
                      <a:fillRect/>
                    </a:stretch>
                  </pic:blipFill>
                  <pic:spPr bwMode="auto">
                    <a:xfrm>
                      <a:off x="0" y="0"/>
                      <a:ext cx="3529330" cy="266700"/>
                    </a:xfrm>
                    <a:prstGeom prst="rect">
                      <a:avLst/>
                    </a:prstGeom>
                    <a:noFill/>
                  </pic:spPr>
                </pic:pic>
              </a:graphicData>
            </a:graphic>
          </wp:anchor>
        </w:drawing>
      </w:r>
    </w:p>
    <w:p w:rsidR="00AC12B4" w:rsidRDefault="00AC12B4">
      <w:pPr>
        <w:spacing w:line="221" w:lineRule="exact"/>
        <w:rPr>
          <w:sz w:val="20"/>
          <w:szCs w:val="20"/>
        </w:rPr>
      </w:pPr>
    </w:p>
    <w:p w:rsidR="00AC12B4" w:rsidRDefault="00C27636">
      <w:pPr>
        <w:ind w:left="5580"/>
        <w:rPr>
          <w:sz w:val="20"/>
          <w:szCs w:val="20"/>
        </w:rPr>
      </w:pPr>
      <w:r>
        <w:rPr>
          <w:rFonts w:ascii="Calibri" w:eastAsia="Calibri" w:hAnsi="Calibri" w:cs="Calibri"/>
        </w:rPr>
        <w:t>75</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04128"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5" w:bottom="659" w:left="540" w:header="0" w:footer="0" w:gutter="0"/>
          <w:cols w:num="2" w:space="720" w:equalWidth="0">
            <w:col w:w="10700" w:space="0"/>
            <w:col w:w="342"/>
          </w:cols>
        </w:sectPr>
      </w:pPr>
    </w:p>
    <w:p w:rsidR="00AC12B4" w:rsidRPr="00C27636" w:rsidRDefault="00AC12B4">
      <w:pPr>
        <w:spacing w:line="200" w:lineRule="exact"/>
        <w:rPr>
          <w:sz w:val="20"/>
          <w:szCs w:val="20"/>
          <w:lang w:val="fr-BE"/>
        </w:rPr>
      </w:pPr>
      <w:bookmarkStart w:id="75" w:name="page76"/>
      <w:bookmarkEnd w:id="75"/>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9" w:lineRule="exact"/>
        <w:rPr>
          <w:sz w:val="20"/>
          <w:szCs w:val="20"/>
          <w:lang w:val="fr-BE"/>
        </w:rPr>
      </w:pPr>
    </w:p>
    <w:p w:rsidR="00AC12B4" w:rsidRPr="00C27636" w:rsidRDefault="00C27636">
      <w:pPr>
        <w:ind w:left="520"/>
        <w:rPr>
          <w:sz w:val="20"/>
          <w:szCs w:val="20"/>
          <w:lang w:val="fr-BE"/>
        </w:rPr>
      </w:pPr>
      <w:r w:rsidRPr="00C27636">
        <w:rPr>
          <w:rFonts w:ascii="Cambria" w:eastAsia="Cambria" w:hAnsi="Cambria" w:cs="Cambria"/>
          <w:b/>
          <w:bCs/>
          <w:i/>
          <w:iCs/>
          <w:color w:val="919715"/>
          <w:sz w:val="26"/>
          <w:szCs w:val="26"/>
          <w:lang w:val="fr-BE"/>
        </w:rPr>
        <w:t>Iniquité</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05152" behindDoc="1" locked="0" layoutInCell="0" allowOverlap="1">
            <wp:simplePos x="0" y="0"/>
            <wp:positionH relativeFrom="column">
              <wp:posOffset>-583565</wp:posOffset>
            </wp:positionH>
            <wp:positionV relativeFrom="paragraph">
              <wp:posOffset>-1214755</wp:posOffset>
            </wp:positionV>
            <wp:extent cx="3499485" cy="10908665"/>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93">
                      <a:extLst/>
                    </a:blip>
                    <a:srcRect/>
                    <a:stretch>
                      <a:fillRect/>
                    </a:stretch>
                  </pic:blipFill>
                  <pic:spPr bwMode="auto">
                    <a:xfrm>
                      <a:off x="0" y="0"/>
                      <a:ext cx="3499485" cy="10908665"/>
                    </a:xfrm>
                    <a:prstGeom prst="rect">
                      <a:avLst/>
                    </a:prstGeom>
                    <a:noFill/>
                  </pic:spPr>
                </pic:pic>
              </a:graphicData>
            </a:graphic>
          </wp:anchor>
        </w:drawing>
      </w:r>
    </w:p>
    <w:p w:rsidR="00AC12B4" w:rsidRPr="00C27636" w:rsidRDefault="00AC12B4">
      <w:pPr>
        <w:spacing w:line="188" w:lineRule="exact"/>
        <w:rPr>
          <w:sz w:val="20"/>
          <w:szCs w:val="20"/>
          <w:lang w:val="fr-BE"/>
        </w:rPr>
      </w:pPr>
    </w:p>
    <w:p w:rsidR="00AC12B4" w:rsidRPr="00C27636" w:rsidRDefault="00C27636">
      <w:pPr>
        <w:spacing w:line="232" w:lineRule="auto"/>
        <w:ind w:left="520" w:right="460"/>
        <w:jc w:val="both"/>
        <w:rPr>
          <w:sz w:val="20"/>
          <w:szCs w:val="20"/>
          <w:lang w:val="fr-BE"/>
        </w:rPr>
      </w:pPr>
      <w:r w:rsidRPr="00C27636">
        <w:rPr>
          <w:rFonts w:ascii="Calibri" w:eastAsia="Calibri" w:hAnsi="Calibri" w:cs="Calibri"/>
          <w:lang w:val="fr-BE"/>
        </w:rPr>
        <w:t xml:space="preserve">Le lien avec la composition du ménage à déjà été développé. Selon le rapport de l’ISP, le lien avec le niveau d’éducation est également très marquant : « </w:t>
      </w:r>
      <w:r w:rsidRPr="00C27636">
        <w:rPr>
          <w:rFonts w:ascii="Calibri" w:eastAsia="Calibri" w:hAnsi="Calibri" w:cs="Calibri"/>
          <w:i/>
          <w:iCs/>
          <w:lang w:val="fr-BE"/>
        </w:rPr>
        <w:t>17% des</w:t>
      </w:r>
      <w:r w:rsidRPr="00C27636">
        <w:rPr>
          <w:rFonts w:ascii="Calibri" w:eastAsia="Calibri" w:hAnsi="Calibri" w:cs="Calibri"/>
          <w:lang w:val="fr-BE"/>
        </w:rPr>
        <w:t xml:space="preserve"> </w:t>
      </w:r>
      <w:r w:rsidRPr="00C27636">
        <w:rPr>
          <w:rFonts w:ascii="Calibri" w:eastAsia="Calibri" w:hAnsi="Calibri" w:cs="Calibri"/>
          <w:i/>
          <w:iCs/>
          <w:lang w:val="fr-BE"/>
        </w:rPr>
        <w:t>ménages appartenant au niveau d’instruction le plus faible indiquent devoir reporter des soins</w:t>
      </w:r>
      <w:r w:rsidRPr="00C27636">
        <w:rPr>
          <w:rFonts w:ascii="Calibri" w:eastAsia="Calibri" w:hAnsi="Calibri" w:cs="Calibri"/>
          <w:i/>
          <w:iCs/>
          <w:lang w:val="fr-BE"/>
        </w:rPr>
        <w:t xml:space="preserve"> de santé et 6% seulement des ménages appartenant au niveau d’instruction le plus élevé. </w:t>
      </w:r>
      <w:r w:rsidRPr="00C27636">
        <w:rPr>
          <w:rFonts w:ascii="Calibri" w:eastAsia="Calibri" w:hAnsi="Calibri" w:cs="Calibri"/>
          <w:lang w:val="fr-BE"/>
        </w:rPr>
        <w:t>»</w:t>
      </w:r>
      <w:r w:rsidRPr="00C27636">
        <w:rPr>
          <w:rFonts w:ascii="Calibri" w:eastAsia="Calibri" w:hAnsi="Calibri" w:cs="Calibri"/>
          <w:sz w:val="27"/>
          <w:szCs w:val="27"/>
          <w:vertAlign w:val="superscript"/>
          <w:lang w:val="fr-BE"/>
        </w:rPr>
        <w:t>4</w:t>
      </w:r>
    </w:p>
    <w:p w:rsidR="00AC12B4" w:rsidRPr="00C27636" w:rsidRDefault="00AC12B4">
      <w:pPr>
        <w:spacing w:line="332" w:lineRule="exact"/>
        <w:rPr>
          <w:sz w:val="20"/>
          <w:szCs w:val="20"/>
          <w:lang w:val="fr-BE"/>
        </w:rPr>
      </w:pPr>
    </w:p>
    <w:p w:rsidR="00AC12B4" w:rsidRPr="00C27636" w:rsidRDefault="00C27636">
      <w:pPr>
        <w:ind w:left="340"/>
        <w:rPr>
          <w:sz w:val="20"/>
          <w:szCs w:val="20"/>
          <w:lang w:val="fr-BE"/>
        </w:rPr>
      </w:pPr>
      <w:r w:rsidRPr="00C27636">
        <w:rPr>
          <w:rFonts w:ascii="Calibri" w:eastAsia="Calibri" w:hAnsi="Calibri" w:cs="Calibri"/>
          <w:b/>
          <w:bCs/>
          <w:color w:val="919715"/>
          <w:sz w:val="20"/>
          <w:szCs w:val="20"/>
          <w:lang w:val="fr-BE"/>
        </w:rPr>
        <w:t>Question originale dans l’enquête HIS :</w:t>
      </w:r>
    </w:p>
    <w:p w:rsidR="00AC12B4" w:rsidRPr="00C27636" w:rsidRDefault="00AC12B4">
      <w:pPr>
        <w:spacing w:line="293" w:lineRule="exact"/>
        <w:rPr>
          <w:sz w:val="20"/>
          <w:szCs w:val="20"/>
          <w:lang w:val="fr-BE"/>
        </w:rPr>
      </w:pPr>
    </w:p>
    <w:p w:rsidR="00AC12B4" w:rsidRPr="00C27636" w:rsidRDefault="00C27636">
      <w:pPr>
        <w:ind w:right="540" w:firstLine="341"/>
        <w:rPr>
          <w:sz w:val="20"/>
          <w:szCs w:val="20"/>
          <w:lang w:val="fr-BE"/>
        </w:rPr>
      </w:pPr>
      <w:r w:rsidRPr="00C27636">
        <w:rPr>
          <w:rFonts w:ascii="Calibri" w:eastAsia="Calibri" w:hAnsi="Calibri" w:cs="Calibri"/>
          <w:i/>
          <w:iCs/>
          <w:color w:val="919715"/>
          <w:sz w:val="19"/>
          <w:szCs w:val="19"/>
          <w:lang w:val="fr-BE"/>
        </w:rPr>
        <w:t>Certaines personnes ne peuvent pas se permettre de se faire soigner alors qu'elles en ont réellement besoin. Nous souhaito</w:t>
      </w:r>
      <w:r w:rsidRPr="00C27636">
        <w:rPr>
          <w:rFonts w:ascii="Calibri" w:eastAsia="Calibri" w:hAnsi="Calibri" w:cs="Calibri"/>
          <w:i/>
          <w:iCs/>
          <w:color w:val="919715"/>
          <w:sz w:val="19"/>
          <w:szCs w:val="19"/>
          <w:lang w:val="fr-BE"/>
        </w:rPr>
        <w:t>ns savoir si vous avez connu ce type de problème au cours des 12 derniers mois.</w:t>
      </w:r>
    </w:p>
    <w:p w:rsidR="00AC12B4" w:rsidRPr="00C27636" w:rsidRDefault="00AC12B4">
      <w:pPr>
        <w:spacing w:line="49" w:lineRule="exact"/>
        <w:rPr>
          <w:sz w:val="20"/>
          <w:szCs w:val="20"/>
          <w:lang w:val="fr-BE"/>
        </w:rPr>
      </w:pPr>
    </w:p>
    <w:p w:rsidR="00AC12B4" w:rsidRPr="00C27636" w:rsidRDefault="00C27636">
      <w:pPr>
        <w:spacing w:line="224" w:lineRule="auto"/>
        <w:ind w:right="460" w:firstLine="341"/>
        <w:jc w:val="both"/>
        <w:rPr>
          <w:sz w:val="20"/>
          <w:szCs w:val="20"/>
          <w:lang w:val="fr-BE"/>
        </w:rPr>
      </w:pPr>
      <w:r w:rsidRPr="00C27636">
        <w:rPr>
          <w:rFonts w:ascii="Calibri" w:eastAsia="Calibri" w:hAnsi="Calibri" w:cs="Calibri"/>
          <w:i/>
          <w:iCs/>
          <w:color w:val="919715"/>
          <w:sz w:val="20"/>
          <w:szCs w:val="20"/>
          <w:lang w:val="fr-BE"/>
        </w:rPr>
        <w:t>Au cours des 12 derniers mois, votre ménage a-t-il été confronté à une situation où l'un d'entre vous a eu besoin de soins qu’il n’a pas pu se payer?</w:t>
      </w:r>
    </w:p>
    <w:p w:rsidR="00AC12B4" w:rsidRPr="00C27636" w:rsidRDefault="00C27636">
      <w:pPr>
        <w:numPr>
          <w:ilvl w:val="0"/>
          <w:numId w:val="100"/>
        </w:numPr>
        <w:tabs>
          <w:tab w:val="left" w:pos="720"/>
        </w:tabs>
        <w:spacing w:line="205" w:lineRule="auto"/>
        <w:ind w:left="720" w:hanging="363"/>
        <w:rPr>
          <w:rFonts w:ascii="Wingdings" w:eastAsia="Wingdings" w:hAnsi="Wingdings" w:cs="Wingdings"/>
          <w:color w:val="919715"/>
          <w:sz w:val="36"/>
          <w:szCs w:val="36"/>
          <w:vertAlign w:val="superscript"/>
          <w:lang w:val="fr-BE"/>
        </w:rPr>
      </w:pPr>
      <w:r w:rsidRPr="00C27636">
        <w:rPr>
          <w:rFonts w:ascii="Calibri" w:eastAsia="Calibri" w:hAnsi="Calibri" w:cs="Calibri"/>
          <w:i/>
          <w:iCs/>
          <w:color w:val="919715"/>
          <w:sz w:val="18"/>
          <w:szCs w:val="18"/>
          <w:lang w:val="fr-BE"/>
        </w:rPr>
        <w:t>Des soins médicaux ou une</w:t>
      </w:r>
      <w:r w:rsidRPr="00C27636">
        <w:rPr>
          <w:rFonts w:ascii="Calibri" w:eastAsia="Calibri" w:hAnsi="Calibri" w:cs="Calibri"/>
          <w:i/>
          <w:iCs/>
          <w:color w:val="919715"/>
          <w:sz w:val="18"/>
          <w:szCs w:val="18"/>
          <w:lang w:val="fr-BE"/>
        </w:rPr>
        <w:t xml:space="preserve"> opération?</w:t>
      </w:r>
    </w:p>
    <w:p w:rsidR="00AC12B4" w:rsidRPr="00C27636" w:rsidRDefault="00AC12B4">
      <w:pPr>
        <w:spacing w:line="74" w:lineRule="exact"/>
        <w:rPr>
          <w:rFonts w:ascii="Wingdings" w:eastAsia="Wingdings" w:hAnsi="Wingdings" w:cs="Wingdings"/>
          <w:color w:val="919715"/>
          <w:sz w:val="36"/>
          <w:szCs w:val="36"/>
          <w:vertAlign w:val="superscript"/>
          <w:lang w:val="fr-BE"/>
        </w:rPr>
      </w:pPr>
    </w:p>
    <w:p w:rsidR="00AC12B4" w:rsidRDefault="00C27636">
      <w:pPr>
        <w:numPr>
          <w:ilvl w:val="0"/>
          <w:numId w:val="100"/>
        </w:numPr>
        <w:tabs>
          <w:tab w:val="left" w:pos="720"/>
        </w:tabs>
        <w:spacing w:line="184" w:lineRule="auto"/>
        <w:ind w:left="720" w:hanging="363"/>
        <w:rPr>
          <w:rFonts w:ascii="Wingdings" w:eastAsia="Wingdings" w:hAnsi="Wingdings" w:cs="Wingdings"/>
          <w:color w:val="919715"/>
          <w:sz w:val="21"/>
          <w:szCs w:val="21"/>
          <w:vertAlign w:val="superscript"/>
        </w:rPr>
      </w:pPr>
      <w:r>
        <w:rPr>
          <w:rFonts w:ascii="Calibri" w:eastAsia="Calibri" w:hAnsi="Calibri" w:cs="Calibri"/>
          <w:i/>
          <w:iCs/>
          <w:color w:val="919715"/>
          <w:sz w:val="13"/>
          <w:szCs w:val="13"/>
        </w:rPr>
        <w:t>Des soins dentaires?</w:t>
      </w:r>
    </w:p>
    <w:p w:rsidR="00AC12B4" w:rsidRDefault="00AC12B4">
      <w:pPr>
        <w:spacing w:line="73" w:lineRule="exact"/>
        <w:rPr>
          <w:rFonts w:ascii="Wingdings" w:eastAsia="Wingdings" w:hAnsi="Wingdings" w:cs="Wingdings"/>
          <w:color w:val="919715"/>
          <w:sz w:val="21"/>
          <w:szCs w:val="21"/>
          <w:vertAlign w:val="superscript"/>
        </w:rPr>
      </w:pPr>
    </w:p>
    <w:p w:rsidR="00AC12B4" w:rsidRDefault="00C27636">
      <w:pPr>
        <w:numPr>
          <w:ilvl w:val="0"/>
          <w:numId w:val="100"/>
        </w:numPr>
        <w:tabs>
          <w:tab w:val="left" w:pos="720"/>
        </w:tabs>
        <w:spacing w:line="184" w:lineRule="auto"/>
        <w:ind w:left="720" w:hanging="363"/>
        <w:rPr>
          <w:rFonts w:ascii="Wingdings" w:eastAsia="Wingdings" w:hAnsi="Wingdings" w:cs="Wingdings"/>
          <w:color w:val="919715"/>
          <w:sz w:val="21"/>
          <w:szCs w:val="21"/>
          <w:vertAlign w:val="superscript"/>
        </w:rPr>
      </w:pPr>
      <w:r>
        <w:rPr>
          <w:rFonts w:ascii="Calibri" w:eastAsia="Calibri" w:hAnsi="Calibri" w:cs="Calibri"/>
          <w:i/>
          <w:iCs/>
          <w:color w:val="919715"/>
          <w:sz w:val="13"/>
          <w:szCs w:val="13"/>
        </w:rPr>
        <w:t>Des médicaments prescrits?</w:t>
      </w:r>
    </w:p>
    <w:p w:rsidR="00AC12B4" w:rsidRDefault="00AC12B4">
      <w:pPr>
        <w:spacing w:line="75" w:lineRule="exact"/>
        <w:rPr>
          <w:rFonts w:ascii="Wingdings" w:eastAsia="Wingdings" w:hAnsi="Wingdings" w:cs="Wingdings"/>
          <w:color w:val="919715"/>
          <w:sz w:val="21"/>
          <w:szCs w:val="21"/>
          <w:vertAlign w:val="superscript"/>
        </w:rPr>
      </w:pPr>
    </w:p>
    <w:p w:rsidR="00AC12B4" w:rsidRPr="00C27636" w:rsidRDefault="00C27636">
      <w:pPr>
        <w:numPr>
          <w:ilvl w:val="0"/>
          <w:numId w:val="100"/>
        </w:numPr>
        <w:tabs>
          <w:tab w:val="left" w:pos="720"/>
        </w:tabs>
        <w:spacing w:line="184" w:lineRule="auto"/>
        <w:ind w:left="720" w:hanging="363"/>
        <w:rPr>
          <w:rFonts w:ascii="Wingdings" w:eastAsia="Wingdings" w:hAnsi="Wingdings" w:cs="Wingdings"/>
          <w:color w:val="919715"/>
          <w:sz w:val="21"/>
          <w:szCs w:val="21"/>
          <w:vertAlign w:val="superscript"/>
          <w:lang w:val="fr-BE"/>
        </w:rPr>
      </w:pPr>
      <w:r w:rsidRPr="00C27636">
        <w:rPr>
          <w:rFonts w:ascii="Calibri" w:eastAsia="Calibri" w:hAnsi="Calibri" w:cs="Calibri"/>
          <w:i/>
          <w:iCs/>
          <w:color w:val="919715"/>
          <w:sz w:val="13"/>
          <w:szCs w:val="13"/>
          <w:lang w:val="fr-BE"/>
        </w:rPr>
        <w:t>Des lunettes ou des lentilles?</w:t>
      </w:r>
    </w:p>
    <w:p w:rsidR="00AC12B4" w:rsidRPr="00C27636" w:rsidRDefault="00AC12B4">
      <w:pPr>
        <w:spacing w:line="73" w:lineRule="exact"/>
        <w:rPr>
          <w:rFonts w:ascii="Wingdings" w:eastAsia="Wingdings" w:hAnsi="Wingdings" w:cs="Wingdings"/>
          <w:color w:val="919715"/>
          <w:sz w:val="21"/>
          <w:szCs w:val="21"/>
          <w:vertAlign w:val="superscript"/>
          <w:lang w:val="fr-BE"/>
        </w:rPr>
      </w:pPr>
    </w:p>
    <w:p w:rsidR="00AC12B4" w:rsidRPr="00C27636" w:rsidRDefault="00C27636">
      <w:pPr>
        <w:numPr>
          <w:ilvl w:val="0"/>
          <w:numId w:val="100"/>
        </w:numPr>
        <w:tabs>
          <w:tab w:val="left" w:pos="720"/>
        </w:tabs>
        <w:spacing w:line="180" w:lineRule="auto"/>
        <w:ind w:left="720" w:right="660" w:hanging="363"/>
        <w:rPr>
          <w:rFonts w:ascii="Wingdings" w:eastAsia="Wingdings" w:hAnsi="Wingdings" w:cs="Wingdings"/>
          <w:color w:val="919715"/>
          <w:sz w:val="33"/>
          <w:szCs w:val="33"/>
          <w:vertAlign w:val="superscript"/>
          <w:lang w:val="fr-BE"/>
        </w:rPr>
      </w:pPr>
      <w:r w:rsidRPr="00C27636">
        <w:rPr>
          <w:rFonts w:ascii="Calibri" w:eastAsia="Calibri" w:hAnsi="Calibri" w:cs="Calibri"/>
          <w:i/>
          <w:iCs/>
          <w:color w:val="919715"/>
          <w:sz w:val="17"/>
          <w:szCs w:val="17"/>
          <w:lang w:val="fr-BE"/>
        </w:rPr>
        <w:t>Des soins de santé mentale, par un psychologue ou un psychiatre, par exemple?</w:t>
      </w:r>
    </w:p>
    <w:p w:rsidR="00AC12B4" w:rsidRPr="00C27636" w:rsidRDefault="00AC12B4">
      <w:pPr>
        <w:spacing w:line="200" w:lineRule="exact"/>
        <w:rPr>
          <w:sz w:val="20"/>
          <w:szCs w:val="20"/>
          <w:lang w:val="fr-BE"/>
        </w:rPr>
      </w:pPr>
    </w:p>
    <w:p w:rsidR="00AC12B4" w:rsidRPr="00C27636" w:rsidRDefault="00AC12B4">
      <w:pPr>
        <w:spacing w:line="317" w:lineRule="exact"/>
        <w:rPr>
          <w:sz w:val="20"/>
          <w:szCs w:val="20"/>
          <w:lang w:val="fr-BE"/>
        </w:rPr>
      </w:pPr>
    </w:p>
    <w:p w:rsidR="00AC12B4" w:rsidRDefault="00C27636">
      <w:pPr>
        <w:ind w:left="520"/>
        <w:rPr>
          <w:sz w:val="20"/>
          <w:szCs w:val="20"/>
        </w:rPr>
      </w:pPr>
      <w:r>
        <w:rPr>
          <w:rFonts w:ascii="Cambria" w:eastAsia="Cambria" w:hAnsi="Cambria" w:cs="Cambria"/>
          <w:b/>
          <w:bCs/>
          <w:i/>
          <w:iCs/>
          <w:color w:val="919715"/>
          <w:sz w:val="26"/>
          <w:szCs w:val="26"/>
        </w:rPr>
        <w:t>D’où viennent ces chiffres ?</w:t>
      </w:r>
    </w:p>
    <w:p w:rsidR="00AC12B4" w:rsidRDefault="00AC12B4">
      <w:pPr>
        <w:spacing w:line="166" w:lineRule="exact"/>
        <w:rPr>
          <w:sz w:val="20"/>
          <w:szCs w:val="20"/>
        </w:rPr>
      </w:pPr>
    </w:p>
    <w:p w:rsidR="00AC12B4" w:rsidRDefault="00C27636">
      <w:pPr>
        <w:numPr>
          <w:ilvl w:val="0"/>
          <w:numId w:val="101"/>
        </w:numPr>
        <w:tabs>
          <w:tab w:val="left" w:pos="1240"/>
        </w:tabs>
        <w:ind w:left="1240" w:hanging="360"/>
        <w:rPr>
          <w:rFonts w:ascii="Wingdings" w:eastAsia="Wingdings" w:hAnsi="Wingdings" w:cs="Wingdings"/>
          <w:color w:val="C9D11D"/>
        </w:rPr>
      </w:pPr>
      <w:r>
        <w:rPr>
          <w:rFonts w:ascii="Cambria" w:eastAsia="Cambria" w:hAnsi="Cambria" w:cs="Cambria"/>
          <w:i/>
          <w:iCs/>
          <w:color w:val="C9D11D"/>
        </w:rPr>
        <w:t>L’enquête nationale de santé</w:t>
      </w:r>
    </w:p>
    <w:p w:rsidR="00AC12B4" w:rsidRDefault="00AC12B4">
      <w:pPr>
        <w:spacing w:line="39" w:lineRule="exact"/>
        <w:rPr>
          <w:rFonts w:ascii="Wingdings" w:eastAsia="Wingdings" w:hAnsi="Wingdings" w:cs="Wingdings"/>
          <w:color w:val="C9D11D"/>
        </w:rPr>
      </w:pPr>
    </w:p>
    <w:p w:rsidR="00AC12B4" w:rsidRDefault="00C27636">
      <w:pPr>
        <w:ind w:left="1240"/>
        <w:rPr>
          <w:rFonts w:ascii="Wingdings" w:eastAsia="Wingdings" w:hAnsi="Wingdings" w:cs="Wingdings"/>
          <w:color w:val="C9D11D"/>
        </w:rPr>
      </w:pPr>
      <w:r>
        <w:rPr>
          <w:rFonts w:ascii="Cambria" w:eastAsia="Cambria" w:hAnsi="Cambria" w:cs="Cambria"/>
          <w:i/>
          <w:iCs/>
          <w:color w:val="C9D11D"/>
        </w:rPr>
        <w:t>(HIS)</w:t>
      </w:r>
    </w:p>
    <w:p w:rsidR="00AC12B4" w:rsidRDefault="00AC12B4">
      <w:pPr>
        <w:spacing w:line="150" w:lineRule="exact"/>
        <w:rPr>
          <w:sz w:val="20"/>
          <w:szCs w:val="20"/>
        </w:rPr>
      </w:pPr>
    </w:p>
    <w:p w:rsidR="00AC12B4" w:rsidRPr="00C27636" w:rsidRDefault="00C27636">
      <w:pPr>
        <w:ind w:left="520"/>
        <w:rPr>
          <w:sz w:val="20"/>
          <w:szCs w:val="20"/>
          <w:lang w:val="fr-BE"/>
        </w:rPr>
      </w:pPr>
      <w:r w:rsidRPr="00C27636">
        <w:rPr>
          <w:rFonts w:ascii="Calibri" w:eastAsia="Calibri" w:hAnsi="Calibri" w:cs="Calibri"/>
          <w:lang w:val="fr-BE"/>
        </w:rPr>
        <w:t xml:space="preserve">L’enquête HIS </w:t>
      </w:r>
      <w:r w:rsidRPr="00C27636">
        <w:rPr>
          <w:rFonts w:ascii="Calibri" w:eastAsia="Calibri" w:hAnsi="Calibri" w:cs="Calibri"/>
          <w:lang w:val="fr-BE"/>
        </w:rPr>
        <w:t>est décrite dans la section</w:t>
      </w:r>
    </w:p>
    <w:p w:rsidR="00AC12B4" w:rsidRPr="00C27636" w:rsidRDefault="00C27636">
      <w:pPr>
        <w:numPr>
          <w:ilvl w:val="0"/>
          <w:numId w:val="102"/>
        </w:numPr>
        <w:tabs>
          <w:tab w:val="left" w:pos="680"/>
        </w:tabs>
        <w:ind w:left="680" w:hanging="160"/>
        <w:rPr>
          <w:rFonts w:ascii="Calibri" w:eastAsia="Calibri" w:hAnsi="Calibri" w:cs="Calibri"/>
          <w:lang w:val="fr-BE"/>
        </w:rPr>
      </w:pPr>
      <w:r w:rsidRPr="00C27636">
        <w:rPr>
          <w:rFonts w:ascii="Calibri" w:eastAsia="Calibri" w:hAnsi="Calibri" w:cs="Calibri"/>
          <w:lang w:val="fr-BE"/>
        </w:rPr>
        <w:t>sources » de cette publication (Partie I).</w:t>
      </w:r>
    </w:p>
    <w:p w:rsidR="00AC12B4" w:rsidRPr="00C27636" w:rsidRDefault="00AC12B4">
      <w:pPr>
        <w:spacing w:line="49" w:lineRule="exact"/>
        <w:rPr>
          <w:rFonts w:ascii="Calibri" w:eastAsia="Calibri" w:hAnsi="Calibri" w:cs="Calibri"/>
          <w:lang w:val="fr-BE"/>
        </w:rPr>
      </w:pPr>
    </w:p>
    <w:p w:rsidR="00AC12B4" w:rsidRPr="00C27636" w:rsidRDefault="00C27636">
      <w:pPr>
        <w:spacing w:line="218" w:lineRule="auto"/>
        <w:ind w:left="520" w:right="460"/>
        <w:rPr>
          <w:rFonts w:ascii="Calibri" w:eastAsia="Calibri" w:hAnsi="Calibri" w:cs="Calibri"/>
          <w:lang w:val="fr-BE"/>
        </w:rPr>
      </w:pPr>
      <w:r w:rsidRPr="00C27636">
        <w:rPr>
          <w:rFonts w:ascii="Calibri" w:eastAsia="Calibri" w:hAnsi="Calibri" w:cs="Calibri"/>
          <w:lang w:val="fr-BE"/>
        </w:rPr>
        <w:t>L’objectif, les modalités et les limites des données collectées y sont présentés.</w:t>
      </w:r>
    </w:p>
    <w:p w:rsidR="00AC12B4" w:rsidRPr="00C27636" w:rsidRDefault="00AC12B4">
      <w:pPr>
        <w:spacing w:line="170" w:lineRule="exact"/>
        <w:rPr>
          <w:sz w:val="20"/>
          <w:szCs w:val="20"/>
          <w:lang w:val="fr-BE"/>
        </w:rPr>
      </w:pPr>
    </w:p>
    <w:p w:rsidR="00AC12B4" w:rsidRPr="00C27636" w:rsidRDefault="00C27636">
      <w:pPr>
        <w:spacing w:line="235" w:lineRule="auto"/>
        <w:ind w:left="520" w:right="460"/>
        <w:jc w:val="both"/>
        <w:rPr>
          <w:sz w:val="20"/>
          <w:szCs w:val="20"/>
          <w:lang w:val="fr-BE"/>
        </w:rPr>
      </w:pPr>
      <w:r w:rsidRPr="00C27636">
        <w:rPr>
          <w:rFonts w:ascii="Calibri" w:eastAsia="Calibri" w:hAnsi="Calibri" w:cs="Calibri"/>
          <w:lang w:val="fr-BE"/>
        </w:rPr>
        <w:t>La question utilisée pour cet indicateur est posée dans le questionnaire à destination des ménages et</w:t>
      </w:r>
      <w:r w:rsidRPr="00C27636">
        <w:rPr>
          <w:rFonts w:ascii="Calibri" w:eastAsia="Calibri" w:hAnsi="Calibri" w:cs="Calibri"/>
          <w:lang w:val="fr-BE"/>
        </w:rPr>
        <w:t xml:space="preserve"> n’est donc pas directement centrée sur l’enfant. Notre indicateur couple cette question avec l’information sur le nombre d’enfants vivant dans le ménage pour obtenir le « % d’enfants vivant dans un ménage ayant déclaré avoir dû postposer des soins de sant</w:t>
      </w:r>
      <w:r w:rsidRPr="00C27636">
        <w:rPr>
          <w:rFonts w:ascii="Calibri" w:eastAsia="Calibri" w:hAnsi="Calibri" w:cs="Calibri"/>
          <w:lang w:val="fr-BE"/>
        </w:rPr>
        <w:t>é pour des raisons financières ».</w:t>
      </w:r>
    </w:p>
    <w:p w:rsidR="00AC12B4" w:rsidRPr="00C27636" w:rsidRDefault="00AC12B4">
      <w:pPr>
        <w:spacing w:line="135" w:lineRule="exact"/>
        <w:rPr>
          <w:sz w:val="20"/>
          <w:szCs w:val="20"/>
          <w:lang w:val="fr-BE"/>
        </w:rPr>
      </w:pPr>
    </w:p>
    <w:p w:rsidR="00AC12B4" w:rsidRDefault="00C27636">
      <w:pPr>
        <w:numPr>
          <w:ilvl w:val="0"/>
          <w:numId w:val="103"/>
        </w:numPr>
        <w:tabs>
          <w:tab w:val="left" w:pos="1240"/>
        </w:tabs>
        <w:ind w:left="1240" w:hanging="360"/>
        <w:rPr>
          <w:rFonts w:ascii="Wingdings" w:eastAsia="Wingdings" w:hAnsi="Wingdings" w:cs="Wingdings"/>
          <w:color w:val="C9D11D"/>
        </w:rPr>
      </w:pPr>
      <w:r>
        <w:rPr>
          <w:rFonts w:ascii="Cambria" w:eastAsia="Cambria" w:hAnsi="Cambria" w:cs="Cambria"/>
          <w:i/>
          <w:iCs/>
          <w:color w:val="C9D11D"/>
        </w:rPr>
        <w:t>Limite de la mesure</w:t>
      </w:r>
    </w:p>
    <w:p w:rsidR="00AC12B4" w:rsidRDefault="00AC12B4">
      <w:pPr>
        <w:spacing w:line="200" w:lineRule="exact"/>
        <w:rPr>
          <w:sz w:val="20"/>
          <w:szCs w:val="20"/>
        </w:rPr>
      </w:pPr>
    </w:p>
    <w:p w:rsidR="00AC12B4" w:rsidRDefault="00AC12B4">
      <w:pPr>
        <w:spacing w:line="318" w:lineRule="exact"/>
        <w:rPr>
          <w:sz w:val="20"/>
          <w:szCs w:val="20"/>
        </w:rPr>
      </w:pPr>
    </w:p>
    <w:p w:rsidR="00AC12B4" w:rsidRDefault="00C27636">
      <w:pPr>
        <w:numPr>
          <w:ilvl w:val="0"/>
          <w:numId w:val="104"/>
        </w:numPr>
        <w:tabs>
          <w:tab w:val="left" w:pos="640"/>
        </w:tabs>
        <w:ind w:left="640" w:hanging="120"/>
        <w:rPr>
          <w:rFonts w:ascii="Calibri" w:eastAsia="Calibri" w:hAnsi="Calibri" w:cs="Calibri"/>
          <w:sz w:val="26"/>
          <w:szCs w:val="26"/>
          <w:vertAlign w:val="superscript"/>
        </w:rPr>
      </w:pPr>
      <w:r>
        <w:rPr>
          <w:rFonts w:ascii="Calibri" w:eastAsia="Calibri" w:hAnsi="Calibri" w:cs="Calibri"/>
          <w:sz w:val="20"/>
          <w:szCs w:val="20"/>
        </w:rPr>
        <w:t>Idem, p. 817</w:t>
      </w:r>
    </w:p>
    <w:p w:rsidR="00AC12B4" w:rsidRDefault="00AC12B4">
      <w:pPr>
        <w:spacing w:line="241" w:lineRule="exact"/>
        <w:rPr>
          <w:sz w:val="20"/>
          <w:szCs w:val="20"/>
        </w:rPr>
      </w:pPr>
    </w:p>
    <w:p w:rsidR="00AC12B4" w:rsidRDefault="00C27636">
      <w:pPr>
        <w:jc w:val="right"/>
        <w:rPr>
          <w:sz w:val="20"/>
          <w:szCs w:val="20"/>
        </w:rPr>
      </w:pPr>
      <w:r>
        <w:rPr>
          <w:rFonts w:ascii="Calibri" w:eastAsia="Calibri" w:hAnsi="Calibri" w:cs="Calibri"/>
        </w:rPr>
        <w:t>76</w:t>
      </w:r>
    </w:p>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Pr="00C27636" w:rsidRDefault="00C27636">
      <w:pPr>
        <w:spacing w:line="236" w:lineRule="auto"/>
        <w:ind w:right="737"/>
        <w:jc w:val="both"/>
        <w:rPr>
          <w:sz w:val="20"/>
          <w:szCs w:val="20"/>
          <w:lang w:val="fr-BE"/>
        </w:rPr>
      </w:pPr>
      <w:r w:rsidRPr="00C27636">
        <w:rPr>
          <w:rFonts w:ascii="Calibri" w:eastAsia="Calibri" w:hAnsi="Calibri" w:cs="Calibri"/>
          <w:lang w:val="fr-BE"/>
        </w:rPr>
        <w:t>Bien que recentrée sur l’enfant, la question, posée au ménage, ne permet pas d’identifier quel membre a pâti de cette postposition de soins. Nous ne pouvons donc nullement déduire</w:t>
      </w:r>
      <w:r w:rsidRPr="00C27636">
        <w:rPr>
          <w:rFonts w:ascii="Calibri" w:eastAsia="Calibri" w:hAnsi="Calibri" w:cs="Calibri"/>
          <w:lang w:val="fr-BE"/>
        </w:rPr>
        <w:t xml:space="preserve"> de ces chiffres que des enfants n’ont pas pu bénéficier des soins qui leur étaient nécessaires. Cependant, la postposition de soins de santé dans un ménage est sans nul doute un bon indicateur d'un problème existant (voir aussi ‘Pour aller plus loin’, pou</w:t>
      </w:r>
      <w:r w:rsidRPr="00C27636">
        <w:rPr>
          <w:rFonts w:ascii="Calibri" w:eastAsia="Calibri" w:hAnsi="Calibri" w:cs="Calibri"/>
          <w:lang w:val="fr-BE"/>
        </w:rPr>
        <w:t>r un couplage avec la consommation de soins).</w:t>
      </w:r>
    </w:p>
    <w:p w:rsidR="00AC12B4" w:rsidRPr="00C27636" w:rsidRDefault="00AC12B4">
      <w:pPr>
        <w:spacing w:line="174"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lang w:val="fr-BE"/>
        </w:rPr>
        <w:t>De plus, l’accessibilité à un service n’est pas limitée à l’aspect financier. D’autres barrières peuvent exister : accessibilité géographique, culturelle, psychologique,…</w:t>
      </w:r>
    </w:p>
    <w:p w:rsidR="00AC12B4" w:rsidRPr="00C27636" w:rsidRDefault="00AC12B4">
      <w:pPr>
        <w:spacing w:line="173" w:lineRule="exact"/>
        <w:rPr>
          <w:sz w:val="20"/>
          <w:szCs w:val="20"/>
          <w:lang w:val="fr-BE"/>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L’enquête nationale de santé base son</w:t>
      </w:r>
      <w:r w:rsidRPr="00C27636">
        <w:rPr>
          <w:rFonts w:ascii="Calibri" w:eastAsia="Calibri" w:hAnsi="Calibri" w:cs="Calibri"/>
          <w:lang w:val="fr-BE"/>
        </w:rPr>
        <w:t xml:space="preserve"> échantillonnage sur le numéro de Registre National et mène les interviews au domicile des ménages sélectionnés. Les enfants en séjour illégal ou sans domicile fixe ne sont donc pas repris dans cette enquête. Ils sont pourtant plus que d’autres susceptible</w:t>
      </w:r>
      <w:r w:rsidRPr="00C27636">
        <w:rPr>
          <w:rFonts w:ascii="Calibri" w:eastAsia="Calibri" w:hAnsi="Calibri" w:cs="Calibri"/>
          <w:lang w:val="fr-BE"/>
        </w:rPr>
        <w:t>s d’avoir une accessibilité aux soins de santé problématique.</w:t>
      </w:r>
    </w:p>
    <w:p w:rsidR="00AC12B4" w:rsidRPr="00C27636" w:rsidRDefault="00AC12B4">
      <w:pPr>
        <w:spacing w:line="176"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En outre, cet indicateur s’attarde uniquement aux soins de santé médicaux, pas à l’aide psychologique, ni à d’autres types de soins et de rééducations.</w:t>
      </w:r>
    </w:p>
    <w:p w:rsidR="00AC12B4" w:rsidRPr="00C27636" w:rsidRDefault="00AC12B4">
      <w:pPr>
        <w:spacing w:line="128" w:lineRule="exact"/>
        <w:rPr>
          <w:sz w:val="20"/>
          <w:szCs w:val="20"/>
          <w:lang w:val="fr-BE"/>
        </w:rPr>
      </w:pPr>
    </w:p>
    <w:p w:rsidR="00AC12B4" w:rsidRDefault="00C27636">
      <w:pPr>
        <w:numPr>
          <w:ilvl w:val="0"/>
          <w:numId w:val="105"/>
        </w:numPr>
        <w:tabs>
          <w:tab w:val="left" w:pos="720"/>
        </w:tabs>
        <w:ind w:left="720" w:hanging="355"/>
        <w:rPr>
          <w:rFonts w:ascii="Wingdings" w:eastAsia="Wingdings" w:hAnsi="Wingdings" w:cs="Wingdings"/>
          <w:color w:val="C9D11D"/>
        </w:rPr>
      </w:pPr>
      <w:r>
        <w:rPr>
          <w:rFonts w:ascii="Cambria" w:eastAsia="Cambria" w:hAnsi="Cambria" w:cs="Cambria"/>
          <w:i/>
          <w:iCs/>
          <w:color w:val="C9D11D"/>
        </w:rPr>
        <w:t>Recommandation</w:t>
      </w:r>
    </w:p>
    <w:p w:rsidR="00AC12B4" w:rsidRDefault="00AC12B4">
      <w:pPr>
        <w:spacing w:line="199" w:lineRule="exact"/>
        <w:rPr>
          <w:sz w:val="20"/>
          <w:szCs w:val="20"/>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Il serait très intéressa</w:t>
      </w:r>
      <w:r w:rsidRPr="00C27636">
        <w:rPr>
          <w:rFonts w:ascii="Calibri" w:eastAsia="Calibri" w:hAnsi="Calibri" w:cs="Calibri"/>
          <w:lang w:val="fr-BE"/>
        </w:rPr>
        <w:t>nt de savoir pour quel membre du ménage des soins ont été postposés. Cette précision devrait être ajoutée aux prochaines enquêtes HIS.</w:t>
      </w:r>
    </w:p>
    <w:p w:rsidR="00AC12B4" w:rsidRPr="00C27636" w:rsidRDefault="00AC12B4">
      <w:pPr>
        <w:spacing w:line="207" w:lineRule="exact"/>
        <w:rPr>
          <w:sz w:val="20"/>
          <w:szCs w:val="20"/>
          <w:lang w:val="fr-BE"/>
        </w:rPr>
      </w:pPr>
    </w:p>
    <w:p w:rsidR="00AC12B4" w:rsidRPr="00C27636" w:rsidRDefault="00C27636">
      <w:pPr>
        <w:ind w:left="60"/>
        <w:rPr>
          <w:sz w:val="20"/>
          <w:szCs w:val="20"/>
          <w:lang w:val="fr-BE"/>
        </w:rPr>
      </w:pPr>
      <w:r w:rsidRPr="00C27636">
        <w:rPr>
          <w:rFonts w:ascii="Cambria" w:eastAsia="Cambria" w:hAnsi="Cambria" w:cs="Cambria"/>
          <w:b/>
          <w:bCs/>
          <w:i/>
          <w:iCs/>
          <w:color w:val="919715"/>
          <w:sz w:val="26"/>
          <w:szCs w:val="26"/>
          <w:lang w:val="fr-BE"/>
        </w:rPr>
        <w:t>Pour aller plus loin</w:t>
      </w:r>
    </w:p>
    <w:p w:rsidR="00AC12B4" w:rsidRPr="00C27636" w:rsidRDefault="00AC12B4">
      <w:pPr>
        <w:spacing w:line="239" w:lineRule="exact"/>
        <w:rPr>
          <w:sz w:val="20"/>
          <w:szCs w:val="20"/>
          <w:lang w:val="fr-BE"/>
        </w:rPr>
      </w:pPr>
    </w:p>
    <w:p w:rsidR="00AC12B4" w:rsidRPr="00C27636" w:rsidRDefault="00C27636">
      <w:pPr>
        <w:numPr>
          <w:ilvl w:val="0"/>
          <w:numId w:val="106"/>
        </w:numPr>
        <w:tabs>
          <w:tab w:val="left" w:pos="440"/>
        </w:tabs>
        <w:spacing w:line="221" w:lineRule="auto"/>
        <w:ind w:left="440" w:right="737" w:hanging="367"/>
        <w:jc w:val="both"/>
        <w:rPr>
          <w:rFonts w:ascii="Symbol" w:eastAsia="Symbol" w:hAnsi="Symbol" w:cs="Symbol"/>
          <w:lang w:val="fr-BE"/>
        </w:rPr>
      </w:pPr>
      <w:r w:rsidRPr="00C27636">
        <w:rPr>
          <w:rFonts w:ascii="Calibri" w:eastAsia="Calibri" w:hAnsi="Calibri" w:cs="Calibri"/>
          <w:b/>
          <w:bCs/>
          <w:i/>
          <w:iCs/>
          <w:color w:val="9BBB59"/>
          <w:sz w:val="20"/>
          <w:szCs w:val="20"/>
          <w:lang w:val="fr-BE"/>
        </w:rPr>
        <w:t xml:space="preserve">Des dépenses difficiles à intégrer dans le budget familial: </w:t>
      </w:r>
      <w:r w:rsidRPr="00C27636">
        <w:rPr>
          <w:rFonts w:ascii="Calibri" w:eastAsia="Calibri" w:hAnsi="Calibri" w:cs="Calibri"/>
          <w:color w:val="000000"/>
          <w:sz w:val="20"/>
          <w:szCs w:val="20"/>
          <w:lang w:val="fr-BE"/>
        </w:rPr>
        <w:t>Toujours selon l’enquête</w:t>
      </w:r>
    </w:p>
    <w:p w:rsidR="00AC12B4" w:rsidRPr="00C27636" w:rsidRDefault="00AC12B4">
      <w:pPr>
        <w:spacing w:line="83" w:lineRule="exact"/>
        <w:rPr>
          <w:rFonts w:ascii="Symbol" w:eastAsia="Symbol" w:hAnsi="Symbol" w:cs="Symbol"/>
          <w:lang w:val="fr-BE"/>
        </w:rPr>
      </w:pPr>
    </w:p>
    <w:p w:rsidR="00AC12B4" w:rsidRPr="00C27636" w:rsidRDefault="00C27636">
      <w:pPr>
        <w:spacing w:line="268" w:lineRule="auto"/>
        <w:ind w:left="440" w:right="737"/>
        <w:jc w:val="both"/>
        <w:rPr>
          <w:rFonts w:ascii="Symbol" w:eastAsia="Symbol" w:hAnsi="Symbol" w:cs="Symbol"/>
          <w:lang w:val="fr-BE"/>
        </w:rPr>
      </w:pPr>
      <w:r w:rsidRPr="00C27636">
        <w:rPr>
          <w:rFonts w:ascii="Calibri" w:eastAsia="Calibri" w:hAnsi="Calibri" w:cs="Calibri"/>
          <w:sz w:val="20"/>
          <w:szCs w:val="20"/>
          <w:lang w:val="fr-BE"/>
        </w:rPr>
        <w:t>HIS, 26% des</w:t>
      </w:r>
      <w:r w:rsidRPr="00C27636">
        <w:rPr>
          <w:rFonts w:ascii="Calibri" w:eastAsia="Calibri" w:hAnsi="Calibri" w:cs="Calibri"/>
          <w:sz w:val="20"/>
          <w:szCs w:val="20"/>
          <w:lang w:val="fr-BE"/>
        </w:rPr>
        <w:t xml:space="preserve"> ménages estiment en 2013 que leurs dépenses en soins de santé sont (très) difficiles à intégrer dans le budget familial. Ce pourcentage est largement inférieur aux 35% de 2008. Le chiffre monte toutefois à 45% pour les familles monoparentales (52.5% en 20</w:t>
      </w:r>
      <w:r w:rsidRPr="00C27636">
        <w:rPr>
          <w:rFonts w:ascii="Calibri" w:eastAsia="Calibri" w:hAnsi="Calibri" w:cs="Calibri"/>
          <w:sz w:val="20"/>
          <w:szCs w:val="20"/>
          <w:lang w:val="fr-BE"/>
        </w:rPr>
        <w:t>08).</w:t>
      </w:r>
    </w:p>
    <w:p w:rsidR="00AC12B4" w:rsidRPr="00C27636" w:rsidRDefault="00AC12B4">
      <w:pPr>
        <w:rPr>
          <w:lang w:val="fr-BE"/>
        </w:rPr>
        <w:sectPr w:rsidR="00AC12B4" w:rsidRPr="00C27636">
          <w:pgSz w:w="12080" w:h="17179"/>
          <w:pgMar w:top="1440" w:right="1440" w:bottom="659" w:left="485" w:header="0" w:footer="0" w:gutter="0"/>
          <w:cols w:num="3" w:space="720" w:equalWidth="0">
            <w:col w:w="342" w:space="93"/>
            <w:col w:w="4860" w:space="240"/>
            <w:col w:w="4617"/>
          </w:cols>
        </w:sectPr>
      </w:pPr>
    </w:p>
    <w:p w:rsidR="00AC12B4" w:rsidRPr="00C27636" w:rsidRDefault="00AC12B4">
      <w:pPr>
        <w:spacing w:line="223" w:lineRule="exact"/>
        <w:rPr>
          <w:sz w:val="20"/>
          <w:szCs w:val="20"/>
          <w:lang w:val="fr-BE"/>
        </w:rPr>
      </w:pPr>
      <w:bookmarkStart w:id="76" w:name="page77"/>
      <w:bookmarkEnd w:id="76"/>
    </w:p>
    <w:p w:rsidR="00AC12B4" w:rsidRPr="00C27636" w:rsidRDefault="00C27636">
      <w:pPr>
        <w:numPr>
          <w:ilvl w:val="0"/>
          <w:numId w:val="107"/>
        </w:numPr>
        <w:tabs>
          <w:tab w:val="left" w:pos="1000"/>
        </w:tabs>
        <w:spacing w:line="251" w:lineRule="auto"/>
        <w:ind w:left="1000" w:right="480" w:hanging="366"/>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Une consommation de soins différente selon les provinces : </w:t>
      </w:r>
      <w:r w:rsidRPr="00C27636">
        <w:rPr>
          <w:rFonts w:ascii="Calibri" w:eastAsia="Calibri" w:hAnsi="Calibri" w:cs="Calibri"/>
          <w:color w:val="000000"/>
          <w:sz w:val="20"/>
          <w:szCs w:val="20"/>
          <w:lang w:val="fr-BE"/>
        </w:rPr>
        <w:t>Les données INAMI</w:t>
      </w:r>
      <w:r w:rsidRPr="00C27636">
        <w:rPr>
          <w:rFonts w:ascii="Calibri" w:eastAsia="Calibri" w:hAnsi="Calibri" w:cs="Calibri"/>
          <w:color w:val="000000"/>
          <w:sz w:val="25"/>
          <w:szCs w:val="25"/>
          <w:vertAlign w:val="superscript"/>
          <w:lang w:val="fr-BE"/>
        </w:rPr>
        <w:t>5</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sur les contacts ambulatoires des 0-14 ans en Belgique montrent que bien que le % d’enfants n’ayant aucun contact avec un médecin dans l’année</w:t>
      </w:r>
      <w:r w:rsidRPr="00C27636">
        <w:rPr>
          <w:rFonts w:ascii="Calibri" w:eastAsia="Calibri" w:hAnsi="Calibri" w:cs="Calibri"/>
          <w:color w:val="000000"/>
          <w:sz w:val="20"/>
          <w:szCs w:val="20"/>
          <w:lang w:val="fr-BE"/>
        </w:rPr>
        <w:t xml:space="preserve"> oscille autour de</w:t>
      </w:r>
    </w:p>
    <w:p w:rsidR="00AC12B4" w:rsidRPr="00C27636" w:rsidRDefault="00AC12B4">
      <w:pPr>
        <w:spacing w:line="28" w:lineRule="exact"/>
        <w:rPr>
          <w:rFonts w:ascii="Symbol" w:eastAsia="Symbol" w:hAnsi="Symbol" w:cs="Symbol"/>
          <w:sz w:val="20"/>
          <w:szCs w:val="20"/>
          <w:lang w:val="fr-BE"/>
        </w:rPr>
      </w:pPr>
    </w:p>
    <w:p w:rsidR="00AC12B4" w:rsidRPr="00C27636" w:rsidRDefault="00C27636">
      <w:pPr>
        <w:ind w:left="1000"/>
        <w:rPr>
          <w:rFonts w:ascii="Symbol" w:eastAsia="Symbol" w:hAnsi="Symbol" w:cs="Symbol"/>
          <w:sz w:val="20"/>
          <w:szCs w:val="20"/>
          <w:lang w:val="fr-BE"/>
        </w:rPr>
      </w:pPr>
      <w:r w:rsidRPr="00C27636">
        <w:rPr>
          <w:rFonts w:ascii="Calibri" w:eastAsia="Calibri" w:hAnsi="Calibri" w:cs="Calibri"/>
          <w:sz w:val="20"/>
          <w:szCs w:val="20"/>
          <w:lang w:val="fr-BE"/>
        </w:rPr>
        <w:t>14%  dans  les  différentes  provinces,  à</w:t>
      </w:r>
    </w:p>
    <w:p w:rsidR="00AC12B4" w:rsidRPr="00C27636" w:rsidRDefault="00AC12B4">
      <w:pPr>
        <w:spacing w:line="83" w:lineRule="exact"/>
        <w:rPr>
          <w:rFonts w:ascii="Symbol" w:eastAsia="Symbol" w:hAnsi="Symbol" w:cs="Symbol"/>
          <w:sz w:val="20"/>
          <w:szCs w:val="20"/>
          <w:lang w:val="fr-BE"/>
        </w:rPr>
      </w:pPr>
    </w:p>
    <w:p w:rsidR="00AC12B4" w:rsidRPr="00C27636" w:rsidRDefault="00C27636">
      <w:pPr>
        <w:spacing w:line="221" w:lineRule="auto"/>
        <w:ind w:left="1000" w:right="480"/>
        <w:rPr>
          <w:rFonts w:ascii="Symbol" w:eastAsia="Symbol" w:hAnsi="Symbol" w:cs="Symbol"/>
          <w:sz w:val="20"/>
          <w:szCs w:val="20"/>
          <w:lang w:val="fr-BE"/>
        </w:rPr>
      </w:pPr>
      <w:r w:rsidRPr="00C27636">
        <w:rPr>
          <w:rFonts w:ascii="Calibri" w:eastAsia="Calibri" w:hAnsi="Calibri" w:cs="Calibri"/>
          <w:sz w:val="20"/>
          <w:szCs w:val="20"/>
          <w:lang w:val="fr-BE"/>
        </w:rPr>
        <w:t>Bruxelles, 18% des enfants sont dans ce cas</w:t>
      </w:r>
      <w:r w:rsidRPr="00C27636">
        <w:rPr>
          <w:rFonts w:ascii="Calibri" w:eastAsia="Calibri" w:hAnsi="Calibri" w:cs="Calibri"/>
          <w:sz w:val="25"/>
          <w:szCs w:val="25"/>
          <w:vertAlign w:val="superscript"/>
          <w:lang w:val="fr-BE"/>
        </w:rPr>
        <w:t>6</w:t>
      </w:r>
      <w:r w:rsidRPr="00C27636">
        <w:rPr>
          <w:rFonts w:ascii="Calibri" w:eastAsia="Calibri" w:hAnsi="Calibri" w:cs="Calibri"/>
          <w:sz w:val="20"/>
          <w:szCs w:val="20"/>
          <w:lang w:val="fr-BE"/>
        </w:rPr>
        <w:t>.</w:t>
      </w:r>
    </w:p>
    <w:p w:rsidR="00AC12B4" w:rsidRPr="00C27636" w:rsidRDefault="00AC12B4">
      <w:pPr>
        <w:spacing w:line="67" w:lineRule="exact"/>
        <w:rPr>
          <w:rFonts w:ascii="Symbol" w:eastAsia="Symbol" w:hAnsi="Symbol" w:cs="Symbol"/>
          <w:sz w:val="20"/>
          <w:szCs w:val="20"/>
          <w:lang w:val="fr-BE"/>
        </w:rPr>
      </w:pPr>
    </w:p>
    <w:p w:rsidR="00AC12B4" w:rsidRPr="00C27636" w:rsidRDefault="00C27636">
      <w:pPr>
        <w:numPr>
          <w:ilvl w:val="0"/>
          <w:numId w:val="107"/>
        </w:numPr>
        <w:tabs>
          <w:tab w:val="left" w:pos="1000"/>
        </w:tabs>
        <w:spacing w:line="266" w:lineRule="auto"/>
        <w:ind w:left="1000" w:right="480" w:hanging="366"/>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Accès aux soins pour les mineurs étrangers : </w:t>
      </w:r>
      <w:r w:rsidRPr="00C27636">
        <w:rPr>
          <w:rFonts w:ascii="Calibri" w:eastAsia="Calibri" w:hAnsi="Calibri" w:cs="Calibri"/>
          <w:color w:val="000000"/>
          <w:sz w:val="20"/>
          <w:szCs w:val="20"/>
          <w:lang w:val="fr-BE"/>
        </w:rPr>
        <w:t>Il serait intéressant de</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mesurer les différentes interprétations dans la prise en charge des soins d</w:t>
      </w:r>
      <w:r w:rsidRPr="00C27636">
        <w:rPr>
          <w:rFonts w:ascii="Calibri" w:eastAsia="Calibri" w:hAnsi="Calibri" w:cs="Calibri"/>
          <w:color w:val="000000"/>
          <w:sz w:val="20"/>
          <w:szCs w:val="20"/>
          <w:lang w:val="fr-BE"/>
        </w:rPr>
        <w:t>e santé des mineurs étrangers, allant d’une prise en charge totale à une prise en charge limitée à l’Aide Médicale Urgente (AMU).</w:t>
      </w:r>
    </w:p>
    <w:p w:rsidR="00AC12B4" w:rsidRPr="00C27636" w:rsidRDefault="00AC12B4">
      <w:pPr>
        <w:spacing w:line="57" w:lineRule="exact"/>
        <w:rPr>
          <w:rFonts w:ascii="Symbol" w:eastAsia="Symbol" w:hAnsi="Symbol" w:cs="Symbol"/>
          <w:sz w:val="20"/>
          <w:szCs w:val="20"/>
          <w:lang w:val="fr-BE"/>
        </w:rPr>
      </w:pPr>
    </w:p>
    <w:p w:rsidR="00AC12B4" w:rsidRPr="00C27636" w:rsidRDefault="00C27636">
      <w:pPr>
        <w:spacing w:line="235" w:lineRule="auto"/>
        <w:ind w:left="1000" w:right="480"/>
        <w:jc w:val="both"/>
        <w:rPr>
          <w:rFonts w:ascii="Symbol" w:eastAsia="Symbol" w:hAnsi="Symbol" w:cs="Symbol"/>
          <w:sz w:val="20"/>
          <w:szCs w:val="20"/>
          <w:lang w:val="fr-BE"/>
        </w:rPr>
      </w:pPr>
      <w:r w:rsidRPr="00C27636">
        <w:rPr>
          <w:rFonts w:ascii="Calibri" w:eastAsia="Calibri" w:hAnsi="Calibri" w:cs="Calibri"/>
          <w:sz w:val="20"/>
          <w:szCs w:val="20"/>
          <w:lang w:val="fr-BE"/>
        </w:rPr>
        <w:t>On pourrait y procéder via une enquête auprès des CPAS, par l’intermédiaire de la</w:t>
      </w:r>
    </w:p>
    <w:p w:rsidR="00AC12B4" w:rsidRPr="00C27636" w:rsidRDefault="00AC12B4">
      <w:pPr>
        <w:spacing w:line="83" w:lineRule="exact"/>
        <w:rPr>
          <w:rFonts w:ascii="Symbol" w:eastAsia="Symbol" w:hAnsi="Symbol" w:cs="Symbol"/>
          <w:sz w:val="20"/>
          <w:szCs w:val="20"/>
          <w:lang w:val="fr-BE"/>
        </w:rPr>
      </w:pPr>
    </w:p>
    <w:p w:rsidR="00AC12B4" w:rsidRPr="00C27636" w:rsidRDefault="00C27636">
      <w:pPr>
        <w:spacing w:line="253" w:lineRule="auto"/>
        <w:ind w:left="1000" w:right="480"/>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VVSG, UVCW et UVCB, notamment pour ce qui </w:t>
      </w:r>
      <w:r w:rsidRPr="00C27636">
        <w:rPr>
          <w:rFonts w:ascii="Calibri" w:eastAsia="Calibri" w:hAnsi="Calibri" w:cs="Calibri"/>
          <w:sz w:val="20"/>
          <w:szCs w:val="20"/>
          <w:lang w:val="fr-BE"/>
        </w:rPr>
        <w:t>concerne les soins de santé préventifs.</w:t>
      </w:r>
    </w:p>
    <w:p w:rsidR="00AC12B4" w:rsidRPr="00C27636" w:rsidRDefault="00AC12B4">
      <w:pPr>
        <w:spacing w:line="82" w:lineRule="exact"/>
        <w:rPr>
          <w:rFonts w:ascii="Symbol" w:eastAsia="Symbol" w:hAnsi="Symbol" w:cs="Symbol"/>
          <w:sz w:val="20"/>
          <w:szCs w:val="20"/>
          <w:lang w:val="fr-BE"/>
        </w:rPr>
      </w:pPr>
    </w:p>
    <w:p w:rsidR="00AC12B4" w:rsidRPr="00C27636" w:rsidRDefault="00C27636">
      <w:pPr>
        <w:numPr>
          <w:ilvl w:val="0"/>
          <w:numId w:val="107"/>
        </w:numPr>
        <w:tabs>
          <w:tab w:val="left" w:pos="1000"/>
        </w:tabs>
        <w:spacing w:line="230" w:lineRule="auto"/>
        <w:ind w:left="1000" w:right="480" w:hanging="366"/>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Eu-Silc : </w:t>
      </w:r>
      <w:r w:rsidRPr="00C27636">
        <w:rPr>
          <w:rFonts w:ascii="Calibri" w:eastAsia="Calibri" w:hAnsi="Calibri" w:cs="Calibri"/>
          <w:color w:val="000000"/>
          <w:sz w:val="20"/>
          <w:szCs w:val="20"/>
          <w:lang w:val="fr-BE"/>
        </w:rPr>
        <w:t>Données concernant d’autres</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raisons de postpositions de soins.</w:t>
      </w:r>
    </w:p>
    <w:p w:rsidR="00AC12B4" w:rsidRPr="00C27636" w:rsidRDefault="00AC12B4">
      <w:pPr>
        <w:spacing w:line="114" w:lineRule="exact"/>
        <w:rPr>
          <w:rFonts w:ascii="Symbol" w:eastAsia="Symbol" w:hAnsi="Symbol" w:cs="Symbol"/>
          <w:sz w:val="20"/>
          <w:szCs w:val="20"/>
          <w:lang w:val="fr-BE"/>
        </w:rPr>
      </w:pPr>
    </w:p>
    <w:p w:rsidR="00AC12B4" w:rsidRPr="00C27636" w:rsidRDefault="00C27636">
      <w:pPr>
        <w:numPr>
          <w:ilvl w:val="0"/>
          <w:numId w:val="107"/>
        </w:numPr>
        <w:tabs>
          <w:tab w:val="left" w:pos="1000"/>
        </w:tabs>
        <w:spacing w:line="238" w:lineRule="auto"/>
        <w:ind w:left="1000" w:right="480" w:hanging="366"/>
        <w:jc w:val="both"/>
        <w:rPr>
          <w:rFonts w:ascii="Symbol" w:eastAsia="Symbol" w:hAnsi="Symbol" w:cs="Symbol"/>
          <w:lang w:val="fr-BE"/>
        </w:rPr>
      </w:pPr>
      <w:r w:rsidRPr="00C27636">
        <w:rPr>
          <w:rFonts w:ascii="Calibri" w:eastAsia="Calibri" w:hAnsi="Calibri" w:cs="Calibri"/>
          <w:sz w:val="20"/>
          <w:szCs w:val="20"/>
          <w:lang w:val="fr-BE"/>
        </w:rPr>
        <w:t xml:space="preserve">La postposition de soins de santé (pour des raisons financières ou autres) pourrait être approchée par un </w:t>
      </w:r>
      <w:r w:rsidRPr="00C27636">
        <w:rPr>
          <w:rFonts w:ascii="Calibri" w:eastAsia="Calibri" w:hAnsi="Calibri" w:cs="Calibri"/>
          <w:b/>
          <w:bCs/>
          <w:i/>
          <w:iCs/>
          <w:color w:val="9BBB59"/>
          <w:sz w:val="20"/>
          <w:szCs w:val="20"/>
          <w:lang w:val="fr-BE"/>
        </w:rPr>
        <w:t>indicateur objectif</w:t>
      </w:r>
    </w:p>
    <w:p w:rsidR="00AC12B4" w:rsidRPr="00C27636" w:rsidRDefault="00AC12B4">
      <w:pPr>
        <w:spacing w:line="39" w:lineRule="exact"/>
        <w:rPr>
          <w:sz w:val="20"/>
          <w:szCs w:val="20"/>
          <w:lang w:val="fr-BE"/>
        </w:rPr>
      </w:pPr>
    </w:p>
    <w:p w:rsidR="00AC12B4" w:rsidRPr="00C27636" w:rsidRDefault="00C27636">
      <w:pPr>
        <w:ind w:left="1000"/>
        <w:rPr>
          <w:sz w:val="20"/>
          <w:szCs w:val="20"/>
          <w:lang w:val="fr-BE"/>
        </w:rPr>
      </w:pPr>
      <w:r w:rsidRPr="00C27636">
        <w:rPr>
          <w:rFonts w:ascii="Calibri" w:eastAsia="Calibri" w:hAnsi="Calibri" w:cs="Calibri"/>
          <w:b/>
          <w:bCs/>
          <w:i/>
          <w:iCs/>
          <w:color w:val="9BBB59"/>
          <w:sz w:val="20"/>
          <w:szCs w:val="20"/>
          <w:lang w:val="fr-BE"/>
        </w:rPr>
        <w:t xml:space="preserve">de prise en charge tardive: </w:t>
      </w:r>
      <w:r w:rsidRPr="00C27636">
        <w:rPr>
          <w:rFonts w:ascii="Calibri" w:eastAsia="Calibri" w:hAnsi="Calibri" w:cs="Calibri"/>
          <w:color w:val="000000"/>
          <w:sz w:val="20"/>
          <w:szCs w:val="20"/>
          <w:lang w:val="fr-BE"/>
        </w:rPr>
        <w:t>le rapport KCE</w:t>
      </w:r>
    </w:p>
    <w:p w:rsidR="00AC12B4" w:rsidRPr="00C27636" w:rsidRDefault="00AC12B4">
      <w:pPr>
        <w:spacing w:line="37" w:lineRule="exact"/>
        <w:rPr>
          <w:sz w:val="20"/>
          <w:szCs w:val="20"/>
          <w:lang w:val="fr-BE"/>
        </w:rPr>
      </w:pPr>
    </w:p>
    <w:p w:rsidR="00AC12B4" w:rsidRDefault="00C27636">
      <w:pPr>
        <w:tabs>
          <w:tab w:val="left" w:pos="1740"/>
          <w:tab w:val="left" w:pos="2400"/>
          <w:tab w:val="left" w:pos="2860"/>
          <w:tab w:val="left" w:pos="3500"/>
        </w:tabs>
        <w:ind w:left="1000"/>
        <w:rPr>
          <w:sz w:val="20"/>
          <w:szCs w:val="20"/>
        </w:rPr>
      </w:pPr>
      <w:r>
        <w:rPr>
          <w:rFonts w:ascii="Calibri" w:eastAsia="Calibri" w:hAnsi="Calibri" w:cs="Calibri"/>
          <w:sz w:val="20"/>
          <w:szCs w:val="20"/>
        </w:rPr>
        <w:t>utilise</w:t>
      </w:r>
      <w:r>
        <w:rPr>
          <w:rFonts w:ascii="Calibri" w:eastAsia="Calibri" w:hAnsi="Calibri" w:cs="Calibri"/>
          <w:sz w:val="20"/>
          <w:szCs w:val="20"/>
        </w:rPr>
        <w:tab/>
        <w:t>dans</w:t>
      </w:r>
      <w:r>
        <w:rPr>
          <w:rFonts w:ascii="Calibri" w:eastAsia="Calibri" w:hAnsi="Calibri" w:cs="Calibri"/>
          <w:sz w:val="20"/>
          <w:szCs w:val="20"/>
        </w:rPr>
        <w:tab/>
        <w:t>ce</w:t>
      </w:r>
      <w:r>
        <w:rPr>
          <w:sz w:val="20"/>
          <w:szCs w:val="20"/>
        </w:rPr>
        <w:tab/>
      </w:r>
      <w:r>
        <w:rPr>
          <w:rFonts w:ascii="Calibri" w:eastAsia="Calibri" w:hAnsi="Calibri" w:cs="Calibri"/>
          <w:sz w:val="20"/>
          <w:szCs w:val="20"/>
        </w:rPr>
        <w:t>sens</w:t>
      </w:r>
      <w:r>
        <w:rPr>
          <w:rFonts w:ascii="Calibri" w:eastAsia="Calibri" w:hAnsi="Calibri" w:cs="Calibri"/>
          <w:sz w:val="20"/>
          <w:szCs w:val="20"/>
        </w:rPr>
        <w:tab/>
        <w:t>l’indicateur</w:t>
      </w:r>
    </w:p>
    <w:p w:rsidR="00AC12B4" w:rsidRDefault="00AC12B4">
      <w:pPr>
        <w:spacing w:line="83" w:lineRule="exact"/>
        <w:rPr>
          <w:sz w:val="20"/>
          <w:szCs w:val="20"/>
        </w:rPr>
      </w:pPr>
    </w:p>
    <w:p w:rsidR="00AC12B4" w:rsidRPr="00C27636" w:rsidRDefault="00C27636">
      <w:pPr>
        <w:numPr>
          <w:ilvl w:val="0"/>
          <w:numId w:val="108"/>
        </w:numPr>
        <w:tabs>
          <w:tab w:val="left" w:pos="1149"/>
        </w:tabs>
        <w:spacing w:line="251" w:lineRule="auto"/>
        <w:ind w:left="1000" w:right="480" w:hanging="6"/>
        <w:jc w:val="both"/>
        <w:rPr>
          <w:rFonts w:ascii="Calibri" w:eastAsia="Calibri" w:hAnsi="Calibri" w:cs="Calibri"/>
          <w:sz w:val="20"/>
          <w:szCs w:val="20"/>
          <w:lang w:val="fr-BE"/>
        </w:rPr>
      </w:pPr>
      <w:r w:rsidRPr="00C27636">
        <w:rPr>
          <w:rFonts w:ascii="Calibri" w:eastAsia="Calibri" w:hAnsi="Calibri" w:cs="Calibri"/>
          <w:sz w:val="20"/>
          <w:szCs w:val="20"/>
          <w:lang w:val="fr-BE"/>
        </w:rPr>
        <w:t>d’admission à l’hôpital pour asthme ». L’asthme pouvant en général être soigné en ambulatoire, l’hospitalisation révèle</w:t>
      </w:r>
    </w:p>
    <w:p w:rsidR="00AC12B4" w:rsidRPr="00C27636" w:rsidRDefault="00AC12B4">
      <w:pPr>
        <w:spacing w:line="74" w:lineRule="exact"/>
        <w:rPr>
          <w:rFonts w:ascii="Calibri" w:eastAsia="Calibri" w:hAnsi="Calibri" w:cs="Calibri"/>
          <w:sz w:val="20"/>
          <w:szCs w:val="20"/>
          <w:lang w:val="fr-BE"/>
        </w:rPr>
      </w:pPr>
    </w:p>
    <w:p w:rsidR="00AC12B4" w:rsidRDefault="00C27636">
      <w:pPr>
        <w:spacing w:line="221" w:lineRule="auto"/>
        <w:ind w:left="1000" w:right="480"/>
        <w:rPr>
          <w:rFonts w:ascii="Calibri" w:eastAsia="Calibri" w:hAnsi="Calibri" w:cs="Calibri"/>
          <w:sz w:val="20"/>
          <w:szCs w:val="20"/>
        </w:rPr>
      </w:pPr>
      <w:r w:rsidRPr="00C27636">
        <w:rPr>
          <w:rFonts w:ascii="Calibri" w:eastAsia="Calibri" w:hAnsi="Calibri" w:cs="Calibri"/>
          <w:sz w:val="20"/>
          <w:szCs w:val="20"/>
          <w:lang w:val="fr-BE"/>
        </w:rPr>
        <w:t xml:space="preserve">une prise en charge trop tardive. </w:t>
      </w:r>
      <w:r>
        <w:rPr>
          <w:rFonts w:ascii="Calibri" w:eastAsia="Calibri" w:hAnsi="Calibri" w:cs="Calibri"/>
          <w:sz w:val="20"/>
          <w:szCs w:val="20"/>
        </w:rPr>
        <w:t>Cf. Rapport KCE</w:t>
      </w:r>
      <w:r>
        <w:rPr>
          <w:rFonts w:ascii="Calibri" w:eastAsia="Calibri" w:hAnsi="Calibri" w:cs="Calibri"/>
          <w:sz w:val="25"/>
          <w:szCs w:val="25"/>
          <w:vertAlign w:val="superscript"/>
        </w:rPr>
        <w:t>7</w:t>
      </w:r>
      <w:r>
        <w:rPr>
          <w:rFonts w:ascii="Calibri" w:eastAsia="Calibri" w:hAnsi="Calibri" w:cs="Calibri"/>
          <w:sz w:val="20"/>
          <w:szCs w:val="20"/>
        </w:rPr>
        <w:t>.</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06176" behindDoc="1" locked="0" layoutInCell="0" allowOverlap="1">
                <wp:simplePos x="0" y="0"/>
                <wp:positionH relativeFrom="column">
                  <wp:posOffset>359410</wp:posOffset>
                </wp:positionH>
                <wp:positionV relativeFrom="paragraph">
                  <wp:posOffset>405765</wp:posOffset>
                </wp:positionV>
                <wp:extent cx="1829435" cy="0"/>
                <wp:effectExtent l="0" t="0" r="0" b="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31.95pt" to="172.35pt,31.95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0" w:lineRule="exact"/>
        <w:rPr>
          <w:sz w:val="20"/>
          <w:szCs w:val="20"/>
        </w:rPr>
      </w:pPr>
    </w:p>
    <w:p w:rsidR="00AC12B4" w:rsidRPr="00C27636" w:rsidRDefault="00C27636">
      <w:pPr>
        <w:numPr>
          <w:ilvl w:val="0"/>
          <w:numId w:val="109"/>
        </w:numPr>
        <w:tabs>
          <w:tab w:val="left" w:pos="675"/>
        </w:tabs>
        <w:spacing w:line="204" w:lineRule="auto"/>
        <w:ind w:left="560" w:right="480" w:firstLine="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Présentation de M. Pascal Meeus (INAMI) lors du séminaire sur les indicateurs du droit à la santé de la CNDE du 4 avril 2014.</w:t>
      </w:r>
    </w:p>
    <w:p w:rsidR="00AC12B4" w:rsidRPr="00C27636" w:rsidRDefault="00AC12B4">
      <w:pPr>
        <w:spacing w:line="170" w:lineRule="exact"/>
        <w:rPr>
          <w:rFonts w:ascii="Calibri" w:eastAsia="Calibri" w:hAnsi="Calibri" w:cs="Calibri"/>
          <w:sz w:val="26"/>
          <w:szCs w:val="26"/>
          <w:vertAlign w:val="superscript"/>
          <w:lang w:val="fr-BE"/>
        </w:rPr>
      </w:pPr>
    </w:p>
    <w:p w:rsidR="00AC12B4" w:rsidRPr="00C27636" w:rsidRDefault="00C27636">
      <w:pPr>
        <w:numPr>
          <w:ilvl w:val="0"/>
          <w:numId w:val="109"/>
        </w:numPr>
        <w:tabs>
          <w:tab w:val="left" w:pos="728"/>
        </w:tabs>
        <w:spacing w:line="223" w:lineRule="auto"/>
        <w:ind w:left="560" w:right="480" w:firstLine="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Notons que les contacts gratuits avec des organismes comme Kind en Gezin, ONE et Kaleido DG ne sont pas pris en compte dans les</w:t>
      </w:r>
      <w:r w:rsidRPr="00C27636">
        <w:rPr>
          <w:rFonts w:ascii="Calibri" w:eastAsia="Calibri" w:hAnsi="Calibri" w:cs="Calibri"/>
          <w:sz w:val="20"/>
          <w:szCs w:val="20"/>
          <w:lang w:val="fr-BE"/>
        </w:rPr>
        <w:t xml:space="preserve"> données de l’INAMI (principalement utilisé par les 0-3 ans). Il est probable que les jeunes enfants soient mieux suivis que ce qu’il ressort des données de l’INAMI.</w:t>
      </w:r>
    </w:p>
    <w:p w:rsidR="00AC12B4" w:rsidRPr="00C27636" w:rsidRDefault="00AC12B4">
      <w:pPr>
        <w:spacing w:line="172" w:lineRule="exact"/>
        <w:rPr>
          <w:rFonts w:ascii="Calibri" w:eastAsia="Calibri" w:hAnsi="Calibri" w:cs="Calibri"/>
          <w:sz w:val="26"/>
          <w:szCs w:val="26"/>
          <w:vertAlign w:val="superscript"/>
          <w:lang w:val="fr-BE"/>
        </w:rPr>
      </w:pPr>
    </w:p>
    <w:p w:rsidR="00AC12B4" w:rsidRPr="00C27636" w:rsidRDefault="00C27636">
      <w:pPr>
        <w:numPr>
          <w:ilvl w:val="0"/>
          <w:numId w:val="109"/>
        </w:numPr>
        <w:tabs>
          <w:tab w:val="left" w:pos="726"/>
        </w:tabs>
        <w:spacing w:line="187" w:lineRule="auto"/>
        <w:ind w:left="560" w:right="480" w:firstLine="7"/>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KCE, </w:t>
      </w:r>
      <w:r w:rsidRPr="00C27636">
        <w:rPr>
          <w:rFonts w:ascii="Calibri" w:eastAsia="Calibri" w:hAnsi="Calibri" w:cs="Calibri"/>
          <w:i/>
          <w:iCs/>
          <w:sz w:val="20"/>
          <w:szCs w:val="20"/>
          <w:lang w:val="fr-BE"/>
        </w:rPr>
        <w:t>La performance du système de santé</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 xml:space="preserve">Belge, </w:t>
      </w:r>
      <w:r w:rsidRPr="00C27636">
        <w:rPr>
          <w:rFonts w:ascii="Calibri" w:eastAsia="Calibri" w:hAnsi="Calibri" w:cs="Calibri"/>
          <w:sz w:val="20"/>
          <w:szCs w:val="20"/>
          <w:lang w:val="fr-BE"/>
        </w:rPr>
        <w:t>Rapport n°196, 2012, 158p.</w:t>
      </w:r>
    </w:p>
    <w:p w:rsidR="00AC12B4" w:rsidRPr="00C27636" w:rsidRDefault="00AC12B4">
      <w:pPr>
        <w:spacing w:line="123" w:lineRule="exact"/>
        <w:rPr>
          <w:sz w:val="20"/>
          <w:szCs w:val="20"/>
          <w:lang w:val="fr-BE"/>
        </w:rPr>
      </w:pPr>
    </w:p>
    <w:p w:rsidR="00AC12B4" w:rsidRPr="00C27636" w:rsidRDefault="00C27636">
      <w:pPr>
        <w:tabs>
          <w:tab w:val="left" w:pos="2580"/>
          <w:tab w:val="left" w:pos="3940"/>
        </w:tabs>
        <w:ind w:left="620"/>
        <w:rPr>
          <w:sz w:val="20"/>
          <w:szCs w:val="20"/>
          <w:lang w:val="fr-BE"/>
        </w:rPr>
      </w:pPr>
      <w:r w:rsidRPr="00C27636">
        <w:rPr>
          <w:rFonts w:ascii="Calibri" w:eastAsia="Calibri" w:hAnsi="Calibri" w:cs="Calibri"/>
          <w:sz w:val="20"/>
          <w:szCs w:val="20"/>
          <w:lang w:val="fr-BE"/>
        </w:rPr>
        <w:t>disponible</w:t>
      </w:r>
      <w:r w:rsidRPr="00C27636">
        <w:rPr>
          <w:sz w:val="20"/>
          <w:szCs w:val="20"/>
          <w:lang w:val="fr-BE"/>
        </w:rPr>
        <w:tab/>
      </w:r>
      <w:r w:rsidRPr="00C27636">
        <w:rPr>
          <w:rFonts w:ascii="Calibri" w:eastAsia="Calibri" w:hAnsi="Calibri" w:cs="Calibri"/>
          <w:sz w:val="20"/>
          <w:szCs w:val="20"/>
          <w:lang w:val="fr-BE"/>
        </w:rPr>
        <w:t>en</w:t>
      </w:r>
      <w:r w:rsidRPr="00C27636">
        <w:rPr>
          <w:sz w:val="20"/>
          <w:szCs w:val="20"/>
          <w:lang w:val="fr-BE"/>
        </w:rPr>
        <w:tab/>
      </w:r>
      <w:r w:rsidRPr="00C27636">
        <w:rPr>
          <w:rFonts w:ascii="Calibri" w:eastAsia="Calibri" w:hAnsi="Calibri" w:cs="Calibri"/>
          <w:sz w:val="19"/>
          <w:szCs w:val="19"/>
          <w:lang w:val="fr-BE"/>
        </w:rPr>
        <w:t>ligne :</w:t>
      </w:r>
    </w:p>
    <w:p w:rsidR="00AC12B4" w:rsidRPr="00C27636" w:rsidRDefault="00AC12B4">
      <w:pPr>
        <w:spacing w:line="1" w:lineRule="exact"/>
        <w:rPr>
          <w:sz w:val="20"/>
          <w:szCs w:val="20"/>
          <w:lang w:val="fr-BE"/>
        </w:rPr>
      </w:pPr>
    </w:p>
    <w:p w:rsidR="00AC12B4" w:rsidRPr="00C27636" w:rsidRDefault="00C27636">
      <w:pPr>
        <w:ind w:left="560"/>
        <w:rPr>
          <w:rFonts w:ascii="Calibri" w:eastAsia="Calibri" w:hAnsi="Calibri" w:cs="Calibri"/>
          <w:color w:val="0000FF"/>
          <w:sz w:val="20"/>
          <w:szCs w:val="20"/>
          <w:u w:val="single"/>
          <w:lang w:val="fr-BE"/>
        </w:rPr>
      </w:pPr>
      <w:hyperlink r:id="rId94">
        <w:r w:rsidRPr="00C27636">
          <w:rPr>
            <w:rFonts w:ascii="Calibri" w:eastAsia="Calibri" w:hAnsi="Calibri" w:cs="Calibri"/>
            <w:color w:val="0000FF"/>
            <w:sz w:val="20"/>
            <w:szCs w:val="20"/>
            <w:u w:val="single"/>
            <w:lang w:val="fr-BE"/>
          </w:rPr>
          <w:t>http://kce.fgov.be/sites/default/files/page_doc</w:t>
        </w:r>
      </w:hyperlink>
    </w:p>
    <w:p w:rsidR="00AC12B4" w:rsidRPr="00C27636" w:rsidRDefault="00AC12B4">
      <w:pPr>
        <w:spacing w:line="121" w:lineRule="exact"/>
        <w:rPr>
          <w:sz w:val="20"/>
          <w:szCs w:val="20"/>
          <w:lang w:val="fr-BE"/>
        </w:rPr>
      </w:pPr>
    </w:p>
    <w:p w:rsidR="00AC12B4" w:rsidRDefault="00C27636">
      <w:pPr>
        <w:jc w:val="right"/>
        <w:rPr>
          <w:sz w:val="20"/>
          <w:szCs w:val="20"/>
        </w:rPr>
      </w:pPr>
      <w:r>
        <w:rPr>
          <w:rFonts w:ascii="Calibri" w:eastAsia="Calibri" w:hAnsi="Calibri" w:cs="Calibri"/>
        </w:rPr>
        <w:t>77</w:t>
      </w:r>
    </w:p>
    <w:p w:rsidR="00AC12B4" w:rsidRDefault="00C27636">
      <w:pPr>
        <w:spacing w:line="20" w:lineRule="exact"/>
        <w:rPr>
          <w:sz w:val="20"/>
          <w:szCs w:val="20"/>
        </w:rPr>
      </w:pPr>
      <w:r>
        <w:rPr>
          <w:sz w:val="20"/>
          <w:szCs w:val="20"/>
        </w:rPr>
        <w:br w:type="column"/>
      </w:r>
    </w:p>
    <w:p w:rsidR="00AC12B4" w:rsidRDefault="00AC12B4">
      <w:pPr>
        <w:spacing w:line="222" w:lineRule="exact"/>
        <w:rPr>
          <w:sz w:val="20"/>
          <w:szCs w:val="20"/>
        </w:rPr>
      </w:pPr>
    </w:p>
    <w:p w:rsidR="00AC12B4" w:rsidRPr="00C27636" w:rsidRDefault="00C27636">
      <w:pPr>
        <w:numPr>
          <w:ilvl w:val="0"/>
          <w:numId w:val="110"/>
        </w:numPr>
        <w:tabs>
          <w:tab w:val="left" w:pos="420"/>
        </w:tabs>
        <w:spacing w:line="238" w:lineRule="auto"/>
        <w:ind w:left="420" w:right="59" w:hanging="361"/>
        <w:jc w:val="both"/>
        <w:rPr>
          <w:rFonts w:ascii="Symbol" w:eastAsia="Symbol" w:hAnsi="Symbol" w:cs="Symbol"/>
          <w:lang w:val="fr-BE"/>
        </w:rPr>
      </w:pPr>
      <w:r w:rsidRPr="00C27636">
        <w:rPr>
          <w:rFonts w:ascii="Calibri" w:eastAsia="Calibri" w:hAnsi="Calibri" w:cs="Calibri"/>
          <w:sz w:val="20"/>
          <w:szCs w:val="20"/>
          <w:lang w:val="fr-BE"/>
        </w:rPr>
        <w:t xml:space="preserve">Les statistiques sur les </w:t>
      </w:r>
      <w:r w:rsidRPr="00C27636">
        <w:rPr>
          <w:rFonts w:ascii="Calibri" w:eastAsia="Calibri" w:hAnsi="Calibri" w:cs="Calibri"/>
          <w:b/>
          <w:bCs/>
          <w:i/>
          <w:iCs/>
          <w:color w:val="9BBB59"/>
          <w:sz w:val="20"/>
          <w:szCs w:val="20"/>
          <w:lang w:val="fr-BE"/>
        </w:rPr>
        <w:t>visites préventives</w:t>
      </w:r>
      <w:r w:rsidRPr="00C27636">
        <w:rPr>
          <w:rFonts w:ascii="Calibri" w:eastAsia="Calibri" w:hAnsi="Calibri" w:cs="Calibri"/>
          <w:sz w:val="20"/>
          <w:szCs w:val="20"/>
          <w:lang w:val="fr-BE"/>
        </w:rPr>
        <w:t xml:space="preserve"> </w:t>
      </w:r>
      <w:r w:rsidRPr="00C27636">
        <w:rPr>
          <w:rFonts w:ascii="Calibri" w:eastAsia="Calibri" w:hAnsi="Calibri" w:cs="Calibri"/>
          <w:b/>
          <w:bCs/>
          <w:i/>
          <w:iCs/>
          <w:color w:val="9BBB59"/>
          <w:sz w:val="20"/>
          <w:szCs w:val="20"/>
          <w:lang w:val="fr-BE"/>
        </w:rPr>
        <w:t xml:space="preserve">chez le dentiste </w:t>
      </w:r>
      <w:r w:rsidRPr="00C27636">
        <w:rPr>
          <w:rFonts w:ascii="Calibri" w:eastAsia="Calibri" w:hAnsi="Calibri" w:cs="Calibri"/>
          <w:color w:val="000000"/>
          <w:sz w:val="20"/>
          <w:szCs w:val="20"/>
          <w:lang w:val="fr-BE"/>
        </w:rPr>
        <w:t>pourraient</w:t>
      </w:r>
      <w:r w:rsidRPr="00C27636">
        <w:rPr>
          <w:rFonts w:ascii="Calibri" w:eastAsia="Calibri" w:hAnsi="Calibri" w:cs="Calibri"/>
          <w:color w:val="000000"/>
          <w:sz w:val="20"/>
          <w:szCs w:val="20"/>
          <w:lang w:val="fr-BE"/>
        </w:rPr>
        <w:t xml:space="preserve"> donner une</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indication pertinente.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07200" behindDoc="1" locked="0" layoutInCell="0" allowOverlap="1">
                <wp:simplePos x="0" y="0"/>
                <wp:positionH relativeFrom="column">
                  <wp:posOffset>-5080</wp:posOffset>
                </wp:positionH>
                <wp:positionV relativeFrom="paragraph">
                  <wp:posOffset>7806690</wp:posOffset>
                </wp:positionV>
                <wp:extent cx="2461260" cy="0"/>
                <wp:effectExtent l="0" t="0" r="0" b="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612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14.7pt" to="193.4pt,614.7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5" w:lineRule="exact"/>
        <w:rPr>
          <w:sz w:val="20"/>
          <w:szCs w:val="20"/>
          <w:lang w:val="fr-BE"/>
        </w:rPr>
      </w:pPr>
    </w:p>
    <w:p w:rsidR="00AC12B4" w:rsidRDefault="00C27636">
      <w:pPr>
        <w:spacing w:line="228" w:lineRule="auto"/>
        <w:ind w:right="119"/>
        <w:rPr>
          <w:rFonts w:ascii="Calibri" w:eastAsia="Calibri" w:hAnsi="Calibri" w:cs="Calibri"/>
          <w:color w:val="0000FF"/>
          <w:sz w:val="19"/>
          <w:szCs w:val="19"/>
          <w:u w:val="single"/>
        </w:rPr>
      </w:pPr>
      <w:hyperlink r:id="rId95">
        <w:r>
          <w:rPr>
            <w:rFonts w:ascii="Calibri" w:eastAsia="Calibri" w:hAnsi="Calibri" w:cs="Calibri"/>
            <w:color w:val="0000FF"/>
            <w:sz w:val="19"/>
            <w:szCs w:val="19"/>
            <w:u w:val="single"/>
          </w:rPr>
          <w:t>uments/KCE_196B_performance_systeme_san</w:t>
        </w:r>
      </w:hyperlink>
      <w:r>
        <w:rPr>
          <w:rFonts w:ascii="Calibri" w:eastAsia="Calibri" w:hAnsi="Calibri" w:cs="Calibri"/>
          <w:color w:val="0000FF"/>
          <w:sz w:val="19"/>
          <w:szCs w:val="19"/>
          <w:u w:val="single"/>
        </w:rPr>
        <w:t xml:space="preserve"> </w:t>
      </w:r>
      <w:hyperlink r:id="rId96">
        <w:r>
          <w:rPr>
            <w:rFonts w:ascii="Calibri" w:eastAsia="Calibri" w:hAnsi="Calibri" w:cs="Calibri"/>
            <w:color w:val="0000FF"/>
            <w:sz w:val="19"/>
            <w:szCs w:val="19"/>
            <w:u w:val="single"/>
          </w:rPr>
          <w:t>te_belge_0.pdf</w:t>
        </w:r>
      </w:hyperlink>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08224"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6" w:bottom="659" w:left="1440" w:header="0" w:footer="0" w:gutter="0"/>
          <w:cols w:num="3" w:space="720" w:equalWidth="0">
            <w:col w:w="4920" w:space="240"/>
            <w:col w:w="3919" w:space="720"/>
            <w:col w:w="342"/>
          </w:cols>
        </w:sectPr>
      </w:pPr>
    </w:p>
    <w:p w:rsidR="00AC12B4" w:rsidRPr="00C27636" w:rsidRDefault="00AC12B4">
      <w:pPr>
        <w:spacing w:line="20" w:lineRule="exact"/>
        <w:rPr>
          <w:sz w:val="20"/>
          <w:szCs w:val="20"/>
          <w:lang w:val="fr-BE"/>
        </w:rPr>
      </w:pPr>
      <w:bookmarkStart w:id="77" w:name="page78"/>
      <w:bookmarkEnd w:id="77"/>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spacing w:line="168" w:lineRule="exact"/>
        <w:rPr>
          <w:sz w:val="20"/>
          <w:szCs w:val="20"/>
          <w:lang w:val="fr-BE"/>
        </w:rPr>
      </w:pPr>
      <w:bookmarkStart w:id="78" w:name="page79"/>
      <w:bookmarkEnd w:id="78"/>
    </w:p>
    <w:p w:rsidR="00AC12B4" w:rsidRPr="00C27636" w:rsidRDefault="00C27636">
      <w:pPr>
        <w:ind w:left="1460"/>
        <w:rPr>
          <w:sz w:val="20"/>
          <w:szCs w:val="20"/>
          <w:lang w:val="fr-BE"/>
        </w:rPr>
      </w:pPr>
      <w:r w:rsidRPr="00C27636">
        <w:rPr>
          <w:rFonts w:ascii="Comic Sans MS" w:eastAsia="Comic Sans MS" w:hAnsi="Comic Sans MS" w:cs="Comic Sans MS"/>
          <w:color w:val="C9D11D"/>
          <w:sz w:val="40"/>
          <w:szCs w:val="40"/>
          <w:lang w:val="fr-BE"/>
        </w:rPr>
        <w:t>S6. Temps d’attente avant prise en charge</w:t>
      </w:r>
    </w:p>
    <w:p w:rsidR="00AC12B4" w:rsidRPr="00C27636" w:rsidRDefault="00AC12B4">
      <w:pPr>
        <w:spacing w:line="363" w:lineRule="exact"/>
        <w:rPr>
          <w:sz w:val="20"/>
          <w:szCs w:val="20"/>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2360"/>
        <w:gridCol w:w="1300"/>
        <w:gridCol w:w="1440"/>
        <w:gridCol w:w="600"/>
        <w:gridCol w:w="820"/>
        <w:gridCol w:w="180"/>
        <w:gridCol w:w="260"/>
        <w:gridCol w:w="160"/>
        <w:gridCol w:w="600"/>
        <w:gridCol w:w="140"/>
        <w:gridCol w:w="120"/>
        <w:gridCol w:w="280"/>
        <w:gridCol w:w="900"/>
        <w:gridCol w:w="180"/>
        <w:gridCol w:w="700"/>
        <w:gridCol w:w="720"/>
        <w:gridCol w:w="30"/>
      </w:tblGrid>
      <w:tr w:rsidR="00AC12B4">
        <w:trPr>
          <w:trHeight w:val="147"/>
        </w:trPr>
        <w:tc>
          <w:tcPr>
            <w:tcW w:w="2360" w:type="dxa"/>
            <w:tcBorders>
              <w:bottom w:val="single" w:sz="8" w:space="0" w:color="919715"/>
            </w:tcBorders>
            <w:vAlign w:val="bottom"/>
          </w:tcPr>
          <w:p w:rsidR="00AC12B4" w:rsidRPr="00C27636" w:rsidRDefault="00AC12B4">
            <w:pPr>
              <w:rPr>
                <w:sz w:val="12"/>
                <w:szCs w:val="12"/>
                <w:lang w:val="fr-BE"/>
              </w:rPr>
            </w:pPr>
          </w:p>
        </w:tc>
        <w:tc>
          <w:tcPr>
            <w:tcW w:w="1300" w:type="dxa"/>
            <w:tcBorders>
              <w:bottom w:val="single" w:sz="8" w:space="0" w:color="919715"/>
            </w:tcBorders>
            <w:vAlign w:val="bottom"/>
          </w:tcPr>
          <w:p w:rsidR="00AC12B4" w:rsidRPr="00C27636" w:rsidRDefault="00AC12B4">
            <w:pPr>
              <w:rPr>
                <w:sz w:val="12"/>
                <w:szCs w:val="12"/>
                <w:lang w:val="fr-BE"/>
              </w:rPr>
            </w:pPr>
          </w:p>
        </w:tc>
        <w:tc>
          <w:tcPr>
            <w:tcW w:w="1440" w:type="dxa"/>
            <w:tcBorders>
              <w:bottom w:val="single" w:sz="8" w:space="0" w:color="919715"/>
            </w:tcBorders>
            <w:vAlign w:val="bottom"/>
          </w:tcPr>
          <w:p w:rsidR="00AC12B4" w:rsidRPr="00C27636" w:rsidRDefault="00AC12B4">
            <w:pPr>
              <w:rPr>
                <w:sz w:val="12"/>
                <w:szCs w:val="12"/>
                <w:lang w:val="fr-BE"/>
              </w:rPr>
            </w:pPr>
          </w:p>
        </w:tc>
        <w:tc>
          <w:tcPr>
            <w:tcW w:w="600" w:type="dxa"/>
            <w:tcBorders>
              <w:bottom w:val="single" w:sz="8" w:space="0" w:color="919715"/>
            </w:tcBorders>
            <w:vAlign w:val="bottom"/>
          </w:tcPr>
          <w:p w:rsidR="00AC12B4" w:rsidRPr="00C27636" w:rsidRDefault="00AC12B4">
            <w:pPr>
              <w:rPr>
                <w:sz w:val="12"/>
                <w:szCs w:val="12"/>
                <w:lang w:val="fr-BE"/>
              </w:rPr>
            </w:pPr>
          </w:p>
        </w:tc>
        <w:tc>
          <w:tcPr>
            <w:tcW w:w="820" w:type="dxa"/>
            <w:tcBorders>
              <w:bottom w:val="single" w:sz="8" w:space="0" w:color="919715"/>
            </w:tcBorders>
            <w:vAlign w:val="bottom"/>
          </w:tcPr>
          <w:p w:rsidR="00AC12B4" w:rsidRPr="00C27636" w:rsidRDefault="00AC12B4">
            <w:pPr>
              <w:rPr>
                <w:sz w:val="12"/>
                <w:szCs w:val="12"/>
                <w:lang w:val="fr-BE"/>
              </w:rPr>
            </w:pPr>
          </w:p>
        </w:tc>
        <w:tc>
          <w:tcPr>
            <w:tcW w:w="180" w:type="dxa"/>
            <w:tcBorders>
              <w:bottom w:val="single" w:sz="8" w:space="0" w:color="919715"/>
            </w:tcBorders>
            <w:vAlign w:val="bottom"/>
          </w:tcPr>
          <w:p w:rsidR="00AC12B4" w:rsidRPr="00C27636" w:rsidRDefault="00AC12B4">
            <w:pPr>
              <w:rPr>
                <w:sz w:val="12"/>
                <w:szCs w:val="12"/>
                <w:lang w:val="fr-BE"/>
              </w:rPr>
            </w:pPr>
          </w:p>
        </w:tc>
        <w:tc>
          <w:tcPr>
            <w:tcW w:w="1280" w:type="dxa"/>
            <w:gridSpan w:val="5"/>
            <w:vMerge w:val="restart"/>
            <w:vAlign w:val="bottom"/>
          </w:tcPr>
          <w:p w:rsidR="00AC12B4" w:rsidRDefault="00C27636">
            <w:pPr>
              <w:ind w:left="200"/>
              <w:rPr>
                <w:sz w:val="20"/>
                <w:szCs w:val="20"/>
              </w:rPr>
            </w:pPr>
            <w:r>
              <w:rPr>
                <w:rFonts w:ascii="Cambria" w:eastAsia="Cambria" w:hAnsi="Cambria" w:cs="Cambria"/>
                <w:b/>
                <w:bCs/>
                <w:i/>
                <w:iCs/>
                <w:color w:val="919715"/>
                <w:sz w:val="26"/>
                <w:szCs w:val="26"/>
              </w:rPr>
              <w:t>Iniquité</w:t>
            </w:r>
          </w:p>
        </w:tc>
        <w:tc>
          <w:tcPr>
            <w:tcW w:w="280" w:type="dxa"/>
            <w:vAlign w:val="bottom"/>
          </w:tcPr>
          <w:p w:rsidR="00AC12B4" w:rsidRDefault="00AC12B4">
            <w:pPr>
              <w:rPr>
                <w:sz w:val="12"/>
                <w:szCs w:val="12"/>
              </w:rPr>
            </w:pPr>
          </w:p>
        </w:tc>
        <w:tc>
          <w:tcPr>
            <w:tcW w:w="90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700" w:type="dxa"/>
            <w:vAlign w:val="bottom"/>
          </w:tcPr>
          <w:p w:rsidR="00AC12B4" w:rsidRDefault="00AC12B4">
            <w:pPr>
              <w:rPr>
                <w:sz w:val="12"/>
                <w:szCs w:val="12"/>
              </w:rPr>
            </w:pPr>
          </w:p>
        </w:tc>
        <w:tc>
          <w:tcPr>
            <w:tcW w:w="72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38"/>
        </w:trPr>
        <w:tc>
          <w:tcPr>
            <w:tcW w:w="2360" w:type="dxa"/>
            <w:vMerge w:val="restart"/>
            <w:tcBorders>
              <w:left w:val="single" w:sz="8" w:space="0" w:color="919715"/>
            </w:tcBorders>
            <w:shd w:val="clear" w:color="auto" w:fill="C9D11D"/>
            <w:vAlign w:val="bottom"/>
          </w:tcPr>
          <w:p w:rsidR="00AC12B4" w:rsidRDefault="00C27636">
            <w:pPr>
              <w:ind w:left="580"/>
              <w:rPr>
                <w:sz w:val="20"/>
                <w:szCs w:val="20"/>
              </w:rPr>
            </w:pPr>
            <w:r>
              <w:rPr>
                <w:rFonts w:ascii="Calibri" w:eastAsia="Calibri" w:hAnsi="Calibri" w:cs="Calibri"/>
                <w:i/>
                <w:iCs/>
                <w:color w:val="FFFFFF"/>
              </w:rPr>
              <w:t>Article 24.</w:t>
            </w:r>
          </w:p>
        </w:tc>
        <w:tc>
          <w:tcPr>
            <w:tcW w:w="1300" w:type="dxa"/>
            <w:shd w:val="clear" w:color="auto" w:fill="C9D11D"/>
            <w:vAlign w:val="bottom"/>
          </w:tcPr>
          <w:p w:rsidR="00AC12B4" w:rsidRDefault="00AC12B4">
            <w:pPr>
              <w:rPr>
                <w:sz w:val="12"/>
                <w:szCs w:val="12"/>
              </w:rPr>
            </w:pPr>
          </w:p>
        </w:tc>
        <w:tc>
          <w:tcPr>
            <w:tcW w:w="1440" w:type="dxa"/>
            <w:shd w:val="clear" w:color="auto" w:fill="C9D11D"/>
            <w:vAlign w:val="bottom"/>
          </w:tcPr>
          <w:p w:rsidR="00AC12B4" w:rsidRDefault="00AC12B4">
            <w:pPr>
              <w:rPr>
                <w:sz w:val="12"/>
                <w:szCs w:val="12"/>
              </w:rPr>
            </w:pPr>
          </w:p>
        </w:tc>
        <w:tc>
          <w:tcPr>
            <w:tcW w:w="600" w:type="dxa"/>
            <w:shd w:val="clear" w:color="auto" w:fill="C9D11D"/>
            <w:vAlign w:val="bottom"/>
          </w:tcPr>
          <w:p w:rsidR="00AC12B4" w:rsidRDefault="00AC12B4">
            <w:pPr>
              <w:rPr>
                <w:sz w:val="12"/>
                <w:szCs w:val="12"/>
              </w:rPr>
            </w:pPr>
          </w:p>
        </w:tc>
        <w:tc>
          <w:tcPr>
            <w:tcW w:w="820" w:type="dxa"/>
            <w:shd w:val="clear" w:color="auto" w:fill="C9D11D"/>
            <w:vAlign w:val="bottom"/>
          </w:tcPr>
          <w:p w:rsidR="00AC12B4" w:rsidRDefault="00AC12B4">
            <w:pPr>
              <w:rPr>
                <w:sz w:val="12"/>
                <w:szCs w:val="12"/>
              </w:rPr>
            </w:pPr>
          </w:p>
        </w:tc>
        <w:tc>
          <w:tcPr>
            <w:tcW w:w="180" w:type="dxa"/>
            <w:tcBorders>
              <w:right w:val="single" w:sz="8" w:space="0" w:color="919715"/>
            </w:tcBorders>
            <w:shd w:val="clear" w:color="auto" w:fill="C9D11D"/>
            <w:vAlign w:val="bottom"/>
          </w:tcPr>
          <w:p w:rsidR="00AC12B4" w:rsidRDefault="00AC12B4">
            <w:pPr>
              <w:rPr>
                <w:sz w:val="12"/>
                <w:szCs w:val="12"/>
              </w:rPr>
            </w:pPr>
          </w:p>
        </w:tc>
        <w:tc>
          <w:tcPr>
            <w:tcW w:w="1280" w:type="dxa"/>
            <w:gridSpan w:val="5"/>
            <w:vMerge/>
            <w:vAlign w:val="bottom"/>
          </w:tcPr>
          <w:p w:rsidR="00AC12B4" w:rsidRDefault="00AC12B4">
            <w:pPr>
              <w:rPr>
                <w:sz w:val="12"/>
                <w:szCs w:val="12"/>
              </w:rPr>
            </w:pPr>
          </w:p>
        </w:tc>
        <w:tc>
          <w:tcPr>
            <w:tcW w:w="280" w:type="dxa"/>
            <w:vAlign w:val="bottom"/>
          </w:tcPr>
          <w:p w:rsidR="00AC12B4" w:rsidRDefault="00AC12B4">
            <w:pPr>
              <w:rPr>
                <w:sz w:val="12"/>
                <w:szCs w:val="12"/>
              </w:rPr>
            </w:pPr>
          </w:p>
        </w:tc>
        <w:tc>
          <w:tcPr>
            <w:tcW w:w="90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700" w:type="dxa"/>
            <w:vAlign w:val="bottom"/>
          </w:tcPr>
          <w:p w:rsidR="00AC12B4" w:rsidRDefault="00AC12B4">
            <w:pPr>
              <w:rPr>
                <w:sz w:val="12"/>
                <w:szCs w:val="12"/>
              </w:rPr>
            </w:pPr>
          </w:p>
        </w:tc>
        <w:tc>
          <w:tcPr>
            <w:tcW w:w="72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rsidRPr="00C27636">
        <w:trPr>
          <w:trHeight w:val="296"/>
        </w:trPr>
        <w:tc>
          <w:tcPr>
            <w:tcW w:w="2360" w:type="dxa"/>
            <w:vMerge/>
            <w:tcBorders>
              <w:left w:val="single" w:sz="8" w:space="0" w:color="919715"/>
            </w:tcBorders>
            <w:shd w:val="clear" w:color="auto" w:fill="C9D11D"/>
            <w:vAlign w:val="bottom"/>
          </w:tcPr>
          <w:p w:rsidR="00AC12B4" w:rsidRDefault="00AC12B4">
            <w:pPr>
              <w:rPr>
                <w:sz w:val="24"/>
                <w:szCs w:val="24"/>
              </w:rPr>
            </w:pPr>
          </w:p>
        </w:tc>
        <w:tc>
          <w:tcPr>
            <w:tcW w:w="1300" w:type="dxa"/>
            <w:shd w:val="clear" w:color="auto" w:fill="C9D11D"/>
            <w:vAlign w:val="bottom"/>
          </w:tcPr>
          <w:p w:rsidR="00AC12B4" w:rsidRDefault="00AC12B4">
            <w:pPr>
              <w:rPr>
                <w:sz w:val="24"/>
                <w:szCs w:val="24"/>
              </w:rPr>
            </w:pPr>
          </w:p>
        </w:tc>
        <w:tc>
          <w:tcPr>
            <w:tcW w:w="1440" w:type="dxa"/>
            <w:shd w:val="clear" w:color="auto" w:fill="C9D11D"/>
            <w:vAlign w:val="bottom"/>
          </w:tcPr>
          <w:p w:rsidR="00AC12B4" w:rsidRDefault="00AC12B4">
            <w:pPr>
              <w:rPr>
                <w:sz w:val="24"/>
                <w:szCs w:val="24"/>
              </w:rPr>
            </w:pPr>
          </w:p>
        </w:tc>
        <w:tc>
          <w:tcPr>
            <w:tcW w:w="600" w:type="dxa"/>
            <w:shd w:val="clear" w:color="auto" w:fill="C9D11D"/>
            <w:vAlign w:val="bottom"/>
          </w:tcPr>
          <w:p w:rsidR="00AC12B4" w:rsidRDefault="00AC12B4">
            <w:pPr>
              <w:rPr>
                <w:sz w:val="24"/>
                <w:szCs w:val="24"/>
              </w:rPr>
            </w:pPr>
          </w:p>
        </w:tc>
        <w:tc>
          <w:tcPr>
            <w:tcW w:w="820" w:type="dxa"/>
            <w:shd w:val="clear" w:color="auto" w:fill="C9D11D"/>
            <w:vAlign w:val="bottom"/>
          </w:tcPr>
          <w:p w:rsidR="00AC12B4" w:rsidRDefault="00AC12B4">
            <w:pPr>
              <w:rPr>
                <w:sz w:val="24"/>
                <w:szCs w:val="24"/>
              </w:rPr>
            </w:pPr>
          </w:p>
        </w:tc>
        <w:tc>
          <w:tcPr>
            <w:tcW w:w="180" w:type="dxa"/>
            <w:tcBorders>
              <w:right w:val="single" w:sz="8" w:space="0" w:color="919715"/>
            </w:tcBorders>
            <w:shd w:val="clear" w:color="auto" w:fill="C9D11D"/>
            <w:vAlign w:val="bottom"/>
          </w:tcPr>
          <w:p w:rsidR="00AC12B4" w:rsidRDefault="00AC12B4">
            <w:pPr>
              <w:rPr>
                <w:sz w:val="24"/>
                <w:szCs w:val="24"/>
              </w:rPr>
            </w:pPr>
          </w:p>
        </w:tc>
        <w:tc>
          <w:tcPr>
            <w:tcW w:w="3340" w:type="dxa"/>
            <w:gridSpan w:val="9"/>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Moins de 200 jeunes entre 15 et</w:t>
            </w:r>
          </w:p>
        </w:tc>
        <w:tc>
          <w:tcPr>
            <w:tcW w:w="7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134"/>
        </w:trPr>
        <w:tc>
          <w:tcPr>
            <w:tcW w:w="2360" w:type="dxa"/>
            <w:tcBorders>
              <w:left w:val="single" w:sz="8" w:space="0" w:color="919715"/>
            </w:tcBorders>
            <w:shd w:val="clear" w:color="auto" w:fill="C9D11D"/>
            <w:vAlign w:val="bottom"/>
          </w:tcPr>
          <w:p w:rsidR="00AC12B4" w:rsidRPr="00C27636" w:rsidRDefault="00AC12B4">
            <w:pPr>
              <w:rPr>
                <w:sz w:val="11"/>
                <w:szCs w:val="11"/>
                <w:lang w:val="fr-BE"/>
              </w:rPr>
            </w:pPr>
          </w:p>
        </w:tc>
        <w:tc>
          <w:tcPr>
            <w:tcW w:w="1300" w:type="dxa"/>
            <w:shd w:val="clear" w:color="auto" w:fill="C9D11D"/>
            <w:vAlign w:val="bottom"/>
          </w:tcPr>
          <w:p w:rsidR="00AC12B4" w:rsidRPr="00C27636" w:rsidRDefault="00AC12B4">
            <w:pPr>
              <w:rPr>
                <w:sz w:val="11"/>
                <w:szCs w:val="11"/>
                <w:lang w:val="fr-BE"/>
              </w:rPr>
            </w:pPr>
          </w:p>
        </w:tc>
        <w:tc>
          <w:tcPr>
            <w:tcW w:w="1440" w:type="dxa"/>
            <w:shd w:val="clear" w:color="auto" w:fill="C9D11D"/>
            <w:vAlign w:val="bottom"/>
          </w:tcPr>
          <w:p w:rsidR="00AC12B4" w:rsidRPr="00C27636" w:rsidRDefault="00AC12B4">
            <w:pPr>
              <w:rPr>
                <w:sz w:val="11"/>
                <w:szCs w:val="11"/>
                <w:lang w:val="fr-BE"/>
              </w:rPr>
            </w:pPr>
          </w:p>
        </w:tc>
        <w:tc>
          <w:tcPr>
            <w:tcW w:w="600" w:type="dxa"/>
            <w:shd w:val="clear" w:color="auto" w:fill="C9D11D"/>
            <w:vAlign w:val="bottom"/>
          </w:tcPr>
          <w:p w:rsidR="00AC12B4" w:rsidRPr="00C27636" w:rsidRDefault="00AC12B4">
            <w:pPr>
              <w:rPr>
                <w:sz w:val="11"/>
                <w:szCs w:val="11"/>
                <w:lang w:val="fr-BE"/>
              </w:rPr>
            </w:pPr>
          </w:p>
        </w:tc>
        <w:tc>
          <w:tcPr>
            <w:tcW w:w="820" w:type="dxa"/>
            <w:shd w:val="clear" w:color="auto" w:fill="C9D11D"/>
            <w:vAlign w:val="bottom"/>
          </w:tcPr>
          <w:p w:rsidR="00AC12B4" w:rsidRPr="00C27636" w:rsidRDefault="00AC12B4">
            <w:pPr>
              <w:rPr>
                <w:sz w:val="11"/>
                <w:szCs w:val="11"/>
                <w:lang w:val="fr-BE"/>
              </w:rPr>
            </w:pPr>
          </w:p>
        </w:tc>
        <w:tc>
          <w:tcPr>
            <w:tcW w:w="180" w:type="dxa"/>
            <w:tcBorders>
              <w:right w:val="single" w:sz="8" w:space="0" w:color="919715"/>
            </w:tcBorders>
            <w:shd w:val="clear" w:color="auto" w:fill="C9D11D"/>
            <w:vAlign w:val="bottom"/>
          </w:tcPr>
          <w:p w:rsidR="00AC12B4" w:rsidRPr="00C27636" w:rsidRDefault="00AC12B4">
            <w:pPr>
              <w:rPr>
                <w:sz w:val="11"/>
                <w:szCs w:val="11"/>
                <w:lang w:val="fr-BE"/>
              </w:rPr>
            </w:pPr>
          </w:p>
        </w:tc>
        <w:tc>
          <w:tcPr>
            <w:tcW w:w="3340" w:type="dxa"/>
            <w:gridSpan w:val="9"/>
            <w:vMerge/>
            <w:vAlign w:val="bottom"/>
          </w:tcPr>
          <w:p w:rsidR="00AC12B4" w:rsidRPr="00C27636" w:rsidRDefault="00AC12B4">
            <w:pPr>
              <w:rPr>
                <w:sz w:val="11"/>
                <w:szCs w:val="11"/>
                <w:lang w:val="fr-BE"/>
              </w:rPr>
            </w:pPr>
          </w:p>
        </w:tc>
        <w:tc>
          <w:tcPr>
            <w:tcW w:w="72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trPr>
          <w:trHeight w:val="269"/>
        </w:trPr>
        <w:tc>
          <w:tcPr>
            <w:tcW w:w="6520" w:type="dxa"/>
            <w:gridSpan w:val="5"/>
            <w:tcBorders>
              <w:left w:val="single" w:sz="8" w:space="0" w:color="919715"/>
            </w:tcBorders>
            <w:shd w:val="clear" w:color="auto" w:fill="C9D11D"/>
            <w:vAlign w:val="bottom"/>
          </w:tcPr>
          <w:p w:rsidR="00AC12B4" w:rsidRPr="00C27636" w:rsidRDefault="00C27636">
            <w:pPr>
              <w:spacing w:line="255" w:lineRule="exact"/>
              <w:ind w:left="580"/>
              <w:rPr>
                <w:sz w:val="20"/>
                <w:szCs w:val="20"/>
                <w:lang w:val="fr-BE"/>
              </w:rPr>
            </w:pPr>
            <w:r w:rsidRPr="00C27636">
              <w:rPr>
                <w:rFonts w:ascii="Calibri" w:eastAsia="Calibri" w:hAnsi="Calibri" w:cs="Calibri"/>
                <w:i/>
                <w:iCs/>
                <w:color w:val="FFFFFF"/>
                <w:lang w:val="fr-BE"/>
              </w:rPr>
              <w:t xml:space="preserve">1. Les États s'efforcent de garantir qu'aucun enfant ne soit </w:t>
            </w:r>
            <w:r w:rsidRPr="00C27636">
              <w:rPr>
                <w:rFonts w:ascii="Calibri" w:eastAsia="Calibri" w:hAnsi="Calibri" w:cs="Calibri"/>
                <w:i/>
                <w:iCs/>
                <w:color w:val="FFFFFF"/>
                <w:lang w:val="fr-BE"/>
              </w:rPr>
              <w:t>privé</w:t>
            </w:r>
          </w:p>
        </w:tc>
        <w:tc>
          <w:tcPr>
            <w:tcW w:w="180" w:type="dxa"/>
            <w:tcBorders>
              <w:right w:val="single" w:sz="8" w:space="0" w:color="919715"/>
            </w:tcBorders>
            <w:shd w:val="clear" w:color="auto" w:fill="C9D11D"/>
            <w:vAlign w:val="bottom"/>
          </w:tcPr>
          <w:p w:rsidR="00AC12B4" w:rsidRPr="00C27636" w:rsidRDefault="00AC12B4">
            <w:pPr>
              <w:rPr>
                <w:sz w:val="23"/>
                <w:szCs w:val="23"/>
                <w:lang w:val="fr-BE"/>
              </w:rPr>
            </w:pPr>
          </w:p>
        </w:tc>
        <w:tc>
          <w:tcPr>
            <w:tcW w:w="420" w:type="dxa"/>
            <w:gridSpan w:val="2"/>
            <w:vAlign w:val="bottom"/>
          </w:tcPr>
          <w:p w:rsidR="00AC12B4" w:rsidRDefault="00C27636">
            <w:pPr>
              <w:ind w:left="200"/>
              <w:rPr>
                <w:sz w:val="20"/>
                <w:szCs w:val="20"/>
              </w:rPr>
            </w:pPr>
            <w:r>
              <w:rPr>
                <w:rFonts w:ascii="Calibri" w:eastAsia="Calibri" w:hAnsi="Calibri" w:cs="Calibri"/>
                <w:w w:val="89"/>
              </w:rPr>
              <w:t>18</w:t>
            </w:r>
          </w:p>
        </w:tc>
        <w:tc>
          <w:tcPr>
            <w:tcW w:w="600" w:type="dxa"/>
            <w:vAlign w:val="bottom"/>
          </w:tcPr>
          <w:p w:rsidR="00AC12B4" w:rsidRDefault="00C27636">
            <w:pPr>
              <w:ind w:right="10"/>
              <w:jc w:val="right"/>
              <w:rPr>
                <w:sz w:val="20"/>
                <w:szCs w:val="20"/>
              </w:rPr>
            </w:pPr>
            <w:r>
              <w:rPr>
                <w:rFonts w:ascii="Calibri" w:eastAsia="Calibri" w:hAnsi="Calibri" w:cs="Calibri"/>
              </w:rPr>
              <w:t>ans</w:t>
            </w:r>
          </w:p>
        </w:tc>
        <w:tc>
          <w:tcPr>
            <w:tcW w:w="540" w:type="dxa"/>
            <w:gridSpan w:val="3"/>
            <w:vAlign w:val="bottom"/>
          </w:tcPr>
          <w:p w:rsidR="00AC12B4" w:rsidRDefault="00C27636">
            <w:pPr>
              <w:ind w:left="60"/>
              <w:rPr>
                <w:sz w:val="20"/>
                <w:szCs w:val="20"/>
              </w:rPr>
            </w:pPr>
            <w:r>
              <w:rPr>
                <w:rFonts w:ascii="Calibri" w:eastAsia="Calibri" w:hAnsi="Calibri" w:cs="Calibri"/>
              </w:rPr>
              <w:t>ont</w:t>
            </w:r>
          </w:p>
        </w:tc>
        <w:tc>
          <w:tcPr>
            <w:tcW w:w="900" w:type="dxa"/>
            <w:vAlign w:val="bottom"/>
          </w:tcPr>
          <w:p w:rsidR="00AC12B4" w:rsidRDefault="00C27636">
            <w:pPr>
              <w:rPr>
                <w:sz w:val="20"/>
                <w:szCs w:val="20"/>
              </w:rPr>
            </w:pPr>
            <w:r>
              <w:rPr>
                <w:rFonts w:ascii="Calibri" w:eastAsia="Calibri" w:hAnsi="Calibri" w:cs="Calibri"/>
              </w:rPr>
              <w:t>répondu</w:t>
            </w:r>
          </w:p>
        </w:tc>
        <w:tc>
          <w:tcPr>
            <w:tcW w:w="180" w:type="dxa"/>
            <w:vAlign w:val="bottom"/>
          </w:tcPr>
          <w:p w:rsidR="00AC12B4" w:rsidRDefault="00C27636">
            <w:pPr>
              <w:jc w:val="right"/>
              <w:rPr>
                <w:sz w:val="20"/>
                <w:szCs w:val="20"/>
              </w:rPr>
            </w:pPr>
            <w:r>
              <w:rPr>
                <w:rFonts w:ascii="Calibri" w:eastAsia="Calibri" w:hAnsi="Calibri" w:cs="Calibri"/>
              </w:rPr>
              <w:t>à</w:t>
            </w:r>
          </w:p>
        </w:tc>
        <w:tc>
          <w:tcPr>
            <w:tcW w:w="700" w:type="dxa"/>
            <w:vAlign w:val="bottom"/>
          </w:tcPr>
          <w:p w:rsidR="00AC12B4" w:rsidRDefault="00C27636">
            <w:pPr>
              <w:jc w:val="right"/>
              <w:rPr>
                <w:sz w:val="20"/>
                <w:szCs w:val="20"/>
              </w:rPr>
            </w:pPr>
            <w:r>
              <w:rPr>
                <w:rFonts w:ascii="Calibri" w:eastAsia="Calibri" w:hAnsi="Calibri" w:cs="Calibri"/>
              </w:rPr>
              <w:t>cette</w:t>
            </w:r>
          </w:p>
        </w:tc>
        <w:tc>
          <w:tcPr>
            <w:tcW w:w="72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6"/>
        </w:trPr>
        <w:tc>
          <w:tcPr>
            <w:tcW w:w="5700" w:type="dxa"/>
            <w:gridSpan w:val="4"/>
            <w:tcBorders>
              <w:left w:val="single" w:sz="8" w:space="0" w:color="919715"/>
            </w:tcBorders>
            <w:shd w:val="clear" w:color="auto" w:fill="C9D11D"/>
            <w:vAlign w:val="bottom"/>
          </w:tcPr>
          <w:p w:rsidR="00AC12B4" w:rsidRPr="00C27636" w:rsidRDefault="00C27636">
            <w:pPr>
              <w:spacing w:line="255" w:lineRule="exact"/>
              <w:ind w:left="580"/>
              <w:rPr>
                <w:sz w:val="20"/>
                <w:szCs w:val="20"/>
                <w:lang w:val="fr-BE"/>
              </w:rPr>
            </w:pPr>
            <w:r w:rsidRPr="00C27636">
              <w:rPr>
                <w:rFonts w:ascii="Calibri" w:eastAsia="Calibri" w:hAnsi="Calibri" w:cs="Calibri"/>
                <w:i/>
                <w:iCs/>
                <w:color w:val="FFFFFF"/>
                <w:lang w:val="fr-BE"/>
              </w:rPr>
              <w:t>du droit d'avoir accès aux services de soins de santé.</w:t>
            </w:r>
          </w:p>
        </w:tc>
        <w:tc>
          <w:tcPr>
            <w:tcW w:w="820" w:type="dxa"/>
            <w:shd w:val="clear" w:color="auto" w:fill="C9D11D"/>
            <w:vAlign w:val="bottom"/>
          </w:tcPr>
          <w:p w:rsidR="00AC12B4" w:rsidRPr="00C27636" w:rsidRDefault="00AC12B4">
            <w:pPr>
              <w:rPr>
                <w:sz w:val="23"/>
                <w:szCs w:val="23"/>
                <w:lang w:val="fr-BE"/>
              </w:rPr>
            </w:pPr>
          </w:p>
        </w:tc>
        <w:tc>
          <w:tcPr>
            <w:tcW w:w="180" w:type="dxa"/>
            <w:tcBorders>
              <w:right w:val="single" w:sz="8" w:space="0" w:color="919715"/>
            </w:tcBorders>
            <w:shd w:val="clear" w:color="auto" w:fill="C9D11D"/>
            <w:vAlign w:val="bottom"/>
          </w:tcPr>
          <w:p w:rsidR="00AC12B4" w:rsidRPr="00C27636" w:rsidRDefault="00AC12B4">
            <w:pPr>
              <w:rPr>
                <w:sz w:val="23"/>
                <w:szCs w:val="23"/>
                <w:lang w:val="fr-BE"/>
              </w:rPr>
            </w:pPr>
          </w:p>
        </w:tc>
        <w:tc>
          <w:tcPr>
            <w:tcW w:w="3340" w:type="dxa"/>
            <w:gridSpan w:val="9"/>
            <w:vAlign w:val="bottom"/>
          </w:tcPr>
          <w:p w:rsidR="00AC12B4" w:rsidRPr="00C27636" w:rsidRDefault="00C27636">
            <w:pPr>
              <w:spacing w:line="267" w:lineRule="exact"/>
              <w:ind w:left="200"/>
              <w:rPr>
                <w:sz w:val="20"/>
                <w:szCs w:val="20"/>
                <w:lang w:val="fr-BE"/>
              </w:rPr>
            </w:pPr>
            <w:r w:rsidRPr="00C27636">
              <w:rPr>
                <w:rFonts w:ascii="Calibri" w:eastAsia="Calibri" w:hAnsi="Calibri" w:cs="Calibri"/>
                <w:lang w:val="fr-BE"/>
              </w:rPr>
              <w:t>question.  Il  est  difficile  de</w:t>
            </w:r>
          </w:p>
        </w:tc>
        <w:tc>
          <w:tcPr>
            <w:tcW w:w="72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6520" w:type="dxa"/>
            <w:gridSpan w:val="5"/>
            <w:vMerge w:val="restart"/>
            <w:tcBorders>
              <w:lef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2. b. Les États prennent les mesures appropriées pour assurer à</w:t>
            </w:r>
          </w:p>
        </w:tc>
        <w:tc>
          <w:tcPr>
            <w:tcW w:w="180" w:type="dxa"/>
            <w:tcBorders>
              <w:right w:val="single" w:sz="8" w:space="0" w:color="919715"/>
            </w:tcBorders>
            <w:shd w:val="clear" w:color="auto" w:fill="C9D11D"/>
            <w:vAlign w:val="bottom"/>
          </w:tcPr>
          <w:p w:rsidR="00AC12B4" w:rsidRPr="00C27636" w:rsidRDefault="00AC12B4">
            <w:pPr>
              <w:rPr>
                <w:sz w:val="23"/>
                <w:szCs w:val="23"/>
                <w:lang w:val="fr-BE"/>
              </w:rPr>
            </w:pPr>
          </w:p>
        </w:tc>
        <w:tc>
          <w:tcPr>
            <w:tcW w:w="1020" w:type="dxa"/>
            <w:gridSpan w:val="3"/>
            <w:vAlign w:val="bottom"/>
          </w:tcPr>
          <w:p w:rsidR="00AC12B4" w:rsidRDefault="00C27636">
            <w:pPr>
              <w:ind w:left="200"/>
              <w:rPr>
                <w:sz w:val="20"/>
                <w:szCs w:val="20"/>
              </w:rPr>
            </w:pPr>
            <w:r>
              <w:rPr>
                <w:rFonts w:ascii="Calibri" w:eastAsia="Calibri" w:hAnsi="Calibri" w:cs="Calibri"/>
              </w:rPr>
              <w:t>pouvoir</w:t>
            </w:r>
          </w:p>
        </w:tc>
        <w:tc>
          <w:tcPr>
            <w:tcW w:w="2320" w:type="dxa"/>
            <w:gridSpan w:val="6"/>
            <w:vAlign w:val="bottom"/>
          </w:tcPr>
          <w:p w:rsidR="00AC12B4" w:rsidRDefault="00C27636">
            <w:pPr>
              <w:jc w:val="right"/>
              <w:rPr>
                <w:sz w:val="20"/>
                <w:szCs w:val="20"/>
              </w:rPr>
            </w:pPr>
            <w:r>
              <w:rPr>
                <w:rFonts w:ascii="Calibri" w:eastAsia="Calibri" w:hAnsi="Calibri" w:cs="Calibri"/>
              </w:rPr>
              <w:t>ventiler un échantillon</w:t>
            </w:r>
          </w:p>
        </w:tc>
        <w:tc>
          <w:tcPr>
            <w:tcW w:w="72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08"/>
        </w:trPr>
        <w:tc>
          <w:tcPr>
            <w:tcW w:w="6520" w:type="dxa"/>
            <w:gridSpan w:val="5"/>
            <w:vMerge/>
            <w:tcBorders>
              <w:left w:val="single" w:sz="8" w:space="0" w:color="919715"/>
            </w:tcBorders>
            <w:shd w:val="clear" w:color="auto" w:fill="C9D11D"/>
            <w:vAlign w:val="bottom"/>
          </w:tcPr>
          <w:p w:rsidR="00AC12B4" w:rsidRDefault="00AC12B4">
            <w:pPr>
              <w:rPr>
                <w:sz w:val="9"/>
                <w:szCs w:val="9"/>
              </w:rPr>
            </w:pPr>
          </w:p>
        </w:tc>
        <w:tc>
          <w:tcPr>
            <w:tcW w:w="180" w:type="dxa"/>
            <w:tcBorders>
              <w:right w:val="single" w:sz="8" w:space="0" w:color="919715"/>
            </w:tcBorders>
            <w:shd w:val="clear" w:color="auto" w:fill="C9D11D"/>
            <w:vAlign w:val="bottom"/>
          </w:tcPr>
          <w:p w:rsidR="00AC12B4" w:rsidRDefault="00AC12B4">
            <w:pPr>
              <w:rPr>
                <w:sz w:val="9"/>
                <w:szCs w:val="9"/>
              </w:rPr>
            </w:pPr>
          </w:p>
        </w:tc>
        <w:tc>
          <w:tcPr>
            <w:tcW w:w="1280" w:type="dxa"/>
            <w:gridSpan w:val="5"/>
            <w:vMerge w:val="restart"/>
            <w:vAlign w:val="bottom"/>
          </w:tcPr>
          <w:p w:rsidR="00AC12B4" w:rsidRDefault="00C27636">
            <w:pPr>
              <w:ind w:left="200"/>
              <w:rPr>
                <w:sz w:val="20"/>
                <w:szCs w:val="20"/>
              </w:rPr>
            </w:pPr>
            <w:r>
              <w:rPr>
                <w:rFonts w:ascii="Calibri" w:eastAsia="Calibri" w:hAnsi="Calibri" w:cs="Calibri"/>
              </w:rPr>
              <w:t>aussi petit.</w:t>
            </w:r>
          </w:p>
        </w:tc>
        <w:tc>
          <w:tcPr>
            <w:tcW w:w="28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700" w:type="dxa"/>
            <w:vAlign w:val="bottom"/>
          </w:tcPr>
          <w:p w:rsidR="00AC12B4" w:rsidRDefault="00AC12B4">
            <w:pPr>
              <w:rPr>
                <w:sz w:val="9"/>
                <w:szCs w:val="9"/>
              </w:rPr>
            </w:pPr>
          </w:p>
        </w:tc>
        <w:tc>
          <w:tcPr>
            <w:tcW w:w="72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161"/>
        </w:trPr>
        <w:tc>
          <w:tcPr>
            <w:tcW w:w="6520" w:type="dxa"/>
            <w:gridSpan w:val="5"/>
            <w:vMerge w:val="restart"/>
            <w:tcBorders>
              <w:lef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tous les enfants l'assistance médicale et les soins de santé</w:t>
            </w:r>
          </w:p>
        </w:tc>
        <w:tc>
          <w:tcPr>
            <w:tcW w:w="180" w:type="dxa"/>
            <w:tcBorders>
              <w:right w:val="single" w:sz="8" w:space="0" w:color="919715"/>
            </w:tcBorders>
            <w:shd w:val="clear" w:color="auto" w:fill="C9D11D"/>
            <w:vAlign w:val="bottom"/>
          </w:tcPr>
          <w:p w:rsidR="00AC12B4" w:rsidRPr="00C27636" w:rsidRDefault="00AC12B4">
            <w:pPr>
              <w:rPr>
                <w:sz w:val="13"/>
                <w:szCs w:val="13"/>
                <w:lang w:val="fr-BE"/>
              </w:rPr>
            </w:pPr>
          </w:p>
        </w:tc>
        <w:tc>
          <w:tcPr>
            <w:tcW w:w="1280" w:type="dxa"/>
            <w:gridSpan w:val="5"/>
            <w:vMerge/>
            <w:vAlign w:val="bottom"/>
          </w:tcPr>
          <w:p w:rsidR="00AC12B4" w:rsidRPr="00C27636" w:rsidRDefault="00AC12B4">
            <w:pPr>
              <w:rPr>
                <w:sz w:val="13"/>
                <w:szCs w:val="13"/>
                <w:lang w:val="fr-BE"/>
              </w:rPr>
            </w:pPr>
          </w:p>
        </w:tc>
        <w:tc>
          <w:tcPr>
            <w:tcW w:w="280" w:type="dxa"/>
            <w:vAlign w:val="bottom"/>
          </w:tcPr>
          <w:p w:rsidR="00AC12B4" w:rsidRPr="00C27636" w:rsidRDefault="00AC12B4">
            <w:pPr>
              <w:rPr>
                <w:sz w:val="13"/>
                <w:szCs w:val="13"/>
                <w:lang w:val="fr-BE"/>
              </w:rPr>
            </w:pPr>
          </w:p>
        </w:tc>
        <w:tc>
          <w:tcPr>
            <w:tcW w:w="900" w:type="dxa"/>
            <w:vAlign w:val="bottom"/>
          </w:tcPr>
          <w:p w:rsidR="00AC12B4" w:rsidRPr="00C27636" w:rsidRDefault="00AC12B4">
            <w:pPr>
              <w:rPr>
                <w:sz w:val="13"/>
                <w:szCs w:val="13"/>
                <w:lang w:val="fr-BE"/>
              </w:rPr>
            </w:pPr>
          </w:p>
        </w:tc>
        <w:tc>
          <w:tcPr>
            <w:tcW w:w="180" w:type="dxa"/>
            <w:vAlign w:val="bottom"/>
          </w:tcPr>
          <w:p w:rsidR="00AC12B4" w:rsidRPr="00C27636" w:rsidRDefault="00AC12B4">
            <w:pPr>
              <w:rPr>
                <w:sz w:val="13"/>
                <w:szCs w:val="13"/>
                <w:lang w:val="fr-BE"/>
              </w:rPr>
            </w:pPr>
          </w:p>
        </w:tc>
        <w:tc>
          <w:tcPr>
            <w:tcW w:w="700" w:type="dxa"/>
            <w:vAlign w:val="bottom"/>
          </w:tcPr>
          <w:p w:rsidR="00AC12B4" w:rsidRPr="00C27636" w:rsidRDefault="00AC12B4">
            <w:pPr>
              <w:rPr>
                <w:sz w:val="13"/>
                <w:szCs w:val="13"/>
                <w:lang w:val="fr-BE"/>
              </w:rPr>
            </w:pPr>
          </w:p>
        </w:tc>
        <w:tc>
          <w:tcPr>
            <w:tcW w:w="72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108"/>
        </w:trPr>
        <w:tc>
          <w:tcPr>
            <w:tcW w:w="6520" w:type="dxa"/>
            <w:gridSpan w:val="5"/>
            <w:vMerge/>
            <w:tcBorders>
              <w:left w:val="single" w:sz="8" w:space="0" w:color="919715"/>
            </w:tcBorders>
            <w:shd w:val="clear" w:color="auto" w:fill="C9D11D"/>
            <w:vAlign w:val="bottom"/>
          </w:tcPr>
          <w:p w:rsidR="00AC12B4" w:rsidRPr="00C27636" w:rsidRDefault="00AC12B4">
            <w:pPr>
              <w:rPr>
                <w:sz w:val="9"/>
                <w:szCs w:val="9"/>
                <w:lang w:val="fr-BE"/>
              </w:rPr>
            </w:pPr>
          </w:p>
        </w:tc>
        <w:tc>
          <w:tcPr>
            <w:tcW w:w="180" w:type="dxa"/>
            <w:tcBorders>
              <w:right w:val="single" w:sz="8" w:space="0" w:color="919715"/>
            </w:tcBorders>
            <w:shd w:val="clear" w:color="auto" w:fill="C9D11D"/>
            <w:vAlign w:val="bottom"/>
          </w:tcPr>
          <w:p w:rsidR="00AC12B4" w:rsidRPr="00C27636" w:rsidRDefault="00AC12B4">
            <w:pPr>
              <w:rPr>
                <w:sz w:val="9"/>
                <w:szCs w:val="9"/>
                <w:lang w:val="fr-BE"/>
              </w:rPr>
            </w:pPr>
          </w:p>
        </w:tc>
        <w:tc>
          <w:tcPr>
            <w:tcW w:w="26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600" w:type="dxa"/>
            <w:vAlign w:val="bottom"/>
          </w:tcPr>
          <w:p w:rsidR="00AC12B4" w:rsidRPr="00C27636" w:rsidRDefault="00AC12B4">
            <w:pPr>
              <w:rPr>
                <w:sz w:val="9"/>
                <w:szCs w:val="9"/>
                <w:lang w:val="fr-BE"/>
              </w:rPr>
            </w:pPr>
          </w:p>
        </w:tc>
        <w:tc>
          <w:tcPr>
            <w:tcW w:w="14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280" w:type="dxa"/>
            <w:vAlign w:val="bottom"/>
          </w:tcPr>
          <w:p w:rsidR="00AC12B4" w:rsidRPr="00C27636" w:rsidRDefault="00AC12B4">
            <w:pPr>
              <w:rPr>
                <w:sz w:val="9"/>
                <w:szCs w:val="9"/>
                <w:lang w:val="fr-BE"/>
              </w:rPr>
            </w:pPr>
          </w:p>
        </w:tc>
        <w:tc>
          <w:tcPr>
            <w:tcW w:w="90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700" w:type="dxa"/>
            <w:vAlign w:val="bottom"/>
          </w:tcPr>
          <w:p w:rsidR="00AC12B4" w:rsidRPr="00C27636" w:rsidRDefault="00AC12B4">
            <w:pPr>
              <w:rPr>
                <w:sz w:val="9"/>
                <w:szCs w:val="9"/>
                <w:lang w:val="fr-BE"/>
              </w:rPr>
            </w:pPr>
          </w:p>
        </w:tc>
        <w:tc>
          <w:tcPr>
            <w:tcW w:w="72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269"/>
        </w:trPr>
        <w:tc>
          <w:tcPr>
            <w:tcW w:w="6520" w:type="dxa"/>
            <w:gridSpan w:val="5"/>
            <w:tcBorders>
              <w:left w:val="single" w:sz="8" w:space="0" w:color="919715"/>
            </w:tcBorders>
            <w:shd w:val="clear" w:color="auto" w:fill="C9D11D"/>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nécessaires, l'accent étant mis sur le développement des soins de</w:t>
            </w:r>
          </w:p>
        </w:tc>
        <w:tc>
          <w:tcPr>
            <w:tcW w:w="180" w:type="dxa"/>
            <w:tcBorders>
              <w:right w:val="single" w:sz="8" w:space="0" w:color="919715"/>
            </w:tcBorders>
            <w:shd w:val="clear" w:color="auto" w:fill="C9D11D"/>
            <w:vAlign w:val="bottom"/>
          </w:tcPr>
          <w:p w:rsidR="00AC12B4" w:rsidRPr="00C27636" w:rsidRDefault="00AC12B4">
            <w:pPr>
              <w:rPr>
                <w:sz w:val="23"/>
                <w:szCs w:val="23"/>
                <w:lang w:val="fr-BE"/>
              </w:rPr>
            </w:pPr>
          </w:p>
        </w:tc>
        <w:tc>
          <w:tcPr>
            <w:tcW w:w="1020" w:type="dxa"/>
            <w:gridSpan w:val="3"/>
            <w:vMerge w:val="restart"/>
            <w:vAlign w:val="bottom"/>
          </w:tcPr>
          <w:p w:rsidR="00AC12B4" w:rsidRDefault="00C27636">
            <w:pPr>
              <w:ind w:left="200"/>
              <w:rPr>
                <w:sz w:val="20"/>
                <w:szCs w:val="20"/>
              </w:rPr>
            </w:pPr>
            <w:r>
              <w:rPr>
                <w:rFonts w:ascii="Cambria" w:eastAsia="Cambria" w:hAnsi="Cambria" w:cs="Cambria"/>
                <w:b/>
                <w:bCs/>
                <w:i/>
                <w:iCs/>
                <w:color w:val="919715"/>
                <w:sz w:val="26"/>
                <w:szCs w:val="26"/>
              </w:rPr>
              <w:t>D’où</w:t>
            </w:r>
          </w:p>
        </w:tc>
        <w:tc>
          <w:tcPr>
            <w:tcW w:w="14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180" w:type="dxa"/>
            <w:gridSpan w:val="2"/>
            <w:vMerge w:val="restart"/>
            <w:vAlign w:val="bottom"/>
          </w:tcPr>
          <w:p w:rsidR="00AC12B4" w:rsidRDefault="00C27636">
            <w:pPr>
              <w:rPr>
                <w:sz w:val="20"/>
                <w:szCs w:val="20"/>
              </w:rPr>
            </w:pPr>
            <w:r>
              <w:rPr>
                <w:rFonts w:ascii="Cambria" w:eastAsia="Cambria" w:hAnsi="Cambria" w:cs="Cambria"/>
                <w:b/>
                <w:bCs/>
                <w:i/>
                <w:iCs/>
                <w:color w:val="919715"/>
                <w:sz w:val="26"/>
                <w:szCs w:val="26"/>
              </w:rPr>
              <w:t>viennent</w:t>
            </w:r>
          </w:p>
        </w:tc>
        <w:tc>
          <w:tcPr>
            <w:tcW w:w="180" w:type="dxa"/>
            <w:vAlign w:val="bottom"/>
          </w:tcPr>
          <w:p w:rsidR="00AC12B4" w:rsidRDefault="00AC12B4">
            <w:pPr>
              <w:rPr>
                <w:sz w:val="23"/>
                <w:szCs w:val="23"/>
              </w:rPr>
            </w:pPr>
          </w:p>
        </w:tc>
        <w:tc>
          <w:tcPr>
            <w:tcW w:w="700" w:type="dxa"/>
            <w:vMerge w:val="restart"/>
            <w:vAlign w:val="bottom"/>
          </w:tcPr>
          <w:p w:rsidR="00AC12B4" w:rsidRDefault="00C27636">
            <w:pPr>
              <w:ind w:right="13"/>
              <w:jc w:val="right"/>
              <w:rPr>
                <w:sz w:val="20"/>
                <w:szCs w:val="20"/>
              </w:rPr>
            </w:pPr>
            <w:r>
              <w:rPr>
                <w:rFonts w:ascii="Cambria" w:eastAsia="Cambria" w:hAnsi="Cambria" w:cs="Cambria"/>
                <w:b/>
                <w:bCs/>
                <w:i/>
                <w:iCs/>
                <w:color w:val="919715"/>
                <w:sz w:val="26"/>
                <w:szCs w:val="26"/>
              </w:rPr>
              <w:t>ces</w:t>
            </w:r>
          </w:p>
        </w:tc>
        <w:tc>
          <w:tcPr>
            <w:tcW w:w="72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34"/>
        </w:trPr>
        <w:tc>
          <w:tcPr>
            <w:tcW w:w="2360" w:type="dxa"/>
            <w:vMerge w:val="restart"/>
            <w:tcBorders>
              <w:left w:val="single" w:sz="8" w:space="0" w:color="919715"/>
            </w:tcBorders>
            <w:shd w:val="clear" w:color="auto" w:fill="C9D11D"/>
            <w:vAlign w:val="bottom"/>
          </w:tcPr>
          <w:p w:rsidR="00AC12B4" w:rsidRDefault="00C27636">
            <w:pPr>
              <w:ind w:left="580"/>
              <w:rPr>
                <w:sz w:val="20"/>
                <w:szCs w:val="20"/>
              </w:rPr>
            </w:pPr>
            <w:r>
              <w:rPr>
                <w:rFonts w:ascii="Calibri" w:eastAsia="Calibri" w:hAnsi="Calibri" w:cs="Calibri"/>
                <w:i/>
                <w:iCs/>
                <w:color w:val="FFFFFF"/>
              </w:rPr>
              <w:t>santé primaires.</w:t>
            </w:r>
          </w:p>
        </w:tc>
        <w:tc>
          <w:tcPr>
            <w:tcW w:w="1300" w:type="dxa"/>
            <w:shd w:val="clear" w:color="auto" w:fill="C9D11D"/>
            <w:vAlign w:val="bottom"/>
          </w:tcPr>
          <w:p w:rsidR="00AC12B4" w:rsidRDefault="00AC12B4">
            <w:pPr>
              <w:rPr>
                <w:sz w:val="11"/>
                <w:szCs w:val="11"/>
              </w:rPr>
            </w:pPr>
          </w:p>
        </w:tc>
        <w:tc>
          <w:tcPr>
            <w:tcW w:w="1440" w:type="dxa"/>
            <w:shd w:val="clear" w:color="auto" w:fill="C9D11D"/>
            <w:vAlign w:val="bottom"/>
          </w:tcPr>
          <w:p w:rsidR="00AC12B4" w:rsidRDefault="00AC12B4">
            <w:pPr>
              <w:rPr>
                <w:sz w:val="11"/>
                <w:szCs w:val="11"/>
              </w:rPr>
            </w:pPr>
          </w:p>
        </w:tc>
        <w:tc>
          <w:tcPr>
            <w:tcW w:w="600" w:type="dxa"/>
            <w:shd w:val="clear" w:color="auto" w:fill="C9D11D"/>
            <w:vAlign w:val="bottom"/>
          </w:tcPr>
          <w:p w:rsidR="00AC12B4" w:rsidRDefault="00AC12B4">
            <w:pPr>
              <w:rPr>
                <w:sz w:val="11"/>
                <w:szCs w:val="11"/>
              </w:rPr>
            </w:pPr>
          </w:p>
        </w:tc>
        <w:tc>
          <w:tcPr>
            <w:tcW w:w="820" w:type="dxa"/>
            <w:shd w:val="clear" w:color="auto" w:fill="C9D11D"/>
            <w:vAlign w:val="bottom"/>
          </w:tcPr>
          <w:p w:rsidR="00AC12B4" w:rsidRDefault="00AC12B4">
            <w:pPr>
              <w:rPr>
                <w:sz w:val="11"/>
                <w:szCs w:val="11"/>
              </w:rPr>
            </w:pPr>
          </w:p>
        </w:tc>
        <w:tc>
          <w:tcPr>
            <w:tcW w:w="180" w:type="dxa"/>
            <w:tcBorders>
              <w:right w:val="single" w:sz="8" w:space="0" w:color="919715"/>
            </w:tcBorders>
            <w:shd w:val="clear" w:color="auto" w:fill="C9D11D"/>
            <w:vAlign w:val="bottom"/>
          </w:tcPr>
          <w:p w:rsidR="00AC12B4" w:rsidRDefault="00AC12B4">
            <w:pPr>
              <w:rPr>
                <w:sz w:val="11"/>
                <w:szCs w:val="11"/>
              </w:rPr>
            </w:pPr>
          </w:p>
        </w:tc>
        <w:tc>
          <w:tcPr>
            <w:tcW w:w="1020" w:type="dxa"/>
            <w:gridSpan w:val="3"/>
            <w:vMerge/>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180" w:type="dxa"/>
            <w:gridSpan w:val="2"/>
            <w:vMerge/>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700" w:type="dxa"/>
            <w:vMerge/>
            <w:vAlign w:val="bottom"/>
          </w:tcPr>
          <w:p w:rsidR="00AC12B4" w:rsidRDefault="00AC12B4">
            <w:pPr>
              <w:rPr>
                <w:sz w:val="11"/>
                <w:szCs w:val="11"/>
              </w:rPr>
            </w:pPr>
          </w:p>
        </w:tc>
        <w:tc>
          <w:tcPr>
            <w:tcW w:w="7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5"/>
        </w:trPr>
        <w:tc>
          <w:tcPr>
            <w:tcW w:w="2360" w:type="dxa"/>
            <w:vMerge/>
            <w:tcBorders>
              <w:left w:val="single" w:sz="8" w:space="0" w:color="919715"/>
            </w:tcBorders>
            <w:shd w:val="clear" w:color="auto" w:fill="C9D11D"/>
            <w:vAlign w:val="bottom"/>
          </w:tcPr>
          <w:p w:rsidR="00AC12B4" w:rsidRDefault="00AC12B4">
            <w:pPr>
              <w:rPr>
                <w:sz w:val="11"/>
                <w:szCs w:val="11"/>
              </w:rPr>
            </w:pPr>
          </w:p>
        </w:tc>
        <w:tc>
          <w:tcPr>
            <w:tcW w:w="1300" w:type="dxa"/>
            <w:shd w:val="clear" w:color="auto" w:fill="C9D11D"/>
            <w:vAlign w:val="bottom"/>
          </w:tcPr>
          <w:p w:rsidR="00AC12B4" w:rsidRDefault="00AC12B4">
            <w:pPr>
              <w:rPr>
                <w:sz w:val="11"/>
                <w:szCs w:val="11"/>
              </w:rPr>
            </w:pPr>
          </w:p>
        </w:tc>
        <w:tc>
          <w:tcPr>
            <w:tcW w:w="1440" w:type="dxa"/>
            <w:shd w:val="clear" w:color="auto" w:fill="C9D11D"/>
            <w:vAlign w:val="bottom"/>
          </w:tcPr>
          <w:p w:rsidR="00AC12B4" w:rsidRDefault="00AC12B4">
            <w:pPr>
              <w:rPr>
                <w:sz w:val="11"/>
                <w:szCs w:val="11"/>
              </w:rPr>
            </w:pPr>
          </w:p>
        </w:tc>
        <w:tc>
          <w:tcPr>
            <w:tcW w:w="600" w:type="dxa"/>
            <w:shd w:val="clear" w:color="auto" w:fill="C9D11D"/>
            <w:vAlign w:val="bottom"/>
          </w:tcPr>
          <w:p w:rsidR="00AC12B4" w:rsidRDefault="00AC12B4">
            <w:pPr>
              <w:rPr>
                <w:sz w:val="11"/>
                <w:szCs w:val="11"/>
              </w:rPr>
            </w:pPr>
          </w:p>
        </w:tc>
        <w:tc>
          <w:tcPr>
            <w:tcW w:w="820" w:type="dxa"/>
            <w:shd w:val="clear" w:color="auto" w:fill="C9D11D"/>
            <w:vAlign w:val="bottom"/>
          </w:tcPr>
          <w:p w:rsidR="00AC12B4" w:rsidRDefault="00AC12B4">
            <w:pPr>
              <w:rPr>
                <w:sz w:val="11"/>
                <w:szCs w:val="11"/>
              </w:rPr>
            </w:pPr>
          </w:p>
        </w:tc>
        <w:tc>
          <w:tcPr>
            <w:tcW w:w="180" w:type="dxa"/>
            <w:tcBorders>
              <w:right w:val="single" w:sz="8" w:space="0" w:color="919715"/>
            </w:tcBorders>
            <w:shd w:val="clear" w:color="auto" w:fill="C9D11D"/>
            <w:vAlign w:val="bottom"/>
          </w:tcPr>
          <w:p w:rsidR="00AC12B4" w:rsidRDefault="00AC12B4">
            <w:pPr>
              <w:rPr>
                <w:sz w:val="11"/>
                <w:szCs w:val="11"/>
              </w:rPr>
            </w:pPr>
          </w:p>
        </w:tc>
        <w:tc>
          <w:tcPr>
            <w:tcW w:w="1280" w:type="dxa"/>
            <w:gridSpan w:val="5"/>
            <w:vMerge w:val="restart"/>
            <w:vAlign w:val="bottom"/>
          </w:tcPr>
          <w:p w:rsidR="00AC12B4" w:rsidRDefault="00C27636">
            <w:pPr>
              <w:ind w:left="200"/>
              <w:rPr>
                <w:sz w:val="20"/>
                <w:szCs w:val="20"/>
              </w:rPr>
            </w:pPr>
            <w:r>
              <w:rPr>
                <w:rFonts w:ascii="Cambria" w:eastAsia="Cambria" w:hAnsi="Cambria" w:cs="Cambria"/>
                <w:b/>
                <w:bCs/>
                <w:i/>
                <w:iCs/>
                <w:color w:val="919715"/>
                <w:sz w:val="26"/>
                <w:szCs w:val="26"/>
              </w:rPr>
              <w:t>chiffres ?</w:t>
            </w:r>
          </w:p>
        </w:tc>
        <w:tc>
          <w:tcPr>
            <w:tcW w:w="280" w:type="dxa"/>
            <w:vAlign w:val="bottom"/>
          </w:tcPr>
          <w:p w:rsidR="00AC12B4" w:rsidRDefault="00AC12B4">
            <w:pPr>
              <w:rPr>
                <w:sz w:val="11"/>
                <w:szCs w:val="11"/>
              </w:rPr>
            </w:pPr>
          </w:p>
        </w:tc>
        <w:tc>
          <w:tcPr>
            <w:tcW w:w="90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700" w:type="dxa"/>
            <w:vAlign w:val="bottom"/>
          </w:tcPr>
          <w:p w:rsidR="00AC12B4" w:rsidRDefault="00AC12B4">
            <w:pPr>
              <w:rPr>
                <w:sz w:val="11"/>
                <w:szCs w:val="11"/>
              </w:rPr>
            </w:pPr>
          </w:p>
        </w:tc>
        <w:tc>
          <w:tcPr>
            <w:tcW w:w="7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18"/>
        </w:trPr>
        <w:tc>
          <w:tcPr>
            <w:tcW w:w="2360" w:type="dxa"/>
            <w:tcBorders>
              <w:left w:val="single" w:sz="8" w:space="0" w:color="919715"/>
            </w:tcBorders>
            <w:shd w:val="clear" w:color="auto" w:fill="C9D11D"/>
            <w:vAlign w:val="bottom"/>
          </w:tcPr>
          <w:p w:rsidR="00AC12B4" w:rsidRDefault="00AC12B4">
            <w:pPr>
              <w:rPr>
                <w:sz w:val="18"/>
                <w:szCs w:val="18"/>
              </w:rPr>
            </w:pPr>
          </w:p>
        </w:tc>
        <w:tc>
          <w:tcPr>
            <w:tcW w:w="1300" w:type="dxa"/>
            <w:shd w:val="clear" w:color="auto" w:fill="C9D11D"/>
            <w:vAlign w:val="bottom"/>
          </w:tcPr>
          <w:p w:rsidR="00AC12B4" w:rsidRDefault="00AC12B4">
            <w:pPr>
              <w:rPr>
                <w:sz w:val="18"/>
                <w:szCs w:val="18"/>
              </w:rPr>
            </w:pPr>
          </w:p>
        </w:tc>
        <w:tc>
          <w:tcPr>
            <w:tcW w:w="1440" w:type="dxa"/>
            <w:shd w:val="clear" w:color="auto" w:fill="C9D11D"/>
            <w:vAlign w:val="bottom"/>
          </w:tcPr>
          <w:p w:rsidR="00AC12B4" w:rsidRDefault="00AC12B4">
            <w:pPr>
              <w:rPr>
                <w:sz w:val="18"/>
                <w:szCs w:val="18"/>
              </w:rPr>
            </w:pPr>
          </w:p>
        </w:tc>
        <w:tc>
          <w:tcPr>
            <w:tcW w:w="600" w:type="dxa"/>
            <w:shd w:val="clear" w:color="auto" w:fill="C9D11D"/>
            <w:vAlign w:val="bottom"/>
          </w:tcPr>
          <w:p w:rsidR="00AC12B4" w:rsidRDefault="00AC12B4">
            <w:pPr>
              <w:rPr>
                <w:sz w:val="18"/>
                <w:szCs w:val="18"/>
              </w:rPr>
            </w:pPr>
          </w:p>
        </w:tc>
        <w:tc>
          <w:tcPr>
            <w:tcW w:w="820" w:type="dxa"/>
            <w:shd w:val="clear" w:color="auto" w:fill="C9D11D"/>
            <w:vAlign w:val="bottom"/>
          </w:tcPr>
          <w:p w:rsidR="00AC12B4" w:rsidRDefault="00AC12B4">
            <w:pPr>
              <w:rPr>
                <w:sz w:val="18"/>
                <w:szCs w:val="18"/>
              </w:rPr>
            </w:pPr>
          </w:p>
        </w:tc>
        <w:tc>
          <w:tcPr>
            <w:tcW w:w="180" w:type="dxa"/>
            <w:tcBorders>
              <w:right w:val="single" w:sz="8" w:space="0" w:color="919715"/>
            </w:tcBorders>
            <w:shd w:val="clear" w:color="auto" w:fill="C9D11D"/>
            <w:vAlign w:val="bottom"/>
          </w:tcPr>
          <w:p w:rsidR="00AC12B4" w:rsidRDefault="00AC12B4">
            <w:pPr>
              <w:rPr>
                <w:sz w:val="18"/>
                <w:szCs w:val="18"/>
              </w:rPr>
            </w:pPr>
          </w:p>
        </w:tc>
        <w:tc>
          <w:tcPr>
            <w:tcW w:w="1280" w:type="dxa"/>
            <w:gridSpan w:val="5"/>
            <w:vMerge/>
            <w:vAlign w:val="bottom"/>
          </w:tcPr>
          <w:p w:rsidR="00AC12B4" w:rsidRDefault="00AC12B4">
            <w:pPr>
              <w:rPr>
                <w:sz w:val="18"/>
                <w:szCs w:val="18"/>
              </w:rPr>
            </w:pPr>
          </w:p>
        </w:tc>
        <w:tc>
          <w:tcPr>
            <w:tcW w:w="280" w:type="dxa"/>
            <w:vAlign w:val="bottom"/>
          </w:tcPr>
          <w:p w:rsidR="00AC12B4" w:rsidRDefault="00AC12B4">
            <w:pPr>
              <w:rPr>
                <w:sz w:val="18"/>
                <w:szCs w:val="18"/>
              </w:rPr>
            </w:pPr>
          </w:p>
        </w:tc>
        <w:tc>
          <w:tcPr>
            <w:tcW w:w="900" w:type="dxa"/>
            <w:vAlign w:val="bottom"/>
          </w:tcPr>
          <w:p w:rsidR="00AC12B4" w:rsidRDefault="00AC12B4">
            <w:pPr>
              <w:rPr>
                <w:sz w:val="18"/>
                <w:szCs w:val="18"/>
              </w:rPr>
            </w:pPr>
          </w:p>
        </w:tc>
        <w:tc>
          <w:tcPr>
            <w:tcW w:w="180" w:type="dxa"/>
            <w:vAlign w:val="bottom"/>
          </w:tcPr>
          <w:p w:rsidR="00AC12B4" w:rsidRDefault="00AC12B4">
            <w:pPr>
              <w:rPr>
                <w:sz w:val="18"/>
                <w:szCs w:val="18"/>
              </w:rPr>
            </w:pPr>
          </w:p>
        </w:tc>
        <w:tc>
          <w:tcPr>
            <w:tcW w:w="700" w:type="dxa"/>
            <w:vAlign w:val="bottom"/>
          </w:tcPr>
          <w:p w:rsidR="00AC12B4" w:rsidRDefault="00AC12B4">
            <w:pPr>
              <w:rPr>
                <w:sz w:val="18"/>
                <w:szCs w:val="18"/>
              </w:rPr>
            </w:pPr>
          </w:p>
        </w:tc>
        <w:tc>
          <w:tcPr>
            <w:tcW w:w="720" w:type="dxa"/>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496"/>
        </w:trPr>
        <w:tc>
          <w:tcPr>
            <w:tcW w:w="2360" w:type="dxa"/>
            <w:tcBorders>
              <w:left w:val="single" w:sz="8" w:space="0" w:color="919715"/>
              <w:bottom w:val="single" w:sz="8" w:space="0" w:color="C9D11D"/>
            </w:tcBorders>
            <w:shd w:val="clear" w:color="auto" w:fill="C9D11D"/>
            <w:vAlign w:val="bottom"/>
          </w:tcPr>
          <w:p w:rsidR="00AC12B4" w:rsidRDefault="00AC12B4">
            <w:pPr>
              <w:rPr>
                <w:sz w:val="24"/>
                <w:szCs w:val="24"/>
              </w:rPr>
            </w:pPr>
          </w:p>
        </w:tc>
        <w:tc>
          <w:tcPr>
            <w:tcW w:w="1300" w:type="dxa"/>
            <w:tcBorders>
              <w:bottom w:val="single" w:sz="8" w:space="0" w:color="C9D11D"/>
            </w:tcBorders>
            <w:shd w:val="clear" w:color="auto" w:fill="C9D11D"/>
            <w:vAlign w:val="bottom"/>
          </w:tcPr>
          <w:p w:rsidR="00AC12B4" w:rsidRDefault="00AC12B4">
            <w:pPr>
              <w:rPr>
                <w:sz w:val="24"/>
                <w:szCs w:val="24"/>
              </w:rPr>
            </w:pPr>
          </w:p>
        </w:tc>
        <w:tc>
          <w:tcPr>
            <w:tcW w:w="1440" w:type="dxa"/>
            <w:tcBorders>
              <w:bottom w:val="single" w:sz="8" w:space="0" w:color="C9D11D"/>
            </w:tcBorders>
            <w:shd w:val="clear" w:color="auto" w:fill="C9D11D"/>
            <w:vAlign w:val="bottom"/>
          </w:tcPr>
          <w:p w:rsidR="00AC12B4" w:rsidRDefault="00AC12B4">
            <w:pPr>
              <w:rPr>
                <w:sz w:val="24"/>
                <w:szCs w:val="24"/>
              </w:rPr>
            </w:pPr>
          </w:p>
        </w:tc>
        <w:tc>
          <w:tcPr>
            <w:tcW w:w="600" w:type="dxa"/>
            <w:tcBorders>
              <w:bottom w:val="single" w:sz="8" w:space="0" w:color="C9D11D"/>
            </w:tcBorders>
            <w:shd w:val="clear" w:color="auto" w:fill="C9D11D"/>
            <w:vAlign w:val="bottom"/>
          </w:tcPr>
          <w:p w:rsidR="00AC12B4" w:rsidRDefault="00AC12B4">
            <w:pPr>
              <w:rPr>
                <w:sz w:val="24"/>
                <w:szCs w:val="24"/>
              </w:rPr>
            </w:pPr>
          </w:p>
        </w:tc>
        <w:tc>
          <w:tcPr>
            <w:tcW w:w="820" w:type="dxa"/>
            <w:tcBorders>
              <w:bottom w:val="single" w:sz="8" w:space="0" w:color="C9D11D"/>
            </w:tcBorders>
            <w:shd w:val="clear" w:color="auto" w:fill="C9D11D"/>
            <w:vAlign w:val="bottom"/>
          </w:tcPr>
          <w:p w:rsidR="00AC12B4" w:rsidRDefault="00AC12B4">
            <w:pPr>
              <w:rPr>
                <w:sz w:val="24"/>
                <w:szCs w:val="24"/>
              </w:rPr>
            </w:pPr>
          </w:p>
        </w:tc>
        <w:tc>
          <w:tcPr>
            <w:tcW w:w="180" w:type="dxa"/>
            <w:tcBorders>
              <w:bottom w:val="single" w:sz="8" w:space="0" w:color="C9D11D"/>
              <w:right w:val="single" w:sz="8" w:space="0" w:color="919715"/>
            </w:tcBorders>
            <w:shd w:val="clear" w:color="auto" w:fill="C9D11D"/>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860" w:type="dxa"/>
            <w:gridSpan w:val="3"/>
            <w:vAlign w:val="bottom"/>
          </w:tcPr>
          <w:p w:rsidR="00AC12B4" w:rsidRDefault="00C27636">
            <w:pPr>
              <w:ind w:right="20"/>
              <w:jc w:val="right"/>
              <w:rPr>
                <w:sz w:val="20"/>
                <w:szCs w:val="20"/>
              </w:rPr>
            </w:pPr>
            <w:r>
              <w:rPr>
                <w:rFonts w:ascii="Wingdings" w:eastAsia="Wingdings" w:hAnsi="Wingdings" w:cs="Wingdings"/>
                <w:color w:val="C9D11D"/>
              </w:rPr>
              <w:t></w:t>
            </w:r>
            <w:r>
              <w:rPr>
                <w:rFonts w:ascii="Wingdings" w:eastAsia="Wingdings" w:hAnsi="Wingdings" w:cs="Wingdings"/>
                <w:color w:val="C9D11D"/>
              </w:rPr>
              <w:t></w:t>
            </w:r>
            <w:r>
              <w:rPr>
                <w:rFonts w:ascii="Cambria" w:eastAsia="Cambria" w:hAnsi="Cambria" w:cs="Cambria"/>
                <w:i/>
                <w:iCs/>
                <w:color w:val="C9D11D"/>
              </w:rPr>
              <w:t>HIS</w:t>
            </w:r>
          </w:p>
        </w:tc>
        <w:tc>
          <w:tcPr>
            <w:tcW w:w="280" w:type="dxa"/>
            <w:vAlign w:val="bottom"/>
          </w:tcPr>
          <w:p w:rsidR="00AC12B4" w:rsidRDefault="00AC12B4">
            <w:pPr>
              <w:rPr>
                <w:sz w:val="24"/>
                <w:szCs w:val="24"/>
              </w:rPr>
            </w:pPr>
          </w:p>
        </w:tc>
        <w:tc>
          <w:tcPr>
            <w:tcW w:w="9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70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332"/>
        </w:trPr>
        <w:tc>
          <w:tcPr>
            <w:tcW w:w="2360" w:type="dxa"/>
            <w:vMerge w:val="restart"/>
            <w:tcBorders>
              <w:top w:val="single" w:sz="8" w:space="0" w:color="919715"/>
            </w:tcBorders>
            <w:vAlign w:val="bottom"/>
          </w:tcPr>
          <w:p w:rsidR="00AC12B4" w:rsidRDefault="00C27636">
            <w:pPr>
              <w:ind w:left="1460"/>
              <w:rPr>
                <w:sz w:val="20"/>
                <w:szCs w:val="20"/>
              </w:rPr>
            </w:pPr>
            <w:r>
              <w:rPr>
                <w:rFonts w:ascii="Calibri" w:eastAsia="Calibri" w:hAnsi="Calibri" w:cs="Calibri"/>
              </w:rPr>
              <w:t>D</w:t>
            </w:r>
            <w:r>
              <w:rPr>
                <w:rFonts w:ascii="Calibri" w:eastAsia="Calibri" w:hAnsi="Calibri" w:cs="Calibri"/>
              </w:rPr>
              <w:lastRenderedPageBreak/>
              <w:t>ans ses</w:t>
            </w:r>
          </w:p>
        </w:tc>
        <w:tc>
          <w:tcPr>
            <w:tcW w:w="2740" w:type="dxa"/>
            <w:gridSpan w:val="2"/>
            <w:vMerge w:val="restart"/>
            <w:tcBorders>
              <w:top w:val="single" w:sz="8" w:space="0" w:color="919715"/>
            </w:tcBorders>
            <w:vAlign w:val="bottom"/>
          </w:tcPr>
          <w:p w:rsidR="00AC12B4" w:rsidRDefault="00C27636">
            <w:pPr>
              <w:ind w:left="60"/>
              <w:rPr>
                <w:sz w:val="20"/>
                <w:szCs w:val="20"/>
              </w:rPr>
            </w:pPr>
            <w:r>
              <w:rPr>
                <w:rFonts w:ascii="Calibri" w:eastAsia="Calibri" w:hAnsi="Calibri" w:cs="Calibri"/>
              </w:rPr>
              <w:lastRenderedPageBreak/>
              <w:t xml:space="preserve">remarques </w:t>
            </w:r>
            <w:r>
              <w:rPr>
                <w:rFonts w:ascii="Calibri" w:eastAsia="Calibri" w:hAnsi="Calibri" w:cs="Calibri"/>
              </w:rPr>
              <w:lastRenderedPageBreak/>
              <w:t>finales de 2010,</w:t>
            </w:r>
          </w:p>
        </w:tc>
        <w:tc>
          <w:tcPr>
            <w:tcW w:w="600" w:type="dxa"/>
            <w:vMerge w:val="restart"/>
            <w:tcBorders>
              <w:top w:val="single" w:sz="8" w:space="0" w:color="919715"/>
            </w:tcBorders>
            <w:vAlign w:val="bottom"/>
          </w:tcPr>
          <w:p w:rsidR="00AC12B4" w:rsidRDefault="00C27636">
            <w:pPr>
              <w:ind w:right="250"/>
              <w:jc w:val="right"/>
              <w:rPr>
                <w:sz w:val="20"/>
                <w:szCs w:val="20"/>
              </w:rPr>
            </w:pPr>
            <w:r>
              <w:rPr>
                <w:rFonts w:ascii="Calibri" w:eastAsia="Calibri" w:hAnsi="Calibri" w:cs="Calibri"/>
              </w:rPr>
              <w:lastRenderedPageBreak/>
              <w:t>l</w:t>
            </w:r>
            <w:r>
              <w:rPr>
                <w:rFonts w:ascii="Calibri" w:eastAsia="Calibri" w:hAnsi="Calibri" w:cs="Calibri"/>
              </w:rPr>
              <w:lastRenderedPageBreak/>
              <w:t>e</w:t>
            </w:r>
          </w:p>
        </w:tc>
        <w:tc>
          <w:tcPr>
            <w:tcW w:w="820" w:type="dxa"/>
            <w:tcBorders>
              <w:top w:val="single" w:sz="8" w:space="0" w:color="919715"/>
            </w:tcBorders>
            <w:vAlign w:val="bottom"/>
          </w:tcPr>
          <w:p w:rsidR="00AC12B4" w:rsidRDefault="00AC12B4">
            <w:pPr>
              <w:rPr>
                <w:sz w:val="24"/>
                <w:szCs w:val="24"/>
              </w:rPr>
            </w:pPr>
          </w:p>
        </w:tc>
        <w:tc>
          <w:tcPr>
            <w:tcW w:w="180" w:type="dxa"/>
            <w:tcBorders>
              <w:top w:val="single" w:sz="8" w:space="0" w:color="919715"/>
            </w:tcBorders>
            <w:vAlign w:val="bottom"/>
          </w:tcPr>
          <w:p w:rsidR="00AC12B4" w:rsidRDefault="00AC12B4">
            <w:pPr>
              <w:rPr>
                <w:sz w:val="24"/>
                <w:szCs w:val="24"/>
              </w:rPr>
            </w:pPr>
          </w:p>
        </w:tc>
        <w:tc>
          <w:tcPr>
            <w:tcW w:w="3340" w:type="dxa"/>
            <w:gridSpan w:val="9"/>
            <w:vAlign w:val="bottom"/>
          </w:tcPr>
          <w:p w:rsidR="00AC12B4" w:rsidRPr="00C27636" w:rsidRDefault="00C27636">
            <w:pPr>
              <w:ind w:left="200"/>
              <w:rPr>
                <w:sz w:val="20"/>
                <w:szCs w:val="20"/>
                <w:lang w:val="fr-BE"/>
              </w:rPr>
            </w:pPr>
            <w:r w:rsidRPr="00C27636">
              <w:rPr>
                <w:rFonts w:ascii="Calibri" w:eastAsia="Calibri" w:hAnsi="Calibri" w:cs="Calibri"/>
                <w:lang w:val="fr-BE"/>
              </w:rPr>
              <w:t xml:space="preserve">L’enquête HIS est </w:t>
            </w:r>
            <w:r w:rsidRPr="00C27636">
              <w:rPr>
                <w:rFonts w:ascii="Calibri" w:eastAsia="Calibri" w:hAnsi="Calibri" w:cs="Calibri"/>
                <w:lang w:val="fr-BE"/>
              </w:rPr>
              <w:lastRenderedPageBreak/>
              <w:t>décrite dans la</w:t>
            </w:r>
          </w:p>
        </w:tc>
        <w:tc>
          <w:tcPr>
            <w:tcW w:w="7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180"/>
        </w:trPr>
        <w:tc>
          <w:tcPr>
            <w:tcW w:w="2360" w:type="dxa"/>
            <w:vMerge/>
            <w:vAlign w:val="bottom"/>
          </w:tcPr>
          <w:p w:rsidR="00AC12B4" w:rsidRPr="00C27636" w:rsidRDefault="00AC12B4">
            <w:pPr>
              <w:rPr>
                <w:sz w:val="15"/>
                <w:szCs w:val="15"/>
                <w:lang w:val="fr-BE"/>
              </w:rPr>
            </w:pPr>
          </w:p>
        </w:tc>
        <w:tc>
          <w:tcPr>
            <w:tcW w:w="2740" w:type="dxa"/>
            <w:gridSpan w:val="2"/>
            <w:vMerge/>
            <w:vAlign w:val="bottom"/>
          </w:tcPr>
          <w:p w:rsidR="00AC12B4" w:rsidRPr="00C27636" w:rsidRDefault="00AC12B4">
            <w:pPr>
              <w:rPr>
                <w:sz w:val="15"/>
                <w:szCs w:val="15"/>
                <w:lang w:val="fr-BE"/>
              </w:rPr>
            </w:pPr>
          </w:p>
        </w:tc>
        <w:tc>
          <w:tcPr>
            <w:tcW w:w="600" w:type="dxa"/>
            <w:vMerge/>
            <w:vAlign w:val="bottom"/>
          </w:tcPr>
          <w:p w:rsidR="00AC12B4" w:rsidRPr="00C27636" w:rsidRDefault="00AC12B4">
            <w:pPr>
              <w:rPr>
                <w:sz w:val="15"/>
                <w:szCs w:val="15"/>
                <w:lang w:val="fr-BE"/>
              </w:rPr>
            </w:pPr>
          </w:p>
        </w:tc>
        <w:tc>
          <w:tcPr>
            <w:tcW w:w="1260" w:type="dxa"/>
            <w:gridSpan w:val="3"/>
            <w:vMerge w:val="restart"/>
            <w:vAlign w:val="bottom"/>
          </w:tcPr>
          <w:p w:rsidR="00AC12B4" w:rsidRDefault="00C27636">
            <w:pPr>
              <w:ind w:left="360"/>
              <w:rPr>
                <w:sz w:val="20"/>
                <w:szCs w:val="20"/>
              </w:rPr>
            </w:pPr>
            <w:r>
              <w:rPr>
                <w:rFonts w:ascii="Calibri" w:eastAsia="Calibri" w:hAnsi="Calibri" w:cs="Calibri"/>
              </w:rPr>
              <w:t>section «</w:t>
            </w:r>
          </w:p>
        </w:tc>
        <w:tc>
          <w:tcPr>
            <w:tcW w:w="760" w:type="dxa"/>
            <w:gridSpan w:val="2"/>
            <w:vMerge w:val="restart"/>
            <w:vAlign w:val="bottom"/>
          </w:tcPr>
          <w:p w:rsidR="00AC12B4" w:rsidRDefault="00C27636">
            <w:pPr>
              <w:jc w:val="right"/>
              <w:rPr>
                <w:sz w:val="20"/>
                <w:szCs w:val="20"/>
              </w:rPr>
            </w:pPr>
            <w:r>
              <w:rPr>
                <w:rFonts w:ascii="Calibri" w:eastAsia="Calibri" w:hAnsi="Calibri" w:cs="Calibri"/>
              </w:rPr>
              <w:t>sources</w:t>
            </w:r>
          </w:p>
        </w:tc>
        <w:tc>
          <w:tcPr>
            <w:tcW w:w="260" w:type="dxa"/>
            <w:gridSpan w:val="2"/>
            <w:vMerge w:val="restart"/>
            <w:vAlign w:val="bottom"/>
          </w:tcPr>
          <w:p w:rsidR="00AC12B4" w:rsidRDefault="00C27636">
            <w:pPr>
              <w:ind w:right="60"/>
              <w:jc w:val="right"/>
              <w:rPr>
                <w:sz w:val="20"/>
                <w:szCs w:val="20"/>
              </w:rPr>
            </w:pPr>
            <w:r>
              <w:rPr>
                <w:rFonts w:ascii="Calibri" w:eastAsia="Calibri" w:hAnsi="Calibri" w:cs="Calibri"/>
              </w:rPr>
              <w:t>»</w:t>
            </w:r>
          </w:p>
        </w:tc>
        <w:tc>
          <w:tcPr>
            <w:tcW w:w="280" w:type="dxa"/>
            <w:vMerge w:val="restart"/>
            <w:vAlign w:val="bottom"/>
          </w:tcPr>
          <w:p w:rsidR="00AC12B4" w:rsidRDefault="00C27636">
            <w:pPr>
              <w:ind w:left="40"/>
              <w:rPr>
                <w:sz w:val="20"/>
                <w:szCs w:val="20"/>
              </w:rPr>
            </w:pPr>
            <w:r>
              <w:rPr>
                <w:rFonts w:ascii="Calibri" w:eastAsia="Calibri" w:hAnsi="Calibri" w:cs="Calibri"/>
                <w:w w:val="97"/>
              </w:rPr>
              <w:t>de</w:t>
            </w:r>
          </w:p>
        </w:tc>
        <w:tc>
          <w:tcPr>
            <w:tcW w:w="1780" w:type="dxa"/>
            <w:gridSpan w:val="3"/>
            <w:vMerge w:val="restart"/>
            <w:vAlign w:val="bottom"/>
          </w:tcPr>
          <w:p w:rsidR="00AC12B4" w:rsidRDefault="00C27636">
            <w:pPr>
              <w:ind w:right="13"/>
              <w:jc w:val="right"/>
              <w:rPr>
                <w:sz w:val="20"/>
                <w:szCs w:val="20"/>
              </w:rPr>
            </w:pPr>
            <w:r>
              <w:rPr>
                <w:rFonts w:ascii="Calibri" w:eastAsia="Calibri" w:hAnsi="Calibri" w:cs="Calibri"/>
              </w:rPr>
              <w:t>cette publication</w:t>
            </w:r>
          </w:p>
        </w:tc>
        <w:tc>
          <w:tcPr>
            <w:tcW w:w="72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89"/>
        </w:trPr>
        <w:tc>
          <w:tcPr>
            <w:tcW w:w="5700" w:type="dxa"/>
            <w:gridSpan w:val="4"/>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Comité des droits de l'enfant a appelé la</w:t>
            </w:r>
          </w:p>
        </w:tc>
        <w:tc>
          <w:tcPr>
            <w:tcW w:w="1260" w:type="dxa"/>
            <w:gridSpan w:val="3"/>
            <w:vMerge/>
            <w:vAlign w:val="bottom"/>
          </w:tcPr>
          <w:p w:rsidR="00AC12B4" w:rsidRPr="00C27636" w:rsidRDefault="00AC12B4">
            <w:pPr>
              <w:rPr>
                <w:sz w:val="7"/>
                <w:szCs w:val="7"/>
                <w:lang w:val="fr-BE"/>
              </w:rPr>
            </w:pPr>
          </w:p>
        </w:tc>
        <w:tc>
          <w:tcPr>
            <w:tcW w:w="760" w:type="dxa"/>
            <w:gridSpan w:val="2"/>
            <w:vMerge/>
            <w:vAlign w:val="bottom"/>
          </w:tcPr>
          <w:p w:rsidR="00AC12B4" w:rsidRPr="00C27636" w:rsidRDefault="00AC12B4">
            <w:pPr>
              <w:rPr>
                <w:sz w:val="7"/>
                <w:szCs w:val="7"/>
                <w:lang w:val="fr-BE"/>
              </w:rPr>
            </w:pPr>
          </w:p>
        </w:tc>
        <w:tc>
          <w:tcPr>
            <w:tcW w:w="260" w:type="dxa"/>
            <w:gridSpan w:val="2"/>
            <w:vMerge/>
            <w:vAlign w:val="bottom"/>
          </w:tcPr>
          <w:p w:rsidR="00AC12B4" w:rsidRPr="00C27636" w:rsidRDefault="00AC12B4">
            <w:pPr>
              <w:rPr>
                <w:sz w:val="7"/>
                <w:szCs w:val="7"/>
                <w:lang w:val="fr-BE"/>
              </w:rPr>
            </w:pPr>
          </w:p>
        </w:tc>
        <w:tc>
          <w:tcPr>
            <w:tcW w:w="280" w:type="dxa"/>
            <w:vMerge/>
            <w:vAlign w:val="bottom"/>
          </w:tcPr>
          <w:p w:rsidR="00AC12B4" w:rsidRPr="00C27636" w:rsidRDefault="00AC12B4">
            <w:pPr>
              <w:rPr>
                <w:sz w:val="7"/>
                <w:szCs w:val="7"/>
                <w:lang w:val="fr-BE"/>
              </w:rPr>
            </w:pPr>
          </w:p>
        </w:tc>
        <w:tc>
          <w:tcPr>
            <w:tcW w:w="1780" w:type="dxa"/>
            <w:gridSpan w:val="3"/>
            <w:vMerge/>
            <w:vAlign w:val="bottom"/>
          </w:tcPr>
          <w:p w:rsidR="00AC12B4" w:rsidRPr="00C27636" w:rsidRDefault="00AC12B4">
            <w:pPr>
              <w:rPr>
                <w:sz w:val="7"/>
                <w:szCs w:val="7"/>
                <w:lang w:val="fr-BE"/>
              </w:rPr>
            </w:pPr>
          </w:p>
        </w:tc>
        <w:tc>
          <w:tcPr>
            <w:tcW w:w="720" w:type="dxa"/>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180"/>
        </w:trPr>
        <w:tc>
          <w:tcPr>
            <w:tcW w:w="5700" w:type="dxa"/>
            <w:gridSpan w:val="4"/>
            <w:vMerge/>
            <w:vAlign w:val="bottom"/>
          </w:tcPr>
          <w:p w:rsidR="00AC12B4" w:rsidRPr="00C27636" w:rsidRDefault="00AC12B4">
            <w:pPr>
              <w:rPr>
                <w:sz w:val="15"/>
                <w:szCs w:val="15"/>
                <w:lang w:val="fr-BE"/>
              </w:rPr>
            </w:pPr>
          </w:p>
        </w:tc>
        <w:tc>
          <w:tcPr>
            <w:tcW w:w="1000" w:type="dxa"/>
            <w:gridSpan w:val="2"/>
            <w:vMerge w:val="restart"/>
            <w:vAlign w:val="bottom"/>
          </w:tcPr>
          <w:p w:rsidR="00AC12B4" w:rsidRDefault="00C27636">
            <w:pPr>
              <w:ind w:left="360"/>
              <w:rPr>
                <w:sz w:val="20"/>
                <w:szCs w:val="20"/>
              </w:rPr>
            </w:pPr>
            <w:r>
              <w:rPr>
                <w:rFonts w:ascii="Calibri" w:eastAsia="Calibri" w:hAnsi="Calibri" w:cs="Calibri"/>
              </w:rPr>
              <w:t>(Partie</w:t>
            </w:r>
          </w:p>
        </w:tc>
        <w:tc>
          <w:tcPr>
            <w:tcW w:w="1280" w:type="dxa"/>
            <w:gridSpan w:val="5"/>
            <w:vMerge w:val="restart"/>
            <w:vAlign w:val="bottom"/>
          </w:tcPr>
          <w:p w:rsidR="00AC12B4" w:rsidRDefault="00C27636">
            <w:pPr>
              <w:ind w:right="60"/>
              <w:jc w:val="right"/>
              <w:rPr>
                <w:sz w:val="20"/>
                <w:szCs w:val="20"/>
              </w:rPr>
            </w:pPr>
            <w:r>
              <w:rPr>
                <w:rFonts w:ascii="Calibri" w:eastAsia="Calibri" w:hAnsi="Calibri" w:cs="Calibri"/>
              </w:rPr>
              <w:t>I). L’objectif,</w:t>
            </w:r>
          </w:p>
        </w:tc>
        <w:tc>
          <w:tcPr>
            <w:tcW w:w="1360" w:type="dxa"/>
            <w:gridSpan w:val="3"/>
            <w:vMerge w:val="restart"/>
            <w:vAlign w:val="bottom"/>
          </w:tcPr>
          <w:p w:rsidR="00AC12B4" w:rsidRDefault="00C27636">
            <w:pPr>
              <w:ind w:left="60"/>
              <w:rPr>
                <w:sz w:val="20"/>
                <w:szCs w:val="20"/>
              </w:rPr>
            </w:pPr>
            <w:r>
              <w:rPr>
                <w:rFonts w:ascii="Calibri" w:eastAsia="Calibri" w:hAnsi="Calibri" w:cs="Calibri"/>
              </w:rPr>
              <w:t>les modalités</w:t>
            </w:r>
          </w:p>
        </w:tc>
        <w:tc>
          <w:tcPr>
            <w:tcW w:w="700" w:type="dxa"/>
            <w:vMerge w:val="restart"/>
            <w:vAlign w:val="bottom"/>
          </w:tcPr>
          <w:p w:rsidR="00AC12B4" w:rsidRDefault="00C27636">
            <w:pPr>
              <w:ind w:right="13"/>
              <w:jc w:val="right"/>
              <w:rPr>
                <w:sz w:val="20"/>
                <w:szCs w:val="20"/>
              </w:rPr>
            </w:pPr>
            <w:r>
              <w:rPr>
                <w:rFonts w:ascii="Calibri" w:eastAsia="Calibri" w:hAnsi="Calibri" w:cs="Calibri"/>
              </w:rPr>
              <w:t>et les</w:t>
            </w:r>
          </w:p>
        </w:tc>
        <w:tc>
          <w:tcPr>
            <w:tcW w:w="72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9"/>
        </w:trPr>
        <w:tc>
          <w:tcPr>
            <w:tcW w:w="2360" w:type="dxa"/>
            <w:vMerge w:val="restart"/>
            <w:vAlign w:val="bottom"/>
          </w:tcPr>
          <w:p w:rsidR="00AC12B4" w:rsidRDefault="00C27636">
            <w:pPr>
              <w:ind w:left="1460"/>
              <w:rPr>
                <w:sz w:val="20"/>
                <w:szCs w:val="20"/>
              </w:rPr>
            </w:pPr>
            <w:r>
              <w:rPr>
                <w:rFonts w:ascii="Calibri" w:eastAsia="Calibri" w:hAnsi="Calibri" w:cs="Calibri"/>
              </w:rPr>
              <w:t>Belgique</w:t>
            </w:r>
          </w:p>
        </w:tc>
        <w:tc>
          <w:tcPr>
            <w:tcW w:w="1300" w:type="dxa"/>
            <w:vMerge w:val="restart"/>
            <w:vAlign w:val="bottom"/>
          </w:tcPr>
          <w:p w:rsidR="00AC12B4" w:rsidRDefault="00C27636">
            <w:pPr>
              <w:ind w:left="20"/>
              <w:rPr>
                <w:sz w:val="20"/>
                <w:szCs w:val="20"/>
              </w:rPr>
            </w:pPr>
            <w:r>
              <w:rPr>
                <w:rFonts w:ascii="Calibri" w:eastAsia="Calibri" w:hAnsi="Calibri" w:cs="Calibri"/>
              </w:rPr>
              <w:t>à s'attaquer</w:t>
            </w:r>
          </w:p>
        </w:tc>
        <w:tc>
          <w:tcPr>
            <w:tcW w:w="2040" w:type="dxa"/>
            <w:gridSpan w:val="2"/>
            <w:vMerge w:val="restart"/>
            <w:vAlign w:val="bottom"/>
          </w:tcPr>
          <w:p w:rsidR="00AC12B4" w:rsidRDefault="00C27636">
            <w:pPr>
              <w:ind w:right="250"/>
              <w:jc w:val="right"/>
              <w:rPr>
                <w:sz w:val="20"/>
                <w:szCs w:val="20"/>
              </w:rPr>
            </w:pPr>
            <w:r>
              <w:rPr>
                <w:rFonts w:ascii="Calibri" w:eastAsia="Calibri" w:hAnsi="Calibri" w:cs="Calibri"/>
              </w:rPr>
              <w:t>au problème des</w:t>
            </w:r>
          </w:p>
        </w:tc>
        <w:tc>
          <w:tcPr>
            <w:tcW w:w="1000" w:type="dxa"/>
            <w:gridSpan w:val="2"/>
            <w:vMerge/>
            <w:vAlign w:val="bottom"/>
          </w:tcPr>
          <w:p w:rsidR="00AC12B4" w:rsidRDefault="00AC12B4">
            <w:pPr>
              <w:rPr>
                <w:sz w:val="7"/>
                <w:szCs w:val="7"/>
              </w:rPr>
            </w:pPr>
          </w:p>
        </w:tc>
        <w:tc>
          <w:tcPr>
            <w:tcW w:w="1280" w:type="dxa"/>
            <w:gridSpan w:val="5"/>
            <w:vMerge/>
            <w:vAlign w:val="bottom"/>
          </w:tcPr>
          <w:p w:rsidR="00AC12B4" w:rsidRDefault="00AC12B4">
            <w:pPr>
              <w:rPr>
                <w:sz w:val="7"/>
                <w:szCs w:val="7"/>
              </w:rPr>
            </w:pPr>
          </w:p>
        </w:tc>
        <w:tc>
          <w:tcPr>
            <w:tcW w:w="1360" w:type="dxa"/>
            <w:gridSpan w:val="3"/>
            <w:vMerge/>
            <w:vAlign w:val="bottom"/>
          </w:tcPr>
          <w:p w:rsidR="00AC12B4" w:rsidRDefault="00AC12B4">
            <w:pPr>
              <w:rPr>
                <w:sz w:val="7"/>
                <w:szCs w:val="7"/>
              </w:rPr>
            </w:pPr>
          </w:p>
        </w:tc>
        <w:tc>
          <w:tcPr>
            <w:tcW w:w="700" w:type="dxa"/>
            <w:vMerge/>
            <w:vAlign w:val="bottom"/>
          </w:tcPr>
          <w:p w:rsidR="00AC12B4" w:rsidRDefault="00AC12B4">
            <w:pPr>
              <w:rPr>
                <w:sz w:val="7"/>
                <w:szCs w:val="7"/>
              </w:rPr>
            </w:pPr>
          </w:p>
        </w:tc>
        <w:tc>
          <w:tcPr>
            <w:tcW w:w="72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0"/>
        </w:trPr>
        <w:tc>
          <w:tcPr>
            <w:tcW w:w="2360" w:type="dxa"/>
            <w:vMerge/>
            <w:vAlign w:val="bottom"/>
          </w:tcPr>
          <w:p w:rsidR="00AC12B4" w:rsidRDefault="00AC12B4">
            <w:pPr>
              <w:rPr>
                <w:sz w:val="15"/>
                <w:szCs w:val="15"/>
              </w:rPr>
            </w:pPr>
          </w:p>
        </w:tc>
        <w:tc>
          <w:tcPr>
            <w:tcW w:w="1300" w:type="dxa"/>
            <w:vMerge/>
            <w:vAlign w:val="bottom"/>
          </w:tcPr>
          <w:p w:rsidR="00AC12B4" w:rsidRDefault="00AC12B4">
            <w:pPr>
              <w:rPr>
                <w:sz w:val="15"/>
                <w:szCs w:val="15"/>
              </w:rPr>
            </w:pPr>
          </w:p>
        </w:tc>
        <w:tc>
          <w:tcPr>
            <w:tcW w:w="2040" w:type="dxa"/>
            <w:gridSpan w:val="2"/>
            <w:vMerge/>
            <w:vAlign w:val="bottom"/>
          </w:tcPr>
          <w:p w:rsidR="00AC12B4" w:rsidRDefault="00AC12B4">
            <w:pPr>
              <w:rPr>
                <w:sz w:val="15"/>
                <w:szCs w:val="15"/>
              </w:rPr>
            </w:pPr>
          </w:p>
        </w:tc>
        <w:tc>
          <w:tcPr>
            <w:tcW w:w="1000" w:type="dxa"/>
            <w:gridSpan w:val="2"/>
            <w:vMerge w:val="restart"/>
            <w:vAlign w:val="bottom"/>
          </w:tcPr>
          <w:p w:rsidR="00AC12B4" w:rsidRDefault="00C27636">
            <w:pPr>
              <w:ind w:left="360"/>
              <w:rPr>
                <w:sz w:val="20"/>
                <w:szCs w:val="20"/>
              </w:rPr>
            </w:pPr>
            <w:r>
              <w:rPr>
                <w:rFonts w:ascii="Calibri" w:eastAsia="Calibri" w:hAnsi="Calibri" w:cs="Calibri"/>
              </w:rPr>
              <w:t>limites</w:t>
            </w:r>
          </w:p>
        </w:tc>
        <w:tc>
          <w:tcPr>
            <w:tcW w:w="260" w:type="dxa"/>
            <w:vAlign w:val="bottom"/>
          </w:tcPr>
          <w:p w:rsidR="00AC12B4" w:rsidRDefault="00AC12B4">
            <w:pPr>
              <w:rPr>
                <w:sz w:val="15"/>
                <w:szCs w:val="15"/>
              </w:rPr>
            </w:pPr>
          </w:p>
        </w:tc>
        <w:tc>
          <w:tcPr>
            <w:tcW w:w="760" w:type="dxa"/>
            <w:gridSpan w:val="2"/>
            <w:vMerge w:val="restart"/>
            <w:vAlign w:val="bottom"/>
          </w:tcPr>
          <w:p w:rsidR="00AC12B4" w:rsidRDefault="00C27636">
            <w:pPr>
              <w:ind w:right="190"/>
              <w:jc w:val="right"/>
              <w:rPr>
                <w:sz w:val="20"/>
                <w:szCs w:val="20"/>
              </w:rPr>
            </w:pPr>
            <w:r>
              <w:rPr>
                <w:rFonts w:ascii="Calibri" w:eastAsia="Calibri" w:hAnsi="Calibri" w:cs="Calibri"/>
              </w:rPr>
              <w:t>des</w:t>
            </w:r>
          </w:p>
        </w:tc>
        <w:tc>
          <w:tcPr>
            <w:tcW w:w="140" w:type="dxa"/>
            <w:vAlign w:val="bottom"/>
          </w:tcPr>
          <w:p w:rsidR="00AC12B4" w:rsidRDefault="00AC12B4">
            <w:pPr>
              <w:rPr>
                <w:sz w:val="15"/>
                <w:szCs w:val="15"/>
              </w:rPr>
            </w:pPr>
          </w:p>
        </w:tc>
        <w:tc>
          <w:tcPr>
            <w:tcW w:w="12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90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700" w:type="dxa"/>
            <w:vAlign w:val="bottom"/>
          </w:tcPr>
          <w:p w:rsidR="00AC12B4" w:rsidRDefault="00AC12B4">
            <w:pPr>
              <w:rPr>
                <w:sz w:val="15"/>
                <w:szCs w:val="15"/>
              </w:rPr>
            </w:pPr>
          </w:p>
        </w:tc>
        <w:tc>
          <w:tcPr>
            <w:tcW w:w="72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9"/>
        </w:trPr>
        <w:tc>
          <w:tcPr>
            <w:tcW w:w="5100" w:type="dxa"/>
            <w:gridSpan w:val="3"/>
            <w:vMerge w:val="restart"/>
            <w:vAlign w:val="bottom"/>
          </w:tcPr>
          <w:p w:rsidR="00AC12B4" w:rsidRDefault="00C27636">
            <w:pPr>
              <w:spacing w:line="229" w:lineRule="exact"/>
              <w:ind w:left="1460"/>
              <w:rPr>
                <w:sz w:val="20"/>
                <w:szCs w:val="20"/>
              </w:rPr>
            </w:pPr>
            <w:r>
              <w:rPr>
                <w:rFonts w:ascii="Calibri" w:eastAsia="Calibri" w:hAnsi="Calibri" w:cs="Calibri"/>
              </w:rPr>
              <w:t>listes d’attente (CO CRC 2010, § 45).</w:t>
            </w:r>
          </w:p>
        </w:tc>
        <w:tc>
          <w:tcPr>
            <w:tcW w:w="600" w:type="dxa"/>
            <w:vAlign w:val="bottom"/>
          </w:tcPr>
          <w:p w:rsidR="00AC12B4" w:rsidRDefault="00AC12B4">
            <w:pPr>
              <w:rPr>
                <w:sz w:val="7"/>
                <w:szCs w:val="7"/>
              </w:rPr>
            </w:pPr>
          </w:p>
        </w:tc>
        <w:tc>
          <w:tcPr>
            <w:tcW w:w="1000" w:type="dxa"/>
            <w:gridSpan w:val="2"/>
            <w:vMerge/>
            <w:vAlign w:val="bottom"/>
          </w:tcPr>
          <w:p w:rsidR="00AC12B4" w:rsidRDefault="00AC12B4">
            <w:pPr>
              <w:rPr>
                <w:sz w:val="7"/>
                <w:szCs w:val="7"/>
              </w:rPr>
            </w:pPr>
          </w:p>
        </w:tc>
        <w:tc>
          <w:tcPr>
            <w:tcW w:w="260" w:type="dxa"/>
            <w:vAlign w:val="bottom"/>
          </w:tcPr>
          <w:p w:rsidR="00AC12B4" w:rsidRDefault="00AC12B4">
            <w:pPr>
              <w:rPr>
                <w:sz w:val="7"/>
                <w:szCs w:val="7"/>
              </w:rPr>
            </w:pPr>
          </w:p>
        </w:tc>
        <w:tc>
          <w:tcPr>
            <w:tcW w:w="760" w:type="dxa"/>
            <w:gridSpan w:val="2"/>
            <w:vMerge/>
            <w:vAlign w:val="bottom"/>
          </w:tcPr>
          <w:p w:rsidR="00AC12B4" w:rsidRDefault="00AC12B4">
            <w:pPr>
              <w:rPr>
                <w:sz w:val="7"/>
                <w:szCs w:val="7"/>
              </w:rPr>
            </w:pPr>
          </w:p>
        </w:tc>
        <w:tc>
          <w:tcPr>
            <w:tcW w:w="14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90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700" w:type="dxa"/>
            <w:vAlign w:val="bottom"/>
          </w:tcPr>
          <w:p w:rsidR="00AC12B4" w:rsidRDefault="00AC12B4">
            <w:pPr>
              <w:rPr>
                <w:sz w:val="7"/>
                <w:szCs w:val="7"/>
              </w:rPr>
            </w:pPr>
          </w:p>
        </w:tc>
        <w:tc>
          <w:tcPr>
            <w:tcW w:w="72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60"/>
        </w:trPr>
        <w:tc>
          <w:tcPr>
            <w:tcW w:w="5100" w:type="dxa"/>
            <w:gridSpan w:val="3"/>
            <w:vMerge/>
            <w:vAlign w:val="bottom"/>
          </w:tcPr>
          <w:p w:rsidR="00AC12B4" w:rsidRDefault="00AC12B4">
            <w:pPr>
              <w:rPr>
                <w:sz w:val="13"/>
                <w:szCs w:val="13"/>
              </w:rPr>
            </w:pPr>
          </w:p>
        </w:tc>
        <w:tc>
          <w:tcPr>
            <w:tcW w:w="600" w:type="dxa"/>
            <w:vAlign w:val="bottom"/>
          </w:tcPr>
          <w:p w:rsidR="00AC12B4" w:rsidRDefault="00AC12B4">
            <w:pPr>
              <w:rPr>
                <w:sz w:val="13"/>
                <w:szCs w:val="13"/>
              </w:rPr>
            </w:pPr>
          </w:p>
        </w:tc>
        <w:tc>
          <w:tcPr>
            <w:tcW w:w="1260" w:type="dxa"/>
            <w:gridSpan w:val="3"/>
            <w:vMerge w:val="restart"/>
            <w:vAlign w:val="bottom"/>
          </w:tcPr>
          <w:p w:rsidR="00AC12B4" w:rsidRDefault="00C27636">
            <w:pPr>
              <w:ind w:left="360"/>
              <w:rPr>
                <w:sz w:val="20"/>
                <w:szCs w:val="20"/>
              </w:rPr>
            </w:pPr>
            <w:r>
              <w:rPr>
                <w:rFonts w:ascii="Calibri" w:eastAsia="Calibri" w:hAnsi="Calibri" w:cs="Calibri"/>
              </w:rPr>
              <w:t>données</w:t>
            </w:r>
          </w:p>
        </w:tc>
        <w:tc>
          <w:tcPr>
            <w:tcW w:w="160" w:type="dxa"/>
            <w:vAlign w:val="bottom"/>
          </w:tcPr>
          <w:p w:rsidR="00AC12B4" w:rsidRDefault="00AC12B4">
            <w:pPr>
              <w:rPr>
                <w:sz w:val="13"/>
                <w:szCs w:val="13"/>
              </w:rPr>
            </w:pPr>
          </w:p>
        </w:tc>
        <w:tc>
          <w:tcPr>
            <w:tcW w:w="60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120" w:type="dxa"/>
            <w:tcBorders>
              <w:bottom w:val="single" w:sz="8" w:space="0" w:color="C9D11D"/>
            </w:tcBorders>
            <w:vAlign w:val="bottom"/>
          </w:tcPr>
          <w:p w:rsidR="00AC12B4" w:rsidRDefault="00AC12B4">
            <w:pPr>
              <w:rPr>
                <w:sz w:val="13"/>
                <w:szCs w:val="13"/>
              </w:rPr>
            </w:pPr>
          </w:p>
        </w:tc>
        <w:tc>
          <w:tcPr>
            <w:tcW w:w="280" w:type="dxa"/>
            <w:tcBorders>
              <w:bottom w:val="single" w:sz="8" w:space="0" w:color="C9D11D"/>
            </w:tcBorders>
            <w:vAlign w:val="bottom"/>
          </w:tcPr>
          <w:p w:rsidR="00AC12B4" w:rsidRDefault="00AC12B4">
            <w:pPr>
              <w:rPr>
                <w:sz w:val="13"/>
                <w:szCs w:val="13"/>
              </w:rPr>
            </w:pPr>
          </w:p>
        </w:tc>
        <w:tc>
          <w:tcPr>
            <w:tcW w:w="900" w:type="dxa"/>
            <w:tcBorders>
              <w:bottom w:val="single" w:sz="8" w:space="0" w:color="C9D11D"/>
            </w:tcBorders>
            <w:vAlign w:val="bottom"/>
          </w:tcPr>
          <w:p w:rsidR="00AC12B4" w:rsidRDefault="00AC12B4">
            <w:pPr>
              <w:rPr>
                <w:sz w:val="13"/>
                <w:szCs w:val="13"/>
              </w:rPr>
            </w:pPr>
          </w:p>
        </w:tc>
        <w:tc>
          <w:tcPr>
            <w:tcW w:w="180" w:type="dxa"/>
            <w:tcBorders>
              <w:bottom w:val="single" w:sz="8" w:space="0" w:color="C9D11D"/>
            </w:tcBorders>
            <w:vAlign w:val="bottom"/>
          </w:tcPr>
          <w:p w:rsidR="00AC12B4" w:rsidRDefault="00AC12B4">
            <w:pPr>
              <w:rPr>
                <w:sz w:val="13"/>
                <w:szCs w:val="13"/>
              </w:rPr>
            </w:pPr>
          </w:p>
        </w:tc>
        <w:tc>
          <w:tcPr>
            <w:tcW w:w="700" w:type="dxa"/>
            <w:tcBorders>
              <w:bottom w:val="single" w:sz="8" w:space="0" w:color="C9D11D"/>
            </w:tcBorders>
            <w:vAlign w:val="bottom"/>
          </w:tcPr>
          <w:p w:rsidR="00AC12B4" w:rsidRDefault="00AC12B4">
            <w:pPr>
              <w:rPr>
                <w:sz w:val="13"/>
                <w:szCs w:val="13"/>
              </w:rPr>
            </w:pPr>
          </w:p>
        </w:tc>
        <w:tc>
          <w:tcPr>
            <w:tcW w:w="720" w:type="dxa"/>
            <w:tcBorders>
              <w:bottom w:val="single" w:sz="8" w:space="0" w:color="C9D11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89"/>
        </w:trPr>
        <w:tc>
          <w:tcPr>
            <w:tcW w:w="236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1440" w:type="dxa"/>
            <w:vAlign w:val="bottom"/>
          </w:tcPr>
          <w:p w:rsidR="00AC12B4" w:rsidRDefault="00AC12B4">
            <w:pPr>
              <w:rPr>
                <w:sz w:val="7"/>
                <w:szCs w:val="7"/>
              </w:rPr>
            </w:pPr>
          </w:p>
        </w:tc>
        <w:tc>
          <w:tcPr>
            <w:tcW w:w="600" w:type="dxa"/>
            <w:vAlign w:val="bottom"/>
          </w:tcPr>
          <w:p w:rsidR="00AC12B4" w:rsidRDefault="00AC12B4">
            <w:pPr>
              <w:rPr>
                <w:sz w:val="7"/>
                <w:szCs w:val="7"/>
              </w:rPr>
            </w:pPr>
          </w:p>
        </w:tc>
        <w:tc>
          <w:tcPr>
            <w:tcW w:w="1260" w:type="dxa"/>
            <w:gridSpan w:val="3"/>
            <w:vMerge/>
            <w:vAlign w:val="bottom"/>
          </w:tcPr>
          <w:p w:rsidR="00AC12B4" w:rsidRDefault="00AC12B4">
            <w:pPr>
              <w:rPr>
                <w:sz w:val="7"/>
                <w:szCs w:val="7"/>
              </w:rPr>
            </w:pPr>
          </w:p>
        </w:tc>
        <w:tc>
          <w:tcPr>
            <w:tcW w:w="160" w:type="dxa"/>
            <w:vAlign w:val="bottom"/>
          </w:tcPr>
          <w:p w:rsidR="00AC12B4" w:rsidRDefault="00AC12B4">
            <w:pPr>
              <w:rPr>
                <w:sz w:val="7"/>
                <w:szCs w:val="7"/>
              </w:rPr>
            </w:pPr>
          </w:p>
        </w:tc>
        <w:tc>
          <w:tcPr>
            <w:tcW w:w="600" w:type="dxa"/>
            <w:vAlign w:val="bottom"/>
          </w:tcPr>
          <w:p w:rsidR="00AC12B4" w:rsidRDefault="00AC12B4">
            <w:pPr>
              <w:rPr>
                <w:sz w:val="7"/>
                <w:szCs w:val="7"/>
              </w:rPr>
            </w:pPr>
          </w:p>
        </w:tc>
        <w:tc>
          <w:tcPr>
            <w:tcW w:w="140" w:type="dxa"/>
            <w:tcBorders>
              <w:right w:val="single" w:sz="8" w:space="0" w:color="C9D11D"/>
            </w:tcBorders>
            <w:vAlign w:val="bottom"/>
          </w:tcPr>
          <w:p w:rsidR="00AC12B4" w:rsidRDefault="00AC12B4">
            <w:pPr>
              <w:rPr>
                <w:sz w:val="7"/>
                <w:szCs w:val="7"/>
              </w:rPr>
            </w:pPr>
          </w:p>
        </w:tc>
        <w:tc>
          <w:tcPr>
            <w:tcW w:w="1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90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700" w:type="dxa"/>
            <w:vAlign w:val="bottom"/>
          </w:tcPr>
          <w:p w:rsidR="00AC12B4" w:rsidRDefault="00AC12B4">
            <w:pPr>
              <w:rPr>
                <w:sz w:val="7"/>
                <w:szCs w:val="7"/>
              </w:rPr>
            </w:pPr>
          </w:p>
        </w:tc>
        <w:tc>
          <w:tcPr>
            <w:tcW w:w="720" w:type="dxa"/>
            <w:tcBorders>
              <w:right w:val="single" w:sz="8" w:space="0" w:color="C9D11D"/>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300"/>
        </w:trPr>
        <w:tc>
          <w:tcPr>
            <w:tcW w:w="5700" w:type="dxa"/>
            <w:gridSpan w:val="4"/>
            <w:vAlign w:val="bottom"/>
          </w:tcPr>
          <w:p w:rsidR="00AC12B4" w:rsidRPr="00C27636" w:rsidRDefault="00C27636">
            <w:pPr>
              <w:ind w:left="1460"/>
              <w:rPr>
                <w:sz w:val="20"/>
                <w:szCs w:val="20"/>
                <w:lang w:val="fr-BE"/>
              </w:rPr>
            </w:pPr>
            <w:r w:rsidRPr="00C27636">
              <w:rPr>
                <w:rFonts w:ascii="Calibri" w:eastAsia="Calibri" w:hAnsi="Calibri" w:cs="Calibri"/>
                <w:lang w:val="fr-BE"/>
              </w:rPr>
              <w:t>L’Enquête  Nationale  de  Santé  (HIS)</w:t>
            </w:r>
          </w:p>
        </w:tc>
        <w:tc>
          <w:tcPr>
            <w:tcW w:w="1260" w:type="dxa"/>
            <w:gridSpan w:val="3"/>
            <w:vAlign w:val="bottom"/>
          </w:tcPr>
          <w:p w:rsidR="00AC12B4" w:rsidRDefault="00C27636">
            <w:pPr>
              <w:ind w:left="360"/>
              <w:rPr>
                <w:sz w:val="20"/>
                <w:szCs w:val="20"/>
              </w:rPr>
            </w:pPr>
            <w:r>
              <w:rPr>
                <w:rFonts w:ascii="Calibri" w:eastAsia="Calibri" w:hAnsi="Calibri" w:cs="Calibri"/>
                <w:w w:val="98"/>
              </w:rPr>
              <w:t>collectées</w:t>
            </w:r>
          </w:p>
        </w:tc>
        <w:tc>
          <w:tcPr>
            <w:tcW w:w="160" w:type="dxa"/>
            <w:vAlign w:val="bottom"/>
          </w:tcPr>
          <w:p w:rsidR="00AC12B4" w:rsidRDefault="00AC12B4">
            <w:pPr>
              <w:rPr>
                <w:sz w:val="24"/>
                <w:szCs w:val="24"/>
              </w:rPr>
            </w:pPr>
          </w:p>
        </w:tc>
        <w:tc>
          <w:tcPr>
            <w:tcW w:w="600" w:type="dxa"/>
            <w:vAlign w:val="bottom"/>
          </w:tcPr>
          <w:p w:rsidR="00AC12B4" w:rsidRDefault="00C27636">
            <w:pPr>
              <w:ind w:right="210"/>
              <w:jc w:val="right"/>
              <w:rPr>
                <w:sz w:val="20"/>
                <w:szCs w:val="20"/>
              </w:rPr>
            </w:pPr>
            <w:r>
              <w:rPr>
                <w:rFonts w:ascii="Calibri" w:eastAsia="Calibri" w:hAnsi="Calibri" w:cs="Calibri"/>
              </w:rPr>
              <w:t>y</w:t>
            </w:r>
          </w:p>
        </w:tc>
        <w:tc>
          <w:tcPr>
            <w:tcW w:w="140" w:type="dxa"/>
            <w:tcBorders>
              <w:right w:val="single" w:sz="8" w:space="0" w:color="C9D11D"/>
            </w:tcBorders>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500" w:type="dxa"/>
            <w:gridSpan w:val="4"/>
            <w:vMerge w:val="restart"/>
            <w:tcBorders>
              <w:right w:val="single" w:sz="8" w:space="0" w:color="C9D11D"/>
            </w:tcBorders>
            <w:vAlign w:val="bottom"/>
          </w:tcPr>
          <w:p w:rsidR="00AC12B4" w:rsidRDefault="00C27636">
            <w:pPr>
              <w:ind w:right="400"/>
              <w:jc w:val="right"/>
              <w:rPr>
                <w:sz w:val="20"/>
                <w:szCs w:val="20"/>
              </w:rPr>
            </w:pPr>
            <w:r>
              <w:rPr>
                <w:rFonts w:ascii="Comic Sans MS" w:eastAsia="Comic Sans MS" w:hAnsi="Comic Sans MS" w:cs="Comic Sans MS"/>
                <w:color w:val="C9D11D"/>
                <w:sz w:val="96"/>
                <w:szCs w:val="96"/>
              </w:rPr>
              <w:t>N</w:t>
            </w:r>
            <w:r>
              <w:rPr>
                <w:rFonts w:ascii="Comic Sans MS" w:eastAsia="Comic Sans MS" w:hAnsi="Comic Sans MS" w:cs="Comic Sans MS"/>
                <w:color w:val="C9D11D"/>
                <w:sz w:val="96"/>
                <w:szCs w:val="96"/>
              </w:rPr>
              <w:lastRenderedPageBreak/>
              <w:t>/A</w:t>
            </w:r>
          </w:p>
        </w:tc>
        <w:tc>
          <w:tcPr>
            <w:tcW w:w="0" w:type="dxa"/>
            <w:vAlign w:val="bottom"/>
          </w:tcPr>
          <w:p w:rsidR="00AC12B4" w:rsidRDefault="00AC12B4">
            <w:pPr>
              <w:rPr>
                <w:sz w:val="1"/>
                <w:szCs w:val="1"/>
              </w:rPr>
            </w:pPr>
          </w:p>
        </w:tc>
      </w:tr>
      <w:tr w:rsidR="00AC12B4">
        <w:trPr>
          <w:trHeight w:val="269"/>
        </w:trPr>
        <w:tc>
          <w:tcPr>
            <w:tcW w:w="5700" w:type="dxa"/>
            <w:gridSpan w:val="4"/>
            <w:vAlign w:val="bottom"/>
          </w:tcPr>
          <w:p w:rsidR="00AC12B4" w:rsidRPr="00C27636" w:rsidRDefault="00C27636">
            <w:pPr>
              <w:ind w:left="1460"/>
              <w:rPr>
                <w:sz w:val="20"/>
                <w:szCs w:val="20"/>
                <w:lang w:val="fr-BE"/>
              </w:rPr>
            </w:pPr>
            <w:r w:rsidRPr="00C27636">
              <w:rPr>
                <w:rFonts w:ascii="Calibri" w:eastAsia="Calibri" w:hAnsi="Calibri" w:cs="Calibri"/>
                <w:lang w:val="fr-BE"/>
              </w:rPr>
              <w:lastRenderedPageBreak/>
              <w:t>s’intéresse, entre autre, à l’expérience du</w:t>
            </w:r>
          </w:p>
        </w:tc>
        <w:tc>
          <w:tcPr>
            <w:tcW w:w="820" w:type="dxa"/>
            <w:vAlign w:val="bottom"/>
          </w:tcPr>
          <w:p w:rsidR="00AC12B4" w:rsidRDefault="00C27636">
            <w:pPr>
              <w:spacing w:line="238" w:lineRule="exact"/>
              <w:ind w:left="360"/>
              <w:rPr>
                <w:sz w:val="20"/>
                <w:szCs w:val="20"/>
              </w:rPr>
            </w:pPr>
            <w:r>
              <w:rPr>
                <w:rFonts w:ascii="Calibri" w:eastAsia="Calibri" w:hAnsi="Calibri" w:cs="Calibri"/>
              </w:rPr>
              <w:t>sont</w:t>
            </w:r>
          </w:p>
        </w:tc>
        <w:tc>
          <w:tcPr>
            <w:tcW w:w="18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160" w:type="dxa"/>
            <w:vAlign w:val="bottom"/>
          </w:tcPr>
          <w:p w:rsidR="00AC12B4" w:rsidRDefault="00AC12B4">
            <w:pPr>
              <w:rPr>
                <w:sz w:val="23"/>
                <w:szCs w:val="23"/>
              </w:rPr>
            </w:pPr>
          </w:p>
        </w:tc>
        <w:tc>
          <w:tcPr>
            <w:tcW w:w="600" w:type="dxa"/>
            <w:vAlign w:val="bottom"/>
          </w:tcPr>
          <w:p w:rsidR="00AC12B4" w:rsidRDefault="00AC12B4">
            <w:pPr>
              <w:rPr>
                <w:sz w:val="23"/>
                <w:szCs w:val="23"/>
              </w:rPr>
            </w:pPr>
          </w:p>
        </w:tc>
        <w:tc>
          <w:tcPr>
            <w:tcW w:w="140" w:type="dxa"/>
            <w:tcBorders>
              <w:right w:val="single" w:sz="8" w:space="0" w:color="C9D11D"/>
            </w:tcBorders>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2500" w:type="dxa"/>
            <w:gridSpan w:val="4"/>
            <w:vMerge/>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5700" w:type="dxa"/>
            <w:gridSpan w:val="4"/>
            <w:vAlign w:val="bottom"/>
          </w:tcPr>
          <w:p w:rsidR="00AC12B4" w:rsidRPr="00C27636" w:rsidRDefault="00C27636">
            <w:pPr>
              <w:ind w:left="1460"/>
              <w:rPr>
                <w:sz w:val="20"/>
                <w:szCs w:val="20"/>
                <w:lang w:val="fr-BE"/>
              </w:rPr>
            </w:pPr>
            <w:r w:rsidRPr="00C27636">
              <w:rPr>
                <w:rFonts w:ascii="Calibri" w:eastAsia="Calibri" w:hAnsi="Calibri" w:cs="Calibri"/>
                <w:lang w:val="fr-BE"/>
              </w:rPr>
              <w:lastRenderedPageBreak/>
              <w:t>patient. La question du temps d’attente</w:t>
            </w:r>
          </w:p>
        </w:tc>
        <w:tc>
          <w:tcPr>
            <w:tcW w:w="1420" w:type="dxa"/>
            <w:gridSpan w:val="4"/>
            <w:vAlign w:val="bottom"/>
          </w:tcPr>
          <w:p w:rsidR="00AC12B4" w:rsidRDefault="00C27636">
            <w:pPr>
              <w:spacing w:line="235" w:lineRule="exact"/>
              <w:ind w:left="360"/>
              <w:rPr>
                <w:sz w:val="20"/>
                <w:szCs w:val="20"/>
              </w:rPr>
            </w:pPr>
            <w:r>
              <w:rPr>
                <w:rFonts w:ascii="Calibri" w:eastAsia="Calibri" w:hAnsi="Calibri" w:cs="Calibri"/>
              </w:rPr>
              <w:t>présentés.</w:t>
            </w:r>
          </w:p>
        </w:tc>
        <w:tc>
          <w:tcPr>
            <w:tcW w:w="600" w:type="dxa"/>
            <w:vAlign w:val="bottom"/>
          </w:tcPr>
          <w:p w:rsidR="00AC12B4" w:rsidRDefault="00C27636">
            <w:pPr>
              <w:spacing w:line="235" w:lineRule="exact"/>
              <w:ind w:right="210"/>
              <w:jc w:val="right"/>
              <w:rPr>
                <w:sz w:val="20"/>
                <w:szCs w:val="20"/>
              </w:rPr>
            </w:pPr>
            <w:r>
              <w:rPr>
                <w:rFonts w:ascii="Calibri" w:eastAsia="Calibri" w:hAnsi="Calibri" w:cs="Calibri"/>
              </w:rPr>
              <w:t>La</w:t>
            </w:r>
          </w:p>
        </w:tc>
        <w:tc>
          <w:tcPr>
            <w:tcW w:w="140" w:type="dxa"/>
            <w:tcBorders>
              <w:right w:val="single" w:sz="8" w:space="0" w:color="C9D11D"/>
            </w:tcBorders>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2500" w:type="dxa"/>
            <w:gridSpan w:val="4"/>
            <w:vMerge/>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6"/>
        </w:trPr>
        <w:tc>
          <w:tcPr>
            <w:tcW w:w="5700" w:type="dxa"/>
            <w:gridSpan w:val="4"/>
            <w:vAlign w:val="bottom"/>
          </w:tcPr>
          <w:p w:rsidR="00AC12B4" w:rsidRPr="00C27636" w:rsidRDefault="00C27636">
            <w:pPr>
              <w:spacing w:line="267" w:lineRule="exact"/>
              <w:ind w:left="1460"/>
              <w:rPr>
                <w:sz w:val="20"/>
                <w:szCs w:val="20"/>
                <w:lang w:val="fr-BE"/>
              </w:rPr>
            </w:pPr>
            <w:r w:rsidRPr="00C27636">
              <w:rPr>
                <w:rFonts w:ascii="Calibri" w:eastAsia="Calibri" w:hAnsi="Calibri" w:cs="Calibri"/>
                <w:lang w:val="fr-BE"/>
              </w:rPr>
              <w:t>avant l’obtention d’un rendez-vous avec</w:t>
            </w:r>
          </w:p>
        </w:tc>
        <w:tc>
          <w:tcPr>
            <w:tcW w:w="1260" w:type="dxa"/>
            <w:gridSpan w:val="3"/>
            <w:vAlign w:val="bottom"/>
          </w:tcPr>
          <w:p w:rsidR="00AC12B4" w:rsidRDefault="00C27636">
            <w:pPr>
              <w:spacing w:line="235" w:lineRule="exact"/>
              <w:ind w:left="360"/>
              <w:rPr>
                <w:sz w:val="20"/>
                <w:szCs w:val="20"/>
              </w:rPr>
            </w:pPr>
            <w:r>
              <w:rPr>
                <w:rFonts w:ascii="Calibri" w:eastAsia="Calibri" w:hAnsi="Calibri" w:cs="Calibri"/>
              </w:rPr>
              <w:t>question</w:t>
            </w:r>
          </w:p>
        </w:tc>
        <w:tc>
          <w:tcPr>
            <w:tcW w:w="160" w:type="dxa"/>
            <w:vAlign w:val="bottom"/>
          </w:tcPr>
          <w:p w:rsidR="00AC12B4" w:rsidRDefault="00AC12B4">
            <w:pPr>
              <w:rPr>
                <w:sz w:val="23"/>
                <w:szCs w:val="23"/>
              </w:rPr>
            </w:pPr>
          </w:p>
        </w:tc>
        <w:tc>
          <w:tcPr>
            <w:tcW w:w="600" w:type="dxa"/>
            <w:vAlign w:val="bottom"/>
          </w:tcPr>
          <w:p w:rsidR="00AC12B4" w:rsidRDefault="00C27636">
            <w:pPr>
              <w:spacing w:line="235" w:lineRule="exact"/>
              <w:ind w:right="210"/>
              <w:jc w:val="right"/>
              <w:rPr>
                <w:sz w:val="20"/>
                <w:szCs w:val="20"/>
              </w:rPr>
            </w:pPr>
            <w:r>
              <w:rPr>
                <w:rFonts w:ascii="Calibri" w:eastAsia="Calibri" w:hAnsi="Calibri" w:cs="Calibri"/>
                <w:w w:val="96"/>
              </w:rPr>
              <w:t>est</w:t>
            </w:r>
          </w:p>
        </w:tc>
        <w:tc>
          <w:tcPr>
            <w:tcW w:w="140" w:type="dxa"/>
            <w:tcBorders>
              <w:right w:val="single" w:sz="8" w:space="0" w:color="C9D11D"/>
            </w:tcBorders>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2500" w:type="dxa"/>
            <w:gridSpan w:val="4"/>
            <w:vMerge/>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87"/>
        </w:trPr>
        <w:tc>
          <w:tcPr>
            <w:tcW w:w="3660" w:type="dxa"/>
            <w:gridSpan w:val="2"/>
            <w:vAlign w:val="bottom"/>
          </w:tcPr>
          <w:p w:rsidR="00AC12B4" w:rsidRDefault="00C27636">
            <w:pPr>
              <w:ind w:left="1460"/>
              <w:rPr>
                <w:sz w:val="20"/>
                <w:szCs w:val="20"/>
              </w:rPr>
            </w:pPr>
            <w:r>
              <w:rPr>
                <w:rFonts w:ascii="Calibri" w:eastAsia="Calibri" w:hAnsi="Calibri" w:cs="Calibri"/>
              </w:rPr>
              <w:t>un médecin/spécialiste</w:t>
            </w:r>
          </w:p>
        </w:tc>
        <w:tc>
          <w:tcPr>
            <w:tcW w:w="2040" w:type="dxa"/>
            <w:gridSpan w:val="2"/>
            <w:vAlign w:val="bottom"/>
          </w:tcPr>
          <w:p w:rsidR="00AC12B4" w:rsidRDefault="00C27636">
            <w:pPr>
              <w:ind w:right="250"/>
              <w:jc w:val="right"/>
              <w:rPr>
                <w:sz w:val="20"/>
                <w:szCs w:val="20"/>
              </w:rPr>
            </w:pPr>
            <w:r>
              <w:rPr>
                <w:rFonts w:ascii="Calibri" w:eastAsia="Calibri" w:hAnsi="Calibri" w:cs="Calibri"/>
              </w:rPr>
              <w:t>est abordée ainsi</w:t>
            </w:r>
          </w:p>
        </w:tc>
        <w:tc>
          <w:tcPr>
            <w:tcW w:w="1000" w:type="dxa"/>
            <w:gridSpan w:val="2"/>
            <w:vAlign w:val="bottom"/>
          </w:tcPr>
          <w:p w:rsidR="00AC12B4" w:rsidRDefault="00C27636">
            <w:pPr>
              <w:spacing w:line="238" w:lineRule="exact"/>
              <w:ind w:left="360"/>
              <w:rPr>
                <w:sz w:val="20"/>
                <w:szCs w:val="20"/>
              </w:rPr>
            </w:pPr>
            <w:r>
              <w:rPr>
                <w:rFonts w:ascii="Calibri" w:eastAsia="Calibri" w:hAnsi="Calibri" w:cs="Calibri"/>
              </w:rPr>
              <w:t>posée</w:t>
            </w:r>
          </w:p>
        </w:tc>
        <w:tc>
          <w:tcPr>
            <w:tcW w:w="260" w:type="dxa"/>
            <w:vAlign w:val="bottom"/>
          </w:tcPr>
          <w:p w:rsidR="00AC12B4" w:rsidRDefault="00AC12B4">
            <w:pPr>
              <w:rPr>
                <w:sz w:val="24"/>
                <w:szCs w:val="24"/>
              </w:rPr>
            </w:pPr>
          </w:p>
        </w:tc>
        <w:tc>
          <w:tcPr>
            <w:tcW w:w="760" w:type="dxa"/>
            <w:gridSpan w:val="2"/>
            <w:vAlign w:val="bottom"/>
          </w:tcPr>
          <w:p w:rsidR="00AC12B4" w:rsidRDefault="00C27636">
            <w:pPr>
              <w:spacing w:line="238" w:lineRule="exact"/>
              <w:ind w:right="210"/>
              <w:jc w:val="right"/>
              <w:rPr>
                <w:sz w:val="20"/>
                <w:szCs w:val="20"/>
              </w:rPr>
            </w:pPr>
            <w:r>
              <w:rPr>
                <w:rFonts w:ascii="Calibri" w:eastAsia="Calibri" w:hAnsi="Calibri" w:cs="Calibri"/>
              </w:rPr>
              <w:t>par</w:t>
            </w:r>
          </w:p>
        </w:tc>
        <w:tc>
          <w:tcPr>
            <w:tcW w:w="140" w:type="dxa"/>
            <w:tcBorders>
              <w:right w:val="single" w:sz="8" w:space="0" w:color="C9D11D"/>
            </w:tcBorders>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500" w:type="dxa"/>
            <w:gridSpan w:val="4"/>
            <w:vMerge/>
            <w:tcBorders>
              <w:right w:val="single" w:sz="8" w:space="0" w:color="C9D11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0"/>
        </w:trPr>
        <w:tc>
          <w:tcPr>
            <w:tcW w:w="5700" w:type="dxa"/>
            <w:gridSpan w:val="4"/>
            <w:vMerge w:val="restart"/>
            <w:vAlign w:val="bottom"/>
          </w:tcPr>
          <w:p w:rsidR="00AC12B4" w:rsidRPr="00C27636" w:rsidRDefault="00C27636">
            <w:pPr>
              <w:spacing w:line="251" w:lineRule="exact"/>
              <w:ind w:left="1460"/>
              <w:rPr>
                <w:sz w:val="20"/>
                <w:szCs w:val="20"/>
                <w:lang w:val="fr-BE"/>
              </w:rPr>
            </w:pPr>
            <w:r w:rsidRPr="00C27636">
              <w:rPr>
                <w:rFonts w:ascii="Calibri" w:eastAsia="Calibri" w:hAnsi="Calibri" w:cs="Calibri"/>
                <w:lang w:val="fr-BE"/>
              </w:rPr>
              <w:t>que l’éventuel problème que cette attente</w:t>
            </w:r>
          </w:p>
        </w:tc>
        <w:tc>
          <w:tcPr>
            <w:tcW w:w="1260" w:type="dxa"/>
            <w:gridSpan w:val="3"/>
            <w:vAlign w:val="bottom"/>
          </w:tcPr>
          <w:p w:rsidR="00AC12B4" w:rsidRDefault="00C27636">
            <w:pPr>
              <w:spacing w:line="220" w:lineRule="exact"/>
              <w:ind w:left="360"/>
              <w:rPr>
                <w:sz w:val="20"/>
                <w:szCs w:val="20"/>
              </w:rPr>
            </w:pPr>
            <w:r>
              <w:rPr>
                <w:rFonts w:ascii="Calibri" w:eastAsia="Calibri" w:hAnsi="Calibri" w:cs="Calibri"/>
              </w:rPr>
              <w:t>rapport</w:t>
            </w:r>
          </w:p>
        </w:tc>
        <w:tc>
          <w:tcPr>
            <w:tcW w:w="160" w:type="dxa"/>
            <w:vAlign w:val="bottom"/>
          </w:tcPr>
          <w:p w:rsidR="00AC12B4" w:rsidRDefault="00AC12B4">
            <w:pPr>
              <w:rPr>
                <w:sz w:val="19"/>
                <w:szCs w:val="19"/>
              </w:rPr>
            </w:pPr>
          </w:p>
        </w:tc>
        <w:tc>
          <w:tcPr>
            <w:tcW w:w="600" w:type="dxa"/>
            <w:vAlign w:val="bottom"/>
          </w:tcPr>
          <w:p w:rsidR="00AC12B4" w:rsidRDefault="00C27636">
            <w:pPr>
              <w:spacing w:line="220" w:lineRule="exact"/>
              <w:ind w:right="210"/>
              <w:jc w:val="right"/>
              <w:rPr>
                <w:sz w:val="20"/>
                <w:szCs w:val="20"/>
              </w:rPr>
            </w:pPr>
            <w:r>
              <w:rPr>
                <w:rFonts w:ascii="Calibri" w:eastAsia="Calibri" w:hAnsi="Calibri" w:cs="Calibri"/>
              </w:rPr>
              <w:t>au</w:t>
            </w:r>
          </w:p>
        </w:tc>
        <w:tc>
          <w:tcPr>
            <w:tcW w:w="140" w:type="dxa"/>
            <w:tcBorders>
              <w:right w:val="single" w:sz="8" w:space="0" w:color="C9D11D"/>
            </w:tcBorders>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1180" w:type="dxa"/>
            <w:gridSpan w:val="2"/>
            <w:vMerge w:val="restart"/>
            <w:vAlign w:val="bottom"/>
          </w:tcPr>
          <w:p w:rsidR="00AC12B4" w:rsidRDefault="00C27636">
            <w:pPr>
              <w:ind w:left="20"/>
              <w:rPr>
                <w:sz w:val="20"/>
                <w:szCs w:val="20"/>
              </w:rPr>
            </w:pPr>
            <w:r>
              <w:rPr>
                <w:rFonts w:ascii="Comic Sans MS" w:eastAsia="Comic Sans MS" w:hAnsi="Comic Sans MS" w:cs="Comic Sans MS"/>
                <w:sz w:val="20"/>
                <w:szCs w:val="20"/>
              </w:rPr>
              <w:t>Malgré</w:t>
            </w:r>
          </w:p>
        </w:tc>
        <w:tc>
          <w:tcPr>
            <w:tcW w:w="180" w:type="dxa"/>
            <w:vAlign w:val="bottom"/>
          </w:tcPr>
          <w:p w:rsidR="00AC12B4" w:rsidRDefault="00AC12B4">
            <w:pPr>
              <w:rPr>
                <w:sz w:val="19"/>
                <w:szCs w:val="19"/>
              </w:rPr>
            </w:pPr>
          </w:p>
        </w:tc>
        <w:tc>
          <w:tcPr>
            <w:tcW w:w="1420" w:type="dxa"/>
            <w:gridSpan w:val="2"/>
            <w:vMerge w:val="restart"/>
            <w:tcBorders>
              <w:right w:val="single" w:sz="8" w:space="0" w:color="C9D11D"/>
            </w:tcBorders>
            <w:vAlign w:val="bottom"/>
          </w:tcPr>
          <w:p w:rsidR="00AC12B4" w:rsidRDefault="00C27636">
            <w:pPr>
              <w:ind w:right="80"/>
              <w:jc w:val="right"/>
              <w:rPr>
                <w:sz w:val="20"/>
                <w:szCs w:val="20"/>
              </w:rPr>
            </w:pPr>
            <w:r>
              <w:rPr>
                <w:rFonts w:ascii="Comic Sans MS" w:eastAsia="Comic Sans MS" w:hAnsi="Comic Sans MS" w:cs="Comic Sans MS"/>
                <w:sz w:val="20"/>
                <w:szCs w:val="20"/>
              </w:rPr>
              <w:t>l’importance</w:t>
            </w:r>
          </w:p>
        </w:tc>
        <w:tc>
          <w:tcPr>
            <w:tcW w:w="0" w:type="dxa"/>
            <w:vAlign w:val="bottom"/>
          </w:tcPr>
          <w:p w:rsidR="00AC12B4" w:rsidRDefault="00AC12B4">
            <w:pPr>
              <w:rPr>
                <w:sz w:val="1"/>
                <w:szCs w:val="1"/>
              </w:rPr>
            </w:pPr>
          </w:p>
        </w:tc>
      </w:tr>
      <w:tr w:rsidR="00AC12B4">
        <w:trPr>
          <w:trHeight w:val="81"/>
        </w:trPr>
        <w:tc>
          <w:tcPr>
            <w:tcW w:w="5700" w:type="dxa"/>
            <w:gridSpan w:val="4"/>
            <w:vMerge/>
            <w:vAlign w:val="bottom"/>
          </w:tcPr>
          <w:p w:rsidR="00AC12B4" w:rsidRDefault="00AC12B4">
            <w:pPr>
              <w:rPr>
                <w:sz w:val="7"/>
                <w:szCs w:val="7"/>
              </w:rPr>
            </w:pPr>
          </w:p>
        </w:tc>
        <w:tc>
          <w:tcPr>
            <w:tcW w:w="1260" w:type="dxa"/>
            <w:gridSpan w:val="3"/>
            <w:vMerge w:val="restart"/>
            <w:vAlign w:val="bottom"/>
          </w:tcPr>
          <w:p w:rsidR="00AC12B4" w:rsidRDefault="00C27636">
            <w:pPr>
              <w:ind w:left="360"/>
              <w:rPr>
                <w:sz w:val="20"/>
                <w:szCs w:val="20"/>
              </w:rPr>
            </w:pPr>
            <w:r>
              <w:rPr>
                <w:rFonts w:ascii="Calibri" w:eastAsia="Calibri" w:hAnsi="Calibri" w:cs="Calibri"/>
              </w:rPr>
              <w:t>dernier</w:t>
            </w:r>
          </w:p>
        </w:tc>
        <w:tc>
          <w:tcPr>
            <w:tcW w:w="160" w:type="dxa"/>
            <w:vAlign w:val="bottom"/>
          </w:tcPr>
          <w:p w:rsidR="00AC12B4" w:rsidRDefault="00AC12B4">
            <w:pPr>
              <w:rPr>
                <w:sz w:val="7"/>
                <w:szCs w:val="7"/>
              </w:rPr>
            </w:pPr>
          </w:p>
        </w:tc>
        <w:tc>
          <w:tcPr>
            <w:tcW w:w="600" w:type="dxa"/>
            <w:vAlign w:val="bottom"/>
          </w:tcPr>
          <w:p w:rsidR="00AC12B4" w:rsidRDefault="00AC12B4">
            <w:pPr>
              <w:rPr>
                <w:sz w:val="7"/>
                <w:szCs w:val="7"/>
              </w:rPr>
            </w:pPr>
          </w:p>
        </w:tc>
        <w:tc>
          <w:tcPr>
            <w:tcW w:w="140" w:type="dxa"/>
            <w:tcBorders>
              <w:right w:val="single" w:sz="8" w:space="0" w:color="C9D11D"/>
            </w:tcBorders>
            <w:vAlign w:val="bottom"/>
          </w:tcPr>
          <w:p w:rsidR="00AC12B4" w:rsidRDefault="00AC12B4">
            <w:pPr>
              <w:rPr>
                <w:sz w:val="7"/>
                <w:szCs w:val="7"/>
              </w:rPr>
            </w:pPr>
          </w:p>
        </w:tc>
        <w:tc>
          <w:tcPr>
            <w:tcW w:w="120" w:type="dxa"/>
            <w:vAlign w:val="bottom"/>
          </w:tcPr>
          <w:p w:rsidR="00AC12B4" w:rsidRDefault="00AC12B4">
            <w:pPr>
              <w:rPr>
                <w:sz w:val="7"/>
                <w:szCs w:val="7"/>
              </w:rPr>
            </w:pPr>
          </w:p>
        </w:tc>
        <w:tc>
          <w:tcPr>
            <w:tcW w:w="1180" w:type="dxa"/>
            <w:gridSpan w:val="2"/>
            <w:vMerge/>
            <w:vAlign w:val="bottom"/>
          </w:tcPr>
          <w:p w:rsidR="00AC12B4" w:rsidRDefault="00AC12B4">
            <w:pPr>
              <w:rPr>
                <w:sz w:val="7"/>
                <w:szCs w:val="7"/>
              </w:rPr>
            </w:pPr>
          </w:p>
        </w:tc>
        <w:tc>
          <w:tcPr>
            <w:tcW w:w="180" w:type="dxa"/>
            <w:vAlign w:val="bottom"/>
          </w:tcPr>
          <w:p w:rsidR="00AC12B4" w:rsidRDefault="00AC12B4">
            <w:pPr>
              <w:rPr>
                <w:sz w:val="7"/>
                <w:szCs w:val="7"/>
              </w:rPr>
            </w:pPr>
          </w:p>
        </w:tc>
        <w:tc>
          <w:tcPr>
            <w:tcW w:w="1420" w:type="dxa"/>
            <w:gridSpan w:val="2"/>
            <w:vMerge/>
            <w:tcBorders>
              <w:right w:val="single" w:sz="8" w:space="0" w:color="C9D11D"/>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20"/>
        </w:trPr>
        <w:tc>
          <w:tcPr>
            <w:tcW w:w="5100" w:type="dxa"/>
            <w:gridSpan w:val="3"/>
            <w:vAlign w:val="bottom"/>
          </w:tcPr>
          <w:p w:rsidR="00AC12B4" w:rsidRDefault="00C27636">
            <w:pPr>
              <w:spacing w:line="220" w:lineRule="exact"/>
              <w:ind w:left="1460"/>
              <w:rPr>
                <w:sz w:val="20"/>
                <w:szCs w:val="20"/>
              </w:rPr>
            </w:pPr>
            <w:r>
              <w:rPr>
                <w:rFonts w:ascii="Calibri" w:eastAsia="Calibri" w:hAnsi="Calibri" w:cs="Calibri"/>
              </w:rPr>
              <w:t>provoque pour le patient.</w:t>
            </w:r>
          </w:p>
        </w:tc>
        <w:tc>
          <w:tcPr>
            <w:tcW w:w="600" w:type="dxa"/>
            <w:vAlign w:val="bottom"/>
          </w:tcPr>
          <w:p w:rsidR="00AC12B4" w:rsidRDefault="00AC12B4">
            <w:pPr>
              <w:rPr>
                <w:sz w:val="19"/>
                <w:szCs w:val="19"/>
              </w:rPr>
            </w:pPr>
          </w:p>
        </w:tc>
        <w:tc>
          <w:tcPr>
            <w:tcW w:w="1260" w:type="dxa"/>
            <w:gridSpan w:val="3"/>
            <w:vMerge/>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600" w:type="dxa"/>
            <w:vAlign w:val="bottom"/>
          </w:tcPr>
          <w:p w:rsidR="00AC12B4" w:rsidRDefault="00AC12B4">
            <w:pPr>
              <w:rPr>
                <w:sz w:val="19"/>
                <w:szCs w:val="19"/>
              </w:rPr>
            </w:pPr>
          </w:p>
        </w:tc>
        <w:tc>
          <w:tcPr>
            <w:tcW w:w="140" w:type="dxa"/>
            <w:tcBorders>
              <w:right w:val="single" w:sz="8" w:space="0" w:color="C9D11D"/>
            </w:tcBorders>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1180" w:type="dxa"/>
            <w:gridSpan w:val="2"/>
            <w:vMerge w:val="restart"/>
            <w:vAlign w:val="bottom"/>
          </w:tcPr>
          <w:p w:rsidR="00AC12B4" w:rsidRDefault="00C27636">
            <w:pPr>
              <w:ind w:left="20"/>
              <w:rPr>
                <w:sz w:val="20"/>
                <w:szCs w:val="20"/>
              </w:rPr>
            </w:pPr>
            <w:r>
              <w:rPr>
                <w:rFonts w:ascii="Comic Sans MS" w:eastAsia="Comic Sans MS" w:hAnsi="Comic Sans MS" w:cs="Comic Sans MS"/>
                <w:sz w:val="20"/>
                <w:szCs w:val="20"/>
              </w:rPr>
              <w:t>d’évaluer  la</w:t>
            </w:r>
          </w:p>
        </w:tc>
        <w:tc>
          <w:tcPr>
            <w:tcW w:w="1600" w:type="dxa"/>
            <w:gridSpan w:val="3"/>
            <w:vMerge w:val="restart"/>
            <w:tcBorders>
              <w:right w:val="single" w:sz="8" w:space="0" w:color="C9D11D"/>
            </w:tcBorders>
            <w:vAlign w:val="bottom"/>
          </w:tcPr>
          <w:p w:rsidR="00AC12B4" w:rsidRDefault="00C27636">
            <w:pPr>
              <w:ind w:right="100"/>
              <w:jc w:val="right"/>
              <w:rPr>
                <w:sz w:val="20"/>
                <w:szCs w:val="20"/>
              </w:rPr>
            </w:pPr>
            <w:r>
              <w:rPr>
                <w:rFonts w:ascii="Comic Sans MS" w:eastAsia="Comic Sans MS" w:hAnsi="Comic Sans MS" w:cs="Comic Sans MS"/>
                <w:sz w:val="20"/>
                <w:szCs w:val="20"/>
              </w:rPr>
              <w:t>problématique</w:t>
            </w:r>
          </w:p>
        </w:tc>
        <w:tc>
          <w:tcPr>
            <w:tcW w:w="0" w:type="dxa"/>
            <w:vAlign w:val="bottom"/>
          </w:tcPr>
          <w:p w:rsidR="00AC12B4" w:rsidRDefault="00AC12B4">
            <w:pPr>
              <w:rPr>
                <w:sz w:val="1"/>
                <w:szCs w:val="1"/>
              </w:rPr>
            </w:pPr>
          </w:p>
        </w:tc>
      </w:tr>
      <w:tr w:rsidR="00AC12B4">
        <w:trPr>
          <w:trHeight w:val="112"/>
        </w:trPr>
        <w:tc>
          <w:tcPr>
            <w:tcW w:w="2360" w:type="dxa"/>
            <w:vAlign w:val="bottom"/>
          </w:tcPr>
          <w:p w:rsidR="00AC12B4" w:rsidRDefault="00AC12B4">
            <w:pPr>
              <w:rPr>
                <w:sz w:val="9"/>
                <w:szCs w:val="9"/>
              </w:rPr>
            </w:pPr>
          </w:p>
        </w:tc>
        <w:tc>
          <w:tcPr>
            <w:tcW w:w="1300" w:type="dxa"/>
            <w:vAlign w:val="bottom"/>
          </w:tcPr>
          <w:p w:rsidR="00AC12B4" w:rsidRDefault="00AC12B4">
            <w:pPr>
              <w:rPr>
                <w:sz w:val="9"/>
                <w:szCs w:val="9"/>
              </w:rPr>
            </w:pPr>
          </w:p>
        </w:tc>
        <w:tc>
          <w:tcPr>
            <w:tcW w:w="1440" w:type="dxa"/>
            <w:vAlign w:val="bottom"/>
          </w:tcPr>
          <w:p w:rsidR="00AC12B4" w:rsidRDefault="00AC12B4">
            <w:pPr>
              <w:rPr>
                <w:sz w:val="9"/>
                <w:szCs w:val="9"/>
              </w:rPr>
            </w:pPr>
          </w:p>
        </w:tc>
        <w:tc>
          <w:tcPr>
            <w:tcW w:w="600" w:type="dxa"/>
            <w:vAlign w:val="bottom"/>
          </w:tcPr>
          <w:p w:rsidR="00AC12B4" w:rsidRDefault="00AC12B4">
            <w:pPr>
              <w:rPr>
                <w:sz w:val="9"/>
                <w:szCs w:val="9"/>
              </w:rPr>
            </w:pPr>
          </w:p>
        </w:tc>
        <w:tc>
          <w:tcPr>
            <w:tcW w:w="2020" w:type="dxa"/>
            <w:gridSpan w:val="5"/>
            <w:vMerge w:val="restart"/>
            <w:vAlign w:val="bottom"/>
          </w:tcPr>
          <w:p w:rsidR="00AC12B4" w:rsidRDefault="00C27636">
            <w:pPr>
              <w:spacing w:line="238" w:lineRule="exact"/>
              <w:ind w:left="360"/>
              <w:rPr>
                <w:sz w:val="20"/>
                <w:szCs w:val="20"/>
              </w:rPr>
            </w:pPr>
            <w:r>
              <w:rPr>
                <w:rFonts w:ascii="Calibri" w:eastAsia="Calibri" w:hAnsi="Calibri" w:cs="Calibri"/>
              </w:rPr>
              <w:t>rendez-vous</w:t>
            </w:r>
          </w:p>
        </w:tc>
        <w:tc>
          <w:tcPr>
            <w:tcW w:w="140" w:type="dxa"/>
            <w:tcBorders>
              <w:right w:val="single" w:sz="8" w:space="0" w:color="C9D11D"/>
            </w:tcBorders>
            <w:vAlign w:val="bottom"/>
          </w:tcPr>
          <w:p w:rsidR="00AC12B4" w:rsidRDefault="00AC12B4">
            <w:pPr>
              <w:rPr>
                <w:sz w:val="9"/>
                <w:szCs w:val="9"/>
              </w:rPr>
            </w:pPr>
          </w:p>
        </w:tc>
        <w:tc>
          <w:tcPr>
            <w:tcW w:w="120" w:type="dxa"/>
            <w:vAlign w:val="bottom"/>
          </w:tcPr>
          <w:p w:rsidR="00AC12B4" w:rsidRDefault="00AC12B4">
            <w:pPr>
              <w:rPr>
                <w:sz w:val="9"/>
                <w:szCs w:val="9"/>
              </w:rPr>
            </w:pPr>
          </w:p>
        </w:tc>
        <w:tc>
          <w:tcPr>
            <w:tcW w:w="1180" w:type="dxa"/>
            <w:gridSpan w:val="2"/>
            <w:vMerge/>
            <w:vAlign w:val="bottom"/>
          </w:tcPr>
          <w:p w:rsidR="00AC12B4" w:rsidRDefault="00AC12B4">
            <w:pPr>
              <w:rPr>
                <w:sz w:val="9"/>
                <w:szCs w:val="9"/>
              </w:rPr>
            </w:pPr>
          </w:p>
        </w:tc>
        <w:tc>
          <w:tcPr>
            <w:tcW w:w="1600" w:type="dxa"/>
            <w:gridSpan w:val="3"/>
            <w:vMerge/>
            <w:tcBorders>
              <w:right w:val="single" w:sz="8" w:space="0" w:color="C9D11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26"/>
        </w:trPr>
        <w:tc>
          <w:tcPr>
            <w:tcW w:w="2360" w:type="dxa"/>
            <w:vMerge w:val="restart"/>
            <w:vAlign w:val="bottom"/>
          </w:tcPr>
          <w:p w:rsidR="00AC12B4" w:rsidRDefault="00C27636">
            <w:pPr>
              <w:ind w:left="1460"/>
              <w:rPr>
                <w:sz w:val="20"/>
                <w:szCs w:val="20"/>
              </w:rPr>
            </w:pPr>
            <w:r>
              <w:rPr>
                <w:rFonts w:ascii="Calibri" w:eastAsia="Calibri" w:hAnsi="Calibri" w:cs="Calibri"/>
              </w:rPr>
              <w:t>61% d</w:t>
            </w:r>
            <w:r>
              <w:rPr>
                <w:rFonts w:ascii="Calibri" w:eastAsia="Calibri" w:hAnsi="Calibri" w:cs="Calibri"/>
              </w:rPr>
              <w:lastRenderedPageBreak/>
              <w:t>es</w:t>
            </w:r>
          </w:p>
        </w:tc>
        <w:tc>
          <w:tcPr>
            <w:tcW w:w="1300" w:type="dxa"/>
            <w:vMerge w:val="restart"/>
            <w:vAlign w:val="bottom"/>
          </w:tcPr>
          <w:p w:rsidR="00AC12B4" w:rsidRDefault="00C27636">
            <w:pPr>
              <w:ind w:left="60"/>
              <w:rPr>
                <w:sz w:val="20"/>
                <w:szCs w:val="20"/>
              </w:rPr>
            </w:pPr>
            <w:r>
              <w:rPr>
                <w:rFonts w:ascii="Calibri" w:eastAsia="Calibri" w:hAnsi="Calibri" w:cs="Calibri"/>
              </w:rPr>
              <w:lastRenderedPageBreak/>
              <w:t>jeunes ayant</w:t>
            </w:r>
          </w:p>
        </w:tc>
        <w:tc>
          <w:tcPr>
            <w:tcW w:w="2040" w:type="dxa"/>
            <w:gridSpan w:val="2"/>
            <w:vMerge w:val="restart"/>
            <w:vAlign w:val="bottom"/>
          </w:tcPr>
          <w:p w:rsidR="00AC12B4" w:rsidRDefault="00C27636">
            <w:pPr>
              <w:ind w:right="250"/>
              <w:jc w:val="right"/>
              <w:rPr>
                <w:sz w:val="20"/>
                <w:szCs w:val="20"/>
              </w:rPr>
            </w:pPr>
            <w:r>
              <w:rPr>
                <w:rFonts w:ascii="Calibri" w:eastAsia="Calibri" w:hAnsi="Calibri" w:cs="Calibri"/>
              </w:rPr>
              <w:t>répondu à cette</w:t>
            </w:r>
          </w:p>
        </w:tc>
        <w:tc>
          <w:tcPr>
            <w:tcW w:w="2020" w:type="dxa"/>
            <w:gridSpan w:val="5"/>
            <w:vMerge/>
            <w:vAlign w:val="bottom"/>
          </w:tcPr>
          <w:p w:rsidR="00AC12B4" w:rsidRDefault="00AC12B4">
            <w:pPr>
              <w:rPr>
                <w:sz w:val="10"/>
                <w:szCs w:val="10"/>
              </w:rPr>
            </w:pPr>
          </w:p>
        </w:tc>
        <w:tc>
          <w:tcPr>
            <w:tcW w:w="140" w:type="dxa"/>
            <w:tcBorders>
              <w:right w:val="single" w:sz="8" w:space="0" w:color="C9D11D"/>
            </w:tcBorders>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280" w:type="dxa"/>
            <w:vMerge w:val="restart"/>
            <w:vAlign w:val="bottom"/>
          </w:tcPr>
          <w:p w:rsidR="00AC12B4" w:rsidRDefault="00C27636">
            <w:pPr>
              <w:ind w:left="20"/>
              <w:rPr>
                <w:sz w:val="20"/>
                <w:szCs w:val="20"/>
              </w:rPr>
            </w:pPr>
            <w:r>
              <w:rPr>
                <w:rFonts w:ascii="Comic Sans MS" w:eastAsia="Comic Sans MS" w:hAnsi="Comic Sans MS" w:cs="Comic Sans MS"/>
                <w:sz w:val="20"/>
                <w:szCs w:val="20"/>
              </w:rPr>
              <w:t>du</w:t>
            </w:r>
          </w:p>
        </w:tc>
        <w:tc>
          <w:tcPr>
            <w:tcW w:w="1080" w:type="dxa"/>
            <w:gridSpan w:val="2"/>
            <w:vMerge w:val="restart"/>
            <w:vAlign w:val="bottom"/>
          </w:tcPr>
          <w:p w:rsidR="00AC12B4" w:rsidRDefault="00C27636">
            <w:pPr>
              <w:ind w:right="13"/>
              <w:jc w:val="right"/>
              <w:rPr>
                <w:sz w:val="20"/>
                <w:szCs w:val="20"/>
              </w:rPr>
            </w:pPr>
            <w:r>
              <w:rPr>
                <w:rFonts w:ascii="Comic Sans MS" w:eastAsia="Comic Sans MS" w:hAnsi="Comic Sans MS" w:cs="Comic Sans MS"/>
                <w:sz w:val="20"/>
                <w:szCs w:val="20"/>
              </w:rPr>
              <w:t>temps</w:t>
            </w:r>
          </w:p>
        </w:tc>
        <w:tc>
          <w:tcPr>
            <w:tcW w:w="1420" w:type="dxa"/>
            <w:gridSpan w:val="2"/>
            <w:vMerge w:val="restart"/>
            <w:tcBorders>
              <w:right w:val="single" w:sz="8" w:space="0" w:color="C9D11D"/>
            </w:tcBorders>
            <w:vAlign w:val="bottom"/>
          </w:tcPr>
          <w:p w:rsidR="00AC12B4" w:rsidRDefault="00C27636">
            <w:pPr>
              <w:ind w:right="100"/>
              <w:jc w:val="right"/>
              <w:rPr>
                <w:sz w:val="20"/>
                <w:szCs w:val="20"/>
              </w:rPr>
            </w:pPr>
            <w:r>
              <w:rPr>
                <w:rFonts w:ascii="Comic Sans MS" w:eastAsia="Comic Sans MS" w:hAnsi="Comic Sans MS" w:cs="Comic Sans MS"/>
                <w:sz w:val="20"/>
                <w:szCs w:val="20"/>
              </w:rPr>
              <w:t>d’attente,</w:t>
            </w:r>
          </w:p>
        </w:tc>
        <w:tc>
          <w:tcPr>
            <w:tcW w:w="0" w:type="dxa"/>
            <w:vAlign w:val="bottom"/>
          </w:tcPr>
          <w:p w:rsidR="00AC12B4" w:rsidRDefault="00AC12B4">
            <w:pPr>
              <w:rPr>
                <w:sz w:val="1"/>
                <w:szCs w:val="1"/>
              </w:rPr>
            </w:pPr>
          </w:p>
        </w:tc>
      </w:tr>
      <w:tr w:rsidR="00AC12B4">
        <w:trPr>
          <w:trHeight w:val="153"/>
        </w:trPr>
        <w:tc>
          <w:tcPr>
            <w:tcW w:w="2360" w:type="dxa"/>
            <w:vMerge/>
            <w:vAlign w:val="bottom"/>
          </w:tcPr>
          <w:p w:rsidR="00AC12B4" w:rsidRDefault="00AC12B4">
            <w:pPr>
              <w:rPr>
                <w:sz w:val="13"/>
                <w:szCs w:val="13"/>
              </w:rPr>
            </w:pPr>
          </w:p>
        </w:tc>
        <w:tc>
          <w:tcPr>
            <w:tcW w:w="1300" w:type="dxa"/>
            <w:vMerge/>
            <w:vAlign w:val="bottom"/>
          </w:tcPr>
          <w:p w:rsidR="00AC12B4" w:rsidRDefault="00AC12B4">
            <w:pPr>
              <w:rPr>
                <w:sz w:val="13"/>
                <w:szCs w:val="13"/>
              </w:rPr>
            </w:pPr>
          </w:p>
        </w:tc>
        <w:tc>
          <w:tcPr>
            <w:tcW w:w="2040" w:type="dxa"/>
            <w:gridSpan w:val="2"/>
            <w:vMerge/>
            <w:vAlign w:val="bottom"/>
          </w:tcPr>
          <w:p w:rsidR="00AC12B4" w:rsidRDefault="00AC12B4">
            <w:pPr>
              <w:rPr>
                <w:sz w:val="13"/>
                <w:szCs w:val="13"/>
              </w:rPr>
            </w:pPr>
          </w:p>
        </w:tc>
        <w:tc>
          <w:tcPr>
            <w:tcW w:w="1000" w:type="dxa"/>
            <w:gridSpan w:val="2"/>
            <w:vMerge w:val="restart"/>
            <w:vAlign w:val="bottom"/>
          </w:tcPr>
          <w:p w:rsidR="00AC12B4" w:rsidRDefault="00C27636">
            <w:pPr>
              <w:ind w:left="360"/>
              <w:rPr>
                <w:sz w:val="20"/>
                <w:szCs w:val="20"/>
              </w:rPr>
            </w:pPr>
            <w:r>
              <w:rPr>
                <w:rFonts w:ascii="Calibri" w:eastAsia="Calibri" w:hAnsi="Calibri" w:cs="Calibri"/>
              </w:rPr>
              <w:t>(dans</w:t>
            </w:r>
          </w:p>
        </w:tc>
        <w:tc>
          <w:tcPr>
            <w:tcW w:w="1020" w:type="dxa"/>
            <w:gridSpan w:val="3"/>
            <w:vMerge w:val="restart"/>
            <w:vAlign w:val="bottom"/>
          </w:tcPr>
          <w:p w:rsidR="00AC12B4" w:rsidRDefault="00C27636">
            <w:pPr>
              <w:ind w:right="210"/>
              <w:jc w:val="right"/>
              <w:rPr>
                <w:sz w:val="20"/>
                <w:szCs w:val="20"/>
              </w:rPr>
            </w:pPr>
            <w:r>
              <w:rPr>
                <w:rFonts w:ascii="Calibri" w:eastAsia="Calibri" w:hAnsi="Calibri" w:cs="Calibri"/>
              </w:rPr>
              <w:t>l’année</w:t>
            </w:r>
          </w:p>
        </w:tc>
        <w:tc>
          <w:tcPr>
            <w:tcW w:w="140" w:type="dxa"/>
            <w:tcBorders>
              <w:right w:val="single" w:sz="8" w:space="0" w:color="C9D11D"/>
            </w:tcBorders>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280" w:type="dxa"/>
            <w:vMerge/>
            <w:vAlign w:val="bottom"/>
          </w:tcPr>
          <w:p w:rsidR="00AC12B4" w:rsidRDefault="00AC12B4">
            <w:pPr>
              <w:rPr>
                <w:sz w:val="13"/>
                <w:szCs w:val="13"/>
              </w:rPr>
            </w:pPr>
          </w:p>
        </w:tc>
        <w:tc>
          <w:tcPr>
            <w:tcW w:w="1080" w:type="dxa"/>
            <w:gridSpan w:val="2"/>
            <w:vMerge/>
            <w:vAlign w:val="bottom"/>
          </w:tcPr>
          <w:p w:rsidR="00AC12B4" w:rsidRDefault="00AC12B4">
            <w:pPr>
              <w:rPr>
                <w:sz w:val="13"/>
                <w:szCs w:val="13"/>
              </w:rPr>
            </w:pPr>
          </w:p>
        </w:tc>
        <w:tc>
          <w:tcPr>
            <w:tcW w:w="1420" w:type="dxa"/>
            <w:gridSpan w:val="2"/>
            <w:vMerge/>
            <w:tcBorders>
              <w:right w:val="single" w:sz="8" w:space="0" w:color="C9D11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6"/>
        </w:trPr>
        <w:tc>
          <w:tcPr>
            <w:tcW w:w="2360" w:type="dxa"/>
            <w:vMerge w:val="restart"/>
            <w:vAlign w:val="bottom"/>
          </w:tcPr>
          <w:p w:rsidR="00AC12B4" w:rsidRDefault="00C27636">
            <w:pPr>
              <w:spacing w:line="267" w:lineRule="exact"/>
              <w:ind w:left="1460"/>
              <w:rPr>
                <w:sz w:val="20"/>
                <w:szCs w:val="20"/>
              </w:rPr>
            </w:pPr>
            <w:r>
              <w:rPr>
                <w:rFonts w:ascii="Calibri" w:eastAsia="Calibri" w:hAnsi="Calibri" w:cs="Calibri"/>
              </w:rPr>
              <w:lastRenderedPageBreak/>
              <w:t>question</w:t>
            </w:r>
          </w:p>
        </w:tc>
        <w:tc>
          <w:tcPr>
            <w:tcW w:w="2740" w:type="dxa"/>
            <w:gridSpan w:val="2"/>
            <w:vMerge w:val="restart"/>
            <w:vAlign w:val="bottom"/>
          </w:tcPr>
          <w:p w:rsidR="00AC12B4" w:rsidRPr="00C27636" w:rsidRDefault="00C27636">
            <w:pPr>
              <w:spacing w:line="267" w:lineRule="exact"/>
              <w:ind w:left="20"/>
              <w:rPr>
                <w:sz w:val="20"/>
                <w:szCs w:val="20"/>
                <w:lang w:val="fr-BE"/>
              </w:rPr>
            </w:pPr>
            <w:r w:rsidRPr="00C27636">
              <w:rPr>
                <w:rFonts w:ascii="Calibri" w:eastAsia="Calibri" w:hAnsi="Calibri" w:cs="Calibri"/>
                <w:lang w:val="fr-BE"/>
              </w:rPr>
              <w:t>ont obtenu un rendez-vous</w:t>
            </w:r>
          </w:p>
        </w:tc>
        <w:tc>
          <w:tcPr>
            <w:tcW w:w="600" w:type="dxa"/>
            <w:vMerge w:val="restart"/>
            <w:vAlign w:val="bottom"/>
          </w:tcPr>
          <w:p w:rsidR="00AC12B4" w:rsidRDefault="00C27636">
            <w:pPr>
              <w:spacing w:line="267" w:lineRule="exact"/>
              <w:ind w:right="250"/>
              <w:jc w:val="right"/>
              <w:rPr>
                <w:sz w:val="20"/>
                <w:szCs w:val="20"/>
              </w:rPr>
            </w:pPr>
            <w:r>
              <w:rPr>
                <w:rFonts w:ascii="Calibri" w:eastAsia="Calibri" w:hAnsi="Calibri" w:cs="Calibri"/>
              </w:rPr>
              <w:t>le</w:t>
            </w:r>
          </w:p>
        </w:tc>
        <w:tc>
          <w:tcPr>
            <w:tcW w:w="1000" w:type="dxa"/>
            <w:gridSpan w:val="2"/>
            <w:vMerge/>
            <w:vAlign w:val="bottom"/>
          </w:tcPr>
          <w:p w:rsidR="00AC12B4" w:rsidRDefault="00AC12B4">
            <w:pPr>
              <w:rPr>
                <w:sz w:val="10"/>
                <w:szCs w:val="10"/>
              </w:rPr>
            </w:pPr>
          </w:p>
        </w:tc>
        <w:tc>
          <w:tcPr>
            <w:tcW w:w="1020" w:type="dxa"/>
            <w:gridSpan w:val="3"/>
            <w:vMerge/>
            <w:vAlign w:val="bottom"/>
          </w:tcPr>
          <w:p w:rsidR="00AC12B4" w:rsidRDefault="00AC12B4">
            <w:pPr>
              <w:rPr>
                <w:sz w:val="10"/>
                <w:szCs w:val="10"/>
              </w:rPr>
            </w:pPr>
          </w:p>
        </w:tc>
        <w:tc>
          <w:tcPr>
            <w:tcW w:w="140" w:type="dxa"/>
            <w:tcBorders>
              <w:right w:val="single" w:sz="8" w:space="0" w:color="C9D11D"/>
            </w:tcBorders>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1180" w:type="dxa"/>
            <w:gridSpan w:val="2"/>
            <w:vMerge w:val="restart"/>
            <w:vAlign w:val="bottom"/>
          </w:tcPr>
          <w:p w:rsidR="00AC12B4" w:rsidRDefault="00C27636">
            <w:pPr>
              <w:ind w:left="20"/>
              <w:rPr>
                <w:sz w:val="20"/>
                <w:szCs w:val="20"/>
              </w:rPr>
            </w:pPr>
            <w:r>
              <w:rPr>
                <w:rFonts w:ascii="Comic Sans MS" w:eastAsia="Comic Sans MS" w:hAnsi="Comic Sans MS" w:cs="Comic Sans MS"/>
                <w:sz w:val="20"/>
                <w:szCs w:val="20"/>
              </w:rPr>
              <w:t>aucunes</w:t>
            </w:r>
          </w:p>
        </w:tc>
        <w:tc>
          <w:tcPr>
            <w:tcW w:w="180" w:type="dxa"/>
            <w:vAlign w:val="bottom"/>
          </w:tcPr>
          <w:p w:rsidR="00AC12B4" w:rsidRDefault="00AC12B4">
            <w:pPr>
              <w:rPr>
                <w:sz w:val="10"/>
                <w:szCs w:val="10"/>
              </w:rPr>
            </w:pPr>
          </w:p>
        </w:tc>
        <w:tc>
          <w:tcPr>
            <w:tcW w:w="1420" w:type="dxa"/>
            <w:gridSpan w:val="2"/>
            <w:vMerge w:val="restart"/>
            <w:tcBorders>
              <w:right w:val="single" w:sz="8" w:space="0" w:color="C9D11D"/>
            </w:tcBorders>
            <w:vAlign w:val="bottom"/>
          </w:tcPr>
          <w:p w:rsidR="00AC12B4" w:rsidRDefault="00C27636">
            <w:pPr>
              <w:ind w:right="100"/>
              <w:jc w:val="right"/>
              <w:rPr>
                <w:sz w:val="20"/>
                <w:szCs w:val="20"/>
              </w:rPr>
            </w:pPr>
            <w:r>
              <w:rPr>
                <w:rFonts w:ascii="Comic Sans MS" w:eastAsia="Comic Sans MS" w:hAnsi="Comic Sans MS" w:cs="Comic Sans MS"/>
                <w:sz w:val="20"/>
                <w:szCs w:val="20"/>
              </w:rPr>
              <w:t>données</w:t>
            </w:r>
          </w:p>
        </w:tc>
        <w:tc>
          <w:tcPr>
            <w:tcW w:w="0" w:type="dxa"/>
            <w:vAlign w:val="bottom"/>
          </w:tcPr>
          <w:p w:rsidR="00AC12B4" w:rsidRDefault="00AC12B4">
            <w:pPr>
              <w:rPr>
                <w:sz w:val="1"/>
                <w:szCs w:val="1"/>
              </w:rPr>
            </w:pPr>
          </w:p>
        </w:tc>
      </w:tr>
      <w:tr w:rsidR="00AC12B4">
        <w:trPr>
          <w:trHeight w:val="162"/>
        </w:trPr>
        <w:tc>
          <w:tcPr>
            <w:tcW w:w="2360" w:type="dxa"/>
            <w:vMerge/>
            <w:vAlign w:val="bottom"/>
          </w:tcPr>
          <w:p w:rsidR="00AC12B4" w:rsidRDefault="00AC12B4">
            <w:pPr>
              <w:rPr>
                <w:sz w:val="14"/>
                <w:szCs w:val="14"/>
              </w:rPr>
            </w:pPr>
          </w:p>
        </w:tc>
        <w:tc>
          <w:tcPr>
            <w:tcW w:w="2740" w:type="dxa"/>
            <w:gridSpan w:val="2"/>
            <w:vMerge/>
            <w:vAlign w:val="bottom"/>
          </w:tcPr>
          <w:p w:rsidR="00AC12B4" w:rsidRDefault="00AC12B4">
            <w:pPr>
              <w:rPr>
                <w:sz w:val="14"/>
                <w:szCs w:val="14"/>
              </w:rPr>
            </w:pPr>
          </w:p>
        </w:tc>
        <w:tc>
          <w:tcPr>
            <w:tcW w:w="600" w:type="dxa"/>
            <w:vMerge/>
            <w:vAlign w:val="bottom"/>
          </w:tcPr>
          <w:p w:rsidR="00AC12B4" w:rsidRDefault="00AC12B4">
            <w:pPr>
              <w:rPr>
                <w:sz w:val="14"/>
                <w:szCs w:val="14"/>
              </w:rPr>
            </w:pPr>
          </w:p>
        </w:tc>
        <w:tc>
          <w:tcPr>
            <w:tcW w:w="1260" w:type="dxa"/>
            <w:gridSpan w:val="3"/>
            <w:vMerge w:val="restart"/>
            <w:vAlign w:val="bottom"/>
          </w:tcPr>
          <w:p w:rsidR="00AC12B4" w:rsidRDefault="00C27636">
            <w:pPr>
              <w:ind w:left="360"/>
              <w:rPr>
                <w:sz w:val="20"/>
                <w:szCs w:val="20"/>
              </w:rPr>
            </w:pPr>
            <w:r>
              <w:rPr>
                <w:rFonts w:ascii="Calibri" w:eastAsia="Calibri" w:hAnsi="Calibri" w:cs="Calibri"/>
              </w:rPr>
              <w:t>écoulée)</w:t>
            </w:r>
          </w:p>
        </w:tc>
        <w:tc>
          <w:tcPr>
            <w:tcW w:w="760" w:type="dxa"/>
            <w:gridSpan w:val="2"/>
            <w:vMerge w:val="restart"/>
            <w:vAlign w:val="bottom"/>
          </w:tcPr>
          <w:p w:rsidR="00AC12B4" w:rsidRDefault="00C27636">
            <w:pPr>
              <w:ind w:right="210"/>
              <w:jc w:val="right"/>
              <w:rPr>
                <w:sz w:val="20"/>
                <w:szCs w:val="20"/>
              </w:rPr>
            </w:pPr>
            <w:r>
              <w:rPr>
                <w:rFonts w:ascii="Calibri" w:eastAsia="Calibri" w:hAnsi="Calibri" w:cs="Calibri"/>
              </w:rPr>
              <w:t>avec</w:t>
            </w:r>
          </w:p>
        </w:tc>
        <w:tc>
          <w:tcPr>
            <w:tcW w:w="140" w:type="dxa"/>
            <w:tcBorders>
              <w:right w:val="single" w:sz="8" w:space="0" w:color="C9D11D"/>
            </w:tcBorders>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1180" w:type="dxa"/>
            <w:gridSpan w:val="2"/>
            <w:vMerge/>
            <w:vAlign w:val="bottom"/>
          </w:tcPr>
          <w:p w:rsidR="00AC12B4" w:rsidRDefault="00AC12B4">
            <w:pPr>
              <w:rPr>
                <w:sz w:val="14"/>
                <w:szCs w:val="14"/>
              </w:rPr>
            </w:pPr>
          </w:p>
        </w:tc>
        <w:tc>
          <w:tcPr>
            <w:tcW w:w="180" w:type="dxa"/>
            <w:vAlign w:val="bottom"/>
          </w:tcPr>
          <w:p w:rsidR="00AC12B4" w:rsidRDefault="00AC12B4">
            <w:pPr>
              <w:rPr>
                <w:sz w:val="14"/>
                <w:szCs w:val="14"/>
              </w:rPr>
            </w:pPr>
          </w:p>
        </w:tc>
        <w:tc>
          <w:tcPr>
            <w:tcW w:w="1420" w:type="dxa"/>
            <w:gridSpan w:val="2"/>
            <w:vMerge/>
            <w:tcBorders>
              <w:right w:val="single" w:sz="8" w:space="0" w:color="C9D11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6"/>
        </w:trPr>
        <w:tc>
          <w:tcPr>
            <w:tcW w:w="5700" w:type="dxa"/>
            <w:gridSpan w:val="4"/>
            <w:vMerge w:val="restart"/>
            <w:vAlign w:val="bottom"/>
          </w:tcPr>
          <w:p w:rsidR="00AC12B4" w:rsidRPr="00C27636" w:rsidRDefault="00C27636">
            <w:pPr>
              <w:spacing w:line="258" w:lineRule="exact"/>
              <w:ind w:left="1460"/>
              <w:rPr>
                <w:sz w:val="20"/>
                <w:szCs w:val="20"/>
                <w:lang w:val="fr-BE"/>
              </w:rPr>
            </w:pPr>
            <w:r w:rsidRPr="00C27636">
              <w:rPr>
                <w:rFonts w:ascii="Calibri" w:eastAsia="Calibri" w:hAnsi="Calibri" w:cs="Calibri"/>
                <w:lang w:val="fr-BE"/>
              </w:rPr>
              <w:t>jour-même avec un médecin généraliste.</w:t>
            </w:r>
          </w:p>
        </w:tc>
        <w:tc>
          <w:tcPr>
            <w:tcW w:w="1260" w:type="dxa"/>
            <w:gridSpan w:val="3"/>
            <w:vMerge/>
            <w:vAlign w:val="bottom"/>
          </w:tcPr>
          <w:p w:rsidR="00AC12B4" w:rsidRPr="00C27636" w:rsidRDefault="00AC12B4">
            <w:pPr>
              <w:rPr>
                <w:sz w:val="9"/>
                <w:szCs w:val="9"/>
                <w:lang w:val="fr-BE"/>
              </w:rPr>
            </w:pPr>
          </w:p>
        </w:tc>
        <w:tc>
          <w:tcPr>
            <w:tcW w:w="760" w:type="dxa"/>
            <w:gridSpan w:val="2"/>
            <w:vMerge/>
            <w:vAlign w:val="bottom"/>
          </w:tcPr>
          <w:p w:rsidR="00AC12B4" w:rsidRPr="00C27636" w:rsidRDefault="00AC12B4">
            <w:pPr>
              <w:rPr>
                <w:sz w:val="9"/>
                <w:szCs w:val="9"/>
                <w:lang w:val="fr-BE"/>
              </w:rPr>
            </w:pPr>
          </w:p>
        </w:tc>
        <w:tc>
          <w:tcPr>
            <w:tcW w:w="140" w:type="dxa"/>
            <w:tcBorders>
              <w:right w:val="single" w:sz="8" w:space="0" w:color="C9D11D"/>
            </w:tcBorders>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1180" w:type="dxa"/>
            <w:gridSpan w:val="2"/>
            <w:vMerge w:val="restart"/>
            <w:vAlign w:val="bottom"/>
          </w:tcPr>
          <w:p w:rsidR="00AC12B4" w:rsidRDefault="00C27636">
            <w:pPr>
              <w:spacing w:line="268" w:lineRule="exact"/>
              <w:ind w:left="20"/>
              <w:rPr>
                <w:sz w:val="20"/>
                <w:szCs w:val="20"/>
              </w:rPr>
            </w:pPr>
            <w:r>
              <w:rPr>
                <w:rFonts w:ascii="Comic Sans MS" w:eastAsia="Comic Sans MS" w:hAnsi="Comic Sans MS" w:cs="Comic Sans MS"/>
                <w:sz w:val="20"/>
                <w:szCs w:val="20"/>
              </w:rPr>
              <w:t>pertinentes</w:t>
            </w:r>
          </w:p>
        </w:tc>
        <w:tc>
          <w:tcPr>
            <w:tcW w:w="180" w:type="dxa"/>
            <w:vAlign w:val="bottom"/>
          </w:tcPr>
          <w:p w:rsidR="00AC12B4" w:rsidRDefault="00AC12B4">
            <w:pPr>
              <w:rPr>
                <w:sz w:val="9"/>
                <w:szCs w:val="9"/>
              </w:rPr>
            </w:pPr>
          </w:p>
        </w:tc>
        <w:tc>
          <w:tcPr>
            <w:tcW w:w="700" w:type="dxa"/>
            <w:vMerge w:val="restart"/>
            <w:vAlign w:val="bottom"/>
          </w:tcPr>
          <w:p w:rsidR="00AC12B4" w:rsidRDefault="00C27636">
            <w:pPr>
              <w:spacing w:line="268" w:lineRule="exact"/>
              <w:ind w:right="193"/>
              <w:jc w:val="right"/>
              <w:rPr>
                <w:sz w:val="20"/>
                <w:szCs w:val="20"/>
              </w:rPr>
            </w:pPr>
            <w:r>
              <w:rPr>
                <w:rFonts w:ascii="Comic Sans MS" w:eastAsia="Comic Sans MS" w:hAnsi="Comic Sans MS" w:cs="Comic Sans MS"/>
                <w:sz w:val="20"/>
                <w:szCs w:val="20"/>
              </w:rPr>
              <w:t>ne</w:t>
            </w:r>
          </w:p>
        </w:tc>
        <w:tc>
          <w:tcPr>
            <w:tcW w:w="720" w:type="dxa"/>
            <w:vMerge w:val="restart"/>
            <w:tcBorders>
              <w:right w:val="single" w:sz="8" w:space="0" w:color="C9D11D"/>
            </w:tcBorders>
            <w:vAlign w:val="bottom"/>
          </w:tcPr>
          <w:p w:rsidR="00AC12B4" w:rsidRDefault="00C27636">
            <w:pPr>
              <w:spacing w:line="268" w:lineRule="exact"/>
              <w:ind w:right="100"/>
              <w:jc w:val="right"/>
              <w:rPr>
                <w:sz w:val="20"/>
                <w:szCs w:val="20"/>
              </w:rPr>
            </w:pPr>
            <w:r>
              <w:rPr>
                <w:rFonts w:ascii="Comic Sans MS" w:eastAsia="Comic Sans MS" w:hAnsi="Comic Sans MS" w:cs="Comic Sans MS"/>
                <w:sz w:val="20"/>
                <w:szCs w:val="20"/>
              </w:rPr>
              <w:t>sont</w:t>
            </w:r>
          </w:p>
        </w:tc>
        <w:tc>
          <w:tcPr>
            <w:tcW w:w="0" w:type="dxa"/>
            <w:vAlign w:val="bottom"/>
          </w:tcPr>
          <w:p w:rsidR="00AC12B4" w:rsidRDefault="00AC12B4">
            <w:pPr>
              <w:rPr>
                <w:sz w:val="1"/>
                <w:szCs w:val="1"/>
              </w:rPr>
            </w:pPr>
          </w:p>
        </w:tc>
      </w:tr>
      <w:tr w:rsidR="00AC12B4">
        <w:trPr>
          <w:trHeight w:val="161"/>
        </w:trPr>
        <w:tc>
          <w:tcPr>
            <w:tcW w:w="5700" w:type="dxa"/>
            <w:gridSpan w:val="4"/>
            <w:vMerge/>
            <w:vAlign w:val="bottom"/>
          </w:tcPr>
          <w:p w:rsidR="00AC12B4" w:rsidRDefault="00AC12B4">
            <w:pPr>
              <w:rPr>
                <w:sz w:val="13"/>
                <w:szCs w:val="13"/>
              </w:rPr>
            </w:pPr>
          </w:p>
        </w:tc>
        <w:tc>
          <w:tcPr>
            <w:tcW w:w="820" w:type="dxa"/>
            <w:vMerge w:val="restart"/>
            <w:vAlign w:val="bottom"/>
          </w:tcPr>
          <w:p w:rsidR="00AC12B4" w:rsidRDefault="00C27636">
            <w:pPr>
              <w:ind w:left="360"/>
              <w:rPr>
                <w:sz w:val="20"/>
                <w:szCs w:val="20"/>
              </w:rPr>
            </w:pPr>
            <w:r>
              <w:rPr>
                <w:rFonts w:ascii="Calibri" w:eastAsia="Calibri" w:hAnsi="Calibri" w:cs="Calibri"/>
              </w:rPr>
              <w:t>un</w:t>
            </w:r>
          </w:p>
        </w:tc>
        <w:tc>
          <w:tcPr>
            <w:tcW w:w="1200" w:type="dxa"/>
            <w:gridSpan w:val="4"/>
            <w:vMerge w:val="restart"/>
            <w:vAlign w:val="bottom"/>
          </w:tcPr>
          <w:p w:rsidR="00AC12B4" w:rsidRDefault="00C27636">
            <w:pPr>
              <w:ind w:right="210"/>
              <w:jc w:val="right"/>
              <w:rPr>
                <w:sz w:val="20"/>
                <w:szCs w:val="20"/>
              </w:rPr>
            </w:pPr>
            <w:r>
              <w:rPr>
                <w:rFonts w:ascii="Calibri" w:eastAsia="Calibri" w:hAnsi="Calibri" w:cs="Calibri"/>
              </w:rPr>
              <w:t>médecin.</w:t>
            </w:r>
          </w:p>
        </w:tc>
        <w:tc>
          <w:tcPr>
            <w:tcW w:w="140" w:type="dxa"/>
            <w:tcBorders>
              <w:right w:val="single" w:sz="8" w:space="0" w:color="C9D11D"/>
            </w:tcBorders>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1180" w:type="dxa"/>
            <w:gridSpan w:val="2"/>
            <w:vMerge/>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700" w:type="dxa"/>
            <w:vMerge/>
            <w:vAlign w:val="bottom"/>
          </w:tcPr>
          <w:p w:rsidR="00AC12B4" w:rsidRDefault="00AC12B4">
            <w:pPr>
              <w:rPr>
                <w:sz w:val="13"/>
                <w:szCs w:val="13"/>
              </w:rPr>
            </w:pPr>
          </w:p>
        </w:tc>
        <w:tc>
          <w:tcPr>
            <w:tcW w:w="720" w:type="dxa"/>
            <w:vMerge/>
            <w:tcBorders>
              <w:right w:val="single" w:sz="8" w:space="0" w:color="C9D11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08"/>
        </w:trPr>
        <w:tc>
          <w:tcPr>
            <w:tcW w:w="5700" w:type="dxa"/>
            <w:gridSpan w:val="4"/>
            <w:vMerge w:val="restart"/>
            <w:vAlign w:val="bottom"/>
          </w:tcPr>
          <w:p w:rsidR="00AC12B4" w:rsidRPr="00C27636" w:rsidRDefault="00C27636">
            <w:pPr>
              <w:spacing w:line="294" w:lineRule="exact"/>
              <w:ind w:left="1460"/>
              <w:rPr>
                <w:sz w:val="20"/>
                <w:szCs w:val="20"/>
                <w:lang w:val="fr-BE"/>
              </w:rPr>
            </w:pPr>
            <w:r w:rsidRPr="00C27636">
              <w:rPr>
                <w:rFonts w:ascii="Calibri" w:eastAsia="Calibri" w:hAnsi="Calibri" w:cs="Calibri"/>
                <w:lang w:val="fr-BE"/>
              </w:rPr>
              <w:t>Cependant, le nombre limité de réponses</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tc>
        <w:tc>
          <w:tcPr>
            <w:tcW w:w="820" w:type="dxa"/>
            <w:vMerge/>
            <w:vAlign w:val="bottom"/>
          </w:tcPr>
          <w:p w:rsidR="00AC12B4" w:rsidRPr="00C27636" w:rsidRDefault="00AC12B4">
            <w:pPr>
              <w:rPr>
                <w:sz w:val="9"/>
                <w:szCs w:val="9"/>
                <w:lang w:val="fr-BE"/>
              </w:rPr>
            </w:pPr>
          </w:p>
        </w:tc>
        <w:tc>
          <w:tcPr>
            <w:tcW w:w="1200" w:type="dxa"/>
            <w:gridSpan w:val="4"/>
            <w:vMerge/>
            <w:vAlign w:val="bottom"/>
          </w:tcPr>
          <w:p w:rsidR="00AC12B4" w:rsidRPr="00C27636" w:rsidRDefault="00AC12B4">
            <w:pPr>
              <w:rPr>
                <w:sz w:val="9"/>
                <w:szCs w:val="9"/>
                <w:lang w:val="fr-BE"/>
              </w:rPr>
            </w:pPr>
          </w:p>
        </w:tc>
        <w:tc>
          <w:tcPr>
            <w:tcW w:w="140" w:type="dxa"/>
            <w:tcBorders>
              <w:right w:val="single" w:sz="8" w:space="0" w:color="C9D11D"/>
            </w:tcBorders>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2780" w:type="dxa"/>
            <w:gridSpan w:val="5"/>
            <w:vMerge w:val="restart"/>
            <w:tcBorders>
              <w:right w:val="single" w:sz="8" w:space="0" w:color="C9D11D"/>
            </w:tcBorders>
            <w:vAlign w:val="bottom"/>
          </w:tcPr>
          <w:p w:rsidR="00AC12B4" w:rsidRDefault="00C27636">
            <w:pPr>
              <w:ind w:left="20"/>
              <w:rPr>
                <w:sz w:val="20"/>
                <w:szCs w:val="20"/>
              </w:rPr>
            </w:pPr>
            <w:r>
              <w:rPr>
                <w:rFonts w:ascii="Comic Sans MS" w:eastAsia="Comic Sans MS" w:hAnsi="Comic Sans MS" w:cs="Comic Sans MS"/>
                <w:sz w:val="20"/>
                <w:szCs w:val="20"/>
              </w:rPr>
              <w:t>disponibles actuellement.</w:t>
            </w:r>
          </w:p>
        </w:tc>
        <w:tc>
          <w:tcPr>
            <w:tcW w:w="0" w:type="dxa"/>
            <w:vAlign w:val="bottom"/>
          </w:tcPr>
          <w:p w:rsidR="00AC12B4" w:rsidRDefault="00AC12B4">
            <w:pPr>
              <w:rPr>
                <w:sz w:val="1"/>
                <w:szCs w:val="1"/>
              </w:rPr>
            </w:pPr>
          </w:p>
        </w:tc>
      </w:tr>
      <w:tr w:rsidR="00AC12B4">
        <w:trPr>
          <w:trHeight w:val="187"/>
        </w:trPr>
        <w:tc>
          <w:tcPr>
            <w:tcW w:w="5700" w:type="dxa"/>
            <w:gridSpan w:val="4"/>
            <w:vMerge/>
            <w:vAlign w:val="bottom"/>
          </w:tcPr>
          <w:p w:rsidR="00AC12B4" w:rsidRDefault="00AC12B4">
            <w:pPr>
              <w:rPr>
                <w:sz w:val="16"/>
                <w:szCs w:val="16"/>
              </w:rPr>
            </w:pPr>
          </w:p>
        </w:tc>
        <w:tc>
          <w:tcPr>
            <w:tcW w:w="820" w:type="dxa"/>
            <w:vMerge w:val="restart"/>
            <w:vAlign w:val="bottom"/>
          </w:tcPr>
          <w:p w:rsidR="00AC12B4" w:rsidRDefault="00C27636">
            <w:pPr>
              <w:ind w:left="360"/>
              <w:rPr>
                <w:sz w:val="20"/>
                <w:szCs w:val="20"/>
              </w:rPr>
            </w:pPr>
            <w:r>
              <w:rPr>
                <w:rFonts w:ascii="Calibri" w:eastAsia="Calibri" w:hAnsi="Calibri" w:cs="Calibri"/>
              </w:rPr>
              <w:t>Ceci</w:t>
            </w:r>
          </w:p>
        </w:tc>
        <w:tc>
          <w:tcPr>
            <w:tcW w:w="180" w:type="dxa"/>
            <w:vAlign w:val="bottom"/>
          </w:tcPr>
          <w:p w:rsidR="00AC12B4" w:rsidRDefault="00AC12B4">
            <w:pPr>
              <w:rPr>
                <w:sz w:val="16"/>
                <w:szCs w:val="16"/>
              </w:rPr>
            </w:pPr>
          </w:p>
        </w:tc>
        <w:tc>
          <w:tcPr>
            <w:tcW w:w="260" w:type="dxa"/>
            <w:vAlign w:val="bottom"/>
          </w:tcPr>
          <w:p w:rsidR="00AC12B4" w:rsidRDefault="00AC12B4">
            <w:pPr>
              <w:rPr>
                <w:sz w:val="16"/>
                <w:szCs w:val="16"/>
              </w:rPr>
            </w:pPr>
          </w:p>
        </w:tc>
        <w:tc>
          <w:tcPr>
            <w:tcW w:w="760" w:type="dxa"/>
            <w:gridSpan w:val="2"/>
            <w:vMerge w:val="restart"/>
            <w:vAlign w:val="bottom"/>
          </w:tcPr>
          <w:p w:rsidR="00AC12B4" w:rsidRDefault="00C27636">
            <w:pPr>
              <w:ind w:right="210"/>
              <w:jc w:val="right"/>
              <w:rPr>
                <w:sz w:val="20"/>
                <w:szCs w:val="20"/>
              </w:rPr>
            </w:pPr>
            <w:r>
              <w:rPr>
                <w:rFonts w:ascii="Calibri" w:eastAsia="Calibri" w:hAnsi="Calibri" w:cs="Calibri"/>
                <w:w w:val="99"/>
              </w:rPr>
              <w:t>pour</w:t>
            </w:r>
          </w:p>
        </w:tc>
        <w:tc>
          <w:tcPr>
            <w:tcW w:w="140" w:type="dxa"/>
            <w:tcBorders>
              <w:right w:val="single" w:sz="8" w:space="0" w:color="C9D11D"/>
            </w:tcBorders>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2780" w:type="dxa"/>
            <w:gridSpan w:val="5"/>
            <w:vMerge/>
            <w:tcBorders>
              <w:right w:val="single" w:sz="8" w:space="0" w:color="C9D11D"/>
            </w:tcBorders>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82"/>
        </w:trPr>
        <w:tc>
          <w:tcPr>
            <w:tcW w:w="3660" w:type="dxa"/>
            <w:gridSpan w:val="2"/>
            <w:vMerge w:val="restart"/>
            <w:vAlign w:val="bottom"/>
          </w:tcPr>
          <w:p w:rsidR="00AC12B4" w:rsidRDefault="00C27636">
            <w:pPr>
              <w:spacing w:line="211" w:lineRule="exact"/>
              <w:ind w:left="1460"/>
              <w:rPr>
                <w:sz w:val="20"/>
                <w:szCs w:val="20"/>
              </w:rPr>
            </w:pPr>
            <w:r>
              <w:rPr>
                <w:rFonts w:ascii="Calibri" w:eastAsia="Calibri" w:hAnsi="Calibri" w:cs="Calibri"/>
              </w:rPr>
              <w:t>particulièrement en ce</w:t>
            </w:r>
          </w:p>
        </w:tc>
        <w:tc>
          <w:tcPr>
            <w:tcW w:w="1440" w:type="dxa"/>
            <w:vMerge w:val="restart"/>
            <w:vAlign w:val="bottom"/>
          </w:tcPr>
          <w:p w:rsidR="00AC12B4" w:rsidRDefault="00C27636">
            <w:pPr>
              <w:spacing w:line="211" w:lineRule="exact"/>
              <w:jc w:val="center"/>
              <w:rPr>
                <w:sz w:val="20"/>
                <w:szCs w:val="20"/>
              </w:rPr>
            </w:pPr>
            <w:r>
              <w:rPr>
                <w:rFonts w:ascii="Calibri" w:eastAsia="Calibri" w:hAnsi="Calibri" w:cs="Calibri"/>
              </w:rPr>
              <w:t>qui concerne</w:t>
            </w:r>
          </w:p>
        </w:tc>
        <w:tc>
          <w:tcPr>
            <w:tcW w:w="600" w:type="dxa"/>
            <w:vMerge w:val="restart"/>
            <w:vAlign w:val="bottom"/>
          </w:tcPr>
          <w:p w:rsidR="00AC12B4" w:rsidRDefault="00C27636">
            <w:pPr>
              <w:spacing w:line="211" w:lineRule="exact"/>
              <w:ind w:right="250"/>
              <w:jc w:val="right"/>
              <w:rPr>
                <w:sz w:val="20"/>
                <w:szCs w:val="20"/>
              </w:rPr>
            </w:pPr>
            <w:r>
              <w:rPr>
                <w:rFonts w:ascii="Calibri" w:eastAsia="Calibri" w:hAnsi="Calibri" w:cs="Calibri"/>
                <w:w w:val="89"/>
              </w:rPr>
              <w:t>les</w:t>
            </w:r>
          </w:p>
        </w:tc>
        <w:tc>
          <w:tcPr>
            <w:tcW w:w="820" w:type="dxa"/>
            <w:vMerge/>
            <w:vAlign w:val="bottom"/>
          </w:tcPr>
          <w:p w:rsidR="00AC12B4" w:rsidRDefault="00AC12B4">
            <w:pPr>
              <w:rPr>
                <w:sz w:val="7"/>
                <w:szCs w:val="7"/>
              </w:rPr>
            </w:pPr>
          </w:p>
        </w:tc>
        <w:tc>
          <w:tcPr>
            <w:tcW w:w="18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760" w:type="dxa"/>
            <w:gridSpan w:val="2"/>
            <w:vMerge/>
            <w:vAlign w:val="bottom"/>
          </w:tcPr>
          <w:p w:rsidR="00AC12B4" w:rsidRDefault="00AC12B4">
            <w:pPr>
              <w:rPr>
                <w:sz w:val="7"/>
                <w:szCs w:val="7"/>
              </w:rPr>
            </w:pPr>
          </w:p>
        </w:tc>
        <w:tc>
          <w:tcPr>
            <w:tcW w:w="140" w:type="dxa"/>
            <w:tcBorders>
              <w:right w:val="single" w:sz="8" w:space="0" w:color="C9D11D"/>
            </w:tcBorders>
            <w:vAlign w:val="bottom"/>
          </w:tcPr>
          <w:p w:rsidR="00AC12B4" w:rsidRDefault="00AC12B4">
            <w:pPr>
              <w:rPr>
                <w:sz w:val="7"/>
                <w:szCs w:val="7"/>
              </w:rPr>
            </w:pPr>
          </w:p>
        </w:tc>
        <w:tc>
          <w:tcPr>
            <w:tcW w:w="1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90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700" w:type="dxa"/>
            <w:vAlign w:val="bottom"/>
          </w:tcPr>
          <w:p w:rsidR="00AC12B4" w:rsidRDefault="00AC12B4">
            <w:pPr>
              <w:rPr>
                <w:sz w:val="7"/>
                <w:szCs w:val="7"/>
              </w:rPr>
            </w:pPr>
          </w:p>
        </w:tc>
        <w:tc>
          <w:tcPr>
            <w:tcW w:w="720" w:type="dxa"/>
            <w:tcBorders>
              <w:right w:val="single" w:sz="8" w:space="0" w:color="C9D11D"/>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49"/>
        </w:trPr>
        <w:tc>
          <w:tcPr>
            <w:tcW w:w="3660" w:type="dxa"/>
            <w:gridSpan w:val="2"/>
            <w:vMerge/>
            <w:vAlign w:val="bottom"/>
          </w:tcPr>
          <w:p w:rsidR="00AC12B4" w:rsidRDefault="00AC12B4">
            <w:pPr>
              <w:rPr>
                <w:sz w:val="12"/>
                <w:szCs w:val="12"/>
              </w:rPr>
            </w:pPr>
          </w:p>
        </w:tc>
        <w:tc>
          <w:tcPr>
            <w:tcW w:w="1440" w:type="dxa"/>
            <w:vMerge/>
            <w:vAlign w:val="bottom"/>
          </w:tcPr>
          <w:p w:rsidR="00AC12B4" w:rsidRDefault="00AC12B4">
            <w:pPr>
              <w:rPr>
                <w:sz w:val="12"/>
                <w:szCs w:val="12"/>
              </w:rPr>
            </w:pPr>
          </w:p>
        </w:tc>
        <w:tc>
          <w:tcPr>
            <w:tcW w:w="600" w:type="dxa"/>
            <w:vMerge/>
            <w:vAlign w:val="bottom"/>
          </w:tcPr>
          <w:p w:rsidR="00AC12B4" w:rsidRDefault="00AC12B4">
            <w:pPr>
              <w:rPr>
                <w:sz w:val="12"/>
                <w:szCs w:val="12"/>
              </w:rPr>
            </w:pPr>
          </w:p>
        </w:tc>
        <w:tc>
          <w:tcPr>
            <w:tcW w:w="1000" w:type="dxa"/>
            <w:gridSpan w:val="2"/>
            <w:vMerge w:val="restart"/>
            <w:vAlign w:val="bottom"/>
          </w:tcPr>
          <w:p w:rsidR="00AC12B4" w:rsidRDefault="00C27636">
            <w:pPr>
              <w:spacing w:line="267" w:lineRule="exact"/>
              <w:ind w:left="360"/>
              <w:rPr>
                <w:sz w:val="20"/>
                <w:szCs w:val="20"/>
              </w:rPr>
            </w:pPr>
            <w:r>
              <w:rPr>
                <w:rFonts w:ascii="Calibri" w:eastAsia="Calibri" w:hAnsi="Calibri" w:cs="Calibri"/>
              </w:rPr>
              <w:t>éviter</w:t>
            </w:r>
          </w:p>
        </w:tc>
        <w:tc>
          <w:tcPr>
            <w:tcW w:w="260" w:type="dxa"/>
            <w:vMerge w:val="restart"/>
            <w:vAlign w:val="bottom"/>
          </w:tcPr>
          <w:p w:rsidR="00AC12B4" w:rsidRDefault="00C27636">
            <w:pPr>
              <w:spacing w:line="267" w:lineRule="exact"/>
              <w:rPr>
                <w:sz w:val="20"/>
                <w:szCs w:val="20"/>
              </w:rPr>
            </w:pPr>
            <w:r>
              <w:rPr>
                <w:rFonts w:ascii="Calibri" w:eastAsia="Calibri" w:hAnsi="Calibri" w:cs="Calibri"/>
              </w:rPr>
              <w:t>le</w:t>
            </w:r>
          </w:p>
        </w:tc>
        <w:tc>
          <w:tcPr>
            <w:tcW w:w="760" w:type="dxa"/>
            <w:gridSpan w:val="2"/>
            <w:vMerge w:val="restart"/>
            <w:vAlign w:val="bottom"/>
          </w:tcPr>
          <w:p w:rsidR="00AC12B4" w:rsidRDefault="00C27636">
            <w:pPr>
              <w:spacing w:line="267" w:lineRule="exact"/>
              <w:ind w:right="210"/>
              <w:jc w:val="right"/>
              <w:rPr>
                <w:sz w:val="20"/>
                <w:szCs w:val="20"/>
              </w:rPr>
            </w:pPr>
            <w:r>
              <w:rPr>
                <w:rFonts w:ascii="Calibri" w:eastAsia="Calibri" w:hAnsi="Calibri" w:cs="Calibri"/>
              </w:rPr>
              <w:t>biais</w:t>
            </w:r>
          </w:p>
        </w:tc>
        <w:tc>
          <w:tcPr>
            <w:tcW w:w="140" w:type="dxa"/>
            <w:tcBorders>
              <w:right w:val="single" w:sz="8" w:space="0" w:color="C9D11D"/>
            </w:tcBorders>
            <w:vAlign w:val="bottom"/>
          </w:tcPr>
          <w:p w:rsidR="00AC12B4" w:rsidRDefault="00AC12B4">
            <w:pPr>
              <w:rPr>
                <w:sz w:val="12"/>
                <w:szCs w:val="12"/>
              </w:rPr>
            </w:pPr>
          </w:p>
        </w:tc>
        <w:tc>
          <w:tcPr>
            <w:tcW w:w="120" w:type="dxa"/>
            <w:tcBorders>
              <w:bottom w:val="single" w:sz="8" w:space="0" w:color="C9D11D"/>
            </w:tcBorders>
            <w:vAlign w:val="bottom"/>
          </w:tcPr>
          <w:p w:rsidR="00AC12B4" w:rsidRDefault="00AC12B4">
            <w:pPr>
              <w:rPr>
                <w:sz w:val="12"/>
                <w:szCs w:val="12"/>
              </w:rPr>
            </w:pPr>
          </w:p>
        </w:tc>
        <w:tc>
          <w:tcPr>
            <w:tcW w:w="280" w:type="dxa"/>
            <w:tcBorders>
              <w:bottom w:val="single" w:sz="8" w:space="0" w:color="C9D11D"/>
            </w:tcBorders>
            <w:vAlign w:val="bottom"/>
          </w:tcPr>
          <w:p w:rsidR="00AC12B4" w:rsidRDefault="00AC12B4">
            <w:pPr>
              <w:rPr>
                <w:sz w:val="12"/>
                <w:szCs w:val="12"/>
              </w:rPr>
            </w:pPr>
          </w:p>
        </w:tc>
        <w:tc>
          <w:tcPr>
            <w:tcW w:w="900" w:type="dxa"/>
            <w:tcBorders>
              <w:bottom w:val="single" w:sz="8" w:space="0" w:color="C9D11D"/>
            </w:tcBorders>
            <w:vAlign w:val="bottom"/>
          </w:tcPr>
          <w:p w:rsidR="00AC12B4" w:rsidRDefault="00AC12B4">
            <w:pPr>
              <w:rPr>
                <w:sz w:val="12"/>
                <w:szCs w:val="12"/>
              </w:rPr>
            </w:pPr>
          </w:p>
        </w:tc>
        <w:tc>
          <w:tcPr>
            <w:tcW w:w="180" w:type="dxa"/>
            <w:tcBorders>
              <w:bottom w:val="single" w:sz="8" w:space="0" w:color="C9D11D"/>
            </w:tcBorders>
            <w:vAlign w:val="bottom"/>
          </w:tcPr>
          <w:p w:rsidR="00AC12B4" w:rsidRDefault="00AC12B4">
            <w:pPr>
              <w:rPr>
                <w:sz w:val="12"/>
                <w:szCs w:val="12"/>
              </w:rPr>
            </w:pPr>
          </w:p>
        </w:tc>
        <w:tc>
          <w:tcPr>
            <w:tcW w:w="700" w:type="dxa"/>
            <w:tcBorders>
              <w:bottom w:val="single" w:sz="8" w:space="0" w:color="C9D11D"/>
            </w:tcBorders>
            <w:vAlign w:val="bottom"/>
          </w:tcPr>
          <w:p w:rsidR="00AC12B4" w:rsidRDefault="00AC12B4">
            <w:pPr>
              <w:rPr>
                <w:sz w:val="12"/>
                <w:szCs w:val="12"/>
              </w:rPr>
            </w:pPr>
          </w:p>
        </w:tc>
        <w:tc>
          <w:tcPr>
            <w:tcW w:w="720" w:type="dxa"/>
            <w:tcBorders>
              <w:bottom w:val="single" w:sz="8" w:space="0" w:color="C9D11D"/>
              <w:right w:val="single" w:sz="8" w:space="0" w:color="C9D11D"/>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97"/>
        </w:trPr>
        <w:tc>
          <w:tcPr>
            <w:tcW w:w="2360" w:type="dxa"/>
            <w:vMerge w:val="restart"/>
            <w:vAlign w:val="bottom"/>
          </w:tcPr>
          <w:p w:rsidR="00AC12B4" w:rsidRDefault="00C27636">
            <w:pPr>
              <w:spacing w:line="251" w:lineRule="exact"/>
              <w:ind w:left="1460"/>
              <w:rPr>
                <w:sz w:val="20"/>
                <w:szCs w:val="20"/>
              </w:rPr>
            </w:pPr>
            <w:r>
              <w:rPr>
                <w:rFonts w:ascii="Calibri" w:eastAsia="Calibri" w:hAnsi="Calibri" w:cs="Calibri"/>
              </w:rPr>
              <w:t>médec</w:t>
            </w:r>
            <w:r>
              <w:rPr>
                <w:rFonts w:ascii="Calibri" w:eastAsia="Calibri" w:hAnsi="Calibri" w:cs="Calibri"/>
              </w:rPr>
              <w:lastRenderedPageBreak/>
              <w:t>ins</w:t>
            </w:r>
          </w:p>
        </w:tc>
        <w:tc>
          <w:tcPr>
            <w:tcW w:w="1300" w:type="dxa"/>
            <w:vMerge w:val="restart"/>
            <w:vAlign w:val="bottom"/>
          </w:tcPr>
          <w:p w:rsidR="00AC12B4" w:rsidRDefault="00C27636">
            <w:pPr>
              <w:spacing w:line="251" w:lineRule="exact"/>
              <w:ind w:left="220"/>
              <w:rPr>
                <w:sz w:val="20"/>
                <w:szCs w:val="20"/>
              </w:rPr>
            </w:pPr>
            <w:r>
              <w:rPr>
                <w:rFonts w:ascii="Calibri" w:eastAsia="Calibri" w:hAnsi="Calibri" w:cs="Calibri"/>
              </w:rPr>
              <w:lastRenderedPageBreak/>
              <w:t>spécialistes</w:t>
            </w:r>
          </w:p>
        </w:tc>
        <w:tc>
          <w:tcPr>
            <w:tcW w:w="1440" w:type="dxa"/>
            <w:vMerge w:val="restart"/>
            <w:vAlign w:val="bottom"/>
          </w:tcPr>
          <w:p w:rsidR="00AC12B4" w:rsidRDefault="00C27636">
            <w:pPr>
              <w:spacing w:line="251" w:lineRule="exact"/>
              <w:jc w:val="center"/>
              <w:rPr>
                <w:sz w:val="20"/>
                <w:szCs w:val="20"/>
              </w:rPr>
            </w:pPr>
            <w:r>
              <w:rPr>
                <w:rFonts w:ascii="Calibri" w:eastAsia="Calibri" w:hAnsi="Calibri" w:cs="Calibri"/>
                <w:w w:val="98"/>
              </w:rPr>
              <w:t>(seulement</w:t>
            </w:r>
          </w:p>
        </w:tc>
        <w:tc>
          <w:tcPr>
            <w:tcW w:w="600" w:type="dxa"/>
            <w:vMerge w:val="restart"/>
            <w:vAlign w:val="bottom"/>
          </w:tcPr>
          <w:p w:rsidR="00AC12B4" w:rsidRDefault="00C27636">
            <w:pPr>
              <w:spacing w:line="251" w:lineRule="exact"/>
              <w:ind w:right="250"/>
              <w:jc w:val="right"/>
              <w:rPr>
                <w:sz w:val="20"/>
                <w:szCs w:val="20"/>
              </w:rPr>
            </w:pPr>
            <w:r>
              <w:rPr>
                <w:rFonts w:ascii="Calibri" w:eastAsia="Calibri" w:hAnsi="Calibri" w:cs="Calibri"/>
                <w:w w:val="98"/>
              </w:rPr>
              <w:t>40</w:t>
            </w:r>
          </w:p>
        </w:tc>
        <w:tc>
          <w:tcPr>
            <w:tcW w:w="1000" w:type="dxa"/>
            <w:gridSpan w:val="2"/>
            <w:vMerge/>
            <w:vAlign w:val="bottom"/>
          </w:tcPr>
          <w:p w:rsidR="00AC12B4" w:rsidRDefault="00AC12B4">
            <w:pPr>
              <w:rPr>
                <w:sz w:val="8"/>
                <w:szCs w:val="8"/>
              </w:rPr>
            </w:pPr>
          </w:p>
        </w:tc>
        <w:tc>
          <w:tcPr>
            <w:tcW w:w="260" w:type="dxa"/>
            <w:vMerge/>
            <w:vAlign w:val="bottom"/>
          </w:tcPr>
          <w:p w:rsidR="00AC12B4" w:rsidRDefault="00AC12B4">
            <w:pPr>
              <w:rPr>
                <w:sz w:val="8"/>
                <w:szCs w:val="8"/>
              </w:rPr>
            </w:pPr>
          </w:p>
        </w:tc>
        <w:tc>
          <w:tcPr>
            <w:tcW w:w="760" w:type="dxa"/>
            <w:gridSpan w:val="2"/>
            <w:vMerge/>
            <w:vAlign w:val="bottom"/>
          </w:tcPr>
          <w:p w:rsidR="00AC12B4" w:rsidRDefault="00AC12B4">
            <w:pPr>
              <w:rPr>
                <w:sz w:val="8"/>
                <w:szCs w:val="8"/>
              </w:rPr>
            </w:pPr>
          </w:p>
        </w:tc>
        <w:tc>
          <w:tcPr>
            <w:tcW w:w="14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700" w:type="dxa"/>
            <w:vAlign w:val="bottom"/>
          </w:tcPr>
          <w:p w:rsidR="00AC12B4" w:rsidRDefault="00AC12B4">
            <w:pPr>
              <w:rPr>
                <w:sz w:val="8"/>
                <w:szCs w:val="8"/>
              </w:rPr>
            </w:pPr>
          </w:p>
        </w:tc>
        <w:tc>
          <w:tcPr>
            <w:tcW w:w="72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54"/>
        </w:trPr>
        <w:tc>
          <w:tcPr>
            <w:tcW w:w="2360" w:type="dxa"/>
            <w:vMerge/>
            <w:vAlign w:val="bottom"/>
          </w:tcPr>
          <w:p w:rsidR="00AC12B4" w:rsidRDefault="00AC12B4">
            <w:pPr>
              <w:rPr>
                <w:sz w:val="13"/>
                <w:szCs w:val="13"/>
              </w:rPr>
            </w:pPr>
          </w:p>
        </w:tc>
        <w:tc>
          <w:tcPr>
            <w:tcW w:w="1300" w:type="dxa"/>
            <w:vMerge/>
            <w:vAlign w:val="bottom"/>
          </w:tcPr>
          <w:p w:rsidR="00AC12B4" w:rsidRDefault="00AC12B4">
            <w:pPr>
              <w:rPr>
                <w:sz w:val="13"/>
                <w:szCs w:val="13"/>
              </w:rPr>
            </w:pPr>
          </w:p>
        </w:tc>
        <w:tc>
          <w:tcPr>
            <w:tcW w:w="1440" w:type="dxa"/>
            <w:vMerge/>
            <w:vAlign w:val="bottom"/>
          </w:tcPr>
          <w:p w:rsidR="00AC12B4" w:rsidRDefault="00AC12B4">
            <w:pPr>
              <w:rPr>
                <w:sz w:val="13"/>
                <w:szCs w:val="13"/>
              </w:rPr>
            </w:pPr>
          </w:p>
        </w:tc>
        <w:tc>
          <w:tcPr>
            <w:tcW w:w="600" w:type="dxa"/>
            <w:vMerge/>
            <w:vAlign w:val="bottom"/>
          </w:tcPr>
          <w:p w:rsidR="00AC12B4" w:rsidRDefault="00AC12B4">
            <w:pPr>
              <w:rPr>
                <w:sz w:val="13"/>
                <w:szCs w:val="13"/>
              </w:rPr>
            </w:pPr>
          </w:p>
        </w:tc>
        <w:tc>
          <w:tcPr>
            <w:tcW w:w="2280" w:type="dxa"/>
            <w:gridSpan w:val="7"/>
            <w:vMerge w:val="restart"/>
            <w:vAlign w:val="bottom"/>
          </w:tcPr>
          <w:p w:rsidR="00AC12B4" w:rsidRDefault="00C27636">
            <w:pPr>
              <w:ind w:left="360"/>
              <w:rPr>
                <w:sz w:val="20"/>
                <w:szCs w:val="20"/>
              </w:rPr>
            </w:pPr>
            <w:r>
              <w:rPr>
                <w:rFonts w:ascii="Calibri" w:eastAsia="Calibri" w:hAnsi="Calibri" w:cs="Calibri"/>
              </w:rPr>
              <w:t>qu’entraînerait une</w:t>
            </w:r>
          </w:p>
        </w:tc>
        <w:tc>
          <w:tcPr>
            <w:tcW w:w="1180" w:type="dxa"/>
            <w:gridSpan w:val="2"/>
            <w:vMerge w:val="restart"/>
            <w:vAlign w:val="bottom"/>
          </w:tcPr>
          <w:p w:rsidR="00AC12B4" w:rsidRDefault="00C27636">
            <w:pPr>
              <w:ind w:left="20"/>
              <w:rPr>
                <w:sz w:val="20"/>
                <w:szCs w:val="20"/>
              </w:rPr>
            </w:pPr>
            <w:r>
              <w:rPr>
                <w:rFonts w:ascii="Calibri" w:eastAsia="Calibri" w:hAnsi="Calibri" w:cs="Calibri"/>
              </w:rPr>
              <w:t>question en</w:t>
            </w:r>
          </w:p>
        </w:tc>
        <w:tc>
          <w:tcPr>
            <w:tcW w:w="880" w:type="dxa"/>
            <w:gridSpan w:val="2"/>
            <w:vMerge w:val="restart"/>
            <w:vAlign w:val="bottom"/>
          </w:tcPr>
          <w:p w:rsidR="00AC12B4" w:rsidRDefault="00C27636">
            <w:pPr>
              <w:ind w:right="13"/>
              <w:jc w:val="right"/>
              <w:rPr>
                <w:sz w:val="20"/>
                <w:szCs w:val="20"/>
              </w:rPr>
            </w:pPr>
            <w:r>
              <w:rPr>
                <w:rFonts w:ascii="Calibri" w:eastAsia="Calibri" w:hAnsi="Calibri" w:cs="Calibri"/>
              </w:rPr>
              <w:t>rapport</w:t>
            </w:r>
          </w:p>
        </w:tc>
        <w:tc>
          <w:tcPr>
            <w:tcW w:w="72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5"/>
        </w:trPr>
        <w:tc>
          <w:tcPr>
            <w:tcW w:w="2360" w:type="dxa"/>
            <w:vMerge w:val="restart"/>
            <w:vAlign w:val="bottom"/>
          </w:tcPr>
          <w:p w:rsidR="00AC12B4" w:rsidRDefault="00C27636">
            <w:pPr>
              <w:spacing w:line="267" w:lineRule="exact"/>
              <w:ind w:left="1460"/>
              <w:rPr>
                <w:sz w:val="20"/>
                <w:szCs w:val="20"/>
              </w:rPr>
            </w:pPr>
            <w:r>
              <w:rPr>
                <w:rFonts w:ascii="Calibri" w:eastAsia="Calibri" w:hAnsi="Calibri" w:cs="Calibri"/>
                <w:w w:val="99"/>
              </w:rPr>
              <w:lastRenderedPageBreak/>
              <w:t>réponses)</w:t>
            </w:r>
          </w:p>
        </w:tc>
        <w:tc>
          <w:tcPr>
            <w:tcW w:w="2740" w:type="dxa"/>
            <w:gridSpan w:val="2"/>
            <w:vMerge w:val="restart"/>
            <w:vAlign w:val="bottom"/>
          </w:tcPr>
          <w:p w:rsidR="00AC12B4" w:rsidRDefault="00C27636">
            <w:pPr>
              <w:spacing w:line="267" w:lineRule="exact"/>
              <w:ind w:left="140"/>
              <w:rPr>
                <w:sz w:val="20"/>
                <w:szCs w:val="20"/>
              </w:rPr>
            </w:pPr>
            <w:r>
              <w:rPr>
                <w:rFonts w:ascii="Calibri" w:eastAsia="Calibri" w:hAnsi="Calibri" w:cs="Calibri"/>
              </w:rPr>
              <w:t>ne  nous  permettent  pas</w:t>
            </w:r>
          </w:p>
        </w:tc>
        <w:tc>
          <w:tcPr>
            <w:tcW w:w="600" w:type="dxa"/>
            <w:vMerge w:val="restart"/>
            <w:vAlign w:val="bottom"/>
          </w:tcPr>
          <w:p w:rsidR="00AC12B4" w:rsidRDefault="00C27636">
            <w:pPr>
              <w:spacing w:line="267" w:lineRule="exact"/>
              <w:ind w:right="250"/>
              <w:jc w:val="right"/>
              <w:rPr>
                <w:sz w:val="20"/>
                <w:szCs w:val="20"/>
              </w:rPr>
            </w:pPr>
            <w:r>
              <w:rPr>
                <w:rFonts w:ascii="Calibri" w:eastAsia="Calibri" w:hAnsi="Calibri" w:cs="Calibri"/>
                <w:w w:val="97"/>
              </w:rPr>
              <w:t>de</w:t>
            </w:r>
          </w:p>
        </w:tc>
        <w:tc>
          <w:tcPr>
            <w:tcW w:w="2280" w:type="dxa"/>
            <w:gridSpan w:val="7"/>
            <w:vMerge/>
            <w:vAlign w:val="bottom"/>
          </w:tcPr>
          <w:p w:rsidR="00AC12B4" w:rsidRDefault="00AC12B4">
            <w:pPr>
              <w:rPr>
                <w:sz w:val="10"/>
                <w:szCs w:val="10"/>
              </w:rPr>
            </w:pPr>
          </w:p>
        </w:tc>
        <w:tc>
          <w:tcPr>
            <w:tcW w:w="1180" w:type="dxa"/>
            <w:gridSpan w:val="2"/>
            <w:vMerge/>
            <w:vAlign w:val="bottom"/>
          </w:tcPr>
          <w:p w:rsidR="00AC12B4" w:rsidRDefault="00AC12B4">
            <w:pPr>
              <w:rPr>
                <w:sz w:val="10"/>
                <w:szCs w:val="10"/>
              </w:rPr>
            </w:pPr>
          </w:p>
        </w:tc>
        <w:tc>
          <w:tcPr>
            <w:tcW w:w="880" w:type="dxa"/>
            <w:gridSpan w:val="2"/>
            <w:vMerge/>
            <w:vAlign w:val="bottom"/>
          </w:tcPr>
          <w:p w:rsidR="00AC12B4" w:rsidRDefault="00AC12B4">
            <w:pPr>
              <w:rPr>
                <w:sz w:val="10"/>
                <w:szCs w:val="10"/>
              </w:rPr>
            </w:pPr>
          </w:p>
        </w:tc>
        <w:tc>
          <w:tcPr>
            <w:tcW w:w="72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151"/>
        </w:trPr>
        <w:tc>
          <w:tcPr>
            <w:tcW w:w="2360" w:type="dxa"/>
            <w:vMerge/>
            <w:vAlign w:val="bottom"/>
          </w:tcPr>
          <w:p w:rsidR="00AC12B4" w:rsidRDefault="00AC12B4">
            <w:pPr>
              <w:rPr>
                <w:sz w:val="13"/>
                <w:szCs w:val="13"/>
              </w:rPr>
            </w:pPr>
          </w:p>
        </w:tc>
        <w:tc>
          <w:tcPr>
            <w:tcW w:w="2740" w:type="dxa"/>
            <w:gridSpan w:val="2"/>
            <w:vMerge/>
            <w:vAlign w:val="bottom"/>
          </w:tcPr>
          <w:p w:rsidR="00AC12B4" w:rsidRDefault="00AC12B4">
            <w:pPr>
              <w:rPr>
                <w:sz w:val="13"/>
                <w:szCs w:val="13"/>
              </w:rPr>
            </w:pPr>
          </w:p>
        </w:tc>
        <w:tc>
          <w:tcPr>
            <w:tcW w:w="600" w:type="dxa"/>
            <w:vMerge/>
            <w:vAlign w:val="bottom"/>
          </w:tcPr>
          <w:p w:rsidR="00AC12B4" w:rsidRDefault="00AC12B4">
            <w:pPr>
              <w:rPr>
                <w:sz w:val="13"/>
                <w:szCs w:val="13"/>
              </w:rPr>
            </w:pPr>
          </w:p>
        </w:tc>
        <w:tc>
          <w:tcPr>
            <w:tcW w:w="4340" w:type="dxa"/>
            <w:gridSpan w:val="11"/>
            <w:vMerge w:val="restart"/>
            <w:vAlign w:val="bottom"/>
          </w:tcPr>
          <w:p w:rsidR="00AC12B4" w:rsidRPr="00C27636" w:rsidRDefault="00C27636">
            <w:pPr>
              <w:ind w:left="360"/>
              <w:rPr>
                <w:sz w:val="20"/>
                <w:szCs w:val="20"/>
                <w:lang w:val="fr-BE"/>
              </w:rPr>
            </w:pPr>
            <w:r w:rsidRPr="00C27636">
              <w:rPr>
                <w:rFonts w:ascii="Calibri" w:eastAsia="Calibri" w:hAnsi="Calibri" w:cs="Calibri"/>
                <w:lang w:val="fr-BE"/>
              </w:rPr>
              <w:t>avec toutes les consultations passées.</w:t>
            </w:r>
          </w:p>
        </w:tc>
        <w:tc>
          <w:tcPr>
            <w:tcW w:w="72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118"/>
        </w:trPr>
        <w:tc>
          <w:tcPr>
            <w:tcW w:w="5100" w:type="dxa"/>
            <w:gridSpan w:val="3"/>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réaliser une analyse pertinente et fiable.</w:t>
            </w:r>
          </w:p>
        </w:tc>
        <w:tc>
          <w:tcPr>
            <w:tcW w:w="600" w:type="dxa"/>
            <w:vAlign w:val="bottom"/>
          </w:tcPr>
          <w:p w:rsidR="00AC12B4" w:rsidRPr="00C27636" w:rsidRDefault="00AC12B4">
            <w:pPr>
              <w:rPr>
                <w:sz w:val="10"/>
                <w:szCs w:val="10"/>
                <w:lang w:val="fr-BE"/>
              </w:rPr>
            </w:pPr>
          </w:p>
        </w:tc>
        <w:tc>
          <w:tcPr>
            <w:tcW w:w="4340" w:type="dxa"/>
            <w:gridSpan w:val="11"/>
            <w:vMerge/>
            <w:vAlign w:val="bottom"/>
          </w:tcPr>
          <w:p w:rsidR="00AC12B4" w:rsidRPr="00C27636" w:rsidRDefault="00AC12B4">
            <w:pPr>
              <w:rPr>
                <w:sz w:val="10"/>
                <w:szCs w:val="10"/>
                <w:lang w:val="fr-BE"/>
              </w:rPr>
            </w:pPr>
          </w:p>
        </w:tc>
        <w:tc>
          <w:tcPr>
            <w:tcW w:w="720" w:type="dxa"/>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trPr>
          <w:trHeight w:val="151"/>
        </w:trPr>
        <w:tc>
          <w:tcPr>
            <w:tcW w:w="5100" w:type="dxa"/>
            <w:gridSpan w:val="3"/>
            <w:vMerge/>
            <w:vAlign w:val="bottom"/>
          </w:tcPr>
          <w:p w:rsidR="00AC12B4" w:rsidRPr="00C27636" w:rsidRDefault="00AC12B4">
            <w:pPr>
              <w:rPr>
                <w:sz w:val="13"/>
                <w:szCs w:val="13"/>
                <w:lang w:val="fr-BE"/>
              </w:rPr>
            </w:pPr>
          </w:p>
        </w:tc>
        <w:tc>
          <w:tcPr>
            <w:tcW w:w="600" w:type="dxa"/>
            <w:vAlign w:val="bottom"/>
          </w:tcPr>
          <w:p w:rsidR="00AC12B4" w:rsidRPr="00C27636" w:rsidRDefault="00AC12B4">
            <w:pPr>
              <w:rPr>
                <w:sz w:val="13"/>
                <w:szCs w:val="13"/>
                <w:lang w:val="fr-BE"/>
              </w:rPr>
            </w:pPr>
          </w:p>
        </w:tc>
        <w:tc>
          <w:tcPr>
            <w:tcW w:w="3460" w:type="dxa"/>
            <w:gridSpan w:val="9"/>
            <w:vMerge w:val="restart"/>
            <w:vAlign w:val="bottom"/>
          </w:tcPr>
          <w:p w:rsidR="00AC12B4" w:rsidRDefault="00C27636">
            <w:pPr>
              <w:ind w:left="720"/>
              <w:rPr>
                <w:sz w:val="20"/>
                <w:szCs w:val="20"/>
              </w:rPr>
            </w:pPr>
            <w:r>
              <w:rPr>
                <w:rFonts w:ascii="Wingdings" w:eastAsia="Wingdings" w:hAnsi="Wingdings" w:cs="Wingdings"/>
                <w:color w:val="C9D11D"/>
              </w:rPr>
              <w:t></w:t>
            </w:r>
            <w:r>
              <w:rPr>
                <w:rFonts w:ascii="Wingdings" w:eastAsia="Wingdings" w:hAnsi="Wingdings" w:cs="Wingdings"/>
                <w:color w:val="C9D11D"/>
              </w:rPr>
              <w:t></w:t>
            </w:r>
            <w:r>
              <w:rPr>
                <w:rFonts w:ascii="Cambria" w:eastAsia="Cambria" w:hAnsi="Cambria" w:cs="Cambria"/>
                <w:i/>
                <w:iCs/>
                <w:color w:val="C9D11D"/>
              </w:rPr>
              <w:t>Limite de la mesure</w:t>
            </w:r>
          </w:p>
        </w:tc>
        <w:tc>
          <w:tcPr>
            <w:tcW w:w="18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72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34"/>
        </w:trPr>
        <w:tc>
          <w:tcPr>
            <w:tcW w:w="3660" w:type="dxa"/>
            <w:gridSpan w:val="2"/>
            <w:vMerge w:val="restart"/>
            <w:vAlign w:val="bottom"/>
          </w:tcPr>
          <w:p w:rsidR="00AC12B4" w:rsidRDefault="00C27636">
            <w:pPr>
              <w:ind w:left="1460"/>
              <w:rPr>
                <w:sz w:val="20"/>
                <w:szCs w:val="20"/>
              </w:rPr>
            </w:pPr>
            <w:r>
              <w:rPr>
                <w:rFonts w:ascii="Cambria" w:eastAsia="Cambria" w:hAnsi="Cambria" w:cs="Cambria"/>
                <w:b/>
                <w:bCs/>
                <w:i/>
                <w:iCs/>
                <w:color w:val="919715"/>
                <w:sz w:val="26"/>
                <w:szCs w:val="26"/>
              </w:rPr>
              <w:t>Evolution</w:t>
            </w:r>
          </w:p>
        </w:tc>
        <w:tc>
          <w:tcPr>
            <w:tcW w:w="1440" w:type="dxa"/>
            <w:vAlign w:val="bottom"/>
          </w:tcPr>
          <w:p w:rsidR="00AC12B4" w:rsidRDefault="00AC12B4">
            <w:pPr>
              <w:rPr>
                <w:sz w:val="20"/>
                <w:szCs w:val="20"/>
              </w:rPr>
            </w:pPr>
          </w:p>
        </w:tc>
        <w:tc>
          <w:tcPr>
            <w:tcW w:w="600" w:type="dxa"/>
            <w:vAlign w:val="bottom"/>
          </w:tcPr>
          <w:p w:rsidR="00AC12B4" w:rsidRDefault="00AC12B4">
            <w:pPr>
              <w:rPr>
                <w:sz w:val="20"/>
                <w:szCs w:val="20"/>
              </w:rPr>
            </w:pPr>
          </w:p>
        </w:tc>
        <w:tc>
          <w:tcPr>
            <w:tcW w:w="3460" w:type="dxa"/>
            <w:gridSpan w:val="9"/>
            <w:vMerge/>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700" w:type="dxa"/>
            <w:vAlign w:val="bottom"/>
          </w:tcPr>
          <w:p w:rsidR="00AC12B4" w:rsidRDefault="00AC12B4">
            <w:pPr>
              <w:rPr>
                <w:sz w:val="20"/>
                <w:szCs w:val="20"/>
              </w:rPr>
            </w:pPr>
          </w:p>
        </w:tc>
        <w:tc>
          <w:tcPr>
            <w:tcW w:w="72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rsidRPr="00C27636">
        <w:trPr>
          <w:trHeight w:val="277"/>
        </w:trPr>
        <w:tc>
          <w:tcPr>
            <w:tcW w:w="3660" w:type="dxa"/>
            <w:gridSpan w:val="2"/>
            <w:vMerge/>
            <w:vAlign w:val="bottom"/>
          </w:tcPr>
          <w:p w:rsidR="00AC12B4" w:rsidRDefault="00AC12B4">
            <w:pPr>
              <w:rPr>
                <w:sz w:val="24"/>
                <w:szCs w:val="24"/>
              </w:rPr>
            </w:pPr>
          </w:p>
        </w:tc>
        <w:tc>
          <w:tcPr>
            <w:tcW w:w="1440" w:type="dxa"/>
            <w:vAlign w:val="bottom"/>
          </w:tcPr>
          <w:p w:rsidR="00AC12B4" w:rsidRDefault="00AC12B4">
            <w:pPr>
              <w:rPr>
                <w:sz w:val="24"/>
                <w:szCs w:val="24"/>
              </w:rPr>
            </w:pPr>
          </w:p>
        </w:tc>
        <w:tc>
          <w:tcPr>
            <w:tcW w:w="600" w:type="dxa"/>
            <w:vAlign w:val="bottom"/>
          </w:tcPr>
          <w:p w:rsidR="00AC12B4" w:rsidRDefault="00AC12B4">
            <w:pPr>
              <w:rPr>
                <w:sz w:val="24"/>
                <w:szCs w:val="24"/>
              </w:rPr>
            </w:pPr>
          </w:p>
        </w:tc>
        <w:tc>
          <w:tcPr>
            <w:tcW w:w="4340" w:type="dxa"/>
            <w:gridSpan w:val="11"/>
            <w:vMerge w:val="restart"/>
            <w:vAlign w:val="bottom"/>
          </w:tcPr>
          <w:p w:rsidR="00AC12B4" w:rsidRPr="00C27636" w:rsidRDefault="00C27636">
            <w:pPr>
              <w:ind w:left="360"/>
              <w:rPr>
                <w:sz w:val="20"/>
                <w:szCs w:val="20"/>
                <w:lang w:val="fr-BE"/>
              </w:rPr>
            </w:pPr>
            <w:r w:rsidRPr="00C27636">
              <w:rPr>
                <w:rFonts w:ascii="Calibri" w:eastAsia="Calibri" w:hAnsi="Calibri" w:cs="Calibri"/>
                <w:lang w:val="fr-BE"/>
              </w:rPr>
              <w:t>Les données actuelles comme récoltées</w:t>
            </w:r>
          </w:p>
        </w:tc>
        <w:tc>
          <w:tcPr>
            <w:tcW w:w="7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144"/>
        </w:trPr>
        <w:tc>
          <w:tcPr>
            <w:tcW w:w="2360" w:type="dxa"/>
            <w:vAlign w:val="bottom"/>
          </w:tcPr>
          <w:p w:rsidR="00AC12B4" w:rsidRPr="00C27636" w:rsidRDefault="00AC12B4">
            <w:pPr>
              <w:rPr>
                <w:sz w:val="12"/>
                <w:szCs w:val="12"/>
                <w:lang w:val="fr-BE"/>
              </w:rPr>
            </w:pPr>
          </w:p>
        </w:tc>
        <w:tc>
          <w:tcPr>
            <w:tcW w:w="1300" w:type="dxa"/>
            <w:vAlign w:val="bottom"/>
          </w:tcPr>
          <w:p w:rsidR="00AC12B4" w:rsidRPr="00C27636" w:rsidRDefault="00AC12B4">
            <w:pPr>
              <w:rPr>
                <w:sz w:val="12"/>
                <w:szCs w:val="12"/>
                <w:lang w:val="fr-BE"/>
              </w:rPr>
            </w:pPr>
          </w:p>
        </w:tc>
        <w:tc>
          <w:tcPr>
            <w:tcW w:w="1440" w:type="dxa"/>
            <w:vAlign w:val="bottom"/>
          </w:tcPr>
          <w:p w:rsidR="00AC12B4" w:rsidRPr="00C27636" w:rsidRDefault="00AC12B4">
            <w:pPr>
              <w:rPr>
                <w:sz w:val="12"/>
                <w:szCs w:val="12"/>
                <w:lang w:val="fr-BE"/>
              </w:rPr>
            </w:pPr>
          </w:p>
        </w:tc>
        <w:tc>
          <w:tcPr>
            <w:tcW w:w="600" w:type="dxa"/>
            <w:vAlign w:val="bottom"/>
          </w:tcPr>
          <w:p w:rsidR="00AC12B4" w:rsidRPr="00C27636" w:rsidRDefault="00AC12B4">
            <w:pPr>
              <w:rPr>
                <w:sz w:val="12"/>
                <w:szCs w:val="12"/>
                <w:lang w:val="fr-BE"/>
              </w:rPr>
            </w:pPr>
          </w:p>
        </w:tc>
        <w:tc>
          <w:tcPr>
            <w:tcW w:w="4340" w:type="dxa"/>
            <w:gridSpan w:val="11"/>
            <w:vMerge/>
            <w:vAlign w:val="bottom"/>
          </w:tcPr>
          <w:p w:rsidR="00AC12B4" w:rsidRPr="00C27636" w:rsidRDefault="00AC12B4">
            <w:pPr>
              <w:rPr>
                <w:sz w:val="12"/>
                <w:szCs w:val="12"/>
                <w:lang w:val="fr-BE"/>
              </w:rPr>
            </w:pPr>
          </w:p>
        </w:tc>
        <w:tc>
          <w:tcPr>
            <w:tcW w:w="720" w:type="dxa"/>
            <w:vAlign w:val="bottom"/>
          </w:tcPr>
          <w:p w:rsidR="00AC12B4" w:rsidRPr="00C27636" w:rsidRDefault="00AC12B4">
            <w:pPr>
              <w:rPr>
                <w:sz w:val="12"/>
                <w:szCs w:val="12"/>
                <w:lang w:val="fr-BE"/>
              </w:rPr>
            </w:pPr>
          </w:p>
        </w:tc>
        <w:tc>
          <w:tcPr>
            <w:tcW w:w="0" w:type="dxa"/>
            <w:vAlign w:val="bottom"/>
          </w:tcPr>
          <w:p w:rsidR="00AC12B4" w:rsidRPr="00C27636" w:rsidRDefault="00AC12B4">
            <w:pPr>
              <w:rPr>
                <w:sz w:val="1"/>
                <w:szCs w:val="1"/>
                <w:lang w:val="fr-BE"/>
              </w:rPr>
            </w:pPr>
          </w:p>
        </w:tc>
      </w:tr>
      <w:tr w:rsidR="00AC12B4" w:rsidRPr="00C27636">
        <w:trPr>
          <w:trHeight w:val="286"/>
        </w:trPr>
        <w:tc>
          <w:tcPr>
            <w:tcW w:w="5700" w:type="dxa"/>
            <w:gridSpan w:val="4"/>
            <w:vAlign w:val="bottom"/>
          </w:tcPr>
          <w:p w:rsidR="00AC12B4" w:rsidRPr="00C27636" w:rsidRDefault="00C27636">
            <w:pPr>
              <w:ind w:left="1460"/>
              <w:rPr>
                <w:sz w:val="20"/>
                <w:szCs w:val="20"/>
                <w:lang w:val="fr-BE"/>
              </w:rPr>
            </w:pPr>
            <w:r w:rsidRPr="00C27636">
              <w:rPr>
                <w:rFonts w:ascii="Calibri" w:eastAsia="Calibri" w:hAnsi="Calibri" w:cs="Calibri"/>
                <w:lang w:val="fr-BE"/>
              </w:rPr>
              <w:t>La  question  du  temps d’attente  a été</w:t>
            </w:r>
          </w:p>
        </w:tc>
        <w:tc>
          <w:tcPr>
            <w:tcW w:w="4340" w:type="dxa"/>
            <w:gridSpan w:val="11"/>
            <w:vAlign w:val="bottom"/>
          </w:tcPr>
          <w:p w:rsidR="00AC12B4" w:rsidRPr="00C27636" w:rsidRDefault="00C27636">
            <w:pPr>
              <w:ind w:left="360"/>
              <w:rPr>
                <w:sz w:val="20"/>
                <w:szCs w:val="20"/>
                <w:lang w:val="fr-BE"/>
              </w:rPr>
            </w:pPr>
            <w:r w:rsidRPr="00C27636">
              <w:rPr>
                <w:rFonts w:ascii="Calibri" w:eastAsia="Calibri" w:hAnsi="Calibri" w:cs="Calibri"/>
                <w:lang w:val="fr-BE"/>
              </w:rPr>
              <w:t>par HIS ne font pas de distinction entre la</w:t>
            </w:r>
          </w:p>
        </w:tc>
        <w:tc>
          <w:tcPr>
            <w:tcW w:w="7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69"/>
        </w:trPr>
        <w:tc>
          <w:tcPr>
            <w:tcW w:w="5700" w:type="dxa"/>
            <w:gridSpan w:val="4"/>
            <w:vAlign w:val="bottom"/>
          </w:tcPr>
          <w:p w:rsidR="00AC12B4" w:rsidRPr="00C27636" w:rsidRDefault="00C27636">
            <w:pPr>
              <w:ind w:left="1460"/>
              <w:rPr>
                <w:sz w:val="20"/>
                <w:szCs w:val="20"/>
                <w:lang w:val="fr-BE"/>
              </w:rPr>
            </w:pPr>
            <w:r w:rsidRPr="00C27636">
              <w:rPr>
                <w:rFonts w:ascii="Calibri" w:eastAsia="Calibri" w:hAnsi="Calibri" w:cs="Calibri"/>
                <w:lang w:val="fr-BE"/>
              </w:rPr>
              <w:t xml:space="preserve">introduite  pour  la  première  fois  </w:t>
            </w:r>
            <w:r w:rsidRPr="00C27636">
              <w:rPr>
                <w:rFonts w:ascii="Calibri" w:eastAsia="Calibri" w:hAnsi="Calibri" w:cs="Calibri"/>
                <w:lang w:val="fr-BE"/>
              </w:rPr>
              <w:lastRenderedPageBreak/>
              <w:t>dans</w:t>
            </w:r>
          </w:p>
        </w:tc>
        <w:tc>
          <w:tcPr>
            <w:tcW w:w="4340" w:type="dxa"/>
            <w:gridSpan w:val="11"/>
            <w:vAlign w:val="bottom"/>
          </w:tcPr>
          <w:p w:rsidR="00AC12B4" w:rsidRDefault="00C27636">
            <w:pPr>
              <w:spacing w:line="252" w:lineRule="exact"/>
              <w:ind w:left="360"/>
              <w:rPr>
                <w:sz w:val="20"/>
                <w:szCs w:val="20"/>
              </w:rPr>
            </w:pPr>
            <w:r w:rsidRPr="00C27636">
              <w:rPr>
                <w:rFonts w:ascii="Calibri" w:eastAsia="Calibri" w:hAnsi="Calibri" w:cs="Calibri"/>
                <w:lang w:val="fr-BE"/>
              </w:rPr>
              <w:lastRenderedPageBreak/>
              <w:t>santé dite ‘physique‘ et</w:t>
            </w:r>
            <w:r w:rsidRPr="00C27636">
              <w:rPr>
                <w:rFonts w:ascii="Calibri" w:eastAsia="Calibri" w:hAnsi="Calibri" w:cs="Calibri"/>
                <w:lang w:val="fr-BE"/>
              </w:rPr>
              <w:t xml:space="preserve"> la santé mentale. </w:t>
            </w:r>
            <w:r>
              <w:rPr>
                <w:rFonts w:ascii="Calibri" w:eastAsia="Calibri" w:hAnsi="Calibri" w:cs="Calibri"/>
              </w:rPr>
              <w:t>Il</w:t>
            </w:r>
          </w:p>
        </w:tc>
        <w:tc>
          <w:tcPr>
            <w:tcW w:w="72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7"/>
        </w:trPr>
        <w:tc>
          <w:tcPr>
            <w:tcW w:w="3660" w:type="dxa"/>
            <w:gridSpan w:val="2"/>
            <w:vAlign w:val="bottom"/>
          </w:tcPr>
          <w:p w:rsidR="00AC12B4" w:rsidRDefault="00C27636">
            <w:pPr>
              <w:spacing w:line="267" w:lineRule="exact"/>
              <w:ind w:left="1460"/>
              <w:rPr>
                <w:sz w:val="20"/>
                <w:szCs w:val="20"/>
              </w:rPr>
            </w:pPr>
            <w:r>
              <w:rPr>
                <w:rFonts w:ascii="Calibri" w:eastAsia="Calibri" w:hAnsi="Calibri" w:cs="Calibri"/>
              </w:rPr>
              <w:lastRenderedPageBreak/>
              <w:t>l’enquête de 2013.</w:t>
            </w:r>
          </w:p>
        </w:tc>
        <w:tc>
          <w:tcPr>
            <w:tcW w:w="1440" w:type="dxa"/>
            <w:vAlign w:val="bottom"/>
          </w:tcPr>
          <w:p w:rsidR="00AC12B4" w:rsidRDefault="00AC12B4">
            <w:pPr>
              <w:rPr>
                <w:sz w:val="23"/>
                <w:szCs w:val="23"/>
              </w:rPr>
            </w:pPr>
          </w:p>
        </w:tc>
        <w:tc>
          <w:tcPr>
            <w:tcW w:w="600" w:type="dxa"/>
            <w:vAlign w:val="bottom"/>
          </w:tcPr>
          <w:p w:rsidR="00AC12B4" w:rsidRDefault="00AC12B4">
            <w:pPr>
              <w:rPr>
                <w:sz w:val="23"/>
                <w:szCs w:val="23"/>
              </w:rPr>
            </w:pPr>
          </w:p>
        </w:tc>
        <w:tc>
          <w:tcPr>
            <w:tcW w:w="4340" w:type="dxa"/>
            <w:gridSpan w:val="11"/>
            <w:vAlign w:val="bottom"/>
          </w:tcPr>
          <w:p w:rsidR="00AC12B4" w:rsidRPr="00C27636" w:rsidRDefault="00C27636">
            <w:pPr>
              <w:spacing w:line="250" w:lineRule="exact"/>
              <w:ind w:left="360"/>
              <w:rPr>
                <w:sz w:val="20"/>
                <w:szCs w:val="20"/>
                <w:lang w:val="fr-BE"/>
              </w:rPr>
            </w:pPr>
            <w:r w:rsidRPr="00C27636">
              <w:rPr>
                <w:rFonts w:ascii="Calibri" w:eastAsia="Calibri" w:hAnsi="Calibri" w:cs="Calibri"/>
                <w:lang w:val="fr-BE"/>
              </w:rPr>
              <w:t>est donc impossible de distinguer entre les</w:t>
            </w:r>
          </w:p>
        </w:tc>
        <w:tc>
          <w:tcPr>
            <w:tcW w:w="72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52"/>
        </w:trPr>
        <w:tc>
          <w:tcPr>
            <w:tcW w:w="5700" w:type="dxa"/>
            <w:gridSpan w:val="4"/>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Aucune  analyse  d’évolution  n’est  donc</w:t>
            </w:r>
          </w:p>
        </w:tc>
        <w:tc>
          <w:tcPr>
            <w:tcW w:w="4340" w:type="dxa"/>
            <w:gridSpan w:val="11"/>
            <w:vAlign w:val="bottom"/>
          </w:tcPr>
          <w:p w:rsidR="00AC12B4" w:rsidRPr="00C27636" w:rsidRDefault="00C27636">
            <w:pPr>
              <w:spacing w:line="252" w:lineRule="exact"/>
              <w:ind w:left="360"/>
              <w:rPr>
                <w:sz w:val="20"/>
                <w:szCs w:val="20"/>
                <w:lang w:val="fr-BE"/>
              </w:rPr>
            </w:pPr>
            <w:r w:rsidRPr="00C27636">
              <w:rPr>
                <w:rFonts w:ascii="Calibri" w:eastAsia="Calibri" w:hAnsi="Calibri" w:cs="Calibri"/>
                <w:lang w:val="fr-BE"/>
              </w:rPr>
              <w:t>deux et d’obtenir par HIS une indication</w:t>
            </w:r>
          </w:p>
        </w:tc>
        <w:tc>
          <w:tcPr>
            <w:tcW w:w="720" w:type="dxa"/>
            <w:vAlign w:val="bottom"/>
          </w:tcPr>
          <w:p w:rsidR="00AC12B4" w:rsidRPr="00C27636" w:rsidRDefault="00AC12B4">
            <w:pPr>
              <w:rPr>
                <w:sz w:val="21"/>
                <w:szCs w:val="21"/>
                <w:lang w:val="fr-BE"/>
              </w:rPr>
            </w:pPr>
          </w:p>
        </w:tc>
        <w:tc>
          <w:tcPr>
            <w:tcW w:w="0" w:type="dxa"/>
            <w:vAlign w:val="bottom"/>
          </w:tcPr>
          <w:p w:rsidR="00AC12B4" w:rsidRPr="00C27636" w:rsidRDefault="00AC12B4">
            <w:pPr>
              <w:rPr>
                <w:sz w:val="1"/>
                <w:szCs w:val="1"/>
                <w:lang w:val="fr-BE"/>
              </w:rPr>
            </w:pPr>
          </w:p>
        </w:tc>
      </w:tr>
      <w:tr w:rsidR="00AC12B4">
        <w:trPr>
          <w:trHeight w:val="137"/>
        </w:trPr>
        <w:tc>
          <w:tcPr>
            <w:tcW w:w="5700" w:type="dxa"/>
            <w:gridSpan w:val="4"/>
            <w:vMerge/>
            <w:vAlign w:val="bottom"/>
          </w:tcPr>
          <w:p w:rsidR="00AC12B4" w:rsidRPr="00C27636" w:rsidRDefault="00AC12B4">
            <w:pPr>
              <w:rPr>
                <w:sz w:val="11"/>
                <w:szCs w:val="11"/>
                <w:lang w:val="fr-BE"/>
              </w:rPr>
            </w:pPr>
          </w:p>
        </w:tc>
        <w:tc>
          <w:tcPr>
            <w:tcW w:w="820" w:type="dxa"/>
            <w:vMerge w:val="restart"/>
            <w:vAlign w:val="bottom"/>
          </w:tcPr>
          <w:p w:rsidR="00AC12B4" w:rsidRDefault="00C27636">
            <w:pPr>
              <w:ind w:left="360"/>
              <w:rPr>
                <w:sz w:val="20"/>
                <w:szCs w:val="20"/>
              </w:rPr>
            </w:pPr>
            <w:r>
              <w:rPr>
                <w:rFonts w:ascii="Calibri" w:eastAsia="Calibri" w:hAnsi="Calibri" w:cs="Calibri"/>
              </w:rPr>
              <w:t>des</w:t>
            </w:r>
          </w:p>
        </w:tc>
        <w:tc>
          <w:tcPr>
            <w:tcW w:w="600" w:type="dxa"/>
            <w:gridSpan w:val="3"/>
            <w:vMerge w:val="restart"/>
            <w:vAlign w:val="bottom"/>
          </w:tcPr>
          <w:p w:rsidR="00AC12B4" w:rsidRDefault="00C27636">
            <w:pPr>
              <w:rPr>
                <w:sz w:val="20"/>
                <w:szCs w:val="20"/>
              </w:rPr>
            </w:pPr>
            <w:r>
              <w:rPr>
                <w:rFonts w:ascii="Calibri" w:eastAsia="Calibri" w:hAnsi="Calibri" w:cs="Calibri"/>
              </w:rPr>
              <w:t>temps</w:t>
            </w:r>
          </w:p>
        </w:tc>
        <w:tc>
          <w:tcPr>
            <w:tcW w:w="2220" w:type="dxa"/>
            <w:gridSpan w:val="6"/>
            <w:vMerge w:val="restart"/>
            <w:vAlign w:val="bottom"/>
          </w:tcPr>
          <w:p w:rsidR="00AC12B4" w:rsidRDefault="00C27636">
            <w:pPr>
              <w:jc w:val="right"/>
              <w:rPr>
                <w:sz w:val="20"/>
                <w:szCs w:val="20"/>
              </w:rPr>
            </w:pPr>
            <w:r>
              <w:rPr>
                <w:rFonts w:ascii="Calibri" w:eastAsia="Calibri" w:hAnsi="Calibri" w:cs="Calibri"/>
              </w:rPr>
              <w:t>d’attente  moyens  en</w:t>
            </w:r>
          </w:p>
        </w:tc>
        <w:tc>
          <w:tcPr>
            <w:tcW w:w="700" w:type="dxa"/>
            <w:vMerge w:val="restart"/>
            <w:vAlign w:val="bottom"/>
          </w:tcPr>
          <w:p w:rsidR="00AC12B4" w:rsidRDefault="00C27636">
            <w:pPr>
              <w:ind w:right="13"/>
              <w:jc w:val="right"/>
              <w:rPr>
                <w:sz w:val="20"/>
                <w:szCs w:val="20"/>
              </w:rPr>
            </w:pPr>
            <w:r>
              <w:rPr>
                <w:rFonts w:ascii="Calibri" w:eastAsia="Calibri" w:hAnsi="Calibri" w:cs="Calibri"/>
              </w:rPr>
              <w:t>santé</w:t>
            </w:r>
          </w:p>
        </w:tc>
        <w:tc>
          <w:tcPr>
            <w:tcW w:w="7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2"/>
        </w:trPr>
        <w:tc>
          <w:tcPr>
            <w:tcW w:w="3660" w:type="dxa"/>
            <w:gridSpan w:val="2"/>
            <w:vMerge w:val="restart"/>
            <w:vAlign w:val="bottom"/>
          </w:tcPr>
          <w:p w:rsidR="00AC12B4" w:rsidRDefault="00C27636">
            <w:pPr>
              <w:ind w:left="1460"/>
              <w:rPr>
                <w:sz w:val="20"/>
                <w:szCs w:val="20"/>
              </w:rPr>
            </w:pPr>
            <w:r>
              <w:rPr>
                <w:rFonts w:ascii="Calibri" w:eastAsia="Calibri" w:hAnsi="Calibri" w:cs="Calibri"/>
              </w:rPr>
              <w:t>possible à ce jour.</w:t>
            </w:r>
          </w:p>
        </w:tc>
        <w:tc>
          <w:tcPr>
            <w:tcW w:w="1440" w:type="dxa"/>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820" w:type="dxa"/>
            <w:vMerge/>
            <w:vAlign w:val="bottom"/>
          </w:tcPr>
          <w:p w:rsidR="00AC12B4" w:rsidRDefault="00AC12B4">
            <w:pPr>
              <w:rPr>
                <w:sz w:val="11"/>
                <w:szCs w:val="11"/>
              </w:rPr>
            </w:pPr>
          </w:p>
        </w:tc>
        <w:tc>
          <w:tcPr>
            <w:tcW w:w="600" w:type="dxa"/>
            <w:gridSpan w:val="3"/>
            <w:vMerge/>
            <w:vAlign w:val="bottom"/>
          </w:tcPr>
          <w:p w:rsidR="00AC12B4" w:rsidRDefault="00AC12B4">
            <w:pPr>
              <w:rPr>
                <w:sz w:val="11"/>
                <w:szCs w:val="11"/>
              </w:rPr>
            </w:pPr>
          </w:p>
        </w:tc>
        <w:tc>
          <w:tcPr>
            <w:tcW w:w="2220" w:type="dxa"/>
            <w:gridSpan w:val="6"/>
            <w:vMerge/>
            <w:vAlign w:val="bottom"/>
          </w:tcPr>
          <w:p w:rsidR="00AC12B4" w:rsidRDefault="00AC12B4">
            <w:pPr>
              <w:rPr>
                <w:sz w:val="11"/>
                <w:szCs w:val="11"/>
              </w:rPr>
            </w:pPr>
          </w:p>
        </w:tc>
        <w:tc>
          <w:tcPr>
            <w:tcW w:w="700" w:type="dxa"/>
            <w:vMerge/>
            <w:vAlign w:val="bottom"/>
          </w:tcPr>
          <w:p w:rsidR="00AC12B4" w:rsidRDefault="00AC12B4">
            <w:pPr>
              <w:rPr>
                <w:sz w:val="11"/>
                <w:szCs w:val="11"/>
              </w:rPr>
            </w:pPr>
          </w:p>
        </w:tc>
        <w:tc>
          <w:tcPr>
            <w:tcW w:w="7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7"/>
        </w:trPr>
        <w:tc>
          <w:tcPr>
            <w:tcW w:w="3660" w:type="dxa"/>
            <w:gridSpan w:val="2"/>
            <w:vMerge/>
            <w:vAlign w:val="bottom"/>
          </w:tcPr>
          <w:p w:rsidR="00AC12B4" w:rsidRDefault="00AC12B4">
            <w:pPr>
              <w:rPr>
                <w:sz w:val="11"/>
                <w:szCs w:val="11"/>
              </w:rPr>
            </w:pPr>
          </w:p>
        </w:tc>
        <w:tc>
          <w:tcPr>
            <w:tcW w:w="1440" w:type="dxa"/>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1260" w:type="dxa"/>
            <w:gridSpan w:val="3"/>
            <w:vMerge w:val="restart"/>
            <w:vAlign w:val="bottom"/>
          </w:tcPr>
          <w:p w:rsidR="00AC12B4" w:rsidRDefault="00C27636">
            <w:pPr>
              <w:ind w:left="360"/>
              <w:rPr>
                <w:sz w:val="20"/>
                <w:szCs w:val="20"/>
              </w:rPr>
            </w:pPr>
            <w:r>
              <w:rPr>
                <w:rFonts w:ascii="Calibri" w:eastAsia="Calibri" w:hAnsi="Calibri" w:cs="Calibri"/>
              </w:rPr>
              <w:t>mentale.</w:t>
            </w:r>
          </w:p>
        </w:tc>
        <w:tc>
          <w:tcPr>
            <w:tcW w:w="160" w:type="dxa"/>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90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700" w:type="dxa"/>
            <w:vAlign w:val="bottom"/>
          </w:tcPr>
          <w:p w:rsidR="00AC12B4" w:rsidRDefault="00AC12B4">
            <w:pPr>
              <w:rPr>
                <w:sz w:val="11"/>
                <w:szCs w:val="11"/>
              </w:rPr>
            </w:pPr>
          </w:p>
        </w:tc>
        <w:tc>
          <w:tcPr>
            <w:tcW w:w="7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2"/>
        </w:trPr>
        <w:tc>
          <w:tcPr>
            <w:tcW w:w="2360" w:type="dxa"/>
            <w:vAlign w:val="bottom"/>
          </w:tcPr>
          <w:p w:rsidR="00AC12B4" w:rsidRDefault="00AC12B4">
            <w:pPr>
              <w:rPr>
                <w:sz w:val="11"/>
                <w:szCs w:val="11"/>
              </w:rPr>
            </w:pPr>
          </w:p>
        </w:tc>
        <w:tc>
          <w:tcPr>
            <w:tcW w:w="1300" w:type="dxa"/>
            <w:vAlign w:val="bottom"/>
          </w:tcPr>
          <w:p w:rsidR="00AC12B4" w:rsidRDefault="00AC12B4">
            <w:pPr>
              <w:rPr>
                <w:sz w:val="11"/>
                <w:szCs w:val="11"/>
              </w:rPr>
            </w:pPr>
          </w:p>
        </w:tc>
        <w:tc>
          <w:tcPr>
            <w:tcW w:w="1440" w:type="dxa"/>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1260" w:type="dxa"/>
            <w:gridSpan w:val="3"/>
            <w:vMerge/>
            <w:vAlign w:val="bottom"/>
          </w:tcPr>
          <w:p w:rsidR="00AC12B4" w:rsidRDefault="00AC12B4">
            <w:pPr>
              <w:rPr>
                <w:sz w:val="11"/>
                <w:szCs w:val="11"/>
              </w:rPr>
            </w:pPr>
          </w:p>
        </w:tc>
        <w:tc>
          <w:tcPr>
            <w:tcW w:w="160" w:type="dxa"/>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90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700" w:type="dxa"/>
            <w:vAlign w:val="bottom"/>
          </w:tcPr>
          <w:p w:rsidR="00AC12B4" w:rsidRDefault="00AC12B4">
            <w:pPr>
              <w:rPr>
                <w:sz w:val="11"/>
                <w:szCs w:val="11"/>
              </w:rPr>
            </w:pPr>
          </w:p>
        </w:tc>
        <w:tc>
          <w:tcPr>
            <w:tcW w:w="720" w:type="dxa"/>
            <w:vAlign w:val="bottom"/>
          </w:tcPr>
          <w:p w:rsidR="00AC12B4" w:rsidRDefault="00AC12B4">
            <w:pPr>
              <w:rPr>
                <w:sz w:val="11"/>
                <w:szCs w:val="11"/>
              </w:rPr>
            </w:pPr>
          </w:p>
        </w:tc>
        <w:tc>
          <w:tcPr>
            <w:tcW w:w="0" w:type="dxa"/>
            <w:vAlign w:val="bottom"/>
          </w:tcPr>
          <w:p w:rsidR="00AC12B4" w:rsidRDefault="00AC12B4">
            <w:pPr>
              <w:rPr>
                <w:sz w:val="1"/>
                <w:szCs w:val="1"/>
              </w:rPr>
            </w:pPr>
          </w:p>
        </w:tc>
      </w:tr>
    </w:tbl>
    <w:p w:rsidR="00AC12B4" w:rsidRDefault="00AC12B4">
      <w:pPr>
        <w:spacing w:line="120" w:lineRule="exact"/>
        <w:rPr>
          <w:sz w:val="20"/>
          <w:szCs w:val="20"/>
        </w:rPr>
      </w:pPr>
    </w:p>
    <w:p w:rsidR="00AC12B4" w:rsidRPr="00C27636" w:rsidRDefault="00C27636">
      <w:pPr>
        <w:ind w:left="6060"/>
        <w:rPr>
          <w:sz w:val="20"/>
          <w:szCs w:val="20"/>
          <w:lang w:val="fr-BE"/>
        </w:rPr>
      </w:pPr>
      <w:r w:rsidRPr="00C27636">
        <w:rPr>
          <w:rFonts w:ascii="Calibri" w:eastAsia="Calibri" w:hAnsi="Calibri" w:cs="Calibri"/>
          <w:lang w:val="fr-BE"/>
        </w:rPr>
        <w:t>La question est de plus posée par un</w:t>
      </w:r>
    </w:p>
    <w:p w:rsidR="00AC12B4" w:rsidRPr="00C27636" w:rsidRDefault="00C27636">
      <w:pPr>
        <w:ind w:left="6060"/>
        <w:rPr>
          <w:sz w:val="20"/>
          <w:szCs w:val="20"/>
          <w:lang w:val="fr-BE"/>
        </w:rPr>
      </w:pPr>
      <w:r w:rsidRPr="00C27636">
        <w:rPr>
          <w:rFonts w:ascii="Calibri" w:eastAsia="Calibri" w:hAnsi="Calibri" w:cs="Calibri"/>
          <w:lang w:val="fr-BE"/>
        </w:rPr>
        <w:t>enquêteur en face à face pour les plus de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09248" behindDoc="1" locked="0" layoutInCell="0" allowOverlap="1">
                <wp:simplePos x="0" y="0"/>
                <wp:positionH relativeFrom="column">
                  <wp:posOffset>930910</wp:posOffset>
                </wp:positionH>
                <wp:positionV relativeFrom="paragraph">
                  <wp:posOffset>325120</wp:posOffset>
                </wp:positionV>
                <wp:extent cx="1829435" cy="0"/>
                <wp:effectExtent l="0" t="0" r="0" b="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pt,25.6pt" to="217.35pt,25.6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63" w:lineRule="exact"/>
        <w:rPr>
          <w:sz w:val="20"/>
          <w:szCs w:val="20"/>
          <w:lang w:val="fr-BE"/>
        </w:rPr>
      </w:pPr>
    </w:p>
    <w:p w:rsidR="00AC12B4" w:rsidRPr="00C27636" w:rsidRDefault="00C27636">
      <w:pPr>
        <w:numPr>
          <w:ilvl w:val="0"/>
          <w:numId w:val="111"/>
        </w:numPr>
        <w:tabs>
          <w:tab w:val="left" w:pos="1582"/>
        </w:tabs>
        <w:spacing w:line="188" w:lineRule="auto"/>
        <w:ind w:left="1460" w:right="5420" w:firstLine="7"/>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172 réponses en ce qui concerne les contacts avec un médecin généraliste.</w:t>
      </w:r>
    </w:p>
    <w:p w:rsidR="00AC12B4" w:rsidRPr="00C27636" w:rsidRDefault="00AC12B4">
      <w:pPr>
        <w:spacing w:line="244" w:lineRule="exact"/>
        <w:rPr>
          <w:sz w:val="20"/>
          <w:szCs w:val="20"/>
          <w:lang w:val="fr-BE"/>
        </w:rPr>
      </w:pPr>
    </w:p>
    <w:p w:rsidR="00AC12B4" w:rsidRDefault="00C27636">
      <w:pPr>
        <w:ind w:left="5580"/>
        <w:rPr>
          <w:sz w:val="20"/>
          <w:szCs w:val="20"/>
        </w:rPr>
      </w:pPr>
      <w:r>
        <w:rPr>
          <w:rFonts w:ascii="Calibri" w:eastAsia="Calibri" w:hAnsi="Calibri" w:cs="Calibri"/>
        </w:rPr>
        <w:t>79</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10272" behindDoc="1" locked="0" layoutInCell="0" allowOverlap="1">
            <wp:simplePos x="0" y="0"/>
            <wp:positionH relativeFrom="column">
              <wp:posOffset>-306070</wp:posOffset>
            </wp:positionH>
            <wp:positionV relativeFrom="paragraph">
              <wp:posOffset>-9968230</wp:posOffset>
            </wp:positionV>
            <wp:extent cx="800100" cy="10908665"/>
            <wp:effectExtent l="0" t="0" r="0"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35" w:bottom="659" w:left="540" w:header="0" w:footer="0" w:gutter="0"/>
          <w:cols w:num="2" w:space="720" w:equalWidth="0">
            <w:col w:w="10760" w:space="0"/>
            <w:col w:w="342"/>
          </w:cols>
        </w:sectPr>
      </w:pPr>
    </w:p>
    <w:p w:rsidR="00AC12B4" w:rsidRPr="00C27636" w:rsidRDefault="00AC12B4">
      <w:pPr>
        <w:spacing w:line="200" w:lineRule="exact"/>
        <w:rPr>
          <w:sz w:val="20"/>
          <w:szCs w:val="20"/>
          <w:lang w:val="fr-BE"/>
        </w:rPr>
      </w:pPr>
      <w:bookmarkStart w:id="79" w:name="page80"/>
      <w:bookmarkEnd w:id="79"/>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0" w:lineRule="auto"/>
        <w:ind w:left="360" w:right="460"/>
        <w:rPr>
          <w:sz w:val="20"/>
          <w:szCs w:val="20"/>
          <w:lang w:val="fr-BE"/>
        </w:rPr>
      </w:pPr>
      <w:r w:rsidRPr="00C27636">
        <w:rPr>
          <w:rFonts w:ascii="Calibri" w:eastAsia="Calibri" w:hAnsi="Calibri" w:cs="Calibri"/>
          <w:lang w:val="fr-BE"/>
        </w:rPr>
        <w:t>15 ans. Ces informations ne sont donc pas disponibles pour les moins de 15 ans</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11296" behindDoc="1" locked="0" layoutInCell="0" allowOverlap="1">
            <wp:simplePos x="0" y="0"/>
            <wp:positionH relativeFrom="column">
              <wp:posOffset>-685165</wp:posOffset>
            </wp:positionH>
            <wp:positionV relativeFrom="paragraph">
              <wp:posOffset>-1380490</wp:posOffset>
            </wp:positionV>
            <wp:extent cx="3389630" cy="10908665"/>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97">
                      <a:extLst/>
                    </a:blip>
                    <a:srcRect/>
                    <a:stretch>
                      <a:fillRect/>
                    </a:stretch>
                  </pic:blipFill>
                  <pic:spPr bwMode="auto">
                    <a:xfrm>
                      <a:off x="0" y="0"/>
                      <a:ext cx="3389630" cy="10908665"/>
                    </a:xfrm>
                    <a:prstGeom prst="rect">
                      <a:avLst/>
                    </a:prstGeom>
                    <a:noFill/>
                  </pic:spPr>
                </pic:pic>
              </a:graphicData>
            </a:graphic>
          </wp:anchor>
        </w:drawing>
      </w:r>
    </w:p>
    <w:p w:rsidR="00AC12B4" w:rsidRPr="00C27636" w:rsidRDefault="00AC12B4">
      <w:pPr>
        <w:spacing w:line="212" w:lineRule="exact"/>
        <w:rPr>
          <w:sz w:val="20"/>
          <w:szCs w:val="20"/>
          <w:lang w:val="fr-BE"/>
        </w:rPr>
      </w:pPr>
    </w:p>
    <w:p w:rsidR="00AC12B4" w:rsidRPr="00C27636" w:rsidRDefault="00C27636">
      <w:pPr>
        <w:rPr>
          <w:sz w:val="20"/>
          <w:szCs w:val="20"/>
          <w:lang w:val="fr-BE"/>
        </w:rPr>
      </w:pPr>
      <w:r w:rsidRPr="00C27636">
        <w:rPr>
          <w:rFonts w:eastAsia="Times New Roman"/>
          <w:b/>
          <w:bCs/>
          <w:color w:val="4F6228"/>
          <w:sz w:val="20"/>
          <w:szCs w:val="20"/>
          <w:lang w:val="fr-BE"/>
        </w:rPr>
        <w:t>Question originale dans l’enquête</w:t>
      </w:r>
      <w:r w:rsidRPr="00C27636">
        <w:rPr>
          <w:rFonts w:eastAsia="Times New Roman"/>
          <w:b/>
          <w:bCs/>
          <w:color w:val="4F6228"/>
          <w:sz w:val="20"/>
          <w:szCs w:val="20"/>
          <w:lang w:val="fr-BE"/>
        </w:rPr>
        <w:t xml:space="preserve"> HIS :</w:t>
      </w:r>
    </w:p>
    <w:p w:rsidR="00AC12B4" w:rsidRPr="00C27636" w:rsidRDefault="00AC12B4">
      <w:pPr>
        <w:spacing w:line="275" w:lineRule="exact"/>
        <w:rPr>
          <w:sz w:val="20"/>
          <w:szCs w:val="20"/>
          <w:lang w:val="fr-BE"/>
        </w:rPr>
      </w:pPr>
    </w:p>
    <w:p w:rsidR="00AC12B4" w:rsidRPr="00C27636" w:rsidRDefault="00C27636">
      <w:pPr>
        <w:numPr>
          <w:ilvl w:val="0"/>
          <w:numId w:val="112"/>
        </w:numPr>
        <w:tabs>
          <w:tab w:val="left" w:pos="380"/>
        </w:tabs>
        <w:spacing w:line="214" w:lineRule="auto"/>
        <w:ind w:left="380" w:right="640" w:hanging="356"/>
        <w:rPr>
          <w:rFonts w:ascii="Wingdings" w:eastAsia="Wingdings" w:hAnsi="Wingdings" w:cs="Wingdings"/>
          <w:color w:val="4F6228"/>
          <w:sz w:val="36"/>
          <w:szCs w:val="36"/>
          <w:vertAlign w:val="superscript"/>
          <w:lang w:val="fr-BE"/>
        </w:rPr>
      </w:pPr>
      <w:r w:rsidRPr="00C27636">
        <w:rPr>
          <w:rFonts w:ascii="Calibri" w:eastAsia="Calibri" w:hAnsi="Calibri" w:cs="Calibri"/>
          <w:i/>
          <w:iCs/>
          <w:color w:val="4F6228"/>
          <w:lang w:val="fr-BE"/>
        </w:rPr>
        <w:t>Combien de temps avez-vous dû attendre pour obtenir un rendez-vous chez ce médecin?</w:t>
      </w:r>
    </w:p>
    <w:p w:rsidR="00AC12B4" w:rsidRPr="00C27636" w:rsidRDefault="00AC12B4">
      <w:pPr>
        <w:spacing w:line="91" w:lineRule="exact"/>
        <w:rPr>
          <w:rFonts w:ascii="Wingdings" w:eastAsia="Wingdings" w:hAnsi="Wingdings" w:cs="Wingdings"/>
          <w:color w:val="4F6228"/>
          <w:sz w:val="36"/>
          <w:szCs w:val="36"/>
          <w:vertAlign w:val="superscript"/>
          <w:lang w:val="fr-BE"/>
        </w:rPr>
      </w:pPr>
    </w:p>
    <w:p w:rsidR="00AC12B4" w:rsidRPr="00C27636" w:rsidRDefault="00C27636">
      <w:pPr>
        <w:numPr>
          <w:ilvl w:val="0"/>
          <w:numId w:val="112"/>
        </w:numPr>
        <w:tabs>
          <w:tab w:val="left" w:pos="380"/>
        </w:tabs>
        <w:spacing w:line="196" w:lineRule="auto"/>
        <w:ind w:left="380" w:right="940" w:hanging="356"/>
        <w:rPr>
          <w:rFonts w:ascii="Wingdings" w:eastAsia="Wingdings" w:hAnsi="Wingdings" w:cs="Wingdings"/>
          <w:color w:val="4F6228"/>
          <w:sz w:val="44"/>
          <w:szCs w:val="44"/>
          <w:vertAlign w:val="superscript"/>
          <w:lang w:val="fr-BE"/>
        </w:rPr>
      </w:pPr>
      <w:r w:rsidRPr="00C27636">
        <w:rPr>
          <w:rFonts w:ascii="Calibri" w:eastAsia="Calibri" w:hAnsi="Calibri" w:cs="Calibri"/>
          <w:i/>
          <w:iCs/>
          <w:color w:val="4F6228"/>
          <w:lang w:val="fr-BE"/>
        </w:rPr>
        <w:t>Est-ce que le temps que vous avez dû attendre pour ce rendez-vous a été un problème pour vous?</w:t>
      </w:r>
    </w:p>
    <w:p w:rsidR="00AC12B4" w:rsidRPr="00C27636" w:rsidRDefault="00AC12B4">
      <w:pPr>
        <w:spacing w:line="200" w:lineRule="exact"/>
        <w:rPr>
          <w:sz w:val="20"/>
          <w:szCs w:val="20"/>
          <w:lang w:val="fr-BE"/>
        </w:rPr>
      </w:pPr>
    </w:p>
    <w:p w:rsidR="00AC12B4" w:rsidRPr="00C27636" w:rsidRDefault="00AC12B4">
      <w:pPr>
        <w:spacing w:line="389" w:lineRule="exact"/>
        <w:rPr>
          <w:sz w:val="20"/>
          <w:szCs w:val="20"/>
          <w:lang w:val="fr-BE"/>
        </w:rPr>
      </w:pPr>
    </w:p>
    <w:p w:rsidR="00AC12B4" w:rsidRPr="00C27636" w:rsidRDefault="00C27636">
      <w:pPr>
        <w:spacing w:line="230" w:lineRule="auto"/>
        <w:ind w:left="360" w:right="460"/>
        <w:jc w:val="both"/>
        <w:rPr>
          <w:sz w:val="20"/>
          <w:szCs w:val="20"/>
          <w:lang w:val="fr-BE"/>
        </w:rPr>
      </w:pPr>
      <w:r w:rsidRPr="00C27636">
        <w:rPr>
          <w:rFonts w:ascii="Calibri" w:eastAsia="Calibri" w:hAnsi="Calibri" w:cs="Calibri"/>
          <w:lang w:val="fr-BE"/>
        </w:rPr>
        <w:t>De plus, il serait peut-être plus pertinent de poser la question s</w:t>
      </w:r>
      <w:r w:rsidRPr="00C27636">
        <w:rPr>
          <w:rFonts w:ascii="Calibri" w:eastAsia="Calibri" w:hAnsi="Calibri" w:cs="Calibri"/>
          <w:lang w:val="fr-BE"/>
        </w:rPr>
        <w:t>ur le temps d'attente systématiquement à la personne qui prend le rendez-vous, qui, dans la majorité des cas, est le parent et non le jeune lui-même.</w:t>
      </w:r>
    </w:p>
    <w:p w:rsidR="00AC12B4" w:rsidRPr="00C27636" w:rsidRDefault="00AC12B4">
      <w:pPr>
        <w:spacing w:line="175" w:lineRule="exact"/>
        <w:rPr>
          <w:sz w:val="20"/>
          <w:szCs w:val="20"/>
          <w:lang w:val="fr-BE"/>
        </w:rPr>
      </w:pPr>
    </w:p>
    <w:p w:rsidR="00AC12B4" w:rsidRPr="00C27636" w:rsidRDefault="00C27636">
      <w:pPr>
        <w:spacing w:line="225" w:lineRule="auto"/>
        <w:ind w:left="360" w:right="460"/>
        <w:jc w:val="both"/>
        <w:rPr>
          <w:sz w:val="20"/>
          <w:szCs w:val="20"/>
          <w:lang w:val="fr-BE"/>
        </w:rPr>
      </w:pPr>
      <w:r w:rsidRPr="00C27636">
        <w:rPr>
          <w:rFonts w:ascii="Calibri" w:eastAsia="Calibri" w:hAnsi="Calibri" w:cs="Calibri"/>
          <w:lang w:val="fr-BE"/>
        </w:rPr>
        <w:t xml:space="preserve">En outre, les données se limitent à l’aide ambulatoire (les hospitalisations ne sont donc pas incluses) </w:t>
      </w:r>
      <w:r w:rsidRPr="00C27636">
        <w:rPr>
          <w:rFonts w:ascii="Calibri" w:eastAsia="Calibri" w:hAnsi="Calibri" w:cs="Calibri"/>
          <w:lang w:val="fr-BE"/>
        </w:rPr>
        <w:t>et ne comprennent pas</w:t>
      </w:r>
    </w:p>
    <w:p w:rsidR="00AC12B4" w:rsidRPr="00C27636" w:rsidRDefault="00AC12B4">
      <w:pPr>
        <w:spacing w:line="51" w:lineRule="exact"/>
        <w:rPr>
          <w:sz w:val="20"/>
          <w:szCs w:val="20"/>
          <w:lang w:val="fr-BE"/>
        </w:rPr>
      </w:pPr>
    </w:p>
    <w:p w:rsidR="00AC12B4" w:rsidRPr="00C27636" w:rsidRDefault="00C27636">
      <w:pPr>
        <w:spacing w:line="236" w:lineRule="auto"/>
        <w:ind w:left="360" w:right="460"/>
        <w:jc w:val="both"/>
        <w:rPr>
          <w:sz w:val="20"/>
          <w:szCs w:val="20"/>
          <w:lang w:val="fr-BE"/>
        </w:rPr>
      </w:pPr>
      <w:r w:rsidRPr="00C27636">
        <w:rPr>
          <w:rFonts w:ascii="Calibri" w:eastAsia="Calibri" w:hAnsi="Calibri" w:cs="Calibri"/>
          <w:lang w:val="fr-BE"/>
        </w:rPr>
        <w:t xml:space="preserve">les consultations avec un psychologue/thérapeute. Les centres de santé préventive comme les PMS, par exemple, ou les centres de planning familial, ainsi que l’ensemble de l’aide à la jeunesse et aux enfants porteurs de handicap, ne </w:t>
      </w:r>
      <w:r w:rsidRPr="00C27636">
        <w:rPr>
          <w:rFonts w:ascii="Calibri" w:eastAsia="Calibri" w:hAnsi="Calibri" w:cs="Calibri"/>
          <w:lang w:val="fr-BE"/>
        </w:rPr>
        <w:t>sont pas non plus repris dans l’enquête. Ceci donne un biais important car ces services sont évidemment des offres importantes de soins en ce qui concerne la santé mentale des enfants.</w:t>
      </w:r>
    </w:p>
    <w:p w:rsidR="00AC12B4" w:rsidRPr="00C27636" w:rsidRDefault="00AC12B4">
      <w:pPr>
        <w:spacing w:line="170" w:lineRule="exact"/>
        <w:rPr>
          <w:sz w:val="20"/>
          <w:szCs w:val="20"/>
          <w:lang w:val="fr-BE"/>
        </w:rPr>
      </w:pPr>
    </w:p>
    <w:p w:rsidR="00AC12B4" w:rsidRPr="00C27636" w:rsidRDefault="00C27636">
      <w:pPr>
        <w:spacing w:line="233" w:lineRule="auto"/>
        <w:ind w:left="360" w:right="460"/>
        <w:jc w:val="both"/>
        <w:rPr>
          <w:sz w:val="20"/>
          <w:szCs w:val="20"/>
          <w:lang w:val="fr-BE"/>
        </w:rPr>
      </w:pPr>
      <w:r w:rsidRPr="00C27636">
        <w:rPr>
          <w:rFonts w:ascii="Calibri" w:eastAsia="Calibri" w:hAnsi="Calibri" w:cs="Calibri"/>
          <w:lang w:val="fr-BE"/>
        </w:rPr>
        <w:t>Les temps d’attente sont un problème certain. Cependant, les personnes</w:t>
      </w:r>
      <w:r w:rsidRPr="00C27636">
        <w:rPr>
          <w:rFonts w:ascii="Calibri" w:eastAsia="Calibri" w:hAnsi="Calibri" w:cs="Calibri"/>
          <w:lang w:val="fr-BE"/>
        </w:rPr>
        <w:t xml:space="preserve"> étant sur une liste d’attente ou déclarant avoir dû attendre pour un rendez-vous avec un spécialiste ont déjà franchi une première étape, à savoir la connaissance de l’offre et son accessibilité « psychologique ».</w:t>
      </w:r>
    </w:p>
    <w:p w:rsidR="00AC12B4" w:rsidRPr="00C27636" w:rsidRDefault="00AC12B4">
      <w:pPr>
        <w:spacing w:line="175" w:lineRule="exact"/>
        <w:rPr>
          <w:sz w:val="20"/>
          <w:szCs w:val="20"/>
          <w:lang w:val="fr-BE"/>
        </w:rPr>
      </w:pPr>
    </w:p>
    <w:p w:rsidR="00AC12B4" w:rsidRDefault="00C27636">
      <w:pPr>
        <w:spacing w:line="225" w:lineRule="auto"/>
        <w:ind w:left="360" w:right="460"/>
        <w:jc w:val="both"/>
        <w:rPr>
          <w:sz w:val="20"/>
          <w:szCs w:val="20"/>
        </w:rPr>
      </w:pPr>
      <w:r w:rsidRPr="00C27636">
        <w:rPr>
          <w:rFonts w:ascii="Calibri" w:eastAsia="Calibri" w:hAnsi="Calibri" w:cs="Calibri"/>
          <w:lang w:val="fr-BE"/>
        </w:rPr>
        <w:t>L’accessibilité des services de première</w:t>
      </w:r>
      <w:r w:rsidRPr="00C27636">
        <w:rPr>
          <w:rFonts w:ascii="Calibri" w:eastAsia="Calibri" w:hAnsi="Calibri" w:cs="Calibri"/>
          <w:lang w:val="fr-BE"/>
        </w:rPr>
        <w:t xml:space="preserve"> ligne est donc également à prendre en compte. </w:t>
      </w:r>
      <w:r>
        <w:rPr>
          <w:rFonts w:ascii="Calibri" w:eastAsia="Calibri" w:hAnsi="Calibri" w:cs="Calibri"/>
        </w:rPr>
        <w:t>Voir l’ indicateur transversal</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65" w:lineRule="exact"/>
        <w:rPr>
          <w:sz w:val="20"/>
          <w:szCs w:val="20"/>
        </w:rPr>
      </w:pPr>
    </w:p>
    <w:p w:rsidR="00AC12B4" w:rsidRPr="00C27636" w:rsidRDefault="00C27636">
      <w:pPr>
        <w:numPr>
          <w:ilvl w:val="0"/>
          <w:numId w:val="113"/>
        </w:numPr>
        <w:tabs>
          <w:tab w:val="left" w:pos="480"/>
        </w:tabs>
        <w:spacing w:line="221" w:lineRule="auto"/>
        <w:ind w:left="360" w:right="460"/>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La plupart des autres questions de l’interview sont posées par proxy pour les moins de 15 ans (la personne de référence répond à la place de l’enfant). Ce n’est pas le cas pou</w:t>
      </w:r>
      <w:r w:rsidRPr="00C27636">
        <w:rPr>
          <w:rFonts w:ascii="Calibri" w:eastAsia="Calibri" w:hAnsi="Calibri" w:cs="Calibri"/>
          <w:sz w:val="20"/>
          <w:szCs w:val="20"/>
          <w:lang w:val="fr-BE"/>
        </w:rPr>
        <w:t>r cette question, ce qui constitue selon nous une occasion ratée, à reconsidérer dans l’avenir.</w:t>
      </w:r>
    </w:p>
    <w:p w:rsidR="00AC12B4" w:rsidRPr="00C27636" w:rsidRDefault="00AC12B4">
      <w:pPr>
        <w:spacing w:line="244"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80</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right="737"/>
        <w:rPr>
          <w:sz w:val="20"/>
          <w:szCs w:val="20"/>
          <w:lang w:val="fr-BE"/>
        </w:rPr>
      </w:pPr>
      <w:r w:rsidRPr="00C27636">
        <w:rPr>
          <w:rFonts w:ascii="Calibri" w:eastAsia="Calibri" w:hAnsi="Calibri" w:cs="Calibri"/>
          <w:lang w:val="fr-BE"/>
        </w:rPr>
        <w:t>‘Accessibilité psychologique des services d'aide’.</w:t>
      </w:r>
    </w:p>
    <w:p w:rsidR="00AC12B4" w:rsidRPr="00C27636" w:rsidRDefault="00AC12B4">
      <w:pPr>
        <w:spacing w:line="128" w:lineRule="exact"/>
        <w:rPr>
          <w:sz w:val="20"/>
          <w:szCs w:val="20"/>
          <w:lang w:val="fr-BE"/>
        </w:rPr>
      </w:pPr>
    </w:p>
    <w:p w:rsidR="00AC12B4" w:rsidRDefault="00C27636">
      <w:pPr>
        <w:numPr>
          <w:ilvl w:val="0"/>
          <w:numId w:val="114"/>
        </w:numPr>
        <w:tabs>
          <w:tab w:val="left" w:pos="780"/>
        </w:tabs>
        <w:ind w:left="780" w:hanging="415"/>
        <w:rPr>
          <w:rFonts w:ascii="Wingdings" w:eastAsia="Wingdings" w:hAnsi="Wingdings" w:cs="Wingdings"/>
          <w:color w:val="C9D11D"/>
        </w:rPr>
      </w:pPr>
      <w:r>
        <w:rPr>
          <w:rFonts w:ascii="Cambria" w:eastAsia="Cambria" w:hAnsi="Cambria" w:cs="Cambria"/>
          <w:i/>
          <w:iCs/>
          <w:color w:val="C9D11D"/>
        </w:rPr>
        <w:t>Recommandation</w:t>
      </w:r>
    </w:p>
    <w:p w:rsidR="00AC12B4" w:rsidRDefault="00AC12B4">
      <w:pPr>
        <w:spacing w:line="199" w:lineRule="exact"/>
        <w:rPr>
          <w:sz w:val="20"/>
          <w:szCs w:val="20"/>
        </w:rPr>
      </w:pPr>
    </w:p>
    <w:p w:rsidR="00AC12B4" w:rsidRPr="00C27636" w:rsidRDefault="00C27636">
      <w:pPr>
        <w:spacing w:line="233" w:lineRule="auto"/>
        <w:ind w:right="737"/>
        <w:jc w:val="both"/>
        <w:rPr>
          <w:sz w:val="20"/>
          <w:szCs w:val="20"/>
          <w:lang w:val="fr-BE"/>
        </w:rPr>
      </w:pPr>
      <w:r w:rsidRPr="00C27636">
        <w:rPr>
          <w:rFonts w:ascii="Calibri" w:eastAsia="Calibri" w:hAnsi="Calibri" w:cs="Calibri"/>
          <w:lang w:val="fr-BE"/>
        </w:rPr>
        <w:t xml:space="preserve">Il est vivement recommandé à HIS de faire la distinction dans une prochaine enquête </w:t>
      </w:r>
      <w:r w:rsidRPr="00C27636">
        <w:rPr>
          <w:rFonts w:ascii="Calibri" w:eastAsia="Calibri" w:hAnsi="Calibri" w:cs="Calibri"/>
          <w:lang w:val="fr-BE"/>
        </w:rPr>
        <w:t>(2018) entre les temps d’attente chez un spécialiste en santé mentale (psychiatre, neurologue) et un spécialiste en santé physique (les autres disciplines) et d’étendre la question aux moins de 15 ans.</w:t>
      </w:r>
    </w:p>
    <w:p w:rsidR="00AC12B4" w:rsidRPr="00C27636" w:rsidRDefault="00AC12B4">
      <w:pPr>
        <w:spacing w:line="211"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919715"/>
          <w:sz w:val="26"/>
          <w:szCs w:val="26"/>
          <w:lang w:val="fr-BE"/>
        </w:rPr>
        <w:t>Pour aller plus loin</w:t>
      </w:r>
    </w:p>
    <w:p w:rsidR="00AC12B4" w:rsidRPr="00C27636" w:rsidRDefault="00AC12B4">
      <w:pPr>
        <w:spacing w:line="114" w:lineRule="exact"/>
        <w:rPr>
          <w:sz w:val="20"/>
          <w:szCs w:val="20"/>
          <w:lang w:val="fr-BE"/>
        </w:rPr>
      </w:pPr>
    </w:p>
    <w:p w:rsidR="00AC12B4" w:rsidRPr="00C27636" w:rsidRDefault="00C27636">
      <w:pPr>
        <w:tabs>
          <w:tab w:val="left" w:pos="420"/>
          <w:tab w:val="left" w:pos="1280"/>
          <w:tab w:val="left" w:pos="1840"/>
          <w:tab w:val="left" w:pos="2340"/>
          <w:tab w:val="left" w:pos="2820"/>
          <w:tab w:val="left" w:pos="3700"/>
        </w:tabs>
        <w:ind w:left="80"/>
        <w:rPr>
          <w:sz w:val="20"/>
          <w:szCs w:val="20"/>
          <w:lang w:val="fr-BE"/>
        </w:rPr>
      </w:pPr>
      <w:r>
        <w:rPr>
          <w:rFonts w:ascii="Symbol" w:eastAsia="Symbol" w:hAnsi="Symbol" w:cs="Symbol"/>
          <w:sz w:val="20"/>
          <w:szCs w:val="20"/>
        </w:rPr>
        <w:t></w:t>
      </w:r>
      <w:r w:rsidRPr="00C27636">
        <w:rPr>
          <w:sz w:val="20"/>
          <w:szCs w:val="20"/>
          <w:lang w:val="fr-BE"/>
        </w:rPr>
        <w:tab/>
      </w:r>
      <w:r w:rsidRPr="00C27636">
        <w:rPr>
          <w:rFonts w:ascii="Calibri" w:eastAsia="Calibri" w:hAnsi="Calibri" w:cs="Calibri"/>
          <w:b/>
          <w:bCs/>
          <w:i/>
          <w:iCs/>
          <w:color w:val="9BBB59"/>
          <w:sz w:val="20"/>
          <w:szCs w:val="20"/>
          <w:lang w:val="fr-BE"/>
        </w:rPr>
        <w:t>Rapport</w:t>
      </w:r>
      <w:r w:rsidRPr="00C27636">
        <w:rPr>
          <w:rFonts w:ascii="Calibri" w:eastAsia="Calibri" w:hAnsi="Calibri" w:cs="Calibri"/>
          <w:b/>
          <w:bCs/>
          <w:i/>
          <w:iCs/>
          <w:color w:val="9BBB59"/>
          <w:sz w:val="20"/>
          <w:szCs w:val="20"/>
          <w:lang w:val="fr-BE"/>
        </w:rPr>
        <w:tab/>
        <w:t>HIS:</w:t>
      </w:r>
      <w:r w:rsidRPr="00C27636">
        <w:rPr>
          <w:sz w:val="20"/>
          <w:szCs w:val="20"/>
          <w:lang w:val="fr-BE"/>
        </w:rPr>
        <w:tab/>
      </w:r>
      <w:r w:rsidRPr="00C27636">
        <w:rPr>
          <w:rFonts w:ascii="Calibri" w:eastAsia="Calibri" w:hAnsi="Calibri" w:cs="Calibri"/>
          <w:sz w:val="20"/>
          <w:szCs w:val="20"/>
          <w:lang w:val="fr-BE"/>
        </w:rPr>
        <w:t>Van</w:t>
      </w:r>
      <w:r w:rsidRPr="00C27636">
        <w:rPr>
          <w:rFonts w:ascii="Calibri" w:eastAsia="Calibri" w:hAnsi="Calibri" w:cs="Calibri"/>
          <w:sz w:val="20"/>
          <w:szCs w:val="20"/>
          <w:lang w:val="fr-BE"/>
        </w:rPr>
        <w:tab/>
        <w:t>der</w:t>
      </w:r>
      <w:r w:rsidRPr="00C27636">
        <w:rPr>
          <w:rFonts w:ascii="Calibri" w:eastAsia="Calibri" w:hAnsi="Calibri" w:cs="Calibri"/>
          <w:sz w:val="20"/>
          <w:szCs w:val="20"/>
          <w:lang w:val="fr-BE"/>
        </w:rPr>
        <w:tab/>
        <w:t>Heyden,</w:t>
      </w:r>
      <w:r w:rsidRPr="00C27636">
        <w:rPr>
          <w:sz w:val="20"/>
          <w:szCs w:val="20"/>
          <w:lang w:val="fr-BE"/>
        </w:rPr>
        <w:tab/>
      </w:r>
      <w:r w:rsidRPr="00C27636">
        <w:rPr>
          <w:rFonts w:ascii="Calibri" w:eastAsia="Calibri" w:hAnsi="Calibri" w:cs="Calibri"/>
          <w:sz w:val="19"/>
          <w:szCs w:val="19"/>
          <w:lang w:val="fr-BE"/>
        </w:rPr>
        <w:t>J.,</w:t>
      </w:r>
    </w:p>
    <w:p w:rsidR="00AC12B4" w:rsidRPr="00C27636" w:rsidRDefault="00AC12B4">
      <w:pPr>
        <w:spacing w:line="132" w:lineRule="exact"/>
        <w:rPr>
          <w:sz w:val="20"/>
          <w:szCs w:val="20"/>
          <w:lang w:val="fr-BE"/>
        </w:rPr>
      </w:pPr>
    </w:p>
    <w:p w:rsidR="00AC12B4" w:rsidRPr="00C27636" w:rsidRDefault="00C27636">
      <w:pPr>
        <w:spacing w:line="265" w:lineRule="auto"/>
        <w:ind w:left="440" w:right="737"/>
        <w:jc w:val="both"/>
        <w:rPr>
          <w:sz w:val="20"/>
          <w:szCs w:val="20"/>
          <w:lang w:val="fr-BE"/>
        </w:rPr>
      </w:pPr>
      <w:r w:rsidRPr="00C27636">
        <w:rPr>
          <w:rFonts w:ascii="Calibri" w:eastAsia="Calibri" w:hAnsi="Calibri" w:cs="Calibri"/>
          <w:sz w:val="20"/>
          <w:szCs w:val="20"/>
          <w:lang w:val="fr-BE"/>
        </w:rPr>
        <w:t xml:space="preserve">« L’expérience du patient », dans : Drieskens, S., Gisle, L. (éd.), </w:t>
      </w:r>
      <w:r w:rsidRPr="00C27636">
        <w:rPr>
          <w:rFonts w:ascii="Calibri" w:eastAsia="Calibri" w:hAnsi="Calibri" w:cs="Calibri"/>
          <w:i/>
          <w:iCs/>
          <w:sz w:val="20"/>
          <w:szCs w:val="20"/>
          <w:lang w:val="fr-BE"/>
        </w:rPr>
        <w:t>Enquête de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 xml:space="preserve">santé 2013. Rapport 3 : Utilisation des services de soins de santé et des services sociaux, </w:t>
      </w:r>
      <w:r w:rsidRPr="00C27636">
        <w:rPr>
          <w:rFonts w:ascii="Calibri" w:eastAsia="Calibri" w:hAnsi="Calibri" w:cs="Calibri"/>
          <w:sz w:val="20"/>
          <w:szCs w:val="20"/>
          <w:lang w:val="fr-BE"/>
        </w:rPr>
        <w:t>WIV-ISP, Bruxelles, 2015.</w:t>
      </w:r>
    </w:p>
    <w:p w:rsidR="00AC12B4" w:rsidRPr="00C27636" w:rsidRDefault="00AC12B4">
      <w:pPr>
        <w:spacing w:line="269" w:lineRule="exact"/>
        <w:rPr>
          <w:sz w:val="20"/>
          <w:szCs w:val="20"/>
          <w:lang w:val="fr-BE"/>
        </w:rPr>
      </w:pPr>
    </w:p>
    <w:p w:rsidR="00AC12B4" w:rsidRPr="00C27636" w:rsidRDefault="00C27636">
      <w:pPr>
        <w:numPr>
          <w:ilvl w:val="0"/>
          <w:numId w:val="115"/>
        </w:numPr>
        <w:tabs>
          <w:tab w:val="left" w:pos="440"/>
        </w:tabs>
        <w:spacing w:line="264" w:lineRule="auto"/>
        <w:ind w:left="440" w:right="757" w:hanging="367"/>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Données objectives : </w:t>
      </w:r>
      <w:r w:rsidRPr="00C27636">
        <w:rPr>
          <w:rFonts w:ascii="Calibri" w:eastAsia="Calibri" w:hAnsi="Calibri" w:cs="Calibri"/>
          <w:color w:val="000000"/>
          <w:sz w:val="20"/>
          <w:szCs w:val="20"/>
          <w:lang w:val="fr-BE"/>
        </w:rPr>
        <w:t>En Flandre le temps</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 xml:space="preserve">d’attente </w:t>
      </w:r>
      <w:r w:rsidRPr="00C27636">
        <w:rPr>
          <w:rFonts w:ascii="Calibri" w:eastAsia="Calibri" w:hAnsi="Calibri" w:cs="Calibri"/>
          <w:color w:val="000000"/>
          <w:sz w:val="20"/>
          <w:szCs w:val="20"/>
          <w:lang w:val="fr-BE"/>
        </w:rPr>
        <w:t>moyen dans les CGG (centres de santé mentale) pour les mineurs est resté stable entre 2009 et 2014, autour de 50 jours (et ne diffère pas de celui des adultes).</w:t>
      </w:r>
    </w:p>
    <w:p w:rsidR="00AC12B4" w:rsidRPr="00C27636" w:rsidRDefault="00AC12B4">
      <w:pPr>
        <w:spacing w:line="59" w:lineRule="exact"/>
        <w:rPr>
          <w:rFonts w:ascii="Symbol" w:eastAsia="Symbol" w:hAnsi="Symbol" w:cs="Symbol"/>
          <w:sz w:val="20"/>
          <w:szCs w:val="20"/>
          <w:lang w:val="fr-BE"/>
        </w:rPr>
      </w:pPr>
    </w:p>
    <w:p w:rsidR="00AC12B4" w:rsidRPr="00C27636" w:rsidRDefault="00C27636">
      <w:pPr>
        <w:spacing w:line="271" w:lineRule="auto"/>
        <w:ind w:left="440" w:right="737"/>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En 2014, les centres de signalement de crise ont enregistré 700 jeunes sur la liste d’attente </w:t>
      </w:r>
      <w:r w:rsidRPr="00C27636">
        <w:rPr>
          <w:rFonts w:ascii="Calibri" w:eastAsia="Calibri" w:hAnsi="Calibri" w:cs="Calibri"/>
          <w:sz w:val="20"/>
          <w:szCs w:val="20"/>
          <w:lang w:val="fr-BE"/>
        </w:rPr>
        <w:t>sur un total de 5.456 signalements (contre seulement 2752 signalements en 2012). En Flandre, un enregistrement centralisé des temps d’attente dans l’aide non-directement accessible (donc : uniquement sur renvoi centralisé par la ‘porte d‘entrée intersector</w:t>
      </w:r>
      <w:r w:rsidRPr="00C27636">
        <w:rPr>
          <w:rFonts w:ascii="Calibri" w:eastAsia="Calibri" w:hAnsi="Calibri" w:cs="Calibri"/>
          <w:sz w:val="20"/>
          <w:szCs w:val="20"/>
          <w:lang w:val="fr-BE"/>
        </w:rPr>
        <w:t>ale’) a lieu depuis mars 2015 et sera disponible à partir de 2016.</w:t>
      </w:r>
    </w:p>
    <w:p w:rsidR="00AC12B4" w:rsidRPr="00C27636" w:rsidRDefault="00AC12B4">
      <w:pPr>
        <w:spacing w:line="56" w:lineRule="exact"/>
        <w:rPr>
          <w:rFonts w:ascii="Symbol" w:eastAsia="Symbol" w:hAnsi="Symbol" w:cs="Symbol"/>
          <w:sz w:val="20"/>
          <w:szCs w:val="20"/>
          <w:lang w:val="fr-BE"/>
        </w:rPr>
      </w:pPr>
    </w:p>
    <w:p w:rsidR="00AC12B4" w:rsidRPr="00C27636" w:rsidRDefault="00C27636">
      <w:pPr>
        <w:spacing w:line="254" w:lineRule="auto"/>
        <w:ind w:left="440" w:right="737"/>
        <w:jc w:val="both"/>
        <w:rPr>
          <w:rFonts w:ascii="Symbol" w:eastAsia="Symbol" w:hAnsi="Symbol" w:cs="Symbol"/>
          <w:sz w:val="20"/>
          <w:szCs w:val="20"/>
          <w:lang w:val="fr-BE"/>
        </w:rPr>
      </w:pPr>
      <w:r w:rsidRPr="00C27636">
        <w:rPr>
          <w:rFonts w:ascii="Calibri" w:eastAsia="Calibri" w:hAnsi="Calibri" w:cs="Calibri"/>
          <w:sz w:val="20"/>
          <w:szCs w:val="20"/>
          <w:lang w:val="fr-BE"/>
        </w:rPr>
        <w:t>Malheureusement, il n’existe actuellement pas de données similaires au niveau de la Région wallonne.</w:t>
      </w:r>
    </w:p>
    <w:p w:rsidR="00AC12B4" w:rsidRPr="00C27636" w:rsidRDefault="00AC12B4">
      <w:pPr>
        <w:rPr>
          <w:lang w:val="fr-BE"/>
        </w:rPr>
        <w:sectPr w:rsidR="00AC12B4" w:rsidRPr="00C27636">
          <w:pgSz w:w="12080" w:h="17179"/>
          <w:pgMar w:top="1440" w:right="1440" w:bottom="659" w:left="485" w:header="0" w:footer="0" w:gutter="0"/>
          <w:cols w:num="3" w:space="720" w:equalWidth="0">
            <w:col w:w="342" w:space="253"/>
            <w:col w:w="4700" w:space="240"/>
            <w:col w:w="4617"/>
          </w:cols>
        </w:sectPr>
      </w:pPr>
    </w:p>
    <w:p w:rsidR="00AC12B4" w:rsidRPr="00C27636" w:rsidRDefault="00C27636">
      <w:pPr>
        <w:spacing w:line="168" w:lineRule="exact"/>
        <w:rPr>
          <w:sz w:val="20"/>
          <w:szCs w:val="20"/>
          <w:lang w:val="fr-BE"/>
        </w:rPr>
      </w:pPr>
      <w:bookmarkStart w:id="80" w:name="page81"/>
      <w:bookmarkEnd w:id="80"/>
      <w:r>
        <w:rPr>
          <w:noProof/>
          <w:sz w:val="20"/>
          <w:szCs w:val="20"/>
        </w:rPr>
        <w:lastRenderedPageBreak/>
        <w:drawing>
          <wp:anchor distT="0" distB="0" distL="114300" distR="114300" simplePos="0" relativeHeight="251512320" behindDoc="1" locked="0" layoutInCell="0" allowOverlap="1">
            <wp:simplePos x="0" y="0"/>
            <wp:positionH relativeFrom="page">
              <wp:posOffset>4931410</wp:posOffset>
            </wp:positionH>
            <wp:positionV relativeFrom="page">
              <wp:posOffset>0</wp:posOffset>
            </wp:positionV>
            <wp:extent cx="2737485" cy="10908665"/>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8">
                      <a:clrChange>
                        <a:clrFrom>
                          <a:srgbClr val="FFFFFF"/>
                        </a:clrFrom>
                        <a:clrTo>
                          <a:srgbClr val="FFFFFF">
                            <a:alpha val="0"/>
                          </a:srgbClr>
                        </a:clrTo>
                      </a:clrChange>
                      <a:extLst/>
                    </a:blip>
                    <a:srcRect/>
                    <a:stretch>
                      <a:fillRect/>
                    </a:stretch>
                  </pic:blipFill>
                  <pic:spPr bwMode="auto">
                    <a:xfrm>
                      <a:off x="0" y="0"/>
                      <a:ext cx="2737485" cy="10908665"/>
                    </a:xfrm>
                    <a:prstGeom prst="rect">
                      <a:avLst/>
                    </a:prstGeom>
                    <a:noFill/>
                  </pic:spPr>
                </pic:pic>
              </a:graphicData>
            </a:graphic>
          </wp:anchor>
        </w:drawing>
      </w:r>
    </w:p>
    <w:p w:rsidR="00AC12B4" w:rsidRPr="00C27636" w:rsidRDefault="00C27636">
      <w:pPr>
        <w:ind w:left="880"/>
        <w:rPr>
          <w:sz w:val="20"/>
          <w:szCs w:val="20"/>
          <w:lang w:val="fr-BE"/>
        </w:rPr>
      </w:pPr>
      <w:r w:rsidRPr="00C27636">
        <w:rPr>
          <w:rFonts w:ascii="Comic Sans MS" w:eastAsia="Comic Sans MS" w:hAnsi="Comic Sans MS" w:cs="Comic Sans MS"/>
          <w:color w:val="C9D11D"/>
          <w:sz w:val="40"/>
          <w:szCs w:val="40"/>
          <w:lang w:val="fr-BE"/>
        </w:rPr>
        <w:t>S7. Qualité des soins de santé</w:t>
      </w:r>
    </w:p>
    <w:p w:rsidR="00AC12B4" w:rsidRPr="00C27636" w:rsidRDefault="00AC12B4">
      <w:pPr>
        <w:rPr>
          <w:lang w:val="fr-BE"/>
        </w:rPr>
        <w:sectPr w:rsidR="00AC12B4" w:rsidRPr="00C27636">
          <w:pgSz w:w="12080" w:h="17179"/>
          <w:pgMar w:top="1440" w:right="532" w:bottom="659" w:left="1120" w:header="0" w:footer="0" w:gutter="0"/>
          <w:cols w:space="720" w:equalWidth="0">
            <w:col w:w="10425"/>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1" w:lineRule="exact"/>
        <w:rPr>
          <w:sz w:val="20"/>
          <w:szCs w:val="20"/>
          <w:lang w:val="fr-BE"/>
        </w:rPr>
      </w:pPr>
    </w:p>
    <w:p w:rsidR="00AC12B4" w:rsidRDefault="00C27636">
      <w:pPr>
        <w:rPr>
          <w:sz w:val="20"/>
          <w:szCs w:val="20"/>
        </w:rPr>
      </w:pPr>
      <w:r>
        <w:rPr>
          <w:rFonts w:ascii="Calibri" w:eastAsia="Calibri" w:hAnsi="Calibri" w:cs="Calibri"/>
          <w:i/>
          <w:iCs/>
          <w:color w:val="EAF1DD"/>
        </w:rPr>
        <w:t>Article 24 CIDE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13344" behindDoc="1" locked="0" layoutInCell="0" allowOverlap="1">
                <wp:simplePos x="0" y="0"/>
                <wp:positionH relativeFrom="column">
                  <wp:posOffset>-351155</wp:posOffset>
                </wp:positionH>
                <wp:positionV relativeFrom="paragraph">
                  <wp:posOffset>-471170</wp:posOffset>
                </wp:positionV>
                <wp:extent cx="3559810" cy="2850515"/>
                <wp:effectExtent l="0" t="0" r="0" b="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2850515"/>
                        </a:xfrm>
                        <a:prstGeom prst="rect">
                          <a:avLst/>
                        </a:prstGeom>
                        <a:solidFill>
                          <a:srgbClr val="C9D11D"/>
                        </a:solidFill>
                      </wps:spPr>
                      <wps:bodyPr/>
                    </wps:wsp>
                  </a:graphicData>
                </a:graphic>
              </wp:anchor>
            </w:drawing>
          </mc:Choice>
          <mc:Fallback>
            <w:pict>
              <v:rect id="Shape 170" o:spid="_x0000_s1195" style="position:absolute;margin-left:-27.6499pt;margin-top:-37.0999pt;width:280.3pt;height:2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D11D" stroked="f"/>
            </w:pict>
          </mc:Fallback>
        </mc:AlternateContent>
      </w:r>
      <w:r>
        <w:rPr>
          <w:noProof/>
          <w:sz w:val="20"/>
          <w:szCs w:val="20"/>
        </w:rPr>
        <mc:AlternateContent>
          <mc:Choice Requires="wps">
            <w:drawing>
              <wp:anchor distT="0" distB="0" distL="114300" distR="114300" simplePos="0" relativeHeight="251514368" behindDoc="1" locked="0" layoutInCell="0" allowOverlap="1">
                <wp:simplePos x="0" y="0"/>
                <wp:positionH relativeFrom="column">
                  <wp:posOffset>3208655</wp:posOffset>
                </wp:positionH>
                <wp:positionV relativeFrom="paragraph">
                  <wp:posOffset>-483870</wp:posOffset>
                </wp:positionV>
                <wp:extent cx="0" cy="2875915"/>
                <wp:effectExtent l="0" t="0" r="0" b="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7591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38.0999pt" to="252.65pt,188.35pt" o:allowincell="f" strokecolor="#919715" strokeweight="2pt"/>
            </w:pict>
          </mc:Fallback>
        </mc:AlternateContent>
      </w:r>
      <w:r>
        <w:rPr>
          <w:noProof/>
          <w:sz w:val="20"/>
          <w:szCs w:val="20"/>
        </w:rPr>
        <mc:AlternateContent>
          <mc:Choice Requires="wps">
            <w:drawing>
              <wp:anchor distT="0" distB="0" distL="114300" distR="114300" simplePos="0" relativeHeight="251515392" behindDoc="1" locked="0" layoutInCell="0" allowOverlap="1">
                <wp:simplePos x="0" y="0"/>
                <wp:positionH relativeFrom="column">
                  <wp:posOffset>-363855</wp:posOffset>
                </wp:positionH>
                <wp:positionV relativeFrom="paragraph">
                  <wp:posOffset>-471170</wp:posOffset>
                </wp:positionV>
                <wp:extent cx="3585210" cy="0"/>
                <wp:effectExtent l="0" t="0" r="0" b="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37.0999pt" to="253.65pt,-37.0999pt" o:allowincell="f" strokecolor="#919715" strokeweight="2pt"/>
            </w:pict>
          </mc:Fallback>
        </mc:AlternateContent>
      </w:r>
      <w:r>
        <w:rPr>
          <w:noProof/>
          <w:sz w:val="20"/>
          <w:szCs w:val="20"/>
        </w:rPr>
        <mc:AlternateContent>
          <mc:Choice Requires="wps">
            <w:drawing>
              <wp:anchor distT="0" distB="0" distL="114300" distR="114300" simplePos="0" relativeHeight="251516416" behindDoc="1" locked="0" layoutInCell="0" allowOverlap="1">
                <wp:simplePos x="0" y="0"/>
                <wp:positionH relativeFrom="column">
                  <wp:posOffset>-351155</wp:posOffset>
                </wp:positionH>
                <wp:positionV relativeFrom="paragraph">
                  <wp:posOffset>-483870</wp:posOffset>
                </wp:positionV>
                <wp:extent cx="0" cy="2875915"/>
                <wp:effectExtent l="0" t="0" r="0" b="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7591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38.0999pt" to="-27.6499pt,188.35pt" o:allowincell="f" strokecolor="#919715" strokeweight="2pt"/>
            </w:pict>
          </mc:Fallback>
        </mc:AlternateContent>
      </w:r>
      <w:r>
        <w:rPr>
          <w:noProof/>
          <w:sz w:val="20"/>
          <w:szCs w:val="20"/>
        </w:rPr>
        <mc:AlternateContent>
          <mc:Choice Requires="wps">
            <w:drawing>
              <wp:anchor distT="0" distB="0" distL="114300" distR="114300" simplePos="0" relativeHeight="251517440" behindDoc="1" locked="0" layoutInCell="0" allowOverlap="1">
                <wp:simplePos x="0" y="0"/>
                <wp:positionH relativeFrom="column">
                  <wp:posOffset>-363855</wp:posOffset>
                </wp:positionH>
                <wp:positionV relativeFrom="paragraph">
                  <wp:posOffset>2379345</wp:posOffset>
                </wp:positionV>
                <wp:extent cx="3585210" cy="0"/>
                <wp:effectExtent l="0" t="0" r="0" b="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87.35pt" to="253.65pt,187.35pt" o:allowincell="f" strokecolor="#919715" strokeweight="2pt"/>
            </w:pict>
          </mc:Fallback>
        </mc:AlternateContent>
      </w:r>
    </w:p>
    <w:p w:rsidR="00AC12B4" w:rsidRDefault="00AC12B4">
      <w:pPr>
        <w:spacing w:line="149" w:lineRule="exact"/>
        <w:rPr>
          <w:sz w:val="20"/>
          <w:szCs w:val="20"/>
        </w:rPr>
      </w:pPr>
    </w:p>
    <w:p w:rsidR="00AC12B4" w:rsidRPr="00C27636" w:rsidRDefault="00C27636">
      <w:pPr>
        <w:numPr>
          <w:ilvl w:val="0"/>
          <w:numId w:val="116"/>
        </w:numPr>
        <w:tabs>
          <w:tab w:val="left" w:pos="247"/>
        </w:tabs>
        <w:spacing w:line="231" w:lineRule="auto"/>
        <w:ind w:right="20" w:firstLine="8"/>
        <w:jc w:val="both"/>
        <w:rPr>
          <w:rFonts w:ascii="Calibri" w:eastAsia="Calibri" w:hAnsi="Calibri" w:cs="Calibri"/>
          <w:i/>
          <w:iCs/>
          <w:color w:val="EAF1DD"/>
          <w:lang w:val="fr-BE"/>
        </w:rPr>
      </w:pPr>
      <w:r w:rsidRPr="00C27636">
        <w:rPr>
          <w:rFonts w:ascii="Calibri" w:eastAsia="Calibri" w:hAnsi="Calibri" w:cs="Calibri"/>
          <w:i/>
          <w:iCs/>
          <w:color w:val="EAF1DD"/>
          <w:lang w:val="fr-BE"/>
        </w:rPr>
        <w:t xml:space="preserve">Les Etats parties reconnaissent le droit de l’enfant de jouir du meilleur état de santé possible et de bénéficier de services médicaux et de rééducation. Ils s’efforcent de garantir qu’aucun enfant ne soit privé du droit d’avoir </w:t>
      </w:r>
      <w:r w:rsidRPr="00C27636">
        <w:rPr>
          <w:rFonts w:ascii="Calibri" w:eastAsia="Calibri" w:hAnsi="Calibri" w:cs="Calibri"/>
          <w:i/>
          <w:iCs/>
          <w:color w:val="EAF1DD"/>
          <w:lang w:val="fr-BE"/>
        </w:rPr>
        <w:t>accès à ces services.</w:t>
      </w:r>
    </w:p>
    <w:p w:rsidR="00AC12B4" w:rsidRPr="00C27636" w:rsidRDefault="00AC12B4">
      <w:pPr>
        <w:spacing w:line="111" w:lineRule="exact"/>
        <w:rPr>
          <w:rFonts w:ascii="Calibri" w:eastAsia="Calibri" w:hAnsi="Calibri" w:cs="Calibri"/>
          <w:i/>
          <w:iCs/>
          <w:color w:val="EAF1DD"/>
          <w:lang w:val="fr-BE"/>
        </w:rPr>
      </w:pPr>
    </w:p>
    <w:p w:rsidR="00AC12B4" w:rsidRPr="00C27636" w:rsidRDefault="00C27636">
      <w:pPr>
        <w:numPr>
          <w:ilvl w:val="0"/>
          <w:numId w:val="116"/>
        </w:numPr>
        <w:tabs>
          <w:tab w:val="left" w:pos="237"/>
        </w:tabs>
        <w:spacing w:line="225" w:lineRule="auto"/>
        <w:ind w:firstLine="8"/>
        <w:jc w:val="both"/>
        <w:rPr>
          <w:rFonts w:ascii="Calibri" w:eastAsia="Calibri" w:hAnsi="Calibri" w:cs="Calibri"/>
          <w:i/>
          <w:iCs/>
          <w:color w:val="EAF1DD"/>
          <w:lang w:val="fr-BE"/>
        </w:rPr>
      </w:pPr>
      <w:r w:rsidRPr="00C27636">
        <w:rPr>
          <w:rFonts w:ascii="Calibri" w:eastAsia="Calibri" w:hAnsi="Calibri" w:cs="Calibri"/>
          <w:i/>
          <w:iCs/>
          <w:color w:val="EAF1DD"/>
          <w:lang w:val="fr-BE"/>
        </w:rPr>
        <w:t>Les Etats parties s’efforcent d’assurer la réalisation intégrale du droit susmentionné et, en particulier, prennent les mesures appropriées pour :</w:t>
      </w:r>
    </w:p>
    <w:p w:rsidR="00AC12B4" w:rsidRPr="00C27636" w:rsidRDefault="00AC12B4">
      <w:pPr>
        <w:spacing w:line="112" w:lineRule="exact"/>
        <w:rPr>
          <w:sz w:val="20"/>
          <w:szCs w:val="20"/>
          <w:lang w:val="fr-BE"/>
        </w:rPr>
      </w:pPr>
    </w:p>
    <w:p w:rsidR="00AC12B4" w:rsidRPr="00C27636" w:rsidRDefault="00C27636">
      <w:pPr>
        <w:numPr>
          <w:ilvl w:val="0"/>
          <w:numId w:val="117"/>
        </w:numPr>
        <w:tabs>
          <w:tab w:val="left" w:pos="257"/>
        </w:tabs>
        <w:spacing w:line="225" w:lineRule="auto"/>
        <w:ind w:firstLine="8"/>
        <w:jc w:val="both"/>
        <w:rPr>
          <w:rFonts w:ascii="Calibri" w:eastAsia="Calibri" w:hAnsi="Calibri" w:cs="Calibri"/>
          <w:i/>
          <w:iCs/>
          <w:color w:val="EAF1DD"/>
          <w:lang w:val="fr-BE"/>
        </w:rPr>
      </w:pPr>
      <w:r w:rsidRPr="00C27636">
        <w:rPr>
          <w:rFonts w:ascii="Calibri" w:eastAsia="Calibri" w:hAnsi="Calibri" w:cs="Calibri"/>
          <w:i/>
          <w:iCs/>
          <w:color w:val="EAF1DD"/>
          <w:lang w:val="fr-BE"/>
        </w:rPr>
        <w:t xml:space="preserve">Assurer à tous les enfants l’assistance médicale et les soins de santé nécessaires, </w:t>
      </w:r>
      <w:r w:rsidRPr="00C27636">
        <w:rPr>
          <w:rFonts w:ascii="Calibri" w:eastAsia="Calibri" w:hAnsi="Calibri" w:cs="Calibri"/>
          <w:i/>
          <w:iCs/>
          <w:color w:val="EAF1DD"/>
          <w:lang w:val="fr-BE"/>
        </w:rPr>
        <w:t>l’accent étant mis sur le développement des soins de santé primaires.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0" w:lineRule="exact"/>
        <w:rPr>
          <w:sz w:val="20"/>
          <w:szCs w:val="20"/>
          <w:lang w:val="fr-BE"/>
        </w:rPr>
      </w:pPr>
    </w:p>
    <w:p w:rsidR="00AC12B4" w:rsidRPr="00C27636" w:rsidRDefault="00C27636">
      <w:pPr>
        <w:spacing w:line="225" w:lineRule="auto"/>
        <w:ind w:left="880" w:right="140"/>
        <w:jc w:val="both"/>
        <w:rPr>
          <w:sz w:val="20"/>
          <w:szCs w:val="20"/>
          <w:lang w:val="fr-BE"/>
        </w:rPr>
      </w:pPr>
      <w:r w:rsidRPr="00C27636">
        <w:rPr>
          <w:rFonts w:ascii="Calibri" w:eastAsia="Calibri" w:hAnsi="Calibri" w:cs="Calibri"/>
          <w:lang w:val="fr-BE"/>
        </w:rPr>
        <w:t>Le droit de jouir du meilleur état de santé possible comprend la condition de soins de qualité.</w:t>
      </w:r>
    </w:p>
    <w:p w:rsidR="00AC12B4" w:rsidRPr="00C27636" w:rsidRDefault="00AC12B4">
      <w:pPr>
        <w:spacing w:line="171" w:lineRule="exact"/>
        <w:rPr>
          <w:sz w:val="20"/>
          <w:szCs w:val="20"/>
          <w:lang w:val="fr-BE"/>
        </w:rPr>
      </w:pPr>
    </w:p>
    <w:p w:rsidR="00AC12B4" w:rsidRPr="00C27636" w:rsidRDefault="00C27636">
      <w:pPr>
        <w:spacing w:line="229" w:lineRule="auto"/>
        <w:ind w:left="880" w:right="140"/>
        <w:jc w:val="both"/>
        <w:rPr>
          <w:sz w:val="20"/>
          <w:szCs w:val="20"/>
          <w:lang w:val="fr-BE"/>
        </w:rPr>
      </w:pPr>
      <w:r w:rsidRPr="00C27636">
        <w:rPr>
          <w:rFonts w:ascii="Calibri" w:eastAsia="Calibri" w:hAnsi="Calibri" w:cs="Calibri"/>
          <w:lang w:val="fr-BE"/>
        </w:rPr>
        <w:t xml:space="preserve">La qualité des soins de santé n’est pas quelque chose d’aisé à mesurer. Les facteurs </w:t>
      </w:r>
      <w:r w:rsidRPr="00C27636">
        <w:rPr>
          <w:rFonts w:ascii="Calibri" w:eastAsia="Calibri" w:hAnsi="Calibri" w:cs="Calibri"/>
          <w:lang w:val="fr-BE"/>
        </w:rPr>
        <w:t>influençant la qualité sont multiples. Dans le rapport KCE</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 xml:space="preserve">, qualité est vue comme Efficacité, Adéquation, Sécurité, Continuité des soins et Centralité du patient. Cependant, les indicateurs développés dans ce rapport ne sont, en majorité, pas spécifiques </w:t>
      </w:r>
      <w:r w:rsidRPr="00C27636">
        <w:rPr>
          <w:rFonts w:ascii="Calibri" w:eastAsia="Calibri" w:hAnsi="Calibri" w:cs="Calibri"/>
          <w:lang w:val="fr-BE"/>
        </w:rPr>
        <w:t>aux enfants.</w:t>
      </w:r>
    </w:p>
    <w:p w:rsidR="00AC12B4" w:rsidRPr="00C27636" w:rsidRDefault="00AC12B4">
      <w:pPr>
        <w:spacing w:line="173" w:lineRule="exact"/>
        <w:rPr>
          <w:sz w:val="20"/>
          <w:szCs w:val="20"/>
          <w:lang w:val="fr-BE"/>
        </w:rPr>
      </w:pPr>
    </w:p>
    <w:p w:rsidR="00AC12B4" w:rsidRPr="00C27636" w:rsidRDefault="00C27636">
      <w:pPr>
        <w:spacing w:line="225" w:lineRule="auto"/>
        <w:ind w:left="880" w:right="140"/>
        <w:jc w:val="both"/>
        <w:rPr>
          <w:sz w:val="20"/>
          <w:szCs w:val="20"/>
          <w:lang w:val="fr-BE"/>
        </w:rPr>
      </w:pPr>
      <w:r w:rsidRPr="00C27636">
        <w:rPr>
          <w:rFonts w:ascii="Calibri" w:eastAsia="Calibri" w:hAnsi="Calibri" w:cs="Calibri"/>
          <w:lang w:val="fr-BE"/>
        </w:rPr>
        <w:t>Le choix a donc été de se limiter ici à deux mesures de la qualité des soins de santé : la (sur)consommation d’antibiotiques et la</w:t>
      </w:r>
    </w:p>
    <w:p w:rsidR="00AC12B4" w:rsidRPr="00C27636" w:rsidRDefault="00AC12B4">
      <w:pPr>
        <w:spacing w:line="51" w:lineRule="exact"/>
        <w:rPr>
          <w:sz w:val="20"/>
          <w:szCs w:val="20"/>
          <w:lang w:val="fr-BE"/>
        </w:rPr>
      </w:pPr>
    </w:p>
    <w:p w:rsidR="00AC12B4" w:rsidRPr="00C27636" w:rsidRDefault="00C27636">
      <w:pPr>
        <w:spacing w:line="218" w:lineRule="auto"/>
        <w:ind w:left="880" w:right="140"/>
        <w:jc w:val="both"/>
        <w:rPr>
          <w:sz w:val="20"/>
          <w:szCs w:val="20"/>
          <w:lang w:val="fr-BE"/>
        </w:rPr>
      </w:pPr>
      <w:r w:rsidRPr="00C27636">
        <w:rPr>
          <w:rFonts w:ascii="Calibri" w:eastAsia="Calibri" w:hAnsi="Calibri" w:cs="Calibri"/>
          <w:lang w:val="fr-BE"/>
        </w:rPr>
        <w:t>prescription de psychotropes/psychostimulants.</w:t>
      </w:r>
    </w:p>
    <w:p w:rsidR="00AC12B4" w:rsidRPr="00C27636" w:rsidRDefault="00AC12B4">
      <w:pPr>
        <w:spacing w:line="207" w:lineRule="exact"/>
        <w:rPr>
          <w:sz w:val="20"/>
          <w:szCs w:val="20"/>
          <w:lang w:val="fr-BE"/>
        </w:rPr>
      </w:pPr>
    </w:p>
    <w:p w:rsidR="00AC12B4" w:rsidRPr="00C27636" w:rsidRDefault="00C27636">
      <w:pPr>
        <w:ind w:left="880"/>
        <w:rPr>
          <w:sz w:val="20"/>
          <w:szCs w:val="20"/>
          <w:lang w:val="fr-BE"/>
        </w:rPr>
      </w:pPr>
      <w:r w:rsidRPr="00C27636">
        <w:rPr>
          <w:rFonts w:ascii="Cambria" w:eastAsia="Cambria" w:hAnsi="Cambria" w:cs="Cambria"/>
          <w:b/>
          <w:bCs/>
          <w:i/>
          <w:iCs/>
          <w:color w:val="919715"/>
          <w:sz w:val="26"/>
          <w:szCs w:val="26"/>
          <w:lang w:val="fr-BE"/>
        </w:rPr>
        <w:t>Antibiotiques</w:t>
      </w:r>
    </w:p>
    <w:p w:rsidR="00AC12B4" w:rsidRPr="00C27636" w:rsidRDefault="00AC12B4">
      <w:pPr>
        <w:spacing w:line="208" w:lineRule="exact"/>
        <w:rPr>
          <w:sz w:val="20"/>
          <w:szCs w:val="20"/>
          <w:lang w:val="fr-BE"/>
        </w:rPr>
      </w:pPr>
    </w:p>
    <w:p w:rsidR="00AC12B4" w:rsidRPr="00C27636" w:rsidRDefault="00C27636">
      <w:pPr>
        <w:spacing w:line="232" w:lineRule="auto"/>
        <w:ind w:left="880" w:right="140"/>
        <w:jc w:val="both"/>
        <w:rPr>
          <w:sz w:val="20"/>
          <w:szCs w:val="20"/>
          <w:lang w:val="fr-BE"/>
        </w:rPr>
      </w:pPr>
      <w:r w:rsidRPr="00C27636">
        <w:rPr>
          <w:rFonts w:ascii="Calibri" w:eastAsia="Calibri" w:hAnsi="Calibri" w:cs="Calibri"/>
          <w:lang w:val="fr-BE"/>
        </w:rPr>
        <w:t xml:space="preserve">Des soins de qualité pourraient se définir </w:t>
      </w:r>
      <w:r w:rsidRPr="00C27636">
        <w:rPr>
          <w:rFonts w:ascii="Calibri" w:eastAsia="Calibri" w:hAnsi="Calibri" w:cs="Calibri"/>
          <w:lang w:val="fr-BE"/>
        </w:rPr>
        <w:t>comme des soins correspondant aux traitements ayant fait leurs preuves et étant recommandés sur la scène scientifique internationale. Afin de mesurer l'adhésion des médecins aux</w:t>
      </w:r>
    </w:p>
    <w:p w:rsidR="00AC12B4" w:rsidRPr="00C27636" w:rsidRDefault="00AC12B4">
      <w:pPr>
        <w:spacing w:line="4" w:lineRule="exact"/>
        <w:rPr>
          <w:sz w:val="20"/>
          <w:szCs w:val="20"/>
          <w:lang w:val="fr-BE"/>
        </w:rPr>
      </w:pPr>
    </w:p>
    <w:p w:rsidR="00AC12B4" w:rsidRPr="00C27636" w:rsidRDefault="00C27636">
      <w:pPr>
        <w:tabs>
          <w:tab w:val="left" w:pos="3060"/>
          <w:tab w:val="left" w:pos="4560"/>
        </w:tabs>
        <w:ind w:left="880"/>
        <w:rPr>
          <w:sz w:val="20"/>
          <w:szCs w:val="20"/>
          <w:lang w:val="fr-BE"/>
        </w:rPr>
      </w:pPr>
      <w:r w:rsidRPr="00C27636">
        <w:rPr>
          <w:rFonts w:ascii="Calibri" w:eastAsia="Calibri" w:hAnsi="Calibri" w:cs="Calibri"/>
          <w:lang w:val="fr-BE"/>
        </w:rPr>
        <w:t>recommandations</w:t>
      </w:r>
      <w:r w:rsidRPr="00C27636">
        <w:rPr>
          <w:sz w:val="20"/>
          <w:szCs w:val="20"/>
          <w:lang w:val="fr-BE"/>
        </w:rPr>
        <w:tab/>
      </w:r>
      <w:r w:rsidRPr="00C27636">
        <w:rPr>
          <w:rFonts w:ascii="Calibri" w:eastAsia="Calibri" w:hAnsi="Calibri" w:cs="Calibri"/>
          <w:lang w:val="fr-BE"/>
        </w:rPr>
        <w:t>nationales</w:t>
      </w:r>
      <w:r w:rsidRPr="00C27636">
        <w:rPr>
          <w:sz w:val="20"/>
          <w:szCs w:val="20"/>
          <w:lang w:val="fr-BE"/>
        </w:rPr>
        <w:tab/>
      </w:r>
      <w:r w:rsidRPr="00C27636">
        <w:rPr>
          <w:rFonts w:ascii="Calibri" w:eastAsia="Calibri" w:hAnsi="Calibri" w:cs="Calibri"/>
          <w:sz w:val="21"/>
          <w:szCs w:val="21"/>
          <w:lang w:val="fr-BE"/>
        </w:rPr>
        <w:t>et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18464" behindDoc="1" locked="0" layoutInCell="0" allowOverlap="1">
                <wp:simplePos x="0" y="0"/>
                <wp:positionH relativeFrom="column">
                  <wp:posOffset>562610</wp:posOffset>
                </wp:positionH>
                <wp:positionV relativeFrom="paragraph">
                  <wp:posOffset>209550</wp:posOffset>
                </wp:positionV>
                <wp:extent cx="1829435" cy="0"/>
                <wp:effectExtent l="0" t="0" r="0" b="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pt,16.5pt" to="188.35pt,16.5pt" o:allowincell="f" strokecolor="#000000" strokeweight="0.7199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06" w:lineRule="exact"/>
        <w:rPr>
          <w:sz w:val="20"/>
          <w:szCs w:val="20"/>
          <w:lang w:val="fr-BE"/>
        </w:rPr>
      </w:pPr>
    </w:p>
    <w:p w:rsidR="00AC12B4" w:rsidRPr="00C27636" w:rsidRDefault="00C27636">
      <w:pPr>
        <w:spacing w:line="225" w:lineRule="auto"/>
        <w:ind w:right="680"/>
        <w:jc w:val="both"/>
        <w:rPr>
          <w:sz w:val="20"/>
          <w:szCs w:val="20"/>
          <w:lang w:val="fr-BE"/>
        </w:rPr>
      </w:pPr>
      <w:r w:rsidRPr="00C27636">
        <w:rPr>
          <w:rFonts w:ascii="Calibri" w:eastAsia="Calibri" w:hAnsi="Calibri" w:cs="Calibri"/>
          <w:lang w:val="fr-BE"/>
        </w:rPr>
        <w:t>internationales, en Belgique, le volume d'</w:t>
      </w:r>
      <w:r w:rsidRPr="00C27636">
        <w:rPr>
          <w:rFonts w:ascii="Calibri" w:eastAsia="Calibri" w:hAnsi="Calibri" w:cs="Calibri"/>
          <w:lang w:val="fr-BE"/>
        </w:rPr>
        <w:t>antibiotiques délivrés apparaît comme un indicateur pertinent.</w:t>
      </w:r>
    </w:p>
    <w:p w:rsidR="00AC12B4" w:rsidRPr="00C27636" w:rsidRDefault="00AC12B4">
      <w:pPr>
        <w:spacing w:line="171" w:lineRule="exact"/>
        <w:rPr>
          <w:sz w:val="20"/>
          <w:szCs w:val="20"/>
          <w:lang w:val="fr-BE"/>
        </w:rPr>
      </w:pPr>
    </w:p>
    <w:p w:rsidR="00AC12B4" w:rsidRPr="00C27636" w:rsidRDefault="00C27636">
      <w:pPr>
        <w:spacing w:line="235" w:lineRule="auto"/>
        <w:ind w:right="660"/>
        <w:jc w:val="both"/>
        <w:rPr>
          <w:sz w:val="20"/>
          <w:szCs w:val="20"/>
          <w:lang w:val="fr-BE"/>
        </w:rPr>
      </w:pPr>
      <w:r w:rsidRPr="00C27636">
        <w:rPr>
          <w:rFonts w:ascii="Calibri" w:eastAsia="Calibri" w:hAnsi="Calibri" w:cs="Calibri"/>
          <w:lang w:val="fr-BE"/>
        </w:rPr>
        <w:t>Les antibiotiques permettent d'enrayer les infections d'origine bactérienne. Ils n'ont aucun effet en cas d'infection virale (grippe, rhume, la plupart des maux de gorge et même certaines bron</w:t>
      </w:r>
      <w:r w:rsidRPr="00C27636">
        <w:rPr>
          <w:rFonts w:ascii="Calibri" w:eastAsia="Calibri" w:hAnsi="Calibri" w:cs="Calibri"/>
          <w:lang w:val="fr-BE"/>
        </w:rPr>
        <w:t>chites, ...) Par ailleurs, l'organisme est capable d'enrayer la majorité des infections bactériennes de lui-même sans aide médicamenteuse, grâce au système immunitaire.</w:t>
      </w:r>
    </w:p>
    <w:p w:rsidR="00AC12B4" w:rsidRPr="00C27636" w:rsidRDefault="00AC12B4">
      <w:pPr>
        <w:spacing w:line="177" w:lineRule="exact"/>
        <w:rPr>
          <w:sz w:val="20"/>
          <w:szCs w:val="20"/>
          <w:lang w:val="fr-BE"/>
        </w:rPr>
      </w:pPr>
    </w:p>
    <w:p w:rsidR="00AC12B4" w:rsidRPr="00C27636" w:rsidRDefault="00C27636">
      <w:pPr>
        <w:spacing w:line="229" w:lineRule="auto"/>
        <w:ind w:right="680"/>
        <w:jc w:val="both"/>
        <w:rPr>
          <w:sz w:val="20"/>
          <w:szCs w:val="20"/>
          <w:lang w:val="fr-BE"/>
        </w:rPr>
      </w:pPr>
      <w:r w:rsidRPr="00C27636">
        <w:rPr>
          <w:rFonts w:ascii="Calibri" w:eastAsia="Calibri" w:hAnsi="Calibri" w:cs="Calibri"/>
          <w:lang w:val="fr-BE"/>
        </w:rPr>
        <w:t>Par contre, les antibiotiques peuvent se révéler indispensables dans le cas de méningi</w:t>
      </w:r>
      <w:r w:rsidRPr="00C27636">
        <w:rPr>
          <w:rFonts w:ascii="Calibri" w:eastAsia="Calibri" w:hAnsi="Calibri" w:cs="Calibri"/>
          <w:lang w:val="fr-BE"/>
        </w:rPr>
        <w:t>tes bactériennes, de certaines pneumonies ou autres infections graves.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93" w:lineRule="exact"/>
        <w:rPr>
          <w:sz w:val="20"/>
          <w:szCs w:val="20"/>
          <w:lang w:val="fr-BE"/>
        </w:rPr>
      </w:pPr>
    </w:p>
    <w:p w:rsidR="00AC12B4" w:rsidRPr="00C27636" w:rsidRDefault="00C27636" w:rsidP="00C27636">
      <w:pPr>
        <w:ind w:left="-1359" w:firstLine="1359"/>
        <w:jc w:val="center"/>
        <w:rPr>
          <w:sz w:val="20"/>
          <w:szCs w:val="20"/>
          <w:lang w:val="fr-BE"/>
        </w:rPr>
      </w:pPr>
      <w:r w:rsidRPr="00C27636">
        <w:rPr>
          <w:rFonts w:ascii="Comic Sans MS" w:eastAsia="Comic Sans MS" w:hAnsi="Comic Sans MS" w:cs="Comic Sans MS"/>
          <w:color w:val="C9D11D"/>
          <w:sz w:val="96"/>
          <w:szCs w:val="96"/>
          <w:lang w:val="fr-BE"/>
        </w:rPr>
        <w:t>71%</w:t>
      </w:r>
    </w:p>
    <w:p w:rsidR="00AC12B4" w:rsidRPr="00C27636" w:rsidRDefault="00AC12B4">
      <w:pPr>
        <w:spacing w:line="3" w:lineRule="exact"/>
        <w:rPr>
          <w:sz w:val="20"/>
          <w:szCs w:val="20"/>
          <w:lang w:val="fr-BE"/>
        </w:rPr>
      </w:pPr>
    </w:p>
    <w:p w:rsidR="00AC12B4" w:rsidRPr="00C27636" w:rsidRDefault="00C27636">
      <w:pPr>
        <w:spacing w:line="239" w:lineRule="auto"/>
        <w:ind w:left="1360"/>
        <w:jc w:val="both"/>
        <w:rPr>
          <w:sz w:val="20"/>
          <w:szCs w:val="20"/>
          <w:lang w:val="fr-BE"/>
        </w:rPr>
      </w:pPr>
      <w:r w:rsidRPr="00C27636">
        <w:rPr>
          <w:rFonts w:ascii="Comic Sans MS" w:eastAsia="Comic Sans MS" w:hAnsi="Comic Sans MS" w:cs="Comic Sans MS"/>
          <w:sz w:val="24"/>
          <w:szCs w:val="24"/>
          <w:lang w:val="fr-BE"/>
        </w:rPr>
        <w:t>des 0-14 ans ayant eu un contact avec un médecin se sont vu prescrire des</w:t>
      </w:r>
    </w:p>
    <w:p w:rsidR="00AC12B4" w:rsidRPr="00C27636" w:rsidRDefault="00AC12B4">
      <w:pPr>
        <w:spacing w:line="4" w:lineRule="exact"/>
        <w:rPr>
          <w:sz w:val="20"/>
          <w:szCs w:val="20"/>
          <w:lang w:val="fr-BE"/>
        </w:rPr>
      </w:pPr>
    </w:p>
    <w:p w:rsidR="00AC12B4" w:rsidRDefault="00C27636">
      <w:pPr>
        <w:spacing w:line="239" w:lineRule="auto"/>
        <w:ind w:left="1360"/>
        <w:jc w:val="both"/>
        <w:rPr>
          <w:sz w:val="20"/>
          <w:szCs w:val="20"/>
        </w:rPr>
      </w:pPr>
      <w:r>
        <w:rPr>
          <w:rFonts w:ascii="Comic Sans MS" w:eastAsia="Comic Sans MS" w:hAnsi="Comic Sans MS" w:cs="Comic Sans MS"/>
          <w:sz w:val="24"/>
          <w:szCs w:val="24"/>
        </w:rPr>
        <w:t>antibiotiques. (INAMI 2013)</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3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05"/>
      </w:tblGrid>
      <w:tr w:rsidR="00AC12B4">
        <w:trPr>
          <w:trHeight w:val="1580"/>
        </w:trPr>
        <w:tc>
          <w:tcPr>
            <w:tcW w:w="305" w:type="dxa"/>
            <w:textDirection w:val="btLr"/>
            <w:vAlign w:val="bottom"/>
          </w:tcPr>
          <w:p w:rsidR="00AC12B4" w:rsidRDefault="00C27636">
            <w:pPr>
              <w:rPr>
                <w:sz w:val="20"/>
                <w:szCs w:val="20"/>
              </w:rPr>
            </w:pPr>
            <w:r>
              <w:rPr>
                <w:rFonts w:ascii="Calibri" w:eastAsia="Calibri" w:hAnsi="Calibri" w:cs="Calibri"/>
                <w:b/>
                <w:bCs/>
                <w:i/>
                <w:iCs/>
                <w:color w:val="F2F2F2"/>
                <w:sz w:val="25"/>
                <w:szCs w:val="25"/>
              </w:rPr>
              <w:t>droit à la</w:t>
            </w:r>
            <w:r>
              <w:rPr>
                <w:rFonts w:ascii="Calibri" w:eastAsia="Calibri" w:hAnsi="Calibri" w:cs="Calibri"/>
                <w:b/>
                <w:bCs/>
                <w:i/>
                <w:iCs/>
                <w:color w:val="F2F2F2"/>
                <w:sz w:val="25"/>
                <w:szCs w:val="25"/>
              </w:rPr>
              <w:t xml:space="preserve"> santé</w:t>
            </w:r>
          </w:p>
        </w:tc>
      </w:tr>
    </w:tbl>
    <w:p w:rsidR="00AC12B4" w:rsidRDefault="00AC12B4">
      <w:pPr>
        <w:spacing w:line="1" w:lineRule="exact"/>
        <w:rPr>
          <w:sz w:val="20"/>
          <w:szCs w:val="20"/>
        </w:rPr>
      </w:pPr>
    </w:p>
    <w:p w:rsidR="00AC12B4" w:rsidRDefault="00AC12B4">
      <w:pPr>
        <w:sectPr w:rsidR="00AC12B4">
          <w:type w:val="continuous"/>
          <w:pgSz w:w="12080" w:h="17179"/>
          <w:pgMar w:top="1440" w:right="532" w:bottom="659" w:left="1120" w:header="0" w:footer="0" w:gutter="0"/>
          <w:cols w:num="3" w:space="720" w:equalWidth="0">
            <w:col w:w="4900" w:space="580"/>
            <w:col w:w="4540" w:space="99"/>
            <w:col w:w="305"/>
          </w:cols>
        </w:sectPr>
      </w:pPr>
    </w:p>
    <w:p w:rsidR="00AC12B4" w:rsidRPr="00C27636" w:rsidRDefault="00C27636">
      <w:pPr>
        <w:numPr>
          <w:ilvl w:val="0"/>
          <w:numId w:val="118"/>
        </w:numPr>
        <w:tabs>
          <w:tab w:val="left" w:pos="1000"/>
        </w:tabs>
        <w:spacing w:line="186" w:lineRule="auto"/>
        <w:ind w:left="1000" w:hanging="113"/>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lastRenderedPageBreak/>
        <w:t>Centre fédéral d’expertise des soins de santé.</w:t>
      </w:r>
    </w:p>
    <w:p w:rsidR="00AC12B4" w:rsidRPr="00C27636" w:rsidRDefault="00AC12B4">
      <w:pPr>
        <w:spacing w:line="242" w:lineRule="exact"/>
        <w:rPr>
          <w:sz w:val="20"/>
          <w:szCs w:val="20"/>
          <w:lang w:val="fr-BE"/>
        </w:rPr>
      </w:pPr>
    </w:p>
    <w:p w:rsidR="00AC12B4" w:rsidRDefault="00C27636">
      <w:pPr>
        <w:ind w:right="4159"/>
        <w:jc w:val="right"/>
        <w:rPr>
          <w:sz w:val="20"/>
          <w:szCs w:val="20"/>
        </w:rPr>
      </w:pPr>
      <w:r>
        <w:rPr>
          <w:rFonts w:ascii="Calibri" w:eastAsia="Calibri" w:hAnsi="Calibri" w:cs="Calibri"/>
        </w:rPr>
        <w:t>81</w:t>
      </w:r>
    </w:p>
    <w:p w:rsidR="00AC12B4" w:rsidRDefault="00C27636">
      <w:pPr>
        <w:spacing w:line="20" w:lineRule="exact"/>
        <w:rPr>
          <w:sz w:val="20"/>
          <w:szCs w:val="20"/>
        </w:rPr>
      </w:pPr>
      <w:r>
        <w:rPr>
          <w:sz w:val="20"/>
          <w:szCs w:val="20"/>
        </w:rPr>
        <w:br w:type="column"/>
      </w:r>
    </w:p>
    <w:p w:rsidR="00AC12B4" w:rsidRDefault="00AC12B4">
      <w:pPr>
        <w:spacing w:line="21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6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t>Le</w:t>
            </w:r>
          </w:p>
        </w:tc>
      </w:tr>
    </w:tbl>
    <w:p w:rsidR="00AC12B4" w:rsidRDefault="00AC12B4">
      <w:pPr>
        <w:sectPr w:rsidR="00AC12B4">
          <w:type w:val="continuous"/>
          <w:pgSz w:w="12080" w:h="17179"/>
          <w:pgMar w:top="1440" w:right="532" w:bottom="659" w:left="1120" w:header="0" w:footer="0" w:gutter="0"/>
          <w:cols w:num="2" w:space="720" w:equalWidth="0">
            <w:col w:w="9399" w:space="720"/>
            <w:col w:w="305"/>
          </w:cols>
        </w:sectPr>
      </w:pPr>
    </w:p>
    <w:p w:rsidR="00AC12B4" w:rsidRDefault="00C27636">
      <w:pPr>
        <w:spacing w:line="48" w:lineRule="exact"/>
        <w:rPr>
          <w:sz w:val="20"/>
          <w:szCs w:val="20"/>
        </w:rPr>
      </w:pPr>
      <w:bookmarkStart w:id="81" w:name="page82"/>
      <w:bookmarkEnd w:id="81"/>
      <w:r>
        <w:rPr>
          <w:noProof/>
          <w:sz w:val="20"/>
          <w:szCs w:val="20"/>
        </w:rPr>
        <w:lastRenderedPageBreak/>
        <w:drawing>
          <wp:anchor distT="0" distB="0" distL="114300" distR="114300" simplePos="0" relativeHeight="251519488" behindDoc="1" locked="0" layoutInCell="0" allowOverlap="1">
            <wp:simplePos x="0" y="0"/>
            <wp:positionH relativeFrom="page">
              <wp:posOffset>0</wp:posOffset>
            </wp:positionH>
            <wp:positionV relativeFrom="page">
              <wp:posOffset>0</wp:posOffset>
            </wp:positionV>
            <wp:extent cx="5725795" cy="10908665"/>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9">
                      <a:clrChange>
                        <a:clrFrom>
                          <a:srgbClr val="FFFFFF"/>
                        </a:clrFrom>
                        <a:clrTo>
                          <a:srgbClr val="FFFFFF">
                            <a:alpha val="0"/>
                          </a:srgbClr>
                        </a:clrTo>
                      </a:clrChange>
                      <a:extLst/>
                    </a:blip>
                    <a:srcRect/>
                    <a:stretch>
                      <a:fillRect/>
                    </a:stretch>
                  </pic:blipFill>
                  <pic:spPr bwMode="auto">
                    <a:xfrm>
                      <a:off x="0" y="0"/>
                      <a:ext cx="5725795" cy="10908665"/>
                    </a:xfrm>
                    <a:prstGeom prst="rect">
                      <a:avLst/>
                    </a:prstGeom>
                    <a:noFill/>
                  </pic:spPr>
                </pic:pic>
              </a:graphicData>
            </a:graphic>
          </wp:anchor>
        </w:drawing>
      </w:r>
    </w:p>
    <w:p w:rsidR="00AC12B4" w:rsidRDefault="00C27636">
      <w:pPr>
        <w:ind w:right="-177"/>
        <w:jc w:val="center"/>
        <w:rPr>
          <w:sz w:val="20"/>
          <w:szCs w:val="20"/>
        </w:rPr>
      </w:pPr>
      <w:r>
        <w:rPr>
          <w:rFonts w:ascii="Calibri" w:eastAsia="Calibri" w:hAnsi="Calibri" w:cs="Calibri"/>
          <w:b/>
          <w:bCs/>
          <w:sz w:val="28"/>
          <w:szCs w:val="28"/>
        </w:rPr>
        <w:t>Consommation d'antibiotiques 5-14 ans</w:t>
      </w:r>
    </w:p>
    <w:p w:rsidR="00AC12B4" w:rsidRDefault="00AC12B4">
      <w:pPr>
        <w:spacing w:line="1" w:lineRule="exact"/>
        <w:rPr>
          <w:sz w:val="20"/>
          <w:szCs w:val="20"/>
        </w:rPr>
      </w:pPr>
    </w:p>
    <w:p w:rsidR="00AC12B4" w:rsidRPr="00C27636" w:rsidRDefault="00C27636">
      <w:pPr>
        <w:ind w:right="2377"/>
        <w:jc w:val="right"/>
        <w:rPr>
          <w:sz w:val="20"/>
          <w:szCs w:val="20"/>
          <w:lang w:val="fr-BE"/>
        </w:rPr>
      </w:pPr>
      <w:r w:rsidRPr="00C27636">
        <w:rPr>
          <w:rFonts w:ascii="Calibri" w:eastAsia="Calibri" w:hAnsi="Calibri" w:cs="Calibri"/>
          <w:b/>
          <w:bCs/>
          <w:lang w:val="fr-BE"/>
        </w:rPr>
        <w:t>bénéficiaires [nombre par 1.000 bénéficiaires et par jour]</w:t>
      </w:r>
    </w:p>
    <w:p w:rsidR="00AC12B4" w:rsidRPr="00C27636" w:rsidRDefault="00AC12B4">
      <w:pPr>
        <w:spacing w:line="117" w:lineRule="exact"/>
        <w:rPr>
          <w:sz w:val="20"/>
          <w:szCs w:val="20"/>
          <w:lang w:val="fr-BE"/>
        </w:rPr>
      </w:pPr>
    </w:p>
    <w:p w:rsidR="00AC12B4" w:rsidRDefault="00C27636">
      <w:pPr>
        <w:ind w:left="1935"/>
        <w:rPr>
          <w:sz w:val="20"/>
          <w:szCs w:val="20"/>
        </w:rPr>
      </w:pPr>
      <w:r>
        <w:rPr>
          <w:rFonts w:ascii="Calibri" w:eastAsia="Calibri" w:hAnsi="Calibri" w:cs="Calibri"/>
          <w:sz w:val="20"/>
          <w:szCs w:val="20"/>
        </w:rPr>
        <w:t>1,4</w:t>
      </w:r>
    </w:p>
    <w:p w:rsidR="00AC12B4" w:rsidRDefault="00C27636">
      <w:pPr>
        <w:spacing w:line="20" w:lineRule="exact"/>
        <w:rPr>
          <w:sz w:val="20"/>
          <w:szCs w:val="20"/>
        </w:rPr>
      </w:pPr>
      <w:r>
        <w:rPr>
          <w:noProof/>
          <w:sz w:val="20"/>
          <w:szCs w:val="20"/>
        </w:rPr>
        <w:drawing>
          <wp:anchor distT="0" distB="0" distL="114300" distR="114300" simplePos="0" relativeHeight="251520512" behindDoc="1" locked="0" layoutInCell="0" allowOverlap="1">
            <wp:simplePos x="0" y="0"/>
            <wp:positionH relativeFrom="column">
              <wp:posOffset>1468755</wp:posOffset>
            </wp:positionH>
            <wp:positionV relativeFrom="paragraph">
              <wp:posOffset>-69850</wp:posOffset>
            </wp:positionV>
            <wp:extent cx="2423160" cy="1487170"/>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0">
                      <a:extLst/>
                    </a:blip>
                    <a:srcRect/>
                    <a:stretch>
                      <a:fillRect/>
                    </a:stretch>
                  </pic:blipFill>
                  <pic:spPr bwMode="auto">
                    <a:xfrm>
                      <a:off x="0" y="0"/>
                      <a:ext cx="2423160" cy="1487170"/>
                    </a:xfrm>
                    <a:prstGeom prst="rect">
                      <a:avLst/>
                    </a:prstGeom>
                    <a:noFill/>
                  </pic:spPr>
                </pic:pic>
              </a:graphicData>
            </a:graphic>
          </wp:anchor>
        </w:drawing>
      </w:r>
    </w:p>
    <w:p w:rsidR="00AC12B4" w:rsidRDefault="00AC12B4">
      <w:pPr>
        <w:spacing w:line="60" w:lineRule="exact"/>
        <w:rPr>
          <w:sz w:val="20"/>
          <w:szCs w:val="20"/>
        </w:rPr>
      </w:pPr>
    </w:p>
    <w:p w:rsidR="00AC12B4" w:rsidRDefault="00C27636">
      <w:pPr>
        <w:ind w:left="1935"/>
        <w:rPr>
          <w:sz w:val="20"/>
          <w:szCs w:val="20"/>
        </w:rPr>
      </w:pPr>
      <w:r>
        <w:rPr>
          <w:rFonts w:ascii="Calibri" w:eastAsia="Calibri" w:hAnsi="Calibri" w:cs="Calibri"/>
          <w:sz w:val="20"/>
          <w:szCs w:val="20"/>
        </w:rPr>
        <w:t>1,2</w:t>
      </w:r>
    </w:p>
    <w:p w:rsidR="00AC12B4" w:rsidRDefault="00AC12B4">
      <w:pPr>
        <w:spacing w:line="81" w:lineRule="exact"/>
        <w:rPr>
          <w:sz w:val="20"/>
          <w:szCs w:val="20"/>
        </w:rPr>
      </w:pPr>
    </w:p>
    <w:tbl>
      <w:tblPr>
        <w:tblW w:w="0" w:type="auto"/>
        <w:tblInd w:w="1935" w:type="dxa"/>
        <w:tblLayout w:type="fixed"/>
        <w:tblCellMar>
          <w:left w:w="0" w:type="dxa"/>
          <w:right w:w="0" w:type="dxa"/>
        </w:tblCellMar>
        <w:tblLook w:val="04A0" w:firstRow="1" w:lastRow="0" w:firstColumn="1" w:lastColumn="0" w:noHBand="0" w:noVBand="1"/>
      </w:tblPr>
      <w:tblGrid>
        <w:gridCol w:w="2600"/>
        <w:gridCol w:w="3780"/>
        <w:gridCol w:w="20"/>
      </w:tblGrid>
      <w:tr w:rsidR="00AC12B4">
        <w:trPr>
          <w:trHeight w:val="244"/>
        </w:trPr>
        <w:tc>
          <w:tcPr>
            <w:tcW w:w="2600" w:type="dxa"/>
            <w:vAlign w:val="bottom"/>
          </w:tcPr>
          <w:p w:rsidR="00AC12B4" w:rsidRDefault="00C27636">
            <w:pPr>
              <w:ind w:right="2240"/>
              <w:jc w:val="right"/>
              <w:rPr>
                <w:sz w:val="20"/>
                <w:szCs w:val="20"/>
              </w:rPr>
            </w:pPr>
            <w:r>
              <w:rPr>
                <w:rFonts w:ascii="Calibri" w:eastAsia="Calibri" w:hAnsi="Calibri" w:cs="Calibri"/>
                <w:sz w:val="20"/>
                <w:szCs w:val="20"/>
              </w:rPr>
              <w:t>1</w:t>
            </w:r>
          </w:p>
        </w:tc>
        <w:tc>
          <w:tcPr>
            <w:tcW w:w="3780" w:type="dxa"/>
            <w:vMerge w:val="restart"/>
            <w:vAlign w:val="bottom"/>
          </w:tcPr>
          <w:p w:rsidR="00AC12B4" w:rsidRDefault="00C27636">
            <w:pPr>
              <w:ind w:left="2320"/>
              <w:rPr>
                <w:sz w:val="20"/>
                <w:szCs w:val="20"/>
              </w:rPr>
            </w:pPr>
            <w:r>
              <w:rPr>
                <w:rFonts w:ascii="Calibri" w:eastAsia="Calibri" w:hAnsi="Calibri" w:cs="Calibri"/>
                <w:w w:val="98"/>
                <w:sz w:val="20"/>
                <w:szCs w:val="20"/>
              </w:rPr>
              <w:t>Bruxelles-Capitale</w:t>
            </w:r>
          </w:p>
        </w:tc>
        <w:tc>
          <w:tcPr>
            <w:tcW w:w="0" w:type="dxa"/>
            <w:vAlign w:val="bottom"/>
          </w:tcPr>
          <w:p w:rsidR="00AC12B4" w:rsidRDefault="00AC12B4">
            <w:pPr>
              <w:rPr>
                <w:sz w:val="1"/>
                <w:szCs w:val="1"/>
              </w:rPr>
            </w:pPr>
          </w:p>
        </w:tc>
      </w:tr>
      <w:tr w:rsidR="00AC12B4">
        <w:trPr>
          <w:trHeight w:val="191"/>
        </w:trPr>
        <w:tc>
          <w:tcPr>
            <w:tcW w:w="2600" w:type="dxa"/>
            <w:vMerge w:val="restart"/>
            <w:vAlign w:val="bottom"/>
          </w:tcPr>
          <w:p w:rsidR="00AC12B4" w:rsidRDefault="00C27636">
            <w:pPr>
              <w:ind w:right="2240"/>
              <w:jc w:val="right"/>
              <w:rPr>
                <w:sz w:val="20"/>
                <w:szCs w:val="20"/>
              </w:rPr>
            </w:pPr>
            <w:r>
              <w:rPr>
                <w:rFonts w:ascii="Calibri" w:eastAsia="Calibri" w:hAnsi="Calibri" w:cs="Calibri"/>
                <w:w w:val="94"/>
                <w:sz w:val="20"/>
                <w:szCs w:val="20"/>
              </w:rPr>
              <w:t>0,8</w:t>
            </w:r>
          </w:p>
        </w:tc>
        <w:tc>
          <w:tcPr>
            <w:tcW w:w="3780" w:type="dxa"/>
            <w:vMerge/>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133"/>
        </w:trPr>
        <w:tc>
          <w:tcPr>
            <w:tcW w:w="2600" w:type="dxa"/>
            <w:vMerge/>
            <w:vAlign w:val="bottom"/>
          </w:tcPr>
          <w:p w:rsidR="00AC12B4" w:rsidRDefault="00AC12B4">
            <w:pPr>
              <w:rPr>
                <w:sz w:val="11"/>
                <w:szCs w:val="11"/>
              </w:rPr>
            </w:pPr>
          </w:p>
        </w:tc>
        <w:tc>
          <w:tcPr>
            <w:tcW w:w="378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29"/>
        </w:trPr>
        <w:tc>
          <w:tcPr>
            <w:tcW w:w="2600" w:type="dxa"/>
            <w:vMerge w:val="restart"/>
            <w:vAlign w:val="bottom"/>
          </w:tcPr>
          <w:p w:rsidR="00AC12B4" w:rsidRDefault="00C27636">
            <w:pPr>
              <w:ind w:right="2240"/>
              <w:jc w:val="right"/>
              <w:rPr>
                <w:sz w:val="20"/>
                <w:szCs w:val="20"/>
              </w:rPr>
            </w:pPr>
            <w:r>
              <w:rPr>
                <w:rFonts w:ascii="Calibri" w:eastAsia="Calibri" w:hAnsi="Calibri" w:cs="Calibri"/>
                <w:w w:val="94"/>
                <w:sz w:val="20"/>
                <w:szCs w:val="20"/>
              </w:rPr>
              <w:t>0,6</w:t>
            </w:r>
          </w:p>
        </w:tc>
        <w:tc>
          <w:tcPr>
            <w:tcW w:w="3780" w:type="dxa"/>
            <w:vAlign w:val="bottom"/>
          </w:tcPr>
          <w:p w:rsidR="00AC12B4" w:rsidRDefault="00C27636">
            <w:pPr>
              <w:spacing w:line="229" w:lineRule="exact"/>
              <w:ind w:left="2320"/>
              <w:rPr>
                <w:sz w:val="20"/>
                <w:szCs w:val="20"/>
              </w:rPr>
            </w:pPr>
            <w:r>
              <w:rPr>
                <w:rFonts w:ascii="Calibri" w:eastAsia="Calibri" w:hAnsi="Calibri" w:cs="Calibri"/>
                <w:sz w:val="20"/>
                <w:szCs w:val="20"/>
              </w:rPr>
              <w:t>Région fl</w:t>
            </w:r>
            <w:r>
              <w:rPr>
                <w:rFonts w:ascii="Calibri" w:eastAsia="Calibri" w:hAnsi="Calibri" w:cs="Calibri"/>
                <w:sz w:val="20"/>
                <w:szCs w:val="20"/>
              </w:rPr>
              <w:lastRenderedPageBreak/>
              <w:t>amande</w:t>
            </w:r>
          </w:p>
        </w:tc>
        <w:tc>
          <w:tcPr>
            <w:tcW w:w="0" w:type="dxa"/>
            <w:vAlign w:val="bottom"/>
          </w:tcPr>
          <w:p w:rsidR="00AC12B4" w:rsidRDefault="00AC12B4">
            <w:pPr>
              <w:rPr>
                <w:sz w:val="1"/>
                <w:szCs w:val="1"/>
              </w:rPr>
            </w:pPr>
          </w:p>
        </w:tc>
      </w:tr>
      <w:tr w:rsidR="00AC12B4">
        <w:trPr>
          <w:trHeight w:val="96"/>
        </w:trPr>
        <w:tc>
          <w:tcPr>
            <w:tcW w:w="2600" w:type="dxa"/>
            <w:vMerge/>
            <w:vAlign w:val="bottom"/>
          </w:tcPr>
          <w:p w:rsidR="00AC12B4" w:rsidRDefault="00AC12B4">
            <w:pPr>
              <w:rPr>
                <w:sz w:val="8"/>
                <w:szCs w:val="8"/>
              </w:rPr>
            </w:pPr>
          </w:p>
        </w:tc>
        <w:tc>
          <w:tcPr>
            <w:tcW w:w="378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65"/>
        </w:trPr>
        <w:tc>
          <w:tcPr>
            <w:tcW w:w="2600" w:type="dxa"/>
            <w:vMerge w:val="restart"/>
            <w:vAlign w:val="bottom"/>
          </w:tcPr>
          <w:p w:rsidR="00AC12B4" w:rsidRDefault="00C27636">
            <w:pPr>
              <w:ind w:right="2240"/>
              <w:jc w:val="right"/>
              <w:rPr>
                <w:sz w:val="20"/>
                <w:szCs w:val="20"/>
              </w:rPr>
            </w:pPr>
            <w:r>
              <w:rPr>
                <w:rFonts w:ascii="Calibri" w:eastAsia="Calibri" w:hAnsi="Calibri" w:cs="Calibri"/>
                <w:w w:val="94"/>
                <w:sz w:val="20"/>
                <w:szCs w:val="20"/>
              </w:rPr>
              <w:t>0,4</w:t>
            </w:r>
          </w:p>
        </w:tc>
        <w:tc>
          <w:tcPr>
            <w:tcW w:w="3780" w:type="dxa"/>
            <w:vAlign w:val="bottom"/>
          </w:tcPr>
          <w:p w:rsidR="00AC12B4" w:rsidRDefault="00C27636">
            <w:pPr>
              <w:ind w:left="2320"/>
              <w:rPr>
                <w:sz w:val="20"/>
                <w:szCs w:val="20"/>
              </w:rPr>
            </w:pPr>
            <w:r>
              <w:rPr>
                <w:rFonts w:ascii="Calibri" w:eastAsia="Calibri" w:hAnsi="Calibri" w:cs="Calibri"/>
                <w:sz w:val="20"/>
                <w:szCs w:val="20"/>
              </w:rPr>
              <w:t>Région wallonne</w:t>
            </w:r>
          </w:p>
        </w:tc>
        <w:tc>
          <w:tcPr>
            <w:tcW w:w="0" w:type="dxa"/>
            <w:vAlign w:val="bottom"/>
          </w:tcPr>
          <w:p w:rsidR="00AC12B4" w:rsidRDefault="00AC12B4">
            <w:pPr>
              <w:rPr>
                <w:sz w:val="1"/>
                <w:szCs w:val="1"/>
              </w:rPr>
            </w:pPr>
          </w:p>
        </w:tc>
      </w:tr>
      <w:tr w:rsidR="00AC12B4">
        <w:trPr>
          <w:trHeight w:val="60"/>
        </w:trPr>
        <w:tc>
          <w:tcPr>
            <w:tcW w:w="2600" w:type="dxa"/>
            <w:vMerge/>
            <w:vAlign w:val="bottom"/>
          </w:tcPr>
          <w:p w:rsidR="00AC12B4" w:rsidRDefault="00AC12B4">
            <w:pPr>
              <w:rPr>
                <w:sz w:val="5"/>
                <w:szCs w:val="5"/>
              </w:rPr>
            </w:pPr>
          </w:p>
        </w:tc>
        <w:tc>
          <w:tcPr>
            <w:tcW w:w="378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324"/>
        </w:trPr>
        <w:tc>
          <w:tcPr>
            <w:tcW w:w="2600" w:type="dxa"/>
            <w:vAlign w:val="bottom"/>
          </w:tcPr>
          <w:p w:rsidR="00AC12B4" w:rsidRDefault="00C27636">
            <w:pPr>
              <w:ind w:right="2240"/>
              <w:jc w:val="right"/>
              <w:rPr>
                <w:sz w:val="20"/>
                <w:szCs w:val="20"/>
              </w:rPr>
            </w:pPr>
            <w:r>
              <w:rPr>
                <w:rFonts w:ascii="Calibri" w:eastAsia="Calibri" w:hAnsi="Calibri" w:cs="Calibri"/>
                <w:w w:val="94"/>
                <w:sz w:val="20"/>
                <w:szCs w:val="20"/>
              </w:rPr>
              <w:t>0,2</w:t>
            </w:r>
          </w:p>
        </w:tc>
        <w:tc>
          <w:tcPr>
            <w:tcW w:w="3780" w:type="dxa"/>
            <w:vAlign w:val="bottom"/>
          </w:tcPr>
          <w:p w:rsidR="00AC12B4" w:rsidRDefault="00C27636">
            <w:pPr>
              <w:ind w:left="2320"/>
              <w:rPr>
                <w:sz w:val="20"/>
                <w:szCs w:val="20"/>
              </w:rPr>
            </w:pPr>
            <w:r>
              <w:rPr>
                <w:rFonts w:ascii="Calibri" w:eastAsia="Calibri" w:hAnsi="Calibri" w:cs="Calibri"/>
                <w:sz w:val="20"/>
                <w:szCs w:val="20"/>
              </w:rPr>
              <w:t>Moyenne</w:t>
            </w:r>
          </w:p>
        </w:tc>
        <w:tc>
          <w:tcPr>
            <w:tcW w:w="0" w:type="dxa"/>
            <w:vAlign w:val="bottom"/>
          </w:tcPr>
          <w:p w:rsidR="00AC12B4" w:rsidRDefault="00AC12B4">
            <w:pPr>
              <w:rPr>
                <w:sz w:val="1"/>
                <w:szCs w:val="1"/>
              </w:rPr>
            </w:pPr>
          </w:p>
        </w:tc>
      </w:tr>
      <w:tr w:rsidR="00AC12B4">
        <w:trPr>
          <w:trHeight w:val="325"/>
        </w:trPr>
        <w:tc>
          <w:tcPr>
            <w:tcW w:w="2600" w:type="dxa"/>
            <w:vAlign w:val="bottom"/>
          </w:tcPr>
          <w:p w:rsidR="00AC12B4" w:rsidRDefault="00C27636">
            <w:pPr>
              <w:ind w:right="2240"/>
              <w:jc w:val="right"/>
              <w:rPr>
                <w:sz w:val="20"/>
                <w:szCs w:val="20"/>
              </w:rPr>
            </w:pPr>
            <w:r>
              <w:rPr>
                <w:rFonts w:ascii="Calibri" w:eastAsia="Calibri" w:hAnsi="Calibri" w:cs="Calibri"/>
                <w:sz w:val="20"/>
                <w:szCs w:val="20"/>
              </w:rPr>
              <w:t>0</w:t>
            </w:r>
          </w:p>
        </w:tc>
        <w:tc>
          <w:tcPr>
            <w:tcW w:w="378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521536" behindDoc="1" locked="0" layoutInCell="0" allowOverlap="1">
            <wp:simplePos x="0" y="0"/>
            <wp:positionH relativeFrom="column">
              <wp:posOffset>1376680</wp:posOffset>
            </wp:positionH>
            <wp:positionV relativeFrom="paragraph">
              <wp:posOffset>-6985</wp:posOffset>
            </wp:positionV>
            <wp:extent cx="2462530" cy="337185"/>
            <wp:effectExtent l="0" t="0" r="0" b="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01">
                      <a:extLst/>
                    </a:blip>
                    <a:srcRect/>
                    <a:stretch>
                      <a:fillRect/>
                    </a:stretch>
                  </pic:blipFill>
                  <pic:spPr bwMode="auto">
                    <a:xfrm>
                      <a:off x="0" y="0"/>
                      <a:ext cx="2462530" cy="337185"/>
                    </a:xfrm>
                    <a:prstGeom prst="rect">
                      <a:avLst/>
                    </a:prstGeom>
                    <a:noFill/>
                  </pic:spPr>
                </pic:pic>
              </a:graphicData>
            </a:graphic>
          </wp:anchor>
        </w:drawing>
      </w:r>
      <w:r>
        <w:rPr>
          <w:noProof/>
          <w:sz w:val="20"/>
          <w:szCs w:val="20"/>
        </w:rPr>
        <mc:AlternateContent>
          <mc:Choice Requires="wps">
            <w:drawing>
              <wp:anchor distT="0" distB="0" distL="114300" distR="114300" simplePos="0" relativeHeight="251522560" behindDoc="1" locked="0" layoutInCell="0" allowOverlap="1">
                <wp:simplePos x="0" y="0"/>
                <wp:positionH relativeFrom="column">
                  <wp:posOffset>4085590</wp:posOffset>
                </wp:positionH>
                <wp:positionV relativeFrom="paragraph">
                  <wp:posOffset>-975995</wp:posOffset>
                </wp:positionV>
                <wp:extent cx="243840" cy="0"/>
                <wp:effectExtent l="0" t="0" r="0" b="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3840" cy="4763"/>
                        </a:xfrm>
                        <a:prstGeom prst="line">
                          <a:avLst/>
                        </a:prstGeom>
                        <a:solidFill>
                          <a:srgbClr val="FFFFFF"/>
                        </a:solidFill>
                        <a:ln w="27432">
                          <a:solidFill>
                            <a:srgbClr val="4A7EBB"/>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7pt,-76.8499pt" to="340.9pt,-76.8499pt" o:allowincell="f" strokecolor="#4A7EBB" strokeweight="2.16pt"/>
            </w:pict>
          </mc:Fallback>
        </mc:AlternateContent>
      </w:r>
      <w:r>
        <w:rPr>
          <w:noProof/>
          <w:sz w:val="20"/>
          <w:szCs w:val="20"/>
        </w:rPr>
        <mc:AlternateContent>
          <mc:Choice Requires="wps">
            <w:drawing>
              <wp:anchor distT="0" distB="0" distL="114300" distR="114300" simplePos="0" relativeHeight="251523584" behindDoc="1" locked="0" layoutInCell="0" allowOverlap="1">
                <wp:simplePos x="0" y="0"/>
                <wp:positionH relativeFrom="column">
                  <wp:posOffset>4085590</wp:posOffset>
                </wp:positionH>
                <wp:positionV relativeFrom="paragraph">
                  <wp:posOffset>-745490</wp:posOffset>
                </wp:positionV>
                <wp:extent cx="243840" cy="0"/>
                <wp:effectExtent l="0" t="0" r="0" b="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3840" cy="4763"/>
                        </a:xfrm>
                        <a:prstGeom prst="line">
                          <a:avLst/>
                        </a:prstGeom>
                        <a:solidFill>
                          <a:srgbClr val="FFFFFF"/>
                        </a:solidFill>
                        <a:ln w="27432">
                          <a:solidFill>
                            <a:srgbClr val="BE4B48"/>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7pt,-58.6999pt" to="340.9pt,-58.6999pt" o:allowincell="f" strokecolor="#BE4B48" strokeweight="2.16pt"/>
            </w:pict>
          </mc:Fallback>
        </mc:AlternateContent>
      </w:r>
      <w:r>
        <w:rPr>
          <w:noProof/>
          <w:sz w:val="20"/>
          <w:szCs w:val="20"/>
        </w:rPr>
        <mc:AlternateContent>
          <mc:Choice Requires="wps">
            <w:drawing>
              <wp:anchor distT="0" distB="0" distL="114300" distR="114300" simplePos="0" relativeHeight="251524608" behindDoc="1" locked="0" layoutInCell="0" allowOverlap="1">
                <wp:simplePos x="0" y="0"/>
                <wp:positionH relativeFrom="column">
                  <wp:posOffset>4085590</wp:posOffset>
                </wp:positionH>
                <wp:positionV relativeFrom="paragraph">
                  <wp:posOffset>-515620</wp:posOffset>
                </wp:positionV>
                <wp:extent cx="243840" cy="0"/>
                <wp:effectExtent l="0" t="0" r="0" b="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3840" cy="4763"/>
                        </a:xfrm>
                        <a:prstGeom prst="line">
                          <a:avLst/>
                        </a:prstGeom>
                        <a:solidFill>
                          <a:srgbClr val="FFFFFF"/>
                        </a:solidFill>
                        <a:ln w="27432">
                          <a:solidFill>
                            <a:srgbClr val="98B954"/>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7pt,-40.5999pt" to="340.9pt,-40.5999pt" o:allowincell="f" strokecolor="#98B954" strokeweight="2.16pt"/>
            </w:pict>
          </mc:Fallback>
        </mc:AlternateContent>
      </w:r>
      <w:r>
        <w:rPr>
          <w:noProof/>
          <w:sz w:val="20"/>
          <w:szCs w:val="20"/>
        </w:rPr>
        <mc:AlternateContent>
          <mc:Choice Requires="wps">
            <w:drawing>
              <wp:anchor distT="0" distB="0" distL="114300" distR="114300" simplePos="0" relativeHeight="251525632" behindDoc="1" locked="0" layoutInCell="0" allowOverlap="1">
                <wp:simplePos x="0" y="0"/>
                <wp:positionH relativeFrom="column">
                  <wp:posOffset>4085590</wp:posOffset>
                </wp:positionH>
                <wp:positionV relativeFrom="paragraph">
                  <wp:posOffset>-287020</wp:posOffset>
                </wp:positionV>
                <wp:extent cx="243840" cy="0"/>
                <wp:effectExtent l="0" t="0" r="0" b="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3840" cy="4763"/>
                        </a:xfrm>
                        <a:prstGeom prst="line">
                          <a:avLst/>
                        </a:prstGeom>
                        <a:solidFill>
                          <a:srgbClr val="FFFFFF"/>
                        </a:solidFill>
                        <a:ln w="27432">
                          <a:solidFill>
                            <a:srgbClr val="7D60A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7pt,-22.5999pt" to="340.9pt,-22.5999pt" o:allowincell="f" strokecolor="#7D60A0" strokeweight="2.16pt"/>
            </w:pict>
          </mc:Fallback>
        </mc:AlternateContent>
      </w:r>
      <w:r>
        <w:rPr>
          <w:noProof/>
          <w:sz w:val="20"/>
          <w:szCs w:val="20"/>
        </w:rPr>
        <w:drawing>
          <wp:anchor distT="0" distB="0" distL="114300" distR="114300" simplePos="0" relativeHeight="251526656" behindDoc="1" locked="0" layoutInCell="0" allowOverlap="1">
            <wp:simplePos x="0" y="0"/>
            <wp:positionH relativeFrom="column">
              <wp:posOffset>1148715</wp:posOffset>
            </wp:positionH>
            <wp:positionV relativeFrom="paragraph">
              <wp:posOffset>441325</wp:posOffset>
            </wp:positionV>
            <wp:extent cx="4264025" cy="26670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2">
                      <a:extLst/>
                    </a:blip>
                    <a:srcRect/>
                    <a:stretch>
                      <a:fillRect/>
                    </a:stretch>
                  </pic:blipFill>
                  <pic:spPr bwMode="auto">
                    <a:xfrm>
                      <a:off x="0" y="0"/>
                      <a:ext cx="4264025" cy="266700"/>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68" w:lineRule="exact"/>
        <w:rPr>
          <w:sz w:val="20"/>
          <w:szCs w:val="20"/>
        </w:rPr>
      </w:pPr>
    </w:p>
    <w:p w:rsidR="00AC12B4" w:rsidRDefault="00C27636">
      <w:pPr>
        <w:ind w:left="1815"/>
        <w:rPr>
          <w:sz w:val="20"/>
          <w:szCs w:val="20"/>
        </w:rPr>
      </w:pPr>
      <w:r>
        <w:rPr>
          <w:rFonts w:ascii="Calibri" w:eastAsia="Calibri" w:hAnsi="Calibri" w:cs="Calibri"/>
          <w:b/>
          <w:bCs/>
          <w:color w:val="4F81BD"/>
          <w:sz w:val="18"/>
          <w:szCs w:val="18"/>
        </w:rPr>
        <w:t>Figure 2. Atlas AIM 2014</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27680" behindDoc="1" locked="0" layoutInCell="0" allowOverlap="1">
                <wp:simplePos x="0" y="0"/>
                <wp:positionH relativeFrom="column">
                  <wp:posOffset>5532120</wp:posOffset>
                </wp:positionH>
                <wp:positionV relativeFrom="paragraph">
                  <wp:posOffset>209550</wp:posOffset>
                </wp:positionV>
                <wp:extent cx="0" cy="2741930"/>
                <wp:effectExtent l="0" t="0" r="0" b="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741930"/>
                        </a:xfrm>
                        <a:prstGeom prst="line">
                          <a:avLst/>
                        </a:prstGeom>
                        <a:solidFill>
                          <a:srgbClr val="FFFFFF"/>
                        </a:solidFill>
                        <a:ln w="9525">
                          <a:solidFill>
                            <a:srgbClr val="C9D11D"/>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6pt,16.5pt" to="435.6pt,232.4pt" o:allowincell="f" strokecolor="#C9D11D" strokeweight="0.75pt"/>
            </w:pict>
          </mc:Fallback>
        </mc:AlternateContent>
      </w:r>
      <w:r>
        <w:rPr>
          <w:noProof/>
          <w:sz w:val="20"/>
          <w:szCs w:val="20"/>
        </w:rPr>
        <mc:AlternateContent>
          <mc:Choice Requires="wps">
            <w:drawing>
              <wp:anchor distT="0" distB="0" distL="114300" distR="114300" simplePos="0" relativeHeight="251528704" behindDoc="1" locked="0" layoutInCell="0" allowOverlap="1">
                <wp:simplePos x="0" y="0"/>
                <wp:positionH relativeFrom="column">
                  <wp:posOffset>1029970</wp:posOffset>
                </wp:positionH>
                <wp:positionV relativeFrom="paragraph">
                  <wp:posOffset>214630</wp:posOffset>
                </wp:positionV>
                <wp:extent cx="4506595" cy="0"/>
                <wp:effectExtent l="0" t="0" r="0" b="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6595" cy="4763"/>
                        </a:xfrm>
                        <a:prstGeom prst="line">
                          <a:avLst/>
                        </a:prstGeom>
                        <a:solidFill>
                          <a:srgbClr val="FFFFFF"/>
                        </a:solidFill>
                        <a:ln w="9525">
                          <a:solidFill>
                            <a:srgbClr val="C9D11D"/>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1pt,16.9pt" to="435.95pt,16.9pt" o:allowincell="f" strokecolor="#C9D11D" strokeweight="0.75pt"/>
            </w:pict>
          </mc:Fallback>
        </mc:AlternateContent>
      </w:r>
      <w:r>
        <w:rPr>
          <w:noProof/>
          <w:sz w:val="20"/>
          <w:szCs w:val="20"/>
        </w:rPr>
        <mc:AlternateContent>
          <mc:Choice Requires="wps">
            <w:drawing>
              <wp:anchor distT="0" distB="0" distL="114300" distR="114300" simplePos="0" relativeHeight="251529728" behindDoc="1" locked="0" layoutInCell="0" allowOverlap="1">
                <wp:simplePos x="0" y="0"/>
                <wp:positionH relativeFrom="column">
                  <wp:posOffset>1035050</wp:posOffset>
                </wp:positionH>
                <wp:positionV relativeFrom="paragraph">
                  <wp:posOffset>209550</wp:posOffset>
                </wp:positionV>
                <wp:extent cx="0" cy="2741930"/>
                <wp:effectExtent l="0" t="0" r="0" b="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741930"/>
                        </a:xfrm>
                        <a:prstGeom prst="line">
                          <a:avLst/>
                        </a:prstGeom>
                        <a:solidFill>
                          <a:srgbClr val="FFFFFF"/>
                        </a:solidFill>
                        <a:ln w="9525">
                          <a:solidFill>
                            <a:srgbClr val="C9D11D"/>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5pt,16.5pt" to="81.5pt,232.4pt" o:allowincell="f" strokecolor="#C9D11D" strokeweight="0.75pt"/>
            </w:pict>
          </mc:Fallback>
        </mc:AlternateContent>
      </w:r>
      <w:r>
        <w:rPr>
          <w:noProof/>
          <w:sz w:val="20"/>
          <w:szCs w:val="20"/>
        </w:rPr>
        <mc:AlternateContent>
          <mc:Choice Requires="wps">
            <w:drawing>
              <wp:anchor distT="0" distB="0" distL="114300" distR="114300" simplePos="0" relativeHeight="251530752" behindDoc="1" locked="0" layoutInCell="0" allowOverlap="1">
                <wp:simplePos x="0" y="0"/>
                <wp:positionH relativeFrom="column">
                  <wp:posOffset>1029970</wp:posOffset>
                </wp:positionH>
                <wp:positionV relativeFrom="paragraph">
                  <wp:posOffset>2947035</wp:posOffset>
                </wp:positionV>
                <wp:extent cx="4506595" cy="0"/>
                <wp:effectExtent l="0" t="0" r="0" b="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6595" cy="4763"/>
                        </a:xfrm>
                        <a:prstGeom prst="line">
                          <a:avLst/>
                        </a:prstGeom>
                        <a:solidFill>
                          <a:srgbClr val="FFFFFF"/>
                        </a:solidFill>
                        <a:ln w="9525">
                          <a:solidFill>
                            <a:srgbClr val="C9D11D"/>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1pt,232.05pt" to="435.95pt,232.05pt" o:allowincell="f" strokecolor="#C9D11D" strokeweight="0.75pt"/>
            </w:pict>
          </mc:Fallback>
        </mc:AlternateContent>
      </w:r>
    </w:p>
    <w:p w:rsidR="00AC12B4" w:rsidRDefault="00AC12B4">
      <w:pPr>
        <w:spacing w:line="200" w:lineRule="exact"/>
        <w:rPr>
          <w:sz w:val="20"/>
          <w:szCs w:val="20"/>
        </w:rPr>
      </w:pPr>
    </w:p>
    <w:p w:rsidR="00AC12B4" w:rsidRDefault="00AC12B4">
      <w:pPr>
        <w:spacing w:line="301" w:lineRule="exact"/>
        <w:rPr>
          <w:sz w:val="20"/>
          <w:szCs w:val="20"/>
        </w:rPr>
      </w:pPr>
    </w:p>
    <w:p w:rsidR="00AC12B4" w:rsidRDefault="00C27636">
      <w:pPr>
        <w:ind w:left="2495"/>
        <w:rPr>
          <w:sz w:val="20"/>
          <w:szCs w:val="20"/>
        </w:rPr>
      </w:pPr>
      <w:r>
        <w:rPr>
          <w:rFonts w:ascii="Calibri" w:eastAsia="Calibri" w:hAnsi="Calibri" w:cs="Calibri"/>
          <w:b/>
          <w:bCs/>
          <w:sz w:val="32"/>
          <w:szCs w:val="32"/>
        </w:rPr>
        <w:t xml:space="preserve">Consommation d'antibiotiques 0-4 ans </w:t>
      </w:r>
      <w:r>
        <w:rPr>
          <w:rFonts w:ascii="Calibri" w:eastAsia="Calibri" w:hAnsi="Calibri" w:cs="Calibri"/>
          <w:b/>
          <w:bCs/>
        </w:rPr>
        <w:t>-</w:t>
      </w:r>
    </w:p>
    <w:p w:rsidR="00AC12B4" w:rsidRDefault="00AC12B4">
      <w:pPr>
        <w:spacing w:line="3" w:lineRule="exact"/>
        <w:rPr>
          <w:sz w:val="20"/>
          <w:szCs w:val="20"/>
        </w:rPr>
      </w:pPr>
    </w:p>
    <w:p w:rsidR="00AC12B4" w:rsidRPr="00C27636" w:rsidRDefault="00C27636">
      <w:pPr>
        <w:ind w:left="2515"/>
        <w:rPr>
          <w:sz w:val="20"/>
          <w:szCs w:val="20"/>
          <w:lang w:val="fr-BE"/>
        </w:rPr>
      </w:pPr>
      <w:r w:rsidRPr="00C27636">
        <w:rPr>
          <w:rFonts w:ascii="Calibri" w:eastAsia="Calibri" w:hAnsi="Calibri" w:cs="Calibri"/>
          <w:b/>
          <w:bCs/>
          <w:lang w:val="fr-BE"/>
        </w:rPr>
        <w:t>bénéficiaires [nombre par 1.000 bénéficiaires et par jour]</w:t>
      </w:r>
    </w:p>
    <w:p w:rsidR="00AC12B4" w:rsidRPr="00C27636" w:rsidRDefault="00AC12B4">
      <w:pPr>
        <w:spacing w:line="78" w:lineRule="exact"/>
        <w:rPr>
          <w:sz w:val="20"/>
          <w:szCs w:val="20"/>
          <w:lang w:val="fr-BE"/>
        </w:rPr>
      </w:pPr>
    </w:p>
    <w:p w:rsidR="00AC12B4" w:rsidRDefault="00C27636">
      <w:pPr>
        <w:ind w:left="1755"/>
        <w:rPr>
          <w:sz w:val="20"/>
          <w:szCs w:val="20"/>
        </w:rPr>
      </w:pPr>
      <w:r>
        <w:rPr>
          <w:rFonts w:ascii="Calibri" w:eastAsia="Calibri" w:hAnsi="Calibri" w:cs="Calibri"/>
          <w:sz w:val="20"/>
          <w:szCs w:val="20"/>
        </w:rPr>
        <w:t>1,8</w:t>
      </w:r>
    </w:p>
    <w:p w:rsidR="00AC12B4" w:rsidRDefault="00C27636">
      <w:pPr>
        <w:spacing w:line="20" w:lineRule="exact"/>
        <w:rPr>
          <w:sz w:val="20"/>
          <w:szCs w:val="20"/>
        </w:rPr>
      </w:pPr>
      <w:r>
        <w:rPr>
          <w:noProof/>
          <w:sz w:val="20"/>
          <w:szCs w:val="20"/>
        </w:rPr>
        <w:drawing>
          <wp:anchor distT="0" distB="0" distL="114300" distR="114300" simplePos="0" relativeHeight="251531776" behindDoc="1" locked="0" layoutInCell="0" allowOverlap="1">
            <wp:simplePos x="0" y="0"/>
            <wp:positionH relativeFrom="column">
              <wp:posOffset>1354455</wp:posOffset>
            </wp:positionH>
            <wp:positionV relativeFrom="paragraph">
              <wp:posOffset>-70485</wp:posOffset>
            </wp:positionV>
            <wp:extent cx="2651760" cy="1786255"/>
            <wp:effectExtent l="0" t="0" r="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03">
                      <a:extLst/>
                    </a:blip>
                    <a:srcRect/>
                    <a:stretch>
                      <a:fillRect/>
                    </a:stretch>
                  </pic:blipFill>
                  <pic:spPr bwMode="auto">
                    <a:xfrm>
                      <a:off x="0" y="0"/>
                      <a:ext cx="2651760" cy="1786255"/>
                    </a:xfrm>
                    <a:prstGeom prst="rect">
                      <a:avLst/>
                    </a:prstGeom>
                    <a:noFill/>
                  </pic:spPr>
                </pic:pic>
              </a:graphicData>
            </a:graphic>
          </wp:anchor>
        </w:drawing>
      </w:r>
    </w:p>
    <w:p w:rsidR="00AC12B4" w:rsidRDefault="00AC12B4">
      <w:pPr>
        <w:spacing w:line="41" w:lineRule="exact"/>
        <w:rPr>
          <w:sz w:val="20"/>
          <w:szCs w:val="20"/>
        </w:rPr>
      </w:pPr>
    </w:p>
    <w:p w:rsidR="00AC12B4" w:rsidRDefault="00C27636">
      <w:pPr>
        <w:ind w:left="1755"/>
        <w:rPr>
          <w:sz w:val="20"/>
          <w:szCs w:val="20"/>
        </w:rPr>
      </w:pPr>
      <w:r>
        <w:rPr>
          <w:rFonts w:ascii="Calibri" w:eastAsia="Calibri" w:hAnsi="Calibri" w:cs="Calibri"/>
          <w:sz w:val="20"/>
          <w:szCs w:val="20"/>
        </w:rPr>
        <w:t>1,6</w:t>
      </w:r>
    </w:p>
    <w:p w:rsidR="00AC12B4" w:rsidRDefault="00AC12B4">
      <w:pPr>
        <w:spacing w:line="60" w:lineRule="exact"/>
        <w:rPr>
          <w:sz w:val="20"/>
          <w:szCs w:val="20"/>
        </w:rPr>
      </w:pPr>
    </w:p>
    <w:p w:rsidR="00AC12B4" w:rsidRDefault="00C27636">
      <w:pPr>
        <w:ind w:left="1755"/>
        <w:rPr>
          <w:sz w:val="20"/>
          <w:szCs w:val="20"/>
        </w:rPr>
      </w:pPr>
      <w:r>
        <w:rPr>
          <w:rFonts w:ascii="Calibri" w:eastAsia="Calibri" w:hAnsi="Calibri" w:cs="Calibri"/>
          <w:sz w:val="20"/>
          <w:szCs w:val="20"/>
        </w:rPr>
        <w:t>1,4</w:t>
      </w:r>
    </w:p>
    <w:p w:rsidR="00AC12B4" w:rsidRDefault="00AC12B4">
      <w:pPr>
        <w:spacing w:line="10" w:lineRule="exact"/>
        <w:rPr>
          <w:sz w:val="20"/>
          <w:szCs w:val="20"/>
        </w:rPr>
      </w:pPr>
    </w:p>
    <w:tbl>
      <w:tblPr>
        <w:tblW w:w="0" w:type="auto"/>
        <w:tblInd w:w="1755" w:type="dxa"/>
        <w:tblLayout w:type="fixed"/>
        <w:tblCellMar>
          <w:left w:w="0" w:type="dxa"/>
          <w:right w:w="0" w:type="dxa"/>
        </w:tblCellMar>
        <w:tblLook w:val="04A0" w:firstRow="1" w:lastRow="0" w:firstColumn="1" w:lastColumn="0" w:noHBand="0" w:noVBand="1"/>
      </w:tblPr>
      <w:tblGrid>
        <w:gridCol w:w="380"/>
        <w:gridCol w:w="460"/>
        <w:gridCol w:w="20"/>
        <w:gridCol w:w="400"/>
        <w:gridCol w:w="20"/>
        <w:gridCol w:w="380"/>
        <w:gridCol w:w="20"/>
        <w:gridCol w:w="400"/>
        <w:gridCol w:w="20"/>
        <w:gridCol w:w="400"/>
        <w:gridCol w:w="20"/>
        <w:gridCol w:w="380"/>
        <w:gridCol w:w="20"/>
        <w:gridCol w:w="400"/>
        <w:gridCol w:w="20"/>
        <w:gridCol w:w="380"/>
        <w:gridCol w:w="20"/>
        <w:gridCol w:w="400"/>
        <w:gridCol w:w="20"/>
        <w:gridCol w:w="380"/>
        <w:gridCol w:w="20"/>
        <w:gridCol w:w="300"/>
        <w:gridCol w:w="400"/>
        <w:gridCol w:w="1500"/>
        <w:gridCol w:w="20"/>
      </w:tblGrid>
      <w:tr w:rsidR="00AC12B4">
        <w:trPr>
          <w:trHeight w:val="183"/>
        </w:trPr>
        <w:tc>
          <w:tcPr>
            <w:tcW w:w="380" w:type="dxa"/>
            <w:vMerge w:val="restart"/>
            <w:vAlign w:val="bottom"/>
          </w:tcPr>
          <w:p w:rsidR="00AC12B4" w:rsidRDefault="00C27636">
            <w:pPr>
              <w:ind w:right="20"/>
              <w:jc w:val="right"/>
              <w:rPr>
                <w:sz w:val="20"/>
                <w:szCs w:val="20"/>
              </w:rPr>
            </w:pPr>
            <w:r>
              <w:rPr>
                <w:rFonts w:ascii="Calibri" w:eastAsia="Calibri" w:hAnsi="Calibri" w:cs="Calibri"/>
                <w:w w:val="94"/>
                <w:sz w:val="20"/>
                <w:szCs w:val="20"/>
              </w:rPr>
              <w:t>1,2</w:t>
            </w:r>
          </w:p>
        </w:tc>
        <w:tc>
          <w:tcPr>
            <w:tcW w:w="46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40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38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40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40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38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40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38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40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38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1500" w:type="dxa"/>
            <w:vMerge w:val="restart"/>
            <w:vAlign w:val="bottom"/>
          </w:tcPr>
          <w:p w:rsidR="00AC12B4" w:rsidRDefault="00C27636">
            <w:pPr>
              <w:ind w:left="40"/>
              <w:rPr>
                <w:sz w:val="20"/>
                <w:szCs w:val="20"/>
              </w:rPr>
            </w:pPr>
            <w:r>
              <w:rPr>
                <w:rFonts w:ascii="Calibri" w:eastAsia="Calibri" w:hAnsi="Calibri" w:cs="Calibri"/>
                <w:w w:val="98"/>
                <w:sz w:val="20"/>
                <w:szCs w:val="20"/>
              </w:rPr>
              <w:t>Bruxelles-Capitale</w:t>
            </w:r>
          </w:p>
        </w:tc>
        <w:tc>
          <w:tcPr>
            <w:tcW w:w="0" w:type="dxa"/>
            <w:vAlign w:val="bottom"/>
          </w:tcPr>
          <w:p w:rsidR="00AC12B4" w:rsidRDefault="00AC12B4">
            <w:pPr>
              <w:rPr>
                <w:sz w:val="1"/>
                <w:szCs w:val="1"/>
              </w:rPr>
            </w:pPr>
          </w:p>
        </w:tc>
      </w:tr>
      <w:tr w:rsidR="00AC12B4">
        <w:trPr>
          <w:trHeight w:val="42"/>
        </w:trPr>
        <w:tc>
          <w:tcPr>
            <w:tcW w:w="380" w:type="dxa"/>
            <w:vMerge/>
            <w:vAlign w:val="bottom"/>
          </w:tcPr>
          <w:p w:rsidR="00AC12B4" w:rsidRDefault="00AC12B4">
            <w:pPr>
              <w:rPr>
                <w:sz w:val="3"/>
                <w:szCs w:val="3"/>
              </w:rPr>
            </w:pPr>
          </w:p>
        </w:tc>
        <w:tc>
          <w:tcPr>
            <w:tcW w:w="4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0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3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0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0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3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0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3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0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3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300" w:type="dxa"/>
            <w:vAlign w:val="bottom"/>
          </w:tcPr>
          <w:p w:rsidR="00AC12B4" w:rsidRDefault="00AC12B4">
            <w:pPr>
              <w:rPr>
                <w:sz w:val="3"/>
                <w:szCs w:val="3"/>
              </w:rPr>
            </w:pPr>
          </w:p>
        </w:tc>
        <w:tc>
          <w:tcPr>
            <w:tcW w:w="400" w:type="dxa"/>
            <w:tcBorders>
              <w:bottom w:val="single" w:sz="8" w:space="0" w:color="BE4B48"/>
            </w:tcBorders>
            <w:vAlign w:val="bottom"/>
          </w:tcPr>
          <w:p w:rsidR="00AC12B4" w:rsidRDefault="00AC12B4">
            <w:pPr>
              <w:rPr>
                <w:sz w:val="3"/>
                <w:szCs w:val="3"/>
              </w:rPr>
            </w:pPr>
          </w:p>
        </w:tc>
        <w:tc>
          <w:tcPr>
            <w:tcW w:w="1500" w:type="dxa"/>
            <w:vMerge/>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84"/>
        </w:trPr>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1</w:t>
            </w: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50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39"/>
        </w:trPr>
        <w:tc>
          <w:tcPr>
            <w:tcW w:w="380" w:type="dxa"/>
            <w:vMerge/>
            <w:vAlign w:val="bottom"/>
          </w:tcPr>
          <w:p w:rsidR="00AC12B4" w:rsidRDefault="00AC12B4">
            <w:pPr>
              <w:rPr>
                <w:sz w:val="12"/>
                <w:szCs w:val="12"/>
              </w:rPr>
            </w:pPr>
          </w:p>
        </w:tc>
        <w:tc>
          <w:tcPr>
            <w:tcW w:w="4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8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8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8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40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8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400" w:type="dxa"/>
            <w:vAlign w:val="bottom"/>
          </w:tcPr>
          <w:p w:rsidR="00AC12B4" w:rsidRDefault="00AC12B4">
            <w:pPr>
              <w:rPr>
                <w:sz w:val="12"/>
                <w:szCs w:val="12"/>
              </w:rPr>
            </w:pPr>
          </w:p>
        </w:tc>
        <w:tc>
          <w:tcPr>
            <w:tcW w:w="1500" w:type="dxa"/>
            <w:vMerge w:val="restart"/>
            <w:vAlign w:val="bottom"/>
          </w:tcPr>
          <w:p w:rsidR="00AC12B4" w:rsidRDefault="00C27636">
            <w:pPr>
              <w:ind w:left="40"/>
              <w:rPr>
                <w:sz w:val="20"/>
                <w:szCs w:val="20"/>
              </w:rPr>
            </w:pPr>
            <w:r>
              <w:rPr>
                <w:rFonts w:ascii="Calibri" w:eastAsia="Calibri" w:hAnsi="Calibri" w:cs="Calibri"/>
                <w:sz w:val="20"/>
                <w:szCs w:val="20"/>
              </w:rPr>
              <w:t>Région flamande</w:t>
            </w:r>
          </w:p>
        </w:tc>
        <w:tc>
          <w:tcPr>
            <w:tcW w:w="0" w:type="dxa"/>
            <w:vAlign w:val="bottom"/>
          </w:tcPr>
          <w:p w:rsidR="00AC12B4" w:rsidRDefault="00AC12B4">
            <w:pPr>
              <w:rPr>
                <w:sz w:val="1"/>
                <w:szCs w:val="1"/>
              </w:rPr>
            </w:pPr>
          </w:p>
        </w:tc>
      </w:tr>
      <w:tr w:rsidR="00AC12B4">
        <w:trPr>
          <w:trHeight w:val="99"/>
        </w:trPr>
        <w:tc>
          <w:tcPr>
            <w:tcW w:w="380" w:type="dxa"/>
            <w:vMerge/>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400" w:type="dxa"/>
            <w:tcBorders>
              <w:bottom w:val="single" w:sz="8" w:space="0" w:color="98B954"/>
            </w:tcBorders>
            <w:vAlign w:val="bottom"/>
          </w:tcPr>
          <w:p w:rsidR="00AC12B4" w:rsidRDefault="00AC12B4">
            <w:pPr>
              <w:rPr>
                <w:sz w:val="8"/>
                <w:szCs w:val="8"/>
              </w:rPr>
            </w:pPr>
          </w:p>
        </w:tc>
        <w:tc>
          <w:tcPr>
            <w:tcW w:w="150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83"/>
        </w:trPr>
        <w:tc>
          <w:tcPr>
            <w:tcW w:w="380" w:type="dxa"/>
            <w:vMerge w:val="restart"/>
            <w:vAlign w:val="bottom"/>
          </w:tcPr>
          <w:p w:rsidR="00AC12B4" w:rsidRDefault="00C27636">
            <w:pPr>
              <w:ind w:right="20"/>
              <w:jc w:val="right"/>
              <w:rPr>
                <w:sz w:val="20"/>
                <w:szCs w:val="20"/>
              </w:rPr>
            </w:pPr>
            <w:r>
              <w:rPr>
                <w:rFonts w:ascii="Calibri" w:eastAsia="Calibri" w:hAnsi="Calibri" w:cs="Calibri"/>
                <w:w w:val="94"/>
                <w:sz w:val="20"/>
                <w:szCs w:val="20"/>
              </w:rPr>
              <w:t>0,8</w:t>
            </w: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50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83"/>
        </w:trPr>
        <w:tc>
          <w:tcPr>
            <w:tcW w:w="380" w:type="dxa"/>
            <w:vMerge/>
            <w:vAlign w:val="bottom"/>
          </w:tcPr>
          <w:p w:rsidR="00AC12B4" w:rsidRDefault="00AC12B4">
            <w:pPr>
              <w:rPr>
                <w:sz w:val="7"/>
                <w:szCs w:val="7"/>
              </w:rPr>
            </w:pPr>
          </w:p>
        </w:tc>
        <w:tc>
          <w:tcPr>
            <w:tcW w:w="4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40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38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40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40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38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40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38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40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38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3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500" w:type="dxa"/>
            <w:vMerge w:val="restart"/>
            <w:vAlign w:val="bottom"/>
          </w:tcPr>
          <w:p w:rsidR="00AC12B4" w:rsidRDefault="00C27636">
            <w:pPr>
              <w:ind w:left="40"/>
              <w:rPr>
                <w:sz w:val="20"/>
                <w:szCs w:val="20"/>
              </w:rPr>
            </w:pPr>
            <w:r>
              <w:rPr>
                <w:rFonts w:ascii="Calibri" w:eastAsia="Calibri" w:hAnsi="Calibri" w:cs="Calibri"/>
                <w:sz w:val="20"/>
                <w:szCs w:val="20"/>
              </w:rPr>
              <w:t>Région wallonne</w:t>
            </w:r>
          </w:p>
        </w:tc>
        <w:tc>
          <w:tcPr>
            <w:tcW w:w="0" w:type="dxa"/>
            <w:vAlign w:val="bottom"/>
          </w:tcPr>
          <w:p w:rsidR="00AC12B4" w:rsidRDefault="00AC12B4">
            <w:pPr>
              <w:rPr>
                <w:sz w:val="1"/>
                <w:szCs w:val="1"/>
              </w:rPr>
            </w:pPr>
          </w:p>
        </w:tc>
      </w:tr>
      <w:tr w:rsidR="00AC12B4">
        <w:trPr>
          <w:trHeight w:val="91"/>
        </w:trPr>
        <w:tc>
          <w:tcPr>
            <w:tcW w:w="380" w:type="dxa"/>
            <w:vMerge/>
            <w:vAlign w:val="bottom"/>
          </w:tcPr>
          <w:p w:rsidR="00AC12B4" w:rsidRDefault="00AC12B4">
            <w:pPr>
              <w:rPr>
                <w:sz w:val="7"/>
                <w:szCs w:val="7"/>
              </w:rPr>
            </w:pP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50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65"/>
        </w:trPr>
        <w:tc>
          <w:tcPr>
            <w:tcW w:w="380" w:type="dxa"/>
            <w:vMerge w:val="restart"/>
            <w:vAlign w:val="bottom"/>
          </w:tcPr>
          <w:p w:rsidR="00AC12B4" w:rsidRDefault="00C27636">
            <w:pPr>
              <w:ind w:right="20"/>
              <w:jc w:val="right"/>
              <w:rPr>
                <w:sz w:val="20"/>
                <w:szCs w:val="20"/>
              </w:rPr>
            </w:pPr>
            <w:r>
              <w:rPr>
                <w:rFonts w:ascii="Calibri" w:eastAsia="Calibri" w:hAnsi="Calibri" w:cs="Calibri"/>
                <w:w w:val="94"/>
                <w:sz w:val="20"/>
                <w:szCs w:val="20"/>
              </w:rPr>
              <w:t>0,6</w:t>
            </w:r>
          </w:p>
        </w:tc>
        <w:tc>
          <w:tcPr>
            <w:tcW w:w="46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400" w:type="dxa"/>
            <w:tcBorders>
              <w:bottom w:val="single" w:sz="8" w:space="0" w:color="7D60A0"/>
            </w:tcBorders>
            <w:vAlign w:val="bottom"/>
          </w:tcPr>
          <w:p w:rsidR="00AC12B4" w:rsidRDefault="00AC12B4">
            <w:pPr>
              <w:rPr>
                <w:sz w:val="5"/>
                <w:szCs w:val="5"/>
              </w:rPr>
            </w:pPr>
          </w:p>
        </w:tc>
        <w:tc>
          <w:tcPr>
            <w:tcW w:w="1500" w:type="dxa"/>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83"/>
        </w:trPr>
        <w:tc>
          <w:tcPr>
            <w:tcW w:w="380" w:type="dxa"/>
            <w:vMerge/>
            <w:vAlign w:val="bottom"/>
          </w:tcPr>
          <w:p w:rsidR="00AC12B4" w:rsidRDefault="00AC12B4">
            <w:pPr>
              <w:rPr>
                <w:sz w:val="7"/>
                <w:szCs w:val="7"/>
              </w:rPr>
            </w:pP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50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5"/>
        </w:trPr>
        <w:tc>
          <w:tcPr>
            <w:tcW w:w="380" w:type="dxa"/>
            <w:vMerge/>
            <w:vAlign w:val="bottom"/>
          </w:tcPr>
          <w:p w:rsidR="00AC12B4" w:rsidRDefault="00AC12B4">
            <w:pPr>
              <w:rPr>
                <w:sz w:val="2"/>
                <w:szCs w:val="2"/>
              </w:rPr>
            </w:pPr>
          </w:p>
        </w:tc>
        <w:tc>
          <w:tcPr>
            <w:tcW w:w="46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38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38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38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38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300" w:type="dxa"/>
            <w:vAlign w:val="bottom"/>
          </w:tcPr>
          <w:p w:rsidR="00AC12B4" w:rsidRDefault="00AC12B4">
            <w:pPr>
              <w:rPr>
                <w:sz w:val="2"/>
                <w:szCs w:val="2"/>
              </w:rPr>
            </w:pPr>
          </w:p>
        </w:tc>
        <w:tc>
          <w:tcPr>
            <w:tcW w:w="400" w:type="dxa"/>
            <w:vAlign w:val="bottom"/>
          </w:tcPr>
          <w:p w:rsidR="00AC12B4" w:rsidRDefault="00AC12B4">
            <w:pPr>
              <w:rPr>
                <w:sz w:val="2"/>
                <w:szCs w:val="2"/>
              </w:rPr>
            </w:pPr>
          </w:p>
        </w:tc>
        <w:tc>
          <w:tcPr>
            <w:tcW w:w="1500" w:type="dxa"/>
            <w:vMerge w:val="restart"/>
            <w:vAlign w:val="bottom"/>
          </w:tcPr>
          <w:p w:rsidR="00AC12B4" w:rsidRDefault="00C27636">
            <w:pPr>
              <w:ind w:left="40"/>
              <w:rPr>
                <w:sz w:val="20"/>
                <w:szCs w:val="20"/>
              </w:rPr>
            </w:pPr>
            <w:r>
              <w:rPr>
                <w:rFonts w:ascii="Calibri" w:eastAsia="Calibri" w:hAnsi="Calibri" w:cs="Calibri"/>
                <w:sz w:val="20"/>
                <w:szCs w:val="20"/>
              </w:rPr>
              <w:t>Moyenne</w:t>
            </w:r>
          </w:p>
        </w:tc>
        <w:tc>
          <w:tcPr>
            <w:tcW w:w="0" w:type="dxa"/>
            <w:vAlign w:val="bottom"/>
          </w:tcPr>
          <w:p w:rsidR="00AC12B4" w:rsidRDefault="00AC12B4">
            <w:pPr>
              <w:rPr>
                <w:sz w:val="1"/>
                <w:szCs w:val="1"/>
              </w:rPr>
            </w:pPr>
          </w:p>
        </w:tc>
      </w:tr>
      <w:tr w:rsidR="00AC12B4">
        <w:trPr>
          <w:trHeight w:val="91"/>
        </w:trPr>
        <w:tc>
          <w:tcPr>
            <w:tcW w:w="380" w:type="dxa"/>
            <w:vMerge/>
            <w:vAlign w:val="bottom"/>
          </w:tcPr>
          <w:p w:rsidR="00AC12B4" w:rsidRDefault="00AC12B4">
            <w:pPr>
              <w:rPr>
                <w:sz w:val="7"/>
                <w:szCs w:val="7"/>
              </w:rPr>
            </w:pPr>
          </w:p>
        </w:tc>
        <w:tc>
          <w:tcPr>
            <w:tcW w:w="4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50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21"/>
        </w:trPr>
        <w:tc>
          <w:tcPr>
            <w:tcW w:w="380" w:type="dxa"/>
            <w:vMerge w:val="restart"/>
            <w:vAlign w:val="bottom"/>
          </w:tcPr>
          <w:p w:rsidR="00AC12B4" w:rsidRDefault="00C27636">
            <w:pPr>
              <w:ind w:right="20"/>
              <w:jc w:val="right"/>
              <w:rPr>
                <w:sz w:val="20"/>
                <w:szCs w:val="20"/>
              </w:rPr>
            </w:pPr>
            <w:r>
              <w:rPr>
                <w:rFonts w:ascii="Calibri" w:eastAsia="Calibri" w:hAnsi="Calibri" w:cs="Calibri"/>
                <w:w w:val="94"/>
                <w:sz w:val="20"/>
                <w:szCs w:val="20"/>
              </w:rPr>
              <w:t>0,4</w:t>
            </w:r>
          </w:p>
        </w:tc>
        <w:tc>
          <w:tcPr>
            <w:tcW w:w="4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400" w:type="dxa"/>
            <w:tcBorders>
              <w:bottom w:val="single" w:sz="8" w:space="0" w:color="46AAC5"/>
            </w:tcBorders>
            <w:vAlign w:val="bottom"/>
          </w:tcPr>
          <w:p w:rsidR="00AC12B4" w:rsidRDefault="00AC12B4">
            <w:pPr>
              <w:rPr>
                <w:sz w:val="10"/>
                <w:szCs w:val="10"/>
              </w:rPr>
            </w:pPr>
          </w:p>
        </w:tc>
        <w:tc>
          <w:tcPr>
            <w:tcW w:w="1500" w:type="dxa"/>
            <w:vMerge/>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50"/>
        </w:trPr>
        <w:tc>
          <w:tcPr>
            <w:tcW w:w="380" w:type="dxa"/>
            <w:vMerge/>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0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150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93"/>
        </w:trPr>
        <w:tc>
          <w:tcPr>
            <w:tcW w:w="380" w:type="dxa"/>
            <w:vMerge/>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15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92"/>
        </w:trPr>
        <w:tc>
          <w:tcPr>
            <w:tcW w:w="380" w:type="dxa"/>
            <w:vMerge w:val="restart"/>
            <w:vAlign w:val="bottom"/>
          </w:tcPr>
          <w:p w:rsidR="00AC12B4" w:rsidRDefault="00C27636">
            <w:pPr>
              <w:ind w:right="20"/>
              <w:jc w:val="right"/>
              <w:rPr>
                <w:sz w:val="20"/>
                <w:szCs w:val="20"/>
              </w:rPr>
            </w:pPr>
            <w:r>
              <w:rPr>
                <w:rFonts w:ascii="Calibri" w:eastAsia="Calibri" w:hAnsi="Calibri" w:cs="Calibri"/>
                <w:w w:val="94"/>
                <w:sz w:val="20"/>
                <w:szCs w:val="20"/>
              </w:rPr>
              <w:t>0,2</w:t>
            </w:r>
          </w:p>
        </w:tc>
        <w:tc>
          <w:tcPr>
            <w:tcW w:w="46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40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38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40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40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38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40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38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40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38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300" w:type="dxa"/>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15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93"/>
        </w:trPr>
        <w:tc>
          <w:tcPr>
            <w:tcW w:w="380" w:type="dxa"/>
            <w:vMerge/>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15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64"/>
        </w:trPr>
        <w:tc>
          <w:tcPr>
            <w:tcW w:w="380" w:type="dxa"/>
            <w:vAlign w:val="bottom"/>
          </w:tcPr>
          <w:p w:rsidR="00AC12B4" w:rsidRDefault="00C27636">
            <w:pPr>
              <w:ind w:right="20"/>
              <w:jc w:val="right"/>
              <w:rPr>
                <w:sz w:val="20"/>
                <w:szCs w:val="20"/>
              </w:rPr>
            </w:pPr>
            <w:r>
              <w:rPr>
                <w:rFonts w:ascii="Calibri" w:eastAsia="Calibri" w:hAnsi="Calibri" w:cs="Calibri"/>
                <w:sz w:val="20"/>
                <w:szCs w:val="20"/>
              </w:rPr>
              <w:t>0</w:t>
            </w:r>
          </w:p>
        </w:tc>
        <w:tc>
          <w:tcPr>
            <w:tcW w:w="46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4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38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4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4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38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4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38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4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38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300" w:type="dxa"/>
            <w:vAlign w:val="bottom"/>
          </w:tcPr>
          <w:p w:rsidR="00AC12B4" w:rsidRDefault="00AC12B4"/>
        </w:tc>
        <w:tc>
          <w:tcPr>
            <w:tcW w:w="400" w:type="dxa"/>
            <w:vAlign w:val="bottom"/>
          </w:tcPr>
          <w:p w:rsidR="00AC12B4" w:rsidRDefault="00AC12B4"/>
        </w:tc>
        <w:tc>
          <w:tcPr>
            <w:tcW w:w="1500" w:type="dxa"/>
            <w:vAlign w:val="bottom"/>
          </w:tcPr>
          <w:p w:rsidR="00AC12B4" w:rsidRDefault="00AC12B4"/>
        </w:tc>
        <w:tc>
          <w:tcPr>
            <w:tcW w:w="0" w:type="dxa"/>
            <w:vAlign w:val="bottom"/>
          </w:tcPr>
          <w:p w:rsidR="00AC12B4" w:rsidRDefault="00AC12B4">
            <w:pPr>
              <w:rPr>
                <w:sz w:val="1"/>
                <w:szCs w:val="1"/>
              </w:rPr>
            </w:pPr>
          </w:p>
        </w:tc>
      </w:tr>
      <w:tr w:rsidR="00AC12B4">
        <w:trPr>
          <w:trHeight w:val="281"/>
        </w:trPr>
        <w:tc>
          <w:tcPr>
            <w:tcW w:w="380" w:type="dxa"/>
            <w:vAlign w:val="bottom"/>
          </w:tcPr>
          <w:p w:rsidR="00AC12B4" w:rsidRDefault="00AC12B4">
            <w:pPr>
              <w:rPr>
                <w:sz w:val="24"/>
                <w:szCs w:val="24"/>
              </w:rPr>
            </w:pPr>
          </w:p>
        </w:tc>
        <w:tc>
          <w:tcPr>
            <w:tcW w:w="4180" w:type="dxa"/>
            <w:gridSpan w:val="20"/>
            <w:vAlign w:val="bottom"/>
          </w:tcPr>
          <w:p w:rsidR="00AC12B4" w:rsidRDefault="00C27636">
            <w:pPr>
              <w:jc w:val="right"/>
              <w:rPr>
                <w:sz w:val="20"/>
                <w:szCs w:val="20"/>
              </w:rPr>
            </w:pPr>
            <w:r>
              <w:rPr>
                <w:rFonts w:ascii="Calibri" w:eastAsia="Calibri" w:hAnsi="Calibri" w:cs="Calibri"/>
                <w:sz w:val="20"/>
                <w:szCs w:val="20"/>
              </w:rPr>
              <w:t>2004200520062007200820092010201120122013</w:t>
            </w:r>
          </w:p>
        </w:tc>
        <w:tc>
          <w:tcPr>
            <w:tcW w:w="3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50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532800" behindDoc="1" locked="0" layoutInCell="0" allowOverlap="1">
            <wp:simplePos x="0" y="0"/>
            <wp:positionH relativeFrom="column">
              <wp:posOffset>1034415</wp:posOffset>
            </wp:positionH>
            <wp:positionV relativeFrom="paragraph">
              <wp:posOffset>148590</wp:posOffset>
            </wp:positionV>
            <wp:extent cx="4495800" cy="266700"/>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4">
                      <a:extLst/>
                    </a:blip>
                    <a:srcRect/>
                    <a:stretch>
                      <a:fillRect/>
                    </a:stretch>
                  </pic:blipFill>
                  <pic:spPr bwMode="auto">
                    <a:xfrm>
                      <a:off x="0" y="0"/>
                      <a:ext cx="4495800" cy="266700"/>
                    </a:xfrm>
                    <a:prstGeom prst="rect">
                      <a:avLst/>
                    </a:prstGeom>
                    <a:noFill/>
                  </pic:spPr>
                </pic:pic>
              </a:graphicData>
            </a:graphic>
          </wp:anchor>
        </w:drawing>
      </w:r>
    </w:p>
    <w:p w:rsidR="00AC12B4" w:rsidRDefault="00AC12B4">
      <w:pPr>
        <w:sectPr w:rsidR="00AC12B4">
          <w:pgSz w:w="12080" w:h="17179"/>
          <w:pgMar w:top="1440" w:right="1440" w:bottom="659" w:left="485" w:header="0" w:footer="0" w:gutter="0"/>
          <w:cols w:space="720" w:equalWidth="0">
            <w:col w:w="10152"/>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3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8" w:lineRule="exact"/>
        <w:rPr>
          <w:sz w:val="20"/>
          <w:szCs w:val="20"/>
          <w:lang w:val="fr-BE"/>
        </w:rPr>
      </w:pPr>
    </w:p>
    <w:p w:rsidR="00AC12B4" w:rsidRPr="00C27636" w:rsidRDefault="00C27636">
      <w:pPr>
        <w:ind w:left="680"/>
        <w:rPr>
          <w:sz w:val="20"/>
          <w:szCs w:val="20"/>
          <w:lang w:val="fr-BE"/>
        </w:rPr>
      </w:pPr>
      <w:r w:rsidRPr="00C27636">
        <w:rPr>
          <w:rFonts w:ascii="Calibri" w:eastAsia="Calibri" w:hAnsi="Calibri" w:cs="Calibri"/>
          <w:b/>
          <w:bCs/>
          <w:color w:val="4F81BD"/>
          <w:sz w:val="18"/>
          <w:szCs w:val="18"/>
          <w:lang w:val="fr-BE"/>
        </w:rPr>
        <w:t>Figure 2. Atlas AIM 2014</w:t>
      </w:r>
    </w:p>
    <w:p w:rsidR="00AC12B4" w:rsidRPr="00C27636" w:rsidRDefault="00AC12B4">
      <w:pPr>
        <w:spacing w:line="256" w:lineRule="exact"/>
        <w:rPr>
          <w:sz w:val="20"/>
          <w:szCs w:val="20"/>
          <w:lang w:val="fr-BE"/>
        </w:rPr>
      </w:pPr>
    </w:p>
    <w:p w:rsidR="00AC12B4" w:rsidRPr="00C27636" w:rsidRDefault="00C27636">
      <w:pPr>
        <w:spacing w:line="236" w:lineRule="auto"/>
        <w:ind w:right="460"/>
        <w:jc w:val="both"/>
        <w:rPr>
          <w:sz w:val="20"/>
          <w:szCs w:val="20"/>
          <w:lang w:val="fr-BE"/>
        </w:rPr>
      </w:pPr>
      <w:r w:rsidRPr="00C27636">
        <w:rPr>
          <w:rFonts w:ascii="Calibri" w:eastAsia="Calibri" w:hAnsi="Calibri" w:cs="Calibri"/>
          <w:lang w:val="fr-BE"/>
        </w:rPr>
        <w:t xml:space="preserve">La prescription d'antibiotiques, lorsqu'elle est réalisée en dehors d'un besoin avéré, </w:t>
      </w:r>
      <w:r w:rsidRPr="00C27636">
        <w:rPr>
          <w:rFonts w:ascii="Calibri" w:eastAsia="Calibri" w:hAnsi="Calibri" w:cs="Calibri"/>
          <w:lang w:val="fr-BE"/>
        </w:rPr>
        <w:t>entraîne des effets secondaires pour le patient, notamment parce que les antibiotiques atteignent également les bactéries non pathogènes qui participent à notre bonne santé. Mais surtout, elle entraîne progressivement une résistance des bactéries au traite</w:t>
      </w:r>
      <w:r w:rsidRPr="00C27636">
        <w:rPr>
          <w:rFonts w:ascii="Calibri" w:eastAsia="Calibri" w:hAnsi="Calibri" w:cs="Calibri"/>
          <w:lang w:val="fr-BE"/>
        </w:rPr>
        <w:t>ment par un phénomène de sélection et d'échange de gènes et risque donc, à terme, d'affaiblir l'arsenal thérapeutique disponible pour vaincre les infections bactériennes.</w:t>
      </w:r>
    </w:p>
    <w:p w:rsidR="00AC12B4" w:rsidRPr="00C27636" w:rsidRDefault="00AC12B4">
      <w:pPr>
        <w:spacing w:line="180" w:lineRule="exact"/>
        <w:rPr>
          <w:sz w:val="20"/>
          <w:szCs w:val="20"/>
          <w:lang w:val="fr-BE"/>
        </w:rPr>
      </w:pPr>
    </w:p>
    <w:p w:rsidR="00AC12B4" w:rsidRPr="00C27636" w:rsidRDefault="00C27636">
      <w:pPr>
        <w:spacing w:line="229" w:lineRule="auto"/>
        <w:ind w:right="460"/>
        <w:jc w:val="both"/>
        <w:rPr>
          <w:sz w:val="20"/>
          <w:szCs w:val="20"/>
          <w:lang w:val="fr-BE"/>
        </w:rPr>
      </w:pPr>
      <w:r w:rsidRPr="00C27636">
        <w:rPr>
          <w:rFonts w:ascii="Calibri" w:eastAsia="Calibri" w:hAnsi="Calibri" w:cs="Calibri"/>
          <w:lang w:val="fr-BE"/>
        </w:rPr>
        <w:t xml:space="preserve">Selon l’ OCDE, la consommation journalière par habitant d’antibiotiques en Belgique </w:t>
      </w:r>
      <w:r w:rsidRPr="00C27636">
        <w:rPr>
          <w:rFonts w:ascii="Calibri" w:eastAsia="Calibri" w:hAnsi="Calibri" w:cs="Calibri"/>
          <w:lang w:val="fr-BE"/>
        </w:rPr>
        <w:t>est très élevée en comparaison des autres pays. (La Belgique n’est</w:t>
      </w:r>
    </w:p>
    <w:p w:rsidR="00AC12B4" w:rsidRPr="00C27636" w:rsidRDefault="00AC12B4">
      <w:pPr>
        <w:spacing w:line="198"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82</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84" w:lineRule="exact"/>
        <w:rPr>
          <w:sz w:val="20"/>
          <w:szCs w:val="20"/>
          <w:lang w:val="fr-BE"/>
        </w:rPr>
      </w:pPr>
    </w:p>
    <w:p w:rsidR="00AC12B4" w:rsidRPr="00C27636" w:rsidRDefault="00C27636">
      <w:pPr>
        <w:spacing w:line="210" w:lineRule="auto"/>
        <w:ind w:right="737"/>
        <w:jc w:val="both"/>
        <w:rPr>
          <w:sz w:val="20"/>
          <w:szCs w:val="20"/>
          <w:lang w:val="fr-BE"/>
        </w:rPr>
      </w:pPr>
      <w:r w:rsidRPr="00C27636">
        <w:rPr>
          <w:rFonts w:ascii="Calibri" w:eastAsia="Calibri" w:hAnsi="Calibri" w:cs="Calibri"/>
          <w:lang w:val="fr-BE"/>
        </w:rPr>
        <w:t>devancée que par le Luxembourg et la Grèce)</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AC12B4">
      <w:pPr>
        <w:spacing w:line="8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la Commission belge de coordination de la</w:t>
      </w:r>
    </w:p>
    <w:p w:rsidR="00AC12B4" w:rsidRPr="00C27636" w:rsidRDefault="00AC12B4">
      <w:pPr>
        <w:spacing w:line="49"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 xml:space="preserve">politique antibiotique (BAPCOC) recommande notamment une diminution de moitié des </w:t>
      </w:r>
      <w:r w:rsidRPr="00C27636">
        <w:rPr>
          <w:rFonts w:ascii="Calibri" w:eastAsia="Calibri" w:hAnsi="Calibri" w:cs="Calibri"/>
          <w:lang w:val="fr-BE"/>
        </w:rPr>
        <w:t>prescriptions antibiotiques d’ici 2025.</w:t>
      </w:r>
    </w:p>
    <w:p w:rsidR="00AC12B4" w:rsidRPr="00C27636" w:rsidRDefault="00AC12B4">
      <w:pPr>
        <w:spacing w:line="168"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Notons que près de 90% des antibiotiques prescrits le sont en ambulatoire.</w:t>
      </w:r>
    </w:p>
    <w:p w:rsidR="00AC12B4" w:rsidRPr="00C27636" w:rsidRDefault="00AC12B4">
      <w:pPr>
        <w:spacing w:line="130" w:lineRule="exact"/>
        <w:rPr>
          <w:sz w:val="20"/>
          <w:szCs w:val="20"/>
          <w:lang w:val="fr-BE"/>
        </w:rPr>
      </w:pPr>
    </w:p>
    <w:p w:rsidR="00AC12B4" w:rsidRDefault="00C27636">
      <w:pPr>
        <w:spacing w:line="211" w:lineRule="auto"/>
        <w:ind w:right="737"/>
        <w:jc w:val="both"/>
        <w:rPr>
          <w:sz w:val="20"/>
          <w:szCs w:val="20"/>
        </w:rPr>
      </w:pPr>
      <w:r w:rsidRPr="00C27636">
        <w:rPr>
          <w:rFonts w:ascii="Calibri" w:eastAsia="Calibri" w:hAnsi="Calibri" w:cs="Calibri"/>
          <w:lang w:val="fr-BE"/>
        </w:rPr>
        <w:t>La moyenne nationale est de 1.4 DDD</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xml:space="preserve"> par jour par 1000 enfants de 0-4 ans. </w:t>
      </w:r>
      <w:r>
        <w:rPr>
          <w:rFonts w:ascii="Calibri" w:eastAsia="Calibri" w:hAnsi="Calibri" w:cs="Calibri"/>
        </w:rPr>
        <w:t>Elle est</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33824" behindDoc="1" locked="0" layoutInCell="0" allowOverlap="1">
                <wp:simplePos x="0" y="0"/>
                <wp:positionH relativeFrom="column">
                  <wp:posOffset>3175</wp:posOffset>
                </wp:positionH>
                <wp:positionV relativeFrom="paragraph">
                  <wp:posOffset>160020</wp:posOffset>
                </wp:positionV>
                <wp:extent cx="1828800" cy="0"/>
                <wp:effectExtent l="0" t="0" r="0" b="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6pt" to="144.25pt,12.6pt" o:allowincell="f" strokecolor="#000000" strokeweight="0.7199pt"/>
            </w:pict>
          </mc:Fallback>
        </mc:AlternateContent>
      </w:r>
    </w:p>
    <w:p w:rsidR="00AC12B4" w:rsidRDefault="00AC12B4">
      <w:pPr>
        <w:spacing w:line="384" w:lineRule="exact"/>
        <w:rPr>
          <w:sz w:val="20"/>
          <w:szCs w:val="20"/>
        </w:rPr>
      </w:pPr>
    </w:p>
    <w:p w:rsidR="00AC12B4" w:rsidRPr="00C27636" w:rsidRDefault="00C27636">
      <w:pPr>
        <w:numPr>
          <w:ilvl w:val="0"/>
          <w:numId w:val="119"/>
        </w:numPr>
        <w:tabs>
          <w:tab w:val="left" w:pos="120"/>
        </w:tabs>
        <w:ind w:left="120" w:hanging="115"/>
        <w:rPr>
          <w:rFonts w:ascii="Calibri" w:eastAsia="Calibri" w:hAnsi="Calibri" w:cs="Calibri"/>
          <w:sz w:val="26"/>
          <w:szCs w:val="26"/>
          <w:vertAlign w:val="superscript"/>
          <w:lang w:val="es-ES"/>
        </w:rPr>
      </w:pPr>
      <w:r w:rsidRPr="00C27636">
        <w:rPr>
          <w:rFonts w:ascii="Calibri" w:eastAsia="Calibri" w:hAnsi="Calibri" w:cs="Calibri"/>
          <w:sz w:val="20"/>
          <w:szCs w:val="20"/>
          <w:lang w:val="es-ES"/>
        </w:rPr>
        <w:t>Panorama de la santé 2013 - © OECD 2013.</w:t>
      </w:r>
    </w:p>
    <w:p w:rsidR="00AC12B4" w:rsidRPr="00C27636" w:rsidRDefault="00AC12B4">
      <w:pPr>
        <w:spacing w:line="167" w:lineRule="exact"/>
        <w:rPr>
          <w:rFonts w:ascii="Calibri" w:eastAsia="Calibri" w:hAnsi="Calibri" w:cs="Calibri"/>
          <w:sz w:val="26"/>
          <w:szCs w:val="26"/>
          <w:vertAlign w:val="superscript"/>
          <w:lang w:val="es-ES"/>
        </w:rPr>
      </w:pPr>
    </w:p>
    <w:p w:rsidR="00AC12B4" w:rsidRDefault="00C27636">
      <w:pPr>
        <w:numPr>
          <w:ilvl w:val="0"/>
          <w:numId w:val="119"/>
        </w:numPr>
        <w:tabs>
          <w:tab w:val="left" w:pos="146"/>
        </w:tabs>
        <w:spacing w:line="188" w:lineRule="auto"/>
        <w:ind w:right="737" w:firstLine="5"/>
        <w:rPr>
          <w:rFonts w:ascii="Calibri" w:eastAsia="Calibri" w:hAnsi="Calibri" w:cs="Calibri"/>
          <w:sz w:val="26"/>
          <w:szCs w:val="26"/>
          <w:vertAlign w:val="superscript"/>
        </w:rPr>
      </w:pPr>
      <w:r>
        <w:rPr>
          <w:rFonts w:ascii="Calibri" w:eastAsia="Calibri" w:hAnsi="Calibri" w:cs="Calibri"/>
          <w:sz w:val="20"/>
          <w:szCs w:val="20"/>
        </w:rPr>
        <w:t>DDD (defin</w:t>
      </w:r>
      <w:r>
        <w:rPr>
          <w:rFonts w:ascii="Calibri" w:eastAsia="Calibri" w:hAnsi="Calibri" w:cs="Calibri"/>
          <w:sz w:val="20"/>
          <w:szCs w:val="20"/>
        </w:rPr>
        <w:t>ed Daily Dose) : Dose journalière recommandée</w:t>
      </w:r>
    </w:p>
    <w:p w:rsidR="00AC12B4" w:rsidRDefault="00AC12B4">
      <w:pPr>
        <w:sectPr w:rsidR="00AC12B4">
          <w:type w:val="continuous"/>
          <w:pgSz w:w="12080" w:h="17179"/>
          <w:pgMar w:top="1440" w:right="1440" w:bottom="659" w:left="485" w:header="0" w:footer="0" w:gutter="0"/>
          <w:cols w:num="3" w:space="720" w:equalWidth="0">
            <w:col w:w="342" w:space="613"/>
            <w:col w:w="4340" w:space="240"/>
            <w:col w:w="4617"/>
          </w:cols>
        </w:sectPr>
      </w:pPr>
    </w:p>
    <w:p w:rsidR="00AC12B4" w:rsidRDefault="00AC12B4">
      <w:pPr>
        <w:spacing w:line="212" w:lineRule="exact"/>
        <w:rPr>
          <w:sz w:val="20"/>
          <w:szCs w:val="20"/>
        </w:rPr>
      </w:pPr>
      <w:bookmarkStart w:id="82" w:name="page83"/>
      <w:bookmarkEnd w:id="82"/>
    </w:p>
    <w:p w:rsidR="00AC12B4" w:rsidRPr="00C27636" w:rsidRDefault="00C27636">
      <w:pPr>
        <w:spacing w:line="236" w:lineRule="auto"/>
        <w:ind w:left="560"/>
        <w:jc w:val="both"/>
        <w:rPr>
          <w:sz w:val="20"/>
          <w:szCs w:val="20"/>
          <w:lang w:val="fr-BE"/>
        </w:rPr>
      </w:pPr>
      <w:r w:rsidRPr="00C27636">
        <w:rPr>
          <w:rFonts w:ascii="Calibri" w:eastAsia="Calibri" w:hAnsi="Calibri" w:cs="Calibri"/>
          <w:lang w:val="fr-BE"/>
        </w:rPr>
        <w:t xml:space="preserve">plus élevée en Wallonie. Il faut toutefois éviter de mauvaises interprétations : à Bruxelles par exemple, la « faible » consommation (relativement aux autres Régions) est </w:t>
      </w:r>
      <w:r w:rsidRPr="00C27636">
        <w:rPr>
          <w:rFonts w:ascii="Calibri" w:eastAsia="Calibri" w:hAnsi="Calibri" w:cs="Calibri"/>
          <w:lang w:val="fr-BE"/>
        </w:rPr>
        <w:t>peut-être liée à des difficultés d’accès pour raisons financières. On remarque une tendance à une légère diminution de la consommation d’antibiotiques par les enfants (0-14 ans). Les jeunes enfants (0-4 ans) vivant à Bruxelles sont ceux qui consomment le m</w:t>
      </w:r>
      <w:r w:rsidRPr="00C27636">
        <w:rPr>
          <w:rFonts w:ascii="Calibri" w:eastAsia="Calibri" w:hAnsi="Calibri" w:cs="Calibri"/>
          <w:lang w:val="fr-BE"/>
        </w:rPr>
        <w:t>oins d’antibiotiques.</w:t>
      </w:r>
    </w:p>
    <w:p w:rsidR="00AC12B4" w:rsidRPr="00C27636" w:rsidRDefault="00AC12B4">
      <w:pPr>
        <w:spacing w:line="174" w:lineRule="exact"/>
        <w:rPr>
          <w:sz w:val="20"/>
          <w:szCs w:val="20"/>
          <w:lang w:val="fr-BE"/>
        </w:rPr>
      </w:pPr>
    </w:p>
    <w:p w:rsidR="00AC12B4" w:rsidRPr="00C27636" w:rsidRDefault="00C27636">
      <w:pPr>
        <w:spacing w:line="230" w:lineRule="auto"/>
        <w:ind w:left="560"/>
        <w:jc w:val="both"/>
        <w:rPr>
          <w:sz w:val="20"/>
          <w:szCs w:val="20"/>
          <w:lang w:val="fr-BE"/>
        </w:rPr>
      </w:pPr>
      <w:r w:rsidRPr="00C27636">
        <w:rPr>
          <w:rFonts w:ascii="Calibri" w:eastAsia="Calibri" w:hAnsi="Calibri" w:cs="Calibri"/>
          <w:lang w:val="fr-BE"/>
        </w:rPr>
        <w:t xml:space="preserve">En Belgique, en 2013, 71% des 0-14 ans ayant eu un contact avec un médecin se sont vu prescrire des antibiotiques. Anvers est la province avec le moins de prescriptions (65%). A l’autre extrémité, le Hainaut enregistre le plus grand </w:t>
      </w:r>
      <w:r w:rsidRPr="00C27636">
        <w:rPr>
          <w:rFonts w:ascii="Calibri" w:eastAsia="Calibri" w:hAnsi="Calibri" w:cs="Calibri"/>
          <w:lang w:val="fr-BE"/>
        </w:rPr>
        <w:t>taux de prescription avec 76%</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177" w:lineRule="exact"/>
        <w:rPr>
          <w:sz w:val="20"/>
          <w:szCs w:val="20"/>
          <w:lang w:val="fr-BE"/>
        </w:rPr>
      </w:pPr>
    </w:p>
    <w:p w:rsidR="00AC12B4" w:rsidRPr="00C27636" w:rsidRDefault="00C27636">
      <w:pPr>
        <w:ind w:left="560"/>
        <w:rPr>
          <w:sz w:val="20"/>
          <w:szCs w:val="20"/>
          <w:lang w:val="fr-BE"/>
        </w:rPr>
      </w:pPr>
      <w:r w:rsidRPr="00C27636">
        <w:rPr>
          <w:rFonts w:ascii="Cambria" w:eastAsia="Cambria" w:hAnsi="Cambria" w:cs="Cambria"/>
          <w:b/>
          <w:bCs/>
          <w:i/>
          <w:iCs/>
          <w:color w:val="919715"/>
          <w:sz w:val="26"/>
          <w:szCs w:val="26"/>
          <w:lang w:val="fr-BE"/>
        </w:rPr>
        <w:t>Psychotropes</w:t>
      </w:r>
    </w:p>
    <w:p w:rsidR="00AC12B4" w:rsidRPr="00C27636" w:rsidRDefault="00AC12B4">
      <w:pPr>
        <w:spacing w:line="208" w:lineRule="exact"/>
        <w:rPr>
          <w:sz w:val="20"/>
          <w:szCs w:val="20"/>
          <w:lang w:val="fr-BE"/>
        </w:rPr>
      </w:pPr>
    </w:p>
    <w:p w:rsidR="00AC12B4" w:rsidRPr="00C27636" w:rsidRDefault="00C27636">
      <w:pPr>
        <w:spacing w:line="218" w:lineRule="auto"/>
        <w:ind w:left="560"/>
        <w:jc w:val="both"/>
        <w:rPr>
          <w:sz w:val="20"/>
          <w:szCs w:val="20"/>
          <w:lang w:val="fr-BE"/>
        </w:rPr>
      </w:pPr>
      <w:r w:rsidRPr="00C27636">
        <w:rPr>
          <w:rFonts w:ascii="Calibri" w:eastAsia="Calibri" w:hAnsi="Calibri" w:cs="Calibri"/>
          <w:lang w:val="fr-BE"/>
        </w:rPr>
        <w:t>De nombreux psychotropes peuvent être prescrits pour diverses raisons. Il s’agit</w:t>
      </w:r>
    </w:p>
    <w:p w:rsidR="00AC12B4" w:rsidRPr="00C27636" w:rsidRDefault="00AC12B4">
      <w:pPr>
        <w:spacing w:line="50" w:lineRule="exact"/>
        <w:rPr>
          <w:sz w:val="20"/>
          <w:szCs w:val="20"/>
          <w:lang w:val="fr-BE"/>
        </w:rPr>
      </w:pPr>
    </w:p>
    <w:p w:rsidR="00AC12B4" w:rsidRPr="00C27636" w:rsidRDefault="00C27636">
      <w:pPr>
        <w:spacing w:line="231" w:lineRule="auto"/>
        <w:ind w:left="560"/>
        <w:jc w:val="both"/>
        <w:rPr>
          <w:sz w:val="20"/>
          <w:szCs w:val="20"/>
          <w:lang w:val="fr-BE"/>
        </w:rPr>
      </w:pPr>
      <w:r w:rsidRPr="00C27636">
        <w:rPr>
          <w:rFonts w:ascii="Calibri" w:eastAsia="Calibri" w:hAnsi="Calibri" w:cs="Calibri"/>
          <w:lang w:val="fr-BE"/>
        </w:rPr>
        <w:t>d’antiépileptiques, opiacés, antipsychotiques mais également de psychostimulants (dont la majeur partie est constituée de rilat</w:t>
      </w:r>
      <w:r w:rsidRPr="00C27636">
        <w:rPr>
          <w:rFonts w:ascii="Calibri" w:eastAsia="Calibri" w:hAnsi="Calibri" w:cs="Calibri"/>
          <w:lang w:val="fr-BE"/>
        </w:rPr>
        <w:t>ine) et d’antidépresseurs.</w:t>
      </w:r>
    </w:p>
    <w:p w:rsidR="00AC12B4" w:rsidRPr="00C27636" w:rsidRDefault="00AC12B4">
      <w:pPr>
        <w:spacing w:line="172" w:lineRule="exact"/>
        <w:rPr>
          <w:sz w:val="20"/>
          <w:szCs w:val="20"/>
          <w:lang w:val="fr-BE"/>
        </w:rPr>
      </w:pPr>
    </w:p>
    <w:p w:rsidR="00AC12B4" w:rsidRPr="00C27636" w:rsidRDefault="00C27636">
      <w:pPr>
        <w:spacing w:line="228" w:lineRule="auto"/>
        <w:ind w:left="560"/>
        <w:jc w:val="both"/>
        <w:rPr>
          <w:sz w:val="20"/>
          <w:szCs w:val="20"/>
          <w:lang w:val="fr-BE"/>
        </w:rPr>
      </w:pPr>
      <w:r w:rsidRPr="00C27636">
        <w:rPr>
          <w:rFonts w:ascii="Calibri" w:eastAsia="Calibri" w:hAnsi="Calibri" w:cs="Calibri"/>
          <w:lang w:val="fr-BE"/>
        </w:rPr>
        <w:t>Alors que la prescription de certains psychotropes est largement considérée comme médicalement justifiée, d’autres comme la rilatine et les antidépresseurs</w:t>
      </w:r>
    </w:p>
    <w:p w:rsidR="00AC12B4" w:rsidRPr="00C27636" w:rsidRDefault="00AC12B4">
      <w:pPr>
        <w:spacing w:line="52" w:lineRule="exact"/>
        <w:rPr>
          <w:sz w:val="20"/>
          <w:szCs w:val="20"/>
          <w:lang w:val="fr-BE"/>
        </w:rPr>
      </w:pPr>
    </w:p>
    <w:p w:rsidR="00AC12B4" w:rsidRPr="00C27636" w:rsidRDefault="00C27636">
      <w:pPr>
        <w:spacing w:line="218" w:lineRule="auto"/>
        <w:ind w:left="560"/>
        <w:jc w:val="both"/>
        <w:rPr>
          <w:sz w:val="20"/>
          <w:szCs w:val="20"/>
          <w:lang w:val="fr-BE"/>
        </w:rPr>
      </w:pPr>
      <w:r w:rsidRPr="00C27636">
        <w:rPr>
          <w:rFonts w:ascii="Calibri" w:eastAsia="Calibri" w:hAnsi="Calibri" w:cs="Calibri"/>
          <w:lang w:val="fr-BE"/>
        </w:rPr>
        <w:t>voient leurs (sur)prescriptions questionnées.</w:t>
      </w:r>
    </w:p>
    <w:p w:rsidR="00AC12B4" w:rsidRPr="00C27636" w:rsidRDefault="00AC12B4">
      <w:pPr>
        <w:spacing w:line="170" w:lineRule="exact"/>
        <w:rPr>
          <w:sz w:val="20"/>
          <w:szCs w:val="20"/>
          <w:lang w:val="fr-BE"/>
        </w:rPr>
      </w:pPr>
    </w:p>
    <w:p w:rsidR="00AC12B4" w:rsidRPr="00C27636" w:rsidRDefault="00C27636">
      <w:pPr>
        <w:spacing w:line="224" w:lineRule="auto"/>
        <w:ind w:left="560"/>
        <w:jc w:val="both"/>
        <w:rPr>
          <w:sz w:val="20"/>
          <w:szCs w:val="20"/>
          <w:lang w:val="fr-BE"/>
        </w:rPr>
      </w:pPr>
      <w:r w:rsidRPr="00C27636">
        <w:rPr>
          <w:rFonts w:ascii="Calibri" w:eastAsia="Calibri" w:hAnsi="Calibri" w:cs="Calibri"/>
          <w:lang w:val="fr-BE"/>
        </w:rPr>
        <w:t xml:space="preserve">Selon les bases de </w:t>
      </w:r>
      <w:r w:rsidRPr="00C27636">
        <w:rPr>
          <w:rFonts w:ascii="Calibri" w:eastAsia="Calibri" w:hAnsi="Calibri" w:cs="Calibri"/>
          <w:lang w:val="fr-BE"/>
        </w:rPr>
        <w:t>données de l’INAMI, la prescription d’antidépresseurs augmente avec l’âge, atteignant déjà 1% des jeunes de 15 ans et 2,3% des 18 ans</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w:t>
      </w:r>
    </w:p>
    <w:p w:rsidR="00AC12B4" w:rsidRPr="00C27636" w:rsidRDefault="00AC12B4">
      <w:pPr>
        <w:spacing w:line="136" w:lineRule="exact"/>
        <w:rPr>
          <w:sz w:val="20"/>
          <w:szCs w:val="20"/>
          <w:lang w:val="fr-BE"/>
        </w:rPr>
      </w:pPr>
    </w:p>
    <w:p w:rsidR="00AC12B4" w:rsidRPr="00C27636" w:rsidRDefault="00C27636">
      <w:pPr>
        <w:spacing w:line="217" w:lineRule="auto"/>
        <w:ind w:left="560"/>
        <w:jc w:val="both"/>
        <w:rPr>
          <w:sz w:val="20"/>
          <w:szCs w:val="20"/>
          <w:lang w:val="fr-BE"/>
        </w:rPr>
      </w:pPr>
      <w:r w:rsidRPr="00C27636">
        <w:rPr>
          <w:rFonts w:ascii="Calibri" w:eastAsia="Calibri" w:hAnsi="Calibri" w:cs="Calibri"/>
          <w:lang w:val="fr-BE"/>
        </w:rPr>
        <w:t>Pour des soins de santé de qualité, la consommation de psychotropes doit être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34848" behindDoc="1" locked="0" layoutInCell="0" allowOverlap="1">
                <wp:simplePos x="0" y="0"/>
                <wp:positionH relativeFrom="column">
                  <wp:posOffset>359410</wp:posOffset>
                </wp:positionH>
                <wp:positionV relativeFrom="paragraph">
                  <wp:posOffset>759460</wp:posOffset>
                </wp:positionV>
                <wp:extent cx="1829435" cy="0"/>
                <wp:effectExtent l="0" t="0" r="0" b="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59.8pt" to="172.35pt,59.8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96" w:lineRule="exact"/>
        <w:rPr>
          <w:sz w:val="20"/>
          <w:szCs w:val="20"/>
          <w:lang w:val="fr-BE"/>
        </w:rPr>
      </w:pPr>
    </w:p>
    <w:p w:rsidR="00AC12B4" w:rsidRPr="00C27636" w:rsidRDefault="00C27636">
      <w:pPr>
        <w:spacing w:line="217" w:lineRule="auto"/>
        <w:ind w:left="560"/>
        <w:jc w:val="both"/>
        <w:rPr>
          <w:sz w:val="20"/>
          <w:szCs w:val="20"/>
          <w:lang w:val="fr-BE"/>
        </w:rPr>
      </w:pP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 xml:space="preserve"> INAMI, </w:t>
      </w:r>
      <w:r w:rsidRPr="00C27636">
        <w:rPr>
          <w:rFonts w:eastAsia="Times New Roman"/>
          <w:i/>
          <w:iCs/>
          <w:color w:val="2D3235"/>
          <w:sz w:val="20"/>
          <w:szCs w:val="20"/>
          <w:lang w:val="fr-BE"/>
        </w:rPr>
        <w:t xml:space="preserve">Feed-back sur les </w:t>
      </w:r>
      <w:r w:rsidRPr="00C27636">
        <w:rPr>
          <w:rFonts w:eastAsia="Times New Roman"/>
          <w:i/>
          <w:iCs/>
          <w:color w:val="2D3235"/>
          <w:sz w:val="20"/>
          <w:szCs w:val="20"/>
          <w:lang w:val="fr-BE"/>
        </w:rPr>
        <w:t>pratiques en</w:t>
      </w:r>
      <w:r w:rsidRPr="00C27636">
        <w:rPr>
          <w:rFonts w:ascii="Calibri" w:eastAsia="Calibri" w:hAnsi="Calibri" w:cs="Calibri"/>
          <w:sz w:val="20"/>
          <w:szCs w:val="20"/>
          <w:lang w:val="fr-BE"/>
        </w:rPr>
        <w:t xml:space="preserve"> </w:t>
      </w:r>
      <w:r w:rsidRPr="00C27636">
        <w:rPr>
          <w:rFonts w:eastAsia="Times New Roman"/>
          <w:i/>
          <w:iCs/>
          <w:color w:val="2D3235"/>
          <w:sz w:val="20"/>
          <w:szCs w:val="20"/>
          <w:lang w:val="fr-BE"/>
        </w:rPr>
        <w:t>médecine générale</w:t>
      </w:r>
      <w:r w:rsidRPr="00C27636">
        <w:rPr>
          <w:rFonts w:eastAsia="Times New Roman"/>
          <w:color w:val="2D3235"/>
          <w:sz w:val="20"/>
          <w:szCs w:val="20"/>
          <w:lang w:val="fr-BE"/>
        </w:rPr>
        <w:t>, par Groupe local</w:t>
      </w:r>
      <w:r w:rsidRPr="00C27636">
        <w:rPr>
          <w:rFonts w:eastAsia="Times New Roman"/>
          <w:i/>
          <w:iCs/>
          <w:color w:val="2D3235"/>
          <w:sz w:val="20"/>
          <w:szCs w:val="20"/>
          <w:lang w:val="fr-BE"/>
        </w:rPr>
        <w:t xml:space="preserve"> </w:t>
      </w:r>
      <w:r w:rsidRPr="00C27636">
        <w:rPr>
          <w:rFonts w:eastAsia="Times New Roman"/>
          <w:color w:val="2D3235"/>
          <w:sz w:val="20"/>
          <w:szCs w:val="20"/>
          <w:lang w:val="fr-BE"/>
        </w:rPr>
        <w:t>d’évaluation médicale (Glem) - Données 2013.</w:t>
      </w:r>
    </w:p>
    <w:p w:rsidR="00AC12B4" w:rsidRPr="00C27636" w:rsidRDefault="00AC12B4">
      <w:pPr>
        <w:spacing w:line="50" w:lineRule="exact"/>
        <w:rPr>
          <w:sz w:val="20"/>
          <w:szCs w:val="20"/>
          <w:lang w:val="fr-BE"/>
        </w:rPr>
      </w:pPr>
    </w:p>
    <w:p w:rsidR="00AC12B4" w:rsidRDefault="00C27636">
      <w:pPr>
        <w:numPr>
          <w:ilvl w:val="0"/>
          <w:numId w:val="120"/>
        </w:numPr>
        <w:tabs>
          <w:tab w:val="left" w:pos="680"/>
        </w:tabs>
        <w:ind w:left="680" w:hanging="113"/>
        <w:rPr>
          <w:rFonts w:ascii="Calibri" w:eastAsia="Calibri" w:hAnsi="Calibri" w:cs="Calibri"/>
          <w:sz w:val="26"/>
          <w:szCs w:val="26"/>
          <w:vertAlign w:val="superscript"/>
        </w:rPr>
      </w:pPr>
      <w:r>
        <w:rPr>
          <w:rFonts w:ascii="Calibri" w:eastAsia="Calibri" w:hAnsi="Calibri" w:cs="Calibri"/>
          <w:sz w:val="20"/>
          <w:szCs w:val="20"/>
        </w:rPr>
        <w:t>INAMI, Pharmanet 2014.</w:t>
      </w:r>
    </w:p>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Pr="00C27636" w:rsidRDefault="00C27636">
      <w:pPr>
        <w:spacing w:line="210" w:lineRule="auto"/>
        <w:ind w:left="480" w:right="600"/>
        <w:jc w:val="both"/>
        <w:rPr>
          <w:sz w:val="20"/>
          <w:szCs w:val="20"/>
          <w:lang w:val="fr-BE"/>
        </w:rPr>
      </w:pPr>
      <w:r w:rsidRPr="00C27636">
        <w:rPr>
          <w:rFonts w:ascii="Calibri" w:eastAsia="Calibri" w:hAnsi="Calibri" w:cs="Calibri"/>
          <w:lang w:val="fr-BE"/>
        </w:rPr>
        <w:t>raisonnée et accompagnée d’un suivi sur le plan thérapeutique</w:t>
      </w:r>
      <w:r w:rsidRPr="00C27636">
        <w:rPr>
          <w:rFonts w:ascii="Calibri" w:eastAsia="Calibri" w:hAnsi="Calibri" w:cs="Calibri"/>
          <w:sz w:val="27"/>
          <w:szCs w:val="27"/>
          <w:vertAlign w:val="superscript"/>
          <w:lang w:val="fr-BE"/>
        </w:rPr>
        <w:t>6</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35872" behindDoc="1" locked="0" layoutInCell="0" allowOverlap="1">
            <wp:simplePos x="0" y="0"/>
            <wp:positionH relativeFrom="column">
              <wp:posOffset>173355</wp:posOffset>
            </wp:positionH>
            <wp:positionV relativeFrom="paragraph">
              <wp:posOffset>-1380490</wp:posOffset>
            </wp:positionV>
            <wp:extent cx="3609340" cy="1090866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5">
                      <a:extLst/>
                    </a:blip>
                    <a:srcRect/>
                    <a:stretch>
                      <a:fillRect/>
                    </a:stretch>
                  </pic:blipFill>
                  <pic:spPr bwMode="auto">
                    <a:xfrm>
                      <a:off x="0" y="0"/>
                      <a:ext cx="3609340" cy="10908665"/>
                    </a:xfrm>
                    <a:prstGeom prst="rect">
                      <a:avLst/>
                    </a:prstGeom>
                    <a:noFill/>
                  </pic:spPr>
                </pic:pic>
              </a:graphicData>
            </a:graphic>
          </wp:anchor>
        </w:drawing>
      </w:r>
    </w:p>
    <w:p w:rsidR="00AC12B4" w:rsidRPr="00C27636" w:rsidRDefault="00AC12B4">
      <w:pPr>
        <w:spacing w:line="114" w:lineRule="exact"/>
        <w:rPr>
          <w:sz w:val="20"/>
          <w:szCs w:val="20"/>
          <w:lang w:val="fr-BE"/>
        </w:rPr>
      </w:pPr>
    </w:p>
    <w:p w:rsidR="00AC12B4" w:rsidRPr="00C27636" w:rsidRDefault="00C27636">
      <w:pPr>
        <w:spacing w:line="224" w:lineRule="auto"/>
        <w:ind w:left="480" w:right="600"/>
        <w:jc w:val="both"/>
        <w:rPr>
          <w:rFonts w:ascii="Calibri" w:eastAsia="Calibri" w:hAnsi="Calibri" w:cs="Calibri"/>
          <w:lang w:val="fr-BE"/>
        </w:rPr>
      </w:pPr>
      <w:r w:rsidRPr="00C27636">
        <w:rPr>
          <w:rFonts w:ascii="Calibri" w:eastAsia="Calibri" w:hAnsi="Calibri" w:cs="Calibri"/>
          <w:lang w:val="fr-BE"/>
        </w:rPr>
        <w:t xml:space="preserve">2,3% des enfants ayant entre 10 et 15 ans se sont vus prescrire de la rilatine en 2014 (Cf. </w:t>
      </w:r>
      <w:hyperlink w:anchor="page83">
        <w:r w:rsidRPr="00C27636">
          <w:rPr>
            <w:rFonts w:ascii="Calibri" w:eastAsia="Calibri" w:hAnsi="Calibri" w:cs="Calibri"/>
            <w:lang w:val="fr-BE"/>
          </w:rPr>
          <w:t>Figure)</w:t>
        </w:r>
      </w:hyperlink>
      <w:r w:rsidRPr="00C27636">
        <w:rPr>
          <w:rFonts w:ascii="Calibri" w:eastAsia="Calibri" w:hAnsi="Calibri" w:cs="Calibri"/>
          <w:lang w:val="fr-BE"/>
        </w:rPr>
        <w:t>.</w:t>
      </w:r>
    </w:p>
    <w:p w:rsidR="00AC12B4" w:rsidRPr="00C27636" w:rsidRDefault="00AC12B4">
      <w:pPr>
        <w:spacing w:line="172" w:lineRule="exact"/>
        <w:rPr>
          <w:sz w:val="20"/>
          <w:szCs w:val="20"/>
          <w:lang w:val="fr-BE"/>
        </w:rPr>
      </w:pPr>
    </w:p>
    <w:p w:rsidR="00AC12B4" w:rsidRPr="00C27636" w:rsidRDefault="00C27636">
      <w:pPr>
        <w:spacing w:line="234" w:lineRule="auto"/>
        <w:ind w:left="480" w:right="600"/>
        <w:jc w:val="both"/>
        <w:rPr>
          <w:sz w:val="20"/>
          <w:szCs w:val="20"/>
          <w:lang w:val="fr-BE"/>
        </w:rPr>
      </w:pPr>
      <w:r w:rsidRPr="00C27636">
        <w:rPr>
          <w:rFonts w:ascii="Calibri" w:eastAsia="Calibri" w:hAnsi="Calibri" w:cs="Calibri"/>
          <w:lang w:val="fr-BE"/>
        </w:rPr>
        <w:t>Près de 60% de la rilatine prescrite en Belgique est prescrite par des médecins spécialistes en psychiatrie, neurologie ou ne</w:t>
      </w:r>
      <w:r w:rsidRPr="00C27636">
        <w:rPr>
          <w:rFonts w:ascii="Calibri" w:eastAsia="Calibri" w:hAnsi="Calibri" w:cs="Calibri"/>
          <w:lang w:val="fr-BE"/>
        </w:rPr>
        <w:t>uropsychiatrie. Le suivi psychiatrique de ces patients est alors normalement assuré. Plus préoccupant donc sont les 30% des prescriptions de rilatine faites par des médecins généralistes et des pédiatres.</w:t>
      </w:r>
    </w:p>
    <w:p w:rsidR="00AC12B4" w:rsidRPr="00C27636" w:rsidRDefault="00AC12B4">
      <w:pPr>
        <w:spacing w:line="127" w:lineRule="exact"/>
        <w:rPr>
          <w:sz w:val="20"/>
          <w:szCs w:val="20"/>
          <w:lang w:val="fr-BE"/>
        </w:rPr>
      </w:pPr>
    </w:p>
    <w:p w:rsidR="00AC12B4" w:rsidRPr="00C27636" w:rsidRDefault="00C27636">
      <w:pPr>
        <w:ind w:left="480"/>
        <w:rPr>
          <w:sz w:val="20"/>
          <w:szCs w:val="20"/>
          <w:lang w:val="fr-BE"/>
        </w:rPr>
      </w:pPr>
      <w:r w:rsidRPr="00C27636">
        <w:rPr>
          <w:rFonts w:ascii="Calibri" w:eastAsia="Calibri" w:hAnsi="Calibri" w:cs="Calibri"/>
          <w:lang w:val="fr-BE"/>
        </w:rPr>
        <w:t>De  plus,  il  existe  une  forte  disparité</w:t>
      </w:r>
    </w:p>
    <w:p w:rsidR="00AC12B4" w:rsidRPr="00C27636" w:rsidRDefault="00AC12B4">
      <w:pPr>
        <w:spacing w:line="182" w:lineRule="exact"/>
        <w:rPr>
          <w:sz w:val="20"/>
          <w:szCs w:val="20"/>
          <w:lang w:val="fr-BE"/>
        </w:rPr>
      </w:pPr>
    </w:p>
    <w:p w:rsidR="00AC12B4" w:rsidRPr="00C27636" w:rsidRDefault="00C27636">
      <w:pPr>
        <w:ind w:left="1240"/>
        <w:rPr>
          <w:sz w:val="20"/>
          <w:szCs w:val="20"/>
          <w:lang w:val="fr-BE"/>
        </w:rPr>
      </w:pPr>
      <w:r w:rsidRPr="00C27636">
        <w:rPr>
          <w:rFonts w:ascii="Calibri" w:eastAsia="Calibri" w:hAnsi="Calibri" w:cs="Calibri"/>
          <w:b/>
          <w:bCs/>
          <w:sz w:val="21"/>
          <w:szCs w:val="21"/>
          <w:lang w:val="fr-BE"/>
        </w:rPr>
        <w:t xml:space="preserve">% </w:t>
      </w:r>
      <w:r w:rsidRPr="00C27636">
        <w:rPr>
          <w:rFonts w:ascii="Calibri" w:eastAsia="Calibri" w:hAnsi="Calibri" w:cs="Calibri"/>
          <w:b/>
          <w:bCs/>
          <w:sz w:val="21"/>
          <w:szCs w:val="21"/>
          <w:lang w:val="fr-BE"/>
        </w:rPr>
        <w:t>d'enfants sous rilatine selon l'âge</w:t>
      </w:r>
    </w:p>
    <w:p w:rsidR="00AC12B4" w:rsidRPr="00C27636" w:rsidRDefault="00AC12B4">
      <w:pPr>
        <w:spacing w:line="104" w:lineRule="exact"/>
        <w:rPr>
          <w:sz w:val="20"/>
          <w:szCs w:val="20"/>
          <w:lang w:val="fr-BE"/>
        </w:rPr>
      </w:pPr>
    </w:p>
    <w:p w:rsidR="00AC12B4" w:rsidRPr="00C27636" w:rsidRDefault="00C27636">
      <w:pPr>
        <w:ind w:left="420"/>
        <w:rPr>
          <w:sz w:val="20"/>
          <w:szCs w:val="20"/>
          <w:lang w:val="fr-BE"/>
        </w:rPr>
      </w:pPr>
      <w:r w:rsidRPr="00C27636">
        <w:rPr>
          <w:rFonts w:ascii="Calibri" w:eastAsia="Calibri" w:hAnsi="Calibri" w:cs="Calibri"/>
          <w:sz w:val="20"/>
          <w:szCs w:val="20"/>
          <w:lang w:val="fr-BE"/>
        </w:rPr>
        <w:t>3,0%</w:t>
      </w:r>
    </w:p>
    <w:p w:rsidR="00AC12B4" w:rsidRPr="00C27636" w:rsidRDefault="00AC12B4">
      <w:pPr>
        <w:spacing w:line="297" w:lineRule="exact"/>
        <w:rPr>
          <w:sz w:val="20"/>
          <w:szCs w:val="20"/>
          <w:lang w:val="fr-BE"/>
        </w:rPr>
      </w:pPr>
    </w:p>
    <w:p w:rsidR="00AC12B4" w:rsidRPr="00C27636" w:rsidRDefault="00C27636">
      <w:pPr>
        <w:ind w:left="420"/>
        <w:rPr>
          <w:sz w:val="20"/>
          <w:szCs w:val="20"/>
          <w:lang w:val="fr-BE"/>
        </w:rPr>
      </w:pPr>
      <w:r w:rsidRPr="00C27636">
        <w:rPr>
          <w:rFonts w:ascii="Calibri" w:eastAsia="Calibri" w:hAnsi="Calibri" w:cs="Calibri"/>
          <w:sz w:val="20"/>
          <w:szCs w:val="20"/>
          <w:lang w:val="fr-BE"/>
        </w:rPr>
        <w:t>2,0%</w:t>
      </w:r>
    </w:p>
    <w:p w:rsidR="00AC12B4" w:rsidRPr="00C27636" w:rsidRDefault="00AC12B4">
      <w:pPr>
        <w:spacing w:line="297" w:lineRule="exact"/>
        <w:rPr>
          <w:sz w:val="20"/>
          <w:szCs w:val="20"/>
          <w:lang w:val="fr-BE"/>
        </w:rPr>
      </w:pPr>
    </w:p>
    <w:p w:rsidR="00AC12B4" w:rsidRPr="00C27636" w:rsidRDefault="00C27636">
      <w:pPr>
        <w:ind w:left="420"/>
        <w:rPr>
          <w:sz w:val="20"/>
          <w:szCs w:val="20"/>
          <w:lang w:val="fr-BE"/>
        </w:rPr>
      </w:pPr>
      <w:r w:rsidRPr="00C27636">
        <w:rPr>
          <w:rFonts w:ascii="Calibri" w:eastAsia="Calibri" w:hAnsi="Calibri" w:cs="Calibri"/>
          <w:sz w:val="20"/>
          <w:szCs w:val="20"/>
          <w:lang w:val="fr-BE"/>
        </w:rPr>
        <w:t>1,0%</w:t>
      </w:r>
    </w:p>
    <w:p w:rsidR="00AC12B4" w:rsidRPr="00C27636" w:rsidRDefault="00AC12B4">
      <w:pPr>
        <w:spacing w:line="297" w:lineRule="exact"/>
        <w:rPr>
          <w:sz w:val="20"/>
          <w:szCs w:val="20"/>
          <w:lang w:val="fr-BE"/>
        </w:rPr>
      </w:pPr>
    </w:p>
    <w:p w:rsidR="00AC12B4" w:rsidRPr="00C27636" w:rsidRDefault="00C27636">
      <w:pPr>
        <w:ind w:right="4140"/>
        <w:jc w:val="right"/>
        <w:rPr>
          <w:sz w:val="20"/>
          <w:szCs w:val="20"/>
          <w:lang w:val="fr-BE"/>
        </w:rPr>
      </w:pPr>
      <w:r w:rsidRPr="00C27636">
        <w:rPr>
          <w:rFonts w:ascii="Calibri" w:eastAsia="Calibri" w:hAnsi="Calibri" w:cs="Calibri"/>
          <w:sz w:val="20"/>
          <w:szCs w:val="20"/>
          <w:lang w:val="fr-BE"/>
        </w:rPr>
        <w:t>0,0%</w:t>
      </w:r>
    </w:p>
    <w:p w:rsidR="00AC12B4" w:rsidRPr="00C27636" w:rsidRDefault="00AC12B4">
      <w:pPr>
        <w:spacing w:line="16"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sz w:val="20"/>
          <w:szCs w:val="20"/>
          <w:lang w:val="fr-BE"/>
        </w:rPr>
        <w:t>1 2 3 4 5 6 7 8 9 101112131415161718</w:t>
      </w:r>
    </w:p>
    <w:p w:rsidR="00AC12B4" w:rsidRPr="00C27636" w:rsidRDefault="00AC12B4">
      <w:pPr>
        <w:spacing w:line="211" w:lineRule="exact"/>
        <w:rPr>
          <w:sz w:val="20"/>
          <w:szCs w:val="20"/>
          <w:lang w:val="fr-BE"/>
        </w:rPr>
      </w:pPr>
    </w:p>
    <w:p w:rsidR="00AC12B4" w:rsidRPr="00C27636" w:rsidRDefault="00C27636">
      <w:pPr>
        <w:ind w:left="280"/>
        <w:rPr>
          <w:sz w:val="20"/>
          <w:szCs w:val="20"/>
          <w:lang w:val="fr-BE"/>
        </w:rPr>
      </w:pPr>
      <w:r w:rsidRPr="00C27636">
        <w:rPr>
          <w:rFonts w:ascii="Calibri" w:eastAsia="Calibri" w:hAnsi="Calibri" w:cs="Calibri"/>
          <w:b/>
          <w:bCs/>
          <w:color w:val="4F81BD"/>
          <w:sz w:val="18"/>
          <w:szCs w:val="18"/>
          <w:lang w:val="fr-BE"/>
        </w:rPr>
        <w:t>Figure 3. INAMI Pharmanet 2014</w:t>
      </w:r>
    </w:p>
    <w:p w:rsidR="00AC12B4" w:rsidRPr="00C27636" w:rsidRDefault="00AC12B4">
      <w:pPr>
        <w:spacing w:line="215" w:lineRule="exact"/>
        <w:rPr>
          <w:sz w:val="20"/>
          <w:szCs w:val="20"/>
          <w:lang w:val="fr-BE"/>
        </w:rPr>
      </w:pPr>
    </w:p>
    <w:p w:rsidR="00AC12B4" w:rsidRPr="00C27636" w:rsidRDefault="00C27636">
      <w:pPr>
        <w:ind w:left="480"/>
        <w:rPr>
          <w:sz w:val="20"/>
          <w:szCs w:val="20"/>
          <w:lang w:val="fr-BE"/>
        </w:rPr>
      </w:pPr>
      <w:r w:rsidRPr="00C27636">
        <w:rPr>
          <w:rFonts w:ascii="Calibri" w:eastAsia="Calibri" w:hAnsi="Calibri" w:cs="Calibri"/>
          <w:lang w:val="fr-BE"/>
        </w:rPr>
        <w:t>géographique.</w:t>
      </w:r>
    </w:p>
    <w:p w:rsidR="00AC12B4" w:rsidRPr="00C27636" w:rsidRDefault="00AC12B4">
      <w:pPr>
        <w:spacing w:line="169" w:lineRule="exact"/>
        <w:rPr>
          <w:sz w:val="20"/>
          <w:szCs w:val="20"/>
          <w:lang w:val="fr-BE"/>
        </w:rPr>
      </w:pPr>
    </w:p>
    <w:p w:rsidR="00AC12B4" w:rsidRPr="00C27636" w:rsidRDefault="00C27636">
      <w:pPr>
        <w:spacing w:line="231" w:lineRule="auto"/>
        <w:ind w:left="480" w:right="600"/>
        <w:jc w:val="both"/>
        <w:rPr>
          <w:sz w:val="20"/>
          <w:szCs w:val="20"/>
          <w:lang w:val="fr-BE"/>
        </w:rPr>
      </w:pPr>
      <w:r w:rsidRPr="00C27636">
        <w:rPr>
          <w:rFonts w:ascii="Calibri" w:eastAsia="Calibri" w:hAnsi="Calibri" w:cs="Calibri"/>
          <w:lang w:val="fr-BE"/>
        </w:rPr>
        <w:t xml:space="preserve">Ainsi dans les provinces de Liège et du Luxembourg, plus de 40% des prescriptions de rilatine sont faites par </w:t>
      </w:r>
      <w:r w:rsidRPr="00C27636">
        <w:rPr>
          <w:rFonts w:ascii="Calibri" w:eastAsia="Calibri" w:hAnsi="Calibri" w:cs="Calibri"/>
          <w:lang w:val="fr-BE"/>
        </w:rPr>
        <w:t>des médecins généralistes contre seulement 12% à Bruxelles.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9" w:lineRule="exact"/>
        <w:rPr>
          <w:sz w:val="20"/>
          <w:szCs w:val="20"/>
          <w:lang w:val="fr-BE"/>
        </w:rPr>
      </w:pPr>
    </w:p>
    <w:p w:rsidR="00AC12B4" w:rsidRPr="00C27636" w:rsidRDefault="00C27636">
      <w:pPr>
        <w:numPr>
          <w:ilvl w:val="0"/>
          <w:numId w:val="121"/>
        </w:numPr>
        <w:tabs>
          <w:tab w:val="left" w:pos="600"/>
        </w:tabs>
        <w:ind w:left="480" w:right="640" w:hanging="8"/>
        <w:rPr>
          <w:rFonts w:ascii="Calibri" w:eastAsia="Calibri" w:hAnsi="Calibri" w:cs="Calibri"/>
          <w:color w:val="0000FF"/>
          <w:sz w:val="19"/>
          <w:szCs w:val="19"/>
          <w:lang w:val="fr-BE"/>
        </w:rPr>
      </w:pPr>
      <w:r w:rsidRPr="00C27636">
        <w:rPr>
          <w:rFonts w:ascii="Calibri" w:eastAsia="Calibri" w:hAnsi="Calibri" w:cs="Calibri"/>
          <w:sz w:val="19"/>
          <w:szCs w:val="19"/>
          <w:lang w:val="fr-BE"/>
        </w:rPr>
        <w:t xml:space="preserve">Voir les sources énumérées sous ‘Pour aller plus loin’. Voir aussi les travaux actuels flamands en vue d’une ligne directive en la matière: </w:t>
      </w:r>
      <w:r w:rsidRPr="00C27636">
        <w:rPr>
          <w:rFonts w:ascii="Calibri" w:eastAsia="Calibri" w:hAnsi="Calibri" w:cs="Calibri"/>
          <w:i/>
          <w:iCs/>
          <w:sz w:val="19"/>
          <w:szCs w:val="19"/>
          <w:lang w:val="fr-BE"/>
        </w:rPr>
        <w:t>CD&amp;V: Teveel kinderen en jongeren</w:t>
      </w:r>
      <w:r w:rsidRPr="00C27636">
        <w:rPr>
          <w:rFonts w:ascii="Calibri" w:eastAsia="Calibri" w:hAnsi="Calibri" w:cs="Calibri"/>
          <w:sz w:val="19"/>
          <w:szCs w:val="19"/>
          <w:lang w:val="fr-BE"/>
        </w:rPr>
        <w:t xml:space="preserve"> </w:t>
      </w:r>
      <w:r w:rsidRPr="00C27636">
        <w:rPr>
          <w:rFonts w:ascii="Calibri" w:eastAsia="Calibri" w:hAnsi="Calibri" w:cs="Calibri"/>
          <w:i/>
          <w:iCs/>
          <w:sz w:val="19"/>
          <w:szCs w:val="19"/>
          <w:lang w:val="fr-BE"/>
        </w:rPr>
        <w:t>aan antide</w:t>
      </w:r>
      <w:r w:rsidRPr="00C27636">
        <w:rPr>
          <w:rFonts w:ascii="Calibri" w:eastAsia="Calibri" w:hAnsi="Calibri" w:cs="Calibri"/>
          <w:i/>
          <w:iCs/>
          <w:sz w:val="19"/>
          <w:szCs w:val="19"/>
          <w:lang w:val="fr-BE"/>
        </w:rPr>
        <w:t>pressiva: nieuwe richtlijn en maatregelen volgen</w:t>
      </w:r>
      <w:r w:rsidRPr="00C27636">
        <w:rPr>
          <w:rFonts w:ascii="Calibri" w:eastAsia="Calibri" w:hAnsi="Calibri" w:cs="Calibri"/>
          <w:sz w:val="19"/>
          <w:szCs w:val="19"/>
          <w:lang w:val="fr-BE"/>
        </w:rPr>
        <w:t>,</w:t>
      </w:r>
      <w:r w:rsidRPr="00C27636">
        <w:rPr>
          <w:rFonts w:ascii="Calibri" w:eastAsia="Calibri" w:hAnsi="Calibri" w:cs="Calibri"/>
          <w:i/>
          <w:iCs/>
          <w:sz w:val="19"/>
          <w:szCs w:val="19"/>
          <w:lang w:val="fr-BE"/>
        </w:rPr>
        <w:t xml:space="preserve"> </w:t>
      </w:r>
      <w:hyperlink r:id="rId106">
        <w:r w:rsidRPr="00C27636">
          <w:rPr>
            <w:rFonts w:ascii="Calibri" w:eastAsia="Calibri" w:hAnsi="Calibri" w:cs="Calibri"/>
            <w:color w:val="0000FF"/>
            <w:sz w:val="19"/>
            <w:szCs w:val="19"/>
            <w:u w:val="single"/>
            <w:lang w:val="fr-BE"/>
          </w:rPr>
          <w:t>http://www.politics.be/persmededelingen/422</w:t>
        </w:r>
      </w:hyperlink>
      <w:r w:rsidRPr="00C27636">
        <w:rPr>
          <w:rFonts w:ascii="Calibri" w:eastAsia="Calibri" w:hAnsi="Calibri" w:cs="Calibri"/>
          <w:color w:val="0000FF"/>
          <w:sz w:val="19"/>
          <w:szCs w:val="19"/>
          <w:u w:val="single"/>
          <w:lang w:val="fr-BE"/>
        </w:rPr>
        <w:t xml:space="preserve"> </w:t>
      </w:r>
      <w:hyperlink r:id="rId107">
        <w:r w:rsidRPr="00C27636">
          <w:rPr>
            <w:rFonts w:ascii="Calibri" w:eastAsia="Calibri" w:hAnsi="Calibri" w:cs="Calibri"/>
            <w:color w:val="0000FF"/>
            <w:sz w:val="19"/>
            <w:szCs w:val="19"/>
            <w:u w:val="single"/>
            <w:lang w:val="fr-BE"/>
          </w:rPr>
          <w:t>23/</w:t>
        </w:r>
        <w:r w:rsidRPr="00C27636">
          <w:rPr>
            <w:rFonts w:ascii="Calibri" w:eastAsia="Calibri" w:hAnsi="Calibri" w:cs="Calibri"/>
            <w:color w:val="000000"/>
            <w:sz w:val="19"/>
            <w:szCs w:val="19"/>
            <w:lang w:val="fr-BE"/>
          </w:rPr>
          <w:t>.</w:t>
        </w:r>
      </w:hyperlink>
    </w:p>
    <w:p w:rsidR="00AC12B4" w:rsidRPr="00C27636" w:rsidRDefault="00AC12B4">
      <w:pPr>
        <w:spacing w:line="200" w:lineRule="exact"/>
        <w:rPr>
          <w:rFonts w:ascii="Calibri" w:eastAsia="Calibri" w:hAnsi="Calibri" w:cs="Calibri"/>
          <w:sz w:val="27"/>
          <w:szCs w:val="27"/>
          <w:vertAlign w:val="superscript"/>
          <w:lang w:val="fr-BE"/>
        </w:rPr>
      </w:pPr>
    </w:p>
    <w:p w:rsidR="00AC12B4" w:rsidRPr="00C27636" w:rsidRDefault="00AC12B4">
      <w:pPr>
        <w:spacing w:line="200" w:lineRule="exact"/>
        <w:rPr>
          <w:rFonts w:ascii="Calibri" w:eastAsia="Calibri" w:hAnsi="Calibri" w:cs="Calibri"/>
          <w:sz w:val="27"/>
          <w:szCs w:val="27"/>
          <w:vertAlign w:val="superscript"/>
          <w:lang w:val="fr-BE"/>
        </w:rPr>
      </w:pPr>
    </w:p>
    <w:p w:rsidR="00AC12B4" w:rsidRPr="00C27636" w:rsidRDefault="00AC12B4">
      <w:pPr>
        <w:spacing w:line="278" w:lineRule="exact"/>
        <w:rPr>
          <w:rFonts w:ascii="Calibri" w:eastAsia="Calibri" w:hAnsi="Calibri" w:cs="Calibri"/>
          <w:sz w:val="27"/>
          <w:szCs w:val="27"/>
          <w:vertAlign w:val="superscript"/>
          <w:lang w:val="fr-BE"/>
        </w:rPr>
      </w:pPr>
    </w:p>
    <w:p w:rsidR="00AC12B4" w:rsidRDefault="00C27636">
      <w:pPr>
        <w:rPr>
          <w:sz w:val="20"/>
          <w:szCs w:val="20"/>
        </w:rPr>
      </w:pPr>
      <w:r>
        <w:rPr>
          <w:rFonts w:ascii="Calibri" w:eastAsia="Calibri" w:hAnsi="Calibri" w:cs="Calibri"/>
        </w:rPr>
        <w:t>83</w:t>
      </w:r>
    </w:p>
    <w:p w:rsidR="00AC12B4" w:rsidRDefault="00C27636">
      <w:pPr>
        <w:spacing w:line="20" w:lineRule="exact"/>
        <w:rPr>
          <w:rFonts w:ascii="Calibri" w:eastAsia="Calibri" w:hAnsi="Calibri" w:cs="Calibri"/>
          <w:sz w:val="27"/>
          <w:szCs w:val="27"/>
          <w:vertAlign w:val="superscript"/>
        </w:rPr>
      </w:pPr>
      <w:r>
        <w:rPr>
          <w:rFonts w:ascii="Calibri" w:eastAsia="Calibri" w:hAnsi="Calibri" w:cs="Calibri"/>
          <w:sz w:val="27"/>
          <w:szCs w:val="27"/>
          <w:vertAlign w:val="superscript"/>
        </w:rPr>
        <w:br w:type="column"/>
      </w: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200" w:lineRule="exact"/>
        <w:rPr>
          <w:rFonts w:ascii="Calibri" w:eastAsia="Calibri" w:hAnsi="Calibri" w:cs="Calibri"/>
          <w:sz w:val="27"/>
          <w:szCs w:val="27"/>
          <w:vertAlign w:val="superscript"/>
        </w:rPr>
      </w:pPr>
    </w:p>
    <w:p w:rsidR="00AC12B4" w:rsidRDefault="00AC12B4">
      <w:pPr>
        <w:spacing w:line="359" w:lineRule="exact"/>
        <w:rPr>
          <w:rFonts w:ascii="Calibri" w:eastAsia="Calibri" w:hAnsi="Calibri" w:cs="Calibri"/>
          <w:sz w:val="27"/>
          <w:szCs w:val="27"/>
          <w:vertAlign w:val="superscript"/>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AC12B4">
      <w:pPr>
        <w:rPr>
          <w:lang w:val="fr-BE"/>
        </w:rPr>
        <w:sectPr w:rsidR="00AC12B4" w:rsidRPr="00C27636">
          <w:pgSz w:w="12080" w:h="17179"/>
          <w:pgMar w:top="1440" w:right="496" w:bottom="659" w:left="1440" w:header="0" w:footer="0" w:gutter="0"/>
          <w:cols w:num="3" w:space="720" w:equalWidth="0">
            <w:col w:w="4440" w:space="240"/>
            <w:col w:w="4940" w:space="179"/>
            <w:col w:w="342"/>
          </w:cols>
        </w:sectPr>
      </w:pPr>
    </w:p>
    <w:p w:rsidR="00AC12B4" w:rsidRPr="00C27636" w:rsidRDefault="00C27636">
      <w:pPr>
        <w:spacing w:line="1" w:lineRule="exact"/>
        <w:rPr>
          <w:sz w:val="20"/>
          <w:szCs w:val="20"/>
          <w:lang w:val="fr-BE"/>
        </w:rPr>
      </w:pPr>
      <w:bookmarkStart w:id="83" w:name="page84"/>
      <w:bookmarkEnd w:id="83"/>
      <w:r>
        <w:rPr>
          <w:noProof/>
          <w:sz w:val="20"/>
          <w:szCs w:val="20"/>
        </w:rPr>
        <w:lastRenderedPageBreak/>
        <w:drawing>
          <wp:anchor distT="0" distB="0" distL="114300" distR="114300" simplePos="0" relativeHeight="251536896" behindDoc="1" locked="0" layoutInCell="0" allowOverlap="1">
            <wp:simplePos x="0" y="0"/>
            <wp:positionH relativeFrom="page">
              <wp:posOffset>0</wp:posOffset>
            </wp:positionH>
            <wp:positionV relativeFrom="page">
              <wp:posOffset>0</wp:posOffset>
            </wp:positionV>
            <wp:extent cx="6754495" cy="10908665"/>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8">
                      <a:clrChange>
                        <a:clrFrom>
                          <a:srgbClr val="FFFFFF"/>
                        </a:clrFrom>
                        <a:clrTo>
                          <a:srgbClr val="FFFFFF">
                            <a:alpha val="0"/>
                          </a:srgbClr>
                        </a:clrTo>
                      </a:clrChange>
                      <a:extLst/>
                    </a:blip>
                    <a:srcRect/>
                    <a:stretch>
                      <a:fillRect/>
                    </a:stretch>
                  </pic:blipFill>
                  <pic:spPr bwMode="auto">
                    <a:xfrm>
                      <a:off x="0" y="0"/>
                      <a:ext cx="6754495" cy="10908665"/>
                    </a:xfrm>
                    <a:prstGeom prst="rect">
                      <a:avLst/>
                    </a:prstGeom>
                    <a:noFill/>
                  </pic:spPr>
                </pic:pic>
              </a:graphicData>
            </a:graphic>
          </wp:anchor>
        </w:drawing>
      </w:r>
    </w:p>
    <w:tbl>
      <w:tblPr>
        <w:tblW w:w="0" w:type="auto"/>
        <w:tblInd w:w="2055" w:type="dxa"/>
        <w:tblLayout w:type="fixed"/>
        <w:tblCellMar>
          <w:left w:w="0" w:type="dxa"/>
          <w:right w:w="0" w:type="dxa"/>
        </w:tblCellMar>
        <w:tblLook w:val="04A0" w:firstRow="1" w:lastRow="0" w:firstColumn="1" w:lastColumn="0" w:noHBand="0" w:noVBand="1"/>
      </w:tblPr>
      <w:tblGrid>
        <w:gridCol w:w="1820"/>
        <w:gridCol w:w="1720"/>
        <w:gridCol w:w="1700"/>
        <w:gridCol w:w="2340"/>
      </w:tblGrid>
      <w:tr w:rsidR="00AC12B4">
        <w:trPr>
          <w:trHeight w:val="244"/>
        </w:trPr>
        <w:tc>
          <w:tcPr>
            <w:tcW w:w="1820" w:type="dxa"/>
            <w:vAlign w:val="bottom"/>
          </w:tcPr>
          <w:p w:rsidR="00AC12B4" w:rsidRPr="00C27636" w:rsidRDefault="00AC12B4">
            <w:pPr>
              <w:rPr>
                <w:sz w:val="21"/>
                <w:szCs w:val="21"/>
                <w:lang w:val="fr-BE"/>
              </w:rPr>
            </w:pPr>
          </w:p>
        </w:tc>
        <w:tc>
          <w:tcPr>
            <w:tcW w:w="1720" w:type="dxa"/>
            <w:vAlign w:val="bottom"/>
          </w:tcPr>
          <w:p w:rsidR="00AC12B4" w:rsidRDefault="00C27636">
            <w:pPr>
              <w:jc w:val="center"/>
              <w:rPr>
                <w:sz w:val="20"/>
                <w:szCs w:val="20"/>
              </w:rPr>
            </w:pPr>
            <w:r>
              <w:rPr>
                <w:rFonts w:ascii="Calibri" w:eastAsia="Calibri" w:hAnsi="Calibri" w:cs="Calibri"/>
                <w:b/>
                <w:bCs/>
                <w:color w:val="76923C"/>
                <w:w w:val="98"/>
                <w:sz w:val="20"/>
                <w:szCs w:val="20"/>
              </w:rPr>
              <w:t>DDD/population</w:t>
            </w:r>
          </w:p>
        </w:tc>
        <w:tc>
          <w:tcPr>
            <w:tcW w:w="1700" w:type="dxa"/>
            <w:vAlign w:val="bottom"/>
          </w:tcPr>
          <w:p w:rsidR="00AC12B4" w:rsidRDefault="00C27636">
            <w:pPr>
              <w:jc w:val="center"/>
              <w:rPr>
                <w:sz w:val="20"/>
                <w:szCs w:val="20"/>
              </w:rPr>
            </w:pPr>
            <w:r>
              <w:rPr>
                <w:rFonts w:ascii="Calibri" w:eastAsia="Calibri" w:hAnsi="Calibri" w:cs="Calibri"/>
                <w:b/>
                <w:bCs/>
                <w:color w:val="76923C"/>
                <w:sz w:val="20"/>
                <w:szCs w:val="20"/>
              </w:rPr>
              <w:t>% de la rilatine</w:t>
            </w:r>
          </w:p>
        </w:tc>
        <w:tc>
          <w:tcPr>
            <w:tcW w:w="2340" w:type="dxa"/>
            <w:vAlign w:val="bottom"/>
          </w:tcPr>
          <w:p w:rsidR="00AC12B4" w:rsidRDefault="00C27636">
            <w:pPr>
              <w:ind w:left="72"/>
              <w:jc w:val="center"/>
              <w:rPr>
                <w:sz w:val="20"/>
                <w:szCs w:val="20"/>
              </w:rPr>
            </w:pPr>
            <w:r>
              <w:rPr>
                <w:rFonts w:ascii="Calibri" w:eastAsia="Calibri" w:hAnsi="Calibri" w:cs="Calibri"/>
                <w:b/>
                <w:bCs/>
                <w:color w:val="76923C"/>
                <w:w w:val="99"/>
                <w:sz w:val="20"/>
                <w:szCs w:val="20"/>
              </w:rPr>
              <w:t>% de la rilatine prescrite</w:t>
            </w:r>
          </w:p>
        </w:tc>
      </w:tr>
      <w:tr w:rsidR="00AC12B4">
        <w:trPr>
          <w:trHeight w:val="245"/>
        </w:trPr>
        <w:tc>
          <w:tcPr>
            <w:tcW w:w="1820" w:type="dxa"/>
            <w:vAlign w:val="bottom"/>
          </w:tcPr>
          <w:p w:rsidR="00AC12B4" w:rsidRDefault="00AC12B4">
            <w:pPr>
              <w:rPr>
                <w:sz w:val="21"/>
                <w:szCs w:val="21"/>
              </w:rPr>
            </w:pPr>
          </w:p>
        </w:tc>
        <w:tc>
          <w:tcPr>
            <w:tcW w:w="1720" w:type="dxa"/>
            <w:vAlign w:val="bottom"/>
          </w:tcPr>
          <w:p w:rsidR="00AC12B4" w:rsidRDefault="00C27636">
            <w:pPr>
              <w:jc w:val="center"/>
              <w:rPr>
                <w:sz w:val="20"/>
                <w:szCs w:val="20"/>
              </w:rPr>
            </w:pPr>
            <w:r>
              <w:rPr>
                <w:rFonts w:ascii="Calibri" w:eastAsia="Calibri" w:hAnsi="Calibri" w:cs="Calibri"/>
                <w:b/>
                <w:bCs/>
                <w:color w:val="76923C"/>
                <w:w w:val="99"/>
                <w:sz w:val="20"/>
                <w:szCs w:val="20"/>
              </w:rPr>
              <w:t>de moins de 18</w:t>
            </w:r>
          </w:p>
        </w:tc>
        <w:tc>
          <w:tcPr>
            <w:tcW w:w="1700" w:type="dxa"/>
            <w:vAlign w:val="bottom"/>
          </w:tcPr>
          <w:p w:rsidR="00AC12B4" w:rsidRDefault="00C27636">
            <w:pPr>
              <w:jc w:val="center"/>
              <w:rPr>
                <w:sz w:val="20"/>
                <w:szCs w:val="20"/>
              </w:rPr>
            </w:pPr>
            <w:r>
              <w:rPr>
                <w:rFonts w:ascii="Calibri" w:eastAsia="Calibri" w:hAnsi="Calibri" w:cs="Calibri"/>
                <w:b/>
                <w:bCs/>
                <w:color w:val="76923C"/>
                <w:sz w:val="20"/>
                <w:szCs w:val="20"/>
              </w:rPr>
              <w:t>prescrite par un</w:t>
            </w:r>
          </w:p>
        </w:tc>
        <w:tc>
          <w:tcPr>
            <w:tcW w:w="2340" w:type="dxa"/>
            <w:vAlign w:val="bottom"/>
          </w:tcPr>
          <w:p w:rsidR="00AC12B4" w:rsidRDefault="00C27636">
            <w:pPr>
              <w:ind w:left="72"/>
              <w:jc w:val="center"/>
              <w:rPr>
                <w:sz w:val="20"/>
                <w:szCs w:val="20"/>
              </w:rPr>
            </w:pPr>
            <w:r>
              <w:rPr>
                <w:rFonts w:ascii="Calibri" w:eastAsia="Calibri" w:hAnsi="Calibri" w:cs="Calibri"/>
                <w:b/>
                <w:bCs/>
                <w:color w:val="76923C"/>
                <w:w w:val="99"/>
                <w:sz w:val="20"/>
                <w:szCs w:val="20"/>
              </w:rPr>
              <w:t>par un médecin spécialisé</w:t>
            </w:r>
          </w:p>
        </w:tc>
      </w:tr>
      <w:tr w:rsidR="00AC12B4">
        <w:trPr>
          <w:trHeight w:val="245"/>
        </w:trPr>
        <w:tc>
          <w:tcPr>
            <w:tcW w:w="1820" w:type="dxa"/>
            <w:vAlign w:val="bottom"/>
          </w:tcPr>
          <w:p w:rsidR="00AC12B4" w:rsidRDefault="00AC12B4">
            <w:pPr>
              <w:rPr>
                <w:sz w:val="21"/>
                <w:szCs w:val="21"/>
              </w:rPr>
            </w:pPr>
          </w:p>
        </w:tc>
        <w:tc>
          <w:tcPr>
            <w:tcW w:w="1720" w:type="dxa"/>
            <w:vAlign w:val="bottom"/>
          </w:tcPr>
          <w:p w:rsidR="00AC12B4" w:rsidRDefault="00C27636">
            <w:pPr>
              <w:jc w:val="center"/>
              <w:rPr>
                <w:sz w:val="20"/>
                <w:szCs w:val="20"/>
              </w:rPr>
            </w:pPr>
            <w:r>
              <w:rPr>
                <w:rFonts w:ascii="Calibri" w:eastAsia="Calibri" w:hAnsi="Calibri" w:cs="Calibri"/>
                <w:b/>
                <w:bCs/>
                <w:color w:val="76923C"/>
                <w:w w:val="97"/>
                <w:sz w:val="20"/>
                <w:szCs w:val="20"/>
              </w:rPr>
              <w:t>ans</w:t>
            </w:r>
          </w:p>
        </w:tc>
        <w:tc>
          <w:tcPr>
            <w:tcW w:w="1700" w:type="dxa"/>
            <w:vAlign w:val="bottom"/>
          </w:tcPr>
          <w:p w:rsidR="00AC12B4" w:rsidRDefault="00C27636">
            <w:pPr>
              <w:jc w:val="center"/>
              <w:rPr>
                <w:sz w:val="20"/>
                <w:szCs w:val="20"/>
              </w:rPr>
            </w:pPr>
            <w:r>
              <w:rPr>
                <w:rFonts w:ascii="Calibri" w:eastAsia="Calibri" w:hAnsi="Calibri" w:cs="Calibri"/>
                <w:b/>
                <w:bCs/>
                <w:color w:val="76923C"/>
                <w:sz w:val="20"/>
                <w:szCs w:val="20"/>
              </w:rPr>
              <w:t>médecin</w:t>
            </w:r>
          </w:p>
        </w:tc>
        <w:tc>
          <w:tcPr>
            <w:tcW w:w="2340" w:type="dxa"/>
            <w:vAlign w:val="bottom"/>
          </w:tcPr>
          <w:p w:rsidR="00AC12B4" w:rsidRDefault="00C27636">
            <w:pPr>
              <w:ind w:left="72"/>
              <w:jc w:val="center"/>
              <w:rPr>
                <w:sz w:val="20"/>
                <w:szCs w:val="20"/>
              </w:rPr>
            </w:pPr>
            <w:r>
              <w:rPr>
                <w:rFonts w:ascii="Calibri" w:eastAsia="Calibri" w:hAnsi="Calibri" w:cs="Calibri"/>
                <w:b/>
                <w:bCs/>
                <w:color w:val="76923C"/>
                <w:sz w:val="20"/>
                <w:szCs w:val="20"/>
              </w:rPr>
              <w:t>en psychiatrie, neurologie</w:t>
            </w:r>
          </w:p>
        </w:tc>
      </w:tr>
      <w:tr w:rsidR="00AC12B4">
        <w:trPr>
          <w:trHeight w:val="242"/>
        </w:trPr>
        <w:tc>
          <w:tcPr>
            <w:tcW w:w="1820" w:type="dxa"/>
            <w:vAlign w:val="bottom"/>
          </w:tcPr>
          <w:p w:rsidR="00AC12B4" w:rsidRDefault="00AC12B4">
            <w:pPr>
              <w:rPr>
                <w:sz w:val="21"/>
                <w:szCs w:val="21"/>
              </w:rPr>
            </w:pPr>
          </w:p>
        </w:tc>
        <w:tc>
          <w:tcPr>
            <w:tcW w:w="1720" w:type="dxa"/>
            <w:vAlign w:val="bottom"/>
          </w:tcPr>
          <w:p w:rsidR="00AC12B4" w:rsidRDefault="00AC12B4">
            <w:pPr>
              <w:rPr>
                <w:sz w:val="21"/>
                <w:szCs w:val="21"/>
              </w:rPr>
            </w:pPr>
          </w:p>
        </w:tc>
        <w:tc>
          <w:tcPr>
            <w:tcW w:w="1700" w:type="dxa"/>
            <w:vAlign w:val="bottom"/>
          </w:tcPr>
          <w:p w:rsidR="00AC12B4" w:rsidRDefault="00C27636">
            <w:pPr>
              <w:spacing w:line="243" w:lineRule="exact"/>
              <w:jc w:val="center"/>
              <w:rPr>
                <w:sz w:val="20"/>
                <w:szCs w:val="20"/>
              </w:rPr>
            </w:pPr>
            <w:r>
              <w:rPr>
                <w:rFonts w:ascii="Calibri" w:eastAsia="Calibri" w:hAnsi="Calibri" w:cs="Calibri"/>
                <w:b/>
                <w:bCs/>
                <w:color w:val="76923C"/>
                <w:w w:val="99"/>
                <w:sz w:val="20"/>
                <w:szCs w:val="20"/>
              </w:rPr>
              <w:t>généraliste</w:t>
            </w:r>
          </w:p>
        </w:tc>
        <w:tc>
          <w:tcPr>
            <w:tcW w:w="2340" w:type="dxa"/>
            <w:vAlign w:val="bottom"/>
          </w:tcPr>
          <w:p w:rsidR="00AC12B4" w:rsidRDefault="00C27636">
            <w:pPr>
              <w:spacing w:line="243" w:lineRule="exact"/>
              <w:ind w:left="92"/>
              <w:jc w:val="center"/>
              <w:rPr>
                <w:sz w:val="20"/>
                <w:szCs w:val="20"/>
              </w:rPr>
            </w:pPr>
            <w:r>
              <w:rPr>
                <w:rFonts w:ascii="Calibri" w:eastAsia="Calibri" w:hAnsi="Calibri" w:cs="Calibri"/>
                <w:b/>
                <w:bCs/>
                <w:color w:val="76923C"/>
                <w:w w:val="99"/>
                <w:sz w:val="20"/>
                <w:szCs w:val="20"/>
              </w:rPr>
              <w:t>ou neuropsychiatrie</w:t>
            </w:r>
          </w:p>
        </w:tc>
      </w:tr>
      <w:tr w:rsidR="00AC12B4">
        <w:trPr>
          <w:trHeight w:val="407"/>
        </w:trPr>
        <w:tc>
          <w:tcPr>
            <w:tcW w:w="1820" w:type="dxa"/>
            <w:vAlign w:val="bottom"/>
          </w:tcPr>
          <w:p w:rsidR="00AC12B4" w:rsidRDefault="00C27636">
            <w:pPr>
              <w:rPr>
                <w:sz w:val="20"/>
                <w:szCs w:val="20"/>
              </w:rPr>
            </w:pPr>
            <w:r>
              <w:rPr>
                <w:rFonts w:ascii="Calibri" w:eastAsia="Calibri" w:hAnsi="Calibri" w:cs="Calibri"/>
                <w:b/>
                <w:bCs/>
                <w:color w:val="76923C"/>
              </w:rPr>
              <w:t>Anvers</w:t>
            </w:r>
          </w:p>
        </w:tc>
        <w:tc>
          <w:tcPr>
            <w:tcW w:w="1720" w:type="dxa"/>
            <w:vAlign w:val="bottom"/>
          </w:tcPr>
          <w:p w:rsidR="00AC12B4" w:rsidRDefault="00C27636">
            <w:pPr>
              <w:jc w:val="center"/>
              <w:rPr>
                <w:sz w:val="20"/>
                <w:szCs w:val="20"/>
              </w:rPr>
            </w:pPr>
            <w:r>
              <w:rPr>
                <w:rFonts w:ascii="Calibri" w:eastAsia="Calibri" w:hAnsi="Calibri" w:cs="Calibri"/>
                <w:color w:val="76923C"/>
              </w:rPr>
              <w:t>2,77</w:t>
            </w:r>
          </w:p>
        </w:tc>
        <w:tc>
          <w:tcPr>
            <w:tcW w:w="1700" w:type="dxa"/>
            <w:vAlign w:val="bottom"/>
          </w:tcPr>
          <w:p w:rsidR="00AC12B4" w:rsidRDefault="00C27636">
            <w:pPr>
              <w:jc w:val="center"/>
              <w:rPr>
                <w:sz w:val="20"/>
                <w:szCs w:val="20"/>
              </w:rPr>
            </w:pPr>
            <w:r>
              <w:rPr>
                <w:rFonts w:ascii="Calibri" w:eastAsia="Calibri" w:hAnsi="Calibri" w:cs="Calibri"/>
                <w:color w:val="76923C"/>
              </w:rPr>
              <w:t>25,4%</w:t>
            </w:r>
          </w:p>
        </w:tc>
        <w:tc>
          <w:tcPr>
            <w:tcW w:w="2340" w:type="dxa"/>
            <w:vAlign w:val="bottom"/>
          </w:tcPr>
          <w:p w:rsidR="00AC12B4" w:rsidRDefault="00C27636">
            <w:pPr>
              <w:ind w:left="72"/>
              <w:jc w:val="center"/>
              <w:rPr>
                <w:sz w:val="20"/>
                <w:szCs w:val="20"/>
              </w:rPr>
            </w:pPr>
            <w:r>
              <w:rPr>
                <w:rFonts w:ascii="Calibri" w:eastAsia="Calibri" w:hAnsi="Calibri" w:cs="Calibri"/>
                <w:color w:val="76923C"/>
              </w:rPr>
              <w:t>62,5%</w:t>
            </w:r>
          </w:p>
        </w:tc>
      </w:tr>
      <w:tr w:rsidR="00AC12B4">
        <w:trPr>
          <w:trHeight w:val="389"/>
        </w:trPr>
        <w:tc>
          <w:tcPr>
            <w:tcW w:w="1820" w:type="dxa"/>
            <w:vAlign w:val="bottom"/>
          </w:tcPr>
          <w:p w:rsidR="00AC12B4" w:rsidRDefault="00C27636">
            <w:pPr>
              <w:rPr>
                <w:sz w:val="20"/>
                <w:szCs w:val="20"/>
              </w:rPr>
            </w:pPr>
            <w:r>
              <w:rPr>
                <w:rFonts w:ascii="Calibri" w:eastAsia="Calibri" w:hAnsi="Calibri" w:cs="Calibri"/>
                <w:b/>
                <w:bCs/>
                <w:color w:val="76923C"/>
              </w:rPr>
              <w:t>Brabant flamand</w:t>
            </w:r>
          </w:p>
        </w:tc>
        <w:tc>
          <w:tcPr>
            <w:tcW w:w="1720" w:type="dxa"/>
            <w:vAlign w:val="bottom"/>
          </w:tcPr>
          <w:p w:rsidR="00AC12B4" w:rsidRDefault="00C27636">
            <w:pPr>
              <w:jc w:val="center"/>
              <w:rPr>
                <w:sz w:val="20"/>
                <w:szCs w:val="20"/>
              </w:rPr>
            </w:pPr>
            <w:r>
              <w:rPr>
                <w:rFonts w:ascii="Calibri" w:eastAsia="Calibri" w:hAnsi="Calibri" w:cs="Calibri"/>
                <w:color w:val="76923C"/>
              </w:rPr>
              <w:t>4,47</w:t>
            </w:r>
          </w:p>
        </w:tc>
        <w:tc>
          <w:tcPr>
            <w:tcW w:w="1700" w:type="dxa"/>
            <w:vAlign w:val="bottom"/>
          </w:tcPr>
          <w:p w:rsidR="00AC12B4" w:rsidRDefault="00C27636">
            <w:pPr>
              <w:jc w:val="center"/>
              <w:rPr>
                <w:sz w:val="20"/>
                <w:szCs w:val="20"/>
              </w:rPr>
            </w:pPr>
            <w:r>
              <w:rPr>
                <w:rFonts w:ascii="Calibri" w:eastAsia="Calibri" w:hAnsi="Calibri" w:cs="Calibri"/>
                <w:color w:val="76923C"/>
              </w:rPr>
              <w:t>20,8%</w:t>
            </w:r>
          </w:p>
        </w:tc>
        <w:tc>
          <w:tcPr>
            <w:tcW w:w="2340" w:type="dxa"/>
            <w:vAlign w:val="bottom"/>
          </w:tcPr>
          <w:p w:rsidR="00AC12B4" w:rsidRDefault="00C27636">
            <w:pPr>
              <w:ind w:left="72"/>
              <w:jc w:val="center"/>
              <w:rPr>
                <w:sz w:val="20"/>
                <w:szCs w:val="20"/>
              </w:rPr>
            </w:pPr>
            <w:r>
              <w:rPr>
                <w:rFonts w:ascii="Calibri" w:eastAsia="Calibri" w:hAnsi="Calibri" w:cs="Calibri"/>
                <w:color w:val="76923C"/>
              </w:rPr>
              <w:t>69,7%</w:t>
            </w:r>
          </w:p>
        </w:tc>
      </w:tr>
      <w:tr w:rsidR="00AC12B4">
        <w:trPr>
          <w:trHeight w:val="410"/>
        </w:trPr>
        <w:tc>
          <w:tcPr>
            <w:tcW w:w="1820" w:type="dxa"/>
            <w:vAlign w:val="bottom"/>
          </w:tcPr>
          <w:p w:rsidR="00AC12B4" w:rsidRDefault="00C27636">
            <w:pPr>
              <w:rPr>
                <w:sz w:val="20"/>
                <w:szCs w:val="20"/>
              </w:rPr>
            </w:pPr>
            <w:r>
              <w:rPr>
                <w:rFonts w:ascii="Calibri" w:eastAsia="Calibri" w:hAnsi="Calibri" w:cs="Calibri"/>
                <w:b/>
                <w:bCs/>
                <w:color w:val="76923C"/>
              </w:rPr>
              <w:t>Brabant wallon</w:t>
            </w:r>
          </w:p>
        </w:tc>
        <w:tc>
          <w:tcPr>
            <w:tcW w:w="1720" w:type="dxa"/>
            <w:vAlign w:val="bottom"/>
          </w:tcPr>
          <w:p w:rsidR="00AC12B4" w:rsidRDefault="00C27636">
            <w:pPr>
              <w:jc w:val="center"/>
              <w:rPr>
                <w:sz w:val="20"/>
                <w:szCs w:val="20"/>
              </w:rPr>
            </w:pPr>
            <w:r>
              <w:rPr>
                <w:rFonts w:ascii="Calibri" w:eastAsia="Calibri" w:hAnsi="Calibri" w:cs="Calibri"/>
                <w:color w:val="76923C"/>
              </w:rPr>
              <w:t>12,04</w:t>
            </w:r>
          </w:p>
        </w:tc>
        <w:tc>
          <w:tcPr>
            <w:tcW w:w="1700" w:type="dxa"/>
            <w:vAlign w:val="bottom"/>
          </w:tcPr>
          <w:p w:rsidR="00AC12B4" w:rsidRDefault="00C27636">
            <w:pPr>
              <w:jc w:val="center"/>
              <w:rPr>
                <w:sz w:val="20"/>
                <w:szCs w:val="20"/>
              </w:rPr>
            </w:pPr>
            <w:r>
              <w:rPr>
                <w:rFonts w:ascii="Calibri" w:eastAsia="Calibri" w:hAnsi="Calibri" w:cs="Calibri"/>
                <w:color w:val="76923C"/>
              </w:rPr>
              <w:t>16,9%</w:t>
            </w:r>
          </w:p>
        </w:tc>
        <w:tc>
          <w:tcPr>
            <w:tcW w:w="2340" w:type="dxa"/>
            <w:vAlign w:val="bottom"/>
          </w:tcPr>
          <w:p w:rsidR="00AC12B4" w:rsidRDefault="00C27636">
            <w:pPr>
              <w:ind w:left="72"/>
              <w:jc w:val="center"/>
              <w:rPr>
                <w:sz w:val="20"/>
                <w:szCs w:val="20"/>
              </w:rPr>
            </w:pPr>
            <w:r>
              <w:rPr>
                <w:rFonts w:ascii="Calibri" w:eastAsia="Calibri" w:hAnsi="Calibri" w:cs="Calibri"/>
                <w:color w:val="76923C"/>
              </w:rPr>
              <w:t>54,8%</w:t>
            </w:r>
          </w:p>
        </w:tc>
      </w:tr>
      <w:tr w:rsidR="00AC12B4">
        <w:trPr>
          <w:trHeight w:val="408"/>
        </w:trPr>
        <w:tc>
          <w:tcPr>
            <w:tcW w:w="1820" w:type="dxa"/>
            <w:vAlign w:val="bottom"/>
          </w:tcPr>
          <w:p w:rsidR="00AC12B4" w:rsidRDefault="00C27636">
            <w:pPr>
              <w:rPr>
                <w:sz w:val="20"/>
                <w:szCs w:val="20"/>
              </w:rPr>
            </w:pPr>
            <w:r>
              <w:rPr>
                <w:rFonts w:ascii="Calibri" w:eastAsia="Calibri" w:hAnsi="Calibri" w:cs="Calibri"/>
                <w:b/>
                <w:bCs/>
                <w:color w:val="76923C"/>
              </w:rPr>
              <w:t>Bruxelles-Capitale</w:t>
            </w:r>
          </w:p>
        </w:tc>
        <w:tc>
          <w:tcPr>
            <w:tcW w:w="1720" w:type="dxa"/>
            <w:vAlign w:val="bottom"/>
          </w:tcPr>
          <w:p w:rsidR="00AC12B4" w:rsidRDefault="00C27636">
            <w:pPr>
              <w:jc w:val="center"/>
              <w:rPr>
                <w:sz w:val="20"/>
                <w:szCs w:val="20"/>
              </w:rPr>
            </w:pPr>
            <w:r>
              <w:rPr>
                <w:rFonts w:ascii="Calibri" w:eastAsia="Calibri" w:hAnsi="Calibri" w:cs="Calibri"/>
                <w:color w:val="76923C"/>
              </w:rPr>
              <w:t>3,97</w:t>
            </w:r>
          </w:p>
        </w:tc>
        <w:tc>
          <w:tcPr>
            <w:tcW w:w="1700" w:type="dxa"/>
            <w:vAlign w:val="bottom"/>
          </w:tcPr>
          <w:p w:rsidR="00AC12B4" w:rsidRDefault="00C27636">
            <w:pPr>
              <w:jc w:val="center"/>
              <w:rPr>
                <w:sz w:val="20"/>
                <w:szCs w:val="20"/>
              </w:rPr>
            </w:pPr>
            <w:r>
              <w:rPr>
                <w:rFonts w:ascii="Calibri" w:eastAsia="Calibri" w:hAnsi="Calibri" w:cs="Calibri"/>
                <w:color w:val="76923C"/>
              </w:rPr>
              <w:t>11,9%</w:t>
            </w:r>
          </w:p>
        </w:tc>
        <w:tc>
          <w:tcPr>
            <w:tcW w:w="2340" w:type="dxa"/>
            <w:vAlign w:val="bottom"/>
          </w:tcPr>
          <w:p w:rsidR="00AC12B4" w:rsidRDefault="00C27636">
            <w:pPr>
              <w:ind w:left="72"/>
              <w:jc w:val="center"/>
              <w:rPr>
                <w:sz w:val="20"/>
                <w:szCs w:val="20"/>
              </w:rPr>
            </w:pPr>
            <w:r>
              <w:rPr>
                <w:rFonts w:ascii="Calibri" w:eastAsia="Calibri" w:hAnsi="Calibri" w:cs="Calibri"/>
                <w:color w:val="76923C"/>
              </w:rPr>
              <w:t>60,0%</w:t>
            </w:r>
          </w:p>
        </w:tc>
      </w:tr>
      <w:tr w:rsidR="00AC12B4">
        <w:trPr>
          <w:trHeight w:val="389"/>
        </w:trPr>
        <w:tc>
          <w:tcPr>
            <w:tcW w:w="1820" w:type="dxa"/>
            <w:vAlign w:val="bottom"/>
          </w:tcPr>
          <w:p w:rsidR="00AC12B4" w:rsidRDefault="00C27636">
            <w:pPr>
              <w:rPr>
                <w:sz w:val="20"/>
                <w:szCs w:val="20"/>
              </w:rPr>
            </w:pPr>
            <w:r>
              <w:rPr>
                <w:rFonts w:ascii="Calibri" w:eastAsia="Calibri" w:hAnsi="Calibri" w:cs="Calibri"/>
                <w:b/>
                <w:bCs/>
                <w:color w:val="76923C"/>
              </w:rPr>
              <w:t>Flandre</w:t>
            </w:r>
          </w:p>
        </w:tc>
        <w:tc>
          <w:tcPr>
            <w:tcW w:w="1720" w:type="dxa"/>
            <w:vAlign w:val="bottom"/>
          </w:tcPr>
          <w:p w:rsidR="00AC12B4" w:rsidRDefault="00C27636">
            <w:pPr>
              <w:jc w:val="center"/>
              <w:rPr>
                <w:sz w:val="20"/>
                <w:szCs w:val="20"/>
              </w:rPr>
            </w:pPr>
            <w:r>
              <w:rPr>
                <w:rFonts w:ascii="Calibri" w:eastAsia="Calibri" w:hAnsi="Calibri" w:cs="Calibri"/>
                <w:color w:val="76923C"/>
              </w:rPr>
              <w:t>4,65</w:t>
            </w:r>
          </w:p>
        </w:tc>
        <w:tc>
          <w:tcPr>
            <w:tcW w:w="1700" w:type="dxa"/>
            <w:vAlign w:val="bottom"/>
          </w:tcPr>
          <w:p w:rsidR="00AC12B4" w:rsidRDefault="00C27636">
            <w:pPr>
              <w:jc w:val="center"/>
              <w:rPr>
                <w:sz w:val="20"/>
                <w:szCs w:val="20"/>
              </w:rPr>
            </w:pPr>
            <w:r>
              <w:rPr>
                <w:rFonts w:ascii="Calibri" w:eastAsia="Calibri" w:hAnsi="Calibri" w:cs="Calibri"/>
                <w:color w:val="76923C"/>
              </w:rPr>
              <w:t>33,3%</w:t>
            </w:r>
          </w:p>
        </w:tc>
        <w:tc>
          <w:tcPr>
            <w:tcW w:w="2340" w:type="dxa"/>
            <w:vAlign w:val="bottom"/>
          </w:tcPr>
          <w:p w:rsidR="00AC12B4" w:rsidRDefault="00C27636">
            <w:pPr>
              <w:ind w:left="72"/>
              <w:jc w:val="center"/>
              <w:rPr>
                <w:sz w:val="20"/>
                <w:szCs w:val="20"/>
              </w:rPr>
            </w:pPr>
            <w:r>
              <w:rPr>
                <w:rFonts w:ascii="Calibri" w:eastAsia="Calibri" w:hAnsi="Calibri" w:cs="Calibri"/>
                <w:color w:val="76923C"/>
              </w:rPr>
              <w:t>53,3%</w:t>
            </w:r>
          </w:p>
        </w:tc>
      </w:tr>
      <w:tr w:rsidR="00AC12B4">
        <w:trPr>
          <w:trHeight w:val="269"/>
        </w:trPr>
        <w:tc>
          <w:tcPr>
            <w:tcW w:w="1820" w:type="dxa"/>
            <w:vAlign w:val="bottom"/>
          </w:tcPr>
          <w:p w:rsidR="00AC12B4" w:rsidRDefault="00C27636">
            <w:pPr>
              <w:rPr>
                <w:sz w:val="20"/>
                <w:szCs w:val="20"/>
              </w:rPr>
            </w:pPr>
            <w:r>
              <w:rPr>
                <w:rFonts w:ascii="Calibri" w:eastAsia="Calibri" w:hAnsi="Calibri" w:cs="Calibri"/>
                <w:b/>
                <w:bCs/>
                <w:color w:val="76923C"/>
              </w:rPr>
              <w:t>occidentale</w:t>
            </w:r>
          </w:p>
        </w:tc>
        <w:tc>
          <w:tcPr>
            <w:tcW w:w="1720" w:type="dxa"/>
            <w:vAlign w:val="bottom"/>
          </w:tcPr>
          <w:p w:rsidR="00AC12B4" w:rsidRDefault="00AC12B4">
            <w:pPr>
              <w:rPr>
                <w:sz w:val="23"/>
                <w:szCs w:val="23"/>
              </w:rPr>
            </w:pPr>
          </w:p>
        </w:tc>
        <w:tc>
          <w:tcPr>
            <w:tcW w:w="1700" w:type="dxa"/>
            <w:vAlign w:val="bottom"/>
          </w:tcPr>
          <w:p w:rsidR="00AC12B4" w:rsidRDefault="00AC12B4">
            <w:pPr>
              <w:rPr>
                <w:sz w:val="23"/>
                <w:szCs w:val="23"/>
              </w:rPr>
            </w:pPr>
          </w:p>
        </w:tc>
        <w:tc>
          <w:tcPr>
            <w:tcW w:w="2340" w:type="dxa"/>
            <w:vAlign w:val="bottom"/>
          </w:tcPr>
          <w:p w:rsidR="00AC12B4" w:rsidRDefault="00AC12B4">
            <w:pPr>
              <w:rPr>
                <w:sz w:val="23"/>
                <w:szCs w:val="23"/>
              </w:rPr>
            </w:pPr>
          </w:p>
        </w:tc>
      </w:tr>
      <w:tr w:rsidR="00AC12B4">
        <w:trPr>
          <w:trHeight w:val="386"/>
        </w:trPr>
        <w:tc>
          <w:tcPr>
            <w:tcW w:w="1820" w:type="dxa"/>
            <w:vAlign w:val="bottom"/>
          </w:tcPr>
          <w:p w:rsidR="00AC12B4" w:rsidRDefault="00C27636">
            <w:pPr>
              <w:rPr>
                <w:sz w:val="20"/>
                <w:szCs w:val="20"/>
              </w:rPr>
            </w:pPr>
            <w:r>
              <w:rPr>
                <w:rFonts w:ascii="Calibri" w:eastAsia="Calibri" w:hAnsi="Calibri" w:cs="Calibri"/>
                <w:b/>
                <w:bCs/>
                <w:color w:val="76923C"/>
              </w:rPr>
              <w:t>Flandre orientale</w:t>
            </w:r>
          </w:p>
        </w:tc>
        <w:tc>
          <w:tcPr>
            <w:tcW w:w="1720" w:type="dxa"/>
            <w:vAlign w:val="bottom"/>
          </w:tcPr>
          <w:p w:rsidR="00AC12B4" w:rsidRDefault="00C27636">
            <w:pPr>
              <w:jc w:val="center"/>
              <w:rPr>
                <w:sz w:val="20"/>
                <w:szCs w:val="20"/>
              </w:rPr>
            </w:pPr>
            <w:r>
              <w:rPr>
                <w:rFonts w:ascii="Calibri" w:eastAsia="Calibri" w:hAnsi="Calibri" w:cs="Calibri"/>
                <w:color w:val="76923C"/>
              </w:rPr>
              <w:t>3,46</w:t>
            </w:r>
          </w:p>
        </w:tc>
        <w:tc>
          <w:tcPr>
            <w:tcW w:w="1700" w:type="dxa"/>
            <w:vAlign w:val="bottom"/>
          </w:tcPr>
          <w:p w:rsidR="00AC12B4" w:rsidRDefault="00C27636">
            <w:pPr>
              <w:jc w:val="center"/>
              <w:rPr>
                <w:sz w:val="20"/>
                <w:szCs w:val="20"/>
              </w:rPr>
            </w:pPr>
            <w:r>
              <w:rPr>
                <w:rFonts w:ascii="Calibri" w:eastAsia="Calibri" w:hAnsi="Calibri" w:cs="Calibri"/>
                <w:color w:val="76923C"/>
              </w:rPr>
              <w:t>25,0%</w:t>
            </w:r>
          </w:p>
        </w:tc>
        <w:tc>
          <w:tcPr>
            <w:tcW w:w="2340" w:type="dxa"/>
            <w:vAlign w:val="bottom"/>
          </w:tcPr>
          <w:p w:rsidR="00AC12B4" w:rsidRDefault="00C27636">
            <w:pPr>
              <w:ind w:left="72"/>
              <w:jc w:val="center"/>
              <w:rPr>
                <w:sz w:val="20"/>
                <w:szCs w:val="20"/>
              </w:rPr>
            </w:pPr>
            <w:r>
              <w:rPr>
                <w:rFonts w:ascii="Calibri" w:eastAsia="Calibri" w:hAnsi="Calibri" w:cs="Calibri"/>
                <w:color w:val="76923C"/>
              </w:rPr>
              <w:t>66,7%</w:t>
            </w:r>
          </w:p>
        </w:tc>
      </w:tr>
      <w:tr w:rsidR="00AC12B4">
        <w:trPr>
          <w:trHeight w:val="389"/>
        </w:trPr>
        <w:tc>
          <w:tcPr>
            <w:tcW w:w="1820" w:type="dxa"/>
            <w:vAlign w:val="bottom"/>
          </w:tcPr>
          <w:p w:rsidR="00AC12B4" w:rsidRDefault="00C27636">
            <w:pPr>
              <w:rPr>
                <w:sz w:val="20"/>
                <w:szCs w:val="20"/>
              </w:rPr>
            </w:pPr>
            <w:r>
              <w:rPr>
                <w:rFonts w:ascii="Calibri" w:eastAsia="Calibri" w:hAnsi="Calibri" w:cs="Calibri"/>
                <w:b/>
                <w:bCs/>
                <w:color w:val="76923C"/>
              </w:rPr>
              <w:t>Hainaut</w:t>
            </w:r>
          </w:p>
        </w:tc>
        <w:tc>
          <w:tcPr>
            <w:tcW w:w="1720" w:type="dxa"/>
            <w:vAlign w:val="bottom"/>
          </w:tcPr>
          <w:p w:rsidR="00AC12B4" w:rsidRDefault="00C27636">
            <w:pPr>
              <w:jc w:val="center"/>
              <w:rPr>
                <w:sz w:val="20"/>
                <w:szCs w:val="20"/>
              </w:rPr>
            </w:pPr>
            <w:r>
              <w:rPr>
                <w:rFonts w:ascii="Calibri" w:eastAsia="Calibri" w:hAnsi="Calibri" w:cs="Calibri"/>
                <w:color w:val="76923C"/>
              </w:rPr>
              <w:t>3,60</w:t>
            </w:r>
          </w:p>
        </w:tc>
        <w:tc>
          <w:tcPr>
            <w:tcW w:w="1700" w:type="dxa"/>
            <w:vAlign w:val="bottom"/>
          </w:tcPr>
          <w:p w:rsidR="00AC12B4" w:rsidRDefault="00C27636">
            <w:pPr>
              <w:jc w:val="center"/>
              <w:rPr>
                <w:sz w:val="20"/>
                <w:szCs w:val="20"/>
              </w:rPr>
            </w:pPr>
            <w:r>
              <w:rPr>
                <w:rFonts w:ascii="Calibri" w:eastAsia="Calibri" w:hAnsi="Calibri" w:cs="Calibri"/>
                <w:color w:val="76923C"/>
              </w:rPr>
              <w:t>35,7%</w:t>
            </w:r>
          </w:p>
        </w:tc>
        <w:tc>
          <w:tcPr>
            <w:tcW w:w="2340" w:type="dxa"/>
            <w:vAlign w:val="bottom"/>
          </w:tcPr>
          <w:p w:rsidR="00AC12B4" w:rsidRDefault="00C27636">
            <w:pPr>
              <w:ind w:left="72"/>
              <w:jc w:val="center"/>
              <w:rPr>
                <w:sz w:val="20"/>
                <w:szCs w:val="20"/>
              </w:rPr>
            </w:pPr>
            <w:r>
              <w:rPr>
                <w:rFonts w:ascii="Calibri" w:eastAsia="Calibri" w:hAnsi="Calibri" w:cs="Calibri"/>
                <w:color w:val="76923C"/>
              </w:rPr>
              <w:t>45,3%</w:t>
            </w:r>
          </w:p>
        </w:tc>
      </w:tr>
      <w:tr w:rsidR="00AC12B4">
        <w:trPr>
          <w:trHeight w:val="406"/>
        </w:trPr>
        <w:tc>
          <w:tcPr>
            <w:tcW w:w="1820" w:type="dxa"/>
            <w:vAlign w:val="bottom"/>
          </w:tcPr>
          <w:p w:rsidR="00AC12B4" w:rsidRDefault="00C27636">
            <w:pPr>
              <w:rPr>
                <w:sz w:val="20"/>
                <w:szCs w:val="20"/>
              </w:rPr>
            </w:pPr>
            <w:r>
              <w:rPr>
                <w:rFonts w:ascii="Calibri" w:eastAsia="Calibri" w:hAnsi="Calibri" w:cs="Calibri"/>
                <w:b/>
                <w:bCs/>
                <w:color w:val="76923C"/>
              </w:rPr>
              <w:t>Liège</w:t>
            </w:r>
          </w:p>
        </w:tc>
        <w:tc>
          <w:tcPr>
            <w:tcW w:w="1720" w:type="dxa"/>
            <w:vAlign w:val="bottom"/>
          </w:tcPr>
          <w:p w:rsidR="00AC12B4" w:rsidRDefault="00C27636">
            <w:pPr>
              <w:jc w:val="center"/>
              <w:rPr>
                <w:sz w:val="20"/>
                <w:szCs w:val="20"/>
              </w:rPr>
            </w:pPr>
            <w:r>
              <w:rPr>
                <w:rFonts w:ascii="Calibri" w:eastAsia="Calibri" w:hAnsi="Calibri" w:cs="Calibri"/>
                <w:color w:val="76923C"/>
              </w:rPr>
              <w:t>4,50</w:t>
            </w:r>
          </w:p>
        </w:tc>
        <w:tc>
          <w:tcPr>
            <w:tcW w:w="1700" w:type="dxa"/>
            <w:vAlign w:val="bottom"/>
          </w:tcPr>
          <w:p w:rsidR="00AC12B4" w:rsidRDefault="00C27636">
            <w:pPr>
              <w:jc w:val="center"/>
              <w:rPr>
                <w:sz w:val="20"/>
                <w:szCs w:val="20"/>
              </w:rPr>
            </w:pPr>
            <w:r>
              <w:rPr>
                <w:rFonts w:ascii="Calibri" w:eastAsia="Calibri" w:hAnsi="Calibri" w:cs="Calibri"/>
                <w:color w:val="76923C"/>
              </w:rPr>
              <w:t>41,6%</w:t>
            </w:r>
          </w:p>
        </w:tc>
        <w:tc>
          <w:tcPr>
            <w:tcW w:w="2340" w:type="dxa"/>
            <w:vAlign w:val="bottom"/>
          </w:tcPr>
          <w:p w:rsidR="00AC12B4" w:rsidRDefault="00C27636">
            <w:pPr>
              <w:ind w:left="72"/>
              <w:jc w:val="center"/>
              <w:rPr>
                <w:sz w:val="20"/>
                <w:szCs w:val="20"/>
              </w:rPr>
            </w:pPr>
            <w:r>
              <w:rPr>
                <w:rFonts w:ascii="Calibri" w:eastAsia="Calibri" w:hAnsi="Calibri" w:cs="Calibri"/>
                <w:color w:val="76923C"/>
              </w:rPr>
              <w:t>25,4%</w:t>
            </w:r>
          </w:p>
        </w:tc>
      </w:tr>
      <w:tr w:rsidR="00AC12B4">
        <w:trPr>
          <w:trHeight w:val="403"/>
        </w:trPr>
        <w:tc>
          <w:tcPr>
            <w:tcW w:w="1820" w:type="dxa"/>
            <w:vAlign w:val="bottom"/>
          </w:tcPr>
          <w:p w:rsidR="00AC12B4" w:rsidRDefault="00C27636">
            <w:pPr>
              <w:rPr>
                <w:sz w:val="20"/>
                <w:szCs w:val="20"/>
              </w:rPr>
            </w:pPr>
            <w:r>
              <w:rPr>
                <w:rFonts w:ascii="Calibri" w:eastAsia="Calibri" w:hAnsi="Calibri" w:cs="Calibri"/>
                <w:b/>
                <w:bCs/>
                <w:color w:val="76923C"/>
              </w:rPr>
              <w:lastRenderedPageBreak/>
              <w:t>Limbourg</w:t>
            </w:r>
          </w:p>
        </w:tc>
        <w:tc>
          <w:tcPr>
            <w:tcW w:w="1720" w:type="dxa"/>
            <w:vAlign w:val="bottom"/>
          </w:tcPr>
          <w:p w:rsidR="00AC12B4" w:rsidRDefault="00C27636">
            <w:pPr>
              <w:jc w:val="center"/>
              <w:rPr>
                <w:sz w:val="20"/>
                <w:szCs w:val="20"/>
              </w:rPr>
            </w:pPr>
            <w:r>
              <w:rPr>
                <w:rFonts w:ascii="Calibri" w:eastAsia="Calibri" w:hAnsi="Calibri" w:cs="Calibri"/>
                <w:color w:val="76923C"/>
              </w:rPr>
              <w:t>6,37</w:t>
            </w:r>
          </w:p>
        </w:tc>
        <w:tc>
          <w:tcPr>
            <w:tcW w:w="1700" w:type="dxa"/>
            <w:vAlign w:val="bottom"/>
          </w:tcPr>
          <w:p w:rsidR="00AC12B4" w:rsidRDefault="00C27636">
            <w:pPr>
              <w:jc w:val="center"/>
              <w:rPr>
                <w:sz w:val="20"/>
                <w:szCs w:val="20"/>
              </w:rPr>
            </w:pPr>
            <w:r>
              <w:rPr>
                <w:rFonts w:ascii="Calibri" w:eastAsia="Calibri" w:hAnsi="Calibri" w:cs="Calibri"/>
                <w:color w:val="76923C"/>
              </w:rPr>
              <w:t>34,4%</w:t>
            </w:r>
          </w:p>
        </w:tc>
        <w:tc>
          <w:tcPr>
            <w:tcW w:w="2340" w:type="dxa"/>
            <w:vAlign w:val="bottom"/>
          </w:tcPr>
          <w:p w:rsidR="00AC12B4" w:rsidRDefault="00C27636">
            <w:pPr>
              <w:ind w:left="72"/>
              <w:jc w:val="center"/>
              <w:rPr>
                <w:sz w:val="20"/>
                <w:szCs w:val="20"/>
              </w:rPr>
            </w:pPr>
            <w:r>
              <w:rPr>
                <w:rFonts w:ascii="Calibri" w:eastAsia="Calibri" w:hAnsi="Calibri" w:cs="Calibri"/>
                <w:color w:val="76923C"/>
              </w:rPr>
              <w:t>57,4%</w:t>
            </w:r>
          </w:p>
        </w:tc>
      </w:tr>
      <w:tr w:rsidR="00AC12B4">
        <w:trPr>
          <w:trHeight w:val="403"/>
        </w:trPr>
        <w:tc>
          <w:tcPr>
            <w:tcW w:w="1820" w:type="dxa"/>
            <w:vAlign w:val="bottom"/>
          </w:tcPr>
          <w:p w:rsidR="00AC12B4" w:rsidRDefault="00C27636">
            <w:pPr>
              <w:rPr>
                <w:sz w:val="20"/>
                <w:szCs w:val="20"/>
              </w:rPr>
            </w:pPr>
            <w:r>
              <w:rPr>
                <w:rFonts w:ascii="Calibri" w:eastAsia="Calibri" w:hAnsi="Calibri" w:cs="Calibri"/>
                <w:b/>
                <w:bCs/>
                <w:color w:val="76923C"/>
              </w:rPr>
              <w:t>Luxembourg</w:t>
            </w:r>
          </w:p>
        </w:tc>
        <w:tc>
          <w:tcPr>
            <w:tcW w:w="1720" w:type="dxa"/>
            <w:vAlign w:val="bottom"/>
          </w:tcPr>
          <w:p w:rsidR="00AC12B4" w:rsidRDefault="00C27636">
            <w:pPr>
              <w:jc w:val="center"/>
              <w:rPr>
                <w:sz w:val="20"/>
                <w:szCs w:val="20"/>
              </w:rPr>
            </w:pPr>
            <w:r>
              <w:rPr>
                <w:rFonts w:ascii="Calibri" w:eastAsia="Calibri" w:hAnsi="Calibri" w:cs="Calibri"/>
                <w:color w:val="76923C"/>
              </w:rPr>
              <w:t>21,54</w:t>
            </w:r>
          </w:p>
        </w:tc>
        <w:tc>
          <w:tcPr>
            <w:tcW w:w="1700" w:type="dxa"/>
            <w:vAlign w:val="bottom"/>
          </w:tcPr>
          <w:p w:rsidR="00AC12B4" w:rsidRDefault="00C27636">
            <w:pPr>
              <w:jc w:val="center"/>
              <w:rPr>
                <w:sz w:val="20"/>
                <w:szCs w:val="20"/>
              </w:rPr>
            </w:pPr>
            <w:r>
              <w:rPr>
                <w:rFonts w:ascii="Calibri" w:eastAsia="Calibri" w:hAnsi="Calibri" w:cs="Calibri"/>
                <w:color w:val="76923C"/>
              </w:rPr>
              <w:t>43,2%</w:t>
            </w:r>
          </w:p>
        </w:tc>
        <w:tc>
          <w:tcPr>
            <w:tcW w:w="2340" w:type="dxa"/>
            <w:vAlign w:val="bottom"/>
          </w:tcPr>
          <w:p w:rsidR="00AC12B4" w:rsidRDefault="00C27636">
            <w:pPr>
              <w:ind w:left="72"/>
              <w:jc w:val="center"/>
              <w:rPr>
                <w:sz w:val="20"/>
                <w:szCs w:val="20"/>
              </w:rPr>
            </w:pPr>
            <w:r>
              <w:rPr>
                <w:rFonts w:ascii="Calibri" w:eastAsia="Calibri" w:hAnsi="Calibri" w:cs="Calibri"/>
                <w:color w:val="76923C"/>
              </w:rPr>
              <w:t>37,3%</w:t>
            </w:r>
          </w:p>
        </w:tc>
      </w:tr>
      <w:tr w:rsidR="00AC12B4">
        <w:trPr>
          <w:trHeight w:val="403"/>
        </w:trPr>
        <w:tc>
          <w:tcPr>
            <w:tcW w:w="1820" w:type="dxa"/>
            <w:vAlign w:val="bottom"/>
          </w:tcPr>
          <w:p w:rsidR="00AC12B4" w:rsidRDefault="00C27636">
            <w:pPr>
              <w:rPr>
                <w:sz w:val="20"/>
                <w:szCs w:val="20"/>
              </w:rPr>
            </w:pPr>
            <w:r>
              <w:rPr>
                <w:rFonts w:ascii="Calibri" w:eastAsia="Calibri" w:hAnsi="Calibri" w:cs="Calibri"/>
                <w:b/>
                <w:bCs/>
                <w:color w:val="76923C"/>
              </w:rPr>
              <w:t>Namur</w:t>
            </w:r>
          </w:p>
        </w:tc>
        <w:tc>
          <w:tcPr>
            <w:tcW w:w="1720" w:type="dxa"/>
            <w:vAlign w:val="bottom"/>
          </w:tcPr>
          <w:p w:rsidR="00AC12B4" w:rsidRDefault="00C27636">
            <w:pPr>
              <w:jc w:val="center"/>
              <w:rPr>
                <w:sz w:val="20"/>
                <w:szCs w:val="20"/>
              </w:rPr>
            </w:pPr>
            <w:r>
              <w:rPr>
                <w:rFonts w:ascii="Calibri" w:eastAsia="Calibri" w:hAnsi="Calibri" w:cs="Calibri"/>
                <w:color w:val="76923C"/>
              </w:rPr>
              <w:t>9,74</w:t>
            </w:r>
          </w:p>
        </w:tc>
        <w:tc>
          <w:tcPr>
            <w:tcW w:w="1700" w:type="dxa"/>
            <w:vAlign w:val="bottom"/>
          </w:tcPr>
          <w:p w:rsidR="00AC12B4" w:rsidRDefault="00C27636">
            <w:pPr>
              <w:jc w:val="center"/>
              <w:rPr>
                <w:sz w:val="20"/>
                <w:szCs w:val="20"/>
              </w:rPr>
            </w:pPr>
            <w:r>
              <w:rPr>
                <w:rFonts w:ascii="Calibri" w:eastAsia="Calibri" w:hAnsi="Calibri" w:cs="Calibri"/>
                <w:color w:val="76923C"/>
              </w:rPr>
              <w:t>26,6%</w:t>
            </w:r>
          </w:p>
        </w:tc>
        <w:tc>
          <w:tcPr>
            <w:tcW w:w="2340" w:type="dxa"/>
            <w:vAlign w:val="bottom"/>
          </w:tcPr>
          <w:p w:rsidR="00AC12B4" w:rsidRDefault="00C27636">
            <w:pPr>
              <w:ind w:left="72"/>
              <w:jc w:val="center"/>
              <w:rPr>
                <w:sz w:val="20"/>
                <w:szCs w:val="20"/>
              </w:rPr>
            </w:pPr>
            <w:r>
              <w:rPr>
                <w:rFonts w:ascii="Calibri" w:eastAsia="Calibri" w:hAnsi="Calibri" w:cs="Calibri"/>
                <w:color w:val="76923C"/>
              </w:rPr>
              <w:t>52,8%</w:t>
            </w:r>
          </w:p>
        </w:tc>
      </w:tr>
    </w:tbl>
    <w:p w:rsidR="00AC12B4" w:rsidRDefault="00C27636">
      <w:pPr>
        <w:spacing w:line="20" w:lineRule="exact"/>
        <w:rPr>
          <w:sz w:val="20"/>
          <w:szCs w:val="20"/>
        </w:rPr>
      </w:pPr>
      <w:r>
        <w:rPr>
          <w:noProof/>
          <w:sz w:val="20"/>
          <w:szCs w:val="20"/>
        </w:rPr>
        <w:drawing>
          <wp:anchor distT="0" distB="0" distL="114300" distR="114300" simplePos="0" relativeHeight="251537920" behindDoc="1" locked="0" layoutInCell="0" allowOverlap="1">
            <wp:simplePos x="0" y="0"/>
            <wp:positionH relativeFrom="column">
              <wp:posOffset>1211580</wp:posOffset>
            </wp:positionH>
            <wp:positionV relativeFrom="paragraph">
              <wp:posOffset>307975</wp:posOffset>
            </wp:positionV>
            <wp:extent cx="5160010" cy="30480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09">
                      <a:extLst/>
                    </a:blip>
                    <a:srcRect/>
                    <a:stretch>
                      <a:fillRect/>
                    </a:stretch>
                  </pic:blipFill>
                  <pic:spPr bwMode="auto">
                    <a:xfrm>
                      <a:off x="0" y="0"/>
                      <a:ext cx="5160010" cy="304800"/>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258" w:lineRule="exact"/>
        <w:rPr>
          <w:sz w:val="20"/>
          <w:szCs w:val="20"/>
        </w:rPr>
      </w:pPr>
    </w:p>
    <w:p w:rsidR="00AC12B4" w:rsidRDefault="00C27636">
      <w:pPr>
        <w:ind w:left="1915"/>
        <w:rPr>
          <w:sz w:val="20"/>
          <w:szCs w:val="20"/>
        </w:rPr>
      </w:pPr>
      <w:r>
        <w:rPr>
          <w:rFonts w:ascii="Calibri" w:eastAsia="Calibri" w:hAnsi="Calibri" w:cs="Calibri"/>
          <w:b/>
          <w:bCs/>
          <w:color w:val="4F81BD"/>
          <w:sz w:val="18"/>
          <w:szCs w:val="18"/>
        </w:rPr>
        <w:t>Figure 4. INAMI Pharmanet 2014</w:t>
      </w:r>
    </w:p>
    <w:p w:rsidR="00AC12B4" w:rsidRDefault="00AC12B4">
      <w:pPr>
        <w:sectPr w:rsidR="00AC12B4">
          <w:pgSz w:w="12080" w:h="17179"/>
          <w:pgMar w:top="1155" w:right="1440" w:bottom="659" w:left="485" w:header="0" w:footer="0" w:gutter="0"/>
          <w:cols w:space="720" w:equalWidth="0">
            <w:col w:w="10152"/>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87"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86" w:lineRule="exact"/>
        <w:rPr>
          <w:sz w:val="20"/>
          <w:szCs w:val="20"/>
          <w:lang w:val="fr-BE"/>
        </w:rPr>
      </w:pPr>
    </w:p>
    <w:p w:rsidR="00AC12B4" w:rsidRPr="00C27636" w:rsidRDefault="00C27636">
      <w:pPr>
        <w:spacing w:line="232" w:lineRule="auto"/>
        <w:jc w:val="both"/>
        <w:rPr>
          <w:sz w:val="20"/>
          <w:szCs w:val="20"/>
          <w:lang w:val="fr-BE"/>
        </w:rPr>
      </w:pPr>
      <w:r w:rsidRPr="00C27636">
        <w:rPr>
          <w:rFonts w:ascii="Calibri" w:eastAsia="Calibri" w:hAnsi="Calibri" w:cs="Calibri"/>
          <w:lang w:val="fr-BE"/>
        </w:rPr>
        <w:t>Les quantités prescrites</w:t>
      </w:r>
      <w:r w:rsidRPr="00C27636">
        <w:rPr>
          <w:rFonts w:ascii="Calibri" w:eastAsia="Calibri" w:hAnsi="Calibri" w:cs="Calibri"/>
          <w:lang w:val="fr-BE"/>
        </w:rPr>
        <w:t xml:space="preserve"> varient également d’une province à l’autre. Si l’on compare le nombre de DDD à la population d’enfants dans la province, il y a plus de cinq fois plus de rilatine prescrite par enfant dans la province du Luxembourg qu’à Bruxelles.</w:t>
      </w:r>
    </w:p>
    <w:p w:rsidR="00AC12B4" w:rsidRPr="00C27636" w:rsidRDefault="00AC12B4">
      <w:pPr>
        <w:spacing w:line="212" w:lineRule="exact"/>
        <w:rPr>
          <w:sz w:val="20"/>
          <w:szCs w:val="20"/>
          <w:lang w:val="fr-BE"/>
        </w:rPr>
      </w:pPr>
    </w:p>
    <w:p w:rsidR="00AC12B4" w:rsidRDefault="00C27636">
      <w:pPr>
        <w:rPr>
          <w:sz w:val="20"/>
          <w:szCs w:val="20"/>
        </w:rPr>
      </w:pPr>
      <w:r>
        <w:rPr>
          <w:rFonts w:ascii="Cambria" w:eastAsia="Cambria" w:hAnsi="Cambria" w:cs="Cambria"/>
          <w:b/>
          <w:bCs/>
          <w:i/>
          <w:iCs/>
          <w:color w:val="919715"/>
          <w:sz w:val="26"/>
          <w:szCs w:val="26"/>
        </w:rPr>
        <w:t>D’où viennent ces chiff</w:t>
      </w:r>
      <w:r>
        <w:rPr>
          <w:rFonts w:ascii="Cambria" w:eastAsia="Cambria" w:hAnsi="Cambria" w:cs="Cambria"/>
          <w:b/>
          <w:bCs/>
          <w:i/>
          <w:iCs/>
          <w:color w:val="919715"/>
          <w:sz w:val="26"/>
          <w:szCs w:val="26"/>
        </w:rPr>
        <w:t>res ?</w:t>
      </w:r>
    </w:p>
    <w:p w:rsidR="00AC12B4" w:rsidRDefault="00AC12B4">
      <w:pPr>
        <w:spacing w:line="166" w:lineRule="exact"/>
        <w:rPr>
          <w:sz w:val="20"/>
          <w:szCs w:val="20"/>
        </w:rPr>
      </w:pPr>
    </w:p>
    <w:p w:rsidR="00AC12B4" w:rsidRDefault="00C27636">
      <w:pPr>
        <w:numPr>
          <w:ilvl w:val="0"/>
          <w:numId w:val="122"/>
        </w:numPr>
        <w:tabs>
          <w:tab w:val="left" w:pos="720"/>
        </w:tabs>
        <w:ind w:left="720" w:hanging="360"/>
        <w:rPr>
          <w:rFonts w:ascii="Wingdings" w:eastAsia="Wingdings" w:hAnsi="Wingdings" w:cs="Wingdings"/>
          <w:color w:val="C9D11D"/>
        </w:rPr>
      </w:pPr>
      <w:r>
        <w:rPr>
          <w:rFonts w:ascii="Cambria" w:eastAsia="Cambria" w:hAnsi="Cambria" w:cs="Cambria"/>
          <w:i/>
          <w:iCs/>
          <w:color w:val="C9D11D"/>
        </w:rPr>
        <w:t>L’Agence InterMutualiste</w:t>
      </w:r>
    </w:p>
    <w:p w:rsidR="00AC12B4" w:rsidRDefault="00AC12B4">
      <w:pPr>
        <w:spacing w:line="202" w:lineRule="exact"/>
        <w:rPr>
          <w:sz w:val="20"/>
          <w:szCs w:val="20"/>
        </w:rPr>
      </w:pPr>
    </w:p>
    <w:p w:rsidR="00AC12B4" w:rsidRPr="00C27636" w:rsidRDefault="00C27636">
      <w:pPr>
        <w:spacing w:line="230" w:lineRule="auto"/>
        <w:jc w:val="both"/>
        <w:rPr>
          <w:sz w:val="20"/>
          <w:szCs w:val="20"/>
          <w:lang w:val="fr-BE"/>
        </w:rPr>
      </w:pPr>
      <w:r w:rsidRPr="00C27636">
        <w:rPr>
          <w:rFonts w:ascii="Calibri" w:eastAsia="Calibri" w:hAnsi="Calibri" w:cs="Calibri"/>
          <w:lang w:val="fr-BE"/>
        </w:rPr>
        <w:t>L’agence InterMutualiste (AIM) a comme mission d’« analyser les données collectées par les organismes assureurs dans le cadre de leurs missions et à leur procurer l’information en la matière ».</w:t>
      </w:r>
    </w:p>
    <w:p w:rsidR="00AC12B4" w:rsidRPr="00C27636" w:rsidRDefault="00AC12B4">
      <w:pPr>
        <w:spacing w:line="175" w:lineRule="exact"/>
        <w:rPr>
          <w:sz w:val="20"/>
          <w:szCs w:val="20"/>
          <w:lang w:val="fr-BE"/>
        </w:rPr>
      </w:pPr>
    </w:p>
    <w:p w:rsidR="00AC12B4" w:rsidRDefault="00C27636">
      <w:pPr>
        <w:spacing w:line="231" w:lineRule="auto"/>
        <w:jc w:val="both"/>
        <w:rPr>
          <w:sz w:val="20"/>
          <w:szCs w:val="20"/>
        </w:rPr>
      </w:pPr>
      <w:r w:rsidRPr="00C27636">
        <w:rPr>
          <w:rFonts w:ascii="Calibri" w:eastAsia="Calibri" w:hAnsi="Calibri" w:cs="Calibri"/>
          <w:lang w:val="fr-BE"/>
        </w:rPr>
        <w:t xml:space="preserve">Les 7 mutualités actives en </w:t>
      </w:r>
      <w:r w:rsidRPr="00C27636">
        <w:rPr>
          <w:rFonts w:ascii="Calibri" w:eastAsia="Calibri" w:hAnsi="Calibri" w:cs="Calibri"/>
          <w:lang w:val="fr-BE"/>
        </w:rPr>
        <w:t xml:space="preserve">Belgique collectent toutes sortes de données (administratives, de facturation,...). </w:t>
      </w:r>
      <w:r>
        <w:rPr>
          <w:rFonts w:ascii="Calibri" w:eastAsia="Calibri" w:hAnsi="Calibri" w:cs="Calibri"/>
        </w:rPr>
        <w:t>AIM rassemble ces données pour réaliser des études globales.</w:t>
      </w:r>
    </w:p>
    <w:p w:rsidR="00AC12B4" w:rsidRDefault="00AC12B4">
      <w:pPr>
        <w:spacing w:line="130" w:lineRule="exact"/>
        <w:rPr>
          <w:sz w:val="20"/>
          <w:szCs w:val="20"/>
        </w:rPr>
      </w:pPr>
    </w:p>
    <w:p w:rsidR="00AC12B4" w:rsidRDefault="00C27636">
      <w:pPr>
        <w:numPr>
          <w:ilvl w:val="0"/>
          <w:numId w:val="123"/>
        </w:numPr>
        <w:tabs>
          <w:tab w:val="left" w:pos="720"/>
        </w:tabs>
        <w:ind w:left="720" w:hanging="360"/>
        <w:rPr>
          <w:rFonts w:ascii="Wingdings" w:eastAsia="Wingdings" w:hAnsi="Wingdings" w:cs="Wingdings"/>
          <w:color w:val="C9D11D"/>
        </w:rPr>
      </w:pPr>
      <w:r>
        <w:rPr>
          <w:rFonts w:ascii="Cambria" w:eastAsia="Cambria" w:hAnsi="Cambria" w:cs="Cambria"/>
          <w:i/>
          <w:iCs/>
          <w:color w:val="C9D11D"/>
        </w:rPr>
        <w:t>Limite de l’indicateur</w:t>
      </w:r>
    </w:p>
    <w:p w:rsidR="00AC12B4" w:rsidRDefault="00AC12B4">
      <w:pPr>
        <w:spacing w:line="199" w:lineRule="exact"/>
        <w:rPr>
          <w:sz w:val="20"/>
          <w:szCs w:val="20"/>
        </w:rPr>
      </w:pPr>
    </w:p>
    <w:p w:rsidR="00AC12B4" w:rsidRPr="00C27636" w:rsidRDefault="00C27636">
      <w:pPr>
        <w:spacing w:line="231" w:lineRule="auto"/>
        <w:jc w:val="both"/>
        <w:rPr>
          <w:sz w:val="20"/>
          <w:szCs w:val="20"/>
          <w:lang w:val="fr-BE"/>
        </w:rPr>
      </w:pPr>
      <w:r w:rsidRPr="00C27636">
        <w:rPr>
          <w:rFonts w:ascii="Calibri" w:eastAsia="Calibri" w:hAnsi="Calibri" w:cs="Calibri"/>
          <w:lang w:val="fr-BE"/>
        </w:rPr>
        <w:t xml:space="preserve">Il est difficile de délimiter clairement ce qui peut être classé comme de la </w:t>
      </w:r>
      <w:r w:rsidRPr="00C27636">
        <w:rPr>
          <w:rFonts w:ascii="Calibri" w:eastAsia="Calibri" w:hAnsi="Calibri" w:cs="Calibri"/>
          <w:lang w:val="fr-BE"/>
        </w:rPr>
        <w:t>surconsommation et ce qui répond à un besoin réel. C’est pourquoi les chiffres présentés doivent toujours être vus de</w:t>
      </w:r>
    </w:p>
    <w:p w:rsidR="00AC12B4" w:rsidRPr="00C27636" w:rsidRDefault="00AC12B4">
      <w:pPr>
        <w:spacing w:line="3" w:lineRule="exact"/>
        <w:rPr>
          <w:sz w:val="20"/>
          <w:szCs w:val="20"/>
          <w:lang w:val="fr-BE"/>
        </w:rPr>
      </w:pPr>
    </w:p>
    <w:p w:rsidR="00AC12B4" w:rsidRPr="00C27636" w:rsidRDefault="00C27636">
      <w:pPr>
        <w:tabs>
          <w:tab w:val="left" w:pos="1300"/>
          <w:tab w:val="left" w:pos="2540"/>
        </w:tabs>
        <w:rPr>
          <w:sz w:val="20"/>
          <w:szCs w:val="20"/>
          <w:lang w:val="fr-BE"/>
        </w:rPr>
      </w:pPr>
      <w:r w:rsidRPr="00C27636">
        <w:rPr>
          <w:rFonts w:ascii="Calibri" w:eastAsia="Calibri" w:hAnsi="Calibri" w:cs="Calibri"/>
          <w:lang w:val="fr-BE"/>
        </w:rPr>
        <w:t>manière</w:t>
      </w:r>
      <w:r w:rsidRPr="00C27636">
        <w:rPr>
          <w:sz w:val="20"/>
          <w:szCs w:val="20"/>
          <w:lang w:val="fr-BE"/>
        </w:rPr>
        <w:tab/>
      </w:r>
      <w:r w:rsidRPr="00C27636">
        <w:rPr>
          <w:rFonts w:ascii="Calibri" w:eastAsia="Calibri" w:hAnsi="Calibri" w:cs="Calibri"/>
          <w:lang w:val="fr-BE"/>
        </w:rPr>
        <w:t>relative</w:t>
      </w:r>
      <w:r w:rsidRPr="00C27636">
        <w:rPr>
          <w:sz w:val="20"/>
          <w:szCs w:val="20"/>
          <w:lang w:val="fr-BE"/>
        </w:rPr>
        <w:tab/>
      </w:r>
      <w:r w:rsidRPr="00C27636">
        <w:rPr>
          <w:rFonts w:ascii="Calibri" w:eastAsia="Calibri" w:hAnsi="Calibri" w:cs="Calibri"/>
          <w:lang w:val="fr-BE"/>
        </w:rPr>
        <w:t>(comparaisons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86" w:lineRule="exact"/>
        <w:rPr>
          <w:sz w:val="20"/>
          <w:szCs w:val="20"/>
          <w:lang w:val="fr-BE"/>
        </w:rPr>
      </w:pPr>
    </w:p>
    <w:p w:rsidR="00AC12B4" w:rsidRPr="00C27636" w:rsidRDefault="00C27636">
      <w:pPr>
        <w:spacing w:line="218" w:lineRule="auto"/>
        <w:ind w:left="460" w:right="737"/>
        <w:jc w:val="both"/>
        <w:rPr>
          <w:sz w:val="20"/>
          <w:szCs w:val="20"/>
          <w:lang w:val="fr-BE"/>
        </w:rPr>
      </w:pPr>
      <w:r w:rsidRPr="00C27636">
        <w:rPr>
          <w:rFonts w:ascii="Calibri" w:eastAsia="Calibri" w:hAnsi="Calibri" w:cs="Calibri"/>
          <w:lang w:val="fr-BE"/>
        </w:rPr>
        <w:t>internationales ou régionales, évolution dans le temps,…)</w:t>
      </w:r>
    </w:p>
    <w:p w:rsidR="00AC12B4" w:rsidRPr="00C27636" w:rsidRDefault="00AC12B4">
      <w:pPr>
        <w:spacing w:line="170" w:lineRule="exact"/>
        <w:rPr>
          <w:sz w:val="20"/>
          <w:szCs w:val="20"/>
          <w:lang w:val="fr-BE"/>
        </w:rPr>
      </w:pPr>
    </w:p>
    <w:p w:rsidR="00AC12B4" w:rsidRPr="00C27636" w:rsidRDefault="00C27636">
      <w:pPr>
        <w:spacing w:line="229" w:lineRule="auto"/>
        <w:ind w:left="460" w:right="737"/>
        <w:jc w:val="both"/>
        <w:rPr>
          <w:sz w:val="20"/>
          <w:szCs w:val="20"/>
          <w:lang w:val="fr-BE"/>
        </w:rPr>
      </w:pPr>
      <w:r w:rsidRPr="00C27636">
        <w:rPr>
          <w:rFonts w:ascii="Calibri" w:eastAsia="Calibri" w:hAnsi="Calibri" w:cs="Calibri"/>
          <w:lang w:val="fr-BE"/>
        </w:rPr>
        <w:t>Notons que certains psychotropes comme les b</w:t>
      </w:r>
      <w:r w:rsidRPr="00C27636">
        <w:rPr>
          <w:rFonts w:ascii="Calibri" w:eastAsia="Calibri" w:hAnsi="Calibri" w:cs="Calibri"/>
          <w:lang w:val="fr-BE"/>
        </w:rPr>
        <w:t>enzodiazépines ne sont pas remboursées et ne se retrouvent donc pas dans les bases de données de l’AIM.</w:t>
      </w:r>
    </w:p>
    <w:p w:rsidR="00AC12B4" w:rsidRPr="00C27636" w:rsidRDefault="00AC12B4">
      <w:pPr>
        <w:spacing w:line="129" w:lineRule="exact"/>
        <w:rPr>
          <w:sz w:val="20"/>
          <w:szCs w:val="20"/>
          <w:lang w:val="fr-BE"/>
        </w:rPr>
      </w:pPr>
    </w:p>
    <w:p w:rsidR="00AC12B4" w:rsidRDefault="00C27636">
      <w:pPr>
        <w:numPr>
          <w:ilvl w:val="0"/>
          <w:numId w:val="124"/>
        </w:numPr>
        <w:tabs>
          <w:tab w:val="left" w:pos="1180"/>
        </w:tabs>
        <w:ind w:left="1180" w:hanging="355"/>
        <w:rPr>
          <w:rFonts w:ascii="Wingdings" w:eastAsia="Wingdings" w:hAnsi="Wingdings" w:cs="Wingdings"/>
          <w:color w:val="C9D11D"/>
        </w:rPr>
      </w:pPr>
      <w:r>
        <w:rPr>
          <w:rFonts w:ascii="Cambria" w:eastAsia="Cambria" w:hAnsi="Cambria" w:cs="Cambria"/>
          <w:b/>
          <w:bCs/>
          <w:i/>
          <w:iCs/>
          <w:color w:val="C9D11D"/>
        </w:rPr>
        <w:t>Recommandations</w:t>
      </w:r>
    </w:p>
    <w:p w:rsidR="00AC12B4" w:rsidRDefault="00AC12B4">
      <w:pPr>
        <w:spacing w:line="199" w:lineRule="exact"/>
        <w:rPr>
          <w:sz w:val="20"/>
          <w:szCs w:val="20"/>
        </w:rPr>
      </w:pPr>
    </w:p>
    <w:p w:rsidR="00AC12B4" w:rsidRPr="00C27636" w:rsidRDefault="00C27636">
      <w:pPr>
        <w:spacing w:line="231" w:lineRule="auto"/>
        <w:ind w:left="460" w:right="737"/>
        <w:jc w:val="both"/>
        <w:rPr>
          <w:sz w:val="20"/>
          <w:szCs w:val="20"/>
          <w:lang w:val="fr-BE"/>
        </w:rPr>
      </w:pPr>
      <w:r w:rsidRPr="00C27636">
        <w:rPr>
          <w:rFonts w:ascii="Calibri" w:eastAsia="Calibri" w:hAnsi="Calibri" w:cs="Calibri"/>
          <w:lang w:val="fr-BE"/>
        </w:rPr>
        <w:t xml:space="preserve">Les données suivantes seraient nécessaires pour une approche plus qualitative :le taux de prescriptions d’amoxicilline. Il reflète le </w:t>
      </w:r>
      <w:r w:rsidRPr="00C27636">
        <w:rPr>
          <w:rFonts w:ascii="Calibri" w:eastAsia="Calibri" w:hAnsi="Calibri" w:cs="Calibri"/>
          <w:lang w:val="fr-BE"/>
        </w:rPr>
        <w:t>fait que les prescripteurs privilégient un antibiotique de première ligne, ce qui est</w:t>
      </w:r>
    </w:p>
    <w:p w:rsidR="00AC12B4" w:rsidRPr="00C27636" w:rsidRDefault="00AC12B4">
      <w:pPr>
        <w:spacing w:line="52" w:lineRule="exact"/>
        <w:rPr>
          <w:sz w:val="20"/>
          <w:szCs w:val="20"/>
          <w:lang w:val="fr-BE"/>
        </w:rPr>
      </w:pPr>
    </w:p>
    <w:p w:rsidR="00AC12B4" w:rsidRPr="00C27636" w:rsidRDefault="00C27636">
      <w:pPr>
        <w:spacing w:line="218" w:lineRule="auto"/>
        <w:ind w:left="460" w:right="737"/>
        <w:jc w:val="both"/>
        <w:rPr>
          <w:sz w:val="20"/>
          <w:szCs w:val="20"/>
          <w:lang w:val="fr-BE"/>
        </w:rPr>
      </w:pPr>
      <w:r w:rsidRPr="00C27636">
        <w:rPr>
          <w:rFonts w:ascii="Calibri" w:eastAsia="Calibri" w:hAnsi="Calibri" w:cs="Calibri"/>
          <w:lang w:val="fr-BE"/>
        </w:rPr>
        <w:t>souhaitable pour limiter l’antibiorésistance.</w:t>
      </w:r>
    </w:p>
    <w:p w:rsidR="00AC12B4" w:rsidRPr="00C27636" w:rsidRDefault="00AC12B4">
      <w:pPr>
        <w:spacing w:line="207" w:lineRule="exact"/>
        <w:rPr>
          <w:sz w:val="20"/>
          <w:szCs w:val="20"/>
          <w:lang w:val="fr-BE"/>
        </w:rPr>
      </w:pPr>
    </w:p>
    <w:p w:rsidR="00AC12B4" w:rsidRPr="00C27636" w:rsidRDefault="00C27636">
      <w:pPr>
        <w:ind w:left="460"/>
        <w:rPr>
          <w:sz w:val="20"/>
          <w:szCs w:val="20"/>
          <w:lang w:val="fr-BE"/>
        </w:rPr>
      </w:pPr>
      <w:r w:rsidRPr="00C27636">
        <w:rPr>
          <w:rFonts w:ascii="Cambria" w:eastAsia="Cambria" w:hAnsi="Cambria" w:cs="Cambria"/>
          <w:b/>
          <w:bCs/>
          <w:i/>
          <w:iCs/>
          <w:color w:val="919715"/>
          <w:sz w:val="26"/>
          <w:szCs w:val="26"/>
          <w:lang w:val="fr-BE"/>
        </w:rPr>
        <w:t>Pour aller plus loin</w:t>
      </w:r>
    </w:p>
    <w:p w:rsidR="00AC12B4" w:rsidRPr="00C27636" w:rsidRDefault="00AC12B4">
      <w:pPr>
        <w:spacing w:line="243" w:lineRule="exact"/>
        <w:rPr>
          <w:sz w:val="20"/>
          <w:szCs w:val="20"/>
          <w:lang w:val="fr-BE"/>
        </w:rPr>
      </w:pPr>
    </w:p>
    <w:p w:rsidR="00AC12B4" w:rsidRPr="00C27636" w:rsidRDefault="00C27636">
      <w:pPr>
        <w:ind w:right="217"/>
        <w:jc w:val="center"/>
        <w:rPr>
          <w:sz w:val="20"/>
          <w:szCs w:val="20"/>
          <w:lang w:val="fr-BE"/>
        </w:rPr>
      </w:pPr>
      <w:r w:rsidRPr="00C27636">
        <w:rPr>
          <w:rFonts w:ascii="Calibri" w:eastAsia="Calibri" w:hAnsi="Calibri" w:cs="Calibri"/>
          <w:b/>
          <w:bCs/>
          <w:i/>
          <w:iCs/>
          <w:color w:val="9BBB59"/>
          <w:sz w:val="20"/>
          <w:szCs w:val="20"/>
          <w:lang w:val="fr-BE"/>
        </w:rPr>
        <w:t>Recommandations en matière de prescription</w:t>
      </w:r>
    </w:p>
    <w:p w:rsidR="00AC12B4" w:rsidRPr="00C27636" w:rsidRDefault="00AC12B4">
      <w:pPr>
        <w:spacing w:line="34" w:lineRule="exact"/>
        <w:rPr>
          <w:sz w:val="20"/>
          <w:szCs w:val="20"/>
          <w:lang w:val="fr-BE"/>
        </w:rPr>
      </w:pPr>
    </w:p>
    <w:p w:rsidR="00AC12B4" w:rsidRPr="00C27636" w:rsidRDefault="00C27636">
      <w:pPr>
        <w:tabs>
          <w:tab w:val="left" w:pos="2160"/>
          <w:tab w:val="left" w:pos="2900"/>
          <w:tab w:val="left" w:pos="3580"/>
        </w:tabs>
        <w:ind w:left="460"/>
        <w:rPr>
          <w:sz w:val="20"/>
          <w:szCs w:val="20"/>
          <w:lang w:val="fr-BE"/>
        </w:rPr>
      </w:pPr>
      <w:r w:rsidRPr="00C27636">
        <w:rPr>
          <w:rFonts w:ascii="Calibri" w:eastAsia="Calibri" w:hAnsi="Calibri" w:cs="Calibri"/>
          <w:b/>
          <w:bCs/>
          <w:i/>
          <w:iCs/>
          <w:color w:val="9BBB59"/>
          <w:sz w:val="20"/>
          <w:szCs w:val="20"/>
          <w:lang w:val="fr-BE"/>
        </w:rPr>
        <w:t>d’antibiotique</w:t>
      </w:r>
      <w:r w:rsidRPr="00C27636">
        <w:rPr>
          <w:sz w:val="20"/>
          <w:szCs w:val="20"/>
          <w:lang w:val="fr-BE"/>
        </w:rPr>
        <w:tab/>
      </w:r>
      <w:r w:rsidRPr="00C27636">
        <w:rPr>
          <w:rFonts w:ascii="Calibri" w:eastAsia="Calibri" w:hAnsi="Calibri" w:cs="Calibri"/>
          <w:b/>
          <w:bCs/>
          <w:i/>
          <w:iCs/>
          <w:color w:val="9BBB59"/>
          <w:sz w:val="20"/>
          <w:szCs w:val="20"/>
          <w:lang w:val="fr-BE"/>
        </w:rPr>
        <w:t>de</w:t>
      </w:r>
      <w:r w:rsidRPr="00C27636">
        <w:rPr>
          <w:sz w:val="20"/>
          <w:szCs w:val="20"/>
          <w:lang w:val="fr-BE"/>
        </w:rPr>
        <w:tab/>
      </w:r>
      <w:r w:rsidRPr="00C27636">
        <w:rPr>
          <w:rFonts w:ascii="Calibri" w:eastAsia="Calibri" w:hAnsi="Calibri" w:cs="Calibri"/>
          <w:b/>
          <w:bCs/>
          <w:i/>
          <w:iCs/>
          <w:color w:val="9BBB59"/>
          <w:sz w:val="20"/>
          <w:szCs w:val="20"/>
          <w:lang w:val="fr-BE"/>
        </w:rPr>
        <w:t>la</w:t>
      </w:r>
      <w:r w:rsidRPr="00C27636">
        <w:rPr>
          <w:sz w:val="20"/>
          <w:szCs w:val="20"/>
          <w:lang w:val="fr-BE"/>
        </w:rPr>
        <w:tab/>
      </w:r>
      <w:r w:rsidRPr="00C27636">
        <w:rPr>
          <w:rFonts w:ascii="Calibri" w:eastAsia="Calibri" w:hAnsi="Calibri" w:cs="Calibri"/>
          <w:b/>
          <w:bCs/>
          <w:i/>
          <w:iCs/>
          <w:color w:val="9BBB59"/>
          <w:sz w:val="20"/>
          <w:szCs w:val="20"/>
          <w:lang w:val="fr-BE"/>
        </w:rPr>
        <w:t>BAPCOC:</w:t>
      </w:r>
    </w:p>
    <w:p w:rsidR="00AC12B4" w:rsidRPr="00C27636" w:rsidRDefault="00AC12B4">
      <w:pPr>
        <w:spacing w:line="83" w:lineRule="exact"/>
        <w:rPr>
          <w:sz w:val="20"/>
          <w:szCs w:val="20"/>
          <w:lang w:val="fr-BE"/>
        </w:rPr>
      </w:pPr>
    </w:p>
    <w:p w:rsidR="00AC12B4" w:rsidRPr="00C27636" w:rsidRDefault="00C27636">
      <w:pPr>
        <w:spacing w:line="272" w:lineRule="auto"/>
        <w:ind w:left="460" w:right="817"/>
        <w:jc w:val="both"/>
        <w:rPr>
          <w:rFonts w:ascii="Calibri" w:eastAsia="Calibri" w:hAnsi="Calibri" w:cs="Calibri"/>
          <w:color w:val="0000FF"/>
          <w:sz w:val="19"/>
          <w:szCs w:val="19"/>
          <w:u w:val="single"/>
          <w:lang w:val="fr-BE"/>
        </w:rPr>
      </w:pPr>
      <w:hyperlink r:id="rId110" w:anchor=".VOwuhnyG-9U">
        <w:r w:rsidRPr="00C27636">
          <w:rPr>
            <w:rFonts w:ascii="Calibri" w:eastAsia="Calibri" w:hAnsi="Calibri" w:cs="Calibri"/>
            <w:color w:val="0000FF"/>
            <w:sz w:val="19"/>
            <w:szCs w:val="19"/>
            <w:u w:val="single"/>
            <w:lang w:val="fr-BE"/>
          </w:rPr>
          <w:t>http://health.belgium.be/eportal/Myhealth/Pr</w:t>
        </w:r>
      </w:hyperlink>
      <w:r w:rsidRPr="00C27636">
        <w:rPr>
          <w:rFonts w:ascii="Calibri" w:eastAsia="Calibri" w:hAnsi="Calibri" w:cs="Calibri"/>
          <w:color w:val="0000FF"/>
          <w:sz w:val="19"/>
          <w:szCs w:val="19"/>
          <w:u w:val="single"/>
          <w:lang w:val="fr-BE"/>
        </w:rPr>
        <w:t xml:space="preserve"> </w:t>
      </w:r>
      <w:hyperlink r:id="rId111" w:anchor=".VOwuhnyG-9U">
        <w:r w:rsidRPr="00C27636">
          <w:rPr>
            <w:rFonts w:ascii="Calibri" w:eastAsia="Calibri" w:hAnsi="Calibri" w:cs="Calibri"/>
            <w:color w:val="0000FF"/>
            <w:sz w:val="19"/>
            <w:szCs w:val="19"/>
            <w:u w:val="single"/>
            <w:lang w:val="fr-BE"/>
          </w:rPr>
          <w:t>o</w:t>
        </w:r>
        <w:r w:rsidRPr="00C27636">
          <w:rPr>
            <w:rFonts w:ascii="Calibri" w:eastAsia="Calibri" w:hAnsi="Calibri" w:cs="Calibri"/>
            <w:color w:val="0000FF"/>
            <w:sz w:val="19"/>
            <w:szCs w:val="19"/>
            <w:u w:val="single"/>
            <w:lang w:val="fr-BE"/>
          </w:rPr>
          <w:t>peruse/Antibiotics/BAPCOC/index.htm#.VOw</w:t>
        </w:r>
      </w:hyperlink>
      <w:r w:rsidRPr="00C27636">
        <w:rPr>
          <w:rFonts w:ascii="Calibri" w:eastAsia="Calibri" w:hAnsi="Calibri" w:cs="Calibri"/>
          <w:color w:val="0000FF"/>
          <w:sz w:val="19"/>
          <w:szCs w:val="19"/>
          <w:u w:val="single"/>
          <w:lang w:val="fr-BE"/>
        </w:rPr>
        <w:t xml:space="preserve"> </w:t>
      </w:r>
      <w:hyperlink r:id="rId112" w:anchor=".VOwuhnyG-9U">
        <w:r w:rsidRPr="00C27636">
          <w:rPr>
            <w:rFonts w:ascii="Calibri" w:eastAsia="Calibri" w:hAnsi="Calibri" w:cs="Calibri"/>
            <w:color w:val="0000FF"/>
            <w:sz w:val="19"/>
            <w:szCs w:val="19"/>
            <w:u w:val="single"/>
            <w:lang w:val="fr-BE"/>
          </w:rPr>
          <w:t>uhnyG-9U</w:t>
        </w:r>
      </w:hyperlink>
    </w:p>
    <w:p w:rsidR="00AC12B4" w:rsidRPr="00C27636" w:rsidRDefault="00AC12B4">
      <w:pPr>
        <w:spacing w:line="186" w:lineRule="exact"/>
        <w:rPr>
          <w:rFonts w:ascii="Calibri" w:eastAsia="Calibri" w:hAnsi="Calibri" w:cs="Calibri"/>
          <w:color w:val="0000FF"/>
          <w:sz w:val="19"/>
          <w:szCs w:val="19"/>
          <w:u w:val="single"/>
          <w:lang w:val="fr-BE"/>
        </w:rPr>
      </w:pPr>
    </w:p>
    <w:p w:rsidR="00AC12B4" w:rsidRPr="00C27636" w:rsidRDefault="00C27636">
      <w:pPr>
        <w:numPr>
          <w:ilvl w:val="0"/>
          <w:numId w:val="125"/>
        </w:numPr>
        <w:tabs>
          <w:tab w:val="left" w:pos="540"/>
        </w:tabs>
        <w:spacing w:line="261" w:lineRule="auto"/>
        <w:ind w:left="540" w:right="737" w:hanging="367"/>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Etudes critiques sur la prescription de psychotropes</w:t>
      </w:r>
      <w:r w:rsidRPr="00C27636">
        <w:rPr>
          <w:rFonts w:ascii="Calibri" w:eastAsia="Calibri" w:hAnsi="Calibri" w:cs="Calibri"/>
          <w:color w:val="9BBB59"/>
          <w:sz w:val="20"/>
          <w:szCs w:val="20"/>
          <w:lang w:val="fr-BE"/>
        </w:rPr>
        <w:t>,</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avec une attention particulière</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sur l’importance d’un diagnostic consciencieux par un médecin spécialisé en sciences du comportement (pédo-psychiatre, pédo-</w:t>
      </w:r>
    </w:p>
    <w:p w:rsidR="00AC12B4" w:rsidRPr="00C27636" w:rsidRDefault="00AC12B4">
      <w:pPr>
        <w:spacing w:line="115" w:lineRule="exact"/>
        <w:rPr>
          <w:rFonts w:ascii="Calibri" w:eastAsia="Calibri" w:hAnsi="Calibri" w:cs="Calibri"/>
          <w:color w:val="0000FF"/>
          <w:sz w:val="19"/>
          <w:szCs w:val="19"/>
          <w:u w:val="single"/>
          <w:lang w:val="fr-BE"/>
        </w:rPr>
      </w:pPr>
    </w:p>
    <w:p w:rsidR="00AC12B4" w:rsidRPr="00C27636" w:rsidRDefault="00C27636">
      <w:pPr>
        <w:rPr>
          <w:sz w:val="20"/>
          <w:szCs w:val="20"/>
          <w:lang w:val="fr-BE"/>
        </w:rPr>
      </w:pPr>
      <w:r w:rsidRPr="00C27636">
        <w:rPr>
          <w:rFonts w:ascii="Calibri" w:eastAsia="Calibri" w:hAnsi="Calibri" w:cs="Calibri"/>
          <w:lang w:val="fr-BE"/>
        </w:rPr>
        <w:t>84</w:t>
      </w:r>
    </w:p>
    <w:p w:rsidR="00AC12B4" w:rsidRPr="00C27636" w:rsidRDefault="00AC12B4">
      <w:pPr>
        <w:rPr>
          <w:lang w:val="fr-BE"/>
        </w:rPr>
        <w:sectPr w:rsidR="00AC12B4" w:rsidRPr="00C27636">
          <w:type w:val="continuous"/>
          <w:pgSz w:w="12080" w:h="17179"/>
          <w:pgMar w:top="1155" w:right="1440" w:bottom="659" w:left="485" w:header="0" w:footer="0" w:gutter="0"/>
          <w:cols w:num="3" w:space="720" w:equalWidth="0">
            <w:col w:w="342" w:space="613"/>
            <w:col w:w="3880" w:space="240"/>
            <w:col w:w="5077"/>
          </w:cols>
        </w:sectPr>
      </w:pPr>
    </w:p>
    <w:p w:rsidR="00AC12B4" w:rsidRPr="00C27636" w:rsidRDefault="00AC12B4">
      <w:pPr>
        <w:spacing w:line="211" w:lineRule="exact"/>
        <w:rPr>
          <w:sz w:val="20"/>
          <w:szCs w:val="20"/>
          <w:lang w:val="fr-BE"/>
        </w:rPr>
      </w:pPr>
      <w:bookmarkStart w:id="84" w:name="page85"/>
      <w:bookmarkEnd w:id="84"/>
    </w:p>
    <w:p w:rsidR="00AC12B4" w:rsidRPr="00C27636" w:rsidRDefault="00C27636">
      <w:pPr>
        <w:spacing w:line="253" w:lineRule="auto"/>
        <w:ind w:left="640" w:right="60"/>
        <w:jc w:val="both"/>
        <w:rPr>
          <w:sz w:val="20"/>
          <w:szCs w:val="20"/>
          <w:lang w:val="fr-BE"/>
        </w:rPr>
      </w:pPr>
      <w:r w:rsidRPr="00C27636">
        <w:rPr>
          <w:rFonts w:ascii="Calibri" w:eastAsia="Calibri" w:hAnsi="Calibri" w:cs="Calibri"/>
          <w:sz w:val="20"/>
          <w:szCs w:val="20"/>
          <w:lang w:val="fr-BE"/>
        </w:rPr>
        <w:t>neurologue), d’un consentement informé du mineur et d’un suivi soigneux</w:t>
      </w:r>
      <w:r w:rsidRPr="00C27636">
        <w:rPr>
          <w:rFonts w:ascii="Calibri" w:eastAsia="Calibri" w:hAnsi="Calibri" w:cs="Calibri"/>
          <w:b/>
          <w:bCs/>
          <w:i/>
          <w:iCs/>
          <w:sz w:val="20"/>
          <w:szCs w:val="20"/>
          <w:lang w:val="fr-BE"/>
        </w:rPr>
        <w:t>:</w:t>
      </w:r>
      <w:r w:rsidRPr="00C27636">
        <w:rPr>
          <w:rFonts w:ascii="Calibri" w:eastAsia="Calibri" w:hAnsi="Calibri" w:cs="Calibri"/>
          <w:sz w:val="20"/>
          <w:szCs w:val="20"/>
          <w:lang w:val="fr-BE"/>
        </w:rPr>
        <w:t xml:space="preserve"> S. Claes, M. Danckaerts e.a., H</w:t>
      </w:r>
      <w:r w:rsidRPr="00C27636">
        <w:rPr>
          <w:rFonts w:ascii="Calibri" w:eastAsia="Calibri" w:hAnsi="Calibri" w:cs="Calibri"/>
          <w:i/>
          <w:iCs/>
          <w:sz w:val="20"/>
          <w:szCs w:val="20"/>
          <w:lang w:val="fr-BE"/>
        </w:rPr>
        <w:t>et toenemend gebruik van</w:t>
      </w:r>
    </w:p>
    <w:p w:rsidR="00AC12B4" w:rsidRPr="00C27636" w:rsidRDefault="00AC12B4">
      <w:pPr>
        <w:spacing w:line="70" w:lineRule="exact"/>
        <w:rPr>
          <w:sz w:val="20"/>
          <w:szCs w:val="20"/>
          <w:lang w:val="fr-BE"/>
        </w:rPr>
      </w:pPr>
    </w:p>
    <w:p w:rsidR="00AC12B4" w:rsidRPr="00C27636" w:rsidRDefault="00C27636">
      <w:pPr>
        <w:spacing w:line="272" w:lineRule="auto"/>
        <w:ind w:left="640" w:right="60"/>
        <w:rPr>
          <w:rFonts w:ascii="Calibri" w:eastAsia="Calibri" w:hAnsi="Calibri" w:cs="Calibri"/>
          <w:color w:val="0000FF"/>
          <w:sz w:val="20"/>
          <w:szCs w:val="20"/>
          <w:lang w:val="fr-BE"/>
        </w:rPr>
      </w:pPr>
      <w:r w:rsidRPr="00C27636">
        <w:rPr>
          <w:rFonts w:ascii="Calibri" w:eastAsia="Calibri" w:hAnsi="Calibri" w:cs="Calibri"/>
          <w:i/>
          <w:iCs/>
          <w:sz w:val="20"/>
          <w:szCs w:val="20"/>
          <w:lang w:val="fr-BE"/>
        </w:rPr>
        <w:t>psychofarmaca</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Visietekst Werkgroep Metaforum Leuven</w:t>
      </w:r>
      <w:r w:rsidRPr="00C27636">
        <w:rPr>
          <w:rFonts w:ascii="Calibri" w:eastAsia="Calibri" w:hAnsi="Calibri" w:cs="Calibri"/>
          <w:sz w:val="20"/>
          <w:szCs w:val="20"/>
          <w:lang w:val="fr-BE"/>
        </w:rPr>
        <w:t>, 2010, p. 14-16,</w:t>
      </w:r>
      <w:r w:rsidRPr="00C27636">
        <w:rPr>
          <w:rFonts w:ascii="Calibri" w:eastAsia="Calibri" w:hAnsi="Calibri" w:cs="Calibri"/>
          <w:i/>
          <w:iCs/>
          <w:sz w:val="20"/>
          <w:szCs w:val="20"/>
          <w:lang w:val="fr-BE"/>
        </w:rPr>
        <w:t xml:space="preserve"> </w:t>
      </w:r>
      <w:hyperlink r:id="rId113">
        <w:r w:rsidRPr="00C27636">
          <w:rPr>
            <w:rFonts w:ascii="Calibri" w:eastAsia="Calibri" w:hAnsi="Calibri" w:cs="Calibri"/>
            <w:color w:val="0000FF"/>
            <w:sz w:val="20"/>
            <w:szCs w:val="20"/>
            <w:u w:val="single"/>
            <w:lang w:val="fr-BE"/>
          </w:rPr>
          <w:t>https://www.kuleuven.be/metaforum/docs/p</w:t>
        </w:r>
      </w:hyperlink>
      <w:r w:rsidRPr="00C27636">
        <w:rPr>
          <w:rFonts w:ascii="Calibri" w:eastAsia="Calibri" w:hAnsi="Calibri" w:cs="Calibri"/>
          <w:color w:val="0000FF"/>
          <w:sz w:val="20"/>
          <w:szCs w:val="20"/>
          <w:u w:val="single"/>
          <w:lang w:val="fr-BE"/>
        </w:rPr>
        <w:t xml:space="preserve"> </w:t>
      </w:r>
      <w:hyperlink r:id="rId114">
        <w:r w:rsidRPr="00C27636">
          <w:rPr>
            <w:rFonts w:ascii="Calibri" w:eastAsia="Calibri" w:hAnsi="Calibri" w:cs="Calibri"/>
            <w:color w:val="0000FF"/>
            <w:sz w:val="20"/>
            <w:szCs w:val="20"/>
            <w:u w:val="single"/>
            <w:lang w:val="fr-BE"/>
          </w:rPr>
          <w:t>df/wg_1_e.pdf</w:t>
        </w:r>
        <w:r w:rsidRPr="00C27636">
          <w:rPr>
            <w:rFonts w:ascii="Calibri" w:eastAsia="Calibri" w:hAnsi="Calibri" w:cs="Calibri"/>
            <w:color w:val="000000"/>
            <w:sz w:val="20"/>
            <w:szCs w:val="20"/>
            <w:lang w:val="fr-BE"/>
          </w:rPr>
          <w:t xml:space="preserve">; </w:t>
        </w:r>
      </w:hyperlink>
      <w:r w:rsidRPr="00C27636">
        <w:rPr>
          <w:rFonts w:ascii="Calibri" w:eastAsia="Calibri" w:hAnsi="Calibri" w:cs="Calibri"/>
          <w:color w:val="0000FF"/>
          <w:sz w:val="20"/>
          <w:szCs w:val="20"/>
          <w:lang w:val="fr-BE"/>
        </w:rPr>
        <w:t xml:space="preserve">Belgisch </w:t>
      </w:r>
      <w:r w:rsidRPr="00C27636">
        <w:rPr>
          <w:rFonts w:ascii="Calibri" w:eastAsia="Calibri" w:hAnsi="Calibri" w:cs="Calibri"/>
          <w:color w:val="000000"/>
          <w:sz w:val="20"/>
          <w:szCs w:val="20"/>
          <w:lang w:val="fr-BE"/>
        </w:rPr>
        <w:t>Centrum voor</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 xml:space="preserve">Farmacotherapeutische Informatie / Centre belge d’Information Pharmacothérapeutique (BCFI/CBIP), </w:t>
      </w:r>
      <w:r w:rsidRPr="00C27636">
        <w:rPr>
          <w:rFonts w:ascii="Calibri" w:eastAsia="Calibri" w:hAnsi="Calibri" w:cs="Calibri"/>
          <w:i/>
          <w:iCs/>
          <w:color w:val="000000"/>
          <w:sz w:val="20"/>
          <w:szCs w:val="20"/>
          <w:lang w:val="fr-BE"/>
        </w:rPr>
        <w:t>Moet de plaats van</w:t>
      </w:r>
      <w:r w:rsidRPr="00C27636">
        <w:rPr>
          <w:rFonts w:ascii="Calibri" w:eastAsia="Calibri" w:hAnsi="Calibri" w:cs="Calibri"/>
          <w:color w:val="000000"/>
          <w:sz w:val="20"/>
          <w:szCs w:val="20"/>
          <w:lang w:val="fr-BE"/>
        </w:rPr>
        <w:t xml:space="preserve"> </w:t>
      </w:r>
      <w:r w:rsidRPr="00C27636">
        <w:rPr>
          <w:rFonts w:ascii="Calibri" w:eastAsia="Calibri" w:hAnsi="Calibri" w:cs="Calibri"/>
          <w:i/>
          <w:iCs/>
          <w:color w:val="000000"/>
          <w:sz w:val="20"/>
          <w:szCs w:val="20"/>
          <w:lang w:val="fr-BE"/>
        </w:rPr>
        <w:t>methylfenidaat bij kinderen en a</w:t>
      </w:r>
      <w:r w:rsidRPr="00C27636">
        <w:rPr>
          <w:rFonts w:ascii="Calibri" w:eastAsia="Calibri" w:hAnsi="Calibri" w:cs="Calibri"/>
          <w:i/>
          <w:iCs/>
          <w:color w:val="000000"/>
          <w:sz w:val="20"/>
          <w:szCs w:val="20"/>
          <w:lang w:val="fr-BE"/>
        </w:rPr>
        <w:t xml:space="preserve">dolescenten met ADHD opnieuw geëvalueerd worden?, </w:t>
      </w:r>
      <w:hyperlink r:id="rId115">
        <w:r w:rsidRPr="00C27636">
          <w:rPr>
            <w:rFonts w:ascii="Calibri" w:eastAsia="Calibri" w:hAnsi="Calibri" w:cs="Calibri"/>
            <w:color w:val="0000FF"/>
            <w:sz w:val="20"/>
            <w:szCs w:val="20"/>
            <w:u w:val="single"/>
            <w:lang w:val="fr-BE"/>
          </w:rPr>
          <w:t>http://www.bcfi.be/nieuws/index.cfm?welk=7</w:t>
        </w:r>
      </w:hyperlink>
      <w:r w:rsidRPr="00C27636">
        <w:rPr>
          <w:rFonts w:ascii="Calibri" w:eastAsia="Calibri" w:hAnsi="Calibri" w:cs="Calibri"/>
          <w:color w:val="0000FF"/>
          <w:sz w:val="20"/>
          <w:szCs w:val="20"/>
          <w:u w:val="single"/>
          <w:lang w:val="fr-BE"/>
        </w:rPr>
        <w:t xml:space="preserve"> </w:t>
      </w:r>
      <w:hyperlink r:id="rId116">
        <w:r w:rsidRPr="00C27636">
          <w:rPr>
            <w:rFonts w:ascii="Calibri" w:eastAsia="Calibri" w:hAnsi="Calibri" w:cs="Calibri"/>
            <w:color w:val="0000FF"/>
            <w:sz w:val="20"/>
            <w:szCs w:val="20"/>
            <w:u w:val="single"/>
            <w:lang w:val="fr-BE"/>
          </w:rPr>
          <w:t>49&amp;catego</w:t>
        </w:r>
        <w:r w:rsidRPr="00C27636">
          <w:rPr>
            <w:rFonts w:ascii="Calibri" w:eastAsia="Calibri" w:hAnsi="Calibri" w:cs="Calibri"/>
            <w:color w:val="0000FF"/>
            <w:sz w:val="20"/>
            <w:szCs w:val="20"/>
            <w:u w:val="single"/>
            <w:lang w:val="fr-BE"/>
          </w:rPr>
          <w:t>ry=GOW</w:t>
        </w:r>
        <w:r w:rsidRPr="00C27636">
          <w:rPr>
            <w:rFonts w:ascii="Calibri" w:eastAsia="Calibri" w:hAnsi="Calibri" w:cs="Calibri"/>
            <w:color w:val="000000"/>
            <w:sz w:val="20"/>
            <w:szCs w:val="20"/>
            <w:lang w:val="fr-BE"/>
          </w:rPr>
          <w:t xml:space="preserve">; </w:t>
        </w:r>
      </w:hyperlink>
      <w:r w:rsidRPr="00C27636">
        <w:rPr>
          <w:rFonts w:ascii="Calibri" w:eastAsia="Calibri" w:hAnsi="Calibri" w:cs="Calibri"/>
          <w:color w:val="0000FF"/>
          <w:sz w:val="20"/>
          <w:szCs w:val="20"/>
          <w:lang w:val="fr-BE"/>
        </w:rPr>
        <w:t xml:space="preserve">Belgisch </w:t>
      </w:r>
      <w:r w:rsidRPr="00C27636">
        <w:rPr>
          <w:rFonts w:ascii="Calibri" w:eastAsia="Calibri" w:hAnsi="Calibri" w:cs="Calibri"/>
          <w:color w:val="000000"/>
          <w:sz w:val="20"/>
          <w:szCs w:val="20"/>
          <w:lang w:val="fr-BE"/>
        </w:rPr>
        <w:t>Centrum voor</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Farmacotherapeutische Informatie / Centre belge d’Information Pharmacothérapeutique (BCFI/CBIP), Aandacht in de pers voor</w:t>
      </w:r>
    </w:p>
    <w:p w:rsidR="00AC12B4" w:rsidRPr="00C27636" w:rsidRDefault="00C27636">
      <w:pPr>
        <w:spacing w:line="20" w:lineRule="exact"/>
        <w:rPr>
          <w:rFonts w:ascii="Calibri" w:eastAsia="Calibri" w:hAnsi="Calibri" w:cs="Calibri"/>
          <w:color w:val="0000FF"/>
          <w:sz w:val="20"/>
          <w:szCs w:val="20"/>
          <w:lang w:val="fr-BE"/>
        </w:rPr>
      </w:pPr>
      <w:r w:rsidRPr="00C27636">
        <w:rPr>
          <w:rFonts w:ascii="Calibri" w:eastAsia="Calibri" w:hAnsi="Calibri" w:cs="Calibri"/>
          <w:color w:val="0000FF"/>
          <w:sz w:val="20"/>
          <w:szCs w:val="20"/>
          <w:lang w:val="fr-BE"/>
        </w:rPr>
        <w:br w:type="column"/>
      </w:r>
    </w:p>
    <w:p w:rsidR="00AC12B4" w:rsidRPr="00C27636" w:rsidRDefault="00AC12B4">
      <w:pPr>
        <w:spacing w:line="144" w:lineRule="exact"/>
        <w:rPr>
          <w:rFonts w:ascii="Calibri" w:eastAsia="Calibri" w:hAnsi="Calibri" w:cs="Calibri"/>
          <w:color w:val="0000FF"/>
          <w:sz w:val="20"/>
          <w:szCs w:val="20"/>
          <w:lang w:val="fr-BE"/>
        </w:rPr>
      </w:pPr>
    </w:p>
    <w:p w:rsidR="00AC12B4" w:rsidRPr="00C27636" w:rsidRDefault="00C27636">
      <w:pPr>
        <w:tabs>
          <w:tab w:val="left" w:pos="1240"/>
          <w:tab w:val="left" w:pos="1840"/>
          <w:tab w:val="left" w:pos="3580"/>
        </w:tabs>
        <w:rPr>
          <w:sz w:val="20"/>
          <w:szCs w:val="20"/>
          <w:lang w:val="nl-NL"/>
        </w:rPr>
      </w:pPr>
      <w:r w:rsidRPr="00C27636">
        <w:rPr>
          <w:rFonts w:ascii="Calibri" w:eastAsia="Calibri" w:hAnsi="Calibri" w:cs="Calibri"/>
          <w:sz w:val="20"/>
          <w:szCs w:val="20"/>
          <w:lang w:val="nl-NL"/>
        </w:rPr>
        <w:t>paroxetine</w:t>
      </w:r>
      <w:r w:rsidRPr="00C27636">
        <w:rPr>
          <w:sz w:val="20"/>
          <w:szCs w:val="20"/>
          <w:lang w:val="nl-NL"/>
        </w:rPr>
        <w:tab/>
      </w:r>
      <w:r w:rsidRPr="00C27636">
        <w:rPr>
          <w:rFonts w:ascii="Calibri" w:eastAsia="Calibri" w:hAnsi="Calibri" w:cs="Calibri"/>
          <w:sz w:val="20"/>
          <w:szCs w:val="20"/>
          <w:lang w:val="nl-NL"/>
        </w:rPr>
        <w:t>als</w:t>
      </w:r>
      <w:r w:rsidRPr="00C27636">
        <w:rPr>
          <w:sz w:val="20"/>
          <w:szCs w:val="20"/>
          <w:lang w:val="nl-NL"/>
        </w:rPr>
        <w:tab/>
      </w:r>
      <w:r w:rsidRPr="00C27636">
        <w:rPr>
          <w:rFonts w:ascii="Calibri" w:eastAsia="Calibri" w:hAnsi="Calibri" w:cs="Calibri"/>
          <w:sz w:val="20"/>
          <w:szCs w:val="20"/>
          <w:lang w:val="nl-NL"/>
        </w:rPr>
        <w:t>antidepressivum</w:t>
      </w:r>
      <w:r w:rsidRPr="00C27636">
        <w:rPr>
          <w:sz w:val="20"/>
          <w:szCs w:val="20"/>
          <w:lang w:val="nl-NL"/>
        </w:rPr>
        <w:tab/>
      </w:r>
      <w:r w:rsidRPr="00C27636">
        <w:rPr>
          <w:rFonts w:ascii="Calibri" w:eastAsia="Calibri" w:hAnsi="Calibri" w:cs="Calibri"/>
          <w:sz w:val="20"/>
          <w:szCs w:val="20"/>
          <w:lang w:val="nl-NL"/>
        </w:rPr>
        <w:t>bij</w:t>
      </w:r>
    </w:p>
    <w:p w:rsidR="00AC12B4" w:rsidRPr="00C27636" w:rsidRDefault="00C27636">
      <w:pPr>
        <w:spacing w:line="20" w:lineRule="exact"/>
        <w:rPr>
          <w:rFonts w:ascii="Calibri" w:eastAsia="Calibri" w:hAnsi="Calibri" w:cs="Calibri"/>
          <w:color w:val="0000FF"/>
          <w:sz w:val="20"/>
          <w:szCs w:val="20"/>
          <w:lang w:val="nl-NL"/>
        </w:rPr>
      </w:pPr>
      <w:r>
        <w:rPr>
          <w:rFonts w:ascii="Calibri" w:eastAsia="Calibri" w:hAnsi="Calibri" w:cs="Calibri"/>
          <w:noProof/>
          <w:color w:val="0000FF"/>
          <w:sz w:val="20"/>
          <w:szCs w:val="20"/>
        </w:rPr>
        <w:drawing>
          <wp:anchor distT="0" distB="0" distL="114300" distR="114300" simplePos="0" relativeHeight="251538944" behindDoc="1" locked="0" layoutInCell="0" allowOverlap="1">
            <wp:simplePos x="0" y="0"/>
            <wp:positionH relativeFrom="column">
              <wp:posOffset>2639695</wp:posOffset>
            </wp:positionH>
            <wp:positionV relativeFrom="paragraph">
              <wp:posOffset>-1172845</wp:posOffset>
            </wp:positionV>
            <wp:extent cx="800100" cy="10908665"/>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spacing w:line="17" w:lineRule="exact"/>
        <w:rPr>
          <w:rFonts w:ascii="Calibri" w:eastAsia="Calibri" w:hAnsi="Calibri" w:cs="Calibri"/>
          <w:color w:val="0000FF"/>
          <w:sz w:val="20"/>
          <w:szCs w:val="20"/>
          <w:lang w:val="nl-NL"/>
        </w:rPr>
      </w:pPr>
    </w:p>
    <w:p w:rsidR="00AC12B4" w:rsidRPr="00C27636" w:rsidRDefault="00C27636">
      <w:pPr>
        <w:tabs>
          <w:tab w:val="left" w:pos="2240"/>
          <w:tab w:val="left" w:pos="2700"/>
          <w:tab w:val="left" w:pos="3440"/>
        </w:tabs>
        <w:rPr>
          <w:sz w:val="20"/>
          <w:szCs w:val="20"/>
          <w:lang w:val="nl-NL"/>
        </w:rPr>
      </w:pPr>
      <w:r w:rsidRPr="00C27636">
        <w:rPr>
          <w:rFonts w:ascii="Calibri" w:eastAsia="Calibri" w:hAnsi="Calibri" w:cs="Calibri"/>
          <w:sz w:val="20"/>
          <w:szCs w:val="20"/>
          <w:lang w:val="nl-NL"/>
        </w:rPr>
        <w:t>adolescenten: heranalyse</w:t>
      </w:r>
      <w:r w:rsidRPr="00C27636">
        <w:rPr>
          <w:sz w:val="20"/>
          <w:szCs w:val="20"/>
          <w:lang w:val="nl-NL"/>
        </w:rPr>
        <w:tab/>
      </w:r>
      <w:r w:rsidRPr="00C27636">
        <w:rPr>
          <w:rFonts w:ascii="Calibri" w:eastAsia="Calibri" w:hAnsi="Calibri" w:cs="Calibri"/>
          <w:sz w:val="20"/>
          <w:szCs w:val="20"/>
          <w:lang w:val="nl-NL"/>
        </w:rPr>
        <w:t>van</w:t>
      </w:r>
      <w:r w:rsidRPr="00C27636">
        <w:rPr>
          <w:rFonts w:ascii="Calibri" w:eastAsia="Calibri" w:hAnsi="Calibri" w:cs="Calibri"/>
          <w:sz w:val="20"/>
          <w:szCs w:val="20"/>
          <w:lang w:val="nl-NL"/>
        </w:rPr>
        <w:tab/>
        <w:t>“Study</w:t>
      </w:r>
      <w:r w:rsidRPr="00C27636">
        <w:rPr>
          <w:sz w:val="20"/>
          <w:szCs w:val="20"/>
          <w:lang w:val="nl-NL"/>
        </w:rPr>
        <w:tab/>
      </w:r>
      <w:r w:rsidRPr="00C27636">
        <w:rPr>
          <w:rFonts w:ascii="Calibri" w:eastAsia="Calibri" w:hAnsi="Calibri" w:cs="Calibri"/>
          <w:sz w:val="19"/>
          <w:szCs w:val="19"/>
          <w:lang w:val="nl-NL"/>
        </w:rPr>
        <w:t>329,</w:t>
      </w:r>
    </w:p>
    <w:p w:rsidR="00AC12B4" w:rsidRPr="00C27636" w:rsidRDefault="00AC12B4">
      <w:pPr>
        <w:spacing w:line="83" w:lineRule="exact"/>
        <w:rPr>
          <w:rFonts w:ascii="Calibri" w:eastAsia="Calibri" w:hAnsi="Calibri" w:cs="Calibri"/>
          <w:color w:val="0000FF"/>
          <w:sz w:val="20"/>
          <w:szCs w:val="20"/>
          <w:lang w:val="nl-NL"/>
        </w:rPr>
      </w:pPr>
    </w:p>
    <w:p w:rsidR="00AC12B4" w:rsidRPr="00C27636" w:rsidRDefault="00C27636">
      <w:pPr>
        <w:spacing w:line="264" w:lineRule="auto"/>
        <w:ind w:right="1060"/>
        <w:rPr>
          <w:rFonts w:ascii="Calibri" w:eastAsia="Calibri" w:hAnsi="Calibri" w:cs="Calibri"/>
          <w:b/>
          <w:bCs/>
          <w:color w:val="0000FF"/>
          <w:sz w:val="20"/>
          <w:szCs w:val="20"/>
          <w:lang w:val="nl-NL"/>
        </w:rPr>
      </w:pPr>
      <w:hyperlink r:id="rId117">
        <w:r w:rsidRPr="00C27636">
          <w:rPr>
            <w:rFonts w:ascii="Calibri" w:eastAsia="Calibri" w:hAnsi="Calibri" w:cs="Calibri"/>
            <w:b/>
            <w:bCs/>
            <w:color w:val="0000FF"/>
            <w:sz w:val="20"/>
            <w:szCs w:val="20"/>
            <w:u w:val="single"/>
            <w:lang w:val="nl-NL"/>
          </w:rPr>
          <w:t>http://www.bcfi.be/nieuws/index.cfm?welk</w:t>
        </w:r>
      </w:hyperlink>
      <w:r w:rsidRPr="00C27636">
        <w:rPr>
          <w:rFonts w:ascii="Calibri" w:eastAsia="Calibri" w:hAnsi="Calibri" w:cs="Calibri"/>
          <w:b/>
          <w:bCs/>
          <w:color w:val="0000FF"/>
          <w:sz w:val="20"/>
          <w:szCs w:val="20"/>
          <w:u w:val="single"/>
          <w:lang w:val="nl-NL"/>
        </w:rPr>
        <w:t xml:space="preserve"> </w:t>
      </w:r>
      <w:hyperlink r:id="rId118">
        <w:r w:rsidRPr="00C27636">
          <w:rPr>
            <w:rFonts w:ascii="Calibri" w:eastAsia="Calibri" w:hAnsi="Calibri" w:cs="Calibri"/>
            <w:b/>
            <w:bCs/>
            <w:color w:val="0000FF"/>
            <w:sz w:val="20"/>
            <w:szCs w:val="20"/>
            <w:u w:val="single"/>
            <w:lang w:val="nl-NL"/>
          </w:rPr>
          <w:t>=734&amp;category=GOW</w:t>
        </w:r>
        <w:r w:rsidRPr="00C27636">
          <w:rPr>
            <w:rFonts w:ascii="Calibri" w:eastAsia="Calibri" w:hAnsi="Calibri" w:cs="Calibri"/>
            <w:b/>
            <w:bCs/>
            <w:color w:val="0000FF"/>
            <w:sz w:val="20"/>
            <w:szCs w:val="20"/>
            <w:lang w:val="nl-NL"/>
          </w:rPr>
          <w:t xml:space="preserve"> </w:t>
        </w:r>
      </w:hyperlink>
      <w:r w:rsidRPr="00C27636">
        <w:rPr>
          <w:rFonts w:ascii="Calibri" w:eastAsia="Calibri" w:hAnsi="Calibri" w:cs="Calibri"/>
          <w:color w:val="000000"/>
          <w:sz w:val="20"/>
          <w:szCs w:val="20"/>
          <w:lang w:val="nl-NL"/>
        </w:rPr>
        <w:t>(versions</w:t>
      </w:r>
      <w:r w:rsidRPr="00C27636">
        <w:rPr>
          <w:rFonts w:ascii="Calibri" w:eastAsia="Calibri" w:hAnsi="Calibri" w:cs="Calibri"/>
          <w:b/>
          <w:bCs/>
          <w:color w:val="0000FF"/>
          <w:sz w:val="20"/>
          <w:szCs w:val="20"/>
          <w:lang w:val="nl-NL"/>
        </w:rPr>
        <w:t xml:space="preserve"> </w:t>
      </w:r>
      <w:r w:rsidRPr="00C27636">
        <w:rPr>
          <w:rFonts w:ascii="Calibri" w:eastAsia="Calibri" w:hAnsi="Calibri" w:cs="Calibri"/>
          <w:color w:val="000000"/>
          <w:sz w:val="20"/>
          <w:szCs w:val="20"/>
          <w:lang w:val="nl-NL"/>
        </w:rPr>
        <w:t>francophones</w:t>
      </w:r>
      <w:r w:rsidRPr="00C27636">
        <w:rPr>
          <w:rFonts w:ascii="Calibri" w:eastAsia="Calibri" w:hAnsi="Calibri" w:cs="Calibri"/>
          <w:b/>
          <w:bCs/>
          <w:color w:val="0000FF"/>
          <w:sz w:val="20"/>
          <w:szCs w:val="20"/>
          <w:lang w:val="nl-NL"/>
        </w:rPr>
        <w:t xml:space="preserve"> </w:t>
      </w:r>
      <w:r w:rsidRPr="00C27636">
        <w:rPr>
          <w:rFonts w:ascii="Calibri" w:eastAsia="Calibri" w:hAnsi="Calibri" w:cs="Calibri"/>
          <w:color w:val="000000"/>
          <w:sz w:val="20"/>
          <w:szCs w:val="20"/>
          <w:lang w:val="nl-NL"/>
        </w:rPr>
        <w:t>en construction, selon</w:t>
      </w:r>
      <w:r w:rsidRPr="00C27636">
        <w:rPr>
          <w:rFonts w:ascii="Calibri" w:eastAsia="Calibri" w:hAnsi="Calibri" w:cs="Calibri"/>
          <w:color w:val="000000"/>
          <w:sz w:val="20"/>
          <w:szCs w:val="20"/>
          <w:lang w:val="nl-NL"/>
        </w:rPr>
        <w:t xml:space="preserve"> le site web); Site web du « Ombudsfunctie in de geestelijke gezondheidszorg », renvoi vers un article dans</w:t>
      </w:r>
    </w:p>
    <w:p w:rsidR="00AC12B4" w:rsidRPr="00C27636" w:rsidRDefault="00AC12B4">
      <w:pPr>
        <w:spacing w:line="61" w:lineRule="exact"/>
        <w:rPr>
          <w:sz w:val="20"/>
          <w:szCs w:val="20"/>
          <w:lang w:val="nl-NL"/>
        </w:rPr>
      </w:pPr>
    </w:p>
    <w:p w:rsidR="00AC12B4" w:rsidRPr="00C27636" w:rsidRDefault="00C27636">
      <w:pPr>
        <w:spacing w:line="253" w:lineRule="auto"/>
        <w:ind w:right="1060"/>
        <w:jc w:val="both"/>
        <w:rPr>
          <w:rFonts w:ascii="Calibri" w:eastAsia="Calibri" w:hAnsi="Calibri" w:cs="Calibri"/>
          <w:color w:val="0000FF"/>
          <w:sz w:val="20"/>
          <w:szCs w:val="20"/>
          <w:lang w:val="fr-BE"/>
        </w:rPr>
      </w:pPr>
      <w:r w:rsidRPr="00C27636">
        <w:rPr>
          <w:rFonts w:ascii="Calibri" w:eastAsia="Calibri" w:hAnsi="Calibri" w:cs="Calibri"/>
          <w:sz w:val="20"/>
          <w:szCs w:val="20"/>
          <w:lang w:val="fr-BE"/>
        </w:rPr>
        <w:t xml:space="preserve">De Standaard (07/12/2015, </w:t>
      </w:r>
      <w:hyperlink r:id="rId119">
        <w:r w:rsidRPr="00C27636">
          <w:rPr>
            <w:rFonts w:ascii="Calibri" w:eastAsia="Calibri" w:hAnsi="Calibri" w:cs="Calibri"/>
            <w:color w:val="0000FF"/>
            <w:sz w:val="20"/>
            <w:szCs w:val="20"/>
            <w:u w:val="single"/>
            <w:lang w:val="fr-BE"/>
          </w:rPr>
          <w:t>http://www.standaard.be/cnt/dmf20151207_</w:t>
        </w:r>
      </w:hyperlink>
      <w:r w:rsidRPr="00C27636">
        <w:rPr>
          <w:rFonts w:ascii="Calibri" w:eastAsia="Calibri" w:hAnsi="Calibri" w:cs="Calibri"/>
          <w:color w:val="0000FF"/>
          <w:sz w:val="20"/>
          <w:szCs w:val="20"/>
          <w:u w:val="single"/>
          <w:lang w:val="fr-BE"/>
        </w:rPr>
        <w:t xml:space="preserve"> </w:t>
      </w:r>
      <w:hyperlink r:id="rId120">
        <w:r w:rsidRPr="00C27636">
          <w:rPr>
            <w:rFonts w:ascii="Calibri" w:eastAsia="Calibri" w:hAnsi="Calibri" w:cs="Calibri"/>
            <w:color w:val="0000FF"/>
            <w:sz w:val="20"/>
            <w:szCs w:val="20"/>
            <w:u w:val="single"/>
            <w:lang w:val="fr-BE"/>
          </w:rPr>
          <w:t>02008188</w:t>
        </w:r>
        <w:r w:rsidRPr="00C27636">
          <w:rPr>
            <w:rFonts w:ascii="Calibri" w:eastAsia="Calibri" w:hAnsi="Calibri" w:cs="Calibri"/>
            <w:color w:val="0000FF"/>
            <w:sz w:val="20"/>
            <w:szCs w:val="20"/>
            <w:lang w:val="fr-BE"/>
          </w:rPr>
          <w:t xml:space="preserve"> </w:t>
        </w:r>
      </w:hyperlink>
      <w:r w:rsidRPr="00C27636">
        <w:rPr>
          <w:rFonts w:ascii="Calibri" w:eastAsia="Calibri" w:hAnsi="Calibri" w:cs="Calibri"/>
          <w:color w:val="000000"/>
          <w:sz w:val="20"/>
          <w:szCs w:val="20"/>
          <w:lang w:val="fr-BE"/>
        </w:rPr>
        <w:t>)</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suite à des chiffres des Mutualités</w:t>
      </w:r>
    </w:p>
    <w:p w:rsidR="00AC12B4" w:rsidRPr="00C27636" w:rsidRDefault="00AC12B4">
      <w:pPr>
        <w:spacing w:line="70" w:lineRule="exact"/>
        <w:rPr>
          <w:sz w:val="20"/>
          <w:szCs w:val="20"/>
          <w:lang w:val="fr-BE"/>
        </w:rPr>
      </w:pPr>
    </w:p>
    <w:p w:rsidR="00AC12B4" w:rsidRPr="00C27636" w:rsidRDefault="00C27636">
      <w:pPr>
        <w:spacing w:line="282" w:lineRule="auto"/>
        <w:ind w:right="1060"/>
        <w:jc w:val="both"/>
        <w:rPr>
          <w:rFonts w:ascii="Calibri" w:eastAsia="Calibri" w:hAnsi="Calibri" w:cs="Calibri"/>
          <w:color w:val="0000FF"/>
          <w:sz w:val="19"/>
          <w:szCs w:val="19"/>
          <w:lang w:val="nl-NL"/>
        </w:rPr>
      </w:pPr>
      <w:r w:rsidRPr="00C27636">
        <w:rPr>
          <w:rFonts w:ascii="Calibri" w:eastAsia="Calibri" w:hAnsi="Calibri" w:cs="Calibri"/>
          <w:sz w:val="19"/>
          <w:szCs w:val="19"/>
          <w:lang w:val="nl-NL"/>
        </w:rPr>
        <w:t xml:space="preserve">chrétiennes flamandes, </w:t>
      </w:r>
      <w:hyperlink r:id="rId121">
        <w:r w:rsidRPr="00C27636">
          <w:rPr>
            <w:rFonts w:ascii="Calibri" w:eastAsia="Calibri" w:hAnsi="Calibri" w:cs="Calibri"/>
            <w:color w:val="0000FF"/>
            <w:sz w:val="19"/>
            <w:szCs w:val="19"/>
            <w:u w:val="single"/>
            <w:lang w:val="nl-NL"/>
          </w:rPr>
          <w:t>http://www.ombudsfunctieggz.be/?action=nie</w:t>
        </w:r>
      </w:hyperlink>
      <w:r w:rsidRPr="00C27636">
        <w:rPr>
          <w:rFonts w:ascii="Calibri" w:eastAsia="Calibri" w:hAnsi="Calibri" w:cs="Calibri"/>
          <w:color w:val="0000FF"/>
          <w:sz w:val="19"/>
          <w:szCs w:val="19"/>
          <w:u w:val="single"/>
          <w:lang w:val="nl-NL"/>
        </w:rPr>
        <w:t xml:space="preserve"> </w:t>
      </w:r>
      <w:hyperlink r:id="rId122">
        <w:r w:rsidRPr="00C27636">
          <w:rPr>
            <w:rFonts w:ascii="Calibri" w:eastAsia="Calibri" w:hAnsi="Calibri" w:cs="Calibri"/>
            <w:color w:val="0000FF"/>
            <w:sz w:val="19"/>
            <w:szCs w:val="19"/>
            <w:u w:val="single"/>
            <w:lang w:val="nl-NL"/>
          </w:rPr>
          <w:t>uws_detail&amp;nie</w:t>
        </w:r>
        <w:r w:rsidRPr="00C27636">
          <w:rPr>
            <w:rFonts w:ascii="Calibri" w:eastAsia="Calibri" w:hAnsi="Calibri" w:cs="Calibri"/>
            <w:color w:val="0000FF"/>
            <w:sz w:val="19"/>
            <w:szCs w:val="19"/>
            <w:u w:val="single"/>
            <w:lang w:val="nl-NL"/>
          </w:rPr>
          <w:t>uws=332&amp;titel=CM+waarschu</w:t>
        </w:r>
      </w:hyperlink>
      <w:r w:rsidRPr="00C27636">
        <w:rPr>
          <w:rFonts w:ascii="Calibri" w:eastAsia="Calibri" w:hAnsi="Calibri" w:cs="Calibri"/>
          <w:color w:val="0000FF"/>
          <w:sz w:val="19"/>
          <w:szCs w:val="19"/>
          <w:u w:val="single"/>
          <w:lang w:val="nl-NL"/>
        </w:rPr>
        <w:t xml:space="preserve"> </w:t>
      </w:r>
      <w:hyperlink r:id="rId123">
        <w:r w:rsidRPr="00C27636">
          <w:rPr>
            <w:rFonts w:ascii="Calibri" w:eastAsia="Calibri" w:hAnsi="Calibri" w:cs="Calibri"/>
            <w:color w:val="0000FF"/>
            <w:sz w:val="19"/>
            <w:szCs w:val="19"/>
            <w:u w:val="single"/>
            <w:lang w:val="nl-NL"/>
          </w:rPr>
          <w:t>wt+voor+stijgend+gebruik+antidepressiva+bij</w:t>
        </w:r>
      </w:hyperlink>
      <w:r w:rsidRPr="00C27636">
        <w:rPr>
          <w:rFonts w:ascii="Calibri" w:eastAsia="Calibri" w:hAnsi="Calibri" w:cs="Calibri"/>
          <w:color w:val="0000FF"/>
          <w:sz w:val="19"/>
          <w:szCs w:val="19"/>
          <w:u w:val="single"/>
          <w:lang w:val="nl-NL"/>
        </w:rPr>
        <w:t xml:space="preserve"> </w:t>
      </w:r>
      <w:hyperlink r:id="rId124">
        <w:r w:rsidRPr="00C27636">
          <w:rPr>
            <w:rFonts w:ascii="Calibri" w:eastAsia="Calibri" w:hAnsi="Calibri" w:cs="Calibri"/>
            <w:color w:val="0000FF"/>
            <w:sz w:val="19"/>
            <w:szCs w:val="19"/>
            <w:u w:val="single"/>
            <w:lang w:val="nl-NL"/>
          </w:rPr>
          <w:t>+jongeren&amp;thema</w:t>
        </w:r>
      </w:hyperlink>
      <w:r w:rsidRPr="00C27636">
        <w:rPr>
          <w:rFonts w:ascii="Calibri" w:eastAsia="Calibri" w:hAnsi="Calibri" w:cs="Calibri"/>
          <w:color w:val="000000"/>
          <w:sz w:val="19"/>
          <w:szCs w:val="19"/>
          <w:lang w:val="nl-NL"/>
        </w:rPr>
        <w:t>=.</w:t>
      </w:r>
    </w:p>
    <w:p w:rsidR="00AC12B4" w:rsidRPr="00C27636" w:rsidRDefault="00AC12B4">
      <w:pPr>
        <w:spacing w:line="745" w:lineRule="exact"/>
        <w:rPr>
          <w:rFonts w:ascii="Calibri" w:eastAsia="Calibri" w:hAnsi="Calibri" w:cs="Calibri"/>
          <w:color w:val="0000FF"/>
          <w:sz w:val="19"/>
          <w:szCs w:val="19"/>
          <w:u w:val="single"/>
          <w:lang w:val="nl-NL"/>
        </w:rPr>
      </w:pPr>
    </w:p>
    <w:p w:rsidR="00AC12B4" w:rsidRPr="00C27636" w:rsidRDefault="00AC12B4">
      <w:pPr>
        <w:rPr>
          <w:lang w:val="nl-NL"/>
        </w:rPr>
        <w:sectPr w:rsidR="00AC12B4" w:rsidRPr="00C27636">
          <w:pgSz w:w="12080" w:h="17179"/>
          <w:pgMar w:top="1440" w:right="557" w:bottom="659" w:left="1440" w:header="0" w:footer="0" w:gutter="0"/>
          <w:cols w:num="2" w:space="720" w:equalWidth="0">
            <w:col w:w="4500" w:space="720"/>
            <w:col w:w="4860"/>
          </w:cols>
        </w:sect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00" w:lineRule="exact"/>
        <w:rPr>
          <w:rFonts w:ascii="Calibri" w:eastAsia="Calibri" w:hAnsi="Calibri" w:cs="Calibri"/>
          <w:color w:val="0000FF"/>
          <w:sz w:val="19"/>
          <w:szCs w:val="19"/>
          <w:u w:val="single"/>
          <w:lang w:val="nl-NL"/>
        </w:rPr>
      </w:pPr>
    </w:p>
    <w:p w:rsidR="00AC12B4" w:rsidRPr="00C27636" w:rsidRDefault="00AC12B4">
      <w:pPr>
        <w:spacing w:line="252" w:lineRule="exact"/>
        <w:rPr>
          <w:rFonts w:ascii="Calibri" w:eastAsia="Calibri" w:hAnsi="Calibri" w:cs="Calibri"/>
          <w:color w:val="0000FF"/>
          <w:sz w:val="19"/>
          <w:szCs w:val="19"/>
          <w:u w:val="single"/>
          <w:lang w:val="nl-NL"/>
        </w:rPr>
      </w:pPr>
    </w:p>
    <w:tbl>
      <w:tblPr>
        <w:tblW w:w="0" w:type="auto"/>
        <w:tblInd w:w="9799" w:type="dxa"/>
        <w:tblLayout w:type="fixed"/>
        <w:tblCellMar>
          <w:left w:w="0" w:type="dxa"/>
          <w:right w:w="0" w:type="dxa"/>
        </w:tblCellMar>
        <w:tblLook w:val="04A0" w:firstRow="1" w:lastRow="0" w:firstColumn="1" w:lastColumn="0" w:noHBand="0" w:noVBand="1"/>
      </w:tblPr>
      <w:tblGrid>
        <w:gridCol w:w="281"/>
      </w:tblGrid>
      <w:tr w:rsidR="00AC12B4" w:rsidRPr="00C27636">
        <w:trPr>
          <w:trHeight w:val="2080"/>
        </w:trPr>
        <w:tc>
          <w:tcPr>
            <w:tcW w:w="281" w:type="dxa"/>
            <w:textDirection w:val="btLr"/>
            <w:vAlign w:val="bottom"/>
          </w:tcPr>
          <w:p w:rsidR="00AC12B4" w:rsidRPr="00C27636" w:rsidRDefault="00C27636">
            <w:pPr>
              <w:spacing w:line="197" w:lineRule="auto"/>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C27636">
      <w:pPr>
        <w:spacing w:line="229" w:lineRule="auto"/>
        <w:ind w:right="480"/>
        <w:jc w:val="center"/>
        <w:rPr>
          <w:sz w:val="20"/>
          <w:szCs w:val="20"/>
          <w:lang w:val="fr-BE"/>
        </w:rPr>
      </w:pPr>
      <w:r w:rsidRPr="00C27636">
        <w:rPr>
          <w:rFonts w:ascii="Calibri" w:eastAsia="Calibri" w:hAnsi="Calibri" w:cs="Calibri"/>
          <w:lang w:val="fr-BE"/>
        </w:rPr>
        <w:t>85</w:t>
      </w:r>
    </w:p>
    <w:p w:rsidR="00AC12B4" w:rsidRPr="00C27636" w:rsidRDefault="00AC12B4">
      <w:pPr>
        <w:rPr>
          <w:lang w:val="fr-BE"/>
        </w:rPr>
        <w:sectPr w:rsidR="00AC12B4" w:rsidRPr="00C27636">
          <w:type w:val="continuous"/>
          <w:pgSz w:w="12080" w:h="17179"/>
          <w:pgMar w:top="1440" w:right="557" w:bottom="659" w:left="1440" w:header="0" w:footer="0" w:gutter="0"/>
          <w:cols w:space="720" w:equalWidth="0">
            <w:col w:w="10080"/>
          </w:cols>
        </w:sectPr>
      </w:pPr>
    </w:p>
    <w:p w:rsidR="00AC12B4" w:rsidRPr="00C27636" w:rsidRDefault="00AC12B4">
      <w:pPr>
        <w:spacing w:line="229" w:lineRule="auto"/>
        <w:jc w:val="center"/>
        <w:rPr>
          <w:sz w:val="20"/>
          <w:szCs w:val="20"/>
          <w:lang w:val="fr-BE"/>
        </w:rPr>
      </w:pPr>
      <w:bookmarkStart w:id="85" w:name="page86"/>
      <w:bookmarkEnd w:id="85"/>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spacing w:line="168" w:lineRule="exact"/>
        <w:rPr>
          <w:sz w:val="20"/>
          <w:szCs w:val="20"/>
          <w:lang w:val="fr-BE"/>
        </w:rPr>
      </w:pPr>
      <w:bookmarkStart w:id="86" w:name="page87"/>
      <w:bookmarkEnd w:id="86"/>
    </w:p>
    <w:p w:rsidR="00AC12B4" w:rsidRPr="00C27636" w:rsidRDefault="00C27636">
      <w:pPr>
        <w:ind w:left="880"/>
        <w:rPr>
          <w:sz w:val="20"/>
          <w:szCs w:val="20"/>
          <w:lang w:val="fr-BE"/>
        </w:rPr>
      </w:pPr>
      <w:r w:rsidRPr="00C27636">
        <w:rPr>
          <w:rFonts w:ascii="Comic Sans MS" w:eastAsia="Comic Sans MS" w:hAnsi="Comic Sans MS" w:cs="Comic Sans MS"/>
          <w:color w:val="C9D11D"/>
          <w:sz w:val="40"/>
          <w:szCs w:val="40"/>
          <w:lang w:val="fr-BE"/>
        </w:rPr>
        <w:t>S8. Style de vie sain</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39968" behindDoc="1" locked="0" layoutInCell="0" allowOverlap="1">
                <wp:simplePos x="0" y="0"/>
                <wp:positionH relativeFrom="column">
                  <wp:posOffset>-351155</wp:posOffset>
                </wp:positionH>
                <wp:positionV relativeFrom="paragraph">
                  <wp:posOffset>367030</wp:posOffset>
                </wp:positionV>
                <wp:extent cx="3444875" cy="4763135"/>
                <wp:effectExtent l="0" t="0" r="0" b="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4875" cy="4763135"/>
                        </a:xfrm>
                        <a:prstGeom prst="rect">
                          <a:avLst/>
                        </a:prstGeom>
                        <a:solidFill>
                          <a:srgbClr val="C9D11D"/>
                        </a:solidFill>
                      </wps:spPr>
                      <wps:bodyPr/>
                    </wps:wsp>
                  </a:graphicData>
                </a:graphic>
              </wp:anchor>
            </w:drawing>
          </mc:Choice>
          <mc:Fallback>
            <w:pict>
              <v:rect id="Shape 196" o:spid="_x0000_s1221" style="position:absolute;margin-left:-27.6499pt;margin-top:28.9pt;width:271.25pt;height:37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D11D" stroked="f"/>
            </w:pict>
          </mc:Fallback>
        </mc:AlternateContent>
      </w:r>
      <w:r>
        <w:rPr>
          <w:noProof/>
          <w:sz w:val="20"/>
          <w:szCs w:val="20"/>
        </w:rPr>
        <mc:AlternateContent>
          <mc:Choice Requires="wps">
            <w:drawing>
              <wp:anchor distT="0" distB="0" distL="114300" distR="114300" simplePos="0" relativeHeight="251540992" behindDoc="1" locked="0" layoutInCell="0" allowOverlap="1">
                <wp:simplePos x="0" y="0"/>
                <wp:positionH relativeFrom="column">
                  <wp:posOffset>3093720</wp:posOffset>
                </wp:positionH>
                <wp:positionV relativeFrom="paragraph">
                  <wp:posOffset>354330</wp:posOffset>
                </wp:positionV>
                <wp:extent cx="0" cy="4788535"/>
                <wp:effectExtent l="0" t="0" r="0" b="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78853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6pt,27.9pt" to="243.6pt,404.95pt" o:allowincell="f" strokecolor="#919715" strokeweight="2pt"/>
            </w:pict>
          </mc:Fallback>
        </mc:AlternateContent>
      </w:r>
      <w:r>
        <w:rPr>
          <w:noProof/>
          <w:sz w:val="20"/>
          <w:szCs w:val="20"/>
        </w:rPr>
        <mc:AlternateContent>
          <mc:Choice Requires="wps">
            <w:drawing>
              <wp:anchor distT="0" distB="0" distL="114300" distR="114300" simplePos="0" relativeHeight="251542016" behindDoc="1" locked="0" layoutInCell="0" allowOverlap="1">
                <wp:simplePos x="0" y="0"/>
                <wp:positionH relativeFrom="column">
                  <wp:posOffset>-363855</wp:posOffset>
                </wp:positionH>
                <wp:positionV relativeFrom="paragraph">
                  <wp:posOffset>367030</wp:posOffset>
                </wp:positionV>
                <wp:extent cx="3470275" cy="0"/>
                <wp:effectExtent l="0" t="0" r="0" b="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70275"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8.9pt" to="244.6pt,28.9pt" o:allowincell="f" strokecolor="#919715" strokeweight="2pt"/>
            </w:pict>
          </mc:Fallback>
        </mc:AlternateContent>
      </w:r>
      <w:r>
        <w:rPr>
          <w:noProof/>
          <w:sz w:val="20"/>
          <w:szCs w:val="20"/>
        </w:rPr>
        <mc:AlternateContent>
          <mc:Choice Requires="wps">
            <w:drawing>
              <wp:anchor distT="0" distB="0" distL="114300" distR="114300" simplePos="0" relativeHeight="251543040" behindDoc="1" locked="0" layoutInCell="0" allowOverlap="1">
                <wp:simplePos x="0" y="0"/>
                <wp:positionH relativeFrom="column">
                  <wp:posOffset>-351155</wp:posOffset>
                </wp:positionH>
                <wp:positionV relativeFrom="paragraph">
                  <wp:posOffset>354330</wp:posOffset>
                </wp:positionV>
                <wp:extent cx="0" cy="4788535"/>
                <wp:effectExtent l="0" t="0" r="0" b="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78853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27.9pt" to="-27.6499pt,404.95pt" o:allowincell="f" strokecolor="#919715" strokeweight="2pt"/>
            </w:pict>
          </mc:Fallback>
        </mc:AlternateContent>
      </w:r>
      <w:r>
        <w:rPr>
          <w:noProof/>
          <w:sz w:val="20"/>
          <w:szCs w:val="20"/>
        </w:rPr>
        <mc:AlternateContent>
          <mc:Choice Requires="wps">
            <w:drawing>
              <wp:anchor distT="0" distB="0" distL="114300" distR="114300" simplePos="0" relativeHeight="251544064" behindDoc="1" locked="0" layoutInCell="0" allowOverlap="1">
                <wp:simplePos x="0" y="0"/>
                <wp:positionH relativeFrom="column">
                  <wp:posOffset>-363855</wp:posOffset>
                </wp:positionH>
                <wp:positionV relativeFrom="paragraph">
                  <wp:posOffset>5130165</wp:posOffset>
                </wp:positionV>
                <wp:extent cx="3470275" cy="0"/>
                <wp:effectExtent l="0" t="0" r="0" b="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70275"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403.95pt" to="244.6pt,403.95pt" o:allowincell="f" strokecolor="#919715" strokeweight="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color w:val="EAF1DD"/>
          <w:lang w:val="fr-BE"/>
        </w:rPr>
        <w:t>CIDE</w:t>
      </w:r>
    </w:p>
    <w:p w:rsidR="00AC12B4" w:rsidRPr="00C27636" w:rsidRDefault="00AC12B4">
      <w:pPr>
        <w:spacing w:line="120" w:lineRule="exact"/>
        <w:rPr>
          <w:sz w:val="20"/>
          <w:szCs w:val="20"/>
          <w:lang w:val="fr-BE"/>
        </w:rPr>
      </w:pPr>
    </w:p>
    <w:p w:rsidR="00AC12B4" w:rsidRDefault="00C27636">
      <w:pPr>
        <w:rPr>
          <w:sz w:val="20"/>
          <w:szCs w:val="20"/>
        </w:rPr>
      </w:pPr>
      <w:r>
        <w:rPr>
          <w:rFonts w:ascii="Calibri" w:eastAsia="Calibri" w:hAnsi="Calibri" w:cs="Calibri"/>
          <w:color w:val="EAF1DD"/>
        </w:rPr>
        <w:t>Article 24</w:t>
      </w:r>
    </w:p>
    <w:p w:rsidR="00AC12B4" w:rsidRDefault="00AC12B4">
      <w:pPr>
        <w:spacing w:line="169" w:lineRule="exact"/>
        <w:rPr>
          <w:sz w:val="20"/>
          <w:szCs w:val="20"/>
        </w:rPr>
      </w:pPr>
    </w:p>
    <w:p w:rsidR="00AC12B4" w:rsidRPr="00C27636" w:rsidRDefault="00C27636">
      <w:pPr>
        <w:numPr>
          <w:ilvl w:val="0"/>
          <w:numId w:val="126"/>
        </w:numPr>
        <w:tabs>
          <w:tab w:val="left" w:pos="221"/>
        </w:tabs>
        <w:spacing w:line="218" w:lineRule="auto"/>
        <w:ind w:right="40" w:firstLine="8"/>
        <w:rPr>
          <w:rFonts w:ascii="Calibri" w:eastAsia="Calibri" w:hAnsi="Calibri" w:cs="Calibri"/>
          <w:b/>
          <w:bCs/>
          <w:i/>
          <w:iCs/>
          <w:color w:val="EAF1DD"/>
          <w:lang w:val="fr-BE"/>
        </w:rPr>
      </w:pPr>
      <w:r w:rsidRPr="00C27636">
        <w:rPr>
          <w:rFonts w:ascii="Calibri" w:eastAsia="Calibri" w:hAnsi="Calibri" w:cs="Calibri"/>
          <w:i/>
          <w:iCs/>
          <w:color w:val="EAF1DD"/>
          <w:lang w:val="fr-BE"/>
        </w:rPr>
        <w:t>Les Etats parties [..] prennent les mesures appropriées pour :</w:t>
      </w:r>
    </w:p>
    <w:p w:rsidR="00AC12B4" w:rsidRPr="00C27636" w:rsidRDefault="00AC12B4">
      <w:pPr>
        <w:spacing w:line="167" w:lineRule="exact"/>
        <w:rPr>
          <w:sz w:val="20"/>
          <w:szCs w:val="20"/>
          <w:lang w:val="fr-BE"/>
        </w:rPr>
      </w:pPr>
    </w:p>
    <w:p w:rsidR="00AC12B4" w:rsidRPr="00C27636" w:rsidRDefault="00C27636">
      <w:pPr>
        <w:numPr>
          <w:ilvl w:val="0"/>
          <w:numId w:val="127"/>
        </w:numPr>
        <w:tabs>
          <w:tab w:val="left" w:pos="209"/>
        </w:tabs>
        <w:spacing w:line="232" w:lineRule="auto"/>
        <w:ind w:right="40" w:firstLine="8"/>
        <w:jc w:val="both"/>
        <w:rPr>
          <w:rFonts w:ascii="Calibri" w:eastAsia="Calibri" w:hAnsi="Calibri" w:cs="Calibri"/>
          <w:i/>
          <w:iCs/>
          <w:color w:val="EAF1DD"/>
          <w:lang w:val="fr-BE"/>
        </w:rPr>
      </w:pPr>
      <w:r w:rsidRPr="00C27636">
        <w:rPr>
          <w:rFonts w:ascii="Calibri" w:eastAsia="Calibri" w:hAnsi="Calibri" w:cs="Calibri"/>
          <w:i/>
          <w:iCs/>
          <w:color w:val="EAF1DD"/>
          <w:lang w:val="fr-BE"/>
        </w:rPr>
        <w:t>Lutter contre la maladie et la malnutrition, y compris dans le cadre de soins de santé primaires, grâce notamment à l’utilis</w:t>
      </w:r>
      <w:r w:rsidRPr="00C27636">
        <w:rPr>
          <w:rFonts w:ascii="Calibri" w:eastAsia="Calibri" w:hAnsi="Calibri" w:cs="Calibri"/>
          <w:i/>
          <w:iCs/>
          <w:color w:val="EAF1DD"/>
          <w:lang w:val="fr-BE"/>
        </w:rPr>
        <w:t>ation de techniques aisément disponibles et à la fourniture d’aliments nutritifs et d’eau potable, compte tenu des dangers et des risques de pollution du milieu naturel;</w:t>
      </w:r>
    </w:p>
    <w:p w:rsidR="00AC12B4" w:rsidRPr="00C27636" w:rsidRDefault="00AC12B4">
      <w:pPr>
        <w:spacing w:line="127" w:lineRule="exact"/>
        <w:rPr>
          <w:sz w:val="20"/>
          <w:szCs w:val="20"/>
          <w:lang w:val="fr-BE"/>
        </w:rPr>
      </w:pPr>
    </w:p>
    <w:p w:rsidR="00AC12B4" w:rsidRPr="00C27636" w:rsidRDefault="00C27636">
      <w:pPr>
        <w:rPr>
          <w:sz w:val="20"/>
          <w:szCs w:val="20"/>
          <w:lang w:val="fr-BE"/>
        </w:rPr>
      </w:pPr>
      <w:r w:rsidRPr="00C27636">
        <w:rPr>
          <w:rFonts w:ascii="Calibri" w:eastAsia="Calibri" w:hAnsi="Calibri" w:cs="Calibri"/>
          <w:color w:val="EAF1DD"/>
          <w:lang w:val="fr-BE"/>
        </w:rPr>
        <w:t>Article 33</w:t>
      </w:r>
    </w:p>
    <w:p w:rsidR="00AC12B4" w:rsidRPr="00C27636" w:rsidRDefault="00AC12B4">
      <w:pPr>
        <w:spacing w:line="169" w:lineRule="exact"/>
        <w:rPr>
          <w:sz w:val="20"/>
          <w:szCs w:val="20"/>
          <w:lang w:val="fr-BE"/>
        </w:rPr>
      </w:pPr>
    </w:p>
    <w:p w:rsidR="00AC12B4" w:rsidRPr="00C27636" w:rsidRDefault="00C27636">
      <w:pPr>
        <w:spacing w:line="235" w:lineRule="auto"/>
        <w:ind w:right="40"/>
        <w:jc w:val="both"/>
        <w:rPr>
          <w:sz w:val="20"/>
          <w:szCs w:val="20"/>
          <w:lang w:val="fr-BE"/>
        </w:rPr>
      </w:pPr>
      <w:r w:rsidRPr="00C27636">
        <w:rPr>
          <w:rFonts w:ascii="Calibri" w:eastAsia="Calibri" w:hAnsi="Calibri" w:cs="Calibri"/>
          <w:i/>
          <w:iCs/>
          <w:color w:val="EAF1DD"/>
          <w:lang w:val="fr-BE"/>
        </w:rPr>
        <w:t xml:space="preserve">Les Etats parties prennent toutes les mesures appropriées, y compris des </w:t>
      </w:r>
      <w:r w:rsidRPr="00C27636">
        <w:rPr>
          <w:rFonts w:ascii="Calibri" w:eastAsia="Calibri" w:hAnsi="Calibri" w:cs="Calibri"/>
          <w:i/>
          <w:iCs/>
          <w:color w:val="EAF1DD"/>
          <w:lang w:val="fr-BE"/>
        </w:rPr>
        <w:t>mesures législatives, administratives, sociales et éducatives, pour protéger les enfants contre l’usage illicite de stupéfiants et de substances psychotropes, tels que les définissent les conventions internationales pertinentes, et pour empêcher que des en</w:t>
      </w:r>
      <w:r w:rsidRPr="00C27636">
        <w:rPr>
          <w:rFonts w:ascii="Calibri" w:eastAsia="Calibri" w:hAnsi="Calibri" w:cs="Calibri"/>
          <w:i/>
          <w:iCs/>
          <w:color w:val="EAF1DD"/>
          <w:lang w:val="fr-BE"/>
        </w:rPr>
        <w:t>fants ne soient utilisés pour la production et le trafic illicites de ces substances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94" w:lineRule="exact"/>
        <w:rPr>
          <w:sz w:val="20"/>
          <w:szCs w:val="20"/>
          <w:lang w:val="fr-BE"/>
        </w:rPr>
      </w:pPr>
    </w:p>
    <w:p w:rsidR="00AC12B4" w:rsidRPr="00C27636" w:rsidRDefault="00C27636">
      <w:pPr>
        <w:spacing w:line="236" w:lineRule="auto"/>
        <w:ind w:left="880"/>
        <w:jc w:val="both"/>
        <w:rPr>
          <w:sz w:val="20"/>
          <w:szCs w:val="20"/>
          <w:lang w:val="fr-BE"/>
        </w:rPr>
      </w:pPr>
      <w:r w:rsidRPr="00C27636">
        <w:rPr>
          <w:rFonts w:ascii="Calibri" w:eastAsia="Calibri" w:hAnsi="Calibri" w:cs="Calibri"/>
          <w:lang w:val="fr-BE"/>
        </w:rPr>
        <w:t xml:space="preserve">L'importance d'un mode de vie sain est renforcée par le droit de l'enfant à la vie, à la survie et au développement (art. 6) ainsi que par le droit de jouir du </w:t>
      </w:r>
      <w:r w:rsidRPr="00C27636">
        <w:rPr>
          <w:rFonts w:ascii="Calibri" w:eastAsia="Calibri" w:hAnsi="Calibri" w:cs="Calibri"/>
          <w:lang w:val="fr-BE"/>
        </w:rPr>
        <w:t>meilleur état de santé possible (art. 24), de même que par le commentaire général n° 4 du Comité des droits de l'enfant sur la santé des adolescents. Dans le cadre de ses observations finales de 2010, le Comité a insisté sur le fait que la Belgique continu</w:t>
      </w:r>
      <w:r w:rsidRPr="00C27636">
        <w:rPr>
          <w:rFonts w:ascii="Calibri" w:eastAsia="Calibri" w:hAnsi="Calibri" w:cs="Calibri"/>
          <w:lang w:val="fr-BE"/>
        </w:rPr>
        <w:t>e et renforce ses efforts dans la lutte contre le surpoids et l'obésité chez l'enfant.</w:t>
      </w:r>
    </w:p>
    <w:p w:rsidR="00AC12B4" w:rsidRPr="00C27636" w:rsidRDefault="00AC12B4">
      <w:pPr>
        <w:spacing w:line="175" w:lineRule="exact"/>
        <w:rPr>
          <w:sz w:val="20"/>
          <w:szCs w:val="20"/>
          <w:lang w:val="fr-BE"/>
        </w:rPr>
      </w:pPr>
    </w:p>
    <w:p w:rsidR="00AC12B4" w:rsidRPr="00C27636" w:rsidRDefault="00C27636">
      <w:pPr>
        <w:spacing w:line="230" w:lineRule="auto"/>
        <w:ind w:left="880"/>
        <w:jc w:val="both"/>
        <w:rPr>
          <w:sz w:val="20"/>
          <w:szCs w:val="20"/>
          <w:lang w:val="fr-BE"/>
        </w:rPr>
      </w:pPr>
      <w:r w:rsidRPr="00C27636">
        <w:rPr>
          <w:rFonts w:ascii="Calibri" w:eastAsia="Calibri" w:hAnsi="Calibri" w:cs="Calibri"/>
          <w:lang w:val="fr-BE"/>
        </w:rPr>
        <w:t>Les comportements de vie “sains” couvrent beaucoup de champs. Pour ce travail d’indicateurs centrés sur les enfants, nous reprenons ici les éléments suivants : comporte</w:t>
      </w:r>
      <w:r w:rsidRPr="00C27636">
        <w:rPr>
          <w:rFonts w:ascii="Calibri" w:eastAsia="Calibri" w:hAnsi="Calibri" w:cs="Calibri"/>
          <w:lang w:val="fr-BE"/>
        </w:rPr>
        <w:t>ments alimentaires,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2" w:lineRule="exact"/>
        <w:rPr>
          <w:sz w:val="20"/>
          <w:szCs w:val="20"/>
          <w:lang w:val="fr-BE"/>
        </w:rPr>
      </w:pPr>
    </w:p>
    <w:p w:rsidR="00AC12B4" w:rsidRPr="00C27636" w:rsidRDefault="00C27636">
      <w:pPr>
        <w:spacing w:line="218" w:lineRule="auto"/>
        <w:ind w:left="480" w:right="300"/>
        <w:jc w:val="both"/>
        <w:rPr>
          <w:sz w:val="20"/>
          <w:szCs w:val="20"/>
          <w:lang w:val="fr-BE"/>
        </w:rPr>
      </w:pPr>
      <w:r w:rsidRPr="00C27636">
        <w:rPr>
          <w:rFonts w:ascii="Calibri" w:eastAsia="Calibri" w:hAnsi="Calibri" w:cs="Calibri"/>
          <w:lang w:val="fr-BE"/>
        </w:rPr>
        <w:t>activité physique et, pour les plus âgés, les comportements à risques.</w:t>
      </w:r>
    </w:p>
    <w:p w:rsidR="00AC12B4" w:rsidRPr="00C27636" w:rsidRDefault="00AC12B4">
      <w:pPr>
        <w:spacing w:line="207" w:lineRule="exact"/>
        <w:rPr>
          <w:sz w:val="20"/>
          <w:szCs w:val="20"/>
          <w:lang w:val="fr-BE"/>
        </w:rPr>
      </w:pPr>
    </w:p>
    <w:p w:rsidR="00AC12B4" w:rsidRPr="00C27636" w:rsidRDefault="00C27636">
      <w:pPr>
        <w:ind w:left="480"/>
        <w:rPr>
          <w:sz w:val="20"/>
          <w:szCs w:val="20"/>
          <w:lang w:val="fr-BE"/>
        </w:rPr>
      </w:pPr>
      <w:r w:rsidRPr="00C27636">
        <w:rPr>
          <w:rFonts w:ascii="Cambria" w:eastAsia="Cambria" w:hAnsi="Cambria" w:cs="Cambria"/>
          <w:b/>
          <w:bCs/>
          <w:i/>
          <w:iCs/>
          <w:color w:val="919715"/>
          <w:sz w:val="26"/>
          <w:szCs w:val="26"/>
          <w:lang w:val="fr-BE"/>
        </w:rPr>
        <w:t>Alimentation</w:t>
      </w:r>
    </w:p>
    <w:p w:rsidR="00AC12B4" w:rsidRPr="00C27636" w:rsidRDefault="00AC12B4">
      <w:pPr>
        <w:spacing w:line="208" w:lineRule="exact"/>
        <w:rPr>
          <w:sz w:val="20"/>
          <w:szCs w:val="20"/>
          <w:lang w:val="fr-BE"/>
        </w:rPr>
      </w:pPr>
    </w:p>
    <w:p w:rsidR="00AC12B4" w:rsidRDefault="00C27636">
      <w:pPr>
        <w:spacing w:line="232" w:lineRule="auto"/>
        <w:ind w:left="480" w:right="300"/>
        <w:jc w:val="both"/>
        <w:rPr>
          <w:sz w:val="20"/>
          <w:szCs w:val="20"/>
        </w:rPr>
      </w:pPr>
      <w:r w:rsidRPr="00C27636">
        <w:rPr>
          <w:rFonts w:ascii="Calibri" w:eastAsia="Calibri" w:hAnsi="Calibri" w:cs="Calibri"/>
          <w:lang w:val="fr-BE"/>
        </w:rPr>
        <w:t>Les habitudes alimentaires des jeunes sont passées au crible par l’enquête Health Behaviour in School-Aged Children (HBSC). Les jeunes évaluent</w:t>
      </w:r>
      <w:r w:rsidRPr="00C27636">
        <w:rPr>
          <w:rFonts w:ascii="Calibri" w:eastAsia="Calibri" w:hAnsi="Calibri" w:cs="Calibri"/>
          <w:lang w:val="fr-BE"/>
        </w:rPr>
        <w:t xml:space="preserve"> leur fréquence de consommation d’une série d’aliments. </w:t>
      </w:r>
      <w:r>
        <w:rPr>
          <w:rFonts w:ascii="Calibri" w:eastAsia="Calibri" w:hAnsi="Calibri" w:cs="Calibri"/>
        </w:rPr>
        <w:t>Nous reprendrons ici l’indicateur</w:t>
      </w:r>
    </w:p>
    <w:p w:rsidR="00AC12B4" w:rsidRDefault="00AC12B4">
      <w:pPr>
        <w:spacing w:line="7" w:lineRule="exact"/>
        <w:rPr>
          <w:sz w:val="20"/>
          <w:szCs w:val="20"/>
        </w:rPr>
      </w:pPr>
    </w:p>
    <w:p w:rsidR="00AC12B4" w:rsidRDefault="00C27636">
      <w:pPr>
        <w:numPr>
          <w:ilvl w:val="0"/>
          <w:numId w:val="128"/>
        </w:numPr>
        <w:tabs>
          <w:tab w:val="left" w:pos="640"/>
        </w:tabs>
        <w:ind w:left="640" w:hanging="168"/>
        <w:rPr>
          <w:rFonts w:ascii="Calibri" w:eastAsia="Calibri" w:hAnsi="Calibri" w:cs="Calibri"/>
        </w:rPr>
      </w:pPr>
      <w:r>
        <w:rPr>
          <w:rFonts w:ascii="Calibri" w:eastAsia="Calibri" w:hAnsi="Calibri" w:cs="Calibri"/>
        </w:rPr>
        <w:t>équilibre  alimentaire »  développé  par</w:t>
      </w:r>
    </w:p>
    <w:p w:rsidR="00AC12B4" w:rsidRDefault="00C27636">
      <w:pPr>
        <w:ind w:left="480"/>
        <w:rPr>
          <w:rFonts w:ascii="Calibri" w:eastAsia="Calibri" w:hAnsi="Calibri" w:cs="Calibri"/>
        </w:rPr>
      </w:pPr>
      <w:r>
        <w:rPr>
          <w:rFonts w:ascii="Calibri" w:eastAsia="Calibri" w:hAnsi="Calibri" w:cs="Calibri"/>
        </w:rPr>
        <w:t>l’équipe</w:t>
      </w:r>
      <w:r>
        <w:rPr>
          <w:rFonts w:ascii="Calibri" w:eastAsia="Calibri" w:hAnsi="Calibri" w:cs="Calibri"/>
          <w:sz w:val="21"/>
          <w:szCs w:val="21"/>
        </w:rPr>
        <w:t>de</w:t>
      </w:r>
    </w:p>
    <w:p w:rsidR="00AC12B4" w:rsidRDefault="00AC12B4">
      <w:pPr>
        <w:spacing w:line="29" w:lineRule="exact"/>
        <w:rPr>
          <w:sz w:val="20"/>
          <w:szCs w:val="20"/>
        </w:rPr>
      </w:pPr>
    </w:p>
    <w:tbl>
      <w:tblPr>
        <w:tblW w:w="0" w:type="auto"/>
        <w:tblInd w:w="480" w:type="dxa"/>
        <w:tblLayout w:type="fixed"/>
        <w:tblCellMar>
          <w:left w:w="0" w:type="dxa"/>
          <w:right w:w="0" w:type="dxa"/>
        </w:tblCellMar>
        <w:tblLook w:val="04A0" w:firstRow="1" w:lastRow="0" w:firstColumn="1" w:lastColumn="0" w:noHBand="0" w:noVBand="1"/>
      </w:tblPr>
      <w:tblGrid>
        <w:gridCol w:w="300"/>
        <w:gridCol w:w="680"/>
        <w:gridCol w:w="580"/>
        <w:gridCol w:w="1380"/>
        <w:gridCol w:w="1220"/>
        <w:gridCol w:w="30"/>
      </w:tblGrid>
      <w:tr w:rsidR="00AC12B4">
        <w:trPr>
          <w:trHeight w:val="220"/>
        </w:trPr>
        <w:tc>
          <w:tcPr>
            <w:tcW w:w="1560" w:type="dxa"/>
            <w:gridSpan w:val="3"/>
            <w:vAlign w:val="bottom"/>
          </w:tcPr>
          <w:p w:rsidR="00AC12B4" w:rsidRDefault="00C27636">
            <w:pPr>
              <w:spacing w:line="220" w:lineRule="exact"/>
              <w:rPr>
                <w:sz w:val="20"/>
                <w:szCs w:val="20"/>
              </w:rPr>
            </w:pPr>
            <w:r>
              <w:rPr>
                <w:rFonts w:ascii="Calibri" w:eastAsia="Calibri" w:hAnsi="Calibri" w:cs="Calibri"/>
              </w:rPr>
              <w:t>l’ULB en charge</w:t>
            </w:r>
          </w:p>
        </w:tc>
        <w:tc>
          <w:tcPr>
            <w:tcW w:w="2600" w:type="dxa"/>
            <w:gridSpan w:val="2"/>
            <w:vMerge w:val="restart"/>
            <w:tcBorders>
              <w:top w:val="single" w:sz="8" w:space="0" w:color="C9D11D"/>
              <w:left w:val="single" w:sz="8" w:space="0" w:color="C9D11D"/>
              <w:right w:val="single" w:sz="8" w:space="0" w:color="C9D11D"/>
            </w:tcBorders>
            <w:vAlign w:val="bottom"/>
          </w:tcPr>
          <w:p w:rsidR="00AC12B4" w:rsidRDefault="00C27636">
            <w:pPr>
              <w:ind w:right="220"/>
              <w:jc w:val="right"/>
              <w:rPr>
                <w:sz w:val="20"/>
                <w:szCs w:val="20"/>
              </w:rPr>
            </w:pPr>
            <w:r>
              <w:rPr>
                <w:rFonts w:ascii="Comic Sans MS" w:eastAsia="Comic Sans MS" w:hAnsi="Comic Sans MS" w:cs="Comic Sans MS"/>
                <w:color w:val="C9D11D"/>
                <w:sz w:val="96"/>
                <w:szCs w:val="96"/>
              </w:rPr>
              <w:t>20%</w:t>
            </w:r>
          </w:p>
        </w:tc>
        <w:tc>
          <w:tcPr>
            <w:tcW w:w="0" w:type="dxa"/>
            <w:vAlign w:val="bottom"/>
          </w:tcPr>
          <w:p w:rsidR="00AC12B4" w:rsidRDefault="00AC12B4">
            <w:pPr>
              <w:rPr>
                <w:sz w:val="1"/>
                <w:szCs w:val="1"/>
              </w:rPr>
            </w:pPr>
          </w:p>
        </w:tc>
      </w:tr>
      <w:tr w:rsidR="00AC12B4">
        <w:trPr>
          <w:trHeight w:val="305"/>
        </w:trPr>
        <w:tc>
          <w:tcPr>
            <w:tcW w:w="980" w:type="dxa"/>
            <w:gridSpan w:val="2"/>
            <w:vAlign w:val="bottom"/>
          </w:tcPr>
          <w:p w:rsidR="00AC12B4" w:rsidRDefault="00C27636">
            <w:pPr>
              <w:spacing w:line="304" w:lineRule="exact"/>
              <w:rPr>
                <w:sz w:val="20"/>
                <w:szCs w:val="20"/>
              </w:rPr>
            </w:pPr>
            <w:r>
              <w:rPr>
                <w:rFonts w:ascii="Calibri" w:eastAsia="Calibri" w:hAnsi="Calibri" w:cs="Calibri"/>
              </w:rPr>
              <w:t>d’HBSC</w:t>
            </w:r>
            <w:r>
              <w:rPr>
                <w:rFonts w:ascii="Calibri" w:eastAsia="Calibri" w:hAnsi="Calibri" w:cs="Calibri"/>
                <w:sz w:val="27"/>
                <w:szCs w:val="27"/>
                <w:vertAlign w:val="superscript"/>
              </w:rPr>
              <w:t>1</w:t>
            </w:r>
            <w:r>
              <w:rPr>
                <w:rFonts w:ascii="Calibri" w:eastAsia="Calibri" w:hAnsi="Calibri" w:cs="Calibri"/>
              </w:rPr>
              <w:t>.</w:t>
            </w:r>
          </w:p>
        </w:tc>
        <w:tc>
          <w:tcPr>
            <w:tcW w:w="580" w:type="dxa"/>
            <w:vAlign w:val="bottom"/>
          </w:tcPr>
          <w:p w:rsidR="00AC12B4" w:rsidRDefault="00AC12B4">
            <w:pPr>
              <w:rPr>
                <w:sz w:val="24"/>
                <w:szCs w:val="24"/>
              </w:rPr>
            </w:pPr>
          </w:p>
        </w:tc>
        <w:tc>
          <w:tcPr>
            <w:tcW w:w="2600" w:type="dxa"/>
            <w:gridSpan w:val="2"/>
            <w:vMerge/>
            <w:tcBorders>
              <w:left w:val="single" w:sz="8" w:space="0" w:color="C9D11D"/>
              <w:right w:val="single" w:sz="8" w:space="0" w:color="C9D11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51"/>
        </w:trPr>
        <w:tc>
          <w:tcPr>
            <w:tcW w:w="300" w:type="dxa"/>
            <w:vAlign w:val="bottom"/>
          </w:tcPr>
          <w:p w:rsidR="00AC12B4" w:rsidRDefault="00C27636">
            <w:pPr>
              <w:rPr>
                <w:sz w:val="20"/>
                <w:szCs w:val="20"/>
              </w:rPr>
            </w:pPr>
            <w:r>
              <w:rPr>
                <w:rFonts w:ascii="Calibri" w:eastAsia="Calibri" w:hAnsi="Calibri" w:cs="Calibri"/>
              </w:rPr>
              <w:t>En</w:t>
            </w:r>
          </w:p>
        </w:tc>
        <w:tc>
          <w:tcPr>
            <w:tcW w:w="680" w:type="dxa"/>
            <w:vAlign w:val="bottom"/>
          </w:tcPr>
          <w:p w:rsidR="00AC12B4" w:rsidRDefault="00C27636">
            <w:pPr>
              <w:ind w:right="10"/>
              <w:jc w:val="right"/>
              <w:rPr>
                <w:sz w:val="20"/>
                <w:szCs w:val="20"/>
              </w:rPr>
            </w:pPr>
            <w:r>
              <w:rPr>
                <w:rFonts w:ascii="Calibri" w:eastAsia="Calibri" w:hAnsi="Calibri" w:cs="Calibri"/>
              </w:rPr>
              <w:t>2014,</w:t>
            </w:r>
          </w:p>
        </w:tc>
        <w:tc>
          <w:tcPr>
            <w:tcW w:w="580" w:type="dxa"/>
            <w:vAlign w:val="bottom"/>
          </w:tcPr>
          <w:p w:rsidR="00AC12B4" w:rsidRDefault="00C27636">
            <w:pPr>
              <w:ind w:right="50"/>
              <w:jc w:val="right"/>
              <w:rPr>
                <w:sz w:val="20"/>
                <w:szCs w:val="20"/>
              </w:rPr>
            </w:pPr>
            <w:r>
              <w:rPr>
                <w:rFonts w:ascii="Calibri" w:eastAsia="Calibri" w:hAnsi="Calibri" w:cs="Calibri"/>
              </w:rPr>
              <w:t>près</w:t>
            </w:r>
          </w:p>
        </w:tc>
        <w:tc>
          <w:tcPr>
            <w:tcW w:w="2600" w:type="dxa"/>
            <w:gridSpan w:val="2"/>
            <w:vMerge/>
            <w:tcBorders>
              <w:left w:val="single" w:sz="8" w:space="0" w:color="C9D11D"/>
              <w:right w:val="single" w:sz="8" w:space="0" w:color="C9D11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1560" w:type="dxa"/>
            <w:gridSpan w:val="3"/>
            <w:vAlign w:val="bottom"/>
          </w:tcPr>
          <w:p w:rsidR="00AC12B4" w:rsidRDefault="00C27636">
            <w:pPr>
              <w:rPr>
                <w:sz w:val="20"/>
                <w:szCs w:val="20"/>
              </w:rPr>
            </w:pPr>
            <w:r>
              <w:rPr>
                <w:rFonts w:ascii="Calibri" w:eastAsia="Calibri" w:hAnsi="Calibri" w:cs="Calibri"/>
              </w:rPr>
              <w:t>de trois jeunes</w:t>
            </w:r>
          </w:p>
        </w:tc>
        <w:tc>
          <w:tcPr>
            <w:tcW w:w="2600" w:type="dxa"/>
            <w:gridSpan w:val="2"/>
            <w:vMerge/>
            <w:tcBorders>
              <w:left w:val="single" w:sz="8" w:space="0" w:color="C9D11D"/>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2"/>
        </w:trPr>
        <w:tc>
          <w:tcPr>
            <w:tcW w:w="1560" w:type="dxa"/>
            <w:gridSpan w:val="3"/>
            <w:vAlign w:val="bottom"/>
          </w:tcPr>
          <w:p w:rsidR="00AC12B4" w:rsidRDefault="00C27636">
            <w:pPr>
              <w:rPr>
                <w:sz w:val="20"/>
                <w:szCs w:val="20"/>
              </w:rPr>
            </w:pPr>
            <w:r>
              <w:rPr>
                <w:rFonts w:ascii="Calibri" w:eastAsia="Calibri" w:hAnsi="Calibri" w:cs="Calibri"/>
              </w:rPr>
              <w:t>sur dix (28,7%)</w:t>
            </w:r>
          </w:p>
        </w:tc>
        <w:tc>
          <w:tcPr>
            <w:tcW w:w="2600" w:type="dxa"/>
            <w:gridSpan w:val="2"/>
            <w:vMerge/>
            <w:tcBorders>
              <w:left w:val="single" w:sz="8" w:space="0" w:color="C9D11D"/>
              <w:right w:val="single" w:sz="8" w:space="0" w:color="C9D11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74"/>
        </w:trPr>
        <w:tc>
          <w:tcPr>
            <w:tcW w:w="1560" w:type="dxa"/>
            <w:gridSpan w:val="3"/>
            <w:vAlign w:val="bottom"/>
          </w:tcPr>
          <w:p w:rsidR="00AC12B4" w:rsidRDefault="00C27636">
            <w:pPr>
              <w:spacing w:line="225" w:lineRule="exact"/>
              <w:rPr>
                <w:sz w:val="20"/>
                <w:szCs w:val="20"/>
              </w:rPr>
            </w:pPr>
            <w:r>
              <w:rPr>
                <w:rFonts w:ascii="Calibri" w:eastAsia="Calibri" w:hAnsi="Calibri" w:cs="Calibri"/>
              </w:rPr>
              <w:t>rapportent une</w:t>
            </w:r>
          </w:p>
        </w:tc>
        <w:tc>
          <w:tcPr>
            <w:tcW w:w="1380" w:type="dxa"/>
            <w:tcBorders>
              <w:left w:val="single" w:sz="8" w:space="0" w:color="C9D11D"/>
            </w:tcBorders>
            <w:vAlign w:val="bottom"/>
          </w:tcPr>
          <w:p w:rsidR="00AC12B4" w:rsidRDefault="00C27636">
            <w:pPr>
              <w:spacing w:line="275" w:lineRule="exact"/>
              <w:ind w:left="200"/>
              <w:rPr>
                <w:sz w:val="20"/>
                <w:szCs w:val="20"/>
              </w:rPr>
            </w:pPr>
            <w:r>
              <w:rPr>
                <w:rFonts w:ascii="Comic Sans MS" w:eastAsia="Comic Sans MS" w:hAnsi="Comic Sans MS" w:cs="Comic Sans MS"/>
                <w:sz w:val="20"/>
                <w:szCs w:val="20"/>
              </w:rPr>
              <w:t xml:space="preserve">des  </w:t>
            </w:r>
            <w:r>
              <w:rPr>
                <w:rFonts w:ascii="Comic Sans MS" w:eastAsia="Comic Sans MS" w:hAnsi="Comic Sans MS" w:cs="Comic Sans MS"/>
                <w:sz w:val="20"/>
                <w:szCs w:val="20"/>
              </w:rPr>
              <w:t>jeunes</w:t>
            </w:r>
          </w:p>
        </w:tc>
        <w:tc>
          <w:tcPr>
            <w:tcW w:w="1220" w:type="dxa"/>
            <w:tcBorders>
              <w:right w:val="single" w:sz="8" w:space="0" w:color="C9D11D"/>
            </w:tcBorders>
            <w:vAlign w:val="bottom"/>
          </w:tcPr>
          <w:p w:rsidR="00AC12B4" w:rsidRDefault="00C27636">
            <w:pPr>
              <w:spacing w:line="275" w:lineRule="exact"/>
              <w:ind w:right="80"/>
              <w:jc w:val="right"/>
              <w:rPr>
                <w:sz w:val="20"/>
                <w:szCs w:val="20"/>
              </w:rPr>
            </w:pPr>
            <w:r>
              <w:rPr>
                <w:rFonts w:ascii="Comic Sans MS" w:eastAsia="Comic Sans MS" w:hAnsi="Comic Sans MS" w:cs="Comic Sans MS"/>
                <w:sz w:val="20"/>
                <w:szCs w:val="20"/>
              </w:rPr>
              <w:t>interrogés</w:t>
            </w:r>
          </w:p>
        </w:tc>
        <w:tc>
          <w:tcPr>
            <w:tcW w:w="0" w:type="dxa"/>
            <w:vAlign w:val="bottom"/>
          </w:tcPr>
          <w:p w:rsidR="00AC12B4" w:rsidRDefault="00AC12B4">
            <w:pPr>
              <w:rPr>
                <w:sz w:val="1"/>
                <w:szCs w:val="1"/>
              </w:rPr>
            </w:pPr>
          </w:p>
        </w:tc>
      </w:tr>
      <w:tr w:rsidR="00AC12B4">
        <w:trPr>
          <w:trHeight w:val="269"/>
        </w:trPr>
        <w:tc>
          <w:tcPr>
            <w:tcW w:w="1560" w:type="dxa"/>
            <w:gridSpan w:val="3"/>
            <w:vAlign w:val="bottom"/>
          </w:tcPr>
          <w:p w:rsidR="00AC12B4" w:rsidRDefault="00C27636">
            <w:pPr>
              <w:spacing w:line="220" w:lineRule="exact"/>
              <w:rPr>
                <w:sz w:val="20"/>
                <w:szCs w:val="20"/>
              </w:rPr>
            </w:pPr>
            <w:r>
              <w:rPr>
                <w:rFonts w:ascii="Calibri" w:eastAsia="Calibri" w:hAnsi="Calibri" w:cs="Calibri"/>
              </w:rPr>
              <w:t>alimentation</w:t>
            </w:r>
          </w:p>
        </w:tc>
        <w:tc>
          <w:tcPr>
            <w:tcW w:w="1380" w:type="dxa"/>
            <w:tcBorders>
              <w:left w:val="single" w:sz="8" w:space="0" w:color="C9D11D"/>
            </w:tcBorders>
            <w:vAlign w:val="bottom"/>
          </w:tcPr>
          <w:p w:rsidR="00AC12B4" w:rsidRDefault="00C27636">
            <w:pPr>
              <w:spacing w:line="269" w:lineRule="exact"/>
              <w:ind w:left="200"/>
              <w:rPr>
                <w:sz w:val="20"/>
                <w:szCs w:val="20"/>
              </w:rPr>
            </w:pPr>
            <w:r>
              <w:rPr>
                <w:rFonts w:ascii="Comic Sans MS" w:eastAsia="Comic Sans MS" w:hAnsi="Comic Sans MS" w:cs="Comic Sans MS"/>
                <w:sz w:val="20"/>
                <w:szCs w:val="20"/>
              </w:rPr>
              <w:t>rapportent</w:t>
            </w:r>
          </w:p>
        </w:tc>
        <w:tc>
          <w:tcPr>
            <w:tcW w:w="1220" w:type="dxa"/>
            <w:tcBorders>
              <w:right w:val="single" w:sz="8" w:space="0" w:color="C9D11D"/>
            </w:tcBorders>
            <w:vAlign w:val="bottom"/>
          </w:tcPr>
          <w:p w:rsidR="00AC12B4" w:rsidRDefault="00C27636">
            <w:pPr>
              <w:spacing w:line="269" w:lineRule="exact"/>
              <w:ind w:right="80"/>
              <w:jc w:val="right"/>
              <w:rPr>
                <w:sz w:val="20"/>
                <w:szCs w:val="20"/>
              </w:rPr>
            </w:pPr>
            <w:r>
              <w:rPr>
                <w:rFonts w:ascii="Comic Sans MS" w:eastAsia="Comic Sans MS" w:hAnsi="Comic Sans MS" w:cs="Comic Sans MS"/>
                <w:sz w:val="20"/>
                <w:szCs w:val="20"/>
              </w:rPr>
              <w:t>une</w:t>
            </w:r>
          </w:p>
        </w:tc>
        <w:tc>
          <w:tcPr>
            <w:tcW w:w="0" w:type="dxa"/>
            <w:vAlign w:val="bottom"/>
          </w:tcPr>
          <w:p w:rsidR="00AC12B4" w:rsidRDefault="00AC12B4">
            <w:pPr>
              <w:rPr>
                <w:sz w:val="1"/>
                <w:szCs w:val="1"/>
              </w:rPr>
            </w:pPr>
          </w:p>
        </w:tc>
      </w:tr>
      <w:tr w:rsidR="00AC12B4">
        <w:trPr>
          <w:trHeight w:val="269"/>
        </w:trPr>
        <w:tc>
          <w:tcPr>
            <w:tcW w:w="1560" w:type="dxa"/>
            <w:gridSpan w:val="3"/>
            <w:vAlign w:val="bottom"/>
          </w:tcPr>
          <w:p w:rsidR="00AC12B4" w:rsidRDefault="00C27636">
            <w:pPr>
              <w:spacing w:line="220" w:lineRule="exact"/>
              <w:rPr>
                <w:sz w:val="20"/>
                <w:szCs w:val="20"/>
              </w:rPr>
            </w:pPr>
            <w:r>
              <w:rPr>
                <w:rFonts w:ascii="Calibri" w:eastAsia="Calibri" w:hAnsi="Calibri" w:cs="Calibri"/>
              </w:rPr>
              <w:t>« équilibrée »,</w:t>
            </w:r>
          </w:p>
        </w:tc>
        <w:tc>
          <w:tcPr>
            <w:tcW w:w="1380" w:type="dxa"/>
            <w:tcBorders>
              <w:left w:val="single" w:sz="8" w:space="0" w:color="C9D11D"/>
            </w:tcBorders>
            <w:vAlign w:val="bottom"/>
          </w:tcPr>
          <w:p w:rsidR="00AC12B4" w:rsidRDefault="00C27636">
            <w:pPr>
              <w:spacing w:line="269" w:lineRule="exact"/>
              <w:ind w:left="200"/>
              <w:rPr>
                <w:sz w:val="20"/>
                <w:szCs w:val="20"/>
              </w:rPr>
            </w:pPr>
            <w:r>
              <w:rPr>
                <w:rFonts w:ascii="Comic Sans MS" w:eastAsia="Comic Sans MS" w:hAnsi="Comic Sans MS" w:cs="Comic Sans MS"/>
                <w:sz w:val="20"/>
                <w:szCs w:val="20"/>
              </w:rPr>
              <w:t>alimentation</w:t>
            </w:r>
          </w:p>
        </w:tc>
        <w:tc>
          <w:tcPr>
            <w:tcW w:w="1220" w:type="dxa"/>
            <w:tcBorders>
              <w:right w:val="single" w:sz="8" w:space="0" w:color="C9D11D"/>
            </w:tcBorders>
            <w:vAlign w:val="bottom"/>
          </w:tcPr>
          <w:p w:rsidR="00AC12B4" w:rsidRDefault="00C27636">
            <w:pPr>
              <w:spacing w:line="269" w:lineRule="exact"/>
              <w:ind w:right="80"/>
              <w:jc w:val="right"/>
              <w:rPr>
                <w:sz w:val="20"/>
                <w:szCs w:val="20"/>
              </w:rPr>
            </w:pPr>
            <w:r>
              <w:rPr>
                <w:rFonts w:ascii="Comic Sans MS" w:eastAsia="Comic Sans MS" w:hAnsi="Comic Sans MS" w:cs="Comic Sans MS"/>
                <w:sz w:val="20"/>
                <w:szCs w:val="20"/>
              </w:rPr>
              <w:t>non</w:t>
            </w:r>
          </w:p>
        </w:tc>
        <w:tc>
          <w:tcPr>
            <w:tcW w:w="0" w:type="dxa"/>
            <w:vAlign w:val="bottom"/>
          </w:tcPr>
          <w:p w:rsidR="00AC12B4" w:rsidRDefault="00AC12B4">
            <w:pPr>
              <w:rPr>
                <w:sz w:val="1"/>
                <w:szCs w:val="1"/>
              </w:rPr>
            </w:pPr>
          </w:p>
        </w:tc>
      </w:tr>
      <w:tr w:rsidR="00AC12B4">
        <w:trPr>
          <w:trHeight w:val="269"/>
        </w:trPr>
        <w:tc>
          <w:tcPr>
            <w:tcW w:w="300" w:type="dxa"/>
            <w:vAlign w:val="bottom"/>
          </w:tcPr>
          <w:p w:rsidR="00AC12B4" w:rsidRDefault="00C27636">
            <w:pPr>
              <w:spacing w:line="220" w:lineRule="exact"/>
              <w:rPr>
                <w:sz w:val="20"/>
                <w:szCs w:val="20"/>
              </w:rPr>
            </w:pPr>
            <w:r>
              <w:rPr>
                <w:rFonts w:ascii="Calibri" w:eastAsia="Calibri" w:hAnsi="Calibri" w:cs="Calibri"/>
              </w:rPr>
              <w:t>un</w:t>
            </w:r>
          </w:p>
        </w:tc>
        <w:tc>
          <w:tcPr>
            <w:tcW w:w="680" w:type="dxa"/>
            <w:vAlign w:val="bottom"/>
          </w:tcPr>
          <w:p w:rsidR="00AC12B4" w:rsidRDefault="00C27636">
            <w:pPr>
              <w:spacing w:line="220" w:lineRule="exact"/>
              <w:jc w:val="right"/>
              <w:rPr>
                <w:sz w:val="20"/>
                <w:szCs w:val="20"/>
              </w:rPr>
            </w:pPr>
            <w:r>
              <w:rPr>
                <w:rFonts w:ascii="Calibri" w:eastAsia="Calibri" w:hAnsi="Calibri" w:cs="Calibri"/>
              </w:rPr>
              <w:t>jeune</w:t>
            </w:r>
          </w:p>
        </w:tc>
        <w:tc>
          <w:tcPr>
            <w:tcW w:w="580" w:type="dxa"/>
            <w:vAlign w:val="bottom"/>
          </w:tcPr>
          <w:p w:rsidR="00AC12B4" w:rsidRDefault="00C27636">
            <w:pPr>
              <w:spacing w:line="220" w:lineRule="exact"/>
              <w:ind w:right="50"/>
              <w:jc w:val="right"/>
              <w:rPr>
                <w:sz w:val="20"/>
                <w:szCs w:val="20"/>
              </w:rPr>
            </w:pPr>
            <w:r>
              <w:rPr>
                <w:rFonts w:ascii="Calibri" w:eastAsia="Calibri" w:hAnsi="Calibri" w:cs="Calibri"/>
              </w:rPr>
              <w:t>sur</w:t>
            </w:r>
          </w:p>
        </w:tc>
        <w:tc>
          <w:tcPr>
            <w:tcW w:w="1380" w:type="dxa"/>
            <w:tcBorders>
              <w:left w:val="single" w:sz="8" w:space="0" w:color="C9D11D"/>
            </w:tcBorders>
            <w:vAlign w:val="bottom"/>
          </w:tcPr>
          <w:p w:rsidR="00AC12B4" w:rsidRDefault="00C27636">
            <w:pPr>
              <w:spacing w:line="269" w:lineRule="exact"/>
              <w:ind w:left="200"/>
              <w:rPr>
                <w:sz w:val="20"/>
                <w:szCs w:val="20"/>
              </w:rPr>
            </w:pPr>
            <w:r>
              <w:rPr>
                <w:rFonts w:ascii="Comic Sans MS" w:eastAsia="Comic Sans MS" w:hAnsi="Comic Sans MS" w:cs="Comic Sans MS"/>
                <w:sz w:val="20"/>
                <w:szCs w:val="20"/>
              </w:rPr>
              <w:t>équilibrée</w:t>
            </w:r>
          </w:p>
        </w:tc>
        <w:tc>
          <w:tcPr>
            <w:tcW w:w="1220" w:type="dxa"/>
            <w:tcBorders>
              <w:right w:val="single" w:sz="8" w:space="0" w:color="C9D11D"/>
            </w:tcBorders>
            <w:vAlign w:val="bottom"/>
          </w:tcPr>
          <w:p w:rsidR="00AC12B4" w:rsidRDefault="00C27636">
            <w:pPr>
              <w:spacing w:line="269" w:lineRule="exact"/>
              <w:ind w:right="80"/>
              <w:jc w:val="right"/>
              <w:rPr>
                <w:sz w:val="20"/>
                <w:szCs w:val="20"/>
              </w:rPr>
            </w:pPr>
            <w:r>
              <w:rPr>
                <w:rFonts w:ascii="Comic Sans MS" w:eastAsia="Comic Sans MS" w:hAnsi="Comic Sans MS" w:cs="Comic Sans MS"/>
                <w:sz w:val="20"/>
                <w:szCs w:val="20"/>
              </w:rPr>
              <w:t>(HBSC</w:t>
            </w:r>
          </w:p>
        </w:tc>
        <w:tc>
          <w:tcPr>
            <w:tcW w:w="0" w:type="dxa"/>
            <w:vAlign w:val="bottom"/>
          </w:tcPr>
          <w:p w:rsidR="00AC12B4" w:rsidRDefault="00AC12B4">
            <w:pPr>
              <w:rPr>
                <w:sz w:val="1"/>
                <w:szCs w:val="1"/>
              </w:rPr>
            </w:pPr>
          </w:p>
        </w:tc>
      </w:tr>
      <w:tr w:rsidR="00AC12B4">
        <w:trPr>
          <w:trHeight w:val="269"/>
        </w:trPr>
        <w:tc>
          <w:tcPr>
            <w:tcW w:w="1560" w:type="dxa"/>
            <w:gridSpan w:val="3"/>
            <w:vAlign w:val="bottom"/>
          </w:tcPr>
          <w:p w:rsidR="00AC12B4" w:rsidRDefault="00C27636">
            <w:pPr>
              <w:spacing w:line="220" w:lineRule="exact"/>
              <w:rPr>
                <w:sz w:val="20"/>
                <w:szCs w:val="20"/>
              </w:rPr>
            </w:pPr>
            <w:r>
              <w:rPr>
                <w:rFonts w:ascii="Calibri" w:eastAsia="Calibri" w:hAnsi="Calibri" w:cs="Calibri"/>
              </w:rPr>
              <w:t>deux   (51,8%)</w:t>
            </w:r>
          </w:p>
        </w:tc>
        <w:tc>
          <w:tcPr>
            <w:tcW w:w="1380" w:type="dxa"/>
            <w:tcBorders>
              <w:left w:val="single" w:sz="8" w:space="0" w:color="C9D11D"/>
            </w:tcBorders>
            <w:vAlign w:val="bottom"/>
          </w:tcPr>
          <w:p w:rsidR="00AC12B4" w:rsidRDefault="00C27636">
            <w:pPr>
              <w:spacing w:line="269" w:lineRule="exact"/>
              <w:ind w:left="200"/>
              <w:rPr>
                <w:sz w:val="20"/>
                <w:szCs w:val="20"/>
              </w:rPr>
            </w:pPr>
            <w:r>
              <w:rPr>
                <w:rFonts w:ascii="Comic Sans MS" w:eastAsia="Comic Sans MS" w:hAnsi="Comic Sans MS" w:cs="Comic Sans MS"/>
                <w:sz w:val="20"/>
                <w:szCs w:val="20"/>
              </w:rPr>
              <w:t>2014).</w:t>
            </w:r>
          </w:p>
        </w:tc>
        <w:tc>
          <w:tcPr>
            <w:tcW w:w="1220" w:type="dxa"/>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18"/>
        </w:trPr>
        <w:tc>
          <w:tcPr>
            <w:tcW w:w="980" w:type="dxa"/>
            <w:gridSpan w:val="2"/>
            <w:vMerge w:val="restart"/>
            <w:vAlign w:val="bottom"/>
          </w:tcPr>
          <w:p w:rsidR="00AC12B4" w:rsidRDefault="00C27636">
            <w:pPr>
              <w:spacing w:line="220" w:lineRule="exact"/>
              <w:rPr>
                <w:sz w:val="20"/>
                <w:szCs w:val="20"/>
              </w:rPr>
            </w:pPr>
            <w:r>
              <w:rPr>
                <w:rFonts w:ascii="Calibri" w:eastAsia="Calibri" w:hAnsi="Calibri" w:cs="Calibri"/>
              </w:rPr>
              <w:t>rapporte</w:t>
            </w:r>
          </w:p>
        </w:tc>
        <w:tc>
          <w:tcPr>
            <w:tcW w:w="580" w:type="dxa"/>
            <w:vMerge w:val="restart"/>
            <w:vAlign w:val="bottom"/>
          </w:tcPr>
          <w:p w:rsidR="00AC12B4" w:rsidRDefault="00C27636">
            <w:pPr>
              <w:spacing w:line="220" w:lineRule="exact"/>
              <w:ind w:right="50"/>
              <w:jc w:val="right"/>
              <w:rPr>
                <w:sz w:val="20"/>
                <w:szCs w:val="20"/>
              </w:rPr>
            </w:pPr>
            <w:r>
              <w:rPr>
                <w:rFonts w:ascii="Calibri" w:eastAsia="Calibri" w:hAnsi="Calibri" w:cs="Calibri"/>
              </w:rPr>
              <w:t>une</w:t>
            </w:r>
          </w:p>
        </w:tc>
        <w:tc>
          <w:tcPr>
            <w:tcW w:w="1380" w:type="dxa"/>
            <w:tcBorders>
              <w:left w:val="single" w:sz="8" w:space="0" w:color="C9D11D"/>
              <w:bottom w:val="single" w:sz="8" w:space="0" w:color="C9D11D"/>
            </w:tcBorders>
            <w:vAlign w:val="bottom"/>
          </w:tcPr>
          <w:p w:rsidR="00AC12B4" w:rsidRDefault="00AC12B4">
            <w:pPr>
              <w:rPr>
                <w:sz w:val="10"/>
                <w:szCs w:val="10"/>
              </w:rPr>
            </w:pPr>
          </w:p>
        </w:tc>
        <w:tc>
          <w:tcPr>
            <w:tcW w:w="1220" w:type="dxa"/>
            <w:tcBorders>
              <w:bottom w:val="single" w:sz="8" w:space="0" w:color="C9D11D"/>
              <w:right w:val="single" w:sz="8" w:space="0" w:color="C9D11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82"/>
        </w:trPr>
        <w:tc>
          <w:tcPr>
            <w:tcW w:w="980" w:type="dxa"/>
            <w:gridSpan w:val="2"/>
            <w:vMerge/>
            <w:vAlign w:val="bottom"/>
          </w:tcPr>
          <w:p w:rsidR="00AC12B4" w:rsidRDefault="00AC12B4">
            <w:pPr>
              <w:rPr>
                <w:sz w:val="7"/>
                <w:szCs w:val="7"/>
              </w:rPr>
            </w:pPr>
          </w:p>
        </w:tc>
        <w:tc>
          <w:tcPr>
            <w:tcW w:w="580" w:type="dxa"/>
            <w:vMerge/>
            <w:vAlign w:val="bottom"/>
          </w:tcPr>
          <w:p w:rsidR="00AC12B4" w:rsidRDefault="00AC12B4">
            <w:pPr>
              <w:rPr>
                <w:sz w:val="7"/>
                <w:szCs w:val="7"/>
              </w:rPr>
            </w:pPr>
          </w:p>
        </w:tc>
        <w:tc>
          <w:tcPr>
            <w:tcW w:w="1380" w:type="dxa"/>
            <w:vAlign w:val="bottom"/>
          </w:tcPr>
          <w:p w:rsidR="00AC12B4" w:rsidRDefault="00AC12B4">
            <w:pPr>
              <w:rPr>
                <w:sz w:val="7"/>
                <w:szCs w:val="7"/>
              </w:rPr>
            </w:pPr>
          </w:p>
        </w:tc>
        <w:tc>
          <w:tcPr>
            <w:tcW w:w="1220" w:type="dxa"/>
            <w:vAlign w:val="bottom"/>
          </w:tcPr>
          <w:p w:rsidR="00AC12B4" w:rsidRDefault="00AC12B4">
            <w:pPr>
              <w:rPr>
                <w:sz w:val="7"/>
                <w:szCs w:val="7"/>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45088" behindDoc="1" locked="0" layoutInCell="0" allowOverlap="1">
                <wp:simplePos x="0" y="0"/>
                <wp:positionH relativeFrom="column">
                  <wp:posOffset>299085</wp:posOffset>
                </wp:positionH>
                <wp:positionV relativeFrom="paragraph">
                  <wp:posOffset>232410</wp:posOffset>
                </wp:positionV>
                <wp:extent cx="1829435" cy="0"/>
                <wp:effectExtent l="0" t="0" r="0" b="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5pt,18.3pt" to="167.6pt,18.3pt" o:allowincell="f" strokecolor="#000000" strokeweight="0.72pt"/>
            </w:pict>
          </mc:Fallback>
        </mc:AlternateContent>
      </w:r>
    </w:p>
    <w:p w:rsidR="00AC12B4" w:rsidRDefault="00AC12B4">
      <w:pPr>
        <w:spacing w:line="200" w:lineRule="exact"/>
        <w:rPr>
          <w:sz w:val="20"/>
          <w:szCs w:val="20"/>
        </w:rPr>
      </w:pPr>
    </w:p>
    <w:p w:rsidR="00AC12B4" w:rsidRDefault="00AC12B4">
      <w:pPr>
        <w:spacing w:line="368" w:lineRule="exact"/>
        <w:rPr>
          <w:sz w:val="20"/>
          <w:szCs w:val="20"/>
        </w:rPr>
      </w:pPr>
    </w:p>
    <w:p w:rsidR="00AC12B4" w:rsidRPr="00C27636" w:rsidRDefault="00C27636">
      <w:pPr>
        <w:spacing w:line="231" w:lineRule="auto"/>
        <w:ind w:left="480" w:right="300"/>
        <w:jc w:val="both"/>
        <w:rPr>
          <w:sz w:val="20"/>
          <w:szCs w:val="20"/>
          <w:lang w:val="fr-BE"/>
        </w:rPr>
      </w:pPr>
      <w:r w:rsidRPr="00C27636">
        <w:rPr>
          <w:rFonts w:ascii="Calibri" w:eastAsia="Calibri" w:hAnsi="Calibri" w:cs="Calibri"/>
          <w:sz w:val="25"/>
          <w:szCs w:val="25"/>
          <w:vertAlign w:val="superscript"/>
          <w:lang w:val="fr-BE"/>
        </w:rPr>
        <w:lastRenderedPageBreak/>
        <w:t>1</w:t>
      </w:r>
      <w:r w:rsidRPr="00C27636">
        <w:rPr>
          <w:rFonts w:ascii="Calibri" w:eastAsia="Calibri" w:hAnsi="Calibri" w:cs="Calibri"/>
          <w:sz w:val="20"/>
          <w:szCs w:val="20"/>
          <w:lang w:val="fr-BE"/>
        </w:rPr>
        <w:t xml:space="preserve"> « Ce score s’appuie sur la fréquence de consommation d’aliments «sains» (fruits, légumes et poisson) ainsi que sur la faible fréquence de consommation d’aliments relativement non recommandés sur le plan nutritionnel (boissons sucrées, sucreries et frites)</w:t>
      </w:r>
      <w:r w:rsidRPr="00C27636">
        <w:rPr>
          <w:rFonts w:ascii="Calibri" w:eastAsia="Calibri" w:hAnsi="Calibri" w:cs="Calibri"/>
          <w:sz w:val="20"/>
          <w:szCs w:val="20"/>
          <w:lang w:val="fr-BE"/>
        </w:rPr>
        <w:t>.</w:t>
      </w:r>
    </w:p>
    <w:p w:rsidR="00AC12B4" w:rsidRPr="00C27636" w:rsidRDefault="00AC12B4">
      <w:pPr>
        <w:spacing w:line="127" w:lineRule="exact"/>
        <w:rPr>
          <w:sz w:val="20"/>
          <w:szCs w:val="20"/>
          <w:lang w:val="fr-BE"/>
        </w:rPr>
      </w:pPr>
    </w:p>
    <w:p w:rsidR="00AC12B4" w:rsidRPr="00C27636" w:rsidRDefault="00C27636">
      <w:pPr>
        <w:numPr>
          <w:ilvl w:val="0"/>
          <w:numId w:val="129"/>
        </w:numPr>
        <w:tabs>
          <w:tab w:val="left" w:pos="1200"/>
        </w:tabs>
        <w:ind w:left="1200" w:hanging="368"/>
        <w:rPr>
          <w:rFonts w:ascii="Calibri" w:eastAsia="Calibri" w:hAnsi="Calibri" w:cs="Calibri"/>
          <w:b/>
          <w:bCs/>
          <w:sz w:val="20"/>
          <w:szCs w:val="20"/>
          <w:lang w:val="fr-BE"/>
        </w:rPr>
      </w:pPr>
      <w:r w:rsidRPr="00C27636">
        <w:rPr>
          <w:rFonts w:ascii="Calibri" w:eastAsia="Calibri" w:hAnsi="Calibri" w:cs="Calibri"/>
          <w:sz w:val="20"/>
          <w:szCs w:val="20"/>
          <w:lang w:val="fr-BE"/>
        </w:rPr>
        <w:t>Un point est attribué au jeune lorsqu’il</w:t>
      </w:r>
    </w:p>
    <w:p w:rsidR="00AC12B4" w:rsidRPr="00C27636" w:rsidRDefault="00AC12B4">
      <w:pPr>
        <w:spacing w:line="47" w:lineRule="exact"/>
        <w:rPr>
          <w:rFonts w:ascii="Calibri" w:eastAsia="Calibri" w:hAnsi="Calibri" w:cs="Calibri"/>
          <w:b/>
          <w:bCs/>
          <w:sz w:val="20"/>
          <w:szCs w:val="20"/>
          <w:lang w:val="fr-BE"/>
        </w:rPr>
      </w:pPr>
    </w:p>
    <w:p w:rsidR="00AC12B4" w:rsidRPr="00C27636" w:rsidRDefault="00C27636">
      <w:pPr>
        <w:spacing w:line="228" w:lineRule="auto"/>
        <w:ind w:left="1200" w:right="300"/>
        <w:jc w:val="both"/>
        <w:rPr>
          <w:rFonts w:ascii="Calibri" w:eastAsia="Calibri" w:hAnsi="Calibri" w:cs="Calibri"/>
          <w:b/>
          <w:bCs/>
          <w:sz w:val="20"/>
          <w:szCs w:val="20"/>
          <w:lang w:val="fr-BE"/>
        </w:rPr>
      </w:pPr>
      <w:r w:rsidRPr="00C27636">
        <w:rPr>
          <w:rFonts w:ascii="Calibri" w:eastAsia="Calibri" w:hAnsi="Calibri" w:cs="Calibri"/>
          <w:sz w:val="20"/>
          <w:szCs w:val="20"/>
          <w:lang w:val="fr-BE"/>
        </w:rPr>
        <w:t>consomme : des fruits quotidiennement, des légumes quotidiennement, du poisson au moins une fois par semaine</w:t>
      </w:r>
    </w:p>
    <w:p w:rsidR="00AC12B4" w:rsidRPr="00C27636" w:rsidRDefault="00AC12B4">
      <w:pPr>
        <w:spacing w:line="49" w:lineRule="exact"/>
        <w:rPr>
          <w:rFonts w:ascii="Calibri" w:eastAsia="Calibri" w:hAnsi="Calibri" w:cs="Calibri"/>
          <w:b/>
          <w:bCs/>
          <w:sz w:val="20"/>
          <w:szCs w:val="20"/>
          <w:lang w:val="fr-BE"/>
        </w:rPr>
      </w:pPr>
    </w:p>
    <w:p w:rsidR="00AC12B4" w:rsidRPr="00C27636" w:rsidRDefault="00C27636">
      <w:pPr>
        <w:numPr>
          <w:ilvl w:val="0"/>
          <w:numId w:val="129"/>
        </w:numPr>
        <w:tabs>
          <w:tab w:val="left" w:pos="1200"/>
        </w:tabs>
        <w:spacing w:line="228" w:lineRule="auto"/>
        <w:ind w:left="1200" w:right="300" w:hanging="368"/>
        <w:jc w:val="both"/>
        <w:rPr>
          <w:rFonts w:ascii="Calibri" w:eastAsia="Calibri" w:hAnsi="Calibri" w:cs="Calibri"/>
          <w:b/>
          <w:bCs/>
          <w:sz w:val="20"/>
          <w:szCs w:val="20"/>
          <w:lang w:val="fr-BE"/>
        </w:rPr>
      </w:pPr>
      <w:r w:rsidRPr="00C27636">
        <w:rPr>
          <w:rFonts w:ascii="Calibri" w:eastAsia="Calibri" w:hAnsi="Calibri" w:cs="Calibri"/>
          <w:sz w:val="20"/>
          <w:szCs w:val="20"/>
          <w:lang w:val="fr-BE"/>
        </w:rPr>
        <w:t>et lorsque qu’il NE consomme PAS des sucreries quotidiennement, des boissons sucrées quotidiennement,</w:t>
      </w:r>
      <w:r w:rsidRPr="00C27636">
        <w:rPr>
          <w:rFonts w:ascii="Calibri" w:eastAsia="Calibri" w:hAnsi="Calibri" w:cs="Calibri"/>
          <w:sz w:val="20"/>
          <w:szCs w:val="20"/>
          <w:lang w:val="fr-BE"/>
        </w:rPr>
        <w:t xml:space="preserve"> des frites plus d’une fois par semaine.</w:t>
      </w:r>
    </w:p>
    <w:p w:rsidR="00AC12B4" w:rsidRPr="00C27636" w:rsidRDefault="00AC12B4">
      <w:pPr>
        <w:spacing w:line="49" w:lineRule="exact"/>
        <w:rPr>
          <w:sz w:val="20"/>
          <w:szCs w:val="20"/>
          <w:lang w:val="fr-BE"/>
        </w:rPr>
      </w:pPr>
    </w:p>
    <w:p w:rsidR="00AC12B4" w:rsidRPr="00C27636" w:rsidRDefault="00C27636">
      <w:pPr>
        <w:spacing w:line="234" w:lineRule="auto"/>
        <w:ind w:left="480" w:right="300"/>
        <w:jc w:val="both"/>
        <w:rPr>
          <w:sz w:val="20"/>
          <w:szCs w:val="20"/>
          <w:lang w:val="fr-BE"/>
        </w:rPr>
      </w:pPr>
      <w:r w:rsidRPr="00C27636">
        <w:rPr>
          <w:rFonts w:ascii="Calibri" w:eastAsia="Calibri" w:hAnsi="Calibri" w:cs="Calibri"/>
          <w:sz w:val="20"/>
          <w:szCs w:val="20"/>
          <w:lang w:val="fr-BE"/>
        </w:rPr>
        <w:t xml:space="preserve">Le score ainsi construit varie entre 0 (mauvais équilibre alimentaire) et 6 (bon équilibre alimentaire) » Favresse, D., de Smet, P., Godin, I., </w:t>
      </w:r>
      <w:r w:rsidRPr="00C27636">
        <w:rPr>
          <w:rFonts w:ascii="Calibri" w:eastAsia="Calibri" w:hAnsi="Calibri" w:cs="Calibri"/>
          <w:i/>
          <w:iCs/>
          <w:sz w:val="20"/>
          <w:szCs w:val="20"/>
          <w:lang w:val="fr-BE"/>
        </w:rPr>
        <w:t>La santé des élèves de l’enseignement</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secondaire : résultats de l’enqu</w:t>
      </w:r>
      <w:r w:rsidRPr="00C27636">
        <w:rPr>
          <w:rFonts w:ascii="Calibri" w:eastAsia="Calibri" w:hAnsi="Calibri" w:cs="Calibri"/>
          <w:i/>
          <w:iCs/>
          <w:sz w:val="20"/>
          <w:szCs w:val="20"/>
          <w:lang w:val="fr-BE"/>
        </w:rPr>
        <w:t>ête HBSC 2010 en Fédération Wallonie-Bruxelles</w:t>
      </w:r>
      <w:r w:rsidRPr="00C27636">
        <w:rPr>
          <w:rFonts w:ascii="Calibri" w:eastAsia="Calibri" w:hAnsi="Calibri" w:cs="Calibri"/>
          <w:sz w:val="20"/>
          <w:szCs w:val="20"/>
          <w:lang w:val="fr-BE"/>
        </w:rPr>
        <w:t>, Service</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d’Information Promotion Éducation Santé (SIPES), Bruxelles, ESP-ULB, février 2013, 36.</w:t>
      </w:r>
    </w:p>
    <w:p w:rsidR="00AC12B4" w:rsidRPr="00C27636" w:rsidRDefault="00AC12B4">
      <w:pPr>
        <w:spacing w:line="243" w:lineRule="exact"/>
        <w:rPr>
          <w:sz w:val="20"/>
          <w:szCs w:val="20"/>
          <w:lang w:val="fr-BE"/>
        </w:rPr>
      </w:pPr>
    </w:p>
    <w:p w:rsidR="00AC12B4" w:rsidRDefault="00C27636">
      <w:pPr>
        <w:rPr>
          <w:sz w:val="20"/>
          <w:szCs w:val="20"/>
        </w:rPr>
      </w:pPr>
      <w:r>
        <w:rPr>
          <w:rFonts w:ascii="Calibri" w:eastAsia="Calibri" w:hAnsi="Calibri" w:cs="Calibri"/>
        </w:rPr>
        <w:t>87</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46112"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6" w:bottom="659" w:left="1120" w:header="0" w:footer="0" w:gutter="0"/>
          <w:cols w:num="3" w:space="720" w:equalWidth="0">
            <w:col w:w="4760" w:space="240"/>
            <w:col w:w="4640" w:space="479"/>
            <w:col w:w="342"/>
          </w:cols>
        </w:sectPr>
      </w:pPr>
    </w:p>
    <w:p w:rsidR="00AC12B4" w:rsidRPr="00C27636" w:rsidRDefault="00C27636">
      <w:pPr>
        <w:spacing w:line="212" w:lineRule="exact"/>
        <w:rPr>
          <w:sz w:val="20"/>
          <w:szCs w:val="20"/>
          <w:lang w:val="fr-BE"/>
        </w:rPr>
      </w:pPr>
      <w:bookmarkStart w:id="87" w:name="page88"/>
      <w:bookmarkEnd w:id="87"/>
      <w:r>
        <w:rPr>
          <w:noProof/>
          <w:sz w:val="20"/>
          <w:szCs w:val="20"/>
        </w:rPr>
        <w:lastRenderedPageBreak/>
        <w:drawing>
          <wp:anchor distT="0" distB="0" distL="114300" distR="114300" simplePos="0" relativeHeight="251547136" behindDoc="1" locked="0" layoutInCell="0" allowOverlap="1">
            <wp:simplePos x="0" y="0"/>
            <wp:positionH relativeFrom="page">
              <wp:posOffset>0</wp:posOffset>
            </wp:positionH>
            <wp:positionV relativeFrom="page">
              <wp:posOffset>0</wp:posOffset>
            </wp:positionV>
            <wp:extent cx="3736975" cy="10908665"/>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5">
                      <a:clrChange>
                        <a:clrFrom>
                          <a:srgbClr val="FFFFFF"/>
                        </a:clrFrom>
                        <a:clrTo>
                          <a:srgbClr val="FFFFFF">
                            <a:alpha val="0"/>
                          </a:srgbClr>
                        </a:clrTo>
                      </a:clrChange>
                      <a:extLst/>
                    </a:blip>
                    <a:srcRect/>
                    <a:stretch>
                      <a:fillRect/>
                    </a:stretch>
                  </pic:blipFill>
                  <pic:spPr bwMode="auto">
                    <a:xfrm>
                      <a:off x="0" y="0"/>
                      <a:ext cx="3736975" cy="10908665"/>
                    </a:xfrm>
                    <a:prstGeom prst="rect">
                      <a:avLst/>
                    </a:prstGeom>
                    <a:noFill/>
                  </pic:spPr>
                </pic:pic>
              </a:graphicData>
            </a:graphic>
          </wp:anchor>
        </w:drawing>
      </w:r>
    </w:p>
    <w:p w:rsidR="00AC12B4" w:rsidRPr="00C27636" w:rsidRDefault="00C27636">
      <w:pPr>
        <w:spacing w:line="225" w:lineRule="auto"/>
        <w:ind w:left="960" w:right="460"/>
        <w:jc w:val="both"/>
        <w:rPr>
          <w:sz w:val="20"/>
          <w:szCs w:val="20"/>
          <w:lang w:val="fr-BE"/>
        </w:rPr>
      </w:pPr>
      <w:r w:rsidRPr="00C27636">
        <w:rPr>
          <w:rFonts w:ascii="Calibri" w:eastAsia="Calibri" w:hAnsi="Calibri" w:cs="Calibri"/>
          <w:lang w:val="fr-BE"/>
        </w:rPr>
        <w:t>alimentation « moyennement équilibrée » et un jeune sur cinq (19,5%) une alimentation « non équilibrée ».</w:t>
      </w:r>
    </w:p>
    <w:p w:rsidR="00AC12B4" w:rsidRPr="00C27636" w:rsidRDefault="00AC12B4">
      <w:pPr>
        <w:spacing w:line="391" w:lineRule="exact"/>
        <w:rPr>
          <w:sz w:val="20"/>
          <w:szCs w:val="20"/>
          <w:lang w:val="fr-BE"/>
        </w:rPr>
      </w:pPr>
    </w:p>
    <w:p w:rsidR="00AC12B4" w:rsidRPr="00C27636" w:rsidRDefault="00C27636">
      <w:pPr>
        <w:ind w:left="2720"/>
        <w:rPr>
          <w:sz w:val="20"/>
          <w:szCs w:val="20"/>
          <w:lang w:val="fr-BE"/>
        </w:rPr>
      </w:pPr>
      <w:r w:rsidRPr="00C27636">
        <w:rPr>
          <w:rFonts w:ascii="Calibri" w:eastAsia="Calibri" w:hAnsi="Calibri" w:cs="Calibri"/>
          <w:sz w:val="20"/>
          <w:szCs w:val="20"/>
          <w:lang w:val="fr-BE"/>
        </w:rPr>
        <w:t>19,5%</w:t>
      </w:r>
    </w:p>
    <w:p w:rsidR="00AC12B4" w:rsidRPr="00C27636" w:rsidRDefault="00C27636">
      <w:pPr>
        <w:spacing w:line="209" w:lineRule="auto"/>
        <w:ind w:left="860"/>
        <w:rPr>
          <w:sz w:val="20"/>
          <w:szCs w:val="20"/>
          <w:lang w:val="fr-BE"/>
        </w:rPr>
      </w:pPr>
      <w:r w:rsidRPr="00C27636">
        <w:rPr>
          <w:rFonts w:ascii="Calibri" w:eastAsia="Calibri" w:hAnsi="Calibri" w:cs="Calibri"/>
          <w:sz w:val="20"/>
          <w:szCs w:val="20"/>
          <w:lang w:val="fr-BE"/>
        </w:rPr>
        <w:t>28,7%</w:t>
      </w:r>
    </w:p>
    <w:p w:rsidR="00AC12B4" w:rsidRPr="00C27636" w:rsidRDefault="00AC12B4">
      <w:pPr>
        <w:spacing w:line="206" w:lineRule="exact"/>
        <w:rPr>
          <w:sz w:val="20"/>
          <w:szCs w:val="20"/>
          <w:lang w:val="fr-BE"/>
        </w:rPr>
      </w:pPr>
    </w:p>
    <w:p w:rsidR="00AC12B4" w:rsidRPr="00C27636" w:rsidRDefault="00C27636">
      <w:pPr>
        <w:ind w:left="3500"/>
        <w:rPr>
          <w:sz w:val="20"/>
          <w:szCs w:val="20"/>
          <w:lang w:val="fr-BE"/>
        </w:rPr>
      </w:pPr>
      <w:r>
        <w:rPr>
          <w:noProof/>
          <w:sz w:val="1"/>
          <w:szCs w:val="1"/>
        </w:rPr>
        <w:drawing>
          <wp:inline distT="0" distB="0" distL="0" distR="0">
            <wp:extent cx="69850" cy="6858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26">
                      <a:extLst/>
                    </a:blip>
                    <a:srcRect/>
                    <a:stretch>
                      <a:fillRect/>
                    </a:stretch>
                  </pic:blipFill>
                  <pic:spPr bwMode="auto">
                    <a:xfrm>
                      <a:off x="0" y="0"/>
                      <a:ext cx="69850" cy="68580"/>
                    </a:xfrm>
                    <a:prstGeom prst="rect">
                      <a:avLst/>
                    </a:prstGeom>
                    <a:noFill/>
                    <a:ln>
                      <a:noFill/>
                    </a:ln>
                  </pic:spPr>
                </pic:pic>
              </a:graphicData>
            </a:graphic>
          </wp:inline>
        </w:drawing>
      </w:r>
      <w:r w:rsidRPr="00C27636">
        <w:rPr>
          <w:rFonts w:ascii="Calibri" w:eastAsia="Calibri" w:hAnsi="Calibri" w:cs="Calibri"/>
          <w:sz w:val="20"/>
          <w:szCs w:val="20"/>
          <w:lang w:val="fr-BE"/>
        </w:rPr>
        <w:t xml:space="preserve"> Alimentation</w:t>
      </w:r>
    </w:p>
    <w:p w:rsidR="00AC12B4" w:rsidRPr="00C27636" w:rsidRDefault="00AC12B4">
      <w:pPr>
        <w:spacing w:line="1" w:lineRule="exact"/>
        <w:rPr>
          <w:sz w:val="20"/>
          <w:szCs w:val="20"/>
          <w:lang w:val="fr-BE"/>
        </w:rPr>
      </w:pPr>
    </w:p>
    <w:p w:rsidR="00AC12B4" w:rsidRPr="00C27636" w:rsidRDefault="00C27636">
      <w:pPr>
        <w:ind w:left="3660"/>
        <w:rPr>
          <w:sz w:val="20"/>
          <w:szCs w:val="20"/>
          <w:lang w:val="fr-BE"/>
        </w:rPr>
      </w:pPr>
      <w:r w:rsidRPr="00C27636">
        <w:rPr>
          <w:rFonts w:ascii="Calibri" w:eastAsia="Calibri" w:hAnsi="Calibri" w:cs="Calibri"/>
          <w:sz w:val="20"/>
          <w:szCs w:val="20"/>
          <w:lang w:val="fr-BE"/>
        </w:rPr>
        <w:t>"non équilibrée"</w:t>
      </w:r>
    </w:p>
    <w:p w:rsidR="00AC12B4" w:rsidRPr="00C27636" w:rsidRDefault="00AC12B4">
      <w:pPr>
        <w:spacing w:line="200" w:lineRule="exact"/>
        <w:rPr>
          <w:sz w:val="20"/>
          <w:szCs w:val="20"/>
          <w:lang w:val="fr-BE"/>
        </w:rPr>
      </w:pPr>
    </w:p>
    <w:p w:rsidR="00AC12B4" w:rsidRPr="00C27636" w:rsidRDefault="00AC12B4">
      <w:pPr>
        <w:spacing w:line="386" w:lineRule="exact"/>
        <w:rPr>
          <w:sz w:val="20"/>
          <w:szCs w:val="20"/>
          <w:lang w:val="fr-BE"/>
        </w:rPr>
      </w:pPr>
    </w:p>
    <w:p w:rsidR="00AC12B4" w:rsidRPr="00C27636" w:rsidRDefault="00C27636">
      <w:pPr>
        <w:ind w:left="2420"/>
        <w:rPr>
          <w:sz w:val="20"/>
          <w:szCs w:val="20"/>
          <w:lang w:val="fr-BE"/>
        </w:rPr>
      </w:pPr>
      <w:r w:rsidRPr="00C27636">
        <w:rPr>
          <w:rFonts w:ascii="Calibri" w:eastAsia="Calibri" w:hAnsi="Calibri" w:cs="Calibri"/>
          <w:sz w:val="20"/>
          <w:szCs w:val="20"/>
          <w:lang w:val="fr-BE"/>
        </w:rPr>
        <w:t>51,8%</w:t>
      </w:r>
    </w:p>
    <w:p w:rsidR="00AC12B4" w:rsidRPr="00C27636" w:rsidRDefault="00AC12B4">
      <w:pPr>
        <w:spacing w:line="315" w:lineRule="exact"/>
        <w:rPr>
          <w:sz w:val="20"/>
          <w:szCs w:val="20"/>
          <w:lang w:val="fr-BE"/>
        </w:rPr>
      </w:pPr>
    </w:p>
    <w:p w:rsidR="00AC12B4" w:rsidRPr="00C27636" w:rsidRDefault="00C27636">
      <w:pPr>
        <w:spacing w:line="218" w:lineRule="auto"/>
        <w:ind w:left="1000" w:right="200"/>
        <w:rPr>
          <w:sz w:val="20"/>
          <w:szCs w:val="20"/>
          <w:lang w:val="fr-BE"/>
        </w:rPr>
      </w:pPr>
      <w:r w:rsidRPr="00C27636">
        <w:rPr>
          <w:rFonts w:ascii="Calibri" w:eastAsia="Calibri" w:hAnsi="Calibri" w:cs="Calibri"/>
          <w:b/>
          <w:bCs/>
          <w:color w:val="4F81BD"/>
          <w:sz w:val="18"/>
          <w:szCs w:val="18"/>
          <w:lang w:val="fr-BE"/>
        </w:rPr>
        <w:t xml:space="preserve">Figure 1. L’équilibre alimentaire parmi les jeunes </w:t>
      </w:r>
      <w:r w:rsidRPr="00C27636">
        <w:rPr>
          <w:rFonts w:ascii="Calibri" w:eastAsia="Calibri" w:hAnsi="Calibri" w:cs="Calibri"/>
          <w:b/>
          <w:bCs/>
          <w:color w:val="4F81BD"/>
          <w:sz w:val="18"/>
          <w:szCs w:val="18"/>
          <w:lang w:val="fr-BE"/>
        </w:rPr>
        <w:t>(n=21.043), HBSC 2014</w:t>
      </w:r>
    </w:p>
    <w:p w:rsidR="00AC12B4" w:rsidRPr="00C27636" w:rsidRDefault="00AC12B4">
      <w:pPr>
        <w:spacing w:line="200" w:lineRule="exact"/>
        <w:rPr>
          <w:sz w:val="20"/>
          <w:szCs w:val="20"/>
          <w:lang w:val="fr-BE"/>
        </w:rPr>
      </w:pPr>
    </w:p>
    <w:p w:rsidR="00AC12B4" w:rsidRPr="00C27636" w:rsidRDefault="00AC12B4">
      <w:pPr>
        <w:spacing w:line="214" w:lineRule="exact"/>
        <w:rPr>
          <w:sz w:val="20"/>
          <w:szCs w:val="20"/>
          <w:lang w:val="fr-BE"/>
        </w:rPr>
      </w:pPr>
    </w:p>
    <w:tbl>
      <w:tblPr>
        <w:tblW w:w="0" w:type="auto"/>
        <w:tblInd w:w="860" w:type="dxa"/>
        <w:tblLayout w:type="fixed"/>
        <w:tblCellMar>
          <w:left w:w="0" w:type="dxa"/>
          <w:right w:w="0" w:type="dxa"/>
        </w:tblCellMar>
        <w:tblLook w:val="04A0" w:firstRow="1" w:lastRow="0" w:firstColumn="1" w:lastColumn="0" w:noHBand="0" w:noVBand="1"/>
      </w:tblPr>
      <w:tblGrid>
        <w:gridCol w:w="1640"/>
        <w:gridCol w:w="820"/>
        <w:gridCol w:w="720"/>
        <w:gridCol w:w="1200"/>
      </w:tblGrid>
      <w:tr w:rsidR="00AC12B4">
        <w:trPr>
          <w:trHeight w:val="244"/>
        </w:trPr>
        <w:tc>
          <w:tcPr>
            <w:tcW w:w="1640" w:type="dxa"/>
            <w:vAlign w:val="bottom"/>
          </w:tcPr>
          <w:p w:rsidR="00AC12B4" w:rsidRPr="00C27636" w:rsidRDefault="00AC12B4">
            <w:pPr>
              <w:rPr>
                <w:sz w:val="21"/>
                <w:szCs w:val="21"/>
                <w:lang w:val="fr-BE"/>
              </w:rPr>
            </w:pPr>
          </w:p>
        </w:tc>
        <w:tc>
          <w:tcPr>
            <w:tcW w:w="820" w:type="dxa"/>
            <w:vAlign w:val="bottom"/>
          </w:tcPr>
          <w:p w:rsidR="00AC12B4" w:rsidRPr="00C27636" w:rsidRDefault="00AC12B4">
            <w:pPr>
              <w:rPr>
                <w:sz w:val="21"/>
                <w:szCs w:val="21"/>
                <w:lang w:val="fr-BE"/>
              </w:rPr>
            </w:pPr>
          </w:p>
        </w:tc>
        <w:tc>
          <w:tcPr>
            <w:tcW w:w="1920" w:type="dxa"/>
            <w:gridSpan w:val="2"/>
            <w:vAlign w:val="bottom"/>
          </w:tcPr>
          <w:p w:rsidR="00AC12B4" w:rsidRDefault="00C27636">
            <w:pPr>
              <w:ind w:left="80"/>
              <w:rPr>
                <w:sz w:val="20"/>
                <w:szCs w:val="20"/>
              </w:rPr>
            </w:pPr>
            <w:r>
              <w:rPr>
                <w:rFonts w:ascii="Calibri" w:eastAsia="Calibri" w:hAnsi="Calibri" w:cs="Calibri"/>
                <w:color w:val="C9D11D"/>
                <w:sz w:val="20"/>
                <w:szCs w:val="20"/>
              </w:rPr>
              <w:t>Alimentation</w:t>
            </w:r>
          </w:p>
        </w:tc>
      </w:tr>
      <w:tr w:rsidR="00AC12B4">
        <w:trPr>
          <w:trHeight w:val="242"/>
        </w:trPr>
        <w:tc>
          <w:tcPr>
            <w:tcW w:w="1640" w:type="dxa"/>
            <w:vAlign w:val="bottom"/>
          </w:tcPr>
          <w:p w:rsidR="00AC12B4" w:rsidRDefault="00AC12B4">
            <w:pPr>
              <w:rPr>
                <w:sz w:val="21"/>
                <w:szCs w:val="21"/>
              </w:rPr>
            </w:pPr>
          </w:p>
        </w:tc>
        <w:tc>
          <w:tcPr>
            <w:tcW w:w="820" w:type="dxa"/>
            <w:vAlign w:val="bottom"/>
          </w:tcPr>
          <w:p w:rsidR="00AC12B4" w:rsidRDefault="00AC12B4">
            <w:pPr>
              <w:rPr>
                <w:sz w:val="21"/>
                <w:szCs w:val="21"/>
              </w:rPr>
            </w:pPr>
          </w:p>
        </w:tc>
        <w:tc>
          <w:tcPr>
            <w:tcW w:w="1920" w:type="dxa"/>
            <w:gridSpan w:val="2"/>
            <w:vAlign w:val="bottom"/>
          </w:tcPr>
          <w:p w:rsidR="00AC12B4" w:rsidRDefault="00C27636">
            <w:pPr>
              <w:spacing w:line="243" w:lineRule="exact"/>
              <w:ind w:left="80"/>
              <w:rPr>
                <w:sz w:val="20"/>
                <w:szCs w:val="20"/>
              </w:rPr>
            </w:pPr>
            <w:r>
              <w:rPr>
                <w:rFonts w:ascii="Calibri" w:eastAsia="Calibri" w:hAnsi="Calibri" w:cs="Calibri"/>
                <w:color w:val="C9D11D"/>
                <w:sz w:val="20"/>
                <w:szCs w:val="20"/>
              </w:rPr>
              <w:t>"équilibrée"</w:t>
            </w:r>
          </w:p>
        </w:tc>
      </w:tr>
      <w:tr w:rsidR="00AC12B4">
        <w:trPr>
          <w:trHeight w:val="245"/>
        </w:trPr>
        <w:tc>
          <w:tcPr>
            <w:tcW w:w="1640" w:type="dxa"/>
            <w:vAlign w:val="bottom"/>
          </w:tcPr>
          <w:p w:rsidR="00AC12B4" w:rsidRDefault="00AC12B4">
            <w:pPr>
              <w:rPr>
                <w:sz w:val="21"/>
                <w:szCs w:val="21"/>
              </w:rPr>
            </w:pPr>
          </w:p>
        </w:tc>
        <w:tc>
          <w:tcPr>
            <w:tcW w:w="820" w:type="dxa"/>
            <w:vAlign w:val="bottom"/>
          </w:tcPr>
          <w:p w:rsidR="00AC12B4" w:rsidRDefault="00C27636">
            <w:pPr>
              <w:ind w:right="262"/>
              <w:jc w:val="right"/>
              <w:rPr>
                <w:sz w:val="20"/>
                <w:szCs w:val="20"/>
              </w:rPr>
            </w:pPr>
            <w:r>
              <w:rPr>
                <w:rFonts w:ascii="Calibri" w:eastAsia="Calibri" w:hAnsi="Calibri" w:cs="Calibri"/>
                <w:color w:val="C9D11D"/>
                <w:sz w:val="20"/>
                <w:szCs w:val="20"/>
              </w:rPr>
              <w:t>N</w:t>
            </w:r>
          </w:p>
        </w:tc>
        <w:tc>
          <w:tcPr>
            <w:tcW w:w="720" w:type="dxa"/>
            <w:vAlign w:val="bottom"/>
          </w:tcPr>
          <w:p w:rsidR="00AC12B4" w:rsidRDefault="00C27636">
            <w:pPr>
              <w:ind w:left="80"/>
              <w:rPr>
                <w:sz w:val="20"/>
                <w:szCs w:val="20"/>
              </w:rPr>
            </w:pPr>
            <w:r>
              <w:rPr>
                <w:rFonts w:ascii="Calibri" w:eastAsia="Calibri" w:hAnsi="Calibri" w:cs="Calibri"/>
                <w:color w:val="C9D11D"/>
                <w:sz w:val="20"/>
                <w:szCs w:val="20"/>
              </w:rPr>
              <w:t>(%)</w:t>
            </w:r>
          </w:p>
        </w:tc>
        <w:tc>
          <w:tcPr>
            <w:tcW w:w="1200" w:type="dxa"/>
            <w:vAlign w:val="bottom"/>
          </w:tcPr>
          <w:p w:rsidR="00AC12B4" w:rsidRDefault="00C27636">
            <w:pPr>
              <w:ind w:right="161"/>
              <w:jc w:val="right"/>
              <w:rPr>
                <w:sz w:val="20"/>
                <w:szCs w:val="20"/>
              </w:rPr>
            </w:pPr>
            <w:r>
              <w:rPr>
                <w:rFonts w:ascii="Calibri" w:eastAsia="Calibri" w:hAnsi="Calibri" w:cs="Calibri"/>
                <w:color w:val="C9D11D"/>
                <w:sz w:val="20"/>
                <w:szCs w:val="20"/>
              </w:rPr>
              <w:t>p</w:t>
            </w:r>
          </w:p>
        </w:tc>
      </w:tr>
      <w:tr w:rsidR="00AC12B4">
        <w:trPr>
          <w:trHeight w:val="31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Genre</w:t>
            </w:r>
          </w:p>
        </w:tc>
        <w:tc>
          <w:tcPr>
            <w:tcW w:w="820" w:type="dxa"/>
            <w:vAlign w:val="bottom"/>
          </w:tcPr>
          <w:p w:rsidR="00AC12B4" w:rsidRDefault="00C27636">
            <w:pPr>
              <w:jc w:val="right"/>
              <w:rPr>
                <w:sz w:val="20"/>
                <w:szCs w:val="20"/>
              </w:rPr>
            </w:pPr>
            <w:r>
              <w:rPr>
                <w:rFonts w:ascii="Calibri" w:eastAsia="Calibri" w:hAnsi="Calibri" w:cs="Calibri"/>
                <w:sz w:val="20"/>
                <w:szCs w:val="20"/>
              </w:rPr>
              <w:t>21043</w:t>
            </w:r>
          </w:p>
        </w:tc>
        <w:tc>
          <w:tcPr>
            <w:tcW w:w="720" w:type="dxa"/>
            <w:vAlign w:val="bottom"/>
          </w:tcPr>
          <w:p w:rsidR="00AC12B4" w:rsidRDefault="00AC12B4">
            <w:pPr>
              <w:rPr>
                <w:sz w:val="24"/>
                <w:szCs w:val="24"/>
              </w:rPr>
            </w:pPr>
          </w:p>
        </w:tc>
        <w:tc>
          <w:tcPr>
            <w:tcW w:w="120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Garçons</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24,4</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Filles</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33,0</w:t>
            </w:r>
          </w:p>
        </w:tc>
      </w:tr>
      <w:tr w:rsidR="00AC12B4">
        <w:trPr>
          <w:trHeight w:val="6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Age</w:t>
            </w:r>
          </w:p>
        </w:tc>
        <w:tc>
          <w:tcPr>
            <w:tcW w:w="820" w:type="dxa"/>
            <w:vAlign w:val="bottom"/>
          </w:tcPr>
          <w:p w:rsidR="00AC12B4" w:rsidRDefault="00C27636">
            <w:pPr>
              <w:jc w:val="right"/>
              <w:rPr>
                <w:sz w:val="20"/>
                <w:szCs w:val="20"/>
              </w:rPr>
            </w:pPr>
            <w:r>
              <w:rPr>
                <w:rFonts w:ascii="Calibri" w:eastAsia="Calibri" w:hAnsi="Calibri" w:cs="Calibri"/>
                <w:sz w:val="20"/>
                <w:szCs w:val="20"/>
              </w:rPr>
              <w:t>20844</w:t>
            </w:r>
          </w:p>
        </w:tc>
        <w:tc>
          <w:tcPr>
            <w:tcW w:w="720" w:type="dxa"/>
            <w:vAlign w:val="bottom"/>
          </w:tcPr>
          <w:p w:rsidR="00AC12B4" w:rsidRDefault="00AC12B4">
            <w:pPr>
              <w:rPr>
                <w:sz w:val="24"/>
                <w:szCs w:val="24"/>
              </w:rPr>
            </w:pPr>
          </w:p>
        </w:tc>
        <w:tc>
          <w:tcPr>
            <w:tcW w:w="120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10-12 ans</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32,6</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13-14 ans</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28,4</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15-16 ans</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28,0</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17-19 ans</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25,6</w:t>
            </w:r>
          </w:p>
        </w:tc>
      </w:tr>
      <w:tr w:rsidR="00AC12B4">
        <w:trPr>
          <w:trHeight w:val="545"/>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lastRenderedPageBreak/>
              <w:t>Niveau d'aisance</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AC12B4">
            <w:pPr>
              <w:rPr>
                <w:sz w:val="24"/>
                <w:szCs w:val="24"/>
              </w:rPr>
            </w:pPr>
          </w:p>
        </w:tc>
      </w:tr>
      <w:tr w:rsidR="00AC12B4">
        <w:trPr>
          <w:trHeight w:val="245"/>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matérielle</w:t>
            </w:r>
          </w:p>
        </w:tc>
        <w:tc>
          <w:tcPr>
            <w:tcW w:w="820" w:type="dxa"/>
            <w:vAlign w:val="bottom"/>
          </w:tcPr>
          <w:p w:rsidR="00AC12B4" w:rsidRDefault="00C27636">
            <w:pPr>
              <w:jc w:val="right"/>
              <w:rPr>
                <w:sz w:val="20"/>
                <w:szCs w:val="20"/>
              </w:rPr>
            </w:pPr>
            <w:r>
              <w:rPr>
                <w:rFonts w:ascii="Calibri" w:eastAsia="Calibri" w:hAnsi="Calibri" w:cs="Calibri"/>
                <w:sz w:val="20"/>
                <w:szCs w:val="20"/>
              </w:rPr>
              <w:t>19518</w:t>
            </w:r>
          </w:p>
        </w:tc>
        <w:tc>
          <w:tcPr>
            <w:tcW w:w="720" w:type="dxa"/>
            <w:vAlign w:val="bottom"/>
          </w:tcPr>
          <w:p w:rsidR="00AC12B4" w:rsidRDefault="00AC12B4">
            <w:pPr>
              <w:rPr>
                <w:sz w:val="21"/>
                <w:szCs w:val="21"/>
              </w:rPr>
            </w:pPr>
          </w:p>
        </w:tc>
        <w:tc>
          <w:tcPr>
            <w:tcW w:w="120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Faible</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20,8</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Moyen</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27,2</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Elevé</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35,5</w:t>
            </w:r>
          </w:p>
        </w:tc>
      </w:tr>
      <w:tr w:rsidR="00AC12B4">
        <w:trPr>
          <w:trHeight w:val="6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Famille</w:t>
            </w:r>
          </w:p>
        </w:tc>
        <w:tc>
          <w:tcPr>
            <w:tcW w:w="820" w:type="dxa"/>
            <w:vAlign w:val="bottom"/>
          </w:tcPr>
          <w:p w:rsidR="00AC12B4" w:rsidRDefault="00C27636">
            <w:pPr>
              <w:jc w:val="right"/>
              <w:rPr>
                <w:sz w:val="20"/>
                <w:szCs w:val="20"/>
              </w:rPr>
            </w:pPr>
            <w:r>
              <w:rPr>
                <w:rFonts w:ascii="Calibri" w:eastAsia="Calibri" w:hAnsi="Calibri" w:cs="Calibri"/>
                <w:sz w:val="20"/>
                <w:szCs w:val="20"/>
              </w:rPr>
              <w:t>20854</w:t>
            </w:r>
          </w:p>
        </w:tc>
        <w:tc>
          <w:tcPr>
            <w:tcW w:w="720" w:type="dxa"/>
            <w:vAlign w:val="bottom"/>
          </w:tcPr>
          <w:p w:rsidR="00AC12B4" w:rsidRDefault="00AC12B4">
            <w:pPr>
              <w:rPr>
                <w:sz w:val="24"/>
                <w:szCs w:val="24"/>
              </w:rPr>
            </w:pPr>
          </w:p>
        </w:tc>
        <w:tc>
          <w:tcPr>
            <w:tcW w:w="120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2460" w:type="dxa"/>
            <w:gridSpan w:val="2"/>
            <w:vAlign w:val="bottom"/>
          </w:tcPr>
          <w:p w:rsidR="00AC12B4" w:rsidRDefault="00C27636">
            <w:pPr>
              <w:ind w:left="120"/>
              <w:rPr>
                <w:sz w:val="20"/>
                <w:szCs w:val="20"/>
              </w:rPr>
            </w:pPr>
            <w:r>
              <w:rPr>
                <w:rFonts w:ascii="Calibri" w:eastAsia="Calibri" w:hAnsi="Calibri" w:cs="Calibri"/>
                <w:color w:val="C9D11D"/>
                <w:sz w:val="20"/>
                <w:szCs w:val="20"/>
              </w:rPr>
              <w:t>2 parents biologiques</w:t>
            </w: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30,3</w:t>
            </w:r>
          </w:p>
        </w:tc>
      </w:tr>
      <w:tr w:rsidR="00AC12B4">
        <w:trPr>
          <w:trHeight w:val="300"/>
        </w:trPr>
        <w:tc>
          <w:tcPr>
            <w:tcW w:w="1640" w:type="dxa"/>
            <w:vAlign w:val="bottom"/>
          </w:tcPr>
          <w:p w:rsidR="00AC12B4" w:rsidRDefault="00C27636">
            <w:pPr>
              <w:ind w:left="120"/>
              <w:rPr>
                <w:sz w:val="20"/>
                <w:szCs w:val="20"/>
              </w:rPr>
            </w:pPr>
            <w:r>
              <w:rPr>
                <w:rFonts w:ascii="Calibri" w:eastAsia="Calibri" w:hAnsi="Calibri" w:cs="Calibri"/>
                <w:color w:val="C9D11D"/>
                <w:sz w:val="20"/>
                <w:szCs w:val="20"/>
              </w:rPr>
              <w:t>Autres</w:t>
            </w:r>
          </w:p>
        </w:tc>
        <w:tc>
          <w:tcPr>
            <w:tcW w:w="82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1200" w:type="dxa"/>
            <w:vAlign w:val="bottom"/>
          </w:tcPr>
          <w:p w:rsidR="00AC12B4" w:rsidRDefault="00C27636">
            <w:pPr>
              <w:ind w:right="681"/>
              <w:jc w:val="right"/>
              <w:rPr>
                <w:sz w:val="20"/>
                <w:szCs w:val="20"/>
              </w:rPr>
            </w:pPr>
            <w:r>
              <w:rPr>
                <w:rFonts w:ascii="Calibri" w:eastAsia="Calibri" w:hAnsi="Calibri" w:cs="Calibri"/>
                <w:sz w:val="20"/>
                <w:szCs w:val="20"/>
              </w:rPr>
              <w:t>25,4</w:t>
            </w:r>
          </w:p>
        </w:tc>
      </w:tr>
      <w:tr w:rsidR="00AC12B4">
        <w:trPr>
          <w:trHeight w:val="352"/>
        </w:trPr>
        <w:tc>
          <w:tcPr>
            <w:tcW w:w="1640" w:type="dxa"/>
            <w:vAlign w:val="bottom"/>
          </w:tcPr>
          <w:p w:rsidR="00AC12B4" w:rsidRDefault="00C27636">
            <w:pPr>
              <w:rPr>
                <w:sz w:val="20"/>
                <w:szCs w:val="20"/>
              </w:rPr>
            </w:pPr>
            <w:r>
              <w:rPr>
                <w:rFonts w:ascii="Calibri" w:eastAsia="Calibri" w:hAnsi="Calibri" w:cs="Calibri"/>
                <w:b/>
                <w:bCs/>
                <w:color w:val="4F81BD"/>
                <w:sz w:val="18"/>
                <w:szCs w:val="18"/>
              </w:rPr>
              <w:t>Table  1.  Facteurs</w:t>
            </w:r>
          </w:p>
        </w:tc>
        <w:tc>
          <w:tcPr>
            <w:tcW w:w="820" w:type="dxa"/>
            <w:vAlign w:val="bottom"/>
          </w:tcPr>
          <w:p w:rsidR="00AC12B4" w:rsidRDefault="00C27636">
            <w:pPr>
              <w:ind w:right="2"/>
              <w:jc w:val="right"/>
              <w:rPr>
                <w:sz w:val="20"/>
                <w:szCs w:val="20"/>
              </w:rPr>
            </w:pPr>
            <w:r>
              <w:rPr>
                <w:rFonts w:ascii="Calibri" w:eastAsia="Calibri" w:hAnsi="Calibri" w:cs="Calibri"/>
                <w:b/>
                <w:bCs/>
                <w:color w:val="4F81BD"/>
                <w:sz w:val="18"/>
                <w:szCs w:val="18"/>
              </w:rPr>
              <w:t>associés</w:t>
            </w:r>
          </w:p>
        </w:tc>
        <w:tc>
          <w:tcPr>
            <w:tcW w:w="720" w:type="dxa"/>
            <w:vAlign w:val="bottom"/>
          </w:tcPr>
          <w:p w:rsidR="00AC12B4" w:rsidRDefault="00C27636">
            <w:pPr>
              <w:ind w:left="80"/>
              <w:rPr>
                <w:sz w:val="20"/>
                <w:szCs w:val="20"/>
              </w:rPr>
            </w:pPr>
            <w:r>
              <w:rPr>
                <w:rFonts w:ascii="Calibri" w:eastAsia="Calibri" w:hAnsi="Calibri" w:cs="Calibri"/>
                <w:b/>
                <w:bCs/>
                <w:color w:val="4F81BD"/>
                <w:sz w:val="18"/>
                <w:szCs w:val="18"/>
              </w:rPr>
              <w:t>à  une</w:t>
            </w:r>
          </w:p>
        </w:tc>
        <w:tc>
          <w:tcPr>
            <w:tcW w:w="1200" w:type="dxa"/>
            <w:vAlign w:val="bottom"/>
          </w:tcPr>
          <w:p w:rsidR="00AC12B4" w:rsidRDefault="00C27636">
            <w:pPr>
              <w:ind w:right="21"/>
              <w:jc w:val="right"/>
              <w:rPr>
                <w:sz w:val="20"/>
                <w:szCs w:val="20"/>
              </w:rPr>
            </w:pPr>
            <w:r>
              <w:rPr>
                <w:rFonts w:ascii="Calibri" w:eastAsia="Calibri" w:hAnsi="Calibri" w:cs="Calibri"/>
                <w:b/>
                <w:bCs/>
                <w:color w:val="4F81BD"/>
                <w:sz w:val="18"/>
                <w:szCs w:val="18"/>
              </w:rPr>
              <w:t>alimentation</w:t>
            </w:r>
          </w:p>
        </w:tc>
      </w:tr>
    </w:tbl>
    <w:p w:rsidR="00AC12B4" w:rsidRDefault="00C27636">
      <w:pPr>
        <w:spacing w:line="238" w:lineRule="auto"/>
        <w:ind w:left="860"/>
        <w:rPr>
          <w:sz w:val="20"/>
          <w:szCs w:val="20"/>
        </w:rPr>
      </w:pPr>
      <w:r>
        <w:rPr>
          <w:rFonts w:ascii="Calibri" w:eastAsia="Calibri" w:hAnsi="Calibri" w:cs="Calibri"/>
          <w:b/>
          <w:bCs/>
          <w:color w:val="4F81BD"/>
          <w:sz w:val="18"/>
          <w:szCs w:val="18"/>
        </w:rPr>
        <w:t>«équilibrée», HBSC 2014.</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70" w:lineRule="exact"/>
        <w:rPr>
          <w:sz w:val="20"/>
          <w:szCs w:val="20"/>
        </w:rPr>
      </w:pPr>
    </w:p>
    <w:tbl>
      <w:tblPr>
        <w:tblW w:w="0" w:type="auto"/>
        <w:tblInd w:w="5" w:type="dxa"/>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AC12B4">
      <w:pPr>
        <w:spacing w:line="28"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88</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6" w:lineRule="auto"/>
        <w:ind w:right="840"/>
        <w:jc w:val="both"/>
        <w:rPr>
          <w:sz w:val="20"/>
          <w:szCs w:val="20"/>
          <w:lang w:val="fr-BE"/>
        </w:rPr>
      </w:pPr>
      <w:r w:rsidRPr="00C27636">
        <w:rPr>
          <w:rFonts w:ascii="Calibri" w:eastAsia="Calibri" w:hAnsi="Calibri" w:cs="Calibri"/>
          <w:lang w:val="fr-BE"/>
        </w:rPr>
        <w:t xml:space="preserve">Rapporter une alimentation « équilibrée </w:t>
      </w:r>
      <w:r w:rsidRPr="00C27636">
        <w:rPr>
          <w:rFonts w:ascii="Calibri" w:eastAsia="Calibri" w:hAnsi="Calibri" w:cs="Calibri"/>
          <w:lang w:val="fr-BE"/>
        </w:rPr>
        <w:t>» est associée au genre, à l’âge, au niveau d’aisance matérielle et à la structure de la famille. Une alimentation « équilibrée » est plus fréquemment rapportée par les filles et par les jeunes qui vivent avec leurs deux parents. La fréquence d’une aliment</w:t>
      </w:r>
      <w:r w:rsidRPr="00C27636">
        <w:rPr>
          <w:rFonts w:ascii="Calibri" w:eastAsia="Calibri" w:hAnsi="Calibri" w:cs="Calibri"/>
          <w:lang w:val="fr-BE"/>
        </w:rPr>
        <w:t>ation « équilibrée » diminue avec l’âge mais la différence se marque surtout entre les jeunes de 10-12 ans et les jeunes plus âgés. Une alimentation « équilibrée » est plus fréquemment rapportée lorsque le niveau d’aisance matérielle de la famille augmente</w:t>
      </w:r>
      <w:r w:rsidRPr="00C27636">
        <w:rPr>
          <w:rFonts w:ascii="Calibri" w:eastAsia="Calibri" w:hAnsi="Calibri" w:cs="Calibri"/>
          <w:lang w:val="fr-BE"/>
        </w:rPr>
        <w:t>.</w:t>
      </w:r>
    </w:p>
    <w:p w:rsidR="00AC12B4" w:rsidRPr="00C27636" w:rsidRDefault="00AC12B4">
      <w:pPr>
        <w:spacing w:line="182" w:lineRule="exact"/>
        <w:rPr>
          <w:sz w:val="20"/>
          <w:szCs w:val="20"/>
          <w:lang w:val="fr-BE"/>
        </w:rPr>
      </w:pPr>
    </w:p>
    <w:p w:rsidR="00AC12B4" w:rsidRPr="00C27636" w:rsidRDefault="00C27636">
      <w:pPr>
        <w:spacing w:line="232" w:lineRule="auto"/>
        <w:ind w:right="840"/>
        <w:jc w:val="both"/>
        <w:rPr>
          <w:sz w:val="20"/>
          <w:szCs w:val="20"/>
          <w:lang w:val="fr-BE"/>
        </w:rPr>
      </w:pPr>
      <w:r w:rsidRPr="00C27636">
        <w:rPr>
          <w:rFonts w:ascii="Calibri" w:eastAsia="Calibri" w:hAnsi="Calibri" w:cs="Calibri"/>
          <w:lang w:val="fr-BE"/>
        </w:rPr>
        <w:t>En ce qui concerne la prise de petit-déjeuner, six jeunes sur dix (62,4%) rapportent qu'ils prennent le petit-déjeuner tous les jours en semaine et près d'un élève sur cinq (17,7%) rapporte qu'il n'en prend jamais (HBSC 2014).</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48160" behindDoc="1" locked="0" layoutInCell="0" allowOverlap="1">
                <wp:simplePos x="0" y="0"/>
                <wp:positionH relativeFrom="column">
                  <wp:posOffset>3053715</wp:posOffset>
                </wp:positionH>
                <wp:positionV relativeFrom="paragraph">
                  <wp:posOffset>141605</wp:posOffset>
                </wp:positionV>
                <wp:extent cx="0" cy="2015490"/>
                <wp:effectExtent l="0" t="0" r="0" b="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015490"/>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45pt,11.15pt" to="240.45pt,169.85pt" o:allowincell="f" strokecolor="#C9D11D" strokeweight="0.75pt"/>
            </w:pict>
          </mc:Fallback>
        </mc:AlternateContent>
      </w:r>
      <w:r>
        <w:rPr>
          <w:noProof/>
          <w:sz w:val="20"/>
          <w:szCs w:val="20"/>
        </w:rPr>
        <mc:AlternateContent>
          <mc:Choice Requires="wps">
            <w:drawing>
              <wp:anchor distT="0" distB="0" distL="114300" distR="114300" simplePos="0" relativeHeight="251549184" behindDoc="1" locked="0" layoutInCell="0" allowOverlap="1">
                <wp:simplePos x="0" y="0"/>
                <wp:positionH relativeFrom="column">
                  <wp:posOffset>45085</wp:posOffset>
                </wp:positionH>
                <wp:positionV relativeFrom="paragraph">
                  <wp:posOffset>146050</wp:posOffset>
                </wp:positionV>
                <wp:extent cx="3013075" cy="0"/>
                <wp:effectExtent l="0" t="0" r="0" b="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13075" cy="4763"/>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pt,11.5pt" to="240.8pt,11.5pt" o:allowincell="f" strokecolor="#C9D11D" strokeweight="0.75pt"/>
            </w:pict>
          </mc:Fallback>
        </mc:AlternateContent>
      </w:r>
      <w:r>
        <w:rPr>
          <w:noProof/>
          <w:sz w:val="20"/>
          <w:szCs w:val="20"/>
        </w:rPr>
        <mc:AlternateContent>
          <mc:Choice Requires="wps">
            <w:drawing>
              <wp:anchor distT="0" distB="0" distL="114300" distR="114300" simplePos="0" relativeHeight="251550208" behindDoc="1" locked="0" layoutInCell="0" allowOverlap="1">
                <wp:simplePos x="0" y="0"/>
                <wp:positionH relativeFrom="column">
                  <wp:posOffset>50165</wp:posOffset>
                </wp:positionH>
                <wp:positionV relativeFrom="paragraph">
                  <wp:posOffset>141605</wp:posOffset>
                </wp:positionV>
                <wp:extent cx="0" cy="2015490"/>
                <wp:effectExtent l="0" t="0" r="0" b="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015490"/>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pt,11.15pt" to="3.95pt,169.85pt" o:allowincell="f" strokecolor="#C9D11D" strokeweight="0.75pt"/>
            </w:pict>
          </mc:Fallback>
        </mc:AlternateContent>
      </w:r>
      <w:r>
        <w:rPr>
          <w:noProof/>
          <w:sz w:val="20"/>
          <w:szCs w:val="20"/>
        </w:rPr>
        <mc:AlternateContent>
          <mc:Choice Requires="wps">
            <w:drawing>
              <wp:anchor distT="0" distB="0" distL="114300" distR="114300" simplePos="0" relativeHeight="251551232" behindDoc="1" locked="0" layoutInCell="0" allowOverlap="1">
                <wp:simplePos x="0" y="0"/>
                <wp:positionH relativeFrom="column">
                  <wp:posOffset>45085</wp:posOffset>
                </wp:positionH>
                <wp:positionV relativeFrom="paragraph">
                  <wp:posOffset>2152015</wp:posOffset>
                </wp:positionV>
                <wp:extent cx="3013075" cy="0"/>
                <wp:effectExtent l="0" t="0" r="0" b="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13075" cy="4763"/>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pt,169.45pt" to="240.8pt,169.45pt" o:allowincell="f" strokecolor="#C9D11D" strokeweight="0.75pt"/>
            </w:pict>
          </mc:Fallback>
        </mc:AlternateContent>
      </w:r>
    </w:p>
    <w:p w:rsidR="00AC12B4" w:rsidRPr="00C27636" w:rsidRDefault="00AC12B4">
      <w:pPr>
        <w:spacing w:line="357" w:lineRule="exact"/>
        <w:rPr>
          <w:sz w:val="20"/>
          <w:szCs w:val="20"/>
          <w:lang w:val="fr-BE"/>
        </w:rPr>
      </w:pPr>
    </w:p>
    <w:p w:rsidR="00AC12B4" w:rsidRDefault="00C27636">
      <w:pPr>
        <w:ind w:left="1120"/>
        <w:rPr>
          <w:sz w:val="20"/>
          <w:szCs w:val="20"/>
        </w:rPr>
      </w:pPr>
      <w:r>
        <w:rPr>
          <w:rFonts w:ascii="Calibri" w:eastAsia="Calibri" w:hAnsi="Calibri" w:cs="Calibri"/>
          <w:b/>
          <w:bCs/>
          <w:sz w:val="24"/>
          <w:szCs w:val="24"/>
        </w:rPr>
        <w:t>Petit-déjeuner en se</w:t>
      </w:r>
      <w:r>
        <w:rPr>
          <w:rFonts w:ascii="Calibri" w:eastAsia="Calibri" w:hAnsi="Calibri" w:cs="Calibri"/>
          <w:b/>
          <w:bCs/>
          <w:sz w:val="24"/>
          <w:szCs w:val="24"/>
        </w:rPr>
        <w:t>maine</w:t>
      </w:r>
    </w:p>
    <w:p w:rsidR="00AC12B4" w:rsidRDefault="00AC12B4">
      <w:pPr>
        <w:spacing w:line="98" w:lineRule="exact"/>
        <w:rPr>
          <w:sz w:val="20"/>
          <w:szCs w:val="20"/>
        </w:rPr>
      </w:pPr>
    </w:p>
    <w:tbl>
      <w:tblPr>
        <w:tblW w:w="0" w:type="auto"/>
        <w:tblInd w:w="1100" w:type="dxa"/>
        <w:tblLayout w:type="fixed"/>
        <w:tblCellMar>
          <w:left w:w="0" w:type="dxa"/>
          <w:right w:w="0" w:type="dxa"/>
        </w:tblCellMar>
        <w:tblLook w:val="04A0" w:firstRow="1" w:lastRow="0" w:firstColumn="1" w:lastColumn="0" w:noHBand="0" w:noVBand="1"/>
      </w:tblPr>
      <w:tblGrid>
        <w:gridCol w:w="660"/>
        <w:gridCol w:w="1400"/>
        <w:gridCol w:w="100"/>
        <w:gridCol w:w="1360"/>
        <w:gridCol w:w="20"/>
      </w:tblGrid>
      <w:tr w:rsidR="00AC12B4">
        <w:trPr>
          <w:trHeight w:val="83"/>
        </w:trPr>
        <w:tc>
          <w:tcPr>
            <w:tcW w:w="660" w:type="dxa"/>
            <w:vAlign w:val="bottom"/>
          </w:tcPr>
          <w:p w:rsidR="00AC12B4" w:rsidRDefault="00AC12B4">
            <w:pPr>
              <w:rPr>
                <w:sz w:val="7"/>
                <w:szCs w:val="7"/>
              </w:rPr>
            </w:pPr>
          </w:p>
        </w:tc>
        <w:tc>
          <w:tcPr>
            <w:tcW w:w="14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1360" w:type="dxa"/>
            <w:vMerge w:val="restart"/>
            <w:vAlign w:val="bottom"/>
          </w:tcPr>
          <w:p w:rsidR="00AC12B4" w:rsidRDefault="00C27636">
            <w:pPr>
              <w:ind w:left="60"/>
              <w:rPr>
                <w:sz w:val="20"/>
                <w:szCs w:val="20"/>
              </w:rPr>
            </w:pPr>
            <w:r>
              <w:rPr>
                <w:rFonts w:ascii="Calibri" w:eastAsia="Calibri" w:hAnsi="Calibri" w:cs="Calibri"/>
                <w:sz w:val="20"/>
                <w:szCs w:val="20"/>
              </w:rPr>
              <w:t>Jamais</w:t>
            </w:r>
          </w:p>
        </w:tc>
        <w:tc>
          <w:tcPr>
            <w:tcW w:w="0" w:type="dxa"/>
            <w:vAlign w:val="bottom"/>
          </w:tcPr>
          <w:p w:rsidR="00AC12B4" w:rsidRDefault="00AC12B4">
            <w:pPr>
              <w:rPr>
                <w:sz w:val="1"/>
                <w:szCs w:val="1"/>
              </w:rPr>
            </w:pPr>
          </w:p>
        </w:tc>
      </w:tr>
      <w:tr w:rsidR="00AC12B4">
        <w:trPr>
          <w:trHeight w:val="110"/>
        </w:trPr>
        <w:tc>
          <w:tcPr>
            <w:tcW w:w="660" w:type="dxa"/>
            <w:vAlign w:val="bottom"/>
          </w:tcPr>
          <w:p w:rsidR="00AC12B4" w:rsidRDefault="00AC12B4">
            <w:pPr>
              <w:rPr>
                <w:sz w:val="9"/>
                <w:szCs w:val="9"/>
              </w:rPr>
            </w:pPr>
          </w:p>
        </w:tc>
        <w:tc>
          <w:tcPr>
            <w:tcW w:w="1400" w:type="dxa"/>
            <w:vAlign w:val="bottom"/>
          </w:tcPr>
          <w:p w:rsidR="00AC12B4" w:rsidRDefault="00AC12B4">
            <w:pPr>
              <w:rPr>
                <w:sz w:val="9"/>
                <w:szCs w:val="9"/>
              </w:rPr>
            </w:pPr>
          </w:p>
        </w:tc>
        <w:tc>
          <w:tcPr>
            <w:tcW w:w="100" w:type="dxa"/>
            <w:shd w:val="clear" w:color="auto" w:fill="4572A7"/>
            <w:vAlign w:val="bottom"/>
          </w:tcPr>
          <w:p w:rsidR="00AC12B4" w:rsidRDefault="00AC12B4">
            <w:pPr>
              <w:rPr>
                <w:sz w:val="9"/>
                <w:szCs w:val="9"/>
              </w:rPr>
            </w:pPr>
          </w:p>
        </w:tc>
        <w:tc>
          <w:tcPr>
            <w:tcW w:w="13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660" w:type="dxa"/>
            <w:vAlign w:val="bottom"/>
          </w:tcPr>
          <w:p w:rsidR="00AC12B4" w:rsidRDefault="00AC12B4">
            <w:pPr>
              <w:rPr>
                <w:sz w:val="4"/>
                <w:szCs w:val="4"/>
              </w:rPr>
            </w:pPr>
          </w:p>
        </w:tc>
        <w:tc>
          <w:tcPr>
            <w:tcW w:w="140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3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2"/>
        </w:trPr>
        <w:tc>
          <w:tcPr>
            <w:tcW w:w="660" w:type="dxa"/>
            <w:vAlign w:val="bottom"/>
          </w:tcPr>
          <w:p w:rsidR="00AC12B4" w:rsidRDefault="00AC12B4">
            <w:pPr>
              <w:rPr>
                <w:sz w:val="17"/>
                <w:szCs w:val="17"/>
              </w:rPr>
            </w:pPr>
          </w:p>
        </w:tc>
        <w:tc>
          <w:tcPr>
            <w:tcW w:w="1400" w:type="dxa"/>
            <w:vMerge w:val="restart"/>
            <w:vAlign w:val="bottom"/>
          </w:tcPr>
          <w:p w:rsidR="00AC12B4" w:rsidRDefault="00C27636">
            <w:pPr>
              <w:ind w:right="660"/>
              <w:jc w:val="right"/>
              <w:rPr>
                <w:sz w:val="20"/>
                <w:szCs w:val="20"/>
              </w:rPr>
            </w:pPr>
            <w:r>
              <w:rPr>
                <w:rFonts w:ascii="Calibri" w:eastAsia="Calibri" w:hAnsi="Calibri" w:cs="Calibri"/>
                <w:sz w:val="20"/>
                <w:szCs w:val="20"/>
              </w:rPr>
              <w:t>17,7%</w:t>
            </w:r>
          </w:p>
        </w:tc>
        <w:tc>
          <w:tcPr>
            <w:tcW w:w="100" w:type="dxa"/>
            <w:vAlign w:val="bottom"/>
          </w:tcPr>
          <w:p w:rsidR="00AC12B4" w:rsidRDefault="00AC12B4">
            <w:pPr>
              <w:rPr>
                <w:sz w:val="17"/>
                <w:szCs w:val="17"/>
              </w:rPr>
            </w:pPr>
          </w:p>
        </w:tc>
        <w:tc>
          <w:tcPr>
            <w:tcW w:w="1360" w:type="dxa"/>
            <w:vMerge w:val="restart"/>
            <w:vAlign w:val="bottom"/>
          </w:tcPr>
          <w:p w:rsidR="00AC12B4" w:rsidRDefault="00C27636">
            <w:pPr>
              <w:ind w:left="60"/>
              <w:rPr>
                <w:sz w:val="20"/>
                <w:szCs w:val="20"/>
              </w:rPr>
            </w:pPr>
            <w:r>
              <w:rPr>
                <w:rFonts w:ascii="Calibri" w:eastAsia="Calibri" w:hAnsi="Calibri" w:cs="Calibri"/>
                <w:sz w:val="20"/>
                <w:szCs w:val="20"/>
              </w:rPr>
              <w:t>1 jour/semaine</w:t>
            </w:r>
          </w:p>
        </w:tc>
        <w:tc>
          <w:tcPr>
            <w:tcW w:w="0" w:type="dxa"/>
            <w:vAlign w:val="bottom"/>
          </w:tcPr>
          <w:p w:rsidR="00AC12B4" w:rsidRDefault="00AC12B4">
            <w:pPr>
              <w:rPr>
                <w:sz w:val="1"/>
                <w:szCs w:val="1"/>
              </w:rPr>
            </w:pPr>
          </w:p>
        </w:tc>
      </w:tr>
      <w:tr w:rsidR="00AC12B4">
        <w:trPr>
          <w:trHeight w:val="110"/>
        </w:trPr>
        <w:tc>
          <w:tcPr>
            <w:tcW w:w="660" w:type="dxa"/>
            <w:vAlign w:val="bottom"/>
          </w:tcPr>
          <w:p w:rsidR="00AC12B4" w:rsidRDefault="00AC12B4">
            <w:pPr>
              <w:rPr>
                <w:sz w:val="9"/>
                <w:szCs w:val="9"/>
              </w:rPr>
            </w:pPr>
          </w:p>
        </w:tc>
        <w:tc>
          <w:tcPr>
            <w:tcW w:w="1400" w:type="dxa"/>
            <w:vMerge/>
            <w:vAlign w:val="bottom"/>
          </w:tcPr>
          <w:p w:rsidR="00AC12B4" w:rsidRDefault="00AC12B4">
            <w:pPr>
              <w:rPr>
                <w:sz w:val="9"/>
                <w:szCs w:val="9"/>
              </w:rPr>
            </w:pPr>
          </w:p>
        </w:tc>
        <w:tc>
          <w:tcPr>
            <w:tcW w:w="100" w:type="dxa"/>
            <w:shd w:val="clear" w:color="auto" w:fill="AA4643"/>
            <w:vAlign w:val="bottom"/>
          </w:tcPr>
          <w:p w:rsidR="00AC12B4" w:rsidRDefault="00AC12B4">
            <w:pPr>
              <w:rPr>
                <w:sz w:val="9"/>
                <w:szCs w:val="9"/>
              </w:rPr>
            </w:pPr>
          </w:p>
        </w:tc>
        <w:tc>
          <w:tcPr>
            <w:tcW w:w="13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49"/>
        </w:trPr>
        <w:tc>
          <w:tcPr>
            <w:tcW w:w="660" w:type="dxa"/>
            <w:vAlign w:val="bottom"/>
          </w:tcPr>
          <w:p w:rsidR="00AC12B4" w:rsidRDefault="00AC12B4">
            <w:pPr>
              <w:rPr>
                <w:sz w:val="4"/>
                <w:szCs w:val="4"/>
              </w:rPr>
            </w:pPr>
          </w:p>
        </w:tc>
        <w:tc>
          <w:tcPr>
            <w:tcW w:w="1400" w:type="dxa"/>
            <w:vMerge/>
            <w:vAlign w:val="bottom"/>
          </w:tcPr>
          <w:p w:rsidR="00AC12B4" w:rsidRDefault="00AC12B4">
            <w:pPr>
              <w:rPr>
                <w:sz w:val="4"/>
                <w:szCs w:val="4"/>
              </w:rPr>
            </w:pPr>
          </w:p>
        </w:tc>
        <w:tc>
          <w:tcPr>
            <w:tcW w:w="100" w:type="dxa"/>
            <w:vAlign w:val="bottom"/>
          </w:tcPr>
          <w:p w:rsidR="00AC12B4" w:rsidRDefault="00AC12B4">
            <w:pPr>
              <w:rPr>
                <w:sz w:val="4"/>
                <w:szCs w:val="4"/>
              </w:rPr>
            </w:pPr>
          </w:p>
        </w:tc>
        <w:tc>
          <w:tcPr>
            <w:tcW w:w="13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3"/>
        </w:trPr>
        <w:tc>
          <w:tcPr>
            <w:tcW w:w="660" w:type="dxa"/>
            <w:vAlign w:val="bottom"/>
          </w:tcPr>
          <w:p w:rsidR="00AC12B4" w:rsidRDefault="00AC12B4">
            <w:pPr>
              <w:rPr>
                <w:sz w:val="17"/>
                <w:szCs w:val="17"/>
              </w:rPr>
            </w:pPr>
          </w:p>
        </w:tc>
        <w:tc>
          <w:tcPr>
            <w:tcW w:w="1400" w:type="dxa"/>
            <w:vMerge/>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1360" w:type="dxa"/>
            <w:vMerge w:val="restart"/>
            <w:vAlign w:val="bottom"/>
          </w:tcPr>
          <w:p w:rsidR="00AC12B4" w:rsidRDefault="00C27636">
            <w:pPr>
              <w:ind w:left="60"/>
              <w:rPr>
                <w:sz w:val="20"/>
                <w:szCs w:val="20"/>
              </w:rPr>
            </w:pPr>
            <w:r>
              <w:rPr>
                <w:rFonts w:ascii="Calibri" w:eastAsia="Calibri" w:hAnsi="Calibri" w:cs="Calibri"/>
                <w:w w:val="97"/>
                <w:sz w:val="20"/>
                <w:szCs w:val="20"/>
              </w:rPr>
              <w:t>2 jours/semaine</w:t>
            </w:r>
          </w:p>
        </w:tc>
        <w:tc>
          <w:tcPr>
            <w:tcW w:w="0" w:type="dxa"/>
            <w:vAlign w:val="bottom"/>
          </w:tcPr>
          <w:p w:rsidR="00AC12B4" w:rsidRDefault="00AC12B4">
            <w:pPr>
              <w:rPr>
                <w:sz w:val="1"/>
                <w:szCs w:val="1"/>
              </w:rPr>
            </w:pPr>
          </w:p>
        </w:tc>
      </w:tr>
      <w:tr w:rsidR="00AC12B4">
        <w:trPr>
          <w:trHeight w:val="90"/>
        </w:trPr>
        <w:tc>
          <w:tcPr>
            <w:tcW w:w="660" w:type="dxa"/>
            <w:vAlign w:val="bottom"/>
          </w:tcPr>
          <w:p w:rsidR="00AC12B4" w:rsidRDefault="00AC12B4">
            <w:pPr>
              <w:rPr>
                <w:sz w:val="7"/>
                <w:szCs w:val="7"/>
              </w:rPr>
            </w:pPr>
          </w:p>
        </w:tc>
        <w:tc>
          <w:tcPr>
            <w:tcW w:w="1400" w:type="dxa"/>
            <w:vMerge/>
            <w:vAlign w:val="bottom"/>
          </w:tcPr>
          <w:p w:rsidR="00AC12B4" w:rsidRDefault="00AC12B4">
            <w:pPr>
              <w:rPr>
                <w:sz w:val="7"/>
                <w:szCs w:val="7"/>
              </w:rPr>
            </w:pPr>
          </w:p>
        </w:tc>
        <w:tc>
          <w:tcPr>
            <w:tcW w:w="100" w:type="dxa"/>
            <w:tcBorders>
              <w:bottom w:val="single" w:sz="8" w:space="0" w:color="89A54E"/>
            </w:tcBorders>
            <w:shd w:val="clear" w:color="auto" w:fill="89A54E"/>
            <w:vAlign w:val="bottom"/>
          </w:tcPr>
          <w:p w:rsidR="00AC12B4" w:rsidRDefault="00AC12B4">
            <w:pPr>
              <w:rPr>
                <w:sz w:val="7"/>
                <w:szCs w:val="7"/>
              </w:rPr>
            </w:pPr>
          </w:p>
        </w:tc>
        <w:tc>
          <w:tcPr>
            <w:tcW w:w="136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49"/>
        </w:trPr>
        <w:tc>
          <w:tcPr>
            <w:tcW w:w="660" w:type="dxa"/>
            <w:vAlign w:val="bottom"/>
          </w:tcPr>
          <w:p w:rsidR="00AC12B4" w:rsidRDefault="00AC12B4">
            <w:pPr>
              <w:rPr>
                <w:sz w:val="4"/>
                <w:szCs w:val="4"/>
              </w:rPr>
            </w:pPr>
          </w:p>
        </w:tc>
        <w:tc>
          <w:tcPr>
            <w:tcW w:w="1400" w:type="dxa"/>
            <w:vMerge w:val="restart"/>
            <w:vAlign w:val="bottom"/>
          </w:tcPr>
          <w:p w:rsidR="00AC12B4" w:rsidRDefault="00C27636">
            <w:pPr>
              <w:spacing w:line="207" w:lineRule="exact"/>
              <w:ind w:right="480"/>
              <w:jc w:val="right"/>
              <w:rPr>
                <w:sz w:val="20"/>
                <w:szCs w:val="20"/>
              </w:rPr>
            </w:pPr>
            <w:r>
              <w:rPr>
                <w:rFonts w:ascii="Calibri" w:eastAsia="Calibri" w:hAnsi="Calibri" w:cs="Calibri"/>
                <w:sz w:val="20"/>
                <w:szCs w:val="20"/>
              </w:rPr>
              <w:t>4,6%</w:t>
            </w:r>
          </w:p>
        </w:tc>
        <w:tc>
          <w:tcPr>
            <w:tcW w:w="100" w:type="dxa"/>
            <w:vAlign w:val="bottom"/>
          </w:tcPr>
          <w:p w:rsidR="00AC12B4" w:rsidRDefault="00AC12B4">
            <w:pPr>
              <w:rPr>
                <w:sz w:val="4"/>
                <w:szCs w:val="4"/>
              </w:rPr>
            </w:pPr>
          </w:p>
        </w:tc>
        <w:tc>
          <w:tcPr>
            <w:tcW w:w="13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58"/>
        </w:trPr>
        <w:tc>
          <w:tcPr>
            <w:tcW w:w="660" w:type="dxa"/>
            <w:vAlign w:val="bottom"/>
          </w:tcPr>
          <w:p w:rsidR="00AC12B4" w:rsidRDefault="00AC12B4">
            <w:pPr>
              <w:rPr>
                <w:sz w:val="13"/>
                <w:szCs w:val="13"/>
              </w:rPr>
            </w:pPr>
          </w:p>
        </w:tc>
        <w:tc>
          <w:tcPr>
            <w:tcW w:w="1400" w:type="dxa"/>
            <w:vMerge/>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13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45"/>
        </w:trPr>
        <w:tc>
          <w:tcPr>
            <w:tcW w:w="660" w:type="dxa"/>
            <w:vAlign w:val="bottom"/>
          </w:tcPr>
          <w:p w:rsidR="00AC12B4" w:rsidRDefault="00AC12B4">
            <w:pPr>
              <w:rPr>
                <w:sz w:val="3"/>
                <w:szCs w:val="3"/>
              </w:rPr>
            </w:pPr>
          </w:p>
        </w:tc>
        <w:tc>
          <w:tcPr>
            <w:tcW w:w="1400" w:type="dxa"/>
            <w:vMerge w:val="restart"/>
            <w:vAlign w:val="bottom"/>
          </w:tcPr>
          <w:p w:rsidR="00AC12B4" w:rsidRDefault="00C27636">
            <w:pPr>
              <w:spacing w:line="185" w:lineRule="exact"/>
              <w:ind w:right="460"/>
              <w:jc w:val="right"/>
              <w:rPr>
                <w:sz w:val="20"/>
                <w:szCs w:val="20"/>
              </w:rPr>
            </w:pPr>
            <w:r>
              <w:rPr>
                <w:rFonts w:ascii="Calibri" w:eastAsia="Calibri" w:hAnsi="Calibri" w:cs="Calibri"/>
                <w:sz w:val="20"/>
                <w:szCs w:val="20"/>
              </w:rPr>
              <w:t>4,7%</w:t>
            </w:r>
          </w:p>
        </w:tc>
        <w:tc>
          <w:tcPr>
            <w:tcW w:w="100" w:type="dxa"/>
            <w:vAlign w:val="bottom"/>
          </w:tcPr>
          <w:p w:rsidR="00AC12B4" w:rsidRDefault="00AC12B4">
            <w:pPr>
              <w:rPr>
                <w:sz w:val="3"/>
                <w:szCs w:val="3"/>
              </w:rPr>
            </w:pPr>
          </w:p>
        </w:tc>
        <w:tc>
          <w:tcPr>
            <w:tcW w:w="1360" w:type="dxa"/>
            <w:vMerge w:val="restart"/>
            <w:vAlign w:val="bottom"/>
          </w:tcPr>
          <w:p w:rsidR="00AC12B4" w:rsidRDefault="00C27636">
            <w:pPr>
              <w:spacing w:line="185" w:lineRule="exact"/>
              <w:ind w:left="60"/>
              <w:rPr>
                <w:sz w:val="20"/>
                <w:szCs w:val="20"/>
              </w:rPr>
            </w:pPr>
            <w:r>
              <w:rPr>
                <w:rFonts w:ascii="Calibri" w:eastAsia="Calibri" w:hAnsi="Calibri" w:cs="Calibri"/>
                <w:w w:val="97"/>
                <w:sz w:val="20"/>
                <w:szCs w:val="20"/>
              </w:rPr>
              <w:t>3 jours/semaine</w:t>
            </w:r>
          </w:p>
        </w:tc>
        <w:tc>
          <w:tcPr>
            <w:tcW w:w="0" w:type="dxa"/>
            <w:vAlign w:val="bottom"/>
          </w:tcPr>
          <w:p w:rsidR="00AC12B4" w:rsidRDefault="00AC12B4">
            <w:pPr>
              <w:rPr>
                <w:sz w:val="1"/>
                <w:szCs w:val="1"/>
              </w:rPr>
            </w:pPr>
          </w:p>
        </w:tc>
      </w:tr>
      <w:tr w:rsidR="00AC12B4">
        <w:trPr>
          <w:trHeight w:val="108"/>
        </w:trPr>
        <w:tc>
          <w:tcPr>
            <w:tcW w:w="660" w:type="dxa"/>
            <w:vAlign w:val="bottom"/>
          </w:tcPr>
          <w:p w:rsidR="00AC12B4" w:rsidRDefault="00AC12B4">
            <w:pPr>
              <w:rPr>
                <w:sz w:val="9"/>
                <w:szCs w:val="9"/>
              </w:rPr>
            </w:pPr>
          </w:p>
        </w:tc>
        <w:tc>
          <w:tcPr>
            <w:tcW w:w="1400" w:type="dxa"/>
            <w:vMerge/>
            <w:vAlign w:val="bottom"/>
          </w:tcPr>
          <w:p w:rsidR="00AC12B4" w:rsidRDefault="00AC12B4">
            <w:pPr>
              <w:rPr>
                <w:sz w:val="9"/>
                <w:szCs w:val="9"/>
              </w:rPr>
            </w:pPr>
          </w:p>
        </w:tc>
        <w:tc>
          <w:tcPr>
            <w:tcW w:w="100" w:type="dxa"/>
            <w:shd w:val="clear" w:color="auto" w:fill="71588F"/>
            <w:vAlign w:val="bottom"/>
          </w:tcPr>
          <w:p w:rsidR="00AC12B4" w:rsidRDefault="00AC12B4">
            <w:pPr>
              <w:rPr>
                <w:sz w:val="9"/>
                <w:szCs w:val="9"/>
              </w:rPr>
            </w:pPr>
          </w:p>
        </w:tc>
        <w:tc>
          <w:tcPr>
            <w:tcW w:w="13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32"/>
        </w:trPr>
        <w:tc>
          <w:tcPr>
            <w:tcW w:w="660" w:type="dxa"/>
            <w:vAlign w:val="bottom"/>
          </w:tcPr>
          <w:p w:rsidR="00AC12B4" w:rsidRDefault="00AC12B4">
            <w:pPr>
              <w:rPr>
                <w:sz w:val="2"/>
                <w:szCs w:val="2"/>
              </w:rPr>
            </w:pPr>
          </w:p>
        </w:tc>
        <w:tc>
          <w:tcPr>
            <w:tcW w:w="1400" w:type="dxa"/>
            <w:vMerge/>
            <w:vAlign w:val="bottom"/>
          </w:tcPr>
          <w:p w:rsidR="00AC12B4" w:rsidRDefault="00AC12B4">
            <w:pPr>
              <w:rPr>
                <w:sz w:val="2"/>
                <w:szCs w:val="2"/>
              </w:rPr>
            </w:pPr>
          </w:p>
        </w:tc>
        <w:tc>
          <w:tcPr>
            <w:tcW w:w="100" w:type="dxa"/>
            <w:vAlign w:val="bottom"/>
          </w:tcPr>
          <w:p w:rsidR="00AC12B4" w:rsidRDefault="00AC12B4">
            <w:pPr>
              <w:rPr>
                <w:sz w:val="2"/>
                <w:szCs w:val="2"/>
              </w:rPr>
            </w:pPr>
          </w:p>
        </w:tc>
        <w:tc>
          <w:tcPr>
            <w:tcW w:w="1360" w:type="dxa"/>
            <w:vMerge/>
            <w:vAlign w:val="bottom"/>
          </w:tcPr>
          <w:p w:rsidR="00AC12B4" w:rsidRDefault="00AC12B4">
            <w:pPr>
              <w:rPr>
                <w:sz w:val="2"/>
                <w:szCs w:val="2"/>
              </w:rPr>
            </w:pPr>
          </w:p>
        </w:tc>
        <w:tc>
          <w:tcPr>
            <w:tcW w:w="0" w:type="dxa"/>
            <w:vAlign w:val="bottom"/>
          </w:tcPr>
          <w:p w:rsidR="00AC12B4" w:rsidRDefault="00AC12B4">
            <w:pPr>
              <w:spacing w:line="20" w:lineRule="exact"/>
              <w:rPr>
                <w:sz w:val="1"/>
                <w:szCs w:val="1"/>
              </w:rPr>
            </w:pPr>
          </w:p>
        </w:tc>
      </w:tr>
      <w:tr w:rsidR="00AC12B4">
        <w:trPr>
          <w:trHeight w:val="185"/>
        </w:trPr>
        <w:tc>
          <w:tcPr>
            <w:tcW w:w="660" w:type="dxa"/>
            <w:vAlign w:val="bottom"/>
          </w:tcPr>
          <w:p w:rsidR="00AC12B4" w:rsidRDefault="00C27636">
            <w:pPr>
              <w:spacing w:line="185" w:lineRule="exact"/>
              <w:ind w:right="60"/>
              <w:jc w:val="right"/>
              <w:rPr>
                <w:sz w:val="20"/>
                <w:szCs w:val="20"/>
              </w:rPr>
            </w:pPr>
            <w:r>
              <w:rPr>
                <w:rFonts w:ascii="Calibri" w:eastAsia="Calibri" w:hAnsi="Calibri" w:cs="Calibri"/>
                <w:w w:val="96"/>
                <w:sz w:val="20"/>
                <w:szCs w:val="20"/>
              </w:rPr>
              <w:t>62,4%</w:t>
            </w:r>
          </w:p>
        </w:tc>
        <w:tc>
          <w:tcPr>
            <w:tcW w:w="1400" w:type="dxa"/>
            <w:vAlign w:val="bottom"/>
          </w:tcPr>
          <w:p w:rsidR="00AC12B4" w:rsidRDefault="00C27636">
            <w:pPr>
              <w:spacing w:line="185" w:lineRule="exact"/>
              <w:ind w:right="480"/>
              <w:jc w:val="right"/>
              <w:rPr>
                <w:sz w:val="20"/>
                <w:szCs w:val="20"/>
              </w:rPr>
            </w:pPr>
            <w:r>
              <w:rPr>
                <w:rFonts w:ascii="Calibri" w:eastAsia="Calibri" w:hAnsi="Calibri" w:cs="Calibri"/>
                <w:sz w:val="20"/>
                <w:szCs w:val="20"/>
              </w:rPr>
              <w:t>6,2%</w:t>
            </w:r>
          </w:p>
        </w:tc>
        <w:tc>
          <w:tcPr>
            <w:tcW w:w="100" w:type="dxa"/>
            <w:vAlign w:val="bottom"/>
          </w:tcPr>
          <w:p w:rsidR="00AC12B4" w:rsidRDefault="00AC12B4">
            <w:pPr>
              <w:rPr>
                <w:sz w:val="16"/>
                <w:szCs w:val="16"/>
              </w:rPr>
            </w:pPr>
          </w:p>
        </w:tc>
        <w:tc>
          <w:tcPr>
            <w:tcW w:w="136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36"/>
        </w:trPr>
        <w:tc>
          <w:tcPr>
            <w:tcW w:w="660" w:type="dxa"/>
            <w:vAlign w:val="bottom"/>
          </w:tcPr>
          <w:p w:rsidR="00AC12B4" w:rsidRDefault="00AC12B4">
            <w:pPr>
              <w:rPr>
                <w:sz w:val="3"/>
                <w:szCs w:val="3"/>
              </w:rPr>
            </w:pPr>
          </w:p>
        </w:tc>
        <w:tc>
          <w:tcPr>
            <w:tcW w:w="1400" w:type="dxa"/>
            <w:vMerge w:val="restart"/>
            <w:vAlign w:val="bottom"/>
          </w:tcPr>
          <w:p w:rsidR="00AC12B4" w:rsidRDefault="00C27636">
            <w:pPr>
              <w:spacing w:line="198" w:lineRule="exact"/>
              <w:ind w:right="560"/>
              <w:jc w:val="right"/>
              <w:rPr>
                <w:sz w:val="20"/>
                <w:szCs w:val="20"/>
              </w:rPr>
            </w:pPr>
            <w:r>
              <w:rPr>
                <w:rFonts w:ascii="Calibri" w:eastAsia="Calibri" w:hAnsi="Calibri" w:cs="Calibri"/>
                <w:sz w:val="20"/>
                <w:szCs w:val="20"/>
              </w:rPr>
              <w:t>4,4%</w:t>
            </w:r>
          </w:p>
        </w:tc>
        <w:tc>
          <w:tcPr>
            <w:tcW w:w="100" w:type="dxa"/>
            <w:vAlign w:val="bottom"/>
          </w:tcPr>
          <w:p w:rsidR="00AC12B4" w:rsidRDefault="00AC12B4">
            <w:pPr>
              <w:rPr>
                <w:sz w:val="3"/>
                <w:szCs w:val="3"/>
              </w:rPr>
            </w:pPr>
          </w:p>
        </w:tc>
        <w:tc>
          <w:tcPr>
            <w:tcW w:w="1360" w:type="dxa"/>
            <w:vMerge w:val="restart"/>
            <w:vAlign w:val="bottom"/>
          </w:tcPr>
          <w:p w:rsidR="00AC12B4" w:rsidRDefault="00C27636">
            <w:pPr>
              <w:spacing w:line="198" w:lineRule="exact"/>
              <w:ind w:left="60"/>
              <w:rPr>
                <w:sz w:val="20"/>
                <w:szCs w:val="20"/>
              </w:rPr>
            </w:pPr>
            <w:r>
              <w:rPr>
                <w:rFonts w:ascii="Calibri" w:eastAsia="Calibri" w:hAnsi="Calibri" w:cs="Calibri"/>
                <w:w w:val="97"/>
                <w:sz w:val="20"/>
                <w:szCs w:val="20"/>
              </w:rPr>
              <w:t>4 jours/semaine</w:t>
            </w:r>
          </w:p>
        </w:tc>
        <w:tc>
          <w:tcPr>
            <w:tcW w:w="0" w:type="dxa"/>
            <w:vAlign w:val="bottom"/>
          </w:tcPr>
          <w:p w:rsidR="00AC12B4" w:rsidRDefault="00AC12B4">
            <w:pPr>
              <w:spacing w:line="20" w:lineRule="exact"/>
              <w:rPr>
                <w:sz w:val="1"/>
                <w:szCs w:val="1"/>
              </w:rPr>
            </w:pPr>
          </w:p>
        </w:tc>
      </w:tr>
      <w:tr w:rsidR="00AC12B4">
        <w:trPr>
          <w:trHeight w:val="110"/>
        </w:trPr>
        <w:tc>
          <w:tcPr>
            <w:tcW w:w="660" w:type="dxa"/>
            <w:vAlign w:val="bottom"/>
          </w:tcPr>
          <w:p w:rsidR="00AC12B4" w:rsidRDefault="00AC12B4">
            <w:pPr>
              <w:rPr>
                <w:sz w:val="9"/>
                <w:szCs w:val="9"/>
              </w:rPr>
            </w:pPr>
          </w:p>
        </w:tc>
        <w:tc>
          <w:tcPr>
            <w:tcW w:w="1400" w:type="dxa"/>
            <w:vMerge/>
            <w:vAlign w:val="bottom"/>
          </w:tcPr>
          <w:p w:rsidR="00AC12B4" w:rsidRDefault="00AC12B4">
            <w:pPr>
              <w:rPr>
                <w:sz w:val="9"/>
                <w:szCs w:val="9"/>
              </w:rPr>
            </w:pPr>
          </w:p>
        </w:tc>
        <w:tc>
          <w:tcPr>
            <w:tcW w:w="100" w:type="dxa"/>
            <w:shd w:val="clear" w:color="auto" w:fill="4198AF"/>
            <w:vAlign w:val="bottom"/>
          </w:tcPr>
          <w:p w:rsidR="00AC12B4" w:rsidRDefault="00AC12B4">
            <w:pPr>
              <w:rPr>
                <w:sz w:val="9"/>
                <w:szCs w:val="9"/>
              </w:rPr>
            </w:pPr>
          </w:p>
        </w:tc>
        <w:tc>
          <w:tcPr>
            <w:tcW w:w="13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660" w:type="dxa"/>
            <w:vAlign w:val="bottom"/>
          </w:tcPr>
          <w:p w:rsidR="00AC12B4" w:rsidRDefault="00AC12B4">
            <w:pPr>
              <w:rPr>
                <w:sz w:val="4"/>
                <w:szCs w:val="4"/>
              </w:rPr>
            </w:pPr>
          </w:p>
        </w:tc>
        <w:tc>
          <w:tcPr>
            <w:tcW w:w="1400" w:type="dxa"/>
            <w:vMerge/>
            <w:vAlign w:val="bottom"/>
          </w:tcPr>
          <w:p w:rsidR="00AC12B4" w:rsidRDefault="00AC12B4">
            <w:pPr>
              <w:rPr>
                <w:sz w:val="4"/>
                <w:szCs w:val="4"/>
              </w:rPr>
            </w:pPr>
          </w:p>
        </w:tc>
        <w:tc>
          <w:tcPr>
            <w:tcW w:w="100" w:type="dxa"/>
            <w:vAlign w:val="bottom"/>
          </w:tcPr>
          <w:p w:rsidR="00AC12B4" w:rsidRDefault="00AC12B4">
            <w:pPr>
              <w:rPr>
                <w:sz w:val="4"/>
                <w:szCs w:val="4"/>
              </w:rPr>
            </w:pPr>
          </w:p>
        </w:tc>
        <w:tc>
          <w:tcPr>
            <w:tcW w:w="13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552256" behindDoc="1" locked="0" layoutInCell="0" allowOverlap="1">
            <wp:simplePos x="0" y="0"/>
            <wp:positionH relativeFrom="column">
              <wp:posOffset>472440</wp:posOffset>
            </wp:positionH>
            <wp:positionV relativeFrom="paragraph">
              <wp:posOffset>-1009015</wp:posOffset>
            </wp:positionV>
            <wp:extent cx="1421765" cy="1418590"/>
            <wp:effectExtent l="0" t="0" r="0" b="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27">
                      <a:extLst/>
                    </a:blip>
                    <a:srcRect/>
                    <a:stretch>
                      <a:fillRect/>
                    </a:stretch>
                  </pic:blipFill>
                  <pic:spPr bwMode="auto">
                    <a:xfrm>
                      <a:off x="0" y="0"/>
                      <a:ext cx="1421765" cy="1418590"/>
                    </a:xfrm>
                    <a:prstGeom prst="rect">
                      <a:avLst/>
                    </a:prstGeom>
                    <a:noFill/>
                  </pic:spPr>
                </pic:pic>
              </a:graphicData>
            </a:graphic>
          </wp:anchor>
        </w:drawing>
      </w:r>
    </w:p>
    <w:p w:rsidR="00AC12B4" w:rsidRDefault="00AC12B4">
      <w:pPr>
        <w:spacing w:line="96" w:lineRule="exact"/>
        <w:rPr>
          <w:sz w:val="20"/>
          <w:szCs w:val="20"/>
        </w:rPr>
      </w:pPr>
    </w:p>
    <w:p w:rsidR="00AC12B4" w:rsidRDefault="00C27636">
      <w:pPr>
        <w:ind w:left="3160"/>
        <w:rPr>
          <w:sz w:val="20"/>
          <w:szCs w:val="20"/>
        </w:rPr>
      </w:pPr>
      <w:r>
        <w:rPr>
          <w:noProof/>
          <w:sz w:val="1"/>
          <w:szCs w:val="1"/>
        </w:rPr>
        <w:drawing>
          <wp:inline distT="0" distB="0" distL="0" distR="0">
            <wp:extent cx="68580" cy="698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28">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20"/>
          <w:szCs w:val="20"/>
        </w:rPr>
        <w:t xml:space="preserve"> 5 jours/semaine</w:t>
      </w:r>
    </w:p>
    <w:p w:rsidR="00AC12B4" w:rsidRDefault="00C27636">
      <w:pPr>
        <w:spacing w:line="20" w:lineRule="exact"/>
        <w:rPr>
          <w:sz w:val="20"/>
          <w:szCs w:val="20"/>
        </w:rPr>
      </w:pPr>
      <w:r>
        <w:rPr>
          <w:noProof/>
          <w:sz w:val="20"/>
          <w:szCs w:val="20"/>
        </w:rPr>
        <w:drawing>
          <wp:anchor distT="0" distB="0" distL="114300" distR="114300" simplePos="0" relativeHeight="251553280" behindDoc="1" locked="0" layoutInCell="0" allowOverlap="1">
            <wp:simplePos x="0" y="0"/>
            <wp:positionH relativeFrom="column">
              <wp:posOffset>64770</wp:posOffset>
            </wp:positionH>
            <wp:positionV relativeFrom="paragraph">
              <wp:posOffset>525145</wp:posOffset>
            </wp:positionV>
            <wp:extent cx="2932430" cy="407035"/>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9">
                      <a:extLst/>
                    </a:blip>
                    <a:srcRect/>
                    <a:stretch>
                      <a:fillRect/>
                    </a:stretch>
                  </pic:blipFill>
                  <pic:spPr bwMode="auto">
                    <a:xfrm>
                      <a:off x="0" y="0"/>
                      <a:ext cx="2932430" cy="407035"/>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44" w:lineRule="exact"/>
        <w:rPr>
          <w:sz w:val="20"/>
          <w:szCs w:val="20"/>
        </w:rPr>
      </w:pPr>
    </w:p>
    <w:p w:rsidR="00AC12B4" w:rsidRPr="00C27636" w:rsidRDefault="00C27636">
      <w:pPr>
        <w:spacing w:line="218" w:lineRule="auto"/>
        <w:ind w:left="100"/>
        <w:rPr>
          <w:sz w:val="20"/>
          <w:szCs w:val="20"/>
          <w:lang w:val="fr-BE"/>
        </w:rPr>
      </w:pPr>
      <w:r w:rsidRPr="00C27636">
        <w:rPr>
          <w:rFonts w:ascii="Calibri" w:eastAsia="Calibri" w:hAnsi="Calibri" w:cs="Calibri"/>
          <w:b/>
          <w:bCs/>
          <w:color w:val="4F81BD"/>
          <w:sz w:val="18"/>
          <w:szCs w:val="18"/>
          <w:lang w:val="fr-BE"/>
        </w:rPr>
        <w:t>Figure 2. La prise d’un petit</w:t>
      </w:r>
      <w:r w:rsidRPr="00C27636">
        <w:rPr>
          <w:rFonts w:ascii="Calibri" w:eastAsia="Calibri" w:hAnsi="Calibri" w:cs="Calibri"/>
          <w:b/>
          <w:bCs/>
          <w:color w:val="4F81BD"/>
          <w:sz w:val="18"/>
          <w:szCs w:val="18"/>
          <w:lang w:val="fr-BE"/>
        </w:rPr>
        <w:t xml:space="preserve"> déjeuner en semaine (n=22.223), HBSC 2014.</w:t>
      </w:r>
    </w:p>
    <w:p w:rsidR="00AC12B4" w:rsidRPr="00C27636" w:rsidRDefault="00AC12B4">
      <w:pPr>
        <w:rPr>
          <w:lang w:val="fr-BE"/>
        </w:rPr>
        <w:sectPr w:rsidR="00AC12B4" w:rsidRPr="00C27636">
          <w:pgSz w:w="12080" w:h="17179"/>
          <w:pgMar w:top="1440" w:right="1337" w:bottom="659" w:left="480" w:header="0" w:footer="0" w:gutter="0"/>
          <w:cols w:num="2" w:space="720" w:equalWidth="0">
            <w:col w:w="5300" w:space="240"/>
            <w:col w:w="4720"/>
          </w:cols>
        </w:sectPr>
      </w:pPr>
    </w:p>
    <w:p w:rsidR="00AC12B4" w:rsidRPr="00C27636" w:rsidRDefault="00AC12B4">
      <w:pPr>
        <w:spacing w:line="212" w:lineRule="exact"/>
        <w:rPr>
          <w:sz w:val="20"/>
          <w:szCs w:val="20"/>
          <w:lang w:val="fr-BE"/>
        </w:rPr>
      </w:pPr>
      <w:bookmarkStart w:id="88" w:name="page89"/>
      <w:bookmarkEnd w:id="88"/>
    </w:p>
    <w:p w:rsidR="00AC12B4" w:rsidRPr="00C27636" w:rsidRDefault="00C27636">
      <w:pPr>
        <w:spacing w:line="235" w:lineRule="auto"/>
        <w:ind w:left="580" w:right="480"/>
        <w:jc w:val="both"/>
        <w:rPr>
          <w:sz w:val="20"/>
          <w:szCs w:val="20"/>
          <w:lang w:val="fr-BE"/>
        </w:rPr>
      </w:pPr>
      <w:r w:rsidRPr="00C27636">
        <w:rPr>
          <w:rFonts w:ascii="Calibri" w:eastAsia="Calibri" w:hAnsi="Calibri" w:cs="Calibri"/>
          <w:lang w:val="fr-BE"/>
        </w:rPr>
        <w:t>Le saut du petit-déjeuner en semaine est plus fréquent parmi les filles et parmi les jeunes qui ne vivent pas avec leurs deux parents. La proportion de jeunes qui font l'impasse sur le</w:t>
      </w:r>
      <w:r w:rsidRPr="00C27636">
        <w:rPr>
          <w:rFonts w:ascii="Calibri" w:eastAsia="Calibri" w:hAnsi="Calibri" w:cs="Calibri"/>
          <w:lang w:val="fr-BE"/>
        </w:rPr>
        <w:t xml:space="preserve"> petit-déjeuner augmente avec l'âge. On observe également un gradient social puisque le saut du petit-déjeuner est plus fréquent au fur et à mesure que le niveau d’aisance matérielle</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54304" behindDoc="1" locked="0" layoutInCell="0" allowOverlap="1">
            <wp:simplePos x="0" y="0"/>
            <wp:positionH relativeFrom="column">
              <wp:posOffset>-44450</wp:posOffset>
            </wp:positionH>
            <wp:positionV relativeFrom="paragraph">
              <wp:posOffset>153670</wp:posOffset>
            </wp:positionV>
            <wp:extent cx="3211195" cy="4636135"/>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30">
                      <a:extLst/>
                    </a:blip>
                    <a:srcRect/>
                    <a:stretch>
                      <a:fillRect/>
                    </a:stretch>
                  </pic:blipFill>
                  <pic:spPr bwMode="auto">
                    <a:xfrm>
                      <a:off x="0" y="0"/>
                      <a:ext cx="3211195" cy="4636135"/>
                    </a:xfrm>
                    <a:prstGeom prst="rect">
                      <a:avLst/>
                    </a:prstGeom>
                    <a:noFill/>
                  </pic:spPr>
                </pic:pic>
              </a:graphicData>
            </a:graphic>
          </wp:anchor>
        </w:drawing>
      </w:r>
    </w:p>
    <w:p w:rsidR="00AC12B4" w:rsidRPr="00C27636" w:rsidRDefault="00AC12B4">
      <w:pPr>
        <w:spacing w:line="216" w:lineRule="exact"/>
        <w:rPr>
          <w:sz w:val="20"/>
          <w:szCs w:val="20"/>
          <w:lang w:val="fr-BE"/>
        </w:rPr>
      </w:pPr>
    </w:p>
    <w:tbl>
      <w:tblPr>
        <w:tblW w:w="0" w:type="auto"/>
        <w:tblInd w:w="220" w:type="dxa"/>
        <w:tblLayout w:type="fixed"/>
        <w:tblCellMar>
          <w:left w:w="0" w:type="dxa"/>
          <w:right w:w="0" w:type="dxa"/>
        </w:tblCellMar>
        <w:tblLook w:val="04A0" w:firstRow="1" w:lastRow="0" w:firstColumn="1" w:lastColumn="0" w:noHBand="0" w:noVBand="1"/>
      </w:tblPr>
      <w:tblGrid>
        <w:gridCol w:w="1380"/>
        <w:gridCol w:w="760"/>
        <w:gridCol w:w="1500"/>
        <w:gridCol w:w="760"/>
      </w:tblGrid>
      <w:tr w:rsidR="00AC12B4">
        <w:trPr>
          <w:trHeight w:val="244"/>
        </w:trPr>
        <w:tc>
          <w:tcPr>
            <w:tcW w:w="1380" w:type="dxa"/>
            <w:vAlign w:val="bottom"/>
          </w:tcPr>
          <w:p w:rsidR="00AC12B4" w:rsidRPr="00C27636" w:rsidRDefault="00AC12B4">
            <w:pPr>
              <w:rPr>
                <w:sz w:val="21"/>
                <w:szCs w:val="21"/>
                <w:lang w:val="fr-BE"/>
              </w:rPr>
            </w:pPr>
          </w:p>
        </w:tc>
        <w:tc>
          <w:tcPr>
            <w:tcW w:w="760" w:type="dxa"/>
            <w:vAlign w:val="bottom"/>
          </w:tcPr>
          <w:p w:rsidR="00AC12B4" w:rsidRPr="00C27636" w:rsidRDefault="00AC12B4">
            <w:pPr>
              <w:rPr>
                <w:sz w:val="21"/>
                <w:szCs w:val="21"/>
                <w:lang w:val="fr-BE"/>
              </w:rPr>
            </w:pPr>
          </w:p>
        </w:tc>
        <w:tc>
          <w:tcPr>
            <w:tcW w:w="1500" w:type="dxa"/>
            <w:vAlign w:val="bottom"/>
          </w:tcPr>
          <w:p w:rsidR="00AC12B4" w:rsidRDefault="00C27636">
            <w:pPr>
              <w:ind w:left="80"/>
              <w:rPr>
                <w:sz w:val="20"/>
                <w:szCs w:val="20"/>
              </w:rPr>
            </w:pPr>
            <w:r>
              <w:rPr>
                <w:rFonts w:ascii="Calibri" w:eastAsia="Calibri" w:hAnsi="Calibri" w:cs="Calibri"/>
                <w:color w:val="C9D11D"/>
                <w:sz w:val="20"/>
                <w:szCs w:val="20"/>
              </w:rPr>
              <w:t>Saut du petit-</w:t>
            </w:r>
          </w:p>
        </w:tc>
        <w:tc>
          <w:tcPr>
            <w:tcW w:w="760" w:type="dxa"/>
            <w:vAlign w:val="bottom"/>
          </w:tcPr>
          <w:p w:rsidR="00AC12B4" w:rsidRDefault="00AC12B4">
            <w:pPr>
              <w:rPr>
                <w:sz w:val="21"/>
                <w:szCs w:val="21"/>
              </w:rPr>
            </w:pPr>
          </w:p>
        </w:tc>
      </w:tr>
      <w:tr w:rsidR="00AC12B4">
        <w:trPr>
          <w:trHeight w:val="245"/>
        </w:trPr>
        <w:tc>
          <w:tcPr>
            <w:tcW w:w="1380" w:type="dxa"/>
            <w:vAlign w:val="bottom"/>
          </w:tcPr>
          <w:p w:rsidR="00AC12B4" w:rsidRDefault="00AC12B4">
            <w:pPr>
              <w:rPr>
                <w:sz w:val="21"/>
                <w:szCs w:val="21"/>
              </w:rPr>
            </w:pPr>
          </w:p>
        </w:tc>
        <w:tc>
          <w:tcPr>
            <w:tcW w:w="760" w:type="dxa"/>
            <w:vAlign w:val="bottom"/>
          </w:tcPr>
          <w:p w:rsidR="00AC12B4" w:rsidRDefault="00C27636">
            <w:pPr>
              <w:ind w:left="20"/>
              <w:jc w:val="center"/>
              <w:rPr>
                <w:sz w:val="20"/>
                <w:szCs w:val="20"/>
              </w:rPr>
            </w:pPr>
            <w:r>
              <w:rPr>
                <w:rFonts w:ascii="Calibri" w:eastAsia="Calibri" w:hAnsi="Calibri" w:cs="Calibri"/>
                <w:color w:val="C9D11D"/>
                <w:w w:val="92"/>
                <w:sz w:val="20"/>
                <w:szCs w:val="20"/>
              </w:rPr>
              <w:t>N</w:t>
            </w:r>
          </w:p>
        </w:tc>
        <w:tc>
          <w:tcPr>
            <w:tcW w:w="1500" w:type="dxa"/>
            <w:vAlign w:val="bottom"/>
          </w:tcPr>
          <w:p w:rsidR="00AC12B4" w:rsidRDefault="00C27636">
            <w:pPr>
              <w:ind w:left="80"/>
              <w:rPr>
                <w:sz w:val="20"/>
                <w:szCs w:val="20"/>
              </w:rPr>
            </w:pPr>
            <w:r>
              <w:rPr>
                <w:rFonts w:ascii="Calibri" w:eastAsia="Calibri" w:hAnsi="Calibri" w:cs="Calibri"/>
                <w:color w:val="C9D11D"/>
                <w:sz w:val="20"/>
                <w:szCs w:val="20"/>
              </w:rPr>
              <w:t>déjeuner (%)</w:t>
            </w:r>
          </w:p>
        </w:tc>
        <w:tc>
          <w:tcPr>
            <w:tcW w:w="760" w:type="dxa"/>
            <w:vAlign w:val="bottom"/>
          </w:tcPr>
          <w:p w:rsidR="00AC12B4" w:rsidRDefault="00C27636">
            <w:pPr>
              <w:ind w:right="280"/>
              <w:jc w:val="right"/>
              <w:rPr>
                <w:sz w:val="20"/>
                <w:szCs w:val="20"/>
              </w:rPr>
            </w:pPr>
            <w:r>
              <w:rPr>
                <w:rFonts w:ascii="Calibri" w:eastAsia="Calibri" w:hAnsi="Calibri" w:cs="Calibri"/>
                <w:color w:val="C9D11D"/>
                <w:sz w:val="20"/>
                <w:szCs w:val="20"/>
              </w:rPr>
              <w:t>p</w:t>
            </w:r>
          </w:p>
        </w:tc>
      </w:tr>
      <w:tr w:rsidR="00AC12B4">
        <w:trPr>
          <w:trHeight w:val="310"/>
        </w:trPr>
        <w:tc>
          <w:tcPr>
            <w:tcW w:w="1380" w:type="dxa"/>
            <w:vAlign w:val="bottom"/>
          </w:tcPr>
          <w:p w:rsidR="00AC12B4" w:rsidRDefault="00C27636">
            <w:pPr>
              <w:rPr>
                <w:sz w:val="20"/>
                <w:szCs w:val="20"/>
              </w:rPr>
            </w:pPr>
            <w:r>
              <w:rPr>
                <w:rFonts w:ascii="Calibri" w:eastAsia="Calibri" w:hAnsi="Calibri" w:cs="Calibri"/>
                <w:color w:val="C9D11D"/>
                <w:sz w:val="20"/>
                <w:szCs w:val="20"/>
              </w:rPr>
              <w:t>Genre</w:t>
            </w:r>
          </w:p>
        </w:tc>
        <w:tc>
          <w:tcPr>
            <w:tcW w:w="760" w:type="dxa"/>
            <w:vAlign w:val="bottom"/>
          </w:tcPr>
          <w:p w:rsidR="00AC12B4" w:rsidRDefault="00C27636">
            <w:pPr>
              <w:ind w:left="20"/>
              <w:jc w:val="center"/>
              <w:rPr>
                <w:sz w:val="20"/>
                <w:szCs w:val="20"/>
              </w:rPr>
            </w:pPr>
            <w:r>
              <w:rPr>
                <w:rFonts w:ascii="Calibri" w:eastAsia="Calibri" w:hAnsi="Calibri" w:cs="Calibri"/>
                <w:sz w:val="20"/>
                <w:szCs w:val="20"/>
              </w:rPr>
              <w:t>22223</w:t>
            </w:r>
          </w:p>
        </w:tc>
        <w:tc>
          <w:tcPr>
            <w:tcW w:w="1500" w:type="dxa"/>
            <w:vAlign w:val="bottom"/>
          </w:tcPr>
          <w:p w:rsidR="00AC12B4" w:rsidRDefault="00AC12B4">
            <w:pPr>
              <w:rPr>
                <w:sz w:val="24"/>
                <w:szCs w:val="24"/>
              </w:rPr>
            </w:pPr>
          </w:p>
        </w:tc>
        <w:tc>
          <w:tcPr>
            <w:tcW w:w="76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1"/>
        </w:trPr>
        <w:tc>
          <w:tcPr>
            <w:tcW w:w="1380" w:type="dxa"/>
            <w:vAlign w:val="bottom"/>
          </w:tcPr>
          <w:p w:rsidR="00AC12B4" w:rsidRDefault="00C27636">
            <w:pPr>
              <w:rPr>
                <w:sz w:val="20"/>
                <w:szCs w:val="20"/>
              </w:rPr>
            </w:pPr>
            <w:r>
              <w:rPr>
                <w:rFonts w:ascii="Calibri" w:eastAsia="Calibri" w:hAnsi="Calibri" w:cs="Calibri"/>
                <w:color w:val="C9D11D"/>
                <w:sz w:val="20"/>
                <w:szCs w:val="20"/>
              </w:rPr>
              <w:t>Garçons</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16,4</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Filles</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19,0</w:t>
            </w:r>
          </w:p>
        </w:tc>
        <w:tc>
          <w:tcPr>
            <w:tcW w:w="760" w:type="dxa"/>
            <w:vAlign w:val="bottom"/>
          </w:tcPr>
          <w:p w:rsidR="00AC12B4" w:rsidRDefault="00AC12B4">
            <w:pPr>
              <w:rPr>
                <w:sz w:val="24"/>
                <w:szCs w:val="24"/>
              </w:rPr>
            </w:pPr>
          </w:p>
        </w:tc>
      </w:tr>
      <w:tr w:rsidR="00AC12B4">
        <w:trPr>
          <w:trHeight w:val="600"/>
        </w:trPr>
        <w:tc>
          <w:tcPr>
            <w:tcW w:w="1380" w:type="dxa"/>
            <w:vAlign w:val="bottom"/>
          </w:tcPr>
          <w:p w:rsidR="00AC12B4" w:rsidRDefault="00C27636">
            <w:pPr>
              <w:rPr>
                <w:sz w:val="20"/>
                <w:szCs w:val="20"/>
              </w:rPr>
            </w:pPr>
            <w:r>
              <w:rPr>
                <w:rFonts w:ascii="Calibri" w:eastAsia="Calibri" w:hAnsi="Calibri" w:cs="Calibri"/>
                <w:color w:val="C9D11D"/>
                <w:sz w:val="20"/>
                <w:szCs w:val="20"/>
              </w:rPr>
              <w:t>Age</w:t>
            </w:r>
          </w:p>
        </w:tc>
        <w:tc>
          <w:tcPr>
            <w:tcW w:w="760" w:type="dxa"/>
            <w:vAlign w:val="bottom"/>
          </w:tcPr>
          <w:p w:rsidR="00AC12B4" w:rsidRDefault="00C27636">
            <w:pPr>
              <w:ind w:left="20"/>
              <w:jc w:val="center"/>
              <w:rPr>
                <w:sz w:val="20"/>
                <w:szCs w:val="20"/>
              </w:rPr>
            </w:pPr>
            <w:r>
              <w:rPr>
                <w:rFonts w:ascii="Calibri" w:eastAsia="Calibri" w:hAnsi="Calibri" w:cs="Calibri"/>
                <w:sz w:val="20"/>
                <w:szCs w:val="20"/>
              </w:rPr>
              <w:t>22015</w:t>
            </w:r>
          </w:p>
        </w:tc>
        <w:tc>
          <w:tcPr>
            <w:tcW w:w="1500" w:type="dxa"/>
            <w:vAlign w:val="bottom"/>
          </w:tcPr>
          <w:p w:rsidR="00AC12B4" w:rsidRDefault="00AC12B4">
            <w:pPr>
              <w:rPr>
                <w:sz w:val="24"/>
                <w:szCs w:val="24"/>
              </w:rPr>
            </w:pPr>
          </w:p>
        </w:tc>
        <w:tc>
          <w:tcPr>
            <w:tcW w:w="76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10-12 ans</w:t>
            </w:r>
          </w:p>
        </w:tc>
        <w:tc>
          <w:tcPr>
            <w:tcW w:w="760" w:type="dxa"/>
            <w:vAlign w:val="bottom"/>
          </w:tcPr>
          <w:p w:rsidR="00AC12B4" w:rsidRDefault="00AC12B4">
            <w:pPr>
              <w:rPr>
                <w:sz w:val="24"/>
                <w:szCs w:val="24"/>
              </w:rPr>
            </w:pPr>
          </w:p>
        </w:tc>
        <w:tc>
          <w:tcPr>
            <w:tcW w:w="1500" w:type="dxa"/>
            <w:vAlign w:val="bottom"/>
          </w:tcPr>
          <w:p w:rsidR="00AC12B4" w:rsidRDefault="00C27636">
            <w:pPr>
              <w:ind w:right="120"/>
              <w:jc w:val="right"/>
              <w:rPr>
                <w:sz w:val="20"/>
                <w:szCs w:val="20"/>
              </w:rPr>
            </w:pPr>
            <w:r>
              <w:rPr>
                <w:rFonts w:ascii="Calibri" w:eastAsia="Calibri" w:hAnsi="Calibri" w:cs="Calibri"/>
                <w:sz w:val="20"/>
                <w:szCs w:val="20"/>
              </w:rPr>
              <w:t>9,5</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13-14 ans</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16,0</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15-16 ans</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21,2</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17-19 ans</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24,1</w:t>
            </w:r>
          </w:p>
        </w:tc>
        <w:tc>
          <w:tcPr>
            <w:tcW w:w="760" w:type="dxa"/>
            <w:vAlign w:val="bottom"/>
          </w:tcPr>
          <w:p w:rsidR="00AC12B4" w:rsidRDefault="00AC12B4">
            <w:pPr>
              <w:rPr>
                <w:sz w:val="24"/>
                <w:szCs w:val="24"/>
              </w:rPr>
            </w:pPr>
          </w:p>
        </w:tc>
      </w:tr>
      <w:tr w:rsidR="00AC12B4">
        <w:trPr>
          <w:trHeight w:val="545"/>
        </w:trPr>
        <w:tc>
          <w:tcPr>
            <w:tcW w:w="1380" w:type="dxa"/>
            <w:vAlign w:val="bottom"/>
          </w:tcPr>
          <w:p w:rsidR="00AC12B4" w:rsidRDefault="00C27636">
            <w:pPr>
              <w:rPr>
                <w:sz w:val="20"/>
                <w:szCs w:val="20"/>
              </w:rPr>
            </w:pPr>
            <w:r>
              <w:rPr>
                <w:rFonts w:ascii="Calibri" w:eastAsia="Calibri" w:hAnsi="Calibri" w:cs="Calibri"/>
                <w:color w:val="C9D11D"/>
                <w:sz w:val="20"/>
                <w:szCs w:val="20"/>
              </w:rPr>
              <w:t>Niveau aisance</w:t>
            </w:r>
          </w:p>
        </w:tc>
        <w:tc>
          <w:tcPr>
            <w:tcW w:w="760" w:type="dxa"/>
            <w:vAlign w:val="bottom"/>
          </w:tcPr>
          <w:p w:rsidR="00AC12B4" w:rsidRDefault="00AC12B4">
            <w:pPr>
              <w:rPr>
                <w:sz w:val="24"/>
                <w:szCs w:val="24"/>
              </w:rPr>
            </w:pPr>
          </w:p>
        </w:tc>
        <w:tc>
          <w:tcPr>
            <w:tcW w:w="1500" w:type="dxa"/>
            <w:vAlign w:val="bottom"/>
          </w:tcPr>
          <w:p w:rsidR="00AC12B4" w:rsidRDefault="00AC12B4">
            <w:pPr>
              <w:rPr>
                <w:sz w:val="24"/>
                <w:szCs w:val="24"/>
              </w:rPr>
            </w:pPr>
          </w:p>
        </w:tc>
        <w:tc>
          <w:tcPr>
            <w:tcW w:w="760" w:type="dxa"/>
            <w:vAlign w:val="bottom"/>
          </w:tcPr>
          <w:p w:rsidR="00AC12B4" w:rsidRDefault="00AC12B4">
            <w:pPr>
              <w:rPr>
                <w:sz w:val="24"/>
                <w:szCs w:val="24"/>
              </w:rPr>
            </w:pPr>
          </w:p>
        </w:tc>
      </w:tr>
      <w:tr w:rsidR="00AC12B4">
        <w:trPr>
          <w:trHeight w:val="245"/>
        </w:trPr>
        <w:tc>
          <w:tcPr>
            <w:tcW w:w="1380" w:type="dxa"/>
            <w:vAlign w:val="bottom"/>
          </w:tcPr>
          <w:p w:rsidR="00AC12B4" w:rsidRDefault="00C27636">
            <w:pPr>
              <w:rPr>
                <w:sz w:val="20"/>
                <w:szCs w:val="20"/>
              </w:rPr>
            </w:pPr>
            <w:r>
              <w:rPr>
                <w:rFonts w:ascii="Calibri" w:eastAsia="Calibri" w:hAnsi="Calibri" w:cs="Calibri"/>
                <w:color w:val="C9D11D"/>
                <w:sz w:val="20"/>
                <w:szCs w:val="20"/>
              </w:rPr>
              <w:t>matérielle</w:t>
            </w:r>
          </w:p>
        </w:tc>
        <w:tc>
          <w:tcPr>
            <w:tcW w:w="760" w:type="dxa"/>
            <w:vAlign w:val="bottom"/>
          </w:tcPr>
          <w:p w:rsidR="00AC12B4" w:rsidRDefault="00C27636">
            <w:pPr>
              <w:ind w:left="20"/>
              <w:jc w:val="center"/>
              <w:rPr>
                <w:sz w:val="20"/>
                <w:szCs w:val="20"/>
              </w:rPr>
            </w:pPr>
            <w:r>
              <w:rPr>
                <w:rFonts w:ascii="Calibri" w:eastAsia="Calibri" w:hAnsi="Calibri" w:cs="Calibri"/>
                <w:sz w:val="20"/>
                <w:szCs w:val="20"/>
              </w:rPr>
              <w:t>20544</w:t>
            </w:r>
          </w:p>
        </w:tc>
        <w:tc>
          <w:tcPr>
            <w:tcW w:w="1500" w:type="dxa"/>
            <w:vAlign w:val="bottom"/>
          </w:tcPr>
          <w:p w:rsidR="00AC12B4" w:rsidRDefault="00AC12B4">
            <w:pPr>
              <w:rPr>
                <w:sz w:val="21"/>
                <w:szCs w:val="21"/>
              </w:rPr>
            </w:pPr>
          </w:p>
        </w:tc>
        <w:tc>
          <w:tcPr>
            <w:tcW w:w="76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Faible</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26,4</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Moyen</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17,8</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Elevé</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12,6</w:t>
            </w:r>
          </w:p>
        </w:tc>
        <w:tc>
          <w:tcPr>
            <w:tcW w:w="760" w:type="dxa"/>
            <w:vAlign w:val="bottom"/>
          </w:tcPr>
          <w:p w:rsidR="00AC12B4" w:rsidRDefault="00AC12B4">
            <w:pPr>
              <w:rPr>
                <w:sz w:val="24"/>
                <w:szCs w:val="24"/>
              </w:rPr>
            </w:pPr>
          </w:p>
        </w:tc>
      </w:tr>
      <w:tr w:rsidR="00AC12B4">
        <w:trPr>
          <w:trHeight w:val="600"/>
        </w:trPr>
        <w:tc>
          <w:tcPr>
            <w:tcW w:w="1380" w:type="dxa"/>
            <w:vAlign w:val="bottom"/>
          </w:tcPr>
          <w:p w:rsidR="00AC12B4" w:rsidRDefault="00C27636">
            <w:pPr>
              <w:rPr>
                <w:sz w:val="20"/>
                <w:szCs w:val="20"/>
              </w:rPr>
            </w:pPr>
            <w:r>
              <w:rPr>
                <w:rFonts w:ascii="Calibri" w:eastAsia="Calibri" w:hAnsi="Calibri" w:cs="Calibri"/>
                <w:color w:val="C9D11D"/>
                <w:sz w:val="20"/>
                <w:szCs w:val="20"/>
              </w:rPr>
              <w:t>Famille</w:t>
            </w:r>
          </w:p>
        </w:tc>
        <w:tc>
          <w:tcPr>
            <w:tcW w:w="760" w:type="dxa"/>
            <w:vAlign w:val="bottom"/>
          </w:tcPr>
          <w:p w:rsidR="00AC12B4" w:rsidRDefault="00C27636">
            <w:pPr>
              <w:ind w:left="20"/>
              <w:jc w:val="center"/>
              <w:rPr>
                <w:sz w:val="20"/>
                <w:szCs w:val="20"/>
              </w:rPr>
            </w:pPr>
            <w:r>
              <w:rPr>
                <w:rFonts w:ascii="Calibri" w:eastAsia="Calibri" w:hAnsi="Calibri" w:cs="Calibri"/>
                <w:sz w:val="20"/>
                <w:szCs w:val="20"/>
              </w:rPr>
              <w:t>22010</w:t>
            </w:r>
          </w:p>
        </w:tc>
        <w:tc>
          <w:tcPr>
            <w:tcW w:w="1500" w:type="dxa"/>
            <w:vAlign w:val="bottom"/>
          </w:tcPr>
          <w:p w:rsidR="00AC12B4" w:rsidRDefault="00AC12B4">
            <w:pPr>
              <w:rPr>
                <w:sz w:val="24"/>
                <w:szCs w:val="24"/>
              </w:rPr>
            </w:pPr>
          </w:p>
        </w:tc>
        <w:tc>
          <w:tcPr>
            <w:tcW w:w="76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242"/>
        </w:trPr>
        <w:tc>
          <w:tcPr>
            <w:tcW w:w="1380" w:type="dxa"/>
            <w:vAlign w:val="bottom"/>
          </w:tcPr>
          <w:p w:rsidR="00AC12B4" w:rsidRDefault="00C27636">
            <w:pPr>
              <w:spacing w:line="243" w:lineRule="exact"/>
              <w:rPr>
                <w:sz w:val="20"/>
                <w:szCs w:val="20"/>
              </w:rPr>
            </w:pPr>
            <w:r>
              <w:rPr>
                <w:rFonts w:ascii="Calibri" w:eastAsia="Calibri" w:hAnsi="Calibri" w:cs="Calibri"/>
                <w:color w:val="C9D11D"/>
                <w:sz w:val="20"/>
                <w:szCs w:val="20"/>
              </w:rPr>
              <w:t>2 parents</w:t>
            </w:r>
          </w:p>
        </w:tc>
        <w:tc>
          <w:tcPr>
            <w:tcW w:w="760" w:type="dxa"/>
            <w:vAlign w:val="bottom"/>
          </w:tcPr>
          <w:p w:rsidR="00AC12B4" w:rsidRDefault="00AC12B4">
            <w:pPr>
              <w:rPr>
                <w:sz w:val="21"/>
                <w:szCs w:val="21"/>
              </w:rPr>
            </w:pPr>
          </w:p>
        </w:tc>
        <w:tc>
          <w:tcPr>
            <w:tcW w:w="1500" w:type="dxa"/>
            <w:vAlign w:val="bottom"/>
          </w:tcPr>
          <w:p w:rsidR="00AC12B4" w:rsidRDefault="00AC12B4">
            <w:pPr>
              <w:rPr>
                <w:sz w:val="21"/>
                <w:szCs w:val="21"/>
              </w:rPr>
            </w:pPr>
          </w:p>
        </w:tc>
        <w:tc>
          <w:tcPr>
            <w:tcW w:w="760" w:type="dxa"/>
            <w:vAlign w:val="bottom"/>
          </w:tcPr>
          <w:p w:rsidR="00AC12B4" w:rsidRDefault="00AC12B4">
            <w:pPr>
              <w:rPr>
                <w:sz w:val="21"/>
                <w:szCs w:val="21"/>
              </w:rPr>
            </w:pPr>
          </w:p>
        </w:tc>
      </w:tr>
      <w:tr w:rsidR="00AC12B4">
        <w:trPr>
          <w:trHeight w:val="245"/>
        </w:trPr>
        <w:tc>
          <w:tcPr>
            <w:tcW w:w="1380" w:type="dxa"/>
            <w:vAlign w:val="bottom"/>
          </w:tcPr>
          <w:p w:rsidR="00AC12B4" w:rsidRDefault="00C27636">
            <w:pPr>
              <w:rPr>
                <w:sz w:val="20"/>
                <w:szCs w:val="20"/>
              </w:rPr>
            </w:pPr>
            <w:r>
              <w:rPr>
                <w:rFonts w:ascii="Calibri" w:eastAsia="Calibri" w:hAnsi="Calibri" w:cs="Calibri"/>
                <w:color w:val="C9D11D"/>
                <w:sz w:val="20"/>
                <w:szCs w:val="20"/>
              </w:rPr>
              <w:lastRenderedPageBreak/>
              <w:t>biologiques</w:t>
            </w:r>
          </w:p>
        </w:tc>
        <w:tc>
          <w:tcPr>
            <w:tcW w:w="760" w:type="dxa"/>
            <w:vAlign w:val="bottom"/>
          </w:tcPr>
          <w:p w:rsidR="00AC12B4" w:rsidRDefault="00AC12B4">
            <w:pPr>
              <w:rPr>
                <w:sz w:val="21"/>
                <w:szCs w:val="21"/>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15,2</w:t>
            </w:r>
          </w:p>
        </w:tc>
        <w:tc>
          <w:tcPr>
            <w:tcW w:w="760" w:type="dxa"/>
            <w:vAlign w:val="bottom"/>
          </w:tcPr>
          <w:p w:rsidR="00AC12B4" w:rsidRDefault="00AC12B4">
            <w:pPr>
              <w:rPr>
                <w:sz w:val="21"/>
                <w:szCs w:val="21"/>
              </w:rPr>
            </w:pPr>
          </w:p>
        </w:tc>
      </w:tr>
      <w:tr w:rsidR="00AC12B4">
        <w:trPr>
          <w:trHeight w:val="300"/>
        </w:trPr>
        <w:tc>
          <w:tcPr>
            <w:tcW w:w="1380" w:type="dxa"/>
            <w:vAlign w:val="bottom"/>
          </w:tcPr>
          <w:p w:rsidR="00AC12B4" w:rsidRDefault="00C27636">
            <w:pPr>
              <w:rPr>
                <w:sz w:val="20"/>
                <w:szCs w:val="20"/>
              </w:rPr>
            </w:pPr>
            <w:r>
              <w:rPr>
                <w:rFonts w:ascii="Calibri" w:eastAsia="Calibri" w:hAnsi="Calibri" w:cs="Calibri"/>
                <w:color w:val="C9D11D"/>
                <w:sz w:val="20"/>
                <w:szCs w:val="20"/>
              </w:rPr>
              <w:t>Autres</w:t>
            </w:r>
          </w:p>
        </w:tc>
        <w:tc>
          <w:tcPr>
            <w:tcW w:w="760" w:type="dxa"/>
            <w:vAlign w:val="bottom"/>
          </w:tcPr>
          <w:p w:rsidR="00AC12B4" w:rsidRDefault="00AC12B4">
            <w:pPr>
              <w:rPr>
                <w:sz w:val="24"/>
                <w:szCs w:val="24"/>
              </w:rPr>
            </w:pPr>
          </w:p>
        </w:tc>
        <w:tc>
          <w:tcPr>
            <w:tcW w:w="1500" w:type="dxa"/>
            <w:vAlign w:val="bottom"/>
          </w:tcPr>
          <w:p w:rsidR="00AC12B4" w:rsidRDefault="00C27636">
            <w:pPr>
              <w:ind w:right="140"/>
              <w:jc w:val="right"/>
              <w:rPr>
                <w:sz w:val="20"/>
                <w:szCs w:val="20"/>
              </w:rPr>
            </w:pPr>
            <w:r>
              <w:rPr>
                <w:rFonts w:ascii="Calibri" w:eastAsia="Calibri" w:hAnsi="Calibri" w:cs="Calibri"/>
                <w:sz w:val="20"/>
                <w:szCs w:val="20"/>
              </w:rPr>
              <w:t>22,8</w:t>
            </w:r>
          </w:p>
        </w:tc>
        <w:tc>
          <w:tcPr>
            <w:tcW w:w="760" w:type="dxa"/>
            <w:vAlign w:val="bottom"/>
          </w:tcPr>
          <w:p w:rsidR="00AC12B4" w:rsidRDefault="00AC12B4">
            <w:pPr>
              <w:rPr>
                <w:sz w:val="24"/>
                <w:szCs w:val="24"/>
              </w:rPr>
            </w:pPr>
          </w:p>
        </w:tc>
      </w:tr>
    </w:tbl>
    <w:p w:rsidR="00AC12B4" w:rsidRDefault="00AC12B4">
      <w:pPr>
        <w:spacing w:line="347" w:lineRule="exact"/>
        <w:rPr>
          <w:sz w:val="20"/>
          <w:szCs w:val="20"/>
        </w:rPr>
      </w:pPr>
    </w:p>
    <w:p w:rsidR="00AC12B4" w:rsidRPr="00C27636" w:rsidRDefault="00C27636">
      <w:pPr>
        <w:spacing w:line="218" w:lineRule="auto"/>
        <w:ind w:right="180"/>
        <w:rPr>
          <w:sz w:val="20"/>
          <w:szCs w:val="20"/>
          <w:lang w:val="fr-BE"/>
        </w:rPr>
      </w:pPr>
      <w:r w:rsidRPr="00C27636">
        <w:rPr>
          <w:rFonts w:ascii="Calibri" w:eastAsia="Calibri" w:hAnsi="Calibri" w:cs="Calibri"/>
          <w:b/>
          <w:bCs/>
          <w:color w:val="4F81BD"/>
          <w:sz w:val="18"/>
          <w:szCs w:val="18"/>
          <w:lang w:val="fr-BE"/>
        </w:rPr>
        <w:t>Table 2. Facteurs associés au saut du petit-déjeuner tous les jours de la semaine (du lundi au vendredi), HBSC 2014.</w:t>
      </w:r>
    </w:p>
    <w:p w:rsidR="00AC12B4" w:rsidRPr="00C27636" w:rsidRDefault="00AC12B4">
      <w:pPr>
        <w:spacing w:line="280" w:lineRule="exact"/>
        <w:rPr>
          <w:sz w:val="20"/>
          <w:szCs w:val="20"/>
          <w:lang w:val="fr-BE"/>
        </w:rPr>
      </w:pPr>
    </w:p>
    <w:p w:rsidR="00AC12B4" w:rsidRPr="00C27636" w:rsidRDefault="00C27636">
      <w:pPr>
        <w:ind w:left="580"/>
        <w:rPr>
          <w:sz w:val="20"/>
          <w:szCs w:val="20"/>
          <w:lang w:val="fr-BE"/>
        </w:rPr>
      </w:pPr>
      <w:r w:rsidRPr="00C27636">
        <w:rPr>
          <w:rFonts w:ascii="Calibri" w:eastAsia="Calibri" w:hAnsi="Calibri" w:cs="Calibri"/>
          <w:lang w:val="fr-BE"/>
        </w:rPr>
        <w:t>de la famille diminue.</w:t>
      </w:r>
    </w:p>
    <w:p w:rsidR="00AC12B4" w:rsidRPr="00C27636" w:rsidRDefault="00AC12B4">
      <w:pPr>
        <w:spacing w:line="206" w:lineRule="exact"/>
        <w:rPr>
          <w:sz w:val="20"/>
          <w:szCs w:val="20"/>
          <w:lang w:val="fr-BE"/>
        </w:rPr>
      </w:pPr>
    </w:p>
    <w:p w:rsidR="00AC12B4" w:rsidRPr="00C27636" w:rsidRDefault="00C27636">
      <w:pPr>
        <w:ind w:left="580"/>
        <w:rPr>
          <w:sz w:val="20"/>
          <w:szCs w:val="20"/>
          <w:lang w:val="fr-BE"/>
        </w:rPr>
      </w:pPr>
      <w:r w:rsidRPr="00C27636">
        <w:rPr>
          <w:rFonts w:ascii="Cambria" w:eastAsia="Cambria" w:hAnsi="Cambria" w:cs="Cambria"/>
          <w:b/>
          <w:bCs/>
          <w:i/>
          <w:iCs/>
          <w:color w:val="919715"/>
          <w:sz w:val="26"/>
          <w:szCs w:val="26"/>
          <w:lang w:val="fr-BE"/>
        </w:rPr>
        <w:t>Pratique d’une activité physique</w:t>
      </w:r>
    </w:p>
    <w:p w:rsidR="00AC12B4" w:rsidRPr="00C27636" w:rsidRDefault="00AC12B4">
      <w:pPr>
        <w:spacing w:line="211" w:lineRule="exact"/>
        <w:rPr>
          <w:sz w:val="20"/>
          <w:szCs w:val="20"/>
          <w:lang w:val="fr-BE"/>
        </w:rPr>
      </w:pPr>
    </w:p>
    <w:p w:rsidR="00AC12B4" w:rsidRPr="00C27636" w:rsidRDefault="00C27636">
      <w:pPr>
        <w:spacing w:line="227" w:lineRule="auto"/>
        <w:ind w:left="580" w:right="480"/>
        <w:jc w:val="both"/>
        <w:rPr>
          <w:sz w:val="20"/>
          <w:szCs w:val="20"/>
          <w:lang w:val="fr-BE"/>
        </w:rPr>
      </w:pPr>
      <w:r w:rsidRPr="00C27636">
        <w:rPr>
          <w:rFonts w:ascii="Calibri" w:eastAsia="Calibri" w:hAnsi="Calibri" w:cs="Calibri"/>
          <w:lang w:val="fr-BE"/>
        </w:rPr>
        <w:t xml:space="preserve">Selon la définition de l’Organisation Mondiale de la Santé, </w:t>
      </w:r>
      <w:r w:rsidRPr="00C27636">
        <w:rPr>
          <w:rFonts w:ascii="Calibri" w:eastAsia="Calibri" w:hAnsi="Calibri" w:cs="Calibri"/>
          <w:lang w:val="fr-BE"/>
        </w:rPr>
        <w:t>«l’activité physique chez les jeunes englobe notamment le jeu, les sports, les déplacements, les activités récréatives, l’éducation physique ou l’exercice planifié, dans le contexte familial, scolaire ou communautaire.»</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xml:space="preserve"> Elle recommande pour les jeunes un </w:t>
      </w:r>
      <w:r w:rsidRPr="00C27636">
        <w:rPr>
          <w:rFonts w:ascii="Calibri" w:eastAsia="Calibri" w:hAnsi="Calibri" w:cs="Calibri"/>
          <w:lang w:val="fr-BE"/>
        </w:rPr>
        <w:t>total d’au</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55328" behindDoc="1" locked="0" layoutInCell="0" allowOverlap="1">
                <wp:simplePos x="0" y="0"/>
                <wp:positionH relativeFrom="column">
                  <wp:posOffset>372110</wp:posOffset>
                </wp:positionH>
                <wp:positionV relativeFrom="paragraph">
                  <wp:posOffset>216535</wp:posOffset>
                </wp:positionV>
                <wp:extent cx="1829435" cy="0"/>
                <wp:effectExtent l="0" t="0" r="0" b="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pt,17.05pt" to="173.35pt,17.0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72" w:lineRule="exact"/>
        <w:rPr>
          <w:sz w:val="20"/>
          <w:szCs w:val="20"/>
          <w:lang w:val="fr-BE"/>
        </w:rPr>
      </w:pPr>
    </w:p>
    <w:p w:rsidR="00AC12B4" w:rsidRDefault="00C27636">
      <w:pPr>
        <w:numPr>
          <w:ilvl w:val="0"/>
          <w:numId w:val="130"/>
        </w:numPr>
        <w:tabs>
          <w:tab w:val="left" w:pos="700"/>
        </w:tabs>
        <w:ind w:left="700" w:hanging="113"/>
        <w:rPr>
          <w:rFonts w:ascii="Calibri" w:eastAsia="Calibri" w:hAnsi="Calibri" w:cs="Calibri"/>
          <w:sz w:val="26"/>
          <w:szCs w:val="26"/>
          <w:vertAlign w:val="superscript"/>
        </w:rPr>
      </w:pPr>
      <w:r>
        <w:rPr>
          <w:rFonts w:ascii="Calibri" w:eastAsia="Calibri" w:hAnsi="Calibri" w:cs="Calibri"/>
          <w:sz w:val="20"/>
          <w:szCs w:val="20"/>
        </w:rPr>
        <w:t>OMS 2010</w:t>
      </w:r>
    </w:p>
    <w:p w:rsidR="00AC12B4" w:rsidRDefault="00AC12B4">
      <w:pPr>
        <w:spacing w:line="241" w:lineRule="exact"/>
        <w:rPr>
          <w:sz w:val="20"/>
          <w:szCs w:val="20"/>
        </w:rPr>
      </w:pPr>
    </w:p>
    <w:p w:rsidR="00AC12B4" w:rsidRDefault="00C27636">
      <w:pPr>
        <w:jc w:val="right"/>
        <w:rPr>
          <w:sz w:val="20"/>
          <w:szCs w:val="20"/>
        </w:rPr>
      </w:pPr>
      <w:r>
        <w:rPr>
          <w:rFonts w:ascii="Calibri" w:eastAsia="Calibri" w:hAnsi="Calibri" w:cs="Calibri"/>
        </w:rPr>
        <w:t>89</w:t>
      </w:r>
    </w:p>
    <w:p w:rsidR="00AC12B4" w:rsidRDefault="00C27636">
      <w:pPr>
        <w:spacing w:line="20" w:lineRule="exact"/>
        <w:rPr>
          <w:sz w:val="20"/>
          <w:szCs w:val="20"/>
        </w:rPr>
      </w:pPr>
      <w:r>
        <w:rPr>
          <w:sz w:val="20"/>
          <w:szCs w:val="20"/>
        </w:rPr>
        <w:br w:type="column"/>
      </w:r>
    </w:p>
    <w:p w:rsidR="00AC12B4" w:rsidRDefault="00AC12B4">
      <w:pPr>
        <w:spacing w:line="129" w:lineRule="exact"/>
        <w:rPr>
          <w:sz w:val="20"/>
          <w:szCs w:val="20"/>
        </w:rPr>
      </w:pPr>
    </w:p>
    <w:p w:rsidR="00AC12B4" w:rsidRDefault="00C27636">
      <w:pPr>
        <w:ind w:left="2620"/>
        <w:rPr>
          <w:sz w:val="20"/>
          <w:szCs w:val="20"/>
        </w:rPr>
      </w:pPr>
      <w:r>
        <w:rPr>
          <w:rFonts w:ascii="Calibri" w:eastAsia="Calibri" w:hAnsi="Calibri" w:cs="Calibri"/>
          <w:sz w:val="20"/>
          <w:szCs w:val="20"/>
        </w:rPr>
        <w:t>4,7%</w:t>
      </w:r>
    </w:p>
    <w:p w:rsidR="00AC12B4" w:rsidRDefault="00C27636">
      <w:pPr>
        <w:spacing w:line="20" w:lineRule="exact"/>
        <w:rPr>
          <w:sz w:val="20"/>
          <w:szCs w:val="20"/>
        </w:rPr>
      </w:pPr>
      <w:r>
        <w:rPr>
          <w:noProof/>
          <w:sz w:val="20"/>
          <w:szCs w:val="20"/>
        </w:rPr>
        <w:drawing>
          <wp:anchor distT="0" distB="0" distL="114300" distR="114300" simplePos="0" relativeHeight="251556352" behindDoc="1" locked="0" layoutInCell="0" allowOverlap="1">
            <wp:simplePos x="0" y="0"/>
            <wp:positionH relativeFrom="column">
              <wp:posOffset>-4445</wp:posOffset>
            </wp:positionH>
            <wp:positionV relativeFrom="paragraph">
              <wp:posOffset>-1163320</wp:posOffset>
            </wp:positionV>
            <wp:extent cx="3596640" cy="10908665"/>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31">
                      <a:extLst/>
                    </a:blip>
                    <a:srcRect/>
                    <a:stretch>
                      <a:fillRect/>
                    </a:stretch>
                  </pic:blipFill>
                  <pic:spPr bwMode="auto">
                    <a:xfrm>
                      <a:off x="0" y="0"/>
                      <a:ext cx="3596640" cy="10908665"/>
                    </a:xfrm>
                    <a:prstGeom prst="rect">
                      <a:avLst/>
                    </a:prstGeom>
                    <a:noFill/>
                  </pic:spPr>
                </pic:pic>
              </a:graphicData>
            </a:graphic>
          </wp:anchor>
        </w:drawing>
      </w:r>
    </w:p>
    <w:p w:rsidR="00AC12B4" w:rsidRDefault="00C27636">
      <w:pPr>
        <w:tabs>
          <w:tab w:val="left" w:pos="3240"/>
        </w:tabs>
        <w:spacing w:line="184" w:lineRule="auto"/>
        <w:ind w:left="1480"/>
        <w:rPr>
          <w:sz w:val="20"/>
          <w:szCs w:val="20"/>
        </w:rPr>
      </w:pPr>
      <w:r>
        <w:rPr>
          <w:rFonts w:ascii="Calibri" w:eastAsia="Calibri" w:hAnsi="Calibri" w:cs="Calibri"/>
          <w:sz w:val="21"/>
          <w:szCs w:val="21"/>
          <w:vertAlign w:val="superscript"/>
        </w:rPr>
        <w:t>15,2%</w:t>
      </w:r>
      <w:r>
        <w:rPr>
          <w:sz w:val="20"/>
          <w:szCs w:val="20"/>
        </w:rPr>
        <w:tab/>
      </w:r>
      <w:r>
        <w:rPr>
          <w:rFonts w:ascii="Calibri" w:eastAsia="Calibri" w:hAnsi="Calibri" w:cs="Calibri"/>
          <w:sz w:val="13"/>
          <w:szCs w:val="13"/>
        </w:rPr>
        <w:t>10,3%</w:t>
      </w:r>
    </w:p>
    <w:p w:rsidR="00AC12B4" w:rsidRDefault="00AC12B4">
      <w:pPr>
        <w:spacing w:line="200" w:lineRule="exact"/>
        <w:rPr>
          <w:sz w:val="20"/>
          <w:szCs w:val="20"/>
        </w:rPr>
      </w:pPr>
    </w:p>
    <w:p w:rsidR="00AC12B4" w:rsidRDefault="00AC12B4">
      <w:pPr>
        <w:spacing w:line="233" w:lineRule="exact"/>
        <w:rPr>
          <w:sz w:val="20"/>
          <w:szCs w:val="20"/>
        </w:rPr>
      </w:pPr>
    </w:p>
    <w:p w:rsidR="00AC12B4" w:rsidRDefault="00C27636">
      <w:pPr>
        <w:ind w:left="1060"/>
        <w:rPr>
          <w:sz w:val="20"/>
          <w:szCs w:val="20"/>
        </w:rPr>
      </w:pPr>
      <w:r>
        <w:rPr>
          <w:rFonts w:ascii="Calibri" w:eastAsia="Calibri" w:hAnsi="Calibri" w:cs="Calibri"/>
          <w:sz w:val="20"/>
          <w:szCs w:val="20"/>
        </w:rPr>
        <w:t>8,0%</w:t>
      </w:r>
    </w:p>
    <w:p w:rsidR="00AC12B4" w:rsidRDefault="00AC12B4">
      <w:pPr>
        <w:spacing w:line="9" w:lineRule="exact"/>
        <w:rPr>
          <w:sz w:val="20"/>
          <w:szCs w:val="20"/>
        </w:rPr>
      </w:pPr>
    </w:p>
    <w:p w:rsidR="00AC12B4" w:rsidRDefault="00C27636">
      <w:pPr>
        <w:ind w:left="3700"/>
        <w:rPr>
          <w:sz w:val="20"/>
          <w:szCs w:val="20"/>
        </w:rPr>
      </w:pPr>
      <w:r>
        <w:rPr>
          <w:rFonts w:ascii="Calibri" w:eastAsia="Calibri" w:hAnsi="Calibri" w:cs="Calibri"/>
          <w:sz w:val="20"/>
          <w:szCs w:val="20"/>
        </w:rPr>
        <w:t>15,0%</w:t>
      </w:r>
    </w:p>
    <w:p w:rsidR="00AC12B4" w:rsidRDefault="00AC12B4">
      <w:pPr>
        <w:spacing w:line="328" w:lineRule="exact"/>
        <w:rPr>
          <w:sz w:val="20"/>
          <w:szCs w:val="20"/>
        </w:rPr>
      </w:pPr>
    </w:p>
    <w:p w:rsidR="00AC12B4" w:rsidRDefault="00C27636">
      <w:pPr>
        <w:ind w:left="920"/>
        <w:rPr>
          <w:sz w:val="20"/>
          <w:szCs w:val="20"/>
        </w:rPr>
      </w:pPr>
      <w:r>
        <w:rPr>
          <w:rFonts w:ascii="Calibri" w:eastAsia="Calibri" w:hAnsi="Calibri" w:cs="Calibri"/>
          <w:sz w:val="20"/>
          <w:szCs w:val="20"/>
        </w:rPr>
        <w:t>13,3%</w:t>
      </w:r>
    </w:p>
    <w:p w:rsidR="00AC12B4" w:rsidRDefault="00AC12B4">
      <w:pPr>
        <w:spacing w:line="363" w:lineRule="exact"/>
        <w:rPr>
          <w:sz w:val="20"/>
          <w:szCs w:val="20"/>
        </w:rPr>
      </w:pPr>
    </w:p>
    <w:p w:rsidR="00AC12B4" w:rsidRDefault="00C27636">
      <w:pPr>
        <w:ind w:left="3320"/>
        <w:rPr>
          <w:sz w:val="20"/>
          <w:szCs w:val="20"/>
        </w:rPr>
      </w:pPr>
      <w:r>
        <w:rPr>
          <w:rFonts w:ascii="Calibri" w:eastAsia="Calibri" w:hAnsi="Calibri" w:cs="Calibri"/>
          <w:sz w:val="20"/>
          <w:szCs w:val="20"/>
        </w:rPr>
        <w:t>17,6%</w:t>
      </w:r>
    </w:p>
    <w:p w:rsidR="00AC12B4" w:rsidRDefault="00C27636">
      <w:pPr>
        <w:spacing w:line="194" w:lineRule="auto"/>
        <w:ind w:left="1600"/>
        <w:rPr>
          <w:sz w:val="20"/>
          <w:szCs w:val="20"/>
        </w:rPr>
      </w:pPr>
      <w:r>
        <w:rPr>
          <w:rFonts w:ascii="Calibri" w:eastAsia="Calibri" w:hAnsi="Calibri" w:cs="Calibri"/>
          <w:sz w:val="20"/>
          <w:szCs w:val="20"/>
        </w:rPr>
        <w:t>15,9%</w:t>
      </w:r>
    </w:p>
    <w:p w:rsidR="00AC12B4" w:rsidRDefault="00AC12B4">
      <w:pPr>
        <w:spacing w:line="200" w:lineRule="exact"/>
        <w:rPr>
          <w:sz w:val="20"/>
          <w:szCs w:val="20"/>
        </w:rPr>
      </w:pPr>
    </w:p>
    <w:p w:rsidR="00AC12B4" w:rsidRDefault="00C27636">
      <w:pPr>
        <w:ind w:left="1060"/>
        <w:rPr>
          <w:sz w:val="20"/>
          <w:szCs w:val="20"/>
        </w:rPr>
      </w:pPr>
      <w:r>
        <w:rPr>
          <w:noProof/>
          <w:sz w:val="1"/>
          <w:szCs w:val="1"/>
        </w:rPr>
        <w:drawing>
          <wp:inline distT="0" distB="0" distL="0" distR="0">
            <wp:extent cx="69850" cy="698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32">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Jamais </w:t>
      </w:r>
      <w:r>
        <w:rPr>
          <w:noProof/>
          <w:sz w:val="1"/>
          <w:szCs w:val="1"/>
        </w:rPr>
        <w:drawing>
          <wp:inline distT="0" distB="0" distL="0" distR="0">
            <wp:extent cx="69850" cy="698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33">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1 Jour </w:t>
      </w:r>
      <w:r>
        <w:rPr>
          <w:noProof/>
          <w:sz w:val="1"/>
          <w:szCs w:val="1"/>
        </w:rPr>
        <w:drawing>
          <wp:inline distT="0" distB="0" distL="0" distR="0">
            <wp:extent cx="68580" cy="698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4">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20"/>
          <w:szCs w:val="20"/>
        </w:rPr>
        <w:t xml:space="preserve"> 2 jours </w:t>
      </w:r>
      <w:r>
        <w:rPr>
          <w:noProof/>
          <w:sz w:val="1"/>
          <w:szCs w:val="1"/>
        </w:rPr>
        <w:drawing>
          <wp:inline distT="0" distB="0" distL="0" distR="0">
            <wp:extent cx="68580" cy="698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35">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20"/>
          <w:szCs w:val="20"/>
        </w:rPr>
        <w:t xml:space="preserve"> 3 jours</w:t>
      </w:r>
    </w:p>
    <w:p w:rsidR="00AC12B4" w:rsidRDefault="00AC12B4">
      <w:pPr>
        <w:spacing w:line="117" w:lineRule="exact"/>
        <w:rPr>
          <w:sz w:val="20"/>
          <w:szCs w:val="20"/>
        </w:rPr>
      </w:pPr>
    </w:p>
    <w:p w:rsidR="00AC12B4" w:rsidRDefault="00C27636">
      <w:pPr>
        <w:ind w:left="1060"/>
        <w:rPr>
          <w:sz w:val="20"/>
          <w:szCs w:val="20"/>
        </w:rPr>
      </w:pPr>
      <w:r>
        <w:rPr>
          <w:noProof/>
          <w:sz w:val="1"/>
          <w:szCs w:val="1"/>
        </w:rPr>
        <w:drawing>
          <wp:inline distT="0" distB="0" distL="0" distR="0">
            <wp:extent cx="69850" cy="698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36">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4 jours </w:t>
      </w:r>
      <w:r>
        <w:rPr>
          <w:noProof/>
          <w:sz w:val="1"/>
          <w:szCs w:val="1"/>
        </w:rPr>
        <w:drawing>
          <wp:inline distT="0" distB="0" distL="0" distR="0">
            <wp:extent cx="69850" cy="698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37">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5 jours </w:t>
      </w:r>
      <w:r>
        <w:rPr>
          <w:noProof/>
          <w:sz w:val="1"/>
          <w:szCs w:val="1"/>
        </w:rPr>
        <w:drawing>
          <wp:inline distT="0" distB="0" distL="0" distR="0">
            <wp:extent cx="68580" cy="698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38">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20"/>
          <w:szCs w:val="20"/>
        </w:rPr>
        <w:t xml:space="preserve"> 6 jours </w:t>
      </w:r>
      <w:r>
        <w:rPr>
          <w:noProof/>
          <w:sz w:val="1"/>
          <w:szCs w:val="1"/>
        </w:rPr>
        <w:drawing>
          <wp:inline distT="0" distB="0" distL="0" distR="0">
            <wp:extent cx="68580" cy="698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39">
                      <a:extLst/>
                    </a:blip>
                    <a:srcRect/>
                    <a:stretch>
                      <a:fillRect/>
                    </a:stretch>
                  </pic:blipFill>
                  <pic:spPr bwMode="auto">
                    <a:xfrm>
                      <a:off x="0" y="0"/>
                      <a:ext cx="68580" cy="69850"/>
                    </a:xfrm>
                    <a:prstGeom prst="rect">
                      <a:avLst/>
                    </a:prstGeom>
                    <a:noFill/>
                    <a:ln>
                      <a:noFill/>
                    </a:ln>
                  </pic:spPr>
                </pic:pic>
              </a:graphicData>
            </a:graphic>
          </wp:inline>
        </w:drawing>
      </w:r>
      <w:r>
        <w:rPr>
          <w:rFonts w:ascii="Calibri" w:eastAsia="Calibri" w:hAnsi="Calibri" w:cs="Calibri"/>
          <w:sz w:val="20"/>
          <w:szCs w:val="20"/>
        </w:rPr>
        <w:t xml:space="preserve"> 7 jours</w:t>
      </w:r>
    </w:p>
    <w:p w:rsidR="00AC12B4" w:rsidRDefault="00AC12B4">
      <w:pPr>
        <w:spacing w:line="296" w:lineRule="exact"/>
        <w:rPr>
          <w:sz w:val="20"/>
          <w:szCs w:val="20"/>
        </w:rPr>
      </w:pPr>
    </w:p>
    <w:p w:rsidR="00AC12B4" w:rsidRPr="00C27636" w:rsidRDefault="00C27636">
      <w:pPr>
        <w:spacing w:line="218" w:lineRule="auto"/>
        <w:rPr>
          <w:sz w:val="20"/>
          <w:szCs w:val="20"/>
          <w:lang w:val="fr-BE"/>
        </w:rPr>
      </w:pPr>
      <w:r w:rsidRPr="00C27636">
        <w:rPr>
          <w:rFonts w:ascii="Calibri" w:eastAsia="Calibri" w:hAnsi="Calibri" w:cs="Calibri"/>
          <w:b/>
          <w:bCs/>
          <w:color w:val="4F81BD"/>
          <w:sz w:val="18"/>
          <w:szCs w:val="18"/>
          <w:lang w:val="fr-BE"/>
        </w:rPr>
        <w:t>Figure 3. Pratique d’une activité physique (60 min.) par semaine (n=22.206), HBSC 2014.</w:t>
      </w:r>
    </w:p>
    <w:p w:rsidR="00AC12B4" w:rsidRPr="00C27636" w:rsidRDefault="00AC12B4">
      <w:pPr>
        <w:spacing w:line="245" w:lineRule="exact"/>
        <w:rPr>
          <w:sz w:val="20"/>
          <w:szCs w:val="20"/>
          <w:lang w:val="fr-BE"/>
        </w:rPr>
      </w:pPr>
    </w:p>
    <w:p w:rsidR="00AC12B4" w:rsidRPr="00C27636" w:rsidRDefault="00C27636">
      <w:pPr>
        <w:spacing w:line="218" w:lineRule="auto"/>
        <w:ind w:left="180" w:right="380"/>
        <w:jc w:val="both"/>
        <w:rPr>
          <w:sz w:val="20"/>
          <w:szCs w:val="20"/>
          <w:lang w:val="fr-BE"/>
        </w:rPr>
      </w:pPr>
      <w:r w:rsidRPr="00C27636">
        <w:rPr>
          <w:rFonts w:ascii="Calibri" w:eastAsia="Calibri" w:hAnsi="Calibri" w:cs="Calibri"/>
          <w:lang w:val="fr-BE"/>
        </w:rPr>
        <w:t>moins 60 minutes par jour d’activité physique telle que définie ci-dessus.</w:t>
      </w:r>
    </w:p>
    <w:p w:rsidR="00AC12B4" w:rsidRPr="00C27636" w:rsidRDefault="00AC12B4">
      <w:pPr>
        <w:spacing w:line="50" w:lineRule="exact"/>
        <w:rPr>
          <w:sz w:val="20"/>
          <w:szCs w:val="20"/>
          <w:lang w:val="fr-BE"/>
        </w:rPr>
      </w:pPr>
    </w:p>
    <w:p w:rsidR="00AC12B4" w:rsidRPr="00C27636" w:rsidRDefault="00C27636">
      <w:pPr>
        <w:spacing w:line="233" w:lineRule="auto"/>
        <w:ind w:left="180" w:right="380"/>
        <w:jc w:val="both"/>
        <w:rPr>
          <w:sz w:val="20"/>
          <w:szCs w:val="20"/>
          <w:lang w:val="fr-BE"/>
        </w:rPr>
      </w:pPr>
      <w:r w:rsidRPr="00C27636">
        <w:rPr>
          <w:rFonts w:ascii="Calibri" w:eastAsia="Calibri" w:hAnsi="Calibri" w:cs="Calibri"/>
          <w:lang w:val="fr-BE"/>
        </w:rPr>
        <w:t xml:space="preserve">Bien que la définition de l’activité physique de l’OMS soit très large, en 2014, seul près d’un jeune sur sept (15,2%) suit cette recommandation. La même proportion de jeunes </w:t>
      </w:r>
      <w:r w:rsidRPr="00C27636">
        <w:rPr>
          <w:rFonts w:ascii="Calibri" w:eastAsia="Calibri" w:hAnsi="Calibri" w:cs="Calibri"/>
          <w:lang w:val="fr-BE"/>
        </w:rPr>
        <w:t>(15,0%) ne pratique 60 minutes d’activité physique qu’un jour par semaine ou jamais.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AC12B4">
      <w:pPr>
        <w:rPr>
          <w:lang w:val="fr-BE"/>
        </w:rPr>
        <w:sectPr w:rsidR="00AC12B4" w:rsidRPr="00C27636">
          <w:pgSz w:w="12080" w:h="17179"/>
          <w:pgMar w:top="1440" w:right="496" w:bottom="659" w:left="1420" w:header="0" w:footer="0" w:gutter="0"/>
          <w:cols w:num="3" w:space="720" w:equalWidth="0">
            <w:col w:w="4940" w:space="60"/>
            <w:col w:w="4420" w:space="399"/>
            <w:col w:w="342"/>
          </w:cols>
        </w:sectPr>
      </w:pPr>
    </w:p>
    <w:p w:rsidR="00AC12B4" w:rsidRPr="00C27636" w:rsidRDefault="00C27636">
      <w:pPr>
        <w:spacing w:line="200" w:lineRule="exact"/>
        <w:rPr>
          <w:sz w:val="20"/>
          <w:szCs w:val="20"/>
          <w:lang w:val="fr-BE"/>
        </w:rPr>
      </w:pPr>
      <w:bookmarkStart w:id="89" w:name="page90"/>
      <w:bookmarkEnd w:id="89"/>
      <w:r>
        <w:rPr>
          <w:noProof/>
          <w:sz w:val="20"/>
          <w:szCs w:val="20"/>
        </w:rPr>
        <w:lastRenderedPageBreak/>
        <w:drawing>
          <wp:anchor distT="0" distB="0" distL="114300" distR="114300" simplePos="0" relativeHeight="251557376" behindDoc="1" locked="0" layoutInCell="0" allowOverlap="1">
            <wp:simplePos x="0" y="0"/>
            <wp:positionH relativeFrom="page">
              <wp:posOffset>0</wp:posOffset>
            </wp:positionH>
            <wp:positionV relativeFrom="page">
              <wp:posOffset>0</wp:posOffset>
            </wp:positionV>
            <wp:extent cx="810895" cy="10908665"/>
            <wp:effectExtent l="0" t="0" r="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0">
                      <a:clrChange>
                        <a:clrFrom>
                          <a:srgbClr val="FFFFFF"/>
                        </a:clrFrom>
                        <a:clrTo>
                          <a:srgbClr val="FFFFFF">
                            <a:alpha val="0"/>
                          </a:srgbClr>
                        </a:clrTo>
                      </a:clrChange>
                      <a:extLst/>
                    </a:blip>
                    <a:srcRect/>
                    <a:stretch>
                      <a:fillRect/>
                    </a:stretch>
                  </pic:blipFill>
                  <pic:spPr bwMode="auto">
                    <a:xfrm>
                      <a:off x="0" y="0"/>
                      <a:ext cx="810895" cy="1090866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333" w:lineRule="exact"/>
        <w:rPr>
          <w:sz w:val="20"/>
          <w:szCs w:val="20"/>
          <w:lang w:val="fr-BE"/>
        </w:rPr>
      </w:pPr>
    </w:p>
    <w:p w:rsidR="00AC12B4" w:rsidRPr="00C27636" w:rsidRDefault="00AC12B4">
      <w:pPr>
        <w:spacing w:line="1" w:lineRule="exact"/>
        <w:rPr>
          <w:sz w:val="1"/>
          <w:szCs w:val="1"/>
          <w:lang w:val="fr-BE"/>
        </w:rPr>
      </w:pPr>
    </w:p>
    <w:tbl>
      <w:tblPr>
        <w:tblW w:w="0" w:type="auto"/>
        <w:tblLayout w:type="fixed"/>
        <w:tblCellMar>
          <w:left w:w="0" w:type="dxa"/>
          <w:right w:w="0" w:type="dxa"/>
        </w:tblCellMar>
        <w:tblLook w:val="04A0" w:firstRow="1" w:lastRow="0" w:firstColumn="1" w:lastColumn="0" w:noHBand="0" w:noVBand="1"/>
      </w:tblPr>
      <w:tblGrid>
        <w:gridCol w:w="1100"/>
        <w:gridCol w:w="800"/>
        <w:gridCol w:w="1300"/>
        <w:gridCol w:w="800"/>
      </w:tblGrid>
      <w:tr w:rsidR="00AC12B4">
        <w:trPr>
          <w:trHeight w:val="244"/>
        </w:trPr>
        <w:tc>
          <w:tcPr>
            <w:tcW w:w="1100" w:type="dxa"/>
            <w:vAlign w:val="bottom"/>
          </w:tcPr>
          <w:p w:rsidR="00AC12B4" w:rsidRPr="00C27636" w:rsidRDefault="00AC12B4">
            <w:pPr>
              <w:rPr>
                <w:sz w:val="21"/>
                <w:szCs w:val="21"/>
                <w:lang w:val="fr-BE"/>
              </w:rPr>
            </w:pPr>
          </w:p>
        </w:tc>
        <w:tc>
          <w:tcPr>
            <w:tcW w:w="800" w:type="dxa"/>
            <w:vAlign w:val="bottom"/>
          </w:tcPr>
          <w:p w:rsidR="00AC12B4" w:rsidRPr="00C27636" w:rsidRDefault="00AC12B4">
            <w:pPr>
              <w:rPr>
                <w:sz w:val="21"/>
                <w:szCs w:val="21"/>
                <w:lang w:val="fr-BE"/>
              </w:rPr>
            </w:pPr>
          </w:p>
        </w:tc>
        <w:tc>
          <w:tcPr>
            <w:tcW w:w="1300" w:type="dxa"/>
            <w:vAlign w:val="bottom"/>
          </w:tcPr>
          <w:p w:rsidR="00AC12B4" w:rsidRDefault="00C27636">
            <w:pPr>
              <w:jc w:val="center"/>
              <w:rPr>
                <w:sz w:val="20"/>
                <w:szCs w:val="20"/>
              </w:rPr>
            </w:pPr>
            <w:r>
              <w:rPr>
                <w:rFonts w:ascii="Calibri" w:eastAsia="Calibri" w:hAnsi="Calibri" w:cs="Calibri"/>
                <w:color w:val="C9D11D"/>
                <w:w w:val="97"/>
                <w:sz w:val="20"/>
                <w:szCs w:val="20"/>
              </w:rPr>
              <w:t>Activité</w:t>
            </w:r>
          </w:p>
        </w:tc>
        <w:tc>
          <w:tcPr>
            <w:tcW w:w="800" w:type="dxa"/>
            <w:vAlign w:val="bottom"/>
          </w:tcPr>
          <w:p w:rsidR="00AC12B4" w:rsidRDefault="00AC12B4">
            <w:pPr>
              <w:rPr>
                <w:sz w:val="21"/>
                <w:szCs w:val="21"/>
              </w:rPr>
            </w:pPr>
          </w:p>
        </w:tc>
      </w:tr>
      <w:tr w:rsidR="00AC12B4">
        <w:trPr>
          <w:trHeight w:val="242"/>
        </w:trPr>
        <w:tc>
          <w:tcPr>
            <w:tcW w:w="1100" w:type="dxa"/>
            <w:vAlign w:val="bottom"/>
          </w:tcPr>
          <w:p w:rsidR="00AC12B4" w:rsidRDefault="00AC12B4">
            <w:pPr>
              <w:rPr>
                <w:sz w:val="21"/>
                <w:szCs w:val="21"/>
              </w:rPr>
            </w:pPr>
          </w:p>
        </w:tc>
        <w:tc>
          <w:tcPr>
            <w:tcW w:w="800" w:type="dxa"/>
            <w:vAlign w:val="bottom"/>
          </w:tcPr>
          <w:p w:rsidR="00AC12B4" w:rsidRDefault="00AC12B4">
            <w:pPr>
              <w:rPr>
                <w:sz w:val="21"/>
                <w:szCs w:val="21"/>
              </w:rPr>
            </w:pPr>
          </w:p>
        </w:tc>
        <w:tc>
          <w:tcPr>
            <w:tcW w:w="1300" w:type="dxa"/>
            <w:vAlign w:val="bottom"/>
          </w:tcPr>
          <w:p w:rsidR="00AC12B4" w:rsidRDefault="00C27636">
            <w:pPr>
              <w:spacing w:line="243" w:lineRule="exact"/>
              <w:jc w:val="center"/>
              <w:rPr>
                <w:sz w:val="20"/>
                <w:szCs w:val="20"/>
              </w:rPr>
            </w:pPr>
            <w:r>
              <w:rPr>
                <w:rFonts w:ascii="Calibri" w:eastAsia="Calibri" w:hAnsi="Calibri" w:cs="Calibri"/>
                <w:color w:val="C9D11D"/>
                <w:w w:val="97"/>
                <w:sz w:val="20"/>
                <w:szCs w:val="20"/>
              </w:rPr>
              <w:t>physique</w:t>
            </w:r>
          </w:p>
        </w:tc>
        <w:tc>
          <w:tcPr>
            <w:tcW w:w="800" w:type="dxa"/>
            <w:vAlign w:val="bottom"/>
          </w:tcPr>
          <w:p w:rsidR="00AC12B4" w:rsidRDefault="00AC12B4">
            <w:pPr>
              <w:rPr>
                <w:sz w:val="21"/>
                <w:szCs w:val="21"/>
              </w:rPr>
            </w:pPr>
          </w:p>
        </w:tc>
      </w:tr>
      <w:tr w:rsidR="00AC12B4">
        <w:trPr>
          <w:trHeight w:val="245"/>
        </w:trPr>
        <w:tc>
          <w:tcPr>
            <w:tcW w:w="1100" w:type="dxa"/>
            <w:vAlign w:val="bottom"/>
          </w:tcPr>
          <w:p w:rsidR="00AC12B4" w:rsidRDefault="00AC12B4">
            <w:pPr>
              <w:rPr>
                <w:sz w:val="21"/>
                <w:szCs w:val="21"/>
              </w:rPr>
            </w:pPr>
          </w:p>
        </w:tc>
        <w:tc>
          <w:tcPr>
            <w:tcW w:w="800" w:type="dxa"/>
            <w:vAlign w:val="bottom"/>
          </w:tcPr>
          <w:p w:rsidR="00AC12B4" w:rsidRDefault="00AC12B4">
            <w:pPr>
              <w:rPr>
                <w:sz w:val="21"/>
                <w:szCs w:val="21"/>
              </w:rPr>
            </w:pPr>
          </w:p>
        </w:tc>
        <w:tc>
          <w:tcPr>
            <w:tcW w:w="1300" w:type="dxa"/>
            <w:vAlign w:val="bottom"/>
          </w:tcPr>
          <w:p w:rsidR="00AC12B4" w:rsidRDefault="00C27636">
            <w:pPr>
              <w:jc w:val="center"/>
              <w:rPr>
                <w:sz w:val="20"/>
                <w:szCs w:val="20"/>
              </w:rPr>
            </w:pPr>
            <w:r>
              <w:rPr>
                <w:rFonts w:ascii="Calibri" w:eastAsia="Calibri" w:hAnsi="Calibri" w:cs="Calibri"/>
                <w:color w:val="C9D11D"/>
                <w:w w:val="99"/>
                <w:sz w:val="20"/>
                <w:szCs w:val="20"/>
              </w:rPr>
              <w:t>(&gt;=5</w:t>
            </w:r>
          </w:p>
        </w:tc>
        <w:tc>
          <w:tcPr>
            <w:tcW w:w="800" w:type="dxa"/>
            <w:vAlign w:val="bottom"/>
          </w:tcPr>
          <w:p w:rsidR="00AC12B4" w:rsidRDefault="00AC12B4">
            <w:pPr>
              <w:rPr>
                <w:sz w:val="21"/>
                <w:szCs w:val="21"/>
              </w:rPr>
            </w:pPr>
          </w:p>
        </w:tc>
      </w:tr>
      <w:tr w:rsidR="00AC12B4">
        <w:trPr>
          <w:trHeight w:val="245"/>
        </w:trPr>
        <w:tc>
          <w:tcPr>
            <w:tcW w:w="1100" w:type="dxa"/>
            <w:vAlign w:val="bottom"/>
          </w:tcPr>
          <w:p w:rsidR="00AC12B4" w:rsidRDefault="00AC12B4">
            <w:pPr>
              <w:rPr>
                <w:sz w:val="21"/>
                <w:szCs w:val="21"/>
              </w:rPr>
            </w:pPr>
          </w:p>
        </w:tc>
        <w:tc>
          <w:tcPr>
            <w:tcW w:w="800" w:type="dxa"/>
            <w:vAlign w:val="bottom"/>
          </w:tcPr>
          <w:p w:rsidR="00AC12B4" w:rsidRDefault="00AC12B4">
            <w:pPr>
              <w:rPr>
                <w:sz w:val="21"/>
                <w:szCs w:val="21"/>
              </w:rPr>
            </w:pPr>
          </w:p>
        </w:tc>
        <w:tc>
          <w:tcPr>
            <w:tcW w:w="1300" w:type="dxa"/>
            <w:vAlign w:val="bottom"/>
          </w:tcPr>
          <w:p w:rsidR="00AC12B4" w:rsidRDefault="00C27636">
            <w:pPr>
              <w:jc w:val="center"/>
              <w:rPr>
                <w:sz w:val="20"/>
                <w:szCs w:val="20"/>
              </w:rPr>
            </w:pPr>
            <w:r>
              <w:rPr>
                <w:rFonts w:ascii="Calibri" w:eastAsia="Calibri" w:hAnsi="Calibri" w:cs="Calibri"/>
                <w:color w:val="C9D11D"/>
                <w:sz w:val="20"/>
                <w:szCs w:val="20"/>
              </w:rPr>
              <w:t>jours/semain</w:t>
            </w:r>
          </w:p>
        </w:tc>
        <w:tc>
          <w:tcPr>
            <w:tcW w:w="800" w:type="dxa"/>
            <w:vAlign w:val="bottom"/>
          </w:tcPr>
          <w:p w:rsidR="00AC12B4" w:rsidRDefault="00AC12B4">
            <w:pPr>
              <w:rPr>
                <w:sz w:val="21"/>
                <w:szCs w:val="21"/>
              </w:rPr>
            </w:pPr>
          </w:p>
        </w:tc>
      </w:tr>
      <w:tr w:rsidR="00AC12B4">
        <w:trPr>
          <w:trHeight w:val="247"/>
        </w:trPr>
        <w:tc>
          <w:tcPr>
            <w:tcW w:w="1100" w:type="dxa"/>
            <w:tcBorders>
              <w:bottom w:val="single" w:sz="8" w:space="0" w:color="C9D11D"/>
            </w:tcBorders>
            <w:vAlign w:val="bottom"/>
          </w:tcPr>
          <w:p w:rsidR="00AC12B4" w:rsidRDefault="00AC12B4">
            <w:pPr>
              <w:rPr>
                <w:sz w:val="21"/>
                <w:szCs w:val="21"/>
              </w:rPr>
            </w:pPr>
          </w:p>
        </w:tc>
        <w:tc>
          <w:tcPr>
            <w:tcW w:w="800" w:type="dxa"/>
            <w:tcBorders>
              <w:bottom w:val="single" w:sz="8" w:space="0" w:color="C9D11D"/>
            </w:tcBorders>
            <w:vAlign w:val="bottom"/>
          </w:tcPr>
          <w:p w:rsidR="00AC12B4" w:rsidRDefault="00C27636">
            <w:pPr>
              <w:jc w:val="center"/>
              <w:rPr>
                <w:sz w:val="20"/>
                <w:szCs w:val="20"/>
              </w:rPr>
            </w:pPr>
            <w:r>
              <w:rPr>
                <w:rFonts w:ascii="Calibri" w:eastAsia="Calibri" w:hAnsi="Calibri" w:cs="Calibri"/>
                <w:color w:val="C9D11D"/>
                <w:sz w:val="20"/>
                <w:szCs w:val="20"/>
              </w:rPr>
              <w:t>N</w:t>
            </w:r>
          </w:p>
        </w:tc>
        <w:tc>
          <w:tcPr>
            <w:tcW w:w="1300" w:type="dxa"/>
            <w:tcBorders>
              <w:bottom w:val="single" w:sz="8" w:space="0" w:color="C9D11D"/>
            </w:tcBorders>
            <w:vAlign w:val="bottom"/>
          </w:tcPr>
          <w:p w:rsidR="00AC12B4" w:rsidRDefault="00C27636">
            <w:pPr>
              <w:jc w:val="center"/>
              <w:rPr>
                <w:sz w:val="20"/>
                <w:szCs w:val="20"/>
              </w:rPr>
            </w:pPr>
            <w:r>
              <w:rPr>
                <w:rFonts w:ascii="Calibri" w:eastAsia="Calibri" w:hAnsi="Calibri" w:cs="Calibri"/>
                <w:color w:val="C9D11D"/>
                <w:sz w:val="20"/>
                <w:szCs w:val="20"/>
              </w:rPr>
              <w:t>e) (%)</w:t>
            </w:r>
          </w:p>
        </w:tc>
        <w:tc>
          <w:tcPr>
            <w:tcW w:w="800" w:type="dxa"/>
            <w:tcBorders>
              <w:bottom w:val="single" w:sz="8" w:space="0" w:color="C9D11D"/>
            </w:tcBorders>
            <w:vAlign w:val="bottom"/>
          </w:tcPr>
          <w:p w:rsidR="00AC12B4" w:rsidRDefault="00C27636">
            <w:pPr>
              <w:jc w:val="center"/>
              <w:rPr>
                <w:sz w:val="20"/>
                <w:szCs w:val="20"/>
              </w:rPr>
            </w:pPr>
            <w:r>
              <w:rPr>
                <w:rFonts w:ascii="Calibri" w:eastAsia="Calibri" w:hAnsi="Calibri" w:cs="Calibri"/>
                <w:color w:val="C9D11D"/>
                <w:w w:val="94"/>
                <w:sz w:val="20"/>
                <w:szCs w:val="20"/>
              </w:rPr>
              <w:t>p</w:t>
            </w:r>
          </w:p>
        </w:tc>
      </w:tr>
      <w:tr w:rsidR="00AC12B4">
        <w:trPr>
          <w:trHeight w:val="287"/>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Genre</w:t>
            </w:r>
          </w:p>
        </w:tc>
        <w:tc>
          <w:tcPr>
            <w:tcW w:w="800" w:type="dxa"/>
            <w:vAlign w:val="bottom"/>
          </w:tcPr>
          <w:p w:rsidR="00AC12B4" w:rsidRDefault="00C27636">
            <w:pPr>
              <w:jc w:val="center"/>
              <w:rPr>
                <w:sz w:val="20"/>
                <w:szCs w:val="20"/>
              </w:rPr>
            </w:pPr>
            <w:r>
              <w:rPr>
                <w:rFonts w:ascii="Calibri" w:eastAsia="Calibri" w:hAnsi="Calibri" w:cs="Calibri"/>
                <w:w w:val="98"/>
                <w:sz w:val="20"/>
                <w:szCs w:val="20"/>
              </w:rPr>
              <w:t>22206</w:t>
            </w:r>
          </w:p>
        </w:tc>
        <w:tc>
          <w:tcPr>
            <w:tcW w:w="130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Garçons</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43,4</w:t>
            </w:r>
          </w:p>
        </w:tc>
        <w:tc>
          <w:tcPr>
            <w:tcW w:w="800" w:type="dxa"/>
            <w:vAlign w:val="bottom"/>
          </w:tcPr>
          <w:p w:rsidR="00AC12B4" w:rsidRDefault="00AC12B4">
            <w:pPr>
              <w:rPr>
                <w:sz w:val="24"/>
                <w:szCs w:val="24"/>
              </w:rPr>
            </w:pP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Filles</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29,5</w:t>
            </w:r>
          </w:p>
        </w:tc>
        <w:tc>
          <w:tcPr>
            <w:tcW w:w="800" w:type="dxa"/>
            <w:vAlign w:val="bottom"/>
          </w:tcPr>
          <w:p w:rsidR="00AC12B4" w:rsidRDefault="00AC12B4">
            <w:pPr>
              <w:rPr>
                <w:sz w:val="24"/>
                <w:szCs w:val="24"/>
              </w:rPr>
            </w:pPr>
          </w:p>
        </w:tc>
      </w:tr>
      <w:tr w:rsidR="00AC12B4">
        <w:trPr>
          <w:trHeight w:val="6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Age</w:t>
            </w:r>
          </w:p>
        </w:tc>
        <w:tc>
          <w:tcPr>
            <w:tcW w:w="800" w:type="dxa"/>
            <w:vAlign w:val="bottom"/>
          </w:tcPr>
          <w:p w:rsidR="00AC12B4" w:rsidRDefault="00C27636">
            <w:pPr>
              <w:jc w:val="center"/>
              <w:rPr>
                <w:sz w:val="20"/>
                <w:szCs w:val="20"/>
              </w:rPr>
            </w:pPr>
            <w:r>
              <w:rPr>
                <w:rFonts w:ascii="Calibri" w:eastAsia="Calibri" w:hAnsi="Calibri" w:cs="Calibri"/>
                <w:w w:val="98"/>
                <w:sz w:val="20"/>
                <w:szCs w:val="20"/>
              </w:rPr>
              <w:t>22001</w:t>
            </w:r>
          </w:p>
        </w:tc>
        <w:tc>
          <w:tcPr>
            <w:tcW w:w="130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10-12 ans</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43,3</w:t>
            </w:r>
          </w:p>
        </w:tc>
        <w:tc>
          <w:tcPr>
            <w:tcW w:w="800" w:type="dxa"/>
            <w:vAlign w:val="bottom"/>
          </w:tcPr>
          <w:p w:rsidR="00AC12B4" w:rsidRDefault="00AC12B4">
            <w:pPr>
              <w:rPr>
                <w:sz w:val="24"/>
                <w:szCs w:val="24"/>
              </w:rPr>
            </w:pP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13-14 ans</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38,7</w:t>
            </w:r>
          </w:p>
        </w:tc>
        <w:tc>
          <w:tcPr>
            <w:tcW w:w="800" w:type="dxa"/>
            <w:vAlign w:val="bottom"/>
          </w:tcPr>
          <w:p w:rsidR="00AC12B4" w:rsidRDefault="00AC12B4">
            <w:pPr>
              <w:rPr>
                <w:sz w:val="24"/>
                <w:szCs w:val="24"/>
              </w:rPr>
            </w:pPr>
          </w:p>
        </w:tc>
      </w:tr>
      <w:tr w:rsidR="00AC12B4">
        <w:trPr>
          <w:trHeight w:val="301"/>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15-16 ans</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33,2</w:t>
            </w:r>
          </w:p>
        </w:tc>
        <w:tc>
          <w:tcPr>
            <w:tcW w:w="800" w:type="dxa"/>
            <w:vAlign w:val="bottom"/>
          </w:tcPr>
          <w:p w:rsidR="00AC12B4" w:rsidRDefault="00AC12B4">
            <w:pPr>
              <w:rPr>
                <w:sz w:val="24"/>
                <w:szCs w:val="24"/>
              </w:rPr>
            </w:pP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17-19 ans</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30,8</w:t>
            </w:r>
          </w:p>
        </w:tc>
        <w:tc>
          <w:tcPr>
            <w:tcW w:w="800" w:type="dxa"/>
            <w:vAlign w:val="bottom"/>
          </w:tcPr>
          <w:p w:rsidR="00AC12B4" w:rsidRDefault="00AC12B4">
            <w:pPr>
              <w:rPr>
                <w:sz w:val="24"/>
                <w:szCs w:val="24"/>
              </w:rPr>
            </w:pPr>
          </w:p>
        </w:tc>
      </w:tr>
      <w:tr w:rsidR="00AC12B4">
        <w:trPr>
          <w:trHeight w:val="545"/>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Niveau</w:t>
            </w:r>
          </w:p>
        </w:tc>
        <w:tc>
          <w:tcPr>
            <w:tcW w:w="800" w:type="dxa"/>
            <w:vAlign w:val="bottom"/>
          </w:tcPr>
          <w:p w:rsidR="00AC12B4" w:rsidRDefault="00AC12B4">
            <w:pPr>
              <w:rPr>
                <w:sz w:val="24"/>
                <w:szCs w:val="24"/>
              </w:rPr>
            </w:pPr>
          </w:p>
        </w:tc>
        <w:tc>
          <w:tcPr>
            <w:tcW w:w="1300" w:type="dxa"/>
            <w:vAlign w:val="bottom"/>
          </w:tcPr>
          <w:p w:rsidR="00AC12B4" w:rsidRDefault="00AC12B4">
            <w:pPr>
              <w:rPr>
                <w:sz w:val="24"/>
                <w:szCs w:val="24"/>
              </w:rPr>
            </w:pPr>
          </w:p>
        </w:tc>
        <w:tc>
          <w:tcPr>
            <w:tcW w:w="800" w:type="dxa"/>
            <w:vAlign w:val="bottom"/>
          </w:tcPr>
          <w:p w:rsidR="00AC12B4" w:rsidRDefault="00AC12B4">
            <w:pPr>
              <w:rPr>
                <w:sz w:val="24"/>
                <w:szCs w:val="24"/>
              </w:rPr>
            </w:pPr>
          </w:p>
        </w:tc>
      </w:tr>
      <w:tr w:rsidR="00AC12B4">
        <w:trPr>
          <w:trHeight w:val="242"/>
        </w:trPr>
        <w:tc>
          <w:tcPr>
            <w:tcW w:w="1100" w:type="dxa"/>
            <w:vAlign w:val="bottom"/>
          </w:tcPr>
          <w:p w:rsidR="00AC12B4" w:rsidRDefault="00C27636">
            <w:pPr>
              <w:spacing w:line="243" w:lineRule="exact"/>
              <w:ind w:left="60"/>
              <w:rPr>
                <w:sz w:val="20"/>
                <w:szCs w:val="20"/>
              </w:rPr>
            </w:pPr>
            <w:r>
              <w:rPr>
                <w:rFonts w:ascii="Calibri" w:eastAsia="Calibri" w:hAnsi="Calibri" w:cs="Calibri"/>
                <w:color w:val="C9D11D"/>
                <w:sz w:val="20"/>
                <w:szCs w:val="20"/>
              </w:rPr>
              <w:t>d'aisance</w:t>
            </w:r>
          </w:p>
        </w:tc>
        <w:tc>
          <w:tcPr>
            <w:tcW w:w="800" w:type="dxa"/>
            <w:vAlign w:val="bottom"/>
          </w:tcPr>
          <w:p w:rsidR="00AC12B4" w:rsidRDefault="00AC12B4">
            <w:pPr>
              <w:rPr>
                <w:sz w:val="21"/>
                <w:szCs w:val="21"/>
              </w:rPr>
            </w:pPr>
          </w:p>
        </w:tc>
        <w:tc>
          <w:tcPr>
            <w:tcW w:w="1300" w:type="dxa"/>
            <w:vAlign w:val="bottom"/>
          </w:tcPr>
          <w:p w:rsidR="00AC12B4" w:rsidRDefault="00AC12B4">
            <w:pPr>
              <w:rPr>
                <w:sz w:val="21"/>
                <w:szCs w:val="21"/>
              </w:rPr>
            </w:pPr>
          </w:p>
        </w:tc>
        <w:tc>
          <w:tcPr>
            <w:tcW w:w="800" w:type="dxa"/>
            <w:vAlign w:val="bottom"/>
          </w:tcPr>
          <w:p w:rsidR="00AC12B4" w:rsidRDefault="00AC12B4">
            <w:pPr>
              <w:rPr>
                <w:sz w:val="21"/>
                <w:szCs w:val="21"/>
              </w:rPr>
            </w:pPr>
          </w:p>
        </w:tc>
      </w:tr>
      <w:tr w:rsidR="00AC12B4">
        <w:trPr>
          <w:trHeight w:val="245"/>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matérielle</w:t>
            </w:r>
          </w:p>
        </w:tc>
        <w:tc>
          <w:tcPr>
            <w:tcW w:w="800" w:type="dxa"/>
            <w:vAlign w:val="bottom"/>
          </w:tcPr>
          <w:p w:rsidR="00AC12B4" w:rsidRDefault="00C27636">
            <w:pPr>
              <w:jc w:val="center"/>
              <w:rPr>
                <w:sz w:val="20"/>
                <w:szCs w:val="20"/>
              </w:rPr>
            </w:pPr>
            <w:r>
              <w:rPr>
                <w:rFonts w:ascii="Calibri" w:eastAsia="Calibri" w:hAnsi="Calibri" w:cs="Calibri"/>
                <w:w w:val="98"/>
                <w:sz w:val="20"/>
                <w:szCs w:val="20"/>
              </w:rPr>
              <w:t>20540</w:t>
            </w:r>
          </w:p>
        </w:tc>
        <w:tc>
          <w:tcPr>
            <w:tcW w:w="1300" w:type="dxa"/>
            <w:vAlign w:val="bottom"/>
          </w:tcPr>
          <w:p w:rsidR="00AC12B4" w:rsidRDefault="00AC12B4">
            <w:pPr>
              <w:rPr>
                <w:sz w:val="21"/>
                <w:szCs w:val="21"/>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Faible</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30,7</w:t>
            </w:r>
          </w:p>
        </w:tc>
        <w:tc>
          <w:tcPr>
            <w:tcW w:w="800" w:type="dxa"/>
            <w:vAlign w:val="bottom"/>
          </w:tcPr>
          <w:p w:rsidR="00AC12B4" w:rsidRDefault="00AC12B4">
            <w:pPr>
              <w:rPr>
                <w:sz w:val="24"/>
                <w:szCs w:val="24"/>
              </w:rPr>
            </w:pP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Moyen</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34,4</w:t>
            </w:r>
          </w:p>
        </w:tc>
        <w:tc>
          <w:tcPr>
            <w:tcW w:w="800" w:type="dxa"/>
            <w:vAlign w:val="bottom"/>
          </w:tcPr>
          <w:p w:rsidR="00AC12B4" w:rsidRDefault="00AC12B4">
            <w:pPr>
              <w:rPr>
                <w:sz w:val="24"/>
                <w:szCs w:val="24"/>
              </w:rPr>
            </w:pP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Elevé</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41,3</w:t>
            </w:r>
          </w:p>
        </w:tc>
        <w:tc>
          <w:tcPr>
            <w:tcW w:w="800" w:type="dxa"/>
            <w:vAlign w:val="bottom"/>
          </w:tcPr>
          <w:p w:rsidR="00AC12B4" w:rsidRDefault="00AC12B4">
            <w:pPr>
              <w:rPr>
                <w:sz w:val="24"/>
                <w:szCs w:val="24"/>
              </w:rPr>
            </w:pPr>
          </w:p>
        </w:tc>
      </w:tr>
      <w:tr w:rsidR="00AC12B4">
        <w:trPr>
          <w:trHeight w:val="6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lastRenderedPageBreak/>
              <w:t>Famille</w:t>
            </w:r>
          </w:p>
        </w:tc>
        <w:tc>
          <w:tcPr>
            <w:tcW w:w="800" w:type="dxa"/>
            <w:vAlign w:val="bottom"/>
          </w:tcPr>
          <w:p w:rsidR="00AC12B4" w:rsidRDefault="00C27636">
            <w:pPr>
              <w:jc w:val="center"/>
              <w:rPr>
                <w:sz w:val="20"/>
                <w:szCs w:val="20"/>
              </w:rPr>
            </w:pPr>
            <w:r>
              <w:rPr>
                <w:rFonts w:ascii="Calibri" w:eastAsia="Calibri" w:hAnsi="Calibri" w:cs="Calibri"/>
                <w:w w:val="98"/>
                <w:sz w:val="20"/>
                <w:szCs w:val="20"/>
              </w:rPr>
              <w:t>21994</w:t>
            </w:r>
          </w:p>
        </w:tc>
        <w:tc>
          <w:tcPr>
            <w:tcW w:w="130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1900" w:type="dxa"/>
            <w:gridSpan w:val="2"/>
            <w:vAlign w:val="bottom"/>
          </w:tcPr>
          <w:p w:rsidR="00AC12B4" w:rsidRDefault="00C27636">
            <w:pPr>
              <w:ind w:left="60"/>
              <w:rPr>
                <w:sz w:val="20"/>
                <w:szCs w:val="20"/>
              </w:rPr>
            </w:pPr>
            <w:r>
              <w:rPr>
                <w:rFonts w:ascii="Calibri" w:eastAsia="Calibri" w:hAnsi="Calibri" w:cs="Calibri"/>
                <w:color w:val="C9D11D"/>
                <w:sz w:val="20"/>
                <w:szCs w:val="20"/>
              </w:rPr>
              <w:t>2 parents biologiques</w:t>
            </w:r>
          </w:p>
        </w:tc>
        <w:tc>
          <w:tcPr>
            <w:tcW w:w="1300" w:type="dxa"/>
            <w:vAlign w:val="bottom"/>
          </w:tcPr>
          <w:p w:rsidR="00AC12B4" w:rsidRDefault="00C27636">
            <w:pPr>
              <w:jc w:val="center"/>
              <w:rPr>
                <w:sz w:val="20"/>
                <w:szCs w:val="20"/>
              </w:rPr>
            </w:pPr>
            <w:r>
              <w:rPr>
                <w:rFonts w:ascii="Calibri" w:eastAsia="Calibri" w:hAnsi="Calibri" w:cs="Calibri"/>
                <w:sz w:val="20"/>
                <w:szCs w:val="20"/>
              </w:rPr>
              <w:t>37,5</w:t>
            </w:r>
          </w:p>
        </w:tc>
        <w:tc>
          <w:tcPr>
            <w:tcW w:w="800" w:type="dxa"/>
            <w:vAlign w:val="bottom"/>
          </w:tcPr>
          <w:p w:rsidR="00AC12B4" w:rsidRDefault="00AC12B4">
            <w:pPr>
              <w:rPr>
                <w:sz w:val="24"/>
                <w:szCs w:val="24"/>
              </w:rPr>
            </w:pPr>
          </w:p>
        </w:tc>
      </w:tr>
      <w:tr w:rsidR="00AC12B4">
        <w:trPr>
          <w:trHeight w:val="300"/>
        </w:trPr>
        <w:tc>
          <w:tcPr>
            <w:tcW w:w="1100" w:type="dxa"/>
            <w:vAlign w:val="bottom"/>
          </w:tcPr>
          <w:p w:rsidR="00AC12B4" w:rsidRDefault="00C27636">
            <w:pPr>
              <w:ind w:left="60"/>
              <w:rPr>
                <w:sz w:val="20"/>
                <w:szCs w:val="20"/>
              </w:rPr>
            </w:pPr>
            <w:r>
              <w:rPr>
                <w:rFonts w:ascii="Calibri" w:eastAsia="Calibri" w:hAnsi="Calibri" w:cs="Calibri"/>
                <w:color w:val="C9D11D"/>
                <w:sz w:val="20"/>
                <w:szCs w:val="20"/>
              </w:rPr>
              <w:t>Autres</w:t>
            </w:r>
          </w:p>
        </w:tc>
        <w:tc>
          <w:tcPr>
            <w:tcW w:w="80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34,3</w:t>
            </w:r>
          </w:p>
        </w:tc>
        <w:tc>
          <w:tcPr>
            <w:tcW w:w="80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58400" behindDoc="1" locked="0" layoutInCell="0" allowOverlap="1">
                <wp:simplePos x="0" y="0"/>
                <wp:positionH relativeFrom="column">
                  <wp:posOffset>-14605</wp:posOffset>
                </wp:positionH>
                <wp:positionV relativeFrom="paragraph">
                  <wp:posOffset>7620</wp:posOffset>
                </wp:positionV>
                <wp:extent cx="2558415" cy="0"/>
                <wp:effectExtent l="0" t="0" r="0" b="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4763"/>
                        </a:xfrm>
                        <a:prstGeom prst="line">
                          <a:avLst/>
                        </a:prstGeom>
                        <a:solidFill>
                          <a:srgbClr val="FFFFFF"/>
                        </a:solidFill>
                        <a:ln w="6095">
                          <a:solidFill>
                            <a:srgbClr val="C9D11D"/>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6pt" to="200.3pt,0.6pt" o:allowincell="f" strokecolor="#C9D11D" strokeweight="0.4799pt"/>
            </w:pict>
          </mc:Fallback>
        </mc:AlternateContent>
      </w:r>
    </w:p>
    <w:p w:rsidR="00AC12B4" w:rsidRDefault="00AC12B4">
      <w:pPr>
        <w:spacing w:line="32" w:lineRule="exact"/>
        <w:rPr>
          <w:sz w:val="20"/>
          <w:szCs w:val="20"/>
        </w:rPr>
      </w:pPr>
    </w:p>
    <w:p w:rsidR="00AC12B4" w:rsidRPr="00C27636" w:rsidRDefault="00C27636">
      <w:pPr>
        <w:spacing w:line="225" w:lineRule="auto"/>
        <w:ind w:left="60" w:right="60"/>
        <w:jc w:val="both"/>
        <w:rPr>
          <w:sz w:val="20"/>
          <w:szCs w:val="20"/>
          <w:lang w:val="fr-BE"/>
        </w:rPr>
      </w:pPr>
      <w:r w:rsidRPr="00C27636">
        <w:rPr>
          <w:rFonts w:ascii="Calibri" w:eastAsia="Calibri" w:hAnsi="Calibri" w:cs="Calibri"/>
          <w:b/>
          <w:bCs/>
          <w:color w:val="4F81BD"/>
          <w:sz w:val="18"/>
          <w:szCs w:val="18"/>
          <w:lang w:val="fr-BE"/>
        </w:rPr>
        <w:t>Table 3 Facteurs associés à la pratique d’une activité physique pendant 60 minutes au moins 5 jours par</w:t>
      </w:r>
      <w:r w:rsidRPr="00C27636">
        <w:rPr>
          <w:rFonts w:ascii="Calibri" w:eastAsia="Calibri" w:hAnsi="Calibri" w:cs="Calibri"/>
          <w:b/>
          <w:bCs/>
          <w:color w:val="4F81BD"/>
          <w:sz w:val="18"/>
          <w:szCs w:val="18"/>
          <w:lang w:val="fr-BE"/>
        </w:rPr>
        <w:t xml:space="preserve"> semaine, HBSC 2014.</w:t>
      </w:r>
    </w:p>
    <w:p w:rsidR="00AC12B4" w:rsidRPr="00C27636" w:rsidRDefault="00AC12B4">
      <w:pPr>
        <w:spacing w:line="247" w:lineRule="exact"/>
        <w:rPr>
          <w:sz w:val="20"/>
          <w:szCs w:val="20"/>
          <w:lang w:val="fr-BE"/>
        </w:rPr>
      </w:pPr>
    </w:p>
    <w:p w:rsidR="00AC12B4" w:rsidRPr="00C27636" w:rsidRDefault="00C27636">
      <w:pPr>
        <w:spacing w:line="235" w:lineRule="auto"/>
        <w:ind w:left="60" w:right="60"/>
        <w:jc w:val="both"/>
        <w:rPr>
          <w:sz w:val="20"/>
          <w:szCs w:val="20"/>
          <w:lang w:val="fr-BE"/>
        </w:rPr>
      </w:pPr>
      <w:r w:rsidRPr="00C27636">
        <w:rPr>
          <w:rFonts w:ascii="Calibri" w:eastAsia="Calibri" w:hAnsi="Calibri" w:cs="Calibri"/>
          <w:lang w:val="fr-BE"/>
        </w:rPr>
        <w:t>La pratique régulière d’une activité physique (au moins 5 jours/semaine) est plus fréquemment rapportée par les garçons. Elle devient moins fréquente lorsque l’âge augmente et plus fréquente lorsque le niveau d’aisance matérielle de l</w:t>
      </w:r>
      <w:r w:rsidRPr="00C27636">
        <w:rPr>
          <w:rFonts w:ascii="Calibri" w:eastAsia="Calibri" w:hAnsi="Calibri" w:cs="Calibri"/>
          <w:lang w:val="fr-BE"/>
        </w:rPr>
        <w:t>a famille augmente. Elle est également un peu plus fréquente parmi les jeunes qui vivent avec leurs deux parents.</w:t>
      </w:r>
    </w:p>
    <w:p w:rsidR="00AC12B4" w:rsidRPr="00C27636" w:rsidRDefault="00AC12B4">
      <w:pPr>
        <w:spacing w:line="208" w:lineRule="exact"/>
        <w:rPr>
          <w:sz w:val="20"/>
          <w:szCs w:val="20"/>
          <w:lang w:val="fr-BE"/>
        </w:rPr>
      </w:pPr>
    </w:p>
    <w:p w:rsidR="00AC12B4" w:rsidRPr="00C27636" w:rsidRDefault="00C27636">
      <w:pPr>
        <w:ind w:left="60"/>
        <w:rPr>
          <w:sz w:val="20"/>
          <w:szCs w:val="20"/>
          <w:lang w:val="fr-BE"/>
        </w:rPr>
      </w:pPr>
      <w:r w:rsidRPr="00C27636">
        <w:rPr>
          <w:rFonts w:ascii="Cambria" w:eastAsia="Cambria" w:hAnsi="Cambria" w:cs="Cambria"/>
          <w:b/>
          <w:bCs/>
          <w:i/>
          <w:iCs/>
          <w:color w:val="919715"/>
          <w:sz w:val="26"/>
          <w:szCs w:val="26"/>
          <w:lang w:val="fr-BE"/>
        </w:rPr>
        <w:t>Les comportements à risques</w:t>
      </w:r>
    </w:p>
    <w:p w:rsidR="00AC12B4" w:rsidRPr="00C27636" w:rsidRDefault="00AC12B4">
      <w:pPr>
        <w:spacing w:line="208" w:lineRule="exact"/>
        <w:rPr>
          <w:sz w:val="20"/>
          <w:szCs w:val="20"/>
          <w:lang w:val="fr-BE"/>
        </w:rPr>
      </w:pPr>
    </w:p>
    <w:p w:rsidR="00AC12B4" w:rsidRPr="00C27636" w:rsidRDefault="00C27636">
      <w:pPr>
        <w:spacing w:line="229" w:lineRule="auto"/>
        <w:ind w:left="60" w:right="60"/>
        <w:jc w:val="both"/>
        <w:rPr>
          <w:sz w:val="20"/>
          <w:szCs w:val="20"/>
          <w:lang w:val="fr-BE"/>
        </w:rPr>
      </w:pPr>
      <w:r w:rsidRPr="00C27636">
        <w:rPr>
          <w:rFonts w:ascii="Calibri" w:eastAsia="Calibri" w:hAnsi="Calibri" w:cs="Calibri"/>
          <w:lang w:val="fr-BE"/>
        </w:rPr>
        <w:t xml:space="preserve">L’étude des comportements à risque peut couvrir des sujets très larges (alcool, stupéfiants, tabac, vie </w:t>
      </w:r>
      <w:r w:rsidRPr="00C27636">
        <w:rPr>
          <w:rFonts w:ascii="Calibri" w:eastAsia="Calibri" w:hAnsi="Calibri" w:cs="Calibri"/>
          <w:lang w:val="fr-BE"/>
        </w:rPr>
        <w:t>sexuelle) et est très dépendant de l’âge. En collaboration avec</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1"/>
          <w:szCs w:val="21"/>
          <w:lang w:val="fr-BE"/>
        </w:rPr>
        <w:t>90</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right="737"/>
        <w:rPr>
          <w:sz w:val="20"/>
          <w:szCs w:val="20"/>
          <w:lang w:val="fr-BE"/>
        </w:rPr>
      </w:pPr>
      <w:r w:rsidRPr="00C27636">
        <w:rPr>
          <w:rFonts w:ascii="Calibri" w:eastAsia="Calibri" w:hAnsi="Calibri" w:cs="Calibri"/>
          <w:lang w:val="fr-BE"/>
        </w:rPr>
        <w:t>les chercheurs HBSC, nous avons opté pour les indicateurs suivants : :</w:t>
      </w:r>
    </w:p>
    <w:p w:rsidR="00AC12B4" w:rsidRPr="00C27636" w:rsidRDefault="00AC12B4">
      <w:pPr>
        <w:spacing w:line="182" w:lineRule="exact"/>
        <w:rPr>
          <w:sz w:val="20"/>
          <w:szCs w:val="20"/>
          <w:lang w:val="fr-BE"/>
        </w:rPr>
      </w:pPr>
    </w:p>
    <w:p w:rsidR="00AC12B4" w:rsidRPr="00C27636" w:rsidRDefault="00C27636">
      <w:pPr>
        <w:numPr>
          <w:ilvl w:val="0"/>
          <w:numId w:val="131"/>
        </w:numPr>
        <w:tabs>
          <w:tab w:val="left" w:pos="720"/>
        </w:tabs>
        <w:spacing w:line="230" w:lineRule="auto"/>
        <w:ind w:left="720" w:right="737" w:hanging="355"/>
        <w:rPr>
          <w:rFonts w:ascii="Symbol" w:eastAsia="Symbol" w:hAnsi="Symbol" w:cs="Symbol"/>
          <w:lang w:val="fr-BE"/>
        </w:rPr>
      </w:pPr>
      <w:r w:rsidRPr="00C27636">
        <w:rPr>
          <w:rFonts w:ascii="Calibri" w:eastAsia="Calibri" w:hAnsi="Calibri" w:cs="Calibri"/>
          <w:lang w:val="fr-BE"/>
        </w:rPr>
        <w:t xml:space="preserve">A partir de 16 ans : « As-tu déjà eu des </w:t>
      </w:r>
      <w:r w:rsidRPr="00C27636">
        <w:rPr>
          <w:rFonts w:ascii="Calibri" w:eastAsia="Calibri" w:hAnsi="Calibri" w:cs="Calibri"/>
          <w:lang w:val="fr-BE"/>
        </w:rPr>
        <w:t>rapports sexuels ? »</w:t>
      </w:r>
    </w:p>
    <w:p w:rsidR="00AC12B4" w:rsidRPr="00C27636" w:rsidRDefault="00AC12B4">
      <w:pPr>
        <w:spacing w:line="102" w:lineRule="exact"/>
        <w:rPr>
          <w:rFonts w:ascii="Symbol" w:eastAsia="Symbol" w:hAnsi="Symbol" w:cs="Symbol"/>
          <w:lang w:val="fr-BE"/>
        </w:rPr>
      </w:pPr>
    </w:p>
    <w:p w:rsidR="00AC12B4" w:rsidRPr="00C27636" w:rsidRDefault="00C27636">
      <w:pPr>
        <w:numPr>
          <w:ilvl w:val="0"/>
          <w:numId w:val="131"/>
        </w:numPr>
        <w:tabs>
          <w:tab w:val="left" w:pos="720"/>
        </w:tabs>
        <w:spacing w:line="248" w:lineRule="auto"/>
        <w:ind w:left="720" w:right="737" w:hanging="355"/>
        <w:jc w:val="both"/>
        <w:rPr>
          <w:rFonts w:ascii="Symbol" w:eastAsia="Symbol" w:hAnsi="Symbol" w:cs="Symbol"/>
          <w:lang w:val="fr-BE"/>
        </w:rPr>
      </w:pPr>
      <w:r w:rsidRPr="00C27636">
        <w:rPr>
          <w:rFonts w:ascii="Calibri" w:eastAsia="Calibri" w:hAnsi="Calibri" w:cs="Calibri"/>
          <w:lang w:val="fr-BE"/>
        </w:rPr>
        <w:t>% de jeunes indiquant avoir utilisé une contraception lors du dernier rapport sexuel</w:t>
      </w:r>
    </w:p>
    <w:p w:rsidR="00AC12B4" w:rsidRPr="00C27636" w:rsidRDefault="00AC12B4">
      <w:pPr>
        <w:spacing w:line="33" w:lineRule="exact"/>
        <w:rPr>
          <w:rFonts w:ascii="Symbol" w:eastAsia="Symbol" w:hAnsi="Symbol" w:cs="Symbol"/>
          <w:lang w:val="fr-BE"/>
        </w:rPr>
      </w:pPr>
    </w:p>
    <w:p w:rsidR="00AC12B4" w:rsidRPr="00C27636" w:rsidRDefault="00C27636">
      <w:pPr>
        <w:numPr>
          <w:ilvl w:val="0"/>
          <w:numId w:val="131"/>
        </w:numPr>
        <w:tabs>
          <w:tab w:val="left" w:pos="720"/>
        </w:tabs>
        <w:ind w:left="720" w:hanging="355"/>
        <w:rPr>
          <w:rFonts w:ascii="Symbol" w:eastAsia="Symbol" w:hAnsi="Symbol" w:cs="Symbol"/>
          <w:lang w:val="fr-BE"/>
        </w:rPr>
      </w:pPr>
      <w:r w:rsidRPr="00C27636">
        <w:rPr>
          <w:rFonts w:ascii="Calibri" w:eastAsia="Calibri" w:hAnsi="Calibri" w:cs="Calibri"/>
          <w:lang w:val="fr-BE"/>
        </w:rPr>
        <w:t>« As-tu déjà été ivre ? »</w:t>
      </w:r>
    </w:p>
    <w:p w:rsidR="00AC12B4" w:rsidRPr="00C27636" w:rsidRDefault="00AC12B4">
      <w:pPr>
        <w:spacing w:line="99" w:lineRule="exact"/>
        <w:rPr>
          <w:rFonts w:ascii="Symbol" w:eastAsia="Symbol" w:hAnsi="Symbol" w:cs="Symbol"/>
          <w:lang w:val="fr-BE"/>
        </w:rPr>
      </w:pPr>
    </w:p>
    <w:p w:rsidR="00AC12B4" w:rsidRPr="00C27636" w:rsidRDefault="00C27636">
      <w:pPr>
        <w:numPr>
          <w:ilvl w:val="0"/>
          <w:numId w:val="131"/>
        </w:numPr>
        <w:tabs>
          <w:tab w:val="left" w:pos="720"/>
        </w:tabs>
        <w:spacing w:line="231" w:lineRule="auto"/>
        <w:ind w:left="720" w:right="737" w:hanging="355"/>
        <w:jc w:val="both"/>
        <w:rPr>
          <w:rFonts w:ascii="Symbol" w:eastAsia="Symbol" w:hAnsi="Symbol" w:cs="Symbol"/>
          <w:lang w:val="fr-BE"/>
        </w:rPr>
      </w:pPr>
      <w:r w:rsidRPr="00C27636">
        <w:rPr>
          <w:rFonts w:ascii="Calibri" w:eastAsia="Calibri" w:hAnsi="Calibri" w:cs="Calibri"/>
          <w:lang w:val="fr-BE"/>
        </w:rPr>
        <w:t>Si le % de réponses ‘oui’ est très peu élevé en enseignement</w:t>
      </w:r>
    </w:p>
    <w:p w:rsidR="00AC12B4" w:rsidRPr="00C27636" w:rsidRDefault="00AC12B4">
      <w:pPr>
        <w:spacing w:line="42" w:lineRule="exact"/>
        <w:rPr>
          <w:sz w:val="20"/>
          <w:szCs w:val="20"/>
          <w:lang w:val="fr-BE"/>
        </w:rPr>
      </w:pPr>
    </w:p>
    <w:p w:rsidR="00AC12B4" w:rsidRPr="00C27636" w:rsidRDefault="00C27636">
      <w:pPr>
        <w:tabs>
          <w:tab w:val="left" w:pos="1780"/>
          <w:tab w:val="left" w:pos="2720"/>
          <w:tab w:val="left" w:pos="3080"/>
        </w:tabs>
        <w:ind w:left="720"/>
        <w:rPr>
          <w:sz w:val="20"/>
          <w:szCs w:val="20"/>
          <w:lang w:val="fr-BE"/>
        </w:rPr>
      </w:pPr>
      <w:r w:rsidRPr="00C27636">
        <w:rPr>
          <w:rFonts w:ascii="Calibri" w:eastAsia="Calibri" w:hAnsi="Calibri" w:cs="Calibri"/>
          <w:lang w:val="fr-BE"/>
        </w:rPr>
        <w:t>primaire :</w:t>
      </w:r>
      <w:r w:rsidRPr="00C27636">
        <w:rPr>
          <w:rFonts w:ascii="Calibri" w:eastAsia="Calibri" w:hAnsi="Calibri" w:cs="Calibri"/>
          <w:lang w:val="fr-BE"/>
        </w:rPr>
        <w:tab/>
        <w:t>rajouter</w:t>
      </w:r>
      <w:r w:rsidRPr="00C27636">
        <w:rPr>
          <w:rFonts w:ascii="Calibri" w:eastAsia="Calibri" w:hAnsi="Calibri" w:cs="Calibri"/>
          <w:lang w:val="fr-BE"/>
        </w:rPr>
        <w:tab/>
        <w:t>la</w:t>
      </w:r>
      <w:r w:rsidRPr="00C27636">
        <w:rPr>
          <w:sz w:val="20"/>
          <w:szCs w:val="20"/>
          <w:lang w:val="fr-BE"/>
        </w:rPr>
        <w:tab/>
      </w:r>
      <w:r w:rsidRPr="00C27636">
        <w:rPr>
          <w:rFonts w:ascii="Calibri" w:eastAsia="Calibri" w:hAnsi="Calibri" w:cs="Calibri"/>
          <w:sz w:val="21"/>
          <w:szCs w:val="21"/>
          <w:lang w:val="fr-BE"/>
        </w:rPr>
        <w:t>question</w:t>
      </w:r>
    </w:p>
    <w:p w:rsidR="00AC12B4" w:rsidRPr="00C27636" w:rsidRDefault="00AC12B4">
      <w:pPr>
        <w:spacing w:line="88" w:lineRule="exact"/>
        <w:rPr>
          <w:sz w:val="20"/>
          <w:szCs w:val="20"/>
          <w:lang w:val="fr-BE"/>
        </w:rPr>
      </w:pPr>
    </w:p>
    <w:p w:rsidR="00AC12B4" w:rsidRPr="00C27636" w:rsidRDefault="00C27636">
      <w:pPr>
        <w:spacing w:line="236" w:lineRule="auto"/>
        <w:ind w:left="720" w:right="737"/>
        <w:rPr>
          <w:sz w:val="20"/>
          <w:szCs w:val="20"/>
          <w:lang w:val="fr-BE"/>
        </w:rPr>
      </w:pPr>
      <w:r w:rsidRPr="00C27636">
        <w:rPr>
          <w:rFonts w:ascii="Calibri" w:eastAsia="Calibri" w:hAnsi="Calibri" w:cs="Calibri"/>
          <w:lang w:val="fr-BE"/>
        </w:rPr>
        <w:t xml:space="preserve">« As-tu consommé de </w:t>
      </w:r>
      <w:r w:rsidRPr="00C27636">
        <w:rPr>
          <w:rFonts w:ascii="Calibri" w:eastAsia="Calibri" w:hAnsi="Calibri" w:cs="Calibri"/>
          <w:lang w:val="fr-BE"/>
        </w:rPr>
        <w:t>l’alcool au cours du mois dernier ? »</w:t>
      </w:r>
    </w:p>
    <w:p w:rsidR="00AC12B4" w:rsidRPr="00C27636" w:rsidRDefault="00AC12B4">
      <w:pPr>
        <w:spacing w:line="103" w:lineRule="exact"/>
        <w:rPr>
          <w:sz w:val="20"/>
          <w:szCs w:val="20"/>
          <w:lang w:val="fr-BE"/>
        </w:rPr>
      </w:pPr>
    </w:p>
    <w:p w:rsidR="00AC12B4" w:rsidRPr="00C27636" w:rsidRDefault="00C27636">
      <w:pPr>
        <w:numPr>
          <w:ilvl w:val="0"/>
          <w:numId w:val="132"/>
        </w:numPr>
        <w:tabs>
          <w:tab w:val="left" w:pos="720"/>
        </w:tabs>
        <w:spacing w:line="231" w:lineRule="auto"/>
        <w:ind w:left="720" w:right="737" w:hanging="355"/>
        <w:rPr>
          <w:rFonts w:ascii="Symbol" w:eastAsia="Symbol" w:hAnsi="Symbol" w:cs="Symbol"/>
          <w:lang w:val="fr-BE"/>
        </w:rPr>
      </w:pPr>
      <w:r w:rsidRPr="00C27636">
        <w:rPr>
          <w:rFonts w:ascii="Calibri" w:eastAsia="Calibri" w:hAnsi="Calibri" w:cs="Calibri"/>
          <w:lang w:val="fr-BE"/>
        </w:rPr>
        <w:t>« As-tu été ivre au cours du mois dernier ? »</w:t>
      </w:r>
    </w:p>
    <w:p w:rsidR="00AC12B4" w:rsidRPr="00C27636" w:rsidRDefault="00AC12B4">
      <w:pPr>
        <w:spacing w:line="246" w:lineRule="exact"/>
        <w:rPr>
          <w:sz w:val="20"/>
          <w:szCs w:val="20"/>
          <w:lang w:val="fr-BE"/>
        </w:rPr>
      </w:pPr>
    </w:p>
    <w:p w:rsidR="00AC12B4" w:rsidRDefault="00C27636">
      <w:pPr>
        <w:numPr>
          <w:ilvl w:val="0"/>
          <w:numId w:val="133"/>
        </w:numPr>
        <w:tabs>
          <w:tab w:val="left" w:pos="720"/>
        </w:tabs>
        <w:ind w:left="720" w:hanging="355"/>
        <w:rPr>
          <w:rFonts w:ascii="Wingdings" w:eastAsia="Wingdings" w:hAnsi="Wingdings" w:cs="Wingdings"/>
          <w:color w:val="C9D11D"/>
        </w:rPr>
      </w:pPr>
      <w:r>
        <w:rPr>
          <w:rFonts w:ascii="Cambria" w:eastAsia="Cambria" w:hAnsi="Cambria" w:cs="Cambria"/>
          <w:i/>
          <w:iCs/>
          <w:color w:val="C9D11D"/>
        </w:rPr>
        <w:t>Alcool</w:t>
      </w:r>
    </w:p>
    <w:p w:rsidR="00AC12B4" w:rsidRDefault="00AC12B4">
      <w:pPr>
        <w:spacing w:line="202" w:lineRule="exact"/>
        <w:rPr>
          <w:sz w:val="20"/>
          <w:szCs w:val="20"/>
        </w:rPr>
      </w:pPr>
    </w:p>
    <w:p w:rsidR="00AC12B4" w:rsidRPr="00C27636" w:rsidRDefault="00C27636">
      <w:pPr>
        <w:spacing w:line="230" w:lineRule="auto"/>
        <w:ind w:right="737"/>
        <w:jc w:val="both"/>
        <w:rPr>
          <w:sz w:val="20"/>
          <w:szCs w:val="20"/>
          <w:lang w:val="fr-BE"/>
        </w:rPr>
      </w:pPr>
      <w:r w:rsidRPr="00C27636">
        <w:rPr>
          <w:rFonts w:ascii="Calibri" w:eastAsia="Calibri" w:hAnsi="Calibri" w:cs="Calibri"/>
          <w:lang w:val="fr-BE"/>
        </w:rPr>
        <w:t>Environ un jeune sur deux (53,6%) rapporte qu’il a déjà bu de l'alcool au moins un jour dans sa vie et un jeune sur cinq (19,1%) qu’il en a déjà consommé 30 jours</w:t>
      </w:r>
      <w:r w:rsidRPr="00C27636">
        <w:rPr>
          <w:rFonts w:ascii="Calibri" w:eastAsia="Calibri" w:hAnsi="Calibri" w:cs="Calibri"/>
          <w:lang w:val="fr-BE"/>
        </w:rPr>
        <w:t xml:space="preserve"> ou plus.</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59424" behindDoc="1" locked="0" layoutInCell="0" allowOverlap="1">
            <wp:simplePos x="0" y="0"/>
            <wp:positionH relativeFrom="column">
              <wp:posOffset>-1270</wp:posOffset>
            </wp:positionH>
            <wp:positionV relativeFrom="paragraph">
              <wp:posOffset>84455</wp:posOffset>
            </wp:positionV>
            <wp:extent cx="2650490" cy="1589405"/>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1">
                      <a:extLst/>
                    </a:blip>
                    <a:srcRect/>
                    <a:stretch>
                      <a:fillRect/>
                    </a:stretch>
                  </pic:blipFill>
                  <pic:spPr bwMode="auto">
                    <a:xfrm>
                      <a:off x="0" y="0"/>
                      <a:ext cx="2650490" cy="1589405"/>
                    </a:xfrm>
                    <a:prstGeom prst="rect">
                      <a:avLst/>
                    </a:prstGeom>
                    <a:noFill/>
                  </pic:spPr>
                </pic:pic>
              </a:graphicData>
            </a:graphic>
          </wp:anchor>
        </w:drawing>
      </w:r>
    </w:p>
    <w:p w:rsidR="00AC12B4" w:rsidRPr="00C27636" w:rsidRDefault="00AC12B4">
      <w:pPr>
        <w:spacing w:line="319" w:lineRule="exact"/>
        <w:rPr>
          <w:sz w:val="20"/>
          <w:szCs w:val="20"/>
          <w:lang w:val="fr-BE"/>
        </w:rPr>
      </w:pPr>
    </w:p>
    <w:tbl>
      <w:tblPr>
        <w:tblW w:w="0" w:type="auto"/>
        <w:tblInd w:w="60" w:type="dxa"/>
        <w:tblLayout w:type="fixed"/>
        <w:tblCellMar>
          <w:left w:w="0" w:type="dxa"/>
          <w:right w:w="0" w:type="dxa"/>
        </w:tblCellMar>
        <w:tblLook w:val="04A0" w:firstRow="1" w:lastRow="0" w:firstColumn="1" w:lastColumn="0" w:noHBand="0" w:noVBand="1"/>
      </w:tblPr>
      <w:tblGrid>
        <w:gridCol w:w="2820"/>
        <w:gridCol w:w="120"/>
        <w:gridCol w:w="760"/>
        <w:gridCol w:w="20"/>
      </w:tblGrid>
      <w:tr w:rsidR="00AC12B4">
        <w:trPr>
          <w:trHeight w:val="82"/>
        </w:trPr>
        <w:tc>
          <w:tcPr>
            <w:tcW w:w="2820" w:type="dxa"/>
            <w:vMerge w:val="restart"/>
            <w:vAlign w:val="bottom"/>
          </w:tcPr>
          <w:p w:rsidR="00AC12B4" w:rsidRDefault="00C27636">
            <w:pPr>
              <w:ind w:right="1960"/>
              <w:jc w:val="right"/>
              <w:rPr>
                <w:sz w:val="20"/>
                <w:szCs w:val="20"/>
              </w:rPr>
            </w:pPr>
            <w:r>
              <w:rPr>
                <w:rFonts w:ascii="Calibri" w:eastAsia="Calibri" w:hAnsi="Calibri" w:cs="Calibri"/>
                <w:sz w:val="20"/>
                <w:szCs w:val="20"/>
              </w:rPr>
              <w:t>19,1%</w:t>
            </w:r>
          </w:p>
        </w:tc>
        <w:tc>
          <w:tcPr>
            <w:tcW w:w="120" w:type="dxa"/>
            <w:vAlign w:val="bottom"/>
          </w:tcPr>
          <w:p w:rsidR="00AC12B4" w:rsidRDefault="00AC12B4">
            <w:pPr>
              <w:rPr>
                <w:sz w:val="7"/>
                <w:szCs w:val="7"/>
              </w:rPr>
            </w:pPr>
          </w:p>
        </w:tc>
        <w:tc>
          <w:tcPr>
            <w:tcW w:w="760" w:type="dxa"/>
            <w:vMerge w:val="restart"/>
            <w:vAlign w:val="bottom"/>
          </w:tcPr>
          <w:p w:rsidR="00AC12B4" w:rsidRDefault="00C27636">
            <w:pPr>
              <w:ind w:left="40"/>
              <w:rPr>
                <w:sz w:val="20"/>
                <w:szCs w:val="20"/>
              </w:rPr>
            </w:pPr>
            <w:r>
              <w:rPr>
                <w:rFonts w:ascii="Calibri" w:eastAsia="Calibri" w:hAnsi="Calibri" w:cs="Calibri"/>
                <w:sz w:val="20"/>
                <w:szCs w:val="20"/>
              </w:rPr>
              <w:t>Jamais</w:t>
            </w:r>
          </w:p>
        </w:tc>
        <w:tc>
          <w:tcPr>
            <w:tcW w:w="0" w:type="dxa"/>
            <w:vAlign w:val="bottom"/>
          </w:tcPr>
          <w:p w:rsidR="00AC12B4" w:rsidRDefault="00AC12B4">
            <w:pPr>
              <w:rPr>
                <w:sz w:val="1"/>
                <w:szCs w:val="1"/>
              </w:rPr>
            </w:pPr>
          </w:p>
        </w:tc>
      </w:tr>
      <w:tr w:rsidR="00AC12B4">
        <w:trPr>
          <w:trHeight w:val="110"/>
        </w:trPr>
        <w:tc>
          <w:tcPr>
            <w:tcW w:w="2820" w:type="dxa"/>
            <w:vMerge/>
            <w:vAlign w:val="bottom"/>
          </w:tcPr>
          <w:p w:rsidR="00AC12B4" w:rsidRDefault="00AC12B4">
            <w:pPr>
              <w:rPr>
                <w:sz w:val="9"/>
                <w:szCs w:val="9"/>
              </w:rPr>
            </w:pPr>
          </w:p>
        </w:tc>
        <w:tc>
          <w:tcPr>
            <w:tcW w:w="120" w:type="dxa"/>
            <w:shd w:val="clear" w:color="auto" w:fill="4572A7"/>
            <w:vAlign w:val="bottom"/>
          </w:tcPr>
          <w:p w:rsidR="00AC12B4" w:rsidRDefault="00AC12B4">
            <w:pPr>
              <w:rPr>
                <w:sz w:val="9"/>
                <w:szCs w:val="9"/>
              </w:rPr>
            </w:pPr>
          </w:p>
        </w:tc>
        <w:tc>
          <w:tcPr>
            <w:tcW w:w="7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66"/>
        </w:trPr>
        <w:tc>
          <w:tcPr>
            <w:tcW w:w="2820" w:type="dxa"/>
            <w:vMerge/>
            <w:vAlign w:val="bottom"/>
          </w:tcPr>
          <w:p w:rsidR="00AC12B4" w:rsidRDefault="00AC12B4">
            <w:pPr>
              <w:rPr>
                <w:sz w:val="5"/>
                <w:szCs w:val="5"/>
              </w:rPr>
            </w:pPr>
          </w:p>
        </w:tc>
        <w:tc>
          <w:tcPr>
            <w:tcW w:w="120" w:type="dxa"/>
            <w:vAlign w:val="bottom"/>
          </w:tcPr>
          <w:p w:rsidR="00AC12B4" w:rsidRDefault="00AC12B4">
            <w:pPr>
              <w:rPr>
                <w:sz w:val="5"/>
                <w:szCs w:val="5"/>
              </w:rPr>
            </w:pPr>
          </w:p>
        </w:tc>
        <w:tc>
          <w:tcPr>
            <w:tcW w:w="760" w:type="dxa"/>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86"/>
        </w:trPr>
        <w:tc>
          <w:tcPr>
            <w:tcW w:w="2820" w:type="dxa"/>
            <w:vMerge w:val="restart"/>
            <w:vAlign w:val="bottom"/>
          </w:tcPr>
          <w:p w:rsidR="00AC12B4" w:rsidRDefault="00C27636">
            <w:pPr>
              <w:ind w:right="2320"/>
              <w:jc w:val="right"/>
              <w:rPr>
                <w:sz w:val="20"/>
                <w:szCs w:val="20"/>
              </w:rPr>
            </w:pPr>
            <w:r>
              <w:rPr>
                <w:rFonts w:ascii="Calibri" w:eastAsia="Calibri" w:hAnsi="Calibri" w:cs="Calibri"/>
                <w:w w:val="95"/>
                <w:sz w:val="20"/>
                <w:szCs w:val="20"/>
              </w:rPr>
              <w:t>3,9%</w:t>
            </w:r>
          </w:p>
        </w:tc>
        <w:tc>
          <w:tcPr>
            <w:tcW w:w="120" w:type="dxa"/>
            <w:vAlign w:val="bottom"/>
          </w:tcPr>
          <w:p w:rsidR="00AC12B4" w:rsidRDefault="00AC12B4">
            <w:pPr>
              <w:rPr>
                <w:sz w:val="16"/>
                <w:szCs w:val="16"/>
              </w:rPr>
            </w:pPr>
          </w:p>
        </w:tc>
        <w:tc>
          <w:tcPr>
            <w:tcW w:w="760" w:type="dxa"/>
            <w:vMerge w:val="restart"/>
            <w:vAlign w:val="bottom"/>
          </w:tcPr>
          <w:p w:rsidR="00AC12B4" w:rsidRDefault="00C27636">
            <w:pPr>
              <w:ind w:left="40"/>
              <w:rPr>
                <w:sz w:val="20"/>
                <w:szCs w:val="20"/>
              </w:rPr>
            </w:pPr>
            <w:r>
              <w:rPr>
                <w:rFonts w:ascii="Calibri" w:eastAsia="Calibri" w:hAnsi="Calibri" w:cs="Calibri"/>
                <w:w w:val="97"/>
                <w:sz w:val="20"/>
                <w:szCs w:val="20"/>
              </w:rPr>
              <w:t>1-2 jours</w:t>
            </w:r>
          </w:p>
        </w:tc>
        <w:tc>
          <w:tcPr>
            <w:tcW w:w="0" w:type="dxa"/>
            <w:vAlign w:val="bottom"/>
          </w:tcPr>
          <w:p w:rsidR="00AC12B4" w:rsidRDefault="00AC12B4">
            <w:pPr>
              <w:rPr>
                <w:sz w:val="1"/>
                <w:szCs w:val="1"/>
              </w:rPr>
            </w:pPr>
          </w:p>
        </w:tc>
      </w:tr>
      <w:tr w:rsidR="00AC12B4">
        <w:trPr>
          <w:trHeight w:val="110"/>
        </w:trPr>
        <w:tc>
          <w:tcPr>
            <w:tcW w:w="2820" w:type="dxa"/>
            <w:vMerge/>
            <w:vAlign w:val="bottom"/>
          </w:tcPr>
          <w:p w:rsidR="00AC12B4" w:rsidRDefault="00AC12B4">
            <w:pPr>
              <w:rPr>
                <w:sz w:val="9"/>
                <w:szCs w:val="9"/>
              </w:rPr>
            </w:pPr>
          </w:p>
        </w:tc>
        <w:tc>
          <w:tcPr>
            <w:tcW w:w="120" w:type="dxa"/>
            <w:shd w:val="clear" w:color="auto" w:fill="AA4643"/>
            <w:vAlign w:val="bottom"/>
          </w:tcPr>
          <w:p w:rsidR="00AC12B4" w:rsidRDefault="00AC12B4">
            <w:pPr>
              <w:rPr>
                <w:sz w:val="9"/>
                <w:szCs w:val="9"/>
              </w:rPr>
            </w:pPr>
          </w:p>
        </w:tc>
        <w:tc>
          <w:tcPr>
            <w:tcW w:w="7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2820" w:type="dxa"/>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7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24"/>
        </w:trPr>
        <w:tc>
          <w:tcPr>
            <w:tcW w:w="2820" w:type="dxa"/>
            <w:vMerge/>
            <w:vAlign w:val="bottom"/>
          </w:tcPr>
          <w:p w:rsidR="00AC12B4" w:rsidRDefault="00AC12B4">
            <w:pPr>
              <w:rPr>
                <w:sz w:val="19"/>
                <w:szCs w:val="19"/>
              </w:rPr>
            </w:pPr>
          </w:p>
        </w:tc>
        <w:tc>
          <w:tcPr>
            <w:tcW w:w="120" w:type="dxa"/>
            <w:tcBorders>
              <w:bottom w:val="single" w:sz="8" w:space="0" w:color="89A54E"/>
            </w:tcBorders>
            <w:vAlign w:val="bottom"/>
          </w:tcPr>
          <w:p w:rsidR="00AC12B4" w:rsidRDefault="00AC12B4">
            <w:pPr>
              <w:rPr>
                <w:sz w:val="19"/>
                <w:szCs w:val="19"/>
              </w:rPr>
            </w:pPr>
          </w:p>
        </w:tc>
        <w:tc>
          <w:tcPr>
            <w:tcW w:w="760" w:type="dxa"/>
            <w:vMerge w:val="restart"/>
            <w:vAlign w:val="bottom"/>
          </w:tcPr>
          <w:p w:rsidR="00AC12B4" w:rsidRDefault="00C27636">
            <w:pPr>
              <w:ind w:left="40"/>
              <w:rPr>
                <w:sz w:val="20"/>
                <w:szCs w:val="20"/>
              </w:rPr>
            </w:pPr>
            <w:r>
              <w:rPr>
                <w:rFonts w:ascii="Calibri" w:eastAsia="Calibri" w:hAnsi="Calibri" w:cs="Calibri"/>
                <w:w w:val="97"/>
                <w:sz w:val="20"/>
                <w:szCs w:val="20"/>
              </w:rPr>
              <w:t>3-5 jours</w:t>
            </w:r>
          </w:p>
        </w:tc>
        <w:tc>
          <w:tcPr>
            <w:tcW w:w="0" w:type="dxa"/>
            <w:vAlign w:val="bottom"/>
          </w:tcPr>
          <w:p w:rsidR="00AC12B4" w:rsidRDefault="00AC12B4">
            <w:pPr>
              <w:rPr>
                <w:sz w:val="1"/>
                <w:szCs w:val="1"/>
              </w:rPr>
            </w:pPr>
          </w:p>
        </w:tc>
      </w:tr>
      <w:tr w:rsidR="00AC12B4">
        <w:trPr>
          <w:trHeight w:val="65"/>
        </w:trPr>
        <w:tc>
          <w:tcPr>
            <w:tcW w:w="2820" w:type="dxa"/>
            <w:vMerge w:val="restart"/>
            <w:vAlign w:val="bottom"/>
          </w:tcPr>
          <w:p w:rsidR="00AC12B4" w:rsidRDefault="00C27636">
            <w:pPr>
              <w:spacing w:line="195" w:lineRule="exact"/>
              <w:jc w:val="right"/>
              <w:rPr>
                <w:sz w:val="20"/>
                <w:szCs w:val="20"/>
              </w:rPr>
            </w:pPr>
            <w:r>
              <w:rPr>
                <w:rFonts w:ascii="Calibri" w:eastAsia="Calibri" w:hAnsi="Calibri" w:cs="Calibri"/>
                <w:sz w:val="20"/>
                <w:szCs w:val="20"/>
              </w:rPr>
              <w:t>46,4%</w:t>
            </w:r>
          </w:p>
        </w:tc>
        <w:tc>
          <w:tcPr>
            <w:tcW w:w="120" w:type="dxa"/>
            <w:shd w:val="clear" w:color="auto" w:fill="89A54E"/>
            <w:vAlign w:val="bottom"/>
          </w:tcPr>
          <w:p w:rsidR="00AC12B4" w:rsidRDefault="00AC12B4">
            <w:pPr>
              <w:rPr>
                <w:sz w:val="5"/>
                <w:szCs w:val="5"/>
              </w:rPr>
            </w:pPr>
          </w:p>
        </w:tc>
        <w:tc>
          <w:tcPr>
            <w:tcW w:w="760" w:type="dxa"/>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30"/>
        </w:trPr>
        <w:tc>
          <w:tcPr>
            <w:tcW w:w="2820" w:type="dxa"/>
            <w:vMerge/>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760" w:type="dxa"/>
            <w:vMerge/>
            <w:vAlign w:val="bottom"/>
          </w:tcPr>
          <w:p w:rsidR="00AC12B4" w:rsidRDefault="00AC12B4">
            <w:pPr>
              <w:rPr>
                <w:sz w:val="11"/>
                <w:szCs w:val="11"/>
              </w:rPr>
            </w:pPr>
          </w:p>
        </w:tc>
        <w:tc>
          <w:tcPr>
            <w:tcW w:w="0" w:type="dxa"/>
            <w:vAlign w:val="bottom"/>
          </w:tcPr>
          <w:p w:rsidR="00AC12B4" w:rsidRDefault="00AC12B4">
            <w:pPr>
              <w:rPr>
                <w:sz w:val="1"/>
                <w:szCs w:val="1"/>
              </w:rPr>
            </w:pPr>
          </w:p>
        </w:tc>
      </w:tr>
    </w:tbl>
    <w:p w:rsidR="00AC12B4" w:rsidRDefault="00AC12B4">
      <w:pPr>
        <w:spacing w:line="1" w:lineRule="exact"/>
        <w:rPr>
          <w:sz w:val="20"/>
          <w:szCs w:val="20"/>
        </w:rPr>
      </w:pPr>
    </w:p>
    <w:tbl>
      <w:tblPr>
        <w:tblW w:w="0" w:type="auto"/>
        <w:tblInd w:w="60" w:type="dxa"/>
        <w:tblLayout w:type="fixed"/>
        <w:tblCellMar>
          <w:left w:w="0" w:type="dxa"/>
          <w:right w:w="0" w:type="dxa"/>
        </w:tblCellMar>
        <w:tblLook w:val="04A0" w:firstRow="1" w:lastRow="0" w:firstColumn="1" w:lastColumn="0" w:noHBand="0" w:noVBand="1"/>
      </w:tblPr>
      <w:tblGrid>
        <w:gridCol w:w="700"/>
        <w:gridCol w:w="2120"/>
        <w:gridCol w:w="120"/>
        <w:gridCol w:w="960"/>
        <w:gridCol w:w="20"/>
      </w:tblGrid>
      <w:tr w:rsidR="00AC12B4">
        <w:trPr>
          <w:trHeight w:val="122"/>
        </w:trPr>
        <w:tc>
          <w:tcPr>
            <w:tcW w:w="700" w:type="dxa"/>
            <w:vMerge w:val="restart"/>
            <w:vAlign w:val="bottom"/>
          </w:tcPr>
          <w:p w:rsidR="00AC12B4" w:rsidRDefault="00C27636">
            <w:pPr>
              <w:spacing w:line="198" w:lineRule="exact"/>
              <w:ind w:right="200"/>
              <w:jc w:val="right"/>
              <w:rPr>
                <w:sz w:val="20"/>
                <w:szCs w:val="20"/>
              </w:rPr>
            </w:pPr>
            <w:r>
              <w:rPr>
                <w:rFonts w:ascii="Calibri" w:eastAsia="Calibri" w:hAnsi="Calibri" w:cs="Calibri"/>
                <w:w w:val="95"/>
                <w:sz w:val="20"/>
                <w:szCs w:val="20"/>
              </w:rPr>
              <w:t>6,5%</w:t>
            </w:r>
          </w:p>
        </w:tc>
        <w:tc>
          <w:tcPr>
            <w:tcW w:w="212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960" w:type="dxa"/>
            <w:vMerge w:val="restart"/>
            <w:vAlign w:val="bottom"/>
          </w:tcPr>
          <w:p w:rsidR="00AC12B4" w:rsidRDefault="00C27636">
            <w:pPr>
              <w:ind w:left="40"/>
              <w:rPr>
                <w:sz w:val="20"/>
                <w:szCs w:val="20"/>
              </w:rPr>
            </w:pPr>
            <w:r>
              <w:rPr>
                <w:rFonts w:ascii="Calibri" w:eastAsia="Calibri" w:hAnsi="Calibri" w:cs="Calibri"/>
                <w:sz w:val="20"/>
                <w:szCs w:val="20"/>
              </w:rPr>
              <w:t>6-9 jours</w:t>
            </w:r>
          </w:p>
        </w:tc>
        <w:tc>
          <w:tcPr>
            <w:tcW w:w="0" w:type="dxa"/>
            <w:vAlign w:val="bottom"/>
          </w:tcPr>
          <w:p w:rsidR="00AC12B4" w:rsidRDefault="00AC12B4">
            <w:pPr>
              <w:rPr>
                <w:sz w:val="1"/>
                <w:szCs w:val="1"/>
              </w:rPr>
            </w:pPr>
          </w:p>
        </w:tc>
      </w:tr>
      <w:tr w:rsidR="00AC12B4">
        <w:trPr>
          <w:trHeight w:val="90"/>
        </w:trPr>
        <w:tc>
          <w:tcPr>
            <w:tcW w:w="700" w:type="dxa"/>
            <w:vMerge/>
            <w:vAlign w:val="bottom"/>
          </w:tcPr>
          <w:p w:rsidR="00AC12B4" w:rsidRDefault="00AC12B4">
            <w:pPr>
              <w:rPr>
                <w:sz w:val="7"/>
                <w:szCs w:val="7"/>
              </w:rPr>
            </w:pPr>
          </w:p>
        </w:tc>
        <w:tc>
          <w:tcPr>
            <w:tcW w:w="2120" w:type="dxa"/>
            <w:vAlign w:val="bottom"/>
          </w:tcPr>
          <w:p w:rsidR="00AC12B4" w:rsidRDefault="00AC12B4">
            <w:pPr>
              <w:rPr>
                <w:sz w:val="7"/>
                <w:szCs w:val="7"/>
              </w:rPr>
            </w:pPr>
          </w:p>
        </w:tc>
        <w:tc>
          <w:tcPr>
            <w:tcW w:w="120" w:type="dxa"/>
            <w:tcBorders>
              <w:bottom w:val="single" w:sz="8" w:space="0" w:color="71588F"/>
            </w:tcBorders>
            <w:shd w:val="clear" w:color="auto" w:fill="71588F"/>
            <w:vAlign w:val="bottom"/>
          </w:tcPr>
          <w:p w:rsidR="00AC12B4" w:rsidRDefault="00AC12B4">
            <w:pPr>
              <w:rPr>
                <w:sz w:val="7"/>
                <w:szCs w:val="7"/>
              </w:rPr>
            </w:pPr>
          </w:p>
        </w:tc>
        <w:tc>
          <w:tcPr>
            <w:tcW w:w="96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52"/>
        </w:trPr>
        <w:tc>
          <w:tcPr>
            <w:tcW w:w="700" w:type="dxa"/>
            <w:vMerge w:val="restart"/>
            <w:vAlign w:val="bottom"/>
          </w:tcPr>
          <w:p w:rsidR="00AC12B4" w:rsidRDefault="00C27636">
            <w:pPr>
              <w:ind w:right="160"/>
              <w:jc w:val="right"/>
              <w:rPr>
                <w:sz w:val="20"/>
                <w:szCs w:val="20"/>
              </w:rPr>
            </w:pPr>
            <w:r>
              <w:rPr>
                <w:rFonts w:ascii="Calibri" w:eastAsia="Calibri" w:hAnsi="Calibri" w:cs="Calibri"/>
                <w:sz w:val="20"/>
                <w:szCs w:val="20"/>
              </w:rPr>
              <w:t>5,1%</w:t>
            </w:r>
          </w:p>
        </w:tc>
        <w:tc>
          <w:tcPr>
            <w:tcW w:w="21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9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0"/>
        </w:trPr>
        <w:tc>
          <w:tcPr>
            <w:tcW w:w="700" w:type="dxa"/>
            <w:vMerge/>
            <w:vAlign w:val="bottom"/>
          </w:tcPr>
          <w:p w:rsidR="00AC12B4" w:rsidRDefault="00AC12B4">
            <w:pPr>
              <w:rPr>
                <w:sz w:val="17"/>
                <w:szCs w:val="17"/>
              </w:rPr>
            </w:pPr>
          </w:p>
        </w:tc>
        <w:tc>
          <w:tcPr>
            <w:tcW w:w="2120" w:type="dxa"/>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960" w:type="dxa"/>
            <w:vMerge w:val="restart"/>
            <w:vAlign w:val="bottom"/>
          </w:tcPr>
          <w:p w:rsidR="00AC12B4" w:rsidRDefault="00C27636">
            <w:pPr>
              <w:ind w:left="40"/>
              <w:rPr>
                <w:sz w:val="20"/>
                <w:szCs w:val="20"/>
              </w:rPr>
            </w:pPr>
            <w:r>
              <w:rPr>
                <w:rFonts w:ascii="Calibri" w:eastAsia="Calibri" w:hAnsi="Calibri" w:cs="Calibri"/>
                <w:w w:val="97"/>
                <w:sz w:val="20"/>
                <w:szCs w:val="20"/>
              </w:rPr>
              <w:t>10-19 jours</w:t>
            </w:r>
          </w:p>
        </w:tc>
        <w:tc>
          <w:tcPr>
            <w:tcW w:w="0" w:type="dxa"/>
            <w:vAlign w:val="bottom"/>
          </w:tcPr>
          <w:p w:rsidR="00AC12B4" w:rsidRDefault="00AC12B4">
            <w:pPr>
              <w:rPr>
                <w:sz w:val="1"/>
                <w:szCs w:val="1"/>
              </w:rPr>
            </w:pPr>
          </w:p>
        </w:tc>
      </w:tr>
      <w:tr w:rsidR="00AC12B4">
        <w:trPr>
          <w:trHeight w:val="110"/>
        </w:trPr>
        <w:tc>
          <w:tcPr>
            <w:tcW w:w="700" w:type="dxa"/>
            <w:vMerge/>
            <w:vAlign w:val="bottom"/>
          </w:tcPr>
          <w:p w:rsidR="00AC12B4" w:rsidRDefault="00AC12B4">
            <w:pPr>
              <w:rPr>
                <w:sz w:val="9"/>
                <w:szCs w:val="9"/>
              </w:rPr>
            </w:pPr>
          </w:p>
        </w:tc>
        <w:tc>
          <w:tcPr>
            <w:tcW w:w="2120" w:type="dxa"/>
            <w:vAlign w:val="bottom"/>
          </w:tcPr>
          <w:p w:rsidR="00AC12B4" w:rsidRDefault="00AC12B4">
            <w:pPr>
              <w:rPr>
                <w:sz w:val="9"/>
                <w:szCs w:val="9"/>
              </w:rPr>
            </w:pPr>
          </w:p>
        </w:tc>
        <w:tc>
          <w:tcPr>
            <w:tcW w:w="120" w:type="dxa"/>
            <w:shd w:val="clear" w:color="auto" w:fill="4198AF"/>
            <w:vAlign w:val="bottom"/>
          </w:tcPr>
          <w:p w:rsidR="00AC12B4" w:rsidRDefault="00AC12B4">
            <w:pPr>
              <w:rPr>
                <w:sz w:val="9"/>
                <w:szCs w:val="9"/>
              </w:rPr>
            </w:pPr>
          </w:p>
        </w:tc>
        <w:tc>
          <w:tcPr>
            <w:tcW w:w="9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700" w:type="dxa"/>
            <w:vMerge w:val="restart"/>
            <w:vAlign w:val="bottom"/>
          </w:tcPr>
          <w:p w:rsidR="00AC12B4" w:rsidRDefault="00C27636">
            <w:pPr>
              <w:jc w:val="right"/>
              <w:rPr>
                <w:sz w:val="20"/>
                <w:szCs w:val="20"/>
              </w:rPr>
            </w:pPr>
            <w:r>
              <w:rPr>
                <w:rFonts w:ascii="Calibri" w:eastAsia="Calibri" w:hAnsi="Calibri" w:cs="Calibri"/>
                <w:sz w:val="20"/>
                <w:szCs w:val="20"/>
              </w:rPr>
              <w:t>6,4%</w:t>
            </w:r>
          </w:p>
        </w:tc>
        <w:tc>
          <w:tcPr>
            <w:tcW w:w="21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9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1"/>
        </w:trPr>
        <w:tc>
          <w:tcPr>
            <w:tcW w:w="700" w:type="dxa"/>
            <w:vMerge/>
            <w:vAlign w:val="bottom"/>
          </w:tcPr>
          <w:p w:rsidR="00AC12B4" w:rsidRDefault="00AC12B4">
            <w:pPr>
              <w:rPr>
                <w:sz w:val="17"/>
                <w:szCs w:val="17"/>
              </w:rPr>
            </w:pPr>
          </w:p>
        </w:tc>
        <w:tc>
          <w:tcPr>
            <w:tcW w:w="2120" w:type="dxa"/>
            <w:vMerge w:val="restart"/>
            <w:vAlign w:val="bottom"/>
          </w:tcPr>
          <w:p w:rsidR="00AC12B4" w:rsidRDefault="00C27636">
            <w:pPr>
              <w:ind w:right="1460"/>
              <w:jc w:val="right"/>
              <w:rPr>
                <w:sz w:val="20"/>
                <w:szCs w:val="20"/>
              </w:rPr>
            </w:pPr>
            <w:r>
              <w:rPr>
                <w:rFonts w:ascii="Calibri" w:eastAsia="Calibri" w:hAnsi="Calibri" w:cs="Calibri"/>
                <w:sz w:val="20"/>
                <w:szCs w:val="20"/>
              </w:rPr>
              <w:t>12,6%</w:t>
            </w:r>
          </w:p>
        </w:tc>
        <w:tc>
          <w:tcPr>
            <w:tcW w:w="120" w:type="dxa"/>
            <w:vAlign w:val="bottom"/>
          </w:tcPr>
          <w:p w:rsidR="00AC12B4" w:rsidRDefault="00AC12B4">
            <w:pPr>
              <w:rPr>
                <w:sz w:val="17"/>
                <w:szCs w:val="17"/>
              </w:rPr>
            </w:pPr>
          </w:p>
        </w:tc>
        <w:tc>
          <w:tcPr>
            <w:tcW w:w="960" w:type="dxa"/>
            <w:vMerge w:val="restart"/>
            <w:vAlign w:val="bottom"/>
          </w:tcPr>
          <w:p w:rsidR="00AC12B4" w:rsidRDefault="00C27636">
            <w:pPr>
              <w:ind w:left="40"/>
              <w:rPr>
                <w:sz w:val="20"/>
                <w:szCs w:val="20"/>
              </w:rPr>
            </w:pPr>
            <w:r>
              <w:rPr>
                <w:rFonts w:ascii="Calibri" w:eastAsia="Calibri" w:hAnsi="Calibri" w:cs="Calibri"/>
                <w:w w:val="97"/>
                <w:sz w:val="20"/>
                <w:szCs w:val="20"/>
              </w:rPr>
              <w:t>20-29 jours</w:t>
            </w:r>
          </w:p>
        </w:tc>
        <w:tc>
          <w:tcPr>
            <w:tcW w:w="0" w:type="dxa"/>
            <w:vAlign w:val="bottom"/>
          </w:tcPr>
          <w:p w:rsidR="00AC12B4" w:rsidRDefault="00AC12B4">
            <w:pPr>
              <w:rPr>
                <w:sz w:val="1"/>
                <w:szCs w:val="1"/>
              </w:rPr>
            </w:pPr>
          </w:p>
        </w:tc>
      </w:tr>
      <w:tr w:rsidR="00AC12B4">
        <w:trPr>
          <w:trHeight w:val="88"/>
        </w:trPr>
        <w:tc>
          <w:tcPr>
            <w:tcW w:w="700" w:type="dxa"/>
            <w:vMerge/>
            <w:vAlign w:val="bottom"/>
          </w:tcPr>
          <w:p w:rsidR="00AC12B4" w:rsidRDefault="00AC12B4">
            <w:pPr>
              <w:rPr>
                <w:sz w:val="7"/>
                <w:szCs w:val="7"/>
              </w:rPr>
            </w:pPr>
          </w:p>
        </w:tc>
        <w:tc>
          <w:tcPr>
            <w:tcW w:w="2120" w:type="dxa"/>
            <w:vMerge/>
            <w:vAlign w:val="bottom"/>
          </w:tcPr>
          <w:p w:rsidR="00AC12B4" w:rsidRDefault="00AC12B4">
            <w:pPr>
              <w:rPr>
                <w:sz w:val="7"/>
                <w:szCs w:val="7"/>
              </w:rPr>
            </w:pPr>
          </w:p>
        </w:tc>
        <w:tc>
          <w:tcPr>
            <w:tcW w:w="120" w:type="dxa"/>
            <w:tcBorders>
              <w:bottom w:val="single" w:sz="8" w:space="0" w:color="DB843D"/>
            </w:tcBorders>
            <w:shd w:val="clear" w:color="auto" w:fill="DB843D"/>
            <w:vAlign w:val="bottom"/>
          </w:tcPr>
          <w:p w:rsidR="00AC12B4" w:rsidRDefault="00AC12B4">
            <w:pPr>
              <w:rPr>
                <w:sz w:val="7"/>
                <w:szCs w:val="7"/>
              </w:rPr>
            </w:pPr>
          </w:p>
        </w:tc>
        <w:tc>
          <w:tcPr>
            <w:tcW w:w="96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53"/>
        </w:trPr>
        <w:tc>
          <w:tcPr>
            <w:tcW w:w="700" w:type="dxa"/>
            <w:vAlign w:val="bottom"/>
          </w:tcPr>
          <w:p w:rsidR="00AC12B4" w:rsidRDefault="00AC12B4">
            <w:pPr>
              <w:rPr>
                <w:sz w:val="4"/>
                <w:szCs w:val="4"/>
              </w:rPr>
            </w:pPr>
          </w:p>
        </w:tc>
        <w:tc>
          <w:tcPr>
            <w:tcW w:w="2120" w:type="dxa"/>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9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52"/>
        </w:trPr>
        <w:tc>
          <w:tcPr>
            <w:tcW w:w="700" w:type="dxa"/>
            <w:vAlign w:val="bottom"/>
          </w:tcPr>
          <w:p w:rsidR="00AC12B4" w:rsidRDefault="00AC12B4">
            <w:pPr>
              <w:rPr>
                <w:sz w:val="13"/>
                <w:szCs w:val="13"/>
              </w:rPr>
            </w:pPr>
          </w:p>
        </w:tc>
        <w:tc>
          <w:tcPr>
            <w:tcW w:w="2120" w:type="dxa"/>
            <w:vMerge/>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960" w:type="dxa"/>
            <w:vAlign w:val="bottom"/>
          </w:tcPr>
          <w:p w:rsidR="00AC12B4" w:rsidRDefault="00AC12B4">
            <w:pPr>
              <w:rPr>
                <w:sz w:val="13"/>
                <w:szCs w:val="13"/>
              </w:rPr>
            </w:pPr>
          </w:p>
        </w:tc>
        <w:tc>
          <w:tcPr>
            <w:tcW w:w="0" w:type="dxa"/>
            <w:vAlign w:val="bottom"/>
          </w:tcPr>
          <w:p w:rsidR="00AC12B4" w:rsidRDefault="00AC12B4">
            <w:pPr>
              <w:rPr>
                <w:sz w:val="1"/>
                <w:szCs w:val="1"/>
              </w:rPr>
            </w:pPr>
          </w:p>
        </w:tc>
      </w:tr>
    </w:tbl>
    <w:p w:rsidR="00AC12B4" w:rsidRDefault="00AC12B4">
      <w:pPr>
        <w:spacing w:line="266" w:lineRule="exact"/>
        <w:rPr>
          <w:sz w:val="20"/>
          <w:szCs w:val="20"/>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b/>
          <w:bCs/>
          <w:color w:val="4F81BD"/>
          <w:sz w:val="18"/>
          <w:szCs w:val="18"/>
          <w:lang w:val="fr-BE"/>
        </w:rPr>
        <w:t xml:space="preserve">Figure 4. L’expérimentation de l’alcool au cours </w:t>
      </w:r>
      <w:r w:rsidRPr="00C27636">
        <w:rPr>
          <w:rFonts w:ascii="Calibri" w:eastAsia="Calibri" w:hAnsi="Calibri" w:cs="Calibri"/>
          <w:b/>
          <w:bCs/>
          <w:color w:val="4F81BD"/>
          <w:sz w:val="18"/>
          <w:szCs w:val="18"/>
          <w:lang w:val="fr-BE"/>
        </w:rPr>
        <w:t>de la vie (n=20.814), HBSC 2014.</w:t>
      </w:r>
    </w:p>
    <w:p w:rsidR="00AC12B4" w:rsidRPr="00C27636" w:rsidRDefault="00AC12B4">
      <w:pPr>
        <w:spacing w:line="247" w:lineRule="exact"/>
        <w:rPr>
          <w:sz w:val="20"/>
          <w:szCs w:val="20"/>
          <w:lang w:val="fr-BE"/>
        </w:rPr>
      </w:pPr>
    </w:p>
    <w:p w:rsidR="00AC12B4" w:rsidRPr="00C27636" w:rsidRDefault="00C27636">
      <w:pPr>
        <w:spacing w:line="234" w:lineRule="auto"/>
        <w:ind w:right="737"/>
        <w:jc w:val="both"/>
        <w:rPr>
          <w:sz w:val="20"/>
          <w:szCs w:val="20"/>
          <w:lang w:val="fr-BE"/>
        </w:rPr>
      </w:pPr>
      <w:r w:rsidRPr="00C27636">
        <w:rPr>
          <w:rFonts w:ascii="Calibri" w:eastAsia="Calibri" w:hAnsi="Calibri" w:cs="Calibri"/>
          <w:lang w:val="fr-BE"/>
        </w:rPr>
        <w:lastRenderedPageBreak/>
        <w:t>La proportion de jeunes qui a déjà expérimenté l’alcool est un peu plus élevée parmi les garçons et parmi les jeunes qui ne vivent pas avec leurs deux parents. L’expérimentation de l’alcool devient plus fréquente avec l’âg</w:t>
      </w:r>
      <w:r w:rsidRPr="00C27636">
        <w:rPr>
          <w:rFonts w:ascii="Calibri" w:eastAsia="Calibri" w:hAnsi="Calibri" w:cs="Calibri"/>
          <w:lang w:val="fr-BE"/>
        </w:rPr>
        <w:t>e et lorsque le niveau d’aisance matérielle de la famille augmente.</w:t>
      </w:r>
    </w:p>
    <w:p w:rsidR="00AC12B4" w:rsidRPr="00C27636" w:rsidRDefault="00AC12B4">
      <w:pPr>
        <w:rPr>
          <w:lang w:val="fr-BE"/>
        </w:rPr>
        <w:sectPr w:rsidR="00AC12B4" w:rsidRPr="00C27636">
          <w:pgSz w:w="12080" w:h="17179"/>
          <w:pgMar w:top="1440" w:right="1440" w:bottom="659" w:left="485" w:header="0" w:footer="0" w:gutter="0"/>
          <w:cols w:num="4" w:space="720" w:equalWidth="0">
            <w:col w:w="342" w:space="553"/>
            <w:col w:w="4000" w:space="180"/>
            <w:col w:w="220" w:space="240"/>
            <w:col w:w="4617"/>
          </w:cols>
        </w:sectPr>
      </w:pPr>
    </w:p>
    <w:p w:rsidR="00AC12B4" w:rsidRPr="00C27636" w:rsidRDefault="00C27636">
      <w:pPr>
        <w:spacing w:line="200" w:lineRule="exact"/>
        <w:rPr>
          <w:sz w:val="20"/>
          <w:szCs w:val="20"/>
          <w:lang w:val="fr-BE"/>
        </w:rPr>
      </w:pPr>
      <w:bookmarkStart w:id="90" w:name="page91"/>
      <w:bookmarkEnd w:id="90"/>
      <w:r>
        <w:rPr>
          <w:noProof/>
          <w:sz w:val="20"/>
          <w:szCs w:val="20"/>
        </w:rPr>
        <w:lastRenderedPageBreak/>
        <w:drawing>
          <wp:anchor distT="0" distB="0" distL="114300" distR="114300" simplePos="0" relativeHeight="251560448" behindDoc="1" locked="0" layoutInCell="0" allowOverlap="1">
            <wp:simplePos x="0" y="0"/>
            <wp:positionH relativeFrom="page">
              <wp:posOffset>867410</wp:posOffset>
            </wp:positionH>
            <wp:positionV relativeFrom="page">
              <wp:posOffset>1261745</wp:posOffset>
            </wp:positionV>
            <wp:extent cx="3197225" cy="456438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2">
                      <a:clrChange>
                        <a:clrFrom>
                          <a:srgbClr val="FFFFFF"/>
                        </a:clrFrom>
                        <a:clrTo>
                          <a:srgbClr val="FFFFFF">
                            <a:alpha val="0"/>
                          </a:srgbClr>
                        </a:clrTo>
                      </a:clrChange>
                      <a:extLst/>
                    </a:blip>
                    <a:srcRect/>
                    <a:stretch>
                      <a:fillRect/>
                    </a:stretch>
                  </pic:blipFill>
                  <pic:spPr bwMode="auto">
                    <a:xfrm>
                      <a:off x="0" y="0"/>
                      <a:ext cx="3197225" cy="4564380"/>
                    </a:xfrm>
                    <a:prstGeom prst="rect">
                      <a:avLst/>
                    </a:prstGeom>
                    <a:noFill/>
                  </pic:spPr>
                </pic:pic>
              </a:graphicData>
            </a:graphic>
          </wp:anchor>
        </w:drawing>
      </w:r>
    </w:p>
    <w:p w:rsidR="00AC12B4" w:rsidRPr="00C27636" w:rsidRDefault="00AC12B4">
      <w:pPr>
        <w:spacing w:line="341" w:lineRule="exact"/>
        <w:rPr>
          <w:sz w:val="20"/>
          <w:szCs w:val="20"/>
          <w:lang w:val="fr-BE"/>
        </w:rPr>
      </w:pPr>
    </w:p>
    <w:tbl>
      <w:tblPr>
        <w:tblW w:w="0" w:type="auto"/>
        <w:tblInd w:w="200" w:type="dxa"/>
        <w:tblLayout w:type="fixed"/>
        <w:tblCellMar>
          <w:left w:w="0" w:type="dxa"/>
          <w:right w:w="0" w:type="dxa"/>
        </w:tblCellMar>
        <w:tblLook w:val="04A0" w:firstRow="1" w:lastRow="0" w:firstColumn="1" w:lastColumn="0" w:noHBand="0" w:noVBand="1"/>
      </w:tblPr>
      <w:tblGrid>
        <w:gridCol w:w="1800"/>
        <w:gridCol w:w="660"/>
        <w:gridCol w:w="1280"/>
        <w:gridCol w:w="720"/>
      </w:tblGrid>
      <w:tr w:rsidR="00AC12B4">
        <w:trPr>
          <w:trHeight w:val="244"/>
        </w:trPr>
        <w:tc>
          <w:tcPr>
            <w:tcW w:w="1800" w:type="dxa"/>
            <w:vAlign w:val="bottom"/>
          </w:tcPr>
          <w:p w:rsidR="00AC12B4" w:rsidRPr="00C27636" w:rsidRDefault="00AC12B4">
            <w:pPr>
              <w:rPr>
                <w:sz w:val="21"/>
                <w:szCs w:val="21"/>
                <w:lang w:val="fr-BE"/>
              </w:rPr>
            </w:pPr>
          </w:p>
        </w:tc>
        <w:tc>
          <w:tcPr>
            <w:tcW w:w="660" w:type="dxa"/>
            <w:vAlign w:val="bottom"/>
          </w:tcPr>
          <w:p w:rsidR="00AC12B4" w:rsidRPr="00C27636" w:rsidRDefault="00AC12B4">
            <w:pPr>
              <w:rPr>
                <w:sz w:val="21"/>
                <w:szCs w:val="21"/>
                <w:lang w:val="fr-BE"/>
              </w:rPr>
            </w:pPr>
          </w:p>
        </w:tc>
        <w:tc>
          <w:tcPr>
            <w:tcW w:w="1280" w:type="dxa"/>
            <w:vAlign w:val="bottom"/>
          </w:tcPr>
          <w:p w:rsidR="00AC12B4" w:rsidRDefault="00C27636">
            <w:pPr>
              <w:jc w:val="center"/>
              <w:rPr>
                <w:sz w:val="20"/>
                <w:szCs w:val="20"/>
              </w:rPr>
            </w:pPr>
            <w:r>
              <w:rPr>
                <w:rFonts w:ascii="Calibri" w:eastAsia="Calibri" w:hAnsi="Calibri" w:cs="Calibri"/>
                <w:color w:val="C9D11D"/>
                <w:w w:val="99"/>
                <w:sz w:val="20"/>
                <w:szCs w:val="20"/>
              </w:rPr>
              <w:t>Alcool</w:t>
            </w:r>
          </w:p>
        </w:tc>
        <w:tc>
          <w:tcPr>
            <w:tcW w:w="720" w:type="dxa"/>
            <w:vAlign w:val="bottom"/>
          </w:tcPr>
          <w:p w:rsidR="00AC12B4" w:rsidRDefault="00AC12B4">
            <w:pPr>
              <w:rPr>
                <w:sz w:val="21"/>
                <w:szCs w:val="21"/>
              </w:rPr>
            </w:pPr>
          </w:p>
        </w:tc>
      </w:tr>
      <w:tr w:rsidR="00AC12B4">
        <w:trPr>
          <w:trHeight w:val="245"/>
        </w:trPr>
        <w:tc>
          <w:tcPr>
            <w:tcW w:w="1800" w:type="dxa"/>
            <w:vAlign w:val="bottom"/>
          </w:tcPr>
          <w:p w:rsidR="00AC12B4" w:rsidRDefault="00AC12B4">
            <w:pPr>
              <w:rPr>
                <w:sz w:val="21"/>
                <w:szCs w:val="21"/>
              </w:rPr>
            </w:pPr>
          </w:p>
        </w:tc>
        <w:tc>
          <w:tcPr>
            <w:tcW w:w="660" w:type="dxa"/>
            <w:vAlign w:val="bottom"/>
          </w:tcPr>
          <w:p w:rsidR="00AC12B4" w:rsidRDefault="00AC12B4">
            <w:pPr>
              <w:rPr>
                <w:sz w:val="21"/>
                <w:szCs w:val="21"/>
              </w:rPr>
            </w:pPr>
          </w:p>
        </w:tc>
        <w:tc>
          <w:tcPr>
            <w:tcW w:w="1280" w:type="dxa"/>
            <w:vAlign w:val="bottom"/>
          </w:tcPr>
          <w:p w:rsidR="00AC12B4" w:rsidRDefault="00C27636">
            <w:pPr>
              <w:jc w:val="center"/>
              <w:rPr>
                <w:sz w:val="20"/>
                <w:szCs w:val="20"/>
              </w:rPr>
            </w:pPr>
            <w:r>
              <w:rPr>
                <w:rFonts w:ascii="Calibri" w:eastAsia="Calibri" w:hAnsi="Calibri" w:cs="Calibri"/>
                <w:color w:val="C9D11D"/>
                <w:sz w:val="20"/>
                <w:szCs w:val="20"/>
              </w:rPr>
              <w:t>(lifetime &gt;=</w:t>
            </w:r>
          </w:p>
        </w:tc>
        <w:tc>
          <w:tcPr>
            <w:tcW w:w="720" w:type="dxa"/>
            <w:vAlign w:val="bottom"/>
          </w:tcPr>
          <w:p w:rsidR="00AC12B4" w:rsidRDefault="00AC12B4">
            <w:pPr>
              <w:rPr>
                <w:sz w:val="21"/>
                <w:szCs w:val="21"/>
              </w:rPr>
            </w:pPr>
          </w:p>
        </w:tc>
      </w:tr>
      <w:tr w:rsidR="00AC12B4">
        <w:trPr>
          <w:trHeight w:val="242"/>
        </w:trPr>
        <w:tc>
          <w:tcPr>
            <w:tcW w:w="1800" w:type="dxa"/>
            <w:vAlign w:val="bottom"/>
          </w:tcPr>
          <w:p w:rsidR="00AC12B4" w:rsidRDefault="00AC12B4">
            <w:pPr>
              <w:rPr>
                <w:sz w:val="21"/>
                <w:szCs w:val="21"/>
              </w:rPr>
            </w:pPr>
          </w:p>
        </w:tc>
        <w:tc>
          <w:tcPr>
            <w:tcW w:w="660" w:type="dxa"/>
            <w:vAlign w:val="bottom"/>
          </w:tcPr>
          <w:p w:rsidR="00AC12B4" w:rsidRDefault="00C27636">
            <w:pPr>
              <w:spacing w:line="243" w:lineRule="exact"/>
              <w:jc w:val="center"/>
              <w:rPr>
                <w:sz w:val="20"/>
                <w:szCs w:val="20"/>
              </w:rPr>
            </w:pPr>
            <w:r>
              <w:rPr>
                <w:rFonts w:ascii="Calibri" w:eastAsia="Calibri" w:hAnsi="Calibri" w:cs="Calibri"/>
                <w:color w:val="C9D11D"/>
                <w:w w:val="92"/>
                <w:sz w:val="20"/>
                <w:szCs w:val="20"/>
              </w:rPr>
              <w:t>N</w:t>
            </w:r>
          </w:p>
        </w:tc>
        <w:tc>
          <w:tcPr>
            <w:tcW w:w="1280" w:type="dxa"/>
            <w:vAlign w:val="bottom"/>
          </w:tcPr>
          <w:p w:rsidR="00AC12B4" w:rsidRDefault="00C27636">
            <w:pPr>
              <w:spacing w:line="243" w:lineRule="exact"/>
              <w:jc w:val="center"/>
              <w:rPr>
                <w:sz w:val="20"/>
                <w:szCs w:val="20"/>
              </w:rPr>
            </w:pPr>
            <w:r>
              <w:rPr>
                <w:rFonts w:ascii="Calibri" w:eastAsia="Calibri" w:hAnsi="Calibri" w:cs="Calibri"/>
                <w:color w:val="C9D11D"/>
                <w:w w:val="99"/>
                <w:sz w:val="20"/>
                <w:szCs w:val="20"/>
              </w:rPr>
              <w:t>1 jour) (%)</w:t>
            </w:r>
          </w:p>
        </w:tc>
        <w:tc>
          <w:tcPr>
            <w:tcW w:w="720" w:type="dxa"/>
            <w:vAlign w:val="bottom"/>
          </w:tcPr>
          <w:p w:rsidR="00AC12B4" w:rsidRDefault="00C27636">
            <w:pPr>
              <w:spacing w:line="243" w:lineRule="exact"/>
              <w:ind w:left="80"/>
              <w:jc w:val="center"/>
              <w:rPr>
                <w:sz w:val="20"/>
                <w:szCs w:val="20"/>
              </w:rPr>
            </w:pPr>
            <w:r>
              <w:rPr>
                <w:rFonts w:ascii="Calibri" w:eastAsia="Calibri" w:hAnsi="Calibri" w:cs="Calibri"/>
                <w:color w:val="C9D11D"/>
                <w:w w:val="94"/>
                <w:sz w:val="20"/>
                <w:szCs w:val="20"/>
              </w:rPr>
              <w:t>p</w:t>
            </w:r>
          </w:p>
        </w:tc>
      </w:tr>
      <w:tr w:rsidR="00AC12B4">
        <w:trPr>
          <w:trHeight w:val="312"/>
        </w:trPr>
        <w:tc>
          <w:tcPr>
            <w:tcW w:w="1800" w:type="dxa"/>
            <w:vAlign w:val="bottom"/>
          </w:tcPr>
          <w:p w:rsidR="00AC12B4" w:rsidRDefault="00C27636">
            <w:pPr>
              <w:rPr>
                <w:sz w:val="20"/>
                <w:szCs w:val="20"/>
              </w:rPr>
            </w:pPr>
            <w:r>
              <w:rPr>
                <w:rFonts w:ascii="Calibri" w:eastAsia="Calibri" w:hAnsi="Calibri" w:cs="Calibri"/>
                <w:color w:val="C9D11D"/>
                <w:sz w:val="20"/>
                <w:szCs w:val="20"/>
              </w:rPr>
              <w:t>Genre</w:t>
            </w:r>
          </w:p>
        </w:tc>
        <w:tc>
          <w:tcPr>
            <w:tcW w:w="660" w:type="dxa"/>
            <w:vAlign w:val="bottom"/>
          </w:tcPr>
          <w:p w:rsidR="00AC12B4" w:rsidRDefault="00C27636">
            <w:pPr>
              <w:jc w:val="center"/>
              <w:rPr>
                <w:sz w:val="20"/>
                <w:szCs w:val="20"/>
              </w:rPr>
            </w:pPr>
            <w:r>
              <w:rPr>
                <w:rFonts w:ascii="Calibri" w:eastAsia="Calibri" w:hAnsi="Calibri" w:cs="Calibri"/>
                <w:sz w:val="20"/>
                <w:szCs w:val="20"/>
              </w:rPr>
              <w:t>20814</w:t>
            </w:r>
          </w:p>
        </w:tc>
        <w:tc>
          <w:tcPr>
            <w:tcW w:w="1280" w:type="dxa"/>
            <w:vAlign w:val="bottom"/>
          </w:tcPr>
          <w:p w:rsidR="00AC12B4" w:rsidRDefault="00AC12B4">
            <w:pPr>
              <w:rPr>
                <w:sz w:val="24"/>
                <w:szCs w:val="24"/>
              </w:rPr>
            </w:pPr>
          </w:p>
        </w:tc>
        <w:tc>
          <w:tcPr>
            <w:tcW w:w="720" w:type="dxa"/>
            <w:vAlign w:val="bottom"/>
          </w:tcPr>
          <w:p w:rsidR="00AC12B4" w:rsidRDefault="00C27636">
            <w:pPr>
              <w:ind w:left="80"/>
              <w:jc w:val="center"/>
              <w:rPr>
                <w:sz w:val="20"/>
                <w:szCs w:val="20"/>
              </w:rPr>
            </w:pPr>
            <w:r>
              <w:rPr>
                <w:rFonts w:ascii="Calibri" w:eastAsia="Calibri" w:hAnsi="Calibri" w:cs="Calibri"/>
                <w:w w:val="97"/>
                <w:sz w:val="20"/>
                <w:szCs w:val="20"/>
              </w:rPr>
              <w:t>&lt;0,001</w:t>
            </w: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Garçons</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56,0</w:t>
            </w:r>
          </w:p>
        </w:tc>
        <w:tc>
          <w:tcPr>
            <w:tcW w:w="720" w:type="dxa"/>
            <w:vAlign w:val="bottom"/>
          </w:tcPr>
          <w:p w:rsidR="00AC12B4" w:rsidRDefault="00AC12B4">
            <w:pPr>
              <w:rPr>
                <w:sz w:val="24"/>
                <w:szCs w:val="24"/>
              </w:rPr>
            </w:pP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Filles</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51,2</w:t>
            </w:r>
          </w:p>
        </w:tc>
        <w:tc>
          <w:tcPr>
            <w:tcW w:w="720" w:type="dxa"/>
            <w:vAlign w:val="bottom"/>
          </w:tcPr>
          <w:p w:rsidR="00AC12B4" w:rsidRDefault="00AC12B4">
            <w:pPr>
              <w:rPr>
                <w:sz w:val="24"/>
                <w:szCs w:val="24"/>
              </w:rPr>
            </w:pPr>
          </w:p>
        </w:tc>
      </w:tr>
      <w:tr w:rsidR="00AC12B4">
        <w:trPr>
          <w:trHeight w:val="600"/>
        </w:trPr>
        <w:tc>
          <w:tcPr>
            <w:tcW w:w="1800" w:type="dxa"/>
            <w:vAlign w:val="bottom"/>
          </w:tcPr>
          <w:p w:rsidR="00AC12B4" w:rsidRDefault="00C27636">
            <w:pPr>
              <w:rPr>
                <w:sz w:val="20"/>
                <w:szCs w:val="20"/>
              </w:rPr>
            </w:pPr>
            <w:r>
              <w:rPr>
                <w:rFonts w:ascii="Calibri" w:eastAsia="Calibri" w:hAnsi="Calibri" w:cs="Calibri"/>
                <w:color w:val="C9D11D"/>
                <w:sz w:val="20"/>
                <w:szCs w:val="20"/>
              </w:rPr>
              <w:t>Age</w:t>
            </w:r>
          </w:p>
        </w:tc>
        <w:tc>
          <w:tcPr>
            <w:tcW w:w="660" w:type="dxa"/>
            <w:vAlign w:val="bottom"/>
          </w:tcPr>
          <w:p w:rsidR="00AC12B4" w:rsidRDefault="00C27636">
            <w:pPr>
              <w:jc w:val="center"/>
              <w:rPr>
                <w:sz w:val="20"/>
                <w:szCs w:val="20"/>
              </w:rPr>
            </w:pPr>
            <w:r>
              <w:rPr>
                <w:rFonts w:ascii="Calibri" w:eastAsia="Calibri" w:hAnsi="Calibri" w:cs="Calibri"/>
                <w:sz w:val="20"/>
                <w:szCs w:val="20"/>
              </w:rPr>
              <w:t>20614</w:t>
            </w:r>
          </w:p>
        </w:tc>
        <w:tc>
          <w:tcPr>
            <w:tcW w:w="1280" w:type="dxa"/>
            <w:vAlign w:val="bottom"/>
          </w:tcPr>
          <w:p w:rsidR="00AC12B4" w:rsidRDefault="00AC12B4">
            <w:pPr>
              <w:rPr>
                <w:sz w:val="24"/>
                <w:szCs w:val="24"/>
              </w:rPr>
            </w:pPr>
          </w:p>
        </w:tc>
        <w:tc>
          <w:tcPr>
            <w:tcW w:w="720" w:type="dxa"/>
            <w:vAlign w:val="bottom"/>
          </w:tcPr>
          <w:p w:rsidR="00AC12B4" w:rsidRDefault="00C27636">
            <w:pPr>
              <w:ind w:left="80"/>
              <w:jc w:val="center"/>
              <w:rPr>
                <w:sz w:val="20"/>
                <w:szCs w:val="20"/>
              </w:rPr>
            </w:pPr>
            <w:r>
              <w:rPr>
                <w:rFonts w:ascii="Calibri" w:eastAsia="Calibri" w:hAnsi="Calibri" w:cs="Calibri"/>
                <w:w w:val="97"/>
                <w:sz w:val="20"/>
                <w:szCs w:val="20"/>
              </w:rPr>
              <w:t>&lt;0,001</w:t>
            </w: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10-12 ans</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16,9</w:t>
            </w:r>
          </w:p>
        </w:tc>
        <w:tc>
          <w:tcPr>
            <w:tcW w:w="720" w:type="dxa"/>
            <w:vAlign w:val="bottom"/>
          </w:tcPr>
          <w:p w:rsidR="00AC12B4" w:rsidRDefault="00AC12B4">
            <w:pPr>
              <w:rPr>
                <w:sz w:val="24"/>
                <w:szCs w:val="24"/>
              </w:rPr>
            </w:pP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13-14 ans</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41,4</w:t>
            </w:r>
          </w:p>
        </w:tc>
        <w:tc>
          <w:tcPr>
            <w:tcW w:w="720" w:type="dxa"/>
            <w:vAlign w:val="bottom"/>
          </w:tcPr>
          <w:p w:rsidR="00AC12B4" w:rsidRDefault="00AC12B4">
            <w:pPr>
              <w:rPr>
                <w:sz w:val="24"/>
                <w:szCs w:val="24"/>
              </w:rPr>
            </w:pP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15-16 ans</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68,9</w:t>
            </w:r>
          </w:p>
        </w:tc>
        <w:tc>
          <w:tcPr>
            <w:tcW w:w="720" w:type="dxa"/>
            <w:vAlign w:val="bottom"/>
          </w:tcPr>
          <w:p w:rsidR="00AC12B4" w:rsidRDefault="00AC12B4">
            <w:pPr>
              <w:rPr>
                <w:sz w:val="24"/>
                <w:szCs w:val="24"/>
              </w:rPr>
            </w:pPr>
          </w:p>
        </w:tc>
      </w:tr>
      <w:tr w:rsidR="00AC12B4">
        <w:trPr>
          <w:trHeight w:val="301"/>
        </w:trPr>
        <w:tc>
          <w:tcPr>
            <w:tcW w:w="1800" w:type="dxa"/>
            <w:vAlign w:val="bottom"/>
          </w:tcPr>
          <w:p w:rsidR="00AC12B4" w:rsidRDefault="00C27636">
            <w:pPr>
              <w:rPr>
                <w:sz w:val="20"/>
                <w:szCs w:val="20"/>
              </w:rPr>
            </w:pPr>
            <w:r>
              <w:rPr>
                <w:rFonts w:ascii="Calibri" w:eastAsia="Calibri" w:hAnsi="Calibri" w:cs="Calibri"/>
                <w:color w:val="C9D11D"/>
                <w:sz w:val="20"/>
                <w:szCs w:val="20"/>
              </w:rPr>
              <w:t>17-19 ans</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82,3</w:t>
            </w:r>
          </w:p>
        </w:tc>
        <w:tc>
          <w:tcPr>
            <w:tcW w:w="720" w:type="dxa"/>
            <w:vAlign w:val="bottom"/>
          </w:tcPr>
          <w:p w:rsidR="00AC12B4" w:rsidRDefault="00AC12B4">
            <w:pPr>
              <w:rPr>
                <w:sz w:val="24"/>
                <w:szCs w:val="24"/>
              </w:rPr>
            </w:pPr>
          </w:p>
        </w:tc>
      </w:tr>
      <w:tr w:rsidR="00AC12B4">
        <w:trPr>
          <w:trHeight w:val="542"/>
        </w:trPr>
        <w:tc>
          <w:tcPr>
            <w:tcW w:w="1800" w:type="dxa"/>
            <w:vAlign w:val="bottom"/>
          </w:tcPr>
          <w:p w:rsidR="00AC12B4" w:rsidRDefault="00C27636">
            <w:pPr>
              <w:rPr>
                <w:sz w:val="20"/>
                <w:szCs w:val="20"/>
              </w:rPr>
            </w:pPr>
            <w:r>
              <w:rPr>
                <w:rFonts w:ascii="Calibri" w:eastAsia="Calibri" w:hAnsi="Calibri" w:cs="Calibri"/>
                <w:color w:val="C9D11D"/>
                <w:sz w:val="20"/>
                <w:szCs w:val="20"/>
              </w:rPr>
              <w:t>Niveau d'aisance</w:t>
            </w:r>
          </w:p>
        </w:tc>
        <w:tc>
          <w:tcPr>
            <w:tcW w:w="660" w:type="dxa"/>
            <w:vAlign w:val="bottom"/>
          </w:tcPr>
          <w:p w:rsidR="00AC12B4" w:rsidRDefault="00AC12B4">
            <w:pPr>
              <w:rPr>
                <w:sz w:val="24"/>
                <w:szCs w:val="24"/>
              </w:rPr>
            </w:pPr>
          </w:p>
        </w:tc>
        <w:tc>
          <w:tcPr>
            <w:tcW w:w="1280" w:type="dxa"/>
            <w:vAlign w:val="bottom"/>
          </w:tcPr>
          <w:p w:rsidR="00AC12B4" w:rsidRDefault="00AC12B4">
            <w:pPr>
              <w:rPr>
                <w:sz w:val="24"/>
                <w:szCs w:val="24"/>
              </w:rPr>
            </w:pPr>
          </w:p>
        </w:tc>
        <w:tc>
          <w:tcPr>
            <w:tcW w:w="720" w:type="dxa"/>
            <w:vAlign w:val="bottom"/>
          </w:tcPr>
          <w:p w:rsidR="00AC12B4" w:rsidRDefault="00AC12B4">
            <w:pPr>
              <w:rPr>
                <w:sz w:val="24"/>
                <w:szCs w:val="24"/>
              </w:rPr>
            </w:pPr>
          </w:p>
        </w:tc>
      </w:tr>
      <w:tr w:rsidR="00AC12B4">
        <w:trPr>
          <w:trHeight w:val="245"/>
        </w:trPr>
        <w:tc>
          <w:tcPr>
            <w:tcW w:w="1800" w:type="dxa"/>
            <w:vAlign w:val="bottom"/>
          </w:tcPr>
          <w:p w:rsidR="00AC12B4" w:rsidRDefault="00C27636">
            <w:pPr>
              <w:rPr>
                <w:sz w:val="20"/>
                <w:szCs w:val="20"/>
              </w:rPr>
            </w:pPr>
            <w:r>
              <w:rPr>
                <w:rFonts w:ascii="Calibri" w:eastAsia="Calibri" w:hAnsi="Calibri" w:cs="Calibri"/>
                <w:color w:val="C9D11D"/>
                <w:sz w:val="20"/>
                <w:szCs w:val="20"/>
              </w:rPr>
              <w:t>matérielle</w:t>
            </w:r>
          </w:p>
        </w:tc>
        <w:tc>
          <w:tcPr>
            <w:tcW w:w="660" w:type="dxa"/>
            <w:vAlign w:val="bottom"/>
          </w:tcPr>
          <w:p w:rsidR="00AC12B4" w:rsidRDefault="00C27636">
            <w:pPr>
              <w:jc w:val="center"/>
              <w:rPr>
                <w:sz w:val="20"/>
                <w:szCs w:val="20"/>
              </w:rPr>
            </w:pPr>
            <w:r>
              <w:rPr>
                <w:rFonts w:ascii="Calibri" w:eastAsia="Calibri" w:hAnsi="Calibri" w:cs="Calibri"/>
                <w:sz w:val="20"/>
                <w:szCs w:val="20"/>
              </w:rPr>
              <w:t>19241</w:t>
            </w:r>
          </w:p>
        </w:tc>
        <w:tc>
          <w:tcPr>
            <w:tcW w:w="1280" w:type="dxa"/>
            <w:vAlign w:val="bottom"/>
          </w:tcPr>
          <w:p w:rsidR="00AC12B4" w:rsidRDefault="00AC12B4">
            <w:pPr>
              <w:rPr>
                <w:sz w:val="21"/>
                <w:szCs w:val="21"/>
              </w:rPr>
            </w:pPr>
          </w:p>
        </w:tc>
        <w:tc>
          <w:tcPr>
            <w:tcW w:w="720" w:type="dxa"/>
            <w:vAlign w:val="bottom"/>
          </w:tcPr>
          <w:p w:rsidR="00AC12B4" w:rsidRDefault="00C27636">
            <w:pPr>
              <w:ind w:left="80"/>
              <w:jc w:val="center"/>
              <w:rPr>
                <w:sz w:val="20"/>
                <w:szCs w:val="20"/>
              </w:rPr>
            </w:pPr>
            <w:r>
              <w:rPr>
                <w:rFonts w:ascii="Calibri" w:eastAsia="Calibri" w:hAnsi="Calibri" w:cs="Calibri"/>
                <w:w w:val="97"/>
                <w:sz w:val="20"/>
                <w:szCs w:val="20"/>
              </w:rPr>
              <w:t>&lt;0,001</w:t>
            </w: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Faible</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47,8</w:t>
            </w:r>
          </w:p>
        </w:tc>
        <w:tc>
          <w:tcPr>
            <w:tcW w:w="720" w:type="dxa"/>
            <w:vAlign w:val="bottom"/>
          </w:tcPr>
          <w:p w:rsidR="00AC12B4" w:rsidRDefault="00AC12B4">
            <w:pPr>
              <w:rPr>
                <w:sz w:val="24"/>
                <w:szCs w:val="24"/>
              </w:rPr>
            </w:pP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Moyen</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54,5</w:t>
            </w:r>
          </w:p>
        </w:tc>
        <w:tc>
          <w:tcPr>
            <w:tcW w:w="720" w:type="dxa"/>
            <w:vAlign w:val="bottom"/>
          </w:tcPr>
          <w:p w:rsidR="00AC12B4" w:rsidRDefault="00AC12B4">
            <w:pPr>
              <w:rPr>
                <w:sz w:val="24"/>
                <w:szCs w:val="24"/>
              </w:rPr>
            </w:pP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Elevé</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57,0</w:t>
            </w:r>
          </w:p>
        </w:tc>
        <w:tc>
          <w:tcPr>
            <w:tcW w:w="720" w:type="dxa"/>
            <w:vAlign w:val="bottom"/>
          </w:tcPr>
          <w:p w:rsidR="00AC12B4" w:rsidRDefault="00AC12B4">
            <w:pPr>
              <w:rPr>
                <w:sz w:val="24"/>
                <w:szCs w:val="24"/>
              </w:rPr>
            </w:pPr>
          </w:p>
        </w:tc>
      </w:tr>
      <w:tr w:rsidR="00AC12B4">
        <w:trPr>
          <w:trHeight w:val="600"/>
        </w:trPr>
        <w:tc>
          <w:tcPr>
            <w:tcW w:w="1800" w:type="dxa"/>
            <w:vAlign w:val="bottom"/>
          </w:tcPr>
          <w:p w:rsidR="00AC12B4" w:rsidRDefault="00C27636">
            <w:pPr>
              <w:rPr>
                <w:sz w:val="20"/>
                <w:szCs w:val="20"/>
              </w:rPr>
            </w:pPr>
            <w:r>
              <w:rPr>
                <w:rFonts w:ascii="Calibri" w:eastAsia="Calibri" w:hAnsi="Calibri" w:cs="Calibri"/>
                <w:color w:val="C9D11D"/>
                <w:sz w:val="20"/>
                <w:szCs w:val="20"/>
              </w:rPr>
              <w:t>Famille</w:t>
            </w:r>
          </w:p>
        </w:tc>
        <w:tc>
          <w:tcPr>
            <w:tcW w:w="660" w:type="dxa"/>
            <w:vAlign w:val="bottom"/>
          </w:tcPr>
          <w:p w:rsidR="00AC12B4" w:rsidRDefault="00C27636">
            <w:pPr>
              <w:jc w:val="center"/>
              <w:rPr>
                <w:sz w:val="20"/>
                <w:szCs w:val="20"/>
              </w:rPr>
            </w:pPr>
            <w:r>
              <w:rPr>
                <w:rFonts w:ascii="Calibri" w:eastAsia="Calibri" w:hAnsi="Calibri" w:cs="Calibri"/>
                <w:sz w:val="20"/>
                <w:szCs w:val="20"/>
              </w:rPr>
              <w:t>20650</w:t>
            </w:r>
          </w:p>
        </w:tc>
        <w:tc>
          <w:tcPr>
            <w:tcW w:w="1280" w:type="dxa"/>
            <w:vAlign w:val="bottom"/>
          </w:tcPr>
          <w:p w:rsidR="00AC12B4" w:rsidRDefault="00AC12B4">
            <w:pPr>
              <w:rPr>
                <w:sz w:val="24"/>
                <w:szCs w:val="24"/>
              </w:rPr>
            </w:pPr>
          </w:p>
        </w:tc>
        <w:tc>
          <w:tcPr>
            <w:tcW w:w="720" w:type="dxa"/>
            <w:vAlign w:val="bottom"/>
          </w:tcPr>
          <w:p w:rsidR="00AC12B4" w:rsidRDefault="00C27636">
            <w:pPr>
              <w:ind w:left="80"/>
              <w:jc w:val="center"/>
              <w:rPr>
                <w:sz w:val="20"/>
                <w:szCs w:val="20"/>
              </w:rPr>
            </w:pPr>
            <w:r>
              <w:rPr>
                <w:rFonts w:ascii="Calibri" w:eastAsia="Calibri" w:hAnsi="Calibri" w:cs="Calibri"/>
                <w:w w:val="97"/>
                <w:sz w:val="20"/>
                <w:szCs w:val="20"/>
              </w:rPr>
              <w:t>&lt;0,001</w:t>
            </w: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t>2 parents biologiques</w:t>
            </w:r>
          </w:p>
        </w:tc>
        <w:tc>
          <w:tcPr>
            <w:tcW w:w="66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w w:val="95"/>
                <w:sz w:val="20"/>
                <w:szCs w:val="20"/>
              </w:rPr>
              <w:t>50,6</w:t>
            </w:r>
          </w:p>
        </w:tc>
        <w:tc>
          <w:tcPr>
            <w:tcW w:w="720" w:type="dxa"/>
            <w:vAlign w:val="bottom"/>
          </w:tcPr>
          <w:p w:rsidR="00AC12B4" w:rsidRDefault="00AC12B4">
            <w:pPr>
              <w:rPr>
                <w:sz w:val="24"/>
                <w:szCs w:val="24"/>
              </w:rPr>
            </w:pPr>
          </w:p>
        </w:tc>
      </w:tr>
      <w:tr w:rsidR="00AC12B4">
        <w:trPr>
          <w:trHeight w:val="300"/>
        </w:trPr>
        <w:tc>
          <w:tcPr>
            <w:tcW w:w="1800" w:type="dxa"/>
            <w:vAlign w:val="bottom"/>
          </w:tcPr>
          <w:p w:rsidR="00AC12B4" w:rsidRDefault="00C27636">
            <w:pPr>
              <w:rPr>
                <w:sz w:val="20"/>
                <w:szCs w:val="20"/>
              </w:rPr>
            </w:pPr>
            <w:r>
              <w:rPr>
                <w:rFonts w:ascii="Calibri" w:eastAsia="Calibri" w:hAnsi="Calibri" w:cs="Calibri"/>
                <w:color w:val="C9D11D"/>
                <w:sz w:val="20"/>
                <w:szCs w:val="20"/>
              </w:rPr>
              <w:lastRenderedPageBreak/>
              <w:t>Autres</w:t>
            </w:r>
          </w:p>
        </w:tc>
        <w:tc>
          <w:tcPr>
            <w:tcW w:w="660" w:type="dxa"/>
            <w:vAlign w:val="bottom"/>
          </w:tcPr>
          <w:p w:rsidR="00AC12B4" w:rsidRDefault="00AC12B4">
            <w:pPr>
              <w:rPr>
                <w:sz w:val="24"/>
                <w:szCs w:val="24"/>
              </w:rPr>
            </w:pPr>
          </w:p>
        </w:tc>
        <w:tc>
          <w:tcPr>
            <w:tcW w:w="1280" w:type="dxa"/>
            <w:vAlign w:val="bottom"/>
          </w:tcPr>
          <w:p w:rsidR="00AC12B4" w:rsidRDefault="00C27636">
            <w:pPr>
              <w:ind w:right="80"/>
              <w:jc w:val="right"/>
              <w:rPr>
                <w:sz w:val="20"/>
                <w:szCs w:val="20"/>
              </w:rPr>
            </w:pPr>
            <w:r>
              <w:rPr>
                <w:rFonts w:ascii="Calibri" w:eastAsia="Calibri" w:hAnsi="Calibri" w:cs="Calibri"/>
                <w:sz w:val="20"/>
                <w:szCs w:val="20"/>
              </w:rPr>
              <w:t>60,2</w:t>
            </w:r>
          </w:p>
        </w:tc>
        <w:tc>
          <w:tcPr>
            <w:tcW w:w="720" w:type="dxa"/>
            <w:vAlign w:val="bottom"/>
          </w:tcPr>
          <w:p w:rsidR="00AC12B4" w:rsidRDefault="00AC12B4">
            <w:pPr>
              <w:rPr>
                <w:sz w:val="24"/>
                <w:szCs w:val="24"/>
              </w:rPr>
            </w:pPr>
          </w:p>
        </w:tc>
      </w:tr>
    </w:tbl>
    <w:p w:rsidR="00AC12B4" w:rsidRDefault="00AC12B4">
      <w:pPr>
        <w:spacing w:line="179" w:lineRule="exact"/>
        <w:rPr>
          <w:sz w:val="20"/>
          <w:szCs w:val="20"/>
        </w:rPr>
      </w:pPr>
    </w:p>
    <w:p w:rsidR="00AC12B4" w:rsidRDefault="00C27636">
      <w:pPr>
        <w:spacing w:line="215" w:lineRule="auto"/>
        <w:ind w:left="260"/>
        <w:rPr>
          <w:sz w:val="20"/>
          <w:szCs w:val="20"/>
        </w:rPr>
      </w:pPr>
      <w:r w:rsidRPr="00C27636">
        <w:rPr>
          <w:rFonts w:ascii="Calibri" w:eastAsia="Calibri" w:hAnsi="Calibri" w:cs="Calibri"/>
          <w:b/>
          <w:bCs/>
          <w:color w:val="4F81BD"/>
          <w:sz w:val="18"/>
          <w:szCs w:val="18"/>
          <w:lang w:val="fr-BE"/>
        </w:rPr>
        <w:t xml:space="preserve">Table 4.Facteurs associés à l’expérimentation de l’alcool </w:t>
      </w:r>
      <w:r w:rsidRPr="00C27636">
        <w:rPr>
          <w:rFonts w:ascii="Calibri" w:eastAsia="Calibri" w:hAnsi="Calibri" w:cs="Calibri"/>
          <w:b/>
          <w:bCs/>
          <w:color w:val="4F81BD"/>
          <w:sz w:val="18"/>
          <w:szCs w:val="18"/>
          <w:lang w:val="fr-BE"/>
        </w:rPr>
        <w:t xml:space="preserve">(au moins 1 jour au cours de sa vie). </w:t>
      </w:r>
      <w:r>
        <w:rPr>
          <w:rFonts w:ascii="Calibri" w:eastAsia="Calibri" w:hAnsi="Calibri" w:cs="Calibri"/>
          <w:b/>
          <w:bCs/>
          <w:color w:val="4F81BD"/>
          <w:sz w:val="18"/>
          <w:szCs w:val="18"/>
        </w:rPr>
        <w:t>HBSC2014.</w:t>
      </w:r>
    </w:p>
    <w:p w:rsidR="00AC12B4" w:rsidRDefault="00AC12B4">
      <w:pPr>
        <w:spacing w:line="290" w:lineRule="exact"/>
        <w:rPr>
          <w:sz w:val="20"/>
          <w:szCs w:val="20"/>
        </w:rPr>
      </w:pPr>
    </w:p>
    <w:p w:rsidR="00AC12B4" w:rsidRDefault="00C27636">
      <w:pPr>
        <w:numPr>
          <w:ilvl w:val="0"/>
          <w:numId w:val="134"/>
        </w:numPr>
        <w:tabs>
          <w:tab w:val="left" w:pos="1280"/>
        </w:tabs>
        <w:ind w:left="1280" w:hanging="353"/>
        <w:rPr>
          <w:rFonts w:ascii="Wingdings" w:eastAsia="Wingdings" w:hAnsi="Wingdings" w:cs="Wingdings"/>
          <w:color w:val="C9D11D"/>
        </w:rPr>
      </w:pPr>
      <w:r>
        <w:rPr>
          <w:rFonts w:ascii="Cambria" w:eastAsia="Cambria" w:hAnsi="Cambria" w:cs="Cambria"/>
          <w:i/>
          <w:iCs/>
          <w:color w:val="C9D11D"/>
        </w:rPr>
        <w:t>Ivresse</w:t>
      </w:r>
    </w:p>
    <w:p w:rsidR="00AC12B4" w:rsidRDefault="00AC12B4">
      <w:pPr>
        <w:spacing w:line="202" w:lineRule="exact"/>
        <w:rPr>
          <w:sz w:val="20"/>
          <w:szCs w:val="20"/>
        </w:rPr>
      </w:pPr>
    </w:p>
    <w:p w:rsidR="00AC12B4" w:rsidRPr="00C27636" w:rsidRDefault="00C27636">
      <w:pPr>
        <w:spacing w:line="230" w:lineRule="auto"/>
        <w:ind w:left="560" w:right="520"/>
        <w:jc w:val="both"/>
        <w:rPr>
          <w:sz w:val="20"/>
          <w:szCs w:val="20"/>
          <w:lang w:val="fr-BE"/>
        </w:rPr>
      </w:pPr>
      <w:r w:rsidRPr="00C27636">
        <w:rPr>
          <w:rFonts w:ascii="Calibri" w:eastAsia="Calibri" w:hAnsi="Calibri" w:cs="Calibri"/>
          <w:lang w:val="fr-BE"/>
        </w:rPr>
        <w:t xml:space="preserve">Parmi les jeunes qui ont déjà expérimenté l'alcool, un jeune sur deux (54,8%) rapporte qu'il a déjà été ivre au moins une fois dans sa vie et un jeune sur dix (10,1%) qu’il a été ivre plus de 10 </w:t>
      </w:r>
      <w:r w:rsidRPr="00C27636">
        <w:rPr>
          <w:rFonts w:ascii="Calibri" w:eastAsia="Calibri" w:hAnsi="Calibri" w:cs="Calibri"/>
          <w:lang w:val="fr-BE"/>
        </w:rPr>
        <w:t>fois.</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61472" behindDoc="1" locked="0" layoutInCell="0" allowOverlap="1">
            <wp:simplePos x="0" y="0"/>
            <wp:positionH relativeFrom="column">
              <wp:posOffset>354965</wp:posOffset>
            </wp:positionH>
            <wp:positionV relativeFrom="paragraph">
              <wp:posOffset>84455</wp:posOffset>
            </wp:positionV>
            <wp:extent cx="2650490" cy="1588770"/>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3">
                      <a:extLst/>
                    </a:blip>
                    <a:srcRect/>
                    <a:stretch>
                      <a:fillRect/>
                    </a:stretch>
                  </pic:blipFill>
                  <pic:spPr bwMode="auto">
                    <a:xfrm>
                      <a:off x="0" y="0"/>
                      <a:ext cx="2650490" cy="1588770"/>
                    </a:xfrm>
                    <a:prstGeom prst="rect">
                      <a:avLst/>
                    </a:prstGeom>
                    <a:noFill/>
                  </pic:spPr>
                </pic:pic>
              </a:graphicData>
            </a:graphic>
          </wp:anchor>
        </w:drawing>
      </w:r>
    </w:p>
    <w:p w:rsidR="00AC12B4" w:rsidRPr="00C27636" w:rsidRDefault="00AC12B4">
      <w:pPr>
        <w:spacing w:line="220" w:lineRule="exact"/>
        <w:rPr>
          <w:sz w:val="20"/>
          <w:szCs w:val="20"/>
          <w:lang w:val="fr-BE"/>
        </w:rPr>
      </w:pPr>
    </w:p>
    <w:p w:rsidR="00AC12B4" w:rsidRDefault="00C27636">
      <w:pPr>
        <w:ind w:left="1220"/>
        <w:rPr>
          <w:sz w:val="20"/>
          <w:szCs w:val="20"/>
        </w:rPr>
      </w:pPr>
      <w:r>
        <w:rPr>
          <w:rFonts w:ascii="Calibri" w:eastAsia="Calibri" w:hAnsi="Calibri" w:cs="Calibri"/>
          <w:sz w:val="20"/>
          <w:szCs w:val="20"/>
        </w:rPr>
        <w:t>10,1%</w:t>
      </w:r>
    </w:p>
    <w:p w:rsidR="00AC12B4" w:rsidRDefault="00AC12B4">
      <w:pPr>
        <w:spacing w:line="35" w:lineRule="exact"/>
        <w:rPr>
          <w:sz w:val="20"/>
          <w:szCs w:val="20"/>
        </w:rPr>
      </w:pPr>
    </w:p>
    <w:tbl>
      <w:tblPr>
        <w:tblW w:w="0" w:type="auto"/>
        <w:tblInd w:w="620" w:type="dxa"/>
        <w:tblLayout w:type="fixed"/>
        <w:tblCellMar>
          <w:left w:w="0" w:type="dxa"/>
          <w:right w:w="0" w:type="dxa"/>
        </w:tblCellMar>
        <w:tblLook w:val="04A0" w:firstRow="1" w:lastRow="0" w:firstColumn="1" w:lastColumn="0" w:noHBand="0" w:noVBand="1"/>
      </w:tblPr>
      <w:tblGrid>
        <w:gridCol w:w="1760"/>
        <w:gridCol w:w="1280"/>
        <w:gridCol w:w="120"/>
        <w:gridCol w:w="740"/>
        <w:gridCol w:w="20"/>
      </w:tblGrid>
      <w:tr w:rsidR="00AC12B4">
        <w:trPr>
          <w:trHeight w:val="84"/>
        </w:trPr>
        <w:tc>
          <w:tcPr>
            <w:tcW w:w="1760" w:type="dxa"/>
            <w:vMerge w:val="restart"/>
            <w:vAlign w:val="bottom"/>
          </w:tcPr>
          <w:p w:rsidR="00AC12B4" w:rsidRDefault="00C27636">
            <w:pPr>
              <w:ind w:right="1020"/>
              <w:jc w:val="right"/>
              <w:rPr>
                <w:sz w:val="20"/>
                <w:szCs w:val="20"/>
              </w:rPr>
            </w:pPr>
            <w:r>
              <w:rPr>
                <w:rFonts w:ascii="Calibri" w:eastAsia="Calibri" w:hAnsi="Calibri" w:cs="Calibri"/>
                <w:sz w:val="20"/>
                <w:szCs w:val="20"/>
              </w:rPr>
              <w:t>9,5%</w:t>
            </w:r>
          </w:p>
        </w:tc>
        <w:tc>
          <w:tcPr>
            <w:tcW w:w="128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740" w:type="dxa"/>
            <w:vMerge w:val="restart"/>
            <w:vAlign w:val="bottom"/>
          </w:tcPr>
          <w:p w:rsidR="00AC12B4" w:rsidRDefault="00C27636">
            <w:pPr>
              <w:ind w:left="40"/>
              <w:rPr>
                <w:sz w:val="20"/>
                <w:szCs w:val="20"/>
              </w:rPr>
            </w:pPr>
            <w:r>
              <w:rPr>
                <w:rFonts w:ascii="Calibri" w:eastAsia="Calibri" w:hAnsi="Calibri" w:cs="Calibri"/>
                <w:sz w:val="20"/>
                <w:szCs w:val="20"/>
              </w:rPr>
              <w:t>Jamais</w:t>
            </w:r>
          </w:p>
        </w:tc>
        <w:tc>
          <w:tcPr>
            <w:tcW w:w="0" w:type="dxa"/>
            <w:vAlign w:val="bottom"/>
          </w:tcPr>
          <w:p w:rsidR="00AC12B4" w:rsidRDefault="00AC12B4">
            <w:pPr>
              <w:rPr>
                <w:sz w:val="1"/>
                <w:szCs w:val="1"/>
              </w:rPr>
            </w:pPr>
          </w:p>
        </w:tc>
      </w:tr>
      <w:tr w:rsidR="00AC12B4">
        <w:trPr>
          <w:trHeight w:val="108"/>
        </w:trPr>
        <w:tc>
          <w:tcPr>
            <w:tcW w:w="1760" w:type="dxa"/>
            <w:vMerge/>
            <w:vAlign w:val="bottom"/>
          </w:tcPr>
          <w:p w:rsidR="00AC12B4" w:rsidRDefault="00AC12B4">
            <w:pPr>
              <w:rPr>
                <w:sz w:val="9"/>
                <w:szCs w:val="9"/>
              </w:rPr>
            </w:pPr>
          </w:p>
        </w:tc>
        <w:tc>
          <w:tcPr>
            <w:tcW w:w="1280" w:type="dxa"/>
            <w:vAlign w:val="bottom"/>
          </w:tcPr>
          <w:p w:rsidR="00AC12B4" w:rsidRDefault="00AC12B4">
            <w:pPr>
              <w:rPr>
                <w:sz w:val="9"/>
                <w:szCs w:val="9"/>
              </w:rPr>
            </w:pPr>
          </w:p>
        </w:tc>
        <w:tc>
          <w:tcPr>
            <w:tcW w:w="120" w:type="dxa"/>
            <w:shd w:val="clear" w:color="auto" w:fill="4F81BD"/>
            <w:vAlign w:val="bottom"/>
          </w:tcPr>
          <w:p w:rsidR="00AC12B4" w:rsidRDefault="00AC12B4">
            <w:pPr>
              <w:rPr>
                <w:sz w:val="9"/>
                <w:szCs w:val="9"/>
              </w:rPr>
            </w:pPr>
          </w:p>
        </w:tc>
        <w:tc>
          <w:tcPr>
            <w:tcW w:w="74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2"/>
        </w:trPr>
        <w:tc>
          <w:tcPr>
            <w:tcW w:w="1760" w:type="dxa"/>
            <w:vMerge/>
            <w:vAlign w:val="bottom"/>
          </w:tcPr>
          <w:p w:rsidR="00AC12B4" w:rsidRDefault="00AC12B4">
            <w:pPr>
              <w:rPr>
                <w:sz w:val="4"/>
                <w:szCs w:val="4"/>
              </w:rPr>
            </w:pPr>
          </w:p>
        </w:tc>
        <w:tc>
          <w:tcPr>
            <w:tcW w:w="128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74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82"/>
        </w:trPr>
        <w:tc>
          <w:tcPr>
            <w:tcW w:w="1760" w:type="dxa"/>
            <w:vMerge/>
            <w:vAlign w:val="bottom"/>
          </w:tcPr>
          <w:p w:rsidR="00AC12B4" w:rsidRDefault="00AC12B4">
            <w:pPr>
              <w:rPr>
                <w:sz w:val="7"/>
                <w:szCs w:val="7"/>
              </w:rPr>
            </w:pPr>
          </w:p>
        </w:tc>
        <w:tc>
          <w:tcPr>
            <w:tcW w:w="128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74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18"/>
        </w:trPr>
        <w:tc>
          <w:tcPr>
            <w:tcW w:w="1760" w:type="dxa"/>
            <w:vAlign w:val="bottom"/>
          </w:tcPr>
          <w:p w:rsidR="00AC12B4" w:rsidRDefault="00AC12B4">
            <w:pPr>
              <w:rPr>
                <w:sz w:val="10"/>
                <w:szCs w:val="10"/>
              </w:rPr>
            </w:pPr>
          </w:p>
        </w:tc>
        <w:tc>
          <w:tcPr>
            <w:tcW w:w="1280" w:type="dxa"/>
            <w:vMerge w:val="restart"/>
            <w:vAlign w:val="bottom"/>
          </w:tcPr>
          <w:p w:rsidR="00AC12B4" w:rsidRDefault="00C27636">
            <w:pPr>
              <w:ind w:right="20"/>
              <w:jc w:val="right"/>
              <w:rPr>
                <w:sz w:val="20"/>
                <w:szCs w:val="20"/>
              </w:rPr>
            </w:pPr>
            <w:r>
              <w:rPr>
                <w:rFonts w:ascii="Calibri" w:eastAsia="Calibri" w:hAnsi="Calibri" w:cs="Calibri"/>
                <w:sz w:val="20"/>
                <w:szCs w:val="20"/>
              </w:rPr>
              <w:t>46,2%</w:t>
            </w:r>
          </w:p>
        </w:tc>
        <w:tc>
          <w:tcPr>
            <w:tcW w:w="120" w:type="dxa"/>
            <w:vAlign w:val="bottom"/>
          </w:tcPr>
          <w:p w:rsidR="00AC12B4" w:rsidRDefault="00AC12B4">
            <w:pPr>
              <w:rPr>
                <w:sz w:val="10"/>
                <w:szCs w:val="10"/>
              </w:rPr>
            </w:pPr>
          </w:p>
        </w:tc>
        <w:tc>
          <w:tcPr>
            <w:tcW w:w="740" w:type="dxa"/>
            <w:vMerge w:val="restart"/>
            <w:vAlign w:val="bottom"/>
          </w:tcPr>
          <w:p w:rsidR="00AC12B4" w:rsidRDefault="00C27636">
            <w:pPr>
              <w:ind w:left="40"/>
              <w:rPr>
                <w:sz w:val="20"/>
                <w:szCs w:val="20"/>
              </w:rPr>
            </w:pPr>
            <w:r>
              <w:rPr>
                <w:rFonts w:ascii="Calibri" w:eastAsia="Calibri" w:hAnsi="Calibri" w:cs="Calibri"/>
                <w:sz w:val="20"/>
                <w:szCs w:val="20"/>
              </w:rPr>
              <w:t>1 fois</w:t>
            </w:r>
          </w:p>
        </w:tc>
        <w:tc>
          <w:tcPr>
            <w:tcW w:w="0" w:type="dxa"/>
            <w:vAlign w:val="bottom"/>
          </w:tcPr>
          <w:p w:rsidR="00AC12B4" w:rsidRDefault="00AC12B4">
            <w:pPr>
              <w:rPr>
                <w:sz w:val="1"/>
                <w:szCs w:val="1"/>
              </w:rPr>
            </w:pPr>
          </w:p>
        </w:tc>
      </w:tr>
      <w:tr w:rsidR="00AC12B4">
        <w:trPr>
          <w:trHeight w:val="110"/>
        </w:trPr>
        <w:tc>
          <w:tcPr>
            <w:tcW w:w="1760" w:type="dxa"/>
            <w:vAlign w:val="bottom"/>
          </w:tcPr>
          <w:p w:rsidR="00AC12B4" w:rsidRDefault="00AC12B4">
            <w:pPr>
              <w:rPr>
                <w:sz w:val="9"/>
                <w:szCs w:val="9"/>
              </w:rPr>
            </w:pPr>
          </w:p>
        </w:tc>
        <w:tc>
          <w:tcPr>
            <w:tcW w:w="1280" w:type="dxa"/>
            <w:vMerge/>
            <w:vAlign w:val="bottom"/>
          </w:tcPr>
          <w:p w:rsidR="00AC12B4" w:rsidRDefault="00AC12B4">
            <w:pPr>
              <w:rPr>
                <w:sz w:val="9"/>
                <w:szCs w:val="9"/>
              </w:rPr>
            </w:pPr>
          </w:p>
        </w:tc>
        <w:tc>
          <w:tcPr>
            <w:tcW w:w="120" w:type="dxa"/>
            <w:shd w:val="clear" w:color="auto" w:fill="C0504D"/>
            <w:vAlign w:val="bottom"/>
          </w:tcPr>
          <w:p w:rsidR="00AC12B4" w:rsidRDefault="00AC12B4">
            <w:pPr>
              <w:rPr>
                <w:sz w:val="9"/>
                <w:szCs w:val="9"/>
              </w:rPr>
            </w:pPr>
          </w:p>
        </w:tc>
        <w:tc>
          <w:tcPr>
            <w:tcW w:w="74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1760" w:type="dxa"/>
            <w:vAlign w:val="bottom"/>
          </w:tcPr>
          <w:p w:rsidR="00AC12B4" w:rsidRDefault="00AC12B4">
            <w:pPr>
              <w:rPr>
                <w:sz w:val="4"/>
                <w:szCs w:val="4"/>
              </w:rPr>
            </w:pPr>
          </w:p>
        </w:tc>
        <w:tc>
          <w:tcPr>
            <w:tcW w:w="1280" w:type="dxa"/>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74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1"/>
        </w:trPr>
        <w:tc>
          <w:tcPr>
            <w:tcW w:w="1760" w:type="dxa"/>
            <w:vAlign w:val="bottom"/>
          </w:tcPr>
          <w:p w:rsidR="00AC12B4" w:rsidRDefault="00AC12B4">
            <w:pPr>
              <w:rPr>
                <w:sz w:val="17"/>
                <w:szCs w:val="17"/>
              </w:rPr>
            </w:pPr>
          </w:p>
        </w:tc>
        <w:tc>
          <w:tcPr>
            <w:tcW w:w="1280" w:type="dxa"/>
            <w:vMerge/>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740" w:type="dxa"/>
            <w:vMerge w:val="restart"/>
            <w:vAlign w:val="bottom"/>
          </w:tcPr>
          <w:p w:rsidR="00AC12B4" w:rsidRDefault="00C27636">
            <w:pPr>
              <w:ind w:left="40"/>
              <w:rPr>
                <w:sz w:val="20"/>
                <w:szCs w:val="20"/>
              </w:rPr>
            </w:pPr>
            <w:r>
              <w:rPr>
                <w:rFonts w:ascii="Calibri" w:eastAsia="Calibri" w:hAnsi="Calibri" w:cs="Calibri"/>
                <w:sz w:val="20"/>
                <w:szCs w:val="20"/>
              </w:rPr>
              <w:t>2-3 fois</w:t>
            </w:r>
          </w:p>
        </w:tc>
        <w:tc>
          <w:tcPr>
            <w:tcW w:w="0" w:type="dxa"/>
            <w:vAlign w:val="bottom"/>
          </w:tcPr>
          <w:p w:rsidR="00AC12B4" w:rsidRDefault="00AC12B4">
            <w:pPr>
              <w:rPr>
                <w:sz w:val="1"/>
                <w:szCs w:val="1"/>
              </w:rPr>
            </w:pPr>
          </w:p>
        </w:tc>
      </w:tr>
      <w:tr w:rsidR="00AC12B4">
        <w:trPr>
          <w:trHeight w:val="110"/>
        </w:trPr>
        <w:tc>
          <w:tcPr>
            <w:tcW w:w="1760" w:type="dxa"/>
            <w:vMerge w:val="restart"/>
            <w:vAlign w:val="bottom"/>
          </w:tcPr>
          <w:p w:rsidR="00AC12B4" w:rsidRDefault="00C27636">
            <w:pPr>
              <w:ind w:right="1160"/>
              <w:jc w:val="right"/>
              <w:rPr>
                <w:sz w:val="20"/>
                <w:szCs w:val="20"/>
              </w:rPr>
            </w:pPr>
            <w:r>
              <w:rPr>
                <w:rFonts w:ascii="Calibri" w:eastAsia="Calibri" w:hAnsi="Calibri" w:cs="Calibri"/>
                <w:w w:val="96"/>
                <w:sz w:val="20"/>
                <w:szCs w:val="20"/>
              </w:rPr>
              <w:t>16,6%</w:t>
            </w:r>
          </w:p>
        </w:tc>
        <w:tc>
          <w:tcPr>
            <w:tcW w:w="1280" w:type="dxa"/>
            <w:vAlign w:val="bottom"/>
          </w:tcPr>
          <w:p w:rsidR="00AC12B4" w:rsidRDefault="00AC12B4">
            <w:pPr>
              <w:rPr>
                <w:sz w:val="9"/>
                <w:szCs w:val="9"/>
              </w:rPr>
            </w:pPr>
          </w:p>
        </w:tc>
        <w:tc>
          <w:tcPr>
            <w:tcW w:w="120" w:type="dxa"/>
            <w:shd w:val="clear" w:color="auto" w:fill="9BBB59"/>
            <w:vAlign w:val="bottom"/>
          </w:tcPr>
          <w:p w:rsidR="00AC12B4" w:rsidRDefault="00AC12B4">
            <w:pPr>
              <w:rPr>
                <w:sz w:val="9"/>
                <w:szCs w:val="9"/>
              </w:rPr>
            </w:pPr>
          </w:p>
        </w:tc>
        <w:tc>
          <w:tcPr>
            <w:tcW w:w="74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1760" w:type="dxa"/>
            <w:vMerge/>
            <w:vAlign w:val="bottom"/>
          </w:tcPr>
          <w:p w:rsidR="00AC12B4" w:rsidRDefault="00AC12B4">
            <w:pPr>
              <w:rPr>
                <w:sz w:val="4"/>
                <w:szCs w:val="4"/>
              </w:rPr>
            </w:pPr>
          </w:p>
        </w:tc>
        <w:tc>
          <w:tcPr>
            <w:tcW w:w="128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74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2"/>
        </w:trPr>
        <w:tc>
          <w:tcPr>
            <w:tcW w:w="1760" w:type="dxa"/>
            <w:vMerge/>
            <w:vAlign w:val="bottom"/>
          </w:tcPr>
          <w:p w:rsidR="00AC12B4" w:rsidRDefault="00AC12B4">
            <w:pPr>
              <w:rPr>
                <w:sz w:val="17"/>
                <w:szCs w:val="17"/>
              </w:rPr>
            </w:pPr>
          </w:p>
        </w:tc>
        <w:tc>
          <w:tcPr>
            <w:tcW w:w="1280" w:type="dxa"/>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740" w:type="dxa"/>
            <w:vMerge w:val="restart"/>
            <w:vAlign w:val="bottom"/>
          </w:tcPr>
          <w:p w:rsidR="00AC12B4" w:rsidRDefault="00C27636">
            <w:pPr>
              <w:ind w:left="40"/>
              <w:rPr>
                <w:sz w:val="20"/>
                <w:szCs w:val="20"/>
              </w:rPr>
            </w:pPr>
            <w:r>
              <w:rPr>
                <w:rFonts w:ascii="Calibri" w:eastAsia="Calibri" w:hAnsi="Calibri" w:cs="Calibri"/>
                <w:w w:val="96"/>
                <w:sz w:val="20"/>
                <w:szCs w:val="20"/>
              </w:rPr>
              <w:t>4-10 fois</w:t>
            </w:r>
          </w:p>
        </w:tc>
        <w:tc>
          <w:tcPr>
            <w:tcW w:w="0" w:type="dxa"/>
            <w:vAlign w:val="bottom"/>
          </w:tcPr>
          <w:p w:rsidR="00AC12B4" w:rsidRDefault="00AC12B4">
            <w:pPr>
              <w:rPr>
                <w:sz w:val="1"/>
                <w:szCs w:val="1"/>
              </w:rPr>
            </w:pPr>
          </w:p>
        </w:tc>
      </w:tr>
      <w:tr w:rsidR="00AC12B4">
        <w:trPr>
          <w:trHeight w:val="108"/>
        </w:trPr>
        <w:tc>
          <w:tcPr>
            <w:tcW w:w="1760" w:type="dxa"/>
            <w:vAlign w:val="bottom"/>
          </w:tcPr>
          <w:p w:rsidR="00AC12B4" w:rsidRDefault="00AC12B4">
            <w:pPr>
              <w:rPr>
                <w:sz w:val="9"/>
                <w:szCs w:val="9"/>
              </w:rPr>
            </w:pPr>
          </w:p>
        </w:tc>
        <w:tc>
          <w:tcPr>
            <w:tcW w:w="1280" w:type="dxa"/>
            <w:vAlign w:val="bottom"/>
          </w:tcPr>
          <w:p w:rsidR="00AC12B4" w:rsidRDefault="00AC12B4">
            <w:pPr>
              <w:rPr>
                <w:sz w:val="9"/>
                <w:szCs w:val="9"/>
              </w:rPr>
            </w:pPr>
          </w:p>
        </w:tc>
        <w:tc>
          <w:tcPr>
            <w:tcW w:w="120" w:type="dxa"/>
            <w:shd w:val="clear" w:color="auto" w:fill="8064A2"/>
            <w:vAlign w:val="bottom"/>
          </w:tcPr>
          <w:p w:rsidR="00AC12B4" w:rsidRDefault="00AC12B4">
            <w:pPr>
              <w:rPr>
                <w:sz w:val="9"/>
                <w:szCs w:val="9"/>
              </w:rPr>
            </w:pPr>
          </w:p>
        </w:tc>
        <w:tc>
          <w:tcPr>
            <w:tcW w:w="74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2"/>
        </w:trPr>
        <w:tc>
          <w:tcPr>
            <w:tcW w:w="1760" w:type="dxa"/>
            <w:vAlign w:val="bottom"/>
          </w:tcPr>
          <w:p w:rsidR="00AC12B4" w:rsidRDefault="00AC12B4">
            <w:pPr>
              <w:rPr>
                <w:sz w:val="4"/>
                <w:szCs w:val="4"/>
              </w:rPr>
            </w:pPr>
          </w:p>
        </w:tc>
        <w:tc>
          <w:tcPr>
            <w:tcW w:w="128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74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0"/>
        </w:trPr>
        <w:tc>
          <w:tcPr>
            <w:tcW w:w="1760" w:type="dxa"/>
            <w:vMerge w:val="restart"/>
            <w:vAlign w:val="bottom"/>
          </w:tcPr>
          <w:p w:rsidR="00AC12B4" w:rsidRDefault="00C27636">
            <w:pPr>
              <w:ind w:right="560"/>
              <w:jc w:val="right"/>
              <w:rPr>
                <w:sz w:val="20"/>
                <w:szCs w:val="20"/>
              </w:rPr>
            </w:pPr>
            <w:r>
              <w:rPr>
                <w:rFonts w:ascii="Calibri" w:eastAsia="Calibri" w:hAnsi="Calibri" w:cs="Calibri"/>
                <w:sz w:val="20"/>
                <w:szCs w:val="20"/>
              </w:rPr>
              <w:t>17,6%</w:t>
            </w:r>
          </w:p>
        </w:tc>
        <w:tc>
          <w:tcPr>
            <w:tcW w:w="1280" w:type="dxa"/>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740" w:type="dxa"/>
            <w:vMerge w:val="restart"/>
            <w:vAlign w:val="bottom"/>
          </w:tcPr>
          <w:p w:rsidR="00AC12B4" w:rsidRDefault="00C27636">
            <w:pPr>
              <w:ind w:left="40"/>
              <w:rPr>
                <w:sz w:val="20"/>
                <w:szCs w:val="20"/>
              </w:rPr>
            </w:pPr>
            <w:r>
              <w:rPr>
                <w:rFonts w:ascii="Calibri" w:eastAsia="Calibri" w:hAnsi="Calibri" w:cs="Calibri"/>
                <w:sz w:val="20"/>
                <w:szCs w:val="20"/>
              </w:rPr>
              <w:t>&gt;10 fois</w:t>
            </w:r>
          </w:p>
        </w:tc>
        <w:tc>
          <w:tcPr>
            <w:tcW w:w="0" w:type="dxa"/>
            <w:vAlign w:val="bottom"/>
          </w:tcPr>
          <w:p w:rsidR="00AC12B4" w:rsidRDefault="00AC12B4">
            <w:pPr>
              <w:rPr>
                <w:sz w:val="1"/>
                <w:szCs w:val="1"/>
              </w:rPr>
            </w:pPr>
          </w:p>
        </w:tc>
      </w:tr>
      <w:tr w:rsidR="00AC12B4">
        <w:trPr>
          <w:trHeight w:val="110"/>
        </w:trPr>
        <w:tc>
          <w:tcPr>
            <w:tcW w:w="1760" w:type="dxa"/>
            <w:vMerge/>
            <w:vAlign w:val="bottom"/>
          </w:tcPr>
          <w:p w:rsidR="00AC12B4" w:rsidRDefault="00AC12B4">
            <w:pPr>
              <w:rPr>
                <w:sz w:val="9"/>
                <w:szCs w:val="9"/>
              </w:rPr>
            </w:pPr>
          </w:p>
        </w:tc>
        <w:tc>
          <w:tcPr>
            <w:tcW w:w="1280" w:type="dxa"/>
            <w:vAlign w:val="bottom"/>
          </w:tcPr>
          <w:p w:rsidR="00AC12B4" w:rsidRDefault="00AC12B4">
            <w:pPr>
              <w:rPr>
                <w:sz w:val="9"/>
                <w:szCs w:val="9"/>
              </w:rPr>
            </w:pPr>
          </w:p>
        </w:tc>
        <w:tc>
          <w:tcPr>
            <w:tcW w:w="120" w:type="dxa"/>
            <w:shd w:val="clear" w:color="auto" w:fill="4BACC6"/>
            <w:vAlign w:val="bottom"/>
          </w:tcPr>
          <w:p w:rsidR="00AC12B4" w:rsidRDefault="00AC12B4">
            <w:pPr>
              <w:rPr>
                <w:sz w:val="9"/>
                <w:szCs w:val="9"/>
              </w:rPr>
            </w:pPr>
          </w:p>
        </w:tc>
        <w:tc>
          <w:tcPr>
            <w:tcW w:w="74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1760" w:type="dxa"/>
            <w:vMerge/>
            <w:vAlign w:val="bottom"/>
          </w:tcPr>
          <w:p w:rsidR="00AC12B4" w:rsidRDefault="00AC12B4">
            <w:pPr>
              <w:rPr>
                <w:sz w:val="4"/>
                <w:szCs w:val="4"/>
              </w:rPr>
            </w:pPr>
          </w:p>
        </w:tc>
        <w:tc>
          <w:tcPr>
            <w:tcW w:w="128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74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302"/>
        </w:trPr>
        <w:tc>
          <w:tcPr>
            <w:tcW w:w="1760" w:type="dxa"/>
            <w:vMerge/>
            <w:vAlign w:val="bottom"/>
          </w:tcPr>
          <w:p w:rsidR="00AC12B4" w:rsidRDefault="00AC12B4">
            <w:pPr>
              <w:rPr>
                <w:sz w:val="24"/>
                <w:szCs w:val="24"/>
              </w:rPr>
            </w:pPr>
          </w:p>
        </w:tc>
        <w:tc>
          <w:tcPr>
            <w:tcW w:w="128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74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AC12B4">
      <w:pPr>
        <w:spacing w:line="299" w:lineRule="exact"/>
        <w:rPr>
          <w:sz w:val="20"/>
          <w:szCs w:val="20"/>
        </w:rPr>
      </w:pPr>
    </w:p>
    <w:p w:rsidR="00AC12B4" w:rsidRPr="00C27636" w:rsidRDefault="00C27636">
      <w:pPr>
        <w:spacing w:line="225" w:lineRule="auto"/>
        <w:ind w:left="560" w:right="520"/>
        <w:jc w:val="both"/>
        <w:rPr>
          <w:sz w:val="20"/>
          <w:szCs w:val="20"/>
          <w:lang w:val="fr-BE"/>
        </w:rPr>
      </w:pPr>
      <w:r w:rsidRPr="00C27636">
        <w:rPr>
          <w:rFonts w:ascii="Calibri" w:eastAsia="Calibri" w:hAnsi="Calibri" w:cs="Calibri"/>
          <w:b/>
          <w:bCs/>
          <w:color w:val="4F81BD"/>
          <w:sz w:val="18"/>
          <w:szCs w:val="18"/>
          <w:lang w:val="fr-BE"/>
        </w:rPr>
        <w:t xml:space="preserve">Figure 5. Expérimentation de l’ivresse parmi les jeunes qui ont déjà consommé de </w:t>
      </w:r>
      <w:r w:rsidRPr="00C27636">
        <w:rPr>
          <w:rFonts w:ascii="Calibri" w:eastAsia="Calibri" w:hAnsi="Calibri" w:cs="Calibri"/>
          <w:b/>
          <w:bCs/>
          <w:color w:val="4F81BD"/>
          <w:sz w:val="18"/>
          <w:szCs w:val="18"/>
          <w:lang w:val="fr-BE"/>
        </w:rPr>
        <w:t>l’alcool au moins un jour dans leur vie (n=11.157), HBSC 2014.</w:t>
      </w:r>
    </w:p>
    <w:p w:rsidR="00AC12B4" w:rsidRPr="00C27636" w:rsidRDefault="00AC12B4">
      <w:pPr>
        <w:spacing w:line="247" w:lineRule="exact"/>
        <w:rPr>
          <w:sz w:val="20"/>
          <w:szCs w:val="20"/>
          <w:lang w:val="fr-BE"/>
        </w:rPr>
      </w:pPr>
    </w:p>
    <w:p w:rsidR="00AC12B4" w:rsidRPr="00C27636" w:rsidRDefault="00C27636">
      <w:pPr>
        <w:spacing w:line="225" w:lineRule="auto"/>
        <w:ind w:left="560" w:right="520"/>
        <w:jc w:val="both"/>
        <w:rPr>
          <w:sz w:val="20"/>
          <w:szCs w:val="20"/>
          <w:lang w:val="fr-BE"/>
        </w:rPr>
      </w:pPr>
      <w:r w:rsidRPr="00C27636">
        <w:rPr>
          <w:rFonts w:ascii="Calibri" w:eastAsia="Calibri" w:hAnsi="Calibri" w:cs="Calibri"/>
          <w:lang w:val="fr-BE"/>
        </w:rPr>
        <w:t>Les garçons, les jeunes issus d’une famille dont le niveau d’aisance matérielle est faible et les jeunes qui ne vivent pas avec</w:t>
      </w:r>
    </w:p>
    <w:p w:rsidR="00AC12B4" w:rsidRPr="00C27636" w:rsidRDefault="00AC12B4">
      <w:pPr>
        <w:spacing w:line="336" w:lineRule="exact"/>
        <w:rPr>
          <w:sz w:val="20"/>
          <w:szCs w:val="20"/>
          <w:lang w:val="fr-BE"/>
        </w:rPr>
      </w:pPr>
    </w:p>
    <w:p w:rsidR="00AC12B4" w:rsidRPr="00C27636" w:rsidRDefault="00C27636">
      <w:pPr>
        <w:ind w:left="4680"/>
        <w:rPr>
          <w:sz w:val="20"/>
          <w:szCs w:val="20"/>
          <w:lang w:val="fr-BE"/>
        </w:rPr>
      </w:pPr>
      <w:r w:rsidRPr="00C27636">
        <w:rPr>
          <w:rFonts w:ascii="Calibri" w:eastAsia="Calibri" w:hAnsi="Calibri" w:cs="Calibri"/>
          <w:lang w:val="fr-BE"/>
        </w:rPr>
        <w:t>91</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2" w:lineRule="auto"/>
        <w:ind w:left="80" w:right="60"/>
        <w:jc w:val="both"/>
        <w:rPr>
          <w:sz w:val="20"/>
          <w:szCs w:val="20"/>
          <w:lang w:val="fr-BE"/>
        </w:rPr>
      </w:pPr>
      <w:r w:rsidRPr="00C27636">
        <w:rPr>
          <w:rFonts w:ascii="Calibri" w:eastAsia="Calibri" w:hAnsi="Calibri" w:cs="Calibri"/>
          <w:lang w:val="fr-BE"/>
        </w:rPr>
        <w:t>leurs deux parents rapportent plus fréquemment qu’ils ont</w:t>
      </w:r>
      <w:r w:rsidRPr="00C27636">
        <w:rPr>
          <w:rFonts w:ascii="Calibri" w:eastAsia="Calibri" w:hAnsi="Calibri" w:cs="Calibri"/>
          <w:lang w:val="fr-BE"/>
        </w:rPr>
        <w:t xml:space="preserve"> été ivres au moins une fois au cours de leur vie. L’expérimentation de l’ivresse devient également plus fréquente au fur et à mesure que l’âge augmente.</w:t>
      </w:r>
    </w:p>
    <w:p w:rsidR="00AC12B4" w:rsidRPr="00C27636" w:rsidRDefault="00AC12B4">
      <w:pPr>
        <w:spacing w:line="125"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1520"/>
        <w:gridCol w:w="700"/>
        <w:gridCol w:w="1000"/>
        <w:gridCol w:w="800"/>
      </w:tblGrid>
      <w:tr w:rsidR="00AC12B4">
        <w:trPr>
          <w:trHeight w:val="244"/>
        </w:trPr>
        <w:tc>
          <w:tcPr>
            <w:tcW w:w="1520" w:type="dxa"/>
            <w:vAlign w:val="bottom"/>
          </w:tcPr>
          <w:p w:rsidR="00AC12B4" w:rsidRPr="00C27636" w:rsidRDefault="00AC12B4">
            <w:pPr>
              <w:rPr>
                <w:sz w:val="21"/>
                <w:szCs w:val="21"/>
                <w:lang w:val="fr-BE"/>
              </w:rPr>
            </w:pPr>
          </w:p>
        </w:tc>
        <w:tc>
          <w:tcPr>
            <w:tcW w:w="700" w:type="dxa"/>
            <w:vAlign w:val="bottom"/>
          </w:tcPr>
          <w:p w:rsidR="00AC12B4" w:rsidRPr="00C27636" w:rsidRDefault="00AC12B4">
            <w:pPr>
              <w:rPr>
                <w:sz w:val="21"/>
                <w:szCs w:val="21"/>
                <w:lang w:val="fr-BE"/>
              </w:rPr>
            </w:pPr>
          </w:p>
        </w:tc>
        <w:tc>
          <w:tcPr>
            <w:tcW w:w="1000" w:type="dxa"/>
            <w:vAlign w:val="bottom"/>
          </w:tcPr>
          <w:p w:rsidR="00AC12B4" w:rsidRDefault="00C27636">
            <w:pPr>
              <w:jc w:val="center"/>
              <w:rPr>
                <w:sz w:val="20"/>
                <w:szCs w:val="20"/>
              </w:rPr>
            </w:pPr>
            <w:r>
              <w:rPr>
                <w:rFonts w:ascii="Calibri" w:eastAsia="Calibri" w:hAnsi="Calibri" w:cs="Calibri"/>
                <w:color w:val="C9D11D"/>
                <w:w w:val="98"/>
                <w:sz w:val="20"/>
                <w:szCs w:val="20"/>
              </w:rPr>
              <w:t>Ivresse</w:t>
            </w:r>
          </w:p>
        </w:tc>
        <w:tc>
          <w:tcPr>
            <w:tcW w:w="800" w:type="dxa"/>
            <w:vAlign w:val="bottom"/>
          </w:tcPr>
          <w:p w:rsidR="00AC12B4" w:rsidRDefault="00AC12B4">
            <w:pPr>
              <w:rPr>
                <w:sz w:val="21"/>
                <w:szCs w:val="21"/>
              </w:rPr>
            </w:pPr>
          </w:p>
        </w:tc>
      </w:tr>
      <w:tr w:rsidR="00AC12B4">
        <w:trPr>
          <w:trHeight w:val="245"/>
        </w:trPr>
        <w:tc>
          <w:tcPr>
            <w:tcW w:w="1520" w:type="dxa"/>
            <w:vAlign w:val="bottom"/>
          </w:tcPr>
          <w:p w:rsidR="00AC12B4" w:rsidRDefault="00AC12B4">
            <w:pPr>
              <w:rPr>
                <w:sz w:val="21"/>
                <w:szCs w:val="21"/>
              </w:rPr>
            </w:pPr>
          </w:p>
        </w:tc>
        <w:tc>
          <w:tcPr>
            <w:tcW w:w="700" w:type="dxa"/>
            <w:vAlign w:val="bottom"/>
          </w:tcPr>
          <w:p w:rsidR="00AC12B4" w:rsidRDefault="00AC12B4">
            <w:pPr>
              <w:rPr>
                <w:sz w:val="21"/>
                <w:szCs w:val="21"/>
              </w:rPr>
            </w:pPr>
          </w:p>
        </w:tc>
        <w:tc>
          <w:tcPr>
            <w:tcW w:w="1000" w:type="dxa"/>
            <w:vAlign w:val="bottom"/>
          </w:tcPr>
          <w:p w:rsidR="00AC12B4" w:rsidRDefault="00C27636">
            <w:pPr>
              <w:jc w:val="center"/>
              <w:rPr>
                <w:sz w:val="20"/>
                <w:szCs w:val="20"/>
              </w:rPr>
            </w:pPr>
            <w:r>
              <w:rPr>
                <w:rFonts w:ascii="Calibri" w:eastAsia="Calibri" w:hAnsi="Calibri" w:cs="Calibri"/>
                <w:color w:val="C9D11D"/>
                <w:sz w:val="20"/>
                <w:szCs w:val="20"/>
              </w:rPr>
              <w:t>(lifetime;</w:t>
            </w:r>
          </w:p>
        </w:tc>
        <w:tc>
          <w:tcPr>
            <w:tcW w:w="800" w:type="dxa"/>
            <w:vAlign w:val="bottom"/>
          </w:tcPr>
          <w:p w:rsidR="00AC12B4" w:rsidRDefault="00AC12B4">
            <w:pPr>
              <w:rPr>
                <w:sz w:val="21"/>
                <w:szCs w:val="21"/>
              </w:rPr>
            </w:pPr>
          </w:p>
        </w:tc>
      </w:tr>
      <w:tr w:rsidR="00AC12B4">
        <w:trPr>
          <w:trHeight w:val="245"/>
        </w:trPr>
        <w:tc>
          <w:tcPr>
            <w:tcW w:w="1520" w:type="dxa"/>
            <w:vAlign w:val="bottom"/>
          </w:tcPr>
          <w:p w:rsidR="00AC12B4" w:rsidRDefault="00AC12B4">
            <w:pPr>
              <w:rPr>
                <w:sz w:val="21"/>
                <w:szCs w:val="21"/>
              </w:rPr>
            </w:pPr>
          </w:p>
        </w:tc>
        <w:tc>
          <w:tcPr>
            <w:tcW w:w="700" w:type="dxa"/>
            <w:vAlign w:val="bottom"/>
          </w:tcPr>
          <w:p w:rsidR="00AC12B4" w:rsidRDefault="00AC12B4">
            <w:pPr>
              <w:rPr>
                <w:sz w:val="21"/>
                <w:szCs w:val="21"/>
              </w:rPr>
            </w:pPr>
          </w:p>
        </w:tc>
        <w:tc>
          <w:tcPr>
            <w:tcW w:w="1000" w:type="dxa"/>
            <w:vAlign w:val="bottom"/>
          </w:tcPr>
          <w:p w:rsidR="00AC12B4" w:rsidRDefault="00C27636">
            <w:pPr>
              <w:jc w:val="center"/>
              <w:rPr>
                <w:sz w:val="20"/>
                <w:szCs w:val="20"/>
              </w:rPr>
            </w:pPr>
            <w:r>
              <w:rPr>
                <w:rFonts w:ascii="Calibri" w:eastAsia="Calibri" w:hAnsi="Calibri" w:cs="Calibri"/>
                <w:color w:val="C9D11D"/>
                <w:w w:val="99"/>
                <w:sz w:val="20"/>
                <w:szCs w:val="20"/>
              </w:rPr>
              <w:t>&gt;= 1 fois</w:t>
            </w:r>
          </w:p>
        </w:tc>
        <w:tc>
          <w:tcPr>
            <w:tcW w:w="800" w:type="dxa"/>
            <w:vAlign w:val="bottom"/>
          </w:tcPr>
          <w:p w:rsidR="00AC12B4" w:rsidRDefault="00AC12B4">
            <w:pPr>
              <w:rPr>
                <w:sz w:val="21"/>
                <w:szCs w:val="21"/>
              </w:rPr>
            </w:pPr>
          </w:p>
        </w:tc>
      </w:tr>
      <w:tr w:rsidR="00AC12B4">
        <w:trPr>
          <w:trHeight w:val="246"/>
        </w:trPr>
        <w:tc>
          <w:tcPr>
            <w:tcW w:w="1520" w:type="dxa"/>
            <w:tcBorders>
              <w:bottom w:val="single" w:sz="8" w:space="0" w:color="C9D11D"/>
            </w:tcBorders>
            <w:vAlign w:val="bottom"/>
          </w:tcPr>
          <w:p w:rsidR="00AC12B4" w:rsidRDefault="00AC12B4">
            <w:pPr>
              <w:rPr>
                <w:sz w:val="21"/>
                <w:szCs w:val="21"/>
              </w:rPr>
            </w:pPr>
          </w:p>
        </w:tc>
        <w:tc>
          <w:tcPr>
            <w:tcW w:w="700" w:type="dxa"/>
            <w:tcBorders>
              <w:bottom w:val="single" w:sz="8" w:space="0" w:color="C9D11D"/>
            </w:tcBorders>
            <w:vAlign w:val="bottom"/>
          </w:tcPr>
          <w:p w:rsidR="00AC12B4" w:rsidRDefault="00C27636">
            <w:pPr>
              <w:spacing w:line="243" w:lineRule="exact"/>
              <w:jc w:val="center"/>
              <w:rPr>
                <w:sz w:val="20"/>
                <w:szCs w:val="20"/>
              </w:rPr>
            </w:pPr>
            <w:r>
              <w:rPr>
                <w:rFonts w:ascii="Calibri" w:eastAsia="Calibri" w:hAnsi="Calibri" w:cs="Calibri"/>
                <w:color w:val="C9D11D"/>
                <w:sz w:val="20"/>
                <w:szCs w:val="20"/>
              </w:rPr>
              <w:t>N</w:t>
            </w:r>
          </w:p>
        </w:tc>
        <w:tc>
          <w:tcPr>
            <w:tcW w:w="1000" w:type="dxa"/>
            <w:tcBorders>
              <w:bottom w:val="single" w:sz="8" w:space="0" w:color="C9D11D"/>
            </w:tcBorders>
            <w:vAlign w:val="bottom"/>
          </w:tcPr>
          <w:p w:rsidR="00AC12B4" w:rsidRDefault="00C27636">
            <w:pPr>
              <w:spacing w:line="243" w:lineRule="exact"/>
              <w:jc w:val="center"/>
              <w:rPr>
                <w:sz w:val="20"/>
                <w:szCs w:val="20"/>
              </w:rPr>
            </w:pPr>
            <w:r>
              <w:rPr>
                <w:rFonts w:ascii="Calibri" w:eastAsia="Calibri" w:hAnsi="Calibri" w:cs="Calibri"/>
                <w:color w:val="C9D11D"/>
                <w:w w:val="98"/>
                <w:sz w:val="20"/>
                <w:szCs w:val="20"/>
              </w:rPr>
              <w:t>(%)</w:t>
            </w:r>
          </w:p>
        </w:tc>
        <w:tc>
          <w:tcPr>
            <w:tcW w:w="800" w:type="dxa"/>
            <w:tcBorders>
              <w:bottom w:val="single" w:sz="8" w:space="0" w:color="C9D11D"/>
            </w:tcBorders>
            <w:vAlign w:val="bottom"/>
          </w:tcPr>
          <w:p w:rsidR="00AC12B4" w:rsidRDefault="00C27636">
            <w:pPr>
              <w:spacing w:line="243" w:lineRule="exact"/>
              <w:ind w:left="360"/>
              <w:rPr>
                <w:sz w:val="20"/>
                <w:szCs w:val="20"/>
              </w:rPr>
            </w:pPr>
            <w:r>
              <w:rPr>
                <w:rFonts w:ascii="Calibri" w:eastAsia="Calibri" w:hAnsi="Calibri" w:cs="Calibri"/>
                <w:color w:val="C9D11D"/>
                <w:sz w:val="20"/>
                <w:szCs w:val="20"/>
              </w:rPr>
              <w:t>p</w:t>
            </w:r>
          </w:p>
        </w:tc>
      </w:tr>
      <w:tr w:rsidR="00AC12B4">
        <w:trPr>
          <w:trHeight w:val="288"/>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Genre</w:t>
            </w:r>
          </w:p>
        </w:tc>
        <w:tc>
          <w:tcPr>
            <w:tcW w:w="700" w:type="dxa"/>
            <w:vAlign w:val="bottom"/>
          </w:tcPr>
          <w:p w:rsidR="00AC12B4" w:rsidRDefault="00C27636">
            <w:pPr>
              <w:jc w:val="center"/>
              <w:rPr>
                <w:sz w:val="20"/>
                <w:szCs w:val="20"/>
              </w:rPr>
            </w:pPr>
            <w:r>
              <w:rPr>
                <w:rFonts w:ascii="Calibri" w:eastAsia="Calibri" w:hAnsi="Calibri" w:cs="Calibri"/>
                <w:w w:val="98"/>
                <w:sz w:val="20"/>
                <w:szCs w:val="20"/>
              </w:rPr>
              <w:t>11157</w:t>
            </w:r>
          </w:p>
        </w:tc>
        <w:tc>
          <w:tcPr>
            <w:tcW w:w="100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Garçons</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56,3</w:t>
            </w:r>
          </w:p>
        </w:tc>
        <w:tc>
          <w:tcPr>
            <w:tcW w:w="80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Filles</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51,0</w:t>
            </w:r>
          </w:p>
        </w:tc>
        <w:tc>
          <w:tcPr>
            <w:tcW w:w="800" w:type="dxa"/>
            <w:vAlign w:val="bottom"/>
          </w:tcPr>
          <w:p w:rsidR="00AC12B4" w:rsidRDefault="00AC12B4">
            <w:pPr>
              <w:rPr>
                <w:sz w:val="24"/>
                <w:szCs w:val="24"/>
              </w:rPr>
            </w:pPr>
          </w:p>
        </w:tc>
      </w:tr>
      <w:tr w:rsidR="00AC12B4">
        <w:trPr>
          <w:trHeight w:val="601"/>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Age</w:t>
            </w:r>
          </w:p>
        </w:tc>
        <w:tc>
          <w:tcPr>
            <w:tcW w:w="700" w:type="dxa"/>
            <w:vAlign w:val="bottom"/>
          </w:tcPr>
          <w:p w:rsidR="00AC12B4" w:rsidRDefault="00C27636">
            <w:pPr>
              <w:jc w:val="center"/>
              <w:rPr>
                <w:sz w:val="20"/>
                <w:szCs w:val="20"/>
              </w:rPr>
            </w:pPr>
            <w:r>
              <w:rPr>
                <w:rFonts w:ascii="Calibri" w:eastAsia="Calibri" w:hAnsi="Calibri" w:cs="Calibri"/>
                <w:w w:val="98"/>
                <w:sz w:val="20"/>
                <w:szCs w:val="20"/>
              </w:rPr>
              <w:t>11031</w:t>
            </w:r>
          </w:p>
        </w:tc>
        <w:tc>
          <w:tcPr>
            <w:tcW w:w="100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10-12 ans</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17,8</w:t>
            </w:r>
          </w:p>
        </w:tc>
        <w:tc>
          <w:tcPr>
            <w:tcW w:w="80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13-14 ans</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28,6</w:t>
            </w:r>
          </w:p>
        </w:tc>
        <w:tc>
          <w:tcPr>
            <w:tcW w:w="80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15-16 ans</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51,3</w:t>
            </w:r>
          </w:p>
        </w:tc>
        <w:tc>
          <w:tcPr>
            <w:tcW w:w="80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17-19 ans</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74,4</w:t>
            </w:r>
          </w:p>
        </w:tc>
        <w:tc>
          <w:tcPr>
            <w:tcW w:w="800" w:type="dxa"/>
            <w:vAlign w:val="bottom"/>
          </w:tcPr>
          <w:p w:rsidR="00AC12B4" w:rsidRDefault="00AC12B4">
            <w:pPr>
              <w:rPr>
                <w:sz w:val="24"/>
                <w:szCs w:val="24"/>
              </w:rPr>
            </w:pPr>
          </w:p>
        </w:tc>
      </w:tr>
      <w:tr w:rsidR="00AC12B4">
        <w:trPr>
          <w:trHeight w:val="542"/>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Niveau d'aisance</w:t>
            </w:r>
          </w:p>
        </w:tc>
        <w:tc>
          <w:tcPr>
            <w:tcW w:w="700" w:type="dxa"/>
            <w:vAlign w:val="bottom"/>
          </w:tcPr>
          <w:p w:rsidR="00AC12B4" w:rsidRDefault="00AC12B4">
            <w:pPr>
              <w:rPr>
                <w:sz w:val="24"/>
                <w:szCs w:val="24"/>
              </w:rPr>
            </w:pPr>
          </w:p>
        </w:tc>
        <w:tc>
          <w:tcPr>
            <w:tcW w:w="1000" w:type="dxa"/>
            <w:vAlign w:val="bottom"/>
          </w:tcPr>
          <w:p w:rsidR="00AC12B4" w:rsidRDefault="00AC12B4">
            <w:pPr>
              <w:rPr>
                <w:sz w:val="24"/>
                <w:szCs w:val="24"/>
              </w:rPr>
            </w:pPr>
          </w:p>
        </w:tc>
        <w:tc>
          <w:tcPr>
            <w:tcW w:w="800" w:type="dxa"/>
            <w:vAlign w:val="bottom"/>
          </w:tcPr>
          <w:p w:rsidR="00AC12B4" w:rsidRDefault="00AC12B4">
            <w:pPr>
              <w:rPr>
                <w:sz w:val="24"/>
                <w:szCs w:val="24"/>
              </w:rPr>
            </w:pPr>
          </w:p>
        </w:tc>
      </w:tr>
      <w:tr w:rsidR="00AC12B4">
        <w:trPr>
          <w:trHeight w:val="245"/>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matérielle</w:t>
            </w:r>
          </w:p>
        </w:tc>
        <w:tc>
          <w:tcPr>
            <w:tcW w:w="700" w:type="dxa"/>
            <w:vAlign w:val="bottom"/>
          </w:tcPr>
          <w:p w:rsidR="00AC12B4" w:rsidRDefault="00C27636">
            <w:pPr>
              <w:jc w:val="center"/>
              <w:rPr>
                <w:sz w:val="20"/>
                <w:szCs w:val="20"/>
              </w:rPr>
            </w:pPr>
            <w:r>
              <w:rPr>
                <w:rFonts w:ascii="Calibri" w:eastAsia="Calibri" w:hAnsi="Calibri" w:cs="Calibri"/>
                <w:w w:val="98"/>
                <w:sz w:val="20"/>
                <w:szCs w:val="20"/>
              </w:rPr>
              <w:t>10438</w:t>
            </w:r>
          </w:p>
        </w:tc>
        <w:tc>
          <w:tcPr>
            <w:tcW w:w="1000" w:type="dxa"/>
            <w:vAlign w:val="bottom"/>
          </w:tcPr>
          <w:p w:rsidR="00AC12B4" w:rsidRDefault="00AC12B4">
            <w:pPr>
              <w:rPr>
                <w:sz w:val="21"/>
                <w:szCs w:val="21"/>
              </w:rPr>
            </w:pPr>
          </w:p>
        </w:tc>
        <w:tc>
          <w:tcPr>
            <w:tcW w:w="800" w:type="dxa"/>
            <w:vAlign w:val="bottom"/>
          </w:tcPr>
          <w:p w:rsidR="00AC12B4" w:rsidRDefault="00C27636">
            <w:pPr>
              <w:jc w:val="center"/>
              <w:rPr>
                <w:sz w:val="20"/>
                <w:szCs w:val="20"/>
              </w:rPr>
            </w:pPr>
            <w:r>
              <w:rPr>
                <w:rFonts w:ascii="Calibri" w:eastAsia="Calibri" w:hAnsi="Calibri" w:cs="Calibri"/>
                <w:sz w:val="20"/>
                <w:szCs w:val="20"/>
              </w:rPr>
              <w:t>&lt;0,05</w:t>
            </w: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Faible</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57,4</w:t>
            </w:r>
          </w:p>
        </w:tc>
        <w:tc>
          <w:tcPr>
            <w:tcW w:w="80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Moyen</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53,2</w:t>
            </w:r>
          </w:p>
        </w:tc>
        <w:tc>
          <w:tcPr>
            <w:tcW w:w="80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Elevé</w:t>
            </w:r>
          </w:p>
        </w:tc>
        <w:tc>
          <w:tcPr>
            <w:tcW w:w="700" w:type="dxa"/>
            <w:vAlign w:val="bottom"/>
          </w:tcPr>
          <w:p w:rsidR="00AC12B4" w:rsidRDefault="00AC12B4">
            <w:pPr>
              <w:rPr>
                <w:sz w:val="24"/>
                <w:szCs w:val="24"/>
              </w:rPr>
            </w:pPr>
          </w:p>
        </w:tc>
        <w:tc>
          <w:tcPr>
            <w:tcW w:w="1000" w:type="dxa"/>
            <w:vAlign w:val="bottom"/>
          </w:tcPr>
          <w:p w:rsidR="00AC12B4" w:rsidRDefault="00C27636">
            <w:pPr>
              <w:jc w:val="center"/>
              <w:rPr>
                <w:sz w:val="20"/>
                <w:szCs w:val="20"/>
              </w:rPr>
            </w:pPr>
            <w:r>
              <w:rPr>
                <w:rFonts w:ascii="Calibri" w:eastAsia="Calibri" w:hAnsi="Calibri" w:cs="Calibri"/>
                <w:sz w:val="20"/>
                <w:szCs w:val="20"/>
              </w:rPr>
              <w:t>53,0</w:t>
            </w:r>
          </w:p>
        </w:tc>
        <w:tc>
          <w:tcPr>
            <w:tcW w:w="800" w:type="dxa"/>
            <w:vAlign w:val="bottom"/>
          </w:tcPr>
          <w:p w:rsidR="00AC12B4" w:rsidRDefault="00AC12B4">
            <w:pPr>
              <w:rPr>
                <w:sz w:val="24"/>
                <w:szCs w:val="24"/>
              </w:rPr>
            </w:pPr>
          </w:p>
        </w:tc>
      </w:tr>
      <w:tr w:rsidR="00AC12B4">
        <w:trPr>
          <w:trHeight w:val="6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Famille</w:t>
            </w:r>
          </w:p>
        </w:tc>
        <w:tc>
          <w:tcPr>
            <w:tcW w:w="700" w:type="dxa"/>
            <w:vAlign w:val="bottom"/>
          </w:tcPr>
          <w:p w:rsidR="00AC12B4" w:rsidRDefault="00C27636">
            <w:pPr>
              <w:jc w:val="center"/>
              <w:rPr>
                <w:sz w:val="20"/>
                <w:szCs w:val="20"/>
              </w:rPr>
            </w:pPr>
            <w:r>
              <w:rPr>
                <w:rFonts w:ascii="Calibri" w:eastAsia="Calibri" w:hAnsi="Calibri" w:cs="Calibri"/>
                <w:w w:val="98"/>
                <w:sz w:val="20"/>
                <w:szCs w:val="20"/>
              </w:rPr>
              <w:t>11089</w:t>
            </w:r>
          </w:p>
        </w:tc>
        <w:tc>
          <w:tcPr>
            <w:tcW w:w="1000" w:type="dxa"/>
            <w:vAlign w:val="bottom"/>
          </w:tcPr>
          <w:p w:rsidR="00AC12B4" w:rsidRDefault="00AC12B4">
            <w:pPr>
              <w:rPr>
                <w:sz w:val="24"/>
                <w:szCs w:val="24"/>
              </w:rPr>
            </w:pPr>
          </w:p>
        </w:tc>
        <w:tc>
          <w:tcPr>
            <w:tcW w:w="800" w:type="dxa"/>
            <w:vAlign w:val="bottom"/>
          </w:tcPr>
          <w:p w:rsidR="00AC12B4" w:rsidRDefault="00C27636">
            <w:pPr>
              <w:jc w:val="center"/>
              <w:rPr>
                <w:sz w:val="20"/>
                <w:szCs w:val="20"/>
              </w:rPr>
            </w:pPr>
            <w:r>
              <w:rPr>
                <w:rFonts w:ascii="Calibri" w:eastAsia="Calibri" w:hAnsi="Calibri" w:cs="Calibri"/>
                <w:w w:val="97"/>
                <w:sz w:val="20"/>
                <w:szCs w:val="20"/>
              </w:rPr>
              <w:t>&lt;0,001</w:t>
            </w:r>
          </w:p>
        </w:tc>
      </w:tr>
      <w:tr w:rsidR="00AC12B4">
        <w:trPr>
          <w:trHeight w:val="300"/>
        </w:trPr>
        <w:tc>
          <w:tcPr>
            <w:tcW w:w="2220" w:type="dxa"/>
            <w:gridSpan w:val="2"/>
            <w:vAlign w:val="bottom"/>
          </w:tcPr>
          <w:p w:rsidR="00AC12B4" w:rsidRDefault="00C27636">
            <w:pPr>
              <w:ind w:left="80"/>
              <w:rPr>
                <w:sz w:val="20"/>
                <w:szCs w:val="20"/>
              </w:rPr>
            </w:pPr>
            <w:r>
              <w:rPr>
                <w:rFonts w:ascii="Calibri" w:eastAsia="Calibri" w:hAnsi="Calibri" w:cs="Calibri"/>
                <w:color w:val="C9D11D"/>
                <w:sz w:val="20"/>
                <w:szCs w:val="20"/>
              </w:rPr>
              <w:lastRenderedPageBreak/>
              <w:t>2 parents biologiques</w:t>
            </w:r>
          </w:p>
        </w:tc>
        <w:tc>
          <w:tcPr>
            <w:tcW w:w="1000" w:type="dxa"/>
            <w:vAlign w:val="bottom"/>
          </w:tcPr>
          <w:p w:rsidR="00AC12B4" w:rsidRDefault="00C27636">
            <w:pPr>
              <w:jc w:val="center"/>
              <w:rPr>
                <w:sz w:val="20"/>
                <w:szCs w:val="20"/>
              </w:rPr>
            </w:pPr>
            <w:r>
              <w:rPr>
                <w:rFonts w:ascii="Calibri" w:eastAsia="Calibri" w:hAnsi="Calibri" w:cs="Calibri"/>
                <w:sz w:val="20"/>
                <w:szCs w:val="20"/>
              </w:rPr>
              <w:t>49,9</w:t>
            </w:r>
          </w:p>
        </w:tc>
        <w:tc>
          <w:tcPr>
            <w:tcW w:w="800" w:type="dxa"/>
            <w:vAlign w:val="bottom"/>
          </w:tcPr>
          <w:p w:rsidR="00AC12B4" w:rsidRDefault="00AC12B4">
            <w:pPr>
              <w:rPr>
                <w:sz w:val="24"/>
                <w:szCs w:val="24"/>
              </w:rPr>
            </w:pPr>
          </w:p>
        </w:tc>
      </w:tr>
      <w:tr w:rsidR="00AC12B4">
        <w:trPr>
          <w:trHeight w:val="300"/>
        </w:trPr>
        <w:tc>
          <w:tcPr>
            <w:tcW w:w="1520" w:type="dxa"/>
            <w:vAlign w:val="bottom"/>
          </w:tcPr>
          <w:p w:rsidR="00AC12B4" w:rsidRDefault="00C27636">
            <w:pPr>
              <w:ind w:left="80"/>
              <w:rPr>
                <w:sz w:val="20"/>
                <w:szCs w:val="20"/>
              </w:rPr>
            </w:pPr>
            <w:r>
              <w:rPr>
                <w:rFonts w:ascii="Calibri" w:eastAsia="Calibri" w:hAnsi="Calibri" w:cs="Calibri"/>
                <w:color w:val="C9D11D"/>
                <w:sz w:val="20"/>
                <w:szCs w:val="20"/>
              </w:rPr>
              <w:t>Autres</w:t>
            </w:r>
          </w:p>
        </w:tc>
        <w:tc>
          <w:tcPr>
            <w:tcW w:w="700" w:type="dxa"/>
            <w:vAlign w:val="bottom"/>
          </w:tcPr>
          <w:p w:rsidR="00AC12B4" w:rsidRDefault="00AC12B4">
            <w:pPr>
              <w:rPr>
                <w:sz w:val="24"/>
                <w:szCs w:val="24"/>
              </w:rPr>
            </w:pPr>
          </w:p>
        </w:tc>
        <w:tc>
          <w:tcPr>
            <w:tcW w:w="1000" w:type="dxa"/>
            <w:vAlign w:val="bottom"/>
          </w:tcPr>
          <w:p w:rsidR="00AC12B4" w:rsidRDefault="00C27636">
            <w:pPr>
              <w:ind w:right="340"/>
              <w:jc w:val="right"/>
              <w:rPr>
                <w:sz w:val="20"/>
                <w:szCs w:val="20"/>
              </w:rPr>
            </w:pPr>
            <w:r>
              <w:rPr>
                <w:rFonts w:ascii="Calibri" w:eastAsia="Calibri" w:hAnsi="Calibri" w:cs="Calibri"/>
                <w:sz w:val="20"/>
                <w:szCs w:val="20"/>
              </w:rPr>
              <w:t>60,5</w:t>
            </w:r>
          </w:p>
        </w:tc>
        <w:tc>
          <w:tcPr>
            <w:tcW w:w="80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62496" behindDoc="1" locked="0" layoutInCell="0" allowOverlap="1">
                <wp:simplePos x="0" y="0"/>
                <wp:positionH relativeFrom="column">
                  <wp:posOffset>-7620</wp:posOffset>
                </wp:positionH>
                <wp:positionV relativeFrom="paragraph">
                  <wp:posOffset>7620</wp:posOffset>
                </wp:positionV>
                <wp:extent cx="2559050" cy="0"/>
                <wp:effectExtent l="0" t="0" r="0" b="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9050" cy="4763"/>
                        </a:xfrm>
                        <a:prstGeom prst="line">
                          <a:avLst/>
                        </a:prstGeom>
                        <a:solidFill>
                          <a:srgbClr val="FFFFFF"/>
                        </a:solidFill>
                        <a:ln w="6095">
                          <a:solidFill>
                            <a:srgbClr val="C9D11D"/>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999pt,0.6pt" to="200.9pt,0.6pt" o:allowincell="f" strokecolor="#C9D11D" strokeweight="0.4799pt"/>
            </w:pict>
          </mc:Fallback>
        </mc:AlternateContent>
      </w:r>
    </w:p>
    <w:p w:rsidR="00AC12B4" w:rsidRDefault="00AC12B4">
      <w:pPr>
        <w:spacing w:line="32" w:lineRule="exact"/>
        <w:rPr>
          <w:sz w:val="20"/>
          <w:szCs w:val="20"/>
        </w:rPr>
      </w:pPr>
    </w:p>
    <w:p w:rsidR="00AC12B4" w:rsidRPr="00C27636" w:rsidRDefault="00C27636">
      <w:pPr>
        <w:spacing w:line="225" w:lineRule="auto"/>
        <w:ind w:left="80" w:right="80"/>
        <w:jc w:val="both"/>
        <w:rPr>
          <w:sz w:val="20"/>
          <w:szCs w:val="20"/>
          <w:lang w:val="fr-BE"/>
        </w:rPr>
      </w:pPr>
      <w:r w:rsidRPr="00C27636">
        <w:rPr>
          <w:rFonts w:ascii="Calibri" w:eastAsia="Calibri" w:hAnsi="Calibri" w:cs="Calibri"/>
          <w:b/>
          <w:bCs/>
          <w:color w:val="4F81BD"/>
          <w:sz w:val="18"/>
          <w:szCs w:val="18"/>
          <w:lang w:val="fr-BE"/>
        </w:rPr>
        <w:t>Table 5. Facteurs associés à l’expérimentation de l’ivresse parmi les jeunes qui ont déjà consommé de l’alcool au cours de leur vie, HBSC 2014.</w:t>
      </w:r>
    </w:p>
    <w:p w:rsidR="00AC12B4" w:rsidRPr="00C27636" w:rsidRDefault="00AC12B4">
      <w:pPr>
        <w:spacing w:line="205" w:lineRule="exact"/>
        <w:rPr>
          <w:sz w:val="20"/>
          <w:szCs w:val="20"/>
          <w:lang w:val="fr-BE"/>
        </w:rPr>
      </w:pPr>
    </w:p>
    <w:p w:rsidR="00AC12B4" w:rsidRDefault="00C27636">
      <w:pPr>
        <w:numPr>
          <w:ilvl w:val="0"/>
          <w:numId w:val="135"/>
        </w:numPr>
        <w:tabs>
          <w:tab w:val="left" w:pos="800"/>
        </w:tabs>
        <w:ind w:left="800" w:hanging="368"/>
        <w:rPr>
          <w:rFonts w:ascii="Wingdings" w:eastAsia="Wingdings" w:hAnsi="Wingdings" w:cs="Wingdings"/>
          <w:color w:val="C9D11D"/>
        </w:rPr>
      </w:pPr>
      <w:r>
        <w:rPr>
          <w:rFonts w:ascii="Cambria" w:eastAsia="Cambria" w:hAnsi="Cambria" w:cs="Cambria"/>
          <w:i/>
          <w:iCs/>
          <w:color w:val="C9D11D"/>
        </w:rPr>
        <w:t>Relation sexuelle</w:t>
      </w:r>
    </w:p>
    <w:p w:rsidR="00AC12B4" w:rsidRDefault="00AC12B4">
      <w:pPr>
        <w:spacing w:line="199" w:lineRule="exact"/>
        <w:rPr>
          <w:sz w:val="20"/>
          <w:szCs w:val="20"/>
        </w:rPr>
      </w:pPr>
    </w:p>
    <w:p w:rsidR="00AC12B4" w:rsidRPr="00C27636" w:rsidRDefault="00C27636">
      <w:pPr>
        <w:spacing w:line="235" w:lineRule="auto"/>
        <w:ind w:left="80" w:right="60"/>
        <w:jc w:val="both"/>
        <w:rPr>
          <w:sz w:val="20"/>
          <w:szCs w:val="20"/>
          <w:lang w:val="fr-BE"/>
        </w:rPr>
      </w:pPr>
      <w:r w:rsidRPr="00C27636">
        <w:rPr>
          <w:rFonts w:ascii="Calibri" w:eastAsia="Calibri" w:hAnsi="Calibri" w:cs="Calibri"/>
          <w:lang w:val="fr-BE"/>
        </w:rPr>
        <w:t xml:space="preserve">Parmi les jeunes de 15 à 19 ans, près de 4 jeunes sur 10 (38,4%) rapportent qu'ils ont déjà </w:t>
      </w:r>
      <w:r w:rsidRPr="00C27636">
        <w:rPr>
          <w:rFonts w:ascii="Calibri" w:eastAsia="Calibri" w:hAnsi="Calibri" w:cs="Calibri"/>
          <w:lang w:val="fr-BE"/>
        </w:rPr>
        <w:t xml:space="preserve">eu une relation sexuelle. Cette proportion est peut-être un peu sous-estimée dans la mesure où en Fédération Wallonie-Bruxelles, les jeunes de 15-19 ans inscrits dans l'enseignement secondaire inférieur n' ont pas eu accès aux questions relatives à la vie </w:t>
      </w:r>
      <w:r w:rsidRPr="00C27636">
        <w:rPr>
          <w:rFonts w:ascii="Calibri" w:eastAsia="Calibri" w:hAnsi="Calibri" w:cs="Calibri"/>
          <w:lang w:val="fr-BE"/>
        </w:rPr>
        <w:t>affective et sexuelle.</w:t>
      </w:r>
    </w:p>
    <w:p w:rsidR="00AC12B4" w:rsidRPr="00C27636" w:rsidRDefault="00AC12B4">
      <w:pPr>
        <w:spacing w:line="173" w:lineRule="exact"/>
        <w:rPr>
          <w:sz w:val="20"/>
          <w:szCs w:val="20"/>
          <w:lang w:val="fr-BE"/>
        </w:rPr>
      </w:pPr>
    </w:p>
    <w:p w:rsidR="00AC12B4" w:rsidRPr="00C27636" w:rsidRDefault="00C27636">
      <w:pPr>
        <w:spacing w:line="224" w:lineRule="auto"/>
        <w:ind w:left="80" w:right="60"/>
        <w:jc w:val="both"/>
        <w:rPr>
          <w:sz w:val="20"/>
          <w:szCs w:val="20"/>
          <w:lang w:val="fr-BE"/>
        </w:rPr>
      </w:pPr>
      <w:r w:rsidRPr="00C27636">
        <w:rPr>
          <w:rFonts w:ascii="Calibri" w:eastAsia="Calibri" w:hAnsi="Calibri" w:cs="Calibri"/>
          <w:lang w:val="fr-BE"/>
        </w:rPr>
        <w:t>La proportion de jeunes qui ont déjà eu un rapport sexuel ne varie pas entre les garçons et les filles.</w:t>
      </w:r>
    </w:p>
    <w:p w:rsidR="00AC12B4" w:rsidRPr="00C27636" w:rsidRDefault="00AC12B4">
      <w:pPr>
        <w:spacing w:line="172" w:lineRule="exact"/>
        <w:rPr>
          <w:sz w:val="20"/>
          <w:szCs w:val="20"/>
          <w:lang w:val="fr-BE"/>
        </w:rPr>
      </w:pPr>
    </w:p>
    <w:p w:rsidR="00AC12B4" w:rsidRPr="00C27636" w:rsidRDefault="00C27636">
      <w:pPr>
        <w:spacing w:line="225" w:lineRule="auto"/>
        <w:ind w:left="80" w:right="80"/>
        <w:jc w:val="both"/>
        <w:rPr>
          <w:sz w:val="20"/>
          <w:szCs w:val="20"/>
          <w:lang w:val="fr-BE"/>
        </w:rPr>
      </w:pPr>
      <w:r w:rsidRPr="00C27636">
        <w:rPr>
          <w:rFonts w:ascii="Calibri" w:eastAsia="Calibri" w:hAnsi="Calibri" w:cs="Calibri"/>
          <w:lang w:val="fr-BE"/>
        </w:rPr>
        <w:t>Elle est 2,5 fois plus élevée parmi les jeunes de 17-19 ans par rapport aux jeunes de 15-16 ans.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63520"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6" w:bottom="659" w:left="1440" w:header="0" w:footer="0" w:gutter="0"/>
          <w:cols w:num="3" w:space="720" w:equalWidth="0">
            <w:col w:w="4960" w:space="120"/>
            <w:col w:w="4020" w:space="699"/>
            <w:col w:w="342"/>
          </w:cols>
        </w:sectPr>
      </w:pPr>
    </w:p>
    <w:p w:rsidR="00AC12B4" w:rsidRPr="00C27636" w:rsidRDefault="00C27636">
      <w:pPr>
        <w:spacing w:line="200" w:lineRule="exact"/>
        <w:rPr>
          <w:sz w:val="20"/>
          <w:szCs w:val="20"/>
          <w:lang w:val="fr-BE"/>
        </w:rPr>
      </w:pPr>
      <w:bookmarkStart w:id="91" w:name="page92"/>
      <w:bookmarkEnd w:id="91"/>
      <w:r>
        <w:rPr>
          <w:noProof/>
          <w:sz w:val="20"/>
          <w:szCs w:val="20"/>
        </w:rPr>
        <w:lastRenderedPageBreak/>
        <w:drawing>
          <wp:anchor distT="0" distB="0" distL="114300" distR="114300" simplePos="0" relativeHeight="251564544" behindDoc="1" locked="0" layoutInCell="0" allowOverlap="1">
            <wp:simplePos x="0" y="0"/>
            <wp:positionH relativeFrom="page">
              <wp:posOffset>0</wp:posOffset>
            </wp:positionH>
            <wp:positionV relativeFrom="page">
              <wp:posOffset>0</wp:posOffset>
            </wp:positionV>
            <wp:extent cx="810895" cy="1090866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40">
                      <a:clrChange>
                        <a:clrFrom>
                          <a:srgbClr val="FFFFFF"/>
                        </a:clrFrom>
                        <a:clrTo>
                          <a:srgbClr val="FFFFFF">
                            <a:alpha val="0"/>
                          </a:srgbClr>
                        </a:clrTo>
                      </a:clrChange>
                      <a:extLst/>
                    </a:blip>
                    <a:srcRect/>
                    <a:stretch>
                      <a:fillRect/>
                    </a:stretch>
                  </pic:blipFill>
                  <pic:spPr bwMode="auto">
                    <a:xfrm>
                      <a:off x="0" y="0"/>
                      <a:ext cx="810895" cy="1090866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29" w:lineRule="auto"/>
        <w:ind w:left="60" w:right="460"/>
        <w:jc w:val="both"/>
        <w:rPr>
          <w:sz w:val="20"/>
          <w:szCs w:val="20"/>
          <w:lang w:val="fr-BE"/>
        </w:rPr>
      </w:pPr>
      <w:r w:rsidRPr="00C27636">
        <w:rPr>
          <w:rFonts w:ascii="Calibri" w:eastAsia="Calibri" w:hAnsi="Calibri" w:cs="Calibri"/>
          <w:lang w:val="fr-BE"/>
        </w:rPr>
        <w:t xml:space="preserve">Cette proportion diminue lorsque le niveau d'aisance matérielle augmente et elle est </w:t>
      </w:r>
      <w:r w:rsidRPr="00C27636">
        <w:rPr>
          <w:rFonts w:ascii="Calibri" w:eastAsia="Calibri" w:hAnsi="Calibri" w:cs="Calibri"/>
          <w:lang w:val="fr-BE"/>
        </w:rPr>
        <w:t>plus élevée parmi les jeunes qui ne vivent pas avec leurs deux parents.</w:t>
      </w:r>
    </w:p>
    <w:p w:rsidR="00AC12B4" w:rsidRPr="00C27636" w:rsidRDefault="00AC12B4">
      <w:pPr>
        <w:spacing w:line="11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1380"/>
        <w:gridCol w:w="920"/>
        <w:gridCol w:w="940"/>
        <w:gridCol w:w="760"/>
      </w:tblGrid>
      <w:tr w:rsidR="00AC12B4">
        <w:trPr>
          <w:trHeight w:val="269"/>
        </w:trPr>
        <w:tc>
          <w:tcPr>
            <w:tcW w:w="1380" w:type="dxa"/>
            <w:vAlign w:val="bottom"/>
          </w:tcPr>
          <w:p w:rsidR="00AC12B4" w:rsidRPr="00C27636" w:rsidRDefault="00AC12B4">
            <w:pPr>
              <w:rPr>
                <w:sz w:val="23"/>
                <w:szCs w:val="23"/>
                <w:lang w:val="fr-BE"/>
              </w:rPr>
            </w:pPr>
          </w:p>
        </w:tc>
        <w:tc>
          <w:tcPr>
            <w:tcW w:w="920" w:type="dxa"/>
            <w:vAlign w:val="bottom"/>
          </w:tcPr>
          <w:p w:rsidR="00AC12B4" w:rsidRPr="00C27636" w:rsidRDefault="00AC12B4">
            <w:pPr>
              <w:rPr>
                <w:sz w:val="23"/>
                <w:szCs w:val="23"/>
                <w:lang w:val="fr-BE"/>
              </w:rPr>
            </w:pPr>
          </w:p>
        </w:tc>
        <w:tc>
          <w:tcPr>
            <w:tcW w:w="940" w:type="dxa"/>
            <w:vAlign w:val="bottom"/>
          </w:tcPr>
          <w:p w:rsidR="00AC12B4" w:rsidRDefault="00C27636">
            <w:pPr>
              <w:ind w:left="80"/>
              <w:rPr>
                <w:sz w:val="20"/>
                <w:szCs w:val="20"/>
              </w:rPr>
            </w:pPr>
            <w:r>
              <w:rPr>
                <w:rFonts w:ascii="Calibri" w:eastAsia="Calibri" w:hAnsi="Calibri" w:cs="Calibri"/>
                <w:color w:val="C9D11D"/>
              </w:rPr>
              <w:t>Relation</w:t>
            </w:r>
          </w:p>
        </w:tc>
        <w:tc>
          <w:tcPr>
            <w:tcW w:w="760" w:type="dxa"/>
            <w:vAlign w:val="bottom"/>
          </w:tcPr>
          <w:p w:rsidR="00AC12B4" w:rsidRDefault="00AC12B4">
            <w:pPr>
              <w:rPr>
                <w:sz w:val="23"/>
                <w:szCs w:val="23"/>
              </w:rPr>
            </w:pPr>
          </w:p>
        </w:tc>
      </w:tr>
      <w:tr w:rsidR="00AC12B4">
        <w:trPr>
          <w:trHeight w:val="269"/>
        </w:trPr>
        <w:tc>
          <w:tcPr>
            <w:tcW w:w="1380" w:type="dxa"/>
            <w:vAlign w:val="bottom"/>
          </w:tcPr>
          <w:p w:rsidR="00AC12B4" w:rsidRDefault="00AC12B4">
            <w:pPr>
              <w:rPr>
                <w:sz w:val="23"/>
                <w:szCs w:val="23"/>
              </w:rPr>
            </w:pPr>
          </w:p>
        </w:tc>
        <w:tc>
          <w:tcPr>
            <w:tcW w:w="920" w:type="dxa"/>
            <w:vAlign w:val="bottom"/>
          </w:tcPr>
          <w:p w:rsidR="00AC12B4" w:rsidRDefault="00AC12B4">
            <w:pPr>
              <w:rPr>
                <w:sz w:val="23"/>
                <w:szCs w:val="23"/>
              </w:rPr>
            </w:pPr>
          </w:p>
        </w:tc>
        <w:tc>
          <w:tcPr>
            <w:tcW w:w="940" w:type="dxa"/>
            <w:vAlign w:val="bottom"/>
          </w:tcPr>
          <w:p w:rsidR="00AC12B4" w:rsidRDefault="00C27636">
            <w:pPr>
              <w:ind w:left="80"/>
              <w:rPr>
                <w:sz w:val="20"/>
                <w:szCs w:val="20"/>
              </w:rPr>
            </w:pPr>
            <w:r>
              <w:rPr>
                <w:rFonts w:ascii="Calibri" w:eastAsia="Calibri" w:hAnsi="Calibri" w:cs="Calibri"/>
                <w:color w:val="C9D11D"/>
              </w:rPr>
              <w:t>sexuelle</w:t>
            </w:r>
          </w:p>
        </w:tc>
        <w:tc>
          <w:tcPr>
            <w:tcW w:w="760" w:type="dxa"/>
            <w:vAlign w:val="bottom"/>
          </w:tcPr>
          <w:p w:rsidR="00AC12B4" w:rsidRDefault="00AC12B4">
            <w:pPr>
              <w:rPr>
                <w:sz w:val="23"/>
                <w:szCs w:val="23"/>
              </w:rPr>
            </w:pPr>
          </w:p>
        </w:tc>
      </w:tr>
      <w:tr w:rsidR="00AC12B4">
        <w:trPr>
          <w:trHeight w:val="273"/>
        </w:trPr>
        <w:tc>
          <w:tcPr>
            <w:tcW w:w="1380" w:type="dxa"/>
            <w:tcBorders>
              <w:bottom w:val="single" w:sz="8" w:space="0" w:color="C9D11D"/>
            </w:tcBorders>
            <w:vAlign w:val="bottom"/>
          </w:tcPr>
          <w:p w:rsidR="00AC12B4" w:rsidRDefault="00AC12B4">
            <w:pPr>
              <w:rPr>
                <w:sz w:val="23"/>
                <w:szCs w:val="23"/>
              </w:rPr>
            </w:pPr>
          </w:p>
        </w:tc>
        <w:tc>
          <w:tcPr>
            <w:tcW w:w="920" w:type="dxa"/>
            <w:tcBorders>
              <w:bottom w:val="single" w:sz="8" w:space="0" w:color="C9D11D"/>
            </w:tcBorders>
            <w:vAlign w:val="bottom"/>
          </w:tcPr>
          <w:p w:rsidR="00AC12B4" w:rsidRDefault="00C27636">
            <w:pPr>
              <w:ind w:right="150"/>
              <w:jc w:val="right"/>
              <w:rPr>
                <w:sz w:val="20"/>
                <w:szCs w:val="20"/>
              </w:rPr>
            </w:pPr>
            <w:r>
              <w:rPr>
                <w:rFonts w:ascii="Calibri" w:eastAsia="Calibri" w:hAnsi="Calibri" w:cs="Calibri"/>
                <w:color w:val="C9D11D"/>
              </w:rPr>
              <w:t>N</w:t>
            </w:r>
          </w:p>
        </w:tc>
        <w:tc>
          <w:tcPr>
            <w:tcW w:w="940" w:type="dxa"/>
            <w:tcBorders>
              <w:bottom w:val="single" w:sz="8" w:space="0" w:color="C9D11D"/>
            </w:tcBorders>
            <w:vAlign w:val="bottom"/>
          </w:tcPr>
          <w:p w:rsidR="00AC12B4" w:rsidRDefault="00C27636">
            <w:pPr>
              <w:ind w:left="80"/>
              <w:rPr>
                <w:sz w:val="20"/>
                <w:szCs w:val="20"/>
              </w:rPr>
            </w:pPr>
            <w:r>
              <w:rPr>
                <w:rFonts w:ascii="Calibri" w:eastAsia="Calibri" w:hAnsi="Calibri" w:cs="Calibri"/>
                <w:color w:val="C9D11D"/>
              </w:rPr>
              <w:t>(% oui)</w:t>
            </w:r>
          </w:p>
        </w:tc>
        <w:tc>
          <w:tcPr>
            <w:tcW w:w="760" w:type="dxa"/>
            <w:tcBorders>
              <w:bottom w:val="single" w:sz="8" w:space="0" w:color="C9D11D"/>
            </w:tcBorders>
            <w:vAlign w:val="bottom"/>
          </w:tcPr>
          <w:p w:rsidR="00AC12B4" w:rsidRDefault="00C27636">
            <w:pPr>
              <w:ind w:right="210"/>
              <w:jc w:val="right"/>
              <w:rPr>
                <w:sz w:val="20"/>
                <w:szCs w:val="20"/>
              </w:rPr>
            </w:pPr>
            <w:r>
              <w:rPr>
                <w:rFonts w:ascii="Calibri" w:eastAsia="Calibri" w:hAnsi="Calibri" w:cs="Calibri"/>
                <w:color w:val="C9D11D"/>
              </w:rPr>
              <w:t>p</w:t>
            </w:r>
          </w:p>
        </w:tc>
      </w:tr>
      <w:tr w:rsidR="00AC12B4">
        <w:trPr>
          <w:trHeight w:val="285"/>
        </w:trPr>
        <w:tc>
          <w:tcPr>
            <w:tcW w:w="1380" w:type="dxa"/>
            <w:vAlign w:val="bottom"/>
          </w:tcPr>
          <w:p w:rsidR="00AC12B4" w:rsidRDefault="00C27636">
            <w:pPr>
              <w:ind w:left="60"/>
              <w:rPr>
                <w:sz w:val="20"/>
                <w:szCs w:val="20"/>
              </w:rPr>
            </w:pPr>
            <w:r>
              <w:rPr>
                <w:rFonts w:ascii="Calibri" w:eastAsia="Calibri" w:hAnsi="Calibri" w:cs="Calibri"/>
                <w:color w:val="C9D11D"/>
              </w:rPr>
              <w:t>Genre</w:t>
            </w:r>
          </w:p>
        </w:tc>
        <w:tc>
          <w:tcPr>
            <w:tcW w:w="920" w:type="dxa"/>
            <w:vAlign w:val="bottom"/>
          </w:tcPr>
          <w:p w:rsidR="00AC12B4" w:rsidRDefault="00C27636">
            <w:pPr>
              <w:jc w:val="right"/>
              <w:rPr>
                <w:sz w:val="20"/>
                <w:szCs w:val="20"/>
              </w:rPr>
            </w:pPr>
            <w:r>
              <w:rPr>
                <w:rFonts w:ascii="Calibri" w:eastAsia="Calibri" w:hAnsi="Calibri" w:cs="Calibri"/>
              </w:rPr>
              <w:t>8861</w:t>
            </w:r>
          </w:p>
        </w:tc>
        <w:tc>
          <w:tcPr>
            <w:tcW w:w="940" w:type="dxa"/>
            <w:vAlign w:val="bottom"/>
          </w:tcPr>
          <w:p w:rsidR="00AC12B4" w:rsidRDefault="00AC12B4">
            <w:pPr>
              <w:rPr>
                <w:sz w:val="24"/>
                <w:szCs w:val="24"/>
              </w:rPr>
            </w:pPr>
          </w:p>
        </w:tc>
        <w:tc>
          <w:tcPr>
            <w:tcW w:w="760" w:type="dxa"/>
            <w:vAlign w:val="bottom"/>
          </w:tcPr>
          <w:p w:rsidR="00AC12B4" w:rsidRDefault="00C27636">
            <w:pPr>
              <w:jc w:val="right"/>
              <w:rPr>
                <w:sz w:val="20"/>
                <w:szCs w:val="20"/>
              </w:rPr>
            </w:pPr>
            <w:r>
              <w:rPr>
                <w:rFonts w:ascii="Calibri" w:eastAsia="Calibri" w:hAnsi="Calibri" w:cs="Calibri"/>
              </w:rPr>
              <w:t>n.s.</w:t>
            </w:r>
          </w:p>
        </w:tc>
      </w:tr>
      <w:tr w:rsidR="00AC12B4">
        <w:trPr>
          <w:trHeight w:val="300"/>
        </w:trPr>
        <w:tc>
          <w:tcPr>
            <w:tcW w:w="1380" w:type="dxa"/>
            <w:vAlign w:val="bottom"/>
          </w:tcPr>
          <w:p w:rsidR="00AC12B4" w:rsidRDefault="00C27636">
            <w:pPr>
              <w:ind w:left="60"/>
              <w:rPr>
                <w:sz w:val="20"/>
                <w:szCs w:val="20"/>
              </w:rPr>
            </w:pPr>
            <w:r>
              <w:rPr>
                <w:rFonts w:ascii="Calibri" w:eastAsia="Calibri" w:hAnsi="Calibri" w:cs="Calibri"/>
                <w:color w:val="C9D11D"/>
              </w:rPr>
              <w:t>Garçons</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38,7</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ind w:left="60"/>
              <w:rPr>
                <w:sz w:val="20"/>
                <w:szCs w:val="20"/>
              </w:rPr>
            </w:pPr>
            <w:r>
              <w:rPr>
                <w:rFonts w:ascii="Calibri" w:eastAsia="Calibri" w:hAnsi="Calibri" w:cs="Calibri"/>
                <w:color w:val="C9D11D"/>
              </w:rPr>
              <w:t>Filles</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38,1</w:t>
            </w:r>
          </w:p>
        </w:tc>
        <w:tc>
          <w:tcPr>
            <w:tcW w:w="760" w:type="dxa"/>
            <w:vAlign w:val="bottom"/>
          </w:tcPr>
          <w:p w:rsidR="00AC12B4" w:rsidRDefault="00AC12B4">
            <w:pPr>
              <w:rPr>
                <w:sz w:val="24"/>
                <w:szCs w:val="24"/>
              </w:rPr>
            </w:pPr>
          </w:p>
        </w:tc>
      </w:tr>
      <w:tr w:rsidR="00AC12B4">
        <w:trPr>
          <w:trHeight w:val="600"/>
        </w:trPr>
        <w:tc>
          <w:tcPr>
            <w:tcW w:w="1380" w:type="dxa"/>
            <w:vAlign w:val="bottom"/>
          </w:tcPr>
          <w:p w:rsidR="00AC12B4" w:rsidRDefault="00C27636">
            <w:pPr>
              <w:ind w:left="60"/>
              <w:rPr>
                <w:sz w:val="20"/>
                <w:szCs w:val="20"/>
              </w:rPr>
            </w:pPr>
            <w:r>
              <w:rPr>
                <w:rFonts w:ascii="Calibri" w:eastAsia="Calibri" w:hAnsi="Calibri" w:cs="Calibri"/>
                <w:color w:val="C9D11D"/>
              </w:rPr>
              <w:t>Age</w:t>
            </w:r>
          </w:p>
        </w:tc>
        <w:tc>
          <w:tcPr>
            <w:tcW w:w="920" w:type="dxa"/>
            <w:vAlign w:val="bottom"/>
          </w:tcPr>
          <w:p w:rsidR="00AC12B4" w:rsidRDefault="00C27636">
            <w:pPr>
              <w:jc w:val="right"/>
              <w:rPr>
                <w:sz w:val="20"/>
                <w:szCs w:val="20"/>
              </w:rPr>
            </w:pPr>
            <w:r>
              <w:rPr>
                <w:rFonts w:ascii="Calibri" w:eastAsia="Calibri" w:hAnsi="Calibri" w:cs="Calibri"/>
              </w:rPr>
              <w:t>8861</w:t>
            </w:r>
          </w:p>
        </w:tc>
        <w:tc>
          <w:tcPr>
            <w:tcW w:w="940" w:type="dxa"/>
            <w:vAlign w:val="bottom"/>
          </w:tcPr>
          <w:p w:rsidR="00AC12B4" w:rsidRDefault="00AC12B4">
            <w:pPr>
              <w:rPr>
                <w:sz w:val="24"/>
                <w:szCs w:val="24"/>
              </w:rPr>
            </w:pPr>
          </w:p>
        </w:tc>
        <w:tc>
          <w:tcPr>
            <w:tcW w:w="760" w:type="dxa"/>
            <w:vAlign w:val="bottom"/>
          </w:tcPr>
          <w:p w:rsidR="00AC12B4" w:rsidRDefault="00C27636">
            <w:pPr>
              <w:jc w:val="right"/>
              <w:rPr>
                <w:sz w:val="20"/>
                <w:szCs w:val="20"/>
              </w:rPr>
            </w:pPr>
            <w:r>
              <w:rPr>
                <w:rFonts w:ascii="Calibri" w:eastAsia="Calibri" w:hAnsi="Calibri" w:cs="Calibri"/>
              </w:rPr>
              <w:t>&lt;0,001</w:t>
            </w:r>
          </w:p>
        </w:tc>
      </w:tr>
      <w:tr w:rsidR="00AC12B4">
        <w:trPr>
          <w:trHeight w:val="301"/>
        </w:trPr>
        <w:tc>
          <w:tcPr>
            <w:tcW w:w="1380" w:type="dxa"/>
            <w:vAlign w:val="bottom"/>
          </w:tcPr>
          <w:p w:rsidR="00AC12B4" w:rsidRDefault="00C27636">
            <w:pPr>
              <w:ind w:left="60"/>
              <w:rPr>
                <w:sz w:val="20"/>
                <w:szCs w:val="20"/>
              </w:rPr>
            </w:pPr>
            <w:r>
              <w:rPr>
                <w:rFonts w:ascii="Calibri" w:eastAsia="Calibri" w:hAnsi="Calibri" w:cs="Calibri"/>
                <w:color w:val="C9D11D"/>
              </w:rPr>
              <w:t>15-16 ans</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20,9</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ind w:left="60"/>
              <w:rPr>
                <w:sz w:val="20"/>
                <w:szCs w:val="20"/>
              </w:rPr>
            </w:pPr>
            <w:r>
              <w:rPr>
                <w:rFonts w:ascii="Calibri" w:eastAsia="Calibri" w:hAnsi="Calibri" w:cs="Calibri"/>
                <w:color w:val="C9D11D"/>
              </w:rPr>
              <w:t>17-19 ans</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53,5</w:t>
            </w:r>
          </w:p>
        </w:tc>
        <w:tc>
          <w:tcPr>
            <w:tcW w:w="760" w:type="dxa"/>
            <w:vAlign w:val="bottom"/>
          </w:tcPr>
          <w:p w:rsidR="00AC12B4" w:rsidRDefault="00AC12B4">
            <w:pPr>
              <w:rPr>
                <w:sz w:val="24"/>
                <w:szCs w:val="24"/>
              </w:rPr>
            </w:pPr>
          </w:p>
        </w:tc>
      </w:tr>
      <w:tr w:rsidR="00AC12B4">
        <w:trPr>
          <w:trHeight w:val="569"/>
        </w:trPr>
        <w:tc>
          <w:tcPr>
            <w:tcW w:w="1380" w:type="dxa"/>
            <w:vAlign w:val="bottom"/>
          </w:tcPr>
          <w:p w:rsidR="00AC12B4" w:rsidRDefault="00C27636">
            <w:pPr>
              <w:ind w:left="60"/>
              <w:rPr>
                <w:sz w:val="20"/>
                <w:szCs w:val="20"/>
              </w:rPr>
            </w:pPr>
            <w:r>
              <w:rPr>
                <w:rFonts w:ascii="Calibri" w:eastAsia="Calibri" w:hAnsi="Calibri" w:cs="Calibri"/>
                <w:color w:val="C9D11D"/>
              </w:rPr>
              <w:t>Niveau</w:t>
            </w:r>
          </w:p>
        </w:tc>
        <w:tc>
          <w:tcPr>
            <w:tcW w:w="920" w:type="dxa"/>
            <w:vAlign w:val="bottom"/>
          </w:tcPr>
          <w:p w:rsidR="00AC12B4" w:rsidRDefault="00AC12B4">
            <w:pPr>
              <w:rPr>
                <w:sz w:val="24"/>
                <w:szCs w:val="24"/>
              </w:rPr>
            </w:pPr>
          </w:p>
        </w:tc>
        <w:tc>
          <w:tcPr>
            <w:tcW w:w="940" w:type="dxa"/>
            <w:vAlign w:val="bottom"/>
          </w:tcPr>
          <w:p w:rsidR="00AC12B4" w:rsidRDefault="00AC12B4">
            <w:pPr>
              <w:rPr>
                <w:sz w:val="24"/>
                <w:szCs w:val="24"/>
              </w:rPr>
            </w:pPr>
          </w:p>
        </w:tc>
        <w:tc>
          <w:tcPr>
            <w:tcW w:w="760" w:type="dxa"/>
            <w:vAlign w:val="bottom"/>
          </w:tcPr>
          <w:p w:rsidR="00AC12B4" w:rsidRDefault="00AC12B4">
            <w:pPr>
              <w:rPr>
                <w:sz w:val="24"/>
                <w:szCs w:val="24"/>
              </w:rPr>
            </w:pPr>
          </w:p>
        </w:tc>
      </w:tr>
      <w:tr w:rsidR="00AC12B4">
        <w:trPr>
          <w:trHeight w:val="269"/>
        </w:trPr>
        <w:tc>
          <w:tcPr>
            <w:tcW w:w="1380" w:type="dxa"/>
            <w:vAlign w:val="bottom"/>
          </w:tcPr>
          <w:p w:rsidR="00AC12B4" w:rsidRDefault="00C27636">
            <w:pPr>
              <w:ind w:left="60"/>
              <w:rPr>
                <w:sz w:val="20"/>
                <w:szCs w:val="20"/>
              </w:rPr>
            </w:pPr>
            <w:r>
              <w:rPr>
                <w:rFonts w:ascii="Calibri" w:eastAsia="Calibri" w:hAnsi="Calibri" w:cs="Calibri"/>
                <w:color w:val="C9D11D"/>
              </w:rPr>
              <w:t>d'aisance</w:t>
            </w:r>
          </w:p>
        </w:tc>
        <w:tc>
          <w:tcPr>
            <w:tcW w:w="920" w:type="dxa"/>
            <w:vAlign w:val="bottom"/>
          </w:tcPr>
          <w:p w:rsidR="00AC12B4" w:rsidRDefault="00AC12B4">
            <w:pPr>
              <w:rPr>
                <w:sz w:val="23"/>
                <w:szCs w:val="23"/>
              </w:rPr>
            </w:pPr>
          </w:p>
        </w:tc>
        <w:tc>
          <w:tcPr>
            <w:tcW w:w="940" w:type="dxa"/>
            <w:vAlign w:val="bottom"/>
          </w:tcPr>
          <w:p w:rsidR="00AC12B4" w:rsidRDefault="00AC12B4">
            <w:pPr>
              <w:rPr>
                <w:sz w:val="23"/>
                <w:szCs w:val="23"/>
              </w:rPr>
            </w:pPr>
          </w:p>
        </w:tc>
        <w:tc>
          <w:tcPr>
            <w:tcW w:w="760" w:type="dxa"/>
            <w:vAlign w:val="bottom"/>
          </w:tcPr>
          <w:p w:rsidR="00AC12B4" w:rsidRDefault="00AC12B4">
            <w:pPr>
              <w:rPr>
                <w:sz w:val="23"/>
                <w:szCs w:val="23"/>
              </w:rPr>
            </w:pPr>
          </w:p>
        </w:tc>
      </w:tr>
      <w:tr w:rsidR="00AC12B4">
        <w:trPr>
          <w:trHeight w:val="269"/>
        </w:trPr>
        <w:tc>
          <w:tcPr>
            <w:tcW w:w="1380" w:type="dxa"/>
            <w:vAlign w:val="bottom"/>
          </w:tcPr>
          <w:p w:rsidR="00AC12B4" w:rsidRDefault="00C27636">
            <w:pPr>
              <w:ind w:left="60"/>
              <w:rPr>
                <w:sz w:val="20"/>
                <w:szCs w:val="20"/>
              </w:rPr>
            </w:pPr>
            <w:r>
              <w:rPr>
                <w:rFonts w:ascii="Calibri" w:eastAsia="Calibri" w:hAnsi="Calibri" w:cs="Calibri"/>
                <w:color w:val="C9D11D"/>
              </w:rPr>
              <w:t>matérielle</w:t>
            </w:r>
          </w:p>
        </w:tc>
        <w:tc>
          <w:tcPr>
            <w:tcW w:w="920" w:type="dxa"/>
            <w:vAlign w:val="bottom"/>
          </w:tcPr>
          <w:p w:rsidR="00AC12B4" w:rsidRDefault="00C27636">
            <w:pPr>
              <w:jc w:val="right"/>
              <w:rPr>
                <w:sz w:val="20"/>
                <w:szCs w:val="20"/>
              </w:rPr>
            </w:pPr>
            <w:r>
              <w:rPr>
                <w:rFonts w:ascii="Calibri" w:eastAsia="Calibri" w:hAnsi="Calibri" w:cs="Calibri"/>
              </w:rPr>
              <w:t>8467</w:t>
            </w:r>
          </w:p>
        </w:tc>
        <w:tc>
          <w:tcPr>
            <w:tcW w:w="940" w:type="dxa"/>
            <w:vAlign w:val="bottom"/>
          </w:tcPr>
          <w:p w:rsidR="00AC12B4" w:rsidRDefault="00AC12B4">
            <w:pPr>
              <w:rPr>
                <w:sz w:val="23"/>
                <w:szCs w:val="23"/>
              </w:rPr>
            </w:pPr>
          </w:p>
        </w:tc>
        <w:tc>
          <w:tcPr>
            <w:tcW w:w="760" w:type="dxa"/>
            <w:vAlign w:val="bottom"/>
          </w:tcPr>
          <w:p w:rsidR="00AC12B4" w:rsidRDefault="00C27636">
            <w:pPr>
              <w:jc w:val="right"/>
              <w:rPr>
                <w:sz w:val="20"/>
                <w:szCs w:val="20"/>
              </w:rPr>
            </w:pPr>
            <w:r>
              <w:rPr>
                <w:rFonts w:ascii="Calibri" w:eastAsia="Calibri" w:hAnsi="Calibri" w:cs="Calibri"/>
              </w:rPr>
              <w:t>&lt;0,001</w:t>
            </w:r>
          </w:p>
        </w:tc>
      </w:tr>
      <w:tr w:rsidR="00AC12B4">
        <w:trPr>
          <w:trHeight w:val="300"/>
        </w:trPr>
        <w:tc>
          <w:tcPr>
            <w:tcW w:w="1380" w:type="dxa"/>
            <w:vAlign w:val="bottom"/>
          </w:tcPr>
          <w:p w:rsidR="00AC12B4" w:rsidRDefault="00C27636">
            <w:pPr>
              <w:ind w:left="60"/>
              <w:rPr>
                <w:sz w:val="20"/>
                <w:szCs w:val="20"/>
              </w:rPr>
            </w:pPr>
            <w:r>
              <w:rPr>
                <w:rFonts w:ascii="Calibri" w:eastAsia="Calibri" w:hAnsi="Calibri" w:cs="Calibri"/>
                <w:color w:val="C9D11D"/>
              </w:rPr>
              <w:t>Faible</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43,5</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ind w:left="60"/>
              <w:rPr>
                <w:sz w:val="20"/>
                <w:szCs w:val="20"/>
              </w:rPr>
            </w:pPr>
            <w:r>
              <w:rPr>
                <w:rFonts w:ascii="Calibri" w:eastAsia="Calibri" w:hAnsi="Calibri" w:cs="Calibri"/>
                <w:color w:val="C9D11D"/>
              </w:rPr>
              <w:t>Moyen</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38,6</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ind w:left="60"/>
              <w:rPr>
                <w:sz w:val="20"/>
                <w:szCs w:val="20"/>
              </w:rPr>
            </w:pPr>
            <w:r>
              <w:rPr>
                <w:rFonts w:ascii="Calibri" w:eastAsia="Calibri" w:hAnsi="Calibri" w:cs="Calibri"/>
                <w:color w:val="C9D11D"/>
              </w:rPr>
              <w:t>Elevé</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35,4</w:t>
            </w:r>
          </w:p>
        </w:tc>
        <w:tc>
          <w:tcPr>
            <w:tcW w:w="760" w:type="dxa"/>
            <w:vAlign w:val="bottom"/>
          </w:tcPr>
          <w:p w:rsidR="00AC12B4" w:rsidRDefault="00AC12B4">
            <w:pPr>
              <w:rPr>
                <w:sz w:val="24"/>
                <w:szCs w:val="24"/>
              </w:rPr>
            </w:pPr>
          </w:p>
        </w:tc>
      </w:tr>
      <w:tr w:rsidR="00AC12B4">
        <w:trPr>
          <w:trHeight w:val="600"/>
        </w:trPr>
        <w:tc>
          <w:tcPr>
            <w:tcW w:w="1380" w:type="dxa"/>
            <w:vAlign w:val="bottom"/>
          </w:tcPr>
          <w:p w:rsidR="00AC12B4" w:rsidRDefault="00C27636">
            <w:pPr>
              <w:ind w:left="60"/>
              <w:rPr>
                <w:sz w:val="20"/>
                <w:szCs w:val="20"/>
              </w:rPr>
            </w:pPr>
            <w:r>
              <w:rPr>
                <w:rFonts w:ascii="Calibri" w:eastAsia="Calibri" w:hAnsi="Calibri" w:cs="Calibri"/>
                <w:color w:val="C9D11D"/>
              </w:rPr>
              <w:t>Famille</w:t>
            </w:r>
          </w:p>
        </w:tc>
        <w:tc>
          <w:tcPr>
            <w:tcW w:w="920" w:type="dxa"/>
            <w:vAlign w:val="bottom"/>
          </w:tcPr>
          <w:p w:rsidR="00AC12B4" w:rsidRDefault="00C27636">
            <w:pPr>
              <w:jc w:val="right"/>
              <w:rPr>
                <w:sz w:val="20"/>
                <w:szCs w:val="20"/>
              </w:rPr>
            </w:pPr>
            <w:r>
              <w:rPr>
                <w:rFonts w:ascii="Calibri" w:eastAsia="Calibri" w:hAnsi="Calibri" w:cs="Calibri"/>
              </w:rPr>
              <w:t>8821</w:t>
            </w:r>
          </w:p>
        </w:tc>
        <w:tc>
          <w:tcPr>
            <w:tcW w:w="940" w:type="dxa"/>
            <w:vAlign w:val="bottom"/>
          </w:tcPr>
          <w:p w:rsidR="00AC12B4" w:rsidRDefault="00AC12B4">
            <w:pPr>
              <w:rPr>
                <w:sz w:val="24"/>
                <w:szCs w:val="24"/>
              </w:rPr>
            </w:pPr>
          </w:p>
        </w:tc>
        <w:tc>
          <w:tcPr>
            <w:tcW w:w="760" w:type="dxa"/>
            <w:vAlign w:val="bottom"/>
          </w:tcPr>
          <w:p w:rsidR="00AC12B4" w:rsidRDefault="00C27636">
            <w:pPr>
              <w:jc w:val="right"/>
              <w:rPr>
                <w:sz w:val="20"/>
                <w:szCs w:val="20"/>
              </w:rPr>
            </w:pPr>
            <w:r>
              <w:rPr>
                <w:rFonts w:ascii="Calibri" w:eastAsia="Calibri" w:hAnsi="Calibri" w:cs="Calibri"/>
              </w:rPr>
              <w:t>&lt;0,001</w:t>
            </w:r>
          </w:p>
        </w:tc>
      </w:tr>
      <w:tr w:rsidR="00AC12B4">
        <w:trPr>
          <w:trHeight w:val="300"/>
        </w:trPr>
        <w:tc>
          <w:tcPr>
            <w:tcW w:w="2300" w:type="dxa"/>
            <w:gridSpan w:val="2"/>
            <w:vAlign w:val="bottom"/>
          </w:tcPr>
          <w:p w:rsidR="00AC12B4" w:rsidRDefault="00C27636">
            <w:pPr>
              <w:ind w:left="60"/>
              <w:rPr>
                <w:sz w:val="20"/>
                <w:szCs w:val="20"/>
              </w:rPr>
            </w:pPr>
            <w:r>
              <w:rPr>
                <w:rFonts w:ascii="Calibri" w:eastAsia="Calibri" w:hAnsi="Calibri" w:cs="Calibri"/>
                <w:color w:val="C9D11D"/>
              </w:rPr>
              <w:t>2 parents biologiques</w:t>
            </w:r>
          </w:p>
        </w:tc>
        <w:tc>
          <w:tcPr>
            <w:tcW w:w="940" w:type="dxa"/>
            <w:vAlign w:val="bottom"/>
          </w:tcPr>
          <w:p w:rsidR="00AC12B4" w:rsidRDefault="00C27636">
            <w:pPr>
              <w:jc w:val="right"/>
              <w:rPr>
                <w:sz w:val="20"/>
                <w:szCs w:val="20"/>
              </w:rPr>
            </w:pPr>
            <w:r>
              <w:rPr>
                <w:rFonts w:ascii="Calibri" w:eastAsia="Calibri" w:hAnsi="Calibri" w:cs="Calibri"/>
              </w:rPr>
              <w:t>32,8</w:t>
            </w:r>
          </w:p>
        </w:tc>
        <w:tc>
          <w:tcPr>
            <w:tcW w:w="760" w:type="dxa"/>
            <w:vAlign w:val="bottom"/>
          </w:tcPr>
          <w:p w:rsidR="00AC12B4" w:rsidRDefault="00AC12B4">
            <w:pPr>
              <w:rPr>
                <w:sz w:val="24"/>
                <w:szCs w:val="24"/>
              </w:rPr>
            </w:pPr>
          </w:p>
        </w:tc>
      </w:tr>
      <w:tr w:rsidR="00AC12B4">
        <w:trPr>
          <w:trHeight w:val="300"/>
        </w:trPr>
        <w:tc>
          <w:tcPr>
            <w:tcW w:w="1380" w:type="dxa"/>
            <w:vAlign w:val="bottom"/>
          </w:tcPr>
          <w:p w:rsidR="00AC12B4" w:rsidRDefault="00C27636">
            <w:pPr>
              <w:ind w:left="60"/>
              <w:rPr>
                <w:sz w:val="20"/>
                <w:szCs w:val="20"/>
              </w:rPr>
            </w:pPr>
            <w:r>
              <w:rPr>
                <w:rFonts w:ascii="Calibri" w:eastAsia="Calibri" w:hAnsi="Calibri" w:cs="Calibri"/>
                <w:color w:val="C9D11D"/>
              </w:rPr>
              <w:lastRenderedPageBreak/>
              <w:t>Autres</w:t>
            </w:r>
          </w:p>
        </w:tc>
        <w:tc>
          <w:tcPr>
            <w:tcW w:w="920" w:type="dxa"/>
            <w:vAlign w:val="bottom"/>
          </w:tcPr>
          <w:p w:rsidR="00AC12B4" w:rsidRDefault="00AC12B4">
            <w:pPr>
              <w:rPr>
                <w:sz w:val="24"/>
                <w:szCs w:val="24"/>
              </w:rPr>
            </w:pPr>
          </w:p>
        </w:tc>
        <w:tc>
          <w:tcPr>
            <w:tcW w:w="940" w:type="dxa"/>
            <w:vAlign w:val="bottom"/>
          </w:tcPr>
          <w:p w:rsidR="00AC12B4" w:rsidRDefault="00C27636">
            <w:pPr>
              <w:jc w:val="right"/>
              <w:rPr>
                <w:sz w:val="20"/>
                <w:szCs w:val="20"/>
              </w:rPr>
            </w:pPr>
            <w:r>
              <w:rPr>
                <w:rFonts w:ascii="Calibri" w:eastAsia="Calibri" w:hAnsi="Calibri" w:cs="Calibri"/>
              </w:rPr>
              <w:t>49,6</w:t>
            </w:r>
          </w:p>
        </w:tc>
        <w:tc>
          <w:tcPr>
            <w:tcW w:w="76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65568" behindDoc="1" locked="0" layoutInCell="0" allowOverlap="1">
                <wp:simplePos x="0" y="0"/>
                <wp:positionH relativeFrom="column">
                  <wp:posOffset>-14605</wp:posOffset>
                </wp:positionH>
                <wp:positionV relativeFrom="paragraph">
                  <wp:posOffset>8255</wp:posOffset>
                </wp:positionV>
                <wp:extent cx="2558415" cy="0"/>
                <wp:effectExtent l="0" t="0" r="0" b="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4763"/>
                        </a:xfrm>
                        <a:prstGeom prst="line">
                          <a:avLst/>
                        </a:prstGeom>
                        <a:solidFill>
                          <a:srgbClr val="FFFFFF"/>
                        </a:solidFill>
                        <a:ln w="6096">
                          <a:solidFill>
                            <a:srgbClr val="C9D11D"/>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65pt" to="200.3pt,0.65pt" o:allowincell="f" strokecolor="#C9D11D" strokeweight="0.48pt"/>
            </w:pict>
          </mc:Fallback>
        </mc:AlternateContent>
      </w:r>
    </w:p>
    <w:p w:rsidR="00AC12B4" w:rsidRDefault="00AC12B4">
      <w:pPr>
        <w:spacing w:line="34" w:lineRule="exact"/>
        <w:rPr>
          <w:sz w:val="20"/>
          <w:szCs w:val="20"/>
        </w:rPr>
      </w:pPr>
    </w:p>
    <w:p w:rsidR="00AC12B4" w:rsidRPr="00C27636" w:rsidRDefault="00C27636">
      <w:pPr>
        <w:spacing w:line="225" w:lineRule="auto"/>
        <w:ind w:left="60" w:right="460"/>
        <w:jc w:val="both"/>
        <w:rPr>
          <w:sz w:val="20"/>
          <w:szCs w:val="20"/>
          <w:lang w:val="fr-BE"/>
        </w:rPr>
      </w:pPr>
      <w:r w:rsidRPr="00C27636">
        <w:rPr>
          <w:rFonts w:ascii="Calibri" w:eastAsia="Calibri" w:hAnsi="Calibri" w:cs="Calibri"/>
          <w:b/>
          <w:bCs/>
          <w:color w:val="4F81BD"/>
          <w:sz w:val="18"/>
          <w:szCs w:val="18"/>
          <w:lang w:val="fr-BE"/>
        </w:rPr>
        <w:t>Table 6. Facteurs associés à l’expérimentation des relations sexuelles parmi les jeunes de 15-19 ans, HBSC 2014.</w:t>
      </w:r>
    </w:p>
    <w:p w:rsidR="00AC12B4" w:rsidRPr="00C27636" w:rsidRDefault="00AC12B4">
      <w:pPr>
        <w:spacing w:line="205" w:lineRule="exact"/>
        <w:rPr>
          <w:sz w:val="20"/>
          <w:szCs w:val="20"/>
          <w:lang w:val="fr-BE"/>
        </w:rPr>
      </w:pPr>
    </w:p>
    <w:p w:rsidR="00AC12B4" w:rsidRDefault="00C27636">
      <w:pPr>
        <w:numPr>
          <w:ilvl w:val="0"/>
          <w:numId w:val="136"/>
        </w:numPr>
        <w:tabs>
          <w:tab w:val="left" w:pos="780"/>
        </w:tabs>
        <w:ind w:left="780" w:hanging="360"/>
        <w:rPr>
          <w:rFonts w:ascii="Wingdings" w:eastAsia="Wingdings" w:hAnsi="Wingdings" w:cs="Wingdings"/>
          <w:color w:val="C9D11D"/>
        </w:rPr>
      </w:pPr>
      <w:r>
        <w:rPr>
          <w:rFonts w:ascii="Cambria" w:eastAsia="Cambria" w:hAnsi="Cambria" w:cs="Cambria"/>
          <w:i/>
          <w:iCs/>
          <w:color w:val="C9D11D"/>
        </w:rPr>
        <w:t xml:space="preserve">Utilisation du </w:t>
      </w:r>
      <w:r>
        <w:rPr>
          <w:rFonts w:ascii="Cambria" w:eastAsia="Cambria" w:hAnsi="Cambria" w:cs="Cambria"/>
          <w:i/>
          <w:iCs/>
          <w:color w:val="C9D11D"/>
        </w:rPr>
        <w:t>préservatif</w:t>
      </w:r>
    </w:p>
    <w:p w:rsidR="00AC12B4" w:rsidRDefault="00AC12B4">
      <w:pPr>
        <w:spacing w:line="202" w:lineRule="exact"/>
        <w:rPr>
          <w:sz w:val="20"/>
          <w:szCs w:val="20"/>
        </w:rPr>
      </w:pPr>
    </w:p>
    <w:p w:rsidR="00AC12B4" w:rsidRPr="00C27636" w:rsidRDefault="00C27636">
      <w:pPr>
        <w:spacing w:line="230" w:lineRule="auto"/>
        <w:ind w:left="60" w:right="460"/>
        <w:jc w:val="both"/>
        <w:rPr>
          <w:sz w:val="20"/>
          <w:szCs w:val="20"/>
          <w:lang w:val="fr-BE"/>
        </w:rPr>
      </w:pPr>
      <w:r w:rsidRPr="00C27636">
        <w:rPr>
          <w:rFonts w:ascii="Calibri" w:eastAsia="Calibri" w:hAnsi="Calibri" w:cs="Calibri"/>
          <w:lang w:val="fr-BE"/>
        </w:rPr>
        <w:t>Parmi les jeunes de 15-19 ans qui ont déjà eu un rapport sexuel, un jeune sur deux rapporte qu'il (ou sa/son partenaire) a utilisé le préservatif lors du dernier rapport sexuel.</w:t>
      </w:r>
    </w:p>
    <w:p w:rsidR="00AC12B4" w:rsidRPr="00C27636" w:rsidRDefault="00AC12B4">
      <w:pPr>
        <w:spacing w:line="175" w:lineRule="exact"/>
        <w:rPr>
          <w:sz w:val="20"/>
          <w:szCs w:val="20"/>
          <w:lang w:val="fr-BE"/>
        </w:rPr>
      </w:pPr>
    </w:p>
    <w:p w:rsidR="00AC12B4" w:rsidRPr="00C27636" w:rsidRDefault="00C27636">
      <w:pPr>
        <w:spacing w:line="235" w:lineRule="auto"/>
        <w:ind w:left="60" w:right="460"/>
        <w:jc w:val="both"/>
        <w:rPr>
          <w:sz w:val="20"/>
          <w:szCs w:val="20"/>
          <w:lang w:val="fr-BE"/>
        </w:rPr>
      </w:pPr>
      <w:r w:rsidRPr="00C27636">
        <w:rPr>
          <w:rFonts w:ascii="Calibri" w:eastAsia="Calibri" w:hAnsi="Calibri" w:cs="Calibri"/>
          <w:lang w:val="fr-BE"/>
        </w:rPr>
        <w:t xml:space="preserve">La proportion de jeunes rapportant l’utilisation du préservatif </w:t>
      </w:r>
      <w:r w:rsidRPr="00C27636">
        <w:rPr>
          <w:rFonts w:ascii="Calibri" w:eastAsia="Calibri" w:hAnsi="Calibri" w:cs="Calibri"/>
          <w:lang w:val="fr-BE"/>
        </w:rPr>
        <w:t>est plus élevée parmi les garçons, les jeunes de 15-16 ans et ceux qui vivent avec leurs deux parents. L’utilisation du préservatif est plus fréquemment rapportée par les jeunes dont la famille a un niveau d’aisance matérielle élevé par rapport à ceux dont</w:t>
      </w:r>
      <w:r w:rsidRPr="00C27636">
        <w:rPr>
          <w:rFonts w:ascii="Calibri" w:eastAsia="Calibri" w:hAnsi="Calibri" w:cs="Calibri"/>
          <w:lang w:val="fr-BE"/>
        </w:rPr>
        <w:t xml:space="preserve"> le niveau d’aisance est moyen.</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5" w:lineRule="exact"/>
        <w:rPr>
          <w:sz w:val="20"/>
          <w:szCs w:val="20"/>
          <w:lang w:val="fr-BE"/>
        </w:rPr>
      </w:pPr>
    </w:p>
    <w:p w:rsidR="00AC12B4" w:rsidRDefault="00C27636">
      <w:pPr>
        <w:jc w:val="right"/>
        <w:rPr>
          <w:sz w:val="20"/>
          <w:szCs w:val="20"/>
        </w:rPr>
      </w:pPr>
      <w:r>
        <w:rPr>
          <w:rFonts w:ascii="Calibri" w:eastAsia="Calibri" w:hAnsi="Calibri" w:cs="Calibri"/>
        </w:rPr>
        <w:t>92</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331" w:lineRule="exact"/>
        <w:rPr>
          <w:sz w:val="20"/>
          <w:szCs w:val="20"/>
        </w:rPr>
      </w:pPr>
    </w:p>
    <w:p w:rsidR="00AC12B4" w:rsidRDefault="00AC12B4">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1740"/>
        <w:gridCol w:w="680"/>
        <w:gridCol w:w="1040"/>
        <w:gridCol w:w="560"/>
      </w:tblGrid>
      <w:tr w:rsidR="00AC12B4">
        <w:trPr>
          <w:trHeight w:val="269"/>
        </w:trPr>
        <w:tc>
          <w:tcPr>
            <w:tcW w:w="1740" w:type="dxa"/>
            <w:vAlign w:val="bottom"/>
          </w:tcPr>
          <w:p w:rsidR="00AC12B4" w:rsidRDefault="00AC12B4">
            <w:pPr>
              <w:rPr>
                <w:sz w:val="23"/>
                <w:szCs w:val="23"/>
              </w:rPr>
            </w:pPr>
          </w:p>
        </w:tc>
        <w:tc>
          <w:tcPr>
            <w:tcW w:w="680" w:type="dxa"/>
            <w:vAlign w:val="bottom"/>
          </w:tcPr>
          <w:p w:rsidR="00AC12B4" w:rsidRDefault="00AC12B4">
            <w:pPr>
              <w:rPr>
                <w:sz w:val="23"/>
                <w:szCs w:val="23"/>
              </w:rPr>
            </w:pPr>
          </w:p>
        </w:tc>
        <w:tc>
          <w:tcPr>
            <w:tcW w:w="1040" w:type="dxa"/>
            <w:vAlign w:val="bottom"/>
          </w:tcPr>
          <w:p w:rsidR="00AC12B4" w:rsidRDefault="00C27636">
            <w:pPr>
              <w:ind w:left="80"/>
              <w:rPr>
                <w:sz w:val="20"/>
                <w:szCs w:val="20"/>
              </w:rPr>
            </w:pPr>
            <w:r>
              <w:rPr>
                <w:rFonts w:ascii="Calibri" w:eastAsia="Calibri" w:hAnsi="Calibri" w:cs="Calibri"/>
                <w:color w:val="C9D11D"/>
              </w:rPr>
              <w:t>Préservat</w:t>
            </w:r>
          </w:p>
        </w:tc>
        <w:tc>
          <w:tcPr>
            <w:tcW w:w="560" w:type="dxa"/>
            <w:vAlign w:val="bottom"/>
          </w:tcPr>
          <w:p w:rsidR="00AC12B4" w:rsidRDefault="00AC12B4">
            <w:pPr>
              <w:rPr>
                <w:sz w:val="23"/>
                <w:szCs w:val="23"/>
              </w:rPr>
            </w:pPr>
          </w:p>
        </w:tc>
      </w:tr>
      <w:tr w:rsidR="00AC12B4">
        <w:trPr>
          <w:trHeight w:val="273"/>
        </w:trPr>
        <w:tc>
          <w:tcPr>
            <w:tcW w:w="1740" w:type="dxa"/>
            <w:tcBorders>
              <w:bottom w:val="single" w:sz="8" w:space="0" w:color="C9D11D"/>
            </w:tcBorders>
            <w:vAlign w:val="bottom"/>
          </w:tcPr>
          <w:p w:rsidR="00AC12B4" w:rsidRDefault="00AC12B4">
            <w:pPr>
              <w:rPr>
                <w:sz w:val="23"/>
                <w:szCs w:val="23"/>
              </w:rPr>
            </w:pPr>
          </w:p>
        </w:tc>
        <w:tc>
          <w:tcPr>
            <w:tcW w:w="680" w:type="dxa"/>
            <w:tcBorders>
              <w:bottom w:val="single" w:sz="8" w:space="0" w:color="C9D11D"/>
            </w:tcBorders>
            <w:vAlign w:val="bottom"/>
          </w:tcPr>
          <w:p w:rsidR="00AC12B4" w:rsidRDefault="00C27636">
            <w:pPr>
              <w:ind w:right="150"/>
              <w:jc w:val="right"/>
              <w:rPr>
                <w:sz w:val="20"/>
                <w:szCs w:val="20"/>
              </w:rPr>
            </w:pPr>
            <w:r>
              <w:rPr>
                <w:rFonts w:ascii="Calibri" w:eastAsia="Calibri" w:hAnsi="Calibri" w:cs="Calibri"/>
                <w:color w:val="C9D11D"/>
              </w:rPr>
              <w:t>N</w:t>
            </w:r>
          </w:p>
        </w:tc>
        <w:tc>
          <w:tcPr>
            <w:tcW w:w="1040" w:type="dxa"/>
            <w:tcBorders>
              <w:bottom w:val="single" w:sz="8" w:space="0" w:color="C9D11D"/>
            </w:tcBorders>
            <w:vAlign w:val="bottom"/>
          </w:tcPr>
          <w:p w:rsidR="00AC12B4" w:rsidRDefault="00C27636">
            <w:pPr>
              <w:ind w:left="80"/>
              <w:rPr>
                <w:sz w:val="20"/>
                <w:szCs w:val="20"/>
              </w:rPr>
            </w:pPr>
            <w:r>
              <w:rPr>
                <w:rFonts w:ascii="Calibri" w:eastAsia="Calibri" w:hAnsi="Calibri" w:cs="Calibri"/>
                <w:color w:val="C9D11D"/>
              </w:rPr>
              <w:t>if %</w:t>
            </w:r>
          </w:p>
        </w:tc>
        <w:tc>
          <w:tcPr>
            <w:tcW w:w="560" w:type="dxa"/>
            <w:tcBorders>
              <w:bottom w:val="single" w:sz="8" w:space="0" w:color="C9D11D"/>
            </w:tcBorders>
            <w:vAlign w:val="bottom"/>
          </w:tcPr>
          <w:p w:rsidR="00AC12B4" w:rsidRDefault="00C27636">
            <w:pPr>
              <w:ind w:right="130"/>
              <w:jc w:val="right"/>
              <w:rPr>
                <w:sz w:val="20"/>
                <w:szCs w:val="20"/>
              </w:rPr>
            </w:pPr>
            <w:r>
              <w:rPr>
                <w:rFonts w:ascii="Calibri" w:eastAsia="Calibri" w:hAnsi="Calibri" w:cs="Calibri"/>
                <w:color w:val="C9D11D"/>
              </w:rPr>
              <w:t>p</w:t>
            </w:r>
          </w:p>
        </w:tc>
      </w:tr>
      <w:tr w:rsidR="00AC12B4">
        <w:trPr>
          <w:trHeight w:val="254"/>
        </w:trPr>
        <w:tc>
          <w:tcPr>
            <w:tcW w:w="1740" w:type="dxa"/>
            <w:vAlign w:val="bottom"/>
          </w:tcPr>
          <w:p w:rsidR="00AC12B4" w:rsidRDefault="00AC12B4"/>
        </w:tc>
        <w:tc>
          <w:tcPr>
            <w:tcW w:w="680" w:type="dxa"/>
            <w:vAlign w:val="bottom"/>
          </w:tcPr>
          <w:p w:rsidR="00AC12B4" w:rsidRDefault="00AC12B4"/>
        </w:tc>
        <w:tc>
          <w:tcPr>
            <w:tcW w:w="1040" w:type="dxa"/>
            <w:vAlign w:val="bottom"/>
          </w:tcPr>
          <w:p w:rsidR="00AC12B4" w:rsidRDefault="00AC12B4"/>
        </w:tc>
        <w:tc>
          <w:tcPr>
            <w:tcW w:w="560" w:type="dxa"/>
            <w:vAlign w:val="bottom"/>
          </w:tcPr>
          <w:p w:rsidR="00AC12B4" w:rsidRDefault="00C27636">
            <w:pPr>
              <w:spacing w:line="255" w:lineRule="exact"/>
              <w:jc w:val="right"/>
              <w:rPr>
                <w:sz w:val="20"/>
                <w:szCs w:val="20"/>
              </w:rPr>
            </w:pPr>
            <w:r>
              <w:rPr>
                <w:rFonts w:ascii="Calibri" w:eastAsia="Calibri" w:hAnsi="Calibri" w:cs="Calibri"/>
              </w:rPr>
              <w:t>&lt;0,0</w:t>
            </w:r>
          </w:p>
        </w:tc>
      </w:tr>
      <w:tr w:rsidR="00AC12B4">
        <w:trPr>
          <w:trHeight w:val="269"/>
        </w:trPr>
        <w:tc>
          <w:tcPr>
            <w:tcW w:w="1740" w:type="dxa"/>
            <w:vAlign w:val="bottom"/>
          </w:tcPr>
          <w:p w:rsidR="00AC12B4" w:rsidRDefault="00C27636">
            <w:pPr>
              <w:ind w:left="60"/>
              <w:rPr>
                <w:sz w:val="20"/>
                <w:szCs w:val="20"/>
              </w:rPr>
            </w:pPr>
            <w:r>
              <w:rPr>
                <w:rFonts w:ascii="Calibri" w:eastAsia="Calibri" w:hAnsi="Calibri" w:cs="Calibri"/>
                <w:color w:val="C9D11D"/>
              </w:rPr>
              <w:t>Genre</w:t>
            </w:r>
          </w:p>
        </w:tc>
        <w:tc>
          <w:tcPr>
            <w:tcW w:w="680" w:type="dxa"/>
            <w:vAlign w:val="bottom"/>
          </w:tcPr>
          <w:p w:rsidR="00AC12B4" w:rsidRDefault="00C27636">
            <w:pPr>
              <w:jc w:val="right"/>
              <w:rPr>
                <w:sz w:val="20"/>
                <w:szCs w:val="20"/>
              </w:rPr>
            </w:pPr>
            <w:r>
              <w:rPr>
                <w:rFonts w:ascii="Calibri" w:eastAsia="Calibri" w:hAnsi="Calibri" w:cs="Calibri"/>
              </w:rPr>
              <w:t>3378</w:t>
            </w:r>
          </w:p>
        </w:tc>
        <w:tc>
          <w:tcPr>
            <w:tcW w:w="1040" w:type="dxa"/>
            <w:vAlign w:val="bottom"/>
          </w:tcPr>
          <w:p w:rsidR="00AC12B4" w:rsidRDefault="00AC12B4">
            <w:pPr>
              <w:rPr>
                <w:sz w:val="23"/>
                <w:szCs w:val="23"/>
              </w:rPr>
            </w:pPr>
          </w:p>
        </w:tc>
        <w:tc>
          <w:tcPr>
            <w:tcW w:w="560" w:type="dxa"/>
            <w:vAlign w:val="bottom"/>
          </w:tcPr>
          <w:p w:rsidR="00AC12B4" w:rsidRDefault="00C27636">
            <w:pPr>
              <w:jc w:val="right"/>
              <w:rPr>
                <w:sz w:val="20"/>
                <w:szCs w:val="20"/>
              </w:rPr>
            </w:pPr>
            <w:r>
              <w:rPr>
                <w:rFonts w:ascii="Calibri" w:eastAsia="Calibri" w:hAnsi="Calibri" w:cs="Calibri"/>
              </w:rPr>
              <w:t>01</w:t>
            </w: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t>Garçons</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58,2</w:t>
            </w:r>
          </w:p>
        </w:tc>
        <w:tc>
          <w:tcPr>
            <w:tcW w:w="560" w:type="dxa"/>
            <w:vAlign w:val="bottom"/>
          </w:tcPr>
          <w:p w:rsidR="00AC12B4" w:rsidRDefault="00AC12B4">
            <w:pPr>
              <w:rPr>
                <w:sz w:val="24"/>
                <w:szCs w:val="24"/>
              </w:rPr>
            </w:pP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t>Filles</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41,6</w:t>
            </w:r>
          </w:p>
        </w:tc>
        <w:tc>
          <w:tcPr>
            <w:tcW w:w="560" w:type="dxa"/>
            <w:vAlign w:val="bottom"/>
          </w:tcPr>
          <w:p w:rsidR="00AC12B4" w:rsidRDefault="00AC12B4">
            <w:pPr>
              <w:rPr>
                <w:sz w:val="24"/>
                <w:szCs w:val="24"/>
              </w:rPr>
            </w:pPr>
          </w:p>
        </w:tc>
      </w:tr>
      <w:tr w:rsidR="00AC12B4">
        <w:trPr>
          <w:trHeight w:val="566"/>
        </w:trPr>
        <w:tc>
          <w:tcPr>
            <w:tcW w:w="1740" w:type="dxa"/>
            <w:vAlign w:val="bottom"/>
          </w:tcPr>
          <w:p w:rsidR="00AC12B4" w:rsidRDefault="00AC12B4">
            <w:pPr>
              <w:rPr>
                <w:sz w:val="24"/>
                <w:szCs w:val="24"/>
              </w:rPr>
            </w:pPr>
          </w:p>
        </w:tc>
        <w:tc>
          <w:tcPr>
            <w:tcW w:w="680" w:type="dxa"/>
            <w:vAlign w:val="bottom"/>
          </w:tcPr>
          <w:p w:rsidR="00AC12B4" w:rsidRDefault="00AC12B4">
            <w:pPr>
              <w:rPr>
                <w:sz w:val="24"/>
                <w:szCs w:val="24"/>
              </w:rPr>
            </w:pPr>
          </w:p>
        </w:tc>
        <w:tc>
          <w:tcPr>
            <w:tcW w:w="1040" w:type="dxa"/>
            <w:vAlign w:val="bottom"/>
          </w:tcPr>
          <w:p w:rsidR="00AC12B4" w:rsidRDefault="00AC12B4">
            <w:pPr>
              <w:rPr>
                <w:sz w:val="24"/>
                <w:szCs w:val="24"/>
              </w:rPr>
            </w:pPr>
          </w:p>
        </w:tc>
        <w:tc>
          <w:tcPr>
            <w:tcW w:w="560" w:type="dxa"/>
            <w:vAlign w:val="bottom"/>
          </w:tcPr>
          <w:p w:rsidR="00AC12B4" w:rsidRDefault="00C27636">
            <w:pPr>
              <w:jc w:val="right"/>
              <w:rPr>
                <w:sz w:val="20"/>
                <w:szCs w:val="20"/>
              </w:rPr>
            </w:pPr>
            <w:r>
              <w:rPr>
                <w:rFonts w:ascii="Calibri" w:eastAsia="Calibri" w:hAnsi="Calibri" w:cs="Calibri"/>
              </w:rPr>
              <w:t>&lt;0,0</w:t>
            </w:r>
          </w:p>
        </w:tc>
      </w:tr>
      <w:tr w:rsidR="00AC12B4">
        <w:trPr>
          <w:trHeight w:val="269"/>
        </w:trPr>
        <w:tc>
          <w:tcPr>
            <w:tcW w:w="1740" w:type="dxa"/>
            <w:vAlign w:val="bottom"/>
          </w:tcPr>
          <w:p w:rsidR="00AC12B4" w:rsidRDefault="00C27636">
            <w:pPr>
              <w:ind w:left="60"/>
              <w:rPr>
                <w:sz w:val="20"/>
                <w:szCs w:val="20"/>
              </w:rPr>
            </w:pPr>
            <w:r>
              <w:rPr>
                <w:rFonts w:ascii="Calibri" w:eastAsia="Calibri" w:hAnsi="Calibri" w:cs="Calibri"/>
                <w:color w:val="C9D11D"/>
              </w:rPr>
              <w:t>Age</w:t>
            </w:r>
          </w:p>
        </w:tc>
        <w:tc>
          <w:tcPr>
            <w:tcW w:w="680" w:type="dxa"/>
            <w:vAlign w:val="bottom"/>
          </w:tcPr>
          <w:p w:rsidR="00AC12B4" w:rsidRDefault="00C27636">
            <w:pPr>
              <w:jc w:val="right"/>
              <w:rPr>
                <w:sz w:val="20"/>
                <w:szCs w:val="20"/>
              </w:rPr>
            </w:pPr>
            <w:r>
              <w:rPr>
                <w:rFonts w:ascii="Calibri" w:eastAsia="Calibri" w:hAnsi="Calibri" w:cs="Calibri"/>
              </w:rPr>
              <w:t>3378</w:t>
            </w:r>
          </w:p>
        </w:tc>
        <w:tc>
          <w:tcPr>
            <w:tcW w:w="1040" w:type="dxa"/>
            <w:vAlign w:val="bottom"/>
          </w:tcPr>
          <w:p w:rsidR="00AC12B4" w:rsidRDefault="00AC12B4">
            <w:pPr>
              <w:rPr>
                <w:sz w:val="23"/>
                <w:szCs w:val="23"/>
              </w:rPr>
            </w:pPr>
          </w:p>
        </w:tc>
        <w:tc>
          <w:tcPr>
            <w:tcW w:w="560" w:type="dxa"/>
            <w:vAlign w:val="bottom"/>
          </w:tcPr>
          <w:p w:rsidR="00AC12B4" w:rsidRDefault="00C27636">
            <w:pPr>
              <w:jc w:val="right"/>
              <w:rPr>
                <w:sz w:val="20"/>
                <w:szCs w:val="20"/>
              </w:rPr>
            </w:pPr>
            <w:r>
              <w:rPr>
                <w:rFonts w:ascii="Calibri" w:eastAsia="Calibri" w:hAnsi="Calibri" w:cs="Calibri"/>
              </w:rPr>
              <w:t>01</w:t>
            </w: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t>15-16 ans</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59,8</w:t>
            </w:r>
          </w:p>
        </w:tc>
        <w:tc>
          <w:tcPr>
            <w:tcW w:w="560" w:type="dxa"/>
            <w:vAlign w:val="bottom"/>
          </w:tcPr>
          <w:p w:rsidR="00AC12B4" w:rsidRDefault="00AC12B4">
            <w:pPr>
              <w:rPr>
                <w:sz w:val="24"/>
                <w:szCs w:val="24"/>
              </w:rPr>
            </w:pP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t>17-19 ans</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46,6</w:t>
            </w:r>
          </w:p>
        </w:tc>
        <w:tc>
          <w:tcPr>
            <w:tcW w:w="560" w:type="dxa"/>
            <w:vAlign w:val="bottom"/>
          </w:tcPr>
          <w:p w:rsidR="00AC12B4" w:rsidRDefault="00AC12B4">
            <w:pPr>
              <w:rPr>
                <w:sz w:val="24"/>
                <w:szCs w:val="24"/>
              </w:rPr>
            </w:pPr>
          </w:p>
        </w:tc>
      </w:tr>
      <w:tr w:rsidR="00AC12B4">
        <w:trPr>
          <w:trHeight w:val="569"/>
        </w:trPr>
        <w:tc>
          <w:tcPr>
            <w:tcW w:w="1740" w:type="dxa"/>
            <w:vAlign w:val="bottom"/>
          </w:tcPr>
          <w:p w:rsidR="00AC12B4" w:rsidRDefault="00C27636">
            <w:pPr>
              <w:ind w:left="60"/>
              <w:rPr>
                <w:sz w:val="20"/>
                <w:szCs w:val="20"/>
              </w:rPr>
            </w:pPr>
            <w:r>
              <w:rPr>
                <w:rFonts w:ascii="Calibri" w:eastAsia="Calibri" w:hAnsi="Calibri" w:cs="Calibri"/>
                <w:color w:val="C9D11D"/>
              </w:rPr>
              <w:t>Niveau d'aisance</w:t>
            </w:r>
          </w:p>
        </w:tc>
        <w:tc>
          <w:tcPr>
            <w:tcW w:w="680" w:type="dxa"/>
            <w:vAlign w:val="bottom"/>
          </w:tcPr>
          <w:p w:rsidR="00AC12B4" w:rsidRDefault="00AC12B4">
            <w:pPr>
              <w:rPr>
                <w:sz w:val="24"/>
                <w:szCs w:val="24"/>
              </w:rPr>
            </w:pPr>
          </w:p>
        </w:tc>
        <w:tc>
          <w:tcPr>
            <w:tcW w:w="1040" w:type="dxa"/>
            <w:vAlign w:val="bottom"/>
          </w:tcPr>
          <w:p w:rsidR="00AC12B4" w:rsidRDefault="00AC12B4">
            <w:pPr>
              <w:rPr>
                <w:sz w:val="24"/>
                <w:szCs w:val="24"/>
              </w:rPr>
            </w:pPr>
          </w:p>
        </w:tc>
        <w:tc>
          <w:tcPr>
            <w:tcW w:w="560" w:type="dxa"/>
            <w:vAlign w:val="bottom"/>
          </w:tcPr>
          <w:p w:rsidR="00AC12B4" w:rsidRDefault="00C27636">
            <w:pPr>
              <w:jc w:val="right"/>
              <w:rPr>
                <w:sz w:val="20"/>
                <w:szCs w:val="20"/>
              </w:rPr>
            </w:pPr>
            <w:r>
              <w:rPr>
                <w:rFonts w:ascii="Calibri" w:eastAsia="Calibri" w:hAnsi="Calibri" w:cs="Calibri"/>
              </w:rPr>
              <w:t>&lt;0,0</w:t>
            </w:r>
          </w:p>
        </w:tc>
      </w:tr>
      <w:tr w:rsidR="00AC12B4">
        <w:trPr>
          <w:trHeight w:val="269"/>
        </w:trPr>
        <w:tc>
          <w:tcPr>
            <w:tcW w:w="1740" w:type="dxa"/>
            <w:vAlign w:val="bottom"/>
          </w:tcPr>
          <w:p w:rsidR="00AC12B4" w:rsidRDefault="00C27636">
            <w:pPr>
              <w:ind w:left="60"/>
              <w:rPr>
                <w:sz w:val="20"/>
                <w:szCs w:val="20"/>
              </w:rPr>
            </w:pPr>
            <w:r>
              <w:rPr>
                <w:rFonts w:ascii="Calibri" w:eastAsia="Calibri" w:hAnsi="Calibri" w:cs="Calibri"/>
                <w:color w:val="C9D11D"/>
              </w:rPr>
              <w:t>matérielle</w:t>
            </w:r>
          </w:p>
        </w:tc>
        <w:tc>
          <w:tcPr>
            <w:tcW w:w="680" w:type="dxa"/>
            <w:vAlign w:val="bottom"/>
          </w:tcPr>
          <w:p w:rsidR="00AC12B4" w:rsidRDefault="00C27636">
            <w:pPr>
              <w:jc w:val="right"/>
              <w:rPr>
                <w:sz w:val="20"/>
                <w:szCs w:val="20"/>
              </w:rPr>
            </w:pPr>
            <w:r>
              <w:rPr>
                <w:rFonts w:ascii="Calibri" w:eastAsia="Calibri" w:hAnsi="Calibri" w:cs="Calibri"/>
              </w:rPr>
              <w:t>3228</w:t>
            </w:r>
          </w:p>
        </w:tc>
        <w:tc>
          <w:tcPr>
            <w:tcW w:w="1040" w:type="dxa"/>
            <w:vAlign w:val="bottom"/>
          </w:tcPr>
          <w:p w:rsidR="00AC12B4" w:rsidRDefault="00AC12B4">
            <w:pPr>
              <w:rPr>
                <w:sz w:val="23"/>
                <w:szCs w:val="23"/>
              </w:rPr>
            </w:pPr>
          </w:p>
        </w:tc>
        <w:tc>
          <w:tcPr>
            <w:tcW w:w="560" w:type="dxa"/>
            <w:vAlign w:val="bottom"/>
          </w:tcPr>
          <w:p w:rsidR="00AC12B4" w:rsidRDefault="00C27636">
            <w:pPr>
              <w:jc w:val="right"/>
              <w:rPr>
                <w:sz w:val="20"/>
                <w:szCs w:val="20"/>
              </w:rPr>
            </w:pPr>
            <w:r>
              <w:rPr>
                <w:rFonts w:ascii="Calibri" w:eastAsia="Calibri" w:hAnsi="Calibri" w:cs="Calibri"/>
              </w:rPr>
              <w:t>5</w:t>
            </w: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t>Faible</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50,7</w:t>
            </w:r>
          </w:p>
        </w:tc>
        <w:tc>
          <w:tcPr>
            <w:tcW w:w="560" w:type="dxa"/>
            <w:vAlign w:val="bottom"/>
          </w:tcPr>
          <w:p w:rsidR="00AC12B4" w:rsidRDefault="00AC12B4">
            <w:pPr>
              <w:rPr>
                <w:sz w:val="24"/>
                <w:szCs w:val="24"/>
              </w:rPr>
            </w:pP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t>Moyen</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47,7</w:t>
            </w:r>
          </w:p>
        </w:tc>
        <w:tc>
          <w:tcPr>
            <w:tcW w:w="560" w:type="dxa"/>
            <w:vAlign w:val="bottom"/>
          </w:tcPr>
          <w:p w:rsidR="00AC12B4" w:rsidRDefault="00AC12B4">
            <w:pPr>
              <w:rPr>
                <w:sz w:val="24"/>
                <w:szCs w:val="24"/>
              </w:rPr>
            </w:pP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t>Elevé</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54,1</w:t>
            </w:r>
          </w:p>
        </w:tc>
        <w:tc>
          <w:tcPr>
            <w:tcW w:w="560" w:type="dxa"/>
            <w:vAlign w:val="bottom"/>
          </w:tcPr>
          <w:p w:rsidR="00AC12B4" w:rsidRDefault="00AC12B4">
            <w:pPr>
              <w:rPr>
                <w:sz w:val="24"/>
                <w:szCs w:val="24"/>
              </w:rPr>
            </w:pPr>
          </w:p>
        </w:tc>
      </w:tr>
      <w:tr w:rsidR="00AC12B4">
        <w:trPr>
          <w:trHeight w:val="569"/>
        </w:trPr>
        <w:tc>
          <w:tcPr>
            <w:tcW w:w="1740" w:type="dxa"/>
            <w:vAlign w:val="bottom"/>
          </w:tcPr>
          <w:p w:rsidR="00AC12B4" w:rsidRDefault="00AC12B4">
            <w:pPr>
              <w:rPr>
                <w:sz w:val="24"/>
                <w:szCs w:val="24"/>
              </w:rPr>
            </w:pPr>
          </w:p>
        </w:tc>
        <w:tc>
          <w:tcPr>
            <w:tcW w:w="680" w:type="dxa"/>
            <w:vAlign w:val="bottom"/>
          </w:tcPr>
          <w:p w:rsidR="00AC12B4" w:rsidRDefault="00AC12B4">
            <w:pPr>
              <w:rPr>
                <w:sz w:val="24"/>
                <w:szCs w:val="24"/>
              </w:rPr>
            </w:pPr>
          </w:p>
        </w:tc>
        <w:tc>
          <w:tcPr>
            <w:tcW w:w="1040" w:type="dxa"/>
            <w:vAlign w:val="bottom"/>
          </w:tcPr>
          <w:p w:rsidR="00AC12B4" w:rsidRDefault="00AC12B4">
            <w:pPr>
              <w:rPr>
                <w:sz w:val="24"/>
                <w:szCs w:val="24"/>
              </w:rPr>
            </w:pPr>
          </w:p>
        </w:tc>
        <w:tc>
          <w:tcPr>
            <w:tcW w:w="560" w:type="dxa"/>
            <w:vAlign w:val="bottom"/>
          </w:tcPr>
          <w:p w:rsidR="00AC12B4" w:rsidRDefault="00C27636">
            <w:pPr>
              <w:jc w:val="right"/>
              <w:rPr>
                <w:sz w:val="20"/>
                <w:szCs w:val="20"/>
              </w:rPr>
            </w:pPr>
            <w:r>
              <w:rPr>
                <w:rFonts w:ascii="Calibri" w:eastAsia="Calibri" w:hAnsi="Calibri" w:cs="Calibri"/>
              </w:rPr>
              <w:t>&lt;0,0</w:t>
            </w:r>
          </w:p>
        </w:tc>
      </w:tr>
      <w:tr w:rsidR="00AC12B4">
        <w:trPr>
          <w:trHeight w:val="269"/>
        </w:trPr>
        <w:tc>
          <w:tcPr>
            <w:tcW w:w="1740" w:type="dxa"/>
            <w:vAlign w:val="bottom"/>
          </w:tcPr>
          <w:p w:rsidR="00AC12B4" w:rsidRDefault="00C27636">
            <w:pPr>
              <w:ind w:left="60"/>
              <w:rPr>
                <w:sz w:val="20"/>
                <w:szCs w:val="20"/>
              </w:rPr>
            </w:pPr>
            <w:r>
              <w:rPr>
                <w:rFonts w:ascii="Calibri" w:eastAsia="Calibri" w:hAnsi="Calibri" w:cs="Calibri"/>
                <w:color w:val="C9D11D"/>
              </w:rPr>
              <w:t>Famille</w:t>
            </w:r>
          </w:p>
        </w:tc>
        <w:tc>
          <w:tcPr>
            <w:tcW w:w="680" w:type="dxa"/>
            <w:vAlign w:val="bottom"/>
          </w:tcPr>
          <w:p w:rsidR="00AC12B4" w:rsidRDefault="00C27636">
            <w:pPr>
              <w:jc w:val="right"/>
              <w:rPr>
                <w:sz w:val="20"/>
                <w:szCs w:val="20"/>
              </w:rPr>
            </w:pPr>
            <w:r>
              <w:rPr>
                <w:rFonts w:ascii="Calibri" w:eastAsia="Calibri" w:hAnsi="Calibri" w:cs="Calibri"/>
              </w:rPr>
              <w:t>3360</w:t>
            </w:r>
          </w:p>
        </w:tc>
        <w:tc>
          <w:tcPr>
            <w:tcW w:w="1040" w:type="dxa"/>
            <w:vAlign w:val="bottom"/>
          </w:tcPr>
          <w:p w:rsidR="00AC12B4" w:rsidRDefault="00AC12B4">
            <w:pPr>
              <w:rPr>
                <w:sz w:val="23"/>
                <w:szCs w:val="23"/>
              </w:rPr>
            </w:pPr>
          </w:p>
        </w:tc>
        <w:tc>
          <w:tcPr>
            <w:tcW w:w="560" w:type="dxa"/>
            <w:vAlign w:val="bottom"/>
          </w:tcPr>
          <w:p w:rsidR="00AC12B4" w:rsidRDefault="00C27636">
            <w:pPr>
              <w:jc w:val="right"/>
              <w:rPr>
                <w:sz w:val="20"/>
                <w:szCs w:val="20"/>
              </w:rPr>
            </w:pPr>
            <w:r>
              <w:rPr>
                <w:rFonts w:ascii="Calibri" w:eastAsia="Calibri" w:hAnsi="Calibri" w:cs="Calibri"/>
              </w:rPr>
              <w:t>01</w:t>
            </w:r>
          </w:p>
        </w:tc>
      </w:tr>
      <w:tr w:rsidR="00AC12B4">
        <w:trPr>
          <w:trHeight w:val="300"/>
        </w:trPr>
        <w:tc>
          <w:tcPr>
            <w:tcW w:w="2420" w:type="dxa"/>
            <w:gridSpan w:val="2"/>
            <w:vAlign w:val="bottom"/>
          </w:tcPr>
          <w:p w:rsidR="00AC12B4" w:rsidRDefault="00C27636">
            <w:pPr>
              <w:ind w:left="60"/>
              <w:rPr>
                <w:sz w:val="20"/>
                <w:szCs w:val="20"/>
              </w:rPr>
            </w:pPr>
            <w:r>
              <w:rPr>
                <w:rFonts w:ascii="Calibri" w:eastAsia="Calibri" w:hAnsi="Calibri" w:cs="Calibri"/>
                <w:color w:val="C9D11D"/>
              </w:rPr>
              <w:t>2 parents biologiques</w:t>
            </w:r>
          </w:p>
        </w:tc>
        <w:tc>
          <w:tcPr>
            <w:tcW w:w="1040" w:type="dxa"/>
            <w:vAlign w:val="bottom"/>
          </w:tcPr>
          <w:p w:rsidR="00AC12B4" w:rsidRDefault="00C27636">
            <w:pPr>
              <w:jc w:val="right"/>
              <w:rPr>
                <w:sz w:val="20"/>
                <w:szCs w:val="20"/>
              </w:rPr>
            </w:pPr>
            <w:r>
              <w:rPr>
                <w:rFonts w:ascii="Calibri" w:eastAsia="Calibri" w:hAnsi="Calibri" w:cs="Calibri"/>
              </w:rPr>
              <w:t>53,8</w:t>
            </w:r>
          </w:p>
        </w:tc>
        <w:tc>
          <w:tcPr>
            <w:tcW w:w="560" w:type="dxa"/>
            <w:vAlign w:val="bottom"/>
          </w:tcPr>
          <w:p w:rsidR="00AC12B4" w:rsidRDefault="00AC12B4">
            <w:pPr>
              <w:rPr>
                <w:sz w:val="24"/>
                <w:szCs w:val="24"/>
              </w:rPr>
            </w:pPr>
          </w:p>
        </w:tc>
      </w:tr>
      <w:tr w:rsidR="00AC12B4">
        <w:trPr>
          <w:trHeight w:val="300"/>
        </w:trPr>
        <w:tc>
          <w:tcPr>
            <w:tcW w:w="1740" w:type="dxa"/>
            <w:vAlign w:val="bottom"/>
          </w:tcPr>
          <w:p w:rsidR="00AC12B4" w:rsidRDefault="00C27636">
            <w:pPr>
              <w:ind w:left="60"/>
              <w:rPr>
                <w:sz w:val="20"/>
                <w:szCs w:val="20"/>
              </w:rPr>
            </w:pPr>
            <w:r>
              <w:rPr>
                <w:rFonts w:ascii="Calibri" w:eastAsia="Calibri" w:hAnsi="Calibri" w:cs="Calibri"/>
                <w:color w:val="C9D11D"/>
              </w:rPr>
              <w:lastRenderedPageBreak/>
              <w:t>Autres</w:t>
            </w:r>
          </w:p>
        </w:tc>
        <w:tc>
          <w:tcPr>
            <w:tcW w:w="680" w:type="dxa"/>
            <w:vAlign w:val="bottom"/>
          </w:tcPr>
          <w:p w:rsidR="00AC12B4" w:rsidRDefault="00AC12B4">
            <w:pPr>
              <w:rPr>
                <w:sz w:val="24"/>
                <w:szCs w:val="24"/>
              </w:rPr>
            </w:pPr>
          </w:p>
        </w:tc>
        <w:tc>
          <w:tcPr>
            <w:tcW w:w="1040" w:type="dxa"/>
            <w:vAlign w:val="bottom"/>
          </w:tcPr>
          <w:p w:rsidR="00AC12B4" w:rsidRDefault="00C27636">
            <w:pPr>
              <w:jc w:val="right"/>
              <w:rPr>
                <w:sz w:val="20"/>
                <w:szCs w:val="20"/>
              </w:rPr>
            </w:pPr>
            <w:r>
              <w:rPr>
                <w:rFonts w:ascii="Calibri" w:eastAsia="Calibri" w:hAnsi="Calibri" w:cs="Calibri"/>
              </w:rPr>
              <w:t>44,7</w:t>
            </w:r>
          </w:p>
        </w:tc>
        <w:tc>
          <w:tcPr>
            <w:tcW w:w="56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66592" behindDoc="1" locked="0" layoutInCell="0" allowOverlap="1">
                <wp:simplePos x="0" y="0"/>
                <wp:positionH relativeFrom="column">
                  <wp:posOffset>-11430</wp:posOffset>
                </wp:positionH>
                <wp:positionV relativeFrom="paragraph">
                  <wp:posOffset>8255</wp:posOffset>
                </wp:positionV>
                <wp:extent cx="2558415" cy="0"/>
                <wp:effectExtent l="0" t="0" r="0" b="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4763"/>
                        </a:xfrm>
                        <a:prstGeom prst="line">
                          <a:avLst/>
                        </a:prstGeom>
                        <a:solidFill>
                          <a:srgbClr val="FFFFFF"/>
                        </a:solidFill>
                        <a:ln w="6096">
                          <a:solidFill>
                            <a:srgbClr val="C9D11D"/>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0.65pt" to="200.55pt,0.65pt" o:allowincell="f" strokecolor="#C9D11D" strokeweight="0.48pt"/>
            </w:pict>
          </mc:Fallback>
        </mc:AlternateContent>
      </w:r>
    </w:p>
    <w:p w:rsidR="00AC12B4" w:rsidRDefault="00AC12B4">
      <w:pPr>
        <w:spacing w:line="33" w:lineRule="exact"/>
        <w:rPr>
          <w:sz w:val="20"/>
          <w:szCs w:val="20"/>
        </w:rPr>
      </w:pPr>
    </w:p>
    <w:p w:rsidR="00AC12B4" w:rsidRPr="00C27636" w:rsidRDefault="00C27636">
      <w:pPr>
        <w:spacing w:line="229" w:lineRule="auto"/>
        <w:ind w:left="60" w:right="737"/>
        <w:jc w:val="both"/>
        <w:rPr>
          <w:sz w:val="20"/>
          <w:szCs w:val="20"/>
          <w:lang w:val="fr-BE"/>
        </w:rPr>
      </w:pPr>
      <w:r w:rsidRPr="00C27636">
        <w:rPr>
          <w:rFonts w:ascii="Calibri" w:eastAsia="Calibri" w:hAnsi="Calibri" w:cs="Calibri"/>
          <w:b/>
          <w:bCs/>
          <w:color w:val="4F81BD"/>
          <w:sz w:val="18"/>
          <w:szCs w:val="18"/>
          <w:lang w:val="fr-BE"/>
        </w:rPr>
        <w:t xml:space="preserve">Table 7. Facteurs associés à l’utilisation du préservatif lors du dernier rapport sexuel parmi les jeunes de 15-19 ans qui ont déjà eu un rapport sexuel ,HBSC </w:t>
      </w:r>
      <w:r w:rsidRPr="00C27636">
        <w:rPr>
          <w:rFonts w:ascii="Calibri" w:eastAsia="Calibri" w:hAnsi="Calibri" w:cs="Calibri"/>
          <w:b/>
          <w:bCs/>
          <w:color w:val="4F81BD"/>
          <w:sz w:val="18"/>
          <w:szCs w:val="18"/>
          <w:lang w:val="fr-BE"/>
        </w:rPr>
        <w:t>2014.</w:t>
      </w:r>
    </w:p>
    <w:p w:rsidR="00AC12B4" w:rsidRPr="00C27636" w:rsidRDefault="00AC12B4">
      <w:pPr>
        <w:spacing w:line="247" w:lineRule="exact"/>
        <w:rPr>
          <w:sz w:val="20"/>
          <w:szCs w:val="20"/>
          <w:lang w:val="fr-BE"/>
        </w:rPr>
      </w:pPr>
    </w:p>
    <w:p w:rsidR="00AC12B4" w:rsidRPr="00C27636" w:rsidRDefault="00C27636">
      <w:pPr>
        <w:spacing w:line="217" w:lineRule="auto"/>
        <w:ind w:left="60" w:right="737"/>
        <w:jc w:val="both"/>
        <w:rPr>
          <w:sz w:val="20"/>
          <w:szCs w:val="20"/>
          <w:lang w:val="fr-BE"/>
        </w:rPr>
      </w:pPr>
      <w:r w:rsidRPr="00C27636">
        <w:rPr>
          <w:rFonts w:ascii="Calibri" w:eastAsia="Calibri" w:hAnsi="Calibri" w:cs="Calibri"/>
          <w:lang w:val="fr-BE"/>
        </w:rPr>
        <w:t>Note: les données de comparaisons internationales seront disponibles mi 2016.</w:t>
      </w:r>
    </w:p>
    <w:p w:rsidR="00AC12B4" w:rsidRPr="00C27636" w:rsidRDefault="00AC12B4">
      <w:pPr>
        <w:spacing w:line="206" w:lineRule="exact"/>
        <w:rPr>
          <w:sz w:val="20"/>
          <w:szCs w:val="20"/>
          <w:lang w:val="fr-BE"/>
        </w:rPr>
      </w:pPr>
    </w:p>
    <w:p w:rsidR="00AC12B4" w:rsidRDefault="00C27636">
      <w:pPr>
        <w:ind w:left="420"/>
        <w:rPr>
          <w:sz w:val="20"/>
          <w:szCs w:val="20"/>
        </w:rPr>
      </w:pPr>
      <w:r>
        <w:rPr>
          <w:rFonts w:ascii="Cambria" w:eastAsia="Cambria" w:hAnsi="Cambria" w:cs="Cambria"/>
          <w:b/>
          <w:bCs/>
          <w:i/>
          <w:iCs/>
          <w:color w:val="919715"/>
          <w:sz w:val="26"/>
          <w:szCs w:val="26"/>
        </w:rPr>
        <w:t>D’où viennent ces chiffres ?</w:t>
      </w:r>
    </w:p>
    <w:p w:rsidR="00AC12B4" w:rsidRDefault="00AC12B4">
      <w:pPr>
        <w:spacing w:line="168" w:lineRule="exact"/>
        <w:rPr>
          <w:sz w:val="20"/>
          <w:szCs w:val="20"/>
        </w:rPr>
      </w:pPr>
    </w:p>
    <w:p w:rsidR="00AC12B4" w:rsidRDefault="00C27636">
      <w:pPr>
        <w:numPr>
          <w:ilvl w:val="0"/>
          <w:numId w:val="137"/>
        </w:numPr>
        <w:tabs>
          <w:tab w:val="left" w:pos="780"/>
        </w:tabs>
        <w:ind w:left="780" w:hanging="355"/>
        <w:rPr>
          <w:rFonts w:ascii="Wingdings" w:eastAsia="Wingdings" w:hAnsi="Wingdings" w:cs="Wingdings"/>
          <w:color w:val="C9D11D"/>
        </w:rPr>
      </w:pPr>
      <w:r>
        <w:rPr>
          <w:rFonts w:ascii="Cambria" w:eastAsia="Cambria" w:hAnsi="Cambria" w:cs="Cambria"/>
          <w:i/>
          <w:iCs/>
          <w:color w:val="C9D11D"/>
        </w:rPr>
        <w:t>HBSC</w:t>
      </w:r>
    </w:p>
    <w:p w:rsidR="00AC12B4" w:rsidRDefault="00AC12B4">
      <w:pPr>
        <w:spacing w:line="150" w:lineRule="exact"/>
        <w:rPr>
          <w:sz w:val="20"/>
          <w:szCs w:val="20"/>
        </w:rPr>
      </w:pPr>
    </w:p>
    <w:p w:rsidR="00AC12B4" w:rsidRPr="00C27636" w:rsidRDefault="00C27636">
      <w:pPr>
        <w:ind w:left="60"/>
        <w:rPr>
          <w:sz w:val="20"/>
          <w:szCs w:val="20"/>
          <w:lang w:val="fr-BE"/>
        </w:rPr>
      </w:pPr>
      <w:r w:rsidRPr="00C27636">
        <w:rPr>
          <w:rFonts w:ascii="Calibri" w:eastAsia="Calibri" w:hAnsi="Calibri" w:cs="Calibri"/>
          <w:lang w:val="fr-BE"/>
        </w:rPr>
        <w:t>L’enquête HBSC est décrite dans la section</w:t>
      </w:r>
    </w:p>
    <w:p w:rsidR="00AC12B4" w:rsidRPr="00C27636" w:rsidRDefault="00C27636">
      <w:pPr>
        <w:numPr>
          <w:ilvl w:val="0"/>
          <w:numId w:val="138"/>
        </w:numPr>
        <w:tabs>
          <w:tab w:val="left" w:pos="260"/>
        </w:tabs>
        <w:ind w:left="260" w:hanging="195"/>
        <w:rPr>
          <w:rFonts w:ascii="Calibri" w:eastAsia="Calibri" w:hAnsi="Calibri" w:cs="Calibri"/>
          <w:lang w:val="fr-BE"/>
        </w:rPr>
      </w:pPr>
      <w:r w:rsidRPr="00C27636">
        <w:rPr>
          <w:rFonts w:ascii="Calibri" w:eastAsia="Calibri" w:hAnsi="Calibri" w:cs="Calibri"/>
          <w:lang w:val="fr-BE"/>
        </w:rPr>
        <w:t>sources » de cette publication (Partie I).</w:t>
      </w:r>
    </w:p>
    <w:p w:rsidR="00AC12B4" w:rsidRPr="00C27636" w:rsidRDefault="00AC12B4">
      <w:pPr>
        <w:spacing w:line="49" w:lineRule="exact"/>
        <w:rPr>
          <w:rFonts w:ascii="Calibri" w:eastAsia="Calibri" w:hAnsi="Calibri" w:cs="Calibri"/>
          <w:lang w:val="fr-BE"/>
        </w:rPr>
      </w:pPr>
    </w:p>
    <w:p w:rsidR="00AC12B4" w:rsidRPr="00C27636" w:rsidRDefault="00C27636">
      <w:pPr>
        <w:spacing w:line="218" w:lineRule="auto"/>
        <w:ind w:left="60" w:right="737"/>
        <w:rPr>
          <w:rFonts w:ascii="Calibri" w:eastAsia="Calibri" w:hAnsi="Calibri" w:cs="Calibri"/>
          <w:lang w:val="fr-BE"/>
        </w:rPr>
      </w:pPr>
      <w:r w:rsidRPr="00C27636">
        <w:rPr>
          <w:rFonts w:ascii="Calibri" w:eastAsia="Calibri" w:hAnsi="Calibri" w:cs="Calibri"/>
          <w:lang w:val="fr-BE"/>
        </w:rPr>
        <w:t xml:space="preserve">L’objectif, les modalités et les limites des </w:t>
      </w:r>
      <w:r w:rsidRPr="00C27636">
        <w:rPr>
          <w:rFonts w:ascii="Calibri" w:eastAsia="Calibri" w:hAnsi="Calibri" w:cs="Calibri"/>
          <w:lang w:val="fr-BE"/>
        </w:rPr>
        <w:t>données collectées y sont présentés.</w:t>
      </w:r>
    </w:p>
    <w:p w:rsidR="00AC12B4" w:rsidRPr="00C27636" w:rsidRDefault="00AC12B4">
      <w:pPr>
        <w:spacing w:line="127" w:lineRule="exact"/>
        <w:rPr>
          <w:rFonts w:ascii="Calibri" w:eastAsia="Calibri" w:hAnsi="Calibri" w:cs="Calibri"/>
          <w:lang w:val="fr-BE"/>
        </w:rPr>
      </w:pPr>
    </w:p>
    <w:p w:rsidR="00AC12B4" w:rsidRDefault="00C27636">
      <w:pPr>
        <w:numPr>
          <w:ilvl w:val="1"/>
          <w:numId w:val="138"/>
        </w:numPr>
        <w:tabs>
          <w:tab w:val="left" w:pos="780"/>
        </w:tabs>
        <w:ind w:left="780" w:hanging="355"/>
        <w:rPr>
          <w:rFonts w:ascii="Wingdings" w:eastAsia="Wingdings" w:hAnsi="Wingdings" w:cs="Wingdings"/>
          <w:color w:val="C9D11D"/>
        </w:rPr>
      </w:pPr>
      <w:r>
        <w:rPr>
          <w:rFonts w:ascii="Cambria" w:eastAsia="Cambria" w:hAnsi="Cambria" w:cs="Cambria"/>
          <w:i/>
          <w:iCs/>
          <w:color w:val="C9D11D"/>
        </w:rPr>
        <w:t>Limite de la mesure</w:t>
      </w:r>
    </w:p>
    <w:p w:rsidR="00AC12B4" w:rsidRDefault="00AC12B4">
      <w:pPr>
        <w:spacing w:line="202" w:lineRule="exact"/>
        <w:rPr>
          <w:sz w:val="20"/>
          <w:szCs w:val="20"/>
        </w:rPr>
      </w:pPr>
    </w:p>
    <w:p w:rsidR="00AC12B4" w:rsidRPr="00C27636" w:rsidRDefault="00C27636">
      <w:pPr>
        <w:spacing w:line="224" w:lineRule="auto"/>
        <w:ind w:left="60" w:right="737"/>
        <w:jc w:val="both"/>
        <w:rPr>
          <w:sz w:val="20"/>
          <w:szCs w:val="20"/>
          <w:lang w:val="fr-BE"/>
        </w:rPr>
      </w:pPr>
      <w:r w:rsidRPr="00C27636">
        <w:rPr>
          <w:rFonts w:ascii="Calibri" w:eastAsia="Calibri" w:hAnsi="Calibri" w:cs="Calibri"/>
          <w:lang w:val="fr-BE"/>
        </w:rPr>
        <w:t>Actuellement, cette enquête n’est pas menée au niveau de la Communauté germanophone.</w:t>
      </w:r>
    </w:p>
    <w:p w:rsidR="00AC12B4" w:rsidRPr="00C27636" w:rsidRDefault="00AC12B4">
      <w:pPr>
        <w:spacing w:line="172" w:lineRule="exact"/>
        <w:rPr>
          <w:sz w:val="20"/>
          <w:szCs w:val="20"/>
          <w:lang w:val="fr-BE"/>
        </w:rPr>
      </w:pPr>
    </w:p>
    <w:p w:rsidR="00AC12B4" w:rsidRPr="00C27636" w:rsidRDefault="00C27636">
      <w:pPr>
        <w:spacing w:line="218" w:lineRule="auto"/>
        <w:ind w:left="60" w:right="737"/>
        <w:jc w:val="both"/>
        <w:rPr>
          <w:sz w:val="20"/>
          <w:szCs w:val="20"/>
          <w:lang w:val="fr-BE"/>
        </w:rPr>
      </w:pPr>
      <w:r w:rsidRPr="00C27636">
        <w:rPr>
          <w:rFonts w:ascii="Calibri" w:eastAsia="Calibri" w:hAnsi="Calibri" w:cs="Calibri"/>
          <w:lang w:val="fr-BE"/>
        </w:rPr>
        <w:t>De plus, les élèves de l’enseignement spécialisé ne sont pas interrogés.</w:t>
      </w:r>
    </w:p>
    <w:p w:rsidR="00AC12B4" w:rsidRPr="00C27636" w:rsidRDefault="00AC12B4">
      <w:pPr>
        <w:spacing w:line="170" w:lineRule="exact"/>
        <w:rPr>
          <w:sz w:val="20"/>
          <w:szCs w:val="20"/>
          <w:lang w:val="fr-BE"/>
        </w:rPr>
      </w:pPr>
    </w:p>
    <w:p w:rsidR="00AC12B4" w:rsidRPr="00C27636" w:rsidRDefault="00C27636">
      <w:pPr>
        <w:spacing w:line="229" w:lineRule="auto"/>
        <w:ind w:left="60" w:right="737"/>
        <w:jc w:val="both"/>
        <w:rPr>
          <w:sz w:val="20"/>
          <w:szCs w:val="20"/>
          <w:lang w:val="fr-BE"/>
        </w:rPr>
      </w:pPr>
      <w:r w:rsidRPr="00C27636">
        <w:rPr>
          <w:rFonts w:ascii="Calibri" w:eastAsia="Calibri" w:hAnsi="Calibri" w:cs="Calibri"/>
          <w:lang w:val="fr-BE"/>
        </w:rPr>
        <w:t xml:space="preserve">Seuls les élèves présents le jour de </w:t>
      </w:r>
      <w:r w:rsidRPr="00C27636">
        <w:rPr>
          <w:rFonts w:ascii="Calibri" w:eastAsia="Calibri" w:hAnsi="Calibri" w:cs="Calibri"/>
          <w:lang w:val="fr-BE"/>
        </w:rPr>
        <w:t>l’enquête remplissent le questionnaire. Cela signifie que les élèves absents car malades, non-scolarisés, ou séchant les</w:t>
      </w:r>
    </w:p>
    <w:p w:rsidR="00AC12B4" w:rsidRPr="00C27636" w:rsidRDefault="00AC12B4">
      <w:pPr>
        <w:rPr>
          <w:lang w:val="fr-BE"/>
        </w:rPr>
        <w:sectPr w:rsidR="00AC12B4" w:rsidRPr="00C27636">
          <w:pgSz w:w="12080" w:h="17179"/>
          <w:pgMar w:top="1440" w:right="1440" w:bottom="659" w:left="485" w:header="0" w:footer="0" w:gutter="0"/>
          <w:cols w:num="3" w:space="720" w:equalWidth="0">
            <w:col w:w="342" w:space="553"/>
            <w:col w:w="4400" w:space="180"/>
            <w:col w:w="4677"/>
          </w:cols>
        </w:sectPr>
      </w:pPr>
    </w:p>
    <w:p w:rsidR="00AC12B4" w:rsidRPr="00C27636" w:rsidRDefault="00AC12B4">
      <w:pPr>
        <w:spacing w:line="212" w:lineRule="exact"/>
        <w:rPr>
          <w:sz w:val="20"/>
          <w:szCs w:val="20"/>
          <w:lang w:val="fr-BE"/>
        </w:rPr>
      </w:pPr>
      <w:bookmarkStart w:id="92" w:name="page93"/>
      <w:bookmarkEnd w:id="92"/>
    </w:p>
    <w:p w:rsidR="00AC12B4" w:rsidRPr="00C27636" w:rsidRDefault="00C27636">
      <w:pPr>
        <w:spacing w:line="218" w:lineRule="auto"/>
        <w:ind w:left="560" w:right="480"/>
        <w:jc w:val="both"/>
        <w:rPr>
          <w:sz w:val="20"/>
          <w:szCs w:val="20"/>
          <w:lang w:val="fr-BE"/>
        </w:rPr>
      </w:pPr>
      <w:r w:rsidRPr="00C27636">
        <w:rPr>
          <w:rFonts w:ascii="Calibri" w:eastAsia="Calibri" w:hAnsi="Calibri" w:cs="Calibri"/>
          <w:lang w:val="fr-BE"/>
        </w:rPr>
        <w:t>cours ne sont pas repris dans cette enquête.</w:t>
      </w:r>
    </w:p>
    <w:p w:rsidR="00AC12B4" w:rsidRPr="00C27636" w:rsidRDefault="00AC12B4">
      <w:pPr>
        <w:spacing w:line="170" w:lineRule="exact"/>
        <w:rPr>
          <w:sz w:val="20"/>
          <w:szCs w:val="20"/>
          <w:lang w:val="fr-BE"/>
        </w:rPr>
      </w:pPr>
    </w:p>
    <w:p w:rsidR="00AC12B4" w:rsidRPr="00C27636" w:rsidRDefault="00C27636">
      <w:pPr>
        <w:spacing w:line="230" w:lineRule="auto"/>
        <w:ind w:left="560" w:right="480"/>
        <w:jc w:val="both"/>
        <w:rPr>
          <w:sz w:val="20"/>
          <w:szCs w:val="20"/>
          <w:lang w:val="fr-BE"/>
        </w:rPr>
      </w:pPr>
      <w:r w:rsidRPr="00C27636">
        <w:rPr>
          <w:rFonts w:ascii="Calibri" w:eastAsia="Calibri" w:hAnsi="Calibri" w:cs="Calibri"/>
          <w:lang w:val="fr-BE"/>
        </w:rPr>
        <w:t>Les questions concernant l’alimentation ne comprennent pas</w:t>
      </w:r>
      <w:r w:rsidRPr="00C27636">
        <w:rPr>
          <w:rFonts w:ascii="Calibri" w:eastAsia="Calibri" w:hAnsi="Calibri" w:cs="Calibri"/>
          <w:lang w:val="fr-BE"/>
        </w:rPr>
        <w:t xml:space="preserve"> d’information sur la quantité (p. ex nombre de portions de fruits/légumes). Il est dès lors impossible de réellement juger l’équilibre alimentaire.</w:t>
      </w:r>
    </w:p>
    <w:p w:rsidR="00AC12B4" w:rsidRPr="00C27636" w:rsidRDefault="00AC12B4">
      <w:pPr>
        <w:spacing w:line="133" w:lineRule="exact"/>
        <w:rPr>
          <w:sz w:val="20"/>
          <w:szCs w:val="20"/>
          <w:lang w:val="fr-BE"/>
        </w:rPr>
      </w:pPr>
    </w:p>
    <w:p w:rsidR="00AC12B4" w:rsidRDefault="00C27636">
      <w:pPr>
        <w:numPr>
          <w:ilvl w:val="0"/>
          <w:numId w:val="139"/>
        </w:numPr>
        <w:tabs>
          <w:tab w:val="left" w:pos="1280"/>
        </w:tabs>
        <w:ind w:left="1280" w:hanging="353"/>
        <w:rPr>
          <w:rFonts w:ascii="Wingdings" w:eastAsia="Wingdings" w:hAnsi="Wingdings" w:cs="Wingdings"/>
          <w:color w:val="C9D11D"/>
        </w:rPr>
      </w:pPr>
      <w:r>
        <w:rPr>
          <w:rFonts w:ascii="Cambria" w:eastAsia="Cambria" w:hAnsi="Cambria" w:cs="Cambria"/>
          <w:i/>
          <w:iCs/>
          <w:color w:val="C9D11D"/>
        </w:rPr>
        <w:t>Recommandations</w:t>
      </w:r>
    </w:p>
    <w:p w:rsidR="00AC12B4" w:rsidRDefault="00AC12B4">
      <w:pPr>
        <w:spacing w:line="202" w:lineRule="exact"/>
        <w:rPr>
          <w:sz w:val="20"/>
          <w:szCs w:val="20"/>
        </w:rPr>
      </w:pPr>
    </w:p>
    <w:p w:rsidR="00AC12B4" w:rsidRPr="00C27636" w:rsidRDefault="00C27636">
      <w:pPr>
        <w:spacing w:line="218" w:lineRule="auto"/>
        <w:ind w:left="560" w:right="480"/>
        <w:rPr>
          <w:sz w:val="20"/>
          <w:szCs w:val="20"/>
          <w:lang w:val="fr-BE"/>
        </w:rPr>
      </w:pPr>
      <w:r w:rsidRPr="00C27636">
        <w:rPr>
          <w:rFonts w:ascii="Calibri" w:eastAsia="Calibri" w:hAnsi="Calibri" w:cs="Calibri"/>
          <w:lang w:val="fr-BE"/>
        </w:rPr>
        <w:t>L’Enquête HBSC devrait être étendue aux élèves de l’enseignement spécialisé.</w:t>
      </w:r>
    </w:p>
    <w:p w:rsidR="00AC12B4" w:rsidRPr="00C27636" w:rsidRDefault="00AC12B4">
      <w:pPr>
        <w:spacing w:line="167" w:lineRule="exact"/>
        <w:rPr>
          <w:sz w:val="20"/>
          <w:szCs w:val="20"/>
          <w:lang w:val="fr-BE"/>
        </w:rPr>
      </w:pPr>
    </w:p>
    <w:p w:rsidR="00AC12B4" w:rsidRPr="00C27636" w:rsidRDefault="00C27636">
      <w:pPr>
        <w:spacing w:line="218" w:lineRule="auto"/>
        <w:ind w:left="560" w:right="480"/>
        <w:rPr>
          <w:sz w:val="20"/>
          <w:szCs w:val="20"/>
          <w:lang w:val="fr-BE"/>
        </w:rPr>
      </w:pPr>
      <w:r w:rsidRPr="00C27636">
        <w:rPr>
          <w:rFonts w:ascii="Calibri" w:eastAsia="Calibri" w:hAnsi="Calibri" w:cs="Calibri"/>
          <w:lang w:val="fr-BE"/>
        </w:rPr>
        <w:t xml:space="preserve">La </w:t>
      </w:r>
      <w:r w:rsidRPr="00C27636">
        <w:rPr>
          <w:rFonts w:ascii="Calibri" w:eastAsia="Calibri" w:hAnsi="Calibri" w:cs="Calibri"/>
          <w:lang w:val="fr-BE"/>
        </w:rPr>
        <w:t>Communauté germanophone devrait participer à cette enquête.</w:t>
      </w:r>
    </w:p>
    <w:p w:rsidR="00AC12B4" w:rsidRPr="00C27636" w:rsidRDefault="00AC12B4">
      <w:pPr>
        <w:spacing w:line="207" w:lineRule="exact"/>
        <w:rPr>
          <w:sz w:val="20"/>
          <w:szCs w:val="20"/>
          <w:lang w:val="fr-BE"/>
        </w:rPr>
      </w:pPr>
    </w:p>
    <w:p w:rsidR="00AC12B4" w:rsidRDefault="00C27636">
      <w:pPr>
        <w:ind w:left="560"/>
        <w:rPr>
          <w:sz w:val="20"/>
          <w:szCs w:val="20"/>
        </w:rPr>
      </w:pPr>
      <w:r>
        <w:rPr>
          <w:rFonts w:ascii="Cambria" w:eastAsia="Cambria" w:hAnsi="Cambria" w:cs="Cambria"/>
          <w:b/>
          <w:bCs/>
          <w:i/>
          <w:iCs/>
          <w:color w:val="919715"/>
          <w:sz w:val="26"/>
          <w:szCs w:val="26"/>
        </w:rPr>
        <w:t>Pour aller plus loin</w:t>
      </w:r>
    </w:p>
    <w:p w:rsidR="00AC12B4" w:rsidRDefault="00AC12B4">
      <w:pPr>
        <w:spacing w:line="164" w:lineRule="exact"/>
        <w:rPr>
          <w:sz w:val="20"/>
          <w:szCs w:val="20"/>
        </w:rPr>
      </w:pPr>
    </w:p>
    <w:p w:rsidR="00AC12B4" w:rsidRDefault="00C27636">
      <w:pPr>
        <w:numPr>
          <w:ilvl w:val="0"/>
          <w:numId w:val="140"/>
        </w:numPr>
        <w:tabs>
          <w:tab w:val="left" w:pos="1000"/>
        </w:tabs>
        <w:ind w:left="1000" w:hanging="366"/>
        <w:rPr>
          <w:rFonts w:ascii="Symbol" w:eastAsia="Symbol" w:hAnsi="Symbol" w:cs="Symbol"/>
          <w:sz w:val="20"/>
          <w:szCs w:val="20"/>
        </w:rPr>
      </w:pPr>
      <w:r>
        <w:rPr>
          <w:rFonts w:ascii="Calibri" w:eastAsia="Calibri" w:hAnsi="Calibri" w:cs="Calibri"/>
          <w:b/>
          <w:bCs/>
          <w:i/>
          <w:iCs/>
          <w:color w:val="9BBB59"/>
          <w:sz w:val="20"/>
          <w:szCs w:val="20"/>
        </w:rPr>
        <w:t>HBSC</w:t>
      </w:r>
      <w:r>
        <w:rPr>
          <w:rFonts w:ascii="Calibri" w:eastAsia="Calibri" w:hAnsi="Calibri" w:cs="Calibri"/>
          <w:color w:val="000000"/>
          <w:sz w:val="20"/>
          <w:szCs w:val="20"/>
        </w:rPr>
        <w:t>: d’autres</w:t>
      </w:r>
      <w:r>
        <w:rPr>
          <w:rFonts w:ascii="Calibri" w:eastAsia="Calibri" w:hAnsi="Calibri" w:cs="Calibri"/>
          <w:b/>
          <w:bCs/>
          <w:i/>
          <w:iCs/>
          <w:color w:val="9BBB59"/>
          <w:sz w:val="20"/>
          <w:szCs w:val="20"/>
        </w:rPr>
        <w:t xml:space="preserve"> </w:t>
      </w:r>
      <w:r>
        <w:rPr>
          <w:rFonts w:ascii="Calibri" w:eastAsia="Calibri" w:hAnsi="Calibri" w:cs="Calibri"/>
          <w:color w:val="000000"/>
          <w:sz w:val="20"/>
          <w:szCs w:val="20"/>
        </w:rPr>
        <w:t>mesures utiles :</w:t>
      </w:r>
    </w:p>
    <w:p w:rsidR="00AC12B4" w:rsidRDefault="00AC12B4">
      <w:pPr>
        <w:spacing w:line="81" w:lineRule="exact"/>
        <w:rPr>
          <w:sz w:val="20"/>
          <w:szCs w:val="20"/>
        </w:rPr>
      </w:pPr>
    </w:p>
    <w:p w:rsidR="00AC12B4" w:rsidRPr="00C27636" w:rsidRDefault="00C27636">
      <w:pPr>
        <w:numPr>
          <w:ilvl w:val="0"/>
          <w:numId w:val="141"/>
        </w:numPr>
        <w:tabs>
          <w:tab w:val="left" w:pos="1560"/>
        </w:tabs>
        <w:spacing w:line="262" w:lineRule="auto"/>
        <w:ind w:left="1560" w:right="480" w:hanging="360"/>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 xml:space="preserve">Consommation au moins une fois par semaine d’une boisson alcoolisée, celle de plus de 7 verres d’alcool par semaine et la consommation au </w:t>
      </w:r>
      <w:r w:rsidRPr="00C27636">
        <w:rPr>
          <w:rFonts w:ascii="Calibri" w:eastAsia="Calibri" w:hAnsi="Calibri" w:cs="Calibri"/>
          <w:sz w:val="20"/>
          <w:szCs w:val="20"/>
          <w:lang w:val="fr-BE"/>
        </w:rPr>
        <w:t>moins une fois</w:t>
      </w:r>
    </w:p>
    <w:p w:rsidR="00AC12B4" w:rsidRPr="00C27636" w:rsidRDefault="00AC12B4">
      <w:pPr>
        <w:spacing w:line="65" w:lineRule="exact"/>
        <w:rPr>
          <w:sz w:val="20"/>
          <w:szCs w:val="20"/>
          <w:lang w:val="fr-BE"/>
        </w:rPr>
      </w:pPr>
    </w:p>
    <w:p w:rsidR="00AC12B4" w:rsidRPr="00C27636" w:rsidRDefault="00C27636">
      <w:pPr>
        <w:spacing w:line="235" w:lineRule="auto"/>
        <w:ind w:left="1560" w:right="480"/>
        <w:rPr>
          <w:sz w:val="20"/>
          <w:szCs w:val="20"/>
          <w:lang w:val="fr-BE"/>
        </w:rPr>
      </w:pPr>
      <w:r w:rsidRPr="00C27636">
        <w:rPr>
          <w:rFonts w:ascii="Calibri" w:eastAsia="Calibri" w:hAnsi="Calibri" w:cs="Calibri"/>
          <w:sz w:val="20"/>
          <w:szCs w:val="20"/>
          <w:lang w:val="fr-BE"/>
        </w:rPr>
        <w:t>par semaine de cannabis (question posée également en primaire)</w:t>
      </w:r>
    </w:p>
    <w:p w:rsidR="00AC12B4" w:rsidRPr="00C27636" w:rsidRDefault="00AC12B4">
      <w:pPr>
        <w:spacing w:line="84" w:lineRule="exact"/>
        <w:rPr>
          <w:sz w:val="20"/>
          <w:szCs w:val="20"/>
          <w:lang w:val="fr-BE"/>
        </w:rPr>
      </w:pPr>
    </w:p>
    <w:p w:rsidR="00AC12B4" w:rsidRPr="00C27636" w:rsidRDefault="00C27636">
      <w:pPr>
        <w:numPr>
          <w:ilvl w:val="1"/>
          <w:numId w:val="142"/>
        </w:numPr>
        <w:tabs>
          <w:tab w:val="left" w:pos="1560"/>
        </w:tabs>
        <w:spacing w:line="250" w:lineRule="auto"/>
        <w:ind w:left="1560" w:right="480" w:hanging="360"/>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Usages plus importants et abusifs : la consommation de plus de 2 verres par jour, le tabagisme</w:t>
      </w:r>
    </w:p>
    <w:p w:rsidR="00AC12B4" w:rsidRPr="00C27636" w:rsidRDefault="00AC12B4">
      <w:pPr>
        <w:spacing w:line="73" w:lineRule="exact"/>
        <w:rPr>
          <w:rFonts w:ascii="Courier New" w:eastAsia="Courier New" w:hAnsi="Courier New" w:cs="Courier New"/>
          <w:sz w:val="20"/>
          <w:szCs w:val="20"/>
          <w:lang w:val="fr-BE"/>
        </w:rPr>
      </w:pPr>
    </w:p>
    <w:p w:rsidR="00AC12B4" w:rsidRPr="00C27636" w:rsidRDefault="00C27636">
      <w:pPr>
        <w:spacing w:line="270" w:lineRule="auto"/>
        <w:ind w:left="1560" w:right="480"/>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quotidien, l’absorption quotidienne de cannabis, la pratique régulière du «binge</w:t>
      </w:r>
      <w:r w:rsidRPr="00C27636">
        <w:rPr>
          <w:rFonts w:ascii="Calibri" w:eastAsia="Calibri" w:hAnsi="Calibri" w:cs="Calibri"/>
          <w:sz w:val="20"/>
          <w:szCs w:val="20"/>
          <w:lang w:val="fr-BE"/>
        </w:rPr>
        <w:t xml:space="preserve"> drinking» au cours du dernier mois, le fait d’avoir consommé de l’ecstasy au cours des 30 derniers jours et, comme pour les jeunes de fin de primaire, les abus quotidiens de multimédias (TV, jeux électroniques et ordinateur).</w:t>
      </w:r>
    </w:p>
    <w:p w:rsidR="00AC12B4" w:rsidRPr="00C27636" w:rsidRDefault="00AC12B4">
      <w:pPr>
        <w:spacing w:line="73" w:lineRule="exact"/>
        <w:rPr>
          <w:rFonts w:ascii="Courier New" w:eastAsia="Courier New" w:hAnsi="Courier New" w:cs="Courier New"/>
          <w:sz w:val="20"/>
          <w:szCs w:val="20"/>
          <w:lang w:val="fr-BE"/>
        </w:rPr>
      </w:pPr>
    </w:p>
    <w:p w:rsidR="00AC12B4" w:rsidRPr="00C27636" w:rsidRDefault="00C27636">
      <w:pPr>
        <w:numPr>
          <w:ilvl w:val="0"/>
          <w:numId w:val="142"/>
        </w:numPr>
        <w:tabs>
          <w:tab w:val="left" w:pos="1000"/>
        </w:tabs>
        <w:spacing w:line="268" w:lineRule="auto"/>
        <w:ind w:left="1000" w:right="480" w:hanging="366"/>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HIS: </w:t>
      </w:r>
      <w:r w:rsidRPr="00C27636">
        <w:rPr>
          <w:rFonts w:ascii="Calibri" w:eastAsia="Calibri" w:hAnsi="Calibri" w:cs="Calibri"/>
          <w:color w:val="000000"/>
          <w:sz w:val="20"/>
          <w:szCs w:val="20"/>
          <w:lang w:val="fr-BE"/>
        </w:rPr>
        <w:t xml:space="preserve">L’Enquête Nationale de </w:t>
      </w:r>
      <w:r w:rsidRPr="00C27636">
        <w:rPr>
          <w:rFonts w:ascii="Calibri" w:eastAsia="Calibri" w:hAnsi="Calibri" w:cs="Calibri"/>
          <w:color w:val="000000"/>
          <w:sz w:val="20"/>
          <w:szCs w:val="20"/>
          <w:lang w:val="fr-BE"/>
        </w:rPr>
        <w:t>Santé se</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penche sur les questions de comportements alimentaires. La plus-value de cette enquête est l’approche des quantités. Alors que la grande majorité des enfants mangent quotidiennement des fruits et des légumes, il ne sont que 8% à manger les quantit</w:t>
      </w:r>
      <w:r w:rsidRPr="00C27636">
        <w:rPr>
          <w:rFonts w:ascii="Calibri" w:eastAsia="Calibri" w:hAnsi="Calibri" w:cs="Calibri"/>
          <w:color w:val="000000"/>
          <w:sz w:val="20"/>
          <w:szCs w:val="20"/>
          <w:lang w:val="fr-BE"/>
        </w:rPr>
        <w:t>és recommandées par l’OMS (5 portions).</w:t>
      </w:r>
    </w:p>
    <w:p w:rsidR="00AC12B4" w:rsidRPr="00C27636" w:rsidRDefault="00AC12B4">
      <w:pPr>
        <w:spacing w:line="43" w:lineRule="exact"/>
        <w:rPr>
          <w:rFonts w:ascii="Symbol" w:eastAsia="Symbol" w:hAnsi="Symbol" w:cs="Symbol"/>
          <w:sz w:val="20"/>
          <w:szCs w:val="20"/>
          <w:lang w:val="fr-BE"/>
        </w:rPr>
      </w:pPr>
    </w:p>
    <w:p w:rsidR="00AC12B4" w:rsidRPr="00C27636" w:rsidRDefault="00C27636">
      <w:pPr>
        <w:spacing w:line="261" w:lineRule="auto"/>
        <w:ind w:left="2000" w:right="480" w:hanging="361"/>
        <w:jc w:val="right"/>
        <w:rPr>
          <w:rFonts w:ascii="Symbol" w:eastAsia="Symbol" w:hAnsi="Symbol" w:cs="Symbol"/>
          <w:sz w:val="20"/>
          <w:szCs w:val="20"/>
          <w:lang w:val="fr-BE"/>
        </w:rPr>
      </w:pPr>
      <w:r w:rsidRPr="00C27636">
        <w:rPr>
          <w:rFonts w:ascii="Courier New" w:eastAsia="Courier New" w:hAnsi="Courier New" w:cs="Courier New"/>
          <w:sz w:val="20"/>
          <w:szCs w:val="20"/>
          <w:lang w:val="fr-BE"/>
        </w:rPr>
        <w:t xml:space="preserve">o  </w:t>
      </w:r>
      <w:r w:rsidRPr="00C27636">
        <w:rPr>
          <w:rFonts w:ascii="Calibri" w:eastAsia="Calibri" w:hAnsi="Calibri" w:cs="Calibri"/>
          <w:sz w:val="20"/>
          <w:szCs w:val="20"/>
          <w:lang w:val="fr-BE"/>
        </w:rPr>
        <w:t>Drieskens, S., « Les habitudes</w:t>
      </w:r>
      <w:r w:rsidRPr="00C27636">
        <w:rPr>
          <w:rFonts w:ascii="Courier New" w:eastAsia="Courier New" w:hAnsi="Courier New" w:cs="Courier New"/>
          <w:sz w:val="20"/>
          <w:szCs w:val="20"/>
          <w:lang w:val="fr-BE"/>
        </w:rPr>
        <w:t xml:space="preserve"> </w:t>
      </w:r>
      <w:r w:rsidRPr="00C27636">
        <w:rPr>
          <w:rFonts w:ascii="Calibri" w:eastAsia="Calibri" w:hAnsi="Calibri" w:cs="Calibri"/>
          <w:sz w:val="20"/>
          <w:szCs w:val="20"/>
          <w:lang w:val="fr-BE"/>
        </w:rPr>
        <w:t xml:space="preserve">nutritionnelles », dans: Gisle, L.,   Demarest,   S.   (éd.), </w:t>
      </w:r>
      <w:r w:rsidRPr="00C27636">
        <w:rPr>
          <w:rFonts w:ascii="Calibri" w:eastAsia="Calibri" w:hAnsi="Calibri" w:cs="Calibri"/>
          <w:i/>
          <w:iCs/>
          <w:sz w:val="20"/>
          <w:szCs w:val="20"/>
          <w:lang w:val="fr-BE"/>
        </w:rPr>
        <w:t>Enquête  de  santé  2013.</w:t>
      </w:r>
    </w:p>
    <w:p w:rsidR="00AC12B4" w:rsidRPr="00C27636" w:rsidRDefault="00AC12B4">
      <w:pPr>
        <w:spacing w:line="131"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93</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1" w:lineRule="exact"/>
        <w:rPr>
          <w:sz w:val="20"/>
          <w:szCs w:val="20"/>
          <w:lang w:val="fr-BE"/>
        </w:rPr>
      </w:pPr>
    </w:p>
    <w:p w:rsidR="00AC12B4" w:rsidRPr="00C27636" w:rsidRDefault="00C27636">
      <w:pPr>
        <w:spacing w:line="254" w:lineRule="auto"/>
        <w:ind w:left="1381" w:right="39"/>
        <w:jc w:val="both"/>
        <w:rPr>
          <w:sz w:val="20"/>
          <w:szCs w:val="20"/>
          <w:lang w:val="fr-BE"/>
        </w:rPr>
      </w:pPr>
      <w:r w:rsidRPr="00C27636">
        <w:rPr>
          <w:rFonts w:ascii="Calibri" w:eastAsia="Calibri" w:hAnsi="Calibri" w:cs="Calibri"/>
          <w:i/>
          <w:iCs/>
          <w:sz w:val="20"/>
          <w:szCs w:val="20"/>
          <w:lang w:val="fr-BE"/>
        </w:rPr>
        <w:t>Rapport 2: Comportements de santé et style de vie</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Bruxelles, WIV-ISP, 2014.</w:t>
      </w:r>
    </w:p>
    <w:p w:rsidR="00AC12B4" w:rsidRPr="00C27636" w:rsidRDefault="00AC12B4">
      <w:pPr>
        <w:spacing w:line="220" w:lineRule="exact"/>
        <w:rPr>
          <w:sz w:val="20"/>
          <w:szCs w:val="20"/>
          <w:lang w:val="fr-BE"/>
        </w:rPr>
      </w:pPr>
    </w:p>
    <w:p w:rsidR="00AC12B4" w:rsidRPr="00C27636" w:rsidRDefault="00C27636">
      <w:pPr>
        <w:tabs>
          <w:tab w:val="left" w:pos="840"/>
          <w:tab w:val="left" w:pos="1600"/>
          <w:tab w:val="left" w:pos="2720"/>
          <w:tab w:val="left" w:pos="3100"/>
        </w:tabs>
        <w:ind w:left="361"/>
        <w:rPr>
          <w:sz w:val="20"/>
          <w:szCs w:val="20"/>
          <w:lang w:val="fr-BE"/>
        </w:rPr>
      </w:pPr>
      <w:r w:rsidRPr="00C27636">
        <w:rPr>
          <w:rFonts w:ascii="Calibri" w:eastAsia="Calibri" w:hAnsi="Calibri" w:cs="Calibri"/>
          <w:sz w:val="20"/>
          <w:szCs w:val="20"/>
          <w:lang w:val="fr-BE"/>
        </w:rPr>
        <w:t>HIS</w:t>
      </w:r>
      <w:r w:rsidRPr="00C27636">
        <w:rPr>
          <w:rFonts w:ascii="Calibri" w:eastAsia="Calibri" w:hAnsi="Calibri" w:cs="Calibri"/>
          <w:sz w:val="20"/>
          <w:szCs w:val="20"/>
          <w:lang w:val="fr-BE"/>
        </w:rPr>
        <w:tab/>
        <w:t>étud</w:t>
      </w:r>
      <w:r w:rsidRPr="00C27636">
        <w:rPr>
          <w:rFonts w:ascii="Calibri" w:eastAsia="Calibri" w:hAnsi="Calibri" w:cs="Calibri"/>
          <w:sz w:val="20"/>
          <w:szCs w:val="20"/>
          <w:lang w:val="fr-BE"/>
        </w:rPr>
        <w:t>ie</w:t>
      </w:r>
      <w:r w:rsidRPr="00C27636">
        <w:rPr>
          <w:rFonts w:ascii="Calibri" w:eastAsia="Calibri" w:hAnsi="Calibri" w:cs="Calibri"/>
          <w:sz w:val="20"/>
          <w:szCs w:val="20"/>
          <w:lang w:val="fr-BE"/>
        </w:rPr>
        <w:tab/>
        <w:t>également</w:t>
      </w:r>
      <w:r w:rsidRPr="00C27636">
        <w:rPr>
          <w:rFonts w:ascii="Calibri" w:eastAsia="Calibri" w:hAnsi="Calibri" w:cs="Calibri"/>
          <w:sz w:val="20"/>
          <w:szCs w:val="20"/>
          <w:lang w:val="fr-BE"/>
        </w:rPr>
        <w:tab/>
        <w:t>la</w:t>
      </w:r>
      <w:r w:rsidRPr="00C27636">
        <w:rPr>
          <w:sz w:val="20"/>
          <w:szCs w:val="20"/>
          <w:lang w:val="fr-BE"/>
        </w:rPr>
        <w:tab/>
      </w:r>
      <w:r w:rsidRPr="00C27636">
        <w:rPr>
          <w:rFonts w:ascii="Calibri" w:eastAsia="Calibri" w:hAnsi="Calibri" w:cs="Calibri"/>
          <w:sz w:val="19"/>
          <w:szCs w:val="19"/>
          <w:lang w:val="fr-BE"/>
        </w:rPr>
        <w:t>pratique</w:t>
      </w:r>
    </w:p>
    <w:p w:rsidR="00AC12B4" w:rsidRPr="00C27636" w:rsidRDefault="00AC12B4">
      <w:pPr>
        <w:spacing w:line="47" w:lineRule="exact"/>
        <w:rPr>
          <w:sz w:val="20"/>
          <w:szCs w:val="20"/>
          <w:lang w:val="fr-BE"/>
        </w:rPr>
      </w:pPr>
    </w:p>
    <w:p w:rsidR="00AC12B4" w:rsidRPr="00C27636" w:rsidRDefault="00C27636">
      <w:pPr>
        <w:spacing w:line="224" w:lineRule="auto"/>
        <w:ind w:left="361" w:right="59"/>
        <w:jc w:val="both"/>
        <w:rPr>
          <w:sz w:val="20"/>
          <w:szCs w:val="20"/>
          <w:lang w:val="fr-BE"/>
        </w:rPr>
      </w:pPr>
      <w:r w:rsidRPr="00C27636">
        <w:rPr>
          <w:rFonts w:ascii="Calibri" w:eastAsia="Calibri" w:hAnsi="Calibri" w:cs="Calibri"/>
          <w:sz w:val="20"/>
          <w:szCs w:val="20"/>
          <w:lang w:val="fr-BE"/>
        </w:rPr>
        <w:t>d’activités physiques et les comportements à risque mais uniquement pour les plus de 15 ans.</w:t>
      </w:r>
    </w:p>
    <w:p w:rsidR="00AC12B4" w:rsidRPr="00C27636" w:rsidRDefault="00AC12B4">
      <w:pPr>
        <w:spacing w:line="122" w:lineRule="exact"/>
        <w:rPr>
          <w:sz w:val="20"/>
          <w:szCs w:val="20"/>
          <w:lang w:val="fr-BE"/>
        </w:rPr>
      </w:pPr>
    </w:p>
    <w:p w:rsidR="00AC12B4" w:rsidRPr="00C27636" w:rsidRDefault="00C27636">
      <w:pPr>
        <w:ind w:left="361"/>
        <w:rPr>
          <w:sz w:val="20"/>
          <w:szCs w:val="20"/>
          <w:lang w:val="fr-BE"/>
        </w:rPr>
      </w:pPr>
      <w:r w:rsidRPr="00C27636">
        <w:rPr>
          <w:rFonts w:ascii="Calibri" w:eastAsia="Calibri" w:hAnsi="Calibri" w:cs="Calibri"/>
          <w:b/>
          <w:bCs/>
          <w:i/>
          <w:iCs/>
          <w:color w:val="9BBB59"/>
          <w:sz w:val="20"/>
          <w:szCs w:val="20"/>
          <w:lang w:val="fr-BE"/>
        </w:rPr>
        <w:t xml:space="preserve">Enquête de consommation alimentaire </w:t>
      </w:r>
      <w:r w:rsidRPr="00C27636">
        <w:rPr>
          <w:rFonts w:ascii="Calibri" w:eastAsia="Calibri" w:hAnsi="Calibri" w:cs="Calibri"/>
          <w:b/>
          <w:bCs/>
          <w:i/>
          <w:iCs/>
          <w:color w:val="000000"/>
          <w:sz w:val="20"/>
          <w:szCs w:val="20"/>
          <w:lang w:val="fr-BE"/>
        </w:rPr>
        <w:t>:</w:t>
      </w:r>
    </w:p>
    <w:p w:rsidR="00AC12B4" w:rsidRPr="00C27636" w:rsidRDefault="00AC12B4">
      <w:pPr>
        <w:spacing w:line="37" w:lineRule="exact"/>
        <w:rPr>
          <w:sz w:val="20"/>
          <w:szCs w:val="20"/>
          <w:lang w:val="fr-BE"/>
        </w:rPr>
      </w:pPr>
    </w:p>
    <w:p w:rsidR="00AC12B4" w:rsidRPr="00C27636" w:rsidRDefault="00C27636">
      <w:pPr>
        <w:ind w:left="361"/>
        <w:rPr>
          <w:sz w:val="20"/>
          <w:szCs w:val="20"/>
          <w:lang w:val="fr-BE"/>
        </w:rPr>
      </w:pPr>
      <w:r w:rsidRPr="00C27636">
        <w:rPr>
          <w:rFonts w:ascii="Calibri" w:eastAsia="Calibri" w:hAnsi="Calibri" w:cs="Calibri"/>
          <w:sz w:val="20"/>
          <w:szCs w:val="20"/>
          <w:lang w:val="fr-BE"/>
        </w:rPr>
        <w:t>l’Institut Scientifique de Santé Publique a</w:t>
      </w:r>
    </w:p>
    <w:p w:rsidR="00AC12B4" w:rsidRPr="00C27636" w:rsidRDefault="00AC12B4">
      <w:pPr>
        <w:spacing w:line="37" w:lineRule="exact"/>
        <w:rPr>
          <w:sz w:val="20"/>
          <w:szCs w:val="20"/>
          <w:lang w:val="fr-BE"/>
        </w:rPr>
      </w:pPr>
    </w:p>
    <w:p w:rsidR="00AC12B4" w:rsidRPr="00C27636" w:rsidRDefault="00C27636">
      <w:pPr>
        <w:ind w:left="361"/>
        <w:rPr>
          <w:sz w:val="20"/>
          <w:szCs w:val="20"/>
          <w:lang w:val="fr-BE"/>
        </w:rPr>
      </w:pPr>
      <w:r w:rsidRPr="00C27636">
        <w:rPr>
          <w:rFonts w:ascii="Calibri" w:eastAsia="Calibri" w:hAnsi="Calibri" w:cs="Calibri"/>
          <w:sz w:val="20"/>
          <w:szCs w:val="20"/>
          <w:lang w:val="fr-BE"/>
        </w:rPr>
        <w:t>réalisé en 2014 une deuxième enquête de</w:t>
      </w:r>
    </w:p>
    <w:p w:rsidR="00AC12B4" w:rsidRPr="00C27636" w:rsidRDefault="00AC12B4">
      <w:pPr>
        <w:spacing w:line="83" w:lineRule="exact"/>
        <w:rPr>
          <w:sz w:val="20"/>
          <w:szCs w:val="20"/>
          <w:lang w:val="fr-BE"/>
        </w:rPr>
      </w:pPr>
    </w:p>
    <w:p w:rsidR="00AC12B4" w:rsidRPr="00C27636" w:rsidRDefault="00C27636">
      <w:pPr>
        <w:spacing w:line="266" w:lineRule="auto"/>
        <w:ind w:left="361" w:right="59"/>
        <w:jc w:val="both"/>
        <w:rPr>
          <w:sz w:val="20"/>
          <w:szCs w:val="20"/>
          <w:lang w:val="fr-BE"/>
        </w:rPr>
      </w:pPr>
      <w:r w:rsidRPr="00C27636">
        <w:rPr>
          <w:rFonts w:ascii="Calibri" w:eastAsia="Calibri" w:hAnsi="Calibri" w:cs="Calibri"/>
          <w:sz w:val="20"/>
          <w:szCs w:val="20"/>
          <w:lang w:val="fr-BE"/>
        </w:rPr>
        <w:t>consommation alimentaire. 3200 personnes ont participé à cette enquête dont 2000 enfants (500 petits enfants de 3-5 ans, 500 enfants de 6 à 9 ans et 1000 de 10 à 17 ans). Les enfants de 3 à 9 ans étaient interviewés par proxy et la</w:t>
      </w:r>
    </w:p>
    <w:p w:rsidR="00AC12B4" w:rsidRPr="00C27636" w:rsidRDefault="00AC12B4">
      <w:pPr>
        <w:spacing w:line="15" w:lineRule="exact"/>
        <w:rPr>
          <w:sz w:val="20"/>
          <w:szCs w:val="20"/>
          <w:lang w:val="fr-BE"/>
        </w:rPr>
      </w:pPr>
    </w:p>
    <w:p w:rsidR="00AC12B4" w:rsidRPr="00C27636" w:rsidRDefault="00C27636">
      <w:pPr>
        <w:ind w:left="361"/>
        <w:rPr>
          <w:sz w:val="20"/>
          <w:szCs w:val="20"/>
          <w:lang w:val="fr-BE"/>
        </w:rPr>
      </w:pPr>
      <w:r w:rsidRPr="00C27636">
        <w:rPr>
          <w:rFonts w:ascii="Calibri" w:eastAsia="Calibri" w:hAnsi="Calibri" w:cs="Calibri"/>
          <w:sz w:val="20"/>
          <w:szCs w:val="20"/>
          <w:lang w:val="fr-BE"/>
        </w:rPr>
        <w:t>méthodologie de l’enquê</w:t>
      </w:r>
      <w:r w:rsidRPr="00C27636">
        <w:rPr>
          <w:rFonts w:ascii="Calibri" w:eastAsia="Calibri" w:hAnsi="Calibri" w:cs="Calibri"/>
          <w:sz w:val="20"/>
          <w:szCs w:val="20"/>
          <w:lang w:val="fr-BE"/>
        </w:rPr>
        <w:t>te a été adaptée</w:t>
      </w:r>
    </w:p>
    <w:p w:rsidR="00AC12B4" w:rsidRPr="00C27636" w:rsidRDefault="00AC12B4">
      <w:pPr>
        <w:spacing w:line="83" w:lineRule="exact"/>
        <w:rPr>
          <w:sz w:val="20"/>
          <w:szCs w:val="20"/>
          <w:lang w:val="fr-BE"/>
        </w:rPr>
      </w:pPr>
    </w:p>
    <w:p w:rsidR="00AC12B4" w:rsidRDefault="00C27636">
      <w:pPr>
        <w:spacing w:line="264" w:lineRule="auto"/>
        <w:ind w:left="361" w:right="59"/>
        <w:jc w:val="both"/>
        <w:rPr>
          <w:rFonts w:ascii="Calibri" w:eastAsia="Calibri" w:hAnsi="Calibri" w:cs="Calibri"/>
          <w:sz w:val="20"/>
          <w:szCs w:val="20"/>
          <w:u w:val="single"/>
        </w:rPr>
      </w:pPr>
      <w:r w:rsidRPr="00C27636">
        <w:rPr>
          <w:rFonts w:ascii="Calibri" w:eastAsia="Calibri" w:hAnsi="Calibri" w:cs="Calibri"/>
          <w:sz w:val="20"/>
          <w:szCs w:val="20"/>
          <w:lang w:val="fr-BE"/>
        </w:rPr>
        <w:t xml:space="preserve">pour eux. En plus des questionnaires, les enfants et adolescents ont porté pendant 7 jours un accéléromètre pour mesurer leur activité physique. </w:t>
      </w:r>
      <w:hyperlink r:id="rId144">
        <w:r>
          <w:rPr>
            <w:rFonts w:ascii="Calibri" w:eastAsia="Calibri" w:hAnsi="Calibri" w:cs="Calibri"/>
            <w:sz w:val="20"/>
            <w:szCs w:val="20"/>
            <w:u w:val="single"/>
          </w:rPr>
          <w:t>https://fcs.wiv-</w:t>
        </w:r>
      </w:hyperlink>
      <w:hyperlink r:id="rId145">
        <w:r>
          <w:rPr>
            <w:rFonts w:ascii="Calibri" w:eastAsia="Calibri" w:hAnsi="Calibri" w:cs="Calibri"/>
            <w:sz w:val="20"/>
            <w:szCs w:val="20"/>
            <w:u w:val="single"/>
          </w:rPr>
          <w:t>isp.be/</w:t>
        </w:r>
      </w:hyperlink>
    </w:p>
    <w:p w:rsidR="00AC12B4" w:rsidRDefault="00AC12B4">
      <w:pPr>
        <w:spacing w:line="16" w:lineRule="exact"/>
        <w:rPr>
          <w:sz w:val="20"/>
          <w:szCs w:val="20"/>
        </w:rPr>
      </w:pPr>
    </w:p>
    <w:p w:rsidR="00AC12B4" w:rsidRPr="00C27636" w:rsidRDefault="00C27636">
      <w:pPr>
        <w:numPr>
          <w:ilvl w:val="0"/>
          <w:numId w:val="143"/>
        </w:numPr>
        <w:tabs>
          <w:tab w:val="left" w:pos="361"/>
        </w:tabs>
        <w:ind w:left="361" w:hanging="361"/>
        <w:rPr>
          <w:rFonts w:ascii="Symbol" w:eastAsia="Symbol" w:hAnsi="Symbol" w:cs="Symbol"/>
          <w:sz w:val="20"/>
          <w:szCs w:val="20"/>
          <w:lang w:val="nl-NL"/>
        </w:rPr>
      </w:pPr>
      <w:r w:rsidRPr="00C27636">
        <w:rPr>
          <w:rFonts w:ascii="Calibri" w:eastAsia="Calibri" w:hAnsi="Calibri" w:cs="Calibri"/>
          <w:sz w:val="20"/>
          <w:szCs w:val="20"/>
          <w:lang w:val="nl-NL"/>
        </w:rPr>
        <w:t>Huysentruyt, K., Laire, D., Van Avondt, T.,</w:t>
      </w:r>
    </w:p>
    <w:p w:rsidR="00AC12B4" w:rsidRPr="00C27636" w:rsidRDefault="00AC12B4">
      <w:pPr>
        <w:spacing w:line="45" w:lineRule="exact"/>
        <w:rPr>
          <w:rFonts w:ascii="Symbol" w:eastAsia="Symbol" w:hAnsi="Symbol" w:cs="Symbol"/>
          <w:sz w:val="20"/>
          <w:szCs w:val="20"/>
          <w:lang w:val="nl-NL"/>
        </w:rPr>
      </w:pPr>
    </w:p>
    <w:p w:rsidR="00AC12B4" w:rsidRPr="00C27636" w:rsidRDefault="00C27636">
      <w:pPr>
        <w:spacing w:line="234" w:lineRule="auto"/>
        <w:ind w:left="361" w:right="59"/>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De Schepper, J., Vandenplas, Y.,” Energy and macronutrient intakes and adherence to dietary guidelines of infants and toddlers in Belgium”, </w:t>
      </w:r>
      <w:r w:rsidRPr="00C27636">
        <w:rPr>
          <w:rFonts w:ascii="Calibri" w:eastAsia="Calibri" w:hAnsi="Calibri" w:cs="Calibri"/>
          <w:i/>
          <w:iCs/>
          <w:sz w:val="20"/>
          <w:szCs w:val="20"/>
          <w:lang w:val="fr-BE"/>
        </w:rPr>
        <w:t>Eur J Nutr.</w:t>
      </w:r>
      <w:r w:rsidRPr="00C27636">
        <w:rPr>
          <w:rFonts w:ascii="Calibri" w:eastAsia="Calibri" w:hAnsi="Calibri" w:cs="Calibri"/>
          <w:sz w:val="20"/>
          <w:szCs w:val="20"/>
          <w:lang w:val="fr-BE"/>
        </w:rPr>
        <w:t xml:space="preserve"> 2015: enquête sur les comportements alimentaires d’enfants de 6 mois à 3 ans, avec une ventilation selon le statut socio-économique de la mère.</w:t>
      </w:r>
    </w:p>
    <w:p w:rsidR="00AC12B4" w:rsidRPr="00C27636" w:rsidRDefault="00AC12B4">
      <w:pPr>
        <w:spacing w:line="61" w:lineRule="exact"/>
        <w:rPr>
          <w:rFonts w:ascii="Symbol" w:eastAsia="Symbol" w:hAnsi="Symbol" w:cs="Symbol"/>
          <w:sz w:val="20"/>
          <w:szCs w:val="20"/>
          <w:lang w:val="fr-BE"/>
        </w:rPr>
      </w:pPr>
    </w:p>
    <w:p w:rsidR="00AC12B4" w:rsidRPr="00C27636" w:rsidRDefault="00C27636">
      <w:pPr>
        <w:numPr>
          <w:ilvl w:val="0"/>
          <w:numId w:val="143"/>
        </w:numPr>
        <w:tabs>
          <w:tab w:val="left" w:pos="361"/>
        </w:tabs>
        <w:spacing w:line="228" w:lineRule="auto"/>
        <w:ind w:left="361" w:right="59" w:hanging="361"/>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Types de comportements de consommation alimentaire</w:t>
      </w:r>
      <w:r w:rsidRPr="00C27636">
        <w:rPr>
          <w:rFonts w:ascii="Calibri" w:eastAsia="Calibri" w:hAnsi="Calibri" w:cs="Calibri"/>
          <w:color w:val="000000"/>
          <w:sz w:val="20"/>
          <w:szCs w:val="20"/>
          <w:lang w:val="fr-BE"/>
        </w:rPr>
        <w:t>: plusieurs</w:t>
      </w:r>
    </w:p>
    <w:p w:rsidR="00AC12B4" w:rsidRPr="00C27636" w:rsidRDefault="00AC12B4">
      <w:pPr>
        <w:spacing w:line="85" w:lineRule="exact"/>
        <w:rPr>
          <w:rFonts w:ascii="Symbol" w:eastAsia="Symbol" w:hAnsi="Symbol" w:cs="Symbol"/>
          <w:sz w:val="20"/>
          <w:szCs w:val="20"/>
          <w:lang w:val="fr-BE"/>
        </w:rPr>
      </w:pPr>
    </w:p>
    <w:p w:rsidR="00AC12B4" w:rsidRPr="00C27636" w:rsidRDefault="00C27636">
      <w:pPr>
        <w:spacing w:line="264" w:lineRule="auto"/>
        <w:ind w:left="361" w:right="59"/>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produits alimentaires et de consommation (des </w:t>
      </w:r>
      <w:r w:rsidRPr="00C27636">
        <w:rPr>
          <w:rFonts w:ascii="Calibri" w:eastAsia="Calibri" w:hAnsi="Calibri" w:cs="Calibri"/>
          <w:sz w:val="20"/>
          <w:szCs w:val="20"/>
          <w:lang w:val="fr-BE"/>
        </w:rPr>
        <w:t>produits d’hygiène, des jouets, des produits d’entretien) contiennent des substances chimiques qui peuvent nuire à long terme à la santé</w:t>
      </w:r>
    </w:p>
    <w:p w:rsidR="00AC12B4" w:rsidRPr="00C27636" w:rsidRDefault="00AC12B4">
      <w:pPr>
        <w:spacing w:line="61" w:lineRule="exact"/>
        <w:rPr>
          <w:rFonts w:ascii="Symbol" w:eastAsia="Symbol" w:hAnsi="Symbol" w:cs="Symbol"/>
          <w:sz w:val="20"/>
          <w:szCs w:val="20"/>
          <w:lang w:val="fr-BE"/>
        </w:rPr>
      </w:pPr>
    </w:p>
    <w:p w:rsidR="00AC12B4" w:rsidRPr="00C27636" w:rsidRDefault="00C27636">
      <w:pPr>
        <w:spacing w:line="271" w:lineRule="auto"/>
        <w:ind w:left="361" w:right="59"/>
        <w:jc w:val="both"/>
        <w:rPr>
          <w:rFonts w:ascii="Symbol" w:eastAsia="Symbol" w:hAnsi="Symbol" w:cs="Symbol"/>
          <w:sz w:val="20"/>
          <w:szCs w:val="20"/>
          <w:lang w:val="fr-BE"/>
        </w:rPr>
      </w:pPr>
      <w:r w:rsidRPr="00C27636">
        <w:rPr>
          <w:rFonts w:ascii="Calibri" w:eastAsia="Calibri" w:hAnsi="Calibri" w:cs="Calibri"/>
          <w:sz w:val="20"/>
          <w:szCs w:val="20"/>
          <w:lang w:val="fr-BE"/>
        </w:rPr>
        <w:t>humaine. Le programme de Biomonitoring humain du Steunpunt Milieu en Gezondheid (Flandre) collecte tous les 4-5 ans de</w:t>
      </w:r>
      <w:r w:rsidRPr="00C27636">
        <w:rPr>
          <w:rFonts w:ascii="Calibri" w:eastAsia="Calibri" w:hAnsi="Calibri" w:cs="Calibri"/>
          <w:sz w:val="20"/>
          <w:szCs w:val="20"/>
          <w:lang w:val="fr-BE"/>
        </w:rPr>
        <w:t>s données sur la pollution environnementale , sur le style de vie et sur la santé, par le biais de mesures médicales et par le biais d’enquêtes. La perception des gens est prise en compte. Le cycle le plus récent (2012-2015) a également examiné l’aspect di</w:t>
      </w:r>
      <w:r w:rsidRPr="00C27636">
        <w:rPr>
          <w:rFonts w:ascii="Calibri" w:eastAsia="Calibri" w:hAnsi="Calibri" w:cs="Calibri"/>
          <w:sz w:val="20"/>
          <w:szCs w:val="20"/>
          <w:lang w:val="fr-BE"/>
        </w:rPr>
        <w:t>versité sociale et l’impact d’une exposition à un environnement pollué.</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67616"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6" w:bottom="659" w:left="1440" w:header="0" w:footer="0" w:gutter="0"/>
          <w:cols w:num="3" w:space="720" w:equalWidth="0">
            <w:col w:w="4920" w:space="299"/>
            <w:col w:w="3860" w:space="720"/>
            <w:col w:w="342"/>
          </w:cols>
        </w:sectPr>
      </w:pPr>
    </w:p>
    <w:p w:rsidR="00AC12B4" w:rsidRPr="00C27636" w:rsidRDefault="00C27636">
      <w:pPr>
        <w:spacing w:line="211" w:lineRule="exact"/>
        <w:rPr>
          <w:sz w:val="20"/>
          <w:szCs w:val="20"/>
          <w:lang w:val="fr-BE"/>
        </w:rPr>
      </w:pPr>
      <w:bookmarkStart w:id="93" w:name="page94"/>
      <w:bookmarkEnd w:id="93"/>
      <w:r>
        <w:rPr>
          <w:noProof/>
          <w:sz w:val="20"/>
          <w:szCs w:val="20"/>
        </w:rPr>
        <w:lastRenderedPageBreak/>
        <w:drawing>
          <wp:anchor distT="0" distB="0" distL="114300" distR="114300" simplePos="0" relativeHeight="251568640" behindDoc="1" locked="0" layoutInCell="0" allowOverlap="1">
            <wp:simplePos x="0" y="0"/>
            <wp:positionH relativeFrom="page">
              <wp:posOffset>0</wp:posOffset>
            </wp:positionH>
            <wp:positionV relativeFrom="page">
              <wp:posOffset>0</wp:posOffset>
            </wp:positionV>
            <wp:extent cx="810895" cy="10908665"/>
            <wp:effectExtent l="0" t="0" r="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40">
                      <a:clrChange>
                        <a:clrFrom>
                          <a:srgbClr val="FFFFFF"/>
                        </a:clrFrom>
                        <a:clrTo>
                          <a:srgbClr val="FFFFFF">
                            <a:alpha val="0"/>
                          </a:srgbClr>
                        </a:clrTo>
                      </a:clrChange>
                      <a:extLst/>
                    </a:blip>
                    <a:srcRect/>
                    <a:stretch>
                      <a:fillRect/>
                    </a:stretch>
                  </pic:blipFill>
                  <pic:spPr bwMode="auto">
                    <a:xfrm>
                      <a:off x="0" y="0"/>
                      <a:ext cx="810895" cy="10908665"/>
                    </a:xfrm>
                    <a:prstGeom prst="rect">
                      <a:avLst/>
                    </a:prstGeom>
                    <a:noFill/>
                  </pic:spPr>
                </pic:pic>
              </a:graphicData>
            </a:graphic>
          </wp:anchor>
        </w:drawing>
      </w:r>
    </w:p>
    <w:p w:rsidR="00AC12B4" w:rsidRPr="00C27636" w:rsidRDefault="00C27636">
      <w:pPr>
        <w:spacing w:line="235" w:lineRule="auto"/>
        <w:ind w:left="1380" w:right="460"/>
        <w:jc w:val="both"/>
        <w:rPr>
          <w:sz w:val="20"/>
          <w:szCs w:val="20"/>
          <w:lang w:val="fr-BE"/>
        </w:rPr>
      </w:pPr>
      <w:r w:rsidRPr="00C27636">
        <w:rPr>
          <w:rFonts w:ascii="Calibri" w:eastAsia="Calibri" w:hAnsi="Calibri" w:cs="Calibri"/>
          <w:sz w:val="20"/>
          <w:szCs w:val="20"/>
          <w:lang w:val="fr-BE"/>
        </w:rPr>
        <w:t xml:space="preserve">L’enquête est menée auprès de jeunes de 14-15 ans et de mères qui </w:t>
      </w:r>
      <w:r w:rsidRPr="00C27636">
        <w:rPr>
          <w:rFonts w:ascii="Calibri" w:eastAsia="Calibri" w:hAnsi="Calibri" w:cs="Calibri"/>
          <w:sz w:val="20"/>
          <w:szCs w:val="20"/>
          <w:lang w:val="fr-BE"/>
        </w:rPr>
        <w:t>viennent</w:t>
      </w:r>
    </w:p>
    <w:p w:rsidR="00AC12B4" w:rsidRPr="00C27636" w:rsidRDefault="00AC12B4">
      <w:pPr>
        <w:spacing w:line="84" w:lineRule="exact"/>
        <w:rPr>
          <w:sz w:val="20"/>
          <w:szCs w:val="20"/>
          <w:lang w:val="fr-BE"/>
        </w:rPr>
      </w:pPr>
    </w:p>
    <w:p w:rsidR="00AC12B4" w:rsidRPr="00C27636" w:rsidRDefault="00C27636">
      <w:pPr>
        <w:spacing w:line="254" w:lineRule="auto"/>
        <w:ind w:left="1380" w:right="460"/>
        <w:jc w:val="both"/>
        <w:rPr>
          <w:sz w:val="20"/>
          <w:szCs w:val="20"/>
          <w:lang w:val="fr-BE"/>
        </w:rPr>
      </w:pPr>
      <w:r w:rsidRPr="00C27636">
        <w:rPr>
          <w:rFonts w:ascii="Calibri" w:eastAsia="Calibri" w:hAnsi="Calibri" w:cs="Calibri"/>
          <w:sz w:val="20"/>
          <w:szCs w:val="20"/>
          <w:lang w:val="fr-BE"/>
        </w:rPr>
        <w:t>d’accoucher. Voir l’indicateur ‘environnement sain’ pour plus d’information.</w:t>
      </w:r>
    </w:p>
    <w:p w:rsidR="00AC12B4" w:rsidRPr="00C27636" w:rsidRDefault="00AC12B4">
      <w:pPr>
        <w:spacing w:line="220" w:lineRule="exact"/>
        <w:rPr>
          <w:sz w:val="20"/>
          <w:szCs w:val="20"/>
          <w:lang w:val="fr-BE"/>
        </w:rPr>
      </w:pPr>
    </w:p>
    <w:p w:rsidR="00AC12B4" w:rsidRPr="00C27636" w:rsidRDefault="00C27636">
      <w:pPr>
        <w:ind w:left="1380"/>
        <w:rPr>
          <w:sz w:val="20"/>
          <w:szCs w:val="20"/>
          <w:lang w:val="fr-BE"/>
        </w:rPr>
      </w:pPr>
      <w:r w:rsidRPr="00C27636">
        <w:rPr>
          <w:rFonts w:ascii="Calibri" w:eastAsia="Calibri" w:hAnsi="Calibri" w:cs="Calibri"/>
          <w:sz w:val="20"/>
          <w:szCs w:val="20"/>
          <w:lang w:val="fr-BE"/>
        </w:rPr>
        <w:t>Voir  aussi  le  sondage  flamand  sur  la</w:t>
      </w:r>
    </w:p>
    <w:p w:rsidR="00AC12B4" w:rsidRPr="00C27636" w:rsidRDefault="00AC12B4">
      <w:pPr>
        <w:spacing w:line="47" w:lineRule="exact"/>
        <w:rPr>
          <w:sz w:val="20"/>
          <w:szCs w:val="20"/>
          <w:lang w:val="fr-BE"/>
        </w:rPr>
      </w:pPr>
    </w:p>
    <w:p w:rsidR="00AC12B4" w:rsidRPr="00C27636" w:rsidRDefault="00C27636">
      <w:pPr>
        <w:spacing w:line="228" w:lineRule="auto"/>
        <w:ind w:left="1380" w:right="460"/>
        <w:rPr>
          <w:rFonts w:ascii="Calibri" w:eastAsia="Calibri" w:hAnsi="Calibri" w:cs="Calibri"/>
          <w:sz w:val="20"/>
          <w:szCs w:val="20"/>
          <w:lang w:val="fr-BE"/>
        </w:rPr>
      </w:pPr>
      <w:r w:rsidRPr="00C27636">
        <w:rPr>
          <w:rFonts w:ascii="Calibri" w:eastAsia="Calibri" w:hAnsi="Calibri" w:cs="Calibri"/>
          <w:sz w:val="20"/>
          <w:szCs w:val="20"/>
          <w:lang w:val="fr-BE"/>
        </w:rPr>
        <w:t xml:space="preserve">consommation alimentaire: </w:t>
      </w:r>
      <w:hyperlink r:id="rId146">
        <w:r w:rsidRPr="00C27636">
          <w:rPr>
            <w:rFonts w:ascii="Calibri" w:eastAsia="Calibri" w:hAnsi="Calibri" w:cs="Calibri"/>
            <w:sz w:val="20"/>
            <w:szCs w:val="20"/>
            <w:lang w:val="fr-BE"/>
          </w:rPr>
          <w:t>http</w:t>
        </w:r>
        <w:r w:rsidRPr="00C27636">
          <w:rPr>
            <w:rFonts w:ascii="Calibri" w:eastAsia="Calibri" w:hAnsi="Calibri" w:cs="Calibri"/>
            <w:sz w:val="20"/>
            <w:szCs w:val="20"/>
            <w:lang w:val="fr-BE"/>
          </w:rPr>
          <w:t>://www.vigez.be/nieuws/nieuwe-</w:t>
        </w:r>
      </w:hyperlink>
      <w:hyperlink r:id="rId147">
        <w:r w:rsidRPr="00C27636">
          <w:rPr>
            <w:rFonts w:ascii="Calibri" w:eastAsia="Calibri" w:hAnsi="Calibri" w:cs="Calibri"/>
            <w:sz w:val="20"/>
            <w:szCs w:val="20"/>
            <w:lang w:val="fr-BE"/>
          </w:rPr>
          <w:t>resultaten-voedselconsumptiepeiling-</w:t>
        </w:r>
      </w:hyperlink>
      <w:hyperlink r:id="rId148">
        <w:r w:rsidRPr="00C27636">
          <w:rPr>
            <w:rFonts w:ascii="Calibri" w:eastAsia="Calibri" w:hAnsi="Calibri" w:cs="Calibri"/>
            <w:sz w:val="20"/>
            <w:szCs w:val="20"/>
            <w:lang w:val="fr-BE"/>
          </w:rPr>
          <w:t>20</w:t>
        </w:r>
        <w:r w:rsidRPr="00C27636">
          <w:rPr>
            <w:rFonts w:ascii="Calibri" w:eastAsia="Calibri" w:hAnsi="Calibri" w:cs="Calibri"/>
            <w:sz w:val="20"/>
            <w:szCs w:val="20"/>
            <w:lang w:val="fr-BE"/>
          </w:rPr>
          <w:t>15.</w:t>
        </w:r>
      </w:hyperlink>
    </w:p>
    <w:p w:rsidR="00AC12B4" w:rsidRPr="00C27636" w:rsidRDefault="00AC12B4">
      <w:pPr>
        <w:spacing w:line="181" w:lineRule="exact"/>
        <w:rPr>
          <w:rFonts w:ascii="Calibri" w:eastAsia="Calibri" w:hAnsi="Calibri" w:cs="Calibri"/>
          <w:sz w:val="20"/>
          <w:szCs w:val="20"/>
          <w:lang w:val="fr-BE"/>
        </w:rPr>
      </w:pPr>
    </w:p>
    <w:p w:rsidR="00AC12B4" w:rsidRPr="00C27636" w:rsidRDefault="00C27636">
      <w:pPr>
        <w:numPr>
          <w:ilvl w:val="0"/>
          <w:numId w:val="144"/>
        </w:numPr>
        <w:tabs>
          <w:tab w:val="left" w:pos="1380"/>
        </w:tabs>
        <w:spacing w:line="261" w:lineRule="auto"/>
        <w:ind w:left="1380" w:right="460" w:hanging="352"/>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Vlaamse Kinderrechtenmonitor : </w:t>
      </w:r>
      <w:r w:rsidRPr="00C27636">
        <w:rPr>
          <w:rFonts w:ascii="Calibri" w:eastAsia="Calibri" w:hAnsi="Calibri" w:cs="Calibri"/>
          <w:color w:val="000000"/>
          <w:sz w:val="20"/>
          <w:szCs w:val="20"/>
          <w:lang w:val="fr-BE"/>
        </w:rPr>
        <w:t>création</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d’un « score global » de style de vie sain reprenant les critères suivants : boire de l’eau, manger des fruits et légumes quotidiennement, avoir une activité</w:t>
      </w:r>
    </w:p>
    <w:p w:rsidR="00AC12B4" w:rsidRPr="00C27636" w:rsidRDefault="00AC12B4">
      <w:pPr>
        <w:spacing w:line="16" w:lineRule="exact"/>
        <w:rPr>
          <w:rFonts w:ascii="Calibri" w:eastAsia="Calibri" w:hAnsi="Calibri" w:cs="Calibri"/>
          <w:sz w:val="20"/>
          <w:szCs w:val="20"/>
          <w:lang w:val="fr-BE"/>
        </w:rPr>
      </w:pPr>
    </w:p>
    <w:p w:rsidR="00AC12B4" w:rsidRPr="00C27636" w:rsidRDefault="00C27636">
      <w:pPr>
        <w:ind w:left="1380"/>
        <w:rPr>
          <w:sz w:val="20"/>
          <w:szCs w:val="20"/>
          <w:lang w:val="fr-BE"/>
        </w:rPr>
      </w:pPr>
      <w:r w:rsidRPr="00C27636">
        <w:rPr>
          <w:rFonts w:ascii="Calibri" w:eastAsia="Calibri" w:hAnsi="Calibri" w:cs="Calibri"/>
          <w:sz w:val="20"/>
          <w:szCs w:val="20"/>
          <w:lang w:val="fr-BE"/>
        </w:rPr>
        <w:t>physique 4 fois par semaine (sur base des</w:t>
      </w:r>
    </w:p>
    <w:p w:rsidR="00AC12B4" w:rsidRPr="00C27636" w:rsidRDefault="00AC12B4">
      <w:pPr>
        <w:spacing w:line="37" w:lineRule="exact"/>
        <w:rPr>
          <w:rFonts w:ascii="Calibri" w:eastAsia="Calibri" w:hAnsi="Calibri" w:cs="Calibri"/>
          <w:sz w:val="20"/>
          <w:szCs w:val="20"/>
          <w:lang w:val="fr-BE"/>
        </w:rPr>
      </w:pPr>
    </w:p>
    <w:p w:rsidR="00AC12B4" w:rsidRDefault="00C27636">
      <w:pPr>
        <w:tabs>
          <w:tab w:val="left" w:pos="4220"/>
        </w:tabs>
        <w:ind w:left="1380"/>
        <w:rPr>
          <w:sz w:val="20"/>
          <w:szCs w:val="20"/>
        </w:rPr>
      </w:pPr>
      <w:r>
        <w:rPr>
          <w:rFonts w:ascii="Calibri" w:eastAsia="Calibri" w:hAnsi="Calibri" w:cs="Calibri"/>
          <w:sz w:val="20"/>
          <w:szCs w:val="20"/>
        </w:rPr>
        <w:t>données</w:t>
      </w:r>
      <w:r>
        <w:rPr>
          <w:sz w:val="20"/>
          <w:szCs w:val="20"/>
        </w:rPr>
        <w:tab/>
      </w:r>
      <w:r>
        <w:rPr>
          <w:rFonts w:ascii="Calibri" w:eastAsia="Calibri" w:hAnsi="Calibri" w:cs="Calibri"/>
          <w:sz w:val="20"/>
          <w:szCs w:val="20"/>
        </w:rPr>
        <w:t>HBSC) :</w:t>
      </w: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92" w:lineRule="exact"/>
        <w:rPr>
          <w:rFonts w:ascii="Calibri" w:eastAsia="Calibri" w:hAnsi="Calibri" w:cs="Calibri"/>
          <w:sz w:val="20"/>
          <w:szCs w:val="20"/>
        </w:rPr>
      </w:pPr>
    </w:p>
    <w:p w:rsidR="00AC12B4" w:rsidRDefault="00C27636">
      <w:pPr>
        <w:ind w:left="960"/>
        <w:rPr>
          <w:sz w:val="20"/>
          <w:szCs w:val="20"/>
        </w:rPr>
      </w:pPr>
      <w:r>
        <w:rPr>
          <w:rFonts w:ascii="Calibri" w:eastAsia="Calibri" w:hAnsi="Calibri" w:cs="Calibri"/>
        </w:rPr>
        <w:t>.</w:t>
      </w: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331" w:lineRule="exact"/>
        <w:rPr>
          <w:rFonts w:ascii="Calibri" w:eastAsia="Calibri" w:hAnsi="Calibri" w:cs="Calibri"/>
          <w:sz w:val="20"/>
          <w:szCs w:val="20"/>
        </w:rPr>
      </w:pPr>
    </w:p>
    <w:tbl>
      <w:tblPr>
        <w:tblW w:w="0" w:type="auto"/>
        <w:tblInd w:w="5" w:type="dxa"/>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AC12B4">
      <w:pPr>
        <w:spacing w:line="28" w:lineRule="exact"/>
        <w:rPr>
          <w:rFonts w:ascii="Calibri" w:eastAsia="Calibri" w:hAnsi="Calibri" w:cs="Calibri"/>
          <w:sz w:val="20"/>
          <w:szCs w:val="20"/>
          <w:lang w:val="fr-BE"/>
        </w:rPr>
      </w:pPr>
    </w:p>
    <w:p w:rsidR="00AC12B4" w:rsidRDefault="00C27636">
      <w:pPr>
        <w:jc w:val="right"/>
        <w:rPr>
          <w:sz w:val="20"/>
          <w:szCs w:val="20"/>
        </w:rPr>
      </w:pPr>
      <w:r>
        <w:rPr>
          <w:rFonts w:ascii="Calibri" w:eastAsia="Calibri" w:hAnsi="Calibri" w:cs="Calibri"/>
        </w:rPr>
        <w:t>94</w:t>
      </w:r>
    </w:p>
    <w:p w:rsidR="00AC12B4" w:rsidRDefault="00C27636">
      <w:pPr>
        <w:spacing w:line="20" w:lineRule="exact"/>
        <w:rPr>
          <w:rFonts w:ascii="Calibri" w:eastAsia="Calibri" w:hAnsi="Calibri" w:cs="Calibri"/>
          <w:sz w:val="20"/>
          <w:szCs w:val="20"/>
        </w:rPr>
      </w:pPr>
      <w:r>
        <w:rPr>
          <w:rFonts w:ascii="Calibri" w:eastAsia="Calibri" w:hAnsi="Calibri" w:cs="Calibri"/>
          <w:sz w:val="20"/>
          <w:szCs w:val="20"/>
        </w:rPr>
        <w:br w:type="column"/>
      </w:r>
    </w:p>
    <w:p w:rsidR="00AC12B4" w:rsidRDefault="00AC12B4">
      <w:pPr>
        <w:spacing w:line="191" w:lineRule="exact"/>
        <w:rPr>
          <w:rFonts w:ascii="Calibri" w:eastAsia="Calibri" w:hAnsi="Calibri" w:cs="Calibri"/>
          <w:sz w:val="20"/>
          <w:szCs w:val="20"/>
        </w:rPr>
      </w:pPr>
    </w:p>
    <w:p w:rsidR="00AC12B4" w:rsidRDefault="00C27636">
      <w:pPr>
        <w:spacing w:line="272" w:lineRule="auto"/>
        <w:ind w:left="367" w:right="777"/>
        <w:jc w:val="both"/>
        <w:rPr>
          <w:rFonts w:ascii="Calibri" w:eastAsia="Calibri" w:hAnsi="Calibri" w:cs="Calibri"/>
          <w:color w:val="0000FF"/>
          <w:sz w:val="19"/>
          <w:szCs w:val="19"/>
          <w:u w:val="single"/>
        </w:rPr>
      </w:pPr>
      <w:hyperlink r:id="rId149">
        <w:r>
          <w:rPr>
            <w:rFonts w:ascii="Calibri" w:eastAsia="Calibri" w:hAnsi="Calibri" w:cs="Calibri"/>
            <w:color w:val="0000FF"/>
            <w:sz w:val="19"/>
            <w:szCs w:val="19"/>
            <w:u w:val="single"/>
          </w:rPr>
          <w:t>http://www.sociaalcultureel.be/jeugd/kin</w:t>
        </w:r>
      </w:hyperlink>
      <w:r>
        <w:rPr>
          <w:rFonts w:ascii="Calibri" w:eastAsia="Calibri" w:hAnsi="Calibri" w:cs="Calibri"/>
          <w:color w:val="0000FF"/>
          <w:sz w:val="19"/>
          <w:szCs w:val="19"/>
          <w:u w:val="single"/>
        </w:rPr>
        <w:t xml:space="preserve"> </w:t>
      </w:r>
      <w:hyperlink r:id="rId150">
        <w:r>
          <w:rPr>
            <w:rFonts w:ascii="Calibri" w:eastAsia="Calibri" w:hAnsi="Calibri" w:cs="Calibri"/>
            <w:color w:val="0000FF"/>
            <w:sz w:val="19"/>
            <w:szCs w:val="19"/>
            <w:u w:val="single"/>
          </w:rPr>
          <w:t>derrechten/indicatoren/fiche_gezondelev</w:t>
        </w:r>
      </w:hyperlink>
      <w:r>
        <w:rPr>
          <w:rFonts w:ascii="Calibri" w:eastAsia="Calibri" w:hAnsi="Calibri" w:cs="Calibri"/>
          <w:color w:val="0000FF"/>
          <w:sz w:val="19"/>
          <w:szCs w:val="19"/>
          <w:u w:val="single"/>
        </w:rPr>
        <w:t xml:space="preserve"> </w:t>
      </w:r>
      <w:hyperlink r:id="rId151">
        <w:r>
          <w:rPr>
            <w:rFonts w:ascii="Calibri" w:eastAsia="Calibri" w:hAnsi="Calibri" w:cs="Calibri"/>
            <w:color w:val="0000FF"/>
            <w:sz w:val="19"/>
            <w:szCs w:val="19"/>
            <w:u w:val="single"/>
          </w:rPr>
          <w:t>ensstijl.pdf</w:t>
        </w:r>
      </w:hyperlink>
    </w:p>
    <w:p w:rsidR="00AC12B4" w:rsidRDefault="00AC12B4">
      <w:pPr>
        <w:spacing w:line="66" w:lineRule="exact"/>
        <w:rPr>
          <w:rFonts w:ascii="Calibri" w:eastAsia="Calibri" w:hAnsi="Calibri" w:cs="Calibri"/>
          <w:color w:val="0000FF"/>
          <w:sz w:val="19"/>
          <w:szCs w:val="19"/>
          <w:u w:val="single"/>
        </w:rPr>
      </w:pPr>
    </w:p>
    <w:p w:rsidR="00AC12B4" w:rsidRPr="00C27636" w:rsidRDefault="00C27636">
      <w:pPr>
        <w:numPr>
          <w:ilvl w:val="1"/>
          <w:numId w:val="145"/>
        </w:numPr>
        <w:tabs>
          <w:tab w:val="left" w:pos="507"/>
        </w:tabs>
        <w:spacing w:line="264" w:lineRule="auto"/>
        <w:ind w:left="507" w:right="737" w:hanging="368"/>
        <w:jc w:val="both"/>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Le rôle de l’école : </w:t>
      </w:r>
      <w:r w:rsidRPr="00C27636">
        <w:rPr>
          <w:rFonts w:ascii="Calibri" w:eastAsia="Calibri" w:hAnsi="Calibri" w:cs="Calibri"/>
          <w:color w:val="000000"/>
          <w:sz w:val="20"/>
          <w:szCs w:val="20"/>
          <w:lang w:val="fr-BE"/>
        </w:rPr>
        <w:t>les cantines scolaires</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ont un rôle à jouer dans l’alimentation saine des enfants. Un indicateur d’accessibilité à des repas équilibrés dans le cadre de l’école serait intéressant.</w:t>
      </w:r>
    </w:p>
    <w:p w:rsidR="00AC12B4" w:rsidRPr="00C27636" w:rsidRDefault="00AC12B4">
      <w:pPr>
        <w:spacing w:line="14" w:lineRule="exact"/>
        <w:rPr>
          <w:rFonts w:ascii="Symbol" w:eastAsia="Symbol" w:hAnsi="Symbol" w:cs="Symbol"/>
          <w:sz w:val="20"/>
          <w:szCs w:val="20"/>
          <w:lang w:val="fr-BE"/>
        </w:rPr>
      </w:pPr>
    </w:p>
    <w:p w:rsidR="00AC12B4" w:rsidRDefault="00C27636">
      <w:pPr>
        <w:numPr>
          <w:ilvl w:val="0"/>
          <w:numId w:val="145"/>
        </w:numPr>
        <w:tabs>
          <w:tab w:val="left" w:pos="367"/>
        </w:tabs>
        <w:ind w:left="367" w:hanging="367"/>
        <w:rPr>
          <w:rFonts w:ascii="Symbol" w:eastAsia="Symbol" w:hAnsi="Symbol" w:cs="Symbol"/>
          <w:sz w:val="20"/>
          <w:szCs w:val="20"/>
        </w:rPr>
      </w:pPr>
      <w:r>
        <w:rPr>
          <w:rFonts w:ascii="Calibri" w:eastAsia="Calibri" w:hAnsi="Calibri" w:cs="Calibri"/>
          <w:b/>
          <w:bCs/>
          <w:i/>
          <w:iCs/>
          <w:color w:val="9BBB59"/>
          <w:sz w:val="20"/>
          <w:szCs w:val="20"/>
        </w:rPr>
        <w:t>Recommandation OMS :</w:t>
      </w:r>
    </w:p>
    <w:p w:rsidR="00AC12B4" w:rsidRDefault="00AC12B4">
      <w:pPr>
        <w:spacing w:line="14" w:lineRule="exact"/>
        <w:rPr>
          <w:rFonts w:ascii="Calibri" w:eastAsia="Calibri" w:hAnsi="Calibri" w:cs="Calibri"/>
          <w:color w:val="0000FF"/>
          <w:sz w:val="19"/>
          <w:szCs w:val="19"/>
          <w:u w:val="single"/>
        </w:rPr>
      </w:pPr>
    </w:p>
    <w:p w:rsidR="00AC12B4" w:rsidRDefault="00C27636">
      <w:pPr>
        <w:tabs>
          <w:tab w:val="left" w:pos="767"/>
          <w:tab w:val="left" w:pos="2867"/>
        </w:tabs>
        <w:ind w:left="427"/>
        <w:rPr>
          <w:sz w:val="20"/>
          <w:szCs w:val="20"/>
        </w:rPr>
      </w:pPr>
      <w:r>
        <w:rPr>
          <w:rFonts w:ascii="Courier New" w:eastAsia="Courier New" w:hAnsi="Courier New" w:cs="Courier New"/>
          <w:color w:val="9BBB59"/>
          <w:sz w:val="20"/>
          <w:szCs w:val="20"/>
        </w:rPr>
        <w:t>o</w:t>
      </w:r>
      <w:r>
        <w:rPr>
          <w:sz w:val="20"/>
          <w:szCs w:val="20"/>
        </w:rPr>
        <w:tab/>
      </w:r>
      <w:r>
        <w:rPr>
          <w:rFonts w:ascii="Calibri" w:eastAsia="Calibri" w:hAnsi="Calibri" w:cs="Calibri"/>
          <w:sz w:val="20"/>
          <w:szCs w:val="20"/>
        </w:rPr>
        <w:t>Activités</w:t>
      </w:r>
      <w:r>
        <w:rPr>
          <w:sz w:val="20"/>
          <w:szCs w:val="20"/>
        </w:rPr>
        <w:tab/>
      </w:r>
      <w:r>
        <w:rPr>
          <w:rFonts w:ascii="Calibri" w:eastAsia="Calibri" w:hAnsi="Calibri" w:cs="Calibri"/>
          <w:sz w:val="20"/>
          <w:szCs w:val="20"/>
        </w:rPr>
        <w:t>physiques :</w:t>
      </w:r>
    </w:p>
    <w:p w:rsidR="00AC12B4" w:rsidRDefault="00AC12B4">
      <w:pPr>
        <w:spacing w:line="100" w:lineRule="exact"/>
        <w:rPr>
          <w:rFonts w:ascii="Calibri" w:eastAsia="Calibri" w:hAnsi="Calibri" w:cs="Calibri"/>
          <w:color w:val="0000FF"/>
          <w:sz w:val="19"/>
          <w:szCs w:val="19"/>
          <w:u w:val="single"/>
        </w:rPr>
      </w:pPr>
    </w:p>
    <w:p w:rsidR="00AC12B4" w:rsidRDefault="00C27636">
      <w:pPr>
        <w:spacing w:line="254" w:lineRule="auto"/>
        <w:ind w:left="787" w:right="777"/>
        <w:rPr>
          <w:rFonts w:ascii="Calibri" w:eastAsia="Calibri" w:hAnsi="Calibri" w:cs="Calibri"/>
          <w:color w:val="0000FF"/>
          <w:sz w:val="19"/>
          <w:szCs w:val="19"/>
          <w:u w:val="single"/>
        </w:rPr>
      </w:pPr>
      <w:hyperlink r:id="rId152">
        <w:r>
          <w:rPr>
            <w:rFonts w:ascii="Calibri" w:eastAsia="Calibri" w:hAnsi="Calibri" w:cs="Calibri"/>
            <w:color w:val="0000FF"/>
            <w:sz w:val="19"/>
            <w:szCs w:val="19"/>
            <w:u w:val="single"/>
          </w:rPr>
          <w:t>http://www.who.int/dietphysicalacti</w:t>
        </w:r>
      </w:hyperlink>
      <w:r>
        <w:rPr>
          <w:rFonts w:ascii="Calibri" w:eastAsia="Calibri" w:hAnsi="Calibri" w:cs="Calibri"/>
          <w:color w:val="0000FF"/>
          <w:sz w:val="19"/>
          <w:szCs w:val="19"/>
          <w:u w:val="single"/>
        </w:rPr>
        <w:t xml:space="preserve"> </w:t>
      </w:r>
      <w:hyperlink r:id="rId153">
        <w:r>
          <w:rPr>
            <w:rFonts w:ascii="Calibri" w:eastAsia="Calibri" w:hAnsi="Calibri" w:cs="Calibri"/>
            <w:color w:val="0000FF"/>
            <w:sz w:val="19"/>
            <w:szCs w:val="19"/>
            <w:u w:val="single"/>
          </w:rPr>
          <w:t>vity/factsheet_young_people/fr/</w:t>
        </w:r>
      </w:hyperlink>
    </w:p>
    <w:p w:rsidR="00AC12B4" w:rsidRDefault="00AC12B4">
      <w:pPr>
        <w:spacing w:line="69" w:lineRule="exact"/>
        <w:rPr>
          <w:sz w:val="20"/>
          <w:szCs w:val="20"/>
        </w:rPr>
      </w:pPr>
    </w:p>
    <w:p w:rsidR="00AC12B4" w:rsidRDefault="00C27636">
      <w:pPr>
        <w:numPr>
          <w:ilvl w:val="0"/>
          <w:numId w:val="146"/>
        </w:numPr>
        <w:tabs>
          <w:tab w:val="left" w:pos="787"/>
        </w:tabs>
        <w:spacing w:line="270" w:lineRule="auto"/>
        <w:ind w:left="787" w:right="777" w:hanging="363"/>
        <w:rPr>
          <w:rFonts w:ascii="Calibri" w:eastAsia="Calibri" w:hAnsi="Calibri" w:cs="Calibri"/>
          <w:color w:val="0000FF"/>
          <w:sz w:val="19"/>
          <w:szCs w:val="19"/>
          <w:u w:val="single"/>
        </w:rPr>
      </w:pPr>
      <w:r>
        <w:rPr>
          <w:rFonts w:ascii="Calibri" w:eastAsia="Calibri" w:hAnsi="Calibri" w:cs="Calibri"/>
          <w:sz w:val="19"/>
          <w:szCs w:val="19"/>
        </w:rPr>
        <w:t>Al</w:t>
      </w:r>
      <w:r>
        <w:rPr>
          <w:rFonts w:ascii="Calibri" w:eastAsia="Calibri" w:hAnsi="Calibri" w:cs="Calibri"/>
          <w:sz w:val="19"/>
          <w:szCs w:val="19"/>
        </w:rPr>
        <w:t xml:space="preserve">imentation : </w:t>
      </w:r>
      <w:hyperlink r:id="rId154">
        <w:r>
          <w:rPr>
            <w:rFonts w:ascii="Calibri" w:eastAsia="Calibri" w:hAnsi="Calibri" w:cs="Calibri"/>
            <w:color w:val="0000FF"/>
            <w:sz w:val="19"/>
            <w:szCs w:val="19"/>
            <w:u w:val="single"/>
          </w:rPr>
          <w:t>http://www.who.int/dietphysicalacti</w:t>
        </w:r>
      </w:hyperlink>
      <w:r>
        <w:rPr>
          <w:rFonts w:ascii="Calibri" w:eastAsia="Calibri" w:hAnsi="Calibri" w:cs="Calibri"/>
          <w:color w:val="0000FF"/>
          <w:sz w:val="19"/>
          <w:szCs w:val="19"/>
          <w:u w:val="single"/>
        </w:rPr>
        <w:t xml:space="preserve"> </w:t>
      </w:r>
      <w:hyperlink r:id="rId155">
        <w:r>
          <w:rPr>
            <w:rFonts w:ascii="Calibri" w:eastAsia="Calibri" w:hAnsi="Calibri" w:cs="Calibri"/>
            <w:color w:val="0000FF"/>
            <w:sz w:val="19"/>
            <w:szCs w:val="19"/>
            <w:u w:val="single"/>
          </w:rPr>
          <w:t>vity/diet/fr/</w:t>
        </w:r>
      </w:hyperlink>
    </w:p>
    <w:p w:rsidR="00AC12B4" w:rsidRDefault="00AC12B4">
      <w:pPr>
        <w:sectPr w:rsidR="00AC12B4">
          <w:pgSz w:w="12080" w:h="17179"/>
          <w:pgMar w:top="1440" w:right="1440" w:bottom="659" w:left="480" w:header="0" w:footer="0" w:gutter="0"/>
          <w:cols w:num="2" w:space="720" w:equalWidth="0">
            <w:col w:w="5300" w:space="313"/>
            <w:col w:w="4544"/>
          </w:cols>
        </w:sectPr>
      </w:pPr>
    </w:p>
    <w:p w:rsidR="00AC12B4" w:rsidRDefault="00C27636">
      <w:pPr>
        <w:spacing w:line="168" w:lineRule="exact"/>
        <w:rPr>
          <w:sz w:val="20"/>
          <w:szCs w:val="20"/>
        </w:rPr>
      </w:pPr>
      <w:bookmarkStart w:id="94" w:name="page95"/>
      <w:bookmarkEnd w:id="94"/>
      <w:r>
        <w:rPr>
          <w:noProof/>
          <w:sz w:val="20"/>
          <w:szCs w:val="20"/>
        </w:rPr>
        <w:lastRenderedPageBreak/>
        <w:drawing>
          <wp:anchor distT="0" distB="0" distL="114300" distR="114300" simplePos="0" relativeHeight="251569664" behindDoc="1" locked="0" layoutInCell="0" allowOverlap="1">
            <wp:simplePos x="0" y="0"/>
            <wp:positionH relativeFrom="page">
              <wp:posOffset>6868795</wp:posOffset>
            </wp:positionH>
            <wp:positionV relativeFrom="page">
              <wp:posOffset>0</wp:posOffset>
            </wp:positionV>
            <wp:extent cx="800100" cy="10908665"/>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76">
                      <a:clrChange>
                        <a:clrFrom>
                          <a:srgbClr val="FFFFFF"/>
                        </a:clrFrom>
                        <a:clrTo>
                          <a:srgbClr val="FFFFFF">
                            <a:alpha val="0"/>
                          </a:srgbClr>
                        </a:clrTo>
                      </a:clrChange>
                      <a:extLst/>
                    </a:blip>
                    <a:srcRect/>
                    <a:stretch>
                      <a:fillRect/>
                    </a:stretch>
                  </pic:blipFill>
                  <pic:spPr bwMode="auto">
                    <a:xfrm>
                      <a:off x="0" y="0"/>
                      <a:ext cx="800100" cy="10908665"/>
                    </a:xfrm>
                    <a:prstGeom prst="rect">
                      <a:avLst/>
                    </a:prstGeom>
                    <a:noFill/>
                  </pic:spPr>
                </pic:pic>
              </a:graphicData>
            </a:graphic>
          </wp:anchor>
        </w:drawing>
      </w:r>
    </w:p>
    <w:p w:rsidR="00AC12B4" w:rsidRDefault="00C27636">
      <w:pPr>
        <w:ind w:left="1460"/>
        <w:rPr>
          <w:sz w:val="20"/>
          <w:szCs w:val="20"/>
        </w:rPr>
      </w:pPr>
      <w:r>
        <w:rPr>
          <w:rFonts w:ascii="Comic Sans MS" w:eastAsia="Comic Sans MS" w:hAnsi="Comic Sans MS" w:cs="Comic Sans MS"/>
          <w:color w:val="C9D11D"/>
          <w:sz w:val="40"/>
          <w:szCs w:val="40"/>
        </w:rPr>
        <w:t>S9. Conditions de logement</w:t>
      </w:r>
    </w:p>
    <w:p w:rsidR="00AC12B4" w:rsidRDefault="00AC12B4">
      <w:pPr>
        <w:spacing w:line="27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20"/>
        <w:gridCol w:w="1200"/>
        <w:gridCol w:w="300"/>
        <w:gridCol w:w="1000"/>
        <w:gridCol w:w="400"/>
        <w:gridCol w:w="1380"/>
        <w:gridCol w:w="760"/>
        <w:gridCol w:w="180"/>
        <w:gridCol w:w="240"/>
        <w:gridCol w:w="580"/>
        <w:gridCol w:w="460"/>
        <w:gridCol w:w="280"/>
        <w:gridCol w:w="360"/>
        <w:gridCol w:w="680"/>
        <w:gridCol w:w="540"/>
        <w:gridCol w:w="580"/>
        <w:gridCol w:w="560"/>
        <w:gridCol w:w="30"/>
      </w:tblGrid>
      <w:tr w:rsidR="00AC12B4" w:rsidRPr="00C27636">
        <w:trPr>
          <w:trHeight w:val="156"/>
        </w:trPr>
        <w:tc>
          <w:tcPr>
            <w:tcW w:w="1220" w:type="dxa"/>
            <w:tcBorders>
              <w:bottom w:val="single" w:sz="8" w:space="0" w:color="919715"/>
            </w:tcBorders>
            <w:vAlign w:val="bottom"/>
          </w:tcPr>
          <w:p w:rsidR="00AC12B4" w:rsidRDefault="00AC12B4">
            <w:pPr>
              <w:rPr>
                <w:sz w:val="13"/>
                <w:szCs w:val="13"/>
              </w:rPr>
            </w:pPr>
          </w:p>
        </w:tc>
        <w:tc>
          <w:tcPr>
            <w:tcW w:w="1200" w:type="dxa"/>
            <w:tcBorders>
              <w:bottom w:val="single" w:sz="8" w:space="0" w:color="919715"/>
            </w:tcBorders>
            <w:vAlign w:val="bottom"/>
          </w:tcPr>
          <w:p w:rsidR="00AC12B4" w:rsidRDefault="00AC12B4">
            <w:pPr>
              <w:rPr>
                <w:sz w:val="13"/>
                <w:szCs w:val="13"/>
              </w:rPr>
            </w:pPr>
          </w:p>
        </w:tc>
        <w:tc>
          <w:tcPr>
            <w:tcW w:w="300" w:type="dxa"/>
            <w:tcBorders>
              <w:bottom w:val="single" w:sz="8" w:space="0" w:color="919715"/>
            </w:tcBorders>
            <w:vAlign w:val="bottom"/>
          </w:tcPr>
          <w:p w:rsidR="00AC12B4" w:rsidRDefault="00AC12B4">
            <w:pPr>
              <w:rPr>
                <w:sz w:val="13"/>
                <w:szCs w:val="13"/>
              </w:rPr>
            </w:pPr>
          </w:p>
        </w:tc>
        <w:tc>
          <w:tcPr>
            <w:tcW w:w="1000" w:type="dxa"/>
            <w:tcBorders>
              <w:bottom w:val="single" w:sz="8" w:space="0" w:color="919715"/>
            </w:tcBorders>
            <w:vAlign w:val="bottom"/>
          </w:tcPr>
          <w:p w:rsidR="00AC12B4" w:rsidRDefault="00AC12B4">
            <w:pPr>
              <w:rPr>
                <w:sz w:val="13"/>
                <w:szCs w:val="13"/>
              </w:rPr>
            </w:pPr>
          </w:p>
        </w:tc>
        <w:tc>
          <w:tcPr>
            <w:tcW w:w="400" w:type="dxa"/>
            <w:tcBorders>
              <w:bottom w:val="single" w:sz="8" w:space="0" w:color="919715"/>
            </w:tcBorders>
            <w:vAlign w:val="bottom"/>
          </w:tcPr>
          <w:p w:rsidR="00AC12B4" w:rsidRDefault="00AC12B4">
            <w:pPr>
              <w:rPr>
                <w:sz w:val="13"/>
                <w:szCs w:val="13"/>
              </w:rPr>
            </w:pPr>
          </w:p>
        </w:tc>
        <w:tc>
          <w:tcPr>
            <w:tcW w:w="1380" w:type="dxa"/>
            <w:tcBorders>
              <w:bottom w:val="single" w:sz="8" w:space="0" w:color="919715"/>
            </w:tcBorders>
            <w:vAlign w:val="bottom"/>
          </w:tcPr>
          <w:p w:rsidR="00AC12B4" w:rsidRDefault="00AC12B4">
            <w:pPr>
              <w:rPr>
                <w:sz w:val="13"/>
                <w:szCs w:val="13"/>
              </w:rPr>
            </w:pPr>
          </w:p>
        </w:tc>
        <w:tc>
          <w:tcPr>
            <w:tcW w:w="760" w:type="dxa"/>
            <w:tcBorders>
              <w:bottom w:val="single" w:sz="8" w:space="0" w:color="919715"/>
            </w:tcBorders>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372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des  mesures  urgentes  et  durables</w:t>
            </w:r>
          </w:p>
        </w:tc>
        <w:tc>
          <w:tcPr>
            <w:tcW w:w="56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trPr>
          <w:trHeight w:val="92"/>
        </w:trPr>
        <w:tc>
          <w:tcPr>
            <w:tcW w:w="2420" w:type="dxa"/>
            <w:gridSpan w:val="2"/>
            <w:vMerge w:val="restart"/>
            <w:tcBorders>
              <w:left w:val="single" w:sz="8" w:space="0" w:color="919715"/>
            </w:tcBorders>
            <w:shd w:val="clear" w:color="auto" w:fill="C9D11D"/>
            <w:vAlign w:val="bottom"/>
          </w:tcPr>
          <w:p w:rsidR="00AC12B4" w:rsidRDefault="00C27636">
            <w:pPr>
              <w:ind w:left="580"/>
              <w:rPr>
                <w:sz w:val="20"/>
                <w:szCs w:val="20"/>
              </w:rPr>
            </w:pPr>
            <w:r>
              <w:rPr>
                <w:rFonts w:ascii="Calibri" w:eastAsia="Calibri" w:hAnsi="Calibri" w:cs="Calibri"/>
                <w:i/>
                <w:iCs/>
                <w:color w:val="EAF1DD"/>
              </w:rPr>
              <w:t>Article 27 CIDE</w:t>
            </w:r>
          </w:p>
        </w:tc>
        <w:tc>
          <w:tcPr>
            <w:tcW w:w="300" w:type="dxa"/>
            <w:shd w:val="clear" w:color="auto" w:fill="C9D11D"/>
            <w:vAlign w:val="bottom"/>
          </w:tcPr>
          <w:p w:rsidR="00AC12B4" w:rsidRDefault="00AC12B4">
            <w:pPr>
              <w:rPr>
                <w:sz w:val="8"/>
                <w:szCs w:val="8"/>
              </w:rPr>
            </w:pPr>
          </w:p>
        </w:tc>
        <w:tc>
          <w:tcPr>
            <w:tcW w:w="1000" w:type="dxa"/>
            <w:shd w:val="clear" w:color="auto" w:fill="C9D11D"/>
            <w:vAlign w:val="bottom"/>
          </w:tcPr>
          <w:p w:rsidR="00AC12B4" w:rsidRDefault="00AC12B4">
            <w:pPr>
              <w:rPr>
                <w:sz w:val="8"/>
                <w:szCs w:val="8"/>
              </w:rPr>
            </w:pPr>
          </w:p>
        </w:tc>
        <w:tc>
          <w:tcPr>
            <w:tcW w:w="400" w:type="dxa"/>
            <w:shd w:val="clear" w:color="auto" w:fill="C9D11D"/>
            <w:vAlign w:val="bottom"/>
          </w:tcPr>
          <w:p w:rsidR="00AC12B4" w:rsidRDefault="00AC12B4">
            <w:pPr>
              <w:rPr>
                <w:sz w:val="8"/>
                <w:szCs w:val="8"/>
              </w:rPr>
            </w:pPr>
          </w:p>
        </w:tc>
        <w:tc>
          <w:tcPr>
            <w:tcW w:w="1380" w:type="dxa"/>
            <w:shd w:val="clear" w:color="auto" w:fill="C9D11D"/>
            <w:vAlign w:val="bottom"/>
          </w:tcPr>
          <w:p w:rsidR="00AC12B4" w:rsidRDefault="00AC12B4">
            <w:pPr>
              <w:rPr>
                <w:sz w:val="8"/>
                <w:szCs w:val="8"/>
              </w:rPr>
            </w:pPr>
          </w:p>
        </w:tc>
        <w:tc>
          <w:tcPr>
            <w:tcW w:w="760" w:type="dxa"/>
            <w:tcBorders>
              <w:right w:val="single" w:sz="8" w:space="0" w:color="919715"/>
            </w:tcBorders>
            <w:shd w:val="clear" w:color="auto" w:fill="C9D11D"/>
            <w:vAlign w:val="bottom"/>
          </w:tcPr>
          <w:p w:rsidR="00AC12B4" w:rsidRDefault="00AC12B4">
            <w:pPr>
              <w:rPr>
                <w:sz w:val="8"/>
                <w:szCs w:val="8"/>
              </w:rPr>
            </w:pPr>
          </w:p>
        </w:tc>
        <w:tc>
          <w:tcPr>
            <w:tcW w:w="180" w:type="dxa"/>
            <w:vAlign w:val="bottom"/>
          </w:tcPr>
          <w:p w:rsidR="00AC12B4" w:rsidRDefault="00AC12B4">
            <w:pPr>
              <w:rPr>
                <w:sz w:val="8"/>
                <w:szCs w:val="8"/>
              </w:rPr>
            </w:pPr>
          </w:p>
        </w:tc>
        <w:tc>
          <w:tcPr>
            <w:tcW w:w="3720" w:type="dxa"/>
            <w:gridSpan w:val="8"/>
            <w:vMerge/>
            <w:vAlign w:val="bottom"/>
          </w:tcPr>
          <w:p w:rsidR="00AC12B4" w:rsidRDefault="00AC12B4">
            <w:pPr>
              <w:rPr>
                <w:sz w:val="8"/>
                <w:szCs w:val="8"/>
              </w:rPr>
            </w:pPr>
          </w:p>
        </w:tc>
        <w:tc>
          <w:tcPr>
            <w:tcW w:w="5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269"/>
        </w:trPr>
        <w:tc>
          <w:tcPr>
            <w:tcW w:w="2420" w:type="dxa"/>
            <w:gridSpan w:val="2"/>
            <w:vMerge/>
            <w:tcBorders>
              <w:left w:val="single" w:sz="8" w:space="0" w:color="919715"/>
            </w:tcBorders>
            <w:shd w:val="clear" w:color="auto" w:fill="C9D11D"/>
            <w:vAlign w:val="bottom"/>
          </w:tcPr>
          <w:p w:rsidR="00AC12B4" w:rsidRDefault="00AC12B4">
            <w:pPr>
              <w:rPr>
                <w:sz w:val="23"/>
                <w:szCs w:val="23"/>
              </w:rPr>
            </w:pPr>
          </w:p>
        </w:tc>
        <w:tc>
          <w:tcPr>
            <w:tcW w:w="300" w:type="dxa"/>
            <w:shd w:val="clear" w:color="auto" w:fill="C9D11D"/>
            <w:vAlign w:val="bottom"/>
          </w:tcPr>
          <w:p w:rsidR="00AC12B4" w:rsidRDefault="00AC12B4">
            <w:pPr>
              <w:rPr>
                <w:sz w:val="23"/>
                <w:szCs w:val="23"/>
              </w:rPr>
            </w:pPr>
          </w:p>
        </w:tc>
        <w:tc>
          <w:tcPr>
            <w:tcW w:w="1000" w:type="dxa"/>
            <w:shd w:val="clear" w:color="auto" w:fill="C9D11D"/>
            <w:vAlign w:val="bottom"/>
          </w:tcPr>
          <w:p w:rsidR="00AC12B4" w:rsidRDefault="00AC12B4">
            <w:pPr>
              <w:rPr>
                <w:sz w:val="23"/>
                <w:szCs w:val="23"/>
              </w:rPr>
            </w:pPr>
          </w:p>
        </w:tc>
        <w:tc>
          <w:tcPr>
            <w:tcW w:w="400" w:type="dxa"/>
            <w:shd w:val="clear" w:color="auto" w:fill="C9D11D"/>
            <w:vAlign w:val="bottom"/>
          </w:tcPr>
          <w:p w:rsidR="00AC12B4" w:rsidRDefault="00AC12B4">
            <w:pPr>
              <w:rPr>
                <w:sz w:val="23"/>
                <w:szCs w:val="23"/>
              </w:rPr>
            </w:pPr>
          </w:p>
        </w:tc>
        <w:tc>
          <w:tcPr>
            <w:tcW w:w="1380" w:type="dxa"/>
            <w:shd w:val="clear" w:color="auto" w:fill="C9D11D"/>
            <w:vAlign w:val="bottom"/>
          </w:tcPr>
          <w:p w:rsidR="00AC12B4" w:rsidRDefault="00AC12B4">
            <w:pPr>
              <w:rPr>
                <w:sz w:val="23"/>
                <w:szCs w:val="23"/>
              </w:rPr>
            </w:pPr>
          </w:p>
        </w:tc>
        <w:tc>
          <w:tcPr>
            <w:tcW w:w="760" w:type="dxa"/>
            <w:tcBorders>
              <w:right w:val="single" w:sz="8" w:space="0" w:color="919715"/>
            </w:tcBorders>
            <w:shd w:val="clear" w:color="auto" w:fill="C9D11D"/>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3720" w:type="dxa"/>
            <w:gridSpan w:val="8"/>
            <w:vAlign w:val="bottom"/>
          </w:tcPr>
          <w:p w:rsidR="00AC12B4" w:rsidRPr="00C27636" w:rsidRDefault="00C27636">
            <w:pPr>
              <w:rPr>
                <w:sz w:val="20"/>
                <w:szCs w:val="20"/>
                <w:lang w:val="fr-BE"/>
              </w:rPr>
            </w:pPr>
            <w:r w:rsidRPr="00C27636">
              <w:rPr>
                <w:rFonts w:ascii="Calibri" w:eastAsia="Calibri" w:hAnsi="Calibri" w:cs="Calibri"/>
                <w:lang w:val="fr-BE"/>
              </w:rPr>
              <w:t>doivent   être   prises   afin   qu'ils</w:t>
            </w: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1220" w:type="dxa"/>
            <w:vMerge w:val="restart"/>
            <w:tcBorders>
              <w:left w:val="single" w:sz="8" w:space="0" w:color="919715"/>
            </w:tcBorders>
            <w:shd w:val="clear" w:color="auto" w:fill="C9D11D"/>
            <w:vAlign w:val="bottom"/>
          </w:tcPr>
          <w:p w:rsidR="00AC12B4" w:rsidRDefault="00C27636">
            <w:pPr>
              <w:ind w:left="940"/>
              <w:rPr>
                <w:sz w:val="20"/>
                <w:szCs w:val="20"/>
              </w:rPr>
            </w:pPr>
            <w:r>
              <w:rPr>
                <w:rFonts w:ascii="Calibri" w:eastAsia="Calibri" w:hAnsi="Calibri" w:cs="Calibri"/>
                <w:i/>
                <w:iCs/>
                <w:color w:val="FFFFFF"/>
              </w:rPr>
              <w:t>1.</w:t>
            </w:r>
          </w:p>
        </w:tc>
        <w:tc>
          <w:tcPr>
            <w:tcW w:w="5040" w:type="dxa"/>
            <w:gridSpan w:val="6"/>
            <w:vMerge w:val="restart"/>
            <w:tcBorders>
              <w:right w:val="single" w:sz="8" w:space="0" w:color="919715"/>
            </w:tcBorders>
            <w:shd w:val="clear" w:color="auto" w:fill="C9D11D"/>
            <w:vAlign w:val="bottom"/>
          </w:tcPr>
          <w:p w:rsidR="00AC12B4" w:rsidRPr="00C27636" w:rsidRDefault="00C27636">
            <w:pPr>
              <w:ind w:left="80"/>
              <w:rPr>
                <w:sz w:val="20"/>
                <w:szCs w:val="20"/>
                <w:lang w:val="fr-BE"/>
              </w:rPr>
            </w:pPr>
            <w:r w:rsidRPr="00C27636">
              <w:rPr>
                <w:rFonts w:ascii="Calibri" w:eastAsia="Calibri" w:hAnsi="Calibri" w:cs="Calibri"/>
                <w:i/>
                <w:iCs/>
                <w:color w:val="FFFFFF"/>
                <w:lang w:val="fr-BE"/>
              </w:rPr>
              <w:t>Les États parties reconnaissent le droit de tout enfant</w:t>
            </w:r>
          </w:p>
        </w:tc>
        <w:tc>
          <w:tcPr>
            <w:tcW w:w="180" w:type="dxa"/>
            <w:vAlign w:val="bottom"/>
          </w:tcPr>
          <w:p w:rsidR="00AC12B4" w:rsidRPr="00C27636" w:rsidRDefault="00AC12B4">
            <w:pPr>
              <w:rPr>
                <w:sz w:val="23"/>
                <w:szCs w:val="23"/>
                <w:lang w:val="fr-BE"/>
              </w:rPr>
            </w:pPr>
          </w:p>
        </w:tc>
        <w:tc>
          <w:tcPr>
            <w:tcW w:w="1280" w:type="dxa"/>
            <w:gridSpan w:val="3"/>
            <w:vAlign w:val="bottom"/>
          </w:tcPr>
          <w:p w:rsidR="00AC12B4" w:rsidRDefault="00C27636">
            <w:pPr>
              <w:rPr>
                <w:sz w:val="20"/>
                <w:szCs w:val="20"/>
              </w:rPr>
            </w:pPr>
            <w:r>
              <w:rPr>
                <w:rFonts w:ascii="Calibri" w:eastAsia="Calibri" w:hAnsi="Calibri" w:cs="Calibri"/>
              </w:rPr>
              <w:t>disposent</w:t>
            </w:r>
          </w:p>
        </w:tc>
        <w:tc>
          <w:tcPr>
            <w:tcW w:w="640" w:type="dxa"/>
            <w:gridSpan w:val="2"/>
            <w:vAlign w:val="bottom"/>
          </w:tcPr>
          <w:p w:rsidR="00AC12B4" w:rsidRDefault="00C27636">
            <w:pPr>
              <w:ind w:left="100"/>
              <w:rPr>
                <w:sz w:val="20"/>
                <w:szCs w:val="20"/>
              </w:rPr>
            </w:pPr>
            <w:r>
              <w:rPr>
                <w:rFonts w:ascii="Calibri" w:eastAsia="Calibri" w:hAnsi="Calibri" w:cs="Calibri"/>
              </w:rPr>
              <w:t>d'un</w:t>
            </w:r>
          </w:p>
        </w:tc>
        <w:tc>
          <w:tcPr>
            <w:tcW w:w="1800" w:type="dxa"/>
            <w:gridSpan w:val="3"/>
            <w:vAlign w:val="bottom"/>
          </w:tcPr>
          <w:p w:rsidR="00AC12B4" w:rsidRDefault="00C27636">
            <w:pPr>
              <w:ind w:right="137"/>
              <w:jc w:val="right"/>
              <w:rPr>
                <w:sz w:val="20"/>
                <w:szCs w:val="20"/>
              </w:rPr>
            </w:pPr>
            <w:r>
              <w:rPr>
                <w:rFonts w:ascii="Calibri" w:eastAsia="Calibri" w:hAnsi="Calibri" w:cs="Calibri"/>
              </w:rPr>
              <w:t>hébergement</w:t>
            </w:r>
          </w:p>
        </w:tc>
        <w:tc>
          <w:tcPr>
            <w:tcW w:w="5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91"/>
        </w:trPr>
        <w:tc>
          <w:tcPr>
            <w:tcW w:w="1220" w:type="dxa"/>
            <w:vMerge/>
            <w:tcBorders>
              <w:left w:val="single" w:sz="8" w:space="0" w:color="919715"/>
            </w:tcBorders>
            <w:shd w:val="clear" w:color="auto" w:fill="C9D11D"/>
            <w:vAlign w:val="bottom"/>
          </w:tcPr>
          <w:p w:rsidR="00AC12B4" w:rsidRDefault="00AC12B4">
            <w:pPr>
              <w:rPr>
                <w:sz w:val="7"/>
                <w:szCs w:val="7"/>
              </w:rPr>
            </w:pPr>
          </w:p>
        </w:tc>
        <w:tc>
          <w:tcPr>
            <w:tcW w:w="5040" w:type="dxa"/>
            <w:gridSpan w:val="6"/>
            <w:vMerge/>
            <w:tcBorders>
              <w:right w:val="single" w:sz="8" w:space="0" w:color="919715"/>
            </w:tcBorders>
            <w:shd w:val="clear" w:color="auto" w:fill="C9D11D"/>
            <w:vAlign w:val="bottom"/>
          </w:tcPr>
          <w:p w:rsidR="00AC12B4" w:rsidRDefault="00AC12B4">
            <w:pPr>
              <w:rPr>
                <w:sz w:val="7"/>
                <w:szCs w:val="7"/>
              </w:rPr>
            </w:pPr>
          </w:p>
        </w:tc>
        <w:tc>
          <w:tcPr>
            <w:tcW w:w="180" w:type="dxa"/>
            <w:vAlign w:val="bottom"/>
          </w:tcPr>
          <w:p w:rsidR="00AC12B4" w:rsidRDefault="00AC12B4">
            <w:pPr>
              <w:rPr>
                <w:sz w:val="7"/>
                <w:szCs w:val="7"/>
              </w:rPr>
            </w:pPr>
          </w:p>
        </w:tc>
        <w:tc>
          <w:tcPr>
            <w:tcW w:w="1280" w:type="dxa"/>
            <w:gridSpan w:val="3"/>
            <w:vMerge w:val="restart"/>
            <w:vAlign w:val="bottom"/>
          </w:tcPr>
          <w:p w:rsidR="00AC12B4" w:rsidRDefault="00C27636">
            <w:pPr>
              <w:rPr>
                <w:sz w:val="20"/>
                <w:szCs w:val="20"/>
              </w:rPr>
            </w:pPr>
            <w:r>
              <w:rPr>
                <w:rFonts w:ascii="Calibri" w:eastAsia="Calibri" w:hAnsi="Calibri" w:cs="Calibri"/>
              </w:rPr>
              <w:t>approprié. Il</w:t>
            </w:r>
          </w:p>
        </w:tc>
        <w:tc>
          <w:tcPr>
            <w:tcW w:w="2440" w:type="dxa"/>
            <w:gridSpan w:val="5"/>
            <w:vMerge w:val="restart"/>
            <w:vAlign w:val="bottom"/>
          </w:tcPr>
          <w:p w:rsidR="00AC12B4" w:rsidRDefault="00C27636">
            <w:pPr>
              <w:ind w:right="137"/>
              <w:jc w:val="right"/>
              <w:rPr>
                <w:sz w:val="20"/>
                <w:szCs w:val="20"/>
              </w:rPr>
            </w:pPr>
            <w:r>
              <w:rPr>
                <w:rFonts w:ascii="Calibri" w:eastAsia="Calibri" w:hAnsi="Calibri" w:cs="Calibri"/>
              </w:rPr>
              <w:t>faut également trouver</w:t>
            </w:r>
          </w:p>
        </w:tc>
        <w:tc>
          <w:tcPr>
            <w:tcW w:w="5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178"/>
        </w:trPr>
        <w:tc>
          <w:tcPr>
            <w:tcW w:w="1220" w:type="dxa"/>
            <w:tcBorders>
              <w:left w:val="single" w:sz="8" w:space="0" w:color="919715"/>
            </w:tcBorders>
            <w:shd w:val="clear" w:color="auto" w:fill="C9D11D"/>
            <w:vAlign w:val="bottom"/>
          </w:tcPr>
          <w:p w:rsidR="00AC12B4" w:rsidRDefault="00AC12B4">
            <w:pPr>
              <w:rPr>
                <w:sz w:val="15"/>
                <w:szCs w:val="15"/>
              </w:rPr>
            </w:pPr>
          </w:p>
        </w:tc>
        <w:tc>
          <w:tcPr>
            <w:tcW w:w="4280" w:type="dxa"/>
            <w:gridSpan w:val="5"/>
            <w:vMerge w:val="restart"/>
            <w:shd w:val="clear" w:color="auto" w:fill="C9D11D"/>
            <w:vAlign w:val="bottom"/>
          </w:tcPr>
          <w:p w:rsidR="00AC12B4" w:rsidRPr="00C27636" w:rsidRDefault="00C27636">
            <w:pPr>
              <w:ind w:left="80"/>
              <w:rPr>
                <w:sz w:val="20"/>
                <w:szCs w:val="20"/>
                <w:lang w:val="fr-BE"/>
              </w:rPr>
            </w:pPr>
            <w:r w:rsidRPr="00C27636">
              <w:rPr>
                <w:rFonts w:ascii="Calibri" w:eastAsia="Calibri" w:hAnsi="Calibri" w:cs="Calibri"/>
                <w:i/>
                <w:iCs/>
                <w:color w:val="FFFFFF"/>
                <w:w w:val="99"/>
                <w:lang w:val="fr-BE"/>
              </w:rPr>
              <w:t>à un niveau de vie suffisant pour permettre son</w:t>
            </w:r>
          </w:p>
        </w:tc>
        <w:tc>
          <w:tcPr>
            <w:tcW w:w="760" w:type="dxa"/>
            <w:tcBorders>
              <w:right w:val="single" w:sz="8" w:space="0" w:color="919715"/>
            </w:tcBorders>
            <w:shd w:val="clear" w:color="auto" w:fill="C9D11D"/>
            <w:vAlign w:val="bottom"/>
          </w:tcPr>
          <w:p w:rsidR="00AC12B4" w:rsidRPr="00C27636" w:rsidRDefault="00AC12B4">
            <w:pPr>
              <w:rPr>
                <w:sz w:val="15"/>
                <w:szCs w:val="15"/>
                <w:lang w:val="fr-BE"/>
              </w:rPr>
            </w:pPr>
          </w:p>
        </w:tc>
        <w:tc>
          <w:tcPr>
            <w:tcW w:w="180" w:type="dxa"/>
            <w:vAlign w:val="bottom"/>
          </w:tcPr>
          <w:p w:rsidR="00AC12B4" w:rsidRPr="00C27636" w:rsidRDefault="00AC12B4">
            <w:pPr>
              <w:rPr>
                <w:sz w:val="15"/>
                <w:szCs w:val="15"/>
                <w:lang w:val="fr-BE"/>
              </w:rPr>
            </w:pPr>
          </w:p>
        </w:tc>
        <w:tc>
          <w:tcPr>
            <w:tcW w:w="1280" w:type="dxa"/>
            <w:gridSpan w:val="3"/>
            <w:vMerge/>
            <w:vAlign w:val="bottom"/>
          </w:tcPr>
          <w:p w:rsidR="00AC12B4" w:rsidRPr="00C27636" w:rsidRDefault="00AC12B4">
            <w:pPr>
              <w:rPr>
                <w:sz w:val="15"/>
                <w:szCs w:val="15"/>
                <w:lang w:val="fr-BE"/>
              </w:rPr>
            </w:pPr>
          </w:p>
        </w:tc>
        <w:tc>
          <w:tcPr>
            <w:tcW w:w="2440" w:type="dxa"/>
            <w:gridSpan w:val="5"/>
            <w:vMerge/>
            <w:vAlign w:val="bottom"/>
          </w:tcPr>
          <w:p w:rsidR="00AC12B4" w:rsidRPr="00C27636" w:rsidRDefault="00AC12B4">
            <w:pPr>
              <w:rPr>
                <w:sz w:val="15"/>
                <w:szCs w:val="15"/>
                <w:lang w:val="fr-BE"/>
              </w:rPr>
            </w:pPr>
          </w:p>
        </w:tc>
        <w:tc>
          <w:tcPr>
            <w:tcW w:w="560" w:type="dxa"/>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trPr>
          <w:trHeight w:val="132"/>
        </w:trPr>
        <w:tc>
          <w:tcPr>
            <w:tcW w:w="1220" w:type="dxa"/>
            <w:tcBorders>
              <w:left w:val="single" w:sz="8" w:space="0" w:color="919715"/>
            </w:tcBorders>
            <w:shd w:val="clear" w:color="auto" w:fill="C9D11D"/>
            <w:vAlign w:val="bottom"/>
          </w:tcPr>
          <w:p w:rsidR="00AC12B4" w:rsidRPr="00C27636" w:rsidRDefault="00AC12B4">
            <w:pPr>
              <w:rPr>
                <w:sz w:val="11"/>
                <w:szCs w:val="11"/>
                <w:lang w:val="fr-BE"/>
              </w:rPr>
            </w:pPr>
          </w:p>
        </w:tc>
        <w:tc>
          <w:tcPr>
            <w:tcW w:w="4280" w:type="dxa"/>
            <w:gridSpan w:val="5"/>
            <w:vMerge/>
            <w:shd w:val="clear" w:color="auto" w:fill="C9D11D"/>
            <w:vAlign w:val="bottom"/>
          </w:tcPr>
          <w:p w:rsidR="00AC12B4" w:rsidRPr="00C27636" w:rsidRDefault="00AC12B4">
            <w:pPr>
              <w:rPr>
                <w:sz w:val="11"/>
                <w:szCs w:val="11"/>
                <w:lang w:val="fr-BE"/>
              </w:rPr>
            </w:pPr>
          </w:p>
        </w:tc>
        <w:tc>
          <w:tcPr>
            <w:tcW w:w="760" w:type="dxa"/>
            <w:tcBorders>
              <w:right w:val="single" w:sz="8" w:space="0" w:color="919715"/>
            </w:tcBorders>
            <w:shd w:val="clear" w:color="auto" w:fill="C9D11D"/>
            <w:vAlign w:val="bottom"/>
          </w:tcPr>
          <w:p w:rsidR="00AC12B4" w:rsidRPr="00C27636" w:rsidRDefault="00AC12B4">
            <w:pPr>
              <w:rPr>
                <w:sz w:val="11"/>
                <w:szCs w:val="11"/>
                <w:lang w:val="fr-BE"/>
              </w:rPr>
            </w:pPr>
          </w:p>
        </w:tc>
        <w:tc>
          <w:tcPr>
            <w:tcW w:w="180" w:type="dxa"/>
            <w:vAlign w:val="bottom"/>
          </w:tcPr>
          <w:p w:rsidR="00AC12B4" w:rsidRPr="00C27636" w:rsidRDefault="00AC12B4">
            <w:pPr>
              <w:rPr>
                <w:sz w:val="11"/>
                <w:szCs w:val="11"/>
                <w:lang w:val="fr-BE"/>
              </w:rPr>
            </w:pPr>
          </w:p>
        </w:tc>
        <w:tc>
          <w:tcPr>
            <w:tcW w:w="240" w:type="dxa"/>
            <w:vMerge w:val="restart"/>
            <w:vAlign w:val="bottom"/>
          </w:tcPr>
          <w:p w:rsidR="00AC12B4" w:rsidRDefault="00C27636">
            <w:pPr>
              <w:rPr>
                <w:sz w:val="20"/>
                <w:szCs w:val="20"/>
              </w:rPr>
            </w:pPr>
            <w:r>
              <w:rPr>
                <w:rFonts w:ascii="Calibri" w:eastAsia="Calibri" w:hAnsi="Calibri" w:cs="Calibri"/>
                <w:w w:val="95"/>
              </w:rPr>
              <w:t>un</w:t>
            </w:r>
          </w:p>
        </w:tc>
        <w:tc>
          <w:tcPr>
            <w:tcW w:w="1040" w:type="dxa"/>
            <w:gridSpan w:val="2"/>
            <w:vMerge w:val="restart"/>
            <w:vAlign w:val="bottom"/>
          </w:tcPr>
          <w:p w:rsidR="00AC12B4" w:rsidRDefault="00C27636">
            <w:pPr>
              <w:jc w:val="right"/>
              <w:rPr>
                <w:sz w:val="20"/>
                <w:szCs w:val="20"/>
              </w:rPr>
            </w:pPr>
            <w:r>
              <w:rPr>
                <w:rFonts w:ascii="Calibri" w:eastAsia="Calibri" w:hAnsi="Calibri" w:cs="Calibri"/>
              </w:rPr>
              <w:t>logement</w:t>
            </w:r>
          </w:p>
        </w:tc>
        <w:tc>
          <w:tcPr>
            <w:tcW w:w="1320" w:type="dxa"/>
            <w:gridSpan w:val="3"/>
            <w:vMerge w:val="restart"/>
            <w:vAlign w:val="bottom"/>
          </w:tcPr>
          <w:p w:rsidR="00AC12B4" w:rsidRDefault="00C27636">
            <w:pPr>
              <w:ind w:left="180"/>
              <w:rPr>
                <w:sz w:val="20"/>
                <w:szCs w:val="20"/>
              </w:rPr>
            </w:pPr>
            <w:r>
              <w:rPr>
                <w:rFonts w:ascii="Calibri" w:eastAsia="Calibri" w:hAnsi="Calibri" w:cs="Calibri"/>
              </w:rPr>
              <w:t>temporaire</w:t>
            </w:r>
          </w:p>
        </w:tc>
        <w:tc>
          <w:tcPr>
            <w:tcW w:w="540" w:type="dxa"/>
            <w:vMerge w:val="restart"/>
            <w:vAlign w:val="bottom"/>
          </w:tcPr>
          <w:p w:rsidR="00AC12B4" w:rsidRDefault="00C27636">
            <w:pPr>
              <w:jc w:val="right"/>
              <w:rPr>
                <w:sz w:val="20"/>
                <w:szCs w:val="20"/>
              </w:rPr>
            </w:pPr>
            <w:r>
              <w:rPr>
                <w:rFonts w:ascii="Calibri" w:eastAsia="Calibri" w:hAnsi="Calibri" w:cs="Calibri"/>
              </w:rPr>
              <w:t>pour</w:t>
            </w:r>
          </w:p>
        </w:tc>
        <w:tc>
          <w:tcPr>
            <w:tcW w:w="580" w:type="dxa"/>
            <w:vMerge w:val="restart"/>
            <w:vAlign w:val="bottom"/>
          </w:tcPr>
          <w:p w:rsidR="00AC12B4" w:rsidRDefault="00C27636">
            <w:pPr>
              <w:ind w:right="137"/>
              <w:jc w:val="right"/>
              <w:rPr>
                <w:sz w:val="20"/>
                <w:szCs w:val="20"/>
              </w:rPr>
            </w:pPr>
            <w:r>
              <w:rPr>
                <w:rFonts w:ascii="Calibri" w:eastAsia="Calibri" w:hAnsi="Calibri" w:cs="Calibri"/>
              </w:rPr>
              <w:t>les</w:t>
            </w:r>
          </w:p>
        </w:tc>
        <w:tc>
          <w:tcPr>
            <w:tcW w:w="5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137"/>
        </w:trPr>
        <w:tc>
          <w:tcPr>
            <w:tcW w:w="1220" w:type="dxa"/>
            <w:tcBorders>
              <w:left w:val="single" w:sz="8" w:space="0" w:color="919715"/>
            </w:tcBorders>
            <w:shd w:val="clear" w:color="auto" w:fill="C9D11D"/>
            <w:vAlign w:val="bottom"/>
          </w:tcPr>
          <w:p w:rsidR="00AC12B4" w:rsidRDefault="00AC12B4">
            <w:pPr>
              <w:rPr>
                <w:sz w:val="11"/>
                <w:szCs w:val="11"/>
              </w:rPr>
            </w:pPr>
          </w:p>
        </w:tc>
        <w:tc>
          <w:tcPr>
            <w:tcW w:w="5040" w:type="dxa"/>
            <w:gridSpan w:val="6"/>
            <w:vMerge w:val="restart"/>
            <w:tcBorders>
              <w:right w:val="single" w:sz="8" w:space="0" w:color="919715"/>
            </w:tcBorders>
            <w:shd w:val="clear" w:color="auto" w:fill="C9D11D"/>
            <w:vAlign w:val="bottom"/>
          </w:tcPr>
          <w:p w:rsidR="00AC12B4" w:rsidRPr="00C27636" w:rsidRDefault="00C27636">
            <w:pPr>
              <w:ind w:left="80"/>
              <w:rPr>
                <w:sz w:val="20"/>
                <w:szCs w:val="20"/>
                <w:lang w:val="fr-BE"/>
              </w:rPr>
            </w:pPr>
            <w:r w:rsidRPr="00C27636">
              <w:rPr>
                <w:rFonts w:ascii="Calibri" w:eastAsia="Calibri" w:hAnsi="Calibri" w:cs="Calibri"/>
                <w:i/>
                <w:iCs/>
                <w:color w:val="FFFFFF"/>
                <w:lang w:val="fr-BE"/>
              </w:rPr>
              <w:t>développement physique, mental, spirituel, moral et</w:t>
            </w:r>
          </w:p>
        </w:tc>
        <w:tc>
          <w:tcPr>
            <w:tcW w:w="180" w:type="dxa"/>
            <w:vAlign w:val="bottom"/>
          </w:tcPr>
          <w:p w:rsidR="00AC12B4" w:rsidRPr="00C27636" w:rsidRDefault="00AC12B4">
            <w:pPr>
              <w:rPr>
                <w:sz w:val="11"/>
                <w:szCs w:val="11"/>
                <w:lang w:val="fr-BE"/>
              </w:rPr>
            </w:pPr>
          </w:p>
        </w:tc>
        <w:tc>
          <w:tcPr>
            <w:tcW w:w="240" w:type="dxa"/>
            <w:vMerge/>
            <w:vAlign w:val="bottom"/>
          </w:tcPr>
          <w:p w:rsidR="00AC12B4" w:rsidRPr="00C27636" w:rsidRDefault="00AC12B4">
            <w:pPr>
              <w:rPr>
                <w:sz w:val="11"/>
                <w:szCs w:val="11"/>
                <w:lang w:val="fr-BE"/>
              </w:rPr>
            </w:pPr>
          </w:p>
        </w:tc>
        <w:tc>
          <w:tcPr>
            <w:tcW w:w="1040" w:type="dxa"/>
            <w:gridSpan w:val="2"/>
            <w:vMerge/>
            <w:vAlign w:val="bottom"/>
          </w:tcPr>
          <w:p w:rsidR="00AC12B4" w:rsidRPr="00C27636" w:rsidRDefault="00AC12B4">
            <w:pPr>
              <w:rPr>
                <w:sz w:val="11"/>
                <w:szCs w:val="11"/>
                <w:lang w:val="fr-BE"/>
              </w:rPr>
            </w:pPr>
          </w:p>
        </w:tc>
        <w:tc>
          <w:tcPr>
            <w:tcW w:w="1320" w:type="dxa"/>
            <w:gridSpan w:val="3"/>
            <w:vMerge/>
            <w:vAlign w:val="bottom"/>
          </w:tcPr>
          <w:p w:rsidR="00AC12B4" w:rsidRPr="00C27636" w:rsidRDefault="00AC12B4">
            <w:pPr>
              <w:rPr>
                <w:sz w:val="11"/>
                <w:szCs w:val="11"/>
                <w:lang w:val="fr-BE"/>
              </w:rPr>
            </w:pPr>
          </w:p>
        </w:tc>
        <w:tc>
          <w:tcPr>
            <w:tcW w:w="540" w:type="dxa"/>
            <w:vMerge/>
            <w:vAlign w:val="bottom"/>
          </w:tcPr>
          <w:p w:rsidR="00AC12B4" w:rsidRPr="00C27636" w:rsidRDefault="00AC12B4">
            <w:pPr>
              <w:rPr>
                <w:sz w:val="11"/>
                <w:szCs w:val="11"/>
                <w:lang w:val="fr-BE"/>
              </w:rPr>
            </w:pPr>
          </w:p>
        </w:tc>
        <w:tc>
          <w:tcPr>
            <w:tcW w:w="580" w:type="dxa"/>
            <w:vMerge/>
            <w:vAlign w:val="bottom"/>
          </w:tcPr>
          <w:p w:rsidR="00AC12B4" w:rsidRPr="00C27636" w:rsidRDefault="00AC12B4">
            <w:pPr>
              <w:rPr>
                <w:sz w:val="11"/>
                <w:szCs w:val="11"/>
                <w:lang w:val="fr-BE"/>
              </w:rPr>
            </w:pPr>
          </w:p>
        </w:tc>
        <w:tc>
          <w:tcPr>
            <w:tcW w:w="56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rsidRPr="00C27636">
        <w:trPr>
          <w:trHeight w:val="173"/>
        </w:trPr>
        <w:tc>
          <w:tcPr>
            <w:tcW w:w="1220" w:type="dxa"/>
            <w:tcBorders>
              <w:left w:val="single" w:sz="8" w:space="0" w:color="919715"/>
            </w:tcBorders>
            <w:shd w:val="clear" w:color="auto" w:fill="C9D11D"/>
            <w:vAlign w:val="bottom"/>
          </w:tcPr>
          <w:p w:rsidR="00AC12B4" w:rsidRPr="00C27636" w:rsidRDefault="00AC12B4">
            <w:pPr>
              <w:rPr>
                <w:sz w:val="15"/>
                <w:szCs w:val="15"/>
                <w:lang w:val="fr-BE"/>
              </w:rPr>
            </w:pPr>
          </w:p>
        </w:tc>
        <w:tc>
          <w:tcPr>
            <w:tcW w:w="5040" w:type="dxa"/>
            <w:gridSpan w:val="6"/>
            <w:vMerge/>
            <w:tcBorders>
              <w:right w:val="single" w:sz="8" w:space="0" w:color="919715"/>
            </w:tcBorders>
            <w:shd w:val="clear" w:color="auto" w:fill="C9D11D"/>
            <w:vAlign w:val="bottom"/>
          </w:tcPr>
          <w:p w:rsidR="00AC12B4" w:rsidRPr="00C27636" w:rsidRDefault="00AC12B4">
            <w:pPr>
              <w:rPr>
                <w:sz w:val="15"/>
                <w:szCs w:val="15"/>
                <w:lang w:val="fr-BE"/>
              </w:rPr>
            </w:pPr>
          </w:p>
        </w:tc>
        <w:tc>
          <w:tcPr>
            <w:tcW w:w="180" w:type="dxa"/>
            <w:vAlign w:val="bottom"/>
          </w:tcPr>
          <w:p w:rsidR="00AC12B4" w:rsidRPr="00C27636" w:rsidRDefault="00AC12B4">
            <w:pPr>
              <w:rPr>
                <w:sz w:val="15"/>
                <w:szCs w:val="15"/>
                <w:lang w:val="fr-BE"/>
              </w:rPr>
            </w:pPr>
          </w:p>
        </w:tc>
        <w:tc>
          <w:tcPr>
            <w:tcW w:w="372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familles dont la demande d'asile a été</w:t>
            </w:r>
          </w:p>
        </w:tc>
        <w:tc>
          <w:tcPr>
            <w:tcW w:w="560" w:type="dxa"/>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trPr>
          <w:trHeight w:val="96"/>
        </w:trPr>
        <w:tc>
          <w:tcPr>
            <w:tcW w:w="1220" w:type="dxa"/>
            <w:tcBorders>
              <w:left w:val="single" w:sz="8" w:space="0" w:color="919715"/>
            </w:tcBorders>
            <w:shd w:val="clear" w:color="auto" w:fill="C9D11D"/>
            <w:vAlign w:val="bottom"/>
          </w:tcPr>
          <w:p w:rsidR="00AC12B4" w:rsidRPr="00C27636" w:rsidRDefault="00AC12B4">
            <w:pPr>
              <w:rPr>
                <w:sz w:val="8"/>
                <w:szCs w:val="8"/>
                <w:lang w:val="fr-BE"/>
              </w:rPr>
            </w:pPr>
          </w:p>
        </w:tc>
        <w:tc>
          <w:tcPr>
            <w:tcW w:w="1200" w:type="dxa"/>
            <w:vMerge w:val="restart"/>
            <w:shd w:val="clear" w:color="auto" w:fill="C9D11D"/>
            <w:vAlign w:val="bottom"/>
          </w:tcPr>
          <w:p w:rsidR="00AC12B4" w:rsidRDefault="00C27636">
            <w:pPr>
              <w:ind w:left="80"/>
              <w:rPr>
                <w:sz w:val="20"/>
                <w:szCs w:val="20"/>
              </w:rPr>
            </w:pPr>
            <w:r>
              <w:rPr>
                <w:rFonts w:ascii="Calibri" w:eastAsia="Calibri" w:hAnsi="Calibri" w:cs="Calibri"/>
                <w:i/>
                <w:iCs/>
                <w:color w:val="FFFFFF"/>
              </w:rPr>
              <w:t>social.</w:t>
            </w:r>
          </w:p>
        </w:tc>
        <w:tc>
          <w:tcPr>
            <w:tcW w:w="300" w:type="dxa"/>
            <w:shd w:val="clear" w:color="auto" w:fill="C9D11D"/>
            <w:vAlign w:val="bottom"/>
          </w:tcPr>
          <w:p w:rsidR="00AC12B4" w:rsidRDefault="00AC12B4">
            <w:pPr>
              <w:rPr>
                <w:sz w:val="8"/>
                <w:szCs w:val="8"/>
              </w:rPr>
            </w:pPr>
          </w:p>
        </w:tc>
        <w:tc>
          <w:tcPr>
            <w:tcW w:w="1000" w:type="dxa"/>
            <w:shd w:val="clear" w:color="auto" w:fill="C9D11D"/>
            <w:vAlign w:val="bottom"/>
          </w:tcPr>
          <w:p w:rsidR="00AC12B4" w:rsidRDefault="00AC12B4">
            <w:pPr>
              <w:rPr>
                <w:sz w:val="8"/>
                <w:szCs w:val="8"/>
              </w:rPr>
            </w:pPr>
          </w:p>
        </w:tc>
        <w:tc>
          <w:tcPr>
            <w:tcW w:w="400" w:type="dxa"/>
            <w:shd w:val="clear" w:color="auto" w:fill="C9D11D"/>
            <w:vAlign w:val="bottom"/>
          </w:tcPr>
          <w:p w:rsidR="00AC12B4" w:rsidRDefault="00AC12B4">
            <w:pPr>
              <w:rPr>
                <w:sz w:val="8"/>
                <w:szCs w:val="8"/>
              </w:rPr>
            </w:pPr>
          </w:p>
        </w:tc>
        <w:tc>
          <w:tcPr>
            <w:tcW w:w="1380" w:type="dxa"/>
            <w:shd w:val="clear" w:color="auto" w:fill="C9D11D"/>
            <w:vAlign w:val="bottom"/>
          </w:tcPr>
          <w:p w:rsidR="00AC12B4" w:rsidRDefault="00AC12B4">
            <w:pPr>
              <w:rPr>
                <w:sz w:val="8"/>
                <w:szCs w:val="8"/>
              </w:rPr>
            </w:pPr>
          </w:p>
        </w:tc>
        <w:tc>
          <w:tcPr>
            <w:tcW w:w="760" w:type="dxa"/>
            <w:tcBorders>
              <w:right w:val="single" w:sz="8" w:space="0" w:color="919715"/>
            </w:tcBorders>
            <w:shd w:val="clear" w:color="auto" w:fill="C9D11D"/>
            <w:vAlign w:val="bottom"/>
          </w:tcPr>
          <w:p w:rsidR="00AC12B4" w:rsidRDefault="00AC12B4">
            <w:pPr>
              <w:rPr>
                <w:sz w:val="8"/>
                <w:szCs w:val="8"/>
              </w:rPr>
            </w:pPr>
          </w:p>
        </w:tc>
        <w:tc>
          <w:tcPr>
            <w:tcW w:w="180" w:type="dxa"/>
            <w:vAlign w:val="bottom"/>
          </w:tcPr>
          <w:p w:rsidR="00AC12B4" w:rsidRDefault="00AC12B4">
            <w:pPr>
              <w:rPr>
                <w:sz w:val="8"/>
                <w:szCs w:val="8"/>
              </w:rPr>
            </w:pPr>
          </w:p>
        </w:tc>
        <w:tc>
          <w:tcPr>
            <w:tcW w:w="3720" w:type="dxa"/>
            <w:gridSpan w:val="8"/>
            <w:vMerge/>
            <w:vAlign w:val="bottom"/>
          </w:tcPr>
          <w:p w:rsidR="00AC12B4" w:rsidRDefault="00AC12B4">
            <w:pPr>
              <w:rPr>
                <w:sz w:val="8"/>
                <w:szCs w:val="8"/>
              </w:rPr>
            </w:pPr>
          </w:p>
        </w:tc>
        <w:tc>
          <w:tcPr>
            <w:tcW w:w="5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214"/>
        </w:trPr>
        <w:tc>
          <w:tcPr>
            <w:tcW w:w="1220" w:type="dxa"/>
            <w:tcBorders>
              <w:left w:val="single" w:sz="8" w:space="0" w:color="919715"/>
            </w:tcBorders>
            <w:shd w:val="clear" w:color="auto" w:fill="C9D11D"/>
            <w:vAlign w:val="bottom"/>
          </w:tcPr>
          <w:p w:rsidR="00AC12B4" w:rsidRDefault="00AC12B4">
            <w:pPr>
              <w:rPr>
                <w:sz w:val="18"/>
                <w:szCs w:val="18"/>
              </w:rPr>
            </w:pPr>
          </w:p>
        </w:tc>
        <w:tc>
          <w:tcPr>
            <w:tcW w:w="1200" w:type="dxa"/>
            <w:vMerge/>
            <w:shd w:val="clear" w:color="auto" w:fill="C9D11D"/>
            <w:vAlign w:val="bottom"/>
          </w:tcPr>
          <w:p w:rsidR="00AC12B4" w:rsidRDefault="00AC12B4">
            <w:pPr>
              <w:rPr>
                <w:sz w:val="18"/>
                <w:szCs w:val="18"/>
              </w:rPr>
            </w:pPr>
          </w:p>
        </w:tc>
        <w:tc>
          <w:tcPr>
            <w:tcW w:w="300" w:type="dxa"/>
            <w:shd w:val="clear" w:color="auto" w:fill="C9D11D"/>
            <w:vAlign w:val="bottom"/>
          </w:tcPr>
          <w:p w:rsidR="00AC12B4" w:rsidRDefault="00AC12B4">
            <w:pPr>
              <w:rPr>
                <w:sz w:val="18"/>
                <w:szCs w:val="18"/>
              </w:rPr>
            </w:pPr>
          </w:p>
        </w:tc>
        <w:tc>
          <w:tcPr>
            <w:tcW w:w="1000" w:type="dxa"/>
            <w:shd w:val="clear" w:color="auto" w:fill="C9D11D"/>
            <w:vAlign w:val="bottom"/>
          </w:tcPr>
          <w:p w:rsidR="00AC12B4" w:rsidRDefault="00AC12B4">
            <w:pPr>
              <w:rPr>
                <w:sz w:val="18"/>
                <w:szCs w:val="18"/>
              </w:rPr>
            </w:pPr>
          </w:p>
        </w:tc>
        <w:tc>
          <w:tcPr>
            <w:tcW w:w="400" w:type="dxa"/>
            <w:shd w:val="clear" w:color="auto" w:fill="C9D11D"/>
            <w:vAlign w:val="bottom"/>
          </w:tcPr>
          <w:p w:rsidR="00AC12B4" w:rsidRDefault="00AC12B4">
            <w:pPr>
              <w:rPr>
                <w:sz w:val="18"/>
                <w:szCs w:val="18"/>
              </w:rPr>
            </w:pPr>
          </w:p>
        </w:tc>
        <w:tc>
          <w:tcPr>
            <w:tcW w:w="1380" w:type="dxa"/>
            <w:shd w:val="clear" w:color="auto" w:fill="C9D11D"/>
            <w:vAlign w:val="bottom"/>
          </w:tcPr>
          <w:p w:rsidR="00AC12B4" w:rsidRDefault="00AC12B4">
            <w:pPr>
              <w:rPr>
                <w:sz w:val="18"/>
                <w:szCs w:val="18"/>
              </w:rPr>
            </w:pPr>
          </w:p>
        </w:tc>
        <w:tc>
          <w:tcPr>
            <w:tcW w:w="760" w:type="dxa"/>
            <w:tcBorders>
              <w:right w:val="single" w:sz="8" w:space="0" w:color="919715"/>
            </w:tcBorders>
            <w:shd w:val="clear" w:color="auto" w:fill="C9D11D"/>
            <w:vAlign w:val="bottom"/>
          </w:tcPr>
          <w:p w:rsidR="00AC12B4" w:rsidRDefault="00AC12B4">
            <w:pPr>
              <w:rPr>
                <w:sz w:val="18"/>
                <w:szCs w:val="18"/>
              </w:rPr>
            </w:pPr>
          </w:p>
        </w:tc>
        <w:tc>
          <w:tcPr>
            <w:tcW w:w="180" w:type="dxa"/>
            <w:vAlign w:val="bottom"/>
          </w:tcPr>
          <w:p w:rsidR="00AC12B4" w:rsidRDefault="00AC12B4">
            <w:pPr>
              <w:rPr>
                <w:sz w:val="18"/>
                <w:szCs w:val="18"/>
              </w:rPr>
            </w:pPr>
          </w:p>
        </w:tc>
        <w:tc>
          <w:tcPr>
            <w:tcW w:w="3140" w:type="dxa"/>
            <w:gridSpan w:val="7"/>
            <w:vMerge w:val="restart"/>
            <w:vAlign w:val="bottom"/>
          </w:tcPr>
          <w:p w:rsidR="00AC12B4" w:rsidRPr="00C27636" w:rsidRDefault="00C27636">
            <w:pPr>
              <w:rPr>
                <w:sz w:val="20"/>
                <w:szCs w:val="20"/>
                <w:lang w:val="fr-BE"/>
              </w:rPr>
            </w:pPr>
            <w:r w:rsidRPr="00C27636">
              <w:rPr>
                <w:rFonts w:ascii="Calibri" w:eastAsia="Calibri" w:hAnsi="Calibri" w:cs="Calibri"/>
                <w:lang w:val="fr-BE"/>
              </w:rPr>
              <w:t>refusée et qui se trouvent à</w:t>
            </w:r>
            <w:r w:rsidRPr="00C27636">
              <w:rPr>
                <w:rFonts w:ascii="Calibri" w:eastAsia="Calibri" w:hAnsi="Calibri" w:cs="Calibri"/>
                <w:lang w:val="fr-BE"/>
              </w:rPr>
              <w:t xml:space="preserve"> la rue.</w:t>
            </w:r>
          </w:p>
        </w:tc>
        <w:tc>
          <w:tcPr>
            <w:tcW w:w="580" w:type="dxa"/>
            <w:vAlign w:val="bottom"/>
          </w:tcPr>
          <w:p w:rsidR="00AC12B4" w:rsidRPr="00C27636" w:rsidRDefault="00AC12B4">
            <w:pPr>
              <w:rPr>
                <w:sz w:val="18"/>
                <w:szCs w:val="18"/>
                <w:lang w:val="fr-BE"/>
              </w:rPr>
            </w:pPr>
          </w:p>
        </w:tc>
        <w:tc>
          <w:tcPr>
            <w:tcW w:w="560" w:type="dxa"/>
            <w:vAlign w:val="bottom"/>
          </w:tcPr>
          <w:p w:rsidR="00AC12B4" w:rsidRPr="00C27636" w:rsidRDefault="00AC12B4">
            <w:pPr>
              <w:rPr>
                <w:sz w:val="18"/>
                <w:szCs w:val="18"/>
                <w:lang w:val="fr-BE"/>
              </w:rPr>
            </w:pPr>
          </w:p>
        </w:tc>
        <w:tc>
          <w:tcPr>
            <w:tcW w:w="0" w:type="dxa"/>
            <w:vAlign w:val="bottom"/>
          </w:tcPr>
          <w:p w:rsidR="00AC12B4" w:rsidRPr="00C27636" w:rsidRDefault="00AC12B4">
            <w:pPr>
              <w:rPr>
                <w:sz w:val="1"/>
                <w:szCs w:val="1"/>
                <w:lang w:val="fr-BE"/>
              </w:rPr>
            </w:pPr>
          </w:p>
        </w:tc>
      </w:tr>
      <w:tr w:rsidR="00AC12B4" w:rsidRPr="00C27636">
        <w:trPr>
          <w:trHeight w:val="55"/>
        </w:trPr>
        <w:tc>
          <w:tcPr>
            <w:tcW w:w="1220" w:type="dxa"/>
            <w:tcBorders>
              <w:left w:val="single" w:sz="8" w:space="0" w:color="919715"/>
            </w:tcBorders>
            <w:shd w:val="clear" w:color="auto" w:fill="C9D11D"/>
            <w:vAlign w:val="bottom"/>
          </w:tcPr>
          <w:p w:rsidR="00AC12B4" w:rsidRPr="00C27636" w:rsidRDefault="00AC12B4">
            <w:pPr>
              <w:rPr>
                <w:sz w:val="4"/>
                <w:szCs w:val="4"/>
                <w:lang w:val="fr-BE"/>
              </w:rPr>
            </w:pPr>
          </w:p>
        </w:tc>
        <w:tc>
          <w:tcPr>
            <w:tcW w:w="1200" w:type="dxa"/>
            <w:shd w:val="clear" w:color="auto" w:fill="C9D11D"/>
            <w:vAlign w:val="bottom"/>
          </w:tcPr>
          <w:p w:rsidR="00AC12B4" w:rsidRPr="00C27636" w:rsidRDefault="00AC12B4">
            <w:pPr>
              <w:rPr>
                <w:sz w:val="4"/>
                <w:szCs w:val="4"/>
                <w:lang w:val="fr-BE"/>
              </w:rPr>
            </w:pPr>
          </w:p>
        </w:tc>
        <w:tc>
          <w:tcPr>
            <w:tcW w:w="300" w:type="dxa"/>
            <w:shd w:val="clear" w:color="auto" w:fill="C9D11D"/>
            <w:vAlign w:val="bottom"/>
          </w:tcPr>
          <w:p w:rsidR="00AC12B4" w:rsidRPr="00C27636" w:rsidRDefault="00AC12B4">
            <w:pPr>
              <w:rPr>
                <w:sz w:val="4"/>
                <w:szCs w:val="4"/>
                <w:lang w:val="fr-BE"/>
              </w:rPr>
            </w:pPr>
          </w:p>
        </w:tc>
        <w:tc>
          <w:tcPr>
            <w:tcW w:w="1000" w:type="dxa"/>
            <w:shd w:val="clear" w:color="auto" w:fill="C9D11D"/>
            <w:vAlign w:val="bottom"/>
          </w:tcPr>
          <w:p w:rsidR="00AC12B4" w:rsidRPr="00C27636" w:rsidRDefault="00AC12B4">
            <w:pPr>
              <w:rPr>
                <w:sz w:val="4"/>
                <w:szCs w:val="4"/>
                <w:lang w:val="fr-BE"/>
              </w:rPr>
            </w:pPr>
          </w:p>
        </w:tc>
        <w:tc>
          <w:tcPr>
            <w:tcW w:w="400" w:type="dxa"/>
            <w:shd w:val="clear" w:color="auto" w:fill="C9D11D"/>
            <w:vAlign w:val="bottom"/>
          </w:tcPr>
          <w:p w:rsidR="00AC12B4" w:rsidRPr="00C27636" w:rsidRDefault="00AC12B4">
            <w:pPr>
              <w:rPr>
                <w:sz w:val="4"/>
                <w:szCs w:val="4"/>
                <w:lang w:val="fr-BE"/>
              </w:rPr>
            </w:pPr>
          </w:p>
        </w:tc>
        <w:tc>
          <w:tcPr>
            <w:tcW w:w="1380" w:type="dxa"/>
            <w:shd w:val="clear" w:color="auto" w:fill="C9D11D"/>
            <w:vAlign w:val="bottom"/>
          </w:tcPr>
          <w:p w:rsidR="00AC12B4" w:rsidRPr="00C27636" w:rsidRDefault="00AC12B4">
            <w:pPr>
              <w:rPr>
                <w:sz w:val="4"/>
                <w:szCs w:val="4"/>
                <w:lang w:val="fr-BE"/>
              </w:rPr>
            </w:pPr>
          </w:p>
        </w:tc>
        <w:tc>
          <w:tcPr>
            <w:tcW w:w="760" w:type="dxa"/>
            <w:tcBorders>
              <w:right w:val="single" w:sz="8" w:space="0" w:color="919715"/>
            </w:tcBorders>
            <w:shd w:val="clear" w:color="auto" w:fill="C9D11D"/>
            <w:vAlign w:val="bottom"/>
          </w:tcPr>
          <w:p w:rsidR="00AC12B4" w:rsidRPr="00C27636" w:rsidRDefault="00AC12B4">
            <w:pPr>
              <w:rPr>
                <w:sz w:val="4"/>
                <w:szCs w:val="4"/>
                <w:lang w:val="fr-BE"/>
              </w:rPr>
            </w:pPr>
          </w:p>
        </w:tc>
        <w:tc>
          <w:tcPr>
            <w:tcW w:w="180" w:type="dxa"/>
            <w:vAlign w:val="bottom"/>
          </w:tcPr>
          <w:p w:rsidR="00AC12B4" w:rsidRPr="00C27636" w:rsidRDefault="00AC12B4">
            <w:pPr>
              <w:rPr>
                <w:sz w:val="4"/>
                <w:szCs w:val="4"/>
                <w:lang w:val="fr-BE"/>
              </w:rPr>
            </w:pPr>
          </w:p>
        </w:tc>
        <w:tc>
          <w:tcPr>
            <w:tcW w:w="3140" w:type="dxa"/>
            <w:gridSpan w:val="7"/>
            <w:vMerge/>
            <w:vAlign w:val="bottom"/>
          </w:tcPr>
          <w:p w:rsidR="00AC12B4" w:rsidRPr="00C27636" w:rsidRDefault="00AC12B4">
            <w:pPr>
              <w:rPr>
                <w:sz w:val="4"/>
                <w:szCs w:val="4"/>
                <w:lang w:val="fr-BE"/>
              </w:rPr>
            </w:pPr>
          </w:p>
        </w:tc>
        <w:tc>
          <w:tcPr>
            <w:tcW w:w="580" w:type="dxa"/>
            <w:vAlign w:val="bottom"/>
          </w:tcPr>
          <w:p w:rsidR="00AC12B4" w:rsidRPr="00C27636" w:rsidRDefault="00AC12B4">
            <w:pPr>
              <w:rPr>
                <w:sz w:val="4"/>
                <w:szCs w:val="4"/>
                <w:lang w:val="fr-BE"/>
              </w:rPr>
            </w:pPr>
          </w:p>
        </w:tc>
        <w:tc>
          <w:tcPr>
            <w:tcW w:w="560" w:type="dxa"/>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rsidRPr="00C27636">
        <w:trPr>
          <w:trHeight w:val="428"/>
        </w:trPr>
        <w:tc>
          <w:tcPr>
            <w:tcW w:w="1220" w:type="dxa"/>
            <w:tcBorders>
              <w:left w:val="single" w:sz="8" w:space="0" w:color="919715"/>
            </w:tcBorders>
            <w:shd w:val="clear" w:color="auto" w:fill="C9D11D"/>
            <w:vAlign w:val="bottom"/>
          </w:tcPr>
          <w:p w:rsidR="00AC12B4" w:rsidRDefault="00C27636">
            <w:pPr>
              <w:ind w:left="940"/>
              <w:rPr>
                <w:sz w:val="20"/>
                <w:szCs w:val="20"/>
              </w:rPr>
            </w:pPr>
            <w:r>
              <w:rPr>
                <w:rFonts w:ascii="Calibri" w:eastAsia="Calibri" w:hAnsi="Calibri" w:cs="Calibri"/>
                <w:i/>
                <w:iCs/>
                <w:color w:val="FFFFFF"/>
                <w:sz w:val="20"/>
                <w:szCs w:val="20"/>
              </w:rPr>
              <w:t>3.</w:t>
            </w:r>
          </w:p>
        </w:tc>
        <w:tc>
          <w:tcPr>
            <w:tcW w:w="5040" w:type="dxa"/>
            <w:gridSpan w:val="6"/>
            <w:tcBorders>
              <w:right w:val="single" w:sz="8" w:space="0" w:color="919715"/>
            </w:tcBorders>
            <w:shd w:val="clear" w:color="auto" w:fill="C9D11D"/>
            <w:vAlign w:val="bottom"/>
          </w:tcPr>
          <w:p w:rsidR="00AC12B4" w:rsidRPr="00C27636" w:rsidRDefault="00C27636">
            <w:pPr>
              <w:ind w:left="240"/>
              <w:rPr>
                <w:sz w:val="20"/>
                <w:szCs w:val="20"/>
                <w:lang w:val="fr-BE"/>
              </w:rPr>
            </w:pPr>
            <w:r w:rsidRPr="00C27636">
              <w:rPr>
                <w:rFonts w:ascii="Calibri" w:eastAsia="Calibri" w:hAnsi="Calibri" w:cs="Calibri"/>
                <w:i/>
                <w:iCs/>
                <w:color w:val="FFFFFF"/>
                <w:sz w:val="20"/>
                <w:szCs w:val="20"/>
                <w:lang w:val="fr-BE"/>
              </w:rPr>
              <w:t>Les États parties adoptent les mesures appropriées,</w:t>
            </w:r>
          </w:p>
        </w:tc>
        <w:tc>
          <w:tcPr>
            <w:tcW w:w="180" w:type="dxa"/>
            <w:vAlign w:val="bottom"/>
          </w:tcPr>
          <w:p w:rsidR="00AC12B4" w:rsidRPr="00C27636" w:rsidRDefault="00AC12B4">
            <w:pPr>
              <w:rPr>
                <w:sz w:val="24"/>
                <w:szCs w:val="24"/>
                <w:lang w:val="fr-BE"/>
              </w:rPr>
            </w:pPr>
          </w:p>
        </w:tc>
        <w:tc>
          <w:tcPr>
            <w:tcW w:w="3720" w:type="dxa"/>
            <w:gridSpan w:val="8"/>
            <w:vAlign w:val="bottom"/>
          </w:tcPr>
          <w:p w:rsidR="00AC12B4" w:rsidRPr="00C27636" w:rsidRDefault="00C27636">
            <w:pPr>
              <w:rPr>
                <w:sz w:val="20"/>
                <w:szCs w:val="20"/>
                <w:lang w:val="fr-BE"/>
              </w:rPr>
            </w:pPr>
            <w:r w:rsidRPr="00C27636">
              <w:rPr>
                <w:rFonts w:ascii="Calibri" w:eastAsia="Calibri" w:hAnsi="Calibri" w:cs="Calibri"/>
                <w:lang w:val="fr-BE"/>
              </w:rPr>
              <w:t>Nous  allons  donc,  ici,  regarder  les</w:t>
            </w:r>
          </w:p>
        </w:tc>
        <w:tc>
          <w:tcPr>
            <w:tcW w:w="56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268"/>
        </w:trPr>
        <w:tc>
          <w:tcPr>
            <w:tcW w:w="6260" w:type="dxa"/>
            <w:gridSpan w:val="7"/>
            <w:tcBorders>
              <w:left w:val="single" w:sz="8" w:space="0" w:color="919715"/>
              <w:right w:val="single" w:sz="8" w:space="0" w:color="919715"/>
            </w:tcBorders>
            <w:shd w:val="clear" w:color="auto" w:fill="C9D11D"/>
            <w:vAlign w:val="bottom"/>
          </w:tcPr>
          <w:p w:rsidR="00AC12B4" w:rsidRPr="00C27636" w:rsidRDefault="00C27636">
            <w:pPr>
              <w:ind w:left="940"/>
              <w:rPr>
                <w:sz w:val="20"/>
                <w:szCs w:val="20"/>
                <w:lang w:val="fr-BE"/>
              </w:rPr>
            </w:pPr>
            <w:r w:rsidRPr="00C27636">
              <w:rPr>
                <w:rFonts w:ascii="Calibri" w:eastAsia="Calibri" w:hAnsi="Calibri" w:cs="Calibri"/>
                <w:i/>
                <w:iCs/>
                <w:color w:val="FFFFFF"/>
                <w:lang w:val="fr-BE"/>
              </w:rPr>
              <w:t>compte tenu des conditions nationales et dans la mesure</w:t>
            </w:r>
          </w:p>
        </w:tc>
        <w:tc>
          <w:tcPr>
            <w:tcW w:w="180" w:type="dxa"/>
            <w:vAlign w:val="bottom"/>
          </w:tcPr>
          <w:p w:rsidR="00AC12B4" w:rsidRPr="00C27636" w:rsidRDefault="00AC12B4">
            <w:pPr>
              <w:rPr>
                <w:sz w:val="23"/>
                <w:szCs w:val="23"/>
                <w:lang w:val="fr-BE"/>
              </w:rPr>
            </w:pPr>
          </w:p>
        </w:tc>
        <w:tc>
          <w:tcPr>
            <w:tcW w:w="3720" w:type="dxa"/>
            <w:gridSpan w:val="8"/>
            <w:vAlign w:val="bottom"/>
          </w:tcPr>
          <w:p w:rsidR="00AC12B4" w:rsidRPr="00C27636" w:rsidRDefault="00C27636">
            <w:pPr>
              <w:spacing w:line="227" w:lineRule="exact"/>
              <w:rPr>
                <w:sz w:val="20"/>
                <w:szCs w:val="20"/>
                <w:lang w:val="fr-BE"/>
              </w:rPr>
            </w:pPr>
            <w:r w:rsidRPr="00C27636">
              <w:rPr>
                <w:rFonts w:ascii="Calibri" w:eastAsia="Calibri" w:hAnsi="Calibri" w:cs="Calibri"/>
                <w:lang w:val="fr-BE"/>
              </w:rPr>
              <w:t>conditions de logement sous 3 angles:</w:t>
            </w: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5500" w:type="dxa"/>
            <w:gridSpan w:val="6"/>
            <w:tcBorders>
              <w:left w:val="single" w:sz="8" w:space="0" w:color="919715"/>
            </w:tcBorders>
            <w:shd w:val="clear" w:color="auto" w:fill="C9D11D"/>
            <w:vAlign w:val="bottom"/>
          </w:tcPr>
          <w:p w:rsidR="00AC12B4" w:rsidRPr="00C27636" w:rsidRDefault="00C27636">
            <w:pPr>
              <w:ind w:left="940"/>
              <w:rPr>
                <w:sz w:val="20"/>
                <w:szCs w:val="20"/>
                <w:lang w:val="fr-BE"/>
              </w:rPr>
            </w:pPr>
            <w:r w:rsidRPr="00C27636">
              <w:rPr>
                <w:rFonts w:ascii="Calibri" w:eastAsia="Calibri" w:hAnsi="Calibri" w:cs="Calibri"/>
                <w:i/>
                <w:iCs/>
                <w:color w:val="FFFFFF"/>
                <w:lang w:val="fr-BE"/>
              </w:rPr>
              <w:t xml:space="preserve">de  leurs  moyens,  pour  aider </w:t>
            </w:r>
            <w:r w:rsidRPr="00C27636">
              <w:rPr>
                <w:rFonts w:ascii="Calibri" w:eastAsia="Calibri" w:hAnsi="Calibri" w:cs="Calibri"/>
                <w:i/>
                <w:iCs/>
                <w:color w:val="FFFFFF"/>
                <w:lang w:val="fr-BE"/>
              </w:rPr>
              <w:t xml:space="preserve"> les  </w:t>
            </w:r>
            <w:r w:rsidRPr="00C27636">
              <w:rPr>
                <w:rFonts w:ascii="Calibri" w:eastAsia="Calibri" w:hAnsi="Calibri" w:cs="Calibri"/>
                <w:i/>
                <w:iCs/>
                <w:color w:val="FFFFFF"/>
                <w:lang w:val="fr-BE"/>
              </w:rPr>
              <w:lastRenderedPageBreak/>
              <w:t>parents  et</w:t>
            </w:r>
          </w:p>
        </w:tc>
        <w:tc>
          <w:tcPr>
            <w:tcW w:w="760" w:type="dxa"/>
            <w:tcBorders>
              <w:right w:val="single" w:sz="8" w:space="0" w:color="919715"/>
            </w:tcBorders>
            <w:shd w:val="clear" w:color="auto" w:fill="C9D11D"/>
            <w:vAlign w:val="bottom"/>
          </w:tcPr>
          <w:p w:rsidR="00AC12B4" w:rsidRDefault="00C27636">
            <w:pPr>
              <w:ind w:left="20"/>
              <w:rPr>
                <w:sz w:val="20"/>
                <w:szCs w:val="20"/>
              </w:rPr>
            </w:pPr>
            <w:r>
              <w:rPr>
                <w:rFonts w:ascii="Calibri" w:eastAsia="Calibri" w:hAnsi="Calibri" w:cs="Calibri"/>
                <w:i/>
                <w:iCs/>
                <w:color w:val="FFFFFF"/>
              </w:rPr>
              <w:lastRenderedPageBreak/>
              <w:t>autres</w:t>
            </w:r>
          </w:p>
        </w:tc>
        <w:tc>
          <w:tcPr>
            <w:tcW w:w="180" w:type="dxa"/>
            <w:vAlign w:val="bottom"/>
          </w:tcPr>
          <w:p w:rsidR="00AC12B4" w:rsidRDefault="00AC12B4">
            <w:pPr>
              <w:rPr>
                <w:sz w:val="23"/>
                <w:szCs w:val="23"/>
              </w:rPr>
            </w:pPr>
          </w:p>
        </w:tc>
        <w:tc>
          <w:tcPr>
            <w:tcW w:w="3720" w:type="dxa"/>
            <w:gridSpan w:val="8"/>
            <w:vAlign w:val="bottom"/>
          </w:tcPr>
          <w:p w:rsidR="00AC12B4" w:rsidRPr="00C27636" w:rsidRDefault="00C27636">
            <w:pPr>
              <w:spacing w:line="228" w:lineRule="exact"/>
              <w:rPr>
                <w:sz w:val="20"/>
                <w:szCs w:val="20"/>
                <w:lang w:val="fr-BE"/>
              </w:rPr>
            </w:pPr>
            <w:r w:rsidRPr="00C27636">
              <w:rPr>
                <w:rFonts w:ascii="Calibri" w:eastAsia="Calibri" w:hAnsi="Calibri" w:cs="Calibri"/>
                <w:lang w:val="fr-BE"/>
              </w:rPr>
              <w:t>(1) le confort de logement, (2) les</w:t>
            </w: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260" w:type="dxa"/>
            <w:gridSpan w:val="7"/>
            <w:tcBorders>
              <w:left w:val="single" w:sz="8" w:space="0" w:color="919715"/>
              <w:right w:val="single" w:sz="8" w:space="0" w:color="919715"/>
            </w:tcBorders>
            <w:shd w:val="clear" w:color="auto" w:fill="C9D11D"/>
            <w:vAlign w:val="bottom"/>
          </w:tcPr>
          <w:p w:rsidR="00AC12B4" w:rsidRPr="00C27636" w:rsidRDefault="00C27636">
            <w:pPr>
              <w:ind w:left="940"/>
              <w:rPr>
                <w:sz w:val="20"/>
                <w:szCs w:val="20"/>
                <w:lang w:val="fr-BE"/>
              </w:rPr>
            </w:pPr>
            <w:r w:rsidRPr="00C27636">
              <w:rPr>
                <w:rFonts w:ascii="Calibri" w:eastAsia="Calibri" w:hAnsi="Calibri" w:cs="Calibri"/>
                <w:i/>
                <w:iCs/>
                <w:color w:val="FFFFFF"/>
                <w:lang w:val="fr-BE"/>
              </w:rPr>
              <w:lastRenderedPageBreak/>
              <w:t>personnes ayant la charge de l'enfant à mettre en œuvre</w:t>
            </w:r>
          </w:p>
        </w:tc>
        <w:tc>
          <w:tcPr>
            <w:tcW w:w="180" w:type="dxa"/>
            <w:vAlign w:val="bottom"/>
          </w:tcPr>
          <w:p w:rsidR="00AC12B4" w:rsidRPr="00C27636" w:rsidRDefault="00AC12B4">
            <w:pPr>
              <w:rPr>
                <w:sz w:val="23"/>
                <w:szCs w:val="23"/>
                <w:lang w:val="fr-BE"/>
              </w:rPr>
            </w:pPr>
          </w:p>
        </w:tc>
        <w:tc>
          <w:tcPr>
            <w:tcW w:w="3720" w:type="dxa"/>
            <w:gridSpan w:val="8"/>
            <w:vAlign w:val="bottom"/>
          </w:tcPr>
          <w:p w:rsidR="00AC12B4" w:rsidRPr="00C27636" w:rsidRDefault="00C27636">
            <w:pPr>
              <w:spacing w:line="229" w:lineRule="exact"/>
              <w:rPr>
                <w:sz w:val="20"/>
                <w:szCs w:val="20"/>
                <w:lang w:val="fr-BE"/>
              </w:rPr>
            </w:pPr>
            <w:r w:rsidRPr="00C27636">
              <w:rPr>
                <w:rFonts w:ascii="Calibri" w:eastAsia="Calibri" w:hAnsi="Calibri" w:cs="Calibri"/>
                <w:lang w:val="fr-BE"/>
              </w:rPr>
              <w:t>demandes de logements sociaux et (3)</w:t>
            </w: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260" w:type="dxa"/>
            <w:gridSpan w:val="7"/>
            <w:tcBorders>
              <w:left w:val="single" w:sz="8" w:space="0" w:color="919715"/>
              <w:right w:val="single" w:sz="8" w:space="0" w:color="919715"/>
            </w:tcBorders>
            <w:shd w:val="clear" w:color="auto" w:fill="C9D11D"/>
            <w:vAlign w:val="bottom"/>
          </w:tcPr>
          <w:p w:rsidR="00AC12B4" w:rsidRPr="00C27636" w:rsidRDefault="00C27636">
            <w:pPr>
              <w:ind w:left="940"/>
              <w:rPr>
                <w:sz w:val="20"/>
                <w:szCs w:val="20"/>
                <w:lang w:val="fr-BE"/>
              </w:rPr>
            </w:pPr>
            <w:r w:rsidRPr="00C27636">
              <w:rPr>
                <w:rFonts w:ascii="Calibri" w:eastAsia="Calibri" w:hAnsi="Calibri" w:cs="Calibri"/>
                <w:i/>
                <w:iCs/>
                <w:color w:val="FFFFFF"/>
                <w:lang w:val="fr-BE"/>
              </w:rPr>
              <w:t>ce droit et offrent, en cas de besoin, une assistance</w:t>
            </w:r>
          </w:p>
        </w:tc>
        <w:tc>
          <w:tcPr>
            <w:tcW w:w="180" w:type="dxa"/>
            <w:vAlign w:val="bottom"/>
          </w:tcPr>
          <w:p w:rsidR="00AC12B4" w:rsidRPr="00C27636" w:rsidRDefault="00AC12B4">
            <w:pPr>
              <w:rPr>
                <w:sz w:val="23"/>
                <w:szCs w:val="23"/>
                <w:lang w:val="fr-BE"/>
              </w:rPr>
            </w:pPr>
          </w:p>
        </w:tc>
        <w:tc>
          <w:tcPr>
            <w:tcW w:w="3140" w:type="dxa"/>
            <w:gridSpan w:val="7"/>
            <w:vAlign w:val="bottom"/>
          </w:tcPr>
          <w:p w:rsidR="00AC12B4" w:rsidRPr="00C27636" w:rsidRDefault="00C27636">
            <w:pPr>
              <w:spacing w:line="228" w:lineRule="exact"/>
              <w:rPr>
                <w:sz w:val="20"/>
                <w:szCs w:val="20"/>
                <w:lang w:val="fr-BE"/>
              </w:rPr>
            </w:pPr>
            <w:r w:rsidRPr="00C27636">
              <w:rPr>
                <w:rFonts w:ascii="Calibri" w:eastAsia="Calibri" w:hAnsi="Calibri" w:cs="Calibri"/>
                <w:lang w:val="fr-BE"/>
              </w:rPr>
              <w:t>la problématique des sans-abris.</w:t>
            </w:r>
          </w:p>
        </w:tc>
        <w:tc>
          <w:tcPr>
            <w:tcW w:w="580" w:type="dxa"/>
            <w:vAlign w:val="bottom"/>
          </w:tcPr>
          <w:p w:rsidR="00AC12B4" w:rsidRPr="00C27636" w:rsidRDefault="00AC12B4">
            <w:pPr>
              <w:rPr>
                <w:sz w:val="23"/>
                <w:szCs w:val="23"/>
                <w:lang w:val="fr-BE"/>
              </w:rPr>
            </w:pP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6260" w:type="dxa"/>
            <w:gridSpan w:val="7"/>
            <w:tcBorders>
              <w:left w:val="single" w:sz="8" w:space="0" w:color="919715"/>
              <w:right w:val="single" w:sz="8" w:space="0" w:color="919715"/>
            </w:tcBorders>
            <w:shd w:val="clear" w:color="auto" w:fill="C9D11D"/>
            <w:vAlign w:val="bottom"/>
          </w:tcPr>
          <w:p w:rsidR="00AC12B4" w:rsidRPr="00C27636" w:rsidRDefault="00C27636">
            <w:pPr>
              <w:ind w:left="940"/>
              <w:rPr>
                <w:sz w:val="20"/>
                <w:szCs w:val="20"/>
                <w:lang w:val="fr-BE"/>
              </w:rPr>
            </w:pPr>
            <w:r w:rsidRPr="00C27636">
              <w:rPr>
                <w:rFonts w:ascii="Calibri" w:eastAsia="Calibri" w:hAnsi="Calibri" w:cs="Calibri"/>
                <w:i/>
                <w:iCs/>
                <w:color w:val="FFFFFF"/>
                <w:lang w:val="fr-BE"/>
              </w:rPr>
              <w:t>matérielle et des programmes d'appui, notamment en ce</w:t>
            </w:r>
          </w:p>
        </w:tc>
        <w:tc>
          <w:tcPr>
            <w:tcW w:w="180" w:type="dxa"/>
            <w:vAlign w:val="bottom"/>
          </w:tcPr>
          <w:p w:rsidR="00AC12B4" w:rsidRPr="00C27636" w:rsidRDefault="00AC12B4">
            <w:pPr>
              <w:rPr>
                <w:sz w:val="23"/>
                <w:szCs w:val="23"/>
                <w:lang w:val="fr-BE"/>
              </w:rPr>
            </w:pPr>
          </w:p>
        </w:tc>
        <w:tc>
          <w:tcPr>
            <w:tcW w:w="3140" w:type="dxa"/>
            <w:gridSpan w:val="7"/>
            <w:vMerge w:val="restart"/>
            <w:vAlign w:val="bottom"/>
          </w:tcPr>
          <w:p w:rsidR="00AC12B4" w:rsidRDefault="00C27636">
            <w:pPr>
              <w:rPr>
                <w:sz w:val="20"/>
                <w:szCs w:val="20"/>
              </w:rPr>
            </w:pPr>
            <w:r>
              <w:rPr>
                <w:rFonts w:ascii="Cambria" w:eastAsia="Cambria" w:hAnsi="Cambria" w:cs="Cambria"/>
                <w:b/>
                <w:bCs/>
                <w:i/>
                <w:iCs/>
                <w:color w:val="919715"/>
                <w:sz w:val="26"/>
                <w:szCs w:val="26"/>
              </w:rPr>
              <w:t>Le confort du logement</w:t>
            </w:r>
          </w:p>
        </w:tc>
        <w:tc>
          <w:tcPr>
            <w:tcW w:w="580" w:type="dxa"/>
            <w:vAlign w:val="bottom"/>
          </w:tcPr>
          <w:p w:rsidR="00AC12B4" w:rsidRDefault="00AC12B4">
            <w:pPr>
              <w:rPr>
                <w:sz w:val="23"/>
                <w:szCs w:val="23"/>
              </w:rPr>
            </w:pPr>
          </w:p>
        </w:tc>
        <w:tc>
          <w:tcPr>
            <w:tcW w:w="5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01"/>
        </w:trPr>
        <w:tc>
          <w:tcPr>
            <w:tcW w:w="6260" w:type="dxa"/>
            <w:gridSpan w:val="7"/>
            <w:vMerge w:val="restart"/>
            <w:tcBorders>
              <w:left w:val="single" w:sz="8" w:space="0" w:color="919715"/>
              <w:right w:val="single" w:sz="8" w:space="0" w:color="919715"/>
            </w:tcBorders>
            <w:shd w:val="clear" w:color="auto" w:fill="C9D11D"/>
            <w:vAlign w:val="bottom"/>
          </w:tcPr>
          <w:p w:rsidR="00AC12B4" w:rsidRPr="00C27636" w:rsidRDefault="00C27636">
            <w:pPr>
              <w:spacing w:line="267" w:lineRule="exact"/>
              <w:ind w:left="940"/>
              <w:rPr>
                <w:sz w:val="20"/>
                <w:szCs w:val="20"/>
                <w:lang w:val="fr-BE"/>
              </w:rPr>
            </w:pPr>
            <w:r w:rsidRPr="00C27636">
              <w:rPr>
                <w:rFonts w:ascii="Calibri" w:eastAsia="Calibri" w:hAnsi="Calibri" w:cs="Calibri"/>
                <w:i/>
                <w:iCs/>
                <w:color w:val="FFFFFF"/>
                <w:lang w:val="fr-BE"/>
              </w:rPr>
              <w:t>qui concerne l'alimentation, le vêtement et le logement..</w:t>
            </w:r>
          </w:p>
        </w:tc>
        <w:tc>
          <w:tcPr>
            <w:tcW w:w="180" w:type="dxa"/>
            <w:vAlign w:val="bottom"/>
          </w:tcPr>
          <w:p w:rsidR="00AC12B4" w:rsidRPr="00C27636" w:rsidRDefault="00AC12B4">
            <w:pPr>
              <w:rPr>
                <w:sz w:val="17"/>
                <w:szCs w:val="17"/>
                <w:lang w:val="fr-BE"/>
              </w:rPr>
            </w:pPr>
          </w:p>
        </w:tc>
        <w:tc>
          <w:tcPr>
            <w:tcW w:w="3140" w:type="dxa"/>
            <w:gridSpan w:val="7"/>
            <w:vMerge/>
            <w:vAlign w:val="bottom"/>
          </w:tcPr>
          <w:p w:rsidR="00AC12B4" w:rsidRPr="00C27636" w:rsidRDefault="00AC12B4">
            <w:pPr>
              <w:rPr>
                <w:sz w:val="17"/>
                <w:szCs w:val="17"/>
                <w:lang w:val="fr-BE"/>
              </w:rPr>
            </w:pPr>
          </w:p>
        </w:tc>
        <w:tc>
          <w:tcPr>
            <w:tcW w:w="580" w:type="dxa"/>
            <w:vAlign w:val="bottom"/>
          </w:tcPr>
          <w:p w:rsidR="00AC12B4" w:rsidRPr="00C27636" w:rsidRDefault="00AC12B4">
            <w:pPr>
              <w:rPr>
                <w:sz w:val="17"/>
                <w:szCs w:val="17"/>
                <w:lang w:val="fr-BE"/>
              </w:rPr>
            </w:pPr>
          </w:p>
        </w:tc>
        <w:tc>
          <w:tcPr>
            <w:tcW w:w="560" w:type="dxa"/>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65"/>
        </w:trPr>
        <w:tc>
          <w:tcPr>
            <w:tcW w:w="6260" w:type="dxa"/>
            <w:gridSpan w:val="7"/>
            <w:vMerge/>
            <w:tcBorders>
              <w:left w:val="single" w:sz="8" w:space="0" w:color="919715"/>
              <w:right w:val="single" w:sz="8" w:space="0" w:color="919715"/>
            </w:tcBorders>
            <w:shd w:val="clear" w:color="auto" w:fill="C9D11D"/>
            <w:vAlign w:val="bottom"/>
          </w:tcPr>
          <w:p w:rsidR="00AC12B4" w:rsidRPr="00C27636" w:rsidRDefault="00AC12B4">
            <w:pPr>
              <w:rPr>
                <w:sz w:val="5"/>
                <w:szCs w:val="5"/>
                <w:lang w:val="fr-BE"/>
              </w:rPr>
            </w:pPr>
          </w:p>
        </w:tc>
        <w:tc>
          <w:tcPr>
            <w:tcW w:w="180" w:type="dxa"/>
            <w:vAlign w:val="bottom"/>
          </w:tcPr>
          <w:p w:rsidR="00AC12B4" w:rsidRPr="00C27636" w:rsidRDefault="00AC12B4">
            <w:pPr>
              <w:rPr>
                <w:sz w:val="5"/>
                <w:szCs w:val="5"/>
                <w:lang w:val="fr-BE"/>
              </w:rPr>
            </w:pPr>
          </w:p>
        </w:tc>
        <w:tc>
          <w:tcPr>
            <w:tcW w:w="240" w:type="dxa"/>
            <w:vAlign w:val="bottom"/>
          </w:tcPr>
          <w:p w:rsidR="00AC12B4" w:rsidRPr="00C27636" w:rsidRDefault="00AC12B4">
            <w:pPr>
              <w:rPr>
                <w:sz w:val="5"/>
                <w:szCs w:val="5"/>
                <w:lang w:val="fr-BE"/>
              </w:rPr>
            </w:pPr>
          </w:p>
        </w:tc>
        <w:tc>
          <w:tcPr>
            <w:tcW w:w="580" w:type="dxa"/>
            <w:vAlign w:val="bottom"/>
          </w:tcPr>
          <w:p w:rsidR="00AC12B4" w:rsidRPr="00C27636" w:rsidRDefault="00AC12B4">
            <w:pPr>
              <w:rPr>
                <w:sz w:val="5"/>
                <w:szCs w:val="5"/>
                <w:lang w:val="fr-BE"/>
              </w:rPr>
            </w:pPr>
          </w:p>
        </w:tc>
        <w:tc>
          <w:tcPr>
            <w:tcW w:w="460" w:type="dxa"/>
            <w:vAlign w:val="bottom"/>
          </w:tcPr>
          <w:p w:rsidR="00AC12B4" w:rsidRPr="00C27636" w:rsidRDefault="00AC12B4">
            <w:pPr>
              <w:rPr>
                <w:sz w:val="5"/>
                <w:szCs w:val="5"/>
                <w:lang w:val="fr-BE"/>
              </w:rPr>
            </w:pPr>
          </w:p>
        </w:tc>
        <w:tc>
          <w:tcPr>
            <w:tcW w:w="280" w:type="dxa"/>
            <w:vAlign w:val="bottom"/>
          </w:tcPr>
          <w:p w:rsidR="00AC12B4" w:rsidRPr="00C27636" w:rsidRDefault="00AC12B4">
            <w:pPr>
              <w:rPr>
                <w:sz w:val="5"/>
                <w:szCs w:val="5"/>
                <w:lang w:val="fr-BE"/>
              </w:rPr>
            </w:pPr>
          </w:p>
        </w:tc>
        <w:tc>
          <w:tcPr>
            <w:tcW w:w="360" w:type="dxa"/>
            <w:vAlign w:val="bottom"/>
          </w:tcPr>
          <w:p w:rsidR="00AC12B4" w:rsidRPr="00C27636" w:rsidRDefault="00AC12B4">
            <w:pPr>
              <w:rPr>
                <w:sz w:val="5"/>
                <w:szCs w:val="5"/>
                <w:lang w:val="fr-BE"/>
              </w:rPr>
            </w:pPr>
          </w:p>
        </w:tc>
        <w:tc>
          <w:tcPr>
            <w:tcW w:w="680" w:type="dxa"/>
            <w:vAlign w:val="bottom"/>
          </w:tcPr>
          <w:p w:rsidR="00AC12B4" w:rsidRPr="00C27636" w:rsidRDefault="00AC12B4">
            <w:pPr>
              <w:rPr>
                <w:sz w:val="5"/>
                <w:szCs w:val="5"/>
                <w:lang w:val="fr-BE"/>
              </w:rPr>
            </w:pPr>
          </w:p>
        </w:tc>
        <w:tc>
          <w:tcPr>
            <w:tcW w:w="540" w:type="dxa"/>
            <w:vAlign w:val="bottom"/>
          </w:tcPr>
          <w:p w:rsidR="00AC12B4" w:rsidRPr="00C27636" w:rsidRDefault="00AC12B4">
            <w:pPr>
              <w:rPr>
                <w:sz w:val="5"/>
                <w:szCs w:val="5"/>
                <w:lang w:val="fr-BE"/>
              </w:rPr>
            </w:pPr>
          </w:p>
        </w:tc>
        <w:tc>
          <w:tcPr>
            <w:tcW w:w="580" w:type="dxa"/>
            <w:vAlign w:val="bottom"/>
          </w:tcPr>
          <w:p w:rsidR="00AC12B4" w:rsidRPr="00C27636" w:rsidRDefault="00AC12B4">
            <w:pPr>
              <w:rPr>
                <w:sz w:val="5"/>
                <w:szCs w:val="5"/>
                <w:lang w:val="fr-BE"/>
              </w:rPr>
            </w:pPr>
          </w:p>
        </w:tc>
        <w:tc>
          <w:tcPr>
            <w:tcW w:w="560" w:type="dxa"/>
            <w:vAlign w:val="bottom"/>
          </w:tcPr>
          <w:p w:rsidR="00AC12B4" w:rsidRPr="00C27636" w:rsidRDefault="00AC12B4">
            <w:pPr>
              <w:rPr>
                <w:sz w:val="5"/>
                <w:szCs w:val="5"/>
                <w:lang w:val="fr-BE"/>
              </w:rPr>
            </w:pPr>
          </w:p>
        </w:tc>
        <w:tc>
          <w:tcPr>
            <w:tcW w:w="0" w:type="dxa"/>
            <w:vAlign w:val="bottom"/>
          </w:tcPr>
          <w:p w:rsidR="00AC12B4" w:rsidRPr="00C27636" w:rsidRDefault="00AC12B4">
            <w:pPr>
              <w:rPr>
                <w:sz w:val="1"/>
                <w:szCs w:val="1"/>
                <w:lang w:val="fr-BE"/>
              </w:rPr>
            </w:pPr>
          </w:p>
        </w:tc>
      </w:tr>
      <w:tr w:rsidR="00AC12B4" w:rsidRPr="00C27636">
        <w:trPr>
          <w:trHeight w:val="239"/>
        </w:trPr>
        <w:tc>
          <w:tcPr>
            <w:tcW w:w="1220" w:type="dxa"/>
            <w:tcBorders>
              <w:left w:val="single" w:sz="8" w:space="0" w:color="919715"/>
              <w:bottom w:val="single" w:sz="8" w:space="0" w:color="919715"/>
            </w:tcBorders>
            <w:shd w:val="clear" w:color="auto" w:fill="C9D11D"/>
            <w:vAlign w:val="bottom"/>
          </w:tcPr>
          <w:p w:rsidR="00AC12B4" w:rsidRPr="00C27636" w:rsidRDefault="00AC12B4">
            <w:pPr>
              <w:rPr>
                <w:sz w:val="20"/>
                <w:szCs w:val="20"/>
                <w:lang w:val="fr-BE"/>
              </w:rPr>
            </w:pPr>
          </w:p>
        </w:tc>
        <w:tc>
          <w:tcPr>
            <w:tcW w:w="1200" w:type="dxa"/>
            <w:tcBorders>
              <w:bottom w:val="single" w:sz="8" w:space="0" w:color="919715"/>
            </w:tcBorders>
            <w:shd w:val="clear" w:color="auto" w:fill="C9D11D"/>
            <w:vAlign w:val="bottom"/>
          </w:tcPr>
          <w:p w:rsidR="00AC12B4" w:rsidRPr="00C27636" w:rsidRDefault="00AC12B4">
            <w:pPr>
              <w:rPr>
                <w:sz w:val="20"/>
                <w:szCs w:val="20"/>
                <w:lang w:val="fr-BE"/>
              </w:rPr>
            </w:pPr>
          </w:p>
        </w:tc>
        <w:tc>
          <w:tcPr>
            <w:tcW w:w="300" w:type="dxa"/>
            <w:tcBorders>
              <w:bottom w:val="single" w:sz="8" w:space="0" w:color="919715"/>
            </w:tcBorders>
            <w:shd w:val="clear" w:color="auto" w:fill="C9D11D"/>
            <w:vAlign w:val="bottom"/>
          </w:tcPr>
          <w:p w:rsidR="00AC12B4" w:rsidRPr="00C27636" w:rsidRDefault="00AC12B4">
            <w:pPr>
              <w:rPr>
                <w:sz w:val="20"/>
                <w:szCs w:val="20"/>
                <w:lang w:val="fr-BE"/>
              </w:rPr>
            </w:pPr>
          </w:p>
        </w:tc>
        <w:tc>
          <w:tcPr>
            <w:tcW w:w="1000" w:type="dxa"/>
            <w:tcBorders>
              <w:bottom w:val="single" w:sz="8" w:space="0" w:color="919715"/>
            </w:tcBorders>
            <w:shd w:val="clear" w:color="auto" w:fill="C9D11D"/>
            <w:vAlign w:val="bottom"/>
          </w:tcPr>
          <w:p w:rsidR="00AC12B4" w:rsidRPr="00C27636" w:rsidRDefault="00AC12B4">
            <w:pPr>
              <w:rPr>
                <w:sz w:val="20"/>
                <w:szCs w:val="20"/>
                <w:lang w:val="fr-BE"/>
              </w:rPr>
            </w:pPr>
          </w:p>
        </w:tc>
        <w:tc>
          <w:tcPr>
            <w:tcW w:w="400" w:type="dxa"/>
            <w:tcBorders>
              <w:bottom w:val="single" w:sz="8" w:space="0" w:color="919715"/>
            </w:tcBorders>
            <w:shd w:val="clear" w:color="auto" w:fill="C9D11D"/>
            <w:vAlign w:val="bottom"/>
          </w:tcPr>
          <w:p w:rsidR="00AC12B4" w:rsidRPr="00C27636" w:rsidRDefault="00AC12B4">
            <w:pPr>
              <w:rPr>
                <w:sz w:val="20"/>
                <w:szCs w:val="20"/>
                <w:lang w:val="fr-BE"/>
              </w:rPr>
            </w:pPr>
          </w:p>
        </w:tc>
        <w:tc>
          <w:tcPr>
            <w:tcW w:w="1380" w:type="dxa"/>
            <w:tcBorders>
              <w:bottom w:val="single" w:sz="8" w:space="0" w:color="919715"/>
            </w:tcBorders>
            <w:shd w:val="clear" w:color="auto" w:fill="C9D11D"/>
            <w:vAlign w:val="bottom"/>
          </w:tcPr>
          <w:p w:rsidR="00AC12B4" w:rsidRPr="00C27636" w:rsidRDefault="00AC12B4">
            <w:pPr>
              <w:rPr>
                <w:sz w:val="20"/>
                <w:szCs w:val="20"/>
                <w:lang w:val="fr-BE"/>
              </w:rPr>
            </w:pPr>
          </w:p>
        </w:tc>
        <w:tc>
          <w:tcPr>
            <w:tcW w:w="760" w:type="dxa"/>
            <w:tcBorders>
              <w:bottom w:val="single" w:sz="8" w:space="0" w:color="919715"/>
              <w:right w:val="single" w:sz="8" w:space="0" w:color="919715"/>
            </w:tcBorders>
            <w:shd w:val="clear" w:color="auto" w:fill="C9D11D"/>
            <w:vAlign w:val="bottom"/>
          </w:tcPr>
          <w:p w:rsidR="00AC12B4" w:rsidRPr="00C27636" w:rsidRDefault="00AC12B4">
            <w:pPr>
              <w:rPr>
                <w:sz w:val="20"/>
                <w:szCs w:val="20"/>
                <w:lang w:val="fr-BE"/>
              </w:rPr>
            </w:pPr>
          </w:p>
        </w:tc>
        <w:tc>
          <w:tcPr>
            <w:tcW w:w="180" w:type="dxa"/>
            <w:vAlign w:val="bottom"/>
          </w:tcPr>
          <w:p w:rsidR="00AC12B4" w:rsidRPr="00C27636" w:rsidRDefault="00AC12B4">
            <w:pPr>
              <w:rPr>
                <w:sz w:val="20"/>
                <w:szCs w:val="20"/>
                <w:lang w:val="fr-BE"/>
              </w:rPr>
            </w:pPr>
          </w:p>
        </w:tc>
        <w:tc>
          <w:tcPr>
            <w:tcW w:w="372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L’enquête  nationale  de  santé  (HIS-</w:t>
            </w:r>
          </w:p>
        </w:tc>
        <w:tc>
          <w:tcPr>
            <w:tcW w:w="560" w:type="dxa"/>
            <w:vAlign w:val="bottom"/>
          </w:tcPr>
          <w:p w:rsidR="00AC12B4" w:rsidRPr="00C27636" w:rsidRDefault="00AC12B4">
            <w:pPr>
              <w:rPr>
                <w:sz w:val="20"/>
                <w:szCs w:val="20"/>
                <w:lang w:val="fr-BE"/>
              </w:rPr>
            </w:pPr>
          </w:p>
        </w:tc>
        <w:tc>
          <w:tcPr>
            <w:tcW w:w="0" w:type="dxa"/>
            <w:vAlign w:val="bottom"/>
          </w:tcPr>
          <w:p w:rsidR="00AC12B4" w:rsidRPr="00C27636" w:rsidRDefault="00AC12B4">
            <w:pPr>
              <w:rPr>
                <w:sz w:val="1"/>
                <w:szCs w:val="1"/>
                <w:lang w:val="fr-BE"/>
              </w:rPr>
            </w:pPr>
          </w:p>
        </w:tc>
      </w:tr>
      <w:tr w:rsidR="00AC12B4" w:rsidRPr="00C27636">
        <w:trPr>
          <w:trHeight w:val="104"/>
        </w:trPr>
        <w:tc>
          <w:tcPr>
            <w:tcW w:w="1220" w:type="dxa"/>
            <w:vAlign w:val="bottom"/>
          </w:tcPr>
          <w:p w:rsidR="00AC12B4" w:rsidRPr="00C27636" w:rsidRDefault="00AC12B4">
            <w:pPr>
              <w:rPr>
                <w:sz w:val="9"/>
                <w:szCs w:val="9"/>
                <w:lang w:val="fr-BE"/>
              </w:rPr>
            </w:pPr>
          </w:p>
        </w:tc>
        <w:tc>
          <w:tcPr>
            <w:tcW w:w="1200" w:type="dxa"/>
            <w:vAlign w:val="bottom"/>
          </w:tcPr>
          <w:p w:rsidR="00AC12B4" w:rsidRPr="00C27636" w:rsidRDefault="00AC12B4">
            <w:pPr>
              <w:rPr>
                <w:sz w:val="9"/>
                <w:szCs w:val="9"/>
                <w:lang w:val="fr-BE"/>
              </w:rPr>
            </w:pPr>
          </w:p>
        </w:tc>
        <w:tc>
          <w:tcPr>
            <w:tcW w:w="300" w:type="dxa"/>
            <w:vAlign w:val="bottom"/>
          </w:tcPr>
          <w:p w:rsidR="00AC12B4" w:rsidRPr="00C27636" w:rsidRDefault="00AC12B4">
            <w:pPr>
              <w:rPr>
                <w:sz w:val="9"/>
                <w:szCs w:val="9"/>
                <w:lang w:val="fr-BE"/>
              </w:rPr>
            </w:pPr>
          </w:p>
        </w:tc>
        <w:tc>
          <w:tcPr>
            <w:tcW w:w="1000" w:type="dxa"/>
            <w:vAlign w:val="bottom"/>
          </w:tcPr>
          <w:p w:rsidR="00AC12B4" w:rsidRPr="00C27636" w:rsidRDefault="00AC12B4">
            <w:pPr>
              <w:rPr>
                <w:sz w:val="9"/>
                <w:szCs w:val="9"/>
                <w:lang w:val="fr-BE"/>
              </w:rPr>
            </w:pPr>
          </w:p>
        </w:tc>
        <w:tc>
          <w:tcPr>
            <w:tcW w:w="400" w:type="dxa"/>
            <w:vAlign w:val="bottom"/>
          </w:tcPr>
          <w:p w:rsidR="00AC12B4" w:rsidRPr="00C27636" w:rsidRDefault="00AC12B4">
            <w:pPr>
              <w:rPr>
                <w:sz w:val="9"/>
                <w:szCs w:val="9"/>
                <w:lang w:val="fr-BE"/>
              </w:rPr>
            </w:pPr>
          </w:p>
        </w:tc>
        <w:tc>
          <w:tcPr>
            <w:tcW w:w="1380" w:type="dxa"/>
            <w:vAlign w:val="bottom"/>
          </w:tcPr>
          <w:p w:rsidR="00AC12B4" w:rsidRPr="00C27636" w:rsidRDefault="00AC12B4">
            <w:pPr>
              <w:rPr>
                <w:sz w:val="9"/>
                <w:szCs w:val="9"/>
                <w:lang w:val="fr-BE"/>
              </w:rPr>
            </w:pPr>
          </w:p>
        </w:tc>
        <w:tc>
          <w:tcPr>
            <w:tcW w:w="76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3720" w:type="dxa"/>
            <w:gridSpan w:val="8"/>
            <w:vMerge/>
            <w:vAlign w:val="bottom"/>
          </w:tcPr>
          <w:p w:rsidR="00AC12B4" w:rsidRPr="00C27636" w:rsidRDefault="00AC12B4">
            <w:pPr>
              <w:rPr>
                <w:sz w:val="9"/>
                <w:szCs w:val="9"/>
                <w:lang w:val="fr-BE"/>
              </w:rPr>
            </w:pPr>
          </w:p>
        </w:tc>
        <w:tc>
          <w:tcPr>
            <w:tcW w:w="56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1220" w:type="dxa"/>
            <w:vAlign w:val="bottom"/>
          </w:tcPr>
          <w:p w:rsidR="00AC12B4" w:rsidRPr="00C27636" w:rsidRDefault="00AC12B4">
            <w:pPr>
              <w:rPr>
                <w:sz w:val="23"/>
                <w:szCs w:val="23"/>
                <w:lang w:val="fr-BE"/>
              </w:rPr>
            </w:pPr>
          </w:p>
        </w:tc>
        <w:tc>
          <w:tcPr>
            <w:tcW w:w="1200" w:type="dxa"/>
            <w:vMerge w:val="restart"/>
            <w:vAlign w:val="bottom"/>
          </w:tcPr>
          <w:p w:rsidR="00AC12B4" w:rsidRDefault="00C27636">
            <w:pPr>
              <w:ind w:left="240"/>
              <w:rPr>
                <w:sz w:val="20"/>
                <w:szCs w:val="20"/>
              </w:rPr>
            </w:pPr>
            <w:r>
              <w:rPr>
                <w:rFonts w:ascii="Calibri" w:eastAsia="Calibri" w:hAnsi="Calibri" w:cs="Calibri"/>
              </w:rPr>
              <w:t>Le  droit</w:t>
            </w:r>
          </w:p>
        </w:tc>
        <w:tc>
          <w:tcPr>
            <w:tcW w:w="300" w:type="dxa"/>
            <w:vMerge w:val="restart"/>
            <w:vAlign w:val="bottom"/>
          </w:tcPr>
          <w:p w:rsidR="00AC12B4" w:rsidRDefault="00C27636">
            <w:pPr>
              <w:ind w:right="70"/>
              <w:jc w:val="right"/>
              <w:rPr>
                <w:sz w:val="20"/>
                <w:szCs w:val="20"/>
              </w:rPr>
            </w:pPr>
            <w:r>
              <w:rPr>
                <w:rFonts w:ascii="Calibri" w:eastAsia="Calibri" w:hAnsi="Calibri" w:cs="Calibri"/>
                <w:w w:val="94"/>
              </w:rPr>
              <w:t>à</w:t>
            </w:r>
          </w:p>
        </w:tc>
        <w:tc>
          <w:tcPr>
            <w:tcW w:w="1000" w:type="dxa"/>
            <w:vMerge w:val="restart"/>
            <w:vAlign w:val="bottom"/>
          </w:tcPr>
          <w:p w:rsidR="00AC12B4" w:rsidRDefault="00C27636">
            <w:pPr>
              <w:jc w:val="center"/>
              <w:rPr>
                <w:sz w:val="20"/>
                <w:szCs w:val="20"/>
              </w:rPr>
            </w:pPr>
            <w:r>
              <w:rPr>
                <w:rFonts w:ascii="Calibri" w:eastAsia="Calibri" w:hAnsi="Calibri" w:cs="Calibri"/>
              </w:rPr>
              <w:t>un  niveau</w:t>
            </w:r>
          </w:p>
        </w:tc>
        <w:tc>
          <w:tcPr>
            <w:tcW w:w="400" w:type="dxa"/>
            <w:vMerge w:val="restart"/>
            <w:vAlign w:val="bottom"/>
          </w:tcPr>
          <w:p w:rsidR="00AC12B4" w:rsidRDefault="00C27636">
            <w:pPr>
              <w:ind w:left="160"/>
              <w:rPr>
                <w:sz w:val="20"/>
                <w:szCs w:val="20"/>
              </w:rPr>
            </w:pPr>
            <w:r>
              <w:rPr>
                <w:rFonts w:ascii="Calibri" w:eastAsia="Calibri" w:hAnsi="Calibri" w:cs="Calibri"/>
                <w:w w:val="97"/>
              </w:rPr>
              <w:t>de</w:t>
            </w:r>
          </w:p>
        </w:tc>
        <w:tc>
          <w:tcPr>
            <w:tcW w:w="1380" w:type="dxa"/>
            <w:vMerge w:val="restart"/>
            <w:vAlign w:val="bottom"/>
          </w:tcPr>
          <w:p w:rsidR="00AC12B4" w:rsidRDefault="00C27636">
            <w:pPr>
              <w:ind w:right="50"/>
              <w:jc w:val="right"/>
              <w:rPr>
                <w:sz w:val="20"/>
                <w:szCs w:val="20"/>
              </w:rPr>
            </w:pPr>
            <w:r>
              <w:rPr>
                <w:rFonts w:ascii="Calibri" w:eastAsia="Calibri" w:hAnsi="Calibri" w:cs="Calibri"/>
              </w:rPr>
              <w:t xml:space="preserve">vie  </w:t>
            </w:r>
            <w:r>
              <w:rPr>
                <w:rFonts w:ascii="Calibri" w:eastAsia="Calibri" w:hAnsi="Calibri" w:cs="Calibri"/>
              </w:rPr>
              <w:t>correct</w:t>
            </w:r>
          </w:p>
        </w:tc>
        <w:tc>
          <w:tcPr>
            <w:tcW w:w="76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3720" w:type="dxa"/>
            <w:gridSpan w:val="8"/>
            <w:vAlign w:val="bottom"/>
          </w:tcPr>
          <w:p w:rsidR="00AC12B4" w:rsidRPr="00C27636" w:rsidRDefault="00C27636">
            <w:pPr>
              <w:rPr>
                <w:sz w:val="20"/>
                <w:szCs w:val="20"/>
                <w:lang w:val="fr-BE"/>
              </w:rPr>
            </w:pPr>
            <w:r w:rsidRPr="00C27636">
              <w:rPr>
                <w:rFonts w:ascii="Calibri" w:eastAsia="Calibri" w:hAnsi="Calibri" w:cs="Calibri"/>
                <w:lang w:val="fr-BE"/>
              </w:rPr>
              <w:t>2013) étudie le confort du logement à</w:t>
            </w: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115"/>
        </w:trPr>
        <w:tc>
          <w:tcPr>
            <w:tcW w:w="1220" w:type="dxa"/>
            <w:vAlign w:val="bottom"/>
          </w:tcPr>
          <w:p w:rsidR="00AC12B4" w:rsidRPr="00C27636" w:rsidRDefault="00AC12B4">
            <w:pPr>
              <w:rPr>
                <w:sz w:val="10"/>
                <w:szCs w:val="10"/>
                <w:lang w:val="fr-BE"/>
              </w:rPr>
            </w:pPr>
          </w:p>
        </w:tc>
        <w:tc>
          <w:tcPr>
            <w:tcW w:w="1200" w:type="dxa"/>
            <w:vMerge/>
            <w:vAlign w:val="bottom"/>
          </w:tcPr>
          <w:p w:rsidR="00AC12B4" w:rsidRPr="00C27636" w:rsidRDefault="00AC12B4">
            <w:pPr>
              <w:rPr>
                <w:sz w:val="10"/>
                <w:szCs w:val="10"/>
                <w:lang w:val="fr-BE"/>
              </w:rPr>
            </w:pPr>
          </w:p>
        </w:tc>
        <w:tc>
          <w:tcPr>
            <w:tcW w:w="300" w:type="dxa"/>
            <w:vMerge/>
            <w:vAlign w:val="bottom"/>
          </w:tcPr>
          <w:p w:rsidR="00AC12B4" w:rsidRPr="00C27636" w:rsidRDefault="00AC12B4">
            <w:pPr>
              <w:rPr>
                <w:sz w:val="10"/>
                <w:szCs w:val="10"/>
                <w:lang w:val="fr-BE"/>
              </w:rPr>
            </w:pPr>
          </w:p>
        </w:tc>
        <w:tc>
          <w:tcPr>
            <w:tcW w:w="1000" w:type="dxa"/>
            <w:vMerge/>
            <w:vAlign w:val="bottom"/>
          </w:tcPr>
          <w:p w:rsidR="00AC12B4" w:rsidRPr="00C27636" w:rsidRDefault="00AC12B4">
            <w:pPr>
              <w:rPr>
                <w:sz w:val="10"/>
                <w:szCs w:val="10"/>
                <w:lang w:val="fr-BE"/>
              </w:rPr>
            </w:pPr>
          </w:p>
        </w:tc>
        <w:tc>
          <w:tcPr>
            <w:tcW w:w="400" w:type="dxa"/>
            <w:vMerge/>
            <w:vAlign w:val="bottom"/>
          </w:tcPr>
          <w:p w:rsidR="00AC12B4" w:rsidRPr="00C27636" w:rsidRDefault="00AC12B4">
            <w:pPr>
              <w:rPr>
                <w:sz w:val="10"/>
                <w:szCs w:val="10"/>
                <w:lang w:val="fr-BE"/>
              </w:rPr>
            </w:pPr>
          </w:p>
        </w:tc>
        <w:tc>
          <w:tcPr>
            <w:tcW w:w="1380" w:type="dxa"/>
            <w:vMerge/>
            <w:vAlign w:val="bottom"/>
          </w:tcPr>
          <w:p w:rsidR="00AC12B4" w:rsidRPr="00C27636" w:rsidRDefault="00AC12B4">
            <w:pPr>
              <w:rPr>
                <w:sz w:val="10"/>
                <w:szCs w:val="10"/>
                <w:lang w:val="fr-BE"/>
              </w:rPr>
            </w:pPr>
          </w:p>
        </w:tc>
        <w:tc>
          <w:tcPr>
            <w:tcW w:w="1180" w:type="dxa"/>
            <w:gridSpan w:val="3"/>
            <w:vMerge w:val="restart"/>
            <w:vAlign w:val="bottom"/>
          </w:tcPr>
          <w:p w:rsidR="00AC12B4" w:rsidRDefault="00C27636">
            <w:pPr>
              <w:ind w:left="560"/>
              <w:rPr>
                <w:sz w:val="20"/>
                <w:szCs w:val="20"/>
              </w:rPr>
            </w:pPr>
            <w:r>
              <w:rPr>
                <w:rFonts w:ascii="Calibri" w:eastAsia="Calibri" w:hAnsi="Calibri" w:cs="Calibri"/>
                <w:w w:val="95"/>
              </w:rPr>
              <w:t>travers</w:t>
            </w:r>
          </w:p>
        </w:tc>
        <w:tc>
          <w:tcPr>
            <w:tcW w:w="1040" w:type="dxa"/>
            <w:gridSpan w:val="2"/>
            <w:vMerge w:val="restart"/>
            <w:vAlign w:val="bottom"/>
          </w:tcPr>
          <w:p w:rsidR="00AC12B4" w:rsidRDefault="00C27636">
            <w:pPr>
              <w:ind w:right="30"/>
              <w:jc w:val="right"/>
              <w:rPr>
                <w:sz w:val="20"/>
                <w:szCs w:val="20"/>
              </w:rPr>
            </w:pPr>
            <w:r>
              <w:rPr>
                <w:rFonts w:ascii="Calibri" w:eastAsia="Calibri" w:hAnsi="Calibri" w:cs="Calibri"/>
              </w:rPr>
              <w:t>trois</w:t>
            </w:r>
          </w:p>
        </w:tc>
        <w:tc>
          <w:tcPr>
            <w:tcW w:w="280" w:type="dxa"/>
            <w:vAlign w:val="bottom"/>
          </w:tcPr>
          <w:p w:rsidR="00AC12B4" w:rsidRDefault="00AC12B4">
            <w:pPr>
              <w:rPr>
                <w:sz w:val="10"/>
                <w:szCs w:val="10"/>
              </w:rPr>
            </w:pPr>
          </w:p>
        </w:tc>
        <w:tc>
          <w:tcPr>
            <w:tcW w:w="360" w:type="dxa"/>
            <w:vAlign w:val="bottom"/>
          </w:tcPr>
          <w:p w:rsidR="00AC12B4" w:rsidRDefault="00AC12B4">
            <w:pPr>
              <w:rPr>
                <w:sz w:val="10"/>
                <w:szCs w:val="10"/>
              </w:rPr>
            </w:pPr>
          </w:p>
        </w:tc>
        <w:tc>
          <w:tcPr>
            <w:tcW w:w="68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580" w:type="dxa"/>
            <w:vAlign w:val="bottom"/>
          </w:tcPr>
          <w:p w:rsidR="00AC12B4" w:rsidRDefault="00AC12B4">
            <w:pPr>
              <w:rPr>
                <w:sz w:val="10"/>
                <w:szCs w:val="10"/>
              </w:rPr>
            </w:pPr>
          </w:p>
        </w:tc>
        <w:tc>
          <w:tcPr>
            <w:tcW w:w="56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82"/>
        </w:trPr>
        <w:tc>
          <w:tcPr>
            <w:tcW w:w="1220" w:type="dxa"/>
            <w:vAlign w:val="bottom"/>
          </w:tcPr>
          <w:p w:rsidR="00AC12B4" w:rsidRDefault="00AC12B4">
            <w:pPr>
              <w:rPr>
                <w:sz w:val="15"/>
                <w:szCs w:val="15"/>
              </w:rPr>
            </w:pPr>
          </w:p>
        </w:tc>
        <w:tc>
          <w:tcPr>
            <w:tcW w:w="1200" w:type="dxa"/>
            <w:vMerge w:val="restart"/>
            <w:vAlign w:val="bottom"/>
          </w:tcPr>
          <w:p w:rsidR="00AC12B4" w:rsidRDefault="00C27636">
            <w:pPr>
              <w:spacing w:line="267" w:lineRule="exact"/>
              <w:ind w:left="240"/>
              <w:rPr>
                <w:sz w:val="20"/>
                <w:szCs w:val="20"/>
              </w:rPr>
            </w:pPr>
            <w:r>
              <w:rPr>
                <w:rFonts w:ascii="Calibri" w:eastAsia="Calibri" w:hAnsi="Calibri" w:cs="Calibri"/>
              </w:rPr>
              <w:t>comprend</w:t>
            </w:r>
          </w:p>
        </w:tc>
        <w:tc>
          <w:tcPr>
            <w:tcW w:w="300" w:type="dxa"/>
            <w:vMerge w:val="restart"/>
            <w:vAlign w:val="bottom"/>
          </w:tcPr>
          <w:p w:rsidR="00AC12B4" w:rsidRDefault="00C27636">
            <w:pPr>
              <w:spacing w:line="267" w:lineRule="exact"/>
              <w:jc w:val="right"/>
              <w:rPr>
                <w:sz w:val="20"/>
                <w:szCs w:val="20"/>
              </w:rPr>
            </w:pPr>
            <w:r>
              <w:rPr>
                <w:rFonts w:ascii="Calibri" w:eastAsia="Calibri" w:hAnsi="Calibri" w:cs="Calibri"/>
              </w:rPr>
              <w:t>le</w:t>
            </w:r>
          </w:p>
        </w:tc>
        <w:tc>
          <w:tcPr>
            <w:tcW w:w="1000" w:type="dxa"/>
            <w:vMerge w:val="restart"/>
            <w:vAlign w:val="bottom"/>
          </w:tcPr>
          <w:p w:rsidR="00AC12B4" w:rsidRDefault="00C27636">
            <w:pPr>
              <w:spacing w:line="267" w:lineRule="exact"/>
              <w:jc w:val="center"/>
              <w:rPr>
                <w:sz w:val="20"/>
                <w:szCs w:val="20"/>
              </w:rPr>
            </w:pPr>
            <w:r>
              <w:rPr>
                <w:rFonts w:ascii="Calibri" w:eastAsia="Calibri" w:hAnsi="Calibri" w:cs="Calibri"/>
              </w:rPr>
              <w:t>droit  à</w:t>
            </w:r>
          </w:p>
        </w:tc>
        <w:tc>
          <w:tcPr>
            <w:tcW w:w="400" w:type="dxa"/>
            <w:vMerge w:val="restart"/>
            <w:vAlign w:val="bottom"/>
          </w:tcPr>
          <w:p w:rsidR="00AC12B4" w:rsidRDefault="00C27636">
            <w:pPr>
              <w:spacing w:line="267" w:lineRule="exact"/>
              <w:ind w:left="20"/>
              <w:rPr>
                <w:sz w:val="20"/>
                <w:szCs w:val="20"/>
              </w:rPr>
            </w:pPr>
            <w:r>
              <w:rPr>
                <w:rFonts w:ascii="Calibri" w:eastAsia="Calibri" w:hAnsi="Calibri" w:cs="Calibri"/>
              </w:rPr>
              <w:t>un</w:t>
            </w:r>
          </w:p>
        </w:tc>
        <w:tc>
          <w:tcPr>
            <w:tcW w:w="1380" w:type="dxa"/>
            <w:vMerge w:val="restart"/>
            <w:vAlign w:val="bottom"/>
          </w:tcPr>
          <w:p w:rsidR="00AC12B4" w:rsidRDefault="00C27636">
            <w:pPr>
              <w:spacing w:line="267" w:lineRule="exact"/>
              <w:ind w:right="50"/>
              <w:jc w:val="right"/>
              <w:rPr>
                <w:sz w:val="20"/>
                <w:szCs w:val="20"/>
              </w:rPr>
            </w:pPr>
            <w:r>
              <w:rPr>
                <w:rFonts w:ascii="Calibri" w:eastAsia="Calibri" w:hAnsi="Calibri" w:cs="Calibri"/>
                <w:w w:val="98"/>
              </w:rPr>
              <w:t>hébergement</w:t>
            </w:r>
          </w:p>
        </w:tc>
        <w:tc>
          <w:tcPr>
            <w:tcW w:w="1180" w:type="dxa"/>
            <w:gridSpan w:val="3"/>
            <w:vMerge/>
            <w:vAlign w:val="bottom"/>
          </w:tcPr>
          <w:p w:rsidR="00AC12B4" w:rsidRDefault="00AC12B4">
            <w:pPr>
              <w:rPr>
                <w:sz w:val="15"/>
                <w:szCs w:val="15"/>
              </w:rPr>
            </w:pPr>
          </w:p>
        </w:tc>
        <w:tc>
          <w:tcPr>
            <w:tcW w:w="1040" w:type="dxa"/>
            <w:gridSpan w:val="2"/>
            <w:vMerge/>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360" w:type="dxa"/>
            <w:tcBorders>
              <w:bottom w:val="single" w:sz="8" w:space="0" w:color="C9D11D"/>
            </w:tcBorders>
            <w:vAlign w:val="bottom"/>
          </w:tcPr>
          <w:p w:rsidR="00AC12B4" w:rsidRDefault="00AC12B4">
            <w:pPr>
              <w:rPr>
                <w:sz w:val="15"/>
                <w:szCs w:val="15"/>
              </w:rPr>
            </w:pPr>
          </w:p>
        </w:tc>
        <w:tc>
          <w:tcPr>
            <w:tcW w:w="680" w:type="dxa"/>
            <w:tcBorders>
              <w:bottom w:val="single" w:sz="8" w:space="0" w:color="C9D11D"/>
            </w:tcBorders>
            <w:vAlign w:val="bottom"/>
          </w:tcPr>
          <w:p w:rsidR="00AC12B4" w:rsidRDefault="00AC12B4">
            <w:pPr>
              <w:rPr>
                <w:sz w:val="15"/>
                <w:szCs w:val="15"/>
              </w:rPr>
            </w:pPr>
          </w:p>
        </w:tc>
        <w:tc>
          <w:tcPr>
            <w:tcW w:w="540" w:type="dxa"/>
            <w:tcBorders>
              <w:bottom w:val="single" w:sz="8" w:space="0" w:color="C9D11D"/>
            </w:tcBorders>
            <w:vAlign w:val="bottom"/>
          </w:tcPr>
          <w:p w:rsidR="00AC12B4" w:rsidRDefault="00AC12B4">
            <w:pPr>
              <w:rPr>
                <w:sz w:val="15"/>
                <w:szCs w:val="15"/>
              </w:rPr>
            </w:pPr>
          </w:p>
        </w:tc>
        <w:tc>
          <w:tcPr>
            <w:tcW w:w="580" w:type="dxa"/>
            <w:tcBorders>
              <w:bottom w:val="single" w:sz="8" w:space="0" w:color="C9D11D"/>
            </w:tcBorders>
            <w:vAlign w:val="bottom"/>
          </w:tcPr>
          <w:p w:rsidR="00AC12B4" w:rsidRDefault="00AC12B4">
            <w:pPr>
              <w:rPr>
                <w:sz w:val="15"/>
                <w:szCs w:val="15"/>
              </w:rPr>
            </w:pPr>
          </w:p>
        </w:tc>
        <w:tc>
          <w:tcPr>
            <w:tcW w:w="560" w:type="dxa"/>
            <w:tcBorders>
              <w:bottom w:val="single" w:sz="8" w:space="0" w:color="C9D11D"/>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64"/>
        </w:trPr>
        <w:tc>
          <w:tcPr>
            <w:tcW w:w="1220" w:type="dxa"/>
            <w:vAlign w:val="bottom"/>
          </w:tcPr>
          <w:p w:rsidR="00AC12B4" w:rsidRDefault="00AC12B4">
            <w:pPr>
              <w:rPr>
                <w:sz w:val="5"/>
                <w:szCs w:val="5"/>
              </w:rPr>
            </w:pPr>
          </w:p>
        </w:tc>
        <w:tc>
          <w:tcPr>
            <w:tcW w:w="1200" w:type="dxa"/>
            <w:vMerge/>
            <w:vAlign w:val="bottom"/>
          </w:tcPr>
          <w:p w:rsidR="00AC12B4" w:rsidRDefault="00AC12B4">
            <w:pPr>
              <w:rPr>
                <w:sz w:val="5"/>
                <w:szCs w:val="5"/>
              </w:rPr>
            </w:pPr>
          </w:p>
        </w:tc>
        <w:tc>
          <w:tcPr>
            <w:tcW w:w="300" w:type="dxa"/>
            <w:vMerge/>
            <w:vAlign w:val="bottom"/>
          </w:tcPr>
          <w:p w:rsidR="00AC12B4" w:rsidRDefault="00AC12B4">
            <w:pPr>
              <w:rPr>
                <w:sz w:val="5"/>
                <w:szCs w:val="5"/>
              </w:rPr>
            </w:pPr>
          </w:p>
        </w:tc>
        <w:tc>
          <w:tcPr>
            <w:tcW w:w="1000" w:type="dxa"/>
            <w:vMerge/>
            <w:vAlign w:val="bottom"/>
          </w:tcPr>
          <w:p w:rsidR="00AC12B4" w:rsidRDefault="00AC12B4">
            <w:pPr>
              <w:rPr>
                <w:sz w:val="5"/>
                <w:szCs w:val="5"/>
              </w:rPr>
            </w:pPr>
          </w:p>
        </w:tc>
        <w:tc>
          <w:tcPr>
            <w:tcW w:w="400" w:type="dxa"/>
            <w:vMerge/>
            <w:vAlign w:val="bottom"/>
          </w:tcPr>
          <w:p w:rsidR="00AC12B4" w:rsidRDefault="00AC12B4">
            <w:pPr>
              <w:rPr>
                <w:sz w:val="5"/>
                <w:szCs w:val="5"/>
              </w:rPr>
            </w:pPr>
          </w:p>
        </w:tc>
        <w:tc>
          <w:tcPr>
            <w:tcW w:w="1380" w:type="dxa"/>
            <w:vMerge/>
            <w:vAlign w:val="bottom"/>
          </w:tcPr>
          <w:p w:rsidR="00AC12B4" w:rsidRDefault="00AC12B4">
            <w:pPr>
              <w:rPr>
                <w:sz w:val="5"/>
                <w:szCs w:val="5"/>
              </w:rPr>
            </w:pPr>
          </w:p>
        </w:tc>
        <w:tc>
          <w:tcPr>
            <w:tcW w:w="1760" w:type="dxa"/>
            <w:gridSpan w:val="4"/>
            <w:vMerge w:val="restart"/>
            <w:vAlign w:val="bottom"/>
          </w:tcPr>
          <w:p w:rsidR="00AC12B4" w:rsidRDefault="00C27636">
            <w:pPr>
              <w:spacing w:line="220" w:lineRule="exact"/>
              <w:ind w:left="560"/>
              <w:rPr>
                <w:sz w:val="20"/>
                <w:szCs w:val="20"/>
              </w:rPr>
            </w:pPr>
            <w:r>
              <w:rPr>
                <w:rFonts w:ascii="Calibri" w:eastAsia="Calibri" w:hAnsi="Calibri" w:cs="Calibri"/>
              </w:rPr>
              <w:t>données:</w:t>
            </w:r>
          </w:p>
        </w:tc>
        <w:tc>
          <w:tcPr>
            <w:tcW w:w="460" w:type="dxa"/>
            <w:vMerge w:val="restart"/>
            <w:vAlign w:val="bottom"/>
          </w:tcPr>
          <w:p w:rsidR="00AC12B4" w:rsidRDefault="00C27636">
            <w:pPr>
              <w:spacing w:line="220" w:lineRule="exact"/>
              <w:ind w:right="30"/>
              <w:jc w:val="right"/>
              <w:rPr>
                <w:sz w:val="20"/>
                <w:szCs w:val="20"/>
              </w:rPr>
            </w:pPr>
            <w:r>
              <w:rPr>
                <w:rFonts w:ascii="Calibri" w:eastAsia="Calibri" w:hAnsi="Calibri" w:cs="Calibri"/>
              </w:rPr>
              <w:t>la</w:t>
            </w:r>
          </w:p>
        </w:tc>
        <w:tc>
          <w:tcPr>
            <w:tcW w:w="280" w:type="dxa"/>
            <w:tcBorders>
              <w:right w:val="single" w:sz="8" w:space="0" w:color="C9D11D"/>
            </w:tcBorders>
            <w:vAlign w:val="bottom"/>
          </w:tcPr>
          <w:p w:rsidR="00AC12B4" w:rsidRDefault="00AC12B4">
            <w:pPr>
              <w:rPr>
                <w:sz w:val="5"/>
                <w:szCs w:val="5"/>
              </w:rPr>
            </w:pPr>
          </w:p>
        </w:tc>
        <w:tc>
          <w:tcPr>
            <w:tcW w:w="360" w:type="dxa"/>
            <w:vAlign w:val="bottom"/>
          </w:tcPr>
          <w:p w:rsidR="00AC12B4" w:rsidRDefault="00AC12B4">
            <w:pPr>
              <w:rPr>
                <w:sz w:val="5"/>
                <w:szCs w:val="5"/>
              </w:rPr>
            </w:pPr>
          </w:p>
        </w:tc>
        <w:tc>
          <w:tcPr>
            <w:tcW w:w="680" w:type="dxa"/>
            <w:vAlign w:val="bottom"/>
          </w:tcPr>
          <w:p w:rsidR="00AC12B4" w:rsidRDefault="00AC12B4">
            <w:pPr>
              <w:rPr>
                <w:sz w:val="5"/>
                <w:szCs w:val="5"/>
              </w:rPr>
            </w:pPr>
          </w:p>
        </w:tc>
        <w:tc>
          <w:tcPr>
            <w:tcW w:w="540" w:type="dxa"/>
            <w:vAlign w:val="bottom"/>
          </w:tcPr>
          <w:p w:rsidR="00AC12B4" w:rsidRDefault="00AC12B4">
            <w:pPr>
              <w:rPr>
                <w:sz w:val="5"/>
                <w:szCs w:val="5"/>
              </w:rPr>
            </w:pPr>
          </w:p>
        </w:tc>
        <w:tc>
          <w:tcPr>
            <w:tcW w:w="580" w:type="dxa"/>
            <w:vAlign w:val="bottom"/>
          </w:tcPr>
          <w:p w:rsidR="00AC12B4" w:rsidRDefault="00AC12B4">
            <w:pPr>
              <w:rPr>
                <w:sz w:val="5"/>
                <w:szCs w:val="5"/>
              </w:rPr>
            </w:pPr>
          </w:p>
        </w:tc>
        <w:tc>
          <w:tcPr>
            <w:tcW w:w="560" w:type="dxa"/>
            <w:tcBorders>
              <w:right w:val="single" w:sz="8" w:space="0" w:color="C9D11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56"/>
        </w:trPr>
        <w:tc>
          <w:tcPr>
            <w:tcW w:w="1220" w:type="dxa"/>
            <w:vAlign w:val="bottom"/>
          </w:tcPr>
          <w:p w:rsidR="00AC12B4" w:rsidRDefault="00AC12B4">
            <w:pPr>
              <w:rPr>
                <w:sz w:val="13"/>
                <w:szCs w:val="13"/>
              </w:rPr>
            </w:pPr>
          </w:p>
        </w:tc>
        <w:tc>
          <w:tcPr>
            <w:tcW w:w="1200" w:type="dxa"/>
            <w:vMerge w:val="restart"/>
            <w:vAlign w:val="bottom"/>
          </w:tcPr>
          <w:p w:rsidR="00AC12B4" w:rsidRDefault="00C27636">
            <w:pPr>
              <w:ind w:left="240"/>
              <w:rPr>
                <w:sz w:val="20"/>
                <w:szCs w:val="20"/>
              </w:rPr>
            </w:pPr>
            <w:r>
              <w:rPr>
                <w:rFonts w:ascii="Calibri" w:eastAsia="Calibri" w:hAnsi="Calibri" w:cs="Calibri"/>
              </w:rPr>
              <w:t>approprié.</w:t>
            </w:r>
          </w:p>
        </w:tc>
        <w:tc>
          <w:tcPr>
            <w:tcW w:w="300" w:type="dxa"/>
            <w:vAlign w:val="bottom"/>
          </w:tcPr>
          <w:p w:rsidR="00AC12B4" w:rsidRDefault="00AC12B4">
            <w:pPr>
              <w:rPr>
                <w:sz w:val="13"/>
                <w:szCs w:val="13"/>
              </w:rPr>
            </w:pPr>
          </w:p>
        </w:tc>
        <w:tc>
          <w:tcPr>
            <w:tcW w:w="100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1380" w:type="dxa"/>
            <w:vAlign w:val="bottom"/>
          </w:tcPr>
          <w:p w:rsidR="00AC12B4" w:rsidRDefault="00AC12B4">
            <w:pPr>
              <w:rPr>
                <w:sz w:val="13"/>
                <w:szCs w:val="13"/>
              </w:rPr>
            </w:pPr>
          </w:p>
        </w:tc>
        <w:tc>
          <w:tcPr>
            <w:tcW w:w="1760" w:type="dxa"/>
            <w:gridSpan w:val="4"/>
            <w:vMerge/>
            <w:vAlign w:val="bottom"/>
          </w:tcPr>
          <w:p w:rsidR="00AC12B4" w:rsidRDefault="00AC12B4">
            <w:pPr>
              <w:rPr>
                <w:sz w:val="13"/>
                <w:szCs w:val="13"/>
              </w:rPr>
            </w:pPr>
          </w:p>
        </w:tc>
        <w:tc>
          <w:tcPr>
            <w:tcW w:w="460" w:type="dxa"/>
            <w:vMerge/>
            <w:vAlign w:val="bottom"/>
          </w:tcPr>
          <w:p w:rsidR="00AC12B4" w:rsidRDefault="00AC12B4">
            <w:pPr>
              <w:rPr>
                <w:sz w:val="13"/>
                <w:szCs w:val="13"/>
              </w:rPr>
            </w:pPr>
          </w:p>
        </w:tc>
        <w:tc>
          <w:tcPr>
            <w:tcW w:w="280" w:type="dxa"/>
            <w:tcBorders>
              <w:right w:val="single" w:sz="8" w:space="0" w:color="C9D11D"/>
            </w:tcBorders>
            <w:vAlign w:val="bottom"/>
          </w:tcPr>
          <w:p w:rsidR="00AC12B4" w:rsidRDefault="00AC12B4">
            <w:pPr>
              <w:rPr>
                <w:sz w:val="13"/>
                <w:szCs w:val="13"/>
              </w:rPr>
            </w:pPr>
          </w:p>
        </w:tc>
        <w:tc>
          <w:tcPr>
            <w:tcW w:w="360" w:type="dxa"/>
            <w:vAlign w:val="bottom"/>
          </w:tcPr>
          <w:p w:rsidR="00AC12B4" w:rsidRDefault="00AC12B4">
            <w:pPr>
              <w:rPr>
                <w:sz w:val="13"/>
                <w:szCs w:val="13"/>
              </w:rPr>
            </w:pPr>
          </w:p>
        </w:tc>
        <w:tc>
          <w:tcPr>
            <w:tcW w:w="680" w:type="dxa"/>
            <w:vAlign w:val="bottom"/>
          </w:tcPr>
          <w:p w:rsidR="00AC12B4" w:rsidRDefault="00AC12B4">
            <w:pPr>
              <w:rPr>
                <w:sz w:val="13"/>
                <w:szCs w:val="13"/>
              </w:rPr>
            </w:pPr>
          </w:p>
        </w:tc>
        <w:tc>
          <w:tcPr>
            <w:tcW w:w="540" w:type="dxa"/>
            <w:vAlign w:val="bottom"/>
          </w:tcPr>
          <w:p w:rsidR="00AC12B4" w:rsidRDefault="00AC12B4">
            <w:pPr>
              <w:rPr>
                <w:sz w:val="13"/>
                <w:szCs w:val="13"/>
              </w:rPr>
            </w:pPr>
          </w:p>
        </w:tc>
        <w:tc>
          <w:tcPr>
            <w:tcW w:w="580" w:type="dxa"/>
            <w:vAlign w:val="bottom"/>
          </w:tcPr>
          <w:p w:rsidR="00AC12B4" w:rsidRDefault="00AC12B4">
            <w:pPr>
              <w:rPr>
                <w:sz w:val="13"/>
                <w:szCs w:val="13"/>
              </w:rPr>
            </w:pPr>
          </w:p>
        </w:tc>
        <w:tc>
          <w:tcPr>
            <w:tcW w:w="560" w:type="dxa"/>
            <w:tcBorders>
              <w:right w:val="single" w:sz="8" w:space="0" w:color="C9D11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3"/>
        </w:trPr>
        <w:tc>
          <w:tcPr>
            <w:tcW w:w="1220" w:type="dxa"/>
            <w:vAlign w:val="bottom"/>
          </w:tcPr>
          <w:p w:rsidR="00AC12B4" w:rsidRDefault="00AC12B4">
            <w:pPr>
              <w:rPr>
                <w:sz w:val="9"/>
                <w:szCs w:val="9"/>
              </w:rPr>
            </w:pPr>
          </w:p>
        </w:tc>
        <w:tc>
          <w:tcPr>
            <w:tcW w:w="1200" w:type="dxa"/>
            <w:vMerge/>
            <w:vAlign w:val="bottom"/>
          </w:tcPr>
          <w:p w:rsidR="00AC12B4" w:rsidRDefault="00AC12B4">
            <w:pPr>
              <w:rPr>
                <w:sz w:val="9"/>
                <w:szCs w:val="9"/>
              </w:rPr>
            </w:pPr>
          </w:p>
        </w:tc>
        <w:tc>
          <w:tcPr>
            <w:tcW w:w="300" w:type="dxa"/>
            <w:vAlign w:val="bottom"/>
          </w:tcPr>
          <w:p w:rsidR="00AC12B4" w:rsidRDefault="00AC12B4">
            <w:pPr>
              <w:rPr>
                <w:sz w:val="9"/>
                <w:szCs w:val="9"/>
              </w:rPr>
            </w:pPr>
          </w:p>
        </w:tc>
        <w:tc>
          <w:tcPr>
            <w:tcW w:w="100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1380" w:type="dxa"/>
            <w:vAlign w:val="bottom"/>
          </w:tcPr>
          <w:p w:rsidR="00AC12B4" w:rsidRDefault="00AC12B4">
            <w:pPr>
              <w:rPr>
                <w:sz w:val="9"/>
                <w:szCs w:val="9"/>
              </w:rPr>
            </w:pPr>
          </w:p>
        </w:tc>
        <w:tc>
          <w:tcPr>
            <w:tcW w:w="1760" w:type="dxa"/>
            <w:gridSpan w:val="4"/>
            <w:vMerge w:val="restart"/>
            <w:vAlign w:val="bottom"/>
          </w:tcPr>
          <w:p w:rsidR="00AC12B4" w:rsidRDefault="00C27636">
            <w:pPr>
              <w:ind w:left="560"/>
              <w:rPr>
                <w:sz w:val="20"/>
                <w:szCs w:val="20"/>
              </w:rPr>
            </w:pPr>
            <w:r>
              <w:rPr>
                <w:rFonts w:ascii="Calibri" w:eastAsia="Calibri" w:hAnsi="Calibri" w:cs="Calibri"/>
              </w:rPr>
              <w:t>situation</w:t>
            </w:r>
          </w:p>
        </w:tc>
        <w:tc>
          <w:tcPr>
            <w:tcW w:w="460" w:type="dxa"/>
            <w:vMerge w:val="restart"/>
            <w:vAlign w:val="bottom"/>
          </w:tcPr>
          <w:p w:rsidR="00AC12B4" w:rsidRDefault="00C27636">
            <w:pPr>
              <w:ind w:right="30"/>
              <w:jc w:val="right"/>
              <w:rPr>
                <w:sz w:val="20"/>
                <w:szCs w:val="20"/>
              </w:rPr>
            </w:pPr>
            <w:r>
              <w:rPr>
                <w:rFonts w:ascii="Calibri" w:eastAsia="Calibri" w:hAnsi="Calibri" w:cs="Calibri"/>
              </w:rPr>
              <w:t>de</w:t>
            </w:r>
          </w:p>
        </w:tc>
        <w:tc>
          <w:tcPr>
            <w:tcW w:w="280" w:type="dxa"/>
            <w:tcBorders>
              <w:right w:val="single" w:sz="8" w:space="0" w:color="C9D11D"/>
            </w:tcBorders>
            <w:vAlign w:val="bottom"/>
          </w:tcPr>
          <w:p w:rsidR="00AC12B4" w:rsidRDefault="00AC12B4">
            <w:pPr>
              <w:rPr>
                <w:sz w:val="9"/>
                <w:szCs w:val="9"/>
              </w:rPr>
            </w:pPr>
          </w:p>
        </w:tc>
        <w:tc>
          <w:tcPr>
            <w:tcW w:w="360" w:type="dxa"/>
            <w:vAlign w:val="bottom"/>
          </w:tcPr>
          <w:p w:rsidR="00AC12B4" w:rsidRDefault="00AC12B4">
            <w:pPr>
              <w:rPr>
                <w:sz w:val="9"/>
                <w:szCs w:val="9"/>
              </w:rPr>
            </w:pPr>
          </w:p>
        </w:tc>
        <w:tc>
          <w:tcPr>
            <w:tcW w:w="2360" w:type="dxa"/>
            <w:gridSpan w:val="4"/>
            <w:vMerge w:val="restart"/>
            <w:tcBorders>
              <w:right w:val="single" w:sz="8" w:space="0" w:color="C9D11D"/>
            </w:tcBorders>
            <w:vAlign w:val="bottom"/>
          </w:tcPr>
          <w:p w:rsidR="00AC12B4" w:rsidRDefault="00C27636">
            <w:pPr>
              <w:ind w:right="300"/>
              <w:jc w:val="right"/>
              <w:rPr>
                <w:sz w:val="20"/>
                <w:szCs w:val="20"/>
              </w:rPr>
            </w:pPr>
            <w:r>
              <w:rPr>
                <w:rFonts w:ascii="Comic Sans MS" w:eastAsia="Comic Sans MS" w:hAnsi="Comic Sans MS" w:cs="Comic Sans MS"/>
                <w:color w:val="C9D11D"/>
                <w:w w:val="99"/>
                <w:sz w:val="96"/>
                <w:szCs w:val="96"/>
              </w:rPr>
              <w:t>20</w:t>
            </w:r>
            <w:r>
              <w:rPr>
                <w:rFonts w:ascii="Comic Sans MS" w:eastAsia="Comic Sans MS" w:hAnsi="Comic Sans MS" w:cs="Comic Sans MS"/>
                <w:color w:val="C9D11D"/>
                <w:w w:val="99"/>
                <w:sz w:val="96"/>
                <w:szCs w:val="96"/>
              </w:rPr>
              <w:lastRenderedPageBreak/>
              <w:t>%</w:t>
            </w:r>
          </w:p>
        </w:tc>
        <w:tc>
          <w:tcPr>
            <w:tcW w:w="0" w:type="dxa"/>
            <w:vAlign w:val="bottom"/>
          </w:tcPr>
          <w:p w:rsidR="00AC12B4" w:rsidRDefault="00AC12B4">
            <w:pPr>
              <w:rPr>
                <w:sz w:val="1"/>
                <w:szCs w:val="1"/>
              </w:rPr>
            </w:pPr>
          </w:p>
        </w:tc>
      </w:tr>
      <w:tr w:rsidR="00AC12B4">
        <w:trPr>
          <w:trHeight w:val="156"/>
        </w:trPr>
        <w:tc>
          <w:tcPr>
            <w:tcW w:w="1220" w:type="dxa"/>
            <w:vAlign w:val="bottom"/>
          </w:tcPr>
          <w:p w:rsidR="00AC12B4" w:rsidRDefault="00AC12B4">
            <w:pPr>
              <w:rPr>
                <w:sz w:val="13"/>
                <w:szCs w:val="13"/>
              </w:rPr>
            </w:pPr>
          </w:p>
        </w:tc>
        <w:tc>
          <w:tcPr>
            <w:tcW w:w="120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100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1380" w:type="dxa"/>
            <w:vAlign w:val="bottom"/>
          </w:tcPr>
          <w:p w:rsidR="00AC12B4" w:rsidRDefault="00AC12B4">
            <w:pPr>
              <w:rPr>
                <w:sz w:val="13"/>
                <w:szCs w:val="13"/>
              </w:rPr>
            </w:pPr>
          </w:p>
        </w:tc>
        <w:tc>
          <w:tcPr>
            <w:tcW w:w="1760" w:type="dxa"/>
            <w:gridSpan w:val="4"/>
            <w:vMerge/>
            <w:vAlign w:val="bottom"/>
          </w:tcPr>
          <w:p w:rsidR="00AC12B4" w:rsidRDefault="00AC12B4">
            <w:pPr>
              <w:rPr>
                <w:sz w:val="13"/>
                <w:szCs w:val="13"/>
              </w:rPr>
            </w:pPr>
          </w:p>
        </w:tc>
        <w:tc>
          <w:tcPr>
            <w:tcW w:w="460" w:type="dxa"/>
            <w:vMerge/>
            <w:vAlign w:val="bottom"/>
          </w:tcPr>
          <w:p w:rsidR="00AC12B4" w:rsidRDefault="00AC12B4">
            <w:pPr>
              <w:rPr>
                <w:sz w:val="13"/>
                <w:szCs w:val="13"/>
              </w:rPr>
            </w:pPr>
          </w:p>
        </w:tc>
        <w:tc>
          <w:tcPr>
            <w:tcW w:w="280" w:type="dxa"/>
            <w:tcBorders>
              <w:right w:val="single" w:sz="8" w:space="0" w:color="C9D11D"/>
            </w:tcBorders>
            <w:vAlign w:val="bottom"/>
          </w:tcPr>
          <w:p w:rsidR="00AC12B4" w:rsidRDefault="00AC12B4">
            <w:pPr>
              <w:rPr>
                <w:sz w:val="13"/>
                <w:szCs w:val="13"/>
              </w:rPr>
            </w:pPr>
          </w:p>
        </w:tc>
        <w:tc>
          <w:tcPr>
            <w:tcW w:w="360" w:type="dxa"/>
            <w:vAlign w:val="bottom"/>
          </w:tcPr>
          <w:p w:rsidR="00AC12B4" w:rsidRDefault="00AC12B4">
            <w:pPr>
              <w:rPr>
                <w:sz w:val="13"/>
                <w:szCs w:val="13"/>
              </w:rPr>
            </w:pPr>
          </w:p>
        </w:tc>
        <w:tc>
          <w:tcPr>
            <w:tcW w:w="2360" w:type="dxa"/>
            <w:gridSpan w:val="4"/>
            <w:vMerge/>
            <w:tcBorders>
              <w:right w:val="single" w:sz="8" w:space="0" w:color="C9D11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69"/>
        </w:trPr>
        <w:tc>
          <w:tcPr>
            <w:tcW w:w="1220" w:type="dxa"/>
            <w:vAlign w:val="bottom"/>
          </w:tcPr>
          <w:p w:rsidR="00AC12B4" w:rsidRDefault="00AC12B4">
            <w:pPr>
              <w:rPr>
                <w:sz w:val="23"/>
                <w:szCs w:val="23"/>
              </w:rPr>
            </w:pPr>
          </w:p>
        </w:tc>
        <w:tc>
          <w:tcPr>
            <w:tcW w:w="4280" w:type="dxa"/>
            <w:gridSpan w:val="5"/>
            <w:vAlign w:val="bottom"/>
          </w:tcPr>
          <w:p w:rsidR="00AC12B4" w:rsidRPr="00C27636" w:rsidRDefault="00C27636">
            <w:pPr>
              <w:spacing w:line="233" w:lineRule="exact"/>
              <w:ind w:left="240"/>
              <w:rPr>
                <w:sz w:val="20"/>
                <w:szCs w:val="20"/>
                <w:lang w:val="fr-BE"/>
              </w:rPr>
            </w:pPr>
            <w:r w:rsidRPr="00C27636">
              <w:rPr>
                <w:rFonts w:ascii="Calibri" w:eastAsia="Calibri" w:hAnsi="Calibri" w:cs="Calibri"/>
                <w:lang w:val="fr-BE"/>
              </w:rPr>
              <w:t xml:space="preserve">Ce droit à un </w:t>
            </w:r>
            <w:r w:rsidRPr="00C27636">
              <w:rPr>
                <w:rFonts w:ascii="Calibri" w:eastAsia="Calibri" w:hAnsi="Calibri" w:cs="Calibri"/>
                <w:lang w:val="fr-BE"/>
              </w:rPr>
              <w:lastRenderedPageBreak/>
              <w:t xml:space="preserve">logement décent </w:t>
            </w:r>
            <w:r w:rsidRPr="00C27636">
              <w:rPr>
                <w:rFonts w:ascii="Calibri" w:eastAsia="Calibri" w:hAnsi="Calibri" w:cs="Calibri"/>
                <w:lang w:val="fr-BE"/>
              </w:rPr>
              <w:t>recouvre</w:t>
            </w:r>
          </w:p>
        </w:tc>
        <w:tc>
          <w:tcPr>
            <w:tcW w:w="2220" w:type="dxa"/>
            <w:gridSpan w:val="5"/>
            <w:vAlign w:val="bottom"/>
          </w:tcPr>
          <w:p w:rsidR="00AC12B4" w:rsidRDefault="00C27636">
            <w:pPr>
              <w:ind w:left="560"/>
              <w:rPr>
                <w:sz w:val="20"/>
                <w:szCs w:val="20"/>
              </w:rPr>
            </w:pPr>
            <w:r>
              <w:rPr>
                <w:rFonts w:ascii="Calibri" w:eastAsia="Calibri" w:hAnsi="Calibri" w:cs="Calibri"/>
              </w:rPr>
              <w:lastRenderedPageBreak/>
              <w:t>surpeupl</w:t>
            </w:r>
            <w:r>
              <w:rPr>
                <w:rFonts w:ascii="Calibri" w:eastAsia="Calibri" w:hAnsi="Calibri" w:cs="Calibri"/>
              </w:rPr>
              <w:lastRenderedPageBreak/>
              <w:t>ement,</w:t>
            </w:r>
          </w:p>
        </w:tc>
        <w:tc>
          <w:tcPr>
            <w:tcW w:w="280" w:type="dxa"/>
            <w:tcBorders>
              <w:right w:val="single" w:sz="8" w:space="0" w:color="C9D11D"/>
            </w:tcBorders>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2360" w:type="dxa"/>
            <w:gridSpan w:val="4"/>
            <w:vMerge/>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220" w:type="dxa"/>
            <w:vAlign w:val="bottom"/>
          </w:tcPr>
          <w:p w:rsidR="00AC12B4" w:rsidRDefault="00AC12B4">
            <w:pPr>
              <w:rPr>
                <w:sz w:val="23"/>
                <w:szCs w:val="23"/>
              </w:rPr>
            </w:pPr>
          </w:p>
        </w:tc>
        <w:tc>
          <w:tcPr>
            <w:tcW w:w="4280" w:type="dxa"/>
            <w:gridSpan w:val="5"/>
            <w:vAlign w:val="bottom"/>
          </w:tcPr>
          <w:p w:rsidR="00AC12B4" w:rsidRPr="00C27636" w:rsidRDefault="00C27636">
            <w:pPr>
              <w:spacing w:line="233" w:lineRule="exact"/>
              <w:ind w:left="240"/>
              <w:rPr>
                <w:sz w:val="20"/>
                <w:szCs w:val="20"/>
                <w:lang w:val="fr-BE"/>
              </w:rPr>
            </w:pPr>
            <w:r w:rsidRPr="00C27636">
              <w:rPr>
                <w:rFonts w:ascii="Calibri" w:eastAsia="Calibri" w:hAnsi="Calibri" w:cs="Calibri"/>
                <w:lang w:val="fr-BE"/>
              </w:rPr>
              <w:t>des réalités bien différentes en Belgique</w:t>
            </w:r>
          </w:p>
        </w:tc>
        <w:tc>
          <w:tcPr>
            <w:tcW w:w="940" w:type="dxa"/>
            <w:gridSpan w:val="2"/>
            <w:vAlign w:val="bottom"/>
          </w:tcPr>
          <w:p w:rsidR="00AC12B4" w:rsidRDefault="00C27636">
            <w:pPr>
              <w:ind w:left="560"/>
              <w:rPr>
                <w:sz w:val="20"/>
                <w:szCs w:val="20"/>
              </w:rPr>
            </w:pPr>
            <w:r>
              <w:rPr>
                <w:rFonts w:ascii="Calibri" w:eastAsia="Calibri" w:hAnsi="Calibri" w:cs="Calibri"/>
              </w:rPr>
              <w:t>la</w:t>
            </w:r>
          </w:p>
        </w:tc>
        <w:tc>
          <w:tcPr>
            <w:tcW w:w="820" w:type="dxa"/>
            <w:gridSpan w:val="2"/>
            <w:vAlign w:val="bottom"/>
          </w:tcPr>
          <w:p w:rsidR="00AC12B4" w:rsidRDefault="00C27636">
            <w:pPr>
              <w:rPr>
                <w:sz w:val="20"/>
                <w:szCs w:val="20"/>
              </w:rPr>
            </w:pPr>
            <w:r>
              <w:rPr>
                <w:rFonts w:ascii="Calibri" w:eastAsia="Calibri" w:hAnsi="Calibri" w:cs="Calibri"/>
              </w:rPr>
              <w:t>difficulté</w:t>
            </w:r>
          </w:p>
        </w:tc>
        <w:tc>
          <w:tcPr>
            <w:tcW w:w="460" w:type="dxa"/>
            <w:vAlign w:val="bottom"/>
          </w:tcPr>
          <w:p w:rsidR="00AC12B4" w:rsidRDefault="00C27636">
            <w:pPr>
              <w:ind w:right="30"/>
              <w:jc w:val="right"/>
              <w:rPr>
                <w:sz w:val="20"/>
                <w:szCs w:val="20"/>
              </w:rPr>
            </w:pPr>
            <w:r>
              <w:rPr>
                <w:rFonts w:ascii="Calibri" w:eastAsia="Calibri" w:hAnsi="Calibri" w:cs="Calibri"/>
              </w:rPr>
              <w:t>à</w:t>
            </w:r>
          </w:p>
        </w:tc>
        <w:tc>
          <w:tcPr>
            <w:tcW w:w="280" w:type="dxa"/>
            <w:tcBorders>
              <w:right w:val="single" w:sz="8" w:space="0" w:color="C9D11D"/>
            </w:tcBorders>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2360" w:type="dxa"/>
            <w:gridSpan w:val="4"/>
            <w:vMerge/>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220" w:type="dxa"/>
            <w:vAlign w:val="bottom"/>
          </w:tcPr>
          <w:p w:rsidR="00AC12B4" w:rsidRDefault="00AC12B4">
            <w:pPr>
              <w:rPr>
                <w:sz w:val="23"/>
                <w:szCs w:val="23"/>
              </w:rPr>
            </w:pPr>
          </w:p>
        </w:tc>
        <w:tc>
          <w:tcPr>
            <w:tcW w:w="4280" w:type="dxa"/>
            <w:gridSpan w:val="5"/>
            <w:vAlign w:val="bottom"/>
          </w:tcPr>
          <w:p w:rsidR="00AC12B4" w:rsidRPr="00C27636" w:rsidRDefault="00C27636">
            <w:pPr>
              <w:spacing w:line="233" w:lineRule="exact"/>
              <w:ind w:left="240"/>
              <w:rPr>
                <w:sz w:val="20"/>
                <w:szCs w:val="20"/>
                <w:lang w:val="fr-BE"/>
              </w:rPr>
            </w:pPr>
            <w:r w:rsidRPr="00C27636">
              <w:rPr>
                <w:rFonts w:ascii="Calibri" w:eastAsia="Calibri" w:hAnsi="Calibri" w:cs="Calibri"/>
                <w:lang w:val="fr-BE"/>
              </w:rPr>
              <w:t>selon  que  l’on  parle  de  ménages</w:t>
            </w:r>
          </w:p>
        </w:tc>
        <w:tc>
          <w:tcPr>
            <w:tcW w:w="1760" w:type="dxa"/>
            <w:gridSpan w:val="4"/>
            <w:vAlign w:val="bottom"/>
          </w:tcPr>
          <w:p w:rsidR="00AC12B4" w:rsidRDefault="00C27636">
            <w:pPr>
              <w:ind w:left="560"/>
              <w:rPr>
                <w:sz w:val="20"/>
                <w:szCs w:val="20"/>
              </w:rPr>
            </w:pPr>
            <w:r>
              <w:rPr>
                <w:rFonts w:ascii="Calibri" w:eastAsia="Calibri" w:hAnsi="Calibri" w:cs="Calibri"/>
              </w:rPr>
              <w:t>chauffer</w:t>
            </w:r>
          </w:p>
        </w:tc>
        <w:tc>
          <w:tcPr>
            <w:tcW w:w="460" w:type="dxa"/>
            <w:vAlign w:val="bottom"/>
          </w:tcPr>
          <w:p w:rsidR="00AC12B4" w:rsidRDefault="00AC12B4">
            <w:pPr>
              <w:rPr>
                <w:sz w:val="23"/>
                <w:szCs w:val="23"/>
              </w:rPr>
            </w:pPr>
          </w:p>
        </w:tc>
        <w:tc>
          <w:tcPr>
            <w:tcW w:w="280" w:type="dxa"/>
            <w:tcBorders>
              <w:right w:val="single" w:sz="8" w:space="0" w:color="C9D11D"/>
            </w:tcBorders>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2360" w:type="dxa"/>
            <w:gridSpan w:val="4"/>
            <w:vMerge/>
            <w:tcBorders>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82"/>
        </w:trPr>
        <w:tc>
          <w:tcPr>
            <w:tcW w:w="1220" w:type="dxa"/>
            <w:vAlign w:val="bottom"/>
          </w:tcPr>
          <w:p w:rsidR="00AC12B4" w:rsidRDefault="00AC12B4">
            <w:pPr>
              <w:rPr>
                <w:sz w:val="24"/>
                <w:szCs w:val="24"/>
              </w:rPr>
            </w:pPr>
          </w:p>
        </w:tc>
        <w:tc>
          <w:tcPr>
            <w:tcW w:w="4280" w:type="dxa"/>
            <w:gridSpan w:val="5"/>
            <w:vAlign w:val="bottom"/>
          </w:tcPr>
          <w:p w:rsidR="00AC12B4" w:rsidRPr="00C27636" w:rsidRDefault="00C27636">
            <w:pPr>
              <w:spacing w:line="233" w:lineRule="exact"/>
              <w:ind w:left="240"/>
              <w:rPr>
                <w:sz w:val="20"/>
                <w:szCs w:val="20"/>
                <w:lang w:val="fr-BE"/>
              </w:rPr>
            </w:pPr>
            <w:r w:rsidRPr="00C27636">
              <w:rPr>
                <w:rFonts w:ascii="Calibri" w:eastAsia="Calibri" w:hAnsi="Calibri" w:cs="Calibri"/>
                <w:lang w:val="fr-BE"/>
              </w:rPr>
              <w:t>propriétaires   ou  locataires   de   leur</w:t>
            </w:r>
          </w:p>
        </w:tc>
        <w:tc>
          <w:tcPr>
            <w:tcW w:w="2220" w:type="dxa"/>
            <w:gridSpan w:val="5"/>
            <w:vAlign w:val="bottom"/>
          </w:tcPr>
          <w:p w:rsidR="00AC12B4" w:rsidRDefault="00C27636">
            <w:pPr>
              <w:ind w:left="560"/>
              <w:rPr>
                <w:sz w:val="20"/>
                <w:szCs w:val="20"/>
              </w:rPr>
            </w:pPr>
            <w:r>
              <w:rPr>
                <w:rFonts w:ascii="Calibri" w:eastAsia="Calibri" w:hAnsi="Calibri" w:cs="Calibri"/>
              </w:rPr>
              <w:t>convenablement</w:t>
            </w:r>
          </w:p>
        </w:tc>
        <w:tc>
          <w:tcPr>
            <w:tcW w:w="280" w:type="dxa"/>
            <w:tcBorders>
              <w:right w:val="single" w:sz="8" w:space="0" w:color="C9D11D"/>
            </w:tcBorders>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2360" w:type="dxa"/>
            <w:gridSpan w:val="4"/>
            <w:vMerge/>
            <w:tcBorders>
              <w:right w:val="single" w:sz="8" w:space="0" w:color="C9D11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1220" w:type="dxa"/>
            <w:vAlign w:val="bottom"/>
          </w:tcPr>
          <w:p w:rsidR="00AC12B4" w:rsidRDefault="00AC12B4">
            <w:pPr>
              <w:rPr>
                <w:sz w:val="23"/>
                <w:szCs w:val="23"/>
              </w:rPr>
            </w:pPr>
          </w:p>
        </w:tc>
        <w:tc>
          <w:tcPr>
            <w:tcW w:w="4280" w:type="dxa"/>
            <w:gridSpan w:val="5"/>
            <w:vAlign w:val="bottom"/>
          </w:tcPr>
          <w:p w:rsidR="00AC12B4" w:rsidRPr="00C27636" w:rsidRDefault="00C27636">
            <w:pPr>
              <w:spacing w:line="220" w:lineRule="exact"/>
              <w:ind w:left="240"/>
              <w:rPr>
                <w:sz w:val="20"/>
                <w:szCs w:val="20"/>
                <w:lang w:val="fr-BE"/>
              </w:rPr>
            </w:pPr>
            <w:r w:rsidRPr="00C27636">
              <w:rPr>
                <w:rFonts w:ascii="Calibri" w:eastAsia="Calibri" w:hAnsi="Calibri" w:cs="Calibri"/>
                <w:lang w:val="fr-BE"/>
              </w:rPr>
              <w:t>logement, de personnes en attente de</w:t>
            </w:r>
          </w:p>
        </w:tc>
        <w:tc>
          <w:tcPr>
            <w:tcW w:w="1760" w:type="dxa"/>
            <w:gridSpan w:val="4"/>
            <w:vAlign w:val="bottom"/>
          </w:tcPr>
          <w:p w:rsidR="00AC12B4" w:rsidRDefault="00C27636">
            <w:pPr>
              <w:spacing w:line="256" w:lineRule="exact"/>
              <w:ind w:left="560"/>
              <w:rPr>
                <w:sz w:val="20"/>
                <w:szCs w:val="20"/>
              </w:rPr>
            </w:pPr>
            <w:r>
              <w:rPr>
                <w:rFonts w:ascii="Calibri" w:eastAsia="Calibri" w:hAnsi="Calibri" w:cs="Calibri"/>
              </w:rPr>
              <w:t xml:space="preserve">le </w:t>
            </w:r>
            <w:r>
              <w:rPr>
                <w:rFonts w:ascii="Calibri" w:eastAsia="Calibri" w:hAnsi="Calibri" w:cs="Calibri"/>
              </w:rPr>
              <w:t>logement,</w:t>
            </w:r>
          </w:p>
        </w:tc>
        <w:tc>
          <w:tcPr>
            <w:tcW w:w="460" w:type="dxa"/>
            <w:vAlign w:val="bottom"/>
          </w:tcPr>
          <w:p w:rsidR="00AC12B4" w:rsidRDefault="00C27636">
            <w:pPr>
              <w:spacing w:line="256" w:lineRule="exact"/>
              <w:ind w:right="50"/>
              <w:jc w:val="right"/>
              <w:rPr>
                <w:sz w:val="20"/>
                <w:szCs w:val="20"/>
              </w:rPr>
            </w:pPr>
            <w:r>
              <w:rPr>
                <w:rFonts w:ascii="Calibri" w:eastAsia="Calibri" w:hAnsi="Calibri" w:cs="Calibri"/>
              </w:rPr>
              <w:t>et</w:t>
            </w:r>
          </w:p>
        </w:tc>
        <w:tc>
          <w:tcPr>
            <w:tcW w:w="280" w:type="dxa"/>
            <w:tcBorders>
              <w:right w:val="single" w:sz="8" w:space="0" w:color="C9D11D"/>
            </w:tcBorders>
            <w:vAlign w:val="bottom"/>
          </w:tcPr>
          <w:p w:rsidR="00AC12B4" w:rsidRDefault="00AC12B4">
            <w:pPr>
              <w:rPr>
                <w:sz w:val="23"/>
                <w:szCs w:val="23"/>
              </w:rPr>
            </w:pPr>
          </w:p>
        </w:tc>
        <w:tc>
          <w:tcPr>
            <w:tcW w:w="2720" w:type="dxa"/>
            <w:gridSpan w:val="5"/>
            <w:tcBorders>
              <w:right w:val="single" w:sz="8" w:space="0" w:color="C9D11D"/>
            </w:tcBorders>
            <w:vAlign w:val="bottom"/>
          </w:tcPr>
          <w:p w:rsidR="00AC12B4" w:rsidRDefault="00C27636">
            <w:pPr>
              <w:spacing w:line="269" w:lineRule="exact"/>
              <w:ind w:left="160"/>
              <w:rPr>
                <w:sz w:val="20"/>
                <w:szCs w:val="20"/>
              </w:rPr>
            </w:pPr>
            <w:r>
              <w:rPr>
                <w:rFonts w:ascii="Comic Sans MS" w:eastAsia="Comic Sans MS" w:hAnsi="Comic Sans MS" w:cs="Comic Sans MS"/>
                <w:sz w:val="20"/>
                <w:szCs w:val="20"/>
              </w:rPr>
              <w:t>des  enfants  entre  0  et</w:t>
            </w:r>
          </w:p>
        </w:tc>
        <w:tc>
          <w:tcPr>
            <w:tcW w:w="0" w:type="dxa"/>
            <w:vAlign w:val="bottom"/>
          </w:tcPr>
          <w:p w:rsidR="00AC12B4" w:rsidRDefault="00AC12B4">
            <w:pPr>
              <w:rPr>
                <w:sz w:val="1"/>
                <w:szCs w:val="1"/>
              </w:rPr>
            </w:pPr>
          </w:p>
        </w:tc>
      </w:tr>
      <w:tr w:rsidR="00AC12B4">
        <w:trPr>
          <w:trHeight w:val="269"/>
        </w:trPr>
        <w:tc>
          <w:tcPr>
            <w:tcW w:w="1220" w:type="dxa"/>
            <w:vAlign w:val="bottom"/>
          </w:tcPr>
          <w:p w:rsidR="00AC12B4" w:rsidRDefault="00AC12B4">
            <w:pPr>
              <w:rPr>
                <w:sz w:val="23"/>
                <w:szCs w:val="23"/>
              </w:rPr>
            </w:pPr>
          </w:p>
        </w:tc>
        <w:tc>
          <w:tcPr>
            <w:tcW w:w="4280" w:type="dxa"/>
            <w:gridSpan w:val="5"/>
            <w:vAlign w:val="bottom"/>
          </w:tcPr>
          <w:p w:rsidR="00AC12B4" w:rsidRPr="00C27636" w:rsidRDefault="00C27636">
            <w:pPr>
              <w:spacing w:line="220" w:lineRule="exact"/>
              <w:ind w:left="240"/>
              <w:rPr>
                <w:sz w:val="20"/>
                <w:szCs w:val="20"/>
                <w:lang w:val="fr-BE"/>
              </w:rPr>
            </w:pPr>
            <w:r w:rsidRPr="00C27636">
              <w:rPr>
                <w:rFonts w:ascii="Calibri" w:eastAsia="Calibri" w:hAnsi="Calibri" w:cs="Calibri"/>
                <w:lang w:val="fr-BE"/>
              </w:rPr>
              <w:t>logements  sociaux  ou  encore  de  sans-</w:t>
            </w:r>
          </w:p>
        </w:tc>
        <w:tc>
          <w:tcPr>
            <w:tcW w:w="940" w:type="dxa"/>
            <w:gridSpan w:val="2"/>
            <w:vAlign w:val="bottom"/>
          </w:tcPr>
          <w:p w:rsidR="00AC12B4" w:rsidRDefault="00C27636">
            <w:pPr>
              <w:spacing w:line="253" w:lineRule="exact"/>
              <w:ind w:left="560"/>
              <w:rPr>
                <w:sz w:val="20"/>
                <w:szCs w:val="20"/>
              </w:rPr>
            </w:pPr>
            <w:r>
              <w:rPr>
                <w:rFonts w:ascii="Calibri" w:eastAsia="Calibri" w:hAnsi="Calibri" w:cs="Calibri"/>
              </w:rPr>
              <w:t>le</w:t>
            </w:r>
          </w:p>
        </w:tc>
        <w:tc>
          <w:tcPr>
            <w:tcW w:w="240" w:type="dxa"/>
            <w:vAlign w:val="bottom"/>
          </w:tcPr>
          <w:p w:rsidR="00AC12B4" w:rsidRDefault="00AC12B4">
            <w:pPr>
              <w:rPr>
                <w:sz w:val="23"/>
                <w:szCs w:val="23"/>
              </w:rPr>
            </w:pPr>
          </w:p>
        </w:tc>
        <w:tc>
          <w:tcPr>
            <w:tcW w:w="1040" w:type="dxa"/>
            <w:gridSpan w:val="2"/>
            <w:vAlign w:val="bottom"/>
          </w:tcPr>
          <w:p w:rsidR="00AC12B4" w:rsidRDefault="00C27636">
            <w:pPr>
              <w:spacing w:line="253" w:lineRule="exact"/>
              <w:ind w:right="50"/>
              <w:jc w:val="right"/>
              <w:rPr>
                <w:sz w:val="20"/>
                <w:szCs w:val="20"/>
              </w:rPr>
            </w:pPr>
            <w:r>
              <w:rPr>
                <w:rFonts w:ascii="Calibri" w:eastAsia="Calibri" w:hAnsi="Calibri" w:cs="Calibri"/>
                <w:w w:val="98"/>
              </w:rPr>
              <w:t>problème</w:t>
            </w:r>
          </w:p>
        </w:tc>
        <w:tc>
          <w:tcPr>
            <w:tcW w:w="280" w:type="dxa"/>
            <w:tcBorders>
              <w:right w:val="single" w:sz="8" w:space="0" w:color="C9D11D"/>
            </w:tcBorders>
            <w:vAlign w:val="bottom"/>
          </w:tcPr>
          <w:p w:rsidR="00AC12B4" w:rsidRDefault="00AC12B4">
            <w:pPr>
              <w:rPr>
                <w:sz w:val="23"/>
                <w:szCs w:val="23"/>
              </w:rPr>
            </w:pPr>
          </w:p>
        </w:tc>
        <w:tc>
          <w:tcPr>
            <w:tcW w:w="360" w:type="dxa"/>
            <w:vAlign w:val="bottom"/>
          </w:tcPr>
          <w:p w:rsidR="00AC12B4" w:rsidRDefault="00C27636">
            <w:pPr>
              <w:spacing w:line="269" w:lineRule="exact"/>
              <w:ind w:left="160"/>
              <w:rPr>
                <w:sz w:val="20"/>
                <w:szCs w:val="20"/>
              </w:rPr>
            </w:pPr>
            <w:r>
              <w:rPr>
                <w:rFonts w:ascii="Comic Sans MS" w:eastAsia="Comic Sans MS" w:hAnsi="Comic Sans MS" w:cs="Comic Sans MS"/>
                <w:w w:val="84"/>
                <w:sz w:val="20"/>
                <w:szCs w:val="20"/>
              </w:rPr>
              <w:t>15</w:t>
            </w:r>
          </w:p>
        </w:tc>
        <w:tc>
          <w:tcPr>
            <w:tcW w:w="1220" w:type="dxa"/>
            <w:gridSpan w:val="2"/>
            <w:vAlign w:val="bottom"/>
          </w:tcPr>
          <w:p w:rsidR="00AC12B4" w:rsidRDefault="00C27636">
            <w:pPr>
              <w:spacing w:line="269" w:lineRule="exact"/>
              <w:jc w:val="right"/>
              <w:rPr>
                <w:sz w:val="20"/>
                <w:szCs w:val="20"/>
              </w:rPr>
            </w:pPr>
            <w:r>
              <w:rPr>
                <w:rFonts w:ascii="Comic Sans MS" w:eastAsia="Comic Sans MS" w:hAnsi="Comic Sans MS" w:cs="Comic Sans MS"/>
                <w:sz w:val="20"/>
                <w:szCs w:val="20"/>
              </w:rPr>
              <w:t>ans  vivent</w:t>
            </w:r>
          </w:p>
        </w:tc>
        <w:tc>
          <w:tcPr>
            <w:tcW w:w="580" w:type="dxa"/>
            <w:vAlign w:val="bottom"/>
          </w:tcPr>
          <w:p w:rsidR="00AC12B4" w:rsidRDefault="00C27636">
            <w:pPr>
              <w:spacing w:line="269" w:lineRule="exact"/>
              <w:jc w:val="right"/>
              <w:rPr>
                <w:sz w:val="20"/>
                <w:szCs w:val="20"/>
              </w:rPr>
            </w:pPr>
            <w:r>
              <w:rPr>
                <w:rFonts w:ascii="Comic Sans MS" w:eastAsia="Comic Sans MS" w:hAnsi="Comic Sans MS" w:cs="Comic Sans MS"/>
                <w:sz w:val="20"/>
                <w:szCs w:val="20"/>
              </w:rPr>
              <w:t>dans</w:t>
            </w:r>
          </w:p>
        </w:tc>
        <w:tc>
          <w:tcPr>
            <w:tcW w:w="560" w:type="dxa"/>
            <w:tcBorders>
              <w:right w:val="single" w:sz="8" w:space="0" w:color="C9D11D"/>
            </w:tcBorders>
            <w:vAlign w:val="bottom"/>
          </w:tcPr>
          <w:p w:rsidR="00AC12B4" w:rsidRDefault="00C27636">
            <w:pPr>
              <w:spacing w:line="269" w:lineRule="exact"/>
              <w:ind w:right="80"/>
              <w:jc w:val="right"/>
              <w:rPr>
                <w:sz w:val="20"/>
                <w:szCs w:val="20"/>
              </w:rPr>
            </w:pPr>
            <w:r>
              <w:rPr>
                <w:rFonts w:ascii="Comic Sans MS" w:eastAsia="Comic Sans MS" w:hAnsi="Comic Sans MS" w:cs="Comic Sans MS"/>
                <w:sz w:val="20"/>
                <w:szCs w:val="20"/>
              </w:rPr>
              <w:t>des</w:t>
            </w:r>
          </w:p>
        </w:tc>
        <w:tc>
          <w:tcPr>
            <w:tcW w:w="0" w:type="dxa"/>
            <w:vAlign w:val="bottom"/>
          </w:tcPr>
          <w:p w:rsidR="00AC12B4" w:rsidRDefault="00AC12B4">
            <w:pPr>
              <w:rPr>
                <w:sz w:val="1"/>
                <w:szCs w:val="1"/>
              </w:rPr>
            </w:pPr>
          </w:p>
        </w:tc>
      </w:tr>
      <w:tr w:rsidR="00AC12B4">
        <w:trPr>
          <w:trHeight w:val="220"/>
        </w:trPr>
        <w:tc>
          <w:tcPr>
            <w:tcW w:w="1220" w:type="dxa"/>
            <w:vAlign w:val="bottom"/>
          </w:tcPr>
          <w:p w:rsidR="00AC12B4" w:rsidRDefault="00AC12B4">
            <w:pPr>
              <w:rPr>
                <w:sz w:val="19"/>
                <w:szCs w:val="19"/>
              </w:rPr>
            </w:pPr>
          </w:p>
        </w:tc>
        <w:tc>
          <w:tcPr>
            <w:tcW w:w="1200" w:type="dxa"/>
            <w:vAlign w:val="bottom"/>
          </w:tcPr>
          <w:p w:rsidR="00AC12B4" w:rsidRDefault="00C27636">
            <w:pPr>
              <w:spacing w:line="220" w:lineRule="exact"/>
              <w:ind w:left="240"/>
              <w:rPr>
                <w:sz w:val="20"/>
                <w:szCs w:val="20"/>
              </w:rPr>
            </w:pPr>
            <w:r>
              <w:rPr>
                <w:rFonts w:ascii="Calibri" w:eastAsia="Calibri" w:hAnsi="Calibri" w:cs="Calibri"/>
              </w:rPr>
              <w:t>abris.</w:t>
            </w:r>
          </w:p>
        </w:tc>
        <w:tc>
          <w:tcPr>
            <w:tcW w:w="300" w:type="dxa"/>
            <w:vAlign w:val="bottom"/>
          </w:tcPr>
          <w:p w:rsidR="00AC12B4" w:rsidRDefault="00AC12B4">
            <w:pPr>
              <w:rPr>
                <w:sz w:val="19"/>
                <w:szCs w:val="19"/>
              </w:rPr>
            </w:pPr>
          </w:p>
        </w:tc>
        <w:tc>
          <w:tcPr>
            <w:tcW w:w="1000" w:type="dxa"/>
            <w:vAlign w:val="bottom"/>
          </w:tcPr>
          <w:p w:rsidR="00AC12B4" w:rsidRDefault="00AC12B4">
            <w:pPr>
              <w:rPr>
                <w:sz w:val="19"/>
                <w:szCs w:val="19"/>
              </w:rPr>
            </w:pPr>
          </w:p>
        </w:tc>
        <w:tc>
          <w:tcPr>
            <w:tcW w:w="400" w:type="dxa"/>
            <w:vAlign w:val="bottom"/>
          </w:tcPr>
          <w:p w:rsidR="00AC12B4" w:rsidRDefault="00AC12B4">
            <w:pPr>
              <w:rPr>
                <w:sz w:val="19"/>
                <w:szCs w:val="19"/>
              </w:rPr>
            </w:pPr>
          </w:p>
        </w:tc>
        <w:tc>
          <w:tcPr>
            <w:tcW w:w="1380" w:type="dxa"/>
            <w:vAlign w:val="bottom"/>
          </w:tcPr>
          <w:p w:rsidR="00AC12B4" w:rsidRDefault="00AC12B4">
            <w:pPr>
              <w:rPr>
                <w:sz w:val="19"/>
                <w:szCs w:val="19"/>
              </w:rPr>
            </w:pPr>
          </w:p>
        </w:tc>
        <w:tc>
          <w:tcPr>
            <w:tcW w:w="1760" w:type="dxa"/>
            <w:gridSpan w:val="4"/>
            <w:vMerge w:val="restart"/>
            <w:vAlign w:val="bottom"/>
          </w:tcPr>
          <w:p w:rsidR="00AC12B4" w:rsidRDefault="00C27636">
            <w:pPr>
              <w:spacing w:line="253" w:lineRule="exact"/>
              <w:ind w:left="560"/>
              <w:rPr>
                <w:sz w:val="20"/>
                <w:szCs w:val="20"/>
              </w:rPr>
            </w:pPr>
            <w:r>
              <w:rPr>
                <w:rFonts w:ascii="Calibri" w:eastAsia="Calibri" w:hAnsi="Calibri" w:cs="Calibri"/>
              </w:rPr>
              <w:t>d’humidité</w:t>
            </w:r>
          </w:p>
        </w:tc>
        <w:tc>
          <w:tcPr>
            <w:tcW w:w="460" w:type="dxa"/>
            <w:vMerge w:val="restart"/>
            <w:vAlign w:val="bottom"/>
          </w:tcPr>
          <w:p w:rsidR="00AC12B4" w:rsidRDefault="00C27636">
            <w:pPr>
              <w:spacing w:line="253" w:lineRule="exact"/>
              <w:ind w:right="50"/>
              <w:jc w:val="right"/>
              <w:rPr>
                <w:sz w:val="20"/>
                <w:szCs w:val="20"/>
              </w:rPr>
            </w:pPr>
            <w:r>
              <w:rPr>
                <w:rFonts w:ascii="Calibri" w:eastAsia="Calibri" w:hAnsi="Calibri" w:cs="Calibri"/>
              </w:rPr>
              <w:t>ou</w:t>
            </w:r>
          </w:p>
        </w:tc>
        <w:tc>
          <w:tcPr>
            <w:tcW w:w="280" w:type="dxa"/>
            <w:tcBorders>
              <w:right w:val="single" w:sz="8" w:space="0" w:color="C9D11D"/>
            </w:tcBorders>
            <w:vAlign w:val="bottom"/>
          </w:tcPr>
          <w:p w:rsidR="00AC12B4" w:rsidRDefault="00AC12B4">
            <w:pPr>
              <w:rPr>
                <w:sz w:val="19"/>
                <w:szCs w:val="19"/>
              </w:rPr>
            </w:pPr>
          </w:p>
        </w:tc>
        <w:tc>
          <w:tcPr>
            <w:tcW w:w="1040" w:type="dxa"/>
            <w:gridSpan w:val="2"/>
            <w:vMerge w:val="restart"/>
            <w:vAlign w:val="bottom"/>
          </w:tcPr>
          <w:p w:rsidR="00AC12B4" w:rsidRDefault="00C27636">
            <w:pPr>
              <w:ind w:left="160"/>
              <w:rPr>
                <w:sz w:val="20"/>
                <w:szCs w:val="20"/>
              </w:rPr>
            </w:pPr>
            <w:r>
              <w:rPr>
                <w:rFonts w:ascii="Comic Sans MS" w:eastAsia="Comic Sans MS" w:hAnsi="Comic Sans MS" w:cs="Comic Sans MS"/>
                <w:sz w:val="20"/>
                <w:szCs w:val="20"/>
              </w:rPr>
              <w:t>ménages</w:t>
            </w:r>
          </w:p>
        </w:tc>
        <w:tc>
          <w:tcPr>
            <w:tcW w:w="1120" w:type="dxa"/>
            <w:gridSpan w:val="2"/>
            <w:vMerge w:val="restart"/>
            <w:vAlign w:val="bottom"/>
          </w:tcPr>
          <w:p w:rsidR="00AC12B4" w:rsidRDefault="00C27636">
            <w:pPr>
              <w:jc w:val="right"/>
              <w:rPr>
                <w:sz w:val="20"/>
                <w:szCs w:val="20"/>
              </w:rPr>
            </w:pPr>
            <w:r>
              <w:rPr>
                <w:rFonts w:ascii="Comic Sans MS" w:eastAsia="Comic Sans MS" w:hAnsi="Comic Sans MS" w:cs="Comic Sans MS"/>
                <w:sz w:val="20"/>
                <w:szCs w:val="20"/>
              </w:rPr>
              <w:t>rapportant</w:t>
            </w:r>
          </w:p>
        </w:tc>
        <w:tc>
          <w:tcPr>
            <w:tcW w:w="560" w:type="dxa"/>
            <w:vMerge w:val="restart"/>
            <w:tcBorders>
              <w:right w:val="single" w:sz="8" w:space="0" w:color="C9D11D"/>
            </w:tcBorders>
            <w:vAlign w:val="bottom"/>
          </w:tcPr>
          <w:p w:rsidR="00AC12B4" w:rsidRDefault="00C27636">
            <w:pPr>
              <w:ind w:right="80"/>
              <w:jc w:val="right"/>
              <w:rPr>
                <w:sz w:val="20"/>
                <w:szCs w:val="20"/>
              </w:rPr>
            </w:pPr>
            <w:r>
              <w:rPr>
                <w:rFonts w:ascii="Comic Sans MS" w:eastAsia="Comic Sans MS" w:hAnsi="Comic Sans MS" w:cs="Comic Sans MS"/>
                <w:sz w:val="20"/>
                <w:szCs w:val="20"/>
              </w:rPr>
              <w:t>un</w:t>
            </w:r>
          </w:p>
        </w:tc>
        <w:tc>
          <w:tcPr>
            <w:tcW w:w="0" w:type="dxa"/>
            <w:vAlign w:val="bottom"/>
          </w:tcPr>
          <w:p w:rsidR="00AC12B4" w:rsidRDefault="00AC12B4">
            <w:pPr>
              <w:rPr>
                <w:sz w:val="1"/>
                <w:szCs w:val="1"/>
              </w:rPr>
            </w:pPr>
          </w:p>
        </w:tc>
      </w:tr>
      <w:tr w:rsidR="00AC12B4">
        <w:trPr>
          <w:trHeight w:val="83"/>
        </w:trPr>
        <w:tc>
          <w:tcPr>
            <w:tcW w:w="1220" w:type="dxa"/>
            <w:vAlign w:val="bottom"/>
          </w:tcPr>
          <w:p w:rsidR="00AC12B4" w:rsidRDefault="00AC12B4">
            <w:pPr>
              <w:rPr>
                <w:sz w:val="7"/>
                <w:szCs w:val="7"/>
              </w:rPr>
            </w:pPr>
          </w:p>
        </w:tc>
        <w:tc>
          <w:tcPr>
            <w:tcW w:w="120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1380" w:type="dxa"/>
            <w:vAlign w:val="bottom"/>
          </w:tcPr>
          <w:p w:rsidR="00AC12B4" w:rsidRDefault="00AC12B4">
            <w:pPr>
              <w:rPr>
                <w:sz w:val="7"/>
                <w:szCs w:val="7"/>
              </w:rPr>
            </w:pPr>
          </w:p>
        </w:tc>
        <w:tc>
          <w:tcPr>
            <w:tcW w:w="1760" w:type="dxa"/>
            <w:gridSpan w:val="4"/>
            <w:vMerge/>
            <w:vAlign w:val="bottom"/>
          </w:tcPr>
          <w:p w:rsidR="00AC12B4" w:rsidRDefault="00AC12B4">
            <w:pPr>
              <w:rPr>
                <w:sz w:val="7"/>
                <w:szCs w:val="7"/>
              </w:rPr>
            </w:pPr>
          </w:p>
        </w:tc>
        <w:tc>
          <w:tcPr>
            <w:tcW w:w="460" w:type="dxa"/>
            <w:vMerge/>
            <w:vAlign w:val="bottom"/>
          </w:tcPr>
          <w:p w:rsidR="00AC12B4" w:rsidRDefault="00AC12B4">
            <w:pPr>
              <w:rPr>
                <w:sz w:val="7"/>
                <w:szCs w:val="7"/>
              </w:rPr>
            </w:pPr>
          </w:p>
        </w:tc>
        <w:tc>
          <w:tcPr>
            <w:tcW w:w="280" w:type="dxa"/>
            <w:tcBorders>
              <w:right w:val="single" w:sz="8" w:space="0" w:color="C9D11D"/>
            </w:tcBorders>
            <w:vAlign w:val="bottom"/>
          </w:tcPr>
          <w:p w:rsidR="00AC12B4" w:rsidRDefault="00AC12B4">
            <w:pPr>
              <w:rPr>
                <w:sz w:val="7"/>
                <w:szCs w:val="7"/>
              </w:rPr>
            </w:pPr>
          </w:p>
        </w:tc>
        <w:tc>
          <w:tcPr>
            <w:tcW w:w="1040" w:type="dxa"/>
            <w:gridSpan w:val="2"/>
            <w:vMerge/>
            <w:vAlign w:val="bottom"/>
          </w:tcPr>
          <w:p w:rsidR="00AC12B4" w:rsidRDefault="00AC12B4">
            <w:pPr>
              <w:rPr>
                <w:sz w:val="7"/>
                <w:szCs w:val="7"/>
              </w:rPr>
            </w:pPr>
          </w:p>
        </w:tc>
        <w:tc>
          <w:tcPr>
            <w:tcW w:w="1120" w:type="dxa"/>
            <w:gridSpan w:val="2"/>
            <w:vMerge/>
            <w:vAlign w:val="bottom"/>
          </w:tcPr>
          <w:p w:rsidR="00AC12B4" w:rsidRDefault="00AC12B4">
            <w:pPr>
              <w:rPr>
                <w:sz w:val="7"/>
                <w:szCs w:val="7"/>
              </w:rPr>
            </w:pPr>
          </w:p>
        </w:tc>
        <w:tc>
          <w:tcPr>
            <w:tcW w:w="560" w:type="dxa"/>
            <w:vMerge/>
            <w:tcBorders>
              <w:right w:val="single" w:sz="8" w:space="0" w:color="C9D11D"/>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306"/>
        </w:trPr>
        <w:tc>
          <w:tcPr>
            <w:tcW w:w="1220" w:type="dxa"/>
            <w:vAlign w:val="bottom"/>
          </w:tcPr>
          <w:p w:rsidR="00AC12B4" w:rsidRDefault="00AC12B4">
            <w:pPr>
              <w:rPr>
                <w:sz w:val="24"/>
                <w:szCs w:val="24"/>
              </w:rPr>
            </w:pPr>
          </w:p>
        </w:tc>
        <w:tc>
          <w:tcPr>
            <w:tcW w:w="4280" w:type="dxa"/>
            <w:gridSpan w:val="5"/>
            <w:vAlign w:val="bottom"/>
          </w:tcPr>
          <w:p w:rsidR="00AC12B4" w:rsidRPr="00C27636" w:rsidRDefault="00C27636">
            <w:pPr>
              <w:ind w:left="240"/>
              <w:rPr>
                <w:sz w:val="20"/>
                <w:szCs w:val="20"/>
                <w:lang w:val="fr-BE"/>
              </w:rPr>
            </w:pPr>
            <w:r w:rsidRPr="00C27636">
              <w:rPr>
                <w:rFonts w:ascii="Calibri" w:eastAsia="Calibri" w:hAnsi="Calibri" w:cs="Calibri"/>
                <w:lang w:val="fr-BE"/>
              </w:rPr>
              <w:t>Dans ses observations finales de 2010, le</w:t>
            </w:r>
          </w:p>
        </w:tc>
        <w:tc>
          <w:tcPr>
            <w:tcW w:w="2220" w:type="dxa"/>
            <w:gridSpan w:val="5"/>
            <w:vAlign w:val="bottom"/>
          </w:tcPr>
          <w:p w:rsidR="00AC12B4" w:rsidRDefault="00C27636">
            <w:pPr>
              <w:spacing w:line="220" w:lineRule="exact"/>
              <w:ind w:left="560"/>
              <w:rPr>
                <w:sz w:val="20"/>
                <w:szCs w:val="20"/>
              </w:rPr>
            </w:pPr>
            <w:r>
              <w:rPr>
                <w:rFonts w:ascii="Calibri" w:eastAsia="Calibri" w:hAnsi="Calibri" w:cs="Calibri"/>
              </w:rPr>
              <w:t>de moisissures.</w:t>
            </w:r>
          </w:p>
        </w:tc>
        <w:tc>
          <w:tcPr>
            <w:tcW w:w="280" w:type="dxa"/>
            <w:tcBorders>
              <w:right w:val="single" w:sz="8" w:space="0" w:color="C9D11D"/>
            </w:tcBorders>
            <w:vAlign w:val="bottom"/>
          </w:tcPr>
          <w:p w:rsidR="00AC12B4" w:rsidRDefault="00AC12B4">
            <w:pPr>
              <w:rPr>
                <w:sz w:val="24"/>
                <w:szCs w:val="24"/>
              </w:rPr>
            </w:pPr>
          </w:p>
        </w:tc>
        <w:tc>
          <w:tcPr>
            <w:tcW w:w="1040" w:type="dxa"/>
            <w:gridSpan w:val="2"/>
            <w:vAlign w:val="bottom"/>
          </w:tcPr>
          <w:p w:rsidR="00AC12B4" w:rsidRDefault="00C27636">
            <w:pPr>
              <w:ind w:left="160"/>
              <w:rPr>
                <w:sz w:val="20"/>
                <w:szCs w:val="20"/>
              </w:rPr>
            </w:pPr>
            <w:r>
              <w:rPr>
                <w:rFonts w:ascii="Comic Sans MS" w:eastAsia="Comic Sans MS" w:hAnsi="Comic Sans MS" w:cs="Comic Sans MS"/>
                <w:color w:val="C9D11D"/>
                <w:sz w:val="20"/>
                <w:szCs w:val="20"/>
              </w:rPr>
              <w:t>problème</w:t>
            </w:r>
          </w:p>
        </w:tc>
        <w:tc>
          <w:tcPr>
            <w:tcW w:w="540" w:type="dxa"/>
            <w:vAlign w:val="bottom"/>
          </w:tcPr>
          <w:p w:rsidR="00AC12B4" w:rsidRDefault="00C27636">
            <w:pPr>
              <w:jc w:val="right"/>
              <w:rPr>
                <w:sz w:val="20"/>
                <w:szCs w:val="20"/>
              </w:rPr>
            </w:pPr>
            <w:r>
              <w:rPr>
                <w:rFonts w:ascii="Comic Sans MS" w:eastAsia="Comic Sans MS" w:hAnsi="Comic Sans MS" w:cs="Comic Sans MS"/>
                <w:color w:val="C9D11D"/>
                <w:sz w:val="20"/>
                <w:szCs w:val="20"/>
              </w:rPr>
              <w:t>de</w:t>
            </w:r>
          </w:p>
        </w:tc>
        <w:tc>
          <w:tcPr>
            <w:tcW w:w="1140" w:type="dxa"/>
            <w:gridSpan w:val="2"/>
            <w:tcBorders>
              <w:right w:val="single" w:sz="8" w:space="0" w:color="C9D11D"/>
            </w:tcBorders>
            <w:vAlign w:val="bottom"/>
          </w:tcPr>
          <w:p w:rsidR="00AC12B4" w:rsidRDefault="00C27636">
            <w:pPr>
              <w:ind w:right="80"/>
              <w:jc w:val="right"/>
              <w:rPr>
                <w:sz w:val="20"/>
                <w:szCs w:val="20"/>
              </w:rPr>
            </w:pPr>
            <w:r>
              <w:rPr>
                <w:rFonts w:ascii="Comic Sans MS" w:eastAsia="Comic Sans MS" w:hAnsi="Comic Sans MS" w:cs="Comic Sans MS"/>
                <w:color w:val="C9D11D"/>
                <w:sz w:val="20"/>
                <w:szCs w:val="20"/>
              </w:rPr>
              <w:t>confort</w:t>
            </w:r>
          </w:p>
        </w:tc>
        <w:tc>
          <w:tcPr>
            <w:tcW w:w="0" w:type="dxa"/>
            <w:vAlign w:val="bottom"/>
          </w:tcPr>
          <w:p w:rsidR="00AC12B4" w:rsidRDefault="00AC12B4">
            <w:pPr>
              <w:rPr>
                <w:sz w:val="1"/>
                <w:szCs w:val="1"/>
              </w:rPr>
            </w:pPr>
          </w:p>
        </w:tc>
      </w:tr>
      <w:tr w:rsidR="00AC12B4">
        <w:trPr>
          <w:trHeight w:val="302"/>
        </w:trPr>
        <w:tc>
          <w:tcPr>
            <w:tcW w:w="1220" w:type="dxa"/>
            <w:vAlign w:val="bottom"/>
          </w:tcPr>
          <w:p w:rsidR="00AC12B4" w:rsidRDefault="00AC12B4">
            <w:pPr>
              <w:rPr>
                <w:sz w:val="24"/>
                <w:szCs w:val="24"/>
              </w:rPr>
            </w:pPr>
          </w:p>
        </w:tc>
        <w:tc>
          <w:tcPr>
            <w:tcW w:w="4280" w:type="dxa"/>
            <w:gridSpan w:val="5"/>
            <w:vAlign w:val="bottom"/>
          </w:tcPr>
          <w:p w:rsidR="00AC12B4" w:rsidRPr="00C27636" w:rsidRDefault="00C27636">
            <w:pPr>
              <w:spacing w:line="267" w:lineRule="exact"/>
              <w:ind w:left="240"/>
              <w:rPr>
                <w:sz w:val="20"/>
                <w:szCs w:val="20"/>
                <w:lang w:val="fr-BE"/>
              </w:rPr>
            </w:pPr>
            <w:r w:rsidRPr="00C27636">
              <w:rPr>
                <w:rFonts w:ascii="Calibri" w:eastAsia="Calibri" w:hAnsi="Calibri" w:cs="Calibri"/>
                <w:lang w:val="fr-BE"/>
              </w:rPr>
              <w:t>Comité des droits de l'enfant a demandé</w:t>
            </w:r>
          </w:p>
        </w:tc>
        <w:tc>
          <w:tcPr>
            <w:tcW w:w="940" w:type="dxa"/>
            <w:gridSpan w:val="2"/>
            <w:vAlign w:val="bottom"/>
          </w:tcPr>
          <w:p w:rsidR="00AC12B4" w:rsidRDefault="00C27636">
            <w:pPr>
              <w:ind w:left="560"/>
              <w:rPr>
                <w:sz w:val="20"/>
                <w:szCs w:val="20"/>
              </w:rPr>
            </w:pPr>
            <w:r>
              <w:rPr>
                <w:rFonts w:ascii="Calibri" w:eastAsia="Calibri" w:hAnsi="Calibri" w:cs="Calibri"/>
              </w:rPr>
              <w:t>En</w:t>
            </w:r>
          </w:p>
        </w:tc>
        <w:tc>
          <w:tcPr>
            <w:tcW w:w="240" w:type="dxa"/>
            <w:vAlign w:val="bottom"/>
          </w:tcPr>
          <w:p w:rsidR="00AC12B4" w:rsidRDefault="00AC12B4">
            <w:pPr>
              <w:rPr>
                <w:sz w:val="24"/>
                <w:szCs w:val="24"/>
              </w:rPr>
            </w:pPr>
          </w:p>
        </w:tc>
        <w:tc>
          <w:tcPr>
            <w:tcW w:w="1040" w:type="dxa"/>
            <w:gridSpan w:val="2"/>
            <w:vAlign w:val="bottom"/>
          </w:tcPr>
          <w:p w:rsidR="00AC12B4" w:rsidRDefault="00C27636">
            <w:pPr>
              <w:ind w:right="50"/>
              <w:jc w:val="right"/>
              <w:rPr>
                <w:sz w:val="20"/>
                <w:szCs w:val="20"/>
              </w:rPr>
            </w:pPr>
            <w:r>
              <w:rPr>
                <w:rFonts w:ascii="Calibri" w:eastAsia="Calibri" w:hAnsi="Calibri" w:cs="Calibri"/>
              </w:rPr>
              <w:t>Belgique,</w:t>
            </w:r>
          </w:p>
        </w:tc>
        <w:tc>
          <w:tcPr>
            <w:tcW w:w="280" w:type="dxa"/>
            <w:tcBorders>
              <w:right w:val="single" w:sz="8" w:space="0" w:color="C9D11D"/>
            </w:tcBorders>
            <w:vAlign w:val="bottom"/>
          </w:tcPr>
          <w:p w:rsidR="00AC12B4" w:rsidRDefault="00AC12B4">
            <w:pPr>
              <w:rPr>
                <w:sz w:val="24"/>
                <w:szCs w:val="24"/>
              </w:rPr>
            </w:pPr>
          </w:p>
        </w:tc>
        <w:tc>
          <w:tcPr>
            <w:tcW w:w="1580" w:type="dxa"/>
            <w:gridSpan w:val="3"/>
            <w:vAlign w:val="bottom"/>
          </w:tcPr>
          <w:p w:rsidR="00AC12B4" w:rsidRDefault="00C27636">
            <w:pPr>
              <w:spacing w:line="277" w:lineRule="exact"/>
              <w:ind w:left="160"/>
              <w:rPr>
                <w:sz w:val="20"/>
                <w:szCs w:val="20"/>
              </w:rPr>
            </w:pPr>
            <w:r>
              <w:rPr>
                <w:rFonts w:ascii="Comic Sans MS" w:eastAsia="Comic Sans MS" w:hAnsi="Comic Sans MS" w:cs="Comic Sans MS"/>
                <w:sz w:val="20"/>
                <w:szCs w:val="20"/>
              </w:rPr>
              <w:t>(HIS 2013)</w:t>
            </w:r>
          </w:p>
        </w:tc>
        <w:tc>
          <w:tcPr>
            <w:tcW w:w="580" w:type="dxa"/>
            <w:vAlign w:val="bottom"/>
          </w:tcPr>
          <w:p w:rsidR="00AC12B4" w:rsidRDefault="00AC12B4">
            <w:pPr>
              <w:rPr>
                <w:sz w:val="24"/>
                <w:szCs w:val="24"/>
              </w:rPr>
            </w:pPr>
          </w:p>
        </w:tc>
        <w:tc>
          <w:tcPr>
            <w:tcW w:w="560" w:type="dxa"/>
            <w:tcBorders>
              <w:right w:val="single" w:sz="8" w:space="0" w:color="C9D11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70"/>
        </w:trPr>
        <w:tc>
          <w:tcPr>
            <w:tcW w:w="1220" w:type="dxa"/>
            <w:vAlign w:val="bottom"/>
          </w:tcPr>
          <w:p w:rsidR="00AC12B4" w:rsidRDefault="00AC12B4">
            <w:pPr>
              <w:rPr>
                <w:sz w:val="23"/>
                <w:szCs w:val="23"/>
              </w:rPr>
            </w:pPr>
          </w:p>
        </w:tc>
        <w:tc>
          <w:tcPr>
            <w:tcW w:w="4280" w:type="dxa"/>
            <w:gridSpan w:val="5"/>
            <w:vAlign w:val="bottom"/>
          </w:tcPr>
          <w:p w:rsidR="00AC12B4" w:rsidRPr="00C27636" w:rsidRDefault="00C27636">
            <w:pPr>
              <w:spacing w:line="233" w:lineRule="exact"/>
              <w:ind w:left="240"/>
              <w:rPr>
                <w:sz w:val="20"/>
                <w:szCs w:val="20"/>
                <w:lang w:val="fr-BE"/>
              </w:rPr>
            </w:pPr>
            <w:r w:rsidRPr="00C27636">
              <w:rPr>
                <w:rFonts w:ascii="Calibri" w:eastAsia="Calibri" w:hAnsi="Calibri" w:cs="Calibri"/>
                <w:lang w:val="fr-BE"/>
              </w:rPr>
              <w:t xml:space="preserve">d'être attentif aux femmes et aux </w:t>
            </w:r>
            <w:r w:rsidRPr="00C27636">
              <w:rPr>
                <w:rFonts w:ascii="Calibri" w:eastAsia="Calibri" w:hAnsi="Calibri" w:cs="Calibri"/>
                <w:lang w:val="fr-BE"/>
              </w:rPr>
              <w:lastRenderedPageBreak/>
              <w:t>enfants</w:t>
            </w:r>
          </w:p>
        </w:tc>
        <w:tc>
          <w:tcPr>
            <w:tcW w:w="940" w:type="dxa"/>
            <w:gridSpan w:val="2"/>
            <w:vAlign w:val="bottom"/>
          </w:tcPr>
          <w:p w:rsidR="00AC12B4" w:rsidRDefault="00C27636">
            <w:pPr>
              <w:spacing w:line="250" w:lineRule="exact"/>
              <w:ind w:left="560"/>
              <w:rPr>
                <w:sz w:val="20"/>
                <w:szCs w:val="20"/>
              </w:rPr>
            </w:pPr>
            <w:r>
              <w:rPr>
                <w:rFonts w:ascii="Calibri" w:eastAsia="Calibri" w:hAnsi="Calibri" w:cs="Calibri"/>
                <w:w w:val="94"/>
              </w:rPr>
              <w:lastRenderedPageBreak/>
              <w:t>11</w:t>
            </w:r>
            <w:r>
              <w:rPr>
                <w:rFonts w:ascii="Calibri" w:eastAsia="Calibri" w:hAnsi="Calibri" w:cs="Calibri"/>
                <w:w w:val="94"/>
              </w:rPr>
              <w:lastRenderedPageBreak/>
              <w:t>%</w:t>
            </w:r>
          </w:p>
        </w:tc>
        <w:tc>
          <w:tcPr>
            <w:tcW w:w="240" w:type="dxa"/>
            <w:vAlign w:val="bottom"/>
          </w:tcPr>
          <w:p w:rsidR="00AC12B4" w:rsidRDefault="00AC12B4">
            <w:pPr>
              <w:rPr>
                <w:sz w:val="23"/>
                <w:szCs w:val="23"/>
              </w:rPr>
            </w:pPr>
          </w:p>
        </w:tc>
        <w:tc>
          <w:tcPr>
            <w:tcW w:w="1040" w:type="dxa"/>
            <w:gridSpan w:val="2"/>
            <w:vAlign w:val="bottom"/>
          </w:tcPr>
          <w:p w:rsidR="00AC12B4" w:rsidRDefault="00C27636">
            <w:pPr>
              <w:spacing w:line="250" w:lineRule="exact"/>
              <w:ind w:right="50"/>
              <w:jc w:val="right"/>
              <w:rPr>
                <w:sz w:val="20"/>
                <w:szCs w:val="20"/>
              </w:rPr>
            </w:pPr>
            <w:r>
              <w:rPr>
                <w:rFonts w:ascii="Calibri" w:eastAsia="Calibri" w:hAnsi="Calibri" w:cs="Calibri"/>
              </w:rPr>
              <w:t>des</w:t>
            </w:r>
          </w:p>
        </w:tc>
        <w:tc>
          <w:tcPr>
            <w:tcW w:w="280" w:type="dxa"/>
            <w:tcBorders>
              <w:right w:val="single" w:sz="8" w:space="0" w:color="C9D11D"/>
            </w:tcBorders>
            <w:vAlign w:val="bottom"/>
          </w:tcPr>
          <w:p w:rsidR="00AC12B4" w:rsidRDefault="00AC12B4">
            <w:pPr>
              <w:rPr>
                <w:sz w:val="23"/>
                <w:szCs w:val="23"/>
              </w:rPr>
            </w:pPr>
          </w:p>
        </w:tc>
        <w:tc>
          <w:tcPr>
            <w:tcW w:w="360" w:type="dxa"/>
            <w:tcBorders>
              <w:bottom w:val="single" w:sz="8" w:space="0" w:color="C9D11D"/>
            </w:tcBorders>
            <w:vAlign w:val="bottom"/>
          </w:tcPr>
          <w:p w:rsidR="00AC12B4" w:rsidRDefault="00AC12B4">
            <w:pPr>
              <w:rPr>
                <w:sz w:val="23"/>
                <w:szCs w:val="23"/>
              </w:rPr>
            </w:pPr>
          </w:p>
        </w:tc>
        <w:tc>
          <w:tcPr>
            <w:tcW w:w="680" w:type="dxa"/>
            <w:tcBorders>
              <w:bottom w:val="single" w:sz="8" w:space="0" w:color="C9D11D"/>
            </w:tcBorders>
            <w:vAlign w:val="bottom"/>
          </w:tcPr>
          <w:p w:rsidR="00AC12B4" w:rsidRDefault="00AC12B4">
            <w:pPr>
              <w:rPr>
                <w:sz w:val="23"/>
                <w:szCs w:val="23"/>
              </w:rPr>
            </w:pPr>
          </w:p>
        </w:tc>
        <w:tc>
          <w:tcPr>
            <w:tcW w:w="540" w:type="dxa"/>
            <w:tcBorders>
              <w:bottom w:val="single" w:sz="8" w:space="0" w:color="C9D11D"/>
            </w:tcBorders>
            <w:vAlign w:val="bottom"/>
          </w:tcPr>
          <w:p w:rsidR="00AC12B4" w:rsidRDefault="00AC12B4">
            <w:pPr>
              <w:rPr>
                <w:sz w:val="23"/>
                <w:szCs w:val="23"/>
              </w:rPr>
            </w:pPr>
          </w:p>
        </w:tc>
        <w:tc>
          <w:tcPr>
            <w:tcW w:w="580" w:type="dxa"/>
            <w:tcBorders>
              <w:bottom w:val="single" w:sz="8" w:space="0" w:color="C9D11D"/>
            </w:tcBorders>
            <w:vAlign w:val="bottom"/>
          </w:tcPr>
          <w:p w:rsidR="00AC12B4" w:rsidRDefault="00AC12B4">
            <w:pPr>
              <w:rPr>
                <w:sz w:val="23"/>
                <w:szCs w:val="23"/>
              </w:rPr>
            </w:pPr>
          </w:p>
        </w:tc>
        <w:tc>
          <w:tcPr>
            <w:tcW w:w="560" w:type="dxa"/>
            <w:tcBorders>
              <w:bottom w:val="single" w:sz="8" w:space="0" w:color="C9D11D"/>
              <w:right w:val="single" w:sz="8" w:space="0" w:color="C9D11D"/>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48"/>
        </w:trPr>
        <w:tc>
          <w:tcPr>
            <w:tcW w:w="1220" w:type="dxa"/>
            <w:vAlign w:val="bottom"/>
          </w:tcPr>
          <w:p w:rsidR="00AC12B4" w:rsidRDefault="00AC12B4">
            <w:pPr>
              <w:rPr>
                <w:sz w:val="21"/>
                <w:szCs w:val="21"/>
              </w:rPr>
            </w:pPr>
          </w:p>
        </w:tc>
        <w:tc>
          <w:tcPr>
            <w:tcW w:w="4280" w:type="dxa"/>
            <w:gridSpan w:val="5"/>
            <w:vAlign w:val="bottom"/>
          </w:tcPr>
          <w:p w:rsidR="00AC12B4" w:rsidRPr="00C27636" w:rsidRDefault="00C27636">
            <w:pPr>
              <w:spacing w:line="212" w:lineRule="exact"/>
              <w:ind w:left="240"/>
              <w:rPr>
                <w:sz w:val="20"/>
                <w:szCs w:val="20"/>
                <w:lang w:val="fr-BE"/>
              </w:rPr>
            </w:pPr>
            <w:r w:rsidRPr="00C27636">
              <w:rPr>
                <w:rFonts w:ascii="Calibri" w:eastAsia="Calibri" w:hAnsi="Calibri" w:cs="Calibri"/>
                <w:lang w:val="fr-BE"/>
              </w:rPr>
              <w:t>sans-abri  de  même  qu'aux  mineurs</w:t>
            </w:r>
          </w:p>
        </w:tc>
        <w:tc>
          <w:tcPr>
            <w:tcW w:w="3540" w:type="dxa"/>
            <w:gridSpan w:val="8"/>
            <w:vAlign w:val="bottom"/>
          </w:tcPr>
          <w:p w:rsidR="00AC12B4" w:rsidRDefault="00C27636">
            <w:pPr>
              <w:spacing w:line="248" w:lineRule="exact"/>
              <w:ind w:left="560"/>
              <w:rPr>
                <w:sz w:val="20"/>
                <w:szCs w:val="20"/>
              </w:rPr>
            </w:pPr>
            <w:r>
              <w:rPr>
                <w:rFonts w:ascii="Calibri" w:eastAsia="Calibri" w:hAnsi="Calibri" w:cs="Calibri"/>
              </w:rPr>
              <w:t>ménages déclarent au moins</w:t>
            </w:r>
          </w:p>
        </w:tc>
        <w:tc>
          <w:tcPr>
            <w:tcW w:w="540" w:type="dxa"/>
            <w:vAlign w:val="bottom"/>
          </w:tcPr>
          <w:p w:rsidR="00AC12B4" w:rsidRDefault="00AC12B4">
            <w:pPr>
              <w:rPr>
                <w:sz w:val="21"/>
                <w:szCs w:val="21"/>
              </w:rPr>
            </w:pPr>
          </w:p>
        </w:tc>
        <w:tc>
          <w:tcPr>
            <w:tcW w:w="580" w:type="dxa"/>
            <w:vAlign w:val="bottom"/>
          </w:tcPr>
          <w:p w:rsidR="00AC12B4" w:rsidRDefault="00AC12B4">
            <w:pPr>
              <w:rPr>
                <w:sz w:val="21"/>
                <w:szCs w:val="21"/>
              </w:rPr>
            </w:pPr>
          </w:p>
        </w:tc>
        <w:tc>
          <w:tcPr>
            <w:tcW w:w="56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69"/>
        </w:trPr>
        <w:tc>
          <w:tcPr>
            <w:tcW w:w="1220" w:type="dxa"/>
            <w:vAlign w:val="bottom"/>
          </w:tcPr>
          <w:p w:rsidR="00AC12B4" w:rsidRDefault="00AC12B4">
            <w:pPr>
              <w:rPr>
                <w:sz w:val="23"/>
                <w:szCs w:val="23"/>
              </w:rPr>
            </w:pPr>
          </w:p>
        </w:tc>
        <w:tc>
          <w:tcPr>
            <w:tcW w:w="4280" w:type="dxa"/>
            <w:gridSpan w:val="5"/>
            <w:vAlign w:val="bottom"/>
          </w:tcPr>
          <w:p w:rsidR="00AC12B4" w:rsidRPr="00C27636" w:rsidRDefault="00C27636">
            <w:pPr>
              <w:spacing w:line="233" w:lineRule="exact"/>
              <w:ind w:left="240"/>
              <w:rPr>
                <w:sz w:val="20"/>
                <w:szCs w:val="20"/>
                <w:lang w:val="fr-BE"/>
              </w:rPr>
            </w:pPr>
            <w:r w:rsidRPr="00C27636">
              <w:rPr>
                <w:rFonts w:ascii="Calibri" w:eastAsia="Calibri" w:hAnsi="Calibri" w:cs="Calibri"/>
                <w:lang w:val="fr-BE"/>
              </w:rPr>
              <w:t xml:space="preserve">étrangers non accompagnés pour </w:t>
            </w:r>
            <w:r w:rsidRPr="00C27636">
              <w:rPr>
                <w:rFonts w:ascii="Calibri" w:eastAsia="Calibri" w:hAnsi="Calibri" w:cs="Calibri"/>
                <w:lang w:val="fr-BE"/>
              </w:rPr>
              <w:t>lesquels</w:t>
            </w:r>
          </w:p>
        </w:tc>
        <w:tc>
          <w:tcPr>
            <w:tcW w:w="76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580" w:type="dxa"/>
            <w:vAlign w:val="bottom"/>
          </w:tcPr>
          <w:p w:rsidR="00AC12B4" w:rsidRPr="00C27636" w:rsidRDefault="00AC12B4">
            <w:pPr>
              <w:rPr>
                <w:sz w:val="23"/>
                <w:szCs w:val="23"/>
                <w:lang w:val="fr-BE"/>
              </w:rPr>
            </w:pPr>
          </w:p>
        </w:tc>
        <w:tc>
          <w:tcPr>
            <w:tcW w:w="2320" w:type="dxa"/>
            <w:gridSpan w:val="5"/>
            <w:vAlign w:val="bottom"/>
          </w:tcPr>
          <w:p w:rsidR="00AC12B4" w:rsidRDefault="00C27636">
            <w:pPr>
              <w:ind w:right="17"/>
              <w:jc w:val="right"/>
              <w:rPr>
                <w:sz w:val="20"/>
                <w:szCs w:val="20"/>
              </w:rPr>
            </w:pPr>
            <w:r>
              <w:rPr>
                <w:rFonts w:ascii="Calibri" w:eastAsia="Calibri" w:hAnsi="Calibri" w:cs="Calibri"/>
                <w:w w:val="99"/>
              </w:rPr>
              <w:t>un problème de confort.</w:t>
            </w:r>
          </w:p>
        </w:tc>
        <w:tc>
          <w:tcPr>
            <w:tcW w:w="580" w:type="dxa"/>
            <w:vAlign w:val="bottom"/>
          </w:tcPr>
          <w:p w:rsidR="00AC12B4" w:rsidRDefault="00AC12B4">
            <w:pPr>
              <w:rPr>
                <w:sz w:val="23"/>
                <w:szCs w:val="23"/>
              </w:rPr>
            </w:pPr>
          </w:p>
        </w:tc>
        <w:tc>
          <w:tcPr>
            <w:tcW w:w="560" w:type="dxa"/>
            <w:vAlign w:val="bottom"/>
          </w:tcPr>
          <w:p w:rsidR="00AC12B4" w:rsidRDefault="00AC12B4">
            <w:pPr>
              <w:rPr>
                <w:sz w:val="23"/>
                <w:szCs w:val="23"/>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70688" behindDoc="1" locked="0" layoutInCell="0" allowOverlap="1">
                <wp:simplePos x="0" y="0"/>
                <wp:positionH relativeFrom="column">
                  <wp:posOffset>4483735</wp:posOffset>
                </wp:positionH>
                <wp:positionV relativeFrom="paragraph">
                  <wp:posOffset>48895</wp:posOffset>
                </wp:positionV>
                <wp:extent cx="0" cy="2432050"/>
                <wp:effectExtent l="0" t="0" r="0" b="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2050"/>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05pt,3.85pt" to="353.05pt,195.35pt" o:allowincell="f" strokecolor="#C9D11D" strokeweight="0.75pt"/>
            </w:pict>
          </mc:Fallback>
        </mc:AlternateContent>
      </w:r>
      <w:r>
        <w:rPr>
          <w:noProof/>
          <w:sz w:val="20"/>
          <w:szCs w:val="20"/>
        </w:rPr>
        <mc:AlternateContent>
          <mc:Choice Requires="wps">
            <w:drawing>
              <wp:anchor distT="0" distB="0" distL="114300" distR="114300" simplePos="0" relativeHeight="251571712" behindDoc="1" locked="0" layoutInCell="0" allowOverlap="1">
                <wp:simplePos x="0" y="0"/>
                <wp:positionH relativeFrom="column">
                  <wp:posOffset>895985</wp:posOffset>
                </wp:positionH>
                <wp:positionV relativeFrom="paragraph">
                  <wp:posOffset>53340</wp:posOffset>
                </wp:positionV>
                <wp:extent cx="3592195" cy="0"/>
                <wp:effectExtent l="0" t="0" r="0" b="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92195" cy="4763"/>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55pt,4.2pt" to="353.4pt,4.2pt" o:allowincell="f" strokecolor="#C9D11D" strokeweight="0.75pt"/>
            </w:pict>
          </mc:Fallback>
        </mc:AlternateContent>
      </w:r>
      <w:r>
        <w:rPr>
          <w:noProof/>
          <w:sz w:val="20"/>
          <w:szCs w:val="20"/>
        </w:rPr>
        <mc:AlternateContent>
          <mc:Choice Requires="wps">
            <w:drawing>
              <wp:anchor distT="0" distB="0" distL="114300" distR="114300" simplePos="0" relativeHeight="251572736" behindDoc="1" locked="0" layoutInCell="0" allowOverlap="1">
                <wp:simplePos x="0" y="0"/>
                <wp:positionH relativeFrom="column">
                  <wp:posOffset>901065</wp:posOffset>
                </wp:positionH>
                <wp:positionV relativeFrom="paragraph">
                  <wp:posOffset>48895</wp:posOffset>
                </wp:positionV>
                <wp:extent cx="0" cy="2432050"/>
                <wp:effectExtent l="0" t="0" r="0" b="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2050"/>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95pt,3.85pt" to="70.95pt,195.35pt" o:allowincell="f" strokecolor="#C9D11D" strokeweight="0.75pt"/>
            </w:pict>
          </mc:Fallback>
        </mc:AlternateContent>
      </w:r>
      <w:r>
        <w:rPr>
          <w:noProof/>
          <w:sz w:val="20"/>
          <w:szCs w:val="20"/>
        </w:rPr>
        <mc:AlternateContent>
          <mc:Choice Requires="wps">
            <w:drawing>
              <wp:anchor distT="0" distB="0" distL="114300" distR="114300" simplePos="0" relativeHeight="251573760" behindDoc="1" locked="0" layoutInCell="0" allowOverlap="1">
                <wp:simplePos x="0" y="0"/>
                <wp:positionH relativeFrom="column">
                  <wp:posOffset>895985</wp:posOffset>
                </wp:positionH>
                <wp:positionV relativeFrom="paragraph">
                  <wp:posOffset>2475865</wp:posOffset>
                </wp:positionV>
                <wp:extent cx="3592195" cy="0"/>
                <wp:effectExtent l="0" t="0" r="0" b="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92195" cy="4763"/>
                        </a:xfrm>
                        <a:prstGeom prst="line">
                          <a:avLst/>
                        </a:prstGeom>
                        <a:solidFill>
                          <a:srgbClr val="FFFFFF"/>
                        </a:solidFill>
                        <a:ln w="9525">
                          <a:solidFill>
                            <a:srgbClr val="C9D11D"/>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55pt,194.95pt" to="353.4pt,194.95pt" o:allowincell="f" strokecolor="#C9D11D" strokeweight="0.75pt"/>
            </w:pict>
          </mc:Fallback>
        </mc:AlternateContent>
      </w:r>
    </w:p>
    <w:p w:rsidR="00AC12B4" w:rsidRDefault="00AC12B4">
      <w:pPr>
        <w:sectPr w:rsidR="00AC12B4">
          <w:pgSz w:w="12080" w:h="17179"/>
          <w:pgMar w:top="1440" w:right="557" w:bottom="659" w:left="540" w:header="0" w:footer="0" w:gutter="0"/>
          <w:cols w:space="720" w:equalWidth="0">
            <w:col w:w="10980"/>
          </w:cols>
        </w:sectPr>
      </w:pPr>
    </w:p>
    <w:p w:rsidR="00AC12B4" w:rsidRDefault="00AC12B4">
      <w:pPr>
        <w:spacing w:line="279" w:lineRule="exact"/>
        <w:rPr>
          <w:sz w:val="20"/>
          <w:szCs w:val="20"/>
        </w:rPr>
      </w:pPr>
    </w:p>
    <w:p w:rsidR="00AC12B4" w:rsidRPr="00C27636" w:rsidRDefault="00C27636">
      <w:pPr>
        <w:numPr>
          <w:ilvl w:val="0"/>
          <w:numId w:val="147"/>
        </w:numPr>
        <w:tabs>
          <w:tab w:val="left" w:pos="2715"/>
        </w:tabs>
        <w:spacing w:line="218" w:lineRule="auto"/>
        <w:ind w:left="3300" w:right="680" w:hanging="800"/>
        <w:rPr>
          <w:rFonts w:ascii="Calibri" w:eastAsia="Calibri" w:hAnsi="Calibri" w:cs="Calibri"/>
          <w:b/>
          <w:bCs/>
          <w:lang w:val="fr-BE"/>
        </w:rPr>
      </w:pPr>
      <w:r w:rsidRPr="00C27636">
        <w:rPr>
          <w:rFonts w:ascii="Calibri" w:eastAsia="Calibri" w:hAnsi="Calibri" w:cs="Calibri"/>
          <w:b/>
          <w:bCs/>
          <w:lang w:val="fr-BE"/>
        </w:rPr>
        <w:t>des ménages déclarant au moins un problème de confort</w:t>
      </w:r>
    </w:p>
    <w:p w:rsidR="00AC12B4" w:rsidRPr="00C27636" w:rsidRDefault="00AC12B4">
      <w:pPr>
        <w:spacing w:line="119" w:lineRule="exact"/>
        <w:rPr>
          <w:sz w:val="20"/>
          <w:szCs w:val="20"/>
          <w:lang w:val="fr-BE"/>
        </w:rPr>
      </w:pPr>
    </w:p>
    <w:p w:rsidR="00AC12B4" w:rsidRPr="00C27636" w:rsidRDefault="00C27636">
      <w:pPr>
        <w:ind w:left="1540"/>
        <w:rPr>
          <w:sz w:val="20"/>
          <w:szCs w:val="20"/>
          <w:lang w:val="fr-BE"/>
        </w:rPr>
      </w:pPr>
      <w:r w:rsidRPr="00C27636">
        <w:rPr>
          <w:rFonts w:ascii="Calibri" w:eastAsia="Calibri" w:hAnsi="Calibri" w:cs="Calibri"/>
          <w:sz w:val="20"/>
          <w:szCs w:val="20"/>
          <w:lang w:val="fr-BE"/>
        </w:rPr>
        <w:t>25</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74784" behindDoc="1" locked="0" layoutInCell="0" allowOverlap="1">
            <wp:simplePos x="0" y="0"/>
            <wp:positionH relativeFrom="column">
              <wp:posOffset>1189990</wp:posOffset>
            </wp:positionH>
            <wp:positionV relativeFrom="paragraph">
              <wp:posOffset>-71120</wp:posOffset>
            </wp:positionV>
            <wp:extent cx="3157855" cy="143383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56">
                      <a:extLst/>
                    </a:blip>
                    <a:srcRect/>
                    <a:stretch>
                      <a:fillRect/>
                    </a:stretch>
                  </pic:blipFill>
                  <pic:spPr bwMode="auto">
                    <a:xfrm>
                      <a:off x="0" y="0"/>
                      <a:ext cx="3157855" cy="1433830"/>
                    </a:xfrm>
                    <a:prstGeom prst="rect">
                      <a:avLst/>
                    </a:prstGeom>
                    <a:noFill/>
                  </pic:spPr>
                </pic:pic>
              </a:graphicData>
            </a:graphic>
          </wp:anchor>
        </w:drawing>
      </w:r>
    </w:p>
    <w:p w:rsidR="00AC12B4" w:rsidRPr="00C27636" w:rsidRDefault="00AC12B4">
      <w:pPr>
        <w:spacing w:line="174" w:lineRule="exact"/>
        <w:rPr>
          <w:sz w:val="20"/>
          <w:szCs w:val="20"/>
          <w:lang w:val="fr-BE"/>
        </w:rPr>
      </w:pPr>
    </w:p>
    <w:p w:rsidR="00AC12B4" w:rsidRPr="00C27636" w:rsidRDefault="00C27636">
      <w:pPr>
        <w:ind w:left="1540"/>
        <w:rPr>
          <w:sz w:val="20"/>
          <w:szCs w:val="20"/>
          <w:lang w:val="fr-BE"/>
        </w:rPr>
      </w:pPr>
      <w:r w:rsidRPr="00C27636">
        <w:rPr>
          <w:rFonts w:ascii="Calibri" w:eastAsia="Calibri" w:hAnsi="Calibri" w:cs="Calibri"/>
          <w:sz w:val="20"/>
          <w:szCs w:val="20"/>
          <w:lang w:val="fr-BE"/>
        </w:rPr>
        <w:t>20</w:t>
      </w:r>
    </w:p>
    <w:p w:rsidR="00AC12B4" w:rsidRPr="00C27636" w:rsidRDefault="00AC12B4">
      <w:pPr>
        <w:spacing w:line="195" w:lineRule="exact"/>
        <w:rPr>
          <w:sz w:val="20"/>
          <w:szCs w:val="20"/>
          <w:lang w:val="fr-BE"/>
        </w:rPr>
      </w:pPr>
    </w:p>
    <w:p w:rsidR="00AC12B4" w:rsidRPr="00C27636" w:rsidRDefault="00C27636">
      <w:pPr>
        <w:ind w:left="1540"/>
        <w:rPr>
          <w:sz w:val="20"/>
          <w:szCs w:val="20"/>
          <w:lang w:val="fr-BE"/>
        </w:rPr>
      </w:pPr>
      <w:r w:rsidRPr="00C27636">
        <w:rPr>
          <w:rFonts w:ascii="Calibri" w:eastAsia="Calibri" w:hAnsi="Calibri" w:cs="Calibri"/>
          <w:sz w:val="20"/>
          <w:szCs w:val="20"/>
          <w:lang w:val="fr-BE"/>
        </w:rPr>
        <w:t>15</w:t>
      </w:r>
    </w:p>
    <w:p w:rsidR="00AC12B4" w:rsidRPr="00C27636" w:rsidRDefault="00AC12B4">
      <w:pPr>
        <w:spacing w:line="194" w:lineRule="exact"/>
        <w:rPr>
          <w:sz w:val="20"/>
          <w:szCs w:val="20"/>
          <w:lang w:val="fr-BE"/>
        </w:rPr>
      </w:pPr>
    </w:p>
    <w:p w:rsidR="00AC12B4" w:rsidRPr="00C27636" w:rsidRDefault="00C27636">
      <w:pPr>
        <w:ind w:left="1540"/>
        <w:rPr>
          <w:sz w:val="20"/>
          <w:szCs w:val="20"/>
          <w:lang w:val="fr-BE"/>
        </w:rPr>
      </w:pPr>
      <w:r w:rsidRPr="00C27636">
        <w:rPr>
          <w:rFonts w:ascii="Calibri" w:eastAsia="Calibri" w:hAnsi="Calibri" w:cs="Calibri"/>
          <w:sz w:val="20"/>
          <w:szCs w:val="20"/>
          <w:lang w:val="fr-BE"/>
        </w:rPr>
        <w:t>10</w:t>
      </w:r>
    </w:p>
    <w:p w:rsidR="00AC12B4" w:rsidRPr="00C27636" w:rsidRDefault="00AC12B4">
      <w:pPr>
        <w:spacing w:line="195" w:lineRule="exact"/>
        <w:rPr>
          <w:sz w:val="20"/>
          <w:szCs w:val="20"/>
          <w:lang w:val="fr-BE"/>
        </w:rPr>
      </w:pPr>
    </w:p>
    <w:p w:rsidR="00AC12B4" w:rsidRPr="00C27636" w:rsidRDefault="00C27636">
      <w:pPr>
        <w:ind w:left="1660"/>
        <w:rPr>
          <w:sz w:val="20"/>
          <w:szCs w:val="20"/>
          <w:lang w:val="fr-BE"/>
        </w:rPr>
      </w:pPr>
      <w:r w:rsidRPr="00C27636">
        <w:rPr>
          <w:rFonts w:ascii="Calibri" w:eastAsia="Calibri" w:hAnsi="Calibri" w:cs="Calibri"/>
          <w:sz w:val="20"/>
          <w:szCs w:val="20"/>
          <w:lang w:val="fr-BE"/>
        </w:rPr>
        <w:t>5</w:t>
      </w:r>
    </w:p>
    <w:p w:rsidR="00AC12B4" w:rsidRPr="00C27636" w:rsidRDefault="00AC12B4">
      <w:pPr>
        <w:spacing w:line="194" w:lineRule="exact"/>
        <w:rPr>
          <w:sz w:val="20"/>
          <w:szCs w:val="20"/>
          <w:lang w:val="fr-BE"/>
        </w:rPr>
      </w:pPr>
    </w:p>
    <w:p w:rsidR="00AC12B4" w:rsidRPr="00C27636" w:rsidRDefault="00C27636">
      <w:pPr>
        <w:ind w:left="1660"/>
        <w:rPr>
          <w:sz w:val="20"/>
          <w:szCs w:val="20"/>
          <w:lang w:val="fr-BE"/>
        </w:rPr>
      </w:pPr>
      <w:r w:rsidRPr="00C27636">
        <w:rPr>
          <w:rFonts w:ascii="Calibri" w:eastAsia="Calibri" w:hAnsi="Calibri" w:cs="Calibri"/>
          <w:sz w:val="20"/>
          <w:szCs w:val="20"/>
          <w:lang w:val="fr-BE"/>
        </w:rPr>
        <w:t>0</w:t>
      </w:r>
    </w:p>
    <w:p w:rsidR="00AC12B4" w:rsidRPr="00C27636" w:rsidRDefault="00AC12B4">
      <w:pPr>
        <w:spacing w:line="5" w:lineRule="exact"/>
        <w:rPr>
          <w:sz w:val="20"/>
          <w:szCs w:val="20"/>
          <w:lang w:val="fr-BE"/>
        </w:rPr>
      </w:pPr>
    </w:p>
    <w:p w:rsidR="00AC12B4" w:rsidRPr="00C27636" w:rsidRDefault="00C27636">
      <w:pPr>
        <w:tabs>
          <w:tab w:val="left" w:pos="3320"/>
          <w:tab w:val="left" w:pos="4580"/>
          <w:tab w:val="left" w:pos="5780"/>
        </w:tabs>
        <w:ind w:left="2280"/>
        <w:jc w:val="both"/>
        <w:rPr>
          <w:sz w:val="20"/>
          <w:szCs w:val="20"/>
          <w:lang w:val="fr-BE"/>
        </w:rPr>
      </w:pPr>
      <w:r w:rsidRPr="00C27636">
        <w:rPr>
          <w:rFonts w:ascii="Calibri" w:eastAsia="Calibri" w:hAnsi="Calibri" w:cs="Calibri"/>
          <w:sz w:val="18"/>
          <w:szCs w:val="18"/>
          <w:lang w:val="fr-BE"/>
        </w:rPr>
        <w:t>Famille</w:t>
      </w:r>
      <w:r w:rsidRPr="00C27636">
        <w:rPr>
          <w:sz w:val="20"/>
          <w:szCs w:val="20"/>
          <w:lang w:val="fr-BE"/>
        </w:rPr>
        <w:tab/>
      </w:r>
      <w:r w:rsidRPr="00C27636">
        <w:rPr>
          <w:rFonts w:ascii="Calibri" w:eastAsia="Calibri" w:hAnsi="Calibri" w:cs="Calibri"/>
          <w:sz w:val="18"/>
          <w:szCs w:val="18"/>
          <w:lang w:val="fr-BE"/>
        </w:rPr>
        <w:t>Couple avec</w:t>
      </w:r>
      <w:r w:rsidRPr="00C27636">
        <w:rPr>
          <w:sz w:val="20"/>
          <w:szCs w:val="20"/>
          <w:lang w:val="fr-BE"/>
        </w:rPr>
        <w:tab/>
      </w:r>
      <w:r w:rsidRPr="00C27636">
        <w:rPr>
          <w:rFonts w:ascii="Calibri" w:eastAsia="Calibri" w:hAnsi="Calibri" w:cs="Calibri"/>
          <w:sz w:val="18"/>
          <w:szCs w:val="18"/>
          <w:lang w:val="fr-BE"/>
        </w:rPr>
        <w:t>Célibataire</w:t>
      </w:r>
      <w:r w:rsidRPr="00C27636">
        <w:rPr>
          <w:sz w:val="20"/>
          <w:szCs w:val="20"/>
          <w:lang w:val="fr-BE"/>
        </w:rPr>
        <w:tab/>
      </w:r>
      <w:r w:rsidRPr="00C27636">
        <w:rPr>
          <w:rFonts w:ascii="Calibri" w:eastAsia="Calibri" w:hAnsi="Calibri" w:cs="Calibri"/>
          <w:sz w:val="17"/>
          <w:szCs w:val="17"/>
          <w:lang w:val="fr-BE"/>
        </w:rPr>
        <w:t>Couple sans</w:t>
      </w:r>
    </w:p>
    <w:p w:rsidR="00AC12B4" w:rsidRPr="00C27636" w:rsidRDefault="00AC12B4">
      <w:pPr>
        <w:spacing w:line="1" w:lineRule="exact"/>
        <w:rPr>
          <w:sz w:val="20"/>
          <w:szCs w:val="20"/>
          <w:lang w:val="fr-BE"/>
        </w:rPr>
      </w:pPr>
    </w:p>
    <w:p w:rsidR="00AC12B4" w:rsidRPr="00C27636" w:rsidRDefault="00C27636">
      <w:pPr>
        <w:tabs>
          <w:tab w:val="left" w:pos="3420"/>
          <w:tab w:val="left" w:pos="5960"/>
        </w:tabs>
        <w:ind w:left="1980"/>
        <w:rPr>
          <w:sz w:val="20"/>
          <w:szCs w:val="20"/>
          <w:lang w:val="fr-BE"/>
        </w:rPr>
      </w:pPr>
      <w:r w:rsidRPr="00C27636">
        <w:rPr>
          <w:rFonts w:ascii="Calibri" w:eastAsia="Calibri" w:hAnsi="Calibri" w:cs="Calibri"/>
          <w:sz w:val="18"/>
          <w:szCs w:val="18"/>
          <w:lang w:val="fr-BE"/>
        </w:rPr>
        <w:t>monoparentale</w:t>
      </w:r>
      <w:r w:rsidRPr="00C27636">
        <w:rPr>
          <w:sz w:val="20"/>
          <w:szCs w:val="20"/>
          <w:lang w:val="fr-BE"/>
        </w:rPr>
        <w:tab/>
      </w:r>
      <w:r w:rsidRPr="00C27636">
        <w:rPr>
          <w:rFonts w:ascii="Calibri" w:eastAsia="Calibri" w:hAnsi="Calibri" w:cs="Calibri"/>
          <w:sz w:val="18"/>
          <w:szCs w:val="18"/>
          <w:lang w:val="fr-BE"/>
        </w:rPr>
        <w:t>enfant(s)</w:t>
      </w:r>
      <w:r w:rsidRPr="00C27636">
        <w:rPr>
          <w:sz w:val="20"/>
          <w:szCs w:val="20"/>
          <w:lang w:val="fr-BE"/>
        </w:rPr>
        <w:tab/>
      </w:r>
      <w:r w:rsidRPr="00C27636">
        <w:rPr>
          <w:rFonts w:ascii="Calibri" w:eastAsia="Calibri" w:hAnsi="Calibri" w:cs="Calibri"/>
          <w:sz w:val="17"/>
          <w:szCs w:val="17"/>
          <w:lang w:val="fr-BE"/>
        </w:rPr>
        <w:t>enfant</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75808" behindDoc="1" locked="0" layoutInCell="0" allowOverlap="1">
            <wp:simplePos x="0" y="0"/>
            <wp:positionH relativeFrom="column">
              <wp:posOffset>1113790</wp:posOffset>
            </wp:positionH>
            <wp:positionV relativeFrom="paragraph">
              <wp:posOffset>114300</wp:posOffset>
            </wp:positionV>
            <wp:extent cx="2965450" cy="225425"/>
            <wp:effectExtent l="0" t="0" r="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7">
                      <a:extLst/>
                    </a:blip>
                    <a:srcRect/>
                    <a:stretch>
                      <a:fillRect/>
                    </a:stretch>
                  </pic:blipFill>
                  <pic:spPr bwMode="auto">
                    <a:xfrm>
                      <a:off x="0" y="0"/>
                      <a:ext cx="2965450" cy="225425"/>
                    </a:xfrm>
                    <a:prstGeom prst="rect">
                      <a:avLst/>
                    </a:prstGeom>
                    <a:noFill/>
                  </pic:spPr>
                </pic:pic>
              </a:graphicData>
            </a:graphic>
          </wp:anchor>
        </w:drawing>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9" w:lineRule="exact"/>
        <w:rPr>
          <w:sz w:val="20"/>
          <w:szCs w:val="20"/>
          <w:lang w:val="fr-BE"/>
        </w:rPr>
      </w:pPr>
    </w:p>
    <w:p w:rsidR="00AC12B4" w:rsidRPr="00C27636" w:rsidRDefault="00C27636">
      <w:pPr>
        <w:spacing w:line="231" w:lineRule="auto"/>
        <w:ind w:right="39"/>
        <w:jc w:val="both"/>
        <w:rPr>
          <w:sz w:val="20"/>
          <w:szCs w:val="20"/>
          <w:lang w:val="fr-BE"/>
        </w:rPr>
      </w:pPr>
      <w:r w:rsidRPr="00C27636">
        <w:rPr>
          <w:rFonts w:ascii="Calibri" w:eastAsia="Calibri" w:hAnsi="Calibri" w:cs="Calibri"/>
          <w:lang w:val="fr-BE"/>
        </w:rPr>
        <w:t xml:space="preserve">Les familles monoparentales </w:t>
      </w:r>
      <w:r w:rsidRPr="00C27636">
        <w:rPr>
          <w:rFonts w:ascii="Calibri" w:eastAsia="Calibri" w:hAnsi="Calibri" w:cs="Calibri"/>
          <w:lang w:val="fr-BE"/>
        </w:rPr>
        <w:t>sont les plus touchées (21% déclarant un problème). A l’autre extrême, l’on retrouve les couples sans enfants (8%).</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20% des enfants entre 0 et</w:t>
      </w:r>
    </w:p>
    <w:p w:rsidR="00AC12B4" w:rsidRPr="00C27636" w:rsidRDefault="00AC12B4">
      <w:pPr>
        <w:spacing w:line="49" w:lineRule="exact"/>
        <w:rPr>
          <w:sz w:val="20"/>
          <w:szCs w:val="20"/>
          <w:lang w:val="fr-BE"/>
        </w:rPr>
      </w:pPr>
    </w:p>
    <w:p w:rsidR="00AC12B4" w:rsidRPr="00C27636" w:rsidRDefault="00C27636">
      <w:pPr>
        <w:spacing w:line="225" w:lineRule="auto"/>
        <w:ind w:right="39"/>
        <w:jc w:val="both"/>
        <w:rPr>
          <w:sz w:val="20"/>
          <w:szCs w:val="20"/>
          <w:lang w:val="fr-BE"/>
        </w:rPr>
      </w:pPr>
      <w:r w:rsidRPr="00C27636">
        <w:rPr>
          <w:rFonts w:ascii="Calibri" w:eastAsia="Calibri" w:hAnsi="Calibri" w:cs="Calibri"/>
          <w:lang w:val="fr-BE"/>
        </w:rPr>
        <w:t>15 ans vivent dans des ménages rapportant un problème de confort.</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6"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1500"/>
        </w:trPr>
        <w:tc>
          <w:tcPr>
            <w:tcW w:w="281" w:type="dxa"/>
            <w:textDirection w:val="btLr"/>
            <w:vAlign w:val="bottom"/>
          </w:tcPr>
          <w:p w:rsidR="00AC12B4" w:rsidRDefault="00C27636">
            <w:pPr>
              <w:rPr>
                <w:sz w:val="20"/>
                <w:szCs w:val="20"/>
              </w:rPr>
            </w:pPr>
            <w:r>
              <w:rPr>
                <w:rFonts w:ascii="Calibri" w:eastAsia="Calibri" w:hAnsi="Calibri" w:cs="Calibri"/>
                <w:b/>
                <w:bCs/>
                <w:i/>
                <w:iCs/>
                <w:color w:val="F2F2F2"/>
                <w:sz w:val="23"/>
                <w:szCs w:val="23"/>
              </w:rPr>
              <w:t>droit à la santé</w:t>
            </w:r>
          </w:p>
        </w:tc>
      </w:tr>
    </w:tbl>
    <w:p w:rsidR="00AC12B4" w:rsidRDefault="00AC12B4">
      <w:pPr>
        <w:spacing w:line="1" w:lineRule="exact"/>
        <w:rPr>
          <w:sz w:val="20"/>
          <w:szCs w:val="20"/>
        </w:rPr>
      </w:pPr>
    </w:p>
    <w:p w:rsidR="00AC12B4" w:rsidRDefault="00AC12B4">
      <w:pPr>
        <w:sectPr w:rsidR="00AC12B4">
          <w:type w:val="continuous"/>
          <w:pgSz w:w="12080" w:h="17179"/>
          <w:pgMar w:top="1440" w:right="557" w:bottom="659" w:left="540" w:header="0" w:footer="0" w:gutter="0"/>
          <w:cols w:num="3" w:space="720" w:equalWidth="0">
            <w:col w:w="6660" w:space="620"/>
            <w:col w:w="2699" w:space="720"/>
            <w:col w:w="281"/>
          </w:cols>
        </w:sectPr>
      </w:pPr>
    </w:p>
    <w:p w:rsidR="00AC12B4" w:rsidRDefault="00C27636">
      <w:pPr>
        <w:spacing w:line="205" w:lineRule="auto"/>
        <w:ind w:left="1760"/>
        <w:rPr>
          <w:sz w:val="20"/>
          <w:szCs w:val="20"/>
        </w:rPr>
      </w:pPr>
      <w:r>
        <w:rPr>
          <w:rFonts w:ascii="Calibri" w:eastAsia="Calibri" w:hAnsi="Calibri" w:cs="Calibri"/>
          <w:b/>
          <w:bCs/>
          <w:color w:val="4F81BD"/>
          <w:sz w:val="18"/>
          <w:szCs w:val="18"/>
        </w:rPr>
        <w:lastRenderedPageBreak/>
        <w:t>Figure 1. HIS 2013</w:t>
      </w:r>
    </w:p>
    <w:p w:rsidR="00AC12B4" w:rsidRDefault="00AC12B4">
      <w:pPr>
        <w:spacing w:line="380" w:lineRule="exact"/>
        <w:rPr>
          <w:sz w:val="20"/>
          <w:szCs w:val="20"/>
        </w:rPr>
      </w:pPr>
    </w:p>
    <w:p w:rsidR="00AC12B4" w:rsidRDefault="00C27636">
      <w:pPr>
        <w:ind w:right="4159"/>
        <w:jc w:val="right"/>
        <w:rPr>
          <w:sz w:val="20"/>
          <w:szCs w:val="20"/>
        </w:rPr>
      </w:pPr>
      <w:r>
        <w:rPr>
          <w:rFonts w:ascii="Calibri" w:eastAsia="Calibri" w:hAnsi="Calibri" w:cs="Calibri"/>
        </w:rPr>
        <w:t>95</w:t>
      </w:r>
    </w:p>
    <w:p w:rsidR="00AC12B4" w:rsidRDefault="00C27636">
      <w:pPr>
        <w:spacing w:line="20" w:lineRule="exact"/>
        <w:rPr>
          <w:sz w:val="20"/>
          <w:szCs w:val="20"/>
        </w:rPr>
      </w:pPr>
      <w:r>
        <w:rPr>
          <w:sz w:val="20"/>
          <w:szCs w:val="20"/>
        </w:rPr>
        <w:br w:type="column"/>
      </w: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6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t>Le</w:t>
            </w:r>
          </w:p>
        </w:tc>
      </w:tr>
    </w:tbl>
    <w:p w:rsidR="00AC12B4" w:rsidRDefault="00AC12B4">
      <w:pPr>
        <w:sectPr w:rsidR="00AC12B4">
          <w:type w:val="continuous"/>
          <w:pgSz w:w="12080" w:h="17179"/>
          <w:pgMar w:top="1440" w:right="557" w:bottom="659" w:left="540" w:header="0" w:footer="0" w:gutter="0"/>
          <w:cols w:num="2" w:space="720" w:equalWidth="0">
            <w:col w:w="9979" w:space="720"/>
            <w:col w:w="281"/>
          </w:cols>
        </w:sectPr>
      </w:pPr>
    </w:p>
    <w:p w:rsidR="00AC12B4" w:rsidRDefault="00AC12B4">
      <w:pPr>
        <w:spacing w:line="200" w:lineRule="exact"/>
        <w:rPr>
          <w:sz w:val="20"/>
          <w:szCs w:val="20"/>
        </w:rPr>
      </w:pPr>
      <w:bookmarkStart w:id="95" w:name="page96"/>
      <w:bookmarkEnd w:id="95"/>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92" w:lineRule="exact"/>
        <w:rPr>
          <w:sz w:val="20"/>
          <w:szCs w:val="20"/>
          <w:lang w:val="fr-BE"/>
        </w:rPr>
      </w:pPr>
    </w:p>
    <w:p w:rsidR="00AC12B4" w:rsidRPr="00C27636" w:rsidRDefault="00C27636">
      <w:pPr>
        <w:spacing w:line="217" w:lineRule="auto"/>
        <w:ind w:right="600" w:firstLine="341"/>
        <w:rPr>
          <w:sz w:val="20"/>
          <w:szCs w:val="20"/>
          <w:lang w:val="fr-BE"/>
        </w:rPr>
      </w:pPr>
      <w:r w:rsidRPr="00C27636">
        <w:rPr>
          <w:rFonts w:ascii="Calibri" w:eastAsia="Calibri" w:hAnsi="Calibri" w:cs="Calibri"/>
          <w:b/>
          <w:bCs/>
          <w:color w:val="4F6228"/>
          <w:sz w:val="20"/>
          <w:szCs w:val="20"/>
          <w:lang w:val="fr-BE"/>
        </w:rPr>
        <w:t>Question originale dans l’enquête HIS (depuis 2013 seulement):</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76832" behindDoc="1" locked="0" layoutInCell="0" allowOverlap="1">
            <wp:simplePos x="0" y="0"/>
            <wp:positionH relativeFrom="column">
              <wp:posOffset>-672465</wp:posOffset>
            </wp:positionH>
            <wp:positionV relativeFrom="paragraph">
              <wp:posOffset>-1391920</wp:posOffset>
            </wp:positionV>
            <wp:extent cx="3585210" cy="10908665"/>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58">
                      <a:extLst/>
                    </a:blip>
                    <a:srcRect/>
                    <a:stretch>
                      <a:fillRect/>
                    </a:stretch>
                  </pic:blipFill>
                  <pic:spPr bwMode="auto">
                    <a:xfrm>
                      <a:off x="0" y="0"/>
                      <a:ext cx="3585210" cy="10908665"/>
                    </a:xfrm>
                    <a:prstGeom prst="rect">
                      <a:avLst/>
                    </a:prstGeom>
                    <a:noFill/>
                  </pic:spPr>
                </pic:pic>
              </a:graphicData>
            </a:graphic>
          </wp:anchor>
        </w:drawing>
      </w:r>
    </w:p>
    <w:p w:rsidR="00AC12B4" w:rsidRPr="00C27636" w:rsidRDefault="00AC12B4">
      <w:pPr>
        <w:spacing w:line="269" w:lineRule="exact"/>
        <w:rPr>
          <w:sz w:val="20"/>
          <w:szCs w:val="20"/>
          <w:lang w:val="fr-BE"/>
        </w:rPr>
      </w:pPr>
    </w:p>
    <w:p w:rsidR="00AC12B4" w:rsidRPr="00C27636" w:rsidRDefault="00C27636">
      <w:pPr>
        <w:spacing w:line="227" w:lineRule="auto"/>
        <w:ind w:right="320"/>
        <w:jc w:val="both"/>
        <w:rPr>
          <w:sz w:val="20"/>
          <w:szCs w:val="20"/>
          <w:lang w:val="fr-BE"/>
        </w:rPr>
      </w:pPr>
      <w:r w:rsidRPr="00C27636">
        <w:rPr>
          <w:rFonts w:ascii="Calibri" w:eastAsia="Calibri" w:hAnsi="Calibri" w:cs="Calibri"/>
          <w:sz w:val="21"/>
          <w:szCs w:val="21"/>
          <w:lang w:val="fr-BE"/>
        </w:rPr>
        <w:t xml:space="preserve">Combien y </w:t>
      </w:r>
      <w:r w:rsidRPr="00C27636">
        <w:rPr>
          <w:rFonts w:ascii="Calibri" w:eastAsia="Calibri" w:hAnsi="Calibri" w:cs="Calibri"/>
          <w:sz w:val="21"/>
          <w:szCs w:val="21"/>
          <w:lang w:val="fr-BE"/>
        </w:rPr>
        <w:t>a-t-il de chambres à coucher dans votre habitation? (</w:t>
      </w:r>
      <w:r w:rsidRPr="00C27636">
        <w:rPr>
          <w:rFonts w:ascii="Calibri" w:eastAsia="Calibri" w:hAnsi="Calibri" w:cs="Calibri"/>
          <w:color w:val="262626"/>
          <w:sz w:val="21"/>
          <w:szCs w:val="21"/>
          <w:lang w:val="fr-BE"/>
        </w:rPr>
        <w:t>l’indicateur “</w:t>
      </w:r>
      <w:r w:rsidRPr="00C27636">
        <w:rPr>
          <w:rFonts w:ascii="Calibri" w:eastAsia="Calibri" w:hAnsi="Calibri" w:cs="Calibri"/>
          <w:sz w:val="21"/>
          <w:szCs w:val="21"/>
          <w:lang w:val="fr-BE"/>
        </w:rPr>
        <w:t xml:space="preserve"> </w:t>
      </w:r>
      <w:r w:rsidRPr="00C27636">
        <w:rPr>
          <w:rFonts w:ascii="Calibri" w:eastAsia="Calibri" w:hAnsi="Calibri" w:cs="Calibri"/>
          <w:color w:val="262626"/>
          <w:lang w:val="fr-BE"/>
        </w:rPr>
        <w:t>surpeuplement” est</w:t>
      </w:r>
      <w:r w:rsidRPr="00C27636">
        <w:rPr>
          <w:rFonts w:ascii="Calibri" w:eastAsia="Calibri" w:hAnsi="Calibri" w:cs="Calibri"/>
          <w:sz w:val="21"/>
          <w:szCs w:val="21"/>
          <w:lang w:val="fr-BE"/>
        </w:rPr>
        <w:t xml:space="preserve"> </w:t>
      </w:r>
      <w:r w:rsidRPr="00C27636">
        <w:rPr>
          <w:rFonts w:ascii="Calibri" w:eastAsia="Calibri" w:hAnsi="Calibri" w:cs="Calibri"/>
          <w:color w:val="262626"/>
          <w:lang w:val="fr-BE"/>
        </w:rPr>
        <w:t>dérivé de cet indicateur et du no</w:t>
      </w:r>
      <w:r w:rsidRPr="00C27636">
        <w:rPr>
          <w:rFonts w:ascii="Calibri" w:eastAsia="Calibri" w:hAnsi="Calibri" w:cs="Calibri"/>
          <w:color w:val="262626"/>
          <w:sz w:val="21"/>
          <w:szCs w:val="21"/>
          <w:lang w:val="fr-BE"/>
        </w:rPr>
        <w:t>mbre</w:t>
      </w:r>
      <w:r w:rsidRPr="00C27636">
        <w:rPr>
          <w:rFonts w:ascii="Calibri" w:eastAsia="Calibri" w:hAnsi="Calibri" w:cs="Calibri"/>
          <w:color w:val="262626"/>
          <w:lang w:val="fr-BE"/>
        </w:rPr>
        <w:t xml:space="preserve"> </w:t>
      </w:r>
      <w:r w:rsidRPr="00C27636">
        <w:rPr>
          <w:rFonts w:ascii="Calibri" w:eastAsia="Calibri" w:hAnsi="Calibri" w:cs="Calibri"/>
          <w:color w:val="262626"/>
          <w:sz w:val="21"/>
          <w:szCs w:val="21"/>
          <w:lang w:val="fr-BE"/>
        </w:rPr>
        <w:t>d’habitants)</w:t>
      </w:r>
    </w:p>
    <w:p w:rsidR="00AC12B4" w:rsidRPr="00C27636" w:rsidRDefault="00AC12B4">
      <w:pPr>
        <w:spacing w:line="167" w:lineRule="exact"/>
        <w:rPr>
          <w:sz w:val="20"/>
          <w:szCs w:val="20"/>
          <w:lang w:val="fr-BE"/>
        </w:rPr>
      </w:pPr>
    </w:p>
    <w:p w:rsidR="00AC12B4" w:rsidRPr="00C27636" w:rsidRDefault="00C27636">
      <w:pPr>
        <w:spacing w:line="218" w:lineRule="auto"/>
        <w:ind w:right="320"/>
        <w:jc w:val="both"/>
        <w:rPr>
          <w:sz w:val="20"/>
          <w:szCs w:val="20"/>
          <w:lang w:val="fr-BE"/>
        </w:rPr>
      </w:pPr>
      <w:r w:rsidRPr="00C27636">
        <w:rPr>
          <w:rFonts w:ascii="Calibri" w:eastAsia="Calibri" w:hAnsi="Calibri" w:cs="Calibri"/>
          <w:sz w:val="21"/>
          <w:szCs w:val="21"/>
          <w:lang w:val="fr-BE"/>
        </w:rPr>
        <w:t>Y a-t-il des moments en hiver où vous n'arrivez pas à chauffer convenablement votre habitation?</w:t>
      </w:r>
    </w:p>
    <w:p w:rsidR="00AC12B4" w:rsidRPr="00C27636" w:rsidRDefault="00AC12B4">
      <w:pPr>
        <w:spacing w:line="165" w:lineRule="exact"/>
        <w:rPr>
          <w:sz w:val="20"/>
          <w:szCs w:val="20"/>
          <w:lang w:val="fr-BE"/>
        </w:rPr>
      </w:pPr>
    </w:p>
    <w:p w:rsidR="00AC12B4" w:rsidRPr="00C27636" w:rsidRDefault="00C27636">
      <w:pPr>
        <w:spacing w:line="225" w:lineRule="auto"/>
        <w:ind w:right="320"/>
        <w:jc w:val="both"/>
        <w:rPr>
          <w:sz w:val="20"/>
          <w:szCs w:val="20"/>
          <w:lang w:val="fr-BE"/>
        </w:rPr>
      </w:pPr>
      <w:r w:rsidRPr="00C27636">
        <w:rPr>
          <w:rFonts w:ascii="Calibri" w:eastAsia="Calibri" w:hAnsi="Calibri" w:cs="Calibri"/>
          <w:sz w:val="21"/>
          <w:szCs w:val="21"/>
          <w:lang w:val="fr-BE"/>
        </w:rPr>
        <w:t xml:space="preserve">Avez-vous un </w:t>
      </w:r>
      <w:r w:rsidRPr="00C27636">
        <w:rPr>
          <w:rFonts w:ascii="Calibri" w:eastAsia="Calibri" w:hAnsi="Calibri" w:cs="Calibri"/>
          <w:sz w:val="21"/>
          <w:szCs w:val="21"/>
          <w:lang w:val="fr-BE"/>
        </w:rPr>
        <w:t>problème d'humidité dans votre habitation? (dégâts des eaux, taches, condensation)</w:t>
      </w:r>
    </w:p>
    <w:p w:rsidR="00AC12B4" w:rsidRPr="00C27636" w:rsidRDefault="00AC12B4">
      <w:pPr>
        <w:spacing w:line="169" w:lineRule="exact"/>
        <w:rPr>
          <w:sz w:val="20"/>
          <w:szCs w:val="20"/>
          <w:lang w:val="fr-BE"/>
        </w:rPr>
      </w:pPr>
    </w:p>
    <w:p w:rsidR="00AC12B4" w:rsidRPr="00C27636" w:rsidRDefault="00C27636">
      <w:pPr>
        <w:spacing w:line="221" w:lineRule="auto"/>
        <w:ind w:right="540" w:firstLine="341"/>
        <w:rPr>
          <w:sz w:val="20"/>
          <w:szCs w:val="20"/>
          <w:lang w:val="fr-BE"/>
        </w:rPr>
      </w:pPr>
      <w:r w:rsidRPr="00C27636">
        <w:rPr>
          <w:rFonts w:ascii="Calibri" w:eastAsia="Calibri" w:hAnsi="Calibri" w:cs="Calibri"/>
          <w:sz w:val="21"/>
          <w:szCs w:val="21"/>
          <w:lang w:val="fr-BE"/>
        </w:rPr>
        <w:t>Avez-vous un problème de moisissures ou de champignons dans votre habitation?</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5" w:lineRule="exact"/>
        <w:rPr>
          <w:sz w:val="20"/>
          <w:szCs w:val="20"/>
          <w:lang w:val="fr-BE"/>
        </w:rPr>
      </w:pPr>
    </w:p>
    <w:p w:rsidR="00AC12B4" w:rsidRPr="00C27636" w:rsidRDefault="00C27636">
      <w:pPr>
        <w:ind w:left="380"/>
        <w:rPr>
          <w:sz w:val="20"/>
          <w:szCs w:val="20"/>
          <w:lang w:val="fr-BE"/>
        </w:rPr>
      </w:pPr>
      <w:r w:rsidRPr="00C27636">
        <w:rPr>
          <w:rFonts w:ascii="Cambria" w:eastAsia="Cambria" w:hAnsi="Cambria" w:cs="Cambria"/>
          <w:b/>
          <w:bCs/>
          <w:i/>
          <w:iCs/>
          <w:color w:val="9BBB59"/>
          <w:lang w:val="fr-BE"/>
        </w:rPr>
        <w:t>Evolution</w:t>
      </w:r>
    </w:p>
    <w:p w:rsidR="00AC12B4" w:rsidRPr="00C27636" w:rsidRDefault="00AC12B4">
      <w:pPr>
        <w:spacing w:line="163" w:lineRule="exact"/>
        <w:rPr>
          <w:sz w:val="20"/>
          <w:szCs w:val="20"/>
          <w:lang w:val="fr-BE"/>
        </w:rPr>
      </w:pPr>
    </w:p>
    <w:p w:rsidR="00AC12B4" w:rsidRPr="00C27636" w:rsidRDefault="00C27636">
      <w:pPr>
        <w:spacing w:line="228" w:lineRule="auto"/>
        <w:ind w:left="380" w:right="460"/>
        <w:jc w:val="both"/>
        <w:rPr>
          <w:sz w:val="20"/>
          <w:szCs w:val="20"/>
          <w:lang w:val="fr-BE"/>
        </w:rPr>
      </w:pPr>
      <w:r w:rsidRPr="00C27636">
        <w:rPr>
          <w:rFonts w:ascii="Calibri" w:eastAsia="Calibri" w:hAnsi="Calibri" w:cs="Calibri"/>
          <w:lang w:val="fr-BE"/>
        </w:rPr>
        <w:t xml:space="preserve">Seule la question du surpeuplement a été traitée lors des précédentes enquêtes. </w:t>
      </w:r>
      <w:r w:rsidRPr="00C27636">
        <w:rPr>
          <w:rFonts w:ascii="Calibri" w:eastAsia="Calibri" w:hAnsi="Calibri" w:cs="Calibri"/>
          <w:lang w:val="fr-BE"/>
        </w:rPr>
        <w:t>L’évolution ne peut donc être analysée qu’à ce niveau.</w:t>
      </w:r>
    </w:p>
    <w:p w:rsidR="00AC12B4" w:rsidRPr="00C27636" w:rsidRDefault="00AC12B4">
      <w:pPr>
        <w:spacing w:line="130" w:lineRule="exact"/>
        <w:rPr>
          <w:sz w:val="20"/>
          <w:szCs w:val="20"/>
          <w:lang w:val="fr-BE"/>
        </w:rPr>
      </w:pPr>
    </w:p>
    <w:p w:rsidR="00AC12B4" w:rsidRPr="00C27636" w:rsidRDefault="00C27636">
      <w:pPr>
        <w:ind w:left="380"/>
        <w:rPr>
          <w:sz w:val="20"/>
          <w:szCs w:val="20"/>
          <w:lang w:val="fr-BE"/>
        </w:rPr>
      </w:pPr>
      <w:r w:rsidRPr="00C27636">
        <w:rPr>
          <w:rFonts w:ascii="Cambria" w:eastAsia="Cambria" w:hAnsi="Cambria" w:cs="Cambria"/>
          <w:b/>
          <w:bCs/>
          <w:i/>
          <w:iCs/>
          <w:color w:val="9BBB59"/>
          <w:lang w:val="fr-BE"/>
        </w:rPr>
        <w:t>Limite de l’indicateur</w:t>
      </w:r>
    </w:p>
    <w:p w:rsidR="00AC12B4" w:rsidRPr="00C27636" w:rsidRDefault="00AC12B4">
      <w:pPr>
        <w:spacing w:line="163" w:lineRule="exact"/>
        <w:rPr>
          <w:sz w:val="20"/>
          <w:szCs w:val="20"/>
          <w:lang w:val="fr-BE"/>
        </w:rPr>
      </w:pPr>
    </w:p>
    <w:p w:rsidR="00AC12B4" w:rsidRPr="00C27636" w:rsidRDefault="00C27636">
      <w:pPr>
        <w:spacing w:line="228" w:lineRule="auto"/>
        <w:ind w:left="380" w:right="460"/>
        <w:jc w:val="both"/>
        <w:rPr>
          <w:sz w:val="20"/>
          <w:szCs w:val="20"/>
          <w:lang w:val="fr-BE"/>
        </w:rPr>
      </w:pPr>
      <w:r w:rsidRPr="00C27636">
        <w:rPr>
          <w:rFonts w:ascii="Calibri" w:eastAsia="Calibri" w:hAnsi="Calibri" w:cs="Calibri"/>
          <w:lang w:val="fr-BE"/>
        </w:rPr>
        <w:t>L’Enquête Nationale de Santé base son échantillon sur le Registre National. Les personnes en séjour illégal ne sont donc pas reprises.</w:t>
      </w:r>
    </w:p>
    <w:p w:rsidR="00AC12B4" w:rsidRPr="00C27636" w:rsidRDefault="00AC12B4">
      <w:pPr>
        <w:spacing w:line="209" w:lineRule="exact"/>
        <w:rPr>
          <w:sz w:val="20"/>
          <w:szCs w:val="20"/>
          <w:lang w:val="fr-BE"/>
        </w:rPr>
      </w:pPr>
    </w:p>
    <w:p w:rsidR="00AC12B4" w:rsidRPr="00C27636" w:rsidRDefault="00C27636">
      <w:pPr>
        <w:ind w:left="380"/>
        <w:rPr>
          <w:sz w:val="20"/>
          <w:szCs w:val="20"/>
          <w:lang w:val="fr-BE"/>
        </w:rPr>
      </w:pPr>
      <w:r w:rsidRPr="00C27636">
        <w:rPr>
          <w:rFonts w:ascii="Cambria" w:eastAsia="Cambria" w:hAnsi="Cambria" w:cs="Cambria"/>
          <w:b/>
          <w:bCs/>
          <w:i/>
          <w:iCs/>
          <w:color w:val="919715"/>
          <w:sz w:val="26"/>
          <w:szCs w:val="26"/>
          <w:lang w:val="fr-BE"/>
        </w:rPr>
        <w:t>Les logements sociaux</w:t>
      </w:r>
    </w:p>
    <w:p w:rsidR="00AC12B4" w:rsidRPr="00C27636" w:rsidRDefault="00AC12B4">
      <w:pPr>
        <w:spacing w:line="210" w:lineRule="exact"/>
        <w:rPr>
          <w:sz w:val="20"/>
          <w:szCs w:val="20"/>
          <w:lang w:val="fr-BE"/>
        </w:rPr>
      </w:pPr>
    </w:p>
    <w:p w:rsidR="00AC12B4" w:rsidRPr="00C27636" w:rsidRDefault="00C27636">
      <w:pPr>
        <w:spacing w:line="218" w:lineRule="auto"/>
        <w:ind w:left="380" w:right="460"/>
        <w:jc w:val="both"/>
        <w:rPr>
          <w:sz w:val="20"/>
          <w:szCs w:val="20"/>
          <w:lang w:val="fr-BE"/>
        </w:rPr>
      </w:pPr>
      <w:r w:rsidRPr="00C27636">
        <w:rPr>
          <w:rFonts w:ascii="Calibri" w:eastAsia="Calibri" w:hAnsi="Calibri" w:cs="Calibri"/>
          <w:lang w:val="fr-BE"/>
        </w:rPr>
        <w:t>En Belgique, chaq</w:t>
      </w:r>
      <w:r w:rsidRPr="00C27636">
        <w:rPr>
          <w:rFonts w:ascii="Calibri" w:eastAsia="Calibri" w:hAnsi="Calibri" w:cs="Calibri"/>
          <w:lang w:val="fr-BE"/>
        </w:rPr>
        <w:t>ue Région gère ses logements sociaux.</w:t>
      </w:r>
    </w:p>
    <w:p w:rsidR="00AC12B4" w:rsidRPr="00C27636" w:rsidRDefault="00AC12B4">
      <w:pPr>
        <w:spacing w:line="170" w:lineRule="exact"/>
        <w:rPr>
          <w:sz w:val="20"/>
          <w:szCs w:val="20"/>
          <w:lang w:val="fr-BE"/>
        </w:rPr>
      </w:pPr>
    </w:p>
    <w:p w:rsidR="00AC12B4" w:rsidRPr="00C27636" w:rsidRDefault="00C27636">
      <w:pPr>
        <w:spacing w:line="228" w:lineRule="auto"/>
        <w:ind w:left="380" w:right="460"/>
        <w:jc w:val="both"/>
        <w:rPr>
          <w:sz w:val="20"/>
          <w:szCs w:val="20"/>
          <w:lang w:val="fr-BE"/>
        </w:rPr>
      </w:pPr>
      <w:r w:rsidRPr="00C27636">
        <w:rPr>
          <w:rFonts w:ascii="Calibri" w:eastAsia="Calibri" w:hAnsi="Calibri" w:cs="Calibri"/>
          <w:lang w:val="fr-BE"/>
        </w:rPr>
        <w:t>Les listes d’attente sont assez conséquentes, particulièrement en Flandre avec, en 2013, plus de 78 000 ménages en attente (36.000 en Wallonie).</w:t>
      </w:r>
    </w:p>
    <w:p w:rsidR="00AC12B4" w:rsidRPr="00C27636" w:rsidRDefault="00AC12B4">
      <w:pPr>
        <w:spacing w:line="172" w:lineRule="exact"/>
        <w:rPr>
          <w:sz w:val="20"/>
          <w:szCs w:val="20"/>
          <w:lang w:val="fr-BE"/>
        </w:rPr>
      </w:pPr>
    </w:p>
    <w:p w:rsidR="00AC12B4" w:rsidRPr="00C27636" w:rsidRDefault="00C27636">
      <w:pPr>
        <w:spacing w:line="234" w:lineRule="auto"/>
        <w:ind w:left="380" w:right="460"/>
        <w:jc w:val="both"/>
        <w:rPr>
          <w:sz w:val="20"/>
          <w:szCs w:val="20"/>
          <w:lang w:val="fr-BE"/>
        </w:rPr>
      </w:pPr>
      <w:r w:rsidRPr="00C27636">
        <w:rPr>
          <w:rFonts w:ascii="Calibri" w:eastAsia="Calibri" w:hAnsi="Calibri" w:cs="Calibri"/>
          <w:lang w:val="fr-BE"/>
        </w:rPr>
        <w:t>Note quant à l’interprétation de ces chiffres: ils ne permettent pas de</w:t>
      </w:r>
      <w:r w:rsidRPr="00C27636">
        <w:rPr>
          <w:rFonts w:ascii="Calibri" w:eastAsia="Calibri" w:hAnsi="Calibri" w:cs="Calibri"/>
          <w:lang w:val="fr-BE"/>
        </w:rPr>
        <w:t xml:space="preserve"> conclure si les longues listes d'attente en Flandre suggèrent un besoin non satisfait plus élevé, ou une meilleure information aux citoyens sur l'offre existante de logements sociaux.</w:t>
      </w:r>
    </w:p>
    <w:p w:rsidR="00AC12B4" w:rsidRPr="00C27636" w:rsidRDefault="00AC12B4">
      <w:pPr>
        <w:spacing w:line="47" w:lineRule="exact"/>
        <w:rPr>
          <w:sz w:val="20"/>
          <w:szCs w:val="20"/>
          <w:lang w:val="fr-BE"/>
        </w:rPr>
      </w:pPr>
    </w:p>
    <w:p w:rsidR="00AC12B4" w:rsidRPr="00C27636" w:rsidRDefault="00C27636">
      <w:pPr>
        <w:spacing w:line="219" w:lineRule="auto"/>
        <w:ind w:left="380" w:right="460"/>
        <w:jc w:val="both"/>
        <w:rPr>
          <w:sz w:val="20"/>
          <w:szCs w:val="20"/>
          <w:lang w:val="fr-BE"/>
        </w:rPr>
      </w:pPr>
      <w:r w:rsidRPr="00C27636">
        <w:rPr>
          <w:rFonts w:ascii="Calibri" w:eastAsia="Calibri" w:hAnsi="Calibri" w:cs="Calibri"/>
          <w:lang w:val="fr-BE"/>
        </w:rPr>
        <w:t>L’offre de logement est en légère augmentation dans les 3 régions (Cf.</w:t>
      </w:r>
      <w:r w:rsidRPr="00C27636">
        <w:rPr>
          <w:rFonts w:ascii="Calibri" w:eastAsia="Calibri" w:hAnsi="Calibri" w:cs="Calibri"/>
          <w:lang w:val="fr-BE"/>
        </w:rPr>
        <w:t xml:space="preserve"> tableau)</w:t>
      </w:r>
      <w:r w:rsidRPr="00C27636">
        <w:rPr>
          <w:rFonts w:ascii="Calibri" w:eastAsia="Calibri" w:hAnsi="Calibri" w:cs="Calibri"/>
          <w:sz w:val="27"/>
          <w:szCs w:val="27"/>
          <w:vertAlign w:val="superscript"/>
          <w:lang w:val="fr-BE"/>
        </w:rPr>
        <w:t>1</w:t>
      </w:r>
    </w:p>
    <w:p w:rsidR="00AC12B4" w:rsidRPr="00C27636" w:rsidRDefault="00AC12B4">
      <w:pPr>
        <w:spacing w:line="200" w:lineRule="exact"/>
        <w:rPr>
          <w:sz w:val="20"/>
          <w:szCs w:val="20"/>
          <w:lang w:val="fr-BE"/>
        </w:rPr>
      </w:pPr>
    </w:p>
    <w:p w:rsidR="00AC12B4" w:rsidRPr="00C27636" w:rsidRDefault="00AC12B4">
      <w:pPr>
        <w:spacing w:line="334" w:lineRule="exact"/>
        <w:rPr>
          <w:sz w:val="20"/>
          <w:szCs w:val="20"/>
          <w:lang w:val="fr-BE"/>
        </w:rPr>
      </w:pPr>
    </w:p>
    <w:p w:rsidR="00AC12B4" w:rsidRPr="00C27636" w:rsidRDefault="00C27636">
      <w:pPr>
        <w:ind w:left="380"/>
        <w:rPr>
          <w:sz w:val="20"/>
          <w:szCs w:val="20"/>
          <w:lang w:val="fr-BE"/>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Sources : Société Wallonne du logement,</w:t>
      </w:r>
    </w:p>
    <w:p w:rsidR="00AC12B4" w:rsidRPr="00C27636" w:rsidRDefault="00C27636">
      <w:pPr>
        <w:tabs>
          <w:tab w:val="left" w:pos="1520"/>
          <w:tab w:val="left" w:pos="2760"/>
          <w:tab w:val="left" w:pos="3720"/>
        </w:tabs>
        <w:spacing w:line="212" w:lineRule="auto"/>
        <w:ind w:left="380"/>
        <w:rPr>
          <w:sz w:val="20"/>
          <w:szCs w:val="20"/>
          <w:lang w:val="fr-BE"/>
        </w:rPr>
      </w:pPr>
      <w:r w:rsidRPr="00C27636">
        <w:rPr>
          <w:rFonts w:ascii="Calibri" w:eastAsia="Calibri" w:hAnsi="Calibri" w:cs="Calibri"/>
          <w:sz w:val="20"/>
          <w:szCs w:val="20"/>
          <w:lang w:val="fr-BE"/>
        </w:rPr>
        <w:t>Rapport</w:t>
      </w:r>
      <w:r w:rsidRPr="00C27636">
        <w:rPr>
          <w:sz w:val="20"/>
          <w:szCs w:val="20"/>
          <w:lang w:val="fr-BE"/>
        </w:rPr>
        <w:tab/>
      </w:r>
      <w:r w:rsidRPr="00C27636">
        <w:rPr>
          <w:rFonts w:ascii="Calibri" w:eastAsia="Calibri" w:hAnsi="Calibri" w:cs="Calibri"/>
          <w:sz w:val="20"/>
          <w:szCs w:val="20"/>
          <w:lang w:val="fr-BE"/>
        </w:rPr>
        <w:t>d’activité</w:t>
      </w:r>
      <w:r w:rsidRPr="00C27636">
        <w:rPr>
          <w:sz w:val="20"/>
          <w:szCs w:val="20"/>
          <w:lang w:val="fr-BE"/>
        </w:rPr>
        <w:tab/>
      </w:r>
      <w:r w:rsidRPr="00C27636">
        <w:rPr>
          <w:rFonts w:ascii="Calibri" w:eastAsia="Calibri" w:hAnsi="Calibri" w:cs="Calibri"/>
          <w:sz w:val="20"/>
          <w:szCs w:val="20"/>
          <w:lang w:val="fr-BE"/>
        </w:rPr>
        <w:t>2013,</w:t>
      </w:r>
      <w:r w:rsidRPr="00C27636">
        <w:rPr>
          <w:sz w:val="20"/>
          <w:szCs w:val="20"/>
          <w:lang w:val="fr-BE"/>
        </w:rPr>
        <w:tab/>
      </w:r>
      <w:r w:rsidRPr="00C27636">
        <w:rPr>
          <w:rFonts w:ascii="Calibri" w:eastAsia="Calibri" w:hAnsi="Calibri" w:cs="Calibri"/>
          <w:sz w:val="20"/>
          <w:szCs w:val="20"/>
          <w:lang w:val="fr-BE"/>
        </w:rPr>
        <w:t>76-77,</w:t>
      </w:r>
    </w:p>
    <w:p w:rsidR="00AC12B4" w:rsidRPr="00C27636" w:rsidRDefault="00AC12B4">
      <w:pPr>
        <w:spacing w:line="122"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96</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Nous ne disposons, actuellement, malheureusement pas de données centrées sur les enfants.</w:t>
      </w:r>
    </w:p>
    <w:p w:rsidR="00AC12B4" w:rsidRPr="00C27636" w:rsidRDefault="00AC12B4">
      <w:pPr>
        <w:spacing w:line="171" w:lineRule="exact"/>
        <w:rPr>
          <w:sz w:val="20"/>
          <w:szCs w:val="20"/>
          <w:lang w:val="fr-BE"/>
        </w:rPr>
      </w:pPr>
    </w:p>
    <w:p w:rsidR="00AC12B4" w:rsidRPr="00C27636" w:rsidRDefault="00C27636">
      <w:pPr>
        <w:spacing w:line="217" w:lineRule="auto"/>
        <w:ind w:right="737"/>
        <w:jc w:val="both"/>
        <w:rPr>
          <w:sz w:val="20"/>
          <w:szCs w:val="20"/>
          <w:lang w:val="fr-BE"/>
        </w:rPr>
      </w:pPr>
      <w:r w:rsidRPr="00C27636">
        <w:rPr>
          <w:rFonts w:ascii="Calibri" w:eastAsia="Calibri" w:hAnsi="Calibri" w:cs="Calibri"/>
          <w:b/>
          <w:bCs/>
          <w:lang w:val="fr-BE"/>
        </w:rPr>
        <w:t>Note: Catégorie de demandeurs prioritaires</w:t>
      </w:r>
    </w:p>
    <w:p w:rsidR="00AC12B4" w:rsidRPr="00C27636" w:rsidRDefault="00AC12B4">
      <w:pPr>
        <w:spacing w:line="170" w:lineRule="exact"/>
        <w:rPr>
          <w:sz w:val="20"/>
          <w:szCs w:val="20"/>
          <w:lang w:val="fr-BE"/>
        </w:rPr>
      </w:pPr>
    </w:p>
    <w:p w:rsidR="00AC12B4" w:rsidRPr="00C27636" w:rsidRDefault="00C27636">
      <w:pPr>
        <w:spacing w:line="233" w:lineRule="auto"/>
        <w:ind w:right="737"/>
        <w:jc w:val="both"/>
        <w:rPr>
          <w:sz w:val="20"/>
          <w:szCs w:val="20"/>
          <w:lang w:val="fr-BE"/>
        </w:rPr>
      </w:pPr>
      <w:r w:rsidRPr="00C27636">
        <w:rPr>
          <w:rFonts w:ascii="Calibri" w:eastAsia="Calibri" w:hAnsi="Calibri" w:cs="Calibri"/>
          <w:lang w:val="fr-BE"/>
        </w:rPr>
        <w:t xml:space="preserve">Pour les </w:t>
      </w:r>
      <w:r w:rsidRPr="00C27636">
        <w:rPr>
          <w:rFonts w:ascii="Calibri" w:eastAsia="Calibri" w:hAnsi="Calibri" w:cs="Calibri"/>
          <w:lang w:val="fr-BE"/>
        </w:rPr>
        <w:t>candidats-locataires sur liste d’attente, la Région flamande n’a pas prévu de priorité aux familles avec enfant. Des ‘circonstances de nature sociale exceptionnelle’ peuvent donner lieu à une attribution anticipée, mais ceci reste très exceptionnel.</w:t>
      </w:r>
    </w:p>
    <w:p w:rsidR="00AC12B4" w:rsidRPr="00C27636" w:rsidRDefault="00AC12B4">
      <w:pPr>
        <w:spacing w:line="177" w:lineRule="exact"/>
        <w:rPr>
          <w:sz w:val="20"/>
          <w:szCs w:val="20"/>
          <w:lang w:val="fr-BE"/>
        </w:rPr>
      </w:pPr>
    </w:p>
    <w:p w:rsidR="00AC12B4" w:rsidRPr="00C27636" w:rsidRDefault="00C27636">
      <w:pPr>
        <w:spacing w:line="226" w:lineRule="auto"/>
        <w:ind w:right="737"/>
        <w:jc w:val="both"/>
        <w:rPr>
          <w:sz w:val="20"/>
          <w:szCs w:val="20"/>
          <w:lang w:val="fr-BE"/>
        </w:rPr>
      </w:pPr>
      <w:r w:rsidRPr="00C27636">
        <w:rPr>
          <w:rFonts w:ascii="Calibri" w:eastAsia="Calibri" w:hAnsi="Calibri" w:cs="Calibri"/>
          <w:lang w:val="fr-BE"/>
        </w:rPr>
        <w:t>A Bru</w:t>
      </w:r>
      <w:r w:rsidRPr="00C27636">
        <w:rPr>
          <w:rFonts w:ascii="Calibri" w:eastAsia="Calibri" w:hAnsi="Calibri" w:cs="Calibri"/>
          <w:lang w:val="fr-BE"/>
        </w:rPr>
        <w:t>xelles, les familles monoparentales, les jeunes familles avec deux enfants à charge, la personne qui quitte un logement dont les caractéristiques mettent en péril le maintien de la cellule familiale sont reprises dans une liste de priorité</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mais ne sont p</w:t>
      </w:r>
      <w:r w:rsidRPr="00C27636">
        <w:rPr>
          <w:rFonts w:ascii="Calibri" w:eastAsia="Calibri" w:hAnsi="Calibri" w:cs="Calibri"/>
          <w:lang w:val="fr-BE"/>
        </w:rPr>
        <w:t>as les seules catégories prioritaires.</w:t>
      </w:r>
    </w:p>
    <w:p w:rsidR="00AC12B4" w:rsidRPr="00C27636" w:rsidRDefault="00AC12B4">
      <w:pPr>
        <w:spacing w:line="171"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 xml:space="preserve">En Région Wallonne, le fait d’avoir des enfants ne donne pas priorité dans l’obtention d’un logement social. Par contre, les mineurs mis en autonomie et les personnes porteuses de handicap ont des « points de </w:t>
      </w:r>
      <w:r w:rsidRPr="00C27636">
        <w:rPr>
          <w:rFonts w:ascii="Calibri" w:eastAsia="Calibri" w:hAnsi="Calibri" w:cs="Calibri"/>
          <w:lang w:val="fr-BE"/>
        </w:rPr>
        <w:t>priorité »</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77856" behindDoc="1" locked="0" layoutInCell="0" allowOverlap="1">
                <wp:simplePos x="0" y="0"/>
                <wp:positionH relativeFrom="column">
                  <wp:posOffset>3175</wp:posOffset>
                </wp:positionH>
                <wp:positionV relativeFrom="paragraph">
                  <wp:posOffset>1193165</wp:posOffset>
                </wp:positionV>
                <wp:extent cx="2461260" cy="0"/>
                <wp:effectExtent l="0" t="0" r="0" b="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612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3.95pt" to="194.05pt,93.9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0"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sz w:val="20"/>
          <w:szCs w:val="20"/>
          <w:lang w:val="fr-BE"/>
        </w:rPr>
        <w:t>http://www.swl.be/images/swl/RA_comptes/r a2014.pdf ; Région flamande : Vlaamse Maatschappij voor Sociaal Wonen (VMSW) + les 90 Sociétés de logement social (SHM); la Société du logement de la Région de Bruxelles-capitale (SLRB).</w:t>
      </w:r>
    </w:p>
    <w:p w:rsidR="00AC12B4" w:rsidRPr="00C27636" w:rsidRDefault="00AC12B4">
      <w:pPr>
        <w:spacing w:line="171"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sz w:val="20"/>
          <w:szCs w:val="20"/>
          <w:lang w:val="fr-BE"/>
        </w:rPr>
        <w:t>A</w:t>
      </w:r>
      <w:r w:rsidRPr="00C27636">
        <w:rPr>
          <w:rFonts w:ascii="Calibri" w:eastAsia="Calibri" w:hAnsi="Calibri" w:cs="Calibri"/>
          <w:sz w:val="20"/>
          <w:szCs w:val="20"/>
          <w:lang w:val="fr-BE"/>
        </w:rPr>
        <w:t>ttention pour la lecture du tableau : contrairement à ceux de Bruxelles et à la Région flamande, les chiffres de la Région wallonne concernent le nombre de ménages et non pas le nombre total de personnes concernées.</w:t>
      </w:r>
    </w:p>
    <w:p w:rsidR="00AC12B4" w:rsidRPr="00C27636" w:rsidRDefault="00AC12B4">
      <w:pPr>
        <w:spacing w:line="168" w:lineRule="exact"/>
        <w:rPr>
          <w:sz w:val="20"/>
          <w:szCs w:val="20"/>
          <w:lang w:val="fr-BE"/>
        </w:rPr>
      </w:pPr>
    </w:p>
    <w:p w:rsidR="00AC12B4" w:rsidRPr="00C27636" w:rsidRDefault="00C27636">
      <w:pPr>
        <w:numPr>
          <w:ilvl w:val="0"/>
          <w:numId w:val="148"/>
        </w:numPr>
        <w:tabs>
          <w:tab w:val="left" w:pos="134"/>
        </w:tabs>
        <w:spacing w:line="189" w:lineRule="auto"/>
        <w:ind w:right="737" w:firstLine="5"/>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Art. 9 arrêté du Gouvernement de la Rég</w:t>
      </w:r>
      <w:r w:rsidRPr="00C27636">
        <w:rPr>
          <w:rFonts w:ascii="Calibri" w:eastAsia="Calibri" w:hAnsi="Calibri" w:cs="Calibri"/>
          <w:sz w:val="20"/>
          <w:szCs w:val="20"/>
          <w:lang w:val="fr-BE"/>
        </w:rPr>
        <w:t>ion de Bruxelles-Capitale du 26 septembre 1996.</w:t>
      </w:r>
    </w:p>
    <w:p w:rsidR="00AC12B4" w:rsidRPr="00C27636" w:rsidRDefault="00AC12B4">
      <w:pPr>
        <w:spacing w:line="87"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13"/>
          <w:szCs w:val="13"/>
          <w:lang w:val="fr-BE"/>
        </w:rPr>
        <w:t>3</w:t>
      </w:r>
    </w:p>
    <w:p w:rsidR="00AC12B4" w:rsidRPr="00C27636" w:rsidRDefault="00AC12B4">
      <w:pPr>
        <w:spacing w:line="164" w:lineRule="exact"/>
        <w:rPr>
          <w:sz w:val="20"/>
          <w:szCs w:val="20"/>
          <w:lang w:val="fr-BE"/>
        </w:rPr>
      </w:pPr>
    </w:p>
    <w:p w:rsidR="00AC12B4" w:rsidRPr="00C27636" w:rsidRDefault="00C27636">
      <w:pPr>
        <w:spacing w:line="217" w:lineRule="auto"/>
        <w:ind w:right="737"/>
        <w:rPr>
          <w:rFonts w:ascii="Calibri" w:eastAsia="Calibri" w:hAnsi="Calibri" w:cs="Calibri"/>
          <w:color w:val="0000FF"/>
          <w:sz w:val="20"/>
          <w:szCs w:val="20"/>
          <w:u w:val="single"/>
          <w:lang w:val="fr-BE"/>
        </w:rPr>
      </w:pPr>
      <w:hyperlink r:id="rId159">
        <w:r w:rsidRPr="00C27636">
          <w:rPr>
            <w:rFonts w:ascii="Calibri" w:eastAsia="Calibri" w:hAnsi="Calibri" w:cs="Calibri"/>
            <w:color w:val="0000FF"/>
            <w:sz w:val="20"/>
            <w:szCs w:val="20"/>
            <w:u w:val="single"/>
            <w:lang w:val="fr-BE"/>
          </w:rPr>
          <w:t>http://www.swl.be/images/swl/brochures/guid</w:t>
        </w:r>
      </w:hyperlink>
      <w:r w:rsidRPr="00C27636">
        <w:rPr>
          <w:rFonts w:ascii="Calibri" w:eastAsia="Calibri" w:hAnsi="Calibri" w:cs="Calibri"/>
          <w:color w:val="0000FF"/>
          <w:sz w:val="20"/>
          <w:szCs w:val="20"/>
          <w:u w:val="single"/>
          <w:lang w:val="fr-BE"/>
        </w:rPr>
        <w:t xml:space="preserve"> </w:t>
      </w:r>
      <w:hyperlink r:id="rId160">
        <w:r w:rsidRPr="00C27636">
          <w:rPr>
            <w:rFonts w:ascii="Calibri" w:eastAsia="Calibri" w:hAnsi="Calibri" w:cs="Calibri"/>
            <w:color w:val="0000FF"/>
            <w:sz w:val="20"/>
            <w:szCs w:val="20"/>
            <w:u w:val="single"/>
            <w:lang w:val="fr-BE"/>
          </w:rPr>
          <w:t>e-location-logement-okbr-web.pdf</w:t>
        </w:r>
      </w:hyperlink>
    </w:p>
    <w:p w:rsidR="00AC12B4" w:rsidRPr="00C27636" w:rsidRDefault="00AC12B4">
      <w:pPr>
        <w:rPr>
          <w:lang w:val="fr-BE"/>
        </w:rPr>
        <w:sectPr w:rsidR="00AC12B4" w:rsidRPr="00C27636">
          <w:pgSz w:w="12080" w:h="17179"/>
          <w:pgMar w:top="1440" w:right="1440" w:bottom="659" w:left="485" w:header="0" w:footer="0" w:gutter="0"/>
          <w:cols w:num="3" w:space="720" w:equalWidth="0">
            <w:col w:w="342" w:space="233"/>
            <w:col w:w="4720" w:space="240"/>
            <w:col w:w="4617"/>
          </w:cols>
        </w:sectPr>
      </w:pPr>
    </w:p>
    <w:p w:rsidR="00AC12B4" w:rsidRPr="00C27636" w:rsidRDefault="00C27636">
      <w:pPr>
        <w:spacing w:line="200" w:lineRule="exact"/>
        <w:rPr>
          <w:sz w:val="20"/>
          <w:szCs w:val="20"/>
          <w:lang w:val="fr-BE"/>
        </w:rPr>
      </w:pPr>
      <w:bookmarkStart w:id="96" w:name="page97"/>
      <w:bookmarkEnd w:id="96"/>
      <w:r>
        <w:rPr>
          <w:noProof/>
          <w:sz w:val="20"/>
          <w:szCs w:val="20"/>
        </w:rPr>
        <w:lastRenderedPageBreak/>
        <w:drawing>
          <wp:anchor distT="0" distB="0" distL="114300" distR="114300" simplePos="0" relativeHeight="251578880" behindDoc="1" locked="0" layoutInCell="0" allowOverlap="1">
            <wp:simplePos x="0" y="0"/>
            <wp:positionH relativeFrom="page">
              <wp:posOffset>6868795</wp:posOffset>
            </wp:positionH>
            <wp:positionV relativeFrom="page">
              <wp:posOffset>0</wp:posOffset>
            </wp:positionV>
            <wp:extent cx="800100" cy="10908665"/>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76">
                      <a:clrChange>
                        <a:clrFrom>
                          <a:srgbClr val="FFFFFF"/>
                        </a:clrFrom>
                        <a:clrTo>
                          <a:srgbClr val="FFFFFF">
                            <a:alpha val="0"/>
                          </a:srgbClr>
                        </a:clrTo>
                      </a:clrChange>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spacing w:line="325" w:lineRule="exact"/>
        <w:rPr>
          <w:sz w:val="20"/>
          <w:szCs w:val="20"/>
          <w:lang w:val="fr-BE"/>
        </w:rPr>
      </w:pPr>
    </w:p>
    <w:tbl>
      <w:tblPr>
        <w:tblW w:w="0" w:type="auto"/>
        <w:tblInd w:w="470" w:type="dxa"/>
        <w:tblLayout w:type="fixed"/>
        <w:tblCellMar>
          <w:left w:w="0" w:type="dxa"/>
          <w:right w:w="0" w:type="dxa"/>
        </w:tblCellMar>
        <w:tblLook w:val="04A0" w:firstRow="1" w:lastRow="0" w:firstColumn="1" w:lastColumn="0" w:noHBand="0" w:noVBand="1"/>
      </w:tblPr>
      <w:tblGrid>
        <w:gridCol w:w="2720"/>
        <w:gridCol w:w="580"/>
        <w:gridCol w:w="540"/>
        <w:gridCol w:w="980"/>
        <w:gridCol w:w="440"/>
        <w:gridCol w:w="600"/>
        <w:gridCol w:w="600"/>
        <w:gridCol w:w="980"/>
        <w:gridCol w:w="580"/>
        <w:gridCol w:w="760"/>
        <w:gridCol w:w="30"/>
      </w:tblGrid>
      <w:tr w:rsidR="00AC12B4">
        <w:trPr>
          <w:trHeight w:val="247"/>
        </w:trPr>
        <w:tc>
          <w:tcPr>
            <w:tcW w:w="2720" w:type="dxa"/>
            <w:tcBorders>
              <w:top w:val="single" w:sz="8" w:space="0" w:color="auto"/>
              <w:left w:val="single" w:sz="8" w:space="0" w:color="auto"/>
              <w:right w:val="single" w:sz="8" w:space="0" w:color="auto"/>
            </w:tcBorders>
            <w:vAlign w:val="bottom"/>
          </w:tcPr>
          <w:p w:rsidR="00AC12B4" w:rsidRPr="00C27636" w:rsidRDefault="00AC12B4">
            <w:pPr>
              <w:rPr>
                <w:sz w:val="21"/>
                <w:szCs w:val="21"/>
                <w:lang w:val="fr-BE"/>
              </w:rPr>
            </w:pPr>
          </w:p>
        </w:tc>
        <w:tc>
          <w:tcPr>
            <w:tcW w:w="1120" w:type="dxa"/>
            <w:gridSpan w:val="2"/>
            <w:tcBorders>
              <w:top w:val="single" w:sz="8" w:space="0" w:color="auto"/>
            </w:tcBorders>
            <w:vAlign w:val="bottom"/>
          </w:tcPr>
          <w:p w:rsidR="00AC12B4" w:rsidRDefault="00C27636">
            <w:pPr>
              <w:ind w:left="100"/>
              <w:rPr>
                <w:sz w:val="20"/>
                <w:szCs w:val="20"/>
              </w:rPr>
            </w:pPr>
            <w:r>
              <w:rPr>
                <w:rFonts w:ascii="Calibri" w:eastAsia="Calibri" w:hAnsi="Calibri" w:cs="Calibri"/>
                <w:b/>
                <w:bCs/>
                <w:sz w:val="20"/>
                <w:szCs w:val="20"/>
              </w:rPr>
              <w:t>Candidats</w:t>
            </w:r>
          </w:p>
        </w:tc>
        <w:tc>
          <w:tcPr>
            <w:tcW w:w="980" w:type="dxa"/>
            <w:tcBorders>
              <w:top w:val="single" w:sz="8" w:space="0" w:color="auto"/>
            </w:tcBorders>
            <w:vAlign w:val="bottom"/>
          </w:tcPr>
          <w:p w:rsidR="00AC12B4" w:rsidRDefault="00C27636">
            <w:pPr>
              <w:ind w:right="40"/>
              <w:jc w:val="right"/>
              <w:rPr>
                <w:sz w:val="20"/>
                <w:szCs w:val="20"/>
              </w:rPr>
            </w:pPr>
            <w:r>
              <w:rPr>
                <w:rFonts w:ascii="Calibri" w:eastAsia="Calibri" w:hAnsi="Calibri" w:cs="Calibri"/>
                <w:b/>
                <w:bCs/>
                <w:sz w:val="20"/>
                <w:szCs w:val="20"/>
              </w:rPr>
              <w:t>locataires</w:t>
            </w:r>
          </w:p>
        </w:tc>
        <w:tc>
          <w:tcPr>
            <w:tcW w:w="440" w:type="dxa"/>
            <w:tcBorders>
              <w:top w:val="single" w:sz="8" w:space="0" w:color="auto"/>
            </w:tcBorders>
            <w:vAlign w:val="bottom"/>
          </w:tcPr>
          <w:p w:rsidR="00AC12B4" w:rsidRDefault="00C27636">
            <w:pPr>
              <w:ind w:left="80"/>
              <w:rPr>
                <w:sz w:val="20"/>
                <w:szCs w:val="20"/>
              </w:rPr>
            </w:pPr>
            <w:r>
              <w:rPr>
                <w:rFonts w:ascii="Calibri" w:eastAsia="Calibri" w:hAnsi="Calibri" w:cs="Calibri"/>
                <w:b/>
                <w:bCs/>
                <w:sz w:val="20"/>
                <w:szCs w:val="20"/>
              </w:rPr>
              <w:t>sur</w:t>
            </w:r>
          </w:p>
        </w:tc>
        <w:tc>
          <w:tcPr>
            <w:tcW w:w="600" w:type="dxa"/>
            <w:tcBorders>
              <w:top w:val="single" w:sz="8" w:space="0" w:color="auto"/>
              <w:right w:val="single" w:sz="8" w:space="0" w:color="auto"/>
            </w:tcBorders>
            <w:vAlign w:val="bottom"/>
          </w:tcPr>
          <w:p w:rsidR="00AC12B4" w:rsidRDefault="00C27636">
            <w:pPr>
              <w:ind w:right="40"/>
              <w:jc w:val="right"/>
              <w:rPr>
                <w:sz w:val="20"/>
                <w:szCs w:val="20"/>
              </w:rPr>
            </w:pPr>
            <w:r>
              <w:rPr>
                <w:rFonts w:ascii="Calibri" w:eastAsia="Calibri" w:hAnsi="Calibri" w:cs="Calibri"/>
                <w:b/>
                <w:bCs/>
                <w:sz w:val="20"/>
                <w:szCs w:val="20"/>
              </w:rPr>
              <w:t>liste</w:t>
            </w:r>
          </w:p>
        </w:tc>
        <w:tc>
          <w:tcPr>
            <w:tcW w:w="2160" w:type="dxa"/>
            <w:gridSpan w:val="3"/>
            <w:tcBorders>
              <w:top w:val="single" w:sz="8" w:space="0" w:color="auto"/>
            </w:tcBorders>
            <w:vAlign w:val="bottom"/>
          </w:tcPr>
          <w:p w:rsidR="00AC12B4" w:rsidRDefault="00C27636">
            <w:pPr>
              <w:ind w:left="80"/>
              <w:rPr>
                <w:sz w:val="20"/>
                <w:szCs w:val="20"/>
              </w:rPr>
            </w:pPr>
            <w:r>
              <w:rPr>
                <w:rFonts w:ascii="Calibri" w:eastAsia="Calibri" w:hAnsi="Calibri" w:cs="Calibri"/>
                <w:b/>
                <w:bCs/>
                <w:sz w:val="20"/>
                <w:szCs w:val="20"/>
              </w:rPr>
              <w:t>Offre de logements</w:t>
            </w:r>
          </w:p>
        </w:tc>
        <w:tc>
          <w:tcPr>
            <w:tcW w:w="760" w:type="dxa"/>
            <w:tcBorders>
              <w:top w:val="single" w:sz="8" w:space="0" w:color="auto"/>
              <w:right w:val="single" w:sz="8" w:space="0" w:color="auto"/>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45"/>
        </w:trPr>
        <w:tc>
          <w:tcPr>
            <w:tcW w:w="2720" w:type="dxa"/>
            <w:tcBorders>
              <w:left w:val="single" w:sz="8" w:space="0" w:color="auto"/>
              <w:right w:val="single" w:sz="8" w:space="0" w:color="auto"/>
            </w:tcBorders>
            <w:vAlign w:val="bottom"/>
          </w:tcPr>
          <w:p w:rsidR="00AC12B4" w:rsidRDefault="00AC12B4">
            <w:pPr>
              <w:rPr>
                <w:sz w:val="21"/>
                <w:szCs w:val="21"/>
              </w:rPr>
            </w:pPr>
          </w:p>
        </w:tc>
        <w:tc>
          <w:tcPr>
            <w:tcW w:w="1120" w:type="dxa"/>
            <w:gridSpan w:val="2"/>
            <w:vAlign w:val="bottom"/>
          </w:tcPr>
          <w:p w:rsidR="00AC12B4" w:rsidRDefault="00C27636">
            <w:pPr>
              <w:ind w:left="100"/>
              <w:rPr>
                <w:sz w:val="20"/>
                <w:szCs w:val="20"/>
              </w:rPr>
            </w:pPr>
            <w:r>
              <w:rPr>
                <w:rFonts w:ascii="Calibri" w:eastAsia="Calibri" w:hAnsi="Calibri" w:cs="Calibri"/>
                <w:b/>
                <w:bCs/>
                <w:sz w:val="20"/>
                <w:szCs w:val="20"/>
              </w:rPr>
              <w:t>d’attente</w:t>
            </w:r>
          </w:p>
        </w:tc>
        <w:tc>
          <w:tcPr>
            <w:tcW w:w="980" w:type="dxa"/>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600" w:type="dxa"/>
            <w:tcBorders>
              <w:right w:val="single" w:sz="8" w:space="0" w:color="auto"/>
            </w:tcBorders>
            <w:vAlign w:val="bottom"/>
          </w:tcPr>
          <w:p w:rsidR="00AC12B4" w:rsidRDefault="00AC12B4">
            <w:pPr>
              <w:rPr>
                <w:sz w:val="21"/>
                <w:szCs w:val="21"/>
              </w:rPr>
            </w:pPr>
          </w:p>
        </w:tc>
        <w:tc>
          <w:tcPr>
            <w:tcW w:w="600" w:type="dxa"/>
            <w:vAlign w:val="bottom"/>
          </w:tcPr>
          <w:p w:rsidR="00AC12B4" w:rsidRDefault="00AC12B4">
            <w:pPr>
              <w:rPr>
                <w:sz w:val="21"/>
                <w:szCs w:val="21"/>
              </w:rPr>
            </w:pPr>
          </w:p>
        </w:tc>
        <w:tc>
          <w:tcPr>
            <w:tcW w:w="980" w:type="dxa"/>
            <w:vAlign w:val="bottom"/>
          </w:tcPr>
          <w:p w:rsidR="00AC12B4" w:rsidRDefault="00AC12B4">
            <w:pPr>
              <w:rPr>
                <w:sz w:val="21"/>
                <w:szCs w:val="21"/>
              </w:rPr>
            </w:pPr>
          </w:p>
        </w:tc>
        <w:tc>
          <w:tcPr>
            <w:tcW w:w="580" w:type="dxa"/>
            <w:vAlign w:val="bottom"/>
          </w:tcPr>
          <w:p w:rsidR="00AC12B4" w:rsidRDefault="00AC12B4">
            <w:pPr>
              <w:rPr>
                <w:sz w:val="21"/>
                <w:szCs w:val="21"/>
              </w:rPr>
            </w:pPr>
          </w:p>
        </w:tc>
        <w:tc>
          <w:tcPr>
            <w:tcW w:w="760" w:type="dxa"/>
            <w:tcBorders>
              <w:right w:val="single" w:sz="8" w:space="0" w:color="auto"/>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27"/>
        </w:trPr>
        <w:tc>
          <w:tcPr>
            <w:tcW w:w="2720" w:type="dxa"/>
            <w:tcBorders>
              <w:left w:val="single" w:sz="8" w:space="0" w:color="auto"/>
              <w:bottom w:val="single" w:sz="8" w:space="0" w:color="auto"/>
              <w:right w:val="single" w:sz="8" w:space="0" w:color="auto"/>
            </w:tcBorders>
            <w:vAlign w:val="bottom"/>
          </w:tcPr>
          <w:p w:rsidR="00AC12B4" w:rsidRDefault="00AC12B4">
            <w:pPr>
              <w:rPr>
                <w:sz w:val="11"/>
                <w:szCs w:val="11"/>
              </w:rPr>
            </w:pPr>
          </w:p>
        </w:tc>
        <w:tc>
          <w:tcPr>
            <w:tcW w:w="3140" w:type="dxa"/>
            <w:gridSpan w:val="5"/>
            <w:tcBorders>
              <w:bottom w:val="single" w:sz="8" w:space="0" w:color="auto"/>
              <w:right w:val="single" w:sz="8" w:space="0" w:color="auto"/>
            </w:tcBorders>
            <w:vAlign w:val="bottom"/>
          </w:tcPr>
          <w:p w:rsidR="00AC12B4" w:rsidRDefault="00AC12B4">
            <w:pPr>
              <w:rPr>
                <w:sz w:val="11"/>
                <w:szCs w:val="11"/>
              </w:rPr>
            </w:pPr>
          </w:p>
        </w:tc>
        <w:tc>
          <w:tcPr>
            <w:tcW w:w="2920" w:type="dxa"/>
            <w:gridSpan w:val="4"/>
            <w:tcBorders>
              <w:bottom w:val="single" w:sz="8" w:space="0" w:color="auto"/>
              <w:right w:val="single" w:sz="8" w:space="0" w:color="auto"/>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27"/>
        </w:trPr>
        <w:tc>
          <w:tcPr>
            <w:tcW w:w="2720" w:type="dxa"/>
            <w:tcBorders>
              <w:left w:val="single" w:sz="8" w:space="0" w:color="auto"/>
              <w:right w:val="single" w:sz="8" w:space="0" w:color="auto"/>
            </w:tcBorders>
            <w:vAlign w:val="bottom"/>
          </w:tcPr>
          <w:p w:rsidR="00AC12B4" w:rsidRDefault="00C27636">
            <w:pPr>
              <w:spacing w:line="227" w:lineRule="exact"/>
              <w:ind w:left="100"/>
              <w:rPr>
                <w:sz w:val="20"/>
                <w:szCs w:val="20"/>
              </w:rPr>
            </w:pPr>
            <w:r>
              <w:rPr>
                <w:rFonts w:ascii="Calibri" w:eastAsia="Calibri" w:hAnsi="Calibri" w:cs="Calibri"/>
                <w:b/>
                <w:bCs/>
                <w:sz w:val="20"/>
                <w:szCs w:val="20"/>
              </w:rPr>
              <w:t>Région flamande</w:t>
            </w:r>
          </w:p>
        </w:tc>
        <w:tc>
          <w:tcPr>
            <w:tcW w:w="3140" w:type="dxa"/>
            <w:gridSpan w:val="5"/>
            <w:tcBorders>
              <w:right w:val="single" w:sz="8" w:space="0" w:color="auto"/>
            </w:tcBorders>
            <w:vAlign w:val="bottom"/>
          </w:tcPr>
          <w:p w:rsidR="00AC12B4" w:rsidRDefault="00C27636">
            <w:pPr>
              <w:spacing w:line="227" w:lineRule="exact"/>
              <w:ind w:left="100"/>
              <w:rPr>
                <w:sz w:val="20"/>
                <w:szCs w:val="20"/>
              </w:rPr>
            </w:pPr>
            <w:r>
              <w:rPr>
                <w:rFonts w:ascii="Calibri" w:eastAsia="Calibri" w:hAnsi="Calibri" w:cs="Calibri"/>
                <w:sz w:val="20"/>
                <w:szCs w:val="20"/>
              </w:rPr>
              <w:t>Fin   2012 :   107.351   ménages</w:t>
            </w:r>
          </w:p>
        </w:tc>
        <w:tc>
          <w:tcPr>
            <w:tcW w:w="2920" w:type="dxa"/>
            <w:gridSpan w:val="4"/>
            <w:tcBorders>
              <w:right w:val="single" w:sz="8" w:space="0" w:color="auto"/>
            </w:tcBorders>
            <w:vAlign w:val="bottom"/>
          </w:tcPr>
          <w:p w:rsidR="00AC12B4" w:rsidRDefault="00C27636">
            <w:pPr>
              <w:spacing w:line="227" w:lineRule="exact"/>
              <w:ind w:left="80"/>
              <w:rPr>
                <w:sz w:val="20"/>
                <w:szCs w:val="20"/>
              </w:rPr>
            </w:pPr>
            <w:r>
              <w:rPr>
                <w:rFonts w:ascii="Calibri" w:eastAsia="Calibri" w:hAnsi="Calibri" w:cs="Calibri"/>
                <w:sz w:val="20"/>
                <w:szCs w:val="20"/>
              </w:rPr>
              <w:t xml:space="preserve">Fin  2012 :  147.249  </w:t>
            </w:r>
            <w:r>
              <w:rPr>
                <w:rFonts w:ascii="Calibri" w:eastAsia="Calibri" w:hAnsi="Calibri" w:cs="Calibri"/>
                <w:sz w:val="16"/>
                <w:szCs w:val="16"/>
              </w:rPr>
              <w:t>(</w:t>
            </w:r>
            <w:r>
              <w:rPr>
                <w:rFonts w:ascii="Calibri" w:eastAsia="Calibri" w:hAnsi="Calibri" w:cs="Calibri"/>
                <w:sz w:val="18"/>
                <w:szCs w:val="18"/>
              </w:rPr>
              <w:t>Besoin  de</w:t>
            </w:r>
          </w:p>
        </w:tc>
        <w:tc>
          <w:tcPr>
            <w:tcW w:w="0" w:type="dxa"/>
            <w:vAlign w:val="bottom"/>
          </w:tcPr>
          <w:p w:rsidR="00AC12B4" w:rsidRDefault="00AC12B4">
            <w:pPr>
              <w:rPr>
                <w:sz w:val="1"/>
                <w:szCs w:val="1"/>
              </w:rPr>
            </w:pPr>
          </w:p>
        </w:tc>
      </w:tr>
      <w:tr w:rsidR="00AC12B4">
        <w:trPr>
          <w:trHeight w:val="245"/>
        </w:trPr>
        <w:tc>
          <w:tcPr>
            <w:tcW w:w="2720" w:type="dxa"/>
            <w:tcBorders>
              <w:left w:val="single" w:sz="8" w:space="0" w:color="auto"/>
              <w:right w:val="single" w:sz="8" w:space="0" w:color="auto"/>
            </w:tcBorders>
            <w:vAlign w:val="bottom"/>
          </w:tcPr>
          <w:p w:rsidR="00AC12B4" w:rsidRDefault="00AC12B4">
            <w:pPr>
              <w:rPr>
                <w:sz w:val="21"/>
                <w:szCs w:val="21"/>
              </w:rPr>
            </w:pPr>
          </w:p>
        </w:tc>
        <w:tc>
          <w:tcPr>
            <w:tcW w:w="3140" w:type="dxa"/>
            <w:gridSpan w:val="5"/>
            <w:tcBorders>
              <w:right w:val="single" w:sz="8" w:space="0" w:color="auto"/>
            </w:tcBorders>
            <w:vAlign w:val="bottom"/>
          </w:tcPr>
          <w:p w:rsidR="00AC12B4" w:rsidRPr="00C27636" w:rsidRDefault="00C27636">
            <w:pPr>
              <w:ind w:left="100"/>
              <w:rPr>
                <w:sz w:val="20"/>
                <w:szCs w:val="20"/>
                <w:lang w:val="fr-BE"/>
              </w:rPr>
            </w:pPr>
            <w:r w:rsidRPr="00C27636">
              <w:rPr>
                <w:rFonts w:ascii="Calibri" w:eastAsia="Calibri" w:hAnsi="Calibri" w:cs="Calibri"/>
                <w:sz w:val="20"/>
                <w:szCs w:val="20"/>
                <w:lang w:val="fr-BE"/>
              </w:rPr>
              <w:t>uniques (= +9% par rapport à fin</w:t>
            </w:r>
          </w:p>
        </w:tc>
        <w:tc>
          <w:tcPr>
            <w:tcW w:w="1580" w:type="dxa"/>
            <w:gridSpan w:val="2"/>
            <w:vAlign w:val="bottom"/>
          </w:tcPr>
          <w:p w:rsidR="00AC12B4" w:rsidRDefault="00C27636">
            <w:pPr>
              <w:ind w:left="80"/>
              <w:rPr>
                <w:sz w:val="20"/>
                <w:szCs w:val="20"/>
              </w:rPr>
            </w:pPr>
            <w:r>
              <w:rPr>
                <w:rFonts w:ascii="Calibri" w:eastAsia="Calibri" w:hAnsi="Calibri" w:cs="Calibri"/>
                <w:sz w:val="18"/>
                <w:szCs w:val="18"/>
              </w:rPr>
              <w:t>logements sociaux</w:t>
            </w:r>
          </w:p>
        </w:tc>
        <w:tc>
          <w:tcPr>
            <w:tcW w:w="1340" w:type="dxa"/>
            <w:gridSpan w:val="2"/>
            <w:tcBorders>
              <w:right w:val="single" w:sz="8" w:space="0" w:color="auto"/>
            </w:tcBorders>
            <w:vAlign w:val="bottom"/>
          </w:tcPr>
          <w:p w:rsidR="00AC12B4" w:rsidRDefault="00C27636">
            <w:pPr>
              <w:ind w:right="27"/>
              <w:jc w:val="right"/>
              <w:rPr>
                <w:sz w:val="20"/>
                <w:szCs w:val="20"/>
              </w:rPr>
            </w:pPr>
            <w:r>
              <w:rPr>
                <w:rFonts w:ascii="Calibri" w:eastAsia="Calibri" w:hAnsi="Calibri" w:cs="Calibri"/>
                <w:w w:val="98"/>
                <w:sz w:val="18"/>
                <w:szCs w:val="18"/>
              </w:rPr>
              <w:t>supplémentaires</w:t>
            </w:r>
          </w:p>
        </w:tc>
        <w:tc>
          <w:tcPr>
            <w:tcW w:w="0" w:type="dxa"/>
            <w:vAlign w:val="bottom"/>
          </w:tcPr>
          <w:p w:rsidR="00AC12B4" w:rsidRDefault="00AC12B4">
            <w:pPr>
              <w:rPr>
                <w:sz w:val="1"/>
                <w:szCs w:val="1"/>
              </w:rPr>
            </w:pPr>
          </w:p>
        </w:tc>
      </w:tr>
      <w:tr w:rsidR="00AC12B4">
        <w:trPr>
          <w:trHeight w:val="237"/>
        </w:trPr>
        <w:tc>
          <w:tcPr>
            <w:tcW w:w="2720" w:type="dxa"/>
            <w:tcBorders>
              <w:left w:val="single" w:sz="8" w:space="0" w:color="auto"/>
              <w:right w:val="single" w:sz="8" w:space="0" w:color="auto"/>
            </w:tcBorders>
            <w:vAlign w:val="bottom"/>
          </w:tcPr>
          <w:p w:rsidR="00AC12B4" w:rsidRDefault="00AC12B4">
            <w:pPr>
              <w:rPr>
                <w:sz w:val="20"/>
                <w:szCs w:val="20"/>
              </w:rPr>
            </w:pPr>
          </w:p>
        </w:tc>
        <w:tc>
          <w:tcPr>
            <w:tcW w:w="580" w:type="dxa"/>
            <w:vAlign w:val="bottom"/>
          </w:tcPr>
          <w:p w:rsidR="00AC12B4" w:rsidRDefault="00C27636">
            <w:pPr>
              <w:spacing w:line="236" w:lineRule="exact"/>
              <w:ind w:left="100"/>
              <w:rPr>
                <w:sz w:val="20"/>
                <w:szCs w:val="20"/>
              </w:rPr>
            </w:pPr>
            <w:r>
              <w:rPr>
                <w:rFonts w:ascii="Calibri" w:eastAsia="Calibri" w:hAnsi="Calibri" w:cs="Calibri"/>
                <w:w w:val="98"/>
                <w:sz w:val="20"/>
                <w:szCs w:val="20"/>
              </w:rPr>
              <w:t>2010)</w:t>
            </w:r>
          </w:p>
        </w:tc>
        <w:tc>
          <w:tcPr>
            <w:tcW w:w="540" w:type="dxa"/>
            <w:vAlign w:val="bottom"/>
          </w:tcPr>
          <w:p w:rsidR="00AC12B4" w:rsidRDefault="00AC12B4">
            <w:pPr>
              <w:rPr>
                <w:sz w:val="20"/>
                <w:szCs w:val="20"/>
              </w:rPr>
            </w:pPr>
          </w:p>
        </w:tc>
        <w:tc>
          <w:tcPr>
            <w:tcW w:w="980" w:type="dxa"/>
            <w:vAlign w:val="bottom"/>
          </w:tcPr>
          <w:p w:rsidR="00AC12B4" w:rsidRDefault="00AC12B4">
            <w:pPr>
              <w:rPr>
                <w:sz w:val="20"/>
                <w:szCs w:val="20"/>
              </w:rPr>
            </w:pPr>
          </w:p>
        </w:tc>
        <w:tc>
          <w:tcPr>
            <w:tcW w:w="440" w:type="dxa"/>
            <w:vAlign w:val="bottom"/>
          </w:tcPr>
          <w:p w:rsidR="00AC12B4" w:rsidRDefault="00AC12B4">
            <w:pPr>
              <w:rPr>
                <w:sz w:val="20"/>
                <w:szCs w:val="20"/>
              </w:rPr>
            </w:pPr>
          </w:p>
        </w:tc>
        <w:tc>
          <w:tcPr>
            <w:tcW w:w="600" w:type="dxa"/>
            <w:tcBorders>
              <w:right w:val="single" w:sz="8" w:space="0" w:color="auto"/>
            </w:tcBorders>
            <w:vAlign w:val="bottom"/>
          </w:tcPr>
          <w:p w:rsidR="00AC12B4" w:rsidRDefault="00AC12B4">
            <w:pPr>
              <w:rPr>
                <w:sz w:val="20"/>
                <w:szCs w:val="20"/>
              </w:rPr>
            </w:pPr>
          </w:p>
        </w:tc>
        <w:tc>
          <w:tcPr>
            <w:tcW w:w="600" w:type="dxa"/>
            <w:vAlign w:val="bottom"/>
          </w:tcPr>
          <w:p w:rsidR="00AC12B4" w:rsidRDefault="00C27636">
            <w:pPr>
              <w:spacing w:line="196" w:lineRule="exact"/>
              <w:ind w:left="80"/>
              <w:rPr>
                <w:sz w:val="20"/>
                <w:szCs w:val="20"/>
              </w:rPr>
            </w:pPr>
            <w:r>
              <w:rPr>
                <w:rFonts w:ascii="Calibri" w:eastAsia="Calibri" w:hAnsi="Calibri" w:cs="Calibri"/>
                <w:sz w:val="18"/>
                <w:szCs w:val="18"/>
              </w:rPr>
              <w:t>pour</w:t>
            </w:r>
          </w:p>
        </w:tc>
        <w:tc>
          <w:tcPr>
            <w:tcW w:w="980" w:type="dxa"/>
            <w:vAlign w:val="bottom"/>
          </w:tcPr>
          <w:p w:rsidR="00AC12B4" w:rsidRDefault="00C27636">
            <w:pPr>
              <w:spacing w:line="196" w:lineRule="exact"/>
              <w:ind w:left="180"/>
              <w:rPr>
                <w:sz w:val="20"/>
                <w:szCs w:val="20"/>
              </w:rPr>
            </w:pPr>
            <w:r>
              <w:rPr>
                <w:rFonts w:ascii="Calibri" w:eastAsia="Calibri" w:hAnsi="Calibri" w:cs="Calibri"/>
                <w:sz w:val="18"/>
                <w:szCs w:val="18"/>
              </w:rPr>
              <w:t>combler</w:t>
            </w:r>
          </w:p>
        </w:tc>
        <w:tc>
          <w:tcPr>
            <w:tcW w:w="580" w:type="dxa"/>
            <w:vAlign w:val="bottom"/>
          </w:tcPr>
          <w:p w:rsidR="00AC12B4" w:rsidRDefault="00C27636">
            <w:pPr>
              <w:spacing w:line="196" w:lineRule="exact"/>
              <w:ind w:left="140"/>
              <w:rPr>
                <w:sz w:val="20"/>
                <w:szCs w:val="20"/>
              </w:rPr>
            </w:pPr>
            <w:r>
              <w:rPr>
                <w:rFonts w:ascii="Calibri" w:eastAsia="Calibri" w:hAnsi="Calibri" w:cs="Calibri"/>
                <w:sz w:val="18"/>
                <w:szCs w:val="18"/>
              </w:rPr>
              <w:t>le</w:t>
            </w:r>
          </w:p>
        </w:tc>
        <w:tc>
          <w:tcPr>
            <w:tcW w:w="760" w:type="dxa"/>
            <w:tcBorders>
              <w:right w:val="single" w:sz="8" w:space="0" w:color="auto"/>
            </w:tcBorders>
            <w:vAlign w:val="bottom"/>
          </w:tcPr>
          <w:p w:rsidR="00AC12B4" w:rsidRDefault="00C27636">
            <w:pPr>
              <w:spacing w:line="196" w:lineRule="exact"/>
              <w:ind w:right="27"/>
              <w:jc w:val="right"/>
              <w:rPr>
                <w:sz w:val="20"/>
                <w:szCs w:val="20"/>
              </w:rPr>
            </w:pPr>
            <w:r>
              <w:rPr>
                <w:rFonts w:ascii="Calibri" w:eastAsia="Calibri" w:hAnsi="Calibri" w:cs="Calibri"/>
                <w:sz w:val="18"/>
                <w:szCs w:val="18"/>
              </w:rPr>
              <w:t>manque</w:t>
            </w:r>
          </w:p>
        </w:tc>
        <w:tc>
          <w:tcPr>
            <w:tcW w:w="0" w:type="dxa"/>
            <w:vAlign w:val="bottom"/>
          </w:tcPr>
          <w:p w:rsidR="00AC12B4" w:rsidRDefault="00AC12B4">
            <w:pPr>
              <w:rPr>
                <w:sz w:val="1"/>
                <w:szCs w:val="1"/>
              </w:rPr>
            </w:pPr>
          </w:p>
        </w:tc>
      </w:tr>
      <w:tr w:rsidR="00AC12B4">
        <w:trPr>
          <w:trHeight w:val="179"/>
        </w:trPr>
        <w:tc>
          <w:tcPr>
            <w:tcW w:w="2720" w:type="dxa"/>
            <w:tcBorders>
              <w:left w:val="single" w:sz="8" w:space="0" w:color="auto"/>
              <w:right w:val="single" w:sz="8" w:space="0" w:color="auto"/>
            </w:tcBorders>
            <w:vAlign w:val="bottom"/>
          </w:tcPr>
          <w:p w:rsidR="00AC12B4" w:rsidRDefault="00AC12B4">
            <w:pPr>
              <w:rPr>
                <w:sz w:val="15"/>
                <w:szCs w:val="15"/>
              </w:rPr>
            </w:pPr>
          </w:p>
        </w:tc>
        <w:tc>
          <w:tcPr>
            <w:tcW w:w="3140" w:type="dxa"/>
            <w:gridSpan w:val="5"/>
            <w:vMerge w:val="restart"/>
            <w:tcBorders>
              <w:right w:val="single" w:sz="8" w:space="0" w:color="auto"/>
            </w:tcBorders>
            <w:vAlign w:val="bottom"/>
          </w:tcPr>
          <w:p w:rsidR="00AC12B4" w:rsidRDefault="00C27636">
            <w:pPr>
              <w:ind w:left="100"/>
              <w:rPr>
                <w:sz w:val="20"/>
                <w:szCs w:val="20"/>
              </w:rPr>
            </w:pPr>
            <w:r>
              <w:rPr>
                <w:rFonts w:ascii="Calibri" w:eastAsia="Calibri" w:hAnsi="Calibri" w:cs="Calibri"/>
                <w:sz w:val="20"/>
                <w:szCs w:val="20"/>
              </w:rPr>
              <w:t>Fin 2013 : 92.988 ménages uniques,</w:t>
            </w:r>
          </w:p>
        </w:tc>
        <w:tc>
          <w:tcPr>
            <w:tcW w:w="2160" w:type="dxa"/>
            <w:gridSpan w:val="3"/>
            <w:vAlign w:val="bottom"/>
          </w:tcPr>
          <w:p w:rsidR="00AC12B4" w:rsidRDefault="00C27636">
            <w:pPr>
              <w:spacing w:line="179" w:lineRule="exact"/>
              <w:ind w:left="80"/>
              <w:rPr>
                <w:sz w:val="20"/>
                <w:szCs w:val="20"/>
              </w:rPr>
            </w:pPr>
            <w:r>
              <w:rPr>
                <w:rFonts w:ascii="Calibri" w:eastAsia="Calibri" w:hAnsi="Calibri" w:cs="Calibri"/>
                <w:sz w:val="18"/>
                <w:szCs w:val="18"/>
              </w:rPr>
              <w:t>enregistré** : 78.754)</w:t>
            </w:r>
          </w:p>
        </w:tc>
        <w:tc>
          <w:tcPr>
            <w:tcW w:w="760" w:type="dxa"/>
            <w:tcBorders>
              <w:right w:val="single" w:sz="8" w:space="0" w:color="auto"/>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91"/>
        </w:trPr>
        <w:tc>
          <w:tcPr>
            <w:tcW w:w="2720" w:type="dxa"/>
            <w:tcBorders>
              <w:left w:val="single" w:sz="8" w:space="0" w:color="auto"/>
              <w:right w:val="single" w:sz="8" w:space="0" w:color="auto"/>
            </w:tcBorders>
            <w:vAlign w:val="bottom"/>
          </w:tcPr>
          <w:p w:rsidR="00AC12B4" w:rsidRDefault="00AC12B4">
            <w:pPr>
              <w:rPr>
                <w:sz w:val="16"/>
                <w:szCs w:val="16"/>
              </w:rPr>
            </w:pPr>
          </w:p>
        </w:tc>
        <w:tc>
          <w:tcPr>
            <w:tcW w:w="3140" w:type="dxa"/>
            <w:gridSpan w:val="5"/>
            <w:vMerge/>
            <w:tcBorders>
              <w:right w:val="single" w:sz="8" w:space="0" w:color="auto"/>
            </w:tcBorders>
            <w:vAlign w:val="bottom"/>
          </w:tcPr>
          <w:p w:rsidR="00AC12B4" w:rsidRDefault="00AC12B4">
            <w:pPr>
              <w:rPr>
                <w:sz w:val="16"/>
                <w:szCs w:val="16"/>
              </w:rPr>
            </w:pPr>
          </w:p>
        </w:tc>
        <w:tc>
          <w:tcPr>
            <w:tcW w:w="600" w:type="dxa"/>
            <w:vAlign w:val="bottom"/>
          </w:tcPr>
          <w:p w:rsidR="00AC12B4" w:rsidRDefault="00AC12B4">
            <w:pPr>
              <w:rPr>
                <w:sz w:val="16"/>
                <w:szCs w:val="16"/>
              </w:rPr>
            </w:pPr>
          </w:p>
        </w:tc>
        <w:tc>
          <w:tcPr>
            <w:tcW w:w="980" w:type="dxa"/>
            <w:vAlign w:val="bottom"/>
          </w:tcPr>
          <w:p w:rsidR="00AC12B4" w:rsidRDefault="00AC12B4">
            <w:pPr>
              <w:rPr>
                <w:sz w:val="16"/>
                <w:szCs w:val="16"/>
              </w:rPr>
            </w:pPr>
          </w:p>
        </w:tc>
        <w:tc>
          <w:tcPr>
            <w:tcW w:w="580" w:type="dxa"/>
            <w:vAlign w:val="bottom"/>
          </w:tcPr>
          <w:p w:rsidR="00AC12B4" w:rsidRDefault="00AC12B4">
            <w:pPr>
              <w:rPr>
                <w:sz w:val="16"/>
                <w:szCs w:val="16"/>
              </w:rPr>
            </w:pPr>
          </w:p>
        </w:tc>
        <w:tc>
          <w:tcPr>
            <w:tcW w:w="760" w:type="dxa"/>
            <w:tcBorders>
              <w:right w:val="single" w:sz="8" w:space="0" w:color="auto"/>
            </w:tcBorders>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245"/>
        </w:trPr>
        <w:tc>
          <w:tcPr>
            <w:tcW w:w="2720" w:type="dxa"/>
            <w:tcBorders>
              <w:left w:val="single" w:sz="8" w:space="0" w:color="auto"/>
              <w:right w:val="single" w:sz="8" w:space="0" w:color="auto"/>
            </w:tcBorders>
            <w:vAlign w:val="bottom"/>
          </w:tcPr>
          <w:p w:rsidR="00AC12B4" w:rsidRDefault="00AC12B4">
            <w:pPr>
              <w:rPr>
                <w:sz w:val="21"/>
                <w:szCs w:val="21"/>
              </w:rPr>
            </w:pPr>
          </w:p>
        </w:tc>
        <w:tc>
          <w:tcPr>
            <w:tcW w:w="2100" w:type="dxa"/>
            <w:gridSpan w:val="3"/>
            <w:vAlign w:val="bottom"/>
          </w:tcPr>
          <w:p w:rsidR="00AC12B4" w:rsidRDefault="00C27636">
            <w:pPr>
              <w:ind w:left="100"/>
              <w:rPr>
                <w:sz w:val="20"/>
                <w:szCs w:val="20"/>
              </w:rPr>
            </w:pPr>
            <w:r>
              <w:rPr>
                <w:rFonts w:ascii="Calibri" w:eastAsia="Calibri" w:hAnsi="Calibri" w:cs="Calibri"/>
                <w:sz w:val="20"/>
                <w:szCs w:val="20"/>
              </w:rPr>
              <w:t xml:space="preserve">dont </w:t>
            </w:r>
            <w:r>
              <w:rPr>
                <w:rFonts w:ascii="Calibri" w:eastAsia="Calibri" w:hAnsi="Calibri" w:cs="Calibri"/>
                <w:sz w:val="20"/>
                <w:szCs w:val="20"/>
              </w:rPr>
              <w:t>62.351 mineurs</w:t>
            </w:r>
          </w:p>
        </w:tc>
        <w:tc>
          <w:tcPr>
            <w:tcW w:w="440" w:type="dxa"/>
            <w:vAlign w:val="bottom"/>
          </w:tcPr>
          <w:p w:rsidR="00AC12B4" w:rsidRDefault="00AC12B4">
            <w:pPr>
              <w:rPr>
                <w:sz w:val="21"/>
                <w:szCs w:val="21"/>
              </w:rPr>
            </w:pPr>
          </w:p>
        </w:tc>
        <w:tc>
          <w:tcPr>
            <w:tcW w:w="600" w:type="dxa"/>
            <w:tcBorders>
              <w:right w:val="single" w:sz="8" w:space="0" w:color="auto"/>
            </w:tcBorders>
            <w:vAlign w:val="bottom"/>
          </w:tcPr>
          <w:p w:rsidR="00AC12B4" w:rsidRDefault="00AC12B4">
            <w:pPr>
              <w:rPr>
                <w:sz w:val="21"/>
                <w:szCs w:val="21"/>
              </w:rPr>
            </w:pPr>
          </w:p>
        </w:tc>
        <w:tc>
          <w:tcPr>
            <w:tcW w:w="2920" w:type="dxa"/>
            <w:gridSpan w:val="4"/>
            <w:vMerge w:val="restart"/>
            <w:tcBorders>
              <w:right w:val="single" w:sz="8" w:space="0" w:color="auto"/>
            </w:tcBorders>
            <w:vAlign w:val="bottom"/>
          </w:tcPr>
          <w:p w:rsidR="00AC12B4" w:rsidRDefault="00C27636">
            <w:pPr>
              <w:ind w:left="80"/>
              <w:rPr>
                <w:sz w:val="20"/>
                <w:szCs w:val="20"/>
              </w:rPr>
            </w:pPr>
            <w:r>
              <w:rPr>
                <w:rFonts w:ascii="Calibri" w:eastAsia="Calibri" w:hAnsi="Calibri" w:cs="Calibri"/>
                <w:sz w:val="20"/>
                <w:szCs w:val="20"/>
              </w:rPr>
              <w:t xml:space="preserve">Fin  2013 :  147.932  </w:t>
            </w:r>
            <w:r>
              <w:rPr>
                <w:rFonts w:ascii="Calibri" w:eastAsia="Calibri" w:hAnsi="Calibri" w:cs="Calibri"/>
                <w:sz w:val="16"/>
                <w:szCs w:val="16"/>
              </w:rPr>
              <w:t>(</w:t>
            </w:r>
            <w:r>
              <w:rPr>
                <w:rFonts w:ascii="Calibri" w:eastAsia="Calibri" w:hAnsi="Calibri" w:cs="Calibri"/>
                <w:sz w:val="18"/>
                <w:szCs w:val="18"/>
              </w:rPr>
              <w:t>Besoin  de</w:t>
            </w:r>
          </w:p>
        </w:tc>
        <w:tc>
          <w:tcPr>
            <w:tcW w:w="0" w:type="dxa"/>
            <w:vAlign w:val="bottom"/>
          </w:tcPr>
          <w:p w:rsidR="00AC12B4" w:rsidRDefault="00AC12B4">
            <w:pPr>
              <w:rPr>
                <w:sz w:val="1"/>
                <w:szCs w:val="1"/>
              </w:rPr>
            </w:pPr>
          </w:p>
        </w:tc>
      </w:tr>
      <w:tr w:rsidR="00AC12B4">
        <w:trPr>
          <w:trHeight w:val="70"/>
        </w:trPr>
        <w:tc>
          <w:tcPr>
            <w:tcW w:w="2720" w:type="dxa"/>
            <w:tcBorders>
              <w:left w:val="single" w:sz="8" w:space="0" w:color="auto"/>
              <w:right w:val="single" w:sz="8" w:space="0" w:color="auto"/>
            </w:tcBorders>
            <w:vAlign w:val="bottom"/>
          </w:tcPr>
          <w:p w:rsidR="00AC12B4" w:rsidRDefault="00AC12B4">
            <w:pPr>
              <w:rPr>
                <w:sz w:val="6"/>
                <w:szCs w:val="6"/>
              </w:rPr>
            </w:pPr>
          </w:p>
        </w:tc>
        <w:tc>
          <w:tcPr>
            <w:tcW w:w="580" w:type="dxa"/>
            <w:vAlign w:val="bottom"/>
          </w:tcPr>
          <w:p w:rsidR="00AC12B4" w:rsidRDefault="00AC12B4">
            <w:pPr>
              <w:rPr>
                <w:sz w:val="6"/>
                <w:szCs w:val="6"/>
              </w:rPr>
            </w:pPr>
          </w:p>
        </w:tc>
        <w:tc>
          <w:tcPr>
            <w:tcW w:w="540" w:type="dxa"/>
            <w:vAlign w:val="bottom"/>
          </w:tcPr>
          <w:p w:rsidR="00AC12B4" w:rsidRDefault="00AC12B4">
            <w:pPr>
              <w:rPr>
                <w:sz w:val="6"/>
                <w:szCs w:val="6"/>
              </w:rPr>
            </w:pPr>
          </w:p>
        </w:tc>
        <w:tc>
          <w:tcPr>
            <w:tcW w:w="980" w:type="dxa"/>
            <w:vAlign w:val="bottom"/>
          </w:tcPr>
          <w:p w:rsidR="00AC12B4" w:rsidRDefault="00AC12B4">
            <w:pPr>
              <w:rPr>
                <w:sz w:val="6"/>
                <w:szCs w:val="6"/>
              </w:rPr>
            </w:pPr>
          </w:p>
        </w:tc>
        <w:tc>
          <w:tcPr>
            <w:tcW w:w="440" w:type="dxa"/>
            <w:vAlign w:val="bottom"/>
          </w:tcPr>
          <w:p w:rsidR="00AC12B4" w:rsidRDefault="00AC12B4">
            <w:pPr>
              <w:rPr>
                <w:sz w:val="6"/>
                <w:szCs w:val="6"/>
              </w:rPr>
            </w:pPr>
          </w:p>
        </w:tc>
        <w:tc>
          <w:tcPr>
            <w:tcW w:w="600" w:type="dxa"/>
            <w:tcBorders>
              <w:right w:val="single" w:sz="8" w:space="0" w:color="auto"/>
            </w:tcBorders>
            <w:vAlign w:val="bottom"/>
          </w:tcPr>
          <w:p w:rsidR="00AC12B4" w:rsidRDefault="00AC12B4">
            <w:pPr>
              <w:rPr>
                <w:sz w:val="6"/>
                <w:szCs w:val="6"/>
              </w:rPr>
            </w:pPr>
          </w:p>
        </w:tc>
        <w:tc>
          <w:tcPr>
            <w:tcW w:w="2920" w:type="dxa"/>
            <w:gridSpan w:val="4"/>
            <w:vMerge/>
            <w:tcBorders>
              <w:right w:val="single" w:sz="8" w:space="0" w:color="auto"/>
            </w:tcBorders>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222"/>
        </w:trPr>
        <w:tc>
          <w:tcPr>
            <w:tcW w:w="2720" w:type="dxa"/>
            <w:tcBorders>
              <w:left w:val="single" w:sz="8" w:space="0" w:color="auto"/>
              <w:right w:val="single" w:sz="8" w:space="0" w:color="auto"/>
            </w:tcBorders>
            <w:vAlign w:val="bottom"/>
          </w:tcPr>
          <w:p w:rsidR="00AC12B4" w:rsidRDefault="00AC12B4">
            <w:pPr>
              <w:rPr>
                <w:sz w:val="19"/>
                <w:szCs w:val="19"/>
              </w:rPr>
            </w:pPr>
          </w:p>
        </w:tc>
        <w:tc>
          <w:tcPr>
            <w:tcW w:w="580" w:type="dxa"/>
            <w:vMerge w:val="restart"/>
            <w:vAlign w:val="bottom"/>
          </w:tcPr>
          <w:p w:rsidR="00AC12B4" w:rsidRDefault="00C27636">
            <w:pPr>
              <w:ind w:left="100"/>
              <w:rPr>
                <w:sz w:val="20"/>
                <w:szCs w:val="20"/>
              </w:rPr>
            </w:pPr>
            <w:r>
              <w:rPr>
                <w:rFonts w:ascii="Calibri" w:eastAsia="Calibri" w:hAnsi="Calibri" w:cs="Calibri"/>
                <w:sz w:val="20"/>
                <w:szCs w:val="20"/>
              </w:rPr>
              <w:t>Fin</w:t>
            </w:r>
          </w:p>
        </w:tc>
        <w:tc>
          <w:tcPr>
            <w:tcW w:w="540" w:type="dxa"/>
            <w:vMerge w:val="restart"/>
            <w:vAlign w:val="bottom"/>
          </w:tcPr>
          <w:p w:rsidR="00AC12B4" w:rsidRDefault="00C27636">
            <w:pPr>
              <w:jc w:val="right"/>
              <w:rPr>
                <w:sz w:val="20"/>
                <w:szCs w:val="20"/>
              </w:rPr>
            </w:pPr>
            <w:r>
              <w:rPr>
                <w:rFonts w:ascii="Calibri" w:eastAsia="Calibri" w:hAnsi="Calibri" w:cs="Calibri"/>
                <w:w w:val="99"/>
                <w:sz w:val="20"/>
                <w:szCs w:val="20"/>
              </w:rPr>
              <w:t>2014 :</w:t>
            </w:r>
          </w:p>
        </w:tc>
        <w:tc>
          <w:tcPr>
            <w:tcW w:w="980" w:type="dxa"/>
            <w:vMerge w:val="restart"/>
            <w:vAlign w:val="bottom"/>
          </w:tcPr>
          <w:p w:rsidR="00AC12B4" w:rsidRDefault="00C27636">
            <w:pPr>
              <w:jc w:val="right"/>
              <w:rPr>
                <w:sz w:val="20"/>
                <w:szCs w:val="20"/>
              </w:rPr>
            </w:pPr>
            <w:r>
              <w:rPr>
                <w:rFonts w:ascii="Calibri" w:eastAsia="Calibri" w:hAnsi="Calibri" w:cs="Calibri"/>
                <w:sz w:val="20"/>
                <w:szCs w:val="20"/>
              </w:rPr>
              <w:t>108.134</w:t>
            </w:r>
          </w:p>
        </w:tc>
        <w:tc>
          <w:tcPr>
            <w:tcW w:w="1040" w:type="dxa"/>
            <w:gridSpan w:val="2"/>
            <w:vMerge w:val="restart"/>
            <w:tcBorders>
              <w:right w:val="single" w:sz="8" w:space="0" w:color="auto"/>
            </w:tcBorders>
            <w:vAlign w:val="bottom"/>
          </w:tcPr>
          <w:p w:rsidR="00AC12B4" w:rsidRDefault="00C27636">
            <w:pPr>
              <w:ind w:right="40"/>
              <w:jc w:val="right"/>
              <w:rPr>
                <w:sz w:val="20"/>
                <w:szCs w:val="20"/>
              </w:rPr>
            </w:pPr>
            <w:r>
              <w:rPr>
                <w:rFonts w:ascii="Calibri" w:eastAsia="Calibri" w:hAnsi="Calibri" w:cs="Calibri"/>
                <w:sz w:val="20"/>
                <w:szCs w:val="20"/>
              </w:rPr>
              <w:t>ménages</w:t>
            </w:r>
          </w:p>
        </w:tc>
        <w:tc>
          <w:tcPr>
            <w:tcW w:w="1580" w:type="dxa"/>
            <w:gridSpan w:val="2"/>
            <w:vAlign w:val="bottom"/>
          </w:tcPr>
          <w:p w:rsidR="00AC12B4" w:rsidRDefault="00C27636">
            <w:pPr>
              <w:ind w:left="80"/>
              <w:rPr>
                <w:sz w:val="20"/>
                <w:szCs w:val="20"/>
              </w:rPr>
            </w:pPr>
            <w:r>
              <w:rPr>
                <w:rFonts w:ascii="Calibri" w:eastAsia="Calibri" w:hAnsi="Calibri" w:cs="Calibri"/>
                <w:sz w:val="18"/>
                <w:szCs w:val="18"/>
              </w:rPr>
              <w:t>logements sociaux</w:t>
            </w:r>
          </w:p>
        </w:tc>
        <w:tc>
          <w:tcPr>
            <w:tcW w:w="1340" w:type="dxa"/>
            <w:gridSpan w:val="2"/>
            <w:tcBorders>
              <w:right w:val="single" w:sz="8" w:space="0" w:color="auto"/>
            </w:tcBorders>
            <w:vAlign w:val="bottom"/>
          </w:tcPr>
          <w:p w:rsidR="00AC12B4" w:rsidRDefault="00C27636">
            <w:pPr>
              <w:ind w:right="27"/>
              <w:jc w:val="right"/>
              <w:rPr>
                <w:sz w:val="20"/>
                <w:szCs w:val="20"/>
              </w:rPr>
            </w:pPr>
            <w:r>
              <w:rPr>
                <w:rFonts w:ascii="Calibri" w:eastAsia="Calibri" w:hAnsi="Calibri" w:cs="Calibri"/>
                <w:w w:val="98"/>
                <w:sz w:val="18"/>
                <w:szCs w:val="18"/>
              </w:rPr>
              <w:t>supplémentaires</w:t>
            </w:r>
          </w:p>
        </w:tc>
        <w:tc>
          <w:tcPr>
            <w:tcW w:w="0" w:type="dxa"/>
            <w:vAlign w:val="bottom"/>
          </w:tcPr>
          <w:p w:rsidR="00AC12B4" w:rsidRDefault="00AC12B4">
            <w:pPr>
              <w:rPr>
                <w:sz w:val="1"/>
                <w:szCs w:val="1"/>
              </w:rPr>
            </w:pPr>
          </w:p>
        </w:tc>
      </w:tr>
      <w:tr w:rsidR="00AC12B4">
        <w:trPr>
          <w:trHeight w:val="71"/>
        </w:trPr>
        <w:tc>
          <w:tcPr>
            <w:tcW w:w="2720" w:type="dxa"/>
            <w:tcBorders>
              <w:left w:val="single" w:sz="8" w:space="0" w:color="auto"/>
              <w:right w:val="single" w:sz="8" w:space="0" w:color="auto"/>
            </w:tcBorders>
            <w:vAlign w:val="bottom"/>
          </w:tcPr>
          <w:p w:rsidR="00AC12B4" w:rsidRDefault="00AC12B4">
            <w:pPr>
              <w:rPr>
                <w:sz w:val="6"/>
                <w:szCs w:val="6"/>
              </w:rPr>
            </w:pPr>
          </w:p>
        </w:tc>
        <w:tc>
          <w:tcPr>
            <w:tcW w:w="580" w:type="dxa"/>
            <w:vMerge/>
            <w:vAlign w:val="bottom"/>
          </w:tcPr>
          <w:p w:rsidR="00AC12B4" w:rsidRDefault="00AC12B4">
            <w:pPr>
              <w:rPr>
                <w:sz w:val="6"/>
                <w:szCs w:val="6"/>
              </w:rPr>
            </w:pPr>
          </w:p>
        </w:tc>
        <w:tc>
          <w:tcPr>
            <w:tcW w:w="540" w:type="dxa"/>
            <w:vMerge/>
            <w:vAlign w:val="bottom"/>
          </w:tcPr>
          <w:p w:rsidR="00AC12B4" w:rsidRDefault="00AC12B4">
            <w:pPr>
              <w:rPr>
                <w:sz w:val="6"/>
                <w:szCs w:val="6"/>
              </w:rPr>
            </w:pPr>
          </w:p>
        </w:tc>
        <w:tc>
          <w:tcPr>
            <w:tcW w:w="980" w:type="dxa"/>
            <w:vMerge/>
            <w:vAlign w:val="bottom"/>
          </w:tcPr>
          <w:p w:rsidR="00AC12B4" w:rsidRDefault="00AC12B4">
            <w:pPr>
              <w:rPr>
                <w:sz w:val="6"/>
                <w:szCs w:val="6"/>
              </w:rPr>
            </w:pPr>
          </w:p>
        </w:tc>
        <w:tc>
          <w:tcPr>
            <w:tcW w:w="1040" w:type="dxa"/>
            <w:gridSpan w:val="2"/>
            <w:vMerge/>
            <w:tcBorders>
              <w:right w:val="single" w:sz="8" w:space="0" w:color="auto"/>
            </w:tcBorders>
            <w:vAlign w:val="bottom"/>
          </w:tcPr>
          <w:p w:rsidR="00AC12B4" w:rsidRDefault="00AC12B4">
            <w:pPr>
              <w:rPr>
                <w:sz w:val="6"/>
                <w:szCs w:val="6"/>
              </w:rPr>
            </w:pPr>
          </w:p>
        </w:tc>
        <w:tc>
          <w:tcPr>
            <w:tcW w:w="600" w:type="dxa"/>
            <w:vMerge w:val="restart"/>
            <w:vAlign w:val="bottom"/>
          </w:tcPr>
          <w:p w:rsidR="00AC12B4" w:rsidRDefault="00C27636">
            <w:pPr>
              <w:ind w:left="80"/>
              <w:rPr>
                <w:sz w:val="20"/>
                <w:szCs w:val="20"/>
              </w:rPr>
            </w:pPr>
            <w:r>
              <w:rPr>
                <w:rFonts w:ascii="Calibri" w:eastAsia="Calibri" w:hAnsi="Calibri" w:cs="Calibri"/>
                <w:sz w:val="18"/>
                <w:szCs w:val="18"/>
              </w:rPr>
              <w:t>pour</w:t>
            </w:r>
          </w:p>
        </w:tc>
        <w:tc>
          <w:tcPr>
            <w:tcW w:w="980" w:type="dxa"/>
            <w:vMerge w:val="restart"/>
            <w:vAlign w:val="bottom"/>
          </w:tcPr>
          <w:p w:rsidR="00AC12B4" w:rsidRDefault="00C27636">
            <w:pPr>
              <w:ind w:left="180"/>
              <w:rPr>
                <w:sz w:val="20"/>
                <w:szCs w:val="20"/>
              </w:rPr>
            </w:pPr>
            <w:r>
              <w:rPr>
                <w:rFonts w:ascii="Calibri" w:eastAsia="Calibri" w:hAnsi="Calibri" w:cs="Calibri"/>
                <w:sz w:val="18"/>
                <w:szCs w:val="18"/>
              </w:rPr>
              <w:t>combler</w:t>
            </w:r>
          </w:p>
        </w:tc>
        <w:tc>
          <w:tcPr>
            <w:tcW w:w="580" w:type="dxa"/>
            <w:vMerge w:val="restart"/>
            <w:vAlign w:val="bottom"/>
          </w:tcPr>
          <w:p w:rsidR="00AC12B4" w:rsidRDefault="00C27636">
            <w:pPr>
              <w:ind w:left="140"/>
              <w:rPr>
                <w:sz w:val="20"/>
                <w:szCs w:val="20"/>
              </w:rPr>
            </w:pPr>
            <w:r>
              <w:rPr>
                <w:rFonts w:ascii="Calibri" w:eastAsia="Calibri" w:hAnsi="Calibri" w:cs="Calibri"/>
                <w:sz w:val="18"/>
                <w:szCs w:val="18"/>
              </w:rPr>
              <w:t>le</w:t>
            </w:r>
          </w:p>
        </w:tc>
        <w:tc>
          <w:tcPr>
            <w:tcW w:w="760" w:type="dxa"/>
            <w:vMerge w:val="restart"/>
            <w:tcBorders>
              <w:right w:val="single" w:sz="8" w:space="0" w:color="auto"/>
            </w:tcBorders>
            <w:vAlign w:val="bottom"/>
          </w:tcPr>
          <w:p w:rsidR="00AC12B4" w:rsidRDefault="00C27636">
            <w:pPr>
              <w:ind w:right="27"/>
              <w:jc w:val="right"/>
              <w:rPr>
                <w:sz w:val="20"/>
                <w:szCs w:val="20"/>
              </w:rPr>
            </w:pPr>
            <w:r>
              <w:rPr>
                <w:rFonts w:ascii="Calibri" w:eastAsia="Calibri" w:hAnsi="Calibri" w:cs="Calibri"/>
                <w:sz w:val="18"/>
                <w:szCs w:val="18"/>
              </w:rPr>
              <w:t>manque</w:t>
            </w:r>
          </w:p>
        </w:tc>
        <w:tc>
          <w:tcPr>
            <w:tcW w:w="0" w:type="dxa"/>
            <w:vAlign w:val="bottom"/>
          </w:tcPr>
          <w:p w:rsidR="00AC12B4" w:rsidRDefault="00AC12B4">
            <w:pPr>
              <w:rPr>
                <w:sz w:val="1"/>
                <w:szCs w:val="1"/>
              </w:rPr>
            </w:pPr>
          </w:p>
        </w:tc>
      </w:tr>
      <w:tr w:rsidR="00AC12B4">
        <w:trPr>
          <w:trHeight w:val="150"/>
        </w:trPr>
        <w:tc>
          <w:tcPr>
            <w:tcW w:w="2720" w:type="dxa"/>
            <w:tcBorders>
              <w:left w:val="single" w:sz="8" w:space="0" w:color="auto"/>
              <w:right w:val="single" w:sz="8" w:space="0" w:color="auto"/>
            </w:tcBorders>
            <w:vAlign w:val="bottom"/>
          </w:tcPr>
          <w:p w:rsidR="00AC12B4" w:rsidRDefault="00AC12B4">
            <w:pPr>
              <w:rPr>
                <w:sz w:val="13"/>
                <w:szCs w:val="13"/>
              </w:rPr>
            </w:pPr>
          </w:p>
        </w:tc>
        <w:tc>
          <w:tcPr>
            <w:tcW w:w="2540" w:type="dxa"/>
            <w:gridSpan w:val="4"/>
            <w:vMerge w:val="restart"/>
            <w:vAlign w:val="bottom"/>
          </w:tcPr>
          <w:p w:rsidR="00AC12B4" w:rsidRDefault="00C27636">
            <w:pPr>
              <w:ind w:left="100"/>
              <w:rPr>
                <w:sz w:val="20"/>
                <w:szCs w:val="20"/>
              </w:rPr>
            </w:pPr>
            <w:r>
              <w:rPr>
                <w:rFonts w:ascii="Calibri" w:eastAsia="Calibri" w:hAnsi="Calibri" w:cs="Calibri"/>
                <w:sz w:val="20"/>
                <w:szCs w:val="20"/>
              </w:rPr>
              <w:t>uniques dont 77.594 mineurs</w:t>
            </w:r>
          </w:p>
        </w:tc>
        <w:tc>
          <w:tcPr>
            <w:tcW w:w="600" w:type="dxa"/>
            <w:tcBorders>
              <w:right w:val="single" w:sz="8" w:space="0" w:color="auto"/>
            </w:tcBorders>
            <w:vAlign w:val="bottom"/>
          </w:tcPr>
          <w:p w:rsidR="00AC12B4" w:rsidRDefault="00AC12B4">
            <w:pPr>
              <w:rPr>
                <w:sz w:val="13"/>
                <w:szCs w:val="13"/>
              </w:rPr>
            </w:pPr>
          </w:p>
        </w:tc>
        <w:tc>
          <w:tcPr>
            <w:tcW w:w="600" w:type="dxa"/>
            <w:vMerge/>
            <w:vAlign w:val="bottom"/>
          </w:tcPr>
          <w:p w:rsidR="00AC12B4" w:rsidRDefault="00AC12B4">
            <w:pPr>
              <w:rPr>
                <w:sz w:val="13"/>
                <w:szCs w:val="13"/>
              </w:rPr>
            </w:pPr>
          </w:p>
        </w:tc>
        <w:tc>
          <w:tcPr>
            <w:tcW w:w="980" w:type="dxa"/>
            <w:vMerge/>
            <w:vAlign w:val="bottom"/>
          </w:tcPr>
          <w:p w:rsidR="00AC12B4" w:rsidRDefault="00AC12B4">
            <w:pPr>
              <w:rPr>
                <w:sz w:val="13"/>
                <w:szCs w:val="13"/>
              </w:rPr>
            </w:pPr>
          </w:p>
        </w:tc>
        <w:tc>
          <w:tcPr>
            <w:tcW w:w="580" w:type="dxa"/>
            <w:vMerge/>
            <w:vAlign w:val="bottom"/>
          </w:tcPr>
          <w:p w:rsidR="00AC12B4" w:rsidRDefault="00AC12B4">
            <w:pPr>
              <w:rPr>
                <w:sz w:val="13"/>
                <w:szCs w:val="13"/>
              </w:rPr>
            </w:pPr>
          </w:p>
        </w:tc>
        <w:tc>
          <w:tcPr>
            <w:tcW w:w="760" w:type="dxa"/>
            <w:vMerge/>
            <w:tcBorders>
              <w:right w:val="single" w:sz="8" w:space="0" w:color="auto"/>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95"/>
        </w:trPr>
        <w:tc>
          <w:tcPr>
            <w:tcW w:w="2720" w:type="dxa"/>
            <w:tcBorders>
              <w:left w:val="single" w:sz="8" w:space="0" w:color="auto"/>
              <w:right w:val="single" w:sz="8" w:space="0" w:color="auto"/>
            </w:tcBorders>
            <w:vAlign w:val="bottom"/>
          </w:tcPr>
          <w:p w:rsidR="00AC12B4" w:rsidRDefault="00AC12B4">
            <w:pPr>
              <w:rPr>
                <w:sz w:val="8"/>
                <w:szCs w:val="8"/>
              </w:rPr>
            </w:pPr>
          </w:p>
        </w:tc>
        <w:tc>
          <w:tcPr>
            <w:tcW w:w="2540" w:type="dxa"/>
            <w:gridSpan w:val="4"/>
            <w:vMerge/>
            <w:vAlign w:val="bottom"/>
          </w:tcPr>
          <w:p w:rsidR="00AC12B4" w:rsidRDefault="00AC12B4">
            <w:pPr>
              <w:rPr>
                <w:sz w:val="8"/>
                <w:szCs w:val="8"/>
              </w:rPr>
            </w:pPr>
          </w:p>
        </w:tc>
        <w:tc>
          <w:tcPr>
            <w:tcW w:w="600" w:type="dxa"/>
            <w:tcBorders>
              <w:right w:val="single" w:sz="8" w:space="0" w:color="auto"/>
            </w:tcBorders>
            <w:vAlign w:val="bottom"/>
          </w:tcPr>
          <w:p w:rsidR="00AC12B4" w:rsidRDefault="00AC12B4">
            <w:pPr>
              <w:rPr>
                <w:sz w:val="8"/>
                <w:szCs w:val="8"/>
              </w:rPr>
            </w:pPr>
          </w:p>
        </w:tc>
        <w:tc>
          <w:tcPr>
            <w:tcW w:w="2160" w:type="dxa"/>
            <w:gridSpan w:val="3"/>
            <w:vMerge w:val="restart"/>
            <w:vAlign w:val="bottom"/>
          </w:tcPr>
          <w:p w:rsidR="00AC12B4" w:rsidRDefault="00C27636">
            <w:pPr>
              <w:spacing w:line="218" w:lineRule="exact"/>
              <w:ind w:left="80"/>
              <w:rPr>
                <w:sz w:val="20"/>
                <w:szCs w:val="20"/>
              </w:rPr>
            </w:pPr>
            <w:r>
              <w:rPr>
                <w:rFonts w:ascii="Calibri" w:eastAsia="Calibri" w:hAnsi="Calibri" w:cs="Calibri"/>
                <w:sz w:val="18"/>
                <w:szCs w:val="18"/>
              </w:rPr>
              <w:t>enregistré**: 78.540)</w:t>
            </w:r>
          </w:p>
        </w:tc>
        <w:tc>
          <w:tcPr>
            <w:tcW w:w="760" w:type="dxa"/>
            <w:tcBorders>
              <w:right w:val="single" w:sz="8" w:space="0" w:color="auto"/>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23"/>
        </w:trPr>
        <w:tc>
          <w:tcPr>
            <w:tcW w:w="2720" w:type="dxa"/>
            <w:tcBorders>
              <w:left w:val="single" w:sz="8" w:space="0" w:color="auto"/>
              <w:right w:val="single" w:sz="8" w:space="0" w:color="auto"/>
            </w:tcBorders>
            <w:vAlign w:val="bottom"/>
          </w:tcPr>
          <w:p w:rsidR="00AC12B4" w:rsidRDefault="00AC12B4">
            <w:pPr>
              <w:rPr>
                <w:sz w:val="10"/>
                <w:szCs w:val="10"/>
              </w:rPr>
            </w:pPr>
          </w:p>
        </w:tc>
        <w:tc>
          <w:tcPr>
            <w:tcW w:w="58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98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600" w:type="dxa"/>
            <w:tcBorders>
              <w:right w:val="single" w:sz="8" w:space="0" w:color="auto"/>
            </w:tcBorders>
            <w:vAlign w:val="bottom"/>
          </w:tcPr>
          <w:p w:rsidR="00AC12B4" w:rsidRDefault="00AC12B4">
            <w:pPr>
              <w:rPr>
                <w:sz w:val="10"/>
                <w:szCs w:val="10"/>
              </w:rPr>
            </w:pPr>
          </w:p>
        </w:tc>
        <w:tc>
          <w:tcPr>
            <w:tcW w:w="2160" w:type="dxa"/>
            <w:gridSpan w:val="3"/>
            <w:vMerge/>
            <w:vAlign w:val="bottom"/>
          </w:tcPr>
          <w:p w:rsidR="00AC12B4" w:rsidRDefault="00AC12B4">
            <w:pPr>
              <w:rPr>
                <w:sz w:val="10"/>
                <w:szCs w:val="10"/>
              </w:rPr>
            </w:pPr>
          </w:p>
        </w:tc>
        <w:tc>
          <w:tcPr>
            <w:tcW w:w="760" w:type="dxa"/>
            <w:tcBorders>
              <w:right w:val="single" w:sz="8" w:space="0" w:color="auto"/>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364"/>
        </w:trPr>
        <w:tc>
          <w:tcPr>
            <w:tcW w:w="2720" w:type="dxa"/>
            <w:tcBorders>
              <w:left w:val="single" w:sz="8" w:space="0" w:color="auto"/>
              <w:right w:val="single" w:sz="8" w:space="0" w:color="auto"/>
            </w:tcBorders>
            <w:vAlign w:val="bottom"/>
          </w:tcPr>
          <w:p w:rsidR="00AC12B4" w:rsidRDefault="00AC12B4">
            <w:pPr>
              <w:rPr>
                <w:sz w:val="24"/>
                <w:szCs w:val="24"/>
              </w:rPr>
            </w:pPr>
          </w:p>
        </w:tc>
        <w:tc>
          <w:tcPr>
            <w:tcW w:w="58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98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600" w:type="dxa"/>
            <w:tcBorders>
              <w:right w:val="single" w:sz="8" w:space="0" w:color="auto"/>
            </w:tcBorders>
            <w:vAlign w:val="bottom"/>
          </w:tcPr>
          <w:p w:rsidR="00AC12B4" w:rsidRDefault="00AC12B4">
            <w:pPr>
              <w:rPr>
                <w:sz w:val="24"/>
                <w:szCs w:val="24"/>
              </w:rPr>
            </w:pPr>
          </w:p>
        </w:tc>
        <w:tc>
          <w:tcPr>
            <w:tcW w:w="2920" w:type="dxa"/>
            <w:gridSpan w:val="4"/>
            <w:tcBorders>
              <w:right w:val="single" w:sz="8" w:space="0" w:color="auto"/>
            </w:tcBorders>
            <w:vAlign w:val="bottom"/>
          </w:tcPr>
          <w:p w:rsidR="00AC12B4" w:rsidRDefault="00C27636">
            <w:pPr>
              <w:ind w:left="80"/>
              <w:rPr>
                <w:sz w:val="20"/>
                <w:szCs w:val="20"/>
              </w:rPr>
            </w:pPr>
            <w:r>
              <w:rPr>
                <w:rFonts w:ascii="Calibri" w:eastAsia="Calibri" w:hAnsi="Calibri" w:cs="Calibri"/>
                <w:sz w:val="20"/>
                <w:szCs w:val="20"/>
              </w:rPr>
              <w:t xml:space="preserve">Fin  2014 :  149.140  </w:t>
            </w:r>
            <w:r>
              <w:rPr>
                <w:rFonts w:ascii="Calibri" w:eastAsia="Calibri" w:hAnsi="Calibri" w:cs="Calibri"/>
                <w:sz w:val="16"/>
                <w:szCs w:val="16"/>
              </w:rPr>
              <w:t>(</w:t>
            </w:r>
            <w:r>
              <w:rPr>
                <w:rFonts w:ascii="Calibri" w:eastAsia="Calibri" w:hAnsi="Calibri" w:cs="Calibri"/>
                <w:sz w:val="18"/>
                <w:szCs w:val="18"/>
              </w:rPr>
              <w:t>Besoin  de</w:t>
            </w:r>
          </w:p>
        </w:tc>
        <w:tc>
          <w:tcPr>
            <w:tcW w:w="0" w:type="dxa"/>
            <w:vAlign w:val="bottom"/>
          </w:tcPr>
          <w:p w:rsidR="00AC12B4" w:rsidRDefault="00AC12B4">
            <w:pPr>
              <w:rPr>
                <w:sz w:val="1"/>
                <w:szCs w:val="1"/>
              </w:rPr>
            </w:pPr>
          </w:p>
        </w:tc>
      </w:tr>
      <w:tr w:rsidR="00AC12B4">
        <w:trPr>
          <w:trHeight w:val="222"/>
        </w:trPr>
        <w:tc>
          <w:tcPr>
            <w:tcW w:w="2720" w:type="dxa"/>
            <w:tcBorders>
              <w:left w:val="single" w:sz="8" w:space="0" w:color="auto"/>
              <w:right w:val="single" w:sz="8" w:space="0" w:color="auto"/>
            </w:tcBorders>
            <w:vAlign w:val="bottom"/>
          </w:tcPr>
          <w:p w:rsidR="00AC12B4" w:rsidRDefault="00AC12B4">
            <w:pPr>
              <w:rPr>
                <w:sz w:val="19"/>
                <w:szCs w:val="19"/>
              </w:rPr>
            </w:pPr>
          </w:p>
        </w:tc>
        <w:tc>
          <w:tcPr>
            <w:tcW w:w="580" w:type="dxa"/>
            <w:vAlign w:val="bottom"/>
          </w:tcPr>
          <w:p w:rsidR="00AC12B4" w:rsidRDefault="00AC12B4">
            <w:pPr>
              <w:rPr>
                <w:sz w:val="19"/>
                <w:szCs w:val="19"/>
              </w:rPr>
            </w:pPr>
          </w:p>
        </w:tc>
        <w:tc>
          <w:tcPr>
            <w:tcW w:w="540" w:type="dxa"/>
            <w:vAlign w:val="bottom"/>
          </w:tcPr>
          <w:p w:rsidR="00AC12B4" w:rsidRDefault="00AC12B4">
            <w:pPr>
              <w:rPr>
                <w:sz w:val="19"/>
                <w:szCs w:val="19"/>
              </w:rPr>
            </w:pPr>
          </w:p>
        </w:tc>
        <w:tc>
          <w:tcPr>
            <w:tcW w:w="980" w:type="dxa"/>
            <w:vAlign w:val="bottom"/>
          </w:tcPr>
          <w:p w:rsidR="00AC12B4" w:rsidRDefault="00AC12B4">
            <w:pPr>
              <w:rPr>
                <w:sz w:val="19"/>
                <w:szCs w:val="19"/>
              </w:rPr>
            </w:pPr>
          </w:p>
        </w:tc>
        <w:tc>
          <w:tcPr>
            <w:tcW w:w="440" w:type="dxa"/>
            <w:vAlign w:val="bottom"/>
          </w:tcPr>
          <w:p w:rsidR="00AC12B4" w:rsidRDefault="00AC12B4">
            <w:pPr>
              <w:rPr>
                <w:sz w:val="19"/>
                <w:szCs w:val="19"/>
              </w:rPr>
            </w:pPr>
          </w:p>
        </w:tc>
        <w:tc>
          <w:tcPr>
            <w:tcW w:w="600" w:type="dxa"/>
            <w:tcBorders>
              <w:right w:val="single" w:sz="8" w:space="0" w:color="auto"/>
            </w:tcBorders>
            <w:vAlign w:val="bottom"/>
          </w:tcPr>
          <w:p w:rsidR="00AC12B4" w:rsidRDefault="00AC12B4">
            <w:pPr>
              <w:rPr>
                <w:sz w:val="19"/>
                <w:szCs w:val="19"/>
              </w:rPr>
            </w:pPr>
          </w:p>
        </w:tc>
        <w:tc>
          <w:tcPr>
            <w:tcW w:w="1580" w:type="dxa"/>
            <w:gridSpan w:val="2"/>
            <w:vAlign w:val="bottom"/>
          </w:tcPr>
          <w:p w:rsidR="00AC12B4" w:rsidRDefault="00C27636">
            <w:pPr>
              <w:ind w:left="80"/>
              <w:rPr>
                <w:sz w:val="20"/>
                <w:szCs w:val="20"/>
              </w:rPr>
            </w:pPr>
            <w:r>
              <w:rPr>
                <w:rFonts w:ascii="Calibri" w:eastAsia="Calibri" w:hAnsi="Calibri" w:cs="Calibri"/>
                <w:sz w:val="18"/>
                <w:szCs w:val="18"/>
              </w:rPr>
              <w:t>logements sociaux</w:t>
            </w:r>
          </w:p>
        </w:tc>
        <w:tc>
          <w:tcPr>
            <w:tcW w:w="1340" w:type="dxa"/>
            <w:gridSpan w:val="2"/>
            <w:tcBorders>
              <w:right w:val="single" w:sz="8" w:space="0" w:color="auto"/>
            </w:tcBorders>
            <w:vAlign w:val="bottom"/>
          </w:tcPr>
          <w:p w:rsidR="00AC12B4" w:rsidRDefault="00C27636">
            <w:pPr>
              <w:ind w:right="27"/>
              <w:jc w:val="right"/>
              <w:rPr>
                <w:sz w:val="20"/>
                <w:szCs w:val="20"/>
              </w:rPr>
            </w:pPr>
            <w:r>
              <w:rPr>
                <w:rFonts w:ascii="Calibri" w:eastAsia="Calibri" w:hAnsi="Calibri" w:cs="Calibri"/>
                <w:w w:val="98"/>
                <w:sz w:val="18"/>
                <w:szCs w:val="18"/>
              </w:rPr>
              <w:t>supplémentaires</w:t>
            </w:r>
          </w:p>
        </w:tc>
        <w:tc>
          <w:tcPr>
            <w:tcW w:w="0" w:type="dxa"/>
            <w:vAlign w:val="bottom"/>
          </w:tcPr>
          <w:p w:rsidR="00AC12B4" w:rsidRDefault="00AC12B4">
            <w:pPr>
              <w:rPr>
                <w:sz w:val="1"/>
                <w:szCs w:val="1"/>
              </w:rPr>
            </w:pPr>
          </w:p>
        </w:tc>
      </w:tr>
      <w:tr w:rsidR="00AC12B4">
        <w:trPr>
          <w:trHeight w:val="219"/>
        </w:trPr>
        <w:tc>
          <w:tcPr>
            <w:tcW w:w="2720" w:type="dxa"/>
            <w:tcBorders>
              <w:left w:val="single" w:sz="8" w:space="0" w:color="auto"/>
              <w:right w:val="single" w:sz="8" w:space="0" w:color="auto"/>
            </w:tcBorders>
            <w:vAlign w:val="bottom"/>
          </w:tcPr>
          <w:p w:rsidR="00AC12B4" w:rsidRDefault="00AC12B4">
            <w:pPr>
              <w:rPr>
                <w:sz w:val="19"/>
                <w:szCs w:val="19"/>
              </w:rPr>
            </w:pPr>
          </w:p>
        </w:tc>
        <w:tc>
          <w:tcPr>
            <w:tcW w:w="580" w:type="dxa"/>
            <w:vAlign w:val="bottom"/>
          </w:tcPr>
          <w:p w:rsidR="00AC12B4" w:rsidRDefault="00AC12B4">
            <w:pPr>
              <w:rPr>
                <w:sz w:val="19"/>
                <w:szCs w:val="19"/>
              </w:rPr>
            </w:pPr>
          </w:p>
        </w:tc>
        <w:tc>
          <w:tcPr>
            <w:tcW w:w="540" w:type="dxa"/>
            <w:vAlign w:val="bottom"/>
          </w:tcPr>
          <w:p w:rsidR="00AC12B4" w:rsidRDefault="00AC12B4">
            <w:pPr>
              <w:rPr>
                <w:sz w:val="19"/>
                <w:szCs w:val="19"/>
              </w:rPr>
            </w:pPr>
          </w:p>
        </w:tc>
        <w:tc>
          <w:tcPr>
            <w:tcW w:w="980" w:type="dxa"/>
            <w:vAlign w:val="bottom"/>
          </w:tcPr>
          <w:p w:rsidR="00AC12B4" w:rsidRDefault="00AC12B4">
            <w:pPr>
              <w:rPr>
                <w:sz w:val="19"/>
                <w:szCs w:val="19"/>
              </w:rPr>
            </w:pPr>
          </w:p>
        </w:tc>
        <w:tc>
          <w:tcPr>
            <w:tcW w:w="440" w:type="dxa"/>
            <w:vAlign w:val="bottom"/>
          </w:tcPr>
          <w:p w:rsidR="00AC12B4" w:rsidRDefault="00AC12B4">
            <w:pPr>
              <w:rPr>
                <w:sz w:val="19"/>
                <w:szCs w:val="19"/>
              </w:rPr>
            </w:pPr>
          </w:p>
        </w:tc>
        <w:tc>
          <w:tcPr>
            <w:tcW w:w="600" w:type="dxa"/>
            <w:tcBorders>
              <w:right w:val="single" w:sz="8" w:space="0" w:color="auto"/>
            </w:tcBorders>
            <w:vAlign w:val="bottom"/>
          </w:tcPr>
          <w:p w:rsidR="00AC12B4" w:rsidRDefault="00AC12B4">
            <w:pPr>
              <w:rPr>
                <w:sz w:val="19"/>
                <w:szCs w:val="19"/>
              </w:rPr>
            </w:pPr>
          </w:p>
        </w:tc>
        <w:tc>
          <w:tcPr>
            <w:tcW w:w="2920" w:type="dxa"/>
            <w:gridSpan w:val="4"/>
            <w:tcBorders>
              <w:right w:val="single" w:sz="8" w:space="0" w:color="auto"/>
            </w:tcBorders>
            <w:vAlign w:val="bottom"/>
          </w:tcPr>
          <w:p w:rsidR="00AC12B4" w:rsidRDefault="00C27636">
            <w:pPr>
              <w:ind w:left="80"/>
              <w:rPr>
                <w:sz w:val="20"/>
                <w:szCs w:val="20"/>
              </w:rPr>
            </w:pPr>
            <w:r>
              <w:rPr>
                <w:rFonts w:ascii="Calibri" w:eastAsia="Calibri" w:hAnsi="Calibri" w:cs="Calibri"/>
                <w:sz w:val="18"/>
                <w:szCs w:val="18"/>
              </w:rPr>
              <w:t>pour combler le manque : 92.855)</w:t>
            </w:r>
          </w:p>
        </w:tc>
        <w:tc>
          <w:tcPr>
            <w:tcW w:w="0" w:type="dxa"/>
            <w:vAlign w:val="bottom"/>
          </w:tcPr>
          <w:p w:rsidR="00AC12B4" w:rsidRDefault="00AC12B4">
            <w:pPr>
              <w:rPr>
                <w:sz w:val="1"/>
                <w:szCs w:val="1"/>
              </w:rPr>
            </w:pPr>
          </w:p>
        </w:tc>
      </w:tr>
      <w:tr w:rsidR="00AC12B4">
        <w:trPr>
          <w:trHeight w:val="126"/>
        </w:trPr>
        <w:tc>
          <w:tcPr>
            <w:tcW w:w="2720" w:type="dxa"/>
            <w:tcBorders>
              <w:left w:val="single" w:sz="8" w:space="0" w:color="auto"/>
              <w:bottom w:val="single" w:sz="8" w:space="0" w:color="auto"/>
              <w:right w:val="single" w:sz="8" w:space="0" w:color="auto"/>
            </w:tcBorders>
            <w:vAlign w:val="bottom"/>
          </w:tcPr>
          <w:p w:rsidR="00AC12B4" w:rsidRDefault="00AC12B4">
            <w:pPr>
              <w:rPr>
                <w:sz w:val="10"/>
                <w:szCs w:val="10"/>
              </w:rPr>
            </w:pPr>
          </w:p>
        </w:tc>
        <w:tc>
          <w:tcPr>
            <w:tcW w:w="1120" w:type="dxa"/>
            <w:gridSpan w:val="2"/>
            <w:tcBorders>
              <w:bottom w:val="single" w:sz="8" w:space="0" w:color="auto"/>
            </w:tcBorders>
            <w:vAlign w:val="bottom"/>
          </w:tcPr>
          <w:p w:rsidR="00AC12B4" w:rsidRDefault="00AC12B4">
            <w:pPr>
              <w:rPr>
                <w:sz w:val="10"/>
                <w:szCs w:val="10"/>
              </w:rPr>
            </w:pPr>
          </w:p>
        </w:tc>
        <w:tc>
          <w:tcPr>
            <w:tcW w:w="980" w:type="dxa"/>
            <w:tcBorders>
              <w:bottom w:val="single" w:sz="8" w:space="0" w:color="auto"/>
            </w:tcBorders>
            <w:vAlign w:val="bottom"/>
          </w:tcPr>
          <w:p w:rsidR="00AC12B4" w:rsidRDefault="00AC12B4">
            <w:pPr>
              <w:rPr>
                <w:sz w:val="10"/>
                <w:szCs w:val="10"/>
              </w:rPr>
            </w:pPr>
          </w:p>
        </w:tc>
        <w:tc>
          <w:tcPr>
            <w:tcW w:w="440" w:type="dxa"/>
            <w:tcBorders>
              <w:bottom w:val="single" w:sz="8" w:space="0" w:color="auto"/>
            </w:tcBorders>
            <w:vAlign w:val="bottom"/>
          </w:tcPr>
          <w:p w:rsidR="00AC12B4" w:rsidRDefault="00AC12B4">
            <w:pPr>
              <w:rPr>
                <w:sz w:val="10"/>
                <w:szCs w:val="10"/>
              </w:rPr>
            </w:pPr>
          </w:p>
        </w:tc>
        <w:tc>
          <w:tcPr>
            <w:tcW w:w="600" w:type="dxa"/>
            <w:tcBorders>
              <w:bottom w:val="single" w:sz="8" w:space="0" w:color="auto"/>
              <w:right w:val="single" w:sz="8" w:space="0" w:color="auto"/>
            </w:tcBorders>
            <w:vAlign w:val="bottom"/>
          </w:tcPr>
          <w:p w:rsidR="00AC12B4" w:rsidRDefault="00AC12B4">
            <w:pPr>
              <w:rPr>
                <w:sz w:val="10"/>
                <w:szCs w:val="10"/>
              </w:rPr>
            </w:pPr>
          </w:p>
        </w:tc>
        <w:tc>
          <w:tcPr>
            <w:tcW w:w="1580" w:type="dxa"/>
            <w:gridSpan w:val="2"/>
            <w:tcBorders>
              <w:bottom w:val="single" w:sz="8" w:space="0" w:color="auto"/>
            </w:tcBorders>
            <w:vAlign w:val="bottom"/>
          </w:tcPr>
          <w:p w:rsidR="00AC12B4" w:rsidRDefault="00AC12B4">
            <w:pPr>
              <w:rPr>
                <w:sz w:val="10"/>
                <w:szCs w:val="10"/>
              </w:rPr>
            </w:pPr>
          </w:p>
        </w:tc>
        <w:tc>
          <w:tcPr>
            <w:tcW w:w="580" w:type="dxa"/>
            <w:tcBorders>
              <w:bottom w:val="single" w:sz="8" w:space="0" w:color="auto"/>
            </w:tcBorders>
            <w:vAlign w:val="bottom"/>
          </w:tcPr>
          <w:p w:rsidR="00AC12B4" w:rsidRDefault="00AC12B4">
            <w:pPr>
              <w:rPr>
                <w:sz w:val="10"/>
                <w:szCs w:val="10"/>
              </w:rPr>
            </w:pPr>
          </w:p>
        </w:tc>
        <w:tc>
          <w:tcPr>
            <w:tcW w:w="760" w:type="dxa"/>
            <w:tcBorders>
              <w:bottom w:val="single" w:sz="8" w:space="0" w:color="auto"/>
              <w:right w:val="single" w:sz="8" w:space="0" w:color="auto"/>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27"/>
        </w:trPr>
        <w:tc>
          <w:tcPr>
            <w:tcW w:w="2720" w:type="dxa"/>
            <w:tcBorders>
              <w:left w:val="single" w:sz="8" w:space="0" w:color="auto"/>
              <w:right w:val="single" w:sz="8" w:space="0" w:color="auto"/>
            </w:tcBorders>
            <w:vAlign w:val="bottom"/>
          </w:tcPr>
          <w:p w:rsidR="00AC12B4" w:rsidRDefault="00C27636">
            <w:pPr>
              <w:spacing w:line="227" w:lineRule="exact"/>
              <w:ind w:left="100"/>
              <w:rPr>
                <w:sz w:val="20"/>
                <w:szCs w:val="20"/>
              </w:rPr>
            </w:pPr>
            <w:r>
              <w:rPr>
                <w:rFonts w:ascii="Calibri" w:eastAsia="Calibri" w:hAnsi="Calibri" w:cs="Calibri"/>
                <w:b/>
                <w:bCs/>
                <w:sz w:val="20"/>
                <w:szCs w:val="20"/>
              </w:rPr>
              <w:t>Région Wallonne</w:t>
            </w:r>
          </w:p>
        </w:tc>
        <w:tc>
          <w:tcPr>
            <w:tcW w:w="1120" w:type="dxa"/>
            <w:gridSpan w:val="2"/>
            <w:vAlign w:val="bottom"/>
          </w:tcPr>
          <w:p w:rsidR="00AC12B4" w:rsidRDefault="00C27636">
            <w:pPr>
              <w:spacing w:line="227" w:lineRule="exact"/>
              <w:ind w:left="100"/>
              <w:rPr>
                <w:sz w:val="20"/>
                <w:szCs w:val="20"/>
              </w:rPr>
            </w:pPr>
            <w:r>
              <w:rPr>
                <w:rFonts w:ascii="Calibri" w:eastAsia="Calibri" w:hAnsi="Calibri" w:cs="Calibri"/>
                <w:sz w:val="20"/>
                <w:szCs w:val="20"/>
              </w:rPr>
              <w:t>Fin 2012 : ?</w:t>
            </w:r>
          </w:p>
        </w:tc>
        <w:tc>
          <w:tcPr>
            <w:tcW w:w="980" w:type="dxa"/>
            <w:vAlign w:val="bottom"/>
          </w:tcPr>
          <w:p w:rsidR="00AC12B4" w:rsidRDefault="00AC12B4">
            <w:pPr>
              <w:rPr>
                <w:sz w:val="19"/>
                <w:szCs w:val="19"/>
              </w:rPr>
            </w:pPr>
          </w:p>
        </w:tc>
        <w:tc>
          <w:tcPr>
            <w:tcW w:w="440" w:type="dxa"/>
            <w:vAlign w:val="bottom"/>
          </w:tcPr>
          <w:p w:rsidR="00AC12B4" w:rsidRDefault="00AC12B4">
            <w:pPr>
              <w:rPr>
                <w:sz w:val="19"/>
                <w:szCs w:val="19"/>
              </w:rPr>
            </w:pPr>
          </w:p>
        </w:tc>
        <w:tc>
          <w:tcPr>
            <w:tcW w:w="600" w:type="dxa"/>
            <w:tcBorders>
              <w:right w:val="single" w:sz="8" w:space="0" w:color="auto"/>
            </w:tcBorders>
            <w:vAlign w:val="bottom"/>
          </w:tcPr>
          <w:p w:rsidR="00AC12B4" w:rsidRDefault="00AC12B4">
            <w:pPr>
              <w:rPr>
                <w:sz w:val="19"/>
                <w:szCs w:val="19"/>
              </w:rPr>
            </w:pPr>
          </w:p>
        </w:tc>
        <w:tc>
          <w:tcPr>
            <w:tcW w:w="1580" w:type="dxa"/>
            <w:gridSpan w:val="2"/>
            <w:vAlign w:val="bottom"/>
          </w:tcPr>
          <w:p w:rsidR="00AC12B4" w:rsidRDefault="00C27636">
            <w:pPr>
              <w:spacing w:line="227" w:lineRule="exact"/>
              <w:ind w:left="80"/>
              <w:rPr>
                <w:sz w:val="20"/>
                <w:szCs w:val="20"/>
              </w:rPr>
            </w:pPr>
            <w:r>
              <w:rPr>
                <w:rFonts w:ascii="Calibri" w:eastAsia="Calibri" w:hAnsi="Calibri" w:cs="Calibri"/>
                <w:sz w:val="20"/>
                <w:szCs w:val="20"/>
              </w:rPr>
              <w:t>Fin 2012 : 96.872</w:t>
            </w:r>
          </w:p>
        </w:tc>
        <w:tc>
          <w:tcPr>
            <w:tcW w:w="580" w:type="dxa"/>
            <w:vAlign w:val="bottom"/>
          </w:tcPr>
          <w:p w:rsidR="00AC12B4" w:rsidRDefault="00AC12B4">
            <w:pPr>
              <w:rPr>
                <w:sz w:val="19"/>
                <w:szCs w:val="19"/>
              </w:rPr>
            </w:pPr>
          </w:p>
        </w:tc>
        <w:tc>
          <w:tcPr>
            <w:tcW w:w="760" w:type="dxa"/>
            <w:tcBorders>
              <w:right w:val="single" w:sz="8" w:space="0" w:color="auto"/>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365"/>
        </w:trPr>
        <w:tc>
          <w:tcPr>
            <w:tcW w:w="2720" w:type="dxa"/>
            <w:tcBorders>
              <w:left w:val="single" w:sz="8" w:space="0" w:color="auto"/>
              <w:right w:val="single" w:sz="8" w:space="0" w:color="auto"/>
            </w:tcBorders>
            <w:vAlign w:val="bottom"/>
          </w:tcPr>
          <w:p w:rsidR="00AC12B4" w:rsidRDefault="00AC12B4">
            <w:pPr>
              <w:rPr>
                <w:sz w:val="24"/>
                <w:szCs w:val="24"/>
              </w:rPr>
            </w:pPr>
          </w:p>
        </w:tc>
        <w:tc>
          <w:tcPr>
            <w:tcW w:w="2540" w:type="dxa"/>
            <w:gridSpan w:val="4"/>
            <w:vAlign w:val="bottom"/>
          </w:tcPr>
          <w:p w:rsidR="00AC12B4" w:rsidRDefault="00C27636">
            <w:pPr>
              <w:ind w:left="100"/>
              <w:rPr>
                <w:sz w:val="20"/>
                <w:szCs w:val="20"/>
              </w:rPr>
            </w:pPr>
            <w:r>
              <w:rPr>
                <w:rFonts w:ascii="Calibri" w:eastAsia="Calibri" w:hAnsi="Calibri" w:cs="Calibri"/>
                <w:sz w:val="20"/>
                <w:szCs w:val="20"/>
              </w:rPr>
              <w:t>Fin 2013 : 35.946 ménages</w:t>
            </w:r>
          </w:p>
        </w:tc>
        <w:tc>
          <w:tcPr>
            <w:tcW w:w="600" w:type="dxa"/>
            <w:tcBorders>
              <w:right w:val="single" w:sz="8" w:space="0" w:color="auto"/>
            </w:tcBorders>
            <w:vAlign w:val="bottom"/>
          </w:tcPr>
          <w:p w:rsidR="00AC12B4" w:rsidRDefault="00AC12B4">
            <w:pPr>
              <w:rPr>
                <w:sz w:val="24"/>
                <w:szCs w:val="24"/>
              </w:rPr>
            </w:pPr>
          </w:p>
        </w:tc>
        <w:tc>
          <w:tcPr>
            <w:tcW w:w="1580" w:type="dxa"/>
            <w:gridSpan w:val="2"/>
            <w:vAlign w:val="bottom"/>
          </w:tcPr>
          <w:p w:rsidR="00AC12B4" w:rsidRDefault="00C27636">
            <w:pPr>
              <w:ind w:left="80"/>
              <w:rPr>
                <w:sz w:val="20"/>
                <w:szCs w:val="20"/>
              </w:rPr>
            </w:pPr>
            <w:r>
              <w:rPr>
                <w:rFonts w:ascii="Calibri" w:eastAsia="Calibri" w:hAnsi="Calibri" w:cs="Calibri"/>
                <w:w w:val="98"/>
                <w:sz w:val="20"/>
                <w:szCs w:val="20"/>
              </w:rPr>
              <w:t>Fin 2013 : 101.049</w:t>
            </w:r>
          </w:p>
        </w:tc>
        <w:tc>
          <w:tcPr>
            <w:tcW w:w="580" w:type="dxa"/>
            <w:vAlign w:val="bottom"/>
          </w:tcPr>
          <w:p w:rsidR="00AC12B4" w:rsidRDefault="00AC12B4">
            <w:pPr>
              <w:rPr>
                <w:sz w:val="24"/>
                <w:szCs w:val="24"/>
              </w:rPr>
            </w:pPr>
          </w:p>
        </w:tc>
        <w:tc>
          <w:tcPr>
            <w:tcW w:w="760" w:type="dxa"/>
            <w:tcBorders>
              <w:right w:val="single" w:sz="8" w:space="0" w:color="auto"/>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62"/>
        </w:trPr>
        <w:tc>
          <w:tcPr>
            <w:tcW w:w="2720" w:type="dxa"/>
            <w:tcBorders>
              <w:left w:val="single" w:sz="8" w:space="0" w:color="auto"/>
              <w:right w:val="single" w:sz="8" w:space="0" w:color="auto"/>
            </w:tcBorders>
            <w:vAlign w:val="bottom"/>
          </w:tcPr>
          <w:p w:rsidR="00AC12B4" w:rsidRDefault="00AC12B4">
            <w:pPr>
              <w:rPr>
                <w:sz w:val="24"/>
                <w:szCs w:val="24"/>
              </w:rPr>
            </w:pPr>
          </w:p>
        </w:tc>
        <w:tc>
          <w:tcPr>
            <w:tcW w:w="3140" w:type="dxa"/>
            <w:gridSpan w:val="5"/>
            <w:tcBorders>
              <w:right w:val="single" w:sz="8" w:space="0" w:color="auto"/>
            </w:tcBorders>
            <w:vAlign w:val="bottom"/>
          </w:tcPr>
          <w:p w:rsidR="00AC12B4" w:rsidRDefault="00C27636">
            <w:pPr>
              <w:ind w:left="100"/>
              <w:rPr>
                <w:sz w:val="20"/>
                <w:szCs w:val="20"/>
              </w:rPr>
            </w:pPr>
            <w:r>
              <w:rPr>
                <w:rFonts w:ascii="Calibri" w:eastAsia="Calibri" w:hAnsi="Calibri" w:cs="Calibri"/>
                <w:sz w:val="20"/>
                <w:szCs w:val="20"/>
              </w:rPr>
              <w:t xml:space="preserve">Fin   2014 :   </w:t>
            </w:r>
            <w:r>
              <w:rPr>
                <w:rFonts w:ascii="Calibri" w:eastAsia="Calibri" w:hAnsi="Calibri" w:cs="Calibri"/>
                <w:sz w:val="20"/>
                <w:szCs w:val="20"/>
              </w:rPr>
              <w:t>‘presque   38.000</w:t>
            </w:r>
          </w:p>
        </w:tc>
        <w:tc>
          <w:tcPr>
            <w:tcW w:w="1580" w:type="dxa"/>
            <w:gridSpan w:val="2"/>
            <w:vAlign w:val="bottom"/>
          </w:tcPr>
          <w:p w:rsidR="00AC12B4" w:rsidRDefault="00C27636">
            <w:pPr>
              <w:ind w:left="80"/>
              <w:rPr>
                <w:sz w:val="20"/>
                <w:szCs w:val="20"/>
              </w:rPr>
            </w:pPr>
            <w:r>
              <w:rPr>
                <w:rFonts w:ascii="Calibri" w:eastAsia="Calibri" w:hAnsi="Calibri" w:cs="Calibri"/>
                <w:w w:val="98"/>
                <w:sz w:val="20"/>
                <w:szCs w:val="20"/>
              </w:rPr>
              <w:t>Fin 2014 : 101.078</w:t>
            </w:r>
          </w:p>
        </w:tc>
        <w:tc>
          <w:tcPr>
            <w:tcW w:w="580" w:type="dxa"/>
            <w:vAlign w:val="bottom"/>
          </w:tcPr>
          <w:p w:rsidR="00AC12B4" w:rsidRDefault="00AC12B4">
            <w:pPr>
              <w:rPr>
                <w:sz w:val="24"/>
                <w:szCs w:val="24"/>
              </w:rPr>
            </w:pPr>
          </w:p>
        </w:tc>
        <w:tc>
          <w:tcPr>
            <w:tcW w:w="760" w:type="dxa"/>
            <w:tcBorders>
              <w:right w:val="single" w:sz="8" w:space="0" w:color="auto"/>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45"/>
        </w:trPr>
        <w:tc>
          <w:tcPr>
            <w:tcW w:w="2720" w:type="dxa"/>
            <w:tcBorders>
              <w:left w:val="single" w:sz="8" w:space="0" w:color="auto"/>
              <w:right w:val="single" w:sz="8" w:space="0" w:color="auto"/>
            </w:tcBorders>
            <w:vAlign w:val="bottom"/>
          </w:tcPr>
          <w:p w:rsidR="00AC12B4" w:rsidRDefault="00AC12B4">
            <w:pPr>
              <w:rPr>
                <w:sz w:val="21"/>
                <w:szCs w:val="21"/>
              </w:rPr>
            </w:pPr>
          </w:p>
        </w:tc>
        <w:tc>
          <w:tcPr>
            <w:tcW w:w="1120" w:type="dxa"/>
            <w:gridSpan w:val="2"/>
            <w:vAlign w:val="bottom"/>
          </w:tcPr>
          <w:p w:rsidR="00AC12B4" w:rsidRDefault="00C27636">
            <w:pPr>
              <w:ind w:left="100"/>
              <w:rPr>
                <w:sz w:val="20"/>
                <w:szCs w:val="20"/>
              </w:rPr>
            </w:pPr>
            <w:r>
              <w:rPr>
                <w:rFonts w:ascii="Calibri" w:eastAsia="Calibri" w:hAnsi="Calibri" w:cs="Calibri"/>
                <w:sz w:val="20"/>
                <w:szCs w:val="20"/>
              </w:rPr>
              <w:t>ménages’</w:t>
            </w:r>
          </w:p>
        </w:tc>
        <w:tc>
          <w:tcPr>
            <w:tcW w:w="980" w:type="dxa"/>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600" w:type="dxa"/>
            <w:tcBorders>
              <w:right w:val="single" w:sz="8" w:space="0" w:color="auto"/>
            </w:tcBorders>
            <w:vAlign w:val="bottom"/>
          </w:tcPr>
          <w:p w:rsidR="00AC12B4" w:rsidRDefault="00AC12B4">
            <w:pPr>
              <w:rPr>
                <w:sz w:val="21"/>
                <w:szCs w:val="21"/>
              </w:rPr>
            </w:pPr>
          </w:p>
        </w:tc>
        <w:tc>
          <w:tcPr>
            <w:tcW w:w="600" w:type="dxa"/>
            <w:vAlign w:val="bottom"/>
          </w:tcPr>
          <w:p w:rsidR="00AC12B4" w:rsidRDefault="00AC12B4">
            <w:pPr>
              <w:rPr>
                <w:sz w:val="21"/>
                <w:szCs w:val="21"/>
              </w:rPr>
            </w:pPr>
          </w:p>
        </w:tc>
        <w:tc>
          <w:tcPr>
            <w:tcW w:w="980" w:type="dxa"/>
            <w:vAlign w:val="bottom"/>
          </w:tcPr>
          <w:p w:rsidR="00AC12B4" w:rsidRDefault="00AC12B4">
            <w:pPr>
              <w:rPr>
                <w:sz w:val="21"/>
                <w:szCs w:val="21"/>
              </w:rPr>
            </w:pPr>
          </w:p>
        </w:tc>
        <w:tc>
          <w:tcPr>
            <w:tcW w:w="580" w:type="dxa"/>
            <w:vAlign w:val="bottom"/>
          </w:tcPr>
          <w:p w:rsidR="00AC12B4" w:rsidRDefault="00AC12B4">
            <w:pPr>
              <w:rPr>
                <w:sz w:val="21"/>
                <w:szCs w:val="21"/>
              </w:rPr>
            </w:pPr>
          </w:p>
        </w:tc>
        <w:tc>
          <w:tcPr>
            <w:tcW w:w="760" w:type="dxa"/>
            <w:tcBorders>
              <w:right w:val="single" w:sz="8" w:space="0" w:color="auto"/>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27"/>
        </w:trPr>
        <w:tc>
          <w:tcPr>
            <w:tcW w:w="2720" w:type="dxa"/>
            <w:tcBorders>
              <w:left w:val="single" w:sz="8" w:space="0" w:color="auto"/>
              <w:bottom w:val="single" w:sz="8" w:space="0" w:color="auto"/>
              <w:right w:val="single" w:sz="8" w:space="0" w:color="auto"/>
            </w:tcBorders>
            <w:vAlign w:val="bottom"/>
          </w:tcPr>
          <w:p w:rsidR="00AC12B4" w:rsidRDefault="00AC12B4">
            <w:pPr>
              <w:rPr>
                <w:sz w:val="11"/>
                <w:szCs w:val="11"/>
              </w:rPr>
            </w:pPr>
          </w:p>
        </w:tc>
        <w:tc>
          <w:tcPr>
            <w:tcW w:w="2540" w:type="dxa"/>
            <w:gridSpan w:val="4"/>
            <w:tcBorders>
              <w:bottom w:val="single" w:sz="8" w:space="0" w:color="auto"/>
            </w:tcBorders>
            <w:vAlign w:val="bottom"/>
          </w:tcPr>
          <w:p w:rsidR="00AC12B4" w:rsidRDefault="00AC12B4">
            <w:pPr>
              <w:rPr>
                <w:sz w:val="11"/>
                <w:szCs w:val="11"/>
              </w:rPr>
            </w:pPr>
          </w:p>
        </w:tc>
        <w:tc>
          <w:tcPr>
            <w:tcW w:w="600" w:type="dxa"/>
            <w:tcBorders>
              <w:bottom w:val="single" w:sz="8" w:space="0" w:color="auto"/>
              <w:right w:val="single" w:sz="8" w:space="0" w:color="auto"/>
            </w:tcBorders>
            <w:vAlign w:val="bottom"/>
          </w:tcPr>
          <w:p w:rsidR="00AC12B4" w:rsidRDefault="00AC12B4">
            <w:pPr>
              <w:rPr>
                <w:sz w:val="11"/>
                <w:szCs w:val="11"/>
              </w:rPr>
            </w:pPr>
          </w:p>
        </w:tc>
        <w:tc>
          <w:tcPr>
            <w:tcW w:w="1580" w:type="dxa"/>
            <w:gridSpan w:val="2"/>
            <w:tcBorders>
              <w:bottom w:val="single" w:sz="8" w:space="0" w:color="auto"/>
            </w:tcBorders>
            <w:vAlign w:val="bottom"/>
          </w:tcPr>
          <w:p w:rsidR="00AC12B4" w:rsidRDefault="00AC12B4">
            <w:pPr>
              <w:rPr>
                <w:sz w:val="11"/>
                <w:szCs w:val="11"/>
              </w:rPr>
            </w:pPr>
          </w:p>
        </w:tc>
        <w:tc>
          <w:tcPr>
            <w:tcW w:w="580" w:type="dxa"/>
            <w:tcBorders>
              <w:bottom w:val="single" w:sz="8" w:space="0" w:color="auto"/>
            </w:tcBorders>
            <w:vAlign w:val="bottom"/>
          </w:tcPr>
          <w:p w:rsidR="00AC12B4" w:rsidRDefault="00AC12B4">
            <w:pPr>
              <w:rPr>
                <w:sz w:val="11"/>
                <w:szCs w:val="11"/>
              </w:rPr>
            </w:pPr>
          </w:p>
        </w:tc>
        <w:tc>
          <w:tcPr>
            <w:tcW w:w="760" w:type="dxa"/>
            <w:tcBorders>
              <w:bottom w:val="single" w:sz="8" w:space="0" w:color="auto"/>
              <w:right w:val="single" w:sz="8" w:space="0" w:color="auto"/>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27"/>
        </w:trPr>
        <w:tc>
          <w:tcPr>
            <w:tcW w:w="2720" w:type="dxa"/>
            <w:tcBorders>
              <w:left w:val="single" w:sz="8" w:space="0" w:color="auto"/>
              <w:right w:val="single" w:sz="8" w:space="0" w:color="auto"/>
            </w:tcBorders>
            <w:vAlign w:val="bottom"/>
          </w:tcPr>
          <w:p w:rsidR="00AC12B4" w:rsidRDefault="00C27636">
            <w:pPr>
              <w:spacing w:line="227" w:lineRule="exact"/>
              <w:ind w:left="100"/>
              <w:rPr>
                <w:sz w:val="20"/>
                <w:szCs w:val="20"/>
              </w:rPr>
            </w:pPr>
            <w:r>
              <w:rPr>
                <w:rFonts w:ascii="Calibri" w:eastAsia="Calibri" w:hAnsi="Calibri" w:cs="Calibri"/>
                <w:b/>
                <w:bCs/>
                <w:sz w:val="20"/>
                <w:szCs w:val="20"/>
              </w:rPr>
              <w:t>Bruxelles</w:t>
            </w:r>
          </w:p>
        </w:tc>
        <w:tc>
          <w:tcPr>
            <w:tcW w:w="2540" w:type="dxa"/>
            <w:gridSpan w:val="4"/>
            <w:vAlign w:val="bottom"/>
          </w:tcPr>
          <w:p w:rsidR="00AC12B4" w:rsidRDefault="00C27636">
            <w:pPr>
              <w:spacing w:line="227" w:lineRule="exact"/>
              <w:ind w:left="100"/>
              <w:rPr>
                <w:sz w:val="20"/>
                <w:szCs w:val="20"/>
              </w:rPr>
            </w:pPr>
            <w:r>
              <w:rPr>
                <w:rFonts w:ascii="Calibri" w:eastAsia="Calibri" w:hAnsi="Calibri" w:cs="Calibri"/>
                <w:sz w:val="20"/>
                <w:szCs w:val="20"/>
              </w:rPr>
              <w:t>Fin 2012 : 41.461 personnes</w:t>
            </w:r>
          </w:p>
        </w:tc>
        <w:tc>
          <w:tcPr>
            <w:tcW w:w="600" w:type="dxa"/>
            <w:tcBorders>
              <w:right w:val="single" w:sz="8" w:space="0" w:color="auto"/>
            </w:tcBorders>
            <w:vAlign w:val="bottom"/>
          </w:tcPr>
          <w:p w:rsidR="00AC12B4" w:rsidRDefault="00AC12B4">
            <w:pPr>
              <w:rPr>
                <w:sz w:val="19"/>
                <w:szCs w:val="19"/>
              </w:rPr>
            </w:pPr>
          </w:p>
        </w:tc>
        <w:tc>
          <w:tcPr>
            <w:tcW w:w="1580" w:type="dxa"/>
            <w:gridSpan w:val="2"/>
            <w:vAlign w:val="bottom"/>
          </w:tcPr>
          <w:p w:rsidR="00AC12B4" w:rsidRDefault="00C27636">
            <w:pPr>
              <w:spacing w:line="227" w:lineRule="exact"/>
              <w:ind w:left="80"/>
              <w:rPr>
                <w:sz w:val="20"/>
                <w:szCs w:val="20"/>
              </w:rPr>
            </w:pPr>
            <w:r>
              <w:rPr>
                <w:rFonts w:ascii="Calibri" w:eastAsia="Calibri" w:hAnsi="Calibri" w:cs="Calibri"/>
                <w:sz w:val="20"/>
                <w:szCs w:val="20"/>
              </w:rPr>
              <w:t>Fin 2012 : 35.883</w:t>
            </w:r>
          </w:p>
        </w:tc>
        <w:tc>
          <w:tcPr>
            <w:tcW w:w="580" w:type="dxa"/>
            <w:vAlign w:val="bottom"/>
          </w:tcPr>
          <w:p w:rsidR="00AC12B4" w:rsidRDefault="00AC12B4">
            <w:pPr>
              <w:rPr>
                <w:sz w:val="19"/>
                <w:szCs w:val="19"/>
              </w:rPr>
            </w:pPr>
          </w:p>
        </w:tc>
        <w:tc>
          <w:tcPr>
            <w:tcW w:w="760" w:type="dxa"/>
            <w:tcBorders>
              <w:right w:val="single" w:sz="8" w:space="0" w:color="auto"/>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rsidRPr="00C27636">
        <w:trPr>
          <w:trHeight w:val="365"/>
        </w:trPr>
        <w:tc>
          <w:tcPr>
            <w:tcW w:w="2720" w:type="dxa"/>
            <w:tcBorders>
              <w:left w:val="single" w:sz="8" w:space="0" w:color="auto"/>
              <w:right w:val="single" w:sz="8" w:space="0" w:color="auto"/>
            </w:tcBorders>
            <w:vAlign w:val="bottom"/>
          </w:tcPr>
          <w:p w:rsidR="00AC12B4" w:rsidRDefault="00AC12B4">
            <w:pPr>
              <w:rPr>
                <w:sz w:val="24"/>
                <w:szCs w:val="24"/>
              </w:rPr>
            </w:pPr>
          </w:p>
        </w:tc>
        <w:tc>
          <w:tcPr>
            <w:tcW w:w="2540" w:type="dxa"/>
            <w:gridSpan w:val="4"/>
            <w:vAlign w:val="bottom"/>
          </w:tcPr>
          <w:p w:rsidR="00AC12B4" w:rsidRDefault="00C27636">
            <w:pPr>
              <w:ind w:left="100"/>
              <w:rPr>
                <w:sz w:val="20"/>
                <w:szCs w:val="20"/>
              </w:rPr>
            </w:pPr>
            <w:r>
              <w:rPr>
                <w:rFonts w:ascii="Calibri" w:eastAsia="Calibri" w:hAnsi="Calibri" w:cs="Calibri"/>
                <w:sz w:val="20"/>
                <w:szCs w:val="20"/>
              </w:rPr>
              <w:t>Fin 2013 : 44.332 personnes</w:t>
            </w:r>
          </w:p>
        </w:tc>
        <w:tc>
          <w:tcPr>
            <w:tcW w:w="600" w:type="dxa"/>
            <w:tcBorders>
              <w:right w:val="single" w:sz="8" w:space="0" w:color="auto"/>
            </w:tcBorders>
            <w:vAlign w:val="bottom"/>
          </w:tcPr>
          <w:p w:rsidR="00AC12B4" w:rsidRDefault="00AC12B4">
            <w:pPr>
              <w:rPr>
                <w:sz w:val="24"/>
                <w:szCs w:val="24"/>
              </w:rPr>
            </w:pPr>
          </w:p>
        </w:tc>
        <w:tc>
          <w:tcPr>
            <w:tcW w:w="2920" w:type="dxa"/>
            <w:gridSpan w:val="4"/>
            <w:tcBorders>
              <w:right w:val="single" w:sz="8" w:space="0" w:color="auto"/>
            </w:tcBorders>
            <w:vAlign w:val="bottom"/>
          </w:tcPr>
          <w:p w:rsidR="00AC12B4" w:rsidRPr="00C27636" w:rsidRDefault="00C27636">
            <w:pPr>
              <w:ind w:left="80"/>
              <w:rPr>
                <w:sz w:val="20"/>
                <w:szCs w:val="20"/>
                <w:lang w:val="fr-BE"/>
              </w:rPr>
            </w:pPr>
            <w:r w:rsidRPr="00C27636">
              <w:rPr>
                <w:rFonts w:ascii="Calibri" w:eastAsia="Calibri" w:hAnsi="Calibri" w:cs="Calibri"/>
                <w:sz w:val="20"/>
                <w:szCs w:val="20"/>
                <w:lang w:val="fr-BE"/>
              </w:rPr>
              <w:t>(dont 35,76% est habité par une</w:t>
            </w:r>
          </w:p>
        </w:tc>
        <w:tc>
          <w:tcPr>
            <w:tcW w:w="0" w:type="dxa"/>
            <w:vAlign w:val="bottom"/>
          </w:tcPr>
          <w:p w:rsidR="00AC12B4" w:rsidRPr="00C27636" w:rsidRDefault="00AC12B4">
            <w:pPr>
              <w:rPr>
                <w:sz w:val="1"/>
                <w:szCs w:val="1"/>
                <w:lang w:val="fr-BE"/>
              </w:rPr>
            </w:pPr>
          </w:p>
        </w:tc>
      </w:tr>
      <w:tr w:rsidR="00AC12B4">
        <w:trPr>
          <w:trHeight w:val="242"/>
        </w:trPr>
        <w:tc>
          <w:tcPr>
            <w:tcW w:w="2720" w:type="dxa"/>
            <w:tcBorders>
              <w:left w:val="single" w:sz="8" w:space="0" w:color="auto"/>
              <w:right w:val="single" w:sz="8" w:space="0" w:color="auto"/>
            </w:tcBorders>
            <w:vAlign w:val="bottom"/>
          </w:tcPr>
          <w:p w:rsidR="00AC12B4" w:rsidRPr="00C27636" w:rsidRDefault="00AC12B4">
            <w:pPr>
              <w:rPr>
                <w:sz w:val="21"/>
                <w:szCs w:val="21"/>
                <w:lang w:val="fr-BE"/>
              </w:rPr>
            </w:pPr>
          </w:p>
        </w:tc>
        <w:tc>
          <w:tcPr>
            <w:tcW w:w="2540" w:type="dxa"/>
            <w:gridSpan w:val="4"/>
            <w:vMerge w:val="restart"/>
            <w:vAlign w:val="bottom"/>
          </w:tcPr>
          <w:p w:rsidR="00AC12B4" w:rsidRDefault="00C27636">
            <w:pPr>
              <w:ind w:left="100"/>
              <w:rPr>
                <w:sz w:val="20"/>
                <w:szCs w:val="20"/>
              </w:rPr>
            </w:pPr>
            <w:r>
              <w:rPr>
                <w:rFonts w:ascii="Calibri" w:eastAsia="Calibri" w:hAnsi="Calibri" w:cs="Calibri"/>
                <w:sz w:val="20"/>
                <w:szCs w:val="20"/>
              </w:rPr>
              <w:t>Fin 2014 : 42.540 personnes</w:t>
            </w:r>
          </w:p>
        </w:tc>
        <w:tc>
          <w:tcPr>
            <w:tcW w:w="600" w:type="dxa"/>
            <w:tcBorders>
              <w:right w:val="single" w:sz="8" w:space="0" w:color="auto"/>
            </w:tcBorders>
            <w:vAlign w:val="bottom"/>
          </w:tcPr>
          <w:p w:rsidR="00AC12B4" w:rsidRDefault="00AC12B4">
            <w:pPr>
              <w:rPr>
                <w:sz w:val="21"/>
                <w:szCs w:val="21"/>
              </w:rPr>
            </w:pPr>
          </w:p>
        </w:tc>
        <w:tc>
          <w:tcPr>
            <w:tcW w:w="2160" w:type="dxa"/>
            <w:gridSpan w:val="3"/>
            <w:vAlign w:val="bottom"/>
          </w:tcPr>
          <w:p w:rsidR="00AC12B4" w:rsidRPr="00C27636" w:rsidRDefault="00C27636">
            <w:pPr>
              <w:spacing w:line="243" w:lineRule="exact"/>
              <w:ind w:left="80"/>
              <w:rPr>
                <w:sz w:val="20"/>
                <w:szCs w:val="20"/>
                <w:lang w:val="fr-BE"/>
              </w:rPr>
            </w:pPr>
            <w:r w:rsidRPr="00C27636">
              <w:rPr>
                <w:rFonts w:ascii="Calibri" w:eastAsia="Calibri" w:hAnsi="Calibri" w:cs="Calibri"/>
                <w:sz w:val="20"/>
                <w:szCs w:val="20"/>
                <w:lang w:val="fr-BE"/>
              </w:rPr>
              <w:t>famille avec enfant(s) à</w:t>
            </w:r>
          </w:p>
        </w:tc>
        <w:tc>
          <w:tcPr>
            <w:tcW w:w="760" w:type="dxa"/>
            <w:tcBorders>
              <w:right w:val="single" w:sz="8" w:space="0" w:color="auto"/>
            </w:tcBorders>
            <w:vAlign w:val="bottom"/>
          </w:tcPr>
          <w:p w:rsidR="00AC12B4" w:rsidRDefault="00C27636">
            <w:pPr>
              <w:spacing w:line="243" w:lineRule="exact"/>
              <w:ind w:right="27"/>
              <w:jc w:val="right"/>
              <w:rPr>
                <w:sz w:val="20"/>
                <w:szCs w:val="20"/>
              </w:rPr>
            </w:pPr>
            <w:r>
              <w:rPr>
                <w:rFonts w:ascii="Calibri" w:eastAsia="Calibri" w:hAnsi="Calibri" w:cs="Calibri"/>
                <w:sz w:val="20"/>
                <w:szCs w:val="20"/>
              </w:rPr>
              <w:t>charge.</w:t>
            </w:r>
          </w:p>
        </w:tc>
        <w:tc>
          <w:tcPr>
            <w:tcW w:w="0" w:type="dxa"/>
            <w:vAlign w:val="bottom"/>
          </w:tcPr>
          <w:p w:rsidR="00AC12B4" w:rsidRDefault="00AC12B4">
            <w:pPr>
              <w:rPr>
                <w:sz w:val="1"/>
                <w:szCs w:val="1"/>
              </w:rPr>
            </w:pPr>
          </w:p>
        </w:tc>
      </w:tr>
      <w:tr w:rsidR="00AC12B4" w:rsidRPr="00C27636">
        <w:trPr>
          <w:trHeight w:val="120"/>
        </w:trPr>
        <w:tc>
          <w:tcPr>
            <w:tcW w:w="2720" w:type="dxa"/>
            <w:tcBorders>
              <w:left w:val="single" w:sz="8" w:space="0" w:color="auto"/>
              <w:right w:val="single" w:sz="8" w:space="0" w:color="auto"/>
            </w:tcBorders>
            <w:vAlign w:val="bottom"/>
          </w:tcPr>
          <w:p w:rsidR="00AC12B4" w:rsidRDefault="00AC12B4">
            <w:pPr>
              <w:rPr>
                <w:sz w:val="10"/>
                <w:szCs w:val="10"/>
              </w:rPr>
            </w:pPr>
          </w:p>
        </w:tc>
        <w:tc>
          <w:tcPr>
            <w:tcW w:w="2540" w:type="dxa"/>
            <w:gridSpan w:val="4"/>
            <w:vMerge/>
            <w:vAlign w:val="bottom"/>
          </w:tcPr>
          <w:p w:rsidR="00AC12B4" w:rsidRDefault="00AC12B4">
            <w:pPr>
              <w:rPr>
                <w:sz w:val="10"/>
                <w:szCs w:val="10"/>
              </w:rPr>
            </w:pPr>
          </w:p>
        </w:tc>
        <w:tc>
          <w:tcPr>
            <w:tcW w:w="600" w:type="dxa"/>
            <w:tcBorders>
              <w:right w:val="single" w:sz="8" w:space="0" w:color="auto"/>
            </w:tcBorders>
            <w:vAlign w:val="bottom"/>
          </w:tcPr>
          <w:p w:rsidR="00AC12B4" w:rsidRDefault="00AC12B4">
            <w:pPr>
              <w:rPr>
                <w:sz w:val="10"/>
                <w:szCs w:val="10"/>
              </w:rPr>
            </w:pPr>
          </w:p>
        </w:tc>
        <w:tc>
          <w:tcPr>
            <w:tcW w:w="2920" w:type="dxa"/>
            <w:gridSpan w:val="4"/>
            <w:vMerge w:val="restart"/>
            <w:tcBorders>
              <w:right w:val="single" w:sz="8" w:space="0" w:color="auto"/>
            </w:tcBorders>
            <w:vAlign w:val="bottom"/>
          </w:tcPr>
          <w:p w:rsidR="00AC12B4" w:rsidRPr="00C27636" w:rsidRDefault="00C27636">
            <w:pPr>
              <w:ind w:left="80"/>
              <w:rPr>
                <w:sz w:val="20"/>
                <w:szCs w:val="20"/>
                <w:lang w:val="fr-BE"/>
              </w:rPr>
            </w:pPr>
            <w:r w:rsidRPr="00C27636">
              <w:rPr>
                <w:rFonts w:ascii="Calibri" w:eastAsia="Calibri" w:hAnsi="Calibri" w:cs="Calibri"/>
                <w:sz w:val="20"/>
                <w:szCs w:val="20"/>
                <w:lang w:val="fr-BE"/>
              </w:rPr>
              <w:t>Presque la moitié de ces familles</w:t>
            </w:r>
          </w:p>
        </w:tc>
        <w:tc>
          <w:tcPr>
            <w:tcW w:w="0" w:type="dxa"/>
            <w:vAlign w:val="bottom"/>
          </w:tcPr>
          <w:p w:rsidR="00AC12B4" w:rsidRPr="00C27636" w:rsidRDefault="00AC12B4">
            <w:pPr>
              <w:rPr>
                <w:sz w:val="1"/>
                <w:szCs w:val="1"/>
                <w:lang w:val="fr-BE"/>
              </w:rPr>
            </w:pPr>
          </w:p>
        </w:tc>
      </w:tr>
      <w:tr w:rsidR="00AC12B4" w:rsidRPr="00C27636">
        <w:trPr>
          <w:trHeight w:val="125"/>
        </w:trPr>
        <w:tc>
          <w:tcPr>
            <w:tcW w:w="2720" w:type="dxa"/>
            <w:tcBorders>
              <w:left w:val="single" w:sz="8" w:space="0" w:color="auto"/>
              <w:right w:val="single" w:sz="8" w:space="0" w:color="auto"/>
            </w:tcBorders>
            <w:vAlign w:val="bottom"/>
          </w:tcPr>
          <w:p w:rsidR="00AC12B4" w:rsidRPr="00C27636" w:rsidRDefault="00AC12B4">
            <w:pPr>
              <w:rPr>
                <w:sz w:val="10"/>
                <w:szCs w:val="10"/>
                <w:lang w:val="fr-BE"/>
              </w:rPr>
            </w:pPr>
          </w:p>
        </w:tc>
        <w:tc>
          <w:tcPr>
            <w:tcW w:w="580" w:type="dxa"/>
            <w:vAlign w:val="bottom"/>
          </w:tcPr>
          <w:p w:rsidR="00AC12B4" w:rsidRPr="00C27636" w:rsidRDefault="00AC12B4">
            <w:pPr>
              <w:rPr>
                <w:sz w:val="10"/>
                <w:szCs w:val="10"/>
                <w:lang w:val="fr-BE"/>
              </w:rPr>
            </w:pPr>
          </w:p>
        </w:tc>
        <w:tc>
          <w:tcPr>
            <w:tcW w:w="540" w:type="dxa"/>
            <w:vAlign w:val="bottom"/>
          </w:tcPr>
          <w:p w:rsidR="00AC12B4" w:rsidRPr="00C27636" w:rsidRDefault="00AC12B4">
            <w:pPr>
              <w:rPr>
                <w:sz w:val="10"/>
                <w:szCs w:val="10"/>
                <w:lang w:val="fr-BE"/>
              </w:rPr>
            </w:pPr>
          </w:p>
        </w:tc>
        <w:tc>
          <w:tcPr>
            <w:tcW w:w="980" w:type="dxa"/>
            <w:vAlign w:val="bottom"/>
          </w:tcPr>
          <w:p w:rsidR="00AC12B4" w:rsidRPr="00C27636" w:rsidRDefault="00AC12B4">
            <w:pPr>
              <w:rPr>
                <w:sz w:val="10"/>
                <w:szCs w:val="10"/>
                <w:lang w:val="fr-BE"/>
              </w:rPr>
            </w:pPr>
          </w:p>
        </w:tc>
        <w:tc>
          <w:tcPr>
            <w:tcW w:w="440" w:type="dxa"/>
            <w:vAlign w:val="bottom"/>
          </w:tcPr>
          <w:p w:rsidR="00AC12B4" w:rsidRPr="00C27636" w:rsidRDefault="00AC12B4">
            <w:pPr>
              <w:rPr>
                <w:sz w:val="10"/>
                <w:szCs w:val="10"/>
                <w:lang w:val="fr-BE"/>
              </w:rPr>
            </w:pPr>
          </w:p>
        </w:tc>
        <w:tc>
          <w:tcPr>
            <w:tcW w:w="600" w:type="dxa"/>
            <w:tcBorders>
              <w:right w:val="single" w:sz="8" w:space="0" w:color="auto"/>
            </w:tcBorders>
            <w:vAlign w:val="bottom"/>
          </w:tcPr>
          <w:p w:rsidR="00AC12B4" w:rsidRPr="00C27636" w:rsidRDefault="00AC12B4">
            <w:pPr>
              <w:rPr>
                <w:sz w:val="10"/>
                <w:szCs w:val="10"/>
                <w:lang w:val="fr-BE"/>
              </w:rPr>
            </w:pPr>
          </w:p>
        </w:tc>
        <w:tc>
          <w:tcPr>
            <w:tcW w:w="2920" w:type="dxa"/>
            <w:gridSpan w:val="4"/>
            <w:vMerge/>
            <w:tcBorders>
              <w:right w:val="single" w:sz="8" w:space="0" w:color="auto"/>
            </w:tcBorders>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trPr>
          <w:trHeight w:val="245"/>
        </w:trPr>
        <w:tc>
          <w:tcPr>
            <w:tcW w:w="2720" w:type="dxa"/>
            <w:tcBorders>
              <w:left w:val="single" w:sz="8" w:space="0" w:color="auto"/>
              <w:right w:val="single" w:sz="8" w:space="0" w:color="auto"/>
            </w:tcBorders>
            <w:vAlign w:val="bottom"/>
          </w:tcPr>
          <w:p w:rsidR="00AC12B4" w:rsidRPr="00C27636" w:rsidRDefault="00AC12B4">
            <w:pPr>
              <w:rPr>
                <w:sz w:val="21"/>
                <w:szCs w:val="21"/>
                <w:lang w:val="fr-BE"/>
              </w:rPr>
            </w:pPr>
          </w:p>
        </w:tc>
        <w:tc>
          <w:tcPr>
            <w:tcW w:w="580" w:type="dxa"/>
            <w:vAlign w:val="bottom"/>
          </w:tcPr>
          <w:p w:rsidR="00AC12B4" w:rsidRDefault="00C27636">
            <w:pPr>
              <w:spacing w:line="240" w:lineRule="exact"/>
              <w:ind w:left="100"/>
              <w:rPr>
                <w:sz w:val="20"/>
                <w:szCs w:val="20"/>
              </w:rPr>
            </w:pPr>
            <w:r>
              <w:rPr>
                <w:rFonts w:ascii="Calibri" w:eastAsia="Calibri" w:hAnsi="Calibri" w:cs="Calibri"/>
                <w:sz w:val="20"/>
                <w:szCs w:val="20"/>
              </w:rPr>
              <w:t>7.245</w:t>
            </w:r>
          </w:p>
        </w:tc>
        <w:tc>
          <w:tcPr>
            <w:tcW w:w="1960" w:type="dxa"/>
            <w:gridSpan w:val="3"/>
            <w:vAlign w:val="bottom"/>
          </w:tcPr>
          <w:p w:rsidR="00AC12B4" w:rsidRDefault="00C27636">
            <w:pPr>
              <w:spacing w:line="240" w:lineRule="exact"/>
              <w:ind w:left="200"/>
              <w:rPr>
                <w:sz w:val="20"/>
                <w:szCs w:val="20"/>
              </w:rPr>
            </w:pPr>
            <w:r>
              <w:rPr>
                <w:rFonts w:ascii="Calibri" w:eastAsia="Calibri" w:hAnsi="Calibri" w:cs="Calibri"/>
                <w:sz w:val="20"/>
                <w:szCs w:val="20"/>
              </w:rPr>
              <w:t>parents  déclarent</w:t>
            </w:r>
          </w:p>
        </w:tc>
        <w:tc>
          <w:tcPr>
            <w:tcW w:w="600" w:type="dxa"/>
            <w:tcBorders>
              <w:right w:val="single" w:sz="8" w:space="0" w:color="auto"/>
            </w:tcBorders>
            <w:vAlign w:val="bottom"/>
          </w:tcPr>
          <w:p w:rsidR="00AC12B4" w:rsidRDefault="00C27636">
            <w:pPr>
              <w:spacing w:line="240" w:lineRule="exact"/>
              <w:ind w:right="40"/>
              <w:jc w:val="right"/>
              <w:rPr>
                <w:sz w:val="20"/>
                <w:szCs w:val="20"/>
              </w:rPr>
            </w:pPr>
            <w:r>
              <w:rPr>
                <w:rFonts w:ascii="Calibri" w:eastAsia="Calibri" w:hAnsi="Calibri" w:cs="Calibri"/>
                <w:sz w:val="20"/>
                <w:szCs w:val="20"/>
              </w:rPr>
              <w:t>vivre</w:t>
            </w:r>
          </w:p>
        </w:tc>
        <w:tc>
          <w:tcPr>
            <w:tcW w:w="2920" w:type="dxa"/>
            <w:gridSpan w:val="4"/>
            <w:tcBorders>
              <w:right w:val="single" w:sz="8" w:space="0" w:color="auto"/>
            </w:tcBorders>
            <w:vAlign w:val="bottom"/>
          </w:tcPr>
          <w:p w:rsidR="00AC12B4" w:rsidRDefault="00C27636">
            <w:pPr>
              <w:ind w:left="80"/>
              <w:rPr>
                <w:sz w:val="20"/>
                <w:szCs w:val="20"/>
              </w:rPr>
            </w:pPr>
            <w:r>
              <w:rPr>
                <w:rFonts w:ascii="Calibri" w:eastAsia="Calibri" w:hAnsi="Calibri" w:cs="Calibri"/>
                <w:sz w:val="20"/>
                <w:szCs w:val="20"/>
              </w:rPr>
              <w:t>concerne  des  familles  mono-</w:t>
            </w:r>
          </w:p>
        </w:tc>
        <w:tc>
          <w:tcPr>
            <w:tcW w:w="0" w:type="dxa"/>
            <w:vAlign w:val="bottom"/>
          </w:tcPr>
          <w:p w:rsidR="00AC12B4" w:rsidRDefault="00AC12B4">
            <w:pPr>
              <w:rPr>
                <w:sz w:val="1"/>
                <w:szCs w:val="1"/>
              </w:rPr>
            </w:pPr>
          </w:p>
        </w:tc>
      </w:tr>
      <w:tr w:rsidR="00AC12B4">
        <w:trPr>
          <w:trHeight w:val="242"/>
        </w:trPr>
        <w:tc>
          <w:tcPr>
            <w:tcW w:w="2720" w:type="dxa"/>
            <w:tcBorders>
              <w:left w:val="single" w:sz="8" w:space="0" w:color="auto"/>
              <w:right w:val="single" w:sz="8" w:space="0" w:color="auto"/>
            </w:tcBorders>
            <w:vAlign w:val="bottom"/>
          </w:tcPr>
          <w:p w:rsidR="00AC12B4" w:rsidRDefault="00AC12B4">
            <w:pPr>
              <w:rPr>
                <w:sz w:val="21"/>
                <w:szCs w:val="21"/>
              </w:rPr>
            </w:pPr>
          </w:p>
        </w:tc>
        <w:tc>
          <w:tcPr>
            <w:tcW w:w="3140" w:type="dxa"/>
            <w:gridSpan w:val="5"/>
            <w:tcBorders>
              <w:right w:val="single" w:sz="8" w:space="0" w:color="auto"/>
            </w:tcBorders>
            <w:vAlign w:val="bottom"/>
          </w:tcPr>
          <w:p w:rsidR="00AC12B4" w:rsidRPr="00C27636" w:rsidRDefault="00C27636">
            <w:pPr>
              <w:spacing w:line="240" w:lineRule="exact"/>
              <w:ind w:left="100"/>
              <w:rPr>
                <w:sz w:val="20"/>
                <w:szCs w:val="20"/>
                <w:lang w:val="fr-BE"/>
              </w:rPr>
            </w:pPr>
            <w:r w:rsidRPr="00C27636">
              <w:rPr>
                <w:rFonts w:ascii="Calibri" w:eastAsia="Calibri" w:hAnsi="Calibri" w:cs="Calibri"/>
                <w:sz w:val="20"/>
                <w:szCs w:val="20"/>
                <w:lang w:val="fr-BE"/>
              </w:rPr>
              <w:t>seul(e)s avec enfant(s) à charge sur</w:t>
            </w:r>
          </w:p>
        </w:tc>
        <w:tc>
          <w:tcPr>
            <w:tcW w:w="1580" w:type="dxa"/>
            <w:gridSpan w:val="2"/>
            <w:vAlign w:val="bottom"/>
          </w:tcPr>
          <w:p w:rsidR="00AC12B4" w:rsidRDefault="00C27636">
            <w:pPr>
              <w:spacing w:line="243" w:lineRule="exact"/>
              <w:ind w:left="80"/>
              <w:rPr>
                <w:sz w:val="20"/>
                <w:szCs w:val="20"/>
              </w:rPr>
            </w:pPr>
            <w:r>
              <w:rPr>
                <w:rFonts w:ascii="Calibri" w:eastAsia="Calibri" w:hAnsi="Calibri" w:cs="Calibri"/>
                <w:sz w:val="20"/>
                <w:szCs w:val="20"/>
              </w:rPr>
              <w:t>parentales)</w:t>
            </w:r>
          </w:p>
        </w:tc>
        <w:tc>
          <w:tcPr>
            <w:tcW w:w="580" w:type="dxa"/>
            <w:vAlign w:val="bottom"/>
          </w:tcPr>
          <w:p w:rsidR="00AC12B4" w:rsidRDefault="00AC12B4">
            <w:pPr>
              <w:rPr>
                <w:sz w:val="21"/>
                <w:szCs w:val="21"/>
              </w:rPr>
            </w:pPr>
          </w:p>
        </w:tc>
        <w:tc>
          <w:tcPr>
            <w:tcW w:w="760" w:type="dxa"/>
            <w:tcBorders>
              <w:right w:val="single" w:sz="8" w:space="0" w:color="auto"/>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40"/>
        </w:trPr>
        <w:tc>
          <w:tcPr>
            <w:tcW w:w="2720" w:type="dxa"/>
            <w:tcBorders>
              <w:left w:val="single" w:sz="8" w:space="0" w:color="auto"/>
              <w:right w:val="single" w:sz="8" w:space="0" w:color="auto"/>
            </w:tcBorders>
            <w:vAlign w:val="bottom"/>
          </w:tcPr>
          <w:p w:rsidR="00AC12B4" w:rsidRDefault="00AC12B4">
            <w:pPr>
              <w:rPr>
                <w:sz w:val="20"/>
                <w:szCs w:val="20"/>
              </w:rPr>
            </w:pPr>
          </w:p>
        </w:tc>
        <w:tc>
          <w:tcPr>
            <w:tcW w:w="2100" w:type="dxa"/>
            <w:gridSpan w:val="3"/>
            <w:vAlign w:val="bottom"/>
          </w:tcPr>
          <w:p w:rsidR="00AC12B4" w:rsidRDefault="00C27636">
            <w:pPr>
              <w:spacing w:line="240" w:lineRule="exact"/>
              <w:ind w:left="100"/>
              <w:rPr>
                <w:sz w:val="20"/>
                <w:szCs w:val="20"/>
              </w:rPr>
            </w:pPr>
            <w:r>
              <w:rPr>
                <w:rFonts w:ascii="Calibri" w:eastAsia="Calibri" w:hAnsi="Calibri" w:cs="Calibri"/>
                <w:sz w:val="20"/>
                <w:szCs w:val="20"/>
              </w:rPr>
              <w:t>les listes d’attente</w:t>
            </w:r>
          </w:p>
        </w:tc>
        <w:tc>
          <w:tcPr>
            <w:tcW w:w="440" w:type="dxa"/>
            <w:vAlign w:val="bottom"/>
          </w:tcPr>
          <w:p w:rsidR="00AC12B4" w:rsidRDefault="00AC12B4">
            <w:pPr>
              <w:rPr>
                <w:sz w:val="20"/>
                <w:szCs w:val="20"/>
              </w:rPr>
            </w:pPr>
          </w:p>
        </w:tc>
        <w:tc>
          <w:tcPr>
            <w:tcW w:w="600" w:type="dxa"/>
            <w:tcBorders>
              <w:right w:val="single" w:sz="8" w:space="0" w:color="auto"/>
            </w:tcBorders>
            <w:vAlign w:val="bottom"/>
          </w:tcPr>
          <w:p w:rsidR="00AC12B4" w:rsidRDefault="00AC12B4">
            <w:pPr>
              <w:rPr>
                <w:sz w:val="20"/>
                <w:szCs w:val="20"/>
              </w:rPr>
            </w:pPr>
          </w:p>
        </w:tc>
        <w:tc>
          <w:tcPr>
            <w:tcW w:w="1580" w:type="dxa"/>
            <w:gridSpan w:val="2"/>
            <w:vMerge w:val="restart"/>
            <w:vAlign w:val="bottom"/>
          </w:tcPr>
          <w:p w:rsidR="00AC12B4" w:rsidRDefault="00C27636">
            <w:pPr>
              <w:ind w:left="80"/>
              <w:rPr>
                <w:sz w:val="20"/>
                <w:szCs w:val="20"/>
              </w:rPr>
            </w:pPr>
            <w:r>
              <w:rPr>
                <w:rFonts w:ascii="Calibri" w:eastAsia="Calibri" w:hAnsi="Calibri" w:cs="Calibri"/>
                <w:sz w:val="20"/>
                <w:szCs w:val="20"/>
              </w:rPr>
              <w:t>Fin 2013 : 36.256</w:t>
            </w:r>
          </w:p>
        </w:tc>
        <w:tc>
          <w:tcPr>
            <w:tcW w:w="580" w:type="dxa"/>
            <w:vAlign w:val="bottom"/>
          </w:tcPr>
          <w:p w:rsidR="00AC12B4" w:rsidRDefault="00AC12B4">
            <w:pPr>
              <w:rPr>
                <w:sz w:val="20"/>
                <w:szCs w:val="20"/>
              </w:rPr>
            </w:pPr>
          </w:p>
        </w:tc>
        <w:tc>
          <w:tcPr>
            <w:tcW w:w="760" w:type="dxa"/>
            <w:tcBorders>
              <w:right w:val="single" w:sz="8" w:space="0" w:color="auto"/>
            </w:tcBorders>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125"/>
        </w:trPr>
        <w:tc>
          <w:tcPr>
            <w:tcW w:w="2720" w:type="dxa"/>
            <w:tcBorders>
              <w:left w:val="single" w:sz="8" w:space="0" w:color="auto"/>
              <w:right w:val="single" w:sz="8" w:space="0" w:color="auto"/>
            </w:tcBorders>
            <w:vAlign w:val="bottom"/>
          </w:tcPr>
          <w:p w:rsidR="00AC12B4" w:rsidRDefault="00AC12B4">
            <w:pPr>
              <w:rPr>
                <w:sz w:val="10"/>
                <w:szCs w:val="10"/>
              </w:rPr>
            </w:pPr>
          </w:p>
        </w:tc>
        <w:tc>
          <w:tcPr>
            <w:tcW w:w="58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98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600" w:type="dxa"/>
            <w:tcBorders>
              <w:right w:val="single" w:sz="8" w:space="0" w:color="auto"/>
            </w:tcBorders>
            <w:vAlign w:val="bottom"/>
          </w:tcPr>
          <w:p w:rsidR="00AC12B4" w:rsidRDefault="00AC12B4">
            <w:pPr>
              <w:rPr>
                <w:sz w:val="10"/>
                <w:szCs w:val="10"/>
              </w:rPr>
            </w:pPr>
          </w:p>
        </w:tc>
        <w:tc>
          <w:tcPr>
            <w:tcW w:w="1580" w:type="dxa"/>
            <w:gridSpan w:val="2"/>
            <w:vMerge/>
            <w:vAlign w:val="bottom"/>
          </w:tcPr>
          <w:p w:rsidR="00AC12B4" w:rsidRDefault="00AC12B4">
            <w:pPr>
              <w:rPr>
                <w:sz w:val="10"/>
                <w:szCs w:val="10"/>
              </w:rPr>
            </w:pPr>
          </w:p>
        </w:tc>
        <w:tc>
          <w:tcPr>
            <w:tcW w:w="580" w:type="dxa"/>
            <w:vAlign w:val="bottom"/>
          </w:tcPr>
          <w:p w:rsidR="00AC12B4" w:rsidRDefault="00AC12B4">
            <w:pPr>
              <w:rPr>
                <w:sz w:val="10"/>
                <w:szCs w:val="10"/>
              </w:rPr>
            </w:pPr>
          </w:p>
        </w:tc>
        <w:tc>
          <w:tcPr>
            <w:tcW w:w="760" w:type="dxa"/>
            <w:tcBorders>
              <w:right w:val="single" w:sz="8" w:space="0" w:color="auto"/>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365"/>
        </w:trPr>
        <w:tc>
          <w:tcPr>
            <w:tcW w:w="2720" w:type="dxa"/>
            <w:tcBorders>
              <w:left w:val="single" w:sz="8" w:space="0" w:color="auto"/>
              <w:right w:val="single" w:sz="8" w:space="0" w:color="auto"/>
            </w:tcBorders>
            <w:vAlign w:val="bottom"/>
          </w:tcPr>
          <w:p w:rsidR="00AC12B4" w:rsidRDefault="00AC12B4">
            <w:pPr>
              <w:rPr>
                <w:sz w:val="24"/>
                <w:szCs w:val="24"/>
              </w:rPr>
            </w:pPr>
          </w:p>
        </w:tc>
        <w:tc>
          <w:tcPr>
            <w:tcW w:w="58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98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600" w:type="dxa"/>
            <w:tcBorders>
              <w:right w:val="single" w:sz="8" w:space="0" w:color="auto"/>
            </w:tcBorders>
            <w:vAlign w:val="bottom"/>
          </w:tcPr>
          <w:p w:rsidR="00AC12B4" w:rsidRDefault="00AC12B4">
            <w:pPr>
              <w:rPr>
                <w:sz w:val="24"/>
                <w:szCs w:val="24"/>
              </w:rPr>
            </w:pPr>
          </w:p>
        </w:tc>
        <w:tc>
          <w:tcPr>
            <w:tcW w:w="2920" w:type="dxa"/>
            <w:gridSpan w:val="4"/>
            <w:tcBorders>
              <w:right w:val="single" w:sz="8" w:space="0" w:color="auto"/>
            </w:tcBorders>
            <w:vAlign w:val="bottom"/>
          </w:tcPr>
          <w:p w:rsidR="00AC12B4" w:rsidRPr="00C27636" w:rsidRDefault="00C27636">
            <w:pPr>
              <w:ind w:left="80"/>
              <w:rPr>
                <w:sz w:val="20"/>
                <w:szCs w:val="20"/>
                <w:lang w:val="fr-BE"/>
              </w:rPr>
            </w:pPr>
            <w:r w:rsidRPr="00C27636">
              <w:rPr>
                <w:rFonts w:ascii="Calibri" w:eastAsia="Calibri" w:hAnsi="Calibri" w:cs="Calibri"/>
                <w:sz w:val="20"/>
                <w:szCs w:val="20"/>
                <w:lang w:val="fr-BE"/>
              </w:rPr>
              <w:t xml:space="preserve">(dont 35,76% est habité </w:t>
            </w:r>
            <w:r w:rsidRPr="00C27636">
              <w:rPr>
                <w:rFonts w:ascii="Calibri" w:eastAsia="Calibri" w:hAnsi="Calibri" w:cs="Calibri"/>
                <w:sz w:val="20"/>
                <w:szCs w:val="20"/>
                <w:lang w:val="fr-BE"/>
              </w:rPr>
              <w:t>par une</w:t>
            </w:r>
          </w:p>
        </w:tc>
        <w:tc>
          <w:tcPr>
            <w:tcW w:w="0" w:type="dxa"/>
            <w:vAlign w:val="bottom"/>
          </w:tcPr>
          <w:p w:rsidR="00AC12B4" w:rsidRPr="00C27636" w:rsidRDefault="00AC12B4">
            <w:pPr>
              <w:rPr>
                <w:sz w:val="1"/>
                <w:szCs w:val="1"/>
                <w:lang w:val="fr-BE"/>
              </w:rPr>
            </w:pPr>
          </w:p>
        </w:tc>
      </w:tr>
      <w:tr w:rsidR="00AC12B4" w:rsidRPr="00C27636">
        <w:trPr>
          <w:trHeight w:val="245"/>
        </w:trPr>
        <w:tc>
          <w:tcPr>
            <w:tcW w:w="2720" w:type="dxa"/>
            <w:tcBorders>
              <w:left w:val="single" w:sz="8" w:space="0" w:color="auto"/>
              <w:right w:val="single" w:sz="8" w:space="0" w:color="auto"/>
            </w:tcBorders>
            <w:vAlign w:val="bottom"/>
          </w:tcPr>
          <w:p w:rsidR="00AC12B4" w:rsidRPr="00C27636" w:rsidRDefault="00AC12B4">
            <w:pPr>
              <w:rPr>
                <w:sz w:val="21"/>
                <w:szCs w:val="21"/>
                <w:lang w:val="fr-BE"/>
              </w:rPr>
            </w:pPr>
          </w:p>
        </w:tc>
        <w:tc>
          <w:tcPr>
            <w:tcW w:w="580" w:type="dxa"/>
            <w:vAlign w:val="bottom"/>
          </w:tcPr>
          <w:p w:rsidR="00AC12B4" w:rsidRPr="00C27636" w:rsidRDefault="00AC12B4">
            <w:pPr>
              <w:rPr>
                <w:sz w:val="21"/>
                <w:szCs w:val="21"/>
                <w:lang w:val="fr-BE"/>
              </w:rPr>
            </w:pPr>
          </w:p>
        </w:tc>
        <w:tc>
          <w:tcPr>
            <w:tcW w:w="540" w:type="dxa"/>
            <w:vAlign w:val="bottom"/>
          </w:tcPr>
          <w:p w:rsidR="00AC12B4" w:rsidRPr="00C27636" w:rsidRDefault="00AC12B4">
            <w:pPr>
              <w:rPr>
                <w:sz w:val="21"/>
                <w:szCs w:val="21"/>
                <w:lang w:val="fr-BE"/>
              </w:rPr>
            </w:pPr>
          </w:p>
        </w:tc>
        <w:tc>
          <w:tcPr>
            <w:tcW w:w="980" w:type="dxa"/>
            <w:vAlign w:val="bottom"/>
          </w:tcPr>
          <w:p w:rsidR="00AC12B4" w:rsidRPr="00C27636" w:rsidRDefault="00AC12B4">
            <w:pPr>
              <w:rPr>
                <w:sz w:val="21"/>
                <w:szCs w:val="21"/>
                <w:lang w:val="fr-BE"/>
              </w:rPr>
            </w:pPr>
          </w:p>
        </w:tc>
        <w:tc>
          <w:tcPr>
            <w:tcW w:w="440" w:type="dxa"/>
            <w:vAlign w:val="bottom"/>
          </w:tcPr>
          <w:p w:rsidR="00AC12B4" w:rsidRPr="00C27636" w:rsidRDefault="00AC12B4">
            <w:pPr>
              <w:rPr>
                <w:sz w:val="21"/>
                <w:szCs w:val="21"/>
                <w:lang w:val="fr-BE"/>
              </w:rPr>
            </w:pPr>
          </w:p>
        </w:tc>
        <w:tc>
          <w:tcPr>
            <w:tcW w:w="600" w:type="dxa"/>
            <w:tcBorders>
              <w:right w:val="single" w:sz="8" w:space="0" w:color="auto"/>
            </w:tcBorders>
            <w:vAlign w:val="bottom"/>
          </w:tcPr>
          <w:p w:rsidR="00AC12B4" w:rsidRPr="00C27636" w:rsidRDefault="00AC12B4">
            <w:pPr>
              <w:rPr>
                <w:sz w:val="21"/>
                <w:szCs w:val="21"/>
                <w:lang w:val="fr-BE"/>
              </w:rPr>
            </w:pPr>
          </w:p>
        </w:tc>
        <w:tc>
          <w:tcPr>
            <w:tcW w:w="2920" w:type="dxa"/>
            <w:gridSpan w:val="4"/>
            <w:tcBorders>
              <w:right w:val="single" w:sz="8" w:space="0" w:color="auto"/>
            </w:tcBorders>
            <w:vAlign w:val="bottom"/>
          </w:tcPr>
          <w:p w:rsidR="00AC12B4" w:rsidRPr="00C27636" w:rsidRDefault="00C27636">
            <w:pPr>
              <w:ind w:left="80"/>
              <w:rPr>
                <w:sz w:val="20"/>
                <w:szCs w:val="20"/>
                <w:lang w:val="fr-BE"/>
              </w:rPr>
            </w:pPr>
            <w:r w:rsidRPr="00C27636">
              <w:rPr>
                <w:rFonts w:ascii="Calibri" w:eastAsia="Calibri" w:hAnsi="Calibri" w:cs="Calibri"/>
                <w:sz w:val="20"/>
                <w:szCs w:val="20"/>
                <w:lang w:val="fr-BE"/>
              </w:rPr>
              <w:t>famille avec enfant(s) à charge.</w:t>
            </w:r>
          </w:p>
        </w:tc>
        <w:tc>
          <w:tcPr>
            <w:tcW w:w="0" w:type="dxa"/>
            <w:vAlign w:val="bottom"/>
          </w:tcPr>
          <w:p w:rsidR="00AC12B4" w:rsidRPr="00C27636" w:rsidRDefault="00AC12B4">
            <w:pPr>
              <w:rPr>
                <w:sz w:val="1"/>
                <w:szCs w:val="1"/>
                <w:lang w:val="fr-BE"/>
              </w:rPr>
            </w:pPr>
          </w:p>
        </w:tc>
      </w:tr>
      <w:tr w:rsidR="00AC12B4" w:rsidRPr="00C27636">
        <w:trPr>
          <w:trHeight w:val="242"/>
        </w:trPr>
        <w:tc>
          <w:tcPr>
            <w:tcW w:w="2720" w:type="dxa"/>
            <w:tcBorders>
              <w:left w:val="single" w:sz="8" w:space="0" w:color="auto"/>
              <w:right w:val="single" w:sz="8" w:space="0" w:color="auto"/>
            </w:tcBorders>
            <w:vAlign w:val="bottom"/>
          </w:tcPr>
          <w:p w:rsidR="00AC12B4" w:rsidRPr="00C27636" w:rsidRDefault="00AC12B4">
            <w:pPr>
              <w:rPr>
                <w:sz w:val="21"/>
                <w:szCs w:val="21"/>
                <w:lang w:val="fr-BE"/>
              </w:rPr>
            </w:pPr>
          </w:p>
        </w:tc>
        <w:tc>
          <w:tcPr>
            <w:tcW w:w="580" w:type="dxa"/>
            <w:vAlign w:val="bottom"/>
          </w:tcPr>
          <w:p w:rsidR="00AC12B4" w:rsidRPr="00C27636" w:rsidRDefault="00AC12B4">
            <w:pPr>
              <w:rPr>
                <w:sz w:val="21"/>
                <w:szCs w:val="21"/>
                <w:lang w:val="fr-BE"/>
              </w:rPr>
            </w:pPr>
          </w:p>
        </w:tc>
        <w:tc>
          <w:tcPr>
            <w:tcW w:w="540" w:type="dxa"/>
            <w:vAlign w:val="bottom"/>
          </w:tcPr>
          <w:p w:rsidR="00AC12B4" w:rsidRPr="00C27636" w:rsidRDefault="00AC12B4">
            <w:pPr>
              <w:rPr>
                <w:sz w:val="21"/>
                <w:szCs w:val="21"/>
                <w:lang w:val="fr-BE"/>
              </w:rPr>
            </w:pPr>
          </w:p>
        </w:tc>
        <w:tc>
          <w:tcPr>
            <w:tcW w:w="980" w:type="dxa"/>
            <w:vAlign w:val="bottom"/>
          </w:tcPr>
          <w:p w:rsidR="00AC12B4" w:rsidRPr="00C27636" w:rsidRDefault="00AC12B4">
            <w:pPr>
              <w:rPr>
                <w:sz w:val="21"/>
                <w:szCs w:val="21"/>
                <w:lang w:val="fr-BE"/>
              </w:rPr>
            </w:pPr>
          </w:p>
        </w:tc>
        <w:tc>
          <w:tcPr>
            <w:tcW w:w="440" w:type="dxa"/>
            <w:vAlign w:val="bottom"/>
          </w:tcPr>
          <w:p w:rsidR="00AC12B4" w:rsidRPr="00C27636" w:rsidRDefault="00AC12B4">
            <w:pPr>
              <w:rPr>
                <w:sz w:val="21"/>
                <w:szCs w:val="21"/>
                <w:lang w:val="fr-BE"/>
              </w:rPr>
            </w:pPr>
          </w:p>
        </w:tc>
        <w:tc>
          <w:tcPr>
            <w:tcW w:w="600" w:type="dxa"/>
            <w:tcBorders>
              <w:right w:val="single" w:sz="8" w:space="0" w:color="auto"/>
            </w:tcBorders>
            <w:vAlign w:val="bottom"/>
          </w:tcPr>
          <w:p w:rsidR="00AC12B4" w:rsidRPr="00C27636" w:rsidRDefault="00AC12B4">
            <w:pPr>
              <w:rPr>
                <w:sz w:val="21"/>
                <w:szCs w:val="21"/>
                <w:lang w:val="fr-BE"/>
              </w:rPr>
            </w:pPr>
          </w:p>
        </w:tc>
        <w:tc>
          <w:tcPr>
            <w:tcW w:w="2920" w:type="dxa"/>
            <w:gridSpan w:val="4"/>
            <w:tcBorders>
              <w:right w:val="single" w:sz="8" w:space="0" w:color="auto"/>
            </w:tcBorders>
            <w:vAlign w:val="bottom"/>
          </w:tcPr>
          <w:p w:rsidR="00AC12B4" w:rsidRPr="00C27636" w:rsidRDefault="00C27636">
            <w:pPr>
              <w:spacing w:line="243" w:lineRule="exact"/>
              <w:ind w:left="80"/>
              <w:rPr>
                <w:sz w:val="20"/>
                <w:szCs w:val="20"/>
                <w:lang w:val="fr-BE"/>
              </w:rPr>
            </w:pPr>
            <w:r w:rsidRPr="00C27636">
              <w:rPr>
                <w:rFonts w:ascii="Calibri" w:eastAsia="Calibri" w:hAnsi="Calibri" w:cs="Calibri"/>
                <w:sz w:val="20"/>
                <w:szCs w:val="20"/>
                <w:lang w:val="fr-BE"/>
              </w:rPr>
              <w:t>Presque la moitié de ces familles</w:t>
            </w:r>
          </w:p>
        </w:tc>
        <w:tc>
          <w:tcPr>
            <w:tcW w:w="0" w:type="dxa"/>
            <w:vAlign w:val="bottom"/>
          </w:tcPr>
          <w:p w:rsidR="00AC12B4" w:rsidRPr="00C27636" w:rsidRDefault="00AC12B4">
            <w:pPr>
              <w:rPr>
                <w:sz w:val="1"/>
                <w:szCs w:val="1"/>
                <w:lang w:val="fr-BE"/>
              </w:rPr>
            </w:pPr>
          </w:p>
        </w:tc>
      </w:tr>
      <w:tr w:rsidR="00AC12B4">
        <w:trPr>
          <w:trHeight w:val="245"/>
        </w:trPr>
        <w:tc>
          <w:tcPr>
            <w:tcW w:w="2720" w:type="dxa"/>
            <w:tcBorders>
              <w:left w:val="single" w:sz="8" w:space="0" w:color="auto"/>
              <w:right w:val="single" w:sz="8" w:space="0" w:color="auto"/>
            </w:tcBorders>
            <w:vAlign w:val="bottom"/>
          </w:tcPr>
          <w:p w:rsidR="00AC12B4" w:rsidRPr="00C27636" w:rsidRDefault="00AC12B4">
            <w:pPr>
              <w:rPr>
                <w:sz w:val="21"/>
                <w:szCs w:val="21"/>
                <w:lang w:val="fr-BE"/>
              </w:rPr>
            </w:pPr>
          </w:p>
        </w:tc>
        <w:tc>
          <w:tcPr>
            <w:tcW w:w="580" w:type="dxa"/>
            <w:vAlign w:val="bottom"/>
          </w:tcPr>
          <w:p w:rsidR="00AC12B4" w:rsidRPr="00C27636" w:rsidRDefault="00AC12B4">
            <w:pPr>
              <w:rPr>
                <w:sz w:val="21"/>
                <w:szCs w:val="21"/>
                <w:lang w:val="fr-BE"/>
              </w:rPr>
            </w:pPr>
          </w:p>
        </w:tc>
        <w:tc>
          <w:tcPr>
            <w:tcW w:w="540" w:type="dxa"/>
            <w:vAlign w:val="bottom"/>
          </w:tcPr>
          <w:p w:rsidR="00AC12B4" w:rsidRPr="00C27636" w:rsidRDefault="00AC12B4">
            <w:pPr>
              <w:rPr>
                <w:sz w:val="21"/>
                <w:szCs w:val="21"/>
                <w:lang w:val="fr-BE"/>
              </w:rPr>
            </w:pPr>
          </w:p>
        </w:tc>
        <w:tc>
          <w:tcPr>
            <w:tcW w:w="980" w:type="dxa"/>
            <w:vAlign w:val="bottom"/>
          </w:tcPr>
          <w:p w:rsidR="00AC12B4" w:rsidRPr="00C27636" w:rsidRDefault="00AC12B4">
            <w:pPr>
              <w:rPr>
                <w:sz w:val="21"/>
                <w:szCs w:val="21"/>
                <w:lang w:val="fr-BE"/>
              </w:rPr>
            </w:pPr>
          </w:p>
        </w:tc>
        <w:tc>
          <w:tcPr>
            <w:tcW w:w="440" w:type="dxa"/>
            <w:vAlign w:val="bottom"/>
          </w:tcPr>
          <w:p w:rsidR="00AC12B4" w:rsidRPr="00C27636" w:rsidRDefault="00AC12B4">
            <w:pPr>
              <w:rPr>
                <w:sz w:val="21"/>
                <w:szCs w:val="21"/>
                <w:lang w:val="fr-BE"/>
              </w:rPr>
            </w:pPr>
          </w:p>
        </w:tc>
        <w:tc>
          <w:tcPr>
            <w:tcW w:w="600" w:type="dxa"/>
            <w:tcBorders>
              <w:right w:val="single" w:sz="8" w:space="0" w:color="auto"/>
            </w:tcBorders>
            <w:vAlign w:val="bottom"/>
          </w:tcPr>
          <w:p w:rsidR="00AC12B4" w:rsidRPr="00C27636" w:rsidRDefault="00AC12B4">
            <w:pPr>
              <w:rPr>
                <w:sz w:val="21"/>
                <w:szCs w:val="21"/>
                <w:lang w:val="fr-BE"/>
              </w:rPr>
            </w:pPr>
          </w:p>
        </w:tc>
        <w:tc>
          <w:tcPr>
            <w:tcW w:w="2920" w:type="dxa"/>
            <w:gridSpan w:val="4"/>
            <w:tcBorders>
              <w:right w:val="single" w:sz="8" w:space="0" w:color="auto"/>
            </w:tcBorders>
            <w:vAlign w:val="bottom"/>
          </w:tcPr>
          <w:p w:rsidR="00AC12B4" w:rsidRDefault="00C27636">
            <w:pPr>
              <w:ind w:left="80"/>
              <w:rPr>
                <w:sz w:val="20"/>
                <w:szCs w:val="20"/>
              </w:rPr>
            </w:pPr>
            <w:r>
              <w:rPr>
                <w:rFonts w:ascii="Calibri" w:eastAsia="Calibri" w:hAnsi="Calibri" w:cs="Calibri"/>
                <w:sz w:val="20"/>
                <w:szCs w:val="20"/>
              </w:rPr>
              <w:t>concerne  des  familles  mono-</w:t>
            </w:r>
          </w:p>
        </w:tc>
        <w:tc>
          <w:tcPr>
            <w:tcW w:w="0" w:type="dxa"/>
            <w:vAlign w:val="bottom"/>
          </w:tcPr>
          <w:p w:rsidR="00AC12B4" w:rsidRDefault="00AC12B4">
            <w:pPr>
              <w:rPr>
                <w:sz w:val="1"/>
                <w:szCs w:val="1"/>
              </w:rPr>
            </w:pPr>
          </w:p>
        </w:tc>
      </w:tr>
      <w:tr w:rsidR="00AC12B4">
        <w:trPr>
          <w:trHeight w:val="245"/>
        </w:trPr>
        <w:tc>
          <w:tcPr>
            <w:tcW w:w="2720" w:type="dxa"/>
            <w:tcBorders>
              <w:left w:val="single" w:sz="8" w:space="0" w:color="auto"/>
              <w:right w:val="single" w:sz="8" w:space="0" w:color="auto"/>
            </w:tcBorders>
            <w:vAlign w:val="bottom"/>
          </w:tcPr>
          <w:p w:rsidR="00AC12B4" w:rsidRDefault="00AC12B4">
            <w:pPr>
              <w:rPr>
                <w:sz w:val="21"/>
                <w:szCs w:val="21"/>
              </w:rPr>
            </w:pPr>
          </w:p>
        </w:tc>
        <w:tc>
          <w:tcPr>
            <w:tcW w:w="580" w:type="dxa"/>
            <w:vAlign w:val="bottom"/>
          </w:tcPr>
          <w:p w:rsidR="00AC12B4" w:rsidRDefault="00AC12B4">
            <w:pPr>
              <w:rPr>
                <w:sz w:val="21"/>
                <w:szCs w:val="21"/>
              </w:rPr>
            </w:pPr>
          </w:p>
        </w:tc>
        <w:tc>
          <w:tcPr>
            <w:tcW w:w="540" w:type="dxa"/>
            <w:vAlign w:val="bottom"/>
          </w:tcPr>
          <w:p w:rsidR="00AC12B4" w:rsidRDefault="00AC12B4">
            <w:pPr>
              <w:rPr>
                <w:sz w:val="21"/>
                <w:szCs w:val="21"/>
              </w:rPr>
            </w:pPr>
          </w:p>
        </w:tc>
        <w:tc>
          <w:tcPr>
            <w:tcW w:w="980" w:type="dxa"/>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600" w:type="dxa"/>
            <w:tcBorders>
              <w:right w:val="single" w:sz="8" w:space="0" w:color="auto"/>
            </w:tcBorders>
            <w:vAlign w:val="bottom"/>
          </w:tcPr>
          <w:p w:rsidR="00AC12B4" w:rsidRDefault="00AC12B4">
            <w:pPr>
              <w:rPr>
                <w:sz w:val="21"/>
                <w:szCs w:val="21"/>
              </w:rPr>
            </w:pPr>
          </w:p>
        </w:tc>
        <w:tc>
          <w:tcPr>
            <w:tcW w:w="1580" w:type="dxa"/>
            <w:gridSpan w:val="2"/>
            <w:vAlign w:val="bottom"/>
          </w:tcPr>
          <w:p w:rsidR="00AC12B4" w:rsidRDefault="00C27636">
            <w:pPr>
              <w:ind w:left="80"/>
              <w:rPr>
                <w:sz w:val="20"/>
                <w:szCs w:val="20"/>
              </w:rPr>
            </w:pPr>
            <w:r>
              <w:rPr>
                <w:rFonts w:ascii="Calibri" w:eastAsia="Calibri" w:hAnsi="Calibri" w:cs="Calibri"/>
                <w:sz w:val="20"/>
                <w:szCs w:val="20"/>
              </w:rPr>
              <w:t>parentales)</w:t>
            </w:r>
          </w:p>
        </w:tc>
        <w:tc>
          <w:tcPr>
            <w:tcW w:w="580" w:type="dxa"/>
            <w:vAlign w:val="bottom"/>
          </w:tcPr>
          <w:p w:rsidR="00AC12B4" w:rsidRDefault="00AC12B4">
            <w:pPr>
              <w:rPr>
                <w:sz w:val="21"/>
                <w:szCs w:val="21"/>
              </w:rPr>
            </w:pPr>
          </w:p>
        </w:tc>
        <w:tc>
          <w:tcPr>
            <w:tcW w:w="760" w:type="dxa"/>
            <w:tcBorders>
              <w:right w:val="single" w:sz="8" w:space="0" w:color="auto"/>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27"/>
        </w:trPr>
        <w:tc>
          <w:tcPr>
            <w:tcW w:w="2720" w:type="dxa"/>
            <w:tcBorders>
              <w:left w:val="single" w:sz="8" w:space="0" w:color="auto"/>
              <w:bottom w:val="single" w:sz="8" w:space="0" w:color="auto"/>
              <w:right w:val="single" w:sz="8" w:space="0" w:color="auto"/>
            </w:tcBorders>
            <w:vAlign w:val="bottom"/>
          </w:tcPr>
          <w:p w:rsidR="00AC12B4" w:rsidRDefault="00AC12B4">
            <w:pPr>
              <w:rPr>
                <w:sz w:val="11"/>
                <w:szCs w:val="11"/>
              </w:rPr>
            </w:pPr>
          </w:p>
        </w:tc>
        <w:tc>
          <w:tcPr>
            <w:tcW w:w="580" w:type="dxa"/>
            <w:tcBorders>
              <w:bottom w:val="single" w:sz="8" w:space="0" w:color="auto"/>
            </w:tcBorders>
            <w:vAlign w:val="bottom"/>
          </w:tcPr>
          <w:p w:rsidR="00AC12B4" w:rsidRDefault="00AC12B4">
            <w:pPr>
              <w:rPr>
                <w:sz w:val="11"/>
                <w:szCs w:val="11"/>
              </w:rPr>
            </w:pPr>
          </w:p>
        </w:tc>
        <w:tc>
          <w:tcPr>
            <w:tcW w:w="540" w:type="dxa"/>
            <w:tcBorders>
              <w:bottom w:val="single" w:sz="8" w:space="0" w:color="auto"/>
            </w:tcBorders>
            <w:vAlign w:val="bottom"/>
          </w:tcPr>
          <w:p w:rsidR="00AC12B4" w:rsidRDefault="00AC12B4">
            <w:pPr>
              <w:rPr>
                <w:sz w:val="11"/>
                <w:szCs w:val="11"/>
              </w:rPr>
            </w:pPr>
          </w:p>
        </w:tc>
        <w:tc>
          <w:tcPr>
            <w:tcW w:w="980" w:type="dxa"/>
            <w:tcBorders>
              <w:bottom w:val="single" w:sz="8" w:space="0" w:color="auto"/>
            </w:tcBorders>
            <w:vAlign w:val="bottom"/>
          </w:tcPr>
          <w:p w:rsidR="00AC12B4" w:rsidRDefault="00AC12B4">
            <w:pPr>
              <w:rPr>
                <w:sz w:val="11"/>
                <w:szCs w:val="11"/>
              </w:rPr>
            </w:pPr>
          </w:p>
        </w:tc>
        <w:tc>
          <w:tcPr>
            <w:tcW w:w="440" w:type="dxa"/>
            <w:tcBorders>
              <w:bottom w:val="single" w:sz="8" w:space="0" w:color="auto"/>
            </w:tcBorders>
            <w:vAlign w:val="bottom"/>
          </w:tcPr>
          <w:p w:rsidR="00AC12B4" w:rsidRDefault="00AC12B4">
            <w:pPr>
              <w:rPr>
                <w:sz w:val="11"/>
                <w:szCs w:val="11"/>
              </w:rPr>
            </w:pPr>
          </w:p>
        </w:tc>
        <w:tc>
          <w:tcPr>
            <w:tcW w:w="600" w:type="dxa"/>
            <w:tcBorders>
              <w:bottom w:val="single" w:sz="8" w:space="0" w:color="auto"/>
              <w:right w:val="single" w:sz="8" w:space="0" w:color="auto"/>
            </w:tcBorders>
            <w:vAlign w:val="bottom"/>
          </w:tcPr>
          <w:p w:rsidR="00AC12B4" w:rsidRDefault="00AC12B4">
            <w:pPr>
              <w:rPr>
                <w:sz w:val="11"/>
                <w:szCs w:val="11"/>
              </w:rPr>
            </w:pPr>
          </w:p>
        </w:tc>
        <w:tc>
          <w:tcPr>
            <w:tcW w:w="600" w:type="dxa"/>
            <w:tcBorders>
              <w:bottom w:val="single" w:sz="8" w:space="0" w:color="auto"/>
            </w:tcBorders>
            <w:vAlign w:val="bottom"/>
          </w:tcPr>
          <w:p w:rsidR="00AC12B4" w:rsidRDefault="00AC12B4">
            <w:pPr>
              <w:rPr>
                <w:sz w:val="11"/>
                <w:szCs w:val="11"/>
              </w:rPr>
            </w:pPr>
          </w:p>
        </w:tc>
        <w:tc>
          <w:tcPr>
            <w:tcW w:w="980" w:type="dxa"/>
            <w:tcBorders>
              <w:bottom w:val="single" w:sz="8" w:space="0" w:color="auto"/>
            </w:tcBorders>
            <w:vAlign w:val="bottom"/>
          </w:tcPr>
          <w:p w:rsidR="00AC12B4" w:rsidRDefault="00AC12B4">
            <w:pPr>
              <w:rPr>
                <w:sz w:val="11"/>
                <w:szCs w:val="11"/>
              </w:rPr>
            </w:pPr>
          </w:p>
        </w:tc>
        <w:tc>
          <w:tcPr>
            <w:tcW w:w="580" w:type="dxa"/>
            <w:tcBorders>
              <w:bottom w:val="single" w:sz="8" w:space="0" w:color="auto"/>
            </w:tcBorders>
            <w:vAlign w:val="bottom"/>
          </w:tcPr>
          <w:p w:rsidR="00AC12B4" w:rsidRDefault="00AC12B4">
            <w:pPr>
              <w:rPr>
                <w:sz w:val="11"/>
                <w:szCs w:val="11"/>
              </w:rPr>
            </w:pPr>
          </w:p>
        </w:tc>
        <w:tc>
          <w:tcPr>
            <w:tcW w:w="760" w:type="dxa"/>
            <w:tcBorders>
              <w:bottom w:val="single" w:sz="8" w:space="0" w:color="auto"/>
              <w:right w:val="single" w:sz="8" w:space="0" w:color="auto"/>
            </w:tcBorders>
            <w:vAlign w:val="bottom"/>
          </w:tcPr>
          <w:p w:rsidR="00AC12B4" w:rsidRDefault="00AC12B4">
            <w:pPr>
              <w:rPr>
                <w:sz w:val="11"/>
                <w:szCs w:val="11"/>
              </w:rPr>
            </w:pPr>
          </w:p>
        </w:tc>
        <w:tc>
          <w:tcPr>
            <w:tcW w:w="0" w:type="dxa"/>
            <w:vAlign w:val="bottom"/>
          </w:tcPr>
          <w:p w:rsidR="00AC12B4" w:rsidRDefault="00AC12B4">
            <w:pPr>
              <w:rPr>
                <w:sz w:val="1"/>
                <w:szCs w:val="1"/>
              </w:rPr>
            </w:pPr>
          </w:p>
        </w:tc>
      </w:tr>
    </w:tbl>
    <w:p w:rsidR="00AC12B4" w:rsidRDefault="00AC12B4">
      <w:pPr>
        <w:spacing w:line="55" w:lineRule="exact"/>
        <w:rPr>
          <w:sz w:val="20"/>
          <w:szCs w:val="20"/>
        </w:rPr>
      </w:pPr>
    </w:p>
    <w:p w:rsidR="00AC12B4" w:rsidRPr="00C27636" w:rsidRDefault="00C27636">
      <w:pPr>
        <w:numPr>
          <w:ilvl w:val="0"/>
          <w:numId w:val="149"/>
        </w:numPr>
        <w:tabs>
          <w:tab w:val="left" w:pos="726"/>
        </w:tabs>
        <w:spacing w:line="218" w:lineRule="auto"/>
        <w:ind w:left="560" w:right="960" w:firstLine="4"/>
        <w:jc w:val="both"/>
        <w:rPr>
          <w:rFonts w:ascii="Calibri" w:eastAsia="Calibri" w:hAnsi="Calibri" w:cs="Calibri"/>
          <w:sz w:val="20"/>
          <w:szCs w:val="20"/>
          <w:lang w:val="fr-BE"/>
        </w:rPr>
      </w:pPr>
      <w:r w:rsidRPr="00C27636">
        <w:rPr>
          <w:rFonts w:ascii="Calibri" w:eastAsia="Calibri" w:hAnsi="Calibri" w:cs="Calibri"/>
          <w:sz w:val="18"/>
          <w:szCs w:val="18"/>
          <w:lang w:val="fr-BE"/>
        </w:rPr>
        <w:t xml:space="preserve">Les familles ayant déjà un logement social auprès de la VMSW sont exclues des chiffres. </w:t>
      </w:r>
      <w:r w:rsidRPr="00C27636">
        <w:rPr>
          <w:rFonts w:ascii="Calibri" w:eastAsia="Calibri" w:hAnsi="Calibri" w:cs="Calibri"/>
          <w:sz w:val="18"/>
          <w:szCs w:val="18"/>
          <w:lang w:val="fr-BE"/>
        </w:rPr>
        <w:t>Celles ayant déjà un logement social auprès d’une autre société de logement social restent reprises dans les chiffres (ventilation non disponible).</w:t>
      </w:r>
    </w:p>
    <w:p w:rsidR="00AC12B4" w:rsidRPr="00C27636" w:rsidRDefault="00AC12B4">
      <w:pPr>
        <w:spacing w:line="43" w:lineRule="exact"/>
        <w:rPr>
          <w:rFonts w:ascii="Calibri" w:eastAsia="Calibri" w:hAnsi="Calibri" w:cs="Calibri"/>
          <w:sz w:val="20"/>
          <w:szCs w:val="20"/>
          <w:lang w:val="fr-BE"/>
        </w:rPr>
      </w:pPr>
    </w:p>
    <w:p w:rsidR="00AC12B4" w:rsidRPr="00C27636" w:rsidRDefault="00C27636">
      <w:pPr>
        <w:numPr>
          <w:ilvl w:val="0"/>
          <w:numId w:val="150"/>
        </w:numPr>
        <w:tabs>
          <w:tab w:val="left" w:pos="783"/>
        </w:tabs>
        <w:spacing w:line="215" w:lineRule="auto"/>
        <w:ind w:left="560" w:right="960" w:firstLine="4"/>
        <w:rPr>
          <w:rFonts w:ascii="Calibri" w:eastAsia="Calibri" w:hAnsi="Calibri" w:cs="Calibri"/>
          <w:sz w:val="18"/>
          <w:szCs w:val="18"/>
          <w:lang w:val="fr-BE"/>
        </w:rPr>
      </w:pPr>
      <w:r w:rsidRPr="00C27636">
        <w:rPr>
          <w:rFonts w:ascii="Calibri" w:eastAsia="Calibri" w:hAnsi="Calibri" w:cs="Calibri"/>
          <w:sz w:val="18"/>
          <w:szCs w:val="18"/>
          <w:lang w:val="fr-BE"/>
        </w:rPr>
        <w:t xml:space="preserve">Tout en sachant qu’il existe sans doute une demande inconnue, au niveau de personnes qui ne se sont pas </w:t>
      </w:r>
      <w:r w:rsidRPr="00C27636">
        <w:rPr>
          <w:rFonts w:ascii="Calibri" w:eastAsia="Calibri" w:hAnsi="Calibri" w:cs="Calibri"/>
          <w:sz w:val="18"/>
          <w:szCs w:val="18"/>
          <w:lang w:val="fr-BE"/>
        </w:rPr>
        <w:t>faites enregistrer comme demandeurs.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0" w:lineRule="exact"/>
        <w:rPr>
          <w:sz w:val="20"/>
          <w:szCs w:val="20"/>
          <w:lang w:val="fr-BE"/>
        </w:rPr>
      </w:pPr>
    </w:p>
    <w:tbl>
      <w:tblPr>
        <w:tblW w:w="0" w:type="auto"/>
        <w:tblInd w:w="9799" w:type="dxa"/>
        <w:tblLayout w:type="fixed"/>
        <w:tblCellMar>
          <w:left w:w="0" w:type="dxa"/>
          <w:right w:w="0" w:type="dxa"/>
        </w:tblCellMar>
        <w:tblLook w:val="04A0" w:firstRow="1" w:lastRow="0" w:firstColumn="1" w:lastColumn="0" w:noHBand="0" w:noVBand="1"/>
      </w:tblPr>
      <w:tblGrid>
        <w:gridCol w:w="281"/>
      </w:tblGrid>
      <w:tr w:rsidR="00AC12B4" w:rsidRPr="00C27636">
        <w:trPr>
          <w:trHeight w:val="2080"/>
        </w:trPr>
        <w:tc>
          <w:tcPr>
            <w:tcW w:w="281" w:type="dxa"/>
            <w:textDirection w:val="btLr"/>
            <w:vAlign w:val="bottom"/>
          </w:tcPr>
          <w:p w:rsidR="00AC12B4" w:rsidRPr="00C27636" w:rsidRDefault="00C27636">
            <w:pPr>
              <w:spacing w:line="197" w:lineRule="auto"/>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C27636">
      <w:pPr>
        <w:spacing w:line="229" w:lineRule="auto"/>
        <w:ind w:right="480"/>
        <w:jc w:val="center"/>
        <w:rPr>
          <w:sz w:val="20"/>
          <w:szCs w:val="20"/>
          <w:lang w:val="fr-BE"/>
        </w:rPr>
      </w:pPr>
      <w:r w:rsidRPr="00C27636">
        <w:rPr>
          <w:rFonts w:ascii="Calibri" w:eastAsia="Calibri" w:hAnsi="Calibri" w:cs="Calibri"/>
          <w:lang w:val="fr-BE"/>
        </w:rPr>
        <w:t>97</w:t>
      </w:r>
    </w:p>
    <w:p w:rsidR="00AC12B4" w:rsidRPr="00C27636" w:rsidRDefault="00AC12B4">
      <w:pPr>
        <w:rPr>
          <w:lang w:val="fr-BE"/>
        </w:rPr>
        <w:sectPr w:rsidR="00AC12B4" w:rsidRPr="00C27636">
          <w:pgSz w:w="12080" w:h="17179"/>
          <w:pgMar w:top="1440" w:right="557" w:bottom="659" w:left="1440" w:header="0" w:footer="0" w:gutter="0"/>
          <w:cols w:space="720" w:equalWidth="0">
            <w:col w:w="10080"/>
          </w:cols>
        </w:sectPr>
      </w:pPr>
    </w:p>
    <w:p w:rsidR="00AC12B4" w:rsidRPr="00C27636" w:rsidRDefault="00C27636">
      <w:pPr>
        <w:spacing w:line="169" w:lineRule="exact"/>
        <w:rPr>
          <w:sz w:val="20"/>
          <w:szCs w:val="20"/>
          <w:lang w:val="fr-BE"/>
        </w:rPr>
      </w:pPr>
      <w:bookmarkStart w:id="97" w:name="page98"/>
      <w:bookmarkEnd w:id="97"/>
      <w:r>
        <w:rPr>
          <w:noProof/>
          <w:sz w:val="20"/>
          <w:szCs w:val="20"/>
        </w:rPr>
        <w:lastRenderedPageBreak/>
        <w:drawing>
          <wp:anchor distT="0" distB="0" distL="114300" distR="114300" simplePos="0" relativeHeight="251579904" behindDoc="1" locked="0" layoutInCell="0" allowOverlap="1">
            <wp:simplePos x="0" y="0"/>
            <wp:positionH relativeFrom="page">
              <wp:posOffset>0</wp:posOffset>
            </wp:positionH>
            <wp:positionV relativeFrom="page">
              <wp:posOffset>0</wp:posOffset>
            </wp:positionV>
            <wp:extent cx="810895" cy="10908665"/>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40">
                      <a:clrChange>
                        <a:clrFrom>
                          <a:srgbClr val="FFFFFF"/>
                        </a:clrFrom>
                        <a:clrTo>
                          <a:srgbClr val="FFFFFF">
                            <a:alpha val="0"/>
                          </a:srgbClr>
                        </a:clrTo>
                      </a:clrChange>
                      <a:extLst/>
                    </a:blip>
                    <a:srcRect/>
                    <a:stretch>
                      <a:fillRect/>
                    </a:stretch>
                  </pic:blipFill>
                  <pic:spPr bwMode="auto">
                    <a:xfrm>
                      <a:off x="0" y="0"/>
                      <a:ext cx="810895" cy="10908665"/>
                    </a:xfrm>
                    <a:prstGeom prst="rect">
                      <a:avLst/>
                    </a:prstGeom>
                    <a:noFill/>
                  </pic:spPr>
                </pic:pic>
              </a:graphicData>
            </a:graphic>
          </wp:anchor>
        </w:drawing>
      </w:r>
    </w:p>
    <w:p w:rsidR="00AC12B4" w:rsidRPr="00C27636" w:rsidRDefault="00C27636">
      <w:pPr>
        <w:ind w:left="955"/>
        <w:rPr>
          <w:sz w:val="20"/>
          <w:szCs w:val="20"/>
          <w:lang w:val="fr-BE"/>
        </w:rPr>
      </w:pPr>
      <w:r w:rsidRPr="00C27636">
        <w:rPr>
          <w:rFonts w:ascii="Cambria" w:eastAsia="Cambria" w:hAnsi="Cambria" w:cs="Cambria"/>
          <w:b/>
          <w:bCs/>
          <w:i/>
          <w:iCs/>
          <w:color w:val="919715"/>
          <w:sz w:val="26"/>
          <w:szCs w:val="26"/>
          <w:lang w:val="fr-BE"/>
        </w:rPr>
        <w:t>Les sans-abris</w:t>
      </w:r>
    </w:p>
    <w:p w:rsidR="00AC12B4" w:rsidRPr="00C27636" w:rsidRDefault="00AC12B4">
      <w:pPr>
        <w:spacing w:line="208" w:lineRule="exact"/>
        <w:rPr>
          <w:sz w:val="20"/>
          <w:szCs w:val="20"/>
          <w:lang w:val="fr-BE"/>
        </w:rPr>
      </w:pPr>
    </w:p>
    <w:p w:rsidR="00AC12B4" w:rsidRPr="00C27636" w:rsidRDefault="00C27636">
      <w:pPr>
        <w:spacing w:line="229" w:lineRule="auto"/>
        <w:ind w:left="955" w:right="53"/>
        <w:jc w:val="both"/>
        <w:rPr>
          <w:sz w:val="20"/>
          <w:szCs w:val="20"/>
          <w:lang w:val="fr-BE"/>
        </w:rPr>
      </w:pPr>
      <w:r w:rsidRPr="00C27636">
        <w:rPr>
          <w:rFonts w:ascii="Calibri" w:eastAsia="Calibri" w:hAnsi="Calibri" w:cs="Calibri"/>
          <w:lang w:val="fr-BE"/>
        </w:rPr>
        <w:t xml:space="preserve">Il est très difficile d’obtenir des chiffres sur le nombre d’enfants sans-abris. Aucun registre officiel n’existe et la définition même d’être </w:t>
      </w:r>
      <w:r w:rsidRPr="00C27636">
        <w:rPr>
          <w:rFonts w:ascii="Calibri" w:eastAsia="Calibri" w:hAnsi="Calibri" w:cs="Calibri"/>
          <w:lang w:val="fr-BE"/>
        </w:rPr>
        <w:t>sans-abri pose problème au vu des réalités différentes que couvre ce phénomène</w:t>
      </w:r>
      <w:r w:rsidRPr="00C27636">
        <w:rPr>
          <w:rFonts w:ascii="Calibri" w:eastAsia="Calibri" w:hAnsi="Calibri" w:cs="Calibri"/>
          <w:sz w:val="27"/>
          <w:szCs w:val="27"/>
          <w:vertAlign w:val="superscript"/>
          <w:lang w:val="fr-BE"/>
        </w:rPr>
        <w:t>4</w:t>
      </w:r>
    </w:p>
    <w:p w:rsidR="00AC12B4" w:rsidRPr="00C27636" w:rsidRDefault="00AC12B4">
      <w:pPr>
        <w:spacing w:line="135" w:lineRule="exact"/>
        <w:rPr>
          <w:sz w:val="20"/>
          <w:szCs w:val="20"/>
          <w:lang w:val="fr-BE"/>
        </w:rPr>
      </w:pPr>
    </w:p>
    <w:p w:rsidR="00AC12B4" w:rsidRPr="00C27636" w:rsidRDefault="00C27636">
      <w:pPr>
        <w:spacing w:line="234" w:lineRule="auto"/>
        <w:ind w:left="955" w:right="53"/>
        <w:jc w:val="both"/>
        <w:rPr>
          <w:sz w:val="20"/>
          <w:szCs w:val="20"/>
          <w:lang w:val="fr-BE"/>
        </w:rPr>
      </w:pPr>
      <w:r w:rsidRPr="00C27636">
        <w:rPr>
          <w:rFonts w:ascii="Calibri" w:eastAsia="Calibri" w:hAnsi="Calibri" w:cs="Calibri"/>
          <w:lang w:val="fr-BE"/>
        </w:rPr>
        <w:t xml:space="preserve">L’estimation du nombre de sans-abris se fait régulièrement au travers des demandes d’aide au CPAS ou en centre d’accueil. Cette façon de faire comporte évidemment un fameux </w:t>
      </w:r>
      <w:r w:rsidRPr="00C27636">
        <w:rPr>
          <w:rFonts w:ascii="Calibri" w:eastAsia="Calibri" w:hAnsi="Calibri" w:cs="Calibri"/>
          <w:lang w:val="fr-BE"/>
        </w:rPr>
        <w:t>biais car il peut donner lieu à des doubles comptages alors que d’autres personnes ne seront pas prises en compte.</w:t>
      </w:r>
    </w:p>
    <w:p w:rsidR="00AC12B4" w:rsidRPr="00C27636" w:rsidRDefault="00AC12B4">
      <w:pPr>
        <w:spacing w:line="174" w:lineRule="exact"/>
        <w:rPr>
          <w:sz w:val="20"/>
          <w:szCs w:val="20"/>
          <w:lang w:val="fr-BE"/>
        </w:rPr>
      </w:pPr>
    </w:p>
    <w:p w:rsidR="00AC12B4" w:rsidRPr="00C27636" w:rsidRDefault="00C27636">
      <w:pPr>
        <w:spacing w:line="224" w:lineRule="auto"/>
        <w:ind w:left="955" w:right="53"/>
        <w:jc w:val="both"/>
        <w:rPr>
          <w:sz w:val="20"/>
          <w:szCs w:val="20"/>
          <w:lang w:val="fr-BE"/>
        </w:rPr>
      </w:pPr>
      <w:r w:rsidRPr="00C27636">
        <w:rPr>
          <w:rFonts w:ascii="Calibri" w:eastAsia="Calibri" w:hAnsi="Calibri" w:cs="Calibri"/>
          <w:lang w:val="fr-BE"/>
        </w:rPr>
        <w:t>La difficulté s’accroit encore quand il s’agit d’enfants. C’est pourquoi nous ne donnons pas ici de chiffres</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 xml:space="preserve">. Nous insistons cependant sur </w:t>
      </w:r>
      <w:r w:rsidRPr="00C27636">
        <w:rPr>
          <w:rFonts w:ascii="Calibri" w:eastAsia="Calibri" w:hAnsi="Calibri" w:cs="Calibri"/>
          <w:lang w:val="fr-BE"/>
        </w:rPr>
        <w:t>le besoin de mieux connaître ce phénomène en général et pour les enfants en particulier.</w:t>
      </w:r>
    </w:p>
    <w:p w:rsidR="00AC12B4" w:rsidRPr="00C27636" w:rsidRDefault="00AC12B4">
      <w:pPr>
        <w:spacing w:line="209" w:lineRule="exact"/>
        <w:rPr>
          <w:sz w:val="20"/>
          <w:szCs w:val="20"/>
          <w:lang w:val="fr-BE"/>
        </w:rPr>
      </w:pPr>
    </w:p>
    <w:p w:rsidR="00AC12B4" w:rsidRDefault="00C27636">
      <w:pPr>
        <w:ind w:left="955"/>
        <w:rPr>
          <w:sz w:val="20"/>
          <w:szCs w:val="20"/>
        </w:rPr>
      </w:pPr>
      <w:r>
        <w:rPr>
          <w:rFonts w:ascii="Cambria" w:eastAsia="Cambria" w:hAnsi="Cambria" w:cs="Cambria"/>
          <w:b/>
          <w:bCs/>
          <w:i/>
          <w:iCs/>
          <w:color w:val="919715"/>
          <w:sz w:val="26"/>
          <w:szCs w:val="26"/>
        </w:rPr>
        <w:t>Pour aller plus loin</w:t>
      </w:r>
    </w:p>
    <w:p w:rsidR="00AC12B4" w:rsidRDefault="00AC12B4">
      <w:pPr>
        <w:spacing w:line="219" w:lineRule="exact"/>
        <w:rPr>
          <w:sz w:val="20"/>
          <w:szCs w:val="20"/>
        </w:rPr>
      </w:pPr>
    </w:p>
    <w:p w:rsidR="00AC12B4" w:rsidRDefault="00C27636">
      <w:pPr>
        <w:numPr>
          <w:ilvl w:val="0"/>
          <w:numId w:val="151"/>
        </w:numPr>
        <w:tabs>
          <w:tab w:val="left" w:pos="1375"/>
        </w:tabs>
        <w:spacing w:line="264" w:lineRule="auto"/>
        <w:ind w:left="1375" w:right="53" w:hanging="352"/>
        <w:jc w:val="both"/>
        <w:rPr>
          <w:rFonts w:ascii="Symbol" w:eastAsia="Symbol" w:hAnsi="Symbol" w:cs="Symbol"/>
          <w:sz w:val="20"/>
          <w:szCs w:val="20"/>
        </w:rPr>
      </w:pPr>
      <w:r w:rsidRPr="00C27636">
        <w:rPr>
          <w:rFonts w:ascii="Calibri" w:eastAsia="Calibri" w:hAnsi="Calibri" w:cs="Calibri"/>
          <w:b/>
          <w:bCs/>
          <w:i/>
          <w:iCs/>
          <w:color w:val="9BBB59"/>
          <w:sz w:val="20"/>
          <w:szCs w:val="20"/>
          <w:lang w:val="fr-BE"/>
        </w:rPr>
        <w:t xml:space="preserve">HIS: </w:t>
      </w:r>
      <w:r w:rsidRPr="00C27636">
        <w:rPr>
          <w:rFonts w:ascii="Calibri" w:eastAsia="Calibri" w:hAnsi="Calibri" w:cs="Calibri"/>
          <w:color w:val="000000"/>
          <w:sz w:val="20"/>
          <w:szCs w:val="20"/>
          <w:lang w:val="fr-BE"/>
        </w:rPr>
        <w:t>Charafeddine, R., « Environnement,</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 xml:space="preserve">logement et tabagisme passif », dans : Charafeddine, R., Demarest, S. (éd.), </w:t>
      </w:r>
      <w:r w:rsidRPr="00C27636">
        <w:rPr>
          <w:rFonts w:ascii="Calibri" w:eastAsia="Calibri" w:hAnsi="Calibri" w:cs="Calibri"/>
          <w:i/>
          <w:iCs/>
          <w:color w:val="000000"/>
          <w:sz w:val="20"/>
          <w:szCs w:val="20"/>
          <w:lang w:val="fr-BE"/>
        </w:rPr>
        <w:t xml:space="preserve">Enquête de santé 2013. </w:t>
      </w:r>
      <w:r>
        <w:rPr>
          <w:rFonts w:ascii="Calibri" w:eastAsia="Calibri" w:hAnsi="Calibri" w:cs="Calibri"/>
          <w:i/>
          <w:iCs/>
          <w:color w:val="000000"/>
          <w:sz w:val="20"/>
          <w:szCs w:val="20"/>
        </w:rPr>
        <w:t>Rapport 4 : Environnement physique et social</w:t>
      </w:r>
      <w:r>
        <w:rPr>
          <w:rFonts w:ascii="Calibri" w:eastAsia="Calibri" w:hAnsi="Calibri" w:cs="Calibri"/>
          <w:color w:val="000000"/>
          <w:sz w:val="20"/>
          <w:szCs w:val="20"/>
        </w:rPr>
        <w:t>,</w:t>
      </w:r>
      <w:r>
        <w:rPr>
          <w:rFonts w:ascii="Calibri" w:eastAsia="Calibri" w:hAnsi="Calibri" w:cs="Calibri"/>
          <w:i/>
          <w:iCs/>
          <w:color w:val="000000"/>
          <w:sz w:val="20"/>
          <w:szCs w:val="20"/>
        </w:rPr>
        <w:t xml:space="preserve"> </w:t>
      </w:r>
      <w:r>
        <w:rPr>
          <w:rFonts w:ascii="Calibri" w:eastAsia="Calibri" w:hAnsi="Calibri" w:cs="Calibri"/>
          <w:color w:val="000000"/>
          <w:sz w:val="20"/>
          <w:szCs w:val="20"/>
        </w:rPr>
        <w:t>Bruxelles, WIV-ISP, 2015.</w:t>
      </w:r>
    </w:p>
    <w:p w:rsidR="00AC12B4" w:rsidRDefault="00AC12B4">
      <w:pPr>
        <w:spacing w:line="16" w:lineRule="exact"/>
        <w:rPr>
          <w:rFonts w:ascii="Symbol" w:eastAsia="Symbol" w:hAnsi="Symbol" w:cs="Symbol"/>
          <w:sz w:val="20"/>
          <w:szCs w:val="20"/>
        </w:rPr>
      </w:pPr>
    </w:p>
    <w:p w:rsidR="00AC12B4" w:rsidRPr="00C27636" w:rsidRDefault="00C27636">
      <w:pPr>
        <w:numPr>
          <w:ilvl w:val="0"/>
          <w:numId w:val="151"/>
        </w:numPr>
        <w:tabs>
          <w:tab w:val="left" w:pos="1375"/>
        </w:tabs>
        <w:ind w:left="1375" w:hanging="352"/>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Estimation  du  nombre  de  sans-abris :</w:t>
      </w:r>
    </w:p>
    <w:p w:rsidR="00AC12B4" w:rsidRPr="00C27636" w:rsidRDefault="00AC12B4">
      <w:pPr>
        <w:spacing w:line="34" w:lineRule="exact"/>
        <w:rPr>
          <w:rFonts w:ascii="Symbol" w:eastAsia="Symbol" w:hAnsi="Symbol" w:cs="Symbol"/>
          <w:sz w:val="20"/>
          <w:szCs w:val="20"/>
          <w:lang w:val="fr-BE"/>
        </w:rPr>
      </w:pPr>
    </w:p>
    <w:p w:rsidR="00AC12B4" w:rsidRPr="00C27636" w:rsidRDefault="00C27636">
      <w:pPr>
        <w:ind w:left="1375"/>
        <w:rPr>
          <w:rFonts w:ascii="Symbol" w:eastAsia="Symbol" w:hAnsi="Symbol" w:cs="Symbol"/>
          <w:sz w:val="20"/>
          <w:szCs w:val="20"/>
          <w:lang w:val="fr-BE"/>
        </w:rPr>
      </w:pPr>
      <w:r w:rsidRPr="00C27636">
        <w:rPr>
          <w:rFonts w:ascii="Calibri" w:eastAsia="Calibri" w:hAnsi="Calibri" w:cs="Calibri"/>
          <w:sz w:val="20"/>
          <w:szCs w:val="20"/>
          <w:lang w:val="fr-BE"/>
        </w:rPr>
        <w:t>plusieursorganisations/associations</w:t>
      </w:r>
    </w:p>
    <w:p w:rsidR="00AC12B4" w:rsidRPr="00C27636" w:rsidRDefault="00AC12B4">
      <w:pPr>
        <w:spacing w:line="83" w:lineRule="exact"/>
        <w:rPr>
          <w:sz w:val="20"/>
          <w:szCs w:val="20"/>
          <w:lang w:val="fr-BE"/>
        </w:rPr>
      </w:pPr>
    </w:p>
    <w:p w:rsidR="00AC12B4" w:rsidRPr="00C27636" w:rsidRDefault="00C27636">
      <w:pPr>
        <w:spacing w:line="235" w:lineRule="auto"/>
        <w:ind w:left="1375" w:right="53"/>
        <w:rPr>
          <w:sz w:val="20"/>
          <w:szCs w:val="20"/>
          <w:lang w:val="fr-BE"/>
        </w:rPr>
      </w:pPr>
      <w:r w:rsidRPr="00C27636">
        <w:rPr>
          <w:rFonts w:ascii="Calibri" w:eastAsia="Calibri" w:hAnsi="Calibri" w:cs="Calibri"/>
          <w:sz w:val="20"/>
          <w:szCs w:val="20"/>
          <w:lang w:val="fr-BE"/>
        </w:rPr>
        <w:t>tentent d’estimer le nombre de sans-abris (parfois y compris les enfants)</w:t>
      </w:r>
    </w:p>
    <w:p w:rsidR="00AC12B4" w:rsidRPr="00C27636" w:rsidRDefault="00AC12B4">
      <w:pPr>
        <w:spacing w:line="67" w:lineRule="exact"/>
        <w:rPr>
          <w:sz w:val="20"/>
          <w:szCs w:val="20"/>
          <w:lang w:val="fr-BE"/>
        </w:rPr>
      </w:pPr>
    </w:p>
    <w:p w:rsidR="00AC12B4" w:rsidRDefault="00C27636">
      <w:pPr>
        <w:tabs>
          <w:tab w:val="left" w:pos="2375"/>
        </w:tabs>
        <w:spacing w:line="232" w:lineRule="auto"/>
        <w:ind w:left="2395" w:right="53" w:hanging="359"/>
        <w:jc w:val="both"/>
        <w:rPr>
          <w:sz w:val="20"/>
          <w:szCs w:val="20"/>
        </w:rPr>
      </w:pPr>
      <w:r>
        <w:rPr>
          <w:rFonts w:ascii="Courier New" w:eastAsia="Courier New" w:hAnsi="Courier New" w:cs="Courier New"/>
          <w:sz w:val="20"/>
          <w:szCs w:val="20"/>
        </w:rPr>
        <w:t>o</w:t>
      </w:r>
      <w:r>
        <w:rPr>
          <w:sz w:val="20"/>
          <w:szCs w:val="20"/>
        </w:rPr>
        <w:tab/>
      </w:r>
      <w:r>
        <w:rPr>
          <w:rFonts w:ascii="Calibri" w:eastAsia="Calibri" w:hAnsi="Calibri" w:cs="Calibri"/>
          <w:sz w:val="20"/>
          <w:szCs w:val="20"/>
        </w:rPr>
        <w:t xml:space="preserve">FEANTSA        (European </w:t>
      </w:r>
      <w:r>
        <w:rPr>
          <w:rFonts w:ascii="Calibri" w:eastAsia="Calibri" w:hAnsi="Calibri" w:cs="Calibri"/>
          <w:sz w:val="20"/>
          <w:szCs w:val="20"/>
        </w:rPr>
        <w:t>Federation    of    National</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580928" behindDoc="1" locked="0" layoutInCell="0" allowOverlap="1">
                <wp:simplePos x="0" y="0"/>
                <wp:positionH relativeFrom="column">
                  <wp:posOffset>606425</wp:posOffset>
                </wp:positionH>
                <wp:positionV relativeFrom="paragraph">
                  <wp:posOffset>458470</wp:posOffset>
                </wp:positionV>
                <wp:extent cx="1828800" cy="0"/>
                <wp:effectExtent l="0" t="0" r="0" b="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5pt,36.1pt" to="191.75pt,36.1pt" o:allowincell="f" strokecolor="#000000" strokeweight="0.72pt"/>
            </w:pict>
          </mc:Fallback>
        </mc:AlternateContent>
      </w:r>
    </w:p>
    <w:p w:rsidR="00AC12B4" w:rsidRDefault="00C27636">
      <w:pPr>
        <w:spacing w:line="20" w:lineRule="exact"/>
        <w:rPr>
          <w:sz w:val="20"/>
          <w:szCs w:val="20"/>
        </w:rPr>
      </w:pPr>
      <w:r>
        <w:rPr>
          <w:sz w:val="20"/>
          <w:szCs w:val="20"/>
        </w:rPr>
        <w:br w:type="column"/>
      </w:r>
    </w:p>
    <w:p w:rsidR="00AC12B4" w:rsidRDefault="00AC12B4">
      <w:pPr>
        <w:spacing w:line="144" w:lineRule="exact"/>
        <w:rPr>
          <w:sz w:val="20"/>
          <w:szCs w:val="20"/>
        </w:rPr>
      </w:pPr>
    </w:p>
    <w:p w:rsidR="00AC12B4" w:rsidRDefault="00C27636">
      <w:pPr>
        <w:ind w:left="1367"/>
        <w:rPr>
          <w:sz w:val="20"/>
          <w:szCs w:val="20"/>
        </w:rPr>
      </w:pPr>
      <w:r>
        <w:rPr>
          <w:rFonts w:ascii="Calibri" w:eastAsia="Calibri" w:hAnsi="Calibri" w:cs="Calibri"/>
          <w:sz w:val="20"/>
          <w:szCs w:val="20"/>
        </w:rPr>
        <w:t>Organisations  working  with</w:t>
      </w:r>
    </w:p>
    <w:p w:rsidR="00AC12B4" w:rsidRDefault="00AC12B4">
      <w:pPr>
        <w:spacing w:line="37" w:lineRule="exact"/>
        <w:rPr>
          <w:sz w:val="20"/>
          <w:szCs w:val="20"/>
        </w:rPr>
      </w:pPr>
    </w:p>
    <w:p w:rsidR="00AC12B4" w:rsidRDefault="00C27636">
      <w:pPr>
        <w:ind w:left="1367"/>
        <w:rPr>
          <w:sz w:val="20"/>
          <w:szCs w:val="20"/>
        </w:rPr>
      </w:pPr>
      <w:r>
        <w:rPr>
          <w:rFonts w:ascii="Calibri" w:eastAsia="Calibri" w:hAnsi="Calibri" w:cs="Calibri"/>
          <w:sz w:val="20"/>
          <w:szCs w:val="20"/>
        </w:rPr>
        <w:t>the Homeless)</w:t>
      </w:r>
    </w:p>
    <w:p w:rsidR="00AC12B4" w:rsidRDefault="00AC12B4">
      <w:pPr>
        <w:spacing w:line="14" w:lineRule="exact"/>
        <w:rPr>
          <w:sz w:val="20"/>
          <w:szCs w:val="20"/>
        </w:rPr>
      </w:pPr>
    </w:p>
    <w:p w:rsidR="00AC12B4" w:rsidRDefault="00C27636">
      <w:pPr>
        <w:tabs>
          <w:tab w:val="left" w:pos="1347"/>
          <w:tab w:val="left" w:pos="1947"/>
          <w:tab w:val="left" w:pos="2867"/>
        </w:tabs>
        <w:ind w:left="1007"/>
        <w:rPr>
          <w:sz w:val="20"/>
          <w:szCs w:val="20"/>
        </w:rPr>
      </w:pPr>
      <w:r>
        <w:rPr>
          <w:rFonts w:ascii="Courier New" w:eastAsia="Courier New" w:hAnsi="Courier New" w:cs="Courier New"/>
          <w:sz w:val="20"/>
          <w:szCs w:val="20"/>
        </w:rPr>
        <w:t>o</w:t>
      </w:r>
      <w:r>
        <w:rPr>
          <w:sz w:val="20"/>
          <w:szCs w:val="20"/>
        </w:rPr>
        <w:tab/>
      </w:r>
      <w:r>
        <w:rPr>
          <w:rFonts w:ascii="Calibri" w:eastAsia="Calibri" w:hAnsi="Calibri" w:cs="Calibri"/>
          <w:sz w:val="20"/>
          <w:szCs w:val="20"/>
        </w:rPr>
        <w:t>La</w:t>
      </w:r>
      <w:r>
        <w:rPr>
          <w:sz w:val="20"/>
          <w:szCs w:val="20"/>
        </w:rPr>
        <w:tab/>
      </w:r>
      <w:r>
        <w:rPr>
          <w:rFonts w:ascii="Calibri" w:eastAsia="Calibri" w:hAnsi="Calibri" w:cs="Calibri"/>
          <w:sz w:val="20"/>
          <w:szCs w:val="20"/>
        </w:rPr>
        <w:t>Strada</w:t>
      </w:r>
      <w:r>
        <w:rPr>
          <w:sz w:val="20"/>
          <w:szCs w:val="20"/>
        </w:rPr>
        <w:tab/>
      </w:r>
      <w:r>
        <w:rPr>
          <w:rFonts w:ascii="Calibri" w:eastAsia="Calibri" w:hAnsi="Calibri" w:cs="Calibri"/>
          <w:sz w:val="20"/>
          <w:szCs w:val="20"/>
        </w:rPr>
        <w:t>(Bruxelles):</w:t>
      </w:r>
    </w:p>
    <w:p w:rsidR="00AC12B4" w:rsidRDefault="00AC12B4">
      <w:pPr>
        <w:spacing w:line="53" w:lineRule="exact"/>
        <w:rPr>
          <w:sz w:val="20"/>
          <w:szCs w:val="20"/>
        </w:rPr>
      </w:pPr>
    </w:p>
    <w:p w:rsidR="00AC12B4" w:rsidRDefault="00C27636">
      <w:pPr>
        <w:ind w:left="1367"/>
        <w:rPr>
          <w:rFonts w:ascii="Calibri" w:eastAsia="Calibri" w:hAnsi="Calibri" w:cs="Calibri"/>
          <w:color w:val="0000FF"/>
          <w:sz w:val="20"/>
          <w:szCs w:val="20"/>
          <w:u w:val="single"/>
        </w:rPr>
      </w:pPr>
      <w:hyperlink r:id="rId161">
        <w:r>
          <w:rPr>
            <w:rFonts w:ascii="Calibri" w:eastAsia="Calibri" w:hAnsi="Calibri" w:cs="Calibri"/>
            <w:color w:val="0000FF"/>
            <w:sz w:val="20"/>
            <w:szCs w:val="20"/>
            <w:u w:val="single"/>
          </w:rPr>
          <w:t>http://www.lstb.be/</w:t>
        </w:r>
      </w:hyperlink>
    </w:p>
    <w:p w:rsidR="00AC12B4" w:rsidRDefault="00AC12B4">
      <w:pPr>
        <w:spacing w:line="83" w:lineRule="exact"/>
        <w:rPr>
          <w:sz w:val="20"/>
          <w:szCs w:val="20"/>
        </w:rPr>
      </w:pPr>
    </w:p>
    <w:p w:rsidR="00AC12B4" w:rsidRPr="00C27636" w:rsidRDefault="00C27636">
      <w:pPr>
        <w:numPr>
          <w:ilvl w:val="0"/>
          <w:numId w:val="152"/>
        </w:numPr>
        <w:tabs>
          <w:tab w:val="left" w:pos="1367"/>
        </w:tabs>
        <w:spacing w:line="232" w:lineRule="auto"/>
        <w:ind w:left="1367" w:right="737" w:hanging="355"/>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Service de lutte contre la pauvreté, la précarité et</w:t>
      </w:r>
    </w:p>
    <w:p w:rsidR="00AC12B4" w:rsidRPr="00C27636" w:rsidRDefault="00AC12B4">
      <w:pPr>
        <w:spacing w:line="36" w:lineRule="exact"/>
        <w:rPr>
          <w:rFonts w:ascii="Courier New" w:eastAsia="Courier New" w:hAnsi="Courier New" w:cs="Courier New"/>
          <w:sz w:val="20"/>
          <w:szCs w:val="20"/>
          <w:lang w:val="fr-BE"/>
        </w:rPr>
      </w:pPr>
    </w:p>
    <w:p w:rsidR="00AC12B4" w:rsidRPr="00C27636" w:rsidRDefault="00C27636">
      <w:pPr>
        <w:ind w:left="1367"/>
        <w:rPr>
          <w:rFonts w:ascii="Courier New" w:eastAsia="Courier New" w:hAnsi="Courier New" w:cs="Courier New"/>
          <w:sz w:val="20"/>
          <w:szCs w:val="20"/>
          <w:lang w:val="fr-BE"/>
        </w:rPr>
      </w:pPr>
      <w:r w:rsidRPr="00C27636">
        <w:rPr>
          <w:rFonts w:ascii="Calibri" w:eastAsia="Calibri" w:hAnsi="Calibri" w:cs="Calibri"/>
          <w:sz w:val="20"/>
          <w:szCs w:val="20"/>
          <w:lang w:val="fr-BE"/>
        </w:rPr>
        <w:t>l'exclusionsociale :</w:t>
      </w:r>
    </w:p>
    <w:p w:rsidR="00AC12B4" w:rsidRPr="00C27636" w:rsidRDefault="00AC12B4">
      <w:pPr>
        <w:spacing w:line="37" w:lineRule="exact"/>
        <w:rPr>
          <w:sz w:val="20"/>
          <w:szCs w:val="20"/>
          <w:lang w:val="fr-BE"/>
        </w:rPr>
      </w:pPr>
    </w:p>
    <w:p w:rsidR="00AC12B4" w:rsidRPr="00C27636" w:rsidRDefault="00C27636">
      <w:pPr>
        <w:ind w:left="1367"/>
        <w:rPr>
          <w:rFonts w:ascii="Calibri" w:eastAsia="Calibri" w:hAnsi="Calibri" w:cs="Calibri"/>
          <w:color w:val="0000FF"/>
          <w:sz w:val="20"/>
          <w:szCs w:val="20"/>
          <w:u w:val="single"/>
          <w:lang w:val="fr-BE"/>
        </w:rPr>
      </w:pPr>
      <w:hyperlink r:id="rId162">
        <w:r w:rsidRPr="00C27636">
          <w:rPr>
            <w:rFonts w:ascii="Calibri" w:eastAsia="Calibri" w:hAnsi="Calibri" w:cs="Calibri"/>
            <w:color w:val="0000FF"/>
            <w:sz w:val="20"/>
            <w:szCs w:val="20"/>
            <w:u w:val="single"/>
            <w:lang w:val="fr-BE"/>
          </w:rPr>
          <w:t>http://www.luttepauvrete.be</w:t>
        </w:r>
      </w:hyperlink>
    </w:p>
    <w:p w:rsidR="00AC12B4" w:rsidRPr="00C27636" w:rsidRDefault="00AC12B4">
      <w:pPr>
        <w:spacing w:line="37" w:lineRule="exact"/>
        <w:rPr>
          <w:sz w:val="20"/>
          <w:szCs w:val="20"/>
          <w:lang w:val="fr-BE"/>
        </w:rPr>
      </w:pPr>
    </w:p>
    <w:p w:rsidR="00AC12B4" w:rsidRPr="00C27636" w:rsidRDefault="00C27636">
      <w:pPr>
        <w:ind w:left="1367"/>
        <w:rPr>
          <w:rFonts w:ascii="Calibri" w:eastAsia="Calibri" w:hAnsi="Calibri" w:cs="Calibri"/>
          <w:color w:val="0000FF"/>
          <w:sz w:val="20"/>
          <w:szCs w:val="20"/>
          <w:u w:val="single"/>
          <w:lang w:val="fr-BE"/>
        </w:rPr>
      </w:pPr>
      <w:hyperlink r:id="rId163">
        <w:r w:rsidRPr="00C27636">
          <w:rPr>
            <w:rFonts w:ascii="Calibri" w:eastAsia="Calibri" w:hAnsi="Calibri" w:cs="Calibri"/>
            <w:color w:val="0000FF"/>
            <w:sz w:val="20"/>
            <w:szCs w:val="20"/>
            <w:u w:val="single"/>
            <w:lang w:val="fr-BE"/>
          </w:rPr>
          <w:t>/chiffres_sans_abri.htm</w:t>
        </w:r>
      </w:hyperlink>
    </w:p>
    <w:p w:rsidR="00AC12B4" w:rsidRPr="00C27636" w:rsidRDefault="00AC12B4">
      <w:pPr>
        <w:spacing w:line="30" w:lineRule="exact"/>
        <w:rPr>
          <w:sz w:val="20"/>
          <w:szCs w:val="20"/>
          <w:lang w:val="fr-BE"/>
        </w:rPr>
      </w:pPr>
    </w:p>
    <w:p w:rsidR="00AC12B4" w:rsidRDefault="00C27636">
      <w:pPr>
        <w:numPr>
          <w:ilvl w:val="0"/>
          <w:numId w:val="153"/>
        </w:numPr>
        <w:tabs>
          <w:tab w:val="left" w:pos="1367"/>
        </w:tabs>
        <w:ind w:left="1367" w:hanging="355"/>
        <w:rPr>
          <w:rFonts w:ascii="Courier New" w:eastAsia="Courier New" w:hAnsi="Courier New" w:cs="Courier New"/>
          <w:sz w:val="20"/>
          <w:szCs w:val="20"/>
        </w:rPr>
      </w:pPr>
      <w:r>
        <w:rPr>
          <w:rFonts w:ascii="Calibri" w:eastAsia="Calibri" w:hAnsi="Calibri" w:cs="Calibri"/>
          <w:sz w:val="20"/>
          <w:szCs w:val="20"/>
        </w:rPr>
        <w:t>CPAS</w:t>
      </w:r>
    </w:p>
    <w:p w:rsidR="00AC12B4" w:rsidRDefault="00AC12B4">
      <w:pPr>
        <w:spacing w:line="30" w:lineRule="exact"/>
        <w:rPr>
          <w:sz w:val="20"/>
          <w:szCs w:val="20"/>
        </w:rPr>
      </w:pPr>
    </w:p>
    <w:p w:rsidR="00AC12B4" w:rsidRDefault="00C27636">
      <w:pPr>
        <w:numPr>
          <w:ilvl w:val="0"/>
          <w:numId w:val="154"/>
        </w:numPr>
        <w:tabs>
          <w:tab w:val="left" w:pos="1367"/>
        </w:tabs>
        <w:ind w:left="1367" w:hanging="355"/>
        <w:rPr>
          <w:rFonts w:ascii="Courier New" w:eastAsia="Courier New" w:hAnsi="Courier New" w:cs="Courier New"/>
          <w:sz w:val="20"/>
          <w:szCs w:val="20"/>
        </w:rPr>
      </w:pPr>
      <w:r>
        <w:rPr>
          <w:rFonts w:ascii="Calibri" w:eastAsia="Calibri" w:hAnsi="Calibri" w:cs="Calibri"/>
          <w:sz w:val="20"/>
          <w:szCs w:val="20"/>
        </w:rPr>
        <w:t>CAW (flandre)</w:t>
      </w:r>
    </w:p>
    <w:p w:rsidR="00AC12B4" w:rsidRDefault="00AC12B4">
      <w:pPr>
        <w:spacing w:line="30" w:lineRule="exact"/>
        <w:rPr>
          <w:sz w:val="20"/>
          <w:szCs w:val="20"/>
        </w:rPr>
      </w:pPr>
    </w:p>
    <w:p w:rsidR="00AC12B4" w:rsidRDefault="00C27636">
      <w:pPr>
        <w:numPr>
          <w:ilvl w:val="1"/>
          <w:numId w:val="155"/>
        </w:numPr>
        <w:tabs>
          <w:tab w:val="left" w:pos="1367"/>
        </w:tabs>
        <w:ind w:left="1367" w:hanging="355"/>
        <w:rPr>
          <w:rFonts w:ascii="Courier New" w:eastAsia="Courier New" w:hAnsi="Courier New" w:cs="Courier New"/>
          <w:sz w:val="20"/>
          <w:szCs w:val="20"/>
        </w:rPr>
      </w:pPr>
      <w:r>
        <w:rPr>
          <w:rFonts w:ascii="Calibri" w:eastAsia="Calibri" w:hAnsi="Calibri" w:cs="Calibri"/>
          <w:sz w:val="20"/>
          <w:szCs w:val="20"/>
        </w:rPr>
        <w:t>Le projet européen MPHASIS</w:t>
      </w:r>
    </w:p>
    <w:p w:rsidR="00AC12B4" w:rsidRDefault="00AC12B4">
      <w:pPr>
        <w:spacing w:line="36" w:lineRule="exact"/>
        <w:rPr>
          <w:rFonts w:ascii="Courier New" w:eastAsia="Courier New" w:hAnsi="Courier New" w:cs="Courier New"/>
          <w:sz w:val="20"/>
          <w:szCs w:val="20"/>
        </w:rPr>
      </w:pPr>
    </w:p>
    <w:p w:rsidR="00AC12B4" w:rsidRDefault="00C27636">
      <w:pPr>
        <w:ind w:left="1367"/>
        <w:rPr>
          <w:rFonts w:ascii="Courier New" w:eastAsia="Courier New" w:hAnsi="Courier New" w:cs="Courier New"/>
          <w:sz w:val="20"/>
          <w:szCs w:val="20"/>
        </w:rPr>
      </w:pPr>
      <w:r>
        <w:rPr>
          <w:rFonts w:ascii="Calibri" w:eastAsia="Calibri" w:hAnsi="Calibri" w:cs="Calibri"/>
          <w:sz w:val="20"/>
          <w:szCs w:val="20"/>
        </w:rPr>
        <w:t>(MutualProgress</w:t>
      </w:r>
      <w:r>
        <w:rPr>
          <w:rFonts w:ascii="Calibri" w:eastAsia="Calibri" w:hAnsi="Calibri" w:cs="Calibri"/>
          <w:sz w:val="20"/>
          <w:szCs w:val="20"/>
        </w:rPr>
        <w:t>on</w:t>
      </w:r>
    </w:p>
    <w:p w:rsidR="00AC12B4" w:rsidRDefault="00AC12B4">
      <w:pPr>
        <w:spacing w:line="84" w:lineRule="exact"/>
        <w:rPr>
          <w:rFonts w:ascii="Courier New" w:eastAsia="Courier New" w:hAnsi="Courier New" w:cs="Courier New"/>
          <w:sz w:val="20"/>
          <w:szCs w:val="20"/>
        </w:rPr>
      </w:pPr>
    </w:p>
    <w:p w:rsidR="00AC12B4" w:rsidRDefault="00C27636">
      <w:pPr>
        <w:spacing w:line="235" w:lineRule="auto"/>
        <w:ind w:left="1367" w:right="737"/>
        <w:jc w:val="both"/>
        <w:rPr>
          <w:rFonts w:ascii="Courier New" w:eastAsia="Courier New" w:hAnsi="Courier New" w:cs="Courier New"/>
          <w:sz w:val="20"/>
          <w:szCs w:val="20"/>
        </w:rPr>
      </w:pPr>
      <w:r>
        <w:rPr>
          <w:rFonts w:ascii="Calibri" w:eastAsia="Calibri" w:hAnsi="Calibri" w:cs="Calibri"/>
          <w:sz w:val="20"/>
          <w:szCs w:val="20"/>
        </w:rPr>
        <w:t>Homelessness through Advancing and Strengthening</w:t>
      </w:r>
    </w:p>
    <w:p w:rsidR="00AC12B4" w:rsidRDefault="00AC12B4">
      <w:pPr>
        <w:spacing w:line="83" w:lineRule="exact"/>
        <w:rPr>
          <w:rFonts w:ascii="Courier New" w:eastAsia="Courier New" w:hAnsi="Courier New" w:cs="Courier New"/>
          <w:sz w:val="20"/>
          <w:szCs w:val="20"/>
        </w:rPr>
      </w:pPr>
    </w:p>
    <w:p w:rsidR="00AC12B4" w:rsidRPr="00C27636" w:rsidRDefault="00C27636">
      <w:pPr>
        <w:spacing w:line="266" w:lineRule="auto"/>
        <w:ind w:left="1367" w:right="737"/>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Information Systems) envisage de développer un système de collecte de données fiable. Le partenaire belge auprès de ce projet est le HIVA, KU Leuven.</w:t>
      </w:r>
    </w:p>
    <w:p w:rsidR="00AC12B4" w:rsidRPr="00C27636" w:rsidRDefault="00AC12B4">
      <w:pPr>
        <w:spacing w:line="70" w:lineRule="exact"/>
        <w:rPr>
          <w:rFonts w:ascii="Courier New" w:eastAsia="Courier New" w:hAnsi="Courier New" w:cs="Courier New"/>
          <w:sz w:val="20"/>
          <w:szCs w:val="20"/>
          <w:lang w:val="fr-BE"/>
        </w:rPr>
      </w:pPr>
    </w:p>
    <w:p w:rsidR="00AC12B4" w:rsidRPr="00C27636" w:rsidRDefault="00C27636">
      <w:pPr>
        <w:numPr>
          <w:ilvl w:val="0"/>
          <w:numId w:val="155"/>
        </w:numPr>
        <w:tabs>
          <w:tab w:val="left" w:pos="367"/>
        </w:tabs>
        <w:spacing w:line="264" w:lineRule="auto"/>
        <w:ind w:left="367" w:right="737" w:hanging="367"/>
        <w:rPr>
          <w:rFonts w:ascii="Calibri" w:eastAsia="Calibri" w:hAnsi="Calibri" w:cs="Calibri"/>
          <w:color w:val="0000FF"/>
          <w:sz w:val="20"/>
          <w:szCs w:val="20"/>
          <w:u w:val="single"/>
          <w:lang w:val="nl-NL"/>
        </w:rPr>
      </w:pPr>
      <w:r w:rsidRPr="00C27636">
        <w:rPr>
          <w:rFonts w:ascii="Calibri" w:eastAsia="Calibri" w:hAnsi="Calibri" w:cs="Calibri"/>
          <w:b/>
          <w:bCs/>
          <w:i/>
          <w:iCs/>
          <w:color w:val="9BBB59"/>
          <w:sz w:val="20"/>
          <w:szCs w:val="20"/>
          <w:lang w:val="fr-BE"/>
        </w:rPr>
        <w:t xml:space="preserve">Silc-cut : </w:t>
      </w:r>
      <w:r w:rsidRPr="00C27636">
        <w:rPr>
          <w:rFonts w:ascii="Calibri" w:eastAsia="Calibri" w:hAnsi="Calibri" w:cs="Calibri"/>
          <w:color w:val="000000"/>
          <w:sz w:val="20"/>
          <w:szCs w:val="20"/>
          <w:lang w:val="fr-BE"/>
        </w:rPr>
        <w:t xml:space="preserve">reproduction de l’enquête Eu-Silc avec comme population cible les sans-abris. </w:t>
      </w:r>
      <w:hyperlink r:id="rId164">
        <w:r w:rsidRPr="00C27636">
          <w:rPr>
            <w:rFonts w:ascii="Calibri" w:eastAsia="Calibri" w:hAnsi="Calibri" w:cs="Calibri"/>
            <w:color w:val="0000FF"/>
            <w:sz w:val="20"/>
            <w:szCs w:val="20"/>
            <w:u w:val="single"/>
            <w:lang w:val="nl-NL"/>
          </w:rPr>
          <w:t>https://hiva.kuleuven.be/resources/pdf/p</w:t>
        </w:r>
      </w:hyperlink>
      <w:r w:rsidRPr="00C27636">
        <w:rPr>
          <w:rFonts w:ascii="Calibri" w:eastAsia="Calibri" w:hAnsi="Calibri" w:cs="Calibri"/>
          <w:color w:val="0000FF"/>
          <w:sz w:val="20"/>
          <w:szCs w:val="20"/>
          <w:u w:val="single"/>
          <w:lang w:val="nl-NL"/>
        </w:rPr>
        <w:t xml:space="preserve"> </w:t>
      </w:r>
      <w:hyperlink r:id="rId165">
        <w:r w:rsidRPr="00C27636">
          <w:rPr>
            <w:rFonts w:ascii="Calibri" w:eastAsia="Calibri" w:hAnsi="Calibri" w:cs="Calibri"/>
            <w:color w:val="0000FF"/>
            <w:sz w:val="20"/>
            <w:szCs w:val="20"/>
            <w:u w:val="single"/>
            <w:lang w:val="nl-NL"/>
          </w:rPr>
          <w:t>ublicaties/R1473_armoede_tussen_de_pl</w:t>
        </w:r>
      </w:hyperlink>
      <w:r w:rsidRPr="00C27636">
        <w:rPr>
          <w:rFonts w:ascii="Calibri" w:eastAsia="Calibri" w:hAnsi="Calibri" w:cs="Calibri"/>
          <w:color w:val="0000FF"/>
          <w:sz w:val="20"/>
          <w:szCs w:val="20"/>
          <w:u w:val="single"/>
          <w:lang w:val="nl-NL"/>
        </w:rPr>
        <w:t xml:space="preserve"> </w:t>
      </w:r>
      <w:hyperlink r:id="rId166">
        <w:r w:rsidRPr="00C27636">
          <w:rPr>
            <w:rFonts w:ascii="Calibri" w:eastAsia="Calibri" w:hAnsi="Calibri" w:cs="Calibri"/>
            <w:color w:val="0000FF"/>
            <w:sz w:val="20"/>
            <w:szCs w:val="20"/>
            <w:u w:val="single"/>
            <w:lang w:val="nl-NL"/>
          </w:rPr>
          <w:t>ooien.pdf</w:t>
        </w:r>
      </w:hyperlink>
    </w:p>
    <w:p w:rsidR="00AC12B4" w:rsidRPr="00C27636" w:rsidRDefault="00AC12B4">
      <w:pPr>
        <w:spacing w:line="74" w:lineRule="exact"/>
        <w:rPr>
          <w:rFonts w:ascii="Calibri" w:eastAsia="Calibri" w:hAnsi="Calibri" w:cs="Calibri"/>
          <w:color w:val="0000FF"/>
          <w:sz w:val="20"/>
          <w:szCs w:val="20"/>
          <w:u w:val="single"/>
          <w:lang w:val="nl-NL"/>
        </w:rPr>
      </w:pPr>
    </w:p>
    <w:p w:rsidR="00AC12B4" w:rsidRPr="00C27636" w:rsidRDefault="00C27636">
      <w:pPr>
        <w:numPr>
          <w:ilvl w:val="0"/>
          <w:numId w:val="155"/>
        </w:numPr>
        <w:tabs>
          <w:tab w:val="left" w:pos="367"/>
        </w:tabs>
        <w:spacing w:line="256" w:lineRule="auto"/>
        <w:ind w:left="367" w:right="837" w:hanging="367"/>
        <w:rPr>
          <w:rFonts w:ascii="Symbol" w:eastAsia="Symbol" w:hAnsi="Symbol" w:cs="Symbol"/>
          <w:sz w:val="20"/>
          <w:szCs w:val="20"/>
          <w:lang w:val="fr-BE"/>
        </w:rPr>
      </w:pPr>
      <w:r w:rsidRPr="00C27636">
        <w:rPr>
          <w:rFonts w:ascii="Calibri" w:eastAsia="Calibri" w:hAnsi="Calibri" w:cs="Calibri"/>
          <w:b/>
          <w:bCs/>
          <w:i/>
          <w:iCs/>
          <w:color w:val="9BBB59"/>
          <w:sz w:val="20"/>
          <w:szCs w:val="20"/>
          <w:lang w:val="fr-BE"/>
        </w:rPr>
        <w:t xml:space="preserve">Evolution des loyers </w:t>
      </w:r>
      <w:r w:rsidRPr="00C27636">
        <w:rPr>
          <w:rFonts w:ascii="Calibri" w:eastAsia="Calibri" w:hAnsi="Calibri" w:cs="Calibri"/>
          <w:color w:val="000000"/>
          <w:sz w:val="20"/>
          <w:szCs w:val="20"/>
          <w:lang w:val="fr-BE"/>
        </w:rPr>
        <w:t xml:space="preserve">du </w:t>
      </w:r>
      <w:r w:rsidRPr="00C27636">
        <w:rPr>
          <w:rFonts w:ascii="Calibri" w:eastAsia="Calibri" w:hAnsi="Calibri" w:cs="Calibri"/>
          <w:color w:val="000000"/>
          <w:sz w:val="20"/>
          <w:szCs w:val="20"/>
          <w:lang w:val="fr-BE"/>
        </w:rPr>
        <w:t>parc locatif privé</w:t>
      </w:r>
      <w:r w:rsidRPr="00C27636">
        <w:rPr>
          <w:rFonts w:ascii="Calibri" w:eastAsia="Calibri" w:hAnsi="Calibri" w:cs="Calibri"/>
          <w:b/>
          <w:bCs/>
          <w:i/>
          <w:iCs/>
          <w:color w:val="9BBB59"/>
          <w:sz w:val="20"/>
          <w:szCs w:val="20"/>
          <w:lang w:val="fr-BE"/>
        </w:rPr>
        <w:t xml:space="preserve"> </w:t>
      </w:r>
      <w:r w:rsidRPr="00C27636">
        <w:rPr>
          <w:rFonts w:ascii="Calibri" w:eastAsia="Calibri" w:hAnsi="Calibri" w:cs="Calibri"/>
          <w:color w:val="000000"/>
          <w:sz w:val="20"/>
          <w:szCs w:val="20"/>
          <w:lang w:val="fr-BE"/>
        </w:rPr>
        <w:t>de la région bruxelloise : Les enquêtes de l’Observatoire des loyers, (2013, 2012, 2011, 2010), www.slrb.irisnet.be.</w:t>
      </w:r>
    </w:p>
    <w:p w:rsidR="00AC12B4" w:rsidRPr="00C27636" w:rsidRDefault="00AC12B4">
      <w:pPr>
        <w:spacing w:line="1586" w:lineRule="exact"/>
        <w:rPr>
          <w:rFonts w:ascii="Calibri" w:eastAsia="Calibri" w:hAnsi="Calibri" w:cs="Calibri"/>
          <w:color w:val="0000FF"/>
          <w:sz w:val="20"/>
          <w:szCs w:val="20"/>
          <w:u w:val="single"/>
          <w:lang w:val="fr-BE"/>
        </w:rPr>
      </w:pPr>
    </w:p>
    <w:p w:rsidR="00AC12B4" w:rsidRPr="00C27636" w:rsidRDefault="00AC12B4">
      <w:pPr>
        <w:rPr>
          <w:lang w:val="fr-BE"/>
        </w:rPr>
        <w:sectPr w:rsidR="00AC12B4" w:rsidRPr="00C27636">
          <w:pgSz w:w="12080" w:h="17179"/>
          <w:pgMar w:top="1440" w:right="1440" w:bottom="659" w:left="485" w:header="0" w:footer="0" w:gutter="0"/>
          <w:cols w:num="2" w:space="720" w:equalWidth="0">
            <w:col w:w="4888" w:space="720"/>
            <w:col w:w="4544"/>
          </w:cols>
        </w:sect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85" w:lineRule="exact"/>
        <w:rPr>
          <w:rFonts w:ascii="Calibri" w:eastAsia="Calibri" w:hAnsi="Calibri" w:cs="Calibri"/>
          <w:color w:val="0000FF"/>
          <w:sz w:val="20"/>
          <w:szCs w:val="20"/>
          <w:u w:val="single"/>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373" w:lineRule="exact"/>
        <w:rPr>
          <w:rFonts w:ascii="Calibri" w:eastAsia="Calibri" w:hAnsi="Calibri" w:cs="Calibri"/>
          <w:color w:val="0000FF"/>
          <w:sz w:val="20"/>
          <w:szCs w:val="20"/>
          <w:u w:val="single"/>
          <w:lang w:val="fr-BE"/>
        </w:rPr>
      </w:pPr>
    </w:p>
    <w:p w:rsidR="00AC12B4" w:rsidRPr="00C27636" w:rsidRDefault="00C27636">
      <w:pPr>
        <w:numPr>
          <w:ilvl w:val="0"/>
          <w:numId w:val="156"/>
        </w:numPr>
        <w:tabs>
          <w:tab w:val="left" w:pos="118"/>
        </w:tabs>
        <w:spacing w:line="203" w:lineRule="auto"/>
        <w:ind w:right="531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Pour plus d’information sur la problématique: </w:t>
      </w:r>
      <w:r w:rsidRPr="00C27636">
        <w:rPr>
          <w:rFonts w:ascii="Calibri" w:eastAsia="Calibri" w:hAnsi="Calibri" w:cs="Calibri"/>
          <w:sz w:val="20"/>
          <w:szCs w:val="20"/>
          <w:lang w:val="fr-BE"/>
        </w:rPr>
        <w:t>http://www.luttepauvrete.be/chiffres_sans_ab ri.htm.</w:t>
      </w:r>
    </w:p>
    <w:p w:rsidR="00AC12B4" w:rsidRPr="00C27636" w:rsidRDefault="00AC12B4">
      <w:pPr>
        <w:spacing w:line="50" w:lineRule="exact"/>
        <w:rPr>
          <w:rFonts w:ascii="Calibri" w:eastAsia="Calibri" w:hAnsi="Calibri" w:cs="Calibri"/>
          <w:sz w:val="26"/>
          <w:szCs w:val="26"/>
          <w:vertAlign w:val="superscript"/>
          <w:lang w:val="fr-BE"/>
        </w:rPr>
      </w:pPr>
    </w:p>
    <w:p w:rsidR="00AC12B4" w:rsidRPr="00C27636" w:rsidRDefault="00C27636">
      <w:pPr>
        <w:numPr>
          <w:ilvl w:val="0"/>
          <w:numId w:val="156"/>
        </w:numPr>
        <w:tabs>
          <w:tab w:val="left" w:pos="200"/>
        </w:tabs>
        <w:ind w:left="200" w:hanging="20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Notons  cependant,  à  titre  d’exemple  le</w:t>
      </w:r>
    </w:p>
    <w:p w:rsidR="00AC12B4" w:rsidRPr="00C27636" w:rsidRDefault="00C27636">
      <w:pPr>
        <w:tabs>
          <w:tab w:val="left" w:pos="1220"/>
          <w:tab w:val="left" w:pos="1660"/>
          <w:tab w:val="left" w:pos="2820"/>
          <w:tab w:val="left" w:pos="3180"/>
          <w:tab w:val="left" w:pos="3760"/>
        </w:tabs>
        <w:spacing w:line="238" w:lineRule="auto"/>
        <w:rPr>
          <w:sz w:val="20"/>
          <w:szCs w:val="20"/>
          <w:lang w:val="fr-BE"/>
        </w:rPr>
      </w:pPr>
      <w:r w:rsidRPr="00C27636">
        <w:rPr>
          <w:rFonts w:ascii="Calibri" w:eastAsia="Calibri" w:hAnsi="Calibri" w:cs="Calibri"/>
          <w:sz w:val="20"/>
          <w:szCs w:val="20"/>
          <w:lang w:val="fr-BE"/>
        </w:rPr>
        <w:t>recensement</w:t>
      </w:r>
      <w:r w:rsidRPr="00C27636">
        <w:rPr>
          <w:rFonts w:ascii="Calibri" w:eastAsia="Calibri" w:hAnsi="Calibri" w:cs="Calibri"/>
          <w:sz w:val="20"/>
          <w:szCs w:val="20"/>
          <w:lang w:val="fr-BE"/>
        </w:rPr>
        <w:tab/>
        <w:t>des</w:t>
      </w:r>
      <w:r w:rsidRPr="00C27636">
        <w:rPr>
          <w:rFonts w:ascii="Calibri" w:eastAsia="Calibri" w:hAnsi="Calibri" w:cs="Calibri"/>
          <w:sz w:val="20"/>
          <w:szCs w:val="20"/>
          <w:lang w:val="fr-BE"/>
        </w:rPr>
        <w:tab/>
        <w:t>sans-abris</w:t>
      </w:r>
      <w:r w:rsidRPr="00C27636">
        <w:rPr>
          <w:sz w:val="20"/>
          <w:szCs w:val="20"/>
          <w:lang w:val="fr-BE"/>
        </w:rPr>
        <w:tab/>
      </w:r>
      <w:r w:rsidRPr="00C27636">
        <w:rPr>
          <w:rFonts w:ascii="Calibri" w:eastAsia="Calibri" w:hAnsi="Calibri" w:cs="Calibri"/>
          <w:sz w:val="20"/>
          <w:szCs w:val="20"/>
          <w:lang w:val="fr-BE"/>
        </w:rPr>
        <w:t>en</w:t>
      </w:r>
      <w:r w:rsidRPr="00C27636">
        <w:rPr>
          <w:rFonts w:ascii="Calibri" w:eastAsia="Calibri" w:hAnsi="Calibri" w:cs="Calibri"/>
          <w:sz w:val="20"/>
          <w:szCs w:val="20"/>
          <w:lang w:val="fr-BE"/>
        </w:rPr>
        <w:tab/>
        <w:t>2010</w:t>
      </w:r>
      <w:r w:rsidRPr="00C27636">
        <w:rPr>
          <w:rFonts w:ascii="Calibri" w:eastAsia="Calibri" w:hAnsi="Calibri" w:cs="Calibri"/>
          <w:sz w:val="20"/>
          <w:szCs w:val="20"/>
          <w:lang w:val="fr-BE"/>
        </w:rPr>
        <w:tab/>
        <w:t>à</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tabs>
          <w:tab w:val="left" w:pos="900"/>
          <w:tab w:val="left" w:pos="1340"/>
          <w:tab w:val="left" w:pos="2540"/>
          <w:tab w:val="left" w:pos="2860"/>
          <w:tab w:val="left" w:pos="3660"/>
        </w:tabs>
        <w:rPr>
          <w:sz w:val="20"/>
          <w:szCs w:val="20"/>
          <w:lang w:val="fr-BE"/>
        </w:rPr>
      </w:pPr>
      <w:r w:rsidRPr="00C27636">
        <w:rPr>
          <w:rFonts w:ascii="Calibri" w:eastAsia="Calibri" w:hAnsi="Calibri" w:cs="Calibri"/>
          <w:sz w:val="20"/>
          <w:szCs w:val="20"/>
          <w:lang w:val="fr-BE"/>
        </w:rPr>
        <w:t>Bruxelles</w:t>
      </w:r>
      <w:r w:rsidRPr="00C27636">
        <w:rPr>
          <w:rFonts w:ascii="Calibri" w:eastAsia="Calibri" w:hAnsi="Calibri" w:cs="Calibri"/>
          <w:sz w:val="20"/>
          <w:szCs w:val="20"/>
          <w:lang w:val="fr-BE"/>
        </w:rPr>
        <w:tab/>
        <w:t>par</w:t>
      </w:r>
      <w:r w:rsidRPr="00C27636">
        <w:rPr>
          <w:rFonts w:ascii="Calibri" w:eastAsia="Calibri" w:hAnsi="Calibri" w:cs="Calibri"/>
          <w:sz w:val="20"/>
          <w:szCs w:val="20"/>
          <w:lang w:val="fr-BE"/>
        </w:rPr>
        <w:tab/>
        <w:t>l’association</w:t>
      </w:r>
      <w:r w:rsidRPr="00C27636">
        <w:rPr>
          <w:rFonts w:ascii="Calibri" w:eastAsia="Calibri" w:hAnsi="Calibri" w:cs="Calibri"/>
          <w:sz w:val="20"/>
          <w:szCs w:val="20"/>
          <w:lang w:val="fr-BE"/>
        </w:rPr>
        <w:tab/>
        <w:t>la</w:t>
      </w:r>
      <w:r w:rsidRPr="00C27636">
        <w:rPr>
          <w:rFonts w:ascii="Calibri" w:eastAsia="Calibri" w:hAnsi="Calibri" w:cs="Calibri"/>
          <w:sz w:val="20"/>
          <w:szCs w:val="20"/>
          <w:lang w:val="fr-BE"/>
        </w:rPr>
        <w:tab/>
        <w:t>Strada :</w:t>
      </w:r>
      <w:r w:rsidRPr="00C27636">
        <w:rPr>
          <w:sz w:val="20"/>
          <w:szCs w:val="20"/>
          <w:lang w:val="fr-BE"/>
        </w:rPr>
        <w:tab/>
      </w:r>
      <w:r w:rsidRPr="00C27636">
        <w:rPr>
          <w:rFonts w:ascii="Calibri" w:eastAsia="Calibri" w:hAnsi="Calibri" w:cs="Calibri"/>
          <w:sz w:val="19"/>
          <w:szCs w:val="19"/>
          <w:lang w:val="fr-BE"/>
        </w:rPr>
        <w:t>61</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mineurs ont été recensé dans des centres et</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maisons d'accueil d'urgence. Et</w:t>
      </w:r>
      <w:r w:rsidRPr="00C27636">
        <w:rPr>
          <w:rFonts w:ascii="Calibri" w:eastAsia="Calibri" w:hAnsi="Calibri" w:cs="Calibri"/>
          <w:sz w:val="20"/>
          <w:szCs w:val="20"/>
          <w:lang w:val="fr-BE"/>
        </w:rPr>
        <w:t xml:space="preserve"> sur les 1944</w:t>
      </w:r>
    </w:p>
    <w:p w:rsidR="00AC12B4" w:rsidRPr="00C27636" w:rsidRDefault="00C27636">
      <w:pPr>
        <w:spacing w:line="238" w:lineRule="auto"/>
        <w:rPr>
          <w:sz w:val="20"/>
          <w:szCs w:val="20"/>
          <w:lang w:val="fr-BE"/>
        </w:rPr>
      </w:pPr>
      <w:r w:rsidRPr="00C27636">
        <w:rPr>
          <w:rFonts w:ascii="Calibri" w:eastAsia="Calibri" w:hAnsi="Calibri" w:cs="Calibri"/>
          <w:sz w:val="20"/>
          <w:szCs w:val="20"/>
          <w:lang w:val="fr-BE"/>
        </w:rPr>
        <w:t>sans-abris recensés, 6% étaient des mineurs.</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rPr>
          <w:rFonts w:ascii="Calibri" w:eastAsia="Calibri" w:hAnsi="Calibri" w:cs="Calibri"/>
          <w:color w:val="0000FF"/>
          <w:sz w:val="20"/>
          <w:szCs w:val="20"/>
          <w:u w:val="single"/>
          <w:lang w:val="fr-BE"/>
        </w:rPr>
      </w:pPr>
      <w:hyperlink r:id="rId167">
        <w:r w:rsidRPr="00C27636">
          <w:rPr>
            <w:rFonts w:ascii="Calibri" w:eastAsia="Calibri" w:hAnsi="Calibri" w:cs="Calibri"/>
            <w:color w:val="0000FF"/>
            <w:sz w:val="20"/>
            <w:szCs w:val="20"/>
            <w:u w:val="single"/>
            <w:lang w:val="fr-BE"/>
          </w:rPr>
          <w:t>http://www.lstb.be/pdf/DENOMBREMENT%20</w:t>
        </w:r>
      </w:hyperlink>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rPr>
          <w:rFonts w:ascii="Calibri" w:eastAsia="Calibri" w:hAnsi="Calibri" w:cs="Calibri"/>
          <w:color w:val="0000FF"/>
          <w:sz w:val="20"/>
          <w:szCs w:val="20"/>
          <w:u w:val="single"/>
          <w:lang w:val="fr-BE"/>
        </w:rPr>
      </w:pPr>
      <w:hyperlink r:id="rId168">
        <w:r w:rsidRPr="00C27636">
          <w:rPr>
            <w:rFonts w:ascii="Calibri" w:eastAsia="Calibri" w:hAnsi="Calibri" w:cs="Calibri"/>
            <w:color w:val="0000FF"/>
            <w:sz w:val="20"/>
            <w:szCs w:val="20"/>
            <w:u w:val="single"/>
            <w:lang w:val="fr-BE"/>
          </w:rPr>
          <w:t>VERSION%200505.pdf</w:t>
        </w:r>
      </w:hyperlink>
    </w:p>
    <w:p w:rsidR="00AC12B4" w:rsidRPr="00C27636" w:rsidRDefault="00AC12B4">
      <w:pPr>
        <w:spacing w:line="241" w:lineRule="exact"/>
        <w:rPr>
          <w:rFonts w:ascii="Calibri" w:eastAsia="Calibri" w:hAnsi="Calibri" w:cs="Calibri"/>
          <w:color w:val="0000FF"/>
          <w:sz w:val="20"/>
          <w:szCs w:val="20"/>
          <w:u w:val="single"/>
          <w:lang w:val="fr-BE"/>
        </w:rPr>
      </w:pPr>
    </w:p>
    <w:p w:rsidR="00AC12B4" w:rsidRPr="00C27636" w:rsidRDefault="00C27636">
      <w:pPr>
        <w:ind w:right="4857"/>
        <w:jc w:val="right"/>
        <w:rPr>
          <w:sz w:val="20"/>
          <w:szCs w:val="20"/>
          <w:lang w:val="fr-BE"/>
        </w:rPr>
      </w:pPr>
      <w:r w:rsidRPr="00C27636">
        <w:rPr>
          <w:rFonts w:ascii="Calibri" w:eastAsia="Calibri" w:hAnsi="Calibri" w:cs="Calibri"/>
          <w:lang w:val="fr-BE"/>
        </w:rPr>
        <w:t>98</w:t>
      </w:r>
    </w:p>
    <w:p w:rsidR="00AC12B4" w:rsidRPr="00C27636" w:rsidRDefault="00AC12B4">
      <w:pPr>
        <w:rPr>
          <w:lang w:val="fr-BE"/>
        </w:rPr>
        <w:sectPr w:rsidR="00AC12B4" w:rsidRPr="00C27636">
          <w:type w:val="continuous"/>
          <w:pgSz w:w="12080" w:h="17179"/>
          <w:pgMar w:top="1440" w:right="1440" w:bottom="659" w:left="485" w:header="0" w:footer="0" w:gutter="0"/>
          <w:cols w:num="2" w:space="720" w:equalWidth="0">
            <w:col w:w="342" w:space="613"/>
            <w:col w:w="9197"/>
          </w:cols>
        </w:sectPr>
      </w:pPr>
    </w:p>
    <w:p w:rsidR="00AC12B4" w:rsidRPr="00C27636" w:rsidRDefault="00C27636">
      <w:pPr>
        <w:spacing w:line="168" w:lineRule="exact"/>
        <w:rPr>
          <w:sz w:val="20"/>
          <w:szCs w:val="20"/>
          <w:lang w:val="fr-BE"/>
        </w:rPr>
      </w:pPr>
      <w:bookmarkStart w:id="98" w:name="page99"/>
      <w:bookmarkEnd w:id="98"/>
      <w:r>
        <w:rPr>
          <w:noProof/>
          <w:sz w:val="20"/>
          <w:szCs w:val="20"/>
        </w:rPr>
        <w:lastRenderedPageBreak/>
        <w:drawing>
          <wp:anchor distT="0" distB="0" distL="114300" distR="114300" simplePos="0" relativeHeight="251581952" behindDoc="1" locked="0" layoutInCell="0" allowOverlap="1">
            <wp:simplePos x="0" y="0"/>
            <wp:positionH relativeFrom="page">
              <wp:posOffset>6868795</wp:posOffset>
            </wp:positionH>
            <wp:positionV relativeFrom="page">
              <wp:posOffset>0</wp:posOffset>
            </wp:positionV>
            <wp:extent cx="800100" cy="10908665"/>
            <wp:effectExtent l="0" t="0" r="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76">
                      <a:clrChange>
                        <a:clrFrom>
                          <a:srgbClr val="FFFFFF"/>
                        </a:clrFrom>
                        <a:clrTo>
                          <a:srgbClr val="FFFFFF">
                            <a:alpha val="0"/>
                          </a:srgbClr>
                        </a:clrTo>
                      </a:clrChange>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C27636">
      <w:pPr>
        <w:ind w:left="880"/>
        <w:rPr>
          <w:sz w:val="20"/>
          <w:szCs w:val="20"/>
          <w:lang w:val="fr-BE"/>
        </w:rPr>
      </w:pPr>
      <w:r w:rsidRPr="00C27636">
        <w:rPr>
          <w:rFonts w:ascii="Comic Sans MS" w:eastAsia="Comic Sans MS" w:hAnsi="Comic Sans MS" w:cs="Comic Sans MS"/>
          <w:color w:val="C9D11D"/>
          <w:sz w:val="40"/>
          <w:szCs w:val="40"/>
          <w:lang w:val="fr-BE"/>
        </w:rPr>
        <w:t>S10. Environnement sain</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582976" behindDoc="1" locked="0" layoutInCell="0" allowOverlap="1">
                <wp:simplePos x="0" y="0"/>
                <wp:positionH relativeFrom="column">
                  <wp:posOffset>-351155</wp:posOffset>
                </wp:positionH>
                <wp:positionV relativeFrom="paragraph">
                  <wp:posOffset>389255</wp:posOffset>
                </wp:positionV>
                <wp:extent cx="4093210" cy="2168525"/>
                <wp:effectExtent l="0" t="0" r="0" b="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3210" cy="2168525"/>
                        </a:xfrm>
                        <a:prstGeom prst="rect">
                          <a:avLst/>
                        </a:prstGeom>
                        <a:solidFill>
                          <a:srgbClr val="C9D11D"/>
                        </a:solidFill>
                      </wps:spPr>
                      <wps:bodyPr/>
                    </wps:wsp>
                  </a:graphicData>
                </a:graphic>
              </wp:anchor>
            </w:drawing>
          </mc:Choice>
          <mc:Fallback>
            <w:pict>
              <v:rect id="Shape 248" o:spid="_x0000_s1273" style="position:absolute;margin-left:-27.6499pt;margin-top:30.65pt;width:322.3pt;height:17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D11D" stroked="f"/>
            </w:pict>
          </mc:Fallback>
        </mc:AlternateContent>
      </w:r>
      <w:r>
        <w:rPr>
          <w:noProof/>
          <w:sz w:val="20"/>
          <w:szCs w:val="20"/>
        </w:rPr>
        <mc:AlternateContent>
          <mc:Choice Requires="wps">
            <w:drawing>
              <wp:anchor distT="0" distB="0" distL="114300" distR="114300" simplePos="0" relativeHeight="251584000" behindDoc="1" locked="0" layoutInCell="0" allowOverlap="1">
                <wp:simplePos x="0" y="0"/>
                <wp:positionH relativeFrom="column">
                  <wp:posOffset>3742055</wp:posOffset>
                </wp:positionH>
                <wp:positionV relativeFrom="paragraph">
                  <wp:posOffset>376555</wp:posOffset>
                </wp:positionV>
                <wp:extent cx="0" cy="2193925"/>
                <wp:effectExtent l="0" t="0" r="0" b="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9392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65pt,29.65pt" to="294.65pt,202.4pt" o:allowincell="f" strokecolor="#919715" strokeweight="2pt"/>
            </w:pict>
          </mc:Fallback>
        </mc:AlternateContent>
      </w:r>
      <w:r>
        <w:rPr>
          <w:noProof/>
          <w:sz w:val="20"/>
          <w:szCs w:val="20"/>
        </w:rPr>
        <mc:AlternateContent>
          <mc:Choice Requires="wps">
            <w:drawing>
              <wp:anchor distT="0" distB="0" distL="114300" distR="114300" simplePos="0" relativeHeight="251585024" behindDoc="1" locked="0" layoutInCell="0" allowOverlap="1">
                <wp:simplePos x="0" y="0"/>
                <wp:positionH relativeFrom="column">
                  <wp:posOffset>-363855</wp:posOffset>
                </wp:positionH>
                <wp:positionV relativeFrom="paragraph">
                  <wp:posOffset>389255</wp:posOffset>
                </wp:positionV>
                <wp:extent cx="4118610" cy="0"/>
                <wp:effectExtent l="0" t="0" r="0" b="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186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30.65pt" to="295.65pt,30.65pt" o:allowincell="f" strokecolor="#919715" strokeweight="2pt"/>
            </w:pict>
          </mc:Fallback>
        </mc:AlternateContent>
      </w:r>
      <w:r>
        <w:rPr>
          <w:noProof/>
          <w:sz w:val="20"/>
          <w:szCs w:val="20"/>
        </w:rPr>
        <mc:AlternateContent>
          <mc:Choice Requires="wps">
            <w:drawing>
              <wp:anchor distT="0" distB="0" distL="114300" distR="114300" simplePos="0" relativeHeight="251586048" behindDoc="1" locked="0" layoutInCell="0" allowOverlap="1">
                <wp:simplePos x="0" y="0"/>
                <wp:positionH relativeFrom="column">
                  <wp:posOffset>-351155</wp:posOffset>
                </wp:positionH>
                <wp:positionV relativeFrom="paragraph">
                  <wp:posOffset>376555</wp:posOffset>
                </wp:positionV>
                <wp:extent cx="0" cy="2193925"/>
                <wp:effectExtent l="0" t="0" r="0" b="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93925"/>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29.65pt" to="-27.6499pt,202.4pt" o:allowincell="f" strokecolor="#919715" strokeweight="2pt"/>
            </w:pict>
          </mc:Fallback>
        </mc:AlternateContent>
      </w:r>
      <w:r>
        <w:rPr>
          <w:noProof/>
          <w:sz w:val="20"/>
          <w:szCs w:val="20"/>
        </w:rPr>
        <mc:AlternateContent>
          <mc:Choice Requires="wps">
            <w:drawing>
              <wp:anchor distT="0" distB="0" distL="114300" distR="114300" simplePos="0" relativeHeight="251587072" behindDoc="1" locked="0" layoutInCell="0" allowOverlap="1">
                <wp:simplePos x="0" y="0"/>
                <wp:positionH relativeFrom="column">
                  <wp:posOffset>-363855</wp:posOffset>
                </wp:positionH>
                <wp:positionV relativeFrom="paragraph">
                  <wp:posOffset>2557780</wp:posOffset>
                </wp:positionV>
                <wp:extent cx="4118610" cy="0"/>
                <wp:effectExtent l="0" t="0" r="0" b="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18610" cy="4763"/>
                        </a:xfrm>
                        <a:prstGeom prst="line">
                          <a:avLst/>
                        </a:prstGeom>
                        <a:solidFill>
                          <a:srgbClr val="FFFFFF"/>
                        </a:solidFill>
                        <a:ln w="25400">
                          <a:solidFill>
                            <a:srgbClr val="919715"/>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01.4pt" to="295.65pt,201.4pt" o:allowincell="f" strokecolor="#919715" strokeweight="2pt"/>
            </w:pict>
          </mc:Fallback>
        </mc:AlternateContent>
      </w:r>
    </w:p>
    <w:p w:rsidR="00AC12B4" w:rsidRPr="00C27636" w:rsidRDefault="00AC12B4">
      <w:pPr>
        <w:rPr>
          <w:lang w:val="fr-BE"/>
        </w:rPr>
        <w:sectPr w:rsidR="00AC12B4" w:rsidRPr="00C27636">
          <w:pgSz w:w="12080" w:h="17179"/>
          <w:pgMar w:top="1440" w:right="557" w:bottom="659" w:left="1120" w:header="0" w:footer="0" w:gutter="0"/>
          <w:cols w:space="720" w:equalWidth="0">
            <w:col w:w="1040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EAF1DD"/>
          <w:lang w:val="fr-BE"/>
        </w:rPr>
        <w:t>CIDE article 24</w:t>
      </w:r>
    </w:p>
    <w:p w:rsidR="00AC12B4" w:rsidRPr="00C27636" w:rsidRDefault="00AC12B4">
      <w:pPr>
        <w:spacing w:line="169" w:lineRule="exact"/>
        <w:rPr>
          <w:sz w:val="20"/>
          <w:szCs w:val="20"/>
          <w:lang w:val="fr-BE"/>
        </w:rPr>
      </w:pPr>
    </w:p>
    <w:p w:rsidR="00AC12B4" w:rsidRPr="00C27636" w:rsidRDefault="00C27636">
      <w:pPr>
        <w:numPr>
          <w:ilvl w:val="0"/>
          <w:numId w:val="157"/>
        </w:numPr>
        <w:tabs>
          <w:tab w:val="left" w:pos="232"/>
        </w:tabs>
        <w:spacing w:line="224" w:lineRule="auto"/>
        <w:ind w:right="20" w:firstLine="8"/>
        <w:jc w:val="both"/>
        <w:rPr>
          <w:rFonts w:ascii="Calibri" w:eastAsia="Calibri" w:hAnsi="Calibri" w:cs="Calibri"/>
          <w:i/>
          <w:iCs/>
          <w:color w:val="EAF1DD"/>
          <w:lang w:val="fr-BE"/>
        </w:rPr>
      </w:pPr>
      <w:r w:rsidRPr="00C27636">
        <w:rPr>
          <w:rFonts w:ascii="Calibri" w:eastAsia="Calibri" w:hAnsi="Calibri" w:cs="Calibri"/>
          <w:i/>
          <w:iCs/>
          <w:color w:val="EAF1DD"/>
          <w:lang w:val="fr-BE"/>
        </w:rPr>
        <w:t xml:space="preserve">Les Etats parties s’efforcent d’assurer la réalisation intégrale du droit susmentionné et, en particulier, prennent les mesures </w:t>
      </w:r>
      <w:r w:rsidRPr="00C27636">
        <w:rPr>
          <w:rFonts w:ascii="Calibri" w:eastAsia="Calibri" w:hAnsi="Calibri" w:cs="Calibri"/>
          <w:i/>
          <w:iCs/>
          <w:color w:val="EAF1DD"/>
          <w:lang w:val="fr-BE"/>
        </w:rPr>
        <w:t>appropriées pour […]</w:t>
      </w:r>
    </w:p>
    <w:p w:rsidR="00AC12B4" w:rsidRPr="00C27636" w:rsidRDefault="00AC12B4">
      <w:pPr>
        <w:spacing w:line="172" w:lineRule="exact"/>
        <w:rPr>
          <w:sz w:val="20"/>
          <w:szCs w:val="20"/>
          <w:lang w:val="fr-BE"/>
        </w:rPr>
      </w:pPr>
    </w:p>
    <w:p w:rsidR="00AC12B4" w:rsidRPr="00C27636" w:rsidRDefault="00C27636">
      <w:pPr>
        <w:numPr>
          <w:ilvl w:val="0"/>
          <w:numId w:val="158"/>
        </w:numPr>
        <w:tabs>
          <w:tab w:val="left" w:pos="221"/>
        </w:tabs>
        <w:spacing w:line="232" w:lineRule="auto"/>
        <w:ind w:firstLine="8"/>
        <w:jc w:val="both"/>
        <w:rPr>
          <w:rFonts w:ascii="Calibri" w:eastAsia="Calibri" w:hAnsi="Calibri" w:cs="Calibri"/>
          <w:i/>
          <w:iCs/>
          <w:color w:val="EAF1DD"/>
          <w:lang w:val="fr-BE"/>
        </w:rPr>
      </w:pPr>
      <w:r w:rsidRPr="00C27636">
        <w:rPr>
          <w:rFonts w:ascii="Calibri" w:eastAsia="Calibri" w:hAnsi="Calibri" w:cs="Calibri"/>
          <w:i/>
          <w:iCs/>
          <w:color w:val="EAF1DD"/>
          <w:lang w:val="fr-BE"/>
        </w:rPr>
        <w:t>Lutter contre la maladie et la malnutrition, y compris dans le cadre de soins de santé primaires, grâce notamment à l’utilisation de techniques aisément disponibles et à la fourniture d’aliments nutritifs et d’eau potable, compte tenu</w:t>
      </w:r>
      <w:r w:rsidRPr="00C27636">
        <w:rPr>
          <w:rFonts w:ascii="Calibri" w:eastAsia="Calibri" w:hAnsi="Calibri" w:cs="Calibri"/>
          <w:i/>
          <w:iCs/>
          <w:color w:val="EAF1DD"/>
          <w:lang w:val="fr-BE"/>
        </w:rPr>
        <w:t xml:space="preserve"> des dangers et des risques de pollution du milieu naturel</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1"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919715"/>
          <w:sz w:val="26"/>
          <w:szCs w:val="26"/>
          <w:lang w:val="fr-BE"/>
        </w:rPr>
        <w:t>Evolution</w:t>
      </w:r>
    </w:p>
    <w:p w:rsidR="00AC12B4" w:rsidRPr="00C27636" w:rsidRDefault="00AC12B4">
      <w:pPr>
        <w:spacing w:line="210" w:lineRule="exact"/>
        <w:rPr>
          <w:sz w:val="20"/>
          <w:szCs w:val="20"/>
          <w:lang w:val="fr-BE"/>
        </w:rPr>
      </w:pPr>
    </w:p>
    <w:p w:rsidR="00AC12B4" w:rsidRPr="00C27636" w:rsidRDefault="00C27636">
      <w:pPr>
        <w:spacing w:line="228" w:lineRule="auto"/>
        <w:ind w:right="1060"/>
        <w:jc w:val="both"/>
        <w:rPr>
          <w:sz w:val="20"/>
          <w:szCs w:val="20"/>
          <w:lang w:val="fr-BE"/>
        </w:rPr>
      </w:pPr>
      <w:r w:rsidRPr="00C27636">
        <w:rPr>
          <w:rFonts w:ascii="Calibri" w:eastAsia="Calibri" w:hAnsi="Calibri" w:cs="Calibri"/>
          <w:lang w:val="fr-BE"/>
        </w:rPr>
        <w:t>En 2013, moins de personnes déclaraient souffrir d’une nuisance environnementale (27%) qu’en 2008 (31%).</w:t>
      </w:r>
    </w:p>
    <w:p w:rsidR="00AC12B4" w:rsidRPr="00C27636" w:rsidRDefault="00AC12B4">
      <w:pPr>
        <w:spacing w:line="209"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919715"/>
          <w:sz w:val="26"/>
          <w:szCs w:val="26"/>
          <w:lang w:val="fr-BE"/>
        </w:rPr>
        <w:t>Iniquité</w:t>
      </w:r>
    </w:p>
    <w:p w:rsidR="00AC12B4" w:rsidRPr="00C27636" w:rsidRDefault="00AC12B4">
      <w:pPr>
        <w:spacing w:line="210" w:lineRule="exact"/>
        <w:rPr>
          <w:sz w:val="20"/>
          <w:szCs w:val="20"/>
          <w:lang w:val="fr-BE"/>
        </w:rPr>
      </w:pPr>
    </w:p>
    <w:p w:rsidR="00AC12B4" w:rsidRPr="00C27636" w:rsidRDefault="00C27636">
      <w:pPr>
        <w:spacing w:line="228" w:lineRule="auto"/>
        <w:ind w:right="1040"/>
        <w:jc w:val="both"/>
        <w:rPr>
          <w:sz w:val="20"/>
          <w:szCs w:val="20"/>
          <w:lang w:val="fr-BE"/>
        </w:rPr>
      </w:pPr>
      <w:r w:rsidRPr="00C27636">
        <w:rPr>
          <w:rFonts w:ascii="Calibri" w:eastAsia="Calibri" w:hAnsi="Calibri" w:cs="Calibri"/>
          <w:lang w:val="fr-BE"/>
        </w:rPr>
        <w:t xml:space="preserve">Le facteur le plus influençant pour les perceptions de nuisances </w:t>
      </w:r>
      <w:r w:rsidRPr="00C27636">
        <w:rPr>
          <w:rFonts w:ascii="Calibri" w:eastAsia="Calibri" w:hAnsi="Calibri" w:cs="Calibri"/>
          <w:lang w:val="fr-BE"/>
        </w:rPr>
        <w:t>environnementales est celui de l’urbanisation.</w:t>
      </w:r>
    </w:p>
    <w:p w:rsidR="00AC12B4" w:rsidRPr="00C27636" w:rsidRDefault="00AC12B4">
      <w:pPr>
        <w:spacing w:line="23" w:lineRule="exact"/>
        <w:rPr>
          <w:sz w:val="20"/>
          <w:szCs w:val="20"/>
          <w:lang w:val="fr-BE"/>
        </w:rPr>
      </w:pPr>
    </w:p>
    <w:p w:rsidR="00AC12B4" w:rsidRPr="00C27636" w:rsidRDefault="00AC12B4">
      <w:pPr>
        <w:rPr>
          <w:lang w:val="fr-BE"/>
        </w:rPr>
        <w:sectPr w:rsidR="00AC12B4" w:rsidRPr="00C27636">
          <w:type w:val="continuous"/>
          <w:pgSz w:w="12080" w:h="17179"/>
          <w:pgMar w:top="1440" w:right="557" w:bottom="659" w:left="1120" w:header="0" w:footer="0" w:gutter="0"/>
          <w:cols w:num="2" w:space="720" w:equalWidth="0">
            <w:col w:w="5740" w:space="360"/>
            <w:col w:w="4300"/>
          </w:cols>
        </w:sectPr>
      </w:pPr>
    </w:p>
    <w:tbl>
      <w:tblPr>
        <w:tblW w:w="0" w:type="auto"/>
        <w:tblInd w:w="880" w:type="dxa"/>
        <w:tblLayout w:type="fixed"/>
        <w:tblCellMar>
          <w:left w:w="0" w:type="dxa"/>
          <w:right w:w="0" w:type="dxa"/>
        </w:tblCellMar>
        <w:tblLook w:val="04A0" w:firstRow="1" w:lastRow="0" w:firstColumn="1" w:lastColumn="0" w:noHBand="0" w:noVBand="1"/>
      </w:tblPr>
      <w:tblGrid>
        <w:gridCol w:w="540"/>
        <w:gridCol w:w="500"/>
        <w:gridCol w:w="200"/>
        <w:gridCol w:w="380"/>
        <w:gridCol w:w="140"/>
        <w:gridCol w:w="760"/>
        <w:gridCol w:w="280"/>
        <w:gridCol w:w="1460"/>
        <w:gridCol w:w="340"/>
        <w:gridCol w:w="300"/>
        <w:gridCol w:w="440"/>
        <w:gridCol w:w="420"/>
        <w:gridCol w:w="740"/>
        <w:gridCol w:w="420"/>
        <w:gridCol w:w="140"/>
        <w:gridCol w:w="420"/>
        <w:gridCol w:w="500"/>
        <w:gridCol w:w="500"/>
        <w:gridCol w:w="20"/>
      </w:tblGrid>
      <w:tr w:rsidR="00AC12B4">
        <w:trPr>
          <w:trHeight w:val="269"/>
        </w:trPr>
        <w:tc>
          <w:tcPr>
            <w:tcW w:w="1620" w:type="dxa"/>
            <w:gridSpan w:val="4"/>
            <w:vAlign w:val="bottom"/>
          </w:tcPr>
          <w:p w:rsidR="00AC12B4" w:rsidRDefault="00C27636">
            <w:pPr>
              <w:rPr>
                <w:sz w:val="20"/>
                <w:szCs w:val="20"/>
              </w:rPr>
            </w:pPr>
            <w:r>
              <w:rPr>
                <w:rFonts w:ascii="Calibri" w:eastAsia="Calibri" w:hAnsi="Calibri" w:cs="Calibri"/>
              </w:rPr>
              <w:lastRenderedPageBreak/>
              <w:t>L’environnement</w:t>
            </w:r>
          </w:p>
        </w:tc>
        <w:tc>
          <w:tcPr>
            <w:tcW w:w="2640" w:type="dxa"/>
            <w:gridSpan w:val="4"/>
            <w:vAlign w:val="bottom"/>
          </w:tcPr>
          <w:p w:rsidR="00AC12B4" w:rsidRDefault="00C27636">
            <w:pPr>
              <w:ind w:right="215"/>
              <w:jc w:val="right"/>
              <w:rPr>
                <w:sz w:val="20"/>
                <w:szCs w:val="20"/>
              </w:rPr>
            </w:pPr>
            <w:r>
              <w:rPr>
                <w:rFonts w:ascii="Calibri" w:eastAsia="Calibri" w:hAnsi="Calibri" w:cs="Calibri"/>
              </w:rPr>
              <w:t>dans lequel vit l’enfant</w:t>
            </w:r>
          </w:p>
        </w:tc>
        <w:tc>
          <w:tcPr>
            <w:tcW w:w="340" w:type="dxa"/>
            <w:vAlign w:val="bottom"/>
          </w:tcPr>
          <w:p w:rsidR="00AC12B4" w:rsidRDefault="00AC12B4">
            <w:pPr>
              <w:rPr>
                <w:sz w:val="23"/>
                <w:szCs w:val="23"/>
              </w:rPr>
            </w:pPr>
          </w:p>
        </w:tc>
        <w:tc>
          <w:tcPr>
            <w:tcW w:w="300" w:type="dxa"/>
            <w:vMerge w:val="restart"/>
            <w:vAlign w:val="bottom"/>
          </w:tcPr>
          <w:p w:rsidR="00AC12B4" w:rsidRDefault="00C27636">
            <w:pPr>
              <w:rPr>
                <w:sz w:val="20"/>
                <w:szCs w:val="20"/>
              </w:rPr>
            </w:pPr>
            <w:r>
              <w:rPr>
                <w:rFonts w:ascii="Calibri" w:eastAsia="Calibri" w:hAnsi="Calibri" w:cs="Calibri"/>
              </w:rPr>
              <w:t>La</w:t>
            </w:r>
          </w:p>
        </w:tc>
        <w:tc>
          <w:tcPr>
            <w:tcW w:w="2020" w:type="dxa"/>
            <w:gridSpan w:val="4"/>
            <w:vMerge w:val="restart"/>
            <w:vAlign w:val="bottom"/>
          </w:tcPr>
          <w:p w:rsidR="00AC12B4" w:rsidRDefault="00C27636">
            <w:pPr>
              <w:ind w:left="20"/>
              <w:rPr>
                <w:sz w:val="20"/>
                <w:szCs w:val="20"/>
              </w:rPr>
            </w:pPr>
            <w:r>
              <w:rPr>
                <w:rFonts w:ascii="Calibri" w:eastAsia="Calibri" w:hAnsi="Calibri" w:cs="Calibri"/>
              </w:rPr>
              <w:t>région de résidence</w:t>
            </w:r>
          </w:p>
        </w:tc>
        <w:tc>
          <w:tcPr>
            <w:tcW w:w="140" w:type="dxa"/>
            <w:vMerge w:val="restart"/>
            <w:vAlign w:val="bottom"/>
          </w:tcPr>
          <w:p w:rsidR="00AC12B4" w:rsidRDefault="00C27636">
            <w:pPr>
              <w:jc w:val="right"/>
              <w:rPr>
                <w:sz w:val="20"/>
                <w:szCs w:val="20"/>
              </w:rPr>
            </w:pPr>
            <w:r>
              <w:rPr>
                <w:rFonts w:ascii="Calibri" w:eastAsia="Calibri" w:hAnsi="Calibri" w:cs="Calibri"/>
                <w:w w:val="94"/>
              </w:rPr>
              <w:t>a</w:t>
            </w:r>
          </w:p>
        </w:tc>
        <w:tc>
          <w:tcPr>
            <w:tcW w:w="1420" w:type="dxa"/>
            <w:gridSpan w:val="3"/>
            <w:vMerge w:val="restart"/>
            <w:vAlign w:val="bottom"/>
          </w:tcPr>
          <w:p w:rsidR="00AC12B4" w:rsidRDefault="00C27636">
            <w:pPr>
              <w:jc w:val="right"/>
              <w:rPr>
                <w:sz w:val="20"/>
                <w:szCs w:val="20"/>
              </w:rPr>
            </w:pPr>
            <w:r>
              <w:rPr>
                <w:rFonts w:ascii="Calibri" w:eastAsia="Calibri" w:hAnsi="Calibri" w:cs="Calibri"/>
              </w:rPr>
              <w:t>également un</w:t>
            </w:r>
          </w:p>
        </w:tc>
        <w:tc>
          <w:tcPr>
            <w:tcW w:w="0" w:type="dxa"/>
            <w:vAlign w:val="bottom"/>
          </w:tcPr>
          <w:p w:rsidR="00AC12B4" w:rsidRDefault="00AC12B4">
            <w:pPr>
              <w:rPr>
                <w:sz w:val="1"/>
                <w:szCs w:val="1"/>
              </w:rPr>
            </w:pPr>
          </w:p>
        </w:tc>
      </w:tr>
      <w:tr w:rsidR="00AC12B4" w:rsidRPr="00C27636">
        <w:trPr>
          <w:trHeight w:val="101"/>
        </w:trPr>
        <w:tc>
          <w:tcPr>
            <w:tcW w:w="1760" w:type="dxa"/>
            <w:gridSpan w:val="5"/>
            <w:vMerge w:val="restart"/>
            <w:vAlign w:val="bottom"/>
          </w:tcPr>
          <w:p w:rsidR="00AC12B4" w:rsidRDefault="00C27636">
            <w:pPr>
              <w:rPr>
                <w:sz w:val="20"/>
                <w:szCs w:val="20"/>
              </w:rPr>
            </w:pPr>
            <w:r>
              <w:rPr>
                <w:rFonts w:ascii="Calibri" w:eastAsia="Calibri" w:hAnsi="Calibri" w:cs="Calibri"/>
              </w:rPr>
              <w:t>est très important</w:t>
            </w:r>
          </w:p>
        </w:tc>
        <w:tc>
          <w:tcPr>
            <w:tcW w:w="2500" w:type="dxa"/>
            <w:gridSpan w:val="3"/>
            <w:vMerge w:val="restart"/>
            <w:vAlign w:val="bottom"/>
          </w:tcPr>
          <w:p w:rsidR="00AC12B4" w:rsidRPr="00C27636" w:rsidRDefault="00C27636">
            <w:pPr>
              <w:ind w:right="215"/>
              <w:jc w:val="right"/>
              <w:rPr>
                <w:sz w:val="20"/>
                <w:szCs w:val="20"/>
                <w:lang w:val="fr-BE"/>
              </w:rPr>
            </w:pPr>
            <w:r w:rsidRPr="00C27636">
              <w:rPr>
                <w:rFonts w:ascii="Calibri" w:eastAsia="Calibri" w:hAnsi="Calibri" w:cs="Calibri"/>
                <w:lang w:val="fr-BE"/>
              </w:rPr>
              <w:t>pour sa santé et son</w:t>
            </w:r>
          </w:p>
        </w:tc>
        <w:tc>
          <w:tcPr>
            <w:tcW w:w="340" w:type="dxa"/>
            <w:vAlign w:val="bottom"/>
          </w:tcPr>
          <w:p w:rsidR="00AC12B4" w:rsidRPr="00C27636" w:rsidRDefault="00AC12B4">
            <w:pPr>
              <w:rPr>
                <w:sz w:val="8"/>
                <w:szCs w:val="8"/>
                <w:lang w:val="fr-BE"/>
              </w:rPr>
            </w:pPr>
          </w:p>
        </w:tc>
        <w:tc>
          <w:tcPr>
            <w:tcW w:w="300" w:type="dxa"/>
            <w:vMerge/>
            <w:vAlign w:val="bottom"/>
          </w:tcPr>
          <w:p w:rsidR="00AC12B4" w:rsidRPr="00C27636" w:rsidRDefault="00AC12B4">
            <w:pPr>
              <w:rPr>
                <w:sz w:val="8"/>
                <w:szCs w:val="8"/>
                <w:lang w:val="fr-BE"/>
              </w:rPr>
            </w:pPr>
          </w:p>
        </w:tc>
        <w:tc>
          <w:tcPr>
            <w:tcW w:w="2020" w:type="dxa"/>
            <w:gridSpan w:val="4"/>
            <w:vMerge/>
            <w:vAlign w:val="bottom"/>
          </w:tcPr>
          <w:p w:rsidR="00AC12B4" w:rsidRPr="00C27636" w:rsidRDefault="00AC12B4">
            <w:pPr>
              <w:rPr>
                <w:sz w:val="8"/>
                <w:szCs w:val="8"/>
                <w:lang w:val="fr-BE"/>
              </w:rPr>
            </w:pPr>
          </w:p>
        </w:tc>
        <w:tc>
          <w:tcPr>
            <w:tcW w:w="140" w:type="dxa"/>
            <w:vMerge/>
            <w:vAlign w:val="bottom"/>
          </w:tcPr>
          <w:p w:rsidR="00AC12B4" w:rsidRPr="00C27636" w:rsidRDefault="00AC12B4">
            <w:pPr>
              <w:rPr>
                <w:sz w:val="8"/>
                <w:szCs w:val="8"/>
                <w:lang w:val="fr-BE"/>
              </w:rPr>
            </w:pPr>
          </w:p>
        </w:tc>
        <w:tc>
          <w:tcPr>
            <w:tcW w:w="1420" w:type="dxa"/>
            <w:gridSpan w:val="3"/>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168"/>
        </w:trPr>
        <w:tc>
          <w:tcPr>
            <w:tcW w:w="1760" w:type="dxa"/>
            <w:gridSpan w:val="5"/>
            <w:vMerge/>
            <w:vAlign w:val="bottom"/>
          </w:tcPr>
          <w:p w:rsidR="00AC12B4" w:rsidRPr="00C27636" w:rsidRDefault="00AC12B4">
            <w:pPr>
              <w:rPr>
                <w:sz w:val="14"/>
                <w:szCs w:val="14"/>
                <w:lang w:val="fr-BE"/>
              </w:rPr>
            </w:pPr>
          </w:p>
        </w:tc>
        <w:tc>
          <w:tcPr>
            <w:tcW w:w="2500" w:type="dxa"/>
            <w:gridSpan w:val="3"/>
            <w:vMerge/>
            <w:vAlign w:val="bottom"/>
          </w:tcPr>
          <w:p w:rsidR="00AC12B4" w:rsidRPr="00C27636" w:rsidRDefault="00AC12B4">
            <w:pPr>
              <w:rPr>
                <w:sz w:val="14"/>
                <w:szCs w:val="14"/>
                <w:lang w:val="fr-BE"/>
              </w:rPr>
            </w:pPr>
          </w:p>
        </w:tc>
        <w:tc>
          <w:tcPr>
            <w:tcW w:w="340" w:type="dxa"/>
            <w:vAlign w:val="bottom"/>
          </w:tcPr>
          <w:p w:rsidR="00AC12B4" w:rsidRPr="00C27636" w:rsidRDefault="00AC12B4">
            <w:pPr>
              <w:rPr>
                <w:sz w:val="14"/>
                <w:szCs w:val="14"/>
                <w:lang w:val="fr-BE"/>
              </w:rPr>
            </w:pPr>
          </w:p>
        </w:tc>
        <w:tc>
          <w:tcPr>
            <w:tcW w:w="740" w:type="dxa"/>
            <w:gridSpan w:val="2"/>
            <w:vMerge w:val="restart"/>
            <w:vAlign w:val="bottom"/>
          </w:tcPr>
          <w:p w:rsidR="00AC12B4" w:rsidRDefault="00C27636">
            <w:pPr>
              <w:rPr>
                <w:sz w:val="20"/>
                <w:szCs w:val="20"/>
              </w:rPr>
            </w:pPr>
            <w:r>
              <w:rPr>
                <w:rFonts w:ascii="Calibri" w:eastAsia="Calibri" w:hAnsi="Calibri" w:cs="Calibri"/>
              </w:rPr>
              <w:t>impact</w:t>
            </w:r>
          </w:p>
        </w:tc>
        <w:tc>
          <w:tcPr>
            <w:tcW w:w="420" w:type="dxa"/>
            <w:vMerge w:val="restart"/>
            <w:vAlign w:val="bottom"/>
          </w:tcPr>
          <w:p w:rsidR="00AC12B4" w:rsidRDefault="00C27636">
            <w:pPr>
              <w:rPr>
                <w:sz w:val="20"/>
                <w:szCs w:val="20"/>
              </w:rPr>
            </w:pPr>
            <w:r>
              <w:rPr>
                <w:rFonts w:ascii="Calibri" w:eastAsia="Calibri" w:hAnsi="Calibri" w:cs="Calibri"/>
              </w:rPr>
              <w:t>sur</w:t>
            </w:r>
          </w:p>
        </w:tc>
        <w:tc>
          <w:tcPr>
            <w:tcW w:w="1300" w:type="dxa"/>
            <w:gridSpan w:val="3"/>
            <w:vMerge w:val="restart"/>
            <w:vAlign w:val="bottom"/>
          </w:tcPr>
          <w:p w:rsidR="00AC12B4" w:rsidRDefault="00C27636">
            <w:pPr>
              <w:jc w:val="right"/>
              <w:rPr>
                <w:sz w:val="20"/>
                <w:szCs w:val="20"/>
              </w:rPr>
            </w:pPr>
            <w:r>
              <w:rPr>
                <w:rFonts w:ascii="Calibri" w:eastAsia="Calibri" w:hAnsi="Calibri" w:cs="Calibri"/>
              </w:rPr>
              <w:t>les nuisances</w:t>
            </w:r>
          </w:p>
        </w:tc>
        <w:tc>
          <w:tcPr>
            <w:tcW w:w="1420" w:type="dxa"/>
            <w:gridSpan w:val="3"/>
            <w:vMerge w:val="restart"/>
            <w:vAlign w:val="bottom"/>
          </w:tcPr>
          <w:p w:rsidR="00AC12B4" w:rsidRDefault="00C27636">
            <w:pPr>
              <w:jc w:val="right"/>
              <w:rPr>
                <w:sz w:val="20"/>
                <w:szCs w:val="20"/>
              </w:rPr>
            </w:pPr>
            <w:r>
              <w:rPr>
                <w:rFonts w:ascii="Calibri" w:eastAsia="Calibri" w:hAnsi="Calibri" w:cs="Calibri"/>
              </w:rPr>
              <w:t>recensées. En</w:t>
            </w:r>
          </w:p>
        </w:tc>
        <w:tc>
          <w:tcPr>
            <w:tcW w:w="0" w:type="dxa"/>
            <w:vAlign w:val="bottom"/>
          </w:tcPr>
          <w:p w:rsidR="00AC12B4" w:rsidRDefault="00AC12B4">
            <w:pPr>
              <w:rPr>
                <w:sz w:val="1"/>
                <w:szCs w:val="1"/>
              </w:rPr>
            </w:pPr>
          </w:p>
        </w:tc>
      </w:tr>
      <w:tr w:rsidR="00AC12B4">
        <w:trPr>
          <w:trHeight w:val="101"/>
        </w:trPr>
        <w:tc>
          <w:tcPr>
            <w:tcW w:w="1040" w:type="dxa"/>
            <w:gridSpan w:val="2"/>
            <w:vMerge w:val="restart"/>
            <w:vAlign w:val="bottom"/>
          </w:tcPr>
          <w:p w:rsidR="00AC12B4" w:rsidRDefault="00C27636">
            <w:pPr>
              <w:rPr>
                <w:sz w:val="20"/>
                <w:szCs w:val="20"/>
              </w:rPr>
            </w:pPr>
            <w:r>
              <w:rPr>
                <w:rFonts w:ascii="Calibri" w:eastAsia="Calibri" w:hAnsi="Calibri" w:cs="Calibri"/>
              </w:rPr>
              <w:t>bien-être.</w:t>
            </w:r>
          </w:p>
        </w:tc>
        <w:tc>
          <w:tcPr>
            <w:tcW w:w="580" w:type="dxa"/>
            <w:gridSpan w:val="2"/>
            <w:vMerge w:val="restart"/>
            <w:vAlign w:val="bottom"/>
          </w:tcPr>
          <w:p w:rsidR="00AC12B4" w:rsidRDefault="00C27636">
            <w:pPr>
              <w:jc w:val="center"/>
              <w:rPr>
                <w:sz w:val="20"/>
                <w:szCs w:val="20"/>
              </w:rPr>
            </w:pPr>
            <w:r>
              <w:rPr>
                <w:rFonts w:ascii="Calibri" w:eastAsia="Calibri" w:hAnsi="Calibri" w:cs="Calibri"/>
                <w:w w:val="98"/>
              </w:rPr>
              <w:t>Ainsi,</w:t>
            </w:r>
          </w:p>
        </w:tc>
        <w:tc>
          <w:tcPr>
            <w:tcW w:w="2640" w:type="dxa"/>
            <w:gridSpan w:val="4"/>
            <w:vMerge w:val="restart"/>
            <w:vAlign w:val="bottom"/>
          </w:tcPr>
          <w:p w:rsidR="00AC12B4" w:rsidRDefault="00C27636">
            <w:pPr>
              <w:ind w:right="215"/>
              <w:jc w:val="right"/>
              <w:rPr>
                <w:sz w:val="20"/>
                <w:szCs w:val="20"/>
              </w:rPr>
            </w:pPr>
            <w:r>
              <w:rPr>
                <w:rFonts w:ascii="Calibri" w:eastAsia="Calibri" w:hAnsi="Calibri" w:cs="Calibri"/>
              </w:rPr>
              <w:t>l’Enquête Nationale de</w:t>
            </w:r>
          </w:p>
        </w:tc>
        <w:tc>
          <w:tcPr>
            <w:tcW w:w="340" w:type="dxa"/>
            <w:vAlign w:val="bottom"/>
          </w:tcPr>
          <w:p w:rsidR="00AC12B4" w:rsidRDefault="00AC12B4">
            <w:pPr>
              <w:rPr>
                <w:sz w:val="8"/>
                <w:szCs w:val="8"/>
              </w:rPr>
            </w:pPr>
          </w:p>
        </w:tc>
        <w:tc>
          <w:tcPr>
            <w:tcW w:w="740" w:type="dxa"/>
            <w:gridSpan w:val="2"/>
            <w:vMerge/>
            <w:vAlign w:val="bottom"/>
          </w:tcPr>
          <w:p w:rsidR="00AC12B4" w:rsidRDefault="00AC12B4">
            <w:pPr>
              <w:rPr>
                <w:sz w:val="8"/>
                <w:szCs w:val="8"/>
              </w:rPr>
            </w:pPr>
          </w:p>
        </w:tc>
        <w:tc>
          <w:tcPr>
            <w:tcW w:w="420" w:type="dxa"/>
            <w:vMerge/>
            <w:vAlign w:val="bottom"/>
          </w:tcPr>
          <w:p w:rsidR="00AC12B4" w:rsidRDefault="00AC12B4">
            <w:pPr>
              <w:rPr>
                <w:sz w:val="8"/>
                <w:szCs w:val="8"/>
              </w:rPr>
            </w:pPr>
          </w:p>
        </w:tc>
        <w:tc>
          <w:tcPr>
            <w:tcW w:w="1300" w:type="dxa"/>
            <w:gridSpan w:val="3"/>
            <w:vMerge/>
            <w:vAlign w:val="bottom"/>
          </w:tcPr>
          <w:p w:rsidR="00AC12B4" w:rsidRDefault="00AC12B4">
            <w:pPr>
              <w:rPr>
                <w:sz w:val="8"/>
                <w:szCs w:val="8"/>
              </w:rPr>
            </w:pPr>
          </w:p>
        </w:tc>
        <w:tc>
          <w:tcPr>
            <w:tcW w:w="1420" w:type="dxa"/>
            <w:gridSpan w:val="3"/>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8"/>
        </w:trPr>
        <w:tc>
          <w:tcPr>
            <w:tcW w:w="1040" w:type="dxa"/>
            <w:gridSpan w:val="2"/>
            <w:vMerge/>
            <w:vAlign w:val="bottom"/>
          </w:tcPr>
          <w:p w:rsidR="00AC12B4" w:rsidRDefault="00AC12B4">
            <w:pPr>
              <w:rPr>
                <w:sz w:val="14"/>
                <w:szCs w:val="14"/>
              </w:rPr>
            </w:pPr>
          </w:p>
        </w:tc>
        <w:tc>
          <w:tcPr>
            <w:tcW w:w="580" w:type="dxa"/>
            <w:gridSpan w:val="2"/>
            <w:vMerge/>
            <w:vAlign w:val="bottom"/>
          </w:tcPr>
          <w:p w:rsidR="00AC12B4" w:rsidRDefault="00AC12B4">
            <w:pPr>
              <w:rPr>
                <w:sz w:val="14"/>
                <w:szCs w:val="14"/>
              </w:rPr>
            </w:pPr>
          </w:p>
        </w:tc>
        <w:tc>
          <w:tcPr>
            <w:tcW w:w="2640" w:type="dxa"/>
            <w:gridSpan w:val="4"/>
            <w:vMerge/>
            <w:vAlign w:val="bottom"/>
          </w:tcPr>
          <w:p w:rsidR="00AC12B4" w:rsidRDefault="00AC12B4">
            <w:pPr>
              <w:rPr>
                <w:sz w:val="14"/>
                <w:szCs w:val="14"/>
              </w:rPr>
            </w:pPr>
          </w:p>
        </w:tc>
        <w:tc>
          <w:tcPr>
            <w:tcW w:w="340" w:type="dxa"/>
            <w:vAlign w:val="bottom"/>
          </w:tcPr>
          <w:p w:rsidR="00AC12B4" w:rsidRDefault="00AC12B4">
            <w:pPr>
              <w:rPr>
                <w:sz w:val="14"/>
                <w:szCs w:val="14"/>
              </w:rPr>
            </w:pPr>
          </w:p>
        </w:tc>
        <w:tc>
          <w:tcPr>
            <w:tcW w:w="740" w:type="dxa"/>
            <w:gridSpan w:val="2"/>
            <w:vMerge w:val="restart"/>
            <w:vAlign w:val="bottom"/>
          </w:tcPr>
          <w:p w:rsidR="00AC12B4" w:rsidRDefault="00C27636">
            <w:pPr>
              <w:rPr>
                <w:sz w:val="20"/>
                <w:szCs w:val="20"/>
              </w:rPr>
            </w:pPr>
            <w:r>
              <w:rPr>
                <w:rFonts w:ascii="Calibri" w:eastAsia="Calibri" w:hAnsi="Calibri" w:cs="Calibri"/>
              </w:rPr>
              <w:t>Région</w:t>
            </w:r>
          </w:p>
        </w:tc>
        <w:tc>
          <w:tcPr>
            <w:tcW w:w="1160" w:type="dxa"/>
            <w:gridSpan w:val="2"/>
            <w:vMerge w:val="restart"/>
            <w:vAlign w:val="bottom"/>
          </w:tcPr>
          <w:p w:rsidR="00AC12B4" w:rsidRDefault="00C27636">
            <w:pPr>
              <w:ind w:left="20"/>
              <w:rPr>
                <w:sz w:val="20"/>
                <w:szCs w:val="20"/>
              </w:rPr>
            </w:pPr>
            <w:r>
              <w:rPr>
                <w:rFonts w:ascii="Calibri" w:eastAsia="Calibri" w:hAnsi="Calibri" w:cs="Calibri"/>
              </w:rPr>
              <w:t>bruxelloise,</w:t>
            </w:r>
          </w:p>
        </w:tc>
        <w:tc>
          <w:tcPr>
            <w:tcW w:w="420" w:type="dxa"/>
            <w:vMerge w:val="restart"/>
            <w:vAlign w:val="bottom"/>
          </w:tcPr>
          <w:p w:rsidR="00AC12B4" w:rsidRDefault="00C27636">
            <w:pPr>
              <w:ind w:left="40"/>
              <w:rPr>
                <w:sz w:val="20"/>
                <w:szCs w:val="20"/>
              </w:rPr>
            </w:pPr>
            <w:r>
              <w:rPr>
                <w:rFonts w:ascii="Calibri" w:eastAsia="Calibri" w:hAnsi="Calibri" w:cs="Calibri"/>
                <w:w w:val="94"/>
              </w:rPr>
              <w:t>46%</w:t>
            </w:r>
          </w:p>
        </w:tc>
        <w:tc>
          <w:tcPr>
            <w:tcW w:w="140" w:type="dxa"/>
            <w:vAlign w:val="bottom"/>
          </w:tcPr>
          <w:p w:rsidR="00AC12B4" w:rsidRDefault="00AC12B4">
            <w:pPr>
              <w:rPr>
                <w:sz w:val="14"/>
                <w:szCs w:val="14"/>
              </w:rPr>
            </w:pPr>
          </w:p>
        </w:tc>
        <w:tc>
          <w:tcPr>
            <w:tcW w:w="420" w:type="dxa"/>
            <w:vMerge w:val="restart"/>
            <w:vAlign w:val="bottom"/>
          </w:tcPr>
          <w:p w:rsidR="00AC12B4" w:rsidRDefault="00C27636">
            <w:pPr>
              <w:jc w:val="center"/>
              <w:rPr>
                <w:sz w:val="20"/>
                <w:szCs w:val="20"/>
              </w:rPr>
            </w:pPr>
            <w:r>
              <w:rPr>
                <w:rFonts w:ascii="Calibri" w:eastAsia="Calibri" w:hAnsi="Calibri" w:cs="Calibri"/>
                <w:w w:val="96"/>
              </w:rPr>
              <w:t>des</w:t>
            </w:r>
          </w:p>
        </w:tc>
        <w:tc>
          <w:tcPr>
            <w:tcW w:w="1000" w:type="dxa"/>
            <w:gridSpan w:val="2"/>
            <w:vMerge w:val="restart"/>
            <w:vAlign w:val="bottom"/>
          </w:tcPr>
          <w:p w:rsidR="00AC12B4" w:rsidRDefault="00C27636">
            <w:pPr>
              <w:jc w:val="right"/>
              <w:rPr>
                <w:sz w:val="20"/>
                <w:szCs w:val="20"/>
              </w:rPr>
            </w:pPr>
            <w:r>
              <w:rPr>
                <w:rFonts w:ascii="Calibri" w:eastAsia="Calibri" w:hAnsi="Calibri" w:cs="Calibri"/>
              </w:rPr>
              <w:t>personnes</w:t>
            </w:r>
          </w:p>
        </w:tc>
        <w:tc>
          <w:tcPr>
            <w:tcW w:w="0" w:type="dxa"/>
            <w:vAlign w:val="bottom"/>
          </w:tcPr>
          <w:p w:rsidR="00AC12B4" w:rsidRDefault="00AC12B4">
            <w:pPr>
              <w:rPr>
                <w:sz w:val="1"/>
                <w:szCs w:val="1"/>
              </w:rPr>
            </w:pPr>
          </w:p>
        </w:tc>
      </w:tr>
      <w:tr w:rsidR="00AC12B4">
        <w:trPr>
          <w:trHeight w:val="101"/>
        </w:trPr>
        <w:tc>
          <w:tcPr>
            <w:tcW w:w="540" w:type="dxa"/>
            <w:vMerge w:val="restart"/>
            <w:vAlign w:val="bottom"/>
          </w:tcPr>
          <w:p w:rsidR="00AC12B4" w:rsidRDefault="00C27636">
            <w:pPr>
              <w:rPr>
                <w:sz w:val="20"/>
                <w:szCs w:val="20"/>
              </w:rPr>
            </w:pPr>
            <w:r>
              <w:rPr>
                <w:rFonts w:ascii="Calibri" w:eastAsia="Calibri" w:hAnsi="Calibri" w:cs="Calibri"/>
              </w:rPr>
              <w:t>Santé</w:t>
            </w:r>
          </w:p>
        </w:tc>
        <w:tc>
          <w:tcPr>
            <w:tcW w:w="500" w:type="dxa"/>
            <w:vMerge w:val="restart"/>
            <w:vAlign w:val="bottom"/>
          </w:tcPr>
          <w:p w:rsidR="00AC12B4" w:rsidRDefault="00C27636">
            <w:pPr>
              <w:ind w:left="80"/>
              <w:rPr>
                <w:sz w:val="20"/>
                <w:szCs w:val="20"/>
              </w:rPr>
            </w:pPr>
            <w:r>
              <w:rPr>
                <w:rFonts w:ascii="Calibri" w:eastAsia="Calibri" w:hAnsi="Calibri" w:cs="Calibri"/>
                <w:w w:val="93"/>
              </w:rPr>
              <w:t>(HIS)</w:t>
            </w:r>
          </w:p>
        </w:tc>
        <w:tc>
          <w:tcPr>
            <w:tcW w:w="200" w:type="dxa"/>
            <w:vAlign w:val="bottom"/>
          </w:tcPr>
          <w:p w:rsidR="00AC12B4" w:rsidRDefault="00AC12B4">
            <w:pPr>
              <w:rPr>
                <w:sz w:val="8"/>
                <w:szCs w:val="8"/>
              </w:rPr>
            </w:pPr>
          </w:p>
        </w:tc>
        <w:tc>
          <w:tcPr>
            <w:tcW w:w="380" w:type="dxa"/>
            <w:vMerge w:val="restart"/>
            <w:vAlign w:val="bottom"/>
          </w:tcPr>
          <w:p w:rsidR="00AC12B4" w:rsidRDefault="00C27636">
            <w:pPr>
              <w:jc w:val="center"/>
              <w:rPr>
                <w:sz w:val="20"/>
                <w:szCs w:val="20"/>
              </w:rPr>
            </w:pPr>
            <w:r>
              <w:rPr>
                <w:rFonts w:ascii="Calibri" w:eastAsia="Calibri" w:hAnsi="Calibri" w:cs="Calibri"/>
              </w:rPr>
              <w:t>fait</w:t>
            </w:r>
          </w:p>
        </w:tc>
        <w:tc>
          <w:tcPr>
            <w:tcW w:w="2640" w:type="dxa"/>
            <w:gridSpan w:val="4"/>
            <w:vMerge w:val="restart"/>
            <w:vAlign w:val="bottom"/>
          </w:tcPr>
          <w:p w:rsidR="00AC12B4" w:rsidRDefault="00C27636">
            <w:pPr>
              <w:ind w:right="215"/>
              <w:jc w:val="right"/>
              <w:rPr>
                <w:sz w:val="20"/>
                <w:szCs w:val="20"/>
              </w:rPr>
            </w:pPr>
            <w:r>
              <w:rPr>
                <w:rFonts w:ascii="Calibri" w:eastAsia="Calibri" w:hAnsi="Calibri" w:cs="Calibri"/>
              </w:rPr>
              <w:t>le lien entre différentes</w:t>
            </w:r>
          </w:p>
        </w:tc>
        <w:tc>
          <w:tcPr>
            <w:tcW w:w="340" w:type="dxa"/>
            <w:vAlign w:val="bottom"/>
          </w:tcPr>
          <w:p w:rsidR="00AC12B4" w:rsidRDefault="00AC12B4">
            <w:pPr>
              <w:rPr>
                <w:sz w:val="8"/>
                <w:szCs w:val="8"/>
              </w:rPr>
            </w:pPr>
          </w:p>
        </w:tc>
        <w:tc>
          <w:tcPr>
            <w:tcW w:w="740" w:type="dxa"/>
            <w:gridSpan w:val="2"/>
            <w:vMerge/>
            <w:vAlign w:val="bottom"/>
          </w:tcPr>
          <w:p w:rsidR="00AC12B4" w:rsidRDefault="00AC12B4">
            <w:pPr>
              <w:rPr>
                <w:sz w:val="8"/>
                <w:szCs w:val="8"/>
              </w:rPr>
            </w:pPr>
          </w:p>
        </w:tc>
        <w:tc>
          <w:tcPr>
            <w:tcW w:w="1160" w:type="dxa"/>
            <w:gridSpan w:val="2"/>
            <w:vMerge/>
            <w:vAlign w:val="bottom"/>
          </w:tcPr>
          <w:p w:rsidR="00AC12B4" w:rsidRDefault="00AC12B4">
            <w:pPr>
              <w:rPr>
                <w:sz w:val="8"/>
                <w:szCs w:val="8"/>
              </w:rPr>
            </w:pPr>
          </w:p>
        </w:tc>
        <w:tc>
          <w:tcPr>
            <w:tcW w:w="420" w:type="dxa"/>
            <w:vMerge/>
            <w:vAlign w:val="bottom"/>
          </w:tcPr>
          <w:p w:rsidR="00AC12B4" w:rsidRDefault="00AC12B4">
            <w:pPr>
              <w:rPr>
                <w:sz w:val="8"/>
                <w:szCs w:val="8"/>
              </w:rPr>
            </w:pPr>
          </w:p>
        </w:tc>
        <w:tc>
          <w:tcPr>
            <w:tcW w:w="140" w:type="dxa"/>
            <w:vAlign w:val="bottom"/>
          </w:tcPr>
          <w:p w:rsidR="00AC12B4" w:rsidRDefault="00AC12B4">
            <w:pPr>
              <w:rPr>
                <w:sz w:val="8"/>
                <w:szCs w:val="8"/>
              </w:rPr>
            </w:pPr>
          </w:p>
        </w:tc>
        <w:tc>
          <w:tcPr>
            <w:tcW w:w="420" w:type="dxa"/>
            <w:vMerge/>
            <w:vAlign w:val="bottom"/>
          </w:tcPr>
          <w:p w:rsidR="00AC12B4" w:rsidRDefault="00AC12B4">
            <w:pPr>
              <w:rPr>
                <w:sz w:val="8"/>
                <w:szCs w:val="8"/>
              </w:rPr>
            </w:pPr>
          </w:p>
        </w:tc>
        <w:tc>
          <w:tcPr>
            <w:tcW w:w="1000" w:type="dxa"/>
            <w:gridSpan w:val="2"/>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8"/>
        </w:trPr>
        <w:tc>
          <w:tcPr>
            <w:tcW w:w="540" w:type="dxa"/>
            <w:vMerge/>
            <w:vAlign w:val="bottom"/>
          </w:tcPr>
          <w:p w:rsidR="00AC12B4" w:rsidRDefault="00AC12B4">
            <w:pPr>
              <w:rPr>
                <w:sz w:val="14"/>
                <w:szCs w:val="14"/>
              </w:rPr>
            </w:pPr>
          </w:p>
        </w:tc>
        <w:tc>
          <w:tcPr>
            <w:tcW w:w="500" w:type="dxa"/>
            <w:vMerge/>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380" w:type="dxa"/>
            <w:vMerge/>
            <w:vAlign w:val="bottom"/>
          </w:tcPr>
          <w:p w:rsidR="00AC12B4" w:rsidRDefault="00AC12B4">
            <w:pPr>
              <w:rPr>
                <w:sz w:val="14"/>
                <w:szCs w:val="14"/>
              </w:rPr>
            </w:pPr>
          </w:p>
        </w:tc>
        <w:tc>
          <w:tcPr>
            <w:tcW w:w="2640" w:type="dxa"/>
            <w:gridSpan w:val="4"/>
            <w:vMerge/>
            <w:vAlign w:val="bottom"/>
          </w:tcPr>
          <w:p w:rsidR="00AC12B4" w:rsidRDefault="00AC12B4">
            <w:pPr>
              <w:rPr>
                <w:sz w:val="14"/>
                <w:szCs w:val="14"/>
              </w:rPr>
            </w:pPr>
          </w:p>
        </w:tc>
        <w:tc>
          <w:tcPr>
            <w:tcW w:w="340" w:type="dxa"/>
            <w:vAlign w:val="bottom"/>
          </w:tcPr>
          <w:p w:rsidR="00AC12B4" w:rsidRDefault="00AC12B4">
            <w:pPr>
              <w:rPr>
                <w:sz w:val="14"/>
                <w:szCs w:val="14"/>
              </w:rPr>
            </w:pPr>
          </w:p>
        </w:tc>
        <w:tc>
          <w:tcPr>
            <w:tcW w:w="1160" w:type="dxa"/>
            <w:gridSpan w:val="3"/>
            <w:vMerge w:val="restart"/>
            <w:vAlign w:val="bottom"/>
          </w:tcPr>
          <w:p w:rsidR="00AC12B4" w:rsidRDefault="00C27636">
            <w:pPr>
              <w:rPr>
                <w:sz w:val="20"/>
                <w:szCs w:val="20"/>
              </w:rPr>
            </w:pPr>
            <w:r>
              <w:rPr>
                <w:rFonts w:ascii="Calibri" w:eastAsia="Calibri" w:hAnsi="Calibri" w:cs="Calibri"/>
                <w:w w:val="99"/>
              </w:rPr>
              <w:t>interviewées</w:t>
            </w:r>
          </w:p>
        </w:tc>
        <w:tc>
          <w:tcPr>
            <w:tcW w:w="1160" w:type="dxa"/>
            <w:gridSpan w:val="2"/>
            <w:vMerge w:val="restart"/>
            <w:vAlign w:val="bottom"/>
          </w:tcPr>
          <w:p w:rsidR="00AC12B4" w:rsidRDefault="00C27636">
            <w:pPr>
              <w:ind w:left="180"/>
              <w:rPr>
                <w:sz w:val="20"/>
                <w:szCs w:val="20"/>
              </w:rPr>
            </w:pPr>
            <w:r>
              <w:rPr>
                <w:rFonts w:ascii="Calibri" w:eastAsia="Calibri" w:hAnsi="Calibri" w:cs="Calibri"/>
              </w:rPr>
              <w:t>déclarent</w:t>
            </w:r>
          </w:p>
        </w:tc>
        <w:tc>
          <w:tcPr>
            <w:tcW w:w="1060" w:type="dxa"/>
            <w:gridSpan w:val="3"/>
            <w:vMerge w:val="restart"/>
            <w:vAlign w:val="bottom"/>
          </w:tcPr>
          <w:p w:rsidR="00AC12B4" w:rsidRDefault="00C27636">
            <w:pPr>
              <w:jc w:val="right"/>
              <w:rPr>
                <w:sz w:val="20"/>
                <w:szCs w:val="20"/>
              </w:rPr>
            </w:pPr>
            <w:r>
              <w:rPr>
                <w:rFonts w:ascii="Calibri" w:eastAsia="Calibri" w:hAnsi="Calibri" w:cs="Calibri"/>
              </w:rPr>
              <w:t>au  moins</w:t>
            </w:r>
          </w:p>
        </w:tc>
        <w:tc>
          <w:tcPr>
            <w:tcW w:w="500" w:type="dxa"/>
            <w:vMerge w:val="restart"/>
            <w:vAlign w:val="bottom"/>
          </w:tcPr>
          <w:p w:rsidR="00AC12B4" w:rsidRDefault="00C27636">
            <w:pPr>
              <w:jc w:val="right"/>
              <w:rPr>
                <w:sz w:val="20"/>
                <w:szCs w:val="20"/>
              </w:rPr>
            </w:pPr>
            <w:r>
              <w:rPr>
                <w:rFonts w:ascii="Calibri" w:eastAsia="Calibri" w:hAnsi="Calibri" w:cs="Calibri"/>
              </w:rPr>
              <w:t>une</w:t>
            </w:r>
          </w:p>
        </w:tc>
        <w:tc>
          <w:tcPr>
            <w:tcW w:w="0" w:type="dxa"/>
            <w:vAlign w:val="bottom"/>
          </w:tcPr>
          <w:p w:rsidR="00AC12B4" w:rsidRDefault="00AC12B4">
            <w:pPr>
              <w:rPr>
                <w:sz w:val="1"/>
                <w:szCs w:val="1"/>
              </w:rPr>
            </w:pPr>
          </w:p>
        </w:tc>
      </w:tr>
      <w:tr w:rsidR="00AC12B4" w:rsidRPr="00C27636">
        <w:trPr>
          <w:trHeight w:val="101"/>
        </w:trPr>
        <w:tc>
          <w:tcPr>
            <w:tcW w:w="426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nuisances environnementales (telles que le</w:t>
            </w:r>
          </w:p>
        </w:tc>
        <w:tc>
          <w:tcPr>
            <w:tcW w:w="340" w:type="dxa"/>
            <w:vAlign w:val="bottom"/>
          </w:tcPr>
          <w:p w:rsidR="00AC12B4" w:rsidRPr="00C27636" w:rsidRDefault="00AC12B4">
            <w:pPr>
              <w:rPr>
                <w:sz w:val="8"/>
                <w:szCs w:val="8"/>
                <w:lang w:val="fr-BE"/>
              </w:rPr>
            </w:pPr>
          </w:p>
        </w:tc>
        <w:tc>
          <w:tcPr>
            <w:tcW w:w="1160" w:type="dxa"/>
            <w:gridSpan w:val="3"/>
            <w:vMerge/>
            <w:vAlign w:val="bottom"/>
          </w:tcPr>
          <w:p w:rsidR="00AC12B4" w:rsidRPr="00C27636" w:rsidRDefault="00AC12B4">
            <w:pPr>
              <w:rPr>
                <w:sz w:val="8"/>
                <w:szCs w:val="8"/>
                <w:lang w:val="fr-BE"/>
              </w:rPr>
            </w:pPr>
          </w:p>
        </w:tc>
        <w:tc>
          <w:tcPr>
            <w:tcW w:w="1160" w:type="dxa"/>
            <w:gridSpan w:val="2"/>
            <w:vMerge/>
            <w:vAlign w:val="bottom"/>
          </w:tcPr>
          <w:p w:rsidR="00AC12B4" w:rsidRPr="00C27636" w:rsidRDefault="00AC12B4">
            <w:pPr>
              <w:rPr>
                <w:sz w:val="8"/>
                <w:szCs w:val="8"/>
                <w:lang w:val="fr-BE"/>
              </w:rPr>
            </w:pPr>
          </w:p>
        </w:tc>
        <w:tc>
          <w:tcPr>
            <w:tcW w:w="1060" w:type="dxa"/>
            <w:gridSpan w:val="3"/>
            <w:vMerge/>
            <w:vAlign w:val="bottom"/>
          </w:tcPr>
          <w:p w:rsidR="00AC12B4" w:rsidRPr="00C27636" w:rsidRDefault="00AC12B4">
            <w:pPr>
              <w:rPr>
                <w:sz w:val="8"/>
                <w:szCs w:val="8"/>
                <w:lang w:val="fr-BE"/>
              </w:rPr>
            </w:pPr>
          </w:p>
        </w:tc>
        <w:tc>
          <w:tcPr>
            <w:tcW w:w="500" w:type="dxa"/>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168"/>
        </w:trPr>
        <w:tc>
          <w:tcPr>
            <w:tcW w:w="4260" w:type="dxa"/>
            <w:gridSpan w:val="8"/>
            <w:vMerge/>
            <w:vAlign w:val="bottom"/>
          </w:tcPr>
          <w:p w:rsidR="00AC12B4" w:rsidRPr="00C27636" w:rsidRDefault="00AC12B4">
            <w:pPr>
              <w:rPr>
                <w:sz w:val="14"/>
                <w:szCs w:val="14"/>
                <w:lang w:val="fr-BE"/>
              </w:rPr>
            </w:pPr>
          </w:p>
        </w:tc>
        <w:tc>
          <w:tcPr>
            <w:tcW w:w="340" w:type="dxa"/>
            <w:vAlign w:val="bottom"/>
          </w:tcPr>
          <w:p w:rsidR="00AC12B4" w:rsidRPr="00C27636" w:rsidRDefault="00AC12B4">
            <w:pPr>
              <w:rPr>
                <w:sz w:val="14"/>
                <w:szCs w:val="14"/>
                <w:lang w:val="fr-BE"/>
              </w:rPr>
            </w:pPr>
          </w:p>
        </w:tc>
        <w:tc>
          <w:tcPr>
            <w:tcW w:w="3880" w:type="dxa"/>
            <w:gridSpan w:val="9"/>
            <w:vMerge w:val="restart"/>
            <w:vAlign w:val="bottom"/>
          </w:tcPr>
          <w:p w:rsidR="00AC12B4" w:rsidRDefault="00C27636">
            <w:pPr>
              <w:rPr>
                <w:sz w:val="20"/>
                <w:szCs w:val="20"/>
              </w:rPr>
            </w:pPr>
            <w:r>
              <w:rPr>
                <w:rFonts w:ascii="Calibri" w:eastAsia="Calibri" w:hAnsi="Calibri" w:cs="Calibri"/>
              </w:rPr>
              <w:t xml:space="preserve">nuisance </w:t>
            </w:r>
            <w:r>
              <w:rPr>
                <w:rFonts w:ascii="Calibri" w:eastAsia="Calibri" w:hAnsi="Calibri" w:cs="Calibri"/>
              </w:rPr>
              <w:t>environnementale contre 26% en</w:t>
            </w:r>
          </w:p>
        </w:tc>
        <w:tc>
          <w:tcPr>
            <w:tcW w:w="0" w:type="dxa"/>
            <w:vAlign w:val="bottom"/>
          </w:tcPr>
          <w:p w:rsidR="00AC12B4" w:rsidRDefault="00AC12B4">
            <w:pPr>
              <w:rPr>
                <w:sz w:val="1"/>
                <w:szCs w:val="1"/>
              </w:rPr>
            </w:pPr>
          </w:p>
        </w:tc>
      </w:tr>
      <w:tr w:rsidR="00AC12B4" w:rsidRPr="00C27636">
        <w:trPr>
          <w:trHeight w:val="101"/>
        </w:trPr>
        <w:tc>
          <w:tcPr>
            <w:tcW w:w="426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bruit, la pollution de l’air) et l’occurrence</w:t>
            </w:r>
          </w:p>
        </w:tc>
        <w:tc>
          <w:tcPr>
            <w:tcW w:w="340" w:type="dxa"/>
            <w:vAlign w:val="bottom"/>
          </w:tcPr>
          <w:p w:rsidR="00AC12B4" w:rsidRPr="00C27636" w:rsidRDefault="00AC12B4">
            <w:pPr>
              <w:rPr>
                <w:sz w:val="8"/>
                <w:szCs w:val="8"/>
                <w:lang w:val="fr-BE"/>
              </w:rPr>
            </w:pPr>
          </w:p>
        </w:tc>
        <w:tc>
          <w:tcPr>
            <w:tcW w:w="3880" w:type="dxa"/>
            <w:gridSpan w:val="9"/>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rsidRPr="00C27636">
        <w:trPr>
          <w:trHeight w:val="168"/>
        </w:trPr>
        <w:tc>
          <w:tcPr>
            <w:tcW w:w="4260" w:type="dxa"/>
            <w:gridSpan w:val="8"/>
            <w:vMerge/>
            <w:vAlign w:val="bottom"/>
          </w:tcPr>
          <w:p w:rsidR="00AC12B4" w:rsidRPr="00C27636" w:rsidRDefault="00AC12B4">
            <w:pPr>
              <w:rPr>
                <w:sz w:val="14"/>
                <w:szCs w:val="14"/>
                <w:lang w:val="fr-BE"/>
              </w:rPr>
            </w:pPr>
          </w:p>
        </w:tc>
        <w:tc>
          <w:tcPr>
            <w:tcW w:w="340" w:type="dxa"/>
            <w:vAlign w:val="bottom"/>
          </w:tcPr>
          <w:p w:rsidR="00AC12B4" w:rsidRPr="00C27636" w:rsidRDefault="00AC12B4">
            <w:pPr>
              <w:rPr>
                <w:sz w:val="14"/>
                <w:szCs w:val="14"/>
                <w:lang w:val="fr-BE"/>
              </w:rPr>
            </w:pPr>
          </w:p>
        </w:tc>
        <w:tc>
          <w:tcPr>
            <w:tcW w:w="388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Région  wallonne  et  21%  en  Région</w:t>
            </w:r>
          </w:p>
        </w:tc>
        <w:tc>
          <w:tcPr>
            <w:tcW w:w="0" w:type="dxa"/>
            <w:vAlign w:val="bottom"/>
          </w:tcPr>
          <w:p w:rsidR="00AC12B4" w:rsidRPr="00C27636" w:rsidRDefault="00AC12B4">
            <w:pPr>
              <w:rPr>
                <w:sz w:val="1"/>
                <w:szCs w:val="1"/>
                <w:lang w:val="fr-BE"/>
              </w:rPr>
            </w:pPr>
          </w:p>
        </w:tc>
      </w:tr>
      <w:tr w:rsidR="00AC12B4" w:rsidRPr="00C27636">
        <w:trPr>
          <w:trHeight w:val="101"/>
        </w:trPr>
        <w:tc>
          <w:tcPr>
            <w:tcW w:w="426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de maladie, ou de mal être (stress,…).</w:t>
            </w:r>
          </w:p>
        </w:tc>
        <w:tc>
          <w:tcPr>
            <w:tcW w:w="340" w:type="dxa"/>
            <w:vAlign w:val="bottom"/>
          </w:tcPr>
          <w:p w:rsidR="00AC12B4" w:rsidRPr="00C27636" w:rsidRDefault="00AC12B4">
            <w:pPr>
              <w:rPr>
                <w:sz w:val="8"/>
                <w:szCs w:val="8"/>
                <w:lang w:val="fr-BE"/>
              </w:rPr>
            </w:pPr>
          </w:p>
        </w:tc>
        <w:tc>
          <w:tcPr>
            <w:tcW w:w="3880" w:type="dxa"/>
            <w:gridSpan w:val="9"/>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305"/>
        </w:trPr>
        <w:tc>
          <w:tcPr>
            <w:tcW w:w="4260" w:type="dxa"/>
            <w:gridSpan w:val="8"/>
            <w:vMerge/>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1160" w:type="dxa"/>
            <w:gridSpan w:val="3"/>
            <w:vAlign w:val="bottom"/>
          </w:tcPr>
          <w:p w:rsidR="00AC12B4" w:rsidRDefault="00C27636">
            <w:pPr>
              <w:spacing w:line="304" w:lineRule="exact"/>
              <w:rPr>
                <w:sz w:val="20"/>
                <w:szCs w:val="20"/>
              </w:rPr>
            </w:pPr>
            <w:r>
              <w:rPr>
                <w:rFonts w:ascii="Calibri" w:eastAsia="Calibri" w:hAnsi="Calibri" w:cs="Calibri"/>
              </w:rPr>
              <w:t>flamande</w:t>
            </w:r>
            <w:r>
              <w:rPr>
                <w:rFonts w:ascii="Calibri" w:eastAsia="Calibri" w:hAnsi="Calibri" w:cs="Calibri"/>
                <w:sz w:val="27"/>
                <w:szCs w:val="27"/>
                <w:vertAlign w:val="superscript"/>
              </w:rPr>
              <w:t>1</w:t>
            </w:r>
            <w:r>
              <w:rPr>
                <w:rFonts w:ascii="Calibri" w:eastAsia="Calibri" w:hAnsi="Calibri" w:cs="Calibri"/>
              </w:rPr>
              <w:t>.</w:t>
            </w:r>
          </w:p>
        </w:tc>
        <w:tc>
          <w:tcPr>
            <w:tcW w:w="7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52"/>
        </w:trPr>
        <w:tc>
          <w:tcPr>
            <w:tcW w:w="540" w:type="dxa"/>
            <w:vAlign w:val="bottom"/>
          </w:tcPr>
          <w:p w:rsidR="00AC12B4" w:rsidRDefault="00C27636">
            <w:pPr>
              <w:spacing w:line="252" w:lineRule="exact"/>
              <w:rPr>
                <w:sz w:val="20"/>
                <w:szCs w:val="20"/>
              </w:rPr>
            </w:pPr>
            <w:r>
              <w:rPr>
                <w:rFonts w:ascii="Calibri" w:eastAsia="Calibri" w:hAnsi="Calibri" w:cs="Calibri"/>
              </w:rPr>
              <w:t>HIS</w:t>
            </w:r>
          </w:p>
        </w:tc>
        <w:tc>
          <w:tcPr>
            <w:tcW w:w="1080" w:type="dxa"/>
            <w:gridSpan w:val="3"/>
            <w:vAlign w:val="bottom"/>
          </w:tcPr>
          <w:p w:rsidR="00AC12B4" w:rsidRDefault="00C27636">
            <w:pPr>
              <w:spacing w:line="252" w:lineRule="exact"/>
              <w:ind w:left="380"/>
              <w:rPr>
                <w:sz w:val="20"/>
                <w:szCs w:val="20"/>
              </w:rPr>
            </w:pPr>
            <w:r>
              <w:rPr>
                <w:rFonts w:ascii="Calibri" w:eastAsia="Calibri" w:hAnsi="Calibri" w:cs="Calibri"/>
              </w:rPr>
              <w:t>étu</w:t>
            </w:r>
            <w:r>
              <w:rPr>
                <w:rFonts w:ascii="Calibri" w:eastAsia="Calibri" w:hAnsi="Calibri" w:cs="Calibri"/>
              </w:rPr>
              <w:lastRenderedPageBreak/>
              <w:t>die</w:t>
            </w:r>
          </w:p>
        </w:tc>
        <w:tc>
          <w:tcPr>
            <w:tcW w:w="140" w:type="dxa"/>
            <w:vAlign w:val="bottom"/>
          </w:tcPr>
          <w:p w:rsidR="00AC12B4" w:rsidRDefault="00AC12B4">
            <w:pPr>
              <w:rPr>
                <w:sz w:val="21"/>
                <w:szCs w:val="21"/>
              </w:rPr>
            </w:pPr>
          </w:p>
        </w:tc>
        <w:tc>
          <w:tcPr>
            <w:tcW w:w="760" w:type="dxa"/>
            <w:vAlign w:val="bottom"/>
          </w:tcPr>
          <w:p w:rsidR="00AC12B4" w:rsidRDefault="00C27636">
            <w:pPr>
              <w:spacing w:line="252" w:lineRule="exact"/>
              <w:ind w:right="30"/>
              <w:jc w:val="right"/>
              <w:rPr>
                <w:sz w:val="20"/>
                <w:szCs w:val="20"/>
              </w:rPr>
            </w:pPr>
            <w:r>
              <w:rPr>
                <w:rFonts w:ascii="Calibri" w:eastAsia="Calibri" w:hAnsi="Calibri" w:cs="Calibri"/>
              </w:rPr>
              <w:t>les</w:t>
            </w:r>
          </w:p>
        </w:tc>
        <w:tc>
          <w:tcPr>
            <w:tcW w:w="280" w:type="dxa"/>
            <w:vAlign w:val="bottom"/>
          </w:tcPr>
          <w:p w:rsidR="00AC12B4" w:rsidRDefault="00AC12B4">
            <w:pPr>
              <w:rPr>
                <w:sz w:val="21"/>
                <w:szCs w:val="21"/>
              </w:rPr>
            </w:pPr>
          </w:p>
        </w:tc>
        <w:tc>
          <w:tcPr>
            <w:tcW w:w="1460" w:type="dxa"/>
            <w:vAlign w:val="bottom"/>
          </w:tcPr>
          <w:p w:rsidR="00AC12B4" w:rsidRDefault="00C27636">
            <w:pPr>
              <w:spacing w:line="252" w:lineRule="exact"/>
              <w:ind w:right="215"/>
              <w:jc w:val="right"/>
              <w:rPr>
                <w:sz w:val="20"/>
                <w:szCs w:val="20"/>
              </w:rPr>
            </w:pPr>
            <w:r>
              <w:rPr>
                <w:rFonts w:ascii="Calibri" w:eastAsia="Calibri" w:hAnsi="Calibri" w:cs="Calibri"/>
              </w:rPr>
              <w:t>nuisanc</w:t>
            </w:r>
            <w:r>
              <w:rPr>
                <w:rFonts w:ascii="Calibri" w:eastAsia="Calibri" w:hAnsi="Calibri" w:cs="Calibri"/>
              </w:rPr>
              <w:lastRenderedPageBreak/>
              <w:t>es</w:t>
            </w:r>
          </w:p>
        </w:tc>
        <w:tc>
          <w:tcPr>
            <w:tcW w:w="340" w:type="dxa"/>
            <w:vAlign w:val="bottom"/>
          </w:tcPr>
          <w:p w:rsidR="00AC12B4" w:rsidRDefault="00AC12B4">
            <w:pPr>
              <w:rPr>
                <w:sz w:val="21"/>
                <w:szCs w:val="21"/>
              </w:rPr>
            </w:pPr>
          </w:p>
        </w:tc>
        <w:tc>
          <w:tcPr>
            <w:tcW w:w="300" w:type="dxa"/>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74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500" w:type="dxa"/>
            <w:vAlign w:val="bottom"/>
          </w:tcPr>
          <w:p w:rsidR="00AC12B4" w:rsidRDefault="00AC12B4">
            <w:pPr>
              <w:rPr>
                <w:sz w:val="21"/>
                <w:szCs w:val="21"/>
              </w:rPr>
            </w:pPr>
          </w:p>
        </w:tc>
        <w:tc>
          <w:tcPr>
            <w:tcW w:w="50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69"/>
        </w:trPr>
        <w:tc>
          <w:tcPr>
            <w:tcW w:w="1760" w:type="dxa"/>
            <w:gridSpan w:val="5"/>
            <w:vAlign w:val="bottom"/>
          </w:tcPr>
          <w:p w:rsidR="00AC12B4" w:rsidRDefault="00C27636">
            <w:pPr>
              <w:rPr>
                <w:sz w:val="20"/>
                <w:szCs w:val="20"/>
              </w:rPr>
            </w:pPr>
            <w:r>
              <w:rPr>
                <w:rFonts w:ascii="Calibri" w:eastAsia="Calibri" w:hAnsi="Calibri" w:cs="Calibri"/>
              </w:rPr>
              <w:lastRenderedPageBreak/>
              <w:t>environnementales</w:t>
            </w:r>
          </w:p>
        </w:tc>
        <w:tc>
          <w:tcPr>
            <w:tcW w:w="76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1460" w:type="dxa"/>
            <w:vAlign w:val="bottom"/>
          </w:tcPr>
          <w:p w:rsidR="00AC12B4" w:rsidRDefault="00AC12B4">
            <w:pPr>
              <w:rPr>
                <w:sz w:val="23"/>
                <w:szCs w:val="23"/>
              </w:rPr>
            </w:pPr>
          </w:p>
        </w:tc>
        <w:tc>
          <w:tcPr>
            <w:tcW w:w="34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440" w:type="dxa"/>
            <w:vAlign w:val="bottom"/>
          </w:tcPr>
          <w:p w:rsidR="00AC12B4" w:rsidRDefault="00AC12B4">
            <w:pPr>
              <w:rPr>
                <w:sz w:val="23"/>
                <w:szCs w:val="23"/>
              </w:rPr>
            </w:pPr>
          </w:p>
        </w:tc>
        <w:tc>
          <w:tcPr>
            <w:tcW w:w="1160" w:type="dxa"/>
            <w:gridSpan w:val="2"/>
            <w:vMerge w:val="restart"/>
            <w:vAlign w:val="bottom"/>
          </w:tcPr>
          <w:p w:rsidR="00AC12B4" w:rsidRDefault="00C27636">
            <w:pPr>
              <w:ind w:left="160"/>
              <w:rPr>
                <w:sz w:val="20"/>
                <w:szCs w:val="20"/>
              </w:rPr>
            </w:pPr>
            <w:r>
              <w:rPr>
                <w:rFonts w:ascii="Cambria" w:eastAsia="Cambria" w:hAnsi="Cambria" w:cs="Cambria"/>
                <w:b/>
                <w:bCs/>
                <w:i/>
                <w:iCs/>
                <w:color w:val="919715"/>
                <w:sz w:val="26"/>
                <w:szCs w:val="26"/>
              </w:rPr>
              <w:t>D’où</w:t>
            </w:r>
          </w:p>
        </w:tc>
        <w:tc>
          <w:tcPr>
            <w:tcW w:w="1480" w:type="dxa"/>
            <w:gridSpan w:val="4"/>
            <w:vMerge w:val="restart"/>
            <w:vAlign w:val="bottom"/>
          </w:tcPr>
          <w:p w:rsidR="00AC12B4" w:rsidRDefault="00C27636">
            <w:pPr>
              <w:ind w:left="60"/>
              <w:rPr>
                <w:sz w:val="20"/>
                <w:szCs w:val="20"/>
              </w:rPr>
            </w:pPr>
            <w:r>
              <w:rPr>
                <w:rFonts w:ascii="Cambria" w:eastAsia="Cambria" w:hAnsi="Cambria" w:cs="Cambria"/>
                <w:b/>
                <w:bCs/>
                <w:i/>
                <w:iCs/>
                <w:color w:val="919715"/>
                <w:sz w:val="26"/>
                <w:szCs w:val="26"/>
              </w:rPr>
              <w:t>viennent</w:t>
            </w:r>
          </w:p>
        </w:tc>
        <w:tc>
          <w:tcPr>
            <w:tcW w:w="500" w:type="dxa"/>
            <w:vMerge w:val="restart"/>
            <w:vAlign w:val="bottom"/>
          </w:tcPr>
          <w:p w:rsidR="00AC12B4" w:rsidRDefault="00C27636">
            <w:pPr>
              <w:jc w:val="right"/>
              <w:rPr>
                <w:sz w:val="20"/>
                <w:szCs w:val="20"/>
              </w:rPr>
            </w:pPr>
            <w:r>
              <w:rPr>
                <w:rFonts w:ascii="Cambria" w:eastAsia="Cambria" w:hAnsi="Cambria" w:cs="Cambria"/>
                <w:b/>
                <w:bCs/>
                <w:i/>
                <w:iCs/>
                <w:color w:val="919715"/>
                <w:sz w:val="26"/>
                <w:szCs w:val="26"/>
              </w:rPr>
              <w:t>ces</w:t>
            </w:r>
          </w:p>
        </w:tc>
        <w:tc>
          <w:tcPr>
            <w:tcW w:w="0" w:type="dxa"/>
            <w:vAlign w:val="bottom"/>
          </w:tcPr>
          <w:p w:rsidR="00AC12B4" w:rsidRDefault="00AC12B4">
            <w:pPr>
              <w:rPr>
                <w:sz w:val="1"/>
                <w:szCs w:val="1"/>
              </w:rPr>
            </w:pPr>
          </w:p>
        </w:tc>
      </w:tr>
      <w:tr w:rsidR="00AC12B4" w:rsidRPr="00C27636">
        <w:trPr>
          <w:trHeight w:val="50"/>
        </w:trPr>
        <w:tc>
          <w:tcPr>
            <w:tcW w:w="2520" w:type="dxa"/>
            <w:gridSpan w:val="6"/>
            <w:vMerge w:val="restart"/>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perçues. Il ne s’agit donc</w:t>
            </w:r>
          </w:p>
        </w:tc>
        <w:tc>
          <w:tcPr>
            <w:tcW w:w="280" w:type="dxa"/>
            <w:vAlign w:val="bottom"/>
          </w:tcPr>
          <w:p w:rsidR="00AC12B4" w:rsidRPr="00C27636" w:rsidRDefault="00AC12B4">
            <w:pPr>
              <w:rPr>
                <w:sz w:val="4"/>
                <w:szCs w:val="4"/>
                <w:lang w:val="fr-BE"/>
              </w:rPr>
            </w:pPr>
          </w:p>
        </w:tc>
        <w:tc>
          <w:tcPr>
            <w:tcW w:w="1460" w:type="dxa"/>
            <w:tcBorders>
              <w:bottom w:val="single" w:sz="8" w:space="0" w:color="C9D11D"/>
            </w:tcBorders>
            <w:vAlign w:val="bottom"/>
          </w:tcPr>
          <w:p w:rsidR="00AC12B4" w:rsidRPr="00C27636" w:rsidRDefault="00AC12B4">
            <w:pPr>
              <w:rPr>
                <w:sz w:val="4"/>
                <w:szCs w:val="4"/>
                <w:lang w:val="fr-BE"/>
              </w:rPr>
            </w:pPr>
          </w:p>
        </w:tc>
        <w:tc>
          <w:tcPr>
            <w:tcW w:w="340" w:type="dxa"/>
            <w:tcBorders>
              <w:bottom w:val="single" w:sz="8" w:space="0" w:color="C9D11D"/>
            </w:tcBorders>
            <w:vAlign w:val="bottom"/>
          </w:tcPr>
          <w:p w:rsidR="00AC12B4" w:rsidRPr="00C27636" w:rsidRDefault="00AC12B4">
            <w:pPr>
              <w:rPr>
                <w:sz w:val="4"/>
                <w:szCs w:val="4"/>
                <w:lang w:val="fr-BE"/>
              </w:rPr>
            </w:pPr>
          </w:p>
        </w:tc>
        <w:tc>
          <w:tcPr>
            <w:tcW w:w="300" w:type="dxa"/>
            <w:tcBorders>
              <w:bottom w:val="single" w:sz="8" w:space="0" w:color="C9D11D"/>
            </w:tcBorders>
            <w:vAlign w:val="bottom"/>
          </w:tcPr>
          <w:p w:rsidR="00AC12B4" w:rsidRPr="00C27636" w:rsidRDefault="00AC12B4">
            <w:pPr>
              <w:rPr>
                <w:sz w:val="4"/>
                <w:szCs w:val="4"/>
                <w:lang w:val="fr-BE"/>
              </w:rPr>
            </w:pPr>
          </w:p>
        </w:tc>
        <w:tc>
          <w:tcPr>
            <w:tcW w:w="440" w:type="dxa"/>
            <w:tcBorders>
              <w:bottom w:val="single" w:sz="8" w:space="0" w:color="C9D11D"/>
            </w:tcBorders>
            <w:vAlign w:val="bottom"/>
          </w:tcPr>
          <w:p w:rsidR="00AC12B4" w:rsidRPr="00C27636" w:rsidRDefault="00AC12B4">
            <w:pPr>
              <w:rPr>
                <w:sz w:val="4"/>
                <w:szCs w:val="4"/>
                <w:lang w:val="fr-BE"/>
              </w:rPr>
            </w:pPr>
          </w:p>
        </w:tc>
        <w:tc>
          <w:tcPr>
            <w:tcW w:w="1160" w:type="dxa"/>
            <w:gridSpan w:val="2"/>
            <w:vMerge/>
            <w:vAlign w:val="bottom"/>
          </w:tcPr>
          <w:p w:rsidR="00AC12B4" w:rsidRPr="00C27636" w:rsidRDefault="00AC12B4">
            <w:pPr>
              <w:rPr>
                <w:sz w:val="4"/>
                <w:szCs w:val="4"/>
                <w:lang w:val="fr-BE"/>
              </w:rPr>
            </w:pPr>
          </w:p>
        </w:tc>
        <w:tc>
          <w:tcPr>
            <w:tcW w:w="1480" w:type="dxa"/>
            <w:gridSpan w:val="4"/>
            <w:vMerge/>
            <w:vAlign w:val="bottom"/>
          </w:tcPr>
          <w:p w:rsidR="00AC12B4" w:rsidRPr="00C27636" w:rsidRDefault="00AC12B4">
            <w:pPr>
              <w:rPr>
                <w:sz w:val="4"/>
                <w:szCs w:val="4"/>
                <w:lang w:val="fr-BE"/>
              </w:rPr>
            </w:pPr>
          </w:p>
        </w:tc>
        <w:tc>
          <w:tcPr>
            <w:tcW w:w="500" w:type="dxa"/>
            <w:vMerge/>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rsidRPr="00C27636">
        <w:trPr>
          <w:trHeight w:val="197"/>
        </w:trPr>
        <w:tc>
          <w:tcPr>
            <w:tcW w:w="2520" w:type="dxa"/>
            <w:gridSpan w:val="6"/>
            <w:vMerge/>
            <w:vAlign w:val="bottom"/>
          </w:tcPr>
          <w:p w:rsidR="00AC12B4" w:rsidRPr="00C27636" w:rsidRDefault="00AC12B4">
            <w:pPr>
              <w:rPr>
                <w:sz w:val="17"/>
                <w:szCs w:val="17"/>
                <w:lang w:val="fr-BE"/>
              </w:rPr>
            </w:pPr>
          </w:p>
        </w:tc>
        <w:tc>
          <w:tcPr>
            <w:tcW w:w="280" w:type="dxa"/>
            <w:tcBorders>
              <w:right w:val="single" w:sz="8" w:space="0" w:color="C9D11D"/>
            </w:tcBorders>
            <w:vAlign w:val="bottom"/>
          </w:tcPr>
          <w:p w:rsidR="00AC12B4" w:rsidRPr="00C27636" w:rsidRDefault="00AC12B4">
            <w:pPr>
              <w:rPr>
                <w:sz w:val="17"/>
                <w:szCs w:val="17"/>
                <w:lang w:val="fr-BE"/>
              </w:rPr>
            </w:pPr>
          </w:p>
        </w:tc>
        <w:tc>
          <w:tcPr>
            <w:tcW w:w="1460" w:type="dxa"/>
            <w:vAlign w:val="bottom"/>
          </w:tcPr>
          <w:p w:rsidR="00AC12B4" w:rsidRPr="00C27636" w:rsidRDefault="00AC12B4">
            <w:pPr>
              <w:rPr>
                <w:sz w:val="17"/>
                <w:szCs w:val="17"/>
                <w:lang w:val="fr-BE"/>
              </w:rPr>
            </w:pPr>
          </w:p>
        </w:tc>
        <w:tc>
          <w:tcPr>
            <w:tcW w:w="340" w:type="dxa"/>
            <w:vAlign w:val="bottom"/>
          </w:tcPr>
          <w:p w:rsidR="00AC12B4" w:rsidRPr="00C27636" w:rsidRDefault="00AC12B4">
            <w:pPr>
              <w:rPr>
                <w:sz w:val="17"/>
                <w:szCs w:val="17"/>
                <w:lang w:val="fr-BE"/>
              </w:rPr>
            </w:pPr>
          </w:p>
        </w:tc>
        <w:tc>
          <w:tcPr>
            <w:tcW w:w="300" w:type="dxa"/>
            <w:vAlign w:val="bottom"/>
          </w:tcPr>
          <w:p w:rsidR="00AC12B4" w:rsidRPr="00C27636" w:rsidRDefault="00AC12B4">
            <w:pPr>
              <w:rPr>
                <w:sz w:val="17"/>
                <w:szCs w:val="17"/>
                <w:lang w:val="fr-BE"/>
              </w:rPr>
            </w:pPr>
          </w:p>
        </w:tc>
        <w:tc>
          <w:tcPr>
            <w:tcW w:w="440" w:type="dxa"/>
            <w:tcBorders>
              <w:right w:val="single" w:sz="8" w:space="0" w:color="C9D11D"/>
            </w:tcBorders>
            <w:vAlign w:val="bottom"/>
          </w:tcPr>
          <w:p w:rsidR="00AC12B4" w:rsidRPr="00C27636" w:rsidRDefault="00AC12B4">
            <w:pPr>
              <w:rPr>
                <w:sz w:val="17"/>
                <w:szCs w:val="17"/>
                <w:lang w:val="fr-BE"/>
              </w:rPr>
            </w:pPr>
          </w:p>
        </w:tc>
        <w:tc>
          <w:tcPr>
            <w:tcW w:w="1160" w:type="dxa"/>
            <w:gridSpan w:val="2"/>
            <w:vMerge/>
            <w:vAlign w:val="bottom"/>
          </w:tcPr>
          <w:p w:rsidR="00AC12B4" w:rsidRPr="00C27636" w:rsidRDefault="00AC12B4">
            <w:pPr>
              <w:rPr>
                <w:sz w:val="17"/>
                <w:szCs w:val="17"/>
                <w:lang w:val="fr-BE"/>
              </w:rPr>
            </w:pPr>
          </w:p>
        </w:tc>
        <w:tc>
          <w:tcPr>
            <w:tcW w:w="1480" w:type="dxa"/>
            <w:gridSpan w:val="4"/>
            <w:vMerge/>
            <w:vAlign w:val="bottom"/>
          </w:tcPr>
          <w:p w:rsidR="00AC12B4" w:rsidRPr="00C27636" w:rsidRDefault="00AC12B4">
            <w:pPr>
              <w:rPr>
                <w:sz w:val="17"/>
                <w:szCs w:val="17"/>
                <w:lang w:val="fr-BE"/>
              </w:rPr>
            </w:pPr>
          </w:p>
        </w:tc>
        <w:tc>
          <w:tcPr>
            <w:tcW w:w="500" w:type="dxa"/>
            <w:vMerge/>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trPr>
          <w:trHeight w:val="318"/>
        </w:trPr>
        <w:tc>
          <w:tcPr>
            <w:tcW w:w="540" w:type="dxa"/>
            <w:vAlign w:val="bottom"/>
          </w:tcPr>
          <w:p w:rsidR="00AC12B4" w:rsidRDefault="00C27636">
            <w:pPr>
              <w:rPr>
                <w:sz w:val="20"/>
                <w:szCs w:val="20"/>
              </w:rPr>
            </w:pPr>
            <w:r>
              <w:rPr>
                <w:rFonts w:ascii="Calibri" w:eastAsia="Calibri" w:hAnsi="Calibri" w:cs="Calibri"/>
              </w:rPr>
              <w:t>pas à</w:t>
            </w:r>
          </w:p>
        </w:tc>
        <w:tc>
          <w:tcPr>
            <w:tcW w:w="1220" w:type="dxa"/>
            <w:gridSpan w:val="4"/>
            <w:vAlign w:val="bottom"/>
          </w:tcPr>
          <w:p w:rsidR="00AC12B4" w:rsidRDefault="00C27636">
            <w:pPr>
              <w:jc w:val="right"/>
              <w:rPr>
                <w:sz w:val="20"/>
                <w:szCs w:val="20"/>
              </w:rPr>
            </w:pPr>
            <w:r>
              <w:rPr>
                <w:rFonts w:ascii="Calibri" w:eastAsia="Calibri" w:hAnsi="Calibri" w:cs="Calibri"/>
              </w:rPr>
              <w:t>proprement</w:t>
            </w:r>
          </w:p>
        </w:tc>
        <w:tc>
          <w:tcPr>
            <w:tcW w:w="760" w:type="dxa"/>
            <w:vAlign w:val="bottom"/>
          </w:tcPr>
          <w:p w:rsidR="00AC12B4" w:rsidRDefault="00C27636">
            <w:pPr>
              <w:ind w:right="30"/>
              <w:jc w:val="right"/>
              <w:rPr>
                <w:sz w:val="20"/>
                <w:szCs w:val="20"/>
              </w:rPr>
            </w:pPr>
            <w:r>
              <w:rPr>
                <w:rFonts w:ascii="Calibri" w:eastAsia="Calibri" w:hAnsi="Calibri" w:cs="Calibri"/>
              </w:rPr>
              <w:t>parler</w:t>
            </w:r>
          </w:p>
        </w:tc>
        <w:tc>
          <w:tcPr>
            <w:tcW w:w="280" w:type="dxa"/>
            <w:tcBorders>
              <w:right w:val="single" w:sz="8" w:space="0" w:color="C9D11D"/>
            </w:tcBorders>
            <w:vAlign w:val="bottom"/>
          </w:tcPr>
          <w:p w:rsidR="00AC12B4" w:rsidRDefault="00AC12B4">
            <w:pPr>
              <w:rPr>
                <w:sz w:val="24"/>
                <w:szCs w:val="24"/>
              </w:rPr>
            </w:pPr>
          </w:p>
        </w:tc>
        <w:tc>
          <w:tcPr>
            <w:tcW w:w="2540" w:type="dxa"/>
            <w:gridSpan w:val="4"/>
            <w:vMerge w:val="restart"/>
            <w:tcBorders>
              <w:right w:val="single" w:sz="8" w:space="0" w:color="C9D11D"/>
            </w:tcBorders>
            <w:vAlign w:val="bottom"/>
          </w:tcPr>
          <w:p w:rsidR="00AC12B4" w:rsidRDefault="00C27636">
            <w:pPr>
              <w:ind w:left="280"/>
              <w:rPr>
                <w:sz w:val="20"/>
                <w:szCs w:val="20"/>
              </w:rPr>
            </w:pPr>
            <w:r>
              <w:rPr>
                <w:rFonts w:ascii="Comic Sans MS" w:eastAsia="Comic Sans MS" w:hAnsi="Comic Sans MS" w:cs="Comic Sans MS"/>
                <w:color w:val="C9D11D"/>
                <w:sz w:val="96"/>
                <w:szCs w:val="96"/>
              </w:rPr>
              <w:t>N/A</w:t>
            </w:r>
          </w:p>
        </w:tc>
        <w:tc>
          <w:tcPr>
            <w:tcW w:w="1580" w:type="dxa"/>
            <w:gridSpan w:val="3"/>
            <w:vAlign w:val="bottom"/>
          </w:tcPr>
          <w:p w:rsidR="00AC12B4" w:rsidRDefault="00C27636">
            <w:pPr>
              <w:ind w:left="160"/>
              <w:rPr>
                <w:sz w:val="20"/>
                <w:szCs w:val="20"/>
              </w:rPr>
            </w:pPr>
            <w:r>
              <w:rPr>
                <w:rFonts w:ascii="Cambria" w:eastAsia="Cambria" w:hAnsi="Cambria" w:cs="Cambria"/>
                <w:b/>
                <w:bCs/>
                <w:i/>
                <w:iCs/>
                <w:color w:val="919715"/>
                <w:sz w:val="26"/>
                <w:szCs w:val="26"/>
              </w:rPr>
              <w:t>chiffres ?</w:t>
            </w:r>
          </w:p>
        </w:tc>
        <w:tc>
          <w:tcPr>
            <w:tcW w:w="1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0"/>
        </w:trPr>
        <w:tc>
          <w:tcPr>
            <w:tcW w:w="540" w:type="dxa"/>
            <w:vAlign w:val="bottom"/>
          </w:tcPr>
          <w:p w:rsidR="00AC12B4" w:rsidRDefault="00C27636">
            <w:pPr>
              <w:spacing w:line="220" w:lineRule="exact"/>
              <w:rPr>
                <w:sz w:val="20"/>
                <w:szCs w:val="20"/>
              </w:rPr>
            </w:pPr>
            <w:r>
              <w:rPr>
                <w:rFonts w:ascii="Calibri" w:eastAsia="Calibri" w:hAnsi="Calibri" w:cs="Calibri"/>
              </w:rPr>
              <w:t>d’un</w:t>
            </w:r>
          </w:p>
        </w:tc>
        <w:tc>
          <w:tcPr>
            <w:tcW w:w="1080" w:type="dxa"/>
            <w:gridSpan w:val="3"/>
            <w:vAlign w:val="bottom"/>
          </w:tcPr>
          <w:p w:rsidR="00AC12B4" w:rsidRDefault="00C27636">
            <w:pPr>
              <w:spacing w:line="220" w:lineRule="exact"/>
              <w:ind w:left="40"/>
              <w:rPr>
                <w:sz w:val="20"/>
                <w:szCs w:val="20"/>
              </w:rPr>
            </w:pPr>
            <w:r>
              <w:rPr>
                <w:rFonts w:ascii="Calibri" w:eastAsia="Calibri" w:hAnsi="Calibri" w:cs="Calibri"/>
              </w:rPr>
              <w:t>indicateur</w:t>
            </w:r>
          </w:p>
        </w:tc>
        <w:tc>
          <w:tcPr>
            <w:tcW w:w="900" w:type="dxa"/>
            <w:gridSpan w:val="2"/>
            <w:vAlign w:val="bottom"/>
          </w:tcPr>
          <w:p w:rsidR="00AC12B4" w:rsidRDefault="00C27636">
            <w:pPr>
              <w:spacing w:line="220" w:lineRule="exact"/>
              <w:ind w:right="30"/>
              <w:jc w:val="right"/>
              <w:rPr>
                <w:sz w:val="20"/>
                <w:szCs w:val="20"/>
              </w:rPr>
            </w:pPr>
            <w:r>
              <w:rPr>
                <w:rFonts w:ascii="Calibri" w:eastAsia="Calibri" w:hAnsi="Calibri" w:cs="Calibri"/>
              </w:rPr>
              <w:t>objectif.</w:t>
            </w:r>
          </w:p>
        </w:tc>
        <w:tc>
          <w:tcPr>
            <w:tcW w:w="280" w:type="dxa"/>
            <w:tcBorders>
              <w:right w:val="single" w:sz="8" w:space="0" w:color="C9D11D"/>
            </w:tcBorders>
            <w:vAlign w:val="bottom"/>
          </w:tcPr>
          <w:p w:rsidR="00AC12B4" w:rsidRDefault="00AC12B4">
            <w:pPr>
              <w:rPr>
                <w:sz w:val="19"/>
                <w:szCs w:val="19"/>
              </w:rPr>
            </w:pPr>
          </w:p>
        </w:tc>
        <w:tc>
          <w:tcPr>
            <w:tcW w:w="2540" w:type="dxa"/>
            <w:gridSpan w:val="4"/>
            <w:vMerge/>
            <w:tcBorders>
              <w:right w:val="single" w:sz="8" w:space="0" w:color="C9D11D"/>
            </w:tcBorders>
            <w:vAlign w:val="bottom"/>
          </w:tcPr>
          <w:p w:rsidR="00AC12B4" w:rsidRDefault="00AC12B4">
            <w:pPr>
              <w:rPr>
                <w:sz w:val="19"/>
                <w:szCs w:val="19"/>
              </w:rPr>
            </w:pPr>
          </w:p>
        </w:tc>
        <w:tc>
          <w:tcPr>
            <w:tcW w:w="420" w:type="dxa"/>
            <w:vAlign w:val="bottom"/>
          </w:tcPr>
          <w:p w:rsidR="00AC12B4" w:rsidRDefault="00AC12B4">
            <w:pPr>
              <w:rPr>
                <w:sz w:val="19"/>
                <w:szCs w:val="19"/>
              </w:rPr>
            </w:pPr>
          </w:p>
        </w:tc>
        <w:tc>
          <w:tcPr>
            <w:tcW w:w="740" w:type="dxa"/>
            <w:vMerge w:val="restart"/>
            <w:vAlign w:val="bottom"/>
          </w:tcPr>
          <w:p w:rsidR="00AC12B4" w:rsidRDefault="00C27636">
            <w:pPr>
              <w:ind w:left="460"/>
              <w:rPr>
                <w:sz w:val="20"/>
                <w:szCs w:val="20"/>
              </w:rPr>
            </w:pPr>
            <w:r>
              <w:rPr>
                <w:rFonts w:ascii="Wingdings" w:eastAsia="Wingdings" w:hAnsi="Wingdings" w:cs="Wingdings"/>
                <w:color w:val="C9D11D"/>
              </w:rPr>
              <w:t></w:t>
            </w:r>
          </w:p>
        </w:tc>
        <w:tc>
          <w:tcPr>
            <w:tcW w:w="420" w:type="dxa"/>
            <w:vAlign w:val="bottom"/>
          </w:tcPr>
          <w:p w:rsidR="00AC12B4" w:rsidRDefault="00AC12B4">
            <w:pPr>
              <w:rPr>
                <w:sz w:val="19"/>
                <w:szCs w:val="19"/>
              </w:rPr>
            </w:pPr>
          </w:p>
        </w:tc>
        <w:tc>
          <w:tcPr>
            <w:tcW w:w="560" w:type="dxa"/>
            <w:gridSpan w:val="2"/>
            <w:vMerge w:val="restart"/>
            <w:vAlign w:val="bottom"/>
          </w:tcPr>
          <w:p w:rsidR="00AC12B4" w:rsidRDefault="00C27636">
            <w:pPr>
              <w:rPr>
                <w:sz w:val="20"/>
                <w:szCs w:val="20"/>
              </w:rPr>
            </w:pPr>
            <w:r>
              <w:rPr>
                <w:rFonts w:ascii="Cambria" w:eastAsia="Cambria" w:hAnsi="Cambria" w:cs="Cambria"/>
                <w:i/>
                <w:iCs/>
                <w:color w:val="C9D11D"/>
              </w:rPr>
              <w:t>HIS</w:t>
            </w:r>
          </w:p>
        </w:tc>
        <w:tc>
          <w:tcPr>
            <w:tcW w:w="500" w:type="dxa"/>
            <w:vAlign w:val="bottom"/>
          </w:tcPr>
          <w:p w:rsidR="00AC12B4" w:rsidRDefault="00AC12B4">
            <w:pPr>
              <w:rPr>
                <w:sz w:val="19"/>
                <w:szCs w:val="19"/>
              </w:rPr>
            </w:pPr>
          </w:p>
        </w:tc>
        <w:tc>
          <w:tcPr>
            <w:tcW w:w="500" w:type="dxa"/>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05"/>
        </w:trPr>
        <w:tc>
          <w:tcPr>
            <w:tcW w:w="2520" w:type="dxa"/>
            <w:gridSpan w:val="6"/>
            <w:vMerge w:val="restart"/>
            <w:vAlign w:val="bottom"/>
          </w:tcPr>
          <w:p w:rsidR="00AC12B4" w:rsidRDefault="00C27636">
            <w:pPr>
              <w:rPr>
                <w:sz w:val="20"/>
                <w:szCs w:val="20"/>
              </w:rPr>
            </w:pPr>
            <w:r>
              <w:rPr>
                <w:rFonts w:ascii="Calibri" w:eastAsia="Calibri" w:hAnsi="Calibri" w:cs="Calibri"/>
              </w:rPr>
              <w:t>La  perception  d’un  fait</w:t>
            </w:r>
          </w:p>
        </w:tc>
        <w:tc>
          <w:tcPr>
            <w:tcW w:w="280" w:type="dxa"/>
            <w:tcBorders>
              <w:right w:val="single" w:sz="8" w:space="0" w:color="C9D11D"/>
            </w:tcBorders>
            <w:vAlign w:val="bottom"/>
          </w:tcPr>
          <w:p w:rsidR="00AC12B4" w:rsidRDefault="00AC12B4">
            <w:pPr>
              <w:rPr>
                <w:sz w:val="17"/>
                <w:szCs w:val="17"/>
              </w:rPr>
            </w:pPr>
          </w:p>
        </w:tc>
        <w:tc>
          <w:tcPr>
            <w:tcW w:w="2540" w:type="dxa"/>
            <w:gridSpan w:val="4"/>
            <w:vMerge/>
            <w:tcBorders>
              <w:right w:val="single" w:sz="8" w:space="0" w:color="C9D11D"/>
            </w:tcBorders>
            <w:vAlign w:val="bottom"/>
          </w:tcPr>
          <w:p w:rsidR="00AC12B4" w:rsidRDefault="00AC12B4">
            <w:pPr>
              <w:rPr>
                <w:sz w:val="17"/>
                <w:szCs w:val="17"/>
              </w:rPr>
            </w:pPr>
          </w:p>
        </w:tc>
        <w:tc>
          <w:tcPr>
            <w:tcW w:w="420" w:type="dxa"/>
            <w:vAlign w:val="bottom"/>
          </w:tcPr>
          <w:p w:rsidR="00AC12B4" w:rsidRDefault="00AC12B4">
            <w:pPr>
              <w:rPr>
                <w:sz w:val="17"/>
                <w:szCs w:val="17"/>
              </w:rPr>
            </w:pPr>
          </w:p>
        </w:tc>
        <w:tc>
          <w:tcPr>
            <w:tcW w:w="740" w:type="dxa"/>
            <w:vMerge/>
            <w:vAlign w:val="bottom"/>
          </w:tcPr>
          <w:p w:rsidR="00AC12B4" w:rsidRDefault="00AC12B4">
            <w:pPr>
              <w:rPr>
                <w:sz w:val="17"/>
                <w:szCs w:val="17"/>
              </w:rPr>
            </w:pPr>
          </w:p>
        </w:tc>
        <w:tc>
          <w:tcPr>
            <w:tcW w:w="420" w:type="dxa"/>
            <w:vAlign w:val="bottom"/>
          </w:tcPr>
          <w:p w:rsidR="00AC12B4" w:rsidRDefault="00AC12B4">
            <w:pPr>
              <w:rPr>
                <w:sz w:val="17"/>
                <w:szCs w:val="17"/>
              </w:rPr>
            </w:pPr>
          </w:p>
        </w:tc>
        <w:tc>
          <w:tcPr>
            <w:tcW w:w="560" w:type="dxa"/>
            <w:gridSpan w:val="2"/>
            <w:vMerge/>
            <w:vAlign w:val="bottom"/>
          </w:tcPr>
          <w:p w:rsidR="00AC12B4" w:rsidRDefault="00AC12B4">
            <w:pPr>
              <w:rPr>
                <w:sz w:val="17"/>
                <w:szCs w:val="17"/>
              </w:rPr>
            </w:pPr>
          </w:p>
        </w:tc>
        <w:tc>
          <w:tcPr>
            <w:tcW w:w="500" w:type="dxa"/>
            <w:vAlign w:val="bottom"/>
          </w:tcPr>
          <w:p w:rsidR="00AC12B4" w:rsidRDefault="00AC12B4">
            <w:pPr>
              <w:rPr>
                <w:sz w:val="17"/>
                <w:szCs w:val="17"/>
              </w:rPr>
            </w:pPr>
          </w:p>
        </w:tc>
        <w:tc>
          <w:tcPr>
            <w:tcW w:w="500" w:type="dxa"/>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64"/>
        </w:trPr>
        <w:tc>
          <w:tcPr>
            <w:tcW w:w="2520" w:type="dxa"/>
            <w:gridSpan w:val="6"/>
            <w:vMerge/>
            <w:vAlign w:val="bottom"/>
          </w:tcPr>
          <w:p w:rsidR="00AC12B4" w:rsidRDefault="00AC12B4">
            <w:pPr>
              <w:rPr>
                <w:sz w:val="5"/>
                <w:szCs w:val="5"/>
              </w:rPr>
            </w:pPr>
          </w:p>
        </w:tc>
        <w:tc>
          <w:tcPr>
            <w:tcW w:w="280" w:type="dxa"/>
            <w:tcBorders>
              <w:right w:val="single" w:sz="8" w:space="0" w:color="C9D11D"/>
            </w:tcBorders>
            <w:vAlign w:val="bottom"/>
          </w:tcPr>
          <w:p w:rsidR="00AC12B4" w:rsidRDefault="00AC12B4">
            <w:pPr>
              <w:rPr>
                <w:sz w:val="5"/>
                <w:szCs w:val="5"/>
              </w:rPr>
            </w:pPr>
          </w:p>
        </w:tc>
        <w:tc>
          <w:tcPr>
            <w:tcW w:w="2540" w:type="dxa"/>
            <w:gridSpan w:val="4"/>
            <w:vMerge/>
            <w:tcBorders>
              <w:right w:val="single" w:sz="8" w:space="0" w:color="C9D11D"/>
            </w:tcBorders>
            <w:vAlign w:val="bottom"/>
          </w:tcPr>
          <w:p w:rsidR="00AC12B4" w:rsidRDefault="00AC12B4">
            <w:pPr>
              <w:rPr>
                <w:sz w:val="5"/>
                <w:szCs w:val="5"/>
              </w:rPr>
            </w:pPr>
          </w:p>
        </w:tc>
        <w:tc>
          <w:tcPr>
            <w:tcW w:w="420" w:type="dxa"/>
            <w:vAlign w:val="bottom"/>
          </w:tcPr>
          <w:p w:rsidR="00AC12B4" w:rsidRDefault="00AC12B4">
            <w:pPr>
              <w:rPr>
                <w:sz w:val="5"/>
                <w:szCs w:val="5"/>
              </w:rPr>
            </w:pPr>
          </w:p>
        </w:tc>
        <w:tc>
          <w:tcPr>
            <w:tcW w:w="74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500" w:type="dxa"/>
            <w:vAlign w:val="bottom"/>
          </w:tcPr>
          <w:p w:rsidR="00AC12B4" w:rsidRDefault="00AC12B4">
            <w:pPr>
              <w:rPr>
                <w:sz w:val="5"/>
                <w:szCs w:val="5"/>
              </w:rPr>
            </w:pPr>
          </w:p>
        </w:tc>
        <w:tc>
          <w:tcPr>
            <w:tcW w:w="50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rsidRPr="00C27636">
        <w:trPr>
          <w:trHeight w:val="269"/>
        </w:trPr>
        <w:tc>
          <w:tcPr>
            <w:tcW w:w="2520" w:type="dxa"/>
            <w:gridSpan w:val="6"/>
            <w:vAlign w:val="bottom"/>
          </w:tcPr>
          <w:p w:rsidR="00AC12B4" w:rsidRDefault="00C27636">
            <w:pPr>
              <w:rPr>
                <w:sz w:val="20"/>
                <w:szCs w:val="20"/>
              </w:rPr>
            </w:pPr>
            <w:r>
              <w:rPr>
                <w:rFonts w:ascii="Calibri" w:eastAsia="Calibri" w:hAnsi="Calibri" w:cs="Calibri"/>
              </w:rPr>
              <w:t>comme nuisance dépend</w:t>
            </w:r>
          </w:p>
        </w:tc>
        <w:tc>
          <w:tcPr>
            <w:tcW w:w="280" w:type="dxa"/>
            <w:tcBorders>
              <w:right w:val="single" w:sz="8" w:space="0" w:color="C9D11D"/>
            </w:tcBorders>
            <w:vAlign w:val="bottom"/>
          </w:tcPr>
          <w:p w:rsidR="00AC12B4" w:rsidRDefault="00AC12B4">
            <w:pPr>
              <w:rPr>
                <w:sz w:val="23"/>
                <w:szCs w:val="23"/>
              </w:rPr>
            </w:pPr>
          </w:p>
        </w:tc>
        <w:tc>
          <w:tcPr>
            <w:tcW w:w="2540" w:type="dxa"/>
            <w:gridSpan w:val="4"/>
            <w:vMerge/>
            <w:tcBorders>
              <w:right w:val="single" w:sz="8" w:space="0" w:color="C9D11D"/>
            </w:tcBorders>
            <w:vAlign w:val="bottom"/>
          </w:tcPr>
          <w:p w:rsidR="00AC12B4" w:rsidRDefault="00AC12B4">
            <w:pPr>
              <w:rPr>
                <w:sz w:val="23"/>
                <w:szCs w:val="23"/>
              </w:rPr>
            </w:pPr>
          </w:p>
        </w:tc>
        <w:tc>
          <w:tcPr>
            <w:tcW w:w="3140" w:type="dxa"/>
            <w:gridSpan w:val="7"/>
            <w:vMerge w:val="restart"/>
            <w:vAlign w:val="bottom"/>
          </w:tcPr>
          <w:p w:rsidR="00AC12B4" w:rsidRPr="00C27636" w:rsidRDefault="00C27636">
            <w:pPr>
              <w:ind w:left="160"/>
              <w:rPr>
                <w:sz w:val="20"/>
                <w:szCs w:val="20"/>
                <w:lang w:val="fr-BE"/>
              </w:rPr>
            </w:pPr>
            <w:r w:rsidRPr="00C27636">
              <w:rPr>
                <w:rFonts w:ascii="Calibri" w:eastAsia="Calibri" w:hAnsi="Calibri" w:cs="Calibri"/>
                <w:lang w:val="fr-BE"/>
              </w:rPr>
              <w:t>L’enquête HIS est décrite dans le</w:t>
            </w:r>
          </w:p>
        </w:tc>
        <w:tc>
          <w:tcPr>
            <w:tcW w:w="0" w:type="dxa"/>
            <w:vAlign w:val="bottom"/>
          </w:tcPr>
          <w:p w:rsidR="00AC12B4" w:rsidRPr="00C27636" w:rsidRDefault="00AC12B4">
            <w:pPr>
              <w:rPr>
                <w:sz w:val="1"/>
                <w:szCs w:val="1"/>
                <w:lang w:val="fr-BE"/>
              </w:rPr>
            </w:pPr>
          </w:p>
        </w:tc>
      </w:tr>
      <w:tr w:rsidR="00AC12B4" w:rsidRPr="00C27636">
        <w:trPr>
          <w:trHeight w:val="89"/>
        </w:trPr>
        <w:tc>
          <w:tcPr>
            <w:tcW w:w="2520" w:type="dxa"/>
            <w:gridSpan w:val="6"/>
            <w:vMerge w:val="restart"/>
            <w:vAlign w:val="bottom"/>
          </w:tcPr>
          <w:p w:rsidR="00AC12B4" w:rsidRPr="00C27636" w:rsidRDefault="00C27636">
            <w:pPr>
              <w:rPr>
                <w:sz w:val="20"/>
                <w:szCs w:val="20"/>
                <w:lang w:val="fr-BE"/>
              </w:rPr>
            </w:pPr>
            <w:r w:rsidRPr="00C27636">
              <w:rPr>
                <w:rFonts w:ascii="Calibri" w:eastAsia="Calibri" w:hAnsi="Calibri" w:cs="Calibri"/>
                <w:lang w:val="fr-BE"/>
              </w:rPr>
              <w:t>en effet de la sensibilité</w:t>
            </w:r>
          </w:p>
        </w:tc>
        <w:tc>
          <w:tcPr>
            <w:tcW w:w="280" w:type="dxa"/>
            <w:tcBorders>
              <w:right w:val="single" w:sz="8" w:space="0" w:color="C9D11D"/>
            </w:tcBorders>
            <w:vAlign w:val="bottom"/>
          </w:tcPr>
          <w:p w:rsidR="00AC12B4" w:rsidRPr="00C27636" w:rsidRDefault="00AC12B4">
            <w:pPr>
              <w:rPr>
                <w:sz w:val="7"/>
                <w:szCs w:val="7"/>
                <w:lang w:val="fr-BE"/>
              </w:rPr>
            </w:pPr>
          </w:p>
        </w:tc>
        <w:tc>
          <w:tcPr>
            <w:tcW w:w="2540" w:type="dxa"/>
            <w:gridSpan w:val="4"/>
            <w:vMerge/>
            <w:tcBorders>
              <w:right w:val="single" w:sz="8" w:space="0" w:color="C9D11D"/>
            </w:tcBorders>
            <w:vAlign w:val="bottom"/>
          </w:tcPr>
          <w:p w:rsidR="00AC12B4" w:rsidRPr="00C27636" w:rsidRDefault="00AC12B4">
            <w:pPr>
              <w:rPr>
                <w:sz w:val="7"/>
                <w:szCs w:val="7"/>
                <w:lang w:val="fr-BE"/>
              </w:rPr>
            </w:pPr>
          </w:p>
        </w:tc>
        <w:tc>
          <w:tcPr>
            <w:tcW w:w="3140" w:type="dxa"/>
            <w:gridSpan w:val="7"/>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229"/>
        </w:trPr>
        <w:tc>
          <w:tcPr>
            <w:tcW w:w="2520" w:type="dxa"/>
            <w:gridSpan w:val="6"/>
            <w:vMerge/>
            <w:vAlign w:val="bottom"/>
          </w:tcPr>
          <w:p w:rsidR="00AC12B4" w:rsidRPr="00C27636" w:rsidRDefault="00AC12B4">
            <w:pPr>
              <w:rPr>
                <w:sz w:val="19"/>
                <w:szCs w:val="19"/>
                <w:lang w:val="fr-BE"/>
              </w:rPr>
            </w:pPr>
          </w:p>
        </w:tc>
        <w:tc>
          <w:tcPr>
            <w:tcW w:w="280" w:type="dxa"/>
            <w:tcBorders>
              <w:right w:val="single" w:sz="8" w:space="0" w:color="C9D11D"/>
            </w:tcBorders>
            <w:vAlign w:val="bottom"/>
          </w:tcPr>
          <w:p w:rsidR="00AC12B4" w:rsidRPr="00C27636" w:rsidRDefault="00AC12B4">
            <w:pPr>
              <w:rPr>
                <w:sz w:val="19"/>
                <w:szCs w:val="19"/>
                <w:lang w:val="fr-BE"/>
              </w:rPr>
            </w:pPr>
          </w:p>
        </w:tc>
        <w:tc>
          <w:tcPr>
            <w:tcW w:w="2540" w:type="dxa"/>
            <w:gridSpan w:val="4"/>
            <w:vMerge/>
            <w:tcBorders>
              <w:right w:val="single" w:sz="8" w:space="0" w:color="C9D11D"/>
            </w:tcBorders>
            <w:vAlign w:val="bottom"/>
          </w:tcPr>
          <w:p w:rsidR="00AC12B4" w:rsidRPr="00C27636" w:rsidRDefault="00AC12B4">
            <w:pPr>
              <w:rPr>
                <w:sz w:val="19"/>
                <w:szCs w:val="19"/>
                <w:lang w:val="fr-BE"/>
              </w:rPr>
            </w:pPr>
          </w:p>
        </w:tc>
        <w:tc>
          <w:tcPr>
            <w:tcW w:w="2140" w:type="dxa"/>
            <w:gridSpan w:val="5"/>
            <w:vAlign w:val="bottom"/>
          </w:tcPr>
          <w:p w:rsidR="00AC12B4" w:rsidRDefault="00C27636">
            <w:pPr>
              <w:spacing w:line="229" w:lineRule="exact"/>
              <w:ind w:left="160"/>
              <w:rPr>
                <w:sz w:val="20"/>
                <w:szCs w:val="20"/>
              </w:rPr>
            </w:pPr>
            <w:r>
              <w:rPr>
                <w:rFonts w:ascii="Calibri" w:eastAsia="Calibri" w:hAnsi="Calibri" w:cs="Calibri"/>
              </w:rPr>
              <w:t>section  « sources »</w:t>
            </w:r>
          </w:p>
        </w:tc>
        <w:tc>
          <w:tcPr>
            <w:tcW w:w="500" w:type="dxa"/>
            <w:vAlign w:val="bottom"/>
          </w:tcPr>
          <w:p w:rsidR="00AC12B4" w:rsidRDefault="00C27636">
            <w:pPr>
              <w:spacing w:line="229" w:lineRule="exact"/>
              <w:ind w:right="70"/>
              <w:jc w:val="right"/>
              <w:rPr>
                <w:sz w:val="20"/>
                <w:szCs w:val="20"/>
              </w:rPr>
            </w:pPr>
            <w:r>
              <w:rPr>
                <w:rFonts w:ascii="Calibri" w:eastAsia="Calibri" w:hAnsi="Calibri" w:cs="Calibri"/>
              </w:rPr>
              <w:t>de</w:t>
            </w:r>
          </w:p>
        </w:tc>
        <w:tc>
          <w:tcPr>
            <w:tcW w:w="500" w:type="dxa"/>
            <w:vAlign w:val="bottom"/>
          </w:tcPr>
          <w:p w:rsidR="00AC12B4" w:rsidRDefault="00C27636">
            <w:pPr>
              <w:spacing w:line="229" w:lineRule="exact"/>
              <w:jc w:val="right"/>
              <w:rPr>
                <w:sz w:val="20"/>
                <w:szCs w:val="20"/>
              </w:rPr>
            </w:pPr>
            <w:r>
              <w:rPr>
                <w:rFonts w:ascii="Calibri" w:eastAsia="Calibri" w:hAnsi="Calibri" w:cs="Calibri"/>
              </w:rPr>
              <w:t>cette</w:t>
            </w:r>
          </w:p>
        </w:tc>
        <w:tc>
          <w:tcPr>
            <w:tcW w:w="0" w:type="dxa"/>
            <w:vAlign w:val="bottom"/>
          </w:tcPr>
          <w:p w:rsidR="00AC12B4" w:rsidRDefault="00AC12B4">
            <w:pPr>
              <w:rPr>
                <w:sz w:val="1"/>
                <w:szCs w:val="1"/>
              </w:rPr>
            </w:pPr>
          </w:p>
        </w:tc>
      </w:tr>
      <w:tr w:rsidR="00AC12B4">
        <w:trPr>
          <w:trHeight w:val="220"/>
        </w:trPr>
        <w:tc>
          <w:tcPr>
            <w:tcW w:w="540" w:type="dxa"/>
            <w:vAlign w:val="bottom"/>
          </w:tcPr>
          <w:p w:rsidR="00AC12B4" w:rsidRDefault="00C27636">
            <w:pPr>
              <w:spacing w:line="220" w:lineRule="exact"/>
              <w:rPr>
                <w:sz w:val="20"/>
                <w:szCs w:val="20"/>
              </w:rPr>
            </w:pPr>
            <w:r>
              <w:rPr>
                <w:rFonts w:ascii="Calibri" w:eastAsia="Calibri" w:hAnsi="Calibri" w:cs="Calibri"/>
              </w:rPr>
              <w:t>de</w:t>
            </w:r>
          </w:p>
        </w:tc>
        <w:tc>
          <w:tcPr>
            <w:tcW w:w="500" w:type="dxa"/>
            <w:vAlign w:val="bottom"/>
          </w:tcPr>
          <w:p w:rsidR="00AC12B4" w:rsidRDefault="00C27636">
            <w:pPr>
              <w:spacing w:line="220" w:lineRule="exact"/>
              <w:ind w:left="70"/>
              <w:jc w:val="center"/>
              <w:rPr>
                <w:sz w:val="20"/>
                <w:szCs w:val="20"/>
              </w:rPr>
            </w:pPr>
            <w:r>
              <w:rPr>
                <w:rFonts w:ascii="Calibri" w:eastAsia="Calibri" w:hAnsi="Calibri" w:cs="Calibri"/>
              </w:rPr>
              <w:t>la</w:t>
            </w:r>
          </w:p>
        </w:tc>
        <w:tc>
          <w:tcPr>
            <w:tcW w:w="200" w:type="dxa"/>
            <w:vAlign w:val="bottom"/>
          </w:tcPr>
          <w:p w:rsidR="00AC12B4" w:rsidRDefault="00AC12B4">
            <w:pPr>
              <w:rPr>
                <w:sz w:val="19"/>
                <w:szCs w:val="19"/>
              </w:rPr>
            </w:pPr>
          </w:p>
        </w:tc>
        <w:tc>
          <w:tcPr>
            <w:tcW w:w="1280" w:type="dxa"/>
            <w:gridSpan w:val="3"/>
            <w:vAlign w:val="bottom"/>
          </w:tcPr>
          <w:p w:rsidR="00AC12B4" w:rsidRDefault="00C27636">
            <w:pPr>
              <w:spacing w:line="220" w:lineRule="exact"/>
              <w:ind w:right="30"/>
              <w:jc w:val="right"/>
              <w:rPr>
                <w:sz w:val="20"/>
                <w:szCs w:val="20"/>
              </w:rPr>
            </w:pPr>
            <w:r>
              <w:rPr>
                <w:rFonts w:ascii="Calibri" w:eastAsia="Calibri" w:hAnsi="Calibri" w:cs="Calibri"/>
              </w:rPr>
              <w:t>personne</w:t>
            </w:r>
          </w:p>
        </w:tc>
        <w:tc>
          <w:tcPr>
            <w:tcW w:w="280" w:type="dxa"/>
            <w:tcBorders>
              <w:right w:val="single" w:sz="8" w:space="0" w:color="C9D11D"/>
            </w:tcBorders>
            <w:vAlign w:val="bottom"/>
          </w:tcPr>
          <w:p w:rsidR="00AC12B4" w:rsidRDefault="00AC12B4">
            <w:pPr>
              <w:rPr>
                <w:sz w:val="19"/>
                <w:szCs w:val="19"/>
              </w:rPr>
            </w:pPr>
          </w:p>
        </w:tc>
        <w:tc>
          <w:tcPr>
            <w:tcW w:w="1460" w:type="dxa"/>
            <w:vMerge w:val="restart"/>
            <w:vAlign w:val="bottom"/>
          </w:tcPr>
          <w:p w:rsidR="00AC12B4" w:rsidRDefault="00C27636">
            <w:pPr>
              <w:ind w:left="140"/>
              <w:rPr>
                <w:sz w:val="20"/>
                <w:szCs w:val="20"/>
              </w:rPr>
            </w:pPr>
            <w:r>
              <w:rPr>
                <w:rFonts w:ascii="Comic Sans MS" w:eastAsia="Comic Sans MS" w:hAnsi="Comic Sans MS" w:cs="Comic Sans MS"/>
                <w:sz w:val="20"/>
                <w:szCs w:val="20"/>
              </w:rPr>
              <w:t>Aucunes</w:t>
            </w:r>
          </w:p>
        </w:tc>
        <w:tc>
          <w:tcPr>
            <w:tcW w:w="1080" w:type="dxa"/>
            <w:gridSpan w:val="3"/>
            <w:vMerge w:val="restart"/>
            <w:tcBorders>
              <w:right w:val="single" w:sz="8" w:space="0" w:color="C9D11D"/>
            </w:tcBorders>
            <w:vAlign w:val="bottom"/>
          </w:tcPr>
          <w:p w:rsidR="00AC12B4" w:rsidRDefault="00C27636">
            <w:pPr>
              <w:ind w:right="70"/>
              <w:jc w:val="right"/>
              <w:rPr>
                <w:sz w:val="20"/>
                <w:szCs w:val="20"/>
              </w:rPr>
            </w:pPr>
            <w:r>
              <w:rPr>
                <w:rFonts w:ascii="Comic Sans MS" w:eastAsia="Comic Sans MS" w:hAnsi="Comic Sans MS" w:cs="Comic Sans MS"/>
                <w:sz w:val="20"/>
                <w:szCs w:val="20"/>
              </w:rPr>
              <w:t>données</w:t>
            </w:r>
          </w:p>
        </w:tc>
        <w:tc>
          <w:tcPr>
            <w:tcW w:w="3140" w:type="dxa"/>
            <w:gridSpan w:val="7"/>
            <w:vMerge w:val="restart"/>
            <w:vAlign w:val="bottom"/>
          </w:tcPr>
          <w:p w:rsidR="00AC12B4" w:rsidRDefault="00C27636">
            <w:pPr>
              <w:ind w:left="160"/>
              <w:rPr>
                <w:sz w:val="20"/>
                <w:szCs w:val="20"/>
              </w:rPr>
            </w:pPr>
            <w:r>
              <w:rPr>
                <w:rFonts w:ascii="Calibri" w:eastAsia="Calibri" w:hAnsi="Calibri" w:cs="Calibri"/>
              </w:rPr>
              <w:t>publication (Partie I). L’objectif,</w:t>
            </w:r>
          </w:p>
        </w:tc>
        <w:tc>
          <w:tcPr>
            <w:tcW w:w="0" w:type="dxa"/>
            <w:vAlign w:val="bottom"/>
          </w:tcPr>
          <w:p w:rsidR="00AC12B4" w:rsidRDefault="00AC12B4">
            <w:pPr>
              <w:rPr>
                <w:sz w:val="1"/>
                <w:szCs w:val="1"/>
              </w:rPr>
            </w:pPr>
          </w:p>
        </w:tc>
      </w:tr>
      <w:tr w:rsidR="00AC12B4">
        <w:trPr>
          <w:trHeight w:val="86"/>
        </w:trPr>
        <w:tc>
          <w:tcPr>
            <w:tcW w:w="1240" w:type="dxa"/>
            <w:gridSpan w:val="3"/>
            <w:vMerge w:val="restart"/>
            <w:vAlign w:val="bottom"/>
          </w:tcPr>
          <w:p w:rsidR="00AC12B4" w:rsidRDefault="00C27636">
            <w:pPr>
              <w:spacing w:line="221" w:lineRule="exact"/>
              <w:rPr>
                <w:sz w:val="20"/>
                <w:szCs w:val="20"/>
              </w:rPr>
            </w:pPr>
            <w:r>
              <w:rPr>
                <w:rFonts w:ascii="Calibri" w:eastAsia="Calibri" w:hAnsi="Calibri" w:cs="Calibri"/>
              </w:rPr>
              <w:t>interviewée.</w:t>
            </w:r>
          </w:p>
        </w:tc>
        <w:tc>
          <w:tcPr>
            <w:tcW w:w="520" w:type="dxa"/>
            <w:gridSpan w:val="2"/>
            <w:vMerge w:val="restart"/>
            <w:vAlign w:val="bottom"/>
          </w:tcPr>
          <w:p w:rsidR="00AC12B4" w:rsidRDefault="00C27636">
            <w:pPr>
              <w:spacing w:line="221" w:lineRule="exact"/>
              <w:jc w:val="right"/>
              <w:rPr>
                <w:sz w:val="20"/>
                <w:szCs w:val="20"/>
              </w:rPr>
            </w:pPr>
            <w:r>
              <w:rPr>
                <w:rFonts w:ascii="Calibri" w:eastAsia="Calibri" w:hAnsi="Calibri" w:cs="Calibri"/>
              </w:rPr>
              <w:t>Un</w:t>
            </w:r>
          </w:p>
        </w:tc>
        <w:tc>
          <w:tcPr>
            <w:tcW w:w="760" w:type="dxa"/>
            <w:vMerge w:val="restart"/>
            <w:vAlign w:val="bottom"/>
          </w:tcPr>
          <w:p w:rsidR="00AC12B4" w:rsidRDefault="00C27636">
            <w:pPr>
              <w:spacing w:line="221" w:lineRule="exact"/>
              <w:ind w:right="30"/>
              <w:jc w:val="right"/>
              <w:rPr>
                <w:sz w:val="20"/>
                <w:szCs w:val="20"/>
              </w:rPr>
            </w:pPr>
            <w:r>
              <w:rPr>
                <w:rFonts w:ascii="Calibri" w:eastAsia="Calibri" w:hAnsi="Calibri" w:cs="Calibri"/>
              </w:rPr>
              <w:t>tel</w:t>
            </w:r>
          </w:p>
        </w:tc>
        <w:tc>
          <w:tcPr>
            <w:tcW w:w="280" w:type="dxa"/>
            <w:tcBorders>
              <w:right w:val="single" w:sz="8" w:space="0" w:color="C9D11D"/>
            </w:tcBorders>
            <w:vAlign w:val="bottom"/>
          </w:tcPr>
          <w:p w:rsidR="00AC12B4" w:rsidRDefault="00AC12B4">
            <w:pPr>
              <w:rPr>
                <w:sz w:val="7"/>
                <w:szCs w:val="7"/>
              </w:rPr>
            </w:pPr>
          </w:p>
        </w:tc>
        <w:tc>
          <w:tcPr>
            <w:tcW w:w="1460" w:type="dxa"/>
            <w:vMerge/>
            <w:vAlign w:val="bottom"/>
          </w:tcPr>
          <w:p w:rsidR="00AC12B4" w:rsidRDefault="00AC12B4">
            <w:pPr>
              <w:rPr>
                <w:sz w:val="7"/>
                <w:szCs w:val="7"/>
              </w:rPr>
            </w:pPr>
          </w:p>
        </w:tc>
        <w:tc>
          <w:tcPr>
            <w:tcW w:w="1080" w:type="dxa"/>
            <w:gridSpan w:val="3"/>
            <w:vMerge/>
            <w:tcBorders>
              <w:right w:val="single" w:sz="8" w:space="0" w:color="C9D11D"/>
            </w:tcBorders>
            <w:vAlign w:val="bottom"/>
          </w:tcPr>
          <w:p w:rsidR="00AC12B4" w:rsidRDefault="00AC12B4">
            <w:pPr>
              <w:rPr>
                <w:sz w:val="7"/>
                <w:szCs w:val="7"/>
              </w:rPr>
            </w:pPr>
          </w:p>
        </w:tc>
        <w:tc>
          <w:tcPr>
            <w:tcW w:w="3140" w:type="dxa"/>
            <w:gridSpan w:val="7"/>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134"/>
        </w:trPr>
        <w:tc>
          <w:tcPr>
            <w:tcW w:w="1240" w:type="dxa"/>
            <w:gridSpan w:val="3"/>
            <w:vMerge/>
            <w:vAlign w:val="bottom"/>
          </w:tcPr>
          <w:p w:rsidR="00AC12B4" w:rsidRDefault="00AC12B4">
            <w:pPr>
              <w:rPr>
                <w:sz w:val="11"/>
                <w:szCs w:val="11"/>
              </w:rPr>
            </w:pPr>
          </w:p>
        </w:tc>
        <w:tc>
          <w:tcPr>
            <w:tcW w:w="520" w:type="dxa"/>
            <w:gridSpan w:val="2"/>
            <w:vMerge/>
            <w:vAlign w:val="bottom"/>
          </w:tcPr>
          <w:p w:rsidR="00AC12B4" w:rsidRDefault="00AC12B4">
            <w:pPr>
              <w:rPr>
                <w:sz w:val="11"/>
                <w:szCs w:val="11"/>
              </w:rPr>
            </w:pPr>
          </w:p>
        </w:tc>
        <w:tc>
          <w:tcPr>
            <w:tcW w:w="760" w:type="dxa"/>
            <w:vMerge/>
            <w:vAlign w:val="bottom"/>
          </w:tcPr>
          <w:p w:rsidR="00AC12B4" w:rsidRDefault="00AC12B4">
            <w:pPr>
              <w:rPr>
                <w:sz w:val="11"/>
                <w:szCs w:val="11"/>
              </w:rPr>
            </w:pPr>
          </w:p>
        </w:tc>
        <w:tc>
          <w:tcPr>
            <w:tcW w:w="280" w:type="dxa"/>
            <w:tcBorders>
              <w:right w:val="single" w:sz="8" w:space="0" w:color="C9D11D"/>
            </w:tcBorders>
            <w:vAlign w:val="bottom"/>
          </w:tcPr>
          <w:p w:rsidR="00AC12B4" w:rsidRDefault="00AC12B4">
            <w:pPr>
              <w:rPr>
                <w:sz w:val="11"/>
                <w:szCs w:val="11"/>
              </w:rPr>
            </w:pPr>
          </w:p>
        </w:tc>
        <w:tc>
          <w:tcPr>
            <w:tcW w:w="1460" w:type="dxa"/>
            <w:vMerge/>
            <w:vAlign w:val="bottom"/>
          </w:tcPr>
          <w:p w:rsidR="00AC12B4" w:rsidRDefault="00AC12B4">
            <w:pPr>
              <w:rPr>
                <w:sz w:val="11"/>
                <w:szCs w:val="11"/>
              </w:rPr>
            </w:pPr>
          </w:p>
        </w:tc>
        <w:tc>
          <w:tcPr>
            <w:tcW w:w="1080" w:type="dxa"/>
            <w:gridSpan w:val="3"/>
            <w:vMerge/>
            <w:tcBorders>
              <w:right w:val="single" w:sz="8" w:space="0" w:color="C9D11D"/>
            </w:tcBorders>
            <w:vAlign w:val="bottom"/>
          </w:tcPr>
          <w:p w:rsidR="00AC12B4" w:rsidRDefault="00AC12B4">
            <w:pPr>
              <w:rPr>
                <w:sz w:val="11"/>
                <w:szCs w:val="11"/>
              </w:rPr>
            </w:pPr>
          </w:p>
        </w:tc>
        <w:tc>
          <w:tcPr>
            <w:tcW w:w="3140" w:type="dxa"/>
            <w:gridSpan w:val="7"/>
            <w:vMerge w:val="restart"/>
            <w:vAlign w:val="bottom"/>
          </w:tcPr>
          <w:p w:rsidR="00AC12B4" w:rsidRPr="00C27636" w:rsidRDefault="00C27636">
            <w:pPr>
              <w:ind w:left="160"/>
              <w:rPr>
                <w:sz w:val="20"/>
                <w:szCs w:val="20"/>
                <w:lang w:val="fr-BE"/>
              </w:rPr>
            </w:pPr>
            <w:r w:rsidRPr="00C27636">
              <w:rPr>
                <w:rFonts w:ascii="Calibri" w:eastAsia="Calibri" w:hAnsi="Calibri" w:cs="Calibri"/>
                <w:lang w:val="fr-BE"/>
              </w:rPr>
              <w:t>les modalités et les limites des</w:t>
            </w:r>
          </w:p>
        </w:tc>
        <w:tc>
          <w:tcPr>
            <w:tcW w:w="0" w:type="dxa"/>
            <w:vAlign w:val="bottom"/>
          </w:tcPr>
          <w:p w:rsidR="00AC12B4" w:rsidRPr="00C27636" w:rsidRDefault="00AC12B4">
            <w:pPr>
              <w:rPr>
                <w:sz w:val="1"/>
                <w:szCs w:val="1"/>
                <w:lang w:val="fr-BE"/>
              </w:rPr>
            </w:pPr>
          </w:p>
        </w:tc>
      </w:tr>
      <w:tr w:rsidR="00AC12B4">
        <w:trPr>
          <w:trHeight w:val="134"/>
        </w:trPr>
        <w:tc>
          <w:tcPr>
            <w:tcW w:w="1040" w:type="dxa"/>
            <w:gridSpan w:val="2"/>
            <w:vMerge w:val="restart"/>
            <w:vAlign w:val="bottom"/>
          </w:tcPr>
          <w:p w:rsidR="00AC12B4" w:rsidRDefault="00C27636">
            <w:pPr>
              <w:rPr>
                <w:sz w:val="20"/>
                <w:szCs w:val="20"/>
              </w:rPr>
            </w:pPr>
            <w:r>
              <w:rPr>
                <w:rFonts w:ascii="Calibri" w:eastAsia="Calibri" w:hAnsi="Calibri" w:cs="Calibri"/>
              </w:rPr>
              <w:t>indicateur</w:t>
            </w:r>
          </w:p>
        </w:tc>
        <w:tc>
          <w:tcPr>
            <w:tcW w:w="720" w:type="dxa"/>
            <w:gridSpan w:val="3"/>
            <w:vMerge w:val="restart"/>
            <w:vAlign w:val="bottom"/>
          </w:tcPr>
          <w:p w:rsidR="00AC12B4" w:rsidRDefault="00C27636">
            <w:pPr>
              <w:jc w:val="right"/>
              <w:rPr>
                <w:sz w:val="20"/>
                <w:szCs w:val="20"/>
              </w:rPr>
            </w:pPr>
            <w:r>
              <w:rPr>
                <w:rFonts w:ascii="Calibri" w:eastAsia="Calibri" w:hAnsi="Calibri" w:cs="Calibri"/>
              </w:rPr>
              <w:t>objectif</w:t>
            </w:r>
          </w:p>
        </w:tc>
        <w:tc>
          <w:tcPr>
            <w:tcW w:w="760" w:type="dxa"/>
            <w:vMerge w:val="restart"/>
            <w:vAlign w:val="bottom"/>
          </w:tcPr>
          <w:p w:rsidR="00AC12B4" w:rsidRDefault="00C27636">
            <w:pPr>
              <w:ind w:right="30"/>
              <w:jc w:val="right"/>
              <w:rPr>
                <w:sz w:val="20"/>
                <w:szCs w:val="20"/>
              </w:rPr>
            </w:pPr>
            <w:r>
              <w:rPr>
                <w:rFonts w:ascii="Calibri" w:eastAsia="Calibri" w:hAnsi="Calibri" w:cs="Calibri"/>
              </w:rPr>
              <w:t>serait</w:t>
            </w:r>
          </w:p>
        </w:tc>
        <w:tc>
          <w:tcPr>
            <w:tcW w:w="280" w:type="dxa"/>
            <w:tcBorders>
              <w:right w:val="single" w:sz="8" w:space="0" w:color="C9D11D"/>
            </w:tcBorders>
            <w:vAlign w:val="bottom"/>
          </w:tcPr>
          <w:p w:rsidR="00AC12B4" w:rsidRDefault="00AC12B4">
            <w:pPr>
              <w:rPr>
                <w:sz w:val="11"/>
                <w:szCs w:val="11"/>
              </w:rPr>
            </w:pPr>
          </w:p>
        </w:tc>
        <w:tc>
          <w:tcPr>
            <w:tcW w:w="1460" w:type="dxa"/>
            <w:vMerge w:val="restart"/>
            <w:vAlign w:val="bottom"/>
          </w:tcPr>
          <w:p w:rsidR="00AC12B4" w:rsidRDefault="00C27636">
            <w:pPr>
              <w:spacing w:line="277" w:lineRule="exact"/>
              <w:ind w:left="140"/>
              <w:rPr>
                <w:sz w:val="20"/>
                <w:szCs w:val="20"/>
              </w:rPr>
            </w:pPr>
            <w:r>
              <w:rPr>
                <w:rFonts w:ascii="Comic Sans MS" w:eastAsia="Comic Sans MS" w:hAnsi="Comic Sans MS" w:cs="Comic Sans MS"/>
                <w:sz w:val="20"/>
                <w:szCs w:val="20"/>
              </w:rPr>
              <w:t>pertinentes</w:t>
            </w:r>
          </w:p>
        </w:tc>
        <w:tc>
          <w:tcPr>
            <w:tcW w:w="1080" w:type="dxa"/>
            <w:gridSpan w:val="3"/>
            <w:vMerge w:val="restart"/>
            <w:tcBorders>
              <w:right w:val="single" w:sz="8" w:space="0" w:color="C9D11D"/>
            </w:tcBorders>
            <w:vAlign w:val="bottom"/>
          </w:tcPr>
          <w:p w:rsidR="00AC12B4" w:rsidRDefault="00C27636">
            <w:pPr>
              <w:spacing w:line="277" w:lineRule="exact"/>
              <w:ind w:right="70"/>
              <w:jc w:val="right"/>
              <w:rPr>
                <w:sz w:val="20"/>
                <w:szCs w:val="20"/>
              </w:rPr>
            </w:pPr>
            <w:r>
              <w:rPr>
                <w:rFonts w:ascii="Comic Sans MS" w:eastAsia="Comic Sans MS" w:hAnsi="Comic Sans MS" w:cs="Comic Sans MS"/>
                <w:sz w:val="20"/>
                <w:szCs w:val="20"/>
              </w:rPr>
              <w:t xml:space="preserve">ne   </w:t>
            </w:r>
            <w:r>
              <w:rPr>
                <w:rFonts w:ascii="Comic Sans MS" w:eastAsia="Comic Sans MS" w:hAnsi="Comic Sans MS" w:cs="Comic Sans MS"/>
                <w:sz w:val="20"/>
                <w:szCs w:val="20"/>
              </w:rPr>
              <w:t>sont</w:t>
            </w:r>
          </w:p>
        </w:tc>
        <w:tc>
          <w:tcPr>
            <w:tcW w:w="3140" w:type="dxa"/>
            <w:gridSpan w:val="7"/>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44"/>
        </w:trPr>
        <w:tc>
          <w:tcPr>
            <w:tcW w:w="1040" w:type="dxa"/>
            <w:gridSpan w:val="2"/>
            <w:vMerge/>
            <w:vAlign w:val="bottom"/>
          </w:tcPr>
          <w:p w:rsidR="00AC12B4" w:rsidRDefault="00AC12B4">
            <w:pPr>
              <w:rPr>
                <w:sz w:val="12"/>
                <w:szCs w:val="12"/>
              </w:rPr>
            </w:pPr>
          </w:p>
        </w:tc>
        <w:tc>
          <w:tcPr>
            <w:tcW w:w="720" w:type="dxa"/>
            <w:gridSpan w:val="3"/>
            <w:vMerge/>
            <w:vAlign w:val="bottom"/>
          </w:tcPr>
          <w:p w:rsidR="00AC12B4" w:rsidRDefault="00AC12B4">
            <w:pPr>
              <w:rPr>
                <w:sz w:val="12"/>
                <w:szCs w:val="12"/>
              </w:rPr>
            </w:pPr>
          </w:p>
        </w:tc>
        <w:tc>
          <w:tcPr>
            <w:tcW w:w="760" w:type="dxa"/>
            <w:vMerge/>
            <w:vAlign w:val="bottom"/>
          </w:tcPr>
          <w:p w:rsidR="00AC12B4" w:rsidRDefault="00AC12B4">
            <w:pPr>
              <w:rPr>
                <w:sz w:val="12"/>
                <w:szCs w:val="12"/>
              </w:rPr>
            </w:pPr>
          </w:p>
        </w:tc>
        <w:tc>
          <w:tcPr>
            <w:tcW w:w="280" w:type="dxa"/>
            <w:tcBorders>
              <w:right w:val="single" w:sz="8" w:space="0" w:color="C9D11D"/>
            </w:tcBorders>
            <w:vAlign w:val="bottom"/>
          </w:tcPr>
          <w:p w:rsidR="00AC12B4" w:rsidRDefault="00AC12B4">
            <w:pPr>
              <w:rPr>
                <w:sz w:val="12"/>
                <w:szCs w:val="12"/>
              </w:rPr>
            </w:pPr>
          </w:p>
        </w:tc>
        <w:tc>
          <w:tcPr>
            <w:tcW w:w="1460" w:type="dxa"/>
            <w:vMerge/>
            <w:vAlign w:val="bottom"/>
          </w:tcPr>
          <w:p w:rsidR="00AC12B4" w:rsidRDefault="00AC12B4">
            <w:pPr>
              <w:rPr>
                <w:sz w:val="12"/>
                <w:szCs w:val="12"/>
              </w:rPr>
            </w:pPr>
          </w:p>
        </w:tc>
        <w:tc>
          <w:tcPr>
            <w:tcW w:w="1080" w:type="dxa"/>
            <w:gridSpan w:val="3"/>
            <w:vMerge/>
            <w:tcBorders>
              <w:right w:val="single" w:sz="8" w:space="0" w:color="C9D11D"/>
            </w:tcBorders>
            <w:vAlign w:val="bottom"/>
          </w:tcPr>
          <w:p w:rsidR="00AC12B4" w:rsidRDefault="00AC12B4">
            <w:pPr>
              <w:rPr>
                <w:sz w:val="12"/>
                <w:szCs w:val="12"/>
              </w:rPr>
            </w:pPr>
          </w:p>
        </w:tc>
        <w:tc>
          <w:tcPr>
            <w:tcW w:w="1160" w:type="dxa"/>
            <w:gridSpan w:val="2"/>
            <w:vMerge w:val="restart"/>
            <w:vAlign w:val="bottom"/>
          </w:tcPr>
          <w:p w:rsidR="00AC12B4" w:rsidRDefault="00C27636">
            <w:pPr>
              <w:ind w:left="160"/>
              <w:rPr>
                <w:sz w:val="20"/>
                <w:szCs w:val="20"/>
              </w:rPr>
            </w:pPr>
            <w:r>
              <w:rPr>
                <w:rFonts w:ascii="Calibri" w:eastAsia="Calibri" w:hAnsi="Calibri" w:cs="Calibri"/>
              </w:rPr>
              <w:t>données</w:t>
            </w:r>
          </w:p>
        </w:tc>
        <w:tc>
          <w:tcPr>
            <w:tcW w:w="980" w:type="dxa"/>
            <w:gridSpan w:val="3"/>
            <w:vMerge w:val="restart"/>
            <w:vAlign w:val="bottom"/>
          </w:tcPr>
          <w:p w:rsidR="00AC12B4" w:rsidRDefault="00C27636">
            <w:pPr>
              <w:ind w:left="40"/>
              <w:rPr>
                <w:sz w:val="20"/>
                <w:szCs w:val="20"/>
              </w:rPr>
            </w:pPr>
            <w:r>
              <w:rPr>
                <w:rFonts w:ascii="Calibri" w:eastAsia="Calibri" w:hAnsi="Calibri" w:cs="Calibri"/>
              </w:rPr>
              <w:t>collectées</w:t>
            </w:r>
          </w:p>
        </w:tc>
        <w:tc>
          <w:tcPr>
            <w:tcW w:w="500" w:type="dxa"/>
            <w:vMerge w:val="restart"/>
            <w:vAlign w:val="bottom"/>
          </w:tcPr>
          <w:p w:rsidR="00AC12B4" w:rsidRDefault="00C27636">
            <w:pPr>
              <w:ind w:right="70"/>
              <w:jc w:val="right"/>
              <w:rPr>
                <w:sz w:val="20"/>
                <w:szCs w:val="20"/>
              </w:rPr>
            </w:pPr>
            <w:r>
              <w:rPr>
                <w:rFonts w:ascii="Calibri" w:eastAsia="Calibri" w:hAnsi="Calibri" w:cs="Calibri"/>
              </w:rPr>
              <w:t>y</w:t>
            </w:r>
          </w:p>
        </w:tc>
        <w:tc>
          <w:tcPr>
            <w:tcW w:w="500" w:type="dxa"/>
            <w:vMerge w:val="restart"/>
            <w:vAlign w:val="bottom"/>
          </w:tcPr>
          <w:p w:rsidR="00AC12B4" w:rsidRDefault="00C27636">
            <w:pPr>
              <w:jc w:val="right"/>
              <w:rPr>
                <w:sz w:val="20"/>
                <w:szCs w:val="20"/>
              </w:rPr>
            </w:pPr>
            <w:r>
              <w:rPr>
                <w:rFonts w:ascii="Calibri" w:eastAsia="Calibri" w:hAnsi="Calibri" w:cs="Calibri"/>
              </w:rPr>
              <w:t>sont</w:t>
            </w:r>
          </w:p>
        </w:tc>
        <w:tc>
          <w:tcPr>
            <w:tcW w:w="0" w:type="dxa"/>
            <w:vAlign w:val="bottom"/>
          </w:tcPr>
          <w:p w:rsidR="00AC12B4" w:rsidRDefault="00AC12B4">
            <w:pPr>
              <w:rPr>
                <w:sz w:val="1"/>
                <w:szCs w:val="1"/>
              </w:rPr>
            </w:pPr>
          </w:p>
        </w:tc>
      </w:tr>
      <w:tr w:rsidR="00AC12B4">
        <w:trPr>
          <w:trHeight w:val="125"/>
        </w:trPr>
        <w:tc>
          <w:tcPr>
            <w:tcW w:w="1240" w:type="dxa"/>
            <w:gridSpan w:val="3"/>
            <w:vMerge w:val="restart"/>
            <w:vAlign w:val="bottom"/>
          </w:tcPr>
          <w:p w:rsidR="00AC12B4" w:rsidRDefault="00C27636">
            <w:pPr>
              <w:rPr>
                <w:sz w:val="20"/>
                <w:szCs w:val="20"/>
              </w:rPr>
            </w:pPr>
            <w:r>
              <w:rPr>
                <w:rFonts w:ascii="Calibri" w:eastAsia="Calibri" w:hAnsi="Calibri" w:cs="Calibri"/>
              </w:rPr>
              <w:t>évidemment</w:t>
            </w:r>
          </w:p>
        </w:tc>
        <w:tc>
          <w:tcPr>
            <w:tcW w:w="1280" w:type="dxa"/>
            <w:gridSpan w:val="3"/>
            <w:vMerge w:val="restart"/>
            <w:vAlign w:val="bottom"/>
          </w:tcPr>
          <w:p w:rsidR="00AC12B4" w:rsidRDefault="00C27636">
            <w:pPr>
              <w:ind w:right="50"/>
              <w:jc w:val="right"/>
              <w:rPr>
                <w:sz w:val="20"/>
                <w:szCs w:val="20"/>
              </w:rPr>
            </w:pPr>
            <w:r>
              <w:rPr>
                <w:rFonts w:ascii="Calibri" w:eastAsia="Calibri" w:hAnsi="Calibri" w:cs="Calibri"/>
              </w:rPr>
              <w:t>intéressant</w:t>
            </w:r>
          </w:p>
        </w:tc>
        <w:tc>
          <w:tcPr>
            <w:tcW w:w="280" w:type="dxa"/>
            <w:tcBorders>
              <w:right w:val="single" w:sz="8" w:space="0" w:color="C9D11D"/>
            </w:tcBorders>
            <w:vAlign w:val="bottom"/>
          </w:tcPr>
          <w:p w:rsidR="00AC12B4" w:rsidRDefault="00AC12B4">
            <w:pPr>
              <w:rPr>
                <w:sz w:val="10"/>
                <w:szCs w:val="10"/>
              </w:rPr>
            </w:pPr>
          </w:p>
        </w:tc>
        <w:tc>
          <w:tcPr>
            <w:tcW w:w="1460" w:type="dxa"/>
            <w:vMerge w:val="restart"/>
            <w:vAlign w:val="bottom"/>
          </w:tcPr>
          <w:p w:rsidR="00AC12B4" w:rsidRDefault="00C27636">
            <w:pPr>
              <w:spacing w:line="276" w:lineRule="exact"/>
              <w:ind w:left="140"/>
              <w:rPr>
                <w:sz w:val="20"/>
                <w:szCs w:val="20"/>
              </w:rPr>
            </w:pPr>
            <w:r>
              <w:rPr>
                <w:rFonts w:ascii="Comic Sans MS" w:eastAsia="Comic Sans MS" w:hAnsi="Comic Sans MS" w:cs="Comic Sans MS"/>
                <w:sz w:val="20"/>
                <w:szCs w:val="20"/>
              </w:rPr>
              <w:t>centrées  sur</w:t>
            </w:r>
          </w:p>
        </w:tc>
        <w:tc>
          <w:tcPr>
            <w:tcW w:w="1080" w:type="dxa"/>
            <w:gridSpan w:val="3"/>
            <w:vMerge w:val="restart"/>
            <w:tcBorders>
              <w:right w:val="single" w:sz="8" w:space="0" w:color="C9D11D"/>
            </w:tcBorders>
            <w:vAlign w:val="bottom"/>
          </w:tcPr>
          <w:p w:rsidR="00AC12B4" w:rsidRDefault="00C27636">
            <w:pPr>
              <w:spacing w:line="276" w:lineRule="exact"/>
              <w:ind w:right="70"/>
              <w:jc w:val="right"/>
              <w:rPr>
                <w:sz w:val="20"/>
                <w:szCs w:val="20"/>
              </w:rPr>
            </w:pPr>
            <w:r>
              <w:rPr>
                <w:rFonts w:ascii="Comic Sans MS" w:eastAsia="Comic Sans MS" w:hAnsi="Comic Sans MS" w:cs="Comic Sans MS"/>
                <w:sz w:val="20"/>
                <w:szCs w:val="20"/>
              </w:rPr>
              <w:t>l’enfant</w:t>
            </w:r>
          </w:p>
        </w:tc>
        <w:tc>
          <w:tcPr>
            <w:tcW w:w="1160" w:type="dxa"/>
            <w:gridSpan w:val="2"/>
            <w:vMerge/>
            <w:vAlign w:val="bottom"/>
          </w:tcPr>
          <w:p w:rsidR="00AC12B4" w:rsidRDefault="00AC12B4">
            <w:pPr>
              <w:rPr>
                <w:sz w:val="10"/>
                <w:szCs w:val="10"/>
              </w:rPr>
            </w:pPr>
          </w:p>
        </w:tc>
        <w:tc>
          <w:tcPr>
            <w:tcW w:w="980" w:type="dxa"/>
            <w:gridSpan w:val="3"/>
            <w:vMerge/>
            <w:vAlign w:val="bottom"/>
          </w:tcPr>
          <w:p w:rsidR="00AC12B4" w:rsidRDefault="00AC12B4">
            <w:pPr>
              <w:rPr>
                <w:sz w:val="10"/>
                <w:szCs w:val="10"/>
              </w:rPr>
            </w:pPr>
          </w:p>
        </w:tc>
        <w:tc>
          <w:tcPr>
            <w:tcW w:w="500" w:type="dxa"/>
            <w:vMerge/>
            <w:vAlign w:val="bottom"/>
          </w:tcPr>
          <w:p w:rsidR="00AC12B4" w:rsidRDefault="00AC12B4">
            <w:pPr>
              <w:rPr>
                <w:sz w:val="10"/>
                <w:szCs w:val="10"/>
              </w:rPr>
            </w:pPr>
          </w:p>
        </w:tc>
        <w:tc>
          <w:tcPr>
            <w:tcW w:w="500" w:type="dxa"/>
            <w:vMerge/>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1"/>
        </w:trPr>
        <w:tc>
          <w:tcPr>
            <w:tcW w:w="1240" w:type="dxa"/>
            <w:gridSpan w:val="3"/>
            <w:vMerge/>
            <w:vAlign w:val="bottom"/>
          </w:tcPr>
          <w:p w:rsidR="00AC12B4" w:rsidRDefault="00AC12B4">
            <w:pPr>
              <w:rPr>
                <w:sz w:val="13"/>
                <w:szCs w:val="13"/>
              </w:rPr>
            </w:pPr>
          </w:p>
        </w:tc>
        <w:tc>
          <w:tcPr>
            <w:tcW w:w="1280" w:type="dxa"/>
            <w:gridSpan w:val="3"/>
            <w:vMerge/>
            <w:vAlign w:val="bottom"/>
          </w:tcPr>
          <w:p w:rsidR="00AC12B4" w:rsidRDefault="00AC12B4">
            <w:pPr>
              <w:rPr>
                <w:sz w:val="13"/>
                <w:szCs w:val="13"/>
              </w:rPr>
            </w:pPr>
          </w:p>
        </w:tc>
        <w:tc>
          <w:tcPr>
            <w:tcW w:w="280" w:type="dxa"/>
            <w:tcBorders>
              <w:right w:val="single" w:sz="8" w:space="0" w:color="C9D11D"/>
            </w:tcBorders>
            <w:vAlign w:val="bottom"/>
          </w:tcPr>
          <w:p w:rsidR="00AC12B4" w:rsidRDefault="00AC12B4">
            <w:pPr>
              <w:rPr>
                <w:sz w:val="13"/>
                <w:szCs w:val="13"/>
              </w:rPr>
            </w:pPr>
          </w:p>
        </w:tc>
        <w:tc>
          <w:tcPr>
            <w:tcW w:w="1460" w:type="dxa"/>
            <w:vMerge/>
            <w:vAlign w:val="bottom"/>
          </w:tcPr>
          <w:p w:rsidR="00AC12B4" w:rsidRDefault="00AC12B4">
            <w:pPr>
              <w:rPr>
                <w:sz w:val="13"/>
                <w:szCs w:val="13"/>
              </w:rPr>
            </w:pPr>
          </w:p>
        </w:tc>
        <w:tc>
          <w:tcPr>
            <w:tcW w:w="1080" w:type="dxa"/>
            <w:gridSpan w:val="3"/>
            <w:vMerge/>
            <w:tcBorders>
              <w:right w:val="single" w:sz="8" w:space="0" w:color="C9D11D"/>
            </w:tcBorders>
            <w:vAlign w:val="bottom"/>
          </w:tcPr>
          <w:p w:rsidR="00AC12B4" w:rsidRDefault="00AC12B4">
            <w:pPr>
              <w:rPr>
                <w:sz w:val="13"/>
                <w:szCs w:val="13"/>
              </w:rPr>
            </w:pPr>
          </w:p>
        </w:tc>
        <w:tc>
          <w:tcPr>
            <w:tcW w:w="1160" w:type="dxa"/>
            <w:gridSpan w:val="2"/>
            <w:vMerge w:val="restart"/>
            <w:vAlign w:val="bottom"/>
          </w:tcPr>
          <w:p w:rsidR="00AC12B4" w:rsidRDefault="00C27636">
            <w:pPr>
              <w:ind w:left="160"/>
              <w:rPr>
                <w:sz w:val="20"/>
                <w:szCs w:val="20"/>
              </w:rPr>
            </w:pPr>
            <w:r>
              <w:rPr>
                <w:rFonts w:ascii="Calibri" w:eastAsia="Calibri" w:hAnsi="Calibri" w:cs="Calibri"/>
              </w:rPr>
              <w:t>présentés.</w:t>
            </w:r>
          </w:p>
        </w:tc>
        <w:tc>
          <w:tcPr>
            <w:tcW w:w="4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8"/>
        </w:trPr>
        <w:tc>
          <w:tcPr>
            <w:tcW w:w="540" w:type="dxa"/>
            <w:vMerge w:val="restart"/>
            <w:vAlign w:val="bottom"/>
          </w:tcPr>
          <w:p w:rsidR="00AC12B4" w:rsidRDefault="00C27636">
            <w:pPr>
              <w:rPr>
                <w:sz w:val="20"/>
                <w:szCs w:val="20"/>
              </w:rPr>
            </w:pPr>
            <w:r>
              <w:rPr>
                <w:rFonts w:ascii="Calibri" w:eastAsia="Calibri" w:hAnsi="Calibri" w:cs="Calibri"/>
              </w:rPr>
              <w:t>mai</w:t>
            </w:r>
            <w:r>
              <w:rPr>
                <w:rFonts w:ascii="Calibri" w:eastAsia="Calibri" w:hAnsi="Calibri" w:cs="Calibri"/>
              </w:rPr>
              <w:lastRenderedPageBreak/>
              <w:t>s</w:t>
            </w:r>
          </w:p>
        </w:tc>
        <w:tc>
          <w:tcPr>
            <w:tcW w:w="700" w:type="dxa"/>
            <w:gridSpan w:val="2"/>
            <w:vMerge w:val="restart"/>
            <w:vAlign w:val="bottom"/>
          </w:tcPr>
          <w:p w:rsidR="00AC12B4" w:rsidRDefault="00C27636">
            <w:pPr>
              <w:jc w:val="center"/>
              <w:rPr>
                <w:sz w:val="20"/>
                <w:szCs w:val="20"/>
              </w:rPr>
            </w:pPr>
            <w:r>
              <w:rPr>
                <w:rFonts w:ascii="Calibri" w:eastAsia="Calibri" w:hAnsi="Calibri" w:cs="Calibri"/>
                <w:w w:val="97"/>
              </w:rPr>
              <w:lastRenderedPageBreak/>
              <w:t>n’exis</w:t>
            </w:r>
            <w:r>
              <w:rPr>
                <w:rFonts w:ascii="Calibri" w:eastAsia="Calibri" w:hAnsi="Calibri" w:cs="Calibri"/>
                <w:w w:val="97"/>
              </w:rPr>
              <w:lastRenderedPageBreak/>
              <w:t>te</w:t>
            </w:r>
          </w:p>
        </w:tc>
        <w:tc>
          <w:tcPr>
            <w:tcW w:w="1280" w:type="dxa"/>
            <w:gridSpan w:val="3"/>
            <w:vMerge w:val="restart"/>
            <w:vAlign w:val="bottom"/>
          </w:tcPr>
          <w:p w:rsidR="00AC12B4" w:rsidRDefault="00C27636">
            <w:pPr>
              <w:ind w:right="50"/>
              <w:jc w:val="right"/>
              <w:rPr>
                <w:sz w:val="20"/>
                <w:szCs w:val="20"/>
              </w:rPr>
            </w:pPr>
            <w:r>
              <w:rPr>
                <w:rFonts w:ascii="Calibri" w:eastAsia="Calibri" w:hAnsi="Calibri" w:cs="Calibri"/>
              </w:rPr>
              <w:lastRenderedPageBreak/>
              <w:t xml:space="preserve">pas </w:t>
            </w:r>
            <w:r>
              <w:rPr>
                <w:rFonts w:ascii="Calibri" w:eastAsia="Calibri" w:hAnsi="Calibri" w:cs="Calibri"/>
              </w:rPr>
              <w:lastRenderedPageBreak/>
              <w:t>encore</w:t>
            </w:r>
          </w:p>
        </w:tc>
        <w:tc>
          <w:tcPr>
            <w:tcW w:w="280" w:type="dxa"/>
            <w:tcBorders>
              <w:right w:val="single" w:sz="8" w:space="0" w:color="C9D11D"/>
            </w:tcBorders>
            <w:vAlign w:val="bottom"/>
          </w:tcPr>
          <w:p w:rsidR="00AC12B4" w:rsidRDefault="00AC12B4">
            <w:pPr>
              <w:rPr>
                <w:sz w:val="10"/>
                <w:szCs w:val="10"/>
              </w:rPr>
            </w:pPr>
          </w:p>
        </w:tc>
        <w:tc>
          <w:tcPr>
            <w:tcW w:w="1460" w:type="dxa"/>
            <w:vMerge w:val="restart"/>
            <w:vAlign w:val="bottom"/>
          </w:tcPr>
          <w:p w:rsidR="00AC12B4" w:rsidRDefault="00C27636">
            <w:pPr>
              <w:spacing w:line="277" w:lineRule="exact"/>
              <w:ind w:left="140"/>
              <w:rPr>
                <w:sz w:val="20"/>
                <w:szCs w:val="20"/>
              </w:rPr>
            </w:pPr>
            <w:r>
              <w:rPr>
                <w:rFonts w:ascii="Comic Sans MS" w:eastAsia="Comic Sans MS" w:hAnsi="Comic Sans MS" w:cs="Comic Sans MS"/>
                <w:sz w:val="20"/>
                <w:szCs w:val="20"/>
              </w:rPr>
              <w:t>actuelle</w:t>
            </w:r>
            <w:r>
              <w:rPr>
                <w:rFonts w:ascii="Comic Sans MS" w:eastAsia="Comic Sans MS" w:hAnsi="Comic Sans MS" w:cs="Comic Sans MS"/>
                <w:sz w:val="20"/>
                <w:szCs w:val="20"/>
              </w:rPr>
              <w:lastRenderedPageBreak/>
              <w:t>ment</w:t>
            </w:r>
          </w:p>
        </w:tc>
        <w:tc>
          <w:tcPr>
            <w:tcW w:w="34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440" w:type="dxa"/>
            <w:tcBorders>
              <w:right w:val="single" w:sz="8" w:space="0" w:color="C9D11D"/>
            </w:tcBorders>
            <w:vAlign w:val="bottom"/>
          </w:tcPr>
          <w:p w:rsidR="00AC12B4" w:rsidRDefault="00AC12B4">
            <w:pPr>
              <w:rPr>
                <w:sz w:val="10"/>
                <w:szCs w:val="10"/>
              </w:rPr>
            </w:pPr>
          </w:p>
        </w:tc>
        <w:tc>
          <w:tcPr>
            <w:tcW w:w="1160" w:type="dxa"/>
            <w:gridSpan w:val="2"/>
            <w:vMerge/>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500" w:type="dxa"/>
            <w:vAlign w:val="bottom"/>
          </w:tcPr>
          <w:p w:rsidR="00AC12B4" w:rsidRDefault="00AC12B4">
            <w:pPr>
              <w:rPr>
                <w:sz w:val="10"/>
                <w:szCs w:val="10"/>
              </w:rPr>
            </w:pPr>
          </w:p>
        </w:tc>
        <w:tc>
          <w:tcPr>
            <w:tcW w:w="50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80"/>
        </w:trPr>
        <w:tc>
          <w:tcPr>
            <w:tcW w:w="540" w:type="dxa"/>
            <w:vMerge/>
            <w:vAlign w:val="bottom"/>
          </w:tcPr>
          <w:p w:rsidR="00AC12B4" w:rsidRDefault="00AC12B4">
            <w:pPr>
              <w:rPr>
                <w:sz w:val="15"/>
                <w:szCs w:val="15"/>
              </w:rPr>
            </w:pPr>
          </w:p>
        </w:tc>
        <w:tc>
          <w:tcPr>
            <w:tcW w:w="700" w:type="dxa"/>
            <w:gridSpan w:val="2"/>
            <w:vMerge/>
            <w:vAlign w:val="bottom"/>
          </w:tcPr>
          <w:p w:rsidR="00AC12B4" w:rsidRDefault="00AC12B4">
            <w:pPr>
              <w:rPr>
                <w:sz w:val="15"/>
                <w:szCs w:val="15"/>
              </w:rPr>
            </w:pPr>
          </w:p>
        </w:tc>
        <w:tc>
          <w:tcPr>
            <w:tcW w:w="1280" w:type="dxa"/>
            <w:gridSpan w:val="3"/>
            <w:vMerge/>
            <w:vAlign w:val="bottom"/>
          </w:tcPr>
          <w:p w:rsidR="00AC12B4" w:rsidRDefault="00AC12B4">
            <w:pPr>
              <w:rPr>
                <w:sz w:val="15"/>
                <w:szCs w:val="15"/>
              </w:rPr>
            </w:pPr>
          </w:p>
        </w:tc>
        <w:tc>
          <w:tcPr>
            <w:tcW w:w="280" w:type="dxa"/>
            <w:tcBorders>
              <w:right w:val="single" w:sz="8" w:space="0" w:color="C9D11D"/>
            </w:tcBorders>
            <w:vAlign w:val="bottom"/>
          </w:tcPr>
          <w:p w:rsidR="00AC12B4" w:rsidRDefault="00AC12B4">
            <w:pPr>
              <w:rPr>
                <w:sz w:val="15"/>
                <w:szCs w:val="15"/>
              </w:rPr>
            </w:pPr>
          </w:p>
        </w:tc>
        <w:tc>
          <w:tcPr>
            <w:tcW w:w="1460" w:type="dxa"/>
            <w:vMerge/>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440" w:type="dxa"/>
            <w:tcBorders>
              <w:right w:val="single" w:sz="8" w:space="0" w:color="C9D11D"/>
            </w:tcBorders>
            <w:vAlign w:val="bottom"/>
          </w:tcPr>
          <w:p w:rsidR="00AC12B4" w:rsidRDefault="00AC12B4">
            <w:pPr>
              <w:rPr>
                <w:sz w:val="15"/>
                <w:szCs w:val="15"/>
              </w:rPr>
            </w:pPr>
          </w:p>
        </w:tc>
        <w:tc>
          <w:tcPr>
            <w:tcW w:w="420" w:type="dxa"/>
            <w:vMerge w:val="restart"/>
            <w:vAlign w:val="bottom"/>
          </w:tcPr>
          <w:p w:rsidR="00AC12B4" w:rsidRDefault="00C27636">
            <w:pPr>
              <w:ind w:left="160"/>
              <w:rPr>
                <w:sz w:val="20"/>
                <w:szCs w:val="20"/>
              </w:rPr>
            </w:pPr>
            <w:r>
              <w:rPr>
                <w:rFonts w:ascii="Calibri" w:eastAsia="Calibri" w:hAnsi="Calibri" w:cs="Calibri"/>
              </w:rPr>
              <w:t>L</w:t>
            </w:r>
            <w:r>
              <w:rPr>
                <w:rFonts w:ascii="Calibri" w:eastAsia="Calibri" w:hAnsi="Calibri" w:cs="Calibri"/>
              </w:rPr>
              <w:lastRenderedPageBreak/>
              <w:t>a</w:t>
            </w:r>
          </w:p>
        </w:tc>
        <w:tc>
          <w:tcPr>
            <w:tcW w:w="1720" w:type="dxa"/>
            <w:gridSpan w:val="4"/>
            <w:vMerge w:val="restart"/>
            <w:vAlign w:val="bottom"/>
          </w:tcPr>
          <w:p w:rsidR="00AC12B4" w:rsidRDefault="00C27636">
            <w:pPr>
              <w:ind w:left="100"/>
              <w:rPr>
                <w:sz w:val="20"/>
                <w:szCs w:val="20"/>
              </w:rPr>
            </w:pPr>
            <w:r>
              <w:rPr>
                <w:rFonts w:ascii="Calibri" w:eastAsia="Calibri" w:hAnsi="Calibri" w:cs="Calibri"/>
              </w:rPr>
              <w:lastRenderedPageBreak/>
              <w:t xml:space="preserve">question  </w:t>
            </w:r>
            <w:r>
              <w:rPr>
                <w:rFonts w:ascii="Calibri" w:eastAsia="Calibri" w:hAnsi="Calibri" w:cs="Calibri"/>
              </w:rPr>
              <w:lastRenderedPageBreak/>
              <w:t>utilisée</w:t>
            </w:r>
          </w:p>
        </w:tc>
        <w:tc>
          <w:tcPr>
            <w:tcW w:w="1000" w:type="dxa"/>
            <w:gridSpan w:val="2"/>
            <w:vMerge w:val="restart"/>
            <w:vAlign w:val="bottom"/>
          </w:tcPr>
          <w:p w:rsidR="00AC12B4" w:rsidRDefault="00C27636">
            <w:pPr>
              <w:jc w:val="right"/>
              <w:rPr>
                <w:sz w:val="20"/>
                <w:szCs w:val="20"/>
              </w:rPr>
            </w:pPr>
            <w:r>
              <w:rPr>
                <w:rFonts w:ascii="Calibri" w:eastAsia="Calibri" w:hAnsi="Calibri" w:cs="Calibri"/>
              </w:rPr>
              <w:lastRenderedPageBreak/>
              <w:t xml:space="preserve">pour  </w:t>
            </w:r>
            <w:r>
              <w:rPr>
                <w:rFonts w:ascii="Calibri" w:eastAsia="Calibri" w:hAnsi="Calibri" w:cs="Calibri"/>
              </w:rPr>
              <w:lastRenderedPageBreak/>
              <w:t>cet</w:t>
            </w:r>
          </w:p>
        </w:tc>
        <w:tc>
          <w:tcPr>
            <w:tcW w:w="0" w:type="dxa"/>
            <w:vAlign w:val="bottom"/>
          </w:tcPr>
          <w:p w:rsidR="00AC12B4" w:rsidRDefault="00AC12B4">
            <w:pPr>
              <w:rPr>
                <w:sz w:val="1"/>
                <w:szCs w:val="1"/>
              </w:rPr>
            </w:pPr>
          </w:p>
        </w:tc>
      </w:tr>
      <w:tr w:rsidR="00AC12B4" w:rsidRPr="00C27636">
        <w:trPr>
          <w:trHeight w:val="209"/>
        </w:trPr>
        <w:tc>
          <w:tcPr>
            <w:tcW w:w="2520" w:type="dxa"/>
            <w:gridSpan w:val="6"/>
            <w:vMerge w:val="restart"/>
            <w:vAlign w:val="bottom"/>
          </w:tcPr>
          <w:p w:rsidR="00AC12B4" w:rsidRPr="00C27636" w:rsidRDefault="00C27636">
            <w:pPr>
              <w:rPr>
                <w:sz w:val="20"/>
                <w:szCs w:val="20"/>
                <w:lang w:val="fr-BE"/>
              </w:rPr>
            </w:pPr>
            <w:r w:rsidRPr="00C27636">
              <w:rPr>
                <w:rFonts w:ascii="Calibri" w:eastAsia="Calibri" w:hAnsi="Calibri" w:cs="Calibri"/>
                <w:lang w:val="fr-BE"/>
              </w:rPr>
              <w:lastRenderedPageBreak/>
              <w:t>au niveau national, ni de</w:t>
            </w:r>
          </w:p>
        </w:tc>
        <w:tc>
          <w:tcPr>
            <w:tcW w:w="280" w:type="dxa"/>
            <w:tcBorders>
              <w:right w:val="single" w:sz="8" w:space="0" w:color="C9D11D"/>
            </w:tcBorders>
            <w:vAlign w:val="bottom"/>
          </w:tcPr>
          <w:p w:rsidR="00AC12B4" w:rsidRPr="00C27636" w:rsidRDefault="00AC12B4">
            <w:pPr>
              <w:rPr>
                <w:sz w:val="18"/>
                <w:szCs w:val="18"/>
                <w:lang w:val="fr-BE"/>
              </w:rPr>
            </w:pPr>
          </w:p>
        </w:tc>
        <w:tc>
          <w:tcPr>
            <w:tcW w:w="1460" w:type="dxa"/>
            <w:vAlign w:val="bottom"/>
          </w:tcPr>
          <w:p w:rsidR="00AC12B4" w:rsidRPr="00C27636" w:rsidRDefault="00AC12B4">
            <w:pPr>
              <w:rPr>
                <w:sz w:val="18"/>
                <w:szCs w:val="18"/>
                <w:lang w:val="fr-BE"/>
              </w:rPr>
            </w:pPr>
          </w:p>
        </w:tc>
        <w:tc>
          <w:tcPr>
            <w:tcW w:w="340" w:type="dxa"/>
            <w:vAlign w:val="bottom"/>
          </w:tcPr>
          <w:p w:rsidR="00AC12B4" w:rsidRPr="00C27636" w:rsidRDefault="00AC12B4">
            <w:pPr>
              <w:rPr>
                <w:sz w:val="18"/>
                <w:szCs w:val="18"/>
                <w:lang w:val="fr-BE"/>
              </w:rPr>
            </w:pPr>
          </w:p>
        </w:tc>
        <w:tc>
          <w:tcPr>
            <w:tcW w:w="300" w:type="dxa"/>
            <w:vAlign w:val="bottom"/>
          </w:tcPr>
          <w:p w:rsidR="00AC12B4" w:rsidRPr="00C27636" w:rsidRDefault="00AC12B4">
            <w:pPr>
              <w:rPr>
                <w:sz w:val="18"/>
                <w:szCs w:val="18"/>
                <w:lang w:val="fr-BE"/>
              </w:rPr>
            </w:pPr>
          </w:p>
        </w:tc>
        <w:tc>
          <w:tcPr>
            <w:tcW w:w="440" w:type="dxa"/>
            <w:tcBorders>
              <w:right w:val="single" w:sz="8" w:space="0" w:color="C9D11D"/>
            </w:tcBorders>
            <w:vAlign w:val="bottom"/>
          </w:tcPr>
          <w:p w:rsidR="00AC12B4" w:rsidRPr="00C27636" w:rsidRDefault="00AC12B4">
            <w:pPr>
              <w:rPr>
                <w:sz w:val="18"/>
                <w:szCs w:val="18"/>
                <w:lang w:val="fr-BE"/>
              </w:rPr>
            </w:pPr>
          </w:p>
        </w:tc>
        <w:tc>
          <w:tcPr>
            <w:tcW w:w="420" w:type="dxa"/>
            <w:vMerge/>
            <w:vAlign w:val="bottom"/>
          </w:tcPr>
          <w:p w:rsidR="00AC12B4" w:rsidRPr="00C27636" w:rsidRDefault="00AC12B4">
            <w:pPr>
              <w:rPr>
                <w:sz w:val="18"/>
                <w:szCs w:val="18"/>
                <w:lang w:val="fr-BE"/>
              </w:rPr>
            </w:pPr>
          </w:p>
        </w:tc>
        <w:tc>
          <w:tcPr>
            <w:tcW w:w="1720" w:type="dxa"/>
            <w:gridSpan w:val="4"/>
            <w:vMerge/>
            <w:vAlign w:val="bottom"/>
          </w:tcPr>
          <w:p w:rsidR="00AC12B4" w:rsidRPr="00C27636" w:rsidRDefault="00AC12B4">
            <w:pPr>
              <w:rPr>
                <w:sz w:val="18"/>
                <w:szCs w:val="18"/>
                <w:lang w:val="fr-BE"/>
              </w:rPr>
            </w:pPr>
          </w:p>
        </w:tc>
        <w:tc>
          <w:tcPr>
            <w:tcW w:w="1000" w:type="dxa"/>
            <w:gridSpan w:val="2"/>
            <w:vMerge/>
            <w:vAlign w:val="bottom"/>
          </w:tcPr>
          <w:p w:rsidR="00AC12B4" w:rsidRPr="00C27636" w:rsidRDefault="00AC12B4">
            <w:pPr>
              <w:rPr>
                <w:sz w:val="18"/>
                <w:szCs w:val="18"/>
                <w:lang w:val="fr-BE"/>
              </w:rPr>
            </w:pPr>
          </w:p>
        </w:tc>
        <w:tc>
          <w:tcPr>
            <w:tcW w:w="0" w:type="dxa"/>
            <w:vAlign w:val="bottom"/>
          </w:tcPr>
          <w:p w:rsidR="00AC12B4" w:rsidRPr="00C27636" w:rsidRDefault="00AC12B4">
            <w:pPr>
              <w:rPr>
                <w:sz w:val="1"/>
                <w:szCs w:val="1"/>
                <w:lang w:val="fr-BE"/>
              </w:rPr>
            </w:pPr>
          </w:p>
        </w:tc>
      </w:tr>
      <w:tr w:rsidR="00AC12B4">
        <w:trPr>
          <w:trHeight w:val="60"/>
        </w:trPr>
        <w:tc>
          <w:tcPr>
            <w:tcW w:w="2520" w:type="dxa"/>
            <w:gridSpan w:val="6"/>
            <w:vMerge/>
            <w:vAlign w:val="bottom"/>
          </w:tcPr>
          <w:p w:rsidR="00AC12B4" w:rsidRPr="00C27636" w:rsidRDefault="00AC12B4">
            <w:pPr>
              <w:rPr>
                <w:sz w:val="5"/>
                <w:szCs w:val="5"/>
                <w:lang w:val="fr-BE"/>
              </w:rPr>
            </w:pPr>
          </w:p>
        </w:tc>
        <w:tc>
          <w:tcPr>
            <w:tcW w:w="280" w:type="dxa"/>
            <w:tcBorders>
              <w:right w:val="single" w:sz="8" w:space="0" w:color="C9D11D"/>
            </w:tcBorders>
            <w:vAlign w:val="bottom"/>
          </w:tcPr>
          <w:p w:rsidR="00AC12B4" w:rsidRPr="00C27636" w:rsidRDefault="00AC12B4">
            <w:pPr>
              <w:rPr>
                <w:sz w:val="5"/>
                <w:szCs w:val="5"/>
                <w:lang w:val="fr-BE"/>
              </w:rPr>
            </w:pPr>
          </w:p>
        </w:tc>
        <w:tc>
          <w:tcPr>
            <w:tcW w:w="1460" w:type="dxa"/>
            <w:vAlign w:val="bottom"/>
          </w:tcPr>
          <w:p w:rsidR="00AC12B4" w:rsidRPr="00C27636" w:rsidRDefault="00AC12B4">
            <w:pPr>
              <w:rPr>
                <w:sz w:val="5"/>
                <w:szCs w:val="5"/>
                <w:lang w:val="fr-BE"/>
              </w:rPr>
            </w:pPr>
          </w:p>
        </w:tc>
        <w:tc>
          <w:tcPr>
            <w:tcW w:w="340" w:type="dxa"/>
            <w:vAlign w:val="bottom"/>
          </w:tcPr>
          <w:p w:rsidR="00AC12B4" w:rsidRPr="00C27636" w:rsidRDefault="00AC12B4">
            <w:pPr>
              <w:rPr>
                <w:sz w:val="5"/>
                <w:szCs w:val="5"/>
                <w:lang w:val="fr-BE"/>
              </w:rPr>
            </w:pPr>
          </w:p>
        </w:tc>
        <w:tc>
          <w:tcPr>
            <w:tcW w:w="300" w:type="dxa"/>
            <w:vAlign w:val="bottom"/>
          </w:tcPr>
          <w:p w:rsidR="00AC12B4" w:rsidRPr="00C27636" w:rsidRDefault="00AC12B4">
            <w:pPr>
              <w:rPr>
                <w:sz w:val="5"/>
                <w:szCs w:val="5"/>
                <w:lang w:val="fr-BE"/>
              </w:rPr>
            </w:pPr>
          </w:p>
        </w:tc>
        <w:tc>
          <w:tcPr>
            <w:tcW w:w="440" w:type="dxa"/>
            <w:tcBorders>
              <w:right w:val="single" w:sz="8" w:space="0" w:color="C9D11D"/>
            </w:tcBorders>
            <w:vAlign w:val="bottom"/>
          </w:tcPr>
          <w:p w:rsidR="00AC12B4" w:rsidRPr="00C27636" w:rsidRDefault="00AC12B4">
            <w:pPr>
              <w:rPr>
                <w:sz w:val="5"/>
                <w:szCs w:val="5"/>
                <w:lang w:val="fr-BE"/>
              </w:rPr>
            </w:pPr>
          </w:p>
        </w:tc>
        <w:tc>
          <w:tcPr>
            <w:tcW w:w="1160" w:type="dxa"/>
            <w:gridSpan w:val="2"/>
            <w:vMerge w:val="restart"/>
            <w:vAlign w:val="bottom"/>
          </w:tcPr>
          <w:p w:rsidR="00AC12B4" w:rsidRDefault="00C27636">
            <w:pPr>
              <w:spacing w:line="205" w:lineRule="exact"/>
              <w:ind w:left="160"/>
              <w:rPr>
                <w:sz w:val="20"/>
                <w:szCs w:val="20"/>
              </w:rPr>
            </w:pPr>
            <w:r>
              <w:rPr>
                <w:rFonts w:ascii="Calibri" w:eastAsia="Calibri" w:hAnsi="Calibri" w:cs="Calibri"/>
              </w:rPr>
              <w:t>indicateur</w:t>
            </w:r>
          </w:p>
        </w:tc>
        <w:tc>
          <w:tcPr>
            <w:tcW w:w="560" w:type="dxa"/>
            <w:gridSpan w:val="2"/>
            <w:vMerge w:val="restart"/>
            <w:vAlign w:val="bottom"/>
          </w:tcPr>
          <w:p w:rsidR="00AC12B4" w:rsidRDefault="00C27636">
            <w:pPr>
              <w:spacing w:line="205" w:lineRule="exact"/>
              <w:jc w:val="right"/>
              <w:rPr>
                <w:sz w:val="20"/>
                <w:szCs w:val="20"/>
              </w:rPr>
            </w:pPr>
            <w:r>
              <w:rPr>
                <w:rFonts w:ascii="Calibri" w:eastAsia="Calibri" w:hAnsi="Calibri" w:cs="Calibri"/>
              </w:rPr>
              <w:t>est</w:t>
            </w:r>
          </w:p>
        </w:tc>
        <w:tc>
          <w:tcPr>
            <w:tcW w:w="920" w:type="dxa"/>
            <w:gridSpan w:val="2"/>
            <w:vMerge w:val="restart"/>
            <w:vAlign w:val="bottom"/>
          </w:tcPr>
          <w:p w:rsidR="00AC12B4" w:rsidRDefault="00C27636">
            <w:pPr>
              <w:spacing w:line="205" w:lineRule="exact"/>
              <w:jc w:val="right"/>
              <w:rPr>
                <w:sz w:val="20"/>
                <w:szCs w:val="20"/>
              </w:rPr>
            </w:pPr>
            <w:r>
              <w:rPr>
                <w:rFonts w:ascii="Calibri" w:eastAsia="Calibri" w:hAnsi="Calibri" w:cs="Calibri"/>
              </w:rPr>
              <w:t>posée</w:t>
            </w:r>
          </w:p>
        </w:tc>
        <w:tc>
          <w:tcPr>
            <w:tcW w:w="500" w:type="dxa"/>
            <w:vMerge w:val="restart"/>
            <w:vAlign w:val="bottom"/>
          </w:tcPr>
          <w:p w:rsidR="00AC12B4" w:rsidRDefault="00C27636">
            <w:pPr>
              <w:spacing w:line="205" w:lineRule="exact"/>
              <w:jc w:val="right"/>
              <w:rPr>
                <w:sz w:val="20"/>
                <w:szCs w:val="20"/>
              </w:rPr>
            </w:pPr>
            <w:r>
              <w:rPr>
                <w:rFonts w:ascii="Calibri" w:eastAsia="Calibri" w:hAnsi="Calibri" w:cs="Calibri"/>
              </w:rPr>
              <w:t>en</w:t>
            </w:r>
          </w:p>
        </w:tc>
        <w:tc>
          <w:tcPr>
            <w:tcW w:w="0" w:type="dxa"/>
            <w:vAlign w:val="bottom"/>
          </w:tcPr>
          <w:p w:rsidR="00AC12B4" w:rsidRDefault="00AC12B4">
            <w:pPr>
              <w:rPr>
                <w:sz w:val="1"/>
                <w:szCs w:val="1"/>
              </w:rPr>
            </w:pPr>
          </w:p>
        </w:tc>
      </w:tr>
      <w:tr w:rsidR="00AC12B4">
        <w:trPr>
          <w:trHeight w:val="145"/>
        </w:trPr>
        <w:tc>
          <w:tcPr>
            <w:tcW w:w="540" w:type="dxa"/>
            <w:vMerge w:val="restart"/>
            <w:vAlign w:val="bottom"/>
          </w:tcPr>
          <w:p w:rsidR="00AC12B4" w:rsidRDefault="00C27636">
            <w:pPr>
              <w:rPr>
                <w:sz w:val="20"/>
                <w:szCs w:val="20"/>
              </w:rPr>
            </w:pPr>
            <w:r>
              <w:rPr>
                <w:rFonts w:ascii="Calibri" w:eastAsia="Calibri" w:hAnsi="Calibri" w:cs="Calibri"/>
              </w:rPr>
              <w:t>façon</w:t>
            </w:r>
          </w:p>
        </w:tc>
        <w:tc>
          <w:tcPr>
            <w:tcW w:w="1220" w:type="dxa"/>
            <w:gridSpan w:val="4"/>
            <w:vMerge w:val="restart"/>
            <w:vAlign w:val="bottom"/>
          </w:tcPr>
          <w:p w:rsidR="00AC12B4" w:rsidRDefault="00C27636">
            <w:pPr>
              <w:jc w:val="right"/>
              <w:rPr>
                <w:sz w:val="20"/>
                <w:szCs w:val="20"/>
              </w:rPr>
            </w:pPr>
            <w:r>
              <w:rPr>
                <w:rFonts w:ascii="Calibri" w:eastAsia="Calibri" w:hAnsi="Calibri" w:cs="Calibri"/>
              </w:rPr>
              <w:t>récurrente</w:t>
            </w:r>
          </w:p>
        </w:tc>
        <w:tc>
          <w:tcPr>
            <w:tcW w:w="760" w:type="dxa"/>
            <w:vMerge w:val="restart"/>
            <w:vAlign w:val="bottom"/>
          </w:tcPr>
          <w:p w:rsidR="00AC12B4" w:rsidRDefault="00C27636">
            <w:pPr>
              <w:ind w:right="50"/>
              <w:jc w:val="right"/>
              <w:rPr>
                <w:sz w:val="20"/>
                <w:szCs w:val="20"/>
              </w:rPr>
            </w:pPr>
            <w:r>
              <w:rPr>
                <w:rFonts w:ascii="Calibri" w:eastAsia="Calibri" w:hAnsi="Calibri" w:cs="Calibri"/>
              </w:rPr>
              <w:t>(Cf.</w:t>
            </w:r>
          </w:p>
        </w:tc>
        <w:tc>
          <w:tcPr>
            <w:tcW w:w="280" w:type="dxa"/>
            <w:tcBorders>
              <w:right w:val="single" w:sz="8" w:space="0" w:color="C9D11D"/>
            </w:tcBorders>
            <w:vAlign w:val="bottom"/>
          </w:tcPr>
          <w:p w:rsidR="00AC12B4" w:rsidRDefault="00AC12B4">
            <w:pPr>
              <w:rPr>
                <w:sz w:val="12"/>
                <w:szCs w:val="12"/>
              </w:rPr>
            </w:pPr>
          </w:p>
        </w:tc>
        <w:tc>
          <w:tcPr>
            <w:tcW w:w="1460" w:type="dxa"/>
            <w:tcBorders>
              <w:bottom w:val="single" w:sz="8" w:space="0" w:color="C9D11D"/>
            </w:tcBorders>
            <w:vAlign w:val="bottom"/>
          </w:tcPr>
          <w:p w:rsidR="00AC12B4" w:rsidRDefault="00AC12B4">
            <w:pPr>
              <w:rPr>
                <w:sz w:val="12"/>
                <w:szCs w:val="12"/>
              </w:rPr>
            </w:pPr>
          </w:p>
        </w:tc>
        <w:tc>
          <w:tcPr>
            <w:tcW w:w="340" w:type="dxa"/>
            <w:tcBorders>
              <w:bottom w:val="single" w:sz="8" w:space="0" w:color="C9D11D"/>
            </w:tcBorders>
            <w:vAlign w:val="bottom"/>
          </w:tcPr>
          <w:p w:rsidR="00AC12B4" w:rsidRDefault="00AC12B4">
            <w:pPr>
              <w:rPr>
                <w:sz w:val="12"/>
                <w:szCs w:val="12"/>
              </w:rPr>
            </w:pPr>
          </w:p>
        </w:tc>
        <w:tc>
          <w:tcPr>
            <w:tcW w:w="300" w:type="dxa"/>
            <w:tcBorders>
              <w:bottom w:val="single" w:sz="8" w:space="0" w:color="C9D11D"/>
            </w:tcBorders>
            <w:vAlign w:val="bottom"/>
          </w:tcPr>
          <w:p w:rsidR="00AC12B4" w:rsidRDefault="00AC12B4">
            <w:pPr>
              <w:rPr>
                <w:sz w:val="12"/>
                <w:szCs w:val="12"/>
              </w:rPr>
            </w:pPr>
          </w:p>
        </w:tc>
        <w:tc>
          <w:tcPr>
            <w:tcW w:w="440" w:type="dxa"/>
            <w:tcBorders>
              <w:bottom w:val="single" w:sz="8" w:space="0" w:color="C9D11D"/>
              <w:right w:val="single" w:sz="8" w:space="0" w:color="C9D11D"/>
            </w:tcBorders>
            <w:vAlign w:val="bottom"/>
          </w:tcPr>
          <w:p w:rsidR="00AC12B4" w:rsidRDefault="00AC12B4">
            <w:pPr>
              <w:rPr>
                <w:sz w:val="12"/>
                <w:szCs w:val="12"/>
              </w:rPr>
            </w:pPr>
          </w:p>
        </w:tc>
        <w:tc>
          <w:tcPr>
            <w:tcW w:w="1160" w:type="dxa"/>
            <w:gridSpan w:val="2"/>
            <w:vMerge/>
            <w:vAlign w:val="bottom"/>
          </w:tcPr>
          <w:p w:rsidR="00AC12B4" w:rsidRDefault="00AC12B4">
            <w:pPr>
              <w:rPr>
                <w:sz w:val="12"/>
                <w:szCs w:val="12"/>
              </w:rPr>
            </w:pPr>
          </w:p>
        </w:tc>
        <w:tc>
          <w:tcPr>
            <w:tcW w:w="560" w:type="dxa"/>
            <w:gridSpan w:val="2"/>
            <w:vMerge/>
            <w:vAlign w:val="bottom"/>
          </w:tcPr>
          <w:p w:rsidR="00AC12B4" w:rsidRDefault="00AC12B4">
            <w:pPr>
              <w:rPr>
                <w:sz w:val="12"/>
                <w:szCs w:val="12"/>
              </w:rPr>
            </w:pPr>
          </w:p>
        </w:tc>
        <w:tc>
          <w:tcPr>
            <w:tcW w:w="920" w:type="dxa"/>
            <w:gridSpan w:val="2"/>
            <w:vMerge/>
            <w:vAlign w:val="bottom"/>
          </w:tcPr>
          <w:p w:rsidR="00AC12B4" w:rsidRDefault="00AC12B4">
            <w:pPr>
              <w:rPr>
                <w:sz w:val="12"/>
                <w:szCs w:val="12"/>
              </w:rPr>
            </w:pPr>
          </w:p>
        </w:tc>
        <w:tc>
          <w:tcPr>
            <w:tcW w:w="500" w:type="dxa"/>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rsidRPr="00C27636">
        <w:trPr>
          <w:trHeight w:val="104"/>
        </w:trPr>
        <w:tc>
          <w:tcPr>
            <w:tcW w:w="540" w:type="dxa"/>
            <w:vMerge/>
            <w:vAlign w:val="bottom"/>
          </w:tcPr>
          <w:p w:rsidR="00AC12B4" w:rsidRDefault="00AC12B4">
            <w:pPr>
              <w:rPr>
                <w:sz w:val="9"/>
                <w:szCs w:val="9"/>
              </w:rPr>
            </w:pPr>
          </w:p>
        </w:tc>
        <w:tc>
          <w:tcPr>
            <w:tcW w:w="1220" w:type="dxa"/>
            <w:gridSpan w:val="4"/>
            <w:vMerge/>
            <w:vAlign w:val="bottom"/>
          </w:tcPr>
          <w:p w:rsidR="00AC12B4" w:rsidRDefault="00AC12B4">
            <w:pPr>
              <w:rPr>
                <w:sz w:val="9"/>
                <w:szCs w:val="9"/>
              </w:rPr>
            </w:pPr>
          </w:p>
        </w:tc>
        <w:tc>
          <w:tcPr>
            <w:tcW w:w="760" w:type="dxa"/>
            <w:vMerge/>
            <w:vAlign w:val="bottom"/>
          </w:tcPr>
          <w:p w:rsidR="00AC12B4" w:rsidRDefault="00AC12B4">
            <w:pPr>
              <w:rPr>
                <w:sz w:val="9"/>
                <w:szCs w:val="9"/>
              </w:rPr>
            </w:pPr>
          </w:p>
        </w:tc>
        <w:tc>
          <w:tcPr>
            <w:tcW w:w="280" w:type="dxa"/>
            <w:vAlign w:val="bottom"/>
          </w:tcPr>
          <w:p w:rsidR="00AC12B4" w:rsidRDefault="00AC12B4">
            <w:pPr>
              <w:rPr>
                <w:sz w:val="9"/>
                <w:szCs w:val="9"/>
              </w:rPr>
            </w:pPr>
          </w:p>
        </w:tc>
        <w:tc>
          <w:tcPr>
            <w:tcW w:w="146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388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interview face à face. Comme il s’agit ici de</w:t>
            </w:r>
          </w:p>
        </w:tc>
        <w:tc>
          <w:tcPr>
            <w:tcW w:w="0" w:type="dxa"/>
            <w:vAlign w:val="bottom"/>
          </w:tcPr>
          <w:p w:rsidR="00AC12B4" w:rsidRPr="00C27636" w:rsidRDefault="00AC12B4">
            <w:pPr>
              <w:rPr>
                <w:sz w:val="1"/>
                <w:szCs w:val="1"/>
                <w:lang w:val="fr-BE"/>
              </w:rPr>
            </w:pPr>
          </w:p>
        </w:tc>
      </w:tr>
      <w:tr w:rsidR="00AC12B4" w:rsidRPr="00C27636">
        <w:trPr>
          <w:trHeight w:val="209"/>
        </w:trPr>
        <w:tc>
          <w:tcPr>
            <w:tcW w:w="426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 Pour aller plus loin… » pour des études</w:t>
            </w:r>
          </w:p>
        </w:tc>
        <w:tc>
          <w:tcPr>
            <w:tcW w:w="340" w:type="dxa"/>
            <w:vAlign w:val="bottom"/>
          </w:tcPr>
          <w:p w:rsidR="00AC12B4" w:rsidRPr="00C27636" w:rsidRDefault="00AC12B4">
            <w:pPr>
              <w:rPr>
                <w:sz w:val="18"/>
                <w:szCs w:val="18"/>
                <w:lang w:val="fr-BE"/>
              </w:rPr>
            </w:pPr>
          </w:p>
        </w:tc>
        <w:tc>
          <w:tcPr>
            <w:tcW w:w="3880" w:type="dxa"/>
            <w:gridSpan w:val="9"/>
            <w:vMerge/>
            <w:vAlign w:val="bottom"/>
          </w:tcPr>
          <w:p w:rsidR="00AC12B4" w:rsidRPr="00C27636" w:rsidRDefault="00AC12B4">
            <w:pPr>
              <w:rPr>
                <w:sz w:val="18"/>
                <w:szCs w:val="18"/>
                <w:lang w:val="fr-BE"/>
              </w:rPr>
            </w:pPr>
          </w:p>
        </w:tc>
        <w:tc>
          <w:tcPr>
            <w:tcW w:w="0" w:type="dxa"/>
            <w:vAlign w:val="bottom"/>
          </w:tcPr>
          <w:p w:rsidR="00AC12B4" w:rsidRPr="00C27636" w:rsidRDefault="00AC12B4">
            <w:pPr>
              <w:rPr>
                <w:sz w:val="1"/>
                <w:szCs w:val="1"/>
                <w:lang w:val="fr-BE"/>
              </w:rPr>
            </w:pPr>
          </w:p>
        </w:tc>
      </w:tr>
      <w:tr w:rsidR="00AC12B4" w:rsidRPr="00C27636">
        <w:trPr>
          <w:trHeight w:val="60"/>
        </w:trPr>
        <w:tc>
          <w:tcPr>
            <w:tcW w:w="4260" w:type="dxa"/>
            <w:gridSpan w:val="8"/>
            <w:vMerge/>
            <w:vAlign w:val="bottom"/>
          </w:tcPr>
          <w:p w:rsidR="00AC12B4" w:rsidRPr="00C27636" w:rsidRDefault="00AC12B4">
            <w:pPr>
              <w:rPr>
                <w:sz w:val="5"/>
                <w:szCs w:val="5"/>
                <w:lang w:val="fr-BE"/>
              </w:rPr>
            </w:pPr>
          </w:p>
        </w:tc>
        <w:tc>
          <w:tcPr>
            <w:tcW w:w="340" w:type="dxa"/>
            <w:vAlign w:val="bottom"/>
          </w:tcPr>
          <w:p w:rsidR="00AC12B4" w:rsidRPr="00C27636" w:rsidRDefault="00AC12B4">
            <w:pPr>
              <w:rPr>
                <w:sz w:val="5"/>
                <w:szCs w:val="5"/>
                <w:lang w:val="fr-BE"/>
              </w:rPr>
            </w:pPr>
          </w:p>
        </w:tc>
        <w:tc>
          <w:tcPr>
            <w:tcW w:w="1160" w:type="dxa"/>
            <w:gridSpan w:val="3"/>
            <w:vMerge w:val="restart"/>
            <w:vAlign w:val="bottom"/>
          </w:tcPr>
          <w:p w:rsidR="00AC12B4" w:rsidRDefault="00C27636">
            <w:pPr>
              <w:rPr>
                <w:sz w:val="20"/>
                <w:szCs w:val="20"/>
              </w:rPr>
            </w:pPr>
            <w:r>
              <w:rPr>
                <w:rFonts w:ascii="Calibri" w:eastAsia="Calibri" w:hAnsi="Calibri" w:cs="Calibri"/>
              </w:rPr>
              <w:t>perception,</w:t>
            </w:r>
          </w:p>
        </w:tc>
        <w:tc>
          <w:tcPr>
            <w:tcW w:w="2720" w:type="dxa"/>
            <w:gridSpan w:val="6"/>
            <w:vMerge w:val="restart"/>
            <w:vAlign w:val="bottom"/>
          </w:tcPr>
          <w:p w:rsidR="00AC12B4" w:rsidRPr="00C27636" w:rsidRDefault="00C27636">
            <w:pPr>
              <w:jc w:val="right"/>
              <w:rPr>
                <w:sz w:val="20"/>
                <w:szCs w:val="20"/>
                <w:lang w:val="fr-BE"/>
              </w:rPr>
            </w:pPr>
            <w:r w:rsidRPr="00C27636">
              <w:rPr>
                <w:rFonts w:ascii="Calibri" w:eastAsia="Calibri" w:hAnsi="Calibri" w:cs="Calibri"/>
                <w:lang w:val="fr-BE"/>
              </w:rPr>
              <w:t>la question n’est pas posée</w:t>
            </w:r>
          </w:p>
        </w:tc>
        <w:tc>
          <w:tcPr>
            <w:tcW w:w="0" w:type="dxa"/>
            <w:vAlign w:val="bottom"/>
          </w:tcPr>
          <w:p w:rsidR="00AC12B4" w:rsidRPr="00C27636" w:rsidRDefault="00AC12B4">
            <w:pPr>
              <w:rPr>
                <w:sz w:val="1"/>
                <w:szCs w:val="1"/>
                <w:lang w:val="fr-BE"/>
              </w:rPr>
            </w:pPr>
          </w:p>
        </w:tc>
      </w:tr>
      <w:tr w:rsidR="00AC12B4">
        <w:trPr>
          <w:trHeight w:val="209"/>
        </w:trPr>
        <w:tc>
          <w:tcPr>
            <w:tcW w:w="1040" w:type="dxa"/>
            <w:gridSpan w:val="2"/>
            <w:vMerge w:val="restart"/>
            <w:vAlign w:val="bottom"/>
          </w:tcPr>
          <w:p w:rsidR="00AC12B4" w:rsidRDefault="00C27636">
            <w:pPr>
              <w:rPr>
                <w:sz w:val="20"/>
                <w:szCs w:val="20"/>
              </w:rPr>
            </w:pPr>
            <w:r>
              <w:rPr>
                <w:rFonts w:ascii="Calibri" w:eastAsia="Calibri" w:hAnsi="Calibri" w:cs="Calibri"/>
              </w:rPr>
              <w:t>partielles).</w:t>
            </w:r>
          </w:p>
        </w:tc>
        <w:tc>
          <w:tcPr>
            <w:tcW w:w="3220" w:type="dxa"/>
            <w:gridSpan w:val="6"/>
            <w:vMerge w:val="restart"/>
            <w:vAlign w:val="bottom"/>
          </w:tcPr>
          <w:p w:rsidR="00AC12B4" w:rsidRDefault="00C27636">
            <w:pPr>
              <w:ind w:right="215"/>
              <w:jc w:val="right"/>
              <w:rPr>
                <w:sz w:val="20"/>
                <w:szCs w:val="20"/>
              </w:rPr>
            </w:pPr>
            <w:r>
              <w:rPr>
                <w:rFonts w:ascii="Calibri" w:eastAsia="Calibri" w:hAnsi="Calibri" w:cs="Calibri"/>
              </w:rPr>
              <w:t>Cependant, cet indicateur de</w:t>
            </w:r>
          </w:p>
        </w:tc>
        <w:tc>
          <w:tcPr>
            <w:tcW w:w="340" w:type="dxa"/>
            <w:vAlign w:val="bottom"/>
          </w:tcPr>
          <w:p w:rsidR="00AC12B4" w:rsidRDefault="00AC12B4">
            <w:pPr>
              <w:rPr>
                <w:sz w:val="18"/>
                <w:szCs w:val="18"/>
              </w:rPr>
            </w:pPr>
          </w:p>
        </w:tc>
        <w:tc>
          <w:tcPr>
            <w:tcW w:w="1160" w:type="dxa"/>
            <w:gridSpan w:val="3"/>
            <w:vMerge/>
            <w:vAlign w:val="bottom"/>
          </w:tcPr>
          <w:p w:rsidR="00AC12B4" w:rsidRDefault="00AC12B4">
            <w:pPr>
              <w:rPr>
                <w:sz w:val="18"/>
                <w:szCs w:val="18"/>
              </w:rPr>
            </w:pPr>
          </w:p>
        </w:tc>
        <w:tc>
          <w:tcPr>
            <w:tcW w:w="2720" w:type="dxa"/>
            <w:gridSpan w:val="6"/>
            <w:vMerge/>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60"/>
        </w:trPr>
        <w:tc>
          <w:tcPr>
            <w:tcW w:w="1040" w:type="dxa"/>
            <w:gridSpan w:val="2"/>
            <w:vMerge/>
            <w:vAlign w:val="bottom"/>
          </w:tcPr>
          <w:p w:rsidR="00AC12B4" w:rsidRDefault="00AC12B4">
            <w:pPr>
              <w:rPr>
                <w:sz w:val="5"/>
                <w:szCs w:val="5"/>
              </w:rPr>
            </w:pPr>
          </w:p>
        </w:tc>
        <w:tc>
          <w:tcPr>
            <w:tcW w:w="3220" w:type="dxa"/>
            <w:gridSpan w:val="6"/>
            <w:vMerge/>
            <w:vAlign w:val="bottom"/>
          </w:tcPr>
          <w:p w:rsidR="00AC12B4" w:rsidRDefault="00AC12B4">
            <w:pPr>
              <w:rPr>
                <w:sz w:val="5"/>
                <w:szCs w:val="5"/>
              </w:rPr>
            </w:pPr>
          </w:p>
        </w:tc>
        <w:tc>
          <w:tcPr>
            <w:tcW w:w="340" w:type="dxa"/>
            <w:vAlign w:val="bottom"/>
          </w:tcPr>
          <w:p w:rsidR="00AC12B4" w:rsidRDefault="00AC12B4">
            <w:pPr>
              <w:rPr>
                <w:sz w:val="5"/>
                <w:szCs w:val="5"/>
              </w:rPr>
            </w:pPr>
          </w:p>
        </w:tc>
        <w:tc>
          <w:tcPr>
            <w:tcW w:w="300" w:type="dxa"/>
            <w:vMerge w:val="restart"/>
            <w:vAlign w:val="bottom"/>
          </w:tcPr>
          <w:p w:rsidR="00AC12B4" w:rsidRDefault="00C27636">
            <w:pPr>
              <w:rPr>
                <w:sz w:val="20"/>
                <w:szCs w:val="20"/>
              </w:rPr>
            </w:pPr>
            <w:r>
              <w:rPr>
                <w:rFonts w:ascii="Calibri" w:eastAsia="Calibri" w:hAnsi="Calibri" w:cs="Calibri"/>
                <w:w w:val="93"/>
              </w:rPr>
              <w:t>par</w:t>
            </w:r>
          </w:p>
        </w:tc>
        <w:tc>
          <w:tcPr>
            <w:tcW w:w="860" w:type="dxa"/>
            <w:gridSpan w:val="2"/>
            <w:vMerge w:val="restart"/>
            <w:vAlign w:val="bottom"/>
          </w:tcPr>
          <w:p w:rsidR="00AC12B4" w:rsidRDefault="00C27636">
            <w:pPr>
              <w:ind w:left="260"/>
              <w:rPr>
                <w:sz w:val="20"/>
                <w:szCs w:val="20"/>
              </w:rPr>
            </w:pPr>
            <w:r>
              <w:rPr>
                <w:rFonts w:ascii="Calibri" w:eastAsia="Calibri" w:hAnsi="Calibri" w:cs="Calibri"/>
              </w:rPr>
              <w:t>proxy</w:t>
            </w:r>
          </w:p>
        </w:tc>
        <w:tc>
          <w:tcPr>
            <w:tcW w:w="1160" w:type="dxa"/>
            <w:gridSpan w:val="2"/>
            <w:vMerge w:val="restart"/>
            <w:vAlign w:val="bottom"/>
          </w:tcPr>
          <w:p w:rsidR="00AC12B4" w:rsidRDefault="00C27636">
            <w:pPr>
              <w:ind w:left="180"/>
              <w:rPr>
                <w:sz w:val="20"/>
                <w:szCs w:val="20"/>
              </w:rPr>
            </w:pPr>
            <w:r>
              <w:rPr>
                <w:rFonts w:ascii="Calibri" w:eastAsia="Calibri" w:hAnsi="Calibri" w:cs="Calibri"/>
              </w:rPr>
              <w:t>(personne</w:t>
            </w:r>
          </w:p>
        </w:tc>
        <w:tc>
          <w:tcPr>
            <w:tcW w:w="140" w:type="dxa"/>
            <w:vAlign w:val="bottom"/>
          </w:tcPr>
          <w:p w:rsidR="00AC12B4" w:rsidRDefault="00AC12B4">
            <w:pPr>
              <w:rPr>
                <w:sz w:val="5"/>
                <w:szCs w:val="5"/>
              </w:rPr>
            </w:pPr>
          </w:p>
        </w:tc>
        <w:tc>
          <w:tcPr>
            <w:tcW w:w="420" w:type="dxa"/>
            <w:vMerge w:val="restart"/>
            <w:vAlign w:val="bottom"/>
          </w:tcPr>
          <w:p w:rsidR="00AC12B4" w:rsidRDefault="00C27636">
            <w:pPr>
              <w:jc w:val="center"/>
              <w:rPr>
                <w:sz w:val="20"/>
                <w:szCs w:val="20"/>
              </w:rPr>
            </w:pPr>
            <w:r>
              <w:rPr>
                <w:rFonts w:ascii="Calibri" w:eastAsia="Calibri" w:hAnsi="Calibri" w:cs="Calibri"/>
              </w:rPr>
              <w:t>de</w:t>
            </w:r>
          </w:p>
        </w:tc>
        <w:tc>
          <w:tcPr>
            <w:tcW w:w="1000" w:type="dxa"/>
            <w:gridSpan w:val="2"/>
            <w:vMerge w:val="restart"/>
            <w:vAlign w:val="bottom"/>
          </w:tcPr>
          <w:p w:rsidR="00AC12B4" w:rsidRDefault="00C27636">
            <w:pPr>
              <w:jc w:val="right"/>
              <w:rPr>
                <w:sz w:val="20"/>
                <w:szCs w:val="20"/>
              </w:rPr>
            </w:pPr>
            <w:r>
              <w:rPr>
                <w:rFonts w:ascii="Calibri" w:eastAsia="Calibri" w:hAnsi="Calibri" w:cs="Calibri"/>
              </w:rPr>
              <w:t>référence</w:t>
            </w:r>
          </w:p>
        </w:tc>
        <w:tc>
          <w:tcPr>
            <w:tcW w:w="0" w:type="dxa"/>
            <w:vAlign w:val="bottom"/>
          </w:tcPr>
          <w:p w:rsidR="00AC12B4" w:rsidRDefault="00AC12B4">
            <w:pPr>
              <w:rPr>
                <w:sz w:val="1"/>
                <w:szCs w:val="1"/>
              </w:rPr>
            </w:pPr>
          </w:p>
        </w:tc>
      </w:tr>
      <w:tr w:rsidR="00AC12B4">
        <w:trPr>
          <w:trHeight w:val="209"/>
        </w:trPr>
        <w:tc>
          <w:tcPr>
            <w:tcW w:w="1040" w:type="dxa"/>
            <w:gridSpan w:val="2"/>
            <w:vMerge w:val="restart"/>
            <w:vAlign w:val="bottom"/>
          </w:tcPr>
          <w:p w:rsidR="00AC12B4" w:rsidRDefault="00C27636">
            <w:pPr>
              <w:rPr>
                <w:sz w:val="20"/>
                <w:szCs w:val="20"/>
              </w:rPr>
            </w:pPr>
            <w:r>
              <w:rPr>
                <w:rFonts w:ascii="Calibri" w:eastAsia="Calibri" w:hAnsi="Calibri" w:cs="Calibri"/>
              </w:rPr>
              <w:t>perception</w:t>
            </w:r>
          </w:p>
        </w:tc>
        <w:tc>
          <w:tcPr>
            <w:tcW w:w="200" w:type="dxa"/>
            <w:vAlign w:val="bottom"/>
          </w:tcPr>
          <w:p w:rsidR="00AC12B4" w:rsidRDefault="00AC12B4">
            <w:pPr>
              <w:rPr>
                <w:sz w:val="18"/>
                <w:szCs w:val="18"/>
              </w:rPr>
            </w:pPr>
          </w:p>
        </w:tc>
        <w:tc>
          <w:tcPr>
            <w:tcW w:w="1280" w:type="dxa"/>
            <w:gridSpan w:val="3"/>
            <w:vMerge w:val="restart"/>
            <w:vAlign w:val="bottom"/>
          </w:tcPr>
          <w:p w:rsidR="00AC12B4" w:rsidRDefault="00C27636">
            <w:pPr>
              <w:ind w:right="170"/>
              <w:jc w:val="right"/>
              <w:rPr>
                <w:sz w:val="20"/>
                <w:szCs w:val="20"/>
              </w:rPr>
            </w:pPr>
            <w:r>
              <w:rPr>
                <w:rFonts w:ascii="Calibri" w:eastAsia="Calibri" w:hAnsi="Calibri" w:cs="Calibri"/>
              </w:rPr>
              <w:t>peut-être</w:t>
            </w:r>
          </w:p>
        </w:tc>
        <w:tc>
          <w:tcPr>
            <w:tcW w:w="1740" w:type="dxa"/>
            <w:gridSpan w:val="2"/>
            <w:vMerge w:val="restart"/>
            <w:vAlign w:val="bottom"/>
          </w:tcPr>
          <w:p w:rsidR="00AC12B4" w:rsidRDefault="00C27636">
            <w:pPr>
              <w:ind w:right="215"/>
              <w:jc w:val="right"/>
              <w:rPr>
                <w:sz w:val="20"/>
                <w:szCs w:val="20"/>
              </w:rPr>
            </w:pPr>
            <w:r>
              <w:rPr>
                <w:rFonts w:ascii="Calibri" w:eastAsia="Calibri" w:hAnsi="Calibri" w:cs="Calibri"/>
              </w:rPr>
              <w:t>extrêmement</w:t>
            </w:r>
          </w:p>
        </w:tc>
        <w:tc>
          <w:tcPr>
            <w:tcW w:w="340" w:type="dxa"/>
            <w:vAlign w:val="bottom"/>
          </w:tcPr>
          <w:p w:rsidR="00AC12B4" w:rsidRDefault="00AC12B4">
            <w:pPr>
              <w:rPr>
                <w:sz w:val="18"/>
                <w:szCs w:val="18"/>
              </w:rPr>
            </w:pPr>
          </w:p>
        </w:tc>
        <w:tc>
          <w:tcPr>
            <w:tcW w:w="300" w:type="dxa"/>
            <w:vMerge/>
            <w:vAlign w:val="bottom"/>
          </w:tcPr>
          <w:p w:rsidR="00AC12B4" w:rsidRDefault="00AC12B4">
            <w:pPr>
              <w:rPr>
                <w:sz w:val="18"/>
                <w:szCs w:val="18"/>
              </w:rPr>
            </w:pPr>
          </w:p>
        </w:tc>
        <w:tc>
          <w:tcPr>
            <w:tcW w:w="860" w:type="dxa"/>
            <w:gridSpan w:val="2"/>
            <w:vMerge/>
            <w:vAlign w:val="bottom"/>
          </w:tcPr>
          <w:p w:rsidR="00AC12B4" w:rsidRDefault="00AC12B4">
            <w:pPr>
              <w:rPr>
                <w:sz w:val="18"/>
                <w:szCs w:val="18"/>
              </w:rPr>
            </w:pPr>
          </w:p>
        </w:tc>
        <w:tc>
          <w:tcPr>
            <w:tcW w:w="1160" w:type="dxa"/>
            <w:gridSpan w:val="2"/>
            <w:vMerge/>
            <w:vAlign w:val="bottom"/>
          </w:tcPr>
          <w:p w:rsidR="00AC12B4" w:rsidRDefault="00AC12B4">
            <w:pPr>
              <w:rPr>
                <w:sz w:val="18"/>
                <w:szCs w:val="18"/>
              </w:rPr>
            </w:pPr>
          </w:p>
        </w:tc>
        <w:tc>
          <w:tcPr>
            <w:tcW w:w="140" w:type="dxa"/>
            <w:vAlign w:val="bottom"/>
          </w:tcPr>
          <w:p w:rsidR="00AC12B4" w:rsidRDefault="00AC12B4">
            <w:pPr>
              <w:rPr>
                <w:sz w:val="18"/>
                <w:szCs w:val="18"/>
              </w:rPr>
            </w:pPr>
          </w:p>
        </w:tc>
        <w:tc>
          <w:tcPr>
            <w:tcW w:w="420" w:type="dxa"/>
            <w:vMerge/>
            <w:vAlign w:val="bottom"/>
          </w:tcPr>
          <w:p w:rsidR="00AC12B4" w:rsidRDefault="00AC12B4">
            <w:pPr>
              <w:rPr>
                <w:sz w:val="18"/>
                <w:szCs w:val="18"/>
              </w:rPr>
            </w:pPr>
          </w:p>
        </w:tc>
        <w:tc>
          <w:tcPr>
            <w:tcW w:w="1000" w:type="dxa"/>
            <w:gridSpan w:val="2"/>
            <w:vMerge/>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rsidRPr="00C27636">
        <w:trPr>
          <w:trHeight w:val="60"/>
        </w:trPr>
        <w:tc>
          <w:tcPr>
            <w:tcW w:w="1040" w:type="dxa"/>
            <w:gridSpan w:val="2"/>
            <w:vMerge/>
            <w:vAlign w:val="bottom"/>
          </w:tcPr>
          <w:p w:rsidR="00AC12B4" w:rsidRDefault="00AC12B4">
            <w:pPr>
              <w:rPr>
                <w:sz w:val="5"/>
                <w:szCs w:val="5"/>
              </w:rPr>
            </w:pPr>
          </w:p>
        </w:tc>
        <w:tc>
          <w:tcPr>
            <w:tcW w:w="200" w:type="dxa"/>
            <w:vAlign w:val="bottom"/>
          </w:tcPr>
          <w:p w:rsidR="00AC12B4" w:rsidRDefault="00AC12B4">
            <w:pPr>
              <w:rPr>
                <w:sz w:val="5"/>
                <w:szCs w:val="5"/>
              </w:rPr>
            </w:pPr>
          </w:p>
        </w:tc>
        <w:tc>
          <w:tcPr>
            <w:tcW w:w="1280" w:type="dxa"/>
            <w:gridSpan w:val="3"/>
            <w:vMerge/>
            <w:vAlign w:val="bottom"/>
          </w:tcPr>
          <w:p w:rsidR="00AC12B4" w:rsidRDefault="00AC12B4">
            <w:pPr>
              <w:rPr>
                <w:sz w:val="5"/>
                <w:szCs w:val="5"/>
              </w:rPr>
            </w:pPr>
          </w:p>
        </w:tc>
        <w:tc>
          <w:tcPr>
            <w:tcW w:w="1740" w:type="dxa"/>
            <w:gridSpan w:val="2"/>
            <w:vMerge/>
            <w:vAlign w:val="bottom"/>
          </w:tcPr>
          <w:p w:rsidR="00AC12B4" w:rsidRDefault="00AC12B4">
            <w:pPr>
              <w:rPr>
                <w:sz w:val="5"/>
                <w:szCs w:val="5"/>
              </w:rPr>
            </w:pPr>
          </w:p>
        </w:tc>
        <w:tc>
          <w:tcPr>
            <w:tcW w:w="340" w:type="dxa"/>
            <w:vAlign w:val="bottom"/>
          </w:tcPr>
          <w:p w:rsidR="00AC12B4" w:rsidRDefault="00AC12B4">
            <w:pPr>
              <w:rPr>
                <w:sz w:val="5"/>
                <w:szCs w:val="5"/>
              </w:rPr>
            </w:pPr>
          </w:p>
        </w:tc>
        <w:tc>
          <w:tcPr>
            <w:tcW w:w="3880" w:type="dxa"/>
            <w:gridSpan w:val="9"/>
            <w:vMerge w:val="restart"/>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répondant pour les moins de quinze ans)</w:t>
            </w:r>
          </w:p>
        </w:tc>
        <w:tc>
          <w:tcPr>
            <w:tcW w:w="0" w:type="dxa"/>
            <w:vAlign w:val="bottom"/>
          </w:tcPr>
          <w:p w:rsidR="00AC12B4" w:rsidRPr="00C27636" w:rsidRDefault="00AC12B4">
            <w:pPr>
              <w:rPr>
                <w:sz w:val="1"/>
                <w:szCs w:val="1"/>
                <w:lang w:val="fr-BE"/>
              </w:rPr>
            </w:pPr>
          </w:p>
        </w:tc>
      </w:tr>
      <w:tr w:rsidR="00AC12B4">
        <w:trPr>
          <w:trHeight w:val="206"/>
        </w:trPr>
        <w:tc>
          <w:tcPr>
            <w:tcW w:w="1040" w:type="dxa"/>
            <w:gridSpan w:val="2"/>
            <w:vMerge w:val="restart"/>
            <w:vAlign w:val="bottom"/>
          </w:tcPr>
          <w:p w:rsidR="00AC12B4" w:rsidRDefault="00C27636">
            <w:pPr>
              <w:rPr>
                <w:sz w:val="20"/>
                <w:szCs w:val="20"/>
              </w:rPr>
            </w:pPr>
            <w:r>
              <w:rPr>
                <w:rFonts w:ascii="Calibri" w:eastAsia="Calibri" w:hAnsi="Calibri" w:cs="Calibri"/>
              </w:rPr>
              <w:t>révélateur.</w:t>
            </w:r>
          </w:p>
        </w:tc>
        <w:tc>
          <w:tcPr>
            <w:tcW w:w="200" w:type="dxa"/>
            <w:vAlign w:val="bottom"/>
          </w:tcPr>
          <w:p w:rsidR="00AC12B4" w:rsidRDefault="00AC12B4">
            <w:pPr>
              <w:rPr>
                <w:sz w:val="17"/>
                <w:szCs w:val="17"/>
              </w:rPr>
            </w:pPr>
          </w:p>
        </w:tc>
        <w:tc>
          <w:tcPr>
            <w:tcW w:w="380" w:type="dxa"/>
            <w:vAlign w:val="bottom"/>
          </w:tcPr>
          <w:p w:rsidR="00AC12B4" w:rsidRDefault="00AC12B4">
            <w:pPr>
              <w:rPr>
                <w:sz w:val="17"/>
                <w:szCs w:val="17"/>
              </w:rPr>
            </w:pPr>
          </w:p>
        </w:tc>
        <w:tc>
          <w:tcPr>
            <w:tcW w:w="140" w:type="dxa"/>
            <w:vAlign w:val="bottom"/>
          </w:tcPr>
          <w:p w:rsidR="00AC12B4" w:rsidRDefault="00AC12B4">
            <w:pPr>
              <w:rPr>
                <w:sz w:val="17"/>
                <w:szCs w:val="17"/>
              </w:rPr>
            </w:pPr>
          </w:p>
        </w:tc>
        <w:tc>
          <w:tcPr>
            <w:tcW w:w="760" w:type="dxa"/>
            <w:vAlign w:val="bottom"/>
          </w:tcPr>
          <w:p w:rsidR="00AC12B4" w:rsidRDefault="00AC12B4">
            <w:pPr>
              <w:rPr>
                <w:sz w:val="17"/>
                <w:szCs w:val="17"/>
              </w:rPr>
            </w:pPr>
          </w:p>
        </w:tc>
        <w:tc>
          <w:tcPr>
            <w:tcW w:w="280" w:type="dxa"/>
            <w:vAlign w:val="bottom"/>
          </w:tcPr>
          <w:p w:rsidR="00AC12B4" w:rsidRDefault="00AC12B4">
            <w:pPr>
              <w:rPr>
                <w:sz w:val="17"/>
                <w:szCs w:val="17"/>
              </w:rPr>
            </w:pPr>
          </w:p>
        </w:tc>
        <w:tc>
          <w:tcPr>
            <w:tcW w:w="1460" w:type="dxa"/>
            <w:vAlign w:val="bottom"/>
          </w:tcPr>
          <w:p w:rsidR="00AC12B4" w:rsidRDefault="00AC12B4">
            <w:pPr>
              <w:rPr>
                <w:sz w:val="17"/>
                <w:szCs w:val="17"/>
              </w:rPr>
            </w:pPr>
          </w:p>
        </w:tc>
        <w:tc>
          <w:tcPr>
            <w:tcW w:w="340" w:type="dxa"/>
            <w:vAlign w:val="bottom"/>
          </w:tcPr>
          <w:p w:rsidR="00AC12B4" w:rsidRDefault="00AC12B4">
            <w:pPr>
              <w:rPr>
                <w:sz w:val="17"/>
                <w:szCs w:val="17"/>
              </w:rPr>
            </w:pPr>
          </w:p>
        </w:tc>
        <w:tc>
          <w:tcPr>
            <w:tcW w:w="3880" w:type="dxa"/>
            <w:gridSpan w:val="9"/>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62"/>
        </w:trPr>
        <w:tc>
          <w:tcPr>
            <w:tcW w:w="1040" w:type="dxa"/>
            <w:gridSpan w:val="2"/>
            <w:vMerge/>
            <w:vAlign w:val="bottom"/>
          </w:tcPr>
          <w:p w:rsidR="00AC12B4" w:rsidRDefault="00AC12B4">
            <w:pPr>
              <w:rPr>
                <w:sz w:val="5"/>
                <w:szCs w:val="5"/>
              </w:rPr>
            </w:pPr>
          </w:p>
        </w:tc>
        <w:tc>
          <w:tcPr>
            <w:tcW w:w="20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760" w:type="dxa"/>
            <w:vAlign w:val="bottom"/>
          </w:tcPr>
          <w:p w:rsidR="00AC12B4" w:rsidRDefault="00AC12B4">
            <w:pPr>
              <w:rPr>
                <w:sz w:val="5"/>
                <w:szCs w:val="5"/>
              </w:rPr>
            </w:pPr>
          </w:p>
        </w:tc>
        <w:tc>
          <w:tcPr>
            <w:tcW w:w="280" w:type="dxa"/>
            <w:vAlign w:val="bottom"/>
          </w:tcPr>
          <w:p w:rsidR="00AC12B4" w:rsidRDefault="00AC12B4">
            <w:pPr>
              <w:rPr>
                <w:sz w:val="5"/>
                <w:szCs w:val="5"/>
              </w:rPr>
            </w:pPr>
          </w:p>
        </w:tc>
        <w:tc>
          <w:tcPr>
            <w:tcW w:w="146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388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et n’est donc pas directement centrée sur</w:t>
            </w:r>
          </w:p>
        </w:tc>
        <w:tc>
          <w:tcPr>
            <w:tcW w:w="0" w:type="dxa"/>
            <w:vAlign w:val="bottom"/>
          </w:tcPr>
          <w:p w:rsidR="00AC12B4" w:rsidRPr="00C27636" w:rsidRDefault="00AC12B4">
            <w:pPr>
              <w:rPr>
                <w:sz w:val="1"/>
                <w:szCs w:val="1"/>
                <w:lang w:val="fr-BE"/>
              </w:rPr>
            </w:pPr>
          </w:p>
        </w:tc>
      </w:tr>
      <w:tr w:rsidR="00AC12B4">
        <w:trPr>
          <w:trHeight w:val="206"/>
        </w:trPr>
        <w:tc>
          <w:tcPr>
            <w:tcW w:w="540" w:type="dxa"/>
            <w:vMerge w:val="restart"/>
            <w:vAlign w:val="bottom"/>
          </w:tcPr>
          <w:p w:rsidR="00AC12B4" w:rsidRDefault="00C27636">
            <w:pPr>
              <w:rPr>
                <w:sz w:val="20"/>
                <w:szCs w:val="20"/>
              </w:rPr>
            </w:pPr>
            <w:r>
              <w:rPr>
                <w:rFonts w:ascii="Calibri" w:eastAsia="Calibri" w:hAnsi="Calibri" w:cs="Calibri"/>
              </w:rPr>
              <w:t>Sauf</w:t>
            </w:r>
          </w:p>
        </w:tc>
        <w:tc>
          <w:tcPr>
            <w:tcW w:w="1080" w:type="dxa"/>
            <w:gridSpan w:val="3"/>
            <w:vMerge w:val="restart"/>
            <w:vAlign w:val="bottom"/>
          </w:tcPr>
          <w:p w:rsidR="00AC12B4" w:rsidRDefault="00C27636">
            <w:pPr>
              <w:ind w:left="20"/>
              <w:rPr>
                <w:sz w:val="20"/>
                <w:szCs w:val="20"/>
              </w:rPr>
            </w:pPr>
            <w:r>
              <w:rPr>
                <w:rFonts w:ascii="Calibri" w:eastAsia="Calibri" w:hAnsi="Calibri" w:cs="Calibri"/>
                <w:w w:val="97"/>
              </w:rPr>
              <w:t>information</w:t>
            </w:r>
          </w:p>
        </w:tc>
        <w:tc>
          <w:tcPr>
            <w:tcW w:w="140" w:type="dxa"/>
            <w:vAlign w:val="bottom"/>
          </w:tcPr>
          <w:p w:rsidR="00AC12B4" w:rsidRDefault="00AC12B4">
            <w:pPr>
              <w:rPr>
                <w:sz w:val="17"/>
                <w:szCs w:val="17"/>
              </w:rPr>
            </w:pPr>
          </w:p>
        </w:tc>
        <w:tc>
          <w:tcPr>
            <w:tcW w:w="2500" w:type="dxa"/>
            <w:gridSpan w:val="3"/>
            <w:vMerge w:val="restart"/>
            <w:vAlign w:val="bottom"/>
          </w:tcPr>
          <w:p w:rsidR="00AC12B4" w:rsidRDefault="00C27636">
            <w:pPr>
              <w:ind w:right="215"/>
              <w:jc w:val="right"/>
              <w:rPr>
                <w:sz w:val="20"/>
                <w:szCs w:val="20"/>
              </w:rPr>
            </w:pPr>
            <w:r>
              <w:rPr>
                <w:rFonts w:ascii="Calibri" w:eastAsia="Calibri" w:hAnsi="Calibri" w:cs="Calibri"/>
              </w:rPr>
              <w:t>contraire,  les  chiffres</w:t>
            </w:r>
          </w:p>
        </w:tc>
        <w:tc>
          <w:tcPr>
            <w:tcW w:w="340" w:type="dxa"/>
            <w:vAlign w:val="bottom"/>
          </w:tcPr>
          <w:p w:rsidR="00AC12B4" w:rsidRDefault="00AC12B4">
            <w:pPr>
              <w:rPr>
                <w:sz w:val="17"/>
                <w:szCs w:val="17"/>
              </w:rPr>
            </w:pPr>
          </w:p>
        </w:tc>
        <w:tc>
          <w:tcPr>
            <w:tcW w:w="3880" w:type="dxa"/>
            <w:gridSpan w:val="9"/>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182"/>
        </w:trPr>
        <w:tc>
          <w:tcPr>
            <w:tcW w:w="540" w:type="dxa"/>
            <w:vMerge/>
            <w:vAlign w:val="bottom"/>
          </w:tcPr>
          <w:p w:rsidR="00AC12B4" w:rsidRDefault="00AC12B4">
            <w:pPr>
              <w:rPr>
                <w:sz w:val="15"/>
                <w:szCs w:val="15"/>
              </w:rPr>
            </w:pPr>
          </w:p>
        </w:tc>
        <w:tc>
          <w:tcPr>
            <w:tcW w:w="1080" w:type="dxa"/>
            <w:gridSpan w:val="3"/>
            <w:vMerge/>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2500" w:type="dxa"/>
            <w:gridSpan w:val="3"/>
            <w:vMerge/>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388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l’enfant. Les données n’existent donc que</w:t>
            </w:r>
          </w:p>
        </w:tc>
        <w:tc>
          <w:tcPr>
            <w:tcW w:w="0" w:type="dxa"/>
            <w:vAlign w:val="bottom"/>
          </w:tcPr>
          <w:p w:rsidR="00AC12B4" w:rsidRPr="00C27636" w:rsidRDefault="00AC12B4">
            <w:pPr>
              <w:rPr>
                <w:sz w:val="1"/>
                <w:szCs w:val="1"/>
                <w:lang w:val="fr-BE"/>
              </w:rPr>
            </w:pPr>
          </w:p>
        </w:tc>
      </w:tr>
      <w:tr w:rsidR="00AC12B4" w:rsidRPr="00C27636">
        <w:trPr>
          <w:trHeight w:val="86"/>
        </w:trPr>
        <w:tc>
          <w:tcPr>
            <w:tcW w:w="4260" w:type="dxa"/>
            <w:gridSpan w:val="8"/>
            <w:vMerge w:val="restart"/>
            <w:vAlign w:val="bottom"/>
          </w:tcPr>
          <w:p w:rsidR="00AC12B4" w:rsidRPr="00C27636" w:rsidRDefault="00C27636">
            <w:pPr>
              <w:rPr>
                <w:sz w:val="20"/>
                <w:szCs w:val="20"/>
                <w:lang w:val="fr-BE"/>
              </w:rPr>
            </w:pPr>
            <w:r w:rsidRPr="00C27636">
              <w:rPr>
                <w:rFonts w:ascii="Calibri" w:eastAsia="Calibri" w:hAnsi="Calibri" w:cs="Calibri"/>
                <w:lang w:val="fr-BE"/>
              </w:rPr>
              <w:t>suivants sont issus de l’enquête HIS 2013.</w:t>
            </w:r>
          </w:p>
        </w:tc>
        <w:tc>
          <w:tcPr>
            <w:tcW w:w="340" w:type="dxa"/>
            <w:vAlign w:val="bottom"/>
          </w:tcPr>
          <w:p w:rsidR="00AC12B4" w:rsidRPr="00C27636" w:rsidRDefault="00AC12B4">
            <w:pPr>
              <w:rPr>
                <w:sz w:val="7"/>
                <w:szCs w:val="7"/>
                <w:lang w:val="fr-BE"/>
              </w:rPr>
            </w:pPr>
          </w:p>
        </w:tc>
        <w:tc>
          <w:tcPr>
            <w:tcW w:w="3880" w:type="dxa"/>
            <w:gridSpan w:val="9"/>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rsidRPr="00C27636">
        <w:trPr>
          <w:trHeight w:val="182"/>
        </w:trPr>
        <w:tc>
          <w:tcPr>
            <w:tcW w:w="4260" w:type="dxa"/>
            <w:gridSpan w:val="8"/>
            <w:vMerge/>
            <w:vAlign w:val="bottom"/>
          </w:tcPr>
          <w:p w:rsidR="00AC12B4" w:rsidRPr="00C27636" w:rsidRDefault="00AC12B4">
            <w:pPr>
              <w:rPr>
                <w:sz w:val="15"/>
                <w:szCs w:val="15"/>
                <w:lang w:val="fr-BE"/>
              </w:rPr>
            </w:pPr>
          </w:p>
        </w:tc>
        <w:tc>
          <w:tcPr>
            <w:tcW w:w="340" w:type="dxa"/>
            <w:vAlign w:val="bottom"/>
          </w:tcPr>
          <w:p w:rsidR="00AC12B4" w:rsidRPr="00C27636" w:rsidRDefault="00AC12B4">
            <w:pPr>
              <w:rPr>
                <w:sz w:val="15"/>
                <w:szCs w:val="15"/>
                <w:lang w:val="fr-BE"/>
              </w:rPr>
            </w:pPr>
          </w:p>
        </w:tc>
        <w:tc>
          <w:tcPr>
            <w:tcW w:w="2320" w:type="dxa"/>
            <w:gridSpan w:val="5"/>
            <w:vMerge w:val="restart"/>
            <w:vAlign w:val="bottom"/>
          </w:tcPr>
          <w:p w:rsidR="00AC12B4" w:rsidRPr="00C27636" w:rsidRDefault="00C27636">
            <w:pPr>
              <w:rPr>
                <w:sz w:val="20"/>
                <w:szCs w:val="20"/>
                <w:lang w:val="fr-BE"/>
              </w:rPr>
            </w:pPr>
            <w:r w:rsidRPr="00C27636">
              <w:rPr>
                <w:rFonts w:ascii="Calibri" w:eastAsia="Calibri" w:hAnsi="Calibri" w:cs="Calibri"/>
                <w:lang w:val="fr-BE"/>
              </w:rPr>
              <w:t>pour les plus de 15 ans.</w:t>
            </w:r>
          </w:p>
        </w:tc>
        <w:tc>
          <w:tcPr>
            <w:tcW w:w="140" w:type="dxa"/>
            <w:vAlign w:val="bottom"/>
          </w:tcPr>
          <w:p w:rsidR="00AC12B4" w:rsidRPr="00C27636" w:rsidRDefault="00AC12B4">
            <w:pPr>
              <w:rPr>
                <w:sz w:val="15"/>
                <w:szCs w:val="15"/>
                <w:lang w:val="fr-BE"/>
              </w:rPr>
            </w:pPr>
          </w:p>
        </w:tc>
        <w:tc>
          <w:tcPr>
            <w:tcW w:w="420" w:type="dxa"/>
            <w:vAlign w:val="bottom"/>
          </w:tcPr>
          <w:p w:rsidR="00AC12B4" w:rsidRPr="00C27636" w:rsidRDefault="00AC12B4">
            <w:pPr>
              <w:rPr>
                <w:sz w:val="15"/>
                <w:szCs w:val="15"/>
                <w:lang w:val="fr-BE"/>
              </w:rPr>
            </w:pPr>
          </w:p>
        </w:tc>
        <w:tc>
          <w:tcPr>
            <w:tcW w:w="500" w:type="dxa"/>
            <w:vAlign w:val="bottom"/>
          </w:tcPr>
          <w:p w:rsidR="00AC12B4" w:rsidRPr="00C27636" w:rsidRDefault="00AC12B4">
            <w:pPr>
              <w:rPr>
                <w:sz w:val="15"/>
                <w:szCs w:val="15"/>
                <w:lang w:val="fr-BE"/>
              </w:rPr>
            </w:pPr>
          </w:p>
        </w:tc>
        <w:tc>
          <w:tcPr>
            <w:tcW w:w="500" w:type="dxa"/>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86"/>
        </w:trPr>
        <w:tc>
          <w:tcPr>
            <w:tcW w:w="54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200" w:type="dxa"/>
            <w:vAlign w:val="bottom"/>
          </w:tcPr>
          <w:p w:rsidR="00AC12B4" w:rsidRPr="00C27636" w:rsidRDefault="00AC12B4">
            <w:pPr>
              <w:rPr>
                <w:sz w:val="7"/>
                <w:szCs w:val="7"/>
                <w:lang w:val="fr-BE"/>
              </w:rPr>
            </w:pPr>
          </w:p>
        </w:tc>
        <w:tc>
          <w:tcPr>
            <w:tcW w:w="380" w:type="dxa"/>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760" w:type="dxa"/>
            <w:vAlign w:val="bottom"/>
          </w:tcPr>
          <w:p w:rsidR="00AC12B4" w:rsidRPr="00C27636" w:rsidRDefault="00AC12B4">
            <w:pPr>
              <w:rPr>
                <w:sz w:val="7"/>
                <w:szCs w:val="7"/>
                <w:lang w:val="fr-BE"/>
              </w:rPr>
            </w:pPr>
          </w:p>
        </w:tc>
        <w:tc>
          <w:tcPr>
            <w:tcW w:w="280" w:type="dxa"/>
            <w:vAlign w:val="bottom"/>
          </w:tcPr>
          <w:p w:rsidR="00AC12B4" w:rsidRPr="00C27636" w:rsidRDefault="00AC12B4">
            <w:pPr>
              <w:rPr>
                <w:sz w:val="7"/>
                <w:szCs w:val="7"/>
                <w:lang w:val="fr-BE"/>
              </w:rPr>
            </w:pPr>
          </w:p>
        </w:tc>
        <w:tc>
          <w:tcPr>
            <w:tcW w:w="1460" w:type="dxa"/>
            <w:vAlign w:val="bottom"/>
          </w:tcPr>
          <w:p w:rsidR="00AC12B4" w:rsidRPr="00C27636" w:rsidRDefault="00AC12B4">
            <w:pPr>
              <w:rPr>
                <w:sz w:val="7"/>
                <w:szCs w:val="7"/>
                <w:lang w:val="fr-BE"/>
              </w:rPr>
            </w:pPr>
          </w:p>
        </w:tc>
        <w:tc>
          <w:tcPr>
            <w:tcW w:w="340" w:type="dxa"/>
            <w:vAlign w:val="bottom"/>
          </w:tcPr>
          <w:p w:rsidR="00AC12B4" w:rsidRPr="00C27636" w:rsidRDefault="00AC12B4">
            <w:pPr>
              <w:rPr>
                <w:sz w:val="7"/>
                <w:szCs w:val="7"/>
                <w:lang w:val="fr-BE"/>
              </w:rPr>
            </w:pPr>
          </w:p>
        </w:tc>
        <w:tc>
          <w:tcPr>
            <w:tcW w:w="2320" w:type="dxa"/>
            <w:gridSpan w:val="5"/>
            <w:vMerge/>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42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349"/>
        </w:trPr>
        <w:tc>
          <w:tcPr>
            <w:tcW w:w="4260" w:type="dxa"/>
            <w:gridSpan w:val="8"/>
            <w:vAlign w:val="bottom"/>
          </w:tcPr>
          <w:p w:rsidR="00AC12B4" w:rsidRPr="00C27636" w:rsidRDefault="00C27636">
            <w:pPr>
              <w:rPr>
                <w:sz w:val="20"/>
                <w:szCs w:val="20"/>
                <w:lang w:val="fr-BE"/>
              </w:rPr>
            </w:pPr>
            <w:r w:rsidRPr="00C27636">
              <w:rPr>
                <w:rFonts w:ascii="Calibri" w:eastAsia="Calibri" w:hAnsi="Calibri" w:cs="Calibri"/>
                <w:lang w:val="fr-BE"/>
              </w:rPr>
              <w:t>Note : des données recentrées sur l’enfant</w:t>
            </w:r>
          </w:p>
        </w:tc>
        <w:tc>
          <w:tcPr>
            <w:tcW w:w="340" w:type="dxa"/>
            <w:vAlign w:val="bottom"/>
          </w:tcPr>
          <w:p w:rsidR="00AC12B4" w:rsidRPr="00C27636" w:rsidRDefault="00AC12B4">
            <w:pPr>
              <w:rPr>
                <w:sz w:val="24"/>
                <w:szCs w:val="24"/>
                <w:lang w:val="fr-BE"/>
              </w:rPr>
            </w:pPr>
          </w:p>
        </w:tc>
        <w:tc>
          <w:tcPr>
            <w:tcW w:w="300" w:type="dxa"/>
            <w:vAlign w:val="bottom"/>
          </w:tcPr>
          <w:p w:rsidR="00AC12B4" w:rsidRPr="00C27636" w:rsidRDefault="00AC12B4">
            <w:pPr>
              <w:rPr>
                <w:sz w:val="24"/>
                <w:szCs w:val="24"/>
                <w:lang w:val="fr-BE"/>
              </w:rPr>
            </w:pPr>
          </w:p>
        </w:tc>
        <w:tc>
          <w:tcPr>
            <w:tcW w:w="2580" w:type="dxa"/>
            <w:gridSpan w:val="6"/>
            <w:vAlign w:val="bottom"/>
          </w:tcPr>
          <w:p w:rsidR="00AC12B4" w:rsidRDefault="00C27636">
            <w:pPr>
              <w:ind w:left="60"/>
              <w:rPr>
                <w:sz w:val="20"/>
                <w:szCs w:val="20"/>
              </w:rPr>
            </w:pPr>
            <w:r>
              <w:rPr>
                <w:rFonts w:ascii="Wingdings" w:eastAsia="Wingdings" w:hAnsi="Wingdings" w:cs="Wingdings"/>
                <w:color w:val="C9D11D"/>
              </w:rPr>
              <w:t></w:t>
            </w:r>
            <w:r>
              <w:rPr>
                <w:rFonts w:ascii="Wingdings" w:eastAsia="Wingdings" w:hAnsi="Wingdings" w:cs="Wingdings"/>
                <w:color w:val="C9D11D"/>
              </w:rPr>
              <w:t></w:t>
            </w:r>
            <w:r>
              <w:rPr>
                <w:rFonts w:ascii="Cambria" w:eastAsia="Cambria" w:hAnsi="Cambria" w:cs="Cambria"/>
                <w:i/>
                <w:iCs/>
                <w:color w:val="C9D11D"/>
              </w:rPr>
              <w:t>Limite de la mesure</w:t>
            </w:r>
          </w:p>
        </w:tc>
        <w:tc>
          <w:tcPr>
            <w:tcW w:w="50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20"/>
        </w:trPr>
        <w:tc>
          <w:tcPr>
            <w:tcW w:w="4260" w:type="dxa"/>
            <w:gridSpan w:val="8"/>
            <w:vAlign w:val="bottom"/>
          </w:tcPr>
          <w:p w:rsidR="00AC12B4" w:rsidRPr="00C27636" w:rsidRDefault="00C27636">
            <w:pPr>
              <w:spacing w:line="220" w:lineRule="exact"/>
              <w:rPr>
                <w:sz w:val="20"/>
                <w:szCs w:val="20"/>
                <w:lang w:val="fr-BE"/>
              </w:rPr>
            </w:pPr>
            <w:r w:rsidRPr="00C27636">
              <w:rPr>
                <w:rFonts w:ascii="Calibri" w:eastAsia="Calibri" w:hAnsi="Calibri" w:cs="Calibri"/>
                <w:lang w:val="fr-BE"/>
              </w:rPr>
              <w:t>ne sont pas disponibles actuellement.</w:t>
            </w:r>
          </w:p>
        </w:tc>
        <w:tc>
          <w:tcPr>
            <w:tcW w:w="340" w:type="dxa"/>
            <w:vAlign w:val="bottom"/>
          </w:tcPr>
          <w:p w:rsidR="00AC12B4" w:rsidRPr="00C27636" w:rsidRDefault="00AC12B4">
            <w:pPr>
              <w:rPr>
                <w:sz w:val="19"/>
                <w:szCs w:val="19"/>
                <w:lang w:val="fr-BE"/>
              </w:rPr>
            </w:pPr>
          </w:p>
        </w:tc>
        <w:tc>
          <w:tcPr>
            <w:tcW w:w="300" w:type="dxa"/>
            <w:vAlign w:val="bottom"/>
          </w:tcPr>
          <w:p w:rsidR="00AC12B4" w:rsidRPr="00C27636" w:rsidRDefault="00AC12B4">
            <w:pPr>
              <w:rPr>
                <w:sz w:val="19"/>
                <w:szCs w:val="19"/>
                <w:lang w:val="fr-BE"/>
              </w:rPr>
            </w:pPr>
          </w:p>
        </w:tc>
        <w:tc>
          <w:tcPr>
            <w:tcW w:w="440" w:type="dxa"/>
            <w:vAlign w:val="bottom"/>
          </w:tcPr>
          <w:p w:rsidR="00AC12B4" w:rsidRPr="00C27636" w:rsidRDefault="00AC12B4">
            <w:pPr>
              <w:rPr>
                <w:sz w:val="19"/>
                <w:szCs w:val="19"/>
                <w:lang w:val="fr-BE"/>
              </w:rPr>
            </w:pPr>
          </w:p>
        </w:tc>
        <w:tc>
          <w:tcPr>
            <w:tcW w:w="420" w:type="dxa"/>
            <w:vAlign w:val="bottom"/>
          </w:tcPr>
          <w:p w:rsidR="00AC12B4" w:rsidRPr="00C27636" w:rsidRDefault="00AC12B4">
            <w:pPr>
              <w:rPr>
                <w:sz w:val="19"/>
                <w:szCs w:val="19"/>
                <w:lang w:val="fr-BE"/>
              </w:rPr>
            </w:pPr>
          </w:p>
        </w:tc>
        <w:tc>
          <w:tcPr>
            <w:tcW w:w="740" w:type="dxa"/>
            <w:vAlign w:val="bottom"/>
          </w:tcPr>
          <w:p w:rsidR="00AC12B4" w:rsidRPr="00C27636" w:rsidRDefault="00AC12B4">
            <w:pPr>
              <w:rPr>
                <w:sz w:val="19"/>
                <w:szCs w:val="19"/>
                <w:lang w:val="fr-BE"/>
              </w:rPr>
            </w:pPr>
          </w:p>
        </w:tc>
        <w:tc>
          <w:tcPr>
            <w:tcW w:w="420" w:type="dxa"/>
            <w:vAlign w:val="bottom"/>
          </w:tcPr>
          <w:p w:rsidR="00AC12B4" w:rsidRPr="00C27636" w:rsidRDefault="00AC12B4">
            <w:pPr>
              <w:rPr>
                <w:sz w:val="19"/>
                <w:szCs w:val="19"/>
                <w:lang w:val="fr-BE"/>
              </w:rPr>
            </w:pPr>
          </w:p>
        </w:tc>
        <w:tc>
          <w:tcPr>
            <w:tcW w:w="140" w:type="dxa"/>
            <w:vAlign w:val="bottom"/>
          </w:tcPr>
          <w:p w:rsidR="00AC12B4" w:rsidRPr="00C27636" w:rsidRDefault="00AC12B4">
            <w:pPr>
              <w:rPr>
                <w:sz w:val="19"/>
                <w:szCs w:val="19"/>
                <w:lang w:val="fr-BE"/>
              </w:rPr>
            </w:pPr>
          </w:p>
        </w:tc>
        <w:tc>
          <w:tcPr>
            <w:tcW w:w="420" w:type="dxa"/>
            <w:vAlign w:val="bottom"/>
          </w:tcPr>
          <w:p w:rsidR="00AC12B4" w:rsidRPr="00C27636" w:rsidRDefault="00AC12B4">
            <w:pPr>
              <w:rPr>
                <w:sz w:val="19"/>
                <w:szCs w:val="19"/>
                <w:lang w:val="fr-BE"/>
              </w:rPr>
            </w:pPr>
          </w:p>
        </w:tc>
        <w:tc>
          <w:tcPr>
            <w:tcW w:w="500" w:type="dxa"/>
            <w:vAlign w:val="bottom"/>
          </w:tcPr>
          <w:p w:rsidR="00AC12B4" w:rsidRPr="00C27636" w:rsidRDefault="00AC12B4">
            <w:pPr>
              <w:rPr>
                <w:sz w:val="19"/>
                <w:szCs w:val="19"/>
                <w:lang w:val="fr-BE"/>
              </w:rPr>
            </w:pPr>
          </w:p>
        </w:tc>
        <w:tc>
          <w:tcPr>
            <w:tcW w:w="500" w:type="dxa"/>
            <w:vAlign w:val="bottom"/>
          </w:tcPr>
          <w:p w:rsidR="00AC12B4" w:rsidRPr="00C27636" w:rsidRDefault="00AC12B4">
            <w:pPr>
              <w:rPr>
                <w:sz w:val="19"/>
                <w:szCs w:val="19"/>
                <w:lang w:val="fr-BE"/>
              </w:rPr>
            </w:pPr>
          </w:p>
        </w:tc>
        <w:tc>
          <w:tcPr>
            <w:tcW w:w="0" w:type="dxa"/>
            <w:vAlign w:val="bottom"/>
          </w:tcPr>
          <w:p w:rsidR="00AC12B4" w:rsidRPr="00C27636" w:rsidRDefault="00AC12B4">
            <w:pPr>
              <w:rPr>
                <w:sz w:val="1"/>
                <w:szCs w:val="1"/>
                <w:lang w:val="fr-BE"/>
              </w:rPr>
            </w:pPr>
          </w:p>
        </w:tc>
      </w:tr>
      <w:tr w:rsidR="00AC12B4" w:rsidRPr="00C27636">
        <w:trPr>
          <w:trHeight w:val="88"/>
        </w:trPr>
        <w:tc>
          <w:tcPr>
            <w:tcW w:w="54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200" w:type="dxa"/>
            <w:vAlign w:val="bottom"/>
          </w:tcPr>
          <w:p w:rsidR="00AC12B4" w:rsidRPr="00C27636" w:rsidRDefault="00AC12B4">
            <w:pPr>
              <w:rPr>
                <w:sz w:val="7"/>
                <w:szCs w:val="7"/>
                <w:lang w:val="fr-BE"/>
              </w:rPr>
            </w:pPr>
          </w:p>
        </w:tc>
        <w:tc>
          <w:tcPr>
            <w:tcW w:w="380" w:type="dxa"/>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760" w:type="dxa"/>
            <w:vAlign w:val="bottom"/>
          </w:tcPr>
          <w:p w:rsidR="00AC12B4" w:rsidRPr="00C27636" w:rsidRDefault="00AC12B4">
            <w:pPr>
              <w:rPr>
                <w:sz w:val="7"/>
                <w:szCs w:val="7"/>
                <w:lang w:val="fr-BE"/>
              </w:rPr>
            </w:pPr>
          </w:p>
        </w:tc>
        <w:tc>
          <w:tcPr>
            <w:tcW w:w="280" w:type="dxa"/>
            <w:vAlign w:val="bottom"/>
          </w:tcPr>
          <w:p w:rsidR="00AC12B4" w:rsidRPr="00C27636" w:rsidRDefault="00AC12B4">
            <w:pPr>
              <w:rPr>
                <w:sz w:val="7"/>
                <w:szCs w:val="7"/>
                <w:lang w:val="fr-BE"/>
              </w:rPr>
            </w:pPr>
          </w:p>
        </w:tc>
        <w:tc>
          <w:tcPr>
            <w:tcW w:w="1460" w:type="dxa"/>
            <w:vAlign w:val="bottom"/>
          </w:tcPr>
          <w:p w:rsidR="00AC12B4" w:rsidRPr="00C27636" w:rsidRDefault="00AC12B4">
            <w:pPr>
              <w:rPr>
                <w:sz w:val="7"/>
                <w:szCs w:val="7"/>
                <w:lang w:val="fr-BE"/>
              </w:rPr>
            </w:pPr>
          </w:p>
        </w:tc>
        <w:tc>
          <w:tcPr>
            <w:tcW w:w="340" w:type="dxa"/>
            <w:vAlign w:val="bottom"/>
          </w:tcPr>
          <w:p w:rsidR="00AC12B4" w:rsidRPr="00C27636" w:rsidRDefault="00AC12B4">
            <w:pPr>
              <w:rPr>
                <w:sz w:val="7"/>
                <w:szCs w:val="7"/>
                <w:lang w:val="fr-BE"/>
              </w:rPr>
            </w:pPr>
          </w:p>
        </w:tc>
        <w:tc>
          <w:tcPr>
            <w:tcW w:w="300" w:type="dxa"/>
            <w:tcBorders>
              <w:bottom w:val="single" w:sz="8" w:space="0" w:color="auto"/>
            </w:tcBorders>
            <w:vAlign w:val="bottom"/>
          </w:tcPr>
          <w:p w:rsidR="00AC12B4" w:rsidRPr="00C27636" w:rsidRDefault="00AC12B4">
            <w:pPr>
              <w:rPr>
                <w:sz w:val="7"/>
                <w:szCs w:val="7"/>
                <w:lang w:val="fr-BE"/>
              </w:rPr>
            </w:pPr>
          </w:p>
        </w:tc>
        <w:tc>
          <w:tcPr>
            <w:tcW w:w="440" w:type="dxa"/>
            <w:tcBorders>
              <w:bottom w:val="single" w:sz="8" w:space="0" w:color="auto"/>
            </w:tcBorders>
            <w:vAlign w:val="bottom"/>
          </w:tcPr>
          <w:p w:rsidR="00AC12B4" w:rsidRPr="00C27636" w:rsidRDefault="00AC12B4">
            <w:pPr>
              <w:rPr>
                <w:sz w:val="7"/>
                <w:szCs w:val="7"/>
                <w:lang w:val="fr-BE"/>
              </w:rPr>
            </w:pPr>
          </w:p>
        </w:tc>
        <w:tc>
          <w:tcPr>
            <w:tcW w:w="420" w:type="dxa"/>
            <w:tcBorders>
              <w:bottom w:val="single" w:sz="8" w:space="0" w:color="auto"/>
            </w:tcBorders>
            <w:vAlign w:val="bottom"/>
          </w:tcPr>
          <w:p w:rsidR="00AC12B4" w:rsidRPr="00C27636" w:rsidRDefault="00AC12B4">
            <w:pPr>
              <w:rPr>
                <w:sz w:val="7"/>
                <w:szCs w:val="7"/>
                <w:lang w:val="fr-BE"/>
              </w:rPr>
            </w:pPr>
          </w:p>
        </w:tc>
        <w:tc>
          <w:tcPr>
            <w:tcW w:w="740" w:type="dxa"/>
            <w:tcBorders>
              <w:bottom w:val="single" w:sz="8" w:space="0" w:color="auto"/>
            </w:tcBorders>
            <w:vAlign w:val="bottom"/>
          </w:tcPr>
          <w:p w:rsidR="00AC12B4" w:rsidRPr="00C27636" w:rsidRDefault="00AC12B4">
            <w:pPr>
              <w:rPr>
                <w:sz w:val="7"/>
                <w:szCs w:val="7"/>
                <w:lang w:val="fr-BE"/>
              </w:rPr>
            </w:pPr>
          </w:p>
        </w:tc>
        <w:tc>
          <w:tcPr>
            <w:tcW w:w="420" w:type="dxa"/>
            <w:tcBorders>
              <w:bottom w:val="single" w:sz="8" w:space="0" w:color="auto"/>
            </w:tcBorders>
            <w:vAlign w:val="bottom"/>
          </w:tcPr>
          <w:p w:rsidR="00AC12B4" w:rsidRPr="00C27636" w:rsidRDefault="00AC12B4">
            <w:pPr>
              <w:rPr>
                <w:sz w:val="7"/>
                <w:szCs w:val="7"/>
                <w:lang w:val="fr-BE"/>
              </w:rPr>
            </w:pPr>
          </w:p>
        </w:tc>
        <w:tc>
          <w:tcPr>
            <w:tcW w:w="140" w:type="dxa"/>
            <w:tcBorders>
              <w:bottom w:val="single" w:sz="8" w:space="0" w:color="auto"/>
            </w:tcBorders>
            <w:vAlign w:val="bottom"/>
          </w:tcPr>
          <w:p w:rsidR="00AC12B4" w:rsidRPr="00C27636" w:rsidRDefault="00AC12B4">
            <w:pPr>
              <w:rPr>
                <w:sz w:val="7"/>
                <w:szCs w:val="7"/>
                <w:lang w:val="fr-BE"/>
              </w:rPr>
            </w:pPr>
          </w:p>
        </w:tc>
        <w:tc>
          <w:tcPr>
            <w:tcW w:w="420" w:type="dxa"/>
            <w:tcBorders>
              <w:bottom w:val="single" w:sz="8" w:space="0" w:color="auto"/>
            </w:tcBorders>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bl>
    <w:p w:rsidR="00AC12B4" w:rsidRPr="00C27636" w:rsidRDefault="00AC12B4">
      <w:pPr>
        <w:spacing w:line="185" w:lineRule="exact"/>
        <w:rPr>
          <w:sz w:val="20"/>
          <w:szCs w:val="20"/>
          <w:lang w:val="fr-BE"/>
        </w:rPr>
      </w:pPr>
    </w:p>
    <w:p w:rsidR="00AC12B4" w:rsidRPr="00C27636" w:rsidRDefault="00C27636">
      <w:pPr>
        <w:ind w:left="5480"/>
        <w:rPr>
          <w:sz w:val="20"/>
          <w:szCs w:val="20"/>
          <w:lang w:val="fr-BE"/>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Cette forte différence est liée au caractère</w:t>
      </w:r>
    </w:p>
    <w:p w:rsidR="00AC12B4" w:rsidRPr="00C27636" w:rsidRDefault="00C27636">
      <w:pPr>
        <w:spacing w:line="212" w:lineRule="auto"/>
        <w:ind w:left="5480"/>
        <w:rPr>
          <w:sz w:val="20"/>
          <w:szCs w:val="20"/>
          <w:lang w:val="fr-BE"/>
        </w:rPr>
      </w:pPr>
      <w:r w:rsidRPr="00C27636">
        <w:rPr>
          <w:rFonts w:ascii="Calibri" w:eastAsia="Calibri" w:hAnsi="Calibri" w:cs="Calibri"/>
          <w:sz w:val="20"/>
          <w:szCs w:val="20"/>
          <w:lang w:val="fr-BE"/>
        </w:rPr>
        <w:t>urbain de Bruxelles selon le rapport HIS.</w:t>
      </w:r>
    </w:p>
    <w:p w:rsidR="00AC12B4" w:rsidRPr="00C27636" w:rsidRDefault="00AC12B4">
      <w:pPr>
        <w:spacing w:line="242" w:lineRule="exact"/>
        <w:rPr>
          <w:sz w:val="20"/>
          <w:szCs w:val="20"/>
          <w:lang w:val="fr-BE"/>
        </w:rPr>
      </w:pPr>
    </w:p>
    <w:p w:rsidR="00AC12B4" w:rsidRDefault="00C27636">
      <w:pPr>
        <w:ind w:left="5000"/>
        <w:rPr>
          <w:sz w:val="20"/>
          <w:szCs w:val="20"/>
        </w:rPr>
      </w:pPr>
      <w:r>
        <w:rPr>
          <w:rFonts w:ascii="Calibri" w:eastAsia="Calibri" w:hAnsi="Calibri" w:cs="Calibri"/>
        </w:rPr>
        <w:lastRenderedPageBreak/>
        <w:t>99</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1"/>
      </w:tblGrid>
      <w:tr w:rsidR="00AC12B4" w:rsidRPr="00C27636">
        <w:trPr>
          <w:trHeight w:val="2080"/>
        </w:trPr>
        <w:tc>
          <w:tcPr>
            <w:tcW w:w="281" w:type="dxa"/>
            <w:textDirection w:val="btLr"/>
            <w:vAlign w:val="bottom"/>
          </w:tcPr>
          <w:p w:rsidR="00AC12B4" w:rsidRPr="00C27636" w:rsidRDefault="00C27636">
            <w:pPr>
              <w:spacing w:line="197" w:lineRule="auto"/>
              <w:rPr>
                <w:sz w:val="20"/>
                <w:szCs w:val="20"/>
                <w:lang w:val="fr-BE"/>
              </w:rPr>
            </w:pPr>
            <w:r w:rsidRPr="00C27636">
              <w:rPr>
                <w:rFonts w:ascii="Calibri" w:eastAsia="Calibri" w:hAnsi="Calibri" w:cs="Calibri"/>
                <w:b/>
                <w:bCs/>
                <w:i/>
                <w:iCs/>
                <w:color w:val="F2F2F2"/>
                <w:sz w:val="28"/>
                <w:szCs w:val="28"/>
                <w:lang w:val="fr-BE"/>
              </w:rPr>
              <w:t>Le droit à la santé</w:t>
            </w:r>
          </w:p>
        </w:tc>
      </w:tr>
    </w:tbl>
    <w:p w:rsidR="00AC12B4" w:rsidRPr="00C27636" w:rsidRDefault="00AC12B4">
      <w:pPr>
        <w:rPr>
          <w:lang w:val="fr-BE"/>
        </w:rPr>
        <w:sectPr w:rsidR="00AC12B4" w:rsidRPr="00C27636">
          <w:type w:val="continuous"/>
          <w:pgSz w:w="12080" w:h="17179"/>
          <w:pgMar w:top="1440" w:right="557" w:bottom="659" w:left="1120" w:header="0" w:footer="0" w:gutter="0"/>
          <w:cols w:num="2" w:space="720" w:equalWidth="0">
            <w:col w:w="9399" w:space="720"/>
            <w:col w:w="281"/>
          </w:cols>
        </w:sectPr>
      </w:pPr>
    </w:p>
    <w:p w:rsidR="00AC12B4" w:rsidRPr="00C27636" w:rsidRDefault="00AC12B4">
      <w:pPr>
        <w:spacing w:line="200" w:lineRule="exact"/>
        <w:rPr>
          <w:sz w:val="20"/>
          <w:szCs w:val="20"/>
          <w:lang w:val="fr-BE"/>
        </w:rPr>
      </w:pPr>
      <w:bookmarkStart w:id="99" w:name="page100"/>
      <w:bookmarkEnd w:id="99"/>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9" w:lineRule="exact"/>
        <w:rPr>
          <w:sz w:val="20"/>
          <w:szCs w:val="20"/>
          <w:lang w:val="fr-BE"/>
        </w:rPr>
      </w:pPr>
    </w:p>
    <w:p w:rsidR="00AC12B4" w:rsidRPr="00C27636" w:rsidRDefault="00C27636">
      <w:pPr>
        <w:ind w:left="340"/>
        <w:rPr>
          <w:sz w:val="20"/>
          <w:szCs w:val="20"/>
          <w:lang w:val="fr-BE"/>
        </w:rPr>
      </w:pPr>
      <w:r w:rsidRPr="00C27636">
        <w:rPr>
          <w:rFonts w:ascii="Calibri" w:eastAsia="Calibri" w:hAnsi="Calibri" w:cs="Calibri"/>
          <w:b/>
          <w:bCs/>
          <w:color w:val="4F6228"/>
          <w:sz w:val="20"/>
          <w:szCs w:val="20"/>
          <w:lang w:val="fr-BE"/>
        </w:rPr>
        <w:t>Question originale dans l’enquête HIS :</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588096" behindDoc="1" locked="0" layoutInCell="0" allowOverlap="1">
            <wp:simplePos x="0" y="0"/>
            <wp:positionH relativeFrom="column">
              <wp:posOffset>-596265</wp:posOffset>
            </wp:positionH>
            <wp:positionV relativeFrom="paragraph">
              <wp:posOffset>-1176020</wp:posOffset>
            </wp:positionV>
            <wp:extent cx="6950710" cy="10908665"/>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69">
                      <a:extLst/>
                    </a:blip>
                    <a:srcRect/>
                    <a:stretch>
                      <a:fillRect/>
                    </a:stretch>
                  </pic:blipFill>
                  <pic:spPr bwMode="auto">
                    <a:xfrm>
                      <a:off x="0" y="0"/>
                      <a:ext cx="6950710" cy="10908665"/>
                    </a:xfrm>
                    <a:prstGeom prst="rect">
                      <a:avLst/>
                    </a:prstGeom>
                    <a:noFill/>
                  </pic:spPr>
                </pic:pic>
              </a:graphicData>
            </a:graphic>
          </wp:anchor>
        </w:drawing>
      </w:r>
    </w:p>
    <w:p w:rsidR="00AC12B4" w:rsidRPr="00C27636" w:rsidRDefault="00AC12B4">
      <w:pPr>
        <w:spacing w:line="270" w:lineRule="exact"/>
        <w:rPr>
          <w:sz w:val="20"/>
          <w:szCs w:val="20"/>
          <w:lang w:val="fr-BE"/>
        </w:rPr>
      </w:pPr>
    </w:p>
    <w:p w:rsidR="00AC12B4" w:rsidRPr="00C27636" w:rsidRDefault="00C27636">
      <w:pPr>
        <w:spacing w:line="217" w:lineRule="auto"/>
        <w:ind w:right="180" w:firstLine="341"/>
        <w:rPr>
          <w:sz w:val="20"/>
          <w:szCs w:val="20"/>
          <w:lang w:val="fr-BE"/>
        </w:rPr>
      </w:pPr>
      <w:r w:rsidRPr="00C27636">
        <w:rPr>
          <w:rFonts w:ascii="Calibri" w:eastAsia="Calibri" w:hAnsi="Calibri" w:cs="Calibri"/>
          <w:color w:val="4F6228"/>
          <w:sz w:val="20"/>
          <w:szCs w:val="20"/>
          <w:lang w:val="fr-BE"/>
        </w:rPr>
        <w:t>HE.01</w:t>
      </w:r>
      <w:r w:rsidRPr="00C27636">
        <w:rPr>
          <w:rFonts w:ascii="Calibri" w:eastAsia="Calibri" w:hAnsi="Calibri" w:cs="Calibri"/>
          <w:i/>
          <w:iCs/>
          <w:color w:val="4F6228"/>
          <w:sz w:val="20"/>
          <w:szCs w:val="20"/>
          <w:lang w:val="fr-BE"/>
        </w:rPr>
        <w:t>. Dans votre quartier (ou voisinage), à quel point</w:t>
      </w:r>
      <w:r w:rsidRPr="00C27636">
        <w:rPr>
          <w:rFonts w:ascii="Calibri" w:eastAsia="Calibri" w:hAnsi="Calibri" w:cs="Calibri"/>
          <w:color w:val="4F6228"/>
          <w:sz w:val="20"/>
          <w:szCs w:val="20"/>
          <w:lang w:val="fr-BE"/>
        </w:rPr>
        <w:t xml:space="preserve"> </w:t>
      </w:r>
      <w:r w:rsidRPr="00C27636">
        <w:rPr>
          <w:rFonts w:ascii="Calibri" w:eastAsia="Calibri" w:hAnsi="Calibri" w:cs="Calibri"/>
          <w:i/>
          <w:iCs/>
          <w:color w:val="4F6228"/>
          <w:sz w:val="20"/>
          <w:szCs w:val="20"/>
          <w:lang w:val="fr-BE"/>
        </w:rPr>
        <w:t>les conditions suivantes posent-elles un problème ?</w:t>
      </w:r>
    </w:p>
    <w:p w:rsidR="00AC12B4" w:rsidRPr="00C27636" w:rsidRDefault="00AC12B4">
      <w:pPr>
        <w:spacing w:line="4" w:lineRule="exact"/>
        <w:rPr>
          <w:sz w:val="20"/>
          <w:szCs w:val="20"/>
          <w:lang w:val="fr-BE"/>
        </w:rPr>
      </w:pPr>
    </w:p>
    <w:p w:rsidR="00AC12B4" w:rsidRDefault="00C27636">
      <w:pPr>
        <w:numPr>
          <w:ilvl w:val="0"/>
          <w:numId w:val="159"/>
        </w:numPr>
        <w:tabs>
          <w:tab w:val="left" w:pos="700"/>
        </w:tabs>
        <w:ind w:left="700" w:hanging="365"/>
        <w:rPr>
          <w:rFonts w:ascii="Calibri" w:eastAsia="Calibri" w:hAnsi="Calibri" w:cs="Calibri"/>
          <w:color w:val="4F6228"/>
          <w:sz w:val="16"/>
          <w:szCs w:val="16"/>
        </w:rPr>
      </w:pPr>
      <w:r>
        <w:rPr>
          <w:rFonts w:ascii="Calibri" w:eastAsia="Calibri" w:hAnsi="Calibri" w:cs="Calibri"/>
          <w:i/>
          <w:iCs/>
          <w:color w:val="4F6228"/>
          <w:sz w:val="16"/>
          <w:szCs w:val="16"/>
        </w:rPr>
        <w:t>Vitesse du trafic</w:t>
      </w:r>
    </w:p>
    <w:p w:rsidR="00AC12B4" w:rsidRDefault="00C27636">
      <w:pPr>
        <w:numPr>
          <w:ilvl w:val="0"/>
          <w:numId w:val="159"/>
        </w:numPr>
        <w:tabs>
          <w:tab w:val="left" w:pos="740"/>
        </w:tabs>
        <w:ind w:left="740" w:hanging="405"/>
        <w:rPr>
          <w:rFonts w:ascii="Calibri" w:eastAsia="Calibri" w:hAnsi="Calibri" w:cs="Calibri"/>
          <w:color w:val="4F6228"/>
          <w:sz w:val="16"/>
          <w:szCs w:val="16"/>
        </w:rPr>
      </w:pPr>
      <w:r>
        <w:rPr>
          <w:rFonts w:ascii="Calibri" w:eastAsia="Calibri" w:hAnsi="Calibri" w:cs="Calibri"/>
          <w:i/>
          <w:iCs/>
          <w:color w:val="4F6228"/>
          <w:sz w:val="16"/>
          <w:szCs w:val="16"/>
        </w:rPr>
        <w:t>Volume du trafic</w:t>
      </w:r>
    </w:p>
    <w:p w:rsidR="00AC12B4" w:rsidRDefault="00C27636">
      <w:pPr>
        <w:numPr>
          <w:ilvl w:val="0"/>
          <w:numId w:val="159"/>
        </w:numPr>
        <w:tabs>
          <w:tab w:val="left" w:pos="700"/>
        </w:tabs>
        <w:ind w:left="700" w:hanging="365"/>
        <w:rPr>
          <w:rFonts w:ascii="Calibri" w:eastAsia="Calibri" w:hAnsi="Calibri" w:cs="Calibri"/>
          <w:color w:val="4F6228"/>
          <w:sz w:val="16"/>
          <w:szCs w:val="16"/>
        </w:rPr>
      </w:pPr>
      <w:r>
        <w:rPr>
          <w:rFonts w:ascii="Calibri" w:eastAsia="Calibri" w:hAnsi="Calibri" w:cs="Calibri"/>
          <w:i/>
          <w:iCs/>
          <w:color w:val="4F6228"/>
          <w:sz w:val="16"/>
          <w:szCs w:val="16"/>
        </w:rPr>
        <w:t>Accumulation d’immondices</w:t>
      </w:r>
    </w:p>
    <w:p w:rsidR="00AC12B4" w:rsidRPr="00C27636" w:rsidRDefault="00C27636">
      <w:pPr>
        <w:numPr>
          <w:ilvl w:val="0"/>
          <w:numId w:val="159"/>
        </w:numPr>
        <w:tabs>
          <w:tab w:val="left" w:pos="700"/>
        </w:tabs>
        <w:ind w:left="700" w:hanging="365"/>
        <w:rPr>
          <w:rFonts w:ascii="Calibri" w:eastAsia="Calibri" w:hAnsi="Calibri" w:cs="Calibri"/>
          <w:color w:val="4F6228"/>
          <w:sz w:val="16"/>
          <w:szCs w:val="16"/>
          <w:lang w:val="fr-BE"/>
        </w:rPr>
      </w:pPr>
      <w:r w:rsidRPr="00C27636">
        <w:rPr>
          <w:rFonts w:ascii="Calibri" w:eastAsia="Calibri" w:hAnsi="Calibri" w:cs="Calibri"/>
          <w:i/>
          <w:iCs/>
          <w:color w:val="4F6228"/>
          <w:sz w:val="16"/>
          <w:szCs w:val="16"/>
          <w:lang w:val="fr-BE"/>
        </w:rPr>
        <w:t>Vandalisme, graffitis ou endommagement délibéré de biens</w:t>
      </w:r>
    </w:p>
    <w:p w:rsidR="00AC12B4" w:rsidRPr="00C27636" w:rsidRDefault="00AC12B4">
      <w:pPr>
        <w:spacing w:line="33" w:lineRule="exact"/>
        <w:rPr>
          <w:rFonts w:ascii="Calibri" w:eastAsia="Calibri" w:hAnsi="Calibri" w:cs="Calibri"/>
          <w:color w:val="4F6228"/>
          <w:sz w:val="16"/>
          <w:szCs w:val="16"/>
          <w:lang w:val="fr-BE"/>
        </w:rPr>
      </w:pPr>
    </w:p>
    <w:p w:rsidR="00AC12B4" w:rsidRPr="00C27636" w:rsidRDefault="00C27636">
      <w:pPr>
        <w:numPr>
          <w:ilvl w:val="0"/>
          <w:numId w:val="159"/>
        </w:numPr>
        <w:tabs>
          <w:tab w:val="left" w:pos="700"/>
        </w:tabs>
        <w:spacing w:line="219" w:lineRule="auto"/>
        <w:ind w:left="700" w:hanging="365"/>
        <w:rPr>
          <w:rFonts w:ascii="Calibri" w:eastAsia="Calibri" w:hAnsi="Calibri" w:cs="Calibri"/>
          <w:color w:val="4F6228"/>
          <w:sz w:val="16"/>
          <w:szCs w:val="16"/>
          <w:lang w:val="fr-BE"/>
        </w:rPr>
      </w:pPr>
      <w:r w:rsidRPr="00C27636">
        <w:rPr>
          <w:rFonts w:ascii="Calibri" w:eastAsia="Calibri" w:hAnsi="Calibri" w:cs="Calibri"/>
          <w:i/>
          <w:iCs/>
          <w:color w:val="4F6228"/>
          <w:sz w:val="16"/>
          <w:szCs w:val="16"/>
          <w:lang w:val="fr-BE"/>
        </w:rPr>
        <w:t>Manque d’accès à des parcs ou d’autres espaces publics verts ou récréatifs</w:t>
      </w:r>
    </w:p>
    <w:p w:rsidR="00AC12B4" w:rsidRPr="00C27636" w:rsidRDefault="00AC12B4">
      <w:pPr>
        <w:spacing w:line="289" w:lineRule="exact"/>
        <w:rPr>
          <w:sz w:val="20"/>
          <w:szCs w:val="20"/>
          <w:lang w:val="fr-BE"/>
        </w:rPr>
      </w:pPr>
    </w:p>
    <w:p w:rsidR="00AC12B4" w:rsidRPr="00C27636" w:rsidRDefault="00C27636">
      <w:pPr>
        <w:spacing w:line="224" w:lineRule="auto"/>
        <w:ind w:right="100" w:firstLine="341"/>
        <w:rPr>
          <w:sz w:val="20"/>
          <w:szCs w:val="20"/>
          <w:lang w:val="fr-BE"/>
        </w:rPr>
      </w:pPr>
      <w:r w:rsidRPr="00C27636">
        <w:rPr>
          <w:rFonts w:ascii="Calibri" w:eastAsia="Calibri" w:hAnsi="Calibri" w:cs="Calibri"/>
          <w:color w:val="4F6228"/>
          <w:sz w:val="20"/>
          <w:szCs w:val="20"/>
          <w:lang w:val="fr-BE"/>
        </w:rPr>
        <w:t xml:space="preserve">HE.02. </w:t>
      </w:r>
      <w:r w:rsidRPr="00C27636">
        <w:rPr>
          <w:rFonts w:ascii="Calibri" w:eastAsia="Calibri" w:hAnsi="Calibri" w:cs="Calibri"/>
          <w:i/>
          <w:iCs/>
          <w:color w:val="4F6228"/>
          <w:sz w:val="20"/>
          <w:szCs w:val="20"/>
          <w:lang w:val="fr-BE"/>
        </w:rPr>
        <w:t>Si vous pensez aux 12 derniers mois, quand vous</w:t>
      </w:r>
      <w:r w:rsidRPr="00C27636">
        <w:rPr>
          <w:rFonts w:ascii="Calibri" w:eastAsia="Calibri" w:hAnsi="Calibri" w:cs="Calibri"/>
          <w:color w:val="4F6228"/>
          <w:sz w:val="20"/>
          <w:szCs w:val="20"/>
          <w:lang w:val="fr-BE"/>
        </w:rPr>
        <w:t xml:space="preserve"> </w:t>
      </w:r>
      <w:r w:rsidRPr="00C27636">
        <w:rPr>
          <w:rFonts w:ascii="Calibri" w:eastAsia="Calibri" w:hAnsi="Calibri" w:cs="Calibri"/>
          <w:i/>
          <w:iCs/>
          <w:color w:val="4F6228"/>
          <w:sz w:val="20"/>
          <w:szCs w:val="20"/>
          <w:lang w:val="fr-BE"/>
        </w:rPr>
        <w:t xml:space="preserve">êtes ici, chez vous, de quelle façon êtes-vous gêné(e), affecté(e) </w:t>
      </w:r>
      <w:r w:rsidRPr="00C27636">
        <w:rPr>
          <w:rFonts w:ascii="Calibri" w:eastAsia="Calibri" w:hAnsi="Calibri" w:cs="Calibri"/>
          <w:i/>
          <w:iCs/>
          <w:color w:val="4F6228"/>
          <w:sz w:val="20"/>
          <w:szCs w:val="20"/>
          <w:lang w:val="fr-BE"/>
        </w:rPr>
        <w:t>ou ennuyé(e), par une des conditions suivantes ?</w:t>
      </w:r>
    </w:p>
    <w:p w:rsidR="00AC12B4" w:rsidRPr="00C27636" w:rsidRDefault="00AC12B4">
      <w:pPr>
        <w:spacing w:line="4" w:lineRule="exact"/>
        <w:rPr>
          <w:sz w:val="20"/>
          <w:szCs w:val="20"/>
          <w:lang w:val="fr-BE"/>
        </w:rPr>
      </w:pPr>
    </w:p>
    <w:p w:rsidR="00AC12B4" w:rsidRDefault="00C27636">
      <w:pPr>
        <w:numPr>
          <w:ilvl w:val="0"/>
          <w:numId w:val="160"/>
        </w:numPr>
        <w:tabs>
          <w:tab w:val="left" w:pos="700"/>
        </w:tabs>
        <w:ind w:left="700" w:hanging="365"/>
        <w:rPr>
          <w:rFonts w:ascii="Calibri" w:eastAsia="Calibri" w:hAnsi="Calibri" w:cs="Calibri"/>
          <w:color w:val="4F6228"/>
          <w:sz w:val="16"/>
          <w:szCs w:val="16"/>
        </w:rPr>
      </w:pPr>
      <w:r>
        <w:rPr>
          <w:rFonts w:ascii="Calibri" w:eastAsia="Calibri" w:hAnsi="Calibri" w:cs="Calibri"/>
          <w:i/>
          <w:iCs/>
          <w:color w:val="4F6228"/>
          <w:sz w:val="16"/>
          <w:szCs w:val="16"/>
        </w:rPr>
        <w:t>Pollution de l’air</w:t>
      </w:r>
    </w:p>
    <w:p w:rsidR="00AC12B4" w:rsidRPr="00C27636" w:rsidRDefault="00C27636">
      <w:pPr>
        <w:numPr>
          <w:ilvl w:val="0"/>
          <w:numId w:val="160"/>
        </w:numPr>
        <w:tabs>
          <w:tab w:val="left" w:pos="700"/>
        </w:tabs>
        <w:ind w:left="700" w:hanging="365"/>
        <w:rPr>
          <w:rFonts w:ascii="Calibri" w:eastAsia="Calibri" w:hAnsi="Calibri" w:cs="Calibri"/>
          <w:color w:val="4F6228"/>
          <w:sz w:val="16"/>
          <w:szCs w:val="16"/>
          <w:lang w:val="fr-BE"/>
        </w:rPr>
      </w:pPr>
      <w:r w:rsidRPr="00C27636">
        <w:rPr>
          <w:rFonts w:ascii="Calibri" w:eastAsia="Calibri" w:hAnsi="Calibri" w:cs="Calibri"/>
          <w:i/>
          <w:iCs/>
          <w:color w:val="4F6228"/>
          <w:sz w:val="16"/>
          <w:szCs w:val="16"/>
          <w:lang w:val="fr-BE"/>
        </w:rPr>
        <w:t>Mauvaises odeurs venant d’industries près de votre résidence</w:t>
      </w:r>
    </w:p>
    <w:p w:rsidR="00AC12B4" w:rsidRPr="00C27636" w:rsidRDefault="00AC12B4">
      <w:pPr>
        <w:spacing w:line="35" w:lineRule="exact"/>
        <w:rPr>
          <w:rFonts w:ascii="Calibri" w:eastAsia="Calibri" w:hAnsi="Calibri" w:cs="Calibri"/>
          <w:color w:val="4F6228"/>
          <w:sz w:val="16"/>
          <w:szCs w:val="16"/>
          <w:lang w:val="fr-BE"/>
        </w:rPr>
      </w:pPr>
    </w:p>
    <w:p w:rsidR="00AC12B4" w:rsidRPr="00C27636" w:rsidRDefault="00C27636">
      <w:pPr>
        <w:numPr>
          <w:ilvl w:val="0"/>
          <w:numId w:val="160"/>
        </w:numPr>
        <w:tabs>
          <w:tab w:val="left" w:pos="700"/>
        </w:tabs>
        <w:spacing w:line="218" w:lineRule="auto"/>
        <w:ind w:left="700" w:hanging="365"/>
        <w:rPr>
          <w:rFonts w:ascii="Calibri" w:eastAsia="Calibri" w:hAnsi="Calibri" w:cs="Calibri"/>
          <w:color w:val="4F6228"/>
          <w:sz w:val="16"/>
          <w:szCs w:val="16"/>
          <w:lang w:val="fr-BE"/>
        </w:rPr>
      </w:pPr>
      <w:r w:rsidRPr="00C27636">
        <w:rPr>
          <w:rFonts w:ascii="Calibri" w:eastAsia="Calibri" w:hAnsi="Calibri" w:cs="Calibri"/>
          <w:i/>
          <w:iCs/>
          <w:color w:val="4F6228"/>
          <w:sz w:val="16"/>
          <w:szCs w:val="16"/>
          <w:lang w:val="fr-BE"/>
        </w:rPr>
        <w:t>Mauvaises odeurs venant d’autres sources (égouts, déchets, engrais)</w:t>
      </w:r>
    </w:p>
    <w:p w:rsidR="00AC12B4" w:rsidRPr="00C27636" w:rsidRDefault="00AC12B4">
      <w:pPr>
        <w:spacing w:line="34" w:lineRule="exact"/>
        <w:rPr>
          <w:rFonts w:ascii="Calibri" w:eastAsia="Calibri" w:hAnsi="Calibri" w:cs="Calibri"/>
          <w:color w:val="4F6228"/>
          <w:sz w:val="16"/>
          <w:szCs w:val="16"/>
          <w:lang w:val="fr-BE"/>
        </w:rPr>
      </w:pPr>
    </w:p>
    <w:p w:rsidR="00AC12B4" w:rsidRPr="00C27636" w:rsidRDefault="00C27636">
      <w:pPr>
        <w:numPr>
          <w:ilvl w:val="0"/>
          <w:numId w:val="160"/>
        </w:numPr>
        <w:tabs>
          <w:tab w:val="left" w:pos="700"/>
        </w:tabs>
        <w:spacing w:line="219" w:lineRule="auto"/>
        <w:ind w:left="700" w:hanging="365"/>
        <w:rPr>
          <w:rFonts w:ascii="Calibri" w:eastAsia="Calibri" w:hAnsi="Calibri" w:cs="Calibri"/>
          <w:color w:val="4F6228"/>
          <w:sz w:val="16"/>
          <w:szCs w:val="16"/>
          <w:lang w:val="fr-BE"/>
        </w:rPr>
      </w:pPr>
      <w:r w:rsidRPr="00C27636">
        <w:rPr>
          <w:rFonts w:ascii="Calibri" w:eastAsia="Calibri" w:hAnsi="Calibri" w:cs="Calibri"/>
          <w:i/>
          <w:iCs/>
          <w:color w:val="4F6228"/>
          <w:sz w:val="16"/>
          <w:szCs w:val="16"/>
          <w:lang w:val="fr-BE"/>
        </w:rPr>
        <w:t xml:space="preserve">Vibrations dues au trafic routier, ferroviaire, aérien </w:t>
      </w:r>
      <w:r w:rsidRPr="00C27636">
        <w:rPr>
          <w:rFonts w:ascii="Calibri" w:eastAsia="Calibri" w:hAnsi="Calibri" w:cs="Calibri"/>
          <w:i/>
          <w:iCs/>
          <w:color w:val="4F6228"/>
          <w:sz w:val="16"/>
          <w:szCs w:val="16"/>
          <w:lang w:val="fr-BE"/>
        </w:rPr>
        <w:t>ou aux entreprises proches</w:t>
      </w:r>
    </w:p>
    <w:p w:rsidR="00AC12B4" w:rsidRDefault="00C27636">
      <w:pPr>
        <w:numPr>
          <w:ilvl w:val="0"/>
          <w:numId w:val="160"/>
        </w:numPr>
        <w:tabs>
          <w:tab w:val="left" w:pos="700"/>
        </w:tabs>
        <w:ind w:left="700" w:hanging="365"/>
        <w:rPr>
          <w:rFonts w:ascii="Calibri" w:eastAsia="Calibri" w:hAnsi="Calibri" w:cs="Calibri"/>
          <w:color w:val="4F6228"/>
          <w:sz w:val="16"/>
          <w:szCs w:val="16"/>
        </w:rPr>
      </w:pPr>
      <w:r>
        <w:rPr>
          <w:rFonts w:ascii="Calibri" w:eastAsia="Calibri" w:hAnsi="Calibri" w:cs="Calibri"/>
          <w:i/>
          <w:iCs/>
          <w:color w:val="4F6228"/>
          <w:sz w:val="16"/>
          <w:szCs w:val="16"/>
        </w:rPr>
        <w:t>Bruit du trafic routier</w:t>
      </w:r>
    </w:p>
    <w:p w:rsidR="00AC12B4" w:rsidRPr="00C27636" w:rsidRDefault="00C27636">
      <w:pPr>
        <w:numPr>
          <w:ilvl w:val="0"/>
          <w:numId w:val="160"/>
        </w:numPr>
        <w:tabs>
          <w:tab w:val="left" w:pos="700"/>
        </w:tabs>
        <w:ind w:left="700" w:hanging="365"/>
        <w:rPr>
          <w:rFonts w:ascii="Calibri" w:eastAsia="Calibri" w:hAnsi="Calibri" w:cs="Calibri"/>
          <w:color w:val="4F6228"/>
          <w:sz w:val="16"/>
          <w:szCs w:val="16"/>
          <w:lang w:val="fr-BE"/>
        </w:rPr>
      </w:pPr>
      <w:r w:rsidRPr="00C27636">
        <w:rPr>
          <w:rFonts w:ascii="Calibri" w:eastAsia="Calibri" w:hAnsi="Calibri" w:cs="Calibri"/>
          <w:i/>
          <w:iCs/>
          <w:color w:val="4F6228"/>
          <w:sz w:val="16"/>
          <w:szCs w:val="16"/>
          <w:lang w:val="fr-BE"/>
        </w:rPr>
        <w:t>Bruit du trafic ferroviaire, du tram ou du métro</w:t>
      </w:r>
    </w:p>
    <w:p w:rsidR="00AC12B4" w:rsidRDefault="00C27636">
      <w:pPr>
        <w:numPr>
          <w:ilvl w:val="0"/>
          <w:numId w:val="160"/>
        </w:numPr>
        <w:tabs>
          <w:tab w:val="left" w:pos="700"/>
        </w:tabs>
        <w:ind w:left="700" w:hanging="365"/>
        <w:rPr>
          <w:rFonts w:ascii="Calibri" w:eastAsia="Calibri" w:hAnsi="Calibri" w:cs="Calibri"/>
          <w:color w:val="4F6228"/>
          <w:sz w:val="16"/>
          <w:szCs w:val="16"/>
        </w:rPr>
      </w:pPr>
      <w:r>
        <w:rPr>
          <w:rFonts w:ascii="Calibri" w:eastAsia="Calibri" w:hAnsi="Calibri" w:cs="Calibri"/>
          <w:i/>
          <w:iCs/>
          <w:color w:val="4F6228"/>
          <w:sz w:val="16"/>
          <w:szCs w:val="16"/>
        </w:rPr>
        <w:t>Bruit du trafic aérien</w:t>
      </w:r>
    </w:p>
    <w:p w:rsidR="00AC12B4" w:rsidRPr="00C27636" w:rsidRDefault="00C27636">
      <w:pPr>
        <w:numPr>
          <w:ilvl w:val="0"/>
          <w:numId w:val="160"/>
        </w:numPr>
        <w:tabs>
          <w:tab w:val="left" w:pos="700"/>
        </w:tabs>
        <w:ind w:left="700" w:hanging="365"/>
        <w:rPr>
          <w:rFonts w:ascii="Calibri" w:eastAsia="Calibri" w:hAnsi="Calibri" w:cs="Calibri"/>
          <w:color w:val="4F6228"/>
          <w:sz w:val="16"/>
          <w:szCs w:val="16"/>
          <w:lang w:val="fr-BE"/>
        </w:rPr>
      </w:pPr>
      <w:r w:rsidRPr="00C27636">
        <w:rPr>
          <w:rFonts w:ascii="Calibri" w:eastAsia="Calibri" w:hAnsi="Calibri" w:cs="Calibri"/>
          <w:i/>
          <w:iCs/>
          <w:color w:val="4F6228"/>
          <w:sz w:val="16"/>
          <w:szCs w:val="16"/>
          <w:lang w:val="fr-BE"/>
        </w:rPr>
        <w:t>Bruit provenant des entreprises proches (usine, atelier)</w:t>
      </w:r>
    </w:p>
    <w:p w:rsidR="00AC12B4" w:rsidRPr="00C27636" w:rsidRDefault="00AC12B4">
      <w:pPr>
        <w:spacing w:line="2" w:lineRule="exact"/>
        <w:rPr>
          <w:rFonts w:ascii="Calibri" w:eastAsia="Calibri" w:hAnsi="Calibri" w:cs="Calibri"/>
          <w:color w:val="4F6228"/>
          <w:sz w:val="16"/>
          <w:szCs w:val="16"/>
          <w:lang w:val="fr-BE"/>
        </w:rPr>
      </w:pPr>
    </w:p>
    <w:p w:rsidR="00AC12B4" w:rsidRDefault="00C27636">
      <w:pPr>
        <w:numPr>
          <w:ilvl w:val="0"/>
          <w:numId w:val="160"/>
        </w:numPr>
        <w:tabs>
          <w:tab w:val="left" w:pos="700"/>
        </w:tabs>
        <w:ind w:left="700" w:hanging="365"/>
        <w:rPr>
          <w:rFonts w:ascii="Calibri" w:eastAsia="Calibri" w:hAnsi="Calibri" w:cs="Calibri"/>
          <w:color w:val="4F6228"/>
          <w:sz w:val="16"/>
          <w:szCs w:val="16"/>
        </w:rPr>
      </w:pPr>
      <w:r>
        <w:rPr>
          <w:rFonts w:ascii="Calibri" w:eastAsia="Calibri" w:hAnsi="Calibri" w:cs="Calibri"/>
          <w:i/>
          <w:iCs/>
          <w:color w:val="4F6228"/>
          <w:sz w:val="16"/>
          <w:szCs w:val="16"/>
        </w:rPr>
        <w:t>Bruit de voisinage</w:t>
      </w:r>
    </w:p>
    <w:p w:rsidR="00AC12B4" w:rsidRDefault="00AC12B4">
      <w:pPr>
        <w:spacing w:line="200" w:lineRule="exact"/>
        <w:rPr>
          <w:sz w:val="20"/>
          <w:szCs w:val="20"/>
        </w:rPr>
      </w:pPr>
    </w:p>
    <w:p w:rsidR="00AC12B4" w:rsidRDefault="00AC12B4">
      <w:pPr>
        <w:spacing w:line="204" w:lineRule="exact"/>
        <w:rPr>
          <w:sz w:val="20"/>
          <w:szCs w:val="20"/>
        </w:rPr>
      </w:pPr>
    </w:p>
    <w:p w:rsidR="00AC12B4" w:rsidRPr="00C27636" w:rsidRDefault="00C27636">
      <w:pPr>
        <w:spacing w:line="235" w:lineRule="auto"/>
        <w:ind w:left="500" w:right="520"/>
        <w:jc w:val="both"/>
        <w:rPr>
          <w:sz w:val="20"/>
          <w:szCs w:val="20"/>
          <w:lang w:val="fr-BE"/>
        </w:rPr>
      </w:pPr>
      <w:r w:rsidRPr="00C27636">
        <w:rPr>
          <w:rFonts w:ascii="Calibri" w:eastAsia="Calibri" w:hAnsi="Calibri" w:cs="Calibri"/>
          <w:lang w:val="fr-BE"/>
        </w:rPr>
        <w:t xml:space="preserve">L’Enquête Nationale de Santé base son échantillonnage </w:t>
      </w:r>
      <w:r w:rsidRPr="00C27636">
        <w:rPr>
          <w:rFonts w:ascii="Calibri" w:eastAsia="Calibri" w:hAnsi="Calibri" w:cs="Calibri"/>
          <w:lang w:val="fr-BE"/>
        </w:rPr>
        <w:t>sur le numéro de Registre National et mène les interviews au domicile des ménages sélectionnés. Les enfants en séjour illégal ou sans domicile fixe ne sont donc pas repris dans cette enquête. Ils sont pourtant plus que d’autres susceptibles de vivre dans u</w:t>
      </w:r>
      <w:r w:rsidRPr="00C27636">
        <w:rPr>
          <w:rFonts w:ascii="Calibri" w:eastAsia="Calibri" w:hAnsi="Calibri" w:cs="Calibri"/>
          <w:lang w:val="fr-BE"/>
        </w:rPr>
        <w:t>n environnement physique et social moins bon.</w:t>
      </w:r>
    </w:p>
    <w:p w:rsidR="00AC12B4" w:rsidRPr="00C27636" w:rsidRDefault="00AC12B4">
      <w:pPr>
        <w:spacing w:line="176" w:lineRule="exact"/>
        <w:rPr>
          <w:sz w:val="20"/>
          <w:szCs w:val="20"/>
          <w:lang w:val="fr-BE"/>
        </w:rPr>
      </w:pPr>
    </w:p>
    <w:p w:rsidR="00AC12B4" w:rsidRPr="00C27636" w:rsidRDefault="00C27636">
      <w:pPr>
        <w:spacing w:line="218" w:lineRule="auto"/>
        <w:ind w:left="500" w:right="520"/>
        <w:jc w:val="both"/>
        <w:rPr>
          <w:sz w:val="20"/>
          <w:szCs w:val="20"/>
          <w:lang w:val="fr-BE"/>
        </w:rPr>
      </w:pPr>
      <w:r w:rsidRPr="00C27636">
        <w:rPr>
          <w:rFonts w:ascii="Calibri" w:eastAsia="Calibri" w:hAnsi="Calibri" w:cs="Calibri"/>
          <w:lang w:val="fr-BE"/>
        </w:rPr>
        <w:t>La question n’est en outre pas posée au moins de 15 ans.</w:t>
      </w:r>
    </w:p>
    <w:p w:rsidR="00AC12B4" w:rsidRPr="00C27636" w:rsidRDefault="00AC12B4">
      <w:pPr>
        <w:spacing w:line="125" w:lineRule="exact"/>
        <w:rPr>
          <w:sz w:val="20"/>
          <w:szCs w:val="20"/>
          <w:lang w:val="fr-BE"/>
        </w:rPr>
      </w:pPr>
    </w:p>
    <w:p w:rsidR="00AC12B4" w:rsidRDefault="00C27636">
      <w:pPr>
        <w:numPr>
          <w:ilvl w:val="0"/>
          <w:numId w:val="161"/>
        </w:numPr>
        <w:tabs>
          <w:tab w:val="left" w:pos="1220"/>
        </w:tabs>
        <w:ind w:left="1220" w:hanging="360"/>
        <w:rPr>
          <w:rFonts w:ascii="Wingdings" w:eastAsia="Wingdings" w:hAnsi="Wingdings" w:cs="Wingdings"/>
          <w:color w:val="C9D11D"/>
        </w:rPr>
      </w:pPr>
      <w:r>
        <w:rPr>
          <w:rFonts w:ascii="Cambria" w:eastAsia="Cambria" w:hAnsi="Cambria" w:cs="Cambria"/>
          <w:i/>
          <w:iCs/>
          <w:color w:val="C9D11D"/>
        </w:rPr>
        <w:t>Recommandations</w:t>
      </w:r>
    </w:p>
    <w:p w:rsidR="00AC12B4" w:rsidRDefault="00AC12B4">
      <w:pPr>
        <w:spacing w:line="202" w:lineRule="exact"/>
        <w:rPr>
          <w:sz w:val="20"/>
          <w:szCs w:val="20"/>
        </w:rPr>
      </w:pPr>
    </w:p>
    <w:p w:rsidR="00AC12B4" w:rsidRPr="00C27636" w:rsidRDefault="00C27636">
      <w:pPr>
        <w:spacing w:line="229" w:lineRule="auto"/>
        <w:ind w:left="500" w:right="520"/>
        <w:jc w:val="both"/>
        <w:rPr>
          <w:sz w:val="20"/>
          <w:szCs w:val="20"/>
          <w:lang w:val="fr-BE"/>
        </w:rPr>
      </w:pPr>
      <w:r w:rsidRPr="00C27636">
        <w:rPr>
          <w:rFonts w:ascii="Calibri" w:eastAsia="Calibri" w:hAnsi="Calibri" w:cs="Calibri"/>
          <w:lang w:val="fr-BE"/>
        </w:rPr>
        <w:t xml:space="preserve">L’indicateur devrait être recentré sur l’enfant en couplant les questions de perception décrites ci-dessus avec le nombre d’enfants </w:t>
      </w:r>
      <w:r w:rsidRPr="00C27636">
        <w:rPr>
          <w:rFonts w:ascii="Calibri" w:eastAsia="Calibri" w:hAnsi="Calibri" w:cs="Calibri"/>
          <w:lang w:val="fr-BE"/>
        </w:rPr>
        <w:t>dans le ménage.</w:t>
      </w:r>
    </w:p>
    <w:p w:rsidR="00AC12B4" w:rsidRPr="00C27636" w:rsidRDefault="00AC12B4">
      <w:pPr>
        <w:spacing w:line="208" w:lineRule="exact"/>
        <w:rPr>
          <w:sz w:val="20"/>
          <w:szCs w:val="20"/>
          <w:lang w:val="fr-BE"/>
        </w:rPr>
      </w:pPr>
    </w:p>
    <w:p w:rsidR="00AC12B4" w:rsidRPr="00C27636" w:rsidRDefault="00C27636">
      <w:pPr>
        <w:ind w:left="500"/>
        <w:rPr>
          <w:sz w:val="20"/>
          <w:szCs w:val="20"/>
          <w:lang w:val="fr-BE"/>
        </w:rPr>
      </w:pPr>
      <w:r w:rsidRPr="00C27636">
        <w:rPr>
          <w:rFonts w:ascii="Cambria" w:eastAsia="Cambria" w:hAnsi="Cambria" w:cs="Cambria"/>
          <w:b/>
          <w:bCs/>
          <w:i/>
          <w:iCs/>
          <w:color w:val="919715"/>
          <w:sz w:val="26"/>
          <w:szCs w:val="26"/>
          <w:lang w:val="fr-BE"/>
        </w:rPr>
        <w:t>Pour aller plus loin</w:t>
      </w:r>
    </w:p>
    <w:p w:rsidR="00AC12B4" w:rsidRPr="00C27636" w:rsidRDefault="00AC12B4">
      <w:pPr>
        <w:spacing w:line="169" w:lineRule="exact"/>
        <w:rPr>
          <w:sz w:val="20"/>
          <w:szCs w:val="20"/>
          <w:lang w:val="fr-BE"/>
        </w:rPr>
      </w:pPr>
    </w:p>
    <w:p w:rsidR="00AC12B4" w:rsidRDefault="00C27636">
      <w:pPr>
        <w:tabs>
          <w:tab w:val="left" w:pos="900"/>
        </w:tabs>
        <w:spacing w:line="261" w:lineRule="auto"/>
        <w:ind w:left="920" w:right="520" w:hanging="359"/>
        <w:jc w:val="both"/>
        <w:rPr>
          <w:sz w:val="20"/>
          <w:szCs w:val="20"/>
        </w:rPr>
      </w:pPr>
      <w:r>
        <w:rPr>
          <w:rFonts w:ascii="Symbol" w:eastAsia="Symbol" w:hAnsi="Symbol" w:cs="Symbol"/>
          <w:sz w:val="20"/>
          <w:szCs w:val="20"/>
        </w:rPr>
        <w:t></w:t>
      </w:r>
      <w:r w:rsidRPr="00C27636">
        <w:rPr>
          <w:sz w:val="20"/>
          <w:szCs w:val="20"/>
          <w:lang w:val="fr-BE"/>
        </w:rPr>
        <w:tab/>
      </w:r>
      <w:r w:rsidRPr="00C27636">
        <w:rPr>
          <w:rFonts w:ascii="Calibri" w:eastAsia="Calibri" w:hAnsi="Calibri" w:cs="Calibri"/>
          <w:b/>
          <w:bCs/>
          <w:i/>
          <w:iCs/>
          <w:color w:val="C9D11D"/>
          <w:sz w:val="20"/>
          <w:szCs w:val="20"/>
          <w:lang w:val="fr-BE"/>
        </w:rPr>
        <w:t xml:space="preserve">Rapport HIS: </w:t>
      </w:r>
      <w:r w:rsidRPr="00C27636">
        <w:rPr>
          <w:rFonts w:ascii="Calibri" w:eastAsia="Calibri" w:hAnsi="Calibri" w:cs="Calibri"/>
          <w:color w:val="000000"/>
          <w:sz w:val="20"/>
          <w:szCs w:val="20"/>
          <w:lang w:val="fr-BE"/>
        </w:rPr>
        <w:t>Charafeddine, R.,</w:t>
      </w:r>
      <w:r w:rsidRPr="00C27636">
        <w:rPr>
          <w:rFonts w:ascii="Calibri" w:eastAsia="Calibri" w:hAnsi="Calibri" w:cs="Calibri"/>
          <w:b/>
          <w:bCs/>
          <w:i/>
          <w:iCs/>
          <w:color w:val="C9D11D"/>
          <w:sz w:val="20"/>
          <w:szCs w:val="20"/>
          <w:lang w:val="fr-BE"/>
        </w:rPr>
        <w:t xml:space="preserve"> </w:t>
      </w:r>
      <w:r w:rsidRPr="00C27636">
        <w:rPr>
          <w:rFonts w:ascii="Calibri" w:eastAsia="Calibri" w:hAnsi="Calibri" w:cs="Calibri"/>
          <w:i/>
          <w:iCs/>
          <w:color w:val="000000"/>
          <w:sz w:val="20"/>
          <w:szCs w:val="20"/>
          <w:lang w:val="fr-BE"/>
        </w:rPr>
        <w:t xml:space="preserve">Environnement, logement et tabagisme passif, </w:t>
      </w:r>
      <w:r w:rsidRPr="00C27636">
        <w:rPr>
          <w:rFonts w:ascii="Calibri" w:eastAsia="Calibri" w:hAnsi="Calibri" w:cs="Calibri"/>
          <w:color w:val="000000"/>
          <w:sz w:val="20"/>
          <w:szCs w:val="20"/>
          <w:lang w:val="fr-BE"/>
        </w:rPr>
        <w:t>dans: Charafeddine, R., Demarest,</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00"/>
          <w:sz w:val="20"/>
          <w:szCs w:val="20"/>
          <w:lang w:val="fr-BE"/>
        </w:rPr>
        <w:t xml:space="preserve">S., (éd.), </w:t>
      </w:r>
      <w:r w:rsidRPr="00C27636">
        <w:rPr>
          <w:rFonts w:ascii="Calibri" w:eastAsia="Calibri" w:hAnsi="Calibri" w:cs="Calibri"/>
          <w:i/>
          <w:iCs/>
          <w:color w:val="000000"/>
          <w:sz w:val="20"/>
          <w:szCs w:val="20"/>
          <w:lang w:val="fr-BE"/>
        </w:rPr>
        <w:t>Enquête de santé 2013.</w:t>
      </w:r>
      <w:r w:rsidRPr="00C27636">
        <w:rPr>
          <w:rFonts w:ascii="Calibri" w:eastAsia="Calibri" w:hAnsi="Calibri" w:cs="Calibri"/>
          <w:color w:val="000000"/>
          <w:sz w:val="20"/>
          <w:szCs w:val="20"/>
          <w:lang w:val="fr-BE"/>
        </w:rPr>
        <w:t xml:space="preserve"> </w:t>
      </w:r>
      <w:r>
        <w:rPr>
          <w:rFonts w:ascii="Calibri" w:eastAsia="Calibri" w:hAnsi="Calibri" w:cs="Calibri"/>
          <w:i/>
          <w:iCs/>
          <w:color w:val="000000"/>
          <w:sz w:val="20"/>
          <w:szCs w:val="20"/>
        </w:rPr>
        <w:t>Rapport 4 : Environnement physique et</w:t>
      </w:r>
    </w:p>
    <w:p w:rsidR="00AC12B4" w:rsidRDefault="00AC12B4">
      <w:pPr>
        <w:spacing w:line="67" w:lineRule="exact"/>
        <w:rPr>
          <w:sz w:val="20"/>
          <w:szCs w:val="20"/>
        </w:rPr>
      </w:pPr>
    </w:p>
    <w:p w:rsidR="00AC12B4" w:rsidRDefault="00C27636">
      <w:pPr>
        <w:ind w:left="920"/>
        <w:rPr>
          <w:sz w:val="20"/>
          <w:szCs w:val="20"/>
        </w:rPr>
      </w:pPr>
      <w:r>
        <w:rPr>
          <w:rFonts w:ascii="Calibri" w:eastAsia="Calibri" w:hAnsi="Calibri" w:cs="Calibri"/>
          <w:i/>
          <w:iCs/>
          <w:sz w:val="20"/>
          <w:szCs w:val="20"/>
        </w:rPr>
        <w:t>social</w:t>
      </w:r>
      <w:r>
        <w:rPr>
          <w:rFonts w:ascii="Calibri" w:eastAsia="Calibri" w:hAnsi="Calibri" w:cs="Calibri"/>
          <w:sz w:val="20"/>
          <w:szCs w:val="20"/>
        </w:rPr>
        <w:t xml:space="preserve">, Bruxelles, WIV-ISP, </w:t>
      </w:r>
      <w:r>
        <w:rPr>
          <w:rFonts w:ascii="Calibri" w:eastAsia="Calibri" w:hAnsi="Calibri" w:cs="Calibri"/>
          <w:sz w:val="20"/>
          <w:szCs w:val="20"/>
        </w:rPr>
        <w:t>2015.</w:t>
      </w:r>
    </w:p>
    <w:p w:rsidR="00AC12B4" w:rsidRDefault="00AC12B4">
      <w:pPr>
        <w:spacing w:line="38" w:lineRule="exact"/>
        <w:rPr>
          <w:sz w:val="20"/>
          <w:szCs w:val="20"/>
        </w:rPr>
      </w:pPr>
    </w:p>
    <w:p w:rsidR="00AC12B4" w:rsidRDefault="00C27636">
      <w:pPr>
        <w:numPr>
          <w:ilvl w:val="0"/>
          <w:numId w:val="162"/>
        </w:numPr>
        <w:tabs>
          <w:tab w:val="left" w:pos="920"/>
        </w:tabs>
        <w:ind w:left="920" w:hanging="352"/>
        <w:rPr>
          <w:rFonts w:ascii="Symbol" w:eastAsia="Symbol" w:hAnsi="Symbol" w:cs="Symbol"/>
          <w:sz w:val="20"/>
          <w:szCs w:val="20"/>
        </w:rPr>
      </w:pPr>
      <w:r>
        <w:rPr>
          <w:rFonts w:ascii="Calibri" w:eastAsia="Calibri" w:hAnsi="Calibri" w:cs="Calibri"/>
          <w:b/>
          <w:bCs/>
          <w:color w:val="C9D11D"/>
          <w:sz w:val="20"/>
          <w:szCs w:val="20"/>
        </w:rPr>
        <w:t>Campagnes lait maternel WHP</w:t>
      </w:r>
    </w:p>
    <w:p w:rsidR="00AC12B4" w:rsidRDefault="00AC12B4">
      <w:pPr>
        <w:spacing w:line="283" w:lineRule="exact"/>
        <w:rPr>
          <w:sz w:val="20"/>
          <w:szCs w:val="20"/>
        </w:rPr>
      </w:pPr>
    </w:p>
    <w:p w:rsidR="00AC12B4" w:rsidRPr="00C27636" w:rsidRDefault="00C27636">
      <w:pPr>
        <w:spacing w:line="217" w:lineRule="auto"/>
        <w:ind w:left="500" w:right="520"/>
        <w:rPr>
          <w:sz w:val="20"/>
          <w:szCs w:val="20"/>
          <w:lang w:val="fr-BE"/>
        </w:rPr>
      </w:pPr>
      <w:r w:rsidRPr="00C27636">
        <w:rPr>
          <w:rFonts w:ascii="Calibri" w:eastAsia="Calibri" w:hAnsi="Calibri" w:cs="Calibri"/>
          <w:sz w:val="20"/>
          <w:szCs w:val="20"/>
          <w:lang w:val="fr-BE"/>
        </w:rPr>
        <w:lastRenderedPageBreak/>
        <w:t>Les données des campagnes lait maternel auxquelles la Belgique a participé dans son</w:t>
      </w:r>
    </w:p>
    <w:p w:rsidR="00AC12B4" w:rsidRPr="00C27636" w:rsidRDefault="00AC12B4">
      <w:pPr>
        <w:spacing w:line="144" w:lineRule="exact"/>
        <w:rPr>
          <w:sz w:val="20"/>
          <w:szCs w:val="20"/>
          <w:lang w:val="fr-BE"/>
        </w:rPr>
      </w:pPr>
    </w:p>
    <w:p w:rsidR="00AC12B4" w:rsidRPr="00C27636" w:rsidRDefault="00C27636">
      <w:pPr>
        <w:ind w:left="4560"/>
        <w:rPr>
          <w:sz w:val="20"/>
          <w:szCs w:val="20"/>
          <w:lang w:val="fr-BE"/>
        </w:rPr>
      </w:pPr>
      <w:r w:rsidRPr="00C27636">
        <w:rPr>
          <w:rFonts w:ascii="Calibri" w:eastAsia="Calibri" w:hAnsi="Calibri" w:cs="Calibri"/>
          <w:lang w:val="fr-BE"/>
        </w:rPr>
        <w:t>100</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1" w:lineRule="exact"/>
        <w:rPr>
          <w:sz w:val="20"/>
          <w:szCs w:val="20"/>
          <w:lang w:val="fr-BE"/>
        </w:rPr>
      </w:pPr>
    </w:p>
    <w:p w:rsidR="00AC12B4" w:rsidRPr="00C27636" w:rsidRDefault="00C27636">
      <w:pPr>
        <w:spacing w:line="228" w:lineRule="auto"/>
        <w:ind w:left="280" w:right="737"/>
        <w:jc w:val="both"/>
        <w:rPr>
          <w:sz w:val="20"/>
          <w:szCs w:val="20"/>
          <w:lang w:val="fr-BE"/>
        </w:rPr>
      </w:pPr>
      <w:r w:rsidRPr="00C27636">
        <w:rPr>
          <w:rFonts w:ascii="Calibri" w:eastAsia="Calibri" w:hAnsi="Calibri" w:cs="Calibri"/>
          <w:sz w:val="20"/>
          <w:szCs w:val="20"/>
          <w:lang w:val="fr-BE"/>
        </w:rPr>
        <w:t xml:space="preserve">ensemble (mesure des polluants persistants dans le lait maternel) donnent des informations objectives et permettent de mesurer </w:t>
      </w:r>
      <w:r w:rsidRPr="00C27636">
        <w:rPr>
          <w:rFonts w:ascii="Calibri" w:eastAsia="Calibri" w:hAnsi="Calibri" w:cs="Calibri"/>
          <w:sz w:val="20"/>
          <w:szCs w:val="20"/>
          <w:lang w:val="fr-BE"/>
        </w:rPr>
        <w:t>l’évolution dans le temps.</w:t>
      </w:r>
    </w:p>
    <w:p w:rsidR="00AC12B4" w:rsidRPr="00C27636" w:rsidRDefault="00AC12B4">
      <w:pPr>
        <w:spacing w:line="73" w:lineRule="exact"/>
        <w:rPr>
          <w:sz w:val="20"/>
          <w:szCs w:val="20"/>
          <w:lang w:val="fr-BE"/>
        </w:rPr>
      </w:pPr>
    </w:p>
    <w:p w:rsidR="00AC12B4" w:rsidRPr="00C27636" w:rsidRDefault="00C27636">
      <w:pPr>
        <w:tabs>
          <w:tab w:val="left" w:pos="980"/>
          <w:tab w:val="left" w:pos="2520"/>
          <w:tab w:val="left" w:pos="3540"/>
        </w:tabs>
        <w:ind w:left="360"/>
        <w:rPr>
          <w:sz w:val="20"/>
          <w:szCs w:val="20"/>
          <w:lang w:val="fr-BE"/>
        </w:rPr>
      </w:pPr>
      <w:r>
        <w:rPr>
          <w:rFonts w:ascii="Symbol" w:eastAsia="Symbol" w:hAnsi="Symbol" w:cs="Symbol"/>
          <w:sz w:val="20"/>
          <w:szCs w:val="20"/>
        </w:rPr>
        <w:t></w:t>
      </w:r>
      <w:r w:rsidRPr="00C27636">
        <w:rPr>
          <w:sz w:val="20"/>
          <w:szCs w:val="20"/>
          <w:lang w:val="fr-BE"/>
        </w:rPr>
        <w:tab/>
      </w:r>
      <w:r w:rsidRPr="00C27636">
        <w:rPr>
          <w:rFonts w:ascii="Calibri" w:eastAsia="Calibri" w:hAnsi="Calibri" w:cs="Calibri"/>
          <w:b/>
          <w:bCs/>
          <w:i/>
          <w:iCs/>
          <w:color w:val="C9D11D"/>
          <w:sz w:val="20"/>
          <w:szCs w:val="20"/>
          <w:lang w:val="fr-BE"/>
        </w:rPr>
        <w:t>Pollution</w:t>
      </w:r>
      <w:r w:rsidRPr="00C27636">
        <w:rPr>
          <w:sz w:val="20"/>
          <w:szCs w:val="20"/>
          <w:lang w:val="fr-BE"/>
        </w:rPr>
        <w:tab/>
      </w:r>
      <w:r w:rsidRPr="00C27636">
        <w:rPr>
          <w:rFonts w:ascii="Calibri" w:eastAsia="Calibri" w:hAnsi="Calibri" w:cs="Calibri"/>
          <w:b/>
          <w:bCs/>
          <w:color w:val="C9D11D"/>
          <w:sz w:val="20"/>
          <w:szCs w:val="20"/>
          <w:lang w:val="fr-BE"/>
        </w:rPr>
        <w:t>de</w:t>
      </w:r>
      <w:r w:rsidRPr="00C27636">
        <w:rPr>
          <w:sz w:val="20"/>
          <w:szCs w:val="20"/>
          <w:lang w:val="fr-BE"/>
        </w:rPr>
        <w:tab/>
      </w:r>
      <w:r w:rsidRPr="00C27636">
        <w:rPr>
          <w:rFonts w:ascii="Calibri" w:eastAsia="Calibri" w:hAnsi="Calibri" w:cs="Calibri"/>
          <w:b/>
          <w:bCs/>
          <w:color w:val="C9D11D"/>
          <w:sz w:val="20"/>
          <w:szCs w:val="20"/>
          <w:lang w:val="fr-BE"/>
        </w:rPr>
        <w:t>l’air</w:t>
      </w:r>
    </w:p>
    <w:p w:rsidR="00AC12B4" w:rsidRPr="00C27636" w:rsidRDefault="00AC12B4">
      <w:pPr>
        <w:spacing w:line="85" w:lineRule="exact"/>
        <w:rPr>
          <w:sz w:val="20"/>
          <w:szCs w:val="20"/>
          <w:lang w:val="fr-BE"/>
        </w:rPr>
      </w:pPr>
    </w:p>
    <w:p w:rsidR="00AC12B4" w:rsidRPr="00C27636" w:rsidRDefault="00C27636">
      <w:pPr>
        <w:ind w:left="440"/>
        <w:rPr>
          <w:sz w:val="20"/>
          <w:szCs w:val="20"/>
          <w:lang w:val="fr-BE"/>
        </w:rPr>
      </w:pPr>
      <w:r w:rsidRPr="00C27636">
        <w:rPr>
          <w:rFonts w:ascii="Calibri" w:eastAsia="Calibri" w:hAnsi="Calibri" w:cs="Calibri"/>
          <w:b/>
          <w:bCs/>
          <w:color w:val="C9D11D"/>
          <w:sz w:val="20"/>
          <w:szCs w:val="20"/>
          <w:lang w:val="fr-BE"/>
        </w:rPr>
        <w:t xml:space="preserve">intérieur/extérieur </w:t>
      </w:r>
      <w:r w:rsidRPr="00C27636">
        <w:rPr>
          <w:rFonts w:ascii="Calibri" w:eastAsia="Calibri" w:hAnsi="Calibri" w:cs="Calibri"/>
          <w:color w:val="C9D11D"/>
          <w:sz w:val="20"/>
          <w:szCs w:val="20"/>
          <w:lang w:val="fr-BE"/>
        </w:rPr>
        <w:t>:</w:t>
      </w:r>
    </w:p>
    <w:p w:rsidR="00AC12B4" w:rsidRPr="00C27636" w:rsidRDefault="00AC12B4">
      <w:pPr>
        <w:spacing w:line="83" w:lineRule="exact"/>
        <w:rPr>
          <w:sz w:val="20"/>
          <w:szCs w:val="20"/>
          <w:lang w:val="fr-BE"/>
        </w:rPr>
      </w:pPr>
    </w:p>
    <w:p w:rsidR="00AC12B4" w:rsidRPr="00C27636" w:rsidRDefault="00C27636">
      <w:pPr>
        <w:numPr>
          <w:ilvl w:val="0"/>
          <w:numId w:val="163"/>
        </w:numPr>
        <w:tabs>
          <w:tab w:val="left" w:pos="720"/>
        </w:tabs>
        <w:spacing w:line="235" w:lineRule="auto"/>
        <w:ind w:left="720" w:right="737" w:hanging="86"/>
        <w:jc w:val="both"/>
        <w:rPr>
          <w:rFonts w:ascii="Calibri" w:eastAsia="Calibri" w:hAnsi="Calibri" w:cs="Calibri"/>
          <w:sz w:val="20"/>
          <w:szCs w:val="20"/>
          <w:lang w:val="fr-BE"/>
        </w:rPr>
      </w:pPr>
      <w:r w:rsidRPr="00C27636">
        <w:rPr>
          <w:rFonts w:ascii="Calibri" w:eastAsia="Calibri" w:hAnsi="Calibri" w:cs="Calibri"/>
          <w:sz w:val="20"/>
          <w:szCs w:val="20"/>
          <w:lang w:val="fr-BE"/>
        </w:rPr>
        <w:t>Etude Hygiène Publique et Hainaut asbl Hainaut Vigilance Sanitaire,</w:t>
      </w:r>
    </w:p>
    <w:p w:rsidR="00AC12B4" w:rsidRPr="00C27636" w:rsidRDefault="00AC12B4">
      <w:pPr>
        <w:spacing w:line="83" w:lineRule="exact"/>
        <w:rPr>
          <w:rFonts w:ascii="Calibri" w:eastAsia="Calibri" w:hAnsi="Calibri" w:cs="Calibri"/>
          <w:sz w:val="20"/>
          <w:szCs w:val="20"/>
          <w:lang w:val="fr-BE"/>
        </w:rPr>
      </w:pPr>
    </w:p>
    <w:p w:rsidR="00AC12B4" w:rsidRPr="00C27636" w:rsidRDefault="00C27636">
      <w:pPr>
        <w:spacing w:line="260" w:lineRule="auto"/>
        <w:ind w:left="720" w:right="737" w:firstLine="2"/>
        <w:jc w:val="both"/>
        <w:rPr>
          <w:rFonts w:ascii="Calibri" w:eastAsia="Calibri" w:hAnsi="Calibri" w:cs="Calibri"/>
          <w:sz w:val="20"/>
          <w:szCs w:val="20"/>
          <w:lang w:val="fr-BE"/>
        </w:rPr>
      </w:pPr>
      <w:r w:rsidRPr="00C27636">
        <w:rPr>
          <w:rFonts w:ascii="Calibri" w:eastAsia="Calibri" w:hAnsi="Calibri" w:cs="Calibri"/>
          <w:i/>
          <w:iCs/>
          <w:sz w:val="20"/>
          <w:szCs w:val="20"/>
          <w:lang w:val="fr-BE"/>
        </w:rPr>
        <w:t>Etude« Crèches »: élaboration d’un instrument en vue d’évaluer et le milieu intérieur et analyse de celui-ci</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2009</w:t>
      </w:r>
    </w:p>
    <w:p w:rsidR="00AC12B4" w:rsidRPr="00C27636" w:rsidRDefault="00AC12B4">
      <w:pPr>
        <w:spacing w:line="18" w:lineRule="exact"/>
        <w:rPr>
          <w:rFonts w:ascii="Calibri" w:eastAsia="Calibri" w:hAnsi="Calibri" w:cs="Calibri"/>
          <w:sz w:val="20"/>
          <w:szCs w:val="20"/>
          <w:lang w:val="fr-BE"/>
        </w:rPr>
      </w:pPr>
    </w:p>
    <w:p w:rsidR="00AC12B4" w:rsidRDefault="00C27636">
      <w:pPr>
        <w:numPr>
          <w:ilvl w:val="0"/>
          <w:numId w:val="163"/>
        </w:numPr>
        <w:tabs>
          <w:tab w:val="left" w:pos="720"/>
        </w:tabs>
        <w:ind w:left="720" w:hanging="81"/>
        <w:rPr>
          <w:rFonts w:ascii="Calibri" w:eastAsia="Calibri" w:hAnsi="Calibri" w:cs="Calibri"/>
          <w:sz w:val="20"/>
          <w:szCs w:val="20"/>
        </w:rPr>
      </w:pPr>
      <w:r>
        <w:rPr>
          <w:rFonts w:ascii="Calibri" w:eastAsia="Calibri" w:hAnsi="Calibri" w:cs="Calibri"/>
          <w:sz w:val="20"/>
          <w:szCs w:val="20"/>
        </w:rPr>
        <w:t>Exposition    au    tabac :    ENHIS</w:t>
      </w:r>
    </w:p>
    <w:p w:rsidR="00AC12B4" w:rsidRDefault="00AC12B4">
      <w:pPr>
        <w:spacing w:line="83" w:lineRule="exact"/>
        <w:rPr>
          <w:rFonts w:ascii="Calibri" w:eastAsia="Calibri" w:hAnsi="Calibri" w:cs="Calibri"/>
          <w:sz w:val="20"/>
          <w:szCs w:val="20"/>
        </w:rPr>
      </w:pPr>
    </w:p>
    <w:p w:rsidR="00AC12B4" w:rsidRPr="00C27636" w:rsidRDefault="00C27636">
      <w:pPr>
        <w:spacing w:line="235" w:lineRule="auto"/>
        <w:ind w:left="720" w:right="737"/>
        <w:jc w:val="both"/>
        <w:rPr>
          <w:rFonts w:ascii="Calibri" w:eastAsia="Calibri" w:hAnsi="Calibri" w:cs="Calibri"/>
          <w:sz w:val="20"/>
          <w:szCs w:val="20"/>
          <w:lang w:val="fr-BE"/>
        </w:rPr>
      </w:pPr>
      <w:r w:rsidRPr="00C27636">
        <w:rPr>
          <w:rFonts w:ascii="Calibri" w:eastAsia="Calibri" w:hAnsi="Calibri" w:cs="Calibri"/>
          <w:sz w:val="20"/>
          <w:szCs w:val="20"/>
          <w:lang w:val="fr-BE"/>
        </w:rPr>
        <w:t>(remarque : pas de chiffres sur l’exposition passive de jeunes en</w:t>
      </w:r>
    </w:p>
    <w:p w:rsidR="00AC12B4" w:rsidRPr="00C27636" w:rsidRDefault="00AC12B4">
      <w:pPr>
        <w:spacing w:line="83" w:lineRule="exact"/>
        <w:rPr>
          <w:rFonts w:ascii="Calibri" w:eastAsia="Calibri" w:hAnsi="Calibri" w:cs="Calibri"/>
          <w:sz w:val="20"/>
          <w:szCs w:val="20"/>
          <w:lang w:val="fr-BE"/>
        </w:rPr>
      </w:pPr>
    </w:p>
    <w:p w:rsidR="00AC12B4" w:rsidRPr="00C27636" w:rsidRDefault="00C27636">
      <w:pPr>
        <w:spacing w:line="235" w:lineRule="auto"/>
        <w:ind w:left="720" w:right="737" w:hanging="2"/>
        <w:rPr>
          <w:rFonts w:ascii="Calibri" w:eastAsia="Calibri" w:hAnsi="Calibri" w:cs="Calibri"/>
          <w:sz w:val="20"/>
          <w:szCs w:val="20"/>
          <w:lang w:val="fr-BE"/>
        </w:rPr>
      </w:pPr>
      <w:r w:rsidRPr="00C27636">
        <w:rPr>
          <w:rFonts w:ascii="Calibri" w:eastAsia="Calibri" w:hAnsi="Calibri" w:cs="Calibri"/>
          <w:sz w:val="20"/>
          <w:szCs w:val="20"/>
          <w:lang w:val="fr-BE"/>
        </w:rPr>
        <w:t>Belgique dans ENHIS alors que bien prévu pour d’autres pays !)</w:t>
      </w:r>
    </w:p>
    <w:p w:rsidR="00AC12B4" w:rsidRPr="00C27636" w:rsidRDefault="00AC12B4">
      <w:pPr>
        <w:spacing w:line="83" w:lineRule="exact"/>
        <w:rPr>
          <w:rFonts w:ascii="Calibri" w:eastAsia="Calibri" w:hAnsi="Calibri" w:cs="Calibri"/>
          <w:sz w:val="20"/>
          <w:szCs w:val="20"/>
          <w:lang w:val="fr-BE"/>
        </w:rPr>
      </w:pPr>
    </w:p>
    <w:p w:rsidR="00AC12B4" w:rsidRPr="00C27636" w:rsidRDefault="00C27636">
      <w:pPr>
        <w:spacing w:line="228" w:lineRule="auto"/>
        <w:ind w:left="720" w:right="737" w:hanging="70"/>
        <w:rPr>
          <w:rFonts w:ascii="Calibri" w:eastAsia="Calibri" w:hAnsi="Calibri" w:cs="Calibri"/>
          <w:sz w:val="20"/>
          <w:szCs w:val="20"/>
          <w:lang w:val="fr-BE"/>
        </w:rPr>
      </w:pPr>
      <w:r w:rsidRPr="00C27636">
        <w:rPr>
          <w:rFonts w:ascii="Calibri" w:eastAsia="Calibri" w:hAnsi="Calibri" w:cs="Calibri"/>
          <w:sz w:val="20"/>
          <w:szCs w:val="20"/>
          <w:lang w:val="fr-BE"/>
        </w:rPr>
        <w:t>- Exposition de la population de chaque commune wallonne à la pollution de l’air : cr</w:t>
      </w:r>
      <w:r w:rsidRPr="00C27636">
        <w:rPr>
          <w:rFonts w:ascii="Calibri" w:eastAsia="Calibri" w:hAnsi="Calibri" w:cs="Calibri"/>
          <w:sz w:val="20"/>
          <w:szCs w:val="20"/>
          <w:lang w:val="fr-BE"/>
        </w:rPr>
        <w:t>oisant localisation résidentielle des habitants et qualité de l’air</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72"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4F81BD"/>
          <w:sz w:val="20"/>
          <w:szCs w:val="20"/>
          <w:lang w:val="fr-BE"/>
        </w:rPr>
        <w:t>Figure 1. IWEPS</w:t>
      </w:r>
    </w:p>
    <w:p w:rsidR="00AC12B4" w:rsidRPr="00C27636" w:rsidRDefault="00AC12B4">
      <w:pPr>
        <w:spacing w:line="247" w:lineRule="exact"/>
        <w:rPr>
          <w:sz w:val="20"/>
          <w:szCs w:val="20"/>
          <w:lang w:val="fr-BE"/>
        </w:rPr>
      </w:pPr>
    </w:p>
    <w:p w:rsidR="00AC12B4" w:rsidRPr="00C27636" w:rsidRDefault="00C27636">
      <w:pPr>
        <w:spacing w:line="237" w:lineRule="auto"/>
        <w:ind w:left="720" w:right="737"/>
        <w:jc w:val="both"/>
        <w:rPr>
          <w:sz w:val="20"/>
          <w:szCs w:val="20"/>
          <w:lang w:val="fr-BE"/>
        </w:rPr>
      </w:pPr>
      <w:r w:rsidRPr="00C27636">
        <w:rPr>
          <w:rFonts w:ascii="Calibri" w:eastAsia="Calibri" w:hAnsi="Calibri" w:cs="Calibri"/>
          <w:sz w:val="20"/>
          <w:szCs w:val="20"/>
          <w:lang w:val="fr-BE"/>
        </w:rPr>
        <w:t xml:space="preserve">La carte montre qu’un plus grand nombre d’habitants sont exposés à des pollutions de l’air sur un axe continu ouest-est formé notamment par les villes </w:t>
      </w:r>
      <w:r w:rsidRPr="00C27636">
        <w:rPr>
          <w:rFonts w:ascii="Calibri" w:eastAsia="Calibri" w:hAnsi="Calibri" w:cs="Calibri"/>
          <w:sz w:val="20"/>
          <w:szCs w:val="20"/>
          <w:lang w:val="fr-BE"/>
        </w:rPr>
        <w:t>wallonnes suivantes: Mons puis le sillon Sambre-et-Meuse, avec notamment les agglomérations de Charleroi, Namur, Liège et Verviers. Des expositions importantes sont également mesurées pour les communes du nord des provinces du Hainaut, du Brabant wallon et</w:t>
      </w:r>
      <w:r w:rsidRPr="00C27636">
        <w:rPr>
          <w:rFonts w:ascii="Calibri" w:eastAsia="Calibri" w:hAnsi="Calibri" w:cs="Calibri"/>
          <w:sz w:val="20"/>
          <w:szCs w:val="20"/>
          <w:lang w:val="fr-BE"/>
        </w:rPr>
        <w:t xml:space="preserve"> de Liège. L’indice est par contre graduellement de plus en plus bas vers le sud de la Région. Cet indice est repris dans l’Indicateur Synthétique de l’Accès aux Droits Fondamentaux</w:t>
      </w:r>
    </w:p>
    <w:p w:rsidR="00AC12B4" w:rsidRPr="00C27636" w:rsidRDefault="00AC12B4">
      <w:pPr>
        <w:rPr>
          <w:lang w:val="fr-BE"/>
        </w:rPr>
        <w:sectPr w:rsidR="00AC12B4" w:rsidRPr="00C27636">
          <w:pgSz w:w="12080" w:h="17179"/>
          <w:pgMar w:top="1440" w:right="1440" w:bottom="659" w:left="485" w:header="0" w:footer="0" w:gutter="0"/>
          <w:cols w:num="3" w:space="720" w:equalWidth="0">
            <w:col w:w="342" w:space="113"/>
            <w:col w:w="4900" w:space="180"/>
            <w:col w:w="4617"/>
          </w:cols>
        </w:sectPr>
      </w:pPr>
    </w:p>
    <w:p w:rsidR="00AC12B4" w:rsidRPr="00C27636" w:rsidRDefault="00AC12B4">
      <w:pPr>
        <w:spacing w:line="211" w:lineRule="exact"/>
        <w:rPr>
          <w:sz w:val="20"/>
          <w:szCs w:val="20"/>
          <w:lang w:val="fr-BE"/>
        </w:rPr>
      </w:pPr>
      <w:bookmarkStart w:id="100" w:name="page101"/>
      <w:bookmarkEnd w:id="100"/>
    </w:p>
    <w:p w:rsidR="00AC12B4" w:rsidRPr="00C27636" w:rsidRDefault="00C27636">
      <w:pPr>
        <w:spacing w:line="217" w:lineRule="auto"/>
        <w:ind w:left="1280" w:right="520"/>
        <w:jc w:val="both"/>
        <w:rPr>
          <w:sz w:val="20"/>
          <w:szCs w:val="20"/>
          <w:lang w:val="fr-BE"/>
        </w:rPr>
      </w:pPr>
      <w:r w:rsidRPr="00C27636">
        <w:rPr>
          <w:rFonts w:ascii="Calibri" w:eastAsia="Calibri" w:hAnsi="Calibri" w:cs="Calibri"/>
          <w:sz w:val="20"/>
          <w:szCs w:val="20"/>
          <w:lang w:val="fr-BE"/>
        </w:rPr>
        <w:t>(ISADF) développé en Région Wallonne par l’</w:t>
      </w:r>
      <w:r w:rsidRPr="00C27636">
        <w:rPr>
          <w:rFonts w:ascii="Calibri" w:eastAsia="Calibri" w:hAnsi="Calibri" w:cs="Calibri"/>
          <w:sz w:val="20"/>
          <w:szCs w:val="20"/>
          <w:lang w:val="fr-BE"/>
        </w:rPr>
        <w:t>IWEPS.</w:t>
      </w:r>
    </w:p>
    <w:p w:rsidR="00AC12B4" w:rsidRPr="00C27636" w:rsidRDefault="00C27636">
      <w:pPr>
        <w:spacing w:line="239" w:lineRule="auto"/>
        <w:ind w:left="1280"/>
        <w:rPr>
          <w:sz w:val="20"/>
          <w:szCs w:val="20"/>
          <w:lang w:val="fr-BE"/>
        </w:rPr>
      </w:pPr>
      <w:r w:rsidRPr="00C27636">
        <w:rPr>
          <w:rFonts w:ascii="Calibri" w:eastAsia="Calibri" w:hAnsi="Calibri" w:cs="Calibri"/>
          <w:sz w:val="20"/>
          <w:szCs w:val="20"/>
          <w:lang w:val="fr-BE"/>
        </w:rPr>
        <w:t>Les données sur la pollution de l’air</w:t>
      </w:r>
    </w:p>
    <w:p w:rsidR="00AC12B4" w:rsidRPr="00C27636" w:rsidRDefault="00AC12B4">
      <w:pPr>
        <w:spacing w:line="47" w:lineRule="exact"/>
        <w:rPr>
          <w:sz w:val="20"/>
          <w:szCs w:val="20"/>
          <w:lang w:val="fr-BE"/>
        </w:rPr>
      </w:pPr>
    </w:p>
    <w:p w:rsidR="00AC12B4" w:rsidRPr="00C27636" w:rsidRDefault="00C27636">
      <w:pPr>
        <w:spacing w:line="233" w:lineRule="auto"/>
        <w:ind w:left="1280" w:right="520"/>
        <w:jc w:val="both"/>
        <w:rPr>
          <w:sz w:val="20"/>
          <w:szCs w:val="20"/>
          <w:lang w:val="fr-BE"/>
        </w:rPr>
      </w:pPr>
      <w:r w:rsidRPr="00C27636">
        <w:rPr>
          <w:rFonts w:ascii="Calibri" w:eastAsia="Calibri" w:hAnsi="Calibri" w:cs="Calibri"/>
          <w:sz w:val="20"/>
          <w:szCs w:val="20"/>
          <w:lang w:val="fr-BE"/>
        </w:rPr>
        <w:t>proviennent de la Cellule Interrégionale de l'Environnement (CELINE– www.irceline.be). Elles sont donc disponibles au niveau national et pourraient être à la base d’une mesure nationale centrée sur les enfants.</w:t>
      </w:r>
    </w:p>
    <w:p w:rsidR="00AC12B4" w:rsidRPr="00C27636" w:rsidRDefault="00AC12B4">
      <w:pPr>
        <w:spacing w:line="170" w:lineRule="exact"/>
        <w:rPr>
          <w:sz w:val="20"/>
          <w:szCs w:val="20"/>
          <w:lang w:val="fr-BE"/>
        </w:rPr>
      </w:pPr>
    </w:p>
    <w:p w:rsidR="00AC12B4" w:rsidRPr="00C27636" w:rsidRDefault="00C27636">
      <w:pPr>
        <w:numPr>
          <w:ilvl w:val="1"/>
          <w:numId w:val="164"/>
        </w:numPr>
        <w:tabs>
          <w:tab w:val="left" w:pos="1280"/>
        </w:tabs>
        <w:ind w:left="1280" w:right="680" w:hanging="365"/>
        <w:rPr>
          <w:rFonts w:ascii="Calibri" w:eastAsia="Calibri" w:hAnsi="Calibri" w:cs="Calibri"/>
          <w:color w:val="0000FF"/>
          <w:sz w:val="19"/>
          <w:szCs w:val="19"/>
          <w:u w:val="single"/>
          <w:lang w:val="fr-BE"/>
        </w:rPr>
      </w:pPr>
      <w:r w:rsidRPr="00C27636">
        <w:rPr>
          <w:rFonts w:ascii="Calibri" w:eastAsia="Calibri" w:hAnsi="Calibri" w:cs="Calibri"/>
          <w:sz w:val="19"/>
          <w:szCs w:val="19"/>
          <w:lang w:val="fr-BE"/>
        </w:rPr>
        <w:t xml:space="preserve">Voir aussi pour la Flandre : </w:t>
      </w:r>
      <w:hyperlink r:id="rId170">
        <w:r w:rsidRPr="00C27636">
          <w:rPr>
            <w:rFonts w:ascii="Calibri" w:eastAsia="Calibri" w:hAnsi="Calibri" w:cs="Calibri"/>
            <w:color w:val="0000FF"/>
            <w:sz w:val="19"/>
            <w:szCs w:val="19"/>
            <w:u w:val="single"/>
            <w:lang w:val="fr-BE"/>
          </w:rPr>
          <w:t>http://www.irceline.be/shared/gaat-</w:t>
        </w:r>
      </w:hyperlink>
      <w:hyperlink r:id="rId171">
        <w:r w:rsidRPr="00C27636">
          <w:rPr>
            <w:rFonts w:ascii="Calibri" w:eastAsia="Calibri" w:hAnsi="Calibri" w:cs="Calibri"/>
            <w:color w:val="0000FF"/>
            <w:sz w:val="19"/>
            <w:szCs w:val="19"/>
            <w:u w:val="single"/>
            <w:lang w:val="fr-BE"/>
          </w:rPr>
          <w:t>het-met-luchtkwaliteit-in-ons-land-</w:t>
        </w:r>
      </w:hyperlink>
      <w:hyperlink r:id="rId172">
        <w:r w:rsidRPr="00C27636">
          <w:rPr>
            <w:rFonts w:ascii="Calibri" w:eastAsia="Calibri" w:hAnsi="Calibri" w:cs="Calibri"/>
            <w:color w:val="0000FF"/>
            <w:sz w:val="19"/>
            <w:szCs w:val="19"/>
            <w:u w:val="single"/>
            <w:lang w:val="fr-BE"/>
          </w:rPr>
          <w:t>effectief-de-slechte-kant-op</w:t>
        </w:r>
      </w:hyperlink>
    </w:p>
    <w:p w:rsidR="00AC12B4" w:rsidRPr="00C27636" w:rsidRDefault="00AC12B4">
      <w:pPr>
        <w:spacing w:line="4" w:lineRule="exact"/>
        <w:rPr>
          <w:rFonts w:ascii="Calibri" w:eastAsia="Calibri" w:hAnsi="Calibri" w:cs="Calibri"/>
          <w:color w:val="0000FF"/>
          <w:sz w:val="19"/>
          <w:szCs w:val="19"/>
          <w:u w:val="single"/>
          <w:lang w:val="fr-BE"/>
        </w:rPr>
      </w:pPr>
    </w:p>
    <w:p w:rsidR="00AC12B4" w:rsidRDefault="00C27636">
      <w:pPr>
        <w:numPr>
          <w:ilvl w:val="0"/>
          <w:numId w:val="164"/>
        </w:numPr>
        <w:tabs>
          <w:tab w:val="left" w:pos="1000"/>
        </w:tabs>
        <w:ind w:left="1000" w:hanging="366"/>
        <w:rPr>
          <w:rFonts w:ascii="Symbol" w:eastAsia="Symbol" w:hAnsi="Symbol" w:cs="Symbol"/>
          <w:sz w:val="20"/>
          <w:szCs w:val="20"/>
        </w:rPr>
      </w:pPr>
      <w:r>
        <w:rPr>
          <w:rFonts w:ascii="Calibri" w:eastAsia="Calibri" w:hAnsi="Calibri" w:cs="Calibri"/>
          <w:b/>
          <w:bCs/>
          <w:i/>
          <w:iCs/>
          <w:color w:val="C9D11D"/>
          <w:sz w:val="20"/>
          <w:szCs w:val="20"/>
        </w:rPr>
        <w:t>D’autres types de pollution:</w:t>
      </w:r>
    </w:p>
    <w:p w:rsidR="00AC12B4" w:rsidRDefault="00AC12B4">
      <w:pPr>
        <w:spacing w:line="237" w:lineRule="exact"/>
        <w:rPr>
          <w:rFonts w:ascii="Symbol" w:eastAsia="Symbol" w:hAnsi="Symbol" w:cs="Symbol"/>
          <w:sz w:val="20"/>
          <w:szCs w:val="20"/>
        </w:rPr>
      </w:pPr>
    </w:p>
    <w:p w:rsidR="00AC12B4" w:rsidRDefault="00C27636">
      <w:pPr>
        <w:numPr>
          <w:ilvl w:val="2"/>
          <w:numId w:val="164"/>
        </w:numPr>
        <w:tabs>
          <w:tab w:val="left" w:pos="1280"/>
        </w:tabs>
        <w:ind w:left="1280" w:hanging="353"/>
        <w:rPr>
          <w:rFonts w:ascii="Symbol" w:eastAsia="Symbol" w:hAnsi="Symbol" w:cs="Symbol"/>
          <w:sz w:val="20"/>
          <w:szCs w:val="20"/>
        </w:rPr>
      </w:pPr>
      <w:r>
        <w:rPr>
          <w:rFonts w:ascii="Calibri" w:eastAsia="Calibri" w:hAnsi="Calibri" w:cs="Calibri"/>
          <w:sz w:val="20"/>
          <w:szCs w:val="20"/>
        </w:rPr>
        <w:t>indoor environment:</w:t>
      </w:r>
    </w:p>
    <w:p w:rsidR="00AC12B4" w:rsidRDefault="00AC12B4">
      <w:pPr>
        <w:spacing w:line="244" w:lineRule="exact"/>
        <w:rPr>
          <w:rFonts w:ascii="Calibri" w:eastAsia="Calibri" w:hAnsi="Calibri" w:cs="Calibri"/>
          <w:color w:val="0000FF"/>
          <w:sz w:val="19"/>
          <w:szCs w:val="19"/>
          <w:u w:val="single"/>
        </w:rPr>
      </w:pPr>
    </w:p>
    <w:p w:rsidR="00AC12B4" w:rsidRPr="00C27636" w:rsidRDefault="00C27636">
      <w:pPr>
        <w:numPr>
          <w:ilvl w:val="0"/>
          <w:numId w:val="165"/>
        </w:numPr>
        <w:tabs>
          <w:tab w:val="left" w:pos="2000"/>
        </w:tabs>
        <w:spacing w:line="230" w:lineRule="auto"/>
        <w:ind w:left="2000" w:right="520" w:hanging="353"/>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produits chimiques dans de la poussière domestique et dans des meubles, tels que des phtalates (perturbation endocrine, inflammabilité);</w:t>
      </w:r>
    </w:p>
    <w:p w:rsidR="00AC12B4" w:rsidRPr="00C27636" w:rsidRDefault="00AC12B4">
      <w:pPr>
        <w:spacing w:line="245" w:lineRule="exact"/>
        <w:rPr>
          <w:rFonts w:ascii="Calibri" w:eastAsia="Calibri" w:hAnsi="Calibri" w:cs="Calibri"/>
          <w:color w:val="0000FF"/>
          <w:sz w:val="19"/>
          <w:szCs w:val="19"/>
          <w:u w:val="single"/>
          <w:lang w:val="fr-BE"/>
        </w:rPr>
      </w:pPr>
    </w:p>
    <w:p w:rsidR="00AC12B4" w:rsidRPr="00C27636" w:rsidRDefault="00C27636">
      <w:pPr>
        <w:numPr>
          <w:ilvl w:val="1"/>
          <w:numId w:val="166"/>
        </w:numPr>
        <w:tabs>
          <w:tab w:val="left" w:pos="2000"/>
        </w:tabs>
        <w:spacing w:line="226" w:lineRule="auto"/>
        <w:ind w:left="2000" w:right="520" w:hanging="353"/>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qualités techniques de l</w:t>
      </w:r>
      <w:r w:rsidRPr="00C27636">
        <w:rPr>
          <w:rFonts w:ascii="Calibri" w:eastAsia="Calibri" w:hAnsi="Calibri" w:cs="Calibri"/>
          <w:sz w:val="20"/>
          <w:szCs w:val="20"/>
          <w:lang w:val="fr-BE"/>
        </w:rPr>
        <w:t>a maison (souvent en lien avec des inégalités sociales): systèmes de ventilation,</w:t>
      </w:r>
    </w:p>
    <w:p w:rsidR="00AC12B4" w:rsidRPr="00C27636" w:rsidRDefault="00AC12B4">
      <w:pPr>
        <w:spacing w:line="51" w:lineRule="exact"/>
        <w:rPr>
          <w:rFonts w:ascii="Courier New" w:eastAsia="Courier New" w:hAnsi="Courier New" w:cs="Courier New"/>
          <w:sz w:val="20"/>
          <w:szCs w:val="20"/>
          <w:lang w:val="fr-BE"/>
        </w:rPr>
      </w:pPr>
    </w:p>
    <w:p w:rsidR="00AC12B4" w:rsidRPr="00C27636" w:rsidRDefault="00C27636">
      <w:pPr>
        <w:spacing w:line="226" w:lineRule="auto"/>
        <w:ind w:left="2000" w:right="520"/>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isolation influençant l’exposition à des produits chimiques et aux microbiotes</w:t>
      </w:r>
    </w:p>
    <w:p w:rsidR="00AC12B4" w:rsidRPr="00C27636" w:rsidRDefault="00AC12B4">
      <w:pPr>
        <w:spacing w:line="198" w:lineRule="exact"/>
        <w:rPr>
          <w:rFonts w:ascii="Courier New" w:eastAsia="Courier New" w:hAnsi="Courier New" w:cs="Courier New"/>
          <w:sz w:val="20"/>
          <w:szCs w:val="20"/>
          <w:lang w:val="fr-BE"/>
        </w:rPr>
      </w:pPr>
    </w:p>
    <w:p w:rsidR="00AC12B4" w:rsidRDefault="00C27636">
      <w:pPr>
        <w:numPr>
          <w:ilvl w:val="0"/>
          <w:numId w:val="166"/>
        </w:numPr>
        <w:tabs>
          <w:tab w:val="left" w:pos="1280"/>
        </w:tabs>
        <w:ind w:left="1280" w:hanging="353"/>
        <w:rPr>
          <w:rFonts w:ascii="Symbol" w:eastAsia="Symbol" w:hAnsi="Symbol" w:cs="Symbol"/>
          <w:sz w:val="20"/>
          <w:szCs w:val="20"/>
        </w:rPr>
      </w:pPr>
      <w:r>
        <w:rPr>
          <w:rFonts w:ascii="Calibri" w:eastAsia="Calibri" w:hAnsi="Calibri" w:cs="Calibri"/>
          <w:sz w:val="20"/>
          <w:szCs w:val="20"/>
        </w:rPr>
        <w:t>outdoor environment:</w:t>
      </w:r>
    </w:p>
    <w:p w:rsidR="00AC12B4" w:rsidRDefault="00AC12B4">
      <w:pPr>
        <w:spacing w:line="244" w:lineRule="exact"/>
        <w:rPr>
          <w:rFonts w:ascii="Symbol" w:eastAsia="Symbol" w:hAnsi="Symbol" w:cs="Symbol"/>
          <w:sz w:val="20"/>
          <w:szCs w:val="20"/>
        </w:rPr>
      </w:pPr>
    </w:p>
    <w:p w:rsidR="00AC12B4" w:rsidRPr="00C27636" w:rsidRDefault="00C27636">
      <w:pPr>
        <w:numPr>
          <w:ilvl w:val="1"/>
          <w:numId w:val="166"/>
        </w:numPr>
        <w:tabs>
          <w:tab w:val="left" w:pos="2000"/>
        </w:tabs>
        <w:spacing w:line="223" w:lineRule="auto"/>
        <w:ind w:left="2000" w:right="520" w:hanging="353"/>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exposition à des produits chimiques par le biais de pesticides</w:t>
      </w:r>
    </w:p>
    <w:p w:rsidR="00AC12B4" w:rsidRPr="00C27636" w:rsidRDefault="00AC12B4">
      <w:pPr>
        <w:spacing w:line="231" w:lineRule="exact"/>
        <w:rPr>
          <w:rFonts w:ascii="Calibri" w:eastAsia="Calibri" w:hAnsi="Calibri" w:cs="Calibri"/>
          <w:color w:val="0000FF"/>
          <w:sz w:val="19"/>
          <w:szCs w:val="19"/>
          <w:u w:val="single"/>
          <w:lang w:val="fr-BE"/>
        </w:rPr>
      </w:pPr>
    </w:p>
    <w:p w:rsidR="00AC12B4" w:rsidRPr="00C27636" w:rsidRDefault="00C27636">
      <w:pPr>
        <w:tabs>
          <w:tab w:val="left" w:pos="1980"/>
        </w:tabs>
        <w:spacing w:line="214" w:lineRule="auto"/>
        <w:ind w:left="2000" w:right="520" w:hanging="359"/>
        <w:rPr>
          <w:sz w:val="20"/>
          <w:szCs w:val="20"/>
          <w:lang w:val="nl-NL"/>
        </w:rPr>
      </w:pPr>
      <w:r w:rsidRPr="00C27636">
        <w:rPr>
          <w:rFonts w:ascii="Courier New" w:eastAsia="Courier New" w:hAnsi="Courier New" w:cs="Courier New"/>
          <w:sz w:val="20"/>
          <w:szCs w:val="20"/>
          <w:lang w:val="nl-NL"/>
        </w:rPr>
        <w:t>o</w:t>
      </w:r>
      <w:r w:rsidRPr="00C27636">
        <w:rPr>
          <w:sz w:val="20"/>
          <w:szCs w:val="20"/>
          <w:lang w:val="nl-NL"/>
        </w:rPr>
        <w:tab/>
      </w:r>
      <w:r w:rsidRPr="00C27636">
        <w:rPr>
          <w:rFonts w:ascii="Calibri" w:eastAsia="Calibri" w:hAnsi="Calibri" w:cs="Calibri"/>
          <w:sz w:val="20"/>
          <w:szCs w:val="20"/>
          <w:lang w:val="nl-NL"/>
        </w:rPr>
        <w:t xml:space="preserve">la </w:t>
      </w:r>
      <w:r w:rsidRPr="00C27636">
        <w:rPr>
          <w:rFonts w:ascii="Calibri" w:eastAsia="Calibri" w:hAnsi="Calibri" w:cs="Calibri"/>
          <w:sz w:val="20"/>
          <w:szCs w:val="20"/>
          <w:lang w:val="nl-NL"/>
        </w:rPr>
        <w:t>disponibilité d’espaces verts.</w:t>
      </w:r>
    </w:p>
    <w:p w:rsidR="00AC12B4" w:rsidRPr="00C27636" w:rsidRDefault="00AC12B4">
      <w:pPr>
        <w:spacing w:line="166" w:lineRule="exact"/>
        <w:rPr>
          <w:rFonts w:ascii="Calibri" w:eastAsia="Calibri" w:hAnsi="Calibri" w:cs="Calibri"/>
          <w:color w:val="0000FF"/>
          <w:sz w:val="19"/>
          <w:szCs w:val="19"/>
          <w:u w:val="single"/>
          <w:lang w:val="nl-NL"/>
        </w:rPr>
      </w:pPr>
    </w:p>
    <w:p w:rsidR="00AC12B4" w:rsidRPr="00C27636" w:rsidRDefault="00C27636">
      <w:pPr>
        <w:tabs>
          <w:tab w:val="left" w:pos="980"/>
          <w:tab w:val="left" w:pos="2360"/>
        </w:tabs>
        <w:ind w:left="640"/>
        <w:rPr>
          <w:sz w:val="20"/>
          <w:szCs w:val="20"/>
          <w:lang w:val="nl-NL"/>
        </w:rPr>
      </w:pPr>
      <w:r>
        <w:rPr>
          <w:rFonts w:ascii="Symbol" w:eastAsia="Symbol" w:hAnsi="Symbol" w:cs="Symbol"/>
          <w:sz w:val="20"/>
          <w:szCs w:val="20"/>
        </w:rPr>
        <w:t></w:t>
      </w:r>
      <w:r w:rsidRPr="00C27636">
        <w:rPr>
          <w:sz w:val="20"/>
          <w:szCs w:val="20"/>
          <w:lang w:val="nl-NL"/>
        </w:rPr>
        <w:tab/>
      </w:r>
      <w:r w:rsidRPr="00C27636">
        <w:rPr>
          <w:rFonts w:ascii="Calibri" w:eastAsia="Calibri" w:hAnsi="Calibri" w:cs="Calibri"/>
          <w:b/>
          <w:bCs/>
          <w:i/>
          <w:iCs/>
          <w:color w:val="C9D11D"/>
          <w:sz w:val="20"/>
          <w:szCs w:val="20"/>
          <w:lang w:val="nl-NL"/>
        </w:rPr>
        <w:t>Vlaams</w:t>
      </w:r>
      <w:r w:rsidRPr="00C27636">
        <w:rPr>
          <w:sz w:val="20"/>
          <w:szCs w:val="20"/>
          <w:lang w:val="nl-NL"/>
        </w:rPr>
        <w:tab/>
      </w:r>
      <w:r w:rsidRPr="00C27636">
        <w:rPr>
          <w:rFonts w:ascii="Calibri" w:eastAsia="Calibri" w:hAnsi="Calibri" w:cs="Calibri"/>
          <w:b/>
          <w:bCs/>
          <w:i/>
          <w:iCs/>
          <w:color w:val="C9D11D"/>
          <w:sz w:val="20"/>
          <w:szCs w:val="20"/>
          <w:lang w:val="nl-NL"/>
        </w:rPr>
        <w:t>Biomonitoringonderzoek</w:t>
      </w:r>
    </w:p>
    <w:p w:rsidR="00AC12B4" w:rsidRPr="00C27636" w:rsidRDefault="00AC12B4">
      <w:pPr>
        <w:spacing w:line="90" w:lineRule="exact"/>
        <w:rPr>
          <w:rFonts w:ascii="Calibri" w:eastAsia="Calibri" w:hAnsi="Calibri" w:cs="Calibri"/>
          <w:color w:val="0000FF"/>
          <w:sz w:val="19"/>
          <w:szCs w:val="19"/>
          <w:u w:val="single"/>
          <w:lang w:val="nl-NL"/>
        </w:rPr>
      </w:pPr>
    </w:p>
    <w:p w:rsidR="00AC12B4" w:rsidRPr="00C27636" w:rsidRDefault="00C27636">
      <w:pPr>
        <w:ind w:left="1000"/>
        <w:rPr>
          <w:sz w:val="20"/>
          <w:szCs w:val="20"/>
          <w:lang w:val="nl-NL"/>
        </w:rPr>
      </w:pPr>
      <w:r w:rsidRPr="00C27636">
        <w:rPr>
          <w:rFonts w:ascii="Calibri" w:eastAsia="Calibri" w:hAnsi="Calibri" w:cs="Calibri"/>
          <w:b/>
          <w:bCs/>
          <w:i/>
          <w:iCs/>
          <w:color w:val="C9D11D"/>
          <w:sz w:val="20"/>
          <w:szCs w:val="20"/>
          <w:lang w:val="nl-NL"/>
        </w:rPr>
        <w:t>Steunpunt Milieu en Gezondheid:</w:t>
      </w:r>
    </w:p>
    <w:p w:rsidR="00AC12B4" w:rsidRPr="00C27636" w:rsidRDefault="00AC12B4">
      <w:pPr>
        <w:spacing w:line="280" w:lineRule="exact"/>
        <w:rPr>
          <w:rFonts w:ascii="Calibri" w:eastAsia="Calibri" w:hAnsi="Calibri" w:cs="Calibri"/>
          <w:color w:val="0000FF"/>
          <w:sz w:val="19"/>
          <w:szCs w:val="19"/>
          <w:u w:val="single"/>
          <w:lang w:val="nl-NL"/>
        </w:rPr>
      </w:pPr>
    </w:p>
    <w:p w:rsidR="00AC12B4" w:rsidRPr="00C27636" w:rsidRDefault="00C27636">
      <w:pPr>
        <w:spacing w:line="236" w:lineRule="auto"/>
        <w:ind w:left="640" w:right="520"/>
        <w:jc w:val="both"/>
        <w:rPr>
          <w:sz w:val="20"/>
          <w:szCs w:val="20"/>
          <w:lang w:val="fr-BE"/>
        </w:rPr>
      </w:pPr>
      <w:r w:rsidRPr="00C27636">
        <w:rPr>
          <w:rFonts w:ascii="Calibri" w:eastAsia="Calibri" w:hAnsi="Calibri" w:cs="Calibri"/>
          <w:sz w:val="20"/>
          <w:szCs w:val="20"/>
          <w:lang w:val="fr-BE"/>
        </w:rPr>
        <w:t xml:space="preserve">Le programme de biomonitoring mené par le Steunpunt flamand Milieu en Gezondheid collecte, tous les 4-5 ans, des données sur la pollution environnementale et </w:t>
      </w:r>
      <w:r w:rsidRPr="00C27636">
        <w:rPr>
          <w:rFonts w:ascii="Calibri" w:eastAsia="Calibri" w:hAnsi="Calibri" w:cs="Calibri"/>
          <w:sz w:val="20"/>
          <w:szCs w:val="20"/>
          <w:lang w:val="fr-BE"/>
        </w:rPr>
        <w:t>la santé, via des mesures médicales, en combinaison avec des modélisations de la qualité de l’air et des données obtenues via des enquêtes. Aussi la perception est prise en compte. Lors du dernier cycle (2012-2015), l’aspect de la diversité sociale et l’im</w:t>
      </w:r>
      <w:r w:rsidRPr="00C27636">
        <w:rPr>
          <w:rFonts w:ascii="Calibri" w:eastAsia="Calibri" w:hAnsi="Calibri" w:cs="Calibri"/>
          <w:sz w:val="20"/>
          <w:szCs w:val="20"/>
          <w:lang w:val="fr-BE"/>
        </w:rPr>
        <w:t>pact sur l’exposition à l’environnement ont été mis en avant. L’enquête est effectuée sur des jeunes de 14-15 ans, des mères récemment accouchées et</w:t>
      </w:r>
    </w:p>
    <w:p w:rsidR="00AC12B4" w:rsidRPr="00C27636" w:rsidRDefault="00AC12B4">
      <w:pPr>
        <w:spacing w:line="254" w:lineRule="exact"/>
        <w:rPr>
          <w:rFonts w:ascii="Calibri" w:eastAsia="Calibri" w:hAnsi="Calibri" w:cs="Calibri"/>
          <w:color w:val="0000FF"/>
          <w:sz w:val="19"/>
          <w:szCs w:val="19"/>
          <w:u w:val="single"/>
          <w:lang w:val="fr-BE"/>
        </w:rPr>
      </w:pPr>
    </w:p>
    <w:p w:rsidR="00AC12B4" w:rsidRPr="00C27636" w:rsidRDefault="00C27636">
      <w:pPr>
        <w:jc w:val="right"/>
        <w:rPr>
          <w:sz w:val="20"/>
          <w:szCs w:val="20"/>
          <w:lang w:val="fr-BE"/>
        </w:rPr>
      </w:pPr>
      <w:r w:rsidRPr="00C27636">
        <w:rPr>
          <w:rFonts w:ascii="Calibri" w:eastAsia="Calibri" w:hAnsi="Calibri" w:cs="Calibri"/>
          <w:lang w:val="fr-BE"/>
        </w:rPr>
        <w:t>101</w:t>
      </w:r>
    </w:p>
    <w:p w:rsidR="00AC12B4" w:rsidRPr="00C27636" w:rsidRDefault="00C27636">
      <w:pPr>
        <w:spacing w:line="20" w:lineRule="exact"/>
        <w:rPr>
          <w:rFonts w:ascii="Calibri" w:eastAsia="Calibri" w:hAnsi="Calibri" w:cs="Calibri"/>
          <w:color w:val="0000FF"/>
          <w:sz w:val="19"/>
          <w:szCs w:val="19"/>
          <w:u w:val="single"/>
          <w:lang w:val="fr-BE"/>
        </w:rPr>
      </w:pPr>
      <w:r w:rsidRPr="00C27636">
        <w:rPr>
          <w:rFonts w:ascii="Calibri" w:eastAsia="Calibri" w:hAnsi="Calibri" w:cs="Calibri"/>
          <w:color w:val="0000FF"/>
          <w:sz w:val="19"/>
          <w:szCs w:val="19"/>
          <w:u w:val="single"/>
          <w:lang w:val="fr-BE"/>
        </w:rPr>
        <w:br w:type="column"/>
      </w:r>
    </w:p>
    <w:p w:rsidR="00AC12B4" w:rsidRPr="00C27636" w:rsidRDefault="00AC12B4">
      <w:pPr>
        <w:spacing w:line="191" w:lineRule="exact"/>
        <w:rPr>
          <w:rFonts w:ascii="Calibri" w:eastAsia="Calibri" w:hAnsi="Calibri" w:cs="Calibri"/>
          <w:color w:val="0000FF"/>
          <w:sz w:val="19"/>
          <w:szCs w:val="19"/>
          <w:u w:val="single"/>
          <w:lang w:val="fr-BE"/>
        </w:rPr>
      </w:pPr>
    </w:p>
    <w:p w:rsidR="00AC12B4" w:rsidRPr="00C27636" w:rsidRDefault="00C27636">
      <w:pPr>
        <w:spacing w:line="228" w:lineRule="auto"/>
        <w:ind w:right="59"/>
        <w:jc w:val="both"/>
        <w:rPr>
          <w:sz w:val="20"/>
          <w:szCs w:val="20"/>
          <w:lang w:val="fr-BE"/>
        </w:rPr>
      </w:pPr>
      <w:r w:rsidRPr="00C27636">
        <w:rPr>
          <w:rFonts w:ascii="Calibri" w:eastAsia="Calibri" w:hAnsi="Calibri" w:cs="Calibri"/>
          <w:sz w:val="20"/>
          <w:szCs w:val="20"/>
          <w:lang w:val="fr-BE"/>
        </w:rPr>
        <w:t>des adultes (50+). Lors du prochain cycle, le focus sera mis sur les aspects indoor d’environnement</w:t>
      </w:r>
      <w:r w:rsidRPr="00C27636">
        <w:rPr>
          <w:rFonts w:ascii="Calibri" w:eastAsia="Calibri" w:hAnsi="Calibri" w:cs="Calibri"/>
          <w:sz w:val="20"/>
          <w:szCs w:val="20"/>
          <w:lang w:val="fr-BE"/>
        </w:rPr>
        <w:t xml:space="preserve"> et santé et le rôle des inégalités sociales en la matière.</w:t>
      </w:r>
    </w:p>
    <w:p w:rsidR="00AC12B4" w:rsidRPr="00C27636" w:rsidRDefault="00AC12B4">
      <w:pPr>
        <w:spacing w:line="169" w:lineRule="exact"/>
        <w:rPr>
          <w:rFonts w:ascii="Calibri" w:eastAsia="Calibri" w:hAnsi="Calibri" w:cs="Calibri"/>
          <w:color w:val="0000FF"/>
          <w:sz w:val="19"/>
          <w:szCs w:val="19"/>
          <w:u w:val="single"/>
          <w:lang w:val="fr-BE"/>
        </w:rPr>
      </w:pPr>
    </w:p>
    <w:p w:rsidR="00AC12B4" w:rsidRPr="00C27636" w:rsidRDefault="00C27636">
      <w:pPr>
        <w:spacing w:line="216" w:lineRule="auto"/>
        <w:ind w:right="59"/>
        <w:jc w:val="both"/>
        <w:rPr>
          <w:sz w:val="20"/>
          <w:szCs w:val="20"/>
          <w:lang w:val="fr-BE"/>
        </w:rPr>
      </w:pPr>
      <w:r w:rsidRPr="00C27636">
        <w:rPr>
          <w:rFonts w:ascii="Calibri" w:eastAsia="Calibri" w:hAnsi="Calibri" w:cs="Calibri"/>
          <w:sz w:val="20"/>
          <w:szCs w:val="20"/>
          <w:lang w:val="fr-BE"/>
        </w:rPr>
        <w:t>Ce type de recherche n’est malheureusement pas (encore) mené dans tout le pays.</w:t>
      </w:r>
    </w:p>
    <w:p w:rsidR="00AC12B4" w:rsidRPr="00C27636" w:rsidRDefault="00AC12B4">
      <w:pPr>
        <w:spacing w:line="151" w:lineRule="exact"/>
        <w:rPr>
          <w:rFonts w:ascii="Calibri" w:eastAsia="Calibri" w:hAnsi="Calibri" w:cs="Calibri"/>
          <w:color w:val="0000FF"/>
          <w:sz w:val="19"/>
          <w:szCs w:val="19"/>
          <w:u w:val="single"/>
          <w:lang w:val="fr-BE"/>
        </w:rPr>
      </w:pPr>
    </w:p>
    <w:p w:rsidR="00AC12B4" w:rsidRPr="00C27636" w:rsidRDefault="00C27636">
      <w:pPr>
        <w:tabs>
          <w:tab w:val="left" w:pos="1040"/>
        </w:tabs>
        <w:spacing w:line="265" w:lineRule="auto"/>
        <w:ind w:left="1060" w:right="59" w:hanging="359"/>
        <w:jc w:val="both"/>
        <w:rPr>
          <w:sz w:val="20"/>
          <w:szCs w:val="20"/>
          <w:lang w:val="fr-BE"/>
        </w:rPr>
      </w:pPr>
      <w:r w:rsidRPr="00C27636">
        <w:rPr>
          <w:rFonts w:ascii="Courier New" w:eastAsia="Courier New" w:hAnsi="Courier New" w:cs="Courier New"/>
          <w:sz w:val="20"/>
          <w:szCs w:val="20"/>
          <w:lang w:val="fr-BE"/>
        </w:rPr>
        <w:t>o</w:t>
      </w:r>
      <w:r w:rsidRPr="00C27636">
        <w:rPr>
          <w:sz w:val="20"/>
          <w:szCs w:val="20"/>
          <w:lang w:val="fr-BE"/>
        </w:rPr>
        <w:tab/>
      </w:r>
      <w:r w:rsidRPr="00C27636">
        <w:rPr>
          <w:rFonts w:ascii="Calibri" w:eastAsia="Calibri" w:hAnsi="Calibri" w:cs="Calibri"/>
          <w:sz w:val="20"/>
          <w:szCs w:val="20"/>
          <w:lang w:val="fr-BE"/>
        </w:rPr>
        <w:t>Enquête sur les nuisances environnementales : 40% des jeunes indiquent être gênés. 14% se déclarent inquiets pou</w:t>
      </w:r>
      <w:r w:rsidRPr="00C27636">
        <w:rPr>
          <w:rFonts w:ascii="Calibri" w:eastAsia="Calibri" w:hAnsi="Calibri" w:cs="Calibri"/>
          <w:sz w:val="20"/>
          <w:szCs w:val="20"/>
          <w:lang w:val="fr-BE"/>
        </w:rPr>
        <w:t>r des effets de ces nuisances sur leur santé.</w:t>
      </w:r>
    </w:p>
    <w:p w:rsidR="00AC12B4" w:rsidRPr="00C27636" w:rsidRDefault="00AC12B4">
      <w:pPr>
        <w:spacing w:line="60" w:lineRule="exact"/>
        <w:rPr>
          <w:rFonts w:ascii="Calibri" w:eastAsia="Calibri" w:hAnsi="Calibri" w:cs="Calibri"/>
          <w:color w:val="0000FF"/>
          <w:sz w:val="19"/>
          <w:szCs w:val="19"/>
          <w:u w:val="single"/>
          <w:lang w:val="fr-BE"/>
        </w:rPr>
      </w:pPr>
    </w:p>
    <w:p w:rsidR="00AC12B4" w:rsidRPr="00C27636" w:rsidRDefault="00C27636">
      <w:pPr>
        <w:tabs>
          <w:tab w:val="left" w:pos="1040"/>
        </w:tabs>
        <w:spacing w:line="265" w:lineRule="auto"/>
        <w:ind w:left="1060" w:right="59" w:hanging="359"/>
        <w:jc w:val="both"/>
        <w:rPr>
          <w:sz w:val="20"/>
          <w:szCs w:val="20"/>
          <w:lang w:val="fr-BE"/>
        </w:rPr>
      </w:pPr>
      <w:r w:rsidRPr="00C27636">
        <w:rPr>
          <w:rFonts w:ascii="Courier New" w:eastAsia="Courier New" w:hAnsi="Courier New" w:cs="Courier New"/>
          <w:sz w:val="20"/>
          <w:szCs w:val="20"/>
          <w:lang w:val="fr-BE"/>
        </w:rPr>
        <w:t>o</w:t>
      </w:r>
      <w:r w:rsidRPr="00C27636">
        <w:rPr>
          <w:sz w:val="20"/>
          <w:szCs w:val="20"/>
          <w:lang w:val="fr-BE"/>
        </w:rPr>
        <w:tab/>
      </w:r>
      <w:r w:rsidRPr="00C27636">
        <w:rPr>
          <w:rFonts w:ascii="Calibri" w:eastAsia="Calibri" w:hAnsi="Calibri" w:cs="Calibri"/>
          <w:sz w:val="20"/>
          <w:szCs w:val="20"/>
          <w:lang w:val="fr-BE"/>
        </w:rPr>
        <w:t>Etude de biomonitoring flamande 2012-2014 (présence de matières polluantes dans l’urine, le sang et l’haleine de 208 jeunes de 14 et 15 ans habitant depuis plus de 10 ans en Flandre,</w:t>
      </w:r>
    </w:p>
    <w:p w:rsidR="00AC12B4" w:rsidRPr="00C27636" w:rsidRDefault="00AC12B4">
      <w:pPr>
        <w:spacing w:line="78" w:lineRule="exact"/>
        <w:rPr>
          <w:rFonts w:ascii="Calibri" w:eastAsia="Calibri" w:hAnsi="Calibri" w:cs="Calibri"/>
          <w:color w:val="0000FF"/>
          <w:sz w:val="19"/>
          <w:szCs w:val="19"/>
          <w:u w:val="single"/>
          <w:lang w:val="fr-BE"/>
        </w:rPr>
      </w:pPr>
    </w:p>
    <w:p w:rsidR="00AC12B4" w:rsidRPr="00C27636" w:rsidRDefault="00C27636">
      <w:pPr>
        <w:spacing w:line="260" w:lineRule="auto"/>
        <w:ind w:left="1060" w:right="59"/>
        <w:jc w:val="both"/>
        <w:rPr>
          <w:sz w:val="20"/>
          <w:szCs w:val="20"/>
          <w:lang w:val="fr-BE"/>
        </w:rPr>
      </w:pPr>
      <w:r w:rsidRPr="00C27636">
        <w:rPr>
          <w:rFonts w:ascii="Calibri" w:eastAsia="Calibri" w:hAnsi="Calibri" w:cs="Calibri"/>
          <w:sz w:val="20"/>
          <w:szCs w:val="20"/>
          <w:lang w:val="fr-BE"/>
        </w:rPr>
        <w:t>via 10 écoles: moins de</w:t>
      </w:r>
      <w:r w:rsidRPr="00C27636">
        <w:rPr>
          <w:rFonts w:ascii="Calibri" w:eastAsia="Calibri" w:hAnsi="Calibri" w:cs="Calibri"/>
          <w:sz w:val="20"/>
          <w:szCs w:val="20"/>
          <w:lang w:val="fr-BE"/>
        </w:rPr>
        <w:t xml:space="preserve"> pollution, aussi bien dans l’environnement que dans le corps, par rapport aux études de</w:t>
      </w:r>
    </w:p>
    <w:p w:rsidR="00AC12B4" w:rsidRPr="00C27636" w:rsidRDefault="00AC12B4">
      <w:pPr>
        <w:spacing w:line="65" w:lineRule="exact"/>
        <w:rPr>
          <w:rFonts w:ascii="Calibri" w:eastAsia="Calibri" w:hAnsi="Calibri" w:cs="Calibri"/>
          <w:color w:val="0000FF"/>
          <w:sz w:val="19"/>
          <w:szCs w:val="19"/>
          <w:u w:val="single"/>
          <w:lang w:val="fr-BE"/>
        </w:rPr>
      </w:pPr>
    </w:p>
    <w:p w:rsidR="00AC12B4" w:rsidRPr="00C27636" w:rsidRDefault="00C27636">
      <w:pPr>
        <w:spacing w:line="260" w:lineRule="auto"/>
        <w:ind w:left="1060" w:right="59"/>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 xml:space="preserve">2003 et 2008.Voir : </w:t>
      </w:r>
      <w:hyperlink r:id="rId173">
        <w:r w:rsidRPr="00C27636">
          <w:rPr>
            <w:rFonts w:ascii="Calibri" w:eastAsia="Calibri" w:hAnsi="Calibri" w:cs="Calibri"/>
            <w:color w:val="0000FF"/>
            <w:sz w:val="20"/>
            <w:szCs w:val="20"/>
            <w:u w:val="single"/>
            <w:lang w:val="fr-BE"/>
          </w:rPr>
          <w:t>http://www.milieu-en-</w:t>
        </w:r>
      </w:hyperlink>
      <w:hyperlink r:id="rId174">
        <w:r w:rsidRPr="00C27636">
          <w:rPr>
            <w:rFonts w:ascii="Calibri" w:eastAsia="Calibri" w:hAnsi="Calibri" w:cs="Calibri"/>
            <w:color w:val="0000FF"/>
            <w:sz w:val="20"/>
            <w:szCs w:val="20"/>
            <w:u w:val="single"/>
            <w:lang w:val="fr-BE"/>
          </w:rPr>
          <w:t>gezondheid.be/resultaten_huma</w:t>
        </w:r>
      </w:hyperlink>
      <w:r w:rsidRPr="00C27636">
        <w:rPr>
          <w:rFonts w:ascii="Calibri" w:eastAsia="Calibri" w:hAnsi="Calibri" w:cs="Calibri"/>
          <w:color w:val="0000FF"/>
          <w:sz w:val="20"/>
          <w:szCs w:val="20"/>
          <w:u w:val="single"/>
          <w:lang w:val="fr-BE"/>
        </w:rPr>
        <w:t xml:space="preserve"> </w:t>
      </w:r>
      <w:hyperlink r:id="rId175">
        <w:r w:rsidRPr="00C27636">
          <w:rPr>
            <w:rFonts w:ascii="Calibri" w:eastAsia="Calibri" w:hAnsi="Calibri" w:cs="Calibri"/>
            <w:color w:val="0000FF"/>
            <w:sz w:val="20"/>
            <w:szCs w:val="20"/>
            <w:u w:val="single"/>
            <w:lang w:val="fr-BE"/>
          </w:rPr>
          <w:t>ne_biomonitoring%202015.html</w:t>
        </w:r>
      </w:hyperlink>
    </w:p>
    <w:p w:rsidR="00AC12B4" w:rsidRPr="00C27636" w:rsidRDefault="00AC12B4">
      <w:pPr>
        <w:spacing w:line="66" w:lineRule="exact"/>
        <w:rPr>
          <w:rFonts w:ascii="Calibri" w:eastAsia="Calibri" w:hAnsi="Calibri" w:cs="Calibri"/>
          <w:color w:val="0000FF"/>
          <w:sz w:val="20"/>
          <w:szCs w:val="20"/>
          <w:u w:val="single"/>
          <w:lang w:val="fr-BE"/>
        </w:rPr>
      </w:pPr>
    </w:p>
    <w:p w:rsidR="00AC12B4" w:rsidRPr="00C27636" w:rsidRDefault="00C27636">
      <w:pPr>
        <w:numPr>
          <w:ilvl w:val="0"/>
          <w:numId w:val="167"/>
        </w:numPr>
        <w:tabs>
          <w:tab w:val="left" w:pos="1060"/>
        </w:tabs>
        <w:spacing w:line="270" w:lineRule="auto"/>
        <w:ind w:left="1060" w:right="59" w:hanging="355"/>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 xml:space="preserve">Etude flamande biomonitoring auprès de mamans de 200 nouveaux-nés: </w:t>
      </w:r>
      <w:hyperlink r:id="rId176">
        <w:r w:rsidRPr="00C27636">
          <w:rPr>
            <w:rFonts w:ascii="Calibri" w:eastAsia="Calibri" w:hAnsi="Calibri" w:cs="Calibri"/>
            <w:color w:val="0000FF"/>
            <w:sz w:val="20"/>
            <w:szCs w:val="20"/>
            <w:u w:val="single"/>
            <w:lang w:val="fr-BE"/>
          </w:rPr>
          <w:t>http://www.milieu-en-</w:t>
        </w:r>
      </w:hyperlink>
      <w:hyperlink r:id="rId177">
        <w:r w:rsidRPr="00C27636">
          <w:rPr>
            <w:rFonts w:ascii="Calibri" w:eastAsia="Calibri" w:hAnsi="Calibri" w:cs="Calibri"/>
            <w:color w:val="0000FF"/>
            <w:sz w:val="20"/>
            <w:szCs w:val="20"/>
            <w:u w:val="single"/>
            <w:lang w:val="fr-BE"/>
          </w:rPr>
          <w:t>gezondheid.be/resultaten_huma</w:t>
        </w:r>
      </w:hyperlink>
      <w:r w:rsidRPr="00C27636">
        <w:rPr>
          <w:rFonts w:ascii="Calibri" w:eastAsia="Calibri" w:hAnsi="Calibri" w:cs="Calibri"/>
          <w:color w:val="0000FF"/>
          <w:sz w:val="20"/>
          <w:szCs w:val="20"/>
          <w:u w:val="single"/>
          <w:lang w:val="fr-BE"/>
        </w:rPr>
        <w:t xml:space="preserve"> </w:t>
      </w:r>
      <w:hyperlink r:id="rId178">
        <w:r w:rsidRPr="00C27636">
          <w:rPr>
            <w:rFonts w:ascii="Calibri" w:eastAsia="Calibri" w:hAnsi="Calibri" w:cs="Calibri"/>
            <w:color w:val="0000FF"/>
            <w:sz w:val="20"/>
            <w:szCs w:val="20"/>
            <w:u w:val="single"/>
            <w:lang w:val="fr-BE"/>
          </w:rPr>
          <w:t>ne_biomonitoring</w:t>
        </w:r>
        <w:r w:rsidRPr="00C27636">
          <w:rPr>
            <w:rFonts w:ascii="Calibri" w:eastAsia="Calibri" w:hAnsi="Calibri" w:cs="Calibri"/>
            <w:color w:val="0000FF"/>
            <w:sz w:val="20"/>
            <w:szCs w:val="20"/>
            <w:u w:val="single"/>
            <w:lang w:val="fr-BE"/>
          </w:rPr>
          <w:t>_luik_pasgebor</w:t>
        </w:r>
      </w:hyperlink>
      <w:r w:rsidRPr="00C27636">
        <w:rPr>
          <w:rFonts w:ascii="Calibri" w:eastAsia="Calibri" w:hAnsi="Calibri" w:cs="Calibri"/>
          <w:color w:val="0000FF"/>
          <w:sz w:val="20"/>
          <w:szCs w:val="20"/>
          <w:u w:val="single"/>
          <w:lang w:val="fr-BE"/>
        </w:rPr>
        <w:t xml:space="preserve"> </w:t>
      </w:r>
      <w:hyperlink r:id="rId179">
        <w:r w:rsidRPr="00C27636">
          <w:rPr>
            <w:rFonts w:ascii="Calibri" w:eastAsia="Calibri" w:hAnsi="Calibri" w:cs="Calibri"/>
            <w:color w:val="0000FF"/>
            <w:sz w:val="20"/>
            <w:szCs w:val="20"/>
            <w:u w:val="single"/>
            <w:lang w:val="fr-BE"/>
          </w:rPr>
          <w:t>enen_volwassenen_2015.html</w:t>
        </w:r>
      </w:hyperlink>
      <w:r w:rsidRPr="00C27636">
        <w:rPr>
          <w:rFonts w:ascii="Calibri" w:eastAsia="Calibri" w:hAnsi="Calibri" w:cs="Calibri"/>
          <w:color w:val="0000FF"/>
          <w:sz w:val="20"/>
          <w:szCs w:val="20"/>
          <w:u w:val="single"/>
          <w:lang w:val="fr-BE"/>
        </w:rPr>
        <w:t xml:space="preserve"> </w:t>
      </w:r>
      <w:r w:rsidRPr="00C27636">
        <w:rPr>
          <w:rFonts w:ascii="Calibri" w:eastAsia="Calibri" w:hAnsi="Calibri" w:cs="Calibri"/>
          <w:color w:val="000000"/>
          <w:sz w:val="20"/>
          <w:szCs w:val="20"/>
          <w:lang w:val="fr-BE"/>
        </w:rPr>
        <w:t>(voir aussi ENHIS pour ‘dioxine in human milk’: 4 fois moins en 2007 comparé à 1988).</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359" w:lineRule="exact"/>
        <w:rPr>
          <w:rFonts w:ascii="Calibri" w:eastAsia="Calibri" w:hAnsi="Calibri" w:cs="Calibri"/>
          <w:color w:val="0000FF"/>
          <w:sz w:val="20"/>
          <w:szCs w:val="20"/>
          <w:u w:val="single"/>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rsidRPr="00C27636">
        <w:trPr>
          <w:trHeight w:val="2080"/>
        </w:trPr>
        <w:tc>
          <w:tcPr>
            <w:tcW w:w="342"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8"/>
                <w:szCs w:val="28"/>
                <w:lang w:val="fr-BE"/>
              </w:rPr>
              <w:lastRenderedPageBreak/>
              <w:t>Le droit à la santé</w:t>
            </w:r>
          </w:p>
        </w:tc>
      </w:tr>
    </w:tbl>
    <w:p w:rsidR="00AC12B4" w:rsidRPr="00C27636" w:rsidRDefault="00C27636">
      <w:pPr>
        <w:spacing w:line="20" w:lineRule="exact"/>
        <w:rPr>
          <w:rFonts w:ascii="Calibri" w:eastAsia="Calibri" w:hAnsi="Calibri" w:cs="Calibri"/>
          <w:color w:val="0000FF"/>
          <w:sz w:val="20"/>
          <w:szCs w:val="20"/>
          <w:u w:val="single"/>
          <w:lang w:val="fr-BE"/>
        </w:rPr>
      </w:pPr>
      <w:r>
        <w:rPr>
          <w:rFonts w:ascii="Calibri" w:eastAsia="Calibri" w:hAnsi="Calibri" w:cs="Calibri"/>
          <w:noProof/>
          <w:color w:val="0000FF"/>
          <w:sz w:val="20"/>
          <w:szCs w:val="20"/>
          <w:u w:val="single"/>
        </w:rPr>
        <w:drawing>
          <wp:anchor distT="0" distB="0" distL="114300" distR="114300" simplePos="0" relativeHeight="251589120" behindDoc="1" locked="0" layoutInCell="0" allowOverlap="1">
            <wp:simplePos x="0" y="0"/>
            <wp:positionH relativeFrom="column">
              <wp:posOffset>-267970</wp:posOffset>
            </wp:positionH>
            <wp:positionV relativeFrom="paragraph">
              <wp:posOffset>-9968230</wp:posOffset>
            </wp:positionV>
            <wp:extent cx="800100" cy="10908665"/>
            <wp:effectExtent l="0" t="0" r="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6">
                      <a:extLst/>
                    </a:blip>
                    <a:srcRect/>
                    <a:stretch>
                      <a:fillRect/>
                    </a:stretch>
                  </pic:blipFill>
                  <pic:spPr bwMode="auto">
                    <a:xfrm>
                      <a:off x="0" y="0"/>
                      <a:ext cx="80010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6" w:bottom="659" w:left="1440" w:header="0" w:footer="0" w:gutter="0"/>
          <w:cols w:num="3" w:space="720" w:equalWidth="0">
            <w:col w:w="4960" w:space="260"/>
            <w:col w:w="3859" w:space="720"/>
            <w:col w:w="342"/>
          </w:cols>
        </w:sectPr>
      </w:pPr>
    </w:p>
    <w:p w:rsidR="00AC12B4" w:rsidRPr="00C27636" w:rsidRDefault="00AC12B4">
      <w:pPr>
        <w:spacing w:line="20" w:lineRule="exact"/>
        <w:rPr>
          <w:sz w:val="20"/>
          <w:szCs w:val="20"/>
          <w:lang w:val="fr-BE"/>
        </w:rPr>
      </w:pPr>
      <w:bookmarkStart w:id="101" w:name="page102"/>
      <w:bookmarkEnd w:id="101"/>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spacing w:line="200" w:lineRule="exact"/>
        <w:rPr>
          <w:sz w:val="20"/>
          <w:szCs w:val="20"/>
          <w:lang w:val="fr-BE"/>
        </w:rPr>
      </w:pPr>
      <w:bookmarkStart w:id="102" w:name="page103"/>
      <w:bookmarkEnd w:id="102"/>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1" w:lineRule="exact"/>
        <w:rPr>
          <w:sz w:val="20"/>
          <w:szCs w:val="20"/>
          <w:lang w:val="fr-BE"/>
        </w:rPr>
      </w:pPr>
    </w:p>
    <w:p w:rsidR="00AC12B4" w:rsidRDefault="00C27636">
      <w:pPr>
        <w:spacing w:line="220" w:lineRule="auto"/>
        <w:ind w:left="3000" w:right="177" w:firstLine="2357"/>
        <w:rPr>
          <w:sz w:val="20"/>
          <w:szCs w:val="20"/>
        </w:rPr>
      </w:pPr>
      <w:r>
        <w:rPr>
          <w:rFonts w:ascii="Calibri" w:eastAsia="Calibri" w:hAnsi="Calibri" w:cs="Calibri"/>
          <w:color w:val="8BCCEC"/>
          <w:sz w:val="95"/>
          <w:szCs w:val="95"/>
        </w:rPr>
        <w:t>Le droit à l’enseignement</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01" w:lineRule="exact"/>
        <w:rPr>
          <w:sz w:val="20"/>
          <w:szCs w:val="20"/>
        </w:rPr>
      </w:pPr>
    </w:p>
    <w:tbl>
      <w:tblPr>
        <w:tblW w:w="0" w:type="auto"/>
        <w:tblInd w:w="1560" w:type="dxa"/>
        <w:tblLayout w:type="fixed"/>
        <w:tblCellMar>
          <w:left w:w="0" w:type="dxa"/>
          <w:right w:w="0" w:type="dxa"/>
        </w:tblCellMar>
        <w:tblLook w:val="04A0" w:firstRow="1" w:lastRow="0" w:firstColumn="1" w:lastColumn="0" w:noHBand="0" w:noVBand="1"/>
      </w:tblPr>
      <w:tblGrid>
        <w:gridCol w:w="6440"/>
        <w:gridCol w:w="840"/>
      </w:tblGrid>
      <w:tr w:rsidR="00AC12B4">
        <w:trPr>
          <w:trHeight w:val="391"/>
        </w:trPr>
        <w:tc>
          <w:tcPr>
            <w:tcW w:w="6440" w:type="dxa"/>
            <w:vAlign w:val="bottom"/>
          </w:tcPr>
          <w:p w:rsidR="00AC12B4" w:rsidRDefault="00C27636">
            <w:pPr>
              <w:rPr>
                <w:sz w:val="20"/>
                <w:szCs w:val="20"/>
              </w:rPr>
            </w:pPr>
            <w:r>
              <w:rPr>
                <w:rFonts w:ascii="Calibri" w:eastAsia="Calibri" w:hAnsi="Calibri" w:cs="Calibri"/>
                <w:b/>
                <w:bCs/>
                <w:color w:val="8BCCEC"/>
                <w:sz w:val="32"/>
                <w:szCs w:val="32"/>
              </w:rPr>
              <w:t xml:space="preserve">E1 </w:t>
            </w:r>
            <w:r>
              <w:rPr>
                <w:rFonts w:ascii="Calibri" w:eastAsia="Calibri" w:hAnsi="Calibri" w:cs="Calibri"/>
                <w:color w:val="000000"/>
                <w:sz w:val="32"/>
                <w:szCs w:val="32"/>
              </w:rPr>
              <w:t xml:space="preserve">Enfants non </w:t>
            </w:r>
            <w:r>
              <w:rPr>
                <w:rFonts w:ascii="Calibri" w:eastAsia="Calibri" w:hAnsi="Calibri" w:cs="Calibri"/>
                <w:color w:val="000000"/>
                <w:sz w:val="32"/>
                <w:szCs w:val="32"/>
              </w:rPr>
              <w:lastRenderedPageBreak/>
              <w:t>scolarisés………………………………..</w:t>
            </w:r>
          </w:p>
        </w:tc>
        <w:tc>
          <w:tcPr>
            <w:tcW w:w="840" w:type="dxa"/>
            <w:vAlign w:val="bottom"/>
          </w:tcPr>
          <w:p w:rsidR="00AC12B4" w:rsidRDefault="00C27636">
            <w:pPr>
              <w:jc w:val="right"/>
              <w:rPr>
                <w:rFonts w:ascii="Calibri" w:eastAsia="Calibri" w:hAnsi="Calibri" w:cs="Calibri"/>
                <w:sz w:val="32"/>
                <w:szCs w:val="32"/>
              </w:rPr>
            </w:pPr>
            <w:hyperlink w:anchor="page105">
              <w:r>
                <w:rPr>
                  <w:rFonts w:ascii="Calibri" w:eastAsia="Calibri" w:hAnsi="Calibri" w:cs="Calibri"/>
                  <w:sz w:val="32"/>
                  <w:szCs w:val="32"/>
                </w:rPr>
                <w:t>105</w:t>
              </w:r>
            </w:hyperlink>
          </w:p>
        </w:tc>
      </w:tr>
    </w:tbl>
    <w:p w:rsidR="00AC12B4" w:rsidRDefault="00AC12B4">
      <w:pPr>
        <w:spacing w:line="315" w:lineRule="exact"/>
        <w:rPr>
          <w:sz w:val="20"/>
          <w:szCs w:val="20"/>
        </w:rPr>
      </w:pPr>
    </w:p>
    <w:p w:rsidR="00AC12B4" w:rsidRDefault="00C27636">
      <w:pPr>
        <w:ind w:left="1560"/>
        <w:rPr>
          <w:rFonts w:ascii="Calibri" w:eastAsia="Calibri" w:hAnsi="Calibri" w:cs="Calibri"/>
          <w:b/>
          <w:bCs/>
          <w:color w:val="8BCCEC"/>
          <w:sz w:val="32"/>
          <w:szCs w:val="32"/>
        </w:rPr>
      </w:pPr>
      <w:r w:rsidRPr="00C27636">
        <w:rPr>
          <w:rFonts w:ascii="Calibri" w:eastAsia="Calibri" w:hAnsi="Calibri" w:cs="Calibri"/>
          <w:b/>
          <w:bCs/>
          <w:color w:val="8BCCEC"/>
          <w:sz w:val="32"/>
          <w:szCs w:val="32"/>
          <w:lang w:val="fr-BE"/>
        </w:rPr>
        <w:t xml:space="preserve">E2 </w:t>
      </w:r>
      <w:r w:rsidRPr="00C27636">
        <w:rPr>
          <w:rFonts w:ascii="Calibri" w:eastAsia="Calibri" w:hAnsi="Calibri" w:cs="Calibri"/>
          <w:color w:val="000000"/>
          <w:sz w:val="32"/>
          <w:szCs w:val="32"/>
          <w:lang w:val="fr-BE"/>
        </w:rPr>
        <w:t>Carence en matériel éducatif……………………………</w:t>
      </w:r>
      <w:r w:rsidRPr="00C27636">
        <w:rPr>
          <w:rFonts w:ascii="Calibri" w:eastAsia="Calibri" w:hAnsi="Calibri" w:cs="Calibri"/>
          <w:b/>
          <w:bCs/>
          <w:color w:val="8BCCEC"/>
          <w:sz w:val="32"/>
          <w:szCs w:val="32"/>
          <w:lang w:val="fr-BE"/>
        </w:rPr>
        <w:t xml:space="preserve">  </w:t>
      </w:r>
      <w:hyperlink w:anchor="page109">
        <w:r>
          <w:rPr>
            <w:rFonts w:ascii="Calibri" w:eastAsia="Calibri" w:hAnsi="Calibri" w:cs="Calibri"/>
            <w:color w:val="000000"/>
            <w:sz w:val="32"/>
            <w:szCs w:val="32"/>
          </w:rPr>
          <w:t>109</w:t>
        </w:r>
      </w:hyperlink>
    </w:p>
    <w:p w:rsidR="00AC12B4" w:rsidRDefault="00AC12B4">
      <w:pPr>
        <w:spacing w:line="315" w:lineRule="exact"/>
        <w:rPr>
          <w:sz w:val="20"/>
          <w:szCs w:val="20"/>
        </w:rPr>
      </w:pPr>
    </w:p>
    <w:tbl>
      <w:tblPr>
        <w:tblW w:w="0" w:type="auto"/>
        <w:tblInd w:w="1560" w:type="dxa"/>
        <w:tblLayout w:type="fixed"/>
        <w:tblCellMar>
          <w:left w:w="0" w:type="dxa"/>
          <w:right w:w="0" w:type="dxa"/>
        </w:tblCellMar>
        <w:tblLook w:val="04A0" w:firstRow="1" w:lastRow="0" w:firstColumn="1" w:lastColumn="0" w:noHBand="0" w:noVBand="1"/>
      </w:tblPr>
      <w:tblGrid>
        <w:gridCol w:w="6620"/>
        <w:gridCol w:w="660"/>
      </w:tblGrid>
      <w:tr w:rsidR="00AC12B4" w:rsidRPr="00C27636">
        <w:trPr>
          <w:trHeight w:val="391"/>
        </w:trPr>
        <w:tc>
          <w:tcPr>
            <w:tcW w:w="6620" w:type="dxa"/>
            <w:vAlign w:val="bottom"/>
          </w:tcPr>
          <w:p w:rsidR="00AC12B4" w:rsidRPr="00C27636" w:rsidRDefault="00C27636">
            <w:pPr>
              <w:rPr>
                <w:sz w:val="20"/>
                <w:szCs w:val="20"/>
                <w:lang w:val="fr-BE"/>
              </w:rPr>
            </w:pPr>
            <w:r w:rsidRPr="00C27636">
              <w:rPr>
                <w:rFonts w:ascii="Calibri" w:eastAsia="Calibri" w:hAnsi="Calibri" w:cs="Calibri"/>
                <w:b/>
                <w:bCs/>
                <w:color w:val="8BCCEC"/>
                <w:sz w:val="32"/>
                <w:szCs w:val="32"/>
                <w:lang w:val="fr-BE"/>
              </w:rPr>
              <w:t xml:space="preserve">E3 </w:t>
            </w:r>
            <w:r w:rsidRPr="00C27636">
              <w:rPr>
                <w:rFonts w:ascii="Calibri" w:eastAsia="Calibri" w:hAnsi="Calibri" w:cs="Calibri"/>
                <w:color w:val="000000"/>
                <w:sz w:val="32"/>
                <w:szCs w:val="32"/>
                <w:lang w:val="fr-BE"/>
              </w:rPr>
              <w:t>Répartition des élèves dans l’enseignement</w:t>
            </w:r>
          </w:p>
        </w:tc>
        <w:tc>
          <w:tcPr>
            <w:tcW w:w="660" w:type="dxa"/>
            <w:vAlign w:val="bottom"/>
          </w:tcPr>
          <w:p w:rsidR="00AC12B4" w:rsidRPr="00C27636" w:rsidRDefault="00AC12B4">
            <w:pPr>
              <w:rPr>
                <w:sz w:val="24"/>
                <w:szCs w:val="24"/>
                <w:lang w:val="fr-BE"/>
              </w:rPr>
            </w:pPr>
          </w:p>
        </w:tc>
      </w:tr>
      <w:tr w:rsidR="00AC12B4">
        <w:trPr>
          <w:trHeight w:val="706"/>
        </w:trPr>
        <w:tc>
          <w:tcPr>
            <w:tcW w:w="6620" w:type="dxa"/>
            <w:vAlign w:val="bottom"/>
          </w:tcPr>
          <w:p w:rsidR="00AC12B4" w:rsidRDefault="00C27636">
            <w:pPr>
              <w:ind w:left="560"/>
              <w:rPr>
                <w:sz w:val="20"/>
                <w:szCs w:val="20"/>
              </w:rPr>
            </w:pPr>
            <w:r>
              <w:rPr>
                <w:rFonts w:ascii="Calibri" w:eastAsia="Calibri" w:hAnsi="Calibri" w:cs="Calibri"/>
                <w:sz w:val="32"/>
                <w:szCs w:val="32"/>
              </w:rPr>
              <w:t>spécialisé et ordinaire ……………………………..</w:t>
            </w:r>
          </w:p>
        </w:tc>
        <w:tc>
          <w:tcPr>
            <w:tcW w:w="660" w:type="dxa"/>
            <w:vAlign w:val="bottom"/>
          </w:tcPr>
          <w:p w:rsidR="00AC12B4" w:rsidRDefault="00C27636">
            <w:pPr>
              <w:jc w:val="right"/>
              <w:rPr>
                <w:rFonts w:ascii="Calibri" w:eastAsia="Calibri" w:hAnsi="Calibri" w:cs="Calibri"/>
                <w:sz w:val="32"/>
                <w:szCs w:val="32"/>
              </w:rPr>
            </w:pPr>
            <w:hyperlink w:anchor="page113">
              <w:r>
                <w:rPr>
                  <w:rFonts w:ascii="Calibri" w:eastAsia="Calibri" w:hAnsi="Calibri" w:cs="Calibri"/>
                  <w:sz w:val="32"/>
                  <w:szCs w:val="32"/>
                </w:rPr>
                <w:t>113</w:t>
              </w:r>
            </w:hyperlink>
          </w:p>
        </w:tc>
      </w:tr>
      <w:tr w:rsidR="00AC12B4">
        <w:trPr>
          <w:trHeight w:val="708"/>
        </w:trPr>
        <w:tc>
          <w:tcPr>
            <w:tcW w:w="6620" w:type="dxa"/>
            <w:vAlign w:val="bottom"/>
          </w:tcPr>
          <w:p w:rsidR="00AC12B4" w:rsidRDefault="00C27636">
            <w:pPr>
              <w:rPr>
                <w:sz w:val="20"/>
                <w:szCs w:val="20"/>
              </w:rPr>
            </w:pPr>
            <w:r>
              <w:rPr>
                <w:rFonts w:ascii="Calibri" w:eastAsia="Calibri" w:hAnsi="Calibri" w:cs="Calibri"/>
                <w:b/>
                <w:bCs/>
                <w:color w:val="8BCCEC"/>
                <w:sz w:val="32"/>
                <w:szCs w:val="32"/>
              </w:rPr>
              <w:t xml:space="preserve">E4 </w:t>
            </w:r>
            <w:r>
              <w:rPr>
                <w:rFonts w:ascii="Calibri" w:eastAsia="Calibri" w:hAnsi="Calibri" w:cs="Calibri"/>
                <w:color w:val="000000"/>
                <w:sz w:val="32"/>
                <w:szCs w:val="32"/>
              </w:rPr>
              <w:t>Ségrégation…………………………………………………….</w:t>
            </w:r>
          </w:p>
        </w:tc>
        <w:tc>
          <w:tcPr>
            <w:tcW w:w="660" w:type="dxa"/>
            <w:vAlign w:val="bottom"/>
          </w:tcPr>
          <w:p w:rsidR="00AC12B4" w:rsidRDefault="00C27636">
            <w:pPr>
              <w:jc w:val="right"/>
              <w:rPr>
                <w:rFonts w:ascii="Calibri" w:eastAsia="Calibri" w:hAnsi="Calibri" w:cs="Calibri"/>
                <w:sz w:val="32"/>
                <w:szCs w:val="32"/>
              </w:rPr>
            </w:pPr>
            <w:hyperlink w:anchor="page119">
              <w:r>
                <w:rPr>
                  <w:rFonts w:ascii="Calibri" w:eastAsia="Calibri" w:hAnsi="Calibri" w:cs="Calibri"/>
                  <w:sz w:val="32"/>
                  <w:szCs w:val="32"/>
                </w:rPr>
                <w:t>119</w:t>
              </w:r>
            </w:hyperlink>
          </w:p>
        </w:tc>
      </w:tr>
    </w:tbl>
    <w:p w:rsidR="00AC12B4" w:rsidRDefault="00AC12B4">
      <w:pPr>
        <w:spacing w:line="315" w:lineRule="exact"/>
        <w:rPr>
          <w:sz w:val="20"/>
          <w:szCs w:val="20"/>
        </w:rPr>
      </w:pPr>
    </w:p>
    <w:p w:rsidR="00AC12B4" w:rsidRPr="00C27636" w:rsidRDefault="00C27636">
      <w:pPr>
        <w:ind w:left="1560"/>
        <w:rPr>
          <w:rFonts w:ascii="Calibri" w:eastAsia="Calibri" w:hAnsi="Calibri" w:cs="Calibri"/>
          <w:b/>
          <w:bCs/>
          <w:color w:val="8BCCEC"/>
          <w:sz w:val="32"/>
          <w:szCs w:val="32"/>
          <w:lang w:val="fr-BE"/>
        </w:rPr>
      </w:pPr>
      <w:r w:rsidRPr="00C27636">
        <w:rPr>
          <w:rFonts w:ascii="Calibri" w:eastAsia="Calibri" w:hAnsi="Calibri" w:cs="Calibri"/>
          <w:b/>
          <w:bCs/>
          <w:color w:val="8BCCEC"/>
          <w:sz w:val="32"/>
          <w:szCs w:val="32"/>
          <w:lang w:val="fr-BE"/>
        </w:rPr>
        <w:t xml:space="preserve">E5 </w:t>
      </w:r>
      <w:r w:rsidRPr="00C27636">
        <w:rPr>
          <w:rFonts w:ascii="Calibri" w:eastAsia="Calibri" w:hAnsi="Calibri" w:cs="Calibri"/>
          <w:color w:val="000000"/>
          <w:sz w:val="32"/>
          <w:szCs w:val="32"/>
          <w:lang w:val="fr-BE"/>
        </w:rPr>
        <w:t>Sentiment de bien-être</w:t>
      </w:r>
      <w:r w:rsidRPr="00C27636">
        <w:rPr>
          <w:rFonts w:ascii="Calibri" w:eastAsia="Calibri" w:hAnsi="Calibri" w:cs="Calibri"/>
          <w:b/>
          <w:bCs/>
          <w:color w:val="8BCCEC"/>
          <w:sz w:val="32"/>
          <w:szCs w:val="32"/>
          <w:lang w:val="fr-BE"/>
        </w:rPr>
        <w:t xml:space="preserve"> </w:t>
      </w:r>
      <w:r w:rsidRPr="00C27636">
        <w:rPr>
          <w:rFonts w:ascii="Calibri" w:eastAsia="Calibri" w:hAnsi="Calibri" w:cs="Calibri"/>
          <w:color w:val="000000"/>
          <w:sz w:val="32"/>
          <w:szCs w:val="32"/>
          <w:lang w:val="fr-BE"/>
        </w:rPr>
        <w:t>à l’école……………………….</w:t>
      </w:r>
      <w:r w:rsidRPr="00C27636">
        <w:rPr>
          <w:rFonts w:ascii="Calibri" w:eastAsia="Calibri" w:hAnsi="Calibri" w:cs="Calibri"/>
          <w:b/>
          <w:bCs/>
          <w:color w:val="8BCCEC"/>
          <w:sz w:val="32"/>
          <w:szCs w:val="32"/>
          <w:lang w:val="fr-BE"/>
        </w:rPr>
        <w:t xml:space="preserve"> </w:t>
      </w:r>
      <w:hyperlink w:anchor="page123">
        <w:r w:rsidRPr="00C27636">
          <w:rPr>
            <w:rFonts w:ascii="Calibri" w:eastAsia="Calibri" w:hAnsi="Calibri" w:cs="Calibri"/>
            <w:color w:val="000000"/>
            <w:sz w:val="32"/>
            <w:szCs w:val="32"/>
            <w:lang w:val="fr-BE"/>
          </w:rPr>
          <w:t>123</w:t>
        </w:r>
      </w:hyperlink>
    </w:p>
    <w:p w:rsidR="00AC12B4" w:rsidRPr="00C27636" w:rsidRDefault="00AC12B4">
      <w:pPr>
        <w:spacing w:line="316" w:lineRule="exact"/>
        <w:rPr>
          <w:sz w:val="20"/>
          <w:szCs w:val="20"/>
          <w:lang w:val="fr-BE"/>
        </w:rPr>
      </w:pPr>
    </w:p>
    <w:p w:rsidR="00AC12B4" w:rsidRPr="00C27636" w:rsidRDefault="00C27636">
      <w:pPr>
        <w:ind w:left="1560"/>
        <w:rPr>
          <w:rFonts w:ascii="Calibri" w:eastAsia="Calibri" w:hAnsi="Calibri" w:cs="Calibri"/>
          <w:b/>
          <w:bCs/>
          <w:color w:val="8BCCEC"/>
          <w:sz w:val="32"/>
          <w:szCs w:val="32"/>
          <w:lang w:val="fr-BE"/>
        </w:rPr>
      </w:pPr>
      <w:r w:rsidRPr="00C27636">
        <w:rPr>
          <w:rFonts w:ascii="Calibri" w:eastAsia="Calibri" w:hAnsi="Calibri" w:cs="Calibri"/>
          <w:b/>
          <w:bCs/>
          <w:color w:val="8BCCEC"/>
          <w:sz w:val="32"/>
          <w:szCs w:val="32"/>
          <w:lang w:val="fr-BE"/>
        </w:rPr>
        <w:t xml:space="preserve">E6 </w:t>
      </w:r>
      <w:r w:rsidRPr="00C27636">
        <w:rPr>
          <w:rFonts w:ascii="Calibri" w:eastAsia="Calibri" w:hAnsi="Calibri" w:cs="Calibri"/>
          <w:color w:val="000000"/>
          <w:sz w:val="32"/>
          <w:szCs w:val="32"/>
          <w:lang w:val="fr-BE"/>
        </w:rPr>
        <w:t>Sentiment d'être écouté……………………………………</w:t>
      </w:r>
      <w:r w:rsidRPr="00C27636">
        <w:rPr>
          <w:rFonts w:ascii="Calibri" w:eastAsia="Calibri" w:hAnsi="Calibri" w:cs="Calibri"/>
          <w:b/>
          <w:bCs/>
          <w:color w:val="8BCCEC"/>
          <w:sz w:val="32"/>
          <w:szCs w:val="32"/>
          <w:lang w:val="fr-BE"/>
        </w:rPr>
        <w:t xml:space="preserve"> </w:t>
      </w:r>
      <w:hyperlink w:anchor="page127">
        <w:r w:rsidRPr="00C27636">
          <w:rPr>
            <w:rFonts w:ascii="Calibri" w:eastAsia="Calibri" w:hAnsi="Calibri" w:cs="Calibri"/>
            <w:color w:val="000000"/>
            <w:sz w:val="32"/>
            <w:szCs w:val="32"/>
            <w:lang w:val="fr-BE"/>
          </w:rPr>
          <w:t>127</w:t>
        </w:r>
      </w:hyperlink>
    </w:p>
    <w:p w:rsidR="00AC12B4" w:rsidRPr="00C27636" w:rsidRDefault="00AC12B4">
      <w:pPr>
        <w:spacing w:line="315" w:lineRule="exact"/>
        <w:rPr>
          <w:sz w:val="20"/>
          <w:szCs w:val="20"/>
          <w:lang w:val="fr-BE"/>
        </w:rPr>
      </w:pPr>
    </w:p>
    <w:p w:rsidR="00AC12B4" w:rsidRPr="00C27636" w:rsidRDefault="00C27636">
      <w:pPr>
        <w:ind w:left="1560"/>
        <w:rPr>
          <w:rFonts w:ascii="Calibri" w:eastAsia="Calibri" w:hAnsi="Calibri" w:cs="Calibri"/>
          <w:b/>
          <w:bCs/>
          <w:color w:val="8BCCEC"/>
          <w:sz w:val="32"/>
          <w:szCs w:val="32"/>
          <w:lang w:val="fr-BE"/>
        </w:rPr>
      </w:pPr>
      <w:r w:rsidRPr="00C27636">
        <w:rPr>
          <w:rFonts w:ascii="Calibri" w:eastAsia="Calibri" w:hAnsi="Calibri" w:cs="Calibri"/>
          <w:b/>
          <w:bCs/>
          <w:color w:val="8BCCEC"/>
          <w:sz w:val="32"/>
          <w:szCs w:val="32"/>
          <w:lang w:val="fr-BE"/>
        </w:rPr>
        <w:t xml:space="preserve">E7 </w:t>
      </w:r>
      <w:r w:rsidRPr="00C27636">
        <w:rPr>
          <w:rFonts w:ascii="Calibri" w:eastAsia="Calibri" w:hAnsi="Calibri" w:cs="Calibri"/>
          <w:color w:val="000000"/>
          <w:sz w:val="32"/>
          <w:szCs w:val="32"/>
          <w:lang w:val="fr-BE"/>
        </w:rPr>
        <w:t xml:space="preserve">Sentiment d'être traité avec justice………………….  </w:t>
      </w:r>
      <w:hyperlink w:anchor="page131">
        <w:r w:rsidRPr="00C27636">
          <w:rPr>
            <w:rFonts w:ascii="Calibri" w:eastAsia="Calibri" w:hAnsi="Calibri" w:cs="Calibri"/>
            <w:color w:val="000000"/>
            <w:sz w:val="32"/>
            <w:szCs w:val="32"/>
            <w:lang w:val="fr-BE"/>
          </w:rPr>
          <w:t>131</w:t>
        </w:r>
      </w:hyperlink>
    </w:p>
    <w:p w:rsidR="00AC12B4" w:rsidRPr="00C27636" w:rsidRDefault="00AC12B4">
      <w:pPr>
        <w:spacing w:line="315" w:lineRule="exact"/>
        <w:rPr>
          <w:sz w:val="20"/>
          <w:szCs w:val="20"/>
          <w:lang w:val="fr-BE"/>
        </w:rPr>
      </w:pPr>
    </w:p>
    <w:p w:rsidR="00AC12B4" w:rsidRPr="00C27636" w:rsidRDefault="00C27636">
      <w:pPr>
        <w:ind w:left="1560"/>
        <w:rPr>
          <w:rFonts w:ascii="Calibri" w:eastAsia="Calibri" w:hAnsi="Calibri" w:cs="Calibri"/>
          <w:b/>
          <w:bCs/>
          <w:color w:val="8BCCEC"/>
          <w:sz w:val="32"/>
          <w:szCs w:val="32"/>
          <w:lang w:val="fr-BE"/>
        </w:rPr>
      </w:pPr>
      <w:r w:rsidRPr="00C27636">
        <w:rPr>
          <w:rFonts w:ascii="Calibri" w:eastAsia="Calibri" w:hAnsi="Calibri" w:cs="Calibri"/>
          <w:b/>
          <w:bCs/>
          <w:color w:val="8BCCEC"/>
          <w:sz w:val="32"/>
          <w:szCs w:val="32"/>
          <w:lang w:val="fr-BE"/>
        </w:rPr>
        <w:t xml:space="preserve">E8 </w:t>
      </w:r>
      <w:r w:rsidRPr="00C27636">
        <w:rPr>
          <w:rFonts w:ascii="Calibri" w:eastAsia="Calibri" w:hAnsi="Calibri" w:cs="Calibri"/>
          <w:color w:val="000000"/>
          <w:sz w:val="32"/>
          <w:szCs w:val="32"/>
          <w:lang w:val="fr-BE"/>
        </w:rPr>
        <w:t xml:space="preserve">Inégalités des acquis…………………………………………. </w:t>
      </w:r>
      <w:hyperlink w:anchor="page135">
        <w:r w:rsidRPr="00C27636">
          <w:rPr>
            <w:rFonts w:ascii="Calibri" w:eastAsia="Calibri" w:hAnsi="Calibri" w:cs="Calibri"/>
            <w:color w:val="000000"/>
            <w:sz w:val="32"/>
            <w:szCs w:val="32"/>
            <w:lang w:val="fr-BE"/>
          </w:rPr>
          <w:t>135</w:t>
        </w:r>
      </w:hyperlink>
    </w:p>
    <w:p w:rsidR="00AC12B4" w:rsidRPr="00C27636" w:rsidRDefault="00AC12B4">
      <w:pPr>
        <w:spacing w:line="315" w:lineRule="exact"/>
        <w:rPr>
          <w:sz w:val="20"/>
          <w:szCs w:val="20"/>
          <w:lang w:val="fr-BE"/>
        </w:rPr>
      </w:pPr>
    </w:p>
    <w:p w:rsidR="00AC12B4" w:rsidRPr="00C27636" w:rsidRDefault="00C27636">
      <w:pPr>
        <w:ind w:left="1560"/>
        <w:rPr>
          <w:rFonts w:ascii="Calibri" w:eastAsia="Calibri" w:hAnsi="Calibri" w:cs="Calibri"/>
          <w:b/>
          <w:bCs/>
          <w:color w:val="8BCCEC"/>
          <w:sz w:val="32"/>
          <w:szCs w:val="32"/>
          <w:lang w:val="fr-BE"/>
        </w:rPr>
      </w:pPr>
      <w:r w:rsidRPr="00C27636">
        <w:rPr>
          <w:rFonts w:ascii="Calibri" w:eastAsia="Calibri" w:hAnsi="Calibri" w:cs="Calibri"/>
          <w:b/>
          <w:bCs/>
          <w:color w:val="8BCCEC"/>
          <w:sz w:val="32"/>
          <w:szCs w:val="32"/>
          <w:lang w:val="fr-BE"/>
        </w:rPr>
        <w:t xml:space="preserve">E9 </w:t>
      </w:r>
      <w:r w:rsidRPr="00C27636">
        <w:rPr>
          <w:rFonts w:ascii="Calibri" w:eastAsia="Calibri" w:hAnsi="Calibri" w:cs="Calibri"/>
          <w:color w:val="000000"/>
          <w:sz w:val="32"/>
          <w:szCs w:val="32"/>
          <w:lang w:val="fr-BE"/>
        </w:rPr>
        <w:t>Interruption prématurée de scolarité………………..</w:t>
      </w:r>
      <w:r w:rsidRPr="00C27636">
        <w:rPr>
          <w:rFonts w:ascii="Calibri" w:eastAsia="Calibri" w:hAnsi="Calibri" w:cs="Calibri"/>
          <w:b/>
          <w:bCs/>
          <w:color w:val="8BCCEC"/>
          <w:sz w:val="32"/>
          <w:szCs w:val="32"/>
          <w:lang w:val="fr-BE"/>
        </w:rPr>
        <w:t xml:space="preserve"> </w:t>
      </w:r>
      <w:hyperlink w:anchor="page139">
        <w:r w:rsidRPr="00C27636">
          <w:rPr>
            <w:rFonts w:ascii="Calibri" w:eastAsia="Calibri" w:hAnsi="Calibri" w:cs="Calibri"/>
            <w:color w:val="000000"/>
            <w:sz w:val="32"/>
            <w:szCs w:val="32"/>
            <w:lang w:val="fr-BE"/>
          </w:rPr>
          <w:t>139</w:t>
        </w:r>
      </w:hyperlink>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5"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103</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103" w:name="page104"/>
      <w:bookmarkEnd w:id="103"/>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framePr w:w="2764" w:h="3885" w:wrap="auto" w:vAnchor="page" w:hAnchor="page" w:x="8280" w:y="5124"/>
        <w:jc w:val="center"/>
        <w:rPr>
          <w:sz w:val="20"/>
          <w:szCs w:val="20"/>
          <w:lang w:val="fr-BE"/>
        </w:rPr>
      </w:pPr>
      <w:bookmarkStart w:id="104" w:name="page105"/>
      <w:bookmarkEnd w:id="104"/>
    </w:p>
    <w:p w:rsidR="00AC12B4" w:rsidRPr="00C27636" w:rsidRDefault="00C27636">
      <w:pPr>
        <w:framePr w:w="2300" w:h="1057" w:wrap="auto" w:vAnchor="page" w:hAnchor="page" w:x="8780" w:y="7245"/>
        <w:spacing w:line="227" w:lineRule="auto"/>
        <w:jc w:val="both"/>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t xml:space="preserve">Aucune donnée nationale </w:t>
      </w:r>
      <w:r w:rsidRPr="00C27636">
        <w:rPr>
          <w:rFonts w:ascii="Comic Sans MS" w:eastAsia="Comic Sans MS" w:hAnsi="Comic Sans MS" w:cs="Comic Sans MS"/>
          <w:color w:val="0D0D0D"/>
          <w:sz w:val="20"/>
          <w:szCs w:val="20"/>
          <w:lang w:val="fr-BE"/>
        </w:rPr>
        <w:t>n’a pu être fournie concernant les enfants non-scolarisés.</w:t>
      </w:r>
    </w:p>
    <w:p w:rsidR="00AC12B4" w:rsidRPr="00C27636" w:rsidRDefault="00AC12B4">
      <w:pPr>
        <w:framePr w:w="2632" w:h="3885" w:wrap="auto" w:vAnchor="page" w:hAnchor="page" w:x="8286" w:y="5124"/>
        <w:spacing w:line="227" w:lineRule="auto"/>
        <w:jc w:val="both"/>
        <w:rPr>
          <w:rFonts w:ascii="Comic Sans MS" w:eastAsia="Comic Sans MS" w:hAnsi="Comic Sans MS" w:cs="Comic Sans MS"/>
          <w:color w:val="0D0D0D"/>
          <w:sz w:val="20"/>
          <w:szCs w:val="20"/>
          <w:lang w:val="fr-BE"/>
        </w:rPr>
      </w:pPr>
    </w:p>
    <w:p w:rsidR="00AC12B4" w:rsidRPr="00C27636" w:rsidRDefault="00C27636">
      <w:pPr>
        <w:framePr w:w="2040" w:h="1058" w:wrap="auto" w:vAnchor="page" w:hAnchor="page" w:x="8920" w:y="5905"/>
        <w:spacing w:line="189" w:lineRule="auto"/>
        <w:rPr>
          <w:rFonts w:ascii="Comic Sans MS" w:eastAsia="Comic Sans MS" w:hAnsi="Comic Sans MS" w:cs="Comic Sans MS"/>
          <w:color w:val="8BCCEC"/>
          <w:sz w:val="96"/>
          <w:szCs w:val="96"/>
          <w:lang w:val="fr-BE"/>
        </w:rPr>
      </w:pPr>
      <w:r w:rsidRPr="00C27636">
        <w:rPr>
          <w:rFonts w:ascii="Comic Sans MS" w:eastAsia="Comic Sans MS" w:hAnsi="Comic Sans MS" w:cs="Comic Sans MS"/>
          <w:color w:val="8BCCEC"/>
          <w:sz w:val="96"/>
          <w:szCs w:val="96"/>
          <w:lang w:val="fr-BE"/>
        </w:rPr>
        <w:t>N/A</w:t>
      </w:r>
    </w:p>
    <w:p w:rsidR="00AC12B4" w:rsidRPr="00C27636" w:rsidRDefault="00AC12B4">
      <w:pPr>
        <w:framePr w:w="6019" w:h="4032" w:wrap="auto" w:vAnchor="page" w:hAnchor="page" w:x="1128" w:y="749"/>
        <w:spacing w:line="189" w:lineRule="auto"/>
        <w:rPr>
          <w:rFonts w:ascii="Comic Sans MS" w:eastAsia="Comic Sans MS" w:hAnsi="Comic Sans MS" w:cs="Comic Sans MS"/>
          <w:color w:val="8BCCEC"/>
          <w:sz w:val="96"/>
          <w:szCs w:val="96"/>
          <w:lang w:val="fr-BE"/>
        </w:rPr>
      </w:pPr>
    </w:p>
    <w:p w:rsidR="00AC12B4" w:rsidRPr="00C27636" w:rsidRDefault="00C27636">
      <w:pPr>
        <w:framePr w:w="5760" w:h="708" w:wrap="auto" w:vAnchor="page" w:hAnchor="page" w:x="1080" w:y="4073"/>
        <w:spacing w:line="210" w:lineRule="auto"/>
        <w:jc w:val="both"/>
        <w:rPr>
          <w:rFonts w:ascii="Calibri" w:eastAsia="Calibri" w:hAnsi="Calibri" w:cs="Calibri"/>
          <w:i/>
          <w:iCs/>
          <w:color w:val="DAEEF3"/>
          <w:lang w:val="fr-BE"/>
        </w:rPr>
      </w:pPr>
      <w:r w:rsidRPr="00C27636">
        <w:rPr>
          <w:rFonts w:ascii="Calibri" w:eastAsia="Calibri" w:hAnsi="Calibri" w:cs="Calibri"/>
          <w:color w:val="FFFFFF"/>
          <w:lang w:val="fr-BE"/>
        </w:rPr>
        <w:t>e</w:t>
      </w:r>
      <w:r w:rsidRPr="00C27636">
        <w:rPr>
          <w:rFonts w:ascii="Calibri" w:eastAsia="Calibri" w:hAnsi="Calibri" w:cs="Calibri"/>
          <w:i/>
          <w:iCs/>
          <w:color w:val="DAEEF3"/>
          <w:lang w:val="fr-BE"/>
        </w:rPr>
        <w:t>) Ils prennent des mesures pour encourager la régularité de la</w:t>
      </w:r>
      <w:r w:rsidRPr="00C27636">
        <w:rPr>
          <w:rFonts w:ascii="Calibri" w:eastAsia="Calibri" w:hAnsi="Calibri" w:cs="Calibri"/>
          <w:color w:val="FFFFFF"/>
          <w:lang w:val="fr-BE"/>
        </w:rPr>
        <w:t xml:space="preserve"> </w:t>
      </w:r>
      <w:r w:rsidRPr="00C27636">
        <w:rPr>
          <w:rFonts w:ascii="Calibri" w:eastAsia="Calibri" w:hAnsi="Calibri" w:cs="Calibri"/>
          <w:i/>
          <w:iCs/>
          <w:color w:val="DAEEF3"/>
          <w:lang w:val="fr-BE"/>
        </w:rPr>
        <w:t>fréquentation scolaire et la réduction des taux d’abandon scolaire.</w:t>
      </w:r>
    </w:p>
    <w:p w:rsidR="00AC12B4" w:rsidRPr="00C27636" w:rsidRDefault="00AC12B4">
      <w:pPr>
        <w:framePr w:w="6019" w:h="3101" w:wrap="auto" w:vAnchor="page" w:hAnchor="page" w:x="1128" w:y="749"/>
        <w:spacing w:line="210" w:lineRule="auto"/>
        <w:jc w:val="both"/>
        <w:rPr>
          <w:rFonts w:ascii="Calibri" w:eastAsia="Calibri" w:hAnsi="Calibri" w:cs="Calibri"/>
          <w:i/>
          <w:iCs/>
          <w:color w:val="DAEEF3"/>
          <w:lang w:val="fr-BE"/>
        </w:rPr>
      </w:pPr>
    </w:p>
    <w:p w:rsidR="00AC12B4" w:rsidRPr="00C27636" w:rsidRDefault="00C27636">
      <w:pPr>
        <w:framePr w:w="5760" w:h="703" w:wrap="auto" w:vAnchor="page" w:hAnchor="page" w:x="1080" w:y="3147"/>
        <w:spacing w:line="209" w:lineRule="auto"/>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1. Les Etats parties reconnaissent le droit de l’enfant à </w:t>
      </w:r>
      <w:r w:rsidRPr="00C27636">
        <w:rPr>
          <w:rFonts w:ascii="Calibri" w:eastAsia="Calibri" w:hAnsi="Calibri" w:cs="Calibri"/>
          <w:i/>
          <w:iCs/>
          <w:color w:val="DAEEF3"/>
          <w:lang w:val="fr-BE"/>
        </w:rPr>
        <w:t>l’éducation, et en particulier, en vue d’assurer l’exercice de ce droit progressivement et sur la base de l’égalité des chances :</w:t>
      </w:r>
    </w:p>
    <w:p w:rsidR="00AC12B4" w:rsidRPr="00C27636" w:rsidRDefault="00AC12B4">
      <w:pPr>
        <w:framePr w:w="5278" w:h="2177" w:wrap="auto" w:vAnchor="page" w:hAnchor="page" w:x="1128" w:y="749"/>
        <w:spacing w:line="209" w:lineRule="auto"/>
        <w:jc w:val="both"/>
        <w:rPr>
          <w:rFonts w:ascii="Calibri" w:eastAsia="Calibri" w:hAnsi="Calibri" w:cs="Calibri"/>
          <w:i/>
          <w:iCs/>
          <w:color w:val="DAEEF3"/>
          <w:lang w:val="fr-BE"/>
        </w:rPr>
      </w:pPr>
    </w:p>
    <w:p w:rsidR="00AC12B4" w:rsidRPr="00C27636" w:rsidRDefault="00C27636">
      <w:pPr>
        <w:framePr w:w="1400" w:h="166" w:wrap="auto" w:vAnchor="page" w:hAnchor="page" w:x="1080" w:y="2760"/>
        <w:spacing w:line="180" w:lineRule="auto"/>
        <w:rPr>
          <w:rFonts w:ascii="Calibri" w:eastAsia="Calibri" w:hAnsi="Calibri" w:cs="Calibri"/>
          <w:i/>
          <w:iCs/>
          <w:color w:val="DAEEF3"/>
          <w:sz w:val="18"/>
          <w:szCs w:val="18"/>
          <w:lang w:val="fr-BE"/>
        </w:rPr>
      </w:pPr>
      <w:r w:rsidRPr="00C27636">
        <w:rPr>
          <w:rFonts w:ascii="Calibri" w:eastAsia="Calibri" w:hAnsi="Calibri" w:cs="Calibri"/>
          <w:i/>
          <w:iCs/>
          <w:color w:val="DAEEF3"/>
          <w:sz w:val="18"/>
          <w:szCs w:val="18"/>
          <w:lang w:val="fr-BE"/>
        </w:rPr>
        <w:t>Article 28 CIDE</w:t>
      </w:r>
    </w:p>
    <w:p w:rsidR="00AC12B4" w:rsidRPr="00C27636" w:rsidRDefault="00AC12B4">
      <w:pPr>
        <w:framePr w:w="4817" w:h="1301" w:wrap="auto" w:vAnchor="page" w:hAnchor="page" w:x="2007" w:y="749"/>
        <w:spacing w:line="180" w:lineRule="auto"/>
        <w:rPr>
          <w:rFonts w:ascii="Calibri" w:eastAsia="Calibri" w:hAnsi="Calibri" w:cs="Calibri"/>
          <w:i/>
          <w:iCs/>
          <w:color w:val="DAEEF3"/>
          <w:sz w:val="18"/>
          <w:szCs w:val="18"/>
          <w:lang w:val="fr-BE"/>
        </w:rPr>
      </w:pPr>
    </w:p>
    <w:p w:rsidR="00AC12B4" w:rsidRPr="00C27636" w:rsidRDefault="00C27636">
      <w:pPr>
        <w:framePr w:w="4900" w:h="442" w:wrap="auto" w:vAnchor="page" w:hAnchor="page" w:x="1960" w:y="1608"/>
        <w:spacing w:line="190" w:lineRule="auto"/>
        <w:rPr>
          <w:rFonts w:ascii="Comic Sans MS" w:eastAsia="Comic Sans MS" w:hAnsi="Comic Sans MS" w:cs="Comic Sans MS"/>
          <w:i/>
          <w:iCs/>
          <w:color w:val="8BCCEC"/>
          <w:sz w:val="40"/>
          <w:szCs w:val="40"/>
          <w:lang w:val="fr-BE"/>
        </w:rPr>
      </w:pPr>
      <w:r w:rsidRPr="00C27636">
        <w:rPr>
          <w:rFonts w:ascii="Comic Sans MS" w:eastAsia="Comic Sans MS" w:hAnsi="Comic Sans MS" w:cs="Comic Sans MS"/>
          <w:i/>
          <w:iCs/>
          <w:color w:val="8BCCEC"/>
          <w:sz w:val="40"/>
          <w:szCs w:val="40"/>
          <w:lang w:val="fr-BE"/>
        </w:rPr>
        <w:t>E1. Enfants non scolarisés</w:t>
      </w:r>
    </w:p>
    <w:p w:rsidR="00AC12B4" w:rsidRPr="00C27636" w:rsidRDefault="00C27636">
      <w:pPr>
        <w:spacing w:line="200" w:lineRule="exact"/>
        <w:rPr>
          <w:rFonts w:ascii="Comic Sans MS" w:eastAsia="Comic Sans MS" w:hAnsi="Comic Sans MS" w:cs="Comic Sans MS"/>
          <w:i/>
          <w:iCs/>
          <w:color w:val="8BCCEC"/>
          <w:sz w:val="40"/>
          <w:szCs w:val="40"/>
          <w:lang w:val="fr-BE"/>
        </w:rPr>
      </w:pP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0144" behindDoc="1" locked="0" layoutInCell="0" allowOverlap="1">
                <wp:simplePos x="0" y="0"/>
                <wp:positionH relativeFrom="page">
                  <wp:posOffset>360045</wp:posOffset>
                </wp:positionH>
                <wp:positionV relativeFrom="page">
                  <wp:posOffset>1566545</wp:posOffset>
                </wp:positionV>
                <wp:extent cx="4060190" cy="1741805"/>
                <wp:effectExtent l="0" t="0" r="0" b="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60190" cy="1741805"/>
                        </a:xfrm>
                        <a:prstGeom prst="rect">
                          <a:avLst/>
                        </a:prstGeom>
                        <a:solidFill>
                          <a:srgbClr val="8BCCEC"/>
                        </a:solidFill>
                      </wps:spPr>
                      <wps:bodyPr/>
                    </wps:wsp>
                  </a:graphicData>
                </a:graphic>
              </wp:anchor>
            </w:drawing>
          </mc:Choice>
          <mc:Fallback>
            <w:pict>
              <v:rect id="Shape 255" o:spid="_x0000_s1280" style="position:absolute;margin-left:28.35pt;margin-top:123.35pt;width:319.7pt;height:13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1168" behindDoc="1" locked="0" layoutInCell="0" allowOverlap="1">
                <wp:simplePos x="0" y="0"/>
                <wp:positionH relativeFrom="page">
                  <wp:posOffset>347345</wp:posOffset>
                </wp:positionH>
                <wp:positionV relativeFrom="page">
                  <wp:posOffset>3308350</wp:posOffset>
                </wp:positionV>
                <wp:extent cx="4085590" cy="0"/>
                <wp:effectExtent l="0" t="0" r="0" b="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8559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35pt,260.5pt" to="349.05pt,260.5pt" o:allowincell="f" strokecolor="#44ACE0" strokeweight="2pt">
                <w10:wrap anchorx="page" anchory="page"/>
              </v:line>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2192" behindDoc="1" locked="0" layoutInCell="0" allowOverlap="1">
                <wp:simplePos x="0" y="0"/>
                <wp:positionH relativeFrom="page">
                  <wp:posOffset>347345</wp:posOffset>
                </wp:positionH>
                <wp:positionV relativeFrom="page">
                  <wp:posOffset>1566545</wp:posOffset>
                </wp:positionV>
                <wp:extent cx="4085590" cy="0"/>
                <wp:effectExtent l="0" t="0" r="0" b="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8559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35pt,123.35pt" to="349.05pt,123.35pt" o:allowincell="f" strokecolor="#44ACE0" strokeweight="2pt">
                <w10:wrap anchorx="page" anchory="page"/>
              </v:line>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3216" behindDoc="1" locked="0" layoutInCell="0" allowOverlap="1">
                <wp:simplePos x="0" y="0"/>
                <wp:positionH relativeFrom="page">
                  <wp:posOffset>360045</wp:posOffset>
                </wp:positionH>
                <wp:positionV relativeFrom="page">
                  <wp:posOffset>1553845</wp:posOffset>
                </wp:positionV>
                <wp:extent cx="0" cy="1767205"/>
                <wp:effectExtent l="0" t="0" r="0" b="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6720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35pt,122.35pt" to="28.35pt,261.5pt" o:allowincell="f" strokecolor="#44ACE0" strokeweight="2pt">
                <w10:wrap anchorx="page" anchory="page"/>
              </v:line>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4240" behindDoc="1" locked="0" layoutInCell="0" allowOverlap="1">
                <wp:simplePos x="0" y="0"/>
                <wp:positionH relativeFrom="page">
                  <wp:posOffset>4420235</wp:posOffset>
                </wp:positionH>
                <wp:positionV relativeFrom="page">
                  <wp:posOffset>1553845</wp:posOffset>
                </wp:positionV>
                <wp:extent cx="0" cy="1767205"/>
                <wp:effectExtent l="0" t="0" r="0" b="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6720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8.05pt,122.35pt" to="348.05pt,261.5pt" o:allowincell="f" strokecolor="#44ACE0" strokeweight="2pt">
                <w10:wrap anchorx="page" anchory="page"/>
              </v:line>
            </w:pict>
          </mc:Fallback>
        </mc:AlternateContent>
      </w: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316" w:lineRule="exact"/>
        <w:rPr>
          <w:rFonts w:ascii="Comic Sans MS" w:eastAsia="Comic Sans MS" w:hAnsi="Comic Sans MS" w:cs="Comic Sans MS"/>
          <w:i/>
          <w:iCs/>
          <w:color w:val="8BCCEC"/>
          <w:sz w:val="40"/>
          <w:szCs w:val="40"/>
          <w:lang w:val="fr-BE"/>
        </w:rPr>
      </w:pPr>
    </w:p>
    <w:p w:rsidR="00AC12B4" w:rsidRPr="00C27636" w:rsidRDefault="00C27636">
      <w:pPr>
        <w:spacing w:line="224" w:lineRule="auto"/>
        <w:ind w:left="560" w:right="520"/>
        <w:jc w:val="both"/>
        <w:rPr>
          <w:sz w:val="20"/>
          <w:szCs w:val="20"/>
          <w:lang w:val="fr-BE"/>
        </w:rPr>
      </w:pPr>
      <w:r w:rsidRPr="00C27636">
        <w:rPr>
          <w:rFonts w:ascii="Calibri" w:eastAsia="Calibri" w:hAnsi="Calibri" w:cs="Calibri"/>
          <w:lang w:val="fr-BE"/>
        </w:rPr>
        <w:t xml:space="preserve">En Belgique, l’obligation scolaire s’étend de 6 à 18 ans. Le taux de </w:t>
      </w:r>
      <w:r w:rsidRPr="00C27636">
        <w:rPr>
          <w:rFonts w:ascii="Calibri" w:eastAsia="Calibri" w:hAnsi="Calibri" w:cs="Calibri"/>
          <w:lang w:val="fr-BE"/>
        </w:rPr>
        <w:t>scolarisation est un indicateur très largement utilisé</w:t>
      </w:r>
    </w:p>
    <w:p w:rsidR="00AC12B4" w:rsidRPr="00C27636" w:rsidRDefault="00AC12B4">
      <w:pPr>
        <w:spacing w:line="52" w:lineRule="exact"/>
        <w:rPr>
          <w:rFonts w:ascii="Comic Sans MS" w:eastAsia="Comic Sans MS" w:hAnsi="Comic Sans MS" w:cs="Comic Sans MS"/>
          <w:i/>
          <w:iCs/>
          <w:color w:val="8BCCEC"/>
          <w:sz w:val="40"/>
          <w:szCs w:val="40"/>
          <w:lang w:val="fr-BE"/>
        </w:rPr>
      </w:pPr>
    </w:p>
    <w:p w:rsidR="00AC12B4" w:rsidRPr="00C27636" w:rsidRDefault="00C27636">
      <w:pPr>
        <w:spacing w:line="231" w:lineRule="auto"/>
        <w:ind w:left="560" w:right="520"/>
        <w:jc w:val="both"/>
        <w:rPr>
          <w:sz w:val="20"/>
          <w:szCs w:val="20"/>
          <w:lang w:val="fr-BE"/>
        </w:rPr>
      </w:pPr>
      <w:r w:rsidRPr="00C27636">
        <w:rPr>
          <w:rFonts w:ascii="Calibri" w:eastAsia="Calibri" w:hAnsi="Calibri" w:cs="Calibri"/>
          <w:lang w:val="fr-BE"/>
        </w:rPr>
        <w:t>internationalement. Celui-ci étant tellement élevé en Belgique, sa pertinence pourrait être remise en cause dans le cadre d’une approche ‘droits de l’enfant’ en Belgique.</w:t>
      </w:r>
    </w:p>
    <w:p w:rsidR="00AC12B4" w:rsidRPr="00C27636" w:rsidRDefault="00AC12B4">
      <w:pPr>
        <w:spacing w:line="172" w:lineRule="exact"/>
        <w:rPr>
          <w:rFonts w:ascii="Comic Sans MS" w:eastAsia="Comic Sans MS" w:hAnsi="Comic Sans MS" w:cs="Comic Sans MS"/>
          <w:i/>
          <w:iCs/>
          <w:color w:val="8BCCEC"/>
          <w:sz w:val="40"/>
          <w:szCs w:val="40"/>
          <w:lang w:val="fr-BE"/>
        </w:rPr>
      </w:pPr>
    </w:p>
    <w:p w:rsidR="00AC12B4" w:rsidRPr="00C27636" w:rsidRDefault="00C27636">
      <w:pPr>
        <w:spacing w:line="233" w:lineRule="auto"/>
        <w:ind w:left="560" w:right="520"/>
        <w:jc w:val="both"/>
        <w:rPr>
          <w:sz w:val="20"/>
          <w:szCs w:val="20"/>
          <w:lang w:val="fr-BE"/>
        </w:rPr>
      </w:pPr>
      <w:r w:rsidRPr="00C27636">
        <w:rPr>
          <w:rFonts w:ascii="Calibri" w:eastAsia="Calibri" w:hAnsi="Calibri" w:cs="Calibri"/>
          <w:lang w:val="fr-BE"/>
        </w:rPr>
        <w:t>Cependant, le non-respect de</w:t>
      </w:r>
      <w:r w:rsidRPr="00C27636">
        <w:rPr>
          <w:rFonts w:ascii="Calibri" w:eastAsia="Calibri" w:hAnsi="Calibri" w:cs="Calibri"/>
          <w:lang w:val="fr-BE"/>
        </w:rPr>
        <w:t xml:space="preserve"> l’obligation scolaire nuit au droit au développement de l’enfant. Les Etats s’engagent à prendre des mesures en vue de </w:t>
      </w:r>
      <w:r w:rsidRPr="00C27636">
        <w:rPr>
          <w:rFonts w:ascii="Calibri" w:eastAsia="Calibri" w:hAnsi="Calibri" w:cs="Calibri"/>
          <w:lang w:val="fr-BE"/>
        </w:rPr>
        <w:lastRenderedPageBreak/>
        <w:t>favoriser la fréquentation de l’enseignement. Il reste donc primordial de s’intéresser à ces quelques enfants non scolarisés.</w:t>
      </w:r>
    </w:p>
    <w:p w:rsidR="00AC12B4" w:rsidRPr="00C27636" w:rsidRDefault="00AC12B4">
      <w:pPr>
        <w:spacing w:line="175" w:lineRule="exact"/>
        <w:rPr>
          <w:rFonts w:ascii="Comic Sans MS" w:eastAsia="Comic Sans MS" w:hAnsi="Comic Sans MS" w:cs="Comic Sans MS"/>
          <w:i/>
          <w:iCs/>
          <w:color w:val="8BCCEC"/>
          <w:sz w:val="40"/>
          <w:szCs w:val="40"/>
          <w:lang w:val="fr-BE"/>
        </w:rPr>
      </w:pPr>
    </w:p>
    <w:p w:rsidR="00AC12B4" w:rsidRPr="00C27636" w:rsidRDefault="00C27636">
      <w:pPr>
        <w:spacing w:line="225" w:lineRule="auto"/>
        <w:ind w:left="560" w:right="520"/>
        <w:jc w:val="both"/>
        <w:rPr>
          <w:sz w:val="20"/>
          <w:szCs w:val="20"/>
          <w:lang w:val="fr-BE"/>
        </w:rPr>
      </w:pPr>
      <w:r w:rsidRPr="00C27636">
        <w:rPr>
          <w:rFonts w:ascii="Calibri" w:eastAsia="Calibri" w:hAnsi="Calibri" w:cs="Calibri"/>
          <w:lang w:val="fr-BE"/>
        </w:rPr>
        <w:t>Etonnamme</w:t>
      </w:r>
      <w:r w:rsidRPr="00C27636">
        <w:rPr>
          <w:rFonts w:ascii="Calibri" w:eastAsia="Calibri" w:hAnsi="Calibri" w:cs="Calibri"/>
          <w:lang w:val="fr-BE"/>
        </w:rPr>
        <w:t>nt, il est assez difficile de mesurer réellement le % d’enfants non-scolarisés.</w:t>
      </w:r>
    </w:p>
    <w:p w:rsidR="00AC12B4" w:rsidRPr="00C27636" w:rsidRDefault="00AC12B4">
      <w:pPr>
        <w:spacing w:line="171" w:lineRule="exact"/>
        <w:rPr>
          <w:rFonts w:ascii="Comic Sans MS" w:eastAsia="Comic Sans MS" w:hAnsi="Comic Sans MS" w:cs="Comic Sans MS"/>
          <w:i/>
          <w:iCs/>
          <w:color w:val="8BCCEC"/>
          <w:sz w:val="40"/>
          <w:szCs w:val="40"/>
          <w:lang w:val="fr-BE"/>
        </w:rPr>
      </w:pPr>
    </w:p>
    <w:p w:rsidR="00AC12B4" w:rsidRPr="00C27636" w:rsidRDefault="00C27636">
      <w:pPr>
        <w:spacing w:line="234" w:lineRule="auto"/>
        <w:ind w:left="560" w:right="520"/>
        <w:jc w:val="both"/>
        <w:rPr>
          <w:sz w:val="20"/>
          <w:szCs w:val="20"/>
          <w:lang w:val="fr-BE"/>
        </w:rPr>
      </w:pPr>
      <w:r w:rsidRPr="00C27636">
        <w:rPr>
          <w:rFonts w:ascii="Calibri" w:eastAsia="Calibri" w:hAnsi="Calibri" w:cs="Calibri"/>
          <w:lang w:val="fr-BE"/>
        </w:rPr>
        <w:t>Le taux de scolarisation est parfois calculé sur base du nombre d’inscriptions comparé au nombre d’enfants inscrits au Registre National (RN) qui sont soumis à l'obligation sc</w:t>
      </w:r>
      <w:r w:rsidRPr="00C27636">
        <w:rPr>
          <w:rFonts w:ascii="Calibri" w:eastAsia="Calibri" w:hAnsi="Calibri" w:cs="Calibri"/>
          <w:lang w:val="fr-BE"/>
        </w:rPr>
        <w:t>olaire. Cependant, des enfants non-inscrits au RN fréquentent aussi des écoles belges (p.ex. les enfants en séjour illégal, ou frontaliers).</w:t>
      </w:r>
    </w:p>
    <w:p w:rsidR="00AC12B4" w:rsidRPr="00C27636" w:rsidRDefault="00AC12B4">
      <w:pPr>
        <w:spacing w:line="174" w:lineRule="exact"/>
        <w:rPr>
          <w:rFonts w:ascii="Comic Sans MS" w:eastAsia="Comic Sans MS" w:hAnsi="Comic Sans MS" w:cs="Comic Sans MS"/>
          <w:i/>
          <w:iCs/>
          <w:color w:val="8BCCEC"/>
          <w:sz w:val="40"/>
          <w:szCs w:val="40"/>
          <w:lang w:val="fr-BE"/>
        </w:rPr>
      </w:pPr>
    </w:p>
    <w:p w:rsidR="00AC12B4" w:rsidRPr="00C27636" w:rsidRDefault="00C27636">
      <w:pPr>
        <w:spacing w:line="229" w:lineRule="auto"/>
        <w:ind w:left="560" w:right="520"/>
        <w:jc w:val="both"/>
        <w:rPr>
          <w:sz w:val="20"/>
          <w:szCs w:val="20"/>
          <w:lang w:val="fr-BE"/>
        </w:rPr>
      </w:pPr>
      <w:r w:rsidRPr="00C27636">
        <w:rPr>
          <w:rFonts w:ascii="Calibri" w:eastAsia="Calibri" w:hAnsi="Calibri" w:cs="Calibri"/>
          <w:lang w:val="fr-BE"/>
        </w:rPr>
        <w:t>Nous n’avons donc pas retenu cette mesure car elle ne nous permet pas de savoir combien d’enfants inscrits au RN n</w:t>
      </w:r>
      <w:r w:rsidRPr="00C27636">
        <w:rPr>
          <w:rFonts w:ascii="Calibri" w:eastAsia="Calibri" w:hAnsi="Calibri" w:cs="Calibri"/>
          <w:lang w:val="fr-BE"/>
        </w:rPr>
        <w:t>e sont pas scolarisés.</w:t>
      </w:r>
    </w:p>
    <w:p w:rsidR="00AC12B4" w:rsidRPr="00C27636" w:rsidRDefault="00AC12B4">
      <w:pPr>
        <w:spacing w:line="168" w:lineRule="exact"/>
        <w:rPr>
          <w:rFonts w:ascii="Comic Sans MS" w:eastAsia="Comic Sans MS" w:hAnsi="Comic Sans MS" w:cs="Comic Sans MS"/>
          <w:i/>
          <w:iCs/>
          <w:color w:val="8BCCEC"/>
          <w:sz w:val="40"/>
          <w:szCs w:val="40"/>
          <w:lang w:val="fr-BE"/>
        </w:rPr>
      </w:pPr>
    </w:p>
    <w:p w:rsidR="00AC12B4" w:rsidRPr="00C27636" w:rsidRDefault="00C27636">
      <w:pPr>
        <w:spacing w:line="231" w:lineRule="auto"/>
        <w:ind w:left="560" w:right="520"/>
        <w:jc w:val="both"/>
        <w:rPr>
          <w:sz w:val="20"/>
          <w:szCs w:val="20"/>
          <w:lang w:val="fr-BE"/>
        </w:rPr>
      </w:pPr>
      <w:r w:rsidRPr="00C27636">
        <w:rPr>
          <w:rFonts w:ascii="Calibri" w:eastAsia="Calibri" w:hAnsi="Calibri" w:cs="Calibri"/>
          <w:lang w:val="fr-BE"/>
        </w:rPr>
        <w:t>Les chiffres provenant du contrôle de l’obligation scolaire pourraient nous donner une meilleure vision en la matière. L’emploi du conditionnel est ici nécessaire. En effet, les données sont basées sur le</w:t>
      </w:r>
    </w:p>
    <w:p w:rsidR="00AC12B4" w:rsidRPr="00C27636" w:rsidRDefault="00AC12B4">
      <w:pPr>
        <w:spacing w:line="243" w:lineRule="exact"/>
        <w:rPr>
          <w:rFonts w:ascii="Comic Sans MS" w:eastAsia="Comic Sans MS" w:hAnsi="Comic Sans MS" w:cs="Comic Sans MS"/>
          <w:i/>
          <w:iCs/>
          <w:color w:val="8BCCEC"/>
          <w:sz w:val="40"/>
          <w:szCs w:val="40"/>
          <w:lang w:val="fr-BE"/>
        </w:rPr>
      </w:pPr>
    </w:p>
    <w:p w:rsidR="00AC12B4" w:rsidRPr="00C27636" w:rsidRDefault="00C27636">
      <w:pPr>
        <w:jc w:val="right"/>
        <w:rPr>
          <w:sz w:val="20"/>
          <w:szCs w:val="20"/>
          <w:lang w:val="fr-BE"/>
        </w:rPr>
      </w:pPr>
      <w:r w:rsidRPr="00C27636">
        <w:rPr>
          <w:rFonts w:ascii="Calibri" w:eastAsia="Calibri" w:hAnsi="Calibri" w:cs="Calibri"/>
          <w:lang w:val="fr-BE"/>
        </w:rPr>
        <w:t>105</w:t>
      </w:r>
    </w:p>
    <w:p w:rsidR="00AC12B4" w:rsidRPr="00C27636" w:rsidRDefault="00C27636">
      <w:pPr>
        <w:spacing w:line="20" w:lineRule="exact"/>
        <w:rPr>
          <w:rFonts w:ascii="Comic Sans MS" w:eastAsia="Comic Sans MS" w:hAnsi="Comic Sans MS" w:cs="Comic Sans MS"/>
          <w:i/>
          <w:iCs/>
          <w:color w:val="8BCCEC"/>
          <w:sz w:val="40"/>
          <w:szCs w:val="40"/>
          <w:lang w:val="fr-BE"/>
        </w:rPr>
      </w:pPr>
      <w:r w:rsidRPr="00C27636">
        <w:rPr>
          <w:rFonts w:ascii="Comic Sans MS" w:eastAsia="Comic Sans MS" w:hAnsi="Comic Sans MS" w:cs="Comic Sans MS"/>
          <w:i/>
          <w:iCs/>
          <w:color w:val="8BCCEC"/>
          <w:sz w:val="40"/>
          <w:szCs w:val="40"/>
          <w:lang w:val="fr-BE"/>
        </w:rPr>
        <w:br w:type="column"/>
      </w: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32" w:lineRule="exact"/>
        <w:rPr>
          <w:rFonts w:ascii="Comic Sans MS" w:eastAsia="Comic Sans MS" w:hAnsi="Comic Sans MS" w:cs="Comic Sans MS"/>
          <w:i/>
          <w:iCs/>
          <w:color w:val="8BCCEC"/>
          <w:sz w:val="40"/>
          <w:szCs w:val="40"/>
          <w:lang w:val="fr-BE"/>
        </w:rPr>
      </w:pPr>
    </w:p>
    <w:p w:rsidR="00AC12B4" w:rsidRPr="00C27636" w:rsidRDefault="00C27636">
      <w:pPr>
        <w:spacing w:line="244" w:lineRule="auto"/>
        <w:ind w:left="560" w:right="32"/>
        <w:jc w:val="both"/>
        <w:rPr>
          <w:sz w:val="20"/>
          <w:szCs w:val="20"/>
          <w:lang w:val="fr-BE"/>
        </w:rPr>
      </w:pPr>
      <w:r w:rsidRPr="00C27636">
        <w:rPr>
          <w:rFonts w:ascii="Calibri" w:eastAsia="Calibri" w:hAnsi="Calibri" w:cs="Calibri"/>
          <w:sz w:val="21"/>
          <w:szCs w:val="21"/>
          <w:lang w:val="fr-BE"/>
        </w:rPr>
        <w:t xml:space="preserve">nombre de </w:t>
      </w:r>
      <w:r w:rsidRPr="00C27636">
        <w:rPr>
          <w:rFonts w:ascii="Calibri" w:eastAsia="Calibri" w:hAnsi="Calibri" w:cs="Calibri"/>
          <w:sz w:val="21"/>
          <w:szCs w:val="21"/>
          <w:lang w:val="fr-BE"/>
        </w:rPr>
        <w:t>dossiers de suivi de non-inscription pour lesquels les administrations ne reçoivent pas de réponse satisfaisante de la part des parents (ou, dans un deuxième temps, de la commune) contactés en vue de vérifier la raison de non-inscription. Il est possible q</w:t>
      </w:r>
      <w:r w:rsidRPr="00C27636">
        <w:rPr>
          <w:rFonts w:ascii="Calibri" w:eastAsia="Calibri" w:hAnsi="Calibri" w:cs="Calibri"/>
          <w:sz w:val="21"/>
          <w:szCs w:val="21"/>
          <w:lang w:val="fr-BE"/>
        </w:rPr>
        <w:t>ue pour certains enfants concernés, la situation soit tout de même en règle</w:t>
      </w:r>
    </w:p>
    <w:p w:rsidR="00AC12B4" w:rsidRPr="00C27636" w:rsidRDefault="00AC12B4">
      <w:pPr>
        <w:spacing w:line="79" w:lineRule="exact"/>
        <w:rPr>
          <w:rFonts w:ascii="Comic Sans MS" w:eastAsia="Comic Sans MS" w:hAnsi="Comic Sans MS" w:cs="Comic Sans MS"/>
          <w:i/>
          <w:iCs/>
          <w:color w:val="8BCCEC"/>
          <w:sz w:val="40"/>
          <w:szCs w:val="40"/>
          <w:lang w:val="fr-BE"/>
        </w:rPr>
      </w:pPr>
    </w:p>
    <w:p w:rsidR="00AC12B4" w:rsidRPr="00C27636" w:rsidRDefault="00C27636">
      <w:pPr>
        <w:spacing w:line="225" w:lineRule="auto"/>
        <w:ind w:right="2252"/>
        <w:jc w:val="right"/>
        <w:rPr>
          <w:sz w:val="20"/>
          <w:szCs w:val="20"/>
          <w:lang w:val="fr-BE"/>
        </w:rPr>
      </w:pPr>
      <w:r w:rsidRPr="00C27636">
        <w:rPr>
          <w:rFonts w:ascii="Calibri" w:eastAsia="Calibri" w:hAnsi="Calibri" w:cs="Calibri"/>
          <w:lang w:val="fr-BE"/>
        </w:rPr>
        <w:t>ou  se  met en règle par après.  Cela  n’est</w:t>
      </w:r>
    </w:p>
    <w:p w:rsidR="00AC12B4" w:rsidRPr="00C27636" w:rsidRDefault="00C27636">
      <w:pPr>
        <w:spacing w:line="20" w:lineRule="exact"/>
        <w:rPr>
          <w:rFonts w:ascii="Comic Sans MS" w:eastAsia="Comic Sans MS" w:hAnsi="Comic Sans MS" w:cs="Comic Sans MS"/>
          <w:i/>
          <w:iCs/>
          <w:color w:val="8BCCEC"/>
          <w:sz w:val="40"/>
          <w:szCs w:val="40"/>
          <w:lang w:val="fr-BE"/>
        </w:rPr>
      </w:pP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5264" behindDoc="1" locked="0" layoutInCell="0" allowOverlap="1">
                <wp:simplePos x="0" y="0"/>
                <wp:positionH relativeFrom="column">
                  <wp:posOffset>2718435</wp:posOffset>
                </wp:positionH>
                <wp:positionV relativeFrom="paragraph">
                  <wp:posOffset>-3766820</wp:posOffset>
                </wp:positionV>
                <wp:extent cx="751840" cy="10908030"/>
                <wp:effectExtent l="0" t="0" r="0" b="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908030"/>
                        </a:xfrm>
                        <a:prstGeom prst="rect">
                          <a:avLst/>
                        </a:prstGeom>
                        <a:solidFill>
                          <a:srgbClr val="8BCCEC"/>
                        </a:solidFill>
                      </wps:spPr>
                      <wps:bodyPr/>
                    </wps:wsp>
                  </a:graphicData>
                </a:graphic>
              </wp:anchor>
            </w:drawing>
          </mc:Choice>
          <mc:Fallback>
            <w:pict>
              <v:rect id="Shape 260" o:spid="_x0000_s1285" style="position:absolute;margin-left:214.05pt;margin-top:-296.5999pt;width:59.2pt;height:85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6288" behindDoc="1" locked="0" layoutInCell="0" allowOverlap="1">
                <wp:simplePos x="0" y="0"/>
                <wp:positionH relativeFrom="column">
                  <wp:posOffset>1310640</wp:posOffset>
                </wp:positionH>
                <wp:positionV relativeFrom="paragraph">
                  <wp:posOffset>-290195</wp:posOffset>
                </wp:positionV>
                <wp:extent cx="1616075" cy="2105025"/>
                <wp:effectExtent l="0" t="0" r="0" b="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6075" cy="2105025"/>
                        </a:xfrm>
                        <a:prstGeom prst="rect">
                          <a:avLst/>
                        </a:prstGeom>
                        <a:solidFill>
                          <a:srgbClr val="FFFFFF"/>
                        </a:solidFill>
                      </wps:spPr>
                      <wps:bodyPr/>
                    </wps:wsp>
                  </a:graphicData>
                </a:graphic>
              </wp:anchor>
            </w:drawing>
          </mc:Choice>
          <mc:Fallback>
            <w:pict>
              <v:rect id="Shape 261" o:spid="_x0000_s1286" style="position:absolute;margin-left:103.2pt;margin-top:-22.8499pt;width:127.25pt;height:16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7312" behindDoc="1" locked="0" layoutInCell="0" allowOverlap="1">
                <wp:simplePos x="0" y="0"/>
                <wp:positionH relativeFrom="column">
                  <wp:posOffset>2926715</wp:posOffset>
                </wp:positionH>
                <wp:positionV relativeFrom="paragraph">
                  <wp:posOffset>-302895</wp:posOffset>
                </wp:positionV>
                <wp:extent cx="0" cy="2130425"/>
                <wp:effectExtent l="0" t="0" r="0" b="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042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5pt,-23.8499pt" to="230.45pt,143.9pt" o:allowincell="f" strokecolor="#44ACE0" strokeweight="2pt"/>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8336" behindDoc="1" locked="0" layoutInCell="0" allowOverlap="1">
                <wp:simplePos x="0" y="0"/>
                <wp:positionH relativeFrom="column">
                  <wp:posOffset>1297940</wp:posOffset>
                </wp:positionH>
                <wp:positionV relativeFrom="paragraph">
                  <wp:posOffset>-290195</wp:posOffset>
                </wp:positionV>
                <wp:extent cx="1641475" cy="0"/>
                <wp:effectExtent l="0" t="0" r="0" b="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2pt,-22.8499pt" to="231.45pt,-22.8499pt" o:allowincell="f" strokecolor="#44ACE0" strokeweight="2pt"/>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599360" behindDoc="1" locked="0" layoutInCell="0" allowOverlap="1">
                <wp:simplePos x="0" y="0"/>
                <wp:positionH relativeFrom="column">
                  <wp:posOffset>1297940</wp:posOffset>
                </wp:positionH>
                <wp:positionV relativeFrom="paragraph">
                  <wp:posOffset>1814830</wp:posOffset>
                </wp:positionV>
                <wp:extent cx="1641475" cy="0"/>
                <wp:effectExtent l="0" t="0" r="0" b="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2pt,142.9pt" to="231.45pt,142.9pt" o:allowincell="f" strokecolor="#44ACE0" strokeweight="2pt"/>
            </w:pict>
          </mc:Fallback>
        </mc:AlternateContent>
      </w:r>
      <w:r>
        <w:rPr>
          <w:rFonts w:ascii="Comic Sans MS" w:eastAsia="Comic Sans MS" w:hAnsi="Comic Sans MS" w:cs="Comic Sans MS"/>
          <w:i/>
          <w:iCs/>
          <w:noProof/>
          <w:color w:val="8BCCEC"/>
          <w:sz w:val="40"/>
          <w:szCs w:val="40"/>
        </w:rPr>
        <mc:AlternateContent>
          <mc:Choice Requires="wps">
            <w:drawing>
              <wp:anchor distT="0" distB="0" distL="114300" distR="114300" simplePos="0" relativeHeight="251600384" behindDoc="1" locked="0" layoutInCell="0" allowOverlap="1">
                <wp:simplePos x="0" y="0"/>
                <wp:positionH relativeFrom="column">
                  <wp:posOffset>1310640</wp:posOffset>
                </wp:positionH>
                <wp:positionV relativeFrom="paragraph">
                  <wp:posOffset>-302895</wp:posOffset>
                </wp:positionV>
                <wp:extent cx="0" cy="2130425"/>
                <wp:effectExtent l="0" t="0" r="0" b="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042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2pt,-23.8499pt" to="103.2pt,143.9pt" o:allowincell="f" strokecolor="#44ACE0" strokeweight="2pt"/>
            </w:pict>
          </mc:Fallback>
        </mc:AlternateContent>
      </w:r>
    </w:p>
    <w:p w:rsidR="00AC12B4" w:rsidRPr="00C27636" w:rsidRDefault="00AC12B4">
      <w:pPr>
        <w:spacing w:line="32" w:lineRule="exact"/>
        <w:rPr>
          <w:rFonts w:ascii="Comic Sans MS" w:eastAsia="Comic Sans MS" w:hAnsi="Comic Sans MS" w:cs="Comic Sans MS"/>
          <w:i/>
          <w:iCs/>
          <w:color w:val="8BCCEC"/>
          <w:sz w:val="40"/>
          <w:szCs w:val="40"/>
          <w:lang w:val="fr-BE"/>
        </w:rPr>
      </w:pPr>
    </w:p>
    <w:p w:rsidR="00AC12B4" w:rsidRPr="00C27636" w:rsidRDefault="00C27636">
      <w:pPr>
        <w:spacing w:line="210" w:lineRule="auto"/>
        <w:ind w:right="2252"/>
        <w:jc w:val="both"/>
        <w:rPr>
          <w:sz w:val="20"/>
          <w:szCs w:val="20"/>
          <w:lang w:val="fr-BE"/>
        </w:rPr>
      </w:pPr>
      <w:r w:rsidRPr="00C27636">
        <w:rPr>
          <w:rFonts w:ascii="Calibri" w:eastAsia="Calibri" w:hAnsi="Calibri" w:cs="Calibri"/>
          <w:lang w:val="fr-BE"/>
        </w:rPr>
        <w:t>plus enregistré après le 1</w:t>
      </w:r>
      <w:r w:rsidRPr="00C27636">
        <w:rPr>
          <w:rFonts w:ascii="Calibri" w:eastAsia="Calibri" w:hAnsi="Calibri" w:cs="Calibri"/>
          <w:sz w:val="27"/>
          <w:szCs w:val="27"/>
          <w:vertAlign w:val="superscript"/>
          <w:lang w:val="fr-BE"/>
        </w:rPr>
        <w:t>er</w:t>
      </w:r>
    </w:p>
    <w:p w:rsidR="00AC12B4" w:rsidRPr="00C27636" w:rsidRDefault="00C27636">
      <w:pPr>
        <w:spacing w:line="208" w:lineRule="auto"/>
        <w:rPr>
          <w:sz w:val="20"/>
          <w:szCs w:val="20"/>
          <w:lang w:val="fr-BE"/>
        </w:rPr>
      </w:pPr>
      <w:r w:rsidRPr="00C27636">
        <w:rPr>
          <w:rFonts w:ascii="Calibri" w:eastAsia="Calibri" w:hAnsi="Calibri" w:cs="Calibri"/>
          <w:lang w:val="fr-BE"/>
        </w:rPr>
        <w:t>février. Pour cette</w:t>
      </w:r>
    </w:p>
    <w:p w:rsidR="00AC12B4" w:rsidRPr="00C27636" w:rsidRDefault="00AC12B4">
      <w:pPr>
        <w:spacing w:line="50" w:lineRule="exact"/>
        <w:rPr>
          <w:rFonts w:ascii="Comic Sans MS" w:eastAsia="Comic Sans MS" w:hAnsi="Comic Sans MS" w:cs="Comic Sans MS"/>
          <w:i/>
          <w:iCs/>
          <w:color w:val="8BCCEC"/>
          <w:sz w:val="40"/>
          <w:szCs w:val="40"/>
          <w:lang w:val="fr-BE"/>
        </w:rPr>
      </w:pPr>
    </w:p>
    <w:p w:rsidR="00AC12B4" w:rsidRPr="00C27636" w:rsidRDefault="00C27636">
      <w:pPr>
        <w:spacing w:line="224" w:lineRule="auto"/>
        <w:ind w:right="2252"/>
        <w:jc w:val="both"/>
        <w:rPr>
          <w:sz w:val="20"/>
          <w:szCs w:val="20"/>
          <w:lang w:val="fr-BE"/>
        </w:rPr>
      </w:pPr>
      <w:r w:rsidRPr="00C27636">
        <w:rPr>
          <w:rFonts w:ascii="Calibri" w:eastAsia="Calibri" w:hAnsi="Calibri" w:cs="Calibri"/>
          <w:lang w:val="fr-BE"/>
        </w:rPr>
        <w:t>raison, nous préférons parler d’enfants dont la scolarisation n’est pas cert</w:t>
      </w:r>
      <w:r w:rsidRPr="00C27636">
        <w:rPr>
          <w:rFonts w:ascii="Calibri" w:eastAsia="Calibri" w:hAnsi="Calibri" w:cs="Calibri"/>
          <w:lang w:val="fr-BE"/>
        </w:rPr>
        <w:t>aine au 1</w:t>
      </w:r>
      <w:r w:rsidRPr="00C27636">
        <w:rPr>
          <w:rFonts w:ascii="Calibri" w:eastAsia="Calibri" w:hAnsi="Calibri" w:cs="Calibri"/>
          <w:sz w:val="27"/>
          <w:szCs w:val="27"/>
          <w:vertAlign w:val="superscript"/>
          <w:lang w:val="fr-BE"/>
        </w:rPr>
        <w:t>er</w:t>
      </w:r>
      <w:r w:rsidRPr="00C27636">
        <w:rPr>
          <w:rFonts w:ascii="Calibri" w:eastAsia="Calibri" w:hAnsi="Calibri" w:cs="Calibri"/>
          <w:lang w:val="fr-BE"/>
        </w:rPr>
        <w:t xml:space="preserve"> février.</w:t>
      </w:r>
    </w:p>
    <w:p w:rsidR="00AC12B4" w:rsidRPr="00C27636" w:rsidRDefault="00AC12B4">
      <w:pPr>
        <w:spacing w:line="170" w:lineRule="exact"/>
        <w:rPr>
          <w:rFonts w:ascii="Comic Sans MS" w:eastAsia="Comic Sans MS" w:hAnsi="Comic Sans MS" w:cs="Comic Sans MS"/>
          <w:i/>
          <w:iCs/>
          <w:color w:val="8BCCEC"/>
          <w:sz w:val="40"/>
          <w:szCs w:val="40"/>
          <w:lang w:val="fr-BE"/>
        </w:rPr>
      </w:pPr>
    </w:p>
    <w:p w:rsidR="00AC12B4" w:rsidRPr="00C27636" w:rsidRDefault="00C27636">
      <w:pPr>
        <w:spacing w:line="218" w:lineRule="auto"/>
        <w:ind w:right="2252"/>
        <w:jc w:val="both"/>
        <w:rPr>
          <w:sz w:val="20"/>
          <w:szCs w:val="20"/>
          <w:lang w:val="fr-BE"/>
        </w:rPr>
      </w:pPr>
      <w:r w:rsidRPr="00C27636">
        <w:rPr>
          <w:rFonts w:ascii="Calibri" w:eastAsia="Calibri" w:hAnsi="Calibri" w:cs="Calibri"/>
          <w:lang w:val="fr-BE"/>
        </w:rPr>
        <w:t>Notons que pour l’enseignement</w:t>
      </w:r>
    </w:p>
    <w:p w:rsidR="00AC12B4" w:rsidRPr="00C27636" w:rsidRDefault="00AC12B4">
      <w:pPr>
        <w:spacing w:line="50" w:lineRule="exact"/>
        <w:rPr>
          <w:rFonts w:ascii="Comic Sans MS" w:eastAsia="Comic Sans MS" w:hAnsi="Comic Sans MS" w:cs="Comic Sans MS"/>
          <w:i/>
          <w:iCs/>
          <w:color w:val="8BCCEC"/>
          <w:sz w:val="40"/>
          <w:szCs w:val="40"/>
          <w:lang w:val="fr-BE"/>
        </w:rPr>
      </w:pPr>
    </w:p>
    <w:p w:rsidR="00AC12B4" w:rsidRPr="00C27636" w:rsidRDefault="00C27636">
      <w:pPr>
        <w:spacing w:line="230" w:lineRule="auto"/>
        <w:ind w:right="52"/>
        <w:jc w:val="both"/>
        <w:rPr>
          <w:sz w:val="20"/>
          <w:szCs w:val="20"/>
          <w:lang w:val="fr-BE"/>
        </w:rPr>
      </w:pPr>
      <w:r w:rsidRPr="00C27636">
        <w:rPr>
          <w:rFonts w:ascii="Calibri" w:eastAsia="Calibri" w:hAnsi="Calibri" w:cs="Calibri"/>
          <w:lang w:val="fr-BE"/>
        </w:rPr>
        <w:t>maternel pour lequel il n’existe pas d’obligation (et donc pas de contrôle), les données se basent sur le taux d’inscriptions avec les limites dont nous avons parlé.</w:t>
      </w:r>
    </w:p>
    <w:p w:rsidR="00AC12B4" w:rsidRPr="00C27636" w:rsidRDefault="00AC12B4">
      <w:pPr>
        <w:spacing w:line="133" w:lineRule="exact"/>
        <w:rPr>
          <w:rFonts w:ascii="Comic Sans MS" w:eastAsia="Comic Sans MS" w:hAnsi="Comic Sans MS" w:cs="Comic Sans MS"/>
          <w:i/>
          <w:iCs/>
          <w:color w:val="8BCCEC"/>
          <w:sz w:val="40"/>
          <w:szCs w:val="40"/>
          <w:lang w:val="fr-BE"/>
        </w:rPr>
      </w:pPr>
    </w:p>
    <w:p w:rsidR="00AC12B4" w:rsidRDefault="00C27636">
      <w:pPr>
        <w:numPr>
          <w:ilvl w:val="0"/>
          <w:numId w:val="168"/>
        </w:numPr>
        <w:tabs>
          <w:tab w:val="left" w:pos="720"/>
        </w:tabs>
        <w:ind w:left="720" w:hanging="368"/>
        <w:rPr>
          <w:rFonts w:ascii="Wingdings" w:eastAsia="Wingdings" w:hAnsi="Wingdings" w:cs="Wingdings"/>
          <w:color w:val="4BACC6"/>
        </w:rPr>
      </w:pPr>
      <w:r>
        <w:rPr>
          <w:rFonts w:ascii="Cambria" w:eastAsia="Cambria" w:hAnsi="Cambria" w:cs="Cambria"/>
          <w:i/>
          <w:iCs/>
          <w:color w:val="4BACC6"/>
        </w:rPr>
        <w:t>Enseignement maternel</w:t>
      </w:r>
    </w:p>
    <w:p w:rsidR="00AC12B4" w:rsidRDefault="00AC12B4">
      <w:pPr>
        <w:spacing w:line="202" w:lineRule="exact"/>
        <w:rPr>
          <w:rFonts w:ascii="Comic Sans MS" w:eastAsia="Comic Sans MS" w:hAnsi="Comic Sans MS" w:cs="Comic Sans MS"/>
          <w:i/>
          <w:iCs/>
          <w:color w:val="8BCCEC"/>
          <w:sz w:val="40"/>
          <w:szCs w:val="40"/>
        </w:rPr>
      </w:pPr>
    </w:p>
    <w:p w:rsidR="00AC12B4" w:rsidRPr="00C27636" w:rsidRDefault="00C27636">
      <w:pPr>
        <w:spacing w:line="229" w:lineRule="auto"/>
        <w:ind w:right="32"/>
        <w:jc w:val="both"/>
        <w:rPr>
          <w:sz w:val="20"/>
          <w:szCs w:val="20"/>
          <w:lang w:val="fr-BE"/>
        </w:rPr>
      </w:pPr>
      <w:r w:rsidRPr="00C27636">
        <w:rPr>
          <w:rFonts w:ascii="Calibri" w:eastAsia="Calibri" w:hAnsi="Calibri" w:cs="Calibri"/>
          <w:lang w:val="fr-BE"/>
        </w:rPr>
        <w:t>L’enseignement maternel concerne les enfants de 2,5 à 6 ans. Les chiffres ci-dessous reprennent le % d’enfants de 5 ans inscrits en maternelle.</w:t>
      </w:r>
    </w:p>
    <w:p w:rsidR="00AC12B4" w:rsidRPr="00C27636" w:rsidRDefault="00C27636">
      <w:pPr>
        <w:spacing w:line="20" w:lineRule="exact"/>
        <w:rPr>
          <w:rFonts w:ascii="Comic Sans MS" w:eastAsia="Comic Sans MS" w:hAnsi="Comic Sans MS" w:cs="Comic Sans MS"/>
          <w:i/>
          <w:iCs/>
          <w:color w:val="8BCCEC"/>
          <w:sz w:val="40"/>
          <w:szCs w:val="40"/>
          <w:lang w:val="fr-BE"/>
        </w:rPr>
      </w:pPr>
      <w:r w:rsidRPr="00C27636">
        <w:rPr>
          <w:rFonts w:ascii="Comic Sans MS" w:eastAsia="Comic Sans MS" w:hAnsi="Comic Sans MS" w:cs="Comic Sans MS"/>
          <w:i/>
          <w:iCs/>
          <w:color w:val="8BCCEC"/>
          <w:sz w:val="40"/>
          <w:szCs w:val="40"/>
          <w:lang w:val="fr-BE"/>
        </w:rPr>
        <w:br w:type="column"/>
      </w: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00" w:lineRule="exact"/>
        <w:rPr>
          <w:rFonts w:ascii="Comic Sans MS" w:eastAsia="Comic Sans MS" w:hAnsi="Comic Sans MS" w:cs="Comic Sans MS"/>
          <w:i/>
          <w:iCs/>
          <w:color w:val="8BCCEC"/>
          <w:sz w:val="40"/>
          <w:szCs w:val="40"/>
          <w:lang w:val="fr-BE"/>
        </w:rPr>
      </w:pPr>
    </w:p>
    <w:p w:rsidR="00AC12B4" w:rsidRPr="00C27636" w:rsidRDefault="00AC12B4">
      <w:pPr>
        <w:spacing w:line="279" w:lineRule="exact"/>
        <w:rPr>
          <w:rFonts w:ascii="Comic Sans MS" w:eastAsia="Comic Sans MS" w:hAnsi="Comic Sans MS" w:cs="Comic Sans MS"/>
          <w:i/>
          <w:iCs/>
          <w:color w:val="8BCCEC"/>
          <w:sz w:val="40"/>
          <w:szCs w:val="4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à l’enseignement</w:t>
            </w:r>
          </w:p>
        </w:tc>
      </w:tr>
    </w:tbl>
    <w:p w:rsidR="00AC12B4" w:rsidRDefault="00AC12B4">
      <w:pPr>
        <w:sectPr w:rsidR="00AC12B4">
          <w:pgSz w:w="12080" w:h="17179"/>
          <w:pgMar w:top="1440" w:right="503" w:bottom="659" w:left="1440" w:header="0" w:footer="0" w:gutter="0"/>
          <w:cols w:num="3" w:space="720" w:equalWidth="0">
            <w:col w:w="4960" w:space="200"/>
            <w:col w:w="3912" w:space="720"/>
            <w:col w:w="342"/>
          </w:cols>
        </w:sectPr>
      </w:pPr>
    </w:p>
    <w:bookmarkStart w:id="105" w:name="page106"/>
    <w:bookmarkEnd w:id="105"/>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601408" behindDoc="1" locked="0" layoutInCell="0" allowOverlap="1">
                <wp:simplePos x="0" y="0"/>
                <wp:positionH relativeFrom="page">
                  <wp:posOffset>0</wp:posOffset>
                </wp:positionH>
                <wp:positionV relativeFrom="page">
                  <wp:posOffset>0</wp:posOffset>
                </wp:positionV>
                <wp:extent cx="788035" cy="10908665"/>
                <wp:effectExtent l="0" t="0" r="0" b="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035" cy="10908665"/>
                        </a:xfrm>
                        <a:prstGeom prst="rect">
                          <a:avLst/>
                        </a:prstGeom>
                        <a:solidFill>
                          <a:srgbClr val="8BCCEC"/>
                        </a:solidFill>
                      </wps:spPr>
                      <wps:bodyPr/>
                    </wps:wsp>
                  </a:graphicData>
                </a:graphic>
              </wp:anchor>
            </w:drawing>
          </mc:Choice>
          <mc:Fallback>
            <w:pict>
              <v:rect id="Shape 266" o:spid="_x0000_s1291" style="position:absolute;margin-left:0pt;margin-top:0pt;width:62.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AC12B4">
      <w:pPr>
        <w:spacing w:line="338" w:lineRule="exact"/>
        <w:rPr>
          <w:sz w:val="20"/>
          <w:szCs w:val="20"/>
        </w:rPr>
      </w:pPr>
    </w:p>
    <w:p w:rsidR="00AC12B4" w:rsidRDefault="00C27636">
      <w:pPr>
        <w:ind w:left="943"/>
        <w:rPr>
          <w:sz w:val="20"/>
          <w:szCs w:val="20"/>
        </w:rPr>
      </w:pPr>
      <w:r>
        <w:rPr>
          <w:rFonts w:ascii="Calibri" w:eastAsia="Calibri" w:hAnsi="Calibri" w:cs="Calibri"/>
          <w:b/>
          <w:bCs/>
          <w:i/>
          <w:iCs/>
        </w:rPr>
        <w:t>% d’enfants inscrits en maternelle</w:t>
      </w:r>
      <w:r>
        <w:rPr>
          <w:rFonts w:ascii="Calibri" w:eastAsia="Calibri" w:hAnsi="Calibri" w:cs="Calibri"/>
          <w:sz w:val="25"/>
          <w:szCs w:val="25"/>
          <w:vertAlign w:val="superscript"/>
        </w:rPr>
        <w:t>1</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02432" behindDoc="1" locked="0" layoutInCell="0" allowOverlap="1">
                <wp:simplePos x="0" y="0"/>
                <wp:positionH relativeFrom="column">
                  <wp:posOffset>530225</wp:posOffset>
                </wp:positionH>
                <wp:positionV relativeFrom="paragraph">
                  <wp:posOffset>73025</wp:posOffset>
                </wp:positionV>
                <wp:extent cx="2778760" cy="0"/>
                <wp:effectExtent l="0" t="0" r="0" b="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78760" cy="4763"/>
                        </a:xfrm>
                        <a:prstGeom prst="line">
                          <a:avLst/>
                        </a:prstGeom>
                        <a:solidFill>
                          <a:srgbClr val="FFFFFF"/>
                        </a:solidFill>
                        <a:ln w="12191">
                          <a:solidFill>
                            <a:srgbClr val="4BACC6"/>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5pt,5.75pt" to="260.55pt,5.75pt" o:allowincell="f" strokecolor="#4BACC6" strokeweight="0.9599pt"/>
            </w:pict>
          </mc:Fallback>
        </mc:AlternateContent>
      </w:r>
    </w:p>
    <w:p w:rsidR="00AC12B4" w:rsidRDefault="00AC12B4">
      <w:pPr>
        <w:spacing w:line="96" w:lineRule="exact"/>
        <w:rPr>
          <w:sz w:val="20"/>
          <w:szCs w:val="20"/>
        </w:rPr>
      </w:pPr>
    </w:p>
    <w:p w:rsidR="00AC12B4" w:rsidRDefault="00C27636">
      <w:pPr>
        <w:tabs>
          <w:tab w:val="left" w:pos="3023"/>
          <w:tab w:val="left" w:pos="3663"/>
          <w:tab w:val="left" w:pos="4483"/>
        </w:tabs>
        <w:ind w:left="2183"/>
        <w:rPr>
          <w:sz w:val="20"/>
          <w:szCs w:val="20"/>
        </w:rPr>
      </w:pPr>
      <w:r>
        <w:rPr>
          <w:rFonts w:ascii="Calibri" w:eastAsia="Calibri" w:hAnsi="Calibri" w:cs="Calibri"/>
          <w:b/>
          <w:bCs/>
          <w:color w:val="31849B"/>
        </w:rPr>
        <w:t>Com.</w:t>
      </w:r>
      <w:r>
        <w:rPr>
          <w:sz w:val="20"/>
          <w:szCs w:val="20"/>
        </w:rPr>
        <w:tab/>
      </w:r>
      <w:r>
        <w:rPr>
          <w:rFonts w:ascii="Calibri" w:eastAsia="Calibri" w:hAnsi="Calibri" w:cs="Calibri"/>
          <w:b/>
          <w:bCs/>
          <w:color w:val="31849B"/>
        </w:rPr>
        <w:t>FWB</w:t>
      </w:r>
      <w:r>
        <w:rPr>
          <w:rFonts w:ascii="Calibri" w:eastAsia="Calibri" w:hAnsi="Calibri" w:cs="Calibri"/>
          <w:b/>
          <w:bCs/>
          <w:color w:val="31849B"/>
        </w:rPr>
        <w:tab/>
        <w:t>Com.</w:t>
      </w:r>
      <w:r>
        <w:rPr>
          <w:rFonts w:ascii="Calibri" w:eastAsia="Calibri" w:hAnsi="Calibri" w:cs="Calibri"/>
          <w:b/>
          <w:bCs/>
          <w:color w:val="31849B"/>
        </w:rPr>
        <w:tab/>
        <w:t>Bxl</w:t>
      </w:r>
    </w:p>
    <w:p w:rsidR="00AC12B4" w:rsidRDefault="00C27636">
      <w:pPr>
        <w:tabs>
          <w:tab w:val="left" w:pos="3023"/>
          <w:tab w:val="left" w:pos="3663"/>
        </w:tabs>
        <w:ind w:left="2183"/>
        <w:rPr>
          <w:sz w:val="20"/>
          <w:szCs w:val="20"/>
        </w:rPr>
      </w:pPr>
      <w:r>
        <w:rPr>
          <w:rFonts w:ascii="Calibri" w:eastAsia="Calibri" w:hAnsi="Calibri" w:cs="Calibri"/>
          <w:b/>
          <w:bCs/>
          <w:color w:val="31849B"/>
        </w:rPr>
        <w:t>fl. hors</w:t>
      </w:r>
      <w:r>
        <w:rPr>
          <w:rFonts w:ascii="Calibri" w:eastAsia="Calibri" w:hAnsi="Calibri" w:cs="Calibri"/>
          <w:b/>
          <w:bCs/>
          <w:color w:val="31849B"/>
        </w:rPr>
        <w:tab/>
        <w:t>hors</w:t>
      </w:r>
      <w:r>
        <w:rPr>
          <w:sz w:val="20"/>
          <w:szCs w:val="20"/>
        </w:rPr>
        <w:tab/>
      </w:r>
      <w:r>
        <w:rPr>
          <w:rFonts w:ascii="Calibri" w:eastAsia="Calibri" w:hAnsi="Calibri" w:cs="Calibri"/>
          <w:b/>
          <w:bCs/>
          <w:color w:val="31849B"/>
          <w:sz w:val="21"/>
          <w:szCs w:val="21"/>
        </w:rPr>
        <w:t>G</w:t>
      </w:r>
    </w:p>
    <w:p w:rsidR="00AC12B4" w:rsidRDefault="00C27636">
      <w:pPr>
        <w:tabs>
          <w:tab w:val="left" w:pos="3023"/>
        </w:tabs>
        <w:ind w:left="2183"/>
        <w:rPr>
          <w:sz w:val="20"/>
          <w:szCs w:val="20"/>
        </w:rPr>
      </w:pPr>
      <w:r>
        <w:rPr>
          <w:rFonts w:ascii="Calibri" w:eastAsia="Calibri" w:hAnsi="Calibri" w:cs="Calibri"/>
          <w:b/>
          <w:bCs/>
          <w:color w:val="31849B"/>
        </w:rPr>
        <w:t>Bxl</w:t>
      </w:r>
      <w:r>
        <w:rPr>
          <w:sz w:val="20"/>
          <w:szCs w:val="20"/>
        </w:rPr>
        <w:tab/>
      </w:r>
      <w:r>
        <w:rPr>
          <w:rFonts w:ascii="Calibri" w:eastAsia="Calibri" w:hAnsi="Calibri" w:cs="Calibri"/>
          <w:b/>
          <w:bCs/>
          <w:color w:val="31849B"/>
        </w:rPr>
        <w:t>Bxl</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03456" behindDoc="1" locked="0" layoutInCell="0" allowOverlap="1">
                <wp:simplePos x="0" y="0"/>
                <wp:positionH relativeFrom="column">
                  <wp:posOffset>530225</wp:posOffset>
                </wp:positionH>
                <wp:positionV relativeFrom="paragraph">
                  <wp:posOffset>86995</wp:posOffset>
                </wp:positionV>
                <wp:extent cx="2781935" cy="0"/>
                <wp:effectExtent l="0" t="0" r="0" b="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81935" cy="4763"/>
                        </a:xfrm>
                        <a:prstGeom prst="line">
                          <a:avLst/>
                        </a:prstGeom>
                        <a:solidFill>
                          <a:srgbClr val="FFFFFF"/>
                        </a:solidFill>
                        <a:ln w="12192">
                          <a:solidFill>
                            <a:srgbClr val="4BACC6"/>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5pt,6.85pt" to="260.8pt,6.85pt" o:allowincell="f" strokecolor="#4BACC6" strokeweight="0.96pt"/>
            </w:pict>
          </mc:Fallback>
        </mc:AlternateContent>
      </w:r>
    </w:p>
    <w:p w:rsidR="00AC12B4" w:rsidRDefault="00AC12B4">
      <w:pPr>
        <w:spacing w:line="109" w:lineRule="exact"/>
        <w:rPr>
          <w:sz w:val="20"/>
          <w:szCs w:val="20"/>
        </w:rPr>
      </w:pPr>
    </w:p>
    <w:p w:rsidR="00AC12B4" w:rsidRDefault="00C27636">
      <w:pPr>
        <w:tabs>
          <w:tab w:val="left" w:pos="2243"/>
          <w:tab w:val="left" w:pos="3183"/>
          <w:tab w:val="left" w:pos="3723"/>
          <w:tab w:val="left" w:pos="4523"/>
        </w:tabs>
        <w:ind w:left="943"/>
        <w:rPr>
          <w:sz w:val="20"/>
          <w:szCs w:val="20"/>
        </w:rPr>
      </w:pPr>
      <w:r>
        <w:rPr>
          <w:rFonts w:ascii="Calibri" w:eastAsia="Calibri" w:hAnsi="Calibri" w:cs="Calibri"/>
          <w:b/>
          <w:bCs/>
          <w:i/>
          <w:iCs/>
          <w:color w:val="4BACC6"/>
        </w:rPr>
        <w:t>2010-2011</w:t>
      </w:r>
      <w:r>
        <w:rPr>
          <w:sz w:val="20"/>
          <w:szCs w:val="20"/>
        </w:rPr>
        <w:tab/>
      </w:r>
      <w:r>
        <w:rPr>
          <w:rFonts w:ascii="Calibri" w:eastAsia="Calibri" w:hAnsi="Calibri" w:cs="Calibri"/>
          <w:color w:val="31849B"/>
          <w:sz w:val="20"/>
          <w:szCs w:val="20"/>
        </w:rPr>
        <w:t>99.1%</w:t>
      </w:r>
      <w:r>
        <w:rPr>
          <w:sz w:val="20"/>
          <w:szCs w:val="20"/>
        </w:rPr>
        <w:tab/>
      </w:r>
      <w:r>
        <w:rPr>
          <w:rFonts w:ascii="Calibri" w:eastAsia="Calibri" w:hAnsi="Calibri" w:cs="Calibri"/>
          <w:color w:val="31849B"/>
          <w:sz w:val="20"/>
          <w:szCs w:val="20"/>
        </w:rPr>
        <w:t>X</w:t>
      </w:r>
      <w:r>
        <w:rPr>
          <w:sz w:val="20"/>
          <w:szCs w:val="20"/>
        </w:rPr>
        <w:tab/>
      </w:r>
      <w:r>
        <w:rPr>
          <w:rFonts w:ascii="Calibri" w:eastAsia="Calibri" w:hAnsi="Calibri" w:cs="Calibri"/>
          <w:color w:val="31849B"/>
          <w:sz w:val="16"/>
          <w:szCs w:val="16"/>
        </w:rPr>
        <w:t>93,97%</w:t>
      </w:r>
      <w:r>
        <w:rPr>
          <w:sz w:val="20"/>
          <w:szCs w:val="20"/>
        </w:rPr>
        <w:tab/>
      </w:r>
      <w:r>
        <w:rPr>
          <w:rFonts w:ascii="Calibri" w:eastAsia="Calibri" w:hAnsi="Calibri" w:cs="Calibri"/>
          <w:color w:val="31849B"/>
          <w:sz w:val="23"/>
          <w:szCs w:val="23"/>
          <w:vertAlign w:val="superscript"/>
        </w:rPr>
        <w:t>inconnu</w:t>
      </w:r>
    </w:p>
    <w:p w:rsidR="00AC12B4" w:rsidRDefault="00AC12B4">
      <w:pPr>
        <w:spacing w:line="69" w:lineRule="exact"/>
        <w:rPr>
          <w:sz w:val="20"/>
          <w:szCs w:val="20"/>
        </w:rPr>
      </w:pPr>
    </w:p>
    <w:p w:rsidR="00AC12B4" w:rsidRDefault="00C27636">
      <w:pPr>
        <w:tabs>
          <w:tab w:val="left" w:pos="2423"/>
          <w:tab w:val="left" w:pos="3063"/>
          <w:tab w:val="left" w:pos="3723"/>
          <w:tab w:val="left" w:pos="4723"/>
        </w:tabs>
        <w:ind w:left="943"/>
        <w:rPr>
          <w:sz w:val="20"/>
          <w:szCs w:val="20"/>
        </w:rPr>
      </w:pPr>
      <w:r>
        <w:rPr>
          <w:rFonts w:ascii="Calibri" w:eastAsia="Calibri" w:hAnsi="Calibri" w:cs="Calibri"/>
          <w:b/>
          <w:bCs/>
          <w:i/>
          <w:iCs/>
          <w:color w:val="4BACC6"/>
        </w:rPr>
        <w:t>2014-2015</w:t>
      </w:r>
      <w:r>
        <w:rPr>
          <w:sz w:val="20"/>
          <w:szCs w:val="20"/>
        </w:rPr>
        <w:tab/>
      </w:r>
      <w:r>
        <w:rPr>
          <w:rFonts w:ascii="Calibri" w:eastAsia="Calibri" w:hAnsi="Calibri" w:cs="Calibri"/>
          <w:color w:val="31849B"/>
          <w:sz w:val="20"/>
          <w:szCs w:val="20"/>
        </w:rPr>
        <w:t>X</w:t>
      </w:r>
      <w:r>
        <w:rPr>
          <w:sz w:val="20"/>
          <w:szCs w:val="20"/>
        </w:rPr>
        <w:tab/>
      </w:r>
      <w:r>
        <w:rPr>
          <w:rFonts w:ascii="Calibri" w:eastAsia="Calibri" w:hAnsi="Calibri" w:cs="Calibri"/>
          <w:color w:val="31849B"/>
          <w:sz w:val="20"/>
          <w:szCs w:val="20"/>
        </w:rPr>
        <w:t>98%</w:t>
      </w:r>
      <w:r>
        <w:rPr>
          <w:sz w:val="20"/>
          <w:szCs w:val="20"/>
        </w:rPr>
        <w:tab/>
      </w:r>
      <w:r>
        <w:rPr>
          <w:rFonts w:ascii="Calibri" w:eastAsia="Calibri" w:hAnsi="Calibri" w:cs="Calibri"/>
          <w:color w:val="31849B"/>
          <w:sz w:val="20"/>
          <w:szCs w:val="20"/>
        </w:rPr>
        <w:t>91,6%</w:t>
      </w:r>
      <w:r>
        <w:rPr>
          <w:sz w:val="20"/>
          <w:szCs w:val="20"/>
        </w:rPr>
        <w:tab/>
      </w:r>
      <w:r>
        <w:rPr>
          <w:rFonts w:ascii="Calibri" w:eastAsia="Calibri" w:hAnsi="Calibri" w:cs="Calibri"/>
          <w:color w:val="31849B"/>
          <w:sz w:val="20"/>
          <w:szCs w:val="20"/>
        </w:rPr>
        <w:t>X</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04480" behindDoc="1" locked="0" layoutInCell="0" allowOverlap="1">
                <wp:simplePos x="0" y="0"/>
                <wp:positionH relativeFrom="column">
                  <wp:posOffset>521335</wp:posOffset>
                </wp:positionH>
                <wp:positionV relativeFrom="paragraph">
                  <wp:posOffset>87630</wp:posOffset>
                </wp:positionV>
                <wp:extent cx="2787650" cy="0"/>
                <wp:effectExtent l="0" t="0" r="0" b="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87650" cy="4763"/>
                        </a:xfrm>
                        <a:prstGeom prst="line">
                          <a:avLst/>
                        </a:prstGeom>
                        <a:solidFill>
                          <a:srgbClr val="FFFFFF"/>
                        </a:solidFill>
                        <a:ln w="12191">
                          <a:solidFill>
                            <a:srgbClr val="4BACC6"/>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5pt,6.9pt" to="260.55pt,6.9pt" o:allowincell="f" strokecolor="#4BACC6" strokeweight="0.9599pt"/>
            </w:pict>
          </mc:Fallback>
        </mc:AlternateContent>
      </w:r>
    </w:p>
    <w:p w:rsidR="00AC12B4" w:rsidRDefault="00AC12B4">
      <w:pPr>
        <w:spacing w:line="200" w:lineRule="exact"/>
        <w:rPr>
          <w:sz w:val="20"/>
          <w:szCs w:val="20"/>
        </w:rPr>
      </w:pPr>
    </w:p>
    <w:p w:rsidR="00AC12B4" w:rsidRDefault="00AC12B4">
      <w:pPr>
        <w:spacing w:line="358" w:lineRule="exact"/>
        <w:rPr>
          <w:sz w:val="20"/>
          <w:szCs w:val="20"/>
        </w:rPr>
      </w:pPr>
    </w:p>
    <w:p w:rsidR="00AC12B4" w:rsidRPr="00C27636" w:rsidRDefault="00C27636">
      <w:pPr>
        <w:spacing w:line="218" w:lineRule="auto"/>
        <w:ind w:left="943" w:right="240"/>
        <w:jc w:val="both"/>
        <w:rPr>
          <w:sz w:val="20"/>
          <w:szCs w:val="20"/>
          <w:lang w:val="fr-BE"/>
        </w:rPr>
      </w:pPr>
      <w:r w:rsidRPr="00C27636">
        <w:rPr>
          <w:rFonts w:ascii="Calibri" w:eastAsia="Calibri" w:hAnsi="Calibri" w:cs="Calibri"/>
          <w:lang w:val="fr-BE"/>
        </w:rPr>
        <w:t>Notons que ce taux élevé d’inscription est assez stable dans le temps.</w:t>
      </w:r>
    </w:p>
    <w:p w:rsidR="00AC12B4" w:rsidRPr="00C27636" w:rsidRDefault="00AC12B4">
      <w:pPr>
        <w:spacing w:line="170" w:lineRule="exact"/>
        <w:rPr>
          <w:sz w:val="20"/>
          <w:szCs w:val="20"/>
          <w:lang w:val="fr-BE"/>
        </w:rPr>
      </w:pPr>
    </w:p>
    <w:p w:rsidR="00AC12B4" w:rsidRPr="00C27636" w:rsidRDefault="00C27636">
      <w:pPr>
        <w:spacing w:line="223" w:lineRule="auto"/>
        <w:ind w:left="943" w:right="240"/>
        <w:jc w:val="both"/>
        <w:rPr>
          <w:sz w:val="20"/>
          <w:szCs w:val="20"/>
          <w:lang w:val="fr-BE"/>
        </w:rPr>
      </w:pPr>
      <w:r w:rsidRPr="00C27636">
        <w:rPr>
          <w:rFonts w:ascii="Calibri" w:eastAsia="Calibri" w:hAnsi="Calibri" w:cs="Calibri"/>
          <w:lang w:val="fr-BE"/>
        </w:rPr>
        <w:t xml:space="preserve">Une </w:t>
      </w:r>
      <w:r w:rsidRPr="00C27636">
        <w:rPr>
          <w:rFonts w:ascii="Calibri" w:eastAsia="Calibri" w:hAnsi="Calibri" w:cs="Calibri"/>
          <w:lang w:val="fr-BE"/>
        </w:rPr>
        <w:t>enquête menée en 2009 en Flandre par la HIVA</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xml:space="preserve"> révèle que seuls 58% des enfants ROM questionnés ont été à l’école maternelle (en comparaison, ils sont 90% des gens du voyage et 93% des Manouches)</w:t>
      </w:r>
      <w:r w:rsidRPr="00C27636">
        <w:rPr>
          <w:rFonts w:ascii="Arial" w:eastAsia="Arial" w:hAnsi="Arial" w:cs="Arial"/>
          <w:sz w:val="27"/>
          <w:szCs w:val="27"/>
          <w:vertAlign w:val="superscript"/>
          <w:lang w:val="fr-BE"/>
        </w:rPr>
        <w:t>3</w:t>
      </w:r>
      <w:r w:rsidRPr="00C27636">
        <w:rPr>
          <w:rFonts w:ascii="Calibri" w:eastAsia="Calibri" w:hAnsi="Calibri" w:cs="Calibri"/>
          <w:lang w:val="fr-BE"/>
        </w:rPr>
        <w:t>.</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50" w:lineRule="exact"/>
        <w:rPr>
          <w:sz w:val="20"/>
          <w:szCs w:val="20"/>
          <w:lang w:val="fr-BE"/>
        </w:rPr>
      </w:pPr>
    </w:p>
    <w:p w:rsidR="00AC12B4" w:rsidRDefault="00C27636">
      <w:pPr>
        <w:numPr>
          <w:ilvl w:val="1"/>
          <w:numId w:val="169"/>
        </w:numPr>
        <w:tabs>
          <w:tab w:val="left" w:pos="840"/>
        </w:tabs>
        <w:spacing w:line="274" w:lineRule="auto"/>
        <w:ind w:left="840" w:right="757" w:hanging="355"/>
        <w:rPr>
          <w:rFonts w:ascii="Wingdings" w:eastAsia="Wingdings" w:hAnsi="Wingdings" w:cs="Wingdings"/>
          <w:color w:val="4BACC6"/>
        </w:rPr>
      </w:pPr>
      <w:r>
        <w:rPr>
          <w:rFonts w:ascii="Cambria" w:eastAsia="Cambria" w:hAnsi="Cambria" w:cs="Cambria"/>
          <w:i/>
          <w:iCs/>
          <w:color w:val="4BACC6"/>
        </w:rPr>
        <w:t>Enseignement primaire et secondaire</w:t>
      </w:r>
    </w:p>
    <w:p w:rsidR="00AC12B4" w:rsidRDefault="00AC12B4">
      <w:pPr>
        <w:spacing w:line="165" w:lineRule="exact"/>
        <w:rPr>
          <w:rFonts w:ascii="Wingdings" w:eastAsia="Wingdings" w:hAnsi="Wingdings" w:cs="Wingdings"/>
          <w:color w:val="4BACC6"/>
        </w:rPr>
      </w:pPr>
    </w:p>
    <w:p w:rsidR="00AC12B4" w:rsidRPr="00C27636" w:rsidRDefault="00C27636">
      <w:pPr>
        <w:numPr>
          <w:ilvl w:val="0"/>
          <w:numId w:val="169"/>
        </w:numPr>
        <w:tabs>
          <w:tab w:val="left" w:pos="336"/>
        </w:tabs>
        <w:spacing w:line="210" w:lineRule="auto"/>
        <w:ind w:left="120" w:right="737" w:firstLine="5"/>
        <w:rPr>
          <w:rFonts w:ascii="Calibri" w:eastAsia="Calibri" w:hAnsi="Calibri" w:cs="Calibri"/>
          <w:b/>
          <w:bCs/>
          <w:i/>
          <w:iCs/>
          <w:lang w:val="fr-BE"/>
        </w:rPr>
      </w:pPr>
      <w:r w:rsidRPr="00C27636">
        <w:rPr>
          <w:rFonts w:ascii="Calibri" w:eastAsia="Calibri" w:hAnsi="Calibri" w:cs="Calibri"/>
          <w:b/>
          <w:bCs/>
          <w:i/>
          <w:iCs/>
          <w:lang w:val="fr-BE"/>
        </w:rPr>
        <w:t xml:space="preserve">d’enfants dont la </w:t>
      </w:r>
      <w:r w:rsidRPr="00C27636">
        <w:rPr>
          <w:rFonts w:ascii="Calibri" w:eastAsia="Calibri" w:hAnsi="Calibri" w:cs="Calibri"/>
          <w:b/>
          <w:bCs/>
          <w:i/>
          <w:iCs/>
          <w:lang w:val="fr-BE"/>
        </w:rPr>
        <w:t>scolarisation n’est pas certaine</w:t>
      </w:r>
      <w:r w:rsidRPr="00C27636">
        <w:rPr>
          <w:rFonts w:ascii="Calibri" w:eastAsia="Calibri" w:hAnsi="Calibri" w:cs="Calibri"/>
          <w:b/>
          <w:bCs/>
          <w:sz w:val="27"/>
          <w:szCs w:val="27"/>
          <w:vertAlign w:val="superscript"/>
          <w:lang w:val="fr-BE"/>
        </w:rPr>
        <w:t>4</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05504" behindDoc="1" locked="0" layoutInCell="0" allowOverlap="1">
                <wp:simplePos x="0" y="0"/>
                <wp:positionH relativeFrom="column">
                  <wp:posOffset>10795</wp:posOffset>
                </wp:positionH>
                <wp:positionV relativeFrom="paragraph">
                  <wp:posOffset>65405</wp:posOffset>
                </wp:positionV>
                <wp:extent cx="2599055" cy="0"/>
                <wp:effectExtent l="0" t="0" r="0" b="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9055" cy="4763"/>
                        </a:xfrm>
                        <a:prstGeom prst="line">
                          <a:avLst/>
                        </a:prstGeom>
                        <a:solidFill>
                          <a:srgbClr val="FFFFFF"/>
                        </a:solidFill>
                        <a:ln w="12192">
                          <a:solidFill>
                            <a:srgbClr val="4BACC6"/>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5.15pt" to="205.5pt,5.15pt" o:allowincell="f" strokecolor="#4BACC6" strokeweight="0.96pt"/>
            </w:pict>
          </mc:Fallback>
        </mc:AlternateContent>
      </w:r>
    </w:p>
    <w:p w:rsidR="00AC12B4" w:rsidRPr="00C27636" w:rsidRDefault="00AC12B4">
      <w:pPr>
        <w:spacing w:line="84"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0"/>
        <w:gridCol w:w="1255"/>
        <w:gridCol w:w="725"/>
        <w:gridCol w:w="20"/>
        <w:gridCol w:w="730"/>
        <w:gridCol w:w="860"/>
        <w:gridCol w:w="510"/>
      </w:tblGrid>
      <w:tr w:rsidR="00AC12B4">
        <w:trPr>
          <w:trHeight w:val="269"/>
        </w:trPr>
        <w:tc>
          <w:tcPr>
            <w:tcW w:w="20" w:type="dxa"/>
            <w:vAlign w:val="bottom"/>
          </w:tcPr>
          <w:p w:rsidR="00AC12B4" w:rsidRPr="00C27636" w:rsidRDefault="00AC12B4">
            <w:pPr>
              <w:rPr>
                <w:sz w:val="23"/>
                <w:szCs w:val="23"/>
                <w:lang w:val="fr-BE"/>
              </w:rPr>
            </w:pPr>
          </w:p>
        </w:tc>
        <w:tc>
          <w:tcPr>
            <w:tcW w:w="1255" w:type="dxa"/>
            <w:vAlign w:val="bottom"/>
          </w:tcPr>
          <w:p w:rsidR="00AC12B4" w:rsidRPr="00C27636" w:rsidRDefault="00AC12B4">
            <w:pPr>
              <w:rPr>
                <w:sz w:val="23"/>
                <w:szCs w:val="23"/>
                <w:lang w:val="fr-BE"/>
              </w:rPr>
            </w:pPr>
          </w:p>
        </w:tc>
        <w:tc>
          <w:tcPr>
            <w:tcW w:w="725" w:type="dxa"/>
            <w:vAlign w:val="bottom"/>
          </w:tcPr>
          <w:p w:rsidR="00AC12B4" w:rsidRDefault="00C27636">
            <w:pPr>
              <w:ind w:left="85"/>
              <w:rPr>
                <w:sz w:val="20"/>
                <w:szCs w:val="20"/>
              </w:rPr>
            </w:pPr>
            <w:r>
              <w:rPr>
                <w:rFonts w:ascii="Calibri" w:eastAsia="Calibri" w:hAnsi="Calibri" w:cs="Calibri"/>
                <w:b/>
                <w:bCs/>
                <w:color w:val="31849B"/>
              </w:rPr>
              <w:t>Com.</w:t>
            </w:r>
          </w:p>
        </w:tc>
        <w:tc>
          <w:tcPr>
            <w:tcW w:w="20" w:type="dxa"/>
            <w:vAlign w:val="bottom"/>
          </w:tcPr>
          <w:p w:rsidR="00AC12B4" w:rsidRDefault="00AC12B4">
            <w:pPr>
              <w:rPr>
                <w:sz w:val="23"/>
                <w:szCs w:val="23"/>
              </w:rPr>
            </w:pPr>
          </w:p>
        </w:tc>
        <w:tc>
          <w:tcPr>
            <w:tcW w:w="730" w:type="dxa"/>
            <w:vAlign w:val="bottom"/>
          </w:tcPr>
          <w:p w:rsidR="00AC12B4" w:rsidRDefault="00C27636">
            <w:pPr>
              <w:ind w:left="100"/>
              <w:rPr>
                <w:sz w:val="20"/>
                <w:szCs w:val="20"/>
              </w:rPr>
            </w:pPr>
            <w:r>
              <w:rPr>
                <w:rFonts w:ascii="Calibri" w:eastAsia="Calibri" w:hAnsi="Calibri" w:cs="Calibri"/>
                <w:b/>
                <w:bCs/>
                <w:color w:val="31849B"/>
              </w:rPr>
              <w:t>FWB</w:t>
            </w:r>
          </w:p>
        </w:tc>
        <w:tc>
          <w:tcPr>
            <w:tcW w:w="860" w:type="dxa"/>
            <w:vAlign w:val="bottom"/>
          </w:tcPr>
          <w:p w:rsidR="00AC12B4" w:rsidRDefault="00C27636">
            <w:pPr>
              <w:ind w:left="110"/>
              <w:rPr>
                <w:sz w:val="20"/>
                <w:szCs w:val="20"/>
              </w:rPr>
            </w:pPr>
            <w:r>
              <w:rPr>
                <w:rFonts w:ascii="Calibri" w:eastAsia="Calibri" w:hAnsi="Calibri" w:cs="Calibri"/>
                <w:b/>
                <w:bCs/>
                <w:color w:val="31849B"/>
              </w:rPr>
              <w:t>Com.</w:t>
            </w:r>
          </w:p>
        </w:tc>
        <w:tc>
          <w:tcPr>
            <w:tcW w:w="510" w:type="dxa"/>
            <w:vAlign w:val="bottom"/>
          </w:tcPr>
          <w:p w:rsidR="00AC12B4" w:rsidRDefault="00C27636">
            <w:pPr>
              <w:jc w:val="center"/>
              <w:rPr>
                <w:sz w:val="20"/>
                <w:szCs w:val="20"/>
              </w:rPr>
            </w:pPr>
            <w:r>
              <w:rPr>
                <w:rFonts w:ascii="Calibri" w:eastAsia="Calibri" w:hAnsi="Calibri" w:cs="Calibri"/>
                <w:b/>
                <w:bCs/>
                <w:color w:val="31849B"/>
              </w:rPr>
              <w:t>Bxl</w:t>
            </w:r>
          </w:p>
        </w:tc>
      </w:tr>
      <w:tr w:rsidR="00AC12B4">
        <w:trPr>
          <w:trHeight w:val="269"/>
        </w:trPr>
        <w:tc>
          <w:tcPr>
            <w:tcW w:w="20" w:type="dxa"/>
            <w:vAlign w:val="bottom"/>
          </w:tcPr>
          <w:p w:rsidR="00AC12B4" w:rsidRDefault="00AC12B4">
            <w:pPr>
              <w:rPr>
                <w:sz w:val="23"/>
                <w:szCs w:val="23"/>
              </w:rPr>
            </w:pPr>
          </w:p>
        </w:tc>
        <w:tc>
          <w:tcPr>
            <w:tcW w:w="1255" w:type="dxa"/>
            <w:vAlign w:val="bottom"/>
          </w:tcPr>
          <w:p w:rsidR="00AC12B4" w:rsidRDefault="00AC12B4">
            <w:pPr>
              <w:rPr>
                <w:sz w:val="23"/>
                <w:szCs w:val="23"/>
              </w:rPr>
            </w:pPr>
          </w:p>
        </w:tc>
        <w:tc>
          <w:tcPr>
            <w:tcW w:w="725" w:type="dxa"/>
            <w:vAlign w:val="bottom"/>
          </w:tcPr>
          <w:p w:rsidR="00AC12B4" w:rsidRDefault="00C27636">
            <w:pPr>
              <w:ind w:left="85"/>
              <w:rPr>
                <w:sz w:val="20"/>
                <w:szCs w:val="20"/>
              </w:rPr>
            </w:pPr>
            <w:r>
              <w:rPr>
                <w:rFonts w:ascii="Calibri" w:eastAsia="Calibri" w:hAnsi="Calibri" w:cs="Calibri"/>
                <w:b/>
                <w:bCs/>
                <w:color w:val="31849B"/>
              </w:rPr>
              <w:t>fl.</w:t>
            </w:r>
          </w:p>
        </w:tc>
        <w:tc>
          <w:tcPr>
            <w:tcW w:w="20" w:type="dxa"/>
            <w:vAlign w:val="bottom"/>
          </w:tcPr>
          <w:p w:rsidR="00AC12B4" w:rsidRDefault="00AC12B4">
            <w:pPr>
              <w:rPr>
                <w:sz w:val="23"/>
                <w:szCs w:val="23"/>
              </w:rPr>
            </w:pPr>
          </w:p>
        </w:tc>
        <w:tc>
          <w:tcPr>
            <w:tcW w:w="730" w:type="dxa"/>
            <w:vAlign w:val="bottom"/>
          </w:tcPr>
          <w:p w:rsidR="00AC12B4" w:rsidRDefault="00C27636">
            <w:pPr>
              <w:ind w:left="100"/>
              <w:rPr>
                <w:sz w:val="20"/>
                <w:szCs w:val="20"/>
              </w:rPr>
            </w:pPr>
            <w:r>
              <w:rPr>
                <w:rFonts w:ascii="Calibri" w:eastAsia="Calibri" w:hAnsi="Calibri" w:cs="Calibri"/>
                <w:b/>
                <w:bCs/>
                <w:color w:val="31849B"/>
              </w:rPr>
              <w:t>hors</w:t>
            </w:r>
          </w:p>
        </w:tc>
        <w:tc>
          <w:tcPr>
            <w:tcW w:w="860" w:type="dxa"/>
            <w:vAlign w:val="bottom"/>
          </w:tcPr>
          <w:p w:rsidR="00AC12B4" w:rsidRDefault="00C27636">
            <w:pPr>
              <w:ind w:left="110"/>
              <w:rPr>
                <w:sz w:val="20"/>
                <w:szCs w:val="20"/>
              </w:rPr>
            </w:pPr>
            <w:r>
              <w:rPr>
                <w:rFonts w:ascii="Calibri" w:eastAsia="Calibri" w:hAnsi="Calibri" w:cs="Calibri"/>
                <w:b/>
                <w:bCs/>
                <w:color w:val="31849B"/>
              </w:rPr>
              <w:t>G</w:t>
            </w:r>
          </w:p>
        </w:tc>
        <w:tc>
          <w:tcPr>
            <w:tcW w:w="510" w:type="dxa"/>
            <w:vAlign w:val="bottom"/>
          </w:tcPr>
          <w:p w:rsidR="00AC12B4" w:rsidRDefault="00AC12B4">
            <w:pPr>
              <w:rPr>
                <w:sz w:val="23"/>
                <w:szCs w:val="23"/>
              </w:rPr>
            </w:pPr>
          </w:p>
        </w:tc>
      </w:tr>
      <w:tr w:rsidR="00AC12B4">
        <w:trPr>
          <w:trHeight w:val="269"/>
        </w:trPr>
        <w:tc>
          <w:tcPr>
            <w:tcW w:w="20" w:type="dxa"/>
            <w:vAlign w:val="bottom"/>
          </w:tcPr>
          <w:p w:rsidR="00AC12B4" w:rsidRDefault="00AC12B4">
            <w:pPr>
              <w:rPr>
                <w:sz w:val="23"/>
                <w:szCs w:val="23"/>
              </w:rPr>
            </w:pPr>
          </w:p>
        </w:tc>
        <w:tc>
          <w:tcPr>
            <w:tcW w:w="1255" w:type="dxa"/>
            <w:vAlign w:val="bottom"/>
          </w:tcPr>
          <w:p w:rsidR="00AC12B4" w:rsidRDefault="00AC12B4">
            <w:pPr>
              <w:rPr>
                <w:sz w:val="23"/>
                <w:szCs w:val="23"/>
              </w:rPr>
            </w:pPr>
          </w:p>
        </w:tc>
        <w:tc>
          <w:tcPr>
            <w:tcW w:w="725" w:type="dxa"/>
            <w:vAlign w:val="bottom"/>
          </w:tcPr>
          <w:p w:rsidR="00AC12B4" w:rsidRDefault="00C27636">
            <w:pPr>
              <w:ind w:left="85"/>
              <w:rPr>
                <w:sz w:val="20"/>
                <w:szCs w:val="20"/>
              </w:rPr>
            </w:pPr>
            <w:r>
              <w:rPr>
                <w:rFonts w:ascii="Calibri" w:eastAsia="Calibri" w:hAnsi="Calibri" w:cs="Calibri"/>
                <w:b/>
                <w:bCs/>
                <w:color w:val="31849B"/>
              </w:rPr>
              <w:t>hors</w:t>
            </w:r>
          </w:p>
        </w:tc>
        <w:tc>
          <w:tcPr>
            <w:tcW w:w="20" w:type="dxa"/>
            <w:vAlign w:val="bottom"/>
          </w:tcPr>
          <w:p w:rsidR="00AC12B4" w:rsidRDefault="00AC12B4">
            <w:pPr>
              <w:rPr>
                <w:sz w:val="23"/>
                <w:szCs w:val="23"/>
              </w:rPr>
            </w:pPr>
          </w:p>
        </w:tc>
        <w:tc>
          <w:tcPr>
            <w:tcW w:w="730" w:type="dxa"/>
            <w:vAlign w:val="bottom"/>
          </w:tcPr>
          <w:p w:rsidR="00AC12B4" w:rsidRDefault="00C27636">
            <w:pPr>
              <w:ind w:left="100"/>
              <w:rPr>
                <w:sz w:val="20"/>
                <w:szCs w:val="20"/>
              </w:rPr>
            </w:pPr>
            <w:r>
              <w:rPr>
                <w:rFonts w:ascii="Calibri" w:eastAsia="Calibri" w:hAnsi="Calibri" w:cs="Calibri"/>
                <w:b/>
                <w:bCs/>
                <w:color w:val="31849B"/>
              </w:rPr>
              <w:t>Bxl</w:t>
            </w:r>
          </w:p>
        </w:tc>
        <w:tc>
          <w:tcPr>
            <w:tcW w:w="860" w:type="dxa"/>
            <w:vAlign w:val="bottom"/>
          </w:tcPr>
          <w:p w:rsidR="00AC12B4" w:rsidRDefault="00AC12B4">
            <w:pPr>
              <w:rPr>
                <w:sz w:val="23"/>
                <w:szCs w:val="23"/>
              </w:rPr>
            </w:pPr>
          </w:p>
        </w:tc>
        <w:tc>
          <w:tcPr>
            <w:tcW w:w="510" w:type="dxa"/>
            <w:vAlign w:val="bottom"/>
          </w:tcPr>
          <w:p w:rsidR="00AC12B4" w:rsidRDefault="00AC12B4">
            <w:pPr>
              <w:rPr>
                <w:sz w:val="23"/>
                <w:szCs w:val="23"/>
              </w:rPr>
            </w:pPr>
          </w:p>
        </w:tc>
      </w:tr>
      <w:tr w:rsidR="00AC12B4">
        <w:trPr>
          <w:trHeight w:val="269"/>
        </w:trPr>
        <w:tc>
          <w:tcPr>
            <w:tcW w:w="20" w:type="dxa"/>
            <w:vAlign w:val="bottom"/>
          </w:tcPr>
          <w:p w:rsidR="00AC12B4" w:rsidRDefault="00AC12B4">
            <w:pPr>
              <w:rPr>
                <w:sz w:val="23"/>
                <w:szCs w:val="23"/>
              </w:rPr>
            </w:pPr>
          </w:p>
        </w:tc>
        <w:tc>
          <w:tcPr>
            <w:tcW w:w="1255" w:type="dxa"/>
            <w:vAlign w:val="bottom"/>
          </w:tcPr>
          <w:p w:rsidR="00AC12B4" w:rsidRDefault="00AC12B4">
            <w:pPr>
              <w:rPr>
                <w:sz w:val="23"/>
                <w:szCs w:val="23"/>
              </w:rPr>
            </w:pPr>
          </w:p>
        </w:tc>
        <w:tc>
          <w:tcPr>
            <w:tcW w:w="725" w:type="dxa"/>
            <w:vAlign w:val="bottom"/>
          </w:tcPr>
          <w:p w:rsidR="00AC12B4" w:rsidRDefault="00C27636">
            <w:pPr>
              <w:ind w:left="85"/>
              <w:rPr>
                <w:sz w:val="20"/>
                <w:szCs w:val="20"/>
              </w:rPr>
            </w:pPr>
            <w:r>
              <w:rPr>
                <w:rFonts w:ascii="Calibri" w:eastAsia="Calibri" w:hAnsi="Calibri" w:cs="Calibri"/>
                <w:b/>
                <w:bCs/>
                <w:color w:val="31849B"/>
              </w:rPr>
              <w:t>Bx</w:t>
            </w:r>
          </w:p>
        </w:tc>
        <w:tc>
          <w:tcPr>
            <w:tcW w:w="20" w:type="dxa"/>
            <w:vAlign w:val="bottom"/>
          </w:tcPr>
          <w:p w:rsidR="00AC12B4" w:rsidRDefault="00AC12B4">
            <w:pPr>
              <w:rPr>
                <w:sz w:val="23"/>
                <w:szCs w:val="23"/>
              </w:rPr>
            </w:pPr>
          </w:p>
        </w:tc>
        <w:tc>
          <w:tcPr>
            <w:tcW w:w="730" w:type="dxa"/>
            <w:vAlign w:val="bottom"/>
          </w:tcPr>
          <w:p w:rsidR="00AC12B4" w:rsidRDefault="00AC12B4">
            <w:pPr>
              <w:rPr>
                <w:sz w:val="23"/>
                <w:szCs w:val="23"/>
              </w:rPr>
            </w:pPr>
          </w:p>
        </w:tc>
        <w:tc>
          <w:tcPr>
            <w:tcW w:w="860" w:type="dxa"/>
            <w:vAlign w:val="bottom"/>
          </w:tcPr>
          <w:p w:rsidR="00AC12B4" w:rsidRDefault="00AC12B4">
            <w:pPr>
              <w:rPr>
                <w:sz w:val="23"/>
                <w:szCs w:val="23"/>
              </w:rPr>
            </w:pPr>
          </w:p>
        </w:tc>
        <w:tc>
          <w:tcPr>
            <w:tcW w:w="510" w:type="dxa"/>
            <w:vAlign w:val="bottom"/>
          </w:tcPr>
          <w:p w:rsidR="00AC12B4" w:rsidRDefault="00AC12B4">
            <w:pPr>
              <w:rPr>
                <w:sz w:val="23"/>
                <w:szCs w:val="23"/>
              </w:rPr>
            </w:pPr>
          </w:p>
        </w:tc>
      </w:tr>
      <w:tr w:rsidR="00AC12B4">
        <w:trPr>
          <w:trHeight w:val="128"/>
        </w:trPr>
        <w:tc>
          <w:tcPr>
            <w:tcW w:w="20" w:type="dxa"/>
            <w:vAlign w:val="bottom"/>
          </w:tcPr>
          <w:p w:rsidR="00AC12B4" w:rsidRDefault="00AC12B4">
            <w:pPr>
              <w:rPr>
                <w:sz w:val="11"/>
                <w:szCs w:val="11"/>
              </w:rPr>
            </w:pPr>
          </w:p>
        </w:tc>
        <w:tc>
          <w:tcPr>
            <w:tcW w:w="1255" w:type="dxa"/>
            <w:tcBorders>
              <w:bottom w:val="single" w:sz="8" w:space="0" w:color="4BACC6"/>
            </w:tcBorders>
            <w:vAlign w:val="bottom"/>
          </w:tcPr>
          <w:p w:rsidR="00AC12B4" w:rsidRDefault="00AC12B4">
            <w:pPr>
              <w:rPr>
                <w:sz w:val="11"/>
                <w:szCs w:val="11"/>
              </w:rPr>
            </w:pPr>
          </w:p>
        </w:tc>
        <w:tc>
          <w:tcPr>
            <w:tcW w:w="725" w:type="dxa"/>
            <w:tcBorders>
              <w:bottom w:val="single" w:sz="8" w:space="0" w:color="4BACC6"/>
            </w:tcBorders>
            <w:vAlign w:val="bottom"/>
          </w:tcPr>
          <w:p w:rsidR="00AC12B4" w:rsidRDefault="00AC12B4">
            <w:pPr>
              <w:rPr>
                <w:sz w:val="11"/>
                <w:szCs w:val="11"/>
              </w:rPr>
            </w:pPr>
          </w:p>
        </w:tc>
        <w:tc>
          <w:tcPr>
            <w:tcW w:w="20" w:type="dxa"/>
            <w:tcBorders>
              <w:bottom w:val="single" w:sz="8" w:space="0" w:color="4BACC6"/>
            </w:tcBorders>
            <w:vAlign w:val="bottom"/>
          </w:tcPr>
          <w:p w:rsidR="00AC12B4" w:rsidRDefault="00AC12B4">
            <w:pPr>
              <w:rPr>
                <w:sz w:val="11"/>
                <w:szCs w:val="11"/>
              </w:rPr>
            </w:pPr>
          </w:p>
        </w:tc>
        <w:tc>
          <w:tcPr>
            <w:tcW w:w="730" w:type="dxa"/>
            <w:tcBorders>
              <w:bottom w:val="single" w:sz="8" w:space="0" w:color="4BACC6"/>
            </w:tcBorders>
            <w:vAlign w:val="bottom"/>
          </w:tcPr>
          <w:p w:rsidR="00AC12B4" w:rsidRDefault="00AC12B4">
            <w:pPr>
              <w:rPr>
                <w:sz w:val="11"/>
                <w:szCs w:val="11"/>
              </w:rPr>
            </w:pPr>
          </w:p>
        </w:tc>
        <w:tc>
          <w:tcPr>
            <w:tcW w:w="860" w:type="dxa"/>
            <w:tcBorders>
              <w:bottom w:val="single" w:sz="8" w:space="0" w:color="4BACC6"/>
            </w:tcBorders>
            <w:vAlign w:val="bottom"/>
          </w:tcPr>
          <w:p w:rsidR="00AC12B4" w:rsidRDefault="00AC12B4">
            <w:pPr>
              <w:rPr>
                <w:sz w:val="11"/>
                <w:szCs w:val="11"/>
              </w:rPr>
            </w:pPr>
          </w:p>
        </w:tc>
        <w:tc>
          <w:tcPr>
            <w:tcW w:w="510" w:type="dxa"/>
            <w:tcBorders>
              <w:bottom w:val="single" w:sz="8" w:space="0" w:color="4BACC6"/>
            </w:tcBorders>
            <w:vAlign w:val="bottom"/>
          </w:tcPr>
          <w:p w:rsidR="00AC12B4" w:rsidRDefault="00AC12B4">
            <w:pPr>
              <w:rPr>
                <w:sz w:val="11"/>
                <w:szCs w:val="11"/>
              </w:rPr>
            </w:pPr>
          </w:p>
        </w:tc>
      </w:tr>
      <w:tr w:rsidR="00AC12B4">
        <w:trPr>
          <w:trHeight w:val="260"/>
        </w:trPr>
        <w:tc>
          <w:tcPr>
            <w:tcW w:w="20" w:type="dxa"/>
            <w:vAlign w:val="bottom"/>
          </w:tcPr>
          <w:p w:rsidR="00AC12B4" w:rsidRDefault="00AC12B4"/>
        </w:tc>
        <w:tc>
          <w:tcPr>
            <w:tcW w:w="1255" w:type="dxa"/>
            <w:shd w:val="clear" w:color="auto" w:fill="D2EAF1"/>
            <w:vAlign w:val="bottom"/>
          </w:tcPr>
          <w:p w:rsidR="00AC12B4" w:rsidRDefault="00C27636">
            <w:pPr>
              <w:spacing w:line="259" w:lineRule="exact"/>
              <w:ind w:left="100"/>
              <w:rPr>
                <w:sz w:val="20"/>
                <w:szCs w:val="20"/>
              </w:rPr>
            </w:pPr>
            <w:r>
              <w:rPr>
                <w:rFonts w:ascii="Calibri" w:eastAsia="Calibri" w:hAnsi="Calibri" w:cs="Calibri"/>
                <w:b/>
                <w:bCs/>
                <w:color w:val="31849B"/>
              </w:rPr>
              <w:t>Primaire</w:t>
            </w:r>
          </w:p>
        </w:tc>
        <w:tc>
          <w:tcPr>
            <w:tcW w:w="725" w:type="dxa"/>
            <w:shd w:val="clear" w:color="auto" w:fill="D2EAF1"/>
            <w:vAlign w:val="bottom"/>
          </w:tcPr>
          <w:p w:rsidR="00AC12B4" w:rsidRDefault="00AC12B4"/>
        </w:tc>
        <w:tc>
          <w:tcPr>
            <w:tcW w:w="20" w:type="dxa"/>
            <w:vAlign w:val="bottom"/>
          </w:tcPr>
          <w:p w:rsidR="00AC12B4" w:rsidRDefault="00AC12B4"/>
        </w:tc>
        <w:tc>
          <w:tcPr>
            <w:tcW w:w="730" w:type="dxa"/>
            <w:shd w:val="clear" w:color="auto" w:fill="D2EAF1"/>
            <w:vAlign w:val="bottom"/>
          </w:tcPr>
          <w:p w:rsidR="00AC12B4" w:rsidRDefault="00AC12B4"/>
        </w:tc>
        <w:tc>
          <w:tcPr>
            <w:tcW w:w="860" w:type="dxa"/>
            <w:shd w:val="clear" w:color="auto" w:fill="D2EAF1"/>
            <w:vAlign w:val="bottom"/>
          </w:tcPr>
          <w:p w:rsidR="00AC12B4" w:rsidRDefault="00AC12B4"/>
        </w:tc>
        <w:tc>
          <w:tcPr>
            <w:tcW w:w="510" w:type="dxa"/>
            <w:shd w:val="clear" w:color="auto" w:fill="D2EAF1"/>
            <w:vAlign w:val="bottom"/>
          </w:tcPr>
          <w:p w:rsidR="00AC12B4" w:rsidRDefault="00AC12B4"/>
        </w:tc>
      </w:tr>
      <w:tr w:rsidR="00AC12B4">
        <w:trPr>
          <w:trHeight w:val="128"/>
        </w:trPr>
        <w:tc>
          <w:tcPr>
            <w:tcW w:w="20" w:type="dxa"/>
            <w:vAlign w:val="bottom"/>
          </w:tcPr>
          <w:p w:rsidR="00AC12B4" w:rsidRDefault="00AC12B4">
            <w:pPr>
              <w:rPr>
                <w:sz w:val="11"/>
                <w:szCs w:val="11"/>
              </w:rPr>
            </w:pPr>
          </w:p>
        </w:tc>
        <w:tc>
          <w:tcPr>
            <w:tcW w:w="1255" w:type="dxa"/>
            <w:shd w:val="clear" w:color="auto" w:fill="D2EAF1"/>
            <w:vAlign w:val="bottom"/>
          </w:tcPr>
          <w:p w:rsidR="00AC12B4" w:rsidRDefault="00AC12B4">
            <w:pPr>
              <w:rPr>
                <w:sz w:val="11"/>
                <w:szCs w:val="11"/>
              </w:rPr>
            </w:pPr>
          </w:p>
        </w:tc>
        <w:tc>
          <w:tcPr>
            <w:tcW w:w="725" w:type="dxa"/>
            <w:shd w:val="clear" w:color="auto" w:fill="D2EAF1"/>
            <w:vAlign w:val="bottom"/>
          </w:tcPr>
          <w:p w:rsidR="00AC12B4" w:rsidRDefault="00AC12B4">
            <w:pPr>
              <w:rPr>
                <w:sz w:val="11"/>
                <w:szCs w:val="11"/>
              </w:rPr>
            </w:pPr>
          </w:p>
        </w:tc>
        <w:tc>
          <w:tcPr>
            <w:tcW w:w="20" w:type="dxa"/>
            <w:vAlign w:val="bottom"/>
          </w:tcPr>
          <w:p w:rsidR="00AC12B4" w:rsidRDefault="00AC12B4">
            <w:pPr>
              <w:rPr>
                <w:sz w:val="11"/>
                <w:szCs w:val="11"/>
              </w:rPr>
            </w:pPr>
          </w:p>
        </w:tc>
        <w:tc>
          <w:tcPr>
            <w:tcW w:w="730" w:type="dxa"/>
            <w:shd w:val="clear" w:color="auto" w:fill="D2EAF1"/>
            <w:vAlign w:val="bottom"/>
          </w:tcPr>
          <w:p w:rsidR="00AC12B4" w:rsidRDefault="00AC12B4">
            <w:pPr>
              <w:rPr>
                <w:sz w:val="11"/>
                <w:szCs w:val="11"/>
              </w:rPr>
            </w:pPr>
          </w:p>
        </w:tc>
        <w:tc>
          <w:tcPr>
            <w:tcW w:w="860" w:type="dxa"/>
            <w:shd w:val="clear" w:color="auto" w:fill="D2EAF1"/>
            <w:vAlign w:val="bottom"/>
          </w:tcPr>
          <w:p w:rsidR="00AC12B4" w:rsidRDefault="00AC12B4">
            <w:pPr>
              <w:rPr>
                <w:sz w:val="11"/>
                <w:szCs w:val="11"/>
              </w:rPr>
            </w:pPr>
          </w:p>
        </w:tc>
        <w:tc>
          <w:tcPr>
            <w:tcW w:w="510" w:type="dxa"/>
            <w:shd w:val="clear" w:color="auto" w:fill="D2EAF1"/>
            <w:vAlign w:val="bottom"/>
          </w:tcPr>
          <w:p w:rsidR="00AC12B4" w:rsidRDefault="00AC12B4">
            <w:pPr>
              <w:rPr>
                <w:sz w:val="11"/>
                <w:szCs w:val="11"/>
              </w:rPr>
            </w:pPr>
          </w:p>
        </w:tc>
      </w:tr>
      <w:tr w:rsidR="00AC12B4">
        <w:trPr>
          <w:trHeight w:val="260"/>
        </w:trPr>
        <w:tc>
          <w:tcPr>
            <w:tcW w:w="20" w:type="dxa"/>
            <w:vAlign w:val="bottom"/>
          </w:tcPr>
          <w:p w:rsidR="00AC12B4" w:rsidRDefault="00AC12B4"/>
        </w:tc>
        <w:tc>
          <w:tcPr>
            <w:tcW w:w="1255" w:type="dxa"/>
            <w:vAlign w:val="bottom"/>
          </w:tcPr>
          <w:p w:rsidR="00AC12B4" w:rsidRDefault="00C27636">
            <w:pPr>
              <w:spacing w:line="260" w:lineRule="exact"/>
              <w:ind w:left="100"/>
              <w:rPr>
                <w:sz w:val="20"/>
                <w:szCs w:val="20"/>
              </w:rPr>
            </w:pPr>
            <w:r>
              <w:rPr>
                <w:rFonts w:ascii="Calibri" w:eastAsia="Calibri" w:hAnsi="Calibri" w:cs="Calibri"/>
                <w:b/>
                <w:bCs/>
                <w:i/>
                <w:iCs/>
                <w:color w:val="4BACC6"/>
              </w:rPr>
              <w:t>2010-2011</w:t>
            </w:r>
          </w:p>
        </w:tc>
        <w:tc>
          <w:tcPr>
            <w:tcW w:w="725" w:type="dxa"/>
            <w:vAlign w:val="bottom"/>
          </w:tcPr>
          <w:p w:rsidR="00AC12B4" w:rsidRDefault="00C27636">
            <w:pPr>
              <w:spacing w:line="260" w:lineRule="exact"/>
              <w:ind w:left="305"/>
              <w:rPr>
                <w:sz w:val="20"/>
                <w:szCs w:val="20"/>
              </w:rPr>
            </w:pPr>
            <w:r>
              <w:rPr>
                <w:rFonts w:ascii="Calibri" w:eastAsia="Calibri" w:hAnsi="Calibri" w:cs="Calibri"/>
                <w:color w:val="31849B"/>
              </w:rPr>
              <w:t>X</w:t>
            </w:r>
          </w:p>
        </w:tc>
        <w:tc>
          <w:tcPr>
            <w:tcW w:w="20" w:type="dxa"/>
            <w:vAlign w:val="bottom"/>
          </w:tcPr>
          <w:p w:rsidR="00AC12B4" w:rsidRDefault="00AC12B4"/>
        </w:tc>
        <w:tc>
          <w:tcPr>
            <w:tcW w:w="730" w:type="dxa"/>
            <w:vAlign w:val="bottom"/>
          </w:tcPr>
          <w:p w:rsidR="00AC12B4" w:rsidRDefault="00C27636">
            <w:pPr>
              <w:spacing w:line="260" w:lineRule="exact"/>
              <w:ind w:left="300"/>
              <w:rPr>
                <w:sz w:val="20"/>
                <w:szCs w:val="20"/>
              </w:rPr>
            </w:pPr>
            <w:r>
              <w:rPr>
                <w:rFonts w:ascii="Calibri" w:eastAsia="Calibri" w:hAnsi="Calibri" w:cs="Calibri"/>
                <w:color w:val="31849B"/>
              </w:rPr>
              <w:t>X</w:t>
            </w:r>
          </w:p>
        </w:tc>
        <w:tc>
          <w:tcPr>
            <w:tcW w:w="860" w:type="dxa"/>
            <w:vAlign w:val="bottom"/>
          </w:tcPr>
          <w:p w:rsidR="00AC12B4" w:rsidRDefault="00C27636">
            <w:pPr>
              <w:ind w:left="110"/>
              <w:rPr>
                <w:sz w:val="20"/>
                <w:szCs w:val="20"/>
              </w:rPr>
            </w:pPr>
            <w:r>
              <w:rPr>
                <w:rFonts w:ascii="Calibri" w:eastAsia="Calibri" w:hAnsi="Calibri" w:cs="Calibri"/>
                <w:color w:val="31849B"/>
                <w:sz w:val="18"/>
                <w:szCs w:val="18"/>
              </w:rPr>
              <w:t>inconnu</w:t>
            </w:r>
          </w:p>
        </w:tc>
        <w:tc>
          <w:tcPr>
            <w:tcW w:w="510" w:type="dxa"/>
            <w:vAlign w:val="bottom"/>
          </w:tcPr>
          <w:p w:rsidR="00AC12B4" w:rsidRDefault="00C27636">
            <w:pPr>
              <w:spacing w:line="260" w:lineRule="exact"/>
              <w:jc w:val="center"/>
              <w:rPr>
                <w:sz w:val="20"/>
                <w:szCs w:val="20"/>
              </w:rPr>
            </w:pPr>
            <w:r>
              <w:rPr>
                <w:rFonts w:ascii="Calibri" w:eastAsia="Calibri" w:hAnsi="Calibri" w:cs="Calibri"/>
                <w:color w:val="31849B"/>
              </w:rPr>
              <w:t>X</w:t>
            </w:r>
          </w:p>
        </w:tc>
      </w:tr>
      <w:tr w:rsidR="00AC12B4">
        <w:trPr>
          <w:trHeight w:val="389"/>
        </w:trPr>
        <w:tc>
          <w:tcPr>
            <w:tcW w:w="20" w:type="dxa"/>
            <w:vAlign w:val="bottom"/>
          </w:tcPr>
          <w:p w:rsidR="00AC12B4" w:rsidRDefault="00AC12B4">
            <w:pPr>
              <w:rPr>
                <w:sz w:val="24"/>
                <w:szCs w:val="24"/>
              </w:rPr>
            </w:pPr>
          </w:p>
        </w:tc>
        <w:tc>
          <w:tcPr>
            <w:tcW w:w="1980" w:type="dxa"/>
            <w:gridSpan w:val="2"/>
            <w:vAlign w:val="bottom"/>
          </w:tcPr>
          <w:p w:rsidR="00AC12B4" w:rsidRDefault="00C27636">
            <w:pPr>
              <w:ind w:left="100"/>
              <w:rPr>
                <w:sz w:val="20"/>
                <w:szCs w:val="20"/>
              </w:rPr>
            </w:pPr>
            <w:r>
              <w:rPr>
                <w:rFonts w:ascii="Calibri" w:eastAsia="Calibri" w:hAnsi="Calibri" w:cs="Calibri"/>
                <w:b/>
                <w:bCs/>
                <w:i/>
                <w:iCs/>
                <w:color w:val="4BACC6"/>
              </w:rPr>
              <w:t xml:space="preserve">2012-2013   </w:t>
            </w:r>
            <w:r>
              <w:rPr>
                <w:rFonts w:ascii="Calibri" w:eastAsia="Calibri" w:hAnsi="Calibri" w:cs="Calibri"/>
                <w:color w:val="31849B"/>
              </w:rPr>
              <w:t>0.03%</w:t>
            </w:r>
          </w:p>
        </w:tc>
        <w:tc>
          <w:tcPr>
            <w:tcW w:w="20" w:type="dxa"/>
            <w:vAlign w:val="bottom"/>
          </w:tcPr>
          <w:p w:rsidR="00AC12B4" w:rsidRDefault="00AC12B4">
            <w:pPr>
              <w:rPr>
                <w:sz w:val="24"/>
                <w:szCs w:val="24"/>
              </w:rPr>
            </w:pPr>
          </w:p>
        </w:tc>
        <w:tc>
          <w:tcPr>
            <w:tcW w:w="730" w:type="dxa"/>
            <w:vAlign w:val="bottom"/>
          </w:tcPr>
          <w:p w:rsidR="00AC12B4" w:rsidRDefault="00C27636">
            <w:pPr>
              <w:ind w:left="300"/>
              <w:rPr>
                <w:sz w:val="20"/>
                <w:szCs w:val="20"/>
              </w:rPr>
            </w:pPr>
            <w:r>
              <w:rPr>
                <w:rFonts w:ascii="Calibri" w:eastAsia="Calibri" w:hAnsi="Calibri" w:cs="Calibri"/>
                <w:color w:val="31849B"/>
              </w:rPr>
              <w:t>X</w:t>
            </w:r>
          </w:p>
        </w:tc>
        <w:tc>
          <w:tcPr>
            <w:tcW w:w="860" w:type="dxa"/>
            <w:vAlign w:val="bottom"/>
          </w:tcPr>
          <w:p w:rsidR="00AC12B4" w:rsidRDefault="00C27636">
            <w:pPr>
              <w:ind w:left="130"/>
              <w:rPr>
                <w:sz w:val="20"/>
                <w:szCs w:val="20"/>
              </w:rPr>
            </w:pPr>
            <w:r>
              <w:rPr>
                <w:rFonts w:ascii="Calibri" w:eastAsia="Calibri" w:hAnsi="Calibri" w:cs="Calibri"/>
                <w:color w:val="31849B"/>
                <w:sz w:val="18"/>
                <w:szCs w:val="18"/>
              </w:rPr>
              <w:t>Inconnu</w:t>
            </w:r>
          </w:p>
        </w:tc>
        <w:tc>
          <w:tcPr>
            <w:tcW w:w="510" w:type="dxa"/>
            <w:vAlign w:val="bottom"/>
          </w:tcPr>
          <w:p w:rsidR="00AC12B4" w:rsidRDefault="00C27636">
            <w:pPr>
              <w:jc w:val="center"/>
              <w:rPr>
                <w:sz w:val="20"/>
                <w:szCs w:val="20"/>
              </w:rPr>
            </w:pPr>
            <w:r>
              <w:rPr>
                <w:rFonts w:ascii="Calibri" w:eastAsia="Calibri" w:hAnsi="Calibri" w:cs="Calibri"/>
                <w:color w:val="31849B"/>
              </w:rPr>
              <w:t>X</w:t>
            </w:r>
          </w:p>
        </w:tc>
      </w:tr>
      <w:tr w:rsidR="00AC12B4">
        <w:trPr>
          <w:trHeight w:val="389"/>
        </w:trPr>
        <w:tc>
          <w:tcPr>
            <w:tcW w:w="20" w:type="dxa"/>
            <w:vAlign w:val="bottom"/>
          </w:tcPr>
          <w:p w:rsidR="00AC12B4" w:rsidRDefault="00AC12B4">
            <w:pPr>
              <w:rPr>
                <w:sz w:val="24"/>
                <w:szCs w:val="24"/>
              </w:rPr>
            </w:pPr>
          </w:p>
        </w:tc>
        <w:tc>
          <w:tcPr>
            <w:tcW w:w="1255" w:type="dxa"/>
            <w:vAlign w:val="bottom"/>
          </w:tcPr>
          <w:p w:rsidR="00AC12B4" w:rsidRDefault="00C27636">
            <w:pPr>
              <w:ind w:left="100"/>
              <w:rPr>
                <w:sz w:val="20"/>
                <w:szCs w:val="20"/>
              </w:rPr>
            </w:pPr>
            <w:r>
              <w:rPr>
                <w:rFonts w:ascii="Calibri" w:eastAsia="Calibri" w:hAnsi="Calibri" w:cs="Calibri"/>
                <w:b/>
                <w:bCs/>
                <w:i/>
                <w:iCs/>
                <w:color w:val="4BACC6"/>
              </w:rPr>
              <w:t>2014-2015</w:t>
            </w:r>
          </w:p>
        </w:tc>
        <w:tc>
          <w:tcPr>
            <w:tcW w:w="725" w:type="dxa"/>
            <w:vAlign w:val="bottom"/>
          </w:tcPr>
          <w:p w:rsidR="00AC12B4" w:rsidRDefault="00C27636">
            <w:pPr>
              <w:ind w:left="305"/>
              <w:rPr>
                <w:sz w:val="20"/>
                <w:szCs w:val="20"/>
              </w:rPr>
            </w:pPr>
            <w:r>
              <w:rPr>
                <w:rFonts w:ascii="Calibri" w:eastAsia="Calibri" w:hAnsi="Calibri" w:cs="Calibri"/>
                <w:color w:val="31849B"/>
              </w:rPr>
              <w:t>X</w:t>
            </w:r>
          </w:p>
        </w:tc>
        <w:tc>
          <w:tcPr>
            <w:tcW w:w="20" w:type="dxa"/>
            <w:vAlign w:val="bottom"/>
          </w:tcPr>
          <w:p w:rsidR="00AC12B4" w:rsidRDefault="00AC12B4">
            <w:pPr>
              <w:rPr>
                <w:sz w:val="24"/>
                <w:szCs w:val="24"/>
              </w:rPr>
            </w:pPr>
          </w:p>
        </w:tc>
        <w:tc>
          <w:tcPr>
            <w:tcW w:w="730" w:type="dxa"/>
            <w:vAlign w:val="bottom"/>
          </w:tcPr>
          <w:p w:rsidR="00AC12B4" w:rsidRDefault="00C27636">
            <w:pPr>
              <w:ind w:left="300"/>
              <w:rPr>
                <w:sz w:val="20"/>
                <w:szCs w:val="20"/>
              </w:rPr>
            </w:pPr>
            <w:r>
              <w:rPr>
                <w:rFonts w:ascii="Calibri" w:eastAsia="Calibri" w:hAnsi="Calibri" w:cs="Calibri"/>
                <w:color w:val="31849B"/>
              </w:rPr>
              <w:t>X</w:t>
            </w:r>
          </w:p>
        </w:tc>
        <w:tc>
          <w:tcPr>
            <w:tcW w:w="860" w:type="dxa"/>
            <w:vAlign w:val="bottom"/>
          </w:tcPr>
          <w:p w:rsidR="00AC12B4" w:rsidRDefault="00C27636">
            <w:pPr>
              <w:ind w:left="130"/>
              <w:rPr>
                <w:sz w:val="20"/>
                <w:szCs w:val="20"/>
              </w:rPr>
            </w:pPr>
            <w:r>
              <w:rPr>
                <w:rFonts w:ascii="Calibri" w:eastAsia="Calibri" w:hAnsi="Calibri" w:cs="Calibri"/>
                <w:color w:val="31849B"/>
                <w:sz w:val="18"/>
                <w:szCs w:val="18"/>
              </w:rPr>
              <w:t>Inconnu</w:t>
            </w:r>
          </w:p>
        </w:tc>
        <w:tc>
          <w:tcPr>
            <w:tcW w:w="510" w:type="dxa"/>
            <w:vAlign w:val="bottom"/>
          </w:tcPr>
          <w:p w:rsidR="00AC12B4" w:rsidRDefault="00C27636">
            <w:pPr>
              <w:jc w:val="center"/>
              <w:rPr>
                <w:sz w:val="20"/>
                <w:szCs w:val="20"/>
              </w:rPr>
            </w:pPr>
            <w:r>
              <w:rPr>
                <w:rFonts w:ascii="Calibri" w:eastAsia="Calibri" w:hAnsi="Calibri" w:cs="Calibri"/>
                <w:color w:val="31849B"/>
              </w:rPr>
              <w:t>X</w:t>
            </w:r>
          </w:p>
        </w:tc>
      </w:tr>
      <w:tr w:rsidR="00AC12B4">
        <w:trPr>
          <w:trHeight w:val="128"/>
        </w:trPr>
        <w:tc>
          <w:tcPr>
            <w:tcW w:w="20" w:type="dxa"/>
            <w:vAlign w:val="bottom"/>
          </w:tcPr>
          <w:p w:rsidR="00AC12B4" w:rsidRDefault="00AC12B4">
            <w:pPr>
              <w:rPr>
                <w:sz w:val="11"/>
                <w:szCs w:val="11"/>
              </w:rPr>
            </w:pPr>
          </w:p>
        </w:tc>
        <w:tc>
          <w:tcPr>
            <w:tcW w:w="1255" w:type="dxa"/>
            <w:vAlign w:val="bottom"/>
          </w:tcPr>
          <w:p w:rsidR="00AC12B4" w:rsidRDefault="00AC12B4">
            <w:pPr>
              <w:rPr>
                <w:sz w:val="11"/>
                <w:szCs w:val="11"/>
              </w:rPr>
            </w:pPr>
          </w:p>
        </w:tc>
        <w:tc>
          <w:tcPr>
            <w:tcW w:w="725"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730" w:type="dxa"/>
            <w:vAlign w:val="bottom"/>
          </w:tcPr>
          <w:p w:rsidR="00AC12B4" w:rsidRDefault="00AC12B4">
            <w:pPr>
              <w:rPr>
                <w:sz w:val="11"/>
                <w:szCs w:val="11"/>
              </w:rPr>
            </w:pPr>
          </w:p>
        </w:tc>
        <w:tc>
          <w:tcPr>
            <w:tcW w:w="860" w:type="dxa"/>
            <w:vAlign w:val="bottom"/>
          </w:tcPr>
          <w:p w:rsidR="00AC12B4" w:rsidRDefault="00AC12B4">
            <w:pPr>
              <w:rPr>
                <w:sz w:val="11"/>
                <w:szCs w:val="11"/>
              </w:rPr>
            </w:pPr>
          </w:p>
        </w:tc>
        <w:tc>
          <w:tcPr>
            <w:tcW w:w="510" w:type="dxa"/>
            <w:vAlign w:val="bottom"/>
          </w:tcPr>
          <w:p w:rsidR="00AC12B4" w:rsidRDefault="00AC12B4">
            <w:pPr>
              <w:rPr>
                <w:sz w:val="11"/>
                <w:szCs w:val="11"/>
              </w:rPr>
            </w:pPr>
          </w:p>
        </w:tc>
      </w:tr>
      <w:tr w:rsidR="00AC12B4">
        <w:trPr>
          <w:trHeight w:val="260"/>
        </w:trPr>
        <w:tc>
          <w:tcPr>
            <w:tcW w:w="20" w:type="dxa"/>
            <w:vAlign w:val="bottom"/>
          </w:tcPr>
          <w:p w:rsidR="00AC12B4" w:rsidRDefault="00AC12B4"/>
        </w:tc>
        <w:tc>
          <w:tcPr>
            <w:tcW w:w="1255" w:type="dxa"/>
            <w:shd w:val="clear" w:color="auto" w:fill="DBE5F1"/>
            <w:vAlign w:val="bottom"/>
          </w:tcPr>
          <w:p w:rsidR="00AC12B4" w:rsidRDefault="00C27636">
            <w:pPr>
              <w:spacing w:line="260" w:lineRule="exact"/>
              <w:ind w:left="100"/>
              <w:rPr>
                <w:sz w:val="20"/>
                <w:szCs w:val="20"/>
              </w:rPr>
            </w:pPr>
            <w:r>
              <w:rPr>
                <w:rFonts w:ascii="Calibri" w:eastAsia="Calibri" w:hAnsi="Calibri" w:cs="Calibri"/>
                <w:b/>
                <w:bCs/>
                <w:color w:val="31849B"/>
              </w:rPr>
              <w:t>Secondaire</w:t>
            </w:r>
          </w:p>
        </w:tc>
        <w:tc>
          <w:tcPr>
            <w:tcW w:w="725" w:type="dxa"/>
            <w:shd w:val="clear" w:color="auto" w:fill="DBE5F1"/>
            <w:vAlign w:val="bottom"/>
          </w:tcPr>
          <w:p w:rsidR="00AC12B4" w:rsidRDefault="00AC12B4"/>
        </w:tc>
        <w:tc>
          <w:tcPr>
            <w:tcW w:w="20" w:type="dxa"/>
            <w:vAlign w:val="bottom"/>
          </w:tcPr>
          <w:p w:rsidR="00AC12B4" w:rsidRDefault="00AC12B4"/>
        </w:tc>
        <w:tc>
          <w:tcPr>
            <w:tcW w:w="730" w:type="dxa"/>
            <w:shd w:val="clear" w:color="auto" w:fill="DBE5F1"/>
            <w:vAlign w:val="bottom"/>
          </w:tcPr>
          <w:p w:rsidR="00AC12B4" w:rsidRDefault="00AC12B4"/>
        </w:tc>
        <w:tc>
          <w:tcPr>
            <w:tcW w:w="860" w:type="dxa"/>
            <w:shd w:val="clear" w:color="auto" w:fill="DBE5F1"/>
            <w:vAlign w:val="bottom"/>
          </w:tcPr>
          <w:p w:rsidR="00AC12B4" w:rsidRDefault="00AC12B4"/>
        </w:tc>
        <w:tc>
          <w:tcPr>
            <w:tcW w:w="510" w:type="dxa"/>
            <w:shd w:val="clear" w:color="auto" w:fill="DBE5F1"/>
            <w:vAlign w:val="bottom"/>
          </w:tcPr>
          <w:p w:rsidR="00AC12B4" w:rsidRDefault="00AC12B4"/>
        </w:tc>
      </w:tr>
      <w:tr w:rsidR="00AC12B4">
        <w:trPr>
          <w:trHeight w:val="128"/>
        </w:trPr>
        <w:tc>
          <w:tcPr>
            <w:tcW w:w="20" w:type="dxa"/>
            <w:vAlign w:val="bottom"/>
          </w:tcPr>
          <w:p w:rsidR="00AC12B4" w:rsidRDefault="00AC12B4">
            <w:pPr>
              <w:rPr>
                <w:sz w:val="11"/>
                <w:szCs w:val="11"/>
              </w:rPr>
            </w:pPr>
          </w:p>
        </w:tc>
        <w:tc>
          <w:tcPr>
            <w:tcW w:w="1255" w:type="dxa"/>
            <w:shd w:val="clear" w:color="auto" w:fill="DBE5F1"/>
            <w:vAlign w:val="bottom"/>
          </w:tcPr>
          <w:p w:rsidR="00AC12B4" w:rsidRDefault="00AC12B4">
            <w:pPr>
              <w:rPr>
                <w:sz w:val="11"/>
                <w:szCs w:val="11"/>
              </w:rPr>
            </w:pPr>
          </w:p>
        </w:tc>
        <w:tc>
          <w:tcPr>
            <w:tcW w:w="725" w:type="dxa"/>
            <w:shd w:val="clear" w:color="auto" w:fill="DBE5F1"/>
            <w:vAlign w:val="bottom"/>
          </w:tcPr>
          <w:p w:rsidR="00AC12B4" w:rsidRDefault="00AC12B4">
            <w:pPr>
              <w:rPr>
                <w:sz w:val="11"/>
                <w:szCs w:val="11"/>
              </w:rPr>
            </w:pPr>
          </w:p>
        </w:tc>
        <w:tc>
          <w:tcPr>
            <w:tcW w:w="20" w:type="dxa"/>
            <w:vAlign w:val="bottom"/>
          </w:tcPr>
          <w:p w:rsidR="00AC12B4" w:rsidRDefault="00AC12B4">
            <w:pPr>
              <w:rPr>
                <w:sz w:val="11"/>
                <w:szCs w:val="11"/>
              </w:rPr>
            </w:pPr>
          </w:p>
        </w:tc>
        <w:tc>
          <w:tcPr>
            <w:tcW w:w="730" w:type="dxa"/>
            <w:shd w:val="clear" w:color="auto" w:fill="DBE5F1"/>
            <w:vAlign w:val="bottom"/>
          </w:tcPr>
          <w:p w:rsidR="00AC12B4" w:rsidRDefault="00AC12B4">
            <w:pPr>
              <w:rPr>
                <w:sz w:val="11"/>
                <w:szCs w:val="11"/>
              </w:rPr>
            </w:pPr>
          </w:p>
        </w:tc>
        <w:tc>
          <w:tcPr>
            <w:tcW w:w="860" w:type="dxa"/>
            <w:shd w:val="clear" w:color="auto" w:fill="DBE5F1"/>
            <w:vAlign w:val="bottom"/>
          </w:tcPr>
          <w:p w:rsidR="00AC12B4" w:rsidRDefault="00AC12B4">
            <w:pPr>
              <w:rPr>
                <w:sz w:val="11"/>
                <w:szCs w:val="11"/>
              </w:rPr>
            </w:pPr>
          </w:p>
        </w:tc>
        <w:tc>
          <w:tcPr>
            <w:tcW w:w="510" w:type="dxa"/>
            <w:shd w:val="clear" w:color="auto" w:fill="DBE5F1"/>
            <w:vAlign w:val="bottom"/>
          </w:tcPr>
          <w:p w:rsidR="00AC12B4" w:rsidRDefault="00AC12B4">
            <w:pPr>
              <w:rPr>
                <w:sz w:val="11"/>
                <w:szCs w:val="11"/>
              </w:rPr>
            </w:pPr>
          </w:p>
        </w:tc>
      </w:tr>
      <w:tr w:rsidR="00AC12B4">
        <w:trPr>
          <w:trHeight w:val="260"/>
        </w:trPr>
        <w:tc>
          <w:tcPr>
            <w:tcW w:w="20" w:type="dxa"/>
            <w:vAlign w:val="bottom"/>
          </w:tcPr>
          <w:p w:rsidR="00AC12B4" w:rsidRDefault="00AC12B4"/>
        </w:tc>
        <w:tc>
          <w:tcPr>
            <w:tcW w:w="1255" w:type="dxa"/>
            <w:vAlign w:val="bottom"/>
          </w:tcPr>
          <w:p w:rsidR="00AC12B4" w:rsidRDefault="00C27636">
            <w:pPr>
              <w:spacing w:line="260" w:lineRule="exact"/>
              <w:ind w:left="100"/>
              <w:rPr>
                <w:sz w:val="20"/>
                <w:szCs w:val="20"/>
              </w:rPr>
            </w:pPr>
            <w:r>
              <w:rPr>
                <w:rFonts w:ascii="Calibri" w:eastAsia="Calibri" w:hAnsi="Calibri" w:cs="Calibri"/>
                <w:b/>
                <w:bCs/>
                <w:i/>
                <w:iCs/>
                <w:color w:val="4BACC6"/>
              </w:rPr>
              <w:t>2010-2011</w:t>
            </w:r>
          </w:p>
        </w:tc>
        <w:tc>
          <w:tcPr>
            <w:tcW w:w="725" w:type="dxa"/>
            <w:vAlign w:val="bottom"/>
          </w:tcPr>
          <w:p w:rsidR="00AC12B4" w:rsidRDefault="00C27636">
            <w:pPr>
              <w:spacing w:line="260" w:lineRule="exact"/>
              <w:ind w:left="305"/>
              <w:rPr>
                <w:sz w:val="20"/>
                <w:szCs w:val="20"/>
              </w:rPr>
            </w:pPr>
            <w:r>
              <w:rPr>
                <w:rFonts w:ascii="Calibri" w:eastAsia="Calibri" w:hAnsi="Calibri" w:cs="Calibri"/>
                <w:color w:val="31849B"/>
              </w:rPr>
              <w:t>X</w:t>
            </w:r>
          </w:p>
        </w:tc>
        <w:tc>
          <w:tcPr>
            <w:tcW w:w="20" w:type="dxa"/>
            <w:vAlign w:val="bottom"/>
          </w:tcPr>
          <w:p w:rsidR="00AC12B4" w:rsidRDefault="00AC12B4"/>
        </w:tc>
        <w:tc>
          <w:tcPr>
            <w:tcW w:w="730" w:type="dxa"/>
            <w:vAlign w:val="bottom"/>
          </w:tcPr>
          <w:p w:rsidR="00AC12B4" w:rsidRDefault="00C27636">
            <w:pPr>
              <w:spacing w:line="260" w:lineRule="exact"/>
              <w:ind w:left="300"/>
              <w:rPr>
                <w:sz w:val="20"/>
                <w:szCs w:val="20"/>
              </w:rPr>
            </w:pPr>
            <w:r>
              <w:rPr>
                <w:rFonts w:ascii="Calibri" w:eastAsia="Calibri" w:hAnsi="Calibri" w:cs="Calibri"/>
                <w:color w:val="31849B"/>
              </w:rPr>
              <w:t>X</w:t>
            </w:r>
          </w:p>
        </w:tc>
        <w:tc>
          <w:tcPr>
            <w:tcW w:w="860" w:type="dxa"/>
            <w:vAlign w:val="bottom"/>
          </w:tcPr>
          <w:p w:rsidR="00AC12B4" w:rsidRDefault="00C27636">
            <w:pPr>
              <w:ind w:left="130"/>
              <w:rPr>
                <w:sz w:val="20"/>
                <w:szCs w:val="20"/>
              </w:rPr>
            </w:pPr>
            <w:r>
              <w:rPr>
                <w:rFonts w:ascii="Calibri" w:eastAsia="Calibri" w:hAnsi="Calibri" w:cs="Calibri"/>
                <w:color w:val="31849B"/>
                <w:sz w:val="18"/>
                <w:szCs w:val="18"/>
              </w:rPr>
              <w:t>inconnu</w:t>
            </w:r>
          </w:p>
        </w:tc>
        <w:tc>
          <w:tcPr>
            <w:tcW w:w="510" w:type="dxa"/>
            <w:vAlign w:val="bottom"/>
          </w:tcPr>
          <w:p w:rsidR="00AC12B4" w:rsidRDefault="00C27636">
            <w:pPr>
              <w:spacing w:line="260" w:lineRule="exact"/>
              <w:jc w:val="center"/>
              <w:rPr>
                <w:sz w:val="20"/>
                <w:szCs w:val="20"/>
              </w:rPr>
            </w:pPr>
            <w:r>
              <w:rPr>
                <w:rFonts w:ascii="Calibri" w:eastAsia="Calibri" w:hAnsi="Calibri" w:cs="Calibri"/>
                <w:color w:val="31849B"/>
              </w:rPr>
              <w:t>X</w:t>
            </w:r>
          </w:p>
        </w:tc>
      </w:tr>
      <w:tr w:rsidR="00AC12B4">
        <w:trPr>
          <w:trHeight w:val="386"/>
        </w:trPr>
        <w:tc>
          <w:tcPr>
            <w:tcW w:w="20" w:type="dxa"/>
            <w:vAlign w:val="bottom"/>
          </w:tcPr>
          <w:p w:rsidR="00AC12B4" w:rsidRDefault="00AC12B4">
            <w:pPr>
              <w:rPr>
                <w:sz w:val="24"/>
                <w:szCs w:val="24"/>
              </w:rPr>
            </w:pPr>
          </w:p>
        </w:tc>
        <w:tc>
          <w:tcPr>
            <w:tcW w:w="1980" w:type="dxa"/>
            <w:gridSpan w:val="2"/>
            <w:vAlign w:val="bottom"/>
          </w:tcPr>
          <w:p w:rsidR="00AC12B4" w:rsidRDefault="00C27636">
            <w:pPr>
              <w:ind w:left="100"/>
              <w:rPr>
                <w:sz w:val="20"/>
                <w:szCs w:val="20"/>
              </w:rPr>
            </w:pPr>
            <w:r>
              <w:rPr>
                <w:rFonts w:ascii="Calibri" w:eastAsia="Calibri" w:hAnsi="Calibri" w:cs="Calibri"/>
                <w:b/>
                <w:bCs/>
                <w:i/>
                <w:iCs/>
                <w:color w:val="4BACC6"/>
              </w:rPr>
              <w:t xml:space="preserve">2012-2013   </w:t>
            </w:r>
            <w:r>
              <w:rPr>
                <w:rFonts w:ascii="Calibri" w:eastAsia="Calibri" w:hAnsi="Calibri" w:cs="Calibri"/>
                <w:color w:val="31849B"/>
              </w:rPr>
              <w:t>0.16%</w:t>
            </w:r>
          </w:p>
        </w:tc>
        <w:tc>
          <w:tcPr>
            <w:tcW w:w="20" w:type="dxa"/>
            <w:vAlign w:val="bottom"/>
          </w:tcPr>
          <w:p w:rsidR="00AC12B4" w:rsidRDefault="00AC12B4">
            <w:pPr>
              <w:rPr>
                <w:sz w:val="24"/>
                <w:szCs w:val="24"/>
              </w:rPr>
            </w:pPr>
          </w:p>
        </w:tc>
        <w:tc>
          <w:tcPr>
            <w:tcW w:w="730" w:type="dxa"/>
            <w:vAlign w:val="bottom"/>
          </w:tcPr>
          <w:p w:rsidR="00AC12B4" w:rsidRDefault="00C27636">
            <w:pPr>
              <w:ind w:left="300"/>
              <w:rPr>
                <w:sz w:val="20"/>
                <w:szCs w:val="20"/>
              </w:rPr>
            </w:pPr>
            <w:r>
              <w:rPr>
                <w:rFonts w:ascii="Calibri" w:eastAsia="Calibri" w:hAnsi="Calibri" w:cs="Calibri"/>
                <w:color w:val="31849B"/>
              </w:rPr>
              <w:t>X</w:t>
            </w:r>
          </w:p>
        </w:tc>
        <w:tc>
          <w:tcPr>
            <w:tcW w:w="860" w:type="dxa"/>
            <w:vAlign w:val="bottom"/>
          </w:tcPr>
          <w:p w:rsidR="00AC12B4" w:rsidRDefault="00C27636">
            <w:pPr>
              <w:ind w:left="110"/>
              <w:rPr>
                <w:sz w:val="20"/>
                <w:szCs w:val="20"/>
              </w:rPr>
            </w:pPr>
            <w:r>
              <w:rPr>
                <w:rFonts w:ascii="Calibri" w:eastAsia="Calibri" w:hAnsi="Calibri" w:cs="Calibri"/>
                <w:color w:val="31849B"/>
                <w:sz w:val="18"/>
                <w:szCs w:val="18"/>
              </w:rPr>
              <w:t>inconnu</w:t>
            </w:r>
          </w:p>
        </w:tc>
        <w:tc>
          <w:tcPr>
            <w:tcW w:w="510" w:type="dxa"/>
            <w:vAlign w:val="bottom"/>
          </w:tcPr>
          <w:p w:rsidR="00AC12B4" w:rsidRDefault="00C27636">
            <w:pPr>
              <w:jc w:val="center"/>
              <w:rPr>
                <w:sz w:val="20"/>
                <w:szCs w:val="20"/>
              </w:rPr>
            </w:pPr>
            <w:r>
              <w:rPr>
                <w:rFonts w:ascii="Calibri" w:eastAsia="Calibri" w:hAnsi="Calibri" w:cs="Calibri"/>
                <w:color w:val="31849B"/>
                <w:w w:val="87"/>
              </w:rPr>
              <w:t>X</w:t>
            </w:r>
          </w:p>
        </w:tc>
      </w:tr>
      <w:tr w:rsidR="00AC12B4">
        <w:trPr>
          <w:trHeight w:val="389"/>
        </w:trPr>
        <w:tc>
          <w:tcPr>
            <w:tcW w:w="20" w:type="dxa"/>
            <w:vAlign w:val="bottom"/>
          </w:tcPr>
          <w:p w:rsidR="00AC12B4" w:rsidRDefault="00AC12B4">
            <w:pPr>
              <w:rPr>
                <w:sz w:val="24"/>
                <w:szCs w:val="24"/>
              </w:rPr>
            </w:pPr>
          </w:p>
        </w:tc>
        <w:tc>
          <w:tcPr>
            <w:tcW w:w="1255" w:type="dxa"/>
            <w:vAlign w:val="bottom"/>
          </w:tcPr>
          <w:p w:rsidR="00AC12B4" w:rsidRDefault="00C27636">
            <w:pPr>
              <w:ind w:left="100"/>
              <w:rPr>
                <w:sz w:val="20"/>
                <w:szCs w:val="20"/>
              </w:rPr>
            </w:pPr>
            <w:r>
              <w:rPr>
                <w:rFonts w:ascii="Calibri" w:eastAsia="Calibri" w:hAnsi="Calibri" w:cs="Calibri"/>
                <w:b/>
                <w:bCs/>
                <w:i/>
                <w:iCs/>
                <w:color w:val="4BACC6"/>
              </w:rPr>
              <w:t>2014-2015</w:t>
            </w:r>
          </w:p>
        </w:tc>
        <w:tc>
          <w:tcPr>
            <w:tcW w:w="725" w:type="dxa"/>
            <w:vAlign w:val="bottom"/>
          </w:tcPr>
          <w:p w:rsidR="00AC12B4" w:rsidRDefault="00C27636">
            <w:pPr>
              <w:ind w:left="305"/>
              <w:rPr>
                <w:sz w:val="20"/>
                <w:szCs w:val="20"/>
              </w:rPr>
            </w:pPr>
            <w:r>
              <w:rPr>
                <w:rFonts w:ascii="Calibri" w:eastAsia="Calibri" w:hAnsi="Calibri" w:cs="Calibri"/>
                <w:color w:val="31849B"/>
              </w:rPr>
              <w:t>X</w:t>
            </w:r>
          </w:p>
        </w:tc>
        <w:tc>
          <w:tcPr>
            <w:tcW w:w="20" w:type="dxa"/>
            <w:vAlign w:val="bottom"/>
          </w:tcPr>
          <w:p w:rsidR="00AC12B4" w:rsidRDefault="00AC12B4">
            <w:pPr>
              <w:rPr>
                <w:sz w:val="24"/>
                <w:szCs w:val="24"/>
              </w:rPr>
            </w:pPr>
          </w:p>
        </w:tc>
        <w:tc>
          <w:tcPr>
            <w:tcW w:w="730" w:type="dxa"/>
            <w:vAlign w:val="bottom"/>
          </w:tcPr>
          <w:p w:rsidR="00AC12B4" w:rsidRDefault="00C27636">
            <w:pPr>
              <w:ind w:left="300"/>
              <w:rPr>
                <w:sz w:val="20"/>
                <w:szCs w:val="20"/>
              </w:rPr>
            </w:pPr>
            <w:r>
              <w:rPr>
                <w:rFonts w:ascii="Calibri" w:eastAsia="Calibri" w:hAnsi="Calibri" w:cs="Calibri"/>
                <w:color w:val="31849B"/>
              </w:rPr>
              <w:t>X</w:t>
            </w:r>
          </w:p>
        </w:tc>
        <w:tc>
          <w:tcPr>
            <w:tcW w:w="860" w:type="dxa"/>
            <w:vAlign w:val="bottom"/>
          </w:tcPr>
          <w:p w:rsidR="00AC12B4" w:rsidRDefault="00C27636">
            <w:pPr>
              <w:ind w:left="130"/>
              <w:rPr>
                <w:sz w:val="20"/>
                <w:szCs w:val="20"/>
              </w:rPr>
            </w:pPr>
            <w:r>
              <w:rPr>
                <w:rFonts w:ascii="Calibri" w:eastAsia="Calibri" w:hAnsi="Calibri" w:cs="Calibri"/>
                <w:color w:val="31849B"/>
                <w:sz w:val="18"/>
                <w:szCs w:val="18"/>
              </w:rPr>
              <w:t>inconnu</w:t>
            </w:r>
          </w:p>
        </w:tc>
        <w:tc>
          <w:tcPr>
            <w:tcW w:w="510" w:type="dxa"/>
            <w:vAlign w:val="bottom"/>
          </w:tcPr>
          <w:p w:rsidR="00AC12B4" w:rsidRDefault="00C27636">
            <w:pPr>
              <w:jc w:val="center"/>
              <w:rPr>
                <w:sz w:val="20"/>
                <w:szCs w:val="20"/>
              </w:rPr>
            </w:pPr>
            <w:r>
              <w:rPr>
                <w:rFonts w:ascii="Calibri" w:eastAsia="Calibri" w:hAnsi="Calibri" w:cs="Calibri"/>
                <w:color w:val="31849B"/>
              </w:rPr>
              <w:t>X</w:t>
            </w:r>
          </w:p>
        </w:tc>
      </w:tr>
      <w:tr w:rsidR="00AC12B4">
        <w:trPr>
          <w:trHeight w:val="131"/>
        </w:trPr>
        <w:tc>
          <w:tcPr>
            <w:tcW w:w="20" w:type="dxa"/>
            <w:tcBorders>
              <w:bottom w:val="single" w:sz="8" w:space="0" w:color="4BACC6"/>
            </w:tcBorders>
            <w:vAlign w:val="bottom"/>
          </w:tcPr>
          <w:p w:rsidR="00AC12B4" w:rsidRDefault="00AC12B4">
            <w:pPr>
              <w:rPr>
                <w:sz w:val="11"/>
                <w:szCs w:val="11"/>
              </w:rPr>
            </w:pPr>
          </w:p>
        </w:tc>
        <w:tc>
          <w:tcPr>
            <w:tcW w:w="1255" w:type="dxa"/>
            <w:tcBorders>
              <w:bottom w:val="single" w:sz="8" w:space="0" w:color="4BACC6"/>
            </w:tcBorders>
            <w:vAlign w:val="bottom"/>
          </w:tcPr>
          <w:p w:rsidR="00AC12B4" w:rsidRDefault="00AC12B4">
            <w:pPr>
              <w:rPr>
                <w:sz w:val="11"/>
                <w:szCs w:val="11"/>
              </w:rPr>
            </w:pPr>
          </w:p>
        </w:tc>
        <w:tc>
          <w:tcPr>
            <w:tcW w:w="725" w:type="dxa"/>
            <w:tcBorders>
              <w:bottom w:val="single" w:sz="8" w:space="0" w:color="4BACC6"/>
            </w:tcBorders>
            <w:vAlign w:val="bottom"/>
          </w:tcPr>
          <w:p w:rsidR="00AC12B4" w:rsidRDefault="00AC12B4">
            <w:pPr>
              <w:rPr>
                <w:sz w:val="11"/>
                <w:szCs w:val="11"/>
              </w:rPr>
            </w:pPr>
          </w:p>
        </w:tc>
        <w:tc>
          <w:tcPr>
            <w:tcW w:w="20" w:type="dxa"/>
            <w:tcBorders>
              <w:bottom w:val="single" w:sz="8" w:space="0" w:color="4BACC6"/>
            </w:tcBorders>
            <w:vAlign w:val="bottom"/>
          </w:tcPr>
          <w:p w:rsidR="00AC12B4" w:rsidRDefault="00AC12B4">
            <w:pPr>
              <w:rPr>
                <w:sz w:val="11"/>
                <w:szCs w:val="11"/>
              </w:rPr>
            </w:pPr>
          </w:p>
        </w:tc>
        <w:tc>
          <w:tcPr>
            <w:tcW w:w="730" w:type="dxa"/>
            <w:tcBorders>
              <w:bottom w:val="single" w:sz="8" w:space="0" w:color="4BACC6"/>
            </w:tcBorders>
            <w:vAlign w:val="bottom"/>
          </w:tcPr>
          <w:p w:rsidR="00AC12B4" w:rsidRDefault="00AC12B4">
            <w:pPr>
              <w:rPr>
                <w:sz w:val="11"/>
                <w:szCs w:val="11"/>
              </w:rPr>
            </w:pPr>
          </w:p>
        </w:tc>
        <w:tc>
          <w:tcPr>
            <w:tcW w:w="860" w:type="dxa"/>
            <w:tcBorders>
              <w:bottom w:val="single" w:sz="8" w:space="0" w:color="4BACC6"/>
            </w:tcBorders>
            <w:vAlign w:val="bottom"/>
          </w:tcPr>
          <w:p w:rsidR="00AC12B4" w:rsidRDefault="00AC12B4">
            <w:pPr>
              <w:rPr>
                <w:sz w:val="11"/>
                <w:szCs w:val="11"/>
              </w:rPr>
            </w:pPr>
          </w:p>
        </w:tc>
        <w:tc>
          <w:tcPr>
            <w:tcW w:w="510" w:type="dxa"/>
            <w:tcBorders>
              <w:bottom w:val="single" w:sz="8" w:space="0" w:color="4BACC6"/>
            </w:tcBorders>
            <w:vAlign w:val="bottom"/>
          </w:tcPr>
          <w:p w:rsidR="00AC12B4" w:rsidRDefault="00AC12B4">
            <w:pPr>
              <w:rPr>
                <w:sz w:val="11"/>
                <w:szCs w:val="11"/>
              </w:rPr>
            </w:pPr>
          </w:p>
        </w:tc>
      </w:tr>
    </w:tbl>
    <w:p w:rsidR="00AC12B4" w:rsidRDefault="00AC12B4">
      <w:pPr>
        <w:spacing w:line="200" w:lineRule="exact"/>
        <w:rPr>
          <w:sz w:val="20"/>
          <w:szCs w:val="20"/>
        </w:rPr>
      </w:pPr>
    </w:p>
    <w:p w:rsidR="00AC12B4" w:rsidRDefault="00AC12B4">
      <w:pPr>
        <w:spacing w:line="227" w:lineRule="exact"/>
        <w:rPr>
          <w:sz w:val="20"/>
          <w:szCs w:val="20"/>
        </w:rPr>
      </w:pPr>
    </w:p>
    <w:p w:rsidR="00AC12B4" w:rsidRPr="00C27636" w:rsidRDefault="00C27636">
      <w:pPr>
        <w:spacing w:line="229" w:lineRule="auto"/>
        <w:ind w:left="120" w:right="737"/>
        <w:jc w:val="both"/>
        <w:rPr>
          <w:sz w:val="20"/>
          <w:szCs w:val="20"/>
          <w:lang w:val="fr-BE"/>
        </w:rPr>
      </w:pPr>
      <w:r w:rsidRPr="00C27636">
        <w:rPr>
          <w:rFonts w:ascii="Calibri" w:eastAsia="Calibri" w:hAnsi="Calibri" w:cs="Calibri"/>
          <w:lang w:val="fr-BE"/>
        </w:rPr>
        <w:t>La FWB et la Communauté germanophone n’ont pu transmettre d’informations sur le pourcentage d’enfants dont la scolarisation n’est pas certaine.</w:t>
      </w:r>
    </w:p>
    <w:p w:rsidR="00AC12B4" w:rsidRPr="00C27636" w:rsidRDefault="00AC12B4">
      <w:pPr>
        <w:spacing w:line="200" w:lineRule="exact"/>
        <w:rPr>
          <w:sz w:val="20"/>
          <w:szCs w:val="20"/>
          <w:lang w:val="fr-BE"/>
        </w:rPr>
      </w:pPr>
    </w:p>
    <w:p w:rsidR="00AC12B4" w:rsidRPr="00C27636" w:rsidRDefault="00AC12B4">
      <w:pPr>
        <w:rPr>
          <w:lang w:val="fr-BE"/>
        </w:rPr>
        <w:sectPr w:rsidR="00AC12B4" w:rsidRPr="00C27636">
          <w:pgSz w:w="12080" w:h="17179"/>
          <w:pgMar w:top="1440" w:right="1440" w:bottom="659" w:left="497" w:header="0" w:footer="0" w:gutter="0"/>
          <w:cols w:num="2" w:space="720" w:equalWidth="0">
            <w:col w:w="5063" w:space="340"/>
            <w:col w:w="473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2"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à l’enseignement</w:t>
            </w:r>
          </w:p>
        </w:tc>
      </w:tr>
    </w:tbl>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86" w:lineRule="exact"/>
        <w:rPr>
          <w:sz w:val="20"/>
          <w:szCs w:val="20"/>
        </w:rPr>
      </w:pPr>
    </w:p>
    <w:p w:rsidR="00AC12B4" w:rsidRPr="00C27636" w:rsidRDefault="00C27636">
      <w:pPr>
        <w:spacing w:line="232" w:lineRule="auto"/>
        <w:jc w:val="both"/>
        <w:rPr>
          <w:sz w:val="20"/>
          <w:szCs w:val="20"/>
          <w:lang w:val="fr-BE"/>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Chiffres incomplets car les écoles privées (dont les écoles européennes) n’ont aucune obligation légale de fournir aux administrations des données relatives à des jeunes qui ne sont pas en âge d’obligation scolaire. En outre, certains enfants sont scolari</w:t>
      </w:r>
      <w:r w:rsidRPr="00C27636">
        <w:rPr>
          <w:rFonts w:ascii="Calibri" w:eastAsia="Calibri" w:hAnsi="Calibri" w:cs="Calibri"/>
          <w:sz w:val="20"/>
          <w:szCs w:val="20"/>
          <w:lang w:val="fr-BE"/>
        </w:rPr>
        <w:t>sés dans une autre Communauté ou dans un pays voisin.</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06528" behindDoc="1" locked="0" layoutInCell="0" allowOverlap="1">
                <wp:simplePos x="0" y="0"/>
                <wp:positionH relativeFrom="column">
                  <wp:posOffset>0</wp:posOffset>
                </wp:positionH>
                <wp:positionV relativeFrom="paragraph">
                  <wp:posOffset>-1226820</wp:posOffset>
                </wp:positionV>
                <wp:extent cx="1828800" cy="0"/>
                <wp:effectExtent l="0" t="0" r="0" b="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6.5999pt" to="144pt,-96.5999pt" o:allowincell="f" strokecolor="#000000" strokeweight="0.72pt"/>
            </w:pict>
          </mc:Fallback>
        </mc:AlternateContent>
      </w:r>
    </w:p>
    <w:p w:rsidR="00AC12B4" w:rsidRPr="00C27636" w:rsidRDefault="00AC12B4">
      <w:pPr>
        <w:spacing w:line="98" w:lineRule="exact"/>
        <w:rPr>
          <w:sz w:val="20"/>
          <w:szCs w:val="20"/>
          <w:lang w:val="fr-BE"/>
        </w:rPr>
      </w:pPr>
    </w:p>
    <w:p w:rsidR="00AC12B4" w:rsidRPr="00C27636" w:rsidRDefault="00C27636">
      <w:pPr>
        <w:spacing w:line="214" w:lineRule="auto"/>
        <w:jc w:val="both"/>
        <w:rPr>
          <w:sz w:val="20"/>
          <w:szCs w:val="20"/>
          <w:lang w:val="nl-NL"/>
        </w:rPr>
      </w:pPr>
      <w:r w:rsidRPr="00C27636">
        <w:rPr>
          <w:rFonts w:ascii="Calibri" w:eastAsia="Calibri" w:hAnsi="Calibri" w:cs="Calibri"/>
          <w:sz w:val="25"/>
          <w:szCs w:val="25"/>
          <w:vertAlign w:val="superscript"/>
          <w:lang w:val="nl-NL"/>
        </w:rPr>
        <w:t>2</w:t>
      </w:r>
      <w:r w:rsidRPr="00C27636">
        <w:rPr>
          <w:rFonts w:ascii="Calibri" w:eastAsia="Calibri" w:hAnsi="Calibri" w:cs="Calibri"/>
          <w:sz w:val="20"/>
          <w:szCs w:val="20"/>
          <w:lang w:val="nl-NL"/>
        </w:rPr>
        <w:t xml:space="preserve"> Onderzoeksinstituut voor Arbeid en Samenleving, KU Leuven.</w:t>
      </w:r>
    </w:p>
    <w:p w:rsidR="00AC12B4" w:rsidRPr="00C27636" w:rsidRDefault="00AC12B4">
      <w:pPr>
        <w:spacing w:line="41" w:lineRule="exact"/>
        <w:rPr>
          <w:sz w:val="20"/>
          <w:szCs w:val="20"/>
          <w:lang w:val="nl-NL"/>
        </w:rPr>
      </w:pPr>
    </w:p>
    <w:p w:rsidR="00AC12B4" w:rsidRPr="00C27636" w:rsidRDefault="00C27636">
      <w:pPr>
        <w:numPr>
          <w:ilvl w:val="0"/>
          <w:numId w:val="170"/>
        </w:numPr>
        <w:tabs>
          <w:tab w:val="left" w:pos="140"/>
        </w:tabs>
        <w:ind w:left="140" w:hanging="140"/>
        <w:rPr>
          <w:rFonts w:ascii="Calibri" w:eastAsia="Calibri" w:hAnsi="Calibri" w:cs="Calibri"/>
          <w:sz w:val="28"/>
          <w:szCs w:val="28"/>
          <w:vertAlign w:val="superscript"/>
          <w:lang w:val="fr-BE"/>
        </w:rPr>
      </w:pPr>
      <w:r w:rsidRPr="00C27636">
        <w:rPr>
          <w:rFonts w:ascii="Calibri" w:eastAsia="Calibri" w:hAnsi="Calibri" w:cs="Calibri"/>
          <w:sz w:val="20"/>
          <w:szCs w:val="20"/>
          <w:lang w:val="fr-BE"/>
        </w:rPr>
        <w:t>Voir le renvoi à l’enquête de la HIVA dans:</w:t>
      </w:r>
    </w:p>
    <w:p w:rsidR="00AC12B4" w:rsidRPr="00C27636" w:rsidRDefault="00AC12B4">
      <w:pPr>
        <w:spacing w:line="54" w:lineRule="exact"/>
        <w:rPr>
          <w:rFonts w:ascii="Calibri" w:eastAsia="Calibri" w:hAnsi="Calibri" w:cs="Calibri"/>
          <w:sz w:val="28"/>
          <w:szCs w:val="28"/>
          <w:vertAlign w:val="superscript"/>
          <w:lang w:val="fr-BE"/>
        </w:rPr>
      </w:pPr>
    </w:p>
    <w:p w:rsidR="00AC12B4" w:rsidRPr="00C27636" w:rsidRDefault="00C27636">
      <w:pPr>
        <w:spacing w:line="247" w:lineRule="auto"/>
        <w:ind w:right="20"/>
        <w:rPr>
          <w:rFonts w:ascii="Calibri" w:eastAsia="Calibri" w:hAnsi="Calibri" w:cs="Calibri"/>
          <w:sz w:val="28"/>
          <w:szCs w:val="28"/>
          <w:vertAlign w:val="superscript"/>
          <w:lang w:val="nl-NL"/>
        </w:rPr>
      </w:pPr>
      <w:r w:rsidRPr="00C27636">
        <w:rPr>
          <w:rFonts w:ascii="Calibri" w:eastAsia="Calibri" w:hAnsi="Calibri" w:cs="Calibri"/>
          <w:sz w:val="19"/>
          <w:szCs w:val="19"/>
          <w:lang w:val="nl-NL"/>
        </w:rPr>
        <w:t xml:space="preserve">Vlaamse overheid, Agentschap voor Binnenlands Bestuur, </w:t>
      </w:r>
      <w:r w:rsidRPr="00C27636">
        <w:rPr>
          <w:rFonts w:ascii="Calibri" w:eastAsia="Calibri" w:hAnsi="Calibri" w:cs="Calibri"/>
          <w:i/>
          <w:iCs/>
          <w:sz w:val="19"/>
          <w:szCs w:val="19"/>
          <w:lang w:val="nl-NL"/>
        </w:rPr>
        <w:t>Strategisch plan</w:t>
      </w:r>
      <w:r w:rsidRPr="00C27636">
        <w:rPr>
          <w:rFonts w:ascii="Calibri" w:eastAsia="Calibri" w:hAnsi="Calibri" w:cs="Calibri"/>
          <w:sz w:val="19"/>
          <w:szCs w:val="19"/>
          <w:lang w:val="nl-NL"/>
        </w:rPr>
        <w:t xml:space="preserve"> </w:t>
      </w:r>
      <w:r w:rsidRPr="00C27636">
        <w:rPr>
          <w:rFonts w:ascii="Calibri" w:eastAsia="Calibri" w:hAnsi="Calibri" w:cs="Calibri"/>
          <w:i/>
          <w:iCs/>
          <w:sz w:val="19"/>
          <w:szCs w:val="19"/>
          <w:lang w:val="nl-NL"/>
        </w:rPr>
        <w:t xml:space="preserve">woonwagenbewoners </w:t>
      </w:r>
      <w:r w:rsidRPr="00C27636">
        <w:rPr>
          <w:rFonts w:ascii="Calibri" w:eastAsia="Calibri" w:hAnsi="Calibri" w:cs="Calibri"/>
          <w:i/>
          <w:iCs/>
          <w:sz w:val="19"/>
          <w:szCs w:val="19"/>
          <w:lang w:val="nl-NL"/>
        </w:rPr>
        <w:t>2012-2015, in uitvoering van het Vlaams Integratiebeleid, deel 2</w:t>
      </w:r>
      <w:r w:rsidRPr="00C27636">
        <w:rPr>
          <w:rFonts w:ascii="Calibri" w:eastAsia="Calibri" w:hAnsi="Calibri" w:cs="Calibri"/>
          <w:sz w:val="19"/>
          <w:szCs w:val="19"/>
          <w:lang w:val="nl-NL"/>
        </w:rPr>
        <w:t>, 2012,</w:t>
      </w:r>
      <w:r w:rsidRPr="00C27636">
        <w:rPr>
          <w:rFonts w:ascii="Calibri" w:eastAsia="Calibri" w:hAnsi="Calibri" w:cs="Calibri"/>
          <w:i/>
          <w:iCs/>
          <w:sz w:val="19"/>
          <w:szCs w:val="19"/>
          <w:lang w:val="nl-NL"/>
        </w:rPr>
        <w:t xml:space="preserve"> </w:t>
      </w:r>
      <w:r w:rsidRPr="00C27636">
        <w:rPr>
          <w:rFonts w:ascii="Calibri" w:eastAsia="Calibri" w:hAnsi="Calibri" w:cs="Calibri"/>
          <w:sz w:val="19"/>
          <w:szCs w:val="19"/>
          <w:lang w:val="nl-NL"/>
        </w:rPr>
        <w:t>25, http://www.integratiebeleid.be/sites/default/fi les/bestanden/Strategisch-plan-woonwagenbewoners.pdf.</w:t>
      </w:r>
    </w:p>
    <w:p w:rsidR="00AC12B4" w:rsidRPr="00C27636" w:rsidRDefault="00C27636">
      <w:pPr>
        <w:spacing w:line="20" w:lineRule="exact"/>
        <w:rPr>
          <w:sz w:val="20"/>
          <w:szCs w:val="20"/>
          <w:lang w:val="nl-NL"/>
        </w:rPr>
      </w:pPr>
      <w:r w:rsidRPr="00C27636">
        <w:rPr>
          <w:sz w:val="20"/>
          <w:szCs w:val="20"/>
          <w:lang w:val="nl-NL"/>
        </w:rPr>
        <w:br w:type="column"/>
      </w: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70" w:lineRule="exact"/>
        <w:rPr>
          <w:sz w:val="20"/>
          <w:szCs w:val="20"/>
          <w:lang w:val="nl-NL"/>
        </w:rPr>
      </w:pPr>
    </w:p>
    <w:p w:rsidR="00AC12B4" w:rsidRPr="00C27636" w:rsidRDefault="00C27636">
      <w:pPr>
        <w:jc w:val="center"/>
        <w:rPr>
          <w:sz w:val="20"/>
          <w:szCs w:val="20"/>
          <w:lang w:val="fr-BE"/>
        </w:rPr>
      </w:pPr>
      <w:r w:rsidRPr="00C27636">
        <w:rPr>
          <w:rFonts w:ascii="Calibri" w:eastAsia="Calibri" w:hAnsi="Calibri" w:cs="Calibri"/>
          <w:lang w:val="fr-BE"/>
        </w:rPr>
        <w:lastRenderedPageBreak/>
        <w:t>106</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rPr>
          <w:sz w:val="20"/>
          <w:szCs w:val="20"/>
          <w:lang w:val="fr-BE"/>
        </w:rPr>
      </w:pPr>
      <w:r w:rsidRPr="00C27636">
        <w:rPr>
          <w:rFonts w:ascii="Cambria" w:eastAsia="Cambria" w:hAnsi="Cambria" w:cs="Cambria"/>
          <w:b/>
          <w:bCs/>
          <w:i/>
          <w:iCs/>
          <w:color w:val="44ACE0"/>
          <w:sz w:val="26"/>
          <w:szCs w:val="26"/>
          <w:lang w:val="fr-BE"/>
        </w:rPr>
        <w:t>Iniquité</w:t>
      </w:r>
    </w:p>
    <w:p w:rsidR="00AC12B4" w:rsidRPr="00C27636" w:rsidRDefault="00AC12B4">
      <w:pPr>
        <w:spacing w:line="208"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En Communauté flamande, la </w:t>
      </w:r>
      <w:r w:rsidRPr="00C27636">
        <w:rPr>
          <w:rFonts w:ascii="Calibri" w:eastAsia="Calibri" w:hAnsi="Calibri" w:cs="Calibri"/>
          <w:lang w:val="fr-BE"/>
        </w:rPr>
        <w:t>langue parlée à la maison et le niveau d’éducation de la mère faible sont des facteurs liés à</w:t>
      </w:r>
    </w:p>
    <w:p w:rsidR="00AC12B4" w:rsidRPr="00C27636" w:rsidRDefault="00AC12B4">
      <w:pPr>
        <w:spacing w:line="51"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une inscription tardive dans l’enseignement secondaire. Presque la moitié des enfants inscrits tardivement</w:t>
      </w:r>
    </w:p>
    <w:p w:rsidR="00AC12B4" w:rsidRPr="00C27636" w:rsidRDefault="00AC12B4">
      <w:pPr>
        <w:spacing w:line="51"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dans l’enseignement secondaire proviennent d’une fami</w:t>
      </w:r>
      <w:r w:rsidRPr="00C27636">
        <w:rPr>
          <w:rFonts w:ascii="Calibri" w:eastAsia="Calibri" w:hAnsi="Calibri" w:cs="Calibri"/>
          <w:lang w:val="fr-BE"/>
        </w:rPr>
        <w:t>lle dont la langue parlée à domicile n’est pas le néerlandais.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07552" behindDoc="1" locked="0" layoutInCell="0" allowOverlap="1">
                <wp:simplePos x="0" y="0"/>
                <wp:positionH relativeFrom="column">
                  <wp:posOffset>3175</wp:posOffset>
                </wp:positionH>
                <wp:positionV relativeFrom="paragraph">
                  <wp:posOffset>257810</wp:posOffset>
                </wp:positionV>
                <wp:extent cx="1828800" cy="0"/>
                <wp:effectExtent l="0" t="0" r="0" b="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0.3pt" to="144.25pt,20.3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7" w:lineRule="exact"/>
        <w:rPr>
          <w:sz w:val="20"/>
          <w:szCs w:val="20"/>
          <w:lang w:val="fr-BE"/>
        </w:rPr>
      </w:pPr>
    </w:p>
    <w:p w:rsidR="00AC12B4" w:rsidRDefault="00C27636">
      <w:pPr>
        <w:numPr>
          <w:ilvl w:val="0"/>
          <w:numId w:val="171"/>
        </w:numPr>
        <w:tabs>
          <w:tab w:val="left" w:pos="142"/>
        </w:tabs>
        <w:spacing w:line="230" w:lineRule="auto"/>
        <w:ind w:right="737" w:firstLine="5"/>
        <w:jc w:val="both"/>
        <w:rPr>
          <w:rFonts w:ascii="Calibri" w:eastAsia="Calibri" w:hAnsi="Calibri" w:cs="Calibri"/>
          <w:sz w:val="26"/>
          <w:szCs w:val="26"/>
          <w:vertAlign w:val="superscript"/>
        </w:rPr>
      </w:pPr>
      <w:r w:rsidRPr="00C27636">
        <w:rPr>
          <w:rFonts w:ascii="Calibri" w:eastAsia="Calibri" w:hAnsi="Calibri" w:cs="Calibri"/>
          <w:sz w:val="20"/>
          <w:szCs w:val="20"/>
          <w:lang w:val="fr-BE"/>
        </w:rPr>
        <w:t xml:space="preserve">Il s’agit du % d’enfants inscrits au Registre National qui ne sont pas inscrits pour début février et font donc l’objet d’un suivi interne ou par le parquet, après qu’une invitation </w:t>
      </w:r>
      <w:r w:rsidRPr="00C27636">
        <w:rPr>
          <w:rFonts w:ascii="Calibri" w:eastAsia="Calibri" w:hAnsi="Calibri" w:cs="Calibri"/>
          <w:sz w:val="20"/>
          <w:szCs w:val="20"/>
          <w:lang w:val="fr-BE"/>
        </w:rPr>
        <w:t xml:space="preserve">d’explications aux parents et/ou à la commune n’ait pas aboutie. En Communauté germanophone, le contrôle de l’obligation scolaire n’est pas informatisé, il se fait manuellement. Cette méthode prend beaucoup de temps et il n’est pas possible de réaliser ce </w:t>
      </w:r>
      <w:r w:rsidRPr="00C27636">
        <w:rPr>
          <w:rFonts w:ascii="Calibri" w:eastAsia="Calibri" w:hAnsi="Calibri" w:cs="Calibri"/>
          <w:sz w:val="20"/>
          <w:szCs w:val="20"/>
          <w:lang w:val="fr-BE"/>
        </w:rPr>
        <w:t xml:space="preserve">contrôle chaque année. </w:t>
      </w:r>
      <w:r>
        <w:rPr>
          <w:rFonts w:ascii="Calibri" w:eastAsia="Calibri" w:hAnsi="Calibri" w:cs="Calibri"/>
          <w:sz w:val="20"/>
          <w:szCs w:val="20"/>
        </w:rPr>
        <w:t>On travaille à une solution digitale.</w:t>
      </w:r>
    </w:p>
    <w:p w:rsidR="00AC12B4" w:rsidRDefault="00AC12B4">
      <w:pPr>
        <w:sectPr w:rsidR="00AC12B4">
          <w:type w:val="continuous"/>
          <w:pgSz w:w="12080" w:h="17179"/>
          <w:pgMar w:top="1440" w:right="1440" w:bottom="659" w:left="497" w:header="0" w:footer="0" w:gutter="0"/>
          <w:cols w:num="4" w:space="720" w:equalWidth="0">
            <w:col w:w="342" w:space="601"/>
            <w:col w:w="3880" w:space="180"/>
            <w:col w:w="340" w:space="180"/>
            <w:col w:w="4617"/>
          </w:cols>
        </w:sectPr>
      </w:pPr>
    </w:p>
    <w:p w:rsidR="00AC12B4" w:rsidRDefault="00AC12B4">
      <w:pPr>
        <w:spacing w:line="212" w:lineRule="exact"/>
        <w:rPr>
          <w:sz w:val="20"/>
          <w:szCs w:val="20"/>
        </w:rPr>
      </w:pPr>
      <w:bookmarkStart w:id="106" w:name="page107"/>
      <w:bookmarkEnd w:id="106"/>
    </w:p>
    <w:p w:rsidR="00AC12B4" w:rsidRPr="00C27636" w:rsidRDefault="00C27636">
      <w:pPr>
        <w:spacing w:line="225" w:lineRule="auto"/>
        <w:ind w:left="560" w:right="520"/>
        <w:jc w:val="both"/>
        <w:rPr>
          <w:sz w:val="20"/>
          <w:szCs w:val="20"/>
          <w:lang w:val="fr-BE"/>
        </w:rPr>
      </w:pPr>
      <w:r w:rsidRPr="00C27636">
        <w:rPr>
          <w:rFonts w:ascii="Calibri" w:eastAsia="Calibri" w:hAnsi="Calibri" w:cs="Calibri"/>
          <w:lang w:val="fr-BE"/>
        </w:rPr>
        <w:t>Nous ne disposons malheureusement pas de telles données pour les autres Communautés.</w:t>
      </w:r>
    </w:p>
    <w:p w:rsidR="00AC12B4" w:rsidRPr="00C27636" w:rsidRDefault="00AC12B4">
      <w:pPr>
        <w:spacing w:line="208" w:lineRule="exact"/>
        <w:rPr>
          <w:sz w:val="20"/>
          <w:szCs w:val="20"/>
          <w:lang w:val="fr-BE"/>
        </w:rPr>
      </w:pPr>
    </w:p>
    <w:p w:rsidR="00AC12B4" w:rsidRPr="00C27636" w:rsidRDefault="00C27636">
      <w:pPr>
        <w:ind w:left="620"/>
        <w:rPr>
          <w:sz w:val="20"/>
          <w:szCs w:val="20"/>
          <w:lang w:val="fr-BE"/>
        </w:rPr>
      </w:pPr>
      <w:r w:rsidRPr="00C27636">
        <w:rPr>
          <w:rFonts w:ascii="Cambria" w:eastAsia="Cambria" w:hAnsi="Cambria" w:cs="Cambria"/>
          <w:b/>
          <w:bCs/>
          <w:i/>
          <w:iCs/>
          <w:color w:val="44ACE0"/>
          <w:sz w:val="26"/>
          <w:szCs w:val="26"/>
          <w:lang w:val="fr-BE"/>
        </w:rPr>
        <w:t>D’où viennent ces chiffres ?</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08576" behindDoc="1" locked="0" layoutInCell="0" allowOverlap="1">
                <wp:simplePos x="0" y="0"/>
                <wp:positionH relativeFrom="column">
                  <wp:posOffset>359410</wp:posOffset>
                </wp:positionH>
                <wp:positionV relativeFrom="paragraph">
                  <wp:posOffset>-18415</wp:posOffset>
                </wp:positionV>
                <wp:extent cx="36830" cy="13335"/>
                <wp:effectExtent l="0" t="0" r="0" b="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3335"/>
                        </a:xfrm>
                        <a:prstGeom prst="rect">
                          <a:avLst/>
                        </a:prstGeom>
                        <a:solidFill>
                          <a:srgbClr val="44ACE0"/>
                        </a:solidFill>
                      </wps:spPr>
                      <wps:bodyPr/>
                    </wps:wsp>
                  </a:graphicData>
                </a:graphic>
              </wp:anchor>
            </w:drawing>
          </mc:Choice>
          <mc:Fallback>
            <w:pict>
              <v:rect id="Shape 273" o:spid="_x0000_s1298" style="position:absolute;margin-left:28.3pt;margin-top:-1.4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4ACE0" stroked="f"/>
            </w:pict>
          </mc:Fallback>
        </mc:AlternateContent>
      </w:r>
    </w:p>
    <w:p w:rsidR="00AC12B4" w:rsidRPr="00C27636" w:rsidRDefault="00AC12B4">
      <w:pPr>
        <w:spacing w:line="146" w:lineRule="exact"/>
        <w:rPr>
          <w:sz w:val="20"/>
          <w:szCs w:val="20"/>
          <w:lang w:val="fr-BE"/>
        </w:rPr>
      </w:pPr>
    </w:p>
    <w:p w:rsidR="00AC12B4" w:rsidRPr="00C27636" w:rsidRDefault="00C27636">
      <w:pPr>
        <w:spacing w:line="258" w:lineRule="auto"/>
        <w:ind w:left="1280" w:right="540" w:hanging="359"/>
        <w:rPr>
          <w:sz w:val="20"/>
          <w:szCs w:val="20"/>
          <w:lang w:val="fr-BE"/>
        </w:rPr>
      </w:pPr>
      <w:r>
        <w:rPr>
          <w:rFonts w:ascii="Wingdings" w:eastAsia="Wingdings" w:hAnsi="Wingdings" w:cs="Wingdings"/>
          <w:color w:val="4BACC6"/>
        </w:rPr>
        <w:t></w:t>
      </w:r>
      <w:r>
        <w:rPr>
          <w:rFonts w:ascii="Wingdings" w:eastAsia="Wingdings" w:hAnsi="Wingdings" w:cs="Wingdings"/>
          <w:color w:val="4BACC6"/>
        </w:rPr>
        <w:t></w:t>
      </w:r>
      <w:r w:rsidRPr="00C27636">
        <w:rPr>
          <w:rFonts w:ascii="Cambria" w:eastAsia="Cambria" w:hAnsi="Cambria" w:cs="Cambria"/>
          <w:i/>
          <w:iCs/>
          <w:color w:val="4BACC6"/>
          <w:lang w:val="fr-BE"/>
        </w:rPr>
        <w:t>Contrôle</w:t>
      </w:r>
      <w:r w:rsidRPr="00C27636">
        <w:rPr>
          <w:sz w:val="20"/>
          <w:szCs w:val="20"/>
          <w:lang w:val="fr-BE"/>
        </w:rPr>
        <w:t xml:space="preserve"> </w:t>
      </w:r>
      <w:r w:rsidRPr="00C27636">
        <w:rPr>
          <w:rFonts w:ascii="Cambria" w:eastAsia="Cambria" w:hAnsi="Cambria" w:cs="Cambria"/>
          <w:i/>
          <w:iCs/>
          <w:color w:val="4BACC6"/>
          <w:lang w:val="fr-BE"/>
        </w:rPr>
        <w:t>de l’obligation scolaire</w:t>
      </w:r>
    </w:p>
    <w:p w:rsidR="00AC12B4" w:rsidRPr="00C27636" w:rsidRDefault="00AC12B4">
      <w:pPr>
        <w:spacing w:line="200" w:lineRule="exact"/>
        <w:rPr>
          <w:sz w:val="20"/>
          <w:szCs w:val="20"/>
          <w:lang w:val="fr-BE"/>
        </w:rPr>
      </w:pPr>
    </w:p>
    <w:p w:rsidR="00AC12B4" w:rsidRPr="00C27636" w:rsidRDefault="00AC12B4">
      <w:pPr>
        <w:spacing w:line="277" w:lineRule="exact"/>
        <w:rPr>
          <w:sz w:val="20"/>
          <w:szCs w:val="20"/>
          <w:lang w:val="fr-BE"/>
        </w:rPr>
      </w:pPr>
    </w:p>
    <w:p w:rsidR="00AC12B4" w:rsidRPr="00C27636" w:rsidRDefault="00C27636">
      <w:pPr>
        <w:spacing w:line="231" w:lineRule="auto"/>
        <w:ind w:left="560" w:right="520"/>
        <w:jc w:val="both"/>
        <w:rPr>
          <w:sz w:val="20"/>
          <w:szCs w:val="20"/>
          <w:lang w:val="fr-BE"/>
        </w:rPr>
      </w:pPr>
      <w:r w:rsidRPr="00C27636">
        <w:rPr>
          <w:rFonts w:ascii="Calibri" w:eastAsia="Calibri" w:hAnsi="Calibri" w:cs="Calibri"/>
          <w:lang w:val="fr-BE"/>
        </w:rPr>
        <w:t>C</w:t>
      </w:r>
      <w:r w:rsidRPr="00C27636">
        <w:rPr>
          <w:rFonts w:ascii="Calibri" w:eastAsia="Calibri" w:hAnsi="Calibri" w:cs="Calibri"/>
          <w:lang w:val="fr-BE"/>
        </w:rPr>
        <w:t>haque Communauté est compétente pour le contrôle de l’obligation scolaire et a donc son propre service : il s’agit en FWB de la Direction du Contrôle de l'Obligation scolaire et de l'Assistance aux</w:t>
      </w:r>
    </w:p>
    <w:p w:rsidR="00AC12B4" w:rsidRPr="00C27636" w:rsidRDefault="00AC12B4">
      <w:pPr>
        <w:spacing w:line="52" w:lineRule="exact"/>
        <w:rPr>
          <w:sz w:val="20"/>
          <w:szCs w:val="20"/>
          <w:lang w:val="fr-BE"/>
        </w:rPr>
      </w:pPr>
    </w:p>
    <w:p w:rsidR="00AC12B4" w:rsidRPr="00C27636" w:rsidRDefault="00C27636">
      <w:pPr>
        <w:spacing w:line="224" w:lineRule="auto"/>
        <w:ind w:left="560" w:right="520"/>
        <w:jc w:val="both"/>
        <w:rPr>
          <w:sz w:val="20"/>
          <w:szCs w:val="20"/>
          <w:lang w:val="fr-BE"/>
        </w:rPr>
      </w:pPr>
      <w:r w:rsidRPr="00C27636">
        <w:rPr>
          <w:rFonts w:ascii="Calibri" w:eastAsia="Calibri" w:hAnsi="Calibri" w:cs="Calibri"/>
          <w:lang w:val="fr-BE"/>
        </w:rPr>
        <w:t>établissements ; en Communauté flamande de l’Agodi (Agent</w:t>
      </w:r>
      <w:r w:rsidRPr="00C27636">
        <w:rPr>
          <w:rFonts w:ascii="Calibri" w:eastAsia="Calibri" w:hAnsi="Calibri" w:cs="Calibri"/>
          <w:lang w:val="fr-BE"/>
        </w:rPr>
        <w:t>schap voor Onderwijsdiensten)</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 xml:space="preserve"> et en Communauté germanophone (Fachbereich Ausbildung und Unterrichtsorganisation, Fachbereich Pädagogik).</w:t>
      </w:r>
    </w:p>
    <w:p w:rsidR="00AC12B4" w:rsidRPr="00C27636" w:rsidRDefault="00AC12B4">
      <w:pPr>
        <w:spacing w:line="170" w:lineRule="exact"/>
        <w:rPr>
          <w:sz w:val="20"/>
          <w:szCs w:val="20"/>
          <w:lang w:val="fr-BE"/>
        </w:rPr>
      </w:pPr>
    </w:p>
    <w:p w:rsidR="00AC12B4" w:rsidRPr="00C27636" w:rsidRDefault="00C27636">
      <w:pPr>
        <w:spacing w:line="225" w:lineRule="auto"/>
        <w:ind w:left="560" w:right="520"/>
        <w:jc w:val="both"/>
        <w:rPr>
          <w:sz w:val="20"/>
          <w:szCs w:val="20"/>
          <w:lang w:val="fr-BE"/>
        </w:rPr>
      </w:pPr>
      <w:r w:rsidRPr="00C27636">
        <w:rPr>
          <w:rFonts w:ascii="Calibri" w:eastAsia="Calibri" w:hAnsi="Calibri" w:cs="Calibri"/>
          <w:lang w:val="fr-BE"/>
        </w:rPr>
        <w:t xml:space="preserve">Les Communautés française et flamande coopèrent pour le contrôle des enfants domiciliés en Région de </w:t>
      </w:r>
      <w:r w:rsidRPr="00C27636">
        <w:rPr>
          <w:rFonts w:ascii="Calibri" w:eastAsia="Calibri" w:hAnsi="Calibri" w:cs="Calibri"/>
          <w:lang w:val="fr-BE"/>
        </w:rPr>
        <w:t>Bruxelles-Capitale.</w:t>
      </w:r>
    </w:p>
    <w:p w:rsidR="00AC12B4" w:rsidRPr="00C27636" w:rsidRDefault="00AC12B4">
      <w:pPr>
        <w:spacing w:line="129" w:lineRule="exact"/>
        <w:rPr>
          <w:sz w:val="20"/>
          <w:szCs w:val="20"/>
          <w:lang w:val="fr-BE"/>
        </w:rPr>
      </w:pPr>
    </w:p>
    <w:p w:rsidR="00AC12B4" w:rsidRDefault="00C27636">
      <w:pPr>
        <w:numPr>
          <w:ilvl w:val="0"/>
          <w:numId w:val="172"/>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199" w:lineRule="exact"/>
        <w:rPr>
          <w:sz w:val="20"/>
          <w:szCs w:val="20"/>
        </w:rPr>
      </w:pPr>
    </w:p>
    <w:p w:rsidR="00AC12B4" w:rsidRDefault="00C27636">
      <w:pPr>
        <w:spacing w:line="236" w:lineRule="auto"/>
        <w:ind w:left="560" w:right="520"/>
        <w:jc w:val="both"/>
        <w:rPr>
          <w:sz w:val="20"/>
          <w:szCs w:val="20"/>
        </w:rPr>
      </w:pPr>
      <w:r w:rsidRPr="00C27636">
        <w:rPr>
          <w:rFonts w:ascii="Calibri" w:eastAsia="Calibri" w:hAnsi="Calibri" w:cs="Calibri"/>
          <w:lang w:val="fr-BE"/>
        </w:rPr>
        <w:t>Le contrôle de l’obligation scolaire s’effectue sur base du Registre National. Les enfants en séjour illégal ne sont donc pas contrôlés (tout en sachant que leur droit à l’enseignement est respecté et appliqué en B</w:t>
      </w:r>
      <w:r w:rsidRPr="00C27636">
        <w:rPr>
          <w:rFonts w:ascii="Calibri" w:eastAsia="Calibri" w:hAnsi="Calibri" w:cs="Calibri"/>
          <w:lang w:val="fr-BE"/>
        </w:rPr>
        <w:t xml:space="preserve">elgique). Il en va de même pour tout autre étranger n’ayant pas obtenu l’admission ou l’autorisation de séjourner plus de trois mois dans le Royaume (il s’agit de ceux qui ne disposent même pas d’AI – attestation d’immatriculation). </w:t>
      </w:r>
      <w:r>
        <w:rPr>
          <w:rFonts w:ascii="Calibri" w:eastAsia="Calibri" w:hAnsi="Calibri" w:cs="Calibri"/>
        </w:rPr>
        <w:t>Le respect de leur droi</w:t>
      </w:r>
      <w:r>
        <w:rPr>
          <w:rFonts w:ascii="Calibri" w:eastAsia="Calibri" w:hAnsi="Calibri" w:cs="Calibri"/>
        </w:rPr>
        <w:t>t</w:t>
      </w:r>
    </w:p>
    <w:p w:rsidR="00AC12B4" w:rsidRDefault="00AC12B4">
      <w:pPr>
        <w:spacing w:line="55" w:lineRule="exact"/>
        <w:rPr>
          <w:sz w:val="20"/>
          <w:szCs w:val="20"/>
        </w:rPr>
      </w:pPr>
    </w:p>
    <w:p w:rsidR="00AC12B4" w:rsidRPr="00C27636" w:rsidRDefault="00C27636">
      <w:pPr>
        <w:numPr>
          <w:ilvl w:val="0"/>
          <w:numId w:val="173"/>
        </w:numPr>
        <w:tabs>
          <w:tab w:val="left" w:pos="771"/>
        </w:tabs>
        <w:spacing w:line="218" w:lineRule="auto"/>
        <w:ind w:left="560" w:right="520" w:firstLine="7"/>
        <w:rPr>
          <w:rFonts w:ascii="Calibri" w:eastAsia="Calibri" w:hAnsi="Calibri" w:cs="Calibri"/>
          <w:lang w:val="fr-BE"/>
        </w:rPr>
      </w:pPr>
      <w:r w:rsidRPr="00C27636">
        <w:rPr>
          <w:rFonts w:ascii="Calibri" w:eastAsia="Calibri" w:hAnsi="Calibri" w:cs="Calibri"/>
          <w:lang w:val="fr-BE"/>
        </w:rPr>
        <w:t>l’enseignement ne peut donc pas être mesuré.</w:t>
      </w:r>
    </w:p>
    <w:p w:rsidR="00AC12B4" w:rsidRPr="00C27636" w:rsidRDefault="00AC12B4">
      <w:pPr>
        <w:spacing w:line="170" w:lineRule="exact"/>
        <w:rPr>
          <w:sz w:val="20"/>
          <w:szCs w:val="20"/>
          <w:lang w:val="fr-BE"/>
        </w:rPr>
      </w:pPr>
    </w:p>
    <w:p w:rsidR="00AC12B4" w:rsidRDefault="00C27636">
      <w:pPr>
        <w:spacing w:line="232" w:lineRule="auto"/>
        <w:ind w:left="560" w:right="520"/>
        <w:jc w:val="both"/>
        <w:rPr>
          <w:sz w:val="20"/>
          <w:szCs w:val="20"/>
        </w:rPr>
      </w:pPr>
      <w:r w:rsidRPr="00C27636">
        <w:rPr>
          <w:rFonts w:ascii="Calibri" w:eastAsia="Calibri" w:hAnsi="Calibri" w:cs="Calibri"/>
          <w:lang w:val="fr-BE"/>
        </w:rPr>
        <w:t xml:space="preserve">La mesure part de l’hypothèse que chaque signalisation reçoit un suivi. Toutefois, le service chargé du contrôle de l’obligation scolaire dépend d’une collaboration avec les communes de résidence des </w:t>
      </w:r>
      <w:r w:rsidRPr="00C27636">
        <w:rPr>
          <w:rFonts w:ascii="Calibri" w:eastAsia="Calibri" w:hAnsi="Calibri" w:cs="Calibri"/>
          <w:lang w:val="fr-BE"/>
        </w:rPr>
        <w:t xml:space="preserve">enfants. </w:t>
      </w:r>
      <w:r>
        <w:rPr>
          <w:rFonts w:ascii="Calibri" w:eastAsia="Calibri" w:hAnsi="Calibri" w:cs="Calibri"/>
        </w:rPr>
        <w:t>Si ces communes ne réagissent pas, les</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09600" behindDoc="1" locked="0" layoutInCell="0" allowOverlap="1">
                <wp:simplePos x="0" y="0"/>
                <wp:positionH relativeFrom="column">
                  <wp:posOffset>359410</wp:posOffset>
                </wp:positionH>
                <wp:positionV relativeFrom="paragraph">
                  <wp:posOffset>349250</wp:posOffset>
                </wp:positionV>
                <wp:extent cx="1829435" cy="0"/>
                <wp:effectExtent l="0" t="0" r="0" b="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27.5pt" to="172.35pt,27.5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81" w:lineRule="exact"/>
        <w:rPr>
          <w:sz w:val="20"/>
          <w:szCs w:val="20"/>
        </w:rPr>
      </w:pPr>
    </w:p>
    <w:p w:rsidR="00AC12B4" w:rsidRPr="00C27636" w:rsidRDefault="00C27636">
      <w:pPr>
        <w:numPr>
          <w:ilvl w:val="0"/>
          <w:numId w:val="174"/>
        </w:numPr>
        <w:tabs>
          <w:tab w:val="left" w:pos="680"/>
        </w:tabs>
        <w:ind w:left="680" w:hanging="113"/>
        <w:rPr>
          <w:rFonts w:ascii="Calibri" w:eastAsia="Calibri" w:hAnsi="Calibri" w:cs="Calibri"/>
          <w:sz w:val="26"/>
          <w:szCs w:val="26"/>
          <w:vertAlign w:val="superscript"/>
          <w:lang w:val="nl-NL"/>
        </w:rPr>
      </w:pPr>
      <w:r w:rsidRPr="00C27636">
        <w:rPr>
          <w:rFonts w:ascii="Calibri" w:eastAsia="Calibri" w:hAnsi="Calibri" w:cs="Calibri"/>
          <w:sz w:val="20"/>
          <w:szCs w:val="20"/>
          <w:lang w:val="nl-NL"/>
        </w:rPr>
        <w:t xml:space="preserve">AGODI, </w:t>
      </w:r>
      <w:r w:rsidRPr="00C27636">
        <w:rPr>
          <w:rFonts w:ascii="Calibri" w:eastAsia="Calibri" w:hAnsi="Calibri" w:cs="Calibri"/>
          <w:i/>
          <w:iCs/>
          <w:sz w:val="20"/>
          <w:szCs w:val="20"/>
          <w:lang w:val="nl-NL"/>
        </w:rPr>
        <w:t>Rapport leerplicht, Wie is er niet als de</w:t>
      </w:r>
    </w:p>
    <w:p w:rsidR="00AC12B4" w:rsidRPr="00C27636" w:rsidRDefault="00AC12B4">
      <w:pPr>
        <w:spacing w:line="44" w:lineRule="exact"/>
        <w:rPr>
          <w:rFonts w:ascii="Calibri" w:eastAsia="Calibri" w:hAnsi="Calibri" w:cs="Calibri"/>
          <w:sz w:val="26"/>
          <w:szCs w:val="26"/>
          <w:vertAlign w:val="superscript"/>
          <w:lang w:val="nl-NL"/>
        </w:rPr>
      </w:pPr>
    </w:p>
    <w:p w:rsidR="00AC12B4" w:rsidRPr="00C27636" w:rsidRDefault="00C27636">
      <w:pPr>
        <w:spacing w:line="225" w:lineRule="auto"/>
        <w:ind w:left="560" w:right="520"/>
        <w:jc w:val="both"/>
        <w:rPr>
          <w:rFonts w:ascii="Calibri" w:eastAsia="Calibri" w:hAnsi="Calibri" w:cs="Calibri"/>
          <w:sz w:val="26"/>
          <w:szCs w:val="26"/>
          <w:vertAlign w:val="superscript"/>
          <w:lang w:val="nl-NL"/>
        </w:rPr>
      </w:pPr>
      <w:r w:rsidRPr="00C27636">
        <w:rPr>
          <w:rFonts w:ascii="Calibri" w:eastAsia="Calibri" w:hAnsi="Calibri" w:cs="Calibri"/>
          <w:i/>
          <w:iCs/>
          <w:sz w:val="20"/>
          <w:szCs w:val="20"/>
          <w:lang w:val="nl-NL"/>
        </w:rPr>
        <w:t xml:space="preserve">schoolbel rinkelt ?, </w:t>
      </w:r>
      <w:r w:rsidRPr="00C27636">
        <w:rPr>
          <w:rFonts w:ascii="Calibri" w:eastAsia="Calibri" w:hAnsi="Calibri" w:cs="Calibri"/>
          <w:sz w:val="20"/>
          <w:szCs w:val="20"/>
          <w:lang w:val="nl-NL"/>
        </w:rPr>
        <w:t>www.ond.vlaanderen.be/wegwijs/agodi/public aties/rapporten/leerplicht/default.htm</w:t>
      </w:r>
    </w:p>
    <w:p w:rsidR="00AC12B4" w:rsidRPr="00C27636" w:rsidRDefault="00AC12B4">
      <w:pPr>
        <w:spacing w:line="242" w:lineRule="exact"/>
        <w:rPr>
          <w:sz w:val="20"/>
          <w:szCs w:val="20"/>
          <w:lang w:val="nl-NL"/>
        </w:rPr>
      </w:pPr>
    </w:p>
    <w:p w:rsidR="00AC12B4" w:rsidRPr="00C27636" w:rsidRDefault="00C27636">
      <w:pPr>
        <w:jc w:val="right"/>
        <w:rPr>
          <w:sz w:val="20"/>
          <w:szCs w:val="20"/>
          <w:lang w:val="fr-BE"/>
        </w:rPr>
      </w:pPr>
      <w:r w:rsidRPr="00C27636">
        <w:rPr>
          <w:rFonts w:ascii="Calibri" w:eastAsia="Calibri" w:hAnsi="Calibri" w:cs="Calibri"/>
          <w:lang w:val="fr-BE"/>
        </w:rPr>
        <w:t>107</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left="8" w:right="32"/>
        <w:rPr>
          <w:sz w:val="20"/>
          <w:szCs w:val="20"/>
          <w:lang w:val="fr-BE"/>
        </w:rPr>
      </w:pPr>
      <w:r w:rsidRPr="00C27636">
        <w:rPr>
          <w:rFonts w:ascii="Calibri" w:eastAsia="Calibri" w:hAnsi="Calibri" w:cs="Calibri"/>
          <w:lang w:val="fr-BE"/>
        </w:rPr>
        <w:t xml:space="preserve">dossiers ne sont pas transférés le cas </w:t>
      </w:r>
      <w:r w:rsidRPr="00C27636">
        <w:rPr>
          <w:rFonts w:ascii="Calibri" w:eastAsia="Calibri" w:hAnsi="Calibri" w:cs="Calibri"/>
          <w:lang w:val="fr-BE"/>
        </w:rPr>
        <w:t>échéant au parquet.</w:t>
      </w:r>
    </w:p>
    <w:p w:rsidR="00AC12B4" w:rsidRPr="00C27636" w:rsidRDefault="00AC12B4">
      <w:pPr>
        <w:spacing w:line="170" w:lineRule="exact"/>
        <w:rPr>
          <w:sz w:val="20"/>
          <w:szCs w:val="20"/>
          <w:lang w:val="fr-BE"/>
        </w:rPr>
      </w:pPr>
    </w:p>
    <w:p w:rsidR="00AC12B4" w:rsidRPr="00C27636" w:rsidRDefault="00C27636">
      <w:pPr>
        <w:spacing w:line="218" w:lineRule="auto"/>
        <w:ind w:left="8" w:right="52"/>
        <w:rPr>
          <w:sz w:val="20"/>
          <w:szCs w:val="20"/>
          <w:lang w:val="fr-BE"/>
        </w:rPr>
      </w:pPr>
      <w:r w:rsidRPr="00C27636">
        <w:rPr>
          <w:rFonts w:ascii="Calibri" w:eastAsia="Calibri" w:hAnsi="Calibri" w:cs="Calibri"/>
          <w:lang w:val="fr-BE"/>
        </w:rPr>
        <w:t>Note : le phénomène du décrochage scolaire n’est pas examiné ici.</w:t>
      </w:r>
    </w:p>
    <w:p w:rsidR="00AC12B4" w:rsidRPr="00C27636" w:rsidRDefault="00AC12B4">
      <w:pPr>
        <w:spacing w:line="119" w:lineRule="exact"/>
        <w:rPr>
          <w:sz w:val="20"/>
          <w:szCs w:val="20"/>
          <w:lang w:val="fr-BE"/>
        </w:rPr>
      </w:pPr>
    </w:p>
    <w:p w:rsidR="00AC12B4" w:rsidRDefault="00C27636">
      <w:pPr>
        <w:numPr>
          <w:ilvl w:val="0"/>
          <w:numId w:val="175"/>
        </w:numPr>
        <w:tabs>
          <w:tab w:val="left" w:pos="428"/>
        </w:tabs>
        <w:ind w:left="428" w:hanging="361"/>
        <w:rPr>
          <w:rFonts w:ascii="Symbol" w:eastAsia="Symbol" w:hAnsi="Symbol" w:cs="Symbol"/>
        </w:rPr>
      </w:pPr>
      <w:r>
        <w:rPr>
          <w:rFonts w:ascii="Calibri" w:eastAsia="Calibri" w:hAnsi="Calibri" w:cs="Calibri"/>
          <w:b/>
          <w:bCs/>
          <w:i/>
          <w:iCs/>
          <w:color w:val="4BACC6"/>
        </w:rPr>
        <w:t>Le cas de Bruxelles</w:t>
      </w:r>
    </w:p>
    <w:p w:rsidR="00AC12B4" w:rsidRDefault="00AC12B4">
      <w:pPr>
        <w:spacing w:line="289" w:lineRule="exact"/>
        <w:rPr>
          <w:sz w:val="20"/>
          <w:szCs w:val="20"/>
        </w:rPr>
      </w:pPr>
    </w:p>
    <w:p w:rsidR="00AC12B4" w:rsidRPr="00C27636" w:rsidRDefault="00C27636">
      <w:pPr>
        <w:spacing w:line="234" w:lineRule="auto"/>
        <w:ind w:left="8" w:right="32"/>
        <w:jc w:val="both"/>
        <w:rPr>
          <w:sz w:val="20"/>
          <w:szCs w:val="20"/>
          <w:lang w:val="fr-BE"/>
        </w:rPr>
      </w:pPr>
      <w:r w:rsidRPr="00C27636">
        <w:rPr>
          <w:rFonts w:ascii="Calibri" w:eastAsia="Calibri" w:hAnsi="Calibri" w:cs="Calibri"/>
          <w:lang w:val="fr-BE"/>
        </w:rPr>
        <w:t>Jusqu’ici, pour l’enseignement maternel, il n’y avait pas de collaboration entre les Communautés flamande et française dans l’enseignement à Bruxel</w:t>
      </w:r>
      <w:r w:rsidRPr="00C27636">
        <w:rPr>
          <w:rFonts w:ascii="Calibri" w:eastAsia="Calibri" w:hAnsi="Calibri" w:cs="Calibri"/>
          <w:lang w:val="fr-BE"/>
        </w:rPr>
        <w:t>les. Un nouveau protocole de coopération (25 mars 2015) devrait faciliter à l’avenir une mise en commun des données de l’inscription en Région de Bruxelles-Capitale.</w:t>
      </w:r>
    </w:p>
    <w:p w:rsidR="00AC12B4" w:rsidRPr="00C27636" w:rsidRDefault="00AC12B4">
      <w:pPr>
        <w:spacing w:line="176" w:lineRule="exact"/>
        <w:rPr>
          <w:sz w:val="20"/>
          <w:szCs w:val="20"/>
          <w:lang w:val="fr-BE"/>
        </w:rPr>
      </w:pPr>
    </w:p>
    <w:p w:rsidR="00AC12B4" w:rsidRPr="00C27636" w:rsidRDefault="00C27636">
      <w:pPr>
        <w:spacing w:line="236" w:lineRule="auto"/>
        <w:ind w:left="8" w:right="32"/>
        <w:jc w:val="both"/>
        <w:rPr>
          <w:sz w:val="20"/>
          <w:szCs w:val="20"/>
          <w:lang w:val="fr-BE"/>
        </w:rPr>
      </w:pPr>
      <w:r w:rsidRPr="00C27636">
        <w:rPr>
          <w:rFonts w:ascii="Calibri" w:eastAsia="Calibri" w:hAnsi="Calibri" w:cs="Calibri"/>
          <w:lang w:val="fr-BE"/>
        </w:rPr>
        <w:t xml:space="preserve">Pour ce qui est de l’enseignement obligatoire, il existe une cellule commune, constituée </w:t>
      </w:r>
      <w:r w:rsidRPr="00C27636">
        <w:rPr>
          <w:rFonts w:ascii="Calibri" w:eastAsia="Calibri" w:hAnsi="Calibri" w:cs="Calibri"/>
          <w:lang w:val="fr-BE"/>
        </w:rPr>
        <w:t>de fonctionnaires de la Communauté flamande et de la Communauté française. La difficulté réside dans le fait qu’on ne peut savoir à l’avance si un jeune dépendra pour son enseignement de la FWB ou de la Communauté flamande, les deux Communautés doivent don</w:t>
      </w:r>
      <w:r w:rsidRPr="00C27636">
        <w:rPr>
          <w:rFonts w:ascii="Calibri" w:eastAsia="Calibri" w:hAnsi="Calibri" w:cs="Calibri"/>
          <w:lang w:val="fr-BE"/>
        </w:rPr>
        <w:t>c mettre en commun leurs fichiers d’inscription pour pouvoir détecter des enfants non-scolarisés.</w:t>
      </w:r>
    </w:p>
    <w:p w:rsidR="00AC12B4" w:rsidRPr="00C27636" w:rsidRDefault="00AC12B4">
      <w:pPr>
        <w:spacing w:line="135" w:lineRule="exact"/>
        <w:rPr>
          <w:sz w:val="20"/>
          <w:szCs w:val="20"/>
          <w:lang w:val="fr-BE"/>
        </w:rPr>
      </w:pPr>
    </w:p>
    <w:p w:rsidR="00AC12B4" w:rsidRDefault="00C27636">
      <w:pPr>
        <w:numPr>
          <w:ilvl w:val="0"/>
          <w:numId w:val="176"/>
        </w:numPr>
        <w:tabs>
          <w:tab w:val="left" w:pos="728"/>
        </w:tabs>
        <w:ind w:left="728" w:hanging="368"/>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202" w:lineRule="exact"/>
        <w:rPr>
          <w:sz w:val="20"/>
          <w:szCs w:val="20"/>
        </w:rPr>
      </w:pPr>
    </w:p>
    <w:p w:rsidR="00AC12B4" w:rsidRPr="00C27636" w:rsidRDefault="00C27636">
      <w:pPr>
        <w:spacing w:line="225" w:lineRule="auto"/>
        <w:ind w:left="8" w:right="32"/>
        <w:jc w:val="both"/>
        <w:rPr>
          <w:sz w:val="20"/>
          <w:szCs w:val="20"/>
          <w:lang w:val="fr-BE"/>
        </w:rPr>
      </w:pPr>
      <w:r w:rsidRPr="00C27636">
        <w:rPr>
          <w:rFonts w:ascii="Calibri" w:eastAsia="Calibri" w:hAnsi="Calibri" w:cs="Calibri"/>
          <w:lang w:val="fr-BE"/>
        </w:rPr>
        <w:t>Une enquête spécifique doit être menée auprès des groupes pertinents non-atteints (cf section ‘Atteindre les plus vulnérables’).</w:t>
      </w:r>
    </w:p>
    <w:p w:rsidR="00AC12B4" w:rsidRPr="00C27636" w:rsidRDefault="00AC12B4">
      <w:pPr>
        <w:spacing w:line="205" w:lineRule="exact"/>
        <w:rPr>
          <w:sz w:val="20"/>
          <w:szCs w:val="20"/>
          <w:lang w:val="fr-BE"/>
        </w:rPr>
      </w:pPr>
    </w:p>
    <w:p w:rsidR="00AC12B4" w:rsidRDefault="00C27636">
      <w:pPr>
        <w:ind w:left="8"/>
        <w:rPr>
          <w:sz w:val="20"/>
          <w:szCs w:val="20"/>
        </w:rPr>
      </w:pPr>
      <w:r>
        <w:rPr>
          <w:rFonts w:ascii="Cambria" w:eastAsia="Cambria" w:hAnsi="Cambria" w:cs="Cambria"/>
          <w:b/>
          <w:bCs/>
          <w:i/>
          <w:iCs/>
          <w:color w:val="44ACE0"/>
          <w:sz w:val="26"/>
          <w:szCs w:val="26"/>
        </w:rPr>
        <w:t>Pour aller</w:t>
      </w:r>
      <w:r>
        <w:rPr>
          <w:rFonts w:ascii="Cambria" w:eastAsia="Cambria" w:hAnsi="Cambria" w:cs="Cambria"/>
          <w:b/>
          <w:bCs/>
          <w:i/>
          <w:iCs/>
          <w:color w:val="44ACE0"/>
          <w:sz w:val="26"/>
          <w:szCs w:val="26"/>
        </w:rPr>
        <w:t xml:space="preserve"> plus loin</w:t>
      </w:r>
    </w:p>
    <w:p w:rsidR="00AC12B4" w:rsidRDefault="00AC12B4">
      <w:pPr>
        <w:spacing w:line="164" w:lineRule="exact"/>
        <w:rPr>
          <w:sz w:val="20"/>
          <w:szCs w:val="20"/>
        </w:rPr>
      </w:pPr>
    </w:p>
    <w:p w:rsidR="00AC12B4" w:rsidRDefault="00C27636">
      <w:pPr>
        <w:numPr>
          <w:ilvl w:val="0"/>
          <w:numId w:val="177"/>
        </w:numPr>
        <w:tabs>
          <w:tab w:val="left" w:pos="428"/>
        </w:tabs>
        <w:ind w:left="428" w:hanging="361"/>
        <w:rPr>
          <w:rFonts w:ascii="Symbol" w:eastAsia="Symbol" w:hAnsi="Symbol" w:cs="Symbol"/>
          <w:sz w:val="20"/>
          <w:szCs w:val="20"/>
        </w:rPr>
      </w:pPr>
      <w:r>
        <w:rPr>
          <w:rFonts w:ascii="Calibri" w:eastAsia="Calibri" w:hAnsi="Calibri" w:cs="Calibri"/>
          <w:b/>
          <w:bCs/>
          <w:i/>
          <w:iCs/>
          <w:color w:val="4BACC6"/>
          <w:sz w:val="20"/>
          <w:szCs w:val="20"/>
        </w:rPr>
        <w:t>Enfants dispensés de scolarité</w:t>
      </w:r>
      <w:r>
        <w:rPr>
          <w:rFonts w:ascii="Calibri" w:eastAsia="Calibri" w:hAnsi="Calibri" w:cs="Calibri"/>
          <w:b/>
          <w:bCs/>
          <w:i/>
          <w:iCs/>
          <w:color w:val="9BBB59"/>
          <w:sz w:val="20"/>
          <w:szCs w:val="20"/>
        </w:rPr>
        <w:t>:</w:t>
      </w:r>
      <w:r>
        <w:rPr>
          <w:rFonts w:ascii="Calibri" w:eastAsia="Calibri" w:hAnsi="Calibri" w:cs="Calibri"/>
          <w:b/>
          <w:bCs/>
          <w:i/>
          <w:iCs/>
          <w:color w:val="4BACC6"/>
          <w:sz w:val="20"/>
          <w:szCs w:val="20"/>
        </w:rPr>
        <w:t xml:space="preserve"> </w:t>
      </w:r>
      <w:r>
        <w:rPr>
          <w:rFonts w:ascii="Calibri" w:eastAsia="Calibri" w:hAnsi="Calibri" w:cs="Calibri"/>
          <w:color w:val="000000"/>
          <w:sz w:val="20"/>
          <w:szCs w:val="20"/>
        </w:rPr>
        <w:t>Notons</w:t>
      </w:r>
    </w:p>
    <w:p w:rsidR="00AC12B4" w:rsidRDefault="00AC12B4">
      <w:pPr>
        <w:spacing w:line="34" w:lineRule="exact"/>
        <w:rPr>
          <w:sz w:val="20"/>
          <w:szCs w:val="20"/>
        </w:rPr>
      </w:pPr>
    </w:p>
    <w:p w:rsidR="00AC12B4" w:rsidRDefault="00C27636">
      <w:pPr>
        <w:tabs>
          <w:tab w:val="left" w:pos="1048"/>
          <w:tab w:val="left" w:pos="1768"/>
          <w:tab w:val="left" w:pos="2568"/>
          <w:tab w:val="left" w:pos="3488"/>
        </w:tabs>
        <w:ind w:left="428"/>
        <w:rPr>
          <w:sz w:val="20"/>
          <w:szCs w:val="20"/>
        </w:rPr>
      </w:pPr>
      <w:r>
        <w:rPr>
          <w:rFonts w:ascii="Calibri" w:eastAsia="Calibri" w:hAnsi="Calibri" w:cs="Calibri"/>
          <w:sz w:val="20"/>
          <w:szCs w:val="20"/>
        </w:rPr>
        <w:t>qu’un</w:t>
      </w:r>
      <w:r>
        <w:rPr>
          <w:rFonts w:ascii="Calibri" w:eastAsia="Calibri" w:hAnsi="Calibri" w:cs="Calibri"/>
          <w:sz w:val="20"/>
          <w:szCs w:val="20"/>
        </w:rPr>
        <w:tab/>
        <w:t>certain</w:t>
      </w:r>
      <w:r>
        <w:rPr>
          <w:rFonts w:ascii="Calibri" w:eastAsia="Calibri" w:hAnsi="Calibri" w:cs="Calibri"/>
          <w:sz w:val="20"/>
          <w:szCs w:val="20"/>
        </w:rPr>
        <w:tab/>
        <w:t>nombre</w:t>
      </w:r>
      <w:r>
        <w:rPr>
          <w:rFonts w:ascii="Calibri" w:eastAsia="Calibri" w:hAnsi="Calibri" w:cs="Calibri"/>
          <w:sz w:val="20"/>
          <w:szCs w:val="20"/>
        </w:rPr>
        <w:tab/>
        <w:t>d’enfants</w:t>
      </w:r>
      <w:r>
        <w:rPr>
          <w:rFonts w:ascii="Calibri" w:eastAsia="Calibri" w:hAnsi="Calibri" w:cs="Calibri"/>
          <w:sz w:val="20"/>
          <w:szCs w:val="20"/>
        </w:rPr>
        <w:tab/>
        <w:t>sont</w:t>
      </w:r>
    </w:p>
    <w:p w:rsidR="00AC12B4" w:rsidRDefault="00AC12B4">
      <w:pPr>
        <w:spacing w:line="37" w:lineRule="exact"/>
        <w:rPr>
          <w:sz w:val="20"/>
          <w:szCs w:val="20"/>
        </w:rPr>
      </w:pPr>
    </w:p>
    <w:p w:rsidR="00AC12B4" w:rsidRPr="00C27636" w:rsidRDefault="00C27636">
      <w:pPr>
        <w:numPr>
          <w:ilvl w:val="0"/>
          <w:numId w:val="178"/>
        </w:numPr>
        <w:tabs>
          <w:tab w:val="left" w:pos="568"/>
        </w:tabs>
        <w:ind w:left="568" w:hanging="141"/>
        <w:rPr>
          <w:rFonts w:ascii="Calibri" w:eastAsia="Calibri" w:hAnsi="Calibri" w:cs="Calibri"/>
          <w:sz w:val="20"/>
          <w:szCs w:val="20"/>
          <w:lang w:val="fr-BE"/>
        </w:rPr>
      </w:pPr>
      <w:r w:rsidRPr="00C27636">
        <w:rPr>
          <w:rFonts w:ascii="Calibri" w:eastAsia="Calibri" w:hAnsi="Calibri" w:cs="Calibri"/>
          <w:sz w:val="20"/>
          <w:szCs w:val="20"/>
          <w:lang w:val="fr-BE"/>
        </w:rPr>
        <w:t>dispensés » de scolarité. Il s’agit par</w:t>
      </w:r>
    </w:p>
    <w:p w:rsidR="00AC12B4" w:rsidRPr="00C27636" w:rsidRDefault="00AC12B4">
      <w:pPr>
        <w:spacing w:line="83" w:lineRule="exact"/>
        <w:rPr>
          <w:rFonts w:ascii="Calibri" w:eastAsia="Calibri" w:hAnsi="Calibri" w:cs="Calibri"/>
          <w:sz w:val="20"/>
          <w:szCs w:val="20"/>
          <w:lang w:val="fr-BE"/>
        </w:rPr>
      </w:pPr>
    </w:p>
    <w:p w:rsidR="00AC12B4" w:rsidRDefault="00C27636">
      <w:pPr>
        <w:spacing w:line="221" w:lineRule="auto"/>
        <w:ind w:left="428" w:right="32"/>
        <w:jc w:val="both"/>
        <w:rPr>
          <w:rFonts w:ascii="Calibri" w:eastAsia="Calibri" w:hAnsi="Calibri" w:cs="Calibri"/>
          <w:sz w:val="20"/>
          <w:szCs w:val="20"/>
        </w:rPr>
      </w:pPr>
      <w:r w:rsidRPr="00C27636">
        <w:rPr>
          <w:rFonts w:ascii="Calibri" w:eastAsia="Calibri" w:hAnsi="Calibri" w:cs="Calibri"/>
          <w:sz w:val="20"/>
          <w:szCs w:val="20"/>
          <w:lang w:val="fr-BE"/>
        </w:rPr>
        <w:t>exemple d’enfants porteurs d’un handicap physique ou mental lourd</w:t>
      </w:r>
      <w:r w:rsidRPr="00C27636">
        <w:rPr>
          <w:rFonts w:ascii="Calibri" w:eastAsia="Calibri" w:hAnsi="Calibri" w:cs="Calibri"/>
          <w:sz w:val="25"/>
          <w:szCs w:val="25"/>
          <w:vertAlign w:val="superscript"/>
          <w:lang w:val="fr-BE"/>
        </w:rPr>
        <w:t>6</w:t>
      </w:r>
      <w:r w:rsidRPr="00C27636">
        <w:rPr>
          <w:rFonts w:ascii="Calibri" w:eastAsia="Calibri" w:hAnsi="Calibri" w:cs="Calibri"/>
          <w:sz w:val="20"/>
          <w:szCs w:val="20"/>
          <w:lang w:val="fr-BE"/>
        </w:rPr>
        <w:t xml:space="preserve">. </w:t>
      </w:r>
      <w:r>
        <w:rPr>
          <w:rFonts w:ascii="Calibri" w:eastAsia="Calibri" w:hAnsi="Calibri" w:cs="Calibri"/>
          <w:sz w:val="20"/>
          <w:szCs w:val="20"/>
        </w:rPr>
        <w:t>Les</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10624" behindDoc="1" locked="0" layoutInCell="0" allowOverlap="1">
                <wp:simplePos x="0" y="0"/>
                <wp:positionH relativeFrom="column">
                  <wp:posOffset>0</wp:posOffset>
                </wp:positionH>
                <wp:positionV relativeFrom="paragraph">
                  <wp:posOffset>110490</wp:posOffset>
                </wp:positionV>
                <wp:extent cx="1828800" cy="0"/>
                <wp:effectExtent l="0" t="0" r="0" b="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pt" to="144pt,8.7pt" o:allowincell="f" strokecolor="#000000" strokeweight="0.72pt"/>
            </w:pict>
          </mc:Fallback>
        </mc:AlternateContent>
      </w:r>
    </w:p>
    <w:p w:rsidR="00AC12B4" w:rsidRDefault="00AC12B4">
      <w:pPr>
        <w:spacing w:line="305" w:lineRule="exact"/>
        <w:rPr>
          <w:sz w:val="20"/>
          <w:szCs w:val="20"/>
        </w:rPr>
      </w:pPr>
    </w:p>
    <w:p w:rsidR="00AC12B4" w:rsidRDefault="00C27636">
      <w:pPr>
        <w:numPr>
          <w:ilvl w:val="0"/>
          <w:numId w:val="179"/>
        </w:numPr>
        <w:tabs>
          <w:tab w:val="left" w:pos="128"/>
        </w:tabs>
        <w:ind w:left="128" w:hanging="128"/>
        <w:rPr>
          <w:rFonts w:ascii="Calibri" w:eastAsia="Calibri" w:hAnsi="Calibri" w:cs="Calibri"/>
          <w:sz w:val="26"/>
          <w:szCs w:val="26"/>
          <w:vertAlign w:val="superscript"/>
        </w:rPr>
      </w:pPr>
      <w:r>
        <w:rPr>
          <w:rFonts w:ascii="Calibri" w:eastAsia="Calibri" w:hAnsi="Calibri" w:cs="Calibri"/>
          <w:sz w:val="20"/>
          <w:szCs w:val="20"/>
        </w:rPr>
        <w:t>Il s’agit du CABO (Commissie van Advies voor</w:t>
      </w:r>
    </w:p>
    <w:p w:rsidR="00AC12B4" w:rsidRDefault="00AC12B4">
      <w:pPr>
        <w:spacing w:line="47" w:lineRule="exact"/>
        <w:rPr>
          <w:rFonts w:ascii="Calibri" w:eastAsia="Calibri" w:hAnsi="Calibri" w:cs="Calibri"/>
          <w:sz w:val="26"/>
          <w:szCs w:val="26"/>
          <w:vertAlign w:val="superscript"/>
        </w:rPr>
      </w:pPr>
    </w:p>
    <w:p w:rsidR="00AC12B4" w:rsidRPr="00C27636" w:rsidRDefault="00C27636">
      <w:pPr>
        <w:spacing w:line="224" w:lineRule="auto"/>
        <w:ind w:left="8" w:right="52"/>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Buitengewoon Onderwijs) en Communauté flamande (2012-2013: 158 élèves entre 6 et 12 ans ont été dispensés ainsi que 247 entre 12 et</w:t>
      </w:r>
    </w:p>
    <w:p w:rsidR="00AC12B4" w:rsidRPr="00C27636" w:rsidRDefault="00AC12B4">
      <w:pPr>
        <w:spacing w:line="48" w:lineRule="exact"/>
        <w:rPr>
          <w:rFonts w:ascii="Calibri" w:eastAsia="Calibri" w:hAnsi="Calibri" w:cs="Calibri"/>
          <w:sz w:val="26"/>
          <w:szCs w:val="26"/>
          <w:vertAlign w:val="superscript"/>
          <w:lang w:val="fr-BE"/>
        </w:rPr>
      </w:pPr>
    </w:p>
    <w:p w:rsidR="00AC12B4" w:rsidRPr="00C27636" w:rsidRDefault="00C27636">
      <w:pPr>
        <w:numPr>
          <w:ilvl w:val="0"/>
          <w:numId w:val="180"/>
        </w:numPr>
        <w:tabs>
          <w:tab w:val="left" w:pos="323"/>
        </w:tabs>
        <w:spacing w:line="224" w:lineRule="auto"/>
        <w:ind w:left="8" w:right="52" w:hanging="8"/>
        <w:jc w:val="both"/>
        <w:rPr>
          <w:rFonts w:ascii="Calibri" w:eastAsia="Calibri" w:hAnsi="Calibri" w:cs="Calibri"/>
          <w:sz w:val="20"/>
          <w:szCs w:val="20"/>
          <w:lang w:val="fr-BE"/>
        </w:rPr>
      </w:pPr>
      <w:r w:rsidRPr="00C27636">
        <w:rPr>
          <w:rFonts w:ascii="Calibri" w:eastAsia="Calibri" w:hAnsi="Calibri" w:cs="Calibri"/>
          <w:sz w:val="20"/>
          <w:szCs w:val="20"/>
          <w:lang w:val="fr-BE"/>
        </w:rPr>
        <w:t>ans) ; de la Commission Consultative de l’Enseignement Spécialisé en FWB et du Département Formation et Organisation de</w:t>
      </w:r>
    </w:p>
    <w:p w:rsidR="00AC12B4" w:rsidRPr="00C27636" w:rsidRDefault="00AC12B4">
      <w:pPr>
        <w:spacing w:line="48" w:lineRule="exact"/>
        <w:rPr>
          <w:rFonts w:ascii="Calibri" w:eastAsia="Calibri" w:hAnsi="Calibri" w:cs="Calibri"/>
          <w:sz w:val="20"/>
          <w:szCs w:val="20"/>
          <w:lang w:val="fr-BE"/>
        </w:rPr>
      </w:pPr>
    </w:p>
    <w:p w:rsidR="00AC12B4" w:rsidRPr="00C27636" w:rsidRDefault="00C27636">
      <w:pPr>
        <w:spacing w:line="225" w:lineRule="auto"/>
        <w:ind w:left="8" w:right="52"/>
        <w:jc w:val="both"/>
        <w:rPr>
          <w:rFonts w:ascii="Calibri" w:eastAsia="Calibri" w:hAnsi="Calibri" w:cs="Calibri"/>
          <w:sz w:val="20"/>
          <w:szCs w:val="20"/>
          <w:lang w:val="fr-BE"/>
        </w:rPr>
      </w:pPr>
      <w:r w:rsidRPr="00C27636">
        <w:rPr>
          <w:rFonts w:ascii="Calibri" w:eastAsia="Calibri" w:hAnsi="Calibri" w:cs="Calibri"/>
          <w:sz w:val="20"/>
          <w:szCs w:val="20"/>
          <w:lang w:val="fr-BE"/>
        </w:rPr>
        <w:t>l’</w:t>
      </w:r>
      <w:r w:rsidRPr="00C27636">
        <w:rPr>
          <w:rFonts w:ascii="Calibri" w:eastAsia="Calibri" w:hAnsi="Calibri" w:cs="Calibri"/>
          <w:sz w:val="20"/>
          <w:szCs w:val="20"/>
          <w:lang w:val="fr-BE"/>
        </w:rPr>
        <w:t>Enseignement en Communauté germanophone (aucune dispense en 2012-2013).</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11648" behindDoc="1" locked="0" layoutInCell="0" allowOverlap="1">
                <wp:simplePos x="0" y="0"/>
                <wp:positionH relativeFrom="column">
                  <wp:posOffset>-222885</wp:posOffset>
                </wp:positionH>
                <wp:positionV relativeFrom="paragraph">
                  <wp:posOffset>-9956165</wp:posOffset>
                </wp:positionV>
                <wp:extent cx="751205" cy="10908665"/>
                <wp:effectExtent l="0" t="0" r="0" b="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205" cy="10908665"/>
                        </a:xfrm>
                        <a:prstGeom prst="rect">
                          <a:avLst/>
                        </a:prstGeom>
                        <a:solidFill>
                          <a:srgbClr val="8BCCEC"/>
                        </a:solidFill>
                      </wps:spPr>
                      <wps:bodyPr/>
                    </wps:wsp>
                  </a:graphicData>
                </a:graphic>
              </wp:anchor>
            </w:drawing>
          </mc:Choice>
          <mc:Fallback>
            <w:pict>
              <v:rect id="Shape 276" o:spid="_x0000_s1301" style="position:absolute;margin-left:-17.5499pt;margin-top:-783.9499pt;width:59.15pt;height:85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Default="00AC12B4">
      <w:pPr>
        <w:sectPr w:rsidR="00AC12B4">
          <w:pgSz w:w="12080" w:h="17179"/>
          <w:pgMar w:top="1440" w:right="503" w:bottom="659" w:left="1440" w:header="0" w:footer="0" w:gutter="0"/>
          <w:cols w:num="3" w:space="720" w:equalWidth="0">
            <w:col w:w="4960" w:space="192"/>
            <w:col w:w="3920" w:space="720"/>
            <w:col w:w="342"/>
          </w:cols>
        </w:sectPr>
      </w:pPr>
    </w:p>
    <w:bookmarkStart w:id="107" w:name="page108"/>
    <w:bookmarkEnd w:id="107"/>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612672" behindDoc="1" locked="0" layoutInCell="0" allowOverlap="1">
                <wp:simplePos x="0" y="0"/>
                <wp:positionH relativeFrom="page">
                  <wp:posOffset>0</wp:posOffset>
                </wp:positionH>
                <wp:positionV relativeFrom="page">
                  <wp:posOffset>0</wp:posOffset>
                </wp:positionV>
                <wp:extent cx="788035" cy="10908665"/>
                <wp:effectExtent l="0" t="0" r="0" b="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035" cy="10908665"/>
                        </a:xfrm>
                        <a:prstGeom prst="rect">
                          <a:avLst/>
                        </a:prstGeom>
                        <a:solidFill>
                          <a:srgbClr val="8BCCEC"/>
                        </a:solidFill>
                      </wps:spPr>
                      <wps:bodyPr/>
                    </wps:wsp>
                  </a:graphicData>
                </a:graphic>
              </wp:anchor>
            </w:drawing>
          </mc:Choice>
          <mc:Fallback>
            <w:pict>
              <v:rect id="Shape 277" o:spid="_x0000_s1302" style="position:absolute;margin-left:0pt;margin-top:0pt;width:62.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7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w:t>
            </w:r>
            <w:r>
              <w:rPr>
                <w:rFonts w:ascii="Calibri" w:eastAsia="Calibri" w:hAnsi="Calibri" w:cs="Calibri"/>
                <w:b/>
                <w:bCs/>
                <w:i/>
                <w:iCs/>
                <w:color w:val="F2F2F2"/>
                <w:sz w:val="28"/>
                <w:szCs w:val="28"/>
              </w:rPr>
              <w:t xml:space="preserve"> l’enseignement</w:t>
            </w:r>
          </w:p>
        </w:tc>
      </w:tr>
    </w:tbl>
    <w:p w:rsidR="00AC12B4" w:rsidRDefault="00C27636">
      <w:pPr>
        <w:spacing w:line="20" w:lineRule="exact"/>
        <w:rPr>
          <w:sz w:val="20"/>
          <w:szCs w:val="20"/>
        </w:rPr>
      </w:pPr>
      <w:r>
        <w:rPr>
          <w:sz w:val="20"/>
          <w:szCs w:val="20"/>
        </w:rPr>
        <w:br w:type="column"/>
      </w:r>
    </w:p>
    <w:p w:rsidR="00AC12B4" w:rsidRDefault="00AC12B4">
      <w:pPr>
        <w:spacing w:line="144" w:lineRule="exact"/>
        <w:rPr>
          <w:sz w:val="20"/>
          <w:szCs w:val="20"/>
        </w:rPr>
      </w:pPr>
    </w:p>
    <w:p w:rsidR="00AC12B4" w:rsidRPr="00C27636" w:rsidRDefault="00C27636">
      <w:pPr>
        <w:ind w:left="420"/>
        <w:rPr>
          <w:sz w:val="20"/>
          <w:szCs w:val="20"/>
          <w:lang w:val="fr-BE"/>
        </w:rPr>
      </w:pPr>
      <w:r w:rsidRPr="00C27636">
        <w:rPr>
          <w:rFonts w:ascii="Calibri" w:eastAsia="Calibri" w:hAnsi="Calibri" w:cs="Calibri"/>
          <w:sz w:val="20"/>
          <w:szCs w:val="20"/>
          <w:lang w:val="fr-BE"/>
        </w:rPr>
        <w:t>enfants ayant obtenu un diplôme avant</w:t>
      </w:r>
    </w:p>
    <w:p w:rsidR="00AC12B4" w:rsidRPr="00C27636" w:rsidRDefault="00AC12B4">
      <w:pPr>
        <w:spacing w:line="37" w:lineRule="exact"/>
        <w:rPr>
          <w:sz w:val="20"/>
          <w:szCs w:val="20"/>
          <w:lang w:val="fr-BE"/>
        </w:rPr>
      </w:pPr>
    </w:p>
    <w:p w:rsidR="00AC12B4" w:rsidRPr="00C27636" w:rsidRDefault="00C27636">
      <w:pPr>
        <w:ind w:left="420"/>
        <w:rPr>
          <w:sz w:val="20"/>
          <w:szCs w:val="20"/>
          <w:lang w:val="fr-BE"/>
        </w:rPr>
      </w:pPr>
      <w:r w:rsidRPr="00C27636">
        <w:rPr>
          <w:rFonts w:ascii="Calibri" w:eastAsia="Calibri" w:hAnsi="Calibri" w:cs="Calibri"/>
          <w:sz w:val="20"/>
          <w:szCs w:val="20"/>
          <w:lang w:val="fr-BE"/>
        </w:rPr>
        <w:t>leurs 18 ans sont également dispensés.</w:t>
      </w:r>
    </w:p>
    <w:p w:rsidR="00AC12B4" w:rsidRPr="00C27636" w:rsidRDefault="00AC12B4">
      <w:pPr>
        <w:spacing w:line="95" w:lineRule="exact"/>
        <w:rPr>
          <w:sz w:val="20"/>
          <w:szCs w:val="20"/>
          <w:lang w:val="fr-BE"/>
        </w:rPr>
      </w:pPr>
    </w:p>
    <w:p w:rsidR="00AC12B4" w:rsidRPr="00C27636" w:rsidRDefault="00C27636">
      <w:pPr>
        <w:numPr>
          <w:ilvl w:val="0"/>
          <w:numId w:val="181"/>
        </w:numPr>
        <w:tabs>
          <w:tab w:val="left" w:pos="420"/>
        </w:tabs>
        <w:spacing w:line="267" w:lineRule="auto"/>
        <w:ind w:left="420" w:right="5317" w:hanging="352"/>
        <w:jc w:val="both"/>
        <w:rPr>
          <w:rFonts w:ascii="Symbol" w:eastAsia="Symbol" w:hAnsi="Symbol" w:cs="Symbol"/>
          <w:sz w:val="20"/>
          <w:szCs w:val="20"/>
          <w:lang w:val="fr-BE"/>
        </w:rPr>
      </w:pPr>
      <w:r w:rsidRPr="00C27636">
        <w:rPr>
          <w:rFonts w:ascii="Calibri" w:eastAsia="Calibri" w:hAnsi="Calibri" w:cs="Calibri"/>
          <w:b/>
          <w:bCs/>
          <w:i/>
          <w:iCs/>
          <w:color w:val="4BACC6"/>
          <w:sz w:val="20"/>
          <w:szCs w:val="20"/>
          <w:lang w:val="fr-BE"/>
        </w:rPr>
        <w:t xml:space="preserve">Enfants ROM : </w:t>
      </w:r>
      <w:r w:rsidRPr="00C27636">
        <w:rPr>
          <w:rFonts w:ascii="Calibri" w:eastAsia="Calibri" w:hAnsi="Calibri" w:cs="Calibri"/>
          <w:color w:val="000000"/>
          <w:sz w:val="20"/>
          <w:szCs w:val="20"/>
          <w:lang w:val="fr-BE"/>
        </w:rPr>
        <w:t>Cf. Knelpuntennota</w:t>
      </w:r>
      <w:r w:rsidRPr="00C27636">
        <w:rPr>
          <w:rFonts w:ascii="Calibri" w:eastAsia="Calibri" w:hAnsi="Calibri" w:cs="Calibri"/>
          <w:b/>
          <w:bCs/>
          <w:i/>
          <w:iCs/>
          <w:color w:val="4BACC6"/>
          <w:sz w:val="20"/>
          <w:szCs w:val="20"/>
          <w:lang w:val="fr-BE"/>
        </w:rPr>
        <w:t xml:space="preserve"> </w:t>
      </w:r>
      <w:r w:rsidRPr="00C27636">
        <w:rPr>
          <w:rFonts w:ascii="Calibri" w:eastAsia="Calibri" w:hAnsi="Calibri" w:cs="Calibri"/>
          <w:color w:val="000000"/>
          <w:sz w:val="20"/>
          <w:szCs w:val="20"/>
          <w:lang w:val="fr-BE"/>
        </w:rPr>
        <w:t xml:space="preserve">Kinderrechtencommissariaat, nr. 2014-2015/1, 31 oktober 2014: seulement la moitié des enfants ROM entre 6 et 11 ans dont le </w:t>
      </w:r>
      <w:r w:rsidRPr="00C27636">
        <w:rPr>
          <w:rFonts w:ascii="Calibri" w:eastAsia="Calibri" w:hAnsi="Calibri" w:cs="Calibri"/>
          <w:color w:val="000000"/>
          <w:sz w:val="20"/>
          <w:szCs w:val="20"/>
          <w:lang w:val="fr-BE"/>
        </w:rPr>
        <w:t>logement se trouve sur un terrain privé en Flandre, va à l’école. Les familles résidant sur un terrain communal agréé fréquentent mieux l’école.</w:t>
      </w:r>
    </w:p>
    <w:p w:rsidR="00AC12B4" w:rsidRPr="00C27636" w:rsidRDefault="00AC12B4">
      <w:pPr>
        <w:spacing w:line="71" w:lineRule="exact"/>
        <w:rPr>
          <w:rFonts w:ascii="Symbol" w:eastAsia="Symbol" w:hAnsi="Symbol" w:cs="Symbol"/>
          <w:sz w:val="20"/>
          <w:szCs w:val="20"/>
          <w:lang w:val="fr-BE"/>
        </w:rPr>
      </w:pPr>
    </w:p>
    <w:p w:rsidR="00AC12B4" w:rsidRPr="00C27636" w:rsidRDefault="00C27636">
      <w:pPr>
        <w:numPr>
          <w:ilvl w:val="0"/>
          <w:numId w:val="181"/>
        </w:numPr>
        <w:tabs>
          <w:tab w:val="left" w:pos="420"/>
        </w:tabs>
        <w:spacing w:line="230" w:lineRule="auto"/>
        <w:ind w:left="420" w:right="5317" w:hanging="352"/>
        <w:jc w:val="both"/>
        <w:rPr>
          <w:rFonts w:ascii="Symbol" w:eastAsia="Symbol" w:hAnsi="Symbol" w:cs="Symbol"/>
          <w:sz w:val="20"/>
          <w:szCs w:val="20"/>
          <w:lang w:val="fr-BE"/>
        </w:rPr>
      </w:pPr>
      <w:r w:rsidRPr="00C27636">
        <w:rPr>
          <w:rFonts w:ascii="Calibri" w:eastAsia="Calibri" w:hAnsi="Calibri" w:cs="Calibri"/>
          <w:b/>
          <w:bCs/>
          <w:i/>
          <w:iCs/>
          <w:color w:val="4BACC6"/>
          <w:sz w:val="20"/>
          <w:szCs w:val="20"/>
          <w:lang w:val="fr-BE"/>
        </w:rPr>
        <w:t xml:space="preserve">Enfants en IPPJ, régime fermé : </w:t>
      </w:r>
      <w:r w:rsidRPr="00C27636">
        <w:rPr>
          <w:rFonts w:ascii="Calibri" w:eastAsia="Calibri" w:hAnsi="Calibri" w:cs="Calibri"/>
          <w:color w:val="000000"/>
          <w:sz w:val="20"/>
          <w:szCs w:val="20"/>
          <w:lang w:val="fr-BE"/>
        </w:rPr>
        <w:t>Ce n'est</w:t>
      </w:r>
      <w:r w:rsidRPr="00C27636">
        <w:rPr>
          <w:rFonts w:ascii="Calibri" w:eastAsia="Calibri" w:hAnsi="Calibri" w:cs="Calibri"/>
          <w:b/>
          <w:bCs/>
          <w:i/>
          <w:iCs/>
          <w:color w:val="4BACC6"/>
          <w:sz w:val="20"/>
          <w:szCs w:val="20"/>
          <w:lang w:val="fr-BE"/>
        </w:rPr>
        <w:t xml:space="preserve"> </w:t>
      </w:r>
      <w:r w:rsidRPr="00C27636">
        <w:rPr>
          <w:rFonts w:ascii="Calibri" w:eastAsia="Calibri" w:hAnsi="Calibri" w:cs="Calibri"/>
          <w:color w:val="000000"/>
          <w:sz w:val="20"/>
          <w:szCs w:val="20"/>
          <w:lang w:val="fr-BE"/>
        </w:rPr>
        <w:t xml:space="preserve">pas uniquement la question de la qualité de l’enseignement dispensé </w:t>
      </w:r>
      <w:r w:rsidRPr="00C27636">
        <w:rPr>
          <w:rFonts w:ascii="Calibri" w:eastAsia="Calibri" w:hAnsi="Calibri" w:cs="Calibri"/>
          <w:color w:val="000000"/>
          <w:sz w:val="20"/>
          <w:szCs w:val="20"/>
          <w:lang w:val="fr-BE"/>
        </w:rPr>
        <w:t>qui est posée ici, mais avant tout celle des efforts fournis en vue d'une réintégration scolaire du jeune après une mesure de</w:t>
      </w:r>
    </w:p>
    <w:p w:rsidR="00AC12B4" w:rsidRPr="00C27636" w:rsidRDefault="00AC12B4">
      <w:pPr>
        <w:spacing w:line="3" w:lineRule="exact"/>
        <w:rPr>
          <w:rFonts w:ascii="Symbol" w:eastAsia="Symbol" w:hAnsi="Symbol" w:cs="Symbol"/>
          <w:sz w:val="20"/>
          <w:szCs w:val="20"/>
          <w:lang w:val="fr-BE"/>
        </w:rPr>
      </w:pPr>
    </w:p>
    <w:p w:rsidR="00AC12B4" w:rsidRPr="00C27636" w:rsidRDefault="00C27636">
      <w:pPr>
        <w:ind w:left="420"/>
        <w:rPr>
          <w:rFonts w:ascii="Symbol" w:eastAsia="Symbol" w:hAnsi="Symbol" w:cs="Symbol"/>
          <w:sz w:val="20"/>
          <w:szCs w:val="20"/>
          <w:lang w:val="nl-NL"/>
        </w:rPr>
      </w:pPr>
      <w:r w:rsidRPr="00C27636">
        <w:rPr>
          <w:rFonts w:ascii="Calibri" w:eastAsia="Calibri" w:hAnsi="Calibri" w:cs="Calibri"/>
          <w:sz w:val="20"/>
          <w:szCs w:val="20"/>
          <w:lang w:val="nl-NL"/>
        </w:rPr>
        <w:t>placement :MarcTrips,</w:t>
      </w:r>
    </w:p>
    <w:p w:rsidR="00AC12B4" w:rsidRPr="00C27636" w:rsidRDefault="00AC12B4">
      <w:pPr>
        <w:spacing w:line="47" w:lineRule="exact"/>
        <w:rPr>
          <w:rFonts w:ascii="Symbol" w:eastAsia="Symbol" w:hAnsi="Symbol" w:cs="Symbol"/>
          <w:sz w:val="20"/>
          <w:szCs w:val="20"/>
          <w:lang w:val="nl-NL"/>
        </w:rPr>
      </w:pPr>
    </w:p>
    <w:p w:rsidR="00AC12B4" w:rsidRPr="00C27636" w:rsidRDefault="00C27636">
      <w:pPr>
        <w:spacing w:line="230" w:lineRule="auto"/>
        <w:ind w:left="420" w:right="5317"/>
        <w:jc w:val="both"/>
        <w:rPr>
          <w:rFonts w:ascii="Symbol" w:eastAsia="Symbol" w:hAnsi="Symbol" w:cs="Symbol"/>
          <w:sz w:val="20"/>
          <w:szCs w:val="20"/>
          <w:lang w:val="fr-BE"/>
        </w:rPr>
      </w:pPr>
      <w:r w:rsidRPr="00C27636">
        <w:rPr>
          <w:rFonts w:ascii="Calibri" w:eastAsia="Calibri" w:hAnsi="Calibri" w:cs="Calibri"/>
          <w:sz w:val="20"/>
          <w:szCs w:val="20"/>
          <w:lang w:val="nl-NL"/>
        </w:rPr>
        <w:t xml:space="preserve">“Gemeenschapsinstellingen, gesloten federale centra en onderwijs. </w:t>
      </w:r>
      <w:r w:rsidRPr="00C27636">
        <w:rPr>
          <w:rFonts w:ascii="Calibri" w:eastAsia="Calibri" w:hAnsi="Calibri" w:cs="Calibri"/>
          <w:sz w:val="20"/>
          <w:szCs w:val="20"/>
          <w:lang w:val="fr-BE"/>
        </w:rPr>
        <w:t>Een complexe mix », Caleidoscoop, Jaarga</w:t>
      </w:r>
      <w:r w:rsidRPr="00C27636">
        <w:rPr>
          <w:rFonts w:ascii="Calibri" w:eastAsia="Calibri" w:hAnsi="Calibri" w:cs="Calibri"/>
          <w:sz w:val="20"/>
          <w:szCs w:val="20"/>
          <w:lang w:val="fr-BE"/>
        </w:rPr>
        <w:t>ng 25, nr 2, 11-19, accentue l’importance d’un accompagnateur d’élève au sein des</w:t>
      </w:r>
    </w:p>
    <w:p w:rsidR="00AC12B4" w:rsidRPr="00C27636" w:rsidRDefault="00AC12B4">
      <w:pPr>
        <w:spacing w:line="49" w:lineRule="exact"/>
        <w:rPr>
          <w:rFonts w:ascii="Symbol" w:eastAsia="Symbol" w:hAnsi="Symbol" w:cs="Symbol"/>
          <w:sz w:val="20"/>
          <w:szCs w:val="20"/>
          <w:lang w:val="fr-BE"/>
        </w:rPr>
      </w:pPr>
    </w:p>
    <w:p w:rsidR="00AC12B4" w:rsidRPr="00C27636" w:rsidRDefault="00C27636">
      <w:pPr>
        <w:spacing w:line="205" w:lineRule="auto"/>
        <w:ind w:left="420" w:right="5317"/>
        <w:rPr>
          <w:rFonts w:ascii="Symbol" w:eastAsia="Symbol" w:hAnsi="Symbol" w:cs="Symbol"/>
          <w:sz w:val="20"/>
          <w:szCs w:val="20"/>
          <w:lang w:val="fr-BE"/>
        </w:rPr>
      </w:pPr>
      <w:r w:rsidRPr="00C27636">
        <w:rPr>
          <w:rFonts w:ascii="Calibri" w:eastAsia="Calibri" w:hAnsi="Calibri" w:cs="Calibri"/>
          <w:sz w:val="20"/>
          <w:szCs w:val="20"/>
          <w:lang w:val="fr-BE"/>
        </w:rPr>
        <w:t>IPPJ et des centres communautaires fermés.</w:t>
      </w:r>
      <w:r w:rsidRPr="00C27636">
        <w:rPr>
          <w:rFonts w:ascii="Calibri" w:eastAsia="Calibri" w:hAnsi="Calibri" w:cs="Calibri"/>
          <w:sz w:val="25"/>
          <w:szCs w:val="25"/>
          <w:vertAlign w:val="superscript"/>
          <w:lang w:val="fr-BE"/>
        </w:rPr>
        <w:t>7</w:t>
      </w:r>
    </w:p>
    <w:p w:rsidR="00AC12B4" w:rsidRPr="00C27636" w:rsidRDefault="00AC12B4">
      <w:pPr>
        <w:spacing w:line="1" w:lineRule="exact"/>
        <w:rPr>
          <w:rFonts w:ascii="Symbol" w:eastAsia="Symbol" w:hAnsi="Symbol" w:cs="Symbol"/>
          <w:sz w:val="20"/>
          <w:szCs w:val="20"/>
          <w:lang w:val="fr-BE"/>
        </w:rPr>
      </w:pPr>
    </w:p>
    <w:p w:rsidR="00AC12B4" w:rsidRPr="00C27636" w:rsidRDefault="00C27636">
      <w:pPr>
        <w:spacing w:line="212" w:lineRule="auto"/>
        <w:ind w:left="420"/>
        <w:rPr>
          <w:rFonts w:ascii="Symbol" w:eastAsia="Symbol" w:hAnsi="Symbol" w:cs="Symbol"/>
          <w:sz w:val="20"/>
          <w:szCs w:val="20"/>
          <w:lang w:val="fr-BE"/>
        </w:rPr>
      </w:pPr>
      <w:r w:rsidRPr="00C27636">
        <w:rPr>
          <w:rFonts w:ascii="Calibri" w:eastAsia="Calibri" w:hAnsi="Calibri" w:cs="Calibri"/>
          <w:sz w:val="20"/>
          <w:szCs w:val="20"/>
          <w:lang w:val="fr-BE"/>
        </w:rPr>
        <w:t>Note :  l’enseignement  à  destination</w:t>
      </w:r>
    </w:p>
    <w:p w:rsidR="00AC12B4" w:rsidRPr="00C27636" w:rsidRDefault="00AC12B4">
      <w:pPr>
        <w:spacing w:line="45" w:lineRule="exact"/>
        <w:rPr>
          <w:rFonts w:ascii="Symbol" w:eastAsia="Symbol" w:hAnsi="Symbol" w:cs="Symbol"/>
          <w:sz w:val="20"/>
          <w:szCs w:val="20"/>
          <w:lang w:val="fr-BE"/>
        </w:rPr>
      </w:pPr>
    </w:p>
    <w:p w:rsidR="00AC12B4" w:rsidRPr="00C27636" w:rsidRDefault="00C27636">
      <w:pPr>
        <w:spacing w:line="205" w:lineRule="auto"/>
        <w:ind w:left="420" w:right="5317"/>
        <w:jc w:val="both"/>
        <w:rPr>
          <w:rFonts w:ascii="Symbol" w:eastAsia="Symbol" w:hAnsi="Symbol" w:cs="Symbol"/>
          <w:sz w:val="20"/>
          <w:szCs w:val="20"/>
          <w:lang w:val="fr-BE"/>
        </w:rPr>
      </w:pPr>
      <w:r w:rsidRPr="00C27636">
        <w:rPr>
          <w:rFonts w:ascii="Calibri" w:eastAsia="Calibri" w:hAnsi="Calibri" w:cs="Calibri"/>
          <w:sz w:val="20"/>
          <w:szCs w:val="20"/>
          <w:lang w:val="fr-BE"/>
        </w:rPr>
        <w:t>d’enfants germanophones placés en IPPJ se limite à un enseignement à distance</w:t>
      </w:r>
      <w:r w:rsidRPr="00C27636">
        <w:rPr>
          <w:rFonts w:ascii="Calibri" w:eastAsia="Calibri" w:hAnsi="Calibri" w:cs="Calibri"/>
          <w:sz w:val="25"/>
          <w:szCs w:val="25"/>
          <w:vertAlign w:val="superscript"/>
          <w:lang w:val="fr-BE"/>
        </w:rPr>
        <w:t>8</w:t>
      </w:r>
      <w:r w:rsidRPr="00C27636">
        <w:rPr>
          <w:rFonts w:ascii="Calibri" w:eastAsia="Calibri" w:hAnsi="Calibri" w:cs="Calibri"/>
          <w:sz w:val="20"/>
          <w:szCs w:val="20"/>
          <w:lang w:val="fr-BE"/>
        </w:rPr>
        <w:t>.</w:t>
      </w:r>
    </w:p>
    <w:p w:rsidR="00AC12B4" w:rsidRPr="00C27636" w:rsidRDefault="00AC12B4">
      <w:pPr>
        <w:spacing w:line="20" w:lineRule="exact"/>
        <w:rPr>
          <w:rFonts w:ascii="Symbol" w:eastAsia="Symbol" w:hAnsi="Symbol" w:cs="Symbol"/>
          <w:sz w:val="20"/>
          <w:szCs w:val="20"/>
          <w:lang w:val="fr-BE"/>
        </w:rPr>
      </w:pPr>
    </w:p>
    <w:p w:rsidR="00AC12B4" w:rsidRPr="00C27636" w:rsidRDefault="00C27636">
      <w:pPr>
        <w:spacing w:line="230" w:lineRule="auto"/>
        <w:ind w:left="420" w:right="5317"/>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L’ASBL </w:t>
      </w:r>
      <w:r w:rsidRPr="00C27636">
        <w:rPr>
          <w:rFonts w:ascii="Calibri" w:eastAsia="Calibri" w:hAnsi="Calibri" w:cs="Calibri"/>
          <w:sz w:val="20"/>
          <w:szCs w:val="20"/>
          <w:lang w:val="fr-BE"/>
        </w:rPr>
        <w:t>Oikos veille à la transmission au jeune du matériel nécessaire pour cet enseignement à distance, et au suivi régulier du jeune pendant son séjour en IPPJ.</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13696" behindDoc="1" locked="0" layoutInCell="0" allowOverlap="1">
                <wp:simplePos x="0" y="0"/>
                <wp:positionH relativeFrom="column">
                  <wp:posOffset>0</wp:posOffset>
                </wp:positionH>
                <wp:positionV relativeFrom="paragraph">
                  <wp:posOffset>1350010</wp:posOffset>
                </wp:positionV>
                <wp:extent cx="1828800" cy="0"/>
                <wp:effectExtent l="0" t="0" r="0" b="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3pt" to="144pt,106.3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9" w:lineRule="exact"/>
        <w:rPr>
          <w:sz w:val="20"/>
          <w:szCs w:val="20"/>
          <w:lang w:val="fr-BE"/>
        </w:rPr>
      </w:pPr>
    </w:p>
    <w:p w:rsidR="00AC12B4" w:rsidRPr="00C27636" w:rsidRDefault="00C27636">
      <w:pPr>
        <w:tabs>
          <w:tab w:val="left" w:pos="660"/>
          <w:tab w:val="left" w:pos="1120"/>
          <w:tab w:val="left" w:pos="2040"/>
          <w:tab w:val="left" w:pos="2480"/>
          <w:tab w:val="left" w:pos="3640"/>
        </w:tabs>
        <w:rPr>
          <w:sz w:val="20"/>
          <w:szCs w:val="20"/>
          <w:lang w:val="fr-BE"/>
        </w:rPr>
      </w:pPr>
      <w:r w:rsidRPr="00C27636">
        <w:rPr>
          <w:rFonts w:ascii="Calibri" w:eastAsia="Calibri" w:hAnsi="Calibri" w:cs="Calibri"/>
          <w:sz w:val="25"/>
          <w:szCs w:val="25"/>
          <w:vertAlign w:val="superscript"/>
          <w:lang w:val="fr-BE"/>
        </w:rPr>
        <w:t>7</w:t>
      </w:r>
      <w:r w:rsidRPr="00C27636">
        <w:rPr>
          <w:rFonts w:ascii="Calibri" w:eastAsia="Calibri" w:hAnsi="Calibri" w:cs="Calibri"/>
          <w:sz w:val="20"/>
          <w:szCs w:val="20"/>
          <w:lang w:val="fr-BE"/>
        </w:rPr>
        <w:t>Pour</w:t>
      </w:r>
      <w:r w:rsidRPr="00C27636">
        <w:rPr>
          <w:sz w:val="20"/>
          <w:szCs w:val="20"/>
          <w:lang w:val="fr-BE"/>
        </w:rPr>
        <w:tab/>
      </w:r>
      <w:r w:rsidRPr="00C27636">
        <w:rPr>
          <w:rFonts w:ascii="Calibri" w:eastAsia="Calibri" w:hAnsi="Calibri" w:cs="Calibri"/>
          <w:sz w:val="20"/>
          <w:szCs w:val="20"/>
          <w:lang w:val="fr-BE"/>
        </w:rPr>
        <w:t>les</w:t>
      </w:r>
      <w:r w:rsidRPr="00C27636">
        <w:rPr>
          <w:rFonts w:ascii="Calibri" w:eastAsia="Calibri" w:hAnsi="Calibri" w:cs="Calibri"/>
          <w:sz w:val="20"/>
          <w:szCs w:val="20"/>
          <w:lang w:val="fr-BE"/>
        </w:rPr>
        <w:tab/>
        <w:t>rapports</w:t>
      </w:r>
      <w:r w:rsidRPr="00C27636">
        <w:rPr>
          <w:rFonts w:ascii="Calibri" w:eastAsia="Calibri" w:hAnsi="Calibri" w:cs="Calibri"/>
          <w:sz w:val="20"/>
          <w:szCs w:val="20"/>
          <w:lang w:val="fr-BE"/>
        </w:rPr>
        <w:tab/>
        <w:t>de</w:t>
      </w:r>
      <w:r w:rsidRPr="00C27636">
        <w:rPr>
          <w:rFonts w:ascii="Calibri" w:eastAsia="Calibri" w:hAnsi="Calibri" w:cs="Calibri"/>
          <w:sz w:val="20"/>
          <w:szCs w:val="20"/>
          <w:lang w:val="fr-BE"/>
        </w:rPr>
        <w:tab/>
        <w:t>l’inspection</w:t>
      </w:r>
      <w:r w:rsidRPr="00C27636">
        <w:rPr>
          <w:rFonts w:ascii="Calibri" w:eastAsia="Calibri" w:hAnsi="Calibri" w:cs="Calibri"/>
          <w:sz w:val="20"/>
          <w:szCs w:val="20"/>
          <w:lang w:val="fr-BE"/>
        </w:rPr>
        <w:tab/>
        <w:t>de</w:t>
      </w:r>
    </w:p>
    <w:p w:rsidR="00AC12B4" w:rsidRPr="00C27636" w:rsidRDefault="00AC12B4">
      <w:pPr>
        <w:spacing w:line="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sz w:val="20"/>
          <w:szCs w:val="20"/>
          <w:lang w:val="fr-BE"/>
        </w:rPr>
        <w:t>l’enseignement flamand (2011 et 2014)  et les</w:t>
      </w:r>
    </w:p>
    <w:p w:rsidR="00AC12B4" w:rsidRPr="00C27636" w:rsidRDefault="00AC12B4">
      <w:pPr>
        <w:spacing w:line="1" w:lineRule="exact"/>
        <w:rPr>
          <w:sz w:val="20"/>
          <w:szCs w:val="20"/>
          <w:lang w:val="fr-BE"/>
        </w:rPr>
      </w:pPr>
    </w:p>
    <w:p w:rsidR="00AC12B4" w:rsidRPr="00C27636" w:rsidRDefault="00C27636">
      <w:pPr>
        <w:tabs>
          <w:tab w:val="left" w:pos="840"/>
          <w:tab w:val="left" w:pos="1880"/>
          <w:tab w:val="left" w:pos="2520"/>
          <w:tab w:val="left" w:pos="2960"/>
          <w:tab w:val="left" w:pos="3660"/>
        </w:tabs>
        <w:rPr>
          <w:sz w:val="20"/>
          <w:szCs w:val="20"/>
          <w:lang w:val="fr-BE"/>
        </w:rPr>
      </w:pPr>
      <w:r w:rsidRPr="00C27636">
        <w:rPr>
          <w:rFonts w:ascii="Calibri" w:eastAsia="Calibri" w:hAnsi="Calibri" w:cs="Calibri"/>
          <w:sz w:val="20"/>
          <w:szCs w:val="20"/>
          <w:lang w:val="fr-BE"/>
        </w:rPr>
        <w:t>cr</w:t>
      </w:r>
      <w:r w:rsidRPr="00C27636">
        <w:rPr>
          <w:rFonts w:ascii="Calibri" w:eastAsia="Calibri" w:hAnsi="Calibri" w:cs="Calibri"/>
          <w:sz w:val="20"/>
          <w:szCs w:val="20"/>
          <w:lang w:val="fr-BE"/>
        </w:rPr>
        <w:t>itères</w:t>
      </w:r>
      <w:r w:rsidRPr="00C27636">
        <w:rPr>
          <w:rFonts w:ascii="Calibri" w:eastAsia="Calibri" w:hAnsi="Calibri" w:cs="Calibri"/>
          <w:sz w:val="20"/>
          <w:szCs w:val="20"/>
          <w:lang w:val="fr-BE"/>
        </w:rPr>
        <w:tab/>
        <w:t>appliqués</w:t>
      </w:r>
      <w:r w:rsidRPr="00C27636">
        <w:rPr>
          <w:rFonts w:ascii="Calibri" w:eastAsia="Calibri" w:hAnsi="Calibri" w:cs="Calibri"/>
          <w:sz w:val="20"/>
          <w:szCs w:val="20"/>
          <w:lang w:val="fr-BE"/>
        </w:rPr>
        <w:tab/>
        <w:t>dans</w:t>
      </w:r>
      <w:r w:rsidRPr="00C27636">
        <w:rPr>
          <w:rFonts w:ascii="Calibri" w:eastAsia="Calibri" w:hAnsi="Calibri" w:cs="Calibri"/>
          <w:sz w:val="20"/>
          <w:szCs w:val="20"/>
          <w:lang w:val="fr-BE"/>
        </w:rPr>
        <w:tab/>
        <w:t>ce</w:t>
      </w:r>
      <w:r w:rsidRPr="00C27636">
        <w:rPr>
          <w:rFonts w:ascii="Calibri" w:eastAsia="Calibri" w:hAnsi="Calibri" w:cs="Calibri"/>
          <w:sz w:val="20"/>
          <w:szCs w:val="20"/>
          <w:lang w:val="fr-BE"/>
        </w:rPr>
        <w:tab/>
        <w:t>cadre</w:t>
      </w:r>
      <w:r w:rsidRPr="00C27636">
        <w:rPr>
          <w:rFonts w:ascii="Calibri" w:eastAsia="Calibri" w:hAnsi="Calibri" w:cs="Calibri"/>
          <w:sz w:val="20"/>
          <w:szCs w:val="20"/>
          <w:lang w:val="fr-BE"/>
        </w:rPr>
        <w:tab/>
        <w:t>cf.</w:t>
      </w:r>
    </w:p>
    <w:p w:rsidR="00AC12B4" w:rsidRPr="00C27636" w:rsidRDefault="00C27636">
      <w:pPr>
        <w:spacing w:line="238" w:lineRule="auto"/>
        <w:rPr>
          <w:rFonts w:ascii="Calibri" w:eastAsia="Calibri" w:hAnsi="Calibri" w:cs="Calibri"/>
          <w:color w:val="0000FF"/>
          <w:sz w:val="20"/>
          <w:szCs w:val="20"/>
          <w:u w:val="single"/>
          <w:lang w:val="fr-BE"/>
        </w:rPr>
      </w:pPr>
      <w:hyperlink r:id="rId180" w:anchor="onderwijsinspectie">
        <w:r w:rsidRPr="00C27636">
          <w:rPr>
            <w:rFonts w:ascii="Calibri" w:eastAsia="Calibri" w:hAnsi="Calibri" w:cs="Calibri"/>
            <w:color w:val="0000FF"/>
            <w:sz w:val="20"/>
            <w:szCs w:val="20"/>
            <w:u w:val="single"/>
            <w:lang w:val="fr-BE"/>
          </w:rPr>
          <w:t>http://wvg.vlaanderen.be/jongerenwelzijn/jeu</w:t>
        </w:r>
      </w:hyperlink>
    </w:p>
    <w:p w:rsidR="00AC12B4" w:rsidRPr="00C27636" w:rsidRDefault="00AC12B4">
      <w:pPr>
        <w:spacing w:line="1" w:lineRule="exact"/>
        <w:rPr>
          <w:sz w:val="20"/>
          <w:szCs w:val="20"/>
          <w:lang w:val="fr-BE"/>
        </w:rPr>
      </w:pPr>
    </w:p>
    <w:p w:rsidR="00AC12B4" w:rsidRDefault="00C27636">
      <w:pPr>
        <w:rPr>
          <w:rFonts w:ascii="Calibri" w:eastAsia="Calibri" w:hAnsi="Calibri" w:cs="Calibri"/>
          <w:color w:val="0000FF"/>
          <w:sz w:val="20"/>
          <w:szCs w:val="20"/>
          <w:u w:val="single"/>
        </w:rPr>
      </w:pPr>
      <w:hyperlink r:id="rId181" w:anchor="onderwijsinspectie">
        <w:r>
          <w:rPr>
            <w:rFonts w:ascii="Calibri" w:eastAsia="Calibri" w:hAnsi="Calibri" w:cs="Calibri"/>
            <w:color w:val="0000FF"/>
            <w:sz w:val="20"/>
            <w:szCs w:val="20"/>
            <w:u w:val="single"/>
          </w:rPr>
          <w:t>gdhulp/publieke-</w:t>
        </w:r>
      </w:hyperlink>
    </w:p>
    <w:p w:rsidR="00AC12B4" w:rsidRDefault="00AC12B4">
      <w:pPr>
        <w:spacing w:line="1" w:lineRule="exact"/>
        <w:rPr>
          <w:sz w:val="20"/>
          <w:szCs w:val="20"/>
        </w:rPr>
      </w:pPr>
    </w:p>
    <w:p w:rsidR="00AC12B4" w:rsidRDefault="00C27636">
      <w:pPr>
        <w:rPr>
          <w:rFonts w:ascii="Calibri" w:eastAsia="Calibri" w:hAnsi="Calibri" w:cs="Calibri"/>
          <w:color w:val="0000FF"/>
          <w:sz w:val="20"/>
          <w:szCs w:val="20"/>
          <w:u w:val="single"/>
        </w:rPr>
      </w:pPr>
      <w:hyperlink r:id="rId182" w:anchor="onderwijsinspectie">
        <w:r>
          <w:rPr>
            <w:rFonts w:ascii="Calibri" w:eastAsia="Calibri" w:hAnsi="Calibri" w:cs="Calibri"/>
            <w:color w:val="0000FF"/>
            <w:sz w:val="20"/>
            <w:szCs w:val="20"/>
            <w:u w:val="single"/>
          </w:rPr>
          <w:t>jeugdinstellingen/inspectiebezoeken/#onderwi</w:t>
        </w:r>
      </w:hyperlink>
    </w:p>
    <w:p w:rsidR="00AC12B4" w:rsidRDefault="00AC12B4">
      <w:pPr>
        <w:spacing w:line="200" w:lineRule="exact"/>
        <w:rPr>
          <w:sz w:val="20"/>
          <w:szCs w:val="20"/>
        </w:rPr>
      </w:pPr>
    </w:p>
    <w:p w:rsidR="00AC12B4" w:rsidRDefault="00AC12B4">
      <w:pPr>
        <w:spacing w:line="210" w:lineRule="exact"/>
        <w:rPr>
          <w:sz w:val="20"/>
          <w:szCs w:val="20"/>
        </w:rPr>
      </w:pPr>
    </w:p>
    <w:p w:rsidR="00AC12B4" w:rsidRPr="00C27636" w:rsidRDefault="00C27636">
      <w:pPr>
        <w:numPr>
          <w:ilvl w:val="0"/>
          <w:numId w:val="182"/>
        </w:numPr>
        <w:tabs>
          <w:tab w:val="left" w:pos="125"/>
        </w:tabs>
        <w:spacing w:line="221" w:lineRule="auto"/>
        <w:ind w:right="531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Le placement de mineurs germanophones en IPPJ fermée est systématiquement de très courte durée puisqu’au plus vite un suivi ambulatoire est mis en place. Il n’y a donc p</w:t>
      </w:r>
      <w:r w:rsidRPr="00C27636">
        <w:rPr>
          <w:rFonts w:ascii="Calibri" w:eastAsia="Calibri" w:hAnsi="Calibri" w:cs="Calibri"/>
          <w:sz w:val="20"/>
          <w:szCs w:val="20"/>
          <w:lang w:val="fr-BE"/>
        </w:rPr>
        <w:t>as lieu de craindre des problèmes de réintégration scolaire.</w:t>
      </w:r>
    </w:p>
    <w:p w:rsidR="00AC12B4" w:rsidRPr="00C27636" w:rsidRDefault="00AC12B4">
      <w:pPr>
        <w:spacing w:line="244" w:lineRule="exact"/>
        <w:rPr>
          <w:sz w:val="20"/>
          <w:szCs w:val="20"/>
          <w:lang w:val="fr-BE"/>
        </w:rPr>
      </w:pPr>
    </w:p>
    <w:p w:rsidR="00AC12B4" w:rsidRPr="00C27636" w:rsidRDefault="00C27636">
      <w:pPr>
        <w:ind w:right="737"/>
        <w:jc w:val="center"/>
        <w:rPr>
          <w:sz w:val="20"/>
          <w:szCs w:val="20"/>
          <w:lang w:val="fr-BE"/>
        </w:rPr>
      </w:pPr>
      <w:r w:rsidRPr="00C27636">
        <w:rPr>
          <w:rFonts w:ascii="Calibri" w:eastAsia="Calibri" w:hAnsi="Calibri" w:cs="Calibri"/>
          <w:lang w:val="fr-BE"/>
        </w:rPr>
        <w:t>108</w:t>
      </w:r>
    </w:p>
    <w:p w:rsidR="00AC12B4" w:rsidRPr="00C27636" w:rsidRDefault="00AC12B4">
      <w:pPr>
        <w:rPr>
          <w:lang w:val="fr-BE"/>
        </w:rPr>
        <w:sectPr w:rsidR="00AC12B4" w:rsidRPr="00C27636">
          <w:pgSz w:w="12080" w:h="17179"/>
          <w:pgMar w:top="1440" w:right="1440" w:bottom="659" w:left="497" w:header="0" w:footer="0" w:gutter="0"/>
          <w:cols w:num="2" w:space="720" w:equalWidth="0">
            <w:col w:w="342" w:space="601"/>
            <w:col w:w="9197"/>
          </w:cols>
        </w:sectPr>
      </w:pPr>
    </w:p>
    <w:p w:rsidR="00AC12B4" w:rsidRPr="00C27636" w:rsidRDefault="00AC12B4">
      <w:pPr>
        <w:framePr w:w="2896" w:h="2562" w:wrap="auto" w:vAnchor="page" w:hAnchor="page" w:x="8431" w:y="9236"/>
        <w:jc w:val="center"/>
        <w:rPr>
          <w:sz w:val="20"/>
          <w:szCs w:val="20"/>
          <w:lang w:val="fr-BE"/>
        </w:rPr>
      </w:pPr>
      <w:bookmarkStart w:id="108" w:name="page109"/>
      <w:bookmarkEnd w:id="108"/>
    </w:p>
    <w:p w:rsidR="00AC12B4" w:rsidRPr="00C27636" w:rsidRDefault="00C27636">
      <w:pPr>
        <w:framePr w:w="2400" w:h="220" w:wrap="auto" w:vAnchor="page" w:hAnchor="page" w:x="8960" w:y="9468"/>
        <w:spacing w:line="189" w:lineRule="auto"/>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t>des  élèves  de  15  ans</w:t>
      </w:r>
    </w:p>
    <w:p w:rsidR="00AC12B4" w:rsidRPr="00C27636" w:rsidRDefault="00C27636">
      <w:pPr>
        <w:framePr w:w="960" w:h="220" w:wrap="auto" w:vAnchor="page" w:hAnchor="page" w:x="8960" w:y="9747"/>
        <w:spacing w:line="198" w:lineRule="auto"/>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t>déclarent</w:t>
      </w:r>
    </w:p>
    <w:p w:rsidR="00AC12B4" w:rsidRPr="00C27636" w:rsidRDefault="00C27636">
      <w:pPr>
        <w:framePr w:w="480" w:h="220" w:wrap="auto" w:vAnchor="page" w:hAnchor="page" w:x="10880" w:y="9747"/>
        <w:spacing w:line="198" w:lineRule="auto"/>
        <w:rPr>
          <w:rFonts w:ascii="Comic Sans MS" w:eastAsia="Comic Sans MS" w:hAnsi="Comic Sans MS" w:cs="Comic Sans MS"/>
          <w:color w:val="0D0D0D"/>
          <w:sz w:val="19"/>
          <w:szCs w:val="19"/>
          <w:lang w:val="fr-BE"/>
        </w:rPr>
      </w:pPr>
      <w:r w:rsidRPr="00C27636">
        <w:rPr>
          <w:rFonts w:ascii="Comic Sans MS" w:eastAsia="Comic Sans MS" w:hAnsi="Comic Sans MS" w:cs="Comic Sans MS"/>
          <w:color w:val="0D0D0D"/>
          <w:sz w:val="19"/>
          <w:szCs w:val="19"/>
          <w:lang w:val="fr-BE"/>
        </w:rPr>
        <w:t>être</w:t>
      </w:r>
    </w:p>
    <w:p w:rsidR="00AC12B4" w:rsidRPr="00C27636" w:rsidRDefault="00C27636">
      <w:pPr>
        <w:framePr w:w="2400" w:h="1057" w:wrap="auto" w:vAnchor="page" w:hAnchor="page" w:x="8960" w:y="10025"/>
        <w:spacing w:line="227" w:lineRule="auto"/>
        <w:jc w:val="both"/>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t xml:space="preserve">confrontés à une </w:t>
      </w:r>
      <w:r w:rsidRPr="00C27636">
        <w:rPr>
          <w:rFonts w:ascii="Comic Sans MS" w:eastAsia="Comic Sans MS" w:hAnsi="Comic Sans MS" w:cs="Comic Sans MS"/>
          <w:color w:val="44ACE0"/>
          <w:sz w:val="20"/>
          <w:szCs w:val="20"/>
          <w:lang w:val="fr-BE"/>
        </w:rPr>
        <w:t xml:space="preserve">carence en matériel éducatif </w:t>
      </w:r>
      <w:r w:rsidRPr="00C27636">
        <w:rPr>
          <w:rFonts w:ascii="Comic Sans MS" w:eastAsia="Comic Sans MS" w:hAnsi="Comic Sans MS" w:cs="Comic Sans MS"/>
          <w:color w:val="0D0D0D"/>
          <w:sz w:val="20"/>
          <w:szCs w:val="20"/>
          <w:lang w:val="fr-BE"/>
        </w:rPr>
        <w:t>(PISA 2012),</w:t>
      </w:r>
      <w:r w:rsidRPr="00C27636">
        <w:rPr>
          <w:rFonts w:ascii="Comic Sans MS" w:eastAsia="Comic Sans MS" w:hAnsi="Comic Sans MS" w:cs="Comic Sans MS"/>
          <w:color w:val="44ACE0"/>
          <w:sz w:val="20"/>
          <w:szCs w:val="20"/>
          <w:lang w:val="fr-BE"/>
        </w:rPr>
        <w:t xml:space="preserve"> </w:t>
      </w:r>
      <w:r w:rsidRPr="00C27636">
        <w:rPr>
          <w:rFonts w:ascii="Comic Sans MS" w:eastAsia="Comic Sans MS" w:hAnsi="Comic Sans MS" w:cs="Comic Sans MS"/>
          <w:color w:val="0D0D0D"/>
          <w:sz w:val="20"/>
          <w:szCs w:val="20"/>
          <w:lang w:val="fr-BE"/>
        </w:rPr>
        <w:t>Ce chiffre est en</w:t>
      </w:r>
    </w:p>
    <w:p w:rsidR="00AC12B4" w:rsidRPr="00C27636" w:rsidRDefault="00C27636">
      <w:pPr>
        <w:framePr w:w="2400" w:h="498" w:wrap="auto" w:vAnchor="page" w:hAnchor="page" w:x="8960" w:y="11141"/>
        <w:spacing w:line="214" w:lineRule="auto"/>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t>augmentation par rapport à 2009.</w:t>
      </w:r>
    </w:p>
    <w:p w:rsidR="00AC12B4" w:rsidRPr="00C27636" w:rsidRDefault="00C27636">
      <w:pPr>
        <w:spacing w:line="168" w:lineRule="exact"/>
        <w:rPr>
          <w:rFonts w:ascii="Comic Sans MS" w:eastAsia="Comic Sans MS" w:hAnsi="Comic Sans MS" w:cs="Comic Sans MS"/>
          <w:color w:val="0D0D0D"/>
          <w:sz w:val="20"/>
          <w:szCs w:val="20"/>
          <w:lang w:val="fr-BE"/>
        </w:rPr>
      </w:pPr>
      <w:r>
        <w:rPr>
          <w:rFonts w:ascii="Comic Sans MS" w:eastAsia="Comic Sans MS" w:hAnsi="Comic Sans MS" w:cs="Comic Sans MS"/>
          <w:noProof/>
          <w:color w:val="0D0D0D"/>
          <w:sz w:val="20"/>
          <w:szCs w:val="20"/>
        </w:rPr>
        <mc:AlternateContent>
          <mc:Choice Requires="wps">
            <w:drawing>
              <wp:anchor distT="0" distB="0" distL="114300" distR="114300" simplePos="0" relativeHeight="251614720" behindDoc="1" locked="0" layoutInCell="0" allowOverlap="1">
                <wp:simplePos x="0" y="0"/>
                <wp:positionH relativeFrom="page">
                  <wp:posOffset>6913880</wp:posOffset>
                </wp:positionH>
                <wp:positionV relativeFrom="page">
                  <wp:posOffset>0</wp:posOffset>
                </wp:positionV>
                <wp:extent cx="751840" cy="10895965"/>
                <wp:effectExtent l="0" t="0" r="0" b="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5965"/>
                        </a:xfrm>
                        <a:prstGeom prst="rect">
                          <a:avLst/>
                        </a:prstGeom>
                        <a:solidFill>
                          <a:srgbClr val="8BCCEC"/>
                        </a:solidFill>
                      </wps:spPr>
                      <wps:bodyPr/>
                    </wps:wsp>
                  </a:graphicData>
                </a:graphic>
              </wp:anchor>
            </w:drawing>
          </mc:Choice>
          <mc:Fallback>
            <w:pict>
              <v:rect id="Shape 279" o:spid="_x0000_s1304" style="position:absolute;margin-left:544.4pt;margin-top:0pt;width:59.2pt;height:857.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Pr="00C27636" w:rsidRDefault="00C27636">
      <w:pPr>
        <w:ind w:left="1460"/>
        <w:rPr>
          <w:sz w:val="20"/>
          <w:szCs w:val="20"/>
          <w:lang w:val="fr-BE"/>
        </w:rPr>
      </w:pPr>
      <w:r w:rsidRPr="00C27636">
        <w:rPr>
          <w:rFonts w:ascii="Comic Sans MS" w:eastAsia="Comic Sans MS" w:hAnsi="Comic Sans MS" w:cs="Comic Sans MS"/>
          <w:color w:val="8BCCEC"/>
          <w:sz w:val="40"/>
          <w:szCs w:val="40"/>
          <w:lang w:val="fr-BE"/>
        </w:rPr>
        <w:t xml:space="preserve">E2. Carence </w:t>
      </w:r>
      <w:r w:rsidRPr="00C27636">
        <w:rPr>
          <w:rFonts w:ascii="Comic Sans MS" w:eastAsia="Comic Sans MS" w:hAnsi="Comic Sans MS" w:cs="Comic Sans MS"/>
          <w:color w:val="8BCCEC"/>
          <w:sz w:val="40"/>
          <w:szCs w:val="40"/>
          <w:lang w:val="fr-BE"/>
        </w:rPr>
        <w:t>en matériel éducatif</w:t>
      </w:r>
    </w:p>
    <w:p w:rsidR="00AC12B4" w:rsidRPr="00C27636" w:rsidRDefault="00AC12B4">
      <w:pPr>
        <w:spacing w:line="326" w:lineRule="exact"/>
        <w:rPr>
          <w:rFonts w:ascii="Comic Sans MS" w:eastAsia="Comic Sans MS" w:hAnsi="Comic Sans MS" w:cs="Comic Sans MS"/>
          <w:color w:val="0D0D0D"/>
          <w:sz w:val="20"/>
          <w:szCs w:val="20"/>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2160"/>
        <w:gridCol w:w="520"/>
        <w:gridCol w:w="560"/>
        <w:gridCol w:w="440"/>
        <w:gridCol w:w="240"/>
        <w:gridCol w:w="600"/>
        <w:gridCol w:w="440"/>
        <w:gridCol w:w="1100"/>
        <w:gridCol w:w="620"/>
        <w:gridCol w:w="300"/>
        <w:gridCol w:w="280"/>
        <w:gridCol w:w="480"/>
        <w:gridCol w:w="280"/>
        <w:gridCol w:w="280"/>
        <w:gridCol w:w="140"/>
        <w:gridCol w:w="500"/>
        <w:gridCol w:w="60"/>
        <w:gridCol w:w="540"/>
        <w:gridCol w:w="1420"/>
        <w:gridCol w:w="30"/>
      </w:tblGrid>
      <w:tr w:rsidR="00AC12B4" w:rsidRPr="00C27636">
        <w:trPr>
          <w:trHeight w:val="125"/>
        </w:trPr>
        <w:tc>
          <w:tcPr>
            <w:tcW w:w="2160" w:type="dxa"/>
            <w:tcBorders>
              <w:bottom w:val="single" w:sz="8" w:space="0" w:color="44ACE0"/>
            </w:tcBorders>
            <w:vAlign w:val="bottom"/>
          </w:tcPr>
          <w:p w:rsidR="00AC12B4" w:rsidRPr="00C27636" w:rsidRDefault="00AC12B4">
            <w:pPr>
              <w:rPr>
                <w:sz w:val="10"/>
                <w:szCs w:val="10"/>
                <w:lang w:val="fr-BE"/>
              </w:rPr>
            </w:pPr>
          </w:p>
        </w:tc>
        <w:tc>
          <w:tcPr>
            <w:tcW w:w="520" w:type="dxa"/>
            <w:tcBorders>
              <w:bottom w:val="single" w:sz="8" w:space="0" w:color="44ACE0"/>
            </w:tcBorders>
            <w:vAlign w:val="bottom"/>
          </w:tcPr>
          <w:p w:rsidR="00AC12B4" w:rsidRPr="00C27636" w:rsidRDefault="00AC12B4">
            <w:pPr>
              <w:rPr>
                <w:sz w:val="10"/>
                <w:szCs w:val="10"/>
                <w:lang w:val="fr-BE"/>
              </w:rPr>
            </w:pPr>
          </w:p>
        </w:tc>
        <w:tc>
          <w:tcPr>
            <w:tcW w:w="560" w:type="dxa"/>
            <w:tcBorders>
              <w:bottom w:val="single" w:sz="8" w:space="0" w:color="44ACE0"/>
            </w:tcBorders>
            <w:vAlign w:val="bottom"/>
          </w:tcPr>
          <w:p w:rsidR="00AC12B4" w:rsidRPr="00C27636" w:rsidRDefault="00AC12B4">
            <w:pPr>
              <w:rPr>
                <w:sz w:val="10"/>
                <w:szCs w:val="10"/>
                <w:lang w:val="fr-BE"/>
              </w:rPr>
            </w:pPr>
          </w:p>
        </w:tc>
        <w:tc>
          <w:tcPr>
            <w:tcW w:w="440" w:type="dxa"/>
            <w:tcBorders>
              <w:bottom w:val="single" w:sz="8" w:space="0" w:color="44ACE0"/>
            </w:tcBorders>
            <w:vAlign w:val="bottom"/>
          </w:tcPr>
          <w:p w:rsidR="00AC12B4" w:rsidRPr="00C27636" w:rsidRDefault="00AC12B4">
            <w:pPr>
              <w:rPr>
                <w:sz w:val="10"/>
                <w:szCs w:val="10"/>
                <w:lang w:val="fr-BE"/>
              </w:rPr>
            </w:pPr>
          </w:p>
        </w:tc>
        <w:tc>
          <w:tcPr>
            <w:tcW w:w="240" w:type="dxa"/>
            <w:tcBorders>
              <w:bottom w:val="single" w:sz="8" w:space="0" w:color="44ACE0"/>
            </w:tcBorders>
            <w:vAlign w:val="bottom"/>
          </w:tcPr>
          <w:p w:rsidR="00AC12B4" w:rsidRPr="00C27636" w:rsidRDefault="00AC12B4">
            <w:pPr>
              <w:rPr>
                <w:sz w:val="10"/>
                <w:szCs w:val="10"/>
                <w:lang w:val="fr-BE"/>
              </w:rPr>
            </w:pPr>
          </w:p>
        </w:tc>
        <w:tc>
          <w:tcPr>
            <w:tcW w:w="600" w:type="dxa"/>
            <w:tcBorders>
              <w:bottom w:val="single" w:sz="8" w:space="0" w:color="44ACE0"/>
            </w:tcBorders>
            <w:vAlign w:val="bottom"/>
          </w:tcPr>
          <w:p w:rsidR="00AC12B4" w:rsidRPr="00C27636" w:rsidRDefault="00AC12B4">
            <w:pPr>
              <w:rPr>
                <w:sz w:val="10"/>
                <w:szCs w:val="10"/>
                <w:lang w:val="fr-BE"/>
              </w:rPr>
            </w:pPr>
          </w:p>
        </w:tc>
        <w:tc>
          <w:tcPr>
            <w:tcW w:w="440" w:type="dxa"/>
            <w:tcBorders>
              <w:bottom w:val="single" w:sz="8" w:space="0" w:color="44ACE0"/>
            </w:tcBorders>
            <w:vAlign w:val="bottom"/>
          </w:tcPr>
          <w:p w:rsidR="00AC12B4" w:rsidRPr="00C27636" w:rsidRDefault="00AC12B4">
            <w:pPr>
              <w:rPr>
                <w:sz w:val="10"/>
                <w:szCs w:val="10"/>
                <w:lang w:val="fr-BE"/>
              </w:rPr>
            </w:pPr>
          </w:p>
        </w:tc>
        <w:tc>
          <w:tcPr>
            <w:tcW w:w="1100" w:type="dxa"/>
            <w:tcBorders>
              <w:bottom w:val="single" w:sz="8" w:space="0" w:color="44ACE0"/>
            </w:tcBorders>
            <w:vAlign w:val="bottom"/>
          </w:tcPr>
          <w:p w:rsidR="00AC12B4" w:rsidRPr="00C27636" w:rsidRDefault="00AC12B4">
            <w:pPr>
              <w:rPr>
                <w:sz w:val="10"/>
                <w:szCs w:val="10"/>
                <w:lang w:val="fr-BE"/>
              </w:rPr>
            </w:pPr>
          </w:p>
        </w:tc>
        <w:tc>
          <w:tcPr>
            <w:tcW w:w="620" w:type="dxa"/>
            <w:tcBorders>
              <w:bottom w:val="single" w:sz="8" w:space="0" w:color="44ACE0"/>
            </w:tcBorders>
            <w:vAlign w:val="bottom"/>
          </w:tcPr>
          <w:p w:rsidR="00AC12B4" w:rsidRPr="00C27636" w:rsidRDefault="00AC12B4">
            <w:pPr>
              <w:rPr>
                <w:sz w:val="10"/>
                <w:szCs w:val="10"/>
                <w:lang w:val="fr-BE"/>
              </w:rPr>
            </w:pPr>
          </w:p>
        </w:tc>
        <w:tc>
          <w:tcPr>
            <w:tcW w:w="4280" w:type="dxa"/>
            <w:gridSpan w:val="10"/>
            <w:vMerge w:val="restart"/>
            <w:vAlign w:val="bottom"/>
          </w:tcPr>
          <w:p w:rsidR="00AC12B4" w:rsidRPr="00C27636" w:rsidRDefault="00C27636">
            <w:pPr>
              <w:ind w:left="180"/>
              <w:rPr>
                <w:sz w:val="20"/>
                <w:szCs w:val="20"/>
                <w:lang w:val="fr-BE"/>
              </w:rPr>
            </w:pPr>
            <w:r w:rsidRPr="00C27636">
              <w:rPr>
                <w:rFonts w:ascii="Calibri" w:eastAsia="Calibri" w:hAnsi="Calibri" w:cs="Calibri"/>
                <w:lang w:val="fr-BE"/>
              </w:rPr>
              <w:t>une  fois  qu’il  est  indiqué  de</w:t>
            </w:r>
          </w:p>
        </w:tc>
        <w:tc>
          <w:tcPr>
            <w:tcW w:w="0" w:type="dxa"/>
            <w:vAlign w:val="bottom"/>
          </w:tcPr>
          <w:p w:rsidR="00AC12B4" w:rsidRPr="00C27636" w:rsidRDefault="00AC12B4">
            <w:pPr>
              <w:rPr>
                <w:sz w:val="1"/>
                <w:szCs w:val="1"/>
                <w:lang w:val="fr-BE"/>
              </w:rPr>
            </w:pPr>
          </w:p>
        </w:tc>
      </w:tr>
      <w:tr w:rsidR="00AC12B4" w:rsidRPr="00C27636">
        <w:trPr>
          <w:trHeight w:val="123"/>
        </w:trPr>
        <w:tc>
          <w:tcPr>
            <w:tcW w:w="2160" w:type="dxa"/>
            <w:tcBorders>
              <w:left w:val="single" w:sz="8" w:space="0" w:color="44ACE0"/>
            </w:tcBorders>
            <w:shd w:val="clear" w:color="auto" w:fill="8BCCEC"/>
            <w:vAlign w:val="bottom"/>
          </w:tcPr>
          <w:p w:rsidR="00AC12B4" w:rsidRPr="00C27636" w:rsidRDefault="00AC12B4">
            <w:pPr>
              <w:rPr>
                <w:sz w:val="10"/>
                <w:szCs w:val="10"/>
                <w:lang w:val="fr-BE"/>
              </w:rPr>
            </w:pPr>
          </w:p>
        </w:tc>
        <w:tc>
          <w:tcPr>
            <w:tcW w:w="520" w:type="dxa"/>
            <w:shd w:val="clear" w:color="auto" w:fill="8BCCEC"/>
            <w:vAlign w:val="bottom"/>
          </w:tcPr>
          <w:p w:rsidR="00AC12B4" w:rsidRPr="00C27636" w:rsidRDefault="00AC12B4">
            <w:pPr>
              <w:rPr>
                <w:sz w:val="10"/>
                <w:szCs w:val="10"/>
                <w:lang w:val="fr-BE"/>
              </w:rPr>
            </w:pPr>
          </w:p>
        </w:tc>
        <w:tc>
          <w:tcPr>
            <w:tcW w:w="560" w:type="dxa"/>
            <w:shd w:val="clear" w:color="auto" w:fill="8BCCEC"/>
            <w:vAlign w:val="bottom"/>
          </w:tcPr>
          <w:p w:rsidR="00AC12B4" w:rsidRPr="00C27636" w:rsidRDefault="00AC12B4">
            <w:pPr>
              <w:rPr>
                <w:sz w:val="10"/>
                <w:szCs w:val="10"/>
                <w:lang w:val="fr-BE"/>
              </w:rPr>
            </w:pPr>
          </w:p>
        </w:tc>
        <w:tc>
          <w:tcPr>
            <w:tcW w:w="440" w:type="dxa"/>
            <w:shd w:val="clear" w:color="auto" w:fill="8BCCEC"/>
            <w:vAlign w:val="bottom"/>
          </w:tcPr>
          <w:p w:rsidR="00AC12B4" w:rsidRPr="00C27636" w:rsidRDefault="00AC12B4">
            <w:pPr>
              <w:rPr>
                <w:sz w:val="10"/>
                <w:szCs w:val="10"/>
                <w:lang w:val="fr-BE"/>
              </w:rPr>
            </w:pPr>
          </w:p>
        </w:tc>
        <w:tc>
          <w:tcPr>
            <w:tcW w:w="240" w:type="dxa"/>
            <w:shd w:val="clear" w:color="auto" w:fill="8BCCEC"/>
            <w:vAlign w:val="bottom"/>
          </w:tcPr>
          <w:p w:rsidR="00AC12B4" w:rsidRPr="00C27636" w:rsidRDefault="00AC12B4">
            <w:pPr>
              <w:rPr>
                <w:sz w:val="10"/>
                <w:szCs w:val="10"/>
                <w:lang w:val="fr-BE"/>
              </w:rPr>
            </w:pPr>
          </w:p>
        </w:tc>
        <w:tc>
          <w:tcPr>
            <w:tcW w:w="600" w:type="dxa"/>
            <w:shd w:val="clear" w:color="auto" w:fill="8BCCEC"/>
            <w:vAlign w:val="bottom"/>
          </w:tcPr>
          <w:p w:rsidR="00AC12B4" w:rsidRPr="00C27636" w:rsidRDefault="00AC12B4">
            <w:pPr>
              <w:rPr>
                <w:sz w:val="10"/>
                <w:szCs w:val="10"/>
                <w:lang w:val="fr-BE"/>
              </w:rPr>
            </w:pPr>
          </w:p>
        </w:tc>
        <w:tc>
          <w:tcPr>
            <w:tcW w:w="440" w:type="dxa"/>
            <w:shd w:val="clear" w:color="auto" w:fill="8BCCEC"/>
            <w:vAlign w:val="bottom"/>
          </w:tcPr>
          <w:p w:rsidR="00AC12B4" w:rsidRPr="00C27636" w:rsidRDefault="00AC12B4">
            <w:pPr>
              <w:rPr>
                <w:sz w:val="10"/>
                <w:szCs w:val="10"/>
                <w:lang w:val="fr-BE"/>
              </w:rPr>
            </w:pPr>
          </w:p>
        </w:tc>
        <w:tc>
          <w:tcPr>
            <w:tcW w:w="1100" w:type="dxa"/>
            <w:shd w:val="clear" w:color="auto" w:fill="8BCCEC"/>
            <w:vAlign w:val="bottom"/>
          </w:tcPr>
          <w:p w:rsidR="00AC12B4" w:rsidRPr="00C27636" w:rsidRDefault="00AC12B4">
            <w:pPr>
              <w:rPr>
                <w:sz w:val="10"/>
                <w:szCs w:val="10"/>
                <w:lang w:val="fr-BE"/>
              </w:rPr>
            </w:pPr>
          </w:p>
        </w:tc>
        <w:tc>
          <w:tcPr>
            <w:tcW w:w="620" w:type="dxa"/>
            <w:tcBorders>
              <w:right w:val="single" w:sz="8" w:space="0" w:color="44ACE0"/>
            </w:tcBorders>
            <w:shd w:val="clear" w:color="auto" w:fill="8BCCEC"/>
            <w:vAlign w:val="bottom"/>
          </w:tcPr>
          <w:p w:rsidR="00AC12B4" w:rsidRPr="00C27636" w:rsidRDefault="00AC12B4">
            <w:pPr>
              <w:rPr>
                <w:sz w:val="10"/>
                <w:szCs w:val="10"/>
                <w:lang w:val="fr-BE"/>
              </w:rPr>
            </w:pPr>
          </w:p>
        </w:tc>
        <w:tc>
          <w:tcPr>
            <w:tcW w:w="4280" w:type="dxa"/>
            <w:gridSpan w:val="10"/>
            <w:vMerge/>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trPr>
          <w:trHeight w:val="220"/>
        </w:trPr>
        <w:tc>
          <w:tcPr>
            <w:tcW w:w="2160" w:type="dxa"/>
            <w:tcBorders>
              <w:left w:val="single" w:sz="8" w:space="0" w:color="44ACE0"/>
            </w:tcBorders>
            <w:shd w:val="clear" w:color="auto" w:fill="8BCCEC"/>
            <w:vAlign w:val="bottom"/>
          </w:tcPr>
          <w:p w:rsidR="00AC12B4" w:rsidRPr="00C27636" w:rsidRDefault="00AC12B4">
            <w:pPr>
              <w:rPr>
                <w:sz w:val="19"/>
                <w:szCs w:val="19"/>
                <w:lang w:val="fr-BE"/>
              </w:rPr>
            </w:pPr>
          </w:p>
        </w:tc>
        <w:tc>
          <w:tcPr>
            <w:tcW w:w="520" w:type="dxa"/>
            <w:shd w:val="clear" w:color="auto" w:fill="8BCCEC"/>
            <w:vAlign w:val="bottom"/>
          </w:tcPr>
          <w:p w:rsidR="00AC12B4" w:rsidRPr="00C27636" w:rsidRDefault="00AC12B4">
            <w:pPr>
              <w:rPr>
                <w:sz w:val="19"/>
                <w:szCs w:val="19"/>
                <w:lang w:val="fr-BE"/>
              </w:rPr>
            </w:pPr>
          </w:p>
        </w:tc>
        <w:tc>
          <w:tcPr>
            <w:tcW w:w="560" w:type="dxa"/>
            <w:shd w:val="clear" w:color="auto" w:fill="8BCCEC"/>
            <w:vAlign w:val="bottom"/>
          </w:tcPr>
          <w:p w:rsidR="00AC12B4" w:rsidRPr="00C27636" w:rsidRDefault="00AC12B4">
            <w:pPr>
              <w:rPr>
                <w:sz w:val="19"/>
                <w:szCs w:val="19"/>
                <w:lang w:val="fr-BE"/>
              </w:rPr>
            </w:pPr>
          </w:p>
        </w:tc>
        <w:tc>
          <w:tcPr>
            <w:tcW w:w="440" w:type="dxa"/>
            <w:shd w:val="clear" w:color="auto" w:fill="8BCCEC"/>
            <w:vAlign w:val="bottom"/>
          </w:tcPr>
          <w:p w:rsidR="00AC12B4" w:rsidRPr="00C27636" w:rsidRDefault="00AC12B4">
            <w:pPr>
              <w:rPr>
                <w:sz w:val="19"/>
                <w:szCs w:val="19"/>
                <w:lang w:val="fr-BE"/>
              </w:rPr>
            </w:pPr>
          </w:p>
        </w:tc>
        <w:tc>
          <w:tcPr>
            <w:tcW w:w="240" w:type="dxa"/>
            <w:shd w:val="clear" w:color="auto" w:fill="8BCCEC"/>
            <w:vAlign w:val="bottom"/>
          </w:tcPr>
          <w:p w:rsidR="00AC12B4" w:rsidRPr="00C27636" w:rsidRDefault="00AC12B4">
            <w:pPr>
              <w:rPr>
                <w:sz w:val="19"/>
                <w:szCs w:val="19"/>
                <w:lang w:val="fr-BE"/>
              </w:rPr>
            </w:pPr>
          </w:p>
        </w:tc>
        <w:tc>
          <w:tcPr>
            <w:tcW w:w="600" w:type="dxa"/>
            <w:shd w:val="clear" w:color="auto" w:fill="8BCCEC"/>
            <w:vAlign w:val="bottom"/>
          </w:tcPr>
          <w:p w:rsidR="00AC12B4" w:rsidRPr="00C27636" w:rsidRDefault="00AC12B4">
            <w:pPr>
              <w:rPr>
                <w:sz w:val="19"/>
                <w:szCs w:val="19"/>
                <w:lang w:val="fr-BE"/>
              </w:rPr>
            </w:pPr>
          </w:p>
        </w:tc>
        <w:tc>
          <w:tcPr>
            <w:tcW w:w="440" w:type="dxa"/>
            <w:shd w:val="clear" w:color="auto" w:fill="8BCCEC"/>
            <w:vAlign w:val="bottom"/>
          </w:tcPr>
          <w:p w:rsidR="00AC12B4" w:rsidRPr="00C27636" w:rsidRDefault="00AC12B4">
            <w:pPr>
              <w:rPr>
                <w:sz w:val="19"/>
                <w:szCs w:val="19"/>
                <w:lang w:val="fr-BE"/>
              </w:rPr>
            </w:pPr>
          </w:p>
        </w:tc>
        <w:tc>
          <w:tcPr>
            <w:tcW w:w="1100" w:type="dxa"/>
            <w:shd w:val="clear" w:color="auto" w:fill="8BCCEC"/>
            <w:vAlign w:val="bottom"/>
          </w:tcPr>
          <w:p w:rsidR="00AC12B4" w:rsidRPr="00C27636" w:rsidRDefault="00AC12B4">
            <w:pPr>
              <w:rPr>
                <w:sz w:val="19"/>
                <w:szCs w:val="19"/>
                <w:lang w:val="fr-BE"/>
              </w:rPr>
            </w:pPr>
          </w:p>
        </w:tc>
        <w:tc>
          <w:tcPr>
            <w:tcW w:w="620" w:type="dxa"/>
            <w:tcBorders>
              <w:right w:val="single" w:sz="8" w:space="0" w:color="44ACE0"/>
            </w:tcBorders>
            <w:shd w:val="clear" w:color="auto" w:fill="8BCCEC"/>
            <w:vAlign w:val="bottom"/>
          </w:tcPr>
          <w:p w:rsidR="00AC12B4" w:rsidRPr="00C27636" w:rsidRDefault="00AC12B4">
            <w:pPr>
              <w:rPr>
                <w:sz w:val="19"/>
                <w:szCs w:val="19"/>
                <w:lang w:val="fr-BE"/>
              </w:rPr>
            </w:pPr>
          </w:p>
        </w:tc>
        <w:tc>
          <w:tcPr>
            <w:tcW w:w="1340" w:type="dxa"/>
            <w:gridSpan w:val="4"/>
            <w:vAlign w:val="bottom"/>
          </w:tcPr>
          <w:p w:rsidR="00AC12B4" w:rsidRDefault="00C27636">
            <w:pPr>
              <w:spacing w:line="220" w:lineRule="exact"/>
              <w:ind w:left="180"/>
              <w:rPr>
                <w:sz w:val="20"/>
                <w:szCs w:val="20"/>
              </w:rPr>
            </w:pPr>
            <w:r>
              <w:rPr>
                <w:rFonts w:ascii="Calibri" w:eastAsia="Calibri" w:hAnsi="Calibri" w:cs="Calibri"/>
              </w:rPr>
              <w:t>développer</w:t>
            </w:r>
          </w:p>
        </w:tc>
        <w:tc>
          <w:tcPr>
            <w:tcW w:w="420" w:type="dxa"/>
            <w:gridSpan w:val="2"/>
            <w:vAlign w:val="bottom"/>
          </w:tcPr>
          <w:p w:rsidR="00AC12B4" w:rsidRDefault="00C27636">
            <w:pPr>
              <w:spacing w:line="220" w:lineRule="exact"/>
              <w:ind w:left="80"/>
              <w:rPr>
                <w:sz w:val="20"/>
                <w:szCs w:val="20"/>
              </w:rPr>
            </w:pPr>
            <w:r>
              <w:rPr>
                <w:rFonts w:ascii="Calibri" w:eastAsia="Calibri" w:hAnsi="Calibri" w:cs="Calibri"/>
                <w:w w:val="93"/>
              </w:rPr>
              <w:t>une</w:t>
            </w:r>
          </w:p>
        </w:tc>
        <w:tc>
          <w:tcPr>
            <w:tcW w:w="1100" w:type="dxa"/>
            <w:gridSpan w:val="3"/>
            <w:vAlign w:val="bottom"/>
          </w:tcPr>
          <w:p w:rsidR="00AC12B4" w:rsidRDefault="00C27636">
            <w:pPr>
              <w:spacing w:line="220" w:lineRule="exact"/>
              <w:ind w:left="220"/>
              <w:rPr>
                <w:sz w:val="20"/>
                <w:szCs w:val="20"/>
              </w:rPr>
            </w:pPr>
            <w:r>
              <w:rPr>
                <w:rFonts w:ascii="Calibri" w:eastAsia="Calibri" w:hAnsi="Calibri" w:cs="Calibri"/>
              </w:rPr>
              <w:t>mesure</w:t>
            </w:r>
          </w:p>
        </w:tc>
        <w:tc>
          <w:tcPr>
            <w:tcW w:w="1420" w:type="dxa"/>
            <w:vAlign w:val="bottom"/>
          </w:tcPr>
          <w:p w:rsidR="00AC12B4" w:rsidRDefault="00C27636">
            <w:pPr>
              <w:spacing w:line="220" w:lineRule="exact"/>
              <w:ind w:right="930"/>
              <w:jc w:val="right"/>
              <w:rPr>
                <w:sz w:val="20"/>
                <w:szCs w:val="20"/>
              </w:rPr>
            </w:pPr>
            <w:r>
              <w:rPr>
                <w:rFonts w:ascii="Calibri" w:eastAsia="Calibri" w:hAnsi="Calibri" w:cs="Calibri"/>
                <w:w w:val="97"/>
              </w:rPr>
              <w:t>plus</w:t>
            </w:r>
          </w:p>
        </w:tc>
        <w:tc>
          <w:tcPr>
            <w:tcW w:w="0" w:type="dxa"/>
            <w:vAlign w:val="bottom"/>
          </w:tcPr>
          <w:p w:rsidR="00AC12B4" w:rsidRDefault="00AC12B4">
            <w:pPr>
              <w:rPr>
                <w:sz w:val="1"/>
                <w:szCs w:val="1"/>
              </w:rPr>
            </w:pPr>
          </w:p>
        </w:tc>
      </w:tr>
      <w:tr w:rsidR="00AC12B4">
        <w:trPr>
          <w:trHeight w:val="312"/>
        </w:trPr>
        <w:tc>
          <w:tcPr>
            <w:tcW w:w="2160" w:type="dxa"/>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Article 28 CIDE</w:t>
            </w:r>
          </w:p>
        </w:tc>
        <w:tc>
          <w:tcPr>
            <w:tcW w:w="520" w:type="dxa"/>
            <w:shd w:val="clear" w:color="auto" w:fill="8BCCEC"/>
            <w:vAlign w:val="bottom"/>
          </w:tcPr>
          <w:p w:rsidR="00AC12B4" w:rsidRDefault="00AC12B4">
            <w:pPr>
              <w:rPr>
                <w:sz w:val="24"/>
                <w:szCs w:val="24"/>
              </w:rPr>
            </w:pPr>
          </w:p>
        </w:tc>
        <w:tc>
          <w:tcPr>
            <w:tcW w:w="560" w:type="dxa"/>
            <w:shd w:val="clear" w:color="auto" w:fill="8BCCEC"/>
            <w:vAlign w:val="bottom"/>
          </w:tcPr>
          <w:p w:rsidR="00AC12B4" w:rsidRDefault="00AC12B4">
            <w:pPr>
              <w:rPr>
                <w:sz w:val="24"/>
                <w:szCs w:val="24"/>
              </w:rPr>
            </w:pPr>
          </w:p>
        </w:tc>
        <w:tc>
          <w:tcPr>
            <w:tcW w:w="440" w:type="dxa"/>
            <w:shd w:val="clear" w:color="auto" w:fill="8BCCEC"/>
            <w:vAlign w:val="bottom"/>
          </w:tcPr>
          <w:p w:rsidR="00AC12B4" w:rsidRDefault="00AC12B4">
            <w:pPr>
              <w:rPr>
                <w:sz w:val="24"/>
                <w:szCs w:val="24"/>
              </w:rPr>
            </w:pPr>
          </w:p>
        </w:tc>
        <w:tc>
          <w:tcPr>
            <w:tcW w:w="240" w:type="dxa"/>
            <w:shd w:val="clear" w:color="auto" w:fill="8BCCEC"/>
            <w:vAlign w:val="bottom"/>
          </w:tcPr>
          <w:p w:rsidR="00AC12B4" w:rsidRDefault="00AC12B4">
            <w:pPr>
              <w:rPr>
                <w:sz w:val="24"/>
                <w:szCs w:val="24"/>
              </w:rPr>
            </w:pPr>
          </w:p>
        </w:tc>
        <w:tc>
          <w:tcPr>
            <w:tcW w:w="600" w:type="dxa"/>
            <w:shd w:val="clear" w:color="auto" w:fill="8BCCEC"/>
            <w:vAlign w:val="bottom"/>
          </w:tcPr>
          <w:p w:rsidR="00AC12B4" w:rsidRDefault="00AC12B4">
            <w:pPr>
              <w:rPr>
                <w:sz w:val="24"/>
                <w:szCs w:val="24"/>
              </w:rPr>
            </w:pPr>
          </w:p>
        </w:tc>
        <w:tc>
          <w:tcPr>
            <w:tcW w:w="440" w:type="dxa"/>
            <w:shd w:val="clear" w:color="auto" w:fill="8BCCEC"/>
            <w:vAlign w:val="bottom"/>
          </w:tcPr>
          <w:p w:rsidR="00AC12B4" w:rsidRDefault="00AC12B4">
            <w:pPr>
              <w:rPr>
                <w:sz w:val="24"/>
                <w:szCs w:val="24"/>
              </w:rPr>
            </w:pPr>
          </w:p>
        </w:tc>
        <w:tc>
          <w:tcPr>
            <w:tcW w:w="1100" w:type="dxa"/>
            <w:shd w:val="clear" w:color="auto" w:fill="8BCCEC"/>
            <w:vAlign w:val="bottom"/>
          </w:tcPr>
          <w:p w:rsidR="00AC12B4" w:rsidRDefault="00AC12B4">
            <w:pPr>
              <w:rPr>
                <w:sz w:val="24"/>
                <w:szCs w:val="24"/>
              </w:rPr>
            </w:pPr>
          </w:p>
        </w:tc>
        <w:tc>
          <w:tcPr>
            <w:tcW w:w="620" w:type="dxa"/>
            <w:tcBorders>
              <w:right w:val="single" w:sz="8" w:space="0" w:color="44ACE0"/>
            </w:tcBorders>
            <w:shd w:val="clear" w:color="auto" w:fill="8BCCEC"/>
            <w:vAlign w:val="bottom"/>
          </w:tcPr>
          <w:p w:rsidR="00AC12B4" w:rsidRDefault="00AC12B4">
            <w:pPr>
              <w:rPr>
                <w:sz w:val="24"/>
                <w:szCs w:val="24"/>
              </w:rPr>
            </w:pPr>
          </w:p>
        </w:tc>
        <w:tc>
          <w:tcPr>
            <w:tcW w:w="2860" w:type="dxa"/>
            <w:gridSpan w:val="9"/>
            <w:vAlign w:val="bottom"/>
          </w:tcPr>
          <w:p w:rsidR="00AC12B4" w:rsidRDefault="00C27636">
            <w:pPr>
              <w:ind w:left="180"/>
              <w:rPr>
                <w:sz w:val="20"/>
                <w:szCs w:val="20"/>
              </w:rPr>
            </w:pPr>
            <w:r>
              <w:rPr>
                <w:rFonts w:ascii="Calibri" w:eastAsia="Calibri" w:hAnsi="Calibri" w:cs="Calibri"/>
              </w:rPr>
              <w:t>pertinente des frais scolaires.</w:t>
            </w:r>
          </w:p>
        </w:tc>
        <w:tc>
          <w:tcPr>
            <w:tcW w:w="14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389"/>
        </w:trPr>
        <w:tc>
          <w:tcPr>
            <w:tcW w:w="668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1. Les Etats parties reconnaissent le droit de l’enfant à l’éducation,</w:t>
            </w:r>
          </w:p>
        </w:tc>
        <w:tc>
          <w:tcPr>
            <w:tcW w:w="4280" w:type="dxa"/>
            <w:gridSpan w:val="10"/>
            <w:vAlign w:val="bottom"/>
          </w:tcPr>
          <w:p w:rsidR="00AC12B4" w:rsidRPr="00C27636" w:rsidRDefault="00C27636">
            <w:pPr>
              <w:ind w:left="180"/>
              <w:rPr>
                <w:sz w:val="20"/>
                <w:szCs w:val="20"/>
                <w:lang w:val="fr-BE"/>
              </w:rPr>
            </w:pPr>
            <w:r w:rsidRPr="00C27636">
              <w:rPr>
                <w:rFonts w:ascii="Calibri" w:eastAsia="Calibri" w:hAnsi="Calibri" w:cs="Calibri"/>
                <w:lang w:val="fr-BE"/>
              </w:rPr>
              <w:t>L’indice</w:t>
            </w:r>
            <w:r w:rsidRPr="00C27636">
              <w:rPr>
                <w:rFonts w:ascii="Calibri" w:eastAsia="Calibri" w:hAnsi="Calibri" w:cs="Calibri"/>
                <w:lang w:val="fr-BE"/>
              </w:rPr>
              <w:t xml:space="preserve"> HEDRES est dérivé de la</w:t>
            </w:r>
          </w:p>
        </w:tc>
        <w:tc>
          <w:tcPr>
            <w:tcW w:w="0" w:type="dxa"/>
            <w:vAlign w:val="bottom"/>
          </w:tcPr>
          <w:p w:rsidR="00AC12B4" w:rsidRPr="00C27636" w:rsidRDefault="00AC12B4">
            <w:pPr>
              <w:rPr>
                <w:sz w:val="1"/>
                <w:szCs w:val="1"/>
                <w:lang w:val="fr-BE"/>
              </w:rPr>
            </w:pPr>
          </w:p>
        </w:tc>
      </w:tr>
      <w:tr w:rsidR="00AC12B4">
        <w:trPr>
          <w:trHeight w:val="269"/>
        </w:trPr>
        <w:tc>
          <w:tcPr>
            <w:tcW w:w="668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et  en  particulier,  en  vue  d’assurer  l’exercice  de  ce  droit</w:t>
            </w:r>
          </w:p>
        </w:tc>
        <w:tc>
          <w:tcPr>
            <w:tcW w:w="1060" w:type="dxa"/>
            <w:gridSpan w:val="3"/>
            <w:vAlign w:val="bottom"/>
          </w:tcPr>
          <w:p w:rsidR="00AC12B4" w:rsidRDefault="00C27636">
            <w:pPr>
              <w:spacing w:line="225" w:lineRule="exact"/>
              <w:ind w:left="180"/>
              <w:rPr>
                <w:sz w:val="20"/>
                <w:szCs w:val="20"/>
              </w:rPr>
            </w:pPr>
            <w:r>
              <w:rPr>
                <w:rFonts w:ascii="Calibri" w:eastAsia="Calibri" w:hAnsi="Calibri" w:cs="Calibri"/>
              </w:rPr>
              <w:t>présence</w:t>
            </w:r>
          </w:p>
        </w:tc>
        <w:tc>
          <w:tcPr>
            <w:tcW w:w="280" w:type="dxa"/>
            <w:vAlign w:val="bottom"/>
          </w:tcPr>
          <w:p w:rsidR="00AC12B4" w:rsidRDefault="00AC12B4">
            <w:pPr>
              <w:rPr>
                <w:sz w:val="23"/>
                <w:szCs w:val="23"/>
              </w:rPr>
            </w:pPr>
          </w:p>
        </w:tc>
        <w:tc>
          <w:tcPr>
            <w:tcW w:w="420" w:type="dxa"/>
            <w:gridSpan w:val="2"/>
            <w:vAlign w:val="bottom"/>
          </w:tcPr>
          <w:p w:rsidR="00AC12B4" w:rsidRDefault="00C27636">
            <w:pPr>
              <w:spacing w:line="225" w:lineRule="exact"/>
              <w:ind w:right="180"/>
              <w:jc w:val="center"/>
              <w:rPr>
                <w:sz w:val="20"/>
                <w:szCs w:val="20"/>
              </w:rPr>
            </w:pPr>
            <w:r>
              <w:rPr>
                <w:rFonts w:ascii="Calibri" w:eastAsia="Calibri" w:hAnsi="Calibri" w:cs="Calibri"/>
              </w:rPr>
              <w:t>ou</w:t>
            </w:r>
          </w:p>
        </w:tc>
        <w:tc>
          <w:tcPr>
            <w:tcW w:w="560" w:type="dxa"/>
            <w:gridSpan w:val="2"/>
            <w:vAlign w:val="bottom"/>
          </w:tcPr>
          <w:p w:rsidR="00AC12B4" w:rsidRDefault="00C27636">
            <w:pPr>
              <w:spacing w:line="225" w:lineRule="exact"/>
              <w:ind w:left="140"/>
              <w:rPr>
                <w:sz w:val="20"/>
                <w:szCs w:val="20"/>
              </w:rPr>
            </w:pPr>
            <w:r>
              <w:rPr>
                <w:rFonts w:ascii="Calibri" w:eastAsia="Calibri" w:hAnsi="Calibri" w:cs="Calibri"/>
              </w:rPr>
              <w:t>non</w:t>
            </w:r>
          </w:p>
        </w:tc>
        <w:tc>
          <w:tcPr>
            <w:tcW w:w="540" w:type="dxa"/>
            <w:vAlign w:val="bottom"/>
          </w:tcPr>
          <w:p w:rsidR="00AC12B4" w:rsidRDefault="00C27636">
            <w:pPr>
              <w:spacing w:line="225" w:lineRule="exact"/>
              <w:ind w:left="260"/>
              <w:rPr>
                <w:sz w:val="20"/>
                <w:szCs w:val="20"/>
              </w:rPr>
            </w:pPr>
            <w:r>
              <w:rPr>
                <w:rFonts w:ascii="Calibri" w:eastAsia="Calibri" w:hAnsi="Calibri" w:cs="Calibri"/>
              </w:rPr>
              <w:t>de</w:t>
            </w:r>
          </w:p>
        </w:tc>
        <w:tc>
          <w:tcPr>
            <w:tcW w:w="1420" w:type="dxa"/>
            <w:vAlign w:val="bottom"/>
          </w:tcPr>
          <w:p w:rsidR="00AC12B4" w:rsidRDefault="00C27636">
            <w:pPr>
              <w:spacing w:line="225" w:lineRule="exact"/>
              <w:ind w:right="930"/>
              <w:jc w:val="right"/>
              <w:rPr>
                <w:sz w:val="20"/>
                <w:szCs w:val="20"/>
              </w:rPr>
            </w:pPr>
            <w:r>
              <w:rPr>
                <w:rFonts w:ascii="Calibri" w:eastAsia="Calibri" w:hAnsi="Calibri" w:cs="Calibri"/>
              </w:rPr>
              <w:t>7</w:t>
            </w:r>
          </w:p>
        </w:tc>
        <w:tc>
          <w:tcPr>
            <w:tcW w:w="0" w:type="dxa"/>
            <w:vAlign w:val="bottom"/>
          </w:tcPr>
          <w:p w:rsidR="00AC12B4" w:rsidRDefault="00AC12B4">
            <w:pPr>
              <w:rPr>
                <w:sz w:val="1"/>
                <w:szCs w:val="1"/>
              </w:rPr>
            </w:pPr>
          </w:p>
        </w:tc>
      </w:tr>
      <w:tr w:rsidR="00AC12B4">
        <w:trPr>
          <w:trHeight w:val="269"/>
        </w:trPr>
        <w:tc>
          <w:tcPr>
            <w:tcW w:w="6060" w:type="dxa"/>
            <w:gridSpan w:val="8"/>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lastRenderedPageBreak/>
              <w:t>progressivement et sur la base de l’égalité des chances :</w:t>
            </w:r>
          </w:p>
        </w:tc>
        <w:tc>
          <w:tcPr>
            <w:tcW w:w="6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1760" w:type="dxa"/>
            <w:gridSpan w:val="6"/>
            <w:vAlign w:val="bottom"/>
          </w:tcPr>
          <w:p w:rsidR="00AC12B4" w:rsidRDefault="00C27636">
            <w:pPr>
              <w:spacing w:line="225" w:lineRule="exact"/>
              <w:ind w:left="180"/>
              <w:rPr>
                <w:sz w:val="20"/>
                <w:szCs w:val="20"/>
              </w:rPr>
            </w:pPr>
            <w:r>
              <w:rPr>
                <w:rFonts w:ascii="Calibri" w:eastAsia="Calibri" w:hAnsi="Calibri" w:cs="Calibri"/>
              </w:rPr>
              <w:t>« ressources »</w:t>
            </w:r>
          </w:p>
        </w:tc>
        <w:tc>
          <w:tcPr>
            <w:tcW w:w="1100" w:type="dxa"/>
            <w:gridSpan w:val="3"/>
            <w:vAlign w:val="bottom"/>
          </w:tcPr>
          <w:p w:rsidR="00AC12B4" w:rsidRDefault="00C27636">
            <w:pPr>
              <w:spacing w:line="225" w:lineRule="exact"/>
              <w:rPr>
                <w:sz w:val="20"/>
                <w:szCs w:val="20"/>
              </w:rPr>
            </w:pPr>
            <w:r>
              <w:rPr>
                <w:rFonts w:ascii="Calibri" w:eastAsia="Calibri" w:hAnsi="Calibri" w:cs="Calibri"/>
              </w:rPr>
              <w:t>éducatives</w:t>
            </w:r>
          </w:p>
        </w:tc>
        <w:tc>
          <w:tcPr>
            <w:tcW w:w="1420" w:type="dxa"/>
            <w:vAlign w:val="bottom"/>
          </w:tcPr>
          <w:p w:rsidR="00AC12B4" w:rsidRDefault="00C27636">
            <w:pPr>
              <w:spacing w:line="225" w:lineRule="exact"/>
              <w:ind w:right="930"/>
              <w:jc w:val="right"/>
              <w:rPr>
                <w:sz w:val="20"/>
                <w:szCs w:val="20"/>
              </w:rPr>
            </w:pPr>
            <w:r>
              <w:rPr>
                <w:rFonts w:ascii="Calibri" w:eastAsia="Calibri" w:hAnsi="Calibri" w:cs="Calibri"/>
              </w:rPr>
              <w:t>au</w:t>
            </w:r>
          </w:p>
        </w:tc>
        <w:tc>
          <w:tcPr>
            <w:tcW w:w="0" w:type="dxa"/>
            <w:vAlign w:val="bottom"/>
          </w:tcPr>
          <w:p w:rsidR="00AC12B4" w:rsidRDefault="00AC12B4">
            <w:pPr>
              <w:rPr>
                <w:sz w:val="1"/>
                <w:szCs w:val="1"/>
              </w:rPr>
            </w:pPr>
          </w:p>
        </w:tc>
      </w:tr>
      <w:tr w:rsidR="00AC12B4">
        <w:trPr>
          <w:trHeight w:val="226"/>
        </w:trPr>
        <w:tc>
          <w:tcPr>
            <w:tcW w:w="6680" w:type="dxa"/>
            <w:gridSpan w:val="9"/>
            <w:vMerge w:val="restart"/>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 xml:space="preserve">a) Ils rendent l’enseignement primaire </w:t>
            </w:r>
            <w:r w:rsidRPr="00C27636">
              <w:rPr>
                <w:rFonts w:ascii="Calibri" w:eastAsia="Calibri" w:hAnsi="Calibri" w:cs="Calibri"/>
                <w:i/>
                <w:iCs/>
                <w:color w:val="DAEEF3"/>
                <w:lang w:val="fr-BE"/>
              </w:rPr>
              <w:t>obligatoire et gratuit pour</w:t>
            </w:r>
          </w:p>
        </w:tc>
        <w:tc>
          <w:tcPr>
            <w:tcW w:w="1060" w:type="dxa"/>
            <w:gridSpan w:val="3"/>
            <w:vAlign w:val="bottom"/>
          </w:tcPr>
          <w:p w:rsidR="00AC12B4" w:rsidRDefault="00C27636">
            <w:pPr>
              <w:spacing w:line="225" w:lineRule="exact"/>
              <w:ind w:left="180"/>
              <w:rPr>
                <w:sz w:val="20"/>
                <w:szCs w:val="20"/>
              </w:rPr>
            </w:pPr>
            <w:r>
              <w:rPr>
                <w:rFonts w:ascii="Calibri" w:eastAsia="Calibri" w:hAnsi="Calibri" w:cs="Calibri"/>
              </w:rPr>
              <w:t>domicile</w:t>
            </w:r>
          </w:p>
        </w:tc>
        <w:tc>
          <w:tcPr>
            <w:tcW w:w="280" w:type="dxa"/>
            <w:vAlign w:val="bottom"/>
          </w:tcPr>
          <w:p w:rsidR="00AC12B4" w:rsidRDefault="00C27636">
            <w:pPr>
              <w:spacing w:line="225" w:lineRule="exact"/>
              <w:jc w:val="right"/>
              <w:rPr>
                <w:sz w:val="20"/>
                <w:szCs w:val="20"/>
              </w:rPr>
            </w:pPr>
            <w:r>
              <w:rPr>
                <w:rFonts w:ascii="Calibri" w:eastAsia="Calibri" w:hAnsi="Calibri" w:cs="Calibri"/>
                <w:w w:val="95"/>
              </w:rPr>
              <w:t>du</w:t>
            </w:r>
          </w:p>
        </w:tc>
        <w:tc>
          <w:tcPr>
            <w:tcW w:w="980" w:type="dxa"/>
            <w:gridSpan w:val="4"/>
            <w:vAlign w:val="bottom"/>
          </w:tcPr>
          <w:p w:rsidR="00AC12B4" w:rsidRDefault="00C27636">
            <w:pPr>
              <w:spacing w:line="225" w:lineRule="exact"/>
              <w:ind w:left="100"/>
              <w:rPr>
                <w:sz w:val="20"/>
                <w:szCs w:val="20"/>
              </w:rPr>
            </w:pPr>
            <w:r>
              <w:rPr>
                <w:rFonts w:ascii="Calibri" w:eastAsia="Calibri" w:hAnsi="Calibri" w:cs="Calibri"/>
              </w:rPr>
              <w:t>jeune. Il</w:t>
            </w:r>
          </w:p>
        </w:tc>
        <w:tc>
          <w:tcPr>
            <w:tcW w:w="540" w:type="dxa"/>
            <w:vAlign w:val="bottom"/>
          </w:tcPr>
          <w:p w:rsidR="00AC12B4" w:rsidRDefault="00C27636">
            <w:pPr>
              <w:spacing w:line="225" w:lineRule="exact"/>
              <w:ind w:left="40"/>
              <w:rPr>
                <w:sz w:val="20"/>
                <w:szCs w:val="20"/>
              </w:rPr>
            </w:pPr>
            <w:r>
              <w:rPr>
                <w:rFonts w:ascii="Calibri" w:eastAsia="Calibri" w:hAnsi="Calibri" w:cs="Calibri"/>
              </w:rPr>
              <w:t>s’agit</w:t>
            </w:r>
          </w:p>
        </w:tc>
        <w:tc>
          <w:tcPr>
            <w:tcW w:w="1420" w:type="dxa"/>
            <w:vAlign w:val="bottom"/>
          </w:tcPr>
          <w:p w:rsidR="00AC12B4" w:rsidRDefault="00C27636">
            <w:pPr>
              <w:spacing w:line="225" w:lineRule="exact"/>
              <w:ind w:right="930"/>
              <w:jc w:val="right"/>
              <w:rPr>
                <w:sz w:val="20"/>
                <w:szCs w:val="20"/>
              </w:rPr>
            </w:pPr>
            <w:r>
              <w:rPr>
                <w:rFonts w:ascii="Calibri" w:eastAsia="Calibri" w:hAnsi="Calibri" w:cs="Calibri"/>
              </w:rPr>
              <w:t>par</w:t>
            </w:r>
          </w:p>
        </w:tc>
        <w:tc>
          <w:tcPr>
            <w:tcW w:w="0" w:type="dxa"/>
            <w:vAlign w:val="bottom"/>
          </w:tcPr>
          <w:p w:rsidR="00AC12B4" w:rsidRDefault="00AC12B4">
            <w:pPr>
              <w:rPr>
                <w:sz w:val="1"/>
                <w:szCs w:val="1"/>
              </w:rPr>
            </w:pPr>
          </w:p>
        </w:tc>
      </w:tr>
      <w:tr w:rsidR="00AC12B4">
        <w:trPr>
          <w:trHeight w:val="161"/>
        </w:trPr>
        <w:tc>
          <w:tcPr>
            <w:tcW w:w="6680" w:type="dxa"/>
            <w:gridSpan w:val="9"/>
            <w:vMerge/>
            <w:tcBorders>
              <w:left w:val="single" w:sz="8" w:space="0" w:color="44ACE0"/>
              <w:right w:val="single" w:sz="8" w:space="0" w:color="44ACE0"/>
            </w:tcBorders>
            <w:shd w:val="clear" w:color="auto" w:fill="8BCCEC"/>
            <w:vAlign w:val="bottom"/>
          </w:tcPr>
          <w:p w:rsidR="00AC12B4" w:rsidRDefault="00AC12B4">
            <w:pPr>
              <w:rPr>
                <w:sz w:val="13"/>
                <w:szCs w:val="13"/>
              </w:rPr>
            </w:pPr>
          </w:p>
        </w:tc>
        <w:tc>
          <w:tcPr>
            <w:tcW w:w="1060" w:type="dxa"/>
            <w:gridSpan w:val="3"/>
            <w:vMerge w:val="restart"/>
            <w:vAlign w:val="bottom"/>
          </w:tcPr>
          <w:p w:rsidR="00AC12B4" w:rsidRDefault="00C27636">
            <w:pPr>
              <w:ind w:left="180"/>
              <w:rPr>
                <w:sz w:val="20"/>
                <w:szCs w:val="20"/>
              </w:rPr>
            </w:pPr>
            <w:r>
              <w:rPr>
                <w:rFonts w:ascii="Calibri" w:eastAsia="Calibri" w:hAnsi="Calibri" w:cs="Calibri"/>
              </w:rPr>
              <w:t>exemple</w:t>
            </w:r>
          </w:p>
        </w:tc>
        <w:tc>
          <w:tcPr>
            <w:tcW w:w="700" w:type="dxa"/>
            <w:gridSpan w:val="3"/>
            <w:vMerge w:val="restart"/>
            <w:vAlign w:val="bottom"/>
          </w:tcPr>
          <w:p w:rsidR="00AC12B4" w:rsidRDefault="00C27636">
            <w:pPr>
              <w:ind w:left="240"/>
              <w:rPr>
                <w:sz w:val="20"/>
                <w:szCs w:val="20"/>
              </w:rPr>
            </w:pPr>
            <w:r>
              <w:rPr>
                <w:rFonts w:ascii="Calibri" w:eastAsia="Calibri" w:hAnsi="Calibri" w:cs="Calibri"/>
              </w:rPr>
              <w:t>d’un</w:t>
            </w:r>
          </w:p>
        </w:tc>
        <w:tc>
          <w:tcPr>
            <w:tcW w:w="1100" w:type="dxa"/>
            <w:gridSpan w:val="3"/>
            <w:vMerge w:val="restart"/>
            <w:vAlign w:val="bottom"/>
          </w:tcPr>
          <w:p w:rsidR="00AC12B4" w:rsidRDefault="00C27636">
            <w:pPr>
              <w:ind w:left="280"/>
              <w:rPr>
                <w:sz w:val="20"/>
                <w:szCs w:val="20"/>
              </w:rPr>
            </w:pPr>
            <w:r>
              <w:rPr>
                <w:rFonts w:ascii="Calibri" w:eastAsia="Calibri" w:hAnsi="Calibri" w:cs="Calibri"/>
              </w:rPr>
              <w:t>bureau</w:t>
            </w:r>
          </w:p>
        </w:tc>
        <w:tc>
          <w:tcPr>
            <w:tcW w:w="1420" w:type="dxa"/>
            <w:vMerge w:val="restart"/>
            <w:vAlign w:val="bottom"/>
          </w:tcPr>
          <w:p w:rsidR="00AC12B4" w:rsidRDefault="00C27636">
            <w:pPr>
              <w:ind w:right="930"/>
              <w:jc w:val="right"/>
              <w:rPr>
                <w:sz w:val="20"/>
                <w:szCs w:val="20"/>
              </w:rPr>
            </w:pPr>
            <w:r>
              <w:rPr>
                <w:rFonts w:ascii="Calibri" w:eastAsia="Calibri" w:hAnsi="Calibri" w:cs="Calibri"/>
              </w:rPr>
              <w:t>ou</w:t>
            </w:r>
          </w:p>
        </w:tc>
        <w:tc>
          <w:tcPr>
            <w:tcW w:w="0" w:type="dxa"/>
            <w:vAlign w:val="bottom"/>
          </w:tcPr>
          <w:p w:rsidR="00AC12B4" w:rsidRDefault="00AC12B4">
            <w:pPr>
              <w:rPr>
                <w:sz w:val="1"/>
                <w:szCs w:val="1"/>
              </w:rPr>
            </w:pPr>
          </w:p>
        </w:tc>
      </w:tr>
      <w:tr w:rsidR="00AC12B4">
        <w:trPr>
          <w:trHeight w:val="108"/>
        </w:trPr>
        <w:tc>
          <w:tcPr>
            <w:tcW w:w="2160" w:type="dxa"/>
            <w:vMerge w:val="restart"/>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tous;</w:t>
            </w:r>
          </w:p>
        </w:tc>
        <w:tc>
          <w:tcPr>
            <w:tcW w:w="520" w:type="dxa"/>
            <w:shd w:val="clear" w:color="auto" w:fill="8BCCEC"/>
            <w:vAlign w:val="bottom"/>
          </w:tcPr>
          <w:p w:rsidR="00AC12B4" w:rsidRDefault="00AC12B4">
            <w:pPr>
              <w:rPr>
                <w:sz w:val="9"/>
                <w:szCs w:val="9"/>
              </w:rPr>
            </w:pPr>
          </w:p>
        </w:tc>
        <w:tc>
          <w:tcPr>
            <w:tcW w:w="560" w:type="dxa"/>
            <w:shd w:val="clear" w:color="auto" w:fill="8BCCEC"/>
            <w:vAlign w:val="bottom"/>
          </w:tcPr>
          <w:p w:rsidR="00AC12B4" w:rsidRDefault="00AC12B4">
            <w:pPr>
              <w:rPr>
                <w:sz w:val="9"/>
                <w:szCs w:val="9"/>
              </w:rPr>
            </w:pPr>
          </w:p>
        </w:tc>
        <w:tc>
          <w:tcPr>
            <w:tcW w:w="440" w:type="dxa"/>
            <w:shd w:val="clear" w:color="auto" w:fill="8BCCEC"/>
            <w:vAlign w:val="bottom"/>
          </w:tcPr>
          <w:p w:rsidR="00AC12B4" w:rsidRDefault="00AC12B4">
            <w:pPr>
              <w:rPr>
                <w:sz w:val="9"/>
                <w:szCs w:val="9"/>
              </w:rPr>
            </w:pPr>
          </w:p>
        </w:tc>
        <w:tc>
          <w:tcPr>
            <w:tcW w:w="240" w:type="dxa"/>
            <w:shd w:val="clear" w:color="auto" w:fill="8BCCEC"/>
            <w:vAlign w:val="bottom"/>
          </w:tcPr>
          <w:p w:rsidR="00AC12B4" w:rsidRDefault="00AC12B4">
            <w:pPr>
              <w:rPr>
                <w:sz w:val="9"/>
                <w:szCs w:val="9"/>
              </w:rPr>
            </w:pPr>
          </w:p>
        </w:tc>
        <w:tc>
          <w:tcPr>
            <w:tcW w:w="600" w:type="dxa"/>
            <w:shd w:val="clear" w:color="auto" w:fill="8BCCEC"/>
            <w:vAlign w:val="bottom"/>
          </w:tcPr>
          <w:p w:rsidR="00AC12B4" w:rsidRDefault="00AC12B4">
            <w:pPr>
              <w:rPr>
                <w:sz w:val="9"/>
                <w:szCs w:val="9"/>
              </w:rPr>
            </w:pPr>
          </w:p>
        </w:tc>
        <w:tc>
          <w:tcPr>
            <w:tcW w:w="440" w:type="dxa"/>
            <w:shd w:val="clear" w:color="auto" w:fill="8BCCEC"/>
            <w:vAlign w:val="bottom"/>
          </w:tcPr>
          <w:p w:rsidR="00AC12B4" w:rsidRDefault="00AC12B4">
            <w:pPr>
              <w:rPr>
                <w:sz w:val="9"/>
                <w:szCs w:val="9"/>
              </w:rPr>
            </w:pPr>
          </w:p>
        </w:tc>
        <w:tc>
          <w:tcPr>
            <w:tcW w:w="1100" w:type="dxa"/>
            <w:shd w:val="clear" w:color="auto" w:fill="8BCCEC"/>
            <w:vAlign w:val="bottom"/>
          </w:tcPr>
          <w:p w:rsidR="00AC12B4" w:rsidRDefault="00AC12B4">
            <w:pPr>
              <w:rPr>
                <w:sz w:val="9"/>
                <w:szCs w:val="9"/>
              </w:rPr>
            </w:pPr>
          </w:p>
        </w:tc>
        <w:tc>
          <w:tcPr>
            <w:tcW w:w="620" w:type="dxa"/>
            <w:tcBorders>
              <w:right w:val="single" w:sz="8" w:space="0" w:color="44ACE0"/>
            </w:tcBorders>
            <w:shd w:val="clear" w:color="auto" w:fill="8BCCEC"/>
            <w:vAlign w:val="bottom"/>
          </w:tcPr>
          <w:p w:rsidR="00AC12B4" w:rsidRDefault="00AC12B4">
            <w:pPr>
              <w:rPr>
                <w:sz w:val="9"/>
                <w:szCs w:val="9"/>
              </w:rPr>
            </w:pPr>
          </w:p>
        </w:tc>
        <w:tc>
          <w:tcPr>
            <w:tcW w:w="1060" w:type="dxa"/>
            <w:gridSpan w:val="3"/>
            <w:vMerge/>
            <w:vAlign w:val="bottom"/>
          </w:tcPr>
          <w:p w:rsidR="00AC12B4" w:rsidRDefault="00AC12B4">
            <w:pPr>
              <w:rPr>
                <w:sz w:val="9"/>
                <w:szCs w:val="9"/>
              </w:rPr>
            </w:pPr>
          </w:p>
        </w:tc>
        <w:tc>
          <w:tcPr>
            <w:tcW w:w="700" w:type="dxa"/>
            <w:gridSpan w:val="3"/>
            <w:vMerge/>
            <w:vAlign w:val="bottom"/>
          </w:tcPr>
          <w:p w:rsidR="00AC12B4" w:rsidRDefault="00AC12B4">
            <w:pPr>
              <w:rPr>
                <w:sz w:val="9"/>
                <w:szCs w:val="9"/>
              </w:rPr>
            </w:pPr>
          </w:p>
        </w:tc>
        <w:tc>
          <w:tcPr>
            <w:tcW w:w="1100" w:type="dxa"/>
            <w:gridSpan w:val="3"/>
            <w:vMerge/>
            <w:vAlign w:val="bottom"/>
          </w:tcPr>
          <w:p w:rsidR="00AC12B4" w:rsidRDefault="00AC12B4">
            <w:pPr>
              <w:rPr>
                <w:sz w:val="9"/>
                <w:szCs w:val="9"/>
              </w:rPr>
            </w:pPr>
          </w:p>
        </w:tc>
        <w:tc>
          <w:tcPr>
            <w:tcW w:w="142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161"/>
        </w:trPr>
        <w:tc>
          <w:tcPr>
            <w:tcW w:w="2160" w:type="dxa"/>
            <w:vMerge/>
            <w:tcBorders>
              <w:left w:val="single" w:sz="8" w:space="0" w:color="44ACE0"/>
            </w:tcBorders>
            <w:shd w:val="clear" w:color="auto" w:fill="8BCCEC"/>
            <w:vAlign w:val="bottom"/>
          </w:tcPr>
          <w:p w:rsidR="00AC12B4" w:rsidRDefault="00AC12B4">
            <w:pPr>
              <w:rPr>
                <w:sz w:val="13"/>
                <w:szCs w:val="13"/>
              </w:rPr>
            </w:pPr>
          </w:p>
        </w:tc>
        <w:tc>
          <w:tcPr>
            <w:tcW w:w="520" w:type="dxa"/>
            <w:shd w:val="clear" w:color="auto" w:fill="8BCCEC"/>
            <w:vAlign w:val="bottom"/>
          </w:tcPr>
          <w:p w:rsidR="00AC12B4" w:rsidRDefault="00AC12B4">
            <w:pPr>
              <w:rPr>
                <w:sz w:val="13"/>
                <w:szCs w:val="13"/>
              </w:rPr>
            </w:pPr>
          </w:p>
        </w:tc>
        <w:tc>
          <w:tcPr>
            <w:tcW w:w="560" w:type="dxa"/>
            <w:shd w:val="clear" w:color="auto" w:fill="8BCCEC"/>
            <w:vAlign w:val="bottom"/>
          </w:tcPr>
          <w:p w:rsidR="00AC12B4" w:rsidRDefault="00AC12B4">
            <w:pPr>
              <w:rPr>
                <w:sz w:val="13"/>
                <w:szCs w:val="13"/>
              </w:rPr>
            </w:pPr>
          </w:p>
        </w:tc>
        <w:tc>
          <w:tcPr>
            <w:tcW w:w="440" w:type="dxa"/>
            <w:shd w:val="clear" w:color="auto" w:fill="8BCCEC"/>
            <w:vAlign w:val="bottom"/>
          </w:tcPr>
          <w:p w:rsidR="00AC12B4" w:rsidRDefault="00AC12B4">
            <w:pPr>
              <w:rPr>
                <w:sz w:val="13"/>
                <w:szCs w:val="13"/>
              </w:rPr>
            </w:pPr>
          </w:p>
        </w:tc>
        <w:tc>
          <w:tcPr>
            <w:tcW w:w="240" w:type="dxa"/>
            <w:shd w:val="clear" w:color="auto" w:fill="8BCCEC"/>
            <w:vAlign w:val="bottom"/>
          </w:tcPr>
          <w:p w:rsidR="00AC12B4" w:rsidRDefault="00AC12B4">
            <w:pPr>
              <w:rPr>
                <w:sz w:val="13"/>
                <w:szCs w:val="13"/>
              </w:rPr>
            </w:pPr>
          </w:p>
        </w:tc>
        <w:tc>
          <w:tcPr>
            <w:tcW w:w="600" w:type="dxa"/>
            <w:shd w:val="clear" w:color="auto" w:fill="8BCCEC"/>
            <w:vAlign w:val="bottom"/>
          </w:tcPr>
          <w:p w:rsidR="00AC12B4" w:rsidRDefault="00AC12B4">
            <w:pPr>
              <w:rPr>
                <w:sz w:val="13"/>
                <w:szCs w:val="13"/>
              </w:rPr>
            </w:pPr>
          </w:p>
        </w:tc>
        <w:tc>
          <w:tcPr>
            <w:tcW w:w="440" w:type="dxa"/>
            <w:shd w:val="clear" w:color="auto" w:fill="8BCCEC"/>
            <w:vAlign w:val="bottom"/>
          </w:tcPr>
          <w:p w:rsidR="00AC12B4" w:rsidRDefault="00AC12B4">
            <w:pPr>
              <w:rPr>
                <w:sz w:val="13"/>
                <w:szCs w:val="13"/>
              </w:rPr>
            </w:pPr>
          </w:p>
        </w:tc>
        <w:tc>
          <w:tcPr>
            <w:tcW w:w="1100" w:type="dxa"/>
            <w:shd w:val="clear" w:color="auto" w:fill="8BCCEC"/>
            <w:vAlign w:val="bottom"/>
          </w:tcPr>
          <w:p w:rsidR="00AC12B4" w:rsidRDefault="00AC12B4">
            <w:pPr>
              <w:rPr>
                <w:sz w:val="13"/>
                <w:szCs w:val="13"/>
              </w:rPr>
            </w:pPr>
          </w:p>
        </w:tc>
        <w:tc>
          <w:tcPr>
            <w:tcW w:w="620" w:type="dxa"/>
            <w:tcBorders>
              <w:right w:val="single" w:sz="8" w:space="0" w:color="44ACE0"/>
            </w:tcBorders>
            <w:shd w:val="clear" w:color="auto" w:fill="8BCCEC"/>
            <w:vAlign w:val="bottom"/>
          </w:tcPr>
          <w:p w:rsidR="00AC12B4" w:rsidRDefault="00AC12B4">
            <w:pPr>
              <w:rPr>
                <w:sz w:val="13"/>
                <w:szCs w:val="13"/>
              </w:rPr>
            </w:pPr>
          </w:p>
        </w:tc>
        <w:tc>
          <w:tcPr>
            <w:tcW w:w="4280" w:type="dxa"/>
            <w:gridSpan w:val="10"/>
            <w:vMerge w:val="restart"/>
            <w:vAlign w:val="bottom"/>
          </w:tcPr>
          <w:p w:rsidR="00AC12B4" w:rsidRPr="00C27636" w:rsidRDefault="00C27636">
            <w:pPr>
              <w:spacing w:line="267" w:lineRule="exact"/>
              <w:ind w:left="180"/>
              <w:rPr>
                <w:sz w:val="20"/>
                <w:szCs w:val="20"/>
                <w:lang w:val="fr-BE"/>
              </w:rPr>
            </w:pPr>
            <w:r w:rsidRPr="00C27636">
              <w:rPr>
                <w:rFonts w:ascii="Calibri" w:eastAsia="Calibri" w:hAnsi="Calibri" w:cs="Calibri"/>
                <w:lang w:val="fr-BE"/>
              </w:rPr>
              <w:t>ordinateur qu’il peut utiliser ou la</w:t>
            </w:r>
          </w:p>
        </w:tc>
        <w:tc>
          <w:tcPr>
            <w:tcW w:w="0" w:type="dxa"/>
            <w:vAlign w:val="bottom"/>
          </w:tcPr>
          <w:p w:rsidR="00AC12B4" w:rsidRPr="00C27636" w:rsidRDefault="00AC12B4">
            <w:pPr>
              <w:rPr>
                <w:sz w:val="1"/>
                <w:szCs w:val="1"/>
                <w:lang w:val="fr-BE"/>
              </w:rPr>
            </w:pPr>
          </w:p>
        </w:tc>
      </w:tr>
      <w:tr w:rsidR="00AC12B4" w:rsidRPr="00C27636">
        <w:trPr>
          <w:trHeight w:val="106"/>
        </w:trPr>
        <w:tc>
          <w:tcPr>
            <w:tcW w:w="2160" w:type="dxa"/>
            <w:tcBorders>
              <w:left w:val="single" w:sz="8" w:space="0" w:color="44ACE0"/>
            </w:tcBorders>
            <w:shd w:val="clear" w:color="auto" w:fill="8BCCEC"/>
            <w:vAlign w:val="bottom"/>
          </w:tcPr>
          <w:p w:rsidR="00AC12B4" w:rsidRPr="00C27636" w:rsidRDefault="00AC12B4">
            <w:pPr>
              <w:rPr>
                <w:sz w:val="9"/>
                <w:szCs w:val="9"/>
                <w:lang w:val="fr-BE"/>
              </w:rPr>
            </w:pPr>
          </w:p>
        </w:tc>
        <w:tc>
          <w:tcPr>
            <w:tcW w:w="520" w:type="dxa"/>
            <w:shd w:val="clear" w:color="auto" w:fill="8BCCEC"/>
            <w:vAlign w:val="bottom"/>
          </w:tcPr>
          <w:p w:rsidR="00AC12B4" w:rsidRPr="00C27636" w:rsidRDefault="00AC12B4">
            <w:pPr>
              <w:rPr>
                <w:sz w:val="9"/>
                <w:szCs w:val="9"/>
                <w:lang w:val="fr-BE"/>
              </w:rPr>
            </w:pPr>
          </w:p>
        </w:tc>
        <w:tc>
          <w:tcPr>
            <w:tcW w:w="560" w:type="dxa"/>
            <w:shd w:val="clear" w:color="auto" w:fill="8BCCEC"/>
            <w:vAlign w:val="bottom"/>
          </w:tcPr>
          <w:p w:rsidR="00AC12B4" w:rsidRPr="00C27636" w:rsidRDefault="00AC12B4">
            <w:pPr>
              <w:rPr>
                <w:sz w:val="9"/>
                <w:szCs w:val="9"/>
                <w:lang w:val="fr-BE"/>
              </w:rPr>
            </w:pPr>
          </w:p>
        </w:tc>
        <w:tc>
          <w:tcPr>
            <w:tcW w:w="440" w:type="dxa"/>
            <w:shd w:val="clear" w:color="auto" w:fill="8BCCEC"/>
            <w:vAlign w:val="bottom"/>
          </w:tcPr>
          <w:p w:rsidR="00AC12B4" w:rsidRPr="00C27636" w:rsidRDefault="00AC12B4">
            <w:pPr>
              <w:rPr>
                <w:sz w:val="9"/>
                <w:szCs w:val="9"/>
                <w:lang w:val="fr-BE"/>
              </w:rPr>
            </w:pPr>
          </w:p>
        </w:tc>
        <w:tc>
          <w:tcPr>
            <w:tcW w:w="240" w:type="dxa"/>
            <w:shd w:val="clear" w:color="auto" w:fill="8BCCEC"/>
            <w:vAlign w:val="bottom"/>
          </w:tcPr>
          <w:p w:rsidR="00AC12B4" w:rsidRPr="00C27636" w:rsidRDefault="00AC12B4">
            <w:pPr>
              <w:rPr>
                <w:sz w:val="9"/>
                <w:szCs w:val="9"/>
                <w:lang w:val="fr-BE"/>
              </w:rPr>
            </w:pPr>
          </w:p>
        </w:tc>
        <w:tc>
          <w:tcPr>
            <w:tcW w:w="600" w:type="dxa"/>
            <w:shd w:val="clear" w:color="auto" w:fill="8BCCEC"/>
            <w:vAlign w:val="bottom"/>
          </w:tcPr>
          <w:p w:rsidR="00AC12B4" w:rsidRPr="00C27636" w:rsidRDefault="00AC12B4">
            <w:pPr>
              <w:rPr>
                <w:sz w:val="9"/>
                <w:szCs w:val="9"/>
                <w:lang w:val="fr-BE"/>
              </w:rPr>
            </w:pPr>
          </w:p>
        </w:tc>
        <w:tc>
          <w:tcPr>
            <w:tcW w:w="440" w:type="dxa"/>
            <w:shd w:val="clear" w:color="auto" w:fill="8BCCEC"/>
            <w:vAlign w:val="bottom"/>
          </w:tcPr>
          <w:p w:rsidR="00AC12B4" w:rsidRPr="00C27636" w:rsidRDefault="00AC12B4">
            <w:pPr>
              <w:rPr>
                <w:sz w:val="9"/>
                <w:szCs w:val="9"/>
                <w:lang w:val="fr-BE"/>
              </w:rPr>
            </w:pPr>
          </w:p>
        </w:tc>
        <w:tc>
          <w:tcPr>
            <w:tcW w:w="1100" w:type="dxa"/>
            <w:shd w:val="clear" w:color="auto" w:fill="8BCCEC"/>
            <w:vAlign w:val="bottom"/>
          </w:tcPr>
          <w:p w:rsidR="00AC12B4" w:rsidRPr="00C27636" w:rsidRDefault="00AC12B4">
            <w:pPr>
              <w:rPr>
                <w:sz w:val="9"/>
                <w:szCs w:val="9"/>
                <w:lang w:val="fr-BE"/>
              </w:rPr>
            </w:pPr>
          </w:p>
        </w:tc>
        <w:tc>
          <w:tcPr>
            <w:tcW w:w="620" w:type="dxa"/>
            <w:tcBorders>
              <w:right w:val="single" w:sz="8" w:space="0" w:color="44ACE0"/>
            </w:tcBorders>
            <w:shd w:val="clear" w:color="auto" w:fill="8BCCEC"/>
            <w:vAlign w:val="bottom"/>
          </w:tcPr>
          <w:p w:rsidR="00AC12B4" w:rsidRPr="00C27636" w:rsidRDefault="00AC12B4">
            <w:pPr>
              <w:rPr>
                <w:sz w:val="9"/>
                <w:szCs w:val="9"/>
                <w:lang w:val="fr-BE"/>
              </w:rPr>
            </w:pPr>
          </w:p>
        </w:tc>
        <w:tc>
          <w:tcPr>
            <w:tcW w:w="4280" w:type="dxa"/>
            <w:gridSpan w:val="10"/>
            <w:vMerge/>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283"/>
        </w:trPr>
        <w:tc>
          <w:tcPr>
            <w:tcW w:w="668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b)  Ils  encouragent  l’organisation  de  différentes  formes</w:t>
            </w:r>
          </w:p>
        </w:tc>
        <w:tc>
          <w:tcPr>
            <w:tcW w:w="1060" w:type="dxa"/>
            <w:gridSpan w:val="3"/>
            <w:vAlign w:val="bottom"/>
          </w:tcPr>
          <w:p w:rsidR="00AC12B4" w:rsidRDefault="00C27636">
            <w:pPr>
              <w:ind w:left="180"/>
              <w:rPr>
                <w:sz w:val="20"/>
                <w:szCs w:val="20"/>
              </w:rPr>
            </w:pPr>
            <w:r>
              <w:rPr>
                <w:rFonts w:ascii="Calibri" w:eastAsia="Calibri" w:hAnsi="Calibri" w:cs="Calibri"/>
              </w:rPr>
              <w:t>présence</w:t>
            </w:r>
          </w:p>
        </w:tc>
        <w:tc>
          <w:tcPr>
            <w:tcW w:w="3220" w:type="dxa"/>
            <w:gridSpan w:val="7"/>
            <w:vAlign w:val="bottom"/>
          </w:tcPr>
          <w:p w:rsidR="00AC12B4" w:rsidRDefault="00C27636">
            <w:pPr>
              <w:ind w:right="930"/>
              <w:jc w:val="right"/>
              <w:rPr>
                <w:sz w:val="20"/>
                <w:szCs w:val="20"/>
              </w:rPr>
            </w:pPr>
            <w:r>
              <w:rPr>
                <w:rFonts w:ascii="Calibri" w:eastAsia="Calibri" w:hAnsi="Calibri" w:cs="Calibri"/>
              </w:rPr>
              <w:t xml:space="preserve">d’ouvrages </w:t>
            </w:r>
            <w:r>
              <w:rPr>
                <w:rFonts w:ascii="Calibri" w:eastAsia="Calibri" w:hAnsi="Calibri" w:cs="Calibri"/>
              </w:rPr>
              <w:t>techniques</w:t>
            </w:r>
          </w:p>
        </w:tc>
        <w:tc>
          <w:tcPr>
            <w:tcW w:w="0" w:type="dxa"/>
            <w:vAlign w:val="bottom"/>
          </w:tcPr>
          <w:p w:rsidR="00AC12B4" w:rsidRDefault="00AC12B4">
            <w:pPr>
              <w:rPr>
                <w:sz w:val="1"/>
                <w:szCs w:val="1"/>
              </w:rPr>
            </w:pPr>
          </w:p>
        </w:tc>
      </w:tr>
      <w:tr w:rsidR="00AC12B4" w:rsidRPr="00C27636">
        <w:trPr>
          <w:trHeight w:val="269"/>
        </w:trPr>
        <w:tc>
          <w:tcPr>
            <w:tcW w:w="668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d’enseignement secondaire, tant général que professionnel, les</w:t>
            </w:r>
          </w:p>
        </w:tc>
        <w:tc>
          <w:tcPr>
            <w:tcW w:w="4280" w:type="dxa"/>
            <w:gridSpan w:val="10"/>
            <w:vAlign w:val="bottom"/>
          </w:tcPr>
          <w:p w:rsidR="00AC12B4" w:rsidRPr="00C27636" w:rsidRDefault="00C27636">
            <w:pPr>
              <w:spacing w:line="255" w:lineRule="exact"/>
              <w:ind w:left="180"/>
              <w:rPr>
                <w:sz w:val="20"/>
                <w:szCs w:val="20"/>
                <w:lang w:val="fr-BE"/>
              </w:rPr>
            </w:pPr>
            <w:r w:rsidRPr="00C27636">
              <w:rPr>
                <w:rFonts w:ascii="Calibri" w:eastAsia="Calibri" w:hAnsi="Calibri" w:cs="Calibri"/>
                <w:lang w:val="fr-BE"/>
              </w:rPr>
              <w:t>(cf. encadré pour listing complet).</w:t>
            </w:r>
          </w:p>
        </w:tc>
        <w:tc>
          <w:tcPr>
            <w:tcW w:w="0" w:type="dxa"/>
            <w:vAlign w:val="bottom"/>
          </w:tcPr>
          <w:p w:rsidR="00AC12B4" w:rsidRPr="00C27636" w:rsidRDefault="00AC12B4">
            <w:pPr>
              <w:rPr>
                <w:sz w:val="1"/>
                <w:szCs w:val="1"/>
                <w:lang w:val="fr-BE"/>
              </w:rPr>
            </w:pPr>
          </w:p>
        </w:tc>
      </w:tr>
      <w:tr w:rsidR="00AC12B4" w:rsidRPr="00C27636">
        <w:trPr>
          <w:trHeight w:val="269"/>
        </w:trPr>
        <w:tc>
          <w:tcPr>
            <w:tcW w:w="668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rendent ouvertes et accessibles à tout enfant, et prennent des</w:t>
            </w:r>
          </w:p>
        </w:tc>
        <w:tc>
          <w:tcPr>
            <w:tcW w:w="4280" w:type="dxa"/>
            <w:gridSpan w:val="10"/>
            <w:vAlign w:val="bottom"/>
          </w:tcPr>
          <w:p w:rsidR="00AC12B4" w:rsidRPr="00C27636" w:rsidRDefault="00C27636">
            <w:pPr>
              <w:spacing w:line="255" w:lineRule="exact"/>
              <w:ind w:left="180"/>
              <w:rPr>
                <w:sz w:val="20"/>
                <w:szCs w:val="20"/>
                <w:lang w:val="fr-BE"/>
              </w:rPr>
            </w:pPr>
            <w:r w:rsidRPr="00C27636">
              <w:rPr>
                <w:rFonts w:ascii="Calibri" w:eastAsia="Calibri" w:hAnsi="Calibri" w:cs="Calibri"/>
                <w:lang w:val="fr-BE"/>
              </w:rPr>
              <w:t>On  considère  qu’il  y  a  une</w:t>
            </w:r>
          </w:p>
        </w:tc>
        <w:tc>
          <w:tcPr>
            <w:tcW w:w="0" w:type="dxa"/>
            <w:vAlign w:val="bottom"/>
          </w:tcPr>
          <w:p w:rsidR="00AC12B4" w:rsidRPr="00C27636" w:rsidRDefault="00AC12B4">
            <w:pPr>
              <w:rPr>
                <w:sz w:val="1"/>
                <w:szCs w:val="1"/>
                <w:lang w:val="fr-BE"/>
              </w:rPr>
            </w:pPr>
          </w:p>
        </w:tc>
      </w:tr>
      <w:tr w:rsidR="00AC12B4">
        <w:trPr>
          <w:trHeight w:val="269"/>
        </w:trPr>
        <w:tc>
          <w:tcPr>
            <w:tcW w:w="668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 xml:space="preserve">mesures appropriées, telles que </w:t>
            </w:r>
            <w:r w:rsidRPr="00C27636">
              <w:rPr>
                <w:rFonts w:ascii="Calibri" w:eastAsia="Calibri" w:hAnsi="Calibri" w:cs="Calibri"/>
                <w:i/>
                <w:iCs/>
                <w:color w:val="DAEEF3"/>
                <w:lang w:val="fr-BE"/>
              </w:rPr>
              <w:t>l’instauration de la gratuité de</w:t>
            </w:r>
          </w:p>
        </w:tc>
        <w:tc>
          <w:tcPr>
            <w:tcW w:w="1060" w:type="dxa"/>
            <w:gridSpan w:val="3"/>
            <w:vAlign w:val="bottom"/>
          </w:tcPr>
          <w:p w:rsidR="00AC12B4" w:rsidRDefault="00C27636">
            <w:pPr>
              <w:spacing w:line="255" w:lineRule="exact"/>
              <w:ind w:left="180"/>
              <w:rPr>
                <w:sz w:val="20"/>
                <w:szCs w:val="20"/>
              </w:rPr>
            </w:pPr>
            <w:r>
              <w:rPr>
                <w:rFonts w:ascii="Calibri" w:eastAsia="Calibri" w:hAnsi="Calibri" w:cs="Calibri"/>
              </w:rPr>
              <w:t>carence</w:t>
            </w:r>
          </w:p>
        </w:tc>
        <w:tc>
          <w:tcPr>
            <w:tcW w:w="280" w:type="dxa"/>
            <w:vAlign w:val="bottom"/>
          </w:tcPr>
          <w:p w:rsidR="00AC12B4" w:rsidRDefault="00C27636">
            <w:pPr>
              <w:spacing w:line="255" w:lineRule="exact"/>
              <w:jc w:val="right"/>
              <w:rPr>
                <w:sz w:val="20"/>
                <w:szCs w:val="20"/>
              </w:rPr>
            </w:pPr>
            <w:r>
              <w:rPr>
                <w:rFonts w:ascii="Calibri" w:eastAsia="Calibri" w:hAnsi="Calibri" w:cs="Calibri"/>
              </w:rPr>
              <w:t>en</w:t>
            </w:r>
          </w:p>
        </w:tc>
        <w:tc>
          <w:tcPr>
            <w:tcW w:w="980" w:type="dxa"/>
            <w:gridSpan w:val="4"/>
            <w:vAlign w:val="bottom"/>
          </w:tcPr>
          <w:p w:rsidR="00AC12B4" w:rsidRDefault="00C27636">
            <w:pPr>
              <w:spacing w:line="255" w:lineRule="exact"/>
              <w:ind w:left="220"/>
              <w:rPr>
                <w:sz w:val="20"/>
                <w:szCs w:val="20"/>
              </w:rPr>
            </w:pPr>
            <w:r>
              <w:rPr>
                <w:rFonts w:ascii="Calibri" w:eastAsia="Calibri" w:hAnsi="Calibri" w:cs="Calibri"/>
                <w:w w:val="98"/>
              </w:rPr>
              <w:t>matériel</w:t>
            </w:r>
          </w:p>
        </w:tc>
        <w:tc>
          <w:tcPr>
            <w:tcW w:w="1960" w:type="dxa"/>
            <w:gridSpan w:val="2"/>
            <w:vAlign w:val="bottom"/>
          </w:tcPr>
          <w:p w:rsidR="00AC12B4" w:rsidRDefault="00C27636">
            <w:pPr>
              <w:spacing w:line="255" w:lineRule="exact"/>
              <w:ind w:right="930"/>
              <w:jc w:val="right"/>
              <w:rPr>
                <w:sz w:val="20"/>
                <w:szCs w:val="20"/>
              </w:rPr>
            </w:pPr>
            <w:r>
              <w:rPr>
                <w:rFonts w:ascii="Calibri" w:eastAsia="Calibri" w:hAnsi="Calibri" w:cs="Calibri"/>
              </w:rPr>
              <w:t>éducat</w:t>
            </w:r>
            <w:r>
              <w:rPr>
                <w:rFonts w:ascii="Calibri" w:eastAsia="Calibri" w:hAnsi="Calibri" w:cs="Calibri"/>
              </w:rPr>
              <w:lastRenderedPageBreak/>
              <w:t>if</w:t>
            </w:r>
          </w:p>
        </w:tc>
        <w:tc>
          <w:tcPr>
            <w:tcW w:w="0" w:type="dxa"/>
            <w:vAlign w:val="bottom"/>
          </w:tcPr>
          <w:p w:rsidR="00AC12B4" w:rsidRDefault="00AC12B4">
            <w:pPr>
              <w:rPr>
                <w:sz w:val="1"/>
                <w:szCs w:val="1"/>
              </w:rPr>
            </w:pPr>
          </w:p>
        </w:tc>
      </w:tr>
      <w:tr w:rsidR="00AC12B4">
        <w:trPr>
          <w:trHeight w:val="274"/>
        </w:trPr>
        <w:tc>
          <w:tcPr>
            <w:tcW w:w="668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lastRenderedPageBreak/>
              <w:t>l’enseignement et l’offre d’une aide financière en cas de besoin.</w:t>
            </w:r>
          </w:p>
        </w:tc>
        <w:tc>
          <w:tcPr>
            <w:tcW w:w="4280" w:type="dxa"/>
            <w:gridSpan w:val="10"/>
            <w:vAlign w:val="bottom"/>
          </w:tcPr>
          <w:p w:rsidR="00AC12B4" w:rsidRDefault="00C27636">
            <w:pPr>
              <w:spacing w:line="255" w:lineRule="exact"/>
              <w:ind w:left="180"/>
              <w:rPr>
                <w:sz w:val="20"/>
                <w:szCs w:val="20"/>
              </w:rPr>
            </w:pPr>
            <w:r>
              <w:rPr>
                <w:rFonts w:ascii="Calibri" w:eastAsia="Calibri" w:hAnsi="Calibri" w:cs="Calibri"/>
              </w:rPr>
              <w:t>(</w:t>
            </w:r>
            <w:r>
              <w:rPr>
                <w:rFonts w:ascii="Calibri" w:eastAsia="Calibri" w:hAnsi="Calibri" w:cs="Calibri"/>
                <w:i/>
                <w:iCs/>
              </w:rPr>
              <w:t>deprivation</w:t>
            </w:r>
            <w:r>
              <w:rPr>
                <w:rFonts w:ascii="Calibri" w:eastAsia="Calibri" w:hAnsi="Calibri" w:cs="Calibri"/>
              </w:rPr>
              <w:t>) quand moins de 4</w:t>
            </w:r>
          </w:p>
        </w:tc>
        <w:tc>
          <w:tcPr>
            <w:tcW w:w="0" w:type="dxa"/>
            <w:vAlign w:val="bottom"/>
          </w:tcPr>
          <w:p w:rsidR="00AC12B4" w:rsidRDefault="00AC12B4">
            <w:pPr>
              <w:rPr>
                <w:sz w:val="1"/>
                <w:szCs w:val="1"/>
              </w:rPr>
            </w:pPr>
          </w:p>
        </w:tc>
      </w:tr>
      <w:tr w:rsidR="00AC12B4">
        <w:trPr>
          <w:trHeight w:val="250"/>
        </w:trPr>
        <w:tc>
          <w:tcPr>
            <w:tcW w:w="2160" w:type="dxa"/>
            <w:tcBorders>
              <w:left w:val="single" w:sz="8" w:space="0" w:color="44ACE0"/>
            </w:tcBorders>
            <w:shd w:val="clear" w:color="auto" w:fill="8BCCEC"/>
            <w:vAlign w:val="bottom"/>
          </w:tcPr>
          <w:p w:rsidR="00AC12B4" w:rsidRDefault="00AC12B4">
            <w:pPr>
              <w:rPr>
                <w:sz w:val="21"/>
                <w:szCs w:val="21"/>
              </w:rPr>
            </w:pPr>
          </w:p>
        </w:tc>
        <w:tc>
          <w:tcPr>
            <w:tcW w:w="520" w:type="dxa"/>
            <w:shd w:val="clear" w:color="auto" w:fill="8BCCEC"/>
            <w:vAlign w:val="bottom"/>
          </w:tcPr>
          <w:p w:rsidR="00AC12B4" w:rsidRDefault="00AC12B4">
            <w:pPr>
              <w:rPr>
                <w:sz w:val="21"/>
                <w:szCs w:val="21"/>
              </w:rPr>
            </w:pPr>
          </w:p>
        </w:tc>
        <w:tc>
          <w:tcPr>
            <w:tcW w:w="560" w:type="dxa"/>
            <w:shd w:val="clear" w:color="auto" w:fill="8BCCEC"/>
            <w:vAlign w:val="bottom"/>
          </w:tcPr>
          <w:p w:rsidR="00AC12B4" w:rsidRDefault="00AC12B4">
            <w:pPr>
              <w:rPr>
                <w:sz w:val="21"/>
                <w:szCs w:val="21"/>
              </w:rPr>
            </w:pPr>
          </w:p>
        </w:tc>
        <w:tc>
          <w:tcPr>
            <w:tcW w:w="440" w:type="dxa"/>
            <w:shd w:val="clear" w:color="auto" w:fill="8BCCEC"/>
            <w:vAlign w:val="bottom"/>
          </w:tcPr>
          <w:p w:rsidR="00AC12B4" w:rsidRDefault="00AC12B4">
            <w:pPr>
              <w:rPr>
                <w:sz w:val="21"/>
                <w:szCs w:val="21"/>
              </w:rPr>
            </w:pPr>
          </w:p>
        </w:tc>
        <w:tc>
          <w:tcPr>
            <w:tcW w:w="240" w:type="dxa"/>
            <w:shd w:val="clear" w:color="auto" w:fill="8BCCEC"/>
            <w:vAlign w:val="bottom"/>
          </w:tcPr>
          <w:p w:rsidR="00AC12B4" w:rsidRDefault="00AC12B4">
            <w:pPr>
              <w:rPr>
                <w:sz w:val="21"/>
                <w:szCs w:val="21"/>
              </w:rPr>
            </w:pPr>
          </w:p>
        </w:tc>
        <w:tc>
          <w:tcPr>
            <w:tcW w:w="600" w:type="dxa"/>
            <w:shd w:val="clear" w:color="auto" w:fill="8BCCEC"/>
            <w:vAlign w:val="bottom"/>
          </w:tcPr>
          <w:p w:rsidR="00AC12B4" w:rsidRDefault="00AC12B4">
            <w:pPr>
              <w:rPr>
                <w:sz w:val="21"/>
                <w:szCs w:val="21"/>
              </w:rPr>
            </w:pPr>
          </w:p>
        </w:tc>
        <w:tc>
          <w:tcPr>
            <w:tcW w:w="440" w:type="dxa"/>
            <w:shd w:val="clear" w:color="auto" w:fill="8BCCEC"/>
            <w:vAlign w:val="bottom"/>
          </w:tcPr>
          <w:p w:rsidR="00AC12B4" w:rsidRDefault="00AC12B4">
            <w:pPr>
              <w:rPr>
                <w:sz w:val="21"/>
                <w:szCs w:val="21"/>
              </w:rPr>
            </w:pPr>
          </w:p>
        </w:tc>
        <w:tc>
          <w:tcPr>
            <w:tcW w:w="1100" w:type="dxa"/>
            <w:shd w:val="clear" w:color="auto" w:fill="8BCCEC"/>
            <w:vAlign w:val="bottom"/>
          </w:tcPr>
          <w:p w:rsidR="00AC12B4" w:rsidRDefault="00AC12B4">
            <w:pPr>
              <w:rPr>
                <w:sz w:val="21"/>
                <w:szCs w:val="21"/>
              </w:rPr>
            </w:pPr>
          </w:p>
        </w:tc>
        <w:tc>
          <w:tcPr>
            <w:tcW w:w="620" w:type="dxa"/>
            <w:tcBorders>
              <w:right w:val="single" w:sz="8" w:space="0" w:color="44ACE0"/>
            </w:tcBorders>
            <w:shd w:val="clear" w:color="auto" w:fill="8BCCEC"/>
            <w:vAlign w:val="bottom"/>
          </w:tcPr>
          <w:p w:rsidR="00AC12B4" w:rsidRDefault="00AC12B4">
            <w:pPr>
              <w:rPr>
                <w:sz w:val="21"/>
                <w:szCs w:val="21"/>
              </w:rPr>
            </w:pPr>
          </w:p>
        </w:tc>
        <w:tc>
          <w:tcPr>
            <w:tcW w:w="2860" w:type="dxa"/>
            <w:gridSpan w:val="9"/>
            <w:vAlign w:val="bottom"/>
          </w:tcPr>
          <w:p w:rsidR="00AC12B4" w:rsidRDefault="00C27636">
            <w:pPr>
              <w:spacing w:line="250" w:lineRule="exact"/>
              <w:ind w:left="180"/>
              <w:rPr>
                <w:sz w:val="20"/>
                <w:szCs w:val="20"/>
              </w:rPr>
            </w:pPr>
            <w:r>
              <w:rPr>
                <w:rFonts w:ascii="Calibri" w:eastAsia="Calibri" w:hAnsi="Calibri" w:cs="Calibri"/>
              </w:rPr>
              <w:t>items sur 7 sont présents.</w:t>
            </w:r>
          </w:p>
        </w:tc>
        <w:tc>
          <w:tcPr>
            <w:tcW w:w="142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87"/>
        </w:trPr>
        <w:tc>
          <w:tcPr>
            <w:tcW w:w="2160" w:type="dxa"/>
            <w:tcBorders>
              <w:left w:val="single" w:sz="8" w:space="0" w:color="44ACE0"/>
              <w:bottom w:val="single" w:sz="8" w:space="0" w:color="44ACE0"/>
            </w:tcBorders>
            <w:shd w:val="clear" w:color="auto" w:fill="8BCCEC"/>
            <w:vAlign w:val="bottom"/>
          </w:tcPr>
          <w:p w:rsidR="00AC12B4" w:rsidRDefault="00AC12B4">
            <w:pPr>
              <w:rPr>
                <w:sz w:val="24"/>
                <w:szCs w:val="24"/>
              </w:rPr>
            </w:pPr>
          </w:p>
        </w:tc>
        <w:tc>
          <w:tcPr>
            <w:tcW w:w="520" w:type="dxa"/>
            <w:tcBorders>
              <w:bottom w:val="single" w:sz="8" w:space="0" w:color="44ACE0"/>
            </w:tcBorders>
            <w:shd w:val="clear" w:color="auto" w:fill="8BCCEC"/>
            <w:vAlign w:val="bottom"/>
          </w:tcPr>
          <w:p w:rsidR="00AC12B4" w:rsidRDefault="00AC12B4">
            <w:pPr>
              <w:rPr>
                <w:sz w:val="24"/>
                <w:szCs w:val="24"/>
              </w:rPr>
            </w:pPr>
          </w:p>
        </w:tc>
        <w:tc>
          <w:tcPr>
            <w:tcW w:w="560" w:type="dxa"/>
            <w:tcBorders>
              <w:bottom w:val="single" w:sz="8" w:space="0" w:color="44ACE0"/>
            </w:tcBorders>
            <w:shd w:val="clear" w:color="auto" w:fill="8BCCEC"/>
            <w:vAlign w:val="bottom"/>
          </w:tcPr>
          <w:p w:rsidR="00AC12B4" w:rsidRDefault="00AC12B4">
            <w:pPr>
              <w:rPr>
                <w:sz w:val="24"/>
                <w:szCs w:val="24"/>
              </w:rPr>
            </w:pPr>
          </w:p>
        </w:tc>
        <w:tc>
          <w:tcPr>
            <w:tcW w:w="440" w:type="dxa"/>
            <w:tcBorders>
              <w:bottom w:val="single" w:sz="8" w:space="0" w:color="44ACE0"/>
            </w:tcBorders>
            <w:shd w:val="clear" w:color="auto" w:fill="8BCCEC"/>
            <w:vAlign w:val="bottom"/>
          </w:tcPr>
          <w:p w:rsidR="00AC12B4" w:rsidRDefault="00AC12B4">
            <w:pPr>
              <w:rPr>
                <w:sz w:val="24"/>
                <w:szCs w:val="24"/>
              </w:rPr>
            </w:pPr>
          </w:p>
        </w:tc>
        <w:tc>
          <w:tcPr>
            <w:tcW w:w="240" w:type="dxa"/>
            <w:tcBorders>
              <w:bottom w:val="single" w:sz="8" w:space="0" w:color="44ACE0"/>
            </w:tcBorders>
            <w:shd w:val="clear" w:color="auto" w:fill="8BCCEC"/>
            <w:vAlign w:val="bottom"/>
          </w:tcPr>
          <w:p w:rsidR="00AC12B4" w:rsidRDefault="00AC12B4">
            <w:pPr>
              <w:rPr>
                <w:sz w:val="24"/>
                <w:szCs w:val="24"/>
              </w:rPr>
            </w:pPr>
          </w:p>
        </w:tc>
        <w:tc>
          <w:tcPr>
            <w:tcW w:w="600" w:type="dxa"/>
            <w:tcBorders>
              <w:bottom w:val="single" w:sz="8" w:space="0" w:color="44ACE0"/>
            </w:tcBorders>
            <w:shd w:val="clear" w:color="auto" w:fill="8BCCEC"/>
            <w:vAlign w:val="bottom"/>
          </w:tcPr>
          <w:p w:rsidR="00AC12B4" w:rsidRDefault="00AC12B4">
            <w:pPr>
              <w:rPr>
                <w:sz w:val="24"/>
                <w:szCs w:val="24"/>
              </w:rPr>
            </w:pPr>
          </w:p>
        </w:tc>
        <w:tc>
          <w:tcPr>
            <w:tcW w:w="440" w:type="dxa"/>
            <w:tcBorders>
              <w:bottom w:val="single" w:sz="8" w:space="0" w:color="44ACE0"/>
            </w:tcBorders>
            <w:shd w:val="clear" w:color="auto" w:fill="8BCCEC"/>
            <w:vAlign w:val="bottom"/>
          </w:tcPr>
          <w:p w:rsidR="00AC12B4" w:rsidRDefault="00AC12B4">
            <w:pPr>
              <w:rPr>
                <w:sz w:val="24"/>
                <w:szCs w:val="24"/>
              </w:rPr>
            </w:pPr>
          </w:p>
        </w:tc>
        <w:tc>
          <w:tcPr>
            <w:tcW w:w="1100" w:type="dxa"/>
            <w:tcBorders>
              <w:bottom w:val="single" w:sz="8" w:space="0" w:color="44ACE0"/>
            </w:tcBorders>
            <w:shd w:val="clear" w:color="auto" w:fill="8BCCEC"/>
            <w:vAlign w:val="bottom"/>
          </w:tcPr>
          <w:p w:rsidR="00AC12B4" w:rsidRDefault="00AC12B4">
            <w:pPr>
              <w:rPr>
                <w:sz w:val="24"/>
                <w:szCs w:val="24"/>
              </w:rPr>
            </w:pPr>
          </w:p>
        </w:tc>
        <w:tc>
          <w:tcPr>
            <w:tcW w:w="620" w:type="dxa"/>
            <w:tcBorders>
              <w:bottom w:val="single" w:sz="8" w:space="0" w:color="44ACE0"/>
              <w:right w:val="single" w:sz="8" w:space="0" w:color="44ACE0"/>
            </w:tcBorders>
            <w:shd w:val="clear" w:color="auto" w:fill="8BCCEC"/>
            <w:vAlign w:val="bottom"/>
          </w:tcPr>
          <w:p w:rsidR="00AC12B4" w:rsidRDefault="00AC12B4">
            <w:pPr>
              <w:rPr>
                <w:sz w:val="24"/>
                <w:szCs w:val="24"/>
              </w:rPr>
            </w:pPr>
          </w:p>
        </w:tc>
        <w:tc>
          <w:tcPr>
            <w:tcW w:w="4280" w:type="dxa"/>
            <w:gridSpan w:val="10"/>
            <w:vMerge w:val="restart"/>
            <w:vAlign w:val="bottom"/>
          </w:tcPr>
          <w:p w:rsidR="00AC12B4" w:rsidRDefault="00C27636">
            <w:pPr>
              <w:ind w:left="180"/>
              <w:rPr>
                <w:sz w:val="20"/>
                <w:szCs w:val="20"/>
              </w:rPr>
            </w:pPr>
            <w:r>
              <w:rPr>
                <w:rFonts w:ascii="Calibri" w:eastAsia="Calibri" w:hAnsi="Calibri" w:cs="Calibri"/>
              </w:rPr>
              <w:t>Notons  que  d’autres  indices</w:t>
            </w:r>
          </w:p>
        </w:tc>
        <w:tc>
          <w:tcPr>
            <w:tcW w:w="0" w:type="dxa"/>
            <w:vAlign w:val="bottom"/>
          </w:tcPr>
          <w:p w:rsidR="00AC12B4" w:rsidRDefault="00AC12B4">
            <w:pPr>
              <w:rPr>
                <w:sz w:val="1"/>
                <w:szCs w:val="1"/>
              </w:rPr>
            </w:pPr>
          </w:p>
        </w:tc>
      </w:tr>
      <w:tr w:rsidR="00AC12B4">
        <w:trPr>
          <w:trHeight w:val="81"/>
        </w:trPr>
        <w:tc>
          <w:tcPr>
            <w:tcW w:w="2160" w:type="dxa"/>
            <w:vAlign w:val="bottom"/>
          </w:tcPr>
          <w:p w:rsidR="00AC12B4" w:rsidRDefault="00AC12B4">
            <w:pPr>
              <w:rPr>
                <w:sz w:val="7"/>
                <w:szCs w:val="7"/>
              </w:rPr>
            </w:pPr>
          </w:p>
        </w:tc>
        <w:tc>
          <w:tcPr>
            <w:tcW w:w="520" w:type="dxa"/>
            <w:vAlign w:val="bottom"/>
          </w:tcPr>
          <w:p w:rsidR="00AC12B4" w:rsidRDefault="00AC12B4">
            <w:pPr>
              <w:rPr>
                <w:sz w:val="7"/>
                <w:szCs w:val="7"/>
              </w:rPr>
            </w:pPr>
          </w:p>
        </w:tc>
        <w:tc>
          <w:tcPr>
            <w:tcW w:w="56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60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1100" w:type="dxa"/>
            <w:vAlign w:val="bottom"/>
          </w:tcPr>
          <w:p w:rsidR="00AC12B4" w:rsidRDefault="00AC12B4">
            <w:pPr>
              <w:rPr>
                <w:sz w:val="7"/>
                <w:szCs w:val="7"/>
              </w:rPr>
            </w:pPr>
          </w:p>
        </w:tc>
        <w:tc>
          <w:tcPr>
            <w:tcW w:w="620" w:type="dxa"/>
            <w:vAlign w:val="bottom"/>
          </w:tcPr>
          <w:p w:rsidR="00AC12B4" w:rsidRDefault="00AC12B4">
            <w:pPr>
              <w:rPr>
                <w:sz w:val="7"/>
                <w:szCs w:val="7"/>
              </w:rPr>
            </w:pPr>
          </w:p>
        </w:tc>
        <w:tc>
          <w:tcPr>
            <w:tcW w:w="4280" w:type="dxa"/>
            <w:gridSpan w:val="10"/>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300"/>
        </w:trPr>
        <w:tc>
          <w:tcPr>
            <w:tcW w:w="6060" w:type="dxa"/>
            <w:gridSpan w:val="8"/>
            <w:vAlign w:val="bottom"/>
          </w:tcPr>
          <w:p w:rsidR="00AC12B4" w:rsidRPr="00C27636" w:rsidRDefault="00C27636">
            <w:pPr>
              <w:ind w:left="1460"/>
              <w:rPr>
                <w:sz w:val="20"/>
                <w:szCs w:val="20"/>
                <w:lang w:val="fr-BE"/>
              </w:rPr>
            </w:pPr>
            <w:r w:rsidRPr="00C27636">
              <w:rPr>
                <w:rFonts w:ascii="Calibri" w:eastAsia="Calibri" w:hAnsi="Calibri" w:cs="Calibri"/>
                <w:lang w:val="fr-BE"/>
              </w:rPr>
              <w:t>L’indicateur originalement désiré visait à</w:t>
            </w:r>
          </w:p>
        </w:tc>
        <w:tc>
          <w:tcPr>
            <w:tcW w:w="620" w:type="dxa"/>
            <w:vAlign w:val="bottom"/>
          </w:tcPr>
          <w:p w:rsidR="00AC12B4" w:rsidRPr="00C27636" w:rsidRDefault="00AC12B4">
            <w:pPr>
              <w:rPr>
                <w:sz w:val="24"/>
                <w:szCs w:val="24"/>
                <w:lang w:val="fr-BE"/>
              </w:rPr>
            </w:pPr>
          </w:p>
        </w:tc>
        <w:tc>
          <w:tcPr>
            <w:tcW w:w="1060" w:type="dxa"/>
            <w:gridSpan w:val="3"/>
            <w:vAlign w:val="bottom"/>
          </w:tcPr>
          <w:p w:rsidR="00AC12B4" w:rsidRDefault="00C27636">
            <w:pPr>
              <w:ind w:left="180"/>
              <w:rPr>
                <w:sz w:val="20"/>
                <w:szCs w:val="20"/>
              </w:rPr>
            </w:pPr>
            <w:r>
              <w:rPr>
                <w:rFonts w:ascii="Calibri" w:eastAsia="Calibri" w:hAnsi="Calibri" w:cs="Calibri"/>
              </w:rPr>
              <w:t>similaires</w:t>
            </w:r>
          </w:p>
        </w:tc>
        <w:tc>
          <w:tcPr>
            <w:tcW w:w="700" w:type="dxa"/>
            <w:gridSpan w:val="3"/>
            <w:vAlign w:val="bottom"/>
          </w:tcPr>
          <w:p w:rsidR="00AC12B4" w:rsidRDefault="00C27636">
            <w:pPr>
              <w:jc w:val="center"/>
              <w:rPr>
                <w:sz w:val="20"/>
                <w:szCs w:val="20"/>
              </w:rPr>
            </w:pPr>
            <w:r>
              <w:rPr>
                <w:rFonts w:ascii="Calibri" w:eastAsia="Calibri" w:hAnsi="Calibri" w:cs="Calibri"/>
              </w:rPr>
              <w:t>sont</w:t>
            </w:r>
          </w:p>
        </w:tc>
        <w:tc>
          <w:tcPr>
            <w:tcW w:w="2520" w:type="dxa"/>
            <w:gridSpan w:val="4"/>
            <w:vAlign w:val="bottom"/>
          </w:tcPr>
          <w:p w:rsidR="00AC12B4" w:rsidRDefault="00C27636">
            <w:pPr>
              <w:ind w:right="930"/>
              <w:jc w:val="right"/>
              <w:rPr>
                <w:sz w:val="20"/>
                <w:szCs w:val="20"/>
              </w:rPr>
            </w:pPr>
            <w:r>
              <w:rPr>
                <w:rFonts w:ascii="Calibri" w:eastAsia="Calibri" w:hAnsi="Calibri" w:cs="Calibri"/>
              </w:rPr>
              <w:t>utilisés.  Nous</w:t>
            </w:r>
          </w:p>
        </w:tc>
        <w:tc>
          <w:tcPr>
            <w:tcW w:w="0" w:type="dxa"/>
            <w:vAlign w:val="bottom"/>
          </w:tcPr>
          <w:p w:rsidR="00AC12B4" w:rsidRDefault="00AC12B4">
            <w:pPr>
              <w:rPr>
                <w:sz w:val="1"/>
                <w:szCs w:val="1"/>
              </w:rPr>
            </w:pPr>
          </w:p>
        </w:tc>
      </w:tr>
      <w:tr w:rsidR="00AC12B4" w:rsidRPr="00C27636">
        <w:trPr>
          <w:trHeight w:val="245"/>
        </w:trPr>
        <w:tc>
          <w:tcPr>
            <w:tcW w:w="6060" w:type="dxa"/>
            <w:gridSpan w:val="8"/>
            <w:vAlign w:val="bottom"/>
          </w:tcPr>
          <w:p w:rsidR="00AC12B4" w:rsidRPr="00C27636" w:rsidRDefault="00C27636">
            <w:pPr>
              <w:spacing w:line="244" w:lineRule="exact"/>
              <w:ind w:left="1460"/>
              <w:rPr>
                <w:sz w:val="20"/>
                <w:szCs w:val="20"/>
                <w:lang w:val="fr-BE"/>
              </w:rPr>
            </w:pPr>
            <w:r w:rsidRPr="00C27636">
              <w:rPr>
                <w:rFonts w:ascii="Calibri" w:eastAsia="Calibri" w:hAnsi="Calibri" w:cs="Calibri"/>
                <w:lang w:val="fr-BE"/>
              </w:rPr>
              <w:t>mesurer les frais liés à l’enseignement et à</w:t>
            </w:r>
          </w:p>
        </w:tc>
        <w:tc>
          <w:tcPr>
            <w:tcW w:w="620" w:type="dxa"/>
            <w:vAlign w:val="bottom"/>
          </w:tcPr>
          <w:p w:rsidR="00AC12B4" w:rsidRDefault="00C27636">
            <w:pPr>
              <w:spacing w:line="238" w:lineRule="exact"/>
              <w:rPr>
                <w:sz w:val="20"/>
                <w:szCs w:val="20"/>
              </w:rPr>
            </w:pPr>
            <w:r>
              <w:rPr>
                <w:rFonts w:ascii="Calibri" w:eastAsia="Calibri" w:hAnsi="Calibri" w:cs="Calibri"/>
              </w:rPr>
              <w:t>avons</w:t>
            </w:r>
          </w:p>
        </w:tc>
        <w:tc>
          <w:tcPr>
            <w:tcW w:w="4280" w:type="dxa"/>
            <w:gridSpan w:val="10"/>
            <w:vAlign w:val="bottom"/>
          </w:tcPr>
          <w:p w:rsidR="00AC12B4" w:rsidRPr="00C27636" w:rsidRDefault="00C27636">
            <w:pPr>
              <w:spacing w:line="238" w:lineRule="exact"/>
              <w:ind w:right="930"/>
              <w:jc w:val="right"/>
              <w:rPr>
                <w:sz w:val="20"/>
                <w:szCs w:val="20"/>
                <w:lang w:val="fr-BE"/>
              </w:rPr>
            </w:pPr>
            <w:r w:rsidRPr="00C27636">
              <w:rPr>
                <w:rFonts w:ascii="Calibri" w:eastAsia="Calibri" w:hAnsi="Calibri" w:cs="Calibri"/>
                <w:lang w:val="fr-BE"/>
              </w:rPr>
              <w:t>retenu celui-ci car il nous permet</w:t>
            </w:r>
          </w:p>
        </w:tc>
        <w:tc>
          <w:tcPr>
            <w:tcW w:w="0" w:type="dxa"/>
            <w:vAlign w:val="bottom"/>
          </w:tcPr>
          <w:p w:rsidR="00AC12B4" w:rsidRPr="00C27636" w:rsidRDefault="00AC12B4">
            <w:pPr>
              <w:rPr>
                <w:sz w:val="1"/>
                <w:szCs w:val="1"/>
                <w:lang w:val="fr-BE"/>
              </w:rPr>
            </w:pPr>
          </w:p>
        </w:tc>
      </w:tr>
      <w:tr w:rsidR="00AC12B4" w:rsidRPr="00C27636">
        <w:trPr>
          <w:trHeight w:val="295"/>
        </w:trPr>
        <w:tc>
          <w:tcPr>
            <w:tcW w:w="6060" w:type="dxa"/>
            <w:gridSpan w:val="8"/>
            <w:vAlign w:val="bottom"/>
          </w:tcPr>
          <w:p w:rsidR="00AC12B4" w:rsidRPr="00C27636" w:rsidRDefault="00C27636">
            <w:pPr>
              <w:ind w:left="1460"/>
              <w:rPr>
                <w:sz w:val="20"/>
                <w:szCs w:val="20"/>
                <w:lang w:val="fr-BE"/>
              </w:rPr>
            </w:pPr>
            <w:r w:rsidRPr="00C27636">
              <w:rPr>
                <w:rFonts w:ascii="Calibri" w:eastAsia="Calibri" w:hAnsi="Calibri" w:cs="Calibri"/>
                <w:lang w:val="fr-BE"/>
              </w:rPr>
              <w:t>analyser dans quelle mesure des familles</w:t>
            </w:r>
          </w:p>
        </w:tc>
        <w:tc>
          <w:tcPr>
            <w:tcW w:w="3480" w:type="dxa"/>
            <w:gridSpan w:val="10"/>
            <w:vAlign w:val="bottom"/>
          </w:tcPr>
          <w:p w:rsidR="00AC12B4" w:rsidRPr="00C27636" w:rsidRDefault="00C27636">
            <w:pPr>
              <w:spacing w:line="294" w:lineRule="exact"/>
              <w:rPr>
                <w:sz w:val="20"/>
                <w:szCs w:val="20"/>
                <w:lang w:val="fr-BE"/>
              </w:rPr>
            </w:pPr>
            <w:r w:rsidRPr="00C27636">
              <w:rPr>
                <w:rFonts w:ascii="Calibri" w:eastAsia="Calibri" w:hAnsi="Calibri" w:cs="Calibri"/>
                <w:lang w:val="fr-BE"/>
              </w:rPr>
              <w:t>d’étudier l’évolution dans le temps</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w:t>
            </w:r>
          </w:p>
        </w:tc>
        <w:tc>
          <w:tcPr>
            <w:tcW w:w="14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15"/>
        </w:trPr>
        <w:tc>
          <w:tcPr>
            <w:tcW w:w="3240" w:type="dxa"/>
            <w:gridSpan w:val="3"/>
            <w:vAlign w:val="bottom"/>
          </w:tcPr>
          <w:p w:rsidR="00AC12B4" w:rsidRDefault="00C27636">
            <w:pPr>
              <w:spacing w:line="214" w:lineRule="exact"/>
              <w:ind w:left="1460"/>
              <w:rPr>
                <w:sz w:val="20"/>
                <w:szCs w:val="20"/>
              </w:rPr>
            </w:pPr>
            <w:r>
              <w:rPr>
                <w:rFonts w:ascii="Calibri" w:eastAsia="Calibri" w:hAnsi="Calibri" w:cs="Calibri"/>
              </w:rPr>
              <w:t xml:space="preserve">sont  </w:t>
            </w:r>
            <w:r>
              <w:rPr>
                <w:rFonts w:ascii="Calibri" w:eastAsia="Calibri" w:hAnsi="Calibri" w:cs="Calibri"/>
              </w:rPr>
              <w:t>confrontées</w:t>
            </w:r>
          </w:p>
        </w:tc>
        <w:tc>
          <w:tcPr>
            <w:tcW w:w="680" w:type="dxa"/>
            <w:gridSpan w:val="2"/>
            <w:vAlign w:val="bottom"/>
          </w:tcPr>
          <w:p w:rsidR="00AC12B4" w:rsidRDefault="00C27636">
            <w:pPr>
              <w:spacing w:line="214" w:lineRule="exact"/>
              <w:jc w:val="center"/>
              <w:rPr>
                <w:sz w:val="20"/>
                <w:szCs w:val="20"/>
              </w:rPr>
            </w:pPr>
            <w:r>
              <w:rPr>
                <w:rFonts w:ascii="Calibri" w:eastAsia="Calibri" w:hAnsi="Calibri" w:cs="Calibri"/>
              </w:rPr>
              <w:t>à  des</w:t>
            </w:r>
          </w:p>
        </w:tc>
        <w:tc>
          <w:tcPr>
            <w:tcW w:w="1040" w:type="dxa"/>
            <w:gridSpan w:val="2"/>
            <w:vAlign w:val="bottom"/>
          </w:tcPr>
          <w:p w:rsidR="00AC12B4" w:rsidRDefault="00C27636">
            <w:pPr>
              <w:spacing w:line="214" w:lineRule="exact"/>
              <w:ind w:left="80"/>
              <w:rPr>
                <w:sz w:val="20"/>
                <w:szCs w:val="20"/>
              </w:rPr>
            </w:pPr>
            <w:r>
              <w:rPr>
                <w:rFonts w:ascii="Calibri" w:eastAsia="Calibri" w:hAnsi="Calibri" w:cs="Calibri"/>
                <w:w w:val="98"/>
              </w:rPr>
              <w:t>problèmes</w:t>
            </w:r>
          </w:p>
        </w:tc>
        <w:tc>
          <w:tcPr>
            <w:tcW w:w="1100" w:type="dxa"/>
            <w:vAlign w:val="bottom"/>
          </w:tcPr>
          <w:p w:rsidR="00AC12B4" w:rsidRDefault="00C27636">
            <w:pPr>
              <w:spacing w:line="214" w:lineRule="exact"/>
              <w:ind w:right="610"/>
              <w:jc w:val="right"/>
              <w:rPr>
                <w:sz w:val="20"/>
                <w:szCs w:val="20"/>
              </w:rPr>
            </w:pPr>
            <w:r>
              <w:rPr>
                <w:rFonts w:ascii="Calibri" w:eastAsia="Calibri" w:hAnsi="Calibri" w:cs="Calibri"/>
              </w:rPr>
              <w:t>de</w:t>
            </w:r>
          </w:p>
        </w:tc>
        <w:tc>
          <w:tcPr>
            <w:tcW w:w="1960" w:type="dxa"/>
            <w:gridSpan w:val="5"/>
            <w:vMerge w:val="restart"/>
            <w:vAlign w:val="bottom"/>
          </w:tcPr>
          <w:p w:rsidR="00AC12B4" w:rsidRDefault="00C27636">
            <w:pPr>
              <w:rPr>
                <w:sz w:val="20"/>
                <w:szCs w:val="20"/>
              </w:rPr>
            </w:pPr>
            <w:r>
              <w:rPr>
                <w:rFonts w:ascii="Calibri" w:eastAsia="Calibri" w:hAnsi="Calibri" w:cs="Calibri"/>
              </w:rPr>
              <w:t>En Belgique, près de</w:t>
            </w:r>
          </w:p>
        </w:tc>
        <w:tc>
          <w:tcPr>
            <w:tcW w:w="280" w:type="dxa"/>
            <w:vAlign w:val="bottom"/>
          </w:tcPr>
          <w:p w:rsidR="00AC12B4" w:rsidRDefault="00AC12B4">
            <w:pPr>
              <w:rPr>
                <w:sz w:val="18"/>
                <w:szCs w:val="18"/>
              </w:rPr>
            </w:pPr>
          </w:p>
        </w:tc>
        <w:tc>
          <w:tcPr>
            <w:tcW w:w="140" w:type="dxa"/>
            <w:tcBorders>
              <w:bottom w:val="single" w:sz="8" w:space="0" w:color="44ACE0"/>
            </w:tcBorders>
            <w:vAlign w:val="bottom"/>
          </w:tcPr>
          <w:p w:rsidR="00AC12B4" w:rsidRDefault="00AC12B4">
            <w:pPr>
              <w:rPr>
                <w:sz w:val="18"/>
                <w:szCs w:val="18"/>
              </w:rPr>
            </w:pPr>
          </w:p>
        </w:tc>
        <w:tc>
          <w:tcPr>
            <w:tcW w:w="500" w:type="dxa"/>
            <w:tcBorders>
              <w:bottom w:val="single" w:sz="8" w:space="0" w:color="44ACE0"/>
            </w:tcBorders>
            <w:vAlign w:val="bottom"/>
          </w:tcPr>
          <w:p w:rsidR="00AC12B4" w:rsidRDefault="00AC12B4">
            <w:pPr>
              <w:rPr>
                <w:sz w:val="18"/>
                <w:szCs w:val="18"/>
              </w:rPr>
            </w:pPr>
          </w:p>
        </w:tc>
        <w:tc>
          <w:tcPr>
            <w:tcW w:w="60" w:type="dxa"/>
            <w:tcBorders>
              <w:bottom w:val="single" w:sz="8" w:space="0" w:color="44ACE0"/>
            </w:tcBorders>
            <w:vAlign w:val="bottom"/>
          </w:tcPr>
          <w:p w:rsidR="00AC12B4" w:rsidRDefault="00AC12B4">
            <w:pPr>
              <w:rPr>
                <w:sz w:val="18"/>
                <w:szCs w:val="18"/>
              </w:rPr>
            </w:pPr>
          </w:p>
        </w:tc>
        <w:tc>
          <w:tcPr>
            <w:tcW w:w="540" w:type="dxa"/>
            <w:tcBorders>
              <w:bottom w:val="single" w:sz="8" w:space="0" w:color="44ACE0"/>
            </w:tcBorders>
            <w:vAlign w:val="bottom"/>
          </w:tcPr>
          <w:p w:rsidR="00AC12B4" w:rsidRDefault="00AC12B4">
            <w:pPr>
              <w:rPr>
                <w:sz w:val="18"/>
                <w:szCs w:val="18"/>
              </w:rPr>
            </w:pPr>
          </w:p>
        </w:tc>
        <w:tc>
          <w:tcPr>
            <w:tcW w:w="1420" w:type="dxa"/>
            <w:tcBorders>
              <w:bottom w:val="single" w:sz="8" w:space="0" w:color="44ACE0"/>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18"/>
        </w:trPr>
        <w:tc>
          <w:tcPr>
            <w:tcW w:w="2680" w:type="dxa"/>
            <w:gridSpan w:val="2"/>
            <w:vMerge w:val="restart"/>
            <w:vAlign w:val="bottom"/>
          </w:tcPr>
          <w:p w:rsidR="00AC12B4" w:rsidRDefault="00C27636">
            <w:pPr>
              <w:ind w:left="1460"/>
              <w:rPr>
                <w:sz w:val="20"/>
                <w:szCs w:val="20"/>
              </w:rPr>
            </w:pPr>
            <w:r>
              <w:rPr>
                <w:rFonts w:ascii="Calibri" w:eastAsia="Calibri" w:hAnsi="Calibri" w:cs="Calibri"/>
              </w:rPr>
              <w:t>financ</w:t>
            </w:r>
            <w:r>
              <w:rPr>
                <w:rFonts w:ascii="Calibri" w:eastAsia="Calibri" w:hAnsi="Calibri" w:cs="Calibri"/>
              </w:rPr>
              <w:lastRenderedPageBreak/>
              <w:t>ement</w:t>
            </w:r>
          </w:p>
        </w:tc>
        <w:tc>
          <w:tcPr>
            <w:tcW w:w="1000" w:type="dxa"/>
            <w:gridSpan w:val="2"/>
            <w:vMerge w:val="restart"/>
            <w:vAlign w:val="bottom"/>
          </w:tcPr>
          <w:p w:rsidR="00AC12B4" w:rsidRDefault="00C27636">
            <w:pPr>
              <w:ind w:left="80"/>
              <w:rPr>
                <w:sz w:val="20"/>
                <w:szCs w:val="20"/>
              </w:rPr>
            </w:pPr>
            <w:r>
              <w:rPr>
                <w:rFonts w:ascii="Calibri" w:eastAsia="Calibri" w:hAnsi="Calibri" w:cs="Calibri"/>
              </w:rPr>
              <w:lastRenderedPageBreak/>
              <w:t>d’études</w:t>
            </w:r>
          </w:p>
        </w:tc>
        <w:tc>
          <w:tcPr>
            <w:tcW w:w="240" w:type="dxa"/>
            <w:vMerge w:val="restart"/>
            <w:vAlign w:val="bottom"/>
          </w:tcPr>
          <w:p w:rsidR="00AC12B4" w:rsidRDefault="00C27636">
            <w:pPr>
              <w:ind w:left="20"/>
              <w:rPr>
                <w:sz w:val="20"/>
                <w:szCs w:val="20"/>
              </w:rPr>
            </w:pPr>
            <w:r>
              <w:rPr>
                <w:rFonts w:ascii="Calibri" w:eastAsia="Calibri" w:hAnsi="Calibri" w:cs="Calibri"/>
                <w:w w:val="88"/>
              </w:rPr>
              <w:t>de</w:t>
            </w:r>
          </w:p>
        </w:tc>
        <w:tc>
          <w:tcPr>
            <w:tcW w:w="600" w:type="dxa"/>
            <w:vMerge w:val="restart"/>
            <w:vAlign w:val="bottom"/>
          </w:tcPr>
          <w:p w:rsidR="00AC12B4" w:rsidRDefault="00C27636">
            <w:pPr>
              <w:ind w:left="160"/>
              <w:rPr>
                <w:sz w:val="20"/>
                <w:szCs w:val="20"/>
              </w:rPr>
            </w:pPr>
            <w:r>
              <w:rPr>
                <w:rFonts w:ascii="Calibri" w:eastAsia="Calibri" w:hAnsi="Calibri" w:cs="Calibri"/>
                <w:w w:val="95"/>
              </w:rPr>
              <w:t>leurs</w:t>
            </w:r>
          </w:p>
        </w:tc>
        <w:tc>
          <w:tcPr>
            <w:tcW w:w="1540" w:type="dxa"/>
            <w:gridSpan w:val="2"/>
            <w:vMerge w:val="restart"/>
            <w:vAlign w:val="bottom"/>
          </w:tcPr>
          <w:p w:rsidR="00AC12B4" w:rsidRDefault="00C27636">
            <w:pPr>
              <w:ind w:right="610"/>
              <w:jc w:val="right"/>
              <w:rPr>
                <w:sz w:val="20"/>
                <w:szCs w:val="20"/>
              </w:rPr>
            </w:pPr>
            <w:r>
              <w:rPr>
                <w:rFonts w:ascii="Calibri" w:eastAsia="Calibri" w:hAnsi="Calibri" w:cs="Calibri"/>
              </w:rPr>
              <w:t>enfants</w:t>
            </w:r>
          </w:p>
        </w:tc>
        <w:tc>
          <w:tcPr>
            <w:tcW w:w="1960" w:type="dxa"/>
            <w:gridSpan w:val="5"/>
            <w:vMerge/>
            <w:vAlign w:val="bottom"/>
          </w:tcPr>
          <w:p w:rsidR="00AC12B4" w:rsidRDefault="00AC12B4">
            <w:pPr>
              <w:rPr>
                <w:sz w:val="10"/>
                <w:szCs w:val="10"/>
              </w:rPr>
            </w:pPr>
          </w:p>
        </w:tc>
        <w:tc>
          <w:tcPr>
            <w:tcW w:w="280" w:type="dxa"/>
            <w:tcBorders>
              <w:right w:val="single" w:sz="8" w:space="0" w:color="44ACE0"/>
            </w:tcBorders>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520" w:type="dxa"/>
            <w:gridSpan w:val="4"/>
            <w:vMerge w:val="restart"/>
            <w:tcBorders>
              <w:right w:val="single" w:sz="8" w:space="0" w:color="44ACE0"/>
            </w:tcBorders>
            <w:vAlign w:val="bottom"/>
          </w:tcPr>
          <w:p w:rsidR="00AC12B4" w:rsidRDefault="00C27636">
            <w:pPr>
              <w:spacing w:line="1316" w:lineRule="exact"/>
              <w:ind w:right="130"/>
              <w:jc w:val="right"/>
              <w:rPr>
                <w:sz w:val="20"/>
                <w:szCs w:val="20"/>
              </w:rPr>
            </w:pPr>
            <w:r>
              <w:rPr>
                <w:rFonts w:ascii="Comic Sans MS" w:eastAsia="Comic Sans MS" w:hAnsi="Comic Sans MS" w:cs="Comic Sans MS"/>
                <w:color w:val="8BCCEC"/>
                <w:sz w:val="96"/>
                <w:szCs w:val="96"/>
              </w:rPr>
              <w:t>4,</w:t>
            </w:r>
            <w:r>
              <w:rPr>
                <w:rFonts w:ascii="Comic Sans MS" w:eastAsia="Comic Sans MS" w:hAnsi="Comic Sans MS" w:cs="Comic Sans MS"/>
                <w:color w:val="8BCCEC"/>
                <w:sz w:val="96"/>
                <w:szCs w:val="96"/>
              </w:rPr>
              <w:lastRenderedPageBreak/>
              <w:t>3%</w:t>
            </w:r>
          </w:p>
        </w:tc>
        <w:tc>
          <w:tcPr>
            <w:tcW w:w="0" w:type="dxa"/>
            <w:vAlign w:val="bottom"/>
          </w:tcPr>
          <w:p w:rsidR="00AC12B4" w:rsidRDefault="00AC12B4">
            <w:pPr>
              <w:rPr>
                <w:sz w:val="1"/>
                <w:szCs w:val="1"/>
              </w:rPr>
            </w:pPr>
          </w:p>
        </w:tc>
      </w:tr>
      <w:tr w:rsidR="00AC12B4">
        <w:trPr>
          <w:trHeight w:val="182"/>
        </w:trPr>
        <w:tc>
          <w:tcPr>
            <w:tcW w:w="2680" w:type="dxa"/>
            <w:gridSpan w:val="2"/>
            <w:vMerge/>
            <w:vAlign w:val="bottom"/>
          </w:tcPr>
          <w:p w:rsidR="00AC12B4" w:rsidRDefault="00AC12B4">
            <w:pPr>
              <w:rPr>
                <w:sz w:val="15"/>
                <w:szCs w:val="15"/>
              </w:rPr>
            </w:pPr>
          </w:p>
        </w:tc>
        <w:tc>
          <w:tcPr>
            <w:tcW w:w="1000" w:type="dxa"/>
            <w:gridSpan w:val="2"/>
            <w:vMerge/>
            <w:vAlign w:val="bottom"/>
          </w:tcPr>
          <w:p w:rsidR="00AC12B4" w:rsidRDefault="00AC12B4">
            <w:pPr>
              <w:rPr>
                <w:sz w:val="15"/>
                <w:szCs w:val="15"/>
              </w:rPr>
            </w:pPr>
          </w:p>
        </w:tc>
        <w:tc>
          <w:tcPr>
            <w:tcW w:w="240" w:type="dxa"/>
            <w:vMerge/>
            <w:vAlign w:val="bottom"/>
          </w:tcPr>
          <w:p w:rsidR="00AC12B4" w:rsidRDefault="00AC12B4">
            <w:pPr>
              <w:rPr>
                <w:sz w:val="15"/>
                <w:szCs w:val="15"/>
              </w:rPr>
            </w:pPr>
          </w:p>
        </w:tc>
        <w:tc>
          <w:tcPr>
            <w:tcW w:w="600" w:type="dxa"/>
            <w:vMerge/>
            <w:vAlign w:val="bottom"/>
          </w:tcPr>
          <w:p w:rsidR="00AC12B4" w:rsidRDefault="00AC12B4">
            <w:pPr>
              <w:rPr>
                <w:sz w:val="15"/>
                <w:szCs w:val="15"/>
              </w:rPr>
            </w:pPr>
          </w:p>
        </w:tc>
        <w:tc>
          <w:tcPr>
            <w:tcW w:w="1540" w:type="dxa"/>
            <w:gridSpan w:val="2"/>
            <w:vMerge/>
            <w:vAlign w:val="bottom"/>
          </w:tcPr>
          <w:p w:rsidR="00AC12B4" w:rsidRDefault="00AC12B4">
            <w:pPr>
              <w:rPr>
                <w:sz w:val="15"/>
                <w:szCs w:val="15"/>
              </w:rPr>
            </w:pPr>
          </w:p>
        </w:tc>
        <w:tc>
          <w:tcPr>
            <w:tcW w:w="620" w:type="dxa"/>
            <w:vMerge w:val="restart"/>
            <w:vAlign w:val="bottom"/>
          </w:tcPr>
          <w:p w:rsidR="00AC12B4" w:rsidRDefault="00C27636">
            <w:pPr>
              <w:rPr>
                <w:sz w:val="20"/>
                <w:szCs w:val="20"/>
              </w:rPr>
            </w:pPr>
            <w:r>
              <w:rPr>
                <w:rFonts w:ascii="Calibri" w:eastAsia="Calibri" w:hAnsi="Calibri" w:cs="Calibri"/>
              </w:rPr>
              <w:t>40%</w:t>
            </w:r>
          </w:p>
        </w:tc>
        <w:tc>
          <w:tcPr>
            <w:tcW w:w="580" w:type="dxa"/>
            <w:gridSpan w:val="2"/>
            <w:vMerge w:val="restart"/>
            <w:vAlign w:val="bottom"/>
          </w:tcPr>
          <w:p w:rsidR="00AC12B4" w:rsidRDefault="00C27636">
            <w:pPr>
              <w:ind w:left="40"/>
              <w:rPr>
                <w:sz w:val="20"/>
                <w:szCs w:val="20"/>
              </w:rPr>
            </w:pPr>
            <w:r>
              <w:rPr>
                <w:rFonts w:ascii="Calibri" w:eastAsia="Calibri" w:hAnsi="Calibri" w:cs="Calibri"/>
              </w:rPr>
              <w:t>des</w:t>
            </w:r>
          </w:p>
        </w:tc>
        <w:tc>
          <w:tcPr>
            <w:tcW w:w="760" w:type="dxa"/>
            <w:gridSpan w:val="2"/>
            <w:vMerge w:val="restart"/>
            <w:vAlign w:val="bottom"/>
          </w:tcPr>
          <w:p w:rsidR="00AC12B4" w:rsidRDefault="00C27636">
            <w:pPr>
              <w:ind w:right="30"/>
              <w:jc w:val="right"/>
              <w:rPr>
                <w:sz w:val="20"/>
                <w:szCs w:val="20"/>
              </w:rPr>
            </w:pPr>
            <w:r>
              <w:rPr>
                <w:rFonts w:ascii="Calibri" w:eastAsia="Calibri" w:hAnsi="Calibri" w:cs="Calibri"/>
              </w:rPr>
              <w:t>élèves</w:t>
            </w:r>
          </w:p>
        </w:tc>
        <w:tc>
          <w:tcPr>
            <w:tcW w:w="280" w:type="dxa"/>
            <w:tcBorders>
              <w:right w:val="single" w:sz="8" w:space="0" w:color="44ACE0"/>
            </w:tcBorders>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2520" w:type="dxa"/>
            <w:gridSpan w:val="4"/>
            <w:vMerge/>
            <w:tcBorders>
              <w:right w:val="single" w:sz="8" w:space="0" w:color="44ACE0"/>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6"/>
        </w:trPr>
        <w:tc>
          <w:tcPr>
            <w:tcW w:w="2160" w:type="dxa"/>
            <w:vMerge w:val="restart"/>
            <w:vAlign w:val="bottom"/>
          </w:tcPr>
          <w:p w:rsidR="00AC12B4" w:rsidRDefault="00C27636">
            <w:pPr>
              <w:spacing w:line="267" w:lineRule="exact"/>
              <w:ind w:left="1460"/>
              <w:rPr>
                <w:sz w:val="20"/>
                <w:szCs w:val="20"/>
              </w:rPr>
            </w:pPr>
            <w:r>
              <w:rPr>
                <w:rFonts w:ascii="Calibri" w:eastAsia="Calibri" w:hAnsi="Calibri" w:cs="Calibri"/>
              </w:rPr>
              <w:lastRenderedPageBreak/>
              <w:t>jusque</w:t>
            </w:r>
          </w:p>
        </w:tc>
        <w:tc>
          <w:tcPr>
            <w:tcW w:w="1760" w:type="dxa"/>
            <w:gridSpan w:val="4"/>
            <w:vMerge w:val="restart"/>
            <w:vAlign w:val="bottom"/>
          </w:tcPr>
          <w:p w:rsidR="00AC12B4" w:rsidRDefault="00C27636">
            <w:pPr>
              <w:spacing w:line="267" w:lineRule="exact"/>
              <w:ind w:left="20"/>
              <w:rPr>
                <w:sz w:val="20"/>
                <w:szCs w:val="20"/>
              </w:rPr>
            </w:pPr>
            <w:r>
              <w:rPr>
                <w:rFonts w:ascii="Calibri" w:eastAsia="Calibri" w:hAnsi="Calibri" w:cs="Calibri"/>
              </w:rPr>
              <w:t>18 ans. Bien que</w:t>
            </w:r>
          </w:p>
        </w:tc>
        <w:tc>
          <w:tcPr>
            <w:tcW w:w="1040" w:type="dxa"/>
            <w:gridSpan w:val="2"/>
            <w:vMerge w:val="restart"/>
            <w:vAlign w:val="bottom"/>
          </w:tcPr>
          <w:p w:rsidR="00AC12B4" w:rsidRDefault="00C27636">
            <w:pPr>
              <w:spacing w:line="267" w:lineRule="exact"/>
              <w:ind w:left="20"/>
              <w:rPr>
                <w:sz w:val="20"/>
                <w:szCs w:val="20"/>
              </w:rPr>
            </w:pPr>
            <w:r>
              <w:rPr>
                <w:rFonts w:ascii="Calibri" w:eastAsia="Calibri" w:hAnsi="Calibri" w:cs="Calibri"/>
              </w:rPr>
              <w:t>la gratuité</w:t>
            </w:r>
          </w:p>
        </w:tc>
        <w:tc>
          <w:tcPr>
            <w:tcW w:w="1100" w:type="dxa"/>
            <w:vMerge w:val="restart"/>
            <w:vAlign w:val="bottom"/>
          </w:tcPr>
          <w:p w:rsidR="00AC12B4" w:rsidRDefault="00C27636">
            <w:pPr>
              <w:spacing w:line="267" w:lineRule="exact"/>
              <w:ind w:right="610"/>
              <w:jc w:val="right"/>
              <w:rPr>
                <w:sz w:val="20"/>
                <w:szCs w:val="20"/>
              </w:rPr>
            </w:pPr>
            <w:r>
              <w:rPr>
                <w:rFonts w:ascii="Calibri" w:eastAsia="Calibri" w:hAnsi="Calibri" w:cs="Calibri"/>
              </w:rPr>
              <w:t>soit</w:t>
            </w:r>
          </w:p>
        </w:tc>
        <w:tc>
          <w:tcPr>
            <w:tcW w:w="620" w:type="dxa"/>
            <w:vMerge/>
            <w:vAlign w:val="bottom"/>
          </w:tcPr>
          <w:p w:rsidR="00AC12B4" w:rsidRDefault="00AC12B4">
            <w:pPr>
              <w:rPr>
                <w:sz w:val="7"/>
                <w:szCs w:val="7"/>
              </w:rPr>
            </w:pPr>
          </w:p>
        </w:tc>
        <w:tc>
          <w:tcPr>
            <w:tcW w:w="580" w:type="dxa"/>
            <w:gridSpan w:val="2"/>
            <w:vMerge/>
            <w:vAlign w:val="bottom"/>
          </w:tcPr>
          <w:p w:rsidR="00AC12B4" w:rsidRDefault="00AC12B4">
            <w:pPr>
              <w:rPr>
                <w:sz w:val="7"/>
                <w:szCs w:val="7"/>
              </w:rPr>
            </w:pPr>
          </w:p>
        </w:tc>
        <w:tc>
          <w:tcPr>
            <w:tcW w:w="760" w:type="dxa"/>
            <w:gridSpan w:val="2"/>
            <w:vMerge/>
            <w:vAlign w:val="bottom"/>
          </w:tcPr>
          <w:p w:rsidR="00AC12B4" w:rsidRDefault="00AC12B4">
            <w:pPr>
              <w:rPr>
                <w:sz w:val="7"/>
                <w:szCs w:val="7"/>
              </w:rPr>
            </w:pPr>
          </w:p>
        </w:tc>
        <w:tc>
          <w:tcPr>
            <w:tcW w:w="280" w:type="dxa"/>
            <w:tcBorders>
              <w:right w:val="single" w:sz="8" w:space="0" w:color="44ACE0"/>
            </w:tcBorders>
            <w:vAlign w:val="bottom"/>
          </w:tcPr>
          <w:p w:rsidR="00AC12B4" w:rsidRDefault="00AC12B4">
            <w:pPr>
              <w:rPr>
                <w:sz w:val="7"/>
                <w:szCs w:val="7"/>
              </w:rPr>
            </w:pPr>
          </w:p>
        </w:tc>
        <w:tc>
          <w:tcPr>
            <w:tcW w:w="140" w:type="dxa"/>
            <w:vAlign w:val="bottom"/>
          </w:tcPr>
          <w:p w:rsidR="00AC12B4" w:rsidRDefault="00AC12B4">
            <w:pPr>
              <w:rPr>
                <w:sz w:val="7"/>
                <w:szCs w:val="7"/>
              </w:rPr>
            </w:pPr>
          </w:p>
        </w:tc>
        <w:tc>
          <w:tcPr>
            <w:tcW w:w="2520" w:type="dxa"/>
            <w:gridSpan w:val="4"/>
            <w:vMerge/>
            <w:tcBorders>
              <w:right w:val="single" w:sz="8" w:space="0" w:color="44ACE0"/>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0"/>
        </w:trPr>
        <w:tc>
          <w:tcPr>
            <w:tcW w:w="2160" w:type="dxa"/>
            <w:vMerge/>
            <w:vAlign w:val="bottom"/>
          </w:tcPr>
          <w:p w:rsidR="00AC12B4" w:rsidRDefault="00AC12B4">
            <w:pPr>
              <w:rPr>
                <w:sz w:val="15"/>
                <w:szCs w:val="15"/>
              </w:rPr>
            </w:pPr>
          </w:p>
        </w:tc>
        <w:tc>
          <w:tcPr>
            <w:tcW w:w="1760" w:type="dxa"/>
            <w:gridSpan w:val="4"/>
            <w:vMerge/>
            <w:vAlign w:val="bottom"/>
          </w:tcPr>
          <w:p w:rsidR="00AC12B4" w:rsidRDefault="00AC12B4">
            <w:pPr>
              <w:rPr>
                <w:sz w:val="15"/>
                <w:szCs w:val="15"/>
              </w:rPr>
            </w:pPr>
          </w:p>
        </w:tc>
        <w:tc>
          <w:tcPr>
            <w:tcW w:w="1040" w:type="dxa"/>
            <w:gridSpan w:val="2"/>
            <w:vMerge/>
            <w:vAlign w:val="bottom"/>
          </w:tcPr>
          <w:p w:rsidR="00AC12B4" w:rsidRDefault="00AC12B4">
            <w:pPr>
              <w:rPr>
                <w:sz w:val="15"/>
                <w:szCs w:val="15"/>
              </w:rPr>
            </w:pPr>
          </w:p>
        </w:tc>
        <w:tc>
          <w:tcPr>
            <w:tcW w:w="1100" w:type="dxa"/>
            <w:vMerge/>
            <w:vAlign w:val="bottom"/>
          </w:tcPr>
          <w:p w:rsidR="00AC12B4" w:rsidRDefault="00AC12B4">
            <w:pPr>
              <w:rPr>
                <w:sz w:val="15"/>
                <w:szCs w:val="15"/>
              </w:rPr>
            </w:pPr>
          </w:p>
        </w:tc>
        <w:tc>
          <w:tcPr>
            <w:tcW w:w="920" w:type="dxa"/>
            <w:gridSpan w:val="2"/>
            <w:vMerge w:val="restart"/>
            <w:vAlign w:val="bottom"/>
          </w:tcPr>
          <w:p w:rsidR="00AC12B4" w:rsidRDefault="00C27636">
            <w:pPr>
              <w:rPr>
                <w:sz w:val="20"/>
                <w:szCs w:val="20"/>
              </w:rPr>
            </w:pPr>
            <w:r>
              <w:rPr>
                <w:rFonts w:ascii="Calibri" w:eastAsia="Calibri" w:hAnsi="Calibri" w:cs="Calibri"/>
                <w:w w:val="98"/>
              </w:rPr>
              <w:t>interrogés</w:t>
            </w:r>
          </w:p>
        </w:tc>
        <w:tc>
          <w:tcPr>
            <w:tcW w:w="280" w:type="dxa"/>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280" w:type="dxa"/>
            <w:tcBorders>
              <w:right w:val="single" w:sz="8" w:space="0" w:color="44ACE0"/>
            </w:tcBorders>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2520" w:type="dxa"/>
            <w:gridSpan w:val="4"/>
            <w:vMerge/>
            <w:tcBorders>
              <w:right w:val="single" w:sz="8" w:space="0" w:color="44ACE0"/>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89"/>
        </w:trPr>
        <w:tc>
          <w:tcPr>
            <w:tcW w:w="6060" w:type="dxa"/>
            <w:gridSpan w:val="8"/>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assurée par la Constitution dans son article</w:t>
            </w:r>
          </w:p>
        </w:tc>
        <w:tc>
          <w:tcPr>
            <w:tcW w:w="920" w:type="dxa"/>
            <w:gridSpan w:val="2"/>
            <w:vMerge/>
            <w:vAlign w:val="bottom"/>
          </w:tcPr>
          <w:p w:rsidR="00AC12B4" w:rsidRPr="00C27636" w:rsidRDefault="00AC12B4">
            <w:pPr>
              <w:rPr>
                <w:sz w:val="7"/>
                <w:szCs w:val="7"/>
                <w:lang w:val="fr-BE"/>
              </w:rPr>
            </w:pPr>
          </w:p>
        </w:tc>
        <w:tc>
          <w:tcPr>
            <w:tcW w:w="280" w:type="dxa"/>
            <w:vAlign w:val="bottom"/>
          </w:tcPr>
          <w:p w:rsidR="00AC12B4" w:rsidRPr="00C27636" w:rsidRDefault="00AC12B4">
            <w:pPr>
              <w:rPr>
                <w:sz w:val="7"/>
                <w:szCs w:val="7"/>
                <w:lang w:val="fr-BE"/>
              </w:rPr>
            </w:pPr>
          </w:p>
        </w:tc>
        <w:tc>
          <w:tcPr>
            <w:tcW w:w="480" w:type="dxa"/>
            <w:vAlign w:val="bottom"/>
          </w:tcPr>
          <w:p w:rsidR="00AC12B4" w:rsidRPr="00C27636" w:rsidRDefault="00AC12B4">
            <w:pPr>
              <w:rPr>
                <w:sz w:val="7"/>
                <w:szCs w:val="7"/>
                <w:lang w:val="fr-BE"/>
              </w:rPr>
            </w:pPr>
          </w:p>
        </w:tc>
        <w:tc>
          <w:tcPr>
            <w:tcW w:w="280" w:type="dxa"/>
            <w:vAlign w:val="bottom"/>
          </w:tcPr>
          <w:p w:rsidR="00AC12B4" w:rsidRPr="00C27636" w:rsidRDefault="00AC12B4">
            <w:pPr>
              <w:rPr>
                <w:sz w:val="7"/>
                <w:szCs w:val="7"/>
                <w:lang w:val="fr-BE"/>
              </w:rPr>
            </w:pPr>
          </w:p>
        </w:tc>
        <w:tc>
          <w:tcPr>
            <w:tcW w:w="280" w:type="dxa"/>
            <w:tcBorders>
              <w:right w:val="single" w:sz="8" w:space="0" w:color="44ACE0"/>
            </w:tcBorders>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2520" w:type="dxa"/>
            <w:gridSpan w:val="4"/>
            <w:vMerge/>
            <w:tcBorders>
              <w:right w:val="single" w:sz="8" w:space="0" w:color="44ACE0"/>
            </w:tcBorders>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180"/>
        </w:trPr>
        <w:tc>
          <w:tcPr>
            <w:tcW w:w="6060" w:type="dxa"/>
            <w:gridSpan w:val="8"/>
            <w:vMerge/>
            <w:vAlign w:val="bottom"/>
          </w:tcPr>
          <w:p w:rsidR="00AC12B4" w:rsidRPr="00C27636" w:rsidRDefault="00AC12B4">
            <w:pPr>
              <w:rPr>
                <w:sz w:val="15"/>
                <w:szCs w:val="15"/>
                <w:lang w:val="fr-BE"/>
              </w:rPr>
            </w:pPr>
          </w:p>
        </w:tc>
        <w:tc>
          <w:tcPr>
            <w:tcW w:w="1960" w:type="dxa"/>
            <w:gridSpan w:val="5"/>
            <w:vMerge w:val="restart"/>
            <w:vAlign w:val="bottom"/>
          </w:tcPr>
          <w:p w:rsidR="00AC12B4" w:rsidRDefault="00C27636">
            <w:pPr>
              <w:rPr>
                <w:sz w:val="20"/>
                <w:szCs w:val="20"/>
              </w:rPr>
            </w:pPr>
            <w:r>
              <w:rPr>
                <w:rFonts w:ascii="Calibri" w:eastAsia="Calibri" w:hAnsi="Calibri" w:cs="Calibri"/>
              </w:rPr>
              <w:t>répondent posséder</w:t>
            </w:r>
          </w:p>
        </w:tc>
        <w:tc>
          <w:tcPr>
            <w:tcW w:w="280" w:type="dxa"/>
            <w:tcBorders>
              <w:right w:val="single" w:sz="8" w:space="0" w:color="44ACE0"/>
            </w:tcBorders>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2520" w:type="dxa"/>
            <w:gridSpan w:val="4"/>
            <w:vMerge/>
            <w:tcBorders>
              <w:right w:val="single" w:sz="8" w:space="0" w:color="44ACE0"/>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89"/>
        </w:trPr>
        <w:tc>
          <w:tcPr>
            <w:tcW w:w="6060" w:type="dxa"/>
            <w:gridSpan w:val="8"/>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24 §2, dans les faits une série de frais peut</w:t>
            </w:r>
          </w:p>
        </w:tc>
        <w:tc>
          <w:tcPr>
            <w:tcW w:w="1960" w:type="dxa"/>
            <w:gridSpan w:val="5"/>
            <w:vMerge/>
            <w:vAlign w:val="bottom"/>
          </w:tcPr>
          <w:p w:rsidR="00AC12B4" w:rsidRPr="00C27636" w:rsidRDefault="00AC12B4">
            <w:pPr>
              <w:rPr>
                <w:sz w:val="7"/>
                <w:szCs w:val="7"/>
                <w:lang w:val="fr-BE"/>
              </w:rPr>
            </w:pPr>
          </w:p>
        </w:tc>
        <w:tc>
          <w:tcPr>
            <w:tcW w:w="280" w:type="dxa"/>
            <w:tcBorders>
              <w:right w:val="single" w:sz="8" w:space="0" w:color="44ACE0"/>
            </w:tcBorders>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2520" w:type="dxa"/>
            <w:gridSpan w:val="4"/>
            <w:vMerge/>
            <w:tcBorders>
              <w:right w:val="single" w:sz="8" w:space="0" w:color="44ACE0"/>
            </w:tcBorders>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180"/>
        </w:trPr>
        <w:tc>
          <w:tcPr>
            <w:tcW w:w="6060" w:type="dxa"/>
            <w:gridSpan w:val="8"/>
            <w:vMerge/>
            <w:vAlign w:val="bottom"/>
          </w:tcPr>
          <w:p w:rsidR="00AC12B4" w:rsidRPr="00C27636" w:rsidRDefault="00AC12B4">
            <w:pPr>
              <w:rPr>
                <w:sz w:val="15"/>
                <w:szCs w:val="15"/>
                <w:lang w:val="fr-BE"/>
              </w:rPr>
            </w:pPr>
          </w:p>
        </w:tc>
        <w:tc>
          <w:tcPr>
            <w:tcW w:w="620" w:type="dxa"/>
            <w:vMerge w:val="restart"/>
            <w:vAlign w:val="bottom"/>
          </w:tcPr>
          <w:p w:rsidR="00AC12B4" w:rsidRDefault="00C27636">
            <w:pPr>
              <w:rPr>
                <w:sz w:val="20"/>
                <w:szCs w:val="20"/>
              </w:rPr>
            </w:pPr>
            <w:r>
              <w:rPr>
                <w:rFonts w:ascii="Calibri" w:eastAsia="Calibri" w:hAnsi="Calibri" w:cs="Calibri"/>
              </w:rPr>
              <w:t>les  7</w:t>
            </w:r>
          </w:p>
        </w:tc>
        <w:tc>
          <w:tcPr>
            <w:tcW w:w="1340" w:type="dxa"/>
            <w:gridSpan w:val="4"/>
            <w:vMerge w:val="restart"/>
            <w:vAlign w:val="bottom"/>
          </w:tcPr>
          <w:p w:rsidR="00AC12B4" w:rsidRDefault="00C27636">
            <w:pPr>
              <w:ind w:left="220"/>
              <w:rPr>
                <w:sz w:val="20"/>
                <w:szCs w:val="20"/>
              </w:rPr>
            </w:pPr>
            <w:r>
              <w:rPr>
                <w:rFonts w:ascii="Calibri" w:eastAsia="Calibri" w:hAnsi="Calibri" w:cs="Calibri"/>
              </w:rPr>
              <w:t>items  de</w:t>
            </w:r>
          </w:p>
        </w:tc>
        <w:tc>
          <w:tcPr>
            <w:tcW w:w="280" w:type="dxa"/>
            <w:tcBorders>
              <w:right w:val="single" w:sz="8" w:space="0" w:color="44ACE0"/>
            </w:tcBorders>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2520" w:type="dxa"/>
            <w:gridSpan w:val="4"/>
            <w:vMerge/>
            <w:tcBorders>
              <w:right w:val="single" w:sz="8" w:space="0" w:color="44ACE0"/>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215"/>
        </w:trPr>
        <w:tc>
          <w:tcPr>
            <w:tcW w:w="2160" w:type="dxa"/>
            <w:vAlign w:val="bottom"/>
          </w:tcPr>
          <w:p w:rsidR="00AC12B4" w:rsidRDefault="00C27636">
            <w:pPr>
              <w:spacing w:line="214" w:lineRule="exact"/>
              <w:ind w:left="1460"/>
              <w:rPr>
                <w:sz w:val="20"/>
                <w:szCs w:val="20"/>
              </w:rPr>
            </w:pPr>
            <w:r>
              <w:rPr>
                <w:rFonts w:ascii="Calibri" w:eastAsia="Calibri" w:hAnsi="Calibri" w:cs="Calibri"/>
              </w:rPr>
              <w:t>être</w:t>
            </w:r>
          </w:p>
        </w:tc>
        <w:tc>
          <w:tcPr>
            <w:tcW w:w="1080" w:type="dxa"/>
            <w:gridSpan w:val="2"/>
            <w:vAlign w:val="bottom"/>
          </w:tcPr>
          <w:p w:rsidR="00AC12B4" w:rsidRDefault="00C27636">
            <w:pPr>
              <w:spacing w:line="214" w:lineRule="exact"/>
              <w:ind w:left="20"/>
              <w:rPr>
                <w:sz w:val="20"/>
                <w:szCs w:val="20"/>
              </w:rPr>
            </w:pPr>
            <w:r>
              <w:rPr>
                <w:rFonts w:ascii="Calibri" w:eastAsia="Calibri" w:hAnsi="Calibri" w:cs="Calibri"/>
              </w:rPr>
              <w:t>réclamée</w:t>
            </w:r>
          </w:p>
        </w:tc>
        <w:tc>
          <w:tcPr>
            <w:tcW w:w="440" w:type="dxa"/>
            <w:vAlign w:val="bottom"/>
          </w:tcPr>
          <w:p w:rsidR="00AC12B4" w:rsidRDefault="00C27636">
            <w:pPr>
              <w:spacing w:line="214" w:lineRule="exact"/>
              <w:ind w:left="100"/>
              <w:rPr>
                <w:sz w:val="20"/>
                <w:szCs w:val="20"/>
              </w:rPr>
            </w:pPr>
            <w:r>
              <w:rPr>
                <w:rFonts w:ascii="Calibri" w:eastAsia="Calibri" w:hAnsi="Calibri" w:cs="Calibri"/>
              </w:rPr>
              <w:t>aux</w:t>
            </w:r>
          </w:p>
        </w:tc>
        <w:tc>
          <w:tcPr>
            <w:tcW w:w="240" w:type="dxa"/>
            <w:vAlign w:val="bottom"/>
          </w:tcPr>
          <w:p w:rsidR="00AC12B4" w:rsidRDefault="00AC12B4">
            <w:pPr>
              <w:rPr>
                <w:sz w:val="18"/>
                <w:szCs w:val="18"/>
              </w:rPr>
            </w:pPr>
          </w:p>
        </w:tc>
        <w:tc>
          <w:tcPr>
            <w:tcW w:w="1040" w:type="dxa"/>
            <w:gridSpan w:val="2"/>
            <w:vAlign w:val="bottom"/>
          </w:tcPr>
          <w:p w:rsidR="00AC12B4" w:rsidRDefault="00C27636">
            <w:pPr>
              <w:spacing w:line="214" w:lineRule="exact"/>
              <w:ind w:left="60"/>
              <w:rPr>
                <w:sz w:val="20"/>
                <w:szCs w:val="20"/>
              </w:rPr>
            </w:pPr>
            <w:r>
              <w:rPr>
                <w:rFonts w:ascii="Calibri" w:eastAsia="Calibri" w:hAnsi="Calibri" w:cs="Calibri"/>
              </w:rPr>
              <w:t>parents.</w:t>
            </w:r>
          </w:p>
        </w:tc>
        <w:tc>
          <w:tcPr>
            <w:tcW w:w="1100" w:type="dxa"/>
            <w:vAlign w:val="bottom"/>
          </w:tcPr>
          <w:p w:rsidR="00AC12B4" w:rsidRDefault="00C27636">
            <w:pPr>
              <w:spacing w:line="214" w:lineRule="exact"/>
              <w:ind w:right="610"/>
              <w:jc w:val="right"/>
              <w:rPr>
                <w:sz w:val="20"/>
                <w:szCs w:val="20"/>
              </w:rPr>
            </w:pPr>
            <w:r>
              <w:rPr>
                <w:rFonts w:ascii="Calibri" w:eastAsia="Calibri" w:hAnsi="Calibri" w:cs="Calibri"/>
              </w:rPr>
              <w:t>Les</w:t>
            </w:r>
          </w:p>
        </w:tc>
        <w:tc>
          <w:tcPr>
            <w:tcW w:w="620" w:type="dxa"/>
            <w:vMerge/>
            <w:vAlign w:val="bottom"/>
          </w:tcPr>
          <w:p w:rsidR="00AC12B4" w:rsidRDefault="00AC12B4">
            <w:pPr>
              <w:rPr>
                <w:sz w:val="18"/>
                <w:szCs w:val="18"/>
              </w:rPr>
            </w:pPr>
          </w:p>
        </w:tc>
        <w:tc>
          <w:tcPr>
            <w:tcW w:w="1340" w:type="dxa"/>
            <w:gridSpan w:val="4"/>
            <w:vMerge/>
            <w:vAlign w:val="bottom"/>
          </w:tcPr>
          <w:p w:rsidR="00AC12B4" w:rsidRDefault="00AC12B4">
            <w:pPr>
              <w:rPr>
                <w:sz w:val="18"/>
                <w:szCs w:val="18"/>
              </w:rPr>
            </w:pPr>
          </w:p>
        </w:tc>
        <w:tc>
          <w:tcPr>
            <w:tcW w:w="280" w:type="dxa"/>
            <w:tcBorders>
              <w:right w:val="single" w:sz="8" w:space="0" w:color="44ACE0"/>
            </w:tcBorders>
            <w:vAlign w:val="bottom"/>
          </w:tcPr>
          <w:p w:rsidR="00AC12B4" w:rsidRDefault="00AC12B4">
            <w:pPr>
              <w:rPr>
                <w:sz w:val="18"/>
                <w:szCs w:val="18"/>
              </w:rPr>
            </w:pPr>
          </w:p>
        </w:tc>
        <w:tc>
          <w:tcPr>
            <w:tcW w:w="140" w:type="dxa"/>
            <w:vAlign w:val="bottom"/>
          </w:tcPr>
          <w:p w:rsidR="00AC12B4" w:rsidRDefault="00AC12B4">
            <w:pPr>
              <w:rPr>
                <w:sz w:val="18"/>
                <w:szCs w:val="18"/>
              </w:rPr>
            </w:pPr>
          </w:p>
        </w:tc>
        <w:tc>
          <w:tcPr>
            <w:tcW w:w="2520" w:type="dxa"/>
            <w:gridSpan w:val="4"/>
            <w:vMerge/>
            <w:tcBorders>
              <w:right w:val="single" w:sz="8" w:space="0" w:color="44ACE0"/>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20"/>
        </w:trPr>
        <w:tc>
          <w:tcPr>
            <w:tcW w:w="6060" w:type="dxa"/>
            <w:gridSpan w:val="8"/>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Communautés ont mis en place des règles</w:t>
            </w:r>
          </w:p>
        </w:tc>
        <w:tc>
          <w:tcPr>
            <w:tcW w:w="1680" w:type="dxa"/>
            <w:gridSpan w:val="4"/>
            <w:vAlign w:val="bottom"/>
          </w:tcPr>
          <w:p w:rsidR="00AC12B4" w:rsidRDefault="00C27636">
            <w:pPr>
              <w:spacing w:line="220" w:lineRule="exact"/>
              <w:rPr>
                <w:sz w:val="20"/>
                <w:szCs w:val="20"/>
              </w:rPr>
            </w:pPr>
            <w:r>
              <w:rPr>
                <w:rFonts w:ascii="Calibri" w:eastAsia="Calibri" w:hAnsi="Calibri" w:cs="Calibri"/>
              </w:rPr>
              <w:t>l’indice HEDRES.</w:t>
            </w:r>
          </w:p>
        </w:tc>
        <w:tc>
          <w:tcPr>
            <w:tcW w:w="280" w:type="dxa"/>
            <w:vAlign w:val="bottom"/>
          </w:tcPr>
          <w:p w:rsidR="00AC12B4" w:rsidRDefault="00AC12B4">
            <w:pPr>
              <w:rPr>
                <w:sz w:val="19"/>
                <w:szCs w:val="19"/>
              </w:rPr>
            </w:pPr>
          </w:p>
        </w:tc>
        <w:tc>
          <w:tcPr>
            <w:tcW w:w="280" w:type="dxa"/>
            <w:tcBorders>
              <w:right w:val="single" w:sz="8" w:space="0" w:color="44ACE0"/>
            </w:tcBorders>
            <w:vAlign w:val="bottom"/>
          </w:tcPr>
          <w:p w:rsidR="00AC12B4" w:rsidRDefault="00AC12B4">
            <w:pPr>
              <w:rPr>
                <w:sz w:val="19"/>
                <w:szCs w:val="19"/>
              </w:rPr>
            </w:pPr>
          </w:p>
        </w:tc>
        <w:tc>
          <w:tcPr>
            <w:tcW w:w="140" w:type="dxa"/>
            <w:vAlign w:val="bottom"/>
          </w:tcPr>
          <w:p w:rsidR="00AC12B4" w:rsidRDefault="00AC12B4">
            <w:pPr>
              <w:rPr>
                <w:sz w:val="19"/>
                <w:szCs w:val="19"/>
              </w:rPr>
            </w:pPr>
          </w:p>
        </w:tc>
        <w:tc>
          <w:tcPr>
            <w:tcW w:w="50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540" w:type="dxa"/>
            <w:vAlign w:val="bottom"/>
          </w:tcPr>
          <w:p w:rsidR="00AC12B4" w:rsidRDefault="00AC12B4">
            <w:pPr>
              <w:rPr>
                <w:sz w:val="19"/>
                <w:szCs w:val="19"/>
              </w:rPr>
            </w:pPr>
          </w:p>
        </w:tc>
        <w:tc>
          <w:tcPr>
            <w:tcW w:w="1420" w:type="dxa"/>
            <w:tcBorders>
              <w:right w:val="single" w:sz="8" w:space="0" w:color="44ACE0"/>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03"/>
        </w:trPr>
        <w:tc>
          <w:tcPr>
            <w:tcW w:w="6060" w:type="dxa"/>
            <w:gridSpan w:val="8"/>
            <w:vMerge/>
            <w:vAlign w:val="bottom"/>
          </w:tcPr>
          <w:p w:rsidR="00AC12B4" w:rsidRDefault="00AC12B4">
            <w:pPr>
              <w:rPr>
                <w:sz w:val="8"/>
                <w:szCs w:val="8"/>
              </w:rPr>
            </w:pPr>
          </w:p>
        </w:tc>
        <w:tc>
          <w:tcPr>
            <w:tcW w:w="6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280" w:type="dxa"/>
            <w:tcBorders>
              <w:right w:val="single" w:sz="8" w:space="0" w:color="44ACE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5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540" w:type="dxa"/>
            <w:vAlign w:val="bottom"/>
          </w:tcPr>
          <w:p w:rsidR="00AC12B4" w:rsidRDefault="00AC12B4">
            <w:pPr>
              <w:rPr>
                <w:sz w:val="8"/>
                <w:szCs w:val="8"/>
              </w:rPr>
            </w:pPr>
          </w:p>
        </w:tc>
        <w:tc>
          <w:tcPr>
            <w:tcW w:w="14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331"/>
        </w:trPr>
        <w:tc>
          <w:tcPr>
            <w:tcW w:w="3920" w:type="dxa"/>
            <w:gridSpan w:val="5"/>
            <w:vAlign w:val="bottom"/>
          </w:tcPr>
          <w:p w:rsidR="00AC12B4" w:rsidRPr="00C27636" w:rsidRDefault="00C27636">
            <w:pPr>
              <w:ind w:left="1460"/>
              <w:rPr>
                <w:sz w:val="20"/>
                <w:szCs w:val="20"/>
                <w:lang w:val="fr-BE"/>
              </w:rPr>
            </w:pPr>
            <w:r w:rsidRPr="00C27636">
              <w:rPr>
                <w:rFonts w:ascii="Calibri" w:eastAsia="Calibri" w:hAnsi="Calibri" w:cs="Calibri"/>
                <w:lang w:val="fr-BE"/>
              </w:rPr>
              <w:lastRenderedPageBreak/>
              <w:t>en vue de limiter les frais.</w:t>
            </w:r>
          </w:p>
        </w:tc>
        <w:tc>
          <w:tcPr>
            <w:tcW w:w="600" w:type="dxa"/>
            <w:vAlign w:val="bottom"/>
          </w:tcPr>
          <w:p w:rsidR="00AC12B4" w:rsidRPr="00C27636" w:rsidRDefault="00AC12B4">
            <w:pPr>
              <w:rPr>
                <w:sz w:val="24"/>
                <w:szCs w:val="24"/>
                <w:lang w:val="fr-BE"/>
              </w:rPr>
            </w:pPr>
          </w:p>
        </w:tc>
        <w:tc>
          <w:tcPr>
            <w:tcW w:w="440" w:type="dxa"/>
            <w:vAlign w:val="bottom"/>
          </w:tcPr>
          <w:p w:rsidR="00AC12B4" w:rsidRPr="00C27636" w:rsidRDefault="00AC12B4">
            <w:pPr>
              <w:rPr>
                <w:sz w:val="24"/>
                <w:szCs w:val="24"/>
                <w:lang w:val="fr-BE"/>
              </w:rPr>
            </w:pPr>
          </w:p>
        </w:tc>
        <w:tc>
          <w:tcPr>
            <w:tcW w:w="1100" w:type="dxa"/>
            <w:vAlign w:val="bottom"/>
          </w:tcPr>
          <w:p w:rsidR="00AC12B4" w:rsidRPr="00C27636" w:rsidRDefault="00AC12B4">
            <w:pPr>
              <w:rPr>
                <w:sz w:val="24"/>
                <w:szCs w:val="24"/>
                <w:lang w:val="fr-BE"/>
              </w:rPr>
            </w:pPr>
          </w:p>
        </w:tc>
        <w:tc>
          <w:tcPr>
            <w:tcW w:w="1200" w:type="dxa"/>
            <w:gridSpan w:val="3"/>
            <w:vAlign w:val="bottom"/>
          </w:tcPr>
          <w:p w:rsidR="00AC12B4" w:rsidRDefault="00C27636">
            <w:pPr>
              <w:rPr>
                <w:sz w:val="20"/>
                <w:szCs w:val="20"/>
              </w:rPr>
            </w:pPr>
            <w:r>
              <w:rPr>
                <w:rFonts w:ascii="Cambria" w:eastAsia="Cambria" w:hAnsi="Cambria" w:cs="Cambria"/>
                <w:b/>
                <w:bCs/>
                <w:i/>
                <w:iCs/>
                <w:color w:val="44ACE0"/>
                <w:sz w:val="26"/>
                <w:szCs w:val="26"/>
              </w:rPr>
              <w:t>Evolution</w:t>
            </w:r>
          </w:p>
        </w:tc>
        <w:tc>
          <w:tcPr>
            <w:tcW w:w="48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80" w:type="dxa"/>
            <w:tcBorders>
              <w:right w:val="single" w:sz="8" w:space="0" w:color="44ACE0"/>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1420" w:type="dxa"/>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27"/>
        </w:trPr>
        <w:tc>
          <w:tcPr>
            <w:tcW w:w="6060" w:type="dxa"/>
            <w:gridSpan w:val="8"/>
            <w:vAlign w:val="bottom"/>
          </w:tcPr>
          <w:p w:rsidR="00AC12B4" w:rsidRPr="00C27636" w:rsidRDefault="00C27636">
            <w:pPr>
              <w:ind w:left="1460"/>
              <w:rPr>
                <w:sz w:val="20"/>
                <w:szCs w:val="20"/>
                <w:lang w:val="fr-BE"/>
              </w:rPr>
            </w:pPr>
            <w:r w:rsidRPr="00C27636">
              <w:rPr>
                <w:rFonts w:ascii="Calibri" w:eastAsia="Calibri" w:hAnsi="Calibri" w:cs="Calibri"/>
                <w:lang w:val="fr-BE"/>
              </w:rPr>
              <w:t>Il est très difficile de mesurer le coût réel à</w:t>
            </w:r>
          </w:p>
        </w:tc>
        <w:tc>
          <w:tcPr>
            <w:tcW w:w="1960" w:type="dxa"/>
            <w:gridSpan w:val="5"/>
            <w:vMerge w:val="restart"/>
            <w:vAlign w:val="bottom"/>
          </w:tcPr>
          <w:p w:rsidR="00AC12B4" w:rsidRDefault="00C27636">
            <w:pPr>
              <w:rPr>
                <w:sz w:val="20"/>
                <w:szCs w:val="20"/>
              </w:rPr>
            </w:pPr>
            <w:r>
              <w:rPr>
                <w:rFonts w:ascii="Calibri" w:eastAsia="Calibri" w:hAnsi="Calibri" w:cs="Calibri"/>
              </w:rPr>
              <w:t>En 2009, 3,5% des</w:t>
            </w:r>
          </w:p>
        </w:tc>
        <w:tc>
          <w:tcPr>
            <w:tcW w:w="280" w:type="dxa"/>
            <w:tcBorders>
              <w:right w:val="single" w:sz="8" w:space="0" w:color="44ACE0"/>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1420" w:type="dxa"/>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01"/>
        </w:trPr>
        <w:tc>
          <w:tcPr>
            <w:tcW w:w="2160" w:type="dxa"/>
            <w:vMerge w:val="restart"/>
            <w:vAlign w:val="bottom"/>
          </w:tcPr>
          <w:p w:rsidR="00AC12B4" w:rsidRDefault="00C27636">
            <w:pPr>
              <w:ind w:left="1460"/>
              <w:rPr>
                <w:sz w:val="20"/>
                <w:szCs w:val="20"/>
              </w:rPr>
            </w:pPr>
            <w:r>
              <w:rPr>
                <w:rFonts w:ascii="Calibri" w:eastAsia="Calibri" w:hAnsi="Calibri" w:cs="Calibri"/>
              </w:rPr>
              <w:t>charge</w:t>
            </w:r>
          </w:p>
        </w:tc>
        <w:tc>
          <w:tcPr>
            <w:tcW w:w="520" w:type="dxa"/>
            <w:vMerge w:val="restart"/>
            <w:vAlign w:val="bottom"/>
          </w:tcPr>
          <w:p w:rsidR="00AC12B4" w:rsidRDefault="00C27636">
            <w:pPr>
              <w:ind w:left="120"/>
              <w:rPr>
                <w:sz w:val="20"/>
                <w:szCs w:val="20"/>
              </w:rPr>
            </w:pPr>
            <w:r>
              <w:rPr>
                <w:rFonts w:ascii="Calibri" w:eastAsia="Calibri" w:hAnsi="Calibri" w:cs="Calibri"/>
              </w:rPr>
              <w:t>des</w:t>
            </w:r>
          </w:p>
        </w:tc>
        <w:tc>
          <w:tcPr>
            <w:tcW w:w="1000" w:type="dxa"/>
            <w:gridSpan w:val="2"/>
            <w:vMerge w:val="restart"/>
            <w:vAlign w:val="bottom"/>
          </w:tcPr>
          <w:p w:rsidR="00AC12B4" w:rsidRDefault="00C27636">
            <w:pPr>
              <w:ind w:left="100"/>
              <w:rPr>
                <w:sz w:val="20"/>
                <w:szCs w:val="20"/>
              </w:rPr>
            </w:pPr>
            <w:r>
              <w:rPr>
                <w:rFonts w:ascii="Calibri" w:eastAsia="Calibri" w:hAnsi="Calibri" w:cs="Calibri"/>
              </w:rPr>
              <w:t>parents.</w:t>
            </w:r>
          </w:p>
        </w:tc>
        <w:tc>
          <w:tcPr>
            <w:tcW w:w="840" w:type="dxa"/>
            <w:gridSpan w:val="2"/>
            <w:vMerge w:val="restart"/>
            <w:vAlign w:val="bottom"/>
          </w:tcPr>
          <w:p w:rsidR="00AC12B4" w:rsidRDefault="00C27636">
            <w:pPr>
              <w:ind w:left="40"/>
              <w:rPr>
                <w:sz w:val="20"/>
                <w:szCs w:val="20"/>
              </w:rPr>
            </w:pPr>
            <w:r>
              <w:rPr>
                <w:rFonts w:ascii="Calibri" w:eastAsia="Calibri" w:hAnsi="Calibri" w:cs="Calibri"/>
              </w:rPr>
              <w:t>Aucune</w:t>
            </w:r>
          </w:p>
        </w:tc>
        <w:tc>
          <w:tcPr>
            <w:tcW w:w="1540" w:type="dxa"/>
            <w:gridSpan w:val="2"/>
            <w:vMerge w:val="restart"/>
            <w:vAlign w:val="bottom"/>
          </w:tcPr>
          <w:p w:rsidR="00AC12B4" w:rsidRDefault="00C27636">
            <w:pPr>
              <w:ind w:right="610"/>
              <w:jc w:val="right"/>
              <w:rPr>
                <w:sz w:val="20"/>
                <w:szCs w:val="20"/>
              </w:rPr>
            </w:pPr>
            <w:r>
              <w:rPr>
                <w:rFonts w:ascii="Calibri" w:eastAsia="Calibri" w:hAnsi="Calibri" w:cs="Calibri"/>
              </w:rPr>
              <w:t>enquête</w:t>
            </w:r>
          </w:p>
        </w:tc>
        <w:tc>
          <w:tcPr>
            <w:tcW w:w="1960" w:type="dxa"/>
            <w:gridSpan w:val="5"/>
            <w:vMerge/>
            <w:vAlign w:val="bottom"/>
          </w:tcPr>
          <w:p w:rsidR="00AC12B4" w:rsidRDefault="00AC12B4">
            <w:pPr>
              <w:rPr>
                <w:sz w:val="8"/>
                <w:szCs w:val="8"/>
              </w:rPr>
            </w:pPr>
          </w:p>
        </w:tc>
        <w:tc>
          <w:tcPr>
            <w:tcW w:w="280" w:type="dxa"/>
            <w:tcBorders>
              <w:right w:val="single" w:sz="8" w:space="0" w:color="44ACE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5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540" w:type="dxa"/>
            <w:vAlign w:val="bottom"/>
          </w:tcPr>
          <w:p w:rsidR="00AC12B4" w:rsidRDefault="00AC12B4">
            <w:pPr>
              <w:rPr>
                <w:sz w:val="8"/>
                <w:szCs w:val="8"/>
              </w:rPr>
            </w:pPr>
          </w:p>
        </w:tc>
        <w:tc>
          <w:tcPr>
            <w:tcW w:w="14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8"/>
        </w:trPr>
        <w:tc>
          <w:tcPr>
            <w:tcW w:w="2160" w:type="dxa"/>
            <w:vMerge/>
            <w:vAlign w:val="bottom"/>
          </w:tcPr>
          <w:p w:rsidR="00AC12B4" w:rsidRDefault="00AC12B4">
            <w:pPr>
              <w:rPr>
                <w:sz w:val="14"/>
                <w:szCs w:val="14"/>
              </w:rPr>
            </w:pPr>
          </w:p>
        </w:tc>
        <w:tc>
          <w:tcPr>
            <w:tcW w:w="520" w:type="dxa"/>
            <w:vMerge/>
            <w:vAlign w:val="bottom"/>
          </w:tcPr>
          <w:p w:rsidR="00AC12B4" w:rsidRDefault="00AC12B4">
            <w:pPr>
              <w:rPr>
                <w:sz w:val="14"/>
                <w:szCs w:val="14"/>
              </w:rPr>
            </w:pPr>
          </w:p>
        </w:tc>
        <w:tc>
          <w:tcPr>
            <w:tcW w:w="1000" w:type="dxa"/>
            <w:gridSpan w:val="2"/>
            <w:vMerge/>
            <w:vAlign w:val="bottom"/>
          </w:tcPr>
          <w:p w:rsidR="00AC12B4" w:rsidRDefault="00AC12B4">
            <w:pPr>
              <w:rPr>
                <w:sz w:val="14"/>
                <w:szCs w:val="14"/>
              </w:rPr>
            </w:pPr>
          </w:p>
        </w:tc>
        <w:tc>
          <w:tcPr>
            <w:tcW w:w="840" w:type="dxa"/>
            <w:gridSpan w:val="2"/>
            <w:vMerge/>
            <w:vAlign w:val="bottom"/>
          </w:tcPr>
          <w:p w:rsidR="00AC12B4" w:rsidRDefault="00AC12B4">
            <w:pPr>
              <w:rPr>
                <w:sz w:val="14"/>
                <w:szCs w:val="14"/>
              </w:rPr>
            </w:pPr>
          </w:p>
        </w:tc>
        <w:tc>
          <w:tcPr>
            <w:tcW w:w="1540" w:type="dxa"/>
            <w:gridSpan w:val="2"/>
            <w:vMerge/>
            <w:vAlign w:val="bottom"/>
          </w:tcPr>
          <w:p w:rsidR="00AC12B4" w:rsidRDefault="00AC12B4">
            <w:pPr>
              <w:rPr>
                <w:sz w:val="14"/>
                <w:szCs w:val="14"/>
              </w:rPr>
            </w:pPr>
          </w:p>
        </w:tc>
        <w:tc>
          <w:tcPr>
            <w:tcW w:w="620" w:type="dxa"/>
            <w:vMerge w:val="restart"/>
            <w:vAlign w:val="bottom"/>
          </w:tcPr>
          <w:p w:rsidR="00AC12B4" w:rsidRDefault="00C27636">
            <w:pPr>
              <w:rPr>
                <w:sz w:val="20"/>
                <w:szCs w:val="20"/>
              </w:rPr>
            </w:pPr>
            <w:r>
              <w:rPr>
                <w:rFonts w:ascii="Calibri" w:eastAsia="Calibri" w:hAnsi="Calibri" w:cs="Calibri"/>
              </w:rPr>
              <w:t>élèves</w:t>
            </w:r>
          </w:p>
        </w:tc>
        <w:tc>
          <w:tcPr>
            <w:tcW w:w="1340" w:type="dxa"/>
            <w:gridSpan w:val="4"/>
            <w:vMerge w:val="restart"/>
            <w:vAlign w:val="bottom"/>
          </w:tcPr>
          <w:p w:rsidR="00AC12B4" w:rsidRDefault="00C27636">
            <w:pPr>
              <w:ind w:right="30"/>
              <w:jc w:val="right"/>
              <w:rPr>
                <w:sz w:val="20"/>
                <w:szCs w:val="20"/>
              </w:rPr>
            </w:pPr>
            <w:r>
              <w:rPr>
                <w:rFonts w:ascii="Calibri" w:eastAsia="Calibri" w:hAnsi="Calibri" w:cs="Calibri"/>
              </w:rPr>
              <w:t>possédaient</w:t>
            </w:r>
          </w:p>
        </w:tc>
        <w:tc>
          <w:tcPr>
            <w:tcW w:w="280" w:type="dxa"/>
            <w:tcBorders>
              <w:right w:val="single" w:sz="8" w:space="0" w:color="44ACE0"/>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500" w:type="dxa"/>
            <w:vAlign w:val="bottom"/>
          </w:tcPr>
          <w:p w:rsidR="00AC12B4" w:rsidRDefault="00AC12B4">
            <w:pPr>
              <w:rPr>
                <w:sz w:val="14"/>
                <w:szCs w:val="14"/>
              </w:rPr>
            </w:pPr>
          </w:p>
        </w:tc>
        <w:tc>
          <w:tcPr>
            <w:tcW w:w="60" w:type="dxa"/>
            <w:vAlign w:val="bottom"/>
          </w:tcPr>
          <w:p w:rsidR="00AC12B4" w:rsidRDefault="00AC12B4">
            <w:pPr>
              <w:rPr>
                <w:sz w:val="14"/>
                <w:szCs w:val="14"/>
              </w:rPr>
            </w:pPr>
          </w:p>
        </w:tc>
        <w:tc>
          <w:tcPr>
            <w:tcW w:w="540" w:type="dxa"/>
            <w:vAlign w:val="bottom"/>
          </w:tcPr>
          <w:p w:rsidR="00AC12B4" w:rsidRDefault="00AC12B4">
            <w:pPr>
              <w:rPr>
                <w:sz w:val="14"/>
                <w:szCs w:val="14"/>
              </w:rPr>
            </w:pPr>
          </w:p>
        </w:tc>
        <w:tc>
          <w:tcPr>
            <w:tcW w:w="1420" w:type="dxa"/>
            <w:tcBorders>
              <w:right w:val="single" w:sz="8" w:space="0" w:color="44ACE0"/>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rsidRPr="00C27636">
        <w:trPr>
          <w:trHeight w:val="101"/>
        </w:trPr>
        <w:tc>
          <w:tcPr>
            <w:tcW w:w="6060" w:type="dxa"/>
            <w:gridSpan w:val="8"/>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nationale n’arrive à chiffrer cela en partie</w:t>
            </w:r>
          </w:p>
        </w:tc>
        <w:tc>
          <w:tcPr>
            <w:tcW w:w="620" w:type="dxa"/>
            <w:vMerge/>
            <w:vAlign w:val="bottom"/>
          </w:tcPr>
          <w:p w:rsidR="00AC12B4" w:rsidRPr="00C27636" w:rsidRDefault="00AC12B4">
            <w:pPr>
              <w:rPr>
                <w:sz w:val="8"/>
                <w:szCs w:val="8"/>
                <w:lang w:val="fr-BE"/>
              </w:rPr>
            </w:pPr>
          </w:p>
        </w:tc>
        <w:tc>
          <w:tcPr>
            <w:tcW w:w="1340" w:type="dxa"/>
            <w:gridSpan w:val="4"/>
            <w:vMerge/>
            <w:vAlign w:val="bottom"/>
          </w:tcPr>
          <w:p w:rsidR="00AC12B4" w:rsidRPr="00C27636" w:rsidRDefault="00AC12B4">
            <w:pPr>
              <w:rPr>
                <w:sz w:val="8"/>
                <w:szCs w:val="8"/>
                <w:lang w:val="fr-BE"/>
              </w:rPr>
            </w:pPr>
          </w:p>
        </w:tc>
        <w:tc>
          <w:tcPr>
            <w:tcW w:w="280" w:type="dxa"/>
            <w:tcBorders>
              <w:right w:val="single" w:sz="8" w:space="0" w:color="44ACE0"/>
            </w:tcBorders>
            <w:vAlign w:val="bottom"/>
          </w:tcPr>
          <w:p w:rsidR="00AC12B4" w:rsidRPr="00C27636" w:rsidRDefault="00AC12B4">
            <w:pPr>
              <w:rPr>
                <w:sz w:val="8"/>
                <w:szCs w:val="8"/>
                <w:lang w:val="fr-BE"/>
              </w:rPr>
            </w:pPr>
          </w:p>
        </w:tc>
        <w:tc>
          <w:tcPr>
            <w:tcW w:w="140" w:type="dxa"/>
            <w:vAlign w:val="bottom"/>
          </w:tcPr>
          <w:p w:rsidR="00AC12B4" w:rsidRPr="00C27636" w:rsidRDefault="00AC12B4">
            <w:pPr>
              <w:rPr>
                <w:sz w:val="8"/>
                <w:szCs w:val="8"/>
                <w:lang w:val="fr-BE"/>
              </w:rPr>
            </w:pPr>
          </w:p>
        </w:tc>
        <w:tc>
          <w:tcPr>
            <w:tcW w:w="500" w:type="dxa"/>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540" w:type="dxa"/>
            <w:vAlign w:val="bottom"/>
          </w:tcPr>
          <w:p w:rsidR="00AC12B4" w:rsidRPr="00C27636" w:rsidRDefault="00AC12B4">
            <w:pPr>
              <w:rPr>
                <w:sz w:val="8"/>
                <w:szCs w:val="8"/>
                <w:lang w:val="fr-BE"/>
              </w:rPr>
            </w:pPr>
          </w:p>
        </w:tc>
        <w:tc>
          <w:tcPr>
            <w:tcW w:w="1420" w:type="dxa"/>
            <w:tcBorders>
              <w:right w:val="single" w:sz="8" w:space="0" w:color="44ACE0"/>
            </w:tcBorders>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168"/>
        </w:trPr>
        <w:tc>
          <w:tcPr>
            <w:tcW w:w="6060" w:type="dxa"/>
            <w:gridSpan w:val="8"/>
            <w:vMerge/>
            <w:vAlign w:val="bottom"/>
          </w:tcPr>
          <w:p w:rsidR="00AC12B4" w:rsidRPr="00C27636" w:rsidRDefault="00AC12B4">
            <w:pPr>
              <w:rPr>
                <w:sz w:val="14"/>
                <w:szCs w:val="14"/>
                <w:lang w:val="fr-BE"/>
              </w:rPr>
            </w:pPr>
          </w:p>
        </w:tc>
        <w:tc>
          <w:tcPr>
            <w:tcW w:w="620" w:type="dxa"/>
            <w:vMerge w:val="restart"/>
            <w:vAlign w:val="bottom"/>
          </w:tcPr>
          <w:p w:rsidR="00AC12B4" w:rsidRDefault="00C27636">
            <w:pPr>
              <w:rPr>
                <w:sz w:val="20"/>
                <w:szCs w:val="20"/>
              </w:rPr>
            </w:pPr>
            <w:r>
              <w:rPr>
                <w:rFonts w:ascii="Calibri" w:eastAsia="Calibri" w:hAnsi="Calibri" w:cs="Calibri"/>
              </w:rPr>
              <w:t>moins</w:t>
            </w:r>
          </w:p>
        </w:tc>
        <w:tc>
          <w:tcPr>
            <w:tcW w:w="300" w:type="dxa"/>
            <w:vMerge w:val="restart"/>
            <w:vAlign w:val="bottom"/>
          </w:tcPr>
          <w:p w:rsidR="00AC12B4" w:rsidRDefault="00C27636">
            <w:pPr>
              <w:ind w:left="60"/>
              <w:rPr>
                <w:sz w:val="20"/>
                <w:szCs w:val="20"/>
              </w:rPr>
            </w:pPr>
            <w:r>
              <w:rPr>
                <w:rFonts w:ascii="Calibri" w:eastAsia="Calibri" w:hAnsi="Calibri" w:cs="Calibri"/>
                <w:w w:val="97"/>
              </w:rPr>
              <w:t>de</w:t>
            </w:r>
          </w:p>
        </w:tc>
        <w:tc>
          <w:tcPr>
            <w:tcW w:w="280" w:type="dxa"/>
            <w:vMerge w:val="restart"/>
            <w:vAlign w:val="bottom"/>
          </w:tcPr>
          <w:p w:rsidR="00AC12B4" w:rsidRDefault="00C27636">
            <w:pPr>
              <w:jc w:val="right"/>
              <w:rPr>
                <w:sz w:val="20"/>
                <w:szCs w:val="20"/>
              </w:rPr>
            </w:pPr>
            <w:r>
              <w:rPr>
                <w:rFonts w:ascii="Calibri" w:eastAsia="Calibri" w:hAnsi="Calibri" w:cs="Calibri"/>
              </w:rPr>
              <w:t>4</w:t>
            </w:r>
          </w:p>
        </w:tc>
        <w:tc>
          <w:tcPr>
            <w:tcW w:w="760" w:type="dxa"/>
            <w:gridSpan w:val="2"/>
            <w:vMerge w:val="restart"/>
            <w:vAlign w:val="bottom"/>
          </w:tcPr>
          <w:p w:rsidR="00AC12B4" w:rsidRDefault="00C27636">
            <w:pPr>
              <w:ind w:right="50"/>
              <w:jc w:val="right"/>
              <w:rPr>
                <w:sz w:val="20"/>
                <w:szCs w:val="20"/>
              </w:rPr>
            </w:pPr>
            <w:r>
              <w:rPr>
                <w:rFonts w:ascii="Calibri" w:eastAsia="Calibri" w:hAnsi="Calibri" w:cs="Calibri"/>
              </w:rPr>
              <w:t>items</w:t>
            </w:r>
          </w:p>
        </w:tc>
        <w:tc>
          <w:tcPr>
            <w:tcW w:w="280" w:type="dxa"/>
            <w:tcBorders>
              <w:right w:val="single" w:sz="8" w:space="0" w:color="44ACE0"/>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500" w:type="dxa"/>
            <w:vAlign w:val="bottom"/>
          </w:tcPr>
          <w:p w:rsidR="00AC12B4" w:rsidRDefault="00AC12B4">
            <w:pPr>
              <w:rPr>
                <w:sz w:val="14"/>
                <w:szCs w:val="14"/>
              </w:rPr>
            </w:pPr>
          </w:p>
        </w:tc>
        <w:tc>
          <w:tcPr>
            <w:tcW w:w="60" w:type="dxa"/>
            <w:vAlign w:val="bottom"/>
          </w:tcPr>
          <w:p w:rsidR="00AC12B4" w:rsidRDefault="00AC12B4">
            <w:pPr>
              <w:rPr>
                <w:sz w:val="14"/>
                <w:szCs w:val="14"/>
              </w:rPr>
            </w:pPr>
          </w:p>
        </w:tc>
        <w:tc>
          <w:tcPr>
            <w:tcW w:w="540" w:type="dxa"/>
            <w:vAlign w:val="bottom"/>
          </w:tcPr>
          <w:p w:rsidR="00AC12B4" w:rsidRDefault="00AC12B4">
            <w:pPr>
              <w:rPr>
                <w:sz w:val="14"/>
                <w:szCs w:val="14"/>
              </w:rPr>
            </w:pPr>
          </w:p>
        </w:tc>
        <w:tc>
          <w:tcPr>
            <w:tcW w:w="1420" w:type="dxa"/>
            <w:tcBorders>
              <w:right w:val="single" w:sz="8" w:space="0" w:color="44ACE0"/>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rsidRPr="00C27636">
        <w:trPr>
          <w:trHeight w:val="101"/>
        </w:trPr>
        <w:tc>
          <w:tcPr>
            <w:tcW w:w="6060" w:type="dxa"/>
            <w:gridSpan w:val="8"/>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 xml:space="preserve">de </w:t>
            </w:r>
            <w:r w:rsidRPr="00C27636">
              <w:rPr>
                <w:rFonts w:ascii="Calibri" w:eastAsia="Calibri" w:hAnsi="Calibri" w:cs="Calibri"/>
                <w:lang w:val="fr-BE"/>
              </w:rPr>
              <w:t>par le fait qu’il est difficile de délimiter</w:t>
            </w:r>
          </w:p>
        </w:tc>
        <w:tc>
          <w:tcPr>
            <w:tcW w:w="620" w:type="dxa"/>
            <w:vMerge/>
            <w:vAlign w:val="bottom"/>
          </w:tcPr>
          <w:p w:rsidR="00AC12B4" w:rsidRPr="00C27636" w:rsidRDefault="00AC12B4">
            <w:pPr>
              <w:rPr>
                <w:sz w:val="8"/>
                <w:szCs w:val="8"/>
                <w:lang w:val="fr-BE"/>
              </w:rPr>
            </w:pPr>
          </w:p>
        </w:tc>
        <w:tc>
          <w:tcPr>
            <w:tcW w:w="300" w:type="dxa"/>
            <w:vMerge/>
            <w:vAlign w:val="bottom"/>
          </w:tcPr>
          <w:p w:rsidR="00AC12B4" w:rsidRPr="00C27636" w:rsidRDefault="00AC12B4">
            <w:pPr>
              <w:rPr>
                <w:sz w:val="8"/>
                <w:szCs w:val="8"/>
                <w:lang w:val="fr-BE"/>
              </w:rPr>
            </w:pPr>
          </w:p>
        </w:tc>
        <w:tc>
          <w:tcPr>
            <w:tcW w:w="280" w:type="dxa"/>
            <w:vMerge/>
            <w:vAlign w:val="bottom"/>
          </w:tcPr>
          <w:p w:rsidR="00AC12B4" w:rsidRPr="00C27636" w:rsidRDefault="00AC12B4">
            <w:pPr>
              <w:rPr>
                <w:sz w:val="8"/>
                <w:szCs w:val="8"/>
                <w:lang w:val="fr-BE"/>
              </w:rPr>
            </w:pPr>
          </w:p>
        </w:tc>
        <w:tc>
          <w:tcPr>
            <w:tcW w:w="760" w:type="dxa"/>
            <w:gridSpan w:val="2"/>
            <w:vMerge/>
            <w:vAlign w:val="bottom"/>
          </w:tcPr>
          <w:p w:rsidR="00AC12B4" w:rsidRPr="00C27636" w:rsidRDefault="00AC12B4">
            <w:pPr>
              <w:rPr>
                <w:sz w:val="8"/>
                <w:szCs w:val="8"/>
                <w:lang w:val="fr-BE"/>
              </w:rPr>
            </w:pPr>
          </w:p>
        </w:tc>
        <w:tc>
          <w:tcPr>
            <w:tcW w:w="280" w:type="dxa"/>
            <w:tcBorders>
              <w:right w:val="single" w:sz="8" w:space="0" w:color="44ACE0"/>
            </w:tcBorders>
            <w:vAlign w:val="bottom"/>
          </w:tcPr>
          <w:p w:rsidR="00AC12B4" w:rsidRPr="00C27636" w:rsidRDefault="00AC12B4">
            <w:pPr>
              <w:rPr>
                <w:sz w:val="8"/>
                <w:szCs w:val="8"/>
                <w:lang w:val="fr-BE"/>
              </w:rPr>
            </w:pPr>
          </w:p>
        </w:tc>
        <w:tc>
          <w:tcPr>
            <w:tcW w:w="140" w:type="dxa"/>
            <w:vAlign w:val="bottom"/>
          </w:tcPr>
          <w:p w:rsidR="00AC12B4" w:rsidRPr="00C27636" w:rsidRDefault="00AC12B4">
            <w:pPr>
              <w:rPr>
                <w:sz w:val="8"/>
                <w:szCs w:val="8"/>
                <w:lang w:val="fr-BE"/>
              </w:rPr>
            </w:pPr>
          </w:p>
        </w:tc>
        <w:tc>
          <w:tcPr>
            <w:tcW w:w="500" w:type="dxa"/>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540" w:type="dxa"/>
            <w:vAlign w:val="bottom"/>
          </w:tcPr>
          <w:p w:rsidR="00AC12B4" w:rsidRPr="00C27636" w:rsidRDefault="00AC12B4">
            <w:pPr>
              <w:rPr>
                <w:sz w:val="8"/>
                <w:szCs w:val="8"/>
                <w:lang w:val="fr-BE"/>
              </w:rPr>
            </w:pPr>
          </w:p>
        </w:tc>
        <w:tc>
          <w:tcPr>
            <w:tcW w:w="1420" w:type="dxa"/>
            <w:tcBorders>
              <w:right w:val="single" w:sz="8" w:space="0" w:color="44ACE0"/>
            </w:tcBorders>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168"/>
        </w:trPr>
        <w:tc>
          <w:tcPr>
            <w:tcW w:w="6060" w:type="dxa"/>
            <w:gridSpan w:val="8"/>
            <w:vMerge/>
            <w:vAlign w:val="bottom"/>
          </w:tcPr>
          <w:p w:rsidR="00AC12B4" w:rsidRPr="00C27636" w:rsidRDefault="00AC12B4">
            <w:pPr>
              <w:rPr>
                <w:sz w:val="14"/>
                <w:szCs w:val="14"/>
                <w:lang w:val="fr-BE"/>
              </w:rPr>
            </w:pPr>
          </w:p>
        </w:tc>
        <w:tc>
          <w:tcPr>
            <w:tcW w:w="1960" w:type="dxa"/>
            <w:gridSpan w:val="5"/>
            <w:vMerge w:val="restart"/>
            <w:vAlign w:val="bottom"/>
          </w:tcPr>
          <w:p w:rsidR="00AC12B4" w:rsidRDefault="00C27636">
            <w:pPr>
              <w:rPr>
                <w:sz w:val="20"/>
                <w:szCs w:val="20"/>
              </w:rPr>
            </w:pPr>
            <w:r>
              <w:rPr>
                <w:rFonts w:ascii="Calibri" w:eastAsia="Calibri" w:hAnsi="Calibri" w:cs="Calibri"/>
              </w:rPr>
              <w:t>sur les 7 de l’indice</w:t>
            </w:r>
          </w:p>
        </w:tc>
        <w:tc>
          <w:tcPr>
            <w:tcW w:w="280" w:type="dxa"/>
            <w:tcBorders>
              <w:right w:val="single" w:sz="8" w:space="0" w:color="44ACE0"/>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500" w:type="dxa"/>
            <w:vAlign w:val="bottom"/>
          </w:tcPr>
          <w:p w:rsidR="00AC12B4" w:rsidRDefault="00AC12B4">
            <w:pPr>
              <w:rPr>
                <w:sz w:val="14"/>
                <w:szCs w:val="14"/>
              </w:rPr>
            </w:pPr>
          </w:p>
        </w:tc>
        <w:tc>
          <w:tcPr>
            <w:tcW w:w="60" w:type="dxa"/>
            <w:vAlign w:val="bottom"/>
          </w:tcPr>
          <w:p w:rsidR="00AC12B4" w:rsidRDefault="00AC12B4">
            <w:pPr>
              <w:rPr>
                <w:sz w:val="14"/>
                <w:szCs w:val="14"/>
              </w:rPr>
            </w:pPr>
          </w:p>
        </w:tc>
        <w:tc>
          <w:tcPr>
            <w:tcW w:w="540" w:type="dxa"/>
            <w:vAlign w:val="bottom"/>
          </w:tcPr>
          <w:p w:rsidR="00AC12B4" w:rsidRDefault="00AC12B4">
            <w:pPr>
              <w:rPr>
                <w:sz w:val="14"/>
                <w:szCs w:val="14"/>
              </w:rPr>
            </w:pPr>
          </w:p>
        </w:tc>
        <w:tc>
          <w:tcPr>
            <w:tcW w:w="1420" w:type="dxa"/>
            <w:tcBorders>
              <w:right w:val="single" w:sz="8" w:space="0" w:color="44ACE0"/>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1"/>
        </w:trPr>
        <w:tc>
          <w:tcPr>
            <w:tcW w:w="2160" w:type="dxa"/>
            <w:vMerge w:val="restart"/>
            <w:vAlign w:val="bottom"/>
          </w:tcPr>
          <w:p w:rsidR="00AC12B4" w:rsidRDefault="00C27636">
            <w:pPr>
              <w:spacing w:line="267" w:lineRule="exact"/>
              <w:ind w:left="1460"/>
              <w:rPr>
                <w:sz w:val="20"/>
                <w:szCs w:val="20"/>
              </w:rPr>
            </w:pPr>
            <w:r>
              <w:rPr>
                <w:rFonts w:ascii="Calibri" w:eastAsia="Calibri" w:hAnsi="Calibri" w:cs="Calibri"/>
              </w:rPr>
              <w:t>ce  qui</w:t>
            </w:r>
          </w:p>
        </w:tc>
        <w:tc>
          <w:tcPr>
            <w:tcW w:w="1080" w:type="dxa"/>
            <w:gridSpan w:val="2"/>
            <w:vMerge w:val="restart"/>
            <w:vAlign w:val="bottom"/>
          </w:tcPr>
          <w:p w:rsidR="00AC12B4" w:rsidRDefault="00C27636">
            <w:pPr>
              <w:spacing w:line="267" w:lineRule="exact"/>
              <w:ind w:left="160"/>
              <w:rPr>
                <w:sz w:val="20"/>
                <w:szCs w:val="20"/>
              </w:rPr>
            </w:pPr>
            <w:r>
              <w:rPr>
                <w:rFonts w:ascii="Calibri" w:eastAsia="Calibri" w:hAnsi="Calibri" w:cs="Calibri"/>
              </w:rPr>
              <w:t>entre  ou</w:t>
            </w:r>
          </w:p>
        </w:tc>
        <w:tc>
          <w:tcPr>
            <w:tcW w:w="680" w:type="dxa"/>
            <w:gridSpan w:val="2"/>
            <w:vMerge w:val="restart"/>
            <w:vAlign w:val="bottom"/>
          </w:tcPr>
          <w:p w:rsidR="00AC12B4" w:rsidRDefault="00C27636">
            <w:pPr>
              <w:spacing w:line="267" w:lineRule="exact"/>
              <w:jc w:val="center"/>
              <w:rPr>
                <w:sz w:val="20"/>
                <w:szCs w:val="20"/>
              </w:rPr>
            </w:pPr>
            <w:r>
              <w:rPr>
                <w:rFonts w:ascii="Calibri" w:eastAsia="Calibri" w:hAnsi="Calibri" w:cs="Calibri"/>
                <w:w w:val="97"/>
              </w:rPr>
              <w:t>non</w:t>
            </w:r>
          </w:p>
        </w:tc>
        <w:tc>
          <w:tcPr>
            <w:tcW w:w="600" w:type="dxa"/>
            <w:vMerge w:val="restart"/>
            <w:vAlign w:val="bottom"/>
          </w:tcPr>
          <w:p w:rsidR="00AC12B4" w:rsidRDefault="00C27636">
            <w:pPr>
              <w:spacing w:line="267" w:lineRule="exact"/>
              <w:rPr>
                <w:sz w:val="20"/>
                <w:szCs w:val="20"/>
              </w:rPr>
            </w:pPr>
            <w:r>
              <w:rPr>
                <w:rFonts w:ascii="Calibri" w:eastAsia="Calibri" w:hAnsi="Calibri" w:cs="Calibri"/>
              </w:rPr>
              <w:t>dans</w:t>
            </w:r>
          </w:p>
        </w:tc>
        <w:tc>
          <w:tcPr>
            <w:tcW w:w="440" w:type="dxa"/>
            <w:vMerge w:val="restart"/>
            <w:vAlign w:val="bottom"/>
          </w:tcPr>
          <w:p w:rsidR="00AC12B4" w:rsidRDefault="00C27636">
            <w:pPr>
              <w:spacing w:line="267" w:lineRule="exact"/>
              <w:rPr>
                <w:sz w:val="20"/>
                <w:szCs w:val="20"/>
              </w:rPr>
            </w:pPr>
            <w:r>
              <w:rPr>
                <w:rFonts w:ascii="Calibri" w:eastAsia="Calibri" w:hAnsi="Calibri" w:cs="Calibri"/>
              </w:rPr>
              <w:t>les</w:t>
            </w:r>
          </w:p>
        </w:tc>
        <w:tc>
          <w:tcPr>
            <w:tcW w:w="1100" w:type="dxa"/>
            <w:vMerge w:val="restart"/>
            <w:vAlign w:val="bottom"/>
          </w:tcPr>
          <w:p w:rsidR="00AC12B4" w:rsidRDefault="00C27636">
            <w:pPr>
              <w:spacing w:line="267" w:lineRule="exact"/>
              <w:ind w:right="610"/>
              <w:jc w:val="right"/>
              <w:rPr>
                <w:sz w:val="20"/>
                <w:szCs w:val="20"/>
              </w:rPr>
            </w:pPr>
            <w:r>
              <w:rPr>
                <w:rFonts w:ascii="Calibri" w:eastAsia="Calibri" w:hAnsi="Calibri" w:cs="Calibri"/>
                <w:w w:val="93"/>
              </w:rPr>
              <w:t>frais</w:t>
            </w:r>
          </w:p>
        </w:tc>
        <w:tc>
          <w:tcPr>
            <w:tcW w:w="1960" w:type="dxa"/>
            <w:gridSpan w:val="5"/>
            <w:vMerge/>
            <w:vAlign w:val="bottom"/>
          </w:tcPr>
          <w:p w:rsidR="00AC12B4" w:rsidRDefault="00AC12B4">
            <w:pPr>
              <w:rPr>
                <w:sz w:val="8"/>
                <w:szCs w:val="8"/>
              </w:rPr>
            </w:pPr>
          </w:p>
        </w:tc>
        <w:tc>
          <w:tcPr>
            <w:tcW w:w="280" w:type="dxa"/>
            <w:tcBorders>
              <w:right w:val="single" w:sz="8" w:space="0" w:color="44ACE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5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540" w:type="dxa"/>
            <w:vAlign w:val="bottom"/>
          </w:tcPr>
          <w:p w:rsidR="00AC12B4" w:rsidRDefault="00AC12B4">
            <w:pPr>
              <w:rPr>
                <w:sz w:val="8"/>
                <w:szCs w:val="8"/>
              </w:rPr>
            </w:pPr>
          </w:p>
        </w:tc>
        <w:tc>
          <w:tcPr>
            <w:tcW w:w="14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6"/>
        </w:trPr>
        <w:tc>
          <w:tcPr>
            <w:tcW w:w="2160" w:type="dxa"/>
            <w:vMerge/>
            <w:vAlign w:val="bottom"/>
          </w:tcPr>
          <w:p w:rsidR="00AC12B4" w:rsidRDefault="00AC12B4">
            <w:pPr>
              <w:rPr>
                <w:sz w:val="14"/>
                <w:szCs w:val="14"/>
              </w:rPr>
            </w:pPr>
          </w:p>
        </w:tc>
        <w:tc>
          <w:tcPr>
            <w:tcW w:w="1080" w:type="dxa"/>
            <w:gridSpan w:val="2"/>
            <w:vMerge/>
            <w:vAlign w:val="bottom"/>
          </w:tcPr>
          <w:p w:rsidR="00AC12B4" w:rsidRDefault="00AC12B4">
            <w:pPr>
              <w:rPr>
                <w:sz w:val="14"/>
                <w:szCs w:val="14"/>
              </w:rPr>
            </w:pPr>
          </w:p>
        </w:tc>
        <w:tc>
          <w:tcPr>
            <w:tcW w:w="680" w:type="dxa"/>
            <w:gridSpan w:val="2"/>
            <w:vMerge/>
            <w:vAlign w:val="bottom"/>
          </w:tcPr>
          <w:p w:rsidR="00AC12B4" w:rsidRDefault="00AC12B4">
            <w:pPr>
              <w:rPr>
                <w:sz w:val="14"/>
                <w:szCs w:val="14"/>
              </w:rPr>
            </w:pPr>
          </w:p>
        </w:tc>
        <w:tc>
          <w:tcPr>
            <w:tcW w:w="600" w:type="dxa"/>
            <w:vMerge/>
            <w:vAlign w:val="bottom"/>
          </w:tcPr>
          <w:p w:rsidR="00AC12B4" w:rsidRDefault="00AC12B4">
            <w:pPr>
              <w:rPr>
                <w:sz w:val="14"/>
                <w:szCs w:val="14"/>
              </w:rPr>
            </w:pPr>
          </w:p>
        </w:tc>
        <w:tc>
          <w:tcPr>
            <w:tcW w:w="440" w:type="dxa"/>
            <w:vMerge/>
            <w:vAlign w:val="bottom"/>
          </w:tcPr>
          <w:p w:rsidR="00AC12B4" w:rsidRDefault="00AC12B4">
            <w:pPr>
              <w:rPr>
                <w:sz w:val="14"/>
                <w:szCs w:val="14"/>
              </w:rPr>
            </w:pPr>
          </w:p>
        </w:tc>
        <w:tc>
          <w:tcPr>
            <w:tcW w:w="1100" w:type="dxa"/>
            <w:vMerge/>
            <w:vAlign w:val="bottom"/>
          </w:tcPr>
          <w:p w:rsidR="00AC12B4" w:rsidRDefault="00AC12B4">
            <w:pPr>
              <w:rPr>
                <w:sz w:val="14"/>
                <w:szCs w:val="14"/>
              </w:rPr>
            </w:pPr>
          </w:p>
        </w:tc>
        <w:tc>
          <w:tcPr>
            <w:tcW w:w="920" w:type="dxa"/>
            <w:gridSpan w:val="2"/>
            <w:vMerge w:val="restart"/>
            <w:vAlign w:val="bottom"/>
          </w:tcPr>
          <w:p w:rsidR="00AC12B4" w:rsidRDefault="00C27636">
            <w:pPr>
              <w:rPr>
                <w:sz w:val="20"/>
                <w:szCs w:val="20"/>
              </w:rPr>
            </w:pPr>
            <w:r>
              <w:rPr>
                <w:rFonts w:ascii="Calibri" w:eastAsia="Calibri" w:hAnsi="Calibri" w:cs="Calibri"/>
              </w:rPr>
              <w:t>HEDRES.</w:t>
            </w:r>
          </w:p>
        </w:tc>
        <w:tc>
          <w:tcPr>
            <w:tcW w:w="280" w:type="dxa"/>
            <w:vMerge w:val="restart"/>
            <w:vAlign w:val="bottom"/>
          </w:tcPr>
          <w:p w:rsidR="00AC12B4" w:rsidRDefault="00C27636">
            <w:pPr>
              <w:jc w:val="right"/>
              <w:rPr>
                <w:sz w:val="20"/>
                <w:szCs w:val="20"/>
              </w:rPr>
            </w:pPr>
            <w:r>
              <w:rPr>
                <w:rFonts w:ascii="Calibri" w:eastAsia="Calibri" w:hAnsi="Calibri" w:cs="Calibri"/>
                <w:w w:val="89"/>
              </w:rPr>
              <w:t>En</w:t>
            </w:r>
          </w:p>
        </w:tc>
        <w:tc>
          <w:tcPr>
            <w:tcW w:w="760" w:type="dxa"/>
            <w:gridSpan w:val="2"/>
            <w:vMerge w:val="restart"/>
            <w:vAlign w:val="bottom"/>
          </w:tcPr>
          <w:p w:rsidR="00AC12B4" w:rsidRDefault="00C27636">
            <w:pPr>
              <w:ind w:right="50"/>
              <w:jc w:val="right"/>
              <w:rPr>
                <w:sz w:val="20"/>
                <w:szCs w:val="20"/>
              </w:rPr>
            </w:pPr>
            <w:r>
              <w:rPr>
                <w:rFonts w:ascii="Calibri" w:eastAsia="Calibri" w:hAnsi="Calibri" w:cs="Calibri"/>
              </w:rPr>
              <w:t>2012,</w:t>
            </w:r>
          </w:p>
        </w:tc>
        <w:tc>
          <w:tcPr>
            <w:tcW w:w="280" w:type="dxa"/>
            <w:tcBorders>
              <w:right w:val="single" w:sz="8" w:space="0" w:color="44ACE0"/>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500" w:type="dxa"/>
            <w:vAlign w:val="bottom"/>
          </w:tcPr>
          <w:p w:rsidR="00AC12B4" w:rsidRDefault="00AC12B4">
            <w:pPr>
              <w:rPr>
                <w:sz w:val="14"/>
                <w:szCs w:val="14"/>
              </w:rPr>
            </w:pPr>
          </w:p>
        </w:tc>
        <w:tc>
          <w:tcPr>
            <w:tcW w:w="60" w:type="dxa"/>
            <w:vAlign w:val="bottom"/>
          </w:tcPr>
          <w:p w:rsidR="00AC12B4" w:rsidRDefault="00AC12B4">
            <w:pPr>
              <w:rPr>
                <w:sz w:val="14"/>
                <w:szCs w:val="14"/>
              </w:rPr>
            </w:pPr>
          </w:p>
        </w:tc>
        <w:tc>
          <w:tcPr>
            <w:tcW w:w="540" w:type="dxa"/>
            <w:vAlign w:val="bottom"/>
          </w:tcPr>
          <w:p w:rsidR="00AC12B4" w:rsidRDefault="00AC12B4">
            <w:pPr>
              <w:rPr>
                <w:sz w:val="14"/>
                <w:szCs w:val="14"/>
              </w:rPr>
            </w:pPr>
          </w:p>
        </w:tc>
        <w:tc>
          <w:tcPr>
            <w:tcW w:w="1420" w:type="dxa"/>
            <w:tcBorders>
              <w:right w:val="single" w:sz="8" w:space="0" w:color="44ACE0"/>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3"/>
        </w:trPr>
        <w:tc>
          <w:tcPr>
            <w:tcW w:w="2680" w:type="dxa"/>
            <w:gridSpan w:val="2"/>
            <w:vMerge w:val="restart"/>
            <w:vAlign w:val="bottom"/>
          </w:tcPr>
          <w:p w:rsidR="00AC12B4" w:rsidRDefault="00C27636">
            <w:pPr>
              <w:spacing w:line="304" w:lineRule="exact"/>
              <w:ind w:left="1460"/>
              <w:rPr>
                <w:sz w:val="20"/>
                <w:szCs w:val="20"/>
              </w:rPr>
            </w:pPr>
            <w:r>
              <w:rPr>
                <w:rFonts w:ascii="Calibri" w:eastAsia="Calibri" w:hAnsi="Calibri" w:cs="Calibri"/>
              </w:rPr>
              <w:t>sc</w:t>
            </w:r>
            <w:r>
              <w:rPr>
                <w:rFonts w:ascii="Calibri" w:eastAsia="Calibri" w:hAnsi="Calibri" w:cs="Calibri"/>
              </w:rPr>
              <w:lastRenderedPageBreak/>
              <w:t>olaires</w:t>
            </w:r>
            <w:r>
              <w:rPr>
                <w:rFonts w:ascii="Calibri" w:eastAsia="Calibri" w:hAnsi="Calibri" w:cs="Calibri"/>
                <w:sz w:val="27"/>
                <w:szCs w:val="27"/>
                <w:vertAlign w:val="superscript"/>
              </w:rPr>
              <w:t>1</w:t>
            </w:r>
            <w:r>
              <w:rPr>
                <w:rFonts w:ascii="Calibri" w:eastAsia="Calibri" w:hAnsi="Calibri" w:cs="Calibri"/>
              </w:rPr>
              <w:t>.</w:t>
            </w:r>
          </w:p>
        </w:tc>
        <w:tc>
          <w:tcPr>
            <w:tcW w:w="560" w:type="dxa"/>
            <w:vAlign w:val="bottom"/>
          </w:tcPr>
          <w:p w:rsidR="00AC12B4" w:rsidRDefault="00AC12B4">
            <w:pPr>
              <w:rPr>
                <w:sz w:val="8"/>
                <w:szCs w:val="8"/>
              </w:rPr>
            </w:pPr>
          </w:p>
        </w:tc>
        <w:tc>
          <w:tcPr>
            <w:tcW w:w="44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600" w:type="dxa"/>
            <w:vAlign w:val="bottom"/>
          </w:tcPr>
          <w:p w:rsidR="00AC12B4" w:rsidRDefault="00AC12B4">
            <w:pPr>
              <w:rPr>
                <w:sz w:val="8"/>
                <w:szCs w:val="8"/>
              </w:rPr>
            </w:pPr>
          </w:p>
        </w:tc>
        <w:tc>
          <w:tcPr>
            <w:tcW w:w="440" w:type="dxa"/>
            <w:vAlign w:val="bottom"/>
          </w:tcPr>
          <w:p w:rsidR="00AC12B4" w:rsidRDefault="00AC12B4">
            <w:pPr>
              <w:rPr>
                <w:sz w:val="8"/>
                <w:szCs w:val="8"/>
              </w:rPr>
            </w:pPr>
          </w:p>
        </w:tc>
        <w:tc>
          <w:tcPr>
            <w:tcW w:w="1100" w:type="dxa"/>
            <w:vAlign w:val="bottom"/>
          </w:tcPr>
          <w:p w:rsidR="00AC12B4" w:rsidRDefault="00AC12B4">
            <w:pPr>
              <w:rPr>
                <w:sz w:val="8"/>
                <w:szCs w:val="8"/>
              </w:rPr>
            </w:pPr>
          </w:p>
        </w:tc>
        <w:tc>
          <w:tcPr>
            <w:tcW w:w="920" w:type="dxa"/>
            <w:gridSpan w:val="2"/>
            <w:vMerge/>
            <w:vAlign w:val="bottom"/>
          </w:tcPr>
          <w:p w:rsidR="00AC12B4" w:rsidRDefault="00AC12B4">
            <w:pPr>
              <w:rPr>
                <w:sz w:val="8"/>
                <w:szCs w:val="8"/>
              </w:rPr>
            </w:pPr>
          </w:p>
        </w:tc>
        <w:tc>
          <w:tcPr>
            <w:tcW w:w="280" w:type="dxa"/>
            <w:vMerge/>
            <w:vAlign w:val="bottom"/>
          </w:tcPr>
          <w:p w:rsidR="00AC12B4" w:rsidRDefault="00AC12B4">
            <w:pPr>
              <w:rPr>
                <w:sz w:val="8"/>
                <w:szCs w:val="8"/>
              </w:rPr>
            </w:pPr>
          </w:p>
        </w:tc>
        <w:tc>
          <w:tcPr>
            <w:tcW w:w="760" w:type="dxa"/>
            <w:gridSpan w:val="2"/>
            <w:vMerge/>
            <w:vAlign w:val="bottom"/>
          </w:tcPr>
          <w:p w:rsidR="00AC12B4" w:rsidRDefault="00AC12B4">
            <w:pPr>
              <w:rPr>
                <w:sz w:val="8"/>
                <w:szCs w:val="8"/>
              </w:rPr>
            </w:pPr>
          </w:p>
        </w:tc>
        <w:tc>
          <w:tcPr>
            <w:tcW w:w="280" w:type="dxa"/>
            <w:tcBorders>
              <w:right w:val="single" w:sz="8" w:space="0" w:color="44ACE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5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540" w:type="dxa"/>
            <w:vAlign w:val="bottom"/>
          </w:tcPr>
          <w:p w:rsidR="00AC12B4" w:rsidRDefault="00AC12B4">
            <w:pPr>
              <w:rPr>
                <w:sz w:val="8"/>
                <w:szCs w:val="8"/>
              </w:rPr>
            </w:pPr>
          </w:p>
        </w:tc>
        <w:tc>
          <w:tcPr>
            <w:tcW w:w="14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01"/>
        </w:trPr>
        <w:tc>
          <w:tcPr>
            <w:tcW w:w="2680" w:type="dxa"/>
            <w:gridSpan w:val="2"/>
            <w:vMerge/>
            <w:vAlign w:val="bottom"/>
          </w:tcPr>
          <w:p w:rsidR="00AC12B4" w:rsidRDefault="00AC12B4">
            <w:pPr>
              <w:rPr>
                <w:sz w:val="17"/>
                <w:szCs w:val="17"/>
              </w:rPr>
            </w:pPr>
          </w:p>
        </w:tc>
        <w:tc>
          <w:tcPr>
            <w:tcW w:w="560" w:type="dxa"/>
            <w:vAlign w:val="bottom"/>
          </w:tcPr>
          <w:p w:rsidR="00AC12B4" w:rsidRDefault="00AC12B4">
            <w:pPr>
              <w:rPr>
                <w:sz w:val="17"/>
                <w:szCs w:val="17"/>
              </w:rPr>
            </w:pPr>
          </w:p>
        </w:tc>
        <w:tc>
          <w:tcPr>
            <w:tcW w:w="440" w:type="dxa"/>
            <w:vAlign w:val="bottom"/>
          </w:tcPr>
          <w:p w:rsidR="00AC12B4" w:rsidRDefault="00AC12B4">
            <w:pPr>
              <w:rPr>
                <w:sz w:val="17"/>
                <w:szCs w:val="17"/>
              </w:rPr>
            </w:pPr>
          </w:p>
        </w:tc>
        <w:tc>
          <w:tcPr>
            <w:tcW w:w="240" w:type="dxa"/>
            <w:vAlign w:val="bottom"/>
          </w:tcPr>
          <w:p w:rsidR="00AC12B4" w:rsidRDefault="00AC12B4">
            <w:pPr>
              <w:rPr>
                <w:sz w:val="17"/>
                <w:szCs w:val="17"/>
              </w:rPr>
            </w:pPr>
          </w:p>
        </w:tc>
        <w:tc>
          <w:tcPr>
            <w:tcW w:w="600" w:type="dxa"/>
            <w:vAlign w:val="bottom"/>
          </w:tcPr>
          <w:p w:rsidR="00AC12B4" w:rsidRDefault="00AC12B4">
            <w:pPr>
              <w:rPr>
                <w:sz w:val="17"/>
                <w:szCs w:val="17"/>
              </w:rPr>
            </w:pPr>
          </w:p>
        </w:tc>
        <w:tc>
          <w:tcPr>
            <w:tcW w:w="440" w:type="dxa"/>
            <w:vAlign w:val="bottom"/>
          </w:tcPr>
          <w:p w:rsidR="00AC12B4" w:rsidRDefault="00AC12B4">
            <w:pPr>
              <w:rPr>
                <w:sz w:val="17"/>
                <w:szCs w:val="17"/>
              </w:rPr>
            </w:pPr>
          </w:p>
        </w:tc>
        <w:tc>
          <w:tcPr>
            <w:tcW w:w="1100" w:type="dxa"/>
            <w:vAlign w:val="bottom"/>
          </w:tcPr>
          <w:p w:rsidR="00AC12B4" w:rsidRDefault="00AC12B4">
            <w:pPr>
              <w:rPr>
                <w:sz w:val="17"/>
                <w:szCs w:val="17"/>
              </w:rPr>
            </w:pPr>
          </w:p>
        </w:tc>
        <w:tc>
          <w:tcPr>
            <w:tcW w:w="920" w:type="dxa"/>
            <w:gridSpan w:val="2"/>
            <w:vMerge w:val="restart"/>
            <w:vAlign w:val="bottom"/>
          </w:tcPr>
          <w:p w:rsidR="00AC12B4" w:rsidRDefault="00C27636">
            <w:pPr>
              <w:spacing w:line="233" w:lineRule="exact"/>
              <w:rPr>
                <w:sz w:val="20"/>
                <w:szCs w:val="20"/>
              </w:rPr>
            </w:pPr>
            <w:r>
              <w:rPr>
                <w:rFonts w:ascii="Calibri" w:eastAsia="Calibri" w:hAnsi="Calibri" w:cs="Calibri"/>
              </w:rPr>
              <w:t xml:space="preserve">ils </w:t>
            </w:r>
            <w:r>
              <w:rPr>
                <w:rFonts w:ascii="Calibri" w:eastAsia="Calibri" w:hAnsi="Calibri" w:cs="Calibri"/>
              </w:rPr>
              <w:lastRenderedPageBreak/>
              <w:t>étaient</w:t>
            </w:r>
          </w:p>
        </w:tc>
        <w:tc>
          <w:tcPr>
            <w:tcW w:w="1040" w:type="dxa"/>
            <w:gridSpan w:val="3"/>
            <w:vMerge w:val="restart"/>
            <w:vAlign w:val="bottom"/>
          </w:tcPr>
          <w:p w:rsidR="00AC12B4" w:rsidRDefault="00C27636">
            <w:pPr>
              <w:spacing w:line="233" w:lineRule="exact"/>
              <w:ind w:right="50"/>
              <w:jc w:val="right"/>
              <w:rPr>
                <w:sz w:val="20"/>
                <w:szCs w:val="20"/>
              </w:rPr>
            </w:pPr>
            <w:r>
              <w:rPr>
                <w:rFonts w:ascii="Calibri" w:eastAsia="Calibri" w:hAnsi="Calibri" w:cs="Calibri"/>
              </w:rPr>
              <w:lastRenderedPageBreak/>
              <w:t xml:space="preserve">4,3%. </w:t>
            </w:r>
            <w:r>
              <w:rPr>
                <w:rFonts w:ascii="Calibri" w:eastAsia="Calibri" w:hAnsi="Calibri" w:cs="Calibri"/>
              </w:rPr>
              <w:lastRenderedPageBreak/>
              <w:t>La</w:t>
            </w:r>
          </w:p>
        </w:tc>
        <w:tc>
          <w:tcPr>
            <w:tcW w:w="280" w:type="dxa"/>
            <w:tcBorders>
              <w:right w:val="single" w:sz="8" w:space="0" w:color="44ACE0"/>
            </w:tcBorders>
            <w:vAlign w:val="bottom"/>
          </w:tcPr>
          <w:p w:rsidR="00AC12B4" w:rsidRDefault="00AC12B4">
            <w:pPr>
              <w:rPr>
                <w:sz w:val="17"/>
                <w:szCs w:val="17"/>
              </w:rPr>
            </w:pPr>
          </w:p>
        </w:tc>
        <w:tc>
          <w:tcPr>
            <w:tcW w:w="140" w:type="dxa"/>
            <w:vAlign w:val="bottom"/>
          </w:tcPr>
          <w:p w:rsidR="00AC12B4" w:rsidRDefault="00AC12B4">
            <w:pPr>
              <w:rPr>
                <w:sz w:val="17"/>
                <w:szCs w:val="17"/>
              </w:rPr>
            </w:pPr>
          </w:p>
        </w:tc>
        <w:tc>
          <w:tcPr>
            <w:tcW w:w="500" w:type="dxa"/>
            <w:vAlign w:val="bottom"/>
          </w:tcPr>
          <w:p w:rsidR="00AC12B4" w:rsidRDefault="00AC12B4">
            <w:pPr>
              <w:rPr>
                <w:sz w:val="17"/>
                <w:szCs w:val="17"/>
              </w:rPr>
            </w:pPr>
          </w:p>
        </w:tc>
        <w:tc>
          <w:tcPr>
            <w:tcW w:w="60" w:type="dxa"/>
            <w:vAlign w:val="bottom"/>
          </w:tcPr>
          <w:p w:rsidR="00AC12B4" w:rsidRDefault="00AC12B4">
            <w:pPr>
              <w:rPr>
                <w:sz w:val="17"/>
                <w:szCs w:val="17"/>
              </w:rPr>
            </w:pPr>
          </w:p>
        </w:tc>
        <w:tc>
          <w:tcPr>
            <w:tcW w:w="540" w:type="dxa"/>
            <w:vAlign w:val="bottom"/>
          </w:tcPr>
          <w:p w:rsidR="00AC12B4" w:rsidRDefault="00AC12B4">
            <w:pPr>
              <w:rPr>
                <w:sz w:val="17"/>
                <w:szCs w:val="17"/>
              </w:rPr>
            </w:pPr>
          </w:p>
        </w:tc>
        <w:tc>
          <w:tcPr>
            <w:tcW w:w="1420" w:type="dxa"/>
            <w:tcBorders>
              <w:right w:val="single" w:sz="8" w:space="0" w:color="44ACE0"/>
            </w:tcBorders>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52"/>
        </w:trPr>
        <w:tc>
          <w:tcPr>
            <w:tcW w:w="2160" w:type="dxa"/>
            <w:vAlign w:val="bottom"/>
          </w:tcPr>
          <w:p w:rsidR="00AC12B4" w:rsidRDefault="00AC12B4">
            <w:pPr>
              <w:rPr>
                <w:sz w:val="4"/>
                <w:szCs w:val="4"/>
              </w:rPr>
            </w:pPr>
          </w:p>
        </w:tc>
        <w:tc>
          <w:tcPr>
            <w:tcW w:w="520" w:type="dxa"/>
            <w:vAlign w:val="bottom"/>
          </w:tcPr>
          <w:p w:rsidR="00AC12B4" w:rsidRDefault="00AC12B4">
            <w:pPr>
              <w:rPr>
                <w:sz w:val="4"/>
                <w:szCs w:val="4"/>
              </w:rPr>
            </w:pPr>
          </w:p>
        </w:tc>
        <w:tc>
          <w:tcPr>
            <w:tcW w:w="56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240" w:type="dxa"/>
            <w:vAlign w:val="bottom"/>
          </w:tcPr>
          <w:p w:rsidR="00AC12B4" w:rsidRDefault="00AC12B4">
            <w:pPr>
              <w:rPr>
                <w:sz w:val="4"/>
                <w:szCs w:val="4"/>
              </w:rPr>
            </w:pPr>
          </w:p>
        </w:tc>
        <w:tc>
          <w:tcPr>
            <w:tcW w:w="60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1100" w:type="dxa"/>
            <w:vAlign w:val="bottom"/>
          </w:tcPr>
          <w:p w:rsidR="00AC12B4" w:rsidRDefault="00AC12B4">
            <w:pPr>
              <w:rPr>
                <w:sz w:val="4"/>
                <w:szCs w:val="4"/>
              </w:rPr>
            </w:pPr>
          </w:p>
        </w:tc>
        <w:tc>
          <w:tcPr>
            <w:tcW w:w="920" w:type="dxa"/>
            <w:gridSpan w:val="2"/>
            <w:vMerge/>
            <w:vAlign w:val="bottom"/>
          </w:tcPr>
          <w:p w:rsidR="00AC12B4" w:rsidRDefault="00AC12B4">
            <w:pPr>
              <w:rPr>
                <w:sz w:val="4"/>
                <w:szCs w:val="4"/>
              </w:rPr>
            </w:pPr>
          </w:p>
        </w:tc>
        <w:tc>
          <w:tcPr>
            <w:tcW w:w="1040" w:type="dxa"/>
            <w:gridSpan w:val="3"/>
            <w:vMerge/>
            <w:vAlign w:val="bottom"/>
          </w:tcPr>
          <w:p w:rsidR="00AC12B4" w:rsidRDefault="00AC12B4">
            <w:pPr>
              <w:rPr>
                <w:sz w:val="4"/>
                <w:szCs w:val="4"/>
              </w:rPr>
            </w:pPr>
          </w:p>
        </w:tc>
        <w:tc>
          <w:tcPr>
            <w:tcW w:w="280" w:type="dxa"/>
            <w:tcBorders>
              <w:right w:val="single" w:sz="8" w:space="0" w:color="44ACE0"/>
            </w:tcBorders>
            <w:vAlign w:val="bottom"/>
          </w:tcPr>
          <w:p w:rsidR="00AC12B4" w:rsidRDefault="00AC12B4">
            <w:pPr>
              <w:rPr>
                <w:sz w:val="4"/>
                <w:szCs w:val="4"/>
              </w:rPr>
            </w:pPr>
          </w:p>
        </w:tc>
        <w:tc>
          <w:tcPr>
            <w:tcW w:w="140" w:type="dxa"/>
            <w:tcBorders>
              <w:bottom w:val="single" w:sz="8" w:space="0" w:color="44ACE0"/>
            </w:tcBorders>
            <w:vAlign w:val="bottom"/>
          </w:tcPr>
          <w:p w:rsidR="00AC12B4" w:rsidRDefault="00AC12B4">
            <w:pPr>
              <w:rPr>
                <w:sz w:val="4"/>
                <w:szCs w:val="4"/>
              </w:rPr>
            </w:pPr>
          </w:p>
        </w:tc>
        <w:tc>
          <w:tcPr>
            <w:tcW w:w="500" w:type="dxa"/>
            <w:tcBorders>
              <w:bottom w:val="single" w:sz="8" w:space="0" w:color="44ACE0"/>
            </w:tcBorders>
            <w:vAlign w:val="bottom"/>
          </w:tcPr>
          <w:p w:rsidR="00AC12B4" w:rsidRDefault="00AC12B4">
            <w:pPr>
              <w:rPr>
                <w:sz w:val="4"/>
                <w:szCs w:val="4"/>
              </w:rPr>
            </w:pPr>
          </w:p>
        </w:tc>
        <w:tc>
          <w:tcPr>
            <w:tcW w:w="60" w:type="dxa"/>
            <w:tcBorders>
              <w:bottom w:val="single" w:sz="8" w:space="0" w:color="44ACE0"/>
            </w:tcBorders>
            <w:vAlign w:val="bottom"/>
          </w:tcPr>
          <w:p w:rsidR="00AC12B4" w:rsidRDefault="00AC12B4">
            <w:pPr>
              <w:rPr>
                <w:sz w:val="4"/>
                <w:szCs w:val="4"/>
              </w:rPr>
            </w:pPr>
          </w:p>
        </w:tc>
        <w:tc>
          <w:tcPr>
            <w:tcW w:w="540" w:type="dxa"/>
            <w:tcBorders>
              <w:bottom w:val="single" w:sz="8" w:space="0" w:color="44ACE0"/>
            </w:tcBorders>
            <w:vAlign w:val="bottom"/>
          </w:tcPr>
          <w:p w:rsidR="00AC12B4" w:rsidRDefault="00AC12B4">
            <w:pPr>
              <w:rPr>
                <w:sz w:val="4"/>
                <w:szCs w:val="4"/>
              </w:rPr>
            </w:pPr>
          </w:p>
        </w:tc>
        <w:tc>
          <w:tcPr>
            <w:tcW w:w="1420" w:type="dxa"/>
            <w:tcBorders>
              <w:bottom w:val="single" w:sz="8" w:space="0" w:color="44ACE0"/>
              <w:right w:val="single" w:sz="8" w:space="0" w:color="44ACE0"/>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rsidRPr="00C27636">
        <w:trPr>
          <w:trHeight w:val="281"/>
        </w:trPr>
        <w:tc>
          <w:tcPr>
            <w:tcW w:w="6060" w:type="dxa"/>
            <w:gridSpan w:val="8"/>
            <w:vAlign w:val="bottom"/>
          </w:tcPr>
          <w:p w:rsidR="00AC12B4" w:rsidRPr="00C27636" w:rsidRDefault="00C27636">
            <w:pPr>
              <w:ind w:left="1460"/>
              <w:rPr>
                <w:sz w:val="20"/>
                <w:szCs w:val="20"/>
                <w:lang w:val="fr-BE"/>
              </w:rPr>
            </w:pPr>
            <w:r w:rsidRPr="00C27636">
              <w:rPr>
                <w:rFonts w:ascii="Calibri" w:eastAsia="Calibri" w:hAnsi="Calibri" w:cs="Calibri"/>
                <w:lang w:val="fr-BE"/>
              </w:rPr>
              <w:t xml:space="preserve">Nous </w:t>
            </w:r>
            <w:r w:rsidRPr="00C27636">
              <w:rPr>
                <w:rFonts w:ascii="Calibri" w:eastAsia="Calibri" w:hAnsi="Calibri" w:cs="Calibri"/>
                <w:lang w:val="fr-BE"/>
              </w:rPr>
              <w:t>avons donc dû réorienter l’indicateur</w:t>
            </w:r>
          </w:p>
        </w:tc>
        <w:tc>
          <w:tcPr>
            <w:tcW w:w="3480" w:type="dxa"/>
            <w:gridSpan w:val="10"/>
            <w:vAlign w:val="bottom"/>
          </w:tcPr>
          <w:p w:rsidR="00AC12B4" w:rsidRPr="00C27636" w:rsidRDefault="00C27636">
            <w:pPr>
              <w:spacing w:line="261" w:lineRule="exact"/>
              <w:rPr>
                <w:sz w:val="20"/>
                <w:szCs w:val="20"/>
                <w:lang w:val="fr-BE"/>
              </w:rPr>
            </w:pPr>
            <w:r w:rsidRPr="00C27636">
              <w:rPr>
                <w:rFonts w:ascii="Calibri" w:eastAsia="Calibri" w:hAnsi="Calibri" w:cs="Calibri"/>
                <w:lang w:val="fr-BE"/>
              </w:rPr>
              <w:t>tendance est donc à l’augmentation.</w:t>
            </w:r>
          </w:p>
        </w:tc>
        <w:tc>
          <w:tcPr>
            <w:tcW w:w="14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060" w:type="dxa"/>
            <w:gridSpan w:val="8"/>
            <w:vAlign w:val="bottom"/>
          </w:tcPr>
          <w:p w:rsidR="00AC12B4" w:rsidRPr="00C27636" w:rsidRDefault="00C27636">
            <w:pPr>
              <w:ind w:left="1460"/>
              <w:rPr>
                <w:sz w:val="20"/>
                <w:szCs w:val="20"/>
                <w:lang w:val="fr-BE"/>
              </w:rPr>
            </w:pPr>
            <w:r w:rsidRPr="00C27636">
              <w:rPr>
                <w:rFonts w:ascii="Calibri" w:eastAsia="Calibri" w:hAnsi="Calibri" w:cs="Calibri"/>
                <w:lang w:val="fr-BE"/>
              </w:rPr>
              <w:t>envisagé vers la mesure la plus pertinente</w:t>
            </w:r>
          </w:p>
        </w:tc>
        <w:tc>
          <w:tcPr>
            <w:tcW w:w="620" w:type="dxa"/>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48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50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540" w:type="dxa"/>
            <w:vAlign w:val="bottom"/>
          </w:tcPr>
          <w:p w:rsidR="00AC12B4" w:rsidRPr="00C27636" w:rsidRDefault="00AC12B4">
            <w:pPr>
              <w:rPr>
                <w:sz w:val="23"/>
                <w:szCs w:val="23"/>
                <w:lang w:val="fr-BE"/>
              </w:rPr>
            </w:pPr>
          </w:p>
        </w:tc>
        <w:tc>
          <w:tcPr>
            <w:tcW w:w="142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305"/>
        </w:trPr>
        <w:tc>
          <w:tcPr>
            <w:tcW w:w="6060" w:type="dxa"/>
            <w:gridSpan w:val="8"/>
            <w:vAlign w:val="bottom"/>
          </w:tcPr>
          <w:p w:rsidR="00AC12B4" w:rsidRDefault="00C27636">
            <w:pPr>
              <w:spacing w:line="304" w:lineRule="exact"/>
              <w:ind w:left="1460"/>
              <w:rPr>
                <w:sz w:val="20"/>
                <w:szCs w:val="20"/>
              </w:rPr>
            </w:pPr>
            <w:r>
              <w:rPr>
                <w:rFonts w:ascii="Calibri" w:eastAsia="Calibri" w:hAnsi="Calibri" w:cs="Calibri"/>
              </w:rPr>
              <w:t>disponible: l’indice « HEDRES »</w:t>
            </w:r>
            <w:r>
              <w:rPr>
                <w:rFonts w:ascii="Calibri" w:eastAsia="Calibri" w:hAnsi="Calibri" w:cs="Calibri"/>
                <w:sz w:val="27"/>
                <w:szCs w:val="27"/>
                <w:vertAlign w:val="superscript"/>
              </w:rPr>
              <w:t>2</w:t>
            </w:r>
            <w:r>
              <w:rPr>
                <w:rFonts w:ascii="Calibri" w:eastAsia="Calibri" w:hAnsi="Calibri" w:cs="Calibri"/>
              </w:rPr>
              <w:t xml:space="preserve">  issu de</w:t>
            </w:r>
          </w:p>
        </w:tc>
        <w:tc>
          <w:tcPr>
            <w:tcW w:w="6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14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13"/>
        </w:trPr>
        <w:tc>
          <w:tcPr>
            <w:tcW w:w="6060" w:type="dxa"/>
            <w:gridSpan w:val="8"/>
            <w:vAlign w:val="bottom"/>
          </w:tcPr>
          <w:p w:rsidR="00AC12B4" w:rsidRPr="00C27636" w:rsidRDefault="00C27636">
            <w:pPr>
              <w:spacing w:line="213" w:lineRule="exact"/>
              <w:ind w:left="1460"/>
              <w:rPr>
                <w:sz w:val="20"/>
                <w:szCs w:val="20"/>
                <w:lang w:val="fr-BE"/>
              </w:rPr>
            </w:pPr>
            <w:r w:rsidRPr="00C27636">
              <w:rPr>
                <w:rFonts w:ascii="Calibri" w:eastAsia="Calibri" w:hAnsi="Calibri" w:cs="Calibri"/>
                <w:lang w:val="fr-BE"/>
              </w:rPr>
              <w:t>l’enquête PISA.  Nous accentuons encore</w:t>
            </w:r>
          </w:p>
        </w:tc>
        <w:tc>
          <w:tcPr>
            <w:tcW w:w="620" w:type="dxa"/>
            <w:tcBorders>
              <w:bottom w:val="single" w:sz="8" w:space="0" w:color="auto"/>
            </w:tcBorders>
            <w:vAlign w:val="bottom"/>
          </w:tcPr>
          <w:p w:rsidR="00AC12B4" w:rsidRPr="00C27636" w:rsidRDefault="00AC12B4">
            <w:pPr>
              <w:rPr>
                <w:sz w:val="18"/>
                <w:szCs w:val="18"/>
                <w:lang w:val="fr-BE"/>
              </w:rPr>
            </w:pPr>
          </w:p>
        </w:tc>
        <w:tc>
          <w:tcPr>
            <w:tcW w:w="300" w:type="dxa"/>
            <w:tcBorders>
              <w:bottom w:val="single" w:sz="8" w:space="0" w:color="auto"/>
            </w:tcBorders>
            <w:vAlign w:val="bottom"/>
          </w:tcPr>
          <w:p w:rsidR="00AC12B4" w:rsidRPr="00C27636" w:rsidRDefault="00AC12B4">
            <w:pPr>
              <w:rPr>
                <w:sz w:val="18"/>
                <w:szCs w:val="18"/>
                <w:lang w:val="fr-BE"/>
              </w:rPr>
            </w:pPr>
          </w:p>
        </w:tc>
        <w:tc>
          <w:tcPr>
            <w:tcW w:w="280" w:type="dxa"/>
            <w:tcBorders>
              <w:bottom w:val="single" w:sz="8" w:space="0" w:color="auto"/>
            </w:tcBorders>
            <w:vAlign w:val="bottom"/>
          </w:tcPr>
          <w:p w:rsidR="00AC12B4" w:rsidRPr="00C27636" w:rsidRDefault="00AC12B4">
            <w:pPr>
              <w:rPr>
                <w:sz w:val="18"/>
                <w:szCs w:val="18"/>
                <w:lang w:val="fr-BE"/>
              </w:rPr>
            </w:pPr>
          </w:p>
        </w:tc>
        <w:tc>
          <w:tcPr>
            <w:tcW w:w="480" w:type="dxa"/>
            <w:tcBorders>
              <w:bottom w:val="single" w:sz="8" w:space="0" w:color="auto"/>
            </w:tcBorders>
            <w:vAlign w:val="bottom"/>
          </w:tcPr>
          <w:p w:rsidR="00AC12B4" w:rsidRPr="00C27636" w:rsidRDefault="00AC12B4">
            <w:pPr>
              <w:rPr>
                <w:sz w:val="18"/>
                <w:szCs w:val="18"/>
                <w:lang w:val="fr-BE"/>
              </w:rPr>
            </w:pPr>
          </w:p>
        </w:tc>
        <w:tc>
          <w:tcPr>
            <w:tcW w:w="280" w:type="dxa"/>
            <w:tcBorders>
              <w:bottom w:val="single" w:sz="8" w:space="0" w:color="auto"/>
            </w:tcBorders>
            <w:vAlign w:val="bottom"/>
          </w:tcPr>
          <w:p w:rsidR="00AC12B4" w:rsidRPr="00C27636" w:rsidRDefault="00AC12B4">
            <w:pPr>
              <w:rPr>
                <w:sz w:val="18"/>
                <w:szCs w:val="18"/>
                <w:lang w:val="fr-BE"/>
              </w:rPr>
            </w:pPr>
          </w:p>
        </w:tc>
        <w:tc>
          <w:tcPr>
            <w:tcW w:w="280" w:type="dxa"/>
            <w:tcBorders>
              <w:bottom w:val="single" w:sz="8" w:space="0" w:color="auto"/>
            </w:tcBorders>
            <w:vAlign w:val="bottom"/>
          </w:tcPr>
          <w:p w:rsidR="00AC12B4" w:rsidRPr="00C27636" w:rsidRDefault="00AC12B4">
            <w:pPr>
              <w:rPr>
                <w:sz w:val="18"/>
                <w:szCs w:val="18"/>
                <w:lang w:val="fr-BE"/>
              </w:rPr>
            </w:pPr>
          </w:p>
        </w:tc>
        <w:tc>
          <w:tcPr>
            <w:tcW w:w="140" w:type="dxa"/>
            <w:tcBorders>
              <w:bottom w:val="single" w:sz="8" w:space="0" w:color="auto"/>
            </w:tcBorders>
            <w:vAlign w:val="bottom"/>
          </w:tcPr>
          <w:p w:rsidR="00AC12B4" w:rsidRPr="00C27636" w:rsidRDefault="00AC12B4">
            <w:pPr>
              <w:rPr>
                <w:sz w:val="18"/>
                <w:szCs w:val="18"/>
                <w:lang w:val="fr-BE"/>
              </w:rPr>
            </w:pPr>
          </w:p>
        </w:tc>
        <w:tc>
          <w:tcPr>
            <w:tcW w:w="500" w:type="dxa"/>
            <w:tcBorders>
              <w:bottom w:val="single" w:sz="8" w:space="0" w:color="auto"/>
            </w:tcBorders>
            <w:vAlign w:val="bottom"/>
          </w:tcPr>
          <w:p w:rsidR="00AC12B4" w:rsidRPr="00C27636" w:rsidRDefault="00AC12B4">
            <w:pPr>
              <w:rPr>
                <w:sz w:val="18"/>
                <w:szCs w:val="18"/>
                <w:lang w:val="fr-BE"/>
              </w:rPr>
            </w:pPr>
          </w:p>
        </w:tc>
        <w:tc>
          <w:tcPr>
            <w:tcW w:w="60" w:type="dxa"/>
            <w:vAlign w:val="bottom"/>
          </w:tcPr>
          <w:p w:rsidR="00AC12B4" w:rsidRPr="00C27636" w:rsidRDefault="00AC12B4">
            <w:pPr>
              <w:rPr>
                <w:sz w:val="18"/>
                <w:szCs w:val="18"/>
                <w:lang w:val="fr-BE"/>
              </w:rPr>
            </w:pPr>
          </w:p>
        </w:tc>
        <w:tc>
          <w:tcPr>
            <w:tcW w:w="540" w:type="dxa"/>
            <w:vAlign w:val="bottom"/>
          </w:tcPr>
          <w:p w:rsidR="00AC12B4" w:rsidRPr="00C27636" w:rsidRDefault="00AC12B4">
            <w:pPr>
              <w:rPr>
                <w:sz w:val="18"/>
                <w:szCs w:val="18"/>
                <w:lang w:val="fr-BE"/>
              </w:rPr>
            </w:pPr>
          </w:p>
        </w:tc>
        <w:tc>
          <w:tcPr>
            <w:tcW w:w="1420" w:type="dxa"/>
            <w:vAlign w:val="bottom"/>
          </w:tcPr>
          <w:p w:rsidR="00AC12B4" w:rsidRPr="00C27636" w:rsidRDefault="00AC12B4">
            <w:pPr>
              <w:rPr>
                <w:sz w:val="18"/>
                <w:szCs w:val="18"/>
                <w:lang w:val="fr-BE"/>
              </w:rPr>
            </w:pPr>
          </w:p>
        </w:tc>
        <w:tc>
          <w:tcPr>
            <w:tcW w:w="0" w:type="dxa"/>
            <w:vAlign w:val="bottom"/>
          </w:tcPr>
          <w:p w:rsidR="00AC12B4" w:rsidRPr="00C27636" w:rsidRDefault="00AC12B4">
            <w:pPr>
              <w:rPr>
                <w:sz w:val="1"/>
                <w:szCs w:val="1"/>
                <w:lang w:val="fr-BE"/>
              </w:rPr>
            </w:pPr>
          </w:p>
        </w:tc>
      </w:tr>
    </w:tbl>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rPr>
          <w:lang w:val="fr-BE"/>
        </w:rPr>
        <w:sectPr w:rsidR="00AC12B4" w:rsidRPr="00C27636">
          <w:pgSz w:w="12080" w:h="17179"/>
          <w:pgMar w:top="1440" w:right="557" w:bottom="659" w:left="540" w:header="0" w:footer="0" w:gutter="0"/>
          <w:cols w:space="720" w:equalWidth="0">
            <w:col w:w="10980"/>
          </w:cols>
        </w:sectPr>
      </w:pPr>
    </w:p>
    <w:p w:rsidR="00AC12B4" w:rsidRPr="00C27636" w:rsidRDefault="00AC12B4">
      <w:pPr>
        <w:spacing w:line="284" w:lineRule="exact"/>
        <w:rPr>
          <w:rFonts w:ascii="Comic Sans MS" w:eastAsia="Comic Sans MS" w:hAnsi="Comic Sans MS" w:cs="Comic Sans MS"/>
          <w:color w:val="0D0D0D"/>
          <w:sz w:val="20"/>
          <w:szCs w:val="20"/>
          <w:lang w:val="fr-BE"/>
        </w:rPr>
      </w:pPr>
    </w:p>
    <w:p w:rsidR="00AC12B4" w:rsidRDefault="00C27636">
      <w:pPr>
        <w:spacing w:line="231" w:lineRule="auto"/>
        <w:ind w:left="1460"/>
        <w:jc w:val="both"/>
        <w:rPr>
          <w:sz w:val="20"/>
          <w:szCs w:val="20"/>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L’Enquête Nationale sur le budget des ménages (Statbel) ne permet par exemple pas de retirer des informations pertinentes sur le coût réel des frais de scolarité. Dans le passé, en Flandre, un moniteur en la matière a été appliqué p</w:t>
      </w:r>
      <w:r w:rsidRPr="00C27636">
        <w:rPr>
          <w:rFonts w:ascii="Calibri" w:eastAsia="Calibri" w:hAnsi="Calibri" w:cs="Calibri"/>
          <w:sz w:val="20"/>
          <w:szCs w:val="20"/>
          <w:lang w:val="fr-BE"/>
        </w:rPr>
        <w:t xml:space="preserve">ar le HIVA. </w:t>
      </w:r>
      <w:r>
        <w:rPr>
          <w:rFonts w:ascii="Calibri" w:eastAsia="Calibri" w:hAnsi="Calibri" w:cs="Calibri"/>
          <w:sz w:val="20"/>
          <w:szCs w:val="20"/>
        </w:rPr>
        <w:t>Un nouveau moniteur y est en voie d’élaboration.</w:t>
      </w:r>
    </w:p>
    <w:p w:rsidR="00AC12B4" w:rsidRDefault="00C27636">
      <w:pPr>
        <w:spacing w:line="20" w:lineRule="exact"/>
        <w:rPr>
          <w:rFonts w:ascii="Comic Sans MS" w:eastAsia="Comic Sans MS" w:hAnsi="Comic Sans MS" w:cs="Comic Sans MS"/>
          <w:color w:val="0D0D0D"/>
          <w:sz w:val="20"/>
          <w:szCs w:val="20"/>
        </w:rPr>
      </w:pPr>
      <w:r>
        <w:rPr>
          <w:rFonts w:ascii="Comic Sans MS" w:eastAsia="Comic Sans MS" w:hAnsi="Comic Sans MS" w:cs="Comic Sans MS"/>
          <w:noProof/>
          <w:color w:val="0D0D0D"/>
          <w:sz w:val="20"/>
          <w:szCs w:val="20"/>
        </w:rPr>
        <mc:AlternateContent>
          <mc:Choice Requires="wps">
            <w:drawing>
              <wp:anchor distT="0" distB="0" distL="114300" distR="114300" simplePos="0" relativeHeight="251615744" behindDoc="1" locked="0" layoutInCell="0" allowOverlap="1">
                <wp:simplePos x="0" y="0"/>
                <wp:positionH relativeFrom="column">
                  <wp:posOffset>930910</wp:posOffset>
                </wp:positionH>
                <wp:positionV relativeFrom="paragraph">
                  <wp:posOffset>-1222375</wp:posOffset>
                </wp:positionV>
                <wp:extent cx="1829435" cy="0"/>
                <wp:effectExtent l="0" t="0" r="0" b="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pt,-96.2499pt" to="217.35pt,-96.2499pt" o:allowincell="f" strokecolor="#000000" strokeweight="0.7199pt"/>
            </w:pict>
          </mc:Fallback>
        </mc:AlternateContent>
      </w:r>
    </w:p>
    <w:p w:rsidR="00AC12B4" w:rsidRDefault="00AC12B4">
      <w:pPr>
        <w:spacing w:line="34" w:lineRule="exact"/>
        <w:rPr>
          <w:rFonts w:ascii="Comic Sans MS" w:eastAsia="Comic Sans MS" w:hAnsi="Comic Sans MS" w:cs="Comic Sans MS"/>
          <w:color w:val="0D0D0D"/>
          <w:sz w:val="20"/>
          <w:szCs w:val="20"/>
        </w:rPr>
      </w:pPr>
    </w:p>
    <w:p w:rsidR="00AC12B4" w:rsidRDefault="00C27636">
      <w:pPr>
        <w:numPr>
          <w:ilvl w:val="0"/>
          <w:numId w:val="183"/>
        </w:numPr>
        <w:tabs>
          <w:tab w:val="left" w:pos="1580"/>
        </w:tabs>
        <w:ind w:left="1580" w:hanging="113"/>
        <w:rPr>
          <w:rFonts w:ascii="Calibri" w:eastAsia="Calibri" w:hAnsi="Calibri" w:cs="Calibri"/>
          <w:sz w:val="26"/>
          <w:szCs w:val="26"/>
          <w:vertAlign w:val="superscript"/>
        </w:rPr>
      </w:pPr>
      <w:r>
        <w:rPr>
          <w:rFonts w:ascii="Calibri" w:eastAsia="Calibri" w:hAnsi="Calibri" w:cs="Calibri"/>
          <w:sz w:val="20"/>
          <w:szCs w:val="20"/>
        </w:rPr>
        <w:t>Home educational resources</w:t>
      </w:r>
      <w:r>
        <w:rPr>
          <w:rFonts w:ascii="Arial" w:eastAsia="Arial" w:hAnsi="Arial" w:cs="Arial"/>
          <w:color w:val="545454"/>
          <w:sz w:val="20"/>
          <w:szCs w:val="20"/>
        </w:rPr>
        <w:t>.</w:t>
      </w:r>
    </w:p>
    <w:p w:rsidR="00AC12B4" w:rsidRDefault="00C27636">
      <w:pPr>
        <w:spacing w:line="20" w:lineRule="exact"/>
        <w:rPr>
          <w:rFonts w:ascii="Comic Sans MS" w:eastAsia="Comic Sans MS" w:hAnsi="Comic Sans MS" w:cs="Comic Sans MS"/>
          <w:color w:val="0D0D0D"/>
          <w:sz w:val="20"/>
          <w:szCs w:val="20"/>
        </w:rPr>
      </w:pPr>
      <w:r>
        <w:rPr>
          <w:rFonts w:ascii="Comic Sans MS" w:eastAsia="Comic Sans MS" w:hAnsi="Comic Sans MS" w:cs="Comic Sans MS"/>
          <w:color w:val="0D0D0D"/>
          <w:sz w:val="20"/>
          <w:szCs w:val="20"/>
        </w:rPr>
        <w:br w:type="column"/>
      </w:r>
    </w:p>
    <w:p w:rsidR="00AC12B4" w:rsidRDefault="00AC12B4">
      <w:pPr>
        <w:spacing w:line="60" w:lineRule="exact"/>
        <w:rPr>
          <w:rFonts w:ascii="Comic Sans MS" w:eastAsia="Comic Sans MS" w:hAnsi="Comic Sans MS" w:cs="Comic Sans MS"/>
          <w:color w:val="0D0D0D"/>
          <w:sz w:val="20"/>
          <w:szCs w:val="20"/>
        </w:rPr>
      </w:pPr>
    </w:p>
    <w:p w:rsidR="00AC12B4" w:rsidRPr="00C27636" w:rsidRDefault="00C27636">
      <w:pPr>
        <w:numPr>
          <w:ilvl w:val="0"/>
          <w:numId w:val="184"/>
        </w:numPr>
        <w:tabs>
          <w:tab w:val="left" w:pos="143"/>
        </w:tabs>
        <w:spacing w:line="223" w:lineRule="auto"/>
        <w:ind w:left="8" w:right="60" w:hanging="8"/>
        <w:jc w:val="both"/>
        <w:rPr>
          <w:rFonts w:ascii="Calibri" w:eastAsia="Calibri" w:hAnsi="Calibri" w:cs="Calibri"/>
          <w:sz w:val="28"/>
          <w:szCs w:val="28"/>
          <w:vertAlign w:val="superscript"/>
          <w:lang w:val="fr-BE"/>
        </w:rPr>
      </w:pPr>
      <w:r w:rsidRPr="00C27636">
        <w:rPr>
          <w:rFonts w:ascii="Calibri" w:eastAsia="Calibri" w:hAnsi="Calibri" w:cs="Calibri"/>
          <w:sz w:val="20"/>
          <w:szCs w:val="20"/>
          <w:lang w:val="fr-BE"/>
        </w:rPr>
        <w:t xml:space="preserve">Contrairement à d’autres enquêtes, les items présents dans cette enquête restent les mêmes au fil du temps. Egalement, cet indice ne retient pas le fait de </w:t>
      </w:r>
      <w:r w:rsidRPr="00C27636">
        <w:rPr>
          <w:rFonts w:ascii="Calibri" w:eastAsia="Calibri" w:hAnsi="Calibri" w:cs="Calibri"/>
          <w:sz w:val="20"/>
          <w:szCs w:val="20"/>
          <w:lang w:val="fr-BE"/>
        </w:rPr>
        <w:t>posséder une connexion internet. Vu la forte augmentation des connexions ces dernières années, l’utilisation de cet item fausserait l’interprétation de l’évolution de l’indice.</w:t>
      </w:r>
    </w:p>
    <w:p w:rsidR="00AC12B4" w:rsidRPr="00C27636" w:rsidRDefault="00C27636">
      <w:pPr>
        <w:spacing w:line="20" w:lineRule="exact"/>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br w:type="column"/>
      </w:r>
    </w:p>
    <w:p w:rsidR="00AC12B4" w:rsidRPr="00C27636" w:rsidRDefault="00AC12B4">
      <w:pPr>
        <w:spacing w:line="12" w:lineRule="exact"/>
        <w:rPr>
          <w:rFonts w:ascii="Comic Sans MS" w:eastAsia="Comic Sans MS" w:hAnsi="Comic Sans MS" w:cs="Comic Sans MS"/>
          <w:color w:val="0D0D0D"/>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0"/>
      </w:tblGrid>
      <w:tr w:rsidR="00AC12B4">
        <w:trPr>
          <w:trHeight w:val="2540"/>
        </w:trPr>
        <w:tc>
          <w:tcPr>
            <w:tcW w:w="280" w:type="dxa"/>
            <w:textDirection w:val="btLr"/>
            <w:vAlign w:val="bottom"/>
          </w:tcPr>
          <w:p w:rsidR="00AC12B4" w:rsidRDefault="00C27636">
            <w:pPr>
              <w:spacing w:line="229" w:lineRule="auto"/>
              <w:rPr>
                <w:sz w:val="20"/>
                <w:szCs w:val="20"/>
              </w:rPr>
            </w:pPr>
            <w:r>
              <w:rPr>
                <w:rFonts w:ascii="Calibri" w:eastAsia="Calibri" w:hAnsi="Calibri" w:cs="Calibri"/>
                <w:b/>
                <w:bCs/>
                <w:i/>
                <w:iCs/>
                <w:color w:val="F2F2F2"/>
                <w:sz w:val="24"/>
                <w:szCs w:val="24"/>
              </w:rPr>
              <w:t>Le droit à l’enseignement</w:t>
            </w:r>
          </w:p>
        </w:tc>
      </w:tr>
    </w:tbl>
    <w:p w:rsidR="00AC12B4" w:rsidRDefault="00AC12B4">
      <w:pPr>
        <w:spacing w:line="40" w:lineRule="exact"/>
        <w:rPr>
          <w:rFonts w:ascii="Comic Sans MS" w:eastAsia="Comic Sans MS" w:hAnsi="Comic Sans MS" w:cs="Comic Sans MS"/>
          <w:color w:val="0D0D0D"/>
          <w:sz w:val="20"/>
          <w:szCs w:val="20"/>
        </w:rPr>
      </w:pPr>
    </w:p>
    <w:p w:rsidR="00AC12B4" w:rsidRDefault="00AC12B4">
      <w:pPr>
        <w:sectPr w:rsidR="00AC12B4">
          <w:type w:val="continuous"/>
          <w:pgSz w:w="12080" w:h="17179"/>
          <w:pgMar w:top="1440" w:right="557" w:bottom="659" w:left="540" w:header="0" w:footer="0" w:gutter="0"/>
          <w:cols w:num="3" w:space="720" w:equalWidth="0">
            <w:col w:w="5340" w:space="712"/>
            <w:col w:w="3929" w:space="720"/>
            <w:col w:w="280"/>
          </w:cols>
        </w:sectPr>
      </w:pPr>
    </w:p>
    <w:p w:rsidR="00AC12B4" w:rsidRDefault="00C27636">
      <w:pPr>
        <w:ind w:right="-419"/>
        <w:jc w:val="center"/>
        <w:rPr>
          <w:sz w:val="20"/>
          <w:szCs w:val="20"/>
        </w:rPr>
      </w:pPr>
      <w:r>
        <w:rPr>
          <w:rFonts w:ascii="Calibri" w:eastAsia="Calibri" w:hAnsi="Calibri" w:cs="Calibri"/>
          <w:sz w:val="21"/>
          <w:szCs w:val="21"/>
        </w:rPr>
        <w:lastRenderedPageBreak/>
        <w:t>109</w:t>
      </w:r>
    </w:p>
    <w:p w:rsidR="00AC12B4" w:rsidRDefault="00AC12B4">
      <w:pPr>
        <w:sectPr w:rsidR="00AC12B4">
          <w:type w:val="continuous"/>
          <w:pgSz w:w="12080" w:h="17179"/>
          <w:pgMar w:top="1440" w:right="557" w:bottom="659" w:left="540" w:header="0" w:footer="0" w:gutter="0"/>
          <w:cols w:space="720" w:equalWidth="0">
            <w:col w:w="10980"/>
          </w:cols>
        </w:sectPr>
      </w:pPr>
    </w:p>
    <w:bookmarkStart w:id="109" w:name="page110"/>
    <w:bookmarkEnd w:id="109"/>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616768" behindDoc="1" locked="0" layoutInCell="0" allowOverlap="1">
                <wp:simplePos x="0" y="0"/>
                <wp:positionH relativeFrom="page">
                  <wp:posOffset>0</wp:posOffset>
                </wp:positionH>
                <wp:positionV relativeFrom="page">
                  <wp:posOffset>0</wp:posOffset>
                </wp:positionV>
                <wp:extent cx="788035" cy="10908665"/>
                <wp:effectExtent l="0" t="0" r="0" b="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035" cy="10908665"/>
                        </a:xfrm>
                        <a:prstGeom prst="rect">
                          <a:avLst/>
                        </a:prstGeom>
                        <a:solidFill>
                          <a:srgbClr val="8BCCEC"/>
                        </a:solidFill>
                      </wps:spPr>
                      <wps:bodyPr/>
                    </wps:wsp>
                  </a:graphicData>
                </a:graphic>
              </wp:anchor>
            </w:drawing>
          </mc:Choice>
          <mc:Fallback>
            <w:pict>
              <v:rect id="Shape 281" o:spid="_x0000_s1306" style="position:absolute;margin-left:0pt;margin-top:0pt;width:62.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r>
        <w:rPr>
          <w:noProof/>
          <w:sz w:val="20"/>
          <w:szCs w:val="20"/>
        </w:rPr>
        <mc:AlternateContent>
          <mc:Choice Requires="wps">
            <w:drawing>
              <wp:anchor distT="0" distB="0" distL="114300" distR="114300" simplePos="0" relativeHeight="251617792" behindDoc="1" locked="0" layoutInCell="0" allowOverlap="1">
                <wp:simplePos x="0" y="0"/>
                <wp:positionH relativeFrom="page">
                  <wp:posOffset>403860</wp:posOffset>
                </wp:positionH>
                <wp:positionV relativeFrom="page">
                  <wp:posOffset>1083945</wp:posOffset>
                </wp:positionV>
                <wp:extent cx="3210560" cy="1838960"/>
                <wp:effectExtent l="0" t="0" r="0" b="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0560" cy="1838960"/>
                        </a:xfrm>
                        <a:prstGeom prst="rect">
                          <a:avLst/>
                        </a:prstGeom>
                        <a:solidFill>
                          <a:srgbClr val="FFFFFF"/>
                        </a:solidFill>
                      </wps:spPr>
                      <wps:bodyPr/>
                    </wps:wsp>
                  </a:graphicData>
                </a:graphic>
              </wp:anchor>
            </w:drawing>
          </mc:Choice>
          <mc:Fallback>
            <w:pict>
              <v:rect id="Shape 282" o:spid="_x0000_s1307" style="position:absolute;margin-left:31.8pt;margin-top:85.35pt;width:252.8pt;height:144.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r>
        <w:rPr>
          <w:noProof/>
          <w:sz w:val="20"/>
          <w:szCs w:val="20"/>
        </w:rPr>
        <mc:AlternateContent>
          <mc:Choice Requires="wps">
            <w:drawing>
              <wp:anchor distT="0" distB="0" distL="114300" distR="114300" simplePos="0" relativeHeight="251618816" behindDoc="1" locked="0" layoutInCell="0" allowOverlap="1">
                <wp:simplePos x="0" y="0"/>
                <wp:positionH relativeFrom="page">
                  <wp:posOffset>3614420</wp:posOffset>
                </wp:positionH>
                <wp:positionV relativeFrom="page">
                  <wp:posOffset>1071245</wp:posOffset>
                </wp:positionV>
                <wp:extent cx="0" cy="1864360"/>
                <wp:effectExtent l="0" t="0" r="0" b="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86436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6pt,84.35pt" to="284.6pt,231.15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619840" behindDoc="1" locked="0" layoutInCell="0" allowOverlap="1">
                <wp:simplePos x="0" y="0"/>
                <wp:positionH relativeFrom="page">
                  <wp:posOffset>391160</wp:posOffset>
                </wp:positionH>
                <wp:positionV relativeFrom="page">
                  <wp:posOffset>1083945</wp:posOffset>
                </wp:positionV>
                <wp:extent cx="3235960" cy="0"/>
                <wp:effectExtent l="0" t="0" r="0" b="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3596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8pt,85.35pt" to="285.6pt,85.35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620864" behindDoc="1" locked="0" layoutInCell="0" allowOverlap="1">
                <wp:simplePos x="0" y="0"/>
                <wp:positionH relativeFrom="page">
                  <wp:posOffset>403860</wp:posOffset>
                </wp:positionH>
                <wp:positionV relativeFrom="page">
                  <wp:posOffset>1071245</wp:posOffset>
                </wp:positionV>
                <wp:extent cx="0" cy="1864360"/>
                <wp:effectExtent l="0" t="0" r="0" b="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86436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8pt,84.35pt" to="31.8pt,231.15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621888" behindDoc="1" locked="0" layoutInCell="0" allowOverlap="1">
                <wp:simplePos x="0" y="0"/>
                <wp:positionH relativeFrom="page">
                  <wp:posOffset>391160</wp:posOffset>
                </wp:positionH>
                <wp:positionV relativeFrom="page">
                  <wp:posOffset>2922905</wp:posOffset>
                </wp:positionV>
                <wp:extent cx="3235960" cy="0"/>
                <wp:effectExtent l="0" t="0" r="0" b="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3596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8pt,230.15pt" to="285.6pt,230.15pt" o:allowincell="f" strokecolor="#44ACE0" strokeweight="2pt">
                <w10:wrap anchorx="page" anchory="page"/>
              </v:line>
            </w:pict>
          </mc:Fallback>
        </mc:AlternateContent>
      </w:r>
    </w:p>
    <w:p w:rsidR="00AC12B4" w:rsidRDefault="00AC12B4">
      <w:pPr>
        <w:spacing w:line="200" w:lineRule="exact"/>
        <w:rPr>
          <w:sz w:val="20"/>
          <w:szCs w:val="20"/>
        </w:rPr>
      </w:pPr>
    </w:p>
    <w:p w:rsidR="00AC12B4" w:rsidRDefault="00AC12B4">
      <w:pPr>
        <w:spacing w:line="226" w:lineRule="exact"/>
        <w:rPr>
          <w:sz w:val="20"/>
          <w:szCs w:val="20"/>
        </w:rPr>
      </w:pPr>
    </w:p>
    <w:p w:rsidR="00AC12B4" w:rsidRPr="00C27636" w:rsidRDefault="00C27636">
      <w:pPr>
        <w:numPr>
          <w:ilvl w:val="0"/>
          <w:numId w:val="185"/>
        </w:numPr>
        <w:tabs>
          <w:tab w:val="left" w:pos="823"/>
        </w:tabs>
        <w:ind w:left="823" w:hanging="180"/>
        <w:rPr>
          <w:rFonts w:eastAsia="Times New Roman"/>
          <w:b/>
          <w:bCs/>
          <w:i/>
          <w:iCs/>
          <w:color w:val="44ACE0"/>
          <w:sz w:val="20"/>
          <w:szCs w:val="20"/>
          <w:lang w:val="fr-BE"/>
        </w:rPr>
      </w:pPr>
      <w:r w:rsidRPr="00C27636">
        <w:rPr>
          <w:rFonts w:eastAsia="Times New Roman"/>
          <w:b/>
          <w:bCs/>
          <w:i/>
          <w:iCs/>
          <w:color w:val="44ACE0"/>
          <w:sz w:val="20"/>
          <w:szCs w:val="20"/>
          <w:lang w:val="fr-BE"/>
        </w:rPr>
        <w:t>la maison, disposez-vous des choses suivantes ?</w:t>
      </w:r>
    </w:p>
    <w:p w:rsidR="00AC12B4" w:rsidRPr="00C27636" w:rsidRDefault="00C27636">
      <w:pPr>
        <w:numPr>
          <w:ilvl w:val="1"/>
          <w:numId w:val="185"/>
        </w:numPr>
        <w:tabs>
          <w:tab w:val="left" w:pos="1363"/>
        </w:tabs>
        <w:spacing w:line="235" w:lineRule="auto"/>
        <w:ind w:left="1363" w:hanging="360"/>
        <w:rPr>
          <w:rFonts w:ascii="Symbol" w:eastAsia="Symbol" w:hAnsi="Symbol" w:cs="Symbol"/>
          <w:color w:val="44ACE0"/>
          <w:sz w:val="20"/>
          <w:szCs w:val="20"/>
          <w:lang w:val="fr-BE"/>
        </w:rPr>
      </w:pPr>
      <w:r w:rsidRPr="00C27636">
        <w:rPr>
          <w:rFonts w:eastAsia="Times New Roman"/>
          <w:color w:val="44ACE0"/>
          <w:sz w:val="20"/>
          <w:szCs w:val="20"/>
          <w:lang w:val="fr-BE"/>
        </w:rPr>
        <w:t>Un bureau ou une table pour travailler</w:t>
      </w:r>
    </w:p>
    <w:p w:rsidR="00AC12B4" w:rsidRDefault="00C27636">
      <w:pPr>
        <w:numPr>
          <w:ilvl w:val="1"/>
          <w:numId w:val="185"/>
        </w:numPr>
        <w:tabs>
          <w:tab w:val="left" w:pos="1363"/>
        </w:tabs>
        <w:ind w:left="1363" w:hanging="360"/>
        <w:rPr>
          <w:rFonts w:ascii="Symbol" w:eastAsia="Symbol" w:hAnsi="Symbol" w:cs="Symbol"/>
          <w:color w:val="44ACE0"/>
          <w:sz w:val="20"/>
          <w:szCs w:val="20"/>
        </w:rPr>
      </w:pPr>
      <w:r>
        <w:rPr>
          <w:rFonts w:eastAsia="Times New Roman"/>
          <w:color w:val="44ACE0"/>
          <w:sz w:val="20"/>
          <w:szCs w:val="20"/>
        </w:rPr>
        <w:t>Un endroit calme pour travailler</w:t>
      </w:r>
    </w:p>
    <w:p w:rsidR="00AC12B4" w:rsidRDefault="00AC12B4">
      <w:pPr>
        <w:spacing w:line="25" w:lineRule="exact"/>
        <w:rPr>
          <w:rFonts w:ascii="Symbol" w:eastAsia="Symbol" w:hAnsi="Symbol" w:cs="Symbol"/>
          <w:color w:val="44ACE0"/>
          <w:sz w:val="20"/>
          <w:szCs w:val="20"/>
        </w:rPr>
      </w:pPr>
    </w:p>
    <w:p w:rsidR="00AC12B4" w:rsidRPr="00C27636" w:rsidRDefault="00C27636">
      <w:pPr>
        <w:numPr>
          <w:ilvl w:val="1"/>
          <w:numId w:val="185"/>
        </w:numPr>
        <w:tabs>
          <w:tab w:val="left" w:pos="1363"/>
        </w:tabs>
        <w:spacing w:line="225" w:lineRule="auto"/>
        <w:ind w:left="1363" w:hanging="360"/>
        <w:rPr>
          <w:rFonts w:ascii="Symbol" w:eastAsia="Symbol" w:hAnsi="Symbol" w:cs="Symbol"/>
          <w:color w:val="44ACE0"/>
          <w:sz w:val="20"/>
          <w:szCs w:val="20"/>
          <w:lang w:val="fr-BE"/>
        </w:rPr>
      </w:pPr>
      <w:r w:rsidRPr="00C27636">
        <w:rPr>
          <w:rFonts w:eastAsia="Times New Roman"/>
          <w:color w:val="44ACE0"/>
          <w:sz w:val="20"/>
          <w:szCs w:val="20"/>
          <w:lang w:val="fr-BE"/>
        </w:rPr>
        <w:t>Un ordinateur dont vous pouvez vous servir pour votre travail scolaire</w:t>
      </w:r>
    </w:p>
    <w:p w:rsidR="00AC12B4" w:rsidRPr="00C27636" w:rsidRDefault="00AC12B4">
      <w:pPr>
        <w:spacing w:line="1" w:lineRule="exact"/>
        <w:rPr>
          <w:rFonts w:ascii="Symbol" w:eastAsia="Symbol" w:hAnsi="Symbol" w:cs="Symbol"/>
          <w:color w:val="44ACE0"/>
          <w:sz w:val="20"/>
          <w:szCs w:val="20"/>
          <w:lang w:val="fr-BE"/>
        </w:rPr>
      </w:pPr>
    </w:p>
    <w:p w:rsidR="00AC12B4" w:rsidRDefault="00C27636">
      <w:pPr>
        <w:numPr>
          <w:ilvl w:val="1"/>
          <w:numId w:val="185"/>
        </w:numPr>
        <w:tabs>
          <w:tab w:val="left" w:pos="1363"/>
        </w:tabs>
        <w:ind w:left="1363" w:hanging="360"/>
        <w:rPr>
          <w:rFonts w:ascii="Symbol" w:eastAsia="Symbol" w:hAnsi="Symbol" w:cs="Symbol"/>
          <w:color w:val="44ACE0"/>
          <w:sz w:val="20"/>
          <w:szCs w:val="20"/>
        </w:rPr>
      </w:pPr>
      <w:r>
        <w:rPr>
          <w:rFonts w:eastAsia="Times New Roman"/>
          <w:color w:val="44ACE0"/>
          <w:sz w:val="20"/>
          <w:szCs w:val="20"/>
        </w:rPr>
        <w:t>Des logiciels éducatifs</w:t>
      </w:r>
    </w:p>
    <w:p w:rsidR="00AC12B4" w:rsidRPr="00C27636" w:rsidRDefault="00C27636">
      <w:pPr>
        <w:numPr>
          <w:ilvl w:val="1"/>
          <w:numId w:val="185"/>
        </w:numPr>
        <w:tabs>
          <w:tab w:val="left" w:pos="1363"/>
        </w:tabs>
        <w:ind w:left="1363" w:hanging="360"/>
        <w:rPr>
          <w:rFonts w:ascii="Symbol" w:eastAsia="Symbol" w:hAnsi="Symbol" w:cs="Symbol"/>
          <w:color w:val="44ACE0"/>
          <w:sz w:val="20"/>
          <w:szCs w:val="20"/>
          <w:lang w:val="fr-BE"/>
        </w:rPr>
      </w:pPr>
      <w:r w:rsidRPr="00C27636">
        <w:rPr>
          <w:rFonts w:eastAsia="Times New Roman"/>
          <w:color w:val="44ACE0"/>
          <w:sz w:val="20"/>
          <w:szCs w:val="20"/>
          <w:lang w:val="fr-BE"/>
        </w:rPr>
        <w:t xml:space="preserve">Des </w:t>
      </w:r>
      <w:r w:rsidRPr="00C27636">
        <w:rPr>
          <w:rFonts w:eastAsia="Times New Roman"/>
          <w:color w:val="44ACE0"/>
          <w:sz w:val="20"/>
          <w:szCs w:val="20"/>
          <w:lang w:val="fr-BE"/>
        </w:rPr>
        <w:t>livres utiles à votre travail scolaire</w:t>
      </w:r>
    </w:p>
    <w:p w:rsidR="00AC12B4" w:rsidRDefault="00C27636">
      <w:pPr>
        <w:numPr>
          <w:ilvl w:val="1"/>
          <w:numId w:val="185"/>
        </w:numPr>
        <w:tabs>
          <w:tab w:val="left" w:pos="1363"/>
        </w:tabs>
        <w:ind w:left="1363" w:hanging="360"/>
        <w:rPr>
          <w:rFonts w:ascii="Symbol" w:eastAsia="Symbol" w:hAnsi="Symbol" w:cs="Symbol"/>
          <w:color w:val="44ACE0"/>
          <w:sz w:val="20"/>
          <w:szCs w:val="20"/>
        </w:rPr>
      </w:pPr>
      <w:r>
        <w:rPr>
          <w:rFonts w:eastAsia="Times New Roman"/>
          <w:color w:val="44ACE0"/>
          <w:sz w:val="20"/>
          <w:szCs w:val="20"/>
        </w:rPr>
        <w:t>Des ouvrages techniques de référence</w:t>
      </w:r>
    </w:p>
    <w:p w:rsidR="00AC12B4" w:rsidRDefault="00AC12B4">
      <w:pPr>
        <w:spacing w:line="4" w:lineRule="exact"/>
        <w:rPr>
          <w:rFonts w:ascii="Symbol" w:eastAsia="Symbol" w:hAnsi="Symbol" w:cs="Symbol"/>
          <w:color w:val="44ACE0"/>
          <w:sz w:val="20"/>
          <w:szCs w:val="20"/>
        </w:rPr>
      </w:pPr>
    </w:p>
    <w:p w:rsidR="00AC12B4" w:rsidRDefault="00C27636">
      <w:pPr>
        <w:numPr>
          <w:ilvl w:val="1"/>
          <w:numId w:val="185"/>
        </w:numPr>
        <w:tabs>
          <w:tab w:val="left" w:pos="1363"/>
        </w:tabs>
        <w:ind w:left="1363" w:hanging="360"/>
        <w:rPr>
          <w:rFonts w:ascii="Symbol" w:eastAsia="Symbol" w:hAnsi="Symbol" w:cs="Symbol"/>
          <w:color w:val="44ACE0"/>
          <w:sz w:val="20"/>
          <w:szCs w:val="20"/>
        </w:rPr>
      </w:pPr>
      <w:r>
        <w:rPr>
          <w:rFonts w:eastAsia="Times New Roman"/>
          <w:color w:val="44ACE0"/>
          <w:sz w:val="20"/>
          <w:szCs w:val="20"/>
        </w:rPr>
        <w:t>Un dictionnaire</w:t>
      </w:r>
    </w:p>
    <w:p w:rsidR="00AC12B4" w:rsidRDefault="00AC12B4">
      <w:pPr>
        <w:spacing w:line="200" w:lineRule="exact"/>
        <w:rPr>
          <w:sz w:val="20"/>
          <w:szCs w:val="20"/>
        </w:rPr>
      </w:pPr>
    </w:p>
    <w:p w:rsidR="00AC12B4" w:rsidRDefault="00AC12B4">
      <w:pPr>
        <w:spacing w:line="248" w:lineRule="exact"/>
        <w:rPr>
          <w:sz w:val="20"/>
          <w:szCs w:val="20"/>
        </w:rPr>
      </w:pPr>
    </w:p>
    <w:p w:rsidR="00AC12B4" w:rsidRDefault="00C27636">
      <w:pPr>
        <w:ind w:left="943"/>
        <w:rPr>
          <w:sz w:val="20"/>
          <w:szCs w:val="20"/>
        </w:rPr>
      </w:pPr>
      <w:r>
        <w:rPr>
          <w:rFonts w:ascii="Cambria" w:eastAsia="Cambria" w:hAnsi="Cambria" w:cs="Cambria"/>
          <w:b/>
          <w:bCs/>
          <w:i/>
          <w:iCs/>
          <w:color w:val="44ACE0"/>
          <w:sz w:val="26"/>
          <w:szCs w:val="26"/>
        </w:rPr>
        <w:t>Iniquité</w:t>
      </w:r>
    </w:p>
    <w:p w:rsidR="00AC12B4" w:rsidRDefault="00AC12B4">
      <w:pPr>
        <w:spacing w:line="211" w:lineRule="exact"/>
        <w:rPr>
          <w:sz w:val="20"/>
          <w:szCs w:val="20"/>
        </w:rPr>
      </w:pPr>
    </w:p>
    <w:p w:rsidR="00AC12B4" w:rsidRPr="00C27636" w:rsidRDefault="00C27636">
      <w:pPr>
        <w:spacing w:line="228" w:lineRule="auto"/>
        <w:ind w:left="943" w:right="200"/>
        <w:jc w:val="both"/>
        <w:rPr>
          <w:sz w:val="20"/>
          <w:szCs w:val="20"/>
          <w:lang w:val="fr-BE"/>
        </w:rPr>
      </w:pPr>
      <w:r w:rsidRPr="00C27636">
        <w:rPr>
          <w:rFonts w:ascii="Calibri" w:eastAsia="Calibri" w:hAnsi="Calibri" w:cs="Calibri"/>
          <w:lang w:val="fr-BE"/>
        </w:rPr>
        <w:t>Les items utilisés dans l’indice HEDRES le sont également dans l’indice de statut socio-économique. La corrélation entre les deux va dès lors de soi.</w:t>
      </w:r>
    </w:p>
    <w:p w:rsidR="00AC12B4" w:rsidRPr="00C27636" w:rsidRDefault="00AC12B4">
      <w:pPr>
        <w:spacing w:line="172" w:lineRule="exact"/>
        <w:rPr>
          <w:sz w:val="20"/>
          <w:szCs w:val="20"/>
          <w:lang w:val="fr-BE"/>
        </w:rPr>
      </w:pPr>
    </w:p>
    <w:p w:rsidR="00AC12B4" w:rsidRPr="00C27636" w:rsidRDefault="00C27636">
      <w:pPr>
        <w:spacing w:line="237" w:lineRule="auto"/>
        <w:ind w:left="943" w:right="200"/>
        <w:jc w:val="both"/>
        <w:rPr>
          <w:sz w:val="20"/>
          <w:szCs w:val="20"/>
          <w:lang w:val="fr-BE"/>
        </w:rPr>
      </w:pPr>
      <w:r w:rsidRPr="00C27636">
        <w:rPr>
          <w:rFonts w:ascii="Calibri" w:eastAsia="Calibri" w:hAnsi="Calibri" w:cs="Calibri"/>
          <w:lang w:val="fr-BE"/>
        </w:rPr>
        <w:t>Selon les résultats de l’enquête basée sur leurs déclarations, les filles ont tendance à être moins sujettes à une carence en matériel éducatif que les garçons. En 2009, la carence en matériel éducatif était corrélée avec l’origine des élèves (seulement 3%</w:t>
      </w:r>
      <w:r w:rsidRPr="00C27636">
        <w:rPr>
          <w:rFonts w:ascii="Calibri" w:eastAsia="Calibri" w:hAnsi="Calibri" w:cs="Calibri"/>
          <w:lang w:val="fr-BE"/>
        </w:rPr>
        <w:t xml:space="preserve"> des élèves d’origine belge contre 6,5% des élèves issus de l’immigration). Cette corrélation n’est plus statistiquement fiable en 2012 (à l’exception de la Communauté flamande, les marges d’erreurs sont trop élevées dans les deux autres Communautés pour p</w:t>
      </w:r>
      <w:r w:rsidRPr="00C27636">
        <w:rPr>
          <w:rFonts w:ascii="Calibri" w:eastAsia="Calibri" w:hAnsi="Calibri" w:cs="Calibri"/>
          <w:lang w:val="fr-BE"/>
        </w:rPr>
        <w:t>ouvoir tirer des conclusions. Les différences constatées n’y sont pas significatives).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9"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44ACE0"/>
          <w:sz w:val="26"/>
          <w:szCs w:val="26"/>
          <w:lang w:val="fr-BE"/>
        </w:rPr>
        <w:t>Et ailleurs ?</w:t>
      </w:r>
    </w:p>
    <w:p w:rsidR="00AC12B4" w:rsidRPr="00C27636" w:rsidRDefault="00AC12B4">
      <w:pPr>
        <w:spacing w:line="208" w:lineRule="exact"/>
        <w:rPr>
          <w:sz w:val="20"/>
          <w:szCs w:val="20"/>
          <w:lang w:val="fr-BE"/>
        </w:rPr>
      </w:pPr>
    </w:p>
    <w:p w:rsidR="00AC12B4" w:rsidRPr="00C27636" w:rsidRDefault="00C27636">
      <w:pPr>
        <w:spacing w:line="232" w:lineRule="auto"/>
        <w:ind w:right="940"/>
        <w:jc w:val="both"/>
        <w:rPr>
          <w:sz w:val="20"/>
          <w:szCs w:val="20"/>
          <w:lang w:val="fr-BE"/>
        </w:rPr>
      </w:pPr>
      <w:r w:rsidRPr="00C27636">
        <w:rPr>
          <w:rFonts w:ascii="Calibri" w:eastAsia="Calibri" w:hAnsi="Calibri" w:cs="Calibri"/>
          <w:lang w:val="fr-BE"/>
        </w:rPr>
        <w:t>La Belgique se situe en dessous de la moyenne OCDE en terme de carence en matériel éducatif. Les pays de l’OCDE comptent en moyenne 6,4% d’élèves de 15</w:t>
      </w:r>
      <w:r w:rsidRPr="00C27636">
        <w:rPr>
          <w:rFonts w:ascii="Calibri" w:eastAsia="Calibri" w:hAnsi="Calibri" w:cs="Calibri"/>
          <w:lang w:val="fr-BE"/>
        </w:rPr>
        <w:t xml:space="preserve"> ans déclarant être confrontés à une carence en matériel éducatif (PISA 2012).</w:t>
      </w:r>
    </w:p>
    <w:p w:rsidR="00AC12B4" w:rsidRPr="00C27636" w:rsidRDefault="00AC12B4">
      <w:pPr>
        <w:spacing w:line="210" w:lineRule="exact"/>
        <w:rPr>
          <w:sz w:val="20"/>
          <w:szCs w:val="20"/>
          <w:lang w:val="fr-BE"/>
        </w:rPr>
      </w:pPr>
    </w:p>
    <w:p w:rsidR="00AC12B4" w:rsidRDefault="00C27636">
      <w:pPr>
        <w:rPr>
          <w:sz w:val="20"/>
          <w:szCs w:val="20"/>
        </w:rPr>
      </w:pPr>
      <w:r>
        <w:rPr>
          <w:rFonts w:ascii="Cambria" w:eastAsia="Cambria" w:hAnsi="Cambria" w:cs="Cambria"/>
          <w:b/>
          <w:bCs/>
          <w:i/>
          <w:iCs/>
          <w:color w:val="44ACE0"/>
          <w:sz w:val="26"/>
          <w:szCs w:val="26"/>
        </w:rPr>
        <w:t>D’où viennent ces chiffres ?</w:t>
      </w:r>
    </w:p>
    <w:p w:rsidR="00AC12B4" w:rsidRDefault="00AC12B4">
      <w:pPr>
        <w:spacing w:line="168" w:lineRule="exact"/>
        <w:rPr>
          <w:sz w:val="20"/>
          <w:szCs w:val="20"/>
        </w:rPr>
      </w:pPr>
    </w:p>
    <w:p w:rsidR="00AC12B4" w:rsidRDefault="00C27636">
      <w:pPr>
        <w:numPr>
          <w:ilvl w:val="0"/>
          <w:numId w:val="186"/>
        </w:numPr>
        <w:tabs>
          <w:tab w:val="left" w:pos="720"/>
        </w:tabs>
        <w:ind w:left="720" w:hanging="355"/>
        <w:rPr>
          <w:rFonts w:ascii="Wingdings" w:eastAsia="Wingdings" w:hAnsi="Wingdings" w:cs="Wingdings"/>
          <w:color w:val="4BACC6"/>
        </w:rPr>
      </w:pPr>
      <w:r>
        <w:rPr>
          <w:rFonts w:ascii="Cambria" w:eastAsia="Cambria" w:hAnsi="Cambria" w:cs="Cambria"/>
          <w:i/>
          <w:iCs/>
          <w:color w:val="4BACC6"/>
        </w:rPr>
        <w:t>PISA</w:t>
      </w:r>
    </w:p>
    <w:p w:rsidR="00AC12B4" w:rsidRDefault="00AC12B4">
      <w:pPr>
        <w:spacing w:line="199" w:lineRule="exact"/>
        <w:rPr>
          <w:sz w:val="20"/>
          <w:szCs w:val="20"/>
        </w:rPr>
      </w:pPr>
    </w:p>
    <w:p w:rsidR="00AC12B4" w:rsidRPr="00C27636" w:rsidRDefault="00C27636">
      <w:pPr>
        <w:spacing w:line="218" w:lineRule="auto"/>
        <w:ind w:right="940"/>
        <w:rPr>
          <w:sz w:val="20"/>
          <w:szCs w:val="20"/>
          <w:lang w:val="fr-BE"/>
        </w:rPr>
      </w:pPr>
      <w:r w:rsidRPr="00C27636">
        <w:rPr>
          <w:rFonts w:ascii="Calibri" w:eastAsia="Calibri" w:hAnsi="Calibri" w:cs="Calibri"/>
          <w:lang w:val="fr-BE"/>
        </w:rPr>
        <w:t>Pour une description de l’enquête PISA, voir la section « sources ».</w:t>
      </w:r>
    </w:p>
    <w:p w:rsidR="00AC12B4" w:rsidRPr="00C27636" w:rsidRDefault="00AC12B4">
      <w:pPr>
        <w:spacing w:line="128" w:lineRule="exact"/>
        <w:rPr>
          <w:sz w:val="20"/>
          <w:szCs w:val="20"/>
          <w:lang w:val="fr-BE"/>
        </w:rPr>
      </w:pPr>
    </w:p>
    <w:p w:rsidR="00AC12B4" w:rsidRDefault="00C27636">
      <w:pPr>
        <w:numPr>
          <w:ilvl w:val="0"/>
          <w:numId w:val="187"/>
        </w:numPr>
        <w:tabs>
          <w:tab w:val="left" w:pos="720"/>
        </w:tabs>
        <w:ind w:left="720" w:hanging="355"/>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202" w:lineRule="exact"/>
        <w:rPr>
          <w:sz w:val="20"/>
          <w:szCs w:val="20"/>
        </w:rPr>
      </w:pPr>
    </w:p>
    <w:p w:rsidR="00AC12B4" w:rsidRPr="00C27636" w:rsidRDefault="00C27636">
      <w:pPr>
        <w:spacing w:line="236" w:lineRule="auto"/>
        <w:ind w:right="940"/>
        <w:jc w:val="both"/>
        <w:rPr>
          <w:sz w:val="20"/>
          <w:szCs w:val="20"/>
          <w:lang w:val="fr-BE"/>
        </w:rPr>
      </w:pPr>
      <w:r w:rsidRPr="00C27636">
        <w:rPr>
          <w:rFonts w:ascii="Calibri" w:eastAsia="Calibri" w:hAnsi="Calibri" w:cs="Calibri"/>
          <w:lang w:val="fr-BE"/>
        </w:rPr>
        <w:t xml:space="preserve">Comme indiqué dans la présentation de PISA, </w:t>
      </w:r>
      <w:r w:rsidRPr="00C27636">
        <w:rPr>
          <w:rFonts w:ascii="Calibri" w:eastAsia="Calibri" w:hAnsi="Calibri" w:cs="Calibri"/>
          <w:lang w:val="fr-BE"/>
        </w:rPr>
        <w:t xml:space="preserve">celle-ci est conçue pour être représentative des jeunes scolarisés de 15 ans. L’enseignement ordinaire et une partie des formes de l'enseignement spécialisé sont touchés par l’enquête. Elle a donc ses limites pour notre set d’indicateurs qui s’intéresse à </w:t>
      </w:r>
      <w:r w:rsidRPr="00C27636">
        <w:rPr>
          <w:rFonts w:ascii="Calibri" w:eastAsia="Calibri" w:hAnsi="Calibri" w:cs="Calibri"/>
          <w:lang w:val="fr-BE"/>
        </w:rPr>
        <w:t>toutes les tranches d’âge et qui accorde une attention particulière aux groupes vulnérables.</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622912" behindDoc="1" locked="0" layoutInCell="0" allowOverlap="1">
            <wp:simplePos x="0" y="0"/>
            <wp:positionH relativeFrom="column">
              <wp:posOffset>-2668270</wp:posOffset>
            </wp:positionH>
            <wp:positionV relativeFrom="paragraph">
              <wp:posOffset>1256030</wp:posOffset>
            </wp:positionV>
            <wp:extent cx="6229985" cy="2749550"/>
            <wp:effectExtent l="0" t="0" r="0" b="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83">
                      <a:extLst/>
                    </a:blip>
                    <a:srcRect/>
                    <a:stretch>
                      <a:fillRect/>
                    </a:stretch>
                  </pic:blipFill>
                  <pic:spPr bwMode="auto">
                    <a:xfrm>
                      <a:off x="0" y="0"/>
                      <a:ext cx="6229985" cy="2749550"/>
                    </a:xfrm>
                    <a:prstGeom prst="rect">
                      <a:avLst/>
                    </a:prstGeom>
                    <a:noFill/>
                  </pic:spPr>
                </pic:pic>
              </a:graphicData>
            </a:graphic>
          </wp:anchor>
        </w:drawing>
      </w:r>
    </w:p>
    <w:p w:rsidR="00AC12B4" w:rsidRPr="00C27636" w:rsidRDefault="00AC12B4">
      <w:pPr>
        <w:spacing w:line="2037" w:lineRule="exact"/>
        <w:rPr>
          <w:sz w:val="20"/>
          <w:szCs w:val="20"/>
          <w:lang w:val="fr-BE"/>
        </w:rPr>
      </w:pPr>
    </w:p>
    <w:p w:rsidR="00AC12B4" w:rsidRPr="00C27636" w:rsidRDefault="00AC12B4">
      <w:pPr>
        <w:rPr>
          <w:lang w:val="fr-BE"/>
        </w:rPr>
        <w:sectPr w:rsidR="00AC12B4" w:rsidRPr="00C27636">
          <w:pgSz w:w="12080" w:h="17179"/>
          <w:pgMar w:top="1440" w:right="1237" w:bottom="659" w:left="497" w:header="0" w:footer="0" w:gutter="0"/>
          <w:cols w:num="2" w:space="720" w:equalWidth="0">
            <w:col w:w="5023" w:space="500"/>
            <w:col w:w="482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1"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à l’enseignement</w:t>
            </w:r>
          </w:p>
        </w:tc>
      </w:tr>
    </w:tbl>
    <w:p w:rsidR="00AC12B4" w:rsidRDefault="00C27636">
      <w:pPr>
        <w:spacing w:line="20" w:lineRule="exact"/>
        <w:rPr>
          <w:sz w:val="20"/>
          <w:szCs w:val="20"/>
        </w:rPr>
      </w:pPr>
      <w:r>
        <w:rPr>
          <w:sz w:val="20"/>
          <w:szCs w:val="20"/>
        </w:rPr>
        <w:br w:type="column"/>
      </w:r>
    </w:p>
    <w:p w:rsidR="00AC12B4" w:rsidRDefault="00AC12B4">
      <w:pPr>
        <w:spacing w:line="73" w:lineRule="exact"/>
        <w:rPr>
          <w:sz w:val="20"/>
          <w:szCs w:val="20"/>
        </w:rPr>
      </w:pPr>
    </w:p>
    <w:p w:rsidR="00AC12B4" w:rsidRPr="00C27636" w:rsidRDefault="00C27636">
      <w:pPr>
        <w:ind w:left="1440"/>
        <w:rPr>
          <w:sz w:val="20"/>
          <w:szCs w:val="20"/>
          <w:lang w:val="fr-BE"/>
        </w:rPr>
      </w:pPr>
      <w:r w:rsidRPr="00C27636">
        <w:rPr>
          <w:rFonts w:ascii="Calibri" w:eastAsia="Calibri" w:hAnsi="Calibri" w:cs="Calibri"/>
          <w:b/>
          <w:bCs/>
          <w:sz w:val="36"/>
          <w:szCs w:val="36"/>
          <w:lang w:val="fr-BE"/>
        </w:rPr>
        <w:t>% d'élèves de 15 ans ne possédant pas</w:t>
      </w:r>
    </w:p>
    <w:p w:rsidR="00AC12B4" w:rsidRPr="00C27636" w:rsidRDefault="00AC12B4">
      <w:pPr>
        <w:spacing w:line="11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00"/>
        <w:gridCol w:w="380"/>
        <w:gridCol w:w="80"/>
        <w:gridCol w:w="960"/>
        <w:gridCol w:w="20"/>
        <w:gridCol w:w="960"/>
        <w:gridCol w:w="20"/>
        <w:gridCol w:w="960"/>
        <w:gridCol w:w="20"/>
        <w:gridCol w:w="980"/>
        <w:gridCol w:w="20"/>
        <w:gridCol w:w="960"/>
        <w:gridCol w:w="20"/>
        <w:gridCol w:w="960"/>
        <w:gridCol w:w="20"/>
        <w:gridCol w:w="960"/>
        <w:gridCol w:w="20"/>
        <w:gridCol w:w="300"/>
        <w:gridCol w:w="120"/>
        <w:gridCol w:w="760"/>
        <w:gridCol w:w="20"/>
      </w:tblGrid>
      <w:tr w:rsidR="00AC12B4">
        <w:trPr>
          <w:trHeight w:val="131"/>
        </w:trPr>
        <w:tc>
          <w:tcPr>
            <w:tcW w:w="200" w:type="dxa"/>
            <w:vAlign w:val="bottom"/>
          </w:tcPr>
          <w:p w:rsidR="00AC12B4" w:rsidRPr="00C27636" w:rsidRDefault="00AC12B4">
            <w:pPr>
              <w:rPr>
                <w:sz w:val="11"/>
                <w:szCs w:val="11"/>
                <w:lang w:val="fr-BE"/>
              </w:rPr>
            </w:pPr>
          </w:p>
        </w:tc>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60</w:t>
            </w:r>
          </w:p>
        </w:tc>
        <w:tc>
          <w:tcPr>
            <w:tcW w:w="8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8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7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3"/>
        </w:trPr>
        <w:tc>
          <w:tcPr>
            <w:tcW w:w="20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51"/>
        </w:trPr>
        <w:tc>
          <w:tcPr>
            <w:tcW w:w="200" w:type="dxa"/>
            <w:vAlign w:val="bottom"/>
          </w:tcPr>
          <w:p w:rsidR="00AC12B4" w:rsidRDefault="00AC12B4">
            <w:pPr>
              <w:rPr>
                <w:sz w:val="13"/>
                <w:szCs w:val="13"/>
              </w:rPr>
            </w:pPr>
          </w:p>
        </w:tc>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50</w:t>
            </w:r>
          </w:p>
        </w:tc>
        <w:tc>
          <w:tcPr>
            <w:tcW w:w="80" w:type="dxa"/>
            <w:tcBorders>
              <w:bottom w:val="single" w:sz="8" w:space="0" w:color="868686"/>
              <w:right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8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7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92"/>
        </w:trPr>
        <w:tc>
          <w:tcPr>
            <w:tcW w:w="20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49"/>
        </w:trPr>
        <w:tc>
          <w:tcPr>
            <w:tcW w:w="200" w:type="dxa"/>
            <w:vMerge w:val="restart"/>
            <w:textDirection w:val="btLr"/>
            <w:vAlign w:val="bottom"/>
          </w:tcPr>
          <w:p w:rsidR="00AC12B4" w:rsidRDefault="00C27636">
            <w:pPr>
              <w:rPr>
                <w:sz w:val="20"/>
                <w:szCs w:val="20"/>
              </w:rPr>
            </w:pPr>
            <w:r>
              <w:rPr>
                <w:rFonts w:ascii="Calibri" w:eastAsia="Calibri" w:hAnsi="Calibri" w:cs="Calibri"/>
                <w:b/>
                <w:bCs/>
                <w:w w:val="95"/>
                <w:sz w:val="20"/>
                <w:szCs w:val="20"/>
              </w:rPr>
              <w:t>%</w:t>
            </w:r>
          </w:p>
        </w:tc>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40</w:t>
            </w:r>
          </w:p>
        </w:tc>
        <w:tc>
          <w:tcPr>
            <w:tcW w:w="80" w:type="dxa"/>
            <w:tcBorders>
              <w:bottom w:val="single" w:sz="8" w:space="0" w:color="868686"/>
              <w:right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8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76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95"/>
        </w:trPr>
        <w:tc>
          <w:tcPr>
            <w:tcW w:w="200" w:type="dxa"/>
            <w:vMerge/>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49"/>
        </w:trPr>
        <w:tc>
          <w:tcPr>
            <w:tcW w:w="200" w:type="dxa"/>
            <w:vMerge/>
            <w:vAlign w:val="bottom"/>
          </w:tcPr>
          <w:p w:rsidR="00AC12B4" w:rsidRDefault="00AC12B4">
            <w:pPr>
              <w:rPr>
                <w:sz w:val="12"/>
                <w:szCs w:val="12"/>
              </w:rPr>
            </w:pPr>
          </w:p>
        </w:tc>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30</w:t>
            </w:r>
          </w:p>
        </w:tc>
        <w:tc>
          <w:tcPr>
            <w:tcW w:w="80" w:type="dxa"/>
            <w:tcBorders>
              <w:bottom w:val="single" w:sz="8" w:space="0" w:color="868686"/>
              <w:right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8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960" w:type="dxa"/>
            <w:tcBorders>
              <w:bottom w:val="single" w:sz="8" w:space="0" w:color="868686"/>
            </w:tcBorders>
            <w:vAlign w:val="bottom"/>
          </w:tcPr>
          <w:p w:rsidR="00AC12B4" w:rsidRDefault="00AC12B4">
            <w:pPr>
              <w:rPr>
                <w:sz w:val="12"/>
                <w:szCs w:val="12"/>
              </w:rPr>
            </w:pPr>
          </w:p>
        </w:tc>
        <w:tc>
          <w:tcPr>
            <w:tcW w:w="20" w:type="dxa"/>
            <w:tcBorders>
              <w:bottom w:val="single" w:sz="8" w:space="0" w:color="868686"/>
            </w:tcBorders>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76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94"/>
        </w:trPr>
        <w:tc>
          <w:tcPr>
            <w:tcW w:w="200" w:type="dxa"/>
            <w:vMerge/>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50"/>
        </w:trPr>
        <w:tc>
          <w:tcPr>
            <w:tcW w:w="200" w:type="dxa"/>
            <w:vAlign w:val="bottom"/>
          </w:tcPr>
          <w:p w:rsidR="00AC12B4" w:rsidRDefault="00AC12B4">
            <w:pPr>
              <w:rPr>
                <w:sz w:val="13"/>
                <w:szCs w:val="13"/>
              </w:rPr>
            </w:pPr>
          </w:p>
        </w:tc>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20</w:t>
            </w:r>
          </w:p>
        </w:tc>
        <w:tc>
          <w:tcPr>
            <w:tcW w:w="80" w:type="dxa"/>
            <w:tcBorders>
              <w:bottom w:val="single" w:sz="8" w:space="0" w:color="868686"/>
              <w:right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8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96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760" w:type="dxa"/>
            <w:vMerge w:val="restart"/>
            <w:vAlign w:val="bottom"/>
          </w:tcPr>
          <w:p w:rsidR="00AC12B4" w:rsidRDefault="00C27636">
            <w:pPr>
              <w:ind w:left="40"/>
              <w:rPr>
                <w:sz w:val="20"/>
                <w:szCs w:val="20"/>
              </w:rPr>
            </w:pPr>
            <w:r>
              <w:rPr>
                <w:rFonts w:ascii="Calibri" w:eastAsia="Calibri" w:hAnsi="Calibri" w:cs="Calibri"/>
                <w:w w:val="99"/>
                <w:sz w:val="20"/>
                <w:szCs w:val="20"/>
              </w:rPr>
              <w:t>Belgique</w:t>
            </w:r>
          </w:p>
        </w:tc>
        <w:tc>
          <w:tcPr>
            <w:tcW w:w="0" w:type="dxa"/>
            <w:vAlign w:val="bottom"/>
          </w:tcPr>
          <w:p w:rsidR="00AC12B4" w:rsidRDefault="00AC12B4">
            <w:pPr>
              <w:rPr>
                <w:sz w:val="1"/>
                <w:szCs w:val="1"/>
              </w:rPr>
            </w:pPr>
          </w:p>
        </w:tc>
      </w:tr>
      <w:tr w:rsidR="00AC12B4">
        <w:trPr>
          <w:trHeight w:val="94"/>
        </w:trPr>
        <w:tc>
          <w:tcPr>
            <w:tcW w:w="20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76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3"/>
        </w:trPr>
        <w:tc>
          <w:tcPr>
            <w:tcW w:w="200" w:type="dxa"/>
            <w:vAlign w:val="bottom"/>
          </w:tcPr>
          <w:p w:rsidR="00AC12B4" w:rsidRDefault="00AC12B4">
            <w:pPr>
              <w:spacing w:line="20" w:lineRule="exact"/>
              <w:rPr>
                <w:sz w:val="1"/>
                <w:szCs w:val="1"/>
              </w:rPr>
            </w:pPr>
          </w:p>
        </w:tc>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10</w:t>
            </w:r>
          </w:p>
        </w:tc>
        <w:tc>
          <w:tcPr>
            <w:tcW w:w="80" w:type="dxa"/>
            <w:tcBorders>
              <w:right w:val="single" w:sz="8" w:space="0" w:color="868686"/>
            </w:tcBorders>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8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300" w:type="dxa"/>
            <w:vAlign w:val="bottom"/>
          </w:tcPr>
          <w:p w:rsidR="00AC12B4" w:rsidRDefault="00AC12B4">
            <w:pPr>
              <w:spacing w:line="20" w:lineRule="exact"/>
              <w:rPr>
                <w:sz w:val="1"/>
                <w:szCs w:val="1"/>
              </w:rPr>
            </w:pPr>
          </w:p>
        </w:tc>
        <w:tc>
          <w:tcPr>
            <w:tcW w:w="120" w:type="dxa"/>
            <w:vAlign w:val="bottom"/>
          </w:tcPr>
          <w:p w:rsidR="00AC12B4" w:rsidRDefault="00AC12B4">
            <w:pPr>
              <w:spacing w:line="20" w:lineRule="exact"/>
              <w:rPr>
                <w:sz w:val="1"/>
                <w:szCs w:val="1"/>
              </w:rPr>
            </w:pPr>
          </w:p>
        </w:tc>
        <w:tc>
          <w:tcPr>
            <w:tcW w:w="760" w:type="dxa"/>
            <w:vMerge/>
            <w:vAlign w:val="bottom"/>
          </w:tcPr>
          <w:p w:rsidR="00AC12B4" w:rsidRDefault="00AC12B4">
            <w:pPr>
              <w:spacing w:line="20" w:lineRule="exact"/>
              <w:rPr>
                <w:sz w:val="1"/>
                <w:szCs w:val="1"/>
              </w:rPr>
            </w:pPr>
          </w:p>
        </w:tc>
        <w:tc>
          <w:tcPr>
            <w:tcW w:w="0" w:type="dxa"/>
            <w:vAlign w:val="bottom"/>
          </w:tcPr>
          <w:p w:rsidR="00AC12B4" w:rsidRDefault="00AC12B4">
            <w:pPr>
              <w:spacing w:line="20" w:lineRule="exact"/>
              <w:rPr>
                <w:sz w:val="1"/>
                <w:szCs w:val="1"/>
              </w:rPr>
            </w:pPr>
          </w:p>
        </w:tc>
      </w:tr>
      <w:tr w:rsidR="00AC12B4">
        <w:trPr>
          <w:trHeight w:val="127"/>
        </w:trPr>
        <w:tc>
          <w:tcPr>
            <w:tcW w:w="200" w:type="dxa"/>
            <w:vAlign w:val="bottom"/>
          </w:tcPr>
          <w:p w:rsidR="00AC12B4" w:rsidRDefault="00AC12B4">
            <w:pPr>
              <w:rPr>
                <w:sz w:val="11"/>
                <w:szCs w:val="11"/>
              </w:rPr>
            </w:pPr>
          </w:p>
        </w:tc>
        <w:tc>
          <w:tcPr>
            <w:tcW w:w="380" w:type="dxa"/>
            <w:vMerge/>
            <w:vAlign w:val="bottom"/>
          </w:tcPr>
          <w:p w:rsidR="00AC12B4" w:rsidRDefault="00AC12B4">
            <w:pPr>
              <w:rPr>
                <w:sz w:val="11"/>
                <w:szCs w:val="11"/>
              </w:rPr>
            </w:pPr>
          </w:p>
        </w:tc>
        <w:tc>
          <w:tcPr>
            <w:tcW w:w="80" w:type="dxa"/>
            <w:tcBorders>
              <w:bottom w:val="single" w:sz="8" w:space="0" w:color="868686"/>
              <w:right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8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20" w:type="dxa"/>
            <w:shd w:val="clear" w:color="auto" w:fill="4198AF"/>
            <w:vAlign w:val="bottom"/>
          </w:tcPr>
          <w:p w:rsidR="00AC12B4" w:rsidRDefault="00AC12B4">
            <w:pPr>
              <w:rPr>
                <w:sz w:val="11"/>
                <w:szCs w:val="11"/>
              </w:rPr>
            </w:pPr>
          </w:p>
        </w:tc>
        <w:tc>
          <w:tcPr>
            <w:tcW w:w="760" w:type="dxa"/>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4"/>
        </w:trPr>
        <w:tc>
          <w:tcPr>
            <w:tcW w:w="20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19"/>
        </w:trPr>
        <w:tc>
          <w:tcPr>
            <w:tcW w:w="200" w:type="dxa"/>
            <w:vAlign w:val="bottom"/>
          </w:tcPr>
          <w:p w:rsidR="00AC12B4" w:rsidRDefault="00AC12B4">
            <w:pPr>
              <w:rPr>
                <w:sz w:val="10"/>
                <w:szCs w:val="10"/>
              </w:rPr>
            </w:pPr>
          </w:p>
        </w:tc>
        <w:tc>
          <w:tcPr>
            <w:tcW w:w="380" w:type="dxa"/>
            <w:vMerge w:val="restart"/>
            <w:vAlign w:val="bottom"/>
          </w:tcPr>
          <w:p w:rsidR="00AC12B4" w:rsidRDefault="00C27636">
            <w:pPr>
              <w:ind w:right="20"/>
              <w:jc w:val="right"/>
              <w:rPr>
                <w:sz w:val="20"/>
                <w:szCs w:val="20"/>
              </w:rPr>
            </w:pPr>
            <w:r>
              <w:rPr>
                <w:rFonts w:ascii="Calibri" w:eastAsia="Calibri" w:hAnsi="Calibri" w:cs="Calibri"/>
                <w:sz w:val="20"/>
                <w:szCs w:val="20"/>
              </w:rPr>
              <w:t>0</w:t>
            </w:r>
          </w:p>
        </w:tc>
        <w:tc>
          <w:tcPr>
            <w:tcW w:w="80" w:type="dxa"/>
            <w:tcBorders>
              <w:right w:val="single" w:sz="8" w:space="0" w:color="868686"/>
            </w:tcBorders>
            <w:vAlign w:val="bottom"/>
          </w:tcPr>
          <w:p w:rsidR="00AC12B4" w:rsidRDefault="00AC12B4">
            <w:pPr>
              <w:rPr>
                <w:sz w:val="10"/>
                <w:szCs w:val="10"/>
              </w:rPr>
            </w:pPr>
          </w:p>
        </w:tc>
        <w:tc>
          <w:tcPr>
            <w:tcW w:w="9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9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9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9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9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9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9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760" w:type="dxa"/>
            <w:vMerge w:val="restart"/>
            <w:vAlign w:val="bottom"/>
          </w:tcPr>
          <w:p w:rsidR="00AC12B4" w:rsidRDefault="00C27636">
            <w:pPr>
              <w:ind w:left="40"/>
              <w:rPr>
                <w:sz w:val="20"/>
                <w:szCs w:val="20"/>
              </w:rPr>
            </w:pPr>
            <w:r>
              <w:rPr>
                <w:rFonts w:ascii="Calibri" w:eastAsia="Calibri" w:hAnsi="Calibri" w:cs="Calibri"/>
                <w:sz w:val="20"/>
                <w:szCs w:val="20"/>
              </w:rPr>
              <w:t>OCDE</w:t>
            </w:r>
          </w:p>
        </w:tc>
        <w:tc>
          <w:tcPr>
            <w:tcW w:w="0" w:type="dxa"/>
            <w:vAlign w:val="bottom"/>
          </w:tcPr>
          <w:p w:rsidR="00AC12B4" w:rsidRDefault="00AC12B4">
            <w:pPr>
              <w:rPr>
                <w:sz w:val="1"/>
                <w:szCs w:val="1"/>
              </w:rPr>
            </w:pPr>
          </w:p>
        </w:tc>
      </w:tr>
      <w:tr w:rsidR="00AC12B4">
        <w:trPr>
          <w:trHeight w:val="81"/>
        </w:trPr>
        <w:tc>
          <w:tcPr>
            <w:tcW w:w="200" w:type="dxa"/>
            <w:vAlign w:val="bottom"/>
          </w:tcPr>
          <w:p w:rsidR="00AC12B4" w:rsidRDefault="00AC12B4">
            <w:pPr>
              <w:rPr>
                <w:sz w:val="7"/>
                <w:szCs w:val="7"/>
              </w:rPr>
            </w:pPr>
          </w:p>
        </w:tc>
        <w:tc>
          <w:tcPr>
            <w:tcW w:w="380" w:type="dxa"/>
            <w:vMerge/>
            <w:vAlign w:val="bottom"/>
          </w:tcPr>
          <w:p w:rsidR="00AC12B4" w:rsidRDefault="00AC12B4">
            <w:pPr>
              <w:rPr>
                <w:sz w:val="7"/>
                <w:szCs w:val="7"/>
              </w:rPr>
            </w:pPr>
          </w:p>
        </w:tc>
        <w:tc>
          <w:tcPr>
            <w:tcW w:w="80" w:type="dxa"/>
            <w:tcBorders>
              <w:bottom w:val="single" w:sz="8" w:space="0" w:color="868686"/>
              <w:right w:val="single" w:sz="8" w:space="0" w:color="868686"/>
            </w:tcBorders>
            <w:vAlign w:val="bottom"/>
          </w:tcPr>
          <w:p w:rsidR="00AC12B4" w:rsidRDefault="00AC12B4">
            <w:pPr>
              <w:rPr>
                <w:sz w:val="7"/>
                <w:szCs w:val="7"/>
              </w:rPr>
            </w:pPr>
          </w:p>
        </w:tc>
        <w:tc>
          <w:tcPr>
            <w:tcW w:w="9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9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9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98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9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9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9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300" w:type="dxa"/>
            <w:vMerge w:val="restart"/>
            <w:vAlign w:val="bottom"/>
          </w:tcPr>
          <w:p w:rsidR="00AC12B4" w:rsidRDefault="00AC12B4">
            <w:pPr>
              <w:rPr>
                <w:sz w:val="7"/>
                <w:szCs w:val="7"/>
              </w:rPr>
            </w:pPr>
          </w:p>
        </w:tc>
        <w:tc>
          <w:tcPr>
            <w:tcW w:w="120" w:type="dxa"/>
            <w:vMerge w:val="restart"/>
            <w:tcBorders>
              <w:bottom w:val="single" w:sz="8" w:space="0" w:color="91C3D5"/>
            </w:tcBorders>
            <w:shd w:val="clear" w:color="auto" w:fill="91C3D5"/>
            <w:vAlign w:val="bottom"/>
          </w:tcPr>
          <w:p w:rsidR="00AC12B4" w:rsidRDefault="00AC12B4">
            <w:pPr>
              <w:rPr>
                <w:sz w:val="7"/>
                <w:szCs w:val="7"/>
              </w:rPr>
            </w:pPr>
          </w:p>
        </w:tc>
        <w:tc>
          <w:tcPr>
            <w:tcW w:w="76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0"/>
        </w:trPr>
        <w:tc>
          <w:tcPr>
            <w:tcW w:w="200" w:type="dxa"/>
            <w:vAlign w:val="bottom"/>
          </w:tcPr>
          <w:p w:rsidR="00AC12B4" w:rsidRDefault="00AC12B4">
            <w:pPr>
              <w:spacing w:line="20" w:lineRule="exact"/>
              <w:rPr>
                <w:sz w:val="1"/>
                <w:szCs w:val="1"/>
              </w:rPr>
            </w:pPr>
          </w:p>
        </w:tc>
        <w:tc>
          <w:tcPr>
            <w:tcW w:w="380" w:type="dxa"/>
            <w:vMerge/>
            <w:vAlign w:val="bottom"/>
          </w:tcPr>
          <w:p w:rsidR="00AC12B4" w:rsidRDefault="00AC12B4">
            <w:pPr>
              <w:spacing w:line="20" w:lineRule="exact"/>
              <w:rPr>
                <w:sz w:val="1"/>
                <w:szCs w:val="1"/>
              </w:rPr>
            </w:pPr>
          </w:p>
        </w:tc>
        <w:tc>
          <w:tcPr>
            <w:tcW w:w="8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8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960" w:type="dxa"/>
            <w:vAlign w:val="bottom"/>
          </w:tcPr>
          <w:p w:rsidR="00AC12B4" w:rsidRDefault="00AC12B4">
            <w:pPr>
              <w:spacing w:line="20" w:lineRule="exact"/>
              <w:rPr>
                <w:sz w:val="1"/>
                <w:szCs w:val="1"/>
              </w:rPr>
            </w:pPr>
          </w:p>
        </w:tc>
        <w:tc>
          <w:tcPr>
            <w:tcW w:w="20" w:type="dxa"/>
            <w:vAlign w:val="bottom"/>
          </w:tcPr>
          <w:p w:rsidR="00AC12B4" w:rsidRDefault="00AC12B4">
            <w:pPr>
              <w:spacing w:line="20" w:lineRule="exact"/>
              <w:rPr>
                <w:sz w:val="1"/>
                <w:szCs w:val="1"/>
              </w:rPr>
            </w:pPr>
          </w:p>
        </w:tc>
        <w:tc>
          <w:tcPr>
            <w:tcW w:w="300" w:type="dxa"/>
            <w:vMerge/>
            <w:vAlign w:val="bottom"/>
          </w:tcPr>
          <w:p w:rsidR="00AC12B4" w:rsidRDefault="00AC12B4">
            <w:pPr>
              <w:spacing w:line="20" w:lineRule="exact"/>
              <w:rPr>
                <w:sz w:val="1"/>
                <w:szCs w:val="1"/>
              </w:rPr>
            </w:pPr>
          </w:p>
        </w:tc>
        <w:tc>
          <w:tcPr>
            <w:tcW w:w="120" w:type="dxa"/>
            <w:vMerge/>
            <w:shd w:val="clear" w:color="auto" w:fill="91C3D5"/>
            <w:vAlign w:val="bottom"/>
          </w:tcPr>
          <w:p w:rsidR="00AC12B4" w:rsidRDefault="00AC12B4">
            <w:pPr>
              <w:spacing w:line="20" w:lineRule="exact"/>
              <w:rPr>
                <w:sz w:val="1"/>
                <w:szCs w:val="1"/>
              </w:rPr>
            </w:pPr>
          </w:p>
        </w:tc>
        <w:tc>
          <w:tcPr>
            <w:tcW w:w="760" w:type="dxa"/>
            <w:vMerge/>
            <w:vAlign w:val="bottom"/>
          </w:tcPr>
          <w:p w:rsidR="00AC12B4" w:rsidRDefault="00AC12B4">
            <w:pPr>
              <w:spacing w:line="20" w:lineRule="exact"/>
              <w:rPr>
                <w:sz w:val="1"/>
                <w:szCs w:val="1"/>
              </w:rPr>
            </w:pPr>
          </w:p>
        </w:tc>
        <w:tc>
          <w:tcPr>
            <w:tcW w:w="0" w:type="dxa"/>
            <w:vAlign w:val="bottom"/>
          </w:tcPr>
          <w:p w:rsidR="00AC12B4" w:rsidRDefault="00AC12B4">
            <w:pPr>
              <w:spacing w:line="20" w:lineRule="exact"/>
              <w:rPr>
                <w:sz w:val="1"/>
                <w:szCs w:val="1"/>
              </w:rPr>
            </w:pPr>
          </w:p>
        </w:tc>
      </w:tr>
      <w:tr w:rsidR="00AC12B4">
        <w:trPr>
          <w:trHeight w:val="41"/>
        </w:trPr>
        <w:tc>
          <w:tcPr>
            <w:tcW w:w="200" w:type="dxa"/>
            <w:vAlign w:val="bottom"/>
          </w:tcPr>
          <w:p w:rsidR="00AC12B4" w:rsidRDefault="00AC12B4">
            <w:pPr>
              <w:rPr>
                <w:sz w:val="3"/>
                <w:szCs w:val="3"/>
              </w:rPr>
            </w:pPr>
          </w:p>
        </w:tc>
        <w:tc>
          <w:tcPr>
            <w:tcW w:w="380" w:type="dxa"/>
            <w:vMerge/>
            <w:vAlign w:val="bottom"/>
          </w:tcPr>
          <w:p w:rsidR="00AC12B4" w:rsidRDefault="00AC12B4">
            <w:pPr>
              <w:rPr>
                <w:sz w:val="3"/>
                <w:szCs w:val="3"/>
              </w:rPr>
            </w:pPr>
          </w:p>
        </w:tc>
        <w:tc>
          <w:tcPr>
            <w:tcW w:w="80" w:type="dxa"/>
            <w:vAlign w:val="bottom"/>
          </w:tcPr>
          <w:p w:rsidR="00AC12B4" w:rsidRDefault="00AC12B4">
            <w:pPr>
              <w:rPr>
                <w:sz w:val="3"/>
                <w:szCs w:val="3"/>
              </w:rPr>
            </w:pPr>
          </w:p>
        </w:tc>
        <w:tc>
          <w:tcPr>
            <w:tcW w:w="9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300" w:type="dxa"/>
            <w:vAlign w:val="bottom"/>
          </w:tcPr>
          <w:p w:rsidR="00AC12B4" w:rsidRDefault="00AC12B4">
            <w:pPr>
              <w:rPr>
                <w:sz w:val="3"/>
                <w:szCs w:val="3"/>
              </w:rPr>
            </w:pPr>
          </w:p>
        </w:tc>
        <w:tc>
          <w:tcPr>
            <w:tcW w:w="120" w:type="dxa"/>
            <w:vAlign w:val="bottom"/>
          </w:tcPr>
          <w:p w:rsidR="00AC12B4" w:rsidRDefault="00AC12B4">
            <w:pPr>
              <w:rPr>
                <w:sz w:val="3"/>
                <w:szCs w:val="3"/>
              </w:rPr>
            </w:pPr>
          </w:p>
        </w:tc>
        <w:tc>
          <w:tcPr>
            <w:tcW w:w="760" w:type="dxa"/>
            <w:vMerge/>
            <w:vAlign w:val="bottom"/>
          </w:tcPr>
          <w:p w:rsidR="00AC12B4" w:rsidRDefault="00AC12B4">
            <w:pPr>
              <w:rPr>
                <w:sz w:val="3"/>
                <w:szCs w:val="3"/>
              </w:rPr>
            </w:pPr>
          </w:p>
        </w:tc>
        <w:tc>
          <w:tcPr>
            <w:tcW w:w="0" w:type="dxa"/>
            <w:vAlign w:val="bottom"/>
          </w:tcPr>
          <w:p w:rsidR="00AC12B4" w:rsidRDefault="00AC12B4">
            <w:pPr>
              <w:rPr>
                <w:sz w:val="1"/>
                <w:szCs w:val="1"/>
              </w:rPr>
            </w:pPr>
          </w:p>
        </w:tc>
      </w:tr>
    </w:tbl>
    <w:p w:rsidR="00AC12B4" w:rsidRDefault="00AC12B4">
      <w:pPr>
        <w:spacing w:line="1" w:lineRule="exact"/>
        <w:rPr>
          <w:sz w:val="20"/>
          <w:szCs w:val="20"/>
        </w:rPr>
      </w:pPr>
    </w:p>
    <w:tbl>
      <w:tblPr>
        <w:tblW w:w="0" w:type="auto"/>
        <w:tblInd w:w="720" w:type="dxa"/>
        <w:tblLayout w:type="fixed"/>
        <w:tblCellMar>
          <w:left w:w="0" w:type="dxa"/>
          <w:right w:w="0" w:type="dxa"/>
        </w:tblCellMar>
        <w:tblLook w:val="04A0" w:firstRow="1" w:lastRow="0" w:firstColumn="1" w:lastColumn="0" w:noHBand="0" w:noVBand="1"/>
      </w:tblPr>
      <w:tblGrid>
        <w:gridCol w:w="900"/>
        <w:gridCol w:w="1160"/>
        <w:gridCol w:w="840"/>
        <w:gridCol w:w="960"/>
        <w:gridCol w:w="960"/>
        <w:gridCol w:w="980"/>
        <w:gridCol w:w="1000"/>
      </w:tblGrid>
      <w:tr w:rsidR="00AC12B4">
        <w:trPr>
          <w:trHeight w:val="242"/>
        </w:trPr>
        <w:tc>
          <w:tcPr>
            <w:tcW w:w="900" w:type="dxa"/>
            <w:vAlign w:val="bottom"/>
          </w:tcPr>
          <w:p w:rsidR="00AC12B4" w:rsidRDefault="00C27636">
            <w:pPr>
              <w:spacing w:line="243" w:lineRule="exact"/>
              <w:jc w:val="center"/>
              <w:rPr>
                <w:sz w:val="20"/>
                <w:szCs w:val="20"/>
              </w:rPr>
            </w:pPr>
            <w:r>
              <w:rPr>
                <w:rFonts w:ascii="Calibri" w:eastAsia="Calibri" w:hAnsi="Calibri" w:cs="Calibri"/>
                <w:w w:val="97"/>
                <w:sz w:val="20"/>
                <w:szCs w:val="20"/>
              </w:rPr>
              <w:t>Un bureau</w:t>
            </w:r>
          </w:p>
        </w:tc>
        <w:tc>
          <w:tcPr>
            <w:tcW w:w="1160" w:type="dxa"/>
            <w:vAlign w:val="bottom"/>
          </w:tcPr>
          <w:p w:rsidR="00AC12B4" w:rsidRDefault="00C27636">
            <w:pPr>
              <w:spacing w:line="243" w:lineRule="exact"/>
              <w:ind w:left="60"/>
              <w:rPr>
                <w:sz w:val="20"/>
                <w:szCs w:val="20"/>
              </w:rPr>
            </w:pPr>
            <w:r>
              <w:rPr>
                <w:rFonts w:ascii="Calibri" w:eastAsia="Calibri" w:hAnsi="Calibri" w:cs="Calibri"/>
                <w:sz w:val="20"/>
                <w:szCs w:val="20"/>
              </w:rPr>
              <w:t>Un endroit</w:t>
            </w:r>
          </w:p>
        </w:tc>
        <w:tc>
          <w:tcPr>
            <w:tcW w:w="840" w:type="dxa"/>
            <w:vAlign w:val="bottom"/>
          </w:tcPr>
          <w:p w:rsidR="00AC12B4" w:rsidRDefault="00C27636">
            <w:pPr>
              <w:spacing w:line="243" w:lineRule="exact"/>
              <w:ind w:left="200"/>
              <w:rPr>
                <w:sz w:val="20"/>
                <w:szCs w:val="20"/>
              </w:rPr>
            </w:pPr>
            <w:r>
              <w:rPr>
                <w:rFonts w:ascii="Calibri" w:eastAsia="Calibri" w:hAnsi="Calibri" w:cs="Calibri"/>
                <w:sz w:val="20"/>
                <w:szCs w:val="20"/>
              </w:rPr>
              <w:t>Un</w:t>
            </w:r>
          </w:p>
        </w:tc>
        <w:tc>
          <w:tcPr>
            <w:tcW w:w="960" w:type="dxa"/>
            <w:vAlign w:val="bottom"/>
          </w:tcPr>
          <w:p w:rsidR="00AC12B4" w:rsidRDefault="00C27636">
            <w:pPr>
              <w:spacing w:line="243" w:lineRule="exact"/>
              <w:jc w:val="center"/>
              <w:rPr>
                <w:sz w:val="20"/>
                <w:szCs w:val="20"/>
              </w:rPr>
            </w:pPr>
            <w:r>
              <w:rPr>
                <w:rFonts w:ascii="Calibri" w:eastAsia="Calibri" w:hAnsi="Calibri" w:cs="Calibri"/>
                <w:w w:val="99"/>
                <w:sz w:val="20"/>
                <w:szCs w:val="20"/>
              </w:rPr>
              <w:t>Des</w:t>
            </w:r>
          </w:p>
        </w:tc>
        <w:tc>
          <w:tcPr>
            <w:tcW w:w="960" w:type="dxa"/>
            <w:vAlign w:val="bottom"/>
          </w:tcPr>
          <w:p w:rsidR="00AC12B4" w:rsidRDefault="00C27636">
            <w:pPr>
              <w:spacing w:line="243" w:lineRule="exact"/>
              <w:jc w:val="center"/>
              <w:rPr>
                <w:sz w:val="20"/>
                <w:szCs w:val="20"/>
              </w:rPr>
            </w:pPr>
            <w:r>
              <w:rPr>
                <w:rFonts w:ascii="Calibri" w:eastAsia="Calibri" w:hAnsi="Calibri" w:cs="Calibri"/>
                <w:sz w:val="20"/>
                <w:szCs w:val="20"/>
              </w:rPr>
              <w:t>Des livres</w:t>
            </w:r>
          </w:p>
        </w:tc>
        <w:tc>
          <w:tcPr>
            <w:tcW w:w="980" w:type="dxa"/>
            <w:vAlign w:val="bottom"/>
          </w:tcPr>
          <w:p w:rsidR="00AC12B4" w:rsidRDefault="00C27636">
            <w:pPr>
              <w:spacing w:line="243" w:lineRule="exact"/>
              <w:jc w:val="center"/>
              <w:rPr>
                <w:sz w:val="20"/>
                <w:szCs w:val="20"/>
              </w:rPr>
            </w:pPr>
            <w:r>
              <w:rPr>
                <w:rFonts w:ascii="Calibri" w:eastAsia="Calibri" w:hAnsi="Calibri" w:cs="Calibri"/>
                <w:w w:val="99"/>
                <w:sz w:val="20"/>
                <w:szCs w:val="20"/>
              </w:rPr>
              <w:t>Des</w:t>
            </w:r>
          </w:p>
        </w:tc>
        <w:tc>
          <w:tcPr>
            <w:tcW w:w="1000" w:type="dxa"/>
            <w:vAlign w:val="bottom"/>
          </w:tcPr>
          <w:p w:rsidR="00AC12B4" w:rsidRDefault="00C27636">
            <w:pPr>
              <w:spacing w:line="243" w:lineRule="exact"/>
              <w:jc w:val="center"/>
              <w:rPr>
                <w:sz w:val="20"/>
                <w:szCs w:val="20"/>
              </w:rPr>
            </w:pPr>
            <w:r>
              <w:rPr>
                <w:rFonts w:ascii="Calibri" w:eastAsia="Calibri" w:hAnsi="Calibri" w:cs="Calibri"/>
                <w:sz w:val="20"/>
                <w:szCs w:val="20"/>
              </w:rPr>
              <w:t>Un</w:t>
            </w:r>
          </w:p>
        </w:tc>
      </w:tr>
      <w:tr w:rsidR="00AC12B4">
        <w:trPr>
          <w:trHeight w:val="245"/>
        </w:trPr>
        <w:tc>
          <w:tcPr>
            <w:tcW w:w="900" w:type="dxa"/>
            <w:vAlign w:val="bottom"/>
          </w:tcPr>
          <w:p w:rsidR="00AC12B4" w:rsidRDefault="00C27636">
            <w:pPr>
              <w:jc w:val="center"/>
              <w:rPr>
                <w:sz w:val="20"/>
                <w:szCs w:val="20"/>
              </w:rPr>
            </w:pPr>
            <w:r>
              <w:rPr>
                <w:rFonts w:ascii="Calibri" w:eastAsia="Calibri" w:hAnsi="Calibri" w:cs="Calibri"/>
                <w:w w:val="98"/>
                <w:sz w:val="20"/>
                <w:szCs w:val="20"/>
              </w:rPr>
              <w:t>ou une</w:t>
            </w:r>
          </w:p>
        </w:tc>
        <w:tc>
          <w:tcPr>
            <w:tcW w:w="2000" w:type="dxa"/>
            <w:gridSpan w:val="2"/>
            <w:vAlign w:val="bottom"/>
          </w:tcPr>
          <w:p w:rsidR="00AC12B4" w:rsidRDefault="00C27636">
            <w:pPr>
              <w:ind w:left="40"/>
              <w:rPr>
                <w:sz w:val="20"/>
                <w:szCs w:val="20"/>
              </w:rPr>
            </w:pPr>
            <w:r>
              <w:rPr>
                <w:rFonts w:ascii="Calibri" w:eastAsia="Calibri" w:hAnsi="Calibri" w:cs="Calibri"/>
                <w:sz w:val="20"/>
                <w:szCs w:val="20"/>
              </w:rPr>
              <w:t>calme pour ordinateur</w:t>
            </w:r>
          </w:p>
        </w:tc>
        <w:tc>
          <w:tcPr>
            <w:tcW w:w="960" w:type="dxa"/>
            <w:vAlign w:val="bottom"/>
          </w:tcPr>
          <w:p w:rsidR="00AC12B4" w:rsidRDefault="00C27636">
            <w:pPr>
              <w:jc w:val="center"/>
              <w:rPr>
                <w:sz w:val="20"/>
                <w:szCs w:val="20"/>
              </w:rPr>
            </w:pPr>
            <w:r>
              <w:rPr>
                <w:rFonts w:ascii="Calibri" w:eastAsia="Calibri" w:hAnsi="Calibri" w:cs="Calibri"/>
                <w:sz w:val="20"/>
                <w:szCs w:val="20"/>
              </w:rPr>
              <w:t>logiciels</w:t>
            </w:r>
          </w:p>
        </w:tc>
        <w:tc>
          <w:tcPr>
            <w:tcW w:w="960" w:type="dxa"/>
            <w:vAlign w:val="bottom"/>
          </w:tcPr>
          <w:p w:rsidR="00AC12B4" w:rsidRDefault="00C27636">
            <w:pPr>
              <w:jc w:val="center"/>
              <w:rPr>
                <w:sz w:val="20"/>
                <w:szCs w:val="20"/>
              </w:rPr>
            </w:pPr>
            <w:r>
              <w:rPr>
                <w:rFonts w:ascii="Calibri" w:eastAsia="Calibri" w:hAnsi="Calibri" w:cs="Calibri"/>
                <w:w w:val="99"/>
                <w:sz w:val="20"/>
                <w:szCs w:val="20"/>
              </w:rPr>
              <w:t>utiles à</w:t>
            </w:r>
          </w:p>
        </w:tc>
        <w:tc>
          <w:tcPr>
            <w:tcW w:w="980" w:type="dxa"/>
            <w:vAlign w:val="bottom"/>
          </w:tcPr>
          <w:p w:rsidR="00AC12B4" w:rsidRDefault="00C27636">
            <w:pPr>
              <w:jc w:val="center"/>
              <w:rPr>
                <w:sz w:val="20"/>
                <w:szCs w:val="20"/>
              </w:rPr>
            </w:pPr>
            <w:r>
              <w:rPr>
                <w:rFonts w:ascii="Calibri" w:eastAsia="Calibri" w:hAnsi="Calibri" w:cs="Calibri"/>
                <w:sz w:val="20"/>
                <w:szCs w:val="20"/>
              </w:rPr>
              <w:t>ouvrages</w:t>
            </w:r>
          </w:p>
        </w:tc>
        <w:tc>
          <w:tcPr>
            <w:tcW w:w="1000" w:type="dxa"/>
            <w:vAlign w:val="bottom"/>
          </w:tcPr>
          <w:p w:rsidR="00AC12B4" w:rsidRDefault="00C27636">
            <w:pPr>
              <w:jc w:val="center"/>
              <w:rPr>
                <w:sz w:val="20"/>
                <w:szCs w:val="20"/>
              </w:rPr>
            </w:pPr>
            <w:r>
              <w:rPr>
                <w:rFonts w:ascii="Calibri" w:eastAsia="Calibri" w:hAnsi="Calibri" w:cs="Calibri"/>
                <w:w w:val="98"/>
                <w:sz w:val="20"/>
                <w:szCs w:val="20"/>
              </w:rPr>
              <w:t>dictionnaire</w:t>
            </w:r>
          </w:p>
        </w:tc>
      </w:tr>
      <w:tr w:rsidR="00AC12B4">
        <w:trPr>
          <w:trHeight w:val="242"/>
        </w:trPr>
        <w:tc>
          <w:tcPr>
            <w:tcW w:w="900" w:type="dxa"/>
            <w:vAlign w:val="bottom"/>
          </w:tcPr>
          <w:p w:rsidR="00AC12B4" w:rsidRDefault="00C27636">
            <w:pPr>
              <w:spacing w:line="243" w:lineRule="exact"/>
              <w:jc w:val="center"/>
              <w:rPr>
                <w:sz w:val="20"/>
                <w:szCs w:val="20"/>
              </w:rPr>
            </w:pPr>
            <w:r>
              <w:rPr>
                <w:rFonts w:ascii="Calibri" w:eastAsia="Calibri" w:hAnsi="Calibri" w:cs="Calibri"/>
                <w:w w:val="99"/>
                <w:sz w:val="20"/>
                <w:szCs w:val="20"/>
              </w:rPr>
              <w:t>table pour</w:t>
            </w:r>
          </w:p>
        </w:tc>
        <w:tc>
          <w:tcPr>
            <w:tcW w:w="1160" w:type="dxa"/>
            <w:vAlign w:val="bottom"/>
          </w:tcPr>
          <w:p w:rsidR="00AC12B4" w:rsidRDefault="00C27636">
            <w:pPr>
              <w:spacing w:line="243" w:lineRule="exact"/>
              <w:ind w:left="140"/>
              <w:rPr>
                <w:sz w:val="20"/>
                <w:szCs w:val="20"/>
              </w:rPr>
            </w:pPr>
            <w:r>
              <w:rPr>
                <w:rFonts w:ascii="Calibri" w:eastAsia="Calibri" w:hAnsi="Calibri" w:cs="Calibri"/>
                <w:sz w:val="20"/>
                <w:szCs w:val="20"/>
              </w:rPr>
              <w:t>travailler</w:t>
            </w:r>
          </w:p>
        </w:tc>
        <w:tc>
          <w:tcPr>
            <w:tcW w:w="840" w:type="dxa"/>
            <w:vAlign w:val="bottom"/>
          </w:tcPr>
          <w:p w:rsidR="00AC12B4" w:rsidRDefault="00AC12B4">
            <w:pPr>
              <w:rPr>
                <w:sz w:val="21"/>
                <w:szCs w:val="21"/>
              </w:rPr>
            </w:pPr>
          </w:p>
        </w:tc>
        <w:tc>
          <w:tcPr>
            <w:tcW w:w="960" w:type="dxa"/>
            <w:vAlign w:val="bottom"/>
          </w:tcPr>
          <w:p w:rsidR="00AC12B4" w:rsidRDefault="00C27636">
            <w:pPr>
              <w:spacing w:line="243" w:lineRule="exact"/>
              <w:jc w:val="center"/>
              <w:rPr>
                <w:sz w:val="20"/>
                <w:szCs w:val="20"/>
              </w:rPr>
            </w:pPr>
            <w:r>
              <w:rPr>
                <w:rFonts w:ascii="Calibri" w:eastAsia="Calibri" w:hAnsi="Calibri" w:cs="Calibri"/>
                <w:w w:val="99"/>
                <w:sz w:val="20"/>
                <w:szCs w:val="20"/>
              </w:rPr>
              <w:t>éducatifs</w:t>
            </w:r>
          </w:p>
        </w:tc>
        <w:tc>
          <w:tcPr>
            <w:tcW w:w="960" w:type="dxa"/>
            <w:vAlign w:val="bottom"/>
          </w:tcPr>
          <w:p w:rsidR="00AC12B4" w:rsidRDefault="00C27636">
            <w:pPr>
              <w:spacing w:line="243" w:lineRule="exact"/>
              <w:jc w:val="center"/>
              <w:rPr>
                <w:sz w:val="20"/>
                <w:szCs w:val="20"/>
              </w:rPr>
            </w:pPr>
            <w:r>
              <w:rPr>
                <w:rFonts w:ascii="Calibri" w:eastAsia="Calibri" w:hAnsi="Calibri" w:cs="Calibri"/>
                <w:sz w:val="20"/>
                <w:szCs w:val="20"/>
              </w:rPr>
              <w:t>votre</w:t>
            </w:r>
          </w:p>
        </w:tc>
        <w:tc>
          <w:tcPr>
            <w:tcW w:w="980" w:type="dxa"/>
            <w:vAlign w:val="bottom"/>
          </w:tcPr>
          <w:p w:rsidR="00AC12B4" w:rsidRDefault="00C27636">
            <w:pPr>
              <w:spacing w:line="243" w:lineRule="exact"/>
              <w:jc w:val="center"/>
              <w:rPr>
                <w:sz w:val="20"/>
                <w:szCs w:val="20"/>
              </w:rPr>
            </w:pPr>
            <w:r>
              <w:rPr>
                <w:rFonts w:ascii="Calibri" w:eastAsia="Calibri" w:hAnsi="Calibri" w:cs="Calibri"/>
                <w:sz w:val="20"/>
                <w:szCs w:val="20"/>
              </w:rPr>
              <w:t>techniques</w:t>
            </w:r>
          </w:p>
        </w:tc>
        <w:tc>
          <w:tcPr>
            <w:tcW w:w="1000" w:type="dxa"/>
            <w:vAlign w:val="bottom"/>
          </w:tcPr>
          <w:p w:rsidR="00AC12B4" w:rsidRDefault="00AC12B4">
            <w:pPr>
              <w:rPr>
                <w:sz w:val="21"/>
                <w:szCs w:val="21"/>
              </w:rPr>
            </w:pPr>
          </w:p>
        </w:tc>
      </w:tr>
      <w:tr w:rsidR="00AC12B4">
        <w:trPr>
          <w:trHeight w:val="245"/>
        </w:trPr>
        <w:tc>
          <w:tcPr>
            <w:tcW w:w="900" w:type="dxa"/>
            <w:vAlign w:val="bottom"/>
          </w:tcPr>
          <w:p w:rsidR="00AC12B4" w:rsidRDefault="00C27636">
            <w:pPr>
              <w:jc w:val="center"/>
              <w:rPr>
                <w:sz w:val="20"/>
                <w:szCs w:val="20"/>
              </w:rPr>
            </w:pPr>
            <w:r>
              <w:rPr>
                <w:rFonts w:ascii="Calibri" w:eastAsia="Calibri" w:hAnsi="Calibri" w:cs="Calibri"/>
                <w:w w:val="99"/>
                <w:sz w:val="20"/>
                <w:szCs w:val="20"/>
              </w:rPr>
              <w:t>travailler</w:t>
            </w:r>
          </w:p>
        </w:tc>
        <w:tc>
          <w:tcPr>
            <w:tcW w:w="1160" w:type="dxa"/>
            <w:vAlign w:val="bottom"/>
          </w:tcPr>
          <w:p w:rsidR="00AC12B4" w:rsidRDefault="00AC12B4">
            <w:pPr>
              <w:rPr>
                <w:sz w:val="21"/>
                <w:szCs w:val="21"/>
              </w:rPr>
            </w:pPr>
          </w:p>
        </w:tc>
        <w:tc>
          <w:tcPr>
            <w:tcW w:w="840" w:type="dxa"/>
            <w:vAlign w:val="bottom"/>
          </w:tcPr>
          <w:p w:rsidR="00AC12B4" w:rsidRDefault="00AC12B4">
            <w:pPr>
              <w:rPr>
                <w:sz w:val="21"/>
                <w:szCs w:val="21"/>
              </w:rPr>
            </w:pPr>
          </w:p>
        </w:tc>
        <w:tc>
          <w:tcPr>
            <w:tcW w:w="960" w:type="dxa"/>
            <w:vAlign w:val="bottom"/>
          </w:tcPr>
          <w:p w:rsidR="00AC12B4" w:rsidRDefault="00AC12B4">
            <w:pPr>
              <w:rPr>
                <w:sz w:val="21"/>
                <w:szCs w:val="21"/>
              </w:rPr>
            </w:pPr>
          </w:p>
        </w:tc>
        <w:tc>
          <w:tcPr>
            <w:tcW w:w="960" w:type="dxa"/>
            <w:vAlign w:val="bottom"/>
          </w:tcPr>
          <w:p w:rsidR="00AC12B4" w:rsidRDefault="00C27636">
            <w:pPr>
              <w:jc w:val="center"/>
              <w:rPr>
                <w:sz w:val="20"/>
                <w:szCs w:val="20"/>
              </w:rPr>
            </w:pPr>
            <w:r>
              <w:rPr>
                <w:rFonts w:ascii="Calibri" w:eastAsia="Calibri" w:hAnsi="Calibri" w:cs="Calibri"/>
                <w:w w:val="97"/>
                <w:sz w:val="20"/>
                <w:szCs w:val="20"/>
              </w:rPr>
              <w:t>travail</w:t>
            </w:r>
          </w:p>
        </w:tc>
        <w:tc>
          <w:tcPr>
            <w:tcW w:w="980" w:type="dxa"/>
            <w:vAlign w:val="bottom"/>
          </w:tcPr>
          <w:p w:rsidR="00AC12B4" w:rsidRDefault="00C27636">
            <w:pPr>
              <w:jc w:val="center"/>
              <w:rPr>
                <w:sz w:val="20"/>
                <w:szCs w:val="20"/>
              </w:rPr>
            </w:pPr>
            <w:r>
              <w:rPr>
                <w:rFonts w:ascii="Calibri" w:eastAsia="Calibri" w:hAnsi="Calibri" w:cs="Calibri"/>
                <w:w w:val="97"/>
                <w:sz w:val="20"/>
                <w:szCs w:val="20"/>
              </w:rPr>
              <w:t>de</w:t>
            </w:r>
          </w:p>
        </w:tc>
        <w:tc>
          <w:tcPr>
            <w:tcW w:w="1000" w:type="dxa"/>
            <w:vAlign w:val="bottom"/>
          </w:tcPr>
          <w:p w:rsidR="00AC12B4" w:rsidRDefault="00AC12B4">
            <w:pPr>
              <w:rPr>
                <w:sz w:val="21"/>
                <w:szCs w:val="21"/>
              </w:rPr>
            </w:pPr>
          </w:p>
        </w:tc>
      </w:tr>
      <w:tr w:rsidR="00AC12B4">
        <w:trPr>
          <w:trHeight w:val="245"/>
        </w:trPr>
        <w:tc>
          <w:tcPr>
            <w:tcW w:w="900" w:type="dxa"/>
            <w:vAlign w:val="bottom"/>
          </w:tcPr>
          <w:p w:rsidR="00AC12B4" w:rsidRDefault="00AC12B4">
            <w:pPr>
              <w:rPr>
                <w:sz w:val="21"/>
                <w:szCs w:val="21"/>
              </w:rPr>
            </w:pPr>
          </w:p>
        </w:tc>
        <w:tc>
          <w:tcPr>
            <w:tcW w:w="1160" w:type="dxa"/>
            <w:vAlign w:val="bottom"/>
          </w:tcPr>
          <w:p w:rsidR="00AC12B4" w:rsidRDefault="00AC12B4">
            <w:pPr>
              <w:rPr>
                <w:sz w:val="21"/>
                <w:szCs w:val="21"/>
              </w:rPr>
            </w:pPr>
          </w:p>
        </w:tc>
        <w:tc>
          <w:tcPr>
            <w:tcW w:w="840" w:type="dxa"/>
            <w:vAlign w:val="bottom"/>
          </w:tcPr>
          <w:p w:rsidR="00AC12B4" w:rsidRDefault="00AC12B4">
            <w:pPr>
              <w:rPr>
                <w:sz w:val="21"/>
                <w:szCs w:val="21"/>
              </w:rPr>
            </w:pPr>
          </w:p>
        </w:tc>
        <w:tc>
          <w:tcPr>
            <w:tcW w:w="960" w:type="dxa"/>
            <w:vAlign w:val="bottom"/>
          </w:tcPr>
          <w:p w:rsidR="00AC12B4" w:rsidRDefault="00AC12B4">
            <w:pPr>
              <w:rPr>
                <w:sz w:val="21"/>
                <w:szCs w:val="21"/>
              </w:rPr>
            </w:pPr>
          </w:p>
        </w:tc>
        <w:tc>
          <w:tcPr>
            <w:tcW w:w="960" w:type="dxa"/>
            <w:vAlign w:val="bottom"/>
          </w:tcPr>
          <w:p w:rsidR="00AC12B4" w:rsidRDefault="00C27636">
            <w:pPr>
              <w:jc w:val="center"/>
              <w:rPr>
                <w:sz w:val="20"/>
                <w:szCs w:val="20"/>
              </w:rPr>
            </w:pPr>
            <w:r>
              <w:rPr>
                <w:rFonts w:ascii="Calibri" w:eastAsia="Calibri" w:hAnsi="Calibri" w:cs="Calibri"/>
                <w:w w:val="99"/>
                <w:sz w:val="20"/>
                <w:szCs w:val="20"/>
              </w:rPr>
              <w:t>scolaire</w:t>
            </w:r>
          </w:p>
        </w:tc>
        <w:tc>
          <w:tcPr>
            <w:tcW w:w="980" w:type="dxa"/>
            <w:vAlign w:val="bottom"/>
          </w:tcPr>
          <w:p w:rsidR="00AC12B4" w:rsidRDefault="00C27636">
            <w:pPr>
              <w:jc w:val="center"/>
              <w:rPr>
                <w:sz w:val="20"/>
                <w:szCs w:val="20"/>
              </w:rPr>
            </w:pPr>
            <w:r>
              <w:rPr>
                <w:rFonts w:ascii="Calibri" w:eastAsia="Calibri" w:hAnsi="Calibri" w:cs="Calibri"/>
                <w:w w:val="98"/>
                <w:sz w:val="20"/>
                <w:szCs w:val="20"/>
              </w:rPr>
              <w:t>référence</w:t>
            </w:r>
          </w:p>
        </w:tc>
        <w:tc>
          <w:tcPr>
            <w:tcW w:w="1000" w:type="dxa"/>
            <w:vAlign w:val="bottom"/>
          </w:tcPr>
          <w:p w:rsidR="00AC12B4" w:rsidRDefault="00AC12B4">
            <w:pPr>
              <w:rPr>
                <w:sz w:val="21"/>
                <w:szCs w:val="21"/>
              </w:rPr>
            </w:pPr>
          </w:p>
        </w:tc>
      </w:tr>
    </w:tbl>
    <w:p w:rsidR="00AC12B4" w:rsidRDefault="00AC12B4">
      <w:pPr>
        <w:spacing w:line="131" w:lineRule="exact"/>
        <w:rPr>
          <w:sz w:val="20"/>
          <w:szCs w:val="20"/>
        </w:rPr>
      </w:pPr>
    </w:p>
    <w:p w:rsidR="00AC12B4" w:rsidRDefault="00C27636">
      <w:pPr>
        <w:ind w:left="300"/>
        <w:rPr>
          <w:sz w:val="20"/>
          <w:szCs w:val="20"/>
        </w:rPr>
      </w:pPr>
      <w:r>
        <w:rPr>
          <w:rFonts w:ascii="Calibri" w:eastAsia="Calibri" w:hAnsi="Calibri" w:cs="Calibri"/>
          <w:b/>
          <w:bCs/>
          <w:color w:val="4F81BD"/>
          <w:sz w:val="18"/>
          <w:szCs w:val="18"/>
        </w:rPr>
        <w:t>Figure 1. PISA 2012</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83" w:lineRule="exact"/>
        <w:rPr>
          <w:sz w:val="20"/>
          <w:szCs w:val="20"/>
        </w:rPr>
      </w:pPr>
    </w:p>
    <w:p w:rsidR="00AC12B4" w:rsidRDefault="00C27636">
      <w:pPr>
        <w:ind w:right="1620"/>
        <w:jc w:val="center"/>
        <w:rPr>
          <w:sz w:val="20"/>
          <w:szCs w:val="20"/>
        </w:rPr>
      </w:pPr>
      <w:r>
        <w:rPr>
          <w:rFonts w:ascii="Calibri" w:eastAsia="Calibri" w:hAnsi="Calibri" w:cs="Calibri"/>
        </w:rPr>
        <w:t>110</w:t>
      </w:r>
    </w:p>
    <w:p w:rsidR="00AC12B4" w:rsidRDefault="00AC12B4">
      <w:pPr>
        <w:sectPr w:rsidR="00AC12B4">
          <w:type w:val="continuous"/>
          <w:pgSz w:w="12080" w:h="17179"/>
          <w:pgMar w:top="1440" w:right="1237" w:bottom="659" w:left="497" w:header="0" w:footer="0" w:gutter="0"/>
          <w:cols w:num="2" w:space="720" w:equalWidth="0">
            <w:col w:w="903" w:space="720"/>
            <w:col w:w="8720"/>
          </w:cols>
        </w:sectPr>
      </w:pPr>
    </w:p>
    <w:p w:rsidR="00AC12B4" w:rsidRDefault="00AC12B4">
      <w:pPr>
        <w:spacing w:line="170" w:lineRule="exact"/>
        <w:rPr>
          <w:sz w:val="20"/>
          <w:szCs w:val="20"/>
        </w:rPr>
      </w:pPr>
      <w:bookmarkStart w:id="110" w:name="page111"/>
      <w:bookmarkEnd w:id="110"/>
    </w:p>
    <w:p w:rsidR="00AC12B4" w:rsidRDefault="00C27636">
      <w:pPr>
        <w:numPr>
          <w:ilvl w:val="0"/>
          <w:numId w:val="188"/>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281" w:lineRule="exact"/>
        <w:rPr>
          <w:sz w:val="20"/>
          <w:szCs w:val="20"/>
        </w:rPr>
      </w:pPr>
    </w:p>
    <w:p w:rsidR="00AC12B4" w:rsidRPr="00C27636" w:rsidRDefault="00C27636">
      <w:pPr>
        <w:spacing w:line="261" w:lineRule="auto"/>
        <w:ind w:left="560" w:right="59"/>
        <w:jc w:val="both"/>
        <w:rPr>
          <w:sz w:val="20"/>
          <w:szCs w:val="20"/>
          <w:lang w:val="fr-BE"/>
        </w:rPr>
      </w:pPr>
      <w:r w:rsidRPr="00C27636">
        <w:rPr>
          <w:rFonts w:ascii="Calibri" w:eastAsia="Calibri" w:hAnsi="Calibri" w:cs="Calibri"/>
          <w:lang w:val="fr-BE"/>
        </w:rPr>
        <w:t xml:space="preserve">Les enquêtes PISA devraient être élargies aux dispositifs d'accueil et de scolarisation des élèves primo-arrivants </w:t>
      </w:r>
      <w:r w:rsidRPr="00C27636">
        <w:rPr>
          <w:rFonts w:ascii="Calibri" w:eastAsia="Calibri" w:hAnsi="Calibri" w:cs="Calibri"/>
          <w:lang w:val="fr-BE"/>
        </w:rPr>
        <w:t>(DASPA) et à l’enseignement spécialisé, sauf en cas de</w:t>
      </w:r>
    </w:p>
    <w:p w:rsidR="00AC12B4" w:rsidRPr="00C27636" w:rsidRDefault="00AC12B4">
      <w:pPr>
        <w:spacing w:line="65" w:lineRule="exact"/>
        <w:rPr>
          <w:sz w:val="20"/>
          <w:szCs w:val="20"/>
          <w:lang w:val="fr-BE"/>
        </w:rPr>
      </w:pPr>
    </w:p>
    <w:p w:rsidR="00AC12B4" w:rsidRPr="00C27636" w:rsidRDefault="00C27636">
      <w:pPr>
        <w:spacing w:line="236" w:lineRule="auto"/>
        <w:ind w:left="560" w:right="59"/>
        <w:jc w:val="both"/>
        <w:rPr>
          <w:sz w:val="20"/>
          <w:szCs w:val="20"/>
          <w:lang w:val="fr-BE"/>
        </w:rPr>
      </w:pPr>
      <w:r w:rsidRPr="00C27636">
        <w:rPr>
          <w:rFonts w:ascii="Calibri" w:eastAsia="Calibri" w:hAnsi="Calibri" w:cs="Calibri"/>
          <w:lang w:val="fr-BE"/>
        </w:rPr>
        <w:t>contre-indication inspirée par l’intérêt supérieur de l’enfant, via des</w:t>
      </w:r>
    </w:p>
    <w:p w:rsidR="00AC12B4" w:rsidRPr="00C27636" w:rsidRDefault="00AC12B4">
      <w:pPr>
        <w:spacing w:line="17"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questionnaires adaptés</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174" w:lineRule="exact"/>
        <w:rPr>
          <w:sz w:val="20"/>
          <w:szCs w:val="20"/>
          <w:lang w:val="fr-BE"/>
        </w:rPr>
      </w:pPr>
    </w:p>
    <w:p w:rsidR="00AC12B4" w:rsidRPr="00C27636" w:rsidRDefault="00C27636">
      <w:pPr>
        <w:spacing w:line="228" w:lineRule="auto"/>
        <w:ind w:left="560" w:right="59"/>
        <w:jc w:val="both"/>
        <w:rPr>
          <w:sz w:val="20"/>
          <w:szCs w:val="20"/>
          <w:lang w:val="fr-BE"/>
        </w:rPr>
      </w:pPr>
      <w:r w:rsidRPr="00C27636">
        <w:rPr>
          <w:rFonts w:ascii="Calibri" w:eastAsia="Calibri" w:hAnsi="Calibri" w:cs="Calibri"/>
          <w:lang w:val="fr-BE"/>
        </w:rPr>
        <w:t xml:space="preserve">Une enquête spécifique doit être menée auprès des autres groupes pertinents non-atteints (cf section </w:t>
      </w:r>
      <w:r w:rsidRPr="00C27636">
        <w:rPr>
          <w:rFonts w:ascii="Calibri" w:eastAsia="Calibri" w:hAnsi="Calibri" w:cs="Calibri"/>
          <w:lang w:val="fr-BE"/>
        </w:rPr>
        <w:t>‘Atteindre les plus vulnérables’).</w:t>
      </w:r>
    </w:p>
    <w:p w:rsidR="00AC12B4" w:rsidRPr="00C27636" w:rsidRDefault="00AC12B4">
      <w:pPr>
        <w:spacing w:line="173" w:lineRule="exact"/>
        <w:rPr>
          <w:sz w:val="20"/>
          <w:szCs w:val="20"/>
          <w:lang w:val="fr-BE"/>
        </w:rPr>
      </w:pPr>
    </w:p>
    <w:p w:rsidR="00AC12B4" w:rsidRPr="00C27636" w:rsidRDefault="00C27636">
      <w:pPr>
        <w:spacing w:line="218" w:lineRule="auto"/>
        <w:ind w:left="560" w:right="59"/>
        <w:jc w:val="both"/>
        <w:rPr>
          <w:sz w:val="20"/>
          <w:szCs w:val="20"/>
          <w:lang w:val="fr-BE"/>
        </w:rPr>
      </w:pPr>
      <w:r w:rsidRPr="00C27636">
        <w:rPr>
          <w:rFonts w:ascii="Calibri" w:eastAsia="Calibri" w:hAnsi="Calibri" w:cs="Calibri"/>
          <w:lang w:val="fr-BE"/>
        </w:rPr>
        <w:t>Il est indiqué de développer une mesure plus pertinente des frais scolaires.</w:t>
      </w:r>
    </w:p>
    <w:p w:rsidR="00AC12B4" w:rsidRPr="00C27636" w:rsidRDefault="00AC12B4">
      <w:pPr>
        <w:spacing w:line="207" w:lineRule="exact"/>
        <w:rPr>
          <w:sz w:val="20"/>
          <w:szCs w:val="20"/>
          <w:lang w:val="fr-BE"/>
        </w:rPr>
      </w:pPr>
    </w:p>
    <w:p w:rsidR="00AC12B4" w:rsidRDefault="00C27636">
      <w:pPr>
        <w:ind w:left="560"/>
        <w:rPr>
          <w:sz w:val="20"/>
          <w:szCs w:val="20"/>
        </w:rPr>
      </w:pPr>
      <w:r>
        <w:rPr>
          <w:rFonts w:ascii="Cambria" w:eastAsia="Cambria" w:hAnsi="Cambria" w:cs="Cambria"/>
          <w:b/>
          <w:bCs/>
          <w:i/>
          <w:iCs/>
          <w:color w:val="44ACE0"/>
          <w:sz w:val="26"/>
          <w:szCs w:val="26"/>
        </w:rPr>
        <w:t>Pour aller plus loin</w:t>
      </w:r>
    </w:p>
    <w:p w:rsidR="00AC12B4" w:rsidRDefault="00AC12B4">
      <w:pPr>
        <w:spacing w:line="219" w:lineRule="exact"/>
        <w:rPr>
          <w:sz w:val="20"/>
          <w:szCs w:val="20"/>
        </w:rPr>
      </w:pPr>
    </w:p>
    <w:p w:rsidR="00AC12B4" w:rsidRPr="00C27636" w:rsidRDefault="00C27636">
      <w:pPr>
        <w:numPr>
          <w:ilvl w:val="0"/>
          <w:numId w:val="189"/>
        </w:numPr>
        <w:tabs>
          <w:tab w:val="left" w:pos="1000"/>
        </w:tabs>
        <w:spacing w:line="264" w:lineRule="auto"/>
        <w:ind w:left="1000" w:right="59" w:hanging="366"/>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Les </w:t>
      </w:r>
      <w:r w:rsidRPr="00C27636">
        <w:rPr>
          <w:rFonts w:ascii="Calibri" w:eastAsia="Calibri" w:hAnsi="Calibri" w:cs="Calibri"/>
          <w:b/>
          <w:bCs/>
          <w:i/>
          <w:iCs/>
          <w:color w:val="8BCCEC"/>
          <w:sz w:val="20"/>
          <w:szCs w:val="20"/>
          <w:lang w:val="fr-BE"/>
        </w:rPr>
        <w:t>professionnelles</w:t>
      </w:r>
      <w:r w:rsidRPr="00C27636">
        <w:rPr>
          <w:rFonts w:ascii="Calibri" w:eastAsia="Calibri" w:hAnsi="Calibri" w:cs="Calibri"/>
          <w:sz w:val="20"/>
          <w:szCs w:val="20"/>
          <w:lang w:val="fr-BE"/>
        </w:rPr>
        <w:t xml:space="preserve"> onéreuses retiennent notre attention particulière. Ce serait intéressant d’interroger les parents d’élèves de 6° et 7° professionnelles afin de pouvoir estimer (au niveau des élèves en 6°) quel pourcentage n’envisage pas de</w:t>
      </w:r>
    </w:p>
    <w:p w:rsidR="00AC12B4" w:rsidRPr="00C27636" w:rsidRDefault="00AC12B4">
      <w:pPr>
        <w:spacing w:line="61" w:lineRule="exact"/>
        <w:rPr>
          <w:rFonts w:ascii="Symbol" w:eastAsia="Symbol" w:hAnsi="Symbol" w:cs="Symbol"/>
          <w:sz w:val="20"/>
          <w:szCs w:val="20"/>
          <w:lang w:val="fr-BE"/>
        </w:rPr>
      </w:pPr>
    </w:p>
    <w:p w:rsidR="00AC12B4" w:rsidRPr="00C27636" w:rsidRDefault="00C27636">
      <w:pPr>
        <w:spacing w:line="254" w:lineRule="auto"/>
        <w:ind w:left="1000" w:right="59"/>
        <w:jc w:val="both"/>
        <w:rPr>
          <w:rFonts w:ascii="Symbol" w:eastAsia="Symbol" w:hAnsi="Symbol" w:cs="Symbol"/>
          <w:sz w:val="20"/>
          <w:szCs w:val="20"/>
          <w:lang w:val="nl-NL"/>
        </w:rPr>
      </w:pPr>
      <w:r w:rsidRPr="00C27636">
        <w:rPr>
          <w:rFonts w:ascii="Calibri" w:eastAsia="Calibri" w:hAnsi="Calibri" w:cs="Calibri"/>
          <w:sz w:val="20"/>
          <w:szCs w:val="20"/>
          <w:lang w:val="fr-BE"/>
        </w:rPr>
        <w:t>suivre la 7° année pour des ra</w:t>
      </w:r>
      <w:r w:rsidRPr="00C27636">
        <w:rPr>
          <w:rFonts w:ascii="Calibri" w:eastAsia="Calibri" w:hAnsi="Calibri" w:cs="Calibri"/>
          <w:sz w:val="20"/>
          <w:szCs w:val="20"/>
          <w:lang w:val="fr-BE"/>
        </w:rPr>
        <w:t>isons purement financières</w:t>
      </w:r>
      <w:r w:rsidRPr="00C27636">
        <w:rPr>
          <w:rFonts w:ascii="Calibri" w:eastAsia="Calibri" w:hAnsi="Calibri" w:cs="Calibri"/>
          <w:sz w:val="25"/>
          <w:szCs w:val="25"/>
          <w:vertAlign w:val="superscript"/>
          <w:lang w:val="fr-BE"/>
        </w:rPr>
        <w:t>5</w:t>
      </w:r>
      <w:r w:rsidRPr="00C27636">
        <w:rPr>
          <w:rFonts w:ascii="Calibri" w:eastAsia="Calibri" w:hAnsi="Calibri" w:cs="Calibri"/>
          <w:sz w:val="20"/>
          <w:szCs w:val="20"/>
          <w:lang w:val="fr-BE"/>
        </w:rPr>
        <w:t xml:space="preserve">. </w:t>
      </w:r>
      <w:r w:rsidRPr="00C27636">
        <w:rPr>
          <w:rFonts w:ascii="Calibri" w:eastAsia="Calibri" w:hAnsi="Calibri" w:cs="Calibri"/>
          <w:sz w:val="20"/>
          <w:szCs w:val="20"/>
          <w:lang w:val="nl-NL"/>
        </w:rPr>
        <w:t xml:space="preserve">Voir aussi I. Nicaise (red.), </w:t>
      </w:r>
      <w:r w:rsidRPr="00C27636">
        <w:rPr>
          <w:rFonts w:ascii="Calibri" w:eastAsia="Calibri" w:hAnsi="Calibri" w:cs="Calibri"/>
          <w:i/>
          <w:iCs/>
          <w:sz w:val="20"/>
          <w:szCs w:val="20"/>
          <w:lang w:val="nl-NL"/>
        </w:rPr>
        <w:t>Gelijke kansen op school:</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het kan! Zestien sporen voor praktijk en beleid</w:t>
      </w:r>
      <w:r w:rsidRPr="00C27636">
        <w:rPr>
          <w:rFonts w:ascii="Calibri" w:eastAsia="Calibri" w:hAnsi="Calibri" w:cs="Calibri"/>
          <w:sz w:val="20"/>
          <w:szCs w:val="20"/>
          <w:lang w:val="nl-NL"/>
        </w:rPr>
        <w:t>, Mechelen, Wolters-Plantijn, 2008,</w:t>
      </w:r>
      <w:r w:rsidRPr="00C27636">
        <w:rPr>
          <w:rFonts w:ascii="Calibri" w:eastAsia="Calibri" w:hAnsi="Calibri" w:cs="Calibri"/>
          <w:i/>
          <w:iCs/>
          <w:sz w:val="20"/>
          <w:szCs w:val="20"/>
          <w:lang w:val="nl-NL"/>
        </w:rPr>
        <w:t xml:space="preserve"> </w:t>
      </w:r>
      <w:r w:rsidRPr="00C27636">
        <w:rPr>
          <w:rFonts w:ascii="Calibri" w:eastAsia="Calibri" w:hAnsi="Calibri" w:cs="Calibri"/>
          <w:sz w:val="20"/>
          <w:szCs w:val="20"/>
          <w:lang w:val="nl-NL"/>
        </w:rPr>
        <w:t>p. 21.</w:t>
      </w:r>
    </w:p>
    <w:p w:rsidR="00AC12B4" w:rsidRPr="00C27636" w:rsidRDefault="00AC12B4">
      <w:pPr>
        <w:spacing w:line="82" w:lineRule="exact"/>
        <w:rPr>
          <w:rFonts w:ascii="Symbol" w:eastAsia="Symbol" w:hAnsi="Symbol" w:cs="Symbol"/>
          <w:sz w:val="20"/>
          <w:szCs w:val="20"/>
          <w:lang w:val="nl-NL"/>
        </w:rPr>
      </w:pPr>
    </w:p>
    <w:p w:rsidR="00AC12B4" w:rsidRDefault="00C27636">
      <w:pPr>
        <w:numPr>
          <w:ilvl w:val="0"/>
          <w:numId w:val="189"/>
        </w:numPr>
        <w:tabs>
          <w:tab w:val="left" w:pos="1000"/>
        </w:tabs>
        <w:spacing w:line="264" w:lineRule="auto"/>
        <w:ind w:left="1000" w:right="59" w:hanging="366"/>
        <w:rPr>
          <w:rFonts w:ascii="Calibri" w:eastAsia="Calibri" w:hAnsi="Calibri" w:cs="Calibri"/>
          <w:color w:val="0000FF"/>
          <w:sz w:val="20"/>
          <w:szCs w:val="20"/>
          <w:u w:val="single"/>
        </w:rPr>
      </w:pPr>
      <w:r w:rsidRPr="00C27636">
        <w:rPr>
          <w:rFonts w:ascii="Calibri" w:eastAsia="Calibri" w:hAnsi="Calibri" w:cs="Calibri"/>
          <w:b/>
          <w:bCs/>
          <w:i/>
          <w:iCs/>
          <w:color w:val="8BCCEC"/>
          <w:sz w:val="20"/>
          <w:szCs w:val="20"/>
          <w:lang w:val="fr-BE"/>
        </w:rPr>
        <w:t xml:space="preserve">La Ligue des familles </w:t>
      </w:r>
      <w:r w:rsidRPr="00C27636">
        <w:rPr>
          <w:rFonts w:ascii="Calibri" w:eastAsia="Calibri" w:hAnsi="Calibri" w:cs="Calibri"/>
          <w:color w:val="000000"/>
          <w:sz w:val="20"/>
          <w:szCs w:val="20"/>
          <w:lang w:val="fr-BE"/>
        </w:rPr>
        <w:t>analyse</w:t>
      </w:r>
      <w:r w:rsidRPr="00C27636">
        <w:rPr>
          <w:rFonts w:ascii="Calibri" w:eastAsia="Calibri" w:hAnsi="Calibri" w:cs="Calibri"/>
          <w:b/>
          <w:bCs/>
          <w:i/>
          <w:iCs/>
          <w:color w:val="8BCCEC"/>
          <w:sz w:val="20"/>
          <w:szCs w:val="20"/>
          <w:lang w:val="fr-BE"/>
        </w:rPr>
        <w:t xml:space="preserve"> </w:t>
      </w:r>
      <w:r w:rsidRPr="00C27636">
        <w:rPr>
          <w:rFonts w:ascii="Calibri" w:eastAsia="Calibri" w:hAnsi="Calibri" w:cs="Calibri"/>
          <w:color w:val="000000"/>
          <w:sz w:val="20"/>
          <w:szCs w:val="20"/>
          <w:lang w:val="fr-BE"/>
        </w:rPr>
        <w:t xml:space="preserve">annuellement au mois d’août les frais scolaires (école primaire) pour un échantillon de familles en Fédération Wallonie-Bruxelles. </w:t>
      </w:r>
      <w:hyperlink r:id="rId184">
        <w:r>
          <w:rPr>
            <w:rFonts w:ascii="Calibri" w:eastAsia="Calibri" w:hAnsi="Calibri" w:cs="Calibri"/>
            <w:color w:val="0000FF"/>
            <w:sz w:val="20"/>
            <w:szCs w:val="20"/>
            <w:u w:val="single"/>
          </w:rPr>
          <w:t>https://www.laligue.be/Fi</w:t>
        </w:r>
        <w:r>
          <w:rPr>
            <w:rFonts w:ascii="Calibri" w:eastAsia="Calibri" w:hAnsi="Calibri" w:cs="Calibri"/>
            <w:color w:val="0000FF"/>
            <w:sz w:val="20"/>
            <w:szCs w:val="20"/>
            <w:u w:val="single"/>
          </w:rPr>
          <w:t>les/media/Ligue</w:t>
        </w:r>
      </w:hyperlink>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23936" behindDoc="1" locked="0" layoutInCell="0" allowOverlap="1">
                <wp:simplePos x="0" y="0"/>
                <wp:positionH relativeFrom="column">
                  <wp:posOffset>359410</wp:posOffset>
                </wp:positionH>
                <wp:positionV relativeFrom="paragraph">
                  <wp:posOffset>205740</wp:posOffset>
                </wp:positionV>
                <wp:extent cx="1829435" cy="0"/>
                <wp:effectExtent l="0" t="0" r="0" b="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6.2pt" to="172.35pt,16.2pt" o:allowincell="f" strokecolor="#000000" strokeweight="0.72pt"/>
            </w:pict>
          </mc:Fallback>
        </mc:AlternateContent>
      </w:r>
    </w:p>
    <w:p w:rsidR="00AC12B4" w:rsidRDefault="00C27636">
      <w:pPr>
        <w:spacing w:line="20" w:lineRule="exact"/>
        <w:rPr>
          <w:sz w:val="20"/>
          <w:szCs w:val="20"/>
        </w:rPr>
      </w:pPr>
      <w:r>
        <w:rPr>
          <w:sz w:val="20"/>
          <w:szCs w:val="20"/>
        </w:rPr>
        <w:br w:type="column"/>
      </w:r>
    </w:p>
    <w:p w:rsidR="00AC12B4" w:rsidRDefault="00AC12B4">
      <w:pPr>
        <w:spacing w:line="144" w:lineRule="exact"/>
        <w:rPr>
          <w:sz w:val="20"/>
          <w:szCs w:val="20"/>
        </w:rPr>
      </w:pPr>
    </w:p>
    <w:p w:rsidR="00AC12B4" w:rsidRDefault="00C27636">
      <w:pPr>
        <w:ind w:left="361"/>
        <w:rPr>
          <w:rFonts w:ascii="Calibri" w:eastAsia="Calibri" w:hAnsi="Calibri" w:cs="Calibri"/>
          <w:color w:val="0000FF"/>
          <w:sz w:val="20"/>
          <w:szCs w:val="20"/>
          <w:u w:val="single"/>
        </w:rPr>
      </w:pPr>
      <w:hyperlink r:id="rId185">
        <w:r>
          <w:rPr>
            <w:rFonts w:ascii="Calibri" w:eastAsia="Calibri" w:hAnsi="Calibri" w:cs="Calibri"/>
            <w:color w:val="0000FF"/>
            <w:sz w:val="20"/>
            <w:szCs w:val="20"/>
            <w:u w:val="single"/>
          </w:rPr>
          <w:t>ur/2015/enquete-couts-scolaires-</w:t>
        </w:r>
      </w:hyperlink>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24960" behindDoc="1" locked="0" layoutInCell="0" allowOverlap="1">
                <wp:simplePos x="0" y="0"/>
                <wp:positionH relativeFrom="column">
                  <wp:posOffset>2685415</wp:posOffset>
                </wp:positionH>
                <wp:positionV relativeFrom="paragraph">
                  <wp:posOffset>-1173480</wp:posOffset>
                </wp:positionV>
                <wp:extent cx="751205" cy="10895965"/>
                <wp:effectExtent l="0" t="0" r="0" b="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205" cy="10895965"/>
                        </a:xfrm>
                        <a:prstGeom prst="rect">
                          <a:avLst/>
                        </a:prstGeom>
                        <a:solidFill>
                          <a:srgbClr val="8BCCEC"/>
                        </a:solidFill>
                      </wps:spPr>
                      <wps:bodyPr/>
                    </wps:wsp>
                  </a:graphicData>
                </a:graphic>
              </wp:anchor>
            </w:drawing>
          </mc:Choice>
          <mc:Fallback>
            <w:pict>
              <v:rect id="Shape 289" o:spid="_x0000_s1314" style="position:absolute;margin-left:211.45pt;margin-top:-92.3999pt;width:59.15pt;height:8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Default="00AC12B4">
      <w:pPr>
        <w:spacing w:line="17" w:lineRule="exact"/>
        <w:rPr>
          <w:sz w:val="20"/>
          <w:szCs w:val="20"/>
        </w:rPr>
      </w:pPr>
    </w:p>
    <w:p w:rsidR="00AC12B4" w:rsidRDefault="00C27636">
      <w:pPr>
        <w:ind w:left="361"/>
        <w:rPr>
          <w:rFonts w:ascii="Calibri" w:eastAsia="Calibri" w:hAnsi="Calibri" w:cs="Calibri"/>
          <w:color w:val="0000FF"/>
          <w:sz w:val="20"/>
          <w:szCs w:val="20"/>
          <w:u w:val="single"/>
        </w:rPr>
      </w:pPr>
      <w:hyperlink r:id="rId186">
        <w:r>
          <w:rPr>
            <w:rFonts w:ascii="Calibri" w:eastAsia="Calibri" w:hAnsi="Calibri" w:cs="Calibri"/>
            <w:color w:val="0000FF"/>
            <w:sz w:val="20"/>
            <w:szCs w:val="20"/>
            <w:u w:val="single"/>
          </w:rPr>
          <w:t>2015.pdf</w:t>
        </w:r>
      </w:hyperlink>
    </w:p>
    <w:p w:rsidR="00AC12B4" w:rsidRDefault="00C27636">
      <w:pPr>
        <w:tabs>
          <w:tab w:val="left" w:pos="340"/>
          <w:tab w:val="left" w:pos="1080"/>
          <w:tab w:val="left" w:pos="2360"/>
          <w:tab w:val="left" w:pos="3480"/>
        </w:tabs>
        <w:ind w:left="1"/>
        <w:rPr>
          <w:sz w:val="20"/>
          <w:szCs w:val="20"/>
        </w:rPr>
      </w:pPr>
      <w:r>
        <w:rPr>
          <w:rFonts w:ascii="Symbol" w:eastAsia="Symbol" w:hAnsi="Symbol" w:cs="Symbol"/>
          <w:sz w:val="20"/>
          <w:szCs w:val="20"/>
        </w:rPr>
        <w:t></w:t>
      </w:r>
      <w:r>
        <w:rPr>
          <w:sz w:val="20"/>
          <w:szCs w:val="20"/>
        </w:rPr>
        <w:tab/>
      </w:r>
      <w:r>
        <w:rPr>
          <w:rFonts w:ascii="Calibri" w:eastAsia="Calibri" w:hAnsi="Calibri" w:cs="Calibri"/>
          <w:b/>
          <w:bCs/>
          <w:i/>
          <w:iCs/>
          <w:color w:val="8BCCEC"/>
          <w:sz w:val="20"/>
          <w:szCs w:val="20"/>
        </w:rPr>
        <w:t>Le</w:t>
      </w:r>
      <w:r>
        <w:rPr>
          <w:sz w:val="20"/>
          <w:szCs w:val="20"/>
        </w:rPr>
        <w:tab/>
      </w:r>
      <w:r>
        <w:rPr>
          <w:rFonts w:ascii="Calibri" w:eastAsia="Calibri" w:hAnsi="Calibri" w:cs="Calibri"/>
          <w:b/>
          <w:bCs/>
          <w:i/>
          <w:iCs/>
          <w:color w:val="8BCCEC"/>
          <w:sz w:val="20"/>
          <w:szCs w:val="20"/>
        </w:rPr>
        <w:t>Vlaamse</w:t>
      </w:r>
      <w:r>
        <w:rPr>
          <w:sz w:val="20"/>
          <w:szCs w:val="20"/>
        </w:rPr>
        <w:tab/>
      </w:r>
      <w:r>
        <w:rPr>
          <w:rFonts w:ascii="Calibri" w:eastAsia="Calibri" w:hAnsi="Calibri" w:cs="Calibri"/>
          <w:b/>
          <w:bCs/>
          <w:i/>
          <w:iCs/>
          <w:color w:val="8BCCEC"/>
          <w:sz w:val="20"/>
          <w:szCs w:val="20"/>
        </w:rPr>
        <w:t>Koepel</w:t>
      </w:r>
      <w:r>
        <w:rPr>
          <w:sz w:val="20"/>
          <w:szCs w:val="20"/>
        </w:rPr>
        <w:tab/>
      </w:r>
      <w:r>
        <w:rPr>
          <w:rFonts w:ascii="Calibri" w:eastAsia="Calibri" w:hAnsi="Calibri" w:cs="Calibri"/>
          <w:b/>
          <w:bCs/>
          <w:i/>
          <w:iCs/>
          <w:color w:val="8BCCEC"/>
          <w:sz w:val="19"/>
          <w:szCs w:val="19"/>
        </w:rPr>
        <w:t>van</w:t>
      </w:r>
    </w:p>
    <w:p w:rsidR="00AC12B4" w:rsidRDefault="00AC12B4">
      <w:pPr>
        <w:spacing w:line="132" w:lineRule="exact"/>
        <w:rPr>
          <w:sz w:val="20"/>
          <w:szCs w:val="20"/>
        </w:rPr>
      </w:pPr>
    </w:p>
    <w:p w:rsidR="00AC12B4" w:rsidRPr="00C27636" w:rsidRDefault="00C27636">
      <w:pPr>
        <w:spacing w:line="260" w:lineRule="auto"/>
        <w:ind w:left="361" w:right="1060"/>
        <w:jc w:val="both"/>
        <w:rPr>
          <w:sz w:val="20"/>
          <w:szCs w:val="20"/>
          <w:lang w:val="fr-BE"/>
        </w:rPr>
      </w:pPr>
      <w:r w:rsidRPr="00C27636">
        <w:rPr>
          <w:rFonts w:ascii="Calibri" w:eastAsia="Calibri" w:hAnsi="Calibri" w:cs="Calibri"/>
          <w:b/>
          <w:bCs/>
          <w:i/>
          <w:iCs/>
          <w:color w:val="8BCCEC"/>
          <w:sz w:val="20"/>
          <w:szCs w:val="20"/>
          <w:lang w:val="fr-BE"/>
        </w:rPr>
        <w:t xml:space="preserve">Ouderverenigingen (VCOV) et Klasse </w:t>
      </w:r>
      <w:r w:rsidRPr="00C27636">
        <w:rPr>
          <w:rFonts w:ascii="Calibri" w:eastAsia="Calibri" w:hAnsi="Calibri" w:cs="Calibri"/>
          <w:color w:val="000000"/>
          <w:sz w:val="20"/>
          <w:szCs w:val="20"/>
          <w:lang w:val="fr-BE"/>
        </w:rPr>
        <w:t>ont</w:t>
      </w:r>
      <w:r w:rsidRPr="00C27636">
        <w:rPr>
          <w:rFonts w:ascii="Calibri" w:eastAsia="Calibri" w:hAnsi="Calibri" w:cs="Calibri"/>
          <w:b/>
          <w:bCs/>
          <w:i/>
          <w:iCs/>
          <w:color w:val="8BCCEC"/>
          <w:sz w:val="20"/>
          <w:szCs w:val="20"/>
          <w:lang w:val="fr-BE"/>
        </w:rPr>
        <w:t xml:space="preserve"> </w:t>
      </w:r>
      <w:r w:rsidRPr="00C27636">
        <w:rPr>
          <w:rFonts w:ascii="Calibri" w:eastAsia="Calibri" w:hAnsi="Calibri" w:cs="Calibri"/>
          <w:color w:val="000000"/>
          <w:sz w:val="20"/>
          <w:szCs w:val="20"/>
          <w:lang w:val="fr-BE"/>
        </w:rPr>
        <w:t>précédemment enquêté à la demande du département Onderwijs en Vorming (enseignement et formation) de la</w:t>
      </w:r>
    </w:p>
    <w:p w:rsidR="00AC12B4" w:rsidRPr="00C27636" w:rsidRDefault="00AC12B4">
      <w:pPr>
        <w:spacing w:line="65" w:lineRule="exact"/>
        <w:rPr>
          <w:sz w:val="20"/>
          <w:szCs w:val="20"/>
          <w:lang w:val="fr-BE"/>
        </w:rPr>
      </w:pPr>
    </w:p>
    <w:p w:rsidR="00AC12B4" w:rsidRPr="00C27636" w:rsidRDefault="00C27636">
      <w:pPr>
        <w:spacing w:line="260" w:lineRule="auto"/>
        <w:ind w:left="361" w:right="1060"/>
        <w:rPr>
          <w:rFonts w:ascii="Calibri" w:eastAsia="Calibri" w:hAnsi="Calibri" w:cs="Calibri"/>
          <w:color w:val="0000FF"/>
          <w:sz w:val="20"/>
          <w:szCs w:val="20"/>
          <w:lang w:val="fr-BE"/>
        </w:rPr>
      </w:pPr>
      <w:r w:rsidRPr="00C27636">
        <w:rPr>
          <w:rFonts w:ascii="Calibri" w:eastAsia="Calibri" w:hAnsi="Calibri" w:cs="Calibri"/>
          <w:sz w:val="20"/>
          <w:szCs w:val="20"/>
          <w:lang w:val="fr-BE"/>
        </w:rPr>
        <w:t xml:space="preserve">Communauté flamande. </w:t>
      </w:r>
      <w:hyperlink r:id="rId187">
        <w:r w:rsidRPr="00C27636">
          <w:rPr>
            <w:rFonts w:ascii="Calibri" w:eastAsia="Calibri" w:hAnsi="Calibri" w:cs="Calibri"/>
            <w:color w:val="0000FF"/>
            <w:sz w:val="20"/>
            <w:szCs w:val="20"/>
            <w:u w:val="single"/>
            <w:lang w:val="fr-BE"/>
          </w:rPr>
          <w:t>https://www.klasse.be/archief/een-kind-</w:t>
        </w:r>
      </w:hyperlink>
      <w:hyperlink r:id="rId188">
        <w:r w:rsidRPr="00C27636">
          <w:rPr>
            <w:rFonts w:ascii="Calibri" w:eastAsia="Calibri" w:hAnsi="Calibri" w:cs="Calibri"/>
            <w:color w:val="0000FF"/>
            <w:sz w:val="20"/>
            <w:szCs w:val="20"/>
            <w:u w:val="single"/>
            <w:lang w:val="fr-BE"/>
          </w:rPr>
          <w:t>in-het-tso-of-kso-kost-ouders-behoorlijk-</w:t>
        </w:r>
      </w:hyperlink>
      <w:hyperlink r:id="rId189">
        <w:r w:rsidRPr="00C27636">
          <w:rPr>
            <w:rFonts w:ascii="Calibri" w:eastAsia="Calibri" w:hAnsi="Calibri" w:cs="Calibri"/>
            <w:color w:val="0000FF"/>
            <w:sz w:val="20"/>
            <w:szCs w:val="20"/>
            <w:u w:val="single"/>
            <w:lang w:val="fr-BE"/>
          </w:rPr>
          <w:t>meer-dan-in-het-aso-of-bso/</w:t>
        </w:r>
        <w:r w:rsidRPr="00C27636">
          <w:rPr>
            <w:rFonts w:ascii="Calibri" w:eastAsia="Calibri" w:hAnsi="Calibri" w:cs="Calibri"/>
            <w:color w:val="000000"/>
            <w:sz w:val="20"/>
            <w:szCs w:val="20"/>
            <w:lang w:val="fr-BE"/>
          </w:rPr>
          <w:t>.</w:t>
        </w:r>
      </w:hyperlink>
    </w:p>
    <w:p w:rsidR="00AC12B4" w:rsidRPr="00C27636" w:rsidRDefault="00AC12B4">
      <w:pPr>
        <w:spacing w:line="77" w:lineRule="exact"/>
        <w:rPr>
          <w:rFonts w:ascii="Calibri" w:eastAsia="Calibri" w:hAnsi="Calibri" w:cs="Calibri"/>
          <w:color w:val="0000FF"/>
          <w:sz w:val="20"/>
          <w:szCs w:val="20"/>
          <w:u w:val="single"/>
          <w:lang w:val="fr-BE"/>
        </w:rPr>
      </w:pPr>
    </w:p>
    <w:p w:rsidR="00AC12B4" w:rsidRPr="00C27636" w:rsidRDefault="00C27636">
      <w:pPr>
        <w:numPr>
          <w:ilvl w:val="0"/>
          <w:numId w:val="190"/>
        </w:numPr>
        <w:tabs>
          <w:tab w:val="left" w:pos="361"/>
        </w:tabs>
        <w:spacing w:line="269" w:lineRule="auto"/>
        <w:ind w:left="361" w:right="1060" w:hanging="361"/>
        <w:rPr>
          <w:rFonts w:ascii="Calibri" w:eastAsia="Calibri" w:hAnsi="Calibri" w:cs="Calibri"/>
          <w:color w:val="0000FF"/>
          <w:sz w:val="20"/>
          <w:szCs w:val="20"/>
          <w:lang w:val="fr-BE"/>
        </w:rPr>
      </w:pPr>
      <w:r w:rsidRPr="00C27636">
        <w:rPr>
          <w:rFonts w:ascii="Calibri" w:eastAsia="Calibri" w:hAnsi="Calibri" w:cs="Calibri"/>
          <w:sz w:val="20"/>
          <w:szCs w:val="20"/>
          <w:lang w:val="fr-BE"/>
        </w:rPr>
        <w:t xml:space="preserve">Le </w:t>
      </w:r>
      <w:r w:rsidRPr="00C27636">
        <w:rPr>
          <w:rFonts w:ascii="Calibri" w:eastAsia="Calibri" w:hAnsi="Calibri" w:cs="Calibri"/>
          <w:b/>
          <w:bCs/>
          <w:i/>
          <w:iCs/>
          <w:color w:val="4BACC6"/>
          <w:sz w:val="20"/>
          <w:szCs w:val="20"/>
          <w:lang w:val="fr-BE"/>
        </w:rPr>
        <w:t>JKP</w:t>
      </w:r>
      <w:r w:rsidRPr="00C27636">
        <w:rPr>
          <w:rFonts w:ascii="Calibri" w:eastAsia="Calibri" w:hAnsi="Calibri" w:cs="Calibri"/>
          <w:sz w:val="20"/>
          <w:szCs w:val="20"/>
          <w:lang w:val="fr-BE"/>
        </w:rPr>
        <w:t xml:space="preserve"> (plan d’action f</w:t>
      </w:r>
      <w:r w:rsidRPr="00C27636">
        <w:rPr>
          <w:rFonts w:ascii="Calibri" w:eastAsia="Calibri" w:hAnsi="Calibri" w:cs="Calibri"/>
          <w:sz w:val="20"/>
          <w:szCs w:val="20"/>
          <w:lang w:val="fr-BE"/>
        </w:rPr>
        <w:t xml:space="preserve">lamand jeunesse et droits de l’enfant) 2015-2019 annonce le développement d’un moniteur des frais scolaires (studiekostenmonitor) (objectif opérationnel 1.1, projet 1.1.9). </w:t>
      </w:r>
      <w:r w:rsidRPr="00C27636">
        <w:rPr>
          <w:rFonts w:ascii="Calibri" w:eastAsia="Calibri" w:hAnsi="Calibri" w:cs="Calibri"/>
          <w:sz w:val="20"/>
          <w:szCs w:val="20"/>
          <w:lang w:val="nl-NL"/>
        </w:rPr>
        <w:t xml:space="preserve">Voir aussi </w:t>
      </w:r>
      <w:hyperlink r:id="rId190">
        <w:r w:rsidRPr="00C27636">
          <w:rPr>
            <w:rFonts w:ascii="Calibri" w:eastAsia="Calibri" w:hAnsi="Calibri" w:cs="Calibri"/>
            <w:color w:val="0000FF"/>
            <w:sz w:val="20"/>
            <w:szCs w:val="20"/>
            <w:u w:val="single"/>
            <w:lang w:val="nl-NL"/>
          </w:rPr>
          <w:t>https://hiva.kuleuven.be/nl/onderzoek/o</w:t>
        </w:r>
      </w:hyperlink>
      <w:r w:rsidRPr="00C27636">
        <w:rPr>
          <w:rFonts w:ascii="Calibri" w:eastAsia="Calibri" w:hAnsi="Calibri" w:cs="Calibri"/>
          <w:color w:val="0000FF"/>
          <w:sz w:val="20"/>
          <w:szCs w:val="20"/>
          <w:u w:val="single"/>
          <w:lang w:val="nl-NL"/>
        </w:rPr>
        <w:t xml:space="preserve"> </w:t>
      </w:r>
      <w:hyperlink r:id="rId191">
        <w:r w:rsidRPr="00C27636">
          <w:rPr>
            <w:rFonts w:ascii="Calibri" w:eastAsia="Calibri" w:hAnsi="Calibri" w:cs="Calibri"/>
            <w:color w:val="0000FF"/>
            <w:sz w:val="20"/>
            <w:szCs w:val="20"/>
            <w:u w:val="single"/>
            <w:lang w:val="nl-NL"/>
          </w:rPr>
          <w:t>nderzoeksprojecten/ontwikkeling-van-</w:t>
        </w:r>
      </w:hyperlink>
      <w:hyperlink r:id="rId192">
        <w:r w:rsidRPr="00C27636">
          <w:rPr>
            <w:rFonts w:ascii="Calibri" w:eastAsia="Calibri" w:hAnsi="Calibri" w:cs="Calibri"/>
            <w:color w:val="0000FF"/>
            <w:sz w:val="20"/>
            <w:szCs w:val="20"/>
            <w:u w:val="single"/>
            <w:lang w:val="nl-NL"/>
          </w:rPr>
          <w:t>een-studiekostenmonitor</w:t>
        </w:r>
        <w:r w:rsidRPr="00C27636">
          <w:rPr>
            <w:rFonts w:ascii="Calibri" w:eastAsia="Calibri" w:hAnsi="Calibri" w:cs="Calibri"/>
            <w:color w:val="000000"/>
            <w:sz w:val="20"/>
            <w:szCs w:val="20"/>
            <w:lang w:val="nl-NL"/>
          </w:rPr>
          <w:t xml:space="preserve">. </w:t>
        </w:r>
      </w:hyperlink>
      <w:r w:rsidRPr="00C27636">
        <w:rPr>
          <w:rFonts w:ascii="Calibri" w:eastAsia="Calibri" w:hAnsi="Calibri" w:cs="Calibri"/>
          <w:color w:val="0000FF"/>
          <w:sz w:val="20"/>
          <w:szCs w:val="20"/>
          <w:lang w:val="fr-BE"/>
        </w:rPr>
        <w:t xml:space="preserve">Le </w:t>
      </w:r>
      <w:r w:rsidRPr="00C27636">
        <w:rPr>
          <w:rFonts w:ascii="Calibri" w:eastAsia="Calibri" w:hAnsi="Calibri" w:cs="Calibri"/>
          <w:color w:val="000000"/>
          <w:sz w:val="20"/>
          <w:szCs w:val="20"/>
          <w:lang w:val="fr-BE"/>
        </w:rPr>
        <w:t>HIVA</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procède à des études en la matière depuis plusieurs décennies.</w:t>
      </w:r>
    </w:p>
    <w:p w:rsidR="00AC12B4" w:rsidRPr="00C27636" w:rsidRDefault="00AC12B4">
      <w:pPr>
        <w:spacing w:line="69" w:lineRule="exact"/>
        <w:rPr>
          <w:rFonts w:ascii="Calibri" w:eastAsia="Calibri" w:hAnsi="Calibri" w:cs="Calibri"/>
          <w:color w:val="0000FF"/>
          <w:sz w:val="20"/>
          <w:szCs w:val="20"/>
          <w:lang w:val="fr-BE"/>
        </w:rPr>
      </w:pPr>
    </w:p>
    <w:p w:rsidR="00AC12B4" w:rsidRPr="00C27636" w:rsidRDefault="00C27636">
      <w:pPr>
        <w:numPr>
          <w:ilvl w:val="0"/>
          <w:numId w:val="190"/>
        </w:numPr>
        <w:tabs>
          <w:tab w:val="left" w:pos="361"/>
        </w:tabs>
        <w:spacing w:line="270" w:lineRule="auto"/>
        <w:ind w:left="361" w:right="1060" w:hanging="361"/>
        <w:jc w:val="both"/>
        <w:rPr>
          <w:rFonts w:ascii="Symbol" w:eastAsia="Symbol" w:hAnsi="Symbol" w:cs="Symbol"/>
          <w:sz w:val="20"/>
          <w:szCs w:val="20"/>
          <w:lang w:val="fr-BE"/>
        </w:rPr>
      </w:pPr>
      <w:r w:rsidRPr="00C27636">
        <w:rPr>
          <w:rFonts w:ascii="Calibri" w:eastAsia="Calibri" w:hAnsi="Calibri" w:cs="Calibri"/>
          <w:b/>
          <w:bCs/>
          <w:i/>
          <w:iCs/>
          <w:color w:val="8BCCEC"/>
          <w:sz w:val="20"/>
          <w:szCs w:val="20"/>
          <w:lang w:val="fr-BE"/>
        </w:rPr>
        <w:t xml:space="preserve">Recherche basée sur EU-Silc </w:t>
      </w:r>
      <w:r w:rsidRPr="00C27636">
        <w:rPr>
          <w:rFonts w:ascii="Calibri" w:eastAsia="Calibri" w:hAnsi="Calibri" w:cs="Calibri"/>
          <w:b/>
          <w:bCs/>
          <w:i/>
          <w:iCs/>
          <w:color w:val="4BACC6"/>
          <w:sz w:val="20"/>
          <w:szCs w:val="20"/>
          <w:lang w:val="fr-BE"/>
        </w:rPr>
        <w:t>:</w:t>
      </w:r>
      <w:r w:rsidRPr="00C27636">
        <w:rPr>
          <w:rFonts w:ascii="Calibri" w:eastAsia="Calibri" w:hAnsi="Calibri" w:cs="Calibri"/>
          <w:b/>
          <w:bCs/>
          <w:i/>
          <w:iCs/>
          <w:color w:val="8BCCEC"/>
          <w:sz w:val="20"/>
          <w:szCs w:val="20"/>
          <w:lang w:val="fr-BE"/>
        </w:rPr>
        <w:t xml:space="preserve"> </w:t>
      </w:r>
      <w:r w:rsidRPr="00C27636">
        <w:rPr>
          <w:rFonts w:ascii="Calibri" w:eastAsia="Calibri" w:hAnsi="Calibri" w:cs="Calibri"/>
          <w:color w:val="000000"/>
          <w:sz w:val="20"/>
          <w:szCs w:val="20"/>
          <w:lang w:val="fr-BE"/>
        </w:rPr>
        <w:t>A.-C. Guio,</w:t>
      </w:r>
      <w:r w:rsidRPr="00C27636">
        <w:rPr>
          <w:rFonts w:ascii="Calibri" w:eastAsia="Calibri" w:hAnsi="Calibri" w:cs="Calibri"/>
          <w:b/>
          <w:bCs/>
          <w:i/>
          <w:iCs/>
          <w:color w:val="8BCCEC"/>
          <w:sz w:val="20"/>
          <w:szCs w:val="20"/>
          <w:lang w:val="fr-BE"/>
        </w:rPr>
        <w:t xml:space="preserve"> </w:t>
      </w:r>
      <w:r w:rsidRPr="00C27636">
        <w:rPr>
          <w:rFonts w:ascii="Calibri" w:eastAsia="Calibri" w:hAnsi="Calibri" w:cs="Calibri"/>
          <w:color w:val="000000"/>
          <w:sz w:val="20"/>
          <w:szCs w:val="20"/>
          <w:lang w:val="fr-BE"/>
        </w:rPr>
        <w:t xml:space="preserve">G. Feyaerts, F. Vandenbroucke en J. Vinck , </w:t>
      </w:r>
      <w:r w:rsidRPr="00C27636">
        <w:rPr>
          <w:rFonts w:ascii="Calibri" w:eastAsia="Calibri" w:hAnsi="Calibri" w:cs="Calibri"/>
          <w:i/>
          <w:iCs/>
          <w:color w:val="000000"/>
          <w:sz w:val="20"/>
          <w:szCs w:val="20"/>
          <w:lang w:val="fr-BE"/>
        </w:rPr>
        <w:t>Mettre davantage la pauvreté des</w:t>
      </w:r>
      <w:r w:rsidRPr="00C27636">
        <w:rPr>
          <w:rFonts w:ascii="Calibri" w:eastAsia="Calibri" w:hAnsi="Calibri" w:cs="Calibri"/>
          <w:color w:val="000000"/>
          <w:sz w:val="20"/>
          <w:szCs w:val="20"/>
          <w:lang w:val="fr-BE"/>
        </w:rPr>
        <w:t xml:space="preserve"> </w:t>
      </w:r>
      <w:r w:rsidRPr="00C27636">
        <w:rPr>
          <w:rFonts w:ascii="Calibri" w:eastAsia="Calibri" w:hAnsi="Calibri" w:cs="Calibri"/>
          <w:i/>
          <w:iCs/>
          <w:color w:val="000000"/>
          <w:sz w:val="20"/>
          <w:szCs w:val="20"/>
          <w:lang w:val="fr-BE"/>
        </w:rPr>
        <w:t xml:space="preserve">enfants à l’agenda politique. Quelques chiffres pour mieux en comprendre l’enjeu, </w:t>
      </w:r>
      <w:r w:rsidRPr="00C27636">
        <w:rPr>
          <w:rFonts w:ascii="Calibri" w:eastAsia="Calibri" w:hAnsi="Calibri" w:cs="Calibri"/>
          <w:color w:val="000000"/>
          <w:sz w:val="20"/>
          <w:szCs w:val="20"/>
          <w:lang w:val="fr-BE"/>
        </w:rPr>
        <w:t>IWEPS, CSB, Observatoire de la</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00"/>
          <w:sz w:val="20"/>
          <w:szCs w:val="20"/>
          <w:lang w:val="fr-BE"/>
        </w:rPr>
        <w:t xml:space="preserve">santé et du Social de Bruxelles-capitale, Note de travail pour le </w:t>
      </w:r>
      <w:r w:rsidRPr="00C27636">
        <w:rPr>
          <w:rFonts w:ascii="Calibri" w:eastAsia="Calibri" w:hAnsi="Calibri" w:cs="Calibri"/>
          <w:color w:val="000000"/>
          <w:sz w:val="20"/>
          <w:szCs w:val="20"/>
          <w:lang w:val="fr-BE"/>
        </w:rPr>
        <w:t>Colloque de la Fondation Roi Baudouin « Agir sur les causes structurelles de la pauvreté des enfants », 5 juin 2014.</w:t>
      </w:r>
    </w:p>
    <w:p w:rsidR="00AC12B4" w:rsidRPr="00C27636" w:rsidRDefault="00AC12B4">
      <w:pPr>
        <w:spacing w:line="1435" w:lineRule="exact"/>
        <w:rPr>
          <w:rFonts w:ascii="Calibri" w:eastAsia="Calibri" w:hAnsi="Calibri" w:cs="Calibri"/>
          <w:color w:val="0000FF"/>
          <w:sz w:val="20"/>
          <w:szCs w:val="20"/>
          <w:u w:val="single"/>
          <w:lang w:val="fr-BE"/>
        </w:rPr>
      </w:pPr>
    </w:p>
    <w:p w:rsidR="00AC12B4" w:rsidRPr="00C27636" w:rsidRDefault="00AC12B4">
      <w:pPr>
        <w:rPr>
          <w:lang w:val="fr-BE"/>
        </w:rPr>
        <w:sectPr w:rsidR="00AC12B4" w:rsidRPr="00C27636">
          <w:pgSz w:w="12080" w:h="17179"/>
          <w:pgMar w:top="1440" w:right="557" w:bottom="659" w:left="1440" w:header="0" w:footer="0" w:gutter="0"/>
          <w:cols w:num="2" w:space="720" w:equalWidth="0">
            <w:col w:w="4499" w:space="720"/>
            <w:col w:w="4861"/>
          </w:cols>
        </w:sectPr>
      </w:pPr>
    </w:p>
    <w:p w:rsidR="00AC12B4" w:rsidRPr="00C27636" w:rsidRDefault="00AC12B4">
      <w:pPr>
        <w:spacing w:line="227" w:lineRule="exact"/>
        <w:rPr>
          <w:rFonts w:ascii="Calibri" w:eastAsia="Calibri" w:hAnsi="Calibri" w:cs="Calibri"/>
          <w:color w:val="0000FF"/>
          <w:sz w:val="20"/>
          <w:szCs w:val="20"/>
          <w:u w:val="single"/>
          <w:lang w:val="fr-BE"/>
        </w:rPr>
      </w:pPr>
    </w:p>
    <w:p w:rsidR="00AC12B4" w:rsidRPr="00C27636" w:rsidRDefault="00C27636">
      <w:pPr>
        <w:tabs>
          <w:tab w:val="left" w:pos="780"/>
          <w:tab w:val="left" w:pos="1340"/>
          <w:tab w:val="left" w:pos="2800"/>
          <w:tab w:val="left" w:pos="3160"/>
        </w:tabs>
        <w:ind w:left="560"/>
        <w:rPr>
          <w:sz w:val="20"/>
          <w:szCs w:val="20"/>
          <w:lang w:val="fr-BE"/>
        </w:rPr>
      </w:pPr>
      <w:r w:rsidRPr="00C27636">
        <w:rPr>
          <w:rFonts w:ascii="Calibri" w:eastAsia="Calibri" w:hAnsi="Calibri" w:cs="Calibri"/>
          <w:sz w:val="26"/>
          <w:szCs w:val="26"/>
          <w:vertAlign w:val="superscript"/>
          <w:lang w:val="fr-BE"/>
        </w:rPr>
        <w:t>4</w:t>
      </w:r>
      <w:r w:rsidRPr="00C27636">
        <w:rPr>
          <w:sz w:val="20"/>
          <w:szCs w:val="20"/>
          <w:lang w:val="fr-BE"/>
        </w:rPr>
        <w:tab/>
      </w:r>
      <w:r w:rsidRPr="00C27636">
        <w:rPr>
          <w:rFonts w:ascii="Calibri" w:eastAsia="Calibri" w:hAnsi="Calibri" w:cs="Calibri"/>
          <w:sz w:val="20"/>
          <w:szCs w:val="20"/>
          <w:lang w:val="fr-BE"/>
        </w:rPr>
        <w:t>Pour</w:t>
      </w:r>
      <w:r w:rsidRPr="00C27636">
        <w:rPr>
          <w:rFonts w:ascii="Calibri" w:eastAsia="Calibri" w:hAnsi="Calibri" w:cs="Calibri"/>
          <w:sz w:val="20"/>
          <w:szCs w:val="20"/>
          <w:lang w:val="fr-BE"/>
        </w:rPr>
        <w:tab/>
        <w:t>l’administration</w:t>
      </w:r>
      <w:r w:rsidRPr="00C27636">
        <w:rPr>
          <w:rFonts w:ascii="Calibri" w:eastAsia="Calibri" w:hAnsi="Calibri" w:cs="Calibri"/>
          <w:sz w:val="20"/>
          <w:szCs w:val="20"/>
          <w:lang w:val="fr-BE"/>
        </w:rPr>
        <w:tab/>
        <w:t>de</w:t>
      </w:r>
      <w:r w:rsidRPr="00C27636">
        <w:rPr>
          <w:rFonts w:ascii="Calibri" w:eastAsia="Calibri" w:hAnsi="Calibri" w:cs="Calibri"/>
          <w:sz w:val="20"/>
          <w:szCs w:val="20"/>
          <w:lang w:val="fr-BE"/>
        </w:rPr>
        <w:tab/>
        <w:t>l’enseignement</w:t>
      </w:r>
    </w:p>
    <w:p w:rsidR="00AC12B4" w:rsidRPr="00C27636" w:rsidRDefault="00AC12B4">
      <w:pPr>
        <w:spacing w:line="49" w:lineRule="exact"/>
        <w:rPr>
          <w:rFonts w:ascii="Calibri" w:eastAsia="Calibri" w:hAnsi="Calibri" w:cs="Calibri"/>
          <w:color w:val="0000FF"/>
          <w:sz w:val="20"/>
          <w:szCs w:val="20"/>
          <w:u w:val="single"/>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flamande, la forme actuelle de PISA ne permet</w:t>
      </w:r>
    </w:p>
    <w:p w:rsidR="00AC12B4" w:rsidRPr="00C27636" w:rsidRDefault="00C27636">
      <w:pPr>
        <w:spacing w:line="238" w:lineRule="auto"/>
        <w:ind w:left="560"/>
        <w:rPr>
          <w:sz w:val="20"/>
          <w:szCs w:val="20"/>
          <w:lang w:val="fr-BE"/>
        </w:rPr>
      </w:pPr>
      <w:r w:rsidRPr="00C27636">
        <w:rPr>
          <w:rFonts w:ascii="Calibri" w:eastAsia="Calibri" w:hAnsi="Calibri" w:cs="Calibri"/>
          <w:sz w:val="20"/>
          <w:szCs w:val="20"/>
          <w:lang w:val="fr-BE"/>
        </w:rPr>
        <w:t xml:space="preserve">pas de réaliser </w:t>
      </w:r>
      <w:r w:rsidRPr="00C27636">
        <w:rPr>
          <w:rFonts w:ascii="Calibri" w:eastAsia="Calibri" w:hAnsi="Calibri" w:cs="Calibri"/>
          <w:sz w:val="20"/>
          <w:szCs w:val="20"/>
          <w:lang w:val="fr-BE"/>
        </w:rPr>
        <w:t>l’enquête dans une autre langue</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tabs>
          <w:tab w:val="left" w:pos="1040"/>
          <w:tab w:val="left" w:pos="1360"/>
          <w:tab w:val="left" w:pos="2100"/>
          <w:tab w:val="left" w:pos="3360"/>
          <w:tab w:val="left" w:pos="3740"/>
          <w:tab w:val="left" w:pos="4180"/>
        </w:tabs>
        <w:ind w:left="560"/>
        <w:rPr>
          <w:sz w:val="20"/>
          <w:szCs w:val="20"/>
          <w:lang w:val="fr-BE"/>
        </w:rPr>
      </w:pPr>
      <w:r w:rsidRPr="00C27636">
        <w:rPr>
          <w:rFonts w:ascii="Calibri" w:eastAsia="Calibri" w:hAnsi="Calibri" w:cs="Calibri"/>
          <w:sz w:val="20"/>
          <w:szCs w:val="20"/>
          <w:lang w:val="fr-BE"/>
        </w:rPr>
        <w:t>que</w:t>
      </w:r>
      <w:r w:rsidRPr="00C27636">
        <w:rPr>
          <w:rFonts w:ascii="Calibri" w:eastAsia="Calibri" w:hAnsi="Calibri" w:cs="Calibri"/>
          <w:sz w:val="20"/>
          <w:szCs w:val="20"/>
          <w:lang w:val="fr-BE"/>
        </w:rPr>
        <w:tab/>
        <w:t>la</w:t>
      </w:r>
      <w:r w:rsidRPr="00C27636">
        <w:rPr>
          <w:rFonts w:ascii="Calibri" w:eastAsia="Calibri" w:hAnsi="Calibri" w:cs="Calibri"/>
          <w:sz w:val="20"/>
          <w:szCs w:val="20"/>
          <w:lang w:val="fr-BE"/>
        </w:rPr>
        <w:tab/>
        <w:t>langue</w:t>
      </w:r>
      <w:r w:rsidRPr="00C27636">
        <w:rPr>
          <w:rFonts w:ascii="Calibri" w:eastAsia="Calibri" w:hAnsi="Calibri" w:cs="Calibri"/>
          <w:sz w:val="20"/>
          <w:szCs w:val="20"/>
          <w:lang w:val="fr-BE"/>
        </w:rPr>
        <w:tab/>
        <w:t>d’instruction,</w:t>
      </w:r>
      <w:r w:rsidRPr="00C27636">
        <w:rPr>
          <w:rFonts w:ascii="Calibri" w:eastAsia="Calibri" w:hAnsi="Calibri" w:cs="Calibri"/>
          <w:sz w:val="20"/>
          <w:szCs w:val="20"/>
          <w:lang w:val="fr-BE"/>
        </w:rPr>
        <w:tab/>
        <w:t>ce</w:t>
      </w:r>
      <w:r w:rsidRPr="00C27636">
        <w:rPr>
          <w:rFonts w:ascii="Calibri" w:eastAsia="Calibri" w:hAnsi="Calibri" w:cs="Calibri"/>
          <w:sz w:val="20"/>
          <w:szCs w:val="20"/>
          <w:lang w:val="fr-BE"/>
        </w:rPr>
        <w:tab/>
        <w:t>qui</w:t>
      </w:r>
      <w:r w:rsidRPr="00C27636">
        <w:rPr>
          <w:sz w:val="20"/>
          <w:szCs w:val="20"/>
          <w:lang w:val="fr-BE"/>
        </w:rPr>
        <w:tab/>
      </w:r>
      <w:r w:rsidRPr="00C27636">
        <w:rPr>
          <w:rFonts w:ascii="Calibri" w:eastAsia="Calibri" w:hAnsi="Calibri" w:cs="Calibri"/>
          <w:sz w:val="19"/>
          <w:szCs w:val="19"/>
          <w:lang w:val="fr-BE"/>
        </w:rPr>
        <w:t>est</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problématique pour les DASPA. En outre, des</w:t>
      </w:r>
    </w:p>
    <w:p w:rsidR="00AC12B4" w:rsidRPr="00C27636" w:rsidRDefault="00C27636">
      <w:pPr>
        <w:spacing w:line="238" w:lineRule="auto"/>
        <w:ind w:left="560"/>
        <w:rPr>
          <w:sz w:val="20"/>
          <w:szCs w:val="20"/>
          <w:lang w:val="fr-BE"/>
        </w:rPr>
      </w:pPr>
      <w:r w:rsidRPr="00C27636">
        <w:rPr>
          <w:rFonts w:ascii="Calibri" w:eastAsia="Calibri" w:hAnsi="Calibri" w:cs="Calibri"/>
          <w:sz w:val="20"/>
          <w:szCs w:val="20"/>
          <w:lang w:val="fr-BE"/>
        </w:rPr>
        <w:t>arguments budgétaires et comparabilités se</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heurtent à l’introduction d’enquêtes adaptées.</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tabs>
          <w:tab w:val="left" w:pos="2340"/>
          <w:tab w:val="left" w:pos="2760"/>
        </w:tabs>
        <w:ind w:left="560"/>
        <w:rPr>
          <w:sz w:val="20"/>
          <w:szCs w:val="20"/>
          <w:lang w:val="fr-BE"/>
        </w:rPr>
      </w:pPr>
      <w:r w:rsidRPr="00C27636">
        <w:rPr>
          <w:rFonts w:ascii="Calibri" w:eastAsia="Calibri" w:hAnsi="Calibri" w:cs="Calibri"/>
          <w:sz w:val="20"/>
          <w:szCs w:val="20"/>
          <w:lang w:val="fr-BE"/>
        </w:rPr>
        <w:t>HBSC  international</w:t>
      </w:r>
      <w:r w:rsidRPr="00C27636">
        <w:rPr>
          <w:rFonts w:ascii="Calibri" w:eastAsia="Calibri" w:hAnsi="Calibri" w:cs="Calibri"/>
          <w:sz w:val="20"/>
          <w:szCs w:val="20"/>
          <w:lang w:val="fr-BE"/>
        </w:rPr>
        <w:tab/>
        <w:t>fait</w:t>
      </w:r>
      <w:r w:rsidRPr="00C27636">
        <w:rPr>
          <w:rFonts w:ascii="Calibri" w:eastAsia="Calibri" w:hAnsi="Calibri" w:cs="Calibri"/>
          <w:sz w:val="20"/>
          <w:szCs w:val="20"/>
          <w:lang w:val="fr-BE"/>
        </w:rPr>
        <w:tab/>
        <w:t>pourtant  déjà  des</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démarches dans ce sens.</w:t>
      </w:r>
    </w:p>
    <w:p w:rsidR="00AC12B4" w:rsidRPr="00C27636" w:rsidRDefault="00AC12B4">
      <w:pPr>
        <w:spacing w:line="86" w:lineRule="exact"/>
        <w:rPr>
          <w:rFonts w:ascii="Calibri" w:eastAsia="Calibri" w:hAnsi="Calibri" w:cs="Calibri"/>
          <w:color w:val="0000FF"/>
          <w:sz w:val="20"/>
          <w:szCs w:val="20"/>
          <w:u w:val="single"/>
          <w:lang w:val="fr-BE"/>
        </w:rPr>
      </w:pPr>
    </w:p>
    <w:p w:rsidR="00AC12B4" w:rsidRPr="00C27636" w:rsidRDefault="00C27636">
      <w:pPr>
        <w:ind w:left="560"/>
        <w:rPr>
          <w:sz w:val="20"/>
          <w:szCs w:val="20"/>
          <w:lang w:val="fr-BE"/>
        </w:rPr>
      </w:pPr>
      <w:r w:rsidRPr="00C27636">
        <w:rPr>
          <w:rFonts w:ascii="Calibri" w:eastAsia="Calibri" w:hAnsi="Calibri" w:cs="Calibri"/>
          <w:sz w:val="25"/>
          <w:szCs w:val="25"/>
          <w:vertAlign w:val="superscript"/>
          <w:lang w:val="fr-BE"/>
        </w:rPr>
        <w:t>5</w:t>
      </w:r>
      <w:r w:rsidRPr="00C27636">
        <w:rPr>
          <w:rFonts w:ascii="Calibri" w:eastAsia="Calibri" w:hAnsi="Calibri" w:cs="Calibri"/>
          <w:sz w:val="20"/>
          <w:szCs w:val="20"/>
          <w:lang w:val="fr-BE"/>
        </w:rPr>
        <w:t xml:space="preserve">  seuls les élèves ayant finalisé la septième</w:t>
      </w:r>
    </w:p>
    <w:p w:rsidR="00AC12B4" w:rsidRPr="00C27636" w:rsidRDefault="00C27636">
      <w:pPr>
        <w:spacing w:line="212" w:lineRule="auto"/>
        <w:ind w:left="560"/>
        <w:rPr>
          <w:sz w:val="20"/>
          <w:szCs w:val="20"/>
          <w:lang w:val="fr-BE"/>
        </w:rPr>
      </w:pPr>
      <w:r w:rsidRPr="00C27636">
        <w:rPr>
          <w:rFonts w:ascii="Calibri" w:eastAsia="Calibri" w:hAnsi="Calibri" w:cs="Calibri"/>
          <w:sz w:val="20"/>
          <w:szCs w:val="20"/>
          <w:lang w:val="fr-BE"/>
        </w:rPr>
        <w:t>année acquièrent le diplôme nécessaire pour</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ind w:left="560"/>
        <w:rPr>
          <w:sz w:val="20"/>
          <w:szCs w:val="20"/>
          <w:lang w:val="fr-BE"/>
        </w:rPr>
      </w:pPr>
      <w:r w:rsidRPr="00C27636">
        <w:rPr>
          <w:rFonts w:ascii="Calibri" w:eastAsia="Calibri" w:hAnsi="Calibri" w:cs="Calibri"/>
          <w:sz w:val="20"/>
          <w:szCs w:val="20"/>
          <w:lang w:val="fr-BE"/>
        </w:rPr>
        <w:t>pouvoir entamer des études supérieures</w:t>
      </w:r>
    </w:p>
    <w:p w:rsidR="00AC12B4" w:rsidRPr="00C27636" w:rsidRDefault="00AC12B4">
      <w:pPr>
        <w:spacing w:line="254" w:lineRule="exact"/>
        <w:rPr>
          <w:rFonts w:ascii="Calibri" w:eastAsia="Calibri" w:hAnsi="Calibri" w:cs="Calibri"/>
          <w:color w:val="0000FF"/>
          <w:sz w:val="20"/>
          <w:szCs w:val="20"/>
          <w:u w:val="single"/>
          <w:lang w:val="fr-BE"/>
        </w:rPr>
      </w:pPr>
    </w:p>
    <w:p w:rsidR="00AC12B4" w:rsidRPr="00C27636" w:rsidRDefault="00C27636">
      <w:pPr>
        <w:ind w:left="521"/>
        <w:jc w:val="center"/>
        <w:rPr>
          <w:sz w:val="20"/>
          <w:szCs w:val="20"/>
          <w:lang w:val="fr-BE"/>
        </w:rPr>
      </w:pPr>
      <w:r w:rsidRPr="00C27636">
        <w:rPr>
          <w:rFonts w:ascii="Calibri" w:eastAsia="Calibri" w:hAnsi="Calibri" w:cs="Calibri"/>
          <w:sz w:val="21"/>
          <w:szCs w:val="21"/>
          <w:lang w:val="fr-BE"/>
        </w:rPr>
        <w:t>111</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51" w:lineRule="exact"/>
        <w:rPr>
          <w:rFonts w:ascii="Calibri" w:eastAsia="Calibri" w:hAnsi="Calibri" w:cs="Calibri"/>
          <w:color w:val="0000FF"/>
          <w:sz w:val="20"/>
          <w:szCs w:val="20"/>
          <w:u w:val="single"/>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94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t>Le droit à l’enseignement</w:t>
            </w:r>
          </w:p>
        </w:tc>
      </w:tr>
    </w:tbl>
    <w:p w:rsidR="00AC12B4" w:rsidRDefault="00AC12B4">
      <w:pPr>
        <w:sectPr w:rsidR="00AC12B4">
          <w:type w:val="continuous"/>
          <w:pgSz w:w="12080" w:h="17179"/>
          <w:pgMar w:top="1440" w:right="557" w:bottom="659" w:left="1440" w:header="0" w:footer="0" w:gutter="0"/>
          <w:cols w:num="2" w:space="720" w:equalWidth="0">
            <w:col w:w="9079" w:space="720"/>
            <w:col w:w="281"/>
          </w:cols>
        </w:sectPr>
      </w:pPr>
    </w:p>
    <w:p w:rsidR="00AC12B4" w:rsidRDefault="00AC12B4">
      <w:pPr>
        <w:spacing w:line="197" w:lineRule="auto"/>
        <w:rPr>
          <w:sz w:val="20"/>
          <w:szCs w:val="20"/>
        </w:rPr>
      </w:pPr>
      <w:bookmarkStart w:id="111" w:name="page112"/>
      <w:bookmarkEnd w:id="111"/>
    </w:p>
    <w:p w:rsidR="00AC12B4" w:rsidRDefault="00AC12B4">
      <w:pPr>
        <w:sectPr w:rsidR="00AC12B4">
          <w:pgSz w:w="12080" w:h="17179"/>
          <w:pgMar w:top="1440" w:right="1440" w:bottom="875" w:left="1440" w:header="0" w:footer="0" w:gutter="0"/>
          <w:cols w:space="0"/>
        </w:sectPr>
      </w:pPr>
    </w:p>
    <w:p w:rsidR="00AC12B4" w:rsidRDefault="00AC12B4">
      <w:pPr>
        <w:spacing w:line="168" w:lineRule="exact"/>
        <w:rPr>
          <w:sz w:val="20"/>
          <w:szCs w:val="20"/>
        </w:rPr>
      </w:pPr>
      <w:bookmarkStart w:id="112" w:name="page113"/>
      <w:bookmarkEnd w:id="112"/>
    </w:p>
    <w:p w:rsidR="00AC12B4" w:rsidRPr="00C27636" w:rsidRDefault="00C27636">
      <w:pPr>
        <w:spacing w:line="276" w:lineRule="auto"/>
        <w:ind w:left="1460" w:right="720"/>
        <w:rPr>
          <w:sz w:val="20"/>
          <w:szCs w:val="20"/>
          <w:lang w:val="fr-BE"/>
        </w:rPr>
      </w:pPr>
      <w:r w:rsidRPr="00C27636">
        <w:rPr>
          <w:rFonts w:ascii="Comic Sans MS" w:eastAsia="Comic Sans MS" w:hAnsi="Comic Sans MS" w:cs="Comic Sans MS"/>
          <w:color w:val="8BCCEC"/>
          <w:sz w:val="40"/>
          <w:szCs w:val="40"/>
          <w:lang w:val="fr-BE"/>
        </w:rPr>
        <w:t xml:space="preserve">E3. Répartition des </w:t>
      </w:r>
      <w:r w:rsidRPr="00C27636">
        <w:rPr>
          <w:rFonts w:ascii="Comic Sans MS" w:eastAsia="Comic Sans MS" w:hAnsi="Comic Sans MS" w:cs="Comic Sans MS"/>
          <w:color w:val="8BCCEC"/>
          <w:sz w:val="40"/>
          <w:szCs w:val="40"/>
          <w:lang w:val="fr-BE"/>
        </w:rPr>
        <w:t>élèves dans l’enseignement spécialisé et ordinaire</w:t>
      </w:r>
    </w:p>
    <w:p w:rsidR="00AC12B4" w:rsidRPr="00C27636" w:rsidRDefault="00AC12B4">
      <w:pPr>
        <w:spacing w:line="193" w:lineRule="exact"/>
        <w:rPr>
          <w:sz w:val="20"/>
          <w:szCs w:val="20"/>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2100"/>
        <w:gridCol w:w="980"/>
        <w:gridCol w:w="460"/>
        <w:gridCol w:w="580"/>
        <w:gridCol w:w="480"/>
        <w:gridCol w:w="420"/>
        <w:gridCol w:w="1040"/>
        <w:gridCol w:w="360"/>
        <w:gridCol w:w="280"/>
        <w:gridCol w:w="180"/>
        <w:gridCol w:w="280"/>
        <w:gridCol w:w="100"/>
        <w:gridCol w:w="520"/>
        <w:gridCol w:w="620"/>
        <w:gridCol w:w="280"/>
        <w:gridCol w:w="220"/>
        <w:gridCol w:w="40"/>
        <w:gridCol w:w="340"/>
        <w:gridCol w:w="120"/>
        <w:gridCol w:w="220"/>
        <w:gridCol w:w="300"/>
        <w:gridCol w:w="720"/>
        <w:gridCol w:w="30"/>
      </w:tblGrid>
      <w:tr w:rsidR="00AC12B4">
        <w:trPr>
          <w:trHeight w:val="90"/>
        </w:trPr>
        <w:tc>
          <w:tcPr>
            <w:tcW w:w="2100" w:type="dxa"/>
            <w:tcBorders>
              <w:bottom w:val="single" w:sz="8" w:space="0" w:color="44ACE0"/>
            </w:tcBorders>
            <w:vAlign w:val="bottom"/>
          </w:tcPr>
          <w:p w:rsidR="00AC12B4" w:rsidRPr="00C27636" w:rsidRDefault="00AC12B4">
            <w:pPr>
              <w:rPr>
                <w:sz w:val="7"/>
                <w:szCs w:val="7"/>
                <w:lang w:val="fr-BE"/>
              </w:rPr>
            </w:pPr>
          </w:p>
        </w:tc>
        <w:tc>
          <w:tcPr>
            <w:tcW w:w="980" w:type="dxa"/>
            <w:tcBorders>
              <w:bottom w:val="single" w:sz="8" w:space="0" w:color="44ACE0"/>
            </w:tcBorders>
            <w:vAlign w:val="bottom"/>
          </w:tcPr>
          <w:p w:rsidR="00AC12B4" w:rsidRPr="00C27636" w:rsidRDefault="00AC12B4">
            <w:pPr>
              <w:rPr>
                <w:sz w:val="7"/>
                <w:szCs w:val="7"/>
                <w:lang w:val="fr-BE"/>
              </w:rPr>
            </w:pPr>
          </w:p>
        </w:tc>
        <w:tc>
          <w:tcPr>
            <w:tcW w:w="460" w:type="dxa"/>
            <w:tcBorders>
              <w:bottom w:val="single" w:sz="8" w:space="0" w:color="44ACE0"/>
            </w:tcBorders>
            <w:vAlign w:val="bottom"/>
          </w:tcPr>
          <w:p w:rsidR="00AC12B4" w:rsidRPr="00C27636" w:rsidRDefault="00AC12B4">
            <w:pPr>
              <w:rPr>
                <w:sz w:val="7"/>
                <w:szCs w:val="7"/>
                <w:lang w:val="fr-BE"/>
              </w:rPr>
            </w:pPr>
          </w:p>
        </w:tc>
        <w:tc>
          <w:tcPr>
            <w:tcW w:w="580" w:type="dxa"/>
            <w:tcBorders>
              <w:bottom w:val="single" w:sz="8" w:space="0" w:color="44ACE0"/>
            </w:tcBorders>
            <w:vAlign w:val="bottom"/>
          </w:tcPr>
          <w:p w:rsidR="00AC12B4" w:rsidRPr="00C27636" w:rsidRDefault="00AC12B4">
            <w:pPr>
              <w:rPr>
                <w:sz w:val="7"/>
                <w:szCs w:val="7"/>
                <w:lang w:val="fr-BE"/>
              </w:rPr>
            </w:pPr>
          </w:p>
        </w:tc>
        <w:tc>
          <w:tcPr>
            <w:tcW w:w="480" w:type="dxa"/>
            <w:tcBorders>
              <w:bottom w:val="single" w:sz="8" w:space="0" w:color="44ACE0"/>
            </w:tcBorders>
            <w:vAlign w:val="bottom"/>
          </w:tcPr>
          <w:p w:rsidR="00AC12B4" w:rsidRPr="00C27636" w:rsidRDefault="00AC12B4">
            <w:pPr>
              <w:rPr>
                <w:sz w:val="7"/>
                <w:szCs w:val="7"/>
                <w:lang w:val="fr-BE"/>
              </w:rPr>
            </w:pPr>
          </w:p>
        </w:tc>
        <w:tc>
          <w:tcPr>
            <w:tcW w:w="420" w:type="dxa"/>
            <w:tcBorders>
              <w:bottom w:val="single" w:sz="8" w:space="0" w:color="44ACE0"/>
            </w:tcBorders>
            <w:vAlign w:val="bottom"/>
          </w:tcPr>
          <w:p w:rsidR="00AC12B4" w:rsidRPr="00C27636" w:rsidRDefault="00AC12B4">
            <w:pPr>
              <w:rPr>
                <w:sz w:val="7"/>
                <w:szCs w:val="7"/>
                <w:lang w:val="fr-BE"/>
              </w:rPr>
            </w:pPr>
          </w:p>
        </w:tc>
        <w:tc>
          <w:tcPr>
            <w:tcW w:w="1040" w:type="dxa"/>
            <w:tcBorders>
              <w:bottom w:val="single" w:sz="8" w:space="0" w:color="44ACE0"/>
            </w:tcBorders>
            <w:vAlign w:val="bottom"/>
          </w:tcPr>
          <w:p w:rsidR="00AC12B4" w:rsidRPr="00C27636" w:rsidRDefault="00AC12B4">
            <w:pPr>
              <w:rPr>
                <w:sz w:val="7"/>
                <w:szCs w:val="7"/>
                <w:lang w:val="fr-BE"/>
              </w:rPr>
            </w:pPr>
          </w:p>
        </w:tc>
        <w:tc>
          <w:tcPr>
            <w:tcW w:w="360" w:type="dxa"/>
            <w:tcBorders>
              <w:bottom w:val="single" w:sz="8" w:space="0" w:color="44ACE0"/>
            </w:tcBorders>
            <w:vAlign w:val="bottom"/>
          </w:tcPr>
          <w:p w:rsidR="00AC12B4" w:rsidRPr="00C27636" w:rsidRDefault="00AC12B4">
            <w:pPr>
              <w:rPr>
                <w:sz w:val="7"/>
                <w:szCs w:val="7"/>
                <w:lang w:val="fr-BE"/>
              </w:rPr>
            </w:pPr>
          </w:p>
        </w:tc>
        <w:tc>
          <w:tcPr>
            <w:tcW w:w="280" w:type="dxa"/>
            <w:tcBorders>
              <w:bottom w:val="single" w:sz="8" w:space="0" w:color="44ACE0"/>
            </w:tcBorders>
            <w:vAlign w:val="bottom"/>
          </w:tcPr>
          <w:p w:rsidR="00AC12B4" w:rsidRPr="00C27636" w:rsidRDefault="00AC12B4">
            <w:pPr>
              <w:rPr>
                <w:sz w:val="7"/>
                <w:szCs w:val="7"/>
                <w:lang w:val="fr-BE"/>
              </w:rPr>
            </w:pPr>
          </w:p>
        </w:tc>
        <w:tc>
          <w:tcPr>
            <w:tcW w:w="180" w:type="dxa"/>
            <w:vAlign w:val="bottom"/>
          </w:tcPr>
          <w:p w:rsidR="00AC12B4" w:rsidRPr="00C27636" w:rsidRDefault="00AC12B4">
            <w:pPr>
              <w:rPr>
                <w:sz w:val="7"/>
                <w:szCs w:val="7"/>
                <w:lang w:val="fr-BE"/>
              </w:rPr>
            </w:pPr>
          </w:p>
        </w:tc>
        <w:tc>
          <w:tcPr>
            <w:tcW w:w="2740" w:type="dxa"/>
            <w:gridSpan w:val="10"/>
            <w:vMerge w:val="restart"/>
            <w:vAlign w:val="bottom"/>
          </w:tcPr>
          <w:p w:rsidR="00AC12B4" w:rsidRDefault="00C27636">
            <w:pPr>
              <w:ind w:left="20"/>
              <w:rPr>
                <w:sz w:val="20"/>
                <w:szCs w:val="20"/>
              </w:rPr>
            </w:pPr>
            <w:r>
              <w:rPr>
                <w:rFonts w:ascii="Calibri" w:eastAsia="Calibri" w:hAnsi="Calibri" w:cs="Calibri"/>
              </w:rPr>
              <w:t>enseignement  inclusif  pour</w:t>
            </w:r>
          </w:p>
        </w:tc>
        <w:tc>
          <w:tcPr>
            <w:tcW w:w="1020" w:type="dxa"/>
            <w:gridSpan w:val="2"/>
            <w:vMerge w:val="restart"/>
            <w:vAlign w:val="bottom"/>
          </w:tcPr>
          <w:p w:rsidR="00AC12B4" w:rsidRDefault="00C27636">
            <w:pPr>
              <w:ind w:right="720"/>
              <w:jc w:val="right"/>
              <w:rPr>
                <w:sz w:val="20"/>
                <w:szCs w:val="20"/>
              </w:rPr>
            </w:pPr>
            <w:r>
              <w:rPr>
                <w:rFonts w:ascii="Calibri" w:eastAsia="Calibri" w:hAnsi="Calibri" w:cs="Calibri"/>
              </w:rPr>
              <w:t>les</w:t>
            </w:r>
          </w:p>
        </w:tc>
        <w:tc>
          <w:tcPr>
            <w:tcW w:w="0" w:type="dxa"/>
            <w:vAlign w:val="bottom"/>
          </w:tcPr>
          <w:p w:rsidR="00AC12B4" w:rsidRDefault="00AC12B4">
            <w:pPr>
              <w:rPr>
                <w:sz w:val="1"/>
                <w:szCs w:val="1"/>
              </w:rPr>
            </w:pPr>
          </w:p>
        </w:tc>
      </w:tr>
      <w:tr w:rsidR="00AC12B4">
        <w:trPr>
          <w:trHeight w:val="159"/>
        </w:trPr>
        <w:tc>
          <w:tcPr>
            <w:tcW w:w="2100" w:type="dxa"/>
            <w:tcBorders>
              <w:left w:val="single" w:sz="8" w:space="0" w:color="44ACE0"/>
            </w:tcBorders>
            <w:shd w:val="clear" w:color="auto" w:fill="8BCCEC"/>
            <w:vAlign w:val="bottom"/>
          </w:tcPr>
          <w:p w:rsidR="00AC12B4" w:rsidRDefault="00AC12B4">
            <w:pPr>
              <w:rPr>
                <w:sz w:val="13"/>
                <w:szCs w:val="13"/>
              </w:rPr>
            </w:pPr>
          </w:p>
        </w:tc>
        <w:tc>
          <w:tcPr>
            <w:tcW w:w="980" w:type="dxa"/>
            <w:shd w:val="clear" w:color="auto" w:fill="8BCCEC"/>
            <w:vAlign w:val="bottom"/>
          </w:tcPr>
          <w:p w:rsidR="00AC12B4" w:rsidRDefault="00AC12B4">
            <w:pPr>
              <w:rPr>
                <w:sz w:val="13"/>
                <w:szCs w:val="13"/>
              </w:rPr>
            </w:pPr>
          </w:p>
        </w:tc>
        <w:tc>
          <w:tcPr>
            <w:tcW w:w="460" w:type="dxa"/>
            <w:shd w:val="clear" w:color="auto" w:fill="8BCCEC"/>
            <w:vAlign w:val="bottom"/>
          </w:tcPr>
          <w:p w:rsidR="00AC12B4" w:rsidRDefault="00AC12B4">
            <w:pPr>
              <w:rPr>
                <w:sz w:val="13"/>
                <w:szCs w:val="13"/>
              </w:rPr>
            </w:pPr>
          </w:p>
        </w:tc>
        <w:tc>
          <w:tcPr>
            <w:tcW w:w="580" w:type="dxa"/>
            <w:shd w:val="clear" w:color="auto" w:fill="8BCCEC"/>
            <w:vAlign w:val="bottom"/>
          </w:tcPr>
          <w:p w:rsidR="00AC12B4" w:rsidRDefault="00AC12B4">
            <w:pPr>
              <w:rPr>
                <w:sz w:val="13"/>
                <w:szCs w:val="13"/>
              </w:rPr>
            </w:pPr>
          </w:p>
        </w:tc>
        <w:tc>
          <w:tcPr>
            <w:tcW w:w="480" w:type="dxa"/>
            <w:shd w:val="clear" w:color="auto" w:fill="8BCCEC"/>
            <w:vAlign w:val="bottom"/>
          </w:tcPr>
          <w:p w:rsidR="00AC12B4" w:rsidRDefault="00AC12B4">
            <w:pPr>
              <w:rPr>
                <w:sz w:val="13"/>
                <w:szCs w:val="13"/>
              </w:rPr>
            </w:pPr>
          </w:p>
        </w:tc>
        <w:tc>
          <w:tcPr>
            <w:tcW w:w="420" w:type="dxa"/>
            <w:shd w:val="clear" w:color="auto" w:fill="8BCCEC"/>
            <w:vAlign w:val="bottom"/>
          </w:tcPr>
          <w:p w:rsidR="00AC12B4" w:rsidRDefault="00AC12B4">
            <w:pPr>
              <w:rPr>
                <w:sz w:val="13"/>
                <w:szCs w:val="13"/>
              </w:rPr>
            </w:pPr>
          </w:p>
        </w:tc>
        <w:tc>
          <w:tcPr>
            <w:tcW w:w="1040" w:type="dxa"/>
            <w:shd w:val="clear" w:color="auto" w:fill="8BCCEC"/>
            <w:vAlign w:val="bottom"/>
          </w:tcPr>
          <w:p w:rsidR="00AC12B4" w:rsidRDefault="00AC12B4">
            <w:pPr>
              <w:rPr>
                <w:sz w:val="13"/>
                <w:szCs w:val="13"/>
              </w:rPr>
            </w:pPr>
          </w:p>
        </w:tc>
        <w:tc>
          <w:tcPr>
            <w:tcW w:w="360" w:type="dxa"/>
            <w:shd w:val="clear" w:color="auto" w:fill="8BCCEC"/>
            <w:vAlign w:val="bottom"/>
          </w:tcPr>
          <w:p w:rsidR="00AC12B4" w:rsidRDefault="00AC12B4">
            <w:pPr>
              <w:rPr>
                <w:sz w:val="13"/>
                <w:szCs w:val="13"/>
              </w:rPr>
            </w:pPr>
          </w:p>
        </w:tc>
        <w:tc>
          <w:tcPr>
            <w:tcW w:w="280" w:type="dxa"/>
            <w:tcBorders>
              <w:right w:val="single" w:sz="8" w:space="0" w:color="44ACE0"/>
            </w:tcBorders>
            <w:shd w:val="clear" w:color="auto" w:fill="8BCCEC"/>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2740" w:type="dxa"/>
            <w:gridSpan w:val="10"/>
            <w:vMerge/>
            <w:vAlign w:val="bottom"/>
          </w:tcPr>
          <w:p w:rsidR="00AC12B4" w:rsidRDefault="00AC12B4">
            <w:pPr>
              <w:rPr>
                <w:sz w:val="13"/>
                <w:szCs w:val="13"/>
              </w:rPr>
            </w:pPr>
          </w:p>
        </w:tc>
        <w:tc>
          <w:tcPr>
            <w:tcW w:w="1020" w:type="dxa"/>
            <w:gridSpan w:val="2"/>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269"/>
        </w:trPr>
        <w:tc>
          <w:tcPr>
            <w:tcW w:w="2100" w:type="dxa"/>
            <w:tcBorders>
              <w:left w:val="single" w:sz="8" w:space="0" w:color="44ACE0"/>
            </w:tcBorders>
            <w:shd w:val="clear" w:color="auto" w:fill="8BCCEC"/>
            <w:vAlign w:val="bottom"/>
          </w:tcPr>
          <w:p w:rsidR="00AC12B4" w:rsidRDefault="00AC12B4">
            <w:pPr>
              <w:rPr>
                <w:sz w:val="23"/>
                <w:szCs w:val="23"/>
              </w:rPr>
            </w:pPr>
          </w:p>
        </w:tc>
        <w:tc>
          <w:tcPr>
            <w:tcW w:w="980" w:type="dxa"/>
            <w:shd w:val="clear" w:color="auto" w:fill="8BCCEC"/>
            <w:vAlign w:val="bottom"/>
          </w:tcPr>
          <w:p w:rsidR="00AC12B4" w:rsidRDefault="00AC12B4">
            <w:pPr>
              <w:rPr>
                <w:sz w:val="23"/>
                <w:szCs w:val="23"/>
              </w:rPr>
            </w:pPr>
          </w:p>
        </w:tc>
        <w:tc>
          <w:tcPr>
            <w:tcW w:w="460" w:type="dxa"/>
            <w:shd w:val="clear" w:color="auto" w:fill="8BCCEC"/>
            <w:vAlign w:val="bottom"/>
          </w:tcPr>
          <w:p w:rsidR="00AC12B4" w:rsidRDefault="00AC12B4">
            <w:pPr>
              <w:rPr>
                <w:sz w:val="23"/>
                <w:szCs w:val="23"/>
              </w:rPr>
            </w:pPr>
          </w:p>
        </w:tc>
        <w:tc>
          <w:tcPr>
            <w:tcW w:w="580" w:type="dxa"/>
            <w:shd w:val="clear" w:color="auto" w:fill="8BCCEC"/>
            <w:vAlign w:val="bottom"/>
          </w:tcPr>
          <w:p w:rsidR="00AC12B4" w:rsidRDefault="00AC12B4">
            <w:pPr>
              <w:rPr>
                <w:sz w:val="23"/>
                <w:szCs w:val="23"/>
              </w:rPr>
            </w:pPr>
          </w:p>
        </w:tc>
        <w:tc>
          <w:tcPr>
            <w:tcW w:w="480" w:type="dxa"/>
            <w:shd w:val="clear" w:color="auto" w:fill="8BCCEC"/>
            <w:vAlign w:val="bottom"/>
          </w:tcPr>
          <w:p w:rsidR="00AC12B4" w:rsidRDefault="00AC12B4">
            <w:pPr>
              <w:rPr>
                <w:sz w:val="23"/>
                <w:szCs w:val="23"/>
              </w:rPr>
            </w:pPr>
          </w:p>
        </w:tc>
        <w:tc>
          <w:tcPr>
            <w:tcW w:w="420" w:type="dxa"/>
            <w:shd w:val="clear" w:color="auto" w:fill="8BCCEC"/>
            <w:vAlign w:val="bottom"/>
          </w:tcPr>
          <w:p w:rsidR="00AC12B4" w:rsidRDefault="00AC12B4">
            <w:pPr>
              <w:rPr>
                <w:sz w:val="23"/>
                <w:szCs w:val="23"/>
              </w:rPr>
            </w:pPr>
          </w:p>
        </w:tc>
        <w:tc>
          <w:tcPr>
            <w:tcW w:w="1040" w:type="dxa"/>
            <w:shd w:val="clear" w:color="auto" w:fill="8BCCEC"/>
            <w:vAlign w:val="bottom"/>
          </w:tcPr>
          <w:p w:rsidR="00AC12B4" w:rsidRDefault="00AC12B4">
            <w:pPr>
              <w:rPr>
                <w:sz w:val="23"/>
                <w:szCs w:val="23"/>
              </w:rPr>
            </w:pPr>
          </w:p>
        </w:tc>
        <w:tc>
          <w:tcPr>
            <w:tcW w:w="360" w:type="dxa"/>
            <w:shd w:val="clear" w:color="auto" w:fill="8BCCEC"/>
            <w:vAlign w:val="bottom"/>
          </w:tcPr>
          <w:p w:rsidR="00AC12B4" w:rsidRDefault="00AC12B4">
            <w:pPr>
              <w:rPr>
                <w:sz w:val="23"/>
                <w:szCs w:val="23"/>
              </w:rPr>
            </w:pPr>
          </w:p>
        </w:tc>
        <w:tc>
          <w:tcPr>
            <w:tcW w:w="280" w:type="dxa"/>
            <w:tcBorders>
              <w:right w:val="single" w:sz="8" w:space="0" w:color="44ACE0"/>
            </w:tcBorders>
            <w:shd w:val="clear" w:color="auto" w:fill="8BCCEC"/>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740" w:type="dxa"/>
            <w:gridSpan w:val="10"/>
            <w:vAlign w:val="bottom"/>
          </w:tcPr>
          <w:p w:rsidR="00AC12B4" w:rsidRDefault="00C27636">
            <w:pPr>
              <w:ind w:left="20"/>
              <w:rPr>
                <w:sz w:val="20"/>
                <w:szCs w:val="20"/>
              </w:rPr>
            </w:pPr>
            <w:r>
              <w:rPr>
                <w:rFonts w:ascii="Calibri" w:eastAsia="Calibri" w:hAnsi="Calibri" w:cs="Calibri"/>
              </w:rPr>
              <w:t>enfants porteurs de handicap.</w:t>
            </w:r>
          </w:p>
        </w:tc>
        <w:tc>
          <w:tcPr>
            <w:tcW w:w="300" w:type="dxa"/>
            <w:vAlign w:val="bottom"/>
          </w:tcPr>
          <w:p w:rsidR="00AC12B4" w:rsidRDefault="00AC12B4">
            <w:pPr>
              <w:rPr>
                <w:sz w:val="23"/>
                <w:szCs w:val="23"/>
              </w:rPr>
            </w:pPr>
          </w:p>
        </w:tc>
        <w:tc>
          <w:tcPr>
            <w:tcW w:w="72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89"/>
        </w:trPr>
        <w:tc>
          <w:tcPr>
            <w:tcW w:w="2100" w:type="dxa"/>
            <w:vMerge w:val="restart"/>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Article 28 CIDE</w:t>
            </w:r>
          </w:p>
        </w:tc>
        <w:tc>
          <w:tcPr>
            <w:tcW w:w="980" w:type="dxa"/>
            <w:shd w:val="clear" w:color="auto" w:fill="8BCCEC"/>
            <w:vAlign w:val="bottom"/>
          </w:tcPr>
          <w:p w:rsidR="00AC12B4" w:rsidRDefault="00AC12B4">
            <w:pPr>
              <w:rPr>
                <w:sz w:val="24"/>
                <w:szCs w:val="24"/>
              </w:rPr>
            </w:pPr>
          </w:p>
        </w:tc>
        <w:tc>
          <w:tcPr>
            <w:tcW w:w="460" w:type="dxa"/>
            <w:shd w:val="clear" w:color="auto" w:fill="8BCCEC"/>
            <w:vAlign w:val="bottom"/>
          </w:tcPr>
          <w:p w:rsidR="00AC12B4" w:rsidRDefault="00AC12B4">
            <w:pPr>
              <w:rPr>
                <w:sz w:val="24"/>
                <w:szCs w:val="24"/>
              </w:rPr>
            </w:pPr>
          </w:p>
        </w:tc>
        <w:tc>
          <w:tcPr>
            <w:tcW w:w="580" w:type="dxa"/>
            <w:shd w:val="clear" w:color="auto" w:fill="8BCCEC"/>
            <w:vAlign w:val="bottom"/>
          </w:tcPr>
          <w:p w:rsidR="00AC12B4" w:rsidRDefault="00AC12B4">
            <w:pPr>
              <w:rPr>
                <w:sz w:val="24"/>
                <w:szCs w:val="24"/>
              </w:rPr>
            </w:pPr>
          </w:p>
        </w:tc>
        <w:tc>
          <w:tcPr>
            <w:tcW w:w="480" w:type="dxa"/>
            <w:shd w:val="clear" w:color="auto" w:fill="8BCCEC"/>
            <w:vAlign w:val="bottom"/>
          </w:tcPr>
          <w:p w:rsidR="00AC12B4" w:rsidRDefault="00AC12B4">
            <w:pPr>
              <w:rPr>
                <w:sz w:val="24"/>
                <w:szCs w:val="24"/>
              </w:rPr>
            </w:pPr>
          </w:p>
        </w:tc>
        <w:tc>
          <w:tcPr>
            <w:tcW w:w="420" w:type="dxa"/>
            <w:shd w:val="clear" w:color="auto" w:fill="8BCCEC"/>
            <w:vAlign w:val="bottom"/>
          </w:tcPr>
          <w:p w:rsidR="00AC12B4" w:rsidRDefault="00AC12B4">
            <w:pPr>
              <w:rPr>
                <w:sz w:val="24"/>
                <w:szCs w:val="24"/>
              </w:rPr>
            </w:pPr>
          </w:p>
        </w:tc>
        <w:tc>
          <w:tcPr>
            <w:tcW w:w="1040" w:type="dxa"/>
            <w:shd w:val="clear" w:color="auto" w:fill="8BCCEC"/>
            <w:vAlign w:val="bottom"/>
          </w:tcPr>
          <w:p w:rsidR="00AC12B4" w:rsidRDefault="00AC12B4">
            <w:pPr>
              <w:rPr>
                <w:sz w:val="24"/>
                <w:szCs w:val="24"/>
              </w:rPr>
            </w:pPr>
          </w:p>
        </w:tc>
        <w:tc>
          <w:tcPr>
            <w:tcW w:w="360" w:type="dxa"/>
            <w:shd w:val="clear" w:color="auto" w:fill="8BCCEC"/>
            <w:vAlign w:val="bottom"/>
          </w:tcPr>
          <w:p w:rsidR="00AC12B4" w:rsidRDefault="00AC12B4">
            <w:pPr>
              <w:rPr>
                <w:sz w:val="24"/>
                <w:szCs w:val="24"/>
              </w:rPr>
            </w:pPr>
          </w:p>
        </w:tc>
        <w:tc>
          <w:tcPr>
            <w:tcW w:w="280" w:type="dxa"/>
            <w:tcBorders>
              <w:right w:val="single" w:sz="8" w:space="0" w:color="44ACE0"/>
            </w:tcBorders>
            <w:shd w:val="clear" w:color="auto" w:fill="8BCCEC"/>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80" w:type="dxa"/>
            <w:vAlign w:val="bottom"/>
          </w:tcPr>
          <w:p w:rsidR="00AC12B4" w:rsidRDefault="00C27636">
            <w:pPr>
              <w:ind w:left="20"/>
              <w:rPr>
                <w:sz w:val="20"/>
                <w:szCs w:val="20"/>
              </w:rPr>
            </w:pPr>
            <w:r>
              <w:rPr>
                <w:rFonts w:ascii="Calibri" w:eastAsia="Calibri" w:hAnsi="Calibri" w:cs="Calibri"/>
              </w:rPr>
              <w:t>En</w:t>
            </w:r>
          </w:p>
        </w:tc>
        <w:tc>
          <w:tcPr>
            <w:tcW w:w="100" w:type="dxa"/>
            <w:vAlign w:val="bottom"/>
          </w:tcPr>
          <w:p w:rsidR="00AC12B4" w:rsidRDefault="00AC12B4">
            <w:pPr>
              <w:rPr>
                <w:sz w:val="24"/>
                <w:szCs w:val="24"/>
              </w:rPr>
            </w:pPr>
          </w:p>
        </w:tc>
        <w:tc>
          <w:tcPr>
            <w:tcW w:w="1420" w:type="dxa"/>
            <w:gridSpan w:val="3"/>
            <w:vAlign w:val="bottom"/>
          </w:tcPr>
          <w:p w:rsidR="00AC12B4" w:rsidRDefault="00C27636">
            <w:pPr>
              <w:ind w:left="40"/>
              <w:rPr>
                <w:sz w:val="20"/>
                <w:szCs w:val="20"/>
              </w:rPr>
            </w:pPr>
            <w:r>
              <w:rPr>
                <w:rFonts w:ascii="Calibri" w:eastAsia="Calibri" w:hAnsi="Calibri" w:cs="Calibri"/>
              </w:rPr>
              <w:t>Communauté</w:t>
            </w:r>
          </w:p>
        </w:tc>
        <w:tc>
          <w:tcPr>
            <w:tcW w:w="940" w:type="dxa"/>
            <w:gridSpan w:val="5"/>
            <w:vAlign w:val="bottom"/>
          </w:tcPr>
          <w:p w:rsidR="00AC12B4" w:rsidRDefault="00C27636">
            <w:pPr>
              <w:ind w:left="20"/>
              <w:rPr>
                <w:sz w:val="20"/>
                <w:szCs w:val="20"/>
              </w:rPr>
            </w:pPr>
            <w:r>
              <w:rPr>
                <w:rFonts w:ascii="Calibri" w:eastAsia="Calibri" w:hAnsi="Calibri" w:cs="Calibri"/>
                <w:w w:val="99"/>
              </w:rPr>
              <w:t>flamande,</w:t>
            </w:r>
          </w:p>
        </w:tc>
        <w:tc>
          <w:tcPr>
            <w:tcW w:w="1020" w:type="dxa"/>
            <w:gridSpan w:val="2"/>
            <w:vAlign w:val="bottom"/>
          </w:tcPr>
          <w:p w:rsidR="00AC12B4" w:rsidRDefault="00C27636">
            <w:pPr>
              <w:ind w:right="720"/>
              <w:jc w:val="right"/>
              <w:rPr>
                <w:sz w:val="20"/>
                <w:szCs w:val="20"/>
              </w:rPr>
            </w:pPr>
            <w:r>
              <w:rPr>
                <w:rFonts w:ascii="Calibri" w:eastAsia="Calibri" w:hAnsi="Calibri" w:cs="Calibri"/>
              </w:rPr>
              <w:t>le</w:t>
            </w:r>
          </w:p>
        </w:tc>
        <w:tc>
          <w:tcPr>
            <w:tcW w:w="0" w:type="dxa"/>
            <w:vAlign w:val="bottom"/>
          </w:tcPr>
          <w:p w:rsidR="00AC12B4" w:rsidRDefault="00AC12B4">
            <w:pPr>
              <w:rPr>
                <w:sz w:val="1"/>
                <w:szCs w:val="1"/>
              </w:rPr>
            </w:pPr>
          </w:p>
        </w:tc>
      </w:tr>
      <w:tr w:rsidR="00AC12B4">
        <w:trPr>
          <w:trHeight w:val="137"/>
        </w:trPr>
        <w:tc>
          <w:tcPr>
            <w:tcW w:w="2100" w:type="dxa"/>
            <w:vMerge/>
            <w:tcBorders>
              <w:left w:val="single" w:sz="8" w:space="0" w:color="44ACE0"/>
            </w:tcBorders>
            <w:shd w:val="clear" w:color="auto" w:fill="8BCCEC"/>
            <w:vAlign w:val="bottom"/>
          </w:tcPr>
          <w:p w:rsidR="00AC12B4" w:rsidRDefault="00AC12B4">
            <w:pPr>
              <w:rPr>
                <w:sz w:val="11"/>
                <w:szCs w:val="11"/>
              </w:rPr>
            </w:pPr>
          </w:p>
        </w:tc>
        <w:tc>
          <w:tcPr>
            <w:tcW w:w="980" w:type="dxa"/>
            <w:shd w:val="clear" w:color="auto" w:fill="8BCCEC"/>
            <w:vAlign w:val="bottom"/>
          </w:tcPr>
          <w:p w:rsidR="00AC12B4" w:rsidRDefault="00AC12B4">
            <w:pPr>
              <w:rPr>
                <w:sz w:val="11"/>
                <w:szCs w:val="11"/>
              </w:rPr>
            </w:pPr>
          </w:p>
        </w:tc>
        <w:tc>
          <w:tcPr>
            <w:tcW w:w="460" w:type="dxa"/>
            <w:shd w:val="clear" w:color="auto" w:fill="8BCCEC"/>
            <w:vAlign w:val="bottom"/>
          </w:tcPr>
          <w:p w:rsidR="00AC12B4" w:rsidRDefault="00AC12B4">
            <w:pPr>
              <w:rPr>
                <w:sz w:val="11"/>
                <w:szCs w:val="11"/>
              </w:rPr>
            </w:pPr>
          </w:p>
        </w:tc>
        <w:tc>
          <w:tcPr>
            <w:tcW w:w="580" w:type="dxa"/>
            <w:shd w:val="clear" w:color="auto" w:fill="8BCCEC"/>
            <w:vAlign w:val="bottom"/>
          </w:tcPr>
          <w:p w:rsidR="00AC12B4" w:rsidRDefault="00AC12B4">
            <w:pPr>
              <w:rPr>
                <w:sz w:val="11"/>
                <w:szCs w:val="11"/>
              </w:rPr>
            </w:pPr>
          </w:p>
        </w:tc>
        <w:tc>
          <w:tcPr>
            <w:tcW w:w="480" w:type="dxa"/>
            <w:shd w:val="clear" w:color="auto" w:fill="8BCCEC"/>
            <w:vAlign w:val="bottom"/>
          </w:tcPr>
          <w:p w:rsidR="00AC12B4" w:rsidRDefault="00AC12B4">
            <w:pPr>
              <w:rPr>
                <w:sz w:val="11"/>
                <w:szCs w:val="11"/>
              </w:rPr>
            </w:pPr>
          </w:p>
        </w:tc>
        <w:tc>
          <w:tcPr>
            <w:tcW w:w="420" w:type="dxa"/>
            <w:shd w:val="clear" w:color="auto" w:fill="8BCCEC"/>
            <w:vAlign w:val="bottom"/>
          </w:tcPr>
          <w:p w:rsidR="00AC12B4" w:rsidRDefault="00AC12B4">
            <w:pPr>
              <w:rPr>
                <w:sz w:val="11"/>
                <w:szCs w:val="11"/>
              </w:rPr>
            </w:pPr>
          </w:p>
        </w:tc>
        <w:tc>
          <w:tcPr>
            <w:tcW w:w="1040" w:type="dxa"/>
            <w:shd w:val="clear" w:color="auto" w:fill="8BCCEC"/>
            <w:vAlign w:val="bottom"/>
          </w:tcPr>
          <w:p w:rsidR="00AC12B4" w:rsidRDefault="00AC12B4">
            <w:pPr>
              <w:rPr>
                <w:sz w:val="11"/>
                <w:szCs w:val="11"/>
              </w:rPr>
            </w:pPr>
          </w:p>
        </w:tc>
        <w:tc>
          <w:tcPr>
            <w:tcW w:w="360" w:type="dxa"/>
            <w:shd w:val="clear" w:color="auto" w:fill="8BCCEC"/>
            <w:vAlign w:val="bottom"/>
          </w:tcPr>
          <w:p w:rsidR="00AC12B4" w:rsidRDefault="00AC12B4">
            <w:pPr>
              <w:rPr>
                <w:sz w:val="11"/>
                <w:szCs w:val="11"/>
              </w:rPr>
            </w:pPr>
          </w:p>
        </w:tc>
        <w:tc>
          <w:tcPr>
            <w:tcW w:w="280" w:type="dxa"/>
            <w:tcBorders>
              <w:right w:val="single" w:sz="8" w:space="0" w:color="44ACE0"/>
            </w:tcBorders>
            <w:shd w:val="clear" w:color="auto" w:fill="8BCCEC"/>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520" w:type="dxa"/>
            <w:gridSpan w:val="4"/>
            <w:vMerge w:val="restart"/>
            <w:vAlign w:val="bottom"/>
          </w:tcPr>
          <w:p w:rsidR="00AC12B4" w:rsidRDefault="00C27636">
            <w:pPr>
              <w:ind w:left="20"/>
              <w:rPr>
                <w:sz w:val="20"/>
                <w:szCs w:val="20"/>
              </w:rPr>
            </w:pPr>
            <w:r>
              <w:rPr>
                <w:rFonts w:ascii="Calibri" w:eastAsia="Calibri" w:hAnsi="Calibri" w:cs="Calibri"/>
              </w:rPr>
              <w:t>pourcentage</w:t>
            </w:r>
          </w:p>
        </w:tc>
        <w:tc>
          <w:tcPr>
            <w:tcW w:w="1000" w:type="dxa"/>
            <w:gridSpan w:val="5"/>
            <w:vMerge w:val="restart"/>
            <w:vAlign w:val="bottom"/>
          </w:tcPr>
          <w:p w:rsidR="00AC12B4" w:rsidRDefault="00C27636">
            <w:pPr>
              <w:rPr>
                <w:sz w:val="20"/>
                <w:szCs w:val="20"/>
              </w:rPr>
            </w:pPr>
            <w:r>
              <w:rPr>
                <w:rFonts w:ascii="Calibri" w:eastAsia="Calibri" w:hAnsi="Calibri" w:cs="Calibri"/>
              </w:rPr>
              <w:t>d’élèves</w:t>
            </w:r>
          </w:p>
        </w:tc>
        <w:tc>
          <w:tcPr>
            <w:tcW w:w="1240" w:type="dxa"/>
            <w:gridSpan w:val="3"/>
            <w:vMerge w:val="restart"/>
            <w:vAlign w:val="bottom"/>
          </w:tcPr>
          <w:p w:rsidR="00AC12B4" w:rsidRDefault="00C27636">
            <w:pPr>
              <w:ind w:right="700"/>
              <w:jc w:val="right"/>
              <w:rPr>
                <w:sz w:val="20"/>
                <w:szCs w:val="20"/>
              </w:rPr>
            </w:pPr>
            <w:r>
              <w:rPr>
                <w:rFonts w:ascii="Calibri" w:eastAsia="Calibri" w:hAnsi="Calibri" w:cs="Calibri"/>
              </w:rPr>
              <w:t>dans</w:t>
            </w:r>
          </w:p>
        </w:tc>
        <w:tc>
          <w:tcPr>
            <w:tcW w:w="0" w:type="dxa"/>
            <w:vAlign w:val="bottom"/>
          </w:tcPr>
          <w:p w:rsidR="00AC12B4" w:rsidRDefault="00AC12B4">
            <w:pPr>
              <w:rPr>
                <w:sz w:val="1"/>
                <w:szCs w:val="1"/>
              </w:rPr>
            </w:pPr>
          </w:p>
        </w:tc>
      </w:tr>
      <w:tr w:rsidR="00AC12B4">
        <w:trPr>
          <w:trHeight w:val="132"/>
        </w:trPr>
        <w:tc>
          <w:tcPr>
            <w:tcW w:w="2100" w:type="dxa"/>
            <w:tcBorders>
              <w:left w:val="single" w:sz="8" w:space="0" w:color="44ACE0"/>
            </w:tcBorders>
            <w:shd w:val="clear" w:color="auto" w:fill="8BCCEC"/>
            <w:vAlign w:val="bottom"/>
          </w:tcPr>
          <w:p w:rsidR="00AC12B4" w:rsidRDefault="00AC12B4">
            <w:pPr>
              <w:rPr>
                <w:sz w:val="11"/>
                <w:szCs w:val="11"/>
              </w:rPr>
            </w:pPr>
          </w:p>
        </w:tc>
        <w:tc>
          <w:tcPr>
            <w:tcW w:w="980" w:type="dxa"/>
            <w:shd w:val="clear" w:color="auto" w:fill="8BCCEC"/>
            <w:vAlign w:val="bottom"/>
          </w:tcPr>
          <w:p w:rsidR="00AC12B4" w:rsidRDefault="00AC12B4">
            <w:pPr>
              <w:rPr>
                <w:sz w:val="11"/>
                <w:szCs w:val="11"/>
              </w:rPr>
            </w:pPr>
          </w:p>
        </w:tc>
        <w:tc>
          <w:tcPr>
            <w:tcW w:w="460" w:type="dxa"/>
            <w:shd w:val="clear" w:color="auto" w:fill="8BCCEC"/>
            <w:vAlign w:val="bottom"/>
          </w:tcPr>
          <w:p w:rsidR="00AC12B4" w:rsidRDefault="00AC12B4">
            <w:pPr>
              <w:rPr>
                <w:sz w:val="11"/>
                <w:szCs w:val="11"/>
              </w:rPr>
            </w:pPr>
          </w:p>
        </w:tc>
        <w:tc>
          <w:tcPr>
            <w:tcW w:w="580" w:type="dxa"/>
            <w:shd w:val="clear" w:color="auto" w:fill="8BCCEC"/>
            <w:vAlign w:val="bottom"/>
          </w:tcPr>
          <w:p w:rsidR="00AC12B4" w:rsidRDefault="00AC12B4">
            <w:pPr>
              <w:rPr>
                <w:sz w:val="11"/>
                <w:szCs w:val="11"/>
              </w:rPr>
            </w:pPr>
          </w:p>
        </w:tc>
        <w:tc>
          <w:tcPr>
            <w:tcW w:w="480" w:type="dxa"/>
            <w:shd w:val="clear" w:color="auto" w:fill="8BCCEC"/>
            <w:vAlign w:val="bottom"/>
          </w:tcPr>
          <w:p w:rsidR="00AC12B4" w:rsidRDefault="00AC12B4">
            <w:pPr>
              <w:rPr>
                <w:sz w:val="11"/>
                <w:szCs w:val="11"/>
              </w:rPr>
            </w:pPr>
          </w:p>
        </w:tc>
        <w:tc>
          <w:tcPr>
            <w:tcW w:w="420" w:type="dxa"/>
            <w:shd w:val="clear" w:color="auto" w:fill="8BCCEC"/>
            <w:vAlign w:val="bottom"/>
          </w:tcPr>
          <w:p w:rsidR="00AC12B4" w:rsidRDefault="00AC12B4">
            <w:pPr>
              <w:rPr>
                <w:sz w:val="11"/>
                <w:szCs w:val="11"/>
              </w:rPr>
            </w:pPr>
          </w:p>
        </w:tc>
        <w:tc>
          <w:tcPr>
            <w:tcW w:w="1040" w:type="dxa"/>
            <w:shd w:val="clear" w:color="auto" w:fill="8BCCEC"/>
            <w:vAlign w:val="bottom"/>
          </w:tcPr>
          <w:p w:rsidR="00AC12B4" w:rsidRDefault="00AC12B4">
            <w:pPr>
              <w:rPr>
                <w:sz w:val="11"/>
                <w:szCs w:val="11"/>
              </w:rPr>
            </w:pPr>
          </w:p>
        </w:tc>
        <w:tc>
          <w:tcPr>
            <w:tcW w:w="360" w:type="dxa"/>
            <w:shd w:val="clear" w:color="auto" w:fill="8BCCEC"/>
            <w:vAlign w:val="bottom"/>
          </w:tcPr>
          <w:p w:rsidR="00AC12B4" w:rsidRDefault="00AC12B4">
            <w:pPr>
              <w:rPr>
                <w:sz w:val="11"/>
                <w:szCs w:val="11"/>
              </w:rPr>
            </w:pPr>
          </w:p>
        </w:tc>
        <w:tc>
          <w:tcPr>
            <w:tcW w:w="280" w:type="dxa"/>
            <w:tcBorders>
              <w:right w:val="single" w:sz="8" w:space="0" w:color="44ACE0"/>
            </w:tcBorders>
            <w:shd w:val="clear" w:color="auto" w:fill="8BCCEC"/>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520" w:type="dxa"/>
            <w:gridSpan w:val="4"/>
            <w:vMerge/>
            <w:vAlign w:val="bottom"/>
          </w:tcPr>
          <w:p w:rsidR="00AC12B4" w:rsidRDefault="00AC12B4">
            <w:pPr>
              <w:rPr>
                <w:sz w:val="11"/>
                <w:szCs w:val="11"/>
              </w:rPr>
            </w:pPr>
          </w:p>
        </w:tc>
        <w:tc>
          <w:tcPr>
            <w:tcW w:w="1000" w:type="dxa"/>
            <w:gridSpan w:val="5"/>
            <w:vMerge/>
            <w:vAlign w:val="bottom"/>
          </w:tcPr>
          <w:p w:rsidR="00AC12B4" w:rsidRDefault="00AC12B4">
            <w:pPr>
              <w:rPr>
                <w:sz w:val="11"/>
                <w:szCs w:val="11"/>
              </w:rPr>
            </w:pPr>
          </w:p>
        </w:tc>
        <w:tc>
          <w:tcPr>
            <w:tcW w:w="1240" w:type="dxa"/>
            <w:gridSpan w:val="3"/>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69"/>
        </w:trPr>
        <w:tc>
          <w:tcPr>
            <w:tcW w:w="6700" w:type="dxa"/>
            <w:gridSpan w:val="9"/>
            <w:tcBorders>
              <w:left w:val="single" w:sz="8" w:space="0" w:color="44ACE0"/>
              <w:right w:val="single" w:sz="8" w:space="0" w:color="44ACE0"/>
            </w:tcBorders>
            <w:shd w:val="clear" w:color="auto" w:fill="8BCCEC"/>
            <w:vAlign w:val="bottom"/>
          </w:tcPr>
          <w:p w:rsidR="00AC12B4" w:rsidRPr="00C27636" w:rsidRDefault="00C27636">
            <w:pPr>
              <w:spacing w:line="257" w:lineRule="exact"/>
              <w:ind w:left="580"/>
              <w:rPr>
                <w:sz w:val="20"/>
                <w:szCs w:val="20"/>
                <w:lang w:val="fr-BE"/>
              </w:rPr>
            </w:pPr>
            <w:r w:rsidRPr="00C27636">
              <w:rPr>
                <w:rFonts w:ascii="Calibri" w:eastAsia="Calibri" w:hAnsi="Calibri" w:cs="Calibri"/>
                <w:i/>
                <w:iCs/>
                <w:color w:val="DAEEF3"/>
                <w:lang w:val="fr-BE"/>
              </w:rPr>
              <w:t>1. Les Etats parties reconnaissent le droit de l’enfant à l’éducation,</w:t>
            </w:r>
          </w:p>
        </w:tc>
        <w:tc>
          <w:tcPr>
            <w:tcW w:w="180" w:type="dxa"/>
            <w:vAlign w:val="bottom"/>
          </w:tcPr>
          <w:p w:rsidR="00AC12B4" w:rsidRPr="00C27636" w:rsidRDefault="00AC12B4">
            <w:pPr>
              <w:rPr>
                <w:sz w:val="23"/>
                <w:szCs w:val="23"/>
                <w:lang w:val="fr-BE"/>
              </w:rPr>
            </w:pPr>
          </w:p>
        </w:tc>
        <w:tc>
          <w:tcPr>
            <w:tcW w:w="1520" w:type="dxa"/>
            <w:gridSpan w:val="4"/>
            <w:vAlign w:val="bottom"/>
          </w:tcPr>
          <w:p w:rsidR="00AC12B4" w:rsidRDefault="00C27636">
            <w:pPr>
              <w:ind w:left="20"/>
              <w:rPr>
                <w:sz w:val="20"/>
                <w:szCs w:val="20"/>
              </w:rPr>
            </w:pPr>
            <w:r>
              <w:rPr>
                <w:rFonts w:ascii="Calibri" w:eastAsia="Calibri" w:hAnsi="Calibri" w:cs="Calibri"/>
              </w:rPr>
              <w:t>l’enseignement</w:t>
            </w:r>
          </w:p>
        </w:tc>
        <w:tc>
          <w:tcPr>
            <w:tcW w:w="1000" w:type="dxa"/>
            <w:gridSpan w:val="5"/>
            <w:vAlign w:val="bottom"/>
          </w:tcPr>
          <w:p w:rsidR="00AC12B4" w:rsidRDefault="00C27636">
            <w:pPr>
              <w:ind w:left="140"/>
              <w:rPr>
                <w:sz w:val="20"/>
                <w:szCs w:val="20"/>
              </w:rPr>
            </w:pPr>
            <w:r>
              <w:rPr>
                <w:rFonts w:ascii="Calibri" w:eastAsia="Calibri" w:hAnsi="Calibri" w:cs="Calibri"/>
                <w:w w:val="98"/>
              </w:rPr>
              <w:t>spécialisé</w:t>
            </w:r>
          </w:p>
        </w:tc>
        <w:tc>
          <w:tcPr>
            <w:tcW w:w="220" w:type="dxa"/>
            <w:vAlign w:val="bottom"/>
          </w:tcPr>
          <w:p w:rsidR="00AC12B4" w:rsidRDefault="00AC12B4">
            <w:pPr>
              <w:rPr>
                <w:sz w:val="23"/>
                <w:szCs w:val="23"/>
              </w:rPr>
            </w:pPr>
          </w:p>
        </w:tc>
        <w:tc>
          <w:tcPr>
            <w:tcW w:w="1020" w:type="dxa"/>
            <w:gridSpan w:val="2"/>
            <w:vAlign w:val="bottom"/>
          </w:tcPr>
          <w:p w:rsidR="00AC12B4" w:rsidRDefault="00C27636">
            <w:pPr>
              <w:ind w:right="720"/>
              <w:jc w:val="right"/>
              <w:rPr>
                <w:sz w:val="20"/>
                <w:szCs w:val="20"/>
              </w:rPr>
            </w:pPr>
            <w:r>
              <w:rPr>
                <w:rFonts w:ascii="Calibri" w:eastAsia="Calibri" w:hAnsi="Calibri" w:cs="Calibri"/>
              </w:rPr>
              <w:t>est</w:t>
            </w:r>
          </w:p>
        </w:tc>
        <w:tc>
          <w:tcPr>
            <w:tcW w:w="0" w:type="dxa"/>
            <w:vAlign w:val="bottom"/>
          </w:tcPr>
          <w:p w:rsidR="00AC12B4" w:rsidRDefault="00AC12B4">
            <w:pPr>
              <w:rPr>
                <w:sz w:val="1"/>
                <w:szCs w:val="1"/>
              </w:rPr>
            </w:pPr>
          </w:p>
        </w:tc>
      </w:tr>
      <w:tr w:rsidR="00AC12B4" w:rsidRPr="00C27636">
        <w:trPr>
          <w:trHeight w:val="269"/>
        </w:trPr>
        <w:tc>
          <w:tcPr>
            <w:tcW w:w="6700" w:type="dxa"/>
            <w:gridSpan w:val="9"/>
            <w:tcBorders>
              <w:left w:val="single" w:sz="8" w:space="0" w:color="44ACE0"/>
              <w:right w:val="single" w:sz="8" w:space="0" w:color="44ACE0"/>
            </w:tcBorders>
            <w:shd w:val="clear" w:color="auto" w:fill="8BCCEC"/>
            <w:vAlign w:val="bottom"/>
          </w:tcPr>
          <w:p w:rsidR="00AC12B4" w:rsidRPr="00C27636" w:rsidRDefault="00C27636">
            <w:pPr>
              <w:spacing w:line="257" w:lineRule="exact"/>
              <w:ind w:left="580"/>
              <w:rPr>
                <w:sz w:val="20"/>
                <w:szCs w:val="20"/>
                <w:lang w:val="fr-BE"/>
              </w:rPr>
            </w:pPr>
            <w:r w:rsidRPr="00C27636">
              <w:rPr>
                <w:rFonts w:ascii="Calibri" w:eastAsia="Calibri" w:hAnsi="Calibri" w:cs="Calibri"/>
                <w:i/>
                <w:iCs/>
                <w:color w:val="DAEEF3"/>
                <w:lang w:val="fr-BE"/>
              </w:rPr>
              <w:t>et  en  particulier,  en  vue  d’assurer  l’exercice  de  ce  droit</w:t>
            </w:r>
          </w:p>
        </w:tc>
        <w:tc>
          <w:tcPr>
            <w:tcW w:w="180" w:type="dxa"/>
            <w:vAlign w:val="bottom"/>
          </w:tcPr>
          <w:p w:rsidR="00AC12B4" w:rsidRPr="00C27636" w:rsidRDefault="00AC12B4">
            <w:pPr>
              <w:rPr>
                <w:sz w:val="23"/>
                <w:szCs w:val="23"/>
                <w:lang w:val="fr-BE"/>
              </w:rPr>
            </w:pPr>
          </w:p>
        </w:tc>
        <w:tc>
          <w:tcPr>
            <w:tcW w:w="3760" w:type="dxa"/>
            <w:gridSpan w:val="12"/>
            <w:vAlign w:val="bottom"/>
          </w:tcPr>
          <w:p w:rsidR="00AC12B4" w:rsidRPr="00C27636" w:rsidRDefault="00C27636">
            <w:pPr>
              <w:ind w:right="720"/>
              <w:jc w:val="right"/>
              <w:rPr>
                <w:sz w:val="20"/>
                <w:szCs w:val="20"/>
                <w:lang w:val="fr-BE"/>
              </w:rPr>
            </w:pPr>
            <w:r w:rsidRPr="00C27636">
              <w:rPr>
                <w:rFonts w:ascii="Calibri" w:eastAsia="Calibri" w:hAnsi="Calibri" w:cs="Calibri"/>
                <w:lang w:val="fr-BE"/>
              </w:rPr>
              <w:t>assez  stable  en  maternelle  et</w:t>
            </w:r>
          </w:p>
        </w:tc>
        <w:tc>
          <w:tcPr>
            <w:tcW w:w="0" w:type="dxa"/>
            <w:vAlign w:val="bottom"/>
          </w:tcPr>
          <w:p w:rsidR="00AC12B4" w:rsidRPr="00C27636" w:rsidRDefault="00AC12B4">
            <w:pPr>
              <w:rPr>
                <w:sz w:val="1"/>
                <w:szCs w:val="1"/>
                <w:lang w:val="fr-BE"/>
              </w:rPr>
            </w:pPr>
          </w:p>
        </w:tc>
      </w:tr>
      <w:tr w:rsidR="00AC12B4">
        <w:trPr>
          <w:trHeight w:val="269"/>
        </w:trPr>
        <w:tc>
          <w:tcPr>
            <w:tcW w:w="6060" w:type="dxa"/>
            <w:gridSpan w:val="7"/>
            <w:tcBorders>
              <w:left w:val="single" w:sz="8" w:space="0" w:color="44ACE0"/>
            </w:tcBorders>
            <w:shd w:val="clear" w:color="auto" w:fill="8BCCEC"/>
            <w:vAlign w:val="bottom"/>
          </w:tcPr>
          <w:p w:rsidR="00AC12B4" w:rsidRPr="00C27636" w:rsidRDefault="00C27636">
            <w:pPr>
              <w:spacing w:line="257" w:lineRule="exact"/>
              <w:ind w:left="580"/>
              <w:rPr>
                <w:sz w:val="20"/>
                <w:szCs w:val="20"/>
                <w:lang w:val="fr-BE"/>
              </w:rPr>
            </w:pPr>
            <w:r w:rsidRPr="00C27636">
              <w:rPr>
                <w:rFonts w:ascii="Calibri" w:eastAsia="Calibri" w:hAnsi="Calibri" w:cs="Calibri"/>
                <w:i/>
                <w:iCs/>
                <w:color w:val="DAEEF3"/>
                <w:lang w:val="fr-BE"/>
              </w:rPr>
              <w:t xml:space="preserve">progressivement et sur la base de </w:t>
            </w:r>
            <w:r w:rsidRPr="00C27636">
              <w:rPr>
                <w:rFonts w:ascii="Calibri" w:eastAsia="Calibri" w:hAnsi="Calibri" w:cs="Calibri"/>
                <w:i/>
                <w:iCs/>
                <w:color w:val="DAEEF3"/>
                <w:lang w:val="fr-BE"/>
              </w:rPr>
              <w:t>l’égalité des chances :</w:t>
            </w:r>
          </w:p>
        </w:tc>
        <w:tc>
          <w:tcPr>
            <w:tcW w:w="360" w:type="dxa"/>
            <w:shd w:val="clear" w:color="auto" w:fill="8BCCEC"/>
            <w:vAlign w:val="bottom"/>
          </w:tcPr>
          <w:p w:rsidR="00AC12B4" w:rsidRPr="00C27636" w:rsidRDefault="00AC12B4">
            <w:pPr>
              <w:rPr>
                <w:sz w:val="23"/>
                <w:szCs w:val="23"/>
                <w:lang w:val="fr-BE"/>
              </w:rPr>
            </w:pPr>
          </w:p>
        </w:tc>
        <w:tc>
          <w:tcPr>
            <w:tcW w:w="28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3760" w:type="dxa"/>
            <w:gridSpan w:val="12"/>
            <w:vAlign w:val="bottom"/>
          </w:tcPr>
          <w:p w:rsidR="00AC12B4" w:rsidRDefault="00C27636">
            <w:pPr>
              <w:ind w:right="720"/>
              <w:jc w:val="right"/>
              <w:rPr>
                <w:sz w:val="20"/>
                <w:szCs w:val="20"/>
              </w:rPr>
            </w:pPr>
            <w:r>
              <w:rPr>
                <w:rFonts w:ascii="Calibri" w:eastAsia="Calibri" w:hAnsi="Calibri" w:cs="Calibri"/>
              </w:rPr>
              <w:t>tourne  autour  de  0.75%,  en</w:t>
            </w:r>
          </w:p>
        </w:tc>
        <w:tc>
          <w:tcPr>
            <w:tcW w:w="0" w:type="dxa"/>
            <w:vAlign w:val="bottom"/>
          </w:tcPr>
          <w:p w:rsidR="00AC12B4" w:rsidRDefault="00AC12B4">
            <w:pPr>
              <w:rPr>
                <w:sz w:val="1"/>
                <w:szCs w:val="1"/>
              </w:rPr>
            </w:pPr>
          </w:p>
        </w:tc>
      </w:tr>
      <w:tr w:rsidR="00AC12B4" w:rsidRPr="00C27636">
        <w:trPr>
          <w:trHeight w:val="314"/>
        </w:trPr>
        <w:tc>
          <w:tcPr>
            <w:tcW w:w="670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b)  Ils  encouragent  l’organisation  de  différentes  formes</w:t>
            </w:r>
          </w:p>
        </w:tc>
        <w:tc>
          <w:tcPr>
            <w:tcW w:w="180" w:type="dxa"/>
            <w:vAlign w:val="bottom"/>
          </w:tcPr>
          <w:p w:rsidR="00AC12B4" w:rsidRPr="00C27636" w:rsidRDefault="00AC12B4">
            <w:pPr>
              <w:rPr>
                <w:sz w:val="24"/>
                <w:szCs w:val="24"/>
                <w:lang w:val="fr-BE"/>
              </w:rPr>
            </w:pPr>
          </w:p>
        </w:tc>
        <w:tc>
          <w:tcPr>
            <w:tcW w:w="3760" w:type="dxa"/>
            <w:gridSpan w:val="12"/>
            <w:vAlign w:val="bottom"/>
          </w:tcPr>
          <w:p w:rsidR="00AC12B4" w:rsidRPr="00C27636" w:rsidRDefault="00C27636">
            <w:pPr>
              <w:ind w:right="720"/>
              <w:jc w:val="right"/>
              <w:rPr>
                <w:sz w:val="20"/>
                <w:szCs w:val="20"/>
                <w:lang w:val="fr-BE"/>
              </w:rPr>
            </w:pPr>
            <w:r w:rsidRPr="00C27636">
              <w:rPr>
                <w:rFonts w:ascii="Calibri" w:eastAsia="Calibri" w:hAnsi="Calibri" w:cs="Calibri"/>
                <w:lang w:val="fr-BE"/>
              </w:rPr>
              <w:t>légère diminution en primaire (de</w:t>
            </w:r>
          </w:p>
        </w:tc>
        <w:tc>
          <w:tcPr>
            <w:tcW w:w="0" w:type="dxa"/>
            <w:vAlign w:val="bottom"/>
          </w:tcPr>
          <w:p w:rsidR="00AC12B4" w:rsidRPr="00C27636" w:rsidRDefault="00AC12B4">
            <w:pPr>
              <w:rPr>
                <w:sz w:val="1"/>
                <w:szCs w:val="1"/>
                <w:lang w:val="fr-BE"/>
              </w:rPr>
            </w:pPr>
          </w:p>
        </w:tc>
      </w:tr>
      <w:tr w:rsidR="00AC12B4">
        <w:trPr>
          <w:trHeight w:val="269"/>
        </w:trPr>
        <w:tc>
          <w:tcPr>
            <w:tcW w:w="670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lastRenderedPageBreak/>
              <w:t>d’enseignement secondaire, tant général que professionnel, les</w:t>
            </w:r>
          </w:p>
        </w:tc>
        <w:tc>
          <w:tcPr>
            <w:tcW w:w="180" w:type="dxa"/>
            <w:vAlign w:val="bottom"/>
          </w:tcPr>
          <w:p w:rsidR="00AC12B4" w:rsidRPr="00C27636" w:rsidRDefault="00AC12B4">
            <w:pPr>
              <w:rPr>
                <w:sz w:val="23"/>
                <w:szCs w:val="23"/>
                <w:lang w:val="fr-BE"/>
              </w:rPr>
            </w:pPr>
          </w:p>
        </w:tc>
        <w:tc>
          <w:tcPr>
            <w:tcW w:w="3760" w:type="dxa"/>
            <w:gridSpan w:val="12"/>
            <w:vAlign w:val="bottom"/>
          </w:tcPr>
          <w:p w:rsidR="00AC12B4" w:rsidRDefault="00C27636">
            <w:pPr>
              <w:spacing w:line="224" w:lineRule="exact"/>
              <w:ind w:right="720"/>
              <w:jc w:val="right"/>
              <w:rPr>
                <w:sz w:val="20"/>
                <w:szCs w:val="20"/>
              </w:rPr>
            </w:pPr>
            <w:r>
              <w:rPr>
                <w:rFonts w:ascii="Calibri" w:eastAsia="Calibri" w:hAnsi="Calibri" w:cs="Calibri"/>
              </w:rPr>
              <w:t>6.8% en 2009-2010 à 6.3% en</w:t>
            </w:r>
          </w:p>
        </w:tc>
        <w:tc>
          <w:tcPr>
            <w:tcW w:w="0" w:type="dxa"/>
            <w:vAlign w:val="bottom"/>
          </w:tcPr>
          <w:p w:rsidR="00AC12B4" w:rsidRDefault="00AC12B4">
            <w:pPr>
              <w:rPr>
                <w:sz w:val="1"/>
                <w:szCs w:val="1"/>
              </w:rPr>
            </w:pPr>
          </w:p>
        </w:tc>
      </w:tr>
      <w:tr w:rsidR="00AC12B4">
        <w:trPr>
          <w:trHeight w:val="269"/>
        </w:trPr>
        <w:tc>
          <w:tcPr>
            <w:tcW w:w="6700" w:type="dxa"/>
            <w:gridSpan w:val="9"/>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rendent ouvertes et accessibles à tout enfant, et prennent des</w:t>
            </w:r>
          </w:p>
        </w:tc>
        <w:tc>
          <w:tcPr>
            <w:tcW w:w="180" w:type="dxa"/>
            <w:vAlign w:val="bottom"/>
          </w:tcPr>
          <w:p w:rsidR="00AC12B4" w:rsidRPr="00C27636" w:rsidRDefault="00AC12B4">
            <w:pPr>
              <w:rPr>
                <w:sz w:val="23"/>
                <w:szCs w:val="23"/>
                <w:lang w:val="fr-BE"/>
              </w:rPr>
            </w:pPr>
          </w:p>
        </w:tc>
        <w:tc>
          <w:tcPr>
            <w:tcW w:w="3760" w:type="dxa"/>
            <w:gridSpan w:val="12"/>
            <w:vAlign w:val="bottom"/>
          </w:tcPr>
          <w:p w:rsidR="00AC12B4" w:rsidRDefault="00C27636">
            <w:pPr>
              <w:spacing w:line="221" w:lineRule="exact"/>
              <w:ind w:right="700"/>
              <w:jc w:val="right"/>
              <w:rPr>
                <w:sz w:val="20"/>
                <w:szCs w:val="20"/>
              </w:rPr>
            </w:pPr>
            <w:r>
              <w:rPr>
                <w:rFonts w:ascii="Calibri" w:eastAsia="Calibri" w:hAnsi="Calibri" w:cs="Calibri"/>
              </w:rPr>
              <w:t>2014-2015) et en augmentation</w:t>
            </w:r>
          </w:p>
        </w:tc>
        <w:tc>
          <w:tcPr>
            <w:tcW w:w="0" w:type="dxa"/>
            <w:vAlign w:val="bottom"/>
          </w:tcPr>
          <w:p w:rsidR="00AC12B4" w:rsidRDefault="00AC12B4">
            <w:pPr>
              <w:rPr>
                <w:sz w:val="1"/>
                <w:szCs w:val="1"/>
              </w:rPr>
            </w:pPr>
          </w:p>
        </w:tc>
      </w:tr>
      <w:tr w:rsidR="00AC12B4">
        <w:trPr>
          <w:trHeight w:val="230"/>
        </w:trPr>
        <w:tc>
          <w:tcPr>
            <w:tcW w:w="6700" w:type="dxa"/>
            <w:gridSpan w:val="9"/>
            <w:tcBorders>
              <w:left w:val="single" w:sz="8" w:space="0" w:color="44ACE0"/>
              <w:right w:val="single" w:sz="8" w:space="0" w:color="44ACE0"/>
            </w:tcBorders>
            <w:shd w:val="clear" w:color="auto" w:fill="8BCCEC"/>
            <w:vAlign w:val="bottom"/>
          </w:tcPr>
          <w:p w:rsidR="00AC12B4" w:rsidRPr="00C27636" w:rsidRDefault="00C27636">
            <w:pPr>
              <w:spacing w:line="230" w:lineRule="exact"/>
              <w:ind w:left="580"/>
              <w:rPr>
                <w:sz w:val="20"/>
                <w:szCs w:val="20"/>
                <w:lang w:val="fr-BE"/>
              </w:rPr>
            </w:pPr>
            <w:r w:rsidRPr="00C27636">
              <w:rPr>
                <w:rFonts w:ascii="Calibri" w:eastAsia="Calibri" w:hAnsi="Calibri" w:cs="Calibri"/>
                <w:i/>
                <w:iCs/>
                <w:color w:val="DAEEF3"/>
                <w:lang w:val="fr-BE"/>
              </w:rPr>
              <w:t>mesures appropriées, telles que l’instauration de la gratuité de</w:t>
            </w:r>
          </w:p>
        </w:tc>
        <w:tc>
          <w:tcPr>
            <w:tcW w:w="180" w:type="dxa"/>
            <w:vAlign w:val="bottom"/>
          </w:tcPr>
          <w:p w:rsidR="00AC12B4" w:rsidRPr="00C27636" w:rsidRDefault="00AC12B4">
            <w:pPr>
              <w:rPr>
                <w:sz w:val="20"/>
                <w:szCs w:val="20"/>
                <w:lang w:val="fr-BE"/>
              </w:rPr>
            </w:pPr>
          </w:p>
        </w:tc>
        <w:tc>
          <w:tcPr>
            <w:tcW w:w="3760" w:type="dxa"/>
            <w:gridSpan w:val="12"/>
            <w:vAlign w:val="bottom"/>
          </w:tcPr>
          <w:p w:rsidR="00AC12B4" w:rsidRDefault="00C27636">
            <w:pPr>
              <w:spacing w:line="221" w:lineRule="exact"/>
              <w:ind w:right="700"/>
              <w:jc w:val="right"/>
              <w:rPr>
                <w:sz w:val="20"/>
                <w:szCs w:val="20"/>
              </w:rPr>
            </w:pPr>
            <w:r>
              <w:rPr>
                <w:rFonts w:ascii="Calibri" w:eastAsia="Calibri" w:hAnsi="Calibri" w:cs="Calibri"/>
              </w:rPr>
              <w:t>en secondaire (de 4.2% en 2009-</w:t>
            </w:r>
          </w:p>
        </w:tc>
        <w:tc>
          <w:tcPr>
            <w:tcW w:w="0" w:type="dxa"/>
            <w:vAlign w:val="bottom"/>
          </w:tcPr>
          <w:p w:rsidR="00AC12B4" w:rsidRDefault="00AC12B4">
            <w:pPr>
              <w:rPr>
                <w:sz w:val="1"/>
                <w:szCs w:val="1"/>
              </w:rPr>
            </w:pPr>
          </w:p>
        </w:tc>
      </w:tr>
      <w:tr w:rsidR="00AC12B4">
        <w:trPr>
          <w:trHeight w:val="307"/>
        </w:trPr>
        <w:tc>
          <w:tcPr>
            <w:tcW w:w="6420" w:type="dxa"/>
            <w:gridSpan w:val="8"/>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 xml:space="preserve">l’enseignement et l’offre d’une aide financière en cas de </w:t>
            </w:r>
            <w:r w:rsidRPr="00C27636">
              <w:rPr>
                <w:rFonts w:ascii="Calibri" w:eastAsia="Calibri" w:hAnsi="Calibri" w:cs="Calibri"/>
                <w:i/>
                <w:iCs/>
                <w:color w:val="DAEEF3"/>
                <w:lang w:val="fr-BE"/>
              </w:rPr>
              <w:t>besoin;</w:t>
            </w:r>
          </w:p>
        </w:tc>
        <w:tc>
          <w:tcPr>
            <w:tcW w:w="280" w:type="dxa"/>
            <w:tcBorders>
              <w:right w:val="single" w:sz="8" w:space="0" w:color="44ACE0"/>
            </w:tcBorders>
            <w:shd w:val="clear" w:color="auto" w:fill="8BCCEC"/>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3760" w:type="dxa"/>
            <w:gridSpan w:val="12"/>
            <w:vAlign w:val="bottom"/>
          </w:tcPr>
          <w:p w:rsidR="00AC12B4" w:rsidRDefault="00C27636">
            <w:pPr>
              <w:spacing w:line="294" w:lineRule="exact"/>
              <w:ind w:right="720"/>
              <w:jc w:val="right"/>
              <w:rPr>
                <w:sz w:val="20"/>
                <w:szCs w:val="20"/>
              </w:rPr>
            </w:pPr>
            <w:r>
              <w:rPr>
                <w:rFonts w:ascii="Calibri" w:eastAsia="Calibri" w:hAnsi="Calibri" w:cs="Calibri"/>
              </w:rPr>
              <w:t>2010 à 4.7% en 2014-2015)</w:t>
            </w:r>
            <w:r>
              <w:rPr>
                <w:rFonts w:ascii="Calibri" w:eastAsia="Calibri" w:hAnsi="Calibri" w:cs="Calibri"/>
                <w:sz w:val="27"/>
                <w:szCs w:val="27"/>
                <w:vertAlign w:val="superscript"/>
              </w:rPr>
              <w:t>1</w:t>
            </w:r>
            <w:r>
              <w:rPr>
                <w:rFonts w:ascii="Calibri" w:eastAsia="Calibri" w:hAnsi="Calibri" w:cs="Calibri"/>
              </w:rPr>
              <w:t>. Les</w:t>
            </w:r>
          </w:p>
        </w:tc>
        <w:tc>
          <w:tcPr>
            <w:tcW w:w="0" w:type="dxa"/>
            <w:vAlign w:val="bottom"/>
          </w:tcPr>
          <w:p w:rsidR="00AC12B4" w:rsidRDefault="00AC12B4">
            <w:pPr>
              <w:rPr>
                <w:sz w:val="1"/>
                <w:szCs w:val="1"/>
              </w:rPr>
            </w:pPr>
          </w:p>
        </w:tc>
      </w:tr>
      <w:tr w:rsidR="00AC12B4" w:rsidRPr="00C27636">
        <w:trPr>
          <w:trHeight w:val="221"/>
        </w:trPr>
        <w:tc>
          <w:tcPr>
            <w:tcW w:w="6700" w:type="dxa"/>
            <w:gridSpan w:val="9"/>
            <w:vMerge w:val="restart"/>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d) Ils rendent ouvertes et accessibles à tout enfant l’information et</w:t>
            </w:r>
          </w:p>
        </w:tc>
        <w:tc>
          <w:tcPr>
            <w:tcW w:w="180" w:type="dxa"/>
            <w:vAlign w:val="bottom"/>
          </w:tcPr>
          <w:p w:rsidR="00AC12B4" w:rsidRPr="00C27636" w:rsidRDefault="00AC12B4">
            <w:pPr>
              <w:rPr>
                <w:sz w:val="19"/>
                <w:szCs w:val="19"/>
                <w:lang w:val="fr-BE"/>
              </w:rPr>
            </w:pPr>
          </w:p>
        </w:tc>
        <w:tc>
          <w:tcPr>
            <w:tcW w:w="3760" w:type="dxa"/>
            <w:gridSpan w:val="12"/>
            <w:vAlign w:val="bottom"/>
          </w:tcPr>
          <w:p w:rsidR="00AC12B4" w:rsidRPr="00C27636" w:rsidRDefault="00C27636">
            <w:pPr>
              <w:spacing w:line="221" w:lineRule="exact"/>
              <w:ind w:right="700"/>
              <w:jc w:val="right"/>
              <w:rPr>
                <w:sz w:val="20"/>
                <w:szCs w:val="20"/>
                <w:lang w:val="fr-BE"/>
              </w:rPr>
            </w:pPr>
            <w:r w:rsidRPr="00C27636">
              <w:rPr>
                <w:rFonts w:ascii="Calibri" w:eastAsia="Calibri" w:hAnsi="Calibri" w:cs="Calibri"/>
                <w:lang w:val="fr-BE"/>
              </w:rPr>
              <w:t>effets de l’application du Décret</w:t>
            </w:r>
          </w:p>
        </w:tc>
        <w:tc>
          <w:tcPr>
            <w:tcW w:w="0" w:type="dxa"/>
            <w:vAlign w:val="bottom"/>
          </w:tcPr>
          <w:p w:rsidR="00AC12B4" w:rsidRPr="00C27636" w:rsidRDefault="00AC12B4">
            <w:pPr>
              <w:rPr>
                <w:sz w:val="1"/>
                <w:szCs w:val="1"/>
                <w:lang w:val="fr-BE"/>
              </w:rPr>
            </w:pPr>
          </w:p>
        </w:tc>
      </w:tr>
      <w:tr w:rsidR="00AC12B4">
        <w:trPr>
          <w:trHeight w:val="108"/>
        </w:trPr>
        <w:tc>
          <w:tcPr>
            <w:tcW w:w="6700" w:type="dxa"/>
            <w:gridSpan w:val="9"/>
            <w:vMerge/>
            <w:tcBorders>
              <w:left w:val="single" w:sz="8" w:space="0" w:color="44ACE0"/>
              <w:right w:val="single" w:sz="8" w:space="0" w:color="44ACE0"/>
            </w:tcBorders>
            <w:shd w:val="clear" w:color="auto" w:fill="8BCCEC"/>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80" w:type="dxa"/>
            <w:vMerge w:val="restart"/>
            <w:vAlign w:val="bottom"/>
          </w:tcPr>
          <w:p w:rsidR="00AC12B4" w:rsidRDefault="00C27636">
            <w:pPr>
              <w:ind w:left="20"/>
              <w:rPr>
                <w:sz w:val="20"/>
                <w:szCs w:val="20"/>
              </w:rPr>
            </w:pPr>
            <w:r>
              <w:rPr>
                <w:rFonts w:ascii="Calibri" w:eastAsia="Calibri" w:hAnsi="Calibri" w:cs="Calibri"/>
              </w:rPr>
              <w:t>M</w:t>
            </w:r>
          </w:p>
        </w:tc>
        <w:tc>
          <w:tcPr>
            <w:tcW w:w="2240" w:type="dxa"/>
            <w:gridSpan w:val="8"/>
            <w:vMerge w:val="restart"/>
            <w:vAlign w:val="bottom"/>
          </w:tcPr>
          <w:p w:rsidR="00AC12B4" w:rsidRDefault="00C27636">
            <w:pPr>
              <w:ind w:left="60"/>
              <w:rPr>
                <w:sz w:val="20"/>
                <w:szCs w:val="20"/>
              </w:rPr>
            </w:pPr>
            <w:r>
              <w:rPr>
                <w:rFonts w:ascii="Calibri" w:eastAsia="Calibri" w:hAnsi="Calibri" w:cs="Calibri"/>
              </w:rPr>
              <w:t>se feront en principe</w:t>
            </w:r>
          </w:p>
        </w:tc>
        <w:tc>
          <w:tcPr>
            <w:tcW w:w="1240" w:type="dxa"/>
            <w:gridSpan w:val="3"/>
            <w:vMerge w:val="restart"/>
            <w:vAlign w:val="bottom"/>
          </w:tcPr>
          <w:p w:rsidR="00AC12B4" w:rsidRDefault="00C27636">
            <w:pPr>
              <w:ind w:right="720"/>
              <w:jc w:val="right"/>
              <w:rPr>
                <w:sz w:val="20"/>
                <w:szCs w:val="20"/>
              </w:rPr>
            </w:pPr>
            <w:r>
              <w:rPr>
                <w:rFonts w:ascii="Calibri" w:eastAsia="Calibri" w:hAnsi="Calibri" w:cs="Calibri"/>
                <w:w w:val="97"/>
              </w:rPr>
              <w:t>sentir</w:t>
            </w:r>
          </w:p>
        </w:tc>
        <w:tc>
          <w:tcPr>
            <w:tcW w:w="0" w:type="dxa"/>
            <w:vAlign w:val="bottom"/>
          </w:tcPr>
          <w:p w:rsidR="00AC12B4" w:rsidRDefault="00AC12B4">
            <w:pPr>
              <w:rPr>
                <w:sz w:val="1"/>
                <w:szCs w:val="1"/>
              </w:rPr>
            </w:pPr>
          </w:p>
        </w:tc>
      </w:tr>
      <w:tr w:rsidR="00AC12B4">
        <w:trPr>
          <w:trHeight w:val="161"/>
        </w:trPr>
        <w:tc>
          <w:tcPr>
            <w:tcW w:w="4600" w:type="dxa"/>
            <w:gridSpan w:val="5"/>
            <w:vMerge w:val="restart"/>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l’orientation scolaires et professionnelles;</w:t>
            </w:r>
          </w:p>
        </w:tc>
        <w:tc>
          <w:tcPr>
            <w:tcW w:w="420" w:type="dxa"/>
            <w:shd w:val="clear" w:color="auto" w:fill="8BCCEC"/>
            <w:vAlign w:val="bottom"/>
          </w:tcPr>
          <w:p w:rsidR="00AC12B4" w:rsidRDefault="00AC12B4">
            <w:pPr>
              <w:rPr>
                <w:sz w:val="13"/>
                <w:szCs w:val="13"/>
              </w:rPr>
            </w:pPr>
          </w:p>
        </w:tc>
        <w:tc>
          <w:tcPr>
            <w:tcW w:w="1040" w:type="dxa"/>
            <w:shd w:val="clear" w:color="auto" w:fill="8BCCEC"/>
            <w:vAlign w:val="bottom"/>
          </w:tcPr>
          <w:p w:rsidR="00AC12B4" w:rsidRDefault="00AC12B4">
            <w:pPr>
              <w:rPr>
                <w:sz w:val="13"/>
                <w:szCs w:val="13"/>
              </w:rPr>
            </w:pPr>
          </w:p>
        </w:tc>
        <w:tc>
          <w:tcPr>
            <w:tcW w:w="360" w:type="dxa"/>
            <w:shd w:val="clear" w:color="auto" w:fill="8BCCEC"/>
            <w:vAlign w:val="bottom"/>
          </w:tcPr>
          <w:p w:rsidR="00AC12B4" w:rsidRDefault="00AC12B4">
            <w:pPr>
              <w:rPr>
                <w:sz w:val="13"/>
                <w:szCs w:val="13"/>
              </w:rPr>
            </w:pPr>
          </w:p>
        </w:tc>
        <w:tc>
          <w:tcPr>
            <w:tcW w:w="280" w:type="dxa"/>
            <w:tcBorders>
              <w:right w:val="single" w:sz="8" w:space="0" w:color="44ACE0"/>
            </w:tcBorders>
            <w:shd w:val="clear" w:color="auto" w:fill="8BCCEC"/>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280" w:type="dxa"/>
            <w:vMerge/>
            <w:vAlign w:val="bottom"/>
          </w:tcPr>
          <w:p w:rsidR="00AC12B4" w:rsidRDefault="00AC12B4">
            <w:pPr>
              <w:rPr>
                <w:sz w:val="13"/>
                <w:szCs w:val="13"/>
              </w:rPr>
            </w:pPr>
          </w:p>
        </w:tc>
        <w:tc>
          <w:tcPr>
            <w:tcW w:w="2240" w:type="dxa"/>
            <w:gridSpan w:val="8"/>
            <w:vMerge/>
            <w:vAlign w:val="bottom"/>
          </w:tcPr>
          <w:p w:rsidR="00AC12B4" w:rsidRDefault="00AC12B4">
            <w:pPr>
              <w:rPr>
                <w:sz w:val="13"/>
                <w:szCs w:val="13"/>
              </w:rPr>
            </w:pPr>
          </w:p>
        </w:tc>
        <w:tc>
          <w:tcPr>
            <w:tcW w:w="1240" w:type="dxa"/>
            <w:gridSpan w:val="3"/>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08"/>
        </w:trPr>
        <w:tc>
          <w:tcPr>
            <w:tcW w:w="4600" w:type="dxa"/>
            <w:gridSpan w:val="5"/>
            <w:vMerge/>
            <w:tcBorders>
              <w:left w:val="single" w:sz="8" w:space="0" w:color="44ACE0"/>
            </w:tcBorders>
            <w:shd w:val="clear" w:color="auto" w:fill="8BCCEC"/>
            <w:vAlign w:val="bottom"/>
          </w:tcPr>
          <w:p w:rsidR="00AC12B4" w:rsidRDefault="00AC12B4">
            <w:pPr>
              <w:rPr>
                <w:sz w:val="9"/>
                <w:szCs w:val="9"/>
              </w:rPr>
            </w:pPr>
          </w:p>
        </w:tc>
        <w:tc>
          <w:tcPr>
            <w:tcW w:w="420" w:type="dxa"/>
            <w:shd w:val="clear" w:color="auto" w:fill="8BCCEC"/>
            <w:vAlign w:val="bottom"/>
          </w:tcPr>
          <w:p w:rsidR="00AC12B4" w:rsidRDefault="00AC12B4">
            <w:pPr>
              <w:rPr>
                <w:sz w:val="9"/>
                <w:szCs w:val="9"/>
              </w:rPr>
            </w:pPr>
          </w:p>
        </w:tc>
        <w:tc>
          <w:tcPr>
            <w:tcW w:w="1040" w:type="dxa"/>
            <w:shd w:val="clear" w:color="auto" w:fill="8BCCEC"/>
            <w:vAlign w:val="bottom"/>
          </w:tcPr>
          <w:p w:rsidR="00AC12B4" w:rsidRDefault="00AC12B4">
            <w:pPr>
              <w:rPr>
                <w:sz w:val="9"/>
                <w:szCs w:val="9"/>
              </w:rPr>
            </w:pPr>
          </w:p>
        </w:tc>
        <w:tc>
          <w:tcPr>
            <w:tcW w:w="360" w:type="dxa"/>
            <w:shd w:val="clear" w:color="auto" w:fill="8BCCEC"/>
            <w:vAlign w:val="bottom"/>
          </w:tcPr>
          <w:p w:rsidR="00AC12B4" w:rsidRDefault="00AC12B4">
            <w:pPr>
              <w:rPr>
                <w:sz w:val="9"/>
                <w:szCs w:val="9"/>
              </w:rPr>
            </w:pPr>
          </w:p>
        </w:tc>
        <w:tc>
          <w:tcPr>
            <w:tcW w:w="280" w:type="dxa"/>
            <w:tcBorders>
              <w:right w:val="single" w:sz="8" w:space="0" w:color="44ACE0"/>
            </w:tcBorders>
            <w:shd w:val="clear" w:color="auto" w:fill="8BCCEC"/>
            <w:vAlign w:val="bottom"/>
          </w:tcPr>
          <w:p w:rsidR="00AC12B4" w:rsidRDefault="00AC12B4">
            <w:pPr>
              <w:rPr>
                <w:sz w:val="9"/>
                <w:szCs w:val="9"/>
              </w:rPr>
            </w:pPr>
          </w:p>
        </w:tc>
        <w:tc>
          <w:tcPr>
            <w:tcW w:w="180" w:type="dxa"/>
            <w:vAlign w:val="bottom"/>
          </w:tcPr>
          <w:p w:rsidR="00AC12B4" w:rsidRDefault="00AC12B4">
            <w:pPr>
              <w:rPr>
                <w:sz w:val="9"/>
                <w:szCs w:val="9"/>
              </w:rPr>
            </w:pPr>
          </w:p>
        </w:tc>
        <w:tc>
          <w:tcPr>
            <w:tcW w:w="2740" w:type="dxa"/>
            <w:gridSpan w:val="10"/>
            <w:vMerge w:val="restart"/>
            <w:vAlign w:val="bottom"/>
          </w:tcPr>
          <w:p w:rsidR="00AC12B4" w:rsidRDefault="00C27636">
            <w:pPr>
              <w:spacing w:line="304" w:lineRule="exact"/>
              <w:ind w:left="20"/>
              <w:rPr>
                <w:sz w:val="20"/>
                <w:szCs w:val="20"/>
              </w:rPr>
            </w:pPr>
            <w:r>
              <w:rPr>
                <w:rFonts w:ascii="Calibri" w:eastAsia="Calibri" w:hAnsi="Calibri" w:cs="Calibri"/>
              </w:rPr>
              <w:t xml:space="preserve">dans les </w:t>
            </w:r>
            <w:r>
              <w:rPr>
                <w:rFonts w:ascii="Calibri" w:eastAsia="Calibri" w:hAnsi="Calibri" w:cs="Calibri"/>
              </w:rPr>
              <w:t>prochaines années</w:t>
            </w:r>
            <w:r>
              <w:rPr>
                <w:rFonts w:ascii="Calibri" w:eastAsia="Calibri" w:hAnsi="Calibri" w:cs="Calibri"/>
                <w:sz w:val="27"/>
                <w:szCs w:val="27"/>
                <w:vertAlign w:val="superscript"/>
              </w:rPr>
              <w:t>2</w:t>
            </w:r>
            <w:r>
              <w:rPr>
                <w:rFonts w:ascii="Calibri" w:eastAsia="Calibri" w:hAnsi="Calibri" w:cs="Calibri"/>
              </w:rPr>
              <w:t>.</w:t>
            </w:r>
          </w:p>
        </w:tc>
        <w:tc>
          <w:tcPr>
            <w:tcW w:w="300" w:type="dxa"/>
            <w:vAlign w:val="bottom"/>
          </w:tcPr>
          <w:p w:rsidR="00AC12B4" w:rsidRDefault="00AC12B4">
            <w:pPr>
              <w:rPr>
                <w:sz w:val="9"/>
                <w:szCs w:val="9"/>
              </w:rPr>
            </w:pPr>
          </w:p>
        </w:tc>
        <w:tc>
          <w:tcPr>
            <w:tcW w:w="72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97"/>
        </w:trPr>
        <w:tc>
          <w:tcPr>
            <w:tcW w:w="2100" w:type="dxa"/>
            <w:vMerge w:val="restart"/>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Article 29 CIDE</w:t>
            </w:r>
          </w:p>
        </w:tc>
        <w:tc>
          <w:tcPr>
            <w:tcW w:w="980" w:type="dxa"/>
            <w:shd w:val="clear" w:color="auto" w:fill="8BCCEC"/>
            <w:vAlign w:val="bottom"/>
          </w:tcPr>
          <w:p w:rsidR="00AC12B4" w:rsidRDefault="00AC12B4">
            <w:pPr>
              <w:rPr>
                <w:sz w:val="17"/>
                <w:szCs w:val="17"/>
              </w:rPr>
            </w:pPr>
          </w:p>
        </w:tc>
        <w:tc>
          <w:tcPr>
            <w:tcW w:w="460" w:type="dxa"/>
            <w:shd w:val="clear" w:color="auto" w:fill="8BCCEC"/>
            <w:vAlign w:val="bottom"/>
          </w:tcPr>
          <w:p w:rsidR="00AC12B4" w:rsidRDefault="00AC12B4">
            <w:pPr>
              <w:rPr>
                <w:sz w:val="17"/>
                <w:szCs w:val="17"/>
              </w:rPr>
            </w:pPr>
          </w:p>
        </w:tc>
        <w:tc>
          <w:tcPr>
            <w:tcW w:w="580" w:type="dxa"/>
            <w:shd w:val="clear" w:color="auto" w:fill="8BCCEC"/>
            <w:vAlign w:val="bottom"/>
          </w:tcPr>
          <w:p w:rsidR="00AC12B4" w:rsidRDefault="00AC12B4">
            <w:pPr>
              <w:rPr>
                <w:sz w:val="17"/>
                <w:szCs w:val="17"/>
              </w:rPr>
            </w:pPr>
          </w:p>
        </w:tc>
        <w:tc>
          <w:tcPr>
            <w:tcW w:w="480" w:type="dxa"/>
            <w:shd w:val="clear" w:color="auto" w:fill="8BCCEC"/>
            <w:vAlign w:val="bottom"/>
          </w:tcPr>
          <w:p w:rsidR="00AC12B4" w:rsidRDefault="00AC12B4">
            <w:pPr>
              <w:rPr>
                <w:sz w:val="17"/>
                <w:szCs w:val="17"/>
              </w:rPr>
            </w:pPr>
          </w:p>
        </w:tc>
        <w:tc>
          <w:tcPr>
            <w:tcW w:w="420" w:type="dxa"/>
            <w:shd w:val="clear" w:color="auto" w:fill="8BCCEC"/>
            <w:vAlign w:val="bottom"/>
          </w:tcPr>
          <w:p w:rsidR="00AC12B4" w:rsidRDefault="00AC12B4">
            <w:pPr>
              <w:rPr>
                <w:sz w:val="17"/>
                <w:szCs w:val="17"/>
              </w:rPr>
            </w:pPr>
          </w:p>
        </w:tc>
        <w:tc>
          <w:tcPr>
            <w:tcW w:w="1040" w:type="dxa"/>
            <w:shd w:val="clear" w:color="auto" w:fill="8BCCEC"/>
            <w:vAlign w:val="bottom"/>
          </w:tcPr>
          <w:p w:rsidR="00AC12B4" w:rsidRDefault="00AC12B4">
            <w:pPr>
              <w:rPr>
                <w:sz w:val="17"/>
                <w:szCs w:val="17"/>
              </w:rPr>
            </w:pPr>
          </w:p>
        </w:tc>
        <w:tc>
          <w:tcPr>
            <w:tcW w:w="360" w:type="dxa"/>
            <w:shd w:val="clear" w:color="auto" w:fill="8BCCEC"/>
            <w:vAlign w:val="bottom"/>
          </w:tcPr>
          <w:p w:rsidR="00AC12B4" w:rsidRDefault="00AC12B4">
            <w:pPr>
              <w:rPr>
                <w:sz w:val="17"/>
                <w:szCs w:val="17"/>
              </w:rPr>
            </w:pPr>
          </w:p>
        </w:tc>
        <w:tc>
          <w:tcPr>
            <w:tcW w:w="280" w:type="dxa"/>
            <w:tcBorders>
              <w:right w:val="single" w:sz="8" w:space="0" w:color="44ACE0"/>
            </w:tcBorders>
            <w:shd w:val="clear" w:color="auto" w:fill="8BCCEC"/>
            <w:vAlign w:val="bottom"/>
          </w:tcPr>
          <w:p w:rsidR="00AC12B4" w:rsidRDefault="00AC12B4">
            <w:pPr>
              <w:rPr>
                <w:sz w:val="17"/>
                <w:szCs w:val="17"/>
              </w:rPr>
            </w:pPr>
          </w:p>
        </w:tc>
        <w:tc>
          <w:tcPr>
            <w:tcW w:w="180" w:type="dxa"/>
            <w:vAlign w:val="bottom"/>
          </w:tcPr>
          <w:p w:rsidR="00AC12B4" w:rsidRDefault="00AC12B4">
            <w:pPr>
              <w:rPr>
                <w:sz w:val="17"/>
                <w:szCs w:val="17"/>
              </w:rPr>
            </w:pPr>
          </w:p>
        </w:tc>
        <w:tc>
          <w:tcPr>
            <w:tcW w:w="2740" w:type="dxa"/>
            <w:gridSpan w:val="10"/>
            <w:vMerge/>
            <w:vAlign w:val="bottom"/>
          </w:tcPr>
          <w:p w:rsidR="00AC12B4" w:rsidRDefault="00AC12B4">
            <w:pPr>
              <w:rPr>
                <w:sz w:val="17"/>
                <w:szCs w:val="17"/>
              </w:rPr>
            </w:pPr>
          </w:p>
        </w:tc>
        <w:tc>
          <w:tcPr>
            <w:tcW w:w="300" w:type="dxa"/>
            <w:vAlign w:val="bottom"/>
          </w:tcPr>
          <w:p w:rsidR="00AC12B4" w:rsidRDefault="00AC12B4">
            <w:pPr>
              <w:rPr>
                <w:sz w:val="17"/>
                <w:szCs w:val="17"/>
              </w:rPr>
            </w:pPr>
          </w:p>
        </w:tc>
        <w:tc>
          <w:tcPr>
            <w:tcW w:w="720" w:type="dxa"/>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132"/>
        </w:trPr>
        <w:tc>
          <w:tcPr>
            <w:tcW w:w="2100" w:type="dxa"/>
            <w:vMerge/>
            <w:tcBorders>
              <w:left w:val="single" w:sz="8" w:space="0" w:color="44ACE0"/>
            </w:tcBorders>
            <w:shd w:val="clear" w:color="auto" w:fill="8BCCEC"/>
            <w:vAlign w:val="bottom"/>
          </w:tcPr>
          <w:p w:rsidR="00AC12B4" w:rsidRDefault="00AC12B4">
            <w:pPr>
              <w:rPr>
                <w:sz w:val="11"/>
                <w:szCs w:val="11"/>
              </w:rPr>
            </w:pPr>
          </w:p>
        </w:tc>
        <w:tc>
          <w:tcPr>
            <w:tcW w:w="980" w:type="dxa"/>
            <w:shd w:val="clear" w:color="auto" w:fill="8BCCEC"/>
            <w:vAlign w:val="bottom"/>
          </w:tcPr>
          <w:p w:rsidR="00AC12B4" w:rsidRDefault="00AC12B4">
            <w:pPr>
              <w:rPr>
                <w:sz w:val="11"/>
                <w:szCs w:val="11"/>
              </w:rPr>
            </w:pPr>
          </w:p>
        </w:tc>
        <w:tc>
          <w:tcPr>
            <w:tcW w:w="460" w:type="dxa"/>
            <w:shd w:val="clear" w:color="auto" w:fill="8BCCEC"/>
            <w:vAlign w:val="bottom"/>
          </w:tcPr>
          <w:p w:rsidR="00AC12B4" w:rsidRDefault="00AC12B4">
            <w:pPr>
              <w:rPr>
                <w:sz w:val="11"/>
                <w:szCs w:val="11"/>
              </w:rPr>
            </w:pPr>
          </w:p>
        </w:tc>
        <w:tc>
          <w:tcPr>
            <w:tcW w:w="580" w:type="dxa"/>
            <w:shd w:val="clear" w:color="auto" w:fill="8BCCEC"/>
            <w:vAlign w:val="bottom"/>
          </w:tcPr>
          <w:p w:rsidR="00AC12B4" w:rsidRDefault="00AC12B4">
            <w:pPr>
              <w:rPr>
                <w:sz w:val="11"/>
                <w:szCs w:val="11"/>
              </w:rPr>
            </w:pPr>
          </w:p>
        </w:tc>
        <w:tc>
          <w:tcPr>
            <w:tcW w:w="480" w:type="dxa"/>
            <w:shd w:val="clear" w:color="auto" w:fill="8BCCEC"/>
            <w:vAlign w:val="bottom"/>
          </w:tcPr>
          <w:p w:rsidR="00AC12B4" w:rsidRDefault="00AC12B4">
            <w:pPr>
              <w:rPr>
                <w:sz w:val="11"/>
                <w:szCs w:val="11"/>
              </w:rPr>
            </w:pPr>
          </w:p>
        </w:tc>
        <w:tc>
          <w:tcPr>
            <w:tcW w:w="420" w:type="dxa"/>
            <w:shd w:val="clear" w:color="auto" w:fill="8BCCEC"/>
            <w:vAlign w:val="bottom"/>
          </w:tcPr>
          <w:p w:rsidR="00AC12B4" w:rsidRDefault="00AC12B4">
            <w:pPr>
              <w:rPr>
                <w:sz w:val="11"/>
                <w:szCs w:val="11"/>
              </w:rPr>
            </w:pPr>
          </w:p>
        </w:tc>
        <w:tc>
          <w:tcPr>
            <w:tcW w:w="1040" w:type="dxa"/>
            <w:shd w:val="clear" w:color="auto" w:fill="8BCCEC"/>
            <w:vAlign w:val="bottom"/>
          </w:tcPr>
          <w:p w:rsidR="00AC12B4" w:rsidRDefault="00AC12B4">
            <w:pPr>
              <w:rPr>
                <w:sz w:val="11"/>
                <w:szCs w:val="11"/>
              </w:rPr>
            </w:pPr>
          </w:p>
        </w:tc>
        <w:tc>
          <w:tcPr>
            <w:tcW w:w="360" w:type="dxa"/>
            <w:shd w:val="clear" w:color="auto" w:fill="8BCCEC"/>
            <w:vAlign w:val="bottom"/>
          </w:tcPr>
          <w:p w:rsidR="00AC12B4" w:rsidRDefault="00AC12B4">
            <w:pPr>
              <w:rPr>
                <w:sz w:val="11"/>
                <w:szCs w:val="11"/>
              </w:rPr>
            </w:pPr>
          </w:p>
        </w:tc>
        <w:tc>
          <w:tcPr>
            <w:tcW w:w="280" w:type="dxa"/>
            <w:tcBorders>
              <w:right w:val="single" w:sz="8" w:space="0" w:color="44ACE0"/>
            </w:tcBorders>
            <w:shd w:val="clear" w:color="auto" w:fill="8BCCEC"/>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520" w:type="dxa"/>
            <w:vAlign w:val="bottom"/>
          </w:tcPr>
          <w:p w:rsidR="00AC12B4" w:rsidRDefault="00AC12B4">
            <w:pPr>
              <w:rPr>
                <w:sz w:val="11"/>
                <w:szCs w:val="11"/>
              </w:rPr>
            </w:pPr>
          </w:p>
        </w:tc>
        <w:tc>
          <w:tcPr>
            <w:tcW w:w="62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2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2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7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21"/>
        </w:trPr>
        <w:tc>
          <w:tcPr>
            <w:tcW w:w="6700" w:type="dxa"/>
            <w:gridSpan w:val="9"/>
            <w:vMerge w:val="restart"/>
            <w:tcBorders>
              <w:left w:val="single" w:sz="8" w:space="0" w:color="44ACE0"/>
              <w:righ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1. Les Etats parties conviennent que l’éducation de l’enfant doit</w:t>
            </w:r>
          </w:p>
        </w:tc>
        <w:tc>
          <w:tcPr>
            <w:tcW w:w="180" w:type="dxa"/>
            <w:vAlign w:val="bottom"/>
          </w:tcPr>
          <w:p w:rsidR="00AC12B4" w:rsidRPr="00C27636" w:rsidRDefault="00AC12B4">
            <w:pPr>
              <w:rPr>
                <w:sz w:val="19"/>
                <w:szCs w:val="19"/>
                <w:lang w:val="fr-BE"/>
              </w:rPr>
            </w:pPr>
          </w:p>
        </w:tc>
        <w:tc>
          <w:tcPr>
            <w:tcW w:w="280" w:type="dxa"/>
            <w:vAlign w:val="bottom"/>
          </w:tcPr>
          <w:p w:rsidR="00AC12B4" w:rsidRDefault="00C27636">
            <w:pPr>
              <w:spacing w:line="221" w:lineRule="exact"/>
              <w:ind w:left="20"/>
              <w:rPr>
                <w:sz w:val="20"/>
                <w:szCs w:val="20"/>
              </w:rPr>
            </w:pPr>
            <w:r>
              <w:rPr>
                <w:rFonts w:ascii="Calibri" w:eastAsia="Calibri" w:hAnsi="Calibri" w:cs="Calibri"/>
              </w:rPr>
              <w:t>En</w:t>
            </w:r>
          </w:p>
        </w:tc>
        <w:tc>
          <w:tcPr>
            <w:tcW w:w="100" w:type="dxa"/>
            <w:vAlign w:val="bottom"/>
          </w:tcPr>
          <w:p w:rsidR="00AC12B4" w:rsidRDefault="00AC12B4">
            <w:pPr>
              <w:rPr>
                <w:sz w:val="19"/>
                <w:szCs w:val="19"/>
              </w:rPr>
            </w:pPr>
          </w:p>
        </w:tc>
        <w:tc>
          <w:tcPr>
            <w:tcW w:w="520" w:type="dxa"/>
            <w:vAlign w:val="bottom"/>
          </w:tcPr>
          <w:p w:rsidR="00AC12B4" w:rsidRDefault="00C27636">
            <w:pPr>
              <w:spacing w:line="221" w:lineRule="exact"/>
              <w:rPr>
                <w:sz w:val="20"/>
                <w:szCs w:val="20"/>
              </w:rPr>
            </w:pPr>
            <w:r>
              <w:rPr>
                <w:rFonts w:ascii="Calibri" w:eastAsia="Calibri" w:hAnsi="Calibri" w:cs="Calibri"/>
              </w:rPr>
              <w:t>FWB</w:t>
            </w:r>
          </w:p>
        </w:tc>
        <w:tc>
          <w:tcPr>
            <w:tcW w:w="1620" w:type="dxa"/>
            <w:gridSpan w:val="6"/>
            <w:vAlign w:val="bottom"/>
          </w:tcPr>
          <w:p w:rsidR="00AC12B4" w:rsidRDefault="00C27636">
            <w:pPr>
              <w:spacing w:line="221" w:lineRule="exact"/>
              <w:ind w:left="20"/>
              <w:rPr>
                <w:sz w:val="20"/>
                <w:szCs w:val="20"/>
              </w:rPr>
            </w:pPr>
            <w:r>
              <w:rPr>
                <w:rFonts w:ascii="Calibri" w:eastAsia="Calibri" w:hAnsi="Calibri" w:cs="Calibri"/>
              </w:rPr>
              <w:t>les pourcentages</w:t>
            </w:r>
          </w:p>
        </w:tc>
        <w:tc>
          <w:tcPr>
            <w:tcW w:w="1240" w:type="dxa"/>
            <w:gridSpan w:val="3"/>
            <w:vAlign w:val="bottom"/>
          </w:tcPr>
          <w:p w:rsidR="00AC12B4" w:rsidRDefault="00C27636">
            <w:pPr>
              <w:spacing w:line="221" w:lineRule="exact"/>
              <w:ind w:right="720"/>
              <w:jc w:val="right"/>
              <w:rPr>
                <w:sz w:val="20"/>
                <w:szCs w:val="20"/>
              </w:rPr>
            </w:pPr>
            <w:r>
              <w:rPr>
                <w:rFonts w:ascii="Calibri" w:eastAsia="Calibri" w:hAnsi="Calibri" w:cs="Calibri"/>
              </w:rPr>
              <w:t>son</w:t>
            </w:r>
            <w:r>
              <w:rPr>
                <w:rFonts w:ascii="Calibri" w:eastAsia="Calibri" w:hAnsi="Calibri" w:cs="Calibri"/>
              </w:rPr>
              <w:lastRenderedPageBreak/>
              <w:t>t</w:t>
            </w:r>
          </w:p>
        </w:tc>
        <w:tc>
          <w:tcPr>
            <w:tcW w:w="0" w:type="dxa"/>
            <w:vAlign w:val="bottom"/>
          </w:tcPr>
          <w:p w:rsidR="00AC12B4" w:rsidRDefault="00AC12B4">
            <w:pPr>
              <w:rPr>
                <w:sz w:val="1"/>
                <w:szCs w:val="1"/>
              </w:rPr>
            </w:pPr>
          </w:p>
        </w:tc>
      </w:tr>
      <w:tr w:rsidR="00AC12B4" w:rsidRPr="00C27636">
        <w:trPr>
          <w:trHeight w:val="168"/>
        </w:trPr>
        <w:tc>
          <w:tcPr>
            <w:tcW w:w="6700" w:type="dxa"/>
            <w:gridSpan w:val="9"/>
            <w:vMerge/>
            <w:tcBorders>
              <w:left w:val="single" w:sz="8" w:space="0" w:color="44ACE0"/>
              <w:right w:val="single" w:sz="8" w:space="0" w:color="44ACE0"/>
            </w:tcBorders>
            <w:shd w:val="clear" w:color="auto" w:fill="8BCCEC"/>
            <w:vAlign w:val="bottom"/>
          </w:tcPr>
          <w:p w:rsidR="00AC12B4" w:rsidRDefault="00AC12B4">
            <w:pPr>
              <w:rPr>
                <w:sz w:val="14"/>
                <w:szCs w:val="14"/>
              </w:rPr>
            </w:pPr>
          </w:p>
        </w:tc>
        <w:tc>
          <w:tcPr>
            <w:tcW w:w="180" w:type="dxa"/>
            <w:vAlign w:val="bottom"/>
          </w:tcPr>
          <w:p w:rsidR="00AC12B4" w:rsidRDefault="00AC12B4">
            <w:pPr>
              <w:rPr>
                <w:sz w:val="14"/>
                <w:szCs w:val="14"/>
              </w:rPr>
            </w:pPr>
          </w:p>
        </w:tc>
        <w:tc>
          <w:tcPr>
            <w:tcW w:w="3760" w:type="dxa"/>
            <w:gridSpan w:val="12"/>
            <w:vMerge w:val="restart"/>
            <w:vAlign w:val="bottom"/>
          </w:tcPr>
          <w:p w:rsidR="00AC12B4" w:rsidRPr="00C27636" w:rsidRDefault="00C27636">
            <w:pPr>
              <w:ind w:right="700"/>
              <w:jc w:val="right"/>
              <w:rPr>
                <w:sz w:val="20"/>
                <w:szCs w:val="20"/>
                <w:lang w:val="fr-BE"/>
              </w:rPr>
            </w:pPr>
            <w:r w:rsidRPr="00C27636">
              <w:rPr>
                <w:rFonts w:ascii="Calibri" w:eastAsia="Calibri" w:hAnsi="Calibri" w:cs="Calibri"/>
                <w:lang w:val="fr-BE"/>
              </w:rPr>
              <w:t>moins élevés, mais, à l’exception</w:t>
            </w:r>
          </w:p>
        </w:tc>
        <w:tc>
          <w:tcPr>
            <w:tcW w:w="0" w:type="dxa"/>
            <w:vAlign w:val="bottom"/>
          </w:tcPr>
          <w:p w:rsidR="00AC12B4" w:rsidRPr="00C27636" w:rsidRDefault="00AC12B4">
            <w:pPr>
              <w:rPr>
                <w:sz w:val="1"/>
                <w:szCs w:val="1"/>
                <w:lang w:val="fr-BE"/>
              </w:rPr>
            </w:pPr>
          </w:p>
        </w:tc>
      </w:tr>
      <w:tr w:rsidR="00AC12B4">
        <w:trPr>
          <w:trHeight w:val="101"/>
        </w:trPr>
        <w:tc>
          <w:tcPr>
            <w:tcW w:w="2100" w:type="dxa"/>
            <w:vMerge w:val="restart"/>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viser à :</w:t>
            </w:r>
          </w:p>
        </w:tc>
        <w:tc>
          <w:tcPr>
            <w:tcW w:w="980" w:type="dxa"/>
            <w:shd w:val="clear" w:color="auto" w:fill="8BCCEC"/>
            <w:vAlign w:val="bottom"/>
          </w:tcPr>
          <w:p w:rsidR="00AC12B4" w:rsidRDefault="00AC12B4">
            <w:pPr>
              <w:rPr>
                <w:sz w:val="8"/>
                <w:szCs w:val="8"/>
              </w:rPr>
            </w:pPr>
          </w:p>
        </w:tc>
        <w:tc>
          <w:tcPr>
            <w:tcW w:w="460" w:type="dxa"/>
            <w:shd w:val="clear" w:color="auto" w:fill="8BCCEC"/>
            <w:vAlign w:val="bottom"/>
          </w:tcPr>
          <w:p w:rsidR="00AC12B4" w:rsidRDefault="00AC12B4">
            <w:pPr>
              <w:rPr>
                <w:sz w:val="8"/>
                <w:szCs w:val="8"/>
              </w:rPr>
            </w:pPr>
          </w:p>
        </w:tc>
        <w:tc>
          <w:tcPr>
            <w:tcW w:w="580" w:type="dxa"/>
            <w:shd w:val="clear" w:color="auto" w:fill="8BCCEC"/>
            <w:vAlign w:val="bottom"/>
          </w:tcPr>
          <w:p w:rsidR="00AC12B4" w:rsidRDefault="00AC12B4">
            <w:pPr>
              <w:rPr>
                <w:sz w:val="8"/>
                <w:szCs w:val="8"/>
              </w:rPr>
            </w:pPr>
          </w:p>
        </w:tc>
        <w:tc>
          <w:tcPr>
            <w:tcW w:w="480" w:type="dxa"/>
            <w:shd w:val="clear" w:color="auto" w:fill="8BCCEC"/>
            <w:vAlign w:val="bottom"/>
          </w:tcPr>
          <w:p w:rsidR="00AC12B4" w:rsidRDefault="00AC12B4">
            <w:pPr>
              <w:rPr>
                <w:sz w:val="8"/>
                <w:szCs w:val="8"/>
              </w:rPr>
            </w:pPr>
          </w:p>
        </w:tc>
        <w:tc>
          <w:tcPr>
            <w:tcW w:w="420" w:type="dxa"/>
            <w:shd w:val="clear" w:color="auto" w:fill="8BCCEC"/>
            <w:vAlign w:val="bottom"/>
          </w:tcPr>
          <w:p w:rsidR="00AC12B4" w:rsidRDefault="00AC12B4">
            <w:pPr>
              <w:rPr>
                <w:sz w:val="8"/>
                <w:szCs w:val="8"/>
              </w:rPr>
            </w:pPr>
          </w:p>
        </w:tc>
        <w:tc>
          <w:tcPr>
            <w:tcW w:w="1040" w:type="dxa"/>
            <w:shd w:val="clear" w:color="auto" w:fill="8BCCEC"/>
            <w:vAlign w:val="bottom"/>
          </w:tcPr>
          <w:p w:rsidR="00AC12B4" w:rsidRDefault="00AC12B4">
            <w:pPr>
              <w:rPr>
                <w:sz w:val="8"/>
                <w:szCs w:val="8"/>
              </w:rPr>
            </w:pPr>
          </w:p>
        </w:tc>
        <w:tc>
          <w:tcPr>
            <w:tcW w:w="360" w:type="dxa"/>
            <w:shd w:val="clear" w:color="auto" w:fill="8BCCEC"/>
            <w:vAlign w:val="bottom"/>
          </w:tcPr>
          <w:p w:rsidR="00AC12B4" w:rsidRDefault="00AC12B4">
            <w:pPr>
              <w:rPr>
                <w:sz w:val="8"/>
                <w:szCs w:val="8"/>
              </w:rPr>
            </w:pPr>
          </w:p>
        </w:tc>
        <w:tc>
          <w:tcPr>
            <w:tcW w:w="280" w:type="dxa"/>
            <w:tcBorders>
              <w:right w:val="single" w:sz="8" w:space="0" w:color="44ACE0"/>
            </w:tcBorders>
            <w:shd w:val="clear" w:color="auto" w:fill="8BCCEC"/>
            <w:vAlign w:val="bottom"/>
          </w:tcPr>
          <w:p w:rsidR="00AC12B4" w:rsidRDefault="00AC12B4">
            <w:pPr>
              <w:rPr>
                <w:sz w:val="8"/>
                <w:szCs w:val="8"/>
              </w:rPr>
            </w:pPr>
          </w:p>
        </w:tc>
        <w:tc>
          <w:tcPr>
            <w:tcW w:w="180" w:type="dxa"/>
            <w:vAlign w:val="bottom"/>
          </w:tcPr>
          <w:p w:rsidR="00AC12B4" w:rsidRDefault="00AC12B4">
            <w:pPr>
              <w:rPr>
                <w:sz w:val="8"/>
                <w:szCs w:val="8"/>
              </w:rPr>
            </w:pPr>
          </w:p>
        </w:tc>
        <w:tc>
          <w:tcPr>
            <w:tcW w:w="3760" w:type="dxa"/>
            <w:gridSpan w:val="12"/>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8"/>
        </w:trPr>
        <w:tc>
          <w:tcPr>
            <w:tcW w:w="2100" w:type="dxa"/>
            <w:vMerge/>
            <w:tcBorders>
              <w:left w:val="single" w:sz="8" w:space="0" w:color="44ACE0"/>
            </w:tcBorders>
            <w:shd w:val="clear" w:color="auto" w:fill="8BCCEC"/>
            <w:vAlign w:val="bottom"/>
          </w:tcPr>
          <w:p w:rsidR="00AC12B4" w:rsidRDefault="00AC12B4">
            <w:pPr>
              <w:rPr>
                <w:sz w:val="14"/>
                <w:szCs w:val="14"/>
              </w:rPr>
            </w:pPr>
          </w:p>
        </w:tc>
        <w:tc>
          <w:tcPr>
            <w:tcW w:w="980" w:type="dxa"/>
            <w:shd w:val="clear" w:color="auto" w:fill="8BCCEC"/>
            <w:vAlign w:val="bottom"/>
          </w:tcPr>
          <w:p w:rsidR="00AC12B4" w:rsidRDefault="00AC12B4">
            <w:pPr>
              <w:rPr>
                <w:sz w:val="14"/>
                <w:szCs w:val="14"/>
              </w:rPr>
            </w:pPr>
          </w:p>
        </w:tc>
        <w:tc>
          <w:tcPr>
            <w:tcW w:w="460" w:type="dxa"/>
            <w:shd w:val="clear" w:color="auto" w:fill="8BCCEC"/>
            <w:vAlign w:val="bottom"/>
          </w:tcPr>
          <w:p w:rsidR="00AC12B4" w:rsidRDefault="00AC12B4">
            <w:pPr>
              <w:rPr>
                <w:sz w:val="14"/>
                <w:szCs w:val="14"/>
              </w:rPr>
            </w:pPr>
          </w:p>
        </w:tc>
        <w:tc>
          <w:tcPr>
            <w:tcW w:w="580" w:type="dxa"/>
            <w:shd w:val="clear" w:color="auto" w:fill="8BCCEC"/>
            <w:vAlign w:val="bottom"/>
          </w:tcPr>
          <w:p w:rsidR="00AC12B4" w:rsidRDefault="00AC12B4">
            <w:pPr>
              <w:rPr>
                <w:sz w:val="14"/>
                <w:szCs w:val="14"/>
              </w:rPr>
            </w:pPr>
          </w:p>
        </w:tc>
        <w:tc>
          <w:tcPr>
            <w:tcW w:w="480" w:type="dxa"/>
            <w:shd w:val="clear" w:color="auto" w:fill="8BCCEC"/>
            <w:vAlign w:val="bottom"/>
          </w:tcPr>
          <w:p w:rsidR="00AC12B4" w:rsidRDefault="00AC12B4">
            <w:pPr>
              <w:rPr>
                <w:sz w:val="14"/>
                <w:szCs w:val="14"/>
              </w:rPr>
            </w:pPr>
          </w:p>
        </w:tc>
        <w:tc>
          <w:tcPr>
            <w:tcW w:w="420" w:type="dxa"/>
            <w:shd w:val="clear" w:color="auto" w:fill="8BCCEC"/>
            <w:vAlign w:val="bottom"/>
          </w:tcPr>
          <w:p w:rsidR="00AC12B4" w:rsidRDefault="00AC12B4">
            <w:pPr>
              <w:rPr>
                <w:sz w:val="14"/>
                <w:szCs w:val="14"/>
              </w:rPr>
            </w:pPr>
          </w:p>
        </w:tc>
        <w:tc>
          <w:tcPr>
            <w:tcW w:w="1040" w:type="dxa"/>
            <w:shd w:val="clear" w:color="auto" w:fill="8BCCEC"/>
            <w:vAlign w:val="bottom"/>
          </w:tcPr>
          <w:p w:rsidR="00AC12B4" w:rsidRDefault="00AC12B4">
            <w:pPr>
              <w:rPr>
                <w:sz w:val="14"/>
                <w:szCs w:val="14"/>
              </w:rPr>
            </w:pPr>
          </w:p>
        </w:tc>
        <w:tc>
          <w:tcPr>
            <w:tcW w:w="360" w:type="dxa"/>
            <w:shd w:val="clear" w:color="auto" w:fill="8BCCEC"/>
            <w:vAlign w:val="bottom"/>
          </w:tcPr>
          <w:p w:rsidR="00AC12B4" w:rsidRDefault="00AC12B4">
            <w:pPr>
              <w:rPr>
                <w:sz w:val="14"/>
                <w:szCs w:val="14"/>
              </w:rPr>
            </w:pPr>
          </w:p>
        </w:tc>
        <w:tc>
          <w:tcPr>
            <w:tcW w:w="280" w:type="dxa"/>
            <w:tcBorders>
              <w:right w:val="single" w:sz="8" w:space="0" w:color="44ACE0"/>
            </w:tcBorders>
            <w:shd w:val="clear" w:color="auto" w:fill="8BCCEC"/>
            <w:vAlign w:val="bottom"/>
          </w:tcPr>
          <w:p w:rsidR="00AC12B4" w:rsidRDefault="00AC12B4">
            <w:pPr>
              <w:rPr>
                <w:sz w:val="14"/>
                <w:szCs w:val="14"/>
              </w:rPr>
            </w:pPr>
          </w:p>
        </w:tc>
        <w:tc>
          <w:tcPr>
            <w:tcW w:w="180" w:type="dxa"/>
            <w:vAlign w:val="bottom"/>
          </w:tcPr>
          <w:p w:rsidR="00AC12B4" w:rsidRDefault="00AC12B4">
            <w:pPr>
              <w:rPr>
                <w:sz w:val="14"/>
                <w:szCs w:val="14"/>
              </w:rPr>
            </w:pPr>
          </w:p>
        </w:tc>
        <w:tc>
          <w:tcPr>
            <w:tcW w:w="3760" w:type="dxa"/>
            <w:gridSpan w:val="12"/>
            <w:vMerge w:val="restart"/>
            <w:vAlign w:val="bottom"/>
          </w:tcPr>
          <w:p w:rsidR="00AC12B4" w:rsidRDefault="00C27636">
            <w:pPr>
              <w:ind w:right="720"/>
              <w:jc w:val="right"/>
              <w:rPr>
                <w:sz w:val="20"/>
                <w:szCs w:val="20"/>
              </w:rPr>
            </w:pPr>
            <w:r>
              <w:rPr>
                <w:rFonts w:ascii="Calibri" w:eastAsia="Calibri" w:hAnsi="Calibri" w:cs="Calibri"/>
              </w:rPr>
              <w:t xml:space="preserve">de </w:t>
            </w:r>
            <w:r>
              <w:rPr>
                <w:rFonts w:ascii="Calibri" w:eastAsia="Calibri" w:hAnsi="Calibri" w:cs="Calibri"/>
              </w:rPr>
              <w:t>l’enseignement maternel qui</w:t>
            </w:r>
          </w:p>
        </w:tc>
        <w:tc>
          <w:tcPr>
            <w:tcW w:w="0" w:type="dxa"/>
            <w:vAlign w:val="bottom"/>
          </w:tcPr>
          <w:p w:rsidR="00AC12B4" w:rsidRDefault="00AC12B4">
            <w:pPr>
              <w:rPr>
                <w:sz w:val="1"/>
                <w:szCs w:val="1"/>
              </w:rPr>
            </w:pPr>
          </w:p>
        </w:tc>
      </w:tr>
      <w:tr w:rsidR="00AC12B4">
        <w:trPr>
          <w:trHeight w:val="101"/>
        </w:trPr>
        <w:tc>
          <w:tcPr>
            <w:tcW w:w="2100" w:type="dxa"/>
            <w:tcBorders>
              <w:left w:val="single" w:sz="8" w:space="0" w:color="44ACE0"/>
            </w:tcBorders>
            <w:shd w:val="clear" w:color="auto" w:fill="8BCCEC"/>
            <w:vAlign w:val="bottom"/>
          </w:tcPr>
          <w:p w:rsidR="00AC12B4" w:rsidRDefault="00AC12B4">
            <w:pPr>
              <w:rPr>
                <w:sz w:val="8"/>
                <w:szCs w:val="8"/>
              </w:rPr>
            </w:pPr>
          </w:p>
        </w:tc>
        <w:tc>
          <w:tcPr>
            <w:tcW w:w="980" w:type="dxa"/>
            <w:shd w:val="clear" w:color="auto" w:fill="8BCCEC"/>
            <w:vAlign w:val="bottom"/>
          </w:tcPr>
          <w:p w:rsidR="00AC12B4" w:rsidRDefault="00AC12B4">
            <w:pPr>
              <w:rPr>
                <w:sz w:val="8"/>
                <w:szCs w:val="8"/>
              </w:rPr>
            </w:pPr>
          </w:p>
        </w:tc>
        <w:tc>
          <w:tcPr>
            <w:tcW w:w="460" w:type="dxa"/>
            <w:shd w:val="clear" w:color="auto" w:fill="8BCCEC"/>
            <w:vAlign w:val="bottom"/>
          </w:tcPr>
          <w:p w:rsidR="00AC12B4" w:rsidRDefault="00AC12B4">
            <w:pPr>
              <w:rPr>
                <w:sz w:val="8"/>
                <w:szCs w:val="8"/>
              </w:rPr>
            </w:pPr>
          </w:p>
        </w:tc>
        <w:tc>
          <w:tcPr>
            <w:tcW w:w="580" w:type="dxa"/>
            <w:shd w:val="clear" w:color="auto" w:fill="8BCCEC"/>
            <w:vAlign w:val="bottom"/>
          </w:tcPr>
          <w:p w:rsidR="00AC12B4" w:rsidRDefault="00AC12B4">
            <w:pPr>
              <w:rPr>
                <w:sz w:val="8"/>
                <w:szCs w:val="8"/>
              </w:rPr>
            </w:pPr>
          </w:p>
        </w:tc>
        <w:tc>
          <w:tcPr>
            <w:tcW w:w="480" w:type="dxa"/>
            <w:shd w:val="clear" w:color="auto" w:fill="8BCCEC"/>
            <w:vAlign w:val="bottom"/>
          </w:tcPr>
          <w:p w:rsidR="00AC12B4" w:rsidRDefault="00AC12B4">
            <w:pPr>
              <w:rPr>
                <w:sz w:val="8"/>
                <w:szCs w:val="8"/>
              </w:rPr>
            </w:pPr>
          </w:p>
        </w:tc>
        <w:tc>
          <w:tcPr>
            <w:tcW w:w="420" w:type="dxa"/>
            <w:shd w:val="clear" w:color="auto" w:fill="8BCCEC"/>
            <w:vAlign w:val="bottom"/>
          </w:tcPr>
          <w:p w:rsidR="00AC12B4" w:rsidRDefault="00AC12B4">
            <w:pPr>
              <w:rPr>
                <w:sz w:val="8"/>
                <w:szCs w:val="8"/>
              </w:rPr>
            </w:pPr>
          </w:p>
        </w:tc>
        <w:tc>
          <w:tcPr>
            <w:tcW w:w="1040" w:type="dxa"/>
            <w:shd w:val="clear" w:color="auto" w:fill="8BCCEC"/>
            <w:vAlign w:val="bottom"/>
          </w:tcPr>
          <w:p w:rsidR="00AC12B4" w:rsidRDefault="00AC12B4">
            <w:pPr>
              <w:rPr>
                <w:sz w:val="8"/>
                <w:szCs w:val="8"/>
              </w:rPr>
            </w:pPr>
          </w:p>
        </w:tc>
        <w:tc>
          <w:tcPr>
            <w:tcW w:w="360" w:type="dxa"/>
            <w:shd w:val="clear" w:color="auto" w:fill="8BCCEC"/>
            <w:vAlign w:val="bottom"/>
          </w:tcPr>
          <w:p w:rsidR="00AC12B4" w:rsidRDefault="00AC12B4">
            <w:pPr>
              <w:rPr>
                <w:sz w:val="8"/>
                <w:szCs w:val="8"/>
              </w:rPr>
            </w:pPr>
          </w:p>
        </w:tc>
        <w:tc>
          <w:tcPr>
            <w:tcW w:w="280" w:type="dxa"/>
            <w:tcBorders>
              <w:right w:val="single" w:sz="8" w:space="0" w:color="44ACE0"/>
            </w:tcBorders>
            <w:shd w:val="clear" w:color="auto" w:fill="8BCCEC"/>
            <w:vAlign w:val="bottom"/>
          </w:tcPr>
          <w:p w:rsidR="00AC12B4" w:rsidRDefault="00AC12B4">
            <w:pPr>
              <w:rPr>
                <w:sz w:val="8"/>
                <w:szCs w:val="8"/>
              </w:rPr>
            </w:pPr>
          </w:p>
        </w:tc>
        <w:tc>
          <w:tcPr>
            <w:tcW w:w="180" w:type="dxa"/>
            <w:vAlign w:val="bottom"/>
          </w:tcPr>
          <w:p w:rsidR="00AC12B4" w:rsidRDefault="00AC12B4">
            <w:pPr>
              <w:rPr>
                <w:sz w:val="8"/>
                <w:szCs w:val="8"/>
              </w:rPr>
            </w:pPr>
          </w:p>
        </w:tc>
        <w:tc>
          <w:tcPr>
            <w:tcW w:w="3760" w:type="dxa"/>
            <w:gridSpan w:val="12"/>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69"/>
        </w:trPr>
        <w:tc>
          <w:tcPr>
            <w:tcW w:w="6700" w:type="dxa"/>
            <w:gridSpan w:val="9"/>
            <w:tcBorders>
              <w:left w:val="single" w:sz="8" w:space="0" w:color="44ACE0"/>
              <w:right w:val="single" w:sz="8" w:space="0" w:color="44ACE0"/>
            </w:tcBorders>
            <w:shd w:val="clear" w:color="auto" w:fill="8BCCEC"/>
            <w:vAlign w:val="bottom"/>
          </w:tcPr>
          <w:p w:rsidR="00AC12B4" w:rsidRPr="00C27636" w:rsidRDefault="00C27636">
            <w:pPr>
              <w:spacing w:line="225" w:lineRule="exact"/>
              <w:ind w:left="580"/>
              <w:rPr>
                <w:sz w:val="20"/>
                <w:szCs w:val="20"/>
                <w:lang w:val="fr-BE"/>
              </w:rPr>
            </w:pPr>
            <w:r w:rsidRPr="00C27636">
              <w:rPr>
                <w:rFonts w:ascii="Calibri" w:eastAsia="Calibri" w:hAnsi="Calibri" w:cs="Calibri"/>
                <w:i/>
                <w:iCs/>
                <w:color w:val="DAEEF3"/>
                <w:lang w:val="fr-BE"/>
              </w:rPr>
              <w:t>a) Favoriser l’épanouissement de la personnalité de l’enfant et le</w:t>
            </w:r>
          </w:p>
        </w:tc>
        <w:tc>
          <w:tcPr>
            <w:tcW w:w="180" w:type="dxa"/>
            <w:vAlign w:val="bottom"/>
          </w:tcPr>
          <w:p w:rsidR="00AC12B4" w:rsidRPr="00C27636" w:rsidRDefault="00AC12B4">
            <w:pPr>
              <w:rPr>
                <w:sz w:val="23"/>
                <w:szCs w:val="23"/>
                <w:lang w:val="fr-BE"/>
              </w:rPr>
            </w:pPr>
          </w:p>
        </w:tc>
        <w:tc>
          <w:tcPr>
            <w:tcW w:w="1520" w:type="dxa"/>
            <w:gridSpan w:val="4"/>
            <w:vAlign w:val="bottom"/>
          </w:tcPr>
          <w:p w:rsidR="00AC12B4" w:rsidRDefault="00C27636">
            <w:pPr>
              <w:ind w:left="20"/>
              <w:rPr>
                <w:sz w:val="20"/>
                <w:szCs w:val="20"/>
              </w:rPr>
            </w:pPr>
            <w:r>
              <w:rPr>
                <w:rFonts w:ascii="Calibri" w:eastAsia="Calibri" w:hAnsi="Calibri" w:cs="Calibri"/>
              </w:rPr>
              <w:t>reste stable, la</w:t>
            </w:r>
          </w:p>
        </w:tc>
        <w:tc>
          <w:tcPr>
            <w:tcW w:w="500" w:type="dxa"/>
            <w:gridSpan w:val="2"/>
            <w:vAlign w:val="bottom"/>
          </w:tcPr>
          <w:p w:rsidR="00AC12B4" w:rsidRDefault="00C27636">
            <w:pPr>
              <w:ind w:left="60"/>
              <w:rPr>
                <w:sz w:val="20"/>
                <w:szCs w:val="20"/>
              </w:rPr>
            </w:pPr>
            <w:r>
              <w:rPr>
                <w:rFonts w:ascii="Calibri" w:eastAsia="Calibri" w:hAnsi="Calibri" w:cs="Calibri"/>
              </w:rPr>
              <w:t>part</w:t>
            </w:r>
          </w:p>
        </w:tc>
        <w:tc>
          <w:tcPr>
            <w:tcW w:w="40" w:type="dxa"/>
            <w:vAlign w:val="bottom"/>
          </w:tcPr>
          <w:p w:rsidR="00AC12B4" w:rsidRDefault="00AC12B4">
            <w:pPr>
              <w:rPr>
                <w:sz w:val="23"/>
                <w:szCs w:val="23"/>
              </w:rPr>
            </w:pPr>
          </w:p>
        </w:tc>
        <w:tc>
          <w:tcPr>
            <w:tcW w:w="1700" w:type="dxa"/>
            <w:gridSpan w:val="5"/>
            <w:vAlign w:val="bottom"/>
          </w:tcPr>
          <w:p w:rsidR="00AC12B4" w:rsidRDefault="00C27636">
            <w:pPr>
              <w:ind w:right="720"/>
              <w:jc w:val="right"/>
              <w:rPr>
                <w:sz w:val="20"/>
                <w:szCs w:val="20"/>
              </w:rPr>
            </w:pPr>
            <w:r>
              <w:rPr>
                <w:rFonts w:ascii="Calibri" w:eastAsia="Calibri" w:hAnsi="Calibri" w:cs="Calibri"/>
              </w:rPr>
              <w:t>des élèves</w:t>
            </w:r>
          </w:p>
        </w:tc>
        <w:tc>
          <w:tcPr>
            <w:tcW w:w="0" w:type="dxa"/>
            <w:vAlign w:val="bottom"/>
          </w:tcPr>
          <w:p w:rsidR="00AC12B4" w:rsidRDefault="00AC12B4">
            <w:pPr>
              <w:rPr>
                <w:sz w:val="1"/>
                <w:szCs w:val="1"/>
              </w:rPr>
            </w:pPr>
          </w:p>
        </w:tc>
      </w:tr>
      <w:tr w:rsidR="00AC12B4" w:rsidRPr="00C27636">
        <w:trPr>
          <w:trHeight w:val="109"/>
        </w:trPr>
        <w:tc>
          <w:tcPr>
            <w:tcW w:w="6700" w:type="dxa"/>
            <w:gridSpan w:val="9"/>
            <w:vMerge w:val="restart"/>
            <w:tcBorders>
              <w:left w:val="single" w:sz="8" w:space="0" w:color="44ACE0"/>
              <w:bottom w:val="single" w:sz="8" w:space="0" w:color="8BCCEC"/>
              <w:right w:val="single" w:sz="8" w:space="0" w:color="44ACE0"/>
            </w:tcBorders>
            <w:shd w:val="clear" w:color="auto" w:fill="8BCCEC"/>
            <w:vAlign w:val="bottom"/>
          </w:tcPr>
          <w:p w:rsidR="00AC12B4" w:rsidRPr="00C27636" w:rsidRDefault="00C27636">
            <w:pPr>
              <w:spacing w:line="225" w:lineRule="exact"/>
              <w:ind w:left="580"/>
              <w:rPr>
                <w:sz w:val="20"/>
                <w:szCs w:val="20"/>
                <w:lang w:val="fr-BE"/>
              </w:rPr>
            </w:pPr>
            <w:r w:rsidRPr="00C27636">
              <w:rPr>
                <w:rFonts w:ascii="Calibri" w:eastAsia="Calibri" w:hAnsi="Calibri" w:cs="Calibri"/>
                <w:i/>
                <w:iCs/>
                <w:color w:val="DAEEF3"/>
                <w:lang w:val="fr-BE"/>
              </w:rPr>
              <w:t>développement de ses dons et de ses aptitudes mentales et</w:t>
            </w:r>
          </w:p>
        </w:tc>
        <w:tc>
          <w:tcPr>
            <w:tcW w:w="180" w:type="dxa"/>
            <w:vMerge w:val="restart"/>
            <w:vAlign w:val="bottom"/>
          </w:tcPr>
          <w:p w:rsidR="00AC12B4" w:rsidRPr="00C27636" w:rsidRDefault="00AC12B4">
            <w:pPr>
              <w:rPr>
                <w:sz w:val="9"/>
                <w:szCs w:val="9"/>
                <w:lang w:val="fr-BE"/>
              </w:rPr>
            </w:pPr>
          </w:p>
        </w:tc>
        <w:tc>
          <w:tcPr>
            <w:tcW w:w="280" w:type="dxa"/>
            <w:vAlign w:val="bottom"/>
          </w:tcPr>
          <w:p w:rsidR="00AC12B4" w:rsidRPr="00C27636" w:rsidRDefault="00AC12B4">
            <w:pPr>
              <w:rPr>
                <w:sz w:val="9"/>
                <w:szCs w:val="9"/>
                <w:lang w:val="fr-BE"/>
              </w:rPr>
            </w:pPr>
          </w:p>
        </w:tc>
        <w:tc>
          <w:tcPr>
            <w:tcW w:w="100" w:type="dxa"/>
            <w:vAlign w:val="bottom"/>
          </w:tcPr>
          <w:p w:rsidR="00AC12B4" w:rsidRPr="00C27636" w:rsidRDefault="00AC12B4">
            <w:pPr>
              <w:rPr>
                <w:sz w:val="9"/>
                <w:szCs w:val="9"/>
                <w:lang w:val="fr-BE"/>
              </w:rPr>
            </w:pPr>
          </w:p>
        </w:tc>
        <w:tc>
          <w:tcPr>
            <w:tcW w:w="520" w:type="dxa"/>
            <w:tcBorders>
              <w:bottom w:val="single" w:sz="8" w:space="0" w:color="44ACE0"/>
            </w:tcBorders>
            <w:vAlign w:val="bottom"/>
          </w:tcPr>
          <w:p w:rsidR="00AC12B4" w:rsidRPr="00C27636" w:rsidRDefault="00AC12B4">
            <w:pPr>
              <w:rPr>
                <w:sz w:val="9"/>
                <w:szCs w:val="9"/>
                <w:lang w:val="fr-BE"/>
              </w:rPr>
            </w:pPr>
          </w:p>
        </w:tc>
        <w:tc>
          <w:tcPr>
            <w:tcW w:w="620" w:type="dxa"/>
            <w:tcBorders>
              <w:bottom w:val="single" w:sz="8" w:space="0" w:color="44ACE0"/>
            </w:tcBorders>
            <w:vAlign w:val="bottom"/>
          </w:tcPr>
          <w:p w:rsidR="00AC12B4" w:rsidRPr="00C27636" w:rsidRDefault="00AC12B4">
            <w:pPr>
              <w:rPr>
                <w:sz w:val="9"/>
                <w:szCs w:val="9"/>
                <w:lang w:val="fr-BE"/>
              </w:rPr>
            </w:pPr>
          </w:p>
        </w:tc>
        <w:tc>
          <w:tcPr>
            <w:tcW w:w="280" w:type="dxa"/>
            <w:tcBorders>
              <w:bottom w:val="single" w:sz="8" w:space="0" w:color="44ACE0"/>
            </w:tcBorders>
            <w:vAlign w:val="bottom"/>
          </w:tcPr>
          <w:p w:rsidR="00AC12B4" w:rsidRPr="00C27636" w:rsidRDefault="00AC12B4">
            <w:pPr>
              <w:rPr>
                <w:sz w:val="9"/>
                <w:szCs w:val="9"/>
                <w:lang w:val="fr-BE"/>
              </w:rPr>
            </w:pPr>
          </w:p>
        </w:tc>
        <w:tc>
          <w:tcPr>
            <w:tcW w:w="220" w:type="dxa"/>
            <w:tcBorders>
              <w:bottom w:val="single" w:sz="8" w:space="0" w:color="44ACE0"/>
            </w:tcBorders>
            <w:vAlign w:val="bottom"/>
          </w:tcPr>
          <w:p w:rsidR="00AC12B4" w:rsidRPr="00C27636" w:rsidRDefault="00AC12B4">
            <w:pPr>
              <w:rPr>
                <w:sz w:val="9"/>
                <w:szCs w:val="9"/>
                <w:lang w:val="fr-BE"/>
              </w:rPr>
            </w:pPr>
          </w:p>
        </w:tc>
        <w:tc>
          <w:tcPr>
            <w:tcW w:w="40" w:type="dxa"/>
            <w:tcBorders>
              <w:bottom w:val="single" w:sz="8" w:space="0" w:color="44ACE0"/>
            </w:tcBorders>
            <w:vAlign w:val="bottom"/>
          </w:tcPr>
          <w:p w:rsidR="00AC12B4" w:rsidRPr="00C27636" w:rsidRDefault="00AC12B4">
            <w:pPr>
              <w:rPr>
                <w:sz w:val="9"/>
                <w:szCs w:val="9"/>
                <w:lang w:val="fr-BE"/>
              </w:rPr>
            </w:pPr>
          </w:p>
        </w:tc>
        <w:tc>
          <w:tcPr>
            <w:tcW w:w="340" w:type="dxa"/>
            <w:tcBorders>
              <w:bottom w:val="single" w:sz="8" w:space="0" w:color="44ACE0"/>
            </w:tcBorders>
            <w:vAlign w:val="bottom"/>
          </w:tcPr>
          <w:p w:rsidR="00AC12B4" w:rsidRPr="00C27636" w:rsidRDefault="00AC12B4">
            <w:pPr>
              <w:rPr>
                <w:sz w:val="9"/>
                <w:szCs w:val="9"/>
                <w:lang w:val="fr-BE"/>
              </w:rPr>
            </w:pPr>
          </w:p>
        </w:tc>
        <w:tc>
          <w:tcPr>
            <w:tcW w:w="120" w:type="dxa"/>
            <w:tcBorders>
              <w:bottom w:val="single" w:sz="8" w:space="0" w:color="44ACE0"/>
            </w:tcBorders>
            <w:vAlign w:val="bottom"/>
          </w:tcPr>
          <w:p w:rsidR="00AC12B4" w:rsidRPr="00C27636" w:rsidRDefault="00AC12B4">
            <w:pPr>
              <w:rPr>
                <w:sz w:val="9"/>
                <w:szCs w:val="9"/>
                <w:lang w:val="fr-BE"/>
              </w:rPr>
            </w:pPr>
          </w:p>
        </w:tc>
        <w:tc>
          <w:tcPr>
            <w:tcW w:w="220" w:type="dxa"/>
            <w:tcBorders>
              <w:bottom w:val="single" w:sz="8" w:space="0" w:color="44ACE0"/>
            </w:tcBorders>
            <w:vAlign w:val="bottom"/>
          </w:tcPr>
          <w:p w:rsidR="00AC12B4" w:rsidRPr="00C27636" w:rsidRDefault="00AC12B4">
            <w:pPr>
              <w:rPr>
                <w:sz w:val="9"/>
                <w:szCs w:val="9"/>
                <w:lang w:val="fr-BE"/>
              </w:rPr>
            </w:pPr>
          </w:p>
        </w:tc>
        <w:tc>
          <w:tcPr>
            <w:tcW w:w="300" w:type="dxa"/>
            <w:tcBorders>
              <w:bottom w:val="single" w:sz="8" w:space="0" w:color="44ACE0"/>
            </w:tcBorders>
            <w:vAlign w:val="bottom"/>
          </w:tcPr>
          <w:p w:rsidR="00AC12B4" w:rsidRPr="00C27636" w:rsidRDefault="00AC12B4">
            <w:pPr>
              <w:rPr>
                <w:sz w:val="9"/>
                <w:szCs w:val="9"/>
                <w:lang w:val="fr-BE"/>
              </w:rPr>
            </w:pPr>
          </w:p>
        </w:tc>
        <w:tc>
          <w:tcPr>
            <w:tcW w:w="720" w:type="dxa"/>
            <w:tcBorders>
              <w:bottom w:val="single" w:sz="8" w:space="0" w:color="44ACE0"/>
            </w:tcBorders>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96"/>
        </w:trPr>
        <w:tc>
          <w:tcPr>
            <w:tcW w:w="6700" w:type="dxa"/>
            <w:gridSpan w:val="9"/>
            <w:vMerge/>
            <w:tcBorders>
              <w:left w:val="single" w:sz="8" w:space="0" w:color="44ACE0"/>
              <w:right w:val="single" w:sz="8" w:space="0" w:color="44ACE0"/>
            </w:tcBorders>
            <w:shd w:val="clear" w:color="auto" w:fill="8BCCEC"/>
            <w:vAlign w:val="bottom"/>
          </w:tcPr>
          <w:p w:rsidR="00AC12B4" w:rsidRPr="00C27636" w:rsidRDefault="00AC12B4">
            <w:pPr>
              <w:rPr>
                <w:sz w:val="8"/>
                <w:szCs w:val="8"/>
                <w:lang w:val="fr-BE"/>
              </w:rPr>
            </w:pPr>
          </w:p>
        </w:tc>
        <w:tc>
          <w:tcPr>
            <w:tcW w:w="180" w:type="dxa"/>
            <w:vMerge/>
            <w:vAlign w:val="bottom"/>
          </w:tcPr>
          <w:p w:rsidR="00AC12B4" w:rsidRPr="00C27636" w:rsidRDefault="00AC12B4">
            <w:pPr>
              <w:rPr>
                <w:sz w:val="8"/>
                <w:szCs w:val="8"/>
                <w:lang w:val="fr-BE"/>
              </w:rPr>
            </w:pPr>
          </w:p>
        </w:tc>
        <w:tc>
          <w:tcPr>
            <w:tcW w:w="280" w:type="dxa"/>
            <w:vAlign w:val="bottom"/>
          </w:tcPr>
          <w:p w:rsidR="00AC12B4" w:rsidRPr="00C27636" w:rsidRDefault="00AC12B4">
            <w:pPr>
              <w:rPr>
                <w:sz w:val="8"/>
                <w:szCs w:val="8"/>
                <w:lang w:val="fr-BE"/>
              </w:rPr>
            </w:pPr>
          </w:p>
        </w:tc>
        <w:tc>
          <w:tcPr>
            <w:tcW w:w="100" w:type="dxa"/>
            <w:tcBorders>
              <w:right w:val="single" w:sz="8" w:space="0" w:color="44ACE0"/>
            </w:tcBorders>
            <w:vAlign w:val="bottom"/>
          </w:tcPr>
          <w:p w:rsidR="00AC12B4" w:rsidRPr="00C27636" w:rsidRDefault="00AC12B4">
            <w:pPr>
              <w:rPr>
                <w:sz w:val="8"/>
                <w:szCs w:val="8"/>
                <w:lang w:val="fr-BE"/>
              </w:rPr>
            </w:pPr>
          </w:p>
        </w:tc>
        <w:tc>
          <w:tcPr>
            <w:tcW w:w="3380" w:type="dxa"/>
            <w:gridSpan w:val="10"/>
            <w:vMerge w:val="restart"/>
            <w:tcBorders>
              <w:right w:val="single" w:sz="8" w:space="0" w:color="44ACE0"/>
            </w:tcBorders>
            <w:vAlign w:val="bottom"/>
          </w:tcPr>
          <w:p w:rsidR="00AC12B4" w:rsidRPr="00C27636" w:rsidRDefault="00C27636">
            <w:pPr>
              <w:ind w:left="160"/>
              <w:rPr>
                <w:sz w:val="20"/>
                <w:szCs w:val="20"/>
                <w:lang w:val="fr-BE"/>
              </w:rPr>
            </w:pPr>
            <w:r w:rsidRPr="00C27636">
              <w:rPr>
                <w:rFonts w:ascii="Comic Sans MS" w:eastAsia="Comic Sans MS" w:hAnsi="Comic Sans MS" w:cs="Comic Sans MS"/>
                <w:color w:val="0D0D0D"/>
                <w:sz w:val="20"/>
                <w:szCs w:val="20"/>
                <w:lang w:val="fr-BE"/>
              </w:rPr>
              <w:t xml:space="preserve">En  Flandre,  à  Bruxelles  et  </w:t>
            </w:r>
            <w:r w:rsidRPr="00C27636">
              <w:rPr>
                <w:rFonts w:ascii="Comic Sans MS" w:eastAsia="Comic Sans MS" w:hAnsi="Comic Sans MS" w:cs="Comic Sans MS"/>
                <w:color w:val="0D0D0D"/>
                <w:sz w:val="20"/>
                <w:szCs w:val="20"/>
                <w:lang w:val="fr-BE"/>
              </w:rPr>
              <w:t>en</w:t>
            </w:r>
          </w:p>
        </w:tc>
        <w:tc>
          <w:tcPr>
            <w:tcW w:w="0" w:type="dxa"/>
            <w:vAlign w:val="bottom"/>
          </w:tcPr>
          <w:p w:rsidR="00AC12B4" w:rsidRPr="00C27636" w:rsidRDefault="00AC12B4">
            <w:pPr>
              <w:rPr>
                <w:sz w:val="1"/>
                <w:szCs w:val="1"/>
                <w:lang w:val="fr-BE"/>
              </w:rPr>
            </w:pPr>
          </w:p>
        </w:tc>
      </w:tr>
      <w:tr w:rsidR="00AC12B4" w:rsidRPr="00C27636">
        <w:trPr>
          <w:trHeight w:val="311"/>
        </w:trPr>
        <w:tc>
          <w:tcPr>
            <w:tcW w:w="6060" w:type="dxa"/>
            <w:gridSpan w:val="7"/>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physiques, dans toute la mesure de leurs potentialités;</w:t>
            </w:r>
          </w:p>
        </w:tc>
        <w:tc>
          <w:tcPr>
            <w:tcW w:w="360" w:type="dxa"/>
            <w:shd w:val="clear" w:color="auto" w:fill="8BCCEC"/>
            <w:vAlign w:val="bottom"/>
          </w:tcPr>
          <w:p w:rsidR="00AC12B4" w:rsidRPr="00C27636" w:rsidRDefault="00AC12B4">
            <w:pPr>
              <w:rPr>
                <w:sz w:val="24"/>
                <w:szCs w:val="24"/>
                <w:lang w:val="fr-BE"/>
              </w:rPr>
            </w:pPr>
          </w:p>
        </w:tc>
        <w:tc>
          <w:tcPr>
            <w:tcW w:w="280" w:type="dxa"/>
            <w:tcBorders>
              <w:right w:val="single" w:sz="8" w:space="0" w:color="44ACE0"/>
            </w:tcBorders>
            <w:shd w:val="clear" w:color="auto" w:fill="8BCCEC"/>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100" w:type="dxa"/>
            <w:tcBorders>
              <w:right w:val="single" w:sz="8" w:space="0" w:color="44ACE0"/>
            </w:tcBorders>
            <w:vAlign w:val="bottom"/>
          </w:tcPr>
          <w:p w:rsidR="00AC12B4" w:rsidRPr="00C27636" w:rsidRDefault="00AC12B4">
            <w:pPr>
              <w:rPr>
                <w:sz w:val="24"/>
                <w:szCs w:val="24"/>
                <w:lang w:val="fr-BE"/>
              </w:rPr>
            </w:pPr>
          </w:p>
        </w:tc>
        <w:tc>
          <w:tcPr>
            <w:tcW w:w="3380" w:type="dxa"/>
            <w:gridSpan w:val="10"/>
            <w:vMerge/>
            <w:tcBorders>
              <w:right w:val="single" w:sz="8" w:space="0" w:color="44ACE0"/>
            </w:tcBorders>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79"/>
        </w:trPr>
        <w:tc>
          <w:tcPr>
            <w:tcW w:w="2100" w:type="dxa"/>
            <w:tcBorders>
              <w:left w:val="single" w:sz="8" w:space="0" w:color="44ACE0"/>
            </w:tcBorders>
            <w:shd w:val="clear" w:color="auto" w:fill="8BCCEC"/>
            <w:vAlign w:val="bottom"/>
          </w:tcPr>
          <w:p w:rsidR="00AC12B4" w:rsidRPr="00C27636" w:rsidRDefault="00AC12B4">
            <w:pPr>
              <w:rPr>
                <w:sz w:val="24"/>
                <w:szCs w:val="24"/>
                <w:lang w:val="fr-BE"/>
              </w:rPr>
            </w:pPr>
          </w:p>
        </w:tc>
        <w:tc>
          <w:tcPr>
            <w:tcW w:w="980" w:type="dxa"/>
            <w:shd w:val="clear" w:color="auto" w:fill="8BCCEC"/>
            <w:vAlign w:val="bottom"/>
          </w:tcPr>
          <w:p w:rsidR="00AC12B4" w:rsidRPr="00C27636" w:rsidRDefault="00AC12B4">
            <w:pPr>
              <w:rPr>
                <w:sz w:val="24"/>
                <w:szCs w:val="24"/>
                <w:lang w:val="fr-BE"/>
              </w:rPr>
            </w:pPr>
          </w:p>
        </w:tc>
        <w:tc>
          <w:tcPr>
            <w:tcW w:w="460" w:type="dxa"/>
            <w:shd w:val="clear" w:color="auto" w:fill="8BCCEC"/>
            <w:vAlign w:val="bottom"/>
          </w:tcPr>
          <w:p w:rsidR="00AC12B4" w:rsidRPr="00C27636" w:rsidRDefault="00AC12B4">
            <w:pPr>
              <w:rPr>
                <w:sz w:val="24"/>
                <w:szCs w:val="24"/>
                <w:lang w:val="fr-BE"/>
              </w:rPr>
            </w:pPr>
          </w:p>
        </w:tc>
        <w:tc>
          <w:tcPr>
            <w:tcW w:w="580" w:type="dxa"/>
            <w:shd w:val="clear" w:color="auto" w:fill="8BCCEC"/>
            <w:vAlign w:val="bottom"/>
          </w:tcPr>
          <w:p w:rsidR="00AC12B4" w:rsidRPr="00C27636" w:rsidRDefault="00AC12B4">
            <w:pPr>
              <w:rPr>
                <w:sz w:val="24"/>
                <w:szCs w:val="24"/>
                <w:lang w:val="fr-BE"/>
              </w:rPr>
            </w:pPr>
          </w:p>
        </w:tc>
        <w:tc>
          <w:tcPr>
            <w:tcW w:w="480" w:type="dxa"/>
            <w:shd w:val="clear" w:color="auto" w:fill="8BCCEC"/>
            <w:vAlign w:val="bottom"/>
          </w:tcPr>
          <w:p w:rsidR="00AC12B4" w:rsidRPr="00C27636" w:rsidRDefault="00AC12B4">
            <w:pPr>
              <w:rPr>
                <w:sz w:val="24"/>
                <w:szCs w:val="24"/>
                <w:lang w:val="fr-BE"/>
              </w:rPr>
            </w:pPr>
          </w:p>
        </w:tc>
        <w:tc>
          <w:tcPr>
            <w:tcW w:w="420" w:type="dxa"/>
            <w:shd w:val="clear" w:color="auto" w:fill="8BCCEC"/>
            <w:vAlign w:val="bottom"/>
          </w:tcPr>
          <w:p w:rsidR="00AC12B4" w:rsidRPr="00C27636" w:rsidRDefault="00AC12B4">
            <w:pPr>
              <w:rPr>
                <w:sz w:val="24"/>
                <w:szCs w:val="24"/>
                <w:lang w:val="fr-BE"/>
              </w:rPr>
            </w:pPr>
          </w:p>
        </w:tc>
        <w:tc>
          <w:tcPr>
            <w:tcW w:w="1040" w:type="dxa"/>
            <w:shd w:val="clear" w:color="auto" w:fill="8BCCEC"/>
            <w:vAlign w:val="bottom"/>
          </w:tcPr>
          <w:p w:rsidR="00AC12B4" w:rsidRPr="00C27636" w:rsidRDefault="00AC12B4">
            <w:pPr>
              <w:rPr>
                <w:sz w:val="24"/>
                <w:szCs w:val="24"/>
                <w:lang w:val="fr-BE"/>
              </w:rPr>
            </w:pPr>
          </w:p>
        </w:tc>
        <w:tc>
          <w:tcPr>
            <w:tcW w:w="360" w:type="dxa"/>
            <w:shd w:val="clear" w:color="auto" w:fill="8BCCEC"/>
            <w:vAlign w:val="bottom"/>
          </w:tcPr>
          <w:p w:rsidR="00AC12B4" w:rsidRPr="00C27636" w:rsidRDefault="00AC12B4">
            <w:pPr>
              <w:rPr>
                <w:sz w:val="24"/>
                <w:szCs w:val="24"/>
                <w:lang w:val="fr-BE"/>
              </w:rPr>
            </w:pPr>
          </w:p>
        </w:tc>
        <w:tc>
          <w:tcPr>
            <w:tcW w:w="280" w:type="dxa"/>
            <w:tcBorders>
              <w:right w:val="single" w:sz="8" w:space="0" w:color="44ACE0"/>
            </w:tcBorders>
            <w:shd w:val="clear" w:color="auto" w:fill="8BCCEC"/>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100" w:type="dxa"/>
            <w:tcBorders>
              <w:right w:val="single" w:sz="8" w:space="0" w:color="44ACE0"/>
            </w:tcBorders>
            <w:vAlign w:val="bottom"/>
          </w:tcPr>
          <w:p w:rsidR="00AC12B4" w:rsidRPr="00C27636" w:rsidRDefault="00AC12B4">
            <w:pPr>
              <w:rPr>
                <w:sz w:val="24"/>
                <w:szCs w:val="24"/>
                <w:lang w:val="fr-BE"/>
              </w:rPr>
            </w:pPr>
          </w:p>
        </w:tc>
        <w:tc>
          <w:tcPr>
            <w:tcW w:w="1420" w:type="dxa"/>
            <w:gridSpan w:val="3"/>
            <w:vAlign w:val="bottom"/>
          </w:tcPr>
          <w:p w:rsidR="00AC12B4" w:rsidRDefault="00C27636">
            <w:pPr>
              <w:ind w:left="160"/>
              <w:rPr>
                <w:sz w:val="20"/>
                <w:szCs w:val="20"/>
              </w:rPr>
            </w:pPr>
            <w:r>
              <w:rPr>
                <w:rFonts w:ascii="Comic Sans MS" w:eastAsia="Comic Sans MS" w:hAnsi="Comic Sans MS" w:cs="Comic Sans MS"/>
                <w:color w:val="0D0D0D"/>
                <w:sz w:val="20"/>
                <w:szCs w:val="20"/>
              </w:rPr>
              <w:t>FWB plus de</w:t>
            </w:r>
          </w:p>
        </w:tc>
        <w:tc>
          <w:tcPr>
            <w:tcW w:w="22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720" w:type="dxa"/>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460"/>
        </w:trPr>
        <w:tc>
          <w:tcPr>
            <w:tcW w:w="6060" w:type="dxa"/>
            <w:gridSpan w:val="7"/>
            <w:tcBorders>
              <w:left w:val="single" w:sz="8" w:space="0" w:color="44ACE0"/>
              <w:bottom w:val="single" w:sz="8" w:space="0" w:color="44ACE0"/>
            </w:tcBorders>
            <w:shd w:val="clear" w:color="auto" w:fill="8BCCEC"/>
            <w:vAlign w:val="bottom"/>
          </w:tcPr>
          <w:p w:rsidR="00AC12B4" w:rsidRDefault="00AC12B4">
            <w:pPr>
              <w:rPr>
                <w:sz w:val="24"/>
                <w:szCs w:val="24"/>
              </w:rPr>
            </w:pPr>
          </w:p>
        </w:tc>
        <w:tc>
          <w:tcPr>
            <w:tcW w:w="360" w:type="dxa"/>
            <w:tcBorders>
              <w:bottom w:val="single" w:sz="8" w:space="0" w:color="44ACE0"/>
            </w:tcBorders>
            <w:shd w:val="clear" w:color="auto" w:fill="8BCCEC"/>
            <w:vAlign w:val="bottom"/>
          </w:tcPr>
          <w:p w:rsidR="00AC12B4" w:rsidRDefault="00AC12B4">
            <w:pPr>
              <w:rPr>
                <w:sz w:val="24"/>
                <w:szCs w:val="24"/>
              </w:rPr>
            </w:pPr>
          </w:p>
        </w:tc>
        <w:tc>
          <w:tcPr>
            <w:tcW w:w="280" w:type="dxa"/>
            <w:tcBorders>
              <w:bottom w:val="single" w:sz="8" w:space="0" w:color="44ACE0"/>
              <w:right w:val="single" w:sz="8" w:space="0" w:color="44ACE0"/>
            </w:tcBorders>
            <w:shd w:val="clear" w:color="auto" w:fill="8BCCEC"/>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100" w:type="dxa"/>
            <w:tcBorders>
              <w:right w:val="single" w:sz="8" w:space="0" w:color="44ACE0"/>
            </w:tcBorders>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2860" w:type="dxa"/>
            <w:gridSpan w:val="9"/>
            <w:vMerge w:val="restart"/>
            <w:tcBorders>
              <w:right w:val="single" w:sz="8" w:space="0" w:color="44ACE0"/>
            </w:tcBorders>
            <w:vAlign w:val="bottom"/>
          </w:tcPr>
          <w:p w:rsidR="00AC12B4" w:rsidRDefault="00C27636">
            <w:pPr>
              <w:spacing w:line="1305" w:lineRule="exact"/>
              <w:ind w:left="40"/>
              <w:rPr>
                <w:sz w:val="20"/>
                <w:szCs w:val="20"/>
              </w:rPr>
            </w:pPr>
            <w:r>
              <w:rPr>
                <w:rFonts w:ascii="Comic Sans MS" w:eastAsia="Comic Sans MS" w:hAnsi="Comic Sans MS" w:cs="Comic Sans MS"/>
                <w:color w:val="8BCCEC"/>
                <w:sz w:val="96"/>
                <w:szCs w:val="96"/>
              </w:rPr>
              <w:t>4,5</w:t>
            </w:r>
            <w:r>
              <w:rPr>
                <w:rFonts w:ascii="Comic Sans MS" w:eastAsia="Comic Sans MS" w:hAnsi="Comic Sans MS" w:cs="Comic Sans MS"/>
                <w:color w:val="8BCCEC"/>
                <w:sz w:val="96"/>
                <w:szCs w:val="96"/>
              </w:rPr>
              <w:lastRenderedPageBreak/>
              <w:t>%</w:t>
            </w:r>
          </w:p>
        </w:tc>
        <w:tc>
          <w:tcPr>
            <w:tcW w:w="0" w:type="dxa"/>
            <w:vAlign w:val="bottom"/>
          </w:tcPr>
          <w:p w:rsidR="00AC12B4" w:rsidRDefault="00AC12B4">
            <w:pPr>
              <w:rPr>
                <w:sz w:val="1"/>
                <w:szCs w:val="1"/>
              </w:rPr>
            </w:pPr>
          </w:p>
        </w:tc>
      </w:tr>
      <w:tr w:rsidR="00AC12B4" w:rsidRPr="00C27636">
        <w:trPr>
          <w:trHeight w:val="507"/>
        </w:trPr>
        <w:tc>
          <w:tcPr>
            <w:tcW w:w="6060" w:type="dxa"/>
            <w:gridSpan w:val="7"/>
            <w:vAlign w:val="bottom"/>
          </w:tcPr>
          <w:p w:rsidR="00AC12B4" w:rsidRPr="00C27636" w:rsidRDefault="00C27636">
            <w:pPr>
              <w:ind w:left="1460"/>
              <w:rPr>
                <w:sz w:val="20"/>
                <w:szCs w:val="20"/>
                <w:lang w:val="fr-BE"/>
              </w:rPr>
            </w:pPr>
            <w:r w:rsidRPr="00C27636">
              <w:rPr>
                <w:rFonts w:ascii="Calibri" w:eastAsia="Calibri" w:hAnsi="Calibri" w:cs="Calibri"/>
                <w:lang w:val="fr-BE"/>
              </w:rPr>
              <w:t>La CIDE souligne l'obligation des États de</w:t>
            </w:r>
          </w:p>
        </w:tc>
        <w:tc>
          <w:tcPr>
            <w:tcW w:w="36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100" w:type="dxa"/>
            <w:tcBorders>
              <w:right w:val="single" w:sz="8" w:space="0" w:color="44ACE0"/>
            </w:tcBorders>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2860" w:type="dxa"/>
            <w:gridSpan w:val="9"/>
            <w:vMerge/>
            <w:tcBorders>
              <w:right w:val="single" w:sz="8" w:space="0" w:color="44ACE0"/>
            </w:tcBorders>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318"/>
        </w:trPr>
        <w:tc>
          <w:tcPr>
            <w:tcW w:w="6060" w:type="dxa"/>
            <w:gridSpan w:val="7"/>
            <w:vAlign w:val="bottom"/>
          </w:tcPr>
          <w:p w:rsidR="00AC12B4" w:rsidRPr="00C27636" w:rsidRDefault="00C27636">
            <w:pPr>
              <w:ind w:left="1460"/>
              <w:rPr>
                <w:sz w:val="20"/>
                <w:szCs w:val="20"/>
                <w:lang w:val="fr-BE"/>
              </w:rPr>
            </w:pPr>
            <w:r w:rsidRPr="00C27636">
              <w:rPr>
                <w:rFonts w:ascii="Calibri" w:eastAsia="Calibri" w:hAnsi="Calibri" w:cs="Calibri"/>
                <w:lang w:val="fr-BE"/>
              </w:rPr>
              <w:t>rendre  ouvertes  et  accessibles  à  tout</w:t>
            </w:r>
          </w:p>
        </w:tc>
        <w:tc>
          <w:tcPr>
            <w:tcW w:w="36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100" w:type="dxa"/>
            <w:tcBorders>
              <w:right w:val="single" w:sz="8" w:space="0" w:color="44ACE0"/>
            </w:tcBorders>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2860" w:type="dxa"/>
            <w:gridSpan w:val="9"/>
            <w:vMerge/>
            <w:tcBorders>
              <w:right w:val="single" w:sz="8" w:space="0" w:color="44ACE0"/>
            </w:tcBorders>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2100" w:type="dxa"/>
            <w:vAlign w:val="bottom"/>
          </w:tcPr>
          <w:p w:rsidR="00AC12B4" w:rsidRDefault="00C27636">
            <w:pPr>
              <w:spacing w:line="220" w:lineRule="exact"/>
              <w:ind w:left="1460"/>
              <w:rPr>
                <w:sz w:val="20"/>
                <w:szCs w:val="20"/>
              </w:rPr>
            </w:pPr>
            <w:r>
              <w:rPr>
                <w:rFonts w:ascii="Calibri" w:eastAsia="Calibri" w:hAnsi="Calibri" w:cs="Calibri"/>
              </w:rPr>
              <w:lastRenderedPageBreak/>
              <w:t>enfant</w:t>
            </w:r>
          </w:p>
        </w:tc>
        <w:tc>
          <w:tcPr>
            <w:tcW w:w="1440" w:type="dxa"/>
            <w:gridSpan w:val="2"/>
            <w:vAlign w:val="bottom"/>
          </w:tcPr>
          <w:p w:rsidR="00AC12B4" w:rsidRDefault="00C27636">
            <w:pPr>
              <w:spacing w:line="220" w:lineRule="exact"/>
              <w:ind w:left="240"/>
              <w:rPr>
                <w:sz w:val="20"/>
                <w:szCs w:val="20"/>
              </w:rPr>
            </w:pPr>
            <w:r>
              <w:rPr>
                <w:rFonts w:ascii="Calibri" w:eastAsia="Calibri" w:hAnsi="Calibri" w:cs="Calibri"/>
              </w:rPr>
              <w:t>l'information</w:t>
            </w:r>
          </w:p>
        </w:tc>
        <w:tc>
          <w:tcPr>
            <w:tcW w:w="580" w:type="dxa"/>
            <w:vAlign w:val="bottom"/>
          </w:tcPr>
          <w:p w:rsidR="00AC12B4" w:rsidRDefault="00C27636">
            <w:pPr>
              <w:spacing w:line="220" w:lineRule="exact"/>
              <w:ind w:left="240"/>
              <w:rPr>
                <w:sz w:val="20"/>
                <w:szCs w:val="20"/>
              </w:rPr>
            </w:pPr>
            <w:r>
              <w:rPr>
                <w:rFonts w:ascii="Calibri" w:eastAsia="Calibri" w:hAnsi="Calibri" w:cs="Calibri"/>
              </w:rPr>
              <w:t>et</w:t>
            </w:r>
          </w:p>
        </w:tc>
        <w:tc>
          <w:tcPr>
            <w:tcW w:w="1940" w:type="dxa"/>
            <w:gridSpan w:val="3"/>
            <w:vAlign w:val="bottom"/>
          </w:tcPr>
          <w:p w:rsidR="00AC12B4" w:rsidRDefault="00C27636">
            <w:pPr>
              <w:spacing w:line="220" w:lineRule="exact"/>
              <w:ind w:right="610"/>
              <w:jc w:val="right"/>
              <w:rPr>
                <w:sz w:val="20"/>
                <w:szCs w:val="20"/>
              </w:rPr>
            </w:pPr>
            <w:r>
              <w:rPr>
                <w:rFonts w:ascii="Calibri" w:eastAsia="Calibri" w:hAnsi="Calibri" w:cs="Calibri"/>
              </w:rPr>
              <w:t>l'orientation</w:t>
            </w:r>
          </w:p>
        </w:tc>
        <w:tc>
          <w:tcPr>
            <w:tcW w:w="36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100" w:type="dxa"/>
            <w:tcBorders>
              <w:right w:val="single" w:sz="8" w:space="0" w:color="44ACE0"/>
            </w:tcBorders>
            <w:vAlign w:val="bottom"/>
          </w:tcPr>
          <w:p w:rsidR="00AC12B4" w:rsidRDefault="00AC12B4">
            <w:pPr>
              <w:rPr>
                <w:sz w:val="23"/>
                <w:szCs w:val="23"/>
              </w:rPr>
            </w:pPr>
          </w:p>
        </w:tc>
        <w:tc>
          <w:tcPr>
            <w:tcW w:w="3380" w:type="dxa"/>
            <w:gridSpan w:val="10"/>
            <w:tcBorders>
              <w:right w:val="single" w:sz="8" w:space="0" w:color="44ACE0"/>
            </w:tcBorders>
            <w:vAlign w:val="bottom"/>
          </w:tcPr>
          <w:p w:rsidR="00AC12B4" w:rsidRPr="00C27636" w:rsidRDefault="00C27636">
            <w:pPr>
              <w:spacing w:line="269" w:lineRule="exact"/>
              <w:ind w:left="160"/>
              <w:rPr>
                <w:sz w:val="20"/>
                <w:szCs w:val="20"/>
                <w:lang w:val="fr-BE"/>
              </w:rPr>
            </w:pPr>
            <w:r w:rsidRPr="00C27636">
              <w:rPr>
                <w:rFonts w:ascii="Comic Sans MS" w:eastAsia="Comic Sans MS" w:hAnsi="Comic Sans MS" w:cs="Comic Sans MS"/>
                <w:color w:val="0D0D0D"/>
                <w:sz w:val="20"/>
                <w:szCs w:val="20"/>
                <w:lang w:val="fr-BE"/>
              </w:rPr>
              <w:t>des  enfants  scolarisés  le  sont</w:t>
            </w:r>
          </w:p>
        </w:tc>
        <w:tc>
          <w:tcPr>
            <w:tcW w:w="0" w:type="dxa"/>
            <w:vAlign w:val="bottom"/>
          </w:tcPr>
          <w:p w:rsidR="00AC12B4" w:rsidRPr="00C27636" w:rsidRDefault="00AC12B4">
            <w:pPr>
              <w:rPr>
                <w:sz w:val="1"/>
                <w:szCs w:val="1"/>
                <w:lang w:val="fr-BE"/>
              </w:rPr>
            </w:pPr>
          </w:p>
        </w:tc>
      </w:tr>
      <w:tr w:rsidR="00AC12B4">
        <w:trPr>
          <w:trHeight w:val="322"/>
        </w:trPr>
        <w:tc>
          <w:tcPr>
            <w:tcW w:w="4120" w:type="dxa"/>
            <w:gridSpan w:val="4"/>
            <w:vAlign w:val="bottom"/>
          </w:tcPr>
          <w:p w:rsidR="00AC12B4" w:rsidRDefault="00C27636">
            <w:pPr>
              <w:spacing w:line="220" w:lineRule="exact"/>
              <w:ind w:left="1460"/>
              <w:rPr>
                <w:sz w:val="20"/>
                <w:szCs w:val="20"/>
              </w:rPr>
            </w:pPr>
            <w:r>
              <w:rPr>
                <w:rFonts w:ascii="Calibri" w:eastAsia="Calibri" w:hAnsi="Calibri" w:cs="Calibri"/>
              </w:rPr>
              <w:t>scolaires et professionnelles.</w:t>
            </w:r>
          </w:p>
        </w:tc>
        <w:tc>
          <w:tcPr>
            <w:tcW w:w="48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104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100" w:type="dxa"/>
            <w:tcBorders>
              <w:right w:val="single" w:sz="8" w:space="0" w:color="44ACE0"/>
            </w:tcBorders>
            <w:vAlign w:val="bottom"/>
          </w:tcPr>
          <w:p w:rsidR="00AC12B4" w:rsidRDefault="00AC12B4">
            <w:pPr>
              <w:rPr>
                <w:sz w:val="24"/>
                <w:szCs w:val="24"/>
              </w:rPr>
            </w:pPr>
          </w:p>
        </w:tc>
        <w:tc>
          <w:tcPr>
            <w:tcW w:w="2140" w:type="dxa"/>
            <w:gridSpan w:val="7"/>
            <w:vAlign w:val="bottom"/>
          </w:tcPr>
          <w:p w:rsidR="00AC12B4" w:rsidRDefault="00C27636">
            <w:pPr>
              <w:ind w:left="160"/>
              <w:rPr>
                <w:sz w:val="20"/>
                <w:szCs w:val="20"/>
              </w:rPr>
            </w:pPr>
            <w:r>
              <w:rPr>
                <w:rFonts w:ascii="Comic Sans MS" w:eastAsia="Comic Sans MS" w:hAnsi="Comic Sans MS" w:cs="Comic Sans MS"/>
                <w:color w:val="0D0D0D"/>
                <w:sz w:val="20"/>
                <w:szCs w:val="20"/>
              </w:rPr>
              <w:t>dans  l’enseignement</w:t>
            </w:r>
          </w:p>
        </w:tc>
        <w:tc>
          <w:tcPr>
            <w:tcW w:w="1240" w:type="dxa"/>
            <w:gridSpan w:val="3"/>
            <w:tcBorders>
              <w:right w:val="single" w:sz="8" w:space="0" w:color="44ACE0"/>
            </w:tcBorders>
            <w:vAlign w:val="bottom"/>
          </w:tcPr>
          <w:p w:rsidR="00AC12B4" w:rsidRDefault="00C27636">
            <w:pPr>
              <w:ind w:right="180"/>
              <w:jc w:val="right"/>
              <w:rPr>
                <w:sz w:val="20"/>
                <w:szCs w:val="20"/>
              </w:rPr>
            </w:pPr>
            <w:r>
              <w:rPr>
                <w:rFonts w:ascii="Comic Sans MS" w:eastAsia="Comic Sans MS" w:hAnsi="Comic Sans MS" w:cs="Comic Sans MS"/>
                <w:color w:val="0D0D0D"/>
                <w:sz w:val="20"/>
                <w:szCs w:val="20"/>
              </w:rPr>
              <w:t>spécialisé.</w:t>
            </w:r>
          </w:p>
        </w:tc>
        <w:tc>
          <w:tcPr>
            <w:tcW w:w="0" w:type="dxa"/>
            <w:vAlign w:val="bottom"/>
          </w:tcPr>
          <w:p w:rsidR="00AC12B4" w:rsidRDefault="00AC12B4">
            <w:pPr>
              <w:rPr>
                <w:sz w:val="1"/>
                <w:szCs w:val="1"/>
              </w:rPr>
            </w:pPr>
          </w:p>
        </w:tc>
      </w:tr>
      <w:tr w:rsidR="00AC12B4">
        <w:trPr>
          <w:trHeight w:val="278"/>
        </w:trPr>
        <w:tc>
          <w:tcPr>
            <w:tcW w:w="2100" w:type="dxa"/>
            <w:vMerge w:val="restart"/>
            <w:vAlign w:val="bottom"/>
          </w:tcPr>
          <w:p w:rsidR="00AC12B4" w:rsidRDefault="00C27636">
            <w:pPr>
              <w:ind w:left="1820"/>
              <w:rPr>
                <w:sz w:val="20"/>
                <w:szCs w:val="20"/>
              </w:rPr>
            </w:pPr>
            <w:r>
              <w:rPr>
                <w:rFonts w:ascii="Cambria" w:eastAsia="Cambria" w:hAnsi="Cambria" w:cs="Cambria"/>
                <w:b/>
                <w:bCs/>
                <w:i/>
                <w:iCs/>
                <w:color w:val="44ACE0"/>
                <w:sz w:val="26"/>
                <w:szCs w:val="26"/>
              </w:rPr>
              <w:t>1.</w:t>
            </w:r>
          </w:p>
        </w:tc>
        <w:tc>
          <w:tcPr>
            <w:tcW w:w="1440" w:type="dxa"/>
            <w:gridSpan w:val="2"/>
            <w:vMerge w:val="restart"/>
            <w:vAlign w:val="bottom"/>
          </w:tcPr>
          <w:p w:rsidR="00AC12B4" w:rsidRDefault="00C27636">
            <w:pPr>
              <w:ind w:left="80"/>
              <w:rPr>
                <w:sz w:val="20"/>
                <w:szCs w:val="20"/>
              </w:rPr>
            </w:pPr>
            <w:r>
              <w:rPr>
                <w:rFonts w:ascii="Cambria" w:eastAsia="Cambria" w:hAnsi="Cambria" w:cs="Cambria"/>
                <w:b/>
                <w:bCs/>
                <w:i/>
                <w:iCs/>
                <w:color w:val="44ACE0"/>
                <w:w w:val="99"/>
                <w:sz w:val="26"/>
                <w:szCs w:val="26"/>
              </w:rPr>
              <w:t>Répartition</w:t>
            </w:r>
          </w:p>
        </w:tc>
        <w:tc>
          <w:tcPr>
            <w:tcW w:w="58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1460" w:type="dxa"/>
            <w:gridSpan w:val="2"/>
            <w:vMerge w:val="restart"/>
            <w:vAlign w:val="bottom"/>
          </w:tcPr>
          <w:p w:rsidR="00AC12B4" w:rsidRDefault="00C27636">
            <w:pPr>
              <w:ind w:right="610"/>
              <w:jc w:val="right"/>
              <w:rPr>
                <w:sz w:val="20"/>
                <w:szCs w:val="20"/>
              </w:rPr>
            </w:pPr>
            <w:r>
              <w:rPr>
                <w:rFonts w:ascii="Cambria" w:eastAsia="Cambria" w:hAnsi="Cambria" w:cs="Cambria"/>
                <w:b/>
                <w:bCs/>
                <w:i/>
                <w:iCs/>
                <w:color w:val="44ACE0"/>
                <w:sz w:val="26"/>
                <w:szCs w:val="26"/>
              </w:rPr>
              <w:t>entre</w:t>
            </w:r>
          </w:p>
        </w:tc>
        <w:tc>
          <w:tcPr>
            <w:tcW w:w="36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100" w:type="dxa"/>
            <w:tcBorders>
              <w:right w:val="single" w:sz="8" w:space="0" w:color="44ACE0"/>
            </w:tcBorders>
            <w:vAlign w:val="bottom"/>
          </w:tcPr>
          <w:p w:rsidR="00AC12B4" w:rsidRDefault="00AC12B4">
            <w:pPr>
              <w:rPr>
                <w:sz w:val="24"/>
                <w:szCs w:val="24"/>
              </w:rPr>
            </w:pPr>
          </w:p>
        </w:tc>
        <w:tc>
          <w:tcPr>
            <w:tcW w:w="520" w:type="dxa"/>
            <w:vAlign w:val="bottom"/>
          </w:tcPr>
          <w:p w:rsidR="00AC12B4" w:rsidRDefault="00C27636">
            <w:pPr>
              <w:ind w:left="160"/>
              <w:rPr>
                <w:sz w:val="20"/>
                <w:szCs w:val="20"/>
              </w:rPr>
            </w:pPr>
            <w:r>
              <w:rPr>
                <w:rFonts w:ascii="Comic Sans MS" w:eastAsia="Comic Sans MS" w:hAnsi="Comic Sans MS" w:cs="Comic Sans MS"/>
                <w:color w:val="0D0D0D"/>
                <w:sz w:val="20"/>
                <w:szCs w:val="20"/>
              </w:rPr>
              <w:t>Le</w:t>
            </w:r>
          </w:p>
        </w:tc>
        <w:tc>
          <w:tcPr>
            <w:tcW w:w="620" w:type="dxa"/>
            <w:vAlign w:val="bottom"/>
          </w:tcPr>
          <w:p w:rsidR="00AC12B4" w:rsidRDefault="00C27636">
            <w:pPr>
              <w:ind w:left="20"/>
              <w:rPr>
                <w:sz w:val="20"/>
                <w:szCs w:val="20"/>
              </w:rPr>
            </w:pPr>
            <w:r>
              <w:rPr>
                <w:rFonts w:ascii="Comic Sans MS" w:eastAsia="Comic Sans MS" w:hAnsi="Comic Sans MS" w:cs="Comic Sans MS"/>
                <w:color w:val="0D0D0D"/>
                <w:w w:val="98"/>
                <w:sz w:val="20"/>
                <w:szCs w:val="20"/>
              </w:rPr>
              <w:t>statut</w:t>
            </w:r>
          </w:p>
        </w:tc>
        <w:tc>
          <w:tcPr>
            <w:tcW w:w="2240" w:type="dxa"/>
            <w:gridSpan w:val="8"/>
            <w:tcBorders>
              <w:right w:val="single" w:sz="8" w:space="0" w:color="44ACE0"/>
            </w:tcBorders>
            <w:vAlign w:val="bottom"/>
          </w:tcPr>
          <w:p w:rsidR="00AC12B4" w:rsidRDefault="00C27636">
            <w:pPr>
              <w:ind w:right="180"/>
              <w:jc w:val="right"/>
              <w:rPr>
                <w:sz w:val="20"/>
                <w:szCs w:val="20"/>
              </w:rPr>
            </w:pPr>
            <w:r>
              <w:rPr>
                <w:rFonts w:ascii="Comic Sans MS" w:eastAsia="Comic Sans MS" w:hAnsi="Comic Sans MS" w:cs="Comic Sans MS"/>
                <w:color w:val="0D0D0D"/>
                <w:sz w:val="20"/>
                <w:szCs w:val="20"/>
              </w:rPr>
              <w:t>socio-économique  a</w:t>
            </w:r>
          </w:p>
        </w:tc>
        <w:tc>
          <w:tcPr>
            <w:tcW w:w="0" w:type="dxa"/>
            <w:vAlign w:val="bottom"/>
          </w:tcPr>
          <w:p w:rsidR="00AC12B4" w:rsidRDefault="00AC12B4">
            <w:pPr>
              <w:rPr>
                <w:sz w:val="1"/>
                <w:szCs w:val="1"/>
              </w:rPr>
            </w:pPr>
          </w:p>
        </w:tc>
      </w:tr>
      <w:tr w:rsidR="00AC12B4">
        <w:trPr>
          <w:trHeight w:val="130"/>
        </w:trPr>
        <w:tc>
          <w:tcPr>
            <w:tcW w:w="2100" w:type="dxa"/>
            <w:vMerge/>
            <w:vAlign w:val="bottom"/>
          </w:tcPr>
          <w:p w:rsidR="00AC12B4" w:rsidRDefault="00AC12B4">
            <w:pPr>
              <w:rPr>
                <w:sz w:val="11"/>
                <w:szCs w:val="11"/>
              </w:rPr>
            </w:pPr>
          </w:p>
        </w:tc>
        <w:tc>
          <w:tcPr>
            <w:tcW w:w="1440" w:type="dxa"/>
            <w:gridSpan w:val="2"/>
            <w:vMerge/>
            <w:vAlign w:val="bottom"/>
          </w:tcPr>
          <w:p w:rsidR="00AC12B4" w:rsidRDefault="00AC12B4">
            <w:pPr>
              <w:rPr>
                <w:sz w:val="11"/>
                <w:szCs w:val="11"/>
              </w:rPr>
            </w:pPr>
          </w:p>
        </w:tc>
        <w:tc>
          <w:tcPr>
            <w:tcW w:w="58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1460" w:type="dxa"/>
            <w:gridSpan w:val="2"/>
            <w:vMerge/>
            <w:vAlign w:val="bottom"/>
          </w:tcPr>
          <w:p w:rsidR="00AC12B4" w:rsidRDefault="00AC12B4">
            <w:pPr>
              <w:rPr>
                <w:sz w:val="11"/>
                <w:szCs w:val="11"/>
              </w:rPr>
            </w:pPr>
          </w:p>
        </w:tc>
        <w:tc>
          <w:tcPr>
            <w:tcW w:w="36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100" w:type="dxa"/>
            <w:tcBorders>
              <w:right w:val="single" w:sz="8" w:space="0" w:color="44ACE0"/>
            </w:tcBorders>
            <w:vAlign w:val="bottom"/>
          </w:tcPr>
          <w:p w:rsidR="00AC12B4" w:rsidRDefault="00AC12B4">
            <w:pPr>
              <w:rPr>
                <w:sz w:val="11"/>
                <w:szCs w:val="11"/>
              </w:rPr>
            </w:pPr>
          </w:p>
        </w:tc>
        <w:tc>
          <w:tcPr>
            <w:tcW w:w="520" w:type="dxa"/>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une</w:t>
            </w:r>
          </w:p>
        </w:tc>
        <w:tc>
          <w:tcPr>
            <w:tcW w:w="620" w:type="dxa"/>
            <w:vMerge w:val="restart"/>
            <w:vAlign w:val="bottom"/>
          </w:tcPr>
          <w:p w:rsidR="00AC12B4" w:rsidRDefault="00C27636">
            <w:pPr>
              <w:ind w:left="80"/>
              <w:rPr>
                <w:sz w:val="20"/>
                <w:szCs w:val="20"/>
              </w:rPr>
            </w:pPr>
            <w:r>
              <w:rPr>
                <w:rFonts w:ascii="Comic Sans MS" w:eastAsia="Comic Sans MS" w:hAnsi="Comic Sans MS" w:cs="Comic Sans MS"/>
                <w:color w:val="0D0D0D"/>
                <w:sz w:val="20"/>
                <w:szCs w:val="20"/>
              </w:rPr>
              <w:t>très</w:t>
            </w:r>
          </w:p>
        </w:tc>
        <w:tc>
          <w:tcPr>
            <w:tcW w:w="2240" w:type="dxa"/>
            <w:gridSpan w:val="8"/>
            <w:vMerge w:val="restart"/>
            <w:tcBorders>
              <w:right w:val="single" w:sz="8" w:space="0" w:color="44ACE0"/>
            </w:tcBorders>
            <w:vAlign w:val="bottom"/>
          </w:tcPr>
          <w:p w:rsidR="00AC12B4" w:rsidRDefault="00C27636">
            <w:pPr>
              <w:ind w:right="180"/>
              <w:jc w:val="right"/>
              <w:rPr>
                <w:sz w:val="20"/>
                <w:szCs w:val="20"/>
              </w:rPr>
            </w:pPr>
            <w:r>
              <w:rPr>
                <w:rFonts w:ascii="Comic Sans MS" w:eastAsia="Comic Sans MS" w:hAnsi="Comic Sans MS" w:cs="Comic Sans MS"/>
                <w:color w:val="0D0D0D"/>
                <w:sz w:val="20"/>
                <w:szCs w:val="20"/>
              </w:rPr>
              <w:t>grande  influence  sur</w:t>
            </w:r>
          </w:p>
        </w:tc>
        <w:tc>
          <w:tcPr>
            <w:tcW w:w="0" w:type="dxa"/>
            <w:vAlign w:val="bottom"/>
          </w:tcPr>
          <w:p w:rsidR="00AC12B4" w:rsidRDefault="00AC12B4">
            <w:pPr>
              <w:rPr>
                <w:sz w:val="1"/>
                <w:szCs w:val="1"/>
              </w:rPr>
            </w:pPr>
          </w:p>
        </w:tc>
      </w:tr>
      <w:tr w:rsidR="00AC12B4">
        <w:trPr>
          <w:trHeight w:val="148"/>
        </w:trPr>
        <w:tc>
          <w:tcPr>
            <w:tcW w:w="2100" w:type="dxa"/>
            <w:vAlign w:val="bottom"/>
          </w:tcPr>
          <w:p w:rsidR="00AC12B4" w:rsidRDefault="00AC12B4">
            <w:pPr>
              <w:rPr>
                <w:sz w:val="12"/>
                <w:szCs w:val="12"/>
              </w:rPr>
            </w:pPr>
          </w:p>
        </w:tc>
        <w:tc>
          <w:tcPr>
            <w:tcW w:w="3960" w:type="dxa"/>
            <w:gridSpan w:val="6"/>
            <w:vMerge w:val="restart"/>
            <w:vAlign w:val="bottom"/>
          </w:tcPr>
          <w:p w:rsidR="00AC12B4" w:rsidRDefault="00C27636">
            <w:pPr>
              <w:ind w:left="80"/>
              <w:rPr>
                <w:sz w:val="20"/>
                <w:szCs w:val="20"/>
              </w:rPr>
            </w:pPr>
            <w:r>
              <w:rPr>
                <w:rFonts w:ascii="Cambria" w:eastAsia="Cambria" w:hAnsi="Cambria" w:cs="Cambria"/>
                <w:b/>
                <w:bCs/>
                <w:i/>
                <w:iCs/>
                <w:color w:val="44ACE0"/>
                <w:sz w:val="26"/>
                <w:szCs w:val="26"/>
              </w:rPr>
              <w:t xml:space="preserve">enseignement </w:t>
            </w:r>
            <w:r>
              <w:rPr>
                <w:rFonts w:ascii="Cambria" w:eastAsia="Cambria" w:hAnsi="Cambria" w:cs="Cambria"/>
                <w:b/>
                <w:bCs/>
                <w:i/>
                <w:iCs/>
                <w:color w:val="44ACE0"/>
                <w:sz w:val="26"/>
                <w:szCs w:val="26"/>
              </w:rPr>
              <w:t>spécialisé et</w:t>
            </w:r>
          </w:p>
        </w:tc>
        <w:tc>
          <w:tcPr>
            <w:tcW w:w="360" w:type="dxa"/>
            <w:vAlign w:val="bottom"/>
          </w:tcPr>
          <w:p w:rsidR="00AC12B4" w:rsidRDefault="00AC12B4">
            <w:pPr>
              <w:rPr>
                <w:sz w:val="12"/>
                <w:szCs w:val="12"/>
              </w:rPr>
            </w:pPr>
          </w:p>
        </w:tc>
        <w:tc>
          <w:tcPr>
            <w:tcW w:w="28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80" w:type="dxa"/>
            <w:vAlign w:val="bottom"/>
          </w:tcPr>
          <w:p w:rsidR="00AC12B4" w:rsidRDefault="00AC12B4">
            <w:pPr>
              <w:rPr>
                <w:sz w:val="12"/>
                <w:szCs w:val="12"/>
              </w:rPr>
            </w:pPr>
          </w:p>
        </w:tc>
        <w:tc>
          <w:tcPr>
            <w:tcW w:w="100" w:type="dxa"/>
            <w:tcBorders>
              <w:right w:val="single" w:sz="8" w:space="0" w:color="44ACE0"/>
            </w:tcBorders>
            <w:vAlign w:val="bottom"/>
          </w:tcPr>
          <w:p w:rsidR="00AC12B4" w:rsidRDefault="00AC12B4">
            <w:pPr>
              <w:rPr>
                <w:sz w:val="12"/>
                <w:szCs w:val="12"/>
              </w:rPr>
            </w:pPr>
          </w:p>
        </w:tc>
        <w:tc>
          <w:tcPr>
            <w:tcW w:w="520" w:type="dxa"/>
            <w:vMerge/>
            <w:vAlign w:val="bottom"/>
          </w:tcPr>
          <w:p w:rsidR="00AC12B4" w:rsidRDefault="00AC12B4">
            <w:pPr>
              <w:rPr>
                <w:sz w:val="12"/>
                <w:szCs w:val="12"/>
              </w:rPr>
            </w:pPr>
          </w:p>
        </w:tc>
        <w:tc>
          <w:tcPr>
            <w:tcW w:w="620" w:type="dxa"/>
            <w:vMerge/>
            <w:vAlign w:val="bottom"/>
          </w:tcPr>
          <w:p w:rsidR="00AC12B4" w:rsidRDefault="00AC12B4">
            <w:pPr>
              <w:rPr>
                <w:sz w:val="12"/>
                <w:szCs w:val="12"/>
              </w:rPr>
            </w:pPr>
          </w:p>
        </w:tc>
        <w:tc>
          <w:tcPr>
            <w:tcW w:w="2240" w:type="dxa"/>
            <w:gridSpan w:val="8"/>
            <w:vMerge/>
            <w:tcBorders>
              <w:right w:val="single" w:sz="8" w:space="0" w:color="44ACE0"/>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202"/>
        </w:trPr>
        <w:tc>
          <w:tcPr>
            <w:tcW w:w="2100" w:type="dxa"/>
            <w:vAlign w:val="bottom"/>
          </w:tcPr>
          <w:p w:rsidR="00AC12B4" w:rsidRDefault="00AC12B4">
            <w:pPr>
              <w:rPr>
                <w:sz w:val="17"/>
                <w:szCs w:val="17"/>
              </w:rPr>
            </w:pPr>
          </w:p>
        </w:tc>
        <w:tc>
          <w:tcPr>
            <w:tcW w:w="3960" w:type="dxa"/>
            <w:gridSpan w:val="6"/>
            <w:vMerge/>
            <w:vAlign w:val="bottom"/>
          </w:tcPr>
          <w:p w:rsidR="00AC12B4" w:rsidRDefault="00AC12B4">
            <w:pPr>
              <w:rPr>
                <w:sz w:val="17"/>
                <w:szCs w:val="17"/>
              </w:rPr>
            </w:pPr>
          </w:p>
        </w:tc>
        <w:tc>
          <w:tcPr>
            <w:tcW w:w="360" w:type="dxa"/>
            <w:vAlign w:val="bottom"/>
          </w:tcPr>
          <w:p w:rsidR="00AC12B4" w:rsidRDefault="00AC12B4">
            <w:pPr>
              <w:rPr>
                <w:sz w:val="17"/>
                <w:szCs w:val="17"/>
              </w:rPr>
            </w:pPr>
          </w:p>
        </w:tc>
        <w:tc>
          <w:tcPr>
            <w:tcW w:w="280" w:type="dxa"/>
            <w:vAlign w:val="bottom"/>
          </w:tcPr>
          <w:p w:rsidR="00AC12B4" w:rsidRDefault="00AC12B4">
            <w:pPr>
              <w:rPr>
                <w:sz w:val="17"/>
                <w:szCs w:val="17"/>
              </w:rPr>
            </w:pPr>
          </w:p>
        </w:tc>
        <w:tc>
          <w:tcPr>
            <w:tcW w:w="180" w:type="dxa"/>
            <w:vAlign w:val="bottom"/>
          </w:tcPr>
          <w:p w:rsidR="00AC12B4" w:rsidRDefault="00AC12B4">
            <w:pPr>
              <w:rPr>
                <w:sz w:val="17"/>
                <w:szCs w:val="17"/>
              </w:rPr>
            </w:pPr>
          </w:p>
        </w:tc>
        <w:tc>
          <w:tcPr>
            <w:tcW w:w="280" w:type="dxa"/>
            <w:vAlign w:val="bottom"/>
          </w:tcPr>
          <w:p w:rsidR="00AC12B4" w:rsidRDefault="00AC12B4">
            <w:pPr>
              <w:rPr>
                <w:sz w:val="17"/>
                <w:szCs w:val="17"/>
              </w:rPr>
            </w:pPr>
          </w:p>
        </w:tc>
        <w:tc>
          <w:tcPr>
            <w:tcW w:w="100" w:type="dxa"/>
            <w:tcBorders>
              <w:right w:val="single" w:sz="8" w:space="0" w:color="44ACE0"/>
            </w:tcBorders>
            <w:vAlign w:val="bottom"/>
          </w:tcPr>
          <w:p w:rsidR="00AC12B4" w:rsidRDefault="00AC12B4">
            <w:pPr>
              <w:rPr>
                <w:sz w:val="17"/>
                <w:szCs w:val="17"/>
              </w:rPr>
            </w:pPr>
          </w:p>
        </w:tc>
        <w:tc>
          <w:tcPr>
            <w:tcW w:w="3380" w:type="dxa"/>
            <w:gridSpan w:val="10"/>
            <w:vMerge w:val="restart"/>
            <w:tcBorders>
              <w:right w:val="single" w:sz="8" w:space="0" w:color="44ACE0"/>
            </w:tcBorders>
            <w:vAlign w:val="bottom"/>
          </w:tcPr>
          <w:p w:rsidR="00AC12B4" w:rsidRDefault="00C27636">
            <w:pPr>
              <w:ind w:left="160"/>
              <w:rPr>
                <w:sz w:val="20"/>
                <w:szCs w:val="20"/>
              </w:rPr>
            </w:pPr>
            <w:r>
              <w:rPr>
                <w:rFonts w:ascii="Comic Sans MS" w:eastAsia="Comic Sans MS" w:hAnsi="Comic Sans MS" w:cs="Comic Sans MS"/>
                <w:color w:val="0D0D0D"/>
                <w:sz w:val="20"/>
                <w:szCs w:val="20"/>
              </w:rPr>
              <w:t>l’orientation scolaire en général.</w:t>
            </w:r>
          </w:p>
        </w:tc>
        <w:tc>
          <w:tcPr>
            <w:tcW w:w="0" w:type="dxa"/>
            <w:vAlign w:val="bottom"/>
          </w:tcPr>
          <w:p w:rsidR="00AC12B4" w:rsidRDefault="00AC12B4">
            <w:pPr>
              <w:rPr>
                <w:sz w:val="1"/>
                <w:szCs w:val="1"/>
              </w:rPr>
            </w:pPr>
          </w:p>
        </w:tc>
      </w:tr>
      <w:tr w:rsidR="00AC12B4">
        <w:trPr>
          <w:trHeight w:val="79"/>
        </w:trPr>
        <w:tc>
          <w:tcPr>
            <w:tcW w:w="2100" w:type="dxa"/>
            <w:vAlign w:val="bottom"/>
          </w:tcPr>
          <w:p w:rsidR="00AC12B4" w:rsidRDefault="00AC12B4">
            <w:pPr>
              <w:rPr>
                <w:sz w:val="6"/>
                <w:szCs w:val="6"/>
              </w:rPr>
            </w:pPr>
          </w:p>
        </w:tc>
        <w:tc>
          <w:tcPr>
            <w:tcW w:w="1440" w:type="dxa"/>
            <w:gridSpan w:val="2"/>
            <w:vMerge w:val="restart"/>
            <w:vAlign w:val="bottom"/>
          </w:tcPr>
          <w:p w:rsidR="00AC12B4" w:rsidRDefault="00C27636">
            <w:pPr>
              <w:ind w:left="80"/>
              <w:rPr>
                <w:sz w:val="20"/>
                <w:szCs w:val="20"/>
              </w:rPr>
            </w:pPr>
            <w:r>
              <w:rPr>
                <w:rFonts w:ascii="Cambria" w:eastAsia="Cambria" w:hAnsi="Cambria" w:cs="Cambria"/>
                <w:b/>
                <w:bCs/>
                <w:i/>
                <w:iCs/>
                <w:color w:val="44ACE0"/>
                <w:sz w:val="26"/>
                <w:szCs w:val="26"/>
              </w:rPr>
              <w:t>ordina</w:t>
            </w:r>
            <w:r>
              <w:rPr>
                <w:rFonts w:ascii="Cambria" w:eastAsia="Cambria" w:hAnsi="Cambria" w:cs="Cambria"/>
                <w:b/>
                <w:bCs/>
                <w:i/>
                <w:iCs/>
                <w:color w:val="44ACE0"/>
                <w:sz w:val="26"/>
                <w:szCs w:val="26"/>
              </w:rPr>
              <w:lastRenderedPageBreak/>
              <w:t>ire</w:t>
            </w:r>
          </w:p>
        </w:tc>
        <w:tc>
          <w:tcPr>
            <w:tcW w:w="58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1040" w:type="dxa"/>
            <w:vAlign w:val="bottom"/>
          </w:tcPr>
          <w:p w:rsidR="00AC12B4" w:rsidRDefault="00AC12B4">
            <w:pPr>
              <w:rPr>
                <w:sz w:val="6"/>
                <w:szCs w:val="6"/>
              </w:rPr>
            </w:pPr>
          </w:p>
        </w:tc>
        <w:tc>
          <w:tcPr>
            <w:tcW w:w="360" w:type="dxa"/>
            <w:vAlign w:val="bottom"/>
          </w:tcPr>
          <w:p w:rsidR="00AC12B4" w:rsidRDefault="00AC12B4">
            <w:pPr>
              <w:rPr>
                <w:sz w:val="6"/>
                <w:szCs w:val="6"/>
              </w:rPr>
            </w:pPr>
          </w:p>
        </w:tc>
        <w:tc>
          <w:tcPr>
            <w:tcW w:w="28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280" w:type="dxa"/>
            <w:vAlign w:val="bottom"/>
          </w:tcPr>
          <w:p w:rsidR="00AC12B4" w:rsidRDefault="00AC12B4">
            <w:pPr>
              <w:rPr>
                <w:sz w:val="6"/>
                <w:szCs w:val="6"/>
              </w:rPr>
            </w:pPr>
          </w:p>
        </w:tc>
        <w:tc>
          <w:tcPr>
            <w:tcW w:w="100" w:type="dxa"/>
            <w:tcBorders>
              <w:right w:val="single" w:sz="8" w:space="0" w:color="44ACE0"/>
            </w:tcBorders>
            <w:vAlign w:val="bottom"/>
          </w:tcPr>
          <w:p w:rsidR="00AC12B4" w:rsidRDefault="00AC12B4">
            <w:pPr>
              <w:rPr>
                <w:sz w:val="6"/>
                <w:szCs w:val="6"/>
              </w:rPr>
            </w:pPr>
          </w:p>
        </w:tc>
        <w:tc>
          <w:tcPr>
            <w:tcW w:w="3380" w:type="dxa"/>
            <w:gridSpan w:val="10"/>
            <w:vMerge/>
            <w:tcBorders>
              <w:right w:val="single" w:sz="8" w:space="0" w:color="44ACE0"/>
            </w:tcBorders>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47"/>
        </w:trPr>
        <w:tc>
          <w:tcPr>
            <w:tcW w:w="2100" w:type="dxa"/>
            <w:vAlign w:val="bottom"/>
          </w:tcPr>
          <w:p w:rsidR="00AC12B4" w:rsidRDefault="00AC12B4">
            <w:pPr>
              <w:rPr>
                <w:sz w:val="12"/>
                <w:szCs w:val="12"/>
              </w:rPr>
            </w:pPr>
          </w:p>
        </w:tc>
        <w:tc>
          <w:tcPr>
            <w:tcW w:w="1440" w:type="dxa"/>
            <w:gridSpan w:val="2"/>
            <w:vMerge/>
            <w:vAlign w:val="bottom"/>
          </w:tcPr>
          <w:p w:rsidR="00AC12B4" w:rsidRDefault="00AC12B4">
            <w:pPr>
              <w:rPr>
                <w:sz w:val="12"/>
                <w:szCs w:val="12"/>
              </w:rPr>
            </w:pPr>
          </w:p>
        </w:tc>
        <w:tc>
          <w:tcPr>
            <w:tcW w:w="58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1040" w:type="dxa"/>
            <w:vAlign w:val="bottom"/>
          </w:tcPr>
          <w:p w:rsidR="00AC12B4" w:rsidRDefault="00AC12B4">
            <w:pPr>
              <w:rPr>
                <w:sz w:val="12"/>
                <w:szCs w:val="12"/>
              </w:rPr>
            </w:pPr>
          </w:p>
        </w:tc>
        <w:tc>
          <w:tcPr>
            <w:tcW w:w="360" w:type="dxa"/>
            <w:vAlign w:val="bottom"/>
          </w:tcPr>
          <w:p w:rsidR="00AC12B4" w:rsidRDefault="00AC12B4">
            <w:pPr>
              <w:rPr>
                <w:sz w:val="12"/>
                <w:szCs w:val="12"/>
              </w:rPr>
            </w:pPr>
          </w:p>
        </w:tc>
        <w:tc>
          <w:tcPr>
            <w:tcW w:w="28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80" w:type="dxa"/>
            <w:vAlign w:val="bottom"/>
          </w:tcPr>
          <w:p w:rsidR="00AC12B4" w:rsidRDefault="00AC12B4">
            <w:pPr>
              <w:rPr>
                <w:sz w:val="12"/>
                <w:szCs w:val="12"/>
              </w:rPr>
            </w:pPr>
          </w:p>
        </w:tc>
        <w:tc>
          <w:tcPr>
            <w:tcW w:w="100" w:type="dxa"/>
            <w:tcBorders>
              <w:right w:val="single" w:sz="8" w:space="0" w:color="44ACE0"/>
            </w:tcBorders>
            <w:vAlign w:val="bottom"/>
          </w:tcPr>
          <w:p w:rsidR="00AC12B4" w:rsidRDefault="00AC12B4">
            <w:pPr>
              <w:rPr>
                <w:sz w:val="12"/>
                <w:szCs w:val="12"/>
              </w:rPr>
            </w:pPr>
          </w:p>
        </w:tc>
        <w:tc>
          <w:tcPr>
            <w:tcW w:w="520" w:type="dxa"/>
            <w:tcBorders>
              <w:bottom w:val="single" w:sz="8" w:space="0" w:color="44ACE0"/>
            </w:tcBorders>
            <w:vAlign w:val="bottom"/>
          </w:tcPr>
          <w:p w:rsidR="00AC12B4" w:rsidRDefault="00AC12B4">
            <w:pPr>
              <w:rPr>
                <w:sz w:val="12"/>
                <w:szCs w:val="12"/>
              </w:rPr>
            </w:pPr>
          </w:p>
        </w:tc>
        <w:tc>
          <w:tcPr>
            <w:tcW w:w="620" w:type="dxa"/>
            <w:tcBorders>
              <w:bottom w:val="single" w:sz="8" w:space="0" w:color="44ACE0"/>
            </w:tcBorders>
            <w:vAlign w:val="bottom"/>
          </w:tcPr>
          <w:p w:rsidR="00AC12B4" w:rsidRDefault="00AC12B4">
            <w:pPr>
              <w:rPr>
                <w:sz w:val="12"/>
                <w:szCs w:val="12"/>
              </w:rPr>
            </w:pPr>
          </w:p>
        </w:tc>
        <w:tc>
          <w:tcPr>
            <w:tcW w:w="280" w:type="dxa"/>
            <w:tcBorders>
              <w:bottom w:val="single" w:sz="8" w:space="0" w:color="44ACE0"/>
            </w:tcBorders>
            <w:vAlign w:val="bottom"/>
          </w:tcPr>
          <w:p w:rsidR="00AC12B4" w:rsidRDefault="00AC12B4">
            <w:pPr>
              <w:rPr>
                <w:sz w:val="12"/>
                <w:szCs w:val="12"/>
              </w:rPr>
            </w:pPr>
          </w:p>
        </w:tc>
        <w:tc>
          <w:tcPr>
            <w:tcW w:w="220" w:type="dxa"/>
            <w:tcBorders>
              <w:bottom w:val="single" w:sz="8" w:space="0" w:color="44ACE0"/>
            </w:tcBorders>
            <w:vAlign w:val="bottom"/>
          </w:tcPr>
          <w:p w:rsidR="00AC12B4" w:rsidRDefault="00AC12B4">
            <w:pPr>
              <w:rPr>
                <w:sz w:val="12"/>
                <w:szCs w:val="12"/>
              </w:rPr>
            </w:pPr>
          </w:p>
        </w:tc>
        <w:tc>
          <w:tcPr>
            <w:tcW w:w="40" w:type="dxa"/>
            <w:tcBorders>
              <w:bottom w:val="single" w:sz="8" w:space="0" w:color="44ACE0"/>
            </w:tcBorders>
            <w:vAlign w:val="bottom"/>
          </w:tcPr>
          <w:p w:rsidR="00AC12B4" w:rsidRDefault="00AC12B4">
            <w:pPr>
              <w:rPr>
                <w:sz w:val="12"/>
                <w:szCs w:val="12"/>
              </w:rPr>
            </w:pPr>
          </w:p>
        </w:tc>
        <w:tc>
          <w:tcPr>
            <w:tcW w:w="340" w:type="dxa"/>
            <w:tcBorders>
              <w:bottom w:val="single" w:sz="8" w:space="0" w:color="44ACE0"/>
            </w:tcBorders>
            <w:vAlign w:val="bottom"/>
          </w:tcPr>
          <w:p w:rsidR="00AC12B4" w:rsidRDefault="00AC12B4">
            <w:pPr>
              <w:rPr>
                <w:sz w:val="12"/>
                <w:szCs w:val="12"/>
              </w:rPr>
            </w:pPr>
          </w:p>
        </w:tc>
        <w:tc>
          <w:tcPr>
            <w:tcW w:w="120" w:type="dxa"/>
            <w:tcBorders>
              <w:bottom w:val="single" w:sz="8" w:space="0" w:color="44ACE0"/>
            </w:tcBorders>
            <w:vAlign w:val="bottom"/>
          </w:tcPr>
          <w:p w:rsidR="00AC12B4" w:rsidRDefault="00AC12B4">
            <w:pPr>
              <w:rPr>
                <w:sz w:val="12"/>
                <w:szCs w:val="12"/>
              </w:rPr>
            </w:pPr>
          </w:p>
        </w:tc>
        <w:tc>
          <w:tcPr>
            <w:tcW w:w="220" w:type="dxa"/>
            <w:tcBorders>
              <w:bottom w:val="single" w:sz="8" w:space="0" w:color="44ACE0"/>
            </w:tcBorders>
            <w:vAlign w:val="bottom"/>
          </w:tcPr>
          <w:p w:rsidR="00AC12B4" w:rsidRDefault="00AC12B4">
            <w:pPr>
              <w:rPr>
                <w:sz w:val="12"/>
                <w:szCs w:val="12"/>
              </w:rPr>
            </w:pPr>
          </w:p>
        </w:tc>
        <w:tc>
          <w:tcPr>
            <w:tcW w:w="300" w:type="dxa"/>
            <w:tcBorders>
              <w:bottom w:val="single" w:sz="8" w:space="0" w:color="44ACE0"/>
            </w:tcBorders>
            <w:vAlign w:val="bottom"/>
          </w:tcPr>
          <w:p w:rsidR="00AC12B4" w:rsidRDefault="00AC12B4">
            <w:pPr>
              <w:rPr>
                <w:sz w:val="12"/>
                <w:szCs w:val="12"/>
              </w:rPr>
            </w:pPr>
          </w:p>
        </w:tc>
        <w:tc>
          <w:tcPr>
            <w:tcW w:w="720" w:type="dxa"/>
            <w:tcBorders>
              <w:bottom w:val="single" w:sz="8" w:space="0" w:color="44ACE0"/>
              <w:right w:val="single" w:sz="8" w:space="0" w:color="44ACE0"/>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rsidRPr="00C27636">
        <w:trPr>
          <w:trHeight w:val="104"/>
        </w:trPr>
        <w:tc>
          <w:tcPr>
            <w:tcW w:w="2100" w:type="dxa"/>
            <w:vAlign w:val="bottom"/>
          </w:tcPr>
          <w:p w:rsidR="00AC12B4" w:rsidRDefault="00AC12B4">
            <w:pPr>
              <w:rPr>
                <w:sz w:val="9"/>
                <w:szCs w:val="9"/>
              </w:rPr>
            </w:pPr>
          </w:p>
        </w:tc>
        <w:tc>
          <w:tcPr>
            <w:tcW w:w="1440" w:type="dxa"/>
            <w:gridSpan w:val="2"/>
            <w:vMerge/>
            <w:vAlign w:val="bottom"/>
          </w:tcPr>
          <w:p w:rsidR="00AC12B4" w:rsidRDefault="00AC12B4">
            <w:pPr>
              <w:rPr>
                <w:sz w:val="9"/>
                <w:szCs w:val="9"/>
              </w:rPr>
            </w:pPr>
          </w:p>
        </w:tc>
        <w:tc>
          <w:tcPr>
            <w:tcW w:w="58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1040" w:type="dxa"/>
            <w:vAlign w:val="bottom"/>
          </w:tcPr>
          <w:p w:rsidR="00AC12B4" w:rsidRDefault="00AC12B4">
            <w:pPr>
              <w:rPr>
                <w:sz w:val="9"/>
                <w:szCs w:val="9"/>
              </w:rPr>
            </w:pPr>
          </w:p>
        </w:tc>
        <w:tc>
          <w:tcPr>
            <w:tcW w:w="4580" w:type="dxa"/>
            <w:gridSpan w:val="15"/>
            <w:vMerge w:val="restart"/>
            <w:vAlign w:val="bottom"/>
          </w:tcPr>
          <w:p w:rsidR="00AC12B4" w:rsidRPr="00C27636" w:rsidRDefault="00C27636">
            <w:pPr>
              <w:rPr>
                <w:sz w:val="20"/>
                <w:szCs w:val="20"/>
                <w:lang w:val="fr-BE"/>
              </w:rPr>
            </w:pPr>
            <w:r w:rsidRPr="00C27636">
              <w:rPr>
                <w:rFonts w:ascii="Calibri" w:eastAsia="Calibri" w:hAnsi="Calibri" w:cs="Calibri"/>
                <w:lang w:val="fr-BE"/>
              </w:rPr>
              <w:t xml:space="preserve">dans  l’enseignement  </w:t>
            </w:r>
            <w:r w:rsidRPr="00C27636">
              <w:rPr>
                <w:rFonts w:ascii="Calibri" w:eastAsia="Calibri" w:hAnsi="Calibri" w:cs="Calibri"/>
                <w:lang w:val="fr-BE"/>
              </w:rPr>
              <w:lastRenderedPageBreak/>
              <w:t>spécialisé  est  en</w:t>
            </w:r>
          </w:p>
        </w:tc>
        <w:tc>
          <w:tcPr>
            <w:tcW w:w="0" w:type="dxa"/>
            <w:vAlign w:val="bottom"/>
          </w:tcPr>
          <w:p w:rsidR="00AC12B4" w:rsidRPr="00C27636" w:rsidRDefault="00AC12B4">
            <w:pPr>
              <w:rPr>
                <w:sz w:val="1"/>
                <w:szCs w:val="1"/>
                <w:lang w:val="fr-BE"/>
              </w:rPr>
            </w:pPr>
          </w:p>
        </w:tc>
      </w:tr>
      <w:tr w:rsidR="00AC12B4" w:rsidRPr="00C27636">
        <w:trPr>
          <w:trHeight w:val="180"/>
        </w:trPr>
        <w:tc>
          <w:tcPr>
            <w:tcW w:w="2100" w:type="dxa"/>
            <w:vAlign w:val="bottom"/>
          </w:tcPr>
          <w:p w:rsidR="00AC12B4" w:rsidRPr="00C27636" w:rsidRDefault="00AC12B4">
            <w:pPr>
              <w:rPr>
                <w:sz w:val="15"/>
                <w:szCs w:val="15"/>
                <w:lang w:val="fr-BE"/>
              </w:rPr>
            </w:pPr>
          </w:p>
        </w:tc>
        <w:tc>
          <w:tcPr>
            <w:tcW w:w="980" w:type="dxa"/>
            <w:vAlign w:val="bottom"/>
          </w:tcPr>
          <w:p w:rsidR="00AC12B4" w:rsidRPr="00C27636" w:rsidRDefault="00AC12B4">
            <w:pPr>
              <w:rPr>
                <w:sz w:val="15"/>
                <w:szCs w:val="15"/>
                <w:lang w:val="fr-BE"/>
              </w:rPr>
            </w:pPr>
          </w:p>
        </w:tc>
        <w:tc>
          <w:tcPr>
            <w:tcW w:w="460" w:type="dxa"/>
            <w:vAlign w:val="bottom"/>
          </w:tcPr>
          <w:p w:rsidR="00AC12B4" w:rsidRPr="00C27636" w:rsidRDefault="00AC12B4">
            <w:pPr>
              <w:rPr>
                <w:sz w:val="15"/>
                <w:szCs w:val="15"/>
                <w:lang w:val="fr-BE"/>
              </w:rPr>
            </w:pPr>
          </w:p>
        </w:tc>
        <w:tc>
          <w:tcPr>
            <w:tcW w:w="580" w:type="dxa"/>
            <w:vAlign w:val="bottom"/>
          </w:tcPr>
          <w:p w:rsidR="00AC12B4" w:rsidRPr="00C27636" w:rsidRDefault="00AC12B4">
            <w:pPr>
              <w:rPr>
                <w:sz w:val="15"/>
                <w:szCs w:val="15"/>
                <w:lang w:val="fr-BE"/>
              </w:rPr>
            </w:pPr>
          </w:p>
        </w:tc>
        <w:tc>
          <w:tcPr>
            <w:tcW w:w="480" w:type="dxa"/>
            <w:vAlign w:val="bottom"/>
          </w:tcPr>
          <w:p w:rsidR="00AC12B4" w:rsidRPr="00C27636" w:rsidRDefault="00AC12B4">
            <w:pPr>
              <w:rPr>
                <w:sz w:val="15"/>
                <w:szCs w:val="15"/>
                <w:lang w:val="fr-BE"/>
              </w:rPr>
            </w:pPr>
          </w:p>
        </w:tc>
        <w:tc>
          <w:tcPr>
            <w:tcW w:w="420" w:type="dxa"/>
            <w:vAlign w:val="bottom"/>
          </w:tcPr>
          <w:p w:rsidR="00AC12B4" w:rsidRPr="00C27636" w:rsidRDefault="00AC12B4">
            <w:pPr>
              <w:rPr>
                <w:sz w:val="15"/>
                <w:szCs w:val="15"/>
                <w:lang w:val="fr-BE"/>
              </w:rPr>
            </w:pPr>
          </w:p>
        </w:tc>
        <w:tc>
          <w:tcPr>
            <w:tcW w:w="1040" w:type="dxa"/>
            <w:vAlign w:val="bottom"/>
          </w:tcPr>
          <w:p w:rsidR="00AC12B4" w:rsidRPr="00C27636" w:rsidRDefault="00AC12B4">
            <w:pPr>
              <w:rPr>
                <w:sz w:val="15"/>
                <w:szCs w:val="15"/>
                <w:lang w:val="fr-BE"/>
              </w:rPr>
            </w:pPr>
          </w:p>
        </w:tc>
        <w:tc>
          <w:tcPr>
            <w:tcW w:w="4580" w:type="dxa"/>
            <w:gridSpan w:val="15"/>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trPr>
          <w:trHeight w:val="269"/>
        </w:trPr>
        <w:tc>
          <w:tcPr>
            <w:tcW w:w="6060" w:type="dxa"/>
            <w:gridSpan w:val="7"/>
            <w:vAlign w:val="bottom"/>
          </w:tcPr>
          <w:p w:rsidR="00AC12B4" w:rsidRPr="00C27636" w:rsidRDefault="00C27636">
            <w:pPr>
              <w:spacing w:line="248" w:lineRule="exact"/>
              <w:ind w:left="1460"/>
              <w:rPr>
                <w:sz w:val="20"/>
                <w:szCs w:val="20"/>
                <w:lang w:val="fr-BE"/>
              </w:rPr>
            </w:pPr>
            <w:r w:rsidRPr="00C27636">
              <w:rPr>
                <w:rFonts w:ascii="Calibri" w:eastAsia="Calibri" w:hAnsi="Calibri" w:cs="Calibri"/>
                <w:lang w:val="fr-BE"/>
              </w:rPr>
              <w:t>Dans le cadre de ses observations finales</w:t>
            </w:r>
          </w:p>
        </w:tc>
        <w:tc>
          <w:tcPr>
            <w:tcW w:w="4580" w:type="dxa"/>
            <w:gridSpan w:val="15"/>
            <w:vAlign w:val="bottom"/>
          </w:tcPr>
          <w:p w:rsidR="00AC12B4" w:rsidRDefault="00C27636">
            <w:pPr>
              <w:rPr>
                <w:sz w:val="20"/>
                <w:szCs w:val="20"/>
              </w:rPr>
            </w:pPr>
            <w:r>
              <w:rPr>
                <w:rFonts w:ascii="Calibri" w:eastAsia="Calibri" w:hAnsi="Calibri" w:cs="Calibri"/>
              </w:rPr>
              <w:t>augmentation en primaire (4,7 % en 2003-</w:t>
            </w:r>
          </w:p>
        </w:tc>
        <w:tc>
          <w:tcPr>
            <w:tcW w:w="0" w:type="dxa"/>
            <w:vAlign w:val="bottom"/>
          </w:tcPr>
          <w:p w:rsidR="00AC12B4" w:rsidRDefault="00AC12B4">
            <w:pPr>
              <w:rPr>
                <w:sz w:val="1"/>
                <w:szCs w:val="1"/>
              </w:rPr>
            </w:pPr>
          </w:p>
        </w:tc>
      </w:tr>
      <w:tr w:rsidR="00AC12B4">
        <w:trPr>
          <w:trHeight w:val="269"/>
        </w:trPr>
        <w:tc>
          <w:tcPr>
            <w:tcW w:w="6060" w:type="dxa"/>
            <w:gridSpan w:val="7"/>
            <w:vAlign w:val="bottom"/>
          </w:tcPr>
          <w:p w:rsidR="00AC12B4" w:rsidRPr="00C27636" w:rsidRDefault="00C27636">
            <w:pPr>
              <w:spacing w:line="247" w:lineRule="exact"/>
              <w:ind w:left="1460"/>
              <w:rPr>
                <w:sz w:val="20"/>
                <w:szCs w:val="20"/>
                <w:lang w:val="fr-BE"/>
              </w:rPr>
            </w:pPr>
            <w:r w:rsidRPr="00C27636">
              <w:rPr>
                <w:rFonts w:ascii="Calibri" w:eastAsia="Calibri" w:hAnsi="Calibri" w:cs="Calibri"/>
                <w:lang w:val="fr-BE"/>
              </w:rPr>
              <w:t>de 2010, le Comité des droits de l'enfant a</w:t>
            </w:r>
          </w:p>
        </w:tc>
        <w:tc>
          <w:tcPr>
            <w:tcW w:w="2840" w:type="dxa"/>
            <w:gridSpan w:val="9"/>
            <w:vAlign w:val="bottom"/>
          </w:tcPr>
          <w:p w:rsidR="00AC12B4" w:rsidRDefault="00C27636">
            <w:pPr>
              <w:rPr>
                <w:sz w:val="20"/>
                <w:szCs w:val="20"/>
              </w:rPr>
            </w:pPr>
            <w:r>
              <w:rPr>
                <w:rFonts w:ascii="Calibri" w:eastAsia="Calibri" w:hAnsi="Calibri" w:cs="Calibri"/>
              </w:rPr>
              <w:t>2004 à 5,2 % en 2012-2013)</w:t>
            </w:r>
          </w:p>
        </w:tc>
        <w:tc>
          <w:tcPr>
            <w:tcW w:w="500" w:type="dxa"/>
            <w:gridSpan w:val="3"/>
            <w:vAlign w:val="bottom"/>
          </w:tcPr>
          <w:p w:rsidR="00AC12B4" w:rsidRDefault="00C27636">
            <w:pPr>
              <w:rPr>
                <w:sz w:val="20"/>
                <w:szCs w:val="20"/>
              </w:rPr>
            </w:pPr>
            <w:r>
              <w:rPr>
                <w:rFonts w:ascii="Calibri" w:eastAsia="Calibri" w:hAnsi="Calibri" w:cs="Calibri"/>
              </w:rPr>
              <w:t>ainsi</w:t>
            </w:r>
          </w:p>
        </w:tc>
        <w:tc>
          <w:tcPr>
            <w:tcW w:w="1240" w:type="dxa"/>
            <w:gridSpan w:val="3"/>
            <w:vAlign w:val="bottom"/>
          </w:tcPr>
          <w:p w:rsidR="00AC12B4" w:rsidRDefault="00C27636">
            <w:pPr>
              <w:ind w:right="700"/>
              <w:jc w:val="right"/>
              <w:rPr>
                <w:sz w:val="20"/>
                <w:szCs w:val="20"/>
              </w:rPr>
            </w:pPr>
            <w:r>
              <w:rPr>
                <w:rFonts w:ascii="Calibri" w:eastAsia="Calibri" w:hAnsi="Calibri" w:cs="Calibri"/>
              </w:rPr>
              <w:t>qu’en</w:t>
            </w:r>
          </w:p>
        </w:tc>
        <w:tc>
          <w:tcPr>
            <w:tcW w:w="0" w:type="dxa"/>
            <w:vAlign w:val="bottom"/>
          </w:tcPr>
          <w:p w:rsidR="00AC12B4" w:rsidRDefault="00AC12B4">
            <w:pPr>
              <w:rPr>
                <w:sz w:val="1"/>
                <w:szCs w:val="1"/>
              </w:rPr>
            </w:pPr>
          </w:p>
        </w:tc>
      </w:tr>
      <w:tr w:rsidR="00AC12B4" w:rsidRPr="00C27636">
        <w:trPr>
          <w:trHeight w:val="174"/>
        </w:trPr>
        <w:tc>
          <w:tcPr>
            <w:tcW w:w="6060" w:type="dxa"/>
            <w:gridSpan w:val="7"/>
            <w:vMerge w:val="restart"/>
            <w:vAlign w:val="bottom"/>
          </w:tcPr>
          <w:p w:rsidR="00AC12B4" w:rsidRPr="00C27636" w:rsidRDefault="00C27636">
            <w:pPr>
              <w:spacing w:line="247" w:lineRule="exact"/>
              <w:ind w:left="1460"/>
              <w:rPr>
                <w:sz w:val="20"/>
                <w:szCs w:val="20"/>
                <w:lang w:val="fr-BE"/>
              </w:rPr>
            </w:pPr>
            <w:r w:rsidRPr="00C27636">
              <w:rPr>
                <w:rFonts w:ascii="Calibri" w:eastAsia="Calibri" w:hAnsi="Calibri" w:cs="Calibri"/>
                <w:lang w:val="fr-BE"/>
              </w:rPr>
              <w:t>fait part de son inquiétude concernant la</w:t>
            </w:r>
          </w:p>
        </w:tc>
        <w:tc>
          <w:tcPr>
            <w:tcW w:w="360" w:type="dxa"/>
            <w:tcBorders>
              <w:bottom w:val="single" w:sz="8" w:space="0" w:color="auto"/>
            </w:tcBorders>
            <w:vAlign w:val="bottom"/>
          </w:tcPr>
          <w:p w:rsidR="00AC12B4" w:rsidRPr="00C27636" w:rsidRDefault="00AC12B4">
            <w:pPr>
              <w:rPr>
                <w:sz w:val="15"/>
                <w:szCs w:val="15"/>
                <w:lang w:val="fr-BE"/>
              </w:rPr>
            </w:pPr>
          </w:p>
        </w:tc>
        <w:tc>
          <w:tcPr>
            <w:tcW w:w="280" w:type="dxa"/>
            <w:tcBorders>
              <w:bottom w:val="single" w:sz="8" w:space="0" w:color="auto"/>
            </w:tcBorders>
            <w:vAlign w:val="bottom"/>
          </w:tcPr>
          <w:p w:rsidR="00AC12B4" w:rsidRPr="00C27636" w:rsidRDefault="00AC12B4">
            <w:pPr>
              <w:rPr>
                <w:sz w:val="15"/>
                <w:szCs w:val="15"/>
                <w:lang w:val="fr-BE"/>
              </w:rPr>
            </w:pPr>
          </w:p>
        </w:tc>
        <w:tc>
          <w:tcPr>
            <w:tcW w:w="180" w:type="dxa"/>
            <w:tcBorders>
              <w:bottom w:val="single" w:sz="8" w:space="0" w:color="auto"/>
            </w:tcBorders>
            <w:vAlign w:val="bottom"/>
          </w:tcPr>
          <w:p w:rsidR="00AC12B4" w:rsidRPr="00C27636" w:rsidRDefault="00AC12B4">
            <w:pPr>
              <w:rPr>
                <w:sz w:val="15"/>
                <w:szCs w:val="15"/>
                <w:lang w:val="fr-BE"/>
              </w:rPr>
            </w:pPr>
          </w:p>
        </w:tc>
        <w:tc>
          <w:tcPr>
            <w:tcW w:w="280" w:type="dxa"/>
            <w:tcBorders>
              <w:bottom w:val="single" w:sz="8" w:space="0" w:color="auto"/>
            </w:tcBorders>
            <w:vAlign w:val="bottom"/>
          </w:tcPr>
          <w:p w:rsidR="00AC12B4" w:rsidRPr="00C27636" w:rsidRDefault="00AC12B4">
            <w:pPr>
              <w:rPr>
                <w:sz w:val="15"/>
                <w:szCs w:val="15"/>
                <w:lang w:val="fr-BE"/>
              </w:rPr>
            </w:pPr>
          </w:p>
        </w:tc>
        <w:tc>
          <w:tcPr>
            <w:tcW w:w="100" w:type="dxa"/>
            <w:tcBorders>
              <w:bottom w:val="single" w:sz="8" w:space="0" w:color="auto"/>
            </w:tcBorders>
            <w:vAlign w:val="bottom"/>
          </w:tcPr>
          <w:p w:rsidR="00AC12B4" w:rsidRPr="00C27636" w:rsidRDefault="00AC12B4">
            <w:pPr>
              <w:rPr>
                <w:sz w:val="15"/>
                <w:szCs w:val="15"/>
                <w:lang w:val="fr-BE"/>
              </w:rPr>
            </w:pPr>
          </w:p>
        </w:tc>
        <w:tc>
          <w:tcPr>
            <w:tcW w:w="520" w:type="dxa"/>
            <w:tcBorders>
              <w:bottom w:val="single" w:sz="8" w:space="0" w:color="auto"/>
            </w:tcBorders>
            <w:vAlign w:val="bottom"/>
          </w:tcPr>
          <w:p w:rsidR="00AC12B4" w:rsidRPr="00C27636" w:rsidRDefault="00AC12B4">
            <w:pPr>
              <w:rPr>
                <w:sz w:val="15"/>
                <w:szCs w:val="15"/>
                <w:lang w:val="fr-BE"/>
              </w:rPr>
            </w:pPr>
          </w:p>
        </w:tc>
        <w:tc>
          <w:tcPr>
            <w:tcW w:w="620" w:type="dxa"/>
            <w:tcBorders>
              <w:bottom w:val="single" w:sz="8" w:space="0" w:color="auto"/>
            </w:tcBorders>
            <w:vAlign w:val="bottom"/>
          </w:tcPr>
          <w:p w:rsidR="00AC12B4" w:rsidRPr="00C27636" w:rsidRDefault="00AC12B4">
            <w:pPr>
              <w:rPr>
                <w:sz w:val="15"/>
                <w:szCs w:val="15"/>
                <w:lang w:val="fr-BE"/>
              </w:rPr>
            </w:pPr>
          </w:p>
        </w:tc>
        <w:tc>
          <w:tcPr>
            <w:tcW w:w="280" w:type="dxa"/>
            <w:tcBorders>
              <w:bottom w:val="single" w:sz="8" w:space="0" w:color="auto"/>
            </w:tcBorders>
            <w:vAlign w:val="bottom"/>
          </w:tcPr>
          <w:p w:rsidR="00AC12B4" w:rsidRPr="00C27636" w:rsidRDefault="00AC12B4">
            <w:pPr>
              <w:rPr>
                <w:sz w:val="15"/>
                <w:szCs w:val="15"/>
                <w:lang w:val="fr-BE"/>
              </w:rPr>
            </w:pPr>
          </w:p>
        </w:tc>
        <w:tc>
          <w:tcPr>
            <w:tcW w:w="220" w:type="dxa"/>
            <w:tcBorders>
              <w:bottom w:val="single" w:sz="8" w:space="0" w:color="auto"/>
            </w:tcBorders>
            <w:vAlign w:val="bottom"/>
          </w:tcPr>
          <w:p w:rsidR="00AC12B4" w:rsidRPr="00C27636" w:rsidRDefault="00AC12B4">
            <w:pPr>
              <w:rPr>
                <w:sz w:val="15"/>
                <w:szCs w:val="15"/>
                <w:lang w:val="fr-BE"/>
              </w:rPr>
            </w:pPr>
          </w:p>
        </w:tc>
        <w:tc>
          <w:tcPr>
            <w:tcW w:w="40" w:type="dxa"/>
            <w:tcBorders>
              <w:bottom w:val="single" w:sz="8" w:space="0" w:color="auto"/>
            </w:tcBorders>
            <w:vAlign w:val="bottom"/>
          </w:tcPr>
          <w:p w:rsidR="00AC12B4" w:rsidRPr="00C27636" w:rsidRDefault="00AC12B4">
            <w:pPr>
              <w:rPr>
                <w:sz w:val="15"/>
                <w:szCs w:val="15"/>
                <w:lang w:val="fr-BE"/>
              </w:rPr>
            </w:pPr>
          </w:p>
        </w:tc>
        <w:tc>
          <w:tcPr>
            <w:tcW w:w="340" w:type="dxa"/>
            <w:vAlign w:val="bottom"/>
          </w:tcPr>
          <w:p w:rsidR="00AC12B4" w:rsidRPr="00C27636" w:rsidRDefault="00AC12B4">
            <w:pPr>
              <w:rPr>
                <w:sz w:val="15"/>
                <w:szCs w:val="15"/>
                <w:lang w:val="fr-BE"/>
              </w:rPr>
            </w:pPr>
          </w:p>
        </w:tc>
        <w:tc>
          <w:tcPr>
            <w:tcW w:w="120" w:type="dxa"/>
            <w:vAlign w:val="bottom"/>
          </w:tcPr>
          <w:p w:rsidR="00AC12B4" w:rsidRPr="00C27636" w:rsidRDefault="00AC12B4">
            <w:pPr>
              <w:rPr>
                <w:sz w:val="15"/>
                <w:szCs w:val="15"/>
                <w:lang w:val="fr-BE"/>
              </w:rPr>
            </w:pPr>
          </w:p>
        </w:tc>
        <w:tc>
          <w:tcPr>
            <w:tcW w:w="220" w:type="dxa"/>
            <w:vAlign w:val="bottom"/>
          </w:tcPr>
          <w:p w:rsidR="00AC12B4" w:rsidRPr="00C27636" w:rsidRDefault="00AC12B4">
            <w:pPr>
              <w:rPr>
                <w:sz w:val="15"/>
                <w:szCs w:val="15"/>
                <w:lang w:val="fr-BE"/>
              </w:rPr>
            </w:pPr>
          </w:p>
        </w:tc>
        <w:tc>
          <w:tcPr>
            <w:tcW w:w="300" w:type="dxa"/>
            <w:vAlign w:val="bottom"/>
          </w:tcPr>
          <w:p w:rsidR="00AC12B4" w:rsidRPr="00C27636" w:rsidRDefault="00AC12B4">
            <w:pPr>
              <w:rPr>
                <w:sz w:val="15"/>
                <w:szCs w:val="15"/>
                <w:lang w:val="fr-BE"/>
              </w:rPr>
            </w:pPr>
          </w:p>
        </w:tc>
        <w:tc>
          <w:tcPr>
            <w:tcW w:w="720" w:type="dxa"/>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53"/>
        </w:trPr>
        <w:tc>
          <w:tcPr>
            <w:tcW w:w="6060" w:type="dxa"/>
            <w:gridSpan w:val="7"/>
            <w:vMerge/>
            <w:vAlign w:val="bottom"/>
          </w:tcPr>
          <w:p w:rsidR="00AC12B4" w:rsidRPr="00C27636" w:rsidRDefault="00AC12B4">
            <w:pPr>
              <w:rPr>
                <w:sz w:val="4"/>
                <w:szCs w:val="4"/>
                <w:lang w:val="fr-BE"/>
              </w:rPr>
            </w:pPr>
          </w:p>
        </w:tc>
        <w:tc>
          <w:tcPr>
            <w:tcW w:w="360" w:type="dxa"/>
            <w:vAlign w:val="bottom"/>
          </w:tcPr>
          <w:p w:rsidR="00AC12B4" w:rsidRPr="00C27636" w:rsidRDefault="00AC12B4">
            <w:pPr>
              <w:rPr>
                <w:sz w:val="4"/>
                <w:szCs w:val="4"/>
                <w:lang w:val="fr-BE"/>
              </w:rPr>
            </w:pPr>
          </w:p>
        </w:tc>
        <w:tc>
          <w:tcPr>
            <w:tcW w:w="280" w:type="dxa"/>
            <w:vAlign w:val="bottom"/>
          </w:tcPr>
          <w:p w:rsidR="00AC12B4" w:rsidRPr="00C27636" w:rsidRDefault="00AC12B4">
            <w:pPr>
              <w:rPr>
                <w:sz w:val="4"/>
                <w:szCs w:val="4"/>
                <w:lang w:val="fr-BE"/>
              </w:rPr>
            </w:pPr>
          </w:p>
        </w:tc>
        <w:tc>
          <w:tcPr>
            <w:tcW w:w="180" w:type="dxa"/>
            <w:vAlign w:val="bottom"/>
          </w:tcPr>
          <w:p w:rsidR="00AC12B4" w:rsidRPr="00C27636" w:rsidRDefault="00AC12B4">
            <w:pPr>
              <w:rPr>
                <w:sz w:val="4"/>
                <w:szCs w:val="4"/>
                <w:lang w:val="fr-BE"/>
              </w:rPr>
            </w:pPr>
          </w:p>
        </w:tc>
        <w:tc>
          <w:tcPr>
            <w:tcW w:w="280" w:type="dxa"/>
            <w:vAlign w:val="bottom"/>
          </w:tcPr>
          <w:p w:rsidR="00AC12B4" w:rsidRPr="00C27636" w:rsidRDefault="00AC12B4">
            <w:pPr>
              <w:rPr>
                <w:sz w:val="4"/>
                <w:szCs w:val="4"/>
                <w:lang w:val="fr-BE"/>
              </w:rPr>
            </w:pPr>
          </w:p>
        </w:tc>
        <w:tc>
          <w:tcPr>
            <w:tcW w:w="100" w:type="dxa"/>
            <w:vAlign w:val="bottom"/>
          </w:tcPr>
          <w:p w:rsidR="00AC12B4" w:rsidRPr="00C27636" w:rsidRDefault="00AC12B4">
            <w:pPr>
              <w:rPr>
                <w:sz w:val="4"/>
                <w:szCs w:val="4"/>
                <w:lang w:val="fr-BE"/>
              </w:rPr>
            </w:pPr>
          </w:p>
        </w:tc>
        <w:tc>
          <w:tcPr>
            <w:tcW w:w="520" w:type="dxa"/>
            <w:vAlign w:val="bottom"/>
          </w:tcPr>
          <w:p w:rsidR="00AC12B4" w:rsidRPr="00C27636" w:rsidRDefault="00AC12B4">
            <w:pPr>
              <w:rPr>
                <w:sz w:val="4"/>
                <w:szCs w:val="4"/>
                <w:lang w:val="fr-BE"/>
              </w:rPr>
            </w:pPr>
          </w:p>
        </w:tc>
        <w:tc>
          <w:tcPr>
            <w:tcW w:w="620" w:type="dxa"/>
            <w:vAlign w:val="bottom"/>
          </w:tcPr>
          <w:p w:rsidR="00AC12B4" w:rsidRPr="00C27636" w:rsidRDefault="00AC12B4">
            <w:pPr>
              <w:rPr>
                <w:sz w:val="4"/>
                <w:szCs w:val="4"/>
                <w:lang w:val="fr-BE"/>
              </w:rPr>
            </w:pPr>
          </w:p>
        </w:tc>
        <w:tc>
          <w:tcPr>
            <w:tcW w:w="280" w:type="dxa"/>
            <w:vAlign w:val="bottom"/>
          </w:tcPr>
          <w:p w:rsidR="00AC12B4" w:rsidRPr="00C27636" w:rsidRDefault="00AC12B4">
            <w:pPr>
              <w:rPr>
                <w:sz w:val="4"/>
                <w:szCs w:val="4"/>
                <w:lang w:val="fr-BE"/>
              </w:rPr>
            </w:pPr>
          </w:p>
        </w:tc>
        <w:tc>
          <w:tcPr>
            <w:tcW w:w="220" w:type="dxa"/>
            <w:vAlign w:val="bottom"/>
          </w:tcPr>
          <w:p w:rsidR="00AC12B4" w:rsidRPr="00C27636" w:rsidRDefault="00AC12B4">
            <w:pPr>
              <w:rPr>
                <w:sz w:val="4"/>
                <w:szCs w:val="4"/>
                <w:lang w:val="fr-BE"/>
              </w:rPr>
            </w:pPr>
          </w:p>
        </w:tc>
        <w:tc>
          <w:tcPr>
            <w:tcW w:w="40" w:type="dxa"/>
            <w:vAlign w:val="bottom"/>
          </w:tcPr>
          <w:p w:rsidR="00AC12B4" w:rsidRPr="00C27636" w:rsidRDefault="00AC12B4">
            <w:pPr>
              <w:rPr>
                <w:sz w:val="4"/>
                <w:szCs w:val="4"/>
                <w:lang w:val="fr-BE"/>
              </w:rPr>
            </w:pPr>
          </w:p>
        </w:tc>
        <w:tc>
          <w:tcPr>
            <w:tcW w:w="340" w:type="dxa"/>
            <w:vAlign w:val="bottom"/>
          </w:tcPr>
          <w:p w:rsidR="00AC12B4" w:rsidRPr="00C27636" w:rsidRDefault="00AC12B4">
            <w:pPr>
              <w:rPr>
                <w:sz w:val="4"/>
                <w:szCs w:val="4"/>
                <w:lang w:val="fr-BE"/>
              </w:rPr>
            </w:pPr>
          </w:p>
        </w:tc>
        <w:tc>
          <w:tcPr>
            <w:tcW w:w="120" w:type="dxa"/>
            <w:vAlign w:val="bottom"/>
          </w:tcPr>
          <w:p w:rsidR="00AC12B4" w:rsidRPr="00C27636" w:rsidRDefault="00AC12B4">
            <w:pPr>
              <w:rPr>
                <w:sz w:val="4"/>
                <w:szCs w:val="4"/>
                <w:lang w:val="fr-BE"/>
              </w:rPr>
            </w:pPr>
          </w:p>
        </w:tc>
        <w:tc>
          <w:tcPr>
            <w:tcW w:w="220" w:type="dxa"/>
            <w:vAlign w:val="bottom"/>
          </w:tcPr>
          <w:p w:rsidR="00AC12B4" w:rsidRPr="00C27636" w:rsidRDefault="00AC12B4">
            <w:pPr>
              <w:rPr>
                <w:sz w:val="4"/>
                <w:szCs w:val="4"/>
                <w:lang w:val="fr-BE"/>
              </w:rPr>
            </w:pPr>
          </w:p>
        </w:tc>
        <w:tc>
          <w:tcPr>
            <w:tcW w:w="300" w:type="dxa"/>
            <w:vAlign w:val="bottom"/>
          </w:tcPr>
          <w:p w:rsidR="00AC12B4" w:rsidRPr="00C27636" w:rsidRDefault="00AC12B4">
            <w:pPr>
              <w:rPr>
                <w:sz w:val="4"/>
                <w:szCs w:val="4"/>
                <w:lang w:val="fr-BE"/>
              </w:rPr>
            </w:pPr>
          </w:p>
        </w:tc>
        <w:tc>
          <w:tcPr>
            <w:tcW w:w="720" w:type="dxa"/>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trPr>
          <w:trHeight w:val="354"/>
        </w:trPr>
        <w:tc>
          <w:tcPr>
            <w:tcW w:w="4120" w:type="dxa"/>
            <w:gridSpan w:val="4"/>
            <w:vAlign w:val="bottom"/>
          </w:tcPr>
          <w:p w:rsidR="00AC12B4" w:rsidRDefault="00C27636">
            <w:pPr>
              <w:ind w:left="1460"/>
              <w:rPr>
                <w:sz w:val="20"/>
                <w:szCs w:val="20"/>
              </w:rPr>
            </w:pPr>
            <w:r>
              <w:rPr>
                <w:rFonts w:ascii="Calibri" w:eastAsia="Calibri" w:hAnsi="Calibri" w:cs="Calibri"/>
              </w:rPr>
              <w:t>discrimination  persistante</w:t>
            </w:r>
          </w:p>
        </w:tc>
        <w:tc>
          <w:tcPr>
            <w:tcW w:w="480" w:type="dxa"/>
            <w:vAlign w:val="bottom"/>
          </w:tcPr>
          <w:p w:rsidR="00AC12B4" w:rsidRDefault="00C27636">
            <w:pPr>
              <w:ind w:left="40"/>
              <w:rPr>
                <w:sz w:val="20"/>
                <w:szCs w:val="20"/>
              </w:rPr>
            </w:pPr>
            <w:r>
              <w:rPr>
                <w:rFonts w:ascii="Calibri" w:eastAsia="Calibri" w:hAnsi="Calibri" w:cs="Calibri"/>
              </w:rPr>
              <w:t>des</w:t>
            </w:r>
          </w:p>
        </w:tc>
        <w:tc>
          <w:tcPr>
            <w:tcW w:w="1460" w:type="dxa"/>
            <w:gridSpan w:val="2"/>
            <w:vAlign w:val="bottom"/>
          </w:tcPr>
          <w:p w:rsidR="00AC12B4" w:rsidRDefault="00C27636">
            <w:pPr>
              <w:ind w:right="610"/>
              <w:jc w:val="right"/>
              <w:rPr>
                <w:sz w:val="20"/>
                <w:szCs w:val="20"/>
              </w:rPr>
            </w:pPr>
            <w:r>
              <w:rPr>
                <w:rFonts w:ascii="Calibri" w:eastAsia="Calibri" w:hAnsi="Calibri" w:cs="Calibri"/>
              </w:rPr>
              <w:t>enfants</w:t>
            </w:r>
          </w:p>
        </w:tc>
        <w:tc>
          <w:tcPr>
            <w:tcW w:w="820" w:type="dxa"/>
            <w:gridSpan w:val="3"/>
            <w:vAlign w:val="bottom"/>
          </w:tcPr>
          <w:p w:rsidR="00AC12B4" w:rsidRDefault="00C27636">
            <w:pPr>
              <w:rPr>
                <w:sz w:val="20"/>
                <w:szCs w:val="20"/>
              </w:rPr>
            </w:pPr>
            <w:r>
              <w:rPr>
                <w:rFonts w:ascii="Calibri" w:eastAsia="Calibri" w:hAnsi="Calibri" w:cs="Calibri"/>
                <w:sz w:val="25"/>
                <w:szCs w:val="25"/>
                <w:vertAlign w:val="superscript"/>
              </w:rPr>
              <w:t>1</w:t>
            </w:r>
            <w:r>
              <w:rPr>
                <w:rFonts w:ascii="Calibri" w:eastAsia="Calibri" w:hAnsi="Calibri" w:cs="Calibri"/>
                <w:i/>
                <w:iCs/>
                <w:sz w:val="20"/>
                <w:szCs w:val="20"/>
              </w:rPr>
              <w:t xml:space="preserve">  Vlaams</w:t>
            </w:r>
          </w:p>
        </w:tc>
        <w:tc>
          <w:tcPr>
            <w:tcW w:w="900" w:type="dxa"/>
            <w:gridSpan w:val="3"/>
            <w:vAlign w:val="bottom"/>
          </w:tcPr>
          <w:p w:rsidR="00AC12B4" w:rsidRDefault="00C27636">
            <w:pPr>
              <w:ind w:left="100"/>
              <w:rPr>
                <w:sz w:val="20"/>
                <w:szCs w:val="20"/>
              </w:rPr>
            </w:pPr>
            <w:r>
              <w:rPr>
                <w:rFonts w:ascii="Calibri" w:eastAsia="Calibri" w:hAnsi="Calibri" w:cs="Calibri"/>
                <w:i/>
                <w:iCs/>
                <w:w w:val="99"/>
                <w:sz w:val="20"/>
                <w:szCs w:val="20"/>
              </w:rPr>
              <w:t>onderwijs</w:t>
            </w:r>
          </w:p>
        </w:tc>
        <w:tc>
          <w:tcPr>
            <w:tcW w:w="900" w:type="dxa"/>
            <w:gridSpan w:val="2"/>
            <w:vAlign w:val="bottom"/>
          </w:tcPr>
          <w:p w:rsidR="00AC12B4" w:rsidRDefault="00C27636">
            <w:pPr>
              <w:ind w:left="100"/>
              <w:rPr>
                <w:sz w:val="20"/>
                <w:szCs w:val="20"/>
              </w:rPr>
            </w:pPr>
            <w:r>
              <w:rPr>
                <w:rFonts w:ascii="Calibri" w:eastAsia="Calibri" w:hAnsi="Calibri" w:cs="Calibri"/>
                <w:i/>
                <w:iCs/>
                <w:sz w:val="20"/>
                <w:szCs w:val="20"/>
              </w:rPr>
              <w:t>in  cijfers</w:t>
            </w:r>
          </w:p>
        </w:tc>
        <w:tc>
          <w:tcPr>
            <w:tcW w:w="220" w:type="dxa"/>
            <w:vAlign w:val="bottom"/>
          </w:tcPr>
          <w:p w:rsidR="00AC12B4" w:rsidRDefault="00C27636">
            <w:pPr>
              <w:ind w:left="100"/>
              <w:rPr>
                <w:sz w:val="20"/>
                <w:szCs w:val="20"/>
              </w:rPr>
            </w:pPr>
            <w:r>
              <w:rPr>
                <w:rFonts w:ascii="Calibri" w:eastAsia="Calibri" w:hAnsi="Calibri" w:cs="Calibri"/>
                <w:i/>
                <w:iCs/>
                <w:w w:val="99"/>
                <w:sz w:val="20"/>
                <w:szCs w:val="20"/>
              </w:rPr>
              <w:t>–</w:t>
            </w:r>
          </w:p>
        </w:tc>
        <w:tc>
          <w:tcPr>
            <w:tcW w:w="1020" w:type="dxa"/>
            <w:gridSpan w:val="5"/>
            <w:vAlign w:val="bottom"/>
          </w:tcPr>
          <w:p w:rsidR="00AC12B4" w:rsidRDefault="00C27636">
            <w:pPr>
              <w:jc w:val="right"/>
              <w:rPr>
                <w:sz w:val="20"/>
                <w:szCs w:val="20"/>
              </w:rPr>
            </w:pPr>
            <w:r>
              <w:rPr>
                <w:rFonts w:ascii="Calibri" w:eastAsia="Calibri" w:hAnsi="Calibri" w:cs="Calibri"/>
                <w:i/>
                <w:iCs/>
                <w:sz w:val="20"/>
                <w:szCs w:val="20"/>
              </w:rPr>
              <w:t>2011-2012</w:t>
            </w:r>
            <w:r>
              <w:rPr>
                <w:rFonts w:ascii="Calibri" w:eastAsia="Calibri" w:hAnsi="Calibri" w:cs="Calibri"/>
                <w:sz w:val="20"/>
                <w:szCs w:val="20"/>
              </w:rPr>
              <w:t>,</w:t>
            </w:r>
          </w:p>
        </w:tc>
        <w:tc>
          <w:tcPr>
            <w:tcW w:w="7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0"/>
        </w:trPr>
        <w:tc>
          <w:tcPr>
            <w:tcW w:w="4120" w:type="dxa"/>
            <w:gridSpan w:val="4"/>
            <w:vAlign w:val="bottom"/>
          </w:tcPr>
          <w:p w:rsidR="00AC12B4" w:rsidRDefault="00C27636">
            <w:pPr>
              <w:spacing w:line="220" w:lineRule="exact"/>
              <w:ind w:left="1460"/>
              <w:rPr>
                <w:sz w:val="20"/>
                <w:szCs w:val="20"/>
              </w:rPr>
            </w:pPr>
            <w:r>
              <w:rPr>
                <w:rFonts w:ascii="Calibri" w:eastAsia="Calibri" w:hAnsi="Calibri" w:cs="Calibri"/>
              </w:rPr>
              <w:t>porteurs de handicap. Dans</w:t>
            </w:r>
          </w:p>
        </w:tc>
        <w:tc>
          <w:tcPr>
            <w:tcW w:w="900" w:type="dxa"/>
            <w:gridSpan w:val="2"/>
            <w:vAlign w:val="bottom"/>
          </w:tcPr>
          <w:p w:rsidR="00AC12B4" w:rsidRDefault="00C27636">
            <w:pPr>
              <w:spacing w:line="220" w:lineRule="exact"/>
              <w:ind w:left="100"/>
              <w:rPr>
                <w:sz w:val="20"/>
                <w:szCs w:val="20"/>
              </w:rPr>
            </w:pPr>
            <w:r>
              <w:rPr>
                <w:rFonts w:ascii="Calibri" w:eastAsia="Calibri" w:hAnsi="Calibri" w:cs="Calibri"/>
              </w:rPr>
              <w:t>le cadre</w:t>
            </w:r>
          </w:p>
        </w:tc>
        <w:tc>
          <w:tcPr>
            <w:tcW w:w="1040" w:type="dxa"/>
            <w:vAlign w:val="bottom"/>
          </w:tcPr>
          <w:p w:rsidR="00AC12B4" w:rsidRDefault="00C27636">
            <w:pPr>
              <w:spacing w:line="220" w:lineRule="exact"/>
              <w:ind w:right="610"/>
              <w:jc w:val="right"/>
              <w:rPr>
                <w:sz w:val="20"/>
                <w:szCs w:val="20"/>
              </w:rPr>
            </w:pPr>
            <w:r>
              <w:rPr>
                <w:rFonts w:ascii="Calibri" w:eastAsia="Calibri" w:hAnsi="Calibri" w:cs="Calibri"/>
              </w:rPr>
              <w:t>de</w:t>
            </w:r>
          </w:p>
        </w:tc>
        <w:tc>
          <w:tcPr>
            <w:tcW w:w="4580" w:type="dxa"/>
            <w:gridSpan w:val="15"/>
            <w:vMerge w:val="restart"/>
            <w:vAlign w:val="bottom"/>
          </w:tcPr>
          <w:p w:rsidR="00AC12B4" w:rsidRDefault="00C27636">
            <w:pPr>
              <w:rPr>
                <w:sz w:val="20"/>
                <w:szCs w:val="20"/>
              </w:rPr>
            </w:pPr>
            <w:r>
              <w:rPr>
                <w:rFonts w:ascii="Calibri" w:eastAsia="Calibri" w:hAnsi="Calibri" w:cs="Calibri"/>
                <w:sz w:val="20"/>
                <w:szCs w:val="20"/>
              </w:rPr>
              <w:t>http://www.ond.vlaanderen.be/onderwijsstatis</w:t>
            </w:r>
          </w:p>
        </w:tc>
        <w:tc>
          <w:tcPr>
            <w:tcW w:w="0" w:type="dxa"/>
            <w:vAlign w:val="bottom"/>
          </w:tcPr>
          <w:p w:rsidR="00AC12B4" w:rsidRDefault="00AC12B4">
            <w:pPr>
              <w:rPr>
                <w:sz w:val="1"/>
                <w:szCs w:val="1"/>
              </w:rPr>
            </w:pPr>
          </w:p>
        </w:tc>
      </w:tr>
      <w:tr w:rsidR="00AC12B4">
        <w:trPr>
          <w:trHeight w:val="71"/>
        </w:trPr>
        <w:tc>
          <w:tcPr>
            <w:tcW w:w="3080" w:type="dxa"/>
            <w:gridSpan w:val="2"/>
            <w:vMerge w:val="restart"/>
            <w:vAlign w:val="bottom"/>
          </w:tcPr>
          <w:p w:rsidR="00AC12B4" w:rsidRDefault="00C27636">
            <w:pPr>
              <w:spacing w:line="233" w:lineRule="exact"/>
              <w:ind w:left="1460"/>
              <w:rPr>
                <w:sz w:val="20"/>
                <w:szCs w:val="20"/>
              </w:rPr>
            </w:pPr>
            <w:r>
              <w:rPr>
                <w:rFonts w:ascii="Calibri" w:eastAsia="Calibri" w:hAnsi="Calibri" w:cs="Calibri"/>
              </w:rPr>
              <w:t>l'art.  23  de  la</w:t>
            </w:r>
          </w:p>
        </w:tc>
        <w:tc>
          <w:tcPr>
            <w:tcW w:w="1520" w:type="dxa"/>
            <w:gridSpan w:val="3"/>
            <w:vMerge w:val="restart"/>
            <w:vAlign w:val="bottom"/>
          </w:tcPr>
          <w:p w:rsidR="00AC12B4" w:rsidRDefault="00C27636">
            <w:pPr>
              <w:spacing w:line="233" w:lineRule="exact"/>
              <w:ind w:left="40"/>
              <w:rPr>
                <w:sz w:val="20"/>
                <w:szCs w:val="20"/>
              </w:rPr>
            </w:pPr>
            <w:r>
              <w:rPr>
                <w:rFonts w:ascii="Calibri" w:eastAsia="Calibri" w:hAnsi="Calibri" w:cs="Calibri"/>
              </w:rPr>
              <w:t>Convention  et</w:t>
            </w:r>
          </w:p>
        </w:tc>
        <w:tc>
          <w:tcPr>
            <w:tcW w:w="420" w:type="dxa"/>
            <w:vMerge w:val="restart"/>
            <w:vAlign w:val="bottom"/>
          </w:tcPr>
          <w:p w:rsidR="00AC12B4" w:rsidRDefault="00C27636">
            <w:pPr>
              <w:spacing w:line="233" w:lineRule="exact"/>
              <w:ind w:left="40"/>
              <w:rPr>
                <w:sz w:val="20"/>
                <w:szCs w:val="20"/>
              </w:rPr>
            </w:pPr>
            <w:r>
              <w:rPr>
                <w:rFonts w:ascii="Calibri" w:eastAsia="Calibri" w:hAnsi="Calibri" w:cs="Calibri"/>
              </w:rPr>
              <w:t>de</w:t>
            </w:r>
          </w:p>
        </w:tc>
        <w:tc>
          <w:tcPr>
            <w:tcW w:w="1040" w:type="dxa"/>
            <w:vMerge w:val="restart"/>
            <w:vAlign w:val="bottom"/>
          </w:tcPr>
          <w:p w:rsidR="00AC12B4" w:rsidRDefault="00C27636">
            <w:pPr>
              <w:spacing w:line="233" w:lineRule="exact"/>
              <w:ind w:right="610"/>
              <w:jc w:val="right"/>
              <w:rPr>
                <w:sz w:val="20"/>
                <w:szCs w:val="20"/>
              </w:rPr>
            </w:pPr>
            <w:r>
              <w:rPr>
                <w:rFonts w:ascii="Calibri" w:eastAsia="Calibri" w:hAnsi="Calibri" w:cs="Calibri"/>
                <w:w w:val="94"/>
              </w:rPr>
              <w:t>son</w:t>
            </w:r>
          </w:p>
        </w:tc>
        <w:tc>
          <w:tcPr>
            <w:tcW w:w="4580" w:type="dxa"/>
            <w:gridSpan w:val="15"/>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62"/>
        </w:trPr>
        <w:tc>
          <w:tcPr>
            <w:tcW w:w="3080" w:type="dxa"/>
            <w:gridSpan w:val="2"/>
            <w:vMerge/>
            <w:vAlign w:val="bottom"/>
          </w:tcPr>
          <w:p w:rsidR="00AC12B4" w:rsidRDefault="00AC12B4">
            <w:pPr>
              <w:rPr>
                <w:sz w:val="14"/>
                <w:szCs w:val="14"/>
              </w:rPr>
            </w:pPr>
          </w:p>
        </w:tc>
        <w:tc>
          <w:tcPr>
            <w:tcW w:w="1520" w:type="dxa"/>
            <w:gridSpan w:val="3"/>
            <w:vMerge/>
            <w:vAlign w:val="bottom"/>
          </w:tcPr>
          <w:p w:rsidR="00AC12B4" w:rsidRDefault="00AC12B4">
            <w:pPr>
              <w:rPr>
                <w:sz w:val="14"/>
                <w:szCs w:val="14"/>
              </w:rPr>
            </w:pPr>
          </w:p>
        </w:tc>
        <w:tc>
          <w:tcPr>
            <w:tcW w:w="420" w:type="dxa"/>
            <w:vMerge/>
            <w:vAlign w:val="bottom"/>
          </w:tcPr>
          <w:p w:rsidR="00AC12B4" w:rsidRDefault="00AC12B4">
            <w:pPr>
              <w:rPr>
                <w:sz w:val="14"/>
                <w:szCs w:val="14"/>
              </w:rPr>
            </w:pPr>
          </w:p>
        </w:tc>
        <w:tc>
          <w:tcPr>
            <w:tcW w:w="1040" w:type="dxa"/>
            <w:vMerge/>
            <w:vAlign w:val="bottom"/>
          </w:tcPr>
          <w:p w:rsidR="00AC12B4" w:rsidRDefault="00AC12B4">
            <w:pPr>
              <w:rPr>
                <w:sz w:val="14"/>
                <w:szCs w:val="14"/>
              </w:rPr>
            </w:pPr>
          </w:p>
        </w:tc>
        <w:tc>
          <w:tcPr>
            <w:tcW w:w="2620" w:type="dxa"/>
            <w:gridSpan w:val="8"/>
            <w:vMerge w:val="restart"/>
            <w:vAlign w:val="bottom"/>
          </w:tcPr>
          <w:p w:rsidR="00AC12B4" w:rsidRDefault="00C27636">
            <w:pPr>
              <w:rPr>
                <w:sz w:val="20"/>
                <w:szCs w:val="20"/>
              </w:rPr>
            </w:pPr>
            <w:r>
              <w:rPr>
                <w:rFonts w:ascii="Calibri" w:eastAsia="Calibri" w:hAnsi="Calibri" w:cs="Calibri"/>
                <w:sz w:val="20"/>
                <w:szCs w:val="20"/>
              </w:rPr>
              <w:t>tieken/2011-2012/VONC_2011-</w:t>
            </w:r>
          </w:p>
        </w:tc>
        <w:tc>
          <w:tcPr>
            <w:tcW w:w="220" w:type="dxa"/>
            <w:vAlign w:val="bottom"/>
          </w:tcPr>
          <w:p w:rsidR="00AC12B4" w:rsidRDefault="00AC12B4">
            <w:pPr>
              <w:rPr>
                <w:sz w:val="14"/>
                <w:szCs w:val="14"/>
              </w:rPr>
            </w:pPr>
          </w:p>
        </w:tc>
        <w:tc>
          <w:tcPr>
            <w:tcW w:w="40" w:type="dxa"/>
            <w:vAlign w:val="bottom"/>
          </w:tcPr>
          <w:p w:rsidR="00AC12B4" w:rsidRDefault="00AC12B4">
            <w:pPr>
              <w:rPr>
                <w:sz w:val="14"/>
                <w:szCs w:val="14"/>
              </w:rPr>
            </w:pPr>
          </w:p>
        </w:tc>
        <w:tc>
          <w:tcPr>
            <w:tcW w:w="34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220" w:type="dxa"/>
            <w:vAlign w:val="bottom"/>
          </w:tcPr>
          <w:p w:rsidR="00AC12B4" w:rsidRDefault="00AC12B4">
            <w:pPr>
              <w:rPr>
                <w:sz w:val="14"/>
                <w:szCs w:val="14"/>
              </w:rPr>
            </w:pPr>
          </w:p>
        </w:tc>
        <w:tc>
          <w:tcPr>
            <w:tcW w:w="300" w:type="dxa"/>
            <w:vAlign w:val="bottom"/>
          </w:tcPr>
          <w:p w:rsidR="00AC12B4" w:rsidRDefault="00AC12B4">
            <w:pPr>
              <w:rPr>
                <w:sz w:val="14"/>
                <w:szCs w:val="14"/>
              </w:rPr>
            </w:pPr>
          </w:p>
        </w:tc>
        <w:tc>
          <w:tcPr>
            <w:tcW w:w="72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83"/>
        </w:trPr>
        <w:tc>
          <w:tcPr>
            <w:tcW w:w="3540" w:type="dxa"/>
            <w:gridSpan w:val="3"/>
            <w:vMerge w:val="restart"/>
            <w:vAlign w:val="bottom"/>
          </w:tcPr>
          <w:p w:rsidR="00AC12B4" w:rsidRDefault="00C27636">
            <w:pPr>
              <w:ind w:left="1460"/>
              <w:rPr>
                <w:sz w:val="20"/>
                <w:szCs w:val="20"/>
              </w:rPr>
            </w:pPr>
            <w:r>
              <w:rPr>
                <w:rFonts w:ascii="Calibri" w:eastAsia="Calibri" w:hAnsi="Calibri" w:cs="Calibri"/>
              </w:rPr>
              <w:lastRenderedPageBreak/>
              <w:t>observation générale</w:t>
            </w:r>
          </w:p>
        </w:tc>
        <w:tc>
          <w:tcPr>
            <w:tcW w:w="1060" w:type="dxa"/>
            <w:gridSpan w:val="2"/>
            <w:vMerge w:val="restart"/>
            <w:vAlign w:val="bottom"/>
          </w:tcPr>
          <w:p w:rsidR="00AC12B4" w:rsidRDefault="00C27636">
            <w:pPr>
              <w:ind w:left="20"/>
              <w:rPr>
                <w:sz w:val="20"/>
                <w:szCs w:val="20"/>
              </w:rPr>
            </w:pPr>
            <w:r>
              <w:rPr>
                <w:rFonts w:ascii="Calibri" w:eastAsia="Calibri" w:hAnsi="Calibri" w:cs="Calibri"/>
              </w:rPr>
              <w:t>n°9 (2006)</w:t>
            </w:r>
          </w:p>
        </w:tc>
        <w:tc>
          <w:tcPr>
            <w:tcW w:w="1460" w:type="dxa"/>
            <w:gridSpan w:val="2"/>
            <w:vMerge w:val="restart"/>
            <w:vAlign w:val="bottom"/>
          </w:tcPr>
          <w:p w:rsidR="00AC12B4" w:rsidRDefault="00C27636">
            <w:pPr>
              <w:ind w:right="610"/>
              <w:jc w:val="right"/>
              <w:rPr>
                <w:sz w:val="20"/>
                <w:szCs w:val="20"/>
              </w:rPr>
            </w:pPr>
            <w:r>
              <w:rPr>
                <w:rFonts w:ascii="Calibri" w:eastAsia="Calibri" w:hAnsi="Calibri" w:cs="Calibri"/>
              </w:rPr>
              <w:t>relative</w:t>
            </w:r>
          </w:p>
        </w:tc>
        <w:tc>
          <w:tcPr>
            <w:tcW w:w="2620" w:type="dxa"/>
            <w:gridSpan w:val="8"/>
            <w:vMerge/>
            <w:vAlign w:val="bottom"/>
          </w:tcPr>
          <w:p w:rsidR="00AC12B4" w:rsidRDefault="00AC12B4">
            <w:pPr>
              <w:rPr>
                <w:sz w:val="7"/>
                <w:szCs w:val="7"/>
              </w:rPr>
            </w:pPr>
          </w:p>
        </w:tc>
        <w:tc>
          <w:tcPr>
            <w:tcW w:w="22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72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186"/>
        </w:trPr>
        <w:tc>
          <w:tcPr>
            <w:tcW w:w="3540" w:type="dxa"/>
            <w:gridSpan w:val="3"/>
            <w:vMerge/>
            <w:vAlign w:val="bottom"/>
          </w:tcPr>
          <w:p w:rsidR="00AC12B4" w:rsidRDefault="00AC12B4">
            <w:pPr>
              <w:rPr>
                <w:sz w:val="16"/>
                <w:szCs w:val="16"/>
              </w:rPr>
            </w:pPr>
          </w:p>
        </w:tc>
        <w:tc>
          <w:tcPr>
            <w:tcW w:w="1060" w:type="dxa"/>
            <w:gridSpan w:val="2"/>
            <w:vMerge/>
            <w:vAlign w:val="bottom"/>
          </w:tcPr>
          <w:p w:rsidR="00AC12B4" w:rsidRDefault="00AC12B4">
            <w:pPr>
              <w:rPr>
                <w:sz w:val="16"/>
                <w:szCs w:val="16"/>
              </w:rPr>
            </w:pPr>
          </w:p>
        </w:tc>
        <w:tc>
          <w:tcPr>
            <w:tcW w:w="1460" w:type="dxa"/>
            <w:gridSpan w:val="2"/>
            <w:vMerge/>
            <w:vAlign w:val="bottom"/>
          </w:tcPr>
          <w:p w:rsidR="00AC12B4" w:rsidRDefault="00AC12B4">
            <w:pPr>
              <w:rPr>
                <w:sz w:val="16"/>
                <w:szCs w:val="16"/>
              </w:rPr>
            </w:pPr>
          </w:p>
        </w:tc>
        <w:tc>
          <w:tcPr>
            <w:tcW w:w="3340" w:type="dxa"/>
            <w:gridSpan w:val="12"/>
            <w:vMerge w:val="restart"/>
            <w:vAlign w:val="bottom"/>
          </w:tcPr>
          <w:p w:rsidR="00AC12B4" w:rsidRPr="00C27636" w:rsidRDefault="00C27636">
            <w:pPr>
              <w:rPr>
                <w:sz w:val="20"/>
                <w:szCs w:val="20"/>
                <w:lang w:val="nl-NL"/>
              </w:rPr>
            </w:pPr>
            <w:r w:rsidRPr="00C27636">
              <w:rPr>
                <w:rFonts w:ascii="Calibri" w:eastAsia="Calibri" w:hAnsi="Calibri" w:cs="Calibri"/>
                <w:sz w:val="20"/>
                <w:szCs w:val="20"/>
                <w:lang w:val="nl-NL"/>
              </w:rPr>
              <w:t>2012/VONC_2012_NL_Integraal_v9.pdf;</w:t>
            </w:r>
          </w:p>
        </w:tc>
        <w:tc>
          <w:tcPr>
            <w:tcW w:w="220" w:type="dxa"/>
            <w:vAlign w:val="bottom"/>
          </w:tcPr>
          <w:p w:rsidR="00AC12B4" w:rsidRPr="00C27636" w:rsidRDefault="00AC12B4">
            <w:pPr>
              <w:rPr>
                <w:sz w:val="16"/>
                <w:szCs w:val="16"/>
                <w:lang w:val="nl-NL"/>
              </w:rPr>
            </w:pPr>
          </w:p>
        </w:tc>
        <w:tc>
          <w:tcPr>
            <w:tcW w:w="300" w:type="dxa"/>
            <w:vAlign w:val="bottom"/>
          </w:tcPr>
          <w:p w:rsidR="00AC12B4" w:rsidRPr="00C27636" w:rsidRDefault="00AC12B4">
            <w:pPr>
              <w:rPr>
                <w:sz w:val="16"/>
                <w:szCs w:val="16"/>
                <w:lang w:val="nl-NL"/>
              </w:rPr>
            </w:pPr>
          </w:p>
        </w:tc>
        <w:tc>
          <w:tcPr>
            <w:tcW w:w="720" w:type="dxa"/>
            <w:vAlign w:val="bottom"/>
          </w:tcPr>
          <w:p w:rsidR="00AC12B4" w:rsidRPr="00C27636" w:rsidRDefault="00AC12B4">
            <w:pPr>
              <w:rPr>
                <w:sz w:val="16"/>
                <w:szCs w:val="16"/>
                <w:lang w:val="nl-NL"/>
              </w:rPr>
            </w:pPr>
          </w:p>
        </w:tc>
        <w:tc>
          <w:tcPr>
            <w:tcW w:w="0" w:type="dxa"/>
            <w:vAlign w:val="bottom"/>
          </w:tcPr>
          <w:p w:rsidR="00AC12B4" w:rsidRPr="00C27636" w:rsidRDefault="00AC12B4">
            <w:pPr>
              <w:rPr>
                <w:sz w:val="1"/>
                <w:szCs w:val="1"/>
                <w:lang w:val="nl-NL"/>
              </w:rPr>
            </w:pPr>
          </w:p>
        </w:tc>
      </w:tr>
      <w:tr w:rsidR="00AC12B4" w:rsidRPr="00C27636">
        <w:trPr>
          <w:trHeight w:val="59"/>
        </w:trPr>
        <w:tc>
          <w:tcPr>
            <w:tcW w:w="6060" w:type="dxa"/>
            <w:gridSpan w:val="7"/>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aux  droits  des  enfants  handicapés,  le</w:t>
            </w:r>
          </w:p>
        </w:tc>
        <w:tc>
          <w:tcPr>
            <w:tcW w:w="3340" w:type="dxa"/>
            <w:gridSpan w:val="12"/>
            <w:vMerge/>
            <w:vAlign w:val="bottom"/>
          </w:tcPr>
          <w:p w:rsidR="00AC12B4" w:rsidRPr="00C27636" w:rsidRDefault="00AC12B4">
            <w:pPr>
              <w:rPr>
                <w:sz w:val="5"/>
                <w:szCs w:val="5"/>
                <w:lang w:val="fr-BE"/>
              </w:rPr>
            </w:pPr>
          </w:p>
        </w:tc>
        <w:tc>
          <w:tcPr>
            <w:tcW w:w="220" w:type="dxa"/>
            <w:vAlign w:val="bottom"/>
          </w:tcPr>
          <w:p w:rsidR="00AC12B4" w:rsidRPr="00C27636" w:rsidRDefault="00AC12B4">
            <w:pPr>
              <w:rPr>
                <w:sz w:val="5"/>
                <w:szCs w:val="5"/>
                <w:lang w:val="fr-BE"/>
              </w:rPr>
            </w:pPr>
          </w:p>
        </w:tc>
        <w:tc>
          <w:tcPr>
            <w:tcW w:w="300" w:type="dxa"/>
            <w:vAlign w:val="bottom"/>
          </w:tcPr>
          <w:p w:rsidR="00AC12B4" w:rsidRPr="00C27636" w:rsidRDefault="00AC12B4">
            <w:pPr>
              <w:rPr>
                <w:sz w:val="5"/>
                <w:szCs w:val="5"/>
                <w:lang w:val="fr-BE"/>
              </w:rPr>
            </w:pPr>
          </w:p>
        </w:tc>
        <w:tc>
          <w:tcPr>
            <w:tcW w:w="720" w:type="dxa"/>
            <w:vAlign w:val="bottom"/>
          </w:tcPr>
          <w:p w:rsidR="00AC12B4" w:rsidRPr="00C27636" w:rsidRDefault="00AC12B4">
            <w:pPr>
              <w:rPr>
                <w:sz w:val="5"/>
                <w:szCs w:val="5"/>
                <w:lang w:val="fr-BE"/>
              </w:rPr>
            </w:pPr>
          </w:p>
        </w:tc>
        <w:tc>
          <w:tcPr>
            <w:tcW w:w="0" w:type="dxa"/>
            <w:vAlign w:val="bottom"/>
          </w:tcPr>
          <w:p w:rsidR="00AC12B4" w:rsidRPr="00C27636" w:rsidRDefault="00AC12B4">
            <w:pPr>
              <w:rPr>
                <w:sz w:val="1"/>
                <w:szCs w:val="1"/>
                <w:lang w:val="fr-BE"/>
              </w:rPr>
            </w:pPr>
          </w:p>
        </w:tc>
      </w:tr>
      <w:tr w:rsidR="00AC12B4">
        <w:trPr>
          <w:trHeight w:val="245"/>
        </w:trPr>
        <w:tc>
          <w:tcPr>
            <w:tcW w:w="6060" w:type="dxa"/>
            <w:gridSpan w:val="7"/>
            <w:vMerge/>
            <w:vAlign w:val="bottom"/>
          </w:tcPr>
          <w:p w:rsidR="00AC12B4" w:rsidRPr="00C27636" w:rsidRDefault="00AC12B4">
            <w:pPr>
              <w:rPr>
                <w:sz w:val="21"/>
                <w:szCs w:val="21"/>
                <w:lang w:val="fr-BE"/>
              </w:rPr>
            </w:pPr>
          </w:p>
        </w:tc>
        <w:tc>
          <w:tcPr>
            <w:tcW w:w="820" w:type="dxa"/>
            <w:gridSpan w:val="3"/>
            <w:vAlign w:val="bottom"/>
          </w:tcPr>
          <w:p w:rsidR="00AC12B4" w:rsidRDefault="00C27636">
            <w:pPr>
              <w:rPr>
                <w:sz w:val="20"/>
                <w:szCs w:val="20"/>
              </w:rPr>
            </w:pPr>
            <w:r>
              <w:rPr>
                <w:rFonts w:ascii="Calibri" w:eastAsia="Calibri" w:hAnsi="Calibri" w:cs="Calibri"/>
                <w:i/>
                <w:iCs/>
                <w:w w:val="96"/>
                <w:sz w:val="20"/>
                <w:szCs w:val="20"/>
              </w:rPr>
              <w:t>Statistisch</w:t>
            </w:r>
          </w:p>
        </w:tc>
        <w:tc>
          <w:tcPr>
            <w:tcW w:w="28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1140" w:type="dxa"/>
            <w:gridSpan w:val="2"/>
            <w:vAlign w:val="bottom"/>
          </w:tcPr>
          <w:p w:rsidR="00AC12B4" w:rsidRDefault="00C27636">
            <w:pPr>
              <w:ind w:left="320"/>
              <w:rPr>
                <w:sz w:val="20"/>
                <w:szCs w:val="20"/>
              </w:rPr>
            </w:pPr>
            <w:r>
              <w:rPr>
                <w:rFonts w:ascii="Calibri" w:eastAsia="Calibri" w:hAnsi="Calibri" w:cs="Calibri"/>
                <w:i/>
                <w:iCs/>
                <w:sz w:val="20"/>
                <w:szCs w:val="20"/>
              </w:rPr>
              <w:t>jaarboek</w:t>
            </w:r>
          </w:p>
        </w:tc>
        <w:tc>
          <w:tcPr>
            <w:tcW w:w="280" w:type="dxa"/>
            <w:vAlign w:val="bottom"/>
          </w:tcPr>
          <w:p w:rsidR="00AC12B4" w:rsidRDefault="00AC12B4">
            <w:pPr>
              <w:rPr>
                <w:sz w:val="21"/>
                <w:szCs w:val="21"/>
              </w:rPr>
            </w:pPr>
          </w:p>
        </w:tc>
        <w:tc>
          <w:tcPr>
            <w:tcW w:w="220" w:type="dxa"/>
            <w:vAlign w:val="bottom"/>
          </w:tcPr>
          <w:p w:rsidR="00AC12B4" w:rsidRDefault="00AC12B4">
            <w:pPr>
              <w:rPr>
                <w:sz w:val="21"/>
                <w:szCs w:val="21"/>
              </w:rPr>
            </w:pPr>
          </w:p>
        </w:tc>
        <w:tc>
          <w:tcPr>
            <w:tcW w:w="1020" w:type="dxa"/>
            <w:gridSpan w:val="5"/>
            <w:vAlign w:val="bottom"/>
          </w:tcPr>
          <w:p w:rsidR="00AC12B4" w:rsidRDefault="00C27636">
            <w:pPr>
              <w:jc w:val="right"/>
              <w:rPr>
                <w:sz w:val="20"/>
                <w:szCs w:val="20"/>
              </w:rPr>
            </w:pPr>
            <w:r>
              <w:rPr>
                <w:rFonts w:ascii="Calibri" w:eastAsia="Calibri" w:hAnsi="Calibri" w:cs="Calibri"/>
                <w:i/>
                <w:iCs/>
                <w:sz w:val="20"/>
                <w:szCs w:val="20"/>
              </w:rPr>
              <w:t>2014-2015</w:t>
            </w:r>
            <w:r>
              <w:rPr>
                <w:rFonts w:ascii="Calibri" w:eastAsia="Calibri" w:hAnsi="Calibri" w:cs="Calibri"/>
                <w:sz w:val="20"/>
                <w:szCs w:val="20"/>
              </w:rPr>
              <w:t>,</w:t>
            </w:r>
          </w:p>
        </w:tc>
        <w:tc>
          <w:tcPr>
            <w:tcW w:w="72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rsidRPr="00C27636">
        <w:trPr>
          <w:trHeight w:val="242"/>
        </w:trPr>
        <w:tc>
          <w:tcPr>
            <w:tcW w:w="6060" w:type="dxa"/>
            <w:gridSpan w:val="7"/>
            <w:vAlign w:val="bottom"/>
          </w:tcPr>
          <w:p w:rsidR="00AC12B4" w:rsidRPr="00C27636" w:rsidRDefault="00C27636">
            <w:pPr>
              <w:spacing w:line="231" w:lineRule="exact"/>
              <w:ind w:left="1460"/>
              <w:rPr>
                <w:sz w:val="20"/>
                <w:szCs w:val="20"/>
                <w:lang w:val="fr-BE"/>
              </w:rPr>
            </w:pPr>
            <w:r w:rsidRPr="00C27636">
              <w:rPr>
                <w:rFonts w:ascii="Calibri" w:eastAsia="Calibri" w:hAnsi="Calibri" w:cs="Calibri"/>
                <w:lang w:val="fr-BE"/>
              </w:rPr>
              <w:t>Comité des droits de l’enfant encourage</w:t>
            </w:r>
          </w:p>
        </w:tc>
        <w:tc>
          <w:tcPr>
            <w:tcW w:w="4580" w:type="dxa"/>
            <w:gridSpan w:val="15"/>
            <w:vAlign w:val="bottom"/>
          </w:tcPr>
          <w:p w:rsidR="00AC12B4" w:rsidRPr="00C27636" w:rsidRDefault="00C27636">
            <w:pPr>
              <w:spacing w:line="243" w:lineRule="exact"/>
              <w:rPr>
                <w:sz w:val="20"/>
                <w:szCs w:val="20"/>
                <w:lang w:val="fr-BE"/>
              </w:rPr>
            </w:pPr>
            <w:r w:rsidRPr="00C27636">
              <w:rPr>
                <w:rFonts w:ascii="Calibri" w:eastAsia="Calibri" w:hAnsi="Calibri" w:cs="Calibri"/>
                <w:sz w:val="20"/>
                <w:szCs w:val="20"/>
                <w:lang w:val="fr-BE"/>
              </w:rPr>
              <w:t>www.ond.vlaanderen.be/onderwijsstatistieken</w:t>
            </w:r>
          </w:p>
        </w:tc>
        <w:tc>
          <w:tcPr>
            <w:tcW w:w="0" w:type="dxa"/>
            <w:vAlign w:val="bottom"/>
          </w:tcPr>
          <w:p w:rsidR="00AC12B4" w:rsidRPr="00C27636" w:rsidRDefault="00AC12B4">
            <w:pPr>
              <w:rPr>
                <w:sz w:val="1"/>
                <w:szCs w:val="1"/>
                <w:lang w:val="fr-BE"/>
              </w:rPr>
            </w:pPr>
          </w:p>
        </w:tc>
      </w:tr>
      <w:tr w:rsidR="00AC12B4">
        <w:trPr>
          <w:trHeight w:val="258"/>
        </w:trPr>
        <w:tc>
          <w:tcPr>
            <w:tcW w:w="6060" w:type="dxa"/>
            <w:gridSpan w:val="7"/>
            <w:vAlign w:val="bottom"/>
          </w:tcPr>
          <w:p w:rsidR="00AC12B4" w:rsidRPr="00C27636" w:rsidRDefault="00C27636">
            <w:pPr>
              <w:spacing w:line="258" w:lineRule="exact"/>
              <w:ind w:left="1460"/>
              <w:rPr>
                <w:sz w:val="20"/>
                <w:szCs w:val="20"/>
                <w:lang w:val="fr-BE"/>
              </w:rPr>
            </w:pPr>
            <w:r w:rsidRPr="00C27636">
              <w:rPr>
                <w:rFonts w:ascii="Calibri" w:eastAsia="Calibri" w:hAnsi="Calibri" w:cs="Calibri"/>
                <w:lang w:val="fr-BE"/>
              </w:rPr>
              <w:t>l'État membre à entreprendre des actions</w:t>
            </w:r>
          </w:p>
        </w:tc>
        <w:tc>
          <w:tcPr>
            <w:tcW w:w="360" w:type="dxa"/>
            <w:vAlign w:val="bottom"/>
          </w:tcPr>
          <w:p w:rsidR="00AC12B4" w:rsidRDefault="00C27636">
            <w:pPr>
              <w:rPr>
                <w:sz w:val="20"/>
                <w:szCs w:val="20"/>
              </w:rPr>
            </w:pPr>
            <w:r>
              <w:rPr>
                <w:rFonts w:ascii="Calibri" w:eastAsia="Calibri" w:hAnsi="Calibri" w:cs="Calibri"/>
                <w:sz w:val="13"/>
                <w:szCs w:val="13"/>
              </w:rPr>
              <w:t>2</w:t>
            </w:r>
          </w:p>
        </w:tc>
        <w:tc>
          <w:tcPr>
            <w:tcW w:w="4220" w:type="dxa"/>
            <w:gridSpan w:val="14"/>
            <w:vMerge w:val="restart"/>
            <w:vAlign w:val="bottom"/>
          </w:tcPr>
          <w:p w:rsidR="00AC12B4" w:rsidRDefault="00C27636">
            <w:pPr>
              <w:ind w:right="720"/>
              <w:jc w:val="right"/>
              <w:rPr>
                <w:rFonts w:ascii="Calibri" w:eastAsia="Calibri" w:hAnsi="Calibri" w:cs="Calibri"/>
                <w:color w:val="0000FF"/>
                <w:w w:val="99"/>
                <w:sz w:val="20"/>
                <w:szCs w:val="20"/>
              </w:rPr>
            </w:pPr>
            <w:hyperlink r:id="rId193">
              <w:r>
                <w:rPr>
                  <w:rFonts w:ascii="Calibri" w:eastAsia="Calibri" w:hAnsi="Calibri" w:cs="Calibri"/>
                  <w:color w:val="0000FF"/>
                  <w:w w:val="99"/>
                  <w:sz w:val="20"/>
                  <w:szCs w:val="20"/>
                </w:rPr>
                <w:t>http://www.ond.vlaanderen.be/specifieke-</w:t>
              </w:r>
            </w:hyperlink>
          </w:p>
        </w:tc>
        <w:tc>
          <w:tcPr>
            <w:tcW w:w="0" w:type="dxa"/>
            <w:vAlign w:val="bottom"/>
          </w:tcPr>
          <w:p w:rsidR="00AC12B4" w:rsidRDefault="00AC12B4">
            <w:pPr>
              <w:rPr>
                <w:sz w:val="1"/>
                <w:szCs w:val="1"/>
              </w:rPr>
            </w:pPr>
          </w:p>
        </w:tc>
      </w:tr>
      <w:tr w:rsidR="00AC12B4">
        <w:trPr>
          <w:trHeight w:val="80"/>
        </w:trPr>
        <w:tc>
          <w:tcPr>
            <w:tcW w:w="2100" w:type="dxa"/>
            <w:vMerge w:val="restart"/>
            <w:vAlign w:val="bottom"/>
          </w:tcPr>
          <w:p w:rsidR="00AC12B4" w:rsidRDefault="00C27636">
            <w:pPr>
              <w:ind w:left="1460"/>
              <w:rPr>
                <w:sz w:val="20"/>
                <w:szCs w:val="20"/>
              </w:rPr>
            </w:pPr>
            <w:r>
              <w:rPr>
                <w:rFonts w:ascii="Calibri" w:eastAsia="Calibri" w:hAnsi="Calibri" w:cs="Calibri"/>
              </w:rPr>
              <w:t>plus</w:t>
            </w:r>
          </w:p>
        </w:tc>
        <w:tc>
          <w:tcPr>
            <w:tcW w:w="980" w:type="dxa"/>
            <w:vMerge w:val="restart"/>
            <w:vAlign w:val="bottom"/>
          </w:tcPr>
          <w:p w:rsidR="00AC12B4" w:rsidRDefault="00C27636">
            <w:pPr>
              <w:ind w:left="60"/>
              <w:rPr>
                <w:sz w:val="20"/>
                <w:szCs w:val="20"/>
              </w:rPr>
            </w:pPr>
            <w:r>
              <w:rPr>
                <w:rFonts w:ascii="Calibri" w:eastAsia="Calibri" w:hAnsi="Calibri" w:cs="Calibri"/>
              </w:rPr>
              <w:t>concrètes</w:t>
            </w:r>
          </w:p>
        </w:tc>
        <w:tc>
          <w:tcPr>
            <w:tcW w:w="1040" w:type="dxa"/>
            <w:gridSpan w:val="2"/>
            <w:vMerge w:val="restart"/>
            <w:vAlign w:val="bottom"/>
          </w:tcPr>
          <w:p w:rsidR="00AC12B4" w:rsidRDefault="00C27636">
            <w:pPr>
              <w:ind w:left="300"/>
              <w:rPr>
                <w:sz w:val="20"/>
                <w:szCs w:val="20"/>
              </w:rPr>
            </w:pPr>
            <w:r>
              <w:rPr>
                <w:rFonts w:ascii="Calibri" w:eastAsia="Calibri" w:hAnsi="Calibri" w:cs="Calibri"/>
              </w:rPr>
              <w:t>pour</w:t>
            </w:r>
          </w:p>
        </w:tc>
        <w:tc>
          <w:tcPr>
            <w:tcW w:w="900" w:type="dxa"/>
            <w:gridSpan w:val="2"/>
            <w:vMerge w:val="restart"/>
            <w:vAlign w:val="bottom"/>
          </w:tcPr>
          <w:p w:rsidR="00AC12B4" w:rsidRDefault="00C27636">
            <w:pPr>
              <w:rPr>
                <w:sz w:val="20"/>
                <w:szCs w:val="20"/>
              </w:rPr>
            </w:pPr>
            <w:r>
              <w:rPr>
                <w:rFonts w:ascii="Calibri" w:eastAsia="Calibri" w:hAnsi="Calibri" w:cs="Calibri"/>
              </w:rPr>
              <w:t>assurer</w:t>
            </w:r>
          </w:p>
        </w:tc>
        <w:tc>
          <w:tcPr>
            <w:tcW w:w="1040" w:type="dxa"/>
            <w:vMerge w:val="restart"/>
            <w:vAlign w:val="bottom"/>
          </w:tcPr>
          <w:p w:rsidR="00AC12B4" w:rsidRDefault="00C27636">
            <w:pPr>
              <w:ind w:right="610"/>
              <w:jc w:val="right"/>
              <w:rPr>
                <w:sz w:val="20"/>
                <w:szCs w:val="20"/>
              </w:rPr>
            </w:pPr>
            <w:r>
              <w:rPr>
                <w:rFonts w:ascii="Calibri" w:eastAsia="Calibri" w:hAnsi="Calibri" w:cs="Calibri"/>
              </w:rPr>
              <w:t>un</w:t>
            </w:r>
          </w:p>
        </w:tc>
        <w:tc>
          <w:tcPr>
            <w:tcW w:w="360" w:type="dxa"/>
            <w:vAlign w:val="bottom"/>
          </w:tcPr>
          <w:p w:rsidR="00AC12B4" w:rsidRDefault="00AC12B4">
            <w:pPr>
              <w:rPr>
                <w:sz w:val="6"/>
                <w:szCs w:val="6"/>
              </w:rPr>
            </w:pPr>
          </w:p>
        </w:tc>
        <w:tc>
          <w:tcPr>
            <w:tcW w:w="4220" w:type="dxa"/>
            <w:gridSpan w:val="14"/>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20"/>
        </w:trPr>
        <w:tc>
          <w:tcPr>
            <w:tcW w:w="2100" w:type="dxa"/>
            <w:vMerge/>
            <w:vAlign w:val="bottom"/>
          </w:tcPr>
          <w:p w:rsidR="00AC12B4" w:rsidRDefault="00AC12B4">
            <w:pPr>
              <w:spacing w:line="20" w:lineRule="exact"/>
              <w:rPr>
                <w:sz w:val="1"/>
                <w:szCs w:val="1"/>
              </w:rPr>
            </w:pPr>
          </w:p>
        </w:tc>
        <w:tc>
          <w:tcPr>
            <w:tcW w:w="980" w:type="dxa"/>
            <w:vMerge/>
            <w:vAlign w:val="bottom"/>
          </w:tcPr>
          <w:p w:rsidR="00AC12B4" w:rsidRDefault="00AC12B4">
            <w:pPr>
              <w:spacing w:line="20" w:lineRule="exact"/>
              <w:rPr>
                <w:sz w:val="1"/>
                <w:szCs w:val="1"/>
              </w:rPr>
            </w:pPr>
          </w:p>
        </w:tc>
        <w:tc>
          <w:tcPr>
            <w:tcW w:w="1040" w:type="dxa"/>
            <w:gridSpan w:val="2"/>
            <w:vMerge/>
            <w:vAlign w:val="bottom"/>
          </w:tcPr>
          <w:p w:rsidR="00AC12B4" w:rsidRDefault="00AC12B4">
            <w:pPr>
              <w:spacing w:line="20" w:lineRule="exact"/>
              <w:rPr>
                <w:sz w:val="1"/>
                <w:szCs w:val="1"/>
              </w:rPr>
            </w:pPr>
          </w:p>
        </w:tc>
        <w:tc>
          <w:tcPr>
            <w:tcW w:w="900" w:type="dxa"/>
            <w:gridSpan w:val="2"/>
            <w:vMerge/>
            <w:vAlign w:val="bottom"/>
          </w:tcPr>
          <w:p w:rsidR="00AC12B4" w:rsidRDefault="00AC12B4">
            <w:pPr>
              <w:spacing w:line="20" w:lineRule="exact"/>
              <w:rPr>
                <w:sz w:val="1"/>
                <w:szCs w:val="1"/>
              </w:rPr>
            </w:pPr>
          </w:p>
        </w:tc>
        <w:tc>
          <w:tcPr>
            <w:tcW w:w="1040" w:type="dxa"/>
            <w:vMerge/>
            <w:vAlign w:val="bottom"/>
          </w:tcPr>
          <w:p w:rsidR="00AC12B4" w:rsidRDefault="00AC12B4">
            <w:pPr>
              <w:spacing w:line="20" w:lineRule="exact"/>
              <w:rPr>
                <w:sz w:val="1"/>
                <w:szCs w:val="1"/>
              </w:rPr>
            </w:pPr>
          </w:p>
        </w:tc>
        <w:tc>
          <w:tcPr>
            <w:tcW w:w="360" w:type="dxa"/>
            <w:vAlign w:val="bottom"/>
          </w:tcPr>
          <w:p w:rsidR="00AC12B4" w:rsidRDefault="00AC12B4">
            <w:pPr>
              <w:spacing w:line="20" w:lineRule="exact"/>
              <w:rPr>
                <w:sz w:val="1"/>
                <w:szCs w:val="1"/>
              </w:rPr>
            </w:pPr>
          </w:p>
        </w:tc>
        <w:tc>
          <w:tcPr>
            <w:tcW w:w="280" w:type="dxa"/>
            <w:tcBorders>
              <w:right w:val="single" w:sz="8" w:space="0" w:color="0000FF"/>
            </w:tcBorders>
            <w:shd w:val="clear" w:color="auto" w:fill="0000FF"/>
            <w:vAlign w:val="bottom"/>
          </w:tcPr>
          <w:p w:rsidR="00AC12B4" w:rsidRDefault="00AC12B4">
            <w:pPr>
              <w:spacing w:line="20" w:lineRule="exact"/>
              <w:rPr>
                <w:sz w:val="1"/>
                <w:szCs w:val="1"/>
              </w:rPr>
            </w:pPr>
          </w:p>
        </w:tc>
        <w:tc>
          <w:tcPr>
            <w:tcW w:w="180" w:type="dxa"/>
            <w:shd w:val="clear" w:color="auto" w:fill="0000FF"/>
            <w:vAlign w:val="bottom"/>
          </w:tcPr>
          <w:p w:rsidR="00AC12B4" w:rsidRDefault="00AC12B4">
            <w:pPr>
              <w:spacing w:line="20" w:lineRule="exact"/>
              <w:rPr>
                <w:sz w:val="1"/>
                <w:szCs w:val="1"/>
              </w:rPr>
            </w:pPr>
          </w:p>
        </w:tc>
        <w:tc>
          <w:tcPr>
            <w:tcW w:w="280" w:type="dxa"/>
            <w:shd w:val="clear" w:color="auto" w:fill="0000FF"/>
            <w:vAlign w:val="bottom"/>
          </w:tcPr>
          <w:p w:rsidR="00AC12B4" w:rsidRDefault="00AC12B4">
            <w:pPr>
              <w:spacing w:line="20" w:lineRule="exact"/>
              <w:rPr>
                <w:sz w:val="1"/>
                <w:szCs w:val="1"/>
              </w:rPr>
            </w:pPr>
          </w:p>
        </w:tc>
        <w:tc>
          <w:tcPr>
            <w:tcW w:w="100" w:type="dxa"/>
            <w:tcBorders>
              <w:right w:val="single" w:sz="8" w:space="0" w:color="0000FF"/>
            </w:tcBorders>
            <w:shd w:val="clear" w:color="auto" w:fill="0000FF"/>
            <w:vAlign w:val="bottom"/>
          </w:tcPr>
          <w:p w:rsidR="00AC12B4" w:rsidRDefault="00AC12B4">
            <w:pPr>
              <w:spacing w:line="20" w:lineRule="exact"/>
              <w:rPr>
                <w:sz w:val="1"/>
                <w:szCs w:val="1"/>
              </w:rPr>
            </w:pPr>
          </w:p>
        </w:tc>
        <w:tc>
          <w:tcPr>
            <w:tcW w:w="520" w:type="dxa"/>
            <w:shd w:val="clear" w:color="auto" w:fill="0000FF"/>
            <w:vAlign w:val="bottom"/>
          </w:tcPr>
          <w:p w:rsidR="00AC12B4" w:rsidRDefault="00AC12B4">
            <w:pPr>
              <w:spacing w:line="20" w:lineRule="exact"/>
              <w:rPr>
                <w:sz w:val="1"/>
                <w:szCs w:val="1"/>
              </w:rPr>
            </w:pPr>
          </w:p>
        </w:tc>
        <w:tc>
          <w:tcPr>
            <w:tcW w:w="620" w:type="dxa"/>
            <w:shd w:val="clear" w:color="auto" w:fill="0000FF"/>
            <w:vAlign w:val="bottom"/>
          </w:tcPr>
          <w:p w:rsidR="00AC12B4" w:rsidRDefault="00AC12B4">
            <w:pPr>
              <w:spacing w:line="20" w:lineRule="exact"/>
              <w:rPr>
                <w:sz w:val="1"/>
                <w:szCs w:val="1"/>
              </w:rPr>
            </w:pPr>
          </w:p>
        </w:tc>
        <w:tc>
          <w:tcPr>
            <w:tcW w:w="280" w:type="dxa"/>
            <w:shd w:val="clear" w:color="auto" w:fill="0000FF"/>
            <w:vAlign w:val="bottom"/>
          </w:tcPr>
          <w:p w:rsidR="00AC12B4" w:rsidRDefault="00AC12B4">
            <w:pPr>
              <w:spacing w:line="20" w:lineRule="exact"/>
              <w:rPr>
                <w:sz w:val="1"/>
                <w:szCs w:val="1"/>
              </w:rPr>
            </w:pPr>
          </w:p>
        </w:tc>
        <w:tc>
          <w:tcPr>
            <w:tcW w:w="220" w:type="dxa"/>
            <w:shd w:val="clear" w:color="auto" w:fill="0000FF"/>
            <w:vAlign w:val="bottom"/>
          </w:tcPr>
          <w:p w:rsidR="00AC12B4" w:rsidRDefault="00AC12B4">
            <w:pPr>
              <w:spacing w:line="20" w:lineRule="exact"/>
              <w:rPr>
                <w:sz w:val="1"/>
                <w:szCs w:val="1"/>
              </w:rPr>
            </w:pPr>
          </w:p>
        </w:tc>
        <w:tc>
          <w:tcPr>
            <w:tcW w:w="40" w:type="dxa"/>
            <w:shd w:val="clear" w:color="auto" w:fill="0000FF"/>
            <w:vAlign w:val="bottom"/>
          </w:tcPr>
          <w:p w:rsidR="00AC12B4" w:rsidRDefault="00AC12B4">
            <w:pPr>
              <w:spacing w:line="20" w:lineRule="exact"/>
              <w:rPr>
                <w:sz w:val="1"/>
                <w:szCs w:val="1"/>
              </w:rPr>
            </w:pPr>
          </w:p>
        </w:tc>
        <w:tc>
          <w:tcPr>
            <w:tcW w:w="340" w:type="dxa"/>
            <w:shd w:val="clear" w:color="auto" w:fill="0000FF"/>
            <w:vAlign w:val="bottom"/>
          </w:tcPr>
          <w:p w:rsidR="00AC12B4" w:rsidRDefault="00AC12B4">
            <w:pPr>
              <w:spacing w:line="20" w:lineRule="exact"/>
              <w:rPr>
                <w:sz w:val="1"/>
                <w:szCs w:val="1"/>
              </w:rPr>
            </w:pPr>
          </w:p>
        </w:tc>
        <w:tc>
          <w:tcPr>
            <w:tcW w:w="120" w:type="dxa"/>
            <w:shd w:val="clear" w:color="auto" w:fill="0000FF"/>
            <w:vAlign w:val="bottom"/>
          </w:tcPr>
          <w:p w:rsidR="00AC12B4" w:rsidRDefault="00AC12B4">
            <w:pPr>
              <w:spacing w:line="20" w:lineRule="exact"/>
              <w:rPr>
                <w:sz w:val="1"/>
                <w:szCs w:val="1"/>
              </w:rPr>
            </w:pPr>
          </w:p>
        </w:tc>
        <w:tc>
          <w:tcPr>
            <w:tcW w:w="220" w:type="dxa"/>
            <w:shd w:val="clear" w:color="auto" w:fill="0000FF"/>
            <w:vAlign w:val="bottom"/>
          </w:tcPr>
          <w:p w:rsidR="00AC12B4" w:rsidRDefault="00AC12B4">
            <w:pPr>
              <w:spacing w:line="20" w:lineRule="exact"/>
              <w:rPr>
                <w:sz w:val="1"/>
                <w:szCs w:val="1"/>
              </w:rPr>
            </w:pPr>
          </w:p>
        </w:tc>
        <w:tc>
          <w:tcPr>
            <w:tcW w:w="300" w:type="dxa"/>
            <w:shd w:val="clear" w:color="auto" w:fill="0000FF"/>
            <w:vAlign w:val="bottom"/>
          </w:tcPr>
          <w:p w:rsidR="00AC12B4" w:rsidRDefault="00AC12B4">
            <w:pPr>
              <w:spacing w:line="20" w:lineRule="exact"/>
              <w:rPr>
                <w:sz w:val="1"/>
                <w:szCs w:val="1"/>
              </w:rPr>
            </w:pPr>
          </w:p>
        </w:tc>
        <w:tc>
          <w:tcPr>
            <w:tcW w:w="720" w:type="dxa"/>
            <w:vAlign w:val="bottom"/>
          </w:tcPr>
          <w:p w:rsidR="00AC12B4" w:rsidRDefault="00AC12B4">
            <w:pPr>
              <w:spacing w:line="20" w:lineRule="exact"/>
              <w:rPr>
                <w:sz w:val="1"/>
                <w:szCs w:val="1"/>
              </w:rPr>
            </w:pPr>
          </w:p>
        </w:tc>
        <w:tc>
          <w:tcPr>
            <w:tcW w:w="0" w:type="dxa"/>
            <w:vAlign w:val="bottom"/>
          </w:tcPr>
          <w:p w:rsidR="00AC12B4" w:rsidRDefault="00AC12B4">
            <w:pPr>
              <w:spacing w:line="20" w:lineRule="exact"/>
              <w:rPr>
                <w:sz w:val="1"/>
                <w:szCs w:val="1"/>
              </w:rPr>
            </w:pPr>
          </w:p>
        </w:tc>
      </w:tr>
      <w:tr w:rsidR="00AC12B4">
        <w:trPr>
          <w:trHeight w:val="168"/>
        </w:trPr>
        <w:tc>
          <w:tcPr>
            <w:tcW w:w="2100" w:type="dxa"/>
            <w:vMerge/>
            <w:vAlign w:val="bottom"/>
          </w:tcPr>
          <w:p w:rsidR="00AC12B4" w:rsidRDefault="00AC12B4">
            <w:pPr>
              <w:rPr>
                <w:sz w:val="14"/>
                <w:szCs w:val="14"/>
              </w:rPr>
            </w:pPr>
          </w:p>
        </w:tc>
        <w:tc>
          <w:tcPr>
            <w:tcW w:w="980" w:type="dxa"/>
            <w:vMerge/>
            <w:vAlign w:val="bottom"/>
          </w:tcPr>
          <w:p w:rsidR="00AC12B4" w:rsidRDefault="00AC12B4">
            <w:pPr>
              <w:rPr>
                <w:sz w:val="14"/>
                <w:szCs w:val="14"/>
              </w:rPr>
            </w:pPr>
          </w:p>
        </w:tc>
        <w:tc>
          <w:tcPr>
            <w:tcW w:w="1040" w:type="dxa"/>
            <w:gridSpan w:val="2"/>
            <w:vMerge/>
            <w:vAlign w:val="bottom"/>
          </w:tcPr>
          <w:p w:rsidR="00AC12B4" w:rsidRDefault="00AC12B4">
            <w:pPr>
              <w:rPr>
                <w:sz w:val="14"/>
                <w:szCs w:val="14"/>
              </w:rPr>
            </w:pPr>
          </w:p>
        </w:tc>
        <w:tc>
          <w:tcPr>
            <w:tcW w:w="900" w:type="dxa"/>
            <w:gridSpan w:val="2"/>
            <w:vMerge/>
            <w:vAlign w:val="bottom"/>
          </w:tcPr>
          <w:p w:rsidR="00AC12B4" w:rsidRDefault="00AC12B4">
            <w:pPr>
              <w:rPr>
                <w:sz w:val="14"/>
                <w:szCs w:val="14"/>
              </w:rPr>
            </w:pPr>
          </w:p>
        </w:tc>
        <w:tc>
          <w:tcPr>
            <w:tcW w:w="1040" w:type="dxa"/>
            <w:vMerge/>
            <w:vAlign w:val="bottom"/>
          </w:tcPr>
          <w:p w:rsidR="00AC12B4" w:rsidRDefault="00AC12B4">
            <w:pPr>
              <w:rPr>
                <w:sz w:val="14"/>
                <w:szCs w:val="14"/>
              </w:rPr>
            </w:pPr>
          </w:p>
        </w:tc>
        <w:tc>
          <w:tcPr>
            <w:tcW w:w="3340" w:type="dxa"/>
            <w:gridSpan w:val="12"/>
            <w:vMerge w:val="restart"/>
            <w:vAlign w:val="bottom"/>
          </w:tcPr>
          <w:p w:rsidR="00AC12B4" w:rsidRDefault="00C27636">
            <w:pPr>
              <w:spacing w:line="224" w:lineRule="exact"/>
              <w:rPr>
                <w:rFonts w:ascii="Calibri" w:eastAsia="Calibri" w:hAnsi="Calibri" w:cs="Calibri"/>
                <w:color w:val="0000FF"/>
                <w:sz w:val="20"/>
                <w:szCs w:val="20"/>
              </w:rPr>
            </w:pPr>
            <w:hyperlink r:id="rId194">
              <w:r>
                <w:rPr>
                  <w:rFonts w:ascii="Calibri" w:eastAsia="Calibri" w:hAnsi="Calibri" w:cs="Calibri"/>
                  <w:color w:val="0000FF"/>
                  <w:sz w:val="20"/>
                  <w:szCs w:val="20"/>
                </w:rPr>
                <w:t>onderwijsbehoeften/beleid/M-decreet/</w:t>
              </w:r>
            </w:hyperlink>
          </w:p>
        </w:tc>
        <w:tc>
          <w:tcPr>
            <w:tcW w:w="220" w:type="dxa"/>
            <w:vAlign w:val="bottom"/>
          </w:tcPr>
          <w:p w:rsidR="00AC12B4" w:rsidRDefault="00AC12B4">
            <w:pPr>
              <w:rPr>
                <w:sz w:val="14"/>
                <w:szCs w:val="14"/>
              </w:rPr>
            </w:pPr>
          </w:p>
        </w:tc>
        <w:tc>
          <w:tcPr>
            <w:tcW w:w="300" w:type="dxa"/>
            <w:vAlign w:val="bottom"/>
          </w:tcPr>
          <w:p w:rsidR="00AC12B4" w:rsidRDefault="00AC12B4">
            <w:pPr>
              <w:rPr>
                <w:sz w:val="14"/>
                <w:szCs w:val="14"/>
              </w:rPr>
            </w:pPr>
          </w:p>
        </w:tc>
        <w:tc>
          <w:tcPr>
            <w:tcW w:w="72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56"/>
        </w:trPr>
        <w:tc>
          <w:tcPr>
            <w:tcW w:w="2100" w:type="dxa"/>
            <w:vAlign w:val="bottom"/>
          </w:tcPr>
          <w:p w:rsidR="00AC12B4" w:rsidRDefault="00AC12B4">
            <w:pPr>
              <w:rPr>
                <w:sz w:val="4"/>
                <w:szCs w:val="4"/>
              </w:rPr>
            </w:pPr>
          </w:p>
        </w:tc>
        <w:tc>
          <w:tcPr>
            <w:tcW w:w="98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5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1040" w:type="dxa"/>
            <w:vAlign w:val="bottom"/>
          </w:tcPr>
          <w:p w:rsidR="00AC12B4" w:rsidRDefault="00AC12B4">
            <w:pPr>
              <w:rPr>
                <w:sz w:val="4"/>
                <w:szCs w:val="4"/>
              </w:rPr>
            </w:pPr>
          </w:p>
        </w:tc>
        <w:tc>
          <w:tcPr>
            <w:tcW w:w="3340" w:type="dxa"/>
            <w:gridSpan w:val="12"/>
            <w:vMerge/>
            <w:vAlign w:val="bottom"/>
          </w:tcPr>
          <w:p w:rsidR="00AC12B4" w:rsidRDefault="00AC12B4">
            <w:pPr>
              <w:rPr>
                <w:sz w:val="4"/>
                <w:szCs w:val="4"/>
              </w:rPr>
            </w:pPr>
          </w:p>
        </w:tc>
        <w:tc>
          <w:tcPr>
            <w:tcW w:w="22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72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516"/>
        </w:trPr>
        <w:tc>
          <w:tcPr>
            <w:tcW w:w="2100" w:type="dxa"/>
            <w:vAlign w:val="bottom"/>
          </w:tcPr>
          <w:p w:rsidR="00AC12B4" w:rsidRDefault="00AC12B4">
            <w:pPr>
              <w:rPr>
                <w:sz w:val="24"/>
                <w:szCs w:val="24"/>
              </w:rPr>
            </w:pPr>
          </w:p>
        </w:tc>
        <w:tc>
          <w:tcPr>
            <w:tcW w:w="98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58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1040" w:type="dxa"/>
            <w:vAlign w:val="bottom"/>
          </w:tcPr>
          <w:p w:rsidR="00AC12B4" w:rsidRDefault="00C27636">
            <w:pPr>
              <w:ind w:right="90"/>
              <w:jc w:val="right"/>
              <w:rPr>
                <w:sz w:val="20"/>
                <w:szCs w:val="20"/>
              </w:rPr>
            </w:pPr>
            <w:r>
              <w:rPr>
                <w:rFonts w:ascii="Calibri" w:eastAsia="Calibri" w:hAnsi="Calibri" w:cs="Calibri"/>
              </w:rPr>
              <w:t>113</w:t>
            </w:r>
          </w:p>
        </w:tc>
        <w:tc>
          <w:tcPr>
            <w:tcW w:w="360" w:type="dxa"/>
            <w:tcBorders>
              <w:top w:val="single" w:sz="8" w:space="0" w:color="0000FF"/>
            </w:tcBorders>
            <w:vAlign w:val="bottom"/>
          </w:tcPr>
          <w:p w:rsidR="00AC12B4" w:rsidRDefault="00AC12B4">
            <w:pPr>
              <w:rPr>
                <w:sz w:val="24"/>
                <w:szCs w:val="24"/>
              </w:rPr>
            </w:pPr>
          </w:p>
        </w:tc>
        <w:tc>
          <w:tcPr>
            <w:tcW w:w="280" w:type="dxa"/>
            <w:tcBorders>
              <w:top w:val="single" w:sz="8" w:space="0" w:color="0000FF"/>
            </w:tcBorders>
            <w:vAlign w:val="bottom"/>
          </w:tcPr>
          <w:p w:rsidR="00AC12B4" w:rsidRDefault="00AC12B4">
            <w:pPr>
              <w:rPr>
                <w:sz w:val="24"/>
                <w:szCs w:val="24"/>
              </w:rPr>
            </w:pPr>
          </w:p>
        </w:tc>
        <w:tc>
          <w:tcPr>
            <w:tcW w:w="180" w:type="dxa"/>
            <w:tcBorders>
              <w:top w:val="single" w:sz="8" w:space="0" w:color="0000FF"/>
            </w:tcBorders>
            <w:vAlign w:val="bottom"/>
          </w:tcPr>
          <w:p w:rsidR="00AC12B4" w:rsidRDefault="00AC12B4">
            <w:pPr>
              <w:rPr>
                <w:sz w:val="24"/>
                <w:szCs w:val="24"/>
              </w:rPr>
            </w:pPr>
          </w:p>
        </w:tc>
        <w:tc>
          <w:tcPr>
            <w:tcW w:w="280" w:type="dxa"/>
            <w:tcBorders>
              <w:top w:val="single" w:sz="8" w:space="0" w:color="0000FF"/>
            </w:tcBorders>
            <w:vAlign w:val="bottom"/>
          </w:tcPr>
          <w:p w:rsidR="00AC12B4" w:rsidRDefault="00AC12B4">
            <w:pPr>
              <w:rPr>
                <w:sz w:val="24"/>
                <w:szCs w:val="24"/>
              </w:rPr>
            </w:pPr>
          </w:p>
        </w:tc>
        <w:tc>
          <w:tcPr>
            <w:tcW w:w="100" w:type="dxa"/>
            <w:tcBorders>
              <w:top w:val="single" w:sz="8" w:space="0" w:color="0000FF"/>
            </w:tcBorders>
            <w:vAlign w:val="bottom"/>
          </w:tcPr>
          <w:p w:rsidR="00AC12B4" w:rsidRDefault="00AC12B4">
            <w:pPr>
              <w:rPr>
                <w:sz w:val="24"/>
                <w:szCs w:val="24"/>
              </w:rPr>
            </w:pPr>
          </w:p>
        </w:tc>
        <w:tc>
          <w:tcPr>
            <w:tcW w:w="520" w:type="dxa"/>
            <w:tcBorders>
              <w:top w:val="single" w:sz="8" w:space="0" w:color="0000FF"/>
            </w:tcBorders>
            <w:vAlign w:val="bottom"/>
          </w:tcPr>
          <w:p w:rsidR="00AC12B4" w:rsidRDefault="00AC12B4">
            <w:pPr>
              <w:rPr>
                <w:sz w:val="24"/>
                <w:szCs w:val="24"/>
              </w:rPr>
            </w:pPr>
          </w:p>
        </w:tc>
        <w:tc>
          <w:tcPr>
            <w:tcW w:w="620" w:type="dxa"/>
            <w:tcBorders>
              <w:top w:val="single" w:sz="8" w:space="0" w:color="0000FF"/>
            </w:tcBorders>
            <w:vAlign w:val="bottom"/>
          </w:tcPr>
          <w:p w:rsidR="00AC12B4" w:rsidRDefault="00AC12B4">
            <w:pPr>
              <w:rPr>
                <w:sz w:val="24"/>
                <w:szCs w:val="24"/>
              </w:rPr>
            </w:pPr>
          </w:p>
        </w:tc>
        <w:tc>
          <w:tcPr>
            <w:tcW w:w="280" w:type="dxa"/>
            <w:tcBorders>
              <w:top w:val="single" w:sz="8" w:space="0" w:color="0000FF"/>
            </w:tcBorders>
            <w:vAlign w:val="bottom"/>
          </w:tcPr>
          <w:p w:rsidR="00AC12B4" w:rsidRDefault="00AC12B4">
            <w:pPr>
              <w:rPr>
                <w:sz w:val="24"/>
                <w:szCs w:val="24"/>
              </w:rPr>
            </w:pPr>
          </w:p>
        </w:tc>
        <w:tc>
          <w:tcPr>
            <w:tcW w:w="220" w:type="dxa"/>
            <w:tcBorders>
              <w:top w:val="single" w:sz="8" w:space="0" w:color="0000FF"/>
            </w:tcBorders>
            <w:vAlign w:val="bottom"/>
          </w:tcPr>
          <w:p w:rsidR="00AC12B4" w:rsidRDefault="00AC12B4">
            <w:pPr>
              <w:rPr>
                <w:sz w:val="24"/>
                <w:szCs w:val="24"/>
              </w:rPr>
            </w:pPr>
          </w:p>
        </w:tc>
        <w:tc>
          <w:tcPr>
            <w:tcW w:w="40" w:type="dxa"/>
            <w:tcBorders>
              <w:top w:val="single" w:sz="8" w:space="0" w:color="0000FF"/>
            </w:tcBorders>
            <w:vAlign w:val="bottom"/>
          </w:tcPr>
          <w:p w:rsidR="00AC12B4" w:rsidRDefault="00AC12B4">
            <w:pPr>
              <w:rPr>
                <w:sz w:val="24"/>
                <w:szCs w:val="24"/>
              </w:rPr>
            </w:pPr>
          </w:p>
        </w:tc>
        <w:tc>
          <w:tcPr>
            <w:tcW w:w="340" w:type="dxa"/>
            <w:tcBorders>
              <w:top w:val="single" w:sz="8" w:space="0" w:color="0000FF"/>
            </w:tcBorders>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72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 xml:space="preserve">Le droit à </w:t>
            </w:r>
            <w:r>
              <w:rPr>
                <w:rFonts w:ascii="Calibri" w:eastAsia="Calibri" w:hAnsi="Calibri" w:cs="Calibri"/>
                <w:b/>
                <w:bCs/>
                <w:i/>
                <w:iCs/>
                <w:color w:val="F2F2F2"/>
                <w:sz w:val="28"/>
                <w:szCs w:val="28"/>
              </w:rPr>
              <w:t>l’enseignement</w:t>
            </w: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25984" behindDoc="1" locked="0" layoutInCell="0" allowOverlap="1">
                <wp:simplePos x="0" y="0"/>
                <wp:positionH relativeFrom="column">
                  <wp:posOffset>-222885</wp:posOffset>
                </wp:positionH>
                <wp:positionV relativeFrom="paragraph">
                  <wp:posOffset>-9943465</wp:posOffset>
                </wp:positionV>
                <wp:extent cx="751205" cy="10895965"/>
                <wp:effectExtent l="0" t="0" r="0" b="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205" cy="10895965"/>
                        </a:xfrm>
                        <a:prstGeom prst="rect">
                          <a:avLst/>
                        </a:prstGeom>
                        <a:solidFill>
                          <a:srgbClr val="8BCCEC"/>
                        </a:solidFill>
                      </wps:spPr>
                      <wps:bodyPr/>
                    </wps:wsp>
                  </a:graphicData>
                </a:graphic>
              </wp:anchor>
            </w:drawing>
          </mc:Choice>
          <mc:Fallback>
            <w:pict>
              <v:rect id="Shape 290" o:spid="_x0000_s1315" style="position:absolute;margin-left:-17.5499pt;margin-top:-782.9499pt;width:59.15pt;height:8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Default="00AC12B4">
      <w:pPr>
        <w:sectPr w:rsidR="00AC12B4">
          <w:pgSz w:w="12080" w:h="17179"/>
          <w:pgMar w:top="1440" w:right="496" w:bottom="659" w:left="540" w:header="0" w:footer="0" w:gutter="0"/>
          <w:cols w:num="2" w:space="720" w:equalWidth="0">
            <w:col w:w="10640" w:space="59"/>
            <w:col w:w="342"/>
          </w:cols>
        </w:sectPr>
      </w:pPr>
    </w:p>
    <w:bookmarkStart w:id="113" w:name="page114"/>
    <w:bookmarkEnd w:id="113"/>
    <w:p w:rsidR="00AC12B4" w:rsidRDefault="00C27636">
      <w:pPr>
        <w:spacing w:line="360" w:lineRule="exact"/>
        <w:rPr>
          <w:sz w:val="20"/>
          <w:szCs w:val="20"/>
        </w:rPr>
      </w:pPr>
      <w:r>
        <w:rPr>
          <w:noProof/>
          <w:sz w:val="20"/>
          <w:szCs w:val="20"/>
        </w:rPr>
        <w:lastRenderedPageBreak/>
        <mc:AlternateContent>
          <mc:Choice Requires="wps">
            <w:drawing>
              <wp:anchor distT="0" distB="0" distL="114300" distR="114300" simplePos="0" relativeHeight="251627008" behindDoc="1" locked="0" layoutInCell="0" allowOverlap="1">
                <wp:simplePos x="0" y="0"/>
                <wp:positionH relativeFrom="page">
                  <wp:posOffset>0</wp:posOffset>
                </wp:positionH>
                <wp:positionV relativeFrom="page">
                  <wp:posOffset>0</wp:posOffset>
                </wp:positionV>
                <wp:extent cx="788035" cy="10908665"/>
                <wp:effectExtent l="0" t="0" r="0" b="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035" cy="10908665"/>
                        </a:xfrm>
                        <a:prstGeom prst="rect">
                          <a:avLst/>
                        </a:prstGeom>
                        <a:solidFill>
                          <a:srgbClr val="8BCCEC"/>
                        </a:solidFill>
                      </wps:spPr>
                      <wps:bodyPr/>
                    </wps:wsp>
                  </a:graphicData>
                </a:graphic>
              </wp:anchor>
            </w:drawing>
          </mc:Choice>
          <mc:Fallback>
            <w:pict>
              <v:rect id="Shape 291" o:spid="_x0000_s1316" style="position:absolute;margin-left:0pt;margin-top:0pt;width:62.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r>
        <w:rPr>
          <w:noProof/>
          <w:sz w:val="20"/>
          <w:szCs w:val="20"/>
        </w:rPr>
        <mc:AlternateContent>
          <mc:Choice Requires="wps">
            <w:drawing>
              <wp:anchor distT="0" distB="0" distL="114300" distR="114300" simplePos="0" relativeHeight="251628032" behindDoc="1" locked="0" layoutInCell="0" allowOverlap="1">
                <wp:simplePos x="0" y="0"/>
                <wp:positionH relativeFrom="page">
                  <wp:posOffset>6286500</wp:posOffset>
                </wp:positionH>
                <wp:positionV relativeFrom="page">
                  <wp:posOffset>1017270</wp:posOffset>
                </wp:positionV>
                <wp:extent cx="0" cy="3142615"/>
                <wp:effectExtent l="0" t="0" r="0" b="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142615"/>
                        </a:xfrm>
                        <a:prstGeom prst="line">
                          <a:avLst/>
                        </a:prstGeom>
                        <a:solidFill>
                          <a:srgbClr val="FFFFFF"/>
                        </a:solidFill>
                        <a:ln w="9525">
                          <a:solidFill>
                            <a:srgbClr val="8BCCEC"/>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pt,80.1pt" to="495pt,327.55pt" o:allowincell="f" strokecolor="#8BCCEC" strokeweight="0.75pt">
                <w10:wrap anchorx="page" anchory="page"/>
              </v:line>
            </w:pict>
          </mc:Fallback>
        </mc:AlternateContent>
      </w:r>
      <w:r>
        <w:rPr>
          <w:noProof/>
          <w:sz w:val="20"/>
          <w:szCs w:val="20"/>
        </w:rPr>
        <mc:AlternateContent>
          <mc:Choice Requires="wps">
            <w:drawing>
              <wp:anchor distT="0" distB="0" distL="114300" distR="114300" simplePos="0" relativeHeight="251629056" behindDoc="1" locked="0" layoutInCell="0" allowOverlap="1">
                <wp:simplePos x="0" y="0"/>
                <wp:positionH relativeFrom="page">
                  <wp:posOffset>899795</wp:posOffset>
                </wp:positionH>
                <wp:positionV relativeFrom="page">
                  <wp:posOffset>1022350</wp:posOffset>
                </wp:positionV>
                <wp:extent cx="5391150" cy="0"/>
                <wp:effectExtent l="0" t="0" r="0" b="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1150" cy="4763"/>
                        </a:xfrm>
                        <a:prstGeom prst="line">
                          <a:avLst/>
                        </a:prstGeom>
                        <a:solidFill>
                          <a:srgbClr val="FFFFFF"/>
                        </a:solidFill>
                        <a:ln w="9525">
                          <a:solidFill>
                            <a:srgbClr val="8BCCEC"/>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80.5pt" to="495.35pt,80.5pt" o:allowincell="f" strokecolor="#8BCCEC" strokeweight="0.75pt">
                <w10:wrap anchorx="page" anchory="page"/>
              </v:line>
            </w:pict>
          </mc:Fallback>
        </mc:AlternateContent>
      </w:r>
      <w:r>
        <w:rPr>
          <w:noProof/>
          <w:sz w:val="20"/>
          <w:szCs w:val="20"/>
        </w:rPr>
        <mc:AlternateContent>
          <mc:Choice Requires="wps">
            <w:drawing>
              <wp:anchor distT="0" distB="0" distL="114300" distR="114300" simplePos="0" relativeHeight="251630080" behindDoc="1" locked="0" layoutInCell="0" allowOverlap="1">
                <wp:simplePos x="0" y="0"/>
                <wp:positionH relativeFrom="page">
                  <wp:posOffset>904875</wp:posOffset>
                </wp:positionH>
                <wp:positionV relativeFrom="page">
                  <wp:posOffset>1017270</wp:posOffset>
                </wp:positionV>
                <wp:extent cx="0" cy="3142615"/>
                <wp:effectExtent l="0" t="0" r="0" b="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142615"/>
                        </a:xfrm>
                        <a:prstGeom prst="line">
                          <a:avLst/>
                        </a:prstGeom>
                        <a:solidFill>
                          <a:srgbClr val="FFFFFF"/>
                        </a:solidFill>
                        <a:ln w="9525">
                          <a:solidFill>
                            <a:srgbClr val="8BCCEC"/>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25pt,80.1pt" to="71.25pt,327.55pt" o:allowincell="f" strokecolor="#8BCCEC" strokeweight="0.75pt">
                <w10:wrap anchorx="page" anchory="page"/>
              </v:line>
            </w:pict>
          </mc:Fallback>
        </mc:AlternateContent>
      </w:r>
      <w:r>
        <w:rPr>
          <w:noProof/>
          <w:sz w:val="20"/>
          <w:szCs w:val="20"/>
        </w:rPr>
        <mc:AlternateContent>
          <mc:Choice Requires="wps">
            <w:drawing>
              <wp:anchor distT="0" distB="0" distL="114300" distR="114300" simplePos="0" relativeHeight="251631104" behindDoc="1" locked="0" layoutInCell="0" allowOverlap="1">
                <wp:simplePos x="0" y="0"/>
                <wp:positionH relativeFrom="page">
                  <wp:posOffset>899795</wp:posOffset>
                </wp:positionH>
                <wp:positionV relativeFrom="page">
                  <wp:posOffset>4155440</wp:posOffset>
                </wp:positionV>
                <wp:extent cx="5391150" cy="0"/>
                <wp:effectExtent l="0" t="0" r="0" b="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1150" cy="4763"/>
                        </a:xfrm>
                        <a:prstGeom prst="line">
                          <a:avLst/>
                        </a:prstGeom>
                        <a:solidFill>
                          <a:srgbClr val="FFFFFF"/>
                        </a:solidFill>
                        <a:ln w="9525">
                          <a:solidFill>
                            <a:srgbClr val="8BCCEC"/>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327.2pt" to="495.35pt,327.2pt" o:allowincell="f" strokecolor="#8BCCEC" strokeweight="0.75pt">
                <w10:wrap anchorx="page" anchory="page"/>
              </v:line>
            </w:pict>
          </mc:Fallback>
        </mc:AlternateContent>
      </w:r>
    </w:p>
    <w:p w:rsidR="00AC12B4" w:rsidRPr="00C27636" w:rsidRDefault="00C27636">
      <w:pPr>
        <w:spacing w:line="225" w:lineRule="auto"/>
        <w:ind w:left="1680" w:right="820"/>
        <w:jc w:val="center"/>
        <w:rPr>
          <w:sz w:val="20"/>
          <w:szCs w:val="20"/>
          <w:lang w:val="fr-BE"/>
        </w:rPr>
      </w:pPr>
      <w:r w:rsidRPr="00C27636">
        <w:rPr>
          <w:rFonts w:ascii="Calibri" w:eastAsia="Calibri" w:hAnsi="Calibri" w:cs="Calibri"/>
          <w:b/>
          <w:bCs/>
          <w:sz w:val="20"/>
          <w:szCs w:val="20"/>
          <w:lang w:val="fr-BE"/>
        </w:rPr>
        <w:t>Indice socioéconomique moyen des quartiers où résident les élèves des différents niveaux et formes de l'enseignement fondamental et secondaire - Année 2012-2013</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632128" behindDoc="1" locked="0" layoutInCell="0" allowOverlap="1">
            <wp:simplePos x="0" y="0"/>
            <wp:positionH relativeFrom="column">
              <wp:posOffset>1810385</wp:posOffset>
            </wp:positionH>
            <wp:positionV relativeFrom="paragraph">
              <wp:posOffset>327025</wp:posOffset>
            </wp:positionV>
            <wp:extent cx="3921125" cy="1708150"/>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95">
                      <a:extLst/>
                    </a:blip>
                    <a:srcRect/>
                    <a:stretch>
                      <a:fillRect/>
                    </a:stretch>
                  </pic:blipFill>
                  <pic:spPr bwMode="auto">
                    <a:xfrm>
                      <a:off x="0" y="0"/>
                      <a:ext cx="3921125" cy="1708150"/>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348" w:lineRule="exact"/>
        <w:rPr>
          <w:sz w:val="20"/>
          <w:szCs w:val="20"/>
          <w:lang w:val="fr-BE"/>
        </w:rPr>
      </w:pPr>
    </w:p>
    <w:p w:rsidR="00AC12B4" w:rsidRPr="00C27636" w:rsidRDefault="00C27636">
      <w:pPr>
        <w:tabs>
          <w:tab w:val="left" w:pos="5083"/>
        </w:tabs>
        <w:ind w:left="3463"/>
        <w:rPr>
          <w:sz w:val="20"/>
          <w:szCs w:val="20"/>
          <w:lang w:val="fr-BE"/>
        </w:rPr>
      </w:pPr>
      <w:r w:rsidRPr="00C27636">
        <w:rPr>
          <w:rFonts w:ascii="Calibri" w:eastAsia="Calibri" w:hAnsi="Calibri" w:cs="Calibri"/>
          <w:color w:val="4F81BD"/>
          <w:sz w:val="18"/>
          <w:szCs w:val="18"/>
          <w:lang w:val="fr-BE"/>
        </w:rPr>
        <w:t>Maternel ordinaire</w:t>
      </w:r>
      <w:r w:rsidRPr="00C27636">
        <w:rPr>
          <w:sz w:val="20"/>
          <w:szCs w:val="20"/>
          <w:lang w:val="fr-BE"/>
        </w:rPr>
        <w:tab/>
      </w:r>
      <w:r w:rsidRPr="00C27636">
        <w:rPr>
          <w:rFonts w:ascii="Calibri" w:eastAsia="Calibri" w:hAnsi="Calibri" w:cs="Calibri"/>
          <w:sz w:val="19"/>
          <w:szCs w:val="19"/>
          <w:lang w:val="fr-BE"/>
        </w:rPr>
        <w:t>-0,05</w:t>
      </w:r>
    </w:p>
    <w:p w:rsidR="00AC12B4" w:rsidRPr="00C27636" w:rsidRDefault="00AC12B4">
      <w:pPr>
        <w:spacing w:line="149" w:lineRule="exact"/>
        <w:rPr>
          <w:sz w:val="20"/>
          <w:szCs w:val="20"/>
          <w:lang w:val="fr-BE"/>
        </w:rPr>
      </w:pPr>
    </w:p>
    <w:p w:rsidR="00AC12B4" w:rsidRPr="00C27636" w:rsidRDefault="00C27636">
      <w:pPr>
        <w:tabs>
          <w:tab w:val="left" w:pos="2803"/>
        </w:tabs>
        <w:ind w:left="1183"/>
        <w:rPr>
          <w:sz w:val="20"/>
          <w:szCs w:val="20"/>
          <w:lang w:val="fr-BE"/>
        </w:rPr>
      </w:pPr>
      <w:r w:rsidRPr="00C27636">
        <w:rPr>
          <w:rFonts w:ascii="Calibri" w:eastAsia="Calibri" w:hAnsi="Calibri" w:cs="Calibri"/>
          <w:color w:val="4F81BD"/>
          <w:sz w:val="18"/>
          <w:szCs w:val="18"/>
          <w:lang w:val="fr-BE"/>
        </w:rPr>
        <w:t xml:space="preserve">Maternel </w:t>
      </w:r>
      <w:r w:rsidRPr="00C27636">
        <w:rPr>
          <w:rFonts w:ascii="Calibri" w:eastAsia="Calibri" w:hAnsi="Calibri" w:cs="Calibri"/>
          <w:color w:val="4F81BD"/>
          <w:sz w:val="18"/>
          <w:szCs w:val="18"/>
          <w:lang w:val="fr-BE"/>
        </w:rPr>
        <w:t>spécialisé</w:t>
      </w:r>
      <w:r w:rsidRPr="00C27636">
        <w:rPr>
          <w:sz w:val="20"/>
          <w:szCs w:val="20"/>
          <w:lang w:val="fr-BE"/>
        </w:rPr>
        <w:tab/>
      </w:r>
      <w:r w:rsidRPr="00C27636">
        <w:rPr>
          <w:rFonts w:ascii="Calibri" w:eastAsia="Calibri" w:hAnsi="Calibri" w:cs="Calibri"/>
          <w:sz w:val="19"/>
          <w:szCs w:val="19"/>
          <w:lang w:val="fr-BE"/>
        </w:rPr>
        <w:t>-0,42</w:t>
      </w:r>
    </w:p>
    <w:p w:rsidR="00AC12B4" w:rsidRPr="00C27636" w:rsidRDefault="00AC12B4">
      <w:pPr>
        <w:spacing w:line="70" w:lineRule="exact"/>
        <w:rPr>
          <w:sz w:val="20"/>
          <w:szCs w:val="20"/>
          <w:lang w:val="fr-BE"/>
        </w:rPr>
      </w:pPr>
    </w:p>
    <w:p w:rsidR="00AC12B4" w:rsidRPr="00C27636" w:rsidRDefault="00C27636">
      <w:pPr>
        <w:tabs>
          <w:tab w:val="left" w:pos="6683"/>
        </w:tabs>
        <w:ind w:left="6183"/>
        <w:rPr>
          <w:sz w:val="20"/>
          <w:szCs w:val="20"/>
          <w:lang w:val="fr-BE"/>
        </w:rPr>
      </w:pPr>
      <w:r w:rsidRPr="00C27636">
        <w:rPr>
          <w:rFonts w:ascii="Calibri" w:eastAsia="Calibri" w:hAnsi="Calibri" w:cs="Calibri"/>
          <w:color w:val="000000"/>
          <w:sz w:val="39"/>
          <w:szCs w:val="39"/>
          <w:vertAlign w:val="superscript"/>
          <w:lang w:val="fr-BE"/>
        </w:rPr>
        <w:t>0,02</w:t>
      </w:r>
      <w:r w:rsidRPr="00C27636">
        <w:rPr>
          <w:sz w:val="20"/>
          <w:szCs w:val="20"/>
          <w:lang w:val="fr-BE"/>
        </w:rPr>
        <w:tab/>
      </w:r>
      <w:r w:rsidRPr="00C27636">
        <w:rPr>
          <w:rFonts w:ascii="Calibri" w:eastAsia="Calibri" w:hAnsi="Calibri" w:cs="Calibri"/>
          <w:color w:val="4F81BD"/>
          <w:sz w:val="17"/>
          <w:szCs w:val="17"/>
          <w:lang w:val="fr-BE"/>
        </w:rPr>
        <w:t>Primaire ordinaire</w:t>
      </w:r>
    </w:p>
    <w:tbl>
      <w:tblPr>
        <w:tblW w:w="0" w:type="auto"/>
        <w:tblInd w:w="1303" w:type="dxa"/>
        <w:tblLayout w:type="fixed"/>
        <w:tblCellMar>
          <w:left w:w="0" w:type="dxa"/>
          <w:right w:w="0" w:type="dxa"/>
        </w:tblCellMar>
        <w:tblLook w:val="04A0" w:firstRow="1" w:lastRow="0" w:firstColumn="1" w:lastColumn="0" w:noHBand="0" w:noVBand="1"/>
      </w:tblPr>
      <w:tblGrid>
        <w:gridCol w:w="1720"/>
        <w:gridCol w:w="640"/>
        <w:gridCol w:w="2280"/>
        <w:gridCol w:w="480"/>
        <w:gridCol w:w="580"/>
        <w:gridCol w:w="1840"/>
        <w:gridCol w:w="20"/>
      </w:tblGrid>
      <w:tr w:rsidR="00AC12B4">
        <w:trPr>
          <w:trHeight w:val="178"/>
        </w:trPr>
        <w:tc>
          <w:tcPr>
            <w:tcW w:w="1720" w:type="dxa"/>
            <w:vMerge w:val="restart"/>
            <w:vAlign w:val="bottom"/>
          </w:tcPr>
          <w:p w:rsidR="00AC12B4" w:rsidRDefault="00C27636">
            <w:pPr>
              <w:ind w:left="220"/>
              <w:rPr>
                <w:sz w:val="20"/>
                <w:szCs w:val="20"/>
              </w:rPr>
            </w:pPr>
            <w:r>
              <w:rPr>
                <w:rFonts w:ascii="Calibri" w:eastAsia="Calibri" w:hAnsi="Calibri" w:cs="Calibri"/>
                <w:color w:val="4F81BD"/>
                <w:sz w:val="18"/>
                <w:szCs w:val="18"/>
              </w:rPr>
              <w:t>Primaire spécialisé</w:t>
            </w:r>
          </w:p>
        </w:tc>
        <w:tc>
          <w:tcPr>
            <w:tcW w:w="640" w:type="dxa"/>
            <w:vAlign w:val="bottom"/>
          </w:tcPr>
          <w:p w:rsidR="00AC12B4" w:rsidRDefault="00C27636">
            <w:pPr>
              <w:spacing w:line="177" w:lineRule="exact"/>
              <w:ind w:right="23"/>
              <w:jc w:val="right"/>
              <w:rPr>
                <w:sz w:val="20"/>
                <w:szCs w:val="20"/>
              </w:rPr>
            </w:pPr>
            <w:r>
              <w:rPr>
                <w:rFonts w:ascii="Calibri" w:eastAsia="Calibri" w:hAnsi="Calibri" w:cs="Calibri"/>
                <w:sz w:val="19"/>
                <w:szCs w:val="19"/>
              </w:rPr>
              <w:t>-0,37</w:t>
            </w:r>
          </w:p>
        </w:tc>
        <w:tc>
          <w:tcPr>
            <w:tcW w:w="2280" w:type="dxa"/>
            <w:shd w:val="clear" w:color="auto" w:fill="8EB4E3"/>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580" w:type="dxa"/>
            <w:vAlign w:val="bottom"/>
          </w:tcPr>
          <w:p w:rsidR="00AC12B4" w:rsidRDefault="00AC12B4">
            <w:pPr>
              <w:rPr>
                <w:sz w:val="15"/>
                <w:szCs w:val="15"/>
              </w:rPr>
            </w:pPr>
          </w:p>
        </w:tc>
        <w:tc>
          <w:tcPr>
            <w:tcW w:w="184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80"/>
        </w:trPr>
        <w:tc>
          <w:tcPr>
            <w:tcW w:w="1720" w:type="dxa"/>
            <w:vMerge/>
            <w:vAlign w:val="bottom"/>
          </w:tcPr>
          <w:p w:rsidR="00AC12B4" w:rsidRDefault="00AC12B4">
            <w:pPr>
              <w:rPr>
                <w:sz w:val="15"/>
                <w:szCs w:val="15"/>
              </w:rPr>
            </w:pPr>
          </w:p>
        </w:tc>
        <w:tc>
          <w:tcPr>
            <w:tcW w:w="640" w:type="dxa"/>
            <w:vAlign w:val="bottom"/>
          </w:tcPr>
          <w:p w:rsidR="00AC12B4" w:rsidRDefault="00AC12B4">
            <w:pPr>
              <w:rPr>
                <w:sz w:val="15"/>
                <w:szCs w:val="15"/>
              </w:rPr>
            </w:pPr>
          </w:p>
        </w:tc>
        <w:tc>
          <w:tcPr>
            <w:tcW w:w="2280" w:type="dxa"/>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580" w:type="dxa"/>
            <w:vAlign w:val="bottom"/>
          </w:tcPr>
          <w:p w:rsidR="00AC12B4" w:rsidRDefault="00AC12B4">
            <w:pPr>
              <w:rPr>
                <w:sz w:val="15"/>
                <w:szCs w:val="15"/>
              </w:rPr>
            </w:pPr>
          </w:p>
        </w:tc>
        <w:tc>
          <w:tcPr>
            <w:tcW w:w="184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97"/>
        </w:trPr>
        <w:tc>
          <w:tcPr>
            <w:tcW w:w="1720" w:type="dxa"/>
            <w:vAlign w:val="bottom"/>
          </w:tcPr>
          <w:p w:rsidR="00AC12B4" w:rsidRDefault="00AC12B4">
            <w:pPr>
              <w:rPr>
                <w:sz w:val="17"/>
                <w:szCs w:val="17"/>
              </w:rPr>
            </w:pPr>
          </w:p>
        </w:tc>
        <w:tc>
          <w:tcPr>
            <w:tcW w:w="640" w:type="dxa"/>
            <w:vMerge w:val="restart"/>
            <w:vAlign w:val="bottom"/>
          </w:tcPr>
          <w:p w:rsidR="00AC12B4" w:rsidRDefault="00AC12B4">
            <w:pPr>
              <w:rPr>
                <w:sz w:val="17"/>
                <w:szCs w:val="17"/>
              </w:rPr>
            </w:pPr>
          </w:p>
        </w:tc>
        <w:tc>
          <w:tcPr>
            <w:tcW w:w="2280" w:type="dxa"/>
            <w:vMerge w:val="restart"/>
            <w:vAlign w:val="bottom"/>
          </w:tcPr>
          <w:p w:rsidR="00AC12B4" w:rsidRDefault="00AC12B4">
            <w:pPr>
              <w:rPr>
                <w:sz w:val="17"/>
                <w:szCs w:val="17"/>
              </w:rPr>
            </w:pPr>
          </w:p>
        </w:tc>
        <w:tc>
          <w:tcPr>
            <w:tcW w:w="480" w:type="dxa"/>
            <w:shd w:val="clear" w:color="auto" w:fill="558ED5"/>
            <w:vAlign w:val="bottom"/>
          </w:tcPr>
          <w:p w:rsidR="00AC12B4" w:rsidRDefault="00AC12B4">
            <w:pPr>
              <w:rPr>
                <w:sz w:val="17"/>
                <w:szCs w:val="17"/>
              </w:rPr>
            </w:pPr>
          </w:p>
        </w:tc>
        <w:tc>
          <w:tcPr>
            <w:tcW w:w="580" w:type="dxa"/>
            <w:vMerge w:val="restart"/>
            <w:vAlign w:val="bottom"/>
          </w:tcPr>
          <w:p w:rsidR="00AC12B4" w:rsidRDefault="00C27636">
            <w:pPr>
              <w:spacing w:line="222" w:lineRule="exact"/>
              <w:jc w:val="right"/>
              <w:rPr>
                <w:sz w:val="20"/>
                <w:szCs w:val="20"/>
              </w:rPr>
            </w:pPr>
            <w:r>
              <w:rPr>
                <w:rFonts w:ascii="Calibri" w:eastAsia="Calibri" w:hAnsi="Calibri" w:cs="Calibri"/>
                <w:sz w:val="20"/>
                <w:szCs w:val="20"/>
              </w:rPr>
              <w:t>0,08</w:t>
            </w:r>
          </w:p>
        </w:tc>
        <w:tc>
          <w:tcPr>
            <w:tcW w:w="1840" w:type="dxa"/>
            <w:vMerge w:val="restart"/>
            <w:vAlign w:val="bottom"/>
          </w:tcPr>
          <w:p w:rsidR="00AC12B4" w:rsidRDefault="00C27636">
            <w:pPr>
              <w:ind w:left="100"/>
              <w:rPr>
                <w:sz w:val="20"/>
                <w:szCs w:val="20"/>
              </w:rPr>
            </w:pPr>
            <w:r>
              <w:rPr>
                <w:rFonts w:ascii="Calibri" w:eastAsia="Calibri" w:hAnsi="Calibri" w:cs="Calibri"/>
                <w:color w:val="4F81BD"/>
                <w:w w:val="98"/>
                <w:sz w:val="18"/>
                <w:szCs w:val="18"/>
              </w:rPr>
              <w:t>Secondaire ordinaire de</w:t>
            </w:r>
          </w:p>
        </w:tc>
        <w:tc>
          <w:tcPr>
            <w:tcW w:w="0" w:type="dxa"/>
            <w:vAlign w:val="bottom"/>
          </w:tcPr>
          <w:p w:rsidR="00AC12B4" w:rsidRDefault="00AC12B4">
            <w:pPr>
              <w:rPr>
                <w:sz w:val="1"/>
                <w:szCs w:val="1"/>
              </w:rPr>
            </w:pPr>
          </w:p>
        </w:tc>
      </w:tr>
      <w:tr w:rsidR="00AC12B4">
        <w:trPr>
          <w:trHeight w:val="41"/>
        </w:trPr>
        <w:tc>
          <w:tcPr>
            <w:tcW w:w="1720" w:type="dxa"/>
            <w:vAlign w:val="bottom"/>
          </w:tcPr>
          <w:p w:rsidR="00AC12B4" w:rsidRDefault="00AC12B4">
            <w:pPr>
              <w:rPr>
                <w:sz w:val="3"/>
                <w:szCs w:val="3"/>
              </w:rPr>
            </w:pPr>
          </w:p>
        </w:tc>
        <w:tc>
          <w:tcPr>
            <w:tcW w:w="640" w:type="dxa"/>
            <w:vMerge/>
            <w:vAlign w:val="bottom"/>
          </w:tcPr>
          <w:p w:rsidR="00AC12B4" w:rsidRDefault="00AC12B4">
            <w:pPr>
              <w:rPr>
                <w:sz w:val="3"/>
                <w:szCs w:val="3"/>
              </w:rPr>
            </w:pPr>
          </w:p>
        </w:tc>
        <w:tc>
          <w:tcPr>
            <w:tcW w:w="2280" w:type="dxa"/>
            <w:vMerge/>
            <w:vAlign w:val="bottom"/>
          </w:tcPr>
          <w:p w:rsidR="00AC12B4" w:rsidRDefault="00AC12B4">
            <w:pPr>
              <w:rPr>
                <w:sz w:val="3"/>
                <w:szCs w:val="3"/>
              </w:rPr>
            </w:pPr>
          </w:p>
        </w:tc>
        <w:tc>
          <w:tcPr>
            <w:tcW w:w="480" w:type="dxa"/>
            <w:vAlign w:val="bottom"/>
          </w:tcPr>
          <w:p w:rsidR="00AC12B4" w:rsidRDefault="00AC12B4">
            <w:pPr>
              <w:rPr>
                <w:sz w:val="3"/>
                <w:szCs w:val="3"/>
              </w:rPr>
            </w:pPr>
          </w:p>
        </w:tc>
        <w:tc>
          <w:tcPr>
            <w:tcW w:w="580" w:type="dxa"/>
            <w:vMerge/>
            <w:vAlign w:val="bottom"/>
          </w:tcPr>
          <w:p w:rsidR="00AC12B4" w:rsidRDefault="00AC12B4">
            <w:pPr>
              <w:rPr>
                <w:sz w:val="3"/>
                <w:szCs w:val="3"/>
              </w:rPr>
            </w:pPr>
          </w:p>
        </w:tc>
        <w:tc>
          <w:tcPr>
            <w:tcW w:w="1840" w:type="dxa"/>
            <w:vMerge/>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162"/>
        </w:trPr>
        <w:tc>
          <w:tcPr>
            <w:tcW w:w="5700" w:type="dxa"/>
            <w:gridSpan w:val="5"/>
            <w:vAlign w:val="bottom"/>
          </w:tcPr>
          <w:p w:rsidR="00AC12B4" w:rsidRDefault="00C27636">
            <w:pPr>
              <w:spacing w:line="162" w:lineRule="exact"/>
              <w:ind w:left="1200"/>
              <w:rPr>
                <w:sz w:val="20"/>
                <w:szCs w:val="20"/>
              </w:rPr>
            </w:pPr>
            <w:r>
              <w:rPr>
                <w:rFonts w:ascii="Calibri" w:eastAsia="Calibri" w:hAnsi="Calibri" w:cs="Calibri"/>
                <w:color w:val="4F81BD"/>
                <w:sz w:val="17"/>
                <w:szCs w:val="17"/>
              </w:rPr>
              <w:t>secondaire ordinaire</w:t>
            </w:r>
          </w:p>
        </w:tc>
        <w:tc>
          <w:tcPr>
            <w:tcW w:w="1840" w:type="dxa"/>
            <w:vMerge w:val="restart"/>
            <w:vAlign w:val="bottom"/>
          </w:tcPr>
          <w:p w:rsidR="00AC12B4" w:rsidRDefault="00C27636">
            <w:pPr>
              <w:ind w:left="100"/>
              <w:rPr>
                <w:sz w:val="20"/>
                <w:szCs w:val="20"/>
              </w:rPr>
            </w:pPr>
            <w:r>
              <w:rPr>
                <w:rFonts w:ascii="Calibri" w:eastAsia="Calibri" w:hAnsi="Calibri" w:cs="Calibri"/>
                <w:color w:val="4F81BD"/>
                <w:sz w:val="18"/>
                <w:szCs w:val="18"/>
              </w:rPr>
              <w:t>plein exercice</w:t>
            </w:r>
          </w:p>
        </w:tc>
        <w:tc>
          <w:tcPr>
            <w:tcW w:w="0" w:type="dxa"/>
            <w:vAlign w:val="bottom"/>
          </w:tcPr>
          <w:p w:rsidR="00AC12B4" w:rsidRDefault="00AC12B4">
            <w:pPr>
              <w:rPr>
                <w:sz w:val="1"/>
                <w:szCs w:val="1"/>
              </w:rPr>
            </w:pPr>
          </w:p>
        </w:tc>
      </w:tr>
      <w:tr w:rsidR="00AC12B4">
        <w:trPr>
          <w:trHeight w:val="103"/>
        </w:trPr>
        <w:tc>
          <w:tcPr>
            <w:tcW w:w="5700" w:type="dxa"/>
            <w:gridSpan w:val="5"/>
            <w:vMerge w:val="restart"/>
            <w:vAlign w:val="bottom"/>
          </w:tcPr>
          <w:p w:rsidR="00AC12B4" w:rsidRDefault="00C27636">
            <w:pPr>
              <w:spacing w:line="373" w:lineRule="exact"/>
              <w:ind w:left="1200"/>
              <w:rPr>
                <w:sz w:val="20"/>
                <w:szCs w:val="20"/>
              </w:rPr>
            </w:pPr>
            <w:r>
              <w:rPr>
                <w:rFonts w:ascii="Calibri" w:eastAsia="Calibri" w:hAnsi="Calibri" w:cs="Calibri"/>
                <w:color w:val="4F81BD"/>
                <w:sz w:val="18"/>
                <w:szCs w:val="18"/>
              </w:rPr>
              <w:t xml:space="preserve">en alternance  </w:t>
            </w:r>
            <w:r>
              <w:rPr>
                <w:rFonts w:ascii="Calibri" w:eastAsia="Calibri" w:hAnsi="Calibri" w:cs="Calibri"/>
                <w:color w:val="000000"/>
                <w:sz w:val="39"/>
                <w:szCs w:val="39"/>
                <w:vertAlign w:val="superscript"/>
              </w:rPr>
              <w:t>-0,3</w:t>
            </w:r>
          </w:p>
        </w:tc>
        <w:tc>
          <w:tcPr>
            <w:tcW w:w="184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72"/>
        </w:trPr>
        <w:tc>
          <w:tcPr>
            <w:tcW w:w="5700" w:type="dxa"/>
            <w:gridSpan w:val="5"/>
            <w:vMerge/>
            <w:vAlign w:val="bottom"/>
          </w:tcPr>
          <w:p w:rsidR="00AC12B4" w:rsidRDefault="00AC12B4">
            <w:pPr>
              <w:rPr>
                <w:sz w:val="23"/>
                <w:szCs w:val="23"/>
              </w:rPr>
            </w:pPr>
          </w:p>
        </w:tc>
        <w:tc>
          <w:tcPr>
            <w:tcW w:w="18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97"/>
        </w:trPr>
        <w:tc>
          <w:tcPr>
            <w:tcW w:w="1720" w:type="dxa"/>
            <w:vAlign w:val="bottom"/>
          </w:tcPr>
          <w:p w:rsidR="00AC12B4" w:rsidRDefault="00C27636">
            <w:pPr>
              <w:spacing w:line="196" w:lineRule="exact"/>
              <w:rPr>
                <w:sz w:val="20"/>
                <w:szCs w:val="20"/>
              </w:rPr>
            </w:pPr>
            <w:r>
              <w:rPr>
                <w:rFonts w:ascii="Calibri" w:eastAsia="Calibri" w:hAnsi="Calibri" w:cs="Calibri"/>
                <w:color w:val="4F81BD"/>
                <w:sz w:val="18"/>
                <w:szCs w:val="18"/>
              </w:rPr>
              <w:t>Secondaire spécialisé</w:t>
            </w:r>
          </w:p>
        </w:tc>
        <w:tc>
          <w:tcPr>
            <w:tcW w:w="640" w:type="dxa"/>
            <w:vAlign w:val="bottom"/>
          </w:tcPr>
          <w:p w:rsidR="00AC12B4" w:rsidRDefault="00C27636">
            <w:pPr>
              <w:spacing w:line="198" w:lineRule="exact"/>
              <w:jc w:val="right"/>
              <w:rPr>
                <w:sz w:val="20"/>
                <w:szCs w:val="20"/>
              </w:rPr>
            </w:pPr>
            <w:r>
              <w:rPr>
                <w:rFonts w:ascii="Calibri" w:eastAsia="Calibri" w:hAnsi="Calibri" w:cs="Calibri"/>
                <w:sz w:val="20"/>
                <w:szCs w:val="20"/>
              </w:rPr>
              <w:t>-0,36</w:t>
            </w:r>
          </w:p>
        </w:tc>
        <w:tc>
          <w:tcPr>
            <w:tcW w:w="2280" w:type="dxa"/>
            <w:vAlign w:val="bottom"/>
          </w:tcPr>
          <w:p w:rsidR="00AC12B4" w:rsidRDefault="00AC12B4">
            <w:pPr>
              <w:rPr>
                <w:sz w:val="17"/>
                <w:szCs w:val="17"/>
              </w:rPr>
            </w:pPr>
          </w:p>
        </w:tc>
        <w:tc>
          <w:tcPr>
            <w:tcW w:w="480" w:type="dxa"/>
            <w:vAlign w:val="bottom"/>
          </w:tcPr>
          <w:p w:rsidR="00AC12B4" w:rsidRDefault="00AC12B4">
            <w:pPr>
              <w:rPr>
                <w:sz w:val="17"/>
                <w:szCs w:val="17"/>
              </w:rPr>
            </w:pPr>
          </w:p>
        </w:tc>
        <w:tc>
          <w:tcPr>
            <w:tcW w:w="580" w:type="dxa"/>
            <w:vAlign w:val="bottom"/>
          </w:tcPr>
          <w:p w:rsidR="00AC12B4" w:rsidRDefault="00AC12B4">
            <w:pPr>
              <w:rPr>
                <w:sz w:val="17"/>
                <w:szCs w:val="17"/>
              </w:rPr>
            </w:pPr>
          </w:p>
        </w:tc>
        <w:tc>
          <w:tcPr>
            <w:tcW w:w="1840" w:type="dxa"/>
            <w:vAlign w:val="bottom"/>
          </w:tcPr>
          <w:p w:rsidR="00AC12B4" w:rsidRDefault="00AC12B4">
            <w:pPr>
              <w:rPr>
                <w:sz w:val="17"/>
                <w:szCs w:val="17"/>
              </w:rPr>
            </w:pPr>
          </w:p>
        </w:tc>
        <w:tc>
          <w:tcPr>
            <w:tcW w:w="0" w:type="dxa"/>
            <w:vAlign w:val="bottom"/>
          </w:tcPr>
          <w:p w:rsidR="00AC12B4" w:rsidRDefault="00AC12B4">
            <w:pPr>
              <w:rPr>
                <w:sz w:val="1"/>
                <w:szCs w:val="1"/>
              </w:rPr>
            </w:pPr>
          </w:p>
        </w:tc>
      </w:tr>
    </w:tbl>
    <w:p w:rsidR="00AC12B4" w:rsidRDefault="00AC12B4">
      <w:pPr>
        <w:spacing w:line="193" w:lineRule="exact"/>
        <w:rPr>
          <w:sz w:val="20"/>
          <w:szCs w:val="20"/>
        </w:rPr>
      </w:pPr>
    </w:p>
    <w:tbl>
      <w:tblPr>
        <w:tblW w:w="0" w:type="auto"/>
        <w:tblInd w:w="2703" w:type="dxa"/>
        <w:tblLayout w:type="fixed"/>
        <w:tblCellMar>
          <w:left w:w="0" w:type="dxa"/>
          <w:right w:w="0" w:type="dxa"/>
        </w:tblCellMar>
        <w:tblLook w:val="04A0" w:firstRow="1" w:lastRow="0" w:firstColumn="1" w:lastColumn="0" w:noHBand="0" w:noVBand="1"/>
      </w:tblPr>
      <w:tblGrid>
        <w:gridCol w:w="320"/>
        <w:gridCol w:w="1680"/>
        <w:gridCol w:w="1080"/>
        <w:gridCol w:w="1380"/>
        <w:gridCol w:w="1480"/>
        <w:gridCol w:w="500"/>
      </w:tblGrid>
      <w:tr w:rsidR="00AC12B4">
        <w:trPr>
          <w:trHeight w:val="244"/>
        </w:trPr>
        <w:tc>
          <w:tcPr>
            <w:tcW w:w="320" w:type="dxa"/>
            <w:vAlign w:val="bottom"/>
          </w:tcPr>
          <w:p w:rsidR="00AC12B4" w:rsidRDefault="00C27636">
            <w:pPr>
              <w:jc w:val="right"/>
              <w:rPr>
                <w:sz w:val="20"/>
                <w:szCs w:val="20"/>
              </w:rPr>
            </w:pPr>
            <w:r>
              <w:rPr>
                <w:rFonts w:ascii="Calibri" w:eastAsia="Calibri" w:hAnsi="Calibri" w:cs="Calibri"/>
                <w:w w:val="95"/>
                <w:sz w:val="20"/>
                <w:szCs w:val="20"/>
              </w:rPr>
              <w:t>-0,5</w:t>
            </w:r>
          </w:p>
        </w:tc>
        <w:tc>
          <w:tcPr>
            <w:tcW w:w="1680" w:type="dxa"/>
            <w:vAlign w:val="bottom"/>
          </w:tcPr>
          <w:p w:rsidR="00AC12B4" w:rsidRDefault="00C27636">
            <w:pPr>
              <w:ind w:right="370"/>
              <w:jc w:val="right"/>
              <w:rPr>
                <w:sz w:val="20"/>
                <w:szCs w:val="20"/>
              </w:rPr>
            </w:pPr>
            <w:r>
              <w:rPr>
                <w:rFonts w:ascii="Calibri" w:eastAsia="Calibri" w:hAnsi="Calibri" w:cs="Calibri"/>
                <w:sz w:val="20"/>
                <w:szCs w:val="20"/>
              </w:rPr>
              <w:t>-0,3</w:t>
            </w:r>
          </w:p>
        </w:tc>
        <w:tc>
          <w:tcPr>
            <w:tcW w:w="1080" w:type="dxa"/>
            <w:vAlign w:val="bottom"/>
          </w:tcPr>
          <w:p w:rsidR="00AC12B4" w:rsidRDefault="00C27636">
            <w:pPr>
              <w:ind w:right="200"/>
              <w:jc w:val="right"/>
              <w:rPr>
                <w:sz w:val="20"/>
                <w:szCs w:val="20"/>
              </w:rPr>
            </w:pPr>
            <w:r>
              <w:rPr>
                <w:rFonts w:ascii="Calibri" w:eastAsia="Calibri" w:hAnsi="Calibri" w:cs="Calibri"/>
                <w:sz w:val="20"/>
                <w:szCs w:val="20"/>
              </w:rPr>
              <w:t>-0,1</w:t>
            </w:r>
          </w:p>
        </w:tc>
        <w:tc>
          <w:tcPr>
            <w:tcW w:w="1380" w:type="dxa"/>
            <w:vAlign w:val="bottom"/>
          </w:tcPr>
          <w:p w:rsidR="00AC12B4" w:rsidRDefault="00C27636">
            <w:pPr>
              <w:ind w:right="390"/>
              <w:jc w:val="right"/>
              <w:rPr>
                <w:sz w:val="20"/>
                <w:szCs w:val="20"/>
              </w:rPr>
            </w:pPr>
            <w:r>
              <w:rPr>
                <w:rFonts w:ascii="Calibri" w:eastAsia="Calibri" w:hAnsi="Calibri" w:cs="Calibri"/>
                <w:sz w:val="20"/>
                <w:szCs w:val="20"/>
              </w:rPr>
              <w:t>0,1</w:t>
            </w:r>
          </w:p>
        </w:tc>
        <w:tc>
          <w:tcPr>
            <w:tcW w:w="1480" w:type="dxa"/>
            <w:vAlign w:val="bottom"/>
          </w:tcPr>
          <w:p w:rsidR="00AC12B4" w:rsidRDefault="00C27636">
            <w:pPr>
              <w:ind w:right="640"/>
              <w:jc w:val="right"/>
              <w:rPr>
                <w:sz w:val="20"/>
                <w:szCs w:val="20"/>
              </w:rPr>
            </w:pPr>
            <w:r>
              <w:rPr>
                <w:rFonts w:ascii="Calibri" w:eastAsia="Calibri" w:hAnsi="Calibri" w:cs="Calibri"/>
                <w:sz w:val="20"/>
                <w:szCs w:val="20"/>
              </w:rPr>
              <w:t>0,3</w:t>
            </w:r>
          </w:p>
        </w:tc>
        <w:tc>
          <w:tcPr>
            <w:tcW w:w="500" w:type="dxa"/>
            <w:vAlign w:val="bottom"/>
          </w:tcPr>
          <w:p w:rsidR="00AC12B4" w:rsidRDefault="00C27636">
            <w:pPr>
              <w:jc w:val="right"/>
              <w:rPr>
                <w:sz w:val="20"/>
                <w:szCs w:val="20"/>
              </w:rPr>
            </w:pPr>
            <w:r>
              <w:rPr>
                <w:rFonts w:ascii="Calibri" w:eastAsia="Calibri" w:hAnsi="Calibri" w:cs="Calibri"/>
                <w:sz w:val="20"/>
                <w:szCs w:val="20"/>
              </w:rPr>
              <w:t>0,5</w:t>
            </w:r>
          </w:p>
        </w:tc>
      </w:tr>
      <w:tr w:rsidR="00AC12B4">
        <w:trPr>
          <w:trHeight w:val="475"/>
        </w:trPr>
        <w:tc>
          <w:tcPr>
            <w:tcW w:w="320" w:type="dxa"/>
            <w:vAlign w:val="bottom"/>
          </w:tcPr>
          <w:p w:rsidR="00AC12B4" w:rsidRDefault="00AC12B4">
            <w:pPr>
              <w:rPr>
                <w:sz w:val="24"/>
                <w:szCs w:val="24"/>
              </w:rPr>
            </w:pPr>
          </w:p>
        </w:tc>
        <w:tc>
          <w:tcPr>
            <w:tcW w:w="2760" w:type="dxa"/>
            <w:gridSpan w:val="2"/>
            <w:vAlign w:val="bottom"/>
          </w:tcPr>
          <w:p w:rsidR="00AC12B4" w:rsidRDefault="00C27636">
            <w:pPr>
              <w:ind w:right="300"/>
              <w:jc w:val="right"/>
              <w:rPr>
                <w:sz w:val="20"/>
                <w:szCs w:val="20"/>
              </w:rPr>
            </w:pPr>
            <w:r>
              <w:rPr>
                <w:rFonts w:ascii="Calibri" w:eastAsia="Calibri" w:hAnsi="Calibri" w:cs="Calibri"/>
                <w:color w:val="C0504D"/>
                <w:sz w:val="16"/>
                <w:szCs w:val="16"/>
              </w:rPr>
              <w:t>Niveau socioéconomique plus faible</w:t>
            </w:r>
          </w:p>
        </w:tc>
        <w:tc>
          <w:tcPr>
            <w:tcW w:w="2860" w:type="dxa"/>
            <w:gridSpan w:val="2"/>
            <w:vAlign w:val="bottom"/>
          </w:tcPr>
          <w:p w:rsidR="00AC12B4" w:rsidRDefault="00C27636">
            <w:pPr>
              <w:ind w:right="140"/>
              <w:jc w:val="right"/>
              <w:rPr>
                <w:sz w:val="20"/>
                <w:szCs w:val="20"/>
              </w:rPr>
            </w:pPr>
            <w:r>
              <w:rPr>
                <w:rFonts w:ascii="Calibri" w:eastAsia="Calibri" w:hAnsi="Calibri" w:cs="Calibri"/>
                <w:color w:val="9BBB59"/>
                <w:sz w:val="16"/>
                <w:szCs w:val="16"/>
              </w:rPr>
              <w:t>Niveau socioéconomique plus élevé</w:t>
            </w:r>
          </w:p>
        </w:tc>
        <w:tc>
          <w:tcPr>
            <w:tcW w:w="50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w:drawing>
          <wp:anchor distT="0" distB="0" distL="114300" distR="114300" simplePos="0" relativeHeight="251633152" behindDoc="1" locked="0" layoutInCell="0" allowOverlap="1">
            <wp:simplePos x="0" y="0"/>
            <wp:positionH relativeFrom="column">
              <wp:posOffset>732790</wp:posOffset>
            </wp:positionH>
            <wp:positionV relativeFrom="paragraph">
              <wp:posOffset>104775</wp:posOffset>
            </wp:positionV>
            <wp:extent cx="4835525" cy="297180"/>
            <wp:effectExtent l="0" t="0" r="0" b="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96">
                      <a:extLst/>
                    </a:blip>
                    <a:srcRect/>
                    <a:stretch>
                      <a:fillRect/>
                    </a:stretch>
                  </pic:blipFill>
                  <pic:spPr bwMode="auto">
                    <a:xfrm>
                      <a:off x="0" y="0"/>
                      <a:ext cx="4835525" cy="297180"/>
                    </a:xfrm>
                    <a:prstGeom prst="rect">
                      <a:avLst/>
                    </a:prstGeom>
                    <a:noFill/>
                  </pic:spPr>
                </pic:pic>
              </a:graphicData>
            </a:graphic>
          </wp:anchor>
        </w:drawing>
      </w:r>
      <w:r>
        <w:rPr>
          <w:noProof/>
          <w:sz w:val="20"/>
          <w:szCs w:val="20"/>
        </w:rPr>
        <w:drawing>
          <wp:anchor distT="0" distB="0" distL="114300" distR="114300" simplePos="0" relativeHeight="251634176" behindDoc="1" locked="0" layoutInCell="0" allowOverlap="1">
            <wp:simplePos x="0" y="0"/>
            <wp:positionH relativeFrom="column">
              <wp:posOffset>1808480</wp:posOffset>
            </wp:positionH>
            <wp:positionV relativeFrom="paragraph">
              <wp:posOffset>-248285</wp:posOffset>
            </wp:positionV>
            <wp:extent cx="3914775" cy="239395"/>
            <wp:effectExtent l="0" t="0" r="0" b="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97">
                      <a:extLst/>
                    </a:blip>
                    <a:srcRect/>
                    <a:stretch>
                      <a:fillRect/>
                    </a:stretch>
                  </pic:blipFill>
                  <pic:spPr bwMode="auto">
                    <a:xfrm>
                      <a:off x="0" y="0"/>
                      <a:ext cx="3914775" cy="239395"/>
                    </a:xfrm>
                    <a:prstGeom prst="rect">
                      <a:avLst/>
                    </a:prstGeom>
                    <a:noFill/>
                  </pic:spPr>
                </pic:pic>
              </a:graphicData>
            </a:graphic>
          </wp:anchor>
        </w:drawing>
      </w:r>
    </w:p>
    <w:p w:rsidR="00AC12B4" w:rsidRDefault="00AC12B4">
      <w:pPr>
        <w:spacing w:line="141" w:lineRule="exact"/>
        <w:rPr>
          <w:sz w:val="20"/>
          <w:szCs w:val="20"/>
        </w:rPr>
      </w:pPr>
    </w:p>
    <w:p w:rsidR="00AC12B4" w:rsidRPr="00C27636" w:rsidRDefault="00C27636">
      <w:pPr>
        <w:ind w:left="1163"/>
        <w:rPr>
          <w:sz w:val="20"/>
          <w:szCs w:val="20"/>
          <w:lang w:val="fr-BE"/>
        </w:rPr>
      </w:pPr>
      <w:r w:rsidRPr="00C27636">
        <w:rPr>
          <w:rFonts w:ascii="Calibri" w:eastAsia="Calibri" w:hAnsi="Calibri" w:cs="Calibri"/>
          <w:b/>
          <w:bCs/>
          <w:color w:val="4F81BD"/>
          <w:sz w:val="18"/>
          <w:szCs w:val="18"/>
          <w:lang w:val="fr-BE"/>
        </w:rPr>
        <w:t>Figure 1. FWB, les indicateurs de l'enseignements 2014 (indicateur n°9)</w:t>
      </w:r>
    </w:p>
    <w:p w:rsidR="00AC12B4" w:rsidRPr="00C27636" w:rsidRDefault="00AC12B4">
      <w:pPr>
        <w:rPr>
          <w:lang w:val="fr-BE"/>
        </w:rPr>
        <w:sectPr w:rsidR="00AC12B4" w:rsidRPr="00C27636">
          <w:pgSz w:w="12080" w:h="17179"/>
          <w:pgMar w:top="1440" w:right="1440" w:bottom="659" w:left="497" w:header="0" w:footer="0" w:gutter="0"/>
          <w:cols w:space="720" w:equalWidth="0">
            <w:col w:w="1014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90"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62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ment</w:t>
            </w:r>
          </w:p>
        </w:tc>
      </w:tr>
    </w:tbl>
    <w:p w:rsidR="00AC12B4" w:rsidRDefault="00C27636">
      <w:pPr>
        <w:spacing w:line="20" w:lineRule="exact"/>
        <w:rPr>
          <w:sz w:val="20"/>
          <w:szCs w:val="20"/>
        </w:rPr>
      </w:pPr>
      <w:r>
        <w:rPr>
          <w:sz w:val="20"/>
          <w:szCs w:val="20"/>
        </w:rPr>
        <w:br w:type="column"/>
      </w:r>
    </w:p>
    <w:p w:rsidR="00AC12B4" w:rsidRDefault="00AC12B4">
      <w:pPr>
        <w:spacing w:line="274" w:lineRule="exact"/>
        <w:rPr>
          <w:sz w:val="20"/>
          <w:szCs w:val="20"/>
        </w:rPr>
      </w:pPr>
    </w:p>
    <w:p w:rsidR="00AC12B4" w:rsidRDefault="00C27636">
      <w:pPr>
        <w:spacing w:line="210" w:lineRule="auto"/>
        <w:jc w:val="both"/>
        <w:rPr>
          <w:sz w:val="20"/>
          <w:szCs w:val="20"/>
        </w:rPr>
      </w:pPr>
      <w:r>
        <w:rPr>
          <w:rFonts w:ascii="Calibri" w:eastAsia="Calibri" w:hAnsi="Calibri" w:cs="Calibri"/>
        </w:rPr>
        <w:t>secondaire (3,8 % en 2004-2005 à 4,5 % en 2012-2013)</w:t>
      </w:r>
      <w:r>
        <w:rPr>
          <w:rFonts w:ascii="Calibri" w:eastAsia="Calibri" w:hAnsi="Calibri" w:cs="Calibri"/>
          <w:sz w:val="27"/>
          <w:szCs w:val="27"/>
          <w:vertAlign w:val="superscript"/>
        </w:rPr>
        <w:t>3</w:t>
      </w:r>
      <w:r>
        <w:rPr>
          <w:rFonts w:ascii="Calibri" w:eastAsia="Calibri" w:hAnsi="Calibri" w:cs="Calibri"/>
        </w:rPr>
        <w:t>.</w:t>
      </w:r>
    </w:p>
    <w:p w:rsidR="00AC12B4" w:rsidRDefault="00AC12B4">
      <w:pPr>
        <w:spacing w:line="134" w:lineRule="exact"/>
        <w:rPr>
          <w:sz w:val="20"/>
          <w:szCs w:val="20"/>
        </w:rPr>
      </w:pPr>
    </w:p>
    <w:p w:rsidR="00AC12B4" w:rsidRPr="00C27636" w:rsidRDefault="00C27636">
      <w:pPr>
        <w:spacing w:line="229" w:lineRule="auto"/>
        <w:jc w:val="both"/>
        <w:rPr>
          <w:sz w:val="20"/>
          <w:szCs w:val="20"/>
          <w:lang w:val="fr-BE"/>
        </w:rPr>
      </w:pPr>
      <w:r w:rsidRPr="00C27636">
        <w:rPr>
          <w:rFonts w:ascii="Calibri" w:eastAsia="Calibri" w:hAnsi="Calibri" w:cs="Calibri"/>
          <w:lang w:val="fr-BE"/>
        </w:rPr>
        <w:t>En Communauté germanophone, 2,05% des enfants se retrouvent dans l’enseignement spécialisé, tout âge confondu, en 2015-2016. Ce pourcentage est resté assez stable entre 2010 et 2015 (entre 2,02% et 2,26%)</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135" w:lineRule="exact"/>
        <w:rPr>
          <w:sz w:val="20"/>
          <w:szCs w:val="20"/>
          <w:lang w:val="fr-BE"/>
        </w:rPr>
      </w:pPr>
    </w:p>
    <w:p w:rsidR="00AC12B4" w:rsidRDefault="00C27636">
      <w:pPr>
        <w:spacing w:line="231" w:lineRule="auto"/>
        <w:jc w:val="both"/>
        <w:rPr>
          <w:sz w:val="20"/>
          <w:szCs w:val="20"/>
        </w:rPr>
      </w:pPr>
      <w:r w:rsidRPr="00C27636">
        <w:rPr>
          <w:rFonts w:ascii="Calibri" w:eastAsia="Calibri" w:hAnsi="Calibri" w:cs="Calibri"/>
          <w:lang w:val="fr-BE"/>
        </w:rPr>
        <w:t xml:space="preserve">Notons que dans la Communauté flamande et la </w:t>
      </w:r>
      <w:r w:rsidRPr="00C27636">
        <w:rPr>
          <w:rFonts w:ascii="Calibri" w:eastAsia="Calibri" w:hAnsi="Calibri" w:cs="Calibri"/>
          <w:lang w:val="fr-BE"/>
        </w:rPr>
        <w:t xml:space="preserve">FWB, le taux de fréquentation de l’enseignement spécialisé est le plus élevé en primaire, des élèves passant de l’enseignement primaire spécialisé à l’enseignement secondaire ordinaire. </w:t>
      </w:r>
      <w:r>
        <w:rPr>
          <w:rFonts w:ascii="Calibri" w:eastAsia="Calibri" w:hAnsi="Calibri" w:cs="Calibri"/>
        </w:rPr>
        <w:t>Ceci n’est pas vrai pour la Communauté germanophone</w:t>
      </w:r>
      <w:r>
        <w:rPr>
          <w:rFonts w:ascii="Calibri" w:eastAsia="Calibri" w:hAnsi="Calibri" w:cs="Calibri"/>
          <w:sz w:val="27"/>
          <w:szCs w:val="27"/>
          <w:vertAlign w:val="superscript"/>
        </w:rPr>
        <w:t>5</w:t>
      </w:r>
      <w:r>
        <w:rPr>
          <w:rFonts w:ascii="Calibri" w:eastAsia="Calibri" w:hAnsi="Calibri" w:cs="Calibri"/>
        </w:rPr>
        <w:t>.</w:t>
      </w:r>
    </w:p>
    <w:p w:rsidR="00AC12B4" w:rsidRDefault="00AC12B4">
      <w:pPr>
        <w:spacing w:line="99" w:lineRule="exact"/>
        <w:rPr>
          <w:sz w:val="20"/>
          <w:szCs w:val="20"/>
        </w:rPr>
      </w:pPr>
    </w:p>
    <w:p w:rsidR="00AC12B4" w:rsidRDefault="00C27636">
      <w:pPr>
        <w:numPr>
          <w:ilvl w:val="0"/>
          <w:numId w:val="191"/>
        </w:numPr>
        <w:tabs>
          <w:tab w:val="left" w:pos="720"/>
        </w:tabs>
        <w:ind w:left="720" w:hanging="360"/>
        <w:rPr>
          <w:rFonts w:ascii="Wingdings" w:eastAsia="Wingdings" w:hAnsi="Wingdings" w:cs="Wingdings"/>
          <w:color w:val="4BACC6"/>
        </w:rPr>
      </w:pPr>
      <w:r>
        <w:rPr>
          <w:rFonts w:ascii="Cambria" w:eastAsia="Cambria" w:hAnsi="Cambria" w:cs="Cambria"/>
          <w:i/>
          <w:iCs/>
          <w:color w:val="4BACC6"/>
        </w:rPr>
        <w:t>Iniquité</w:t>
      </w:r>
    </w:p>
    <w:p w:rsidR="00AC12B4" w:rsidRDefault="00AC12B4">
      <w:pPr>
        <w:spacing w:line="202" w:lineRule="exact"/>
        <w:rPr>
          <w:sz w:val="20"/>
          <w:szCs w:val="20"/>
        </w:rPr>
      </w:pPr>
    </w:p>
    <w:p w:rsidR="00AC12B4" w:rsidRPr="00C27636" w:rsidRDefault="00C27636">
      <w:pPr>
        <w:spacing w:line="225" w:lineRule="auto"/>
        <w:jc w:val="both"/>
        <w:rPr>
          <w:sz w:val="20"/>
          <w:szCs w:val="20"/>
          <w:lang w:val="fr-BE"/>
        </w:rPr>
      </w:pPr>
      <w:r w:rsidRPr="00C27636">
        <w:rPr>
          <w:rFonts w:ascii="Calibri" w:eastAsia="Calibri" w:hAnsi="Calibri" w:cs="Calibri"/>
          <w:lang w:val="fr-BE"/>
        </w:rPr>
        <w:t xml:space="preserve">En </w:t>
      </w:r>
      <w:r w:rsidRPr="00C27636">
        <w:rPr>
          <w:rFonts w:ascii="Calibri" w:eastAsia="Calibri" w:hAnsi="Calibri" w:cs="Calibri"/>
          <w:lang w:val="fr-BE"/>
        </w:rPr>
        <w:t>FWB, l’analyse de l’indice socio-économique moyen du quartier de résidence des élèves met en avant des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35200" behindDoc="1" locked="0" layoutInCell="0" allowOverlap="1">
                <wp:simplePos x="0" y="0"/>
                <wp:positionH relativeFrom="column">
                  <wp:posOffset>0</wp:posOffset>
                </wp:positionH>
                <wp:positionV relativeFrom="paragraph">
                  <wp:posOffset>191135</wp:posOffset>
                </wp:positionV>
                <wp:extent cx="1828800" cy="0"/>
                <wp:effectExtent l="0" t="0" r="0" b="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144pt,15.05pt" o:allowincell="f" strokecolor="#000000" strokeweight="0.72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74" w:lineRule="exact"/>
        <w:rPr>
          <w:sz w:val="20"/>
          <w:szCs w:val="20"/>
          <w:lang w:val="fr-BE"/>
        </w:rPr>
      </w:pPr>
    </w:p>
    <w:p w:rsidR="00AC12B4" w:rsidRPr="00C27636" w:rsidRDefault="00C27636">
      <w:pPr>
        <w:spacing w:line="218" w:lineRule="auto"/>
        <w:ind w:right="737"/>
        <w:rPr>
          <w:sz w:val="20"/>
          <w:szCs w:val="20"/>
          <w:lang w:val="fr-BE"/>
        </w:rPr>
      </w:pPr>
      <w:r w:rsidRPr="00C27636">
        <w:rPr>
          <w:rFonts w:ascii="Calibri" w:eastAsia="Calibri" w:hAnsi="Calibri" w:cs="Calibri"/>
          <w:lang w:val="fr-BE"/>
        </w:rPr>
        <w:t>différences notables entre élèves de l’enseignement ordinaire et de</w:t>
      </w:r>
    </w:p>
    <w:p w:rsidR="00AC12B4" w:rsidRPr="00C27636" w:rsidRDefault="00AC12B4">
      <w:pPr>
        <w:spacing w:line="50" w:lineRule="exact"/>
        <w:rPr>
          <w:sz w:val="20"/>
          <w:szCs w:val="20"/>
          <w:lang w:val="fr-BE"/>
        </w:rPr>
      </w:pPr>
    </w:p>
    <w:p w:rsidR="00AC12B4" w:rsidRPr="00C27636" w:rsidRDefault="00C27636">
      <w:pPr>
        <w:spacing w:line="217" w:lineRule="auto"/>
        <w:ind w:right="737"/>
        <w:rPr>
          <w:sz w:val="20"/>
          <w:szCs w:val="20"/>
          <w:lang w:val="fr-BE"/>
        </w:rPr>
      </w:pPr>
      <w:r w:rsidRPr="00C27636">
        <w:rPr>
          <w:rFonts w:ascii="Calibri" w:eastAsia="Calibri" w:hAnsi="Calibri" w:cs="Calibri"/>
          <w:lang w:val="fr-BE"/>
        </w:rPr>
        <w:t>l’enseignement spécialisé. Ceux-ci provenant en moyenne de quartiers</w:t>
      </w:r>
    </w:p>
    <w:p w:rsidR="00AC12B4" w:rsidRPr="00C27636" w:rsidRDefault="00AC12B4">
      <w:pPr>
        <w:spacing w:line="10" w:lineRule="exact"/>
        <w:rPr>
          <w:sz w:val="20"/>
          <w:szCs w:val="20"/>
          <w:lang w:val="fr-BE"/>
        </w:rPr>
      </w:pPr>
    </w:p>
    <w:p w:rsidR="00AC12B4" w:rsidRPr="00C27636" w:rsidRDefault="00C27636">
      <w:pPr>
        <w:numPr>
          <w:ilvl w:val="0"/>
          <w:numId w:val="192"/>
        </w:numPr>
        <w:tabs>
          <w:tab w:val="left" w:pos="163"/>
        </w:tabs>
        <w:spacing w:line="211" w:lineRule="auto"/>
        <w:ind w:right="737" w:firstLine="5"/>
        <w:rPr>
          <w:rFonts w:ascii="Calibri" w:eastAsia="Calibri" w:hAnsi="Calibri" w:cs="Calibri"/>
          <w:lang w:val="fr-BE"/>
        </w:rPr>
      </w:pPr>
      <w:r w:rsidRPr="00C27636">
        <w:rPr>
          <w:rFonts w:ascii="Calibri" w:eastAsia="Calibri" w:hAnsi="Calibri" w:cs="Calibri"/>
          <w:lang w:val="fr-BE"/>
        </w:rPr>
        <w:t>moins fav</w:t>
      </w:r>
      <w:r w:rsidRPr="00C27636">
        <w:rPr>
          <w:rFonts w:ascii="Calibri" w:eastAsia="Calibri" w:hAnsi="Calibri" w:cs="Calibri"/>
          <w:lang w:val="fr-BE"/>
        </w:rPr>
        <w:t xml:space="preserve">orisés » (Cf. </w:t>
      </w:r>
      <w:hyperlink w:anchor="page114">
        <w:r w:rsidRPr="00C27636">
          <w:rPr>
            <w:rFonts w:ascii="Calibri" w:eastAsia="Calibri" w:hAnsi="Calibri" w:cs="Calibri"/>
            <w:lang w:val="fr-BE"/>
          </w:rPr>
          <w:t>Figure )</w:t>
        </w:r>
      </w:hyperlink>
      <w:r w:rsidRPr="00C27636">
        <w:rPr>
          <w:rFonts w:ascii="Calibri" w:eastAsia="Calibri" w:hAnsi="Calibri" w:cs="Calibri"/>
          <w:sz w:val="27"/>
          <w:szCs w:val="27"/>
          <w:vertAlign w:val="superscript"/>
          <w:lang w:val="fr-BE"/>
        </w:rPr>
        <w:t>6</w:t>
      </w:r>
      <w:r w:rsidRPr="00C27636">
        <w:rPr>
          <w:rFonts w:ascii="Calibri" w:eastAsia="Calibri" w:hAnsi="Calibri" w:cs="Calibri"/>
          <w:lang w:val="fr-BE"/>
        </w:rPr>
        <w:t>. Cette tendance est assez stable.</w:t>
      </w:r>
    </w:p>
    <w:p w:rsidR="00AC12B4" w:rsidRPr="00C27636" w:rsidRDefault="00AC12B4">
      <w:pPr>
        <w:spacing w:line="123" w:lineRule="exact"/>
        <w:rPr>
          <w:sz w:val="20"/>
          <w:szCs w:val="20"/>
          <w:lang w:val="fr-BE"/>
        </w:rPr>
      </w:pPr>
    </w:p>
    <w:p w:rsidR="00AC12B4" w:rsidRPr="00C27636" w:rsidRDefault="00C27636">
      <w:pPr>
        <w:ind w:right="737"/>
        <w:jc w:val="center"/>
        <w:rPr>
          <w:sz w:val="20"/>
          <w:szCs w:val="20"/>
          <w:lang w:val="fr-BE"/>
        </w:rPr>
      </w:pPr>
      <w:r w:rsidRPr="00C27636">
        <w:rPr>
          <w:rFonts w:ascii="Calibri" w:eastAsia="Calibri" w:hAnsi="Calibri" w:cs="Calibri"/>
          <w:lang w:val="fr-BE"/>
        </w:rPr>
        <w:t>Notons également que les garçons sont</w:t>
      </w:r>
    </w:p>
    <w:p w:rsidR="00AC12B4" w:rsidRPr="00C27636" w:rsidRDefault="00AC12B4">
      <w:pPr>
        <w:spacing w:line="49" w:lineRule="exact"/>
        <w:rPr>
          <w:sz w:val="20"/>
          <w:szCs w:val="20"/>
          <w:lang w:val="fr-BE"/>
        </w:rPr>
      </w:pPr>
    </w:p>
    <w:p w:rsidR="00AC12B4" w:rsidRPr="00C27636" w:rsidRDefault="00C27636">
      <w:pPr>
        <w:spacing w:line="227" w:lineRule="auto"/>
        <w:ind w:right="737"/>
        <w:jc w:val="both"/>
        <w:rPr>
          <w:sz w:val="20"/>
          <w:szCs w:val="20"/>
          <w:lang w:val="fr-BE"/>
        </w:rPr>
      </w:pPr>
      <w:r w:rsidRPr="00C27636">
        <w:rPr>
          <w:rFonts w:ascii="Calibri" w:eastAsia="Calibri" w:hAnsi="Calibri" w:cs="Calibri"/>
          <w:lang w:val="fr-BE"/>
        </w:rPr>
        <w:t>beaucoup plus présents dans l’enseignement spécialisé de la FWB que les filles (p. ex à 12 ans près de 8% des garçons fréquenten</w:t>
      </w:r>
      <w:r w:rsidRPr="00C27636">
        <w:rPr>
          <w:rFonts w:ascii="Calibri" w:eastAsia="Calibri" w:hAnsi="Calibri" w:cs="Calibri"/>
          <w:lang w:val="fr-BE"/>
        </w:rPr>
        <w:t>t l’enseignement spécialisé contre moins de 5% des filles)</w:t>
      </w:r>
      <w:r w:rsidRPr="00C27636">
        <w:rPr>
          <w:rFonts w:ascii="Calibri" w:eastAsia="Calibri" w:hAnsi="Calibri" w:cs="Calibri"/>
          <w:sz w:val="27"/>
          <w:szCs w:val="27"/>
          <w:vertAlign w:val="superscript"/>
          <w:lang w:val="fr-BE"/>
        </w:rPr>
        <w:t>7</w:t>
      </w:r>
      <w:r w:rsidRPr="00C27636">
        <w:rPr>
          <w:rFonts w:ascii="Calibri" w:eastAsia="Calibri" w:hAnsi="Calibri" w:cs="Calibri"/>
          <w:lang w:val="fr-BE"/>
        </w:rPr>
        <w:t>.</w:t>
      </w:r>
    </w:p>
    <w:p w:rsidR="00AC12B4" w:rsidRPr="00C27636" w:rsidRDefault="00AC12B4">
      <w:pPr>
        <w:spacing w:line="136" w:lineRule="exact"/>
        <w:rPr>
          <w:sz w:val="20"/>
          <w:szCs w:val="20"/>
          <w:lang w:val="fr-BE"/>
        </w:rPr>
      </w:pPr>
    </w:p>
    <w:p w:rsidR="00AC12B4" w:rsidRPr="00C27636" w:rsidRDefault="00C27636">
      <w:pPr>
        <w:spacing w:line="223" w:lineRule="auto"/>
        <w:ind w:right="737"/>
        <w:jc w:val="both"/>
        <w:rPr>
          <w:sz w:val="20"/>
          <w:szCs w:val="20"/>
          <w:lang w:val="fr-BE"/>
        </w:rPr>
      </w:pPr>
      <w:r w:rsidRPr="00C27636">
        <w:rPr>
          <w:rFonts w:ascii="Calibri" w:eastAsia="Calibri" w:hAnsi="Calibri" w:cs="Calibri"/>
          <w:lang w:val="fr-BE"/>
        </w:rPr>
        <w:t>Le constat est le même en Communauté flamande : près de deux fois plus de garçons sont orientés vers l’enseignement spécialisé que de filles</w:t>
      </w:r>
      <w:r w:rsidRPr="00C27636">
        <w:rPr>
          <w:rFonts w:ascii="Calibri" w:eastAsia="Calibri" w:hAnsi="Calibri" w:cs="Calibri"/>
          <w:sz w:val="27"/>
          <w:szCs w:val="27"/>
          <w:vertAlign w:val="superscript"/>
          <w:lang w:val="fr-BE"/>
        </w:rPr>
        <w:t>8</w:t>
      </w:r>
      <w:r w:rsidRPr="00C27636">
        <w:rPr>
          <w:rFonts w:ascii="Calibri" w:eastAsia="Calibri" w:hAnsi="Calibri" w:cs="Calibri"/>
          <w:lang w:val="fr-BE"/>
        </w:rPr>
        <w:t>.</w:t>
      </w:r>
    </w:p>
    <w:p w:rsidR="00AC12B4" w:rsidRPr="00C27636" w:rsidRDefault="00AC12B4">
      <w:pPr>
        <w:spacing w:line="138" w:lineRule="exact"/>
        <w:rPr>
          <w:sz w:val="20"/>
          <w:szCs w:val="20"/>
          <w:lang w:val="fr-BE"/>
        </w:rPr>
      </w:pPr>
    </w:p>
    <w:p w:rsidR="00AC12B4" w:rsidRDefault="00C27636">
      <w:pPr>
        <w:spacing w:line="225" w:lineRule="auto"/>
        <w:ind w:right="737"/>
        <w:jc w:val="both"/>
        <w:rPr>
          <w:sz w:val="20"/>
          <w:szCs w:val="20"/>
        </w:rPr>
      </w:pPr>
      <w:r w:rsidRPr="00C27636">
        <w:rPr>
          <w:rFonts w:ascii="Calibri" w:eastAsia="Calibri" w:hAnsi="Calibri" w:cs="Calibri"/>
          <w:lang w:val="fr-BE"/>
        </w:rPr>
        <w:t xml:space="preserve">En Communauté flamande, la différence entre des </w:t>
      </w:r>
      <w:r w:rsidRPr="00C27636">
        <w:rPr>
          <w:rFonts w:ascii="Calibri" w:eastAsia="Calibri" w:hAnsi="Calibri" w:cs="Calibri"/>
          <w:lang w:val="fr-BE"/>
        </w:rPr>
        <w:t xml:space="preserve">enfants belges et non-belges a également été répertoriée. </w:t>
      </w:r>
      <w:r>
        <w:rPr>
          <w:rFonts w:ascii="Calibri" w:eastAsia="Calibri" w:hAnsi="Calibri" w:cs="Calibri"/>
        </w:rPr>
        <w:t>En 2014-2015,</w:t>
      </w:r>
    </w:p>
    <w:p w:rsidR="00AC12B4" w:rsidRDefault="00AC12B4">
      <w:pPr>
        <w:spacing w:line="52" w:lineRule="exact"/>
        <w:rPr>
          <w:sz w:val="20"/>
          <w:szCs w:val="20"/>
        </w:rPr>
      </w:pPr>
    </w:p>
    <w:p w:rsidR="00AC12B4" w:rsidRDefault="00C27636">
      <w:pPr>
        <w:spacing w:line="218" w:lineRule="auto"/>
        <w:ind w:right="737"/>
        <w:jc w:val="both"/>
        <w:rPr>
          <w:sz w:val="20"/>
          <w:szCs w:val="20"/>
        </w:rPr>
      </w:pPr>
      <w:r>
        <w:rPr>
          <w:rFonts w:ascii="Calibri" w:eastAsia="Calibri" w:hAnsi="Calibri" w:cs="Calibri"/>
        </w:rPr>
        <w:t>la proportion d’enfants dans l’enseignement spécialisé au sein du</w:t>
      </w:r>
    </w:p>
    <w:p w:rsidR="00AC12B4" w:rsidRDefault="00AC12B4">
      <w:pPr>
        <w:spacing w:line="404" w:lineRule="exact"/>
        <w:rPr>
          <w:sz w:val="20"/>
          <w:szCs w:val="20"/>
        </w:rPr>
      </w:pPr>
    </w:p>
    <w:p w:rsidR="00AC12B4" w:rsidRDefault="00AC12B4">
      <w:pPr>
        <w:sectPr w:rsidR="00AC12B4">
          <w:type w:val="continuous"/>
          <w:pgSz w:w="12080" w:h="17179"/>
          <w:pgMar w:top="1440" w:right="1440" w:bottom="659" w:left="497" w:header="0" w:footer="0" w:gutter="0"/>
          <w:cols w:num="3" w:space="720" w:equalWidth="0">
            <w:col w:w="342" w:space="601"/>
            <w:col w:w="3880" w:space="700"/>
            <w:col w:w="4617"/>
          </w:cols>
        </w:sectPr>
      </w:pPr>
    </w:p>
    <w:tbl>
      <w:tblPr>
        <w:tblW w:w="0" w:type="auto"/>
        <w:tblLayout w:type="fixed"/>
        <w:tblCellMar>
          <w:left w:w="0" w:type="dxa"/>
          <w:right w:w="0" w:type="dxa"/>
        </w:tblCellMar>
        <w:tblLook w:val="04A0" w:firstRow="1" w:lastRow="0" w:firstColumn="1" w:lastColumn="0" w:noHBand="0" w:noVBand="1"/>
      </w:tblPr>
      <w:tblGrid>
        <w:gridCol w:w="317"/>
      </w:tblGrid>
      <w:tr w:rsidR="00AC12B4">
        <w:trPr>
          <w:trHeight w:val="2180"/>
        </w:trPr>
        <w:tc>
          <w:tcPr>
            <w:tcW w:w="317" w:type="dxa"/>
            <w:textDirection w:val="btLr"/>
            <w:vAlign w:val="bottom"/>
          </w:tcPr>
          <w:p w:rsidR="00AC12B4" w:rsidRDefault="00C27636">
            <w:pPr>
              <w:rPr>
                <w:sz w:val="20"/>
                <w:szCs w:val="20"/>
              </w:rPr>
            </w:pPr>
            <w:r>
              <w:rPr>
                <w:rFonts w:ascii="Calibri" w:eastAsia="Calibri" w:hAnsi="Calibri" w:cs="Calibri"/>
                <w:b/>
                <w:bCs/>
                <w:i/>
                <w:iCs/>
                <w:color w:val="F2F2F2"/>
                <w:sz w:val="26"/>
                <w:szCs w:val="26"/>
              </w:rPr>
              <w:lastRenderedPageBreak/>
              <w:t>Le droit à l’enseigne</w:t>
            </w:r>
          </w:p>
        </w:tc>
      </w:tr>
    </w:tbl>
    <w:p w:rsidR="00AC12B4" w:rsidRDefault="00C27636">
      <w:pPr>
        <w:spacing w:line="20" w:lineRule="exact"/>
        <w:rPr>
          <w:sz w:val="20"/>
          <w:szCs w:val="20"/>
        </w:rPr>
      </w:pPr>
      <w:r>
        <w:rPr>
          <w:sz w:val="20"/>
          <w:szCs w:val="20"/>
        </w:rPr>
        <w:br w:type="column"/>
      </w:r>
    </w:p>
    <w:p w:rsidR="00AC12B4" w:rsidRDefault="00AC12B4">
      <w:pPr>
        <w:spacing w:line="23" w:lineRule="exact"/>
        <w:rPr>
          <w:sz w:val="20"/>
          <w:szCs w:val="20"/>
        </w:rPr>
      </w:pPr>
    </w:p>
    <w:p w:rsidR="00AC12B4" w:rsidRPr="00C27636" w:rsidRDefault="00C27636">
      <w:pPr>
        <w:numPr>
          <w:ilvl w:val="0"/>
          <w:numId w:val="193"/>
        </w:numPr>
        <w:tabs>
          <w:tab w:val="left" w:pos="129"/>
        </w:tabs>
        <w:spacing w:line="189" w:lineRule="auto"/>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FWB, </w:t>
      </w:r>
      <w:r w:rsidRPr="00C27636">
        <w:rPr>
          <w:rFonts w:ascii="Calibri" w:eastAsia="Calibri" w:hAnsi="Calibri" w:cs="Calibri"/>
          <w:i/>
          <w:iCs/>
          <w:sz w:val="20"/>
          <w:szCs w:val="20"/>
          <w:lang w:val="fr-BE"/>
        </w:rPr>
        <w:t>Les indicateurs de l'enseignement 2014</w:t>
      </w:r>
      <w:r w:rsidRPr="00C27636">
        <w:rPr>
          <w:rFonts w:ascii="Calibri" w:eastAsia="Calibri" w:hAnsi="Calibri" w:cs="Calibri"/>
          <w:sz w:val="20"/>
          <w:szCs w:val="20"/>
          <w:lang w:val="fr-BE"/>
        </w:rPr>
        <w:t xml:space="preserve"> (indicateur n°7).</w:t>
      </w:r>
    </w:p>
    <w:p w:rsidR="00AC12B4" w:rsidRPr="00C27636" w:rsidRDefault="00AC12B4">
      <w:pPr>
        <w:spacing w:line="167" w:lineRule="exact"/>
        <w:rPr>
          <w:rFonts w:ascii="Calibri" w:eastAsia="Calibri" w:hAnsi="Calibri" w:cs="Calibri"/>
          <w:sz w:val="26"/>
          <w:szCs w:val="26"/>
          <w:vertAlign w:val="superscript"/>
          <w:lang w:val="fr-BE"/>
        </w:rPr>
      </w:pPr>
    </w:p>
    <w:p w:rsidR="00AC12B4" w:rsidRDefault="00C27636">
      <w:pPr>
        <w:numPr>
          <w:ilvl w:val="0"/>
          <w:numId w:val="193"/>
        </w:numPr>
        <w:tabs>
          <w:tab w:val="left" w:pos="600"/>
        </w:tabs>
        <w:spacing w:line="203" w:lineRule="auto"/>
        <w:jc w:val="both"/>
        <w:rPr>
          <w:rFonts w:ascii="Calibri" w:eastAsia="Calibri" w:hAnsi="Calibri" w:cs="Calibri"/>
          <w:color w:val="0000FF"/>
          <w:sz w:val="20"/>
          <w:szCs w:val="20"/>
        </w:rPr>
      </w:pPr>
      <w:r w:rsidRPr="00C27636">
        <w:rPr>
          <w:rFonts w:ascii="Calibri" w:eastAsia="Calibri" w:hAnsi="Calibri" w:cs="Calibri"/>
          <w:color w:val="1F497D"/>
          <w:sz w:val="20"/>
          <w:szCs w:val="20"/>
          <w:lang w:val="de-DE"/>
        </w:rPr>
        <w:t xml:space="preserve">DG Kompass, Schülerzahlen, </w:t>
      </w:r>
      <w:hyperlink r:id="rId198">
        <w:r w:rsidRPr="00C27636">
          <w:rPr>
            <w:rFonts w:ascii="Calibri" w:eastAsia="Calibri" w:hAnsi="Calibri" w:cs="Calibri"/>
            <w:color w:val="0000FF"/>
            <w:sz w:val="20"/>
            <w:szCs w:val="20"/>
            <w:u w:val="single"/>
            <w:lang w:val="de-DE"/>
          </w:rPr>
          <w:t>http://www.bildungsserver.be/desktopdefault.</w:t>
        </w:r>
      </w:hyperlink>
      <w:r w:rsidRPr="00C27636">
        <w:rPr>
          <w:rFonts w:ascii="Calibri" w:eastAsia="Calibri" w:hAnsi="Calibri" w:cs="Calibri"/>
          <w:color w:val="0000FF"/>
          <w:sz w:val="20"/>
          <w:szCs w:val="20"/>
          <w:u w:val="single"/>
          <w:lang w:val="de-DE"/>
        </w:rPr>
        <w:t xml:space="preserve"> </w:t>
      </w:r>
      <w:hyperlink r:id="rId199">
        <w:r>
          <w:rPr>
            <w:rFonts w:ascii="Calibri" w:eastAsia="Calibri" w:hAnsi="Calibri" w:cs="Calibri"/>
            <w:color w:val="0000FF"/>
            <w:sz w:val="20"/>
            <w:szCs w:val="20"/>
            <w:u w:val="single"/>
          </w:rPr>
          <w:t>aspx/tabid-2195/4516_read-32080/</w:t>
        </w:r>
        <w:r>
          <w:rPr>
            <w:rFonts w:ascii="Calibri" w:eastAsia="Calibri" w:hAnsi="Calibri" w:cs="Calibri"/>
            <w:color w:val="1F497D"/>
            <w:sz w:val="20"/>
            <w:szCs w:val="20"/>
          </w:rPr>
          <w:t>.</w:t>
        </w:r>
      </w:hyperlink>
    </w:p>
    <w:p w:rsidR="00AC12B4" w:rsidRDefault="00AC12B4">
      <w:pPr>
        <w:spacing w:line="170" w:lineRule="exact"/>
        <w:rPr>
          <w:rFonts w:ascii="Calibri" w:eastAsia="Calibri" w:hAnsi="Calibri" w:cs="Calibri"/>
          <w:color w:val="0000FF"/>
          <w:sz w:val="20"/>
          <w:szCs w:val="20"/>
        </w:rPr>
      </w:pPr>
    </w:p>
    <w:p w:rsidR="00AC12B4" w:rsidRPr="00C27636" w:rsidRDefault="00C27636">
      <w:pPr>
        <w:numPr>
          <w:ilvl w:val="0"/>
          <w:numId w:val="193"/>
        </w:numPr>
        <w:tabs>
          <w:tab w:val="left" w:pos="132"/>
        </w:tabs>
        <w:spacing w:line="188" w:lineRule="auto"/>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Notons qu’il s’agit de très peu d’élèves : 116 en primaire, 139 en secondaire.</w:t>
      </w:r>
    </w:p>
    <w:p w:rsidR="00AC12B4" w:rsidRPr="00C27636" w:rsidRDefault="00C27636">
      <w:pPr>
        <w:spacing w:line="20" w:lineRule="exact"/>
        <w:rPr>
          <w:rFonts w:ascii="Calibri" w:eastAsia="Calibri" w:hAnsi="Calibri" w:cs="Calibri"/>
          <w:sz w:val="26"/>
          <w:szCs w:val="26"/>
          <w:vertAlign w:val="superscript"/>
          <w:lang w:val="fr-BE"/>
        </w:rPr>
      </w:pPr>
      <w:r w:rsidRPr="00C27636">
        <w:rPr>
          <w:rFonts w:ascii="Calibri" w:eastAsia="Calibri" w:hAnsi="Calibri" w:cs="Calibri"/>
          <w:sz w:val="26"/>
          <w:szCs w:val="26"/>
          <w:vertAlign w:val="superscript"/>
          <w:lang w:val="fr-BE"/>
        </w:rPr>
        <w:br w:type="column"/>
      </w:r>
    </w:p>
    <w:p w:rsidR="00AC12B4" w:rsidRPr="00C27636" w:rsidRDefault="00AC12B4">
      <w:pPr>
        <w:spacing w:line="148" w:lineRule="exact"/>
        <w:rPr>
          <w:rFonts w:ascii="Calibri" w:eastAsia="Calibri" w:hAnsi="Calibri" w:cs="Calibri"/>
          <w:sz w:val="26"/>
          <w:szCs w:val="26"/>
          <w:vertAlign w:val="superscript"/>
          <w:lang w:val="fr-BE"/>
        </w:rPr>
      </w:pPr>
    </w:p>
    <w:p w:rsidR="00AC12B4" w:rsidRPr="00C27636" w:rsidRDefault="00C27636">
      <w:pPr>
        <w:numPr>
          <w:ilvl w:val="0"/>
          <w:numId w:val="194"/>
        </w:numPr>
        <w:tabs>
          <w:tab w:val="left" w:pos="640"/>
        </w:tabs>
        <w:ind w:left="640" w:hanging="115"/>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FWB, </w:t>
      </w:r>
      <w:r w:rsidRPr="00C27636">
        <w:rPr>
          <w:rFonts w:ascii="Calibri" w:eastAsia="Calibri" w:hAnsi="Calibri" w:cs="Calibri"/>
          <w:i/>
          <w:iCs/>
          <w:sz w:val="20"/>
          <w:szCs w:val="20"/>
          <w:lang w:val="fr-BE"/>
        </w:rPr>
        <w:t>o.c</w:t>
      </w:r>
      <w:r w:rsidRPr="00C27636">
        <w:rPr>
          <w:rFonts w:ascii="Calibri" w:eastAsia="Calibri" w:hAnsi="Calibri" w:cs="Calibri"/>
          <w:sz w:val="20"/>
          <w:szCs w:val="20"/>
          <w:lang w:val="fr-BE"/>
        </w:rPr>
        <w:t>., indicateur n°9.</w:t>
      </w:r>
    </w:p>
    <w:p w:rsidR="00AC12B4" w:rsidRPr="00C27636" w:rsidRDefault="00AC12B4">
      <w:pPr>
        <w:spacing w:line="47" w:lineRule="exact"/>
        <w:rPr>
          <w:rFonts w:ascii="Calibri" w:eastAsia="Calibri" w:hAnsi="Calibri" w:cs="Calibri"/>
          <w:sz w:val="26"/>
          <w:szCs w:val="26"/>
          <w:vertAlign w:val="superscript"/>
          <w:lang w:val="fr-BE"/>
        </w:rPr>
      </w:pPr>
    </w:p>
    <w:p w:rsidR="00AC12B4" w:rsidRPr="00C27636" w:rsidRDefault="00C27636">
      <w:pPr>
        <w:numPr>
          <w:ilvl w:val="0"/>
          <w:numId w:val="194"/>
        </w:numPr>
        <w:tabs>
          <w:tab w:val="left" w:pos="640"/>
        </w:tabs>
        <w:ind w:left="640" w:hanging="115"/>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FWB, </w:t>
      </w:r>
      <w:r w:rsidRPr="00C27636">
        <w:rPr>
          <w:rFonts w:ascii="Calibri" w:eastAsia="Calibri" w:hAnsi="Calibri" w:cs="Calibri"/>
          <w:i/>
          <w:iCs/>
          <w:sz w:val="20"/>
          <w:szCs w:val="20"/>
          <w:lang w:val="fr-BE"/>
        </w:rPr>
        <w:t>o.c</w:t>
      </w:r>
      <w:r w:rsidRPr="00C27636">
        <w:rPr>
          <w:rFonts w:ascii="Calibri" w:eastAsia="Calibri" w:hAnsi="Calibri" w:cs="Calibri"/>
          <w:sz w:val="20"/>
          <w:szCs w:val="20"/>
          <w:lang w:val="fr-BE"/>
        </w:rPr>
        <w:t>., indicateur n°7.</w:t>
      </w:r>
    </w:p>
    <w:p w:rsidR="00AC12B4" w:rsidRPr="00C27636" w:rsidRDefault="00AC12B4">
      <w:pPr>
        <w:spacing w:line="167" w:lineRule="exact"/>
        <w:rPr>
          <w:rFonts w:ascii="Calibri" w:eastAsia="Calibri" w:hAnsi="Calibri" w:cs="Calibri"/>
          <w:sz w:val="26"/>
          <w:szCs w:val="26"/>
          <w:vertAlign w:val="superscript"/>
          <w:lang w:val="fr-BE"/>
        </w:rPr>
      </w:pPr>
    </w:p>
    <w:p w:rsidR="00AC12B4" w:rsidRPr="00C27636" w:rsidRDefault="00C27636">
      <w:pPr>
        <w:numPr>
          <w:ilvl w:val="0"/>
          <w:numId w:val="194"/>
        </w:numPr>
        <w:tabs>
          <w:tab w:val="left" w:pos="678"/>
        </w:tabs>
        <w:spacing w:line="203" w:lineRule="auto"/>
        <w:ind w:left="520" w:right="737" w:firstLine="5"/>
        <w:rPr>
          <w:rFonts w:ascii="Calibri" w:eastAsia="Calibri" w:hAnsi="Calibri" w:cs="Calibri"/>
          <w:sz w:val="26"/>
          <w:szCs w:val="26"/>
          <w:vertAlign w:val="superscript"/>
          <w:lang w:val="nl-NL"/>
        </w:rPr>
      </w:pPr>
      <w:r w:rsidRPr="00C27636">
        <w:rPr>
          <w:rFonts w:ascii="Calibri" w:eastAsia="Calibri" w:hAnsi="Calibri" w:cs="Calibri"/>
          <w:sz w:val="20"/>
          <w:szCs w:val="20"/>
          <w:lang w:val="nl-NL"/>
        </w:rPr>
        <w:t xml:space="preserve">Vlaamse Gemeenschap, </w:t>
      </w:r>
      <w:r w:rsidRPr="00C27636">
        <w:rPr>
          <w:rFonts w:ascii="Calibri" w:eastAsia="Calibri" w:hAnsi="Calibri" w:cs="Calibri"/>
          <w:i/>
          <w:iCs/>
          <w:sz w:val="20"/>
          <w:szCs w:val="20"/>
          <w:lang w:val="nl-NL"/>
        </w:rPr>
        <w:t>Statistisch jaarboek</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2014-2015</w:t>
      </w:r>
      <w:r w:rsidRPr="00C27636">
        <w:rPr>
          <w:rFonts w:ascii="Calibri" w:eastAsia="Calibri" w:hAnsi="Calibri" w:cs="Calibri"/>
          <w:sz w:val="20"/>
          <w:szCs w:val="20"/>
          <w:lang w:val="nl-NL"/>
        </w:rPr>
        <w:t>,</w:t>
      </w:r>
      <w:r w:rsidRPr="00C27636">
        <w:rPr>
          <w:rFonts w:ascii="Calibri" w:eastAsia="Calibri" w:hAnsi="Calibri" w:cs="Calibri"/>
          <w:i/>
          <w:iCs/>
          <w:sz w:val="20"/>
          <w:szCs w:val="20"/>
          <w:lang w:val="nl-NL"/>
        </w:rPr>
        <w:t xml:space="preserve"> </w:t>
      </w:r>
      <w:r w:rsidRPr="00C27636">
        <w:rPr>
          <w:rFonts w:ascii="Calibri" w:eastAsia="Calibri" w:hAnsi="Calibri" w:cs="Calibri"/>
          <w:sz w:val="20"/>
          <w:szCs w:val="20"/>
          <w:lang w:val="nl-NL"/>
        </w:rPr>
        <w:t>www.ond.vlaanderen.be/onderwijsstatistieken</w:t>
      </w:r>
    </w:p>
    <w:p w:rsidR="00AC12B4" w:rsidRPr="00C27636" w:rsidRDefault="00AC12B4">
      <w:pPr>
        <w:spacing w:line="3" w:lineRule="exact"/>
        <w:rPr>
          <w:rFonts w:ascii="Calibri" w:eastAsia="Calibri" w:hAnsi="Calibri" w:cs="Calibri"/>
          <w:sz w:val="26"/>
          <w:szCs w:val="26"/>
          <w:vertAlign w:val="superscript"/>
          <w:lang w:val="nl-NL"/>
        </w:rPr>
      </w:pPr>
    </w:p>
    <w:p w:rsidR="00AC12B4" w:rsidRDefault="00C27636">
      <w:pPr>
        <w:ind w:left="520"/>
        <w:rPr>
          <w:rFonts w:ascii="Calibri" w:eastAsia="Calibri" w:hAnsi="Calibri" w:cs="Calibri"/>
          <w:sz w:val="26"/>
          <w:szCs w:val="26"/>
          <w:vertAlign w:val="superscript"/>
        </w:rPr>
      </w:pPr>
      <w:r>
        <w:rPr>
          <w:rFonts w:ascii="Calibri" w:eastAsia="Calibri" w:hAnsi="Calibri" w:cs="Calibri"/>
          <w:sz w:val="20"/>
          <w:szCs w:val="20"/>
        </w:rPr>
        <w:t>.</w:t>
      </w:r>
    </w:p>
    <w:p w:rsidR="00AC12B4" w:rsidRDefault="00C27636">
      <w:pPr>
        <w:spacing w:line="20" w:lineRule="exact"/>
        <w:rPr>
          <w:rFonts w:ascii="Calibri" w:eastAsia="Calibri" w:hAnsi="Calibri" w:cs="Calibri"/>
          <w:sz w:val="26"/>
          <w:szCs w:val="26"/>
          <w:vertAlign w:val="superscript"/>
        </w:rPr>
      </w:pPr>
      <w:r>
        <w:rPr>
          <w:rFonts w:ascii="Calibri" w:eastAsia="Calibri" w:hAnsi="Calibri" w:cs="Calibri"/>
          <w:noProof/>
          <w:sz w:val="26"/>
          <w:szCs w:val="26"/>
          <w:vertAlign w:val="superscript"/>
        </w:rPr>
        <mc:AlternateContent>
          <mc:Choice Requires="wps">
            <w:drawing>
              <wp:anchor distT="0" distB="0" distL="114300" distR="114300" simplePos="0" relativeHeight="251636224" behindDoc="1" locked="0" layoutInCell="0" allowOverlap="1">
                <wp:simplePos x="0" y="0"/>
                <wp:positionH relativeFrom="column">
                  <wp:posOffset>333375</wp:posOffset>
                </wp:positionH>
                <wp:positionV relativeFrom="paragraph">
                  <wp:posOffset>-1224915</wp:posOffset>
                </wp:positionV>
                <wp:extent cx="1828800" cy="0"/>
                <wp:effectExtent l="0" t="0" r="0" b="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5pt,-96.4499pt" to="170.25pt,-96.4499pt" o:allowincell="f" strokecolor="#000000" strokeweight="0.72pt"/>
            </w:pict>
          </mc:Fallback>
        </mc:AlternateContent>
      </w:r>
    </w:p>
    <w:p w:rsidR="00AC12B4" w:rsidRDefault="00AC12B4">
      <w:pPr>
        <w:spacing w:line="221" w:lineRule="exact"/>
        <w:rPr>
          <w:rFonts w:ascii="Calibri" w:eastAsia="Calibri" w:hAnsi="Calibri" w:cs="Calibri"/>
          <w:sz w:val="26"/>
          <w:szCs w:val="26"/>
          <w:vertAlign w:val="superscript"/>
        </w:rPr>
      </w:pPr>
    </w:p>
    <w:p w:rsidR="00AC12B4" w:rsidRDefault="00C27636">
      <w:pPr>
        <w:rPr>
          <w:sz w:val="20"/>
          <w:szCs w:val="20"/>
        </w:rPr>
      </w:pPr>
      <w:r>
        <w:rPr>
          <w:rFonts w:ascii="Calibri" w:eastAsia="Calibri" w:hAnsi="Calibri" w:cs="Calibri"/>
        </w:rPr>
        <w:t>114</w:t>
      </w:r>
    </w:p>
    <w:p w:rsidR="00AC12B4" w:rsidRDefault="00AC12B4">
      <w:pPr>
        <w:sectPr w:rsidR="00AC12B4">
          <w:type w:val="continuous"/>
          <w:pgSz w:w="12080" w:h="17179"/>
          <w:pgMar w:top="1440" w:right="1440" w:bottom="659" w:left="497" w:header="0" w:footer="0" w:gutter="0"/>
          <w:cols w:num="3" w:space="720" w:equalWidth="0">
            <w:col w:w="317" w:space="626"/>
            <w:col w:w="3880" w:space="180"/>
            <w:col w:w="5137"/>
          </w:cols>
        </w:sectPr>
      </w:pPr>
    </w:p>
    <w:p w:rsidR="00AC12B4" w:rsidRDefault="00C27636">
      <w:pPr>
        <w:spacing w:line="163" w:lineRule="exact"/>
        <w:rPr>
          <w:sz w:val="20"/>
          <w:szCs w:val="20"/>
        </w:rPr>
      </w:pPr>
      <w:bookmarkStart w:id="114" w:name="page115"/>
      <w:bookmarkEnd w:id="114"/>
      <w:r>
        <w:rPr>
          <w:noProof/>
          <w:sz w:val="20"/>
          <w:szCs w:val="20"/>
        </w:rPr>
        <w:lastRenderedPageBreak/>
        <w:drawing>
          <wp:anchor distT="0" distB="0" distL="114300" distR="114300" simplePos="0" relativeHeight="251637248" behindDoc="1" locked="0" layoutInCell="0" allowOverlap="1">
            <wp:simplePos x="0" y="0"/>
            <wp:positionH relativeFrom="page">
              <wp:posOffset>3002915</wp:posOffset>
            </wp:positionH>
            <wp:positionV relativeFrom="page">
              <wp:posOffset>0</wp:posOffset>
            </wp:positionV>
            <wp:extent cx="4662805" cy="10896600"/>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00">
                      <a:clrChange>
                        <a:clrFrom>
                          <a:srgbClr val="FFFFFF"/>
                        </a:clrFrom>
                        <a:clrTo>
                          <a:srgbClr val="FFFFFF">
                            <a:alpha val="0"/>
                          </a:srgbClr>
                        </a:clrTo>
                      </a:clrChange>
                      <a:extLst/>
                    </a:blip>
                    <a:srcRect/>
                    <a:stretch>
                      <a:fillRect/>
                    </a:stretch>
                  </pic:blipFill>
                  <pic:spPr bwMode="auto">
                    <a:xfrm>
                      <a:off x="0" y="0"/>
                      <a:ext cx="4662805" cy="10896600"/>
                    </a:xfrm>
                    <a:prstGeom prst="rect">
                      <a:avLst/>
                    </a:prstGeom>
                    <a:noFill/>
                  </pic:spPr>
                </pic:pic>
              </a:graphicData>
            </a:graphic>
          </wp:anchor>
        </w:drawing>
      </w:r>
    </w:p>
    <w:tbl>
      <w:tblPr>
        <w:tblW w:w="0" w:type="auto"/>
        <w:tblInd w:w="560" w:type="dxa"/>
        <w:tblLayout w:type="fixed"/>
        <w:tblCellMar>
          <w:left w:w="0" w:type="dxa"/>
          <w:right w:w="0" w:type="dxa"/>
        </w:tblCellMar>
        <w:tblLook w:val="04A0" w:firstRow="1" w:lastRow="0" w:firstColumn="1" w:lastColumn="0" w:noHBand="0" w:noVBand="1"/>
      </w:tblPr>
      <w:tblGrid>
        <w:gridCol w:w="400"/>
        <w:gridCol w:w="180"/>
        <w:gridCol w:w="520"/>
        <w:gridCol w:w="220"/>
        <w:gridCol w:w="220"/>
        <w:gridCol w:w="280"/>
        <w:gridCol w:w="420"/>
        <w:gridCol w:w="500"/>
        <w:gridCol w:w="60"/>
        <w:gridCol w:w="80"/>
        <w:gridCol w:w="400"/>
        <w:gridCol w:w="280"/>
        <w:gridCol w:w="400"/>
        <w:gridCol w:w="80"/>
        <w:gridCol w:w="80"/>
        <w:gridCol w:w="480"/>
        <w:gridCol w:w="140"/>
        <w:gridCol w:w="340"/>
        <w:gridCol w:w="360"/>
        <w:gridCol w:w="200"/>
        <w:gridCol w:w="340"/>
        <w:gridCol w:w="140"/>
        <w:gridCol w:w="420"/>
        <w:gridCol w:w="280"/>
        <w:gridCol w:w="60"/>
        <w:gridCol w:w="440"/>
        <w:gridCol w:w="200"/>
        <w:gridCol w:w="260"/>
        <w:gridCol w:w="180"/>
        <w:gridCol w:w="100"/>
        <w:gridCol w:w="400"/>
        <w:gridCol w:w="760"/>
        <w:gridCol w:w="20"/>
      </w:tblGrid>
      <w:tr w:rsidR="00AC12B4">
        <w:trPr>
          <w:trHeight w:val="269"/>
        </w:trPr>
        <w:tc>
          <w:tcPr>
            <w:tcW w:w="4120" w:type="dxa"/>
            <w:gridSpan w:val="15"/>
            <w:vAlign w:val="bottom"/>
          </w:tcPr>
          <w:p w:rsidR="00AC12B4" w:rsidRPr="00C27636" w:rsidRDefault="00C27636">
            <w:pPr>
              <w:rPr>
                <w:sz w:val="20"/>
                <w:szCs w:val="20"/>
                <w:lang w:val="fr-BE"/>
              </w:rPr>
            </w:pPr>
            <w:r w:rsidRPr="00C27636">
              <w:rPr>
                <w:rFonts w:ascii="Calibri" w:eastAsia="Calibri" w:hAnsi="Calibri" w:cs="Calibri"/>
                <w:lang w:val="fr-BE"/>
              </w:rPr>
              <w:t>groupe  des  élèves  non-belges  est  en</w:t>
            </w:r>
          </w:p>
        </w:tc>
        <w:tc>
          <w:tcPr>
            <w:tcW w:w="480" w:type="dxa"/>
            <w:vAlign w:val="bottom"/>
          </w:tcPr>
          <w:p w:rsidR="00AC12B4" w:rsidRPr="00C27636" w:rsidRDefault="00AC12B4">
            <w:pPr>
              <w:rPr>
                <w:sz w:val="23"/>
                <w:szCs w:val="23"/>
                <w:lang w:val="fr-BE"/>
              </w:rPr>
            </w:pPr>
          </w:p>
        </w:tc>
        <w:tc>
          <w:tcPr>
            <w:tcW w:w="480" w:type="dxa"/>
            <w:gridSpan w:val="2"/>
            <w:vAlign w:val="bottom"/>
          </w:tcPr>
          <w:p w:rsidR="00AC12B4" w:rsidRDefault="00C27636">
            <w:pPr>
              <w:rPr>
                <w:sz w:val="20"/>
                <w:szCs w:val="20"/>
              </w:rPr>
            </w:pPr>
            <w:r>
              <w:rPr>
                <w:rFonts w:ascii="Calibri" w:eastAsia="Calibri" w:hAnsi="Calibri" w:cs="Calibri"/>
              </w:rPr>
              <w:t>En</w:t>
            </w:r>
          </w:p>
        </w:tc>
        <w:tc>
          <w:tcPr>
            <w:tcW w:w="560" w:type="dxa"/>
            <w:gridSpan w:val="2"/>
            <w:vAlign w:val="bottom"/>
          </w:tcPr>
          <w:p w:rsidR="00AC12B4" w:rsidRDefault="00C27636">
            <w:pPr>
              <w:ind w:left="25"/>
              <w:jc w:val="center"/>
              <w:rPr>
                <w:sz w:val="20"/>
                <w:szCs w:val="20"/>
              </w:rPr>
            </w:pPr>
            <w:r>
              <w:rPr>
                <w:rFonts w:ascii="Calibri" w:eastAsia="Calibri" w:hAnsi="Calibri" w:cs="Calibri"/>
              </w:rPr>
              <w:t>FWB</w:t>
            </w:r>
          </w:p>
        </w:tc>
        <w:tc>
          <w:tcPr>
            <w:tcW w:w="340" w:type="dxa"/>
            <w:vAlign w:val="bottom"/>
          </w:tcPr>
          <w:p w:rsidR="00AC12B4" w:rsidRDefault="00AC12B4">
            <w:pPr>
              <w:rPr>
                <w:sz w:val="23"/>
                <w:szCs w:val="23"/>
              </w:rPr>
            </w:pPr>
          </w:p>
        </w:tc>
        <w:tc>
          <w:tcPr>
            <w:tcW w:w="560" w:type="dxa"/>
            <w:gridSpan w:val="2"/>
            <w:vAlign w:val="bottom"/>
          </w:tcPr>
          <w:p w:rsidR="00AC12B4" w:rsidRDefault="00C27636">
            <w:pPr>
              <w:ind w:right="150"/>
              <w:jc w:val="center"/>
              <w:rPr>
                <w:sz w:val="20"/>
                <w:szCs w:val="20"/>
              </w:rPr>
            </w:pPr>
            <w:r>
              <w:rPr>
                <w:rFonts w:ascii="Calibri" w:eastAsia="Calibri" w:hAnsi="Calibri" w:cs="Calibri"/>
                <w:w w:val="97"/>
              </w:rPr>
              <w:t>et</w:t>
            </w:r>
          </w:p>
        </w:tc>
        <w:tc>
          <w:tcPr>
            <w:tcW w:w="340" w:type="dxa"/>
            <w:gridSpan w:val="2"/>
            <w:vAlign w:val="bottom"/>
          </w:tcPr>
          <w:p w:rsidR="00AC12B4" w:rsidRDefault="00C27636">
            <w:pPr>
              <w:ind w:left="80"/>
              <w:rPr>
                <w:sz w:val="20"/>
                <w:szCs w:val="20"/>
              </w:rPr>
            </w:pPr>
            <w:r>
              <w:rPr>
                <w:rFonts w:ascii="Calibri" w:eastAsia="Calibri" w:hAnsi="Calibri" w:cs="Calibri"/>
              </w:rPr>
              <w:t>en</w:t>
            </w:r>
          </w:p>
        </w:tc>
        <w:tc>
          <w:tcPr>
            <w:tcW w:w="2340" w:type="dxa"/>
            <w:gridSpan w:val="7"/>
            <w:vAlign w:val="bottom"/>
          </w:tcPr>
          <w:p w:rsidR="00AC12B4" w:rsidRDefault="00C27636">
            <w:pPr>
              <w:ind w:right="760"/>
              <w:jc w:val="right"/>
              <w:rPr>
                <w:sz w:val="20"/>
                <w:szCs w:val="20"/>
              </w:rPr>
            </w:pPr>
            <w:r>
              <w:rPr>
                <w:rFonts w:ascii="Calibri" w:eastAsia="Calibri" w:hAnsi="Calibri" w:cs="Calibri"/>
              </w:rPr>
              <w:t>Communauté</w:t>
            </w:r>
          </w:p>
        </w:tc>
        <w:tc>
          <w:tcPr>
            <w:tcW w:w="0" w:type="dxa"/>
            <w:vAlign w:val="bottom"/>
          </w:tcPr>
          <w:p w:rsidR="00AC12B4" w:rsidRDefault="00AC12B4">
            <w:pPr>
              <w:rPr>
                <w:sz w:val="1"/>
                <w:szCs w:val="1"/>
              </w:rPr>
            </w:pPr>
          </w:p>
        </w:tc>
      </w:tr>
      <w:tr w:rsidR="00AC12B4" w:rsidRPr="00C27636">
        <w:trPr>
          <w:trHeight w:val="269"/>
        </w:trPr>
        <w:tc>
          <w:tcPr>
            <w:tcW w:w="4120" w:type="dxa"/>
            <w:gridSpan w:val="15"/>
            <w:vAlign w:val="bottom"/>
          </w:tcPr>
          <w:p w:rsidR="00AC12B4" w:rsidRPr="00C27636" w:rsidRDefault="00C27636">
            <w:pPr>
              <w:rPr>
                <w:sz w:val="20"/>
                <w:szCs w:val="20"/>
                <w:lang w:val="fr-BE"/>
              </w:rPr>
            </w:pPr>
            <w:r w:rsidRPr="00C27636">
              <w:rPr>
                <w:rFonts w:ascii="Calibri" w:eastAsia="Calibri" w:hAnsi="Calibri" w:cs="Calibri"/>
                <w:lang w:val="fr-BE"/>
              </w:rPr>
              <w:t>diminution pour la première fois (5,87%</w:t>
            </w:r>
          </w:p>
        </w:tc>
        <w:tc>
          <w:tcPr>
            <w:tcW w:w="480" w:type="dxa"/>
            <w:vAlign w:val="bottom"/>
          </w:tcPr>
          <w:p w:rsidR="00AC12B4" w:rsidRPr="00C27636" w:rsidRDefault="00AC12B4">
            <w:pPr>
              <w:rPr>
                <w:sz w:val="23"/>
                <w:szCs w:val="23"/>
                <w:lang w:val="fr-BE"/>
              </w:rPr>
            </w:pPr>
          </w:p>
        </w:tc>
        <w:tc>
          <w:tcPr>
            <w:tcW w:w="4620" w:type="dxa"/>
            <w:gridSpan w:val="16"/>
            <w:vAlign w:val="bottom"/>
          </w:tcPr>
          <w:p w:rsidR="00AC12B4" w:rsidRPr="00C27636" w:rsidRDefault="00C27636">
            <w:pPr>
              <w:rPr>
                <w:sz w:val="20"/>
                <w:szCs w:val="20"/>
                <w:lang w:val="fr-BE"/>
              </w:rPr>
            </w:pPr>
            <w:r w:rsidRPr="00C27636">
              <w:rPr>
                <w:rFonts w:ascii="Calibri" w:eastAsia="Calibri" w:hAnsi="Calibri" w:cs="Calibri"/>
                <w:lang w:val="fr-BE"/>
              </w:rPr>
              <w:t>germanophone,  ces  groupes  n’ont  pas</w:t>
            </w:r>
          </w:p>
        </w:tc>
        <w:tc>
          <w:tcPr>
            <w:tcW w:w="0" w:type="dxa"/>
            <w:vAlign w:val="bottom"/>
          </w:tcPr>
          <w:p w:rsidR="00AC12B4" w:rsidRPr="00C27636" w:rsidRDefault="00AC12B4">
            <w:pPr>
              <w:rPr>
                <w:sz w:val="1"/>
                <w:szCs w:val="1"/>
                <w:lang w:val="fr-BE"/>
              </w:rPr>
            </w:pPr>
          </w:p>
        </w:tc>
      </w:tr>
      <w:tr w:rsidR="00AC12B4" w:rsidRPr="00C27636">
        <w:trPr>
          <w:trHeight w:val="269"/>
        </w:trPr>
        <w:tc>
          <w:tcPr>
            <w:tcW w:w="4120" w:type="dxa"/>
            <w:gridSpan w:val="15"/>
            <w:vAlign w:val="bottom"/>
          </w:tcPr>
          <w:p w:rsidR="00AC12B4" w:rsidRPr="00C27636" w:rsidRDefault="00C27636">
            <w:pPr>
              <w:rPr>
                <w:sz w:val="20"/>
                <w:szCs w:val="20"/>
                <w:lang w:val="fr-BE"/>
              </w:rPr>
            </w:pPr>
            <w:r w:rsidRPr="00C27636">
              <w:rPr>
                <w:rFonts w:ascii="Calibri" w:eastAsia="Calibri" w:hAnsi="Calibri" w:cs="Calibri"/>
                <w:lang w:val="fr-BE"/>
              </w:rPr>
              <w:t xml:space="preserve">contre plus de </w:t>
            </w:r>
            <w:r w:rsidRPr="00C27636">
              <w:rPr>
                <w:rFonts w:ascii="Calibri" w:eastAsia="Calibri" w:hAnsi="Calibri" w:cs="Calibri"/>
                <w:lang w:val="fr-BE"/>
              </w:rPr>
              <w:t>6% entre 2011 et 2014).</w:t>
            </w:r>
          </w:p>
        </w:tc>
        <w:tc>
          <w:tcPr>
            <w:tcW w:w="480" w:type="dxa"/>
            <w:vAlign w:val="bottom"/>
          </w:tcPr>
          <w:p w:rsidR="00AC12B4" w:rsidRPr="00C27636" w:rsidRDefault="00AC12B4">
            <w:pPr>
              <w:rPr>
                <w:sz w:val="23"/>
                <w:szCs w:val="23"/>
                <w:lang w:val="fr-BE"/>
              </w:rPr>
            </w:pPr>
          </w:p>
        </w:tc>
        <w:tc>
          <w:tcPr>
            <w:tcW w:w="4620" w:type="dxa"/>
            <w:gridSpan w:val="16"/>
            <w:vAlign w:val="bottom"/>
          </w:tcPr>
          <w:p w:rsidR="00AC12B4" w:rsidRPr="00C27636" w:rsidRDefault="00C27636">
            <w:pPr>
              <w:rPr>
                <w:sz w:val="20"/>
                <w:szCs w:val="20"/>
                <w:lang w:val="fr-BE"/>
              </w:rPr>
            </w:pPr>
            <w:r w:rsidRPr="00C27636">
              <w:rPr>
                <w:rFonts w:ascii="Calibri" w:eastAsia="Calibri" w:hAnsi="Calibri" w:cs="Calibri"/>
                <w:lang w:val="fr-BE"/>
              </w:rPr>
              <w:t>encore fait l’objet d’une étude spécifique.</w:t>
            </w:r>
          </w:p>
        </w:tc>
        <w:tc>
          <w:tcPr>
            <w:tcW w:w="0" w:type="dxa"/>
            <w:vAlign w:val="bottom"/>
          </w:tcPr>
          <w:p w:rsidR="00AC12B4" w:rsidRPr="00C27636" w:rsidRDefault="00AC12B4">
            <w:pPr>
              <w:rPr>
                <w:sz w:val="1"/>
                <w:szCs w:val="1"/>
                <w:lang w:val="fr-BE"/>
              </w:rPr>
            </w:pPr>
          </w:p>
        </w:tc>
      </w:tr>
      <w:tr w:rsidR="00AC12B4">
        <w:trPr>
          <w:trHeight w:val="269"/>
        </w:trPr>
        <w:tc>
          <w:tcPr>
            <w:tcW w:w="4120" w:type="dxa"/>
            <w:gridSpan w:val="15"/>
            <w:vAlign w:val="bottom"/>
          </w:tcPr>
          <w:p w:rsidR="00AC12B4" w:rsidRPr="00C27636" w:rsidRDefault="00C27636">
            <w:pPr>
              <w:rPr>
                <w:sz w:val="20"/>
                <w:szCs w:val="20"/>
                <w:lang w:val="fr-BE"/>
              </w:rPr>
            </w:pPr>
            <w:r w:rsidRPr="00C27636">
              <w:rPr>
                <w:rFonts w:ascii="Calibri" w:eastAsia="Calibri" w:hAnsi="Calibri" w:cs="Calibri"/>
                <w:lang w:val="fr-BE"/>
              </w:rPr>
              <w:t>Toutefois, ce pourcentage reste plus élevé</w:t>
            </w:r>
          </w:p>
        </w:tc>
        <w:tc>
          <w:tcPr>
            <w:tcW w:w="4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800" w:type="dxa"/>
            <w:gridSpan w:val="6"/>
            <w:vMerge w:val="restart"/>
            <w:vAlign w:val="bottom"/>
          </w:tcPr>
          <w:p w:rsidR="00AC12B4" w:rsidRDefault="00C27636">
            <w:pPr>
              <w:jc w:val="center"/>
              <w:rPr>
                <w:sz w:val="20"/>
                <w:szCs w:val="20"/>
              </w:rPr>
            </w:pPr>
            <w:r>
              <w:rPr>
                <w:rFonts w:ascii="Cambria" w:eastAsia="Cambria" w:hAnsi="Cambria" w:cs="Cambria"/>
                <w:b/>
                <w:bCs/>
                <w:i/>
                <w:iCs/>
                <w:color w:val="44ACE0"/>
                <w:sz w:val="26"/>
                <w:szCs w:val="26"/>
              </w:rPr>
              <w:t>2. Iniquité</w:t>
            </w:r>
          </w:p>
        </w:tc>
        <w:tc>
          <w:tcPr>
            <w:tcW w:w="28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900" w:type="dxa"/>
            <w:gridSpan w:val="3"/>
            <w:vMerge w:val="restart"/>
            <w:vAlign w:val="bottom"/>
          </w:tcPr>
          <w:p w:rsidR="00AC12B4" w:rsidRDefault="00C27636">
            <w:pPr>
              <w:ind w:right="260"/>
              <w:jc w:val="right"/>
              <w:rPr>
                <w:sz w:val="20"/>
                <w:szCs w:val="20"/>
              </w:rPr>
            </w:pPr>
            <w:r>
              <w:rPr>
                <w:rFonts w:ascii="Cambria" w:eastAsia="Cambria" w:hAnsi="Cambria" w:cs="Cambria"/>
                <w:b/>
                <w:bCs/>
                <w:i/>
                <w:iCs/>
                <w:color w:val="44ACE0"/>
                <w:sz w:val="26"/>
                <w:szCs w:val="26"/>
              </w:rPr>
              <w:t>dans</w:t>
            </w:r>
          </w:p>
        </w:tc>
        <w:tc>
          <w:tcPr>
            <w:tcW w:w="1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160" w:type="dxa"/>
            <w:gridSpan w:val="2"/>
            <w:vMerge w:val="restart"/>
            <w:vAlign w:val="bottom"/>
          </w:tcPr>
          <w:p w:rsidR="00AC12B4" w:rsidRDefault="00C27636">
            <w:pPr>
              <w:ind w:right="760"/>
              <w:jc w:val="right"/>
              <w:rPr>
                <w:sz w:val="20"/>
                <w:szCs w:val="20"/>
              </w:rPr>
            </w:pPr>
            <w:r>
              <w:rPr>
                <w:rFonts w:ascii="Cambria" w:eastAsia="Cambria" w:hAnsi="Cambria" w:cs="Cambria"/>
                <w:b/>
                <w:bCs/>
                <w:i/>
                <w:iCs/>
                <w:color w:val="44ACE0"/>
                <w:sz w:val="26"/>
                <w:szCs w:val="26"/>
              </w:rPr>
              <w:t>la</w:t>
            </w:r>
          </w:p>
        </w:tc>
        <w:tc>
          <w:tcPr>
            <w:tcW w:w="0" w:type="dxa"/>
            <w:vAlign w:val="bottom"/>
          </w:tcPr>
          <w:p w:rsidR="00AC12B4" w:rsidRDefault="00AC12B4">
            <w:pPr>
              <w:rPr>
                <w:sz w:val="1"/>
                <w:szCs w:val="1"/>
              </w:rPr>
            </w:pPr>
          </w:p>
        </w:tc>
      </w:tr>
      <w:tr w:rsidR="00AC12B4" w:rsidRPr="00C27636">
        <w:trPr>
          <w:trHeight w:val="266"/>
        </w:trPr>
        <w:tc>
          <w:tcPr>
            <w:tcW w:w="4120" w:type="dxa"/>
            <w:gridSpan w:val="15"/>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que   la   proportion   d’enfants   dans</w:t>
            </w:r>
          </w:p>
        </w:tc>
        <w:tc>
          <w:tcPr>
            <w:tcW w:w="4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800" w:type="dxa"/>
            <w:gridSpan w:val="6"/>
            <w:vMerge/>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900" w:type="dxa"/>
            <w:gridSpan w:val="3"/>
            <w:vMerge/>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1160" w:type="dxa"/>
            <w:gridSpan w:val="2"/>
            <w:vMerge/>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318"/>
        </w:trPr>
        <w:tc>
          <w:tcPr>
            <w:tcW w:w="4120" w:type="dxa"/>
            <w:gridSpan w:val="15"/>
            <w:vAlign w:val="bottom"/>
          </w:tcPr>
          <w:p w:rsidR="00AC12B4" w:rsidRPr="00C27636" w:rsidRDefault="00C27636">
            <w:pPr>
              <w:rPr>
                <w:sz w:val="20"/>
                <w:szCs w:val="20"/>
                <w:lang w:val="fr-BE"/>
              </w:rPr>
            </w:pPr>
            <w:r w:rsidRPr="00C27636">
              <w:rPr>
                <w:rFonts w:ascii="Calibri" w:eastAsia="Calibri" w:hAnsi="Calibri" w:cs="Calibri"/>
                <w:lang w:val="fr-BE"/>
              </w:rPr>
              <w:t>l’enseignement  spécialisé  au  sein  du</w:t>
            </w:r>
          </w:p>
        </w:tc>
        <w:tc>
          <w:tcPr>
            <w:tcW w:w="48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1800" w:type="dxa"/>
            <w:gridSpan w:val="7"/>
            <w:vAlign w:val="bottom"/>
          </w:tcPr>
          <w:p w:rsidR="00AC12B4" w:rsidRDefault="00C27636">
            <w:pPr>
              <w:ind w:left="240"/>
              <w:rPr>
                <w:sz w:val="20"/>
                <w:szCs w:val="20"/>
              </w:rPr>
            </w:pPr>
            <w:r>
              <w:rPr>
                <w:rFonts w:ascii="Cambria" w:eastAsia="Cambria" w:hAnsi="Cambria" w:cs="Cambria"/>
                <w:b/>
                <w:bCs/>
                <w:i/>
                <w:iCs/>
                <w:color w:val="44ACE0"/>
                <w:sz w:val="26"/>
                <w:szCs w:val="26"/>
              </w:rPr>
              <w:t>répartition</w:t>
            </w:r>
          </w:p>
        </w:tc>
        <w:tc>
          <w:tcPr>
            <w:tcW w:w="440" w:type="dxa"/>
            <w:vAlign w:val="bottom"/>
          </w:tcPr>
          <w:p w:rsidR="00AC12B4" w:rsidRDefault="00C27636">
            <w:pPr>
              <w:ind w:right="22"/>
              <w:jc w:val="right"/>
              <w:rPr>
                <w:sz w:val="20"/>
                <w:szCs w:val="20"/>
              </w:rPr>
            </w:pPr>
            <w:r>
              <w:rPr>
                <w:rFonts w:ascii="Cambria" w:eastAsia="Cambria" w:hAnsi="Cambria" w:cs="Cambria"/>
                <w:b/>
                <w:bCs/>
                <w:i/>
                <w:iCs/>
                <w:color w:val="44ACE0"/>
                <w:w w:val="93"/>
                <w:sz w:val="26"/>
                <w:szCs w:val="26"/>
              </w:rPr>
              <w:t>au</w:t>
            </w:r>
          </w:p>
        </w:tc>
        <w:tc>
          <w:tcPr>
            <w:tcW w:w="740" w:type="dxa"/>
            <w:gridSpan w:val="4"/>
            <w:vAlign w:val="bottom"/>
          </w:tcPr>
          <w:p w:rsidR="00AC12B4" w:rsidRDefault="00C27636">
            <w:pPr>
              <w:ind w:left="120"/>
              <w:rPr>
                <w:sz w:val="20"/>
                <w:szCs w:val="20"/>
              </w:rPr>
            </w:pPr>
            <w:r>
              <w:rPr>
                <w:rFonts w:ascii="Cambria" w:eastAsia="Cambria" w:hAnsi="Cambria" w:cs="Cambria"/>
                <w:b/>
                <w:bCs/>
                <w:i/>
                <w:iCs/>
                <w:color w:val="44ACE0"/>
                <w:sz w:val="26"/>
                <w:szCs w:val="26"/>
              </w:rPr>
              <w:t>sein</w:t>
            </w:r>
          </w:p>
        </w:tc>
        <w:tc>
          <w:tcPr>
            <w:tcW w:w="1160" w:type="dxa"/>
            <w:gridSpan w:val="2"/>
            <w:vAlign w:val="bottom"/>
          </w:tcPr>
          <w:p w:rsidR="00AC12B4" w:rsidRDefault="00C27636">
            <w:pPr>
              <w:ind w:right="760"/>
              <w:jc w:val="right"/>
              <w:rPr>
                <w:sz w:val="20"/>
                <w:szCs w:val="20"/>
              </w:rPr>
            </w:pPr>
            <w:r>
              <w:rPr>
                <w:rFonts w:ascii="Cambria" w:eastAsia="Cambria" w:hAnsi="Cambria" w:cs="Cambria"/>
                <w:b/>
                <w:bCs/>
                <w:i/>
                <w:iCs/>
                <w:color w:val="44ACE0"/>
                <w:sz w:val="26"/>
                <w:szCs w:val="26"/>
              </w:rPr>
              <w:t>de</w:t>
            </w:r>
          </w:p>
        </w:tc>
        <w:tc>
          <w:tcPr>
            <w:tcW w:w="0" w:type="dxa"/>
            <w:vAlign w:val="bottom"/>
          </w:tcPr>
          <w:p w:rsidR="00AC12B4" w:rsidRDefault="00AC12B4">
            <w:pPr>
              <w:rPr>
                <w:sz w:val="1"/>
                <w:szCs w:val="1"/>
              </w:rPr>
            </w:pPr>
          </w:p>
        </w:tc>
      </w:tr>
      <w:tr w:rsidR="00AC12B4">
        <w:trPr>
          <w:trHeight w:val="220"/>
        </w:trPr>
        <w:tc>
          <w:tcPr>
            <w:tcW w:w="4120" w:type="dxa"/>
            <w:gridSpan w:val="15"/>
            <w:vAlign w:val="bottom"/>
          </w:tcPr>
          <w:p w:rsidR="00AC12B4" w:rsidRPr="00C27636" w:rsidRDefault="00C27636">
            <w:pPr>
              <w:spacing w:line="220" w:lineRule="exact"/>
              <w:rPr>
                <w:sz w:val="20"/>
                <w:szCs w:val="20"/>
                <w:lang w:val="fr-BE"/>
              </w:rPr>
            </w:pPr>
            <w:r w:rsidRPr="00C27636">
              <w:rPr>
                <w:rFonts w:ascii="Calibri" w:eastAsia="Calibri" w:hAnsi="Calibri" w:cs="Calibri"/>
                <w:lang w:val="fr-BE"/>
              </w:rPr>
              <w:t>groupe des élèves belges (4,24% en 2014-</w:t>
            </w:r>
          </w:p>
        </w:tc>
        <w:tc>
          <w:tcPr>
            <w:tcW w:w="480" w:type="dxa"/>
            <w:vAlign w:val="bottom"/>
          </w:tcPr>
          <w:p w:rsidR="00AC12B4" w:rsidRPr="00C27636" w:rsidRDefault="00AC12B4">
            <w:pPr>
              <w:rPr>
                <w:sz w:val="19"/>
                <w:szCs w:val="19"/>
                <w:lang w:val="fr-BE"/>
              </w:rPr>
            </w:pPr>
          </w:p>
        </w:tc>
        <w:tc>
          <w:tcPr>
            <w:tcW w:w="140" w:type="dxa"/>
            <w:vAlign w:val="bottom"/>
          </w:tcPr>
          <w:p w:rsidR="00AC12B4" w:rsidRPr="00C27636" w:rsidRDefault="00AC12B4">
            <w:pPr>
              <w:rPr>
                <w:sz w:val="19"/>
                <w:szCs w:val="19"/>
                <w:lang w:val="fr-BE"/>
              </w:rPr>
            </w:pPr>
          </w:p>
        </w:tc>
        <w:tc>
          <w:tcPr>
            <w:tcW w:w="340" w:type="dxa"/>
            <w:vAlign w:val="bottom"/>
          </w:tcPr>
          <w:p w:rsidR="00AC12B4" w:rsidRPr="00C27636" w:rsidRDefault="00AC12B4">
            <w:pPr>
              <w:rPr>
                <w:sz w:val="19"/>
                <w:szCs w:val="19"/>
                <w:lang w:val="fr-BE"/>
              </w:rPr>
            </w:pPr>
          </w:p>
        </w:tc>
        <w:tc>
          <w:tcPr>
            <w:tcW w:w="4140" w:type="dxa"/>
            <w:gridSpan w:val="14"/>
            <w:vMerge w:val="restart"/>
            <w:vAlign w:val="bottom"/>
          </w:tcPr>
          <w:p w:rsidR="00AC12B4" w:rsidRDefault="00C27636">
            <w:pPr>
              <w:ind w:left="240"/>
              <w:rPr>
                <w:sz w:val="20"/>
                <w:szCs w:val="20"/>
              </w:rPr>
            </w:pPr>
            <w:r>
              <w:rPr>
                <w:rFonts w:ascii="Cambria" w:eastAsia="Cambria" w:hAnsi="Cambria" w:cs="Cambria"/>
                <w:b/>
                <w:bCs/>
                <w:i/>
                <w:iCs/>
                <w:color w:val="44ACE0"/>
                <w:sz w:val="26"/>
                <w:szCs w:val="26"/>
              </w:rPr>
              <w:t>l’enseignement ordinaire</w:t>
            </w:r>
          </w:p>
        </w:tc>
        <w:tc>
          <w:tcPr>
            <w:tcW w:w="0" w:type="dxa"/>
            <w:vAlign w:val="bottom"/>
          </w:tcPr>
          <w:p w:rsidR="00AC12B4" w:rsidRDefault="00AC12B4">
            <w:pPr>
              <w:rPr>
                <w:sz w:val="1"/>
                <w:szCs w:val="1"/>
              </w:rPr>
            </w:pPr>
          </w:p>
        </w:tc>
      </w:tr>
      <w:tr w:rsidR="00AC12B4">
        <w:trPr>
          <w:trHeight w:val="139"/>
        </w:trPr>
        <w:tc>
          <w:tcPr>
            <w:tcW w:w="580" w:type="dxa"/>
            <w:gridSpan w:val="2"/>
            <w:vMerge w:val="restart"/>
            <w:vAlign w:val="bottom"/>
          </w:tcPr>
          <w:p w:rsidR="00AC12B4" w:rsidRDefault="00C27636">
            <w:pPr>
              <w:rPr>
                <w:sz w:val="20"/>
                <w:szCs w:val="20"/>
              </w:rPr>
            </w:pPr>
            <w:r>
              <w:rPr>
                <w:rFonts w:ascii="Calibri" w:eastAsia="Calibri" w:hAnsi="Calibri" w:cs="Calibri"/>
                <w:w w:val="98"/>
              </w:rPr>
              <w:t>2015).</w:t>
            </w:r>
          </w:p>
        </w:tc>
        <w:tc>
          <w:tcPr>
            <w:tcW w:w="520" w:type="dxa"/>
            <w:vAlign w:val="bottom"/>
          </w:tcPr>
          <w:p w:rsidR="00AC12B4" w:rsidRDefault="00AC12B4">
            <w:pPr>
              <w:rPr>
                <w:sz w:val="12"/>
                <w:szCs w:val="12"/>
              </w:rPr>
            </w:pPr>
          </w:p>
        </w:tc>
        <w:tc>
          <w:tcPr>
            <w:tcW w:w="220" w:type="dxa"/>
            <w:vAlign w:val="bottom"/>
          </w:tcPr>
          <w:p w:rsidR="00AC12B4" w:rsidRDefault="00AC12B4">
            <w:pPr>
              <w:rPr>
                <w:sz w:val="12"/>
                <w:szCs w:val="12"/>
              </w:rPr>
            </w:pPr>
          </w:p>
        </w:tc>
        <w:tc>
          <w:tcPr>
            <w:tcW w:w="220" w:type="dxa"/>
            <w:vAlign w:val="bottom"/>
          </w:tcPr>
          <w:p w:rsidR="00AC12B4" w:rsidRDefault="00AC12B4">
            <w:pPr>
              <w:rPr>
                <w:sz w:val="12"/>
                <w:szCs w:val="12"/>
              </w:rPr>
            </w:pPr>
          </w:p>
        </w:tc>
        <w:tc>
          <w:tcPr>
            <w:tcW w:w="28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50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400" w:type="dxa"/>
            <w:vAlign w:val="bottom"/>
          </w:tcPr>
          <w:p w:rsidR="00AC12B4" w:rsidRDefault="00AC12B4">
            <w:pPr>
              <w:rPr>
                <w:sz w:val="12"/>
                <w:szCs w:val="12"/>
              </w:rPr>
            </w:pPr>
          </w:p>
        </w:tc>
        <w:tc>
          <w:tcPr>
            <w:tcW w:w="280" w:type="dxa"/>
            <w:vAlign w:val="bottom"/>
          </w:tcPr>
          <w:p w:rsidR="00AC12B4" w:rsidRDefault="00AC12B4">
            <w:pPr>
              <w:rPr>
                <w:sz w:val="12"/>
                <w:szCs w:val="12"/>
              </w:rPr>
            </w:pPr>
          </w:p>
        </w:tc>
        <w:tc>
          <w:tcPr>
            <w:tcW w:w="40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340" w:type="dxa"/>
            <w:vAlign w:val="bottom"/>
          </w:tcPr>
          <w:p w:rsidR="00AC12B4" w:rsidRDefault="00AC12B4">
            <w:pPr>
              <w:rPr>
                <w:sz w:val="12"/>
                <w:szCs w:val="12"/>
              </w:rPr>
            </w:pPr>
          </w:p>
        </w:tc>
        <w:tc>
          <w:tcPr>
            <w:tcW w:w="4140" w:type="dxa"/>
            <w:gridSpan w:val="14"/>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30"/>
        </w:trPr>
        <w:tc>
          <w:tcPr>
            <w:tcW w:w="580" w:type="dxa"/>
            <w:gridSpan w:val="2"/>
            <w:vMerge/>
            <w:vAlign w:val="bottom"/>
          </w:tcPr>
          <w:p w:rsidR="00AC12B4" w:rsidRDefault="00AC12B4">
            <w:pPr>
              <w:rPr>
                <w:sz w:val="11"/>
                <w:szCs w:val="11"/>
              </w:rPr>
            </w:pPr>
          </w:p>
        </w:tc>
        <w:tc>
          <w:tcPr>
            <w:tcW w:w="520" w:type="dxa"/>
            <w:vAlign w:val="bottom"/>
          </w:tcPr>
          <w:p w:rsidR="00AC12B4" w:rsidRDefault="00AC12B4">
            <w:pPr>
              <w:rPr>
                <w:sz w:val="11"/>
                <w:szCs w:val="11"/>
              </w:rPr>
            </w:pPr>
          </w:p>
        </w:tc>
        <w:tc>
          <w:tcPr>
            <w:tcW w:w="220" w:type="dxa"/>
            <w:vAlign w:val="bottom"/>
          </w:tcPr>
          <w:p w:rsidR="00AC12B4" w:rsidRDefault="00AC12B4">
            <w:pPr>
              <w:rPr>
                <w:sz w:val="11"/>
                <w:szCs w:val="11"/>
              </w:rPr>
            </w:pPr>
          </w:p>
        </w:tc>
        <w:tc>
          <w:tcPr>
            <w:tcW w:w="22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420" w:type="dxa"/>
            <w:vAlign w:val="bottom"/>
          </w:tcPr>
          <w:p w:rsidR="00AC12B4" w:rsidRDefault="00AC12B4">
            <w:pPr>
              <w:rPr>
                <w:sz w:val="11"/>
                <w:szCs w:val="11"/>
              </w:rPr>
            </w:pPr>
          </w:p>
        </w:tc>
        <w:tc>
          <w:tcPr>
            <w:tcW w:w="50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36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42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44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7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98"/>
        </w:trPr>
        <w:tc>
          <w:tcPr>
            <w:tcW w:w="4120" w:type="dxa"/>
            <w:gridSpan w:val="15"/>
            <w:vMerge w:val="restart"/>
            <w:vAlign w:val="bottom"/>
          </w:tcPr>
          <w:p w:rsidR="00AC12B4" w:rsidRPr="00C27636" w:rsidRDefault="00C27636">
            <w:pPr>
              <w:ind w:right="240"/>
              <w:jc w:val="right"/>
              <w:rPr>
                <w:sz w:val="20"/>
                <w:szCs w:val="20"/>
                <w:lang w:val="fr-BE"/>
              </w:rPr>
            </w:pPr>
            <w:r w:rsidRPr="00C27636">
              <w:rPr>
                <w:rFonts w:ascii="Calibri" w:eastAsia="Calibri" w:hAnsi="Calibri" w:cs="Calibri"/>
                <w:lang w:val="fr-BE"/>
              </w:rPr>
              <w:t>La Communauté germanophone a aussi</w:t>
            </w:r>
          </w:p>
        </w:tc>
        <w:tc>
          <w:tcPr>
            <w:tcW w:w="480" w:type="dxa"/>
            <w:vAlign w:val="bottom"/>
          </w:tcPr>
          <w:p w:rsidR="00AC12B4" w:rsidRPr="00C27636" w:rsidRDefault="00AC12B4">
            <w:pPr>
              <w:rPr>
                <w:sz w:val="24"/>
                <w:szCs w:val="24"/>
                <w:lang w:val="fr-BE"/>
              </w:rPr>
            </w:pPr>
          </w:p>
        </w:tc>
        <w:tc>
          <w:tcPr>
            <w:tcW w:w="1040" w:type="dxa"/>
            <w:gridSpan w:val="4"/>
            <w:vAlign w:val="bottom"/>
          </w:tcPr>
          <w:p w:rsidR="00AC12B4" w:rsidRDefault="00C27636">
            <w:pPr>
              <w:rPr>
                <w:sz w:val="20"/>
                <w:szCs w:val="20"/>
              </w:rPr>
            </w:pPr>
            <w:r>
              <w:rPr>
                <w:rFonts w:ascii="Calibri" w:eastAsia="Calibri" w:hAnsi="Calibri" w:cs="Calibri"/>
              </w:rPr>
              <w:t>Le  statut</w:t>
            </w:r>
          </w:p>
        </w:tc>
        <w:tc>
          <w:tcPr>
            <w:tcW w:w="1680" w:type="dxa"/>
            <w:gridSpan w:val="6"/>
            <w:vAlign w:val="bottom"/>
          </w:tcPr>
          <w:p w:rsidR="00AC12B4" w:rsidRDefault="00C27636">
            <w:pPr>
              <w:rPr>
                <w:sz w:val="20"/>
                <w:szCs w:val="20"/>
              </w:rPr>
            </w:pPr>
            <w:r>
              <w:rPr>
                <w:rFonts w:ascii="Calibri" w:eastAsia="Calibri" w:hAnsi="Calibri" w:cs="Calibri"/>
              </w:rPr>
              <w:t>socio-économique</w:t>
            </w:r>
          </w:p>
        </w:tc>
        <w:tc>
          <w:tcPr>
            <w:tcW w:w="460" w:type="dxa"/>
            <w:gridSpan w:val="2"/>
            <w:vAlign w:val="bottom"/>
          </w:tcPr>
          <w:p w:rsidR="00AC12B4" w:rsidRDefault="00C27636">
            <w:pPr>
              <w:ind w:left="120"/>
              <w:rPr>
                <w:sz w:val="20"/>
                <w:szCs w:val="20"/>
              </w:rPr>
            </w:pPr>
            <w:r>
              <w:rPr>
                <w:rFonts w:ascii="Calibri" w:eastAsia="Calibri" w:hAnsi="Calibri" w:cs="Calibri"/>
              </w:rPr>
              <w:t>des</w:t>
            </w:r>
          </w:p>
        </w:tc>
        <w:tc>
          <w:tcPr>
            <w:tcW w:w="1440" w:type="dxa"/>
            <w:gridSpan w:val="4"/>
            <w:vAlign w:val="bottom"/>
          </w:tcPr>
          <w:p w:rsidR="00AC12B4" w:rsidRDefault="00C27636">
            <w:pPr>
              <w:ind w:right="760"/>
              <w:jc w:val="right"/>
              <w:rPr>
                <w:sz w:val="20"/>
                <w:szCs w:val="20"/>
              </w:rPr>
            </w:pPr>
            <w:r>
              <w:rPr>
                <w:rFonts w:ascii="Calibri" w:eastAsia="Calibri" w:hAnsi="Calibri" w:cs="Calibri"/>
              </w:rPr>
              <w:t>élèves</w:t>
            </w:r>
          </w:p>
        </w:tc>
        <w:tc>
          <w:tcPr>
            <w:tcW w:w="0" w:type="dxa"/>
            <w:vAlign w:val="bottom"/>
          </w:tcPr>
          <w:p w:rsidR="00AC12B4" w:rsidRDefault="00AC12B4">
            <w:pPr>
              <w:rPr>
                <w:sz w:val="1"/>
                <w:szCs w:val="1"/>
              </w:rPr>
            </w:pPr>
          </w:p>
        </w:tc>
      </w:tr>
      <w:tr w:rsidR="00AC12B4">
        <w:trPr>
          <w:trHeight w:val="91"/>
        </w:trPr>
        <w:tc>
          <w:tcPr>
            <w:tcW w:w="4120" w:type="dxa"/>
            <w:gridSpan w:val="15"/>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2280" w:type="dxa"/>
            <w:gridSpan w:val="9"/>
            <w:vMerge w:val="restart"/>
            <w:vAlign w:val="bottom"/>
          </w:tcPr>
          <w:p w:rsidR="00AC12B4" w:rsidRDefault="00C27636">
            <w:pPr>
              <w:rPr>
                <w:sz w:val="20"/>
                <w:szCs w:val="20"/>
              </w:rPr>
            </w:pPr>
            <w:r>
              <w:rPr>
                <w:rFonts w:ascii="Calibri" w:eastAsia="Calibri" w:hAnsi="Calibri" w:cs="Calibri"/>
              </w:rPr>
              <w:t>influence  grandement</w:t>
            </w:r>
          </w:p>
        </w:tc>
        <w:tc>
          <w:tcPr>
            <w:tcW w:w="440" w:type="dxa"/>
            <w:vMerge w:val="restart"/>
            <w:vAlign w:val="bottom"/>
          </w:tcPr>
          <w:p w:rsidR="00AC12B4" w:rsidRDefault="00C27636">
            <w:pPr>
              <w:jc w:val="right"/>
              <w:rPr>
                <w:sz w:val="20"/>
                <w:szCs w:val="20"/>
              </w:rPr>
            </w:pPr>
            <w:r>
              <w:rPr>
                <w:rFonts w:ascii="Calibri" w:eastAsia="Calibri" w:hAnsi="Calibri" w:cs="Calibri"/>
              </w:rPr>
              <w:t>leur</w:t>
            </w:r>
          </w:p>
        </w:tc>
        <w:tc>
          <w:tcPr>
            <w:tcW w:w="1900" w:type="dxa"/>
            <w:gridSpan w:val="6"/>
            <w:vMerge w:val="restart"/>
            <w:vAlign w:val="bottom"/>
          </w:tcPr>
          <w:p w:rsidR="00AC12B4" w:rsidRDefault="00C27636">
            <w:pPr>
              <w:ind w:right="760"/>
              <w:jc w:val="right"/>
              <w:rPr>
                <w:sz w:val="20"/>
                <w:szCs w:val="20"/>
              </w:rPr>
            </w:pPr>
            <w:r>
              <w:rPr>
                <w:rFonts w:ascii="Calibri" w:eastAsia="Calibri" w:hAnsi="Calibri" w:cs="Calibri"/>
              </w:rPr>
              <w:t>orientati</w:t>
            </w:r>
            <w:r>
              <w:rPr>
                <w:rFonts w:ascii="Calibri" w:eastAsia="Calibri" w:hAnsi="Calibri" w:cs="Calibri"/>
              </w:rPr>
              <w:lastRenderedPageBreak/>
              <w:t>on</w:t>
            </w:r>
          </w:p>
        </w:tc>
        <w:tc>
          <w:tcPr>
            <w:tcW w:w="0" w:type="dxa"/>
            <w:vAlign w:val="bottom"/>
          </w:tcPr>
          <w:p w:rsidR="00AC12B4" w:rsidRDefault="00AC12B4">
            <w:pPr>
              <w:rPr>
                <w:sz w:val="1"/>
                <w:szCs w:val="1"/>
              </w:rPr>
            </w:pPr>
          </w:p>
        </w:tc>
      </w:tr>
      <w:tr w:rsidR="00AC12B4">
        <w:trPr>
          <w:trHeight w:val="178"/>
        </w:trPr>
        <w:tc>
          <w:tcPr>
            <w:tcW w:w="580" w:type="dxa"/>
            <w:gridSpan w:val="2"/>
            <w:vMerge w:val="restart"/>
            <w:vAlign w:val="bottom"/>
          </w:tcPr>
          <w:p w:rsidR="00AC12B4" w:rsidRDefault="00C27636">
            <w:pPr>
              <w:rPr>
                <w:sz w:val="20"/>
                <w:szCs w:val="20"/>
              </w:rPr>
            </w:pPr>
            <w:r>
              <w:rPr>
                <w:rFonts w:ascii="Calibri" w:eastAsia="Calibri" w:hAnsi="Calibri" w:cs="Calibri"/>
                <w:w w:val="96"/>
              </w:rPr>
              <w:t>chiff</w:t>
            </w:r>
            <w:r>
              <w:rPr>
                <w:rFonts w:ascii="Calibri" w:eastAsia="Calibri" w:hAnsi="Calibri" w:cs="Calibri"/>
                <w:w w:val="96"/>
              </w:rPr>
              <w:lastRenderedPageBreak/>
              <w:t>ré</w:t>
            </w:r>
          </w:p>
        </w:tc>
        <w:tc>
          <w:tcPr>
            <w:tcW w:w="740" w:type="dxa"/>
            <w:gridSpan w:val="2"/>
            <w:vMerge w:val="restart"/>
            <w:vAlign w:val="bottom"/>
          </w:tcPr>
          <w:p w:rsidR="00AC12B4" w:rsidRDefault="00C27636">
            <w:pPr>
              <w:ind w:left="220"/>
              <w:rPr>
                <w:sz w:val="20"/>
                <w:szCs w:val="20"/>
              </w:rPr>
            </w:pPr>
            <w:r>
              <w:rPr>
                <w:rFonts w:ascii="Calibri" w:eastAsia="Calibri" w:hAnsi="Calibri" w:cs="Calibri"/>
              </w:rPr>
              <w:lastRenderedPageBreak/>
              <w:t>ce</w:t>
            </w:r>
            <w:r>
              <w:rPr>
                <w:rFonts w:ascii="Calibri" w:eastAsia="Calibri" w:hAnsi="Calibri" w:cs="Calibri"/>
              </w:rPr>
              <w:lastRenderedPageBreak/>
              <w:t>tte</w:t>
            </w:r>
          </w:p>
        </w:tc>
        <w:tc>
          <w:tcPr>
            <w:tcW w:w="1960" w:type="dxa"/>
            <w:gridSpan w:val="7"/>
            <w:vMerge w:val="restart"/>
            <w:vAlign w:val="bottom"/>
          </w:tcPr>
          <w:p w:rsidR="00AC12B4" w:rsidRDefault="00C27636">
            <w:pPr>
              <w:jc w:val="center"/>
              <w:rPr>
                <w:sz w:val="20"/>
                <w:szCs w:val="20"/>
              </w:rPr>
            </w:pPr>
            <w:r>
              <w:rPr>
                <w:rFonts w:ascii="Calibri" w:eastAsia="Calibri" w:hAnsi="Calibri" w:cs="Calibri"/>
              </w:rPr>
              <w:lastRenderedPageBreak/>
              <w:t xml:space="preserve">proportion.  </w:t>
            </w:r>
            <w:r>
              <w:rPr>
                <w:rFonts w:ascii="Calibri" w:eastAsia="Calibri" w:hAnsi="Calibri" w:cs="Calibri"/>
              </w:rPr>
              <w:lastRenderedPageBreak/>
              <w:t>Une</w:t>
            </w:r>
          </w:p>
        </w:tc>
        <w:tc>
          <w:tcPr>
            <w:tcW w:w="840" w:type="dxa"/>
            <w:gridSpan w:val="4"/>
            <w:vMerge w:val="restart"/>
            <w:vAlign w:val="bottom"/>
          </w:tcPr>
          <w:p w:rsidR="00AC12B4" w:rsidRDefault="00C27636">
            <w:pPr>
              <w:ind w:right="240"/>
              <w:jc w:val="right"/>
              <w:rPr>
                <w:sz w:val="20"/>
                <w:szCs w:val="20"/>
              </w:rPr>
            </w:pPr>
            <w:r>
              <w:rPr>
                <w:rFonts w:ascii="Calibri" w:eastAsia="Calibri" w:hAnsi="Calibri" w:cs="Calibri"/>
              </w:rPr>
              <w:lastRenderedPageBreak/>
              <w:t>mê</w:t>
            </w:r>
            <w:r>
              <w:rPr>
                <w:rFonts w:ascii="Calibri" w:eastAsia="Calibri" w:hAnsi="Calibri" w:cs="Calibri"/>
              </w:rPr>
              <w:lastRenderedPageBreak/>
              <w:t>me</w:t>
            </w:r>
          </w:p>
        </w:tc>
        <w:tc>
          <w:tcPr>
            <w:tcW w:w="480" w:type="dxa"/>
            <w:vAlign w:val="bottom"/>
          </w:tcPr>
          <w:p w:rsidR="00AC12B4" w:rsidRDefault="00AC12B4">
            <w:pPr>
              <w:rPr>
                <w:sz w:val="15"/>
                <w:szCs w:val="15"/>
              </w:rPr>
            </w:pPr>
          </w:p>
        </w:tc>
        <w:tc>
          <w:tcPr>
            <w:tcW w:w="2280" w:type="dxa"/>
            <w:gridSpan w:val="9"/>
            <w:vMerge/>
            <w:vAlign w:val="bottom"/>
          </w:tcPr>
          <w:p w:rsidR="00AC12B4" w:rsidRDefault="00AC12B4">
            <w:pPr>
              <w:rPr>
                <w:sz w:val="15"/>
                <w:szCs w:val="15"/>
              </w:rPr>
            </w:pPr>
          </w:p>
        </w:tc>
        <w:tc>
          <w:tcPr>
            <w:tcW w:w="440" w:type="dxa"/>
            <w:vMerge/>
            <w:vAlign w:val="bottom"/>
          </w:tcPr>
          <w:p w:rsidR="00AC12B4" w:rsidRDefault="00AC12B4">
            <w:pPr>
              <w:rPr>
                <w:sz w:val="15"/>
                <w:szCs w:val="15"/>
              </w:rPr>
            </w:pPr>
          </w:p>
        </w:tc>
        <w:tc>
          <w:tcPr>
            <w:tcW w:w="1900" w:type="dxa"/>
            <w:gridSpan w:val="6"/>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91"/>
        </w:trPr>
        <w:tc>
          <w:tcPr>
            <w:tcW w:w="580" w:type="dxa"/>
            <w:gridSpan w:val="2"/>
            <w:vMerge/>
            <w:vAlign w:val="bottom"/>
          </w:tcPr>
          <w:p w:rsidR="00AC12B4" w:rsidRDefault="00AC12B4">
            <w:pPr>
              <w:rPr>
                <w:sz w:val="7"/>
                <w:szCs w:val="7"/>
              </w:rPr>
            </w:pPr>
          </w:p>
        </w:tc>
        <w:tc>
          <w:tcPr>
            <w:tcW w:w="740" w:type="dxa"/>
            <w:gridSpan w:val="2"/>
            <w:vMerge/>
            <w:vAlign w:val="bottom"/>
          </w:tcPr>
          <w:p w:rsidR="00AC12B4" w:rsidRDefault="00AC12B4">
            <w:pPr>
              <w:rPr>
                <w:sz w:val="7"/>
                <w:szCs w:val="7"/>
              </w:rPr>
            </w:pPr>
          </w:p>
        </w:tc>
        <w:tc>
          <w:tcPr>
            <w:tcW w:w="1960" w:type="dxa"/>
            <w:gridSpan w:val="7"/>
            <w:vMerge/>
            <w:vAlign w:val="bottom"/>
          </w:tcPr>
          <w:p w:rsidR="00AC12B4" w:rsidRDefault="00AC12B4">
            <w:pPr>
              <w:rPr>
                <w:sz w:val="7"/>
                <w:szCs w:val="7"/>
              </w:rPr>
            </w:pPr>
          </w:p>
        </w:tc>
        <w:tc>
          <w:tcPr>
            <w:tcW w:w="840" w:type="dxa"/>
            <w:gridSpan w:val="4"/>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4620" w:type="dxa"/>
            <w:gridSpan w:val="16"/>
            <w:vMerge w:val="restart"/>
            <w:vAlign w:val="bottom"/>
          </w:tcPr>
          <w:p w:rsidR="00AC12B4" w:rsidRPr="00C27636" w:rsidRDefault="00C27636">
            <w:pPr>
              <w:rPr>
                <w:sz w:val="20"/>
                <w:szCs w:val="20"/>
                <w:lang w:val="fr-BE"/>
              </w:rPr>
            </w:pPr>
            <w:r w:rsidRPr="00C27636">
              <w:rPr>
                <w:rFonts w:ascii="Calibri" w:eastAsia="Calibri" w:hAnsi="Calibri" w:cs="Calibri"/>
                <w:lang w:val="fr-BE"/>
              </w:rPr>
              <w:t>scolaire. Ainsi, en FWB, les élèves inscrits</w:t>
            </w:r>
          </w:p>
        </w:tc>
        <w:tc>
          <w:tcPr>
            <w:tcW w:w="0" w:type="dxa"/>
            <w:vAlign w:val="bottom"/>
          </w:tcPr>
          <w:p w:rsidR="00AC12B4" w:rsidRPr="00C27636" w:rsidRDefault="00AC12B4">
            <w:pPr>
              <w:rPr>
                <w:sz w:val="1"/>
                <w:szCs w:val="1"/>
                <w:lang w:val="fr-BE"/>
              </w:rPr>
            </w:pPr>
          </w:p>
        </w:tc>
      </w:tr>
      <w:tr w:rsidR="00AC12B4" w:rsidRPr="00C27636">
        <w:trPr>
          <w:trHeight w:val="178"/>
        </w:trPr>
        <w:tc>
          <w:tcPr>
            <w:tcW w:w="4120" w:type="dxa"/>
            <w:gridSpan w:val="15"/>
            <w:vMerge w:val="restart"/>
            <w:vAlign w:val="bottom"/>
          </w:tcPr>
          <w:p w:rsidR="00AC12B4" w:rsidRPr="00C27636" w:rsidRDefault="00C27636">
            <w:pPr>
              <w:rPr>
                <w:sz w:val="20"/>
                <w:szCs w:val="20"/>
                <w:lang w:val="fr-BE"/>
              </w:rPr>
            </w:pPr>
            <w:r w:rsidRPr="00C27636">
              <w:rPr>
                <w:rFonts w:ascii="Calibri" w:eastAsia="Calibri" w:hAnsi="Calibri" w:cs="Calibri"/>
                <w:lang w:val="fr-BE"/>
              </w:rPr>
              <w:t>conclusion vaut: baisse de l’orientation de</w:t>
            </w:r>
          </w:p>
        </w:tc>
        <w:tc>
          <w:tcPr>
            <w:tcW w:w="480" w:type="dxa"/>
            <w:vAlign w:val="bottom"/>
          </w:tcPr>
          <w:p w:rsidR="00AC12B4" w:rsidRPr="00C27636" w:rsidRDefault="00AC12B4">
            <w:pPr>
              <w:rPr>
                <w:sz w:val="15"/>
                <w:szCs w:val="15"/>
                <w:lang w:val="fr-BE"/>
              </w:rPr>
            </w:pPr>
          </w:p>
        </w:tc>
        <w:tc>
          <w:tcPr>
            <w:tcW w:w="4620" w:type="dxa"/>
            <w:gridSpan w:val="16"/>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trPr>
          <w:trHeight w:val="91"/>
        </w:trPr>
        <w:tc>
          <w:tcPr>
            <w:tcW w:w="4120" w:type="dxa"/>
            <w:gridSpan w:val="15"/>
            <w:vMerge/>
            <w:vAlign w:val="bottom"/>
          </w:tcPr>
          <w:p w:rsidR="00AC12B4" w:rsidRPr="00C27636" w:rsidRDefault="00AC12B4">
            <w:pPr>
              <w:rPr>
                <w:sz w:val="7"/>
                <w:szCs w:val="7"/>
                <w:lang w:val="fr-BE"/>
              </w:rPr>
            </w:pPr>
          </w:p>
        </w:tc>
        <w:tc>
          <w:tcPr>
            <w:tcW w:w="480" w:type="dxa"/>
            <w:vAlign w:val="bottom"/>
          </w:tcPr>
          <w:p w:rsidR="00AC12B4" w:rsidRPr="00C27636" w:rsidRDefault="00AC12B4">
            <w:pPr>
              <w:rPr>
                <w:sz w:val="7"/>
                <w:szCs w:val="7"/>
                <w:lang w:val="fr-BE"/>
              </w:rPr>
            </w:pPr>
          </w:p>
        </w:tc>
        <w:tc>
          <w:tcPr>
            <w:tcW w:w="480" w:type="dxa"/>
            <w:gridSpan w:val="2"/>
            <w:vMerge w:val="restart"/>
            <w:vAlign w:val="bottom"/>
          </w:tcPr>
          <w:p w:rsidR="00AC12B4" w:rsidRDefault="00C27636">
            <w:pPr>
              <w:rPr>
                <w:sz w:val="20"/>
                <w:szCs w:val="20"/>
              </w:rPr>
            </w:pPr>
            <w:r>
              <w:rPr>
                <w:rFonts w:ascii="Calibri" w:eastAsia="Calibri" w:hAnsi="Calibri" w:cs="Calibri"/>
              </w:rPr>
              <w:t>dans</w:t>
            </w:r>
          </w:p>
        </w:tc>
        <w:tc>
          <w:tcPr>
            <w:tcW w:w="1460" w:type="dxa"/>
            <w:gridSpan w:val="5"/>
            <w:vMerge w:val="restart"/>
            <w:vAlign w:val="bottom"/>
          </w:tcPr>
          <w:p w:rsidR="00AC12B4" w:rsidRDefault="00C27636">
            <w:pPr>
              <w:ind w:left="80"/>
              <w:rPr>
                <w:sz w:val="20"/>
                <w:szCs w:val="20"/>
              </w:rPr>
            </w:pPr>
            <w:r>
              <w:rPr>
                <w:rFonts w:ascii="Calibri" w:eastAsia="Calibri" w:hAnsi="Calibri" w:cs="Calibri"/>
                <w:w w:val="98"/>
              </w:rPr>
              <w:t>l’enseignement</w:t>
            </w:r>
          </w:p>
        </w:tc>
        <w:tc>
          <w:tcPr>
            <w:tcW w:w="1240" w:type="dxa"/>
            <w:gridSpan w:val="5"/>
            <w:vMerge w:val="restart"/>
            <w:vAlign w:val="bottom"/>
          </w:tcPr>
          <w:p w:rsidR="00AC12B4" w:rsidRDefault="00C27636">
            <w:pPr>
              <w:ind w:left="140"/>
              <w:rPr>
                <w:sz w:val="20"/>
                <w:szCs w:val="20"/>
              </w:rPr>
            </w:pPr>
            <w:r>
              <w:rPr>
                <w:rFonts w:ascii="Calibri" w:eastAsia="Calibri" w:hAnsi="Calibri" w:cs="Calibri"/>
              </w:rPr>
              <w:t>secondaire</w:t>
            </w:r>
          </w:p>
        </w:tc>
        <w:tc>
          <w:tcPr>
            <w:tcW w:w="1440" w:type="dxa"/>
            <w:gridSpan w:val="4"/>
            <w:vMerge w:val="restart"/>
            <w:vAlign w:val="bottom"/>
          </w:tcPr>
          <w:p w:rsidR="00AC12B4" w:rsidRDefault="00C27636">
            <w:pPr>
              <w:ind w:right="740"/>
              <w:jc w:val="right"/>
              <w:rPr>
                <w:sz w:val="20"/>
                <w:szCs w:val="20"/>
              </w:rPr>
            </w:pPr>
            <w:r>
              <w:rPr>
                <w:rFonts w:ascii="Calibri" w:eastAsia="Calibri" w:hAnsi="Calibri" w:cs="Calibri"/>
              </w:rPr>
              <w:t>général</w:t>
            </w:r>
          </w:p>
        </w:tc>
        <w:tc>
          <w:tcPr>
            <w:tcW w:w="0" w:type="dxa"/>
            <w:vAlign w:val="bottom"/>
          </w:tcPr>
          <w:p w:rsidR="00AC12B4" w:rsidRDefault="00AC12B4">
            <w:pPr>
              <w:rPr>
                <w:sz w:val="1"/>
                <w:szCs w:val="1"/>
              </w:rPr>
            </w:pPr>
          </w:p>
        </w:tc>
      </w:tr>
      <w:tr w:rsidR="00AC12B4" w:rsidRPr="00C27636">
        <w:trPr>
          <w:trHeight w:val="178"/>
        </w:trPr>
        <w:tc>
          <w:tcPr>
            <w:tcW w:w="4120" w:type="dxa"/>
            <w:gridSpan w:val="15"/>
            <w:vMerge w:val="restart"/>
            <w:vAlign w:val="bottom"/>
          </w:tcPr>
          <w:p w:rsidR="00AC12B4" w:rsidRPr="00C27636" w:rsidRDefault="00C27636">
            <w:pPr>
              <w:rPr>
                <w:sz w:val="20"/>
                <w:szCs w:val="20"/>
                <w:lang w:val="fr-BE"/>
              </w:rPr>
            </w:pPr>
            <w:r w:rsidRPr="00C27636">
              <w:rPr>
                <w:rFonts w:ascii="Calibri" w:eastAsia="Calibri" w:hAnsi="Calibri" w:cs="Calibri"/>
                <w:lang w:val="fr-BE"/>
              </w:rPr>
              <w:t>non-Belges vers l’enseignement spécialisé</w:t>
            </w:r>
          </w:p>
        </w:tc>
        <w:tc>
          <w:tcPr>
            <w:tcW w:w="480" w:type="dxa"/>
            <w:vAlign w:val="bottom"/>
          </w:tcPr>
          <w:p w:rsidR="00AC12B4" w:rsidRPr="00C27636" w:rsidRDefault="00AC12B4">
            <w:pPr>
              <w:rPr>
                <w:sz w:val="15"/>
                <w:szCs w:val="15"/>
                <w:lang w:val="fr-BE"/>
              </w:rPr>
            </w:pPr>
          </w:p>
        </w:tc>
        <w:tc>
          <w:tcPr>
            <w:tcW w:w="480" w:type="dxa"/>
            <w:gridSpan w:val="2"/>
            <w:vMerge/>
            <w:vAlign w:val="bottom"/>
          </w:tcPr>
          <w:p w:rsidR="00AC12B4" w:rsidRPr="00C27636" w:rsidRDefault="00AC12B4">
            <w:pPr>
              <w:rPr>
                <w:sz w:val="15"/>
                <w:szCs w:val="15"/>
                <w:lang w:val="fr-BE"/>
              </w:rPr>
            </w:pPr>
          </w:p>
        </w:tc>
        <w:tc>
          <w:tcPr>
            <w:tcW w:w="1460" w:type="dxa"/>
            <w:gridSpan w:val="5"/>
            <w:vMerge/>
            <w:vAlign w:val="bottom"/>
          </w:tcPr>
          <w:p w:rsidR="00AC12B4" w:rsidRPr="00C27636" w:rsidRDefault="00AC12B4">
            <w:pPr>
              <w:rPr>
                <w:sz w:val="15"/>
                <w:szCs w:val="15"/>
                <w:lang w:val="fr-BE"/>
              </w:rPr>
            </w:pPr>
          </w:p>
        </w:tc>
        <w:tc>
          <w:tcPr>
            <w:tcW w:w="1240" w:type="dxa"/>
            <w:gridSpan w:val="5"/>
            <w:vMerge/>
            <w:vAlign w:val="bottom"/>
          </w:tcPr>
          <w:p w:rsidR="00AC12B4" w:rsidRPr="00C27636" w:rsidRDefault="00AC12B4">
            <w:pPr>
              <w:rPr>
                <w:sz w:val="15"/>
                <w:szCs w:val="15"/>
                <w:lang w:val="fr-BE"/>
              </w:rPr>
            </w:pPr>
          </w:p>
        </w:tc>
        <w:tc>
          <w:tcPr>
            <w:tcW w:w="1440" w:type="dxa"/>
            <w:gridSpan w:val="4"/>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91"/>
        </w:trPr>
        <w:tc>
          <w:tcPr>
            <w:tcW w:w="4120" w:type="dxa"/>
            <w:gridSpan w:val="15"/>
            <w:vMerge/>
            <w:vAlign w:val="bottom"/>
          </w:tcPr>
          <w:p w:rsidR="00AC12B4" w:rsidRPr="00C27636" w:rsidRDefault="00AC12B4">
            <w:pPr>
              <w:rPr>
                <w:sz w:val="7"/>
                <w:szCs w:val="7"/>
                <w:lang w:val="fr-BE"/>
              </w:rPr>
            </w:pPr>
          </w:p>
        </w:tc>
        <w:tc>
          <w:tcPr>
            <w:tcW w:w="480" w:type="dxa"/>
            <w:vAlign w:val="bottom"/>
          </w:tcPr>
          <w:p w:rsidR="00AC12B4" w:rsidRPr="00C27636" w:rsidRDefault="00AC12B4">
            <w:pPr>
              <w:rPr>
                <w:sz w:val="7"/>
                <w:szCs w:val="7"/>
                <w:lang w:val="fr-BE"/>
              </w:rPr>
            </w:pPr>
          </w:p>
        </w:tc>
        <w:tc>
          <w:tcPr>
            <w:tcW w:w="4620" w:type="dxa"/>
            <w:gridSpan w:val="16"/>
            <w:vMerge w:val="restart"/>
            <w:vAlign w:val="bottom"/>
          </w:tcPr>
          <w:p w:rsidR="00AC12B4" w:rsidRPr="00C27636" w:rsidRDefault="00C27636">
            <w:pPr>
              <w:rPr>
                <w:sz w:val="20"/>
                <w:szCs w:val="20"/>
                <w:lang w:val="fr-BE"/>
              </w:rPr>
            </w:pPr>
            <w:r w:rsidRPr="00C27636">
              <w:rPr>
                <w:rFonts w:ascii="Calibri" w:eastAsia="Calibri" w:hAnsi="Calibri" w:cs="Calibri"/>
                <w:lang w:val="fr-BE"/>
              </w:rPr>
              <w:t>proviennent de quartiers ayant un indice</w:t>
            </w:r>
          </w:p>
        </w:tc>
        <w:tc>
          <w:tcPr>
            <w:tcW w:w="0" w:type="dxa"/>
            <w:vAlign w:val="bottom"/>
          </w:tcPr>
          <w:p w:rsidR="00AC12B4" w:rsidRPr="00C27636" w:rsidRDefault="00AC12B4">
            <w:pPr>
              <w:rPr>
                <w:sz w:val="1"/>
                <w:szCs w:val="1"/>
                <w:lang w:val="fr-BE"/>
              </w:rPr>
            </w:pPr>
          </w:p>
        </w:tc>
      </w:tr>
      <w:tr w:rsidR="00AC12B4">
        <w:trPr>
          <w:trHeight w:val="178"/>
        </w:trPr>
        <w:tc>
          <w:tcPr>
            <w:tcW w:w="1320" w:type="dxa"/>
            <w:gridSpan w:val="4"/>
            <w:vMerge w:val="restart"/>
            <w:vAlign w:val="bottom"/>
          </w:tcPr>
          <w:p w:rsidR="00AC12B4" w:rsidRDefault="00C27636">
            <w:pPr>
              <w:rPr>
                <w:sz w:val="20"/>
                <w:szCs w:val="20"/>
              </w:rPr>
            </w:pPr>
            <w:r>
              <w:rPr>
                <w:rFonts w:ascii="Calibri" w:eastAsia="Calibri" w:hAnsi="Calibri" w:cs="Calibri"/>
              </w:rPr>
              <w:t>(de 3,88% en</w:t>
            </w:r>
          </w:p>
        </w:tc>
        <w:tc>
          <w:tcPr>
            <w:tcW w:w="2240" w:type="dxa"/>
            <w:gridSpan w:val="8"/>
            <w:vMerge w:val="restart"/>
            <w:vAlign w:val="bottom"/>
          </w:tcPr>
          <w:p w:rsidR="00AC12B4" w:rsidRDefault="00C27636">
            <w:pPr>
              <w:ind w:left="100"/>
              <w:rPr>
                <w:sz w:val="20"/>
                <w:szCs w:val="20"/>
              </w:rPr>
            </w:pPr>
            <w:r>
              <w:rPr>
                <w:rFonts w:ascii="Calibri" w:eastAsia="Calibri" w:hAnsi="Calibri" w:cs="Calibri"/>
              </w:rPr>
              <w:t>2010-2011 vers 3,77%</w:t>
            </w:r>
          </w:p>
        </w:tc>
        <w:tc>
          <w:tcPr>
            <w:tcW w:w="560" w:type="dxa"/>
            <w:gridSpan w:val="3"/>
            <w:vMerge w:val="restart"/>
            <w:vAlign w:val="bottom"/>
          </w:tcPr>
          <w:p w:rsidR="00AC12B4" w:rsidRDefault="00C27636">
            <w:pPr>
              <w:ind w:right="240"/>
              <w:jc w:val="right"/>
              <w:rPr>
                <w:sz w:val="20"/>
                <w:szCs w:val="20"/>
              </w:rPr>
            </w:pPr>
            <w:r>
              <w:rPr>
                <w:rFonts w:ascii="Calibri" w:eastAsia="Calibri" w:hAnsi="Calibri" w:cs="Calibri"/>
              </w:rPr>
              <w:t>en</w:t>
            </w:r>
          </w:p>
        </w:tc>
        <w:tc>
          <w:tcPr>
            <w:tcW w:w="480" w:type="dxa"/>
            <w:vAlign w:val="bottom"/>
          </w:tcPr>
          <w:p w:rsidR="00AC12B4" w:rsidRDefault="00AC12B4">
            <w:pPr>
              <w:rPr>
                <w:sz w:val="15"/>
                <w:szCs w:val="15"/>
              </w:rPr>
            </w:pPr>
          </w:p>
        </w:tc>
        <w:tc>
          <w:tcPr>
            <w:tcW w:w="4620" w:type="dxa"/>
            <w:gridSpan w:val="16"/>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91"/>
        </w:trPr>
        <w:tc>
          <w:tcPr>
            <w:tcW w:w="1320" w:type="dxa"/>
            <w:gridSpan w:val="4"/>
            <w:vMerge/>
            <w:vAlign w:val="bottom"/>
          </w:tcPr>
          <w:p w:rsidR="00AC12B4" w:rsidRDefault="00AC12B4">
            <w:pPr>
              <w:rPr>
                <w:sz w:val="7"/>
                <w:szCs w:val="7"/>
              </w:rPr>
            </w:pPr>
          </w:p>
        </w:tc>
        <w:tc>
          <w:tcPr>
            <w:tcW w:w="2240" w:type="dxa"/>
            <w:gridSpan w:val="8"/>
            <w:vMerge/>
            <w:vAlign w:val="bottom"/>
          </w:tcPr>
          <w:p w:rsidR="00AC12B4" w:rsidRDefault="00AC12B4">
            <w:pPr>
              <w:rPr>
                <w:sz w:val="7"/>
                <w:szCs w:val="7"/>
              </w:rPr>
            </w:pPr>
          </w:p>
        </w:tc>
        <w:tc>
          <w:tcPr>
            <w:tcW w:w="560" w:type="dxa"/>
            <w:gridSpan w:val="3"/>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4620" w:type="dxa"/>
            <w:gridSpan w:val="16"/>
            <w:vMerge w:val="restart"/>
            <w:vAlign w:val="bottom"/>
          </w:tcPr>
          <w:p w:rsidR="00AC12B4" w:rsidRPr="00C27636" w:rsidRDefault="00C27636">
            <w:pPr>
              <w:rPr>
                <w:sz w:val="20"/>
                <w:szCs w:val="20"/>
                <w:lang w:val="fr-BE"/>
              </w:rPr>
            </w:pPr>
            <w:r w:rsidRPr="00C27636">
              <w:rPr>
                <w:rFonts w:ascii="Calibri" w:eastAsia="Calibri" w:hAnsi="Calibri" w:cs="Calibri"/>
                <w:lang w:val="fr-BE"/>
              </w:rPr>
              <w:t>socio-économique en moyenne plus élevé</w:t>
            </w:r>
          </w:p>
        </w:tc>
        <w:tc>
          <w:tcPr>
            <w:tcW w:w="0" w:type="dxa"/>
            <w:vAlign w:val="bottom"/>
          </w:tcPr>
          <w:p w:rsidR="00AC12B4" w:rsidRPr="00C27636" w:rsidRDefault="00AC12B4">
            <w:pPr>
              <w:rPr>
                <w:sz w:val="1"/>
                <w:szCs w:val="1"/>
                <w:lang w:val="fr-BE"/>
              </w:rPr>
            </w:pPr>
          </w:p>
        </w:tc>
      </w:tr>
      <w:tr w:rsidR="00AC12B4">
        <w:trPr>
          <w:trHeight w:val="178"/>
        </w:trPr>
        <w:tc>
          <w:tcPr>
            <w:tcW w:w="1100" w:type="dxa"/>
            <w:gridSpan w:val="3"/>
            <w:vMerge w:val="restart"/>
            <w:vAlign w:val="bottom"/>
          </w:tcPr>
          <w:p w:rsidR="00AC12B4" w:rsidRDefault="00C27636">
            <w:pPr>
              <w:rPr>
                <w:sz w:val="20"/>
                <w:szCs w:val="20"/>
              </w:rPr>
            </w:pPr>
            <w:r>
              <w:rPr>
                <w:rFonts w:ascii="Calibri" w:eastAsia="Calibri" w:hAnsi="Calibri" w:cs="Calibri"/>
                <w:w w:val="99"/>
              </w:rPr>
              <w:t>2014-2015),</w:t>
            </w:r>
          </w:p>
        </w:tc>
        <w:tc>
          <w:tcPr>
            <w:tcW w:w="720" w:type="dxa"/>
            <w:gridSpan w:val="3"/>
            <w:vMerge w:val="restart"/>
            <w:vAlign w:val="bottom"/>
          </w:tcPr>
          <w:p w:rsidR="00AC12B4" w:rsidRDefault="00C27636">
            <w:pPr>
              <w:ind w:right="50"/>
              <w:jc w:val="right"/>
              <w:rPr>
                <w:sz w:val="20"/>
                <w:szCs w:val="20"/>
              </w:rPr>
            </w:pPr>
            <w:r>
              <w:rPr>
                <w:rFonts w:ascii="Calibri" w:eastAsia="Calibri" w:hAnsi="Calibri" w:cs="Calibri"/>
              </w:rPr>
              <w:t>mais</w:t>
            </w:r>
          </w:p>
        </w:tc>
        <w:tc>
          <w:tcPr>
            <w:tcW w:w="1460" w:type="dxa"/>
            <w:gridSpan w:val="5"/>
            <w:vMerge w:val="restart"/>
            <w:vAlign w:val="bottom"/>
          </w:tcPr>
          <w:p w:rsidR="00AC12B4" w:rsidRDefault="00C27636">
            <w:pPr>
              <w:jc w:val="center"/>
              <w:rPr>
                <w:sz w:val="20"/>
                <w:szCs w:val="20"/>
              </w:rPr>
            </w:pPr>
            <w:r>
              <w:rPr>
                <w:rFonts w:ascii="Calibri" w:eastAsia="Calibri" w:hAnsi="Calibri" w:cs="Calibri"/>
              </w:rPr>
              <w:t>le  pourcentage</w:t>
            </w:r>
          </w:p>
        </w:tc>
        <w:tc>
          <w:tcPr>
            <w:tcW w:w="840" w:type="dxa"/>
            <w:gridSpan w:val="4"/>
            <w:vMerge w:val="restart"/>
            <w:vAlign w:val="bottom"/>
          </w:tcPr>
          <w:p w:rsidR="00AC12B4" w:rsidRDefault="00C27636">
            <w:pPr>
              <w:ind w:right="240"/>
              <w:jc w:val="right"/>
              <w:rPr>
                <w:sz w:val="20"/>
                <w:szCs w:val="20"/>
              </w:rPr>
            </w:pPr>
            <w:r>
              <w:rPr>
                <w:rFonts w:ascii="Calibri" w:eastAsia="Calibri" w:hAnsi="Calibri" w:cs="Calibri"/>
              </w:rPr>
              <w:t>reste</w:t>
            </w:r>
          </w:p>
        </w:tc>
        <w:tc>
          <w:tcPr>
            <w:tcW w:w="480" w:type="dxa"/>
            <w:vAlign w:val="bottom"/>
          </w:tcPr>
          <w:p w:rsidR="00AC12B4" w:rsidRDefault="00AC12B4">
            <w:pPr>
              <w:rPr>
                <w:sz w:val="15"/>
                <w:szCs w:val="15"/>
              </w:rPr>
            </w:pPr>
          </w:p>
        </w:tc>
        <w:tc>
          <w:tcPr>
            <w:tcW w:w="4620" w:type="dxa"/>
            <w:gridSpan w:val="16"/>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92"/>
        </w:trPr>
        <w:tc>
          <w:tcPr>
            <w:tcW w:w="1100" w:type="dxa"/>
            <w:gridSpan w:val="3"/>
            <w:vMerge/>
            <w:vAlign w:val="bottom"/>
          </w:tcPr>
          <w:p w:rsidR="00AC12B4" w:rsidRDefault="00AC12B4">
            <w:pPr>
              <w:rPr>
                <w:sz w:val="7"/>
                <w:szCs w:val="7"/>
              </w:rPr>
            </w:pPr>
          </w:p>
        </w:tc>
        <w:tc>
          <w:tcPr>
            <w:tcW w:w="720" w:type="dxa"/>
            <w:gridSpan w:val="3"/>
            <w:vMerge/>
            <w:vAlign w:val="bottom"/>
          </w:tcPr>
          <w:p w:rsidR="00AC12B4" w:rsidRDefault="00AC12B4">
            <w:pPr>
              <w:rPr>
                <w:sz w:val="7"/>
                <w:szCs w:val="7"/>
              </w:rPr>
            </w:pPr>
          </w:p>
        </w:tc>
        <w:tc>
          <w:tcPr>
            <w:tcW w:w="1460" w:type="dxa"/>
            <w:gridSpan w:val="5"/>
            <w:vMerge/>
            <w:vAlign w:val="bottom"/>
          </w:tcPr>
          <w:p w:rsidR="00AC12B4" w:rsidRDefault="00AC12B4">
            <w:pPr>
              <w:rPr>
                <w:sz w:val="7"/>
                <w:szCs w:val="7"/>
              </w:rPr>
            </w:pPr>
          </w:p>
        </w:tc>
        <w:tc>
          <w:tcPr>
            <w:tcW w:w="840" w:type="dxa"/>
            <w:gridSpan w:val="4"/>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4620" w:type="dxa"/>
            <w:gridSpan w:val="16"/>
            <w:vMerge w:val="restart"/>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que les élèves inscrits dans l’enseignement</w:t>
            </w:r>
          </w:p>
        </w:tc>
        <w:tc>
          <w:tcPr>
            <w:tcW w:w="0" w:type="dxa"/>
            <w:vAlign w:val="bottom"/>
          </w:tcPr>
          <w:p w:rsidR="00AC12B4" w:rsidRPr="00C27636" w:rsidRDefault="00AC12B4">
            <w:pPr>
              <w:rPr>
                <w:sz w:val="1"/>
                <w:szCs w:val="1"/>
                <w:lang w:val="fr-BE"/>
              </w:rPr>
            </w:pPr>
          </w:p>
        </w:tc>
      </w:tr>
      <w:tr w:rsidR="00AC12B4" w:rsidRPr="00C27636">
        <w:trPr>
          <w:trHeight w:val="175"/>
        </w:trPr>
        <w:tc>
          <w:tcPr>
            <w:tcW w:w="4120" w:type="dxa"/>
            <w:gridSpan w:val="15"/>
            <w:vMerge w:val="restart"/>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 xml:space="preserve">supérieur à la proportion </w:t>
            </w:r>
            <w:r w:rsidRPr="00C27636">
              <w:rPr>
                <w:rFonts w:ascii="Calibri" w:eastAsia="Calibri" w:hAnsi="Calibri" w:cs="Calibri"/>
                <w:lang w:val="fr-BE"/>
              </w:rPr>
              <w:t>d’enfants belges</w:t>
            </w:r>
          </w:p>
        </w:tc>
        <w:tc>
          <w:tcPr>
            <w:tcW w:w="480" w:type="dxa"/>
            <w:vAlign w:val="bottom"/>
          </w:tcPr>
          <w:p w:rsidR="00AC12B4" w:rsidRPr="00C27636" w:rsidRDefault="00AC12B4">
            <w:pPr>
              <w:rPr>
                <w:sz w:val="15"/>
                <w:szCs w:val="15"/>
                <w:lang w:val="fr-BE"/>
              </w:rPr>
            </w:pPr>
          </w:p>
        </w:tc>
        <w:tc>
          <w:tcPr>
            <w:tcW w:w="4620" w:type="dxa"/>
            <w:gridSpan w:val="16"/>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trPr>
          <w:trHeight w:val="91"/>
        </w:trPr>
        <w:tc>
          <w:tcPr>
            <w:tcW w:w="4120" w:type="dxa"/>
            <w:gridSpan w:val="15"/>
            <w:vMerge/>
            <w:vAlign w:val="bottom"/>
          </w:tcPr>
          <w:p w:rsidR="00AC12B4" w:rsidRPr="00C27636" w:rsidRDefault="00AC12B4">
            <w:pPr>
              <w:rPr>
                <w:sz w:val="7"/>
                <w:szCs w:val="7"/>
                <w:lang w:val="fr-BE"/>
              </w:rPr>
            </w:pPr>
          </w:p>
        </w:tc>
        <w:tc>
          <w:tcPr>
            <w:tcW w:w="480" w:type="dxa"/>
            <w:vAlign w:val="bottom"/>
          </w:tcPr>
          <w:p w:rsidR="00AC12B4" w:rsidRPr="00C27636" w:rsidRDefault="00AC12B4">
            <w:pPr>
              <w:rPr>
                <w:sz w:val="7"/>
                <w:szCs w:val="7"/>
                <w:lang w:val="fr-BE"/>
              </w:rPr>
            </w:pPr>
          </w:p>
        </w:tc>
        <w:tc>
          <w:tcPr>
            <w:tcW w:w="3180" w:type="dxa"/>
            <w:gridSpan w:val="12"/>
            <w:vMerge w:val="restart"/>
            <w:vAlign w:val="bottom"/>
          </w:tcPr>
          <w:p w:rsidR="00AC12B4" w:rsidRDefault="00C27636">
            <w:pPr>
              <w:rPr>
                <w:sz w:val="20"/>
                <w:szCs w:val="20"/>
              </w:rPr>
            </w:pPr>
            <w:r>
              <w:rPr>
                <w:rFonts w:ascii="Calibri" w:eastAsia="Calibri" w:hAnsi="Calibri" w:cs="Calibri"/>
              </w:rPr>
              <w:t>professionnel (Cf. Figure 2). Les</w:t>
            </w:r>
          </w:p>
        </w:tc>
        <w:tc>
          <w:tcPr>
            <w:tcW w:w="1440" w:type="dxa"/>
            <w:gridSpan w:val="4"/>
            <w:vMerge w:val="restart"/>
            <w:vAlign w:val="bottom"/>
          </w:tcPr>
          <w:p w:rsidR="00AC12B4" w:rsidRDefault="00C27636">
            <w:pPr>
              <w:ind w:right="740"/>
              <w:jc w:val="right"/>
              <w:rPr>
                <w:sz w:val="20"/>
                <w:szCs w:val="20"/>
              </w:rPr>
            </w:pPr>
            <w:r>
              <w:rPr>
                <w:rFonts w:ascii="Calibri" w:eastAsia="Calibri" w:hAnsi="Calibri" w:cs="Calibri"/>
              </w:rPr>
              <w:t>chiffres</w:t>
            </w:r>
          </w:p>
        </w:tc>
        <w:tc>
          <w:tcPr>
            <w:tcW w:w="0" w:type="dxa"/>
            <w:vAlign w:val="bottom"/>
          </w:tcPr>
          <w:p w:rsidR="00AC12B4" w:rsidRDefault="00AC12B4">
            <w:pPr>
              <w:rPr>
                <w:sz w:val="1"/>
                <w:szCs w:val="1"/>
              </w:rPr>
            </w:pPr>
          </w:p>
        </w:tc>
      </w:tr>
      <w:tr w:rsidR="00AC12B4">
        <w:trPr>
          <w:trHeight w:val="178"/>
        </w:trPr>
        <w:tc>
          <w:tcPr>
            <w:tcW w:w="4120" w:type="dxa"/>
            <w:gridSpan w:val="15"/>
            <w:vMerge w:val="restart"/>
            <w:vAlign w:val="bottom"/>
          </w:tcPr>
          <w:p w:rsidR="00AC12B4" w:rsidRDefault="00C27636">
            <w:pPr>
              <w:rPr>
                <w:sz w:val="20"/>
                <w:szCs w:val="20"/>
              </w:rPr>
            </w:pPr>
            <w:r>
              <w:rPr>
                <w:rFonts w:ascii="Calibri" w:eastAsia="Calibri" w:hAnsi="Calibri" w:cs="Calibri"/>
              </w:rPr>
              <w:t>dans l’enseignement spécialisé (1,61% en</w:t>
            </w:r>
          </w:p>
        </w:tc>
        <w:tc>
          <w:tcPr>
            <w:tcW w:w="480" w:type="dxa"/>
            <w:vAlign w:val="bottom"/>
          </w:tcPr>
          <w:p w:rsidR="00AC12B4" w:rsidRDefault="00AC12B4">
            <w:pPr>
              <w:rPr>
                <w:sz w:val="15"/>
                <w:szCs w:val="15"/>
              </w:rPr>
            </w:pPr>
          </w:p>
        </w:tc>
        <w:tc>
          <w:tcPr>
            <w:tcW w:w="3180" w:type="dxa"/>
            <w:gridSpan w:val="12"/>
            <w:vMerge/>
            <w:vAlign w:val="bottom"/>
          </w:tcPr>
          <w:p w:rsidR="00AC12B4" w:rsidRDefault="00AC12B4">
            <w:pPr>
              <w:rPr>
                <w:sz w:val="15"/>
                <w:szCs w:val="15"/>
              </w:rPr>
            </w:pPr>
          </w:p>
        </w:tc>
        <w:tc>
          <w:tcPr>
            <w:tcW w:w="1440" w:type="dxa"/>
            <w:gridSpan w:val="4"/>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1"/>
        </w:trPr>
        <w:tc>
          <w:tcPr>
            <w:tcW w:w="4120" w:type="dxa"/>
            <w:gridSpan w:val="15"/>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2280" w:type="dxa"/>
            <w:gridSpan w:val="9"/>
            <w:vMerge w:val="restart"/>
            <w:vAlign w:val="bottom"/>
          </w:tcPr>
          <w:p w:rsidR="00AC12B4" w:rsidRDefault="00C27636">
            <w:pPr>
              <w:rPr>
                <w:sz w:val="20"/>
                <w:szCs w:val="20"/>
              </w:rPr>
            </w:pPr>
            <w:r>
              <w:rPr>
                <w:rFonts w:ascii="Calibri" w:eastAsia="Calibri" w:hAnsi="Calibri" w:cs="Calibri"/>
                <w:w w:val="99"/>
              </w:rPr>
              <w:t>sont stables depuis 2010.</w:t>
            </w:r>
          </w:p>
        </w:tc>
        <w:tc>
          <w:tcPr>
            <w:tcW w:w="4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7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78"/>
        </w:trPr>
        <w:tc>
          <w:tcPr>
            <w:tcW w:w="1100" w:type="dxa"/>
            <w:gridSpan w:val="3"/>
            <w:vMerge w:val="restart"/>
            <w:vAlign w:val="bottom"/>
          </w:tcPr>
          <w:p w:rsidR="00AC12B4" w:rsidRDefault="00C27636">
            <w:pPr>
              <w:rPr>
                <w:sz w:val="20"/>
                <w:szCs w:val="20"/>
              </w:rPr>
            </w:pPr>
            <w:r>
              <w:rPr>
                <w:rFonts w:ascii="Calibri" w:eastAsia="Calibri" w:hAnsi="Calibri" w:cs="Calibri"/>
                <w:w w:val="99"/>
              </w:rPr>
              <w:t>2014-2015).</w:t>
            </w:r>
          </w:p>
        </w:tc>
        <w:tc>
          <w:tcPr>
            <w:tcW w:w="220" w:type="dxa"/>
            <w:vAlign w:val="bottom"/>
          </w:tcPr>
          <w:p w:rsidR="00AC12B4" w:rsidRDefault="00AC12B4">
            <w:pPr>
              <w:rPr>
                <w:sz w:val="15"/>
                <w:szCs w:val="15"/>
              </w:rPr>
            </w:pPr>
          </w:p>
        </w:tc>
        <w:tc>
          <w:tcPr>
            <w:tcW w:w="22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420" w:type="dxa"/>
            <w:vAlign w:val="bottom"/>
          </w:tcPr>
          <w:p w:rsidR="00AC12B4" w:rsidRDefault="00AC12B4">
            <w:pPr>
              <w:rPr>
                <w:sz w:val="15"/>
                <w:szCs w:val="15"/>
              </w:rPr>
            </w:pPr>
          </w:p>
        </w:tc>
        <w:tc>
          <w:tcPr>
            <w:tcW w:w="500" w:type="dxa"/>
            <w:vAlign w:val="bottom"/>
          </w:tcPr>
          <w:p w:rsidR="00AC12B4" w:rsidRDefault="00AC12B4">
            <w:pPr>
              <w:rPr>
                <w:sz w:val="15"/>
                <w:szCs w:val="15"/>
              </w:rPr>
            </w:pPr>
          </w:p>
        </w:tc>
        <w:tc>
          <w:tcPr>
            <w:tcW w:w="60" w:type="dxa"/>
            <w:vAlign w:val="bottom"/>
          </w:tcPr>
          <w:p w:rsidR="00AC12B4" w:rsidRDefault="00AC12B4">
            <w:pPr>
              <w:rPr>
                <w:sz w:val="15"/>
                <w:szCs w:val="15"/>
              </w:rPr>
            </w:pPr>
          </w:p>
        </w:tc>
        <w:tc>
          <w:tcPr>
            <w:tcW w:w="8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80" w:type="dxa"/>
            <w:vAlign w:val="bottom"/>
          </w:tcPr>
          <w:p w:rsidR="00AC12B4" w:rsidRDefault="00AC12B4">
            <w:pPr>
              <w:rPr>
                <w:sz w:val="15"/>
                <w:szCs w:val="15"/>
              </w:rPr>
            </w:pPr>
          </w:p>
        </w:tc>
        <w:tc>
          <w:tcPr>
            <w:tcW w:w="80" w:type="dxa"/>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2280" w:type="dxa"/>
            <w:gridSpan w:val="9"/>
            <w:vMerge/>
            <w:vAlign w:val="bottom"/>
          </w:tcPr>
          <w:p w:rsidR="00AC12B4" w:rsidRDefault="00AC12B4">
            <w:pPr>
              <w:rPr>
                <w:sz w:val="15"/>
                <w:szCs w:val="15"/>
              </w:rPr>
            </w:pPr>
          </w:p>
        </w:tc>
        <w:tc>
          <w:tcPr>
            <w:tcW w:w="440" w:type="dxa"/>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7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1"/>
        </w:trPr>
        <w:tc>
          <w:tcPr>
            <w:tcW w:w="1100" w:type="dxa"/>
            <w:gridSpan w:val="3"/>
            <w:vMerge/>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50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3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7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98"/>
        </w:trPr>
        <w:tc>
          <w:tcPr>
            <w:tcW w:w="4120" w:type="dxa"/>
            <w:gridSpan w:val="15"/>
            <w:vMerge w:val="restart"/>
            <w:vAlign w:val="bottom"/>
          </w:tcPr>
          <w:p w:rsidR="00AC12B4" w:rsidRPr="00C27636" w:rsidRDefault="00C27636">
            <w:pPr>
              <w:rPr>
                <w:sz w:val="20"/>
                <w:szCs w:val="20"/>
                <w:lang w:val="fr-BE"/>
              </w:rPr>
            </w:pPr>
            <w:r w:rsidRPr="00C27636">
              <w:rPr>
                <w:rFonts w:ascii="Calibri" w:eastAsia="Calibri" w:hAnsi="Calibri" w:cs="Calibri"/>
                <w:lang w:val="fr-BE"/>
              </w:rPr>
              <w:t xml:space="preserve">Toutefois, la plupart des </w:t>
            </w:r>
            <w:r w:rsidRPr="00C27636">
              <w:rPr>
                <w:rFonts w:ascii="Calibri" w:eastAsia="Calibri" w:hAnsi="Calibri" w:cs="Calibri"/>
                <w:lang w:val="fr-BE"/>
              </w:rPr>
              <w:lastRenderedPageBreak/>
              <w:t xml:space="preserve">élèves </w:t>
            </w:r>
            <w:r w:rsidRPr="00C27636">
              <w:rPr>
                <w:rFonts w:ascii="Calibri" w:eastAsia="Calibri" w:hAnsi="Calibri" w:cs="Calibri"/>
                <w:lang w:val="fr-BE"/>
              </w:rPr>
              <w:t>non-belges</w:t>
            </w:r>
          </w:p>
        </w:tc>
        <w:tc>
          <w:tcPr>
            <w:tcW w:w="480" w:type="dxa"/>
            <w:vAlign w:val="bottom"/>
          </w:tcPr>
          <w:p w:rsidR="00AC12B4" w:rsidRPr="00C27636" w:rsidRDefault="00AC12B4">
            <w:pPr>
              <w:rPr>
                <w:sz w:val="24"/>
                <w:szCs w:val="24"/>
                <w:lang w:val="fr-BE"/>
              </w:rPr>
            </w:pPr>
          </w:p>
        </w:tc>
        <w:tc>
          <w:tcPr>
            <w:tcW w:w="1940" w:type="dxa"/>
            <w:gridSpan w:val="7"/>
            <w:vAlign w:val="bottom"/>
          </w:tcPr>
          <w:p w:rsidR="00AC12B4" w:rsidRDefault="00C27636">
            <w:pPr>
              <w:rPr>
                <w:sz w:val="20"/>
                <w:szCs w:val="20"/>
              </w:rPr>
            </w:pPr>
            <w:r>
              <w:rPr>
                <w:rFonts w:ascii="Calibri" w:eastAsia="Calibri" w:hAnsi="Calibri" w:cs="Calibri"/>
              </w:rPr>
              <w:t xml:space="preserve">L’indicateur </w:t>
            </w:r>
            <w:r>
              <w:rPr>
                <w:rFonts w:ascii="Calibri" w:eastAsia="Calibri" w:hAnsi="Calibri" w:cs="Calibri"/>
              </w:rPr>
              <w:lastRenderedPageBreak/>
              <w:t>AROPE</w:t>
            </w:r>
          </w:p>
        </w:tc>
        <w:tc>
          <w:tcPr>
            <w:tcW w:w="2680" w:type="dxa"/>
            <w:gridSpan w:val="9"/>
            <w:vAlign w:val="bottom"/>
          </w:tcPr>
          <w:p w:rsidR="00AC12B4" w:rsidRDefault="00C27636">
            <w:pPr>
              <w:ind w:right="740"/>
              <w:jc w:val="right"/>
              <w:rPr>
                <w:sz w:val="20"/>
                <w:szCs w:val="20"/>
              </w:rPr>
            </w:pPr>
            <w:r>
              <w:rPr>
                <w:rFonts w:ascii="Calibri" w:eastAsia="Calibri" w:hAnsi="Calibri" w:cs="Calibri"/>
              </w:rPr>
              <w:lastRenderedPageBreak/>
              <w:t>Enseigne</w:t>
            </w:r>
            <w:r>
              <w:rPr>
                <w:rFonts w:ascii="Calibri" w:eastAsia="Calibri" w:hAnsi="Calibri" w:cs="Calibri"/>
              </w:rPr>
              <w:lastRenderedPageBreak/>
              <w:t>ment 2012-</w:t>
            </w:r>
          </w:p>
        </w:tc>
        <w:tc>
          <w:tcPr>
            <w:tcW w:w="0" w:type="dxa"/>
            <w:vAlign w:val="bottom"/>
          </w:tcPr>
          <w:p w:rsidR="00AC12B4" w:rsidRDefault="00AC12B4">
            <w:pPr>
              <w:rPr>
                <w:sz w:val="1"/>
                <w:szCs w:val="1"/>
              </w:rPr>
            </w:pPr>
          </w:p>
        </w:tc>
      </w:tr>
      <w:tr w:rsidR="00AC12B4" w:rsidRPr="00C27636">
        <w:trPr>
          <w:trHeight w:val="91"/>
        </w:trPr>
        <w:tc>
          <w:tcPr>
            <w:tcW w:w="4120" w:type="dxa"/>
            <w:gridSpan w:val="15"/>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4620" w:type="dxa"/>
            <w:gridSpan w:val="16"/>
            <w:vMerge w:val="restart"/>
            <w:vAlign w:val="bottom"/>
          </w:tcPr>
          <w:p w:rsidR="00AC12B4" w:rsidRPr="00C27636" w:rsidRDefault="00C27636">
            <w:pPr>
              <w:rPr>
                <w:sz w:val="20"/>
                <w:szCs w:val="20"/>
                <w:lang w:val="fr-BE"/>
              </w:rPr>
            </w:pPr>
            <w:r w:rsidRPr="00C27636">
              <w:rPr>
                <w:rFonts w:ascii="Calibri" w:eastAsia="Calibri" w:hAnsi="Calibri" w:cs="Calibri"/>
                <w:lang w:val="fr-BE"/>
              </w:rPr>
              <w:t>2013 indique qu’avant tout les élèves des</w:t>
            </w:r>
          </w:p>
        </w:tc>
        <w:tc>
          <w:tcPr>
            <w:tcW w:w="0" w:type="dxa"/>
            <w:vAlign w:val="bottom"/>
          </w:tcPr>
          <w:p w:rsidR="00AC12B4" w:rsidRPr="00C27636" w:rsidRDefault="00AC12B4">
            <w:pPr>
              <w:rPr>
                <w:sz w:val="1"/>
                <w:szCs w:val="1"/>
                <w:lang w:val="fr-BE"/>
              </w:rPr>
            </w:pPr>
          </w:p>
        </w:tc>
      </w:tr>
      <w:tr w:rsidR="00AC12B4">
        <w:trPr>
          <w:trHeight w:val="178"/>
        </w:trPr>
        <w:tc>
          <w:tcPr>
            <w:tcW w:w="1100" w:type="dxa"/>
            <w:gridSpan w:val="3"/>
            <w:vMerge w:val="restart"/>
            <w:vAlign w:val="bottom"/>
          </w:tcPr>
          <w:p w:rsidR="00AC12B4" w:rsidRDefault="00C27636">
            <w:pPr>
              <w:rPr>
                <w:sz w:val="20"/>
                <w:szCs w:val="20"/>
              </w:rPr>
            </w:pPr>
            <w:r>
              <w:rPr>
                <w:rFonts w:ascii="Calibri" w:eastAsia="Calibri" w:hAnsi="Calibri" w:cs="Calibri"/>
              </w:rPr>
              <w:t>auxquels</w:t>
            </w:r>
          </w:p>
        </w:tc>
        <w:tc>
          <w:tcPr>
            <w:tcW w:w="440" w:type="dxa"/>
            <w:gridSpan w:val="2"/>
            <w:vMerge w:val="restart"/>
            <w:vAlign w:val="bottom"/>
          </w:tcPr>
          <w:p w:rsidR="00AC12B4" w:rsidRDefault="00C27636">
            <w:pPr>
              <w:ind w:left="60"/>
              <w:rPr>
                <w:sz w:val="20"/>
                <w:szCs w:val="20"/>
              </w:rPr>
            </w:pPr>
            <w:r>
              <w:rPr>
                <w:rFonts w:ascii="Calibri" w:eastAsia="Calibri" w:hAnsi="Calibri" w:cs="Calibri"/>
              </w:rPr>
              <w:t>les</w:t>
            </w:r>
          </w:p>
        </w:tc>
        <w:tc>
          <w:tcPr>
            <w:tcW w:w="1260" w:type="dxa"/>
            <w:gridSpan w:val="4"/>
            <w:vMerge w:val="restart"/>
            <w:vAlign w:val="bottom"/>
          </w:tcPr>
          <w:p w:rsidR="00AC12B4" w:rsidRDefault="00C27636">
            <w:pPr>
              <w:ind w:left="90"/>
              <w:jc w:val="center"/>
              <w:rPr>
                <w:sz w:val="20"/>
                <w:szCs w:val="20"/>
              </w:rPr>
            </w:pPr>
            <w:r>
              <w:rPr>
                <w:rFonts w:ascii="Calibri" w:eastAsia="Calibri" w:hAnsi="Calibri" w:cs="Calibri"/>
                <w:w w:val="99"/>
              </w:rPr>
              <w:t>statistiques</w:t>
            </w:r>
          </w:p>
        </w:tc>
        <w:tc>
          <w:tcPr>
            <w:tcW w:w="80" w:type="dxa"/>
            <w:vAlign w:val="bottom"/>
          </w:tcPr>
          <w:p w:rsidR="00AC12B4" w:rsidRDefault="00AC12B4">
            <w:pPr>
              <w:rPr>
                <w:sz w:val="15"/>
                <w:szCs w:val="15"/>
              </w:rPr>
            </w:pPr>
          </w:p>
        </w:tc>
        <w:tc>
          <w:tcPr>
            <w:tcW w:w="680" w:type="dxa"/>
            <w:gridSpan w:val="2"/>
            <w:vMerge w:val="restart"/>
            <w:vAlign w:val="bottom"/>
          </w:tcPr>
          <w:p w:rsidR="00AC12B4" w:rsidRDefault="00C27636">
            <w:pPr>
              <w:ind w:left="260"/>
              <w:rPr>
                <w:sz w:val="20"/>
                <w:szCs w:val="20"/>
              </w:rPr>
            </w:pPr>
            <w:r>
              <w:rPr>
                <w:rFonts w:ascii="Calibri" w:eastAsia="Calibri" w:hAnsi="Calibri" w:cs="Calibri"/>
              </w:rPr>
              <w:t>de</w:t>
            </w:r>
          </w:p>
        </w:tc>
        <w:tc>
          <w:tcPr>
            <w:tcW w:w="560" w:type="dxa"/>
            <w:gridSpan w:val="3"/>
            <w:vMerge w:val="restart"/>
            <w:vAlign w:val="bottom"/>
          </w:tcPr>
          <w:p w:rsidR="00AC12B4" w:rsidRDefault="00C27636">
            <w:pPr>
              <w:ind w:right="240"/>
              <w:jc w:val="right"/>
              <w:rPr>
                <w:sz w:val="20"/>
                <w:szCs w:val="20"/>
              </w:rPr>
            </w:pPr>
            <w:r>
              <w:rPr>
                <w:rFonts w:ascii="Calibri" w:eastAsia="Calibri" w:hAnsi="Calibri" w:cs="Calibri"/>
              </w:rPr>
              <w:t>la</w:t>
            </w:r>
          </w:p>
        </w:tc>
        <w:tc>
          <w:tcPr>
            <w:tcW w:w="480" w:type="dxa"/>
            <w:vAlign w:val="bottom"/>
          </w:tcPr>
          <w:p w:rsidR="00AC12B4" w:rsidRDefault="00AC12B4">
            <w:pPr>
              <w:rPr>
                <w:sz w:val="15"/>
                <w:szCs w:val="15"/>
              </w:rPr>
            </w:pPr>
          </w:p>
        </w:tc>
        <w:tc>
          <w:tcPr>
            <w:tcW w:w="4620" w:type="dxa"/>
            <w:gridSpan w:val="16"/>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1"/>
        </w:trPr>
        <w:tc>
          <w:tcPr>
            <w:tcW w:w="1100" w:type="dxa"/>
            <w:gridSpan w:val="3"/>
            <w:vMerge/>
            <w:vAlign w:val="bottom"/>
          </w:tcPr>
          <w:p w:rsidR="00AC12B4" w:rsidRDefault="00AC12B4">
            <w:pPr>
              <w:rPr>
                <w:sz w:val="7"/>
                <w:szCs w:val="7"/>
              </w:rPr>
            </w:pPr>
          </w:p>
        </w:tc>
        <w:tc>
          <w:tcPr>
            <w:tcW w:w="440" w:type="dxa"/>
            <w:gridSpan w:val="2"/>
            <w:vMerge/>
            <w:vAlign w:val="bottom"/>
          </w:tcPr>
          <w:p w:rsidR="00AC12B4" w:rsidRDefault="00AC12B4">
            <w:pPr>
              <w:rPr>
                <w:sz w:val="7"/>
                <w:szCs w:val="7"/>
              </w:rPr>
            </w:pPr>
          </w:p>
        </w:tc>
        <w:tc>
          <w:tcPr>
            <w:tcW w:w="1260" w:type="dxa"/>
            <w:gridSpan w:val="4"/>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680" w:type="dxa"/>
            <w:gridSpan w:val="2"/>
            <w:vMerge/>
            <w:vAlign w:val="bottom"/>
          </w:tcPr>
          <w:p w:rsidR="00AC12B4" w:rsidRDefault="00AC12B4">
            <w:pPr>
              <w:rPr>
                <w:sz w:val="7"/>
                <w:szCs w:val="7"/>
              </w:rPr>
            </w:pPr>
          </w:p>
        </w:tc>
        <w:tc>
          <w:tcPr>
            <w:tcW w:w="560" w:type="dxa"/>
            <w:gridSpan w:val="3"/>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3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7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13"/>
        </w:trPr>
        <w:tc>
          <w:tcPr>
            <w:tcW w:w="1320" w:type="dxa"/>
            <w:gridSpan w:val="4"/>
            <w:vMerge w:val="restart"/>
            <w:vAlign w:val="bottom"/>
          </w:tcPr>
          <w:p w:rsidR="00AC12B4" w:rsidRDefault="00C27636">
            <w:pPr>
              <w:rPr>
                <w:sz w:val="20"/>
                <w:szCs w:val="20"/>
              </w:rPr>
            </w:pPr>
            <w:r>
              <w:rPr>
                <w:rFonts w:ascii="Calibri" w:eastAsia="Calibri" w:hAnsi="Calibri" w:cs="Calibri"/>
              </w:rPr>
              <w:t>Communauté</w:t>
            </w:r>
          </w:p>
        </w:tc>
        <w:tc>
          <w:tcPr>
            <w:tcW w:w="22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50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36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44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7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56"/>
        </w:trPr>
        <w:tc>
          <w:tcPr>
            <w:tcW w:w="1320" w:type="dxa"/>
            <w:gridSpan w:val="4"/>
            <w:vMerge/>
            <w:vAlign w:val="bottom"/>
          </w:tcPr>
          <w:p w:rsidR="00AC12B4" w:rsidRDefault="00AC12B4">
            <w:pPr>
              <w:rPr>
                <w:sz w:val="13"/>
                <w:szCs w:val="13"/>
              </w:rPr>
            </w:pPr>
          </w:p>
        </w:tc>
        <w:tc>
          <w:tcPr>
            <w:tcW w:w="22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500" w:type="dxa"/>
            <w:tcBorders>
              <w:right w:val="single" w:sz="8" w:space="0" w:color="8BCCEC"/>
            </w:tcBorders>
            <w:vAlign w:val="bottom"/>
          </w:tcPr>
          <w:p w:rsidR="00AC12B4" w:rsidRDefault="00AC12B4">
            <w:pPr>
              <w:rPr>
                <w:sz w:val="13"/>
                <w:szCs w:val="13"/>
              </w:rPr>
            </w:pPr>
          </w:p>
        </w:tc>
        <w:tc>
          <w:tcPr>
            <w:tcW w:w="6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48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340" w:type="dxa"/>
            <w:vAlign w:val="bottom"/>
          </w:tcPr>
          <w:p w:rsidR="00AC12B4" w:rsidRDefault="00AC12B4">
            <w:pPr>
              <w:rPr>
                <w:sz w:val="13"/>
                <w:szCs w:val="13"/>
              </w:rPr>
            </w:pPr>
          </w:p>
        </w:tc>
        <w:tc>
          <w:tcPr>
            <w:tcW w:w="36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34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6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7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65"/>
        </w:trPr>
        <w:tc>
          <w:tcPr>
            <w:tcW w:w="1540" w:type="dxa"/>
            <w:gridSpan w:val="5"/>
            <w:vMerge w:val="restart"/>
            <w:vAlign w:val="bottom"/>
          </w:tcPr>
          <w:p w:rsidR="00AC12B4" w:rsidRDefault="00C27636">
            <w:pPr>
              <w:rPr>
                <w:sz w:val="20"/>
                <w:szCs w:val="20"/>
              </w:rPr>
            </w:pPr>
            <w:r>
              <w:rPr>
                <w:rFonts w:ascii="Calibri" w:eastAsia="Calibri" w:hAnsi="Calibri" w:cs="Calibri"/>
              </w:rPr>
              <w:t>germanophone</w:t>
            </w:r>
          </w:p>
        </w:tc>
        <w:tc>
          <w:tcPr>
            <w:tcW w:w="1200" w:type="dxa"/>
            <w:gridSpan w:val="3"/>
            <w:vMerge w:val="restart"/>
            <w:tcBorders>
              <w:right w:val="single" w:sz="8" w:space="0" w:color="8BCCEC"/>
            </w:tcBorders>
            <w:vAlign w:val="bottom"/>
          </w:tcPr>
          <w:p w:rsidR="00AC12B4" w:rsidRDefault="00C27636">
            <w:pPr>
              <w:ind w:right="72"/>
              <w:jc w:val="right"/>
              <w:rPr>
                <w:sz w:val="20"/>
                <w:szCs w:val="20"/>
              </w:rPr>
            </w:pPr>
            <w:r>
              <w:rPr>
                <w:rFonts w:ascii="Calibri" w:eastAsia="Calibri" w:hAnsi="Calibri" w:cs="Calibri"/>
              </w:rPr>
              <w:t>renvoient</w:t>
            </w:r>
          </w:p>
        </w:tc>
        <w:tc>
          <w:tcPr>
            <w:tcW w:w="60" w:type="dxa"/>
            <w:vMerge w:val="restart"/>
            <w:vAlign w:val="bottom"/>
          </w:tcPr>
          <w:p w:rsidR="00AC12B4" w:rsidRDefault="00AC12B4">
            <w:pPr>
              <w:rPr>
                <w:sz w:val="5"/>
                <w:szCs w:val="5"/>
              </w:rPr>
            </w:pPr>
          </w:p>
        </w:tc>
        <w:tc>
          <w:tcPr>
            <w:tcW w:w="8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28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80" w:type="dxa"/>
            <w:tcBorders>
              <w:bottom w:val="single" w:sz="8" w:space="0" w:color="868686"/>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36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280" w:type="dxa"/>
            <w:vAlign w:val="bottom"/>
          </w:tcPr>
          <w:p w:rsidR="00AC12B4" w:rsidRDefault="00AC12B4">
            <w:pPr>
              <w:rPr>
                <w:sz w:val="5"/>
                <w:szCs w:val="5"/>
              </w:rPr>
            </w:pPr>
          </w:p>
        </w:tc>
        <w:tc>
          <w:tcPr>
            <w:tcW w:w="60" w:type="dxa"/>
            <w:vAlign w:val="bottom"/>
          </w:tcPr>
          <w:p w:rsidR="00AC12B4" w:rsidRDefault="00AC12B4">
            <w:pPr>
              <w:rPr>
                <w:sz w:val="5"/>
                <w:szCs w:val="5"/>
              </w:rPr>
            </w:pPr>
          </w:p>
        </w:tc>
        <w:tc>
          <w:tcPr>
            <w:tcW w:w="44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260" w:type="dxa"/>
            <w:vAlign w:val="bottom"/>
          </w:tcPr>
          <w:p w:rsidR="00AC12B4" w:rsidRDefault="00AC12B4">
            <w:pPr>
              <w:rPr>
                <w:sz w:val="5"/>
                <w:szCs w:val="5"/>
              </w:rPr>
            </w:pPr>
          </w:p>
        </w:tc>
        <w:tc>
          <w:tcPr>
            <w:tcW w:w="18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76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84"/>
        </w:trPr>
        <w:tc>
          <w:tcPr>
            <w:tcW w:w="1540" w:type="dxa"/>
            <w:gridSpan w:val="5"/>
            <w:vMerge/>
            <w:vAlign w:val="bottom"/>
          </w:tcPr>
          <w:p w:rsidR="00AC12B4" w:rsidRDefault="00AC12B4">
            <w:pPr>
              <w:rPr>
                <w:sz w:val="15"/>
                <w:szCs w:val="15"/>
              </w:rPr>
            </w:pPr>
          </w:p>
        </w:tc>
        <w:tc>
          <w:tcPr>
            <w:tcW w:w="1200" w:type="dxa"/>
            <w:gridSpan w:val="3"/>
            <w:vMerge/>
            <w:tcBorders>
              <w:right w:val="single" w:sz="8" w:space="0" w:color="8BCCEC"/>
            </w:tcBorders>
            <w:vAlign w:val="bottom"/>
          </w:tcPr>
          <w:p w:rsidR="00AC12B4" w:rsidRDefault="00AC12B4">
            <w:pPr>
              <w:rPr>
                <w:sz w:val="15"/>
                <w:szCs w:val="15"/>
              </w:rPr>
            </w:pPr>
          </w:p>
        </w:tc>
        <w:tc>
          <w:tcPr>
            <w:tcW w:w="60" w:type="dxa"/>
            <w:vMerge/>
            <w:vAlign w:val="bottom"/>
          </w:tcPr>
          <w:p w:rsidR="00AC12B4" w:rsidRDefault="00AC12B4">
            <w:pPr>
              <w:rPr>
                <w:sz w:val="15"/>
                <w:szCs w:val="15"/>
              </w:rPr>
            </w:pPr>
          </w:p>
        </w:tc>
        <w:tc>
          <w:tcPr>
            <w:tcW w:w="1240" w:type="dxa"/>
            <w:gridSpan w:val="5"/>
            <w:vMerge w:val="restart"/>
            <w:tcBorders>
              <w:right w:val="single" w:sz="8" w:space="0" w:color="868686"/>
            </w:tcBorders>
            <w:vAlign w:val="bottom"/>
          </w:tcPr>
          <w:p w:rsidR="00AC12B4" w:rsidRDefault="00C27636">
            <w:pPr>
              <w:ind w:left="60"/>
              <w:rPr>
                <w:sz w:val="20"/>
                <w:szCs w:val="20"/>
              </w:rPr>
            </w:pPr>
            <w:r>
              <w:rPr>
                <w:rFonts w:ascii="Calibri" w:eastAsia="Calibri" w:hAnsi="Calibri" w:cs="Calibri"/>
                <w:sz w:val="20"/>
                <w:szCs w:val="20"/>
              </w:rPr>
              <w:t>4ème degré</w:t>
            </w:r>
          </w:p>
        </w:tc>
        <w:tc>
          <w:tcPr>
            <w:tcW w:w="80" w:type="dxa"/>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140" w:type="dxa"/>
            <w:tcBorders>
              <w:right w:val="single" w:sz="8" w:space="0" w:color="868686"/>
            </w:tcBorders>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360" w:type="dxa"/>
            <w:tcBorders>
              <w:right w:val="single" w:sz="8" w:space="0" w:color="868686"/>
            </w:tcBorders>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140" w:type="dxa"/>
            <w:tcBorders>
              <w:right w:val="single" w:sz="8" w:space="0" w:color="868686"/>
            </w:tcBorders>
            <w:vAlign w:val="bottom"/>
          </w:tcPr>
          <w:p w:rsidR="00AC12B4" w:rsidRDefault="00AC12B4">
            <w:pPr>
              <w:rPr>
                <w:sz w:val="15"/>
                <w:szCs w:val="15"/>
              </w:rPr>
            </w:pPr>
          </w:p>
        </w:tc>
        <w:tc>
          <w:tcPr>
            <w:tcW w:w="420" w:type="dxa"/>
            <w:vAlign w:val="bottom"/>
          </w:tcPr>
          <w:p w:rsidR="00AC12B4" w:rsidRDefault="00AC12B4">
            <w:pPr>
              <w:rPr>
                <w:sz w:val="15"/>
                <w:szCs w:val="15"/>
              </w:rPr>
            </w:pPr>
          </w:p>
        </w:tc>
        <w:tc>
          <w:tcPr>
            <w:tcW w:w="280" w:type="dxa"/>
            <w:tcBorders>
              <w:right w:val="single" w:sz="8" w:space="0" w:color="868686"/>
            </w:tcBorders>
            <w:vAlign w:val="bottom"/>
          </w:tcPr>
          <w:p w:rsidR="00AC12B4" w:rsidRDefault="00AC12B4">
            <w:pPr>
              <w:rPr>
                <w:sz w:val="15"/>
                <w:szCs w:val="15"/>
              </w:rPr>
            </w:pPr>
          </w:p>
        </w:tc>
        <w:tc>
          <w:tcPr>
            <w:tcW w:w="60" w:type="dxa"/>
            <w:vAlign w:val="bottom"/>
          </w:tcPr>
          <w:p w:rsidR="00AC12B4" w:rsidRDefault="00AC12B4">
            <w:pPr>
              <w:rPr>
                <w:sz w:val="15"/>
                <w:szCs w:val="15"/>
              </w:rPr>
            </w:pPr>
          </w:p>
        </w:tc>
        <w:tc>
          <w:tcPr>
            <w:tcW w:w="440" w:type="dxa"/>
            <w:vAlign w:val="bottom"/>
          </w:tcPr>
          <w:p w:rsidR="00AC12B4" w:rsidRDefault="00AC12B4">
            <w:pPr>
              <w:rPr>
                <w:sz w:val="15"/>
                <w:szCs w:val="15"/>
              </w:rPr>
            </w:pPr>
          </w:p>
        </w:tc>
        <w:tc>
          <w:tcPr>
            <w:tcW w:w="200" w:type="dxa"/>
            <w:tcBorders>
              <w:right w:val="single" w:sz="8" w:space="0" w:color="868686"/>
            </w:tcBorders>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7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73"/>
        </w:trPr>
        <w:tc>
          <w:tcPr>
            <w:tcW w:w="2740" w:type="dxa"/>
            <w:gridSpan w:val="8"/>
            <w:vMerge w:val="restart"/>
            <w:tcBorders>
              <w:right w:val="single" w:sz="8" w:space="0" w:color="8BCCEC"/>
            </w:tcBorders>
            <w:vAlign w:val="bottom"/>
          </w:tcPr>
          <w:p w:rsidR="00AC12B4" w:rsidRDefault="00C27636">
            <w:pPr>
              <w:rPr>
                <w:sz w:val="20"/>
                <w:szCs w:val="20"/>
              </w:rPr>
            </w:pPr>
            <w:r>
              <w:rPr>
                <w:rFonts w:ascii="Calibri" w:eastAsia="Calibri" w:hAnsi="Calibri" w:cs="Calibri"/>
              </w:rPr>
              <w:t>sont allemands (55% à 60</w:t>
            </w:r>
          </w:p>
        </w:tc>
        <w:tc>
          <w:tcPr>
            <w:tcW w:w="60" w:type="dxa"/>
            <w:vAlign w:val="bottom"/>
          </w:tcPr>
          <w:p w:rsidR="00AC12B4" w:rsidRDefault="00AC12B4">
            <w:pPr>
              <w:rPr>
                <w:sz w:val="15"/>
                <w:szCs w:val="15"/>
              </w:rPr>
            </w:pPr>
          </w:p>
        </w:tc>
        <w:tc>
          <w:tcPr>
            <w:tcW w:w="1240" w:type="dxa"/>
            <w:gridSpan w:val="5"/>
            <w:vMerge/>
            <w:tcBorders>
              <w:right w:val="single" w:sz="8" w:space="0" w:color="868686"/>
            </w:tcBorders>
            <w:vAlign w:val="bottom"/>
          </w:tcPr>
          <w:p w:rsidR="00AC12B4" w:rsidRDefault="00AC12B4">
            <w:pPr>
              <w:rPr>
                <w:sz w:val="15"/>
                <w:szCs w:val="15"/>
              </w:rPr>
            </w:pPr>
          </w:p>
        </w:tc>
        <w:tc>
          <w:tcPr>
            <w:tcW w:w="80" w:type="dxa"/>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140" w:type="dxa"/>
            <w:tcBorders>
              <w:right w:val="single" w:sz="8" w:space="0" w:color="868686"/>
            </w:tcBorders>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360" w:type="dxa"/>
            <w:tcBorders>
              <w:right w:val="single" w:sz="8" w:space="0" w:color="868686"/>
            </w:tcBorders>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140" w:type="dxa"/>
            <w:tcBorders>
              <w:right w:val="single" w:sz="8" w:space="0" w:color="868686"/>
            </w:tcBorders>
            <w:vAlign w:val="bottom"/>
          </w:tcPr>
          <w:p w:rsidR="00AC12B4" w:rsidRDefault="00AC12B4">
            <w:pPr>
              <w:rPr>
                <w:sz w:val="15"/>
                <w:szCs w:val="15"/>
              </w:rPr>
            </w:pPr>
          </w:p>
        </w:tc>
        <w:tc>
          <w:tcPr>
            <w:tcW w:w="420" w:type="dxa"/>
            <w:vAlign w:val="bottom"/>
          </w:tcPr>
          <w:p w:rsidR="00AC12B4" w:rsidRDefault="00AC12B4">
            <w:pPr>
              <w:rPr>
                <w:sz w:val="15"/>
                <w:szCs w:val="15"/>
              </w:rPr>
            </w:pPr>
          </w:p>
        </w:tc>
        <w:tc>
          <w:tcPr>
            <w:tcW w:w="280" w:type="dxa"/>
            <w:tcBorders>
              <w:right w:val="single" w:sz="8" w:space="0" w:color="868686"/>
            </w:tcBorders>
            <w:vAlign w:val="bottom"/>
          </w:tcPr>
          <w:p w:rsidR="00AC12B4" w:rsidRDefault="00AC12B4">
            <w:pPr>
              <w:rPr>
                <w:sz w:val="15"/>
                <w:szCs w:val="15"/>
              </w:rPr>
            </w:pPr>
          </w:p>
        </w:tc>
        <w:tc>
          <w:tcPr>
            <w:tcW w:w="60" w:type="dxa"/>
            <w:vAlign w:val="bottom"/>
          </w:tcPr>
          <w:p w:rsidR="00AC12B4" w:rsidRDefault="00AC12B4">
            <w:pPr>
              <w:rPr>
                <w:sz w:val="15"/>
                <w:szCs w:val="15"/>
              </w:rPr>
            </w:pPr>
          </w:p>
        </w:tc>
        <w:tc>
          <w:tcPr>
            <w:tcW w:w="440" w:type="dxa"/>
            <w:vAlign w:val="bottom"/>
          </w:tcPr>
          <w:p w:rsidR="00AC12B4" w:rsidRDefault="00AC12B4">
            <w:pPr>
              <w:rPr>
                <w:sz w:val="15"/>
                <w:szCs w:val="15"/>
              </w:rPr>
            </w:pPr>
          </w:p>
        </w:tc>
        <w:tc>
          <w:tcPr>
            <w:tcW w:w="200" w:type="dxa"/>
            <w:tcBorders>
              <w:right w:val="single" w:sz="8" w:space="0" w:color="868686"/>
            </w:tcBorders>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7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6"/>
        </w:trPr>
        <w:tc>
          <w:tcPr>
            <w:tcW w:w="2740" w:type="dxa"/>
            <w:gridSpan w:val="8"/>
            <w:vMerge/>
            <w:tcBorders>
              <w:right w:val="single" w:sz="8" w:space="0" w:color="8BCCEC"/>
            </w:tcBorders>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8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340" w:type="dxa"/>
            <w:vAlign w:val="bottom"/>
          </w:tcPr>
          <w:p w:rsidR="00AC12B4" w:rsidRDefault="00AC12B4">
            <w:pPr>
              <w:rPr>
                <w:sz w:val="8"/>
                <w:szCs w:val="8"/>
              </w:rPr>
            </w:pPr>
          </w:p>
        </w:tc>
        <w:tc>
          <w:tcPr>
            <w:tcW w:w="360" w:type="dxa"/>
            <w:tcBorders>
              <w:right w:val="single" w:sz="8" w:space="0" w:color="868686"/>
            </w:tcBorders>
            <w:vAlign w:val="bottom"/>
          </w:tcPr>
          <w:p w:rsidR="00AC12B4" w:rsidRDefault="00AC12B4">
            <w:pPr>
              <w:rPr>
                <w:sz w:val="8"/>
                <w:szCs w:val="8"/>
              </w:rPr>
            </w:pPr>
          </w:p>
        </w:tc>
        <w:tc>
          <w:tcPr>
            <w:tcW w:w="20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420" w:type="dxa"/>
            <w:vAlign w:val="bottom"/>
          </w:tcPr>
          <w:p w:rsidR="00AC12B4" w:rsidRDefault="00AC12B4">
            <w:pPr>
              <w:rPr>
                <w:sz w:val="8"/>
                <w:szCs w:val="8"/>
              </w:rPr>
            </w:pPr>
          </w:p>
        </w:tc>
        <w:tc>
          <w:tcPr>
            <w:tcW w:w="280" w:type="dxa"/>
            <w:tcBorders>
              <w:right w:val="single" w:sz="8" w:space="0" w:color="868686"/>
            </w:tcBorders>
            <w:vAlign w:val="bottom"/>
          </w:tcPr>
          <w:p w:rsidR="00AC12B4" w:rsidRDefault="00AC12B4">
            <w:pPr>
              <w:rPr>
                <w:sz w:val="8"/>
                <w:szCs w:val="8"/>
              </w:rPr>
            </w:pPr>
          </w:p>
        </w:tc>
        <w:tc>
          <w:tcPr>
            <w:tcW w:w="60" w:type="dxa"/>
            <w:vAlign w:val="bottom"/>
          </w:tcPr>
          <w:p w:rsidR="00AC12B4" w:rsidRDefault="00AC12B4">
            <w:pPr>
              <w:rPr>
                <w:sz w:val="8"/>
                <w:szCs w:val="8"/>
              </w:rPr>
            </w:pPr>
          </w:p>
        </w:tc>
        <w:tc>
          <w:tcPr>
            <w:tcW w:w="440" w:type="dxa"/>
            <w:vAlign w:val="bottom"/>
          </w:tcPr>
          <w:p w:rsidR="00AC12B4" w:rsidRDefault="00AC12B4">
            <w:pPr>
              <w:rPr>
                <w:sz w:val="8"/>
                <w:szCs w:val="8"/>
              </w:rPr>
            </w:pPr>
          </w:p>
        </w:tc>
        <w:tc>
          <w:tcPr>
            <w:tcW w:w="200" w:type="dxa"/>
            <w:tcBorders>
              <w:right w:val="single" w:sz="8" w:space="0" w:color="868686"/>
            </w:tcBorders>
            <w:vAlign w:val="bottom"/>
          </w:tcPr>
          <w:p w:rsidR="00AC12B4" w:rsidRDefault="00AC12B4">
            <w:pPr>
              <w:rPr>
                <w:sz w:val="8"/>
                <w:szCs w:val="8"/>
              </w:rPr>
            </w:pPr>
          </w:p>
        </w:tc>
        <w:tc>
          <w:tcPr>
            <w:tcW w:w="26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55"/>
        </w:trPr>
        <w:tc>
          <w:tcPr>
            <w:tcW w:w="400" w:type="dxa"/>
            <w:vMerge w:val="restart"/>
            <w:vAlign w:val="bottom"/>
          </w:tcPr>
          <w:p w:rsidR="00AC12B4" w:rsidRDefault="00C27636">
            <w:pPr>
              <w:rPr>
                <w:sz w:val="20"/>
                <w:szCs w:val="20"/>
              </w:rPr>
            </w:pPr>
            <w:r>
              <w:rPr>
                <w:rFonts w:ascii="Calibri" w:eastAsia="Calibri" w:hAnsi="Calibri" w:cs="Calibri"/>
              </w:rPr>
              <w:t>%).</w:t>
            </w:r>
          </w:p>
        </w:tc>
        <w:tc>
          <w:tcPr>
            <w:tcW w:w="180" w:type="dxa"/>
            <w:vAlign w:val="bottom"/>
          </w:tcPr>
          <w:p w:rsidR="00AC12B4" w:rsidRDefault="00AC12B4">
            <w:pPr>
              <w:rPr>
                <w:sz w:val="4"/>
                <w:szCs w:val="4"/>
              </w:rPr>
            </w:pPr>
          </w:p>
        </w:tc>
        <w:tc>
          <w:tcPr>
            <w:tcW w:w="520" w:type="dxa"/>
            <w:vMerge w:val="restart"/>
            <w:vAlign w:val="bottom"/>
          </w:tcPr>
          <w:p w:rsidR="00AC12B4" w:rsidRDefault="00C27636">
            <w:pPr>
              <w:ind w:left="20"/>
              <w:rPr>
                <w:sz w:val="20"/>
                <w:szCs w:val="20"/>
              </w:rPr>
            </w:pPr>
            <w:r>
              <w:rPr>
                <w:rFonts w:ascii="Calibri" w:eastAsia="Calibri" w:hAnsi="Calibri" w:cs="Calibri"/>
              </w:rPr>
              <w:t>En</w:t>
            </w:r>
          </w:p>
        </w:tc>
        <w:tc>
          <w:tcPr>
            <w:tcW w:w="440" w:type="dxa"/>
            <w:gridSpan w:val="2"/>
            <w:vMerge w:val="restart"/>
            <w:vAlign w:val="bottom"/>
          </w:tcPr>
          <w:p w:rsidR="00AC12B4" w:rsidRDefault="00C27636">
            <w:pPr>
              <w:ind w:left="20"/>
              <w:rPr>
                <w:sz w:val="20"/>
                <w:szCs w:val="20"/>
              </w:rPr>
            </w:pPr>
            <w:r>
              <w:rPr>
                <w:rFonts w:ascii="Calibri" w:eastAsia="Calibri" w:hAnsi="Calibri" w:cs="Calibri"/>
                <w:w w:val="94"/>
              </w:rPr>
              <w:t>plus,</w:t>
            </w:r>
          </w:p>
        </w:tc>
        <w:tc>
          <w:tcPr>
            <w:tcW w:w="280" w:type="dxa"/>
            <w:vAlign w:val="bottom"/>
          </w:tcPr>
          <w:p w:rsidR="00AC12B4" w:rsidRDefault="00AC12B4">
            <w:pPr>
              <w:rPr>
                <w:sz w:val="4"/>
                <w:szCs w:val="4"/>
              </w:rPr>
            </w:pPr>
          </w:p>
        </w:tc>
        <w:tc>
          <w:tcPr>
            <w:tcW w:w="920" w:type="dxa"/>
            <w:gridSpan w:val="2"/>
            <w:vMerge w:val="restart"/>
            <w:tcBorders>
              <w:right w:val="single" w:sz="8" w:space="0" w:color="8BCCEC"/>
            </w:tcBorders>
            <w:vAlign w:val="bottom"/>
          </w:tcPr>
          <w:p w:rsidR="00AC12B4" w:rsidRDefault="00C27636">
            <w:pPr>
              <w:ind w:right="72"/>
              <w:jc w:val="right"/>
              <w:rPr>
                <w:sz w:val="20"/>
                <w:szCs w:val="20"/>
              </w:rPr>
            </w:pPr>
            <w:r>
              <w:rPr>
                <w:rFonts w:ascii="Calibri" w:eastAsia="Calibri" w:hAnsi="Calibri" w:cs="Calibri"/>
              </w:rPr>
              <w:t>certains</w:t>
            </w:r>
          </w:p>
        </w:tc>
        <w:tc>
          <w:tcPr>
            <w:tcW w:w="60" w:type="dxa"/>
            <w:vMerge w:val="restart"/>
            <w:vAlign w:val="bottom"/>
          </w:tcPr>
          <w:p w:rsidR="00AC12B4" w:rsidRDefault="00AC12B4">
            <w:pPr>
              <w:rPr>
                <w:sz w:val="4"/>
                <w:szCs w:val="4"/>
              </w:rPr>
            </w:pPr>
          </w:p>
        </w:tc>
        <w:tc>
          <w:tcPr>
            <w:tcW w:w="8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80" w:type="dxa"/>
            <w:tcBorders>
              <w:bottom w:val="single" w:sz="8" w:space="0" w:color="868686"/>
              <w:right w:val="single" w:sz="8" w:space="0" w:color="868686"/>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340" w:type="dxa"/>
            <w:vAlign w:val="bottom"/>
          </w:tcPr>
          <w:p w:rsidR="00AC12B4" w:rsidRDefault="00AC12B4">
            <w:pPr>
              <w:rPr>
                <w:sz w:val="4"/>
                <w:szCs w:val="4"/>
              </w:rPr>
            </w:pPr>
          </w:p>
        </w:tc>
        <w:tc>
          <w:tcPr>
            <w:tcW w:w="360" w:type="dxa"/>
            <w:tcBorders>
              <w:right w:val="single" w:sz="8" w:space="0" w:color="86868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420" w:type="dxa"/>
            <w:vAlign w:val="bottom"/>
          </w:tcPr>
          <w:p w:rsidR="00AC12B4" w:rsidRDefault="00AC12B4">
            <w:pPr>
              <w:rPr>
                <w:sz w:val="4"/>
                <w:szCs w:val="4"/>
              </w:rPr>
            </w:pPr>
          </w:p>
        </w:tc>
        <w:tc>
          <w:tcPr>
            <w:tcW w:w="280" w:type="dxa"/>
            <w:tcBorders>
              <w:right w:val="single" w:sz="8" w:space="0" w:color="868686"/>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200" w:type="dxa"/>
            <w:tcBorders>
              <w:right w:val="single" w:sz="8" w:space="0" w:color="868686"/>
            </w:tcBorders>
            <w:vAlign w:val="bottom"/>
          </w:tcPr>
          <w:p w:rsidR="00AC12B4" w:rsidRDefault="00AC12B4">
            <w:pPr>
              <w:rPr>
                <w:sz w:val="4"/>
                <w:szCs w:val="4"/>
              </w:rPr>
            </w:pPr>
          </w:p>
        </w:tc>
        <w:tc>
          <w:tcPr>
            <w:tcW w:w="26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76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93"/>
        </w:trPr>
        <w:tc>
          <w:tcPr>
            <w:tcW w:w="400" w:type="dxa"/>
            <w:vMerge/>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520" w:type="dxa"/>
            <w:vMerge/>
            <w:vAlign w:val="bottom"/>
          </w:tcPr>
          <w:p w:rsidR="00AC12B4" w:rsidRDefault="00AC12B4">
            <w:pPr>
              <w:rPr>
                <w:sz w:val="16"/>
                <w:szCs w:val="16"/>
              </w:rPr>
            </w:pPr>
          </w:p>
        </w:tc>
        <w:tc>
          <w:tcPr>
            <w:tcW w:w="440" w:type="dxa"/>
            <w:gridSpan w:val="2"/>
            <w:vMerge/>
            <w:vAlign w:val="bottom"/>
          </w:tcPr>
          <w:p w:rsidR="00AC12B4" w:rsidRDefault="00AC12B4">
            <w:pPr>
              <w:rPr>
                <w:sz w:val="16"/>
                <w:szCs w:val="16"/>
              </w:rPr>
            </w:pPr>
          </w:p>
        </w:tc>
        <w:tc>
          <w:tcPr>
            <w:tcW w:w="280" w:type="dxa"/>
            <w:vAlign w:val="bottom"/>
          </w:tcPr>
          <w:p w:rsidR="00AC12B4" w:rsidRDefault="00AC12B4">
            <w:pPr>
              <w:rPr>
                <w:sz w:val="16"/>
                <w:szCs w:val="16"/>
              </w:rPr>
            </w:pPr>
          </w:p>
        </w:tc>
        <w:tc>
          <w:tcPr>
            <w:tcW w:w="920" w:type="dxa"/>
            <w:gridSpan w:val="2"/>
            <w:vMerge/>
            <w:tcBorders>
              <w:right w:val="single" w:sz="8" w:space="0" w:color="8BCCEC"/>
            </w:tcBorders>
            <w:vAlign w:val="bottom"/>
          </w:tcPr>
          <w:p w:rsidR="00AC12B4" w:rsidRDefault="00AC12B4">
            <w:pPr>
              <w:rPr>
                <w:sz w:val="16"/>
                <w:szCs w:val="16"/>
              </w:rPr>
            </w:pPr>
          </w:p>
        </w:tc>
        <w:tc>
          <w:tcPr>
            <w:tcW w:w="60" w:type="dxa"/>
            <w:vMerge/>
            <w:vAlign w:val="bottom"/>
          </w:tcPr>
          <w:p w:rsidR="00AC12B4" w:rsidRDefault="00AC12B4">
            <w:pPr>
              <w:rPr>
                <w:sz w:val="16"/>
                <w:szCs w:val="16"/>
              </w:rPr>
            </w:pPr>
          </w:p>
        </w:tc>
        <w:tc>
          <w:tcPr>
            <w:tcW w:w="1240" w:type="dxa"/>
            <w:gridSpan w:val="5"/>
            <w:vMerge w:val="restart"/>
            <w:tcBorders>
              <w:right w:val="single" w:sz="8" w:space="0" w:color="868686"/>
            </w:tcBorders>
            <w:vAlign w:val="bottom"/>
          </w:tcPr>
          <w:p w:rsidR="00AC12B4" w:rsidRDefault="00C27636">
            <w:pPr>
              <w:ind w:left="60"/>
              <w:rPr>
                <w:sz w:val="20"/>
                <w:szCs w:val="20"/>
              </w:rPr>
            </w:pPr>
            <w:r>
              <w:rPr>
                <w:rFonts w:ascii="Calibri" w:eastAsia="Calibri" w:hAnsi="Calibri" w:cs="Calibri"/>
                <w:sz w:val="20"/>
                <w:szCs w:val="20"/>
              </w:rPr>
              <w:t>3ème degré</w:t>
            </w:r>
          </w:p>
        </w:tc>
        <w:tc>
          <w:tcPr>
            <w:tcW w:w="8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140" w:type="dxa"/>
            <w:tcBorders>
              <w:right w:val="single" w:sz="8" w:space="0" w:color="868686"/>
            </w:tcBorders>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360" w:type="dxa"/>
            <w:tcBorders>
              <w:right w:val="single" w:sz="8" w:space="0" w:color="868686"/>
            </w:tcBorders>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140" w:type="dxa"/>
            <w:tcBorders>
              <w:right w:val="single" w:sz="8" w:space="0" w:color="868686"/>
            </w:tcBorders>
            <w:vAlign w:val="bottom"/>
          </w:tcPr>
          <w:p w:rsidR="00AC12B4" w:rsidRDefault="00AC12B4">
            <w:pPr>
              <w:rPr>
                <w:sz w:val="16"/>
                <w:szCs w:val="16"/>
              </w:rPr>
            </w:pPr>
          </w:p>
        </w:tc>
        <w:tc>
          <w:tcPr>
            <w:tcW w:w="420" w:type="dxa"/>
            <w:vAlign w:val="bottom"/>
          </w:tcPr>
          <w:p w:rsidR="00AC12B4" w:rsidRDefault="00AC12B4">
            <w:pPr>
              <w:rPr>
                <w:sz w:val="16"/>
                <w:szCs w:val="16"/>
              </w:rPr>
            </w:pPr>
          </w:p>
        </w:tc>
        <w:tc>
          <w:tcPr>
            <w:tcW w:w="280" w:type="dxa"/>
            <w:tcBorders>
              <w:right w:val="single" w:sz="8" w:space="0" w:color="868686"/>
            </w:tcBorders>
            <w:vAlign w:val="bottom"/>
          </w:tcPr>
          <w:p w:rsidR="00AC12B4" w:rsidRDefault="00AC12B4">
            <w:pPr>
              <w:rPr>
                <w:sz w:val="16"/>
                <w:szCs w:val="16"/>
              </w:rPr>
            </w:pPr>
          </w:p>
        </w:tc>
        <w:tc>
          <w:tcPr>
            <w:tcW w:w="60" w:type="dxa"/>
            <w:vAlign w:val="bottom"/>
          </w:tcPr>
          <w:p w:rsidR="00AC12B4" w:rsidRDefault="00AC12B4">
            <w:pPr>
              <w:rPr>
                <w:sz w:val="16"/>
                <w:szCs w:val="16"/>
              </w:rPr>
            </w:pPr>
          </w:p>
        </w:tc>
        <w:tc>
          <w:tcPr>
            <w:tcW w:w="440" w:type="dxa"/>
            <w:vAlign w:val="bottom"/>
          </w:tcPr>
          <w:p w:rsidR="00AC12B4" w:rsidRDefault="00AC12B4">
            <w:pPr>
              <w:rPr>
                <w:sz w:val="16"/>
                <w:szCs w:val="16"/>
              </w:rPr>
            </w:pPr>
          </w:p>
        </w:tc>
        <w:tc>
          <w:tcPr>
            <w:tcW w:w="200" w:type="dxa"/>
            <w:tcBorders>
              <w:right w:val="single" w:sz="8" w:space="0" w:color="868686"/>
            </w:tcBorders>
            <w:vAlign w:val="bottom"/>
          </w:tcPr>
          <w:p w:rsidR="00AC12B4" w:rsidRDefault="00AC12B4">
            <w:pPr>
              <w:rPr>
                <w:sz w:val="16"/>
                <w:szCs w:val="16"/>
              </w:rPr>
            </w:pPr>
          </w:p>
        </w:tc>
        <w:tc>
          <w:tcPr>
            <w:tcW w:w="26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76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165"/>
        </w:trPr>
        <w:tc>
          <w:tcPr>
            <w:tcW w:w="1540" w:type="dxa"/>
            <w:gridSpan w:val="5"/>
            <w:vMerge w:val="restart"/>
            <w:vAlign w:val="bottom"/>
          </w:tcPr>
          <w:p w:rsidR="00AC12B4" w:rsidRDefault="00C27636">
            <w:pPr>
              <w:spacing w:line="267" w:lineRule="exact"/>
              <w:rPr>
                <w:sz w:val="20"/>
                <w:szCs w:val="20"/>
              </w:rPr>
            </w:pPr>
            <w:r>
              <w:rPr>
                <w:rFonts w:ascii="Calibri" w:eastAsia="Calibri" w:hAnsi="Calibri" w:cs="Calibri"/>
              </w:rPr>
              <w:t>luxembourgeois</w:t>
            </w:r>
          </w:p>
        </w:tc>
        <w:tc>
          <w:tcPr>
            <w:tcW w:w="280" w:type="dxa"/>
            <w:vAlign w:val="bottom"/>
          </w:tcPr>
          <w:p w:rsidR="00AC12B4" w:rsidRDefault="00AC12B4">
            <w:pPr>
              <w:rPr>
                <w:sz w:val="14"/>
                <w:szCs w:val="14"/>
              </w:rPr>
            </w:pPr>
          </w:p>
        </w:tc>
        <w:tc>
          <w:tcPr>
            <w:tcW w:w="420" w:type="dxa"/>
            <w:vAlign w:val="bottom"/>
          </w:tcPr>
          <w:p w:rsidR="00AC12B4" w:rsidRDefault="00AC12B4">
            <w:pPr>
              <w:rPr>
                <w:sz w:val="14"/>
                <w:szCs w:val="14"/>
              </w:rPr>
            </w:pPr>
          </w:p>
        </w:tc>
        <w:tc>
          <w:tcPr>
            <w:tcW w:w="500" w:type="dxa"/>
            <w:tcBorders>
              <w:right w:val="single" w:sz="8" w:space="0" w:color="8BCCEC"/>
            </w:tcBorders>
            <w:vAlign w:val="bottom"/>
          </w:tcPr>
          <w:p w:rsidR="00AC12B4" w:rsidRDefault="00AC12B4">
            <w:pPr>
              <w:rPr>
                <w:sz w:val="14"/>
                <w:szCs w:val="14"/>
              </w:rPr>
            </w:pPr>
          </w:p>
        </w:tc>
        <w:tc>
          <w:tcPr>
            <w:tcW w:w="60" w:type="dxa"/>
            <w:vAlign w:val="bottom"/>
          </w:tcPr>
          <w:p w:rsidR="00AC12B4" w:rsidRDefault="00AC12B4">
            <w:pPr>
              <w:rPr>
                <w:sz w:val="14"/>
                <w:szCs w:val="14"/>
              </w:rPr>
            </w:pPr>
          </w:p>
        </w:tc>
        <w:tc>
          <w:tcPr>
            <w:tcW w:w="1240" w:type="dxa"/>
            <w:gridSpan w:val="5"/>
            <w:vMerge/>
            <w:tcBorders>
              <w:right w:val="single" w:sz="8" w:space="0" w:color="868686"/>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480" w:type="dxa"/>
            <w:vAlign w:val="bottom"/>
          </w:tcPr>
          <w:p w:rsidR="00AC12B4" w:rsidRDefault="00AC12B4">
            <w:pPr>
              <w:rPr>
                <w:sz w:val="14"/>
                <w:szCs w:val="14"/>
              </w:rPr>
            </w:pPr>
          </w:p>
        </w:tc>
        <w:tc>
          <w:tcPr>
            <w:tcW w:w="140" w:type="dxa"/>
            <w:tcBorders>
              <w:right w:val="single" w:sz="8" w:space="0" w:color="868686"/>
            </w:tcBorders>
            <w:vAlign w:val="bottom"/>
          </w:tcPr>
          <w:p w:rsidR="00AC12B4" w:rsidRDefault="00AC12B4">
            <w:pPr>
              <w:rPr>
                <w:sz w:val="14"/>
                <w:szCs w:val="14"/>
              </w:rPr>
            </w:pPr>
          </w:p>
        </w:tc>
        <w:tc>
          <w:tcPr>
            <w:tcW w:w="340" w:type="dxa"/>
            <w:vAlign w:val="bottom"/>
          </w:tcPr>
          <w:p w:rsidR="00AC12B4" w:rsidRDefault="00AC12B4">
            <w:pPr>
              <w:rPr>
                <w:sz w:val="14"/>
                <w:szCs w:val="14"/>
              </w:rPr>
            </w:pPr>
          </w:p>
        </w:tc>
        <w:tc>
          <w:tcPr>
            <w:tcW w:w="360" w:type="dxa"/>
            <w:tcBorders>
              <w:right w:val="single" w:sz="8" w:space="0" w:color="868686"/>
            </w:tcBorders>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340" w:type="dxa"/>
            <w:vAlign w:val="bottom"/>
          </w:tcPr>
          <w:p w:rsidR="00AC12B4" w:rsidRDefault="00AC12B4">
            <w:pPr>
              <w:rPr>
                <w:sz w:val="14"/>
                <w:szCs w:val="14"/>
              </w:rPr>
            </w:pPr>
          </w:p>
        </w:tc>
        <w:tc>
          <w:tcPr>
            <w:tcW w:w="140" w:type="dxa"/>
            <w:tcBorders>
              <w:right w:val="single" w:sz="8" w:space="0" w:color="868686"/>
            </w:tcBorders>
            <w:vAlign w:val="bottom"/>
          </w:tcPr>
          <w:p w:rsidR="00AC12B4" w:rsidRDefault="00AC12B4">
            <w:pPr>
              <w:rPr>
                <w:sz w:val="14"/>
                <w:szCs w:val="14"/>
              </w:rPr>
            </w:pPr>
          </w:p>
        </w:tc>
        <w:tc>
          <w:tcPr>
            <w:tcW w:w="420" w:type="dxa"/>
            <w:vAlign w:val="bottom"/>
          </w:tcPr>
          <w:p w:rsidR="00AC12B4" w:rsidRDefault="00AC12B4">
            <w:pPr>
              <w:rPr>
                <w:sz w:val="14"/>
                <w:szCs w:val="14"/>
              </w:rPr>
            </w:pPr>
          </w:p>
        </w:tc>
        <w:tc>
          <w:tcPr>
            <w:tcW w:w="280" w:type="dxa"/>
            <w:tcBorders>
              <w:right w:val="single" w:sz="8" w:space="0" w:color="868686"/>
            </w:tcBorders>
            <w:vAlign w:val="bottom"/>
          </w:tcPr>
          <w:p w:rsidR="00AC12B4" w:rsidRDefault="00AC12B4">
            <w:pPr>
              <w:rPr>
                <w:sz w:val="14"/>
                <w:szCs w:val="14"/>
              </w:rPr>
            </w:pPr>
          </w:p>
        </w:tc>
        <w:tc>
          <w:tcPr>
            <w:tcW w:w="60" w:type="dxa"/>
            <w:vAlign w:val="bottom"/>
          </w:tcPr>
          <w:p w:rsidR="00AC12B4" w:rsidRDefault="00AC12B4">
            <w:pPr>
              <w:rPr>
                <w:sz w:val="14"/>
                <w:szCs w:val="14"/>
              </w:rPr>
            </w:pPr>
          </w:p>
        </w:tc>
        <w:tc>
          <w:tcPr>
            <w:tcW w:w="440" w:type="dxa"/>
            <w:vAlign w:val="bottom"/>
          </w:tcPr>
          <w:p w:rsidR="00AC12B4" w:rsidRDefault="00AC12B4">
            <w:pPr>
              <w:rPr>
                <w:sz w:val="14"/>
                <w:szCs w:val="14"/>
              </w:rPr>
            </w:pPr>
          </w:p>
        </w:tc>
        <w:tc>
          <w:tcPr>
            <w:tcW w:w="200" w:type="dxa"/>
            <w:tcBorders>
              <w:right w:val="single" w:sz="8" w:space="0" w:color="868686"/>
            </w:tcBorders>
            <w:vAlign w:val="bottom"/>
          </w:tcPr>
          <w:p w:rsidR="00AC12B4" w:rsidRDefault="00AC12B4">
            <w:pPr>
              <w:rPr>
                <w:sz w:val="14"/>
                <w:szCs w:val="14"/>
              </w:rPr>
            </w:pPr>
          </w:p>
        </w:tc>
        <w:tc>
          <w:tcPr>
            <w:tcW w:w="260" w:type="dxa"/>
            <w:vAlign w:val="bottom"/>
          </w:tcPr>
          <w:p w:rsidR="00AC12B4" w:rsidRDefault="00AC12B4">
            <w:pPr>
              <w:rPr>
                <w:sz w:val="14"/>
                <w:szCs w:val="14"/>
              </w:rPr>
            </w:pPr>
          </w:p>
        </w:tc>
        <w:tc>
          <w:tcPr>
            <w:tcW w:w="18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400" w:type="dxa"/>
            <w:vAlign w:val="bottom"/>
          </w:tcPr>
          <w:p w:rsidR="00AC12B4" w:rsidRDefault="00AC12B4">
            <w:pPr>
              <w:rPr>
                <w:sz w:val="14"/>
                <w:szCs w:val="14"/>
              </w:rPr>
            </w:pPr>
          </w:p>
        </w:tc>
        <w:tc>
          <w:tcPr>
            <w:tcW w:w="76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2"/>
        </w:trPr>
        <w:tc>
          <w:tcPr>
            <w:tcW w:w="1540" w:type="dxa"/>
            <w:gridSpan w:val="5"/>
            <w:vMerge/>
            <w:vAlign w:val="bottom"/>
          </w:tcPr>
          <w:p w:rsidR="00AC12B4" w:rsidRDefault="00AC12B4">
            <w:pPr>
              <w:rPr>
                <w:sz w:val="8"/>
                <w:szCs w:val="8"/>
              </w:rPr>
            </w:pPr>
          </w:p>
        </w:tc>
        <w:tc>
          <w:tcPr>
            <w:tcW w:w="28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500" w:type="dxa"/>
            <w:tcBorders>
              <w:right w:val="single" w:sz="8" w:space="0" w:color="8BCCEC"/>
            </w:tcBorders>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8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340" w:type="dxa"/>
            <w:vAlign w:val="bottom"/>
          </w:tcPr>
          <w:p w:rsidR="00AC12B4" w:rsidRDefault="00AC12B4">
            <w:pPr>
              <w:rPr>
                <w:sz w:val="8"/>
                <w:szCs w:val="8"/>
              </w:rPr>
            </w:pPr>
          </w:p>
        </w:tc>
        <w:tc>
          <w:tcPr>
            <w:tcW w:w="360" w:type="dxa"/>
            <w:tcBorders>
              <w:right w:val="single" w:sz="8" w:space="0" w:color="868686"/>
            </w:tcBorders>
            <w:vAlign w:val="bottom"/>
          </w:tcPr>
          <w:p w:rsidR="00AC12B4" w:rsidRDefault="00AC12B4">
            <w:pPr>
              <w:rPr>
                <w:sz w:val="8"/>
                <w:szCs w:val="8"/>
              </w:rPr>
            </w:pPr>
          </w:p>
        </w:tc>
        <w:tc>
          <w:tcPr>
            <w:tcW w:w="20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140" w:type="dxa"/>
            <w:tcBorders>
              <w:right w:val="single" w:sz="8" w:space="0" w:color="868686"/>
            </w:tcBorders>
            <w:vAlign w:val="bottom"/>
          </w:tcPr>
          <w:p w:rsidR="00AC12B4" w:rsidRDefault="00AC12B4">
            <w:pPr>
              <w:rPr>
                <w:sz w:val="8"/>
                <w:szCs w:val="8"/>
              </w:rPr>
            </w:pPr>
          </w:p>
        </w:tc>
        <w:tc>
          <w:tcPr>
            <w:tcW w:w="420" w:type="dxa"/>
            <w:vAlign w:val="bottom"/>
          </w:tcPr>
          <w:p w:rsidR="00AC12B4" w:rsidRDefault="00AC12B4">
            <w:pPr>
              <w:rPr>
                <w:sz w:val="8"/>
                <w:szCs w:val="8"/>
              </w:rPr>
            </w:pPr>
          </w:p>
        </w:tc>
        <w:tc>
          <w:tcPr>
            <w:tcW w:w="280" w:type="dxa"/>
            <w:tcBorders>
              <w:right w:val="single" w:sz="8" w:space="0" w:color="868686"/>
            </w:tcBorders>
            <w:vAlign w:val="bottom"/>
          </w:tcPr>
          <w:p w:rsidR="00AC12B4" w:rsidRDefault="00AC12B4">
            <w:pPr>
              <w:rPr>
                <w:sz w:val="8"/>
                <w:szCs w:val="8"/>
              </w:rPr>
            </w:pPr>
          </w:p>
        </w:tc>
        <w:tc>
          <w:tcPr>
            <w:tcW w:w="60" w:type="dxa"/>
            <w:vAlign w:val="bottom"/>
          </w:tcPr>
          <w:p w:rsidR="00AC12B4" w:rsidRDefault="00AC12B4">
            <w:pPr>
              <w:rPr>
                <w:sz w:val="8"/>
                <w:szCs w:val="8"/>
              </w:rPr>
            </w:pPr>
          </w:p>
        </w:tc>
        <w:tc>
          <w:tcPr>
            <w:tcW w:w="440" w:type="dxa"/>
            <w:vAlign w:val="bottom"/>
          </w:tcPr>
          <w:p w:rsidR="00AC12B4" w:rsidRDefault="00AC12B4">
            <w:pPr>
              <w:rPr>
                <w:sz w:val="8"/>
                <w:szCs w:val="8"/>
              </w:rPr>
            </w:pPr>
          </w:p>
        </w:tc>
        <w:tc>
          <w:tcPr>
            <w:tcW w:w="200" w:type="dxa"/>
            <w:tcBorders>
              <w:right w:val="single" w:sz="8" w:space="0" w:color="868686"/>
            </w:tcBorders>
            <w:vAlign w:val="bottom"/>
          </w:tcPr>
          <w:p w:rsidR="00AC12B4" w:rsidRDefault="00AC12B4">
            <w:pPr>
              <w:rPr>
                <w:sz w:val="8"/>
                <w:szCs w:val="8"/>
              </w:rPr>
            </w:pPr>
          </w:p>
        </w:tc>
        <w:tc>
          <w:tcPr>
            <w:tcW w:w="26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51"/>
        </w:trPr>
        <w:tc>
          <w:tcPr>
            <w:tcW w:w="2740" w:type="dxa"/>
            <w:gridSpan w:val="8"/>
            <w:vMerge w:val="restart"/>
            <w:tcBorders>
              <w:right w:val="single" w:sz="8" w:space="0" w:color="8BCCEC"/>
            </w:tcBorders>
            <w:vAlign w:val="bottom"/>
          </w:tcPr>
          <w:p w:rsidR="00AC12B4" w:rsidRDefault="00C27636">
            <w:pPr>
              <w:rPr>
                <w:sz w:val="20"/>
                <w:szCs w:val="20"/>
              </w:rPr>
            </w:pPr>
            <w:r>
              <w:rPr>
                <w:rFonts w:ascii="Calibri" w:eastAsia="Calibri" w:hAnsi="Calibri" w:cs="Calibri"/>
              </w:rPr>
              <w:t>scolariseraient leurs enfants</w:t>
            </w:r>
          </w:p>
        </w:tc>
        <w:tc>
          <w:tcPr>
            <w:tcW w:w="60" w:type="dxa"/>
            <w:vMerge w:val="restart"/>
            <w:vAlign w:val="bottom"/>
          </w:tcPr>
          <w:p w:rsidR="00AC12B4" w:rsidRDefault="00AC12B4">
            <w:pPr>
              <w:rPr>
                <w:sz w:val="4"/>
                <w:szCs w:val="4"/>
              </w:rPr>
            </w:pPr>
          </w:p>
        </w:tc>
        <w:tc>
          <w:tcPr>
            <w:tcW w:w="8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80" w:type="dxa"/>
            <w:tcBorders>
              <w:bottom w:val="single" w:sz="8" w:space="0" w:color="868686"/>
              <w:right w:val="single" w:sz="8" w:space="0" w:color="868686"/>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340" w:type="dxa"/>
            <w:vAlign w:val="bottom"/>
          </w:tcPr>
          <w:p w:rsidR="00AC12B4" w:rsidRDefault="00AC12B4">
            <w:pPr>
              <w:rPr>
                <w:sz w:val="4"/>
                <w:szCs w:val="4"/>
              </w:rPr>
            </w:pPr>
          </w:p>
        </w:tc>
        <w:tc>
          <w:tcPr>
            <w:tcW w:w="360" w:type="dxa"/>
            <w:tcBorders>
              <w:right w:val="single" w:sz="8" w:space="0" w:color="86868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420" w:type="dxa"/>
            <w:vAlign w:val="bottom"/>
          </w:tcPr>
          <w:p w:rsidR="00AC12B4" w:rsidRDefault="00AC12B4">
            <w:pPr>
              <w:rPr>
                <w:sz w:val="4"/>
                <w:szCs w:val="4"/>
              </w:rPr>
            </w:pPr>
          </w:p>
        </w:tc>
        <w:tc>
          <w:tcPr>
            <w:tcW w:w="280" w:type="dxa"/>
            <w:tcBorders>
              <w:right w:val="single" w:sz="8" w:space="0" w:color="868686"/>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200" w:type="dxa"/>
            <w:tcBorders>
              <w:right w:val="single" w:sz="8" w:space="0" w:color="868686"/>
            </w:tcBorders>
            <w:vAlign w:val="bottom"/>
          </w:tcPr>
          <w:p w:rsidR="00AC12B4" w:rsidRDefault="00AC12B4">
            <w:pPr>
              <w:rPr>
                <w:sz w:val="4"/>
                <w:szCs w:val="4"/>
              </w:rPr>
            </w:pPr>
          </w:p>
        </w:tc>
        <w:tc>
          <w:tcPr>
            <w:tcW w:w="26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160" w:type="dxa"/>
            <w:gridSpan w:val="2"/>
            <w:vMerge w:val="restart"/>
            <w:vAlign w:val="bottom"/>
          </w:tcPr>
          <w:p w:rsidR="00AC12B4" w:rsidRDefault="00C27636">
            <w:pPr>
              <w:ind w:left="60"/>
              <w:rPr>
                <w:sz w:val="20"/>
                <w:szCs w:val="20"/>
              </w:rPr>
            </w:pPr>
            <w:r>
              <w:rPr>
                <w:rFonts w:ascii="Calibri" w:eastAsia="Calibri" w:hAnsi="Calibri" w:cs="Calibri"/>
                <w:sz w:val="20"/>
                <w:szCs w:val="20"/>
              </w:rPr>
              <w:t>Général</w:t>
            </w:r>
          </w:p>
        </w:tc>
        <w:tc>
          <w:tcPr>
            <w:tcW w:w="0" w:type="dxa"/>
            <w:vAlign w:val="bottom"/>
          </w:tcPr>
          <w:p w:rsidR="00AC12B4" w:rsidRDefault="00AC12B4">
            <w:pPr>
              <w:rPr>
                <w:sz w:val="1"/>
                <w:szCs w:val="1"/>
              </w:rPr>
            </w:pPr>
          </w:p>
        </w:tc>
      </w:tr>
      <w:tr w:rsidR="00AC12B4">
        <w:trPr>
          <w:trHeight w:val="90"/>
        </w:trPr>
        <w:tc>
          <w:tcPr>
            <w:tcW w:w="2740" w:type="dxa"/>
            <w:gridSpan w:val="8"/>
            <w:vMerge/>
            <w:tcBorders>
              <w:right w:val="single" w:sz="8" w:space="0" w:color="8BCCEC"/>
            </w:tcBorders>
            <w:vAlign w:val="bottom"/>
          </w:tcPr>
          <w:p w:rsidR="00AC12B4" w:rsidRDefault="00AC12B4">
            <w:pPr>
              <w:rPr>
                <w:sz w:val="7"/>
                <w:szCs w:val="7"/>
              </w:rPr>
            </w:pPr>
          </w:p>
        </w:tc>
        <w:tc>
          <w:tcPr>
            <w:tcW w:w="60" w:type="dxa"/>
            <w:vMerge/>
            <w:vAlign w:val="bottom"/>
          </w:tcPr>
          <w:p w:rsidR="00AC12B4" w:rsidRDefault="00AC12B4">
            <w:pPr>
              <w:rPr>
                <w:sz w:val="7"/>
                <w:szCs w:val="7"/>
              </w:rPr>
            </w:pPr>
          </w:p>
        </w:tc>
        <w:tc>
          <w:tcPr>
            <w:tcW w:w="1240" w:type="dxa"/>
            <w:gridSpan w:val="5"/>
            <w:vMerge w:val="restart"/>
            <w:tcBorders>
              <w:right w:val="single" w:sz="8" w:space="0" w:color="868686"/>
            </w:tcBorders>
            <w:vAlign w:val="bottom"/>
          </w:tcPr>
          <w:p w:rsidR="00AC12B4" w:rsidRDefault="00C27636">
            <w:pPr>
              <w:ind w:left="60"/>
              <w:rPr>
                <w:sz w:val="20"/>
                <w:szCs w:val="20"/>
              </w:rPr>
            </w:pPr>
            <w:r>
              <w:rPr>
                <w:rFonts w:ascii="Calibri" w:eastAsia="Calibri" w:hAnsi="Calibri" w:cs="Calibri"/>
                <w:sz w:val="20"/>
                <w:szCs w:val="20"/>
              </w:rPr>
              <w:t>2ème degré</w:t>
            </w:r>
          </w:p>
        </w:tc>
        <w:tc>
          <w:tcPr>
            <w:tcW w:w="8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140" w:type="dxa"/>
            <w:tcBorders>
              <w:right w:val="single" w:sz="8" w:space="0" w:color="868686"/>
            </w:tcBorders>
            <w:vAlign w:val="bottom"/>
          </w:tcPr>
          <w:p w:rsidR="00AC12B4" w:rsidRDefault="00AC12B4">
            <w:pPr>
              <w:rPr>
                <w:sz w:val="7"/>
                <w:szCs w:val="7"/>
              </w:rPr>
            </w:pPr>
          </w:p>
        </w:tc>
        <w:tc>
          <w:tcPr>
            <w:tcW w:w="340" w:type="dxa"/>
            <w:vAlign w:val="bottom"/>
          </w:tcPr>
          <w:p w:rsidR="00AC12B4" w:rsidRDefault="00AC12B4">
            <w:pPr>
              <w:rPr>
                <w:sz w:val="7"/>
                <w:szCs w:val="7"/>
              </w:rPr>
            </w:pPr>
          </w:p>
        </w:tc>
        <w:tc>
          <w:tcPr>
            <w:tcW w:w="360" w:type="dxa"/>
            <w:tcBorders>
              <w:right w:val="single" w:sz="8" w:space="0" w:color="868686"/>
            </w:tcBorders>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tcBorders>
              <w:right w:val="single" w:sz="8" w:space="0" w:color="868686"/>
            </w:tcBorders>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tcBorders>
              <w:right w:val="single" w:sz="8" w:space="0" w:color="868686"/>
            </w:tcBorders>
            <w:vAlign w:val="bottom"/>
          </w:tcPr>
          <w:p w:rsidR="00AC12B4" w:rsidRDefault="00AC12B4">
            <w:pPr>
              <w:rPr>
                <w:sz w:val="7"/>
                <w:szCs w:val="7"/>
              </w:rPr>
            </w:pPr>
          </w:p>
        </w:tc>
        <w:tc>
          <w:tcPr>
            <w:tcW w:w="6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00" w:type="dxa"/>
            <w:tcBorders>
              <w:right w:val="single" w:sz="8" w:space="0" w:color="868686"/>
            </w:tcBorders>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1160" w:type="dxa"/>
            <w:gridSpan w:val="2"/>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10"/>
        </w:trPr>
        <w:tc>
          <w:tcPr>
            <w:tcW w:w="2740" w:type="dxa"/>
            <w:gridSpan w:val="8"/>
            <w:vMerge/>
            <w:tcBorders>
              <w:right w:val="single" w:sz="8" w:space="0" w:color="8BCCEC"/>
            </w:tcBorders>
            <w:vAlign w:val="bottom"/>
          </w:tcPr>
          <w:p w:rsidR="00AC12B4" w:rsidRDefault="00AC12B4">
            <w:pPr>
              <w:rPr>
                <w:sz w:val="9"/>
                <w:szCs w:val="9"/>
              </w:rPr>
            </w:pPr>
          </w:p>
        </w:tc>
        <w:tc>
          <w:tcPr>
            <w:tcW w:w="60" w:type="dxa"/>
            <w:vMerge/>
            <w:vAlign w:val="bottom"/>
          </w:tcPr>
          <w:p w:rsidR="00AC12B4" w:rsidRDefault="00AC12B4">
            <w:pPr>
              <w:rPr>
                <w:sz w:val="9"/>
                <w:szCs w:val="9"/>
              </w:rPr>
            </w:pPr>
          </w:p>
        </w:tc>
        <w:tc>
          <w:tcPr>
            <w:tcW w:w="1240" w:type="dxa"/>
            <w:gridSpan w:val="5"/>
            <w:vMerge/>
            <w:tcBorders>
              <w:right w:val="single" w:sz="8" w:space="0" w:color="868686"/>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140" w:type="dxa"/>
            <w:tcBorders>
              <w:right w:val="single" w:sz="8" w:space="0" w:color="868686"/>
            </w:tcBorders>
            <w:vAlign w:val="bottom"/>
          </w:tcPr>
          <w:p w:rsidR="00AC12B4" w:rsidRDefault="00AC12B4">
            <w:pPr>
              <w:rPr>
                <w:sz w:val="9"/>
                <w:szCs w:val="9"/>
              </w:rPr>
            </w:pPr>
          </w:p>
        </w:tc>
        <w:tc>
          <w:tcPr>
            <w:tcW w:w="340" w:type="dxa"/>
            <w:vAlign w:val="bottom"/>
          </w:tcPr>
          <w:p w:rsidR="00AC12B4" w:rsidRDefault="00AC12B4">
            <w:pPr>
              <w:rPr>
                <w:sz w:val="9"/>
                <w:szCs w:val="9"/>
              </w:rPr>
            </w:pPr>
          </w:p>
        </w:tc>
        <w:tc>
          <w:tcPr>
            <w:tcW w:w="360" w:type="dxa"/>
            <w:tcBorders>
              <w:right w:val="single" w:sz="8" w:space="0" w:color="868686"/>
            </w:tcBorders>
            <w:vAlign w:val="bottom"/>
          </w:tcPr>
          <w:p w:rsidR="00AC12B4" w:rsidRDefault="00AC12B4">
            <w:pPr>
              <w:rPr>
                <w:sz w:val="9"/>
                <w:szCs w:val="9"/>
              </w:rPr>
            </w:pPr>
          </w:p>
        </w:tc>
        <w:tc>
          <w:tcPr>
            <w:tcW w:w="20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140" w:type="dxa"/>
            <w:tcBorders>
              <w:right w:val="single" w:sz="8" w:space="0" w:color="868686"/>
            </w:tcBorders>
            <w:vAlign w:val="bottom"/>
          </w:tcPr>
          <w:p w:rsidR="00AC12B4" w:rsidRDefault="00AC12B4">
            <w:pPr>
              <w:rPr>
                <w:sz w:val="9"/>
                <w:szCs w:val="9"/>
              </w:rPr>
            </w:pPr>
          </w:p>
        </w:tc>
        <w:tc>
          <w:tcPr>
            <w:tcW w:w="420" w:type="dxa"/>
            <w:vAlign w:val="bottom"/>
          </w:tcPr>
          <w:p w:rsidR="00AC12B4" w:rsidRDefault="00AC12B4">
            <w:pPr>
              <w:rPr>
                <w:sz w:val="9"/>
                <w:szCs w:val="9"/>
              </w:rPr>
            </w:pPr>
          </w:p>
        </w:tc>
        <w:tc>
          <w:tcPr>
            <w:tcW w:w="280" w:type="dxa"/>
            <w:tcBorders>
              <w:right w:val="single" w:sz="8" w:space="0" w:color="868686"/>
            </w:tcBorders>
            <w:vAlign w:val="bottom"/>
          </w:tcPr>
          <w:p w:rsidR="00AC12B4" w:rsidRDefault="00AC12B4">
            <w:pPr>
              <w:rPr>
                <w:sz w:val="9"/>
                <w:szCs w:val="9"/>
              </w:rPr>
            </w:pPr>
          </w:p>
        </w:tc>
        <w:tc>
          <w:tcPr>
            <w:tcW w:w="60" w:type="dxa"/>
            <w:vAlign w:val="bottom"/>
          </w:tcPr>
          <w:p w:rsidR="00AC12B4" w:rsidRDefault="00AC12B4">
            <w:pPr>
              <w:rPr>
                <w:sz w:val="9"/>
                <w:szCs w:val="9"/>
              </w:rPr>
            </w:pPr>
          </w:p>
        </w:tc>
        <w:tc>
          <w:tcPr>
            <w:tcW w:w="440" w:type="dxa"/>
            <w:vAlign w:val="bottom"/>
          </w:tcPr>
          <w:p w:rsidR="00AC12B4" w:rsidRDefault="00AC12B4">
            <w:pPr>
              <w:rPr>
                <w:sz w:val="9"/>
                <w:szCs w:val="9"/>
              </w:rPr>
            </w:pPr>
          </w:p>
        </w:tc>
        <w:tc>
          <w:tcPr>
            <w:tcW w:w="200" w:type="dxa"/>
            <w:tcBorders>
              <w:right w:val="single" w:sz="8" w:space="0" w:color="868686"/>
            </w:tcBorders>
            <w:vAlign w:val="bottom"/>
          </w:tcPr>
          <w:p w:rsidR="00AC12B4" w:rsidRDefault="00AC12B4">
            <w:pPr>
              <w:rPr>
                <w:sz w:val="9"/>
                <w:szCs w:val="9"/>
              </w:rPr>
            </w:pPr>
          </w:p>
        </w:tc>
        <w:tc>
          <w:tcPr>
            <w:tcW w:w="26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00" w:type="dxa"/>
            <w:shd w:val="clear" w:color="auto" w:fill="4BACC6"/>
            <w:vAlign w:val="bottom"/>
          </w:tcPr>
          <w:p w:rsidR="00AC12B4" w:rsidRDefault="00AC12B4">
            <w:pPr>
              <w:rPr>
                <w:sz w:val="9"/>
                <w:szCs w:val="9"/>
              </w:rPr>
            </w:pPr>
          </w:p>
        </w:tc>
        <w:tc>
          <w:tcPr>
            <w:tcW w:w="1160" w:type="dxa"/>
            <w:gridSpan w:val="2"/>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400" w:type="dxa"/>
            <w:vMerge w:val="restart"/>
            <w:vAlign w:val="bottom"/>
          </w:tcPr>
          <w:p w:rsidR="00AC12B4" w:rsidRDefault="00C27636">
            <w:pPr>
              <w:spacing w:line="250" w:lineRule="exact"/>
              <w:rPr>
                <w:sz w:val="20"/>
                <w:szCs w:val="20"/>
              </w:rPr>
            </w:pPr>
            <w:r>
              <w:rPr>
                <w:rFonts w:ascii="Calibri" w:eastAsia="Calibri" w:hAnsi="Calibri" w:cs="Calibri"/>
              </w:rPr>
              <w:t>en</w:t>
            </w:r>
          </w:p>
        </w:tc>
        <w:tc>
          <w:tcPr>
            <w:tcW w:w="180" w:type="dxa"/>
            <w:vAlign w:val="bottom"/>
          </w:tcPr>
          <w:p w:rsidR="00AC12B4" w:rsidRDefault="00AC12B4">
            <w:pPr>
              <w:rPr>
                <w:sz w:val="4"/>
                <w:szCs w:val="4"/>
              </w:rPr>
            </w:pPr>
          </w:p>
        </w:tc>
        <w:tc>
          <w:tcPr>
            <w:tcW w:w="52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1420" w:type="dxa"/>
            <w:gridSpan w:val="4"/>
            <w:vMerge w:val="restart"/>
            <w:tcBorders>
              <w:right w:val="single" w:sz="8" w:space="0" w:color="8BCCEC"/>
            </w:tcBorders>
            <w:vAlign w:val="bottom"/>
          </w:tcPr>
          <w:p w:rsidR="00AC12B4" w:rsidRDefault="00C27636">
            <w:pPr>
              <w:spacing w:line="250" w:lineRule="exact"/>
              <w:ind w:right="72"/>
              <w:jc w:val="right"/>
              <w:rPr>
                <w:sz w:val="20"/>
                <w:szCs w:val="20"/>
              </w:rPr>
            </w:pPr>
            <w:r>
              <w:rPr>
                <w:rFonts w:ascii="Calibri" w:eastAsia="Calibri" w:hAnsi="Calibri" w:cs="Calibri"/>
                <w:w w:val="99"/>
              </w:rPr>
              <w:t>Communauté</w:t>
            </w:r>
          </w:p>
        </w:tc>
        <w:tc>
          <w:tcPr>
            <w:tcW w:w="60" w:type="dxa"/>
            <w:vAlign w:val="bottom"/>
          </w:tcPr>
          <w:p w:rsidR="00AC12B4" w:rsidRDefault="00AC12B4">
            <w:pPr>
              <w:rPr>
                <w:sz w:val="4"/>
                <w:szCs w:val="4"/>
              </w:rPr>
            </w:pPr>
          </w:p>
        </w:tc>
        <w:tc>
          <w:tcPr>
            <w:tcW w:w="1240" w:type="dxa"/>
            <w:gridSpan w:val="5"/>
            <w:vMerge/>
            <w:tcBorders>
              <w:right w:val="single" w:sz="8" w:space="0" w:color="868686"/>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340" w:type="dxa"/>
            <w:vAlign w:val="bottom"/>
          </w:tcPr>
          <w:p w:rsidR="00AC12B4" w:rsidRDefault="00AC12B4">
            <w:pPr>
              <w:rPr>
                <w:sz w:val="4"/>
                <w:szCs w:val="4"/>
              </w:rPr>
            </w:pPr>
          </w:p>
        </w:tc>
        <w:tc>
          <w:tcPr>
            <w:tcW w:w="360" w:type="dxa"/>
            <w:tcBorders>
              <w:right w:val="single" w:sz="8" w:space="0" w:color="86868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420" w:type="dxa"/>
            <w:vAlign w:val="bottom"/>
          </w:tcPr>
          <w:p w:rsidR="00AC12B4" w:rsidRDefault="00AC12B4">
            <w:pPr>
              <w:rPr>
                <w:sz w:val="4"/>
                <w:szCs w:val="4"/>
              </w:rPr>
            </w:pPr>
          </w:p>
        </w:tc>
        <w:tc>
          <w:tcPr>
            <w:tcW w:w="280" w:type="dxa"/>
            <w:tcBorders>
              <w:right w:val="single" w:sz="8" w:space="0" w:color="868686"/>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200" w:type="dxa"/>
            <w:tcBorders>
              <w:right w:val="single" w:sz="8" w:space="0" w:color="868686"/>
            </w:tcBorders>
            <w:vAlign w:val="bottom"/>
          </w:tcPr>
          <w:p w:rsidR="00AC12B4" w:rsidRDefault="00AC12B4">
            <w:pPr>
              <w:rPr>
                <w:sz w:val="4"/>
                <w:szCs w:val="4"/>
              </w:rPr>
            </w:pPr>
          </w:p>
        </w:tc>
        <w:tc>
          <w:tcPr>
            <w:tcW w:w="26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160" w:type="dxa"/>
            <w:gridSpan w:val="2"/>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06"/>
        </w:trPr>
        <w:tc>
          <w:tcPr>
            <w:tcW w:w="400" w:type="dxa"/>
            <w:vMerge/>
            <w:vAlign w:val="bottom"/>
          </w:tcPr>
          <w:p w:rsidR="00AC12B4" w:rsidRDefault="00AC12B4">
            <w:pPr>
              <w:rPr>
                <w:sz w:val="9"/>
                <w:szCs w:val="9"/>
              </w:rPr>
            </w:pPr>
          </w:p>
        </w:tc>
        <w:tc>
          <w:tcPr>
            <w:tcW w:w="180" w:type="dxa"/>
            <w:vAlign w:val="bottom"/>
          </w:tcPr>
          <w:p w:rsidR="00AC12B4" w:rsidRDefault="00AC12B4">
            <w:pPr>
              <w:rPr>
                <w:sz w:val="9"/>
                <w:szCs w:val="9"/>
              </w:rPr>
            </w:pPr>
          </w:p>
        </w:tc>
        <w:tc>
          <w:tcPr>
            <w:tcW w:w="520" w:type="dxa"/>
            <w:vAlign w:val="bottom"/>
          </w:tcPr>
          <w:p w:rsidR="00AC12B4" w:rsidRDefault="00AC12B4">
            <w:pPr>
              <w:rPr>
                <w:sz w:val="9"/>
                <w:szCs w:val="9"/>
              </w:rPr>
            </w:pPr>
          </w:p>
        </w:tc>
        <w:tc>
          <w:tcPr>
            <w:tcW w:w="220" w:type="dxa"/>
            <w:vAlign w:val="bottom"/>
          </w:tcPr>
          <w:p w:rsidR="00AC12B4" w:rsidRDefault="00AC12B4">
            <w:pPr>
              <w:rPr>
                <w:sz w:val="9"/>
                <w:szCs w:val="9"/>
              </w:rPr>
            </w:pPr>
          </w:p>
        </w:tc>
        <w:tc>
          <w:tcPr>
            <w:tcW w:w="1420" w:type="dxa"/>
            <w:gridSpan w:val="4"/>
            <w:vMerge/>
            <w:tcBorders>
              <w:right w:val="single" w:sz="8" w:space="0" w:color="8BCCEC"/>
            </w:tcBorders>
            <w:vAlign w:val="bottom"/>
          </w:tcPr>
          <w:p w:rsidR="00AC12B4" w:rsidRDefault="00AC12B4">
            <w:pPr>
              <w:rPr>
                <w:sz w:val="9"/>
                <w:szCs w:val="9"/>
              </w:rPr>
            </w:pPr>
          </w:p>
        </w:tc>
        <w:tc>
          <w:tcPr>
            <w:tcW w:w="60" w:type="dxa"/>
            <w:vAlign w:val="bottom"/>
          </w:tcPr>
          <w:p w:rsidR="00AC12B4" w:rsidRDefault="00AC12B4">
            <w:pPr>
              <w:rPr>
                <w:sz w:val="9"/>
                <w:szCs w:val="9"/>
              </w:rPr>
            </w:pPr>
          </w:p>
        </w:tc>
        <w:tc>
          <w:tcPr>
            <w:tcW w:w="1240" w:type="dxa"/>
            <w:gridSpan w:val="5"/>
            <w:vMerge/>
            <w:tcBorders>
              <w:right w:val="single" w:sz="8" w:space="0" w:color="868686"/>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140" w:type="dxa"/>
            <w:tcBorders>
              <w:right w:val="single" w:sz="8" w:space="0" w:color="868686"/>
            </w:tcBorders>
            <w:vAlign w:val="bottom"/>
          </w:tcPr>
          <w:p w:rsidR="00AC12B4" w:rsidRDefault="00AC12B4">
            <w:pPr>
              <w:rPr>
                <w:sz w:val="9"/>
                <w:szCs w:val="9"/>
              </w:rPr>
            </w:pPr>
          </w:p>
        </w:tc>
        <w:tc>
          <w:tcPr>
            <w:tcW w:w="340" w:type="dxa"/>
            <w:vAlign w:val="bottom"/>
          </w:tcPr>
          <w:p w:rsidR="00AC12B4" w:rsidRDefault="00AC12B4">
            <w:pPr>
              <w:rPr>
                <w:sz w:val="9"/>
                <w:szCs w:val="9"/>
              </w:rPr>
            </w:pPr>
          </w:p>
        </w:tc>
        <w:tc>
          <w:tcPr>
            <w:tcW w:w="360" w:type="dxa"/>
            <w:tcBorders>
              <w:right w:val="single" w:sz="8" w:space="0" w:color="868686"/>
            </w:tcBorders>
            <w:vAlign w:val="bottom"/>
          </w:tcPr>
          <w:p w:rsidR="00AC12B4" w:rsidRDefault="00AC12B4">
            <w:pPr>
              <w:rPr>
                <w:sz w:val="9"/>
                <w:szCs w:val="9"/>
              </w:rPr>
            </w:pPr>
          </w:p>
        </w:tc>
        <w:tc>
          <w:tcPr>
            <w:tcW w:w="20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140" w:type="dxa"/>
            <w:tcBorders>
              <w:right w:val="single" w:sz="8" w:space="0" w:color="868686"/>
            </w:tcBorders>
            <w:vAlign w:val="bottom"/>
          </w:tcPr>
          <w:p w:rsidR="00AC12B4" w:rsidRDefault="00AC12B4">
            <w:pPr>
              <w:rPr>
                <w:sz w:val="9"/>
                <w:szCs w:val="9"/>
              </w:rPr>
            </w:pPr>
          </w:p>
        </w:tc>
        <w:tc>
          <w:tcPr>
            <w:tcW w:w="420" w:type="dxa"/>
            <w:vAlign w:val="bottom"/>
          </w:tcPr>
          <w:p w:rsidR="00AC12B4" w:rsidRDefault="00AC12B4">
            <w:pPr>
              <w:rPr>
                <w:sz w:val="9"/>
                <w:szCs w:val="9"/>
              </w:rPr>
            </w:pPr>
          </w:p>
        </w:tc>
        <w:tc>
          <w:tcPr>
            <w:tcW w:w="280" w:type="dxa"/>
            <w:tcBorders>
              <w:right w:val="single" w:sz="8" w:space="0" w:color="868686"/>
            </w:tcBorders>
            <w:vAlign w:val="bottom"/>
          </w:tcPr>
          <w:p w:rsidR="00AC12B4" w:rsidRDefault="00AC12B4">
            <w:pPr>
              <w:rPr>
                <w:sz w:val="9"/>
                <w:szCs w:val="9"/>
              </w:rPr>
            </w:pPr>
          </w:p>
        </w:tc>
        <w:tc>
          <w:tcPr>
            <w:tcW w:w="60" w:type="dxa"/>
            <w:vAlign w:val="bottom"/>
          </w:tcPr>
          <w:p w:rsidR="00AC12B4" w:rsidRDefault="00AC12B4">
            <w:pPr>
              <w:rPr>
                <w:sz w:val="9"/>
                <w:szCs w:val="9"/>
              </w:rPr>
            </w:pPr>
          </w:p>
        </w:tc>
        <w:tc>
          <w:tcPr>
            <w:tcW w:w="440" w:type="dxa"/>
            <w:vAlign w:val="bottom"/>
          </w:tcPr>
          <w:p w:rsidR="00AC12B4" w:rsidRDefault="00AC12B4">
            <w:pPr>
              <w:rPr>
                <w:sz w:val="9"/>
                <w:szCs w:val="9"/>
              </w:rPr>
            </w:pPr>
          </w:p>
        </w:tc>
        <w:tc>
          <w:tcPr>
            <w:tcW w:w="200" w:type="dxa"/>
            <w:tcBorders>
              <w:right w:val="single" w:sz="8" w:space="0" w:color="868686"/>
            </w:tcBorders>
            <w:vAlign w:val="bottom"/>
          </w:tcPr>
          <w:p w:rsidR="00AC12B4" w:rsidRDefault="00AC12B4">
            <w:pPr>
              <w:rPr>
                <w:sz w:val="9"/>
                <w:szCs w:val="9"/>
              </w:rPr>
            </w:pPr>
          </w:p>
        </w:tc>
        <w:tc>
          <w:tcPr>
            <w:tcW w:w="26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7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84"/>
        </w:trPr>
        <w:tc>
          <w:tcPr>
            <w:tcW w:w="400" w:type="dxa"/>
            <w:vMerge/>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520" w:type="dxa"/>
            <w:vAlign w:val="bottom"/>
          </w:tcPr>
          <w:p w:rsidR="00AC12B4" w:rsidRDefault="00AC12B4">
            <w:pPr>
              <w:rPr>
                <w:sz w:val="16"/>
                <w:szCs w:val="16"/>
              </w:rPr>
            </w:pPr>
          </w:p>
        </w:tc>
        <w:tc>
          <w:tcPr>
            <w:tcW w:w="220" w:type="dxa"/>
            <w:vAlign w:val="bottom"/>
          </w:tcPr>
          <w:p w:rsidR="00AC12B4" w:rsidRDefault="00AC12B4">
            <w:pPr>
              <w:rPr>
                <w:sz w:val="16"/>
                <w:szCs w:val="16"/>
              </w:rPr>
            </w:pPr>
          </w:p>
        </w:tc>
        <w:tc>
          <w:tcPr>
            <w:tcW w:w="1420" w:type="dxa"/>
            <w:gridSpan w:val="4"/>
            <w:vMerge/>
            <w:tcBorders>
              <w:right w:val="single" w:sz="8" w:space="0" w:color="8BCCEC"/>
            </w:tcBorders>
            <w:vAlign w:val="bottom"/>
          </w:tcPr>
          <w:p w:rsidR="00AC12B4" w:rsidRDefault="00AC12B4">
            <w:pPr>
              <w:rPr>
                <w:sz w:val="16"/>
                <w:szCs w:val="16"/>
              </w:rPr>
            </w:pPr>
          </w:p>
        </w:tc>
        <w:tc>
          <w:tcPr>
            <w:tcW w:w="6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280" w:type="dxa"/>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80" w:type="dxa"/>
            <w:tcBorders>
              <w:bottom w:val="single" w:sz="8" w:space="0" w:color="868686"/>
              <w:right w:val="single" w:sz="8" w:space="0" w:color="868686"/>
            </w:tcBorders>
            <w:vAlign w:val="bottom"/>
          </w:tcPr>
          <w:p w:rsidR="00AC12B4" w:rsidRDefault="00AC12B4">
            <w:pPr>
              <w:rPr>
                <w:sz w:val="16"/>
                <w:szCs w:val="16"/>
              </w:rPr>
            </w:pPr>
          </w:p>
        </w:tc>
        <w:tc>
          <w:tcPr>
            <w:tcW w:w="8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140" w:type="dxa"/>
            <w:tcBorders>
              <w:right w:val="single" w:sz="8" w:space="0" w:color="868686"/>
            </w:tcBorders>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360" w:type="dxa"/>
            <w:tcBorders>
              <w:right w:val="single" w:sz="8" w:space="0" w:color="868686"/>
            </w:tcBorders>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140" w:type="dxa"/>
            <w:tcBorders>
              <w:right w:val="single" w:sz="8" w:space="0" w:color="868686"/>
            </w:tcBorders>
            <w:vAlign w:val="bottom"/>
          </w:tcPr>
          <w:p w:rsidR="00AC12B4" w:rsidRDefault="00AC12B4">
            <w:pPr>
              <w:rPr>
                <w:sz w:val="16"/>
                <w:szCs w:val="16"/>
              </w:rPr>
            </w:pPr>
          </w:p>
        </w:tc>
        <w:tc>
          <w:tcPr>
            <w:tcW w:w="420" w:type="dxa"/>
            <w:vAlign w:val="bottom"/>
          </w:tcPr>
          <w:p w:rsidR="00AC12B4" w:rsidRDefault="00AC12B4">
            <w:pPr>
              <w:rPr>
                <w:sz w:val="16"/>
                <w:szCs w:val="16"/>
              </w:rPr>
            </w:pPr>
          </w:p>
        </w:tc>
        <w:tc>
          <w:tcPr>
            <w:tcW w:w="280" w:type="dxa"/>
            <w:tcBorders>
              <w:right w:val="single" w:sz="8" w:space="0" w:color="868686"/>
            </w:tcBorders>
            <w:vAlign w:val="bottom"/>
          </w:tcPr>
          <w:p w:rsidR="00AC12B4" w:rsidRDefault="00AC12B4">
            <w:pPr>
              <w:rPr>
                <w:sz w:val="16"/>
                <w:szCs w:val="16"/>
              </w:rPr>
            </w:pPr>
          </w:p>
        </w:tc>
        <w:tc>
          <w:tcPr>
            <w:tcW w:w="60" w:type="dxa"/>
            <w:vAlign w:val="bottom"/>
          </w:tcPr>
          <w:p w:rsidR="00AC12B4" w:rsidRDefault="00AC12B4">
            <w:pPr>
              <w:rPr>
                <w:sz w:val="16"/>
                <w:szCs w:val="16"/>
              </w:rPr>
            </w:pPr>
          </w:p>
        </w:tc>
        <w:tc>
          <w:tcPr>
            <w:tcW w:w="440" w:type="dxa"/>
            <w:vAlign w:val="bottom"/>
          </w:tcPr>
          <w:p w:rsidR="00AC12B4" w:rsidRDefault="00AC12B4">
            <w:pPr>
              <w:rPr>
                <w:sz w:val="16"/>
                <w:szCs w:val="16"/>
              </w:rPr>
            </w:pPr>
          </w:p>
        </w:tc>
        <w:tc>
          <w:tcPr>
            <w:tcW w:w="200" w:type="dxa"/>
            <w:tcBorders>
              <w:right w:val="single" w:sz="8" w:space="0" w:color="868686"/>
            </w:tcBorders>
            <w:vAlign w:val="bottom"/>
          </w:tcPr>
          <w:p w:rsidR="00AC12B4" w:rsidRDefault="00AC12B4">
            <w:pPr>
              <w:rPr>
                <w:sz w:val="16"/>
                <w:szCs w:val="16"/>
              </w:rPr>
            </w:pPr>
          </w:p>
        </w:tc>
        <w:tc>
          <w:tcPr>
            <w:tcW w:w="26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100" w:type="dxa"/>
            <w:tcBorders>
              <w:bottom w:val="single" w:sz="8" w:space="0" w:color="8064A2"/>
            </w:tcBorders>
            <w:vAlign w:val="bottom"/>
          </w:tcPr>
          <w:p w:rsidR="00AC12B4" w:rsidRDefault="00AC12B4">
            <w:pPr>
              <w:rPr>
                <w:sz w:val="16"/>
                <w:szCs w:val="16"/>
              </w:rPr>
            </w:pPr>
          </w:p>
        </w:tc>
        <w:tc>
          <w:tcPr>
            <w:tcW w:w="1160" w:type="dxa"/>
            <w:gridSpan w:val="2"/>
            <w:vMerge w:val="restart"/>
            <w:vAlign w:val="bottom"/>
          </w:tcPr>
          <w:p w:rsidR="00AC12B4" w:rsidRDefault="00C27636">
            <w:pPr>
              <w:ind w:left="60"/>
              <w:rPr>
                <w:sz w:val="20"/>
                <w:szCs w:val="20"/>
              </w:rPr>
            </w:pPr>
            <w:r>
              <w:rPr>
                <w:rFonts w:ascii="Calibri" w:eastAsia="Calibri" w:hAnsi="Calibri" w:cs="Calibri"/>
                <w:sz w:val="20"/>
                <w:szCs w:val="20"/>
              </w:rPr>
              <w:t>Artistique</w:t>
            </w:r>
          </w:p>
        </w:tc>
        <w:tc>
          <w:tcPr>
            <w:tcW w:w="0" w:type="dxa"/>
            <w:vAlign w:val="bottom"/>
          </w:tcPr>
          <w:p w:rsidR="00AC12B4" w:rsidRDefault="00AC12B4">
            <w:pPr>
              <w:rPr>
                <w:sz w:val="1"/>
                <w:szCs w:val="1"/>
              </w:rPr>
            </w:pPr>
          </w:p>
        </w:tc>
      </w:tr>
      <w:tr w:rsidR="00AC12B4">
        <w:trPr>
          <w:trHeight w:val="52"/>
        </w:trPr>
        <w:tc>
          <w:tcPr>
            <w:tcW w:w="1540" w:type="dxa"/>
            <w:gridSpan w:val="5"/>
            <w:vMerge w:val="restart"/>
            <w:vAlign w:val="bottom"/>
          </w:tcPr>
          <w:p w:rsidR="00AC12B4" w:rsidRDefault="00C27636">
            <w:pPr>
              <w:spacing w:line="175" w:lineRule="exact"/>
              <w:rPr>
                <w:sz w:val="20"/>
                <w:szCs w:val="20"/>
              </w:rPr>
            </w:pPr>
            <w:r>
              <w:rPr>
                <w:rFonts w:ascii="Calibri" w:eastAsia="Calibri" w:hAnsi="Calibri" w:cs="Calibri"/>
                <w:sz w:val="19"/>
                <w:szCs w:val="19"/>
              </w:rPr>
              <w:t>germanophone</w:t>
            </w:r>
          </w:p>
        </w:tc>
        <w:tc>
          <w:tcPr>
            <w:tcW w:w="2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500" w:type="dxa"/>
            <w:tcBorders>
              <w:right w:val="single" w:sz="8" w:space="0" w:color="8BCCEC"/>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1160" w:type="dxa"/>
            <w:gridSpan w:val="4"/>
            <w:vMerge w:val="restart"/>
            <w:tcBorders>
              <w:right w:val="single" w:sz="8" w:space="0" w:color="868686"/>
            </w:tcBorders>
            <w:vAlign w:val="bottom"/>
          </w:tcPr>
          <w:p w:rsidR="00AC12B4" w:rsidRDefault="00C27636">
            <w:pPr>
              <w:ind w:right="200"/>
              <w:jc w:val="right"/>
              <w:rPr>
                <w:sz w:val="20"/>
                <w:szCs w:val="20"/>
              </w:rPr>
            </w:pPr>
            <w:r>
              <w:rPr>
                <w:rFonts w:ascii="Calibri" w:eastAsia="Calibri" w:hAnsi="Calibri" w:cs="Calibri"/>
                <w:sz w:val="20"/>
                <w:szCs w:val="20"/>
              </w:rPr>
              <w:t>1er degré</w:t>
            </w:r>
          </w:p>
        </w:tc>
        <w:tc>
          <w:tcPr>
            <w:tcW w:w="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340" w:type="dxa"/>
            <w:vAlign w:val="bottom"/>
          </w:tcPr>
          <w:p w:rsidR="00AC12B4" w:rsidRDefault="00AC12B4">
            <w:pPr>
              <w:rPr>
                <w:sz w:val="4"/>
                <w:szCs w:val="4"/>
              </w:rPr>
            </w:pPr>
          </w:p>
        </w:tc>
        <w:tc>
          <w:tcPr>
            <w:tcW w:w="360" w:type="dxa"/>
            <w:tcBorders>
              <w:right w:val="single" w:sz="8" w:space="0" w:color="86868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420" w:type="dxa"/>
            <w:vAlign w:val="bottom"/>
          </w:tcPr>
          <w:p w:rsidR="00AC12B4" w:rsidRDefault="00AC12B4">
            <w:pPr>
              <w:rPr>
                <w:sz w:val="4"/>
                <w:szCs w:val="4"/>
              </w:rPr>
            </w:pPr>
          </w:p>
        </w:tc>
        <w:tc>
          <w:tcPr>
            <w:tcW w:w="280" w:type="dxa"/>
            <w:tcBorders>
              <w:right w:val="single" w:sz="8" w:space="0" w:color="868686"/>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200" w:type="dxa"/>
            <w:tcBorders>
              <w:right w:val="single" w:sz="8" w:space="0" w:color="868686"/>
            </w:tcBorders>
            <w:vAlign w:val="bottom"/>
          </w:tcPr>
          <w:p w:rsidR="00AC12B4" w:rsidRDefault="00AC12B4">
            <w:pPr>
              <w:rPr>
                <w:sz w:val="4"/>
                <w:szCs w:val="4"/>
              </w:rPr>
            </w:pPr>
          </w:p>
        </w:tc>
        <w:tc>
          <w:tcPr>
            <w:tcW w:w="26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160" w:type="dxa"/>
            <w:gridSpan w:val="2"/>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24"/>
        </w:trPr>
        <w:tc>
          <w:tcPr>
            <w:tcW w:w="1540" w:type="dxa"/>
            <w:gridSpan w:val="5"/>
            <w:vMerge/>
            <w:vAlign w:val="bottom"/>
          </w:tcPr>
          <w:p w:rsidR="00AC12B4" w:rsidRDefault="00AC12B4">
            <w:pPr>
              <w:rPr>
                <w:sz w:val="10"/>
                <w:szCs w:val="10"/>
              </w:rPr>
            </w:pPr>
          </w:p>
        </w:tc>
        <w:tc>
          <w:tcPr>
            <w:tcW w:w="28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500" w:type="dxa"/>
            <w:tcBorders>
              <w:right w:val="single" w:sz="8" w:space="0" w:color="8BCCEC"/>
            </w:tcBorders>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160" w:type="dxa"/>
            <w:gridSpan w:val="4"/>
            <w:vMerge/>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140" w:type="dxa"/>
            <w:tcBorders>
              <w:right w:val="single" w:sz="8" w:space="0" w:color="868686"/>
            </w:tcBorders>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360" w:type="dxa"/>
            <w:tcBorders>
              <w:right w:val="single" w:sz="8" w:space="0" w:color="868686"/>
            </w:tcBorders>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140" w:type="dxa"/>
            <w:tcBorders>
              <w:right w:val="single" w:sz="8" w:space="0" w:color="868686"/>
            </w:tcBorders>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80" w:type="dxa"/>
            <w:tcBorders>
              <w:right w:val="single" w:sz="8" w:space="0" w:color="868686"/>
            </w:tcBorders>
            <w:vAlign w:val="bottom"/>
          </w:tcPr>
          <w:p w:rsidR="00AC12B4" w:rsidRDefault="00AC12B4">
            <w:pPr>
              <w:rPr>
                <w:sz w:val="10"/>
                <w:szCs w:val="10"/>
              </w:rPr>
            </w:pPr>
          </w:p>
        </w:tc>
        <w:tc>
          <w:tcPr>
            <w:tcW w:w="6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200" w:type="dxa"/>
            <w:tcBorders>
              <w:right w:val="single" w:sz="8" w:space="0" w:color="868686"/>
            </w:tcBorders>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76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77"/>
        </w:trPr>
        <w:tc>
          <w:tcPr>
            <w:tcW w:w="1320" w:type="dxa"/>
            <w:gridSpan w:val="4"/>
            <w:vMerge w:val="restart"/>
            <w:vAlign w:val="bottom"/>
          </w:tcPr>
          <w:p w:rsidR="00AC12B4" w:rsidRDefault="00C27636">
            <w:pPr>
              <w:rPr>
                <w:sz w:val="20"/>
                <w:szCs w:val="20"/>
              </w:rPr>
            </w:pPr>
            <w:r>
              <w:rPr>
                <w:rFonts w:ascii="Calibri" w:eastAsia="Calibri" w:hAnsi="Calibri" w:cs="Calibri"/>
              </w:rPr>
              <w:t>expressément</w:t>
            </w:r>
          </w:p>
        </w:tc>
        <w:tc>
          <w:tcPr>
            <w:tcW w:w="220" w:type="dxa"/>
            <w:vAlign w:val="bottom"/>
          </w:tcPr>
          <w:p w:rsidR="00AC12B4" w:rsidRDefault="00AC12B4">
            <w:pPr>
              <w:rPr>
                <w:sz w:val="6"/>
                <w:szCs w:val="6"/>
              </w:rPr>
            </w:pPr>
          </w:p>
        </w:tc>
        <w:tc>
          <w:tcPr>
            <w:tcW w:w="700" w:type="dxa"/>
            <w:gridSpan w:val="2"/>
            <w:vMerge w:val="restart"/>
            <w:vAlign w:val="bottom"/>
          </w:tcPr>
          <w:p w:rsidR="00AC12B4" w:rsidRDefault="00C27636">
            <w:pPr>
              <w:rPr>
                <w:sz w:val="20"/>
                <w:szCs w:val="20"/>
              </w:rPr>
            </w:pPr>
            <w:r>
              <w:rPr>
                <w:rFonts w:ascii="Calibri" w:eastAsia="Calibri" w:hAnsi="Calibri" w:cs="Calibri"/>
              </w:rPr>
              <w:t>pour</w:t>
            </w:r>
          </w:p>
        </w:tc>
        <w:tc>
          <w:tcPr>
            <w:tcW w:w="500" w:type="dxa"/>
            <w:vMerge w:val="restart"/>
            <w:tcBorders>
              <w:right w:val="single" w:sz="8" w:space="0" w:color="8BCCEC"/>
            </w:tcBorders>
            <w:vAlign w:val="bottom"/>
          </w:tcPr>
          <w:p w:rsidR="00AC12B4" w:rsidRDefault="00C27636">
            <w:pPr>
              <w:ind w:right="72"/>
              <w:jc w:val="right"/>
              <w:rPr>
                <w:sz w:val="20"/>
                <w:szCs w:val="20"/>
              </w:rPr>
            </w:pPr>
            <w:r>
              <w:rPr>
                <w:rFonts w:ascii="Calibri" w:eastAsia="Calibri" w:hAnsi="Calibri" w:cs="Calibri"/>
                <w:w w:val="94"/>
              </w:rPr>
              <w:t>son</w:t>
            </w: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1160" w:type="dxa"/>
            <w:gridSpan w:val="4"/>
            <w:vMerge/>
            <w:tcBorders>
              <w:right w:val="single" w:sz="8" w:space="0" w:color="868686"/>
            </w:tcBorders>
            <w:vAlign w:val="bottom"/>
          </w:tcPr>
          <w:p w:rsidR="00AC12B4" w:rsidRDefault="00AC12B4">
            <w:pPr>
              <w:rPr>
                <w:sz w:val="6"/>
                <w:szCs w:val="6"/>
              </w:rPr>
            </w:pPr>
          </w:p>
        </w:tc>
        <w:tc>
          <w:tcPr>
            <w:tcW w:w="8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140" w:type="dxa"/>
            <w:tcBorders>
              <w:right w:val="single" w:sz="8" w:space="0" w:color="868686"/>
            </w:tcBorders>
            <w:vAlign w:val="bottom"/>
          </w:tcPr>
          <w:p w:rsidR="00AC12B4" w:rsidRDefault="00AC12B4">
            <w:pPr>
              <w:rPr>
                <w:sz w:val="6"/>
                <w:szCs w:val="6"/>
              </w:rPr>
            </w:pPr>
          </w:p>
        </w:tc>
        <w:tc>
          <w:tcPr>
            <w:tcW w:w="340" w:type="dxa"/>
            <w:vAlign w:val="bottom"/>
          </w:tcPr>
          <w:p w:rsidR="00AC12B4" w:rsidRDefault="00AC12B4">
            <w:pPr>
              <w:rPr>
                <w:sz w:val="6"/>
                <w:szCs w:val="6"/>
              </w:rPr>
            </w:pPr>
          </w:p>
        </w:tc>
        <w:tc>
          <w:tcPr>
            <w:tcW w:w="360" w:type="dxa"/>
            <w:tcBorders>
              <w:right w:val="single" w:sz="8" w:space="0" w:color="868686"/>
            </w:tcBorders>
            <w:vAlign w:val="bottom"/>
          </w:tcPr>
          <w:p w:rsidR="00AC12B4" w:rsidRDefault="00AC12B4">
            <w:pPr>
              <w:rPr>
                <w:sz w:val="6"/>
                <w:szCs w:val="6"/>
              </w:rPr>
            </w:pPr>
          </w:p>
        </w:tc>
        <w:tc>
          <w:tcPr>
            <w:tcW w:w="20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140" w:type="dxa"/>
            <w:tcBorders>
              <w:right w:val="single" w:sz="8" w:space="0" w:color="868686"/>
            </w:tcBorders>
            <w:vAlign w:val="bottom"/>
          </w:tcPr>
          <w:p w:rsidR="00AC12B4" w:rsidRDefault="00AC12B4">
            <w:pPr>
              <w:rPr>
                <w:sz w:val="6"/>
                <w:szCs w:val="6"/>
              </w:rPr>
            </w:pPr>
          </w:p>
        </w:tc>
        <w:tc>
          <w:tcPr>
            <w:tcW w:w="420" w:type="dxa"/>
            <w:vAlign w:val="bottom"/>
          </w:tcPr>
          <w:p w:rsidR="00AC12B4" w:rsidRDefault="00AC12B4">
            <w:pPr>
              <w:rPr>
                <w:sz w:val="6"/>
                <w:szCs w:val="6"/>
              </w:rPr>
            </w:pPr>
          </w:p>
        </w:tc>
        <w:tc>
          <w:tcPr>
            <w:tcW w:w="280" w:type="dxa"/>
            <w:tcBorders>
              <w:right w:val="single" w:sz="8" w:space="0" w:color="868686"/>
            </w:tcBorders>
            <w:vAlign w:val="bottom"/>
          </w:tcPr>
          <w:p w:rsidR="00AC12B4" w:rsidRDefault="00AC12B4">
            <w:pPr>
              <w:rPr>
                <w:sz w:val="6"/>
                <w:szCs w:val="6"/>
              </w:rPr>
            </w:pPr>
          </w:p>
        </w:tc>
        <w:tc>
          <w:tcPr>
            <w:tcW w:w="60" w:type="dxa"/>
            <w:vAlign w:val="bottom"/>
          </w:tcPr>
          <w:p w:rsidR="00AC12B4" w:rsidRDefault="00AC12B4">
            <w:pPr>
              <w:rPr>
                <w:sz w:val="6"/>
                <w:szCs w:val="6"/>
              </w:rPr>
            </w:pPr>
          </w:p>
        </w:tc>
        <w:tc>
          <w:tcPr>
            <w:tcW w:w="440" w:type="dxa"/>
            <w:vAlign w:val="bottom"/>
          </w:tcPr>
          <w:p w:rsidR="00AC12B4" w:rsidRDefault="00AC12B4">
            <w:pPr>
              <w:rPr>
                <w:sz w:val="6"/>
                <w:szCs w:val="6"/>
              </w:rPr>
            </w:pPr>
          </w:p>
        </w:tc>
        <w:tc>
          <w:tcPr>
            <w:tcW w:w="200" w:type="dxa"/>
            <w:tcBorders>
              <w:right w:val="single" w:sz="8" w:space="0" w:color="868686"/>
            </w:tcBorders>
            <w:vAlign w:val="bottom"/>
          </w:tcPr>
          <w:p w:rsidR="00AC12B4" w:rsidRDefault="00AC12B4">
            <w:pPr>
              <w:rPr>
                <w:sz w:val="6"/>
                <w:szCs w:val="6"/>
              </w:rPr>
            </w:pPr>
          </w:p>
        </w:tc>
        <w:tc>
          <w:tcPr>
            <w:tcW w:w="26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1160" w:type="dxa"/>
            <w:gridSpan w:val="2"/>
            <w:vMerge w:val="restart"/>
            <w:vAlign w:val="bottom"/>
          </w:tcPr>
          <w:p w:rsidR="00AC12B4" w:rsidRDefault="00C27636">
            <w:pPr>
              <w:spacing w:line="238" w:lineRule="exact"/>
              <w:ind w:left="60"/>
              <w:rPr>
                <w:sz w:val="20"/>
                <w:szCs w:val="20"/>
              </w:rPr>
            </w:pPr>
            <w:r>
              <w:rPr>
                <w:rFonts w:ascii="Calibri" w:eastAsia="Calibri" w:hAnsi="Calibri" w:cs="Calibri"/>
                <w:sz w:val="20"/>
                <w:szCs w:val="20"/>
              </w:rPr>
              <w:t>Technique</w:t>
            </w:r>
          </w:p>
        </w:tc>
        <w:tc>
          <w:tcPr>
            <w:tcW w:w="0" w:type="dxa"/>
            <w:vAlign w:val="bottom"/>
          </w:tcPr>
          <w:p w:rsidR="00AC12B4" w:rsidRDefault="00AC12B4">
            <w:pPr>
              <w:rPr>
                <w:sz w:val="1"/>
                <w:szCs w:val="1"/>
              </w:rPr>
            </w:pPr>
          </w:p>
        </w:tc>
      </w:tr>
      <w:tr w:rsidR="00AC12B4">
        <w:trPr>
          <w:trHeight w:val="90"/>
        </w:trPr>
        <w:tc>
          <w:tcPr>
            <w:tcW w:w="1320" w:type="dxa"/>
            <w:gridSpan w:val="4"/>
            <w:vMerge/>
            <w:vAlign w:val="bottom"/>
          </w:tcPr>
          <w:p w:rsidR="00AC12B4" w:rsidRDefault="00AC12B4">
            <w:pPr>
              <w:rPr>
                <w:sz w:val="7"/>
                <w:szCs w:val="7"/>
              </w:rPr>
            </w:pPr>
          </w:p>
        </w:tc>
        <w:tc>
          <w:tcPr>
            <w:tcW w:w="220" w:type="dxa"/>
            <w:vAlign w:val="bottom"/>
          </w:tcPr>
          <w:p w:rsidR="00AC12B4" w:rsidRDefault="00AC12B4">
            <w:pPr>
              <w:rPr>
                <w:sz w:val="7"/>
                <w:szCs w:val="7"/>
              </w:rPr>
            </w:pPr>
          </w:p>
        </w:tc>
        <w:tc>
          <w:tcPr>
            <w:tcW w:w="700" w:type="dxa"/>
            <w:gridSpan w:val="2"/>
            <w:vMerge/>
            <w:vAlign w:val="bottom"/>
          </w:tcPr>
          <w:p w:rsidR="00AC12B4" w:rsidRDefault="00AC12B4">
            <w:pPr>
              <w:rPr>
                <w:sz w:val="7"/>
                <w:szCs w:val="7"/>
              </w:rPr>
            </w:pPr>
          </w:p>
        </w:tc>
        <w:tc>
          <w:tcPr>
            <w:tcW w:w="500" w:type="dxa"/>
            <w:vMerge/>
            <w:tcBorders>
              <w:right w:val="single" w:sz="8" w:space="0" w:color="8BCCEC"/>
            </w:tcBorders>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1160" w:type="dxa"/>
            <w:gridSpan w:val="4"/>
            <w:vMerge/>
            <w:tcBorders>
              <w:right w:val="single" w:sz="8" w:space="0" w:color="868686"/>
            </w:tcBorders>
            <w:vAlign w:val="bottom"/>
          </w:tcPr>
          <w:p w:rsidR="00AC12B4" w:rsidRDefault="00AC12B4">
            <w:pPr>
              <w:rPr>
                <w:sz w:val="7"/>
                <w:szCs w:val="7"/>
              </w:rPr>
            </w:pPr>
          </w:p>
        </w:tc>
        <w:tc>
          <w:tcPr>
            <w:tcW w:w="8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140" w:type="dxa"/>
            <w:tcBorders>
              <w:right w:val="single" w:sz="8" w:space="0" w:color="868686"/>
            </w:tcBorders>
            <w:vAlign w:val="bottom"/>
          </w:tcPr>
          <w:p w:rsidR="00AC12B4" w:rsidRDefault="00AC12B4">
            <w:pPr>
              <w:rPr>
                <w:sz w:val="7"/>
                <w:szCs w:val="7"/>
              </w:rPr>
            </w:pPr>
          </w:p>
        </w:tc>
        <w:tc>
          <w:tcPr>
            <w:tcW w:w="340" w:type="dxa"/>
            <w:vAlign w:val="bottom"/>
          </w:tcPr>
          <w:p w:rsidR="00AC12B4" w:rsidRDefault="00AC12B4">
            <w:pPr>
              <w:rPr>
                <w:sz w:val="7"/>
                <w:szCs w:val="7"/>
              </w:rPr>
            </w:pPr>
          </w:p>
        </w:tc>
        <w:tc>
          <w:tcPr>
            <w:tcW w:w="360" w:type="dxa"/>
            <w:tcBorders>
              <w:right w:val="single" w:sz="8" w:space="0" w:color="868686"/>
            </w:tcBorders>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tcBorders>
              <w:right w:val="single" w:sz="8" w:space="0" w:color="868686"/>
            </w:tcBorders>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tcBorders>
              <w:right w:val="single" w:sz="8" w:space="0" w:color="868686"/>
            </w:tcBorders>
            <w:vAlign w:val="bottom"/>
          </w:tcPr>
          <w:p w:rsidR="00AC12B4" w:rsidRDefault="00AC12B4">
            <w:pPr>
              <w:rPr>
                <w:sz w:val="7"/>
                <w:szCs w:val="7"/>
              </w:rPr>
            </w:pPr>
          </w:p>
        </w:tc>
        <w:tc>
          <w:tcPr>
            <w:tcW w:w="6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00" w:type="dxa"/>
            <w:tcBorders>
              <w:right w:val="single" w:sz="8" w:space="0" w:color="868686"/>
            </w:tcBorders>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0" w:type="dxa"/>
            <w:tcBorders>
              <w:bottom w:val="single" w:sz="8" w:space="0" w:color="9BBB59"/>
            </w:tcBorders>
            <w:shd w:val="clear" w:color="auto" w:fill="9BBB59"/>
            <w:vAlign w:val="bottom"/>
          </w:tcPr>
          <w:p w:rsidR="00AC12B4" w:rsidRDefault="00AC12B4">
            <w:pPr>
              <w:rPr>
                <w:sz w:val="7"/>
                <w:szCs w:val="7"/>
              </w:rPr>
            </w:pPr>
          </w:p>
        </w:tc>
        <w:tc>
          <w:tcPr>
            <w:tcW w:w="1160" w:type="dxa"/>
            <w:gridSpan w:val="2"/>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82"/>
        </w:trPr>
        <w:tc>
          <w:tcPr>
            <w:tcW w:w="1320" w:type="dxa"/>
            <w:gridSpan w:val="4"/>
            <w:vMerge/>
            <w:vAlign w:val="bottom"/>
          </w:tcPr>
          <w:p w:rsidR="00AC12B4" w:rsidRDefault="00AC12B4">
            <w:pPr>
              <w:rPr>
                <w:sz w:val="7"/>
                <w:szCs w:val="7"/>
              </w:rPr>
            </w:pPr>
          </w:p>
        </w:tc>
        <w:tc>
          <w:tcPr>
            <w:tcW w:w="220" w:type="dxa"/>
            <w:vAlign w:val="bottom"/>
          </w:tcPr>
          <w:p w:rsidR="00AC12B4" w:rsidRDefault="00AC12B4">
            <w:pPr>
              <w:rPr>
                <w:sz w:val="7"/>
                <w:szCs w:val="7"/>
              </w:rPr>
            </w:pPr>
          </w:p>
        </w:tc>
        <w:tc>
          <w:tcPr>
            <w:tcW w:w="700" w:type="dxa"/>
            <w:gridSpan w:val="2"/>
            <w:vMerge/>
            <w:vAlign w:val="bottom"/>
          </w:tcPr>
          <w:p w:rsidR="00AC12B4" w:rsidRDefault="00AC12B4">
            <w:pPr>
              <w:rPr>
                <w:sz w:val="7"/>
                <w:szCs w:val="7"/>
              </w:rPr>
            </w:pPr>
          </w:p>
        </w:tc>
        <w:tc>
          <w:tcPr>
            <w:tcW w:w="500" w:type="dxa"/>
            <w:vMerge/>
            <w:tcBorders>
              <w:right w:val="single" w:sz="8" w:space="0" w:color="8BCCEC"/>
            </w:tcBorders>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8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140" w:type="dxa"/>
            <w:tcBorders>
              <w:right w:val="single" w:sz="8" w:space="0" w:color="868686"/>
            </w:tcBorders>
            <w:vAlign w:val="bottom"/>
          </w:tcPr>
          <w:p w:rsidR="00AC12B4" w:rsidRDefault="00AC12B4">
            <w:pPr>
              <w:rPr>
                <w:sz w:val="7"/>
                <w:szCs w:val="7"/>
              </w:rPr>
            </w:pPr>
          </w:p>
        </w:tc>
        <w:tc>
          <w:tcPr>
            <w:tcW w:w="340" w:type="dxa"/>
            <w:vAlign w:val="bottom"/>
          </w:tcPr>
          <w:p w:rsidR="00AC12B4" w:rsidRDefault="00AC12B4">
            <w:pPr>
              <w:rPr>
                <w:sz w:val="7"/>
                <w:szCs w:val="7"/>
              </w:rPr>
            </w:pPr>
          </w:p>
        </w:tc>
        <w:tc>
          <w:tcPr>
            <w:tcW w:w="360" w:type="dxa"/>
            <w:tcBorders>
              <w:right w:val="single" w:sz="8" w:space="0" w:color="868686"/>
            </w:tcBorders>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tcBorders>
              <w:right w:val="single" w:sz="8" w:space="0" w:color="868686"/>
            </w:tcBorders>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tcBorders>
              <w:right w:val="single" w:sz="8" w:space="0" w:color="868686"/>
            </w:tcBorders>
            <w:vAlign w:val="bottom"/>
          </w:tcPr>
          <w:p w:rsidR="00AC12B4" w:rsidRDefault="00AC12B4">
            <w:pPr>
              <w:rPr>
                <w:sz w:val="7"/>
                <w:szCs w:val="7"/>
              </w:rPr>
            </w:pPr>
          </w:p>
        </w:tc>
        <w:tc>
          <w:tcPr>
            <w:tcW w:w="6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00" w:type="dxa"/>
            <w:tcBorders>
              <w:right w:val="single" w:sz="8" w:space="0" w:color="868686"/>
            </w:tcBorders>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1160" w:type="dxa"/>
            <w:gridSpan w:val="2"/>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33"/>
        </w:trPr>
        <w:tc>
          <w:tcPr>
            <w:tcW w:w="2740" w:type="dxa"/>
            <w:gridSpan w:val="8"/>
            <w:vMerge w:val="restart"/>
            <w:tcBorders>
              <w:right w:val="single" w:sz="8" w:space="0" w:color="8BCCEC"/>
            </w:tcBorders>
            <w:vAlign w:val="bottom"/>
          </w:tcPr>
          <w:p w:rsidR="00AC12B4" w:rsidRDefault="00C27636">
            <w:pPr>
              <w:rPr>
                <w:sz w:val="20"/>
                <w:szCs w:val="20"/>
              </w:rPr>
            </w:pPr>
            <w:r>
              <w:rPr>
                <w:rFonts w:ascii="Calibri" w:eastAsia="Calibri" w:hAnsi="Calibri" w:cs="Calibri"/>
              </w:rPr>
              <w:t>enseignement spécialisé.</w:t>
            </w:r>
          </w:p>
        </w:tc>
        <w:tc>
          <w:tcPr>
            <w:tcW w:w="60" w:type="dxa"/>
            <w:vAlign w:val="bottom"/>
          </w:tcPr>
          <w:p w:rsidR="00AC12B4" w:rsidRDefault="00AC12B4">
            <w:pPr>
              <w:rPr>
                <w:sz w:val="2"/>
                <w:szCs w:val="2"/>
              </w:rPr>
            </w:pPr>
          </w:p>
        </w:tc>
        <w:tc>
          <w:tcPr>
            <w:tcW w:w="80" w:type="dxa"/>
            <w:vAlign w:val="bottom"/>
          </w:tcPr>
          <w:p w:rsidR="00AC12B4" w:rsidRDefault="00AC12B4">
            <w:pPr>
              <w:rPr>
                <w:sz w:val="2"/>
                <w:szCs w:val="2"/>
              </w:rPr>
            </w:pPr>
          </w:p>
        </w:tc>
        <w:tc>
          <w:tcPr>
            <w:tcW w:w="400" w:type="dxa"/>
            <w:vAlign w:val="bottom"/>
          </w:tcPr>
          <w:p w:rsidR="00AC12B4" w:rsidRDefault="00AC12B4">
            <w:pPr>
              <w:rPr>
                <w:sz w:val="2"/>
                <w:szCs w:val="2"/>
              </w:rPr>
            </w:pPr>
          </w:p>
        </w:tc>
        <w:tc>
          <w:tcPr>
            <w:tcW w:w="280" w:type="dxa"/>
            <w:vAlign w:val="bottom"/>
          </w:tcPr>
          <w:p w:rsidR="00AC12B4" w:rsidRDefault="00AC12B4">
            <w:pPr>
              <w:rPr>
                <w:sz w:val="2"/>
                <w:szCs w:val="2"/>
              </w:rPr>
            </w:pPr>
          </w:p>
        </w:tc>
        <w:tc>
          <w:tcPr>
            <w:tcW w:w="400" w:type="dxa"/>
            <w:vAlign w:val="bottom"/>
          </w:tcPr>
          <w:p w:rsidR="00AC12B4" w:rsidRDefault="00AC12B4">
            <w:pPr>
              <w:rPr>
                <w:sz w:val="2"/>
                <w:szCs w:val="2"/>
              </w:rPr>
            </w:pPr>
          </w:p>
        </w:tc>
        <w:tc>
          <w:tcPr>
            <w:tcW w:w="80" w:type="dxa"/>
            <w:tcBorders>
              <w:bottom w:val="single" w:sz="8" w:space="0" w:color="868686"/>
              <w:right w:val="single" w:sz="8" w:space="0" w:color="868686"/>
            </w:tcBorders>
            <w:vAlign w:val="bottom"/>
          </w:tcPr>
          <w:p w:rsidR="00AC12B4" w:rsidRDefault="00AC12B4">
            <w:pPr>
              <w:rPr>
                <w:sz w:val="2"/>
                <w:szCs w:val="2"/>
              </w:rPr>
            </w:pPr>
          </w:p>
        </w:tc>
        <w:tc>
          <w:tcPr>
            <w:tcW w:w="80" w:type="dxa"/>
            <w:vAlign w:val="bottom"/>
          </w:tcPr>
          <w:p w:rsidR="00AC12B4" w:rsidRDefault="00AC12B4">
            <w:pPr>
              <w:rPr>
                <w:sz w:val="2"/>
                <w:szCs w:val="2"/>
              </w:rPr>
            </w:pPr>
          </w:p>
        </w:tc>
        <w:tc>
          <w:tcPr>
            <w:tcW w:w="480" w:type="dxa"/>
            <w:vAlign w:val="bottom"/>
          </w:tcPr>
          <w:p w:rsidR="00AC12B4" w:rsidRDefault="00AC12B4">
            <w:pPr>
              <w:rPr>
                <w:sz w:val="2"/>
                <w:szCs w:val="2"/>
              </w:rPr>
            </w:pPr>
          </w:p>
        </w:tc>
        <w:tc>
          <w:tcPr>
            <w:tcW w:w="140" w:type="dxa"/>
            <w:tcBorders>
              <w:right w:val="single" w:sz="8" w:space="0" w:color="868686"/>
            </w:tcBorders>
            <w:vAlign w:val="bottom"/>
          </w:tcPr>
          <w:p w:rsidR="00AC12B4" w:rsidRDefault="00AC12B4">
            <w:pPr>
              <w:rPr>
                <w:sz w:val="2"/>
                <w:szCs w:val="2"/>
              </w:rPr>
            </w:pPr>
          </w:p>
        </w:tc>
        <w:tc>
          <w:tcPr>
            <w:tcW w:w="340" w:type="dxa"/>
            <w:vAlign w:val="bottom"/>
          </w:tcPr>
          <w:p w:rsidR="00AC12B4" w:rsidRDefault="00AC12B4">
            <w:pPr>
              <w:rPr>
                <w:sz w:val="2"/>
                <w:szCs w:val="2"/>
              </w:rPr>
            </w:pPr>
          </w:p>
        </w:tc>
        <w:tc>
          <w:tcPr>
            <w:tcW w:w="360" w:type="dxa"/>
            <w:tcBorders>
              <w:right w:val="single" w:sz="8" w:space="0" w:color="868686"/>
            </w:tcBorders>
            <w:vAlign w:val="bottom"/>
          </w:tcPr>
          <w:p w:rsidR="00AC12B4" w:rsidRDefault="00AC12B4">
            <w:pPr>
              <w:rPr>
                <w:sz w:val="2"/>
                <w:szCs w:val="2"/>
              </w:rPr>
            </w:pPr>
          </w:p>
        </w:tc>
        <w:tc>
          <w:tcPr>
            <w:tcW w:w="200" w:type="dxa"/>
            <w:vAlign w:val="bottom"/>
          </w:tcPr>
          <w:p w:rsidR="00AC12B4" w:rsidRDefault="00AC12B4">
            <w:pPr>
              <w:rPr>
                <w:sz w:val="2"/>
                <w:szCs w:val="2"/>
              </w:rPr>
            </w:pPr>
          </w:p>
        </w:tc>
        <w:tc>
          <w:tcPr>
            <w:tcW w:w="340" w:type="dxa"/>
            <w:vAlign w:val="bottom"/>
          </w:tcPr>
          <w:p w:rsidR="00AC12B4" w:rsidRDefault="00AC12B4">
            <w:pPr>
              <w:rPr>
                <w:sz w:val="2"/>
                <w:szCs w:val="2"/>
              </w:rPr>
            </w:pPr>
          </w:p>
        </w:tc>
        <w:tc>
          <w:tcPr>
            <w:tcW w:w="140" w:type="dxa"/>
            <w:tcBorders>
              <w:right w:val="single" w:sz="8" w:space="0" w:color="868686"/>
            </w:tcBorders>
            <w:vAlign w:val="bottom"/>
          </w:tcPr>
          <w:p w:rsidR="00AC12B4" w:rsidRDefault="00AC12B4">
            <w:pPr>
              <w:rPr>
                <w:sz w:val="2"/>
                <w:szCs w:val="2"/>
              </w:rPr>
            </w:pPr>
          </w:p>
        </w:tc>
        <w:tc>
          <w:tcPr>
            <w:tcW w:w="420" w:type="dxa"/>
            <w:vAlign w:val="bottom"/>
          </w:tcPr>
          <w:p w:rsidR="00AC12B4" w:rsidRDefault="00AC12B4">
            <w:pPr>
              <w:rPr>
                <w:sz w:val="2"/>
                <w:szCs w:val="2"/>
              </w:rPr>
            </w:pPr>
          </w:p>
        </w:tc>
        <w:tc>
          <w:tcPr>
            <w:tcW w:w="280" w:type="dxa"/>
            <w:tcBorders>
              <w:right w:val="single" w:sz="8" w:space="0" w:color="868686"/>
            </w:tcBorders>
            <w:vAlign w:val="bottom"/>
          </w:tcPr>
          <w:p w:rsidR="00AC12B4" w:rsidRDefault="00AC12B4">
            <w:pPr>
              <w:rPr>
                <w:sz w:val="2"/>
                <w:szCs w:val="2"/>
              </w:rPr>
            </w:pPr>
          </w:p>
        </w:tc>
        <w:tc>
          <w:tcPr>
            <w:tcW w:w="60" w:type="dxa"/>
            <w:vAlign w:val="bottom"/>
          </w:tcPr>
          <w:p w:rsidR="00AC12B4" w:rsidRDefault="00AC12B4">
            <w:pPr>
              <w:rPr>
                <w:sz w:val="2"/>
                <w:szCs w:val="2"/>
              </w:rPr>
            </w:pPr>
          </w:p>
        </w:tc>
        <w:tc>
          <w:tcPr>
            <w:tcW w:w="440" w:type="dxa"/>
            <w:vAlign w:val="bottom"/>
          </w:tcPr>
          <w:p w:rsidR="00AC12B4" w:rsidRDefault="00AC12B4">
            <w:pPr>
              <w:rPr>
                <w:sz w:val="2"/>
                <w:szCs w:val="2"/>
              </w:rPr>
            </w:pPr>
          </w:p>
        </w:tc>
        <w:tc>
          <w:tcPr>
            <w:tcW w:w="200" w:type="dxa"/>
            <w:tcBorders>
              <w:right w:val="single" w:sz="8" w:space="0" w:color="868686"/>
            </w:tcBorders>
            <w:vAlign w:val="bottom"/>
          </w:tcPr>
          <w:p w:rsidR="00AC12B4" w:rsidRDefault="00AC12B4">
            <w:pPr>
              <w:rPr>
                <w:sz w:val="2"/>
                <w:szCs w:val="2"/>
              </w:rPr>
            </w:pPr>
          </w:p>
        </w:tc>
        <w:tc>
          <w:tcPr>
            <w:tcW w:w="260" w:type="dxa"/>
            <w:vAlign w:val="bottom"/>
          </w:tcPr>
          <w:p w:rsidR="00AC12B4" w:rsidRDefault="00AC12B4">
            <w:pPr>
              <w:rPr>
                <w:sz w:val="2"/>
                <w:szCs w:val="2"/>
              </w:rPr>
            </w:pPr>
          </w:p>
        </w:tc>
        <w:tc>
          <w:tcPr>
            <w:tcW w:w="180" w:type="dxa"/>
            <w:vAlign w:val="bottom"/>
          </w:tcPr>
          <w:p w:rsidR="00AC12B4" w:rsidRDefault="00AC12B4">
            <w:pPr>
              <w:rPr>
                <w:sz w:val="2"/>
                <w:szCs w:val="2"/>
              </w:rPr>
            </w:pPr>
          </w:p>
        </w:tc>
        <w:tc>
          <w:tcPr>
            <w:tcW w:w="100" w:type="dxa"/>
            <w:vAlign w:val="bottom"/>
          </w:tcPr>
          <w:p w:rsidR="00AC12B4" w:rsidRDefault="00AC12B4">
            <w:pPr>
              <w:rPr>
                <w:sz w:val="2"/>
                <w:szCs w:val="2"/>
              </w:rPr>
            </w:pPr>
          </w:p>
        </w:tc>
        <w:tc>
          <w:tcPr>
            <w:tcW w:w="1160" w:type="dxa"/>
            <w:gridSpan w:val="2"/>
            <w:vMerge w:val="restart"/>
            <w:vAlign w:val="bottom"/>
          </w:tcPr>
          <w:p w:rsidR="00AC12B4" w:rsidRDefault="00C27636">
            <w:pPr>
              <w:ind w:left="60"/>
              <w:rPr>
                <w:sz w:val="20"/>
                <w:szCs w:val="20"/>
              </w:rPr>
            </w:pPr>
            <w:r>
              <w:rPr>
                <w:rFonts w:ascii="Calibri" w:eastAsia="Calibri" w:hAnsi="Calibri" w:cs="Calibri"/>
                <w:w w:val="97"/>
                <w:sz w:val="20"/>
                <w:szCs w:val="20"/>
              </w:rPr>
              <w:t>Professionnel</w:t>
            </w:r>
          </w:p>
        </w:tc>
        <w:tc>
          <w:tcPr>
            <w:tcW w:w="0" w:type="dxa"/>
            <w:vAlign w:val="bottom"/>
          </w:tcPr>
          <w:p w:rsidR="00AC12B4" w:rsidRDefault="00AC12B4">
            <w:pPr>
              <w:rPr>
                <w:sz w:val="1"/>
                <w:szCs w:val="1"/>
              </w:rPr>
            </w:pPr>
          </w:p>
        </w:tc>
      </w:tr>
      <w:tr w:rsidR="00AC12B4">
        <w:trPr>
          <w:trHeight w:val="117"/>
        </w:trPr>
        <w:tc>
          <w:tcPr>
            <w:tcW w:w="2740" w:type="dxa"/>
            <w:gridSpan w:val="8"/>
            <w:vMerge/>
            <w:tcBorders>
              <w:right w:val="single" w:sz="8" w:space="0" w:color="8BCCEC"/>
            </w:tcBorders>
            <w:vAlign w:val="bottom"/>
          </w:tcPr>
          <w:p w:rsidR="00AC12B4" w:rsidRDefault="00AC12B4">
            <w:pPr>
              <w:rPr>
                <w:sz w:val="10"/>
                <w:szCs w:val="10"/>
              </w:rPr>
            </w:pPr>
          </w:p>
        </w:tc>
        <w:tc>
          <w:tcPr>
            <w:tcW w:w="60" w:type="dxa"/>
            <w:vMerge w:val="restart"/>
            <w:vAlign w:val="bottom"/>
          </w:tcPr>
          <w:p w:rsidR="00AC12B4" w:rsidRDefault="00AC12B4">
            <w:pPr>
              <w:rPr>
                <w:sz w:val="10"/>
                <w:szCs w:val="10"/>
              </w:rPr>
            </w:pPr>
          </w:p>
        </w:tc>
        <w:tc>
          <w:tcPr>
            <w:tcW w:w="8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760" w:type="dxa"/>
            <w:gridSpan w:val="3"/>
            <w:vMerge w:val="restart"/>
            <w:tcBorders>
              <w:right w:val="single" w:sz="8" w:space="0" w:color="868686"/>
            </w:tcBorders>
            <w:vAlign w:val="bottom"/>
          </w:tcPr>
          <w:p w:rsidR="00AC12B4" w:rsidRDefault="00C27636">
            <w:pPr>
              <w:ind w:right="200"/>
              <w:jc w:val="right"/>
              <w:rPr>
                <w:sz w:val="20"/>
                <w:szCs w:val="20"/>
              </w:rPr>
            </w:pPr>
            <w:r>
              <w:rPr>
                <w:rFonts w:ascii="Calibri" w:eastAsia="Calibri" w:hAnsi="Calibri" w:cs="Calibri"/>
                <w:w w:val="98"/>
                <w:sz w:val="20"/>
                <w:szCs w:val="20"/>
              </w:rPr>
              <w:t>DASPA</w:t>
            </w:r>
          </w:p>
        </w:tc>
        <w:tc>
          <w:tcPr>
            <w:tcW w:w="8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140" w:type="dxa"/>
            <w:tcBorders>
              <w:right w:val="single" w:sz="8" w:space="0" w:color="868686"/>
            </w:tcBorders>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360" w:type="dxa"/>
            <w:tcBorders>
              <w:right w:val="single" w:sz="8" w:space="0" w:color="868686"/>
            </w:tcBorders>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140" w:type="dxa"/>
            <w:tcBorders>
              <w:right w:val="single" w:sz="8" w:space="0" w:color="868686"/>
            </w:tcBorders>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80" w:type="dxa"/>
            <w:tcBorders>
              <w:right w:val="single" w:sz="8" w:space="0" w:color="868686"/>
            </w:tcBorders>
            <w:vAlign w:val="bottom"/>
          </w:tcPr>
          <w:p w:rsidR="00AC12B4" w:rsidRDefault="00AC12B4">
            <w:pPr>
              <w:rPr>
                <w:sz w:val="10"/>
                <w:szCs w:val="10"/>
              </w:rPr>
            </w:pPr>
          </w:p>
        </w:tc>
        <w:tc>
          <w:tcPr>
            <w:tcW w:w="6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200" w:type="dxa"/>
            <w:tcBorders>
              <w:right w:val="single" w:sz="8" w:space="0" w:color="868686"/>
            </w:tcBorders>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1160" w:type="dxa"/>
            <w:gridSpan w:val="2"/>
            <w:vMerge/>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10"/>
        </w:trPr>
        <w:tc>
          <w:tcPr>
            <w:tcW w:w="2740" w:type="dxa"/>
            <w:gridSpan w:val="8"/>
            <w:vMerge/>
            <w:tcBorders>
              <w:right w:val="single" w:sz="8" w:space="0" w:color="8BCCEC"/>
            </w:tcBorders>
            <w:vAlign w:val="bottom"/>
          </w:tcPr>
          <w:p w:rsidR="00AC12B4" w:rsidRDefault="00AC12B4">
            <w:pPr>
              <w:rPr>
                <w:sz w:val="9"/>
                <w:szCs w:val="9"/>
              </w:rPr>
            </w:pPr>
          </w:p>
        </w:tc>
        <w:tc>
          <w:tcPr>
            <w:tcW w:w="60" w:type="dxa"/>
            <w:vMerge/>
            <w:vAlign w:val="bottom"/>
          </w:tcPr>
          <w:p w:rsidR="00AC12B4" w:rsidRDefault="00AC12B4">
            <w:pPr>
              <w:rPr>
                <w:sz w:val="9"/>
                <w:szCs w:val="9"/>
              </w:rPr>
            </w:pPr>
          </w:p>
        </w:tc>
        <w:tc>
          <w:tcPr>
            <w:tcW w:w="8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760" w:type="dxa"/>
            <w:gridSpan w:val="3"/>
            <w:vMerge/>
            <w:tcBorders>
              <w:right w:val="single" w:sz="8" w:space="0" w:color="868686"/>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140" w:type="dxa"/>
            <w:tcBorders>
              <w:right w:val="single" w:sz="8" w:space="0" w:color="868686"/>
            </w:tcBorders>
            <w:vAlign w:val="bottom"/>
          </w:tcPr>
          <w:p w:rsidR="00AC12B4" w:rsidRDefault="00AC12B4">
            <w:pPr>
              <w:rPr>
                <w:sz w:val="9"/>
                <w:szCs w:val="9"/>
              </w:rPr>
            </w:pPr>
          </w:p>
        </w:tc>
        <w:tc>
          <w:tcPr>
            <w:tcW w:w="340" w:type="dxa"/>
            <w:vAlign w:val="bottom"/>
          </w:tcPr>
          <w:p w:rsidR="00AC12B4" w:rsidRDefault="00AC12B4">
            <w:pPr>
              <w:rPr>
                <w:sz w:val="9"/>
                <w:szCs w:val="9"/>
              </w:rPr>
            </w:pPr>
          </w:p>
        </w:tc>
        <w:tc>
          <w:tcPr>
            <w:tcW w:w="360" w:type="dxa"/>
            <w:tcBorders>
              <w:right w:val="single" w:sz="8" w:space="0" w:color="868686"/>
            </w:tcBorders>
            <w:vAlign w:val="bottom"/>
          </w:tcPr>
          <w:p w:rsidR="00AC12B4" w:rsidRDefault="00AC12B4">
            <w:pPr>
              <w:rPr>
                <w:sz w:val="9"/>
                <w:szCs w:val="9"/>
              </w:rPr>
            </w:pPr>
          </w:p>
        </w:tc>
        <w:tc>
          <w:tcPr>
            <w:tcW w:w="20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140" w:type="dxa"/>
            <w:tcBorders>
              <w:right w:val="single" w:sz="8" w:space="0" w:color="868686"/>
            </w:tcBorders>
            <w:vAlign w:val="bottom"/>
          </w:tcPr>
          <w:p w:rsidR="00AC12B4" w:rsidRDefault="00AC12B4">
            <w:pPr>
              <w:rPr>
                <w:sz w:val="9"/>
                <w:szCs w:val="9"/>
              </w:rPr>
            </w:pPr>
          </w:p>
        </w:tc>
        <w:tc>
          <w:tcPr>
            <w:tcW w:w="420" w:type="dxa"/>
            <w:vAlign w:val="bottom"/>
          </w:tcPr>
          <w:p w:rsidR="00AC12B4" w:rsidRDefault="00AC12B4">
            <w:pPr>
              <w:rPr>
                <w:sz w:val="9"/>
                <w:szCs w:val="9"/>
              </w:rPr>
            </w:pPr>
          </w:p>
        </w:tc>
        <w:tc>
          <w:tcPr>
            <w:tcW w:w="280" w:type="dxa"/>
            <w:tcBorders>
              <w:right w:val="single" w:sz="8" w:space="0" w:color="868686"/>
            </w:tcBorders>
            <w:vAlign w:val="bottom"/>
          </w:tcPr>
          <w:p w:rsidR="00AC12B4" w:rsidRDefault="00AC12B4">
            <w:pPr>
              <w:rPr>
                <w:sz w:val="9"/>
                <w:szCs w:val="9"/>
              </w:rPr>
            </w:pPr>
          </w:p>
        </w:tc>
        <w:tc>
          <w:tcPr>
            <w:tcW w:w="60" w:type="dxa"/>
            <w:vAlign w:val="bottom"/>
          </w:tcPr>
          <w:p w:rsidR="00AC12B4" w:rsidRDefault="00AC12B4">
            <w:pPr>
              <w:rPr>
                <w:sz w:val="9"/>
                <w:szCs w:val="9"/>
              </w:rPr>
            </w:pPr>
          </w:p>
        </w:tc>
        <w:tc>
          <w:tcPr>
            <w:tcW w:w="440" w:type="dxa"/>
            <w:vAlign w:val="bottom"/>
          </w:tcPr>
          <w:p w:rsidR="00AC12B4" w:rsidRDefault="00AC12B4">
            <w:pPr>
              <w:rPr>
                <w:sz w:val="9"/>
                <w:szCs w:val="9"/>
              </w:rPr>
            </w:pPr>
          </w:p>
        </w:tc>
        <w:tc>
          <w:tcPr>
            <w:tcW w:w="200" w:type="dxa"/>
            <w:tcBorders>
              <w:right w:val="single" w:sz="8" w:space="0" w:color="868686"/>
            </w:tcBorders>
            <w:vAlign w:val="bottom"/>
          </w:tcPr>
          <w:p w:rsidR="00AC12B4" w:rsidRDefault="00AC12B4">
            <w:pPr>
              <w:rPr>
                <w:sz w:val="9"/>
                <w:szCs w:val="9"/>
              </w:rPr>
            </w:pPr>
          </w:p>
        </w:tc>
        <w:tc>
          <w:tcPr>
            <w:tcW w:w="26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00" w:type="dxa"/>
            <w:shd w:val="clear" w:color="auto" w:fill="C0504D"/>
            <w:vAlign w:val="bottom"/>
          </w:tcPr>
          <w:p w:rsidR="00AC12B4" w:rsidRDefault="00AC12B4">
            <w:pPr>
              <w:rPr>
                <w:sz w:val="9"/>
                <w:szCs w:val="9"/>
              </w:rPr>
            </w:pPr>
          </w:p>
        </w:tc>
        <w:tc>
          <w:tcPr>
            <w:tcW w:w="1160" w:type="dxa"/>
            <w:gridSpan w:val="2"/>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40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52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500" w:type="dxa"/>
            <w:tcBorders>
              <w:right w:val="single" w:sz="8" w:space="0" w:color="8BCCEC"/>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760" w:type="dxa"/>
            <w:gridSpan w:val="3"/>
            <w:vMerge/>
            <w:tcBorders>
              <w:right w:val="single" w:sz="8" w:space="0" w:color="868686"/>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340" w:type="dxa"/>
            <w:vAlign w:val="bottom"/>
          </w:tcPr>
          <w:p w:rsidR="00AC12B4" w:rsidRDefault="00AC12B4">
            <w:pPr>
              <w:rPr>
                <w:sz w:val="4"/>
                <w:szCs w:val="4"/>
              </w:rPr>
            </w:pPr>
          </w:p>
        </w:tc>
        <w:tc>
          <w:tcPr>
            <w:tcW w:w="360" w:type="dxa"/>
            <w:tcBorders>
              <w:right w:val="single" w:sz="8" w:space="0" w:color="86868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140" w:type="dxa"/>
            <w:tcBorders>
              <w:right w:val="single" w:sz="8" w:space="0" w:color="868686"/>
            </w:tcBorders>
            <w:vAlign w:val="bottom"/>
          </w:tcPr>
          <w:p w:rsidR="00AC12B4" w:rsidRDefault="00AC12B4">
            <w:pPr>
              <w:rPr>
                <w:sz w:val="4"/>
                <w:szCs w:val="4"/>
              </w:rPr>
            </w:pPr>
          </w:p>
        </w:tc>
        <w:tc>
          <w:tcPr>
            <w:tcW w:w="420" w:type="dxa"/>
            <w:vAlign w:val="bottom"/>
          </w:tcPr>
          <w:p w:rsidR="00AC12B4" w:rsidRDefault="00AC12B4">
            <w:pPr>
              <w:rPr>
                <w:sz w:val="4"/>
                <w:szCs w:val="4"/>
              </w:rPr>
            </w:pPr>
          </w:p>
        </w:tc>
        <w:tc>
          <w:tcPr>
            <w:tcW w:w="280" w:type="dxa"/>
            <w:tcBorders>
              <w:right w:val="single" w:sz="8" w:space="0" w:color="868686"/>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200" w:type="dxa"/>
            <w:tcBorders>
              <w:right w:val="single" w:sz="8" w:space="0" w:color="868686"/>
            </w:tcBorders>
            <w:vAlign w:val="bottom"/>
          </w:tcPr>
          <w:p w:rsidR="00AC12B4" w:rsidRDefault="00AC12B4">
            <w:pPr>
              <w:rPr>
                <w:sz w:val="4"/>
                <w:szCs w:val="4"/>
              </w:rPr>
            </w:pPr>
          </w:p>
        </w:tc>
        <w:tc>
          <w:tcPr>
            <w:tcW w:w="26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160" w:type="dxa"/>
            <w:gridSpan w:val="2"/>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79"/>
        </w:trPr>
        <w:tc>
          <w:tcPr>
            <w:tcW w:w="40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520" w:type="dxa"/>
            <w:vAlign w:val="bottom"/>
          </w:tcPr>
          <w:p w:rsidR="00AC12B4" w:rsidRDefault="00AC12B4">
            <w:pPr>
              <w:rPr>
                <w:sz w:val="6"/>
                <w:szCs w:val="6"/>
              </w:rPr>
            </w:pPr>
          </w:p>
        </w:tc>
        <w:tc>
          <w:tcPr>
            <w:tcW w:w="220" w:type="dxa"/>
            <w:vAlign w:val="bottom"/>
          </w:tcPr>
          <w:p w:rsidR="00AC12B4" w:rsidRDefault="00AC12B4">
            <w:pPr>
              <w:rPr>
                <w:sz w:val="6"/>
                <w:szCs w:val="6"/>
              </w:rPr>
            </w:pPr>
          </w:p>
        </w:tc>
        <w:tc>
          <w:tcPr>
            <w:tcW w:w="220" w:type="dxa"/>
            <w:vAlign w:val="bottom"/>
          </w:tcPr>
          <w:p w:rsidR="00AC12B4" w:rsidRDefault="00AC12B4">
            <w:pPr>
              <w:rPr>
                <w:sz w:val="6"/>
                <w:szCs w:val="6"/>
              </w:rPr>
            </w:pPr>
          </w:p>
        </w:tc>
        <w:tc>
          <w:tcPr>
            <w:tcW w:w="28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500" w:type="dxa"/>
            <w:tcBorders>
              <w:right w:val="single" w:sz="8" w:space="0" w:color="8BCCEC"/>
            </w:tcBorders>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760" w:type="dxa"/>
            <w:gridSpan w:val="3"/>
            <w:vMerge/>
            <w:tcBorders>
              <w:right w:val="single" w:sz="8" w:space="0" w:color="868686"/>
            </w:tcBorders>
            <w:vAlign w:val="bottom"/>
          </w:tcPr>
          <w:p w:rsidR="00AC12B4" w:rsidRDefault="00AC12B4">
            <w:pPr>
              <w:rPr>
                <w:sz w:val="6"/>
                <w:szCs w:val="6"/>
              </w:rPr>
            </w:pPr>
          </w:p>
        </w:tc>
        <w:tc>
          <w:tcPr>
            <w:tcW w:w="8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140" w:type="dxa"/>
            <w:tcBorders>
              <w:right w:val="single" w:sz="8" w:space="0" w:color="868686"/>
            </w:tcBorders>
            <w:vAlign w:val="bottom"/>
          </w:tcPr>
          <w:p w:rsidR="00AC12B4" w:rsidRDefault="00AC12B4">
            <w:pPr>
              <w:rPr>
                <w:sz w:val="6"/>
                <w:szCs w:val="6"/>
              </w:rPr>
            </w:pPr>
          </w:p>
        </w:tc>
        <w:tc>
          <w:tcPr>
            <w:tcW w:w="340" w:type="dxa"/>
            <w:vAlign w:val="bottom"/>
          </w:tcPr>
          <w:p w:rsidR="00AC12B4" w:rsidRDefault="00AC12B4">
            <w:pPr>
              <w:rPr>
                <w:sz w:val="6"/>
                <w:szCs w:val="6"/>
              </w:rPr>
            </w:pPr>
          </w:p>
        </w:tc>
        <w:tc>
          <w:tcPr>
            <w:tcW w:w="360" w:type="dxa"/>
            <w:tcBorders>
              <w:right w:val="single" w:sz="8" w:space="0" w:color="868686"/>
            </w:tcBorders>
            <w:vAlign w:val="bottom"/>
          </w:tcPr>
          <w:p w:rsidR="00AC12B4" w:rsidRDefault="00AC12B4">
            <w:pPr>
              <w:rPr>
                <w:sz w:val="6"/>
                <w:szCs w:val="6"/>
              </w:rPr>
            </w:pPr>
          </w:p>
        </w:tc>
        <w:tc>
          <w:tcPr>
            <w:tcW w:w="20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140" w:type="dxa"/>
            <w:tcBorders>
              <w:right w:val="single" w:sz="8" w:space="0" w:color="868686"/>
            </w:tcBorders>
            <w:vAlign w:val="bottom"/>
          </w:tcPr>
          <w:p w:rsidR="00AC12B4" w:rsidRDefault="00AC12B4">
            <w:pPr>
              <w:rPr>
                <w:sz w:val="6"/>
                <w:szCs w:val="6"/>
              </w:rPr>
            </w:pPr>
          </w:p>
        </w:tc>
        <w:tc>
          <w:tcPr>
            <w:tcW w:w="420" w:type="dxa"/>
            <w:vAlign w:val="bottom"/>
          </w:tcPr>
          <w:p w:rsidR="00AC12B4" w:rsidRDefault="00AC12B4">
            <w:pPr>
              <w:rPr>
                <w:sz w:val="6"/>
                <w:szCs w:val="6"/>
              </w:rPr>
            </w:pPr>
          </w:p>
        </w:tc>
        <w:tc>
          <w:tcPr>
            <w:tcW w:w="280" w:type="dxa"/>
            <w:tcBorders>
              <w:right w:val="single" w:sz="8" w:space="0" w:color="868686"/>
            </w:tcBorders>
            <w:vAlign w:val="bottom"/>
          </w:tcPr>
          <w:p w:rsidR="00AC12B4" w:rsidRDefault="00AC12B4">
            <w:pPr>
              <w:rPr>
                <w:sz w:val="6"/>
                <w:szCs w:val="6"/>
              </w:rPr>
            </w:pPr>
          </w:p>
        </w:tc>
        <w:tc>
          <w:tcPr>
            <w:tcW w:w="60" w:type="dxa"/>
            <w:vAlign w:val="bottom"/>
          </w:tcPr>
          <w:p w:rsidR="00AC12B4" w:rsidRDefault="00AC12B4">
            <w:pPr>
              <w:rPr>
                <w:sz w:val="6"/>
                <w:szCs w:val="6"/>
              </w:rPr>
            </w:pPr>
          </w:p>
        </w:tc>
        <w:tc>
          <w:tcPr>
            <w:tcW w:w="440" w:type="dxa"/>
            <w:vAlign w:val="bottom"/>
          </w:tcPr>
          <w:p w:rsidR="00AC12B4" w:rsidRDefault="00AC12B4">
            <w:pPr>
              <w:rPr>
                <w:sz w:val="6"/>
                <w:szCs w:val="6"/>
              </w:rPr>
            </w:pPr>
          </w:p>
        </w:tc>
        <w:tc>
          <w:tcPr>
            <w:tcW w:w="200" w:type="dxa"/>
            <w:tcBorders>
              <w:right w:val="single" w:sz="8" w:space="0" w:color="868686"/>
            </w:tcBorders>
            <w:vAlign w:val="bottom"/>
          </w:tcPr>
          <w:p w:rsidR="00AC12B4" w:rsidRDefault="00AC12B4">
            <w:pPr>
              <w:rPr>
                <w:sz w:val="6"/>
                <w:szCs w:val="6"/>
              </w:rPr>
            </w:pPr>
          </w:p>
        </w:tc>
        <w:tc>
          <w:tcPr>
            <w:tcW w:w="26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76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210"/>
        </w:trPr>
        <w:tc>
          <w:tcPr>
            <w:tcW w:w="1540" w:type="dxa"/>
            <w:gridSpan w:val="5"/>
            <w:vMerge w:val="restart"/>
            <w:vAlign w:val="bottom"/>
          </w:tcPr>
          <w:p w:rsidR="00AC12B4" w:rsidRDefault="00C27636">
            <w:pPr>
              <w:spacing w:line="248" w:lineRule="exact"/>
              <w:rPr>
                <w:sz w:val="20"/>
                <w:szCs w:val="20"/>
              </w:rPr>
            </w:pPr>
            <w:r>
              <w:rPr>
                <w:rFonts w:ascii="Calibri" w:eastAsia="Calibri" w:hAnsi="Calibri" w:cs="Calibri"/>
              </w:rPr>
              <w:lastRenderedPageBreak/>
              <w:t>Il ressort d’une</w:t>
            </w:r>
          </w:p>
        </w:tc>
        <w:tc>
          <w:tcPr>
            <w:tcW w:w="1200" w:type="dxa"/>
            <w:gridSpan w:val="3"/>
            <w:vMerge w:val="restart"/>
            <w:tcBorders>
              <w:right w:val="single" w:sz="8" w:space="0" w:color="8BCCEC"/>
            </w:tcBorders>
            <w:vAlign w:val="bottom"/>
          </w:tcPr>
          <w:p w:rsidR="00AC12B4" w:rsidRDefault="00C27636">
            <w:pPr>
              <w:spacing w:line="248" w:lineRule="exact"/>
              <w:ind w:right="72"/>
              <w:jc w:val="right"/>
              <w:rPr>
                <w:sz w:val="20"/>
                <w:szCs w:val="20"/>
              </w:rPr>
            </w:pPr>
            <w:r>
              <w:rPr>
                <w:rFonts w:ascii="Calibri" w:eastAsia="Calibri" w:hAnsi="Calibri" w:cs="Calibri"/>
              </w:rPr>
              <w:t>recherche</w:t>
            </w:r>
          </w:p>
        </w:tc>
        <w:tc>
          <w:tcPr>
            <w:tcW w:w="60" w:type="dxa"/>
            <w:vMerge w:val="restart"/>
            <w:vAlign w:val="bottom"/>
          </w:tcPr>
          <w:p w:rsidR="00AC12B4" w:rsidRDefault="00AC12B4">
            <w:pPr>
              <w:rPr>
                <w:sz w:val="18"/>
                <w:szCs w:val="18"/>
              </w:rPr>
            </w:pPr>
          </w:p>
        </w:tc>
        <w:tc>
          <w:tcPr>
            <w:tcW w:w="80" w:type="dxa"/>
            <w:vAlign w:val="bottom"/>
          </w:tcPr>
          <w:p w:rsidR="00AC12B4" w:rsidRDefault="00AC12B4">
            <w:pPr>
              <w:rPr>
                <w:sz w:val="18"/>
                <w:szCs w:val="18"/>
              </w:rPr>
            </w:pPr>
          </w:p>
        </w:tc>
        <w:tc>
          <w:tcPr>
            <w:tcW w:w="400" w:type="dxa"/>
            <w:vAlign w:val="bottom"/>
          </w:tcPr>
          <w:p w:rsidR="00AC12B4" w:rsidRDefault="00AC12B4">
            <w:pPr>
              <w:rPr>
                <w:sz w:val="18"/>
                <w:szCs w:val="18"/>
              </w:rPr>
            </w:pPr>
          </w:p>
        </w:tc>
        <w:tc>
          <w:tcPr>
            <w:tcW w:w="280" w:type="dxa"/>
            <w:vAlign w:val="bottom"/>
          </w:tcPr>
          <w:p w:rsidR="00AC12B4" w:rsidRDefault="00AC12B4">
            <w:pPr>
              <w:rPr>
                <w:sz w:val="18"/>
                <w:szCs w:val="18"/>
              </w:rPr>
            </w:pPr>
          </w:p>
        </w:tc>
        <w:tc>
          <w:tcPr>
            <w:tcW w:w="400" w:type="dxa"/>
            <w:vAlign w:val="bottom"/>
          </w:tcPr>
          <w:p w:rsidR="00AC12B4" w:rsidRDefault="00AC12B4">
            <w:pPr>
              <w:rPr>
                <w:sz w:val="18"/>
                <w:szCs w:val="18"/>
              </w:rPr>
            </w:pPr>
          </w:p>
        </w:tc>
        <w:tc>
          <w:tcPr>
            <w:tcW w:w="80" w:type="dxa"/>
            <w:tcBorders>
              <w:bottom w:val="single" w:sz="8" w:space="0" w:color="868686"/>
              <w:right w:val="single" w:sz="8" w:space="0" w:color="868686"/>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480" w:type="dxa"/>
            <w:vAlign w:val="bottom"/>
          </w:tcPr>
          <w:p w:rsidR="00AC12B4" w:rsidRDefault="00AC12B4">
            <w:pPr>
              <w:rPr>
                <w:sz w:val="18"/>
                <w:szCs w:val="18"/>
              </w:rPr>
            </w:pPr>
          </w:p>
        </w:tc>
        <w:tc>
          <w:tcPr>
            <w:tcW w:w="140" w:type="dxa"/>
            <w:tcBorders>
              <w:right w:val="single" w:sz="8" w:space="0" w:color="868686"/>
            </w:tcBorders>
            <w:vAlign w:val="bottom"/>
          </w:tcPr>
          <w:p w:rsidR="00AC12B4" w:rsidRDefault="00AC12B4">
            <w:pPr>
              <w:rPr>
                <w:sz w:val="18"/>
                <w:szCs w:val="18"/>
              </w:rPr>
            </w:pPr>
          </w:p>
        </w:tc>
        <w:tc>
          <w:tcPr>
            <w:tcW w:w="340" w:type="dxa"/>
            <w:vAlign w:val="bottom"/>
          </w:tcPr>
          <w:p w:rsidR="00AC12B4" w:rsidRDefault="00AC12B4">
            <w:pPr>
              <w:rPr>
                <w:sz w:val="18"/>
                <w:szCs w:val="18"/>
              </w:rPr>
            </w:pPr>
          </w:p>
        </w:tc>
        <w:tc>
          <w:tcPr>
            <w:tcW w:w="360" w:type="dxa"/>
            <w:tcBorders>
              <w:right w:val="single" w:sz="8" w:space="0" w:color="868686"/>
            </w:tcBorders>
            <w:vAlign w:val="bottom"/>
          </w:tcPr>
          <w:p w:rsidR="00AC12B4" w:rsidRDefault="00AC12B4">
            <w:pPr>
              <w:rPr>
                <w:sz w:val="18"/>
                <w:szCs w:val="18"/>
              </w:rPr>
            </w:pPr>
          </w:p>
        </w:tc>
        <w:tc>
          <w:tcPr>
            <w:tcW w:w="200" w:type="dxa"/>
            <w:vAlign w:val="bottom"/>
          </w:tcPr>
          <w:p w:rsidR="00AC12B4" w:rsidRDefault="00AC12B4">
            <w:pPr>
              <w:rPr>
                <w:sz w:val="18"/>
                <w:szCs w:val="18"/>
              </w:rPr>
            </w:pPr>
          </w:p>
        </w:tc>
        <w:tc>
          <w:tcPr>
            <w:tcW w:w="340" w:type="dxa"/>
            <w:vAlign w:val="bottom"/>
          </w:tcPr>
          <w:p w:rsidR="00AC12B4" w:rsidRDefault="00AC12B4">
            <w:pPr>
              <w:rPr>
                <w:sz w:val="18"/>
                <w:szCs w:val="18"/>
              </w:rPr>
            </w:pPr>
          </w:p>
        </w:tc>
        <w:tc>
          <w:tcPr>
            <w:tcW w:w="140" w:type="dxa"/>
            <w:tcBorders>
              <w:right w:val="single" w:sz="8" w:space="0" w:color="868686"/>
            </w:tcBorders>
            <w:vAlign w:val="bottom"/>
          </w:tcPr>
          <w:p w:rsidR="00AC12B4" w:rsidRDefault="00AC12B4">
            <w:pPr>
              <w:rPr>
                <w:sz w:val="18"/>
                <w:szCs w:val="18"/>
              </w:rPr>
            </w:pPr>
          </w:p>
        </w:tc>
        <w:tc>
          <w:tcPr>
            <w:tcW w:w="420" w:type="dxa"/>
            <w:vAlign w:val="bottom"/>
          </w:tcPr>
          <w:p w:rsidR="00AC12B4" w:rsidRDefault="00AC12B4">
            <w:pPr>
              <w:rPr>
                <w:sz w:val="18"/>
                <w:szCs w:val="18"/>
              </w:rPr>
            </w:pPr>
          </w:p>
        </w:tc>
        <w:tc>
          <w:tcPr>
            <w:tcW w:w="280" w:type="dxa"/>
            <w:tcBorders>
              <w:right w:val="single" w:sz="8" w:space="0" w:color="868686"/>
            </w:tcBorders>
            <w:vAlign w:val="bottom"/>
          </w:tcPr>
          <w:p w:rsidR="00AC12B4" w:rsidRDefault="00AC12B4">
            <w:pPr>
              <w:rPr>
                <w:sz w:val="18"/>
                <w:szCs w:val="18"/>
              </w:rPr>
            </w:pPr>
          </w:p>
        </w:tc>
        <w:tc>
          <w:tcPr>
            <w:tcW w:w="60" w:type="dxa"/>
            <w:vAlign w:val="bottom"/>
          </w:tcPr>
          <w:p w:rsidR="00AC12B4" w:rsidRDefault="00AC12B4">
            <w:pPr>
              <w:rPr>
                <w:sz w:val="18"/>
                <w:szCs w:val="18"/>
              </w:rPr>
            </w:pPr>
          </w:p>
        </w:tc>
        <w:tc>
          <w:tcPr>
            <w:tcW w:w="440" w:type="dxa"/>
            <w:vAlign w:val="bottom"/>
          </w:tcPr>
          <w:p w:rsidR="00AC12B4" w:rsidRDefault="00AC12B4">
            <w:pPr>
              <w:rPr>
                <w:sz w:val="18"/>
                <w:szCs w:val="18"/>
              </w:rPr>
            </w:pPr>
          </w:p>
        </w:tc>
        <w:tc>
          <w:tcPr>
            <w:tcW w:w="200" w:type="dxa"/>
            <w:tcBorders>
              <w:right w:val="single" w:sz="8" w:space="0" w:color="868686"/>
            </w:tcBorders>
            <w:vAlign w:val="bottom"/>
          </w:tcPr>
          <w:p w:rsidR="00AC12B4" w:rsidRDefault="00AC12B4">
            <w:pPr>
              <w:rPr>
                <w:sz w:val="18"/>
                <w:szCs w:val="18"/>
              </w:rPr>
            </w:pPr>
          </w:p>
        </w:tc>
        <w:tc>
          <w:tcPr>
            <w:tcW w:w="260" w:type="dxa"/>
            <w:vAlign w:val="bottom"/>
          </w:tcPr>
          <w:p w:rsidR="00AC12B4" w:rsidRDefault="00AC12B4">
            <w:pPr>
              <w:rPr>
                <w:sz w:val="18"/>
                <w:szCs w:val="18"/>
              </w:rPr>
            </w:pPr>
          </w:p>
        </w:tc>
        <w:tc>
          <w:tcPr>
            <w:tcW w:w="180" w:type="dxa"/>
            <w:vAlign w:val="bottom"/>
          </w:tcPr>
          <w:p w:rsidR="00AC12B4" w:rsidRDefault="00AC12B4">
            <w:pPr>
              <w:rPr>
                <w:sz w:val="18"/>
                <w:szCs w:val="18"/>
              </w:rPr>
            </w:pPr>
          </w:p>
        </w:tc>
        <w:tc>
          <w:tcPr>
            <w:tcW w:w="100" w:type="dxa"/>
            <w:tcBorders>
              <w:bottom w:val="single" w:sz="8" w:space="0" w:color="4F81BD"/>
            </w:tcBorders>
            <w:vAlign w:val="bottom"/>
          </w:tcPr>
          <w:p w:rsidR="00AC12B4" w:rsidRDefault="00AC12B4">
            <w:pPr>
              <w:rPr>
                <w:sz w:val="18"/>
                <w:szCs w:val="18"/>
              </w:rPr>
            </w:pPr>
          </w:p>
        </w:tc>
        <w:tc>
          <w:tcPr>
            <w:tcW w:w="1160" w:type="dxa"/>
            <w:gridSpan w:val="2"/>
            <w:vMerge w:val="restart"/>
            <w:vAlign w:val="bottom"/>
          </w:tcPr>
          <w:p w:rsidR="00AC12B4" w:rsidRDefault="00C27636">
            <w:pPr>
              <w:ind w:left="60"/>
              <w:rPr>
                <w:sz w:val="20"/>
                <w:szCs w:val="20"/>
              </w:rPr>
            </w:pPr>
            <w:r>
              <w:rPr>
                <w:rFonts w:ascii="Calibri" w:eastAsia="Calibri" w:hAnsi="Calibri" w:cs="Calibri"/>
                <w:sz w:val="20"/>
                <w:szCs w:val="20"/>
              </w:rPr>
              <w:t>Moyenne</w:t>
            </w:r>
          </w:p>
        </w:tc>
        <w:tc>
          <w:tcPr>
            <w:tcW w:w="0" w:type="dxa"/>
            <w:vAlign w:val="bottom"/>
          </w:tcPr>
          <w:p w:rsidR="00AC12B4" w:rsidRDefault="00AC12B4">
            <w:pPr>
              <w:rPr>
                <w:sz w:val="1"/>
                <w:szCs w:val="1"/>
              </w:rPr>
            </w:pPr>
          </w:p>
        </w:tc>
      </w:tr>
      <w:tr w:rsidR="00AC12B4">
        <w:trPr>
          <w:trHeight w:val="27"/>
        </w:trPr>
        <w:tc>
          <w:tcPr>
            <w:tcW w:w="1540" w:type="dxa"/>
            <w:gridSpan w:val="5"/>
            <w:vMerge/>
            <w:vAlign w:val="bottom"/>
          </w:tcPr>
          <w:p w:rsidR="00AC12B4" w:rsidRDefault="00AC12B4">
            <w:pPr>
              <w:rPr>
                <w:sz w:val="2"/>
                <w:szCs w:val="2"/>
              </w:rPr>
            </w:pPr>
          </w:p>
        </w:tc>
        <w:tc>
          <w:tcPr>
            <w:tcW w:w="1200" w:type="dxa"/>
            <w:gridSpan w:val="3"/>
            <w:vMerge/>
            <w:tcBorders>
              <w:right w:val="single" w:sz="8" w:space="0" w:color="8BCCEC"/>
            </w:tcBorders>
            <w:vAlign w:val="bottom"/>
          </w:tcPr>
          <w:p w:rsidR="00AC12B4" w:rsidRDefault="00AC12B4">
            <w:pPr>
              <w:rPr>
                <w:sz w:val="2"/>
                <w:szCs w:val="2"/>
              </w:rPr>
            </w:pPr>
          </w:p>
        </w:tc>
        <w:tc>
          <w:tcPr>
            <w:tcW w:w="60" w:type="dxa"/>
            <w:vMerge/>
            <w:vAlign w:val="bottom"/>
          </w:tcPr>
          <w:p w:rsidR="00AC12B4" w:rsidRDefault="00AC12B4">
            <w:pPr>
              <w:rPr>
                <w:sz w:val="2"/>
                <w:szCs w:val="2"/>
              </w:rPr>
            </w:pPr>
          </w:p>
        </w:tc>
        <w:tc>
          <w:tcPr>
            <w:tcW w:w="80" w:type="dxa"/>
            <w:vAlign w:val="bottom"/>
          </w:tcPr>
          <w:p w:rsidR="00AC12B4" w:rsidRDefault="00AC12B4">
            <w:pPr>
              <w:rPr>
                <w:sz w:val="2"/>
                <w:szCs w:val="2"/>
              </w:rPr>
            </w:pPr>
          </w:p>
        </w:tc>
        <w:tc>
          <w:tcPr>
            <w:tcW w:w="400" w:type="dxa"/>
            <w:vAlign w:val="bottom"/>
          </w:tcPr>
          <w:p w:rsidR="00AC12B4" w:rsidRDefault="00AC12B4">
            <w:pPr>
              <w:rPr>
                <w:sz w:val="2"/>
                <w:szCs w:val="2"/>
              </w:rPr>
            </w:pPr>
          </w:p>
        </w:tc>
        <w:tc>
          <w:tcPr>
            <w:tcW w:w="280" w:type="dxa"/>
            <w:vAlign w:val="bottom"/>
          </w:tcPr>
          <w:p w:rsidR="00AC12B4" w:rsidRDefault="00AC12B4">
            <w:pPr>
              <w:rPr>
                <w:sz w:val="2"/>
                <w:szCs w:val="2"/>
              </w:rPr>
            </w:pPr>
          </w:p>
        </w:tc>
        <w:tc>
          <w:tcPr>
            <w:tcW w:w="400" w:type="dxa"/>
            <w:vAlign w:val="bottom"/>
          </w:tcPr>
          <w:p w:rsidR="00AC12B4" w:rsidRDefault="00AC12B4">
            <w:pPr>
              <w:rPr>
                <w:sz w:val="2"/>
                <w:szCs w:val="2"/>
              </w:rPr>
            </w:pPr>
          </w:p>
        </w:tc>
        <w:tc>
          <w:tcPr>
            <w:tcW w:w="80" w:type="dxa"/>
            <w:tcBorders>
              <w:right w:val="single" w:sz="8" w:space="0" w:color="868686"/>
            </w:tcBorders>
            <w:vAlign w:val="bottom"/>
          </w:tcPr>
          <w:p w:rsidR="00AC12B4" w:rsidRDefault="00AC12B4">
            <w:pPr>
              <w:rPr>
                <w:sz w:val="2"/>
                <w:szCs w:val="2"/>
              </w:rPr>
            </w:pPr>
          </w:p>
        </w:tc>
        <w:tc>
          <w:tcPr>
            <w:tcW w:w="80" w:type="dxa"/>
            <w:vAlign w:val="bottom"/>
          </w:tcPr>
          <w:p w:rsidR="00AC12B4" w:rsidRDefault="00AC12B4">
            <w:pPr>
              <w:rPr>
                <w:sz w:val="2"/>
                <w:szCs w:val="2"/>
              </w:rPr>
            </w:pPr>
          </w:p>
        </w:tc>
        <w:tc>
          <w:tcPr>
            <w:tcW w:w="480" w:type="dxa"/>
            <w:vAlign w:val="bottom"/>
          </w:tcPr>
          <w:p w:rsidR="00AC12B4" w:rsidRDefault="00AC12B4">
            <w:pPr>
              <w:rPr>
                <w:sz w:val="2"/>
                <w:szCs w:val="2"/>
              </w:rPr>
            </w:pPr>
          </w:p>
        </w:tc>
        <w:tc>
          <w:tcPr>
            <w:tcW w:w="140" w:type="dxa"/>
            <w:tcBorders>
              <w:right w:val="single" w:sz="8" w:space="0" w:color="868686"/>
            </w:tcBorders>
            <w:vAlign w:val="bottom"/>
          </w:tcPr>
          <w:p w:rsidR="00AC12B4" w:rsidRDefault="00AC12B4">
            <w:pPr>
              <w:rPr>
                <w:sz w:val="2"/>
                <w:szCs w:val="2"/>
              </w:rPr>
            </w:pPr>
          </w:p>
        </w:tc>
        <w:tc>
          <w:tcPr>
            <w:tcW w:w="340" w:type="dxa"/>
            <w:vAlign w:val="bottom"/>
          </w:tcPr>
          <w:p w:rsidR="00AC12B4" w:rsidRDefault="00AC12B4">
            <w:pPr>
              <w:rPr>
                <w:sz w:val="2"/>
                <w:szCs w:val="2"/>
              </w:rPr>
            </w:pPr>
          </w:p>
        </w:tc>
        <w:tc>
          <w:tcPr>
            <w:tcW w:w="360" w:type="dxa"/>
            <w:tcBorders>
              <w:right w:val="single" w:sz="8" w:space="0" w:color="868686"/>
            </w:tcBorders>
            <w:vAlign w:val="bottom"/>
          </w:tcPr>
          <w:p w:rsidR="00AC12B4" w:rsidRDefault="00AC12B4">
            <w:pPr>
              <w:rPr>
                <w:sz w:val="2"/>
                <w:szCs w:val="2"/>
              </w:rPr>
            </w:pPr>
          </w:p>
        </w:tc>
        <w:tc>
          <w:tcPr>
            <w:tcW w:w="200" w:type="dxa"/>
            <w:vAlign w:val="bottom"/>
          </w:tcPr>
          <w:p w:rsidR="00AC12B4" w:rsidRDefault="00AC12B4">
            <w:pPr>
              <w:rPr>
                <w:sz w:val="2"/>
                <w:szCs w:val="2"/>
              </w:rPr>
            </w:pPr>
          </w:p>
        </w:tc>
        <w:tc>
          <w:tcPr>
            <w:tcW w:w="340" w:type="dxa"/>
            <w:vAlign w:val="bottom"/>
          </w:tcPr>
          <w:p w:rsidR="00AC12B4" w:rsidRDefault="00AC12B4">
            <w:pPr>
              <w:rPr>
                <w:sz w:val="2"/>
                <w:szCs w:val="2"/>
              </w:rPr>
            </w:pPr>
          </w:p>
        </w:tc>
        <w:tc>
          <w:tcPr>
            <w:tcW w:w="140" w:type="dxa"/>
            <w:tcBorders>
              <w:right w:val="single" w:sz="8" w:space="0" w:color="868686"/>
            </w:tcBorders>
            <w:vAlign w:val="bottom"/>
          </w:tcPr>
          <w:p w:rsidR="00AC12B4" w:rsidRDefault="00AC12B4">
            <w:pPr>
              <w:rPr>
                <w:sz w:val="2"/>
                <w:szCs w:val="2"/>
              </w:rPr>
            </w:pPr>
          </w:p>
        </w:tc>
        <w:tc>
          <w:tcPr>
            <w:tcW w:w="420" w:type="dxa"/>
            <w:vAlign w:val="bottom"/>
          </w:tcPr>
          <w:p w:rsidR="00AC12B4" w:rsidRDefault="00AC12B4">
            <w:pPr>
              <w:rPr>
                <w:sz w:val="2"/>
                <w:szCs w:val="2"/>
              </w:rPr>
            </w:pPr>
          </w:p>
        </w:tc>
        <w:tc>
          <w:tcPr>
            <w:tcW w:w="280" w:type="dxa"/>
            <w:tcBorders>
              <w:right w:val="single" w:sz="8" w:space="0" w:color="868686"/>
            </w:tcBorders>
            <w:vAlign w:val="bottom"/>
          </w:tcPr>
          <w:p w:rsidR="00AC12B4" w:rsidRDefault="00AC12B4">
            <w:pPr>
              <w:rPr>
                <w:sz w:val="2"/>
                <w:szCs w:val="2"/>
              </w:rPr>
            </w:pPr>
          </w:p>
        </w:tc>
        <w:tc>
          <w:tcPr>
            <w:tcW w:w="60" w:type="dxa"/>
            <w:vAlign w:val="bottom"/>
          </w:tcPr>
          <w:p w:rsidR="00AC12B4" w:rsidRDefault="00AC12B4">
            <w:pPr>
              <w:rPr>
                <w:sz w:val="2"/>
                <w:szCs w:val="2"/>
              </w:rPr>
            </w:pPr>
          </w:p>
        </w:tc>
        <w:tc>
          <w:tcPr>
            <w:tcW w:w="440" w:type="dxa"/>
            <w:vAlign w:val="bottom"/>
          </w:tcPr>
          <w:p w:rsidR="00AC12B4" w:rsidRDefault="00AC12B4">
            <w:pPr>
              <w:rPr>
                <w:sz w:val="2"/>
                <w:szCs w:val="2"/>
              </w:rPr>
            </w:pPr>
          </w:p>
        </w:tc>
        <w:tc>
          <w:tcPr>
            <w:tcW w:w="200" w:type="dxa"/>
            <w:tcBorders>
              <w:right w:val="single" w:sz="8" w:space="0" w:color="868686"/>
            </w:tcBorders>
            <w:vAlign w:val="bottom"/>
          </w:tcPr>
          <w:p w:rsidR="00AC12B4" w:rsidRDefault="00AC12B4">
            <w:pPr>
              <w:rPr>
                <w:sz w:val="2"/>
                <w:szCs w:val="2"/>
              </w:rPr>
            </w:pPr>
          </w:p>
        </w:tc>
        <w:tc>
          <w:tcPr>
            <w:tcW w:w="260" w:type="dxa"/>
            <w:vAlign w:val="bottom"/>
          </w:tcPr>
          <w:p w:rsidR="00AC12B4" w:rsidRDefault="00AC12B4">
            <w:pPr>
              <w:rPr>
                <w:sz w:val="2"/>
                <w:szCs w:val="2"/>
              </w:rPr>
            </w:pPr>
          </w:p>
        </w:tc>
        <w:tc>
          <w:tcPr>
            <w:tcW w:w="180" w:type="dxa"/>
            <w:vAlign w:val="bottom"/>
          </w:tcPr>
          <w:p w:rsidR="00AC12B4" w:rsidRDefault="00AC12B4">
            <w:pPr>
              <w:rPr>
                <w:sz w:val="2"/>
                <w:szCs w:val="2"/>
              </w:rPr>
            </w:pPr>
          </w:p>
        </w:tc>
        <w:tc>
          <w:tcPr>
            <w:tcW w:w="100" w:type="dxa"/>
            <w:vAlign w:val="bottom"/>
          </w:tcPr>
          <w:p w:rsidR="00AC12B4" w:rsidRDefault="00AC12B4">
            <w:pPr>
              <w:rPr>
                <w:sz w:val="2"/>
                <w:szCs w:val="2"/>
              </w:rPr>
            </w:pPr>
          </w:p>
        </w:tc>
        <w:tc>
          <w:tcPr>
            <w:tcW w:w="1160" w:type="dxa"/>
            <w:gridSpan w:val="2"/>
            <w:vMerge/>
            <w:vAlign w:val="bottom"/>
          </w:tcPr>
          <w:p w:rsidR="00AC12B4" w:rsidRDefault="00AC12B4">
            <w:pPr>
              <w:rPr>
                <w:sz w:val="2"/>
                <w:szCs w:val="2"/>
              </w:rPr>
            </w:pPr>
          </w:p>
        </w:tc>
        <w:tc>
          <w:tcPr>
            <w:tcW w:w="0" w:type="dxa"/>
            <w:vAlign w:val="bottom"/>
          </w:tcPr>
          <w:p w:rsidR="00AC12B4" w:rsidRDefault="00AC12B4">
            <w:pPr>
              <w:spacing w:line="20" w:lineRule="exact"/>
              <w:rPr>
                <w:sz w:val="1"/>
                <w:szCs w:val="1"/>
              </w:rPr>
            </w:pPr>
          </w:p>
        </w:tc>
      </w:tr>
      <w:tr w:rsidR="00AC12B4">
        <w:trPr>
          <w:trHeight w:val="295"/>
        </w:trPr>
        <w:tc>
          <w:tcPr>
            <w:tcW w:w="2740" w:type="dxa"/>
            <w:gridSpan w:val="8"/>
            <w:tcBorders>
              <w:right w:val="single" w:sz="8" w:space="0" w:color="8BCCEC"/>
            </w:tcBorders>
            <w:vAlign w:val="bottom"/>
          </w:tcPr>
          <w:p w:rsidR="00AC12B4" w:rsidRPr="00C27636" w:rsidRDefault="00C27636">
            <w:pPr>
              <w:spacing w:line="294" w:lineRule="exact"/>
              <w:rPr>
                <w:sz w:val="20"/>
                <w:szCs w:val="20"/>
                <w:lang w:val="fr-BE"/>
              </w:rPr>
            </w:pPr>
            <w:r w:rsidRPr="00C27636">
              <w:rPr>
                <w:rFonts w:ascii="Calibri" w:eastAsia="Calibri" w:hAnsi="Calibri" w:cs="Calibri"/>
                <w:lang w:val="fr-BE"/>
              </w:rPr>
              <w:t>menée  par  la  HIVA</w:t>
            </w:r>
            <w:r w:rsidRPr="00C27636">
              <w:rPr>
                <w:rFonts w:ascii="Calibri" w:eastAsia="Calibri" w:hAnsi="Calibri" w:cs="Calibri"/>
                <w:sz w:val="27"/>
                <w:szCs w:val="27"/>
                <w:vertAlign w:val="superscript"/>
                <w:lang w:val="fr-BE"/>
              </w:rPr>
              <w:t>9</w:t>
            </w:r>
            <w:r w:rsidRPr="00C27636">
              <w:rPr>
                <w:rFonts w:ascii="Calibri" w:eastAsia="Calibri" w:hAnsi="Calibri" w:cs="Calibri"/>
                <w:lang w:val="fr-BE"/>
              </w:rPr>
              <w:t xml:space="preserve">   en</w:t>
            </w:r>
          </w:p>
        </w:tc>
        <w:tc>
          <w:tcPr>
            <w:tcW w:w="60" w:type="dxa"/>
            <w:vAlign w:val="bottom"/>
          </w:tcPr>
          <w:p w:rsidR="00AC12B4" w:rsidRPr="00C27636" w:rsidRDefault="00AC12B4">
            <w:pPr>
              <w:rPr>
                <w:sz w:val="24"/>
                <w:szCs w:val="24"/>
                <w:lang w:val="fr-BE"/>
              </w:rPr>
            </w:pPr>
          </w:p>
        </w:tc>
        <w:tc>
          <w:tcPr>
            <w:tcW w:w="8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760" w:type="dxa"/>
            <w:gridSpan w:val="3"/>
            <w:tcBorders>
              <w:right w:val="single" w:sz="8" w:space="0" w:color="868686"/>
            </w:tcBorders>
            <w:vAlign w:val="bottom"/>
          </w:tcPr>
          <w:p w:rsidR="00AC12B4" w:rsidRDefault="00C27636">
            <w:pPr>
              <w:ind w:right="200"/>
              <w:jc w:val="right"/>
              <w:rPr>
                <w:sz w:val="20"/>
                <w:szCs w:val="20"/>
              </w:rPr>
            </w:pPr>
            <w:r>
              <w:rPr>
                <w:rFonts w:ascii="Calibri" w:eastAsia="Calibri" w:hAnsi="Calibri" w:cs="Calibri"/>
                <w:sz w:val="20"/>
                <w:szCs w:val="20"/>
              </w:rPr>
              <w:t>DBSO</w:t>
            </w:r>
          </w:p>
        </w:tc>
        <w:tc>
          <w:tcPr>
            <w:tcW w:w="8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140" w:type="dxa"/>
            <w:tcBorders>
              <w:right w:val="single" w:sz="8" w:space="0" w:color="868686"/>
            </w:tcBorders>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360" w:type="dxa"/>
            <w:tcBorders>
              <w:right w:val="single" w:sz="8" w:space="0" w:color="868686"/>
            </w:tcBorders>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140" w:type="dxa"/>
            <w:tcBorders>
              <w:right w:val="single" w:sz="8" w:space="0" w:color="868686"/>
            </w:tcBorders>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280" w:type="dxa"/>
            <w:tcBorders>
              <w:right w:val="single" w:sz="8" w:space="0" w:color="868686"/>
            </w:tcBorders>
            <w:vAlign w:val="bottom"/>
          </w:tcPr>
          <w:p w:rsidR="00AC12B4" w:rsidRDefault="00AC12B4">
            <w:pPr>
              <w:rPr>
                <w:sz w:val="24"/>
                <w:szCs w:val="24"/>
              </w:rPr>
            </w:pPr>
          </w:p>
        </w:tc>
        <w:tc>
          <w:tcPr>
            <w:tcW w:w="6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200" w:type="dxa"/>
            <w:tcBorders>
              <w:right w:val="single" w:sz="8" w:space="0" w:color="868686"/>
            </w:tcBorders>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7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30"/>
        </w:trPr>
        <w:tc>
          <w:tcPr>
            <w:tcW w:w="2740" w:type="dxa"/>
            <w:gridSpan w:val="8"/>
            <w:vMerge w:val="restart"/>
            <w:tcBorders>
              <w:right w:val="single" w:sz="8" w:space="0" w:color="8BCCEC"/>
            </w:tcBorders>
            <w:vAlign w:val="bottom"/>
          </w:tcPr>
          <w:p w:rsidR="00AC12B4" w:rsidRDefault="00C27636">
            <w:pPr>
              <w:spacing w:line="199" w:lineRule="exact"/>
              <w:rPr>
                <w:sz w:val="20"/>
                <w:szCs w:val="20"/>
              </w:rPr>
            </w:pPr>
            <w:r>
              <w:rPr>
                <w:rFonts w:ascii="Calibri" w:eastAsia="Calibri" w:hAnsi="Calibri" w:cs="Calibri"/>
                <w:sz w:val="21"/>
                <w:szCs w:val="21"/>
              </w:rPr>
              <w:t>Flandre en 2009 que 35%</w:t>
            </w:r>
          </w:p>
        </w:tc>
        <w:tc>
          <w:tcPr>
            <w:tcW w:w="60" w:type="dxa"/>
            <w:vMerge w:val="restart"/>
            <w:vAlign w:val="bottom"/>
          </w:tcPr>
          <w:p w:rsidR="00AC12B4" w:rsidRDefault="00AC12B4">
            <w:pPr>
              <w:rPr>
                <w:sz w:val="11"/>
                <w:szCs w:val="11"/>
              </w:rPr>
            </w:pPr>
          </w:p>
        </w:tc>
        <w:tc>
          <w:tcPr>
            <w:tcW w:w="8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80" w:type="dxa"/>
            <w:tcBorders>
              <w:bottom w:val="single" w:sz="8" w:space="0" w:color="868686"/>
              <w:right w:val="single" w:sz="8" w:space="0" w:color="868686"/>
            </w:tcBorders>
            <w:vAlign w:val="bottom"/>
          </w:tcPr>
          <w:p w:rsidR="00AC12B4" w:rsidRDefault="00AC12B4">
            <w:pPr>
              <w:rPr>
                <w:sz w:val="11"/>
                <w:szCs w:val="11"/>
              </w:rPr>
            </w:pPr>
          </w:p>
        </w:tc>
        <w:tc>
          <w:tcPr>
            <w:tcW w:w="80" w:type="dxa"/>
            <w:tcBorders>
              <w:bottom w:val="single" w:sz="8" w:space="0" w:color="868686"/>
            </w:tcBorders>
            <w:vAlign w:val="bottom"/>
          </w:tcPr>
          <w:p w:rsidR="00AC12B4" w:rsidRDefault="00AC12B4">
            <w:pPr>
              <w:rPr>
                <w:sz w:val="11"/>
                <w:szCs w:val="11"/>
              </w:rPr>
            </w:pPr>
          </w:p>
        </w:tc>
        <w:tc>
          <w:tcPr>
            <w:tcW w:w="480" w:type="dxa"/>
            <w:tcBorders>
              <w:bottom w:val="single" w:sz="8" w:space="0" w:color="868686"/>
            </w:tcBorders>
            <w:vAlign w:val="bottom"/>
          </w:tcPr>
          <w:p w:rsidR="00AC12B4" w:rsidRDefault="00AC12B4">
            <w:pPr>
              <w:rPr>
                <w:sz w:val="11"/>
                <w:szCs w:val="11"/>
              </w:rPr>
            </w:pPr>
          </w:p>
        </w:tc>
        <w:tc>
          <w:tcPr>
            <w:tcW w:w="140" w:type="dxa"/>
            <w:tcBorders>
              <w:bottom w:val="single" w:sz="8" w:space="0" w:color="868686"/>
              <w:right w:val="single" w:sz="8" w:space="0" w:color="868686"/>
            </w:tcBorders>
            <w:vAlign w:val="bottom"/>
          </w:tcPr>
          <w:p w:rsidR="00AC12B4" w:rsidRDefault="00AC12B4">
            <w:pPr>
              <w:rPr>
                <w:sz w:val="11"/>
                <w:szCs w:val="11"/>
              </w:rPr>
            </w:pPr>
          </w:p>
        </w:tc>
        <w:tc>
          <w:tcPr>
            <w:tcW w:w="340" w:type="dxa"/>
            <w:tcBorders>
              <w:bottom w:val="single" w:sz="8" w:space="0" w:color="868686"/>
            </w:tcBorders>
            <w:vAlign w:val="bottom"/>
          </w:tcPr>
          <w:p w:rsidR="00AC12B4" w:rsidRDefault="00AC12B4">
            <w:pPr>
              <w:rPr>
                <w:sz w:val="11"/>
                <w:szCs w:val="11"/>
              </w:rPr>
            </w:pPr>
          </w:p>
        </w:tc>
        <w:tc>
          <w:tcPr>
            <w:tcW w:w="360" w:type="dxa"/>
            <w:tcBorders>
              <w:bottom w:val="single" w:sz="8" w:space="0" w:color="868686"/>
              <w:right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340" w:type="dxa"/>
            <w:tcBorders>
              <w:bottom w:val="single" w:sz="8" w:space="0" w:color="868686"/>
            </w:tcBorders>
            <w:vAlign w:val="bottom"/>
          </w:tcPr>
          <w:p w:rsidR="00AC12B4" w:rsidRDefault="00AC12B4">
            <w:pPr>
              <w:rPr>
                <w:sz w:val="11"/>
                <w:szCs w:val="11"/>
              </w:rPr>
            </w:pPr>
          </w:p>
        </w:tc>
        <w:tc>
          <w:tcPr>
            <w:tcW w:w="140" w:type="dxa"/>
            <w:tcBorders>
              <w:bottom w:val="single" w:sz="8" w:space="0" w:color="868686"/>
              <w:right w:val="single" w:sz="8" w:space="0" w:color="868686"/>
            </w:tcBorders>
            <w:vAlign w:val="bottom"/>
          </w:tcPr>
          <w:p w:rsidR="00AC12B4" w:rsidRDefault="00AC12B4">
            <w:pPr>
              <w:rPr>
                <w:sz w:val="11"/>
                <w:szCs w:val="11"/>
              </w:rPr>
            </w:pPr>
          </w:p>
        </w:tc>
        <w:tc>
          <w:tcPr>
            <w:tcW w:w="420" w:type="dxa"/>
            <w:tcBorders>
              <w:bottom w:val="single" w:sz="8" w:space="0" w:color="868686"/>
            </w:tcBorders>
            <w:vAlign w:val="bottom"/>
          </w:tcPr>
          <w:p w:rsidR="00AC12B4" w:rsidRDefault="00AC12B4">
            <w:pPr>
              <w:rPr>
                <w:sz w:val="11"/>
                <w:szCs w:val="11"/>
              </w:rPr>
            </w:pPr>
          </w:p>
        </w:tc>
        <w:tc>
          <w:tcPr>
            <w:tcW w:w="280" w:type="dxa"/>
            <w:tcBorders>
              <w:bottom w:val="single" w:sz="8" w:space="0" w:color="868686"/>
              <w:right w:val="single" w:sz="8" w:space="0" w:color="868686"/>
            </w:tcBorders>
            <w:vAlign w:val="bottom"/>
          </w:tcPr>
          <w:p w:rsidR="00AC12B4" w:rsidRDefault="00AC12B4">
            <w:pPr>
              <w:rPr>
                <w:sz w:val="11"/>
                <w:szCs w:val="11"/>
              </w:rPr>
            </w:pPr>
          </w:p>
        </w:tc>
        <w:tc>
          <w:tcPr>
            <w:tcW w:w="60" w:type="dxa"/>
            <w:tcBorders>
              <w:bottom w:val="single" w:sz="8" w:space="0" w:color="868686"/>
            </w:tcBorders>
            <w:vAlign w:val="bottom"/>
          </w:tcPr>
          <w:p w:rsidR="00AC12B4" w:rsidRDefault="00AC12B4">
            <w:pPr>
              <w:rPr>
                <w:sz w:val="11"/>
                <w:szCs w:val="11"/>
              </w:rPr>
            </w:pPr>
          </w:p>
        </w:tc>
        <w:tc>
          <w:tcPr>
            <w:tcW w:w="44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right w:val="single" w:sz="8" w:space="0" w:color="868686"/>
            </w:tcBorders>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7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70"/>
        </w:trPr>
        <w:tc>
          <w:tcPr>
            <w:tcW w:w="2740" w:type="dxa"/>
            <w:gridSpan w:val="8"/>
            <w:vMerge/>
            <w:tcBorders>
              <w:right w:val="single" w:sz="8" w:space="0" w:color="8BCCEC"/>
            </w:tcBorders>
            <w:vAlign w:val="bottom"/>
          </w:tcPr>
          <w:p w:rsidR="00AC12B4" w:rsidRDefault="00AC12B4">
            <w:pPr>
              <w:rPr>
                <w:sz w:val="6"/>
                <w:szCs w:val="6"/>
              </w:rPr>
            </w:pPr>
          </w:p>
        </w:tc>
        <w:tc>
          <w:tcPr>
            <w:tcW w:w="60" w:type="dxa"/>
            <w:vMerge/>
            <w:vAlign w:val="bottom"/>
          </w:tcPr>
          <w:p w:rsidR="00AC12B4" w:rsidRDefault="00AC12B4">
            <w:pPr>
              <w:rPr>
                <w:sz w:val="6"/>
                <w:szCs w:val="6"/>
              </w:rPr>
            </w:pPr>
          </w:p>
        </w:tc>
        <w:tc>
          <w:tcPr>
            <w:tcW w:w="8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28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80" w:type="dxa"/>
            <w:tcBorders>
              <w:right w:val="single" w:sz="8" w:space="0" w:color="868686"/>
            </w:tcBorders>
            <w:vAlign w:val="bottom"/>
          </w:tcPr>
          <w:p w:rsidR="00AC12B4" w:rsidRDefault="00AC12B4">
            <w:pPr>
              <w:rPr>
                <w:sz w:val="6"/>
                <w:szCs w:val="6"/>
              </w:rPr>
            </w:pPr>
          </w:p>
        </w:tc>
        <w:tc>
          <w:tcPr>
            <w:tcW w:w="8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140" w:type="dxa"/>
            <w:tcBorders>
              <w:right w:val="single" w:sz="8" w:space="0" w:color="868686"/>
            </w:tcBorders>
            <w:vAlign w:val="bottom"/>
          </w:tcPr>
          <w:p w:rsidR="00AC12B4" w:rsidRDefault="00AC12B4">
            <w:pPr>
              <w:rPr>
                <w:sz w:val="6"/>
                <w:szCs w:val="6"/>
              </w:rPr>
            </w:pPr>
          </w:p>
        </w:tc>
        <w:tc>
          <w:tcPr>
            <w:tcW w:w="340" w:type="dxa"/>
            <w:vAlign w:val="bottom"/>
          </w:tcPr>
          <w:p w:rsidR="00AC12B4" w:rsidRDefault="00AC12B4">
            <w:pPr>
              <w:rPr>
                <w:sz w:val="6"/>
                <w:szCs w:val="6"/>
              </w:rPr>
            </w:pPr>
          </w:p>
        </w:tc>
        <w:tc>
          <w:tcPr>
            <w:tcW w:w="360" w:type="dxa"/>
            <w:tcBorders>
              <w:right w:val="single" w:sz="8" w:space="0" w:color="868686"/>
            </w:tcBorders>
            <w:vAlign w:val="bottom"/>
          </w:tcPr>
          <w:p w:rsidR="00AC12B4" w:rsidRDefault="00AC12B4">
            <w:pPr>
              <w:rPr>
                <w:sz w:val="6"/>
                <w:szCs w:val="6"/>
              </w:rPr>
            </w:pPr>
          </w:p>
        </w:tc>
        <w:tc>
          <w:tcPr>
            <w:tcW w:w="20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140" w:type="dxa"/>
            <w:tcBorders>
              <w:right w:val="single" w:sz="8" w:space="0" w:color="868686"/>
            </w:tcBorders>
            <w:vAlign w:val="bottom"/>
          </w:tcPr>
          <w:p w:rsidR="00AC12B4" w:rsidRDefault="00AC12B4">
            <w:pPr>
              <w:rPr>
                <w:sz w:val="6"/>
                <w:szCs w:val="6"/>
              </w:rPr>
            </w:pPr>
          </w:p>
        </w:tc>
        <w:tc>
          <w:tcPr>
            <w:tcW w:w="420" w:type="dxa"/>
            <w:vAlign w:val="bottom"/>
          </w:tcPr>
          <w:p w:rsidR="00AC12B4" w:rsidRDefault="00AC12B4">
            <w:pPr>
              <w:rPr>
                <w:sz w:val="6"/>
                <w:szCs w:val="6"/>
              </w:rPr>
            </w:pPr>
          </w:p>
        </w:tc>
        <w:tc>
          <w:tcPr>
            <w:tcW w:w="280" w:type="dxa"/>
            <w:tcBorders>
              <w:right w:val="single" w:sz="8" w:space="0" w:color="868686"/>
            </w:tcBorders>
            <w:vAlign w:val="bottom"/>
          </w:tcPr>
          <w:p w:rsidR="00AC12B4" w:rsidRDefault="00AC12B4">
            <w:pPr>
              <w:rPr>
                <w:sz w:val="6"/>
                <w:szCs w:val="6"/>
              </w:rPr>
            </w:pPr>
          </w:p>
        </w:tc>
        <w:tc>
          <w:tcPr>
            <w:tcW w:w="60" w:type="dxa"/>
            <w:vAlign w:val="bottom"/>
          </w:tcPr>
          <w:p w:rsidR="00AC12B4" w:rsidRDefault="00AC12B4">
            <w:pPr>
              <w:rPr>
                <w:sz w:val="6"/>
                <w:szCs w:val="6"/>
              </w:rPr>
            </w:pPr>
          </w:p>
        </w:tc>
        <w:tc>
          <w:tcPr>
            <w:tcW w:w="440" w:type="dxa"/>
            <w:vAlign w:val="bottom"/>
          </w:tcPr>
          <w:p w:rsidR="00AC12B4" w:rsidRDefault="00AC12B4">
            <w:pPr>
              <w:rPr>
                <w:sz w:val="6"/>
                <w:szCs w:val="6"/>
              </w:rPr>
            </w:pPr>
          </w:p>
        </w:tc>
        <w:tc>
          <w:tcPr>
            <w:tcW w:w="200" w:type="dxa"/>
            <w:tcBorders>
              <w:right w:val="single" w:sz="8" w:space="0" w:color="868686"/>
            </w:tcBorders>
            <w:vAlign w:val="bottom"/>
          </w:tcPr>
          <w:p w:rsidR="00AC12B4" w:rsidRDefault="00AC12B4">
            <w:pPr>
              <w:rPr>
                <w:sz w:val="6"/>
                <w:szCs w:val="6"/>
              </w:rPr>
            </w:pPr>
          </w:p>
        </w:tc>
        <w:tc>
          <w:tcPr>
            <w:tcW w:w="26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76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283"/>
        </w:trPr>
        <w:tc>
          <w:tcPr>
            <w:tcW w:w="400" w:type="dxa"/>
            <w:vAlign w:val="bottom"/>
          </w:tcPr>
          <w:p w:rsidR="00AC12B4" w:rsidRDefault="00C27636">
            <w:pPr>
              <w:rPr>
                <w:sz w:val="20"/>
                <w:szCs w:val="20"/>
              </w:rPr>
            </w:pPr>
            <w:r>
              <w:rPr>
                <w:rFonts w:ascii="Calibri" w:eastAsia="Calibri" w:hAnsi="Calibri" w:cs="Calibri"/>
              </w:rPr>
              <w:t>des</w:t>
            </w:r>
          </w:p>
        </w:tc>
        <w:tc>
          <w:tcPr>
            <w:tcW w:w="180" w:type="dxa"/>
            <w:vAlign w:val="bottom"/>
          </w:tcPr>
          <w:p w:rsidR="00AC12B4" w:rsidRDefault="00AC12B4">
            <w:pPr>
              <w:rPr>
                <w:sz w:val="24"/>
                <w:szCs w:val="24"/>
              </w:rPr>
            </w:pPr>
          </w:p>
        </w:tc>
        <w:tc>
          <w:tcPr>
            <w:tcW w:w="1240" w:type="dxa"/>
            <w:gridSpan w:val="4"/>
            <w:vAlign w:val="bottom"/>
          </w:tcPr>
          <w:p w:rsidR="00AC12B4" w:rsidRDefault="00C27636">
            <w:pPr>
              <w:ind w:left="320"/>
              <w:rPr>
                <w:sz w:val="20"/>
                <w:szCs w:val="20"/>
              </w:rPr>
            </w:pPr>
            <w:r>
              <w:rPr>
                <w:rFonts w:ascii="Calibri" w:eastAsia="Calibri" w:hAnsi="Calibri" w:cs="Calibri"/>
              </w:rPr>
              <w:t>enfants</w:t>
            </w:r>
          </w:p>
        </w:tc>
        <w:tc>
          <w:tcPr>
            <w:tcW w:w="920" w:type="dxa"/>
            <w:gridSpan w:val="2"/>
            <w:tcBorders>
              <w:right w:val="single" w:sz="8" w:space="0" w:color="8BCCEC"/>
            </w:tcBorders>
            <w:vAlign w:val="bottom"/>
          </w:tcPr>
          <w:p w:rsidR="00AC12B4" w:rsidRDefault="00C27636">
            <w:pPr>
              <w:ind w:right="72"/>
              <w:jc w:val="right"/>
              <w:rPr>
                <w:sz w:val="20"/>
                <w:szCs w:val="20"/>
              </w:rPr>
            </w:pPr>
            <w:r>
              <w:rPr>
                <w:rFonts w:ascii="Calibri" w:eastAsia="Calibri" w:hAnsi="Calibri" w:cs="Calibri"/>
              </w:rPr>
              <w:t>Rom</w:t>
            </w:r>
          </w:p>
        </w:tc>
        <w:tc>
          <w:tcPr>
            <w:tcW w:w="6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560" w:type="dxa"/>
            <w:gridSpan w:val="3"/>
            <w:vAlign w:val="bottom"/>
          </w:tcPr>
          <w:p w:rsidR="00AC12B4" w:rsidRDefault="00C27636">
            <w:pPr>
              <w:ind w:right="40"/>
              <w:jc w:val="right"/>
              <w:rPr>
                <w:sz w:val="20"/>
                <w:szCs w:val="20"/>
              </w:rPr>
            </w:pPr>
            <w:r>
              <w:rPr>
                <w:rFonts w:ascii="Calibri" w:eastAsia="Calibri" w:hAnsi="Calibri" w:cs="Calibri"/>
                <w:sz w:val="20"/>
                <w:szCs w:val="20"/>
              </w:rPr>
              <w:t>0</w:t>
            </w:r>
          </w:p>
        </w:tc>
        <w:tc>
          <w:tcPr>
            <w:tcW w:w="960" w:type="dxa"/>
            <w:gridSpan w:val="3"/>
            <w:vAlign w:val="bottom"/>
          </w:tcPr>
          <w:p w:rsidR="00AC12B4" w:rsidRDefault="00C27636">
            <w:pPr>
              <w:ind w:left="480"/>
              <w:rPr>
                <w:sz w:val="20"/>
                <w:szCs w:val="20"/>
              </w:rPr>
            </w:pPr>
            <w:r>
              <w:rPr>
                <w:rFonts w:ascii="Calibri" w:eastAsia="Calibri" w:hAnsi="Calibri" w:cs="Calibri"/>
                <w:sz w:val="20"/>
                <w:szCs w:val="20"/>
              </w:rPr>
              <w:t>0,5</w:t>
            </w:r>
          </w:p>
        </w:tc>
        <w:tc>
          <w:tcPr>
            <w:tcW w:w="560" w:type="dxa"/>
            <w:gridSpan w:val="2"/>
            <w:vAlign w:val="bottom"/>
          </w:tcPr>
          <w:p w:rsidR="00AC12B4" w:rsidRDefault="00C27636">
            <w:pPr>
              <w:ind w:right="160"/>
              <w:jc w:val="right"/>
              <w:rPr>
                <w:sz w:val="20"/>
                <w:szCs w:val="20"/>
              </w:rPr>
            </w:pPr>
            <w:r>
              <w:rPr>
                <w:rFonts w:ascii="Calibri" w:eastAsia="Calibri" w:hAnsi="Calibri" w:cs="Calibri"/>
                <w:sz w:val="20"/>
                <w:szCs w:val="20"/>
              </w:rPr>
              <w:t>1</w:t>
            </w:r>
          </w:p>
        </w:tc>
        <w:tc>
          <w:tcPr>
            <w:tcW w:w="340" w:type="dxa"/>
            <w:vAlign w:val="bottom"/>
          </w:tcPr>
          <w:p w:rsidR="00AC12B4" w:rsidRDefault="00AC12B4">
            <w:pPr>
              <w:rPr>
                <w:sz w:val="24"/>
                <w:szCs w:val="24"/>
              </w:rPr>
            </w:pPr>
          </w:p>
        </w:tc>
        <w:tc>
          <w:tcPr>
            <w:tcW w:w="560" w:type="dxa"/>
            <w:gridSpan w:val="2"/>
            <w:vAlign w:val="bottom"/>
          </w:tcPr>
          <w:p w:rsidR="00AC12B4" w:rsidRDefault="00C27636">
            <w:pPr>
              <w:ind w:right="190"/>
              <w:jc w:val="right"/>
              <w:rPr>
                <w:sz w:val="20"/>
                <w:szCs w:val="20"/>
              </w:rPr>
            </w:pPr>
            <w:r>
              <w:rPr>
                <w:rFonts w:ascii="Calibri" w:eastAsia="Calibri" w:hAnsi="Calibri" w:cs="Calibri"/>
                <w:w w:val="94"/>
                <w:sz w:val="20"/>
                <w:szCs w:val="20"/>
              </w:rPr>
              <w:t>1,5</w:t>
            </w:r>
          </w:p>
        </w:tc>
        <w:tc>
          <w:tcPr>
            <w:tcW w:w="340" w:type="dxa"/>
            <w:gridSpan w:val="2"/>
            <w:vAlign w:val="bottom"/>
          </w:tcPr>
          <w:p w:rsidR="00AC12B4" w:rsidRDefault="00C27636">
            <w:pPr>
              <w:ind w:right="20"/>
              <w:jc w:val="right"/>
              <w:rPr>
                <w:sz w:val="20"/>
                <w:szCs w:val="20"/>
              </w:rPr>
            </w:pPr>
            <w:r>
              <w:rPr>
                <w:rFonts w:ascii="Calibri" w:eastAsia="Calibri" w:hAnsi="Calibri" w:cs="Calibri"/>
                <w:sz w:val="20"/>
                <w:szCs w:val="20"/>
              </w:rPr>
              <w:t>2</w:t>
            </w:r>
          </w:p>
        </w:tc>
        <w:tc>
          <w:tcPr>
            <w:tcW w:w="440" w:type="dxa"/>
            <w:vAlign w:val="bottom"/>
          </w:tcPr>
          <w:p w:rsidR="00AC12B4" w:rsidRDefault="00AC12B4">
            <w:pPr>
              <w:rPr>
                <w:sz w:val="24"/>
                <w:szCs w:val="24"/>
              </w:rPr>
            </w:pPr>
          </w:p>
        </w:tc>
        <w:tc>
          <w:tcPr>
            <w:tcW w:w="460" w:type="dxa"/>
            <w:gridSpan w:val="2"/>
            <w:vAlign w:val="bottom"/>
          </w:tcPr>
          <w:p w:rsidR="00AC12B4" w:rsidRDefault="00C27636">
            <w:pPr>
              <w:ind w:right="140"/>
              <w:jc w:val="right"/>
              <w:rPr>
                <w:sz w:val="20"/>
                <w:szCs w:val="20"/>
              </w:rPr>
            </w:pPr>
            <w:r>
              <w:rPr>
                <w:rFonts w:ascii="Calibri" w:eastAsia="Calibri" w:hAnsi="Calibri" w:cs="Calibri"/>
                <w:sz w:val="20"/>
                <w:szCs w:val="20"/>
              </w:rPr>
              <w:t>2,5</w:t>
            </w:r>
          </w:p>
        </w:tc>
        <w:tc>
          <w:tcPr>
            <w:tcW w:w="18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7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304"/>
        </w:trPr>
        <w:tc>
          <w:tcPr>
            <w:tcW w:w="2740" w:type="dxa"/>
            <w:gridSpan w:val="8"/>
            <w:tcBorders>
              <w:right w:val="single" w:sz="8" w:space="0" w:color="8BCCEC"/>
            </w:tcBorders>
            <w:vAlign w:val="bottom"/>
          </w:tcPr>
          <w:p w:rsidR="00AC12B4" w:rsidRDefault="00C27636">
            <w:pPr>
              <w:spacing w:line="266" w:lineRule="exact"/>
              <w:rPr>
                <w:sz w:val="20"/>
                <w:szCs w:val="20"/>
              </w:rPr>
            </w:pPr>
            <w:r>
              <w:rPr>
                <w:rFonts w:ascii="Calibri" w:eastAsia="Calibri" w:hAnsi="Calibri" w:cs="Calibri"/>
              </w:rPr>
              <w:t>questionnés (18 des 52) ont</w:t>
            </w:r>
          </w:p>
        </w:tc>
        <w:tc>
          <w:tcPr>
            <w:tcW w:w="6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3660" w:type="dxa"/>
            <w:gridSpan w:val="13"/>
            <w:vAlign w:val="bottom"/>
          </w:tcPr>
          <w:p w:rsidR="00AC12B4" w:rsidRPr="00C27636" w:rsidRDefault="00C27636">
            <w:pPr>
              <w:ind w:left="60"/>
              <w:rPr>
                <w:sz w:val="20"/>
                <w:szCs w:val="20"/>
                <w:lang w:val="fr-BE"/>
              </w:rPr>
            </w:pPr>
            <w:r w:rsidRPr="00C27636">
              <w:rPr>
                <w:rFonts w:ascii="Calibri" w:eastAsia="Calibri" w:hAnsi="Calibri" w:cs="Calibri"/>
                <w:b/>
                <w:bCs/>
                <w:sz w:val="20"/>
                <w:szCs w:val="20"/>
                <w:lang w:val="fr-BE"/>
              </w:rPr>
              <w:t>Indicateur de risque de pauvreté (OKI)</w:t>
            </w:r>
          </w:p>
        </w:tc>
        <w:tc>
          <w:tcPr>
            <w:tcW w:w="180" w:type="dxa"/>
            <w:vAlign w:val="bottom"/>
          </w:tcPr>
          <w:p w:rsidR="00AC12B4" w:rsidRPr="00C27636" w:rsidRDefault="00AC12B4">
            <w:pPr>
              <w:rPr>
                <w:sz w:val="24"/>
                <w:szCs w:val="24"/>
                <w:lang w:val="fr-BE"/>
              </w:rPr>
            </w:pPr>
          </w:p>
        </w:tc>
        <w:tc>
          <w:tcPr>
            <w:tcW w:w="10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76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62"/>
        </w:trPr>
        <w:tc>
          <w:tcPr>
            <w:tcW w:w="400" w:type="dxa"/>
            <w:vAlign w:val="bottom"/>
          </w:tcPr>
          <w:p w:rsidR="00AC12B4" w:rsidRDefault="00C27636">
            <w:pPr>
              <w:spacing w:line="231" w:lineRule="exact"/>
              <w:rPr>
                <w:sz w:val="20"/>
                <w:szCs w:val="20"/>
              </w:rPr>
            </w:pPr>
            <w:r>
              <w:rPr>
                <w:rFonts w:ascii="Calibri" w:eastAsia="Calibri" w:hAnsi="Calibri" w:cs="Calibri"/>
              </w:rPr>
              <w:t>été</w:t>
            </w:r>
          </w:p>
        </w:tc>
        <w:tc>
          <w:tcPr>
            <w:tcW w:w="180" w:type="dxa"/>
            <w:vAlign w:val="bottom"/>
          </w:tcPr>
          <w:p w:rsidR="00AC12B4" w:rsidRDefault="00AC12B4"/>
        </w:tc>
        <w:tc>
          <w:tcPr>
            <w:tcW w:w="1240" w:type="dxa"/>
            <w:gridSpan w:val="4"/>
            <w:vAlign w:val="bottom"/>
          </w:tcPr>
          <w:p w:rsidR="00AC12B4" w:rsidRDefault="00C27636">
            <w:pPr>
              <w:spacing w:line="231" w:lineRule="exact"/>
              <w:ind w:left="300"/>
              <w:rPr>
                <w:sz w:val="20"/>
                <w:szCs w:val="20"/>
              </w:rPr>
            </w:pPr>
            <w:r>
              <w:rPr>
                <w:rFonts w:ascii="Calibri" w:eastAsia="Calibri" w:hAnsi="Calibri" w:cs="Calibri"/>
              </w:rPr>
              <w:t>orientés</w:t>
            </w:r>
          </w:p>
        </w:tc>
        <w:tc>
          <w:tcPr>
            <w:tcW w:w="920" w:type="dxa"/>
            <w:gridSpan w:val="2"/>
            <w:tcBorders>
              <w:right w:val="single" w:sz="8" w:space="0" w:color="8BCCEC"/>
            </w:tcBorders>
            <w:vAlign w:val="bottom"/>
          </w:tcPr>
          <w:p w:rsidR="00AC12B4" w:rsidRDefault="00C27636">
            <w:pPr>
              <w:spacing w:line="231" w:lineRule="exact"/>
              <w:ind w:right="72"/>
              <w:jc w:val="right"/>
              <w:rPr>
                <w:sz w:val="20"/>
                <w:szCs w:val="20"/>
              </w:rPr>
            </w:pPr>
            <w:r>
              <w:rPr>
                <w:rFonts w:ascii="Calibri" w:eastAsia="Calibri" w:hAnsi="Calibri" w:cs="Calibri"/>
              </w:rPr>
              <w:t>vers</w:t>
            </w:r>
          </w:p>
        </w:tc>
        <w:tc>
          <w:tcPr>
            <w:tcW w:w="60" w:type="dxa"/>
            <w:vAlign w:val="bottom"/>
          </w:tcPr>
          <w:p w:rsidR="00AC12B4" w:rsidRDefault="00AC12B4"/>
        </w:tc>
        <w:tc>
          <w:tcPr>
            <w:tcW w:w="80" w:type="dxa"/>
            <w:vAlign w:val="bottom"/>
          </w:tcPr>
          <w:p w:rsidR="00AC12B4" w:rsidRDefault="00AC12B4"/>
        </w:tc>
        <w:tc>
          <w:tcPr>
            <w:tcW w:w="400" w:type="dxa"/>
            <w:vAlign w:val="bottom"/>
          </w:tcPr>
          <w:p w:rsidR="00AC12B4" w:rsidRDefault="00AC12B4"/>
        </w:tc>
        <w:tc>
          <w:tcPr>
            <w:tcW w:w="280" w:type="dxa"/>
            <w:vAlign w:val="bottom"/>
          </w:tcPr>
          <w:p w:rsidR="00AC12B4" w:rsidRDefault="00AC12B4"/>
        </w:tc>
        <w:tc>
          <w:tcPr>
            <w:tcW w:w="400" w:type="dxa"/>
            <w:vAlign w:val="bottom"/>
          </w:tcPr>
          <w:p w:rsidR="00AC12B4" w:rsidRDefault="00AC12B4"/>
        </w:tc>
        <w:tc>
          <w:tcPr>
            <w:tcW w:w="80" w:type="dxa"/>
            <w:vAlign w:val="bottom"/>
          </w:tcPr>
          <w:p w:rsidR="00AC12B4" w:rsidRDefault="00AC12B4"/>
        </w:tc>
        <w:tc>
          <w:tcPr>
            <w:tcW w:w="80" w:type="dxa"/>
            <w:vAlign w:val="bottom"/>
          </w:tcPr>
          <w:p w:rsidR="00AC12B4" w:rsidRDefault="00AC12B4"/>
        </w:tc>
        <w:tc>
          <w:tcPr>
            <w:tcW w:w="480" w:type="dxa"/>
            <w:vAlign w:val="bottom"/>
          </w:tcPr>
          <w:p w:rsidR="00AC12B4" w:rsidRDefault="00AC12B4"/>
        </w:tc>
        <w:tc>
          <w:tcPr>
            <w:tcW w:w="140" w:type="dxa"/>
            <w:vAlign w:val="bottom"/>
          </w:tcPr>
          <w:p w:rsidR="00AC12B4" w:rsidRDefault="00AC12B4"/>
        </w:tc>
        <w:tc>
          <w:tcPr>
            <w:tcW w:w="340" w:type="dxa"/>
            <w:vAlign w:val="bottom"/>
          </w:tcPr>
          <w:p w:rsidR="00AC12B4" w:rsidRDefault="00AC12B4"/>
        </w:tc>
        <w:tc>
          <w:tcPr>
            <w:tcW w:w="360" w:type="dxa"/>
            <w:vAlign w:val="bottom"/>
          </w:tcPr>
          <w:p w:rsidR="00AC12B4" w:rsidRDefault="00AC12B4"/>
        </w:tc>
        <w:tc>
          <w:tcPr>
            <w:tcW w:w="200" w:type="dxa"/>
            <w:vAlign w:val="bottom"/>
          </w:tcPr>
          <w:p w:rsidR="00AC12B4" w:rsidRDefault="00AC12B4"/>
        </w:tc>
        <w:tc>
          <w:tcPr>
            <w:tcW w:w="340" w:type="dxa"/>
            <w:vAlign w:val="bottom"/>
          </w:tcPr>
          <w:p w:rsidR="00AC12B4" w:rsidRDefault="00AC12B4"/>
        </w:tc>
        <w:tc>
          <w:tcPr>
            <w:tcW w:w="140" w:type="dxa"/>
            <w:vAlign w:val="bottom"/>
          </w:tcPr>
          <w:p w:rsidR="00AC12B4" w:rsidRDefault="00AC12B4"/>
        </w:tc>
        <w:tc>
          <w:tcPr>
            <w:tcW w:w="420" w:type="dxa"/>
            <w:vAlign w:val="bottom"/>
          </w:tcPr>
          <w:p w:rsidR="00AC12B4" w:rsidRDefault="00AC12B4"/>
        </w:tc>
        <w:tc>
          <w:tcPr>
            <w:tcW w:w="280" w:type="dxa"/>
            <w:vAlign w:val="bottom"/>
          </w:tcPr>
          <w:p w:rsidR="00AC12B4" w:rsidRDefault="00AC12B4"/>
        </w:tc>
        <w:tc>
          <w:tcPr>
            <w:tcW w:w="60" w:type="dxa"/>
            <w:vAlign w:val="bottom"/>
          </w:tcPr>
          <w:p w:rsidR="00AC12B4" w:rsidRDefault="00AC12B4"/>
        </w:tc>
        <w:tc>
          <w:tcPr>
            <w:tcW w:w="440" w:type="dxa"/>
            <w:vAlign w:val="bottom"/>
          </w:tcPr>
          <w:p w:rsidR="00AC12B4" w:rsidRDefault="00AC12B4"/>
        </w:tc>
        <w:tc>
          <w:tcPr>
            <w:tcW w:w="200" w:type="dxa"/>
            <w:vAlign w:val="bottom"/>
          </w:tcPr>
          <w:p w:rsidR="00AC12B4" w:rsidRDefault="00AC12B4"/>
        </w:tc>
        <w:tc>
          <w:tcPr>
            <w:tcW w:w="260" w:type="dxa"/>
            <w:vAlign w:val="bottom"/>
          </w:tcPr>
          <w:p w:rsidR="00AC12B4" w:rsidRDefault="00AC12B4"/>
        </w:tc>
        <w:tc>
          <w:tcPr>
            <w:tcW w:w="180" w:type="dxa"/>
            <w:vAlign w:val="bottom"/>
          </w:tcPr>
          <w:p w:rsidR="00AC12B4" w:rsidRDefault="00AC12B4"/>
        </w:tc>
        <w:tc>
          <w:tcPr>
            <w:tcW w:w="100" w:type="dxa"/>
            <w:vAlign w:val="bottom"/>
          </w:tcPr>
          <w:p w:rsidR="00AC12B4" w:rsidRDefault="00AC12B4"/>
        </w:tc>
        <w:tc>
          <w:tcPr>
            <w:tcW w:w="400" w:type="dxa"/>
            <w:vAlign w:val="bottom"/>
          </w:tcPr>
          <w:p w:rsidR="00AC12B4" w:rsidRDefault="00AC12B4"/>
        </w:tc>
        <w:tc>
          <w:tcPr>
            <w:tcW w:w="760" w:type="dxa"/>
            <w:vAlign w:val="bottom"/>
          </w:tcPr>
          <w:p w:rsidR="00AC12B4" w:rsidRDefault="00AC12B4"/>
        </w:tc>
        <w:tc>
          <w:tcPr>
            <w:tcW w:w="0" w:type="dxa"/>
            <w:vAlign w:val="bottom"/>
          </w:tcPr>
          <w:p w:rsidR="00AC12B4" w:rsidRDefault="00AC12B4">
            <w:pPr>
              <w:rPr>
                <w:sz w:val="1"/>
                <w:szCs w:val="1"/>
              </w:rPr>
            </w:pPr>
          </w:p>
        </w:tc>
      </w:tr>
      <w:tr w:rsidR="00AC12B4">
        <w:trPr>
          <w:trHeight w:val="251"/>
        </w:trPr>
        <w:tc>
          <w:tcPr>
            <w:tcW w:w="1540" w:type="dxa"/>
            <w:gridSpan w:val="5"/>
            <w:vAlign w:val="bottom"/>
          </w:tcPr>
          <w:p w:rsidR="00AC12B4" w:rsidRDefault="00C27636">
            <w:pPr>
              <w:spacing w:line="237" w:lineRule="exact"/>
              <w:rPr>
                <w:sz w:val="20"/>
                <w:szCs w:val="20"/>
              </w:rPr>
            </w:pPr>
            <w:r>
              <w:rPr>
                <w:rFonts w:ascii="Calibri" w:eastAsia="Calibri" w:hAnsi="Calibri" w:cs="Calibri"/>
              </w:rPr>
              <w:t>l’enseignement</w:t>
            </w:r>
          </w:p>
        </w:tc>
        <w:tc>
          <w:tcPr>
            <w:tcW w:w="1260" w:type="dxa"/>
            <w:gridSpan w:val="4"/>
            <w:vAlign w:val="bottom"/>
          </w:tcPr>
          <w:p w:rsidR="00AC12B4" w:rsidRDefault="00C27636">
            <w:pPr>
              <w:spacing w:line="237" w:lineRule="exact"/>
              <w:ind w:right="240"/>
              <w:jc w:val="right"/>
              <w:rPr>
                <w:sz w:val="20"/>
                <w:szCs w:val="20"/>
              </w:rPr>
            </w:pPr>
            <w:r>
              <w:rPr>
                <w:rFonts w:ascii="Calibri" w:eastAsia="Calibri" w:hAnsi="Calibri" w:cs="Calibri"/>
              </w:rPr>
              <w:t>secondaire</w:t>
            </w:r>
          </w:p>
        </w:tc>
        <w:tc>
          <w:tcPr>
            <w:tcW w:w="6420" w:type="dxa"/>
            <w:gridSpan w:val="23"/>
            <w:vAlign w:val="bottom"/>
          </w:tcPr>
          <w:p w:rsidR="00AC12B4" w:rsidRDefault="00C27636">
            <w:pPr>
              <w:ind w:left="60"/>
              <w:rPr>
                <w:sz w:val="20"/>
                <w:szCs w:val="20"/>
              </w:rPr>
            </w:pPr>
            <w:r>
              <w:rPr>
                <w:rFonts w:ascii="Calibri" w:eastAsia="Calibri" w:hAnsi="Calibri" w:cs="Calibri"/>
                <w:b/>
                <w:bCs/>
                <w:color w:val="4F81BD"/>
                <w:sz w:val="18"/>
                <w:szCs w:val="18"/>
              </w:rPr>
              <w:t>Figure 2. Communauté flamande, Datawarehouse Onderwijs en Vorming,</w:t>
            </w:r>
          </w:p>
        </w:tc>
        <w:tc>
          <w:tcPr>
            <w:tcW w:w="0" w:type="dxa"/>
            <w:vAlign w:val="bottom"/>
          </w:tcPr>
          <w:p w:rsidR="00AC12B4" w:rsidRDefault="00AC12B4">
            <w:pPr>
              <w:rPr>
                <w:sz w:val="1"/>
                <w:szCs w:val="1"/>
              </w:rPr>
            </w:pPr>
          </w:p>
        </w:tc>
      </w:tr>
      <w:tr w:rsidR="00AC12B4" w:rsidRPr="00C27636">
        <w:trPr>
          <w:trHeight w:val="255"/>
        </w:trPr>
        <w:tc>
          <w:tcPr>
            <w:tcW w:w="1320" w:type="dxa"/>
            <w:gridSpan w:val="4"/>
            <w:vAlign w:val="bottom"/>
          </w:tcPr>
          <w:p w:rsidR="00AC12B4" w:rsidRDefault="00C27636">
            <w:pPr>
              <w:spacing w:line="255" w:lineRule="exact"/>
              <w:rPr>
                <w:sz w:val="20"/>
                <w:szCs w:val="20"/>
              </w:rPr>
            </w:pPr>
            <w:r>
              <w:rPr>
                <w:rFonts w:ascii="Calibri" w:eastAsia="Calibri" w:hAnsi="Calibri" w:cs="Calibri"/>
              </w:rPr>
              <w:t>spécialisé. La</w:t>
            </w:r>
          </w:p>
        </w:tc>
        <w:tc>
          <w:tcPr>
            <w:tcW w:w="920" w:type="dxa"/>
            <w:gridSpan w:val="3"/>
            <w:vAlign w:val="bottom"/>
          </w:tcPr>
          <w:p w:rsidR="00AC12B4" w:rsidRDefault="00C27636">
            <w:pPr>
              <w:spacing w:line="255" w:lineRule="exact"/>
              <w:jc w:val="right"/>
              <w:rPr>
                <w:sz w:val="20"/>
                <w:szCs w:val="20"/>
              </w:rPr>
            </w:pPr>
            <w:r>
              <w:rPr>
                <w:rFonts w:ascii="Calibri" w:eastAsia="Calibri" w:hAnsi="Calibri" w:cs="Calibri"/>
              </w:rPr>
              <w:t>situation</w:t>
            </w:r>
          </w:p>
        </w:tc>
        <w:tc>
          <w:tcPr>
            <w:tcW w:w="560" w:type="dxa"/>
            <w:gridSpan w:val="2"/>
            <w:vAlign w:val="bottom"/>
          </w:tcPr>
          <w:p w:rsidR="00AC12B4" w:rsidRDefault="00C27636">
            <w:pPr>
              <w:spacing w:line="255" w:lineRule="exact"/>
              <w:ind w:right="220"/>
              <w:jc w:val="right"/>
              <w:rPr>
                <w:sz w:val="20"/>
                <w:szCs w:val="20"/>
              </w:rPr>
            </w:pPr>
            <w:r>
              <w:rPr>
                <w:rFonts w:ascii="Calibri" w:eastAsia="Calibri" w:hAnsi="Calibri" w:cs="Calibri"/>
              </w:rPr>
              <w:t>des</w:t>
            </w:r>
          </w:p>
        </w:tc>
        <w:tc>
          <w:tcPr>
            <w:tcW w:w="1320" w:type="dxa"/>
            <w:gridSpan w:val="6"/>
            <w:vAlign w:val="bottom"/>
          </w:tcPr>
          <w:p w:rsidR="00AC12B4" w:rsidRDefault="00C27636">
            <w:pPr>
              <w:spacing w:line="218" w:lineRule="exact"/>
              <w:ind w:left="60"/>
              <w:rPr>
                <w:sz w:val="20"/>
                <w:szCs w:val="20"/>
              </w:rPr>
            </w:pPr>
            <w:r>
              <w:rPr>
                <w:rFonts w:ascii="Calibri" w:eastAsia="Calibri" w:hAnsi="Calibri" w:cs="Calibri"/>
                <w:b/>
                <w:bCs/>
                <w:color w:val="4F81BD"/>
                <w:sz w:val="18"/>
                <w:szCs w:val="18"/>
              </w:rPr>
              <w:t>caractéristiques</w:t>
            </w:r>
          </w:p>
        </w:tc>
        <w:tc>
          <w:tcPr>
            <w:tcW w:w="5100" w:type="dxa"/>
            <w:gridSpan w:val="17"/>
            <w:vAlign w:val="bottom"/>
          </w:tcPr>
          <w:p w:rsidR="00AC12B4" w:rsidRPr="00C27636" w:rsidRDefault="00C27636">
            <w:pPr>
              <w:spacing w:line="218" w:lineRule="exact"/>
              <w:ind w:right="600"/>
              <w:jc w:val="right"/>
              <w:rPr>
                <w:sz w:val="20"/>
                <w:szCs w:val="20"/>
                <w:lang w:val="fr-BE"/>
              </w:rPr>
            </w:pPr>
            <w:r w:rsidRPr="00C27636">
              <w:rPr>
                <w:rFonts w:ascii="Calibri" w:eastAsia="Calibri" w:hAnsi="Calibri" w:cs="Calibri"/>
                <w:b/>
                <w:bCs/>
                <w:color w:val="4F81BD"/>
                <w:sz w:val="18"/>
                <w:szCs w:val="18"/>
                <w:lang w:val="fr-BE"/>
              </w:rPr>
              <w:t>socio-économiques  des  élèves  dans  l’enseignement</w:t>
            </w:r>
          </w:p>
        </w:tc>
        <w:tc>
          <w:tcPr>
            <w:tcW w:w="0" w:type="dxa"/>
            <w:vAlign w:val="bottom"/>
          </w:tcPr>
          <w:p w:rsidR="00AC12B4" w:rsidRPr="00C27636" w:rsidRDefault="00AC12B4">
            <w:pPr>
              <w:rPr>
                <w:sz w:val="1"/>
                <w:szCs w:val="1"/>
                <w:lang w:val="fr-BE"/>
              </w:rPr>
            </w:pPr>
          </w:p>
        </w:tc>
      </w:tr>
      <w:tr w:rsidR="00AC12B4">
        <w:trPr>
          <w:trHeight w:val="182"/>
        </w:trPr>
        <w:tc>
          <w:tcPr>
            <w:tcW w:w="280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enfants Roms est bien plus</w:t>
            </w:r>
          </w:p>
        </w:tc>
        <w:tc>
          <w:tcPr>
            <w:tcW w:w="2280" w:type="dxa"/>
            <w:gridSpan w:val="9"/>
            <w:vAlign w:val="bottom"/>
          </w:tcPr>
          <w:p w:rsidR="00AC12B4" w:rsidRDefault="00C27636">
            <w:pPr>
              <w:spacing w:line="182" w:lineRule="exact"/>
              <w:ind w:left="60"/>
              <w:rPr>
                <w:sz w:val="20"/>
                <w:szCs w:val="20"/>
              </w:rPr>
            </w:pPr>
            <w:r>
              <w:rPr>
                <w:rFonts w:ascii="Calibri" w:eastAsia="Calibri" w:hAnsi="Calibri" w:cs="Calibri"/>
                <w:b/>
                <w:bCs/>
                <w:color w:val="4F81BD"/>
                <w:sz w:val="18"/>
                <w:szCs w:val="18"/>
              </w:rPr>
              <w:t>ordinaire, année 2012-2013</w:t>
            </w:r>
          </w:p>
        </w:tc>
        <w:tc>
          <w:tcPr>
            <w:tcW w:w="360" w:type="dxa"/>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42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60" w:type="dxa"/>
            <w:vAlign w:val="bottom"/>
          </w:tcPr>
          <w:p w:rsidR="00AC12B4" w:rsidRDefault="00AC12B4">
            <w:pPr>
              <w:rPr>
                <w:sz w:val="15"/>
                <w:szCs w:val="15"/>
              </w:rPr>
            </w:pPr>
          </w:p>
        </w:tc>
        <w:tc>
          <w:tcPr>
            <w:tcW w:w="440" w:type="dxa"/>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400" w:type="dxa"/>
            <w:vAlign w:val="bottom"/>
          </w:tcPr>
          <w:p w:rsidR="00AC12B4" w:rsidRDefault="00AC12B4">
            <w:pPr>
              <w:rPr>
                <w:sz w:val="15"/>
                <w:szCs w:val="15"/>
              </w:rPr>
            </w:pPr>
          </w:p>
        </w:tc>
        <w:tc>
          <w:tcPr>
            <w:tcW w:w="7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7"/>
        </w:trPr>
        <w:tc>
          <w:tcPr>
            <w:tcW w:w="2800" w:type="dxa"/>
            <w:gridSpan w:val="9"/>
            <w:vMerge/>
            <w:vAlign w:val="bottom"/>
          </w:tcPr>
          <w:p w:rsidR="00AC12B4" w:rsidRDefault="00AC12B4">
            <w:pPr>
              <w:rPr>
                <w:sz w:val="7"/>
                <w:szCs w:val="7"/>
              </w:rPr>
            </w:pPr>
          </w:p>
        </w:tc>
        <w:tc>
          <w:tcPr>
            <w:tcW w:w="8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3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7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269"/>
        </w:trPr>
        <w:tc>
          <w:tcPr>
            <w:tcW w:w="2800" w:type="dxa"/>
            <w:gridSpan w:val="9"/>
            <w:vAlign w:val="bottom"/>
          </w:tcPr>
          <w:p w:rsidR="00AC12B4" w:rsidRPr="00C27636" w:rsidRDefault="00C27636">
            <w:pPr>
              <w:rPr>
                <w:sz w:val="20"/>
                <w:szCs w:val="20"/>
                <w:lang w:val="fr-BE"/>
              </w:rPr>
            </w:pPr>
            <w:r w:rsidRPr="00C27636">
              <w:rPr>
                <w:rFonts w:ascii="Calibri" w:eastAsia="Calibri" w:hAnsi="Calibri" w:cs="Calibri"/>
                <w:lang w:val="fr-BE"/>
              </w:rPr>
              <w:t>mauvaise que celle des deux</w:t>
            </w:r>
          </w:p>
        </w:tc>
        <w:tc>
          <w:tcPr>
            <w:tcW w:w="8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4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340" w:type="dxa"/>
            <w:vAlign w:val="bottom"/>
          </w:tcPr>
          <w:p w:rsidR="00AC12B4" w:rsidRPr="00C27636" w:rsidRDefault="00AC12B4">
            <w:pPr>
              <w:rPr>
                <w:sz w:val="23"/>
                <w:szCs w:val="23"/>
                <w:lang w:val="fr-BE"/>
              </w:rPr>
            </w:pPr>
          </w:p>
        </w:tc>
        <w:tc>
          <w:tcPr>
            <w:tcW w:w="36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34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44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580" w:type="dxa"/>
            <w:gridSpan w:val="2"/>
            <w:vAlign w:val="bottom"/>
          </w:tcPr>
          <w:p w:rsidR="00AC12B4" w:rsidRDefault="00C27636">
            <w:pPr>
              <w:rPr>
                <w:sz w:val="20"/>
                <w:szCs w:val="20"/>
              </w:rPr>
            </w:pPr>
            <w:r>
              <w:rPr>
                <w:rFonts w:ascii="Calibri" w:eastAsia="Calibri" w:hAnsi="Calibri" w:cs="Calibri"/>
                <w:w w:val="98"/>
              </w:rPr>
              <w:t>autres</w:t>
            </w:r>
          </w:p>
        </w:tc>
        <w:tc>
          <w:tcPr>
            <w:tcW w:w="960" w:type="dxa"/>
            <w:gridSpan w:val="3"/>
            <w:vAlign w:val="bottom"/>
          </w:tcPr>
          <w:p w:rsidR="00AC12B4" w:rsidRDefault="00C27636">
            <w:pPr>
              <w:ind w:left="120"/>
              <w:rPr>
                <w:sz w:val="20"/>
                <w:szCs w:val="20"/>
              </w:rPr>
            </w:pPr>
            <w:r>
              <w:rPr>
                <w:rFonts w:ascii="Calibri" w:eastAsia="Calibri" w:hAnsi="Calibri" w:cs="Calibri"/>
              </w:rPr>
              <w:t>groupes</w:t>
            </w:r>
          </w:p>
        </w:tc>
        <w:tc>
          <w:tcPr>
            <w:tcW w:w="280" w:type="dxa"/>
            <w:vAlign w:val="bottom"/>
          </w:tcPr>
          <w:p w:rsidR="00AC12B4" w:rsidRDefault="00C27636">
            <w:pPr>
              <w:ind w:left="20"/>
              <w:rPr>
                <w:sz w:val="20"/>
                <w:szCs w:val="20"/>
              </w:rPr>
            </w:pPr>
            <w:r>
              <w:rPr>
                <w:rFonts w:ascii="Calibri" w:eastAsia="Calibri" w:hAnsi="Calibri" w:cs="Calibri"/>
              </w:rPr>
              <w:t>de</w:t>
            </w:r>
          </w:p>
        </w:tc>
        <w:tc>
          <w:tcPr>
            <w:tcW w:w="980" w:type="dxa"/>
            <w:gridSpan w:val="3"/>
            <w:vAlign w:val="bottom"/>
          </w:tcPr>
          <w:p w:rsidR="00AC12B4" w:rsidRDefault="00C27636">
            <w:pPr>
              <w:ind w:right="40"/>
              <w:jc w:val="center"/>
              <w:rPr>
                <w:sz w:val="20"/>
                <w:szCs w:val="20"/>
              </w:rPr>
            </w:pPr>
            <w:r>
              <w:rPr>
                <w:rFonts w:ascii="Calibri" w:eastAsia="Calibri" w:hAnsi="Calibri" w:cs="Calibri"/>
              </w:rPr>
              <w:t>gens du</w:t>
            </w:r>
          </w:p>
        </w:tc>
        <w:tc>
          <w:tcPr>
            <w:tcW w:w="760" w:type="dxa"/>
            <w:gridSpan w:val="3"/>
            <w:vAlign w:val="bottom"/>
          </w:tcPr>
          <w:p w:rsidR="00AC12B4" w:rsidRDefault="00C27636">
            <w:pPr>
              <w:rPr>
                <w:sz w:val="20"/>
                <w:szCs w:val="20"/>
              </w:rPr>
            </w:pPr>
            <w:r>
              <w:rPr>
                <w:rFonts w:ascii="Calibri" w:eastAsia="Calibri" w:hAnsi="Calibri" w:cs="Calibri"/>
              </w:rPr>
              <w:t>voyage</w:t>
            </w:r>
          </w:p>
        </w:tc>
        <w:tc>
          <w:tcPr>
            <w:tcW w:w="560" w:type="dxa"/>
            <w:gridSpan w:val="3"/>
            <w:vAlign w:val="bottom"/>
          </w:tcPr>
          <w:p w:rsidR="00AC12B4" w:rsidRDefault="00C27636">
            <w:pPr>
              <w:ind w:right="240"/>
              <w:jc w:val="right"/>
              <w:rPr>
                <w:sz w:val="20"/>
                <w:szCs w:val="20"/>
              </w:rPr>
            </w:pPr>
            <w:r>
              <w:rPr>
                <w:rFonts w:ascii="Calibri" w:eastAsia="Calibri" w:hAnsi="Calibri" w:cs="Calibri"/>
                <w:w w:val="95"/>
              </w:rPr>
              <w:t>(les</w:t>
            </w:r>
          </w:p>
        </w:tc>
        <w:tc>
          <w:tcPr>
            <w:tcW w:w="480" w:type="dxa"/>
            <w:vAlign w:val="bottom"/>
          </w:tcPr>
          <w:p w:rsidR="00AC12B4" w:rsidRDefault="00AC12B4">
            <w:pPr>
              <w:rPr>
                <w:sz w:val="23"/>
                <w:szCs w:val="23"/>
              </w:rPr>
            </w:pPr>
          </w:p>
        </w:tc>
        <w:tc>
          <w:tcPr>
            <w:tcW w:w="1040" w:type="dxa"/>
            <w:gridSpan w:val="4"/>
            <w:vMerge w:val="restart"/>
            <w:vAlign w:val="bottom"/>
          </w:tcPr>
          <w:p w:rsidR="00AC12B4" w:rsidRDefault="00C27636">
            <w:pPr>
              <w:rPr>
                <w:sz w:val="20"/>
                <w:szCs w:val="20"/>
              </w:rPr>
            </w:pPr>
            <w:r>
              <w:rPr>
                <w:rFonts w:ascii="Calibri" w:eastAsia="Calibri" w:hAnsi="Calibri" w:cs="Calibri"/>
              </w:rPr>
              <w:t>dispositifs</w:t>
            </w:r>
          </w:p>
        </w:tc>
        <w:tc>
          <w:tcPr>
            <w:tcW w:w="900" w:type="dxa"/>
            <w:gridSpan w:val="3"/>
            <w:vMerge w:val="restart"/>
            <w:vAlign w:val="bottom"/>
          </w:tcPr>
          <w:p w:rsidR="00AC12B4" w:rsidRDefault="00C27636">
            <w:pPr>
              <w:ind w:left="20"/>
              <w:rPr>
                <w:sz w:val="20"/>
                <w:szCs w:val="20"/>
              </w:rPr>
            </w:pPr>
            <w:r>
              <w:rPr>
                <w:rFonts w:ascii="Calibri" w:eastAsia="Calibri" w:hAnsi="Calibri" w:cs="Calibri"/>
              </w:rPr>
              <w:t>d’accueil</w:t>
            </w:r>
          </w:p>
        </w:tc>
        <w:tc>
          <w:tcPr>
            <w:tcW w:w="340" w:type="dxa"/>
            <w:gridSpan w:val="2"/>
            <w:vMerge w:val="restart"/>
            <w:vAlign w:val="bottom"/>
          </w:tcPr>
          <w:p w:rsidR="00AC12B4" w:rsidRDefault="00C27636">
            <w:pPr>
              <w:ind w:left="60"/>
              <w:rPr>
                <w:sz w:val="20"/>
                <w:szCs w:val="20"/>
              </w:rPr>
            </w:pPr>
            <w:r>
              <w:rPr>
                <w:rFonts w:ascii="Calibri" w:eastAsia="Calibri" w:hAnsi="Calibri" w:cs="Calibri"/>
              </w:rPr>
              <w:t>et</w:t>
            </w:r>
          </w:p>
        </w:tc>
        <w:tc>
          <w:tcPr>
            <w:tcW w:w="440" w:type="dxa"/>
            <w:vMerge w:val="restart"/>
            <w:vAlign w:val="bottom"/>
          </w:tcPr>
          <w:p w:rsidR="00AC12B4" w:rsidRDefault="00C27636">
            <w:pPr>
              <w:ind w:right="22"/>
              <w:jc w:val="right"/>
              <w:rPr>
                <w:sz w:val="20"/>
                <w:szCs w:val="20"/>
              </w:rPr>
            </w:pPr>
            <w:r>
              <w:rPr>
                <w:rFonts w:ascii="Calibri" w:eastAsia="Calibri" w:hAnsi="Calibri" w:cs="Calibri"/>
              </w:rPr>
              <w:t>de</w:t>
            </w:r>
          </w:p>
        </w:tc>
        <w:tc>
          <w:tcPr>
            <w:tcW w:w="1900" w:type="dxa"/>
            <w:gridSpan w:val="6"/>
            <w:vMerge w:val="restart"/>
            <w:vAlign w:val="bottom"/>
          </w:tcPr>
          <w:p w:rsidR="00AC12B4" w:rsidRDefault="00C27636">
            <w:pPr>
              <w:ind w:right="740"/>
              <w:jc w:val="right"/>
              <w:rPr>
                <w:sz w:val="20"/>
                <w:szCs w:val="20"/>
              </w:rPr>
            </w:pPr>
            <w:r>
              <w:rPr>
                <w:rFonts w:ascii="Calibri" w:eastAsia="Calibri" w:hAnsi="Calibri" w:cs="Calibri"/>
              </w:rPr>
              <w:t>scolarisation</w:t>
            </w:r>
          </w:p>
        </w:tc>
        <w:tc>
          <w:tcPr>
            <w:tcW w:w="0" w:type="dxa"/>
            <w:vAlign w:val="bottom"/>
          </w:tcPr>
          <w:p w:rsidR="00AC12B4" w:rsidRDefault="00AC12B4">
            <w:pPr>
              <w:rPr>
                <w:sz w:val="1"/>
                <w:szCs w:val="1"/>
              </w:rPr>
            </w:pPr>
          </w:p>
        </w:tc>
      </w:tr>
      <w:tr w:rsidR="00AC12B4">
        <w:trPr>
          <w:trHeight w:val="58"/>
        </w:trPr>
        <w:tc>
          <w:tcPr>
            <w:tcW w:w="1100" w:type="dxa"/>
            <w:gridSpan w:val="3"/>
            <w:vMerge w:val="restart"/>
            <w:vAlign w:val="bottom"/>
          </w:tcPr>
          <w:p w:rsidR="00AC12B4" w:rsidRDefault="00C27636">
            <w:pPr>
              <w:spacing w:line="258" w:lineRule="exact"/>
              <w:rPr>
                <w:sz w:val="20"/>
                <w:szCs w:val="20"/>
              </w:rPr>
            </w:pPr>
            <w:r>
              <w:rPr>
                <w:rFonts w:ascii="Calibri" w:eastAsia="Calibri" w:hAnsi="Calibri" w:cs="Calibri"/>
              </w:rPr>
              <w:lastRenderedPageBreak/>
              <w:t>Manouches</w:t>
            </w:r>
          </w:p>
        </w:tc>
        <w:tc>
          <w:tcPr>
            <w:tcW w:w="720" w:type="dxa"/>
            <w:gridSpan w:val="3"/>
            <w:vMerge w:val="restart"/>
            <w:vAlign w:val="bottom"/>
          </w:tcPr>
          <w:p w:rsidR="00AC12B4" w:rsidRDefault="00C27636">
            <w:pPr>
              <w:spacing w:line="258" w:lineRule="exact"/>
              <w:jc w:val="right"/>
              <w:rPr>
                <w:sz w:val="20"/>
                <w:szCs w:val="20"/>
              </w:rPr>
            </w:pPr>
            <w:r>
              <w:rPr>
                <w:rFonts w:ascii="Calibri" w:eastAsia="Calibri" w:hAnsi="Calibri" w:cs="Calibri"/>
              </w:rPr>
              <w:t>(30%)</w:t>
            </w:r>
          </w:p>
        </w:tc>
        <w:tc>
          <w:tcPr>
            <w:tcW w:w="420" w:type="dxa"/>
            <w:vMerge w:val="restart"/>
            <w:vAlign w:val="bottom"/>
          </w:tcPr>
          <w:p w:rsidR="00AC12B4" w:rsidRDefault="00C27636">
            <w:pPr>
              <w:spacing w:line="258" w:lineRule="exact"/>
              <w:jc w:val="right"/>
              <w:rPr>
                <w:sz w:val="20"/>
                <w:szCs w:val="20"/>
              </w:rPr>
            </w:pPr>
            <w:r>
              <w:rPr>
                <w:rFonts w:ascii="Calibri" w:eastAsia="Calibri" w:hAnsi="Calibri" w:cs="Calibri"/>
              </w:rPr>
              <w:t>et</w:t>
            </w:r>
          </w:p>
        </w:tc>
        <w:tc>
          <w:tcPr>
            <w:tcW w:w="560" w:type="dxa"/>
            <w:gridSpan w:val="2"/>
            <w:vMerge w:val="restart"/>
            <w:vAlign w:val="bottom"/>
          </w:tcPr>
          <w:p w:rsidR="00AC12B4" w:rsidRDefault="00C27636">
            <w:pPr>
              <w:spacing w:line="258" w:lineRule="exact"/>
              <w:ind w:left="220"/>
              <w:rPr>
                <w:sz w:val="20"/>
                <w:szCs w:val="20"/>
              </w:rPr>
            </w:pPr>
            <w:r>
              <w:rPr>
                <w:rFonts w:ascii="Calibri" w:eastAsia="Calibri" w:hAnsi="Calibri" w:cs="Calibri"/>
              </w:rPr>
              <w:t>les</w:t>
            </w:r>
          </w:p>
        </w:tc>
        <w:tc>
          <w:tcPr>
            <w:tcW w:w="80" w:type="dxa"/>
            <w:vAlign w:val="bottom"/>
          </w:tcPr>
          <w:p w:rsidR="00AC12B4" w:rsidRDefault="00AC12B4">
            <w:pPr>
              <w:rPr>
                <w:sz w:val="5"/>
                <w:szCs w:val="5"/>
              </w:rPr>
            </w:pPr>
          </w:p>
        </w:tc>
        <w:tc>
          <w:tcPr>
            <w:tcW w:w="1240" w:type="dxa"/>
            <w:gridSpan w:val="5"/>
            <w:vMerge w:val="restart"/>
            <w:vAlign w:val="bottom"/>
          </w:tcPr>
          <w:p w:rsidR="00AC12B4" w:rsidRDefault="00C27636">
            <w:pPr>
              <w:spacing w:line="258" w:lineRule="exact"/>
              <w:ind w:right="240"/>
              <w:jc w:val="right"/>
              <w:rPr>
                <w:sz w:val="20"/>
                <w:szCs w:val="20"/>
              </w:rPr>
            </w:pPr>
            <w:r>
              <w:rPr>
                <w:rFonts w:ascii="Calibri" w:eastAsia="Calibri" w:hAnsi="Calibri" w:cs="Calibri"/>
              </w:rPr>
              <w:t>Voyageurs</w:t>
            </w:r>
          </w:p>
        </w:tc>
        <w:tc>
          <w:tcPr>
            <w:tcW w:w="480" w:type="dxa"/>
            <w:vAlign w:val="bottom"/>
          </w:tcPr>
          <w:p w:rsidR="00AC12B4" w:rsidRDefault="00AC12B4">
            <w:pPr>
              <w:rPr>
                <w:sz w:val="5"/>
                <w:szCs w:val="5"/>
              </w:rPr>
            </w:pPr>
          </w:p>
        </w:tc>
        <w:tc>
          <w:tcPr>
            <w:tcW w:w="1040" w:type="dxa"/>
            <w:gridSpan w:val="4"/>
            <w:vMerge/>
            <w:vAlign w:val="bottom"/>
          </w:tcPr>
          <w:p w:rsidR="00AC12B4" w:rsidRDefault="00AC12B4">
            <w:pPr>
              <w:rPr>
                <w:sz w:val="5"/>
                <w:szCs w:val="5"/>
              </w:rPr>
            </w:pPr>
          </w:p>
        </w:tc>
        <w:tc>
          <w:tcPr>
            <w:tcW w:w="900" w:type="dxa"/>
            <w:gridSpan w:val="3"/>
            <w:vMerge/>
            <w:vAlign w:val="bottom"/>
          </w:tcPr>
          <w:p w:rsidR="00AC12B4" w:rsidRDefault="00AC12B4">
            <w:pPr>
              <w:rPr>
                <w:sz w:val="5"/>
                <w:szCs w:val="5"/>
              </w:rPr>
            </w:pPr>
          </w:p>
        </w:tc>
        <w:tc>
          <w:tcPr>
            <w:tcW w:w="340" w:type="dxa"/>
            <w:gridSpan w:val="2"/>
            <w:vMerge/>
            <w:vAlign w:val="bottom"/>
          </w:tcPr>
          <w:p w:rsidR="00AC12B4" w:rsidRDefault="00AC12B4">
            <w:pPr>
              <w:rPr>
                <w:sz w:val="5"/>
                <w:szCs w:val="5"/>
              </w:rPr>
            </w:pPr>
          </w:p>
        </w:tc>
        <w:tc>
          <w:tcPr>
            <w:tcW w:w="440" w:type="dxa"/>
            <w:vMerge/>
            <w:vAlign w:val="bottom"/>
          </w:tcPr>
          <w:p w:rsidR="00AC12B4" w:rsidRDefault="00AC12B4">
            <w:pPr>
              <w:rPr>
                <w:sz w:val="5"/>
                <w:szCs w:val="5"/>
              </w:rPr>
            </w:pPr>
          </w:p>
        </w:tc>
        <w:tc>
          <w:tcPr>
            <w:tcW w:w="1900" w:type="dxa"/>
            <w:gridSpan w:val="6"/>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200"/>
        </w:trPr>
        <w:tc>
          <w:tcPr>
            <w:tcW w:w="1100" w:type="dxa"/>
            <w:gridSpan w:val="3"/>
            <w:vMerge/>
            <w:vAlign w:val="bottom"/>
          </w:tcPr>
          <w:p w:rsidR="00AC12B4" w:rsidRDefault="00AC12B4">
            <w:pPr>
              <w:rPr>
                <w:sz w:val="17"/>
                <w:szCs w:val="17"/>
              </w:rPr>
            </w:pPr>
          </w:p>
        </w:tc>
        <w:tc>
          <w:tcPr>
            <w:tcW w:w="720" w:type="dxa"/>
            <w:gridSpan w:val="3"/>
            <w:vMerge/>
            <w:vAlign w:val="bottom"/>
          </w:tcPr>
          <w:p w:rsidR="00AC12B4" w:rsidRDefault="00AC12B4">
            <w:pPr>
              <w:rPr>
                <w:sz w:val="17"/>
                <w:szCs w:val="17"/>
              </w:rPr>
            </w:pPr>
          </w:p>
        </w:tc>
        <w:tc>
          <w:tcPr>
            <w:tcW w:w="420" w:type="dxa"/>
            <w:vMerge/>
            <w:vAlign w:val="bottom"/>
          </w:tcPr>
          <w:p w:rsidR="00AC12B4" w:rsidRDefault="00AC12B4">
            <w:pPr>
              <w:rPr>
                <w:sz w:val="17"/>
                <w:szCs w:val="17"/>
              </w:rPr>
            </w:pPr>
          </w:p>
        </w:tc>
        <w:tc>
          <w:tcPr>
            <w:tcW w:w="560" w:type="dxa"/>
            <w:gridSpan w:val="2"/>
            <w:vMerge/>
            <w:vAlign w:val="bottom"/>
          </w:tcPr>
          <w:p w:rsidR="00AC12B4" w:rsidRDefault="00AC12B4">
            <w:pPr>
              <w:rPr>
                <w:sz w:val="17"/>
                <w:szCs w:val="17"/>
              </w:rPr>
            </w:pPr>
          </w:p>
        </w:tc>
        <w:tc>
          <w:tcPr>
            <w:tcW w:w="80" w:type="dxa"/>
            <w:vAlign w:val="bottom"/>
          </w:tcPr>
          <w:p w:rsidR="00AC12B4" w:rsidRDefault="00AC12B4">
            <w:pPr>
              <w:rPr>
                <w:sz w:val="17"/>
                <w:szCs w:val="17"/>
              </w:rPr>
            </w:pPr>
          </w:p>
        </w:tc>
        <w:tc>
          <w:tcPr>
            <w:tcW w:w="1240" w:type="dxa"/>
            <w:gridSpan w:val="5"/>
            <w:vMerge/>
            <w:vAlign w:val="bottom"/>
          </w:tcPr>
          <w:p w:rsidR="00AC12B4" w:rsidRDefault="00AC12B4">
            <w:pPr>
              <w:rPr>
                <w:sz w:val="17"/>
                <w:szCs w:val="17"/>
              </w:rPr>
            </w:pPr>
          </w:p>
        </w:tc>
        <w:tc>
          <w:tcPr>
            <w:tcW w:w="480" w:type="dxa"/>
            <w:vAlign w:val="bottom"/>
          </w:tcPr>
          <w:p w:rsidR="00AC12B4" w:rsidRDefault="00AC12B4">
            <w:pPr>
              <w:rPr>
                <w:sz w:val="17"/>
                <w:szCs w:val="17"/>
              </w:rPr>
            </w:pPr>
          </w:p>
        </w:tc>
        <w:tc>
          <w:tcPr>
            <w:tcW w:w="480" w:type="dxa"/>
            <w:gridSpan w:val="2"/>
            <w:vMerge w:val="restart"/>
            <w:vAlign w:val="bottom"/>
          </w:tcPr>
          <w:p w:rsidR="00AC12B4" w:rsidRDefault="00C27636">
            <w:pPr>
              <w:rPr>
                <w:sz w:val="20"/>
                <w:szCs w:val="20"/>
              </w:rPr>
            </w:pPr>
            <w:r>
              <w:rPr>
                <w:rFonts w:ascii="Calibri" w:eastAsia="Calibri" w:hAnsi="Calibri" w:cs="Calibri"/>
              </w:rPr>
              <w:t>pour</w:t>
            </w:r>
          </w:p>
        </w:tc>
        <w:tc>
          <w:tcPr>
            <w:tcW w:w="900" w:type="dxa"/>
            <w:gridSpan w:val="3"/>
            <w:vMerge w:val="restart"/>
            <w:vAlign w:val="bottom"/>
          </w:tcPr>
          <w:p w:rsidR="00AC12B4" w:rsidRDefault="00C27636">
            <w:pPr>
              <w:ind w:left="25"/>
              <w:jc w:val="center"/>
              <w:rPr>
                <w:sz w:val="20"/>
                <w:szCs w:val="20"/>
              </w:rPr>
            </w:pPr>
            <w:r>
              <w:rPr>
                <w:rFonts w:ascii="Calibri" w:eastAsia="Calibri" w:hAnsi="Calibri" w:cs="Calibri"/>
              </w:rPr>
              <w:t>enfants</w:t>
            </w:r>
          </w:p>
        </w:tc>
        <w:tc>
          <w:tcPr>
            <w:tcW w:w="140" w:type="dxa"/>
            <w:vAlign w:val="bottom"/>
          </w:tcPr>
          <w:p w:rsidR="00AC12B4" w:rsidRDefault="00AC12B4">
            <w:pPr>
              <w:rPr>
                <w:sz w:val="17"/>
                <w:szCs w:val="17"/>
              </w:rPr>
            </w:pPr>
          </w:p>
        </w:tc>
        <w:tc>
          <w:tcPr>
            <w:tcW w:w="1660" w:type="dxa"/>
            <w:gridSpan w:val="6"/>
            <w:vMerge w:val="restart"/>
            <w:vAlign w:val="bottom"/>
          </w:tcPr>
          <w:p w:rsidR="00AC12B4" w:rsidRDefault="00C27636">
            <w:pPr>
              <w:ind w:right="200"/>
              <w:jc w:val="right"/>
              <w:rPr>
                <w:sz w:val="20"/>
                <w:szCs w:val="20"/>
              </w:rPr>
            </w:pPr>
            <w:r>
              <w:rPr>
                <w:rFonts w:ascii="Calibri" w:eastAsia="Calibri" w:hAnsi="Calibri" w:cs="Calibri"/>
              </w:rPr>
              <w:t>primo-arrivants</w:t>
            </w:r>
          </w:p>
        </w:tc>
        <w:tc>
          <w:tcPr>
            <w:tcW w:w="280" w:type="dxa"/>
            <w:gridSpan w:val="2"/>
            <w:vMerge w:val="restart"/>
            <w:vAlign w:val="bottom"/>
          </w:tcPr>
          <w:p w:rsidR="00AC12B4" w:rsidRDefault="00C27636">
            <w:pPr>
              <w:ind w:left="40"/>
              <w:rPr>
                <w:sz w:val="20"/>
                <w:szCs w:val="20"/>
              </w:rPr>
            </w:pPr>
            <w:r>
              <w:rPr>
                <w:rFonts w:ascii="Calibri" w:eastAsia="Calibri" w:hAnsi="Calibri" w:cs="Calibri"/>
              </w:rPr>
              <w:t>et</w:t>
            </w:r>
          </w:p>
        </w:tc>
        <w:tc>
          <w:tcPr>
            <w:tcW w:w="1160" w:type="dxa"/>
            <w:gridSpan w:val="2"/>
            <w:vMerge w:val="restart"/>
            <w:vAlign w:val="bottom"/>
          </w:tcPr>
          <w:p w:rsidR="00AC12B4" w:rsidRDefault="00C27636">
            <w:pPr>
              <w:ind w:right="740"/>
              <w:jc w:val="right"/>
              <w:rPr>
                <w:sz w:val="20"/>
                <w:szCs w:val="20"/>
              </w:rPr>
            </w:pPr>
            <w:r>
              <w:rPr>
                <w:rFonts w:ascii="Calibri" w:eastAsia="Calibri" w:hAnsi="Calibri" w:cs="Calibri"/>
              </w:rPr>
              <w:t>de</w:t>
            </w:r>
          </w:p>
        </w:tc>
        <w:tc>
          <w:tcPr>
            <w:tcW w:w="0" w:type="dxa"/>
            <w:vAlign w:val="bottom"/>
          </w:tcPr>
          <w:p w:rsidR="00AC12B4" w:rsidRDefault="00AC12B4">
            <w:pPr>
              <w:rPr>
                <w:sz w:val="1"/>
                <w:szCs w:val="1"/>
              </w:rPr>
            </w:pPr>
          </w:p>
        </w:tc>
      </w:tr>
      <w:tr w:rsidR="00AC12B4">
        <w:trPr>
          <w:trHeight w:val="69"/>
        </w:trPr>
        <w:tc>
          <w:tcPr>
            <w:tcW w:w="1100" w:type="dxa"/>
            <w:gridSpan w:val="3"/>
            <w:vMerge w:val="restart"/>
            <w:vAlign w:val="bottom"/>
          </w:tcPr>
          <w:p w:rsidR="00AC12B4" w:rsidRDefault="00C27636">
            <w:pPr>
              <w:spacing w:line="283" w:lineRule="exact"/>
              <w:rPr>
                <w:sz w:val="20"/>
                <w:szCs w:val="20"/>
              </w:rPr>
            </w:pPr>
            <w:r>
              <w:rPr>
                <w:rFonts w:ascii="Calibri" w:eastAsia="Calibri" w:hAnsi="Calibri" w:cs="Calibri"/>
              </w:rPr>
              <w:t>(19%))</w:t>
            </w:r>
            <w:r>
              <w:rPr>
                <w:rFonts w:ascii="Arial" w:eastAsia="Arial" w:hAnsi="Arial" w:cs="Arial"/>
                <w:sz w:val="27"/>
                <w:szCs w:val="27"/>
                <w:vertAlign w:val="superscript"/>
              </w:rPr>
              <w:t>10</w:t>
            </w:r>
            <w:r>
              <w:rPr>
                <w:rFonts w:ascii="Calibri" w:eastAsia="Calibri" w:hAnsi="Calibri" w:cs="Calibri"/>
              </w:rPr>
              <w:t>.</w:t>
            </w:r>
          </w:p>
        </w:tc>
        <w:tc>
          <w:tcPr>
            <w:tcW w:w="220" w:type="dxa"/>
            <w:vAlign w:val="bottom"/>
          </w:tcPr>
          <w:p w:rsidR="00AC12B4" w:rsidRDefault="00AC12B4">
            <w:pPr>
              <w:rPr>
                <w:sz w:val="5"/>
                <w:szCs w:val="5"/>
              </w:rPr>
            </w:pPr>
          </w:p>
        </w:tc>
        <w:tc>
          <w:tcPr>
            <w:tcW w:w="220" w:type="dxa"/>
            <w:vAlign w:val="bottom"/>
          </w:tcPr>
          <w:p w:rsidR="00AC12B4" w:rsidRDefault="00AC12B4">
            <w:pPr>
              <w:rPr>
                <w:sz w:val="5"/>
                <w:szCs w:val="5"/>
              </w:rPr>
            </w:pPr>
          </w:p>
        </w:tc>
        <w:tc>
          <w:tcPr>
            <w:tcW w:w="28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500" w:type="dxa"/>
            <w:vAlign w:val="bottom"/>
          </w:tcPr>
          <w:p w:rsidR="00AC12B4" w:rsidRDefault="00AC12B4">
            <w:pPr>
              <w:rPr>
                <w:sz w:val="5"/>
                <w:szCs w:val="5"/>
              </w:rPr>
            </w:pPr>
          </w:p>
        </w:tc>
        <w:tc>
          <w:tcPr>
            <w:tcW w:w="6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28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480" w:type="dxa"/>
            <w:vAlign w:val="bottom"/>
          </w:tcPr>
          <w:p w:rsidR="00AC12B4" w:rsidRDefault="00AC12B4">
            <w:pPr>
              <w:rPr>
                <w:sz w:val="5"/>
                <w:szCs w:val="5"/>
              </w:rPr>
            </w:pPr>
          </w:p>
        </w:tc>
        <w:tc>
          <w:tcPr>
            <w:tcW w:w="480" w:type="dxa"/>
            <w:gridSpan w:val="2"/>
            <w:vMerge/>
            <w:vAlign w:val="bottom"/>
          </w:tcPr>
          <w:p w:rsidR="00AC12B4" w:rsidRDefault="00AC12B4">
            <w:pPr>
              <w:rPr>
                <w:sz w:val="5"/>
                <w:szCs w:val="5"/>
              </w:rPr>
            </w:pPr>
          </w:p>
        </w:tc>
        <w:tc>
          <w:tcPr>
            <w:tcW w:w="900" w:type="dxa"/>
            <w:gridSpan w:val="3"/>
            <w:vMerge/>
            <w:vAlign w:val="bottom"/>
          </w:tcPr>
          <w:p w:rsidR="00AC12B4" w:rsidRDefault="00AC12B4">
            <w:pPr>
              <w:rPr>
                <w:sz w:val="5"/>
                <w:szCs w:val="5"/>
              </w:rPr>
            </w:pPr>
          </w:p>
        </w:tc>
        <w:tc>
          <w:tcPr>
            <w:tcW w:w="140" w:type="dxa"/>
            <w:vAlign w:val="bottom"/>
          </w:tcPr>
          <w:p w:rsidR="00AC12B4" w:rsidRDefault="00AC12B4">
            <w:pPr>
              <w:rPr>
                <w:sz w:val="5"/>
                <w:szCs w:val="5"/>
              </w:rPr>
            </w:pPr>
          </w:p>
        </w:tc>
        <w:tc>
          <w:tcPr>
            <w:tcW w:w="1660" w:type="dxa"/>
            <w:gridSpan w:val="6"/>
            <w:vMerge/>
            <w:vAlign w:val="bottom"/>
          </w:tcPr>
          <w:p w:rsidR="00AC12B4" w:rsidRDefault="00AC12B4">
            <w:pPr>
              <w:rPr>
                <w:sz w:val="5"/>
                <w:szCs w:val="5"/>
              </w:rPr>
            </w:pPr>
          </w:p>
        </w:tc>
        <w:tc>
          <w:tcPr>
            <w:tcW w:w="280" w:type="dxa"/>
            <w:gridSpan w:val="2"/>
            <w:vMerge/>
            <w:vAlign w:val="bottom"/>
          </w:tcPr>
          <w:p w:rsidR="00AC12B4" w:rsidRDefault="00AC12B4">
            <w:pPr>
              <w:rPr>
                <w:sz w:val="5"/>
                <w:szCs w:val="5"/>
              </w:rPr>
            </w:pPr>
          </w:p>
        </w:tc>
        <w:tc>
          <w:tcPr>
            <w:tcW w:w="1160" w:type="dxa"/>
            <w:gridSpan w:val="2"/>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215"/>
        </w:trPr>
        <w:tc>
          <w:tcPr>
            <w:tcW w:w="1100" w:type="dxa"/>
            <w:gridSpan w:val="3"/>
            <w:vMerge/>
            <w:vAlign w:val="bottom"/>
          </w:tcPr>
          <w:p w:rsidR="00AC12B4" w:rsidRDefault="00AC12B4">
            <w:pPr>
              <w:rPr>
                <w:sz w:val="18"/>
                <w:szCs w:val="18"/>
              </w:rPr>
            </w:pPr>
          </w:p>
        </w:tc>
        <w:tc>
          <w:tcPr>
            <w:tcW w:w="220" w:type="dxa"/>
            <w:vAlign w:val="bottom"/>
          </w:tcPr>
          <w:p w:rsidR="00AC12B4" w:rsidRDefault="00AC12B4">
            <w:pPr>
              <w:rPr>
                <w:sz w:val="18"/>
                <w:szCs w:val="18"/>
              </w:rPr>
            </w:pPr>
          </w:p>
        </w:tc>
        <w:tc>
          <w:tcPr>
            <w:tcW w:w="220" w:type="dxa"/>
            <w:vAlign w:val="bottom"/>
          </w:tcPr>
          <w:p w:rsidR="00AC12B4" w:rsidRDefault="00AC12B4">
            <w:pPr>
              <w:rPr>
                <w:sz w:val="18"/>
                <w:szCs w:val="18"/>
              </w:rPr>
            </w:pPr>
          </w:p>
        </w:tc>
        <w:tc>
          <w:tcPr>
            <w:tcW w:w="280" w:type="dxa"/>
            <w:vAlign w:val="bottom"/>
          </w:tcPr>
          <w:p w:rsidR="00AC12B4" w:rsidRDefault="00AC12B4">
            <w:pPr>
              <w:rPr>
                <w:sz w:val="18"/>
                <w:szCs w:val="18"/>
              </w:rPr>
            </w:pPr>
          </w:p>
        </w:tc>
        <w:tc>
          <w:tcPr>
            <w:tcW w:w="420" w:type="dxa"/>
            <w:vAlign w:val="bottom"/>
          </w:tcPr>
          <w:p w:rsidR="00AC12B4" w:rsidRDefault="00AC12B4">
            <w:pPr>
              <w:rPr>
                <w:sz w:val="18"/>
                <w:szCs w:val="18"/>
              </w:rPr>
            </w:pPr>
          </w:p>
        </w:tc>
        <w:tc>
          <w:tcPr>
            <w:tcW w:w="500" w:type="dxa"/>
            <w:vAlign w:val="bottom"/>
          </w:tcPr>
          <w:p w:rsidR="00AC12B4" w:rsidRDefault="00AC12B4">
            <w:pPr>
              <w:rPr>
                <w:sz w:val="18"/>
                <w:szCs w:val="18"/>
              </w:rPr>
            </w:pPr>
          </w:p>
        </w:tc>
        <w:tc>
          <w:tcPr>
            <w:tcW w:w="60" w:type="dxa"/>
            <w:vAlign w:val="bottom"/>
          </w:tcPr>
          <w:p w:rsidR="00AC12B4" w:rsidRDefault="00AC12B4">
            <w:pPr>
              <w:rPr>
                <w:sz w:val="18"/>
                <w:szCs w:val="18"/>
              </w:rPr>
            </w:pPr>
          </w:p>
        </w:tc>
        <w:tc>
          <w:tcPr>
            <w:tcW w:w="80" w:type="dxa"/>
            <w:vAlign w:val="bottom"/>
          </w:tcPr>
          <w:p w:rsidR="00AC12B4" w:rsidRDefault="00AC12B4">
            <w:pPr>
              <w:rPr>
                <w:sz w:val="18"/>
                <w:szCs w:val="18"/>
              </w:rPr>
            </w:pPr>
          </w:p>
        </w:tc>
        <w:tc>
          <w:tcPr>
            <w:tcW w:w="400" w:type="dxa"/>
            <w:vAlign w:val="bottom"/>
          </w:tcPr>
          <w:p w:rsidR="00AC12B4" w:rsidRDefault="00AC12B4">
            <w:pPr>
              <w:rPr>
                <w:sz w:val="18"/>
                <w:szCs w:val="18"/>
              </w:rPr>
            </w:pPr>
          </w:p>
        </w:tc>
        <w:tc>
          <w:tcPr>
            <w:tcW w:w="280" w:type="dxa"/>
            <w:vAlign w:val="bottom"/>
          </w:tcPr>
          <w:p w:rsidR="00AC12B4" w:rsidRDefault="00AC12B4">
            <w:pPr>
              <w:rPr>
                <w:sz w:val="18"/>
                <w:szCs w:val="18"/>
              </w:rPr>
            </w:pPr>
          </w:p>
        </w:tc>
        <w:tc>
          <w:tcPr>
            <w:tcW w:w="400" w:type="dxa"/>
            <w:vAlign w:val="bottom"/>
          </w:tcPr>
          <w:p w:rsidR="00AC12B4" w:rsidRDefault="00AC12B4">
            <w:pPr>
              <w:rPr>
                <w:sz w:val="18"/>
                <w:szCs w:val="18"/>
              </w:rPr>
            </w:pPr>
          </w:p>
        </w:tc>
        <w:tc>
          <w:tcPr>
            <w:tcW w:w="80" w:type="dxa"/>
            <w:vAlign w:val="bottom"/>
          </w:tcPr>
          <w:p w:rsidR="00AC12B4" w:rsidRDefault="00AC12B4">
            <w:pPr>
              <w:rPr>
                <w:sz w:val="18"/>
                <w:szCs w:val="18"/>
              </w:rPr>
            </w:pPr>
          </w:p>
        </w:tc>
        <w:tc>
          <w:tcPr>
            <w:tcW w:w="80" w:type="dxa"/>
            <w:vAlign w:val="bottom"/>
          </w:tcPr>
          <w:p w:rsidR="00AC12B4" w:rsidRDefault="00AC12B4">
            <w:pPr>
              <w:rPr>
                <w:sz w:val="18"/>
                <w:szCs w:val="18"/>
              </w:rPr>
            </w:pPr>
          </w:p>
        </w:tc>
        <w:tc>
          <w:tcPr>
            <w:tcW w:w="480" w:type="dxa"/>
            <w:vAlign w:val="bottom"/>
          </w:tcPr>
          <w:p w:rsidR="00AC12B4" w:rsidRDefault="00AC12B4">
            <w:pPr>
              <w:rPr>
                <w:sz w:val="18"/>
                <w:szCs w:val="18"/>
              </w:rPr>
            </w:pPr>
          </w:p>
        </w:tc>
        <w:tc>
          <w:tcPr>
            <w:tcW w:w="1380" w:type="dxa"/>
            <w:gridSpan w:val="5"/>
            <w:vMerge w:val="restart"/>
            <w:vAlign w:val="bottom"/>
          </w:tcPr>
          <w:p w:rsidR="00AC12B4" w:rsidRDefault="00C27636">
            <w:pPr>
              <w:rPr>
                <w:sz w:val="20"/>
                <w:szCs w:val="20"/>
              </w:rPr>
            </w:pPr>
            <w:r>
              <w:rPr>
                <w:rFonts w:ascii="Calibri" w:eastAsia="Calibri" w:hAnsi="Calibri" w:cs="Calibri"/>
                <w:w w:val="98"/>
              </w:rPr>
              <w:t>l’enseignement</w:t>
            </w:r>
          </w:p>
        </w:tc>
        <w:tc>
          <w:tcPr>
            <w:tcW w:w="140" w:type="dxa"/>
            <w:vAlign w:val="bottom"/>
          </w:tcPr>
          <w:p w:rsidR="00AC12B4" w:rsidRDefault="00AC12B4">
            <w:pPr>
              <w:rPr>
                <w:sz w:val="18"/>
                <w:szCs w:val="18"/>
              </w:rPr>
            </w:pPr>
          </w:p>
        </w:tc>
        <w:tc>
          <w:tcPr>
            <w:tcW w:w="3100" w:type="dxa"/>
            <w:gridSpan w:val="10"/>
            <w:vMerge w:val="restart"/>
            <w:vAlign w:val="bottom"/>
          </w:tcPr>
          <w:p w:rsidR="00AC12B4" w:rsidRDefault="00C27636">
            <w:pPr>
              <w:ind w:right="760"/>
              <w:jc w:val="right"/>
              <w:rPr>
                <w:sz w:val="20"/>
                <w:szCs w:val="20"/>
              </w:rPr>
            </w:pPr>
            <w:r>
              <w:rPr>
                <w:rFonts w:ascii="Calibri" w:eastAsia="Calibri" w:hAnsi="Calibri" w:cs="Calibri"/>
              </w:rPr>
              <w:t>secondaire  professionnel</w:t>
            </w:r>
          </w:p>
        </w:tc>
        <w:tc>
          <w:tcPr>
            <w:tcW w:w="0" w:type="dxa"/>
            <w:vAlign w:val="bottom"/>
          </w:tcPr>
          <w:p w:rsidR="00AC12B4" w:rsidRDefault="00AC12B4">
            <w:pPr>
              <w:rPr>
                <w:sz w:val="1"/>
                <w:szCs w:val="1"/>
              </w:rPr>
            </w:pPr>
          </w:p>
        </w:tc>
      </w:tr>
      <w:tr w:rsidR="00AC12B4">
        <w:trPr>
          <w:trHeight w:val="54"/>
        </w:trPr>
        <w:tc>
          <w:tcPr>
            <w:tcW w:w="40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52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500" w:type="dxa"/>
            <w:vAlign w:val="bottom"/>
          </w:tcPr>
          <w:p w:rsidR="00AC12B4" w:rsidRDefault="00AC12B4">
            <w:pPr>
              <w:rPr>
                <w:sz w:val="4"/>
                <w:szCs w:val="4"/>
              </w:rPr>
            </w:pPr>
          </w:p>
        </w:tc>
        <w:tc>
          <w:tcPr>
            <w:tcW w:w="6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1380" w:type="dxa"/>
            <w:gridSpan w:val="5"/>
            <w:vMerge/>
            <w:vAlign w:val="bottom"/>
          </w:tcPr>
          <w:p w:rsidR="00AC12B4" w:rsidRDefault="00AC12B4">
            <w:pPr>
              <w:rPr>
                <w:sz w:val="4"/>
                <w:szCs w:val="4"/>
              </w:rPr>
            </w:pPr>
          </w:p>
        </w:tc>
        <w:tc>
          <w:tcPr>
            <w:tcW w:w="140" w:type="dxa"/>
            <w:vAlign w:val="bottom"/>
          </w:tcPr>
          <w:p w:rsidR="00AC12B4" w:rsidRDefault="00AC12B4">
            <w:pPr>
              <w:rPr>
                <w:sz w:val="4"/>
                <w:szCs w:val="4"/>
              </w:rPr>
            </w:pPr>
          </w:p>
        </w:tc>
        <w:tc>
          <w:tcPr>
            <w:tcW w:w="3100" w:type="dxa"/>
            <w:gridSpan w:val="10"/>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rsidRPr="00C27636">
        <w:trPr>
          <w:trHeight w:val="266"/>
        </w:trPr>
        <w:tc>
          <w:tcPr>
            <w:tcW w:w="40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50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40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40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4620" w:type="dxa"/>
            <w:gridSpan w:val="16"/>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(avant tout, ceux de l’enseignement en</w:t>
            </w:r>
          </w:p>
        </w:tc>
        <w:tc>
          <w:tcPr>
            <w:tcW w:w="0" w:type="dxa"/>
            <w:vAlign w:val="bottom"/>
          </w:tcPr>
          <w:p w:rsidR="00AC12B4" w:rsidRPr="00C27636" w:rsidRDefault="00AC12B4">
            <w:pPr>
              <w:rPr>
                <w:sz w:val="1"/>
                <w:szCs w:val="1"/>
                <w:lang w:val="fr-BE"/>
              </w:rPr>
            </w:pPr>
          </w:p>
        </w:tc>
      </w:tr>
      <w:tr w:rsidR="00AC12B4" w:rsidRPr="00C27636">
        <w:trPr>
          <w:trHeight w:val="157"/>
        </w:trPr>
        <w:tc>
          <w:tcPr>
            <w:tcW w:w="400" w:type="dxa"/>
            <w:tcBorders>
              <w:bottom w:val="single" w:sz="8" w:space="0" w:color="auto"/>
            </w:tcBorders>
            <w:vAlign w:val="bottom"/>
          </w:tcPr>
          <w:p w:rsidR="00AC12B4" w:rsidRPr="00C27636" w:rsidRDefault="00AC12B4">
            <w:pPr>
              <w:rPr>
                <w:sz w:val="13"/>
                <w:szCs w:val="13"/>
                <w:lang w:val="fr-BE"/>
              </w:rPr>
            </w:pPr>
          </w:p>
        </w:tc>
        <w:tc>
          <w:tcPr>
            <w:tcW w:w="180" w:type="dxa"/>
            <w:tcBorders>
              <w:bottom w:val="single" w:sz="8" w:space="0" w:color="auto"/>
            </w:tcBorders>
            <w:vAlign w:val="bottom"/>
          </w:tcPr>
          <w:p w:rsidR="00AC12B4" w:rsidRPr="00C27636" w:rsidRDefault="00AC12B4">
            <w:pPr>
              <w:rPr>
                <w:sz w:val="13"/>
                <w:szCs w:val="13"/>
                <w:lang w:val="fr-BE"/>
              </w:rPr>
            </w:pPr>
          </w:p>
        </w:tc>
        <w:tc>
          <w:tcPr>
            <w:tcW w:w="520" w:type="dxa"/>
            <w:tcBorders>
              <w:bottom w:val="single" w:sz="8" w:space="0" w:color="auto"/>
            </w:tcBorders>
            <w:vAlign w:val="bottom"/>
          </w:tcPr>
          <w:p w:rsidR="00AC12B4" w:rsidRPr="00C27636" w:rsidRDefault="00AC12B4">
            <w:pPr>
              <w:rPr>
                <w:sz w:val="13"/>
                <w:szCs w:val="13"/>
                <w:lang w:val="fr-BE"/>
              </w:rPr>
            </w:pPr>
          </w:p>
        </w:tc>
        <w:tc>
          <w:tcPr>
            <w:tcW w:w="220" w:type="dxa"/>
            <w:tcBorders>
              <w:bottom w:val="single" w:sz="8" w:space="0" w:color="auto"/>
            </w:tcBorders>
            <w:vAlign w:val="bottom"/>
          </w:tcPr>
          <w:p w:rsidR="00AC12B4" w:rsidRPr="00C27636" w:rsidRDefault="00AC12B4">
            <w:pPr>
              <w:rPr>
                <w:sz w:val="13"/>
                <w:szCs w:val="13"/>
                <w:lang w:val="fr-BE"/>
              </w:rPr>
            </w:pPr>
          </w:p>
        </w:tc>
        <w:tc>
          <w:tcPr>
            <w:tcW w:w="220" w:type="dxa"/>
            <w:tcBorders>
              <w:bottom w:val="single" w:sz="8" w:space="0" w:color="auto"/>
            </w:tcBorders>
            <w:vAlign w:val="bottom"/>
          </w:tcPr>
          <w:p w:rsidR="00AC12B4" w:rsidRPr="00C27636" w:rsidRDefault="00AC12B4">
            <w:pPr>
              <w:rPr>
                <w:sz w:val="13"/>
                <w:szCs w:val="13"/>
                <w:lang w:val="fr-BE"/>
              </w:rPr>
            </w:pPr>
          </w:p>
        </w:tc>
        <w:tc>
          <w:tcPr>
            <w:tcW w:w="280" w:type="dxa"/>
            <w:tcBorders>
              <w:bottom w:val="single" w:sz="8" w:space="0" w:color="auto"/>
            </w:tcBorders>
            <w:vAlign w:val="bottom"/>
          </w:tcPr>
          <w:p w:rsidR="00AC12B4" w:rsidRPr="00C27636" w:rsidRDefault="00AC12B4">
            <w:pPr>
              <w:rPr>
                <w:sz w:val="13"/>
                <w:szCs w:val="13"/>
                <w:lang w:val="fr-BE"/>
              </w:rPr>
            </w:pPr>
          </w:p>
        </w:tc>
        <w:tc>
          <w:tcPr>
            <w:tcW w:w="420" w:type="dxa"/>
            <w:tcBorders>
              <w:bottom w:val="single" w:sz="8" w:space="0" w:color="auto"/>
            </w:tcBorders>
            <w:vAlign w:val="bottom"/>
          </w:tcPr>
          <w:p w:rsidR="00AC12B4" w:rsidRPr="00C27636" w:rsidRDefault="00AC12B4">
            <w:pPr>
              <w:rPr>
                <w:sz w:val="13"/>
                <w:szCs w:val="13"/>
                <w:lang w:val="fr-BE"/>
              </w:rPr>
            </w:pPr>
          </w:p>
        </w:tc>
        <w:tc>
          <w:tcPr>
            <w:tcW w:w="500" w:type="dxa"/>
            <w:tcBorders>
              <w:bottom w:val="single" w:sz="8" w:space="0" w:color="auto"/>
            </w:tcBorders>
            <w:vAlign w:val="bottom"/>
          </w:tcPr>
          <w:p w:rsidR="00AC12B4" w:rsidRPr="00C27636" w:rsidRDefault="00AC12B4">
            <w:pPr>
              <w:rPr>
                <w:sz w:val="13"/>
                <w:szCs w:val="13"/>
                <w:lang w:val="fr-BE"/>
              </w:rPr>
            </w:pPr>
          </w:p>
        </w:tc>
        <w:tc>
          <w:tcPr>
            <w:tcW w:w="60" w:type="dxa"/>
            <w:tcBorders>
              <w:bottom w:val="single" w:sz="8" w:space="0" w:color="auto"/>
            </w:tcBorders>
            <w:vAlign w:val="bottom"/>
          </w:tcPr>
          <w:p w:rsidR="00AC12B4" w:rsidRPr="00C27636" w:rsidRDefault="00AC12B4">
            <w:pPr>
              <w:rPr>
                <w:sz w:val="13"/>
                <w:szCs w:val="13"/>
                <w:lang w:val="fr-BE"/>
              </w:rPr>
            </w:pPr>
          </w:p>
        </w:tc>
        <w:tc>
          <w:tcPr>
            <w:tcW w:w="80" w:type="dxa"/>
            <w:tcBorders>
              <w:bottom w:val="single" w:sz="8" w:space="0" w:color="auto"/>
            </w:tcBorders>
            <w:vAlign w:val="bottom"/>
          </w:tcPr>
          <w:p w:rsidR="00AC12B4" w:rsidRPr="00C27636" w:rsidRDefault="00AC12B4">
            <w:pPr>
              <w:rPr>
                <w:sz w:val="13"/>
                <w:szCs w:val="13"/>
                <w:lang w:val="fr-BE"/>
              </w:rPr>
            </w:pPr>
          </w:p>
        </w:tc>
        <w:tc>
          <w:tcPr>
            <w:tcW w:w="400" w:type="dxa"/>
            <w:vAlign w:val="bottom"/>
          </w:tcPr>
          <w:p w:rsidR="00AC12B4" w:rsidRPr="00C27636" w:rsidRDefault="00AC12B4">
            <w:pPr>
              <w:rPr>
                <w:sz w:val="13"/>
                <w:szCs w:val="13"/>
                <w:lang w:val="fr-BE"/>
              </w:rPr>
            </w:pPr>
          </w:p>
        </w:tc>
        <w:tc>
          <w:tcPr>
            <w:tcW w:w="280" w:type="dxa"/>
            <w:vAlign w:val="bottom"/>
          </w:tcPr>
          <w:p w:rsidR="00AC12B4" w:rsidRPr="00C27636" w:rsidRDefault="00AC12B4">
            <w:pPr>
              <w:rPr>
                <w:sz w:val="13"/>
                <w:szCs w:val="13"/>
                <w:lang w:val="fr-BE"/>
              </w:rPr>
            </w:pPr>
          </w:p>
        </w:tc>
        <w:tc>
          <w:tcPr>
            <w:tcW w:w="400" w:type="dxa"/>
            <w:vAlign w:val="bottom"/>
          </w:tcPr>
          <w:p w:rsidR="00AC12B4" w:rsidRPr="00C27636" w:rsidRDefault="00AC12B4">
            <w:pPr>
              <w:rPr>
                <w:sz w:val="13"/>
                <w:szCs w:val="13"/>
                <w:lang w:val="fr-BE"/>
              </w:rPr>
            </w:pPr>
          </w:p>
        </w:tc>
        <w:tc>
          <w:tcPr>
            <w:tcW w:w="80" w:type="dxa"/>
            <w:vAlign w:val="bottom"/>
          </w:tcPr>
          <w:p w:rsidR="00AC12B4" w:rsidRPr="00C27636" w:rsidRDefault="00AC12B4">
            <w:pPr>
              <w:rPr>
                <w:sz w:val="13"/>
                <w:szCs w:val="13"/>
                <w:lang w:val="fr-BE"/>
              </w:rPr>
            </w:pPr>
          </w:p>
        </w:tc>
        <w:tc>
          <w:tcPr>
            <w:tcW w:w="80" w:type="dxa"/>
            <w:vAlign w:val="bottom"/>
          </w:tcPr>
          <w:p w:rsidR="00AC12B4" w:rsidRPr="00C27636" w:rsidRDefault="00AC12B4">
            <w:pPr>
              <w:rPr>
                <w:sz w:val="13"/>
                <w:szCs w:val="13"/>
                <w:lang w:val="fr-BE"/>
              </w:rPr>
            </w:pPr>
          </w:p>
        </w:tc>
        <w:tc>
          <w:tcPr>
            <w:tcW w:w="480" w:type="dxa"/>
            <w:vMerge w:val="restart"/>
            <w:vAlign w:val="bottom"/>
          </w:tcPr>
          <w:p w:rsidR="00AC12B4" w:rsidRPr="00C27636" w:rsidRDefault="00AC12B4">
            <w:pPr>
              <w:rPr>
                <w:sz w:val="13"/>
                <w:szCs w:val="13"/>
                <w:lang w:val="fr-BE"/>
              </w:rPr>
            </w:pPr>
          </w:p>
        </w:tc>
        <w:tc>
          <w:tcPr>
            <w:tcW w:w="4620" w:type="dxa"/>
            <w:gridSpan w:val="16"/>
            <w:vMerge w:val="restart"/>
            <w:vAlign w:val="bottom"/>
          </w:tcPr>
          <w:p w:rsidR="00AC12B4" w:rsidRPr="00C27636" w:rsidRDefault="00C27636">
            <w:pPr>
              <w:rPr>
                <w:sz w:val="20"/>
                <w:szCs w:val="20"/>
                <w:lang w:val="fr-BE"/>
              </w:rPr>
            </w:pPr>
            <w:r w:rsidRPr="00C27636">
              <w:rPr>
                <w:rFonts w:ascii="Calibri" w:eastAsia="Calibri" w:hAnsi="Calibri" w:cs="Calibri"/>
                <w:lang w:val="fr-BE"/>
              </w:rPr>
              <w:t>alternance) répondent en moyenne à plus</w:t>
            </w:r>
          </w:p>
        </w:tc>
        <w:tc>
          <w:tcPr>
            <w:tcW w:w="0" w:type="dxa"/>
            <w:vAlign w:val="bottom"/>
          </w:tcPr>
          <w:p w:rsidR="00AC12B4" w:rsidRPr="00C27636" w:rsidRDefault="00AC12B4">
            <w:pPr>
              <w:rPr>
                <w:sz w:val="1"/>
                <w:szCs w:val="1"/>
                <w:lang w:val="fr-BE"/>
              </w:rPr>
            </w:pPr>
          </w:p>
        </w:tc>
      </w:tr>
      <w:tr w:rsidR="00AC12B4">
        <w:trPr>
          <w:trHeight w:val="92"/>
        </w:trPr>
        <w:tc>
          <w:tcPr>
            <w:tcW w:w="400" w:type="dxa"/>
            <w:vMerge w:val="restart"/>
            <w:vAlign w:val="bottom"/>
          </w:tcPr>
          <w:p w:rsidR="00AC12B4" w:rsidRDefault="00C27636">
            <w:pPr>
              <w:rPr>
                <w:sz w:val="20"/>
                <w:szCs w:val="20"/>
              </w:rPr>
            </w:pPr>
            <w:r>
              <w:rPr>
                <w:rFonts w:ascii="Calibri" w:eastAsia="Calibri" w:hAnsi="Calibri" w:cs="Calibri"/>
                <w:sz w:val="13"/>
                <w:szCs w:val="13"/>
              </w:rPr>
              <w:t>9</w:t>
            </w:r>
          </w:p>
        </w:tc>
        <w:tc>
          <w:tcPr>
            <w:tcW w:w="1840" w:type="dxa"/>
            <w:gridSpan w:val="6"/>
            <w:vMerge w:val="restart"/>
            <w:vAlign w:val="bottom"/>
          </w:tcPr>
          <w:p w:rsidR="00AC12B4" w:rsidRDefault="00C27636">
            <w:pPr>
              <w:jc w:val="right"/>
              <w:rPr>
                <w:sz w:val="20"/>
                <w:szCs w:val="20"/>
              </w:rPr>
            </w:pPr>
            <w:r>
              <w:rPr>
                <w:rFonts w:ascii="Calibri" w:eastAsia="Calibri" w:hAnsi="Calibri" w:cs="Calibri"/>
                <w:sz w:val="20"/>
                <w:szCs w:val="20"/>
              </w:rPr>
              <w:t>Onderzoeksinstituut</w:t>
            </w:r>
          </w:p>
        </w:tc>
        <w:tc>
          <w:tcPr>
            <w:tcW w:w="560" w:type="dxa"/>
            <w:gridSpan w:val="2"/>
            <w:vMerge w:val="restart"/>
            <w:vAlign w:val="bottom"/>
          </w:tcPr>
          <w:p w:rsidR="00AC12B4" w:rsidRDefault="00C27636">
            <w:pPr>
              <w:jc w:val="center"/>
              <w:rPr>
                <w:sz w:val="20"/>
                <w:szCs w:val="20"/>
              </w:rPr>
            </w:pPr>
            <w:r>
              <w:rPr>
                <w:rFonts w:ascii="Calibri" w:eastAsia="Calibri" w:hAnsi="Calibri" w:cs="Calibri"/>
                <w:sz w:val="20"/>
                <w:szCs w:val="20"/>
              </w:rPr>
              <w:t>voor</w:t>
            </w:r>
          </w:p>
        </w:tc>
        <w:tc>
          <w:tcPr>
            <w:tcW w:w="80" w:type="dxa"/>
            <w:vAlign w:val="bottom"/>
          </w:tcPr>
          <w:p w:rsidR="00AC12B4" w:rsidRDefault="00AC12B4">
            <w:pPr>
              <w:rPr>
                <w:sz w:val="7"/>
                <w:szCs w:val="7"/>
              </w:rPr>
            </w:pPr>
          </w:p>
        </w:tc>
        <w:tc>
          <w:tcPr>
            <w:tcW w:w="680" w:type="dxa"/>
            <w:gridSpan w:val="2"/>
            <w:vMerge w:val="restart"/>
            <w:vAlign w:val="bottom"/>
          </w:tcPr>
          <w:p w:rsidR="00AC12B4" w:rsidRDefault="00C27636">
            <w:pPr>
              <w:ind w:left="40"/>
              <w:rPr>
                <w:sz w:val="20"/>
                <w:szCs w:val="20"/>
              </w:rPr>
            </w:pPr>
            <w:r>
              <w:rPr>
                <w:rFonts w:ascii="Calibri" w:eastAsia="Calibri" w:hAnsi="Calibri" w:cs="Calibri"/>
                <w:sz w:val="20"/>
                <w:szCs w:val="20"/>
              </w:rPr>
              <w:t>Arbeid</w:t>
            </w:r>
          </w:p>
        </w:tc>
        <w:tc>
          <w:tcPr>
            <w:tcW w:w="560" w:type="dxa"/>
            <w:gridSpan w:val="3"/>
            <w:vMerge w:val="restart"/>
            <w:vAlign w:val="bottom"/>
          </w:tcPr>
          <w:p w:rsidR="00AC12B4" w:rsidRDefault="00C27636">
            <w:pPr>
              <w:ind w:right="240"/>
              <w:jc w:val="right"/>
              <w:rPr>
                <w:sz w:val="20"/>
                <w:szCs w:val="20"/>
              </w:rPr>
            </w:pPr>
            <w:r>
              <w:rPr>
                <w:rFonts w:ascii="Calibri" w:eastAsia="Calibri" w:hAnsi="Calibri" w:cs="Calibri"/>
                <w:sz w:val="20"/>
                <w:szCs w:val="20"/>
              </w:rPr>
              <w:t>en</w:t>
            </w:r>
          </w:p>
        </w:tc>
        <w:tc>
          <w:tcPr>
            <w:tcW w:w="480" w:type="dxa"/>
            <w:vMerge/>
            <w:vAlign w:val="bottom"/>
          </w:tcPr>
          <w:p w:rsidR="00AC12B4" w:rsidRDefault="00AC12B4">
            <w:pPr>
              <w:rPr>
                <w:sz w:val="7"/>
                <w:szCs w:val="7"/>
              </w:rPr>
            </w:pPr>
          </w:p>
        </w:tc>
        <w:tc>
          <w:tcPr>
            <w:tcW w:w="4620" w:type="dxa"/>
            <w:gridSpan w:val="16"/>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47"/>
        </w:trPr>
        <w:tc>
          <w:tcPr>
            <w:tcW w:w="400" w:type="dxa"/>
            <w:vMerge/>
            <w:vAlign w:val="bottom"/>
          </w:tcPr>
          <w:p w:rsidR="00AC12B4" w:rsidRDefault="00AC12B4">
            <w:pPr>
              <w:rPr>
                <w:sz w:val="21"/>
                <w:szCs w:val="21"/>
              </w:rPr>
            </w:pPr>
          </w:p>
        </w:tc>
        <w:tc>
          <w:tcPr>
            <w:tcW w:w="1840" w:type="dxa"/>
            <w:gridSpan w:val="6"/>
            <w:vMerge/>
            <w:vAlign w:val="bottom"/>
          </w:tcPr>
          <w:p w:rsidR="00AC12B4" w:rsidRDefault="00AC12B4">
            <w:pPr>
              <w:rPr>
                <w:sz w:val="21"/>
                <w:szCs w:val="21"/>
              </w:rPr>
            </w:pPr>
          </w:p>
        </w:tc>
        <w:tc>
          <w:tcPr>
            <w:tcW w:w="560" w:type="dxa"/>
            <w:gridSpan w:val="2"/>
            <w:vMerge/>
            <w:vAlign w:val="bottom"/>
          </w:tcPr>
          <w:p w:rsidR="00AC12B4" w:rsidRDefault="00AC12B4">
            <w:pPr>
              <w:rPr>
                <w:sz w:val="21"/>
                <w:szCs w:val="21"/>
              </w:rPr>
            </w:pPr>
          </w:p>
        </w:tc>
        <w:tc>
          <w:tcPr>
            <w:tcW w:w="80" w:type="dxa"/>
            <w:vAlign w:val="bottom"/>
          </w:tcPr>
          <w:p w:rsidR="00AC12B4" w:rsidRDefault="00AC12B4">
            <w:pPr>
              <w:rPr>
                <w:sz w:val="21"/>
                <w:szCs w:val="21"/>
              </w:rPr>
            </w:pPr>
          </w:p>
        </w:tc>
        <w:tc>
          <w:tcPr>
            <w:tcW w:w="680" w:type="dxa"/>
            <w:gridSpan w:val="2"/>
            <w:vMerge/>
            <w:vAlign w:val="bottom"/>
          </w:tcPr>
          <w:p w:rsidR="00AC12B4" w:rsidRDefault="00AC12B4">
            <w:pPr>
              <w:rPr>
                <w:sz w:val="21"/>
                <w:szCs w:val="21"/>
              </w:rPr>
            </w:pPr>
          </w:p>
        </w:tc>
        <w:tc>
          <w:tcPr>
            <w:tcW w:w="560" w:type="dxa"/>
            <w:gridSpan w:val="3"/>
            <w:vMerge/>
            <w:vAlign w:val="bottom"/>
          </w:tcPr>
          <w:p w:rsidR="00AC12B4" w:rsidRDefault="00AC12B4">
            <w:pPr>
              <w:rPr>
                <w:sz w:val="21"/>
                <w:szCs w:val="21"/>
              </w:rPr>
            </w:pPr>
          </w:p>
        </w:tc>
        <w:tc>
          <w:tcPr>
            <w:tcW w:w="480" w:type="dxa"/>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340" w:type="dxa"/>
            <w:vAlign w:val="bottom"/>
          </w:tcPr>
          <w:p w:rsidR="00AC12B4" w:rsidRDefault="00AC12B4">
            <w:pPr>
              <w:rPr>
                <w:sz w:val="21"/>
                <w:szCs w:val="21"/>
              </w:rPr>
            </w:pPr>
          </w:p>
        </w:tc>
        <w:tc>
          <w:tcPr>
            <w:tcW w:w="36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340" w:type="dxa"/>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60" w:type="dxa"/>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26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400" w:type="dxa"/>
            <w:vAlign w:val="bottom"/>
          </w:tcPr>
          <w:p w:rsidR="00AC12B4" w:rsidRDefault="00AC12B4">
            <w:pPr>
              <w:rPr>
                <w:sz w:val="21"/>
                <w:szCs w:val="21"/>
              </w:rPr>
            </w:pPr>
          </w:p>
        </w:tc>
        <w:tc>
          <w:tcPr>
            <w:tcW w:w="76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30"/>
        </w:trPr>
        <w:tc>
          <w:tcPr>
            <w:tcW w:w="400" w:type="dxa"/>
            <w:vAlign w:val="bottom"/>
          </w:tcPr>
          <w:p w:rsidR="00AC12B4" w:rsidRDefault="00AC12B4">
            <w:pPr>
              <w:rPr>
                <w:sz w:val="2"/>
                <w:szCs w:val="2"/>
              </w:rPr>
            </w:pPr>
          </w:p>
        </w:tc>
        <w:tc>
          <w:tcPr>
            <w:tcW w:w="1840" w:type="dxa"/>
            <w:gridSpan w:val="6"/>
            <w:vMerge/>
            <w:vAlign w:val="bottom"/>
          </w:tcPr>
          <w:p w:rsidR="00AC12B4" w:rsidRDefault="00AC12B4">
            <w:pPr>
              <w:rPr>
                <w:sz w:val="2"/>
                <w:szCs w:val="2"/>
              </w:rPr>
            </w:pPr>
          </w:p>
        </w:tc>
        <w:tc>
          <w:tcPr>
            <w:tcW w:w="560" w:type="dxa"/>
            <w:gridSpan w:val="2"/>
            <w:vMerge/>
            <w:vAlign w:val="bottom"/>
          </w:tcPr>
          <w:p w:rsidR="00AC12B4" w:rsidRDefault="00AC12B4">
            <w:pPr>
              <w:rPr>
                <w:sz w:val="2"/>
                <w:szCs w:val="2"/>
              </w:rPr>
            </w:pPr>
          </w:p>
        </w:tc>
        <w:tc>
          <w:tcPr>
            <w:tcW w:w="80" w:type="dxa"/>
            <w:vAlign w:val="bottom"/>
          </w:tcPr>
          <w:p w:rsidR="00AC12B4" w:rsidRDefault="00AC12B4">
            <w:pPr>
              <w:rPr>
                <w:sz w:val="2"/>
                <w:szCs w:val="2"/>
              </w:rPr>
            </w:pPr>
          </w:p>
        </w:tc>
        <w:tc>
          <w:tcPr>
            <w:tcW w:w="680" w:type="dxa"/>
            <w:gridSpan w:val="2"/>
            <w:vMerge/>
            <w:vAlign w:val="bottom"/>
          </w:tcPr>
          <w:p w:rsidR="00AC12B4" w:rsidRDefault="00AC12B4">
            <w:pPr>
              <w:rPr>
                <w:sz w:val="2"/>
                <w:szCs w:val="2"/>
              </w:rPr>
            </w:pPr>
          </w:p>
        </w:tc>
        <w:tc>
          <w:tcPr>
            <w:tcW w:w="560" w:type="dxa"/>
            <w:gridSpan w:val="3"/>
            <w:vMerge/>
            <w:vAlign w:val="bottom"/>
          </w:tcPr>
          <w:p w:rsidR="00AC12B4" w:rsidRDefault="00AC12B4">
            <w:pPr>
              <w:rPr>
                <w:sz w:val="2"/>
                <w:szCs w:val="2"/>
              </w:rPr>
            </w:pPr>
          </w:p>
        </w:tc>
        <w:tc>
          <w:tcPr>
            <w:tcW w:w="480" w:type="dxa"/>
            <w:vAlign w:val="bottom"/>
          </w:tcPr>
          <w:p w:rsidR="00AC12B4" w:rsidRDefault="00AC12B4">
            <w:pPr>
              <w:rPr>
                <w:sz w:val="2"/>
                <w:szCs w:val="2"/>
              </w:rPr>
            </w:pPr>
          </w:p>
        </w:tc>
        <w:tc>
          <w:tcPr>
            <w:tcW w:w="140" w:type="dxa"/>
            <w:tcBorders>
              <w:bottom w:val="single" w:sz="8" w:space="0" w:color="auto"/>
            </w:tcBorders>
            <w:vAlign w:val="bottom"/>
          </w:tcPr>
          <w:p w:rsidR="00AC12B4" w:rsidRDefault="00AC12B4">
            <w:pPr>
              <w:rPr>
                <w:sz w:val="2"/>
                <w:szCs w:val="2"/>
              </w:rPr>
            </w:pPr>
          </w:p>
        </w:tc>
        <w:tc>
          <w:tcPr>
            <w:tcW w:w="340" w:type="dxa"/>
            <w:tcBorders>
              <w:bottom w:val="single" w:sz="8" w:space="0" w:color="auto"/>
            </w:tcBorders>
            <w:vAlign w:val="bottom"/>
          </w:tcPr>
          <w:p w:rsidR="00AC12B4" w:rsidRDefault="00AC12B4">
            <w:pPr>
              <w:rPr>
                <w:sz w:val="2"/>
                <w:szCs w:val="2"/>
              </w:rPr>
            </w:pPr>
          </w:p>
        </w:tc>
        <w:tc>
          <w:tcPr>
            <w:tcW w:w="360" w:type="dxa"/>
            <w:tcBorders>
              <w:bottom w:val="single" w:sz="8" w:space="0" w:color="auto"/>
            </w:tcBorders>
            <w:vAlign w:val="bottom"/>
          </w:tcPr>
          <w:p w:rsidR="00AC12B4" w:rsidRDefault="00AC12B4">
            <w:pPr>
              <w:rPr>
                <w:sz w:val="2"/>
                <w:szCs w:val="2"/>
              </w:rPr>
            </w:pPr>
          </w:p>
        </w:tc>
        <w:tc>
          <w:tcPr>
            <w:tcW w:w="200" w:type="dxa"/>
            <w:tcBorders>
              <w:bottom w:val="single" w:sz="8" w:space="0" w:color="auto"/>
            </w:tcBorders>
            <w:vAlign w:val="bottom"/>
          </w:tcPr>
          <w:p w:rsidR="00AC12B4" w:rsidRDefault="00AC12B4">
            <w:pPr>
              <w:rPr>
                <w:sz w:val="2"/>
                <w:szCs w:val="2"/>
              </w:rPr>
            </w:pPr>
          </w:p>
        </w:tc>
        <w:tc>
          <w:tcPr>
            <w:tcW w:w="340" w:type="dxa"/>
            <w:tcBorders>
              <w:bottom w:val="single" w:sz="8" w:space="0" w:color="auto"/>
            </w:tcBorders>
            <w:vAlign w:val="bottom"/>
          </w:tcPr>
          <w:p w:rsidR="00AC12B4" w:rsidRDefault="00AC12B4">
            <w:pPr>
              <w:rPr>
                <w:sz w:val="2"/>
                <w:szCs w:val="2"/>
              </w:rPr>
            </w:pPr>
          </w:p>
        </w:tc>
        <w:tc>
          <w:tcPr>
            <w:tcW w:w="140" w:type="dxa"/>
            <w:tcBorders>
              <w:bottom w:val="single" w:sz="8" w:space="0" w:color="auto"/>
            </w:tcBorders>
            <w:vAlign w:val="bottom"/>
          </w:tcPr>
          <w:p w:rsidR="00AC12B4" w:rsidRDefault="00AC12B4">
            <w:pPr>
              <w:rPr>
                <w:sz w:val="2"/>
                <w:szCs w:val="2"/>
              </w:rPr>
            </w:pPr>
          </w:p>
        </w:tc>
        <w:tc>
          <w:tcPr>
            <w:tcW w:w="420" w:type="dxa"/>
            <w:tcBorders>
              <w:bottom w:val="single" w:sz="8" w:space="0" w:color="auto"/>
            </w:tcBorders>
            <w:vAlign w:val="bottom"/>
          </w:tcPr>
          <w:p w:rsidR="00AC12B4" w:rsidRDefault="00AC12B4">
            <w:pPr>
              <w:rPr>
                <w:sz w:val="2"/>
                <w:szCs w:val="2"/>
              </w:rPr>
            </w:pPr>
          </w:p>
        </w:tc>
        <w:tc>
          <w:tcPr>
            <w:tcW w:w="280" w:type="dxa"/>
            <w:tcBorders>
              <w:bottom w:val="single" w:sz="8" w:space="0" w:color="auto"/>
            </w:tcBorders>
            <w:vAlign w:val="bottom"/>
          </w:tcPr>
          <w:p w:rsidR="00AC12B4" w:rsidRDefault="00AC12B4">
            <w:pPr>
              <w:rPr>
                <w:sz w:val="2"/>
                <w:szCs w:val="2"/>
              </w:rPr>
            </w:pPr>
          </w:p>
        </w:tc>
        <w:tc>
          <w:tcPr>
            <w:tcW w:w="60" w:type="dxa"/>
            <w:tcBorders>
              <w:bottom w:val="single" w:sz="8" w:space="0" w:color="auto"/>
            </w:tcBorders>
            <w:vAlign w:val="bottom"/>
          </w:tcPr>
          <w:p w:rsidR="00AC12B4" w:rsidRDefault="00AC12B4">
            <w:pPr>
              <w:rPr>
                <w:sz w:val="2"/>
                <w:szCs w:val="2"/>
              </w:rPr>
            </w:pPr>
          </w:p>
        </w:tc>
        <w:tc>
          <w:tcPr>
            <w:tcW w:w="440" w:type="dxa"/>
            <w:tcBorders>
              <w:bottom w:val="single" w:sz="8" w:space="0" w:color="auto"/>
            </w:tcBorders>
            <w:vAlign w:val="bottom"/>
          </w:tcPr>
          <w:p w:rsidR="00AC12B4" w:rsidRDefault="00AC12B4">
            <w:pPr>
              <w:rPr>
                <w:sz w:val="2"/>
                <w:szCs w:val="2"/>
              </w:rPr>
            </w:pPr>
          </w:p>
        </w:tc>
        <w:tc>
          <w:tcPr>
            <w:tcW w:w="200" w:type="dxa"/>
            <w:tcBorders>
              <w:bottom w:val="single" w:sz="8" w:space="0" w:color="auto"/>
            </w:tcBorders>
            <w:vAlign w:val="bottom"/>
          </w:tcPr>
          <w:p w:rsidR="00AC12B4" w:rsidRDefault="00AC12B4">
            <w:pPr>
              <w:rPr>
                <w:sz w:val="2"/>
                <w:szCs w:val="2"/>
              </w:rPr>
            </w:pPr>
          </w:p>
        </w:tc>
        <w:tc>
          <w:tcPr>
            <w:tcW w:w="260" w:type="dxa"/>
            <w:tcBorders>
              <w:bottom w:val="single" w:sz="8" w:space="0" w:color="auto"/>
            </w:tcBorders>
            <w:vAlign w:val="bottom"/>
          </w:tcPr>
          <w:p w:rsidR="00AC12B4" w:rsidRDefault="00AC12B4">
            <w:pPr>
              <w:rPr>
                <w:sz w:val="2"/>
                <w:szCs w:val="2"/>
              </w:rPr>
            </w:pPr>
          </w:p>
        </w:tc>
        <w:tc>
          <w:tcPr>
            <w:tcW w:w="180" w:type="dxa"/>
            <w:tcBorders>
              <w:bottom w:val="single" w:sz="8" w:space="0" w:color="auto"/>
            </w:tcBorders>
            <w:vAlign w:val="bottom"/>
          </w:tcPr>
          <w:p w:rsidR="00AC12B4" w:rsidRDefault="00AC12B4">
            <w:pPr>
              <w:rPr>
                <w:sz w:val="2"/>
                <w:szCs w:val="2"/>
              </w:rPr>
            </w:pPr>
          </w:p>
        </w:tc>
        <w:tc>
          <w:tcPr>
            <w:tcW w:w="100" w:type="dxa"/>
            <w:tcBorders>
              <w:bottom w:val="single" w:sz="8" w:space="0" w:color="auto"/>
            </w:tcBorders>
            <w:vAlign w:val="bottom"/>
          </w:tcPr>
          <w:p w:rsidR="00AC12B4" w:rsidRDefault="00AC12B4">
            <w:pPr>
              <w:rPr>
                <w:sz w:val="2"/>
                <w:szCs w:val="2"/>
              </w:rPr>
            </w:pPr>
          </w:p>
        </w:tc>
        <w:tc>
          <w:tcPr>
            <w:tcW w:w="400" w:type="dxa"/>
            <w:tcBorders>
              <w:bottom w:val="single" w:sz="8" w:space="0" w:color="auto"/>
            </w:tcBorders>
            <w:vAlign w:val="bottom"/>
          </w:tcPr>
          <w:p w:rsidR="00AC12B4" w:rsidRDefault="00AC12B4">
            <w:pPr>
              <w:rPr>
                <w:sz w:val="2"/>
                <w:szCs w:val="2"/>
              </w:rPr>
            </w:pPr>
          </w:p>
        </w:tc>
        <w:tc>
          <w:tcPr>
            <w:tcW w:w="760" w:type="dxa"/>
            <w:vAlign w:val="bottom"/>
          </w:tcPr>
          <w:p w:rsidR="00AC12B4" w:rsidRDefault="00AC12B4">
            <w:pPr>
              <w:rPr>
                <w:sz w:val="2"/>
                <w:szCs w:val="2"/>
              </w:rPr>
            </w:pPr>
          </w:p>
        </w:tc>
        <w:tc>
          <w:tcPr>
            <w:tcW w:w="0" w:type="dxa"/>
            <w:vAlign w:val="bottom"/>
          </w:tcPr>
          <w:p w:rsidR="00AC12B4" w:rsidRDefault="00AC12B4">
            <w:pPr>
              <w:rPr>
                <w:sz w:val="1"/>
                <w:szCs w:val="1"/>
              </w:rPr>
            </w:pPr>
          </w:p>
        </w:tc>
      </w:tr>
      <w:tr w:rsidR="00AC12B4">
        <w:trPr>
          <w:trHeight w:val="66"/>
        </w:trPr>
        <w:tc>
          <w:tcPr>
            <w:tcW w:w="400" w:type="dxa"/>
            <w:vAlign w:val="bottom"/>
          </w:tcPr>
          <w:p w:rsidR="00AC12B4" w:rsidRDefault="00AC12B4">
            <w:pPr>
              <w:rPr>
                <w:sz w:val="5"/>
                <w:szCs w:val="5"/>
              </w:rPr>
            </w:pPr>
          </w:p>
        </w:tc>
        <w:tc>
          <w:tcPr>
            <w:tcW w:w="1840" w:type="dxa"/>
            <w:gridSpan w:val="6"/>
            <w:vMerge/>
            <w:vAlign w:val="bottom"/>
          </w:tcPr>
          <w:p w:rsidR="00AC12B4" w:rsidRDefault="00AC12B4">
            <w:pPr>
              <w:rPr>
                <w:sz w:val="5"/>
                <w:szCs w:val="5"/>
              </w:rPr>
            </w:pPr>
          </w:p>
        </w:tc>
        <w:tc>
          <w:tcPr>
            <w:tcW w:w="560" w:type="dxa"/>
            <w:gridSpan w:val="2"/>
            <w:vMerge/>
            <w:vAlign w:val="bottom"/>
          </w:tcPr>
          <w:p w:rsidR="00AC12B4" w:rsidRDefault="00AC12B4">
            <w:pPr>
              <w:rPr>
                <w:sz w:val="5"/>
                <w:szCs w:val="5"/>
              </w:rPr>
            </w:pPr>
          </w:p>
        </w:tc>
        <w:tc>
          <w:tcPr>
            <w:tcW w:w="80" w:type="dxa"/>
            <w:vAlign w:val="bottom"/>
          </w:tcPr>
          <w:p w:rsidR="00AC12B4" w:rsidRDefault="00AC12B4">
            <w:pPr>
              <w:rPr>
                <w:sz w:val="5"/>
                <w:szCs w:val="5"/>
              </w:rPr>
            </w:pPr>
          </w:p>
        </w:tc>
        <w:tc>
          <w:tcPr>
            <w:tcW w:w="680" w:type="dxa"/>
            <w:gridSpan w:val="2"/>
            <w:vMerge/>
            <w:vAlign w:val="bottom"/>
          </w:tcPr>
          <w:p w:rsidR="00AC12B4" w:rsidRDefault="00AC12B4">
            <w:pPr>
              <w:rPr>
                <w:sz w:val="5"/>
                <w:szCs w:val="5"/>
              </w:rPr>
            </w:pPr>
          </w:p>
        </w:tc>
        <w:tc>
          <w:tcPr>
            <w:tcW w:w="560" w:type="dxa"/>
            <w:gridSpan w:val="3"/>
            <w:vMerge/>
            <w:vAlign w:val="bottom"/>
          </w:tcPr>
          <w:p w:rsidR="00AC12B4" w:rsidRDefault="00AC12B4">
            <w:pPr>
              <w:rPr>
                <w:sz w:val="5"/>
                <w:szCs w:val="5"/>
              </w:rPr>
            </w:pPr>
          </w:p>
        </w:tc>
        <w:tc>
          <w:tcPr>
            <w:tcW w:w="48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36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280" w:type="dxa"/>
            <w:vAlign w:val="bottom"/>
          </w:tcPr>
          <w:p w:rsidR="00AC12B4" w:rsidRDefault="00AC12B4">
            <w:pPr>
              <w:rPr>
                <w:sz w:val="5"/>
                <w:szCs w:val="5"/>
              </w:rPr>
            </w:pPr>
          </w:p>
        </w:tc>
        <w:tc>
          <w:tcPr>
            <w:tcW w:w="60" w:type="dxa"/>
            <w:vAlign w:val="bottom"/>
          </w:tcPr>
          <w:p w:rsidR="00AC12B4" w:rsidRDefault="00AC12B4">
            <w:pPr>
              <w:rPr>
                <w:sz w:val="5"/>
                <w:szCs w:val="5"/>
              </w:rPr>
            </w:pPr>
          </w:p>
        </w:tc>
        <w:tc>
          <w:tcPr>
            <w:tcW w:w="44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260" w:type="dxa"/>
            <w:vAlign w:val="bottom"/>
          </w:tcPr>
          <w:p w:rsidR="00AC12B4" w:rsidRDefault="00AC12B4">
            <w:pPr>
              <w:rPr>
                <w:sz w:val="5"/>
                <w:szCs w:val="5"/>
              </w:rPr>
            </w:pPr>
          </w:p>
        </w:tc>
        <w:tc>
          <w:tcPr>
            <w:tcW w:w="18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76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rsidRPr="00C27636">
        <w:trPr>
          <w:trHeight w:val="245"/>
        </w:trPr>
        <w:tc>
          <w:tcPr>
            <w:tcW w:w="2240" w:type="dxa"/>
            <w:gridSpan w:val="7"/>
            <w:vAlign w:val="bottom"/>
          </w:tcPr>
          <w:p w:rsidR="00AC12B4" w:rsidRDefault="00C27636">
            <w:pPr>
              <w:rPr>
                <w:sz w:val="20"/>
                <w:szCs w:val="20"/>
              </w:rPr>
            </w:pPr>
            <w:r>
              <w:rPr>
                <w:rFonts w:ascii="Calibri" w:eastAsia="Calibri" w:hAnsi="Calibri" w:cs="Calibri"/>
                <w:sz w:val="20"/>
                <w:szCs w:val="20"/>
              </w:rPr>
              <w:t>Samenleving, KU Leuven.</w:t>
            </w:r>
          </w:p>
        </w:tc>
        <w:tc>
          <w:tcPr>
            <w:tcW w:w="500" w:type="dxa"/>
            <w:vAlign w:val="bottom"/>
          </w:tcPr>
          <w:p w:rsidR="00AC12B4" w:rsidRDefault="00AC12B4">
            <w:pPr>
              <w:rPr>
                <w:sz w:val="21"/>
                <w:szCs w:val="21"/>
              </w:rPr>
            </w:pPr>
          </w:p>
        </w:tc>
        <w:tc>
          <w:tcPr>
            <w:tcW w:w="6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400" w:type="dxa"/>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40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480" w:type="dxa"/>
            <w:vAlign w:val="bottom"/>
          </w:tcPr>
          <w:p w:rsidR="00AC12B4" w:rsidRDefault="00AC12B4">
            <w:pPr>
              <w:rPr>
                <w:sz w:val="21"/>
                <w:szCs w:val="21"/>
              </w:rPr>
            </w:pPr>
          </w:p>
        </w:tc>
        <w:tc>
          <w:tcPr>
            <w:tcW w:w="4620" w:type="dxa"/>
            <w:gridSpan w:val="16"/>
            <w:vMerge w:val="restart"/>
            <w:vAlign w:val="bottom"/>
          </w:tcPr>
          <w:p w:rsidR="00AC12B4" w:rsidRPr="00C27636" w:rsidRDefault="00C27636">
            <w:pPr>
              <w:rPr>
                <w:sz w:val="20"/>
                <w:szCs w:val="20"/>
                <w:lang w:val="nl-NL"/>
              </w:rPr>
            </w:pPr>
            <w:r w:rsidRPr="00C27636">
              <w:rPr>
                <w:rFonts w:ascii="Calibri" w:eastAsia="Calibri" w:hAnsi="Calibri" w:cs="Calibri"/>
                <w:i/>
                <w:iCs/>
                <w:sz w:val="20"/>
                <w:szCs w:val="20"/>
                <w:lang w:val="nl-NL"/>
              </w:rPr>
              <w:t xml:space="preserve">van het Vlaams Integratiebeleid, deel 2, </w:t>
            </w:r>
            <w:r w:rsidRPr="00C27636">
              <w:rPr>
                <w:rFonts w:ascii="Calibri" w:eastAsia="Calibri" w:hAnsi="Calibri" w:cs="Calibri"/>
                <w:sz w:val="20"/>
                <w:szCs w:val="20"/>
                <w:lang w:val="nl-NL"/>
              </w:rPr>
              <w:t>2012,</w:t>
            </w:r>
          </w:p>
        </w:tc>
        <w:tc>
          <w:tcPr>
            <w:tcW w:w="0" w:type="dxa"/>
            <w:vAlign w:val="bottom"/>
          </w:tcPr>
          <w:p w:rsidR="00AC12B4" w:rsidRPr="00C27636" w:rsidRDefault="00AC12B4">
            <w:pPr>
              <w:rPr>
                <w:sz w:val="1"/>
                <w:szCs w:val="1"/>
                <w:lang w:val="nl-NL"/>
              </w:rPr>
            </w:pPr>
          </w:p>
        </w:tc>
      </w:tr>
      <w:tr w:rsidR="00AC12B4" w:rsidRPr="00C27636">
        <w:trPr>
          <w:trHeight w:val="144"/>
        </w:trPr>
        <w:tc>
          <w:tcPr>
            <w:tcW w:w="4120" w:type="dxa"/>
            <w:gridSpan w:val="15"/>
            <w:vMerge w:val="restart"/>
            <w:vAlign w:val="bottom"/>
          </w:tcPr>
          <w:p w:rsidR="00AC12B4" w:rsidRPr="00C27636" w:rsidRDefault="00C27636">
            <w:pPr>
              <w:rPr>
                <w:sz w:val="20"/>
                <w:szCs w:val="20"/>
                <w:lang w:val="nl-NL"/>
              </w:rPr>
            </w:pPr>
            <w:r w:rsidRPr="00C27636">
              <w:rPr>
                <w:rFonts w:ascii="Calibri" w:eastAsia="Calibri" w:hAnsi="Calibri" w:cs="Calibri"/>
                <w:sz w:val="27"/>
                <w:szCs w:val="27"/>
                <w:vertAlign w:val="superscript"/>
                <w:lang w:val="nl-NL"/>
              </w:rPr>
              <w:t>10</w:t>
            </w:r>
            <w:r w:rsidRPr="00C27636">
              <w:rPr>
                <w:rFonts w:ascii="Calibri" w:eastAsia="Calibri" w:hAnsi="Calibri" w:cs="Calibri"/>
                <w:sz w:val="20"/>
                <w:szCs w:val="20"/>
                <w:lang w:val="nl-NL"/>
              </w:rPr>
              <w:t xml:space="preserve"> Zie verwijzing naar het HIVA-onderzoek in</w:t>
            </w:r>
          </w:p>
        </w:tc>
        <w:tc>
          <w:tcPr>
            <w:tcW w:w="480" w:type="dxa"/>
            <w:vAlign w:val="bottom"/>
          </w:tcPr>
          <w:p w:rsidR="00AC12B4" w:rsidRPr="00C27636" w:rsidRDefault="00AC12B4">
            <w:pPr>
              <w:rPr>
                <w:sz w:val="12"/>
                <w:szCs w:val="12"/>
                <w:lang w:val="nl-NL"/>
              </w:rPr>
            </w:pPr>
          </w:p>
        </w:tc>
        <w:tc>
          <w:tcPr>
            <w:tcW w:w="4620" w:type="dxa"/>
            <w:gridSpan w:val="16"/>
            <w:vMerge/>
            <w:vAlign w:val="bottom"/>
          </w:tcPr>
          <w:p w:rsidR="00AC12B4" w:rsidRPr="00C27636" w:rsidRDefault="00AC12B4">
            <w:pPr>
              <w:rPr>
                <w:sz w:val="12"/>
                <w:szCs w:val="12"/>
                <w:lang w:val="nl-NL"/>
              </w:rPr>
            </w:pPr>
          </w:p>
        </w:tc>
        <w:tc>
          <w:tcPr>
            <w:tcW w:w="0" w:type="dxa"/>
            <w:vAlign w:val="bottom"/>
          </w:tcPr>
          <w:p w:rsidR="00AC12B4" w:rsidRPr="00C27636" w:rsidRDefault="00AC12B4">
            <w:pPr>
              <w:rPr>
                <w:sz w:val="1"/>
                <w:szCs w:val="1"/>
                <w:lang w:val="nl-NL"/>
              </w:rPr>
            </w:pPr>
          </w:p>
        </w:tc>
      </w:tr>
      <w:tr w:rsidR="00AC12B4">
        <w:trPr>
          <w:trHeight w:val="277"/>
        </w:trPr>
        <w:tc>
          <w:tcPr>
            <w:tcW w:w="4120" w:type="dxa"/>
            <w:gridSpan w:val="15"/>
            <w:vMerge/>
            <w:vAlign w:val="bottom"/>
          </w:tcPr>
          <w:p w:rsidR="00AC12B4" w:rsidRPr="00C27636" w:rsidRDefault="00AC12B4">
            <w:pPr>
              <w:rPr>
                <w:sz w:val="24"/>
                <w:szCs w:val="24"/>
                <w:lang w:val="nl-NL"/>
              </w:rPr>
            </w:pPr>
          </w:p>
        </w:tc>
        <w:tc>
          <w:tcPr>
            <w:tcW w:w="960" w:type="dxa"/>
            <w:gridSpan w:val="3"/>
            <w:vAlign w:val="bottom"/>
          </w:tcPr>
          <w:p w:rsidR="00AC12B4" w:rsidRDefault="00C27636">
            <w:pPr>
              <w:ind w:left="480"/>
              <w:rPr>
                <w:sz w:val="20"/>
                <w:szCs w:val="20"/>
              </w:rPr>
            </w:pPr>
            <w:r>
              <w:rPr>
                <w:rFonts w:ascii="Calibri" w:eastAsia="Calibri" w:hAnsi="Calibri" w:cs="Calibri"/>
                <w:sz w:val="20"/>
                <w:szCs w:val="20"/>
              </w:rPr>
              <w:t>25,</w:t>
            </w:r>
          </w:p>
        </w:tc>
        <w:tc>
          <w:tcPr>
            <w:tcW w:w="36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7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10"/>
        </w:trPr>
        <w:tc>
          <w:tcPr>
            <w:tcW w:w="3280" w:type="dxa"/>
            <w:gridSpan w:val="11"/>
            <w:vAlign w:val="bottom"/>
          </w:tcPr>
          <w:p w:rsidR="00AC12B4" w:rsidRDefault="00C27636">
            <w:pPr>
              <w:spacing w:line="210" w:lineRule="exact"/>
              <w:rPr>
                <w:sz w:val="20"/>
                <w:szCs w:val="20"/>
              </w:rPr>
            </w:pPr>
            <w:r>
              <w:rPr>
                <w:rFonts w:ascii="Calibri" w:eastAsia="Calibri" w:hAnsi="Calibri" w:cs="Calibri"/>
                <w:sz w:val="20"/>
                <w:szCs w:val="20"/>
              </w:rPr>
              <w:t xml:space="preserve">Vlaamse </w:t>
            </w:r>
            <w:r>
              <w:rPr>
                <w:rFonts w:ascii="Calibri" w:eastAsia="Calibri" w:hAnsi="Calibri" w:cs="Calibri"/>
                <w:sz w:val="20"/>
                <w:szCs w:val="20"/>
              </w:rPr>
              <w:t>overheid, Agentschap voor</w:t>
            </w:r>
          </w:p>
        </w:tc>
        <w:tc>
          <w:tcPr>
            <w:tcW w:w="280" w:type="dxa"/>
            <w:vAlign w:val="bottom"/>
          </w:tcPr>
          <w:p w:rsidR="00AC12B4" w:rsidRDefault="00AC12B4">
            <w:pPr>
              <w:rPr>
                <w:sz w:val="18"/>
                <w:szCs w:val="18"/>
              </w:rPr>
            </w:pPr>
          </w:p>
        </w:tc>
        <w:tc>
          <w:tcPr>
            <w:tcW w:w="400" w:type="dxa"/>
            <w:vAlign w:val="bottom"/>
          </w:tcPr>
          <w:p w:rsidR="00AC12B4" w:rsidRDefault="00AC12B4">
            <w:pPr>
              <w:rPr>
                <w:sz w:val="18"/>
                <w:szCs w:val="18"/>
              </w:rPr>
            </w:pPr>
          </w:p>
        </w:tc>
        <w:tc>
          <w:tcPr>
            <w:tcW w:w="80" w:type="dxa"/>
            <w:vAlign w:val="bottom"/>
          </w:tcPr>
          <w:p w:rsidR="00AC12B4" w:rsidRDefault="00AC12B4">
            <w:pPr>
              <w:rPr>
                <w:sz w:val="18"/>
                <w:szCs w:val="18"/>
              </w:rPr>
            </w:pPr>
          </w:p>
        </w:tc>
        <w:tc>
          <w:tcPr>
            <w:tcW w:w="80" w:type="dxa"/>
            <w:vAlign w:val="bottom"/>
          </w:tcPr>
          <w:p w:rsidR="00AC12B4" w:rsidRDefault="00AC12B4">
            <w:pPr>
              <w:rPr>
                <w:sz w:val="18"/>
                <w:szCs w:val="18"/>
              </w:rPr>
            </w:pPr>
          </w:p>
        </w:tc>
        <w:tc>
          <w:tcPr>
            <w:tcW w:w="480" w:type="dxa"/>
            <w:vAlign w:val="bottom"/>
          </w:tcPr>
          <w:p w:rsidR="00AC12B4" w:rsidRDefault="00AC12B4">
            <w:pPr>
              <w:rPr>
                <w:sz w:val="18"/>
                <w:szCs w:val="18"/>
              </w:rPr>
            </w:pPr>
          </w:p>
        </w:tc>
        <w:tc>
          <w:tcPr>
            <w:tcW w:w="4620" w:type="dxa"/>
            <w:gridSpan w:val="16"/>
            <w:vAlign w:val="bottom"/>
          </w:tcPr>
          <w:p w:rsidR="00AC12B4" w:rsidRDefault="00C27636">
            <w:pPr>
              <w:spacing w:line="210" w:lineRule="exact"/>
              <w:rPr>
                <w:sz w:val="20"/>
                <w:szCs w:val="20"/>
              </w:rPr>
            </w:pPr>
            <w:r>
              <w:rPr>
                <w:rFonts w:ascii="Calibri" w:eastAsia="Calibri" w:hAnsi="Calibri" w:cs="Calibri"/>
                <w:sz w:val="20"/>
                <w:szCs w:val="20"/>
              </w:rPr>
              <w:t>http://www.integratiebeleid.be/sites/default/fi</w:t>
            </w:r>
          </w:p>
        </w:tc>
        <w:tc>
          <w:tcPr>
            <w:tcW w:w="0" w:type="dxa"/>
            <w:vAlign w:val="bottom"/>
          </w:tcPr>
          <w:p w:rsidR="00AC12B4" w:rsidRDefault="00AC12B4">
            <w:pPr>
              <w:rPr>
                <w:sz w:val="1"/>
                <w:szCs w:val="1"/>
              </w:rPr>
            </w:pPr>
          </w:p>
        </w:tc>
      </w:tr>
      <w:tr w:rsidR="00AC12B4">
        <w:trPr>
          <w:trHeight w:val="245"/>
        </w:trPr>
        <w:tc>
          <w:tcPr>
            <w:tcW w:w="3280" w:type="dxa"/>
            <w:gridSpan w:val="11"/>
            <w:vAlign w:val="bottom"/>
          </w:tcPr>
          <w:p w:rsidR="00AC12B4" w:rsidRDefault="00C27636">
            <w:pPr>
              <w:rPr>
                <w:sz w:val="20"/>
                <w:szCs w:val="20"/>
              </w:rPr>
            </w:pPr>
            <w:r>
              <w:rPr>
                <w:rFonts w:ascii="Calibri" w:eastAsia="Calibri" w:hAnsi="Calibri" w:cs="Calibri"/>
                <w:sz w:val="20"/>
                <w:szCs w:val="20"/>
              </w:rPr>
              <w:t xml:space="preserve">Binnenlands Bestuur, </w:t>
            </w:r>
            <w:r>
              <w:rPr>
                <w:rFonts w:ascii="Calibri" w:eastAsia="Calibri" w:hAnsi="Calibri" w:cs="Calibri"/>
                <w:i/>
                <w:iCs/>
                <w:sz w:val="20"/>
                <w:szCs w:val="20"/>
              </w:rPr>
              <w:t>Strategisch plan</w:t>
            </w:r>
          </w:p>
        </w:tc>
        <w:tc>
          <w:tcPr>
            <w:tcW w:w="280" w:type="dxa"/>
            <w:vAlign w:val="bottom"/>
          </w:tcPr>
          <w:p w:rsidR="00AC12B4" w:rsidRDefault="00AC12B4">
            <w:pPr>
              <w:rPr>
                <w:sz w:val="21"/>
                <w:szCs w:val="21"/>
              </w:rPr>
            </w:pPr>
          </w:p>
        </w:tc>
        <w:tc>
          <w:tcPr>
            <w:tcW w:w="40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480" w:type="dxa"/>
            <w:vAlign w:val="bottom"/>
          </w:tcPr>
          <w:p w:rsidR="00AC12B4" w:rsidRDefault="00AC12B4">
            <w:pPr>
              <w:rPr>
                <w:sz w:val="21"/>
                <w:szCs w:val="21"/>
              </w:rPr>
            </w:pPr>
          </w:p>
        </w:tc>
        <w:tc>
          <w:tcPr>
            <w:tcW w:w="2720" w:type="dxa"/>
            <w:gridSpan w:val="10"/>
            <w:vAlign w:val="bottom"/>
          </w:tcPr>
          <w:p w:rsidR="00AC12B4" w:rsidRDefault="00C27636">
            <w:pPr>
              <w:rPr>
                <w:sz w:val="20"/>
                <w:szCs w:val="20"/>
              </w:rPr>
            </w:pPr>
            <w:r>
              <w:rPr>
                <w:rFonts w:ascii="Calibri" w:eastAsia="Calibri" w:hAnsi="Calibri" w:cs="Calibri"/>
                <w:sz w:val="20"/>
                <w:szCs w:val="20"/>
              </w:rPr>
              <w:t>les/bestanden/Strategisch-plan-</w:t>
            </w:r>
          </w:p>
        </w:tc>
        <w:tc>
          <w:tcPr>
            <w:tcW w:w="200" w:type="dxa"/>
            <w:vAlign w:val="bottom"/>
          </w:tcPr>
          <w:p w:rsidR="00AC12B4" w:rsidRDefault="00AC12B4">
            <w:pPr>
              <w:rPr>
                <w:sz w:val="21"/>
                <w:szCs w:val="21"/>
              </w:rPr>
            </w:pPr>
          </w:p>
        </w:tc>
        <w:tc>
          <w:tcPr>
            <w:tcW w:w="26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400" w:type="dxa"/>
            <w:vAlign w:val="bottom"/>
          </w:tcPr>
          <w:p w:rsidR="00AC12B4" w:rsidRDefault="00AC12B4">
            <w:pPr>
              <w:rPr>
                <w:sz w:val="21"/>
                <w:szCs w:val="21"/>
              </w:rPr>
            </w:pPr>
          </w:p>
        </w:tc>
        <w:tc>
          <w:tcPr>
            <w:tcW w:w="76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45"/>
        </w:trPr>
        <w:tc>
          <w:tcPr>
            <w:tcW w:w="4120" w:type="dxa"/>
            <w:gridSpan w:val="15"/>
            <w:vAlign w:val="bottom"/>
          </w:tcPr>
          <w:p w:rsidR="00AC12B4" w:rsidRDefault="00C27636">
            <w:pPr>
              <w:rPr>
                <w:sz w:val="20"/>
                <w:szCs w:val="20"/>
              </w:rPr>
            </w:pPr>
            <w:r>
              <w:rPr>
                <w:rFonts w:ascii="Calibri" w:eastAsia="Calibri" w:hAnsi="Calibri" w:cs="Calibri"/>
                <w:i/>
                <w:iCs/>
                <w:sz w:val="20"/>
                <w:szCs w:val="20"/>
              </w:rPr>
              <w:t>woonwagenbewoners 2012-2015, in uitvoering</w:t>
            </w:r>
          </w:p>
        </w:tc>
        <w:tc>
          <w:tcPr>
            <w:tcW w:w="480" w:type="dxa"/>
            <w:vAlign w:val="bottom"/>
          </w:tcPr>
          <w:p w:rsidR="00AC12B4" w:rsidRDefault="00AC12B4">
            <w:pPr>
              <w:rPr>
                <w:sz w:val="21"/>
                <w:szCs w:val="21"/>
              </w:rPr>
            </w:pPr>
          </w:p>
        </w:tc>
        <w:tc>
          <w:tcPr>
            <w:tcW w:w="2280" w:type="dxa"/>
            <w:gridSpan w:val="9"/>
            <w:vAlign w:val="bottom"/>
          </w:tcPr>
          <w:p w:rsidR="00AC12B4" w:rsidRDefault="00C27636">
            <w:pPr>
              <w:rPr>
                <w:sz w:val="20"/>
                <w:szCs w:val="20"/>
              </w:rPr>
            </w:pPr>
            <w:r>
              <w:rPr>
                <w:rFonts w:ascii="Calibri" w:eastAsia="Calibri" w:hAnsi="Calibri" w:cs="Calibri"/>
                <w:sz w:val="20"/>
                <w:szCs w:val="20"/>
              </w:rPr>
              <w:t>woonwagenbewoners.pdf.</w:t>
            </w:r>
          </w:p>
        </w:tc>
        <w:tc>
          <w:tcPr>
            <w:tcW w:w="44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26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400" w:type="dxa"/>
            <w:vAlign w:val="bottom"/>
          </w:tcPr>
          <w:p w:rsidR="00AC12B4" w:rsidRDefault="00AC12B4">
            <w:pPr>
              <w:rPr>
                <w:sz w:val="21"/>
                <w:szCs w:val="21"/>
              </w:rPr>
            </w:pPr>
          </w:p>
        </w:tc>
        <w:tc>
          <w:tcPr>
            <w:tcW w:w="760" w:type="dxa"/>
            <w:vAlign w:val="bottom"/>
          </w:tcPr>
          <w:p w:rsidR="00AC12B4" w:rsidRDefault="00AC12B4">
            <w:pPr>
              <w:rPr>
                <w:sz w:val="21"/>
                <w:szCs w:val="21"/>
              </w:rPr>
            </w:pPr>
          </w:p>
        </w:tc>
        <w:tc>
          <w:tcPr>
            <w:tcW w:w="0" w:type="dxa"/>
            <w:vAlign w:val="bottom"/>
          </w:tcPr>
          <w:p w:rsidR="00AC12B4" w:rsidRDefault="00AC12B4">
            <w:pPr>
              <w:rPr>
                <w:sz w:val="1"/>
                <w:szCs w:val="1"/>
              </w:rPr>
            </w:pPr>
          </w:p>
        </w:tc>
      </w:tr>
    </w:tbl>
    <w:p w:rsidR="00AC12B4" w:rsidRDefault="00AC12B4">
      <w:pPr>
        <w:spacing w:line="121" w:lineRule="exact"/>
        <w:rPr>
          <w:sz w:val="20"/>
          <w:szCs w:val="20"/>
        </w:rPr>
      </w:pPr>
    </w:p>
    <w:p w:rsidR="00AC12B4" w:rsidRDefault="00C27636">
      <w:pPr>
        <w:ind w:right="180"/>
        <w:jc w:val="center"/>
        <w:rPr>
          <w:sz w:val="20"/>
          <w:szCs w:val="20"/>
        </w:rPr>
      </w:pPr>
      <w:r>
        <w:rPr>
          <w:rFonts w:ascii="Calibri" w:eastAsia="Calibri" w:hAnsi="Calibri" w:cs="Calibri"/>
        </w:rPr>
        <w:t>115</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AC12B4">
      <w:pPr>
        <w:sectPr w:rsidR="00AC12B4">
          <w:pgSz w:w="12080" w:h="17179"/>
          <w:pgMar w:top="1440" w:right="496" w:bottom="659" w:left="1440" w:header="0" w:footer="0" w:gutter="0"/>
          <w:cols w:num="2" w:space="720" w:equalWidth="0">
            <w:col w:w="9780" w:space="19"/>
            <w:col w:w="342"/>
          </w:cols>
        </w:sectPr>
      </w:pPr>
    </w:p>
    <w:bookmarkStart w:id="115" w:name="page116"/>
    <w:bookmarkEnd w:id="115"/>
    <w:p w:rsidR="00AC12B4" w:rsidRDefault="00C27636">
      <w:pPr>
        <w:spacing w:line="212" w:lineRule="exact"/>
        <w:rPr>
          <w:sz w:val="20"/>
          <w:szCs w:val="20"/>
        </w:rPr>
      </w:pPr>
      <w:r>
        <w:rPr>
          <w:noProof/>
          <w:sz w:val="20"/>
          <w:szCs w:val="20"/>
        </w:rPr>
        <w:lastRenderedPageBreak/>
        <mc:AlternateContent>
          <mc:Choice Requires="wps">
            <w:drawing>
              <wp:anchor distT="0" distB="0" distL="114300" distR="114300" simplePos="0" relativeHeight="251638272" behindDoc="1" locked="0" layoutInCell="0" allowOverlap="1">
                <wp:simplePos x="0" y="0"/>
                <wp:positionH relativeFrom="page">
                  <wp:posOffset>0</wp:posOffset>
                </wp:positionH>
                <wp:positionV relativeFrom="page">
                  <wp:posOffset>0</wp:posOffset>
                </wp:positionV>
                <wp:extent cx="788035" cy="10908665"/>
                <wp:effectExtent l="0" t="0" r="0" b="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035" cy="10908665"/>
                        </a:xfrm>
                        <a:prstGeom prst="rect">
                          <a:avLst/>
                        </a:prstGeom>
                        <a:solidFill>
                          <a:srgbClr val="8BCCEC"/>
                        </a:solidFill>
                      </wps:spPr>
                      <wps:bodyPr/>
                    </wps:wsp>
                  </a:graphicData>
                </a:graphic>
              </wp:anchor>
            </w:drawing>
          </mc:Choice>
          <mc:Fallback>
            <w:pict>
              <v:rect id="Shape 302" o:spid="_x0000_s1327" style="position:absolute;margin-left:0pt;margin-top:0pt;width:62.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Pr="00C27636" w:rsidRDefault="00C27636">
      <w:pPr>
        <w:spacing w:line="218" w:lineRule="auto"/>
        <w:ind w:left="943"/>
        <w:jc w:val="both"/>
        <w:rPr>
          <w:sz w:val="20"/>
          <w:szCs w:val="20"/>
          <w:lang w:val="fr-BE"/>
        </w:rPr>
      </w:pPr>
      <w:r w:rsidRPr="00C27636">
        <w:rPr>
          <w:rFonts w:ascii="Calibri" w:eastAsia="Calibri" w:hAnsi="Calibri" w:cs="Calibri"/>
          <w:lang w:val="fr-BE"/>
        </w:rPr>
        <w:t>de critères déterminants pour ouvrir le droit à un suivi particulier.</w:t>
      </w:r>
    </w:p>
    <w:p w:rsidR="00AC12B4" w:rsidRPr="00C27636" w:rsidRDefault="00AC12B4">
      <w:pPr>
        <w:spacing w:line="170" w:lineRule="exact"/>
        <w:rPr>
          <w:sz w:val="20"/>
          <w:szCs w:val="20"/>
          <w:lang w:val="fr-BE"/>
        </w:rPr>
      </w:pPr>
    </w:p>
    <w:p w:rsidR="00AC12B4" w:rsidRPr="00C27636" w:rsidRDefault="00C27636">
      <w:pPr>
        <w:spacing w:line="231" w:lineRule="auto"/>
        <w:ind w:left="943"/>
        <w:jc w:val="both"/>
        <w:rPr>
          <w:sz w:val="20"/>
          <w:szCs w:val="20"/>
          <w:lang w:val="fr-BE"/>
        </w:rPr>
      </w:pPr>
      <w:r w:rsidRPr="00C27636">
        <w:rPr>
          <w:rFonts w:ascii="Calibri" w:eastAsia="Calibri" w:hAnsi="Calibri" w:cs="Calibri"/>
          <w:lang w:val="fr-BE"/>
        </w:rPr>
        <w:t>Presque la moitié des élèves de l’enseignement secondaire professionnel (45,06%) ont</w:t>
      </w:r>
      <w:r w:rsidRPr="00C27636">
        <w:rPr>
          <w:rFonts w:ascii="Calibri" w:eastAsia="Calibri" w:hAnsi="Calibri" w:cs="Calibri"/>
          <w:lang w:val="fr-BE"/>
        </w:rPr>
        <w:t xml:space="preserve"> une mère avec un diplôme inférieur ou égal à celui de l’enseignement secondaire inférieur. 39,15% reçoivent une bourse d’étude. 31,78% proviennent d’un quartier avec un score élevé de retard scolaire</w:t>
      </w:r>
      <w:r w:rsidRPr="00C27636">
        <w:rPr>
          <w:rFonts w:ascii="Calibri" w:eastAsia="Calibri" w:hAnsi="Calibri" w:cs="Calibri"/>
          <w:sz w:val="27"/>
          <w:szCs w:val="27"/>
          <w:vertAlign w:val="superscript"/>
          <w:lang w:val="fr-BE"/>
        </w:rPr>
        <w:t>11</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39296" behindDoc="1" locked="0" layoutInCell="0" allowOverlap="1">
                <wp:simplePos x="0" y="0"/>
                <wp:positionH relativeFrom="column">
                  <wp:posOffset>651510</wp:posOffset>
                </wp:positionH>
                <wp:positionV relativeFrom="paragraph">
                  <wp:posOffset>38100</wp:posOffset>
                </wp:positionV>
                <wp:extent cx="0" cy="3086100"/>
                <wp:effectExtent l="0" t="0" r="0" b="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086100"/>
                        </a:xfrm>
                        <a:prstGeom prst="line">
                          <a:avLst/>
                        </a:prstGeom>
                        <a:solidFill>
                          <a:srgbClr val="FFFFFF"/>
                        </a:solidFill>
                        <a:ln w="9525">
                          <a:solidFill>
                            <a:srgbClr val="8BCCEC"/>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pt,3pt" to="51.3pt,246pt" o:allowincell="f" strokecolor="#8BCCEC" strokeweight="0.75pt"/>
            </w:pict>
          </mc:Fallback>
        </mc:AlternateContent>
      </w:r>
      <w:r>
        <w:rPr>
          <w:noProof/>
          <w:sz w:val="20"/>
          <w:szCs w:val="20"/>
        </w:rPr>
        <mc:AlternateContent>
          <mc:Choice Requires="wps">
            <w:drawing>
              <wp:anchor distT="0" distB="0" distL="114300" distR="114300" simplePos="0" relativeHeight="251640320" behindDoc="1" locked="0" layoutInCell="0" allowOverlap="1">
                <wp:simplePos x="0" y="0"/>
                <wp:positionH relativeFrom="column">
                  <wp:posOffset>646430</wp:posOffset>
                </wp:positionH>
                <wp:positionV relativeFrom="paragraph">
                  <wp:posOffset>3119120</wp:posOffset>
                </wp:positionV>
                <wp:extent cx="6010275" cy="0"/>
                <wp:effectExtent l="0" t="0" r="0" b="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10275" cy="4763"/>
                        </a:xfrm>
                        <a:prstGeom prst="line">
                          <a:avLst/>
                        </a:prstGeom>
                        <a:solidFill>
                          <a:srgbClr val="FFFFFF"/>
                        </a:solidFill>
                        <a:ln w="9525">
                          <a:solidFill>
                            <a:srgbClr val="8BCCEC"/>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9pt,245.6pt" to="524.15pt,245.6pt" o:allowincell="f" strokecolor="#8BCCEC" strokeweight="0.75pt"/>
            </w:pict>
          </mc:Fallback>
        </mc:AlternateContent>
      </w:r>
      <w:r>
        <w:rPr>
          <w:noProof/>
          <w:sz w:val="20"/>
          <w:szCs w:val="20"/>
        </w:rPr>
        <mc:AlternateContent>
          <mc:Choice Requires="wps">
            <w:drawing>
              <wp:anchor distT="0" distB="0" distL="114300" distR="114300" simplePos="0" relativeHeight="251641344" behindDoc="1" locked="0" layoutInCell="0" allowOverlap="1">
                <wp:simplePos x="0" y="0"/>
                <wp:positionH relativeFrom="column">
                  <wp:posOffset>646430</wp:posOffset>
                </wp:positionH>
                <wp:positionV relativeFrom="paragraph">
                  <wp:posOffset>43180</wp:posOffset>
                </wp:positionV>
                <wp:extent cx="6010275" cy="0"/>
                <wp:effectExtent l="0" t="0" r="0" b="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10275" cy="4763"/>
                        </a:xfrm>
                        <a:prstGeom prst="line">
                          <a:avLst/>
                        </a:prstGeom>
                        <a:solidFill>
                          <a:srgbClr val="FFFFFF"/>
                        </a:solidFill>
                        <a:ln w="9525">
                          <a:solidFill>
                            <a:srgbClr val="8BCCEC"/>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9pt,3.4pt" to="524.15pt,3.4pt" o:allowincell="f" strokecolor="#8BCCEC" strokeweight="0.75pt"/>
            </w:pict>
          </mc:Fallback>
        </mc:AlternateContent>
      </w:r>
      <w:r>
        <w:rPr>
          <w:noProof/>
          <w:sz w:val="20"/>
          <w:szCs w:val="20"/>
        </w:rPr>
        <mc:AlternateContent>
          <mc:Choice Requires="wps">
            <w:drawing>
              <wp:anchor distT="0" distB="0" distL="114300" distR="114300" simplePos="0" relativeHeight="251642368" behindDoc="1" locked="0" layoutInCell="0" allowOverlap="1">
                <wp:simplePos x="0" y="0"/>
                <wp:positionH relativeFrom="column">
                  <wp:posOffset>6652260</wp:posOffset>
                </wp:positionH>
                <wp:positionV relativeFrom="paragraph">
                  <wp:posOffset>38100</wp:posOffset>
                </wp:positionV>
                <wp:extent cx="0" cy="3086100"/>
                <wp:effectExtent l="0" t="0" r="0" b="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086100"/>
                        </a:xfrm>
                        <a:prstGeom prst="line">
                          <a:avLst/>
                        </a:prstGeom>
                        <a:solidFill>
                          <a:srgbClr val="FFFFFF"/>
                        </a:solidFill>
                        <a:ln w="9525">
                          <a:solidFill>
                            <a:srgbClr val="8BCCEC"/>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8pt,3pt" to="523.8pt,246pt" o:allowincell="f" strokecolor="#8BCCEC" strokeweight="0.75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25" w:lineRule="auto"/>
        <w:ind w:right="900"/>
        <w:jc w:val="both"/>
        <w:rPr>
          <w:sz w:val="20"/>
          <w:szCs w:val="20"/>
          <w:lang w:val="fr-BE"/>
        </w:rPr>
      </w:pPr>
      <w:r w:rsidRPr="00C27636">
        <w:rPr>
          <w:rFonts w:ascii="Calibri" w:eastAsia="Calibri" w:hAnsi="Calibri" w:cs="Calibri"/>
          <w:lang w:val="fr-BE"/>
        </w:rPr>
        <w:t>différences de calcul de l’indice socio-écon</w:t>
      </w:r>
      <w:r w:rsidRPr="00C27636">
        <w:rPr>
          <w:rFonts w:ascii="Calibri" w:eastAsia="Calibri" w:hAnsi="Calibri" w:cs="Calibri"/>
          <w:lang w:val="fr-BE"/>
        </w:rPr>
        <w:t>omique par exemple (cf. sous-titre ‘Limite de l’indicateur’).</w:t>
      </w:r>
    </w:p>
    <w:p w:rsidR="00AC12B4" w:rsidRPr="00C27636" w:rsidRDefault="00AC12B4">
      <w:pPr>
        <w:spacing w:line="129" w:lineRule="exact"/>
        <w:rPr>
          <w:sz w:val="20"/>
          <w:szCs w:val="20"/>
          <w:lang w:val="fr-BE"/>
        </w:rPr>
      </w:pPr>
    </w:p>
    <w:p w:rsidR="00AC12B4" w:rsidRDefault="00C27636">
      <w:pPr>
        <w:numPr>
          <w:ilvl w:val="0"/>
          <w:numId w:val="195"/>
        </w:numPr>
        <w:tabs>
          <w:tab w:val="left" w:pos="720"/>
        </w:tabs>
        <w:ind w:left="720" w:hanging="355"/>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199" w:lineRule="exact"/>
        <w:rPr>
          <w:sz w:val="20"/>
          <w:szCs w:val="20"/>
        </w:rPr>
      </w:pPr>
    </w:p>
    <w:p w:rsidR="00AC12B4" w:rsidRPr="00C27636" w:rsidRDefault="00C27636">
      <w:pPr>
        <w:spacing w:line="218" w:lineRule="auto"/>
        <w:ind w:right="900"/>
        <w:jc w:val="both"/>
        <w:rPr>
          <w:sz w:val="20"/>
          <w:szCs w:val="20"/>
          <w:lang w:val="fr-BE"/>
        </w:rPr>
      </w:pPr>
      <w:r w:rsidRPr="00C27636">
        <w:rPr>
          <w:rFonts w:ascii="Calibri" w:eastAsia="Calibri" w:hAnsi="Calibri" w:cs="Calibri"/>
          <w:lang w:val="fr-BE"/>
        </w:rPr>
        <w:t>Il est difficile de mesurer si l’orientation scolaire est le fait d’un libre choix, d’une</w:t>
      </w:r>
    </w:p>
    <w:p w:rsidR="00AC12B4" w:rsidRPr="00C27636" w:rsidRDefault="00AC12B4">
      <w:pPr>
        <w:spacing w:line="50" w:lineRule="exact"/>
        <w:rPr>
          <w:sz w:val="20"/>
          <w:szCs w:val="20"/>
          <w:lang w:val="fr-BE"/>
        </w:rPr>
      </w:pPr>
    </w:p>
    <w:p w:rsidR="00AC12B4" w:rsidRPr="00C27636" w:rsidRDefault="00C27636">
      <w:pPr>
        <w:spacing w:line="225" w:lineRule="auto"/>
        <w:ind w:right="900"/>
        <w:jc w:val="both"/>
        <w:rPr>
          <w:sz w:val="20"/>
          <w:szCs w:val="20"/>
          <w:lang w:val="fr-BE"/>
        </w:rPr>
      </w:pPr>
      <w:r w:rsidRPr="00C27636">
        <w:rPr>
          <w:rFonts w:ascii="Calibri" w:eastAsia="Calibri" w:hAnsi="Calibri" w:cs="Calibri"/>
          <w:lang w:val="fr-BE"/>
        </w:rPr>
        <w:t>réorientation officielle ou de suggestions/pressions de l’entourage familial ou s</w:t>
      </w:r>
      <w:r w:rsidRPr="00C27636">
        <w:rPr>
          <w:rFonts w:ascii="Calibri" w:eastAsia="Calibri" w:hAnsi="Calibri" w:cs="Calibri"/>
          <w:lang w:val="fr-BE"/>
        </w:rPr>
        <w:t>colaire.</w:t>
      </w:r>
    </w:p>
    <w:p w:rsidR="00AC12B4" w:rsidRPr="00C27636" w:rsidRDefault="00AC12B4">
      <w:pPr>
        <w:spacing w:line="349" w:lineRule="exact"/>
        <w:rPr>
          <w:sz w:val="20"/>
          <w:szCs w:val="20"/>
          <w:lang w:val="fr-BE"/>
        </w:rPr>
      </w:pPr>
    </w:p>
    <w:p w:rsidR="00AC12B4" w:rsidRPr="00C27636" w:rsidRDefault="00AC12B4">
      <w:pPr>
        <w:rPr>
          <w:lang w:val="fr-BE"/>
        </w:rPr>
        <w:sectPr w:rsidR="00AC12B4" w:rsidRPr="00C27636">
          <w:pgSz w:w="12080" w:h="17179"/>
          <w:pgMar w:top="1440" w:right="1277" w:bottom="659" w:left="497" w:header="0" w:footer="0" w:gutter="0"/>
          <w:cols w:num="2" w:space="720" w:equalWidth="0">
            <w:col w:w="4823" w:space="700"/>
            <w:col w:w="4780"/>
          </w:cols>
        </w:sectPr>
      </w:pPr>
    </w:p>
    <w:p w:rsidR="00AC12B4" w:rsidRPr="00C27636" w:rsidRDefault="00AC12B4">
      <w:pPr>
        <w:spacing w:line="62" w:lineRule="exact"/>
        <w:rPr>
          <w:sz w:val="20"/>
          <w:szCs w:val="20"/>
          <w:lang w:val="fr-BE"/>
        </w:rPr>
      </w:pPr>
    </w:p>
    <w:p w:rsidR="00AC12B4" w:rsidRPr="00C27636" w:rsidRDefault="00C27636">
      <w:pPr>
        <w:spacing w:line="225" w:lineRule="auto"/>
        <w:ind w:left="1680" w:right="1040"/>
        <w:jc w:val="center"/>
        <w:rPr>
          <w:sz w:val="20"/>
          <w:szCs w:val="20"/>
          <w:lang w:val="fr-BE"/>
        </w:rPr>
      </w:pPr>
      <w:r w:rsidRPr="00C27636">
        <w:rPr>
          <w:rFonts w:ascii="Calibri" w:eastAsia="Calibri" w:hAnsi="Calibri" w:cs="Calibri"/>
          <w:b/>
          <w:bCs/>
          <w:lang w:val="fr-BE"/>
        </w:rPr>
        <w:t>Indice socioéconomique moyen des quartiers où résident les élèves des différents niveaux et formes de l'enseignement secondaire ordinaire de plein exercice - Année scolaire 2012-2013</w:t>
      </w:r>
    </w:p>
    <w:p w:rsidR="00AC12B4" w:rsidRPr="00C27636" w:rsidRDefault="00AC12B4">
      <w:pPr>
        <w:spacing w:line="70" w:lineRule="exact"/>
        <w:rPr>
          <w:sz w:val="20"/>
          <w:szCs w:val="20"/>
          <w:lang w:val="fr-BE"/>
        </w:rPr>
      </w:pPr>
    </w:p>
    <w:tbl>
      <w:tblPr>
        <w:tblW w:w="0" w:type="auto"/>
        <w:tblInd w:w="1123" w:type="dxa"/>
        <w:tblLayout w:type="fixed"/>
        <w:tblCellMar>
          <w:left w:w="0" w:type="dxa"/>
          <w:right w:w="0" w:type="dxa"/>
        </w:tblCellMar>
        <w:tblLook w:val="04A0" w:firstRow="1" w:lastRow="0" w:firstColumn="1" w:lastColumn="0" w:noHBand="0" w:noVBand="1"/>
      </w:tblPr>
      <w:tblGrid>
        <w:gridCol w:w="260"/>
        <w:gridCol w:w="20"/>
        <w:gridCol w:w="160"/>
        <w:gridCol w:w="700"/>
        <w:gridCol w:w="20"/>
        <w:gridCol w:w="520"/>
        <w:gridCol w:w="60"/>
        <w:gridCol w:w="260"/>
        <w:gridCol w:w="20"/>
        <w:gridCol w:w="320"/>
        <w:gridCol w:w="540"/>
        <w:gridCol w:w="20"/>
        <w:gridCol w:w="80"/>
        <w:gridCol w:w="480"/>
        <w:gridCol w:w="300"/>
        <w:gridCol w:w="20"/>
        <w:gridCol w:w="340"/>
        <w:gridCol w:w="300"/>
        <w:gridCol w:w="240"/>
        <w:gridCol w:w="80"/>
        <w:gridCol w:w="160"/>
        <w:gridCol w:w="440"/>
        <w:gridCol w:w="180"/>
        <w:gridCol w:w="20"/>
        <w:gridCol w:w="640"/>
        <w:gridCol w:w="200"/>
        <w:gridCol w:w="20"/>
        <w:gridCol w:w="80"/>
        <w:gridCol w:w="120"/>
        <w:gridCol w:w="500"/>
        <w:gridCol w:w="160"/>
        <w:gridCol w:w="20"/>
        <w:gridCol w:w="700"/>
        <w:gridCol w:w="160"/>
        <w:gridCol w:w="20"/>
        <w:gridCol w:w="440"/>
        <w:gridCol w:w="420"/>
        <w:gridCol w:w="20"/>
        <w:gridCol w:w="140"/>
        <w:gridCol w:w="20"/>
      </w:tblGrid>
      <w:tr w:rsidR="00AC12B4">
        <w:trPr>
          <w:trHeight w:val="249"/>
        </w:trPr>
        <w:tc>
          <w:tcPr>
            <w:tcW w:w="1680" w:type="dxa"/>
            <w:gridSpan w:val="6"/>
            <w:vAlign w:val="bottom"/>
          </w:tcPr>
          <w:p w:rsidR="00AC12B4" w:rsidRDefault="00C27636">
            <w:pPr>
              <w:ind w:right="540"/>
              <w:jc w:val="right"/>
              <w:rPr>
                <w:sz w:val="20"/>
                <w:szCs w:val="20"/>
              </w:rPr>
            </w:pPr>
            <w:r>
              <w:rPr>
                <w:rFonts w:ascii="Calibri" w:eastAsia="Calibri" w:hAnsi="Calibri" w:cs="Calibri"/>
                <w:w w:val="97"/>
                <w:sz w:val="20"/>
                <w:szCs w:val="20"/>
              </w:rPr>
              <w:t>1° degré -0,48</w:t>
            </w:r>
          </w:p>
        </w:tc>
        <w:tc>
          <w:tcPr>
            <w:tcW w:w="60" w:type="dxa"/>
            <w:vAlign w:val="bottom"/>
          </w:tcPr>
          <w:p w:rsidR="00AC12B4" w:rsidRDefault="00AC12B4">
            <w:pPr>
              <w:rPr>
                <w:sz w:val="21"/>
                <w:szCs w:val="21"/>
              </w:rPr>
            </w:pPr>
          </w:p>
        </w:tc>
        <w:tc>
          <w:tcPr>
            <w:tcW w:w="26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320" w:type="dxa"/>
            <w:vAlign w:val="bottom"/>
          </w:tcPr>
          <w:p w:rsidR="00AC12B4" w:rsidRDefault="00AC12B4">
            <w:pPr>
              <w:rPr>
                <w:sz w:val="21"/>
                <w:szCs w:val="21"/>
              </w:rPr>
            </w:pPr>
          </w:p>
        </w:tc>
        <w:tc>
          <w:tcPr>
            <w:tcW w:w="54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480" w:type="dxa"/>
            <w:vAlign w:val="bottom"/>
          </w:tcPr>
          <w:p w:rsidR="00AC12B4" w:rsidRDefault="00AC12B4">
            <w:pPr>
              <w:rPr>
                <w:sz w:val="21"/>
                <w:szCs w:val="21"/>
              </w:rPr>
            </w:pPr>
          </w:p>
        </w:tc>
        <w:tc>
          <w:tcPr>
            <w:tcW w:w="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340" w:type="dxa"/>
            <w:vAlign w:val="bottom"/>
          </w:tcPr>
          <w:p w:rsidR="00AC12B4" w:rsidRDefault="00AC12B4">
            <w:pPr>
              <w:rPr>
                <w:sz w:val="21"/>
                <w:szCs w:val="21"/>
              </w:rPr>
            </w:pPr>
          </w:p>
        </w:tc>
        <w:tc>
          <w:tcPr>
            <w:tcW w:w="300" w:type="dxa"/>
            <w:vAlign w:val="bottom"/>
          </w:tcPr>
          <w:p w:rsidR="00AC12B4" w:rsidRDefault="00AC12B4">
            <w:pPr>
              <w:rPr>
                <w:sz w:val="21"/>
                <w:szCs w:val="21"/>
              </w:rPr>
            </w:pPr>
          </w:p>
        </w:tc>
        <w:tc>
          <w:tcPr>
            <w:tcW w:w="24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160" w:type="dxa"/>
            <w:vAlign w:val="bottom"/>
          </w:tcPr>
          <w:p w:rsidR="00AC12B4" w:rsidRDefault="00AC12B4">
            <w:pPr>
              <w:rPr>
                <w:sz w:val="21"/>
                <w:szCs w:val="21"/>
              </w:rPr>
            </w:pPr>
          </w:p>
        </w:tc>
        <w:tc>
          <w:tcPr>
            <w:tcW w:w="1700" w:type="dxa"/>
            <w:gridSpan w:val="8"/>
            <w:vMerge w:val="restart"/>
            <w:vAlign w:val="bottom"/>
          </w:tcPr>
          <w:p w:rsidR="00AC12B4" w:rsidRDefault="00C27636">
            <w:pPr>
              <w:ind w:left="180"/>
              <w:rPr>
                <w:sz w:val="20"/>
                <w:szCs w:val="20"/>
              </w:rPr>
            </w:pPr>
            <w:r>
              <w:rPr>
                <w:rFonts w:ascii="Calibri" w:eastAsia="Calibri" w:hAnsi="Calibri" w:cs="Calibri"/>
                <w:color w:val="4F81BD"/>
                <w:w w:val="97"/>
                <w:sz w:val="18"/>
                <w:szCs w:val="18"/>
              </w:rPr>
              <w:t xml:space="preserve">1er </w:t>
            </w:r>
            <w:r>
              <w:rPr>
                <w:rFonts w:ascii="Calibri" w:eastAsia="Calibri" w:hAnsi="Calibri" w:cs="Calibri"/>
                <w:color w:val="4F81BD"/>
                <w:w w:val="97"/>
                <w:sz w:val="18"/>
                <w:szCs w:val="18"/>
              </w:rPr>
              <w:t>degré différencié</w:t>
            </w:r>
          </w:p>
        </w:tc>
        <w:tc>
          <w:tcPr>
            <w:tcW w:w="500" w:type="dxa"/>
            <w:vAlign w:val="bottom"/>
          </w:tcPr>
          <w:p w:rsidR="00AC12B4" w:rsidRDefault="00AC12B4">
            <w:pPr>
              <w:rPr>
                <w:sz w:val="21"/>
                <w:szCs w:val="21"/>
              </w:rPr>
            </w:pPr>
          </w:p>
        </w:tc>
        <w:tc>
          <w:tcPr>
            <w:tcW w:w="16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700" w:type="dxa"/>
            <w:vAlign w:val="bottom"/>
          </w:tcPr>
          <w:p w:rsidR="00AC12B4" w:rsidRDefault="00AC12B4">
            <w:pPr>
              <w:rPr>
                <w:sz w:val="21"/>
                <w:szCs w:val="21"/>
              </w:rPr>
            </w:pPr>
          </w:p>
        </w:tc>
        <w:tc>
          <w:tcPr>
            <w:tcW w:w="16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56"/>
        </w:trPr>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700" w:type="dxa"/>
            <w:shd w:val="clear" w:color="auto" w:fill="4F81BD"/>
            <w:vAlign w:val="bottom"/>
          </w:tcPr>
          <w:p w:rsidR="00AC12B4" w:rsidRDefault="00AC12B4">
            <w:pPr>
              <w:rPr>
                <w:sz w:val="13"/>
                <w:szCs w:val="13"/>
              </w:rPr>
            </w:pPr>
          </w:p>
        </w:tc>
        <w:tc>
          <w:tcPr>
            <w:tcW w:w="20" w:type="dxa"/>
            <w:shd w:val="clear" w:color="auto" w:fill="4F81BD"/>
            <w:vAlign w:val="bottom"/>
          </w:tcPr>
          <w:p w:rsidR="00AC12B4" w:rsidRDefault="00AC12B4">
            <w:pPr>
              <w:rPr>
                <w:sz w:val="13"/>
                <w:szCs w:val="13"/>
              </w:rPr>
            </w:pPr>
          </w:p>
        </w:tc>
        <w:tc>
          <w:tcPr>
            <w:tcW w:w="520" w:type="dxa"/>
            <w:shd w:val="clear" w:color="auto" w:fill="4F81BD"/>
            <w:vAlign w:val="bottom"/>
          </w:tcPr>
          <w:p w:rsidR="00AC12B4" w:rsidRDefault="00AC12B4">
            <w:pPr>
              <w:rPr>
                <w:sz w:val="13"/>
                <w:szCs w:val="13"/>
              </w:rPr>
            </w:pPr>
          </w:p>
        </w:tc>
        <w:tc>
          <w:tcPr>
            <w:tcW w:w="60" w:type="dxa"/>
            <w:shd w:val="clear" w:color="auto" w:fill="4F81BD"/>
            <w:vAlign w:val="bottom"/>
          </w:tcPr>
          <w:p w:rsidR="00AC12B4" w:rsidRDefault="00AC12B4">
            <w:pPr>
              <w:rPr>
                <w:sz w:val="13"/>
                <w:szCs w:val="13"/>
              </w:rPr>
            </w:pPr>
          </w:p>
        </w:tc>
        <w:tc>
          <w:tcPr>
            <w:tcW w:w="260" w:type="dxa"/>
            <w:shd w:val="clear" w:color="auto" w:fill="4F81BD"/>
            <w:vAlign w:val="bottom"/>
          </w:tcPr>
          <w:p w:rsidR="00AC12B4" w:rsidRDefault="00AC12B4">
            <w:pPr>
              <w:rPr>
                <w:sz w:val="13"/>
                <w:szCs w:val="13"/>
              </w:rPr>
            </w:pPr>
          </w:p>
        </w:tc>
        <w:tc>
          <w:tcPr>
            <w:tcW w:w="20" w:type="dxa"/>
            <w:shd w:val="clear" w:color="auto" w:fill="4F81BD"/>
            <w:vAlign w:val="bottom"/>
          </w:tcPr>
          <w:p w:rsidR="00AC12B4" w:rsidRDefault="00AC12B4">
            <w:pPr>
              <w:rPr>
                <w:sz w:val="13"/>
                <w:szCs w:val="13"/>
              </w:rPr>
            </w:pPr>
          </w:p>
        </w:tc>
        <w:tc>
          <w:tcPr>
            <w:tcW w:w="320" w:type="dxa"/>
            <w:shd w:val="clear" w:color="auto" w:fill="4F81BD"/>
            <w:vAlign w:val="bottom"/>
          </w:tcPr>
          <w:p w:rsidR="00AC12B4" w:rsidRDefault="00AC12B4">
            <w:pPr>
              <w:rPr>
                <w:sz w:val="13"/>
                <w:szCs w:val="13"/>
              </w:rPr>
            </w:pPr>
          </w:p>
        </w:tc>
        <w:tc>
          <w:tcPr>
            <w:tcW w:w="540" w:type="dxa"/>
            <w:shd w:val="clear" w:color="auto" w:fill="4F81BD"/>
            <w:vAlign w:val="bottom"/>
          </w:tcPr>
          <w:p w:rsidR="00AC12B4" w:rsidRDefault="00AC12B4">
            <w:pPr>
              <w:rPr>
                <w:sz w:val="13"/>
                <w:szCs w:val="13"/>
              </w:rPr>
            </w:pPr>
          </w:p>
        </w:tc>
        <w:tc>
          <w:tcPr>
            <w:tcW w:w="20" w:type="dxa"/>
            <w:shd w:val="clear" w:color="auto" w:fill="4F81BD"/>
            <w:vAlign w:val="bottom"/>
          </w:tcPr>
          <w:p w:rsidR="00AC12B4" w:rsidRDefault="00AC12B4">
            <w:pPr>
              <w:rPr>
                <w:sz w:val="13"/>
                <w:szCs w:val="13"/>
              </w:rPr>
            </w:pPr>
          </w:p>
        </w:tc>
        <w:tc>
          <w:tcPr>
            <w:tcW w:w="80" w:type="dxa"/>
            <w:shd w:val="clear" w:color="auto" w:fill="4F81BD"/>
            <w:vAlign w:val="bottom"/>
          </w:tcPr>
          <w:p w:rsidR="00AC12B4" w:rsidRDefault="00AC12B4">
            <w:pPr>
              <w:rPr>
                <w:sz w:val="13"/>
                <w:szCs w:val="13"/>
              </w:rPr>
            </w:pPr>
          </w:p>
        </w:tc>
        <w:tc>
          <w:tcPr>
            <w:tcW w:w="480" w:type="dxa"/>
            <w:shd w:val="clear" w:color="auto" w:fill="4F81BD"/>
            <w:vAlign w:val="bottom"/>
          </w:tcPr>
          <w:p w:rsidR="00AC12B4" w:rsidRDefault="00AC12B4">
            <w:pPr>
              <w:rPr>
                <w:sz w:val="13"/>
                <w:szCs w:val="13"/>
              </w:rPr>
            </w:pPr>
          </w:p>
        </w:tc>
        <w:tc>
          <w:tcPr>
            <w:tcW w:w="300" w:type="dxa"/>
            <w:shd w:val="clear" w:color="auto" w:fill="4F81BD"/>
            <w:vAlign w:val="bottom"/>
          </w:tcPr>
          <w:p w:rsidR="00AC12B4" w:rsidRDefault="00AC12B4">
            <w:pPr>
              <w:rPr>
                <w:sz w:val="13"/>
                <w:szCs w:val="13"/>
              </w:rPr>
            </w:pPr>
          </w:p>
        </w:tc>
        <w:tc>
          <w:tcPr>
            <w:tcW w:w="20" w:type="dxa"/>
            <w:shd w:val="clear" w:color="auto" w:fill="4F81BD"/>
            <w:vAlign w:val="bottom"/>
          </w:tcPr>
          <w:p w:rsidR="00AC12B4" w:rsidRDefault="00AC12B4">
            <w:pPr>
              <w:rPr>
                <w:sz w:val="13"/>
                <w:szCs w:val="13"/>
              </w:rPr>
            </w:pPr>
          </w:p>
        </w:tc>
        <w:tc>
          <w:tcPr>
            <w:tcW w:w="340" w:type="dxa"/>
            <w:shd w:val="clear" w:color="auto" w:fill="4F81BD"/>
            <w:vAlign w:val="bottom"/>
          </w:tcPr>
          <w:p w:rsidR="00AC12B4" w:rsidRDefault="00AC12B4">
            <w:pPr>
              <w:rPr>
                <w:sz w:val="13"/>
                <w:szCs w:val="13"/>
              </w:rPr>
            </w:pPr>
          </w:p>
        </w:tc>
        <w:tc>
          <w:tcPr>
            <w:tcW w:w="300" w:type="dxa"/>
            <w:shd w:val="clear" w:color="auto" w:fill="4F81BD"/>
            <w:vAlign w:val="bottom"/>
          </w:tcPr>
          <w:p w:rsidR="00AC12B4" w:rsidRDefault="00AC12B4">
            <w:pPr>
              <w:rPr>
                <w:sz w:val="13"/>
                <w:szCs w:val="13"/>
              </w:rPr>
            </w:pPr>
          </w:p>
        </w:tc>
        <w:tc>
          <w:tcPr>
            <w:tcW w:w="240" w:type="dxa"/>
            <w:tcBorders>
              <w:right w:val="single" w:sz="8" w:space="0" w:color="868686"/>
            </w:tcBorders>
            <w:shd w:val="clear" w:color="auto" w:fill="4F81BD"/>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1700" w:type="dxa"/>
            <w:gridSpan w:val="8"/>
            <w:vMerge/>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20"/>
        </w:trPr>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1240" w:type="dxa"/>
            <w:gridSpan w:val="3"/>
            <w:vMerge w:val="restart"/>
            <w:vAlign w:val="bottom"/>
          </w:tcPr>
          <w:p w:rsidR="00AC12B4" w:rsidRDefault="00C27636">
            <w:pPr>
              <w:ind w:right="60"/>
              <w:jc w:val="right"/>
              <w:rPr>
                <w:sz w:val="20"/>
                <w:szCs w:val="20"/>
              </w:rPr>
            </w:pPr>
            <w:r>
              <w:rPr>
                <w:rFonts w:ascii="Calibri" w:eastAsia="Calibri" w:hAnsi="Calibri" w:cs="Calibri"/>
                <w:sz w:val="20"/>
                <w:szCs w:val="20"/>
              </w:rPr>
              <w:t>2° degré -0,33</w:t>
            </w:r>
          </w:p>
        </w:tc>
        <w:tc>
          <w:tcPr>
            <w:tcW w:w="6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2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240" w:type="dxa"/>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1280" w:type="dxa"/>
            <w:gridSpan w:val="4"/>
            <w:vMerge w:val="restart"/>
            <w:vAlign w:val="bottom"/>
          </w:tcPr>
          <w:p w:rsidR="00AC12B4" w:rsidRDefault="00C27636">
            <w:pPr>
              <w:ind w:left="180"/>
              <w:rPr>
                <w:sz w:val="20"/>
                <w:szCs w:val="20"/>
              </w:rPr>
            </w:pPr>
            <w:r>
              <w:rPr>
                <w:rFonts w:ascii="Calibri" w:eastAsia="Calibri" w:hAnsi="Calibri" w:cs="Calibri"/>
                <w:color w:val="F79646"/>
                <w:sz w:val="18"/>
                <w:szCs w:val="18"/>
              </w:rPr>
              <w:t>Professionnel</w:t>
            </w:r>
          </w:p>
        </w:tc>
        <w:tc>
          <w:tcPr>
            <w:tcW w:w="2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50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1"/>
        </w:trPr>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1240" w:type="dxa"/>
            <w:gridSpan w:val="3"/>
            <w:vMerge/>
            <w:vAlign w:val="bottom"/>
          </w:tcPr>
          <w:p w:rsidR="00AC12B4" w:rsidRDefault="00AC12B4">
            <w:pPr>
              <w:rPr>
                <w:sz w:val="13"/>
                <w:szCs w:val="13"/>
              </w:rPr>
            </w:pPr>
          </w:p>
        </w:tc>
        <w:tc>
          <w:tcPr>
            <w:tcW w:w="60" w:type="dxa"/>
            <w:vAlign w:val="bottom"/>
          </w:tcPr>
          <w:p w:rsidR="00AC12B4" w:rsidRDefault="00AC12B4">
            <w:pPr>
              <w:rPr>
                <w:sz w:val="13"/>
                <w:szCs w:val="13"/>
              </w:rPr>
            </w:pPr>
          </w:p>
        </w:tc>
        <w:tc>
          <w:tcPr>
            <w:tcW w:w="260" w:type="dxa"/>
            <w:shd w:val="clear" w:color="auto" w:fill="F79646"/>
            <w:vAlign w:val="bottom"/>
          </w:tcPr>
          <w:p w:rsidR="00AC12B4" w:rsidRDefault="00AC12B4">
            <w:pPr>
              <w:rPr>
                <w:sz w:val="13"/>
                <w:szCs w:val="13"/>
              </w:rPr>
            </w:pPr>
          </w:p>
        </w:tc>
        <w:tc>
          <w:tcPr>
            <w:tcW w:w="20" w:type="dxa"/>
            <w:shd w:val="clear" w:color="auto" w:fill="F79646"/>
            <w:vAlign w:val="bottom"/>
          </w:tcPr>
          <w:p w:rsidR="00AC12B4" w:rsidRDefault="00AC12B4">
            <w:pPr>
              <w:rPr>
                <w:sz w:val="13"/>
                <w:szCs w:val="13"/>
              </w:rPr>
            </w:pPr>
          </w:p>
        </w:tc>
        <w:tc>
          <w:tcPr>
            <w:tcW w:w="320" w:type="dxa"/>
            <w:shd w:val="clear" w:color="auto" w:fill="F79646"/>
            <w:vAlign w:val="bottom"/>
          </w:tcPr>
          <w:p w:rsidR="00AC12B4" w:rsidRDefault="00AC12B4">
            <w:pPr>
              <w:rPr>
                <w:sz w:val="13"/>
                <w:szCs w:val="13"/>
              </w:rPr>
            </w:pPr>
          </w:p>
        </w:tc>
        <w:tc>
          <w:tcPr>
            <w:tcW w:w="540" w:type="dxa"/>
            <w:shd w:val="clear" w:color="auto" w:fill="F79646"/>
            <w:vAlign w:val="bottom"/>
          </w:tcPr>
          <w:p w:rsidR="00AC12B4" w:rsidRDefault="00AC12B4">
            <w:pPr>
              <w:rPr>
                <w:sz w:val="13"/>
                <w:szCs w:val="13"/>
              </w:rPr>
            </w:pPr>
          </w:p>
        </w:tc>
        <w:tc>
          <w:tcPr>
            <w:tcW w:w="20" w:type="dxa"/>
            <w:shd w:val="clear" w:color="auto" w:fill="F79646"/>
            <w:vAlign w:val="bottom"/>
          </w:tcPr>
          <w:p w:rsidR="00AC12B4" w:rsidRDefault="00AC12B4">
            <w:pPr>
              <w:rPr>
                <w:sz w:val="13"/>
                <w:szCs w:val="13"/>
              </w:rPr>
            </w:pPr>
          </w:p>
        </w:tc>
        <w:tc>
          <w:tcPr>
            <w:tcW w:w="80" w:type="dxa"/>
            <w:shd w:val="clear" w:color="auto" w:fill="F79646"/>
            <w:vAlign w:val="bottom"/>
          </w:tcPr>
          <w:p w:rsidR="00AC12B4" w:rsidRDefault="00AC12B4">
            <w:pPr>
              <w:rPr>
                <w:sz w:val="13"/>
                <w:szCs w:val="13"/>
              </w:rPr>
            </w:pPr>
          </w:p>
        </w:tc>
        <w:tc>
          <w:tcPr>
            <w:tcW w:w="480" w:type="dxa"/>
            <w:shd w:val="clear" w:color="auto" w:fill="F79646"/>
            <w:vAlign w:val="bottom"/>
          </w:tcPr>
          <w:p w:rsidR="00AC12B4" w:rsidRDefault="00AC12B4">
            <w:pPr>
              <w:rPr>
                <w:sz w:val="13"/>
                <w:szCs w:val="13"/>
              </w:rPr>
            </w:pPr>
          </w:p>
        </w:tc>
        <w:tc>
          <w:tcPr>
            <w:tcW w:w="300" w:type="dxa"/>
            <w:shd w:val="clear" w:color="auto" w:fill="F79646"/>
            <w:vAlign w:val="bottom"/>
          </w:tcPr>
          <w:p w:rsidR="00AC12B4" w:rsidRDefault="00AC12B4">
            <w:pPr>
              <w:rPr>
                <w:sz w:val="13"/>
                <w:szCs w:val="13"/>
              </w:rPr>
            </w:pPr>
          </w:p>
        </w:tc>
        <w:tc>
          <w:tcPr>
            <w:tcW w:w="20" w:type="dxa"/>
            <w:shd w:val="clear" w:color="auto" w:fill="F79646"/>
            <w:vAlign w:val="bottom"/>
          </w:tcPr>
          <w:p w:rsidR="00AC12B4" w:rsidRDefault="00AC12B4">
            <w:pPr>
              <w:rPr>
                <w:sz w:val="13"/>
                <w:szCs w:val="13"/>
              </w:rPr>
            </w:pPr>
          </w:p>
        </w:tc>
        <w:tc>
          <w:tcPr>
            <w:tcW w:w="340" w:type="dxa"/>
            <w:shd w:val="clear" w:color="auto" w:fill="F79646"/>
            <w:vAlign w:val="bottom"/>
          </w:tcPr>
          <w:p w:rsidR="00AC12B4" w:rsidRDefault="00AC12B4">
            <w:pPr>
              <w:rPr>
                <w:sz w:val="13"/>
                <w:szCs w:val="13"/>
              </w:rPr>
            </w:pPr>
          </w:p>
        </w:tc>
        <w:tc>
          <w:tcPr>
            <w:tcW w:w="300" w:type="dxa"/>
            <w:shd w:val="clear" w:color="auto" w:fill="F79646"/>
            <w:vAlign w:val="bottom"/>
          </w:tcPr>
          <w:p w:rsidR="00AC12B4" w:rsidRDefault="00AC12B4">
            <w:pPr>
              <w:rPr>
                <w:sz w:val="13"/>
                <w:szCs w:val="13"/>
              </w:rPr>
            </w:pPr>
          </w:p>
        </w:tc>
        <w:tc>
          <w:tcPr>
            <w:tcW w:w="240" w:type="dxa"/>
            <w:tcBorders>
              <w:right w:val="single" w:sz="8" w:space="0" w:color="868686"/>
            </w:tcBorders>
            <w:shd w:val="clear" w:color="auto" w:fill="F79646"/>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1280" w:type="dxa"/>
            <w:gridSpan w:val="4"/>
            <w:vMerge/>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5"/>
        </w:trPr>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1300" w:type="dxa"/>
            <w:gridSpan w:val="7"/>
            <w:vMerge w:val="restart"/>
            <w:vAlign w:val="bottom"/>
          </w:tcPr>
          <w:p w:rsidR="00AC12B4" w:rsidRDefault="00C27636">
            <w:pPr>
              <w:ind w:left="40"/>
              <w:rPr>
                <w:sz w:val="20"/>
                <w:szCs w:val="20"/>
              </w:rPr>
            </w:pPr>
            <w:r>
              <w:rPr>
                <w:rFonts w:ascii="Calibri" w:eastAsia="Calibri" w:hAnsi="Calibri" w:cs="Calibri"/>
                <w:sz w:val="20"/>
                <w:szCs w:val="20"/>
              </w:rPr>
              <w:t>3° degré -0,19</w:t>
            </w:r>
          </w:p>
        </w:tc>
        <w:tc>
          <w:tcPr>
            <w:tcW w:w="48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240" w:type="dxa"/>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1280" w:type="dxa"/>
            <w:gridSpan w:val="4"/>
            <w:vMerge/>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50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3"/>
        </w:trPr>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520" w:type="dxa"/>
            <w:vAlign w:val="bottom"/>
          </w:tcPr>
          <w:p w:rsidR="00AC12B4" w:rsidRDefault="00AC12B4">
            <w:pPr>
              <w:rPr>
                <w:sz w:val="13"/>
                <w:szCs w:val="13"/>
              </w:rPr>
            </w:pPr>
          </w:p>
        </w:tc>
        <w:tc>
          <w:tcPr>
            <w:tcW w:w="1300" w:type="dxa"/>
            <w:gridSpan w:val="7"/>
            <w:vMerge/>
            <w:vAlign w:val="bottom"/>
          </w:tcPr>
          <w:p w:rsidR="00AC12B4" w:rsidRDefault="00AC12B4">
            <w:pPr>
              <w:rPr>
                <w:sz w:val="13"/>
                <w:szCs w:val="13"/>
              </w:rPr>
            </w:pPr>
          </w:p>
        </w:tc>
        <w:tc>
          <w:tcPr>
            <w:tcW w:w="480" w:type="dxa"/>
            <w:shd w:val="clear" w:color="auto" w:fill="F79646"/>
            <w:vAlign w:val="bottom"/>
          </w:tcPr>
          <w:p w:rsidR="00AC12B4" w:rsidRDefault="00AC12B4">
            <w:pPr>
              <w:rPr>
                <w:sz w:val="13"/>
                <w:szCs w:val="13"/>
              </w:rPr>
            </w:pPr>
          </w:p>
        </w:tc>
        <w:tc>
          <w:tcPr>
            <w:tcW w:w="300" w:type="dxa"/>
            <w:shd w:val="clear" w:color="auto" w:fill="F79646"/>
            <w:vAlign w:val="bottom"/>
          </w:tcPr>
          <w:p w:rsidR="00AC12B4" w:rsidRDefault="00AC12B4">
            <w:pPr>
              <w:rPr>
                <w:sz w:val="13"/>
                <w:szCs w:val="13"/>
              </w:rPr>
            </w:pPr>
          </w:p>
        </w:tc>
        <w:tc>
          <w:tcPr>
            <w:tcW w:w="20" w:type="dxa"/>
            <w:shd w:val="clear" w:color="auto" w:fill="F79646"/>
            <w:vAlign w:val="bottom"/>
          </w:tcPr>
          <w:p w:rsidR="00AC12B4" w:rsidRDefault="00AC12B4">
            <w:pPr>
              <w:rPr>
                <w:sz w:val="13"/>
                <w:szCs w:val="13"/>
              </w:rPr>
            </w:pPr>
          </w:p>
        </w:tc>
        <w:tc>
          <w:tcPr>
            <w:tcW w:w="340" w:type="dxa"/>
            <w:shd w:val="clear" w:color="auto" w:fill="F79646"/>
            <w:vAlign w:val="bottom"/>
          </w:tcPr>
          <w:p w:rsidR="00AC12B4" w:rsidRDefault="00AC12B4">
            <w:pPr>
              <w:rPr>
                <w:sz w:val="13"/>
                <w:szCs w:val="13"/>
              </w:rPr>
            </w:pPr>
          </w:p>
        </w:tc>
        <w:tc>
          <w:tcPr>
            <w:tcW w:w="300" w:type="dxa"/>
            <w:shd w:val="clear" w:color="auto" w:fill="F79646"/>
            <w:vAlign w:val="bottom"/>
          </w:tcPr>
          <w:p w:rsidR="00AC12B4" w:rsidRDefault="00AC12B4">
            <w:pPr>
              <w:rPr>
                <w:sz w:val="13"/>
                <w:szCs w:val="13"/>
              </w:rPr>
            </w:pPr>
          </w:p>
        </w:tc>
        <w:tc>
          <w:tcPr>
            <w:tcW w:w="240" w:type="dxa"/>
            <w:tcBorders>
              <w:right w:val="single" w:sz="8" w:space="0" w:color="868686"/>
            </w:tcBorders>
            <w:shd w:val="clear" w:color="auto" w:fill="F79646"/>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64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20"/>
        </w:trPr>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20" w:type="dxa"/>
            <w:vAlign w:val="bottom"/>
          </w:tcPr>
          <w:p w:rsidR="00AC12B4" w:rsidRDefault="00AC12B4">
            <w:pPr>
              <w:rPr>
                <w:sz w:val="10"/>
                <w:szCs w:val="10"/>
              </w:rPr>
            </w:pPr>
          </w:p>
        </w:tc>
        <w:tc>
          <w:tcPr>
            <w:tcW w:w="1780" w:type="dxa"/>
            <w:gridSpan w:val="7"/>
            <w:vMerge w:val="restart"/>
            <w:vAlign w:val="bottom"/>
          </w:tcPr>
          <w:p w:rsidR="00AC12B4" w:rsidRDefault="00C27636">
            <w:pPr>
              <w:ind w:left="520"/>
              <w:rPr>
                <w:sz w:val="20"/>
                <w:szCs w:val="20"/>
              </w:rPr>
            </w:pPr>
            <w:r>
              <w:rPr>
                <w:rFonts w:ascii="Calibri" w:eastAsia="Calibri" w:hAnsi="Calibri" w:cs="Calibri"/>
                <w:sz w:val="20"/>
                <w:szCs w:val="20"/>
              </w:rPr>
              <w:t>2° degré -0,06</w:t>
            </w:r>
          </w:p>
        </w:tc>
        <w:tc>
          <w:tcPr>
            <w:tcW w:w="300" w:type="dxa"/>
            <w:vAlign w:val="bottom"/>
          </w:tcPr>
          <w:p w:rsidR="00AC12B4" w:rsidRDefault="00AC12B4">
            <w:pPr>
              <w:rPr>
                <w:sz w:val="10"/>
                <w:szCs w:val="10"/>
              </w:rPr>
            </w:pPr>
          </w:p>
        </w:tc>
        <w:tc>
          <w:tcPr>
            <w:tcW w:w="240" w:type="dxa"/>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40" w:type="dxa"/>
            <w:vAlign w:val="bottom"/>
          </w:tcPr>
          <w:p w:rsidR="00AC12B4" w:rsidRDefault="00AC12B4">
            <w:pPr>
              <w:rPr>
                <w:sz w:val="10"/>
                <w:szCs w:val="10"/>
              </w:rPr>
            </w:pPr>
          </w:p>
        </w:tc>
        <w:tc>
          <w:tcPr>
            <w:tcW w:w="1800" w:type="dxa"/>
            <w:gridSpan w:val="8"/>
            <w:vMerge w:val="restart"/>
            <w:vAlign w:val="bottom"/>
          </w:tcPr>
          <w:p w:rsidR="00AC12B4" w:rsidRDefault="00C27636">
            <w:pPr>
              <w:ind w:left="60"/>
              <w:rPr>
                <w:sz w:val="20"/>
                <w:szCs w:val="20"/>
              </w:rPr>
            </w:pPr>
            <w:r>
              <w:rPr>
                <w:rFonts w:ascii="Calibri" w:eastAsia="Calibri" w:hAnsi="Calibri" w:cs="Calibri"/>
                <w:color w:val="4BACC6"/>
                <w:sz w:val="18"/>
                <w:szCs w:val="18"/>
              </w:rPr>
              <w:t>Technique et artistique</w:t>
            </w: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1"/>
        </w:trPr>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520" w:type="dxa"/>
            <w:vAlign w:val="bottom"/>
          </w:tcPr>
          <w:p w:rsidR="00AC12B4" w:rsidRDefault="00AC12B4">
            <w:pPr>
              <w:rPr>
                <w:sz w:val="13"/>
                <w:szCs w:val="13"/>
              </w:rPr>
            </w:pPr>
          </w:p>
        </w:tc>
        <w:tc>
          <w:tcPr>
            <w:tcW w:w="6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1780" w:type="dxa"/>
            <w:gridSpan w:val="7"/>
            <w:vMerge/>
            <w:vAlign w:val="bottom"/>
          </w:tcPr>
          <w:p w:rsidR="00AC12B4" w:rsidRDefault="00AC12B4">
            <w:pPr>
              <w:rPr>
                <w:sz w:val="13"/>
                <w:szCs w:val="13"/>
              </w:rPr>
            </w:pPr>
          </w:p>
        </w:tc>
        <w:tc>
          <w:tcPr>
            <w:tcW w:w="300" w:type="dxa"/>
            <w:shd w:val="clear" w:color="auto" w:fill="4BACC6"/>
            <w:vAlign w:val="bottom"/>
          </w:tcPr>
          <w:p w:rsidR="00AC12B4" w:rsidRDefault="00AC12B4">
            <w:pPr>
              <w:rPr>
                <w:sz w:val="13"/>
                <w:szCs w:val="13"/>
              </w:rPr>
            </w:pPr>
          </w:p>
        </w:tc>
        <w:tc>
          <w:tcPr>
            <w:tcW w:w="240" w:type="dxa"/>
            <w:tcBorders>
              <w:right w:val="single" w:sz="8" w:space="0" w:color="868686"/>
            </w:tcBorders>
            <w:shd w:val="clear" w:color="auto" w:fill="4BACC6"/>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640" w:type="dxa"/>
            <w:vAlign w:val="bottom"/>
          </w:tcPr>
          <w:p w:rsidR="00AC12B4" w:rsidRDefault="00AC12B4">
            <w:pPr>
              <w:rPr>
                <w:sz w:val="13"/>
                <w:szCs w:val="13"/>
              </w:rPr>
            </w:pPr>
          </w:p>
        </w:tc>
        <w:tc>
          <w:tcPr>
            <w:tcW w:w="1800" w:type="dxa"/>
            <w:gridSpan w:val="8"/>
            <w:vMerge/>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20"/>
        </w:trPr>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2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240" w:type="dxa"/>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1280" w:type="dxa"/>
            <w:gridSpan w:val="4"/>
            <w:vMerge w:val="restart"/>
            <w:vAlign w:val="bottom"/>
          </w:tcPr>
          <w:p w:rsidR="00AC12B4" w:rsidRDefault="00C27636">
            <w:pPr>
              <w:ind w:left="120"/>
              <w:rPr>
                <w:sz w:val="20"/>
                <w:szCs w:val="20"/>
              </w:rPr>
            </w:pPr>
            <w:r>
              <w:rPr>
                <w:rFonts w:ascii="Calibri" w:eastAsia="Calibri" w:hAnsi="Calibri" w:cs="Calibri"/>
                <w:sz w:val="20"/>
                <w:szCs w:val="20"/>
              </w:rPr>
              <w:t>3° degré 0,03</w:t>
            </w:r>
          </w:p>
        </w:tc>
        <w:tc>
          <w:tcPr>
            <w:tcW w:w="1800" w:type="dxa"/>
            <w:gridSpan w:val="8"/>
            <w:vMerge w:val="restart"/>
            <w:vAlign w:val="bottom"/>
          </w:tcPr>
          <w:p w:rsidR="00AC12B4" w:rsidRDefault="00C27636">
            <w:pPr>
              <w:ind w:left="60"/>
              <w:rPr>
                <w:sz w:val="20"/>
                <w:szCs w:val="20"/>
              </w:rPr>
            </w:pPr>
            <w:r>
              <w:rPr>
                <w:rFonts w:ascii="Calibri" w:eastAsia="Calibri" w:hAnsi="Calibri" w:cs="Calibri"/>
                <w:color w:val="4BACC6"/>
                <w:sz w:val="18"/>
                <w:szCs w:val="18"/>
              </w:rPr>
              <w:t>de qualification</w:t>
            </w: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49"/>
        </w:trPr>
        <w:tc>
          <w:tcPr>
            <w:tcW w:w="2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7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5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2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5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34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240" w:type="dxa"/>
            <w:tcBorders>
              <w:right w:val="single" w:sz="8" w:space="0" w:color="868686"/>
            </w:tcBorders>
            <w:vAlign w:val="bottom"/>
          </w:tcPr>
          <w:p w:rsidR="00AC12B4" w:rsidRDefault="00AC12B4">
            <w:pPr>
              <w:rPr>
                <w:sz w:val="12"/>
                <w:szCs w:val="12"/>
              </w:rPr>
            </w:pPr>
          </w:p>
        </w:tc>
        <w:tc>
          <w:tcPr>
            <w:tcW w:w="80" w:type="dxa"/>
            <w:shd w:val="clear" w:color="auto" w:fill="4BACC6"/>
            <w:vAlign w:val="bottom"/>
          </w:tcPr>
          <w:p w:rsidR="00AC12B4" w:rsidRDefault="00AC12B4">
            <w:pPr>
              <w:rPr>
                <w:sz w:val="12"/>
                <w:szCs w:val="12"/>
              </w:rPr>
            </w:pPr>
          </w:p>
        </w:tc>
        <w:tc>
          <w:tcPr>
            <w:tcW w:w="160" w:type="dxa"/>
            <w:shd w:val="clear" w:color="auto" w:fill="4BACC6"/>
            <w:vAlign w:val="bottom"/>
          </w:tcPr>
          <w:p w:rsidR="00AC12B4" w:rsidRDefault="00AC12B4">
            <w:pPr>
              <w:rPr>
                <w:sz w:val="12"/>
                <w:szCs w:val="12"/>
              </w:rPr>
            </w:pPr>
          </w:p>
        </w:tc>
        <w:tc>
          <w:tcPr>
            <w:tcW w:w="1280" w:type="dxa"/>
            <w:gridSpan w:val="4"/>
            <w:vMerge/>
            <w:vAlign w:val="bottom"/>
          </w:tcPr>
          <w:p w:rsidR="00AC12B4" w:rsidRDefault="00AC12B4">
            <w:pPr>
              <w:rPr>
                <w:sz w:val="12"/>
                <w:szCs w:val="12"/>
              </w:rPr>
            </w:pPr>
          </w:p>
        </w:tc>
        <w:tc>
          <w:tcPr>
            <w:tcW w:w="1800" w:type="dxa"/>
            <w:gridSpan w:val="8"/>
            <w:vMerge/>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44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0"/>
        </w:trPr>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20" w:type="dxa"/>
            <w:vAlign w:val="bottom"/>
          </w:tcPr>
          <w:p w:rsidR="00AC12B4" w:rsidRDefault="00AC12B4">
            <w:pPr>
              <w:rPr>
                <w:sz w:val="10"/>
                <w:szCs w:val="10"/>
              </w:rPr>
            </w:pPr>
          </w:p>
        </w:tc>
        <w:tc>
          <w:tcPr>
            <w:tcW w:w="2080" w:type="dxa"/>
            <w:gridSpan w:val="8"/>
            <w:vMerge w:val="restart"/>
            <w:vAlign w:val="bottom"/>
          </w:tcPr>
          <w:p w:rsidR="00AC12B4" w:rsidRDefault="00C27636">
            <w:pPr>
              <w:ind w:left="440"/>
              <w:rPr>
                <w:sz w:val="20"/>
                <w:szCs w:val="20"/>
              </w:rPr>
            </w:pPr>
            <w:r>
              <w:rPr>
                <w:rFonts w:ascii="Calibri" w:eastAsia="Calibri" w:hAnsi="Calibri" w:cs="Calibri"/>
                <w:color w:val="8064A2"/>
                <w:sz w:val="18"/>
                <w:szCs w:val="18"/>
              </w:rPr>
              <w:t>1er degré commun</w:t>
            </w:r>
          </w:p>
        </w:tc>
        <w:tc>
          <w:tcPr>
            <w:tcW w:w="240" w:type="dxa"/>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1260" w:type="dxa"/>
            <w:gridSpan w:val="7"/>
            <w:vMerge w:val="restart"/>
            <w:vAlign w:val="bottom"/>
          </w:tcPr>
          <w:p w:rsidR="00AC12B4" w:rsidRDefault="00C27636">
            <w:pPr>
              <w:ind w:right="60"/>
              <w:jc w:val="right"/>
              <w:rPr>
                <w:sz w:val="20"/>
                <w:szCs w:val="20"/>
              </w:rPr>
            </w:pPr>
            <w:r>
              <w:rPr>
                <w:rFonts w:ascii="Calibri" w:eastAsia="Calibri" w:hAnsi="Calibri" w:cs="Calibri"/>
                <w:sz w:val="20"/>
                <w:szCs w:val="20"/>
              </w:rPr>
              <w:t>1° degré 0,08</w:t>
            </w:r>
          </w:p>
        </w:tc>
        <w:tc>
          <w:tcPr>
            <w:tcW w:w="50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1"/>
        </w:trPr>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520" w:type="dxa"/>
            <w:vAlign w:val="bottom"/>
          </w:tcPr>
          <w:p w:rsidR="00AC12B4" w:rsidRDefault="00AC12B4">
            <w:pPr>
              <w:rPr>
                <w:sz w:val="13"/>
                <w:szCs w:val="13"/>
              </w:rPr>
            </w:pPr>
          </w:p>
        </w:tc>
        <w:tc>
          <w:tcPr>
            <w:tcW w:w="6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2080" w:type="dxa"/>
            <w:gridSpan w:val="8"/>
            <w:vMerge/>
            <w:vAlign w:val="bottom"/>
          </w:tcPr>
          <w:p w:rsidR="00AC12B4" w:rsidRDefault="00AC12B4">
            <w:pPr>
              <w:rPr>
                <w:sz w:val="13"/>
                <w:szCs w:val="13"/>
              </w:rPr>
            </w:pPr>
          </w:p>
        </w:tc>
        <w:tc>
          <w:tcPr>
            <w:tcW w:w="240" w:type="dxa"/>
            <w:tcBorders>
              <w:right w:val="single" w:sz="8" w:space="0" w:color="868686"/>
            </w:tcBorders>
            <w:vAlign w:val="bottom"/>
          </w:tcPr>
          <w:p w:rsidR="00AC12B4" w:rsidRDefault="00AC12B4">
            <w:pPr>
              <w:rPr>
                <w:sz w:val="13"/>
                <w:szCs w:val="13"/>
              </w:rPr>
            </w:pPr>
          </w:p>
        </w:tc>
        <w:tc>
          <w:tcPr>
            <w:tcW w:w="80" w:type="dxa"/>
            <w:shd w:val="clear" w:color="auto" w:fill="8064A2"/>
            <w:vAlign w:val="bottom"/>
          </w:tcPr>
          <w:p w:rsidR="00AC12B4" w:rsidRDefault="00AC12B4">
            <w:pPr>
              <w:rPr>
                <w:sz w:val="13"/>
                <w:szCs w:val="13"/>
              </w:rPr>
            </w:pPr>
          </w:p>
        </w:tc>
        <w:tc>
          <w:tcPr>
            <w:tcW w:w="160" w:type="dxa"/>
            <w:shd w:val="clear" w:color="auto" w:fill="8064A2"/>
            <w:vAlign w:val="bottom"/>
          </w:tcPr>
          <w:p w:rsidR="00AC12B4" w:rsidRDefault="00AC12B4">
            <w:pPr>
              <w:rPr>
                <w:sz w:val="13"/>
                <w:szCs w:val="13"/>
              </w:rPr>
            </w:pPr>
          </w:p>
        </w:tc>
        <w:tc>
          <w:tcPr>
            <w:tcW w:w="440" w:type="dxa"/>
            <w:shd w:val="clear" w:color="auto" w:fill="8064A2"/>
            <w:vAlign w:val="bottom"/>
          </w:tcPr>
          <w:p w:rsidR="00AC12B4" w:rsidRDefault="00AC12B4">
            <w:pPr>
              <w:rPr>
                <w:sz w:val="13"/>
                <w:szCs w:val="13"/>
              </w:rPr>
            </w:pPr>
          </w:p>
        </w:tc>
        <w:tc>
          <w:tcPr>
            <w:tcW w:w="1260" w:type="dxa"/>
            <w:gridSpan w:val="7"/>
            <w:vMerge/>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20"/>
        </w:trPr>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20" w:type="dxa"/>
            <w:vAlign w:val="bottom"/>
          </w:tcPr>
          <w:p w:rsidR="00AC12B4" w:rsidRDefault="00AC12B4">
            <w:pPr>
              <w:rPr>
                <w:sz w:val="10"/>
                <w:szCs w:val="10"/>
              </w:rPr>
            </w:pPr>
          </w:p>
        </w:tc>
        <w:tc>
          <w:tcPr>
            <w:tcW w:w="2080" w:type="dxa"/>
            <w:gridSpan w:val="8"/>
            <w:vMerge w:val="restart"/>
            <w:vAlign w:val="bottom"/>
          </w:tcPr>
          <w:p w:rsidR="00AC12B4" w:rsidRDefault="00C27636">
            <w:pPr>
              <w:ind w:left="160"/>
              <w:rPr>
                <w:sz w:val="20"/>
                <w:szCs w:val="20"/>
              </w:rPr>
            </w:pPr>
            <w:r>
              <w:rPr>
                <w:rFonts w:ascii="Calibri" w:eastAsia="Calibri" w:hAnsi="Calibri" w:cs="Calibri"/>
                <w:color w:val="9BBB59"/>
                <w:sz w:val="18"/>
                <w:szCs w:val="18"/>
              </w:rPr>
              <w:t xml:space="preserve">Technique et </w:t>
            </w:r>
            <w:r>
              <w:rPr>
                <w:rFonts w:ascii="Calibri" w:eastAsia="Calibri" w:hAnsi="Calibri" w:cs="Calibri"/>
                <w:color w:val="9BBB59"/>
                <w:sz w:val="18"/>
                <w:szCs w:val="18"/>
              </w:rPr>
              <w:lastRenderedPageBreak/>
              <w:t>artistique</w:t>
            </w:r>
          </w:p>
        </w:tc>
        <w:tc>
          <w:tcPr>
            <w:tcW w:w="240" w:type="dxa"/>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4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1380" w:type="dxa"/>
            <w:gridSpan w:val="4"/>
            <w:vMerge w:val="restart"/>
            <w:vAlign w:val="bottom"/>
          </w:tcPr>
          <w:p w:rsidR="00AC12B4" w:rsidRDefault="00C27636">
            <w:pPr>
              <w:ind w:right="300"/>
              <w:jc w:val="right"/>
              <w:rPr>
                <w:sz w:val="20"/>
                <w:szCs w:val="20"/>
              </w:rPr>
            </w:pPr>
            <w:r>
              <w:rPr>
                <w:rFonts w:ascii="Calibri" w:eastAsia="Calibri" w:hAnsi="Calibri" w:cs="Calibri"/>
                <w:w w:val="97"/>
                <w:sz w:val="20"/>
                <w:szCs w:val="20"/>
              </w:rPr>
              <w:t xml:space="preserve">2° </w:t>
            </w:r>
            <w:r>
              <w:rPr>
                <w:rFonts w:ascii="Calibri" w:eastAsia="Calibri" w:hAnsi="Calibri" w:cs="Calibri"/>
                <w:w w:val="97"/>
                <w:sz w:val="20"/>
                <w:szCs w:val="20"/>
              </w:rPr>
              <w:lastRenderedPageBreak/>
              <w:t>degré 0,21</w:t>
            </w: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49"/>
        </w:trPr>
        <w:tc>
          <w:tcPr>
            <w:tcW w:w="2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7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5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2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2080" w:type="dxa"/>
            <w:gridSpan w:val="8"/>
            <w:vMerge/>
            <w:vAlign w:val="bottom"/>
          </w:tcPr>
          <w:p w:rsidR="00AC12B4" w:rsidRDefault="00AC12B4">
            <w:pPr>
              <w:rPr>
                <w:sz w:val="12"/>
                <w:szCs w:val="12"/>
              </w:rPr>
            </w:pPr>
          </w:p>
        </w:tc>
        <w:tc>
          <w:tcPr>
            <w:tcW w:w="240" w:type="dxa"/>
            <w:tcBorders>
              <w:right w:val="single" w:sz="8" w:space="0" w:color="868686"/>
            </w:tcBorders>
            <w:vAlign w:val="bottom"/>
          </w:tcPr>
          <w:p w:rsidR="00AC12B4" w:rsidRDefault="00AC12B4">
            <w:pPr>
              <w:rPr>
                <w:sz w:val="12"/>
                <w:szCs w:val="12"/>
              </w:rPr>
            </w:pPr>
          </w:p>
        </w:tc>
        <w:tc>
          <w:tcPr>
            <w:tcW w:w="80" w:type="dxa"/>
            <w:shd w:val="clear" w:color="auto" w:fill="9BBB59"/>
            <w:vAlign w:val="bottom"/>
          </w:tcPr>
          <w:p w:rsidR="00AC12B4" w:rsidRDefault="00AC12B4">
            <w:pPr>
              <w:rPr>
                <w:sz w:val="12"/>
                <w:szCs w:val="12"/>
              </w:rPr>
            </w:pPr>
          </w:p>
        </w:tc>
        <w:tc>
          <w:tcPr>
            <w:tcW w:w="160" w:type="dxa"/>
            <w:shd w:val="clear" w:color="auto" w:fill="9BBB59"/>
            <w:vAlign w:val="bottom"/>
          </w:tcPr>
          <w:p w:rsidR="00AC12B4" w:rsidRDefault="00AC12B4">
            <w:pPr>
              <w:rPr>
                <w:sz w:val="12"/>
                <w:szCs w:val="12"/>
              </w:rPr>
            </w:pPr>
          </w:p>
        </w:tc>
        <w:tc>
          <w:tcPr>
            <w:tcW w:w="440" w:type="dxa"/>
            <w:shd w:val="clear" w:color="auto" w:fill="9BBB59"/>
            <w:vAlign w:val="bottom"/>
          </w:tcPr>
          <w:p w:rsidR="00AC12B4" w:rsidRDefault="00AC12B4">
            <w:pPr>
              <w:rPr>
                <w:sz w:val="12"/>
                <w:szCs w:val="12"/>
              </w:rPr>
            </w:pPr>
          </w:p>
        </w:tc>
        <w:tc>
          <w:tcPr>
            <w:tcW w:w="180" w:type="dxa"/>
            <w:shd w:val="clear" w:color="auto" w:fill="9BBB59"/>
            <w:vAlign w:val="bottom"/>
          </w:tcPr>
          <w:p w:rsidR="00AC12B4" w:rsidRDefault="00AC12B4">
            <w:pPr>
              <w:rPr>
                <w:sz w:val="12"/>
                <w:szCs w:val="12"/>
              </w:rPr>
            </w:pPr>
          </w:p>
        </w:tc>
        <w:tc>
          <w:tcPr>
            <w:tcW w:w="20" w:type="dxa"/>
            <w:shd w:val="clear" w:color="auto" w:fill="9BBB59"/>
            <w:vAlign w:val="bottom"/>
          </w:tcPr>
          <w:p w:rsidR="00AC12B4" w:rsidRDefault="00AC12B4">
            <w:pPr>
              <w:rPr>
                <w:sz w:val="12"/>
                <w:szCs w:val="12"/>
              </w:rPr>
            </w:pPr>
          </w:p>
        </w:tc>
        <w:tc>
          <w:tcPr>
            <w:tcW w:w="640" w:type="dxa"/>
            <w:shd w:val="clear" w:color="auto" w:fill="9BBB59"/>
            <w:vAlign w:val="bottom"/>
          </w:tcPr>
          <w:p w:rsidR="00AC12B4" w:rsidRDefault="00AC12B4">
            <w:pPr>
              <w:rPr>
                <w:sz w:val="12"/>
                <w:szCs w:val="12"/>
              </w:rPr>
            </w:pPr>
          </w:p>
        </w:tc>
        <w:tc>
          <w:tcPr>
            <w:tcW w:w="200" w:type="dxa"/>
            <w:shd w:val="clear" w:color="auto" w:fill="9BBB59"/>
            <w:vAlign w:val="bottom"/>
          </w:tcPr>
          <w:p w:rsidR="00AC12B4" w:rsidRDefault="00AC12B4">
            <w:pPr>
              <w:rPr>
                <w:sz w:val="12"/>
                <w:szCs w:val="12"/>
              </w:rPr>
            </w:pPr>
          </w:p>
        </w:tc>
        <w:tc>
          <w:tcPr>
            <w:tcW w:w="20" w:type="dxa"/>
            <w:shd w:val="clear" w:color="auto" w:fill="9BBB59"/>
            <w:vAlign w:val="bottom"/>
          </w:tcPr>
          <w:p w:rsidR="00AC12B4" w:rsidRDefault="00AC12B4">
            <w:pPr>
              <w:rPr>
                <w:sz w:val="12"/>
                <w:szCs w:val="12"/>
              </w:rPr>
            </w:pPr>
          </w:p>
        </w:tc>
        <w:tc>
          <w:tcPr>
            <w:tcW w:w="80" w:type="dxa"/>
            <w:shd w:val="clear" w:color="auto" w:fill="9BBB59"/>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1380" w:type="dxa"/>
            <w:gridSpan w:val="4"/>
            <w:vMerge/>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44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0"/>
        </w:trPr>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20" w:type="dxa"/>
            <w:vAlign w:val="bottom"/>
          </w:tcPr>
          <w:p w:rsidR="00AC12B4" w:rsidRDefault="00AC12B4">
            <w:pPr>
              <w:rPr>
                <w:sz w:val="10"/>
                <w:szCs w:val="10"/>
              </w:rPr>
            </w:pPr>
          </w:p>
        </w:tc>
        <w:tc>
          <w:tcPr>
            <w:tcW w:w="2080" w:type="dxa"/>
            <w:gridSpan w:val="8"/>
            <w:vMerge/>
            <w:vAlign w:val="bottom"/>
          </w:tcPr>
          <w:p w:rsidR="00AC12B4" w:rsidRDefault="00AC12B4">
            <w:pPr>
              <w:rPr>
                <w:sz w:val="10"/>
                <w:szCs w:val="10"/>
              </w:rPr>
            </w:pPr>
          </w:p>
        </w:tc>
        <w:tc>
          <w:tcPr>
            <w:tcW w:w="240" w:type="dxa"/>
            <w:tcBorders>
              <w:right w:val="single" w:sz="8" w:space="0" w:color="868686"/>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4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500" w:type="dxa"/>
            <w:vAlign w:val="bottom"/>
          </w:tcPr>
          <w:p w:rsidR="00AC12B4" w:rsidRDefault="00AC12B4">
            <w:pPr>
              <w:rPr>
                <w:sz w:val="10"/>
                <w:szCs w:val="10"/>
              </w:rPr>
            </w:pPr>
          </w:p>
        </w:tc>
        <w:tc>
          <w:tcPr>
            <w:tcW w:w="1500" w:type="dxa"/>
            <w:gridSpan w:val="6"/>
            <w:vMerge w:val="restart"/>
            <w:vAlign w:val="bottom"/>
          </w:tcPr>
          <w:p w:rsidR="00AC12B4" w:rsidRDefault="00C27636">
            <w:pPr>
              <w:ind w:left="120"/>
              <w:rPr>
                <w:sz w:val="20"/>
                <w:szCs w:val="20"/>
              </w:rPr>
            </w:pPr>
            <w:r>
              <w:rPr>
                <w:rFonts w:ascii="Calibri" w:eastAsia="Calibri" w:hAnsi="Calibri" w:cs="Calibri"/>
                <w:sz w:val="20"/>
                <w:szCs w:val="20"/>
              </w:rPr>
              <w:t>3° degré 0,28</w:t>
            </w:r>
          </w:p>
        </w:tc>
        <w:tc>
          <w:tcPr>
            <w:tcW w:w="4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1"/>
        </w:trPr>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520" w:type="dxa"/>
            <w:vAlign w:val="bottom"/>
          </w:tcPr>
          <w:p w:rsidR="00AC12B4" w:rsidRDefault="00AC12B4">
            <w:pPr>
              <w:rPr>
                <w:sz w:val="13"/>
                <w:szCs w:val="13"/>
              </w:rPr>
            </w:pPr>
          </w:p>
        </w:tc>
        <w:tc>
          <w:tcPr>
            <w:tcW w:w="6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1120" w:type="dxa"/>
            <w:gridSpan w:val="4"/>
            <w:vMerge w:val="restart"/>
            <w:vAlign w:val="bottom"/>
          </w:tcPr>
          <w:p w:rsidR="00AC12B4" w:rsidRDefault="00C27636">
            <w:pPr>
              <w:ind w:left="160"/>
              <w:rPr>
                <w:sz w:val="20"/>
                <w:szCs w:val="20"/>
              </w:rPr>
            </w:pPr>
            <w:r>
              <w:rPr>
                <w:rFonts w:ascii="Calibri" w:eastAsia="Calibri" w:hAnsi="Calibri" w:cs="Calibri"/>
                <w:color w:val="9BBB59"/>
                <w:sz w:val="18"/>
                <w:szCs w:val="18"/>
              </w:rPr>
              <w:t>de transition</w:t>
            </w:r>
          </w:p>
        </w:tc>
        <w:tc>
          <w:tcPr>
            <w:tcW w:w="3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4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240" w:type="dxa"/>
            <w:tcBorders>
              <w:right w:val="single" w:sz="8" w:space="0" w:color="868686"/>
            </w:tcBorders>
            <w:vAlign w:val="bottom"/>
          </w:tcPr>
          <w:p w:rsidR="00AC12B4" w:rsidRDefault="00AC12B4">
            <w:pPr>
              <w:rPr>
                <w:sz w:val="13"/>
                <w:szCs w:val="13"/>
              </w:rPr>
            </w:pPr>
          </w:p>
        </w:tc>
        <w:tc>
          <w:tcPr>
            <w:tcW w:w="80" w:type="dxa"/>
            <w:shd w:val="clear" w:color="auto" w:fill="9BBB59"/>
            <w:vAlign w:val="bottom"/>
          </w:tcPr>
          <w:p w:rsidR="00AC12B4" w:rsidRDefault="00AC12B4">
            <w:pPr>
              <w:rPr>
                <w:sz w:val="13"/>
                <w:szCs w:val="13"/>
              </w:rPr>
            </w:pPr>
          </w:p>
        </w:tc>
        <w:tc>
          <w:tcPr>
            <w:tcW w:w="160" w:type="dxa"/>
            <w:shd w:val="clear" w:color="auto" w:fill="9BBB59"/>
            <w:vAlign w:val="bottom"/>
          </w:tcPr>
          <w:p w:rsidR="00AC12B4" w:rsidRDefault="00AC12B4">
            <w:pPr>
              <w:rPr>
                <w:sz w:val="13"/>
                <w:szCs w:val="13"/>
              </w:rPr>
            </w:pPr>
          </w:p>
        </w:tc>
        <w:tc>
          <w:tcPr>
            <w:tcW w:w="440" w:type="dxa"/>
            <w:shd w:val="clear" w:color="auto" w:fill="9BBB59"/>
            <w:vAlign w:val="bottom"/>
          </w:tcPr>
          <w:p w:rsidR="00AC12B4" w:rsidRDefault="00AC12B4">
            <w:pPr>
              <w:rPr>
                <w:sz w:val="13"/>
                <w:szCs w:val="13"/>
              </w:rPr>
            </w:pPr>
          </w:p>
        </w:tc>
        <w:tc>
          <w:tcPr>
            <w:tcW w:w="180" w:type="dxa"/>
            <w:shd w:val="clear" w:color="auto" w:fill="9BBB59"/>
            <w:vAlign w:val="bottom"/>
          </w:tcPr>
          <w:p w:rsidR="00AC12B4" w:rsidRDefault="00AC12B4">
            <w:pPr>
              <w:rPr>
                <w:sz w:val="13"/>
                <w:szCs w:val="13"/>
              </w:rPr>
            </w:pPr>
          </w:p>
        </w:tc>
        <w:tc>
          <w:tcPr>
            <w:tcW w:w="20" w:type="dxa"/>
            <w:shd w:val="clear" w:color="auto" w:fill="9BBB59"/>
            <w:vAlign w:val="bottom"/>
          </w:tcPr>
          <w:p w:rsidR="00AC12B4" w:rsidRDefault="00AC12B4">
            <w:pPr>
              <w:rPr>
                <w:sz w:val="13"/>
                <w:szCs w:val="13"/>
              </w:rPr>
            </w:pPr>
          </w:p>
        </w:tc>
        <w:tc>
          <w:tcPr>
            <w:tcW w:w="640" w:type="dxa"/>
            <w:shd w:val="clear" w:color="auto" w:fill="9BBB59"/>
            <w:vAlign w:val="bottom"/>
          </w:tcPr>
          <w:p w:rsidR="00AC12B4" w:rsidRDefault="00AC12B4">
            <w:pPr>
              <w:rPr>
                <w:sz w:val="13"/>
                <w:szCs w:val="13"/>
              </w:rPr>
            </w:pPr>
          </w:p>
        </w:tc>
        <w:tc>
          <w:tcPr>
            <w:tcW w:w="200" w:type="dxa"/>
            <w:shd w:val="clear" w:color="auto" w:fill="9BBB59"/>
            <w:vAlign w:val="bottom"/>
          </w:tcPr>
          <w:p w:rsidR="00AC12B4" w:rsidRDefault="00AC12B4">
            <w:pPr>
              <w:rPr>
                <w:sz w:val="13"/>
                <w:szCs w:val="13"/>
              </w:rPr>
            </w:pPr>
          </w:p>
        </w:tc>
        <w:tc>
          <w:tcPr>
            <w:tcW w:w="20" w:type="dxa"/>
            <w:shd w:val="clear" w:color="auto" w:fill="9BBB59"/>
            <w:vAlign w:val="bottom"/>
          </w:tcPr>
          <w:p w:rsidR="00AC12B4" w:rsidRDefault="00AC12B4">
            <w:pPr>
              <w:rPr>
                <w:sz w:val="13"/>
                <w:szCs w:val="13"/>
              </w:rPr>
            </w:pPr>
          </w:p>
        </w:tc>
        <w:tc>
          <w:tcPr>
            <w:tcW w:w="80" w:type="dxa"/>
            <w:shd w:val="clear" w:color="auto" w:fill="9BBB59"/>
            <w:vAlign w:val="bottom"/>
          </w:tcPr>
          <w:p w:rsidR="00AC12B4" w:rsidRDefault="00AC12B4">
            <w:pPr>
              <w:rPr>
                <w:sz w:val="13"/>
                <w:szCs w:val="13"/>
              </w:rPr>
            </w:pPr>
          </w:p>
        </w:tc>
        <w:tc>
          <w:tcPr>
            <w:tcW w:w="120" w:type="dxa"/>
            <w:shd w:val="clear" w:color="auto" w:fill="9BBB59"/>
            <w:vAlign w:val="bottom"/>
          </w:tcPr>
          <w:p w:rsidR="00AC12B4" w:rsidRDefault="00AC12B4">
            <w:pPr>
              <w:rPr>
                <w:sz w:val="13"/>
                <w:szCs w:val="13"/>
              </w:rPr>
            </w:pPr>
          </w:p>
        </w:tc>
        <w:tc>
          <w:tcPr>
            <w:tcW w:w="500" w:type="dxa"/>
            <w:shd w:val="clear" w:color="auto" w:fill="9BBB59"/>
            <w:vAlign w:val="bottom"/>
          </w:tcPr>
          <w:p w:rsidR="00AC12B4" w:rsidRDefault="00AC12B4">
            <w:pPr>
              <w:rPr>
                <w:sz w:val="13"/>
                <w:szCs w:val="13"/>
              </w:rPr>
            </w:pPr>
          </w:p>
        </w:tc>
        <w:tc>
          <w:tcPr>
            <w:tcW w:w="1500" w:type="dxa"/>
            <w:gridSpan w:val="6"/>
            <w:vMerge/>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73"/>
        </w:trPr>
        <w:tc>
          <w:tcPr>
            <w:tcW w:w="26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60" w:type="dxa"/>
            <w:vAlign w:val="bottom"/>
          </w:tcPr>
          <w:p w:rsidR="00AC12B4" w:rsidRDefault="00AC12B4">
            <w:pPr>
              <w:rPr>
                <w:sz w:val="6"/>
                <w:szCs w:val="6"/>
              </w:rPr>
            </w:pPr>
          </w:p>
        </w:tc>
        <w:tc>
          <w:tcPr>
            <w:tcW w:w="7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5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26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20" w:type="dxa"/>
            <w:vAlign w:val="bottom"/>
          </w:tcPr>
          <w:p w:rsidR="00AC12B4" w:rsidRDefault="00AC12B4">
            <w:pPr>
              <w:rPr>
                <w:sz w:val="6"/>
                <w:szCs w:val="6"/>
              </w:rPr>
            </w:pPr>
          </w:p>
        </w:tc>
        <w:tc>
          <w:tcPr>
            <w:tcW w:w="1120" w:type="dxa"/>
            <w:gridSpan w:val="4"/>
            <w:vMerge/>
            <w:vAlign w:val="bottom"/>
          </w:tcPr>
          <w:p w:rsidR="00AC12B4" w:rsidRDefault="00AC12B4">
            <w:pPr>
              <w:rPr>
                <w:sz w:val="6"/>
                <w:szCs w:val="6"/>
              </w:rPr>
            </w:pPr>
          </w:p>
        </w:tc>
        <w:tc>
          <w:tcPr>
            <w:tcW w:w="3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240" w:type="dxa"/>
            <w:tcBorders>
              <w:right w:val="single" w:sz="8" w:space="0" w:color="868686"/>
            </w:tcBorders>
            <w:vAlign w:val="bottom"/>
          </w:tcPr>
          <w:p w:rsidR="00AC12B4" w:rsidRDefault="00AC12B4">
            <w:pPr>
              <w:rPr>
                <w:sz w:val="6"/>
                <w:szCs w:val="6"/>
              </w:rPr>
            </w:pPr>
          </w:p>
        </w:tc>
        <w:tc>
          <w:tcPr>
            <w:tcW w:w="80" w:type="dxa"/>
            <w:vAlign w:val="bottom"/>
          </w:tcPr>
          <w:p w:rsidR="00AC12B4" w:rsidRDefault="00AC12B4">
            <w:pPr>
              <w:rPr>
                <w:sz w:val="6"/>
                <w:szCs w:val="6"/>
              </w:rPr>
            </w:pPr>
          </w:p>
        </w:tc>
        <w:tc>
          <w:tcPr>
            <w:tcW w:w="160" w:type="dxa"/>
            <w:vAlign w:val="bottom"/>
          </w:tcPr>
          <w:p w:rsidR="00AC12B4" w:rsidRDefault="00AC12B4">
            <w:pPr>
              <w:rPr>
                <w:sz w:val="6"/>
                <w:szCs w:val="6"/>
              </w:rPr>
            </w:pPr>
          </w:p>
        </w:tc>
        <w:tc>
          <w:tcPr>
            <w:tcW w:w="44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40" w:type="dxa"/>
            <w:vAlign w:val="bottom"/>
          </w:tcPr>
          <w:p w:rsidR="00AC12B4" w:rsidRDefault="00AC12B4">
            <w:pPr>
              <w:rPr>
                <w:sz w:val="6"/>
                <w:szCs w:val="6"/>
              </w:rPr>
            </w:pPr>
          </w:p>
        </w:tc>
        <w:tc>
          <w:tcPr>
            <w:tcW w:w="2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500" w:type="dxa"/>
            <w:vAlign w:val="bottom"/>
          </w:tcPr>
          <w:p w:rsidR="00AC12B4" w:rsidRDefault="00AC12B4">
            <w:pPr>
              <w:rPr>
                <w:sz w:val="6"/>
                <w:szCs w:val="6"/>
              </w:rPr>
            </w:pPr>
          </w:p>
        </w:tc>
        <w:tc>
          <w:tcPr>
            <w:tcW w:w="1500" w:type="dxa"/>
            <w:gridSpan w:val="6"/>
            <w:vMerge/>
            <w:vAlign w:val="bottom"/>
          </w:tcPr>
          <w:p w:rsidR="00AC12B4" w:rsidRDefault="00AC12B4">
            <w:pPr>
              <w:rPr>
                <w:sz w:val="6"/>
                <w:szCs w:val="6"/>
              </w:rPr>
            </w:pPr>
          </w:p>
        </w:tc>
        <w:tc>
          <w:tcPr>
            <w:tcW w:w="42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47"/>
        </w:trPr>
        <w:tc>
          <w:tcPr>
            <w:tcW w:w="2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60" w:type="dxa"/>
            <w:vAlign w:val="bottom"/>
          </w:tcPr>
          <w:p w:rsidR="00AC12B4" w:rsidRDefault="00AC12B4">
            <w:pPr>
              <w:rPr>
                <w:sz w:val="4"/>
                <w:szCs w:val="4"/>
              </w:rPr>
            </w:pPr>
          </w:p>
        </w:tc>
        <w:tc>
          <w:tcPr>
            <w:tcW w:w="7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520" w:type="dxa"/>
            <w:vAlign w:val="bottom"/>
          </w:tcPr>
          <w:p w:rsidR="00AC12B4" w:rsidRDefault="00AC12B4">
            <w:pPr>
              <w:rPr>
                <w:sz w:val="4"/>
                <w:szCs w:val="4"/>
              </w:rPr>
            </w:pPr>
          </w:p>
        </w:tc>
        <w:tc>
          <w:tcPr>
            <w:tcW w:w="60" w:type="dxa"/>
            <w:vAlign w:val="bottom"/>
          </w:tcPr>
          <w:p w:rsidR="00AC12B4" w:rsidRDefault="00AC12B4">
            <w:pPr>
              <w:rPr>
                <w:sz w:val="4"/>
                <w:szCs w:val="4"/>
              </w:rPr>
            </w:pPr>
          </w:p>
        </w:tc>
        <w:tc>
          <w:tcPr>
            <w:tcW w:w="2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54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960" w:type="dxa"/>
            <w:gridSpan w:val="4"/>
            <w:vMerge w:val="restart"/>
            <w:vAlign w:val="bottom"/>
          </w:tcPr>
          <w:p w:rsidR="00AC12B4" w:rsidRDefault="00C27636">
            <w:pPr>
              <w:ind w:right="340"/>
              <w:jc w:val="center"/>
              <w:rPr>
                <w:sz w:val="20"/>
                <w:szCs w:val="20"/>
              </w:rPr>
            </w:pPr>
            <w:r>
              <w:rPr>
                <w:rFonts w:ascii="Calibri" w:eastAsia="Calibri" w:hAnsi="Calibri" w:cs="Calibri"/>
                <w:color w:val="95B3D7"/>
                <w:sz w:val="18"/>
                <w:szCs w:val="18"/>
              </w:rPr>
              <w:t>Général</w:t>
            </w:r>
          </w:p>
        </w:tc>
        <w:tc>
          <w:tcPr>
            <w:tcW w:w="240" w:type="dxa"/>
            <w:tcBorders>
              <w:right w:val="single" w:sz="8" w:space="0" w:color="868686"/>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6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64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500" w:type="dxa"/>
            <w:vAlign w:val="bottom"/>
          </w:tcPr>
          <w:p w:rsidR="00AC12B4" w:rsidRDefault="00AC12B4">
            <w:pPr>
              <w:rPr>
                <w:sz w:val="4"/>
                <w:szCs w:val="4"/>
              </w:rPr>
            </w:pPr>
          </w:p>
        </w:tc>
        <w:tc>
          <w:tcPr>
            <w:tcW w:w="1500" w:type="dxa"/>
            <w:gridSpan w:val="6"/>
            <w:vMerge w:val="restart"/>
            <w:vAlign w:val="bottom"/>
          </w:tcPr>
          <w:p w:rsidR="00AC12B4" w:rsidRDefault="00C27636">
            <w:pPr>
              <w:spacing w:line="196" w:lineRule="exact"/>
              <w:ind w:left="120"/>
              <w:rPr>
                <w:sz w:val="20"/>
                <w:szCs w:val="20"/>
              </w:rPr>
            </w:pPr>
            <w:r>
              <w:rPr>
                <w:rFonts w:ascii="Calibri" w:eastAsia="Calibri" w:hAnsi="Calibri" w:cs="Calibri"/>
                <w:sz w:val="20"/>
                <w:szCs w:val="20"/>
              </w:rPr>
              <w:t>2° degré 0,28</w:t>
            </w:r>
          </w:p>
        </w:tc>
        <w:tc>
          <w:tcPr>
            <w:tcW w:w="42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4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49"/>
        </w:trPr>
        <w:tc>
          <w:tcPr>
            <w:tcW w:w="2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7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5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2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5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960" w:type="dxa"/>
            <w:gridSpan w:val="4"/>
            <w:vMerge/>
            <w:vAlign w:val="bottom"/>
          </w:tcPr>
          <w:p w:rsidR="00AC12B4" w:rsidRDefault="00AC12B4">
            <w:pPr>
              <w:rPr>
                <w:sz w:val="12"/>
                <w:szCs w:val="12"/>
              </w:rPr>
            </w:pPr>
          </w:p>
        </w:tc>
        <w:tc>
          <w:tcPr>
            <w:tcW w:w="240" w:type="dxa"/>
            <w:tcBorders>
              <w:right w:val="single" w:sz="8" w:space="0" w:color="868686"/>
            </w:tcBorders>
            <w:vAlign w:val="bottom"/>
          </w:tcPr>
          <w:p w:rsidR="00AC12B4" w:rsidRDefault="00AC12B4">
            <w:pPr>
              <w:rPr>
                <w:sz w:val="12"/>
                <w:szCs w:val="12"/>
              </w:rPr>
            </w:pPr>
          </w:p>
        </w:tc>
        <w:tc>
          <w:tcPr>
            <w:tcW w:w="80" w:type="dxa"/>
            <w:shd w:val="clear" w:color="auto" w:fill="95B3D7"/>
            <w:vAlign w:val="bottom"/>
          </w:tcPr>
          <w:p w:rsidR="00AC12B4" w:rsidRDefault="00AC12B4">
            <w:pPr>
              <w:rPr>
                <w:sz w:val="12"/>
                <w:szCs w:val="12"/>
              </w:rPr>
            </w:pPr>
          </w:p>
        </w:tc>
        <w:tc>
          <w:tcPr>
            <w:tcW w:w="160" w:type="dxa"/>
            <w:shd w:val="clear" w:color="auto" w:fill="95B3D7"/>
            <w:vAlign w:val="bottom"/>
          </w:tcPr>
          <w:p w:rsidR="00AC12B4" w:rsidRDefault="00AC12B4">
            <w:pPr>
              <w:rPr>
                <w:sz w:val="12"/>
                <w:szCs w:val="12"/>
              </w:rPr>
            </w:pPr>
          </w:p>
        </w:tc>
        <w:tc>
          <w:tcPr>
            <w:tcW w:w="440" w:type="dxa"/>
            <w:shd w:val="clear" w:color="auto" w:fill="95B3D7"/>
            <w:vAlign w:val="bottom"/>
          </w:tcPr>
          <w:p w:rsidR="00AC12B4" w:rsidRDefault="00AC12B4">
            <w:pPr>
              <w:rPr>
                <w:sz w:val="12"/>
                <w:szCs w:val="12"/>
              </w:rPr>
            </w:pPr>
          </w:p>
        </w:tc>
        <w:tc>
          <w:tcPr>
            <w:tcW w:w="180" w:type="dxa"/>
            <w:shd w:val="clear" w:color="auto" w:fill="95B3D7"/>
            <w:vAlign w:val="bottom"/>
          </w:tcPr>
          <w:p w:rsidR="00AC12B4" w:rsidRDefault="00AC12B4">
            <w:pPr>
              <w:rPr>
                <w:sz w:val="12"/>
                <w:szCs w:val="12"/>
              </w:rPr>
            </w:pPr>
          </w:p>
        </w:tc>
        <w:tc>
          <w:tcPr>
            <w:tcW w:w="20" w:type="dxa"/>
            <w:shd w:val="clear" w:color="auto" w:fill="95B3D7"/>
            <w:vAlign w:val="bottom"/>
          </w:tcPr>
          <w:p w:rsidR="00AC12B4" w:rsidRDefault="00AC12B4">
            <w:pPr>
              <w:rPr>
                <w:sz w:val="12"/>
                <w:szCs w:val="12"/>
              </w:rPr>
            </w:pPr>
          </w:p>
        </w:tc>
        <w:tc>
          <w:tcPr>
            <w:tcW w:w="640" w:type="dxa"/>
            <w:shd w:val="clear" w:color="auto" w:fill="95B3D7"/>
            <w:vAlign w:val="bottom"/>
          </w:tcPr>
          <w:p w:rsidR="00AC12B4" w:rsidRDefault="00AC12B4">
            <w:pPr>
              <w:rPr>
                <w:sz w:val="12"/>
                <w:szCs w:val="12"/>
              </w:rPr>
            </w:pPr>
          </w:p>
        </w:tc>
        <w:tc>
          <w:tcPr>
            <w:tcW w:w="200" w:type="dxa"/>
            <w:shd w:val="clear" w:color="auto" w:fill="95B3D7"/>
            <w:vAlign w:val="bottom"/>
          </w:tcPr>
          <w:p w:rsidR="00AC12B4" w:rsidRDefault="00AC12B4">
            <w:pPr>
              <w:rPr>
                <w:sz w:val="12"/>
                <w:szCs w:val="12"/>
              </w:rPr>
            </w:pPr>
          </w:p>
        </w:tc>
        <w:tc>
          <w:tcPr>
            <w:tcW w:w="20" w:type="dxa"/>
            <w:shd w:val="clear" w:color="auto" w:fill="95B3D7"/>
            <w:vAlign w:val="bottom"/>
          </w:tcPr>
          <w:p w:rsidR="00AC12B4" w:rsidRDefault="00AC12B4">
            <w:pPr>
              <w:rPr>
                <w:sz w:val="12"/>
                <w:szCs w:val="12"/>
              </w:rPr>
            </w:pPr>
          </w:p>
        </w:tc>
        <w:tc>
          <w:tcPr>
            <w:tcW w:w="80" w:type="dxa"/>
            <w:shd w:val="clear" w:color="auto" w:fill="95B3D7"/>
            <w:vAlign w:val="bottom"/>
          </w:tcPr>
          <w:p w:rsidR="00AC12B4" w:rsidRDefault="00AC12B4">
            <w:pPr>
              <w:rPr>
                <w:sz w:val="12"/>
                <w:szCs w:val="12"/>
              </w:rPr>
            </w:pPr>
          </w:p>
        </w:tc>
        <w:tc>
          <w:tcPr>
            <w:tcW w:w="120" w:type="dxa"/>
            <w:shd w:val="clear" w:color="auto" w:fill="95B3D7"/>
            <w:vAlign w:val="bottom"/>
          </w:tcPr>
          <w:p w:rsidR="00AC12B4" w:rsidRDefault="00AC12B4">
            <w:pPr>
              <w:rPr>
                <w:sz w:val="12"/>
                <w:szCs w:val="12"/>
              </w:rPr>
            </w:pPr>
          </w:p>
        </w:tc>
        <w:tc>
          <w:tcPr>
            <w:tcW w:w="500" w:type="dxa"/>
            <w:shd w:val="clear" w:color="auto" w:fill="95B3D7"/>
            <w:vAlign w:val="bottom"/>
          </w:tcPr>
          <w:p w:rsidR="00AC12B4" w:rsidRDefault="00AC12B4">
            <w:pPr>
              <w:rPr>
                <w:sz w:val="12"/>
                <w:szCs w:val="12"/>
              </w:rPr>
            </w:pPr>
          </w:p>
        </w:tc>
        <w:tc>
          <w:tcPr>
            <w:tcW w:w="1500" w:type="dxa"/>
            <w:gridSpan w:val="6"/>
            <w:vMerge/>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50"/>
        </w:trPr>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520" w:type="dxa"/>
            <w:vAlign w:val="bottom"/>
          </w:tcPr>
          <w:p w:rsidR="00AC12B4" w:rsidRDefault="00AC12B4">
            <w:pPr>
              <w:rPr>
                <w:sz w:val="13"/>
                <w:szCs w:val="13"/>
              </w:rPr>
            </w:pPr>
          </w:p>
        </w:tc>
        <w:tc>
          <w:tcPr>
            <w:tcW w:w="6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54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480" w:type="dxa"/>
            <w:vAlign w:val="bottom"/>
          </w:tcPr>
          <w:p w:rsidR="00AC12B4" w:rsidRDefault="00AC12B4">
            <w:pPr>
              <w:rPr>
                <w:sz w:val="13"/>
                <w:szCs w:val="13"/>
              </w:rPr>
            </w:pPr>
          </w:p>
        </w:tc>
        <w:tc>
          <w:tcPr>
            <w:tcW w:w="960" w:type="dxa"/>
            <w:gridSpan w:val="4"/>
            <w:vMerge/>
            <w:vAlign w:val="bottom"/>
          </w:tcPr>
          <w:p w:rsidR="00AC12B4" w:rsidRDefault="00AC12B4">
            <w:pPr>
              <w:rPr>
                <w:sz w:val="13"/>
                <w:szCs w:val="13"/>
              </w:rPr>
            </w:pPr>
          </w:p>
        </w:tc>
        <w:tc>
          <w:tcPr>
            <w:tcW w:w="240" w:type="dxa"/>
            <w:tcBorders>
              <w:right w:val="single" w:sz="8" w:space="0" w:color="868686"/>
            </w:tcBorders>
            <w:vAlign w:val="bottom"/>
          </w:tcPr>
          <w:p w:rsidR="00AC12B4" w:rsidRDefault="00AC12B4">
            <w:pPr>
              <w:rPr>
                <w:sz w:val="13"/>
                <w:szCs w:val="13"/>
              </w:rPr>
            </w:pPr>
          </w:p>
        </w:tc>
        <w:tc>
          <w:tcPr>
            <w:tcW w:w="80" w:type="dxa"/>
            <w:tcBorders>
              <w:bottom w:val="single" w:sz="8" w:space="0" w:color="95B3D7"/>
            </w:tcBorders>
            <w:vAlign w:val="bottom"/>
          </w:tcPr>
          <w:p w:rsidR="00AC12B4" w:rsidRDefault="00AC12B4">
            <w:pPr>
              <w:rPr>
                <w:sz w:val="13"/>
                <w:szCs w:val="13"/>
              </w:rPr>
            </w:pPr>
          </w:p>
        </w:tc>
        <w:tc>
          <w:tcPr>
            <w:tcW w:w="160" w:type="dxa"/>
            <w:tcBorders>
              <w:bottom w:val="single" w:sz="8" w:space="0" w:color="95B3D7"/>
            </w:tcBorders>
            <w:vAlign w:val="bottom"/>
          </w:tcPr>
          <w:p w:rsidR="00AC12B4" w:rsidRDefault="00AC12B4">
            <w:pPr>
              <w:rPr>
                <w:sz w:val="13"/>
                <w:szCs w:val="13"/>
              </w:rPr>
            </w:pPr>
          </w:p>
        </w:tc>
        <w:tc>
          <w:tcPr>
            <w:tcW w:w="440" w:type="dxa"/>
            <w:tcBorders>
              <w:bottom w:val="single" w:sz="8" w:space="0" w:color="95B3D7"/>
            </w:tcBorders>
            <w:vAlign w:val="bottom"/>
          </w:tcPr>
          <w:p w:rsidR="00AC12B4" w:rsidRDefault="00AC12B4">
            <w:pPr>
              <w:rPr>
                <w:sz w:val="13"/>
                <w:szCs w:val="13"/>
              </w:rPr>
            </w:pPr>
          </w:p>
        </w:tc>
        <w:tc>
          <w:tcPr>
            <w:tcW w:w="180" w:type="dxa"/>
            <w:tcBorders>
              <w:bottom w:val="single" w:sz="8" w:space="0" w:color="95B3D7"/>
            </w:tcBorders>
            <w:vAlign w:val="bottom"/>
          </w:tcPr>
          <w:p w:rsidR="00AC12B4" w:rsidRDefault="00AC12B4">
            <w:pPr>
              <w:rPr>
                <w:sz w:val="13"/>
                <w:szCs w:val="13"/>
              </w:rPr>
            </w:pPr>
          </w:p>
        </w:tc>
        <w:tc>
          <w:tcPr>
            <w:tcW w:w="20" w:type="dxa"/>
            <w:tcBorders>
              <w:bottom w:val="single" w:sz="8" w:space="0" w:color="95B3D7"/>
            </w:tcBorders>
            <w:vAlign w:val="bottom"/>
          </w:tcPr>
          <w:p w:rsidR="00AC12B4" w:rsidRDefault="00AC12B4">
            <w:pPr>
              <w:rPr>
                <w:sz w:val="13"/>
                <w:szCs w:val="13"/>
              </w:rPr>
            </w:pPr>
          </w:p>
        </w:tc>
        <w:tc>
          <w:tcPr>
            <w:tcW w:w="640" w:type="dxa"/>
            <w:tcBorders>
              <w:bottom w:val="single" w:sz="8" w:space="0" w:color="95B3D7"/>
            </w:tcBorders>
            <w:vAlign w:val="bottom"/>
          </w:tcPr>
          <w:p w:rsidR="00AC12B4" w:rsidRDefault="00AC12B4">
            <w:pPr>
              <w:rPr>
                <w:sz w:val="13"/>
                <w:szCs w:val="13"/>
              </w:rPr>
            </w:pPr>
          </w:p>
        </w:tc>
        <w:tc>
          <w:tcPr>
            <w:tcW w:w="200" w:type="dxa"/>
            <w:tcBorders>
              <w:bottom w:val="single" w:sz="8" w:space="0" w:color="95B3D7"/>
            </w:tcBorders>
            <w:vAlign w:val="bottom"/>
          </w:tcPr>
          <w:p w:rsidR="00AC12B4" w:rsidRDefault="00AC12B4">
            <w:pPr>
              <w:rPr>
                <w:sz w:val="13"/>
                <w:szCs w:val="13"/>
              </w:rPr>
            </w:pPr>
          </w:p>
        </w:tc>
        <w:tc>
          <w:tcPr>
            <w:tcW w:w="20" w:type="dxa"/>
            <w:tcBorders>
              <w:bottom w:val="single" w:sz="8" w:space="0" w:color="95B3D7"/>
            </w:tcBorders>
            <w:vAlign w:val="bottom"/>
          </w:tcPr>
          <w:p w:rsidR="00AC12B4" w:rsidRDefault="00AC12B4">
            <w:pPr>
              <w:rPr>
                <w:sz w:val="13"/>
                <w:szCs w:val="13"/>
              </w:rPr>
            </w:pPr>
          </w:p>
        </w:tc>
        <w:tc>
          <w:tcPr>
            <w:tcW w:w="80" w:type="dxa"/>
            <w:tcBorders>
              <w:bottom w:val="single" w:sz="8" w:space="0" w:color="95B3D7"/>
            </w:tcBorders>
            <w:vAlign w:val="bottom"/>
          </w:tcPr>
          <w:p w:rsidR="00AC12B4" w:rsidRDefault="00AC12B4">
            <w:pPr>
              <w:rPr>
                <w:sz w:val="13"/>
                <w:szCs w:val="13"/>
              </w:rPr>
            </w:pPr>
          </w:p>
        </w:tc>
        <w:tc>
          <w:tcPr>
            <w:tcW w:w="120" w:type="dxa"/>
            <w:tcBorders>
              <w:bottom w:val="single" w:sz="8" w:space="0" w:color="95B3D7"/>
            </w:tcBorders>
            <w:vAlign w:val="bottom"/>
          </w:tcPr>
          <w:p w:rsidR="00AC12B4" w:rsidRDefault="00AC12B4">
            <w:pPr>
              <w:rPr>
                <w:sz w:val="13"/>
                <w:szCs w:val="13"/>
              </w:rPr>
            </w:pPr>
          </w:p>
        </w:tc>
        <w:tc>
          <w:tcPr>
            <w:tcW w:w="500" w:type="dxa"/>
            <w:tcBorders>
              <w:bottom w:val="single" w:sz="8" w:space="0" w:color="95B3D7"/>
            </w:tcBorders>
            <w:vAlign w:val="bottom"/>
          </w:tcPr>
          <w:p w:rsidR="00AC12B4" w:rsidRDefault="00AC12B4">
            <w:pPr>
              <w:rPr>
                <w:sz w:val="13"/>
                <w:szCs w:val="13"/>
              </w:rPr>
            </w:pPr>
          </w:p>
        </w:tc>
        <w:tc>
          <w:tcPr>
            <w:tcW w:w="160" w:type="dxa"/>
            <w:tcBorders>
              <w:bottom w:val="single" w:sz="8" w:space="0" w:color="95B3D7"/>
            </w:tcBorders>
            <w:vAlign w:val="bottom"/>
          </w:tcPr>
          <w:p w:rsidR="00AC12B4" w:rsidRDefault="00AC12B4">
            <w:pPr>
              <w:rPr>
                <w:sz w:val="13"/>
                <w:szCs w:val="13"/>
              </w:rPr>
            </w:pPr>
          </w:p>
        </w:tc>
        <w:tc>
          <w:tcPr>
            <w:tcW w:w="20" w:type="dxa"/>
            <w:tcBorders>
              <w:bottom w:val="single" w:sz="8" w:space="0" w:color="95B3D7"/>
            </w:tcBorders>
            <w:vAlign w:val="bottom"/>
          </w:tcPr>
          <w:p w:rsidR="00AC12B4" w:rsidRDefault="00AC12B4">
            <w:pPr>
              <w:rPr>
                <w:sz w:val="13"/>
                <w:szCs w:val="13"/>
              </w:rPr>
            </w:pPr>
          </w:p>
        </w:tc>
        <w:tc>
          <w:tcPr>
            <w:tcW w:w="700" w:type="dxa"/>
            <w:tcBorders>
              <w:bottom w:val="single" w:sz="8" w:space="0" w:color="95B3D7"/>
            </w:tcBorders>
            <w:vAlign w:val="bottom"/>
          </w:tcPr>
          <w:p w:rsidR="00AC12B4" w:rsidRDefault="00AC12B4">
            <w:pPr>
              <w:rPr>
                <w:sz w:val="13"/>
                <w:szCs w:val="13"/>
              </w:rPr>
            </w:pPr>
          </w:p>
        </w:tc>
        <w:tc>
          <w:tcPr>
            <w:tcW w:w="1200" w:type="dxa"/>
            <w:gridSpan w:val="6"/>
            <w:vMerge w:val="restart"/>
            <w:vAlign w:val="bottom"/>
          </w:tcPr>
          <w:p w:rsidR="00AC12B4" w:rsidRDefault="00C27636">
            <w:pPr>
              <w:jc w:val="right"/>
              <w:rPr>
                <w:sz w:val="20"/>
                <w:szCs w:val="20"/>
              </w:rPr>
            </w:pPr>
            <w:r>
              <w:rPr>
                <w:rFonts w:ascii="Calibri" w:eastAsia="Calibri" w:hAnsi="Calibri" w:cs="Calibri"/>
                <w:sz w:val="20"/>
                <w:szCs w:val="20"/>
              </w:rPr>
              <w:t>3° degré 0,38</w:t>
            </w:r>
          </w:p>
        </w:tc>
        <w:tc>
          <w:tcPr>
            <w:tcW w:w="0" w:type="dxa"/>
            <w:vAlign w:val="bottom"/>
          </w:tcPr>
          <w:p w:rsidR="00AC12B4" w:rsidRDefault="00AC12B4">
            <w:pPr>
              <w:rPr>
                <w:sz w:val="1"/>
                <w:szCs w:val="1"/>
              </w:rPr>
            </w:pPr>
          </w:p>
        </w:tc>
      </w:tr>
      <w:tr w:rsidR="00AC12B4">
        <w:trPr>
          <w:trHeight w:val="101"/>
        </w:trPr>
        <w:tc>
          <w:tcPr>
            <w:tcW w:w="2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7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5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2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20" w:type="dxa"/>
            <w:vAlign w:val="bottom"/>
          </w:tcPr>
          <w:p w:rsidR="00AC12B4" w:rsidRDefault="00AC12B4">
            <w:pPr>
              <w:rPr>
                <w:sz w:val="8"/>
                <w:szCs w:val="8"/>
              </w:rPr>
            </w:pPr>
          </w:p>
        </w:tc>
        <w:tc>
          <w:tcPr>
            <w:tcW w:w="5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40" w:type="dxa"/>
            <w:tcBorders>
              <w:right w:val="single" w:sz="8" w:space="0" w:color="868686"/>
            </w:tcBorders>
            <w:vAlign w:val="bottom"/>
          </w:tcPr>
          <w:p w:rsidR="00AC12B4" w:rsidRDefault="00AC12B4">
            <w:pPr>
              <w:rPr>
                <w:sz w:val="8"/>
                <w:szCs w:val="8"/>
              </w:rPr>
            </w:pPr>
          </w:p>
        </w:tc>
        <w:tc>
          <w:tcPr>
            <w:tcW w:w="80" w:type="dxa"/>
            <w:shd w:val="clear" w:color="auto" w:fill="95B3D7"/>
            <w:vAlign w:val="bottom"/>
          </w:tcPr>
          <w:p w:rsidR="00AC12B4" w:rsidRDefault="00AC12B4">
            <w:pPr>
              <w:rPr>
                <w:sz w:val="8"/>
                <w:szCs w:val="8"/>
              </w:rPr>
            </w:pPr>
          </w:p>
        </w:tc>
        <w:tc>
          <w:tcPr>
            <w:tcW w:w="160" w:type="dxa"/>
            <w:shd w:val="clear" w:color="auto" w:fill="95B3D7"/>
            <w:vAlign w:val="bottom"/>
          </w:tcPr>
          <w:p w:rsidR="00AC12B4" w:rsidRDefault="00AC12B4">
            <w:pPr>
              <w:rPr>
                <w:sz w:val="8"/>
                <w:szCs w:val="8"/>
              </w:rPr>
            </w:pPr>
          </w:p>
        </w:tc>
        <w:tc>
          <w:tcPr>
            <w:tcW w:w="440" w:type="dxa"/>
            <w:shd w:val="clear" w:color="auto" w:fill="95B3D7"/>
            <w:vAlign w:val="bottom"/>
          </w:tcPr>
          <w:p w:rsidR="00AC12B4" w:rsidRDefault="00AC12B4">
            <w:pPr>
              <w:rPr>
                <w:sz w:val="8"/>
                <w:szCs w:val="8"/>
              </w:rPr>
            </w:pPr>
          </w:p>
        </w:tc>
        <w:tc>
          <w:tcPr>
            <w:tcW w:w="180" w:type="dxa"/>
            <w:shd w:val="clear" w:color="auto" w:fill="95B3D7"/>
            <w:vAlign w:val="bottom"/>
          </w:tcPr>
          <w:p w:rsidR="00AC12B4" w:rsidRDefault="00AC12B4">
            <w:pPr>
              <w:rPr>
                <w:sz w:val="8"/>
                <w:szCs w:val="8"/>
              </w:rPr>
            </w:pPr>
          </w:p>
        </w:tc>
        <w:tc>
          <w:tcPr>
            <w:tcW w:w="20" w:type="dxa"/>
            <w:shd w:val="clear" w:color="auto" w:fill="95B3D7"/>
            <w:vAlign w:val="bottom"/>
          </w:tcPr>
          <w:p w:rsidR="00AC12B4" w:rsidRDefault="00AC12B4">
            <w:pPr>
              <w:rPr>
                <w:sz w:val="8"/>
                <w:szCs w:val="8"/>
              </w:rPr>
            </w:pPr>
          </w:p>
        </w:tc>
        <w:tc>
          <w:tcPr>
            <w:tcW w:w="640" w:type="dxa"/>
            <w:shd w:val="clear" w:color="auto" w:fill="95B3D7"/>
            <w:vAlign w:val="bottom"/>
          </w:tcPr>
          <w:p w:rsidR="00AC12B4" w:rsidRDefault="00AC12B4">
            <w:pPr>
              <w:rPr>
                <w:sz w:val="8"/>
                <w:szCs w:val="8"/>
              </w:rPr>
            </w:pPr>
          </w:p>
        </w:tc>
        <w:tc>
          <w:tcPr>
            <w:tcW w:w="200" w:type="dxa"/>
            <w:shd w:val="clear" w:color="auto" w:fill="95B3D7"/>
            <w:vAlign w:val="bottom"/>
          </w:tcPr>
          <w:p w:rsidR="00AC12B4" w:rsidRDefault="00AC12B4">
            <w:pPr>
              <w:rPr>
                <w:sz w:val="8"/>
                <w:szCs w:val="8"/>
              </w:rPr>
            </w:pPr>
          </w:p>
        </w:tc>
        <w:tc>
          <w:tcPr>
            <w:tcW w:w="20" w:type="dxa"/>
            <w:shd w:val="clear" w:color="auto" w:fill="95B3D7"/>
            <w:vAlign w:val="bottom"/>
          </w:tcPr>
          <w:p w:rsidR="00AC12B4" w:rsidRDefault="00AC12B4">
            <w:pPr>
              <w:rPr>
                <w:sz w:val="8"/>
                <w:szCs w:val="8"/>
              </w:rPr>
            </w:pPr>
          </w:p>
        </w:tc>
        <w:tc>
          <w:tcPr>
            <w:tcW w:w="80" w:type="dxa"/>
            <w:shd w:val="clear" w:color="auto" w:fill="95B3D7"/>
            <w:vAlign w:val="bottom"/>
          </w:tcPr>
          <w:p w:rsidR="00AC12B4" w:rsidRDefault="00AC12B4">
            <w:pPr>
              <w:rPr>
                <w:sz w:val="8"/>
                <w:szCs w:val="8"/>
              </w:rPr>
            </w:pPr>
          </w:p>
        </w:tc>
        <w:tc>
          <w:tcPr>
            <w:tcW w:w="120" w:type="dxa"/>
            <w:shd w:val="clear" w:color="auto" w:fill="95B3D7"/>
            <w:vAlign w:val="bottom"/>
          </w:tcPr>
          <w:p w:rsidR="00AC12B4" w:rsidRDefault="00AC12B4">
            <w:pPr>
              <w:rPr>
                <w:sz w:val="8"/>
                <w:szCs w:val="8"/>
              </w:rPr>
            </w:pPr>
          </w:p>
        </w:tc>
        <w:tc>
          <w:tcPr>
            <w:tcW w:w="500" w:type="dxa"/>
            <w:shd w:val="clear" w:color="auto" w:fill="95B3D7"/>
            <w:vAlign w:val="bottom"/>
          </w:tcPr>
          <w:p w:rsidR="00AC12B4" w:rsidRDefault="00AC12B4">
            <w:pPr>
              <w:rPr>
                <w:sz w:val="8"/>
                <w:szCs w:val="8"/>
              </w:rPr>
            </w:pPr>
          </w:p>
        </w:tc>
        <w:tc>
          <w:tcPr>
            <w:tcW w:w="160" w:type="dxa"/>
            <w:shd w:val="clear" w:color="auto" w:fill="95B3D7"/>
            <w:vAlign w:val="bottom"/>
          </w:tcPr>
          <w:p w:rsidR="00AC12B4" w:rsidRDefault="00AC12B4">
            <w:pPr>
              <w:rPr>
                <w:sz w:val="8"/>
                <w:szCs w:val="8"/>
              </w:rPr>
            </w:pPr>
          </w:p>
        </w:tc>
        <w:tc>
          <w:tcPr>
            <w:tcW w:w="20" w:type="dxa"/>
            <w:shd w:val="clear" w:color="auto" w:fill="95B3D7"/>
            <w:vAlign w:val="bottom"/>
          </w:tcPr>
          <w:p w:rsidR="00AC12B4" w:rsidRDefault="00AC12B4">
            <w:pPr>
              <w:rPr>
                <w:sz w:val="8"/>
                <w:szCs w:val="8"/>
              </w:rPr>
            </w:pPr>
          </w:p>
        </w:tc>
        <w:tc>
          <w:tcPr>
            <w:tcW w:w="700" w:type="dxa"/>
            <w:shd w:val="clear" w:color="auto" w:fill="95B3D7"/>
            <w:vAlign w:val="bottom"/>
          </w:tcPr>
          <w:p w:rsidR="00AC12B4" w:rsidRDefault="00AC12B4">
            <w:pPr>
              <w:rPr>
                <w:sz w:val="8"/>
                <w:szCs w:val="8"/>
              </w:rPr>
            </w:pPr>
          </w:p>
        </w:tc>
        <w:tc>
          <w:tcPr>
            <w:tcW w:w="1200" w:type="dxa"/>
            <w:gridSpan w:val="6"/>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02"/>
        </w:trPr>
        <w:tc>
          <w:tcPr>
            <w:tcW w:w="260" w:type="dxa"/>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60" w:type="dxa"/>
            <w:tcBorders>
              <w:bottom w:val="single" w:sz="8" w:space="0" w:color="868686"/>
            </w:tcBorders>
            <w:vAlign w:val="bottom"/>
          </w:tcPr>
          <w:p w:rsidR="00AC12B4" w:rsidRDefault="00AC12B4">
            <w:pPr>
              <w:rPr>
                <w:sz w:val="8"/>
                <w:szCs w:val="8"/>
              </w:rPr>
            </w:pPr>
          </w:p>
        </w:tc>
        <w:tc>
          <w:tcPr>
            <w:tcW w:w="7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520" w:type="dxa"/>
            <w:tcBorders>
              <w:bottom w:val="single" w:sz="8" w:space="0" w:color="868686"/>
            </w:tcBorders>
            <w:vAlign w:val="bottom"/>
          </w:tcPr>
          <w:p w:rsidR="00AC12B4" w:rsidRDefault="00AC12B4">
            <w:pPr>
              <w:rPr>
                <w:sz w:val="8"/>
                <w:szCs w:val="8"/>
              </w:rPr>
            </w:pPr>
          </w:p>
        </w:tc>
        <w:tc>
          <w:tcPr>
            <w:tcW w:w="320" w:type="dxa"/>
            <w:gridSpan w:val="2"/>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320" w:type="dxa"/>
            <w:tcBorders>
              <w:bottom w:val="single" w:sz="8" w:space="0" w:color="868686"/>
            </w:tcBorders>
            <w:vAlign w:val="bottom"/>
          </w:tcPr>
          <w:p w:rsidR="00AC12B4" w:rsidRDefault="00AC12B4">
            <w:pPr>
              <w:rPr>
                <w:sz w:val="8"/>
                <w:szCs w:val="8"/>
              </w:rPr>
            </w:pPr>
          </w:p>
        </w:tc>
        <w:tc>
          <w:tcPr>
            <w:tcW w:w="54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560" w:type="dxa"/>
            <w:gridSpan w:val="2"/>
            <w:tcBorders>
              <w:bottom w:val="single" w:sz="8" w:space="0" w:color="868686"/>
            </w:tcBorders>
            <w:vAlign w:val="bottom"/>
          </w:tcPr>
          <w:p w:rsidR="00AC12B4" w:rsidRDefault="00AC12B4">
            <w:pPr>
              <w:rPr>
                <w:sz w:val="8"/>
                <w:szCs w:val="8"/>
              </w:rPr>
            </w:pPr>
          </w:p>
        </w:tc>
        <w:tc>
          <w:tcPr>
            <w:tcW w:w="3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340" w:type="dxa"/>
            <w:tcBorders>
              <w:bottom w:val="single" w:sz="8" w:space="0" w:color="868686"/>
            </w:tcBorders>
            <w:vAlign w:val="bottom"/>
          </w:tcPr>
          <w:p w:rsidR="00AC12B4" w:rsidRDefault="00AC12B4">
            <w:pPr>
              <w:rPr>
                <w:sz w:val="8"/>
                <w:szCs w:val="8"/>
              </w:rPr>
            </w:pPr>
          </w:p>
        </w:tc>
        <w:tc>
          <w:tcPr>
            <w:tcW w:w="300" w:type="dxa"/>
            <w:tcBorders>
              <w:bottom w:val="single" w:sz="8" w:space="0" w:color="868686"/>
            </w:tcBorders>
            <w:vAlign w:val="bottom"/>
          </w:tcPr>
          <w:p w:rsidR="00AC12B4" w:rsidRDefault="00AC12B4">
            <w:pPr>
              <w:rPr>
                <w:sz w:val="8"/>
                <w:szCs w:val="8"/>
              </w:rPr>
            </w:pPr>
          </w:p>
        </w:tc>
        <w:tc>
          <w:tcPr>
            <w:tcW w:w="240" w:type="dxa"/>
            <w:tcBorders>
              <w:bottom w:val="single" w:sz="8" w:space="0" w:color="868686"/>
              <w:right w:val="single" w:sz="8" w:space="0" w:color="868686"/>
            </w:tcBorders>
            <w:vAlign w:val="bottom"/>
          </w:tcPr>
          <w:p w:rsidR="00AC12B4" w:rsidRDefault="00AC12B4">
            <w:pPr>
              <w:rPr>
                <w:sz w:val="8"/>
                <w:szCs w:val="8"/>
              </w:rPr>
            </w:pPr>
          </w:p>
        </w:tc>
        <w:tc>
          <w:tcPr>
            <w:tcW w:w="80" w:type="dxa"/>
            <w:tcBorders>
              <w:bottom w:val="single" w:sz="8" w:space="0" w:color="868686"/>
            </w:tcBorders>
            <w:vAlign w:val="bottom"/>
          </w:tcPr>
          <w:p w:rsidR="00AC12B4" w:rsidRDefault="00AC12B4">
            <w:pPr>
              <w:rPr>
                <w:sz w:val="8"/>
                <w:szCs w:val="8"/>
              </w:rPr>
            </w:pPr>
          </w:p>
        </w:tc>
        <w:tc>
          <w:tcPr>
            <w:tcW w:w="780" w:type="dxa"/>
            <w:gridSpan w:val="3"/>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640" w:type="dxa"/>
            <w:tcBorders>
              <w:bottom w:val="single" w:sz="8" w:space="0" w:color="868686"/>
            </w:tcBorders>
            <w:vAlign w:val="bottom"/>
          </w:tcPr>
          <w:p w:rsidR="00AC12B4" w:rsidRDefault="00AC12B4">
            <w:pPr>
              <w:rPr>
                <w:sz w:val="8"/>
                <w:szCs w:val="8"/>
              </w:rPr>
            </w:pPr>
          </w:p>
        </w:tc>
        <w:tc>
          <w:tcPr>
            <w:tcW w:w="2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200" w:type="dxa"/>
            <w:gridSpan w:val="2"/>
            <w:tcBorders>
              <w:bottom w:val="single" w:sz="8" w:space="0" w:color="868686"/>
            </w:tcBorders>
            <w:vAlign w:val="bottom"/>
          </w:tcPr>
          <w:p w:rsidR="00AC12B4" w:rsidRDefault="00AC12B4">
            <w:pPr>
              <w:rPr>
                <w:sz w:val="8"/>
                <w:szCs w:val="8"/>
              </w:rPr>
            </w:pPr>
          </w:p>
        </w:tc>
        <w:tc>
          <w:tcPr>
            <w:tcW w:w="660" w:type="dxa"/>
            <w:gridSpan w:val="2"/>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700" w:type="dxa"/>
            <w:tcBorders>
              <w:bottom w:val="single" w:sz="8" w:space="0" w:color="868686"/>
            </w:tcBorders>
            <w:vAlign w:val="bottom"/>
          </w:tcPr>
          <w:p w:rsidR="00AC12B4" w:rsidRDefault="00AC12B4">
            <w:pPr>
              <w:rPr>
                <w:sz w:val="8"/>
                <w:szCs w:val="8"/>
              </w:rPr>
            </w:pPr>
          </w:p>
        </w:tc>
        <w:tc>
          <w:tcPr>
            <w:tcW w:w="16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440" w:type="dxa"/>
            <w:tcBorders>
              <w:bottom w:val="single" w:sz="8" w:space="0" w:color="868686"/>
            </w:tcBorders>
            <w:vAlign w:val="bottom"/>
          </w:tcPr>
          <w:p w:rsidR="00AC12B4" w:rsidRDefault="00AC12B4">
            <w:pPr>
              <w:rPr>
                <w:sz w:val="8"/>
                <w:szCs w:val="8"/>
              </w:rPr>
            </w:pPr>
          </w:p>
        </w:tc>
        <w:tc>
          <w:tcPr>
            <w:tcW w:w="4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302"/>
        </w:trPr>
        <w:tc>
          <w:tcPr>
            <w:tcW w:w="440" w:type="dxa"/>
            <w:gridSpan w:val="3"/>
            <w:vAlign w:val="bottom"/>
          </w:tcPr>
          <w:p w:rsidR="00AC12B4" w:rsidRDefault="00C27636">
            <w:pPr>
              <w:ind w:right="20"/>
              <w:jc w:val="right"/>
              <w:rPr>
                <w:sz w:val="20"/>
                <w:szCs w:val="20"/>
              </w:rPr>
            </w:pPr>
            <w:r>
              <w:rPr>
                <w:rFonts w:ascii="Calibri" w:eastAsia="Calibri" w:hAnsi="Calibri" w:cs="Calibri"/>
                <w:sz w:val="20"/>
                <w:szCs w:val="20"/>
              </w:rPr>
              <w:t>-0,5</w:t>
            </w:r>
          </w:p>
        </w:tc>
        <w:tc>
          <w:tcPr>
            <w:tcW w:w="1240" w:type="dxa"/>
            <w:gridSpan w:val="3"/>
            <w:vAlign w:val="bottom"/>
          </w:tcPr>
          <w:p w:rsidR="00AC12B4" w:rsidRDefault="00C27636">
            <w:pPr>
              <w:ind w:right="380"/>
              <w:jc w:val="right"/>
              <w:rPr>
                <w:sz w:val="20"/>
                <w:szCs w:val="20"/>
              </w:rPr>
            </w:pPr>
            <w:r>
              <w:rPr>
                <w:rFonts w:ascii="Calibri" w:eastAsia="Calibri" w:hAnsi="Calibri" w:cs="Calibri"/>
                <w:sz w:val="20"/>
                <w:szCs w:val="20"/>
              </w:rPr>
              <w:t>-0,4</w:t>
            </w:r>
          </w:p>
        </w:tc>
        <w:tc>
          <w:tcPr>
            <w:tcW w:w="660" w:type="dxa"/>
            <w:gridSpan w:val="4"/>
            <w:vAlign w:val="bottom"/>
          </w:tcPr>
          <w:p w:rsidR="00AC12B4" w:rsidRDefault="00C27636">
            <w:pPr>
              <w:ind w:right="160"/>
              <w:jc w:val="right"/>
              <w:rPr>
                <w:sz w:val="20"/>
                <w:szCs w:val="20"/>
              </w:rPr>
            </w:pPr>
            <w:r>
              <w:rPr>
                <w:rFonts w:ascii="Calibri" w:eastAsia="Calibri" w:hAnsi="Calibri" w:cs="Calibri"/>
                <w:sz w:val="20"/>
                <w:szCs w:val="20"/>
              </w:rPr>
              <w:t>-0,3</w:t>
            </w:r>
          </w:p>
        </w:tc>
        <w:tc>
          <w:tcPr>
            <w:tcW w:w="1120" w:type="dxa"/>
            <w:gridSpan w:val="4"/>
            <w:vAlign w:val="bottom"/>
          </w:tcPr>
          <w:p w:rsidR="00AC12B4" w:rsidRDefault="00C27636">
            <w:pPr>
              <w:ind w:right="420"/>
              <w:jc w:val="right"/>
              <w:rPr>
                <w:sz w:val="20"/>
                <w:szCs w:val="20"/>
              </w:rPr>
            </w:pPr>
            <w:r>
              <w:rPr>
                <w:rFonts w:ascii="Calibri" w:eastAsia="Calibri" w:hAnsi="Calibri" w:cs="Calibri"/>
                <w:sz w:val="20"/>
                <w:szCs w:val="20"/>
              </w:rPr>
              <w:t>-0,2</w:t>
            </w:r>
          </w:p>
        </w:tc>
        <w:tc>
          <w:tcPr>
            <w:tcW w:w="660" w:type="dxa"/>
            <w:gridSpan w:val="3"/>
            <w:vAlign w:val="bottom"/>
          </w:tcPr>
          <w:p w:rsidR="00AC12B4" w:rsidRDefault="00C27636">
            <w:pPr>
              <w:ind w:right="200"/>
              <w:jc w:val="right"/>
              <w:rPr>
                <w:sz w:val="20"/>
                <w:szCs w:val="20"/>
              </w:rPr>
            </w:pPr>
            <w:r>
              <w:rPr>
                <w:rFonts w:ascii="Calibri" w:eastAsia="Calibri" w:hAnsi="Calibri" w:cs="Calibri"/>
                <w:sz w:val="20"/>
                <w:szCs w:val="20"/>
              </w:rPr>
              <w:t>-0,1</w:t>
            </w:r>
          </w:p>
        </w:tc>
        <w:tc>
          <w:tcPr>
            <w:tcW w:w="300" w:type="dxa"/>
            <w:vAlign w:val="bottom"/>
          </w:tcPr>
          <w:p w:rsidR="00AC12B4" w:rsidRDefault="00AC12B4">
            <w:pPr>
              <w:rPr>
                <w:sz w:val="24"/>
                <w:szCs w:val="24"/>
              </w:rPr>
            </w:pPr>
          </w:p>
        </w:tc>
        <w:tc>
          <w:tcPr>
            <w:tcW w:w="320" w:type="dxa"/>
            <w:gridSpan w:val="2"/>
            <w:vAlign w:val="bottom"/>
          </w:tcPr>
          <w:p w:rsidR="00AC12B4" w:rsidRDefault="00C27636">
            <w:pPr>
              <w:ind w:right="40"/>
              <w:jc w:val="right"/>
              <w:rPr>
                <w:sz w:val="20"/>
                <w:szCs w:val="20"/>
              </w:rPr>
            </w:pPr>
            <w:r>
              <w:rPr>
                <w:rFonts w:ascii="Calibri" w:eastAsia="Calibri" w:hAnsi="Calibri" w:cs="Calibri"/>
                <w:sz w:val="20"/>
                <w:szCs w:val="20"/>
              </w:rPr>
              <w:t>0</w:t>
            </w:r>
          </w:p>
        </w:tc>
        <w:tc>
          <w:tcPr>
            <w:tcW w:w="1440" w:type="dxa"/>
            <w:gridSpan w:val="5"/>
            <w:vAlign w:val="bottom"/>
          </w:tcPr>
          <w:p w:rsidR="00AC12B4" w:rsidRDefault="00C27636">
            <w:pPr>
              <w:ind w:right="540"/>
              <w:jc w:val="right"/>
              <w:rPr>
                <w:sz w:val="20"/>
                <w:szCs w:val="20"/>
              </w:rPr>
            </w:pPr>
            <w:r>
              <w:rPr>
                <w:rFonts w:ascii="Calibri" w:eastAsia="Calibri" w:hAnsi="Calibri" w:cs="Calibri"/>
                <w:sz w:val="20"/>
                <w:szCs w:val="20"/>
              </w:rPr>
              <w:t>0,1</w:t>
            </w:r>
          </w:p>
        </w:tc>
        <w:tc>
          <w:tcPr>
            <w:tcW w:w="420" w:type="dxa"/>
            <w:gridSpan w:val="4"/>
            <w:vAlign w:val="bottom"/>
          </w:tcPr>
          <w:p w:rsidR="00AC12B4" w:rsidRDefault="00C27636">
            <w:pPr>
              <w:ind w:right="80"/>
              <w:jc w:val="right"/>
              <w:rPr>
                <w:sz w:val="20"/>
                <w:szCs w:val="20"/>
              </w:rPr>
            </w:pPr>
            <w:r>
              <w:rPr>
                <w:rFonts w:ascii="Calibri" w:eastAsia="Calibri" w:hAnsi="Calibri" w:cs="Calibri"/>
                <w:sz w:val="20"/>
                <w:szCs w:val="20"/>
              </w:rPr>
              <w:t>0,2</w:t>
            </w:r>
          </w:p>
        </w:tc>
        <w:tc>
          <w:tcPr>
            <w:tcW w:w="1380" w:type="dxa"/>
            <w:gridSpan w:val="4"/>
            <w:vAlign w:val="bottom"/>
          </w:tcPr>
          <w:p w:rsidR="00AC12B4" w:rsidRDefault="00C27636">
            <w:pPr>
              <w:ind w:right="580"/>
              <w:jc w:val="right"/>
              <w:rPr>
                <w:sz w:val="20"/>
                <w:szCs w:val="20"/>
              </w:rPr>
            </w:pPr>
            <w:r>
              <w:rPr>
                <w:rFonts w:ascii="Calibri" w:eastAsia="Calibri" w:hAnsi="Calibri" w:cs="Calibri"/>
                <w:sz w:val="20"/>
                <w:szCs w:val="20"/>
              </w:rPr>
              <w:t>0,3</w:t>
            </w:r>
          </w:p>
        </w:tc>
        <w:tc>
          <w:tcPr>
            <w:tcW w:w="620" w:type="dxa"/>
            <w:gridSpan w:val="3"/>
            <w:vAlign w:val="bottom"/>
          </w:tcPr>
          <w:p w:rsidR="00AC12B4" w:rsidRDefault="00C27636">
            <w:pPr>
              <w:ind w:right="320"/>
              <w:jc w:val="right"/>
              <w:rPr>
                <w:sz w:val="20"/>
                <w:szCs w:val="20"/>
              </w:rPr>
            </w:pPr>
            <w:r>
              <w:rPr>
                <w:rFonts w:ascii="Calibri" w:eastAsia="Calibri" w:hAnsi="Calibri" w:cs="Calibri"/>
                <w:sz w:val="20"/>
                <w:szCs w:val="20"/>
              </w:rPr>
              <w:t>0,4</w:t>
            </w:r>
          </w:p>
        </w:tc>
        <w:tc>
          <w:tcPr>
            <w:tcW w:w="580" w:type="dxa"/>
            <w:gridSpan w:val="3"/>
            <w:vAlign w:val="bottom"/>
          </w:tcPr>
          <w:p w:rsidR="00AC12B4" w:rsidRDefault="00C27636">
            <w:pPr>
              <w:ind w:right="20"/>
              <w:jc w:val="right"/>
              <w:rPr>
                <w:sz w:val="20"/>
                <w:szCs w:val="20"/>
              </w:rPr>
            </w:pPr>
            <w:r>
              <w:rPr>
                <w:rFonts w:ascii="Calibri" w:eastAsia="Calibri" w:hAnsi="Calibri" w:cs="Calibri"/>
                <w:sz w:val="20"/>
                <w:szCs w:val="20"/>
              </w:rPr>
              <w:t>0,5</w:t>
            </w:r>
          </w:p>
        </w:tc>
        <w:tc>
          <w:tcPr>
            <w:tcW w:w="0" w:type="dxa"/>
            <w:vAlign w:val="bottom"/>
          </w:tcPr>
          <w:p w:rsidR="00AC12B4" w:rsidRDefault="00AC12B4">
            <w:pPr>
              <w:rPr>
                <w:sz w:val="1"/>
                <w:szCs w:val="1"/>
              </w:rPr>
            </w:pPr>
          </w:p>
        </w:tc>
      </w:tr>
      <w:tr w:rsidR="00AC12B4">
        <w:trPr>
          <w:trHeight w:val="448"/>
        </w:trPr>
        <w:tc>
          <w:tcPr>
            <w:tcW w:w="2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7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2680" w:type="dxa"/>
            <w:gridSpan w:val="11"/>
            <w:vAlign w:val="bottom"/>
          </w:tcPr>
          <w:p w:rsidR="00AC12B4" w:rsidRDefault="00C27636">
            <w:pPr>
              <w:ind w:left="160"/>
              <w:rPr>
                <w:sz w:val="20"/>
                <w:szCs w:val="20"/>
              </w:rPr>
            </w:pPr>
            <w:r>
              <w:rPr>
                <w:rFonts w:ascii="Calibri" w:eastAsia="Calibri" w:hAnsi="Calibri" w:cs="Calibri"/>
                <w:color w:val="C0504D"/>
                <w:sz w:val="16"/>
                <w:szCs w:val="16"/>
              </w:rPr>
              <w:t>Niveau socioéconomique plus faible</w:t>
            </w:r>
          </w:p>
        </w:tc>
        <w:tc>
          <w:tcPr>
            <w:tcW w:w="24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3240" w:type="dxa"/>
            <w:gridSpan w:val="13"/>
            <w:vAlign w:val="bottom"/>
          </w:tcPr>
          <w:p w:rsidR="00AC12B4" w:rsidRDefault="00C27636">
            <w:pPr>
              <w:ind w:right="880"/>
              <w:jc w:val="right"/>
              <w:rPr>
                <w:sz w:val="20"/>
                <w:szCs w:val="20"/>
              </w:rPr>
            </w:pPr>
            <w:r>
              <w:rPr>
                <w:rFonts w:ascii="Calibri" w:eastAsia="Calibri" w:hAnsi="Calibri" w:cs="Calibri"/>
                <w:color w:val="9BBB59"/>
                <w:sz w:val="16"/>
                <w:szCs w:val="16"/>
              </w:rPr>
              <w:t xml:space="preserve">Niveau socioéconomique </w:t>
            </w:r>
            <w:r>
              <w:rPr>
                <w:rFonts w:ascii="Calibri" w:eastAsia="Calibri" w:hAnsi="Calibri" w:cs="Calibri"/>
                <w:color w:val="9BBB59"/>
                <w:sz w:val="16"/>
                <w:szCs w:val="16"/>
              </w:rPr>
              <w:t>plus élevé</w:t>
            </w:r>
          </w:p>
        </w:tc>
        <w:tc>
          <w:tcPr>
            <w:tcW w:w="1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643392" behindDoc="1" locked="0" layoutInCell="0" allowOverlap="1">
            <wp:simplePos x="0" y="0"/>
            <wp:positionH relativeFrom="column">
              <wp:posOffset>946150</wp:posOffset>
            </wp:positionH>
            <wp:positionV relativeFrom="paragraph">
              <wp:posOffset>140970</wp:posOffset>
            </wp:positionV>
            <wp:extent cx="5315585" cy="280670"/>
            <wp:effectExtent l="0" t="0" r="0" b="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01">
                      <a:extLst/>
                    </a:blip>
                    <a:srcRect/>
                    <a:stretch>
                      <a:fillRect/>
                    </a:stretch>
                  </pic:blipFill>
                  <pic:spPr bwMode="auto">
                    <a:xfrm>
                      <a:off x="0" y="0"/>
                      <a:ext cx="5315585" cy="280670"/>
                    </a:xfrm>
                    <a:prstGeom prst="rect">
                      <a:avLst/>
                    </a:prstGeom>
                    <a:noFill/>
                  </pic:spPr>
                </pic:pic>
              </a:graphicData>
            </a:graphic>
          </wp:anchor>
        </w:drawing>
      </w:r>
      <w:r>
        <w:rPr>
          <w:noProof/>
          <w:sz w:val="20"/>
          <w:szCs w:val="20"/>
        </w:rPr>
        <w:drawing>
          <wp:anchor distT="0" distB="0" distL="114300" distR="114300" simplePos="0" relativeHeight="251644416" behindDoc="1" locked="0" layoutInCell="0" allowOverlap="1">
            <wp:simplePos x="0" y="0"/>
            <wp:positionH relativeFrom="column">
              <wp:posOffset>920115</wp:posOffset>
            </wp:positionH>
            <wp:positionV relativeFrom="paragraph">
              <wp:posOffset>-283210</wp:posOffset>
            </wp:positionV>
            <wp:extent cx="5516880" cy="155575"/>
            <wp:effectExtent l="0" t="0" r="0" b="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02">
                      <a:extLst/>
                    </a:blip>
                    <a:srcRect/>
                    <a:stretch>
                      <a:fillRect/>
                    </a:stretch>
                  </pic:blipFill>
                  <pic:spPr bwMode="auto">
                    <a:xfrm>
                      <a:off x="0" y="0"/>
                      <a:ext cx="5516880" cy="155575"/>
                    </a:xfrm>
                    <a:prstGeom prst="rect">
                      <a:avLst/>
                    </a:prstGeom>
                    <a:noFill/>
                  </pic:spPr>
                </pic:pic>
              </a:graphicData>
            </a:graphic>
          </wp:anchor>
        </w:drawing>
      </w:r>
    </w:p>
    <w:p w:rsidR="00AC12B4" w:rsidRDefault="00AC12B4">
      <w:pPr>
        <w:spacing w:line="196" w:lineRule="exact"/>
        <w:rPr>
          <w:sz w:val="20"/>
          <w:szCs w:val="20"/>
        </w:rPr>
      </w:pPr>
    </w:p>
    <w:p w:rsidR="00AC12B4" w:rsidRPr="00C27636" w:rsidRDefault="00C27636">
      <w:pPr>
        <w:ind w:left="1483"/>
        <w:rPr>
          <w:sz w:val="20"/>
          <w:szCs w:val="20"/>
          <w:lang w:val="fr-BE"/>
        </w:rPr>
      </w:pPr>
      <w:r w:rsidRPr="00C27636">
        <w:rPr>
          <w:rFonts w:ascii="Calibri" w:eastAsia="Calibri" w:hAnsi="Calibri" w:cs="Calibri"/>
          <w:b/>
          <w:bCs/>
          <w:color w:val="4F81BD"/>
          <w:sz w:val="18"/>
          <w:szCs w:val="18"/>
          <w:lang w:val="fr-BE"/>
        </w:rPr>
        <w:t>Figure 3. FWB, les indicateurs de l'enseignements 2014 (indicateur n°9)</w:t>
      </w:r>
    </w:p>
    <w:p w:rsidR="00AC12B4" w:rsidRPr="00C27636" w:rsidRDefault="00AC12B4">
      <w:pPr>
        <w:rPr>
          <w:lang w:val="fr-BE"/>
        </w:rPr>
        <w:sectPr w:rsidR="00AC12B4" w:rsidRPr="00C27636">
          <w:type w:val="continuous"/>
          <w:pgSz w:w="12080" w:h="17179"/>
          <w:pgMar w:top="1440" w:right="1277" w:bottom="659" w:left="497" w:header="0" w:footer="0" w:gutter="0"/>
          <w:cols w:space="720" w:equalWidth="0">
            <w:col w:w="10303"/>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2"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à l’enseignement</w:t>
            </w:r>
          </w:p>
        </w:tc>
      </w:tr>
    </w:tbl>
    <w:p w:rsidR="00AC12B4" w:rsidRDefault="00C27636">
      <w:pPr>
        <w:spacing w:line="20" w:lineRule="exact"/>
        <w:rPr>
          <w:sz w:val="20"/>
          <w:szCs w:val="20"/>
        </w:rPr>
      </w:pPr>
      <w:r>
        <w:rPr>
          <w:sz w:val="20"/>
          <w:szCs w:val="20"/>
        </w:rPr>
        <w:br w:type="column"/>
      </w:r>
    </w:p>
    <w:p w:rsidR="00AC12B4" w:rsidRDefault="00AC12B4">
      <w:pPr>
        <w:spacing w:line="262" w:lineRule="exact"/>
        <w:rPr>
          <w:sz w:val="20"/>
          <w:szCs w:val="20"/>
        </w:rPr>
      </w:pPr>
    </w:p>
    <w:p w:rsidR="00AC12B4" w:rsidRPr="00C27636" w:rsidRDefault="00C27636">
      <w:pPr>
        <w:spacing w:line="225" w:lineRule="auto"/>
        <w:ind w:right="520"/>
        <w:jc w:val="both"/>
        <w:rPr>
          <w:sz w:val="20"/>
          <w:szCs w:val="20"/>
          <w:lang w:val="fr-BE"/>
        </w:rPr>
      </w:pPr>
      <w:r w:rsidRPr="00C27636">
        <w:rPr>
          <w:rFonts w:ascii="Calibri" w:eastAsia="Calibri" w:hAnsi="Calibri" w:cs="Calibri"/>
          <w:lang w:val="fr-BE"/>
        </w:rPr>
        <w:t xml:space="preserve">En Communauté germanophone, il n’est pas procédé à une ventilation sur base de statut </w:t>
      </w:r>
      <w:r w:rsidRPr="00C27636">
        <w:rPr>
          <w:rFonts w:ascii="Calibri" w:eastAsia="Calibri" w:hAnsi="Calibri" w:cs="Calibri"/>
          <w:lang w:val="fr-BE"/>
        </w:rPr>
        <w:t>socio-économique.</w:t>
      </w:r>
    </w:p>
    <w:p w:rsidR="00AC12B4" w:rsidRPr="00C27636" w:rsidRDefault="00AC12B4">
      <w:pPr>
        <w:spacing w:line="205"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44ACE0"/>
          <w:sz w:val="26"/>
          <w:szCs w:val="26"/>
          <w:lang w:val="fr-BE"/>
        </w:rPr>
        <w:t>D’où viennent ces chiffres ?</w:t>
      </w:r>
    </w:p>
    <w:p w:rsidR="00AC12B4" w:rsidRPr="00C27636" w:rsidRDefault="00AC12B4">
      <w:pPr>
        <w:spacing w:line="161" w:lineRule="exact"/>
        <w:rPr>
          <w:sz w:val="20"/>
          <w:szCs w:val="20"/>
          <w:lang w:val="fr-BE"/>
        </w:rPr>
      </w:pPr>
    </w:p>
    <w:p w:rsidR="00AC12B4" w:rsidRPr="00C27636" w:rsidRDefault="00C27636">
      <w:pPr>
        <w:ind w:right="520"/>
        <w:jc w:val="center"/>
        <w:rPr>
          <w:sz w:val="20"/>
          <w:szCs w:val="20"/>
          <w:lang w:val="fr-BE"/>
        </w:rPr>
      </w:pPr>
      <w:r w:rsidRPr="00C27636">
        <w:rPr>
          <w:rFonts w:ascii="Calibri" w:eastAsia="Calibri" w:hAnsi="Calibri" w:cs="Calibri"/>
          <w:lang w:val="fr-BE"/>
        </w:rPr>
        <w:t>Ces chiffres proviennent des statistiques</w:t>
      </w:r>
    </w:p>
    <w:p w:rsidR="00AC12B4" w:rsidRPr="00C27636" w:rsidRDefault="00AC12B4">
      <w:pPr>
        <w:spacing w:line="49" w:lineRule="exact"/>
        <w:rPr>
          <w:sz w:val="20"/>
          <w:szCs w:val="20"/>
          <w:lang w:val="fr-BE"/>
        </w:rPr>
      </w:pPr>
    </w:p>
    <w:p w:rsidR="00AC12B4" w:rsidRPr="00C27636" w:rsidRDefault="00C27636">
      <w:pPr>
        <w:spacing w:line="225" w:lineRule="auto"/>
        <w:ind w:right="520"/>
        <w:jc w:val="both"/>
        <w:rPr>
          <w:sz w:val="20"/>
          <w:szCs w:val="20"/>
          <w:lang w:val="fr-BE"/>
        </w:rPr>
      </w:pPr>
      <w:r w:rsidRPr="00C27636">
        <w:rPr>
          <w:rFonts w:ascii="Calibri" w:eastAsia="Calibri" w:hAnsi="Calibri" w:cs="Calibri"/>
          <w:lang w:val="fr-BE"/>
        </w:rPr>
        <w:t>de l’enseignement de chaque Communauté. Il est délicat de comparer directement les résultats au vu des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45440" behindDoc="1" locked="0" layoutInCell="0" allowOverlap="1">
                <wp:simplePos x="0" y="0"/>
                <wp:positionH relativeFrom="column">
                  <wp:posOffset>0</wp:posOffset>
                </wp:positionH>
                <wp:positionV relativeFrom="paragraph">
                  <wp:posOffset>114935</wp:posOffset>
                </wp:positionV>
                <wp:extent cx="1828800" cy="0"/>
                <wp:effectExtent l="0" t="0" r="0" b="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5pt" to="144pt,9.0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49" w:lineRule="exact"/>
        <w:rPr>
          <w:sz w:val="20"/>
          <w:szCs w:val="20"/>
          <w:lang w:val="fr-BE"/>
        </w:rPr>
      </w:pPr>
    </w:p>
    <w:p w:rsidR="00AC12B4" w:rsidRPr="00C27636" w:rsidRDefault="00C27636">
      <w:pPr>
        <w:numPr>
          <w:ilvl w:val="0"/>
          <w:numId w:val="196"/>
        </w:numPr>
        <w:tabs>
          <w:tab w:val="left" w:pos="190"/>
        </w:tabs>
        <w:ind w:right="620"/>
        <w:rPr>
          <w:rFonts w:ascii="Calibri" w:eastAsia="Calibri" w:hAnsi="Calibri" w:cs="Calibri"/>
          <w:sz w:val="27"/>
          <w:szCs w:val="27"/>
          <w:vertAlign w:val="superscript"/>
          <w:lang w:val="fr-BE"/>
        </w:rPr>
      </w:pPr>
      <w:r w:rsidRPr="00C27636">
        <w:rPr>
          <w:rFonts w:ascii="Calibri" w:eastAsia="Calibri" w:hAnsi="Calibri" w:cs="Calibri"/>
          <w:sz w:val="19"/>
          <w:szCs w:val="19"/>
          <w:lang w:val="fr-BE"/>
        </w:rPr>
        <w:t>Sur base de son domicile, chaque élève peut recevoir un score “% de jeunes âgés de 15 ans dans le quartier avec min. 2 ans de retard scolaire”. Seuls les élèves de la quartile la plus élevée sont considérés comme répondant au dit critère. 25% des élèves sc</w:t>
      </w:r>
      <w:r w:rsidRPr="00C27636">
        <w:rPr>
          <w:rFonts w:ascii="Calibri" w:eastAsia="Calibri" w:hAnsi="Calibri" w:cs="Calibri"/>
          <w:sz w:val="19"/>
          <w:szCs w:val="19"/>
          <w:lang w:val="fr-BE"/>
        </w:rPr>
        <w:t xml:space="preserve">orent donc sur base de ce critère. Pour plus d’informations et pour les données: Vlaamse overheid, Datawarehouse Onderwijs en Vorming, </w:t>
      </w:r>
      <w:r w:rsidRPr="00C27636">
        <w:rPr>
          <w:rFonts w:ascii="Calibri" w:eastAsia="Calibri" w:hAnsi="Calibri" w:cs="Calibri"/>
          <w:i/>
          <w:iCs/>
          <w:sz w:val="19"/>
          <w:szCs w:val="19"/>
          <w:lang w:val="fr-BE"/>
        </w:rPr>
        <w:t>Leerlingenkenmerken naar gemeente school, schooljaar 2012-2013</w:t>
      </w:r>
      <w:r w:rsidRPr="00C27636">
        <w:rPr>
          <w:rFonts w:ascii="Calibri" w:eastAsia="Calibri" w:hAnsi="Calibri" w:cs="Calibri"/>
          <w:sz w:val="19"/>
          <w:szCs w:val="19"/>
          <w:lang w:val="fr-BE"/>
        </w:rPr>
        <w:t>.</w:t>
      </w:r>
    </w:p>
    <w:p w:rsidR="00AC12B4" w:rsidRPr="00C27636" w:rsidRDefault="00AC12B4">
      <w:pPr>
        <w:spacing w:line="352"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116</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9" w:lineRule="exact"/>
        <w:rPr>
          <w:sz w:val="20"/>
          <w:szCs w:val="20"/>
          <w:lang w:val="fr-BE"/>
        </w:rPr>
      </w:pPr>
    </w:p>
    <w:p w:rsidR="00AC12B4" w:rsidRPr="00C27636" w:rsidRDefault="00C27636">
      <w:pPr>
        <w:spacing w:line="232" w:lineRule="auto"/>
        <w:ind w:right="900"/>
        <w:jc w:val="both"/>
        <w:rPr>
          <w:sz w:val="20"/>
          <w:szCs w:val="20"/>
          <w:lang w:val="fr-BE"/>
        </w:rPr>
      </w:pPr>
      <w:r w:rsidRPr="00C27636">
        <w:rPr>
          <w:rFonts w:ascii="Calibri" w:eastAsia="Calibri" w:hAnsi="Calibri" w:cs="Calibri"/>
          <w:lang w:val="fr-BE"/>
        </w:rPr>
        <w:t>L’idée première pour cet indicateur était de mes</w:t>
      </w:r>
      <w:r w:rsidRPr="00C27636">
        <w:rPr>
          <w:rFonts w:ascii="Calibri" w:eastAsia="Calibri" w:hAnsi="Calibri" w:cs="Calibri"/>
          <w:lang w:val="fr-BE"/>
        </w:rPr>
        <w:t>urer les réorientations (et les iniquités liées). Celle-ci a été abandonnée au profit d ’une « photographie » de la répartition des élèves suivant leurs profils dans les différentes filières.</w:t>
      </w:r>
    </w:p>
    <w:p w:rsidR="00AC12B4" w:rsidRPr="00C27636" w:rsidRDefault="00AC12B4">
      <w:pPr>
        <w:spacing w:line="126"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lang w:val="fr-BE"/>
        </w:rPr>
        <w:t>Limite quant à l’indice socio-économique:</w:t>
      </w:r>
    </w:p>
    <w:p w:rsidR="00AC12B4" w:rsidRPr="00C27636" w:rsidRDefault="00AC12B4">
      <w:pPr>
        <w:spacing w:line="169" w:lineRule="exact"/>
        <w:rPr>
          <w:sz w:val="20"/>
          <w:szCs w:val="20"/>
          <w:lang w:val="fr-BE"/>
        </w:rPr>
      </w:pPr>
    </w:p>
    <w:p w:rsidR="00AC12B4" w:rsidRPr="00C27636" w:rsidRDefault="00C27636">
      <w:pPr>
        <w:spacing w:line="235" w:lineRule="auto"/>
        <w:ind w:right="900"/>
        <w:jc w:val="both"/>
        <w:rPr>
          <w:sz w:val="20"/>
          <w:szCs w:val="20"/>
          <w:lang w:val="fr-BE"/>
        </w:rPr>
      </w:pPr>
      <w:r w:rsidRPr="00C27636">
        <w:rPr>
          <w:rFonts w:ascii="Calibri" w:eastAsia="Calibri" w:hAnsi="Calibri" w:cs="Calibri"/>
          <w:lang w:val="fr-BE"/>
        </w:rPr>
        <w:t>En FWB, l’indice soc</w:t>
      </w:r>
      <w:r w:rsidRPr="00C27636">
        <w:rPr>
          <w:rFonts w:ascii="Calibri" w:eastAsia="Calibri" w:hAnsi="Calibri" w:cs="Calibri"/>
          <w:lang w:val="fr-BE"/>
        </w:rPr>
        <w:t>io-économique attribué à chaque élève dépend de son quartier de résidence. Ainsi une « cote » est attribuée à chaque secteur statistique belge (quartier) reprenant des données comme le revenu moyen, le taux de chômage, le % de personnes ayant tel diplôme,…</w:t>
      </w:r>
      <w:r w:rsidRPr="00C27636">
        <w:rPr>
          <w:rFonts w:ascii="Calibri" w:eastAsia="Calibri" w:hAnsi="Calibri" w:cs="Calibri"/>
          <w:lang w:val="fr-BE"/>
        </w:rPr>
        <w:t xml:space="preserve"> . Cet indice est encore aujourd’hui basé sur des données de 2005. Un travail d’actualisation est en cours .</w:t>
      </w:r>
    </w:p>
    <w:p w:rsidR="00AC12B4" w:rsidRPr="00C27636" w:rsidRDefault="00AC12B4">
      <w:pPr>
        <w:spacing w:line="177" w:lineRule="exact"/>
        <w:rPr>
          <w:sz w:val="20"/>
          <w:szCs w:val="20"/>
          <w:lang w:val="fr-BE"/>
        </w:rPr>
      </w:pPr>
    </w:p>
    <w:p w:rsidR="00AC12B4" w:rsidRPr="00C27636" w:rsidRDefault="00C27636">
      <w:pPr>
        <w:spacing w:line="218" w:lineRule="auto"/>
        <w:ind w:right="900"/>
        <w:jc w:val="both"/>
        <w:rPr>
          <w:sz w:val="20"/>
          <w:szCs w:val="20"/>
          <w:lang w:val="fr-BE"/>
        </w:rPr>
      </w:pPr>
      <w:r w:rsidRPr="00C27636">
        <w:rPr>
          <w:rFonts w:ascii="Calibri" w:eastAsia="Calibri" w:hAnsi="Calibri" w:cs="Calibri"/>
          <w:lang w:val="fr-BE"/>
        </w:rPr>
        <w:t>Il n’y a pas réellement d’équivalent du côté flamand. Un « statut socio-économique »</w:t>
      </w:r>
    </w:p>
    <w:p w:rsidR="00AC12B4" w:rsidRPr="00C27636" w:rsidRDefault="00AC12B4">
      <w:pPr>
        <w:rPr>
          <w:lang w:val="fr-BE"/>
        </w:rPr>
        <w:sectPr w:rsidR="00AC12B4" w:rsidRPr="00C27636">
          <w:type w:val="continuous"/>
          <w:pgSz w:w="12080" w:h="17179"/>
          <w:pgMar w:top="1440" w:right="1277" w:bottom="659" w:left="497" w:header="0" w:footer="0" w:gutter="0"/>
          <w:cols w:num="3" w:space="720" w:equalWidth="0">
            <w:col w:w="342" w:space="601"/>
            <w:col w:w="4400" w:space="180"/>
            <w:col w:w="4780"/>
          </w:cols>
        </w:sectPr>
      </w:pPr>
    </w:p>
    <w:p w:rsidR="00AC12B4" w:rsidRPr="00C27636" w:rsidRDefault="00AC12B4">
      <w:pPr>
        <w:spacing w:line="212" w:lineRule="exact"/>
        <w:rPr>
          <w:sz w:val="20"/>
          <w:szCs w:val="20"/>
          <w:lang w:val="fr-BE"/>
        </w:rPr>
      </w:pPr>
      <w:bookmarkStart w:id="116" w:name="page117"/>
      <w:bookmarkEnd w:id="116"/>
    </w:p>
    <w:p w:rsidR="00AC12B4" w:rsidRPr="00C27636" w:rsidRDefault="00C27636">
      <w:pPr>
        <w:spacing w:line="234" w:lineRule="auto"/>
        <w:ind w:left="560" w:right="352"/>
        <w:jc w:val="both"/>
        <w:rPr>
          <w:sz w:val="20"/>
          <w:szCs w:val="20"/>
          <w:lang w:val="fr-BE"/>
        </w:rPr>
      </w:pPr>
      <w:r w:rsidRPr="00C27636">
        <w:rPr>
          <w:rFonts w:ascii="Calibri" w:eastAsia="Calibri" w:hAnsi="Calibri" w:cs="Calibri"/>
          <w:lang w:val="fr-BE"/>
        </w:rPr>
        <w:t xml:space="preserve">peut être attribué à </w:t>
      </w:r>
      <w:r w:rsidRPr="00C27636">
        <w:rPr>
          <w:rFonts w:ascii="Calibri" w:eastAsia="Calibri" w:hAnsi="Calibri" w:cs="Calibri"/>
          <w:lang w:val="fr-BE"/>
        </w:rPr>
        <w:t>l’école selon son quartier. Ce statut est dans certaines statistiques étendu aux élèves fréquentant cet établissement, ce qui comporte un biais certain vu que tous les élèves n’habitent pas forcément le même quartier ou un quartier comparable à celui où l’</w:t>
      </w:r>
      <w:r w:rsidRPr="00C27636">
        <w:rPr>
          <w:rFonts w:ascii="Calibri" w:eastAsia="Calibri" w:hAnsi="Calibri" w:cs="Calibri"/>
          <w:lang w:val="fr-BE"/>
        </w:rPr>
        <w:t>école est située.</w:t>
      </w:r>
    </w:p>
    <w:p w:rsidR="00AC12B4" w:rsidRPr="00C27636" w:rsidRDefault="00AC12B4">
      <w:pPr>
        <w:spacing w:line="173" w:lineRule="exact"/>
        <w:rPr>
          <w:sz w:val="20"/>
          <w:szCs w:val="20"/>
          <w:lang w:val="fr-BE"/>
        </w:rPr>
      </w:pPr>
    </w:p>
    <w:p w:rsidR="00AC12B4" w:rsidRPr="00C27636" w:rsidRDefault="00C27636">
      <w:pPr>
        <w:spacing w:line="225" w:lineRule="auto"/>
        <w:ind w:left="560" w:right="352"/>
        <w:jc w:val="both"/>
        <w:rPr>
          <w:sz w:val="20"/>
          <w:szCs w:val="20"/>
          <w:lang w:val="fr-BE"/>
        </w:rPr>
      </w:pPr>
      <w:r w:rsidRPr="00C27636">
        <w:rPr>
          <w:rFonts w:ascii="Calibri" w:eastAsia="Calibri" w:hAnsi="Calibri" w:cs="Calibri"/>
          <w:lang w:val="fr-BE"/>
        </w:rPr>
        <w:t>Vu l’importance de cet indicateur, nous plaidons pour l’utilisation généralisée d’un indice de statut socio-économique.</w:t>
      </w:r>
    </w:p>
    <w:p w:rsidR="00AC12B4" w:rsidRPr="00C27636" w:rsidRDefault="00AC12B4">
      <w:pPr>
        <w:spacing w:line="208" w:lineRule="exact"/>
        <w:rPr>
          <w:sz w:val="20"/>
          <w:szCs w:val="20"/>
          <w:lang w:val="fr-BE"/>
        </w:rPr>
      </w:pPr>
    </w:p>
    <w:p w:rsidR="00AC12B4" w:rsidRDefault="00C27636">
      <w:pPr>
        <w:ind w:left="560"/>
        <w:rPr>
          <w:sz w:val="20"/>
          <w:szCs w:val="20"/>
        </w:rPr>
      </w:pPr>
      <w:r>
        <w:rPr>
          <w:rFonts w:ascii="Cambria" w:eastAsia="Cambria" w:hAnsi="Cambria" w:cs="Cambria"/>
          <w:b/>
          <w:bCs/>
          <w:i/>
          <w:iCs/>
          <w:color w:val="44ACE0"/>
          <w:sz w:val="26"/>
          <w:szCs w:val="26"/>
        </w:rPr>
        <w:t>Pour aller plus loin</w:t>
      </w:r>
    </w:p>
    <w:p w:rsidR="00AC12B4" w:rsidRDefault="00AC12B4">
      <w:pPr>
        <w:spacing w:line="220" w:lineRule="exact"/>
        <w:rPr>
          <w:sz w:val="20"/>
          <w:szCs w:val="20"/>
        </w:rPr>
      </w:pPr>
    </w:p>
    <w:p w:rsidR="00AC12B4" w:rsidRPr="00C27636" w:rsidRDefault="00C27636">
      <w:pPr>
        <w:numPr>
          <w:ilvl w:val="0"/>
          <w:numId w:val="197"/>
        </w:numPr>
        <w:tabs>
          <w:tab w:val="left" w:pos="1280"/>
        </w:tabs>
        <w:spacing w:line="247" w:lineRule="auto"/>
        <w:ind w:left="1280" w:right="352" w:hanging="353"/>
        <w:jc w:val="both"/>
        <w:rPr>
          <w:rFonts w:ascii="Symbol" w:eastAsia="Symbol" w:hAnsi="Symbol" w:cs="Symbol"/>
          <w:sz w:val="20"/>
          <w:szCs w:val="20"/>
          <w:lang w:val="nl-NL"/>
        </w:rPr>
      </w:pPr>
      <w:r w:rsidRPr="00C27636">
        <w:rPr>
          <w:rFonts w:ascii="Calibri" w:eastAsia="Calibri" w:hAnsi="Calibri" w:cs="Calibri"/>
          <w:sz w:val="20"/>
          <w:szCs w:val="20"/>
          <w:lang w:val="nl-NL"/>
        </w:rPr>
        <w:t xml:space="preserve">Voir aussi Hirtt, N., Nicaise, I. en De Zutter, D., </w:t>
      </w:r>
      <w:r w:rsidRPr="00C27636">
        <w:rPr>
          <w:rFonts w:ascii="Calibri" w:eastAsia="Calibri" w:hAnsi="Calibri" w:cs="Calibri"/>
          <w:i/>
          <w:iCs/>
          <w:sz w:val="20"/>
          <w:szCs w:val="20"/>
          <w:lang w:val="nl-NL"/>
        </w:rPr>
        <w:t>De school van de</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 xml:space="preserve">ongelijkheid , </w:t>
      </w:r>
      <w:r w:rsidRPr="00C27636">
        <w:rPr>
          <w:rFonts w:ascii="Calibri" w:eastAsia="Calibri" w:hAnsi="Calibri" w:cs="Calibri"/>
          <w:sz w:val="20"/>
          <w:szCs w:val="20"/>
          <w:lang w:val="nl-NL"/>
        </w:rPr>
        <w:t>EPO, 2013;</w:t>
      </w:r>
      <w:r w:rsidRPr="00C27636">
        <w:rPr>
          <w:rFonts w:ascii="Calibri" w:eastAsia="Calibri" w:hAnsi="Calibri" w:cs="Calibri"/>
          <w:sz w:val="20"/>
          <w:szCs w:val="20"/>
          <w:lang w:val="nl-NL"/>
        </w:rPr>
        <w:t xml:space="preserve"> Hirtt, N.,</w:t>
      </w:r>
    </w:p>
    <w:p w:rsidR="00AC12B4" w:rsidRPr="00C27636" w:rsidRDefault="00C27636">
      <w:pPr>
        <w:spacing w:line="20" w:lineRule="exact"/>
        <w:rPr>
          <w:sz w:val="20"/>
          <w:szCs w:val="20"/>
          <w:lang w:val="nl-NL"/>
        </w:rPr>
      </w:pPr>
      <w:r w:rsidRPr="00C27636">
        <w:rPr>
          <w:sz w:val="20"/>
          <w:szCs w:val="20"/>
          <w:lang w:val="nl-NL"/>
        </w:rPr>
        <w:br w:type="column"/>
      </w:r>
    </w:p>
    <w:p w:rsidR="00AC12B4" w:rsidRPr="00C27636" w:rsidRDefault="00AC12B4">
      <w:pPr>
        <w:spacing w:line="191" w:lineRule="exact"/>
        <w:rPr>
          <w:sz w:val="20"/>
          <w:szCs w:val="20"/>
          <w:lang w:val="nl-NL"/>
        </w:rPr>
      </w:pPr>
    </w:p>
    <w:p w:rsidR="00AC12B4" w:rsidRPr="00C27636" w:rsidRDefault="00C27636">
      <w:pPr>
        <w:spacing w:line="253" w:lineRule="auto"/>
        <w:ind w:left="368" w:right="1060"/>
        <w:jc w:val="both"/>
        <w:rPr>
          <w:rFonts w:ascii="Calibri" w:eastAsia="Calibri" w:hAnsi="Calibri" w:cs="Calibri"/>
          <w:sz w:val="20"/>
          <w:szCs w:val="20"/>
          <w:lang w:val="nl-NL"/>
        </w:rPr>
      </w:pPr>
      <w:r w:rsidRPr="00C27636">
        <w:rPr>
          <w:rFonts w:ascii="Calibri" w:eastAsia="Calibri" w:hAnsi="Calibri" w:cs="Calibri"/>
          <w:sz w:val="20"/>
          <w:szCs w:val="20"/>
          <w:lang w:val="nl-NL"/>
        </w:rPr>
        <w:t>“</w:t>
      </w:r>
      <w:hyperlink r:id="rId203">
        <w:r w:rsidRPr="00C27636">
          <w:rPr>
            <w:rFonts w:ascii="Calibri" w:eastAsia="Calibri" w:hAnsi="Calibri" w:cs="Calibri"/>
            <w:color w:val="0000FF"/>
            <w:sz w:val="20"/>
            <w:szCs w:val="20"/>
            <w:u w:val="single"/>
            <w:lang w:val="nl-NL"/>
          </w:rPr>
          <w:t>Pisa 2003-onderzoek. Deel 1”,</w:t>
        </w:r>
        <w:r w:rsidRPr="00C27636">
          <w:rPr>
            <w:rFonts w:ascii="Calibri" w:eastAsia="Calibri" w:hAnsi="Calibri" w:cs="Calibri"/>
            <w:sz w:val="20"/>
            <w:szCs w:val="20"/>
            <w:u w:val="single"/>
            <w:lang w:val="nl-NL"/>
          </w:rPr>
          <w:t xml:space="preserve"> </w:t>
        </w:r>
      </w:hyperlink>
      <w:r w:rsidRPr="00C27636">
        <w:rPr>
          <w:rFonts w:ascii="Calibri" w:eastAsia="Calibri" w:hAnsi="Calibri" w:cs="Calibri"/>
          <w:sz w:val="20"/>
          <w:szCs w:val="20"/>
          <w:lang w:val="nl-NL"/>
        </w:rPr>
        <w:t xml:space="preserve">in </w:t>
      </w:r>
      <w:r w:rsidRPr="00C27636">
        <w:rPr>
          <w:rFonts w:ascii="Calibri" w:eastAsia="Calibri" w:hAnsi="Calibri" w:cs="Calibri"/>
          <w:i/>
          <w:iCs/>
          <w:sz w:val="20"/>
          <w:szCs w:val="20"/>
          <w:lang w:val="nl-NL"/>
        </w:rPr>
        <w:t>De</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democratische school</w:t>
      </w:r>
      <w:r w:rsidRPr="00C27636">
        <w:rPr>
          <w:rFonts w:ascii="Calibri" w:eastAsia="Calibri" w:hAnsi="Calibri" w:cs="Calibri"/>
          <w:sz w:val="20"/>
          <w:szCs w:val="20"/>
          <w:lang w:val="nl-NL"/>
        </w:rPr>
        <w:t>, nr. 21, juni</w:t>
      </w:r>
      <w:r w:rsidRPr="00C27636">
        <w:rPr>
          <w:rFonts w:ascii="Calibri" w:eastAsia="Calibri" w:hAnsi="Calibri" w:cs="Calibri"/>
          <w:i/>
          <w:iCs/>
          <w:sz w:val="20"/>
          <w:szCs w:val="20"/>
          <w:lang w:val="nl-NL"/>
        </w:rPr>
        <w:t xml:space="preserve"> </w:t>
      </w:r>
      <w:r w:rsidRPr="00C27636">
        <w:rPr>
          <w:rFonts w:ascii="Calibri" w:eastAsia="Calibri" w:hAnsi="Calibri" w:cs="Calibri"/>
          <w:sz w:val="20"/>
          <w:szCs w:val="20"/>
          <w:lang w:val="nl-NL"/>
        </w:rPr>
        <w:t>2005,</w:t>
      </w:r>
    </w:p>
    <w:p w:rsidR="00AC12B4" w:rsidRPr="00C27636" w:rsidRDefault="00C27636">
      <w:pPr>
        <w:spacing w:line="20" w:lineRule="exact"/>
        <w:rPr>
          <w:sz w:val="20"/>
          <w:szCs w:val="20"/>
          <w:lang w:val="nl-NL"/>
        </w:rPr>
      </w:pPr>
      <w:r>
        <w:rPr>
          <w:noProof/>
          <w:sz w:val="20"/>
          <w:szCs w:val="20"/>
        </w:rPr>
        <mc:AlternateContent>
          <mc:Choice Requires="wps">
            <w:drawing>
              <wp:anchor distT="0" distB="0" distL="114300" distR="114300" simplePos="0" relativeHeight="251646464" behindDoc="1" locked="0" layoutInCell="0" allowOverlap="1">
                <wp:simplePos x="0" y="0"/>
                <wp:positionH relativeFrom="column">
                  <wp:posOffset>2499360</wp:posOffset>
                </wp:positionH>
                <wp:positionV relativeFrom="paragraph">
                  <wp:posOffset>-1538605</wp:posOffset>
                </wp:positionV>
                <wp:extent cx="751840" cy="10895965"/>
                <wp:effectExtent l="0" t="0" r="0" b="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5965"/>
                        </a:xfrm>
                        <a:prstGeom prst="rect">
                          <a:avLst/>
                        </a:prstGeom>
                        <a:solidFill>
                          <a:srgbClr val="8BCCEC"/>
                        </a:solidFill>
                      </wps:spPr>
                      <wps:bodyPr/>
                    </wps:wsp>
                  </a:graphicData>
                </a:graphic>
              </wp:anchor>
            </w:drawing>
          </mc:Choice>
          <mc:Fallback>
            <w:pict>
              <v:rect id="Shape 310" o:spid="_x0000_s1335" style="position:absolute;margin-left:196.8pt;margin-top:-121.1499pt;width:59.2pt;height:8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Pr="00C27636" w:rsidRDefault="00AC12B4">
      <w:pPr>
        <w:spacing w:line="50" w:lineRule="exact"/>
        <w:rPr>
          <w:sz w:val="20"/>
          <w:szCs w:val="20"/>
          <w:lang w:val="nl-NL"/>
        </w:rPr>
      </w:pPr>
    </w:p>
    <w:p w:rsidR="00AC12B4" w:rsidRDefault="00C27636">
      <w:pPr>
        <w:spacing w:line="254" w:lineRule="auto"/>
        <w:ind w:left="368" w:right="1060"/>
        <w:rPr>
          <w:rFonts w:ascii="Calibri" w:eastAsia="Calibri" w:hAnsi="Calibri" w:cs="Calibri"/>
          <w:color w:val="0000FF"/>
          <w:sz w:val="19"/>
          <w:szCs w:val="19"/>
          <w:u w:val="single"/>
        </w:rPr>
      </w:pPr>
      <w:hyperlink r:id="rId204">
        <w:r>
          <w:rPr>
            <w:rFonts w:ascii="Calibri" w:eastAsia="Calibri" w:hAnsi="Calibri" w:cs="Calibri"/>
            <w:color w:val="0000FF"/>
            <w:sz w:val="19"/>
            <w:szCs w:val="19"/>
            <w:u w:val="single"/>
          </w:rPr>
          <w:t>http://www.skolo.org/spip.php?article</w:t>
        </w:r>
      </w:hyperlink>
      <w:r>
        <w:rPr>
          <w:rFonts w:ascii="Calibri" w:eastAsia="Calibri" w:hAnsi="Calibri" w:cs="Calibri"/>
          <w:color w:val="0000FF"/>
          <w:sz w:val="19"/>
          <w:szCs w:val="19"/>
          <w:u w:val="single"/>
        </w:rPr>
        <w:t xml:space="preserve"> </w:t>
      </w:r>
      <w:hyperlink r:id="rId205">
        <w:r>
          <w:rPr>
            <w:rFonts w:ascii="Calibri" w:eastAsia="Calibri" w:hAnsi="Calibri" w:cs="Calibri"/>
            <w:color w:val="0000FF"/>
            <w:sz w:val="19"/>
            <w:szCs w:val="19"/>
            <w:u w:val="single"/>
          </w:rPr>
          <w:t>498&amp;lang=fr</w:t>
        </w:r>
      </w:hyperlink>
    </w:p>
    <w:p w:rsidR="00AC12B4" w:rsidRDefault="00AC12B4">
      <w:pPr>
        <w:spacing w:line="83" w:lineRule="exact"/>
        <w:rPr>
          <w:sz w:val="20"/>
          <w:szCs w:val="20"/>
        </w:rPr>
      </w:pPr>
    </w:p>
    <w:p w:rsidR="00AC12B4" w:rsidRPr="00C27636" w:rsidRDefault="00C27636">
      <w:pPr>
        <w:numPr>
          <w:ilvl w:val="0"/>
          <w:numId w:val="198"/>
        </w:numPr>
        <w:tabs>
          <w:tab w:val="left" w:pos="368"/>
        </w:tabs>
        <w:spacing w:line="225" w:lineRule="auto"/>
        <w:ind w:left="368" w:right="1060" w:hanging="368"/>
        <w:jc w:val="both"/>
        <w:rPr>
          <w:rFonts w:ascii="Symbol" w:eastAsia="Symbol" w:hAnsi="Symbol" w:cs="Symbol"/>
          <w:sz w:val="20"/>
          <w:szCs w:val="20"/>
          <w:lang w:val="fr-BE"/>
        </w:rPr>
      </w:pPr>
      <w:r w:rsidRPr="00C27636">
        <w:rPr>
          <w:rFonts w:ascii="Calibri" w:eastAsia="Calibri" w:hAnsi="Calibri" w:cs="Calibri"/>
          <w:b/>
          <w:bCs/>
          <w:i/>
          <w:iCs/>
          <w:color w:val="4BACC6"/>
          <w:sz w:val="20"/>
          <w:szCs w:val="20"/>
          <w:lang w:val="fr-BE"/>
        </w:rPr>
        <w:t xml:space="preserve">Recherche en cours sur la reproduction d’inégalités dans l’enseignement: </w:t>
      </w:r>
      <w:r w:rsidRPr="00C27636">
        <w:rPr>
          <w:rFonts w:ascii="Calibri" w:eastAsia="Calibri" w:hAnsi="Calibri" w:cs="Calibri"/>
          <w:color w:val="000000"/>
          <w:sz w:val="20"/>
          <w:szCs w:val="20"/>
          <w:lang w:val="fr-BE"/>
        </w:rPr>
        <w:t>Blommaert, M.,</w:t>
      </w:r>
      <w:r w:rsidRPr="00C27636">
        <w:rPr>
          <w:rFonts w:ascii="Calibri" w:eastAsia="Calibri" w:hAnsi="Calibri" w:cs="Calibri"/>
          <w:b/>
          <w:bCs/>
          <w:i/>
          <w:iCs/>
          <w:color w:val="4BACC6"/>
          <w:sz w:val="20"/>
          <w:szCs w:val="20"/>
          <w:lang w:val="fr-BE"/>
        </w:rPr>
        <w:t xml:space="preserve"> </w:t>
      </w:r>
      <w:r w:rsidRPr="00C27636">
        <w:rPr>
          <w:rFonts w:ascii="Calibri" w:eastAsia="Calibri" w:hAnsi="Calibri" w:cs="Calibri"/>
          <w:color w:val="000000"/>
          <w:sz w:val="20"/>
          <w:szCs w:val="20"/>
          <w:lang w:val="fr-BE"/>
        </w:rPr>
        <w:t>Meyer, J., Van Damme, J., Steunpunt</w:t>
      </w:r>
    </w:p>
    <w:p w:rsidR="00AC12B4" w:rsidRPr="00C27636" w:rsidRDefault="00AC12B4">
      <w:pPr>
        <w:spacing w:line="48" w:lineRule="exact"/>
        <w:rPr>
          <w:rFonts w:ascii="Symbol" w:eastAsia="Symbol" w:hAnsi="Symbol" w:cs="Symbol"/>
          <w:sz w:val="20"/>
          <w:szCs w:val="20"/>
          <w:lang w:val="fr-BE"/>
        </w:rPr>
      </w:pPr>
    </w:p>
    <w:p w:rsidR="00AC12B4" w:rsidRPr="00C27636" w:rsidRDefault="00C27636">
      <w:pPr>
        <w:spacing w:line="236" w:lineRule="auto"/>
        <w:ind w:left="368" w:right="1060"/>
        <w:jc w:val="both"/>
        <w:rPr>
          <w:rFonts w:ascii="Calibri" w:eastAsia="Calibri" w:hAnsi="Calibri" w:cs="Calibri"/>
          <w:color w:val="0000FF"/>
          <w:sz w:val="19"/>
          <w:szCs w:val="19"/>
          <w:u w:val="single"/>
          <w:lang w:val="nl-NL"/>
        </w:rPr>
      </w:pPr>
      <w:r w:rsidRPr="00C27636">
        <w:rPr>
          <w:rFonts w:ascii="Calibri" w:eastAsia="Calibri" w:hAnsi="Calibri" w:cs="Calibri"/>
          <w:sz w:val="19"/>
          <w:szCs w:val="19"/>
          <w:lang w:val="nl-NL"/>
        </w:rPr>
        <w:t xml:space="preserve">Studie- en schoolloopbanen, </w:t>
      </w:r>
      <w:hyperlink r:id="rId206">
        <w:r w:rsidRPr="00C27636">
          <w:rPr>
            <w:rFonts w:ascii="Calibri" w:eastAsia="Calibri" w:hAnsi="Calibri" w:cs="Calibri"/>
            <w:color w:val="0000FF"/>
            <w:sz w:val="19"/>
            <w:szCs w:val="19"/>
            <w:u w:val="single"/>
            <w:lang w:val="nl-NL"/>
          </w:rPr>
          <w:t>https://steunpuntssl.be/Onderzoek/Lo</w:t>
        </w:r>
      </w:hyperlink>
      <w:r w:rsidRPr="00C27636">
        <w:rPr>
          <w:rFonts w:ascii="Calibri" w:eastAsia="Calibri" w:hAnsi="Calibri" w:cs="Calibri"/>
          <w:color w:val="0000FF"/>
          <w:sz w:val="19"/>
          <w:szCs w:val="19"/>
          <w:u w:val="single"/>
          <w:lang w:val="nl-NL"/>
        </w:rPr>
        <w:t xml:space="preserve"> </w:t>
      </w:r>
      <w:hyperlink r:id="rId207">
        <w:r w:rsidRPr="00C27636">
          <w:rPr>
            <w:rFonts w:ascii="Calibri" w:eastAsia="Calibri" w:hAnsi="Calibri" w:cs="Calibri"/>
            <w:color w:val="0000FF"/>
            <w:sz w:val="19"/>
            <w:szCs w:val="19"/>
            <w:u w:val="single"/>
            <w:lang w:val="nl-NL"/>
          </w:rPr>
          <w:t>opbanen-van-leerlingen</w:t>
        </w:r>
      </w:hyperlink>
    </w:p>
    <w:p w:rsidR="00AC12B4" w:rsidRPr="00C27636" w:rsidRDefault="00AC12B4">
      <w:pPr>
        <w:spacing w:line="1646" w:lineRule="exact"/>
        <w:rPr>
          <w:rFonts w:ascii="Symbol" w:eastAsia="Symbol" w:hAnsi="Symbol" w:cs="Symbol"/>
          <w:sz w:val="20"/>
          <w:szCs w:val="20"/>
          <w:lang w:val="nl-NL"/>
        </w:rPr>
      </w:pPr>
    </w:p>
    <w:p w:rsidR="00AC12B4" w:rsidRPr="00C27636" w:rsidRDefault="00AC12B4">
      <w:pPr>
        <w:rPr>
          <w:lang w:val="nl-NL"/>
        </w:rPr>
        <w:sectPr w:rsidR="00AC12B4" w:rsidRPr="00C27636">
          <w:pgSz w:w="12080" w:h="17179"/>
          <w:pgMar w:top="1440" w:right="557" w:bottom="659" w:left="1440" w:header="0" w:footer="0" w:gutter="0"/>
          <w:cols w:num="2" w:space="720" w:equalWidth="0">
            <w:col w:w="4792" w:space="720"/>
            <w:col w:w="4568"/>
          </w:cols>
        </w:sect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347" w:lineRule="exact"/>
        <w:rPr>
          <w:rFonts w:ascii="Symbol" w:eastAsia="Symbol" w:hAnsi="Symbol" w:cs="Symbol"/>
          <w:sz w:val="20"/>
          <w:szCs w:val="20"/>
          <w:lang w:val="nl-NL"/>
        </w:rPr>
      </w:pPr>
    </w:p>
    <w:tbl>
      <w:tblPr>
        <w:tblW w:w="0" w:type="auto"/>
        <w:tblInd w:w="9799" w:type="dxa"/>
        <w:tblLayout w:type="fixed"/>
        <w:tblCellMar>
          <w:left w:w="0" w:type="dxa"/>
          <w:right w:w="0" w:type="dxa"/>
        </w:tblCellMar>
        <w:tblLook w:val="04A0" w:firstRow="1" w:lastRow="0" w:firstColumn="1" w:lastColumn="0" w:noHBand="0" w:noVBand="1"/>
      </w:tblPr>
      <w:tblGrid>
        <w:gridCol w:w="281"/>
      </w:tblGrid>
      <w:tr w:rsidR="00AC12B4">
        <w:trPr>
          <w:trHeight w:val="294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t>Le droit à l’enseignement</w:t>
            </w:r>
          </w:p>
        </w:tc>
      </w:tr>
    </w:tbl>
    <w:p w:rsidR="00AC12B4" w:rsidRDefault="00AC12B4">
      <w:pPr>
        <w:spacing w:line="40" w:lineRule="exact"/>
        <w:rPr>
          <w:rFonts w:ascii="Symbol" w:eastAsia="Symbol" w:hAnsi="Symbol" w:cs="Symbol"/>
          <w:sz w:val="20"/>
          <w:szCs w:val="20"/>
        </w:rPr>
      </w:pPr>
    </w:p>
    <w:p w:rsidR="00AC12B4" w:rsidRDefault="00C27636">
      <w:pPr>
        <w:ind w:right="480"/>
        <w:jc w:val="center"/>
        <w:rPr>
          <w:sz w:val="20"/>
          <w:szCs w:val="20"/>
        </w:rPr>
      </w:pPr>
      <w:r>
        <w:rPr>
          <w:rFonts w:ascii="Calibri" w:eastAsia="Calibri" w:hAnsi="Calibri" w:cs="Calibri"/>
          <w:sz w:val="21"/>
          <w:szCs w:val="21"/>
        </w:rPr>
        <w:t>117</w:t>
      </w:r>
    </w:p>
    <w:p w:rsidR="00AC12B4" w:rsidRDefault="00AC12B4">
      <w:pPr>
        <w:sectPr w:rsidR="00AC12B4">
          <w:type w:val="continuous"/>
          <w:pgSz w:w="12080" w:h="17179"/>
          <w:pgMar w:top="1440" w:right="557" w:bottom="659" w:left="1440" w:header="0" w:footer="0" w:gutter="0"/>
          <w:cols w:space="720" w:equalWidth="0">
            <w:col w:w="10080"/>
          </w:cols>
        </w:sectPr>
      </w:pPr>
    </w:p>
    <w:p w:rsidR="00AC12B4" w:rsidRDefault="00AC12B4">
      <w:pPr>
        <w:jc w:val="center"/>
        <w:rPr>
          <w:sz w:val="20"/>
          <w:szCs w:val="20"/>
        </w:rPr>
      </w:pPr>
      <w:bookmarkStart w:id="117" w:name="page118"/>
      <w:bookmarkEnd w:id="117"/>
    </w:p>
    <w:p w:rsidR="00AC12B4" w:rsidRDefault="00AC12B4">
      <w:pPr>
        <w:sectPr w:rsidR="00AC12B4">
          <w:pgSz w:w="12080" w:h="17179"/>
          <w:pgMar w:top="1440" w:right="1440" w:bottom="875" w:left="1440" w:header="0" w:footer="0" w:gutter="0"/>
          <w:cols w:space="0"/>
        </w:sectPr>
      </w:pPr>
    </w:p>
    <w:bookmarkStart w:id="118" w:name="page119"/>
    <w:bookmarkEnd w:id="118"/>
    <w:p w:rsidR="00AC12B4" w:rsidRDefault="00C27636">
      <w:pPr>
        <w:spacing w:line="168" w:lineRule="exact"/>
        <w:rPr>
          <w:sz w:val="20"/>
          <w:szCs w:val="20"/>
        </w:rPr>
      </w:pPr>
      <w:r>
        <w:rPr>
          <w:noProof/>
          <w:sz w:val="20"/>
          <w:szCs w:val="20"/>
        </w:rPr>
        <w:lastRenderedPageBreak/>
        <mc:AlternateContent>
          <mc:Choice Requires="wps">
            <w:drawing>
              <wp:anchor distT="0" distB="0" distL="114300" distR="114300" simplePos="0" relativeHeight="251647488" behindDoc="1" locked="0" layoutInCell="0" allowOverlap="1">
                <wp:simplePos x="0" y="0"/>
                <wp:positionH relativeFrom="page">
                  <wp:posOffset>6913880</wp:posOffset>
                </wp:positionH>
                <wp:positionV relativeFrom="page">
                  <wp:posOffset>0</wp:posOffset>
                </wp:positionV>
                <wp:extent cx="751840" cy="10895965"/>
                <wp:effectExtent l="0" t="0" r="0" b="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5965"/>
                        </a:xfrm>
                        <a:prstGeom prst="rect">
                          <a:avLst/>
                        </a:prstGeom>
                        <a:solidFill>
                          <a:srgbClr val="8BCCEC"/>
                        </a:solidFill>
                      </wps:spPr>
                      <wps:bodyPr/>
                    </wps:wsp>
                  </a:graphicData>
                </a:graphic>
              </wp:anchor>
            </w:drawing>
          </mc:Choice>
          <mc:Fallback>
            <w:pict>
              <v:rect id="Shape 311" o:spid="_x0000_s1336" style="position:absolute;margin-left:544.4pt;margin-top:0pt;width:59.2pt;height:857.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C27636">
      <w:pPr>
        <w:ind w:left="880"/>
        <w:rPr>
          <w:sz w:val="20"/>
          <w:szCs w:val="20"/>
        </w:rPr>
      </w:pPr>
      <w:r>
        <w:rPr>
          <w:rFonts w:ascii="Comic Sans MS" w:eastAsia="Comic Sans MS" w:hAnsi="Comic Sans MS" w:cs="Comic Sans MS"/>
          <w:color w:val="8BCCEC"/>
          <w:sz w:val="40"/>
          <w:szCs w:val="40"/>
        </w:rPr>
        <w:t>E4. Ségrégation</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48512" behindDoc="1" locked="0" layoutInCell="0" allowOverlap="1">
                <wp:simplePos x="0" y="0"/>
                <wp:positionH relativeFrom="column">
                  <wp:posOffset>-349885</wp:posOffset>
                </wp:positionH>
                <wp:positionV relativeFrom="paragraph">
                  <wp:posOffset>187325</wp:posOffset>
                </wp:positionV>
                <wp:extent cx="3806190" cy="2317750"/>
                <wp:effectExtent l="0" t="0" r="0" b="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6190" cy="2317750"/>
                        </a:xfrm>
                        <a:prstGeom prst="rect">
                          <a:avLst/>
                        </a:prstGeom>
                        <a:solidFill>
                          <a:srgbClr val="8BCCEC"/>
                        </a:solidFill>
                      </wps:spPr>
                      <wps:bodyPr/>
                    </wps:wsp>
                  </a:graphicData>
                </a:graphic>
              </wp:anchor>
            </w:drawing>
          </mc:Choice>
          <mc:Fallback>
            <w:pict>
              <v:rect id="Shape 312" o:spid="_x0000_s1337" style="position:absolute;margin-left:-27.5499pt;margin-top:14.75pt;width:299.7pt;height:1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r>
        <w:rPr>
          <w:noProof/>
          <w:sz w:val="20"/>
          <w:szCs w:val="20"/>
        </w:rPr>
        <mc:AlternateContent>
          <mc:Choice Requires="wps">
            <w:drawing>
              <wp:anchor distT="0" distB="0" distL="114300" distR="114300" simplePos="0" relativeHeight="251649536" behindDoc="1" locked="0" layoutInCell="0" allowOverlap="1">
                <wp:simplePos x="0" y="0"/>
                <wp:positionH relativeFrom="column">
                  <wp:posOffset>3456305</wp:posOffset>
                </wp:positionH>
                <wp:positionV relativeFrom="paragraph">
                  <wp:posOffset>174625</wp:posOffset>
                </wp:positionV>
                <wp:extent cx="0" cy="2343150"/>
                <wp:effectExtent l="0" t="0" r="0" b="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4315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5pt,13.75pt" to="272.15pt,198.25pt" o:allowincell="f" strokecolor="#44ACE0" strokeweight="2pt"/>
            </w:pict>
          </mc:Fallback>
        </mc:AlternateContent>
      </w:r>
      <w:r>
        <w:rPr>
          <w:noProof/>
          <w:sz w:val="20"/>
          <w:szCs w:val="20"/>
        </w:rPr>
        <mc:AlternateContent>
          <mc:Choice Requires="wps">
            <w:drawing>
              <wp:anchor distT="0" distB="0" distL="114300" distR="114300" simplePos="0" relativeHeight="251650560" behindDoc="1" locked="0" layoutInCell="0" allowOverlap="1">
                <wp:simplePos x="0" y="0"/>
                <wp:positionH relativeFrom="column">
                  <wp:posOffset>-362585</wp:posOffset>
                </wp:positionH>
                <wp:positionV relativeFrom="paragraph">
                  <wp:posOffset>187325</wp:posOffset>
                </wp:positionV>
                <wp:extent cx="3831590" cy="0"/>
                <wp:effectExtent l="0" t="0" r="0" b="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3159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499pt,14.75pt" to="273.15pt,14.75pt" o:allowincell="f" strokecolor="#44ACE0" strokeweight="2pt"/>
            </w:pict>
          </mc:Fallback>
        </mc:AlternateContent>
      </w:r>
      <w:r>
        <w:rPr>
          <w:noProof/>
          <w:sz w:val="20"/>
          <w:szCs w:val="20"/>
        </w:rPr>
        <mc:AlternateContent>
          <mc:Choice Requires="wps">
            <w:drawing>
              <wp:anchor distT="0" distB="0" distL="114300" distR="114300" simplePos="0" relativeHeight="251651584" behindDoc="1" locked="0" layoutInCell="0" allowOverlap="1">
                <wp:simplePos x="0" y="0"/>
                <wp:positionH relativeFrom="column">
                  <wp:posOffset>-349885</wp:posOffset>
                </wp:positionH>
                <wp:positionV relativeFrom="paragraph">
                  <wp:posOffset>174625</wp:posOffset>
                </wp:positionV>
                <wp:extent cx="0" cy="2343150"/>
                <wp:effectExtent l="0" t="0" r="0" b="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4315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99pt,13.75pt" to="-27.5499pt,198.25pt" o:allowincell="f" strokecolor="#44ACE0" strokeweight="2pt"/>
            </w:pict>
          </mc:Fallback>
        </mc:AlternateContent>
      </w:r>
      <w:r>
        <w:rPr>
          <w:noProof/>
          <w:sz w:val="20"/>
          <w:szCs w:val="20"/>
        </w:rPr>
        <mc:AlternateContent>
          <mc:Choice Requires="wps">
            <w:drawing>
              <wp:anchor distT="0" distB="0" distL="114300" distR="114300" simplePos="0" relativeHeight="251652608" behindDoc="1" locked="0" layoutInCell="0" allowOverlap="1">
                <wp:simplePos x="0" y="0"/>
                <wp:positionH relativeFrom="column">
                  <wp:posOffset>-362585</wp:posOffset>
                </wp:positionH>
                <wp:positionV relativeFrom="paragraph">
                  <wp:posOffset>2505075</wp:posOffset>
                </wp:positionV>
                <wp:extent cx="3831590" cy="0"/>
                <wp:effectExtent l="0" t="0" r="0" b="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3159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499pt,197.25pt" to="273.15pt,197.25pt" o:allowincell="f" strokecolor="#44ACE0" strokeweight="2pt"/>
            </w:pict>
          </mc:Fallback>
        </mc:AlternateContent>
      </w:r>
    </w:p>
    <w:p w:rsidR="00AC12B4" w:rsidRDefault="00AC12B4">
      <w:pPr>
        <w:sectPr w:rsidR="00AC12B4">
          <w:pgSz w:w="12080" w:h="17179"/>
          <w:pgMar w:top="1440" w:right="557" w:bottom="659" w:left="1120" w:header="0" w:footer="0" w:gutter="0"/>
          <w:cols w:space="720" w:equalWidth="0">
            <w:col w:w="10400"/>
          </w:cols>
        </w:sectPr>
      </w:pPr>
    </w:p>
    <w:p w:rsidR="00AC12B4" w:rsidRDefault="00AC12B4">
      <w:pPr>
        <w:spacing w:line="200" w:lineRule="exact"/>
        <w:rPr>
          <w:sz w:val="20"/>
          <w:szCs w:val="20"/>
        </w:rPr>
      </w:pPr>
    </w:p>
    <w:p w:rsidR="00AC12B4" w:rsidRDefault="00AC12B4">
      <w:pPr>
        <w:spacing w:line="315" w:lineRule="exact"/>
        <w:rPr>
          <w:sz w:val="20"/>
          <w:szCs w:val="20"/>
        </w:rPr>
      </w:pPr>
    </w:p>
    <w:p w:rsidR="00AC12B4" w:rsidRDefault="00C27636">
      <w:pPr>
        <w:rPr>
          <w:sz w:val="20"/>
          <w:szCs w:val="20"/>
        </w:rPr>
      </w:pPr>
      <w:r>
        <w:rPr>
          <w:rFonts w:ascii="Calibri" w:eastAsia="Calibri" w:hAnsi="Calibri" w:cs="Calibri"/>
          <w:i/>
          <w:iCs/>
          <w:color w:val="DAEEF3"/>
        </w:rPr>
        <w:t>Article 28 de la CIDE.</w:t>
      </w:r>
    </w:p>
    <w:p w:rsidR="00AC12B4" w:rsidRDefault="00AC12B4">
      <w:pPr>
        <w:spacing w:line="169" w:lineRule="exact"/>
        <w:rPr>
          <w:sz w:val="20"/>
          <w:szCs w:val="20"/>
        </w:rPr>
      </w:pPr>
    </w:p>
    <w:p w:rsidR="00AC12B4" w:rsidRPr="00C27636" w:rsidRDefault="00C27636">
      <w:pPr>
        <w:numPr>
          <w:ilvl w:val="0"/>
          <w:numId w:val="199"/>
        </w:numPr>
        <w:tabs>
          <w:tab w:val="left" w:pos="269"/>
        </w:tabs>
        <w:spacing w:line="229" w:lineRule="auto"/>
        <w:ind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Les États parties reconnaissent le droit de l'enfant à </w:t>
      </w:r>
      <w:r w:rsidRPr="00C27636">
        <w:rPr>
          <w:rFonts w:ascii="Calibri" w:eastAsia="Calibri" w:hAnsi="Calibri" w:cs="Calibri"/>
          <w:i/>
          <w:iCs/>
          <w:color w:val="DAEEF3"/>
          <w:lang w:val="fr-BE"/>
        </w:rPr>
        <w:t>l'éducation, et en particulier, en vue d'assurer l'exercice de ce droit progressivement et sur la base de l'égalité des chances :</w:t>
      </w:r>
    </w:p>
    <w:p w:rsidR="00AC12B4" w:rsidRPr="00C27636" w:rsidRDefault="00AC12B4">
      <w:pPr>
        <w:spacing w:line="110" w:lineRule="exact"/>
        <w:rPr>
          <w:sz w:val="20"/>
          <w:szCs w:val="20"/>
          <w:lang w:val="fr-BE"/>
        </w:rPr>
      </w:pPr>
    </w:p>
    <w:p w:rsidR="00AC12B4" w:rsidRPr="00C27636" w:rsidRDefault="00C27636">
      <w:pPr>
        <w:spacing w:line="232" w:lineRule="auto"/>
        <w:jc w:val="both"/>
        <w:rPr>
          <w:sz w:val="20"/>
          <w:szCs w:val="20"/>
          <w:lang w:val="fr-BE"/>
        </w:rPr>
      </w:pPr>
      <w:r w:rsidRPr="00C27636">
        <w:rPr>
          <w:rFonts w:ascii="Calibri" w:eastAsia="Calibri" w:hAnsi="Calibri" w:cs="Calibri"/>
          <w:i/>
          <w:iCs/>
          <w:color w:val="DAEEF3"/>
          <w:lang w:val="fr-BE"/>
        </w:rPr>
        <w:t>b. Ils encouragent l'organisation de différentes formes d'enseignement secondaire, tant général que professionnel, les renden</w:t>
      </w:r>
      <w:r w:rsidRPr="00C27636">
        <w:rPr>
          <w:rFonts w:ascii="Calibri" w:eastAsia="Calibri" w:hAnsi="Calibri" w:cs="Calibri"/>
          <w:i/>
          <w:iCs/>
          <w:color w:val="DAEEF3"/>
          <w:lang w:val="fr-BE"/>
        </w:rPr>
        <w:t>t ouvertes et accessibles à tout enfant, et prennent des mesures appropriées, telles que l'instauration de la gratuité de l'enseignement et l'offre d'une aide financière en cas de besoin.</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0" w:lineRule="exact"/>
        <w:rPr>
          <w:sz w:val="20"/>
          <w:szCs w:val="20"/>
          <w:lang w:val="fr-BE"/>
        </w:rPr>
      </w:pPr>
    </w:p>
    <w:p w:rsidR="00AC12B4" w:rsidRPr="00C27636" w:rsidRDefault="00C27636">
      <w:pPr>
        <w:spacing w:line="235" w:lineRule="auto"/>
        <w:ind w:left="880" w:right="520"/>
        <w:jc w:val="both"/>
        <w:rPr>
          <w:sz w:val="20"/>
          <w:szCs w:val="20"/>
          <w:lang w:val="fr-BE"/>
        </w:rPr>
      </w:pPr>
      <w:r w:rsidRPr="00C27636">
        <w:rPr>
          <w:rFonts w:ascii="Calibri" w:eastAsia="Calibri" w:hAnsi="Calibri" w:cs="Calibri"/>
          <w:lang w:val="fr-BE"/>
        </w:rPr>
        <w:t xml:space="preserve">Dans le cadre de ses observations finales de 2010, le Comité des </w:t>
      </w:r>
      <w:r w:rsidRPr="00C27636">
        <w:rPr>
          <w:rFonts w:ascii="Calibri" w:eastAsia="Calibri" w:hAnsi="Calibri" w:cs="Calibri"/>
          <w:lang w:val="fr-BE"/>
        </w:rPr>
        <w:t>droits de l'enfant a insisté sur l’importance de garantir à tous les enfants l’accès à l’éducation quelle que soit leur situation socioéconomique et de veiller à ce que les enfants des familles pauvres ne soient plus pris en charge dans le cadre de program</w:t>
      </w:r>
      <w:r w:rsidRPr="00C27636">
        <w:rPr>
          <w:rFonts w:ascii="Calibri" w:eastAsia="Calibri" w:hAnsi="Calibri" w:cs="Calibri"/>
          <w:lang w:val="fr-BE"/>
        </w:rPr>
        <w:t>mes pédagogiques spéciaux.</w:t>
      </w:r>
    </w:p>
    <w:p w:rsidR="00AC12B4" w:rsidRPr="00C27636" w:rsidRDefault="00AC12B4">
      <w:pPr>
        <w:spacing w:line="171" w:lineRule="exact"/>
        <w:rPr>
          <w:sz w:val="20"/>
          <w:szCs w:val="20"/>
          <w:lang w:val="fr-BE"/>
        </w:rPr>
      </w:pPr>
    </w:p>
    <w:p w:rsidR="00AC12B4" w:rsidRPr="00C27636" w:rsidRDefault="00C27636">
      <w:pPr>
        <w:spacing w:line="227" w:lineRule="auto"/>
        <w:ind w:left="880" w:right="520"/>
        <w:jc w:val="both"/>
        <w:rPr>
          <w:sz w:val="20"/>
          <w:szCs w:val="20"/>
          <w:lang w:val="fr-BE"/>
        </w:rPr>
      </w:pPr>
      <w:r w:rsidRPr="00C27636">
        <w:rPr>
          <w:rFonts w:ascii="Calibri" w:eastAsia="Calibri" w:hAnsi="Calibri" w:cs="Calibri"/>
          <w:lang w:val="fr-BE"/>
        </w:rPr>
        <w:t>Il existe un consensus scientifique sur le caractère néfaste des ségrégations scolaires d’un point de vue d’acquis de compétences des élèves et d’attitude citoyenne</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AC12B4">
      <w:pPr>
        <w:spacing w:line="134" w:lineRule="exact"/>
        <w:rPr>
          <w:sz w:val="20"/>
          <w:szCs w:val="20"/>
          <w:lang w:val="fr-BE"/>
        </w:rPr>
      </w:pPr>
    </w:p>
    <w:p w:rsidR="00AC12B4" w:rsidRPr="00C27636" w:rsidRDefault="00C27636">
      <w:pPr>
        <w:spacing w:line="236" w:lineRule="auto"/>
        <w:ind w:left="880" w:right="520"/>
        <w:jc w:val="both"/>
        <w:rPr>
          <w:sz w:val="20"/>
          <w:szCs w:val="20"/>
          <w:lang w:val="fr-BE"/>
        </w:rPr>
      </w:pPr>
      <w:r w:rsidRPr="00C27636">
        <w:rPr>
          <w:rFonts w:ascii="Calibri" w:eastAsia="Calibri" w:hAnsi="Calibri" w:cs="Calibri"/>
          <w:lang w:val="fr-BE"/>
        </w:rPr>
        <w:t>La ségrégation scolaire est ici définie comme le fait que le</w:t>
      </w:r>
      <w:r w:rsidRPr="00C27636">
        <w:rPr>
          <w:rFonts w:ascii="Calibri" w:eastAsia="Calibri" w:hAnsi="Calibri" w:cs="Calibri"/>
          <w:lang w:val="fr-BE"/>
        </w:rPr>
        <w:t>s élèves ne sont pas répartis de façon homogène entre les écoles. Cette ségrégation peut reposer sur différents critères, tels que le niveau socio-économiques, la langue parlée, ou les performances académiques. L’indicateur se concentrera sur la proportion</w:t>
      </w:r>
      <w:r w:rsidRPr="00C27636">
        <w:rPr>
          <w:rFonts w:ascii="Calibri" w:eastAsia="Calibri" w:hAnsi="Calibri" w:cs="Calibri"/>
          <w:lang w:val="fr-BE"/>
        </w:rPr>
        <w:t xml:space="preserve"> d’élèves appartenant au groupe minoritaire qui, d’un point de vue théorique, devrait changer d’établissement pour atteindre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06" w:lineRule="exact"/>
        <w:rPr>
          <w:sz w:val="20"/>
          <w:szCs w:val="20"/>
          <w:lang w:val="fr-BE"/>
        </w:rPr>
      </w:pPr>
    </w:p>
    <w:p w:rsidR="00AC12B4" w:rsidRPr="00C27636" w:rsidRDefault="00C27636">
      <w:pPr>
        <w:spacing w:line="210" w:lineRule="auto"/>
        <w:ind w:left="180" w:right="125"/>
        <w:jc w:val="both"/>
        <w:rPr>
          <w:sz w:val="20"/>
          <w:szCs w:val="20"/>
          <w:lang w:val="fr-BE"/>
        </w:rPr>
      </w:pPr>
      <w:r w:rsidRPr="00C27636">
        <w:rPr>
          <w:rFonts w:ascii="Calibri" w:eastAsia="Calibri" w:hAnsi="Calibri" w:cs="Calibri"/>
          <w:lang w:val="fr-BE"/>
        </w:rPr>
        <w:t>une répartition homogène dans les écoles (indice de ségrégation S)</w:t>
      </w:r>
      <w:r w:rsidRPr="00C27636">
        <w:rPr>
          <w:rFonts w:ascii="Calibri" w:eastAsia="Calibri" w:hAnsi="Calibri" w:cs="Calibri"/>
          <w:sz w:val="27"/>
          <w:szCs w:val="27"/>
          <w:vertAlign w:val="superscript"/>
          <w:lang w:val="fr-BE"/>
        </w:rPr>
        <w:t>2</w:t>
      </w:r>
    </w:p>
    <w:p w:rsidR="00AC12B4" w:rsidRPr="00C27636" w:rsidRDefault="00AC12B4">
      <w:pPr>
        <w:spacing w:line="134" w:lineRule="exact"/>
        <w:rPr>
          <w:sz w:val="20"/>
          <w:szCs w:val="20"/>
          <w:lang w:val="fr-BE"/>
        </w:rPr>
      </w:pPr>
    </w:p>
    <w:p w:rsidR="00AC12B4" w:rsidRPr="00C27636" w:rsidRDefault="00C27636">
      <w:pPr>
        <w:spacing w:line="232" w:lineRule="auto"/>
        <w:ind w:left="180" w:right="125"/>
        <w:jc w:val="both"/>
        <w:rPr>
          <w:sz w:val="20"/>
          <w:szCs w:val="20"/>
          <w:lang w:val="fr-BE"/>
        </w:rPr>
      </w:pPr>
      <w:r w:rsidRPr="00C27636">
        <w:rPr>
          <w:rFonts w:ascii="Calibri" w:eastAsia="Calibri" w:hAnsi="Calibri" w:cs="Calibri"/>
          <w:lang w:val="fr-BE"/>
        </w:rPr>
        <w:t>Contrairement à l’indicateur ’Inégalités des acquis’, il n’</w:t>
      </w:r>
      <w:r w:rsidRPr="00C27636">
        <w:rPr>
          <w:rFonts w:ascii="Calibri" w:eastAsia="Calibri" w:hAnsi="Calibri" w:cs="Calibri"/>
          <w:lang w:val="fr-BE"/>
        </w:rPr>
        <w:t>est pas ici question de voir l’influence de certaines caractéristiques de l’élève sur l’acquisition de compétences mais bien d’étudier la mixité des écoles.</w:t>
      </w:r>
    </w:p>
    <w:p w:rsidR="00AC12B4" w:rsidRPr="00C27636" w:rsidRDefault="00AC12B4">
      <w:pPr>
        <w:spacing w:line="173" w:lineRule="exact"/>
        <w:rPr>
          <w:sz w:val="20"/>
          <w:szCs w:val="20"/>
          <w:lang w:val="fr-BE"/>
        </w:rPr>
      </w:pPr>
    </w:p>
    <w:p w:rsidR="00AC12B4" w:rsidRPr="00C27636" w:rsidRDefault="00C27636">
      <w:pPr>
        <w:spacing w:line="218" w:lineRule="auto"/>
        <w:ind w:left="180" w:right="125"/>
        <w:jc w:val="both"/>
        <w:rPr>
          <w:sz w:val="20"/>
          <w:szCs w:val="20"/>
          <w:lang w:val="fr-BE"/>
        </w:rPr>
      </w:pPr>
      <w:r w:rsidRPr="00C27636">
        <w:rPr>
          <w:rFonts w:ascii="Calibri" w:eastAsia="Calibri" w:hAnsi="Calibri" w:cs="Calibri"/>
          <w:lang w:val="fr-BE"/>
        </w:rPr>
        <w:t>Les figures 1,2 et 3 illustrent différents cas de ségrégation.</w:t>
      </w:r>
    </w:p>
    <w:p w:rsidR="00AC12B4" w:rsidRPr="00C27636" w:rsidRDefault="00AC12B4">
      <w:pPr>
        <w:spacing w:line="129" w:lineRule="exact"/>
        <w:rPr>
          <w:sz w:val="20"/>
          <w:szCs w:val="20"/>
          <w:lang w:val="fr-BE"/>
        </w:rPr>
      </w:pPr>
    </w:p>
    <w:p w:rsidR="00AC12B4" w:rsidRPr="00C27636" w:rsidRDefault="00C27636">
      <w:pPr>
        <w:numPr>
          <w:ilvl w:val="0"/>
          <w:numId w:val="200"/>
        </w:numPr>
        <w:tabs>
          <w:tab w:val="left" w:pos="890"/>
        </w:tabs>
        <w:spacing w:line="276" w:lineRule="auto"/>
        <w:ind w:left="420" w:right="145" w:hanging="171"/>
        <w:rPr>
          <w:rFonts w:ascii="Cambria" w:eastAsia="Cambria" w:hAnsi="Cambria" w:cs="Cambria"/>
          <w:i/>
          <w:iCs/>
          <w:color w:val="4BACC6"/>
          <w:lang w:val="fr-BE"/>
        </w:rPr>
      </w:pPr>
      <w:hyperlink w:anchor="page120">
        <w:r w:rsidRPr="00C27636">
          <w:rPr>
            <w:rFonts w:ascii="Cambria" w:eastAsia="Cambria" w:hAnsi="Cambria" w:cs="Cambria"/>
            <w:i/>
            <w:iCs/>
            <w:color w:val="4BACC6"/>
            <w:lang w:val="fr-BE"/>
          </w:rPr>
          <w:t xml:space="preserve">Figure </w:t>
        </w:r>
      </w:hyperlink>
      <w:r w:rsidRPr="00C27636">
        <w:rPr>
          <w:rFonts w:ascii="Cambria" w:eastAsia="Cambria" w:hAnsi="Cambria" w:cs="Cambria"/>
          <w:i/>
          <w:iCs/>
          <w:color w:val="4BACC6"/>
          <w:lang w:val="fr-BE"/>
        </w:rPr>
        <w:t>1 : Selon le statut socio-économique</w:t>
      </w:r>
    </w:p>
    <w:p w:rsidR="00AC12B4" w:rsidRPr="00C27636" w:rsidRDefault="00AC12B4">
      <w:pPr>
        <w:spacing w:line="161" w:lineRule="exact"/>
        <w:rPr>
          <w:sz w:val="20"/>
          <w:szCs w:val="20"/>
          <w:lang w:val="fr-BE"/>
        </w:rPr>
      </w:pPr>
    </w:p>
    <w:p w:rsidR="00AC12B4" w:rsidRPr="00C27636" w:rsidRDefault="00C27636">
      <w:pPr>
        <w:spacing w:line="234" w:lineRule="auto"/>
        <w:ind w:right="125" w:firstLine="190"/>
        <w:jc w:val="both"/>
        <w:rPr>
          <w:sz w:val="20"/>
          <w:szCs w:val="20"/>
          <w:lang w:val="fr-BE"/>
        </w:rPr>
      </w:pPr>
      <w:r w:rsidRPr="00C27636">
        <w:rPr>
          <w:rFonts w:ascii="Calibri" w:eastAsia="Calibri" w:hAnsi="Calibri" w:cs="Calibri"/>
          <w:lang w:val="fr-BE"/>
        </w:rPr>
        <w:t xml:space="preserve">La concentration d’élèves socioéconomiquement défavorisés dans certaines écoles est très forte en FWB (41%) et en Flandre (39%). D’autres systèmes, dont la Communauté germanophone (23%), sont beaucoup moins </w:t>
      </w:r>
      <w:r w:rsidRPr="00C27636">
        <w:rPr>
          <w:rFonts w:ascii="Calibri" w:eastAsia="Calibri" w:hAnsi="Calibri" w:cs="Calibri"/>
          <w:lang w:val="fr-BE"/>
        </w:rPr>
        <w:t>ségrégués. Dans ce cadre, il faut toutefois tenir compte de la différence</w:t>
      </w:r>
    </w:p>
    <w:p w:rsidR="00AC12B4" w:rsidRPr="00C27636" w:rsidRDefault="00AC12B4">
      <w:pPr>
        <w:spacing w:line="56" w:lineRule="exact"/>
        <w:rPr>
          <w:sz w:val="20"/>
          <w:szCs w:val="20"/>
          <w:lang w:val="fr-BE"/>
        </w:rPr>
      </w:pPr>
    </w:p>
    <w:p w:rsidR="00AC12B4" w:rsidRPr="00C27636" w:rsidRDefault="00C27636">
      <w:pPr>
        <w:spacing w:line="231" w:lineRule="auto"/>
        <w:ind w:right="125"/>
        <w:jc w:val="both"/>
        <w:rPr>
          <w:sz w:val="20"/>
          <w:szCs w:val="20"/>
          <w:lang w:val="fr-BE"/>
        </w:rPr>
      </w:pPr>
      <w:r w:rsidRPr="00C27636">
        <w:rPr>
          <w:rFonts w:ascii="Calibri" w:eastAsia="Calibri" w:hAnsi="Calibri" w:cs="Calibri"/>
          <w:lang w:val="fr-BE"/>
        </w:rPr>
        <w:t>structurelle en Communauté germanophone : moins de contrastes socio-économiques et moins d’écoles mènent de par leur nature à moins de ségrégation.</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53632" behindDoc="1" locked="0" layoutInCell="0" allowOverlap="1">
                <wp:simplePos x="0" y="0"/>
                <wp:positionH relativeFrom="column">
                  <wp:posOffset>-5080</wp:posOffset>
                </wp:positionH>
                <wp:positionV relativeFrom="paragraph">
                  <wp:posOffset>2442210</wp:posOffset>
                </wp:positionV>
                <wp:extent cx="1828800" cy="0"/>
                <wp:effectExtent l="0" t="0" r="0" b="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92.3pt" to="143.6pt,192.3pt" o:allowincell="f" strokecolor="#000000" strokeweight="0.7199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3"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195"/>
      </w:tblGrid>
      <w:tr w:rsidR="00AC12B4">
        <w:trPr>
          <w:trHeight w:val="1040"/>
        </w:trPr>
        <w:tc>
          <w:tcPr>
            <w:tcW w:w="195" w:type="dxa"/>
            <w:textDirection w:val="btLr"/>
            <w:vAlign w:val="bottom"/>
          </w:tcPr>
          <w:p w:rsidR="00AC12B4" w:rsidRDefault="00C27636">
            <w:pPr>
              <w:rPr>
                <w:sz w:val="20"/>
                <w:szCs w:val="20"/>
              </w:rPr>
            </w:pPr>
            <w:r>
              <w:rPr>
                <w:rFonts w:ascii="Calibri" w:eastAsia="Calibri" w:hAnsi="Calibri" w:cs="Calibri"/>
                <w:b/>
                <w:bCs/>
                <w:i/>
                <w:iCs/>
                <w:color w:val="F2F2F2"/>
                <w:sz w:val="16"/>
                <w:szCs w:val="16"/>
              </w:rPr>
              <w:t>l’enseignement</w:t>
            </w:r>
          </w:p>
        </w:tc>
      </w:tr>
    </w:tbl>
    <w:p w:rsidR="00AC12B4" w:rsidRDefault="00AC12B4">
      <w:pPr>
        <w:spacing w:line="1" w:lineRule="exact"/>
        <w:rPr>
          <w:sz w:val="20"/>
          <w:szCs w:val="20"/>
        </w:rPr>
      </w:pPr>
    </w:p>
    <w:p w:rsidR="00AC12B4" w:rsidRDefault="00AC12B4">
      <w:pPr>
        <w:sectPr w:rsidR="00AC12B4">
          <w:type w:val="continuous"/>
          <w:pgSz w:w="12080" w:h="17179"/>
          <w:pgMar w:top="1440" w:right="557" w:bottom="659" w:left="1120" w:header="0" w:footer="0" w:gutter="0"/>
          <w:cols w:num="3" w:space="720" w:equalWidth="0">
            <w:col w:w="5280" w:space="200"/>
            <w:col w:w="4005" w:space="720"/>
            <w:col w:w="195"/>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9" w:lineRule="exact"/>
        <w:rPr>
          <w:sz w:val="20"/>
          <w:szCs w:val="20"/>
        </w:rPr>
      </w:pPr>
    </w:p>
    <w:p w:rsidR="00AC12B4" w:rsidRPr="00C27636" w:rsidRDefault="00C27636">
      <w:pPr>
        <w:ind w:left="880"/>
        <w:rPr>
          <w:sz w:val="20"/>
          <w:szCs w:val="20"/>
          <w:lang w:val="fr-BE"/>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Cf. par exemple </w:t>
      </w:r>
      <w:r w:rsidRPr="00C27636">
        <w:rPr>
          <w:rFonts w:ascii="Verdana" w:eastAsia="Verdana" w:hAnsi="Verdana" w:cs="Verdana"/>
          <w:color w:val="333333"/>
          <w:sz w:val="16"/>
          <w:szCs w:val="16"/>
          <w:lang w:val="fr-BE"/>
        </w:rPr>
        <w:t>Demeuse,  M.,  Baye,  A.,</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54656" behindDoc="1" locked="0" layoutInCell="0" allowOverlap="1">
                <wp:simplePos x="0" y="0"/>
                <wp:positionH relativeFrom="column">
                  <wp:posOffset>562610</wp:posOffset>
                </wp:positionH>
                <wp:positionV relativeFrom="paragraph">
                  <wp:posOffset>-300990</wp:posOffset>
                </wp:positionV>
                <wp:extent cx="1829435" cy="0"/>
                <wp:effectExtent l="0" t="0" r="0" b="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pt,-23.6999pt" to="188.35pt,-23.6999pt" o:allowincell="f" strokecolor="#000000" strokeweight="0.7199pt"/>
            </w:pict>
          </mc:Fallback>
        </mc:AlternateContent>
      </w:r>
    </w:p>
    <w:p w:rsidR="00AC12B4" w:rsidRPr="00C27636" w:rsidRDefault="00C27636">
      <w:pPr>
        <w:numPr>
          <w:ilvl w:val="0"/>
          <w:numId w:val="201"/>
        </w:numPr>
        <w:tabs>
          <w:tab w:val="left" w:pos="1038"/>
        </w:tabs>
        <w:spacing w:line="239" w:lineRule="auto"/>
        <w:ind w:left="880" w:firstLine="7"/>
        <w:jc w:val="both"/>
        <w:rPr>
          <w:rFonts w:ascii="Verdana" w:eastAsia="Verdana" w:hAnsi="Verdana" w:cs="Verdana"/>
          <w:color w:val="333333"/>
          <w:sz w:val="16"/>
          <w:szCs w:val="16"/>
          <w:lang w:val="fr-BE"/>
        </w:rPr>
      </w:pPr>
      <w:r w:rsidRPr="00C27636">
        <w:rPr>
          <w:rFonts w:ascii="Verdana" w:eastAsia="Verdana" w:hAnsi="Verdana" w:cs="Verdana"/>
          <w:color w:val="333333"/>
          <w:sz w:val="16"/>
          <w:szCs w:val="16"/>
          <w:lang w:val="fr-BE"/>
        </w:rPr>
        <w:t xml:space="preserve">Indicateurs d’équité éducative. Une analyse de la ségrégation académique et sociale dans les pays européens », </w:t>
      </w:r>
      <w:r w:rsidRPr="00C27636">
        <w:rPr>
          <w:rFonts w:ascii="Verdana" w:eastAsia="Verdana" w:hAnsi="Verdana" w:cs="Verdana"/>
          <w:i/>
          <w:iCs/>
          <w:color w:val="333333"/>
          <w:sz w:val="16"/>
          <w:szCs w:val="16"/>
          <w:lang w:val="fr-BE"/>
        </w:rPr>
        <w:t>Revue française de</w:t>
      </w:r>
      <w:r w:rsidRPr="00C27636">
        <w:rPr>
          <w:rFonts w:ascii="Verdana" w:eastAsia="Verdana" w:hAnsi="Verdana" w:cs="Verdana"/>
          <w:color w:val="333333"/>
          <w:sz w:val="16"/>
          <w:szCs w:val="16"/>
          <w:lang w:val="fr-BE"/>
        </w:rPr>
        <w:t xml:space="preserve"> </w:t>
      </w:r>
      <w:r w:rsidRPr="00C27636">
        <w:rPr>
          <w:rFonts w:ascii="Verdana" w:eastAsia="Verdana" w:hAnsi="Verdana" w:cs="Verdana"/>
          <w:i/>
          <w:iCs/>
          <w:color w:val="333333"/>
          <w:sz w:val="16"/>
          <w:szCs w:val="16"/>
          <w:lang w:val="fr-BE"/>
        </w:rPr>
        <w:t>pédagogie</w:t>
      </w:r>
      <w:r w:rsidRPr="00C27636">
        <w:rPr>
          <w:rFonts w:ascii="Verdana" w:eastAsia="Verdana" w:hAnsi="Verdana" w:cs="Verdana"/>
          <w:color w:val="333333"/>
          <w:sz w:val="16"/>
          <w:szCs w:val="16"/>
          <w:lang w:val="fr-BE"/>
        </w:rPr>
        <w:t>, 2008, 91-103.</w:t>
      </w:r>
    </w:p>
    <w:p w:rsidR="00AC12B4" w:rsidRPr="00C27636" w:rsidRDefault="00C27636">
      <w:pPr>
        <w:spacing w:line="20" w:lineRule="exact"/>
        <w:rPr>
          <w:sz w:val="20"/>
          <w:szCs w:val="20"/>
          <w:lang w:val="fr-BE"/>
        </w:rPr>
      </w:pPr>
      <w:r w:rsidRPr="00C27636">
        <w:rPr>
          <w:sz w:val="20"/>
          <w:szCs w:val="20"/>
          <w:lang w:val="fr-BE"/>
        </w:rPr>
        <w:br w:type="column"/>
      </w:r>
    </w:p>
    <w:p w:rsidR="00AC12B4" w:rsidRDefault="00C27636">
      <w:pPr>
        <w:numPr>
          <w:ilvl w:val="0"/>
          <w:numId w:val="202"/>
        </w:numPr>
        <w:tabs>
          <w:tab w:val="left" w:pos="640"/>
        </w:tabs>
        <w:spacing w:line="183" w:lineRule="auto"/>
        <w:ind w:left="640" w:hanging="128"/>
        <w:rPr>
          <w:rFonts w:ascii="Calibri" w:eastAsia="Calibri" w:hAnsi="Calibri" w:cs="Calibri"/>
          <w:sz w:val="26"/>
          <w:szCs w:val="26"/>
          <w:vertAlign w:val="superscript"/>
        </w:rPr>
      </w:pPr>
      <w:r>
        <w:rPr>
          <w:rFonts w:ascii="Calibri" w:eastAsia="Calibri" w:hAnsi="Calibri" w:cs="Calibri"/>
          <w:sz w:val="18"/>
          <w:szCs w:val="18"/>
        </w:rPr>
        <w:t>Gorard, S. et Taylor, C., « What is Segregation? A</w:t>
      </w:r>
    </w:p>
    <w:p w:rsidR="00AC12B4" w:rsidRDefault="00AC12B4">
      <w:pPr>
        <w:spacing w:line="47" w:lineRule="exact"/>
        <w:rPr>
          <w:rFonts w:ascii="Calibri" w:eastAsia="Calibri" w:hAnsi="Calibri" w:cs="Calibri"/>
          <w:sz w:val="26"/>
          <w:szCs w:val="26"/>
          <w:vertAlign w:val="superscript"/>
        </w:rPr>
      </w:pPr>
    </w:p>
    <w:p w:rsidR="00AC12B4" w:rsidRDefault="00C27636">
      <w:pPr>
        <w:spacing w:line="225" w:lineRule="auto"/>
        <w:ind w:left="520" w:right="39"/>
        <w:jc w:val="both"/>
        <w:rPr>
          <w:rFonts w:ascii="Calibri" w:eastAsia="Calibri" w:hAnsi="Calibri" w:cs="Calibri"/>
          <w:sz w:val="26"/>
          <w:szCs w:val="26"/>
          <w:vertAlign w:val="superscript"/>
        </w:rPr>
      </w:pPr>
      <w:r>
        <w:rPr>
          <w:rFonts w:ascii="Calibri" w:eastAsia="Calibri" w:hAnsi="Calibri" w:cs="Calibri"/>
          <w:sz w:val="18"/>
          <w:szCs w:val="18"/>
        </w:rPr>
        <w:t xml:space="preserve">Comparison of Measures in Terms of ‘Strong’ and ‘Weak’ Compositional Invariance”, </w:t>
      </w:r>
      <w:r>
        <w:rPr>
          <w:rFonts w:ascii="Calibri" w:eastAsia="Calibri" w:hAnsi="Calibri" w:cs="Calibri"/>
          <w:i/>
          <w:iCs/>
          <w:sz w:val="18"/>
          <w:szCs w:val="18"/>
        </w:rPr>
        <w:t>Sociology</w:t>
      </w:r>
      <w:r>
        <w:rPr>
          <w:rFonts w:ascii="Calibri" w:eastAsia="Calibri" w:hAnsi="Calibri" w:cs="Calibri"/>
          <w:sz w:val="18"/>
          <w:szCs w:val="18"/>
        </w:rPr>
        <w:t xml:space="preserve">, </w:t>
      </w:r>
      <w:r>
        <w:rPr>
          <w:rFonts w:ascii="Calibri" w:eastAsia="Calibri" w:hAnsi="Calibri" w:cs="Calibri"/>
          <w:i/>
          <w:iCs/>
          <w:sz w:val="18"/>
          <w:szCs w:val="18"/>
        </w:rPr>
        <w:t>36</w:t>
      </w:r>
      <w:r>
        <w:rPr>
          <w:rFonts w:ascii="Calibri" w:eastAsia="Calibri" w:hAnsi="Calibri" w:cs="Calibri"/>
          <w:sz w:val="18"/>
          <w:szCs w:val="18"/>
        </w:rPr>
        <w:t>(4), 2002,</w:t>
      </w:r>
    </w:p>
    <w:p w:rsidR="00AC12B4" w:rsidRDefault="00AC12B4">
      <w:pPr>
        <w:spacing w:line="1" w:lineRule="exact"/>
        <w:rPr>
          <w:rFonts w:ascii="Calibri" w:eastAsia="Calibri" w:hAnsi="Calibri" w:cs="Calibri"/>
          <w:sz w:val="26"/>
          <w:szCs w:val="26"/>
          <w:vertAlign w:val="superscript"/>
        </w:rPr>
      </w:pPr>
    </w:p>
    <w:p w:rsidR="00AC12B4" w:rsidRDefault="00C27636">
      <w:pPr>
        <w:ind w:left="520"/>
        <w:rPr>
          <w:rFonts w:ascii="Calibri" w:eastAsia="Calibri" w:hAnsi="Calibri" w:cs="Calibri"/>
          <w:sz w:val="26"/>
          <w:szCs w:val="26"/>
          <w:vertAlign w:val="superscript"/>
        </w:rPr>
      </w:pPr>
      <w:r>
        <w:rPr>
          <w:rFonts w:ascii="Calibri" w:eastAsia="Calibri" w:hAnsi="Calibri" w:cs="Calibri"/>
          <w:sz w:val="18"/>
          <w:szCs w:val="18"/>
        </w:rPr>
        <w:t>875-895,http://doi.org/10.1177/0038038502036004</w:t>
      </w:r>
    </w:p>
    <w:p w:rsidR="00AC12B4" w:rsidRDefault="00AC12B4">
      <w:pPr>
        <w:spacing w:line="39" w:lineRule="exact"/>
        <w:rPr>
          <w:rFonts w:ascii="Calibri" w:eastAsia="Calibri" w:hAnsi="Calibri" w:cs="Calibri"/>
          <w:sz w:val="26"/>
          <w:szCs w:val="26"/>
          <w:vertAlign w:val="superscript"/>
        </w:rPr>
      </w:pPr>
    </w:p>
    <w:p w:rsidR="00AC12B4" w:rsidRDefault="00AC12B4">
      <w:pPr>
        <w:numPr>
          <w:ilvl w:val="0"/>
          <w:numId w:val="203"/>
        </w:numPr>
        <w:tabs>
          <w:tab w:val="left" w:pos="0"/>
        </w:tabs>
        <w:rPr>
          <w:rFonts w:ascii="Calibri" w:eastAsia="Calibri" w:hAnsi="Calibri" w:cs="Calibri"/>
          <w:sz w:val="18"/>
          <w:szCs w:val="18"/>
        </w:rPr>
      </w:pPr>
    </w:p>
    <w:p w:rsidR="00AC12B4" w:rsidRDefault="00AC12B4">
      <w:pPr>
        <w:spacing w:line="200" w:lineRule="exact"/>
        <w:rPr>
          <w:sz w:val="20"/>
          <w:szCs w:val="20"/>
        </w:rPr>
      </w:pPr>
    </w:p>
    <w:p w:rsidR="00AC12B4" w:rsidRDefault="00AC12B4">
      <w:pPr>
        <w:spacing w:line="341" w:lineRule="exact"/>
        <w:rPr>
          <w:sz w:val="20"/>
          <w:szCs w:val="20"/>
        </w:rPr>
      </w:pPr>
    </w:p>
    <w:p w:rsidR="00AC12B4" w:rsidRDefault="00C27636">
      <w:pPr>
        <w:rPr>
          <w:sz w:val="20"/>
          <w:szCs w:val="20"/>
        </w:rPr>
      </w:pPr>
      <w:r>
        <w:rPr>
          <w:rFonts w:ascii="Calibri" w:eastAsia="Calibri" w:hAnsi="Calibri" w:cs="Calibri"/>
        </w:rPr>
        <w:t>119</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7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110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t xml:space="preserve">Le droit </w:t>
            </w:r>
            <w:r>
              <w:rPr>
                <w:rFonts w:ascii="Calibri" w:eastAsia="Calibri" w:hAnsi="Calibri" w:cs="Calibri"/>
                <w:b/>
                <w:bCs/>
                <w:i/>
                <w:iCs/>
                <w:color w:val="F2F2F2"/>
                <w:sz w:val="28"/>
                <w:szCs w:val="28"/>
              </w:rPr>
              <w:t>à</w:t>
            </w:r>
          </w:p>
        </w:tc>
      </w:tr>
    </w:tbl>
    <w:p w:rsidR="00AC12B4" w:rsidRDefault="00AC12B4">
      <w:pPr>
        <w:sectPr w:rsidR="00AC12B4">
          <w:type w:val="continuous"/>
          <w:pgSz w:w="12080" w:h="17179"/>
          <w:pgMar w:top="1440" w:right="557" w:bottom="659" w:left="1120" w:header="0" w:footer="0" w:gutter="0"/>
          <w:cols w:num="3" w:space="720" w:equalWidth="0">
            <w:col w:w="4760" w:space="200"/>
            <w:col w:w="4439" w:space="720"/>
            <w:col w:w="281"/>
          </w:cols>
        </w:sectPr>
      </w:pPr>
    </w:p>
    <w:bookmarkStart w:id="119" w:name="page120"/>
    <w:bookmarkEnd w:id="119"/>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655680" behindDoc="1" locked="0" layoutInCell="0" allowOverlap="1">
                <wp:simplePos x="0" y="0"/>
                <wp:positionH relativeFrom="page">
                  <wp:posOffset>0</wp:posOffset>
                </wp:positionH>
                <wp:positionV relativeFrom="page">
                  <wp:posOffset>0</wp:posOffset>
                </wp:positionV>
                <wp:extent cx="788035" cy="10908665"/>
                <wp:effectExtent l="0" t="0" r="0" b="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035" cy="10908665"/>
                        </a:xfrm>
                        <a:prstGeom prst="rect">
                          <a:avLst/>
                        </a:prstGeom>
                        <a:solidFill>
                          <a:srgbClr val="8BCCEC"/>
                        </a:solidFill>
                      </wps:spPr>
                      <wps:bodyPr/>
                    </wps:wsp>
                  </a:graphicData>
                </a:graphic>
              </wp:anchor>
            </w:drawing>
          </mc:Choice>
          <mc:Fallback>
            <w:pict>
              <v:rect id="Shape 319" o:spid="_x0000_s1344" style="position:absolute;margin-left:0pt;margin-top:0pt;width:62.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C27636">
      <w:pPr>
        <w:spacing w:line="20" w:lineRule="exact"/>
        <w:rPr>
          <w:sz w:val="20"/>
          <w:szCs w:val="20"/>
        </w:rPr>
      </w:pPr>
      <w:r>
        <w:rPr>
          <w:sz w:val="20"/>
          <w:szCs w:val="20"/>
        </w:rPr>
        <w:br w:type="column"/>
      </w:r>
    </w:p>
    <w:p w:rsidR="00AC12B4" w:rsidRDefault="00AC12B4">
      <w:pPr>
        <w:spacing w:line="385" w:lineRule="exact"/>
        <w:rPr>
          <w:sz w:val="20"/>
          <w:szCs w:val="20"/>
        </w:rPr>
      </w:pPr>
    </w:p>
    <w:p w:rsidR="00AC12B4" w:rsidRPr="00C27636" w:rsidRDefault="00C27636">
      <w:pPr>
        <w:ind w:left="1400"/>
        <w:rPr>
          <w:sz w:val="20"/>
          <w:szCs w:val="20"/>
          <w:lang w:val="fr-BE"/>
        </w:rPr>
      </w:pPr>
      <w:r w:rsidRPr="00C27636">
        <w:rPr>
          <w:rFonts w:ascii="Calibri" w:eastAsia="Calibri" w:hAnsi="Calibri" w:cs="Calibri"/>
          <w:b/>
          <w:bCs/>
          <w:sz w:val="36"/>
          <w:szCs w:val="36"/>
          <w:lang w:val="fr-BE"/>
        </w:rPr>
        <w:t>Ségrégation selon le statut socio-économique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56704" behindDoc="1" locked="0" layoutInCell="0" allowOverlap="1">
                <wp:simplePos x="0" y="0"/>
                <wp:positionH relativeFrom="column">
                  <wp:posOffset>6093460</wp:posOffset>
                </wp:positionH>
                <wp:positionV relativeFrom="paragraph">
                  <wp:posOffset>-375285</wp:posOffset>
                </wp:positionV>
                <wp:extent cx="0" cy="2495550"/>
                <wp:effectExtent l="0" t="0" r="0" b="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95550"/>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8pt,-29.5499pt" to="479.8pt,166.95pt" o:allowincell="f" strokecolor="#44ACE0" strokeweight="0.75pt"/>
            </w:pict>
          </mc:Fallback>
        </mc:AlternateContent>
      </w:r>
      <w:r>
        <w:rPr>
          <w:noProof/>
          <w:sz w:val="20"/>
          <w:szCs w:val="20"/>
        </w:rPr>
        <mc:AlternateContent>
          <mc:Choice Requires="wps">
            <w:drawing>
              <wp:anchor distT="0" distB="0" distL="114300" distR="114300" simplePos="0" relativeHeight="251657728" behindDoc="1" locked="0" layoutInCell="0" allowOverlap="1">
                <wp:simplePos x="0" y="0"/>
                <wp:positionH relativeFrom="column">
                  <wp:posOffset>-2540</wp:posOffset>
                </wp:positionH>
                <wp:positionV relativeFrom="paragraph">
                  <wp:posOffset>-370205</wp:posOffset>
                </wp:positionV>
                <wp:extent cx="6100445" cy="0"/>
                <wp:effectExtent l="0" t="0" r="0" b="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00445" cy="4763"/>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9.1499pt" to="480.15pt,-29.1499pt" o:allowincell="f" strokecolor="#44ACE0" strokeweight="0.75pt"/>
            </w:pict>
          </mc:Fallback>
        </mc:AlternateContent>
      </w:r>
      <w:r>
        <w:rPr>
          <w:noProof/>
          <w:sz w:val="20"/>
          <w:szCs w:val="20"/>
        </w:rPr>
        <mc:AlternateContent>
          <mc:Choice Requires="wps">
            <w:drawing>
              <wp:anchor distT="0" distB="0" distL="114300" distR="114300" simplePos="0" relativeHeight="251658752" behindDoc="1" locked="0" layoutInCell="0" allowOverlap="1">
                <wp:simplePos x="0" y="0"/>
                <wp:positionH relativeFrom="column">
                  <wp:posOffset>1905</wp:posOffset>
                </wp:positionH>
                <wp:positionV relativeFrom="paragraph">
                  <wp:posOffset>-375285</wp:posOffset>
                </wp:positionV>
                <wp:extent cx="0" cy="2495550"/>
                <wp:effectExtent l="0" t="0" r="0" b="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95550"/>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9.5499pt" to="0.15pt,166.95pt" o:allowincell="f" strokecolor="#44ACE0" strokeweight="0.75pt"/>
            </w:pict>
          </mc:Fallback>
        </mc:AlternateContent>
      </w:r>
      <w:r>
        <w:rPr>
          <w:noProof/>
          <w:sz w:val="20"/>
          <w:szCs w:val="20"/>
        </w:rPr>
        <mc:AlternateContent>
          <mc:Choice Requires="wps">
            <w:drawing>
              <wp:anchor distT="0" distB="0" distL="114300" distR="114300" simplePos="0" relativeHeight="251659776" behindDoc="1" locked="0" layoutInCell="0" allowOverlap="1">
                <wp:simplePos x="0" y="0"/>
                <wp:positionH relativeFrom="column">
                  <wp:posOffset>-2540</wp:posOffset>
                </wp:positionH>
                <wp:positionV relativeFrom="paragraph">
                  <wp:posOffset>2115820</wp:posOffset>
                </wp:positionV>
                <wp:extent cx="6100445" cy="0"/>
                <wp:effectExtent l="0" t="0" r="0" b="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00445" cy="4763"/>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66.6pt" to="480.15pt,166.6pt" o:allowincell="f" strokecolor="#44ACE0" strokeweight="0.75pt"/>
            </w:pict>
          </mc:Fallback>
        </mc:AlternateContent>
      </w:r>
    </w:p>
    <w:p w:rsidR="00AC12B4" w:rsidRPr="00C27636" w:rsidRDefault="00AC12B4">
      <w:pPr>
        <w:spacing w:line="98" w:lineRule="exact"/>
        <w:rPr>
          <w:sz w:val="20"/>
          <w:szCs w:val="20"/>
          <w:lang w:val="fr-BE"/>
        </w:rPr>
      </w:pPr>
    </w:p>
    <w:tbl>
      <w:tblPr>
        <w:tblW w:w="0" w:type="auto"/>
        <w:tblInd w:w="300" w:type="dxa"/>
        <w:tblLayout w:type="fixed"/>
        <w:tblCellMar>
          <w:left w:w="0" w:type="dxa"/>
          <w:right w:w="0" w:type="dxa"/>
        </w:tblCellMar>
        <w:tblLook w:val="04A0" w:firstRow="1" w:lastRow="0" w:firstColumn="1" w:lastColumn="0" w:noHBand="0" w:noVBand="1"/>
      </w:tblPr>
      <w:tblGrid>
        <w:gridCol w:w="200"/>
        <w:gridCol w:w="380"/>
        <w:gridCol w:w="80"/>
        <w:gridCol w:w="220"/>
        <w:gridCol w:w="220"/>
        <w:gridCol w:w="220"/>
        <w:gridCol w:w="240"/>
        <w:gridCol w:w="220"/>
        <w:gridCol w:w="220"/>
        <w:gridCol w:w="240"/>
        <w:gridCol w:w="200"/>
        <w:gridCol w:w="120"/>
        <w:gridCol w:w="80"/>
        <w:gridCol w:w="80"/>
        <w:gridCol w:w="200"/>
        <w:gridCol w:w="220"/>
        <w:gridCol w:w="240"/>
        <w:gridCol w:w="200"/>
        <w:gridCol w:w="120"/>
        <w:gridCol w:w="80"/>
        <w:gridCol w:w="80"/>
        <w:gridCol w:w="200"/>
        <w:gridCol w:w="200"/>
        <w:gridCol w:w="120"/>
        <w:gridCol w:w="100"/>
        <w:gridCol w:w="60"/>
        <w:gridCol w:w="200"/>
        <w:gridCol w:w="240"/>
        <w:gridCol w:w="220"/>
        <w:gridCol w:w="220"/>
        <w:gridCol w:w="240"/>
        <w:gridCol w:w="220"/>
        <w:gridCol w:w="240"/>
        <w:gridCol w:w="220"/>
        <w:gridCol w:w="220"/>
        <w:gridCol w:w="240"/>
        <w:gridCol w:w="220"/>
        <w:gridCol w:w="240"/>
        <w:gridCol w:w="220"/>
        <w:gridCol w:w="220"/>
        <w:gridCol w:w="240"/>
        <w:gridCol w:w="220"/>
        <w:gridCol w:w="240"/>
        <w:gridCol w:w="220"/>
        <w:gridCol w:w="200"/>
        <w:gridCol w:w="120"/>
        <w:gridCol w:w="80"/>
        <w:gridCol w:w="60"/>
        <w:gridCol w:w="20"/>
      </w:tblGrid>
      <w:tr w:rsidR="00AC12B4">
        <w:trPr>
          <w:trHeight w:val="134"/>
        </w:trPr>
        <w:tc>
          <w:tcPr>
            <w:tcW w:w="200" w:type="dxa"/>
            <w:vAlign w:val="bottom"/>
          </w:tcPr>
          <w:p w:rsidR="00AC12B4" w:rsidRPr="00C27636" w:rsidRDefault="00AC12B4">
            <w:pPr>
              <w:rPr>
                <w:sz w:val="11"/>
                <w:szCs w:val="11"/>
                <w:lang w:val="fr-BE"/>
              </w:rPr>
            </w:pPr>
          </w:p>
        </w:tc>
        <w:tc>
          <w:tcPr>
            <w:tcW w:w="380" w:type="dxa"/>
            <w:vMerge w:val="restart"/>
            <w:vAlign w:val="bottom"/>
          </w:tcPr>
          <w:p w:rsidR="00AC12B4" w:rsidRDefault="00C27636">
            <w:pPr>
              <w:ind w:right="24"/>
              <w:jc w:val="right"/>
              <w:rPr>
                <w:sz w:val="20"/>
                <w:szCs w:val="20"/>
              </w:rPr>
            </w:pPr>
            <w:r>
              <w:rPr>
                <w:rFonts w:ascii="Calibri" w:eastAsia="Calibri" w:hAnsi="Calibri" w:cs="Calibri"/>
                <w:sz w:val="20"/>
                <w:szCs w:val="20"/>
              </w:rPr>
              <w:t>60</w:t>
            </w:r>
          </w:p>
        </w:tc>
        <w:tc>
          <w:tcPr>
            <w:tcW w:w="8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120" w:type="dxa"/>
            <w:tcBorders>
              <w:bottom w:val="single" w:sz="8" w:space="0" w:color="868686"/>
            </w:tcBorders>
            <w:vAlign w:val="bottom"/>
          </w:tcPr>
          <w:p w:rsidR="00AC12B4" w:rsidRDefault="00AC12B4">
            <w:pPr>
              <w:rPr>
                <w:sz w:val="11"/>
                <w:szCs w:val="11"/>
              </w:rPr>
            </w:pPr>
          </w:p>
        </w:tc>
        <w:tc>
          <w:tcPr>
            <w:tcW w:w="80" w:type="dxa"/>
            <w:tcBorders>
              <w:bottom w:val="single" w:sz="8" w:space="0" w:color="868686"/>
            </w:tcBorders>
            <w:vAlign w:val="bottom"/>
          </w:tcPr>
          <w:p w:rsidR="00AC12B4" w:rsidRDefault="00AC12B4">
            <w:pPr>
              <w:rPr>
                <w:sz w:val="11"/>
                <w:szCs w:val="11"/>
              </w:rPr>
            </w:pPr>
          </w:p>
        </w:tc>
        <w:tc>
          <w:tcPr>
            <w:tcW w:w="8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120" w:type="dxa"/>
            <w:tcBorders>
              <w:bottom w:val="single" w:sz="8" w:space="0" w:color="868686"/>
            </w:tcBorders>
            <w:vAlign w:val="bottom"/>
          </w:tcPr>
          <w:p w:rsidR="00AC12B4" w:rsidRDefault="00AC12B4">
            <w:pPr>
              <w:rPr>
                <w:sz w:val="11"/>
                <w:szCs w:val="11"/>
              </w:rPr>
            </w:pPr>
          </w:p>
        </w:tc>
        <w:tc>
          <w:tcPr>
            <w:tcW w:w="80" w:type="dxa"/>
            <w:tcBorders>
              <w:bottom w:val="single" w:sz="8" w:space="0" w:color="868686"/>
            </w:tcBorders>
            <w:vAlign w:val="bottom"/>
          </w:tcPr>
          <w:p w:rsidR="00AC12B4" w:rsidRDefault="00AC12B4">
            <w:pPr>
              <w:rPr>
                <w:sz w:val="11"/>
                <w:szCs w:val="11"/>
              </w:rPr>
            </w:pPr>
          </w:p>
        </w:tc>
        <w:tc>
          <w:tcPr>
            <w:tcW w:w="8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120" w:type="dxa"/>
            <w:tcBorders>
              <w:bottom w:val="single" w:sz="8" w:space="0" w:color="868686"/>
            </w:tcBorders>
            <w:vAlign w:val="bottom"/>
          </w:tcPr>
          <w:p w:rsidR="00AC12B4" w:rsidRDefault="00AC12B4">
            <w:pPr>
              <w:rPr>
                <w:sz w:val="11"/>
                <w:szCs w:val="11"/>
              </w:rPr>
            </w:pPr>
          </w:p>
        </w:tc>
        <w:tc>
          <w:tcPr>
            <w:tcW w:w="100" w:type="dxa"/>
            <w:tcBorders>
              <w:bottom w:val="single" w:sz="8" w:space="0" w:color="868686"/>
            </w:tcBorders>
            <w:vAlign w:val="bottom"/>
          </w:tcPr>
          <w:p w:rsidR="00AC12B4" w:rsidRDefault="00AC12B4">
            <w:pPr>
              <w:rPr>
                <w:sz w:val="11"/>
                <w:szCs w:val="11"/>
              </w:rPr>
            </w:pPr>
          </w:p>
        </w:tc>
        <w:tc>
          <w:tcPr>
            <w:tcW w:w="6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200" w:type="dxa"/>
            <w:tcBorders>
              <w:bottom w:val="single" w:sz="8" w:space="0" w:color="868686"/>
            </w:tcBorders>
            <w:vAlign w:val="bottom"/>
          </w:tcPr>
          <w:p w:rsidR="00AC12B4" w:rsidRDefault="00AC12B4">
            <w:pPr>
              <w:rPr>
                <w:sz w:val="11"/>
                <w:szCs w:val="11"/>
              </w:rPr>
            </w:pPr>
          </w:p>
        </w:tc>
        <w:tc>
          <w:tcPr>
            <w:tcW w:w="120" w:type="dxa"/>
            <w:tcBorders>
              <w:bottom w:val="single" w:sz="8" w:space="0" w:color="868686"/>
            </w:tcBorders>
            <w:vAlign w:val="bottom"/>
          </w:tcPr>
          <w:p w:rsidR="00AC12B4" w:rsidRDefault="00AC12B4">
            <w:pPr>
              <w:rPr>
                <w:sz w:val="11"/>
                <w:szCs w:val="11"/>
              </w:rPr>
            </w:pPr>
          </w:p>
        </w:tc>
        <w:tc>
          <w:tcPr>
            <w:tcW w:w="80" w:type="dxa"/>
            <w:tcBorders>
              <w:bottom w:val="single" w:sz="8" w:space="0" w:color="868686"/>
            </w:tcBorders>
            <w:vAlign w:val="bottom"/>
          </w:tcPr>
          <w:p w:rsidR="00AC12B4" w:rsidRDefault="00AC12B4">
            <w:pPr>
              <w:rPr>
                <w:sz w:val="11"/>
                <w:szCs w:val="11"/>
              </w:rPr>
            </w:pPr>
          </w:p>
        </w:tc>
        <w:tc>
          <w:tcPr>
            <w:tcW w:w="60" w:type="dxa"/>
            <w:tcBorders>
              <w:bottom w:val="single" w:sz="8" w:space="0" w:color="868686"/>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0"/>
        </w:trPr>
        <w:tc>
          <w:tcPr>
            <w:tcW w:w="200" w:type="dxa"/>
            <w:vAlign w:val="bottom"/>
          </w:tcPr>
          <w:p w:rsidR="00AC12B4" w:rsidRDefault="00AC12B4">
            <w:pPr>
              <w:rPr>
                <w:sz w:val="7"/>
                <w:szCs w:val="7"/>
              </w:rPr>
            </w:pPr>
          </w:p>
        </w:tc>
        <w:tc>
          <w:tcPr>
            <w:tcW w:w="38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319"/>
        </w:trPr>
        <w:tc>
          <w:tcPr>
            <w:tcW w:w="200" w:type="dxa"/>
            <w:vAlign w:val="bottom"/>
          </w:tcPr>
          <w:p w:rsidR="00AC12B4" w:rsidRDefault="00AC12B4">
            <w:pPr>
              <w:rPr>
                <w:sz w:val="24"/>
                <w:szCs w:val="24"/>
              </w:rPr>
            </w:pPr>
          </w:p>
        </w:tc>
        <w:tc>
          <w:tcPr>
            <w:tcW w:w="380" w:type="dxa"/>
            <w:vMerge w:val="restart"/>
            <w:vAlign w:val="bottom"/>
          </w:tcPr>
          <w:p w:rsidR="00AC12B4" w:rsidRDefault="00C27636">
            <w:pPr>
              <w:ind w:right="24"/>
              <w:jc w:val="right"/>
              <w:rPr>
                <w:sz w:val="20"/>
                <w:szCs w:val="20"/>
              </w:rPr>
            </w:pPr>
            <w:r>
              <w:rPr>
                <w:rFonts w:ascii="Calibri" w:eastAsia="Calibri" w:hAnsi="Calibri" w:cs="Calibri"/>
                <w:sz w:val="20"/>
                <w:szCs w:val="20"/>
              </w:rPr>
              <w:t>50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100" w:type="dxa"/>
            <w:tcBorders>
              <w:bottom w:val="single" w:sz="8" w:space="0" w:color="868686"/>
            </w:tcBorders>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2"/>
        </w:trPr>
        <w:tc>
          <w:tcPr>
            <w:tcW w:w="20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80" w:type="dxa"/>
            <w:gridSpan w:val="3"/>
            <w:vMerge w:val="restart"/>
            <w:vAlign w:val="bottom"/>
          </w:tcPr>
          <w:p w:rsidR="00AC12B4" w:rsidRDefault="00C27636">
            <w:pPr>
              <w:ind w:right="40"/>
              <w:jc w:val="right"/>
              <w:rPr>
                <w:sz w:val="20"/>
                <w:szCs w:val="20"/>
              </w:rPr>
            </w:pPr>
            <w:r>
              <w:rPr>
                <w:rFonts w:ascii="Calibri" w:eastAsia="Calibri" w:hAnsi="Calibri" w:cs="Calibri"/>
                <w:sz w:val="20"/>
                <w:szCs w:val="20"/>
              </w:rPr>
              <w:t>41</w:t>
            </w:r>
          </w:p>
        </w:tc>
        <w:tc>
          <w:tcPr>
            <w:tcW w:w="20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80" w:type="dxa"/>
            <w:gridSpan w:val="3"/>
            <w:vMerge w:val="restart"/>
            <w:vAlign w:val="bottom"/>
          </w:tcPr>
          <w:p w:rsidR="00AC12B4" w:rsidRDefault="00C27636">
            <w:pPr>
              <w:ind w:right="40"/>
              <w:jc w:val="right"/>
              <w:rPr>
                <w:sz w:val="20"/>
                <w:szCs w:val="20"/>
              </w:rPr>
            </w:pPr>
            <w:r>
              <w:rPr>
                <w:rFonts w:ascii="Calibri" w:eastAsia="Calibri" w:hAnsi="Calibri" w:cs="Calibri"/>
                <w:sz w:val="20"/>
                <w:szCs w:val="20"/>
              </w:rPr>
              <w:t>40</w:t>
            </w:r>
          </w:p>
        </w:tc>
        <w:tc>
          <w:tcPr>
            <w:tcW w:w="20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80" w:type="dxa"/>
            <w:gridSpan w:val="3"/>
            <w:vMerge w:val="restart"/>
            <w:vAlign w:val="bottom"/>
          </w:tcPr>
          <w:p w:rsidR="00AC12B4" w:rsidRDefault="00C27636">
            <w:pPr>
              <w:ind w:right="40"/>
              <w:jc w:val="right"/>
              <w:rPr>
                <w:sz w:val="20"/>
                <w:szCs w:val="20"/>
              </w:rPr>
            </w:pPr>
            <w:r>
              <w:rPr>
                <w:rFonts w:ascii="Calibri" w:eastAsia="Calibri" w:hAnsi="Calibri" w:cs="Calibri"/>
                <w:sz w:val="20"/>
                <w:szCs w:val="20"/>
              </w:rPr>
              <w:t>39</w:t>
            </w:r>
          </w:p>
        </w:tc>
        <w:tc>
          <w:tcPr>
            <w:tcW w:w="2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25"/>
        </w:trPr>
        <w:tc>
          <w:tcPr>
            <w:tcW w:w="200" w:type="dxa"/>
            <w:vAlign w:val="bottom"/>
          </w:tcPr>
          <w:p w:rsidR="00AC12B4" w:rsidRDefault="00AC12B4">
            <w:pPr>
              <w:rPr>
                <w:sz w:val="19"/>
                <w:szCs w:val="19"/>
              </w:rPr>
            </w:pPr>
          </w:p>
        </w:tc>
        <w:tc>
          <w:tcPr>
            <w:tcW w:w="380" w:type="dxa"/>
            <w:vAlign w:val="bottom"/>
          </w:tcPr>
          <w:p w:rsidR="00AC12B4" w:rsidRDefault="00AC12B4">
            <w:pPr>
              <w:rPr>
                <w:sz w:val="19"/>
                <w:szCs w:val="19"/>
              </w:rPr>
            </w:pPr>
          </w:p>
        </w:tc>
        <w:tc>
          <w:tcPr>
            <w:tcW w:w="80" w:type="dxa"/>
            <w:tcBorders>
              <w:right w:val="single" w:sz="8" w:space="0" w:color="868686"/>
            </w:tcBorders>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80" w:type="dxa"/>
            <w:gridSpan w:val="3"/>
            <w:vMerge/>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80" w:type="dxa"/>
            <w:gridSpan w:val="3"/>
            <w:vMerge/>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80" w:type="dxa"/>
            <w:gridSpan w:val="3"/>
            <w:vMerge/>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8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47"/>
        </w:trPr>
        <w:tc>
          <w:tcPr>
            <w:tcW w:w="200" w:type="dxa"/>
            <w:vAlign w:val="bottom"/>
          </w:tcPr>
          <w:p w:rsidR="00AC12B4" w:rsidRDefault="00AC12B4">
            <w:pPr>
              <w:rPr>
                <w:sz w:val="12"/>
                <w:szCs w:val="12"/>
              </w:rPr>
            </w:pPr>
          </w:p>
        </w:tc>
        <w:tc>
          <w:tcPr>
            <w:tcW w:w="380" w:type="dxa"/>
            <w:vAlign w:val="bottom"/>
          </w:tcPr>
          <w:p w:rsidR="00AC12B4" w:rsidRDefault="00C27636">
            <w:pPr>
              <w:spacing w:line="147" w:lineRule="exact"/>
              <w:ind w:right="24"/>
              <w:jc w:val="right"/>
              <w:rPr>
                <w:sz w:val="20"/>
                <w:szCs w:val="20"/>
              </w:rPr>
            </w:pPr>
            <w:r>
              <w:rPr>
                <w:rFonts w:ascii="Calibri" w:eastAsia="Calibri" w:hAnsi="Calibri" w:cs="Calibri"/>
                <w:sz w:val="15"/>
                <w:szCs w:val="15"/>
              </w:rPr>
              <w:t>40</w:t>
            </w:r>
          </w:p>
        </w:tc>
        <w:tc>
          <w:tcPr>
            <w:tcW w:w="80" w:type="dxa"/>
            <w:tcBorders>
              <w:bottom w:val="single" w:sz="8" w:space="0" w:color="868686"/>
              <w:right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00" w:type="dxa"/>
            <w:tcBorders>
              <w:bottom w:val="single" w:sz="8" w:space="0" w:color="868686"/>
            </w:tcBorders>
            <w:vAlign w:val="bottom"/>
          </w:tcPr>
          <w:p w:rsidR="00AC12B4" w:rsidRDefault="00AC12B4">
            <w:pPr>
              <w:rPr>
                <w:sz w:val="12"/>
                <w:szCs w:val="12"/>
              </w:rPr>
            </w:pPr>
          </w:p>
        </w:tc>
        <w:tc>
          <w:tcPr>
            <w:tcW w:w="120" w:type="dxa"/>
            <w:tcBorders>
              <w:bottom w:val="single" w:sz="8" w:space="0" w:color="868686"/>
            </w:tcBorders>
            <w:vAlign w:val="bottom"/>
          </w:tcPr>
          <w:p w:rsidR="00AC12B4" w:rsidRDefault="00AC12B4">
            <w:pPr>
              <w:rPr>
                <w:sz w:val="12"/>
                <w:szCs w:val="12"/>
              </w:rPr>
            </w:pPr>
          </w:p>
        </w:tc>
        <w:tc>
          <w:tcPr>
            <w:tcW w:w="80" w:type="dxa"/>
            <w:tcBorders>
              <w:bottom w:val="single" w:sz="8" w:space="0" w:color="5C4776"/>
            </w:tcBorders>
            <w:vAlign w:val="bottom"/>
          </w:tcPr>
          <w:p w:rsidR="00AC12B4" w:rsidRDefault="00AC12B4">
            <w:pPr>
              <w:rPr>
                <w:sz w:val="12"/>
                <w:szCs w:val="12"/>
              </w:rPr>
            </w:pPr>
          </w:p>
        </w:tc>
        <w:tc>
          <w:tcPr>
            <w:tcW w:w="80" w:type="dxa"/>
            <w:tcBorders>
              <w:bottom w:val="single" w:sz="8" w:space="0" w:color="868686"/>
            </w:tcBorders>
            <w:vAlign w:val="bottom"/>
          </w:tcPr>
          <w:p w:rsidR="00AC12B4" w:rsidRDefault="00AC12B4">
            <w:pPr>
              <w:rPr>
                <w:sz w:val="12"/>
                <w:szCs w:val="12"/>
              </w:rPr>
            </w:pPr>
          </w:p>
        </w:tc>
        <w:tc>
          <w:tcPr>
            <w:tcW w:w="20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00" w:type="dxa"/>
            <w:tcBorders>
              <w:bottom w:val="single" w:sz="8" w:space="0" w:color="868686"/>
            </w:tcBorders>
            <w:vAlign w:val="bottom"/>
          </w:tcPr>
          <w:p w:rsidR="00AC12B4" w:rsidRDefault="00AC12B4">
            <w:pPr>
              <w:rPr>
                <w:sz w:val="12"/>
                <w:szCs w:val="12"/>
              </w:rPr>
            </w:pPr>
          </w:p>
        </w:tc>
        <w:tc>
          <w:tcPr>
            <w:tcW w:w="120" w:type="dxa"/>
            <w:tcBorders>
              <w:bottom w:val="single" w:sz="8" w:space="0" w:color="868686"/>
            </w:tcBorders>
            <w:vAlign w:val="bottom"/>
          </w:tcPr>
          <w:p w:rsidR="00AC12B4" w:rsidRDefault="00AC12B4">
            <w:pPr>
              <w:rPr>
                <w:sz w:val="12"/>
                <w:szCs w:val="12"/>
              </w:rPr>
            </w:pPr>
          </w:p>
        </w:tc>
        <w:tc>
          <w:tcPr>
            <w:tcW w:w="80" w:type="dxa"/>
            <w:tcBorders>
              <w:bottom w:val="single" w:sz="8" w:space="0" w:color="8C3836"/>
            </w:tcBorders>
            <w:vAlign w:val="bottom"/>
          </w:tcPr>
          <w:p w:rsidR="00AC12B4" w:rsidRDefault="00AC12B4">
            <w:pPr>
              <w:rPr>
                <w:sz w:val="12"/>
                <w:szCs w:val="12"/>
              </w:rPr>
            </w:pPr>
          </w:p>
        </w:tc>
        <w:tc>
          <w:tcPr>
            <w:tcW w:w="80" w:type="dxa"/>
            <w:tcBorders>
              <w:bottom w:val="single" w:sz="8" w:space="0" w:color="868686"/>
            </w:tcBorders>
            <w:vAlign w:val="bottom"/>
          </w:tcPr>
          <w:p w:rsidR="00AC12B4" w:rsidRDefault="00AC12B4">
            <w:pPr>
              <w:rPr>
                <w:sz w:val="12"/>
                <w:szCs w:val="12"/>
              </w:rPr>
            </w:pPr>
          </w:p>
        </w:tc>
        <w:tc>
          <w:tcPr>
            <w:tcW w:w="200" w:type="dxa"/>
            <w:tcBorders>
              <w:bottom w:val="single" w:sz="8" w:space="0" w:color="868686"/>
            </w:tcBorders>
            <w:vAlign w:val="bottom"/>
          </w:tcPr>
          <w:p w:rsidR="00AC12B4" w:rsidRDefault="00AC12B4">
            <w:pPr>
              <w:rPr>
                <w:sz w:val="12"/>
                <w:szCs w:val="12"/>
              </w:rPr>
            </w:pPr>
          </w:p>
        </w:tc>
        <w:tc>
          <w:tcPr>
            <w:tcW w:w="200" w:type="dxa"/>
            <w:tcBorders>
              <w:bottom w:val="single" w:sz="8" w:space="0" w:color="868686"/>
            </w:tcBorders>
            <w:vAlign w:val="bottom"/>
          </w:tcPr>
          <w:p w:rsidR="00AC12B4" w:rsidRDefault="00AC12B4">
            <w:pPr>
              <w:rPr>
                <w:sz w:val="12"/>
                <w:szCs w:val="12"/>
              </w:rPr>
            </w:pPr>
          </w:p>
        </w:tc>
        <w:tc>
          <w:tcPr>
            <w:tcW w:w="280" w:type="dxa"/>
            <w:gridSpan w:val="3"/>
            <w:vMerge/>
            <w:tcBorders>
              <w:bottom w:val="single" w:sz="8" w:space="0" w:color="868686"/>
            </w:tcBorders>
            <w:vAlign w:val="bottom"/>
          </w:tcPr>
          <w:p w:rsidR="00AC12B4" w:rsidRDefault="00AC12B4">
            <w:pPr>
              <w:rPr>
                <w:sz w:val="12"/>
                <w:szCs w:val="12"/>
              </w:rPr>
            </w:pPr>
          </w:p>
        </w:tc>
        <w:tc>
          <w:tcPr>
            <w:tcW w:w="20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40" w:type="dxa"/>
            <w:tcBorders>
              <w:bottom w:val="single" w:sz="8" w:space="0" w:color="868686"/>
            </w:tcBorders>
            <w:vAlign w:val="bottom"/>
          </w:tcPr>
          <w:p w:rsidR="00AC12B4" w:rsidRDefault="00AC12B4">
            <w:pPr>
              <w:rPr>
                <w:sz w:val="12"/>
                <w:szCs w:val="12"/>
              </w:rPr>
            </w:pPr>
          </w:p>
        </w:tc>
        <w:tc>
          <w:tcPr>
            <w:tcW w:w="220" w:type="dxa"/>
            <w:tcBorders>
              <w:bottom w:val="single" w:sz="8" w:space="0" w:color="868686"/>
            </w:tcBorders>
            <w:vAlign w:val="bottom"/>
          </w:tcPr>
          <w:p w:rsidR="00AC12B4" w:rsidRDefault="00AC12B4">
            <w:pPr>
              <w:rPr>
                <w:sz w:val="12"/>
                <w:szCs w:val="12"/>
              </w:rPr>
            </w:pPr>
          </w:p>
        </w:tc>
        <w:tc>
          <w:tcPr>
            <w:tcW w:w="200" w:type="dxa"/>
            <w:tcBorders>
              <w:bottom w:val="single" w:sz="8" w:space="0" w:color="868686"/>
            </w:tcBorders>
            <w:vAlign w:val="bottom"/>
          </w:tcPr>
          <w:p w:rsidR="00AC12B4" w:rsidRDefault="00AC12B4">
            <w:pPr>
              <w:rPr>
                <w:sz w:val="12"/>
                <w:szCs w:val="12"/>
              </w:rPr>
            </w:pPr>
          </w:p>
        </w:tc>
        <w:tc>
          <w:tcPr>
            <w:tcW w:w="120" w:type="dxa"/>
            <w:tcBorders>
              <w:bottom w:val="single" w:sz="8" w:space="0" w:color="868686"/>
            </w:tcBorders>
            <w:vAlign w:val="bottom"/>
          </w:tcPr>
          <w:p w:rsidR="00AC12B4" w:rsidRDefault="00AC12B4">
            <w:pPr>
              <w:rPr>
                <w:sz w:val="12"/>
                <w:szCs w:val="12"/>
              </w:rPr>
            </w:pPr>
          </w:p>
        </w:tc>
        <w:tc>
          <w:tcPr>
            <w:tcW w:w="80" w:type="dxa"/>
            <w:tcBorders>
              <w:bottom w:val="single" w:sz="8" w:space="0" w:color="868686"/>
            </w:tcBorders>
            <w:vAlign w:val="bottom"/>
          </w:tcPr>
          <w:p w:rsidR="00AC12B4" w:rsidRDefault="00AC12B4">
            <w:pPr>
              <w:rPr>
                <w:sz w:val="12"/>
                <w:szCs w:val="12"/>
              </w:rPr>
            </w:pPr>
          </w:p>
        </w:tc>
        <w:tc>
          <w:tcPr>
            <w:tcW w:w="60" w:type="dxa"/>
            <w:tcBorders>
              <w:bottom w:val="single" w:sz="8" w:space="0" w:color="868686"/>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360"/>
        </w:trPr>
        <w:tc>
          <w:tcPr>
            <w:tcW w:w="200" w:type="dxa"/>
            <w:vMerge w:val="restart"/>
            <w:textDirection w:val="btLr"/>
            <w:vAlign w:val="bottom"/>
          </w:tcPr>
          <w:p w:rsidR="00AC12B4" w:rsidRDefault="00C27636">
            <w:pPr>
              <w:rPr>
                <w:sz w:val="20"/>
                <w:szCs w:val="20"/>
              </w:rPr>
            </w:pPr>
            <w:r>
              <w:rPr>
                <w:rFonts w:ascii="Calibri" w:eastAsia="Calibri" w:hAnsi="Calibri" w:cs="Calibri"/>
                <w:b/>
                <w:bCs/>
                <w:sz w:val="20"/>
                <w:szCs w:val="20"/>
              </w:rPr>
              <w:t>%</w:t>
            </w:r>
          </w:p>
        </w:tc>
        <w:tc>
          <w:tcPr>
            <w:tcW w:w="380" w:type="dxa"/>
            <w:vMerge w:val="restart"/>
            <w:vAlign w:val="bottom"/>
          </w:tcPr>
          <w:p w:rsidR="00AC12B4" w:rsidRDefault="00C27636">
            <w:pPr>
              <w:ind w:right="24"/>
              <w:jc w:val="right"/>
              <w:rPr>
                <w:sz w:val="20"/>
                <w:szCs w:val="20"/>
              </w:rPr>
            </w:pPr>
            <w:r>
              <w:rPr>
                <w:rFonts w:ascii="Calibri" w:eastAsia="Calibri" w:hAnsi="Calibri" w:cs="Calibri"/>
                <w:sz w:val="20"/>
                <w:szCs w:val="20"/>
              </w:rPr>
              <w:t>30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5C4776"/>
            </w:tcBorders>
            <w:vAlign w:val="bottom"/>
          </w:tcPr>
          <w:p w:rsidR="00AC12B4" w:rsidRDefault="00AC12B4">
            <w:pPr>
              <w:rPr>
                <w:sz w:val="24"/>
                <w:szCs w:val="24"/>
              </w:rPr>
            </w:pPr>
          </w:p>
        </w:tc>
        <w:tc>
          <w:tcPr>
            <w:tcW w:w="80" w:type="dxa"/>
            <w:tcBorders>
              <w:top w:val="single" w:sz="8" w:space="0" w:color="5C4776"/>
              <w:left w:val="single" w:sz="8" w:space="0" w:color="8064A2"/>
              <w:bottom w:val="single" w:sz="8" w:space="0" w:color="5C4776"/>
            </w:tcBorders>
            <w:shd w:val="clear" w:color="auto" w:fill="5C4776"/>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8C3836"/>
            </w:tcBorders>
            <w:vAlign w:val="bottom"/>
          </w:tcPr>
          <w:p w:rsidR="00AC12B4" w:rsidRDefault="00AC12B4">
            <w:pPr>
              <w:rPr>
                <w:sz w:val="24"/>
                <w:szCs w:val="24"/>
              </w:rPr>
            </w:pPr>
          </w:p>
        </w:tc>
        <w:tc>
          <w:tcPr>
            <w:tcW w:w="80" w:type="dxa"/>
            <w:tcBorders>
              <w:top w:val="single" w:sz="8" w:space="0" w:color="8C3836"/>
              <w:left w:val="single" w:sz="8" w:space="0" w:color="C0504D"/>
              <w:bottom w:val="single" w:sz="8" w:space="0" w:color="8C3836"/>
            </w:tcBorders>
            <w:shd w:val="clear" w:color="auto" w:fill="8C3836"/>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B66D31"/>
            </w:tcBorders>
            <w:vAlign w:val="bottom"/>
          </w:tcPr>
          <w:p w:rsidR="00AC12B4" w:rsidRDefault="00AC12B4">
            <w:pPr>
              <w:rPr>
                <w:sz w:val="24"/>
                <w:szCs w:val="24"/>
              </w:rPr>
            </w:pPr>
          </w:p>
        </w:tc>
        <w:tc>
          <w:tcPr>
            <w:tcW w:w="100" w:type="dxa"/>
            <w:tcBorders>
              <w:top w:val="single" w:sz="8" w:space="0" w:color="B66D31"/>
              <w:left w:val="single" w:sz="8" w:space="0" w:color="F79646"/>
              <w:bottom w:val="single" w:sz="8" w:space="0" w:color="B66D31"/>
            </w:tcBorders>
            <w:shd w:val="clear" w:color="auto" w:fill="B66D31"/>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1"/>
        </w:trPr>
        <w:tc>
          <w:tcPr>
            <w:tcW w:w="200" w:type="dxa"/>
            <w:vMerge/>
            <w:vAlign w:val="bottom"/>
          </w:tcPr>
          <w:p w:rsidR="00AC12B4" w:rsidRDefault="00AC12B4">
            <w:pPr>
              <w:rPr>
                <w:sz w:val="7"/>
                <w:szCs w:val="7"/>
              </w:rPr>
            </w:pPr>
          </w:p>
        </w:tc>
        <w:tc>
          <w:tcPr>
            <w:tcW w:w="38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5C4776"/>
            </w:tcBorders>
            <w:vAlign w:val="bottom"/>
          </w:tcPr>
          <w:p w:rsidR="00AC12B4" w:rsidRDefault="00AC12B4">
            <w:pPr>
              <w:rPr>
                <w:sz w:val="7"/>
                <w:szCs w:val="7"/>
              </w:rPr>
            </w:pPr>
          </w:p>
        </w:tc>
        <w:tc>
          <w:tcPr>
            <w:tcW w:w="80" w:type="dxa"/>
            <w:tcBorders>
              <w:left w:val="single" w:sz="8" w:space="0" w:color="8064A2"/>
            </w:tcBorders>
            <w:shd w:val="clear" w:color="auto" w:fill="5C4776"/>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8C3836"/>
            </w:tcBorders>
            <w:vAlign w:val="bottom"/>
          </w:tcPr>
          <w:p w:rsidR="00AC12B4" w:rsidRDefault="00AC12B4">
            <w:pPr>
              <w:rPr>
                <w:sz w:val="7"/>
                <w:szCs w:val="7"/>
              </w:rPr>
            </w:pPr>
          </w:p>
        </w:tc>
        <w:tc>
          <w:tcPr>
            <w:tcW w:w="80" w:type="dxa"/>
            <w:tcBorders>
              <w:left w:val="single" w:sz="8" w:space="0" w:color="C0504D"/>
            </w:tcBorders>
            <w:shd w:val="clear" w:color="auto" w:fill="8C3836"/>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B66D31"/>
            </w:tcBorders>
            <w:vAlign w:val="bottom"/>
          </w:tcPr>
          <w:p w:rsidR="00AC12B4" w:rsidRDefault="00AC12B4">
            <w:pPr>
              <w:rPr>
                <w:sz w:val="7"/>
                <w:szCs w:val="7"/>
              </w:rPr>
            </w:pPr>
          </w:p>
        </w:tc>
        <w:tc>
          <w:tcPr>
            <w:tcW w:w="100" w:type="dxa"/>
            <w:tcBorders>
              <w:left w:val="single" w:sz="8" w:space="0" w:color="F79646"/>
            </w:tcBorders>
            <w:shd w:val="clear" w:color="auto" w:fill="B66D31"/>
            <w:vAlign w:val="bottom"/>
          </w:tcPr>
          <w:p w:rsidR="00AC12B4" w:rsidRDefault="00AC12B4">
            <w:pPr>
              <w:rPr>
                <w:sz w:val="7"/>
                <w:szCs w:val="7"/>
              </w:rPr>
            </w:pPr>
          </w:p>
        </w:tc>
        <w:tc>
          <w:tcPr>
            <w:tcW w:w="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60" w:type="dxa"/>
            <w:gridSpan w:val="3"/>
            <w:vMerge w:val="restart"/>
            <w:vAlign w:val="bottom"/>
          </w:tcPr>
          <w:p w:rsidR="00AC12B4" w:rsidRDefault="00C27636">
            <w:pPr>
              <w:spacing w:line="192" w:lineRule="exact"/>
              <w:ind w:right="20"/>
              <w:jc w:val="right"/>
              <w:rPr>
                <w:sz w:val="20"/>
                <w:szCs w:val="20"/>
              </w:rPr>
            </w:pPr>
            <w:r>
              <w:rPr>
                <w:rFonts w:ascii="Calibri" w:eastAsia="Calibri" w:hAnsi="Calibri" w:cs="Calibri"/>
                <w:sz w:val="20"/>
                <w:szCs w:val="20"/>
              </w:rPr>
              <w:t>23</w:t>
            </w:r>
          </w:p>
        </w:tc>
        <w:tc>
          <w:tcPr>
            <w:tcW w:w="0" w:type="dxa"/>
            <w:vAlign w:val="bottom"/>
          </w:tcPr>
          <w:p w:rsidR="00AC12B4" w:rsidRDefault="00AC12B4">
            <w:pPr>
              <w:rPr>
                <w:sz w:val="1"/>
                <w:szCs w:val="1"/>
              </w:rPr>
            </w:pPr>
          </w:p>
        </w:tc>
      </w:tr>
      <w:tr w:rsidR="00AC12B4">
        <w:trPr>
          <w:trHeight w:val="100"/>
        </w:trPr>
        <w:tc>
          <w:tcPr>
            <w:tcW w:w="200" w:type="dxa"/>
            <w:vAlign w:val="bottom"/>
          </w:tcPr>
          <w:p w:rsidR="00AC12B4" w:rsidRDefault="00AC12B4">
            <w:pPr>
              <w:rPr>
                <w:sz w:val="8"/>
                <w:szCs w:val="8"/>
              </w:rPr>
            </w:pPr>
          </w:p>
        </w:tc>
        <w:tc>
          <w:tcPr>
            <w:tcW w:w="38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tcBorders>
              <w:right w:val="single" w:sz="8" w:space="0" w:color="5C4776"/>
            </w:tcBorders>
            <w:vAlign w:val="bottom"/>
          </w:tcPr>
          <w:p w:rsidR="00AC12B4" w:rsidRDefault="00AC12B4">
            <w:pPr>
              <w:rPr>
                <w:sz w:val="8"/>
                <w:szCs w:val="8"/>
              </w:rPr>
            </w:pPr>
          </w:p>
        </w:tc>
        <w:tc>
          <w:tcPr>
            <w:tcW w:w="80" w:type="dxa"/>
            <w:tcBorders>
              <w:left w:val="single" w:sz="8" w:space="0" w:color="8064A2"/>
            </w:tcBorders>
            <w:shd w:val="clear" w:color="auto" w:fill="5C4776"/>
            <w:vAlign w:val="bottom"/>
          </w:tcPr>
          <w:p w:rsidR="00AC12B4" w:rsidRDefault="00AC12B4">
            <w:pPr>
              <w:rPr>
                <w:sz w:val="8"/>
                <w:szCs w:val="8"/>
              </w:rPr>
            </w:pPr>
          </w:p>
        </w:tc>
        <w:tc>
          <w:tcPr>
            <w:tcW w:w="8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tcBorders>
              <w:right w:val="single" w:sz="8" w:space="0" w:color="8C3836"/>
            </w:tcBorders>
            <w:vAlign w:val="bottom"/>
          </w:tcPr>
          <w:p w:rsidR="00AC12B4" w:rsidRDefault="00AC12B4">
            <w:pPr>
              <w:rPr>
                <w:sz w:val="8"/>
                <w:szCs w:val="8"/>
              </w:rPr>
            </w:pPr>
          </w:p>
        </w:tc>
        <w:tc>
          <w:tcPr>
            <w:tcW w:w="80" w:type="dxa"/>
            <w:tcBorders>
              <w:left w:val="single" w:sz="8" w:space="0" w:color="C0504D"/>
            </w:tcBorders>
            <w:shd w:val="clear" w:color="auto" w:fill="8C3836"/>
            <w:vAlign w:val="bottom"/>
          </w:tcPr>
          <w:p w:rsidR="00AC12B4" w:rsidRDefault="00AC12B4">
            <w:pPr>
              <w:rPr>
                <w:sz w:val="8"/>
                <w:szCs w:val="8"/>
              </w:rPr>
            </w:pPr>
          </w:p>
        </w:tc>
        <w:tc>
          <w:tcPr>
            <w:tcW w:w="8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tcBorders>
              <w:right w:val="single" w:sz="8" w:space="0" w:color="B66D31"/>
            </w:tcBorders>
            <w:vAlign w:val="bottom"/>
          </w:tcPr>
          <w:p w:rsidR="00AC12B4" w:rsidRDefault="00AC12B4">
            <w:pPr>
              <w:rPr>
                <w:sz w:val="8"/>
                <w:szCs w:val="8"/>
              </w:rPr>
            </w:pPr>
          </w:p>
        </w:tc>
        <w:tc>
          <w:tcPr>
            <w:tcW w:w="100" w:type="dxa"/>
            <w:tcBorders>
              <w:left w:val="single" w:sz="8" w:space="0" w:color="F79646"/>
            </w:tcBorders>
            <w:shd w:val="clear" w:color="auto" w:fill="B66D31"/>
            <w:vAlign w:val="bottom"/>
          </w:tcPr>
          <w:p w:rsidR="00AC12B4" w:rsidRDefault="00AC12B4">
            <w:pPr>
              <w:rPr>
                <w:sz w:val="8"/>
                <w:szCs w:val="8"/>
              </w:rPr>
            </w:pPr>
          </w:p>
        </w:tc>
        <w:tc>
          <w:tcPr>
            <w:tcW w:w="6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60" w:type="dxa"/>
            <w:gridSpan w:val="3"/>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90"/>
        </w:trPr>
        <w:tc>
          <w:tcPr>
            <w:tcW w:w="200" w:type="dxa"/>
            <w:vAlign w:val="bottom"/>
          </w:tcPr>
          <w:p w:rsidR="00AC12B4" w:rsidRDefault="00AC12B4">
            <w:pPr>
              <w:rPr>
                <w:sz w:val="7"/>
                <w:szCs w:val="7"/>
              </w:rPr>
            </w:pPr>
          </w:p>
        </w:tc>
        <w:tc>
          <w:tcPr>
            <w:tcW w:w="380" w:type="dxa"/>
            <w:vMerge w:val="restart"/>
            <w:vAlign w:val="bottom"/>
          </w:tcPr>
          <w:p w:rsidR="00AC12B4" w:rsidRDefault="00C27636">
            <w:pPr>
              <w:ind w:right="24"/>
              <w:jc w:val="right"/>
              <w:rPr>
                <w:sz w:val="20"/>
                <w:szCs w:val="20"/>
              </w:rPr>
            </w:pPr>
            <w:r>
              <w:rPr>
                <w:rFonts w:ascii="Calibri" w:eastAsia="Calibri" w:hAnsi="Calibri" w:cs="Calibri"/>
                <w:sz w:val="20"/>
                <w:szCs w:val="20"/>
              </w:rPr>
              <w:t>20</w:t>
            </w:r>
          </w:p>
        </w:tc>
        <w:tc>
          <w:tcPr>
            <w:tcW w:w="80" w:type="dxa"/>
            <w:tcBorders>
              <w:right w:val="single" w:sz="8" w:space="0" w:color="868686"/>
            </w:tcBorders>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5C4776"/>
            </w:tcBorders>
            <w:vAlign w:val="bottom"/>
          </w:tcPr>
          <w:p w:rsidR="00AC12B4" w:rsidRDefault="00AC12B4">
            <w:pPr>
              <w:rPr>
                <w:sz w:val="7"/>
                <w:szCs w:val="7"/>
              </w:rPr>
            </w:pPr>
          </w:p>
        </w:tc>
        <w:tc>
          <w:tcPr>
            <w:tcW w:w="80" w:type="dxa"/>
            <w:tcBorders>
              <w:left w:val="single" w:sz="8" w:space="0" w:color="8064A2"/>
              <w:bottom w:val="single" w:sz="8" w:space="0" w:color="5C4776"/>
            </w:tcBorders>
            <w:shd w:val="clear" w:color="auto" w:fill="5C4776"/>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8C3836"/>
            </w:tcBorders>
            <w:vAlign w:val="bottom"/>
          </w:tcPr>
          <w:p w:rsidR="00AC12B4" w:rsidRDefault="00AC12B4">
            <w:pPr>
              <w:rPr>
                <w:sz w:val="7"/>
                <w:szCs w:val="7"/>
              </w:rPr>
            </w:pPr>
          </w:p>
        </w:tc>
        <w:tc>
          <w:tcPr>
            <w:tcW w:w="80" w:type="dxa"/>
            <w:tcBorders>
              <w:left w:val="single" w:sz="8" w:space="0" w:color="C0504D"/>
              <w:bottom w:val="single" w:sz="8" w:space="0" w:color="8C3836"/>
            </w:tcBorders>
            <w:shd w:val="clear" w:color="auto" w:fill="8C3836"/>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B66D31"/>
            </w:tcBorders>
            <w:vAlign w:val="bottom"/>
          </w:tcPr>
          <w:p w:rsidR="00AC12B4" w:rsidRDefault="00AC12B4">
            <w:pPr>
              <w:rPr>
                <w:sz w:val="7"/>
                <w:szCs w:val="7"/>
              </w:rPr>
            </w:pPr>
          </w:p>
        </w:tc>
        <w:tc>
          <w:tcPr>
            <w:tcW w:w="100" w:type="dxa"/>
            <w:tcBorders>
              <w:left w:val="single" w:sz="8" w:space="0" w:color="F79646"/>
              <w:bottom w:val="single" w:sz="8" w:space="0" w:color="B66D31"/>
            </w:tcBorders>
            <w:shd w:val="clear" w:color="auto" w:fill="B66D31"/>
            <w:vAlign w:val="bottom"/>
          </w:tcPr>
          <w:p w:rsidR="00AC12B4" w:rsidRDefault="00AC12B4">
            <w:pPr>
              <w:rPr>
                <w:sz w:val="7"/>
                <w:szCs w:val="7"/>
              </w:rPr>
            </w:pPr>
          </w:p>
        </w:tc>
        <w:tc>
          <w:tcPr>
            <w:tcW w:w="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80" w:type="dxa"/>
            <w:tcBorders>
              <w:bottom w:val="single" w:sz="8" w:space="0" w:color="71893F"/>
            </w:tcBorders>
            <w:vAlign w:val="bottom"/>
          </w:tcPr>
          <w:p w:rsidR="00AC12B4" w:rsidRDefault="00AC12B4">
            <w:pPr>
              <w:rPr>
                <w:sz w:val="7"/>
                <w:szCs w:val="7"/>
              </w:rPr>
            </w:pPr>
          </w:p>
        </w:tc>
        <w:tc>
          <w:tcPr>
            <w:tcW w:w="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10"/>
        </w:trPr>
        <w:tc>
          <w:tcPr>
            <w:tcW w:w="200" w:type="dxa"/>
            <w:vAlign w:val="bottom"/>
          </w:tcPr>
          <w:p w:rsidR="00AC12B4" w:rsidRDefault="00AC12B4">
            <w:pPr>
              <w:rPr>
                <w:sz w:val="9"/>
                <w:szCs w:val="9"/>
              </w:rPr>
            </w:pPr>
          </w:p>
        </w:tc>
        <w:tc>
          <w:tcPr>
            <w:tcW w:w="380" w:type="dxa"/>
            <w:vMerge/>
            <w:vAlign w:val="bottom"/>
          </w:tcPr>
          <w:p w:rsidR="00AC12B4" w:rsidRDefault="00AC12B4">
            <w:pPr>
              <w:rPr>
                <w:sz w:val="9"/>
                <w:szCs w:val="9"/>
              </w:rPr>
            </w:pPr>
          </w:p>
        </w:tc>
        <w:tc>
          <w:tcPr>
            <w:tcW w:w="80" w:type="dxa"/>
            <w:tcBorders>
              <w:bottom w:val="single" w:sz="8" w:space="0" w:color="868686"/>
              <w:right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00" w:type="dxa"/>
            <w:tcBorders>
              <w:bottom w:val="single" w:sz="8" w:space="0" w:color="868686"/>
            </w:tcBorders>
            <w:vAlign w:val="bottom"/>
          </w:tcPr>
          <w:p w:rsidR="00AC12B4" w:rsidRDefault="00AC12B4">
            <w:pPr>
              <w:rPr>
                <w:sz w:val="9"/>
                <w:szCs w:val="9"/>
              </w:rPr>
            </w:pPr>
          </w:p>
        </w:tc>
        <w:tc>
          <w:tcPr>
            <w:tcW w:w="120" w:type="dxa"/>
            <w:tcBorders>
              <w:bottom w:val="single" w:sz="8" w:space="0" w:color="868686"/>
              <w:right w:val="single" w:sz="8" w:space="0" w:color="5C4776"/>
            </w:tcBorders>
            <w:vAlign w:val="bottom"/>
          </w:tcPr>
          <w:p w:rsidR="00AC12B4" w:rsidRDefault="00AC12B4">
            <w:pPr>
              <w:rPr>
                <w:sz w:val="9"/>
                <w:szCs w:val="9"/>
              </w:rPr>
            </w:pPr>
          </w:p>
        </w:tc>
        <w:tc>
          <w:tcPr>
            <w:tcW w:w="80" w:type="dxa"/>
            <w:tcBorders>
              <w:left w:val="single" w:sz="8" w:space="0" w:color="8064A2"/>
              <w:bottom w:val="single" w:sz="8" w:space="0" w:color="5C4776"/>
            </w:tcBorders>
            <w:shd w:val="clear" w:color="auto" w:fill="5C4776"/>
            <w:vAlign w:val="bottom"/>
          </w:tcPr>
          <w:p w:rsidR="00AC12B4" w:rsidRDefault="00AC12B4">
            <w:pPr>
              <w:rPr>
                <w:sz w:val="9"/>
                <w:szCs w:val="9"/>
              </w:rPr>
            </w:pPr>
          </w:p>
        </w:tc>
        <w:tc>
          <w:tcPr>
            <w:tcW w:w="80" w:type="dxa"/>
            <w:tcBorders>
              <w:bottom w:val="single" w:sz="8" w:space="0" w:color="868686"/>
            </w:tcBorders>
            <w:vAlign w:val="bottom"/>
          </w:tcPr>
          <w:p w:rsidR="00AC12B4" w:rsidRDefault="00AC12B4">
            <w:pPr>
              <w:rPr>
                <w:sz w:val="9"/>
                <w:szCs w:val="9"/>
              </w:rPr>
            </w:pPr>
          </w:p>
        </w:tc>
        <w:tc>
          <w:tcPr>
            <w:tcW w:w="20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00" w:type="dxa"/>
            <w:tcBorders>
              <w:bottom w:val="single" w:sz="8" w:space="0" w:color="868686"/>
            </w:tcBorders>
            <w:vAlign w:val="bottom"/>
          </w:tcPr>
          <w:p w:rsidR="00AC12B4" w:rsidRDefault="00AC12B4">
            <w:pPr>
              <w:rPr>
                <w:sz w:val="9"/>
                <w:szCs w:val="9"/>
              </w:rPr>
            </w:pPr>
          </w:p>
        </w:tc>
        <w:tc>
          <w:tcPr>
            <w:tcW w:w="120" w:type="dxa"/>
            <w:tcBorders>
              <w:bottom w:val="single" w:sz="8" w:space="0" w:color="868686"/>
              <w:right w:val="single" w:sz="8" w:space="0" w:color="8C3836"/>
            </w:tcBorders>
            <w:vAlign w:val="bottom"/>
          </w:tcPr>
          <w:p w:rsidR="00AC12B4" w:rsidRDefault="00AC12B4">
            <w:pPr>
              <w:rPr>
                <w:sz w:val="9"/>
                <w:szCs w:val="9"/>
              </w:rPr>
            </w:pPr>
          </w:p>
        </w:tc>
        <w:tc>
          <w:tcPr>
            <w:tcW w:w="80" w:type="dxa"/>
            <w:tcBorders>
              <w:left w:val="single" w:sz="8" w:space="0" w:color="C0504D"/>
              <w:bottom w:val="single" w:sz="8" w:space="0" w:color="8C3836"/>
            </w:tcBorders>
            <w:shd w:val="clear" w:color="auto" w:fill="8C3836"/>
            <w:vAlign w:val="bottom"/>
          </w:tcPr>
          <w:p w:rsidR="00AC12B4" w:rsidRDefault="00AC12B4">
            <w:pPr>
              <w:rPr>
                <w:sz w:val="9"/>
                <w:szCs w:val="9"/>
              </w:rPr>
            </w:pPr>
          </w:p>
        </w:tc>
        <w:tc>
          <w:tcPr>
            <w:tcW w:w="80" w:type="dxa"/>
            <w:tcBorders>
              <w:bottom w:val="single" w:sz="8" w:space="0" w:color="868686"/>
            </w:tcBorders>
            <w:vAlign w:val="bottom"/>
          </w:tcPr>
          <w:p w:rsidR="00AC12B4" w:rsidRDefault="00AC12B4">
            <w:pPr>
              <w:rPr>
                <w:sz w:val="9"/>
                <w:szCs w:val="9"/>
              </w:rPr>
            </w:pPr>
          </w:p>
        </w:tc>
        <w:tc>
          <w:tcPr>
            <w:tcW w:w="200" w:type="dxa"/>
            <w:tcBorders>
              <w:bottom w:val="single" w:sz="8" w:space="0" w:color="868686"/>
            </w:tcBorders>
            <w:vAlign w:val="bottom"/>
          </w:tcPr>
          <w:p w:rsidR="00AC12B4" w:rsidRDefault="00AC12B4">
            <w:pPr>
              <w:rPr>
                <w:sz w:val="9"/>
                <w:szCs w:val="9"/>
              </w:rPr>
            </w:pPr>
          </w:p>
        </w:tc>
        <w:tc>
          <w:tcPr>
            <w:tcW w:w="200" w:type="dxa"/>
            <w:tcBorders>
              <w:bottom w:val="single" w:sz="8" w:space="0" w:color="868686"/>
            </w:tcBorders>
            <w:vAlign w:val="bottom"/>
          </w:tcPr>
          <w:p w:rsidR="00AC12B4" w:rsidRDefault="00AC12B4">
            <w:pPr>
              <w:rPr>
                <w:sz w:val="9"/>
                <w:szCs w:val="9"/>
              </w:rPr>
            </w:pPr>
          </w:p>
        </w:tc>
        <w:tc>
          <w:tcPr>
            <w:tcW w:w="120" w:type="dxa"/>
            <w:tcBorders>
              <w:bottom w:val="single" w:sz="8" w:space="0" w:color="868686"/>
              <w:right w:val="single" w:sz="8" w:space="0" w:color="B66D31"/>
            </w:tcBorders>
            <w:vAlign w:val="bottom"/>
          </w:tcPr>
          <w:p w:rsidR="00AC12B4" w:rsidRDefault="00AC12B4">
            <w:pPr>
              <w:rPr>
                <w:sz w:val="9"/>
                <w:szCs w:val="9"/>
              </w:rPr>
            </w:pPr>
          </w:p>
        </w:tc>
        <w:tc>
          <w:tcPr>
            <w:tcW w:w="100" w:type="dxa"/>
            <w:tcBorders>
              <w:left w:val="single" w:sz="8" w:space="0" w:color="F79646"/>
              <w:bottom w:val="single" w:sz="8" w:space="0" w:color="B66D31"/>
            </w:tcBorders>
            <w:shd w:val="clear" w:color="auto" w:fill="B66D31"/>
            <w:vAlign w:val="bottom"/>
          </w:tcPr>
          <w:p w:rsidR="00AC12B4" w:rsidRDefault="00AC12B4">
            <w:pPr>
              <w:rPr>
                <w:sz w:val="9"/>
                <w:szCs w:val="9"/>
              </w:rPr>
            </w:pPr>
          </w:p>
        </w:tc>
        <w:tc>
          <w:tcPr>
            <w:tcW w:w="60" w:type="dxa"/>
            <w:tcBorders>
              <w:bottom w:val="single" w:sz="8" w:space="0" w:color="868686"/>
            </w:tcBorders>
            <w:vAlign w:val="bottom"/>
          </w:tcPr>
          <w:p w:rsidR="00AC12B4" w:rsidRDefault="00AC12B4">
            <w:pPr>
              <w:rPr>
                <w:sz w:val="9"/>
                <w:szCs w:val="9"/>
              </w:rPr>
            </w:pPr>
          </w:p>
        </w:tc>
        <w:tc>
          <w:tcPr>
            <w:tcW w:w="20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40" w:type="dxa"/>
            <w:tcBorders>
              <w:bottom w:val="single" w:sz="8" w:space="0" w:color="868686"/>
            </w:tcBorders>
            <w:vAlign w:val="bottom"/>
          </w:tcPr>
          <w:p w:rsidR="00AC12B4" w:rsidRDefault="00AC12B4">
            <w:pPr>
              <w:rPr>
                <w:sz w:val="9"/>
                <w:szCs w:val="9"/>
              </w:rPr>
            </w:pPr>
          </w:p>
        </w:tc>
        <w:tc>
          <w:tcPr>
            <w:tcW w:w="220" w:type="dxa"/>
            <w:tcBorders>
              <w:bottom w:val="single" w:sz="8" w:space="0" w:color="868686"/>
            </w:tcBorders>
            <w:vAlign w:val="bottom"/>
          </w:tcPr>
          <w:p w:rsidR="00AC12B4" w:rsidRDefault="00AC12B4">
            <w:pPr>
              <w:rPr>
                <w:sz w:val="9"/>
                <w:szCs w:val="9"/>
              </w:rPr>
            </w:pPr>
          </w:p>
        </w:tc>
        <w:tc>
          <w:tcPr>
            <w:tcW w:w="200" w:type="dxa"/>
            <w:tcBorders>
              <w:bottom w:val="single" w:sz="8" w:space="0" w:color="868686"/>
            </w:tcBorders>
            <w:vAlign w:val="bottom"/>
          </w:tcPr>
          <w:p w:rsidR="00AC12B4" w:rsidRDefault="00AC12B4">
            <w:pPr>
              <w:rPr>
                <w:sz w:val="9"/>
                <w:szCs w:val="9"/>
              </w:rPr>
            </w:pPr>
          </w:p>
        </w:tc>
        <w:tc>
          <w:tcPr>
            <w:tcW w:w="120" w:type="dxa"/>
            <w:tcBorders>
              <w:bottom w:val="single" w:sz="8" w:space="0" w:color="868686"/>
              <w:right w:val="single" w:sz="8" w:space="0" w:color="71893F"/>
            </w:tcBorders>
            <w:vAlign w:val="bottom"/>
          </w:tcPr>
          <w:p w:rsidR="00AC12B4" w:rsidRDefault="00AC12B4">
            <w:pPr>
              <w:rPr>
                <w:sz w:val="9"/>
                <w:szCs w:val="9"/>
              </w:rPr>
            </w:pPr>
          </w:p>
        </w:tc>
        <w:tc>
          <w:tcPr>
            <w:tcW w:w="80" w:type="dxa"/>
            <w:tcBorders>
              <w:left w:val="single" w:sz="8" w:space="0" w:color="9BBB59"/>
              <w:bottom w:val="single" w:sz="8" w:space="0" w:color="71893F"/>
            </w:tcBorders>
            <w:shd w:val="clear" w:color="auto" w:fill="71893F"/>
            <w:vAlign w:val="bottom"/>
          </w:tcPr>
          <w:p w:rsidR="00AC12B4" w:rsidRDefault="00AC12B4">
            <w:pPr>
              <w:rPr>
                <w:sz w:val="9"/>
                <w:szCs w:val="9"/>
              </w:rPr>
            </w:pPr>
          </w:p>
        </w:tc>
        <w:tc>
          <w:tcPr>
            <w:tcW w:w="60" w:type="dxa"/>
            <w:tcBorders>
              <w:bottom w:val="single" w:sz="8" w:space="0" w:color="868686"/>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91"/>
        </w:trPr>
        <w:tc>
          <w:tcPr>
            <w:tcW w:w="200" w:type="dxa"/>
            <w:vAlign w:val="bottom"/>
          </w:tcPr>
          <w:p w:rsidR="00AC12B4" w:rsidRDefault="00AC12B4">
            <w:pPr>
              <w:rPr>
                <w:sz w:val="7"/>
                <w:szCs w:val="7"/>
              </w:rPr>
            </w:pPr>
          </w:p>
        </w:tc>
        <w:tc>
          <w:tcPr>
            <w:tcW w:w="38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5C4776"/>
            </w:tcBorders>
            <w:vAlign w:val="bottom"/>
          </w:tcPr>
          <w:p w:rsidR="00AC12B4" w:rsidRDefault="00AC12B4">
            <w:pPr>
              <w:rPr>
                <w:sz w:val="7"/>
                <w:szCs w:val="7"/>
              </w:rPr>
            </w:pPr>
          </w:p>
        </w:tc>
        <w:tc>
          <w:tcPr>
            <w:tcW w:w="80" w:type="dxa"/>
            <w:tcBorders>
              <w:left w:val="single" w:sz="8" w:space="0" w:color="8064A2"/>
            </w:tcBorders>
            <w:shd w:val="clear" w:color="auto" w:fill="5C4776"/>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8C3836"/>
            </w:tcBorders>
            <w:vAlign w:val="bottom"/>
          </w:tcPr>
          <w:p w:rsidR="00AC12B4" w:rsidRDefault="00AC12B4">
            <w:pPr>
              <w:rPr>
                <w:sz w:val="7"/>
                <w:szCs w:val="7"/>
              </w:rPr>
            </w:pPr>
          </w:p>
        </w:tc>
        <w:tc>
          <w:tcPr>
            <w:tcW w:w="80" w:type="dxa"/>
            <w:tcBorders>
              <w:left w:val="single" w:sz="8" w:space="0" w:color="C0504D"/>
            </w:tcBorders>
            <w:shd w:val="clear" w:color="auto" w:fill="8C3836"/>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B66D31"/>
            </w:tcBorders>
            <w:vAlign w:val="bottom"/>
          </w:tcPr>
          <w:p w:rsidR="00AC12B4" w:rsidRDefault="00AC12B4">
            <w:pPr>
              <w:rPr>
                <w:sz w:val="7"/>
                <w:szCs w:val="7"/>
              </w:rPr>
            </w:pPr>
          </w:p>
        </w:tc>
        <w:tc>
          <w:tcPr>
            <w:tcW w:w="100" w:type="dxa"/>
            <w:tcBorders>
              <w:left w:val="single" w:sz="8" w:space="0" w:color="F79646"/>
            </w:tcBorders>
            <w:shd w:val="clear" w:color="auto" w:fill="B66D31"/>
            <w:vAlign w:val="bottom"/>
          </w:tcPr>
          <w:p w:rsidR="00AC12B4" w:rsidRDefault="00AC12B4">
            <w:pPr>
              <w:rPr>
                <w:sz w:val="7"/>
                <w:szCs w:val="7"/>
              </w:rPr>
            </w:pPr>
          </w:p>
        </w:tc>
        <w:tc>
          <w:tcPr>
            <w:tcW w:w="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20" w:type="dxa"/>
            <w:tcBorders>
              <w:right w:val="single" w:sz="8" w:space="0" w:color="71893F"/>
            </w:tcBorders>
            <w:vAlign w:val="bottom"/>
          </w:tcPr>
          <w:p w:rsidR="00AC12B4" w:rsidRDefault="00AC12B4">
            <w:pPr>
              <w:rPr>
                <w:sz w:val="7"/>
                <w:szCs w:val="7"/>
              </w:rPr>
            </w:pPr>
          </w:p>
        </w:tc>
        <w:tc>
          <w:tcPr>
            <w:tcW w:w="80" w:type="dxa"/>
            <w:tcBorders>
              <w:left w:val="single" w:sz="8" w:space="0" w:color="9BBB59"/>
            </w:tcBorders>
            <w:shd w:val="clear" w:color="auto" w:fill="71893F"/>
            <w:vAlign w:val="bottom"/>
          </w:tcPr>
          <w:p w:rsidR="00AC12B4" w:rsidRDefault="00AC12B4">
            <w:pPr>
              <w:rPr>
                <w:sz w:val="7"/>
                <w:szCs w:val="7"/>
              </w:rPr>
            </w:pPr>
          </w:p>
        </w:tc>
        <w:tc>
          <w:tcPr>
            <w:tcW w:w="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319"/>
        </w:trPr>
        <w:tc>
          <w:tcPr>
            <w:tcW w:w="200" w:type="dxa"/>
            <w:vAlign w:val="bottom"/>
          </w:tcPr>
          <w:p w:rsidR="00AC12B4" w:rsidRDefault="00AC12B4">
            <w:pPr>
              <w:rPr>
                <w:sz w:val="24"/>
                <w:szCs w:val="24"/>
              </w:rPr>
            </w:pPr>
          </w:p>
        </w:tc>
        <w:tc>
          <w:tcPr>
            <w:tcW w:w="380" w:type="dxa"/>
            <w:vMerge w:val="restart"/>
            <w:vAlign w:val="bottom"/>
          </w:tcPr>
          <w:p w:rsidR="00AC12B4" w:rsidRDefault="00C27636">
            <w:pPr>
              <w:ind w:right="24"/>
              <w:jc w:val="right"/>
              <w:rPr>
                <w:sz w:val="20"/>
                <w:szCs w:val="20"/>
              </w:rPr>
            </w:pPr>
            <w:r>
              <w:rPr>
                <w:rFonts w:ascii="Calibri" w:eastAsia="Calibri" w:hAnsi="Calibri" w:cs="Calibri"/>
                <w:sz w:val="20"/>
                <w:szCs w:val="20"/>
              </w:rPr>
              <w:t>10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5C4776"/>
            </w:tcBorders>
            <w:vAlign w:val="bottom"/>
          </w:tcPr>
          <w:p w:rsidR="00AC12B4" w:rsidRDefault="00AC12B4">
            <w:pPr>
              <w:rPr>
                <w:sz w:val="24"/>
                <w:szCs w:val="24"/>
              </w:rPr>
            </w:pPr>
          </w:p>
        </w:tc>
        <w:tc>
          <w:tcPr>
            <w:tcW w:w="80" w:type="dxa"/>
            <w:tcBorders>
              <w:left w:val="single" w:sz="8" w:space="0" w:color="8064A2"/>
              <w:bottom w:val="single" w:sz="8" w:space="0" w:color="5C4776"/>
            </w:tcBorders>
            <w:shd w:val="clear" w:color="auto" w:fill="5C4776"/>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8C3836"/>
            </w:tcBorders>
            <w:vAlign w:val="bottom"/>
          </w:tcPr>
          <w:p w:rsidR="00AC12B4" w:rsidRDefault="00AC12B4">
            <w:pPr>
              <w:rPr>
                <w:sz w:val="24"/>
                <w:szCs w:val="24"/>
              </w:rPr>
            </w:pPr>
          </w:p>
        </w:tc>
        <w:tc>
          <w:tcPr>
            <w:tcW w:w="80" w:type="dxa"/>
            <w:tcBorders>
              <w:left w:val="single" w:sz="8" w:space="0" w:color="C0504D"/>
              <w:bottom w:val="single" w:sz="8" w:space="0" w:color="8C3836"/>
            </w:tcBorders>
            <w:shd w:val="clear" w:color="auto" w:fill="8C3836"/>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B66D31"/>
            </w:tcBorders>
            <w:vAlign w:val="bottom"/>
          </w:tcPr>
          <w:p w:rsidR="00AC12B4" w:rsidRDefault="00AC12B4">
            <w:pPr>
              <w:rPr>
                <w:sz w:val="24"/>
                <w:szCs w:val="24"/>
              </w:rPr>
            </w:pPr>
          </w:p>
        </w:tc>
        <w:tc>
          <w:tcPr>
            <w:tcW w:w="100" w:type="dxa"/>
            <w:tcBorders>
              <w:left w:val="single" w:sz="8" w:space="0" w:color="F79646"/>
              <w:bottom w:val="single" w:sz="8" w:space="0" w:color="B66D31"/>
            </w:tcBorders>
            <w:shd w:val="clear" w:color="auto" w:fill="B66D31"/>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71893F"/>
            </w:tcBorders>
            <w:vAlign w:val="bottom"/>
          </w:tcPr>
          <w:p w:rsidR="00AC12B4" w:rsidRDefault="00AC12B4">
            <w:pPr>
              <w:rPr>
                <w:sz w:val="24"/>
                <w:szCs w:val="24"/>
              </w:rPr>
            </w:pPr>
          </w:p>
        </w:tc>
        <w:tc>
          <w:tcPr>
            <w:tcW w:w="80" w:type="dxa"/>
            <w:tcBorders>
              <w:left w:val="single" w:sz="8" w:space="0" w:color="9BBB59"/>
              <w:bottom w:val="single" w:sz="8" w:space="0" w:color="71893F"/>
            </w:tcBorders>
            <w:shd w:val="clear" w:color="auto" w:fill="71893F"/>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2"/>
        </w:trPr>
        <w:tc>
          <w:tcPr>
            <w:tcW w:w="20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tcBorders>
              <w:right w:val="single" w:sz="8" w:space="0" w:color="5C4776"/>
            </w:tcBorders>
            <w:vAlign w:val="bottom"/>
          </w:tcPr>
          <w:p w:rsidR="00AC12B4" w:rsidRDefault="00AC12B4">
            <w:pPr>
              <w:rPr>
                <w:sz w:val="8"/>
                <w:szCs w:val="8"/>
              </w:rPr>
            </w:pPr>
          </w:p>
        </w:tc>
        <w:tc>
          <w:tcPr>
            <w:tcW w:w="80" w:type="dxa"/>
            <w:tcBorders>
              <w:left w:val="single" w:sz="8" w:space="0" w:color="8064A2"/>
            </w:tcBorders>
            <w:shd w:val="clear" w:color="auto" w:fill="5C4776"/>
            <w:vAlign w:val="bottom"/>
          </w:tcPr>
          <w:p w:rsidR="00AC12B4" w:rsidRDefault="00AC12B4">
            <w:pPr>
              <w:rPr>
                <w:sz w:val="8"/>
                <w:szCs w:val="8"/>
              </w:rPr>
            </w:pPr>
          </w:p>
        </w:tc>
        <w:tc>
          <w:tcPr>
            <w:tcW w:w="8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tcBorders>
              <w:right w:val="single" w:sz="8" w:space="0" w:color="8C3836"/>
            </w:tcBorders>
            <w:vAlign w:val="bottom"/>
          </w:tcPr>
          <w:p w:rsidR="00AC12B4" w:rsidRDefault="00AC12B4">
            <w:pPr>
              <w:rPr>
                <w:sz w:val="8"/>
                <w:szCs w:val="8"/>
              </w:rPr>
            </w:pPr>
          </w:p>
        </w:tc>
        <w:tc>
          <w:tcPr>
            <w:tcW w:w="80" w:type="dxa"/>
            <w:tcBorders>
              <w:left w:val="single" w:sz="8" w:space="0" w:color="C0504D"/>
            </w:tcBorders>
            <w:shd w:val="clear" w:color="auto" w:fill="8C3836"/>
            <w:vAlign w:val="bottom"/>
          </w:tcPr>
          <w:p w:rsidR="00AC12B4" w:rsidRDefault="00AC12B4">
            <w:pPr>
              <w:rPr>
                <w:sz w:val="8"/>
                <w:szCs w:val="8"/>
              </w:rPr>
            </w:pPr>
          </w:p>
        </w:tc>
        <w:tc>
          <w:tcPr>
            <w:tcW w:w="8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tcBorders>
              <w:right w:val="single" w:sz="8" w:space="0" w:color="B66D31"/>
            </w:tcBorders>
            <w:vAlign w:val="bottom"/>
          </w:tcPr>
          <w:p w:rsidR="00AC12B4" w:rsidRDefault="00AC12B4">
            <w:pPr>
              <w:rPr>
                <w:sz w:val="8"/>
                <w:szCs w:val="8"/>
              </w:rPr>
            </w:pPr>
          </w:p>
        </w:tc>
        <w:tc>
          <w:tcPr>
            <w:tcW w:w="100" w:type="dxa"/>
            <w:tcBorders>
              <w:left w:val="single" w:sz="8" w:space="0" w:color="F79646"/>
            </w:tcBorders>
            <w:shd w:val="clear" w:color="auto" w:fill="B66D31"/>
            <w:vAlign w:val="bottom"/>
          </w:tcPr>
          <w:p w:rsidR="00AC12B4" w:rsidRDefault="00AC12B4">
            <w:pPr>
              <w:rPr>
                <w:sz w:val="8"/>
                <w:szCs w:val="8"/>
              </w:rPr>
            </w:pPr>
          </w:p>
        </w:tc>
        <w:tc>
          <w:tcPr>
            <w:tcW w:w="6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20" w:type="dxa"/>
            <w:tcBorders>
              <w:right w:val="single" w:sz="8" w:space="0" w:color="71893F"/>
            </w:tcBorders>
            <w:vAlign w:val="bottom"/>
          </w:tcPr>
          <w:p w:rsidR="00AC12B4" w:rsidRDefault="00AC12B4">
            <w:pPr>
              <w:rPr>
                <w:sz w:val="8"/>
                <w:szCs w:val="8"/>
              </w:rPr>
            </w:pPr>
          </w:p>
        </w:tc>
        <w:tc>
          <w:tcPr>
            <w:tcW w:w="80" w:type="dxa"/>
            <w:tcBorders>
              <w:left w:val="single" w:sz="8" w:space="0" w:color="9BBB59"/>
            </w:tcBorders>
            <w:shd w:val="clear" w:color="auto" w:fill="71893F"/>
            <w:vAlign w:val="bottom"/>
          </w:tcPr>
          <w:p w:rsidR="00AC12B4" w:rsidRDefault="00AC12B4">
            <w:pPr>
              <w:rPr>
                <w:sz w:val="8"/>
                <w:szCs w:val="8"/>
              </w:rPr>
            </w:pPr>
          </w:p>
        </w:tc>
        <w:tc>
          <w:tcPr>
            <w:tcW w:w="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354"/>
        </w:trPr>
        <w:tc>
          <w:tcPr>
            <w:tcW w:w="200" w:type="dxa"/>
            <w:vAlign w:val="bottom"/>
          </w:tcPr>
          <w:p w:rsidR="00AC12B4" w:rsidRDefault="00AC12B4">
            <w:pPr>
              <w:rPr>
                <w:sz w:val="24"/>
                <w:szCs w:val="24"/>
              </w:rPr>
            </w:pPr>
          </w:p>
        </w:tc>
        <w:tc>
          <w:tcPr>
            <w:tcW w:w="380" w:type="dxa"/>
            <w:vMerge w:val="restart"/>
            <w:vAlign w:val="bottom"/>
          </w:tcPr>
          <w:p w:rsidR="00AC12B4" w:rsidRDefault="00C27636">
            <w:pPr>
              <w:ind w:right="24"/>
              <w:jc w:val="right"/>
              <w:rPr>
                <w:sz w:val="20"/>
                <w:szCs w:val="20"/>
              </w:rPr>
            </w:pPr>
            <w:r>
              <w:rPr>
                <w:rFonts w:ascii="Calibri" w:eastAsia="Calibri" w:hAnsi="Calibri" w:cs="Calibri"/>
                <w:sz w:val="20"/>
                <w:szCs w:val="20"/>
              </w:rPr>
              <w:t>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5C4776"/>
            </w:tcBorders>
            <w:vAlign w:val="bottom"/>
          </w:tcPr>
          <w:p w:rsidR="00AC12B4" w:rsidRDefault="00AC12B4">
            <w:pPr>
              <w:rPr>
                <w:sz w:val="24"/>
                <w:szCs w:val="24"/>
              </w:rPr>
            </w:pPr>
          </w:p>
        </w:tc>
        <w:tc>
          <w:tcPr>
            <w:tcW w:w="80" w:type="dxa"/>
            <w:tcBorders>
              <w:left w:val="single" w:sz="8" w:space="0" w:color="8064A2"/>
              <w:bottom w:val="single" w:sz="8" w:space="0" w:color="5C4776"/>
            </w:tcBorders>
            <w:shd w:val="clear" w:color="auto" w:fill="5C4776"/>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8C3836"/>
            </w:tcBorders>
            <w:vAlign w:val="bottom"/>
          </w:tcPr>
          <w:p w:rsidR="00AC12B4" w:rsidRDefault="00AC12B4">
            <w:pPr>
              <w:rPr>
                <w:sz w:val="24"/>
                <w:szCs w:val="24"/>
              </w:rPr>
            </w:pPr>
          </w:p>
        </w:tc>
        <w:tc>
          <w:tcPr>
            <w:tcW w:w="80" w:type="dxa"/>
            <w:tcBorders>
              <w:left w:val="single" w:sz="8" w:space="0" w:color="C0504D"/>
              <w:bottom w:val="single" w:sz="8" w:space="0" w:color="8C3836"/>
            </w:tcBorders>
            <w:shd w:val="clear" w:color="auto" w:fill="8C3836"/>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B66D31"/>
            </w:tcBorders>
            <w:vAlign w:val="bottom"/>
          </w:tcPr>
          <w:p w:rsidR="00AC12B4" w:rsidRDefault="00AC12B4">
            <w:pPr>
              <w:rPr>
                <w:sz w:val="24"/>
                <w:szCs w:val="24"/>
              </w:rPr>
            </w:pPr>
          </w:p>
        </w:tc>
        <w:tc>
          <w:tcPr>
            <w:tcW w:w="100" w:type="dxa"/>
            <w:tcBorders>
              <w:left w:val="single" w:sz="8" w:space="0" w:color="F79646"/>
              <w:bottom w:val="single" w:sz="8" w:space="0" w:color="B66D31"/>
            </w:tcBorders>
            <w:shd w:val="clear" w:color="auto" w:fill="B66D31"/>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right w:val="single" w:sz="8" w:space="0" w:color="71893F"/>
            </w:tcBorders>
            <w:vAlign w:val="bottom"/>
          </w:tcPr>
          <w:p w:rsidR="00AC12B4" w:rsidRDefault="00AC12B4">
            <w:pPr>
              <w:rPr>
                <w:sz w:val="24"/>
                <w:szCs w:val="24"/>
              </w:rPr>
            </w:pPr>
          </w:p>
        </w:tc>
        <w:tc>
          <w:tcPr>
            <w:tcW w:w="80" w:type="dxa"/>
            <w:tcBorders>
              <w:left w:val="single" w:sz="8" w:space="0" w:color="9BBB59"/>
              <w:bottom w:val="single" w:sz="8" w:space="0" w:color="71893F"/>
            </w:tcBorders>
            <w:shd w:val="clear" w:color="auto" w:fill="71893F"/>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57"/>
        </w:trPr>
        <w:tc>
          <w:tcPr>
            <w:tcW w:w="200" w:type="dxa"/>
            <w:vAlign w:val="bottom"/>
          </w:tcPr>
          <w:p w:rsidR="00AC12B4" w:rsidRDefault="00AC12B4">
            <w:pPr>
              <w:rPr>
                <w:sz w:val="4"/>
                <w:szCs w:val="4"/>
              </w:rPr>
            </w:pPr>
          </w:p>
        </w:tc>
        <w:tc>
          <w:tcPr>
            <w:tcW w:w="380" w:type="dxa"/>
            <w:vMerge/>
            <w:vAlign w:val="bottom"/>
          </w:tcPr>
          <w:p w:rsidR="00AC12B4" w:rsidRDefault="00AC12B4">
            <w:pPr>
              <w:rPr>
                <w:sz w:val="4"/>
                <w:szCs w:val="4"/>
              </w:rPr>
            </w:pPr>
          </w:p>
        </w:tc>
        <w:tc>
          <w:tcPr>
            <w:tcW w:w="80" w:type="dxa"/>
            <w:vAlign w:val="bottom"/>
          </w:tcPr>
          <w:p w:rsidR="00AC12B4" w:rsidRDefault="00AC12B4">
            <w:pPr>
              <w:rPr>
                <w:sz w:val="4"/>
                <w:szCs w:val="4"/>
              </w:rPr>
            </w:pPr>
          </w:p>
        </w:tc>
        <w:tc>
          <w:tcPr>
            <w:tcW w:w="220" w:type="dxa"/>
            <w:vMerge w:val="restart"/>
            <w:textDirection w:val="btLr"/>
            <w:vAlign w:val="bottom"/>
          </w:tcPr>
          <w:p w:rsidR="00AC12B4" w:rsidRDefault="00C27636">
            <w:pPr>
              <w:ind w:left="45"/>
              <w:rPr>
                <w:sz w:val="20"/>
                <w:szCs w:val="20"/>
              </w:rPr>
            </w:pPr>
            <w:r>
              <w:rPr>
                <w:rFonts w:ascii="Calibri" w:eastAsia="Calibri" w:hAnsi="Calibri" w:cs="Calibri"/>
                <w:w w:val="99"/>
                <w:sz w:val="14"/>
                <w:szCs w:val="14"/>
              </w:rPr>
              <w:t>MEX</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SVK</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w w:val="96"/>
                <w:sz w:val="14"/>
                <w:szCs w:val="14"/>
              </w:rPr>
              <w:t>HUN</w:t>
            </w:r>
          </w:p>
        </w:tc>
        <w:tc>
          <w:tcPr>
            <w:tcW w:w="240" w:type="dxa"/>
            <w:vMerge w:val="restart"/>
            <w:textDirection w:val="btLr"/>
            <w:vAlign w:val="bottom"/>
          </w:tcPr>
          <w:p w:rsidR="00AC12B4" w:rsidRDefault="00C27636">
            <w:pPr>
              <w:ind w:left="68"/>
              <w:rPr>
                <w:sz w:val="20"/>
                <w:szCs w:val="20"/>
              </w:rPr>
            </w:pPr>
            <w:r>
              <w:rPr>
                <w:rFonts w:ascii="Calibri" w:eastAsia="Calibri" w:hAnsi="Calibri" w:cs="Calibri"/>
                <w:w w:val="99"/>
                <w:sz w:val="14"/>
                <w:szCs w:val="14"/>
              </w:rPr>
              <w:t>CHL</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AUS</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ISR</w:t>
            </w:r>
          </w:p>
        </w:tc>
        <w:tc>
          <w:tcPr>
            <w:tcW w:w="240" w:type="dxa"/>
            <w:vMerge w:val="restart"/>
            <w:textDirection w:val="btLr"/>
            <w:vAlign w:val="bottom"/>
          </w:tcPr>
          <w:p w:rsidR="00AC12B4" w:rsidRDefault="00C27636">
            <w:pPr>
              <w:ind w:left="69"/>
              <w:rPr>
                <w:sz w:val="20"/>
                <w:szCs w:val="20"/>
              </w:rPr>
            </w:pPr>
            <w:r>
              <w:rPr>
                <w:rFonts w:ascii="Calibri" w:eastAsia="Calibri" w:hAnsi="Calibri" w:cs="Calibri"/>
                <w:sz w:val="14"/>
                <w:szCs w:val="14"/>
              </w:rPr>
              <w:t>GRC</w:t>
            </w:r>
          </w:p>
        </w:tc>
        <w:tc>
          <w:tcPr>
            <w:tcW w:w="200" w:type="dxa"/>
            <w:vMerge w:val="restart"/>
            <w:textDirection w:val="btLr"/>
            <w:vAlign w:val="bottom"/>
          </w:tcPr>
          <w:p w:rsidR="00AC12B4" w:rsidRDefault="00C27636">
            <w:pPr>
              <w:ind w:left="29"/>
              <w:rPr>
                <w:sz w:val="20"/>
                <w:szCs w:val="20"/>
              </w:rPr>
            </w:pPr>
            <w:r>
              <w:rPr>
                <w:rFonts w:ascii="Calibri" w:eastAsia="Calibri" w:hAnsi="Calibri" w:cs="Calibri"/>
                <w:sz w:val="14"/>
                <w:szCs w:val="14"/>
              </w:rPr>
              <w:t>USA</w:t>
            </w:r>
          </w:p>
        </w:tc>
        <w:tc>
          <w:tcPr>
            <w:tcW w:w="120" w:type="dxa"/>
            <w:vAlign w:val="bottom"/>
          </w:tcPr>
          <w:p w:rsidR="00AC12B4" w:rsidRDefault="00AC12B4">
            <w:pPr>
              <w:rPr>
                <w:sz w:val="4"/>
                <w:szCs w:val="4"/>
              </w:rPr>
            </w:pPr>
          </w:p>
        </w:tc>
        <w:tc>
          <w:tcPr>
            <w:tcW w:w="160" w:type="dxa"/>
            <w:gridSpan w:val="2"/>
            <w:vMerge w:val="restart"/>
            <w:textDirection w:val="btLr"/>
            <w:vAlign w:val="bottom"/>
          </w:tcPr>
          <w:p w:rsidR="00AC12B4" w:rsidRDefault="00C27636">
            <w:pPr>
              <w:rPr>
                <w:sz w:val="20"/>
                <w:szCs w:val="20"/>
              </w:rPr>
            </w:pPr>
            <w:r>
              <w:rPr>
                <w:rFonts w:ascii="Calibri" w:eastAsia="Calibri" w:hAnsi="Calibri" w:cs="Calibri"/>
                <w:sz w:val="14"/>
                <w:szCs w:val="14"/>
              </w:rPr>
              <w:t>BFR</w:t>
            </w:r>
          </w:p>
        </w:tc>
        <w:tc>
          <w:tcPr>
            <w:tcW w:w="200" w:type="dxa"/>
            <w:vMerge w:val="restart"/>
            <w:textDirection w:val="btLr"/>
            <w:vAlign w:val="bottom"/>
          </w:tcPr>
          <w:p w:rsidR="00AC12B4" w:rsidRDefault="00C27636">
            <w:pPr>
              <w:ind w:left="29"/>
              <w:rPr>
                <w:sz w:val="20"/>
                <w:szCs w:val="20"/>
              </w:rPr>
            </w:pPr>
            <w:r>
              <w:rPr>
                <w:rFonts w:ascii="Calibri" w:eastAsia="Calibri" w:hAnsi="Calibri" w:cs="Calibri"/>
                <w:w w:val="95"/>
                <w:sz w:val="14"/>
                <w:szCs w:val="14"/>
              </w:rPr>
              <w:t>CZE</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TUR</w:t>
            </w:r>
          </w:p>
        </w:tc>
        <w:tc>
          <w:tcPr>
            <w:tcW w:w="240" w:type="dxa"/>
            <w:vMerge w:val="restart"/>
            <w:textDirection w:val="btLr"/>
            <w:vAlign w:val="bottom"/>
          </w:tcPr>
          <w:p w:rsidR="00AC12B4" w:rsidRDefault="00C27636">
            <w:pPr>
              <w:ind w:left="69"/>
              <w:rPr>
                <w:sz w:val="20"/>
                <w:szCs w:val="20"/>
              </w:rPr>
            </w:pPr>
            <w:r>
              <w:rPr>
                <w:rFonts w:ascii="Calibri" w:eastAsia="Calibri" w:hAnsi="Calibri" w:cs="Calibri"/>
                <w:w w:val="99"/>
                <w:sz w:val="14"/>
                <w:szCs w:val="14"/>
              </w:rPr>
              <w:t>FRA</w:t>
            </w:r>
          </w:p>
        </w:tc>
        <w:tc>
          <w:tcPr>
            <w:tcW w:w="200" w:type="dxa"/>
            <w:vMerge w:val="restart"/>
            <w:textDirection w:val="btLr"/>
            <w:vAlign w:val="bottom"/>
          </w:tcPr>
          <w:p w:rsidR="00AC12B4" w:rsidRDefault="00C27636">
            <w:pPr>
              <w:ind w:left="29"/>
              <w:rPr>
                <w:sz w:val="20"/>
                <w:szCs w:val="20"/>
              </w:rPr>
            </w:pPr>
            <w:r>
              <w:rPr>
                <w:rFonts w:ascii="Calibri" w:eastAsia="Calibri" w:hAnsi="Calibri" w:cs="Calibri"/>
                <w:sz w:val="14"/>
                <w:szCs w:val="14"/>
              </w:rPr>
              <w:t>AUT</w:t>
            </w:r>
          </w:p>
        </w:tc>
        <w:tc>
          <w:tcPr>
            <w:tcW w:w="120" w:type="dxa"/>
            <w:vAlign w:val="bottom"/>
          </w:tcPr>
          <w:p w:rsidR="00AC12B4" w:rsidRDefault="00AC12B4">
            <w:pPr>
              <w:rPr>
                <w:sz w:val="4"/>
                <w:szCs w:val="4"/>
              </w:rPr>
            </w:pPr>
          </w:p>
        </w:tc>
        <w:tc>
          <w:tcPr>
            <w:tcW w:w="160" w:type="dxa"/>
            <w:gridSpan w:val="2"/>
            <w:vMerge w:val="restart"/>
            <w:textDirection w:val="btLr"/>
            <w:vAlign w:val="bottom"/>
          </w:tcPr>
          <w:p w:rsidR="00AC12B4" w:rsidRDefault="00C27636">
            <w:pPr>
              <w:rPr>
                <w:sz w:val="20"/>
                <w:szCs w:val="20"/>
              </w:rPr>
            </w:pPr>
            <w:r>
              <w:rPr>
                <w:rFonts w:ascii="Calibri" w:eastAsia="Calibri" w:hAnsi="Calibri" w:cs="Calibri"/>
                <w:w w:val="98"/>
                <w:sz w:val="14"/>
                <w:szCs w:val="14"/>
              </w:rPr>
              <w:t>BEL</w:t>
            </w:r>
          </w:p>
        </w:tc>
        <w:tc>
          <w:tcPr>
            <w:tcW w:w="200" w:type="dxa"/>
            <w:vMerge w:val="restart"/>
            <w:textDirection w:val="btLr"/>
            <w:vAlign w:val="bottom"/>
          </w:tcPr>
          <w:p w:rsidR="00AC12B4" w:rsidRDefault="00C27636">
            <w:pPr>
              <w:ind w:left="29"/>
              <w:rPr>
                <w:sz w:val="20"/>
                <w:szCs w:val="20"/>
              </w:rPr>
            </w:pPr>
            <w:r>
              <w:rPr>
                <w:rFonts w:ascii="Calibri" w:eastAsia="Calibri" w:hAnsi="Calibri" w:cs="Calibri"/>
                <w:sz w:val="14"/>
                <w:szCs w:val="14"/>
              </w:rPr>
              <w:t>SVN</w:t>
            </w:r>
          </w:p>
        </w:tc>
        <w:tc>
          <w:tcPr>
            <w:tcW w:w="200" w:type="dxa"/>
            <w:vMerge w:val="restart"/>
            <w:textDirection w:val="btLr"/>
            <w:vAlign w:val="bottom"/>
          </w:tcPr>
          <w:p w:rsidR="00AC12B4" w:rsidRDefault="00C27636">
            <w:pPr>
              <w:ind w:left="29"/>
              <w:rPr>
                <w:sz w:val="20"/>
                <w:szCs w:val="20"/>
              </w:rPr>
            </w:pPr>
            <w:r>
              <w:rPr>
                <w:rFonts w:ascii="Calibri" w:eastAsia="Calibri" w:hAnsi="Calibri" w:cs="Calibri"/>
                <w:w w:val="97"/>
                <w:sz w:val="14"/>
                <w:szCs w:val="14"/>
              </w:rPr>
              <w:t>ITA</w:t>
            </w:r>
          </w:p>
        </w:tc>
        <w:tc>
          <w:tcPr>
            <w:tcW w:w="120" w:type="dxa"/>
            <w:vAlign w:val="bottom"/>
          </w:tcPr>
          <w:p w:rsidR="00AC12B4" w:rsidRDefault="00AC12B4">
            <w:pPr>
              <w:rPr>
                <w:sz w:val="4"/>
                <w:szCs w:val="4"/>
              </w:rPr>
            </w:pPr>
          </w:p>
        </w:tc>
        <w:tc>
          <w:tcPr>
            <w:tcW w:w="160" w:type="dxa"/>
            <w:gridSpan w:val="2"/>
            <w:vMerge w:val="restart"/>
            <w:textDirection w:val="btLr"/>
            <w:vAlign w:val="bottom"/>
          </w:tcPr>
          <w:p w:rsidR="00AC12B4" w:rsidRDefault="00C27636">
            <w:pPr>
              <w:rPr>
                <w:sz w:val="20"/>
                <w:szCs w:val="20"/>
              </w:rPr>
            </w:pPr>
            <w:r>
              <w:rPr>
                <w:rFonts w:ascii="Calibri" w:eastAsia="Calibri" w:hAnsi="Calibri" w:cs="Calibri"/>
                <w:sz w:val="14"/>
                <w:szCs w:val="14"/>
              </w:rPr>
              <w:t>BFL</w:t>
            </w:r>
          </w:p>
        </w:tc>
        <w:tc>
          <w:tcPr>
            <w:tcW w:w="200" w:type="dxa"/>
            <w:vMerge w:val="restart"/>
            <w:textDirection w:val="btLr"/>
            <w:vAlign w:val="bottom"/>
          </w:tcPr>
          <w:p w:rsidR="00AC12B4" w:rsidRDefault="00C27636">
            <w:pPr>
              <w:ind w:left="29"/>
              <w:rPr>
                <w:sz w:val="20"/>
                <w:szCs w:val="20"/>
              </w:rPr>
            </w:pPr>
            <w:r>
              <w:rPr>
                <w:rFonts w:ascii="Calibri" w:eastAsia="Calibri" w:hAnsi="Calibri" w:cs="Calibri"/>
                <w:sz w:val="14"/>
                <w:szCs w:val="14"/>
              </w:rPr>
              <w:t>PRT</w:t>
            </w:r>
          </w:p>
        </w:tc>
        <w:tc>
          <w:tcPr>
            <w:tcW w:w="240" w:type="dxa"/>
            <w:vMerge w:val="restart"/>
            <w:textDirection w:val="btLr"/>
            <w:vAlign w:val="bottom"/>
          </w:tcPr>
          <w:p w:rsidR="00AC12B4" w:rsidRDefault="00C27636">
            <w:pPr>
              <w:ind w:left="67"/>
              <w:rPr>
                <w:sz w:val="20"/>
                <w:szCs w:val="20"/>
              </w:rPr>
            </w:pPr>
            <w:r>
              <w:rPr>
                <w:rFonts w:ascii="Calibri" w:eastAsia="Calibri" w:hAnsi="Calibri" w:cs="Calibri"/>
                <w:w w:val="99"/>
                <w:sz w:val="14"/>
                <w:szCs w:val="14"/>
              </w:rPr>
              <w:t>EST</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NZL</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DNK</w:t>
            </w:r>
          </w:p>
        </w:tc>
        <w:tc>
          <w:tcPr>
            <w:tcW w:w="240" w:type="dxa"/>
            <w:vMerge w:val="restart"/>
            <w:textDirection w:val="btLr"/>
            <w:vAlign w:val="bottom"/>
          </w:tcPr>
          <w:p w:rsidR="00AC12B4" w:rsidRDefault="00C27636">
            <w:pPr>
              <w:ind w:left="69"/>
              <w:rPr>
                <w:sz w:val="20"/>
                <w:szCs w:val="20"/>
              </w:rPr>
            </w:pPr>
            <w:r>
              <w:rPr>
                <w:rFonts w:ascii="Calibri" w:eastAsia="Calibri" w:hAnsi="Calibri" w:cs="Calibri"/>
                <w:w w:val="96"/>
                <w:sz w:val="14"/>
                <w:szCs w:val="14"/>
              </w:rPr>
              <w:t>JPN</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w w:val="97"/>
                <w:sz w:val="14"/>
                <w:szCs w:val="14"/>
              </w:rPr>
              <w:t>ESP</w:t>
            </w:r>
          </w:p>
        </w:tc>
        <w:tc>
          <w:tcPr>
            <w:tcW w:w="240" w:type="dxa"/>
            <w:vMerge w:val="restart"/>
            <w:textDirection w:val="btLr"/>
            <w:vAlign w:val="bottom"/>
          </w:tcPr>
          <w:p w:rsidR="00AC12B4" w:rsidRDefault="00C27636">
            <w:pPr>
              <w:ind w:left="66"/>
              <w:rPr>
                <w:sz w:val="20"/>
                <w:szCs w:val="20"/>
              </w:rPr>
            </w:pPr>
            <w:r>
              <w:rPr>
                <w:rFonts w:ascii="Calibri" w:eastAsia="Calibri" w:hAnsi="Calibri" w:cs="Calibri"/>
                <w:w w:val="99"/>
                <w:sz w:val="14"/>
                <w:szCs w:val="14"/>
              </w:rPr>
              <w:t>KOR</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w w:val="97"/>
                <w:sz w:val="14"/>
                <w:szCs w:val="14"/>
              </w:rPr>
              <w:t>CAN</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NLD</w:t>
            </w:r>
          </w:p>
        </w:tc>
        <w:tc>
          <w:tcPr>
            <w:tcW w:w="240" w:type="dxa"/>
            <w:vMerge w:val="restart"/>
            <w:textDirection w:val="btLr"/>
            <w:vAlign w:val="bottom"/>
          </w:tcPr>
          <w:p w:rsidR="00AC12B4" w:rsidRDefault="00C27636">
            <w:pPr>
              <w:ind w:left="69"/>
              <w:rPr>
                <w:sz w:val="20"/>
                <w:szCs w:val="20"/>
              </w:rPr>
            </w:pPr>
            <w:r>
              <w:rPr>
                <w:rFonts w:ascii="Calibri" w:eastAsia="Calibri" w:hAnsi="Calibri" w:cs="Calibri"/>
                <w:w w:val="99"/>
                <w:sz w:val="14"/>
                <w:szCs w:val="14"/>
              </w:rPr>
              <w:t>GBR</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IRL</w:t>
            </w:r>
          </w:p>
        </w:tc>
        <w:tc>
          <w:tcPr>
            <w:tcW w:w="240" w:type="dxa"/>
            <w:vMerge w:val="restart"/>
            <w:textDirection w:val="btLr"/>
            <w:vAlign w:val="bottom"/>
          </w:tcPr>
          <w:p w:rsidR="00AC12B4" w:rsidRDefault="00C27636">
            <w:pPr>
              <w:ind w:left="66"/>
              <w:rPr>
                <w:sz w:val="20"/>
                <w:szCs w:val="20"/>
              </w:rPr>
            </w:pPr>
            <w:r>
              <w:rPr>
                <w:rFonts w:ascii="Calibri" w:eastAsia="Calibri" w:hAnsi="Calibri" w:cs="Calibri"/>
                <w:w w:val="98"/>
                <w:sz w:val="14"/>
                <w:szCs w:val="14"/>
              </w:rPr>
              <w:t>POL</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CHE</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w w:val="98"/>
                <w:sz w:val="14"/>
                <w:szCs w:val="14"/>
              </w:rPr>
              <w:t>DEU</w:t>
            </w:r>
          </w:p>
        </w:tc>
        <w:tc>
          <w:tcPr>
            <w:tcW w:w="240" w:type="dxa"/>
            <w:vMerge w:val="restart"/>
            <w:textDirection w:val="btLr"/>
            <w:vAlign w:val="bottom"/>
          </w:tcPr>
          <w:p w:rsidR="00AC12B4" w:rsidRDefault="00C27636">
            <w:pPr>
              <w:ind w:left="69"/>
              <w:rPr>
                <w:sz w:val="20"/>
                <w:szCs w:val="20"/>
              </w:rPr>
            </w:pPr>
            <w:r>
              <w:rPr>
                <w:rFonts w:ascii="Calibri" w:eastAsia="Calibri" w:hAnsi="Calibri" w:cs="Calibri"/>
                <w:sz w:val="14"/>
                <w:szCs w:val="14"/>
              </w:rPr>
              <w:t>SWE</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sz w:val="14"/>
                <w:szCs w:val="14"/>
              </w:rPr>
              <w:t>ISL</w:t>
            </w:r>
          </w:p>
        </w:tc>
        <w:tc>
          <w:tcPr>
            <w:tcW w:w="240" w:type="dxa"/>
            <w:vMerge w:val="restart"/>
            <w:textDirection w:val="btLr"/>
            <w:vAlign w:val="bottom"/>
          </w:tcPr>
          <w:p w:rsidR="00AC12B4" w:rsidRDefault="00C27636">
            <w:pPr>
              <w:ind w:left="65"/>
              <w:rPr>
                <w:sz w:val="20"/>
                <w:szCs w:val="20"/>
              </w:rPr>
            </w:pPr>
            <w:r>
              <w:rPr>
                <w:rFonts w:ascii="Calibri" w:eastAsia="Calibri" w:hAnsi="Calibri" w:cs="Calibri"/>
                <w:sz w:val="14"/>
                <w:szCs w:val="14"/>
              </w:rPr>
              <w:t>NOR</w:t>
            </w:r>
          </w:p>
        </w:tc>
        <w:tc>
          <w:tcPr>
            <w:tcW w:w="220" w:type="dxa"/>
            <w:vMerge w:val="restart"/>
            <w:textDirection w:val="btLr"/>
            <w:vAlign w:val="bottom"/>
          </w:tcPr>
          <w:p w:rsidR="00AC12B4" w:rsidRDefault="00C27636">
            <w:pPr>
              <w:ind w:left="49"/>
              <w:rPr>
                <w:sz w:val="20"/>
                <w:szCs w:val="20"/>
              </w:rPr>
            </w:pPr>
            <w:r>
              <w:rPr>
                <w:rFonts w:ascii="Calibri" w:eastAsia="Calibri" w:hAnsi="Calibri" w:cs="Calibri"/>
                <w:w w:val="99"/>
                <w:sz w:val="14"/>
                <w:szCs w:val="14"/>
              </w:rPr>
              <w:t>LUX</w:t>
            </w:r>
          </w:p>
        </w:tc>
        <w:tc>
          <w:tcPr>
            <w:tcW w:w="200" w:type="dxa"/>
            <w:vMerge w:val="restart"/>
            <w:textDirection w:val="btLr"/>
            <w:vAlign w:val="bottom"/>
          </w:tcPr>
          <w:p w:rsidR="00AC12B4" w:rsidRDefault="00C27636">
            <w:pPr>
              <w:ind w:left="29"/>
              <w:rPr>
                <w:sz w:val="20"/>
                <w:szCs w:val="20"/>
              </w:rPr>
            </w:pPr>
            <w:r>
              <w:rPr>
                <w:rFonts w:ascii="Calibri" w:eastAsia="Calibri" w:hAnsi="Calibri" w:cs="Calibri"/>
                <w:sz w:val="14"/>
                <w:szCs w:val="14"/>
              </w:rPr>
              <w:t>FIN</w:t>
            </w:r>
          </w:p>
        </w:tc>
        <w:tc>
          <w:tcPr>
            <w:tcW w:w="120" w:type="dxa"/>
            <w:vAlign w:val="bottom"/>
          </w:tcPr>
          <w:p w:rsidR="00AC12B4" w:rsidRDefault="00AC12B4">
            <w:pPr>
              <w:rPr>
                <w:sz w:val="4"/>
                <w:szCs w:val="4"/>
              </w:rPr>
            </w:pPr>
          </w:p>
        </w:tc>
        <w:tc>
          <w:tcPr>
            <w:tcW w:w="140" w:type="dxa"/>
            <w:gridSpan w:val="2"/>
            <w:vMerge w:val="restart"/>
            <w:textDirection w:val="btLr"/>
            <w:vAlign w:val="bottom"/>
          </w:tcPr>
          <w:p w:rsidR="00AC12B4" w:rsidRDefault="00C27636">
            <w:pPr>
              <w:rPr>
                <w:sz w:val="20"/>
                <w:szCs w:val="20"/>
              </w:rPr>
            </w:pPr>
            <w:r>
              <w:rPr>
                <w:rFonts w:ascii="Calibri" w:eastAsia="Calibri" w:hAnsi="Calibri" w:cs="Calibri"/>
                <w:sz w:val="14"/>
                <w:szCs w:val="14"/>
              </w:rPr>
              <w:t>BGE</w:t>
            </w:r>
          </w:p>
        </w:tc>
        <w:tc>
          <w:tcPr>
            <w:tcW w:w="0" w:type="dxa"/>
            <w:vAlign w:val="bottom"/>
          </w:tcPr>
          <w:p w:rsidR="00AC12B4" w:rsidRDefault="00AC12B4">
            <w:pPr>
              <w:rPr>
                <w:sz w:val="1"/>
                <w:szCs w:val="1"/>
              </w:rPr>
            </w:pPr>
          </w:p>
        </w:tc>
      </w:tr>
      <w:tr w:rsidR="00AC12B4">
        <w:trPr>
          <w:trHeight w:val="252"/>
        </w:trPr>
        <w:tc>
          <w:tcPr>
            <w:tcW w:w="200" w:type="dxa"/>
            <w:vAlign w:val="bottom"/>
          </w:tcPr>
          <w:p w:rsidR="00AC12B4" w:rsidRDefault="00AC12B4">
            <w:pPr>
              <w:rPr>
                <w:sz w:val="21"/>
                <w:szCs w:val="21"/>
              </w:rPr>
            </w:pPr>
          </w:p>
        </w:tc>
        <w:tc>
          <w:tcPr>
            <w:tcW w:w="38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00" w:type="dxa"/>
            <w:vMerge/>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160" w:type="dxa"/>
            <w:gridSpan w:val="2"/>
            <w:vMerge/>
            <w:vAlign w:val="bottom"/>
          </w:tcPr>
          <w:p w:rsidR="00AC12B4" w:rsidRDefault="00AC12B4">
            <w:pPr>
              <w:rPr>
                <w:sz w:val="21"/>
                <w:szCs w:val="21"/>
              </w:rPr>
            </w:pPr>
          </w:p>
        </w:tc>
        <w:tc>
          <w:tcPr>
            <w:tcW w:w="20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00" w:type="dxa"/>
            <w:vMerge/>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160" w:type="dxa"/>
            <w:gridSpan w:val="2"/>
            <w:vMerge/>
            <w:vAlign w:val="bottom"/>
          </w:tcPr>
          <w:p w:rsidR="00AC12B4" w:rsidRDefault="00AC12B4">
            <w:pPr>
              <w:rPr>
                <w:sz w:val="21"/>
                <w:szCs w:val="21"/>
              </w:rPr>
            </w:pPr>
          </w:p>
        </w:tc>
        <w:tc>
          <w:tcPr>
            <w:tcW w:w="200" w:type="dxa"/>
            <w:vMerge/>
            <w:vAlign w:val="bottom"/>
          </w:tcPr>
          <w:p w:rsidR="00AC12B4" w:rsidRDefault="00AC12B4">
            <w:pPr>
              <w:rPr>
                <w:sz w:val="21"/>
                <w:szCs w:val="21"/>
              </w:rPr>
            </w:pPr>
          </w:p>
        </w:tc>
        <w:tc>
          <w:tcPr>
            <w:tcW w:w="200" w:type="dxa"/>
            <w:vMerge/>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160" w:type="dxa"/>
            <w:gridSpan w:val="2"/>
            <w:vMerge/>
            <w:vAlign w:val="bottom"/>
          </w:tcPr>
          <w:p w:rsidR="00AC12B4" w:rsidRDefault="00AC12B4">
            <w:pPr>
              <w:rPr>
                <w:sz w:val="21"/>
                <w:szCs w:val="21"/>
              </w:rPr>
            </w:pPr>
          </w:p>
        </w:tc>
        <w:tc>
          <w:tcPr>
            <w:tcW w:w="20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40" w:type="dxa"/>
            <w:vMerge/>
            <w:vAlign w:val="bottom"/>
          </w:tcPr>
          <w:p w:rsidR="00AC12B4" w:rsidRDefault="00AC12B4">
            <w:pPr>
              <w:rPr>
                <w:sz w:val="21"/>
                <w:szCs w:val="21"/>
              </w:rPr>
            </w:pPr>
          </w:p>
        </w:tc>
        <w:tc>
          <w:tcPr>
            <w:tcW w:w="220" w:type="dxa"/>
            <w:vMerge/>
            <w:vAlign w:val="bottom"/>
          </w:tcPr>
          <w:p w:rsidR="00AC12B4" w:rsidRDefault="00AC12B4">
            <w:pPr>
              <w:rPr>
                <w:sz w:val="21"/>
                <w:szCs w:val="21"/>
              </w:rPr>
            </w:pPr>
          </w:p>
        </w:tc>
        <w:tc>
          <w:tcPr>
            <w:tcW w:w="200" w:type="dxa"/>
            <w:vMerge/>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140" w:type="dxa"/>
            <w:gridSpan w:val="2"/>
            <w:vMerge/>
            <w:vAlign w:val="bottom"/>
          </w:tcPr>
          <w:p w:rsidR="00AC12B4" w:rsidRDefault="00AC12B4">
            <w:pPr>
              <w:rPr>
                <w:sz w:val="21"/>
                <w:szCs w:val="21"/>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660800" behindDoc="1" locked="0" layoutInCell="0" allowOverlap="1">
            <wp:simplePos x="0" y="0"/>
            <wp:positionH relativeFrom="column">
              <wp:posOffset>626110</wp:posOffset>
            </wp:positionH>
            <wp:positionV relativeFrom="paragraph">
              <wp:posOffset>-1720850</wp:posOffset>
            </wp:positionV>
            <wp:extent cx="5332730" cy="1524000"/>
            <wp:effectExtent l="0" t="0" r="0"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08">
                      <a:extLst/>
                    </a:blip>
                    <a:srcRect/>
                    <a:stretch>
                      <a:fillRect/>
                    </a:stretch>
                  </pic:blipFill>
                  <pic:spPr bwMode="auto">
                    <a:xfrm>
                      <a:off x="0" y="0"/>
                      <a:ext cx="5332730" cy="1524000"/>
                    </a:xfrm>
                    <a:prstGeom prst="rect">
                      <a:avLst/>
                    </a:prstGeom>
                    <a:noFill/>
                  </pic:spPr>
                </pic:pic>
              </a:graphicData>
            </a:graphic>
          </wp:anchor>
        </w:drawing>
      </w:r>
    </w:p>
    <w:p w:rsidR="00AC12B4" w:rsidRDefault="00AC12B4">
      <w:pPr>
        <w:spacing w:line="193" w:lineRule="exact"/>
        <w:rPr>
          <w:sz w:val="20"/>
          <w:szCs w:val="20"/>
        </w:rPr>
      </w:pPr>
    </w:p>
    <w:p w:rsidR="00AC12B4" w:rsidRDefault="00C27636">
      <w:pPr>
        <w:rPr>
          <w:sz w:val="20"/>
          <w:szCs w:val="20"/>
        </w:rPr>
      </w:pPr>
      <w:r>
        <w:rPr>
          <w:rFonts w:ascii="Calibri" w:eastAsia="Calibri" w:hAnsi="Calibri" w:cs="Calibri"/>
          <w:b/>
          <w:bCs/>
          <w:color w:val="4F81BD"/>
          <w:sz w:val="18"/>
          <w:szCs w:val="18"/>
        </w:rPr>
        <w:t>Figure 1. PISA 2012</w:t>
      </w:r>
    </w:p>
    <w:p w:rsidR="00AC12B4" w:rsidRDefault="00AC12B4">
      <w:pPr>
        <w:spacing w:line="335" w:lineRule="exact"/>
        <w:rPr>
          <w:sz w:val="20"/>
          <w:szCs w:val="20"/>
        </w:rPr>
      </w:pPr>
    </w:p>
    <w:tbl>
      <w:tblPr>
        <w:tblW w:w="0" w:type="auto"/>
        <w:tblInd w:w="70" w:type="dxa"/>
        <w:tblLayout w:type="fixed"/>
        <w:tblCellMar>
          <w:left w:w="0" w:type="dxa"/>
          <w:right w:w="0" w:type="dxa"/>
        </w:tblCellMar>
        <w:tblLook w:val="04A0" w:firstRow="1" w:lastRow="0" w:firstColumn="1" w:lastColumn="0" w:noHBand="0" w:noVBand="1"/>
      </w:tblPr>
      <w:tblGrid>
        <w:gridCol w:w="500"/>
        <w:gridCol w:w="480"/>
        <w:gridCol w:w="80"/>
        <w:gridCol w:w="5740"/>
        <w:gridCol w:w="1080"/>
        <w:gridCol w:w="640"/>
        <w:gridCol w:w="220"/>
        <w:gridCol w:w="260"/>
        <w:gridCol w:w="20"/>
        <w:gridCol w:w="220"/>
        <w:gridCol w:w="30"/>
      </w:tblGrid>
      <w:tr w:rsidR="00AC12B4" w:rsidRPr="00C27636">
        <w:trPr>
          <w:trHeight w:val="592"/>
        </w:trPr>
        <w:tc>
          <w:tcPr>
            <w:tcW w:w="500" w:type="dxa"/>
            <w:tcBorders>
              <w:top w:val="single" w:sz="8" w:space="0" w:color="44ACE0"/>
              <w:left w:val="single" w:sz="8" w:space="0" w:color="44ACE0"/>
            </w:tcBorders>
            <w:vAlign w:val="bottom"/>
          </w:tcPr>
          <w:p w:rsidR="00AC12B4" w:rsidRDefault="00AC12B4">
            <w:pPr>
              <w:rPr>
                <w:sz w:val="24"/>
                <w:szCs w:val="24"/>
              </w:rPr>
            </w:pPr>
          </w:p>
        </w:tc>
        <w:tc>
          <w:tcPr>
            <w:tcW w:w="480" w:type="dxa"/>
            <w:tcBorders>
              <w:top w:val="single" w:sz="8" w:space="0" w:color="44ACE0"/>
            </w:tcBorders>
            <w:vAlign w:val="bottom"/>
          </w:tcPr>
          <w:p w:rsidR="00AC12B4" w:rsidRDefault="00AC12B4">
            <w:pPr>
              <w:rPr>
                <w:sz w:val="24"/>
                <w:szCs w:val="24"/>
              </w:rPr>
            </w:pPr>
          </w:p>
        </w:tc>
        <w:tc>
          <w:tcPr>
            <w:tcW w:w="80" w:type="dxa"/>
            <w:tcBorders>
              <w:top w:val="single" w:sz="8" w:space="0" w:color="44ACE0"/>
            </w:tcBorders>
            <w:vAlign w:val="bottom"/>
          </w:tcPr>
          <w:p w:rsidR="00AC12B4" w:rsidRDefault="00AC12B4">
            <w:pPr>
              <w:rPr>
                <w:sz w:val="24"/>
                <w:szCs w:val="24"/>
              </w:rPr>
            </w:pPr>
          </w:p>
        </w:tc>
        <w:tc>
          <w:tcPr>
            <w:tcW w:w="7940" w:type="dxa"/>
            <w:gridSpan w:val="5"/>
            <w:tcBorders>
              <w:top w:val="single" w:sz="8" w:space="0" w:color="44ACE0"/>
            </w:tcBorders>
            <w:vAlign w:val="bottom"/>
          </w:tcPr>
          <w:p w:rsidR="00AC12B4" w:rsidRPr="00C27636" w:rsidRDefault="00C27636">
            <w:pPr>
              <w:ind w:right="940"/>
              <w:jc w:val="right"/>
              <w:rPr>
                <w:sz w:val="20"/>
                <w:szCs w:val="20"/>
                <w:lang w:val="fr-BE"/>
              </w:rPr>
            </w:pPr>
            <w:r w:rsidRPr="00C27636">
              <w:rPr>
                <w:rFonts w:ascii="Calibri" w:eastAsia="Calibri" w:hAnsi="Calibri" w:cs="Calibri"/>
                <w:b/>
                <w:bCs/>
                <w:sz w:val="36"/>
                <w:szCs w:val="36"/>
                <w:lang w:val="fr-BE"/>
              </w:rPr>
              <w:t>Ségrégation selon la langue parlée à la maison</w:t>
            </w:r>
          </w:p>
        </w:tc>
        <w:tc>
          <w:tcPr>
            <w:tcW w:w="20" w:type="dxa"/>
            <w:tcBorders>
              <w:top w:val="single" w:sz="8" w:space="0" w:color="44ACE0"/>
            </w:tcBorders>
            <w:vAlign w:val="bottom"/>
          </w:tcPr>
          <w:p w:rsidR="00AC12B4" w:rsidRPr="00C27636" w:rsidRDefault="00AC12B4">
            <w:pPr>
              <w:rPr>
                <w:sz w:val="24"/>
                <w:szCs w:val="24"/>
                <w:lang w:val="fr-BE"/>
              </w:rPr>
            </w:pPr>
          </w:p>
        </w:tc>
        <w:tc>
          <w:tcPr>
            <w:tcW w:w="220" w:type="dxa"/>
            <w:tcBorders>
              <w:top w:val="single" w:sz="8" w:space="0" w:color="44ACE0"/>
              <w:right w:val="single" w:sz="8" w:space="0" w:color="44ACE0"/>
            </w:tcBorders>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51"/>
        </w:trPr>
        <w:tc>
          <w:tcPr>
            <w:tcW w:w="500" w:type="dxa"/>
            <w:tcBorders>
              <w:left w:val="single" w:sz="8" w:space="0" w:color="44ACE0"/>
            </w:tcBorders>
            <w:vAlign w:val="bottom"/>
          </w:tcPr>
          <w:p w:rsidR="00AC12B4" w:rsidRPr="00C27636" w:rsidRDefault="00AC12B4">
            <w:pPr>
              <w:rPr>
                <w:sz w:val="21"/>
                <w:szCs w:val="21"/>
                <w:lang w:val="fr-BE"/>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100</w:t>
            </w:r>
          </w:p>
        </w:tc>
        <w:tc>
          <w:tcPr>
            <w:tcW w:w="80" w:type="dxa"/>
            <w:tcBorders>
              <w:bottom w:val="single" w:sz="8" w:space="0" w:color="868686"/>
            </w:tcBorders>
            <w:vAlign w:val="bottom"/>
          </w:tcPr>
          <w:p w:rsidR="00AC12B4" w:rsidRDefault="00AC12B4">
            <w:pPr>
              <w:rPr>
                <w:sz w:val="21"/>
                <w:szCs w:val="21"/>
              </w:rPr>
            </w:pPr>
          </w:p>
        </w:tc>
        <w:tc>
          <w:tcPr>
            <w:tcW w:w="5740" w:type="dxa"/>
            <w:tcBorders>
              <w:bottom w:val="single" w:sz="8" w:space="0" w:color="868686"/>
            </w:tcBorders>
            <w:vAlign w:val="bottom"/>
          </w:tcPr>
          <w:p w:rsidR="00AC12B4" w:rsidRDefault="00AC12B4">
            <w:pPr>
              <w:rPr>
                <w:sz w:val="21"/>
                <w:szCs w:val="21"/>
              </w:rPr>
            </w:pPr>
          </w:p>
        </w:tc>
        <w:tc>
          <w:tcPr>
            <w:tcW w:w="1080" w:type="dxa"/>
            <w:tcBorders>
              <w:bottom w:val="single" w:sz="8" w:space="0" w:color="868686"/>
            </w:tcBorders>
            <w:vAlign w:val="bottom"/>
          </w:tcPr>
          <w:p w:rsidR="00AC12B4" w:rsidRDefault="00AC12B4">
            <w:pPr>
              <w:rPr>
                <w:sz w:val="21"/>
                <w:szCs w:val="21"/>
              </w:rPr>
            </w:pPr>
          </w:p>
        </w:tc>
        <w:tc>
          <w:tcPr>
            <w:tcW w:w="640" w:type="dxa"/>
            <w:tcBorders>
              <w:bottom w:val="single" w:sz="8" w:space="0" w:color="868686"/>
            </w:tcBorders>
            <w:vAlign w:val="bottom"/>
          </w:tcPr>
          <w:p w:rsidR="00AC12B4" w:rsidRDefault="00AC12B4">
            <w:pPr>
              <w:rPr>
                <w:sz w:val="21"/>
                <w:szCs w:val="21"/>
              </w:rPr>
            </w:pPr>
          </w:p>
        </w:tc>
        <w:tc>
          <w:tcPr>
            <w:tcW w:w="220" w:type="dxa"/>
            <w:tcBorders>
              <w:bottom w:val="single" w:sz="8" w:space="0" w:color="868686"/>
            </w:tcBorders>
            <w:vAlign w:val="bottom"/>
          </w:tcPr>
          <w:p w:rsidR="00AC12B4" w:rsidRDefault="00AC12B4">
            <w:pPr>
              <w:rPr>
                <w:sz w:val="21"/>
                <w:szCs w:val="21"/>
              </w:rPr>
            </w:pPr>
          </w:p>
        </w:tc>
        <w:tc>
          <w:tcPr>
            <w:tcW w:w="260" w:type="dxa"/>
            <w:tcBorders>
              <w:bottom w:val="single" w:sz="8" w:space="0" w:color="868686"/>
            </w:tcBorders>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20" w:type="dxa"/>
            <w:tcBorders>
              <w:right w:val="single" w:sz="8" w:space="0" w:color="44ACE0"/>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92"/>
        </w:trPr>
        <w:tc>
          <w:tcPr>
            <w:tcW w:w="500" w:type="dxa"/>
            <w:tcBorders>
              <w:left w:val="single" w:sz="8" w:space="0" w:color="44ACE0"/>
            </w:tcBorders>
            <w:vAlign w:val="bottom"/>
          </w:tcPr>
          <w:p w:rsidR="00AC12B4" w:rsidRDefault="00AC12B4">
            <w:pPr>
              <w:rPr>
                <w:sz w:val="7"/>
                <w:szCs w:val="7"/>
              </w:rPr>
            </w:pPr>
          </w:p>
        </w:tc>
        <w:tc>
          <w:tcPr>
            <w:tcW w:w="48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5740" w:type="dxa"/>
            <w:vAlign w:val="bottom"/>
          </w:tcPr>
          <w:p w:rsidR="00AC12B4" w:rsidRDefault="00AC12B4">
            <w:pPr>
              <w:rPr>
                <w:sz w:val="7"/>
                <w:szCs w:val="7"/>
              </w:rPr>
            </w:pPr>
          </w:p>
        </w:tc>
        <w:tc>
          <w:tcPr>
            <w:tcW w:w="1080" w:type="dxa"/>
            <w:vAlign w:val="bottom"/>
          </w:tcPr>
          <w:p w:rsidR="00AC12B4" w:rsidRDefault="00AC12B4">
            <w:pPr>
              <w:rPr>
                <w:sz w:val="7"/>
                <w:szCs w:val="7"/>
              </w:rPr>
            </w:pPr>
          </w:p>
        </w:tc>
        <w:tc>
          <w:tcPr>
            <w:tcW w:w="640" w:type="dxa"/>
            <w:vAlign w:val="bottom"/>
          </w:tcPr>
          <w:p w:rsidR="00AC12B4" w:rsidRDefault="00AC12B4">
            <w:pPr>
              <w:rPr>
                <w:sz w:val="7"/>
                <w:szCs w:val="7"/>
              </w:rPr>
            </w:pPr>
          </w:p>
        </w:tc>
        <w:tc>
          <w:tcPr>
            <w:tcW w:w="22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20" w:type="dxa"/>
            <w:tcBorders>
              <w:right w:val="single" w:sz="8" w:space="0" w:color="44ACE0"/>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404"/>
        </w:trPr>
        <w:tc>
          <w:tcPr>
            <w:tcW w:w="500" w:type="dxa"/>
            <w:tcBorders>
              <w:left w:val="single" w:sz="8" w:space="0" w:color="44ACE0"/>
            </w:tcBorders>
            <w:vAlign w:val="bottom"/>
          </w:tcPr>
          <w:p w:rsidR="00AC12B4" w:rsidRDefault="00AC12B4">
            <w:pPr>
              <w:rPr>
                <w:sz w:val="24"/>
                <w:szCs w:val="24"/>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80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5740" w:type="dxa"/>
            <w:tcBorders>
              <w:bottom w:val="single" w:sz="8" w:space="0" w:color="868686"/>
            </w:tcBorders>
            <w:vAlign w:val="bottom"/>
          </w:tcPr>
          <w:p w:rsidR="00AC12B4" w:rsidRDefault="00AC12B4">
            <w:pPr>
              <w:rPr>
                <w:sz w:val="24"/>
                <w:szCs w:val="24"/>
              </w:rPr>
            </w:pPr>
          </w:p>
        </w:tc>
        <w:tc>
          <w:tcPr>
            <w:tcW w:w="1080" w:type="dxa"/>
            <w:tcBorders>
              <w:bottom w:val="single" w:sz="8" w:space="0" w:color="868686"/>
            </w:tcBorders>
            <w:vAlign w:val="bottom"/>
          </w:tcPr>
          <w:p w:rsidR="00AC12B4" w:rsidRDefault="00AC12B4">
            <w:pPr>
              <w:rPr>
                <w:sz w:val="24"/>
                <w:szCs w:val="24"/>
              </w:rPr>
            </w:pPr>
          </w:p>
        </w:tc>
        <w:tc>
          <w:tcPr>
            <w:tcW w:w="6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60" w:type="dxa"/>
            <w:tcBorders>
              <w:bottom w:val="single" w:sz="8" w:space="0" w:color="868686"/>
            </w:tcBorders>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20" w:type="dxa"/>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3"/>
        </w:trPr>
        <w:tc>
          <w:tcPr>
            <w:tcW w:w="500" w:type="dxa"/>
            <w:tcBorders>
              <w:left w:val="single" w:sz="8" w:space="0" w:color="44ACE0"/>
            </w:tcBorders>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5740" w:type="dxa"/>
            <w:vAlign w:val="bottom"/>
          </w:tcPr>
          <w:p w:rsidR="00AC12B4" w:rsidRDefault="00AC12B4">
            <w:pPr>
              <w:rPr>
                <w:sz w:val="8"/>
                <w:szCs w:val="8"/>
              </w:rPr>
            </w:pPr>
          </w:p>
        </w:tc>
        <w:tc>
          <w:tcPr>
            <w:tcW w:w="1080" w:type="dxa"/>
            <w:vAlign w:val="bottom"/>
          </w:tcPr>
          <w:p w:rsidR="00AC12B4" w:rsidRDefault="00AC12B4">
            <w:pPr>
              <w:rPr>
                <w:sz w:val="8"/>
                <w:szCs w:val="8"/>
              </w:rPr>
            </w:pPr>
          </w:p>
        </w:tc>
        <w:tc>
          <w:tcPr>
            <w:tcW w:w="6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405"/>
        </w:trPr>
        <w:tc>
          <w:tcPr>
            <w:tcW w:w="500" w:type="dxa"/>
            <w:tcBorders>
              <w:left w:val="single" w:sz="8" w:space="0" w:color="44ACE0"/>
            </w:tcBorders>
            <w:vAlign w:val="bottom"/>
          </w:tcPr>
          <w:p w:rsidR="00AC12B4" w:rsidRDefault="00AC12B4">
            <w:pPr>
              <w:rPr>
                <w:sz w:val="24"/>
                <w:szCs w:val="24"/>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60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5740" w:type="dxa"/>
            <w:tcBorders>
              <w:bottom w:val="single" w:sz="8" w:space="0" w:color="868686"/>
            </w:tcBorders>
            <w:vAlign w:val="bottom"/>
          </w:tcPr>
          <w:p w:rsidR="00AC12B4" w:rsidRDefault="00AC12B4">
            <w:pPr>
              <w:rPr>
                <w:sz w:val="24"/>
                <w:szCs w:val="24"/>
              </w:rPr>
            </w:pPr>
          </w:p>
        </w:tc>
        <w:tc>
          <w:tcPr>
            <w:tcW w:w="1080" w:type="dxa"/>
            <w:tcBorders>
              <w:bottom w:val="single" w:sz="8" w:space="0" w:color="868686"/>
            </w:tcBorders>
            <w:vAlign w:val="bottom"/>
          </w:tcPr>
          <w:p w:rsidR="00AC12B4" w:rsidRDefault="00AC12B4">
            <w:pPr>
              <w:rPr>
                <w:sz w:val="24"/>
                <w:szCs w:val="24"/>
              </w:rPr>
            </w:pPr>
          </w:p>
        </w:tc>
        <w:tc>
          <w:tcPr>
            <w:tcW w:w="640" w:type="dxa"/>
            <w:tcBorders>
              <w:bottom w:val="single" w:sz="8" w:space="0" w:color="868686"/>
            </w:tcBorders>
            <w:vAlign w:val="bottom"/>
          </w:tcPr>
          <w:p w:rsidR="00AC12B4" w:rsidRDefault="00AC12B4">
            <w:pPr>
              <w:rPr>
                <w:sz w:val="24"/>
                <w:szCs w:val="24"/>
              </w:rPr>
            </w:pPr>
          </w:p>
        </w:tc>
        <w:tc>
          <w:tcPr>
            <w:tcW w:w="220" w:type="dxa"/>
            <w:tcBorders>
              <w:bottom w:val="single" w:sz="8" w:space="0" w:color="868686"/>
            </w:tcBorders>
            <w:vAlign w:val="bottom"/>
          </w:tcPr>
          <w:p w:rsidR="00AC12B4" w:rsidRDefault="00AC12B4">
            <w:pPr>
              <w:rPr>
                <w:sz w:val="24"/>
                <w:szCs w:val="24"/>
              </w:rPr>
            </w:pPr>
          </w:p>
        </w:tc>
        <w:tc>
          <w:tcPr>
            <w:tcW w:w="260" w:type="dxa"/>
            <w:tcBorders>
              <w:bottom w:val="single" w:sz="8" w:space="0" w:color="868686"/>
            </w:tcBorders>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20" w:type="dxa"/>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2"/>
        </w:trPr>
        <w:tc>
          <w:tcPr>
            <w:tcW w:w="500" w:type="dxa"/>
            <w:vMerge w:val="restart"/>
            <w:tcBorders>
              <w:left w:val="single" w:sz="8" w:space="0" w:color="44ACE0"/>
            </w:tcBorders>
            <w:textDirection w:val="btLr"/>
            <w:vAlign w:val="bottom"/>
          </w:tcPr>
          <w:p w:rsidR="00AC12B4" w:rsidRDefault="00C27636">
            <w:pPr>
              <w:rPr>
                <w:sz w:val="20"/>
                <w:szCs w:val="20"/>
              </w:rPr>
            </w:pPr>
            <w:r>
              <w:rPr>
                <w:rFonts w:ascii="Calibri" w:eastAsia="Calibri" w:hAnsi="Calibri" w:cs="Calibri"/>
                <w:b/>
                <w:bCs/>
                <w:sz w:val="20"/>
                <w:szCs w:val="20"/>
              </w:rPr>
              <w:t>%</w:t>
            </w:r>
          </w:p>
        </w:tc>
        <w:tc>
          <w:tcPr>
            <w:tcW w:w="4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6820" w:type="dxa"/>
            <w:gridSpan w:val="2"/>
            <w:vMerge w:val="restart"/>
            <w:vAlign w:val="bottom"/>
          </w:tcPr>
          <w:p w:rsidR="00AC12B4" w:rsidRDefault="00C27636">
            <w:pPr>
              <w:ind w:right="946"/>
              <w:jc w:val="right"/>
              <w:rPr>
                <w:sz w:val="20"/>
                <w:szCs w:val="20"/>
              </w:rPr>
            </w:pPr>
            <w:r>
              <w:rPr>
                <w:rFonts w:ascii="Calibri" w:eastAsia="Calibri" w:hAnsi="Calibri" w:cs="Calibri"/>
                <w:sz w:val="20"/>
                <w:szCs w:val="20"/>
              </w:rPr>
              <w:t>44</w:t>
            </w:r>
          </w:p>
        </w:tc>
        <w:tc>
          <w:tcPr>
            <w:tcW w:w="6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28"/>
        </w:trPr>
        <w:tc>
          <w:tcPr>
            <w:tcW w:w="500" w:type="dxa"/>
            <w:vMerge/>
            <w:tcBorders>
              <w:left w:val="single" w:sz="8" w:space="0" w:color="44ACE0"/>
            </w:tcBorders>
            <w:vAlign w:val="bottom"/>
          </w:tcPr>
          <w:p w:rsidR="00AC12B4" w:rsidRDefault="00AC12B4">
            <w:pPr>
              <w:rPr>
                <w:sz w:val="19"/>
                <w:szCs w:val="19"/>
              </w:rPr>
            </w:pPr>
          </w:p>
        </w:tc>
        <w:tc>
          <w:tcPr>
            <w:tcW w:w="480" w:type="dxa"/>
            <w:vAlign w:val="bottom"/>
          </w:tcPr>
          <w:p w:rsidR="00AC12B4" w:rsidRDefault="00AC12B4">
            <w:pPr>
              <w:rPr>
                <w:sz w:val="19"/>
                <w:szCs w:val="19"/>
              </w:rPr>
            </w:pPr>
          </w:p>
        </w:tc>
        <w:tc>
          <w:tcPr>
            <w:tcW w:w="80" w:type="dxa"/>
            <w:tcBorders>
              <w:right w:val="single" w:sz="8" w:space="0" w:color="868686"/>
            </w:tcBorders>
            <w:vAlign w:val="bottom"/>
          </w:tcPr>
          <w:p w:rsidR="00AC12B4" w:rsidRDefault="00AC12B4">
            <w:pPr>
              <w:rPr>
                <w:sz w:val="19"/>
                <w:szCs w:val="19"/>
              </w:rPr>
            </w:pPr>
          </w:p>
        </w:tc>
        <w:tc>
          <w:tcPr>
            <w:tcW w:w="6820" w:type="dxa"/>
            <w:gridSpan w:val="2"/>
            <w:vMerge/>
            <w:vAlign w:val="bottom"/>
          </w:tcPr>
          <w:p w:rsidR="00AC12B4" w:rsidRDefault="00AC12B4">
            <w:pPr>
              <w:rPr>
                <w:sz w:val="19"/>
                <w:szCs w:val="19"/>
              </w:rPr>
            </w:pPr>
          </w:p>
        </w:tc>
        <w:tc>
          <w:tcPr>
            <w:tcW w:w="6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26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20" w:type="dxa"/>
            <w:tcBorders>
              <w:right w:val="single" w:sz="8" w:space="0" w:color="44ACE0"/>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99"/>
        </w:trPr>
        <w:tc>
          <w:tcPr>
            <w:tcW w:w="500" w:type="dxa"/>
            <w:tcBorders>
              <w:left w:val="single" w:sz="8" w:space="0" w:color="44ACE0"/>
            </w:tcBorders>
            <w:vAlign w:val="bottom"/>
          </w:tcPr>
          <w:p w:rsidR="00AC12B4" w:rsidRDefault="00AC12B4">
            <w:pPr>
              <w:rPr>
                <w:sz w:val="8"/>
                <w:szCs w:val="8"/>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40</w:t>
            </w:r>
          </w:p>
        </w:tc>
        <w:tc>
          <w:tcPr>
            <w:tcW w:w="80" w:type="dxa"/>
            <w:tcBorders>
              <w:right w:val="single" w:sz="8" w:space="0" w:color="868686"/>
            </w:tcBorders>
            <w:vAlign w:val="bottom"/>
          </w:tcPr>
          <w:p w:rsidR="00AC12B4" w:rsidRDefault="00AC12B4">
            <w:pPr>
              <w:rPr>
                <w:sz w:val="8"/>
                <w:szCs w:val="8"/>
              </w:rPr>
            </w:pPr>
          </w:p>
        </w:tc>
        <w:tc>
          <w:tcPr>
            <w:tcW w:w="5740" w:type="dxa"/>
            <w:vAlign w:val="bottom"/>
          </w:tcPr>
          <w:p w:rsidR="00AC12B4" w:rsidRDefault="00AC12B4">
            <w:pPr>
              <w:rPr>
                <w:sz w:val="8"/>
                <w:szCs w:val="8"/>
              </w:rPr>
            </w:pPr>
          </w:p>
        </w:tc>
        <w:tc>
          <w:tcPr>
            <w:tcW w:w="1720" w:type="dxa"/>
            <w:gridSpan w:val="2"/>
            <w:vMerge w:val="restart"/>
            <w:vAlign w:val="bottom"/>
          </w:tcPr>
          <w:p w:rsidR="00AC12B4" w:rsidRDefault="00C27636">
            <w:pPr>
              <w:spacing w:line="175" w:lineRule="exact"/>
              <w:ind w:right="511"/>
              <w:jc w:val="right"/>
              <w:rPr>
                <w:sz w:val="20"/>
                <w:szCs w:val="20"/>
              </w:rPr>
            </w:pPr>
            <w:r>
              <w:rPr>
                <w:rFonts w:ascii="Calibri" w:eastAsia="Calibri" w:hAnsi="Calibri" w:cs="Calibri"/>
                <w:sz w:val="19"/>
                <w:szCs w:val="19"/>
              </w:rPr>
              <w:t>35</w:t>
            </w:r>
          </w:p>
        </w:tc>
        <w:tc>
          <w:tcPr>
            <w:tcW w:w="220" w:type="dxa"/>
            <w:vAlign w:val="bottom"/>
          </w:tcPr>
          <w:p w:rsidR="00AC12B4" w:rsidRDefault="00AC12B4">
            <w:pPr>
              <w:rPr>
                <w:sz w:val="8"/>
                <w:szCs w:val="8"/>
              </w:rPr>
            </w:pPr>
          </w:p>
        </w:tc>
        <w:tc>
          <w:tcPr>
            <w:tcW w:w="2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77"/>
        </w:trPr>
        <w:tc>
          <w:tcPr>
            <w:tcW w:w="500" w:type="dxa"/>
            <w:tcBorders>
              <w:left w:val="single" w:sz="8" w:space="0" w:color="44ACE0"/>
            </w:tcBorders>
            <w:vAlign w:val="bottom"/>
          </w:tcPr>
          <w:p w:rsidR="00AC12B4" w:rsidRDefault="00AC12B4">
            <w:pPr>
              <w:rPr>
                <w:sz w:val="6"/>
                <w:szCs w:val="6"/>
              </w:rPr>
            </w:pPr>
          </w:p>
        </w:tc>
        <w:tc>
          <w:tcPr>
            <w:tcW w:w="480" w:type="dxa"/>
            <w:vMerge/>
            <w:vAlign w:val="bottom"/>
          </w:tcPr>
          <w:p w:rsidR="00AC12B4" w:rsidRDefault="00AC12B4">
            <w:pPr>
              <w:rPr>
                <w:sz w:val="6"/>
                <w:szCs w:val="6"/>
              </w:rPr>
            </w:pPr>
          </w:p>
        </w:tc>
        <w:tc>
          <w:tcPr>
            <w:tcW w:w="80" w:type="dxa"/>
            <w:tcBorders>
              <w:bottom w:val="single" w:sz="8" w:space="0" w:color="868686"/>
              <w:right w:val="single" w:sz="8" w:space="0" w:color="868686"/>
            </w:tcBorders>
            <w:vAlign w:val="bottom"/>
          </w:tcPr>
          <w:p w:rsidR="00AC12B4" w:rsidRDefault="00AC12B4">
            <w:pPr>
              <w:rPr>
                <w:sz w:val="6"/>
                <w:szCs w:val="6"/>
              </w:rPr>
            </w:pPr>
          </w:p>
        </w:tc>
        <w:tc>
          <w:tcPr>
            <w:tcW w:w="5740" w:type="dxa"/>
            <w:tcBorders>
              <w:bottom w:val="single" w:sz="8" w:space="0" w:color="868686"/>
              <w:right w:val="single" w:sz="8" w:space="0" w:color="5C4776"/>
            </w:tcBorders>
            <w:vAlign w:val="bottom"/>
          </w:tcPr>
          <w:p w:rsidR="00AC12B4" w:rsidRDefault="00AC12B4">
            <w:pPr>
              <w:rPr>
                <w:sz w:val="6"/>
                <w:szCs w:val="6"/>
              </w:rPr>
            </w:pPr>
          </w:p>
        </w:tc>
        <w:tc>
          <w:tcPr>
            <w:tcW w:w="1720" w:type="dxa"/>
            <w:gridSpan w:val="2"/>
            <w:vMerge/>
            <w:tcBorders>
              <w:bottom w:val="single" w:sz="8" w:space="0" w:color="868686"/>
            </w:tcBorders>
            <w:vAlign w:val="bottom"/>
          </w:tcPr>
          <w:p w:rsidR="00AC12B4" w:rsidRDefault="00AC12B4">
            <w:pPr>
              <w:rPr>
                <w:sz w:val="6"/>
                <w:szCs w:val="6"/>
              </w:rPr>
            </w:pPr>
          </w:p>
        </w:tc>
        <w:tc>
          <w:tcPr>
            <w:tcW w:w="220" w:type="dxa"/>
            <w:tcBorders>
              <w:bottom w:val="single" w:sz="8" w:space="0" w:color="868686"/>
            </w:tcBorders>
            <w:vAlign w:val="bottom"/>
          </w:tcPr>
          <w:p w:rsidR="00AC12B4" w:rsidRDefault="00AC12B4">
            <w:pPr>
              <w:rPr>
                <w:sz w:val="6"/>
                <w:szCs w:val="6"/>
              </w:rPr>
            </w:pPr>
          </w:p>
        </w:tc>
        <w:tc>
          <w:tcPr>
            <w:tcW w:w="260" w:type="dxa"/>
            <w:tcBorders>
              <w:bottom w:val="single" w:sz="8" w:space="0" w:color="868686"/>
            </w:tcBorders>
            <w:vAlign w:val="bottom"/>
          </w:tcPr>
          <w:p w:rsidR="00AC12B4" w:rsidRDefault="00AC12B4">
            <w:pPr>
              <w:rPr>
                <w:sz w:val="6"/>
                <w:szCs w:val="6"/>
              </w:rPr>
            </w:pPr>
          </w:p>
        </w:tc>
        <w:tc>
          <w:tcPr>
            <w:tcW w:w="20" w:type="dxa"/>
            <w:vAlign w:val="bottom"/>
          </w:tcPr>
          <w:p w:rsidR="00AC12B4" w:rsidRDefault="00AC12B4">
            <w:pPr>
              <w:rPr>
                <w:sz w:val="6"/>
                <w:szCs w:val="6"/>
              </w:rPr>
            </w:pPr>
          </w:p>
        </w:tc>
        <w:tc>
          <w:tcPr>
            <w:tcW w:w="220" w:type="dxa"/>
            <w:tcBorders>
              <w:right w:val="single" w:sz="8" w:space="0" w:color="44ACE0"/>
            </w:tcBorders>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38"/>
        </w:trPr>
        <w:tc>
          <w:tcPr>
            <w:tcW w:w="500" w:type="dxa"/>
            <w:tcBorders>
              <w:left w:val="single" w:sz="8" w:space="0" w:color="44ACE0"/>
            </w:tcBorders>
            <w:vAlign w:val="bottom"/>
          </w:tcPr>
          <w:p w:rsidR="00AC12B4" w:rsidRDefault="00AC12B4">
            <w:pPr>
              <w:rPr>
                <w:sz w:val="12"/>
                <w:szCs w:val="12"/>
              </w:rPr>
            </w:pPr>
          </w:p>
        </w:tc>
        <w:tc>
          <w:tcPr>
            <w:tcW w:w="480" w:type="dxa"/>
            <w:vMerge/>
            <w:vAlign w:val="bottom"/>
          </w:tcPr>
          <w:p w:rsidR="00AC12B4" w:rsidRDefault="00AC12B4">
            <w:pPr>
              <w:rPr>
                <w:sz w:val="12"/>
                <w:szCs w:val="12"/>
              </w:rPr>
            </w:pPr>
          </w:p>
        </w:tc>
        <w:tc>
          <w:tcPr>
            <w:tcW w:w="80" w:type="dxa"/>
            <w:tcBorders>
              <w:right w:val="single" w:sz="8" w:space="0" w:color="868686"/>
            </w:tcBorders>
            <w:vAlign w:val="bottom"/>
          </w:tcPr>
          <w:p w:rsidR="00AC12B4" w:rsidRDefault="00AC12B4">
            <w:pPr>
              <w:rPr>
                <w:sz w:val="12"/>
                <w:szCs w:val="12"/>
              </w:rPr>
            </w:pPr>
          </w:p>
        </w:tc>
        <w:tc>
          <w:tcPr>
            <w:tcW w:w="5740" w:type="dxa"/>
            <w:tcBorders>
              <w:right w:val="single" w:sz="8" w:space="0" w:color="5C4776"/>
            </w:tcBorders>
            <w:vAlign w:val="bottom"/>
          </w:tcPr>
          <w:p w:rsidR="00AC12B4" w:rsidRDefault="00AC12B4">
            <w:pPr>
              <w:rPr>
                <w:sz w:val="12"/>
                <w:szCs w:val="12"/>
              </w:rPr>
            </w:pPr>
          </w:p>
        </w:tc>
        <w:tc>
          <w:tcPr>
            <w:tcW w:w="1080" w:type="dxa"/>
            <w:vAlign w:val="bottom"/>
          </w:tcPr>
          <w:p w:rsidR="00AC12B4" w:rsidRDefault="00AC12B4">
            <w:pPr>
              <w:rPr>
                <w:sz w:val="12"/>
                <w:szCs w:val="12"/>
              </w:rPr>
            </w:pPr>
          </w:p>
        </w:tc>
        <w:tc>
          <w:tcPr>
            <w:tcW w:w="1120" w:type="dxa"/>
            <w:gridSpan w:val="3"/>
            <w:vMerge w:val="restart"/>
            <w:vAlign w:val="bottom"/>
          </w:tcPr>
          <w:p w:rsidR="00AC12B4" w:rsidRDefault="00C27636">
            <w:pPr>
              <w:spacing w:line="304" w:lineRule="exact"/>
              <w:ind w:right="220"/>
              <w:jc w:val="right"/>
              <w:rPr>
                <w:sz w:val="20"/>
                <w:szCs w:val="20"/>
              </w:rPr>
            </w:pPr>
            <w:r>
              <w:rPr>
                <w:rFonts w:ascii="Calibri" w:eastAsia="Calibri" w:hAnsi="Calibri" w:cs="Calibri"/>
                <w:sz w:val="18"/>
                <w:szCs w:val="18"/>
              </w:rPr>
              <w:t xml:space="preserve">27 </w:t>
            </w:r>
            <w:r>
              <w:rPr>
                <w:rFonts w:ascii="Calibri" w:eastAsia="Calibri" w:hAnsi="Calibri" w:cs="Calibri"/>
                <w:sz w:val="33"/>
                <w:szCs w:val="33"/>
                <w:vertAlign w:val="subscript"/>
              </w:rPr>
              <w:t>25</w:t>
            </w:r>
          </w:p>
        </w:tc>
        <w:tc>
          <w:tcPr>
            <w:tcW w:w="20" w:type="dxa"/>
            <w:vAlign w:val="bottom"/>
          </w:tcPr>
          <w:p w:rsidR="00AC12B4" w:rsidRDefault="00AC12B4">
            <w:pPr>
              <w:rPr>
                <w:sz w:val="12"/>
                <w:szCs w:val="12"/>
              </w:rPr>
            </w:pPr>
          </w:p>
        </w:tc>
        <w:tc>
          <w:tcPr>
            <w:tcW w:w="220" w:type="dxa"/>
            <w:tcBorders>
              <w:right w:val="single" w:sz="8" w:space="0" w:color="44ACE0"/>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264"/>
        </w:trPr>
        <w:tc>
          <w:tcPr>
            <w:tcW w:w="500" w:type="dxa"/>
            <w:tcBorders>
              <w:left w:val="single" w:sz="8" w:space="0" w:color="44ACE0"/>
            </w:tcBorders>
            <w:vAlign w:val="bottom"/>
          </w:tcPr>
          <w:p w:rsidR="00AC12B4" w:rsidRDefault="00AC12B4"/>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20</w:t>
            </w:r>
          </w:p>
        </w:tc>
        <w:tc>
          <w:tcPr>
            <w:tcW w:w="80" w:type="dxa"/>
            <w:tcBorders>
              <w:right w:val="single" w:sz="8" w:space="0" w:color="868686"/>
            </w:tcBorders>
            <w:vAlign w:val="bottom"/>
          </w:tcPr>
          <w:p w:rsidR="00AC12B4" w:rsidRDefault="00AC12B4"/>
        </w:tc>
        <w:tc>
          <w:tcPr>
            <w:tcW w:w="5740" w:type="dxa"/>
            <w:tcBorders>
              <w:right w:val="single" w:sz="8" w:space="0" w:color="5C4776"/>
            </w:tcBorders>
            <w:vAlign w:val="bottom"/>
          </w:tcPr>
          <w:p w:rsidR="00AC12B4" w:rsidRDefault="00AC12B4"/>
        </w:tc>
        <w:tc>
          <w:tcPr>
            <w:tcW w:w="1080" w:type="dxa"/>
            <w:tcBorders>
              <w:right w:val="single" w:sz="8" w:space="0" w:color="8C3836"/>
            </w:tcBorders>
            <w:vAlign w:val="bottom"/>
          </w:tcPr>
          <w:p w:rsidR="00AC12B4" w:rsidRDefault="00AC12B4"/>
        </w:tc>
        <w:tc>
          <w:tcPr>
            <w:tcW w:w="1120" w:type="dxa"/>
            <w:gridSpan w:val="3"/>
            <w:vMerge/>
            <w:vAlign w:val="bottom"/>
          </w:tcPr>
          <w:p w:rsidR="00AC12B4" w:rsidRDefault="00AC12B4"/>
        </w:tc>
        <w:tc>
          <w:tcPr>
            <w:tcW w:w="20" w:type="dxa"/>
            <w:vAlign w:val="bottom"/>
          </w:tcPr>
          <w:p w:rsidR="00AC12B4" w:rsidRDefault="00AC12B4"/>
        </w:tc>
        <w:tc>
          <w:tcPr>
            <w:tcW w:w="220" w:type="dxa"/>
            <w:tcBorders>
              <w:right w:val="single" w:sz="8" w:space="0" w:color="44ACE0"/>
            </w:tcBorders>
            <w:vAlign w:val="bottom"/>
          </w:tcPr>
          <w:p w:rsidR="00AC12B4" w:rsidRDefault="00AC12B4"/>
        </w:tc>
        <w:tc>
          <w:tcPr>
            <w:tcW w:w="0" w:type="dxa"/>
            <w:vAlign w:val="bottom"/>
          </w:tcPr>
          <w:p w:rsidR="00AC12B4" w:rsidRDefault="00AC12B4">
            <w:pPr>
              <w:rPr>
                <w:sz w:val="1"/>
                <w:szCs w:val="1"/>
              </w:rPr>
            </w:pPr>
          </w:p>
        </w:tc>
      </w:tr>
      <w:tr w:rsidR="00AC12B4">
        <w:trPr>
          <w:trHeight w:val="96"/>
        </w:trPr>
        <w:tc>
          <w:tcPr>
            <w:tcW w:w="500" w:type="dxa"/>
            <w:tcBorders>
              <w:left w:val="single" w:sz="8" w:space="0" w:color="44ACE0"/>
            </w:tcBorders>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80" w:type="dxa"/>
            <w:tcBorders>
              <w:bottom w:val="single" w:sz="8" w:space="0" w:color="868686"/>
              <w:right w:val="single" w:sz="8" w:space="0" w:color="868686"/>
            </w:tcBorders>
            <w:vAlign w:val="bottom"/>
          </w:tcPr>
          <w:p w:rsidR="00AC12B4" w:rsidRDefault="00AC12B4">
            <w:pPr>
              <w:rPr>
                <w:sz w:val="8"/>
                <w:szCs w:val="8"/>
              </w:rPr>
            </w:pPr>
          </w:p>
        </w:tc>
        <w:tc>
          <w:tcPr>
            <w:tcW w:w="5740" w:type="dxa"/>
            <w:tcBorders>
              <w:bottom w:val="single" w:sz="8" w:space="0" w:color="868686"/>
              <w:right w:val="single" w:sz="8" w:space="0" w:color="5C4776"/>
            </w:tcBorders>
            <w:vAlign w:val="bottom"/>
          </w:tcPr>
          <w:p w:rsidR="00AC12B4" w:rsidRDefault="00AC12B4">
            <w:pPr>
              <w:rPr>
                <w:sz w:val="8"/>
                <w:szCs w:val="8"/>
              </w:rPr>
            </w:pPr>
          </w:p>
        </w:tc>
        <w:tc>
          <w:tcPr>
            <w:tcW w:w="1080" w:type="dxa"/>
            <w:tcBorders>
              <w:bottom w:val="single" w:sz="8" w:space="0" w:color="868686"/>
              <w:right w:val="single" w:sz="8" w:space="0" w:color="8C3836"/>
            </w:tcBorders>
            <w:vAlign w:val="bottom"/>
          </w:tcPr>
          <w:p w:rsidR="00AC12B4" w:rsidRDefault="00AC12B4">
            <w:pPr>
              <w:rPr>
                <w:sz w:val="8"/>
                <w:szCs w:val="8"/>
              </w:rPr>
            </w:pPr>
          </w:p>
        </w:tc>
        <w:tc>
          <w:tcPr>
            <w:tcW w:w="640" w:type="dxa"/>
            <w:tcBorders>
              <w:bottom w:val="single" w:sz="8" w:space="0" w:color="868686"/>
              <w:right w:val="single" w:sz="8" w:space="0" w:color="71893F"/>
            </w:tcBorders>
            <w:vAlign w:val="bottom"/>
          </w:tcPr>
          <w:p w:rsidR="00AC12B4" w:rsidRDefault="00AC12B4">
            <w:pPr>
              <w:rPr>
                <w:sz w:val="8"/>
                <w:szCs w:val="8"/>
              </w:rPr>
            </w:pPr>
          </w:p>
        </w:tc>
        <w:tc>
          <w:tcPr>
            <w:tcW w:w="220" w:type="dxa"/>
            <w:tcBorders>
              <w:bottom w:val="single" w:sz="8" w:space="0" w:color="868686"/>
              <w:right w:val="single" w:sz="8" w:space="0" w:color="B66D31"/>
            </w:tcBorders>
            <w:vAlign w:val="bottom"/>
          </w:tcPr>
          <w:p w:rsidR="00AC12B4" w:rsidRDefault="00AC12B4">
            <w:pPr>
              <w:rPr>
                <w:sz w:val="8"/>
                <w:szCs w:val="8"/>
              </w:rPr>
            </w:pPr>
          </w:p>
        </w:tc>
        <w:tc>
          <w:tcPr>
            <w:tcW w:w="260" w:type="dxa"/>
            <w:tcBorders>
              <w:bottom w:val="single" w:sz="8" w:space="0" w:color="868686"/>
            </w:tcBorders>
            <w:vAlign w:val="bottom"/>
          </w:tcPr>
          <w:p w:rsidR="00AC12B4" w:rsidRDefault="00AC12B4">
            <w:pPr>
              <w:rPr>
                <w:sz w:val="8"/>
                <w:szCs w:val="8"/>
              </w:rPr>
            </w:pPr>
          </w:p>
        </w:tc>
        <w:tc>
          <w:tcPr>
            <w:tcW w:w="20" w:type="dxa"/>
            <w:vAlign w:val="bottom"/>
          </w:tcPr>
          <w:p w:rsidR="00AC12B4" w:rsidRDefault="00AC12B4">
            <w:pPr>
              <w:rPr>
                <w:sz w:val="8"/>
                <w:szCs w:val="8"/>
              </w:rPr>
            </w:pPr>
          </w:p>
        </w:tc>
        <w:tc>
          <w:tcPr>
            <w:tcW w:w="2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93"/>
        </w:trPr>
        <w:tc>
          <w:tcPr>
            <w:tcW w:w="500" w:type="dxa"/>
            <w:tcBorders>
              <w:left w:val="single" w:sz="8" w:space="0" w:color="44ACE0"/>
            </w:tcBorders>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5740" w:type="dxa"/>
            <w:tcBorders>
              <w:right w:val="single" w:sz="8" w:space="0" w:color="5C4776"/>
            </w:tcBorders>
            <w:vAlign w:val="bottom"/>
          </w:tcPr>
          <w:p w:rsidR="00AC12B4" w:rsidRDefault="00AC12B4">
            <w:pPr>
              <w:rPr>
                <w:sz w:val="8"/>
                <w:szCs w:val="8"/>
              </w:rPr>
            </w:pPr>
          </w:p>
        </w:tc>
        <w:tc>
          <w:tcPr>
            <w:tcW w:w="1080" w:type="dxa"/>
            <w:tcBorders>
              <w:right w:val="single" w:sz="8" w:space="0" w:color="8C3836"/>
            </w:tcBorders>
            <w:vAlign w:val="bottom"/>
          </w:tcPr>
          <w:p w:rsidR="00AC12B4" w:rsidRDefault="00AC12B4">
            <w:pPr>
              <w:rPr>
                <w:sz w:val="8"/>
                <w:szCs w:val="8"/>
              </w:rPr>
            </w:pPr>
          </w:p>
        </w:tc>
        <w:tc>
          <w:tcPr>
            <w:tcW w:w="640" w:type="dxa"/>
            <w:tcBorders>
              <w:right w:val="single" w:sz="8" w:space="0" w:color="71893F"/>
            </w:tcBorders>
            <w:vAlign w:val="bottom"/>
          </w:tcPr>
          <w:p w:rsidR="00AC12B4" w:rsidRDefault="00AC12B4">
            <w:pPr>
              <w:rPr>
                <w:sz w:val="8"/>
                <w:szCs w:val="8"/>
              </w:rPr>
            </w:pPr>
          </w:p>
        </w:tc>
        <w:tc>
          <w:tcPr>
            <w:tcW w:w="220" w:type="dxa"/>
            <w:tcBorders>
              <w:right w:val="single" w:sz="8" w:space="0" w:color="B66D31"/>
            </w:tcBorders>
            <w:vAlign w:val="bottom"/>
          </w:tcPr>
          <w:p w:rsidR="00AC12B4" w:rsidRDefault="00AC12B4">
            <w:pPr>
              <w:rPr>
                <w:sz w:val="8"/>
                <w:szCs w:val="8"/>
              </w:rPr>
            </w:pPr>
          </w:p>
        </w:tc>
        <w:tc>
          <w:tcPr>
            <w:tcW w:w="2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20" w:type="dxa"/>
            <w:tcBorders>
              <w:right w:val="single" w:sz="8" w:space="0" w:color="44ACE0"/>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443"/>
        </w:trPr>
        <w:tc>
          <w:tcPr>
            <w:tcW w:w="500" w:type="dxa"/>
            <w:tcBorders>
              <w:left w:val="single" w:sz="8" w:space="0" w:color="44ACE0"/>
            </w:tcBorders>
            <w:vAlign w:val="bottom"/>
          </w:tcPr>
          <w:p w:rsidR="00AC12B4" w:rsidRDefault="00AC12B4">
            <w:pPr>
              <w:rPr>
                <w:sz w:val="24"/>
                <w:szCs w:val="24"/>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5740" w:type="dxa"/>
            <w:tcBorders>
              <w:bottom w:val="single" w:sz="8" w:space="0" w:color="868686"/>
              <w:right w:val="single" w:sz="8" w:space="0" w:color="5C4776"/>
            </w:tcBorders>
            <w:vAlign w:val="bottom"/>
          </w:tcPr>
          <w:p w:rsidR="00AC12B4" w:rsidRDefault="00AC12B4">
            <w:pPr>
              <w:rPr>
                <w:sz w:val="24"/>
                <w:szCs w:val="24"/>
              </w:rPr>
            </w:pPr>
          </w:p>
        </w:tc>
        <w:tc>
          <w:tcPr>
            <w:tcW w:w="1080" w:type="dxa"/>
            <w:tcBorders>
              <w:bottom w:val="single" w:sz="8" w:space="0" w:color="868686"/>
              <w:right w:val="single" w:sz="8" w:space="0" w:color="8C3836"/>
            </w:tcBorders>
            <w:vAlign w:val="bottom"/>
          </w:tcPr>
          <w:p w:rsidR="00AC12B4" w:rsidRDefault="00AC12B4">
            <w:pPr>
              <w:rPr>
                <w:sz w:val="24"/>
                <w:szCs w:val="24"/>
              </w:rPr>
            </w:pPr>
          </w:p>
        </w:tc>
        <w:tc>
          <w:tcPr>
            <w:tcW w:w="640" w:type="dxa"/>
            <w:tcBorders>
              <w:bottom w:val="single" w:sz="8" w:space="0" w:color="868686"/>
              <w:right w:val="single" w:sz="8" w:space="0" w:color="71893F"/>
            </w:tcBorders>
            <w:vAlign w:val="bottom"/>
          </w:tcPr>
          <w:p w:rsidR="00AC12B4" w:rsidRDefault="00AC12B4">
            <w:pPr>
              <w:rPr>
                <w:sz w:val="24"/>
                <w:szCs w:val="24"/>
              </w:rPr>
            </w:pPr>
          </w:p>
        </w:tc>
        <w:tc>
          <w:tcPr>
            <w:tcW w:w="220" w:type="dxa"/>
            <w:tcBorders>
              <w:bottom w:val="single" w:sz="8" w:space="0" w:color="868686"/>
              <w:right w:val="single" w:sz="8" w:space="0" w:color="B66D31"/>
            </w:tcBorders>
            <w:vAlign w:val="bottom"/>
          </w:tcPr>
          <w:p w:rsidR="00AC12B4" w:rsidRDefault="00AC12B4">
            <w:pPr>
              <w:rPr>
                <w:sz w:val="24"/>
                <w:szCs w:val="24"/>
              </w:rPr>
            </w:pPr>
          </w:p>
        </w:tc>
        <w:tc>
          <w:tcPr>
            <w:tcW w:w="2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20" w:type="dxa"/>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54"/>
        </w:trPr>
        <w:tc>
          <w:tcPr>
            <w:tcW w:w="500" w:type="dxa"/>
            <w:tcBorders>
              <w:left w:val="single" w:sz="8" w:space="0" w:color="44ACE0"/>
            </w:tcBorders>
            <w:vAlign w:val="bottom"/>
          </w:tcPr>
          <w:p w:rsidR="00AC12B4" w:rsidRDefault="00AC12B4">
            <w:pPr>
              <w:rPr>
                <w:sz w:val="4"/>
                <w:szCs w:val="4"/>
              </w:rPr>
            </w:pPr>
          </w:p>
        </w:tc>
        <w:tc>
          <w:tcPr>
            <w:tcW w:w="480" w:type="dxa"/>
            <w:vMerge/>
            <w:vAlign w:val="bottom"/>
          </w:tcPr>
          <w:p w:rsidR="00AC12B4" w:rsidRDefault="00AC12B4">
            <w:pPr>
              <w:rPr>
                <w:sz w:val="4"/>
                <w:szCs w:val="4"/>
              </w:rPr>
            </w:pPr>
          </w:p>
        </w:tc>
        <w:tc>
          <w:tcPr>
            <w:tcW w:w="80" w:type="dxa"/>
            <w:vAlign w:val="bottom"/>
          </w:tcPr>
          <w:p w:rsidR="00AC12B4" w:rsidRDefault="00AC12B4">
            <w:pPr>
              <w:rPr>
                <w:sz w:val="4"/>
                <w:szCs w:val="4"/>
              </w:rPr>
            </w:pPr>
          </w:p>
        </w:tc>
        <w:tc>
          <w:tcPr>
            <w:tcW w:w="7940" w:type="dxa"/>
            <w:gridSpan w:val="5"/>
            <w:vMerge w:val="restart"/>
            <w:textDirection w:val="btLr"/>
            <w:vAlign w:val="bottom"/>
          </w:tcPr>
          <w:p w:rsidR="00AC12B4" w:rsidRDefault="00C27636">
            <w:pPr>
              <w:ind w:right="10"/>
              <w:rPr>
                <w:sz w:val="20"/>
                <w:szCs w:val="20"/>
              </w:rPr>
            </w:pPr>
            <w:r>
              <w:rPr>
                <w:rFonts w:ascii="Calibri" w:eastAsia="Calibri" w:hAnsi="Calibri" w:cs="Calibri"/>
                <w:w w:val="50"/>
                <w:sz w:val="1"/>
                <w:szCs w:val="1"/>
              </w:rPr>
              <w:t>KORJPNPOLCHLHUNMEXTURCZESVKSVNESTESPPRTGBRGRCFINDNKAUSIRLSWEDEUISLFRAUSANLDAUTBFRCANNORITAISRBELNZLCHEBGEBFLLUX</w:t>
            </w:r>
          </w:p>
        </w:tc>
        <w:tc>
          <w:tcPr>
            <w:tcW w:w="20" w:type="dxa"/>
            <w:vAlign w:val="bottom"/>
          </w:tcPr>
          <w:p w:rsidR="00AC12B4" w:rsidRDefault="00AC12B4">
            <w:pPr>
              <w:rPr>
                <w:sz w:val="4"/>
                <w:szCs w:val="4"/>
              </w:rPr>
            </w:pPr>
          </w:p>
        </w:tc>
        <w:tc>
          <w:tcPr>
            <w:tcW w:w="220" w:type="dxa"/>
            <w:tcBorders>
              <w:right w:val="single" w:sz="8" w:space="0" w:color="44ACE0"/>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303"/>
        </w:trPr>
        <w:tc>
          <w:tcPr>
            <w:tcW w:w="500" w:type="dxa"/>
            <w:tcBorders>
              <w:left w:val="single" w:sz="8" w:space="0" w:color="44ACE0"/>
            </w:tcBorders>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7940" w:type="dxa"/>
            <w:gridSpan w:val="5"/>
            <w:vMerge/>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20" w:type="dxa"/>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21"/>
        </w:trPr>
        <w:tc>
          <w:tcPr>
            <w:tcW w:w="500" w:type="dxa"/>
            <w:tcBorders>
              <w:left w:val="single" w:sz="8" w:space="0" w:color="44ACE0"/>
              <w:bottom w:val="single" w:sz="8" w:space="0" w:color="44ACE0"/>
            </w:tcBorders>
            <w:vAlign w:val="bottom"/>
          </w:tcPr>
          <w:p w:rsidR="00AC12B4" w:rsidRDefault="00AC12B4">
            <w:pPr>
              <w:rPr>
                <w:sz w:val="10"/>
                <w:szCs w:val="10"/>
              </w:rPr>
            </w:pPr>
          </w:p>
        </w:tc>
        <w:tc>
          <w:tcPr>
            <w:tcW w:w="480" w:type="dxa"/>
            <w:tcBorders>
              <w:bottom w:val="single" w:sz="8" w:space="0" w:color="44ACE0"/>
            </w:tcBorders>
            <w:vAlign w:val="bottom"/>
          </w:tcPr>
          <w:p w:rsidR="00AC12B4" w:rsidRDefault="00AC12B4">
            <w:pPr>
              <w:rPr>
                <w:sz w:val="10"/>
                <w:szCs w:val="10"/>
              </w:rPr>
            </w:pPr>
          </w:p>
        </w:tc>
        <w:tc>
          <w:tcPr>
            <w:tcW w:w="80" w:type="dxa"/>
            <w:tcBorders>
              <w:bottom w:val="single" w:sz="8" w:space="0" w:color="44ACE0"/>
            </w:tcBorders>
            <w:vAlign w:val="bottom"/>
          </w:tcPr>
          <w:p w:rsidR="00AC12B4" w:rsidRDefault="00AC12B4">
            <w:pPr>
              <w:rPr>
                <w:sz w:val="10"/>
                <w:szCs w:val="10"/>
              </w:rPr>
            </w:pPr>
          </w:p>
        </w:tc>
        <w:tc>
          <w:tcPr>
            <w:tcW w:w="5740" w:type="dxa"/>
            <w:tcBorders>
              <w:bottom w:val="single" w:sz="8" w:space="0" w:color="44ACE0"/>
            </w:tcBorders>
            <w:vAlign w:val="bottom"/>
          </w:tcPr>
          <w:p w:rsidR="00AC12B4" w:rsidRDefault="00AC12B4">
            <w:pPr>
              <w:rPr>
                <w:sz w:val="10"/>
                <w:szCs w:val="10"/>
              </w:rPr>
            </w:pPr>
          </w:p>
        </w:tc>
        <w:tc>
          <w:tcPr>
            <w:tcW w:w="1080" w:type="dxa"/>
            <w:tcBorders>
              <w:bottom w:val="single" w:sz="8" w:space="0" w:color="44ACE0"/>
            </w:tcBorders>
            <w:vAlign w:val="bottom"/>
          </w:tcPr>
          <w:p w:rsidR="00AC12B4" w:rsidRDefault="00AC12B4">
            <w:pPr>
              <w:rPr>
                <w:sz w:val="10"/>
                <w:szCs w:val="10"/>
              </w:rPr>
            </w:pPr>
          </w:p>
        </w:tc>
        <w:tc>
          <w:tcPr>
            <w:tcW w:w="640" w:type="dxa"/>
            <w:tcBorders>
              <w:bottom w:val="single" w:sz="8" w:space="0" w:color="44ACE0"/>
            </w:tcBorders>
            <w:vAlign w:val="bottom"/>
          </w:tcPr>
          <w:p w:rsidR="00AC12B4" w:rsidRDefault="00AC12B4">
            <w:pPr>
              <w:rPr>
                <w:sz w:val="10"/>
                <w:szCs w:val="10"/>
              </w:rPr>
            </w:pPr>
          </w:p>
        </w:tc>
        <w:tc>
          <w:tcPr>
            <w:tcW w:w="220" w:type="dxa"/>
            <w:tcBorders>
              <w:bottom w:val="single" w:sz="8" w:space="0" w:color="44ACE0"/>
            </w:tcBorders>
            <w:vAlign w:val="bottom"/>
          </w:tcPr>
          <w:p w:rsidR="00AC12B4" w:rsidRDefault="00AC12B4">
            <w:pPr>
              <w:rPr>
                <w:sz w:val="10"/>
                <w:szCs w:val="10"/>
              </w:rPr>
            </w:pPr>
          </w:p>
        </w:tc>
        <w:tc>
          <w:tcPr>
            <w:tcW w:w="260" w:type="dxa"/>
            <w:tcBorders>
              <w:bottom w:val="single" w:sz="8" w:space="0" w:color="44ACE0"/>
            </w:tcBorders>
            <w:vAlign w:val="bottom"/>
          </w:tcPr>
          <w:p w:rsidR="00AC12B4" w:rsidRDefault="00AC12B4">
            <w:pPr>
              <w:rPr>
                <w:sz w:val="10"/>
                <w:szCs w:val="10"/>
              </w:rPr>
            </w:pPr>
          </w:p>
        </w:tc>
        <w:tc>
          <w:tcPr>
            <w:tcW w:w="20" w:type="dxa"/>
            <w:tcBorders>
              <w:bottom w:val="single" w:sz="8" w:space="0" w:color="44ACE0"/>
            </w:tcBorders>
            <w:vAlign w:val="bottom"/>
          </w:tcPr>
          <w:p w:rsidR="00AC12B4" w:rsidRDefault="00AC12B4">
            <w:pPr>
              <w:rPr>
                <w:sz w:val="10"/>
                <w:szCs w:val="10"/>
              </w:rPr>
            </w:pPr>
          </w:p>
        </w:tc>
        <w:tc>
          <w:tcPr>
            <w:tcW w:w="220" w:type="dxa"/>
            <w:tcBorders>
              <w:bottom w:val="single" w:sz="8" w:space="0" w:color="44ACE0"/>
              <w:right w:val="single" w:sz="8" w:space="0" w:color="44ACE0"/>
            </w:tcBorders>
            <w:vAlign w:val="bottom"/>
          </w:tcPr>
          <w:p w:rsidR="00AC12B4" w:rsidRDefault="00AC12B4">
            <w:pPr>
              <w:rPr>
                <w:sz w:val="10"/>
                <w:szCs w:val="10"/>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661824" behindDoc="1" locked="0" layoutInCell="0" allowOverlap="1">
            <wp:simplePos x="0" y="0"/>
            <wp:positionH relativeFrom="column">
              <wp:posOffset>723265</wp:posOffset>
            </wp:positionH>
            <wp:positionV relativeFrom="paragraph">
              <wp:posOffset>-1975485</wp:posOffset>
            </wp:positionV>
            <wp:extent cx="5036820" cy="1662430"/>
            <wp:effectExtent l="0" t="0" r="0" b="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09">
                      <a:extLst/>
                    </a:blip>
                    <a:srcRect/>
                    <a:stretch>
                      <a:fillRect/>
                    </a:stretch>
                  </pic:blipFill>
                  <pic:spPr bwMode="auto">
                    <a:xfrm>
                      <a:off x="0" y="0"/>
                      <a:ext cx="5036820" cy="1662430"/>
                    </a:xfrm>
                    <a:prstGeom prst="rect">
                      <a:avLst/>
                    </a:prstGeom>
                    <a:noFill/>
                  </pic:spPr>
                </pic:pic>
              </a:graphicData>
            </a:graphic>
          </wp:anchor>
        </w:drawing>
      </w:r>
    </w:p>
    <w:p w:rsidR="00AC12B4" w:rsidRDefault="00AC12B4">
      <w:pPr>
        <w:spacing w:line="56" w:lineRule="exact"/>
        <w:rPr>
          <w:sz w:val="20"/>
          <w:szCs w:val="20"/>
        </w:rPr>
      </w:pPr>
    </w:p>
    <w:p w:rsidR="00AC12B4" w:rsidRDefault="00C27636">
      <w:pPr>
        <w:ind w:left="60"/>
        <w:rPr>
          <w:sz w:val="20"/>
          <w:szCs w:val="20"/>
        </w:rPr>
      </w:pPr>
      <w:r>
        <w:rPr>
          <w:rFonts w:ascii="Calibri" w:eastAsia="Calibri" w:hAnsi="Calibri" w:cs="Calibri"/>
          <w:b/>
          <w:bCs/>
          <w:color w:val="4F81BD"/>
          <w:sz w:val="18"/>
          <w:szCs w:val="18"/>
        </w:rPr>
        <w:t>Figure 2. PISA 2012</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62848" behindDoc="1" locked="0" layoutInCell="0" allowOverlap="1">
                <wp:simplePos x="0" y="0"/>
                <wp:positionH relativeFrom="column">
                  <wp:posOffset>5990590</wp:posOffset>
                </wp:positionH>
                <wp:positionV relativeFrom="paragraph">
                  <wp:posOffset>264795</wp:posOffset>
                </wp:positionV>
                <wp:extent cx="0" cy="2123440"/>
                <wp:effectExtent l="0" t="0" r="0" b="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23440"/>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7pt,20.85pt" to="471.7pt,188.05pt" o:allowincell="f" strokecolor="#44ACE0" strokeweight="0.75pt"/>
            </w:pict>
          </mc:Fallback>
        </mc:AlternateContent>
      </w:r>
      <w:r>
        <w:rPr>
          <w:noProof/>
          <w:sz w:val="20"/>
          <w:szCs w:val="20"/>
        </w:rPr>
        <mc:AlternateContent>
          <mc:Choice Requires="wps">
            <w:drawing>
              <wp:anchor distT="0" distB="0" distL="114300" distR="114300" simplePos="0" relativeHeight="251663872" behindDoc="1" locked="0" layoutInCell="0" allowOverlap="1">
                <wp:simplePos x="0" y="0"/>
                <wp:positionH relativeFrom="column">
                  <wp:posOffset>31750</wp:posOffset>
                </wp:positionH>
                <wp:positionV relativeFrom="paragraph">
                  <wp:posOffset>269875</wp:posOffset>
                </wp:positionV>
                <wp:extent cx="5963285" cy="0"/>
                <wp:effectExtent l="0" t="0" r="0" b="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63285" cy="4763"/>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pt,21.25pt" to="472.05pt,21.25pt" o:allowincell="f" strokecolor="#44ACE0" strokeweight="0.75pt"/>
            </w:pict>
          </mc:Fallback>
        </mc:AlternateContent>
      </w:r>
      <w:r>
        <w:rPr>
          <w:noProof/>
          <w:sz w:val="20"/>
          <w:szCs w:val="20"/>
        </w:rPr>
        <mc:AlternateContent>
          <mc:Choice Requires="wps">
            <w:drawing>
              <wp:anchor distT="0" distB="0" distL="114300" distR="114300" simplePos="0" relativeHeight="251664896" behindDoc="1" locked="0" layoutInCell="0" allowOverlap="1">
                <wp:simplePos x="0" y="0"/>
                <wp:positionH relativeFrom="column">
                  <wp:posOffset>36830</wp:posOffset>
                </wp:positionH>
                <wp:positionV relativeFrom="paragraph">
                  <wp:posOffset>264795</wp:posOffset>
                </wp:positionV>
                <wp:extent cx="0" cy="2123440"/>
                <wp:effectExtent l="0" t="0" r="0" b="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23440"/>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20.85pt" to="2.9pt,188.05pt" o:allowincell="f" strokecolor="#44ACE0" strokeweight="0.75pt"/>
            </w:pict>
          </mc:Fallback>
        </mc:AlternateContent>
      </w:r>
      <w:r>
        <w:rPr>
          <w:noProof/>
          <w:sz w:val="20"/>
          <w:szCs w:val="20"/>
        </w:rPr>
        <mc:AlternateContent>
          <mc:Choice Requires="wps">
            <w:drawing>
              <wp:anchor distT="0" distB="0" distL="114300" distR="114300" simplePos="0" relativeHeight="251665920" behindDoc="1" locked="0" layoutInCell="0" allowOverlap="1">
                <wp:simplePos x="0" y="0"/>
                <wp:positionH relativeFrom="column">
                  <wp:posOffset>31750</wp:posOffset>
                </wp:positionH>
                <wp:positionV relativeFrom="paragraph">
                  <wp:posOffset>2383790</wp:posOffset>
                </wp:positionV>
                <wp:extent cx="5963285" cy="0"/>
                <wp:effectExtent l="0" t="0" r="0" b="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63285" cy="4763"/>
                        </a:xfrm>
                        <a:prstGeom prst="line">
                          <a:avLst/>
                        </a:prstGeom>
                        <a:solidFill>
                          <a:srgbClr val="FFFFFF"/>
                        </a:solidFill>
                        <a:ln w="9525">
                          <a:solidFill>
                            <a:srgbClr val="44ACE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pt,187.7pt" to="472.05pt,187.7pt" o:allowincell="f" strokecolor="#44ACE0" strokeweight="0.75pt"/>
            </w:pict>
          </mc:Fallback>
        </mc:AlternateContent>
      </w:r>
    </w:p>
    <w:p w:rsidR="00AC12B4" w:rsidRDefault="00AC12B4">
      <w:pPr>
        <w:spacing w:line="200" w:lineRule="exact"/>
        <w:rPr>
          <w:sz w:val="20"/>
          <w:szCs w:val="20"/>
        </w:rPr>
      </w:pPr>
    </w:p>
    <w:p w:rsidR="00AC12B4" w:rsidRDefault="00AC12B4">
      <w:pPr>
        <w:spacing w:line="391" w:lineRule="exact"/>
        <w:rPr>
          <w:sz w:val="20"/>
          <w:szCs w:val="20"/>
        </w:rPr>
      </w:pPr>
    </w:p>
    <w:p w:rsidR="00AC12B4" w:rsidRDefault="00C27636">
      <w:pPr>
        <w:ind w:right="-539"/>
        <w:jc w:val="center"/>
        <w:rPr>
          <w:sz w:val="20"/>
          <w:szCs w:val="20"/>
        </w:rPr>
      </w:pPr>
      <w:r>
        <w:rPr>
          <w:rFonts w:ascii="Calibri" w:eastAsia="Calibri" w:hAnsi="Calibri" w:cs="Calibri"/>
          <w:b/>
          <w:bCs/>
          <w:sz w:val="36"/>
          <w:szCs w:val="36"/>
        </w:rPr>
        <w:t xml:space="preserve">Ségrégation selon les performances </w:t>
      </w:r>
      <w:r>
        <w:rPr>
          <w:rFonts w:ascii="Calibri" w:eastAsia="Calibri" w:hAnsi="Calibri" w:cs="Calibri"/>
          <w:b/>
          <w:bCs/>
          <w:sz w:val="36"/>
          <w:szCs w:val="36"/>
        </w:rPr>
        <w:t>en</w:t>
      </w:r>
    </w:p>
    <w:p w:rsidR="00AC12B4" w:rsidRDefault="00C27636">
      <w:pPr>
        <w:ind w:right="-519"/>
        <w:jc w:val="center"/>
        <w:rPr>
          <w:sz w:val="20"/>
          <w:szCs w:val="20"/>
        </w:rPr>
      </w:pPr>
      <w:r>
        <w:rPr>
          <w:rFonts w:ascii="Calibri" w:eastAsia="Calibri" w:hAnsi="Calibri" w:cs="Calibri"/>
          <w:b/>
          <w:bCs/>
          <w:sz w:val="36"/>
          <w:szCs w:val="36"/>
        </w:rPr>
        <w:t>mathématique</w:t>
      </w:r>
    </w:p>
    <w:p w:rsidR="00AC12B4" w:rsidRDefault="00AC12B4">
      <w:pPr>
        <w:spacing w:line="79" w:lineRule="exact"/>
        <w:rPr>
          <w:sz w:val="20"/>
          <w:szCs w:val="20"/>
        </w:rPr>
      </w:pPr>
    </w:p>
    <w:tbl>
      <w:tblPr>
        <w:tblW w:w="0" w:type="auto"/>
        <w:tblInd w:w="340" w:type="dxa"/>
        <w:tblLayout w:type="fixed"/>
        <w:tblCellMar>
          <w:left w:w="0" w:type="dxa"/>
          <w:right w:w="0" w:type="dxa"/>
        </w:tblCellMar>
        <w:tblLook w:val="04A0" w:firstRow="1" w:lastRow="0" w:firstColumn="1" w:lastColumn="0" w:noHBand="0" w:noVBand="1"/>
      </w:tblPr>
      <w:tblGrid>
        <w:gridCol w:w="220"/>
        <w:gridCol w:w="380"/>
        <w:gridCol w:w="80"/>
        <w:gridCol w:w="1940"/>
        <w:gridCol w:w="220"/>
        <w:gridCol w:w="160"/>
        <w:gridCol w:w="280"/>
        <w:gridCol w:w="160"/>
        <w:gridCol w:w="280"/>
        <w:gridCol w:w="5160"/>
        <w:gridCol w:w="20"/>
      </w:tblGrid>
      <w:tr w:rsidR="00AC12B4">
        <w:trPr>
          <w:trHeight w:val="131"/>
        </w:trPr>
        <w:tc>
          <w:tcPr>
            <w:tcW w:w="220" w:type="dxa"/>
            <w:vAlign w:val="bottom"/>
          </w:tcPr>
          <w:p w:rsidR="00AC12B4" w:rsidRDefault="00AC12B4">
            <w:pPr>
              <w:rPr>
                <w:sz w:val="11"/>
                <w:szCs w:val="11"/>
              </w:rPr>
            </w:pPr>
          </w:p>
        </w:tc>
        <w:tc>
          <w:tcPr>
            <w:tcW w:w="380" w:type="dxa"/>
            <w:vMerge w:val="restart"/>
            <w:vAlign w:val="bottom"/>
          </w:tcPr>
          <w:p w:rsidR="00AC12B4" w:rsidRDefault="00C27636">
            <w:pPr>
              <w:ind w:right="28"/>
              <w:jc w:val="right"/>
              <w:rPr>
                <w:sz w:val="20"/>
                <w:szCs w:val="20"/>
              </w:rPr>
            </w:pPr>
            <w:r>
              <w:rPr>
                <w:rFonts w:ascii="Calibri" w:eastAsia="Calibri" w:hAnsi="Calibri" w:cs="Calibri"/>
                <w:sz w:val="20"/>
                <w:szCs w:val="20"/>
              </w:rPr>
              <w:t>80</w:t>
            </w:r>
          </w:p>
        </w:tc>
        <w:tc>
          <w:tcPr>
            <w:tcW w:w="80" w:type="dxa"/>
            <w:tcBorders>
              <w:bottom w:val="single" w:sz="8" w:space="0" w:color="868686"/>
            </w:tcBorders>
            <w:vAlign w:val="bottom"/>
          </w:tcPr>
          <w:p w:rsidR="00AC12B4" w:rsidRDefault="00AC12B4">
            <w:pPr>
              <w:rPr>
                <w:sz w:val="11"/>
                <w:szCs w:val="11"/>
              </w:rPr>
            </w:pPr>
          </w:p>
        </w:tc>
        <w:tc>
          <w:tcPr>
            <w:tcW w:w="1940" w:type="dxa"/>
            <w:tcBorders>
              <w:bottom w:val="single" w:sz="8" w:space="0" w:color="868686"/>
            </w:tcBorders>
            <w:vAlign w:val="bottom"/>
          </w:tcPr>
          <w:p w:rsidR="00AC12B4" w:rsidRDefault="00AC12B4">
            <w:pPr>
              <w:rPr>
                <w:sz w:val="11"/>
                <w:szCs w:val="11"/>
              </w:rPr>
            </w:pPr>
          </w:p>
        </w:tc>
        <w:tc>
          <w:tcPr>
            <w:tcW w:w="220" w:type="dxa"/>
            <w:tcBorders>
              <w:bottom w:val="single" w:sz="8" w:space="0" w:color="868686"/>
            </w:tcBorders>
            <w:vAlign w:val="bottom"/>
          </w:tcPr>
          <w:p w:rsidR="00AC12B4" w:rsidRDefault="00AC12B4">
            <w:pPr>
              <w:rPr>
                <w:sz w:val="11"/>
                <w:szCs w:val="11"/>
              </w:rPr>
            </w:pPr>
          </w:p>
        </w:tc>
        <w:tc>
          <w:tcPr>
            <w:tcW w:w="160" w:type="dxa"/>
            <w:tcBorders>
              <w:bottom w:val="single" w:sz="8" w:space="0" w:color="868686"/>
            </w:tcBorders>
            <w:vAlign w:val="bottom"/>
          </w:tcPr>
          <w:p w:rsidR="00AC12B4" w:rsidRDefault="00AC12B4">
            <w:pPr>
              <w:rPr>
                <w:sz w:val="11"/>
                <w:szCs w:val="11"/>
              </w:rPr>
            </w:pPr>
          </w:p>
        </w:tc>
        <w:tc>
          <w:tcPr>
            <w:tcW w:w="280" w:type="dxa"/>
            <w:tcBorders>
              <w:bottom w:val="single" w:sz="8" w:space="0" w:color="868686"/>
            </w:tcBorders>
            <w:vAlign w:val="bottom"/>
          </w:tcPr>
          <w:p w:rsidR="00AC12B4" w:rsidRDefault="00AC12B4">
            <w:pPr>
              <w:rPr>
                <w:sz w:val="11"/>
                <w:szCs w:val="11"/>
              </w:rPr>
            </w:pPr>
          </w:p>
        </w:tc>
        <w:tc>
          <w:tcPr>
            <w:tcW w:w="160" w:type="dxa"/>
            <w:tcBorders>
              <w:bottom w:val="single" w:sz="8" w:space="0" w:color="868686"/>
            </w:tcBorders>
            <w:vAlign w:val="bottom"/>
          </w:tcPr>
          <w:p w:rsidR="00AC12B4" w:rsidRDefault="00AC12B4">
            <w:pPr>
              <w:rPr>
                <w:sz w:val="11"/>
                <w:szCs w:val="11"/>
              </w:rPr>
            </w:pPr>
          </w:p>
        </w:tc>
        <w:tc>
          <w:tcPr>
            <w:tcW w:w="280" w:type="dxa"/>
            <w:tcBorders>
              <w:bottom w:val="single" w:sz="8" w:space="0" w:color="868686"/>
            </w:tcBorders>
            <w:vAlign w:val="bottom"/>
          </w:tcPr>
          <w:p w:rsidR="00AC12B4" w:rsidRDefault="00AC12B4">
            <w:pPr>
              <w:rPr>
                <w:sz w:val="11"/>
                <w:szCs w:val="11"/>
              </w:rPr>
            </w:pPr>
          </w:p>
        </w:tc>
        <w:tc>
          <w:tcPr>
            <w:tcW w:w="5160" w:type="dxa"/>
            <w:tcBorders>
              <w:bottom w:val="single" w:sz="8" w:space="0" w:color="868686"/>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3"/>
        </w:trPr>
        <w:tc>
          <w:tcPr>
            <w:tcW w:w="22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2320" w:type="dxa"/>
            <w:gridSpan w:val="3"/>
            <w:vMerge w:val="restart"/>
            <w:vAlign w:val="bottom"/>
          </w:tcPr>
          <w:p w:rsidR="00AC12B4" w:rsidRDefault="00C27636">
            <w:pPr>
              <w:ind w:right="140"/>
              <w:jc w:val="right"/>
              <w:rPr>
                <w:sz w:val="20"/>
                <w:szCs w:val="20"/>
              </w:rPr>
            </w:pPr>
            <w:r>
              <w:rPr>
                <w:rFonts w:ascii="Calibri" w:eastAsia="Calibri" w:hAnsi="Calibri" w:cs="Calibri"/>
                <w:sz w:val="20"/>
                <w:szCs w:val="20"/>
              </w:rPr>
              <w:t>58 58</w:t>
            </w:r>
          </w:p>
        </w:tc>
        <w:tc>
          <w:tcPr>
            <w:tcW w:w="440" w:type="dxa"/>
            <w:gridSpan w:val="2"/>
            <w:vMerge w:val="restart"/>
            <w:vAlign w:val="bottom"/>
          </w:tcPr>
          <w:p w:rsidR="00AC12B4" w:rsidRDefault="00C27636">
            <w:pPr>
              <w:ind w:right="120"/>
              <w:jc w:val="right"/>
              <w:rPr>
                <w:sz w:val="20"/>
                <w:szCs w:val="20"/>
              </w:rPr>
            </w:pPr>
            <w:r>
              <w:rPr>
                <w:rFonts w:ascii="Calibri" w:eastAsia="Calibri" w:hAnsi="Calibri" w:cs="Calibri"/>
                <w:sz w:val="20"/>
                <w:szCs w:val="20"/>
              </w:rPr>
              <w:t>57</w:t>
            </w:r>
          </w:p>
        </w:tc>
        <w:tc>
          <w:tcPr>
            <w:tcW w:w="5440" w:type="dxa"/>
            <w:gridSpan w:val="2"/>
            <w:vMerge w:val="restart"/>
            <w:vAlign w:val="bottom"/>
          </w:tcPr>
          <w:p w:rsidR="00AC12B4" w:rsidRDefault="00C27636">
            <w:pPr>
              <w:ind w:right="5120"/>
              <w:jc w:val="right"/>
              <w:rPr>
                <w:sz w:val="20"/>
                <w:szCs w:val="20"/>
              </w:rPr>
            </w:pPr>
            <w:r>
              <w:rPr>
                <w:rFonts w:ascii="Calibri" w:eastAsia="Calibri" w:hAnsi="Calibri" w:cs="Calibri"/>
                <w:sz w:val="20"/>
                <w:szCs w:val="20"/>
              </w:rPr>
              <w:t>55</w:t>
            </w:r>
          </w:p>
        </w:tc>
        <w:tc>
          <w:tcPr>
            <w:tcW w:w="0" w:type="dxa"/>
            <w:vAlign w:val="bottom"/>
          </w:tcPr>
          <w:p w:rsidR="00AC12B4" w:rsidRDefault="00AC12B4">
            <w:pPr>
              <w:rPr>
                <w:sz w:val="1"/>
                <w:szCs w:val="1"/>
              </w:rPr>
            </w:pPr>
          </w:p>
        </w:tc>
      </w:tr>
      <w:tr w:rsidR="00AC12B4">
        <w:trPr>
          <w:trHeight w:val="223"/>
        </w:trPr>
        <w:tc>
          <w:tcPr>
            <w:tcW w:w="220" w:type="dxa"/>
            <w:vAlign w:val="bottom"/>
          </w:tcPr>
          <w:p w:rsidR="00AC12B4" w:rsidRDefault="00AC12B4">
            <w:pPr>
              <w:rPr>
                <w:sz w:val="19"/>
                <w:szCs w:val="19"/>
              </w:rPr>
            </w:pPr>
          </w:p>
        </w:tc>
        <w:tc>
          <w:tcPr>
            <w:tcW w:w="460" w:type="dxa"/>
            <w:gridSpan w:val="2"/>
            <w:tcBorders>
              <w:right w:val="single" w:sz="8" w:space="0" w:color="868686"/>
            </w:tcBorders>
            <w:vAlign w:val="bottom"/>
          </w:tcPr>
          <w:p w:rsidR="00AC12B4" w:rsidRDefault="00AC12B4">
            <w:pPr>
              <w:rPr>
                <w:sz w:val="19"/>
                <w:szCs w:val="19"/>
              </w:rPr>
            </w:pPr>
          </w:p>
        </w:tc>
        <w:tc>
          <w:tcPr>
            <w:tcW w:w="2320" w:type="dxa"/>
            <w:gridSpan w:val="3"/>
            <w:vMerge/>
            <w:vAlign w:val="bottom"/>
          </w:tcPr>
          <w:p w:rsidR="00AC12B4" w:rsidRDefault="00AC12B4">
            <w:pPr>
              <w:rPr>
                <w:sz w:val="19"/>
                <w:szCs w:val="19"/>
              </w:rPr>
            </w:pPr>
          </w:p>
        </w:tc>
        <w:tc>
          <w:tcPr>
            <w:tcW w:w="440" w:type="dxa"/>
            <w:gridSpan w:val="2"/>
            <w:vMerge/>
            <w:vAlign w:val="bottom"/>
          </w:tcPr>
          <w:p w:rsidR="00AC12B4" w:rsidRDefault="00AC12B4">
            <w:pPr>
              <w:rPr>
                <w:sz w:val="19"/>
                <w:szCs w:val="19"/>
              </w:rPr>
            </w:pPr>
          </w:p>
        </w:tc>
        <w:tc>
          <w:tcPr>
            <w:tcW w:w="5440" w:type="dxa"/>
            <w:gridSpan w:val="2"/>
            <w:vMerge/>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41"/>
        </w:trPr>
        <w:tc>
          <w:tcPr>
            <w:tcW w:w="220" w:type="dxa"/>
            <w:vMerge w:val="restart"/>
            <w:textDirection w:val="btLr"/>
            <w:vAlign w:val="bottom"/>
          </w:tcPr>
          <w:p w:rsidR="00AC12B4" w:rsidRDefault="00C27636">
            <w:pPr>
              <w:rPr>
                <w:sz w:val="20"/>
                <w:szCs w:val="20"/>
              </w:rPr>
            </w:pPr>
            <w:r>
              <w:rPr>
                <w:rFonts w:ascii="Calibri" w:eastAsia="Calibri" w:hAnsi="Calibri" w:cs="Calibri"/>
                <w:b/>
                <w:bCs/>
                <w:sz w:val="20"/>
                <w:szCs w:val="20"/>
              </w:rPr>
              <w:t>%</w:t>
            </w:r>
          </w:p>
        </w:tc>
        <w:tc>
          <w:tcPr>
            <w:tcW w:w="380" w:type="dxa"/>
            <w:vMerge w:val="restart"/>
            <w:vAlign w:val="bottom"/>
          </w:tcPr>
          <w:p w:rsidR="00AC12B4" w:rsidRDefault="00C27636">
            <w:pPr>
              <w:spacing w:line="113" w:lineRule="exact"/>
              <w:ind w:right="28"/>
              <w:jc w:val="right"/>
              <w:rPr>
                <w:sz w:val="20"/>
                <w:szCs w:val="20"/>
              </w:rPr>
            </w:pPr>
            <w:r>
              <w:rPr>
                <w:rFonts w:ascii="Calibri" w:eastAsia="Calibri" w:hAnsi="Calibri" w:cs="Calibri"/>
                <w:sz w:val="12"/>
                <w:szCs w:val="12"/>
              </w:rPr>
              <w:t>60</w:t>
            </w:r>
          </w:p>
        </w:tc>
        <w:tc>
          <w:tcPr>
            <w:tcW w:w="80" w:type="dxa"/>
            <w:tcBorders>
              <w:bottom w:val="single" w:sz="8" w:space="0" w:color="868686"/>
              <w:right w:val="single" w:sz="8" w:space="0" w:color="868686"/>
            </w:tcBorders>
            <w:vAlign w:val="bottom"/>
          </w:tcPr>
          <w:p w:rsidR="00AC12B4" w:rsidRDefault="00AC12B4">
            <w:pPr>
              <w:rPr>
                <w:sz w:val="3"/>
                <w:szCs w:val="3"/>
              </w:rPr>
            </w:pPr>
          </w:p>
        </w:tc>
        <w:tc>
          <w:tcPr>
            <w:tcW w:w="1940" w:type="dxa"/>
            <w:tcBorders>
              <w:bottom w:val="single" w:sz="8" w:space="0" w:color="868686"/>
            </w:tcBorders>
            <w:vAlign w:val="bottom"/>
          </w:tcPr>
          <w:p w:rsidR="00AC12B4" w:rsidRDefault="00AC12B4">
            <w:pPr>
              <w:rPr>
                <w:sz w:val="3"/>
                <w:szCs w:val="3"/>
              </w:rPr>
            </w:pPr>
          </w:p>
        </w:tc>
        <w:tc>
          <w:tcPr>
            <w:tcW w:w="220" w:type="dxa"/>
            <w:tcBorders>
              <w:bottom w:val="single" w:sz="8" w:space="0" w:color="868686"/>
            </w:tcBorders>
            <w:vAlign w:val="bottom"/>
          </w:tcPr>
          <w:p w:rsidR="00AC12B4" w:rsidRDefault="00AC12B4">
            <w:pPr>
              <w:rPr>
                <w:sz w:val="3"/>
                <w:szCs w:val="3"/>
              </w:rPr>
            </w:pPr>
          </w:p>
        </w:tc>
        <w:tc>
          <w:tcPr>
            <w:tcW w:w="160" w:type="dxa"/>
            <w:tcBorders>
              <w:bottom w:val="single" w:sz="8" w:space="0" w:color="868686"/>
            </w:tcBorders>
            <w:vAlign w:val="bottom"/>
          </w:tcPr>
          <w:p w:rsidR="00AC12B4" w:rsidRDefault="00AC12B4">
            <w:pPr>
              <w:rPr>
                <w:sz w:val="3"/>
                <w:szCs w:val="3"/>
              </w:rPr>
            </w:pPr>
          </w:p>
        </w:tc>
        <w:tc>
          <w:tcPr>
            <w:tcW w:w="280" w:type="dxa"/>
            <w:tcBorders>
              <w:bottom w:val="single" w:sz="8" w:space="0" w:color="868686"/>
            </w:tcBorders>
            <w:vAlign w:val="bottom"/>
          </w:tcPr>
          <w:p w:rsidR="00AC12B4" w:rsidRDefault="00AC12B4">
            <w:pPr>
              <w:rPr>
                <w:sz w:val="3"/>
                <w:szCs w:val="3"/>
              </w:rPr>
            </w:pPr>
          </w:p>
        </w:tc>
        <w:tc>
          <w:tcPr>
            <w:tcW w:w="160" w:type="dxa"/>
            <w:tcBorders>
              <w:bottom w:val="single" w:sz="8" w:space="0" w:color="868686"/>
            </w:tcBorders>
            <w:vAlign w:val="bottom"/>
          </w:tcPr>
          <w:p w:rsidR="00AC12B4" w:rsidRDefault="00AC12B4">
            <w:pPr>
              <w:rPr>
                <w:sz w:val="3"/>
                <w:szCs w:val="3"/>
              </w:rPr>
            </w:pPr>
          </w:p>
        </w:tc>
        <w:tc>
          <w:tcPr>
            <w:tcW w:w="280" w:type="dxa"/>
            <w:tcBorders>
              <w:bottom w:val="single" w:sz="8" w:space="0" w:color="868686"/>
            </w:tcBorders>
            <w:vAlign w:val="bottom"/>
          </w:tcPr>
          <w:p w:rsidR="00AC12B4" w:rsidRDefault="00AC12B4">
            <w:pPr>
              <w:rPr>
                <w:sz w:val="3"/>
                <w:szCs w:val="3"/>
              </w:rPr>
            </w:pPr>
          </w:p>
        </w:tc>
        <w:tc>
          <w:tcPr>
            <w:tcW w:w="5160" w:type="dxa"/>
            <w:tcBorders>
              <w:bottom w:val="single" w:sz="8" w:space="0" w:color="868686"/>
            </w:tcBorders>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100"/>
        </w:trPr>
        <w:tc>
          <w:tcPr>
            <w:tcW w:w="220" w:type="dxa"/>
            <w:vMerge/>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9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51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59"/>
        </w:trPr>
        <w:tc>
          <w:tcPr>
            <w:tcW w:w="220" w:type="dxa"/>
            <w:vMerge/>
            <w:vAlign w:val="bottom"/>
          </w:tcPr>
          <w:p w:rsidR="00AC12B4" w:rsidRDefault="00AC12B4"/>
        </w:tc>
        <w:tc>
          <w:tcPr>
            <w:tcW w:w="380" w:type="dxa"/>
            <w:vMerge w:val="restart"/>
            <w:vAlign w:val="bottom"/>
          </w:tcPr>
          <w:p w:rsidR="00AC12B4" w:rsidRDefault="00C27636">
            <w:pPr>
              <w:ind w:right="28"/>
              <w:jc w:val="right"/>
              <w:rPr>
                <w:sz w:val="20"/>
                <w:szCs w:val="20"/>
              </w:rPr>
            </w:pPr>
            <w:r>
              <w:rPr>
                <w:rFonts w:ascii="Calibri" w:eastAsia="Calibri" w:hAnsi="Calibri" w:cs="Calibri"/>
                <w:sz w:val="20"/>
                <w:szCs w:val="20"/>
              </w:rPr>
              <w:t>40</w:t>
            </w:r>
          </w:p>
        </w:tc>
        <w:tc>
          <w:tcPr>
            <w:tcW w:w="80" w:type="dxa"/>
            <w:tcBorders>
              <w:bottom w:val="single" w:sz="8" w:space="0" w:color="868686"/>
              <w:right w:val="single" w:sz="8" w:space="0" w:color="868686"/>
            </w:tcBorders>
            <w:vAlign w:val="bottom"/>
          </w:tcPr>
          <w:p w:rsidR="00AC12B4" w:rsidRDefault="00AC12B4"/>
        </w:tc>
        <w:tc>
          <w:tcPr>
            <w:tcW w:w="1940" w:type="dxa"/>
            <w:tcBorders>
              <w:bottom w:val="single" w:sz="8" w:space="0" w:color="868686"/>
              <w:right w:val="single" w:sz="8" w:space="0" w:color="B66D31"/>
            </w:tcBorders>
            <w:vAlign w:val="bottom"/>
          </w:tcPr>
          <w:p w:rsidR="00AC12B4" w:rsidRDefault="00AC12B4"/>
        </w:tc>
        <w:tc>
          <w:tcPr>
            <w:tcW w:w="220" w:type="dxa"/>
            <w:tcBorders>
              <w:bottom w:val="single" w:sz="8" w:space="0" w:color="868686"/>
              <w:right w:val="single" w:sz="8" w:space="0" w:color="8C3836"/>
            </w:tcBorders>
            <w:vAlign w:val="bottom"/>
          </w:tcPr>
          <w:p w:rsidR="00AC12B4" w:rsidRDefault="00AC12B4"/>
        </w:tc>
        <w:tc>
          <w:tcPr>
            <w:tcW w:w="160" w:type="dxa"/>
            <w:tcBorders>
              <w:bottom w:val="single" w:sz="8" w:space="0" w:color="868686"/>
            </w:tcBorders>
            <w:vAlign w:val="bottom"/>
          </w:tcPr>
          <w:p w:rsidR="00AC12B4" w:rsidRDefault="00AC12B4"/>
        </w:tc>
        <w:tc>
          <w:tcPr>
            <w:tcW w:w="280" w:type="dxa"/>
            <w:tcBorders>
              <w:bottom w:val="single" w:sz="8" w:space="0" w:color="868686"/>
              <w:right w:val="single" w:sz="8" w:space="0" w:color="71893F"/>
            </w:tcBorders>
            <w:vAlign w:val="bottom"/>
          </w:tcPr>
          <w:p w:rsidR="00AC12B4" w:rsidRDefault="00AC12B4"/>
        </w:tc>
        <w:tc>
          <w:tcPr>
            <w:tcW w:w="160" w:type="dxa"/>
            <w:tcBorders>
              <w:bottom w:val="single" w:sz="8" w:space="0" w:color="868686"/>
            </w:tcBorders>
            <w:vAlign w:val="bottom"/>
          </w:tcPr>
          <w:p w:rsidR="00AC12B4" w:rsidRDefault="00AC12B4"/>
        </w:tc>
        <w:tc>
          <w:tcPr>
            <w:tcW w:w="280" w:type="dxa"/>
            <w:tcBorders>
              <w:bottom w:val="single" w:sz="8" w:space="0" w:color="868686"/>
              <w:right w:val="single" w:sz="8" w:space="0" w:color="5C4776"/>
            </w:tcBorders>
            <w:vAlign w:val="bottom"/>
          </w:tcPr>
          <w:p w:rsidR="00AC12B4" w:rsidRDefault="00AC12B4"/>
        </w:tc>
        <w:tc>
          <w:tcPr>
            <w:tcW w:w="5160" w:type="dxa"/>
            <w:tcBorders>
              <w:bottom w:val="single" w:sz="8" w:space="0" w:color="868686"/>
            </w:tcBorders>
            <w:vAlign w:val="bottom"/>
          </w:tcPr>
          <w:p w:rsidR="00AC12B4" w:rsidRDefault="00AC12B4"/>
        </w:tc>
        <w:tc>
          <w:tcPr>
            <w:tcW w:w="0" w:type="dxa"/>
            <w:vAlign w:val="bottom"/>
          </w:tcPr>
          <w:p w:rsidR="00AC12B4" w:rsidRDefault="00AC12B4">
            <w:pPr>
              <w:rPr>
                <w:sz w:val="1"/>
                <w:szCs w:val="1"/>
              </w:rPr>
            </w:pPr>
          </w:p>
        </w:tc>
      </w:tr>
      <w:tr w:rsidR="00AC12B4">
        <w:trPr>
          <w:trHeight w:val="93"/>
        </w:trPr>
        <w:tc>
          <w:tcPr>
            <w:tcW w:w="220" w:type="dxa"/>
            <w:vMerge/>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940" w:type="dxa"/>
            <w:tcBorders>
              <w:right w:val="single" w:sz="8" w:space="0" w:color="B66D31"/>
            </w:tcBorders>
            <w:vAlign w:val="bottom"/>
          </w:tcPr>
          <w:p w:rsidR="00AC12B4" w:rsidRDefault="00AC12B4">
            <w:pPr>
              <w:rPr>
                <w:sz w:val="8"/>
                <w:szCs w:val="8"/>
              </w:rPr>
            </w:pPr>
          </w:p>
        </w:tc>
        <w:tc>
          <w:tcPr>
            <w:tcW w:w="220" w:type="dxa"/>
            <w:tcBorders>
              <w:right w:val="single" w:sz="8" w:space="0" w:color="8C3836"/>
            </w:tcBorders>
            <w:vAlign w:val="bottom"/>
          </w:tcPr>
          <w:p w:rsidR="00AC12B4" w:rsidRDefault="00AC12B4">
            <w:pPr>
              <w:rPr>
                <w:sz w:val="8"/>
                <w:szCs w:val="8"/>
              </w:rPr>
            </w:pPr>
          </w:p>
        </w:tc>
        <w:tc>
          <w:tcPr>
            <w:tcW w:w="160" w:type="dxa"/>
            <w:vAlign w:val="bottom"/>
          </w:tcPr>
          <w:p w:rsidR="00AC12B4" w:rsidRDefault="00AC12B4">
            <w:pPr>
              <w:rPr>
                <w:sz w:val="8"/>
                <w:szCs w:val="8"/>
              </w:rPr>
            </w:pPr>
          </w:p>
        </w:tc>
        <w:tc>
          <w:tcPr>
            <w:tcW w:w="280" w:type="dxa"/>
            <w:tcBorders>
              <w:right w:val="single" w:sz="8" w:space="0" w:color="71893F"/>
            </w:tcBorders>
            <w:vAlign w:val="bottom"/>
          </w:tcPr>
          <w:p w:rsidR="00AC12B4" w:rsidRDefault="00AC12B4">
            <w:pPr>
              <w:rPr>
                <w:sz w:val="8"/>
                <w:szCs w:val="8"/>
              </w:rPr>
            </w:pPr>
          </w:p>
        </w:tc>
        <w:tc>
          <w:tcPr>
            <w:tcW w:w="160" w:type="dxa"/>
            <w:vAlign w:val="bottom"/>
          </w:tcPr>
          <w:p w:rsidR="00AC12B4" w:rsidRDefault="00AC12B4">
            <w:pPr>
              <w:rPr>
                <w:sz w:val="8"/>
                <w:szCs w:val="8"/>
              </w:rPr>
            </w:pPr>
          </w:p>
        </w:tc>
        <w:tc>
          <w:tcPr>
            <w:tcW w:w="280" w:type="dxa"/>
            <w:tcBorders>
              <w:right w:val="single" w:sz="8" w:space="0" w:color="5C4776"/>
            </w:tcBorders>
            <w:vAlign w:val="bottom"/>
          </w:tcPr>
          <w:p w:rsidR="00AC12B4" w:rsidRDefault="00AC12B4">
            <w:pPr>
              <w:rPr>
                <w:sz w:val="8"/>
                <w:szCs w:val="8"/>
              </w:rPr>
            </w:pPr>
          </w:p>
        </w:tc>
        <w:tc>
          <w:tcPr>
            <w:tcW w:w="51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64"/>
        </w:trPr>
        <w:tc>
          <w:tcPr>
            <w:tcW w:w="220" w:type="dxa"/>
            <w:vAlign w:val="bottom"/>
          </w:tcPr>
          <w:p w:rsidR="00AC12B4" w:rsidRDefault="00AC12B4"/>
        </w:tc>
        <w:tc>
          <w:tcPr>
            <w:tcW w:w="380" w:type="dxa"/>
            <w:vMerge w:val="restart"/>
            <w:vAlign w:val="bottom"/>
          </w:tcPr>
          <w:p w:rsidR="00AC12B4" w:rsidRDefault="00C27636">
            <w:pPr>
              <w:ind w:right="28"/>
              <w:jc w:val="right"/>
              <w:rPr>
                <w:sz w:val="20"/>
                <w:szCs w:val="20"/>
              </w:rPr>
            </w:pPr>
            <w:r>
              <w:rPr>
                <w:rFonts w:ascii="Calibri" w:eastAsia="Calibri" w:hAnsi="Calibri" w:cs="Calibri"/>
                <w:sz w:val="20"/>
                <w:szCs w:val="20"/>
              </w:rPr>
              <w:t>2</w:t>
            </w:r>
            <w:r>
              <w:rPr>
                <w:rFonts w:ascii="Calibri" w:eastAsia="Calibri" w:hAnsi="Calibri" w:cs="Calibri"/>
                <w:sz w:val="20"/>
                <w:szCs w:val="20"/>
              </w:rPr>
              <w:lastRenderedPageBreak/>
              <w:t>0</w:t>
            </w:r>
          </w:p>
        </w:tc>
        <w:tc>
          <w:tcPr>
            <w:tcW w:w="80" w:type="dxa"/>
            <w:tcBorders>
              <w:bottom w:val="single" w:sz="8" w:space="0" w:color="868686"/>
              <w:right w:val="single" w:sz="8" w:space="0" w:color="868686"/>
            </w:tcBorders>
            <w:vAlign w:val="bottom"/>
          </w:tcPr>
          <w:p w:rsidR="00AC12B4" w:rsidRDefault="00AC12B4"/>
        </w:tc>
        <w:tc>
          <w:tcPr>
            <w:tcW w:w="1940" w:type="dxa"/>
            <w:tcBorders>
              <w:bottom w:val="single" w:sz="8" w:space="0" w:color="868686"/>
              <w:right w:val="single" w:sz="8" w:space="0" w:color="B66D31"/>
            </w:tcBorders>
            <w:vAlign w:val="bottom"/>
          </w:tcPr>
          <w:p w:rsidR="00AC12B4" w:rsidRDefault="00AC12B4"/>
        </w:tc>
        <w:tc>
          <w:tcPr>
            <w:tcW w:w="220" w:type="dxa"/>
            <w:tcBorders>
              <w:bottom w:val="single" w:sz="8" w:space="0" w:color="868686"/>
              <w:right w:val="single" w:sz="8" w:space="0" w:color="8C3836"/>
            </w:tcBorders>
            <w:vAlign w:val="bottom"/>
          </w:tcPr>
          <w:p w:rsidR="00AC12B4" w:rsidRDefault="00AC12B4"/>
        </w:tc>
        <w:tc>
          <w:tcPr>
            <w:tcW w:w="160" w:type="dxa"/>
            <w:tcBorders>
              <w:bottom w:val="single" w:sz="8" w:space="0" w:color="868686"/>
            </w:tcBorders>
            <w:vAlign w:val="bottom"/>
          </w:tcPr>
          <w:p w:rsidR="00AC12B4" w:rsidRDefault="00AC12B4"/>
        </w:tc>
        <w:tc>
          <w:tcPr>
            <w:tcW w:w="280" w:type="dxa"/>
            <w:tcBorders>
              <w:bottom w:val="single" w:sz="8" w:space="0" w:color="868686"/>
              <w:right w:val="single" w:sz="8" w:space="0" w:color="71893F"/>
            </w:tcBorders>
            <w:vAlign w:val="bottom"/>
          </w:tcPr>
          <w:p w:rsidR="00AC12B4" w:rsidRDefault="00AC12B4"/>
        </w:tc>
        <w:tc>
          <w:tcPr>
            <w:tcW w:w="160" w:type="dxa"/>
            <w:tcBorders>
              <w:bottom w:val="single" w:sz="8" w:space="0" w:color="868686"/>
            </w:tcBorders>
            <w:vAlign w:val="bottom"/>
          </w:tcPr>
          <w:p w:rsidR="00AC12B4" w:rsidRDefault="00AC12B4"/>
        </w:tc>
        <w:tc>
          <w:tcPr>
            <w:tcW w:w="280" w:type="dxa"/>
            <w:tcBorders>
              <w:bottom w:val="single" w:sz="8" w:space="0" w:color="868686"/>
              <w:right w:val="single" w:sz="8" w:space="0" w:color="5C4776"/>
            </w:tcBorders>
            <w:vAlign w:val="bottom"/>
          </w:tcPr>
          <w:p w:rsidR="00AC12B4" w:rsidRDefault="00AC12B4"/>
        </w:tc>
        <w:tc>
          <w:tcPr>
            <w:tcW w:w="5160" w:type="dxa"/>
            <w:tcBorders>
              <w:bottom w:val="single" w:sz="8" w:space="0" w:color="868686"/>
            </w:tcBorders>
            <w:vAlign w:val="bottom"/>
          </w:tcPr>
          <w:p w:rsidR="00AC12B4" w:rsidRDefault="00AC12B4"/>
        </w:tc>
        <w:tc>
          <w:tcPr>
            <w:tcW w:w="0" w:type="dxa"/>
            <w:vAlign w:val="bottom"/>
          </w:tcPr>
          <w:p w:rsidR="00AC12B4" w:rsidRDefault="00AC12B4">
            <w:pPr>
              <w:rPr>
                <w:sz w:val="1"/>
                <w:szCs w:val="1"/>
              </w:rPr>
            </w:pPr>
          </w:p>
        </w:tc>
      </w:tr>
      <w:tr w:rsidR="00AC12B4">
        <w:trPr>
          <w:trHeight w:val="94"/>
        </w:trPr>
        <w:tc>
          <w:tcPr>
            <w:tcW w:w="220" w:type="dxa"/>
            <w:vAlign w:val="bottom"/>
          </w:tcPr>
          <w:p w:rsidR="00AC12B4" w:rsidRDefault="00AC12B4">
            <w:pPr>
              <w:rPr>
                <w:sz w:val="8"/>
                <w:szCs w:val="8"/>
              </w:rPr>
            </w:pPr>
          </w:p>
        </w:tc>
        <w:tc>
          <w:tcPr>
            <w:tcW w:w="38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940" w:type="dxa"/>
            <w:tcBorders>
              <w:right w:val="single" w:sz="8" w:space="0" w:color="B66D31"/>
            </w:tcBorders>
            <w:vAlign w:val="bottom"/>
          </w:tcPr>
          <w:p w:rsidR="00AC12B4" w:rsidRDefault="00AC12B4">
            <w:pPr>
              <w:rPr>
                <w:sz w:val="8"/>
                <w:szCs w:val="8"/>
              </w:rPr>
            </w:pPr>
          </w:p>
        </w:tc>
        <w:tc>
          <w:tcPr>
            <w:tcW w:w="220" w:type="dxa"/>
            <w:tcBorders>
              <w:right w:val="single" w:sz="8" w:space="0" w:color="8C3836"/>
            </w:tcBorders>
            <w:vAlign w:val="bottom"/>
          </w:tcPr>
          <w:p w:rsidR="00AC12B4" w:rsidRDefault="00AC12B4">
            <w:pPr>
              <w:rPr>
                <w:sz w:val="8"/>
                <w:szCs w:val="8"/>
              </w:rPr>
            </w:pPr>
          </w:p>
        </w:tc>
        <w:tc>
          <w:tcPr>
            <w:tcW w:w="160" w:type="dxa"/>
            <w:vAlign w:val="bottom"/>
          </w:tcPr>
          <w:p w:rsidR="00AC12B4" w:rsidRDefault="00AC12B4">
            <w:pPr>
              <w:rPr>
                <w:sz w:val="8"/>
                <w:szCs w:val="8"/>
              </w:rPr>
            </w:pPr>
          </w:p>
        </w:tc>
        <w:tc>
          <w:tcPr>
            <w:tcW w:w="280" w:type="dxa"/>
            <w:tcBorders>
              <w:right w:val="single" w:sz="8" w:space="0" w:color="71893F"/>
            </w:tcBorders>
            <w:vAlign w:val="bottom"/>
          </w:tcPr>
          <w:p w:rsidR="00AC12B4" w:rsidRDefault="00AC12B4">
            <w:pPr>
              <w:rPr>
                <w:sz w:val="8"/>
                <w:szCs w:val="8"/>
              </w:rPr>
            </w:pPr>
          </w:p>
        </w:tc>
        <w:tc>
          <w:tcPr>
            <w:tcW w:w="160" w:type="dxa"/>
            <w:vAlign w:val="bottom"/>
          </w:tcPr>
          <w:p w:rsidR="00AC12B4" w:rsidRDefault="00AC12B4">
            <w:pPr>
              <w:rPr>
                <w:sz w:val="8"/>
                <w:szCs w:val="8"/>
              </w:rPr>
            </w:pPr>
          </w:p>
        </w:tc>
        <w:tc>
          <w:tcPr>
            <w:tcW w:w="280" w:type="dxa"/>
            <w:tcBorders>
              <w:right w:val="single" w:sz="8" w:space="0" w:color="5C4776"/>
            </w:tcBorders>
            <w:vAlign w:val="bottom"/>
          </w:tcPr>
          <w:p w:rsidR="00AC12B4" w:rsidRDefault="00AC12B4">
            <w:pPr>
              <w:rPr>
                <w:sz w:val="8"/>
                <w:szCs w:val="8"/>
              </w:rPr>
            </w:pPr>
          </w:p>
        </w:tc>
        <w:tc>
          <w:tcPr>
            <w:tcW w:w="51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301"/>
        </w:trPr>
        <w:tc>
          <w:tcPr>
            <w:tcW w:w="220" w:type="dxa"/>
            <w:vAlign w:val="bottom"/>
          </w:tcPr>
          <w:p w:rsidR="00AC12B4" w:rsidRDefault="00AC12B4">
            <w:pPr>
              <w:rPr>
                <w:sz w:val="24"/>
                <w:szCs w:val="24"/>
              </w:rPr>
            </w:pPr>
          </w:p>
        </w:tc>
        <w:tc>
          <w:tcPr>
            <w:tcW w:w="380" w:type="dxa"/>
            <w:vMerge w:val="restart"/>
            <w:vAlign w:val="bottom"/>
          </w:tcPr>
          <w:p w:rsidR="00AC12B4" w:rsidRDefault="00C27636">
            <w:pPr>
              <w:ind w:right="28"/>
              <w:jc w:val="right"/>
              <w:rPr>
                <w:sz w:val="20"/>
                <w:szCs w:val="20"/>
              </w:rPr>
            </w:pPr>
            <w:r>
              <w:rPr>
                <w:rFonts w:ascii="Calibri" w:eastAsia="Calibri" w:hAnsi="Calibri" w:cs="Calibri"/>
                <w:sz w:val="20"/>
                <w:szCs w:val="20"/>
              </w:rPr>
              <w:t>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1940" w:type="dxa"/>
            <w:tcBorders>
              <w:bottom w:val="single" w:sz="8" w:space="0" w:color="868686"/>
              <w:right w:val="single" w:sz="8" w:space="0" w:color="B66D31"/>
            </w:tcBorders>
            <w:vAlign w:val="bottom"/>
          </w:tcPr>
          <w:p w:rsidR="00AC12B4" w:rsidRDefault="00AC12B4">
            <w:pPr>
              <w:rPr>
                <w:sz w:val="24"/>
                <w:szCs w:val="24"/>
              </w:rPr>
            </w:pPr>
          </w:p>
        </w:tc>
        <w:tc>
          <w:tcPr>
            <w:tcW w:w="220" w:type="dxa"/>
            <w:tcBorders>
              <w:bottom w:val="single" w:sz="8" w:space="0" w:color="868686"/>
              <w:right w:val="single" w:sz="8" w:space="0" w:color="8C3836"/>
            </w:tcBorders>
            <w:vAlign w:val="bottom"/>
          </w:tcPr>
          <w:p w:rsidR="00AC12B4" w:rsidRDefault="00AC12B4">
            <w:pPr>
              <w:rPr>
                <w:sz w:val="24"/>
                <w:szCs w:val="24"/>
              </w:rPr>
            </w:pPr>
          </w:p>
        </w:tc>
        <w:tc>
          <w:tcPr>
            <w:tcW w:w="160" w:type="dxa"/>
            <w:tcBorders>
              <w:bottom w:val="single" w:sz="8" w:space="0" w:color="868686"/>
            </w:tcBorders>
            <w:vAlign w:val="bottom"/>
          </w:tcPr>
          <w:p w:rsidR="00AC12B4" w:rsidRDefault="00AC12B4">
            <w:pPr>
              <w:rPr>
                <w:sz w:val="24"/>
                <w:szCs w:val="24"/>
              </w:rPr>
            </w:pPr>
          </w:p>
        </w:tc>
        <w:tc>
          <w:tcPr>
            <w:tcW w:w="280" w:type="dxa"/>
            <w:tcBorders>
              <w:bottom w:val="single" w:sz="8" w:space="0" w:color="868686"/>
              <w:right w:val="single" w:sz="8" w:space="0" w:color="71893F"/>
            </w:tcBorders>
            <w:vAlign w:val="bottom"/>
          </w:tcPr>
          <w:p w:rsidR="00AC12B4" w:rsidRDefault="00AC12B4">
            <w:pPr>
              <w:rPr>
                <w:sz w:val="24"/>
                <w:szCs w:val="24"/>
              </w:rPr>
            </w:pPr>
          </w:p>
        </w:tc>
        <w:tc>
          <w:tcPr>
            <w:tcW w:w="160" w:type="dxa"/>
            <w:tcBorders>
              <w:bottom w:val="single" w:sz="8" w:space="0" w:color="868686"/>
            </w:tcBorders>
            <w:vAlign w:val="bottom"/>
          </w:tcPr>
          <w:p w:rsidR="00AC12B4" w:rsidRDefault="00AC12B4">
            <w:pPr>
              <w:rPr>
                <w:sz w:val="24"/>
                <w:szCs w:val="24"/>
              </w:rPr>
            </w:pPr>
          </w:p>
        </w:tc>
        <w:tc>
          <w:tcPr>
            <w:tcW w:w="280" w:type="dxa"/>
            <w:tcBorders>
              <w:bottom w:val="single" w:sz="8" w:space="0" w:color="868686"/>
              <w:right w:val="single" w:sz="8" w:space="0" w:color="5C4776"/>
            </w:tcBorders>
            <w:vAlign w:val="bottom"/>
          </w:tcPr>
          <w:p w:rsidR="00AC12B4" w:rsidRDefault="00AC12B4">
            <w:pPr>
              <w:rPr>
                <w:sz w:val="24"/>
                <w:szCs w:val="24"/>
              </w:rPr>
            </w:pPr>
          </w:p>
        </w:tc>
        <w:tc>
          <w:tcPr>
            <w:tcW w:w="5160" w:type="dxa"/>
            <w:tcBorders>
              <w:bottom w:val="single" w:sz="8" w:space="0" w:color="868686"/>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53"/>
        </w:trPr>
        <w:tc>
          <w:tcPr>
            <w:tcW w:w="220" w:type="dxa"/>
            <w:vAlign w:val="bottom"/>
          </w:tcPr>
          <w:p w:rsidR="00AC12B4" w:rsidRDefault="00AC12B4">
            <w:pPr>
              <w:rPr>
                <w:sz w:val="4"/>
                <w:szCs w:val="4"/>
              </w:rPr>
            </w:pPr>
          </w:p>
        </w:tc>
        <w:tc>
          <w:tcPr>
            <w:tcW w:w="380" w:type="dxa"/>
            <w:vMerge/>
            <w:vAlign w:val="bottom"/>
          </w:tcPr>
          <w:p w:rsidR="00AC12B4" w:rsidRDefault="00AC12B4">
            <w:pPr>
              <w:rPr>
                <w:sz w:val="4"/>
                <w:szCs w:val="4"/>
              </w:rPr>
            </w:pPr>
          </w:p>
        </w:tc>
        <w:tc>
          <w:tcPr>
            <w:tcW w:w="80" w:type="dxa"/>
            <w:vAlign w:val="bottom"/>
          </w:tcPr>
          <w:p w:rsidR="00AC12B4" w:rsidRDefault="00AC12B4">
            <w:pPr>
              <w:rPr>
                <w:sz w:val="4"/>
                <w:szCs w:val="4"/>
              </w:rPr>
            </w:pPr>
          </w:p>
        </w:tc>
        <w:tc>
          <w:tcPr>
            <w:tcW w:w="194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16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16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5160" w:type="dxa"/>
            <w:vAlign w:val="bottom"/>
          </w:tcPr>
          <w:p w:rsidR="00AC12B4" w:rsidRDefault="00AC12B4">
            <w:pPr>
              <w:rPr>
                <w:sz w:val="4"/>
                <w:szCs w:val="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666944" behindDoc="1" locked="0" layoutInCell="0" allowOverlap="1">
            <wp:simplePos x="0" y="0"/>
            <wp:positionH relativeFrom="column">
              <wp:posOffset>659130</wp:posOffset>
            </wp:positionH>
            <wp:positionV relativeFrom="paragraph">
              <wp:posOffset>-868680</wp:posOffset>
            </wp:positionV>
            <wp:extent cx="5196840" cy="835025"/>
            <wp:effectExtent l="0" t="0" r="0" b="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10">
                      <a:extLst/>
                    </a:blip>
                    <a:srcRect/>
                    <a:stretch>
                      <a:fillRect/>
                    </a:stretch>
                  </pic:blipFill>
                  <pic:spPr bwMode="auto">
                    <a:xfrm>
                      <a:off x="0" y="0"/>
                      <a:ext cx="5196840" cy="835025"/>
                    </a:xfrm>
                    <a:prstGeom prst="rect">
                      <a:avLst/>
                    </a:prstGeom>
                    <a:noFill/>
                  </pic:spPr>
                </pic:pic>
              </a:graphicData>
            </a:graphic>
          </wp:anchor>
        </w:drawing>
      </w:r>
    </w:p>
    <w:tbl>
      <w:tblPr>
        <w:tblW w:w="0" w:type="auto"/>
        <w:tblInd w:w="1029" w:type="dxa"/>
        <w:tblLayout w:type="fixed"/>
        <w:tblCellMar>
          <w:left w:w="0" w:type="dxa"/>
          <w:right w:w="0" w:type="dxa"/>
        </w:tblCellMar>
        <w:tblLook w:val="04A0" w:firstRow="1" w:lastRow="0" w:firstColumn="1" w:lastColumn="0" w:noHBand="0" w:noVBand="1"/>
      </w:tblPr>
      <w:tblGrid>
        <w:gridCol w:w="8130"/>
      </w:tblGrid>
      <w:tr w:rsidR="00AC12B4">
        <w:trPr>
          <w:trHeight w:val="300"/>
        </w:trPr>
        <w:tc>
          <w:tcPr>
            <w:tcW w:w="8130" w:type="dxa"/>
            <w:textDirection w:val="btLr"/>
            <w:vAlign w:val="bottom"/>
          </w:tcPr>
          <w:p w:rsidR="00AC12B4" w:rsidRDefault="00C27636">
            <w:pPr>
              <w:spacing w:line="288" w:lineRule="auto"/>
              <w:ind w:firstLine="88"/>
              <w:rPr>
                <w:sz w:val="20"/>
                <w:szCs w:val="20"/>
              </w:rPr>
            </w:pPr>
            <w:r>
              <w:rPr>
                <w:rFonts w:ascii="Calibri" w:eastAsia="Calibri" w:hAnsi="Calibri" w:cs="Calibri"/>
                <w:sz w:val="15"/>
                <w:szCs w:val="15"/>
              </w:rPr>
              <w:t>FIN ISL POL SWE NOR EST CAN LUX ESP DNK NZL USA GBR AUS IRL CHE TUR PRT CHL KOR MEX GRC JPN BFR</w:t>
            </w:r>
            <w:r>
              <w:rPr>
                <w:rFonts w:ascii="Calibri" w:eastAsia="Calibri" w:hAnsi="Calibri" w:cs="Calibri"/>
                <w:sz w:val="15"/>
                <w:szCs w:val="15"/>
              </w:rPr>
              <w:t xml:space="preserve"> ISR BGE ITA BEL BFL CZE SVK AUT DEU SVN HUN NLD FRA</w:t>
            </w:r>
          </w:p>
        </w:tc>
      </w:tr>
    </w:tbl>
    <w:p w:rsidR="00AC12B4" w:rsidRDefault="00AC12B4">
      <w:pPr>
        <w:spacing w:line="215" w:lineRule="exact"/>
        <w:rPr>
          <w:sz w:val="20"/>
          <w:szCs w:val="20"/>
        </w:rPr>
      </w:pPr>
    </w:p>
    <w:p w:rsidR="00AC12B4" w:rsidRDefault="00C27636">
      <w:pPr>
        <w:ind w:left="60"/>
        <w:rPr>
          <w:sz w:val="20"/>
          <w:szCs w:val="20"/>
        </w:rPr>
      </w:pPr>
      <w:r>
        <w:rPr>
          <w:rFonts w:ascii="Calibri" w:eastAsia="Calibri" w:hAnsi="Calibri" w:cs="Calibri"/>
          <w:b/>
          <w:bCs/>
          <w:color w:val="4F81BD"/>
          <w:sz w:val="18"/>
          <w:szCs w:val="18"/>
        </w:rPr>
        <w:t>Figure 3. PISA 2012</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73" w:lineRule="exact"/>
        <w:rPr>
          <w:sz w:val="20"/>
          <w:szCs w:val="20"/>
        </w:rPr>
      </w:pPr>
    </w:p>
    <w:p w:rsidR="00AC12B4" w:rsidRDefault="00C27636">
      <w:pPr>
        <w:ind w:right="840"/>
        <w:jc w:val="center"/>
        <w:rPr>
          <w:sz w:val="20"/>
          <w:szCs w:val="20"/>
        </w:rPr>
      </w:pPr>
      <w:r>
        <w:rPr>
          <w:rFonts w:ascii="Calibri" w:eastAsia="Calibri" w:hAnsi="Calibri" w:cs="Calibri"/>
        </w:rPr>
        <w:t>120</w:t>
      </w:r>
    </w:p>
    <w:p w:rsidR="00AC12B4" w:rsidRDefault="00AC12B4">
      <w:pPr>
        <w:sectPr w:rsidR="00AC12B4">
          <w:pgSz w:w="12080" w:h="17179"/>
          <w:pgMar w:top="1440" w:right="1297" w:bottom="659" w:left="497" w:header="0" w:footer="0" w:gutter="0"/>
          <w:cols w:num="2" w:space="720" w:equalWidth="0">
            <w:col w:w="342" w:space="561"/>
            <w:col w:w="9380"/>
          </w:cols>
        </w:sectPr>
      </w:pPr>
    </w:p>
    <w:p w:rsidR="00AC12B4" w:rsidRDefault="00AC12B4">
      <w:pPr>
        <w:spacing w:line="170" w:lineRule="exact"/>
        <w:rPr>
          <w:sz w:val="20"/>
          <w:szCs w:val="20"/>
        </w:rPr>
      </w:pPr>
      <w:bookmarkStart w:id="120" w:name="page121"/>
      <w:bookmarkEnd w:id="120"/>
    </w:p>
    <w:p w:rsidR="00AC12B4" w:rsidRPr="00C27636" w:rsidRDefault="00C27636">
      <w:pPr>
        <w:numPr>
          <w:ilvl w:val="0"/>
          <w:numId w:val="204"/>
        </w:numPr>
        <w:tabs>
          <w:tab w:val="left" w:pos="1000"/>
        </w:tabs>
        <w:spacing w:line="287" w:lineRule="auto"/>
        <w:ind w:left="1000" w:right="540" w:hanging="366"/>
        <w:jc w:val="both"/>
        <w:rPr>
          <w:rFonts w:ascii="Cambria" w:eastAsia="Cambria" w:hAnsi="Cambria" w:cs="Cambria"/>
          <w:i/>
          <w:iCs/>
          <w:color w:val="4BACC6"/>
          <w:lang w:val="fr-BE"/>
        </w:rPr>
      </w:pPr>
      <w:hyperlink w:anchor="page120">
        <w:r w:rsidRPr="00C27636">
          <w:rPr>
            <w:rFonts w:ascii="Cambria" w:eastAsia="Cambria" w:hAnsi="Cambria" w:cs="Cambria"/>
            <w:i/>
            <w:iCs/>
            <w:color w:val="4BACC6"/>
            <w:lang w:val="fr-BE"/>
          </w:rPr>
          <w:t xml:space="preserve">Figure </w:t>
        </w:r>
      </w:hyperlink>
      <w:r w:rsidRPr="00C27636">
        <w:rPr>
          <w:rFonts w:ascii="Cambria" w:eastAsia="Cambria" w:hAnsi="Cambria" w:cs="Cambria"/>
          <w:i/>
          <w:iCs/>
          <w:color w:val="4BACC6"/>
          <w:lang w:val="fr-BE"/>
        </w:rPr>
        <w:t>: Selon l’utilisation d’une langue étrangère à la maison</w:t>
      </w:r>
    </w:p>
    <w:p w:rsidR="00AC12B4" w:rsidRPr="00C27636" w:rsidRDefault="00AC12B4">
      <w:pPr>
        <w:spacing w:line="200" w:lineRule="exact"/>
        <w:rPr>
          <w:sz w:val="20"/>
          <w:szCs w:val="20"/>
          <w:lang w:val="fr-BE"/>
        </w:rPr>
      </w:pPr>
    </w:p>
    <w:p w:rsidR="00AC12B4" w:rsidRPr="00C27636" w:rsidRDefault="00AC12B4">
      <w:pPr>
        <w:spacing w:line="235" w:lineRule="exact"/>
        <w:rPr>
          <w:sz w:val="20"/>
          <w:szCs w:val="20"/>
          <w:lang w:val="fr-BE"/>
        </w:rPr>
      </w:pPr>
    </w:p>
    <w:p w:rsidR="00AC12B4" w:rsidRPr="00C27636" w:rsidRDefault="00C27636">
      <w:pPr>
        <w:spacing w:line="232" w:lineRule="auto"/>
        <w:ind w:left="560" w:right="520"/>
        <w:jc w:val="both"/>
        <w:rPr>
          <w:sz w:val="20"/>
          <w:szCs w:val="20"/>
          <w:lang w:val="fr-BE"/>
        </w:rPr>
      </w:pPr>
      <w:r w:rsidRPr="00C27636">
        <w:rPr>
          <w:rFonts w:ascii="Calibri" w:eastAsia="Calibri" w:hAnsi="Calibri" w:cs="Calibri"/>
          <w:lang w:val="fr-BE"/>
        </w:rPr>
        <w:t xml:space="preserve">La concentration dans une même école d’élèves </w:t>
      </w:r>
      <w:r w:rsidRPr="00C27636">
        <w:rPr>
          <w:rFonts w:ascii="Calibri" w:eastAsia="Calibri" w:hAnsi="Calibri" w:cs="Calibri"/>
          <w:lang w:val="fr-BE"/>
        </w:rPr>
        <w:t>parlant une langue étrangère à la maison est la plus élevée en FWB (44%). Le problème est moins grand dans la Communauté flamande (25%) et la Communauté germanophone (27%).</w:t>
      </w:r>
    </w:p>
    <w:p w:rsidR="00AC12B4" w:rsidRPr="00C27636" w:rsidRDefault="00AC12B4">
      <w:pPr>
        <w:spacing w:line="131" w:lineRule="exact"/>
        <w:rPr>
          <w:sz w:val="20"/>
          <w:szCs w:val="20"/>
          <w:lang w:val="fr-BE"/>
        </w:rPr>
      </w:pPr>
    </w:p>
    <w:p w:rsidR="00AC12B4" w:rsidRPr="00C27636" w:rsidRDefault="00C27636">
      <w:pPr>
        <w:numPr>
          <w:ilvl w:val="0"/>
          <w:numId w:val="205"/>
        </w:numPr>
        <w:tabs>
          <w:tab w:val="left" w:pos="1000"/>
        </w:tabs>
        <w:spacing w:line="276" w:lineRule="auto"/>
        <w:ind w:left="1000" w:right="540" w:hanging="366"/>
        <w:rPr>
          <w:rFonts w:ascii="Cambria" w:eastAsia="Cambria" w:hAnsi="Cambria" w:cs="Cambria"/>
          <w:i/>
          <w:iCs/>
          <w:color w:val="4BACC6"/>
          <w:lang w:val="fr-BE"/>
        </w:rPr>
      </w:pPr>
      <w:hyperlink w:anchor="page120">
        <w:r w:rsidRPr="00C27636">
          <w:rPr>
            <w:rFonts w:ascii="Cambria" w:eastAsia="Cambria" w:hAnsi="Cambria" w:cs="Cambria"/>
            <w:i/>
            <w:iCs/>
            <w:color w:val="4BACC6"/>
            <w:lang w:val="fr-BE"/>
          </w:rPr>
          <w:t xml:space="preserve">Figure </w:t>
        </w:r>
      </w:hyperlink>
      <w:r w:rsidRPr="00C27636">
        <w:rPr>
          <w:rFonts w:ascii="Cambria" w:eastAsia="Cambria" w:hAnsi="Cambria" w:cs="Cambria"/>
          <w:i/>
          <w:iCs/>
          <w:color w:val="4BACC6"/>
          <w:lang w:val="fr-BE"/>
        </w:rPr>
        <w:t>3: Selon les performances en mathématique</w:t>
      </w:r>
    </w:p>
    <w:p w:rsidR="00AC12B4" w:rsidRPr="00C27636" w:rsidRDefault="00AC12B4">
      <w:pPr>
        <w:spacing w:line="161" w:lineRule="exact"/>
        <w:rPr>
          <w:sz w:val="20"/>
          <w:szCs w:val="20"/>
          <w:lang w:val="fr-BE"/>
        </w:rPr>
      </w:pPr>
    </w:p>
    <w:p w:rsidR="00AC12B4" w:rsidRPr="00C27636" w:rsidRDefault="00C27636">
      <w:pPr>
        <w:spacing w:line="231" w:lineRule="auto"/>
        <w:ind w:left="560" w:right="520"/>
        <w:jc w:val="both"/>
        <w:rPr>
          <w:sz w:val="20"/>
          <w:szCs w:val="20"/>
          <w:lang w:val="fr-BE"/>
        </w:rPr>
      </w:pPr>
      <w:r w:rsidRPr="00C27636">
        <w:rPr>
          <w:rFonts w:ascii="Calibri" w:eastAsia="Calibri" w:hAnsi="Calibri" w:cs="Calibri"/>
          <w:lang w:val="fr-BE"/>
        </w:rPr>
        <w:t>C’</w:t>
      </w:r>
      <w:r w:rsidRPr="00C27636">
        <w:rPr>
          <w:rFonts w:ascii="Calibri" w:eastAsia="Calibri" w:hAnsi="Calibri" w:cs="Calibri"/>
          <w:lang w:val="fr-BE"/>
        </w:rPr>
        <w:t>est ici la plus grande source de ségrégation en Belgique. Cela dénote l’existence d’une forte polarisation entre écoles « fortes » et « faibles » dans les trois Communautés (près de 60%).</w:t>
      </w:r>
    </w:p>
    <w:p w:rsidR="00AC12B4" w:rsidRPr="00C27636" w:rsidRDefault="00AC12B4">
      <w:pPr>
        <w:spacing w:line="209" w:lineRule="exact"/>
        <w:rPr>
          <w:sz w:val="20"/>
          <w:szCs w:val="20"/>
          <w:lang w:val="fr-BE"/>
        </w:rPr>
      </w:pPr>
    </w:p>
    <w:p w:rsidR="00AC12B4" w:rsidRDefault="00C27636">
      <w:pPr>
        <w:ind w:left="560"/>
        <w:rPr>
          <w:sz w:val="20"/>
          <w:szCs w:val="20"/>
        </w:rPr>
      </w:pPr>
      <w:r>
        <w:rPr>
          <w:rFonts w:ascii="Cambria" w:eastAsia="Cambria" w:hAnsi="Cambria" w:cs="Cambria"/>
          <w:b/>
          <w:bCs/>
          <w:i/>
          <w:iCs/>
          <w:color w:val="44ACE0"/>
          <w:sz w:val="26"/>
          <w:szCs w:val="26"/>
        </w:rPr>
        <w:t>D’où viennent ces chiffres ?</w:t>
      </w:r>
    </w:p>
    <w:p w:rsidR="00AC12B4" w:rsidRDefault="00AC12B4">
      <w:pPr>
        <w:spacing w:line="166" w:lineRule="exact"/>
        <w:rPr>
          <w:sz w:val="20"/>
          <w:szCs w:val="20"/>
        </w:rPr>
      </w:pPr>
    </w:p>
    <w:p w:rsidR="00AC12B4" w:rsidRDefault="00C27636">
      <w:pPr>
        <w:numPr>
          <w:ilvl w:val="0"/>
          <w:numId w:val="206"/>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PISA</w:t>
      </w:r>
    </w:p>
    <w:p w:rsidR="00AC12B4" w:rsidRDefault="00AC12B4">
      <w:pPr>
        <w:spacing w:line="202" w:lineRule="exact"/>
        <w:rPr>
          <w:sz w:val="20"/>
          <w:szCs w:val="20"/>
        </w:rPr>
      </w:pPr>
    </w:p>
    <w:p w:rsidR="00AC12B4" w:rsidRPr="00C27636" w:rsidRDefault="00C27636">
      <w:pPr>
        <w:spacing w:line="218" w:lineRule="auto"/>
        <w:ind w:left="560" w:right="520"/>
        <w:rPr>
          <w:sz w:val="20"/>
          <w:szCs w:val="20"/>
          <w:lang w:val="fr-BE"/>
        </w:rPr>
      </w:pPr>
      <w:r w:rsidRPr="00C27636">
        <w:rPr>
          <w:rFonts w:ascii="Calibri" w:eastAsia="Calibri" w:hAnsi="Calibri" w:cs="Calibri"/>
          <w:lang w:val="fr-BE"/>
        </w:rPr>
        <w:t xml:space="preserve">Pour une description de </w:t>
      </w:r>
      <w:r w:rsidRPr="00C27636">
        <w:rPr>
          <w:rFonts w:ascii="Calibri" w:eastAsia="Calibri" w:hAnsi="Calibri" w:cs="Calibri"/>
          <w:lang w:val="fr-BE"/>
        </w:rPr>
        <w:t>l’enquête PISA voir la section « sources ».</w:t>
      </w:r>
    </w:p>
    <w:p w:rsidR="00AC12B4" w:rsidRPr="00C27636" w:rsidRDefault="00AC12B4">
      <w:pPr>
        <w:spacing w:line="125" w:lineRule="exact"/>
        <w:rPr>
          <w:sz w:val="20"/>
          <w:szCs w:val="20"/>
          <w:lang w:val="fr-BE"/>
        </w:rPr>
      </w:pPr>
    </w:p>
    <w:p w:rsidR="00AC12B4" w:rsidRDefault="00C27636">
      <w:pPr>
        <w:numPr>
          <w:ilvl w:val="0"/>
          <w:numId w:val="207"/>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202" w:lineRule="exact"/>
        <w:rPr>
          <w:sz w:val="20"/>
          <w:szCs w:val="20"/>
        </w:rPr>
      </w:pPr>
    </w:p>
    <w:p w:rsidR="00AC12B4" w:rsidRPr="00C27636" w:rsidRDefault="00C27636">
      <w:pPr>
        <w:spacing w:line="235" w:lineRule="auto"/>
        <w:ind w:left="560" w:right="520"/>
        <w:jc w:val="both"/>
        <w:rPr>
          <w:sz w:val="20"/>
          <w:szCs w:val="20"/>
          <w:lang w:val="fr-BE"/>
        </w:rPr>
      </w:pPr>
      <w:r w:rsidRPr="00C27636">
        <w:rPr>
          <w:rFonts w:ascii="Calibri" w:eastAsia="Calibri" w:hAnsi="Calibri" w:cs="Calibri"/>
          <w:lang w:val="fr-BE"/>
        </w:rPr>
        <w:t xml:space="preserve">Comme indiqué dans la présentation de PISA, celle-ci est conçue pour être représentative des jeunes scolarisés de 15 ans. L’enseignement ordinaire et une partie des formes de l'enseignement </w:t>
      </w:r>
      <w:r w:rsidRPr="00C27636">
        <w:rPr>
          <w:rFonts w:ascii="Calibri" w:eastAsia="Calibri" w:hAnsi="Calibri" w:cs="Calibri"/>
          <w:lang w:val="fr-BE"/>
        </w:rPr>
        <w:t>spécialisé sont touchés par l’enquête. Elle a donc ses limites pour notre set d’indicateurs qui s’intéresse à toutes les tranches d’âge et qui accorde une attention particulière aux plus vulnérables.</w:t>
      </w:r>
    </w:p>
    <w:p w:rsidR="00AC12B4" w:rsidRPr="00C27636" w:rsidRDefault="00AC12B4">
      <w:pPr>
        <w:spacing w:line="176" w:lineRule="exact"/>
        <w:rPr>
          <w:sz w:val="20"/>
          <w:szCs w:val="20"/>
          <w:lang w:val="fr-BE"/>
        </w:rPr>
      </w:pPr>
    </w:p>
    <w:p w:rsidR="00AC12B4" w:rsidRPr="00C27636" w:rsidRDefault="00C27636">
      <w:pPr>
        <w:spacing w:line="232" w:lineRule="auto"/>
        <w:ind w:left="560" w:right="520"/>
        <w:jc w:val="both"/>
        <w:rPr>
          <w:sz w:val="20"/>
          <w:szCs w:val="20"/>
          <w:lang w:val="fr-BE"/>
        </w:rPr>
      </w:pPr>
      <w:r w:rsidRPr="00C27636">
        <w:rPr>
          <w:rFonts w:ascii="Calibri" w:eastAsia="Calibri" w:hAnsi="Calibri" w:cs="Calibri"/>
          <w:lang w:val="fr-BE"/>
        </w:rPr>
        <w:t xml:space="preserve">Dans le cadre d’enquêtes, il faut aussi toujours tenir </w:t>
      </w:r>
      <w:r w:rsidRPr="00C27636">
        <w:rPr>
          <w:rFonts w:ascii="Calibri" w:eastAsia="Calibri" w:hAnsi="Calibri" w:cs="Calibri"/>
          <w:lang w:val="fr-BE"/>
        </w:rPr>
        <w:t>compte du risque que le répondant réagit selon le principe de désirabilité. La réaction ne correspond dès lors pas toujours à la réalité mais à une version idéalisée de la réalité.</w:t>
      </w:r>
    </w:p>
    <w:p w:rsidR="00AC12B4" w:rsidRPr="00C27636" w:rsidRDefault="00AC12B4">
      <w:pPr>
        <w:spacing w:line="173" w:lineRule="exact"/>
        <w:rPr>
          <w:sz w:val="20"/>
          <w:szCs w:val="20"/>
          <w:lang w:val="fr-BE"/>
        </w:rPr>
      </w:pPr>
    </w:p>
    <w:p w:rsidR="00AC12B4" w:rsidRPr="00C27636" w:rsidRDefault="00C27636">
      <w:pPr>
        <w:spacing w:line="229" w:lineRule="auto"/>
        <w:ind w:left="560" w:right="520"/>
        <w:jc w:val="both"/>
        <w:rPr>
          <w:sz w:val="20"/>
          <w:szCs w:val="20"/>
          <w:lang w:val="fr-BE"/>
        </w:rPr>
      </w:pPr>
      <w:r w:rsidRPr="00C27636">
        <w:rPr>
          <w:rFonts w:ascii="Calibri" w:eastAsia="Calibri" w:hAnsi="Calibri" w:cs="Calibri"/>
          <w:lang w:val="fr-BE"/>
        </w:rPr>
        <w:t>La poursuite de mixité sociale peut se heurter à la liberté des parents et</w:t>
      </w:r>
      <w:r w:rsidRPr="00C27636">
        <w:rPr>
          <w:rFonts w:ascii="Calibri" w:eastAsia="Calibri" w:hAnsi="Calibri" w:cs="Calibri"/>
          <w:lang w:val="fr-BE"/>
        </w:rPr>
        <w:t xml:space="preserve"> de leurs enfants de choisir une école ou un projet pédagogique.</w:t>
      </w:r>
    </w:p>
    <w:p w:rsidR="00AC12B4" w:rsidRPr="00C27636" w:rsidRDefault="00AC12B4">
      <w:pPr>
        <w:spacing w:line="170" w:lineRule="exact"/>
        <w:rPr>
          <w:sz w:val="20"/>
          <w:szCs w:val="20"/>
          <w:lang w:val="fr-BE"/>
        </w:rPr>
      </w:pPr>
    </w:p>
    <w:p w:rsidR="00AC12B4" w:rsidRPr="00C27636" w:rsidRDefault="00C27636">
      <w:pPr>
        <w:spacing w:line="225" w:lineRule="auto"/>
        <w:ind w:left="560" w:right="520"/>
        <w:jc w:val="both"/>
        <w:rPr>
          <w:sz w:val="20"/>
          <w:szCs w:val="20"/>
          <w:lang w:val="fr-BE"/>
        </w:rPr>
      </w:pPr>
      <w:r w:rsidRPr="00C27636">
        <w:rPr>
          <w:rFonts w:ascii="Calibri" w:eastAsia="Calibri" w:hAnsi="Calibri" w:cs="Calibri"/>
          <w:lang w:val="fr-BE"/>
        </w:rPr>
        <w:t>De plus, la ségrégation scolaire est également largement influencée par la ségrégation résidentielle et par la taille et</w:t>
      </w:r>
    </w:p>
    <w:p w:rsidR="00AC12B4" w:rsidRPr="00C27636" w:rsidRDefault="00AC12B4">
      <w:pPr>
        <w:spacing w:line="200" w:lineRule="exact"/>
        <w:rPr>
          <w:sz w:val="20"/>
          <w:szCs w:val="20"/>
          <w:lang w:val="fr-BE"/>
        </w:rPr>
      </w:pPr>
    </w:p>
    <w:p w:rsidR="00AC12B4" w:rsidRPr="00C27636" w:rsidRDefault="00AC12B4">
      <w:pPr>
        <w:spacing w:line="390"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121</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right="720"/>
        <w:rPr>
          <w:sz w:val="20"/>
          <w:szCs w:val="20"/>
          <w:lang w:val="fr-BE"/>
        </w:rPr>
      </w:pPr>
      <w:r w:rsidRPr="00C27636">
        <w:rPr>
          <w:rFonts w:ascii="Calibri" w:eastAsia="Calibri" w:hAnsi="Calibri" w:cs="Calibri"/>
          <w:lang w:val="fr-BE"/>
        </w:rPr>
        <w:t>l’hétérogénéité du territoire que l’on étudie.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67968" behindDoc="1" locked="0" layoutInCell="0" allowOverlap="1">
                <wp:simplePos x="0" y="0"/>
                <wp:positionH relativeFrom="column">
                  <wp:posOffset>2722880</wp:posOffset>
                </wp:positionH>
                <wp:positionV relativeFrom="paragraph">
                  <wp:posOffset>-1358265</wp:posOffset>
                </wp:positionV>
                <wp:extent cx="751205" cy="10895965"/>
                <wp:effectExtent l="0" t="0" r="0" b="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205" cy="10895965"/>
                        </a:xfrm>
                        <a:prstGeom prst="rect">
                          <a:avLst/>
                        </a:prstGeom>
                        <a:solidFill>
                          <a:srgbClr val="8BCCEC"/>
                        </a:solidFill>
                      </wps:spPr>
                      <wps:bodyPr/>
                    </wps:wsp>
                  </a:graphicData>
                </a:graphic>
              </wp:anchor>
            </w:drawing>
          </mc:Choice>
          <mc:Fallback>
            <w:pict>
              <v:rect id="Shape 331" o:spid="_x0000_s1356" style="position:absolute;margin-left:214.4pt;margin-top:-106.9499pt;width:59.15pt;height:8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r>
        <w:rPr>
          <w:noProof/>
          <w:sz w:val="20"/>
          <w:szCs w:val="20"/>
        </w:rPr>
        <mc:AlternateContent>
          <mc:Choice Requires="wps">
            <w:drawing>
              <wp:anchor distT="0" distB="0" distL="114300" distR="114300" simplePos="0" relativeHeight="251668992" behindDoc="1" locked="0" layoutInCell="0" allowOverlap="1">
                <wp:simplePos x="0" y="0"/>
                <wp:positionH relativeFrom="column">
                  <wp:posOffset>585470</wp:posOffset>
                </wp:positionH>
                <wp:positionV relativeFrom="paragraph">
                  <wp:posOffset>171450</wp:posOffset>
                </wp:positionV>
                <wp:extent cx="2425065" cy="1947545"/>
                <wp:effectExtent l="0" t="0" r="0" b="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25065" cy="1947545"/>
                        </a:xfrm>
                        <a:prstGeom prst="rect">
                          <a:avLst/>
                        </a:prstGeom>
                        <a:solidFill>
                          <a:srgbClr val="FFFFFF"/>
                        </a:solidFill>
                      </wps:spPr>
                      <wps:bodyPr/>
                    </wps:wsp>
                  </a:graphicData>
                </a:graphic>
              </wp:anchor>
            </w:drawing>
          </mc:Choice>
          <mc:Fallback>
            <w:pict>
              <v:rect id="Shape 332" o:spid="_x0000_s1357" style="position:absolute;margin-left:46.1pt;margin-top:13.5pt;width:190.95pt;height:153.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670016" behindDoc="1" locked="0" layoutInCell="0" allowOverlap="1">
                <wp:simplePos x="0" y="0"/>
                <wp:positionH relativeFrom="column">
                  <wp:posOffset>572770</wp:posOffset>
                </wp:positionH>
                <wp:positionV relativeFrom="paragraph">
                  <wp:posOffset>171450</wp:posOffset>
                </wp:positionV>
                <wp:extent cx="2450465" cy="0"/>
                <wp:effectExtent l="0" t="0" r="0" b="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5046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pt,13.5pt" to="238.05pt,13.5pt" o:allowincell="f" strokecolor="#44ACE0" strokeweight="2pt"/>
            </w:pict>
          </mc:Fallback>
        </mc:AlternateContent>
      </w:r>
      <w:r>
        <w:rPr>
          <w:noProof/>
          <w:sz w:val="20"/>
          <w:szCs w:val="20"/>
        </w:rPr>
        <mc:AlternateContent>
          <mc:Choice Requires="wps">
            <w:drawing>
              <wp:anchor distT="0" distB="0" distL="114300" distR="114300" simplePos="0" relativeHeight="251671040" behindDoc="1" locked="0" layoutInCell="0" allowOverlap="1">
                <wp:simplePos x="0" y="0"/>
                <wp:positionH relativeFrom="column">
                  <wp:posOffset>585470</wp:posOffset>
                </wp:positionH>
                <wp:positionV relativeFrom="paragraph">
                  <wp:posOffset>158750</wp:posOffset>
                </wp:positionV>
                <wp:extent cx="0" cy="1972945"/>
                <wp:effectExtent l="0" t="0" r="0" b="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7294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pt,12.5pt" to="46.1pt,167.85pt" o:allowincell="f" strokecolor="#44ACE0" strokeweight="2pt"/>
            </w:pict>
          </mc:Fallback>
        </mc:AlternateContent>
      </w:r>
      <w:r>
        <w:rPr>
          <w:noProof/>
          <w:sz w:val="20"/>
          <w:szCs w:val="20"/>
        </w:rPr>
        <mc:AlternateContent>
          <mc:Choice Requires="wps">
            <w:drawing>
              <wp:anchor distT="0" distB="0" distL="114300" distR="114300" simplePos="0" relativeHeight="251672064" behindDoc="1" locked="0" layoutInCell="0" allowOverlap="1">
                <wp:simplePos x="0" y="0"/>
                <wp:positionH relativeFrom="column">
                  <wp:posOffset>3010535</wp:posOffset>
                </wp:positionH>
                <wp:positionV relativeFrom="paragraph">
                  <wp:posOffset>158750</wp:posOffset>
                </wp:positionV>
                <wp:extent cx="0" cy="1972945"/>
                <wp:effectExtent l="0" t="0" r="0" b="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7294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05pt,12.5pt" to="237.05pt,167.85pt" o:allowincell="f" strokecolor="#44ACE0" strokeweight="2pt"/>
            </w:pict>
          </mc:Fallback>
        </mc:AlternateContent>
      </w:r>
      <w:r>
        <w:rPr>
          <w:noProof/>
          <w:sz w:val="20"/>
          <w:szCs w:val="20"/>
        </w:rPr>
        <mc:AlternateContent>
          <mc:Choice Requires="wps">
            <w:drawing>
              <wp:anchor distT="0" distB="0" distL="114300" distR="114300" simplePos="0" relativeHeight="251673088" behindDoc="1" locked="0" layoutInCell="0" allowOverlap="1">
                <wp:simplePos x="0" y="0"/>
                <wp:positionH relativeFrom="column">
                  <wp:posOffset>572770</wp:posOffset>
                </wp:positionH>
                <wp:positionV relativeFrom="paragraph">
                  <wp:posOffset>2118995</wp:posOffset>
                </wp:positionV>
                <wp:extent cx="2450465" cy="0"/>
                <wp:effectExtent l="0" t="0" r="0" b="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5046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pt,166.85pt" to="238.05pt,166.85pt" o:allowincell="f" strokecolor="#44ACE0" strokeweight="2pt"/>
            </w:pict>
          </mc:Fallback>
        </mc:AlternateContent>
      </w:r>
    </w:p>
    <w:p w:rsidR="00AC12B4" w:rsidRPr="00C27636" w:rsidRDefault="00AC12B4">
      <w:pPr>
        <w:spacing w:line="345" w:lineRule="exact"/>
        <w:rPr>
          <w:sz w:val="20"/>
          <w:szCs w:val="20"/>
          <w:lang w:val="fr-BE"/>
        </w:rPr>
      </w:pPr>
    </w:p>
    <w:p w:rsidR="00AC12B4" w:rsidRPr="00C27636" w:rsidRDefault="00C27636">
      <w:pPr>
        <w:spacing w:line="239" w:lineRule="auto"/>
        <w:ind w:left="1080"/>
        <w:jc w:val="both"/>
        <w:rPr>
          <w:sz w:val="20"/>
          <w:szCs w:val="20"/>
          <w:lang w:val="fr-BE"/>
        </w:rPr>
      </w:pPr>
      <w:r w:rsidRPr="00C27636">
        <w:rPr>
          <w:rFonts w:ascii="Comic Sans MS" w:eastAsia="Comic Sans MS" w:hAnsi="Comic Sans MS" w:cs="Comic Sans MS"/>
          <w:sz w:val="20"/>
          <w:szCs w:val="20"/>
          <w:lang w:val="fr-BE"/>
        </w:rPr>
        <w:t>Quant</w:t>
      </w:r>
      <w:r w:rsidRPr="00C27636">
        <w:rPr>
          <w:rFonts w:ascii="Comic Sans MS" w:eastAsia="Comic Sans MS" w:hAnsi="Comic Sans MS" w:cs="Comic Sans MS"/>
          <w:sz w:val="20"/>
          <w:szCs w:val="20"/>
          <w:lang w:val="fr-BE"/>
        </w:rPr>
        <w:t xml:space="preserve"> aux performances en mathématiques, on constate une forte polarisation entre écoles</w:t>
      </w:r>
    </w:p>
    <w:p w:rsidR="00AC12B4" w:rsidRPr="00C27636" w:rsidRDefault="00AC12B4">
      <w:pPr>
        <w:spacing w:line="3" w:lineRule="exact"/>
        <w:rPr>
          <w:sz w:val="20"/>
          <w:szCs w:val="20"/>
          <w:lang w:val="fr-BE"/>
        </w:rPr>
      </w:pPr>
    </w:p>
    <w:p w:rsidR="00AC12B4" w:rsidRPr="00C27636" w:rsidRDefault="00C27636">
      <w:pPr>
        <w:numPr>
          <w:ilvl w:val="0"/>
          <w:numId w:val="208"/>
        </w:numPr>
        <w:tabs>
          <w:tab w:val="left" w:pos="1256"/>
        </w:tabs>
        <w:spacing w:line="238" w:lineRule="auto"/>
        <w:ind w:left="1080" w:firstLine="9"/>
        <w:jc w:val="both"/>
        <w:rPr>
          <w:rFonts w:ascii="Comic Sans MS" w:eastAsia="Comic Sans MS" w:hAnsi="Comic Sans MS" w:cs="Comic Sans MS"/>
          <w:sz w:val="20"/>
          <w:szCs w:val="20"/>
          <w:lang w:val="fr-BE"/>
        </w:rPr>
      </w:pPr>
      <w:r w:rsidRPr="00C27636">
        <w:rPr>
          <w:rFonts w:ascii="Comic Sans MS" w:eastAsia="Comic Sans MS" w:hAnsi="Comic Sans MS" w:cs="Comic Sans MS"/>
          <w:sz w:val="20"/>
          <w:szCs w:val="20"/>
          <w:lang w:val="fr-BE"/>
        </w:rPr>
        <w:t>fortes » et « faibles » dans les trois Communautés (</w:t>
      </w:r>
      <w:r w:rsidRPr="00C27636">
        <w:rPr>
          <w:rFonts w:ascii="Comic Sans MS" w:eastAsia="Comic Sans MS" w:hAnsi="Comic Sans MS" w:cs="Comic Sans MS"/>
          <w:color w:val="0D0D0D"/>
          <w:sz w:val="20"/>
          <w:szCs w:val="20"/>
          <w:lang w:val="fr-BE"/>
        </w:rPr>
        <w:t>PISA 2012)</w:t>
      </w:r>
      <w:r w:rsidRPr="00C27636">
        <w:rPr>
          <w:rFonts w:ascii="Comic Sans MS" w:eastAsia="Comic Sans MS" w:hAnsi="Comic Sans MS" w:cs="Comic Sans MS"/>
          <w:sz w:val="20"/>
          <w:szCs w:val="20"/>
          <w:lang w:val="fr-BE"/>
        </w:rPr>
        <w:t xml:space="preserve"> de près de</w:t>
      </w:r>
    </w:p>
    <w:p w:rsidR="00AC12B4" w:rsidRPr="00C27636" w:rsidRDefault="00AC12B4">
      <w:pPr>
        <w:spacing w:line="3" w:lineRule="exact"/>
        <w:rPr>
          <w:sz w:val="20"/>
          <w:szCs w:val="20"/>
          <w:lang w:val="fr-BE"/>
        </w:rPr>
      </w:pPr>
    </w:p>
    <w:p w:rsidR="00AC12B4" w:rsidRDefault="00C27636">
      <w:pPr>
        <w:ind w:left="1860"/>
        <w:rPr>
          <w:sz w:val="20"/>
          <w:szCs w:val="20"/>
        </w:rPr>
      </w:pPr>
      <w:r>
        <w:rPr>
          <w:rFonts w:ascii="Comic Sans MS" w:eastAsia="Comic Sans MS" w:hAnsi="Comic Sans MS" w:cs="Comic Sans MS"/>
          <w:color w:val="8BCCEC"/>
          <w:sz w:val="96"/>
          <w:szCs w:val="96"/>
        </w:rPr>
        <w:t>60%</w:t>
      </w:r>
    </w:p>
    <w:p w:rsidR="00AC12B4" w:rsidRDefault="00AC12B4">
      <w:pPr>
        <w:spacing w:line="255" w:lineRule="exact"/>
        <w:rPr>
          <w:sz w:val="20"/>
          <w:szCs w:val="20"/>
        </w:rPr>
      </w:pPr>
    </w:p>
    <w:p w:rsidR="00AC12B4" w:rsidRDefault="00C27636">
      <w:pPr>
        <w:numPr>
          <w:ilvl w:val="0"/>
          <w:numId w:val="209"/>
        </w:numPr>
        <w:tabs>
          <w:tab w:val="left" w:pos="420"/>
        </w:tabs>
        <w:ind w:left="420" w:hanging="361"/>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199" w:lineRule="exact"/>
        <w:rPr>
          <w:sz w:val="20"/>
          <w:szCs w:val="20"/>
        </w:rPr>
      </w:pPr>
    </w:p>
    <w:p w:rsidR="00AC12B4" w:rsidRPr="00C27636" w:rsidRDefault="00C27636">
      <w:pPr>
        <w:spacing w:line="231" w:lineRule="auto"/>
        <w:ind w:right="720"/>
        <w:jc w:val="both"/>
        <w:rPr>
          <w:sz w:val="20"/>
          <w:szCs w:val="20"/>
          <w:lang w:val="fr-BE"/>
        </w:rPr>
      </w:pPr>
      <w:r w:rsidRPr="00C27636">
        <w:rPr>
          <w:rFonts w:ascii="Calibri" w:eastAsia="Calibri" w:hAnsi="Calibri" w:cs="Calibri"/>
          <w:lang w:val="fr-BE"/>
        </w:rPr>
        <w:t xml:space="preserve">Les enquêtes PISA devraient être élargies aux dispositifs d'accueil et de </w:t>
      </w:r>
      <w:r w:rsidRPr="00C27636">
        <w:rPr>
          <w:rFonts w:ascii="Calibri" w:eastAsia="Calibri" w:hAnsi="Calibri" w:cs="Calibri"/>
          <w:lang w:val="fr-BE"/>
        </w:rPr>
        <w:t>scolarisation des élèves primo-arrivants (DASPA) et à l’enseignement spécialisé, sauf en cas de contre-indication inspirée par l’intérêt supérieur de l’enfant, via des questionnaires adaptés</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w:t>
      </w:r>
    </w:p>
    <w:p w:rsidR="00AC12B4" w:rsidRPr="00C27636" w:rsidRDefault="00AC12B4">
      <w:pPr>
        <w:spacing w:line="133" w:lineRule="exact"/>
        <w:rPr>
          <w:sz w:val="20"/>
          <w:szCs w:val="20"/>
          <w:lang w:val="fr-BE"/>
        </w:rPr>
      </w:pPr>
    </w:p>
    <w:p w:rsidR="00AC12B4" w:rsidRPr="00C27636" w:rsidRDefault="00C27636">
      <w:pPr>
        <w:spacing w:line="224" w:lineRule="auto"/>
        <w:ind w:right="700"/>
        <w:jc w:val="both"/>
        <w:rPr>
          <w:sz w:val="20"/>
          <w:szCs w:val="20"/>
          <w:lang w:val="fr-BE"/>
        </w:rPr>
      </w:pPr>
      <w:r w:rsidRPr="00C27636">
        <w:rPr>
          <w:rFonts w:ascii="Calibri" w:eastAsia="Calibri" w:hAnsi="Calibri" w:cs="Calibri"/>
          <w:lang w:val="fr-BE"/>
        </w:rPr>
        <w:t>Une enquête spécifique doit atteindre les autres groupes perti</w:t>
      </w:r>
      <w:r w:rsidRPr="00C27636">
        <w:rPr>
          <w:rFonts w:ascii="Calibri" w:eastAsia="Calibri" w:hAnsi="Calibri" w:cs="Calibri"/>
          <w:lang w:val="fr-BE"/>
        </w:rPr>
        <w:t>nents non-atteints (cf section ‘Atteindre les plus vulnérables’).</w:t>
      </w:r>
    </w:p>
    <w:p w:rsidR="00AC12B4" w:rsidRPr="00C27636" w:rsidRDefault="00AC12B4">
      <w:pPr>
        <w:spacing w:line="209" w:lineRule="exact"/>
        <w:rPr>
          <w:sz w:val="20"/>
          <w:szCs w:val="20"/>
          <w:lang w:val="fr-BE"/>
        </w:rPr>
      </w:pPr>
    </w:p>
    <w:p w:rsidR="00AC12B4" w:rsidRDefault="00C27636">
      <w:pPr>
        <w:rPr>
          <w:sz w:val="20"/>
          <w:szCs w:val="20"/>
        </w:rPr>
      </w:pPr>
      <w:r>
        <w:rPr>
          <w:rFonts w:ascii="Cambria" w:eastAsia="Cambria" w:hAnsi="Cambria" w:cs="Cambria"/>
          <w:b/>
          <w:bCs/>
          <w:i/>
          <w:iCs/>
          <w:color w:val="44ACE0"/>
          <w:sz w:val="26"/>
          <w:szCs w:val="26"/>
        </w:rPr>
        <w:t>Pour aller plus loin</w:t>
      </w:r>
    </w:p>
    <w:p w:rsidR="00AC12B4" w:rsidRDefault="00AC12B4">
      <w:pPr>
        <w:spacing w:line="164" w:lineRule="exact"/>
        <w:rPr>
          <w:sz w:val="20"/>
          <w:szCs w:val="20"/>
        </w:rPr>
      </w:pPr>
    </w:p>
    <w:p w:rsidR="00AC12B4" w:rsidRDefault="00C27636">
      <w:pPr>
        <w:numPr>
          <w:ilvl w:val="0"/>
          <w:numId w:val="210"/>
        </w:numPr>
        <w:tabs>
          <w:tab w:val="left" w:pos="420"/>
        </w:tabs>
        <w:ind w:left="420" w:hanging="361"/>
        <w:rPr>
          <w:rFonts w:ascii="Symbol" w:eastAsia="Symbol" w:hAnsi="Symbol" w:cs="Symbol"/>
          <w:sz w:val="20"/>
          <w:szCs w:val="20"/>
        </w:rPr>
      </w:pPr>
      <w:r>
        <w:rPr>
          <w:rFonts w:ascii="Calibri" w:eastAsia="Calibri" w:hAnsi="Calibri" w:cs="Calibri"/>
          <w:color w:val="4BACC6"/>
          <w:sz w:val="20"/>
          <w:szCs w:val="20"/>
        </w:rPr>
        <w:t>Etudes complémentaires</w:t>
      </w:r>
    </w:p>
    <w:p w:rsidR="00AC12B4" w:rsidRDefault="00AC12B4">
      <w:pPr>
        <w:spacing w:line="81" w:lineRule="exact"/>
        <w:rPr>
          <w:sz w:val="20"/>
          <w:szCs w:val="20"/>
        </w:rPr>
      </w:pPr>
    </w:p>
    <w:p w:rsidR="00AC12B4" w:rsidRDefault="00C27636">
      <w:pPr>
        <w:numPr>
          <w:ilvl w:val="0"/>
          <w:numId w:val="211"/>
        </w:numPr>
        <w:tabs>
          <w:tab w:val="left" w:pos="840"/>
        </w:tabs>
        <w:spacing w:line="265" w:lineRule="auto"/>
        <w:ind w:left="840" w:right="720" w:hanging="356"/>
        <w:jc w:val="both"/>
        <w:rPr>
          <w:rFonts w:ascii="Courier New" w:eastAsia="Courier New" w:hAnsi="Courier New" w:cs="Courier New"/>
          <w:sz w:val="20"/>
          <w:szCs w:val="20"/>
        </w:rPr>
      </w:pPr>
      <w:r w:rsidRPr="00C27636">
        <w:rPr>
          <w:rFonts w:ascii="Calibri" w:eastAsia="Calibri" w:hAnsi="Calibri" w:cs="Calibri"/>
          <w:sz w:val="20"/>
          <w:szCs w:val="20"/>
          <w:lang w:val="nl-NL"/>
        </w:rPr>
        <w:t xml:space="preserve">NICAISE, I., “Ongelijkheid en sociale uitsluiting in het onderwijs: een onuitroeibare kwaal ?”, in NICAISE I. e.a. (red.), </w:t>
      </w:r>
      <w:r w:rsidRPr="00C27636">
        <w:rPr>
          <w:rFonts w:ascii="Calibri" w:eastAsia="Calibri" w:hAnsi="Calibri" w:cs="Calibri"/>
          <w:i/>
          <w:iCs/>
          <w:sz w:val="20"/>
          <w:szCs w:val="20"/>
          <w:lang w:val="nl-NL"/>
        </w:rPr>
        <w:t xml:space="preserve">Gelijke kansen op </w:t>
      </w:r>
      <w:r w:rsidRPr="00C27636">
        <w:rPr>
          <w:rFonts w:ascii="Calibri" w:eastAsia="Calibri" w:hAnsi="Calibri" w:cs="Calibri"/>
          <w:i/>
          <w:iCs/>
          <w:sz w:val="20"/>
          <w:szCs w:val="20"/>
          <w:lang w:val="nl-NL"/>
        </w:rPr>
        <w:t>school:</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 xml:space="preserve">het kan! </w:t>
      </w:r>
      <w:r>
        <w:rPr>
          <w:rFonts w:ascii="Calibri" w:eastAsia="Calibri" w:hAnsi="Calibri" w:cs="Calibri"/>
          <w:i/>
          <w:iCs/>
          <w:sz w:val="20"/>
          <w:szCs w:val="20"/>
        </w:rPr>
        <w:t>Zestien sporen voor praktijk en beleid</w:t>
      </w:r>
      <w:r>
        <w:rPr>
          <w:rFonts w:ascii="Calibri" w:eastAsia="Calibri" w:hAnsi="Calibri" w:cs="Calibri"/>
          <w:sz w:val="20"/>
          <w:szCs w:val="20"/>
        </w:rPr>
        <w:t>, Mechelen, Wolters-</w:t>
      </w:r>
    </w:p>
    <w:p w:rsidR="00AC12B4" w:rsidRDefault="00AC12B4">
      <w:pPr>
        <w:spacing w:line="14" w:lineRule="exact"/>
        <w:rPr>
          <w:sz w:val="20"/>
          <w:szCs w:val="20"/>
        </w:rPr>
      </w:pPr>
    </w:p>
    <w:p w:rsidR="00AC12B4" w:rsidRDefault="00C27636">
      <w:pPr>
        <w:ind w:left="840"/>
        <w:rPr>
          <w:sz w:val="20"/>
          <w:szCs w:val="20"/>
        </w:rPr>
      </w:pPr>
      <w:r>
        <w:rPr>
          <w:rFonts w:ascii="Calibri" w:eastAsia="Calibri" w:hAnsi="Calibri" w:cs="Calibri"/>
          <w:sz w:val="20"/>
          <w:szCs w:val="20"/>
        </w:rPr>
        <w:t>Plantijn, 2008, p. 19-53.</w:t>
      </w:r>
    </w:p>
    <w:p w:rsidR="00AC12B4" w:rsidRDefault="00AC12B4">
      <w:pPr>
        <w:spacing w:line="83" w:lineRule="exact"/>
        <w:rPr>
          <w:sz w:val="20"/>
          <w:szCs w:val="20"/>
        </w:rPr>
      </w:pPr>
    </w:p>
    <w:p w:rsidR="00AC12B4" w:rsidRPr="00C27636" w:rsidRDefault="00C27636">
      <w:pPr>
        <w:numPr>
          <w:ilvl w:val="0"/>
          <w:numId w:val="212"/>
        </w:numPr>
        <w:tabs>
          <w:tab w:val="left" w:pos="840"/>
        </w:tabs>
        <w:spacing w:line="250" w:lineRule="auto"/>
        <w:ind w:left="840" w:right="720" w:hanging="356"/>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Recherche flamande en cours en matière de ségrégation et mixité sociale: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74112" behindDoc="1" locked="0" layoutInCell="0" allowOverlap="1">
                <wp:simplePos x="0" y="0"/>
                <wp:positionH relativeFrom="column">
                  <wp:posOffset>-5080</wp:posOffset>
                </wp:positionH>
                <wp:positionV relativeFrom="paragraph">
                  <wp:posOffset>189865</wp:posOffset>
                </wp:positionV>
                <wp:extent cx="1828800" cy="0"/>
                <wp:effectExtent l="0" t="0" r="0" b="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4.95pt" to="143.6pt,14.9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302" w:lineRule="exact"/>
        <w:rPr>
          <w:sz w:val="20"/>
          <w:szCs w:val="20"/>
          <w:lang w:val="fr-BE"/>
        </w:rPr>
      </w:pPr>
    </w:p>
    <w:p w:rsidR="00AC12B4" w:rsidRPr="00C27636" w:rsidRDefault="00C27636">
      <w:pPr>
        <w:spacing w:line="233" w:lineRule="auto"/>
        <w:ind w:right="720"/>
        <w:jc w:val="both"/>
        <w:rPr>
          <w:sz w:val="20"/>
          <w:szCs w:val="20"/>
          <w:lang w:val="fr-BE"/>
        </w:rPr>
      </w:pPr>
      <w:r w:rsidRPr="00C27636">
        <w:rPr>
          <w:rFonts w:ascii="Calibri" w:eastAsia="Calibri" w:hAnsi="Calibri" w:cs="Calibri"/>
          <w:sz w:val="25"/>
          <w:szCs w:val="25"/>
          <w:vertAlign w:val="superscript"/>
          <w:lang w:val="fr-BE"/>
        </w:rPr>
        <w:t>3</w:t>
      </w:r>
      <w:r w:rsidRPr="00C27636">
        <w:rPr>
          <w:rFonts w:ascii="Calibri" w:eastAsia="Calibri" w:hAnsi="Calibri" w:cs="Calibri"/>
          <w:sz w:val="20"/>
          <w:szCs w:val="20"/>
          <w:lang w:val="fr-BE"/>
        </w:rPr>
        <w:t xml:space="preserve"> Pour l’administration de l’enseignement flamande, la forme actuelle de PISA ne permet pas de réaliser l’enquête dans une autre langue que la langue d’instruction, ce qui est problématique pour les DASPA. En outre, des arguments budgétaires et comparabilit</w:t>
      </w:r>
      <w:r w:rsidRPr="00C27636">
        <w:rPr>
          <w:rFonts w:ascii="Calibri" w:eastAsia="Calibri" w:hAnsi="Calibri" w:cs="Calibri"/>
          <w:sz w:val="20"/>
          <w:szCs w:val="20"/>
          <w:lang w:val="fr-BE"/>
        </w:rPr>
        <w:t>és se heurtent à l’introduction d’enquêtes adaptées. HBSC international fait pourtant déjà des démarches dans ce sens.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AC12B4">
      <w:pPr>
        <w:sectPr w:rsidR="00AC12B4">
          <w:pgSz w:w="12080" w:h="17179"/>
          <w:pgMar w:top="1440" w:right="496" w:bottom="659" w:left="1440" w:header="0" w:footer="0" w:gutter="0"/>
          <w:cols w:num="3" w:space="720" w:equalWidth="0">
            <w:col w:w="4960" w:space="200"/>
            <w:col w:w="4580" w:space="59"/>
            <w:col w:w="342"/>
          </w:cols>
        </w:sectPr>
      </w:pPr>
    </w:p>
    <w:bookmarkStart w:id="121" w:name="page122"/>
    <w:bookmarkEnd w:id="121"/>
    <w:p w:rsidR="00AC12B4" w:rsidRDefault="00C27636">
      <w:pPr>
        <w:spacing w:line="164" w:lineRule="exact"/>
        <w:rPr>
          <w:sz w:val="20"/>
          <w:szCs w:val="20"/>
        </w:rPr>
      </w:pPr>
      <w:r>
        <w:rPr>
          <w:noProof/>
          <w:sz w:val="20"/>
          <w:szCs w:val="20"/>
        </w:rPr>
        <w:lastRenderedPageBreak/>
        <mc:AlternateContent>
          <mc:Choice Requires="wps">
            <w:drawing>
              <wp:anchor distT="0" distB="0" distL="114300" distR="114300" simplePos="0" relativeHeight="251675136" behindDoc="1" locked="0" layoutInCell="0" allowOverlap="1">
                <wp:simplePos x="0" y="0"/>
                <wp:positionH relativeFrom="page">
                  <wp:posOffset>0</wp:posOffset>
                </wp:positionH>
                <wp:positionV relativeFrom="page">
                  <wp:posOffset>0</wp:posOffset>
                </wp:positionV>
                <wp:extent cx="788035" cy="10908665"/>
                <wp:effectExtent l="0" t="0" r="0" b="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8035" cy="10908665"/>
                        </a:xfrm>
                        <a:prstGeom prst="rect">
                          <a:avLst/>
                        </a:prstGeom>
                        <a:solidFill>
                          <a:srgbClr val="8BCCEC"/>
                        </a:solidFill>
                      </wps:spPr>
                      <wps:bodyPr/>
                    </wps:wsp>
                  </a:graphicData>
                </a:graphic>
              </wp:anchor>
            </w:drawing>
          </mc:Choice>
          <mc:Fallback>
            <w:pict>
              <v:rect id="Shape 338" o:spid="_x0000_s1363" style="position:absolute;margin-left:0pt;margin-top:0pt;width:62.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C27636">
      <w:pPr>
        <w:ind w:left="1803"/>
        <w:rPr>
          <w:rFonts w:ascii="Calibri" w:eastAsia="Calibri" w:hAnsi="Calibri" w:cs="Calibri"/>
          <w:color w:val="0000FF"/>
          <w:sz w:val="20"/>
          <w:szCs w:val="20"/>
          <w:u w:val="single"/>
        </w:rPr>
      </w:pPr>
      <w:hyperlink r:id="rId211">
        <w:r>
          <w:rPr>
            <w:rFonts w:ascii="Calibri" w:eastAsia="Calibri" w:hAnsi="Calibri" w:cs="Calibri"/>
            <w:color w:val="0000FF"/>
            <w:sz w:val="20"/>
            <w:szCs w:val="20"/>
            <w:u w:val="single"/>
          </w:rPr>
          <w:t>https://steunpuntssl.be/Onderzoek/</w:t>
        </w:r>
      </w:hyperlink>
    </w:p>
    <w:p w:rsidR="00AC12B4" w:rsidRDefault="00AC12B4">
      <w:pPr>
        <w:spacing w:line="37" w:lineRule="exact"/>
        <w:rPr>
          <w:sz w:val="20"/>
          <w:szCs w:val="20"/>
        </w:rPr>
      </w:pPr>
    </w:p>
    <w:p w:rsidR="00AC12B4" w:rsidRDefault="00C27636">
      <w:pPr>
        <w:tabs>
          <w:tab w:val="left" w:pos="4463"/>
        </w:tabs>
        <w:ind w:left="1803"/>
        <w:rPr>
          <w:rFonts w:ascii="Calibri" w:eastAsia="Calibri" w:hAnsi="Calibri" w:cs="Calibri"/>
          <w:color w:val="0000FF"/>
          <w:sz w:val="20"/>
          <w:szCs w:val="20"/>
        </w:rPr>
      </w:pPr>
      <w:hyperlink r:id="rId212">
        <w:r>
          <w:rPr>
            <w:rFonts w:ascii="Calibri" w:eastAsia="Calibri" w:hAnsi="Calibri" w:cs="Calibri"/>
            <w:color w:val="0000FF"/>
            <w:sz w:val="20"/>
            <w:szCs w:val="20"/>
            <w:u w:val="single"/>
          </w:rPr>
          <w:t>Loopbanen-van-leerlingen</w:t>
        </w:r>
        <w:r>
          <w:rPr>
            <w:rFonts w:ascii="Calibri" w:eastAsia="Calibri" w:hAnsi="Calibri" w:cs="Calibri"/>
            <w:color w:val="000000"/>
            <w:sz w:val="20"/>
            <w:szCs w:val="20"/>
          </w:rPr>
          <w:t>.</w:t>
        </w:r>
      </w:hyperlink>
      <w:r>
        <w:rPr>
          <w:rFonts w:ascii="Calibri" w:eastAsia="Calibri" w:hAnsi="Calibri" w:cs="Calibri"/>
          <w:color w:val="0000FF"/>
          <w:sz w:val="20"/>
          <w:szCs w:val="20"/>
        </w:rPr>
        <w:tab/>
        <w:t>Voir</w:t>
      </w:r>
    </w:p>
    <w:p w:rsidR="00AC12B4" w:rsidRDefault="00AC12B4">
      <w:pPr>
        <w:spacing w:line="37" w:lineRule="exact"/>
        <w:rPr>
          <w:sz w:val="20"/>
          <w:szCs w:val="20"/>
        </w:rPr>
      </w:pPr>
    </w:p>
    <w:p w:rsidR="00AC12B4" w:rsidRPr="00C27636" w:rsidRDefault="00C27636">
      <w:pPr>
        <w:ind w:left="1803"/>
        <w:rPr>
          <w:sz w:val="20"/>
          <w:szCs w:val="20"/>
          <w:lang w:val="fr-BE"/>
        </w:rPr>
      </w:pPr>
      <w:r w:rsidRPr="00C27636">
        <w:rPr>
          <w:rFonts w:ascii="Calibri" w:eastAsia="Calibri" w:hAnsi="Calibri" w:cs="Calibri"/>
          <w:sz w:val="20"/>
          <w:szCs w:val="20"/>
          <w:lang w:val="fr-BE"/>
        </w:rPr>
        <w:t xml:space="preserve">entre autres Wouters, T. en </w:t>
      </w:r>
      <w:r w:rsidRPr="00C27636">
        <w:rPr>
          <w:rFonts w:ascii="Calibri" w:eastAsia="Calibri" w:hAnsi="Calibri" w:cs="Calibri"/>
          <w:sz w:val="20"/>
          <w:szCs w:val="20"/>
          <w:lang w:val="fr-BE"/>
        </w:rPr>
        <w:t>Groenez,</w:t>
      </w:r>
    </w:p>
    <w:p w:rsidR="00AC12B4" w:rsidRPr="00C27636" w:rsidRDefault="00AC12B4">
      <w:pPr>
        <w:spacing w:line="37" w:lineRule="exact"/>
        <w:rPr>
          <w:sz w:val="20"/>
          <w:szCs w:val="20"/>
          <w:lang w:val="fr-BE"/>
        </w:rPr>
      </w:pPr>
    </w:p>
    <w:p w:rsidR="00AC12B4" w:rsidRPr="00C27636" w:rsidRDefault="00C27636">
      <w:pPr>
        <w:tabs>
          <w:tab w:val="left" w:pos="2363"/>
          <w:tab w:val="left" w:pos="2783"/>
          <w:tab w:val="left" w:pos="3623"/>
          <w:tab w:val="left" w:pos="4103"/>
        </w:tabs>
        <w:ind w:left="1803"/>
        <w:rPr>
          <w:sz w:val="20"/>
          <w:szCs w:val="20"/>
          <w:lang w:val="nl-NL"/>
        </w:rPr>
      </w:pPr>
      <w:r w:rsidRPr="00C27636">
        <w:rPr>
          <w:rFonts w:ascii="Calibri" w:eastAsia="Calibri" w:hAnsi="Calibri" w:cs="Calibri"/>
          <w:sz w:val="20"/>
          <w:szCs w:val="20"/>
          <w:lang w:val="nl-NL"/>
        </w:rPr>
        <w:t>S.,</w:t>
      </w:r>
      <w:r w:rsidRPr="00C27636">
        <w:rPr>
          <w:sz w:val="20"/>
          <w:szCs w:val="20"/>
          <w:lang w:val="nl-NL"/>
        </w:rPr>
        <w:tab/>
      </w:r>
      <w:r w:rsidRPr="00C27636">
        <w:rPr>
          <w:rFonts w:ascii="Calibri" w:eastAsia="Calibri" w:hAnsi="Calibri" w:cs="Calibri"/>
          <w:i/>
          <w:iCs/>
          <w:sz w:val="20"/>
          <w:szCs w:val="20"/>
          <w:lang w:val="nl-NL"/>
        </w:rPr>
        <w:t>De</w:t>
      </w:r>
      <w:r w:rsidRPr="00C27636">
        <w:rPr>
          <w:rFonts w:ascii="Calibri" w:eastAsia="Calibri" w:hAnsi="Calibri" w:cs="Calibri"/>
          <w:i/>
          <w:iCs/>
          <w:sz w:val="20"/>
          <w:szCs w:val="20"/>
          <w:lang w:val="nl-NL"/>
        </w:rPr>
        <w:tab/>
        <w:t>evolutie</w:t>
      </w:r>
      <w:r w:rsidRPr="00C27636">
        <w:rPr>
          <w:rFonts w:ascii="Calibri" w:eastAsia="Calibri" w:hAnsi="Calibri" w:cs="Calibri"/>
          <w:i/>
          <w:iCs/>
          <w:sz w:val="20"/>
          <w:szCs w:val="20"/>
          <w:lang w:val="nl-NL"/>
        </w:rPr>
        <w:tab/>
        <w:t>van</w:t>
      </w:r>
      <w:r w:rsidRPr="00C27636">
        <w:rPr>
          <w:rFonts w:ascii="Calibri" w:eastAsia="Calibri" w:hAnsi="Calibri" w:cs="Calibri"/>
          <w:i/>
          <w:iCs/>
          <w:sz w:val="20"/>
          <w:szCs w:val="20"/>
          <w:lang w:val="nl-NL"/>
        </w:rPr>
        <w:tab/>
        <w:t>schoolse</w:t>
      </w:r>
    </w:p>
    <w:p w:rsidR="00AC12B4" w:rsidRPr="00C27636" w:rsidRDefault="00AC12B4">
      <w:pPr>
        <w:spacing w:line="37" w:lineRule="exact"/>
        <w:rPr>
          <w:sz w:val="20"/>
          <w:szCs w:val="20"/>
          <w:lang w:val="nl-NL"/>
        </w:rPr>
      </w:pPr>
    </w:p>
    <w:p w:rsidR="00AC12B4" w:rsidRPr="00C27636" w:rsidRDefault="00C27636">
      <w:pPr>
        <w:tabs>
          <w:tab w:val="left" w:pos="2883"/>
          <w:tab w:val="left" w:pos="3263"/>
          <w:tab w:val="left" w:pos="4503"/>
        </w:tabs>
        <w:ind w:left="1803"/>
        <w:rPr>
          <w:sz w:val="20"/>
          <w:szCs w:val="20"/>
          <w:lang w:val="nl-NL"/>
        </w:rPr>
      </w:pPr>
      <w:r w:rsidRPr="00C27636">
        <w:rPr>
          <w:rFonts w:ascii="Calibri" w:eastAsia="Calibri" w:hAnsi="Calibri" w:cs="Calibri"/>
          <w:i/>
          <w:iCs/>
          <w:sz w:val="20"/>
          <w:szCs w:val="20"/>
          <w:lang w:val="nl-NL"/>
        </w:rPr>
        <w:t>segregatie</w:t>
      </w:r>
      <w:r w:rsidRPr="00C27636">
        <w:rPr>
          <w:rFonts w:ascii="Calibri" w:eastAsia="Calibri" w:hAnsi="Calibri" w:cs="Calibri"/>
          <w:i/>
          <w:iCs/>
          <w:sz w:val="20"/>
          <w:szCs w:val="20"/>
          <w:lang w:val="nl-NL"/>
        </w:rPr>
        <w:tab/>
        <w:t>in</w:t>
      </w:r>
      <w:r w:rsidRPr="00C27636">
        <w:rPr>
          <w:rFonts w:ascii="Calibri" w:eastAsia="Calibri" w:hAnsi="Calibri" w:cs="Calibri"/>
          <w:i/>
          <w:iCs/>
          <w:sz w:val="20"/>
          <w:szCs w:val="20"/>
          <w:lang w:val="nl-NL"/>
        </w:rPr>
        <w:tab/>
        <w:t>Vlaanderen.</w:t>
      </w:r>
      <w:r w:rsidRPr="00C27636">
        <w:rPr>
          <w:rFonts w:ascii="Calibri" w:eastAsia="Calibri" w:hAnsi="Calibri" w:cs="Calibri"/>
          <w:i/>
          <w:iCs/>
          <w:sz w:val="20"/>
          <w:szCs w:val="20"/>
          <w:lang w:val="nl-NL"/>
        </w:rPr>
        <w:tab/>
        <w:t>Een</w:t>
      </w:r>
    </w:p>
    <w:p w:rsidR="00AC12B4" w:rsidRPr="00C27636" w:rsidRDefault="00AC12B4">
      <w:pPr>
        <w:spacing w:line="37" w:lineRule="exact"/>
        <w:rPr>
          <w:sz w:val="20"/>
          <w:szCs w:val="20"/>
          <w:lang w:val="nl-NL"/>
        </w:rPr>
      </w:pPr>
    </w:p>
    <w:p w:rsidR="00AC12B4" w:rsidRPr="00C27636" w:rsidRDefault="00C27636">
      <w:pPr>
        <w:ind w:left="1803"/>
        <w:rPr>
          <w:sz w:val="20"/>
          <w:szCs w:val="20"/>
          <w:lang w:val="nl-NL"/>
        </w:rPr>
      </w:pPr>
      <w:r w:rsidRPr="00C27636">
        <w:rPr>
          <w:rFonts w:ascii="Calibri" w:eastAsia="Calibri" w:hAnsi="Calibri" w:cs="Calibri"/>
          <w:i/>
          <w:iCs/>
          <w:sz w:val="20"/>
          <w:szCs w:val="20"/>
          <w:lang w:val="nl-NL"/>
        </w:rPr>
        <w:t>analyse voor de schooljaren 2001-</w:t>
      </w:r>
    </w:p>
    <w:p w:rsidR="00AC12B4" w:rsidRPr="00C27636" w:rsidRDefault="00C27636">
      <w:pPr>
        <w:tabs>
          <w:tab w:val="left" w:pos="2363"/>
          <w:tab w:val="left" w:pos="2783"/>
          <w:tab w:val="left" w:pos="3883"/>
        </w:tabs>
        <w:ind w:left="1803"/>
        <w:rPr>
          <w:sz w:val="20"/>
          <w:szCs w:val="20"/>
          <w:lang w:val="nl-NL"/>
        </w:rPr>
      </w:pPr>
      <w:r w:rsidRPr="00C27636">
        <w:rPr>
          <w:rFonts w:ascii="Calibri" w:eastAsia="Calibri" w:hAnsi="Calibri" w:cs="Calibri"/>
          <w:i/>
          <w:iCs/>
          <w:sz w:val="20"/>
          <w:szCs w:val="20"/>
          <w:lang w:val="nl-NL"/>
        </w:rPr>
        <w:t>2002</w:t>
      </w:r>
      <w:r w:rsidRPr="00C27636">
        <w:rPr>
          <w:rFonts w:ascii="Calibri" w:eastAsia="Calibri" w:hAnsi="Calibri" w:cs="Calibri"/>
          <w:i/>
          <w:iCs/>
          <w:sz w:val="20"/>
          <w:szCs w:val="20"/>
          <w:lang w:val="nl-NL"/>
        </w:rPr>
        <w:tab/>
        <w:t>tot</w:t>
      </w:r>
      <w:r w:rsidRPr="00C27636">
        <w:rPr>
          <w:rFonts w:ascii="Calibri" w:eastAsia="Calibri" w:hAnsi="Calibri" w:cs="Calibri"/>
          <w:i/>
          <w:iCs/>
          <w:sz w:val="20"/>
          <w:szCs w:val="20"/>
          <w:lang w:val="nl-NL"/>
        </w:rPr>
        <w:tab/>
        <w:t>2011-2012</w:t>
      </w:r>
      <w:r w:rsidRPr="00C27636">
        <w:rPr>
          <w:rFonts w:ascii="Calibri" w:eastAsia="Calibri" w:hAnsi="Calibri" w:cs="Calibri"/>
          <w:sz w:val="20"/>
          <w:szCs w:val="20"/>
          <w:lang w:val="nl-NL"/>
        </w:rPr>
        <w:t>,</w:t>
      </w:r>
      <w:r w:rsidRPr="00C27636">
        <w:rPr>
          <w:sz w:val="20"/>
          <w:szCs w:val="20"/>
          <w:lang w:val="nl-NL"/>
        </w:rPr>
        <w:tab/>
      </w:r>
      <w:r w:rsidRPr="00C27636">
        <w:rPr>
          <w:rFonts w:ascii="Trebuchet MS" w:eastAsia="Trebuchet MS" w:hAnsi="Trebuchet MS" w:cs="Trebuchet MS"/>
          <w:sz w:val="20"/>
          <w:szCs w:val="20"/>
          <w:lang w:val="nl-NL"/>
        </w:rPr>
        <w:t>Steunpunt</w:t>
      </w:r>
    </w:p>
    <w:p w:rsidR="00AC12B4" w:rsidRPr="00C27636" w:rsidRDefault="00AC12B4">
      <w:pPr>
        <w:spacing w:line="37" w:lineRule="exact"/>
        <w:rPr>
          <w:sz w:val="20"/>
          <w:szCs w:val="20"/>
          <w:lang w:val="nl-NL"/>
        </w:rPr>
      </w:pPr>
    </w:p>
    <w:p w:rsidR="00AC12B4" w:rsidRPr="00C27636" w:rsidRDefault="00C27636">
      <w:pPr>
        <w:tabs>
          <w:tab w:val="left" w:pos="2703"/>
          <w:tab w:val="left" w:pos="3223"/>
        </w:tabs>
        <w:ind w:left="1803"/>
        <w:rPr>
          <w:sz w:val="20"/>
          <w:szCs w:val="20"/>
          <w:lang w:val="nl-NL"/>
        </w:rPr>
      </w:pPr>
      <w:r w:rsidRPr="00C27636">
        <w:rPr>
          <w:rFonts w:ascii="Trebuchet MS" w:eastAsia="Trebuchet MS" w:hAnsi="Trebuchet MS" w:cs="Trebuchet MS"/>
          <w:sz w:val="20"/>
          <w:szCs w:val="20"/>
          <w:lang w:val="nl-NL"/>
        </w:rPr>
        <w:t>Studie-</w:t>
      </w:r>
      <w:r w:rsidRPr="00C27636">
        <w:rPr>
          <w:sz w:val="20"/>
          <w:szCs w:val="20"/>
          <w:lang w:val="nl-NL"/>
        </w:rPr>
        <w:tab/>
      </w:r>
      <w:r w:rsidRPr="00C27636">
        <w:rPr>
          <w:rFonts w:ascii="Trebuchet MS" w:eastAsia="Trebuchet MS" w:hAnsi="Trebuchet MS" w:cs="Trebuchet MS"/>
          <w:sz w:val="20"/>
          <w:szCs w:val="20"/>
          <w:lang w:val="nl-NL"/>
        </w:rPr>
        <w:t>en</w:t>
      </w:r>
      <w:r w:rsidRPr="00C27636">
        <w:rPr>
          <w:sz w:val="20"/>
          <w:szCs w:val="20"/>
          <w:lang w:val="nl-NL"/>
        </w:rPr>
        <w:tab/>
      </w:r>
      <w:r w:rsidRPr="00C27636">
        <w:rPr>
          <w:rFonts w:ascii="Trebuchet MS" w:eastAsia="Trebuchet MS" w:hAnsi="Trebuchet MS" w:cs="Trebuchet MS"/>
          <w:sz w:val="19"/>
          <w:szCs w:val="19"/>
          <w:lang w:val="nl-NL"/>
        </w:rPr>
        <w:t>Schoolloopbanen,</w:t>
      </w:r>
    </w:p>
    <w:p w:rsidR="00AC12B4" w:rsidRPr="00C27636" w:rsidRDefault="00AC12B4">
      <w:pPr>
        <w:spacing w:line="34" w:lineRule="exact"/>
        <w:rPr>
          <w:sz w:val="20"/>
          <w:szCs w:val="20"/>
          <w:lang w:val="nl-NL"/>
        </w:rPr>
      </w:pPr>
    </w:p>
    <w:p w:rsidR="00AC12B4" w:rsidRDefault="00C27636">
      <w:pPr>
        <w:ind w:left="1803"/>
        <w:rPr>
          <w:sz w:val="20"/>
          <w:szCs w:val="20"/>
        </w:rPr>
      </w:pPr>
      <w:r>
        <w:rPr>
          <w:rFonts w:ascii="Trebuchet MS" w:eastAsia="Trebuchet MS" w:hAnsi="Trebuchet MS" w:cs="Trebuchet MS"/>
          <w:sz w:val="20"/>
          <w:szCs w:val="20"/>
        </w:rPr>
        <w:t>2013.</w:t>
      </w:r>
    </w:p>
    <w:p w:rsidR="00AC12B4" w:rsidRDefault="00AC12B4">
      <w:pPr>
        <w:spacing w:line="91" w:lineRule="exact"/>
        <w:rPr>
          <w:sz w:val="20"/>
          <w:szCs w:val="20"/>
        </w:rPr>
      </w:pPr>
    </w:p>
    <w:p w:rsidR="00AC12B4" w:rsidRPr="00C27636" w:rsidRDefault="00C27636">
      <w:pPr>
        <w:numPr>
          <w:ilvl w:val="0"/>
          <w:numId w:val="213"/>
        </w:numPr>
        <w:tabs>
          <w:tab w:val="left" w:pos="1803"/>
        </w:tabs>
        <w:spacing w:line="259" w:lineRule="auto"/>
        <w:ind w:left="1803" w:right="5317" w:hanging="368"/>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 xml:space="preserve">Friant, N., "Les ségrégations scolaires en Belgique francophone: un aperçu" in </w:t>
      </w:r>
      <w:r w:rsidRPr="00C27636">
        <w:rPr>
          <w:rFonts w:ascii="Calibri" w:eastAsia="Calibri" w:hAnsi="Calibri" w:cs="Calibri"/>
          <w:i/>
          <w:iCs/>
          <w:sz w:val="20"/>
          <w:szCs w:val="20"/>
          <w:lang w:val="fr-BE"/>
        </w:rPr>
        <w:t>Diversité</w:t>
      </w:r>
      <w:r w:rsidRPr="00C27636">
        <w:rPr>
          <w:rFonts w:ascii="Calibri" w:eastAsia="Calibri" w:hAnsi="Calibri" w:cs="Calibri"/>
          <w:sz w:val="20"/>
          <w:szCs w:val="20"/>
          <w:lang w:val="fr-BE"/>
        </w:rPr>
        <w:t xml:space="preserve"> 2015, 181,105-111.</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à l’enseignement</w:t>
            </w:r>
          </w:p>
        </w:tc>
      </w:tr>
    </w:tbl>
    <w:p w:rsidR="00AC12B4" w:rsidRDefault="00AC12B4">
      <w:pPr>
        <w:spacing w:line="8" w:lineRule="exact"/>
        <w:rPr>
          <w:sz w:val="20"/>
          <w:szCs w:val="20"/>
        </w:rPr>
      </w:pPr>
    </w:p>
    <w:p w:rsidR="00AC12B4" w:rsidRDefault="00C27636">
      <w:pPr>
        <w:ind w:right="-205"/>
        <w:jc w:val="center"/>
        <w:rPr>
          <w:sz w:val="20"/>
          <w:szCs w:val="20"/>
        </w:rPr>
      </w:pPr>
      <w:r>
        <w:rPr>
          <w:rFonts w:ascii="Calibri" w:eastAsia="Calibri" w:hAnsi="Calibri" w:cs="Calibri"/>
        </w:rPr>
        <w:t>122</w:t>
      </w:r>
    </w:p>
    <w:p w:rsidR="00AC12B4" w:rsidRDefault="00AC12B4">
      <w:pPr>
        <w:sectPr w:rsidR="00AC12B4">
          <w:pgSz w:w="12080" w:h="17179"/>
          <w:pgMar w:top="1440" w:right="1440" w:bottom="659" w:left="497" w:header="0" w:footer="0" w:gutter="0"/>
          <w:cols w:space="720" w:equalWidth="0">
            <w:col w:w="10140"/>
          </w:cols>
        </w:sectPr>
      </w:pPr>
    </w:p>
    <w:bookmarkStart w:id="122" w:name="page123"/>
    <w:bookmarkEnd w:id="122"/>
    <w:p w:rsidR="00AC12B4" w:rsidRDefault="00C27636">
      <w:pPr>
        <w:spacing w:line="168" w:lineRule="exact"/>
        <w:rPr>
          <w:sz w:val="20"/>
          <w:szCs w:val="20"/>
        </w:rPr>
      </w:pPr>
      <w:r>
        <w:rPr>
          <w:noProof/>
          <w:sz w:val="20"/>
          <w:szCs w:val="20"/>
        </w:rPr>
        <w:lastRenderedPageBreak/>
        <mc:AlternateContent>
          <mc:Choice Requires="wps">
            <w:drawing>
              <wp:anchor distT="0" distB="0" distL="114300" distR="114300" simplePos="0" relativeHeight="251676160" behindDoc="1" locked="0" layoutInCell="0" allowOverlap="1">
                <wp:simplePos x="0" y="0"/>
                <wp:positionH relativeFrom="page">
                  <wp:posOffset>6913880</wp:posOffset>
                </wp:positionH>
                <wp:positionV relativeFrom="page">
                  <wp:posOffset>0</wp:posOffset>
                </wp:positionV>
                <wp:extent cx="751840" cy="10895965"/>
                <wp:effectExtent l="0" t="0" r="0" b="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5965"/>
                        </a:xfrm>
                        <a:prstGeom prst="rect">
                          <a:avLst/>
                        </a:prstGeom>
                        <a:solidFill>
                          <a:srgbClr val="8BCCEC"/>
                        </a:solidFill>
                      </wps:spPr>
                      <wps:bodyPr/>
                    </wps:wsp>
                  </a:graphicData>
                </a:graphic>
              </wp:anchor>
            </w:drawing>
          </mc:Choice>
          <mc:Fallback>
            <w:pict>
              <v:rect id="Shape 339" o:spid="_x0000_s1364" style="position:absolute;margin-left:544.4pt;margin-top:0pt;width:59.2pt;height:857.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Pr="00C27636" w:rsidRDefault="00C27636">
      <w:pPr>
        <w:ind w:left="880"/>
        <w:rPr>
          <w:sz w:val="20"/>
          <w:szCs w:val="20"/>
          <w:lang w:val="fr-BE"/>
        </w:rPr>
      </w:pPr>
      <w:r w:rsidRPr="00C27636">
        <w:rPr>
          <w:rFonts w:ascii="Comic Sans MS" w:eastAsia="Comic Sans MS" w:hAnsi="Comic Sans MS" w:cs="Comic Sans MS"/>
          <w:color w:val="8BCCEC"/>
          <w:sz w:val="40"/>
          <w:szCs w:val="40"/>
          <w:lang w:val="fr-BE"/>
        </w:rPr>
        <w:t>E5. Sentiment de bien-être à l’école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77184" behindDoc="1" locked="0" layoutInCell="0" allowOverlap="1">
                <wp:simplePos x="0" y="0"/>
                <wp:positionH relativeFrom="column">
                  <wp:posOffset>-351155</wp:posOffset>
                </wp:positionH>
                <wp:positionV relativeFrom="paragraph">
                  <wp:posOffset>194945</wp:posOffset>
                </wp:positionV>
                <wp:extent cx="4561205" cy="2381250"/>
                <wp:effectExtent l="0" t="0" r="0" b="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1205" cy="2381250"/>
                        </a:xfrm>
                        <a:prstGeom prst="rect">
                          <a:avLst/>
                        </a:prstGeom>
                        <a:solidFill>
                          <a:srgbClr val="8BCCEC"/>
                        </a:solidFill>
                      </wps:spPr>
                      <wps:bodyPr/>
                    </wps:wsp>
                  </a:graphicData>
                </a:graphic>
              </wp:anchor>
            </w:drawing>
          </mc:Choice>
          <mc:Fallback>
            <w:pict>
              <v:rect id="Shape 340" o:spid="_x0000_s1365" style="position:absolute;margin-left:-27.6499pt;margin-top:15.35pt;width:359.15pt;height:1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r>
        <w:rPr>
          <w:noProof/>
          <w:sz w:val="20"/>
          <w:szCs w:val="20"/>
        </w:rPr>
        <mc:AlternateContent>
          <mc:Choice Requires="wps">
            <w:drawing>
              <wp:anchor distT="0" distB="0" distL="114300" distR="114300" simplePos="0" relativeHeight="251678208" behindDoc="1" locked="0" layoutInCell="0" allowOverlap="1">
                <wp:simplePos x="0" y="0"/>
                <wp:positionH relativeFrom="column">
                  <wp:posOffset>4210050</wp:posOffset>
                </wp:positionH>
                <wp:positionV relativeFrom="paragraph">
                  <wp:posOffset>182245</wp:posOffset>
                </wp:positionV>
                <wp:extent cx="0" cy="2406650"/>
                <wp:effectExtent l="0" t="0" r="0" b="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0665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5pt,14.35pt" to="331.5pt,203.85pt" o:allowincell="f" strokecolor="#44ACE0" strokeweight="2pt"/>
            </w:pict>
          </mc:Fallback>
        </mc:AlternateContent>
      </w:r>
      <w:r>
        <w:rPr>
          <w:noProof/>
          <w:sz w:val="20"/>
          <w:szCs w:val="20"/>
        </w:rPr>
        <mc:AlternateContent>
          <mc:Choice Requires="wps">
            <w:drawing>
              <wp:anchor distT="0" distB="0" distL="114300" distR="114300" simplePos="0" relativeHeight="251679232" behindDoc="1" locked="0" layoutInCell="0" allowOverlap="1">
                <wp:simplePos x="0" y="0"/>
                <wp:positionH relativeFrom="column">
                  <wp:posOffset>-363855</wp:posOffset>
                </wp:positionH>
                <wp:positionV relativeFrom="paragraph">
                  <wp:posOffset>194945</wp:posOffset>
                </wp:positionV>
                <wp:extent cx="4586605" cy="0"/>
                <wp:effectExtent l="0" t="0" r="0" b="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8660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5.35pt" to="332.5pt,15.35pt" o:allowincell="f" strokecolor="#44ACE0" strokeweight="2pt"/>
            </w:pict>
          </mc:Fallback>
        </mc:AlternateContent>
      </w:r>
      <w:r>
        <w:rPr>
          <w:noProof/>
          <w:sz w:val="20"/>
          <w:szCs w:val="20"/>
        </w:rPr>
        <mc:AlternateContent>
          <mc:Choice Requires="wps">
            <w:drawing>
              <wp:anchor distT="0" distB="0" distL="114300" distR="114300" simplePos="0" relativeHeight="251680256" behindDoc="1" locked="0" layoutInCell="0" allowOverlap="1">
                <wp:simplePos x="0" y="0"/>
                <wp:positionH relativeFrom="column">
                  <wp:posOffset>-351155</wp:posOffset>
                </wp:positionH>
                <wp:positionV relativeFrom="paragraph">
                  <wp:posOffset>182245</wp:posOffset>
                </wp:positionV>
                <wp:extent cx="0" cy="2406650"/>
                <wp:effectExtent l="0" t="0" r="0" b="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0665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4.35pt" to="-27.6499pt,203.85pt" o:allowincell="f" strokecolor="#44ACE0" strokeweight="2pt"/>
            </w:pict>
          </mc:Fallback>
        </mc:AlternateContent>
      </w:r>
      <w:r>
        <w:rPr>
          <w:noProof/>
          <w:sz w:val="20"/>
          <w:szCs w:val="20"/>
        </w:rPr>
        <mc:AlternateContent>
          <mc:Choice Requires="wps">
            <w:drawing>
              <wp:anchor distT="0" distB="0" distL="114300" distR="114300" simplePos="0" relativeHeight="251681280" behindDoc="1" locked="0" layoutInCell="0" allowOverlap="1">
                <wp:simplePos x="0" y="0"/>
                <wp:positionH relativeFrom="column">
                  <wp:posOffset>-363855</wp:posOffset>
                </wp:positionH>
                <wp:positionV relativeFrom="paragraph">
                  <wp:posOffset>2576195</wp:posOffset>
                </wp:positionV>
                <wp:extent cx="4586605" cy="0"/>
                <wp:effectExtent l="0" t="0" r="0" b="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8660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02.85pt" to="332.5pt,202.85pt" o:allowincell="f" strokecolor="#44ACE0" strokeweight="2pt"/>
            </w:pict>
          </mc:Fallback>
        </mc:AlternateContent>
      </w:r>
    </w:p>
    <w:p w:rsidR="00AC12B4" w:rsidRPr="00C27636" w:rsidRDefault="00AC12B4">
      <w:pPr>
        <w:rPr>
          <w:lang w:val="fr-BE"/>
        </w:rPr>
        <w:sectPr w:rsidR="00AC12B4" w:rsidRPr="00C27636">
          <w:pgSz w:w="12080" w:h="17179"/>
          <w:pgMar w:top="1440" w:right="557" w:bottom="659" w:left="1120" w:header="0" w:footer="0" w:gutter="0"/>
          <w:cols w:space="720" w:equalWidth="0">
            <w:col w:w="1040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7" w:lineRule="exact"/>
        <w:rPr>
          <w:sz w:val="20"/>
          <w:szCs w:val="20"/>
          <w:lang w:val="fr-BE"/>
        </w:rPr>
      </w:pPr>
    </w:p>
    <w:p w:rsidR="00AC12B4" w:rsidRDefault="00C27636">
      <w:pPr>
        <w:rPr>
          <w:sz w:val="20"/>
          <w:szCs w:val="20"/>
        </w:rPr>
      </w:pPr>
      <w:r>
        <w:rPr>
          <w:rFonts w:ascii="Calibri" w:eastAsia="Calibri" w:hAnsi="Calibri" w:cs="Calibri"/>
          <w:i/>
          <w:iCs/>
          <w:color w:val="DAEEF3"/>
        </w:rPr>
        <w:t>Article 28 CIDE</w:t>
      </w:r>
    </w:p>
    <w:p w:rsidR="00AC12B4" w:rsidRPr="00C27636" w:rsidRDefault="00C27636">
      <w:pPr>
        <w:numPr>
          <w:ilvl w:val="0"/>
          <w:numId w:val="214"/>
        </w:numPr>
        <w:tabs>
          <w:tab w:val="left" w:pos="240"/>
        </w:tabs>
        <w:ind w:left="240" w:hanging="232"/>
        <w:rPr>
          <w:rFonts w:ascii="Calibri" w:eastAsia="Calibri" w:hAnsi="Calibri" w:cs="Calibri"/>
          <w:i/>
          <w:iCs/>
          <w:color w:val="DAEEF3"/>
          <w:lang w:val="fr-BE"/>
        </w:rPr>
      </w:pPr>
      <w:r w:rsidRPr="00C27636">
        <w:rPr>
          <w:rFonts w:ascii="Calibri" w:eastAsia="Calibri" w:hAnsi="Calibri" w:cs="Calibri"/>
          <w:i/>
          <w:iCs/>
          <w:color w:val="DAEEF3"/>
          <w:lang w:val="fr-BE"/>
        </w:rPr>
        <w:t xml:space="preserve">Les Etats parties prennent toutes les mesures </w:t>
      </w:r>
      <w:r w:rsidRPr="00C27636">
        <w:rPr>
          <w:rFonts w:ascii="Calibri" w:eastAsia="Calibri" w:hAnsi="Calibri" w:cs="Calibri"/>
          <w:i/>
          <w:iCs/>
          <w:color w:val="DAEEF3"/>
          <w:lang w:val="fr-BE"/>
        </w:rPr>
        <w:t>appropriées pour veiller</w:t>
      </w:r>
    </w:p>
    <w:p w:rsidR="00AC12B4" w:rsidRPr="00C27636" w:rsidRDefault="00AC12B4">
      <w:pPr>
        <w:spacing w:line="49" w:lineRule="exact"/>
        <w:rPr>
          <w:rFonts w:ascii="Calibri" w:eastAsia="Calibri" w:hAnsi="Calibri" w:cs="Calibri"/>
          <w:i/>
          <w:iCs/>
          <w:color w:val="DAEEF3"/>
          <w:lang w:val="fr-BE"/>
        </w:rPr>
      </w:pPr>
    </w:p>
    <w:p w:rsidR="00AC12B4" w:rsidRPr="00C27636" w:rsidRDefault="00C27636">
      <w:pPr>
        <w:spacing w:line="225" w:lineRule="auto"/>
        <w:jc w:val="both"/>
        <w:rPr>
          <w:rFonts w:ascii="Calibri" w:eastAsia="Calibri" w:hAnsi="Calibri" w:cs="Calibri"/>
          <w:i/>
          <w:iCs/>
          <w:color w:val="DAEEF3"/>
          <w:lang w:val="fr-BE"/>
        </w:rPr>
      </w:pPr>
      <w:r w:rsidRPr="00C27636">
        <w:rPr>
          <w:rFonts w:ascii="Calibri" w:eastAsia="Calibri" w:hAnsi="Calibri" w:cs="Calibri"/>
          <w:i/>
          <w:iCs/>
          <w:color w:val="DAEEF3"/>
          <w:lang w:val="fr-BE"/>
        </w:rPr>
        <w:t>à ce que la discipline scolaire soit appliquée d’une manière compatible avec la dignité de l’enfant en tant qu’être humain et conformément à la présente Convention.</w:t>
      </w:r>
    </w:p>
    <w:p w:rsidR="00AC12B4" w:rsidRPr="00C27636" w:rsidRDefault="00AC12B4">
      <w:pPr>
        <w:spacing w:line="389" w:lineRule="exact"/>
        <w:rPr>
          <w:sz w:val="20"/>
          <w:szCs w:val="20"/>
          <w:lang w:val="fr-BE"/>
        </w:rPr>
      </w:pPr>
    </w:p>
    <w:p w:rsidR="00AC12B4" w:rsidRDefault="00C27636">
      <w:pPr>
        <w:rPr>
          <w:sz w:val="20"/>
          <w:szCs w:val="20"/>
        </w:rPr>
      </w:pPr>
      <w:r>
        <w:rPr>
          <w:rFonts w:ascii="Calibri" w:eastAsia="Calibri" w:hAnsi="Calibri" w:cs="Calibri"/>
          <w:i/>
          <w:iCs/>
          <w:color w:val="DAEEF3"/>
        </w:rPr>
        <w:t>Article 29 CIDE</w:t>
      </w:r>
    </w:p>
    <w:p w:rsidR="00AC12B4" w:rsidRDefault="00AC12B4">
      <w:pPr>
        <w:spacing w:line="49" w:lineRule="exact"/>
        <w:rPr>
          <w:sz w:val="20"/>
          <w:szCs w:val="20"/>
        </w:rPr>
      </w:pPr>
    </w:p>
    <w:p w:rsidR="00AC12B4" w:rsidRPr="00C27636" w:rsidRDefault="00C27636">
      <w:pPr>
        <w:numPr>
          <w:ilvl w:val="0"/>
          <w:numId w:val="215"/>
        </w:numPr>
        <w:tabs>
          <w:tab w:val="left" w:pos="218"/>
        </w:tabs>
        <w:spacing w:line="230" w:lineRule="auto"/>
        <w:ind w:firstLine="8"/>
        <w:rPr>
          <w:rFonts w:ascii="Calibri" w:eastAsia="Calibri" w:hAnsi="Calibri" w:cs="Calibri"/>
          <w:i/>
          <w:iCs/>
          <w:color w:val="DAEEF3"/>
          <w:lang w:val="fr-BE"/>
        </w:rPr>
      </w:pPr>
      <w:r w:rsidRPr="00C27636">
        <w:rPr>
          <w:rFonts w:ascii="Calibri" w:eastAsia="Calibri" w:hAnsi="Calibri" w:cs="Calibri"/>
          <w:i/>
          <w:iCs/>
          <w:color w:val="DAEEF3"/>
          <w:lang w:val="fr-BE"/>
        </w:rPr>
        <w:t>Les Etats parties conviennent que l’éducation d</w:t>
      </w:r>
      <w:r w:rsidRPr="00C27636">
        <w:rPr>
          <w:rFonts w:ascii="Calibri" w:eastAsia="Calibri" w:hAnsi="Calibri" w:cs="Calibri"/>
          <w:i/>
          <w:iCs/>
          <w:color w:val="DAEEF3"/>
          <w:lang w:val="fr-BE"/>
        </w:rPr>
        <w:t>e l’enfant doit viser à : a) Favoriser l’épanouissement de la personnalité de l’enfant et le développement de ses dons et de ses aptitudes mentales et physiques, dans toute la mesure de leurs potentialités;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06" w:lineRule="exact"/>
        <w:rPr>
          <w:sz w:val="20"/>
          <w:szCs w:val="20"/>
          <w:lang w:val="fr-BE"/>
        </w:rPr>
      </w:pPr>
    </w:p>
    <w:p w:rsidR="00AC12B4" w:rsidRDefault="00C27636">
      <w:pPr>
        <w:spacing w:line="229" w:lineRule="auto"/>
        <w:ind w:right="1040"/>
        <w:jc w:val="both"/>
        <w:rPr>
          <w:sz w:val="20"/>
          <w:szCs w:val="20"/>
        </w:rPr>
      </w:pPr>
      <w:r>
        <w:rPr>
          <w:rFonts w:ascii="Calibri" w:eastAsia="Calibri" w:hAnsi="Calibri" w:cs="Calibri"/>
          <w:i/>
          <w:iCs/>
        </w:rPr>
        <w:t xml:space="preserve">adversely affect students’ perceptions of </w:t>
      </w:r>
      <w:r>
        <w:rPr>
          <w:rFonts w:ascii="Calibri" w:eastAsia="Calibri" w:hAnsi="Calibri" w:cs="Calibri"/>
          <w:i/>
          <w:iCs/>
        </w:rPr>
        <w:t>themselves, their satisfaction with live, and their willingness to learn and to put effort into their studies</w:t>
      </w:r>
      <w:r>
        <w:rPr>
          <w:rFonts w:ascii="Calibri" w:eastAsia="Calibri" w:hAnsi="Calibri" w:cs="Calibri"/>
          <w:sz w:val="27"/>
          <w:szCs w:val="27"/>
          <w:vertAlign w:val="superscript"/>
        </w:rPr>
        <w:t>1</w:t>
      </w:r>
    </w:p>
    <w:p w:rsidR="00AC12B4" w:rsidRDefault="00AC12B4">
      <w:pPr>
        <w:spacing w:line="88" w:lineRule="exact"/>
        <w:rPr>
          <w:sz w:val="20"/>
          <w:szCs w:val="20"/>
        </w:rPr>
      </w:pPr>
    </w:p>
    <w:p w:rsidR="00AC12B4" w:rsidRPr="00C27636" w:rsidRDefault="00C27636">
      <w:pPr>
        <w:tabs>
          <w:tab w:val="left" w:pos="1600"/>
        </w:tabs>
        <w:rPr>
          <w:sz w:val="20"/>
          <w:szCs w:val="20"/>
          <w:lang w:val="fr-BE"/>
        </w:rPr>
      </w:pPr>
      <w:r w:rsidRPr="00C27636">
        <w:rPr>
          <w:rFonts w:ascii="Calibri" w:eastAsia="Calibri" w:hAnsi="Calibri" w:cs="Calibri"/>
          <w:lang w:val="fr-BE"/>
        </w:rPr>
        <w:t>Le</w:t>
      </w:r>
      <w:r w:rsidRPr="00C27636">
        <w:rPr>
          <w:sz w:val="20"/>
          <w:szCs w:val="20"/>
          <w:lang w:val="fr-BE"/>
        </w:rPr>
        <w:tab/>
      </w:r>
      <w:r w:rsidRPr="00C27636">
        <w:rPr>
          <w:rFonts w:ascii="Calibri" w:eastAsia="Calibri" w:hAnsi="Calibri" w:cs="Calibri"/>
          <w:lang w:val="fr-BE"/>
        </w:rPr>
        <w:t>sentiment</w:t>
      </w:r>
    </w:p>
    <w:p w:rsidR="00AC12B4" w:rsidRPr="00C27636" w:rsidRDefault="00AC12B4">
      <w:pPr>
        <w:spacing w:line="49" w:lineRule="exact"/>
        <w:rPr>
          <w:sz w:val="20"/>
          <w:szCs w:val="20"/>
          <w:lang w:val="fr-BE"/>
        </w:rPr>
      </w:pPr>
    </w:p>
    <w:p w:rsidR="00AC12B4" w:rsidRPr="00C27636" w:rsidRDefault="00C27636">
      <w:pPr>
        <w:spacing w:line="228" w:lineRule="auto"/>
        <w:ind w:right="1060"/>
        <w:jc w:val="both"/>
        <w:rPr>
          <w:sz w:val="20"/>
          <w:szCs w:val="20"/>
          <w:lang w:val="fr-BE"/>
        </w:rPr>
      </w:pPr>
      <w:r w:rsidRPr="00C27636">
        <w:rPr>
          <w:rFonts w:ascii="Calibri" w:eastAsia="Calibri" w:hAnsi="Calibri" w:cs="Calibri"/>
          <w:lang w:val="fr-BE"/>
        </w:rPr>
        <w:t>d’appartenance est approché par différentes questions dans l’enquête PISA (voir figure).</w:t>
      </w:r>
    </w:p>
    <w:p w:rsidR="00AC12B4" w:rsidRPr="00C27636" w:rsidRDefault="00AC12B4">
      <w:pPr>
        <w:spacing w:line="124"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Les trois Communautés ont</w:t>
      </w:r>
    </w:p>
    <w:p w:rsidR="00AC12B4" w:rsidRPr="00C27636" w:rsidRDefault="00AC12B4">
      <w:pPr>
        <w:spacing w:line="200" w:lineRule="exact"/>
        <w:rPr>
          <w:sz w:val="20"/>
          <w:szCs w:val="20"/>
          <w:lang w:val="fr-BE"/>
        </w:rPr>
      </w:pPr>
    </w:p>
    <w:p w:rsidR="00AC12B4" w:rsidRPr="00C27636" w:rsidRDefault="00AC12B4">
      <w:pPr>
        <w:rPr>
          <w:lang w:val="fr-BE"/>
        </w:rPr>
        <w:sectPr w:rsidR="00AC12B4" w:rsidRPr="00C27636">
          <w:type w:val="continuous"/>
          <w:pgSz w:w="12080" w:h="17179"/>
          <w:pgMar w:top="1440" w:right="557" w:bottom="659" w:left="1120" w:header="0" w:footer="0" w:gutter="0"/>
          <w:cols w:num="2" w:space="720" w:equalWidth="0">
            <w:col w:w="6460" w:space="360"/>
            <w:col w:w="3580"/>
          </w:cols>
        </w:sectPr>
      </w:pPr>
    </w:p>
    <w:p w:rsidR="00AC12B4" w:rsidRPr="00C27636" w:rsidRDefault="00AC12B4">
      <w:pPr>
        <w:spacing w:line="200" w:lineRule="exact"/>
        <w:rPr>
          <w:sz w:val="20"/>
          <w:szCs w:val="20"/>
          <w:lang w:val="fr-BE"/>
        </w:rPr>
      </w:pPr>
    </w:p>
    <w:p w:rsidR="00AC12B4" w:rsidRPr="00C27636" w:rsidRDefault="00AC12B4">
      <w:pPr>
        <w:spacing w:line="376" w:lineRule="exact"/>
        <w:rPr>
          <w:sz w:val="20"/>
          <w:szCs w:val="20"/>
          <w:lang w:val="fr-BE"/>
        </w:rPr>
      </w:pPr>
    </w:p>
    <w:p w:rsidR="00AC12B4" w:rsidRPr="00C27636" w:rsidRDefault="00C27636">
      <w:pPr>
        <w:spacing w:line="234" w:lineRule="auto"/>
        <w:ind w:left="880"/>
        <w:jc w:val="both"/>
        <w:rPr>
          <w:sz w:val="20"/>
          <w:szCs w:val="20"/>
          <w:lang w:val="fr-BE"/>
        </w:rPr>
      </w:pPr>
      <w:r w:rsidRPr="00C27636">
        <w:rPr>
          <w:rFonts w:ascii="Calibri" w:eastAsia="Calibri" w:hAnsi="Calibri" w:cs="Calibri"/>
          <w:lang w:val="fr-BE"/>
        </w:rPr>
        <w:t xml:space="preserve">Le bien-être à l'école (et ailleurs) est un objectif à poursuivre dans le sens des articles 28.2 et 29.1, mais aussi dans l'intérêt supérieur de l'enfant (art. 3) et son droit à la participation (art. 12), son droit à la </w:t>
      </w:r>
      <w:r w:rsidRPr="00C27636">
        <w:rPr>
          <w:rFonts w:ascii="Calibri" w:eastAsia="Calibri" w:hAnsi="Calibri" w:cs="Calibri"/>
          <w:lang w:val="fr-BE"/>
        </w:rPr>
        <w:t>vie, à la survie et au développement (art. 6) et son droit à jouer et aux loisirs (art. 31).</w:t>
      </w:r>
    </w:p>
    <w:p w:rsidR="00AC12B4" w:rsidRPr="00C27636" w:rsidRDefault="00AC12B4">
      <w:pPr>
        <w:spacing w:line="174" w:lineRule="exact"/>
        <w:rPr>
          <w:sz w:val="20"/>
          <w:szCs w:val="20"/>
          <w:lang w:val="fr-BE"/>
        </w:rPr>
      </w:pPr>
    </w:p>
    <w:p w:rsidR="00AC12B4" w:rsidRPr="00C27636" w:rsidRDefault="00C27636">
      <w:pPr>
        <w:spacing w:line="233" w:lineRule="auto"/>
        <w:ind w:left="880"/>
        <w:jc w:val="both"/>
        <w:rPr>
          <w:sz w:val="20"/>
          <w:szCs w:val="20"/>
          <w:lang w:val="fr-BE"/>
        </w:rPr>
      </w:pPr>
      <w:r w:rsidRPr="00C27636">
        <w:rPr>
          <w:rFonts w:ascii="Calibri" w:eastAsia="Calibri" w:hAnsi="Calibri" w:cs="Calibri"/>
          <w:lang w:val="fr-BE"/>
        </w:rPr>
        <w:t xml:space="preserve">L’école occupe une place importante dans la vie des enfants. L’école est sans doute l’un des lieux de socialisation les plus importants pour les jeunes ne fut-ce </w:t>
      </w:r>
      <w:r w:rsidRPr="00C27636">
        <w:rPr>
          <w:rFonts w:ascii="Calibri" w:eastAsia="Calibri" w:hAnsi="Calibri" w:cs="Calibri"/>
          <w:lang w:val="fr-BE"/>
        </w:rPr>
        <w:t>que par le temps passé en son sein. Se sentir bien à l’école est donc primordial et nécessite un temps d’arrêt.</w:t>
      </w:r>
    </w:p>
    <w:p w:rsidR="00AC12B4" w:rsidRPr="00C27636" w:rsidRDefault="00AC12B4">
      <w:pPr>
        <w:spacing w:line="177" w:lineRule="exact"/>
        <w:rPr>
          <w:sz w:val="20"/>
          <w:szCs w:val="20"/>
          <w:lang w:val="fr-BE"/>
        </w:rPr>
      </w:pPr>
    </w:p>
    <w:p w:rsidR="00AC12B4" w:rsidRPr="00C27636" w:rsidRDefault="00C27636">
      <w:pPr>
        <w:spacing w:line="230" w:lineRule="auto"/>
        <w:ind w:left="880"/>
        <w:jc w:val="both"/>
        <w:rPr>
          <w:sz w:val="20"/>
          <w:szCs w:val="20"/>
          <w:lang w:val="fr-BE"/>
        </w:rPr>
      </w:pPr>
      <w:r w:rsidRPr="00C27636">
        <w:rPr>
          <w:rFonts w:ascii="Calibri" w:eastAsia="Calibri" w:hAnsi="Calibri" w:cs="Calibri"/>
          <w:lang w:val="fr-BE"/>
        </w:rPr>
        <w:t>Bien qu’influençant certainement le bien-être, la problématique de la violence à l’école, notamment le harcèlement, sera plus développé dans l’</w:t>
      </w:r>
      <w:r w:rsidRPr="00C27636">
        <w:rPr>
          <w:rFonts w:ascii="Calibri" w:eastAsia="Calibri" w:hAnsi="Calibri" w:cs="Calibri"/>
          <w:lang w:val="fr-BE"/>
        </w:rPr>
        <w:t>indicateur ’violence entre pairs’.</w:t>
      </w:r>
    </w:p>
    <w:p w:rsidR="00AC12B4" w:rsidRPr="00C27636" w:rsidRDefault="00AC12B4">
      <w:pPr>
        <w:spacing w:line="175" w:lineRule="exact"/>
        <w:rPr>
          <w:sz w:val="20"/>
          <w:szCs w:val="20"/>
          <w:lang w:val="fr-BE"/>
        </w:rPr>
      </w:pPr>
    </w:p>
    <w:p w:rsidR="00AC12B4" w:rsidRDefault="00C27636">
      <w:pPr>
        <w:spacing w:line="225" w:lineRule="auto"/>
        <w:ind w:left="880"/>
        <w:jc w:val="both"/>
        <w:rPr>
          <w:sz w:val="20"/>
          <w:szCs w:val="20"/>
        </w:rPr>
      </w:pPr>
      <w:r w:rsidRPr="00C27636">
        <w:rPr>
          <w:rFonts w:ascii="Calibri" w:eastAsia="Calibri" w:hAnsi="Calibri" w:cs="Calibri"/>
          <w:lang w:val="fr-BE"/>
        </w:rPr>
        <w:t xml:space="preserve">La question du bien-être à l’école est vaste et reprend différents facteurs. </w:t>
      </w:r>
      <w:r>
        <w:rPr>
          <w:rFonts w:ascii="Calibri" w:eastAsia="Calibri" w:hAnsi="Calibri" w:cs="Calibri"/>
        </w:rPr>
        <w:t>Nous utiliserons ici les données concernant le</w:t>
      </w:r>
    </w:p>
    <w:p w:rsidR="00AC12B4" w:rsidRDefault="00AC12B4">
      <w:pPr>
        <w:spacing w:line="51" w:lineRule="exact"/>
        <w:rPr>
          <w:sz w:val="20"/>
          <w:szCs w:val="20"/>
        </w:rPr>
      </w:pPr>
    </w:p>
    <w:p w:rsidR="00AC12B4" w:rsidRPr="00C27636" w:rsidRDefault="00C27636">
      <w:pPr>
        <w:numPr>
          <w:ilvl w:val="0"/>
          <w:numId w:val="216"/>
        </w:numPr>
        <w:tabs>
          <w:tab w:val="left" w:pos="1043"/>
        </w:tabs>
        <w:spacing w:line="218" w:lineRule="auto"/>
        <w:ind w:left="880" w:firstLine="7"/>
        <w:rPr>
          <w:rFonts w:ascii="Calibri" w:eastAsia="Calibri" w:hAnsi="Calibri" w:cs="Calibri"/>
          <w:lang w:val="fr-BE"/>
        </w:rPr>
      </w:pPr>
      <w:r w:rsidRPr="00C27636">
        <w:rPr>
          <w:rFonts w:ascii="Calibri" w:eastAsia="Calibri" w:hAnsi="Calibri" w:cs="Calibri"/>
          <w:lang w:val="fr-BE"/>
        </w:rPr>
        <w:t>sentiment d’appartenance » présentes dans l’enquête PISA.</w:t>
      </w:r>
    </w:p>
    <w:p w:rsidR="00AC12B4" w:rsidRPr="00C27636" w:rsidRDefault="00AC12B4">
      <w:pPr>
        <w:spacing w:line="169" w:lineRule="exact"/>
        <w:rPr>
          <w:rFonts w:ascii="Calibri" w:eastAsia="Calibri" w:hAnsi="Calibri" w:cs="Calibri"/>
          <w:lang w:val="fr-BE"/>
        </w:rPr>
      </w:pPr>
    </w:p>
    <w:p w:rsidR="00AC12B4" w:rsidRDefault="00C27636">
      <w:pPr>
        <w:numPr>
          <w:ilvl w:val="0"/>
          <w:numId w:val="216"/>
        </w:numPr>
        <w:tabs>
          <w:tab w:val="left" w:pos="1043"/>
        </w:tabs>
        <w:spacing w:line="232" w:lineRule="auto"/>
        <w:ind w:left="880" w:firstLine="7"/>
        <w:jc w:val="both"/>
        <w:rPr>
          <w:rFonts w:ascii="Calibri" w:eastAsia="Calibri" w:hAnsi="Calibri" w:cs="Calibri"/>
          <w:i/>
          <w:iCs/>
        </w:rPr>
      </w:pPr>
      <w:r>
        <w:rPr>
          <w:rFonts w:ascii="Calibri" w:eastAsia="Calibri" w:hAnsi="Calibri" w:cs="Calibri"/>
          <w:i/>
          <w:iCs/>
        </w:rPr>
        <w:t>A sense of belonging reflects how co</w:t>
      </w:r>
      <w:r>
        <w:rPr>
          <w:rFonts w:ascii="Calibri" w:eastAsia="Calibri" w:hAnsi="Calibri" w:cs="Calibri"/>
          <w:i/>
          <w:iCs/>
        </w:rPr>
        <w:t>nnected students feel with their school and peers. Student tend thrive when they form positive relationships with peers, feel part of a social group, and feel at ease at school. A lack of connectedness can</w:t>
      </w:r>
    </w:p>
    <w:p w:rsidR="00AC12B4" w:rsidRDefault="00C27636">
      <w:pPr>
        <w:spacing w:line="20" w:lineRule="exact"/>
        <w:rPr>
          <w:sz w:val="20"/>
          <w:szCs w:val="20"/>
        </w:rPr>
      </w:pPr>
      <w:r>
        <w:rPr>
          <w:sz w:val="20"/>
          <w:szCs w:val="20"/>
        </w:rPr>
        <w:br w:type="column"/>
      </w:r>
    </w:p>
    <w:p w:rsidR="00AC12B4" w:rsidRDefault="00AC12B4">
      <w:pPr>
        <w:spacing w:line="1" w:lineRule="exact"/>
        <w:rPr>
          <w:sz w:val="1"/>
          <w:szCs w:val="1"/>
        </w:rPr>
      </w:pPr>
    </w:p>
    <w:tbl>
      <w:tblPr>
        <w:tblW w:w="0" w:type="auto"/>
        <w:tblInd w:w="8" w:type="dxa"/>
        <w:tblLayout w:type="fixed"/>
        <w:tblCellMar>
          <w:left w:w="0" w:type="dxa"/>
          <w:right w:w="0" w:type="dxa"/>
        </w:tblCellMar>
        <w:tblLook w:val="04A0" w:firstRow="1" w:lastRow="0" w:firstColumn="1" w:lastColumn="0" w:noHBand="0" w:noVBand="1"/>
      </w:tblPr>
      <w:tblGrid>
        <w:gridCol w:w="260"/>
        <w:gridCol w:w="400"/>
        <w:gridCol w:w="140"/>
        <w:gridCol w:w="300"/>
        <w:gridCol w:w="980"/>
        <w:gridCol w:w="620"/>
        <w:gridCol w:w="360"/>
        <w:gridCol w:w="800"/>
        <w:gridCol w:w="760"/>
        <w:gridCol w:w="30"/>
      </w:tblGrid>
      <w:tr w:rsidR="00AC12B4">
        <w:trPr>
          <w:trHeight w:val="572"/>
        </w:trPr>
        <w:tc>
          <w:tcPr>
            <w:tcW w:w="2080" w:type="dxa"/>
            <w:gridSpan w:val="5"/>
            <w:tcBorders>
              <w:right w:val="single" w:sz="8" w:space="0" w:color="44ACE0"/>
            </w:tcBorders>
            <w:vAlign w:val="bottom"/>
          </w:tcPr>
          <w:p w:rsidR="00AC12B4" w:rsidRDefault="00C27636">
            <w:pPr>
              <w:rPr>
                <w:sz w:val="20"/>
                <w:szCs w:val="20"/>
              </w:rPr>
            </w:pPr>
            <w:r>
              <w:rPr>
                <w:rFonts w:ascii="Calibri" w:eastAsia="Calibri" w:hAnsi="Calibri" w:cs="Calibri"/>
              </w:rPr>
              <w:t>des résultats assez</w:t>
            </w:r>
          </w:p>
        </w:tc>
        <w:tc>
          <w:tcPr>
            <w:tcW w:w="2540" w:type="dxa"/>
            <w:gridSpan w:val="4"/>
            <w:vMerge w:val="restart"/>
            <w:tcBorders>
              <w:top w:val="single" w:sz="8" w:space="0" w:color="44ACE0"/>
              <w:right w:val="single" w:sz="8" w:space="0" w:color="44ACE0"/>
            </w:tcBorders>
            <w:vAlign w:val="bottom"/>
          </w:tcPr>
          <w:p w:rsidR="00AC12B4" w:rsidRDefault="00C27636">
            <w:pPr>
              <w:ind w:right="200"/>
              <w:jc w:val="right"/>
              <w:rPr>
                <w:sz w:val="20"/>
                <w:szCs w:val="20"/>
              </w:rPr>
            </w:pPr>
            <w:r>
              <w:rPr>
                <w:rFonts w:ascii="Comic Sans MS" w:eastAsia="Comic Sans MS" w:hAnsi="Comic Sans MS" w:cs="Comic Sans MS"/>
                <w:color w:val="8BCCEC"/>
                <w:sz w:val="96"/>
                <w:szCs w:val="96"/>
              </w:rPr>
              <w:t>88%</w:t>
            </w:r>
          </w:p>
        </w:tc>
        <w:tc>
          <w:tcPr>
            <w:tcW w:w="0" w:type="dxa"/>
            <w:vAlign w:val="bottom"/>
          </w:tcPr>
          <w:p w:rsidR="00AC12B4" w:rsidRDefault="00AC12B4">
            <w:pPr>
              <w:rPr>
                <w:sz w:val="1"/>
                <w:szCs w:val="1"/>
              </w:rPr>
            </w:pPr>
          </w:p>
        </w:tc>
      </w:tr>
      <w:tr w:rsidR="00AC12B4">
        <w:trPr>
          <w:trHeight w:val="269"/>
        </w:trPr>
        <w:tc>
          <w:tcPr>
            <w:tcW w:w="2080" w:type="dxa"/>
            <w:gridSpan w:val="5"/>
            <w:tcBorders>
              <w:right w:val="single" w:sz="8" w:space="0" w:color="44ACE0"/>
            </w:tcBorders>
            <w:vAlign w:val="bottom"/>
          </w:tcPr>
          <w:p w:rsidR="00AC12B4" w:rsidRDefault="00C27636">
            <w:pPr>
              <w:rPr>
                <w:sz w:val="20"/>
                <w:szCs w:val="20"/>
              </w:rPr>
            </w:pPr>
            <w:r>
              <w:rPr>
                <w:rFonts w:ascii="Calibri" w:eastAsia="Calibri" w:hAnsi="Calibri" w:cs="Calibri"/>
              </w:rPr>
              <w:t>similaires pour ces</w:t>
            </w:r>
          </w:p>
        </w:tc>
        <w:tc>
          <w:tcPr>
            <w:tcW w:w="2540" w:type="dxa"/>
            <w:gridSpan w:val="4"/>
            <w:vMerge/>
            <w:tcBorders>
              <w:right w:val="single" w:sz="8" w:space="0" w:color="44ACE0"/>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100" w:type="dxa"/>
            <w:gridSpan w:val="4"/>
            <w:vAlign w:val="bottom"/>
          </w:tcPr>
          <w:p w:rsidR="00AC12B4" w:rsidRDefault="00C27636">
            <w:pPr>
              <w:rPr>
                <w:sz w:val="20"/>
                <w:szCs w:val="20"/>
              </w:rPr>
            </w:pPr>
            <w:r>
              <w:rPr>
                <w:rFonts w:ascii="Calibri" w:eastAsia="Calibri" w:hAnsi="Calibri" w:cs="Calibri"/>
              </w:rPr>
              <w:t>questions</w:t>
            </w:r>
          </w:p>
        </w:tc>
        <w:tc>
          <w:tcPr>
            <w:tcW w:w="980" w:type="dxa"/>
            <w:tcBorders>
              <w:right w:val="single" w:sz="8" w:space="0" w:color="44ACE0"/>
            </w:tcBorders>
            <w:vAlign w:val="bottom"/>
          </w:tcPr>
          <w:p w:rsidR="00AC12B4" w:rsidRDefault="00C27636">
            <w:pPr>
              <w:ind w:right="310"/>
              <w:jc w:val="right"/>
              <w:rPr>
                <w:sz w:val="20"/>
                <w:szCs w:val="20"/>
              </w:rPr>
            </w:pPr>
            <w:r>
              <w:rPr>
                <w:rFonts w:ascii="Calibri" w:eastAsia="Calibri" w:hAnsi="Calibri" w:cs="Calibri"/>
              </w:rPr>
              <w:t>à</w:t>
            </w:r>
          </w:p>
        </w:tc>
        <w:tc>
          <w:tcPr>
            <w:tcW w:w="2540" w:type="dxa"/>
            <w:gridSpan w:val="4"/>
            <w:vMerge/>
            <w:tcBorders>
              <w:right w:val="single" w:sz="8" w:space="0" w:color="44ACE0"/>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6"/>
        </w:trPr>
        <w:tc>
          <w:tcPr>
            <w:tcW w:w="1100" w:type="dxa"/>
            <w:gridSpan w:val="4"/>
            <w:vAlign w:val="bottom"/>
          </w:tcPr>
          <w:p w:rsidR="00AC12B4" w:rsidRDefault="00C27636">
            <w:pPr>
              <w:rPr>
                <w:sz w:val="20"/>
                <w:szCs w:val="20"/>
              </w:rPr>
            </w:pPr>
            <w:r>
              <w:rPr>
                <w:rFonts w:ascii="Calibri" w:eastAsia="Calibri" w:hAnsi="Calibri" w:cs="Calibri"/>
              </w:rPr>
              <w:t>l’exception</w:t>
            </w:r>
          </w:p>
        </w:tc>
        <w:tc>
          <w:tcPr>
            <w:tcW w:w="980" w:type="dxa"/>
            <w:tcBorders>
              <w:right w:val="single" w:sz="8" w:space="0" w:color="44ACE0"/>
            </w:tcBorders>
            <w:vAlign w:val="bottom"/>
          </w:tcPr>
          <w:p w:rsidR="00AC12B4" w:rsidRDefault="00C27636">
            <w:pPr>
              <w:ind w:right="310"/>
              <w:jc w:val="right"/>
              <w:rPr>
                <w:sz w:val="20"/>
                <w:szCs w:val="20"/>
              </w:rPr>
            </w:pPr>
            <w:r>
              <w:rPr>
                <w:rFonts w:ascii="Calibri" w:eastAsia="Calibri" w:hAnsi="Calibri" w:cs="Calibri"/>
              </w:rPr>
              <w:t>du</w:t>
            </w:r>
          </w:p>
        </w:tc>
        <w:tc>
          <w:tcPr>
            <w:tcW w:w="2540" w:type="dxa"/>
            <w:gridSpan w:val="4"/>
            <w:vMerge/>
            <w:tcBorders>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69"/>
        </w:trPr>
        <w:tc>
          <w:tcPr>
            <w:tcW w:w="1100" w:type="dxa"/>
            <w:gridSpan w:val="4"/>
            <w:vAlign w:val="bottom"/>
          </w:tcPr>
          <w:p w:rsidR="00AC12B4" w:rsidRDefault="00C27636">
            <w:pPr>
              <w:spacing w:line="220" w:lineRule="exact"/>
              <w:rPr>
                <w:sz w:val="20"/>
                <w:szCs w:val="20"/>
              </w:rPr>
            </w:pPr>
            <w:r>
              <w:rPr>
                <w:rFonts w:ascii="Calibri" w:eastAsia="Calibri" w:hAnsi="Calibri" w:cs="Calibri"/>
              </w:rPr>
              <w:t>sentiment</w:t>
            </w:r>
          </w:p>
        </w:tc>
        <w:tc>
          <w:tcPr>
            <w:tcW w:w="980" w:type="dxa"/>
            <w:tcBorders>
              <w:right w:val="single" w:sz="8" w:space="0" w:color="44ACE0"/>
            </w:tcBorders>
            <w:vAlign w:val="bottom"/>
          </w:tcPr>
          <w:p w:rsidR="00AC12B4" w:rsidRDefault="00C27636">
            <w:pPr>
              <w:spacing w:line="220" w:lineRule="exact"/>
              <w:ind w:right="310"/>
              <w:jc w:val="right"/>
              <w:rPr>
                <w:sz w:val="20"/>
                <w:szCs w:val="20"/>
              </w:rPr>
            </w:pPr>
            <w:r>
              <w:rPr>
                <w:rFonts w:ascii="Calibri" w:eastAsia="Calibri" w:hAnsi="Calibri" w:cs="Calibri"/>
                <w:w w:val="99"/>
              </w:rPr>
              <w:t>d’être</w:t>
            </w:r>
          </w:p>
        </w:tc>
        <w:tc>
          <w:tcPr>
            <w:tcW w:w="2540" w:type="dxa"/>
            <w:gridSpan w:val="4"/>
            <w:tcBorders>
              <w:right w:val="single" w:sz="8" w:space="0" w:color="44ACE0"/>
            </w:tcBorders>
            <w:vAlign w:val="bottom"/>
          </w:tcPr>
          <w:p w:rsidR="00AC12B4" w:rsidRPr="00C27636" w:rsidRDefault="00C27636">
            <w:pPr>
              <w:spacing w:line="269" w:lineRule="exact"/>
              <w:ind w:left="140"/>
              <w:rPr>
                <w:sz w:val="20"/>
                <w:szCs w:val="20"/>
                <w:lang w:val="fr-BE"/>
              </w:rPr>
            </w:pPr>
            <w:r w:rsidRPr="00C27636">
              <w:rPr>
                <w:rFonts w:ascii="Comic Sans MS" w:eastAsia="Comic Sans MS" w:hAnsi="Comic Sans MS" w:cs="Comic Sans MS"/>
                <w:color w:val="0D0D0D"/>
                <w:sz w:val="20"/>
                <w:szCs w:val="20"/>
                <w:lang w:val="fr-BE"/>
              </w:rPr>
              <w:t>des élèves de 15 ans en</w:t>
            </w:r>
          </w:p>
        </w:tc>
        <w:tc>
          <w:tcPr>
            <w:tcW w:w="0" w:type="dxa"/>
            <w:vAlign w:val="bottom"/>
          </w:tcPr>
          <w:p w:rsidR="00AC12B4" w:rsidRPr="00C27636" w:rsidRDefault="00AC12B4">
            <w:pPr>
              <w:rPr>
                <w:sz w:val="1"/>
                <w:szCs w:val="1"/>
                <w:lang w:val="fr-BE"/>
              </w:rPr>
            </w:pPr>
          </w:p>
        </w:tc>
      </w:tr>
      <w:tr w:rsidR="00AC12B4">
        <w:trPr>
          <w:trHeight w:val="269"/>
        </w:trPr>
        <w:tc>
          <w:tcPr>
            <w:tcW w:w="800" w:type="dxa"/>
            <w:gridSpan w:val="3"/>
            <w:vAlign w:val="bottom"/>
          </w:tcPr>
          <w:p w:rsidR="00AC12B4" w:rsidRDefault="00C27636">
            <w:pPr>
              <w:spacing w:line="220" w:lineRule="exact"/>
              <w:rPr>
                <w:sz w:val="20"/>
                <w:szCs w:val="20"/>
              </w:rPr>
            </w:pPr>
            <w:r>
              <w:rPr>
                <w:rFonts w:ascii="Calibri" w:eastAsia="Calibri" w:hAnsi="Calibri" w:cs="Calibri"/>
              </w:rPr>
              <w:t>chez soi</w:t>
            </w:r>
          </w:p>
        </w:tc>
        <w:tc>
          <w:tcPr>
            <w:tcW w:w="1280" w:type="dxa"/>
            <w:gridSpan w:val="2"/>
            <w:tcBorders>
              <w:right w:val="single" w:sz="8" w:space="0" w:color="44ACE0"/>
            </w:tcBorders>
            <w:vAlign w:val="bottom"/>
          </w:tcPr>
          <w:p w:rsidR="00AC12B4" w:rsidRDefault="00C27636">
            <w:pPr>
              <w:spacing w:line="220" w:lineRule="exact"/>
              <w:ind w:right="330"/>
              <w:jc w:val="right"/>
              <w:rPr>
                <w:sz w:val="20"/>
                <w:szCs w:val="20"/>
              </w:rPr>
            </w:pPr>
            <w:r>
              <w:rPr>
                <w:rFonts w:ascii="Calibri" w:eastAsia="Calibri" w:hAnsi="Calibri" w:cs="Calibri"/>
              </w:rPr>
              <w:t>à l’école</w:t>
            </w:r>
          </w:p>
        </w:tc>
        <w:tc>
          <w:tcPr>
            <w:tcW w:w="980" w:type="dxa"/>
            <w:gridSpan w:val="2"/>
            <w:vAlign w:val="bottom"/>
          </w:tcPr>
          <w:p w:rsidR="00AC12B4" w:rsidRDefault="00C27636">
            <w:pPr>
              <w:spacing w:line="269" w:lineRule="exact"/>
              <w:ind w:left="140"/>
              <w:rPr>
                <w:sz w:val="20"/>
                <w:szCs w:val="20"/>
              </w:rPr>
            </w:pPr>
            <w:r>
              <w:rPr>
                <w:rFonts w:ascii="Comic Sans MS" w:eastAsia="Comic Sans MS" w:hAnsi="Comic Sans MS" w:cs="Comic Sans MS"/>
                <w:color w:val="0D0D0D"/>
                <w:sz w:val="20"/>
                <w:szCs w:val="20"/>
              </w:rPr>
              <w:t>Belgique</w:t>
            </w:r>
          </w:p>
        </w:tc>
        <w:tc>
          <w:tcPr>
            <w:tcW w:w="1560" w:type="dxa"/>
            <w:gridSpan w:val="2"/>
            <w:tcBorders>
              <w:right w:val="single" w:sz="8" w:space="0" w:color="44ACE0"/>
            </w:tcBorders>
            <w:vAlign w:val="bottom"/>
          </w:tcPr>
          <w:p w:rsidR="00AC12B4" w:rsidRDefault="00C27636">
            <w:pPr>
              <w:spacing w:line="269" w:lineRule="exact"/>
              <w:ind w:right="80"/>
              <w:jc w:val="right"/>
              <w:rPr>
                <w:sz w:val="20"/>
                <w:szCs w:val="20"/>
              </w:rPr>
            </w:pPr>
            <w:r>
              <w:rPr>
                <w:rFonts w:ascii="Comic Sans MS" w:eastAsia="Comic Sans MS" w:hAnsi="Comic Sans MS" w:cs="Comic Sans MS"/>
                <w:color w:val="8BCCEC"/>
                <w:sz w:val="20"/>
                <w:szCs w:val="20"/>
              </w:rPr>
              <w:t>se  sentent  à</w:t>
            </w:r>
          </w:p>
        </w:tc>
        <w:tc>
          <w:tcPr>
            <w:tcW w:w="0" w:type="dxa"/>
            <w:vAlign w:val="bottom"/>
          </w:tcPr>
          <w:p w:rsidR="00AC12B4" w:rsidRDefault="00AC12B4">
            <w:pPr>
              <w:rPr>
                <w:sz w:val="1"/>
                <w:szCs w:val="1"/>
              </w:rPr>
            </w:pPr>
          </w:p>
        </w:tc>
      </w:tr>
      <w:tr w:rsidR="00AC12B4">
        <w:trPr>
          <w:trHeight w:val="269"/>
        </w:trPr>
        <w:tc>
          <w:tcPr>
            <w:tcW w:w="260" w:type="dxa"/>
            <w:vAlign w:val="bottom"/>
          </w:tcPr>
          <w:p w:rsidR="00AC12B4" w:rsidRDefault="00C27636">
            <w:pPr>
              <w:spacing w:line="220" w:lineRule="exact"/>
              <w:rPr>
                <w:sz w:val="20"/>
                <w:szCs w:val="20"/>
              </w:rPr>
            </w:pPr>
            <w:r>
              <w:rPr>
                <w:rFonts w:ascii="Calibri" w:eastAsia="Calibri" w:hAnsi="Calibri" w:cs="Calibri"/>
              </w:rPr>
              <w:t>où</w:t>
            </w:r>
          </w:p>
        </w:tc>
        <w:tc>
          <w:tcPr>
            <w:tcW w:w="400" w:type="dxa"/>
            <w:vAlign w:val="bottom"/>
          </w:tcPr>
          <w:p w:rsidR="00AC12B4" w:rsidRDefault="00C27636">
            <w:pPr>
              <w:spacing w:line="220" w:lineRule="exact"/>
              <w:ind w:left="100"/>
              <w:rPr>
                <w:sz w:val="20"/>
                <w:szCs w:val="20"/>
              </w:rPr>
            </w:pPr>
            <w:r>
              <w:rPr>
                <w:rFonts w:ascii="Calibri" w:eastAsia="Calibri" w:hAnsi="Calibri" w:cs="Calibri"/>
              </w:rPr>
              <w:t>les</w:t>
            </w:r>
          </w:p>
        </w:tc>
        <w:tc>
          <w:tcPr>
            <w:tcW w:w="1420" w:type="dxa"/>
            <w:gridSpan w:val="3"/>
            <w:tcBorders>
              <w:right w:val="single" w:sz="8" w:space="0" w:color="44ACE0"/>
            </w:tcBorders>
            <w:vAlign w:val="bottom"/>
          </w:tcPr>
          <w:p w:rsidR="00AC12B4" w:rsidRDefault="00C27636">
            <w:pPr>
              <w:spacing w:line="220" w:lineRule="exact"/>
              <w:ind w:right="310"/>
              <w:jc w:val="right"/>
              <w:rPr>
                <w:sz w:val="20"/>
                <w:szCs w:val="20"/>
              </w:rPr>
            </w:pPr>
            <w:r>
              <w:rPr>
                <w:rFonts w:ascii="Calibri" w:eastAsia="Calibri" w:hAnsi="Calibri" w:cs="Calibri"/>
              </w:rPr>
              <w:t>élèves en</w:t>
            </w:r>
          </w:p>
        </w:tc>
        <w:tc>
          <w:tcPr>
            <w:tcW w:w="620" w:type="dxa"/>
            <w:vAlign w:val="bottom"/>
          </w:tcPr>
          <w:p w:rsidR="00AC12B4" w:rsidRDefault="00C27636">
            <w:pPr>
              <w:spacing w:line="269" w:lineRule="exact"/>
              <w:ind w:left="140"/>
              <w:rPr>
                <w:sz w:val="20"/>
                <w:szCs w:val="20"/>
              </w:rPr>
            </w:pPr>
            <w:r>
              <w:rPr>
                <w:rFonts w:ascii="Comic Sans MS" w:eastAsia="Comic Sans MS" w:hAnsi="Comic Sans MS" w:cs="Comic Sans MS"/>
                <w:color w:val="8BCCEC"/>
                <w:sz w:val="20"/>
                <w:szCs w:val="20"/>
              </w:rPr>
              <w:t>l’aise</w:t>
            </w:r>
          </w:p>
        </w:tc>
        <w:tc>
          <w:tcPr>
            <w:tcW w:w="360" w:type="dxa"/>
            <w:vAlign w:val="bottom"/>
          </w:tcPr>
          <w:p w:rsidR="00AC12B4" w:rsidRDefault="00C27636">
            <w:pPr>
              <w:spacing w:line="269" w:lineRule="exact"/>
              <w:ind w:right="20"/>
              <w:jc w:val="right"/>
              <w:rPr>
                <w:sz w:val="20"/>
                <w:szCs w:val="20"/>
              </w:rPr>
            </w:pPr>
            <w:r>
              <w:rPr>
                <w:rFonts w:ascii="Comic Sans MS" w:eastAsia="Comic Sans MS" w:hAnsi="Comic Sans MS" w:cs="Comic Sans MS"/>
                <w:color w:val="8BCCEC"/>
                <w:sz w:val="20"/>
                <w:szCs w:val="20"/>
              </w:rPr>
              <w:t>à</w:t>
            </w:r>
          </w:p>
        </w:tc>
        <w:tc>
          <w:tcPr>
            <w:tcW w:w="800" w:type="dxa"/>
            <w:vAlign w:val="bottom"/>
          </w:tcPr>
          <w:p w:rsidR="00AC12B4" w:rsidRDefault="00C27636">
            <w:pPr>
              <w:spacing w:line="269" w:lineRule="exact"/>
              <w:ind w:left="60"/>
              <w:rPr>
                <w:sz w:val="20"/>
                <w:szCs w:val="20"/>
              </w:rPr>
            </w:pPr>
            <w:r>
              <w:rPr>
                <w:rFonts w:ascii="Comic Sans MS" w:eastAsia="Comic Sans MS" w:hAnsi="Comic Sans MS" w:cs="Comic Sans MS"/>
                <w:color w:val="8BCCEC"/>
                <w:sz w:val="20"/>
                <w:szCs w:val="20"/>
              </w:rPr>
              <w:t>l’école</w:t>
            </w:r>
          </w:p>
        </w:tc>
        <w:tc>
          <w:tcPr>
            <w:tcW w:w="760" w:type="dxa"/>
            <w:tcBorders>
              <w:right w:val="single" w:sz="8" w:space="0" w:color="44ACE0"/>
            </w:tcBorders>
            <w:vAlign w:val="bottom"/>
          </w:tcPr>
          <w:p w:rsidR="00AC12B4" w:rsidRDefault="00C27636">
            <w:pPr>
              <w:spacing w:line="269" w:lineRule="exact"/>
              <w:ind w:right="80"/>
              <w:jc w:val="right"/>
              <w:rPr>
                <w:sz w:val="20"/>
                <w:szCs w:val="20"/>
              </w:rPr>
            </w:pPr>
            <w:r>
              <w:rPr>
                <w:rFonts w:ascii="Comic Sans MS" w:eastAsia="Comic Sans MS" w:hAnsi="Comic Sans MS" w:cs="Comic Sans MS"/>
                <w:color w:val="0D0D0D"/>
                <w:w w:val="97"/>
                <w:sz w:val="20"/>
                <w:szCs w:val="20"/>
              </w:rPr>
              <w:t>(PISA</w:t>
            </w:r>
          </w:p>
        </w:tc>
        <w:tc>
          <w:tcPr>
            <w:tcW w:w="0" w:type="dxa"/>
            <w:vAlign w:val="bottom"/>
          </w:tcPr>
          <w:p w:rsidR="00AC12B4" w:rsidRDefault="00AC12B4">
            <w:pPr>
              <w:rPr>
                <w:sz w:val="1"/>
                <w:szCs w:val="1"/>
              </w:rPr>
            </w:pPr>
          </w:p>
        </w:tc>
      </w:tr>
      <w:tr w:rsidR="00AC12B4">
        <w:trPr>
          <w:trHeight w:val="220"/>
        </w:trPr>
        <w:tc>
          <w:tcPr>
            <w:tcW w:w="660" w:type="dxa"/>
            <w:gridSpan w:val="2"/>
            <w:vAlign w:val="bottom"/>
          </w:tcPr>
          <w:p w:rsidR="00AC12B4" w:rsidRDefault="00C27636">
            <w:pPr>
              <w:spacing w:line="220" w:lineRule="exact"/>
              <w:rPr>
                <w:sz w:val="20"/>
                <w:szCs w:val="20"/>
              </w:rPr>
            </w:pPr>
            <w:r>
              <w:rPr>
                <w:rFonts w:ascii="Calibri" w:eastAsia="Calibri" w:hAnsi="Calibri" w:cs="Calibri"/>
              </w:rPr>
              <w:t>FWB</w:t>
            </w:r>
          </w:p>
        </w:tc>
        <w:tc>
          <w:tcPr>
            <w:tcW w:w="440" w:type="dxa"/>
            <w:gridSpan w:val="2"/>
            <w:vAlign w:val="bottom"/>
          </w:tcPr>
          <w:p w:rsidR="00AC12B4" w:rsidRDefault="00C27636">
            <w:pPr>
              <w:spacing w:line="220" w:lineRule="exact"/>
              <w:ind w:left="40"/>
              <w:rPr>
                <w:sz w:val="20"/>
                <w:szCs w:val="20"/>
              </w:rPr>
            </w:pPr>
            <w:r>
              <w:rPr>
                <w:rFonts w:ascii="Calibri" w:eastAsia="Calibri" w:hAnsi="Calibri" w:cs="Calibri"/>
                <w:w w:val="97"/>
              </w:rPr>
              <w:t>sont</w:t>
            </w:r>
          </w:p>
        </w:tc>
        <w:tc>
          <w:tcPr>
            <w:tcW w:w="980" w:type="dxa"/>
            <w:tcBorders>
              <w:right w:val="single" w:sz="8" w:space="0" w:color="44ACE0"/>
            </w:tcBorders>
            <w:vAlign w:val="bottom"/>
          </w:tcPr>
          <w:p w:rsidR="00AC12B4" w:rsidRDefault="00C27636">
            <w:pPr>
              <w:spacing w:line="220" w:lineRule="exact"/>
              <w:ind w:right="330"/>
              <w:jc w:val="right"/>
              <w:rPr>
                <w:sz w:val="20"/>
                <w:szCs w:val="20"/>
              </w:rPr>
            </w:pPr>
            <w:r>
              <w:rPr>
                <w:rFonts w:ascii="Calibri" w:eastAsia="Calibri" w:hAnsi="Calibri" w:cs="Calibri"/>
              </w:rPr>
              <w:t>les</w:t>
            </w:r>
          </w:p>
        </w:tc>
        <w:tc>
          <w:tcPr>
            <w:tcW w:w="2540" w:type="dxa"/>
            <w:gridSpan w:val="4"/>
            <w:vMerge w:val="restart"/>
            <w:tcBorders>
              <w:right w:val="single" w:sz="8" w:space="0" w:color="44ACE0"/>
            </w:tcBorders>
            <w:vAlign w:val="bottom"/>
          </w:tcPr>
          <w:p w:rsidR="00AC12B4" w:rsidRDefault="00C27636">
            <w:pPr>
              <w:ind w:left="140"/>
              <w:rPr>
                <w:sz w:val="20"/>
                <w:szCs w:val="20"/>
              </w:rPr>
            </w:pPr>
            <w:r>
              <w:rPr>
                <w:rFonts w:ascii="Comic Sans MS" w:eastAsia="Comic Sans MS" w:hAnsi="Comic Sans MS" w:cs="Comic Sans MS"/>
                <w:color w:val="0D0D0D"/>
                <w:sz w:val="20"/>
                <w:szCs w:val="20"/>
              </w:rPr>
              <w:t>2012).  Ce  chiffre  est</w:t>
            </w:r>
          </w:p>
        </w:tc>
        <w:tc>
          <w:tcPr>
            <w:tcW w:w="0" w:type="dxa"/>
            <w:vAlign w:val="bottom"/>
          </w:tcPr>
          <w:p w:rsidR="00AC12B4" w:rsidRDefault="00AC12B4">
            <w:pPr>
              <w:rPr>
                <w:sz w:val="1"/>
                <w:szCs w:val="1"/>
              </w:rPr>
            </w:pPr>
          </w:p>
        </w:tc>
      </w:tr>
      <w:tr w:rsidR="00AC12B4">
        <w:trPr>
          <w:trHeight w:val="114"/>
        </w:trPr>
        <w:tc>
          <w:tcPr>
            <w:tcW w:w="660" w:type="dxa"/>
            <w:gridSpan w:val="2"/>
            <w:vMerge w:val="restart"/>
            <w:vAlign w:val="bottom"/>
          </w:tcPr>
          <w:p w:rsidR="00AC12B4" w:rsidRDefault="00C27636">
            <w:pPr>
              <w:rPr>
                <w:sz w:val="20"/>
                <w:szCs w:val="20"/>
              </w:rPr>
            </w:pPr>
            <w:r>
              <w:rPr>
                <w:rFonts w:ascii="Calibri" w:eastAsia="Calibri" w:hAnsi="Calibri" w:cs="Calibri"/>
              </w:rPr>
              <w:t>moins</w:t>
            </w:r>
          </w:p>
        </w:tc>
        <w:tc>
          <w:tcPr>
            <w:tcW w:w="1420" w:type="dxa"/>
            <w:gridSpan w:val="3"/>
            <w:vMerge w:val="restart"/>
            <w:tcBorders>
              <w:right w:val="single" w:sz="8" w:space="0" w:color="44ACE0"/>
            </w:tcBorders>
            <w:vAlign w:val="bottom"/>
          </w:tcPr>
          <w:p w:rsidR="00AC12B4" w:rsidRDefault="00C27636">
            <w:pPr>
              <w:ind w:right="330"/>
              <w:jc w:val="right"/>
              <w:rPr>
                <w:sz w:val="20"/>
                <w:szCs w:val="20"/>
              </w:rPr>
            </w:pPr>
            <w:r>
              <w:rPr>
                <w:rFonts w:ascii="Calibri" w:eastAsia="Calibri" w:hAnsi="Calibri" w:cs="Calibri"/>
              </w:rPr>
              <w:t>nombreux</w:t>
            </w:r>
          </w:p>
        </w:tc>
        <w:tc>
          <w:tcPr>
            <w:tcW w:w="2540" w:type="dxa"/>
            <w:gridSpan w:val="4"/>
            <w:vMerge/>
            <w:tcBorders>
              <w:right w:val="single" w:sz="8" w:space="0" w:color="44ACE0"/>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54"/>
        </w:trPr>
        <w:tc>
          <w:tcPr>
            <w:tcW w:w="660" w:type="dxa"/>
            <w:gridSpan w:val="2"/>
            <w:vMerge/>
            <w:vAlign w:val="bottom"/>
          </w:tcPr>
          <w:p w:rsidR="00AC12B4" w:rsidRDefault="00AC12B4">
            <w:pPr>
              <w:rPr>
                <w:sz w:val="13"/>
                <w:szCs w:val="13"/>
              </w:rPr>
            </w:pPr>
          </w:p>
        </w:tc>
        <w:tc>
          <w:tcPr>
            <w:tcW w:w="1420" w:type="dxa"/>
            <w:gridSpan w:val="3"/>
            <w:vMerge/>
            <w:tcBorders>
              <w:right w:val="single" w:sz="8" w:space="0" w:color="44ACE0"/>
            </w:tcBorders>
            <w:vAlign w:val="bottom"/>
          </w:tcPr>
          <w:p w:rsidR="00AC12B4" w:rsidRDefault="00AC12B4">
            <w:pPr>
              <w:rPr>
                <w:sz w:val="13"/>
                <w:szCs w:val="13"/>
              </w:rPr>
            </w:pPr>
          </w:p>
        </w:tc>
        <w:tc>
          <w:tcPr>
            <w:tcW w:w="620" w:type="dxa"/>
            <w:vMerge w:val="restart"/>
            <w:vAlign w:val="bottom"/>
          </w:tcPr>
          <w:p w:rsidR="00AC12B4" w:rsidRDefault="00C27636">
            <w:pPr>
              <w:ind w:left="140"/>
              <w:rPr>
                <w:sz w:val="20"/>
                <w:szCs w:val="20"/>
              </w:rPr>
            </w:pPr>
            <w:r>
              <w:rPr>
                <w:rFonts w:ascii="Comic Sans MS" w:eastAsia="Comic Sans MS" w:hAnsi="Comic Sans MS" w:cs="Comic Sans MS"/>
                <w:color w:val="0D0D0D"/>
                <w:sz w:val="20"/>
                <w:szCs w:val="20"/>
              </w:rPr>
              <w:t>en</w:t>
            </w:r>
          </w:p>
        </w:tc>
        <w:tc>
          <w:tcPr>
            <w:tcW w:w="1160" w:type="dxa"/>
            <w:gridSpan w:val="2"/>
            <w:vMerge w:val="restart"/>
            <w:vAlign w:val="bottom"/>
          </w:tcPr>
          <w:p w:rsidR="00AC12B4" w:rsidRDefault="00C27636">
            <w:pPr>
              <w:ind w:left="20"/>
              <w:rPr>
                <w:sz w:val="20"/>
                <w:szCs w:val="20"/>
              </w:rPr>
            </w:pPr>
            <w:r>
              <w:rPr>
                <w:rFonts w:ascii="Comic Sans MS" w:eastAsia="Comic Sans MS" w:hAnsi="Comic Sans MS" w:cs="Comic Sans MS"/>
                <w:color w:val="0D0D0D"/>
                <w:w w:val="98"/>
                <w:sz w:val="20"/>
                <w:szCs w:val="20"/>
              </w:rPr>
              <w:t>amélioration</w:t>
            </w:r>
          </w:p>
        </w:tc>
        <w:tc>
          <w:tcPr>
            <w:tcW w:w="760" w:type="dxa"/>
            <w:vMerge w:val="restart"/>
            <w:tcBorders>
              <w:right w:val="single" w:sz="8" w:space="0" w:color="44ACE0"/>
            </w:tcBorders>
            <w:vAlign w:val="bottom"/>
          </w:tcPr>
          <w:p w:rsidR="00AC12B4" w:rsidRDefault="00C27636">
            <w:pPr>
              <w:ind w:right="80"/>
              <w:jc w:val="right"/>
              <w:rPr>
                <w:sz w:val="20"/>
                <w:szCs w:val="20"/>
              </w:rPr>
            </w:pPr>
            <w:r>
              <w:rPr>
                <w:rFonts w:ascii="Comic Sans MS" w:eastAsia="Comic Sans MS" w:hAnsi="Comic Sans MS" w:cs="Comic Sans MS"/>
                <w:color w:val="0D0D0D"/>
                <w:sz w:val="20"/>
                <w:szCs w:val="20"/>
              </w:rPr>
              <w:t>par</w:t>
            </w:r>
          </w:p>
        </w:tc>
        <w:tc>
          <w:tcPr>
            <w:tcW w:w="0" w:type="dxa"/>
            <w:vAlign w:val="bottom"/>
          </w:tcPr>
          <w:p w:rsidR="00AC12B4" w:rsidRDefault="00AC12B4">
            <w:pPr>
              <w:rPr>
                <w:sz w:val="1"/>
                <w:szCs w:val="1"/>
              </w:rPr>
            </w:pPr>
          </w:p>
        </w:tc>
      </w:tr>
      <w:tr w:rsidR="00AC12B4">
        <w:trPr>
          <w:trHeight w:val="124"/>
        </w:trPr>
        <w:tc>
          <w:tcPr>
            <w:tcW w:w="260" w:type="dxa"/>
            <w:vMerge w:val="restart"/>
            <w:vAlign w:val="bottom"/>
          </w:tcPr>
          <w:p w:rsidR="00AC12B4" w:rsidRDefault="00C27636">
            <w:pPr>
              <w:rPr>
                <w:sz w:val="20"/>
                <w:szCs w:val="20"/>
              </w:rPr>
            </w:pPr>
            <w:r>
              <w:rPr>
                <w:rFonts w:ascii="Calibri" w:eastAsia="Calibri" w:hAnsi="Calibri" w:cs="Calibri"/>
              </w:rPr>
              <w:t>à</w:t>
            </w:r>
          </w:p>
        </w:tc>
        <w:tc>
          <w:tcPr>
            <w:tcW w:w="540" w:type="dxa"/>
            <w:gridSpan w:val="2"/>
            <w:vMerge w:val="restart"/>
            <w:vAlign w:val="bottom"/>
          </w:tcPr>
          <w:p w:rsidR="00AC12B4" w:rsidRDefault="00C27636">
            <w:pPr>
              <w:ind w:left="40"/>
              <w:rPr>
                <w:sz w:val="20"/>
                <w:szCs w:val="20"/>
              </w:rPr>
            </w:pPr>
            <w:r>
              <w:rPr>
                <w:rFonts w:ascii="Calibri" w:eastAsia="Calibri" w:hAnsi="Calibri" w:cs="Calibri"/>
              </w:rPr>
              <w:t>avoir</w:t>
            </w:r>
          </w:p>
        </w:tc>
        <w:tc>
          <w:tcPr>
            <w:tcW w:w="1280" w:type="dxa"/>
            <w:gridSpan w:val="2"/>
            <w:vMerge w:val="restart"/>
            <w:tcBorders>
              <w:right w:val="single" w:sz="8" w:space="0" w:color="44ACE0"/>
            </w:tcBorders>
            <w:vAlign w:val="bottom"/>
          </w:tcPr>
          <w:p w:rsidR="00AC12B4" w:rsidRDefault="00C27636">
            <w:pPr>
              <w:ind w:right="330"/>
              <w:jc w:val="right"/>
              <w:rPr>
                <w:sz w:val="20"/>
                <w:szCs w:val="20"/>
              </w:rPr>
            </w:pPr>
            <w:r>
              <w:rPr>
                <w:rFonts w:ascii="Calibri" w:eastAsia="Calibri" w:hAnsi="Calibri" w:cs="Calibri"/>
              </w:rPr>
              <w:t>marqué</w:t>
            </w:r>
          </w:p>
        </w:tc>
        <w:tc>
          <w:tcPr>
            <w:tcW w:w="620" w:type="dxa"/>
            <w:vMerge/>
            <w:vAlign w:val="bottom"/>
          </w:tcPr>
          <w:p w:rsidR="00AC12B4" w:rsidRDefault="00AC12B4">
            <w:pPr>
              <w:rPr>
                <w:sz w:val="10"/>
                <w:szCs w:val="10"/>
              </w:rPr>
            </w:pPr>
          </w:p>
        </w:tc>
        <w:tc>
          <w:tcPr>
            <w:tcW w:w="1160" w:type="dxa"/>
            <w:gridSpan w:val="2"/>
            <w:vMerge/>
            <w:vAlign w:val="bottom"/>
          </w:tcPr>
          <w:p w:rsidR="00AC12B4" w:rsidRDefault="00AC12B4">
            <w:pPr>
              <w:rPr>
                <w:sz w:val="10"/>
                <w:szCs w:val="10"/>
              </w:rPr>
            </w:pPr>
          </w:p>
        </w:tc>
        <w:tc>
          <w:tcPr>
            <w:tcW w:w="760" w:type="dxa"/>
            <w:vMerge/>
            <w:tcBorders>
              <w:right w:val="single" w:sz="8" w:space="0" w:color="44ACE0"/>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45"/>
        </w:trPr>
        <w:tc>
          <w:tcPr>
            <w:tcW w:w="260" w:type="dxa"/>
            <w:vMerge/>
            <w:vAlign w:val="bottom"/>
          </w:tcPr>
          <w:p w:rsidR="00AC12B4" w:rsidRDefault="00AC12B4">
            <w:pPr>
              <w:rPr>
                <w:sz w:val="12"/>
                <w:szCs w:val="12"/>
              </w:rPr>
            </w:pPr>
          </w:p>
        </w:tc>
        <w:tc>
          <w:tcPr>
            <w:tcW w:w="540" w:type="dxa"/>
            <w:gridSpan w:val="2"/>
            <w:vMerge/>
            <w:vAlign w:val="bottom"/>
          </w:tcPr>
          <w:p w:rsidR="00AC12B4" w:rsidRDefault="00AC12B4">
            <w:pPr>
              <w:rPr>
                <w:sz w:val="12"/>
                <w:szCs w:val="12"/>
              </w:rPr>
            </w:pPr>
          </w:p>
        </w:tc>
        <w:tc>
          <w:tcPr>
            <w:tcW w:w="1280" w:type="dxa"/>
            <w:gridSpan w:val="2"/>
            <w:vMerge/>
            <w:tcBorders>
              <w:right w:val="single" w:sz="8" w:space="0" w:color="44ACE0"/>
            </w:tcBorders>
            <w:vAlign w:val="bottom"/>
          </w:tcPr>
          <w:p w:rsidR="00AC12B4" w:rsidRDefault="00AC12B4">
            <w:pPr>
              <w:rPr>
                <w:sz w:val="12"/>
                <w:szCs w:val="12"/>
              </w:rPr>
            </w:pPr>
          </w:p>
        </w:tc>
        <w:tc>
          <w:tcPr>
            <w:tcW w:w="1780" w:type="dxa"/>
            <w:gridSpan w:val="3"/>
            <w:vMerge w:val="restart"/>
            <w:vAlign w:val="bottom"/>
          </w:tcPr>
          <w:p w:rsidR="00AC12B4" w:rsidRDefault="00C27636">
            <w:pPr>
              <w:ind w:left="140"/>
              <w:rPr>
                <w:sz w:val="20"/>
                <w:szCs w:val="20"/>
              </w:rPr>
            </w:pPr>
            <w:r>
              <w:rPr>
                <w:rFonts w:ascii="Comic Sans MS" w:eastAsia="Comic Sans MS" w:hAnsi="Comic Sans MS" w:cs="Comic Sans MS"/>
                <w:color w:val="0D0D0D"/>
                <w:sz w:val="20"/>
                <w:szCs w:val="20"/>
              </w:rPr>
              <w:t>rapport à 2003.</w:t>
            </w:r>
          </w:p>
        </w:tc>
        <w:tc>
          <w:tcPr>
            <w:tcW w:w="760" w:type="dxa"/>
            <w:tcBorders>
              <w:right w:val="single" w:sz="8" w:space="0" w:color="44ACE0"/>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34"/>
        </w:trPr>
        <w:tc>
          <w:tcPr>
            <w:tcW w:w="1100" w:type="dxa"/>
            <w:gridSpan w:val="4"/>
            <w:vMerge w:val="restart"/>
            <w:vAlign w:val="bottom"/>
          </w:tcPr>
          <w:p w:rsidR="00AC12B4" w:rsidRDefault="00C27636">
            <w:pPr>
              <w:spacing w:line="212" w:lineRule="exact"/>
              <w:rPr>
                <w:sz w:val="20"/>
                <w:szCs w:val="20"/>
              </w:rPr>
            </w:pPr>
            <w:r>
              <w:rPr>
                <w:rFonts w:ascii="Calibri" w:eastAsia="Calibri" w:hAnsi="Calibri" w:cs="Calibri"/>
              </w:rPr>
              <w:t>leur  accord</w:t>
            </w:r>
          </w:p>
        </w:tc>
        <w:tc>
          <w:tcPr>
            <w:tcW w:w="980" w:type="dxa"/>
            <w:vMerge w:val="restart"/>
            <w:tcBorders>
              <w:right w:val="single" w:sz="8" w:space="0" w:color="44ACE0"/>
            </w:tcBorders>
            <w:vAlign w:val="bottom"/>
          </w:tcPr>
          <w:p w:rsidR="00AC12B4" w:rsidRDefault="00C27636">
            <w:pPr>
              <w:spacing w:line="212" w:lineRule="exact"/>
              <w:ind w:right="330"/>
              <w:jc w:val="right"/>
              <w:rPr>
                <w:sz w:val="20"/>
                <w:szCs w:val="20"/>
              </w:rPr>
            </w:pPr>
            <w:r>
              <w:rPr>
                <w:rFonts w:ascii="Calibri" w:eastAsia="Calibri" w:hAnsi="Calibri" w:cs="Calibri"/>
              </w:rPr>
              <w:t>avec</w:t>
            </w:r>
          </w:p>
        </w:tc>
        <w:tc>
          <w:tcPr>
            <w:tcW w:w="1780" w:type="dxa"/>
            <w:gridSpan w:val="3"/>
            <w:vMerge/>
            <w:vAlign w:val="bottom"/>
          </w:tcPr>
          <w:p w:rsidR="00AC12B4" w:rsidRDefault="00AC12B4">
            <w:pPr>
              <w:rPr>
                <w:sz w:val="11"/>
                <w:szCs w:val="11"/>
              </w:rPr>
            </w:pPr>
          </w:p>
        </w:tc>
        <w:tc>
          <w:tcPr>
            <w:tcW w:w="760" w:type="dxa"/>
            <w:tcBorders>
              <w:right w:val="single" w:sz="8" w:space="0" w:color="44ACE0"/>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79"/>
        </w:trPr>
        <w:tc>
          <w:tcPr>
            <w:tcW w:w="1100" w:type="dxa"/>
            <w:gridSpan w:val="4"/>
            <w:vMerge/>
            <w:vAlign w:val="bottom"/>
          </w:tcPr>
          <w:p w:rsidR="00AC12B4" w:rsidRDefault="00AC12B4">
            <w:pPr>
              <w:rPr>
                <w:sz w:val="6"/>
                <w:szCs w:val="6"/>
              </w:rPr>
            </w:pPr>
          </w:p>
        </w:tc>
        <w:tc>
          <w:tcPr>
            <w:tcW w:w="980" w:type="dxa"/>
            <w:vMerge/>
            <w:tcBorders>
              <w:right w:val="single" w:sz="8" w:space="0" w:color="44ACE0"/>
            </w:tcBorders>
            <w:vAlign w:val="bottom"/>
          </w:tcPr>
          <w:p w:rsidR="00AC12B4" w:rsidRDefault="00AC12B4">
            <w:pPr>
              <w:rPr>
                <w:sz w:val="6"/>
                <w:szCs w:val="6"/>
              </w:rPr>
            </w:pPr>
          </w:p>
        </w:tc>
        <w:tc>
          <w:tcPr>
            <w:tcW w:w="620" w:type="dxa"/>
            <w:tcBorders>
              <w:bottom w:val="single" w:sz="8" w:space="0" w:color="44ACE0"/>
            </w:tcBorders>
            <w:vAlign w:val="bottom"/>
          </w:tcPr>
          <w:p w:rsidR="00AC12B4" w:rsidRDefault="00AC12B4">
            <w:pPr>
              <w:rPr>
                <w:sz w:val="6"/>
                <w:szCs w:val="6"/>
              </w:rPr>
            </w:pPr>
          </w:p>
        </w:tc>
        <w:tc>
          <w:tcPr>
            <w:tcW w:w="360" w:type="dxa"/>
            <w:tcBorders>
              <w:bottom w:val="single" w:sz="8" w:space="0" w:color="44ACE0"/>
            </w:tcBorders>
            <w:vAlign w:val="bottom"/>
          </w:tcPr>
          <w:p w:rsidR="00AC12B4" w:rsidRDefault="00AC12B4">
            <w:pPr>
              <w:rPr>
                <w:sz w:val="6"/>
                <w:szCs w:val="6"/>
              </w:rPr>
            </w:pPr>
          </w:p>
        </w:tc>
        <w:tc>
          <w:tcPr>
            <w:tcW w:w="800" w:type="dxa"/>
            <w:tcBorders>
              <w:bottom w:val="single" w:sz="8" w:space="0" w:color="44ACE0"/>
            </w:tcBorders>
            <w:vAlign w:val="bottom"/>
          </w:tcPr>
          <w:p w:rsidR="00AC12B4" w:rsidRDefault="00AC12B4">
            <w:pPr>
              <w:rPr>
                <w:sz w:val="6"/>
                <w:szCs w:val="6"/>
              </w:rPr>
            </w:pPr>
          </w:p>
        </w:tc>
        <w:tc>
          <w:tcPr>
            <w:tcW w:w="760" w:type="dxa"/>
            <w:tcBorders>
              <w:bottom w:val="single" w:sz="8" w:space="0" w:color="44ACE0"/>
              <w:right w:val="single" w:sz="8" w:space="0" w:color="44ACE0"/>
            </w:tcBorders>
            <w:vAlign w:val="bottom"/>
          </w:tcPr>
          <w:p w:rsidR="00AC12B4" w:rsidRDefault="00AC12B4">
            <w:pPr>
              <w:rPr>
                <w:sz w:val="6"/>
                <w:szCs w:val="6"/>
              </w:rPr>
            </w:pPr>
          </w:p>
        </w:tc>
        <w:tc>
          <w:tcPr>
            <w:tcW w:w="0" w:type="dxa"/>
            <w:vAlign w:val="bottom"/>
          </w:tcPr>
          <w:p w:rsidR="00AC12B4" w:rsidRDefault="00AC12B4">
            <w:pPr>
              <w:rPr>
                <w:sz w:val="1"/>
                <w:szCs w:val="1"/>
              </w:rPr>
            </w:pPr>
          </w:p>
        </w:tc>
      </w:tr>
    </w:tbl>
    <w:p w:rsidR="00AC12B4" w:rsidRDefault="00AC12B4">
      <w:pPr>
        <w:spacing w:line="86" w:lineRule="exact"/>
        <w:rPr>
          <w:sz w:val="20"/>
          <w:szCs w:val="20"/>
        </w:rPr>
      </w:pPr>
    </w:p>
    <w:p w:rsidR="00AC12B4" w:rsidRPr="00C27636" w:rsidRDefault="00C27636">
      <w:pPr>
        <w:spacing w:line="218" w:lineRule="auto"/>
        <w:ind w:left="8" w:right="760"/>
        <w:jc w:val="both"/>
        <w:rPr>
          <w:sz w:val="20"/>
          <w:szCs w:val="20"/>
          <w:lang w:val="fr-BE"/>
        </w:rPr>
      </w:pPr>
      <w:r w:rsidRPr="00C27636">
        <w:rPr>
          <w:rFonts w:ascii="Calibri" w:eastAsia="Calibri" w:hAnsi="Calibri" w:cs="Calibri"/>
          <w:lang w:val="fr-BE"/>
        </w:rPr>
        <w:t>cette affirmation (58% contre plus de 76% pour les deux autres Communautés).</w:t>
      </w:r>
    </w:p>
    <w:p w:rsidR="00AC12B4" w:rsidRPr="00C27636" w:rsidRDefault="00AC12B4">
      <w:pPr>
        <w:spacing w:line="207" w:lineRule="exact"/>
        <w:rPr>
          <w:sz w:val="20"/>
          <w:szCs w:val="20"/>
          <w:lang w:val="fr-BE"/>
        </w:rPr>
      </w:pPr>
    </w:p>
    <w:p w:rsidR="00AC12B4" w:rsidRPr="00C27636" w:rsidRDefault="00C27636">
      <w:pPr>
        <w:ind w:left="8"/>
        <w:rPr>
          <w:sz w:val="20"/>
          <w:szCs w:val="20"/>
          <w:lang w:val="fr-BE"/>
        </w:rPr>
      </w:pPr>
      <w:r w:rsidRPr="00C27636">
        <w:rPr>
          <w:rFonts w:ascii="Cambria" w:eastAsia="Cambria" w:hAnsi="Cambria" w:cs="Cambria"/>
          <w:b/>
          <w:bCs/>
          <w:i/>
          <w:iCs/>
          <w:color w:val="44ACE0"/>
          <w:sz w:val="26"/>
          <w:szCs w:val="26"/>
          <w:lang w:val="fr-BE"/>
        </w:rPr>
        <w:t>Evolution</w:t>
      </w:r>
    </w:p>
    <w:p w:rsidR="00AC12B4" w:rsidRPr="00C27636" w:rsidRDefault="00AC12B4">
      <w:pPr>
        <w:spacing w:line="208" w:lineRule="exact"/>
        <w:rPr>
          <w:sz w:val="20"/>
          <w:szCs w:val="20"/>
          <w:lang w:val="fr-BE"/>
        </w:rPr>
      </w:pPr>
    </w:p>
    <w:p w:rsidR="00AC12B4" w:rsidRDefault="00C27636">
      <w:pPr>
        <w:spacing w:line="235" w:lineRule="auto"/>
        <w:ind w:left="8" w:right="740"/>
        <w:jc w:val="both"/>
        <w:rPr>
          <w:rFonts w:ascii="Calibri" w:eastAsia="Calibri" w:hAnsi="Calibri" w:cs="Calibri"/>
        </w:rPr>
      </w:pPr>
      <w:r w:rsidRPr="00C27636">
        <w:rPr>
          <w:rFonts w:ascii="Calibri" w:eastAsia="Calibri" w:hAnsi="Calibri" w:cs="Calibri"/>
          <w:lang w:val="fr-BE"/>
        </w:rPr>
        <w:t xml:space="preserve">La </w:t>
      </w:r>
      <w:hyperlink w:anchor="page124">
        <w:r w:rsidRPr="00C27636">
          <w:rPr>
            <w:rFonts w:ascii="Calibri" w:eastAsia="Calibri" w:hAnsi="Calibri" w:cs="Calibri"/>
            <w:lang w:val="fr-BE"/>
          </w:rPr>
          <w:t xml:space="preserve">Figure </w:t>
        </w:r>
      </w:hyperlink>
      <w:r w:rsidRPr="00C27636">
        <w:rPr>
          <w:rFonts w:ascii="Calibri" w:eastAsia="Calibri" w:hAnsi="Calibri" w:cs="Calibri"/>
          <w:lang w:val="fr-BE"/>
        </w:rPr>
        <w:t xml:space="preserve">représente l’évolution entre 2003 et 2012 du sentiment de </w:t>
      </w:r>
      <w:r w:rsidRPr="00C27636">
        <w:rPr>
          <w:rFonts w:ascii="Calibri" w:eastAsia="Calibri" w:hAnsi="Calibri" w:cs="Calibri"/>
          <w:lang w:val="fr-BE"/>
        </w:rPr>
        <w:t xml:space="preserve">bien-être. Il est difficile de tirer une tendance générale. Notons cependant que de plus en plus d’élèves se sentent chez eux à l’école, passant de 63% à 76% en Communauté flamande et de 46% à 58% en FWB. </w:t>
      </w:r>
      <w:r>
        <w:rPr>
          <w:rFonts w:ascii="Calibri" w:eastAsia="Calibri" w:hAnsi="Calibri" w:cs="Calibri"/>
        </w:rPr>
        <w:t>Ce taux reste stable en Communauté germanophone aut</w:t>
      </w:r>
      <w:r>
        <w:rPr>
          <w:rFonts w:ascii="Calibri" w:eastAsia="Calibri" w:hAnsi="Calibri" w:cs="Calibri"/>
        </w:rPr>
        <w:t>our des 80%.</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82304" behindDoc="1" locked="0" layoutInCell="0" allowOverlap="1">
                <wp:simplePos x="0" y="0"/>
                <wp:positionH relativeFrom="column">
                  <wp:posOffset>0</wp:posOffset>
                </wp:positionH>
                <wp:positionV relativeFrom="paragraph">
                  <wp:posOffset>777240</wp:posOffset>
                </wp:positionV>
                <wp:extent cx="1828800" cy="0"/>
                <wp:effectExtent l="0" t="0" r="0" b="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2pt" to="144pt,61.2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75" w:lineRule="exact"/>
        <w:rPr>
          <w:sz w:val="20"/>
          <w:szCs w:val="20"/>
        </w:rPr>
      </w:pPr>
    </w:p>
    <w:p w:rsidR="00AC12B4" w:rsidRDefault="00C27636">
      <w:pPr>
        <w:numPr>
          <w:ilvl w:val="0"/>
          <w:numId w:val="217"/>
        </w:numPr>
        <w:tabs>
          <w:tab w:val="left" w:pos="159"/>
        </w:tabs>
        <w:spacing w:line="187" w:lineRule="auto"/>
        <w:ind w:left="8" w:right="760" w:hanging="8"/>
        <w:jc w:val="both"/>
        <w:rPr>
          <w:rFonts w:ascii="Calibri" w:eastAsia="Calibri" w:hAnsi="Calibri" w:cs="Calibri"/>
          <w:sz w:val="26"/>
          <w:szCs w:val="26"/>
          <w:vertAlign w:val="superscript"/>
        </w:rPr>
      </w:pPr>
      <w:r>
        <w:rPr>
          <w:rFonts w:ascii="Calibri" w:eastAsia="Calibri" w:hAnsi="Calibri" w:cs="Calibri"/>
          <w:sz w:val="20"/>
          <w:szCs w:val="20"/>
        </w:rPr>
        <w:t xml:space="preserve">OECD, “Engagement with and at School” in </w:t>
      </w:r>
      <w:r>
        <w:rPr>
          <w:rFonts w:ascii="Calibri" w:eastAsia="Calibri" w:hAnsi="Calibri" w:cs="Calibri"/>
          <w:i/>
          <w:iCs/>
          <w:sz w:val="20"/>
          <w:szCs w:val="20"/>
        </w:rPr>
        <w:t>Pisa 2012 Results: Ready to Learn (Volume III):</w:t>
      </w:r>
    </w:p>
    <w:p w:rsidR="00AC12B4" w:rsidRDefault="00AC12B4">
      <w:pPr>
        <w:spacing w:line="49" w:lineRule="exact"/>
        <w:rPr>
          <w:rFonts w:ascii="Calibri" w:eastAsia="Calibri" w:hAnsi="Calibri" w:cs="Calibri"/>
          <w:sz w:val="26"/>
          <w:szCs w:val="26"/>
          <w:vertAlign w:val="superscript"/>
        </w:rPr>
      </w:pPr>
    </w:p>
    <w:p w:rsidR="00AC12B4" w:rsidRDefault="00C27636">
      <w:pPr>
        <w:spacing w:line="217" w:lineRule="auto"/>
        <w:ind w:left="8" w:right="760"/>
        <w:rPr>
          <w:rFonts w:ascii="Calibri" w:eastAsia="Calibri" w:hAnsi="Calibri" w:cs="Calibri"/>
          <w:sz w:val="26"/>
          <w:szCs w:val="26"/>
          <w:vertAlign w:val="superscript"/>
        </w:rPr>
      </w:pPr>
      <w:r>
        <w:rPr>
          <w:rFonts w:ascii="Calibri" w:eastAsia="Calibri" w:hAnsi="Calibri" w:cs="Calibri"/>
          <w:i/>
          <w:iCs/>
          <w:sz w:val="20"/>
          <w:szCs w:val="20"/>
        </w:rPr>
        <w:t>Students’ Engagement, Drive and Self-Beliefs</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OECD Publishing, 2013, p 51</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94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AC12B4">
      <w:pPr>
        <w:spacing w:line="40" w:lineRule="exact"/>
        <w:rPr>
          <w:sz w:val="20"/>
          <w:szCs w:val="20"/>
        </w:rPr>
      </w:pPr>
    </w:p>
    <w:p w:rsidR="00AC12B4" w:rsidRDefault="00AC12B4">
      <w:pPr>
        <w:sectPr w:rsidR="00AC12B4">
          <w:type w:val="continuous"/>
          <w:pgSz w:w="12080" w:h="17179"/>
          <w:pgMar w:top="1440" w:right="557" w:bottom="659" w:left="1120" w:header="0" w:footer="0" w:gutter="0"/>
          <w:cols w:num="3" w:space="720" w:equalWidth="0">
            <w:col w:w="4760" w:space="712"/>
            <w:col w:w="4628" w:space="19"/>
            <w:col w:w="281"/>
          </w:cols>
        </w:sectPr>
      </w:pPr>
    </w:p>
    <w:p w:rsidR="00AC12B4" w:rsidRDefault="00C27636">
      <w:pPr>
        <w:ind w:right="160"/>
        <w:jc w:val="center"/>
        <w:rPr>
          <w:sz w:val="20"/>
          <w:szCs w:val="20"/>
        </w:rPr>
      </w:pPr>
      <w:r>
        <w:rPr>
          <w:rFonts w:ascii="Calibri" w:eastAsia="Calibri" w:hAnsi="Calibri" w:cs="Calibri"/>
          <w:sz w:val="21"/>
          <w:szCs w:val="21"/>
        </w:rPr>
        <w:lastRenderedPageBreak/>
        <w:t>123</w:t>
      </w:r>
    </w:p>
    <w:p w:rsidR="00AC12B4" w:rsidRDefault="00AC12B4">
      <w:pPr>
        <w:sectPr w:rsidR="00AC12B4">
          <w:type w:val="continuous"/>
          <w:pgSz w:w="12080" w:h="17179"/>
          <w:pgMar w:top="1440" w:right="557" w:bottom="659" w:left="1120" w:header="0" w:footer="0" w:gutter="0"/>
          <w:cols w:space="720" w:equalWidth="0">
            <w:col w:w="10400"/>
          </w:cols>
        </w:sectPr>
      </w:pPr>
    </w:p>
    <w:p w:rsidR="00AC12B4" w:rsidRDefault="00C27636">
      <w:pPr>
        <w:spacing w:line="109" w:lineRule="exact"/>
        <w:rPr>
          <w:sz w:val="20"/>
          <w:szCs w:val="20"/>
        </w:rPr>
      </w:pPr>
      <w:bookmarkStart w:id="123" w:name="page124"/>
      <w:bookmarkEnd w:id="123"/>
      <w:r>
        <w:rPr>
          <w:noProof/>
          <w:sz w:val="20"/>
          <w:szCs w:val="20"/>
        </w:rPr>
        <w:lastRenderedPageBreak/>
        <w:drawing>
          <wp:anchor distT="0" distB="0" distL="114300" distR="114300" simplePos="0" relativeHeight="251683328" behindDoc="1" locked="0" layoutInCell="0" allowOverlap="1">
            <wp:simplePos x="0" y="0"/>
            <wp:positionH relativeFrom="page">
              <wp:posOffset>0</wp:posOffset>
            </wp:positionH>
            <wp:positionV relativeFrom="page">
              <wp:posOffset>0</wp:posOffset>
            </wp:positionV>
            <wp:extent cx="7146290" cy="10908665"/>
            <wp:effectExtent l="0" t="0" r="0" b="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13">
                      <a:clrChange>
                        <a:clrFrom>
                          <a:srgbClr val="FFFFFF"/>
                        </a:clrFrom>
                        <a:clrTo>
                          <a:srgbClr val="FFFFFF">
                            <a:alpha val="0"/>
                          </a:srgbClr>
                        </a:clrTo>
                      </a:clrChange>
                      <a:extLst/>
                    </a:blip>
                    <a:srcRect/>
                    <a:stretch>
                      <a:fillRect/>
                    </a:stretch>
                  </pic:blipFill>
                  <pic:spPr bwMode="auto">
                    <a:xfrm>
                      <a:off x="0" y="0"/>
                      <a:ext cx="7146290" cy="10908665"/>
                    </a:xfrm>
                    <a:prstGeom prst="rect">
                      <a:avLst/>
                    </a:prstGeom>
                    <a:noFill/>
                  </pic:spPr>
                </pic:pic>
              </a:graphicData>
            </a:graphic>
          </wp:anchor>
        </w:drawing>
      </w:r>
    </w:p>
    <w:p w:rsidR="00AC12B4" w:rsidRDefault="00C27636">
      <w:pPr>
        <w:ind w:right="17"/>
        <w:jc w:val="center"/>
        <w:rPr>
          <w:sz w:val="20"/>
          <w:szCs w:val="20"/>
        </w:rPr>
      </w:pPr>
      <w:r>
        <w:rPr>
          <w:rFonts w:ascii="Calibri" w:eastAsia="Calibri" w:hAnsi="Calibri" w:cs="Calibri"/>
          <w:b/>
          <w:bCs/>
          <w:sz w:val="28"/>
          <w:szCs w:val="28"/>
        </w:rPr>
        <w:t>Sentiment de bien-être</w:t>
      </w:r>
    </w:p>
    <w:p w:rsidR="00AC12B4" w:rsidRDefault="00AC12B4">
      <w:pPr>
        <w:spacing w:line="50" w:lineRule="exact"/>
        <w:rPr>
          <w:sz w:val="20"/>
          <w:szCs w:val="20"/>
        </w:rPr>
      </w:pPr>
    </w:p>
    <w:p w:rsidR="00AC12B4" w:rsidRPr="00C27636" w:rsidRDefault="00C27636">
      <w:pPr>
        <w:numPr>
          <w:ilvl w:val="0"/>
          <w:numId w:val="218"/>
        </w:numPr>
        <w:tabs>
          <w:tab w:val="left" w:pos="1919"/>
        </w:tabs>
        <w:spacing w:line="218" w:lineRule="auto"/>
        <w:ind w:left="3443" w:right="1720" w:hanging="1738"/>
        <w:rPr>
          <w:rFonts w:ascii="Calibri" w:eastAsia="Calibri" w:hAnsi="Calibri" w:cs="Calibri"/>
          <w:lang w:val="fr-BE"/>
        </w:rPr>
      </w:pPr>
      <w:r w:rsidRPr="00C27636">
        <w:rPr>
          <w:rFonts w:ascii="Calibri" w:eastAsia="Calibri" w:hAnsi="Calibri" w:cs="Calibri"/>
          <w:lang w:val="fr-BE"/>
        </w:rPr>
        <w:t>d'élèves ayant répondu être « Tout à fait d’accord », « D’accord » (a) ou « Pas d’accord » et « Pas du tout d’accord » (b</w:t>
      </w:r>
      <w:r w:rsidRPr="00C27636">
        <w:rPr>
          <w:rFonts w:ascii="Calibri" w:eastAsia="Calibri" w:hAnsi="Calibri" w:cs="Calibri"/>
          <w:b/>
          <w:bCs/>
          <w:lang w:val="fr-BE"/>
        </w:rPr>
        <w:t>)</w:t>
      </w:r>
    </w:p>
    <w:p w:rsidR="00AC12B4" w:rsidRPr="00C27636" w:rsidRDefault="00AC12B4">
      <w:pPr>
        <w:spacing w:line="117" w:lineRule="exact"/>
        <w:rPr>
          <w:sz w:val="20"/>
          <w:szCs w:val="20"/>
          <w:lang w:val="fr-BE"/>
        </w:rPr>
      </w:pPr>
    </w:p>
    <w:tbl>
      <w:tblPr>
        <w:tblW w:w="0" w:type="auto"/>
        <w:tblInd w:w="603" w:type="dxa"/>
        <w:tblLayout w:type="fixed"/>
        <w:tblCellMar>
          <w:left w:w="0" w:type="dxa"/>
          <w:right w:w="0" w:type="dxa"/>
        </w:tblCellMar>
        <w:tblLook w:val="04A0" w:firstRow="1" w:lastRow="0" w:firstColumn="1" w:lastColumn="0" w:noHBand="0" w:noVBand="1"/>
      </w:tblPr>
      <w:tblGrid>
        <w:gridCol w:w="420"/>
        <w:gridCol w:w="80"/>
        <w:gridCol w:w="1300"/>
        <w:gridCol w:w="20"/>
        <w:gridCol w:w="1300"/>
        <w:gridCol w:w="20"/>
        <w:gridCol w:w="1300"/>
        <w:gridCol w:w="20"/>
        <w:gridCol w:w="1300"/>
        <w:gridCol w:w="20"/>
        <w:gridCol w:w="1300"/>
        <w:gridCol w:w="20"/>
        <w:gridCol w:w="1300"/>
        <w:gridCol w:w="20"/>
        <w:gridCol w:w="20"/>
        <w:gridCol w:w="300"/>
        <w:gridCol w:w="100"/>
        <w:gridCol w:w="460"/>
        <w:gridCol w:w="20"/>
      </w:tblGrid>
      <w:tr w:rsidR="00AC12B4">
        <w:trPr>
          <w:trHeight w:val="133"/>
        </w:trPr>
        <w:tc>
          <w:tcPr>
            <w:tcW w:w="420" w:type="dxa"/>
            <w:vMerge w:val="restart"/>
            <w:vAlign w:val="bottom"/>
          </w:tcPr>
          <w:p w:rsidR="00AC12B4" w:rsidRDefault="00C27636">
            <w:pPr>
              <w:ind w:right="20"/>
              <w:jc w:val="right"/>
              <w:rPr>
                <w:sz w:val="20"/>
                <w:szCs w:val="20"/>
              </w:rPr>
            </w:pPr>
            <w:r>
              <w:rPr>
                <w:rFonts w:ascii="Calibri" w:eastAsia="Calibri" w:hAnsi="Calibri" w:cs="Calibri"/>
                <w:w w:val="91"/>
                <w:sz w:val="20"/>
                <w:szCs w:val="20"/>
              </w:rPr>
              <w:t>100</w:t>
            </w:r>
          </w:p>
        </w:tc>
        <w:tc>
          <w:tcPr>
            <w:tcW w:w="80" w:type="dxa"/>
            <w:tcBorders>
              <w:bottom w:val="single" w:sz="8" w:space="0" w:color="868686"/>
            </w:tcBorders>
            <w:vAlign w:val="bottom"/>
          </w:tcPr>
          <w:p w:rsidR="00AC12B4" w:rsidRDefault="00AC12B4">
            <w:pPr>
              <w:rPr>
                <w:sz w:val="11"/>
                <w:szCs w:val="11"/>
              </w:rPr>
            </w:pPr>
          </w:p>
        </w:tc>
        <w:tc>
          <w:tcPr>
            <w:tcW w:w="13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13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13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13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13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13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2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4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1"/>
        </w:trPr>
        <w:tc>
          <w:tcPr>
            <w:tcW w:w="42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82"/>
        </w:trPr>
        <w:tc>
          <w:tcPr>
            <w:tcW w:w="420" w:type="dxa"/>
            <w:vMerge w:val="restart"/>
            <w:vAlign w:val="bottom"/>
          </w:tcPr>
          <w:p w:rsidR="00AC12B4" w:rsidRDefault="00C27636">
            <w:pPr>
              <w:ind w:right="20"/>
              <w:jc w:val="right"/>
              <w:rPr>
                <w:sz w:val="20"/>
                <w:szCs w:val="20"/>
              </w:rPr>
            </w:pPr>
            <w:r>
              <w:rPr>
                <w:rFonts w:ascii="Calibri" w:eastAsia="Calibri" w:hAnsi="Calibri" w:cs="Calibri"/>
                <w:sz w:val="20"/>
                <w:szCs w:val="20"/>
              </w:rPr>
              <w:t>80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1"/>
        </w:trPr>
        <w:tc>
          <w:tcPr>
            <w:tcW w:w="42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82"/>
        </w:trPr>
        <w:tc>
          <w:tcPr>
            <w:tcW w:w="420" w:type="dxa"/>
            <w:vMerge w:val="restart"/>
            <w:vAlign w:val="bottom"/>
          </w:tcPr>
          <w:p w:rsidR="00AC12B4" w:rsidRDefault="00C27636">
            <w:pPr>
              <w:ind w:right="20"/>
              <w:jc w:val="right"/>
              <w:rPr>
                <w:sz w:val="20"/>
                <w:szCs w:val="20"/>
              </w:rPr>
            </w:pPr>
            <w:r>
              <w:rPr>
                <w:rFonts w:ascii="Calibri" w:eastAsia="Calibri" w:hAnsi="Calibri" w:cs="Calibri"/>
                <w:sz w:val="20"/>
                <w:szCs w:val="20"/>
              </w:rPr>
              <w:t>60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1"/>
        </w:trPr>
        <w:tc>
          <w:tcPr>
            <w:tcW w:w="42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82"/>
        </w:trPr>
        <w:tc>
          <w:tcPr>
            <w:tcW w:w="420" w:type="dxa"/>
            <w:vMerge w:val="restart"/>
            <w:vAlign w:val="bottom"/>
          </w:tcPr>
          <w:p w:rsidR="00AC12B4" w:rsidRDefault="00C27636">
            <w:pPr>
              <w:ind w:right="20"/>
              <w:jc w:val="right"/>
              <w:rPr>
                <w:sz w:val="20"/>
                <w:szCs w:val="20"/>
              </w:rPr>
            </w:pPr>
            <w:r>
              <w:rPr>
                <w:rFonts w:ascii="Calibri" w:eastAsia="Calibri" w:hAnsi="Calibri" w:cs="Calibri"/>
                <w:sz w:val="20"/>
                <w:szCs w:val="20"/>
              </w:rPr>
              <w:t>40</w:t>
            </w: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3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60" w:type="dxa"/>
            <w:vMerge w:val="restart"/>
            <w:vAlign w:val="bottom"/>
          </w:tcPr>
          <w:p w:rsidR="00AC12B4" w:rsidRDefault="00C27636">
            <w:pPr>
              <w:jc w:val="right"/>
              <w:rPr>
                <w:sz w:val="20"/>
                <w:szCs w:val="20"/>
              </w:rPr>
            </w:pPr>
            <w:r>
              <w:rPr>
                <w:rFonts w:ascii="Calibri" w:eastAsia="Calibri" w:hAnsi="Calibri" w:cs="Calibri"/>
                <w:sz w:val="20"/>
                <w:szCs w:val="20"/>
              </w:rPr>
              <w:t>2003</w:t>
            </w:r>
          </w:p>
        </w:tc>
        <w:tc>
          <w:tcPr>
            <w:tcW w:w="0" w:type="dxa"/>
            <w:vAlign w:val="bottom"/>
          </w:tcPr>
          <w:p w:rsidR="00AC12B4" w:rsidRDefault="00AC12B4">
            <w:pPr>
              <w:rPr>
                <w:sz w:val="1"/>
                <w:szCs w:val="1"/>
              </w:rPr>
            </w:pPr>
          </w:p>
        </w:tc>
      </w:tr>
      <w:tr w:rsidR="00AC12B4">
        <w:trPr>
          <w:trHeight w:val="59"/>
        </w:trPr>
        <w:tc>
          <w:tcPr>
            <w:tcW w:w="420" w:type="dxa"/>
            <w:vMerge/>
            <w:vAlign w:val="bottom"/>
          </w:tcPr>
          <w:p w:rsidR="00AC12B4" w:rsidRDefault="00AC12B4">
            <w:pPr>
              <w:rPr>
                <w:sz w:val="5"/>
                <w:szCs w:val="5"/>
              </w:rPr>
            </w:pPr>
          </w:p>
        </w:tc>
        <w:tc>
          <w:tcPr>
            <w:tcW w:w="80" w:type="dxa"/>
            <w:tcBorders>
              <w:right w:val="single" w:sz="8" w:space="0" w:color="868686"/>
            </w:tcBorders>
            <w:vAlign w:val="bottom"/>
          </w:tcPr>
          <w:p w:rsidR="00AC12B4" w:rsidRDefault="00AC12B4">
            <w:pPr>
              <w:rPr>
                <w:sz w:val="5"/>
                <w:szCs w:val="5"/>
              </w:rPr>
            </w:pPr>
          </w:p>
        </w:tc>
        <w:tc>
          <w:tcPr>
            <w:tcW w:w="1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460" w:type="dxa"/>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10"/>
        </w:trPr>
        <w:tc>
          <w:tcPr>
            <w:tcW w:w="420" w:type="dxa"/>
            <w:vMerge w:val="restart"/>
            <w:vAlign w:val="bottom"/>
          </w:tcPr>
          <w:p w:rsidR="00AC12B4" w:rsidRDefault="00C27636">
            <w:pPr>
              <w:ind w:right="20"/>
              <w:jc w:val="right"/>
              <w:rPr>
                <w:sz w:val="20"/>
                <w:szCs w:val="20"/>
              </w:rPr>
            </w:pPr>
            <w:r>
              <w:rPr>
                <w:rFonts w:ascii="Calibri" w:eastAsia="Calibri" w:hAnsi="Calibri" w:cs="Calibri"/>
                <w:sz w:val="20"/>
                <w:szCs w:val="20"/>
              </w:rPr>
              <w:t>20</w:t>
            </w:r>
          </w:p>
        </w:tc>
        <w:tc>
          <w:tcPr>
            <w:tcW w:w="80" w:type="dxa"/>
            <w:tcBorders>
              <w:right w:val="single" w:sz="8" w:space="0" w:color="868686"/>
            </w:tcBorders>
            <w:vAlign w:val="bottom"/>
          </w:tcPr>
          <w:p w:rsidR="00AC12B4" w:rsidRDefault="00AC12B4">
            <w:pPr>
              <w:rPr>
                <w:sz w:val="9"/>
                <w:szCs w:val="9"/>
              </w:rPr>
            </w:pPr>
          </w:p>
        </w:tc>
        <w:tc>
          <w:tcPr>
            <w:tcW w:w="13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3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3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3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3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3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20" w:type="dxa"/>
            <w:gridSpan w:val="2"/>
            <w:vMerge w:val="restart"/>
            <w:vAlign w:val="bottom"/>
          </w:tcPr>
          <w:p w:rsidR="00AC12B4" w:rsidRDefault="00AC12B4">
            <w:pPr>
              <w:rPr>
                <w:sz w:val="9"/>
                <w:szCs w:val="9"/>
              </w:rPr>
            </w:pPr>
          </w:p>
        </w:tc>
        <w:tc>
          <w:tcPr>
            <w:tcW w:w="100" w:type="dxa"/>
            <w:shd w:val="clear" w:color="auto" w:fill="44ACE0"/>
            <w:vAlign w:val="bottom"/>
          </w:tcPr>
          <w:p w:rsidR="00AC12B4" w:rsidRDefault="00AC12B4">
            <w:pPr>
              <w:rPr>
                <w:sz w:val="9"/>
                <w:szCs w:val="9"/>
              </w:rPr>
            </w:pPr>
          </w:p>
        </w:tc>
        <w:tc>
          <w:tcPr>
            <w:tcW w:w="4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0"/>
        </w:trPr>
        <w:tc>
          <w:tcPr>
            <w:tcW w:w="420" w:type="dxa"/>
            <w:vMerge/>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20" w:type="dxa"/>
            <w:gridSpan w:val="2"/>
            <w:vMerge/>
            <w:vAlign w:val="bottom"/>
          </w:tcPr>
          <w:p w:rsidR="00AC12B4" w:rsidRDefault="00AC12B4">
            <w:pPr>
              <w:rPr>
                <w:sz w:val="4"/>
                <w:szCs w:val="4"/>
              </w:rPr>
            </w:pPr>
          </w:p>
        </w:tc>
        <w:tc>
          <w:tcPr>
            <w:tcW w:w="100" w:type="dxa"/>
            <w:vAlign w:val="bottom"/>
          </w:tcPr>
          <w:p w:rsidR="00AC12B4" w:rsidRDefault="00AC12B4">
            <w:pPr>
              <w:rPr>
                <w:sz w:val="4"/>
                <w:szCs w:val="4"/>
              </w:rPr>
            </w:pPr>
          </w:p>
        </w:tc>
        <w:tc>
          <w:tcPr>
            <w:tcW w:w="4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52"/>
        </w:trPr>
        <w:tc>
          <w:tcPr>
            <w:tcW w:w="420" w:type="dxa"/>
            <w:vMerge/>
            <w:vAlign w:val="bottom"/>
          </w:tcPr>
          <w:p w:rsidR="00AC12B4" w:rsidRDefault="00AC12B4">
            <w:pPr>
              <w:rPr>
                <w:sz w:val="13"/>
                <w:szCs w:val="13"/>
              </w:rPr>
            </w:pPr>
          </w:p>
        </w:tc>
        <w:tc>
          <w:tcPr>
            <w:tcW w:w="80" w:type="dxa"/>
            <w:tcBorders>
              <w:bottom w:val="single" w:sz="8" w:space="0" w:color="868686"/>
              <w:right w:val="single" w:sz="8" w:space="0" w:color="868686"/>
            </w:tcBorders>
            <w:vAlign w:val="bottom"/>
          </w:tcPr>
          <w:p w:rsidR="00AC12B4" w:rsidRDefault="00AC12B4">
            <w:pPr>
              <w:rPr>
                <w:sz w:val="13"/>
                <w:szCs w:val="13"/>
              </w:rPr>
            </w:pPr>
          </w:p>
        </w:tc>
        <w:tc>
          <w:tcPr>
            <w:tcW w:w="130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130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130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130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130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1300" w:type="dxa"/>
            <w:tcBorders>
              <w:bottom w:val="single" w:sz="8" w:space="0" w:color="868686"/>
            </w:tcBorders>
            <w:vAlign w:val="bottom"/>
          </w:tcPr>
          <w:p w:rsidR="00AC12B4" w:rsidRDefault="00AC12B4">
            <w:pPr>
              <w:rPr>
                <w:sz w:val="13"/>
                <w:szCs w:val="13"/>
              </w:rPr>
            </w:pPr>
          </w:p>
        </w:tc>
        <w:tc>
          <w:tcPr>
            <w:tcW w:w="20" w:type="dxa"/>
            <w:tcBorders>
              <w:bottom w:val="single" w:sz="8" w:space="0" w:color="868686"/>
            </w:tcBorders>
            <w:vAlign w:val="bottom"/>
          </w:tcPr>
          <w:p w:rsidR="00AC12B4" w:rsidRDefault="00AC12B4">
            <w:pPr>
              <w:rPr>
                <w:sz w:val="13"/>
                <w:szCs w:val="13"/>
              </w:rPr>
            </w:pPr>
          </w:p>
        </w:tc>
        <w:tc>
          <w:tcPr>
            <w:tcW w:w="2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460" w:type="dxa"/>
            <w:vMerge w:val="restart"/>
            <w:vAlign w:val="bottom"/>
          </w:tcPr>
          <w:p w:rsidR="00AC12B4" w:rsidRDefault="00C27636">
            <w:pPr>
              <w:jc w:val="right"/>
              <w:rPr>
                <w:sz w:val="20"/>
                <w:szCs w:val="20"/>
              </w:rPr>
            </w:pPr>
            <w:r>
              <w:rPr>
                <w:rFonts w:ascii="Calibri" w:eastAsia="Calibri" w:hAnsi="Calibri" w:cs="Calibri"/>
                <w:sz w:val="20"/>
                <w:szCs w:val="20"/>
              </w:rPr>
              <w:t>2012</w:t>
            </w:r>
          </w:p>
        </w:tc>
        <w:tc>
          <w:tcPr>
            <w:tcW w:w="0" w:type="dxa"/>
            <w:vAlign w:val="bottom"/>
          </w:tcPr>
          <w:p w:rsidR="00AC12B4" w:rsidRDefault="00AC12B4">
            <w:pPr>
              <w:rPr>
                <w:sz w:val="1"/>
                <w:szCs w:val="1"/>
              </w:rPr>
            </w:pPr>
          </w:p>
        </w:tc>
      </w:tr>
      <w:tr w:rsidR="00AC12B4">
        <w:trPr>
          <w:trHeight w:val="30"/>
        </w:trPr>
        <w:tc>
          <w:tcPr>
            <w:tcW w:w="420" w:type="dxa"/>
            <w:vMerge/>
            <w:vAlign w:val="bottom"/>
          </w:tcPr>
          <w:p w:rsidR="00AC12B4" w:rsidRDefault="00AC12B4">
            <w:pPr>
              <w:rPr>
                <w:sz w:val="2"/>
                <w:szCs w:val="2"/>
              </w:rPr>
            </w:pPr>
          </w:p>
        </w:tc>
        <w:tc>
          <w:tcPr>
            <w:tcW w:w="80" w:type="dxa"/>
            <w:tcBorders>
              <w:right w:val="single" w:sz="8" w:space="0" w:color="868686"/>
            </w:tcBorders>
            <w:vAlign w:val="bottom"/>
          </w:tcPr>
          <w:p w:rsidR="00AC12B4" w:rsidRDefault="00AC12B4">
            <w:pPr>
              <w:rPr>
                <w:sz w:val="2"/>
                <w:szCs w:val="2"/>
              </w:rPr>
            </w:pPr>
          </w:p>
        </w:tc>
        <w:tc>
          <w:tcPr>
            <w:tcW w:w="13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3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3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3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3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3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300" w:type="dxa"/>
            <w:vAlign w:val="bottom"/>
          </w:tcPr>
          <w:p w:rsidR="00AC12B4" w:rsidRDefault="00AC12B4">
            <w:pPr>
              <w:rPr>
                <w:sz w:val="2"/>
                <w:szCs w:val="2"/>
              </w:rPr>
            </w:pPr>
          </w:p>
        </w:tc>
        <w:tc>
          <w:tcPr>
            <w:tcW w:w="100" w:type="dxa"/>
            <w:vAlign w:val="bottom"/>
          </w:tcPr>
          <w:p w:rsidR="00AC12B4" w:rsidRDefault="00AC12B4">
            <w:pPr>
              <w:rPr>
                <w:sz w:val="2"/>
                <w:szCs w:val="2"/>
              </w:rPr>
            </w:pPr>
          </w:p>
        </w:tc>
        <w:tc>
          <w:tcPr>
            <w:tcW w:w="460" w:type="dxa"/>
            <w:vMerge/>
            <w:vAlign w:val="bottom"/>
          </w:tcPr>
          <w:p w:rsidR="00AC12B4" w:rsidRDefault="00AC12B4">
            <w:pPr>
              <w:rPr>
                <w:sz w:val="2"/>
                <w:szCs w:val="2"/>
              </w:rPr>
            </w:pPr>
          </w:p>
        </w:tc>
        <w:tc>
          <w:tcPr>
            <w:tcW w:w="0" w:type="dxa"/>
            <w:vAlign w:val="bottom"/>
          </w:tcPr>
          <w:p w:rsidR="00AC12B4" w:rsidRDefault="00AC12B4">
            <w:pPr>
              <w:spacing w:line="20" w:lineRule="exact"/>
              <w:rPr>
                <w:sz w:val="1"/>
                <w:szCs w:val="1"/>
              </w:rPr>
            </w:pPr>
          </w:p>
        </w:tc>
      </w:tr>
      <w:tr w:rsidR="00AC12B4">
        <w:trPr>
          <w:trHeight w:val="90"/>
        </w:trPr>
        <w:tc>
          <w:tcPr>
            <w:tcW w:w="420" w:type="dxa"/>
            <w:vMerge/>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3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tcBorders>
              <w:bottom w:val="single" w:sz="8" w:space="0" w:color="8BCCEF"/>
            </w:tcBorders>
            <w:shd w:val="clear" w:color="auto" w:fill="8BCCEF"/>
            <w:vAlign w:val="bottom"/>
          </w:tcPr>
          <w:p w:rsidR="00AC12B4" w:rsidRDefault="00AC12B4">
            <w:pPr>
              <w:rPr>
                <w:sz w:val="7"/>
                <w:szCs w:val="7"/>
              </w:rPr>
            </w:pPr>
          </w:p>
        </w:tc>
        <w:tc>
          <w:tcPr>
            <w:tcW w:w="46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49"/>
        </w:trPr>
        <w:tc>
          <w:tcPr>
            <w:tcW w:w="420" w:type="dxa"/>
            <w:vMerge w:val="restart"/>
            <w:vAlign w:val="bottom"/>
          </w:tcPr>
          <w:p w:rsidR="00AC12B4" w:rsidRDefault="00C27636">
            <w:pPr>
              <w:ind w:right="20"/>
              <w:jc w:val="right"/>
              <w:rPr>
                <w:sz w:val="20"/>
                <w:szCs w:val="20"/>
              </w:rPr>
            </w:pPr>
            <w:r>
              <w:rPr>
                <w:rFonts w:ascii="Calibri" w:eastAsia="Calibri" w:hAnsi="Calibri" w:cs="Calibri"/>
                <w:sz w:val="20"/>
                <w:szCs w:val="20"/>
              </w:rPr>
              <w:t>0</w:t>
            </w:r>
          </w:p>
        </w:tc>
        <w:tc>
          <w:tcPr>
            <w:tcW w:w="80" w:type="dxa"/>
            <w:tcBorders>
              <w:right w:val="single" w:sz="8" w:space="0" w:color="868686"/>
            </w:tcBorders>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20" w:type="dxa"/>
            <w:gridSpan w:val="2"/>
            <w:vAlign w:val="bottom"/>
          </w:tcPr>
          <w:p w:rsidR="00AC12B4" w:rsidRDefault="00AC12B4">
            <w:pPr>
              <w:rPr>
                <w:sz w:val="4"/>
                <w:szCs w:val="4"/>
              </w:rPr>
            </w:pPr>
          </w:p>
        </w:tc>
        <w:tc>
          <w:tcPr>
            <w:tcW w:w="100" w:type="dxa"/>
            <w:vAlign w:val="bottom"/>
          </w:tcPr>
          <w:p w:rsidR="00AC12B4" w:rsidRDefault="00AC12B4">
            <w:pPr>
              <w:rPr>
                <w:sz w:val="4"/>
                <w:szCs w:val="4"/>
              </w:rPr>
            </w:pPr>
          </w:p>
        </w:tc>
        <w:tc>
          <w:tcPr>
            <w:tcW w:w="4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56"/>
        </w:trPr>
        <w:tc>
          <w:tcPr>
            <w:tcW w:w="420" w:type="dxa"/>
            <w:vMerge/>
            <w:vAlign w:val="bottom"/>
          </w:tcPr>
          <w:p w:rsidR="00AC12B4" w:rsidRDefault="00AC12B4"/>
        </w:tc>
        <w:tc>
          <w:tcPr>
            <w:tcW w:w="80" w:type="dxa"/>
            <w:tcBorders>
              <w:bottom w:val="single" w:sz="8" w:space="0" w:color="868686"/>
              <w:right w:val="single" w:sz="8" w:space="0" w:color="868686"/>
            </w:tcBorders>
            <w:vAlign w:val="bottom"/>
          </w:tcPr>
          <w:p w:rsidR="00AC12B4" w:rsidRDefault="00AC12B4"/>
        </w:tc>
        <w:tc>
          <w:tcPr>
            <w:tcW w:w="13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3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3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3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3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3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300" w:type="dxa"/>
            <w:vAlign w:val="bottom"/>
          </w:tcPr>
          <w:p w:rsidR="00AC12B4" w:rsidRDefault="00AC12B4"/>
        </w:tc>
        <w:tc>
          <w:tcPr>
            <w:tcW w:w="100" w:type="dxa"/>
            <w:vAlign w:val="bottom"/>
          </w:tcPr>
          <w:p w:rsidR="00AC12B4" w:rsidRDefault="00AC12B4"/>
        </w:tc>
        <w:tc>
          <w:tcPr>
            <w:tcW w:w="460" w:type="dxa"/>
            <w:vAlign w:val="bottom"/>
          </w:tcPr>
          <w:p w:rsidR="00AC12B4" w:rsidRDefault="00AC12B4"/>
        </w:tc>
        <w:tc>
          <w:tcPr>
            <w:tcW w:w="0" w:type="dxa"/>
            <w:vAlign w:val="bottom"/>
          </w:tcPr>
          <w:p w:rsidR="00AC12B4" w:rsidRDefault="00AC12B4">
            <w:pPr>
              <w:rPr>
                <w:sz w:val="1"/>
                <w:szCs w:val="1"/>
              </w:rPr>
            </w:pPr>
          </w:p>
        </w:tc>
      </w:tr>
      <w:tr w:rsidR="00AC12B4">
        <w:trPr>
          <w:trHeight w:val="281"/>
        </w:trPr>
        <w:tc>
          <w:tcPr>
            <w:tcW w:w="42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je me sens</w:t>
            </w:r>
          </w:p>
        </w:tc>
        <w:tc>
          <w:tcPr>
            <w:tcW w:w="20" w:type="dxa"/>
            <w:vAlign w:val="bottom"/>
          </w:tcPr>
          <w:p w:rsidR="00AC12B4" w:rsidRDefault="00AC12B4">
            <w:pPr>
              <w:rPr>
                <w:sz w:val="24"/>
                <w:szCs w:val="24"/>
              </w:rPr>
            </w:pPr>
          </w:p>
        </w:tc>
        <w:tc>
          <w:tcPr>
            <w:tcW w:w="1300" w:type="dxa"/>
            <w:vAlign w:val="bottom"/>
          </w:tcPr>
          <w:p w:rsidR="00AC12B4" w:rsidRDefault="00C27636">
            <w:pPr>
              <w:jc w:val="center"/>
              <w:rPr>
                <w:sz w:val="20"/>
                <w:szCs w:val="20"/>
              </w:rPr>
            </w:pPr>
            <w:r>
              <w:rPr>
                <w:rFonts w:ascii="Calibri" w:eastAsia="Calibri" w:hAnsi="Calibri" w:cs="Calibri"/>
                <w:sz w:val="20"/>
                <w:szCs w:val="20"/>
              </w:rPr>
              <w:t>je me fais</w:t>
            </w:r>
          </w:p>
        </w:tc>
        <w:tc>
          <w:tcPr>
            <w:tcW w:w="20" w:type="dxa"/>
            <w:vAlign w:val="bottom"/>
          </w:tcPr>
          <w:p w:rsidR="00AC12B4" w:rsidRDefault="00AC12B4">
            <w:pPr>
              <w:rPr>
                <w:sz w:val="24"/>
                <w:szCs w:val="24"/>
              </w:rPr>
            </w:pPr>
          </w:p>
        </w:tc>
        <w:tc>
          <w:tcPr>
            <w:tcW w:w="2620" w:type="dxa"/>
            <w:gridSpan w:val="3"/>
            <w:vAlign w:val="bottom"/>
          </w:tcPr>
          <w:p w:rsidR="00AC12B4" w:rsidRPr="00C27636" w:rsidRDefault="00C27636">
            <w:pPr>
              <w:ind w:left="20"/>
              <w:rPr>
                <w:sz w:val="20"/>
                <w:szCs w:val="20"/>
                <w:lang w:val="fr-BE"/>
              </w:rPr>
            </w:pPr>
            <w:r w:rsidRPr="00C27636">
              <w:rPr>
                <w:rFonts w:ascii="Calibri" w:eastAsia="Calibri" w:hAnsi="Calibri" w:cs="Calibri"/>
                <w:sz w:val="20"/>
                <w:szCs w:val="20"/>
                <w:lang w:val="fr-BE"/>
              </w:rPr>
              <w:t>je me sens chez je me sens mal</w:t>
            </w:r>
          </w:p>
        </w:tc>
        <w:tc>
          <w:tcPr>
            <w:tcW w:w="20" w:type="dxa"/>
            <w:vAlign w:val="bottom"/>
          </w:tcPr>
          <w:p w:rsidR="00AC12B4" w:rsidRPr="00C27636" w:rsidRDefault="00AC12B4">
            <w:pPr>
              <w:rPr>
                <w:sz w:val="24"/>
                <w:szCs w:val="24"/>
                <w:lang w:val="fr-BE"/>
              </w:rPr>
            </w:pPr>
          </w:p>
        </w:tc>
        <w:tc>
          <w:tcPr>
            <w:tcW w:w="1300" w:type="dxa"/>
            <w:vAlign w:val="bottom"/>
          </w:tcPr>
          <w:p w:rsidR="00AC12B4" w:rsidRDefault="00C27636">
            <w:pPr>
              <w:jc w:val="center"/>
              <w:rPr>
                <w:sz w:val="20"/>
                <w:szCs w:val="20"/>
              </w:rPr>
            </w:pPr>
            <w:r>
              <w:rPr>
                <w:rFonts w:ascii="Calibri" w:eastAsia="Calibri" w:hAnsi="Calibri" w:cs="Calibri"/>
                <w:w w:val="99"/>
                <w:sz w:val="20"/>
                <w:szCs w:val="20"/>
              </w:rPr>
              <w:t>les autres</w:t>
            </w:r>
          </w:p>
        </w:tc>
        <w:tc>
          <w:tcPr>
            <w:tcW w:w="20" w:type="dxa"/>
            <w:vAlign w:val="bottom"/>
          </w:tcPr>
          <w:p w:rsidR="00AC12B4" w:rsidRDefault="00AC12B4">
            <w:pPr>
              <w:rPr>
                <w:sz w:val="24"/>
                <w:szCs w:val="24"/>
              </w:rPr>
            </w:pPr>
          </w:p>
        </w:tc>
        <w:tc>
          <w:tcPr>
            <w:tcW w:w="2200" w:type="dxa"/>
            <w:gridSpan w:val="6"/>
            <w:vAlign w:val="bottom"/>
          </w:tcPr>
          <w:p w:rsidR="00AC12B4" w:rsidRDefault="00C27636">
            <w:pPr>
              <w:ind w:right="1020"/>
              <w:jc w:val="right"/>
              <w:rPr>
                <w:sz w:val="20"/>
                <w:szCs w:val="20"/>
              </w:rPr>
            </w:pPr>
            <w:r>
              <w:rPr>
                <w:rFonts w:ascii="Calibri" w:eastAsia="Calibri" w:hAnsi="Calibri" w:cs="Calibri"/>
                <w:sz w:val="20"/>
                <w:szCs w:val="20"/>
              </w:rPr>
              <w:t>je me sens</w:t>
            </w:r>
          </w:p>
        </w:tc>
        <w:tc>
          <w:tcPr>
            <w:tcW w:w="0" w:type="dxa"/>
            <w:vAlign w:val="bottom"/>
          </w:tcPr>
          <w:p w:rsidR="00AC12B4" w:rsidRDefault="00AC12B4">
            <w:pPr>
              <w:rPr>
                <w:sz w:val="1"/>
                <w:szCs w:val="1"/>
              </w:rPr>
            </w:pPr>
          </w:p>
        </w:tc>
      </w:tr>
      <w:tr w:rsidR="00AC12B4">
        <w:trPr>
          <w:trHeight w:val="245"/>
        </w:trPr>
        <w:tc>
          <w:tcPr>
            <w:tcW w:w="42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1300" w:type="dxa"/>
            <w:vAlign w:val="bottom"/>
          </w:tcPr>
          <w:p w:rsidR="00AC12B4" w:rsidRDefault="00C27636">
            <w:pPr>
              <w:jc w:val="center"/>
              <w:rPr>
                <w:sz w:val="20"/>
                <w:szCs w:val="20"/>
              </w:rPr>
            </w:pPr>
            <w:r>
              <w:rPr>
                <w:rFonts w:ascii="Calibri" w:eastAsia="Calibri" w:hAnsi="Calibri" w:cs="Calibri"/>
                <w:sz w:val="20"/>
                <w:szCs w:val="20"/>
              </w:rPr>
              <w:t>comme un(e)</w:t>
            </w:r>
          </w:p>
        </w:tc>
        <w:tc>
          <w:tcPr>
            <w:tcW w:w="20" w:type="dxa"/>
            <w:vAlign w:val="bottom"/>
          </w:tcPr>
          <w:p w:rsidR="00AC12B4" w:rsidRDefault="00AC12B4">
            <w:pPr>
              <w:rPr>
                <w:sz w:val="21"/>
                <w:szCs w:val="21"/>
              </w:rPr>
            </w:pPr>
          </w:p>
        </w:tc>
        <w:tc>
          <w:tcPr>
            <w:tcW w:w="1300" w:type="dxa"/>
            <w:vAlign w:val="bottom"/>
          </w:tcPr>
          <w:p w:rsidR="00AC12B4" w:rsidRDefault="00C27636">
            <w:pPr>
              <w:jc w:val="center"/>
              <w:rPr>
                <w:sz w:val="20"/>
                <w:szCs w:val="20"/>
              </w:rPr>
            </w:pPr>
            <w:r>
              <w:rPr>
                <w:rFonts w:ascii="Calibri" w:eastAsia="Calibri" w:hAnsi="Calibri" w:cs="Calibri"/>
                <w:w w:val="98"/>
                <w:sz w:val="20"/>
                <w:szCs w:val="20"/>
              </w:rPr>
              <w:t>facilement des</w:t>
            </w:r>
          </w:p>
        </w:tc>
        <w:tc>
          <w:tcPr>
            <w:tcW w:w="20" w:type="dxa"/>
            <w:vAlign w:val="bottom"/>
          </w:tcPr>
          <w:p w:rsidR="00AC12B4" w:rsidRDefault="00AC12B4">
            <w:pPr>
              <w:rPr>
                <w:sz w:val="21"/>
                <w:szCs w:val="21"/>
              </w:rPr>
            </w:pPr>
          </w:p>
        </w:tc>
        <w:tc>
          <w:tcPr>
            <w:tcW w:w="1300" w:type="dxa"/>
            <w:vAlign w:val="bottom"/>
          </w:tcPr>
          <w:p w:rsidR="00AC12B4" w:rsidRDefault="00C27636">
            <w:pPr>
              <w:ind w:left="360"/>
              <w:rPr>
                <w:sz w:val="20"/>
                <w:szCs w:val="20"/>
              </w:rPr>
            </w:pPr>
            <w:r>
              <w:rPr>
                <w:rFonts w:ascii="Calibri" w:eastAsia="Calibri" w:hAnsi="Calibri" w:cs="Calibri"/>
                <w:sz w:val="20"/>
                <w:szCs w:val="20"/>
              </w:rPr>
              <w:t>moi (a)</w:t>
            </w:r>
          </w:p>
        </w:tc>
        <w:tc>
          <w:tcPr>
            <w:tcW w:w="20" w:type="dxa"/>
            <w:vAlign w:val="bottom"/>
          </w:tcPr>
          <w:p w:rsidR="00AC12B4" w:rsidRDefault="00AC12B4">
            <w:pPr>
              <w:rPr>
                <w:sz w:val="21"/>
                <w:szCs w:val="21"/>
              </w:rPr>
            </w:pPr>
          </w:p>
        </w:tc>
        <w:tc>
          <w:tcPr>
            <w:tcW w:w="2620" w:type="dxa"/>
            <w:gridSpan w:val="3"/>
            <w:vAlign w:val="bottom"/>
          </w:tcPr>
          <w:p w:rsidR="00AC12B4" w:rsidRPr="00C27636" w:rsidRDefault="00C27636">
            <w:pPr>
              <w:ind w:left="20"/>
              <w:rPr>
                <w:sz w:val="20"/>
                <w:szCs w:val="20"/>
                <w:lang w:val="fr-BE"/>
              </w:rPr>
            </w:pPr>
            <w:r w:rsidRPr="00C27636">
              <w:rPr>
                <w:rFonts w:ascii="Calibri" w:eastAsia="Calibri" w:hAnsi="Calibri" w:cs="Calibri"/>
                <w:sz w:val="20"/>
                <w:szCs w:val="20"/>
                <w:lang w:val="fr-BE"/>
              </w:rPr>
              <w:t>à l’aise, et pas à élèves ont l’air</w:t>
            </w:r>
          </w:p>
        </w:tc>
        <w:tc>
          <w:tcPr>
            <w:tcW w:w="20" w:type="dxa"/>
            <w:vAlign w:val="bottom"/>
          </w:tcPr>
          <w:p w:rsidR="00AC12B4" w:rsidRPr="00C27636" w:rsidRDefault="00AC12B4">
            <w:pPr>
              <w:rPr>
                <w:sz w:val="21"/>
                <w:szCs w:val="21"/>
                <w:lang w:val="fr-BE"/>
              </w:rPr>
            </w:pPr>
          </w:p>
        </w:tc>
        <w:tc>
          <w:tcPr>
            <w:tcW w:w="2200" w:type="dxa"/>
            <w:gridSpan w:val="6"/>
            <w:vAlign w:val="bottom"/>
          </w:tcPr>
          <w:p w:rsidR="00AC12B4" w:rsidRDefault="00C27636">
            <w:pPr>
              <w:ind w:right="1040"/>
              <w:jc w:val="right"/>
              <w:rPr>
                <w:sz w:val="20"/>
                <w:szCs w:val="20"/>
              </w:rPr>
            </w:pPr>
            <w:r>
              <w:rPr>
                <w:rFonts w:ascii="Calibri" w:eastAsia="Calibri" w:hAnsi="Calibri" w:cs="Calibri"/>
                <w:sz w:val="20"/>
                <w:szCs w:val="20"/>
              </w:rPr>
              <w:t>seul(e) (b)</w:t>
            </w:r>
          </w:p>
        </w:tc>
        <w:tc>
          <w:tcPr>
            <w:tcW w:w="0" w:type="dxa"/>
            <w:vAlign w:val="bottom"/>
          </w:tcPr>
          <w:p w:rsidR="00AC12B4" w:rsidRDefault="00AC12B4">
            <w:pPr>
              <w:rPr>
                <w:sz w:val="1"/>
                <w:szCs w:val="1"/>
              </w:rPr>
            </w:pPr>
          </w:p>
        </w:tc>
      </w:tr>
      <w:tr w:rsidR="00AC12B4" w:rsidRPr="00C27636">
        <w:trPr>
          <w:trHeight w:val="245"/>
        </w:trPr>
        <w:tc>
          <w:tcPr>
            <w:tcW w:w="42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1300" w:type="dxa"/>
            <w:vAlign w:val="bottom"/>
          </w:tcPr>
          <w:p w:rsidR="00AC12B4" w:rsidRDefault="00C27636">
            <w:pPr>
              <w:spacing w:line="243" w:lineRule="exact"/>
              <w:jc w:val="center"/>
              <w:rPr>
                <w:sz w:val="20"/>
                <w:szCs w:val="20"/>
              </w:rPr>
            </w:pPr>
            <w:r>
              <w:rPr>
                <w:rFonts w:ascii="Calibri" w:eastAsia="Calibri" w:hAnsi="Calibri" w:cs="Calibri"/>
                <w:w w:val="98"/>
                <w:sz w:val="20"/>
                <w:szCs w:val="20"/>
              </w:rPr>
              <w:t>étranger(-ère)</w:t>
            </w:r>
          </w:p>
        </w:tc>
        <w:tc>
          <w:tcPr>
            <w:tcW w:w="20" w:type="dxa"/>
            <w:vAlign w:val="bottom"/>
          </w:tcPr>
          <w:p w:rsidR="00AC12B4" w:rsidRDefault="00AC12B4">
            <w:pPr>
              <w:rPr>
                <w:sz w:val="21"/>
                <w:szCs w:val="21"/>
              </w:rPr>
            </w:pPr>
          </w:p>
        </w:tc>
        <w:tc>
          <w:tcPr>
            <w:tcW w:w="1300" w:type="dxa"/>
            <w:vAlign w:val="bottom"/>
          </w:tcPr>
          <w:p w:rsidR="00AC12B4" w:rsidRDefault="00C27636">
            <w:pPr>
              <w:spacing w:line="243" w:lineRule="exact"/>
              <w:jc w:val="center"/>
              <w:rPr>
                <w:sz w:val="20"/>
                <w:szCs w:val="20"/>
              </w:rPr>
            </w:pPr>
            <w:r>
              <w:rPr>
                <w:rFonts w:ascii="Calibri" w:eastAsia="Calibri" w:hAnsi="Calibri" w:cs="Calibri"/>
                <w:w w:val="99"/>
                <w:sz w:val="20"/>
                <w:szCs w:val="20"/>
              </w:rPr>
              <w:t>amis (a)</w:t>
            </w:r>
          </w:p>
        </w:tc>
        <w:tc>
          <w:tcPr>
            <w:tcW w:w="20" w:type="dxa"/>
            <w:vAlign w:val="bottom"/>
          </w:tcPr>
          <w:p w:rsidR="00AC12B4" w:rsidRDefault="00AC12B4">
            <w:pPr>
              <w:rPr>
                <w:sz w:val="21"/>
                <w:szCs w:val="21"/>
              </w:rPr>
            </w:pPr>
          </w:p>
        </w:tc>
        <w:tc>
          <w:tcPr>
            <w:tcW w:w="1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620" w:type="dxa"/>
            <w:gridSpan w:val="3"/>
            <w:vAlign w:val="bottom"/>
          </w:tcPr>
          <w:p w:rsidR="00AC12B4" w:rsidRPr="00C27636" w:rsidRDefault="00C27636">
            <w:pPr>
              <w:ind w:left="160"/>
              <w:rPr>
                <w:sz w:val="20"/>
                <w:szCs w:val="20"/>
                <w:lang w:val="fr-BE"/>
              </w:rPr>
            </w:pPr>
            <w:r w:rsidRPr="00C27636">
              <w:rPr>
                <w:rFonts w:ascii="Calibri" w:eastAsia="Calibri" w:hAnsi="Calibri" w:cs="Calibri"/>
                <w:sz w:val="20"/>
                <w:szCs w:val="20"/>
                <w:lang w:val="fr-BE"/>
              </w:rPr>
              <w:t>ma place (b)  de m’apprécier</w:t>
            </w:r>
          </w:p>
        </w:tc>
        <w:tc>
          <w:tcPr>
            <w:tcW w:w="20" w:type="dxa"/>
            <w:vAlign w:val="bottom"/>
          </w:tcPr>
          <w:p w:rsidR="00AC12B4" w:rsidRPr="00C27636" w:rsidRDefault="00AC12B4">
            <w:pPr>
              <w:rPr>
                <w:sz w:val="21"/>
                <w:szCs w:val="21"/>
                <w:lang w:val="fr-BE"/>
              </w:rPr>
            </w:pPr>
          </w:p>
        </w:tc>
        <w:tc>
          <w:tcPr>
            <w:tcW w:w="1300" w:type="dxa"/>
            <w:vAlign w:val="bottom"/>
          </w:tcPr>
          <w:p w:rsidR="00AC12B4" w:rsidRPr="00C27636" w:rsidRDefault="00AC12B4">
            <w:pPr>
              <w:rPr>
                <w:sz w:val="21"/>
                <w:szCs w:val="21"/>
                <w:lang w:val="fr-BE"/>
              </w:rPr>
            </w:pPr>
          </w:p>
        </w:tc>
        <w:tc>
          <w:tcPr>
            <w:tcW w:w="20" w:type="dxa"/>
            <w:vAlign w:val="bottom"/>
          </w:tcPr>
          <w:p w:rsidR="00AC12B4" w:rsidRPr="00C27636" w:rsidRDefault="00AC12B4">
            <w:pPr>
              <w:rPr>
                <w:sz w:val="21"/>
                <w:szCs w:val="21"/>
                <w:lang w:val="fr-BE"/>
              </w:rPr>
            </w:pPr>
          </w:p>
        </w:tc>
        <w:tc>
          <w:tcPr>
            <w:tcW w:w="20" w:type="dxa"/>
            <w:vAlign w:val="bottom"/>
          </w:tcPr>
          <w:p w:rsidR="00AC12B4" w:rsidRPr="00C27636" w:rsidRDefault="00AC12B4">
            <w:pPr>
              <w:rPr>
                <w:sz w:val="21"/>
                <w:szCs w:val="21"/>
                <w:lang w:val="fr-BE"/>
              </w:rPr>
            </w:pPr>
          </w:p>
        </w:tc>
        <w:tc>
          <w:tcPr>
            <w:tcW w:w="300" w:type="dxa"/>
            <w:vAlign w:val="bottom"/>
          </w:tcPr>
          <w:p w:rsidR="00AC12B4" w:rsidRPr="00C27636" w:rsidRDefault="00AC12B4">
            <w:pPr>
              <w:rPr>
                <w:sz w:val="21"/>
                <w:szCs w:val="21"/>
                <w:lang w:val="fr-BE"/>
              </w:rPr>
            </w:pPr>
          </w:p>
        </w:tc>
        <w:tc>
          <w:tcPr>
            <w:tcW w:w="100" w:type="dxa"/>
            <w:vAlign w:val="bottom"/>
          </w:tcPr>
          <w:p w:rsidR="00AC12B4" w:rsidRPr="00C27636" w:rsidRDefault="00AC12B4">
            <w:pPr>
              <w:rPr>
                <w:sz w:val="21"/>
                <w:szCs w:val="21"/>
                <w:lang w:val="fr-BE"/>
              </w:rPr>
            </w:pPr>
          </w:p>
        </w:tc>
        <w:tc>
          <w:tcPr>
            <w:tcW w:w="460" w:type="dxa"/>
            <w:vAlign w:val="bottom"/>
          </w:tcPr>
          <w:p w:rsidR="00AC12B4" w:rsidRPr="00C27636" w:rsidRDefault="00AC12B4">
            <w:pPr>
              <w:rPr>
                <w:sz w:val="21"/>
                <w:szCs w:val="21"/>
                <w:lang w:val="fr-BE"/>
              </w:rPr>
            </w:pPr>
          </w:p>
        </w:tc>
        <w:tc>
          <w:tcPr>
            <w:tcW w:w="0" w:type="dxa"/>
            <w:vAlign w:val="bottom"/>
          </w:tcPr>
          <w:p w:rsidR="00AC12B4" w:rsidRPr="00C27636" w:rsidRDefault="00AC12B4">
            <w:pPr>
              <w:rPr>
                <w:sz w:val="1"/>
                <w:szCs w:val="1"/>
                <w:lang w:val="fr-BE"/>
              </w:rPr>
            </w:pPr>
          </w:p>
        </w:tc>
      </w:tr>
      <w:tr w:rsidR="00AC12B4">
        <w:trPr>
          <w:trHeight w:val="242"/>
        </w:trPr>
        <w:tc>
          <w:tcPr>
            <w:tcW w:w="420" w:type="dxa"/>
            <w:vAlign w:val="bottom"/>
          </w:tcPr>
          <w:p w:rsidR="00AC12B4" w:rsidRPr="00C27636" w:rsidRDefault="00AC12B4">
            <w:pPr>
              <w:rPr>
                <w:sz w:val="21"/>
                <w:szCs w:val="21"/>
                <w:lang w:val="fr-BE"/>
              </w:rPr>
            </w:pPr>
          </w:p>
        </w:tc>
        <w:tc>
          <w:tcPr>
            <w:tcW w:w="80" w:type="dxa"/>
            <w:vAlign w:val="bottom"/>
          </w:tcPr>
          <w:p w:rsidR="00AC12B4" w:rsidRPr="00C27636" w:rsidRDefault="00AC12B4">
            <w:pPr>
              <w:rPr>
                <w:sz w:val="21"/>
                <w:szCs w:val="21"/>
                <w:lang w:val="fr-BE"/>
              </w:rPr>
            </w:pPr>
          </w:p>
        </w:tc>
        <w:tc>
          <w:tcPr>
            <w:tcW w:w="1300" w:type="dxa"/>
            <w:vAlign w:val="bottom"/>
          </w:tcPr>
          <w:p w:rsidR="00AC12B4" w:rsidRDefault="00C27636">
            <w:pPr>
              <w:spacing w:line="243" w:lineRule="exact"/>
              <w:jc w:val="center"/>
              <w:rPr>
                <w:sz w:val="20"/>
                <w:szCs w:val="20"/>
              </w:rPr>
            </w:pPr>
            <w:r>
              <w:rPr>
                <w:rFonts w:ascii="Calibri" w:eastAsia="Calibri" w:hAnsi="Calibri" w:cs="Calibri"/>
                <w:w w:val="97"/>
                <w:sz w:val="20"/>
                <w:szCs w:val="20"/>
              </w:rPr>
              <w:t>(b)</w:t>
            </w:r>
          </w:p>
        </w:tc>
        <w:tc>
          <w:tcPr>
            <w:tcW w:w="20" w:type="dxa"/>
            <w:vAlign w:val="bottom"/>
          </w:tcPr>
          <w:p w:rsidR="00AC12B4" w:rsidRDefault="00AC12B4">
            <w:pPr>
              <w:rPr>
                <w:sz w:val="21"/>
                <w:szCs w:val="21"/>
              </w:rPr>
            </w:pPr>
          </w:p>
        </w:tc>
        <w:tc>
          <w:tcPr>
            <w:tcW w:w="1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300" w:type="dxa"/>
            <w:vAlign w:val="bottom"/>
          </w:tcPr>
          <w:p w:rsidR="00AC12B4" w:rsidRDefault="00C27636">
            <w:pPr>
              <w:spacing w:line="243" w:lineRule="exact"/>
              <w:jc w:val="center"/>
              <w:rPr>
                <w:sz w:val="20"/>
                <w:szCs w:val="20"/>
              </w:rPr>
            </w:pPr>
            <w:r>
              <w:rPr>
                <w:rFonts w:ascii="Calibri" w:eastAsia="Calibri" w:hAnsi="Calibri" w:cs="Calibri"/>
                <w:sz w:val="20"/>
                <w:szCs w:val="20"/>
              </w:rPr>
              <w:t>(a)</w:t>
            </w:r>
          </w:p>
        </w:tc>
        <w:tc>
          <w:tcPr>
            <w:tcW w:w="20" w:type="dxa"/>
            <w:vAlign w:val="bottom"/>
          </w:tcPr>
          <w:p w:rsidR="00AC12B4" w:rsidRDefault="00AC12B4">
            <w:pPr>
              <w:rPr>
                <w:sz w:val="21"/>
                <w:szCs w:val="21"/>
              </w:rPr>
            </w:pPr>
          </w:p>
        </w:tc>
        <w:tc>
          <w:tcPr>
            <w:tcW w:w="1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30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460" w:type="dxa"/>
            <w:vAlign w:val="bottom"/>
          </w:tcPr>
          <w:p w:rsidR="00AC12B4" w:rsidRDefault="00AC12B4">
            <w:pPr>
              <w:rPr>
                <w:sz w:val="21"/>
                <w:szCs w:val="21"/>
              </w:rPr>
            </w:pPr>
          </w:p>
        </w:tc>
        <w:tc>
          <w:tcPr>
            <w:tcW w:w="0" w:type="dxa"/>
            <w:vAlign w:val="bottom"/>
          </w:tcPr>
          <w:p w:rsidR="00AC12B4" w:rsidRDefault="00AC12B4">
            <w:pPr>
              <w:rPr>
                <w:sz w:val="1"/>
                <w:szCs w:val="1"/>
              </w:rPr>
            </w:pPr>
          </w:p>
        </w:tc>
      </w:tr>
    </w:tbl>
    <w:p w:rsidR="00AC12B4" w:rsidRDefault="00AC12B4">
      <w:pPr>
        <w:spacing w:line="200" w:lineRule="exact"/>
        <w:rPr>
          <w:sz w:val="20"/>
          <w:szCs w:val="20"/>
        </w:rPr>
      </w:pPr>
    </w:p>
    <w:p w:rsidR="00AC12B4" w:rsidRDefault="00AC12B4">
      <w:pPr>
        <w:sectPr w:rsidR="00AC12B4">
          <w:pgSz w:w="12080" w:h="17179"/>
          <w:pgMar w:top="1440" w:right="1017" w:bottom="659" w:left="497" w:header="0" w:footer="0" w:gutter="0"/>
          <w:cols w:space="720" w:equalWidth="0">
            <w:col w:w="10563"/>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C27636">
      <w:pPr>
        <w:spacing w:line="20" w:lineRule="exact"/>
        <w:rPr>
          <w:sz w:val="20"/>
          <w:szCs w:val="20"/>
        </w:rPr>
      </w:pPr>
      <w:r>
        <w:rPr>
          <w:sz w:val="20"/>
          <w:szCs w:val="20"/>
        </w:rPr>
        <w:br w:type="column"/>
      </w:r>
    </w:p>
    <w:p w:rsidR="00AC12B4" w:rsidRDefault="00C27636">
      <w:pPr>
        <w:rPr>
          <w:sz w:val="20"/>
          <w:szCs w:val="20"/>
        </w:rPr>
      </w:pPr>
      <w:r>
        <w:rPr>
          <w:rFonts w:ascii="Calibri" w:eastAsia="Calibri" w:hAnsi="Calibri" w:cs="Calibri"/>
          <w:b/>
          <w:bCs/>
          <w:color w:val="4F81BD"/>
          <w:sz w:val="18"/>
          <w:szCs w:val="18"/>
        </w:rPr>
        <w:t>Figure 1. PISA 2003 -2012</w:t>
      </w:r>
    </w:p>
    <w:p w:rsidR="00AC12B4" w:rsidRDefault="00AC12B4">
      <w:pPr>
        <w:spacing w:line="200" w:lineRule="exact"/>
        <w:rPr>
          <w:sz w:val="20"/>
          <w:szCs w:val="20"/>
        </w:rPr>
      </w:pPr>
    </w:p>
    <w:p w:rsidR="00AC12B4" w:rsidRDefault="00AC12B4">
      <w:pPr>
        <w:spacing w:line="374" w:lineRule="exact"/>
        <w:rPr>
          <w:sz w:val="20"/>
          <w:szCs w:val="20"/>
        </w:rPr>
      </w:pPr>
    </w:p>
    <w:p w:rsidR="00AC12B4" w:rsidRDefault="00C27636">
      <w:pPr>
        <w:ind w:left="200"/>
        <w:rPr>
          <w:sz w:val="20"/>
          <w:szCs w:val="20"/>
        </w:rPr>
      </w:pPr>
      <w:r>
        <w:rPr>
          <w:rFonts w:ascii="Cambria" w:eastAsia="Cambria" w:hAnsi="Cambria" w:cs="Cambria"/>
          <w:b/>
          <w:bCs/>
          <w:i/>
          <w:iCs/>
          <w:color w:val="44ACE0"/>
          <w:sz w:val="26"/>
          <w:szCs w:val="26"/>
        </w:rPr>
        <w:t>Iniquité</w:t>
      </w:r>
    </w:p>
    <w:p w:rsidR="00AC12B4" w:rsidRDefault="00AC12B4">
      <w:pPr>
        <w:spacing w:line="210" w:lineRule="exact"/>
        <w:rPr>
          <w:sz w:val="20"/>
          <w:szCs w:val="20"/>
        </w:rPr>
      </w:pPr>
    </w:p>
    <w:p w:rsidR="00AC12B4" w:rsidRPr="00C27636" w:rsidRDefault="00C27636">
      <w:pPr>
        <w:spacing w:line="220" w:lineRule="auto"/>
        <w:ind w:left="200"/>
        <w:jc w:val="both"/>
        <w:rPr>
          <w:sz w:val="20"/>
          <w:szCs w:val="20"/>
          <w:lang w:val="fr-BE"/>
        </w:rPr>
      </w:pPr>
      <w:r w:rsidRPr="00C27636">
        <w:rPr>
          <w:rFonts w:ascii="Calibri" w:eastAsia="Calibri" w:hAnsi="Calibri" w:cs="Calibri"/>
          <w:lang w:val="fr-BE"/>
        </w:rPr>
        <w:t>Les filles témoignent en général d’un sentiment d’appartenance plus élevé que les garçons</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xml:space="preserve">. Une seule </w:t>
      </w:r>
      <w:r w:rsidRPr="00C27636">
        <w:rPr>
          <w:rFonts w:ascii="Calibri" w:eastAsia="Calibri" w:hAnsi="Calibri" w:cs="Calibri"/>
          <w:lang w:val="fr-BE"/>
        </w:rPr>
        <w:t>exception : en 2012 les garçons affirmaient plus se faire des amis facilement.</w:t>
      </w:r>
    </w:p>
    <w:p w:rsidR="00AC12B4" w:rsidRPr="00C27636" w:rsidRDefault="00AC12B4">
      <w:pPr>
        <w:spacing w:line="175" w:lineRule="exact"/>
        <w:rPr>
          <w:sz w:val="20"/>
          <w:szCs w:val="20"/>
          <w:lang w:val="fr-BE"/>
        </w:rPr>
      </w:pPr>
    </w:p>
    <w:p w:rsidR="00AC12B4" w:rsidRPr="00C27636" w:rsidRDefault="00C27636">
      <w:pPr>
        <w:spacing w:line="225" w:lineRule="auto"/>
        <w:ind w:left="200"/>
        <w:jc w:val="both"/>
        <w:rPr>
          <w:sz w:val="20"/>
          <w:szCs w:val="20"/>
          <w:lang w:val="fr-BE"/>
        </w:rPr>
      </w:pPr>
      <w:r w:rsidRPr="00C27636">
        <w:rPr>
          <w:rFonts w:ascii="Calibri" w:eastAsia="Calibri" w:hAnsi="Calibri" w:cs="Calibri"/>
          <w:lang w:val="fr-BE"/>
        </w:rPr>
        <w:t>L’origine des élèves influence leur sentiment d’appartenance. Les élèves d’origine belge se sentent un peu plus</w:t>
      </w:r>
    </w:p>
    <w:p w:rsidR="00AC12B4" w:rsidRPr="00C27636" w:rsidRDefault="00AC12B4">
      <w:pPr>
        <w:spacing w:line="51" w:lineRule="exact"/>
        <w:rPr>
          <w:sz w:val="20"/>
          <w:szCs w:val="20"/>
          <w:lang w:val="fr-BE"/>
        </w:rPr>
      </w:pPr>
    </w:p>
    <w:p w:rsidR="00AC12B4" w:rsidRPr="00C27636" w:rsidRDefault="00C27636">
      <w:pPr>
        <w:numPr>
          <w:ilvl w:val="0"/>
          <w:numId w:val="219"/>
        </w:numPr>
        <w:tabs>
          <w:tab w:val="left" w:pos="363"/>
        </w:tabs>
        <w:spacing w:line="216" w:lineRule="auto"/>
        <w:ind w:left="200"/>
        <w:jc w:val="both"/>
        <w:rPr>
          <w:rFonts w:ascii="Calibri" w:eastAsia="Calibri" w:hAnsi="Calibri" w:cs="Calibri"/>
          <w:lang w:val="fr-BE"/>
        </w:rPr>
      </w:pPr>
      <w:r w:rsidRPr="00C27636">
        <w:rPr>
          <w:rFonts w:ascii="Calibri" w:eastAsia="Calibri" w:hAnsi="Calibri" w:cs="Calibri"/>
          <w:lang w:val="fr-BE"/>
        </w:rPr>
        <w:t>chez eux » à l’école (70% contre 61 % des élèves issus de l’imm</w:t>
      </w:r>
      <w:r w:rsidRPr="00C27636">
        <w:rPr>
          <w:rFonts w:ascii="Calibri" w:eastAsia="Calibri" w:hAnsi="Calibri" w:cs="Calibri"/>
          <w:lang w:val="fr-BE"/>
        </w:rPr>
        <w:t>igration</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plus appréciés par les autres élèves (92% contre 89%) et moins seuls (91% contre 93%).</w:t>
      </w:r>
    </w:p>
    <w:p w:rsidR="00AC12B4" w:rsidRPr="00C27636" w:rsidRDefault="00AC12B4">
      <w:pPr>
        <w:spacing w:line="210" w:lineRule="exact"/>
        <w:rPr>
          <w:sz w:val="20"/>
          <w:szCs w:val="20"/>
          <w:lang w:val="fr-BE"/>
        </w:rPr>
      </w:pPr>
    </w:p>
    <w:p w:rsidR="00AC12B4" w:rsidRPr="00C27636" w:rsidRDefault="00C27636">
      <w:pPr>
        <w:ind w:left="200"/>
        <w:rPr>
          <w:sz w:val="20"/>
          <w:szCs w:val="20"/>
          <w:lang w:val="fr-BE"/>
        </w:rPr>
      </w:pPr>
      <w:r w:rsidRPr="00C27636">
        <w:rPr>
          <w:rFonts w:ascii="Cambria" w:eastAsia="Cambria" w:hAnsi="Cambria" w:cs="Cambria"/>
          <w:b/>
          <w:bCs/>
          <w:i/>
          <w:iCs/>
          <w:color w:val="44ACE0"/>
          <w:sz w:val="26"/>
          <w:szCs w:val="26"/>
          <w:lang w:val="fr-BE"/>
        </w:rPr>
        <w:t>Et ailleurs ?</w:t>
      </w:r>
    </w:p>
    <w:p w:rsidR="00AC12B4" w:rsidRPr="00C27636" w:rsidRDefault="00AC12B4">
      <w:pPr>
        <w:spacing w:line="208" w:lineRule="exact"/>
        <w:rPr>
          <w:sz w:val="20"/>
          <w:szCs w:val="20"/>
          <w:lang w:val="fr-BE"/>
        </w:rPr>
      </w:pPr>
    </w:p>
    <w:p w:rsidR="00AC12B4" w:rsidRPr="00C27636" w:rsidRDefault="00C27636">
      <w:pPr>
        <w:spacing w:line="232" w:lineRule="auto"/>
        <w:ind w:left="200"/>
        <w:jc w:val="both"/>
        <w:rPr>
          <w:sz w:val="20"/>
          <w:szCs w:val="20"/>
          <w:lang w:val="fr-BE"/>
        </w:rPr>
      </w:pPr>
      <w:r w:rsidRPr="00C27636">
        <w:rPr>
          <w:rFonts w:ascii="Calibri" w:eastAsia="Calibri" w:hAnsi="Calibri" w:cs="Calibri"/>
          <w:lang w:val="fr-BE"/>
        </w:rPr>
        <w:t>La Belgique compte en moyenne moins d’élèves se sentant chez eux à l’école (68%) qu’en moyenne dans les pays de l’OCDE (81%). Par contre, les</w:t>
      </w:r>
      <w:r w:rsidRPr="00C27636">
        <w:rPr>
          <w:rFonts w:ascii="Calibri" w:eastAsia="Calibri" w:hAnsi="Calibri" w:cs="Calibri"/>
          <w:lang w:val="fr-BE"/>
        </w:rPr>
        <w:t xml:space="preserve"> élèves belges se sentent moins « comme des étrangers » (9,6%) et plus appréciés par leurs pairs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6" w:lineRule="exact"/>
        <w:rPr>
          <w:sz w:val="20"/>
          <w:szCs w:val="20"/>
          <w:lang w:val="fr-BE"/>
        </w:rPr>
      </w:pPr>
    </w:p>
    <w:p w:rsidR="00AC12B4" w:rsidRPr="00C27636" w:rsidRDefault="00C27636">
      <w:pPr>
        <w:numPr>
          <w:ilvl w:val="0"/>
          <w:numId w:val="220"/>
        </w:numPr>
        <w:tabs>
          <w:tab w:val="left" w:pos="339"/>
        </w:tabs>
        <w:spacing w:line="189" w:lineRule="auto"/>
        <w:ind w:left="20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Corrélation avérée pour les items i, iii, iv, vi (Cf. encadré)</w:t>
      </w:r>
    </w:p>
    <w:p w:rsidR="00AC12B4" w:rsidRPr="00C27636" w:rsidRDefault="00AC12B4">
      <w:pPr>
        <w:spacing w:line="167" w:lineRule="exact"/>
        <w:rPr>
          <w:rFonts w:ascii="Calibri" w:eastAsia="Calibri" w:hAnsi="Calibri" w:cs="Calibri"/>
          <w:sz w:val="26"/>
          <w:szCs w:val="26"/>
          <w:vertAlign w:val="superscript"/>
          <w:lang w:val="fr-BE"/>
        </w:rPr>
      </w:pPr>
    </w:p>
    <w:p w:rsidR="00AC12B4" w:rsidRPr="00C27636" w:rsidRDefault="00C27636">
      <w:pPr>
        <w:numPr>
          <w:ilvl w:val="0"/>
          <w:numId w:val="220"/>
        </w:numPr>
        <w:tabs>
          <w:tab w:val="left" w:pos="394"/>
        </w:tabs>
        <w:spacing w:line="217" w:lineRule="auto"/>
        <w:ind w:left="200"/>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Groupe limité dans ce cadre aux élèves immigrés de 1e génération (élève né à l'étranger) et</w:t>
      </w:r>
      <w:r w:rsidRPr="00C27636">
        <w:rPr>
          <w:rFonts w:ascii="Calibri" w:eastAsia="Calibri" w:hAnsi="Calibri" w:cs="Calibri"/>
          <w:sz w:val="20"/>
          <w:szCs w:val="20"/>
          <w:lang w:val="fr-BE"/>
        </w:rPr>
        <w:t xml:space="preserve"> de 2e génération (élève né en Belgique mais dont un des deux parents au moins est né à l'étranger)</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65" w:lineRule="exact"/>
        <w:rPr>
          <w:sz w:val="20"/>
          <w:szCs w:val="20"/>
          <w:lang w:val="fr-BE"/>
        </w:rPr>
      </w:pPr>
    </w:p>
    <w:p w:rsidR="00AC12B4" w:rsidRPr="00C27636" w:rsidRDefault="00C27636">
      <w:pPr>
        <w:spacing w:line="218" w:lineRule="auto"/>
        <w:ind w:right="1160"/>
        <w:rPr>
          <w:sz w:val="20"/>
          <w:szCs w:val="20"/>
          <w:lang w:val="fr-BE"/>
        </w:rPr>
      </w:pPr>
      <w:r w:rsidRPr="00C27636">
        <w:rPr>
          <w:rFonts w:ascii="Calibri" w:eastAsia="Calibri" w:hAnsi="Calibri" w:cs="Calibri"/>
          <w:lang w:val="fr-BE"/>
        </w:rPr>
        <w:t>(92%) qu’en moyenne dans les pays de l’OCDE (11,2% - 89%)</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8" w:lineRule="exact"/>
        <w:rPr>
          <w:sz w:val="20"/>
          <w:szCs w:val="20"/>
          <w:lang w:val="fr-BE"/>
        </w:rPr>
      </w:pPr>
    </w:p>
    <w:p w:rsidR="00AC12B4" w:rsidRPr="00C27636" w:rsidRDefault="00C27636">
      <w:pPr>
        <w:spacing w:line="230" w:lineRule="auto"/>
        <w:jc w:val="both"/>
        <w:rPr>
          <w:sz w:val="20"/>
          <w:szCs w:val="20"/>
          <w:lang w:val="fr-BE"/>
        </w:rPr>
      </w:pPr>
      <w:r w:rsidRPr="00C27636">
        <w:rPr>
          <w:rFonts w:ascii="Calibri" w:eastAsia="Calibri" w:hAnsi="Calibri" w:cs="Calibri"/>
          <w:color w:val="44ACE0"/>
          <w:sz w:val="20"/>
          <w:szCs w:val="20"/>
          <w:lang w:val="fr-BE"/>
        </w:rPr>
        <w:t>“L’indice PISA de sentiment d’appartenance à l’école est dérivé de la mesure dans laquelle l</w:t>
      </w:r>
      <w:r w:rsidRPr="00C27636">
        <w:rPr>
          <w:rFonts w:ascii="Calibri" w:eastAsia="Calibri" w:hAnsi="Calibri" w:cs="Calibri"/>
          <w:color w:val="44ACE0"/>
          <w:sz w:val="20"/>
          <w:szCs w:val="20"/>
          <w:lang w:val="fr-BE"/>
        </w:rPr>
        <w:t>es élèves se sont dits d’accord ou non avec les affirmations suivantes : « Mon école est un endroit où… » i) « je me sens comme un(e) étranger(-ère) (ou hors du coup) », ii) « je me fais facilement des amis »,</w:t>
      </w:r>
    </w:p>
    <w:p w:rsidR="00AC12B4" w:rsidRPr="00C27636" w:rsidRDefault="00AC12B4">
      <w:pPr>
        <w:spacing w:line="49" w:lineRule="exact"/>
        <w:rPr>
          <w:sz w:val="20"/>
          <w:szCs w:val="20"/>
          <w:lang w:val="fr-BE"/>
        </w:rPr>
      </w:pPr>
    </w:p>
    <w:p w:rsidR="00AC12B4" w:rsidRPr="00C27636" w:rsidRDefault="00C27636">
      <w:pPr>
        <w:numPr>
          <w:ilvl w:val="0"/>
          <w:numId w:val="221"/>
        </w:numPr>
        <w:tabs>
          <w:tab w:val="left" w:pos="242"/>
        </w:tabs>
        <w:spacing w:line="225" w:lineRule="auto"/>
        <w:ind w:firstLine="5"/>
        <w:jc w:val="both"/>
        <w:rPr>
          <w:rFonts w:ascii="Calibri" w:eastAsia="Calibri" w:hAnsi="Calibri" w:cs="Calibri"/>
          <w:color w:val="44ACE0"/>
          <w:sz w:val="20"/>
          <w:szCs w:val="20"/>
          <w:lang w:val="fr-BE"/>
        </w:rPr>
      </w:pPr>
      <w:r w:rsidRPr="00C27636">
        <w:rPr>
          <w:rFonts w:ascii="Calibri" w:eastAsia="Calibri" w:hAnsi="Calibri" w:cs="Calibri"/>
          <w:color w:val="44ACE0"/>
          <w:sz w:val="20"/>
          <w:szCs w:val="20"/>
          <w:lang w:val="fr-BE"/>
        </w:rPr>
        <w:t>« je me sens chez moi », iv) « je me sens mal</w:t>
      </w:r>
      <w:r w:rsidRPr="00C27636">
        <w:rPr>
          <w:rFonts w:ascii="Calibri" w:eastAsia="Calibri" w:hAnsi="Calibri" w:cs="Calibri"/>
          <w:color w:val="44ACE0"/>
          <w:sz w:val="20"/>
          <w:szCs w:val="20"/>
          <w:lang w:val="fr-BE"/>
        </w:rPr>
        <w:t xml:space="preserve"> à l’aise, et pas à ma place », v) « les autres élèves ont l’air de m’apprécier » et vi) « je me sens seul(e) ».</w:t>
      </w:r>
    </w:p>
    <w:p w:rsidR="00AC12B4" w:rsidRPr="00C27636" w:rsidRDefault="00AC12B4">
      <w:pPr>
        <w:spacing w:line="163" w:lineRule="exact"/>
        <w:rPr>
          <w:sz w:val="20"/>
          <w:szCs w:val="20"/>
          <w:lang w:val="fr-BE"/>
        </w:rPr>
      </w:pPr>
    </w:p>
    <w:p w:rsidR="00AC12B4" w:rsidRPr="00C27636" w:rsidRDefault="00C27636">
      <w:pPr>
        <w:spacing w:line="229" w:lineRule="auto"/>
        <w:ind w:right="20"/>
        <w:rPr>
          <w:sz w:val="20"/>
          <w:szCs w:val="20"/>
          <w:lang w:val="fr-BE"/>
        </w:rPr>
      </w:pPr>
      <w:r w:rsidRPr="00C27636">
        <w:rPr>
          <w:rFonts w:ascii="Calibri" w:eastAsia="Calibri" w:hAnsi="Calibri" w:cs="Calibri"/>
          <w:i/>
          <w:iCs/>
          <w:color w:val="44ACE0"/>
          <w:sz w:val="17"/>
          <w:szCs w:val="17"/>
          <w:lang w:val="fr-BE"/>
        </w:rPr>
        <w:t>http://www.oecd.org/edu/school/programmeforinternationalstuden tassessmentpisa/34473605.pdf</w:t>
      </w:r>
    </w:p>
    <w:p w:rsidR="00AC12B4" w:rsidRPr="00C27636" w:rsidRDefault="00AC12B4">
      <w:pPr>
        <w:spacing w:line="200" w:lineRule="exact"/>
        <w:rPr>
          <w:sz w:val="20"/>
          <w:szCs w:val="20"/>
          <w:lang w:val="fr-BE"/>
        </w:rPr>
      </w:pPr>
    </w:p>
    <w:p w:rsidR="00AC12B4" w:rsidRPr="00C27636" w:rsidRDefault="00AC12B4">
      <w:pPr>
        <w:spacing w:line="380"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44ACE0"/>
          <w:sz w:val="26"/>
          <w:szCs w:val="26"/>
          <w:lang w:val="fr-BE"/>
        </w:rPr>
        <w:t>D’où viennent ces chiffres ?</w:t>
      </w:r>
    </w:p>
    <w:p w:rsidR="00AC12B4" w:rsidRPr="00C27636" w:rsidRDefault="00AC12B4">
      <w:pPr>
        <w:spacing w:line="166" w:lineRule="exact"/>
        <w:rPr>
          <w:sz w:val="20"/>
          <w:szCs w:val="20"/>
          <w:lang w:val="fr-BE"/>
        </w:rPr>
      </w:pPr>
    </w:p>
    <w:p w:rsidR="00AC12B4" w:rsidRDefault="00C27636">
      <w:pPr>
        <w:numPr>
          <w:ilvl w:val="0"/>
          <w:numId w:val="222"/>
        </w:numPr>
        <w:tabs>
          <w:tab w:val="left" w:pos="720"/>
        </w:tabs>
        <w:ind w:left="720" w:hanging="355"/>
        <w:rPr>
          <w:rFonts w:ascii="Wingdings" w:eastAsia="Wingdings" w:hAnsi="Wingdings" w:cs="Wingdings"/>
          <w:color w:val="4BACC6"/>
        </w:rPr>
      </w:pPr>
      <w:r>
        <w:rPr>
          <w:rFonts w:ascii="Cambria" w:eastAsia="Cambria" w:hAnsi="Cambria" w:cs="Cambria"/>
          <w:i/>
          <w:iCs/>
          <w:color w:val="4BACC6"/>
        </w:rPr>
        <w:t>PISA</w:t>
      </w:r>
    </w:p>
    <w:p w:rsidR="00AC12B4" w:rsidRDefault="00AC12B4">
      <w:pPr>
        <w:spacing w:line="202" w:lineRule="exact"/>
        <w:rPr>
          <w:sz w:val="20"/>
          <w:szCs w:val="20"/>
        </w:rPr>
      </w:pPr>
    </w:p>
    <w:p w:rsidR="00AC12B4" w:rsidRPr="00C27636" w:rsidRDefault="00C27636">
      <w:pPr>
        <w:spacing w:line="218" w:lineRule="auto"/>
        <w:ind w:right="1160"/>
        <w:rPr>
          <w:sz w:val="20"/>
          <w:szCs w:val="20"/>
          <w:lang w:val="fr-BE"/>
        </w:rPr>
      </w:pPr>
      <w:r w:rsidRPr="00C27636">
        <w:rPr>
          <w:rFonts w:ascii="Calibri" w:eastAsia="Calibri" w:hAnsi="Calibri" w:cs="Calibri"/>
          <w:lang w:val="fr-BE"/>
        </w:rPr>
        <w:t>Pour une des</w:t>
      </w:r>
      <w:r w:rsidRPr="00C27636">
        <w:rPr>
          <w:rFonts w:ascii="Calibri" w:eastAsia="Calibri" w:hAnsi="Calibri" w:cs="Calibri"/>
          <w:lang w:val="fr-BE"/>
        </w:rPr>
        <w:t>cription de l’enquête PISA voir la section « sources ».</w:t>
      </w:r>
    </w:p>
    <w:p w:rsidR="00AC12B4" w:rsidRPr="00C27636" w:rsidRDefault="00AC12B4">
      <w:pPr>
        <w:spacing w:line="125" w:lineRule="exact"/>
        <w:rPr>
          <w:sz w:val="20"/>
          <w:szCs w:val="20"/>
          <w:lang w:val="fr-BE"/>
        </w:rPr>
      </w:pPr>
    </w:p>
    <w:p w:rsidR="00AC12B4" w:rsidRDefault="00C27636">
      <w:pPr>
        <w:numPr>
          <w:ilvl w:val="0"/>
          <w:numId w:val="223"/>
        </w:numPr>
        <w:tabs>
          <w:tab w:val="left" w:pos="720"/>
        </w:tabs>
        <w:ind w:left="720" w:hanging="355"/>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202" w:lineRule="exact"/>
        <w:rPr>
          <w:sz w:val="20"/>
          <w:szCs w:val="20"/>
        </w:rPr>
      </w:pPr>
    </w:p>
    <w:p w:rsidR="00AC12B4" w:rsidRPr="00C27636" w:rsidRDefault="00C27636">
      <w:pPr>
        <w:spacing w:line="236" w:lineRule="auto"/>
        <w:ind w:right="1160"/>
        <w:jc w:val="both"/>
        <w:rPr>
          <w:sz w:val="20"/>
          <w:szCs w:val="20"/>
          <w:lang w:val="fr-BE"/>
        </w:rPr>
      </w:pPr>
      <w:r w:rsidRPr="00C27636">
        <w:rPr>
          <w:rFonts w:ascii="Calibri" w:eastAsia="Calibri" w:hAnsi="Calibri" w:cs="Calibri"/>
          <w:lang w:val="fr-BE"/>
        </w:rPr>
        <w:t>Comme indiqué dans la présentation de PISA, celle-ci est conçue pour être représentative des jeunes scolarisés de 15 ans. L’enseignement ordinaire et une partie des formes de l'e</w:t>
      </w:r>
      <w:r w:rsidRPr="00C27636">
        <w:rPr>
          <w:rFonts w:ascii="Calibri" w:eastAsia="Calibri" w:hAnsi="Calibri" w:cs="Calibri"/>
          <w:lang w:val="fr-BE"/>
        </w:rPr>
        <w:t>nseignement spécialisé sont touchés par l’enquête. Elle a donc ses limites pour notre set d’indicateurs qui s’intéresse à toutes les tranches d’âge et qui accorde une attention particulière aux groupes vulnérables.</w:t>
      </w:r>
    </w:p>
    <w:p w:rsidR="00AC12B4" w:rsidRPr="00C27636" w:rsidRDefault="00AC12B4">
      <w:pPr>
        <w:spacing w:line="302" w:lineRule="exact"/>
        <w:rPr>
          <w:sz w:val="20"/>
          <w:szCs w:val="20"/>
          <w:lang w:val="fr-BE"/>
        </w:rPr>
      </w:pPr>
    </w:p>
    <w:p w:rsidR="00AC12B4" w:rsidRPr="00C27636" w:rsidRDefault="00AC12B4">
      <w:pPr>
        <w:rPr>
          <w:lang w:val="fr-BE"/>
        </w:rPr>
        <w:sectPr w:rsidR="00AC12B4" w:rsidRPr="00C27636">
          <w:type w:val="continuous"/>
          <w:pgSz w:w="12080" w:h="17179"/>
          <w:pgMar w:top="1440" w:right="1017" w:bottom="659" w:left="497" w:header="0" w:footer="0" w:gutter="0"/>
          <w:cols w:num="3" w:space="720" w:equalWidth="0">
            <w:col w:w="342" w:space="401"/>
            <w:col w:w="4080" w:space="700"/>
            <w:col w:w="5040"/>
          </w:cols>
        </w:sectPr>
      </w:pPr>
    </w:p>
    <w:p w:rsidR="00AC12B4" w:rsidRPr="00C27636" w:rsidRDefault="00C27636">
      <w:pPr>
        <w:ind w:right="217"/>
        <w:jc w:val="center"/>
        <w:rPr>
          <w:sz w:val="20"/>
          <w:szCs w:val="20"/>
          <w:lang w:val="fr-BE"/>
        </w:rPr>
      </w:pPr>
      <w:r w:rsidRPr="00C27636">
        <w:rPr>
          <w:rFonts w:ascii="Calibri" w:eastAsia="Calibri" w:hAnsi="Calibri" w:cs="Calibri"/>
          <w:lang w:val="fr-BE"/>
        </w:rPr>
        <w:lastRenderedPageBreak/>
        <w:t>124</w:t>
      </w:r>
    </w:p>
    <w:p w:rsidR="00AC12B4" w:rsidRPr="00C27636" w:rsidRDefault="00AC12B4">
      <w:pPr>
        <w:rPr>
          <w:lang w:val="fr-BE"/>
        </w:rPr>
        <w:sectPr w:rsidR="00AC12B4" w:rsidRPr="00C27636">
          <w:type w:val="continuous"/>
          <w:pgSz w:w="12080" w:h="17179"/>
          <w:pgMar w:top="1440" w:right="1017" w:bottom="659" w:left="497" w:header="0" w:footer="0" w:gutter="0"/>
          <w:cols w:space="720" w:equalWidth="0">
            <w:col w:w="10563"/>
          </w:cols>
        </w:sectPr>
      </w:pPr>
    </w:p>
    <w:p w:rsidR="00AC12B4" w:rsidRPr="00C27636" w:rsidRDefault="00AC12B4">
      <w:pPr>
        <w:spacing w:line="212" w:lineRule="exact"/>
        <w:rPr>
          <w:sz w:val="20"/>
          <w:szCs w:val="20"/>
          <w:lang w:val="fr-BE"/>
        </w:rPr>
      </w:pPr>
      <w:bookmarkStart w:id="124" w:name="page125"/>
      <w:bookmarkEnd w:id="124"/>
    </w:p>
    <w:p w:rsidR="00AC12B4" w:rsidRPr="00C27636" w:rsidRDefault="00C27636">
      <w:pPr>
        <w:spacing w:line="232" w:lineRule="auto"/>
        <w:ind w:left="560" w:right="520"/>
        <w:jc w:val="both"/>
        <w:rPr>
          <w:sz w:val="20"/>
          <w:szCs w:val="20"/>
          <w:lang w:val="fr-BE"/>
        </w:rPr>
      </w:pPr>
      <w:r w:rsidRPr="00C27636">
        <w:rPr>
          <w:rFonts w:ascii="Calibri" w:eastAsia="Calibri" w:hAnsi="Calibri" w:cs="Calibri"/>
          <w:lang w:val="fr-BE"/>
        </w:rPr>
        <w:t>Dans le cadre d’enquêtes, il faut aussi toujours tenir compte du risque que le répondant réagit selon le principe de désirabilité. La réaction ne correspond dès lors pas toujours à la réalité mais à une version idéalisée de la réali</w:t>
      </w:r>
      <w:r w:rsidRPr="00C27636">
        <w:rPr>
          <w:rFonts w:ascii="Calibri" w:eastAsia="Calibri" w:hAnsi="Calibri" w:cs="Calibri"/>
          <w:lang w:val="fr-BE"/>
        </w:rPr>
        <w:t>té.</w:t>
      </w:r>
    </w:p>
    <w:p w:rsidR="00AC12B4" w:rsidRPr="00C27636" w:rsidRDefault="00AC12B4">
      <w:pPr>
        <w:spacing w:line="131" w:lineRule="exact"/>
        <w:rPr>
          <w:sz w:val="20"/>
          <w:szCs w:val="20"/>
          <w:lang w:val="fr-BE"/>
        </w:rPr>
      </w:pPr>
    </w:p>
    <w:p w:rsidR="00AC12B4" w:rsidRDefault="00C27636">
      <w:pPr>
        <w:numPr>
          <w:ilvl w:val="0"/>
          <w:numId w:val="224"/>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202" w:lineRule="exact"/>
        <w:rPr>
          <w:sz w:val="20"/>
          <w:szCs w:val="20"/>
        </w:rPr>
      </w:pPr>
    </w:p>
    <w:p w:rsidR="00AC12B4" w:rsidRPr="00C27636" w:rsidRDefault="00C27636">
      <w:pPr>
        <w:spacing w:line="230" w:lineRule="auto"/>
        <w:ind w:left="560" w:right="520"/>
        <w:jc w:val="both"/>
        <w:rPr>
          <w:sz w:val="20"/>
          <w:szCs w:val="20"/>
          <w:lang w:val="fr-BE"/>
        </w:rPr>
      </w:pPr>
      <w:r w:rsidRPr="00C27636">
        <w:rPr>
          <w:rFonts w:ascii="Calibri" w:eastAsia="Calibri" w:hAnsi="Calibri" w:cs="Calibri"/>
          <w:lang w:val="fr-BE"/>
        </w:rPr>
        <w:t xml:space="preserve">Les enquêtes PISA devraient être élargies aux dispositifs d'accueil et de scolarisation des élèves primo-arrivants (DASPA) et à l’enseignement spécialisé, sauf en cas de contre-indication inspirée par l’intérêt supérieur de l’enfant, </w:t>
      </w:r>
      <w:r w:rsidRPr="00C27636">
        <w:rPr>
          <w:rFonts w:ascii="Calibri" w:eastAsia="Calibri" w:hAnsi="Calibri" w:cs="Calibri"/>
          <w:lang w:val="fr-BE"/>
        </w:rPr>
        <w:t>via des questionnaires adaptés</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140" w:lineRule="exact"/>
        <w:rPr>
          <w:sz w:val="20"/>
          <w:szCs w:val="20"/>
          <w:lang w:val="fr-BE"/>
        </w:rPr>
      </w:pPr>
    </w:p>
    <w:p w:rsidR="00AC12B4" w:rsidRPr="00C27636" w:rsidRDefault="00C27636">
      <w:pPr>
        <w:spacing w:line="229" w:lineRule="auto"/>
        <w:ind w:left="560" w:right="520"/>
        <w:jc w:val="both"/>
        <w:rPr>
          <w:sz w:val="20"/>
          <w:szCs w:val="20"/>
          <w:lang w:val="fr-BE"/>
        </w:rPr>
      </w:pPr>
      <w:r w:rsidRPr="00C27636">
        <w:rPr>
          <w:rFonts w:ascii="Calibri" w:eastAsia="Calibri" w:hAnsi="Calibri" w:cs="Calibri"/>
          <w:lang w:val="fr-BE"/>
        </w:rPr>
        <w:t>Une enquête spécifique doit être menée auprès des autres groupes pertinents non-atteints (cf section ‘Atteindre les plus vulnérables’).</w:t>
      </w:r>
    </w:p>
    <w:p w:rsidR="00AC12B4" w:rsidRPr="00C27636" w:rsidRDefault="00AC12B4">
      <w:pPr>
        <w:spacing w:line="207" w:lineRule="exact"/>
        <w:rPr>
          <w:sz w:val="20"/>
          <w:szCs w:val="20"/>
          <w:lang w:val="fr-BE"/>
        </w:rPr>
      </w:pPr>
    </w:p>
    <w:p w:rsidR="00AC12B4" w:rsidRDefault="00C27636">
      <w:pPr>
        <w:ind w:left="560"/>
        <w:rPr>
          <w:sz w:val="20"/>
          <w:szCs w:val="20"/>
        </w:rPr>
      </w:pPr>
      <w:r>
        <w:rPr>
          <w:rFonts w:ascii="Cambria" w:eastAsia="Cambria" w:hAnsi="Cambria" w:cs="Cambria"/>
          <w:b/>
          <w:bCs/>
          <w:i/>
          <w:iCs/>
          <w:color w:val="44ACE0"/>
          <w:sz w:val="26"/>
          <w:szCs w:val="26"/>
        </w:rPr>
        <w:t>Pour aller plus loin</w:t>
      </w:r>
    </w:p>
    <w:p w:rsidR="00AC12B4" w:rsidRDefault="00AC12B4">
      <w:pPr>
        <w:spacing w:line="219" w:lineRule="exact"/>
        <w:rPr>
          <w:sz w:val="20"/>
          <w:szCs w:val="20"/>
        </w:rPr>
      </w:pPr>
    </w:p>
    <w:p w:rsidR="00AC12B4" w:rsidRPr="00C27636" w:rsidRDefault="00C27636">
      <w:pPr>
        <w:numPr>
          <w:ilvl w:val="0"/>
          <w:numId w:val="225"/>
        </w:numPr>
        <w:tabs>
          <w:tab w:val="left" w:pos="1000"/>
        </w:tabs>
        <w:spacing w:line="246" w:lineRule="auto"/>
        <w:ind w:left="1000" w:right="520" w:hanging="366"/>
        <w:jc w:val="both"/>
        <w:rPr>
          <w:rFonts w:ascii="Symbol" w:eastAsia="Symbol" w:hAnsi="Symbol" w:cs="Symbol"/>
          <w:sz w:val="20"/>
          <w:szCs w:val="20"/>
          <w:lang w:val="fr-BE"/>
        </w:rPr>
      </w:pPr>
      <w:r w:rsidRPr="00C27636">
        <w:rPr>
          <w:rFonts w:ascii="Calibri" w:eastAsia="Calibri" w:hAnsi="Calibri" w:cs="Calibri"/>
          <w:b/>
          <w:bCs/>
          <w:i/>
          <w:iCs/>
          <w:color w:val="8BCCEC"/>
          <w:sz w:val="20"/>
          <w:szCs w:val="20"/>
          <w:lang w:val="fr-BE"/>
        </w:rPr>
        <w:t xml:space="preserve">Voir aussi les indicateurs ‘Sentiment d’être écouté’ et </w:t>
      </w:r>
      <w:r w:rsidRPr="00C27636">
        <w:rPr>
          <w:rFonts w:ascii="Calibri" w:eastAsia="Calibri" w:hAnsi="Calibri" w:cs="Calibri"/>
          <w:b/>
          <w:bCs/>
          <w:i/>
          <w:iCs/>
          <w:color w:val="8BCCEC"/>
          <w:sz w:val="20"/>
          <w:szCs w:val="20"/>
          <w:lang w:val="fr-BE"/>
        </w:rPr>
        <w:t>‘Sentiment d’être traité avec justice’.</w:t>
      </w:r>
    </w:p>
    <w:p w:rsidR="00AC12B4" w:rsidRPr="00C27636" w:rsidRDefault="00AC12B4">
      <w:pPr>
        <w:spacing w:line="90" w:lineRule="exact"/>
        <w:rPr>
          <w:rFonts w:ascii="Symbol" w:eastAsia="Symbol" w:hAnsi="Symbol" w:cs="Symbol"/>
          <w:sz w:val="20"/>
          <w:szCs w:val="20"/>
          <w:lang w:val="fr-BE"/>
        </w:rPr>
      </w:pPr>
    </w:p>
    <w:p w:rsidR="00AC12B4" w:rsidRPr="00C27636" w:rsidRDefault="00C27636">
      <w:pPr>
        <w:numPr>
          <w:ilvl w:val="0"/>
          <w:numId w:val="225"/>
        </w:numPr>
        <w:tabs>
          <w:tab w:val="left" w:pos="980"/>
        </w:tabs>
        <w:spacing w:line="247" w:lineRule="auto"/>
        <w:ind w:left="980" w:right="520" w:hanging="351"/>
        <w:jc w:val="both"/>
        <w:rPr>
          <w:rFonts w:ascii="Symbol" w:eastAsia="Symbol" w:hAnsi="Symbol" w:cs="Symbol"/>
          <w:sz w:val="20"/>
          <w:szCs w:val="20"/>
          <w:lang w:val="fr-BE"/>
        </w:rPr>
      </w:pPr>
      <w:r w:rsidRPr="00C27636">
        <w:rPr>
          <w:rFonts w:ascii="Calibri" w:eastAsia="Calibri" w:hAnsi="Calibri" w:cs="Calibri"/>
          <w:b/>
          <w:bCs/>
          <w:i/>
          <w:iCs/>
          <w:color w:val="8BCCEC"/>
          <w:sz w:val="20"/>
          <w:szCs w:val="20"/>
          <w:lang w:val="fr-BE"/>
        </w:rPr>
        <w:t>Recherche sur l’influence de discrimination ethnique sur le bien-être à l’école</w:t>
      </w:r>
    </w:p>
    <w:p w:rsidR="00AC12B4" w:rsidRPr="00C27636" w:rsidRDefault="00AC12B4">
      <w:pPr>
        <w:spacing w:line="78" w:lineRule="exact"/>
        <w:rPr>
          <w:rFonts w:ascii="Symbol" w:eastAsia="Symbol" w:hAnsi="Symbol" w:cs="Symbol"/>
          <w:sz w:val="20"/>
          <w:szCs w:val="20"/>
          <w:lang w:val="fr-BE"/>
        </w:rPr>
      </w:pPr>
    </w:p>
    <w:p w:rsidR="00AC12B4" w:rsidRPr="00C27636" w:rsidRDefault="00C27636">
      <w:pPr>
        <w:spacing w:line="228" w:lineRule="auto"/>
        <w:ind w:left="1000" w:right="520"/>
        <w:jc w:val="both"/>
        <w:rPr>
          <w:rFonts w:ascii="Symbol" w:eastAsia="Symbol" w:hAnsi="Symbol" w:cs="Symbol"/>
          <w:sz w:val="20"/>
          <w:szCs w:val="20"/>
          <w:lang w:val="nl-NL"/>
        </w:rPr>
      </w:pPr>
      <w:r w:rsidRPr="00C27636">
        <w:rPr>
          <w:rFonts w:ascii="Calibri" w:eastAsia="Calibri" w:hAnsi="Calibri" w:cs="Calibri"/>
          <w:sz w:val="20"/>
          <w:szCs w:val="20"/>
          <w:lang w:val="nl-NL"/>
        </w:rPr>
        <w:t>F. D’hondt, “Etnische discriminatie door leerkrachten en zich thuis voelen op school. Ervaringen van Vlaamse jongeren met een migratie</w:t>
      </w:r>
      <w:r w:rsidRPr="00C27636">
        <w:rPr>
          <w:rFonts w:ascii="Calibri" w:eastAsia="Calibri" w:hAnsi="Calibri" w:cs="Calibri"/>
          <w:sz w:val="20"/>
          <w:szCs w:val="20"/>
          <w:lang w:val="nl-NL"/>
        </w:rPr>
        <w:t>achtergrond”, dans:</w:t>
      </w:r>
    </w:p>
    <w:p w:rsidR="00AC12B4" w:rsidRPr="00C27636" w:rsidRDefault="00AC12B4">
      <w:pPr>
        <w:spacing w:line="2" w:lineRule="exact"/>
        <w:rPr>
          <w:rFonts w:ascii="Symbol" w:eastAsia="Symbol" w:hAnsi="Symbol" w:cs="Symbol"/>
          <w:sz w:val="20"/>
          <w:szCs w:val="20"/>
          <w:lang w:val="nl-NL"/>
        </w:rPr>
      </w:pPr>
    </w:p>
    <w:p w:rsidR="00AC12B4" w:rsidRPr="00C27636" w:rsidRDefault="00C27636">
      <w:pPr>
        <w:ind w:left="1000"/>
        <w:rPr>
          <w:rFonts w:ascii="Symbol" w:eastAsia="Symbol" w:hAnsi="Symbol" w:cs="Symbol"/>
          <w:sz w:val="20"/>
          <w:szCs w:val="20"/>
          <w:lang w:val="nl-NL"/>
        </w:rPr>
      </w:pPr>
      <w:r w:rsidRPr="00C27636">
        <w:rPr>
          <w:rFonts w:ascii="Calibri" w:eastAsia="Calibri" w:hAnsi="Calibri" w:cs="Calibri"/>
          <w:sz w:val="20"/>
          <w:szCs w:val="20"/>
          <w:lang w:val="nl-NL"/>
        </w:rPr>
        <w:t>Kinderrechtencoalitie</w:t>
      </w:r>
      <w:r w:rsidRPr="00C27636">
        <w:rPr>
          <w:rFonts w:ascii="Calibri" w:eastAsia="Calibri" w:hAnsi="Calibri" w:cs="Calibri"/>
          <w:sz w:val="19"/>
          <w:szCs w:val="19"/>
          <w:lang w:val="nl-NL"/>
        </w:rPr>
        <w:t>Vlaanderen,</w:t>
      </w:r>
    </w:p>
    <w:p w:rsidR="00AC12B4" w:rsidRPr="00C27636" w:rsidRDefault="00AC12B4">
      <w:pPr>
        <w:spacing w:line="45" w:lineRule="exact"/>
        <w:rPr>
          <w:rFonts w:ascii="Symbol" w:eastAsia="Symbol" w:hAnsi="Symbol" w:cs="Symbol"/>
          <w:sz w:val="20"/>
          <w:szCs w:val="20"/>
          <w:lang w:val="nl-NL"/>
        </w:rPr>
      </w:pPr>
    </w:p>
    <w:p w:rsidR="00AC12B4" w:rsidRPr="00C27636" w:rsidRDefault="00C27636">
      <w:pPr>
        <w:spacing w:line="233" w:lineRule="auto"/>
        <w:ind w:left="1000" w:right="520"/>
        <w:jc w:val="both"/>
        <w:rPr>
          <w:rFonts w:ascii="Symbol" w:eastAsia="Symbol" w:hAnsi="Symbol" w:cs="Symbol"/>
          <w:sz w:val="20"/>
          <w:szCs w:val="20"/>
          <w:lang w:val="fr-BE"/>
        </w:rPr>
      </w:pPr>
      <w:r w:rsidRPr="00C27636">
        <w:rPr>
          <w:rFonts w:ascii="Calibri" w:eastAsia="Calibri" w:hAnsi="Calibri" w:cs="Calibri"/>
          <w:i/>
          <w:iCs/>
          <w:sz w:val="20"/>
          <w:szCs w:val="20"/>
          <w:lang w:val="nl-NL"/>
        </w:rPr>
        <w:t>Kinderrechtenforum 2015 “Het zal wel aan mij liggen…”. Omgaan met de effecten van discriminatie en racisme op kinderen</w:t>
      </w:r>
      <w:r w:rsidRPr="00C27636">
        <w:rPr>
          <w:rFonts w:ascii="Calibri" w:eastAsia="Calibri" w:hAnsi="Calibri" w:cs="Calibri"/>
          <w:sz w:val="20"/>
          <w:szCs w:val="20"/>
          <w:lang w:val="nl-NL"/>
        </w:rPr>
        <w:t>, Gent, Kinderrechtencoalitie</w:t>
      </w:r>
      <w:r w:rsidRPr="00C27636">
        <w:rPr>
          <w:rFonts w:ascii="Calibri" w:eastAsia="Calibri" w:hAnsi="Calibri" w:cs="Calibri"/>
          <w:i/>
          <w:iCs/>
          <w:sz w:val="20"/>
          <w:szCs w:val="20"/>
          <w:lang w:val="nl-NL"/>
        </w:rPr>
        <w:t xml:space="preserve"> </w:t>
      </w:r>
      <w:r w:rsidRPr="00C27636">
        <w:rPr>
          <w:rFonts w:ascii="Calibri" w:eastAsia="Calibri" w:hAnsi="Calibri" w:cs="Calibri"/>
          <w:sz w:val="20"/>
          <w:szCs w:val="20"/>
          <w:lang w:val="nl-NL"/>
        </w:rPr>
        <w:t xml:space="preserve">Vlaanderen, 2015, 97-105 (basé sur la thèse de doct. </w:t>
      </w:r>
      <w:r w:rsidRPr="00C27636">
        <w:rPr>
          <w:rFonts w:ascii="Calibri" w:eastAsia="Calibri" w:hAnsi="Calibri" w:cs="Calibri"/>
          <w:i/>
          <w:iCs/>
          <w:sz w:val="20"/>
          <w:szCs w:val="20"/>
          <w:lang w:val="fr-BE"/>
        </w:rPr>
        <w:t>Ethnic discrimination and</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educational inequality</w:t>
      </w:r>
      <w:r w:rsidRPr="00C27636">
        <w:rPr>
          <w:rFonts w:ascii="Calibri" w:eastAsia="Calibri" w:hAnsi="Calibri" w:cs="Calibri"/>
          <w:sz w:val="20"/>
          <w:szCs w:val="20"/>
          <w:lang w:val="fr-BE"/>
        </w:rPr>
        <w:t>, U Gent, 2015</w:t>
      </w:r>
    </w:p>
    <w:p w:rsidR="00AC12B4" w:rsidRPr="00C27636" w:rsidRDefault="00AC12B4">
      <w:pPr>
        <w:spacing w:line="5" w:lineRule="exact"/>
        <w:rPr>
          <w:rFonts w:ascii="Symbol" w:eastAsia="Symbol" w:hAnsi="Symbol" w:cs="Symbol"/>
          <w:sz w:val="20"/>
          <w:szCs w:val="20"/>
          <w:lang w:val="fr-BE"/>
        </w:rPr>
      </w:pPr>
    </w:p>
    <w:p w:rsidR="00AC12B4" w:rsidRPr="00C27636" w:rsidRDefault="00C27636">
      <w:pPr>
        <w:ind w:left="1000"/>
        <w:rPr>
          <w:rFonts w:ascii="Symbol" w:eastAsia="Symbol" w:hAnsi="Symbol" w:cs="Symbol"/>
          <w:sz w:val="20"/>
          <w:szCs w:val="20"/>
          <w:lang w:val="fr-BE"/>
        </w:rPr>
      </w:pPr>
      <w:r w:rsidRPr="00C27636">
        <w:rPr>
          <w:rFonts w:ascii="Calibri" w:eastAsia="Calibri" w:hAnsi="Calibri" w:cs="Calibri"/>
          <w:sz w:val="20"/>
          <w:szCs w:val="20"/>
          <w:lang w:val="fr-BE"/>
        </w:rPr>
        <w:t>(enquête auprès de 1160 élèves d’une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84352" behindDoc="1" locked="0" layoutInCell="0" allowOverlap="1">
                <wp:simplePos x="0" y="0"/>
                <wp:positionH relativeFrom="column">
                  <wp:posOffset>359410</wp:posOffset>
                </wp:positionH>
                <wp:positionV relativeFrom="paragraph">
                  <wp:posOffset>410210</wp:posOffset>
                </wp:positionV>
                <wp:extent cx="1829435" cy="0"/>
                <wp:effectExtent l="0" t="0" r="0" b="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32.3pt" to="172.35pt,32.3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8" w:lineRule="exact"/>
        <w:rPr>
          <w:sz w:val="20"/>
          <w:szCs w:val="20"/>
          <w:lang w:val="fr-BE"/>
        </w:rPr>
      </w:pPr>
    </w:p>
    <w:p w:rsidR="00AC12B4" w:rsidRPr="00C27636" w:rsidRDefault="00C27636">
      <w:pPr>
        <w:spacing w:line="233" w:lineRule="auto"/>
        <w:ind w:left="560" w:right="520"/>
        <w:jc w:val="both"/>
        <w:rPr>
          <w:sz w:val="20"/>
          <w:szCs w:val="20"/>
          <w:lang w:val="fr-BE"/>
        </w:rPr>
      </w:pP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 xml:space="preserve"> Pour l’administration de l’enseignement flamande, la forme actuelle de PISA ne permet pas de réaliser l’enquête dans une autre langue que la langue d’instruction, ce qui est problématique pour les DASPA. En outre, des arguments budgétaires et comparabilit</w:t>
      </w:r>
      <w:r w:rsidRPr="00C27636">
        <w:rPr>
          <w:rFonts w:ascii="Calibri" w:eastAsia="Calibri" w:hAnsi="Calibri" w:cs="Calibri"/>
          <w:sz w:val="20"/>
          <w:szCs w:val="20"/>
          <w:lang w:val="fr-BE"/>
        </w:rPr>
        <w:t>és se heurtent à l’introduction d’enquêtes adaptées. HBSC international fait pourtant déjà des démarches dans ce sens.</w:t>
      </w:r>
    </w:p>
    <w:p w:rsidR="00AC12B4" w:rsidRPr="00C27636" w:rsidRDefault="00AC12B4">
      <w:pPr>
        <w:spacing w:line="249"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125</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1" w:lineRule="exact"/>
        <w:rPr>
          <w:sz w:val="20"/>
          <w:szCs w:val="20"/>
          <w:lang w:val="fr-BE"/>
        </w:rPr>
      </w:pPr>
    </w:p>
    <w:p w:rsidR="00AC12B4" w:rsidRPr="00C27636" w:rsidRDefault="00C27636">
      <w:pPr>
        <w:spacing w:line="217" w:lineRule="auto"/>
        <w:ind w:right="59"/>
        <w:rPr>
          <w:sz w:val="20"/>
          <w:szCs w:val="20"/>
          <w:lang w:val="fr-BE"/>
        </w:rPr>
      </w:pPr>
      <w:r w:rsidRPr="00C27636">
        <w:rPr>
          <w:rFonts w:ascii="Calibri" w:eastAsia="Calibri" w:hAnsi="Calibri" w:cs="Calibri"/>
          <w:sz w:val="20"/>
          <w:szCs w:val="20"/>
          <w:lang w:val="fr-BE"/>
        </w:rPr>
        <w:t>autre origine que celle d’un pays de l’Europe occidentale).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 xml:space="preserve">Le droit à </w:t>
            </w:r>
            <w:r>
              <w:rPr>
                <w:rFonts w:ascii="Calibri" w:eastAsia="Calibri" w:hAnsi="Calibri" w:cs="Calibri"/>
                <w:b/>
                <w:bCs/>
                <w:i/>
                <w:iCs/>
                <w:color w:val="F2F2F2"/>
                <w:sz w:val="28"/>
                <w:szCs w:val="28"/>
              </w:rPr>
              <w:t>l’enseignement</w:t>
            </w: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685376" behindDoc="1" locked="0" layoutInCell="0" allowOverlap="1">
                <wp:simplePos x="0" y="0"/>
                <wp:positionH relativeFrom="column">
                  <wp:posOffset>-222885</wp:posOffset>
                </wp:positionH>
                <wp:positionV relativeFrom="paragraph">
                  <wp:posOffset>-9943465</wp:posOffset>
                </wp:positionV>
                <wp:extent cx="751205" cy="10895965"/>
                <wp:effectExtent l="0" t="0" r="0" b="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205" cy="10895965"/>
                        </a:xfrm>
                        <a:prstGeom prst="rect">
                          <a:avLst/>
                        </a:prstGeom>
                        <a:solidFill>
                          <a:srgbClr val="8BCCEC"/>
                        </a:solidFill>
                      </wps:spPr>
                      <wps:bodyPr/>
                    </wps:wsp>
                  </a:graphicData>
                </a:graphic>
              </wp:anchor>
            </w:drawing>
          </mc:Choice>
          <mc:Fallback>
            <w:pict>
              <v:rect id="Shape 348" o:spid="_x0000_s1373" style="position:absolute;margin-left:-17.5499pt;margin-top:-782.9499pt;width:59.15pt;height:8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Default="00AC12B4">
      <w:pPr>
        <w:sectPr w:rsidR="00AC12B4">
          <w:pgSz w:w="12080" w:h="17179"/>
          <w:pgMar w:top="1440" w:right="496" w:bottom="659" w:left="1440" w:header="0" w:footer="0" w:gutter="0"/>
          <w:cols w:num="3" w:space="720" w:equalWidth="0">
            <w:col w:w="4960" w:space="620"/>
            <w:col w:w="3499" w:space="720"/>
            <w:col w:w="342"/>
          </w:cols>
        </w:sectPr>
      </w:pPr>
    </w:p>
    <w:p w:rsidR="00AC12B4" w:rsidRDefault="00AC12B4">
      <w:pPr>
        <w:spacing w:line="20" w:lineRule="exact"/>
        <w:rPr>
          <w:sz w:val="20"/>
          <w:szCs w:val="20"/>
        </w:rPr>
      </w:pPr>
      <w:bookmarkStart w:id="125" w:name="page126"/>
      <w:bookmarkEnd w:id="125"/>
    </w:p>
    <w:p w:rsidR="00AC12B4" w:rsidRDefault="00AC12B4">
      <w:pPr>
        <w:sectPr w:rsidR="00AC12B4">
          <w:pgSz w:w="12080" w:h="17179"/>
          <w:pgMar w:top="1440" w:right="1440" w:bottom="875" w:left="1440" w:header="0" w:footer="0" w:gutter="0"/>
          <w:cols w:space="0"/>
        </w:sectPr>
      </w:pPr>
    </w:p>
    <w:p w:rsidR="00AC12B4" w:rsidRDefault="00C27636">
      <w:pPr>
        <w:spacing w:line="168" w:lineRule="exact"/>
        <w:rPr>
          <w:sz w:val="20"/>
          <w:szCs w:val="20"/>
        </w:rPr>
      </w:pPr>
      <w:bookmarkStart w:id="126" w:name="page127"/>
      <w:bookmarkEnd w:id="126"/>
      <w:r>
        <w:rPr>
          <w:noProof/>
          <w:sz w:val="20"/>
          <w:szCs w:val="20"/>
        </w:rPr>
        <w:lastRenderedPageBreak/>
        <w:drawing>
          <wp:anchor distT="0" distB="0" distL="114300" distR="114300" simplePos="0" relativeHeight="251686400" behindDoc="1" locked="0" layoutInCell="0" allowOverlap="1">
            <wp:simplePos x="0" y="0"/>
            <wp:positionH relativeFrom="page">
              <wp:posOffset>347345</wp:posOffset>
            </wp:positionH>
            <wp:positionV relativeFrom="page">
              <wp:posOffset>8255</wp:posOffset>
            </wp:positionV>
            <wp:extent cx="7312660" cy="10896600"/>
            <wp:effectExtent l="0" t="0" r="0"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14">
                      <a:clrChange>
                        <a:clrFrom>
                          <a:srgbClr val="FFFFFF"/>
                        </a:clrFrom>
                        <a:clrTo>
                          <a:srgbClr val="FFFFFF">
                            <a:alpha val="0"/>
                          </a:srgbClr>
                        </a:clrTo>
                      </a:clrChange>
                      <a:extLst/>
                    </a:blip>
                    <a:srcRect/>
                    <a:stretch>
                      <a:fillRect/>
                    </a:stretch>
                  </pic:blipFill>
                  <pic:spPr bwMode="auto">
                    <a:xfrm>
                      <a:off x="0" y="0"/>
                      <a:ext cx="7312660" cy="10896600"/>
                    </a:xfrm>
                    <a:prstGeom prst="rect">
                      <a:avLst/>
                    </a:prstGeom>
                    <a:noFill/>
                  </pic:spPr>
                </pic:pic>
              </a:graphicData>
            </a:graphic>
          </wp:anchor>
        </w:drawing>
      </w:r>
    </w:p>
    <w:p w:rsidR="00AC12B4" w:rsidRDefault="00C27636">
      <w:pPr>
        <w:ind w:left="880"/>
        <w:rPr>
          <w:sz w:val="20"/>
          <w:szCs w:val="20"/>
        </w:rPr>
      </w:pPr>
      <w:r>
        <w:rPr>
          <w:rFonts w:ascii="Comic Sans MS" w:eastAsia="Comic Sans MS" w:hAnsi="Comic Sans MS" w:cs="Comic Sans MS"/>
          <w:color w:val="8BCCEC"/>
          <w:sz w:val="40"/>
          <w:szCs w:val="40"/>
        </w:rPr>
        <w:t>E6. Sentiment d’être écouté</w:t>
      </w:r>
    </w:p>
    <w:p w:rsidR="00AC12B4" w:rsidRDefault="00AC12B4">
      <w:pPr>
        <w:sectPr w:rsidR="00AC12B4">
          <w:pgSz w:w="12080" w:h="17179"/>
          <w:pgMar w:top="1440" w:right="569" w:bottom="659" w:left="1120" w:header="0" w:footer="0" w:gutter="0"/>
          <w:cols w:space="720" w:equalWidth="0">
            <w:col w:w="10388"/>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66" w:lineRule="exact"/>
        <w:rPr>
          <w:sz w:val="20"/>
          <w:szCs w:val="20"/>
        </w:rPr>
      </w:pPr>
    </w:p>
    <w:p w:rsidR="00AC12B4" w:rsidRDefault="00C27636">
      <w:pPr>
        <w:rPr>
          <w:sz w:val="20"/>
          <w:szCs w:val="20"/>
        </w:rPr>
      </w:pPr>
      <w:r>
        <w:rPr>
          <w:rFonts w:ascii="Calibri" w:eastAsia="Calibri" w:hAnsi="Calibri" w:cs="Calibri"/>
          <w:i/>
          <w:iCs/>
          <w:color w:val="DAEEF3"/>
        </w:rPr>
        <w:t>Article 29 CIDE</w:t>
      </w:r>
    </w:p>
    <w:p w:rsidR="00AC12B4" w:rsidRDefault="00AC12B4">
      <w:pPr>
        <w:spacing w:line="118" w:lineRule="exact"/>
        <w:rPr>
          <w:sz w:val="20"/>
          <w:szCs w:val="20"/>
        </w:rPr>
      </w:pPr>
    </w:p>
    <w:p w:rsidR="00AC12B4" w:rsidRDefault="00C27636">
      <w:pPr>
        <w:rPr>
          <w:sz w:val="20"/>
          <w:szCs w:val="20"/>
        </w:rPr>
      </w:pPr>
      <w:r>
        <w:rPr>
          <w:rFonts w:ascii="Calibri" w:eastAsia="Calibri" w:hAnsi="Calibri" w:cs="Calibri"/>
          <w:i/>
          <w:iCs/>
          <w:color w:val="DAEEF3"/>
        </w:rPr>
        <w:t>Article 29.</w:t>
      </w:r>
    </w:p>
    <w:p w:rsidR="00AC12B4" w:rsidRDefault="00AC12B4">
      <w:pPr>
        <w:spacing w:line="169" w:lineRule="exact"/>
        <w:rPr>
          <w:sz w:val="20"/>
          <w:szCs w:val="20"/>
        </w:rPr>
      </w:pPr>
    </w:p>
    <w:p w:rsidR="00AC12B4" w:rsidRPr="00C27636" w:rsidRDefault="00C27636">
      <w:pPr>
        <w:numPr>
          <w:ilvl w:val="0"/>
          <w:numId w:val="226"/>
        </w:numPr>
        <w:tabs>
          <w:tab w:val="left" w:pos="218"/>
        </w:tabs>
        <w:spacing w:line="218" w:lineRule="auto"/>
        <w:ind w:firstLine="8"/>
        <w:rPr>
          <w:rFonts w:ascii="Calibri" w:eastAsia="Calibri" w:hAnsi="Calibri" w:cs="Calibri"/>
          <w:i/>
          <w:iCs/>
          <w:color w:val="DAEEF3"/>
          <w:lang w:val="fr-BE"/>
        </w:rPr>
      </w:pPr>
      <w:r w:rsidRPr="00C27636">
        <w:rPr>
          <w:rFonts w:ascii="Calibri" w:eastAsia="Calibri" w:hAnsi="Calibri" w:cs="Calibri"/>
          <w:i/>
          <w:iCs/>
          <w:color w:val="DAEEF3"/>
          <w:lang w:val="fr-BE"/>
        </w:rPr>
        <w:t>Les États parties conviennent que l'éducation de l'enfant doit viser à :</w:t>
      </w:r>
    </w:p>
    <w:p w:rsidR="00AC12B4" w:rsidRPr="00C27636" w:rsidRDefault="00AC12B4">
      <w:pPr>
        <w:spacing w:line="49" w:lineRule="exact"/>
        <w:rPr>
          <w:rFonts w:ascii="Calibri" w:eastAsia="Calibri" w:hAnsi="Calibri" w:cs="Calibri"/>
          <w:i/>
          <w:iCs/>
          <w:color w:val="DAEEF3"/>
          <w:lang w:val="fr-BE"/>
        </w:rPr>
      </w:pPr>
    </w:p>
    <w:p w:rsidR="00AC12B4" w:rsidRPr="00C27636" w:rsidRDefault="00C27636">
      <w:pPr>
        <w:spacing w:line="231" w:lineRule="auto"/>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d) Préparer l'enfant à assumer les </w:t>
      </w:r>
      <w:r w:rsidRPr="00C27636">
        <w:rPr>
          <w:rFonts w:ascii="Calibri" w:eastAsia="Calibri" w:hAnsi="Calibri" w:cs="Calibri"/>
          <w:i/>
          <w:iCs/>
          <w:color w:val="DAEEF3"/>
          <w:lang w:val="fr-BE"/>
        </w:rPr>
        <w:t>responsabilités de la vie dans une société libre, dans un esprit de compréhension, de paix, de tolérance, d'égalité entre les sexes et d'amitié entre tous les peuples et groupes ethniques, nationaux et religieux, et avec les personnes d'origine autochtone.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1" w:lineRule="exact"/>
        <w:rPr>
          <w:sz w:val="20"/>
          <w:szCs w:val="20"/>
          <w:lang w:val="fr-BE"/>
        </w:rPr>
      </w:pPr>
    </w:p>
    <w:p w:rsidR="00AC12B4" w:rsidRPr="00C27636" w:rsidRDefault="00C27636">
      <w:pPr>
        <w:spacing w:line="217" w:lineRule="auto"/>
        <w:ind w:left="880" w:right="480"/>
        <w:rPr>
          <w:sz w:val="20"/>
          <w:szCs w:val="20"/>
          <w:lang w:val="fr-BE"/>
        </w:rPr>
      </w:pPr>
      <w:r w:rsidRPr="00C27636">
        <w:rPr>
          <w:rFonts w:ascii="Calibri" w:eastAsia="Calibri" w:hAnsi="Calibri" w:cs="Calibri"/>
          <w:lang w:val="fr-BE"/>
        </w:rPr>
        <w:t>Conformément aux articles 12 et 13 de l'observation générale n° 12 du Comité des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06" w:lineRule="exact"/>
        <w:rPr>
          <w:sz w:val="20"/>
          <w:szCs w:val="20"/>
          <w:lang w:val="fr-BE"/>
        </w:rPr>
      </w:pPr>
    </w:p>
    <w:p w:rsidR="00AC12B4" w:rsidRDefault="00C27636">
      <w:pPr>
        <w:spacing w:line="229" w:lineRule="auto"/>
        <w:ind w:left="140" w:right="1048"/>
        <w:jc w:val="both"/>
        <w:rPr>
          <w:sz w:val="20"/>
          <w:szCs w:val="20"/>
        </w:rPr>
      </w:pPr>
      <w:r w:rsidRPr="00C27636">
        <w:rPr>
          <w:rFonts w:ascii="Calibri" w:eastAsia="Calibri" w:hAnsi="Calibri" w:cs="Calibri"/>
          <w:lang w:val="fr-BE"/>
        </w:rPr>
        <w:t xml:space="preserve">Comme nous l’avons vu pour les indicateurs précédents, l’école est un lieu important de vie et de socialisation pour l’enfant. </w:t>
      </w:r>
      <w:r>
        <w:rPr>
          <w:rFonts w:ascii="Calibri" w:eastAsia="Calibri" w:hAnsi="Calibri" w:cs="Calibri"/>
        </w:rPr>
        <w:t>Il est donc primordial qu’il</w:t>
      </w:r>
    </w:p>
    <w:p w:rsidR="00AC12B4" w:rsidRDefault="00AC12B4">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840"/>
        <w:gridCol w:w="260"/>
        <w:gridCol w:w="860"/>
        <w:gridCol w:w="2600"/>
        <w:gridCol w:w="30"/>
      </w:tblGrid>
      <w:tr w:rsidR="00AC12B4">
        <w:trPr>
          <w:trHeight w:val="269"/>
        </w:trPr>
        <w:tc>
          <w:tcPr>
            <w:tcW w:w="840" w:type="dxa"/>
            <w:vAlign w:val="bottom"/>
          </w:tcPr>
          <w:p w:rsidR="00AC12B4" w:rsidRDefault="00C27636">
            <w:pPr>
              <w:ind w:left="140"/>
              <w:rPr>
                <w:sz w:val="20"/>
                <w:szCs w:val="20"/>
              </w:rPr>
            </w:pPr>
            <w:r>
              <w:rPr>
                <w:rFonts w:ascii="Calibri" w:eastAsia="Calibri" w:hAnsi="Calibri" w:cs="Calibri"/>
              </w:rPr>
              <w:t>puisse</w:t>
            </w:r>
          </w:p>
        </w:tc>
        <w:tc>
          <w:tcPr>
            <w:tcW w:w="260" w:type="dxa"/>
            <w:vAlign w:val="bottom"/>
          </w:tcPr>
          <w:p w:rsidR="00AC12B4" w:rsidRDefault="00AC12B4">
            <w:pPr>
              <w:rPr>
                <w:sz w:val="23"/>
                <w:szCs w:val="23"/>
              </w:rPr>
            </w:pPr>
          </w:p>
        </w:tc>
        <w:tc>
          <w:tcPr>
            <w:tcW w:w="860" w:type="dxa"/>
            <w:vAlign w:val="bottom"/>
          </w:tcPr>
          <w:p w:rsidR="00AC12B4" w:rsidRDefault="00C27636">
            <w:pPr>
              <w:ind w:right="250"/>
              <w:jc w:val="right"/>
              <w:rPr>
                <w:sz w:val="20"/>
                <w:szCs w:val="20"/>
              </w:rPr>
            </w:pPr>
            <w:r>
              <w:rPr>
                <w:rFonts w:ascii="Calibri" w:eastAsia="Calibri" w:hAnsi="Calibri" w:cs="Calibri"/>
              </w:rPr>
              <w:t>s’y</w:t>
            </w:r>
          </w:p>
        </w:tc>
        <w:tc>
          <w:tcPr>
            <w:tcW w:w="26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48"/>
        </w:trPr>
        <w:tc>
          <w:tcPr>
            <w:tcW w:w="1100" w:type="dxa"/>
            <w:gridSpan w:val="2"/>
            <w:vMerge w:val="restart"/>
            <w:vAlign w:val="bottom"/>
          </w:tcPr>
          <w:p w:rsidR="00AC12B4" w:rsidRDefault="00C27636">
            <w:pPr>
              <w:ind w:left="140"/>
              <w:rPr>
                <w:sz w:val="20"/>
                <w:szCs w:val="20"/>
              </w:rPr>
            </w:pPr>
            <w:r>
              <w:rPr>
                <w:rFonts w:ascii="Calibri" w:eastAsia="Calibri" w:hAnsi="Calibri" w:cs="Calibri"/>
              </w:rPr>
              <w:t>exprimer</w:t>
            </w:r>
          </w:p>
        </w:tc>
        <w:tc>
          <w:tcPr>
            <w:tcW w:w="860" w:type="dxa"/>
            <w:vMerge w:val="restart"/>
            <w:vAlign w:val="bottom"/>
          </w:tcPr>
          <w:p w:rsidR="00AC12B4" w:rsidRDefault="00C27636">
            <w:pPr>
              <w:ind w:right="250"/>
              <w:jc w:val="right"/>
              <w:rPr>
                <w:sz w:val="20"/>
                <w:szCs w:val="20"/>
              </w:rPr>
            </w:pPr>
            <w:r>
              <w:rPr>
                <w:rFonts w:ascii="Calibri" w:eastAsia="Calibri" w:hAnsi="Calibri" w:cs="Calibri"/>
              </w:rPr>
              <w:t>mais</w:t>
            </w:r>
          </w:p>
        </w:tc>
        <w:tc>
          <w:tcPr>
            <w:tcW w:w="2600" w:type="dxa"/>
            <w:tcBorders>
              <w:bottom w:val="single" w:sz="8" w:space="0" w:color="44ACE0"/>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1"/>
        </w:trPr>
        <w:tc>
          <w:tcPr>
            <w:tcW w:w="1100" w:type="dxa"/>
            <w:gridSpan w:val="2"/>
            <w:vMerge/>
            <w:vAlign w:val="bottom"/>
          </w:tcPr>
          <w:p w:rsidR="00AC12B4" w:rsidRDefault="00AC12B4">
            <w:pPr>
              <w:rPr>
                <w:sz w:val="17"/>
                <w:szCs w:val="17"/>
              </w:rPr>
            </w:pPr>
          </w:p>
        </w:tc>
        <w:tc>
          <w:tcPr>
            <w:tcW w:w="860" w:type="dxa"/>
            <w:vMerge/>
            <w:vAlign w:val="bottom"/>
          </w:tcPr>
          <w:p w:rsidR="00AC12B4" w:rsidRDefault="00AC12B4">
            <w:pPr>
              <w:rPr>
                <w:sz w:val="17"/>
                <w:szCs w:val="17"/>
              </w:rPr>
            </w:pPr>
          </w:p>
        </w:tc>
        <w:tc>
          <w:tcPr>
            <w:tcW w:w="2600" w:type="dxa"/>
            <w:tcBorders>
              <w:left w:val="single" w:sz="8" w:space="0" w:color="44ACE0"/>
              <w:right w:val="single" w:sz="8" w:space="0" w:color="44ACE0"/>
            </w:tcBorders>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269"/>
        </w:trPr>
        <w:tc>
          <w:tcPr>
            <w:tcW w:w="840" w:type="dxa"/>
            <w:vAlign w:val="bottom"/>
          </w:tcPr>
          <w:p w:rsidR="00AC12B4" w:rsidRDefault="00C27636">
            <w:pPr>
              <w:ind w:left="140"/>
              <w:rPr>
                <w:sz w:val="20"/>
                <w:szCs w:val="20"/>
              </w:rPr>
            </w:pPr>
            <w:r>
              <w:rPr>
                <w:rFonts w:ascii="Calibri" w:eastAsia="Calibri" w:hAnsi="Calibri" w:cs="Calibri"/>
              </w:rPr>
              <w:t>surtout</w:t>
            </w:r>
          </w:p>
        </w:tc>
        <w:tc>
          <w:tcPr>
            <w:tcW w:w="1120" w:type="dxa"/>
            <w:gridSpan w:val="2"/>
            <w:vAlign w:val="bottom"/>
          </w:tcPr>
          <w:p w:rsidR="00AC12B4" w:rsidRDefault="00C27636">
            <w:pPr>
              <w:ind w:right="270"/>
              <w:jc w:val="right"/>
              <w:rPr>
                <w:sz w:val="20"/>
                <w:szCs w:val="20"/>
              </w:rPr>
            </w:pPr>
            <w:r>
              <w:rPr>
                <w:rFonts w:ascii="Calibri" w:eastAsia="Calibri" w:hAnsi="Calibri" w:cs="Calibri"/>
              </w:rPr>
              <w:t>qu’il se</w:t>
            </w:r>
          </w:p>
        </w:tc>
        <w:tc>
          <w:tcPr>
            <w:tcW w:w="2600" w:type="dxa"/>
            <w:vMerge w:val="restart"/>
            <w:tcBorders>
              <w:left w:val="single" w:sz="8" w:space="0" w:color="44ACE0"/>
              <w:right w:val="single" w:sz="8" w:space="0" w:color="44ACE0"/>
            </w:tcBorders>
            <w:vAlign w:val="bottom"/>
          </w:tcPr>
          <w:p w:rsidR="00AC12B4" w:rsidRDefault="00C27636">
            <w:pPr>
              <w:ind w:right="125"/>
              <w:jc w:val="right"/>
              <w:rPr>
                <w:sz w:val="20"/>
                <w:szCs w:val="20"/>
              </w:rPr>
            </w:pPr>
            <w:r>
              <w:rPr>
                <w:rFonts w:ascii="Comic Sans MS" w:eastAsia="Comic Sans MS" w:hAnsi="Comic Sans MS" w:cs="Comic Sans MS"/>
                <w:color w:val="8BCCEC"/>
                <w:sz w:val="96"/>
                <w:szCs w:val="96"/>
              </w:rPr>
              <w:t>74%</w:t>
            </w:r>
          </w:p>
        </w:tc>
        <w:tc>
          <w:tcPr>
            <w:tcW w:w="0" w:type="dxa"/>
            <w:vAlign w:val="bottom"/>
          </w:tcPr>
          <w:p w:rsidR="00AC12B4" w:rsidRDefault="00AC12B4">
            <w:pPr>
              <w:rPr>
                <w:sz w:val="1"/>
                <w:szCs w:val="1"/>
              </w:rPr>
            </w:pPr>
          </w:p>
        </w:tc>
      </w:tr>
      <w:tr w:rsidR="00AC12B4">
        <w:trPr>
          <w:trHeight w:val="269"/>
        </w:trPr>
        <w:tc>
          <w:tcPr>
            <w:tcW w:w="1960" w:type="dxa"/>
            <w:gridSpan w:val="3"/>
            <w:vAlign w:val="bottom"/>
          </w:tcPr>
          <w:p w:rsidR="00AC12B4" w:rsidRDefault="00C27636">
            <w:pPr>
              <w:ind w:left="140"/>
              <w:rPr>
                <w:sz w:val="20"/>
                <w:szCs w:val="20"/>
              </w:rPr>
            </w:pPr>
            <w:r>
              <w:rPr>
                <w:rFonts w:ascii="Calibri" w:eastAsia="Calibri" w:hAnsi="Calibri" w:cs="Calibri"/>
              </w:rPr>
              <w:t>sente écouté.</w:t>
            </w:r>
          </w:p>
        </w:tc>
        <w:tc>
          <w:tcPr>
            <w:tcW w:w="2600" w:type="dxa"/>
            <w:vMerge/>
            <w:tcBorders>
              <w:left w:val="single" w:sz="8" w:space="0" w:color="44ACE0"/>
              <w:right w:val="single" w:sz="8" w:space="0" w:color="44ACE0"/>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86"/>
        </w:trPr>
        <w:tc>
          <w:tcPr>
            <w:tcW w:w="1100" w:type="dxa"/>
            <w:gridSpan w:val="2"/>
            <w:vAlign w:val="bottom"/>
          </w:tcPr>
          <w:p w:rsidR="00AC12B4" w:rsidRDefault="00C27636">
            <w:pPr>
              <w:ind w:left="140"/>
              <w:rPr>
                <w:sz w:val="20"/>
                <w:szCs w:val="20"/>
              </w:rPr>
            </w:pPr>
            <w:r>
              <w:rPr>
                <w:rFonts w:ascii="Calibri" w:eastAsia="Calibri" w:hAnsi="Calibri" w:cs="Calibri"/>
              </w:rPr>
              <w:t>L’enquête</w:t>
            </w:r>
          </w:p>
        </w:tc>
        <w:tc>
          <w:tcPr>
            <w:tcW w:w="860" w:type="dxa"/>
            <w:vAlign w:val="bottom"/>
          </w:tcPr>
          <w:p w:rsidR="00AC12B4" w:rsidRDefault="00AC12B4">
            <w:pPr>
              <w:rPr>
                <w:sz w:val="24"/>
                <w:szCs w:val="24"/>
              </w:rPr>
            </w:pPr>
          </w:p>
        </w:tc>
        <w:tc>
          <w:tcPr>
            <w:tcW w:w="2600" w:type="dxa"/>
            <w:vMerge/>
            <w:tcBorders>
              <w:left w:val="single" w:sz="8" w:space="0" w:color="44ACE0"/>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1960" w:type="dxa"/>
            <w:gridSpan w:val="3"/>
            <w:vAlign w:val="bottom"/>
          </w:tcPr>
          <w:p w:rsidR="00AC12B4" w:rsidRDefault="00C27636">
            <w:pPr>
              <w:ind w:left="140"/>
              <w:rPr>
                <w:sz w:val="20"/>
                <w:szCs w:val="20"/>
              </w:rPr>
            </w:pPr>
            <w:r>
              <w:rPr>
                <w:rFonts w:ascii="Calibri" w:eastAsia="Calibri" w:hAnsi="Calibri" w:cs="Calibri"/>
              </w:rPr>
              <w:t>internationale</w:t>
            </w:r>
          </w:p>
        </w:tc>
        <w:tc>
          <w:tcPr>
            <w:tcW w:w="2600" w:type="dxa"/>
            <w:vMerge/>
            <w:tcBorders>
              <w:left w:val="single" w:sz="8" w:space="0" w:color="44ACE0"/>
              <w:right w:val="single" w:sz="8" w:space="0" w:color="44ACE0"/>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9"/>
        </w:trPr>
        <w:tc>
          <w:tcPr>
            <w:tcW w:w="1960" w:type="dxa"/>
            <w:gridSpan w:val="3"/>
            <w:vAlign w:val="bottom"/>
          </w:tcPr>
          <w:p w:rsidR="00AC12B4" w:rsidRDefault="00C27636">
            <w:pPr>
              <w:ind w:left="140"/>
              <w:rPr>
                <w:sz w:val="20"/>
                <w:szCs w:val="20"/>
              </w:rPr>
            </w:pPr>
            <w:r>
              <w:rPr>
                <w:rFonts w:ascii="Calibri" w:eastAsia="Calibri" w:hAnsi="Calibri" w:cs="Calibri"/>
              </w:rPr>
              <w:t>PISA se penche</w:t>
            </w:r>
          </w:p>
        </w:tc>
        <w:tc>
          <w:tcPr>
            <w:tcW w:w="2600" w:type="dxa"/>
            <w:vMerge/>
            <w:tcBorders>
              <w:left w:val="single" w:sz="8" w:space="0" w:color="44ACE0"/>
              <w:right w:val="single" w:sz="8" w:space="0" w:color="44ACE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69"/>
        </w:trPr>
        <w:tc>
          <w:tcPr>
            <w:tcW w:w="840" w:type="dxa"/>
            <w:vAlign w:val="bottom"/>
          </w:tcPr>
          <w:p w:rsidR="00AC12B4" w:rsidRDefault="00C27636">
            <w:pPr>
              <w:spacing w:line="220" w:lineRule="exact"/>
              <w:ind w:left="140"/>
              <w:rPr>
                <w:sz w:val="20"/>
                <w:szCs w:val="20"/>
              </w:rPr>
            </w:pPr>
            <w:r>
              <w:rPr>
                <w:rFonts w:ascii="Calibri" w:eastAsia="Calibri" w:hAnsi="Calibri" w:cs="Calibri"/>
              </w:rPr>
              <w:t>sur</w:t>
            </w:r>
          </w:p>
        </w:tc>
        <w:tc>
          <w:tcPr>
            <w:tcW w:w="260" w:type="dxa"/>
            <w:vAlign w:val="bottom"/>
          </w:tcPr>
          <w:p w:rsidR="00AC12B4" w:rsidRDefault="00AC12B4">
            <w:pPr>
              <w:rPr>
                <w:sz w:val="23"/>
                <w:szCs w:val="23"/>
              </w:rPr>
            </w:pPr>
          </w:p>
        </w:tc>
        <w:tc>
          <w:tcPr>
            <w:tcW w:w="860" w:type="dxa"/>
            <w:vAlign w:val="bottom"/>
          </w:tcPr>
          <w:p w:rsidR="00AC12B4" w:rsidRDefault="00C27636">
            <w:pPr>
              <w:spacing w:line="220" w:lineRule="exact"/>
              <w:ind w:right="270"/>
              <w:jc w:val="right"/>
              <w:rPr>
                <w:sz w:val="20"/>
                <w:szCs w:val="20"/>
              </w:rPr>
            </w:pPr>
            <w:r>
              <w:rPr>
                <w:rFonts w:ascii="Calibri" w:eastAsia="Calibri" w:hAnsi="Calibri" w:cs="Calibri"/>
                <w:w w:val="99"/>
              </w:rPr>
              <w:t>cette</w:t>
            </w:r>
          </w:p>
        </w:tc>
        <w:tc>
          <w:tcPr>
            <w:tcW w:w="2600" w:type="dxa"/>
            <w:tcBorders>
              <w:left w:val="single" w:sz="8" w:space="0" w:color="44ACE0"/>
              <w:right w:val="single" w:sz="8" w:space="0" w:color="44ACE0"/>
            </w:tcBorders>
            <w:vAlign w:val="bottom"/>
          </w:tcPr>
          <w:p w:rsidR="00AC12B4" w:rsidRPr="00C27636" w:rsidRDefault="00C27636">
            <w:pPr>
              <w:spacing w:line="269" w:lineRule="exact"/>
              <w:ind w:left="200"/>
              <w:rPr>
                <w:sz w:val="20"/>
                <w:szCs w:val="20"/>
                <w:lang w:val="fr-BE"/>
              </w:rPr>
            </w:pPr>
            <w:r w:rsidRPr="00C27636">
              <w:rPr>
                <w:rFonts w:ascii="Comic Sans MS" w:eastAsia="Comic Sans MS" w:hAnsi="Comic Sans MS" w:cs="Comic Sans MS"/>
                <w:color w:val="0D0D0D"/>
                <w:sz w:val="20"/>
                <w:szCs w:val="20"/>
                <w:lang w:val="fr-BE"/>
              </w:rPr>
              <w:t>Des élèves de 15 ans se</w:t>
            </w:r>
          </w:p>
        </w:tc>
        <w:tc>
          <w:tcPr>
            <w:tcW w:w="0" w:type="dxa"/>
            <w:vAlign w:val="bottom"/>
          </w:tcPr>
          <w:p w:rsidR="00AC12B4" w:rsidRPr="00C27636" w:rsidRDefault="00AC12B4">
            <w:pPr>
              <w:rPr>
                <w:sz w:val="1"/>
                <w:szCs w:val="1"/>
                <w:lang w:val="fr-BE"/>
              </w:rPr>
            </w:pPr>
          </w:p>
        </w:tc>
      </w:tr>
      <w:tr w:rsidR="00AC12B4">
        <w:trPr>
          <w:trHeight w:val="269"/>
        </w:trPr>
        <w:tc>
          <w:tcPr>
            <w:tcW w:w="1960" w:type="dxa"/>
            <w:gridSpan w:val="3"/>
            <w:vAlign w:val="bottom"/>
          </w:tcPr>
          <w:p w:rsidR="00AC12B4" w:rsidRDefault="00C27636">
            <w:pPr>
              <w:spacing w:line="220" w:lineRule="exact"/>
              <w:ind w:left="140"/>
              <w:rPr>
                <w:sz w:val="20"/>
                <w:szCs w:val="20"/>
              </w:rPr>
            </w:pPr>
            <w:r>
              <w:rPr>
                <w:rFonts w:ascii="Calibri" w:eastAsia="Calibri" w:hAnsi="Calibri" w:cs="Calibri"/>
              </w:rPr>
              <w:t>question. Ainsi,</w:t>
            </w:r>
          </w:p>
        </w:tc>
        <w:tc>
          <w:tcPr>
            <w:tcW w:w="2600" w:type="dxa"/>
            <w:tcBorders>
              <w:left w:val="single" w:sz="8" w:space="0" w:color="44ACE0"/>
              <w:right w:val="single" w:sz="8" w:space="0" w:color="44ACE0"/>
            </w:tcBorders>
            <w:vAlign w:val="bottom"/>
          </w:tcPr>
          <w:p w:rsidR="00AC12B4" w:rsidRDefault="00C27636">
            <w:pPr>
              <w:spacing w:line="269" w:lineRule="exact"/>
              <w:ind w:left="200"/>
              <w:rPr>
                <w:sz w:val="20"/>
                <w:szCs w:val="20"/>
              </w:rPr>
            </w:pPr>
            <w:r>
              <w:rPr>
                <w:rFonts w:ascii="Comic Sans MS" w:eastAsia="Comic Sans MS" w:hAnsi="Comic Sans MS" w:cs="Comic Sans MS"/>
                <w:color w:val="0D0D0D"/>
                <w:sz w:val="20"/>
                <w:szCs w:val="20"/>
              </w:rPr>
              <w:t>sentent   écoutés   par</w:t>
            </w:r>
          </w:p>
        </w:tc>
        <w:tc>
          <w:tcPr>
            <w:tcW w:w="0" w:type="dxa"/>
            <w:vAlign w:val="bottom"/>
          </w:tcPr>
          <w:p w:rsidR="00AC12B4" w:rsidRDefault="00AC12B4">
            <w:pPr>
              <w:rPr>
                <w:sz w:val="1"/>
                <w:szCs w:val="1"/>
              </w:rPr>
            </w:pPr>
          </w:p>
        </w:tc>
      </w:tr>
      <w:tr w:rsidR="00AC12B4">
        <w:trPr>
          <w:trHeight w:val="269"/>
        </w:trPr>
        <w:tc>
          <w:tcPr>
            <w:tcW w:w="1960" w:type="dxa"/>
            <w:gridSpan w:val="3"/>
            <w:vAlign w:val="bottom"/>
          </w:tcPr>
          <w:p w:rsidR="00AC12B4" w:rsidRDefault="00C27636">
            <w:pPr>
              <w:spacing w:line="220" w:lineRule="exact"/>
              <w:ind w:left="140"/>
              <w:rPr>
                <w:sz w:val="20"/>
                <w:szCs w:val="20"/>
              </w:rPr>
            </w:pPr>
            <w:r>
              <w:rPr>
                <w:rFonts w:ascii="Calibri" w:eastAsia="Calibri" w:hAnsi="Calibri" w:cs="Calibri"/>
              </w:rPr>
              <w:t>74% des élèves</w:t>
            </w:r>
          </w:p>
        </w:tc>
        <w:tc>
          <w:tcPr>
            <w:tcW w:w="2600" w:type="dxa"/>
            <w:tcBorders>
              <w:left w:val="single" w:sz="8" w:space="0" w:color="44ACE0"/>
              <w:right w:val="single" w:sz="8" w:space="0" w:color="44ACE0"/>
            </w:tcBorders>
            <w:vAlign w:val="bottom"/>
          </w:tcPr>
          <w:p w:rsidR="00AC12B4" w:rsidRDefault="00C27636">
            <w:pPr>
              <w:spacing w:line="269" w:lineRule="exact"/>
              <w:ind w:left="200"/>
              <w:rPr>
                <w:sz w:val="20"/>
                <w:szCs w:val="20"/>
              </w:rPr>
            </w:pPr>
            <w:r>
              <w:rPr>
                <w:rFonts w:ascii="Comic Sans MS" w:eastAsia="Comic Sans MS" w:hAnsi="Comic Sans MS" w:cs="Comic Sans MS"/>
                <w:color w:val="0D0D0D"/>
                <w:sz w:val="20"/>
                <w:szCs w:val="20"/>
              </w:rPr>
              <w:t>leurs professeurs.</w:t>
            </w:r>
          </w:p>
        </w:tc>
        <w:tc>
          <w:tcPr>
            <w:tcW w:w="0" w:type="dxa"/>
            <w:vAlign w:val="bottom"/>
          </w:tcPr>
          <w:p w:rsidR="00AC12B4" w:rsidRDefault="00AC12B4">
            <w:pPr>
              <w:rPr>
                <w:sz w:val="1"/>
                <w:szCs w:val="1"/>
              </w:rPr>
            </w:pPr>
          </w:p>
        </w:tc>
      </w:tr>
      <w:tr w:rsidR="00AC12B4">
        <w:trPr>
          <w:trHeight w:val="220"/>
        </w:trPr>
        <w:tc>
          <w:tcPr>
            <w:tcW w:w="1100" w:type="dxa"/>
            <w:gridSpan w:val="2"/>
            <w:vAlign w:val="bottom"/>
          </w:tcPr>
          <w:p w:rsidR="00AC12B4" w:rsidRDefault="00C27636">
            <w:pPr>
              <w:spacing w:line="220" w:lineRule="exact"/>
              <w:ind w:left="140"/>
              <w:rPr>
                <w:sz w:val="20"/>
                <w:szCs w:val="20"/>
              </w:rPr>
            </w:pPr>
            <w:r>
              <w:rPr>
                <w:rFonts w:ascii="Calibri" w:eastAsia="Calibri" w:hAnsi="Calibri" w:cs="Calibri"/>
              </w:rPr>
              <w:t>interrogés</w:t>
            </w:r>
          </w:p>
        </w:tc>
        <w:tc>
          <w:tcPr>
            <w:tcW w:w="860" w:type="dxa"/>
            <w:vAlign w:val="bottom"/>
          </w:tcPr>
          <w:p w:rsidR="00AC12B4" w:rsidRDefault="00C27636">
            <w:pPr>
              <w:spacing w:line="220" w:lineRule="exact"/>
              <w:ind w:right="270"/>
              <w:jc w:val="right"/>
              <w:rPr>
                <w:sz w:val="20"/>
                <w:szCs w:val="20"/>
              </w:rPr>
            </w:pPr>
            <w:r>
              <w:rPr>
                <w:rFonts w:ascii="Calibri" w:eastAsia="Calibri" w:hAnsi="Calibri" w:cs="Calibri"/>
              </w:rPr>
              <w:t>se</w:t>
            </w:r>
          </w:p>
        </w:tc>
        <w:tc>
          <w:tcPr>
            <w:tcW w:w="2600" w:type="dxa"/>
            <w:tcBorders>
              <w:left w:val="single" w:sz="8" w:space="0" w:color="44ACE0"/>
              <w:right w:val="single" w:sz="8" w:space="0" w:color="44ACE0"/>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54"/>
        </w:trPr>
        <w:tc>
          <w:tcPr>
            <w:tcW w:w="840" w:type="dxa"/>
            <w:vAlign w:val="bottom"/>
          </w:tcPr>
          <w:p w:rsidR="00AC12B4" w:rsidRDefault="00C27636">
            <w:pPr>
              <w:spacing w:line="234" w:lineRule="exact"/>
              <w:rPr>
                <w:sz w:val="20"/>
                <w:szCs w:val="20"/>
              </w:rPr>
            </w:pPr>
            <w:r>
              <w:rPr>
                <w:rFonts w:ascii="Calibri" w:eastAsia="Calibri" w:hAnsi="Calibri" w:cs="Calibri"/>
              </w:rPr>
              <w:t>sentent</w:t>
            </w:r>
          </w:p>
        </w:tc>
        <w:tc>
          <w:tcPr>
            <w:tcW w:w="1120" w:type="dxa"/>
            <w:gridSpan w:val="2"/>
            <w:vAlign w:val="bottom"/>
          </w:tcPr>
          <w:p w:rsidR="00AC12B4" w:rsidRDefault="00C27636">
            <w:pPr>
              <w:spacing w:line="234" w:lineRule="exact"/>
              <w:ind w:right="270"/>
              <w:jc w:val="right"/>
              <w:rPr>
                <w:sz w:val="20"/>
                <w:szCs w:val="20"/>
              </w:rPr>
            </w:pPr>
            <w:r>
              <w:rPr>
                <w:rFonts w:ascii="Calibri" w:eastAsia="Calibri" w:hAnsi="Calibri" w:cs="Calibri"/>
              </w:rPr>
              <w:t>écoutés</w:t>
            </w:r>
          </w:p>
        </w:tc>
        <w:tc>
          <w:tcPr>
            <w:tcW w:w="2600" w:type="dxa"/>
            <w:tcBorders>
              <w:left w:val="single" w:sz="8" w:space="0" w:color="44ACE0"/>
              <w:bottom w:val="single" w:sz="8" w:space="0" w:color="44ACE0"/>
              <w:right w:val="single" w:sz="8" w:space="0" w:color="44ACE0"/>
            </w:tcBorders>
            <w:vAlign w:val="bottom"/>
          </w:tcPr>
          <w:p w:rsidR="00AC12B4" w:rsidRDefault="00AC12B4"/>
        </w:tc>
        <w:tc>
          <w:tcPr>
            <w:tcW w:w="0" w:type="dxa"/>
            <w:vAlign w:val="bottom"/>
          </w:tcPr>
          <w:p w:rsidR="00AC12B4" w:rsidRDefault="00AC12B4">
            <w:pPr>
              <w:rPr>
                <w:sz w:val="1"/>
                <w:szCs w:val="1"/>
              </w:rPr>
            </w:pPr>
          </w:p>
        </w:tc>
      </w:tr>
    </w:tbl>
    <w:p w:rsidR="00AC12B4" w:rsidRDefault="00C27636">
      <w:pPr>
        <w:spacing w:line="235" w:lineRule="auto"/>
        <w:rPr>
          <w:sz w:val="20"/>
          <w:szCs w:val="20"/>
        </w:rPr>
      </w:pPr>
      <w:r>
        <w:rPr>
          <w:rFonts w:ascii="Calibri" w:eastAsia="Calibri" w:hAnsi="Calibri" w:cs="Calibri"/>
        </w:rPr>
        <w:t>par leurs professeurs.</w:t>
      </w:r>
    </w:p>
    <w:p w:rsidR="00AC12B4" w:rsidRDefault="00AC12B4">
      <w:pPr>
        <w:spacing w:line="200" w:lineRule="exact"/>
        <w:rPr>
          <w:sz w:val="20"/>
          <w:szCs w:val="20"/>
        </w:rPr>
      </w:pPr>
    </w:p>
    <w:p w:rsidR="00AC12B4" w:rsidRDefault="00AC12B4">
      <w:pPr>
        <w:sectPr w:rsidR="00AC12B4">
          <w:type w:val="continuous"/>
          <w:pgSz w:w="12080" w:h="17179"/>
          <w:pgMar w:top="1440" w:right="569" w:bottom="659" w:left="1120" w:header="0" w:footer="0" w:gutter="0"/>
          <w:cols w:num="2" w:space="720" w:equalWidth="0">
            <w:col w:w="5240" w:space="240"/>
            <w:col w:w="4908"/>
          </w:cols>
        </w:sectPr>
      </w:pPr>
    </w:p>
    <w:p w:rsidR="00AC12B4" w:rsidRDefault="00AC12B4">
      <w:pPr>
        <w:spacing w:line="205" w:lineRule="exact"/>
        <w:rPr>
          <w:sz w:val="20"/>
          <w:szCs w:val="20"/>
        </w:rPr>
      </w:pPr>
    </w:p>
    <w:p w:rsidR="00AC12B4" w:rsidRPr="00C27636" w:rsidRDefault="00C27636">
      <w:pPr>
        <w:ind w:right="160"/>
        <w:jc w:val="center"/>
        <w:rPr>
          <w:sz w:val="20"/>
          <w:szCs w:val="20"/>
          <w:lang w:val="fr-BE"/>
        </w:rPr>
      </w:pPr>
      <w:r w:rsidRPr="00C27636">
        <w:rPr>
          <w:rFonts w:ascii="Calibri" w:eastAsia="Calibri" w:hAnsi="Calibri" w:cs="Calibri"/>
          <w:b/>
          <w:bCs/>
          <w:sz w:val="18"/>
          <w:szCs w:val="18"/>
          <w:lang w:val="fr-BE"/>
        </w:rPr>
        <w:t>"La plupart de mes professeurs sont</w:t>
      </w:r>
    </w:p>
    <w:p w:rsidR="00AC12B4" w:rsidRPr="00C27636" w:rsidRDefault="00AC12B4">
      <w:pPr>
        <w:spacing w:line="1" w:lineRule="exact"/>
        <w:rPr>
          <w:sz w:val="20"/>
          <w:szCs w:val="20"/>
          <w:lang w:val="fr-BE"/>
        </w:rPr>
      </w:pPr>
    </w:p>
    <w:p w:rsidR="00AC12B4" w:rsidRPr="00C27636" w:rsidRDefault="00C27636">
      <w:pPr>
        <w:ind w:right="160"/>
        <w:jc w:val="center"/>
        <w:rPr>
          <w:sz w:val="20"/>
          <w:szCs w:val="20"/>
          <w:lang w:val="fr-BE"/>
        </w:rPr>
      </w:pPr>
      <w:r w:rsidRPr="00C27636">
        <w:rPr>
          <w:rFonts w:ascii="Calibri" w:eastAsia="Calibri" w:hAnsi="Calibri" w:cs="Calibri"/>
          <w:b/>
          <w:bCs/>
          <w:sz w:val="18"/>
          <w:szCs w:val="18"/>
          <w:lang w:val="fr-BE"/>
        </w:rPr>
        <w:t>réellement à l’écoute de ce que j’ai à dire "</w:t>
      </w:r>
    </w:p>
    <w:p w:rsidR="00AC12B4" w:rsidRPr="00C27636" w:rsidRDefault="00AC12B4">
      <w:pPr>
        <w:spacing w:line="200" w:lineRule="exact"/>
        <w:rPr>
          <w:sz w:val="20"/>
          <w:szCs w:val="20"/>
          <w:lang w:val="fr-BE"/>
        </w:rPr>
      </w:pPr>
    </w:p>
    <w:p w:rsidR="00AC12B4" w:rsidRPr="00C27636" w:rsidRDefault="00AC12B4">
      <w:pPr>
        <w:spacing w:line="222" w:lineRule="exact"/>
        <w:rPr>
          <w:sz w:val="20"/>
          <w:szCs w:val="20"/>
          <w:lang w:val="fr-BE"/>
        </w:rPr>
      </w:pPr>
    </w:p>
    <w:p w:rsidR="00AC12B4" w:rsidRPr="00C27636" w:rsidRDefault="00C27636">
      <w:pPr>
        <w:ind w:left="320"/>
        <w:rPr>
          <w:sz w:val="20"/>
          <w:szCs w:val="20"/>
          <w:lang w:val="fr-BE"/>
        </w:rPr>
      </w:pPr>
      <w:r w:rsidRPr="00C27636">
        <w:rPr>
          <w:rFonts w:ascii="Calibri" w:eastAsia="Calibri" w:hAnsi="Calibri" w:cs="Calibri"/>
          <w:sz w:val="20"/>
          <w:szCs w:val="20"/>
          <w:lang w:val="fr-BE"/>
        </w:rPr>
        <w:t>80%</w:t>
      </w:r>
    </w:p>
    <w:p w:rsidR="00AC12B4" w:rsidRPr="00C27636" w:rsidRDefault="00AC12B4">
      <w:pPr>
        <w:spacing w:line="231" w:lineRule="exact"/>
        <w:rPr>
          <w:sz w:val="20"/>
          <w:szCs w:val="20"/>
          <w:lang w:val="fr-BE"/>
        </w:rPr>
      </w:pPr>
    </w:p>
    <w:p w:rsidR="00AC12B4" w:rsidRPr="00C27636" w:rsidRDefault="00C27636">
      <w:pPr>
        <w:ind w:left="320"/>
        <w:rPr>
          <w:sz w:val="20"/>
          <w:szCs w:val="20"/>
          <w:lang w:val="fr-BE"/>
        </w:rPr>
      </w:pPr>
      <w:r w:rsidRPr="00C27636">
        <w:rPr>
          <w:rFonts w:ascii="Calibri" w:eastAsia="Calibri" w:hAnsi="Calibri" w:cs="Calibri"/>
          <w:sz w:val="20"/>
          <w:szCs w:val="20"/>
          <w:lang w:val="fr-BE"/>
        </w:rPr>
        <w:t>70%</w:t>
      </w:r>
    </w:p>
    <w:p w:rsidR="00AC12B4" w:rsidRPr="00C27636" w:rsidRDefault="00AC12B4">
      <w:pPr>
        <w:spacing w:line="231" w:lineRule="exact"/>
        <w:rPr>
          <w:sz w:val="20"/>
          <w:szCs w:val="20"/>
          <w:lang w:val="fr-BE"/>
        </w:rPr>
      </w:pPr>
    </w:p>
    <w:p w:rsidR="00AC12B4" w:rsidRPr="00C27636" w:rsidRDefault="00C27636">
      <w:pPr>
        <w:ind w:left="320"/>
        <w:rPr>
          <w:sz w:val="20"/>
          <w:szCs w:val="20"/>
          <w:lang w:val="fr-BE"/>
        </w:rPr>
      </w:pPr>
      <w:r w:rsidRPr="00C27636">
        <w:rPr>
          <w:rFonts w:ascii="Calibri" w:eastAsia="Calibri" w:hAnsi="Calibri" w:cs="Calibri"/>
          <w:sz w:val="20"/>
          <w:szCs w:val="20"/>
          <w:lang w:val="fr-BE"/>
        </w:rPr>
        <w:t>60%</w:t>
      </w:r>
    </w:p>
    <w:p w:rsidR="00AC12B4" w:rsidRPr="00C27636" w:rsidRDefault="00AC12B4">
      <w:pPr>
        <w:spacing w:line="232" w:lineRule="exact"/>
        <w:rPr>
          <w:sz w:val="20"/>
          <w:szCs w:val="20"/>
          <w:lang w:val="fr-BE"/>
        </w:rPr>
      </w:pPr>
    </w:p>
    <w:p w:rsidR="00AC12B4" w:rsidRPr="00C27636" w:rsidRDefault="00C27636">
      <w:pPr>
        <w:ind w:left="320"/>
        <w:rPr>
          <w:sz w:val="20"/>
          <w:szCs w:val="20"/>
          <w:lang w:val="fr-BE"/>
        </w:rPr>
      </w:pPr>
      <w:r w:rsidRPr="00C27636">
        <w:rPr>
          <w:rFonts w:ascii="Calibri" w:eastAsia="Calibri" w:hAnsi="Calibri" w:cs="Calibri"/>
          <w:sz w:val="20"/>
          <w:szCs w:val="20"/>
          <w:lang w:val="fr-BE"/>
        </w:rPr>
        <w:lastRenderedPageBreak/>
        <w:t>50%</w:t>
      </w:r>
    </w:p>
    <w:p w:rsidR="00AC12B4" w:rsidRPr="00C27636" w:rsidRDefault="00AC12B4">
      <w:pPr>
        <w:spacing w:line="62" w:lineRule="exact"/>
        <w:rPr>
          <w:sz w:val="20"/>
          <w:szCs w:val="20"/>
          <w:lang w:val="fr-BE"/>
        </w:rPr>
      </w:pPr>
    </w:p>
    <w:p w:rsidR="00AC12B4" w:rsidRPr="00C27636" w:rsidRDefault="00C27636">
      <w:pPr>
        <w:spacing w:line="203" w:lineRule="auto"/>
        <w:ind w:left="1160" w:right="840" w:firstLine="198"/>
        <w:rPr>
          <w:sz w:val="20"/>
          <w:szCs w:val="20"/>
          <w:lang w:val="fr-BE"/>
        </w:rPr>
      </w:pPr>
      <w:r w:rsidRPr="00C27636">
        <w:rPr>
          <w:rFonts w:ascii="Calibri" w:eastAsia="Calibri" w:hAnsi="Calibri" w:cs="Calibri"/>
          <w:sz w:val="20"/>
          <w:szCs w:val="20"/>
          <w:lang w:val="fr-BE"/>
        </w:rPr>
        <w:t xml:space="preserve">Tout à fait d'accord ou d'accord </w:t>
      </w:r>
      <w:r>
        <w:rPr>
          <w:noProof/>
          <w:sz w:val="1"/>
          <w:szCs w:val="1"/>
        </w:rPr>
        <w:drawing>
          <wp:inline distT="0" distB="0" distL="0" distR="0">
            <wp:extent cx="69850" cy="6985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15">
                      <a:extLst/>
                    </a:blip>
                    <a:srcRect/>
                    <a:stretch>
                      <a:fillRect/>
                    </a:stretch>
                  </pic:blipFill>
                  <pic:spPr bwMode="auto">
                    <a:xfrm>
                      <a:off x="0" y="0"/>
                      <a:ext cx="69850" cy="69850"/>
                    </a:xfrm>
                    <a:prstGeom prst="rect">
                      <a:avLst/>
                    </a:prstGeom>
                    <a:noFill/>
                    <a:ln>
                      <a:noFill/>
                    </a:ln>
                  </pic:spPr>
                </pic:pic>
              </a:graphicData>
            </a:graphic>
          </wp:inline>
        </w:drawing>
      </w:r>
      <w:r w:rsidRPr="00C27636">
        <w:rPr>
          <w:rFonts w:ascii="Calibri" w:eastAsia="Calibri" w:hAnsi="Calibri" w:cs="Calibri"/>
          <w:sz w:val="20"/>
          <w:szCs w:val="20"/>
          <w:lang w:val="fr-BE"/>
        </w:rPr>
        <w:t xml:space="preserve"> Belgique</w:t>
      </w:r>
    </w:p>
    <w:p w:rsidR="00AC12B4" w:rsidRPr="00C27636" w:rsidRDefault="00C27636">
      <w:pPr>
        <w:spacing w:line="225" w:lineRule="auto"/>
        <w:ind w:left="1160"/>
        <w:rPr>
          <w:sz w:val="20"/>
          <w:szCs w:val="20"/>
          <w:lang w:val="fr-BE"/>
        </w:rPr>
      </w:pPr>
      <w:r>
        <w:rPr>
          <w:noProof/>
          <w:sz w:val="1"/>
          <w:szCs w:val="1"/>
        </w:rPr>
        <w:drawing>
          <wp:inline distT="0" distB="0" distL="0" distR="0">
            <wp:extent cx="69850" cy="6858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16">
                      <a:extLst/>
                    </a:blip>
                    <a:srcRect/>
                    <a:stretch>
                      <a:fillRect/>
                    </a:stretch>
                  </pic:blipFill>
                  <pic:spPr bwMode="auto">
                    <a:xfrm>
                      <a:off x="0" y="0"/>
                      <a:ext cx="69850" cy="68580"/>
                    </a:xfrm>
                    <a:prstGeom prst="rect">
                      <a:avLst/>
                    </a:prstGeom>
                    <a:noFill/>
                    <a:ln>
                      <a:noFill/>
                    </a:ln>
                  </pic:spPr>
                </pic:pic>
              </a:graphicData>
            </a:graphic>
          </wp:inline>
        </w:drawing>
      </w:r>
      <w:r w:rsidRPr="00C27636">
        <w:rPr>
          <w:rFonts w:ascii="Calibri" w:eastAsia="Calibri" w:hAnsi="Calibri" w:cs="Calibri"/>
          <w:sz w:val="20"/>
          <w:szCs w:val="20"/>
          <w:lang w:val="fr-BE"/>
        </w:rPr>
        <w:t xml:space="preserve"> Communauté flamande</w:t>
      </w:r>
    </w:p>
    <w:p w:rsidR="00AC12B4" w:rsidRPr="00C27636" w:rsidRDefault="00C27636">
      <w:pPr>
        <w:spacing w:line="226" w:lineRule="auto"/>
        <w:ind w:left="1160"/>
        <w:rPr>
          <w:sz w:val="20"/>
          <w:szCs w:val="20"/>
          <w:lang w:val="fr-BE"/>
        </w:rPr>
      </w:pPr>
      <w:r>
        <w:rPr>
          <w:noProof/>
          <w:sz w:val="1"/>
          <w:szCs w:val="1"/>
        </w:rPr>
        <w:drawing>
          <wp:inline distT="0" distB="0" distL="0" distR="0">
            <wp:extent cx="69850" cy="6985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17">
                      <a:extLst/>
                    </a:blip>
                    <a:srcRect/>
                    <a:stretch>
                      <a:fillRect/>
                    </a:stretch>
                  </pic:blipFill>
                  <pic:spPr bwMode="auto">
                    <a:xfrm>
                      <a:off x="0" y="0"/>
                      <a:ext cx="69850" cy="69850"/>
                    </a:xfrm>
                    <a:prstGeom prst="rect">
                      <a:avLst/>
                    </a:prstGeom>
                    <a:noFill/>
                    <a:ln>
                      <a:noFill/>
                    </a:ln>
                  </pic:spPr>
                </pic:pic>
              </a:graphicData>
            </a:graphic>
          </wp:inline>
        </w:drawing>
      </w:r>
      <w:r w:rsidRPr="00C27636">
        <w:rPr>
          <w:rFonts w:ascii="Calibri" w:eastAsia="Calibri" w:hAnsi="Calibri" w:cs="Calibri"/>
          <w:sz w:val="20"/>
          <w:szCs w:val="20"/>
          <w:lang w:val="fr-BE"/>
        </w:rPr>
        <w:t xml:space="preserve"> FWB</w:t>
      </w:r>
    </w:p>
    <w:p w:rsidR="00AC12B4" w:rsidRPr="00C27636" w:rsidRDefault="00C27636">
      <w:pPr>
        <w:spacing w:line="225" w:lineRule="auto"/>
        <w:ind w:left="1160"/>
        <w:rPr>
          <w:sz w:val="20"/>
          <w:szCs w:val="20"/>
          <w:lang w:val="fr-BE"/>
        </w:rPr>
      </w:pPr>
      <w:r>
        <w:rPr>
          <w:noProof/>
          <w:sz w:val="1"/>
          <w:szCs w:val="1"/>
        </w:rPr>
        <w:drawing>
          <wp:inline distT="0" distB="0" distL="0" distR="0">
            <wp:extent cx="69850" cy="6858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18">
                      <a:extLst/>
                    </a:blip>
                    <a:srcRect/>
                    <a:stretch>
                      <a:fillRect/>
                    </a:stretch>
                  </pic:blipFill>
                  <pic:spPr bwMode="auto">
                    <a:xfrm>
                      <a:off x="0" y="0"/>
                      <a:ext cx="69850" cy="68580"/>
                    </a:xfrm>
                    <a:prstGeom prst="rect">
                      <a:avLst/>
                    </a:prstGeom>
                    <a:noFill/>
                    <a:ln>
                      <a:noFill/>
                    </a:ln>
                  </pic:spPr>
                </pic:pic>
              </a:graphicData>
            </a:graphic>
          </wp:inline>
        </w:drawing>
      </w:r>
      <w:r w:rsidRPr="00C27636">
        <w:rPr>
          <w:rFonts w:ascii="Calibri" w:eastAsia="Calibri" w:hAnsi="Calibri" w:cs="Calibri"/>
          <w:sz w:val="20"/>
          <w:szCs w:val="20"/>
          <w:lang w:val="fr-BE"/>
        </w:rPr>
        <w:t xml:space="preserve"> Communauté germanophone</w:t>
      </w:r>
    </w:p>
    <w:p w:rsidR="00AC12B4" w:rsidRPr="00C27636" w:rsidRDefault="00AC12B4">
      <w:pPr>
        <w:spacing w:line="39" w:lineRule="exact"/>
        <w:rPr>
          <w:sz w:val="20"/>
          <w:szCs w:val="20"/>
          <w:lang w:val="fr-BE"/>
        </w:rPr>
      </w:pPr>
    </w:p>
    <w:p w:rsidR="00AC12B4" w:rsidRPr="00C27636" w:rsidRDefault="00C27636">
      <w:pPr>
        <w:ind w:left="140"/>
        <w:rPr>
          <w:sz w:val="20"/>
          <w:szCs w:val="20"/>
          <w:lang w:val="fr-BE"/>
        </w:rPr>
      </w:pPr>
      <w:r w:rsidRPr="00C27636">
        <w:rPr>
          <w:rFonts w:ascii="Calibri" w:eastAsia="Calibri" w:hAnsi="Calibri" w:cs="Calibri"/>
          <w:b/>
          <w:bCs/>
          <w:color w:val="4F81BD"/>
          <w:sz w:val="18"/>
          <w:szCs w:val="18"/>
          <w:lang w:val="fr-BE"/>
        </w:rPr>
        <w:t>Figure 1. PISA 2012</w:t>
      </w:r>
    </w:p>
    <w:p w:rsidR="00AC12B4" w:rsidRPr="00C27636" w:rsidRDefault="00AC12B4">
      <w:pPr>
        <w:spacing w:line="261" w:lineRule="exact"/>
        <w:rPr>
          <w:sz w:val="20"/>
          <w:szCs w:val="20"/>
          <w:lang w:val="fr-BE"/>
        </w:rPr>
      </w:pPr>
    </w:p>
    <w:p w:rsidR="00AC12B4" w:rsidRPr="00C27636" w:rsidRDefault="00C27636">
      <w:pPr>
        <w:spacing w:line="218" w:lineRule="auto"/>
        <w:ind w:left="880"/>
        <w:rPr>
          <w:sz w:val="20"/>
          <w:szCs w:val="20"/>
          <w:lang w:val="fr-BE"/>
        </w:rPr>
      </w:pPr>
      <w:r w:rsidRPr="00C27636">
        <w:rPr>
          <w:rFonts w:ascii="Calibri" w:eastAsia="Calibri" w:hAnsi="Calibri" w:cs="Calibri"/>
          <w:lang w:val="fr-BE"/>
        </w:rPr>
        <w:t>droits de l'enfant de l'ONU (2009), chaque enfant a le droit d'avoir sa propre opinion,</w:t>
      </w:r>
    </w:p>
    <w:p w:rsidR="00AC12B4" w:rsidRPr="00C27636" w:rsidRDefault="00AC12B4">
      <w:pPr>
        <w:spacing w:line="50" w:lineRule="exact"/>
        <w:rPr>
          <w:sz w:val="20"/>
          <w:szCs w:val="20"/>
          <w:lang w:val="fr-BE"/>
        </w:rPr>
      </w:pPr>
    </w:p>
    <w:p w:rsidR="00AC12B4" w:rsidRPr="00C27636" w:rsidRDefault="00C27636">
      <w:pPr>
        <w:numPr>
          <w:ilvl w:val="0"/>
          <w:numId w:val="227"/>
        </w:numPr>
        <w:tabs>
          <w:tab w:val="left" w:pos="1048"/>
        </w:tabs>
        <w:spacing w:line="236" w:lineRule="auto"/>
        <w:ind w:left="880" w:firstLine="7"/>
        <w:jc w:val="both"/>
        <w:rPr>
          <w:rFonts w:ascii="Calibri" w:eastAsia="Calibri" w:hAnsi="Calibri" w:cs="Calibri"/>
          <w:lang w:val="fr-BE"/>
        </w:rPr>
      </w:pPr>
      <w:r w:rsidRPr="00C27636">
        <w:rPr>
          <w:rFonts w:ascii="Calibri" w:eastAsia="Calibri" w:hAnsi="Calibri" w:cs="Calibri"/>
          <w:lang w:val="fr-BE"/>
        </w:rPr>
        <w:t xml:space="preserve">laquelle on accorde un intérêt adapté en fonction de son âge ou de sa maturité. Dans le cadre de ses observations </w:t>
      </w:r>
      <w:r w:rsidRPr="00C27636">
        <w:rPr>
          <w:rFonts w:ascii="Calibri" w:eastAsia="Calibri" w:hAnsi="Calibri" w:cs="Calibri"/>
          <w:lang w:val="fr-BE"/>
        </w:rPr>
        <w:t>finales de 2010, le Comité des droits de l'enfant a encouragé la Belgique à promouvoir la participation de tous les enfants à tous les niveaux du gouvernement ainsi qu’au sein de la famille, de l’école et de la communauté, en apportant une attention partic</w:t>
      </w:r>
      <w:r w:rsidRPr="00C27636">
        <w:rPr>
          <w:rFonts w:ascii="Calibri" w:eastAsia="Calibri" w:hAnsi="Calibri" w:cs="Calibri"/>
          <w:lang w:val="fr-BE"/>
        </w:rPr>
        <w:t>ulière aux enfants en situation de vulnérabilité.</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30" w:lineRule="exact"/>
        <w:rPr>
          <w:sz w:val="20"/>
          <w:szCs w:val="20"/>
          <w:lang w:val="fr-BE"/>
        </w:rPr>
      </w:pPr>
    </w:p>
    <w:p w:rsidR="00AC12B4" w:rsidRPr="00C27636" w:rsidRDefault="00C27636">
      <w:pPr>
        <w:ind w:left="-199"/>
        <w:jc w:val="center"/>
        <w:rPr>
          <w:sz w:val="20"/>
          <w:szCs w:val="20"/>
          <w:lang w:val="fr-BE"/>
        </w:rPr>
      </w:pPr>
      <w:r w:rsidRPr="00C27636">
        <w:rPr>
          <w:rFonts w:ascii="Calibri" w:eastAsia="Calibri" w:hAnsi="Calibri" w:cs="Calibri"/>
          <w:b/>
          <w:bCs/>
          <w:sz w:val="20"/>
          <w:szCs w:val="20"/>
          <w:lang w:val="fr-BE"/>
        </w:rPr>
        <w:t>"La plupart de mes professeurs sont réellement à</w:t>
      </w:r>
    </w:p>
    <w:p w:rsidR="00AC12B4" w:rsidRPr="00C27636" w:rsidRDefault="00AC12B4">
      <w:pPr>
        <w:spacing w:line="1" w:lineRule="exact"/>
        <w:rPr>
          <w:sz w:val="20"/>
          <w:szCs w:val="20"/>
          <w:lang w:val="fr-BE"/>
        </w:rPr>
      </w:pPr>
    </w:p>
    <w:p w:rsidR="00AC12B4" w:rsidRPr="00C27636" w:rsidRDefault="00C27636">
      <w:pPr>
        <w:ind w:left="-199"/>
        <w:jc w:val="center"/>
        <w:rPr>
          <w:sz w:val="20"/>
          <w:szCs w:val="20"/>
          <w:lang w:val="fr-BE"/>
        </w:rPr>
      </w:pPr>
      <w:r w:rsidRPr="00C27636">
        <w:rPr>
          <w:rFonts w:ascii="Calibri" w:eastAsia="Calibri" w:hAnsi="Calibri" w:cs="Calibri"/>
          <w:b/>
          <w:bCs/>
          <w:sz w:val="20"/>
          <w:szCs w:val="20"/>
          <w:lang w:val="fr-BE"/>
        </w:rPr>
        <w:t>l’écoute de ce que j’ai à dire"</w:t>
      </w:r>
    </w:p>
    <w:p w:rsidR="00AC12B4" w:rsidRPr="00C27636" w:rsidRDefault="00AC12B4">
      <w:pPr>
        <w:spacing w:line="118" w:lineRule="exact"/>
        <w:rPr>
          <w:sz w:val="20"/>
          <w:szCs w:val="20"/>
          <w:lang w:val="fr-BE"/>
        </w:rPr>
      </w:pPr>
    </w:p>
    <w:tbl>
      <w:tblPr>
        <w:tblW w:w="0" w:type="auto"/>
        <w:tblInd w:w="140" w:type="dxa"/>
        <w:tblLayout w:type="fixed"/>
        <w:tblCellMar>
          <w:left w:w="0" w:type="dxa"/>
          <w:right w:w="0" w:type="dxa"/>
        </w:tblCellMar>
        <w:tblLook w:val="04A0" w:firstRow="1" w:lastRow="0" w:firstColumn="1" w:lastColumn="0" w:noHBand="0" w:noVBand="1"/>
      </w:tblPr>
      <w:tblGrid>
        <w:gridCol w:w="320"/>
        <w:gridCol w:w="80"/>
        <w:gridCol w:w="900"/>
        <w:gridCol w:w="20"/>
        <w:gridCol w:w="900"/>
        <w:gridCol w:w="20"/>
        <w:gridCol w:w="900"/>
        <w:gridCol w:w="20"/>
        <w:gridCol w:w="900"/>
        <w:gridCol w:w="20"/>
        <w:gridCol w:w="20"/>
        <w:gridCol w:w="300"/>
        <w:gridCol w:w="100"/>
        <w:gridCol w:w="460"/>
        <w:gridCol w:w="20"/>
      </w:tblGrid>
      <w:tr w:rsidR="00AC12B4">
        <w:trPr>
          <w:trHeight w:val="131"/>
        </w:trPr>
        <w:tc>
          <w:tcPr>
            <w:tcW w:w="320" w:type="dxa"/>
            <w:vMerge w:val="restart"/>
            <w:vAlign w:val="bottom"/>
          </w:tcPr>
          <w:p w:rsidR="00AC12B4" w:rsidRDefault="00C27636">
            <w:pPr>
              <w:ind w:right="20"/>
              <w:jc w:val="right"/>
              <w:rPr>
                <w:sz w:val="20"/>
                <w:szCs w:val="20"/>
              </w:rPr>
            </w:pPr>
            <w:r>
              <w:rPr>
                <w:rFonts w:ascii="Calibri" w:eastAsia="Calibri" w:hAnsi="Calibri" w:cs="Calibri"/>
                <w:w w:val="88"/>
                <w:sz w:val="20"/>
                <w:szCs w:val="20"/>
              </w:rPr>
              <w:t>70</w:t>
            </w:r>
          </w:p>
        </w:tc>
        <w:tc>
          <w:tcPr>
            <w:tcW w:w="80" w:type="dxa"/>
            <w:tcBorders>
              <w:bottom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2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4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3"/>
        </w:trPr>
        <w:tc>
          <w:tcPr>
            <w:tcW w:w="32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27"/>
        </w:trPr>
        <w:tc>
          <w:tcPr>
            <w:tcW w:w="320" w:type="dxa"/>
            <w:vMerge w:val="restart"/>
            <w:vAlign w:val="bottom"/>
          </w:tcPr>
          <w:p w:rsidR="00AC12B4" w:rsidRDefault="00C27636">
            <w:pPr>
              <w:spacing w:line="240" w:lineRule="exact"/>
              <w:ind w:right="20"/>
              <w:jc w:val="right"/>
              <w:rPr>
                <w:sz w:val="20"/>
                <w:szCs w:val="20"/>
              </w:rPr>
            </w:pPr>
            <w:r>
              <w:rPr>
                <w:rFonts w:ascii="Calibri" w:eastAsia="Calibri" w:hAnsi="Calibri" w:cs="Calibri"/>
                <w:w w:val="88"/>
                <w:sz w:val="20"/>
                <w:szCs w:val="20"/>
              </w:rPr>
              <w:t>60</w:t>
            </w:r>
          </w:p>
        </w:tc>
        <w:tc>
          <w:tcPr>
            <w:tcW w:w="80" w:type="dxa"/>
            <w:tcBorders>
              <w:bottom w:val="single" w:sz="8" w:space="0" w:color="868686"/>
              <w:right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90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2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4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2"/>
        </w:trPr>
        <w:tc>
          <w:tcPr>
            <w:tcW w:w="32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25"/>
        </w:trPr>
        <w:tc>
          <w:tcPr>
            <w:tcW w:w="320" w:type="dxa"/>
            <w:vMerge w:val="restart"/>
            <w:vAlign w:val="bottom"/>
          </w:tcPr>
          <w:p w:rsidR="00AC12B4" w:rsidRDefault="00C27636">
            <w:pPr>
              <w:spacing w:line="239" w:lineRule="exact"/>
              <w:ind w:right="20"/>
              <w:jc w:val="right"/>
              <w:rPr>
                <w:sz w:val="20"/>
                <w:szCs w:val="20"/>
              </w:rPr>
            </w:pPr>
            <w:r>
              <w:rPr>
                <w:rFonts w:ascii="Calibri" w:eastAsia="Calibri" w:hAnsi="Calibri" w:cs="Calibri"/>
                <w:w w:val="88"/>
                <w:sz w:val="20"/>
                <w:szCs w:val="20"/>
              </w:rPr>
              <w:t>50</w:t>
            </w:r>
          </w:p>
        </w:tc>
        <w:tc>
          <w:tcPr>
            <w:tcW w:w="80" w:type="dxa"/>
            <w:tcBorders>
              <w:bottom w:val="single" w:sz="8" w:space="0" w:color="868686"/>
              <w:right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46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94"/>
        </w:trPr>
        <w:tc>
          <w:tcPr>
            <w:tcW w:w="32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26"/>
        </w:trPr>
        <w:tc>
          <w:tcPr>
            <w:tcW w:w="320" w:type="dxa"/>
            <w:vMerge w:val="restart"/>
            <w:vAlign w:val="bottom"/>
          </w:tcPr>
          <w:p w:rsidR="00AC12B4" w:rsidRDefault="00C27636">
            <w:pPr>
              <w:spacing w:line="220" w:lineRule="exact"/>
              <w:ind w:right="20"/>
              <w:jc w:val="right"/>
              <w:rPr>
                <w:sz w:val="20"/>
                <w:szCs w:val="20"/>
              </w:rPr>
            </w:pPr>
            <w:r>
              <w:rPr>
                <w:rFonts w:ascii="Calibri" w:eastAsia="Calibri" w:hAnsi="Calibri" w:cs="Calibri"/>
                <w:w w:val="88"/>
                <w:sz w:val="20"/>
                <w:szCs w:val="20"/>
              </w:rPr>
              <w:t>40</w:t>
            </w:r>
          </w:p>
        </w:tc>
        <w:tc>
          <w:tcPr>
            <w:tcW w:w="80" w:type="dxa"/>
            <w:tcBorders>
              <w:bottom w:val="single" w:sz="8" w:space="0" w:color="868686"/>
              <w:right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9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460" w:type="dxa"/>
            <w:vMerge w:val="restart"/>
            <w:vAlign w:val="bottom"/>
          </w:tcPr>
          <w:p w:rsidR="00AC12B4" w:rsidRDefault="00C27636">
            <w:pPr>
              <w:jc w:val="right"/>
              <w:rPr>
                <w:sz w:val="20"/>
                <w:szCs w:val="20"/>
              </w:rPr>
            </w:pPr>
            <w:r>
              <w:rPr>
                <w:rFonts w:ascii="Calibri" w:eastAsia="Calibri" w:hAnsi="Calibri" w:cs="Calibri"/>
                <w:sz w:val="20"/>
                <w:szCs w:val="20"/>
              </w:rPr>
              <w:t>2003</w:t>
            </w:r>
          </w:p>
        </w:tc>
        <w:tc>
          <w:tcPr>
            <w:tcW w:w="0" w:type="dxa"/>
            <w:vAlign w:val="bottom"/>
          </w:tcPr>
          <w:p w:rsidR="00AC12B4" w:rsidRDefault="00AC12B4">
            <w:pPr>
              <w:rPr>
                <w:sz w:val="1"/>
                <w:szCs w:val="1"/>
              </w:rPr>
            </w:pPr>
          </w:p>
        </w:tc>
      </w:tr>
      <w:tr w:rsidR="00AC12B4">
        <w:trPr>
          <w:trHeight w:val="74"/>
        </w:trPr>
        <w:tc>
          <w:tcPr>
            <w:tcW w:w="320" w:type="dxa"/>
            <w:vMerge/>
            <w:vAlign w:val="bottom"/>
          </w:tcPr>
          <w:p w:rsidR="00AC12B4" w:rsidRDefault="00AC12B4">
            <w:pPr>
              <w:rPr>
                <w:sz w:val="6"/>
                <w:szCs w:val="6"/>
              </w:rPr>
            </w:pPr>
          </w:p>
        </w:tc>
        <w:tc>
          <w:tcPr>
            <w:tcW w:w="80" w:type="dxa"/>
            <w:tcBorders>
              <w:right w:val="single" w:sz="8" w:space="0" w:color="868686"/>
            </w:tcBorders>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460" w:type="dxa"/>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10"/>
        </w:trPr>
        <w:tc>
          <w:tcPr>
            <w:tcW w:w="320" w:type="dxa"/>
            <w:vMerge w:val="restart"/>
            <w:vAlign w:val="bottom"/>
          </w:tcPr>
          <w:p w:rsidR="00AC12B4" w:rsidRDefault="00C27636">
            <w:pPr>
              <w:ind w:right="20"/>
              <w:jc w:val="right"/>
              <w:rPr>
                <w:sz w:val="20"/>
                <w:szCs w:val="20"/>
              </w:rPr>
            </w:pPr>
            <w:r>
              <w:rPr>
                <w:rFonts w:ascii="Calibri" w:eastAsia="Calibri" w:hAnsi="Calibri" w:cs="Calibri"/>
                <w:w w:val="88"/>
                <w:sz w:val="20"/>
                <w:szCs w:val="20"/>
              </w:rPr>
              <w:t>30</w:t>
            </w:r>
          </w:p>
        </w:tc>
        <w:tc>
          <w:tcPr>
            <w:tcW w:w="80" w:type="dxa"/>
            <w:tcBorders>
              <w:right w:val="single" w:sz="8" w:space="0" w:color="868686"/>
            </w:tcBorders>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20" w:type="dxa"/>
            <w:gridSpan w:val="2"/>
            <w:vMerge w:val="restart"/>
            <w:vAlign w:val="bottom"/>
          </w:tcPr>
          <w:p w:rsidR="00AC12B4" w:rsidRDefault="00AC12B4">
            <w:pPr>
              <w:rPr>
                <w:sz w:val="9"/>
                <w:szCs w:val="9"/>
              </w:rPr>
            </w:pPr>
          </w:p>
        </w:tc>
        <w:tc>
          <w:tcPr>
            <w:tcW w:w="100" w:type="dxa"/>
            <w:shd w:val="clear" w:color="auto" w:fill="3C8DA3"/>
            <w:vAlign w:val="bottom"/>
          </w:tcPr>
          <w:p w:rsidR="00AC12B4" w:rsidRDefault="00AC12B4">
            <w:pPr>
              <w:rPr>
                <w:sz w:val="9"/>
                <w:szCs w:val="9"/>
              </w:rPr>
            </w:pPr>
          </w:p>
        </w:tc>
        <w:tc>
          <w:tcPr>
            <w:tcW w:w="4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34"/>
        </w:trPr>
        <w:tc>
          <w:tcPr>
            <w:tcW w:w="320" w:type="dxa"/>
            <w:vMerge/>
            <w:vAlign w:val="bottom"/>
          </w:tcPr>
          <w:p w:rsidR="00AC12B4" w:rsidRDefault="00AC12B4">
            <w:pPr>
              <w:rPr>
                <w:sz w:val="2"/>
                <w:szCs w:val="2"/>
              </w:rPr>
            </w:pPr>
          </w:p>
        </w:tc>
        <w:tc>
          <w:tcPr>
            <w:tcW w:w="80" w:type="dxa"/>
            <w:tcBorders>
              <w:bottom w:val="single" w:sz="8" w:space="0" w:color="868686"/>
              <w:right w:val="single" w:sz="8" w:space="0" w:color="868686"/>
            </w:tcBorders>
            <w:vAlign w:val="bottom"/>
          </w:tcPr>
          <w:p w:rsidR="00AC12B4" w:rsidRDefault="00AC12B4">
            <w:pPr>
              <w:rPr>
                <w:sz w:val="2"/>
                <w:szCs w:val="2"/>
              </w:rPr>
            </w:pPr>
          </w:p>
        </w:tc>
        <w:tc>
          <w:tcPr>
            <w:tcW w:w="9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9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9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9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320" w:type="dxa"/>
            <w:gridSpan w:val="2"/>
            <w:vMerge/>
            <w:vAlign w:val="bottom"/>
          </w:tcPr>
          <w:p w:rsidR="00AC12B4" w:rsidRDefault="00AC12B4">
            <w:pPr>
              <w:rPr>
                <w:sz w:val="2"/>
                <w:szCs w:val="2"/>
              </w:rPr>
            </w:pPr>
          </w:p>
        </w:tc>
        <w:tc>
          <w:tcPr>
            <w:tcW w:w="100" w:type="dxa"/>
            <w:vAlign w:val="bottom"/>
          </w:tcPr>
          <w:p w:rsidR="00AC12B4" w:rsidRDefault="00AC12B4">
            <w:pPr>
              <w:rPr>
                <w:sz w:val="2"/>
                <w:szCs w:val="2"/>
              </w:rPr>
            </w:pPr>
          </w:p>
        </w:tc>
        <w:tc>
          <w:tcPr>
            <w:tcW w:w="460" w:type="dxa"/>
            <w:vMerge/>
            <w:vAlign w:val="bottom"/>
          </w:tcPr>
          <w:p w:rsidR="00AC12B4" w:rsidRDefault="00AC12B4">
            <w:pPr>
              <w:rPr>
                <w:sz w:val="2"/>
                <w:szCs w:val="2"/>
              </w:rPr>
            </w:pPr>
          </w:p>
        </w:tc>
        <w:tc>
          <w:tcPr>
            <w:tcW w:w="0" w:type="dxa"/>
            <w:vAlign w:val="bottom"/>
          </w:tcPr>
          <w:p w:rsidR="00AC12B4" w:rsidRDefault="00AC12B4">
            <w:pPr>
              <w:rPr>
                <w:sz w:val="1"/>
                <w:szCs w:val="1"/>
              </w:rPr>
            </w:pPr>
          </w:p>
        </w:tc>
      </w:tr>
      <w:tr w:rsidR="00AC12B4">
        <w:trPr>
          <w:trHeight w:val="95"/>
        </w:trPr>
        <w:tc>
          <w:tcPr>
            <w:tcW w:w="32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04"/>
        </w:trPr>
        <w:tc>
          <w:tcPr>
            <w:tcW w:w="320" w:type="dxa"/>
            <w:vMerge w:val="restart"/>
            <w:vAlign w:val="bottom"/>
          </w:tcPr>
          <w:p w:rsidR="00AC12B4" w:rsidRDefault="00C27636">
            <w:pPr>
              <w:spacing w:line="239" w:lineRule="exact"/>
              <w:ind w:right="20"/>
              <w:jc w:val="right"/>
              <w:rPr>
                <w:sz w:val="20"/>
                <w:szCs w:val="20"/>
              </w:rPr>
            </w:pPr>
            <w:r>
              <w:rPr>
                <w:rFonts w:ascii="Calibri" w:eastAsia="Calibri" w:hAnsi="Calibri" w:cs="Calibri"/>
                <w:w w:val="88"/>
                <w:sz w:val="20"/>
                <w:szCs w:val="20"/>
              </w:rPr>
              <w:t>20</w:t>
            </w:r>
          </w:p>
        </w:tc>
        <w:tc>
          <w:tcPr>
            <w:tcW w:w="80" w:type="dxa"/>
            <w:tcBorders>
              <w:right w:val="single" w:sz="8" w:space="0" w:color="868686"/>
            </w:tcBorders>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20" w:type="dxa"/>
            <w:gridSpan w:val="2"/>
            <w:vMerge w:val="restart"/>
            <w:vAlign w:val="bottom"/>
          </w:tcPr>
          <w:p w:rsidR="00AC12B4" w:rsidRDefault="00AC12B4">
            <w:pPr>
              <w:rPr>
                <w:sz w:val="9"/>
                <w:szCs w:val="9"/>
              </w:rPr>
            </w:pPr>
          </w:p>
        </w:tc>
        <w:tc>
          <w:tcPr>
            <w:tcW w:w="100" w:type="dxa"/>
            <w:vAlign w:val="bottom"/>
          </w:tcPr>
          <w:p w:rsidR="00AC12B4" w:rsidRDefault="00AC12B4">
            <w:pPr>
              <w:rPr>
                <w:sz w:val="9"/>
                <w:szCs w:val="9"/>
              </w:rPr>
            </w:pPr>
          </w:p>
        </w:tc>
        <w:tc>
          <w:tcPr>
            <w:tcW w:w="460" w:type="dxa"/>
            <w:vMerge w:val="restart"/>
            <w:vAlign w:val="bottom"/>
          </w:tcPr>
          <w:p w:rsidR="00AC12B4" w:rsidRDefault="00C27636">
            <w:pPr>
              <w:jc w:val="right"/>
              <w:rPr>
                <w:sz w:val="20"/>
                <w:szCs w:val="20"/>
              </w:rPr>
            </w:pPr>
            <w:r>
              <w:rPr>
                <w:rFonts w:ascii="Calibri" w:eastAsia="Calibri" w:hAnsi="Calibri" w:cs="Calibri"/>
                <w:sz w:val="20"/>
                <w:szCs w:val="20"/>
              </w:rPr>
              <w:t>2009</w:t>
            </w:r>
          </w:p>
        </w:tc>
        <w:tc>
          <w:tcPr>
            <w:tcW w:w="0" w:type="dxa"/>
            <w:vAlign w:val="bottom"/>
          </w:tcPr>
          <w:p w:rsidR="00AC12B4" w:rsidRDefault="00AC12B4">
            <w:pPr>
              <w:rPr>
                <w:sz w:val="1"/>
                <w:szCs w:val="1"/>
              </w:rPr>
            </w:pPr>
          </w:p>
        </w:tc>
      </w:tr>
      <w:tr w:rsidR="00AC12B4">
        <w:trPr>
          <w:trHeight w:val="22"/>
        </w:trPr>
        <w:tc>
          <w:tcPr>
            <w:tcW w:w="320" w:type="dxa"/>
            <w:vMerge/>
            <w:vAlign w:val="bottom"/>
          </w:tcPr>
          <w:p w:rsidR="00AC12B4" w:rsidRDefault="00AC12B4">
            <w:pPr>
              <w:spacing w:line="20" w:lineRule="exact"/>
              <w:rPr>
                <w:sz w:val="1"/>
                <w:szCs w:val="1"/>
              </w:rPr>
            </w:pPr>
          </w:p>
        </w:tc>
        <w:tc>
          <w:tcPr>
            <w:tcW w:w="80" w:type="dxa"/>
            <w:tcBorders>
              <w:bottom w:val="single" w:sz="8" w:space="0" w:color="868686"/>
              <w:right w:val="single" w:sz="8" w:space="0" w:color="868686"/>
            </w:tcBorders>
            <w:vAlign w:val="bottom"/>
          </w:tcPr>
          <w:p w:rsidR="00AC12B4" w:rsidRDefault="00AC12B4">
            <w:pPr>
              <w:spacing w:line="20" w:lineRule="exact"/>
              <w:rPr>
                <w:sz w:val="1"/>
                <w:szCs w:val="1"/>
              </w:rPr>
            </w:pPr>
          </w:p>
        </w:tc>
        <w:tc>
          <w:tcPr>
            <w:tcW w:w="90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90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90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90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320" w:type="dxa"/>
            <w:gridSpan w:val="2"/>
            <w:vMerge/>
            <w:vAlign w:val="bottom"/>
          </w:tcPr>
          <w:p w:rsidR="00AC12B4" w:rsidRDefault="00AC12B4">
            <w:pPr>
              <w:spacing w:line="20" w:lineRule="exact"/>
              <w:rPr>
                <w:sz w:val="1"/>
                <w:szCs w:val="1"/>
              </w:rPr>
            </w:pPr>
          </w:p>
        </w:tc>
        <w:tc>
          <w:tcPr>
            <w:tcW w:w="100" w:type="dxa"/>
            <w:vMerge w:val="restart"/>
            <w:tcBorders>
              <w:bottom w:val="single" w:sz="8" w:space="0" w:color="4BACC6"/>
            </w:tcBorders>
            <w:shd w:val="clear" w:color="auto" w:fill="4BACC6"/>
            <w:vAlign w:val="bottom"/>
          </w:tcPr>
          <w:p w:rsidR="00AC12B4" w:rsidRDefault="00AC12B4">
            <w:pPr>
              <w:spacing w:line="20" w:lineRule="exact"/>
              <w:rPr>
                <w:sz w:val="1"/>
                <w:szCs w:val="1"/>
              </w:rPr>
            </w:pPr>
          </w:p>
        </w:tc>
        <w:tc>
          <w:tcPr>
            <w:tcW w:w="460" w:type="dxa"/>
            <w:vMerge/>
            <w:vAlign w:val="bottom"/>
          </w:tcPr>
          <w:p w:rsidR="00AC12B4" w:rsidRDefault="00AC12B4">
            <w:pPr>
              <w:spacing w:line="20" w:lineRule="exact"/>
              <w:rPr>
                <w:sz w:val="1"/>
                <w:szCs w:val="1"/>
              </w:rPr>
            </w:pPr>
          </w:p>
        </w:tc>
        <w:tc>
          <w:tcPr>
            <w:tcW w:w="0" w:type="dxa"/>
            <w:vAlign w:val="bottom"/>
          </w:tcPr>
          <w:p w:rsidR="00AC12B4" w:rsidRDefault="00AC12B4">
            <w:pPr>
              <w:rPr>
                <w:sz w:val="1"/>
                <w:szCs w:val="1"/>
              </w:rPr>
            </w:pPr>
          </w:p>
        </w:tc>
      </w:tr>
      <w:tr w:rsidR="00AC12B4">
        <w:trPr>
          <w:trHeight w:val="66"/>
        </w:trPr>
        <w:tc>
          <w:tcPr>
            <w:tcW w:w="320" w:type="dxa"/>
            <w:vMerge/>
            <w:vAlign w:val="bottom"/>
          </w:tcPr>
          <w:p w:rsidR="00AC12B4" w:rsidRDefault="00AC12B4">
            <w:pPr>
              <w:rPr>
                <w:sz w:val="5"/>
                <w:szCs w:val="5"/>
              </w:rPr>
            </w:pPr>
          </w:p>
        </w:tc>
        <w:tc>
          <w:tcPr>
            <w:tcW w:w="80" w:type="dxa"/>
            <w:tcBorders>
              <w:right w:val="single" w:sz="8" w:space="0" w:color="868686"/>
            </w:tcBorders>
            <w:vAlign w:val="bottom"/>
          </w:tcPr>
          <w:p w:rsidR="00AC12B4" w:rsidRDefault="00AC12B4">
            <w:pPr>
              <w:rPr>
                <w:sz w:val="5"/>
                <w:szCs w:val="5"/>
              </w:rPr>
            </w:pPr>
          </w:p>
        </w:tc>
        <w:tc>
          <w:tcPr>
            <w:tcW w:w="9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9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9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9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20" w:type="dxa"/>
            <w:gridSpan w:val="2"/>
            <w:vMerge/>
            <w:vAlign w:val="bottom"/>
          </w:tcPr>
          <w:p w:rsidR="00AC12B4" w:rsidRDefault="00AC12B4">
            <w:pPr>
              <w:rPr>
                <w:sz w:val="5"/>
                <w:szCs w:val="5"/>
              </w:rPr>
            </w:pPr>
          </w:p>
        </w:tc>
        <w:tc>
          <w:tcPr>
            <w:tcW w:w="100" w:type="dxa"/>
            <w:vMerge/>
            <w:shd w:val="clear" w:color="auto" w:fill="4BACC6"/>
            <w:vAlign w:val="bottom"/>
          </w:tcPr>
          <w:p w:rsidR="00AC12B4" w:rsidRDefault="00AC12B4">
            <w:pPr>
              <w:rPr>
                <w:sz w:val="5"/>
                <w:szCs w:val="5"/>
              </w:rPr>
            </w:pPr>
          </w:p>
        </w:tc>
        <w:tc>
          <w:tcPr>
            <w:tcW w:w="460" w:type="dxa"/>
            <w:vMerge/>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52"/>
        </w:trPr>
        <w:tc>
          <w:tcPr>
            <w:tcW w:w="320" w:type="dxa"/>
            <w:vMerge/>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9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9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9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9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20" w:type="dxa"/>
            <w:gridSpan w:val="2"/>
            <w:vMerge/>
            <w:vAlign w:val="bottom"/>
          </w:tcPr>
          <w:p w:rsidR="00AC12B4" w:rsidRDefault="00AC12B4">
            <w:pPr>
              <w:rPr>
                <w:sz w:val="4"/>
                <w:szCs w:val="4"/>
              </w:rPr>
            </w:pPr>
          </w:p>
        </w:tc>
        <w:tc>
          <w:tcPr>
            <w:tcW w:w="100" w:type="dxa"/>
            <w:vAlign w:val="bottom"/>
          </w:tcPr>
          <w:p w:rsidR="00AC12B4" w:rsidRDefault="00AC12B4">
            <w:pPr>
              <w:rPr>
                <w:sz w:val="4"/>
                <w:szCs w:val="4"/>
              </w:rPr>
            </w:pPr>
          </w:p>
        </w:tc>
        <w:tc>
          <w:tcPr>
            <w:tcW w:w="46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01"/>
        </w:trPr>
        <w:tc>
          <w:tcPr>
            <w:tcW w:w="320" w:type="dxa"/>
            <w:vMerge w:val="restart"/>
            <w:vAlign w:val="bottom"/>
          </w:tcPr>
          <w:p w:rsidR="00AC12B4" w:rsidRDefault="00C27636">
            <w:pPr>
              <w:spacing w:line="200" w:lineRule="exact"/>
              <w:ind w:right="20"/>
              <w:jc w:val="right"/>
              <w:rPr>
                <w:sz w:val="20"/>
                <w:szCs w:val="20"/>
              </w:rPr>
            </w:pPr>
            <w:r>
              <w:rPr>
                <w:rFonts w:ascii="Calibri" w:eastAsia="Calibri" w:hAnsi="Calibri" w:cs="Calibri"/>
                <w:w w:val="88"/>
                <w:sz w:val="20"/>
                <w:szCs w:val="20"/>
              </w:rPr>
              <w:t>10</w:t>
            </w:r>
          </w:p>
        </w:tc>
        <w:tc>
          <w:tcPr>
            <w:tcW w:w="80" w:type="dxa"/>
            <w:tcBorders>
              <w:bottom w:val="single" w:sz="8" w:space="0" w:color="868686"/>
              <w:right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60" w:type="dxa"/>
            <w:vMerge w:val="restart"/>
            <w:vAlign w:val="bottom"/>
          </w:tcPr>
          <w:p w:rsidR="00AC12B4" w:rsidRDefault="00C27636">
            <w:pPr>
              <w:jc w:val="right"/>
              <w:rPr>
                <w:sz w:val="20"/>
                <w:szCs w:val="20"/>
              </w:rPr>
            </w:pPr>
            <w:r>
              <w:rPr>
                <w:rFonts w:ascii="Calibri" w:eastAsia="Calibri" w:hAnsi="Calibri" w:cs="Calibri"/>
                <w:sz w:val="20"/>
                <w:szCs w:val="20"/>
              </w:rPr>
              <w:t>2012</w:t>
            </w:r>
          </w:p>
        </w:tc>
        <w:tc>
          <w:tcPr>
            <w:tcW w:w="0" w:type="dxa"/>
            <w:vAlign w:val="bottom"/>
          </w:tcPr>
          <w:p w:rsidR="00AC12B4" w:rsidRDefault="00AC12B4">
            <w:pPr>
              <w:rPr>
                <w:sz w:val="1"/>
                <w:szCs w:val="1"/>
              </w:rPr>
            </w:pPr>
          </w:p>
        </w:tc>
      </w:tr>
      <w:tr w:rsidR="00AC12B4">
        <w:trPr>
          <w:trHeight w:val="78"/>
        </w:trPr>
        <w:tc>
          <w:tcPr>
            <w:tcW w:w="320" w:type="dxa"/>
            <w:vMerge/>
            <w:vAlign w:val="bottom"/>
          </w:tcPr>
          <w:p w:rsidR="00AC12B4" w:rsidRDefault="00AC12B4">
            <w:pPr>
              <w:rPr>
                <w:sz w:val="6"/>
                <w:szCs w:val="6"/>
              </w:rPr>
            </w:pPr>
          </w:p>
        </w:tc>
        <w:tc>
          <w:tcPr>
            <w:tcW w:w="80" w:type="dxa"/>
            <w:tcBorders>
              <w:right w:val="single" w:sz="8" w:space="0" w:color="868686"/>
            </w:tcBorders>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9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460" w:type="dxa"/>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10"/>
        </w:trPr>
        <w:tc>
          <w:tcPr>
            <w:tcW w:w="320" w:type="dxa"/>
            <w:vMerge w:val="restart"/>
            <w:vAlign w:val="bottom"/>
          </w:tcPr>
          <w:p w:rsidR="00AC12B4" w:rsidRDefault="00C27636">
            <w:pPr>
              <w:spacing w:line="211" w:lineRule="exact"/>
              <w:ind w:right="20"/>
              <w:jc w:val="right"/>
              <w:rPr>
                <w:sz w:val="20"/>
                <w:szCs w:val="20"/>
              </w:rPr>
            </w:pPr>
            <w:r>
              <w:rPr>
                <w:rFonts w:ascii="Calibri" w:eastAsia="Calibri" w:hAnsi="Calibri" w:cs="Calibri"/>
                <w:sz w:val="20"/>
                <w:szCs w:val="20"/>
              </w:rPr>
              <w:t>0</w:t>
            </w:r>
          </w:p>
        </w:tc>
        <w:tc>
          <w:tcPr>
            <w:tcW w:w="80" w:type="dxa"/>
            <w:tcBorders>
              <w:right w:val="single" w:sz="8" w:space="0" w:color="868686"/>
            </w:tcBorders>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20" w:type="dxa"/>
            <w:vMerge w:val="restart"/>
            <w:vAlign w:val="bottom"/>
          </w:tcPr>
          <w:p w:rsidR="00AC12B4" w:rsidRDefault="00AC12B4">
            <w:pPr>
              <w:rPr>
                <w:sz w:val="9"/>
                <w:szCs w:val="9"/>
              </w:rPr>
            </w:pPr>
          </w:p>
        </w:tc>
        <w:tc>
          <w:tcPr>
            <w:tcW w:w="300" w:type="dxa"/>
            <w:vMerge w:val="restart"/>
            <w:vAlign w:val="bottom"/>
          </w:tcPr>
          <w:p w:rsidR="00AC12B4" w:rsidRDefault="00AC12B4">
            <w:pPr>
              <w:rPr>
                <w:sz w:val="9"/>
                <w:szCs w:val="9"/>
              </w:rPr>
            </w:pPr>
          </w:p>
        </w:tc>
        <w:tc>
          <w:tcPr>
            <w:tcW w:w="100" w:type="dxa"/>
            <w:shd w:val="clear" w:color="auto" w:fill="A9CEDC"/>
            <w:vAlign w:val="bottom"/>
          </w:tcPr>
          <w:p w:rsidR="00AC12B4" w:rsidRDefault="00AC12B4">
            <w:pPr>
              <w:rPr>
                <w:sz w:val="9"/>
                <w:szCs w:val="9"/>
              </w:rPr>
            </w:pPr>
          </w:p>
        </w:tc>
        <w:tc>
          <w:tcPr>
            <w:tcW w:w="46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01"/>
        </w:trPr>
        <w:tc>
          <w:tcPr>
            <w:tcW w:w="320" w:type="dxa"/>
            <w:vMerge/>
            <w:vAlign w:val="bottom"/>
          </w:tcPr>
          <w:p w:rsidR="00AC12B4" w:rsidRDefault="00AC12B4">
            <w:pPr>
              <w:rPr>
                <w:sz w:val="8"/>
                <w:szCs w:val="8"/>
              </w:rPr>
            </w:pPr>
          </w:p>
        </w:tc>
        <w:tc>
          <w:tcPr>
            <w:tcW w:w="80" w:type="dxa"/>
            <w:tcBorders>
              <w:bottom w:val="single" w:sz="8" w:space="0" w:color="868686"/>
              <w:right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20" w:type="dxa"/>
            <w:vMerge/>
            <w:tcBorders>
              <w:bottom w:val="single" w:sz="8" w:space="0" w:color="868686"/>
            </w:tcBorders>
            <w:vAlign w:val="bottom"/>
          </w:tcPr>
          <w:p w:rsidR="00AC12B4" w:rsidRDefault="00AC12B4">
            <w:pPr>
              <w:rPr>
                <w:sz w:val="8"/>
                <w:szCs w:val="8"/>
              </w:rPr>
            </w:pPr>
          </w:p>
        </w:tc>
        <w:tc>
          <w:tcPr>
            <w:tcW w:w="300" w:type="dxa"/>
            <w:vMerge/>
            <w:vAlign w:val="bottom"/>
          </w:tcPr>
          <w:p w:rsidR="00AC12B4" w:rsidRDefault="00AC12B4">
            <w:pPr>
              <w:rPr>
                <w:sz w:val="8"/>
                <w:szCs w:val="8"/>
              </w:rPr>
            </w:pPr>
          </w:p>
        </w:tc>
        <w:tc>
          <w:tcPr>
            <w:tcW w:w="100" w:type="dxa"/>
            <w:vAlign w:val="bottom"/>
          </w:tcPr>
          <w:p w:rsidR="00AC12B4" w:rsidRDefault="00AC12B4">
            <w:pPr>
              <w:rPr>
                <w:sz w:val="8"/>
                <w:szCs w:val="8"/>
              </w:rPr>
            </w:pPr>
          </w:p>
        </w:tc>
        <w:tc>
          <w:tcPr>
            <w:tcW w:w="46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82"/>
        </w:trPr>
        <w:tc>
          <w:tcPr>
            <w:tcW w:w="32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1820" w:type="dxa"/>
            <w:gridSpan w:val="3"/>
            <w:vAlign w:val="bottom"/>
          </w:tcPr>
          <w:p w:rsidR="00AC12B4" w:rsidRDefault="00C27636">
            <w:pPr>
              <w:ind w:left="40"/>
              <w:rPr>
                <w:sz w:val="20"/>
                <w:szCs w:val="20"/>
              </w:rPr>
            </w:pPr>
            <w:r>
              <w:rPr>
                <w:rFonts w:ascii="Calibri" w:eastAsia="Calibri" w:hAnsi="Calibri" w:cs="Calibri"/>
                <w:sz w:val="20"/>
                <w:szCs w:val="20"/>
              </w:rPr>
              <w:t>Tout à fait  D'accord</w:t>
            </w:r>
          </w:p>
        </w:tc>
        <w:tc>
          <w:tcPr>
            <w:tcW w:w="20" w:type="dxa"/>
            <w:vAlign w:val="bottom"/>
          </w:tcPr>
          <w:p w:rsidR="00AC12B4" w:rsidRDefault="00AC12B4">
            <w:pPr>
              <w:rPr>
                <w:sz w:val="24"/>
                <w:szCs w:val="24"/>
              </w:rPr>
            </w:pPr>
          </w:p>
        </w:tc>
        <w:tc>
          <w:tcPr>
            <w:tcW w:w="900" w:type="dxa"/>
            <w:vAlign w:val="bottom"/>
          </w:tcPr>
          <w:p w:rsidR="00AC12B4" w:rsidRDefault="00C27636">
            <w:pPr>
              <w:jc w:val="center"/>
              <w:rPr>
                <w:sz w:val="20"/>
                <w:szCs w:val="20"/>
              </w:rPr>
            </w:pPr>
            <w:r>
              <w:rPr>
                <w:rFonts w:ascii="Calibri" w:eastAsia="Calibri" w:hAnsi="Calibri" w:cs="Calibri"/>
                <w:sz w:val="20"/>
                <w:szCs w:val="20"/>
              </w:rPr>
              <w:t>Pas</w:t>
            </w:r>
          </w:p>
        </w:tc>
        <w:tc>
          <w:tcPr>
            <w:tcW w:w="20" w:type="dxa"/>
            <w:vAlign w:val="bottom"/>
          </w:tcPr>
          <w:p w:rsidR="00AC12B4" w:rsidRDefault="00AC12B4">
            <w:pPr>
              <w:rPr>
                <w:sz w:val="24"/>
                <w:szCs w:val="24"/>
              </w:rPr>
            </w:pPr>
          </w:p>
        </w:tc>
        <w:tc>
          <w:tcPr>
            <w:tcW w:w="1800" w:type="dxa"/>
            <w:gridSpan w:val="6"/>
            <w:vAlign w:val="bottom"/>
          </w:tcPr>
          <w:p w:rsidR="00AC12B4" w:rsidRDefault="00C27636">
            <w:pPr>
              <w:ind w:right="780"/>
              <w:jc w:val="center"/>
              <w:rPr>
                <w:sz w:val="20"/>
                <w:szCs w:val="20"/>
              </w:rPr>
            </w:pPr>
            <w:r>
              <w:rPr>
                <w:rFonts w:ascii="Calibri" w:eastAsia="Calibri" w:hAnsi="Calibri" w:cs="Calibri"/>
                <w:w w:val="97"/>
                <w:sz w:val="20"/>
                <w:szCs w:val="20"/>
              </w:rPr>
              <w:t>Pas du</w:t>
            </w:r>
          </w:p>
        </w:tc>
        <w:tc>
          <w:tcPr>
            <w:tcW w:w="0" w:type="dxa"/>
            <w:vAlign w:val="bottom"/>
          </w:tcPr>
          <w:p w:rsidR="00AC12B4" w:rsidRDefault="00AC12B4">
            <w:pPr>
              <w:rPr>
                <w:sz w:val="1"/>
                <w:szCs w:val="1"/>
              </w:rPr>
            </w:pPr>
          </w:p>
        </w:tc>
      </w:tr>
      <w:tr w:rsidR="00AC12B4">
        <w:trPr>
          <w:trHeight w:val="245"/>
        </w:trPr>
        <w:tc>
          <w:tcPr>
            <w:tcW w:w="32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1820" w:type="dxa"/>
            <w:gridSpan w:val="3"/>
            <w:vAlign w:val="bottom"/>
          </w:tcPr>
          <w:p w:rsidR="00AC12B4" w:rsidRDefault="00C27636">
            <w:pPr>
              <w:ind w:left="100"/>
              <w:rPr>
                <w:sz w:val="20"/>
                <w:szCs w:val="20"/>
              </w:rPr>
            </w:pPr>
            <w:r>
              <w:rPr>
                <w:rFonts w:ascii="Calibri" w:eastAsia="Calibri" w:hAnsi="Calibri" w:cs="Calibri"/>
                <w:sz w:val="20"/>
                <w:szCs w:val="20"/>
              </w:rPr>
              <w:t>d'accord</w:t>
            </w:r>
          </w:p>
        </w:tc>
        <w:tc>
          <w:tcPr>
            <w:tcW w:w="20" w:type="dxa"/>
            <w:vAlign w:val="bottom"/>
          </w:tcPr>
          <w:p w:rsidR="00AC12B4" w:rsidRDefault="00AC12B4">
            <w:pPr>
              <w:rPr>
                <w:sz w:val="21"/>
                <w:szCs w:val="21"/>
              </w:rPr>
            </w:pPr>
          </w:p>
        </w:tc>
        <w:tc>
          <w:tcPr>
            <w:tcW w:w="900" w:type="dxa"/>
            <w:vAlign w:val="bottom"/>
          </w:tcPr>
          <w:p w:rsidR="00AC12B4" w:rsidRDefault="00C27636">
            <w:pPr>
              <w:jc w:val="center"/>
              <w:rPr>
                <w:sz w:val="20"/>
                <w:szCs w:val="20"/>
              </w:rPr>
            </w:pPr>
            <w:r>
              <w:rPr>
                <w:rFonts w:ascii="Calibri" w:eastAsia="Calibri" w:hAnsi="Calibri" w:cs="Calibri"/>
                <w:sz w:val="20"/>
                <w:szCs w:val="20"/>
              </w:rPr>
              <w:t>d'accord</w:t>
            </w:r>
          </w:p>
        </w:tc>
        <w:tc>
          <w:tcPr>
            <w:tcW w:w="20" w:type="dxa"/>
            <w:vAlign w:val="bottom"/>
          </w:tcPr>
          <w:p w:rsidR="00AC12B4" w:rsidRDefault="00AC12B4">
            <w:pPr>
              <w:rPr>
                <w:sz w:val="21"/>
                <w:szCs w:val="21"/>
              </w:rPr>
            </w:pPr>
          </w:p>
        </w:tc>
        <w:tc>
          <w:tcPr>
            <w:tcW w:w="1800" w:type="dxa"/>
            <w:gridSpan w:val="6"/>
            <w:vAlign w:val="bottom"/>
          </w:tcPr>
          <w:p w:rsidR="00AC12B4" w:rsidRDefault="00C27636">
            <w:pPr>
              <w:ind w:right="800"/>
              <w:jc w:val="center"/>
              <w:rPr>
                <w:sz w:val="20"/>
                <w:szCs w:val="20"/>
              </w:rPr>
            </w:pPr>
            <w:r>
              <w:rPr>
                <w:rFonts w:ascii="Calibri" w:eastAsia="Calibri" w:hAnsi="Calibri" w:cs="Calibri"/>
                <w:w w:val="98"/>
                <w:sz w:val="20"/>
                <w:szCs w:val="20"/>
              </w:rPr>
              <w:t>tout</w:t>
            </w:r>
          </w:p>
        </w:tc>
        <w:tc>
          <w:tcPr>
            <w:tcW w:w="0" w:type="dxa"/>
            <w:vAlign w:val="bottom"/>
          </w:tcPr>
          <w:p w:rsidR="00AC12B4" w:rsidRDefault="00AC12B4">
            <w:pPr>
              <w:rPr>
                <w:sz w:val="1"/>
                <w:szCs w:val="1"/>
              </w:rPr>
            </w:pPr>
          </w:p>
        </w:tc>
      </w:tr>
      <w:tr w:rsidR="00AC12B4">
        <w:trPr>
          <w:trHeight w:val="242"/>
        </w:trPr>
        <w:tc>
          <w:tcPr>
            <w:tcW w:w="32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9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9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9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0" w:type="dxa"/>
            <w:gridSpan w:val="6"/>
            <w:vAlign w:val="bottom"/>
          </w:tcPr>
          <w:p w:rsidR="00AC12B4" w:rsidRDefault="00C27636">
            <w:pPr>
              <w:spacing w:line="243" w:lineRule="exact"/>
              <w:ind w:right="800"/>
              <w:jc w:val="center"/>
              <w:rPr>
                <w:sz w:val="20"/>
                <w:szCs w:val="20"/>
              </w:rPr>
            </w:pPr>
            <w:r>
              <w:rPr>
                <w:rFonts w:ascii="Calibri" w:eastAsia="Calibri" w:hAnsi="Calibri" w:cs="Calibri"/>
                <w:sz w:val="20"/>
                <w:szCs w:val="20"/>
              </w:rPr>
              <w:t>d'accord</w:t>
            </w:r>
          </w:p>
        </w:tc>
        <w:tc>
          <w:tcPr>
            <w:tcW w:w="0" w:type="dxa"/>
            <w:vAlign w:val="bottom"/>
          </w:tcPr>
          <w:p w:rsidR="00AC12B4" w:rsidRDefault="00AC12B4">
            <w:pPr>
              <w:rPr>
                <w:sz w:val="1"/>
                <w:szCs w:val="1"/>
              </w:rPr>
            </w:pPr>
          </w:p>
        </w:tc>
      </w:tr>
    </w:tbl>
    <w:p w:rsidR="00AC12B4" w:rsidRDefault="00AC12B4">
      <w:pPr>
        <w:spacing w:line="130" w:lineRule="exact"/>
        <w:rPr>
          <w:sz w:val="20"/>
          <w:szCs w:val="20"/>
        </w:rPr>
      </w:pPr>
    </w:p>
    <w:p w:rsidR="00AC12B4" w:rsidRDefault="00C27636">
      <w:pPr>
        <w:rPr>
          <w:sz w:val="20"/>
          <w:szCs w:val="20"/>
        </w:rPr>
      </w:pPr>
      <w:r>
        <w:rPr>
          <w:rFonts w:ascii="Calibri" w:eastAsia="Calibri" w:hAnsi="Calibri" w:cs="Calibri"/>
          <w:b/>
          <w:bCs/>
          <w:color w:val="4F81BD"/>
          <w:sz w:val="18"/>
          <w:szCs w:val="18"/>
        </w:rPr>
        <w:t>Figure 2. PISA</w:t>
      </w:r>
    </w:p>
    <w:p w:rsidR="00AC12B4" w:rsidRDefault="00AC12B4">
      <w:pPr>
        <w:spacing w:line="200" w:lineRule="exact"/>
        <w:rPr>
          <w:sz w:val="20"/>
          <w:szCs w:val="20"/>
        </w:rPr>
      </w:pPr>
    </w:p>
    <w:p w:rsidR="00AC12B4" w:rsidRDefault="00AC12B4">
      <w:pPr>
        <w:spacing w:line="294" w:lineRule="exact"/>
        <w:rPr>
          <w:sz w:val="20"/>
          <w:szCs w:val="20"/>
        </w:rPr>
      </w:pPr>
    </w:p>
    <w:p w:rsidR="00AC12B4" w:rsidRPr="00C27636" w:rsidRDefault="00C27636">
      <w:pPr>
        <w:spacing w:line="231" w:lineRule="auto"/>
        <w:ind w:left="540" w:right="680"/>
        <w:jc w:val="both"/>
        <w:rPr>
          <w:sz w:val="20"/>
          <w:szCs w:val="20"/>
          <w:lang w:val="fr-BE"/>
        </w:rPr>
      </w:pPr>
      <w:r w:rsidRPr="00C27636">
        <w:rPr>
          <w:rFonts w:ascii="Calibri" w:eastAsia="Calibri" w:hAnsi="Calibri" w:cs="Calibri"/>
          <w:lang w:val="fr-BE"/>
        </w:rPr>
        <w:t>Le sentiment d’être écouté est moins fort en Communauté germanophone (63%) que dans les deux autres Communautés (Communauté flamande: 74% et FWB : 75%).</w:t>
      </w:r>
    </w:p>
    <w:p w:rsidR="00AC12B4" w:rsidRPr="00C27636" w:rsidRDefault="00AC12B4">
      <w:pPr>
        <w:spacing w:line="207" w:lineRule="exact"/>
        <w:rPr>
          <w:sz w:val="20"/>
          <w:szCs w:val="20"/>
          <w:lang w:val="fr-BE"/>
        </w:rPr>
      </w:pPr>
    </w:p>
    <w:p w:rsidR="00AC12B4" w:rsidRPr="00C27636" w:rsidRDefault="00C27636">
      <w:pPr>
        <w:ind w:left="540"/>
        <w:rPr>
          <w:sz w:val="20"/>
          <w:szCs w:val="20"/>
          <w:lang w:val="fr-BE"/>
        </w:rPr>
      </w:pPr>
      <w:r w:rsidRPr="00C27636">
        <w:rPr>
          <w:rFonts w:ascii="Cambria" w:eastAsia="Cambria" w:hAnsi="Cambria" w:cs="Cambria"/>
          <w:b/>
          <w:bCs/>
          <w:i/>
          <w:iCs/>
          <w:color w:val="44ACE0"/>
          <w:sz w:val="26"/>
          <w:szCs w:val="26"/>
          <w:lang w:val="fr-BE"/>
        </w:rPr>
        <w:t>Evolution</w:t>
      </w:r>
    </w:p>
    <w:p w:rsidR="00AC12B4" w:rsidRPr="00C27636" w:rsidRDefault="00AC12B4">
      <w:pPr>
        <w:spacing w:line="210" w:lineRule="exact"/>
        <w:rPr>
          <w:sz w:val="20"/>
          <w:szCs w:val="20"/>
          <w:lang w:val="fr-BE"/>
        </w:rPr>
      </w:pPr>
    </w:p>
    <w:p w:rsidR="00AC12B4" w:rsidRPr="00C27636" w:rsidRDefault="00C27636">
      <w:pPr>
        <w:spacing w:line="218" w:lineRule="auto"/>
        <w:ind w:left="540" w:right="700"/>
        <w:jc w:val="both"/>
        <w:rPr>
          <w:sz w:val="20"/>
          <w:szCs w:val="20"/>
          <w:lang w:val="fr-BE"/>
        </w:rPr>
      </w:pPr>
      <w:r w:rsidRPr="00C27636">
        <w:rPr>
          <w:rFonts w:ascii="Calibri" w:eastAsia="Calibri" w:hAnsi="Calibri" w:cs="Calibri"/>
          <w:lang w:val="fr-BE"/>
        </w:rPr>
        <w:t xml:space="preserve">L’évolution du sentiment </w:t>
      </w:r>
      <w:r w:rsidRPr="00C27636">
        <w:rPr>
          <w:rFonts w:ascii="Calibri" w:eastAsia="Calibri" w:hAnsi="Calibri" w:cs="Calibri"/>
          <w:lang w:val="fr-BE"/>
        </w:rPr>
        <w:t>d’être écouté est légèrement positive entre 2003 et 2012.</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6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94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AC12B4">
      <w:pPr>
        <w:spacing w:line="40" w:lineRule="exact"/>
        <w:rPr>
          <w:sz w:val="20"/>
          <w:szCs w:val="20"/>
        </w:rPr>
      </w:pPr>
    </w:p>
    <w:p w:rsidR="00AC12B4" w:rsidRDefault="00AC12B4">
      <w:pPr>
        <w:sectPr w:rsidR="00AC12B4">
          <w:type w:val="continuous"/>
          <w:pgSz w:w="12080" w:h="17179"/>
          <w:pgMar w:top="1440" w:right="569" w:bottom="659" w:left="1120" w:header="0" w:footer="0" w:gutter="0"/>
          <w:cols w:num="3" w:space="720" w:equalWidth="0">
            <w:col w:w="4760" w:space="180"/>
            <w:col w:w="5100" w:space="67"/>
            <w:col w:w="281"/>
          </w:cols>
        </w:sectPr>
      </w:pPr>
    </w:p>
    <w:p w:rsidR="00AC12B4" w:rsidRDefault="00C27636">
      <w:pPr>
        <w:ind w:right="148"/>
        <w:jc w:val="center"/>
        <w:rPr>
          <w:sz w:val="20"/>
          <w:szCs w:val="20"/>
        </w:rPr>
      </w:pPr>
      <w:r>
        <w:rPr>
          <w:rFonts w:ascii="Calibri" w:eastAsia="Calibri" w:hAnsi="Calibri" w:cs="Calibri"/>
          <w:sz w:val="21"/>
          <w:szCs w:val="21"/>
        </w:rPr>
        <w:lastRenderedPageBreak/>
        <w:t>127</w:t>
      </w:r>
    </w:p>
    <w:p w:rsidR="00AC12B4" w:rsidRDefault="00AC12B4">
      <w:pPr>
        <w:sectPr w:rsidR="00AC12B4">
          <w:type w:val="continuous"/>
          <w:pgSz w:w="12080" w:h="17179"/>
          <w:pgMar w:top="1440" w:right="569" w:bottom="659" w:left="1120" w:header="0" w:footer="0" w:gutter="0"/>
          <w:cols w:space="720" w:equalWidth="0">
            <w:col w:w="10388"/>
          </w:cols>
        </w:sectPr>
      </w:pPr>
    </w:p>
    <w:bookmarkStart w:id="127" w:name="page128"/>
    <w:bookmarkEnd w:id="127"/>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687424" behindDoc="1" locked="0" layoutInCell="0" allowOverlap="1">
                <wp:simplePos x="0" y="0"/>
                <wp:positionH relativeFrom="page">
                  <wp:posOffset>0</wp:posOffset>
                </wp:positionH>
                <wp:positionV relativeFrom="page">
                  <wp:posOffset>0</wp:posOffset>
                </wp:positionV>
                <wp:extent cx="797560" cy="10908665"/>
                <wp:effectExtent l="0" t="0" r="0" b="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7560" cy="10908665"/>
                        </a:xfrm>
                        <a:prstGeom prst="rect">
                          <a:avLst/>
                        </a:prstGeom>
                        <a:solidFill>
                          <a:srgbClr val="8BCCEC"/>
                        </a:solidFill>
                      </wps:spPr>
                      <wps:bodyPr/>
                    </wps:wsp>
                  </a:graphicData>
                </a:graphic>
              </wp:anchor>
            </w:drawing>
          </mc:Choice>
          <mc:Fallback>
            <w:pict>
              <v:rect id="Shape 354" o:spid="_x0000_s1379" style="position:absolute;margin-left:0pt;margin-top:0pt;width:62.8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r>
        <w:rPr>
          <w:noProof/>
          <w:sz w:val="20"/>
          <w:szCs w:val="20"/>
        </w:rPr>
        <mc:AlternateContent>
          <mc:Choice Requires="wps">
            <w:drawing>
              <wp:anchor distT="0" distB="0" distL="114300" distR="114300" simplePos="0" relativeHeight="251688448" behindDoc="1" locked="0" layoutInCell="0" allowOverlap="1">
                <wp:simplePos x="0" y="0"/>
                <wp:positionH relativeFrom="page">
                  <wp:posOffset>546100</wp:posOffset>
                </wp:positionH>
                <wp:positionV relativeFrom="page">
                  <wp:posOffset>4057015</wp:posOffset>
                </wp:positionV>
                <wp:extent cx="3009265" cy="1223010"/>
                <wp:effectExtent l="0" t="0" r="0" b="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9265" cy="1223010"/>
                        </a:xfrm>
                        <a:prstGeom prst="rect">
                          <a:avLst/>
                        </a:prstGeom>
                        <a:solidFill>
                          <a:srgbClr val="FFFFFF"/>
                        </a:solidFill>
                      </wps:spPr>
                      <wps:bodyPr/>
                    </wps:wsp>
                  </a:graphicData>
                </a:graphic>
              </wp:anchor>
            </w:drawing>
          </mc:Choice>
          <mc:Fallback>
            <w:pict>
              <v:rect id="Shape 355" o:spid="_x0000_s1380" style="position:absolute;margin-left:43pt;margin-top:319.45pt;width:236.95pt;height:96.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r>
        <w:rPr>
          <w:noProof/>
          <w:sz w:val="20"/>
          <w:szCs w:val="20"/>
        </w:rPr>
        <mc:AlternateContent>
          <mc:Choice Requires="wps">
            <w:drawing>
              <wp:anchor distT="0" distB="0" distL="114300" distR="114300" simplePos="0" relativeHeight="251689472" behindDoc="1" locked="0" layoutInCell="0" allowOverlap="1">
                <wp:simplePos x="0" y="0"/>
                <wp:positionH relativeFrom="page">
                  <wp:posOffset>546100</wp:posOffset>
                </wp:positionH>
                <wp:positionV relativeFrom="page">
                  <wp:posOffset>4044315</wp:posOffset>
                </wp:positionV>
                <wp:extent cx="0" cy="1248410"/>
                <wp:effectExtent l="0" t="0" r="0" b="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4841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pt,318.45pt" to="43pt,416.75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690496" behindDoc="1" locked="0" layoutInCell="0" allowOverlap="1">
                <wp:simplePos x="0" y="0"/>
                <wp:positionH relativeFrom="page">
                  <wp:posOffset>533400</wp:posOffset>
                </wp:positionH>
                <wp:positionV relativeFrom="page">
                  <wp:posOffset>5280025</wp:posOffset>
                </wp:positionV>
                <wp:extent cx="3034665" cy="0"/>
                <wp:effectExtent l="0" t="0" r="0" b="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pt,415.75pt" to="280.95pt,415.75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691520" behindDoc="1" locked="0" layoutInCell="0" allowOverlap="1">
                <wp:simplePos x="0" y="0"/>
                <wp:positionH relativeFrom="page">
                  <wp:posOffset>533400</wp:posOffset>
                </wp:positionH>
                <wp:positionV relativeFrom="page">
                  <wp:posOffset>4057015</wp:posOffset>
                </wp:positionV>
                <wp:extent cx="3034665" cy="0"/>
                <wp:effectExtent l="0" t="0" r="0" b="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pt,319.45pt" to="280.95pt,319.45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692544" behindDoc="1" locked="0" layoutInCell="0" allowOverlap="1">
                <wp:simplePos x="0" y="0"/>
                <wp:positionH relativeFrom="page">
                  <wp:posOffset>3555365</wp:posOffset>
                </wp:positionH>
                <wp:positionV relativeFrom="page">
                  <wp:posOffset>4044315</wp:posOffset>
                </wp:positionV>
                <wp:extent cx="0" cy="1248410"/>
                <wp:effectExtent l="0" t="0" r="0" b="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4841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9.95pt,318.45pt" to="279.95pt,416.75pt" o:allowincell="f" strokecolor="#44ACE0" strokeweight="2pt">
                <w10:wrap anchorx="page" anchory="page"/>
              </v:line>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 xml:space="preserve">Le droit à </w:t>
            </w:r>
            <w:r>
              <w:rPr>
                <w:rFonts w:ascii="Calibri" w:eastAsia="Calibri" w:hAnsi="Calibri" w:cs="Calibri"/>
                <w:b/>
                <w:bCs/>
                <w:i/>
                <w:iCs/>
                <w:color w:val="F2F2F2"/>
                <w:sz w:val="28"/>
                <w:szCs w:val="28"/>
              </w:rPr>
              <w:t>l’enseignement</w:t>
            </w:r>
          </w:p>
        </w:tc>
      </w:tr>
    </w:tbl>
    <w:p w:rsidR="00AC12B4" w:rsidRDefault="00C27636">
      <w:pPr>
        <w:spacing w:line="20" w:lineRule="exact"/>
        <w:rPr>
          <w:sz w:val="20"/>
          <w:szCs w:val="20"/>
        </w:rPr>
      </w:pPr>
      <w:r>
        <w:rPr>
          <w:sz w:val="20"/>
          <w:szCs w:val="20"/>
        </w:rPr>
        <w:br w:type="column"/>
      </w:r>
    </w:p>
    <w:p w:rsidR="00AC12B4" w:rsidRDefault="00AC12B4">
      <w:pPr>
        <w:spacing w:line="149" w:lineRule="exact"/>
        <w:rPr>
          <w:sz w:val="20"/>
          <w:szCs w:val="20"/>
        </w:rPr>
      </w:pPr>
    </w:p>
    <w:p w:rsidR="00AC12B4" w:rsidRDefault="00C27636">
      <w:pPr>
        <w:ind w:left="80"/>
        <w:rPr>
          <w:sz w:val="20"/>
          <w:szCs w:val="20"/>
        </w:rPr>
      </w:pPr>
      <w:r>
        <w:rPr>
          <w:rFonts w:ascii="Cambria" w:eastAsia="Cambria" w:hAnsi="Cambria" w:cs="Cambria"/>
          <w:b/>
          <w:bCs/>
          <w:i/>
          <w:iCs/>
          <w:color w:val="44ACE0"/>
          <w:sz w:val="26"/>
          <w:szCs w:val="26"/>
        </w:rPr>
        <w:t>Iniquité</w:t>
      </w:r>
    </w:p>
    <w:p w:rsidR="00AC12B4" w:rsidRDefault="00AC12B4">
      <w:pPr>
        <w:spacing w:line="168" w:lineRule="exact"/>
        <w:rPr>
          <w:sz w:val="20"/>
          <w:szCs w:val="20"/>
        </w:rPr>
      </w:pPr>
    </w:p>
    <w:p w:rsidR="00AC12B4" w:rsidRPr="00C27636" w:rsidRDefault="00C27636">
      <w:pPr>
        <w:spacing w:line="226" w:lineRule="auto"/>
        <w:ind w:left="80" w:right="520"/>
        <w:jc w:val="both"/>
        <w:rPr>
          <w:sz w:val="20"/>
          <w:szCs w:val="20"/>
          <w:lang w:val="fr-BE"/>
        </w:rPr>
      </w:pPr>
      <w:r w:rsidRPr="00C27636">
        <w:rPr>
          <w:rFonts w:ascii="Calibri" w:eastAsia="Calibri" w:hAnsi="Calibri" w:cs="Calibri"/>
          <w:lang w:val="fr-BE"/>
        </w:rPr>
        <w:t>Les élèves les « moins performants »</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 xml:space="preserve"> se sentent en général moins écoutés que les élèves les « plus performants »</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Ceci est d’autant plus vrai en Communauté germanophone où près de 43% des élèves les moins performants ne se se</w:t>
      </w:r>
      <w:r w:rsidRPr="00C27636">
        <w:rPr>
          <w:rFonts w:ascii="Calibri" w:eastAsia="Calibri" w:hAnsi="Calibri" w:cs="Calibri"/>
          <w:lang w:val="fr-BE"/>
        </w:rPr>
        <w:t>ntent pas (ou pas du tout) écoutés contre seulement 30% des élèves les plus performants.</w:t>
      </w:r>
    </w:p>
    <w:p w:rsidR="00AC12B4" w:rsidRPr="00C27636" w:rsidRDefault="00AC12B4">
      <w:pPr>
        <w:spacing w:line="170" w:lineRule="exact"/>
        <w:rPr>
          <w:sz w:val="20"/>
          <w:szCs w:val="20"/>
          <w:lang w:val="fr-BE"/>
        </w:rPr>
      </w:pPr>
    </w:p>
    <w:p w:rsidR="00AC12B4" w:rsidRPr="00C27636" w:rsidRDefault="00C27636">
      <w:pPr>
        <w:spacing w:line="229" w:lineRule="auto"/>
        <w:ind w:left="80" w:right="560"/>
        <w:rPr>
          <w:sz w:val="20"/>
          <w:szCs w:val="20"/>
          <w:lang w:val="fr-BE"/>
        </w:rPr>
      </w:pPr>
      <w:r w:rsidRPr="00C27636">
        <w:rPr>
          <w:rFonts w:ascii="Calibri" w:eastAsia="Calibri" w:hAnsi="Calibri" w:cs="Calibri"/>
          <w:lang w:val="fr-BE"/>
        </w:rPr>
        <w:t>Les élèves immigrés (de la première ou de la deuxième génération) se sentent un peu moins écoutés par leurs professeurs que les autres (72.4% contre 74.5%).</w:t>
      </w:r>
    </w:p>
    <w:p w:rsidR="00AC12B4" w:rsidRPr="00C27636" w:rsidRDefault="00AC12B4">
      <w:pPr>
        <w:spacing w:line="171" w:lineRule="exact"/>
        <w:rPr>
          <w:sz w:val="20"/>
          <w:szCs w:val="20"/>
          <w:lang w:val="fr-BE"/>
        </w:rPr>
      </w:pPr>
    </w:p>
    <w:p w:rsidR="00AC12B4" w:rsidRPr="00C27636" w:rsidRDefault="00C27636">
      <w:pPr>
        <w:spacing w:line="210" w:lineRule="auto"/>
        <w:ind w:left="80" w:right="800"/>
        <w:rPr>
          <w:sz w:val="20"/>
          <w:szCs w:val="20"/>
          <w:lang w:val="fr-BE"/>
        </w:rPr>
      </w:pPr>
      <w:r w:rsidRPr="00C27636">
        <w:rPr>
          <w:rFonts w:ascii="Calibri" w:eastAsia="Calibri" w:hAnsi="Calibri" w:cs="Calibri"/>
          <w:lang w:val="fr-BE"/>
        </w:rPr>
        <w:t xml:space="preserve">Les </w:t>
      </w:r>
      <w:r w:rsidRPr="00C27636">
        <w:rPr>
          <w:rFonts w:ascii="Calibri" w:eastAsia="Calibri" w:hAnsi="Calibri" w:cs="Calibri"/>
          <w:lang w:val="fr-BE"/>
        </w:rPr>
        <w:t>garçons se sentent en général moins écoutés</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w:t>
      </w:r>
    </w:p>
    <w:p w:rsidR="00AC12B4" w:rsidRPr="00C27636" w:rsidRDefault="00AC12B4">
      <w:pPr>
        <w:spacing w:line="200" w:lineRule="exact"/>
        <w:rPr>
          <w:sz w:val="20"/>
          <w:szCs w:val="20"/>
          <w:lang w:val="fr-BE"/>
        </w:rPr>
      </w:pPr>
    </w:p>
    <w:p w:rsidR="00AC12B4" w:rsidRPr="00C27636" w:rsidRDefault="00AC12B4">
      <w:pPr>
        <w:spacing w:line="304"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44ACE0"/>
          <w:sz w:val="20"/>
          <w:szCs w:val="20"/>
          <w:lang w:val="fr-BE"/>
        </w:rPr>
        <w:t>Question originale dans l’enquête Pisa :</w:t>
      </w:r>
    </w:p>
    <w:p w:rsidR="00AC12B4" w:rsidRPr="00C27636" w:rsidRDefault="00AC12B4">
      <w:pPr>
        <w:spacing w:line="47" w:lineRule="exact"/>
        <w:rPr>
          <w:sz w:val="20"/>
          <w:szCs w:val="20"/>
          <w:lang w:val="fr-BE"/>
        </w:rPr>
      </w:pPr>
    </w:p>
    <w:p w:rsidR="00AC12B4" w:rsidRPr="00C27636" w:rsidRDefault="00C27636">
      <w:pPr>
        <w:spacing w:line="224" w:lineRule="auto"/>
        <w:ind w:right="920"/>
        <w:rPr>
          <w:sz w:val="20"/>
          <w:szCs w:val="20"/>
          <w:lang w:val="fr-BE"/>
        </w:rPr>
      </w:pPr>
      <w:r w:rsidRPr="00C27636">
        <w:rPr>
          <w:rFonts w:ascii="Calibri" w:eastAsia="Calibri" w:hAnsi="Calibri" w:cs="Calibri"/>
          <w:i/>
          <w:iCs/>
          <w:color w:val="44ACE0"/>
          <w:sz w:val="20"/>
          <w:szCs w:val="20"/>
          <w:lang w:val="fr-BE"/>
        </w:rPr>
        <w:t>Pensez aux professeurs de votre école. Dans quelle mesure êtes-vous d’accord avec les affirmations suivantes ?</w:t>
      </w:r>
    </w:p>
    <w:p w:rsidR="00AC12B4" w:rsidRPr="00C27636" w:rsidRDefault="00AC12B4">
      <w:pPr>
        <w:spacing w:line="48" w:lineRule="exact"/>
        <w:rPr>
          <w:sz w:val="20"/>
          <w:szCs w:val="20"/>
          <w:lang w:val="fr-BE"/>
        </w:rPr>
      </w:pPr>
    </w:p>
    <w:p w:rsidR="00AC12B4" w:rsidRPr="00C27636" w:rsidRDefault="00C27636">
      <w:pPr>
        <w:numPr>
          <w:ilvl w:val="0"/>
          <w:numId w:val="228"/>
        </w:numPr>
        <w:tabs>
          <w:tab w:val="left" w:pos="360"/>
        </w:tabs>
        <w:spacing w:line="217" w:lineRule="auto"/>
        <w:ind w:left="360" w:right="400" w:hanging="354"/>
        <w:rPr>
          <w:rFonts w:ascii="Calibri" w:eastAsia="Calibri" w:hAnsi="Calibri" w:cs="Calibri"/>
          <w:color w:val="44ACE0"/>
          <w:sz w:val="20"/>
          <w:szCs w:val="20"/>
          <w:lang w:val="fr-BE"/>
        </w:rPr>
      </w:pPr>
      <w:r w:rsidRPr="00C27636">
        <w:rPr>
          <w:rFonts w:ascii="Calibri" w:eastAsia="Calibri" w:hAnsi="Calibri" w:cs="Calibri"/>
          <w:i/>
          <w:iCs/>
          <w:color w:val="44ACE0"/>
          <w:sz w:val="20"/>
          <w:szCs w:val="20"/>
          <w:lang w:val="fr-BE"/>
        </w:rPr>
        <w:t xml:space="preserve">La plupart de mes professeurs sont réellement à </w:t>
      </w:r>
      <w:r w:rsidRPr="00C27636">
        <w:rPr>
          <w:rFonts w:ascii="Calibri" w:eastAsia="Calibri" w:hAnsi="Calibri" w:cs="Calibri"/>
          <w:i/>
          <w:iCs/>
          <w:color w:val="44ACE0"/>
          <w:sz w:val="20"/>
          <w:szCs w:val="20"/>
          <w:lang w:val="fr-BE"/>
        </w:rPr>
        <w:t>l’écoute de ce que j’ai à dire.</w:t>
      </w:r>
    </w:p>
    <w:p w:rsidR="00AC12B4" w:rsidRPr="00C27636" w:rsidRDefault="00AC12B4">
      <w:pPr>
        <w:spacing w:line="200" w:lineRule="exact"/>
        <w:rPr>
          <w:sz w:val="20"/>
          <w:szCs w:val="20"/>
          <w:lang w:val="fr-BE"/>
        </w:rPr>
      </w:pPr>
    </w:p>
    <w:p w:rsidR="00AC12B4" w:rsidRPr="00C27636" w:rsidRDefault="00AC12B4">
      <w:pPr>
        <w:spacing w:line="366" w:lineRule="exact"/>
        <w:rPr>
          <w:sz w:val="20"/>
          <w:szCs w:val="20"/>
          <w:lang w:val="fr-BE"/>
        </w:rPr>
      </w:pPr>
    </w:p>
    <w:p w:rsidR="00AC12B4" w:rsidRPr="00C27636" w:rsidRDefault="00C27636">
      <w:pPr>
        <w:ind w:left="80"/>
        <w:rPr>
          <w:sz w:val="20"/>
          <w:szCs w:val="20"/>
          <w:lang w:val="fr-BE"/>
        </w:rPr>
      </w:pPr>
      <w:r w:rsidRPr="00C27636">
        <w:rPr>
          <w:rFonts w:ascii="Cambria" w:eastAsia="Cambria" w:hAnsi="Cambria" w:cs="Cambria"/>
          <w:b/>
          <w:bCs/>
          <w:i/>
          <w:iCs/>
          <w:color w:val="44ACE0"/>
          <w:sz w:val="26"/>
          <w:szCs w:val="26"/>
          <w:lang w:val="fr-BE"/>
        </w:rPr>
        <w:t>Et ailleurs ?</w:t>
      </w:r>
    </w:p>
    <w:p w:rsidR="00AC12B4" w:rsidRPr="00C27636" w:rsidRDefault="00AC12B4">
      <w:pPr>
        <w:spacing w:line="211" w:lineRule="exact"/>
        <w:rPr>
          <w:sz w:val="20"/>
          <w:szCs w:val="20"/>
          <w:lang w:val="fr-BE"/>
        </w:rPr>
      </w:pPr>
    </w:p>
    <w:p w:rsidR="00AC12B4" w:rsidRPr="00C27636" w:rsidRDefault="00C27636">
      <w:pPr>
        <w:spacing w:line="224" w:lineRule="auto"/>
        <w:ind w:left="80" w:right="520"/>
        <w:jc w:val="both"/>
        <w:rPr>
          <w:sz w:val="20"/>
          <w:szCs w:val="20"/>
          <w:lang w:val="fr-BE"/>
        </w:rPr>
      </w:pPr>
      <w:r w:rsidRPr="00C27636">
        <w:rPr>
          <w:rFonts w:ascii="Calibri" w:eastAsia="Calibri" w:hAnsi="Calibri" w:cs="Calibri"/>
          <w:lang w:val="fr-BE"/>
        </w:rPr>
        <w:t>La Belgique se situe dans la moyenne des pays de l’OCDE en terme de sentiment d’écoute des élèves.</w:t>
      </w:r>
    </w:p>
    <w:p w:rsidR="00AC12B4" w:rsidRPr="00C27636" w:rsidRDefault="00AC12B4">
      <w:pPr>
        <w:spacing w:line="209" w:lineRule="exact"/>
        <w:rPr>
          <w:sz w:val="20"/>
          <w:szCs w:val="20"/>
          <w:lang w:val="fr-BE"/>
        </w:rPr>
      </w:pPr>
    </w:p>
    <w:p w:rsidR="00AC12B4" w:rsidRDefault="00C27636">
      <w:pPr>
        <w:ind w:left="80"/>
        <w:rPr>
          <w:sz w:val="20"/>
          <w:szCs w:val="20"/>
        </w:rPr>
      </w:pPr>
      <w:r>
        <w:rPr>
          <w:rFonts w:ascii="Cambria" w:eastAsia="Cambria" w:hAnsi="Cambria" w:cs="Cambria"/>
          <w:b/>
          <w:bCs/>
          <w:i/>
          <w:iCs/>
          <w:color w:val="44ACE0"/>
          <w:sz w:val="26"/>
          <w:szCs w:val="26"/>
        </w:rPr>
        <w:t>D’où viennent ces chiffres ?</w:t>
      </w:r>
    </w:p>
    <w:p w:rsidR="00AC12B4" w:rsidRDefault="00AC12B4">
      <w:pPr>
        <w:spacing w:line="168" w:lineRule="exact"/>
        <w:rPr>
          <w:sz w:val="20"/>
          <w:szCs w:val="20"/>
        </w:rPr>
      </w:pPr>
    </w:p>
    <w:p w:rsidR="00AC12B4" w:rsidRDefault="00C27636">
      <w:pPr>
        <w:numPr>
          <w:ilvl w:val="0"/>
          <w:numId w:val="229"/>
        </w:numPr>
        <w:tabs>
          <w:tab w:val="left" w:pos="800"/>
        </w:tabs>
        <w:ind w:left="800" w:hanging="360"/>
        <w:rPr>
          <w:rFonts w:ascii="Wingdings" w:eastAsia="Wingdings" w:hAnsi="Wingdings" w:cs="Wingdings"/>
          <w:color w:val="4BACC6"/>
        </w:rPr>
      </w:pPr>
      <w:r>
        <w:rPr>
          <w:rFonts w:ascii="Cambria" w:eastAsia="Cambria" w:hAnsi="Cambria" w:cs="Cambria"/>
          <w:i/>
          <w:iCs/>
          <w:color w:val="4BACC6"/>
        </w:rPr>
        <w:t>PISA</w:t>
      </w:r>
    </w:p>
    <w:p w:rsidR="00AC12B4" w:rsidRDefault="00AC12B4">
      <w:pPr>
        <w:spacing w:line="199" w:lineRule="exact"/>
        <w:rPr>
          <w:sz w:val="20"/>
          <w:szCs w:val="20"/>
        </w:rPr>
      </w:pPr>
    </w:p>
    <w:p w:rsidR="00AC12B4" w:rsidRPr="00C27636" w:rsidRDefault="00C27636">
      <w:pPr>
        <w:spacing w:line="218" w:lineRule="auto"/>
        <w:ind w:left="80" w:right="520"/>
        <w:rPr>
          <w:sz w:val="20"/>
          <w:szCs w:val="20"/>
          <w:lang w:val="fr-BE"/>
        </w:rPr>
      </w:pPr>
      <w:r w:rsidRPr="00C27636">
        <w:rPr>
          <w:rFonts w:ascii="Calibri" w:eastAsia="Calibri" w:hAnsi="Calibri" w:cs="Calibri"/>
          <w:lang w:val="fr-BE"/>
        </w:rPr>
        <w:t>Pour une description de l’enquête PISA voir la section « sources ».</w:t>
      </w:r>
    </w:p>
    <w:p w:rsidR="00AC12B4" w:rsidRPr="00C27636" w:rsidRDefault="00AC12B4">
      <w:pPr>
        <w:spacing w:line="128" w:lineRule="exact"/>
        <w:rPr>
          <w:sz w:val="20"/>
          <w:szCs w:val="20"/>
          <w:lang w:val="fr-BE"/>
        </w:rPr>
      </w:pPr>
    </w:p>
    <w:p w:rsidR="00AC12B4" w:rsidRDefault="00C27636">
      <w:pPr>
        <w:numPr>
          <w:ilvl w:val="0"/>
          <w:numId w:val="230"/>
        </w:numPr>
        <w:tabs>
          <w:tab w:val="left" w:pos="800"/>
        </w:tabs>
        <w:ind w:left="800" w:hanging="360"/>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202" w:lineRule="exact"/>
        <w:rPr>
          <w:sz w:val="20"/>
          <w:szCs w:val="20"/>
        </w:rPr>
      </w:pPr>
    </w:p>
    <w:p w:rsidR="00AC12B4" w:rsidRPr="00C27636" w:rsidRDefault="00C27636">
      <w:pPr>
        <w:spacing w:line="218" w:lineRule="auto"/>
        <w:ind w:left="80" w:right="520"/>
        <w:rPr>
          <w:sz w:val="20"/>
          <w:szCs w:val="20"/>
          <w:lang w:val="fr-BE"/>
        </w:rPr>
      </w:pPr>
      <w:r w:rsidRPr="00C27636">
        <w:rPr>
          <w:rFonts w:ascii="Calibri" w:eastAsia="Calibri" w:hAnsi="Calibri" w:cs="Calibri"/>
          <w:lang w:val="fr-BE"/>
        </w:rPr>
        <w:t>Comme indiqué dans la présentation de PISA, celle-ci est conçue pour être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93568" behindDoc="1" locked="0" layoutInCell="0" allowOverlap="1">
                <wp:simplePos x="0" y="0"/>
                <wp:positionH relativeFrom="column">
                  <wp:posOffset>50800</wp:posOffset>
                </wp:positionH>
                <wp:positionV relativeFrom="paragraph">
                  <wp:posOffset>107950</wp:posOffset>
                </wp:positionV>
                <wp:extent cx="1828800" cy="0"/>
                <wp:effectExtent l="0" t="0" r="0" b="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8.5pt" to="148pt,8.5pt" o:allowincell="f" strokecolor="#000000" strokeweight="0.7199pt"/>
            </w:pict>
          </mc:Fallback>
        </mc:AlternateContent>
      </w:r>
    </w:p>
    <w:p w:rsidR="00AC12B4" w:rsidRPr="00C27636" w:rsidRDefault="00AC12B4">
      <w:pPr>
        <w:spacing w:line="252" w:lineRule="exact"/>
        <w:rPr>
          <w:sz w:val="20"/>
          <w:szCs w:val="20"/>
          <w:lang w:val="fr-BE"/>
        </w:rPr>
      </w:pPr>
    </w:p>
    <w:p w:rsidR="00AC12B4" w:rsidRPr="00C27636" w:rsidRDefault="00C27636">
      <w:pPr>
        <w:tabs>
          <w:tab w:val="left" w:pos="140"/>
          <w:tab w:val="left" w:pos="140"/>
          <w:tab w:val="left" w:pos="140"/>
          <w:tab w:val="left" w:pos="140"/>
          <w:tab w:val="left" w:pos="140"/>
          <w:tab w:val="left" w:pos="140"/>
          <w:tab w:val="left" w:pos="140"/>
        </w:tabs>
        <w:ind w:right="440"/>
        <w:jc w:val="center"/>
        <w:rPr>
          <w:sz w:val="20"/>
          <w:szCs w:val="20"/>
          <w:lang w:val="fr-BE"/>
        </w:rPr>
      </w:pPr>
      <w:r w:rsidRPr="00C27636">
        <w:rPr>
          <w:rFonts w:ascii="Calibri" w:eastAsia="Calibri" w:hAnsi="Calibri" w:cs="Calibri"/>
          <w:sz w:val="26"/>
          <w:szCs w:val="26"/>
          <w:vertAlign w:val="superscript"/>
          <w:lang w:val="fr-BE"/>
        </w:rPr>
        <w:t>1</w:t>
      </w:r>
      <w:r w:rsidRPr="00C27636">
        <w:rPr>
          <w:sz w:val="20"/>
          <w:szCs w:val="20"/>
          <w:lang w:val="fr-BE"/>
        </w:rPr>
        <w:tab/>
      </w:r>
      <w:r w:rsidRPr="00C27636">
        <w:rPr>
          <w:rFonts w:ascii="Calibri" w:eastAsia="Calibri" w:hAnsi="Calibri" w:cs="Calibri"/>
          <w:sz w:val="20"/>
          <w:szCs w:val="20"/>
          <w:lang w:val="fr-BE"/>
        </w:rPr>
        <w:t>L’analyse</w:t>
      </w:r>
      <w:r w:rsidRPr="00C27636">
        <w:rPr>
          <w:rFonts w:ascii="Calibri" w:eastAsia="Calibri" w:hAnsi="Calibri" w:cs="Calibri"/>
          <w:sz w:val="20"/>
          <w:szCs w:val="20"/>
          <w:lang w:val="fr-BE"/>
        </w:rPr>
        <w:tab/>
        <w:t>se</w:t>
      </w:r>
      <w:r w:rsidRPr="00C27636">
        <w:rPr>
          <w:rFonts w:ascii="Calibri" w:eastAsia="Calibri" w:hAnsi="Calibri" w:cs="Calibri"/>
          <w:sz w:val="20"/>
          <w:szCs w:val="20"/>
          <w:lang w:val="fr-BE"/>
        </w:rPr>
        <w:tab/>
        <w:t>base</w:t>
      </w:r>
      <w:r w:rsidRPr="00C27636">
        <w:rPr>
          <w:rFonts w:ascii="Calibri" w:eastAsia="Calibri" w:hAnsi="Calibri" w:cs="Calibri"/>
          <w:sz w:val="20"/>
          <w:szCs w:val="20"/>
          <w:lang w:val="fr-BE"/>
        </w:rPr>
        <w:tab/>
        <w:t>ici</w:t>
      </w:r>
      <w:r w:rsidRPr="00C27636">
        <w:rPr>
          <w:rFonts w:ascii="Calibri" w:eastAsia="Calibri" w:hAnsi="Calibri" w:cs="Calibri"/>
          <w:sz w:val="20"/>
          <w:szCs w:val="20"/>
          <w:lang w:val="fr-BE"/>
        </w:rPr>
        <w:tab/>
        <w:t>sur</w:t>
      </w:r>
      <w:r w:rsidRPr="00C27636">
        <w:rPr>
          <w:rFonts w:ascii="Calibri" w:eastAsia="Calibri" w:hAnsi="Calibri" w:cs="Calibri"/>
          <w:sz w:val="20"/>
          <w:szCs w:val="20"/>
          <w:lang w:val="fr-BE"/>
        </w:rPr>
        <w:tab/>
        <w:t>les</w:t>
      </w:r>
      <w:r w:rsidRPr="00C27636">
        <w:rPr>
          <w:rFonts w:ascii="Calibri" w:eastAsia="Calibri" w:hAnsi="Calibri" w:cs="Calibri"/>
          <w:sz w:val="20"/>
          <w:szCs w:val="20"/>
          <w:lang w:val="fr-BE"/>
        </w:rPr>
        <w:tab/>
        <w:t>quartiles</w:t>
      </w:r>
    </w:p>
    <w:p w:rsidR="00AC12B4" w:rsidRPr="00C27636" w:rsidRDefault="00AC12B4">
      <w:pPr>
        <w:spacing w:line="96" w:lineRule="exact"/>
        <w:rPr>
          <w:sz w:val="20"/>
          <w:szCs w:val="20"/>
          <w:lang w:val="fr-BE"/>
        </w:rPr>
      </w:pPr>
    </w:p>
    <w:p w:rsidR="00AC12B4" w:rsidRPr="00C27636" w:rsidRDefault="00C27636">
      <w:pPr>
        <w:numPr>
          <w:ilvl w:val="0"/>
          <w:numId w:val="231"/>
        </w:numPr>
        <w:tabs>
          <w:tab w:val="left" w:pos="229"/>
        </w:tabs>
        <w:spacing w:line="230" w:lineRule="auto"/>
        <w:ind w:left="80" w:right="520"/>
        <w:jc w:val="both"/>
        <w:rPr>
          <w:rFonts w:ascii="Calibri" w:eastAsia="Calibri" w:hAnsi="Calibri" w:cs="Calibri"/>
          <w:sz w:val="20"/>
          <w:szCs w:val="20"/>
          <w:lang w:val="fr-BE"/>
        </w:rPr>
      </w:pPr>
      <w:r w:rsidRPr="00C27636">
        <w:rPr>
          <w:rFonts w:ascii="Calibri" w:eastAsia="Calibri" w:hAnsi="Calibri" w:cs="Calibri"/>
          <w:sz w:val="20"/>
          <w:szCs w:val="20"/>
          <w:lang w:val="fr-BE"/>
        </w:rPr>
        <w:t xml:space="preserve">extrêmes » des résultats en mathématique. Les élèves qualifiés de « moins performant » font partie des 25% des </w:t>
      </w:r>
      <w:r w:rsidRPr="00C27636">
        <w:rPr>
          <w:rFonts w:ascii="Calibri" w:eastAsia="Calibri" w:hAnsi="Calibri" w:cs="Calibri"/>
          <w:sz w:val="20"/>
          <w:szCs w:val="20"/>
          <w:lang w:val="fr-BE"/>
        </w:rPr>
        <w:t>élèves ayant les résultats les plus faibles au test de mathématique.</w:t>
      </w:r>
    </w:p>
    <w:p w:rsidR="00AC12B4" w:rsidRPr="00C27636" w:rsidRDefault="00AC12B4">
      <w:pPr>
        <w:spacing w:line="49" w:lineRule="exact"/>
        <w:rPr>
          <w:sz w:val="20"/>
          <w:szCs w:val="20"/>
          <w:lang w:val="fr-BE"/>
        </w:rPr>
      </w:pPr>
    </w:p>
    <w:p w:rsidR="00AC12B4" w:rsidRDefault="00C27636">
      <w:pPr>
        <w:numPr>
          <w:ilvl w:val="0"/>
          <w:numId w:val="232"/>
        </w:numPr>
        <w:tabs>
          <w:tab w:val="left" w:pos="200"/>
        </w:tabs>
        <w:ind w:left="200" w:hanging="120"/>
        <w:rPr>
          <w:rFonts w:ascii="Calibri" w:eastAsia="Calibri" w:hAnsi="Calibri" w:cs="Calibri"/>
          <w:sz w:val="26"/>
          <w:szCs w:val="26"/>
          <w:vertAlign w:val="superscript"/>
        </w:rPr>
      </w:pPr>
      <w:r>
        <w:rPr>
          <w:rFonts w:ascii="Calibri" w:eastAsia="Calibri" w:hAnsi="Calibri" w:cs="Calibri"/>
          <w:sz w:val="20"/>
          <w:szCs w:val="20"/>
        </w:rPr>
        <w:t>77,4% versus 72,3%.</w:t>
      </w:r>
    </w:p>
    <w:p w:rsidR="00AC12B4" w:rsidRDefault="00AC12B4">
      <w:pPr>
        <w:spacing w:line="167" w:lineRule="exact"/>
        <w:rPr>
          <w:rFonts w:ascii="Calibri" w:eastAsia="Calibri" w:hAnsi="Calibri" w:cs="Calibri"/>
          <w:sz w:val="26"/>
          <w:szCs w:val="26"/>
          <w:vertAlign w:val="superscript"/>
        </w:rPr>
      </w:pPr>
    </w:p>
    <w:p w:rsidR="00AC12B4" w:rsidRPr="00C27636" w:rsidRDefault="00C27636">
      <w:pPr>
        <w:numPr>
          <w:ilvl w:val="0"/>
          <w:numId w:val="232"/>
        </w:numPr>
        <w:tabs>
          <w:tab w:val="left" w:pos="234"/>
        </w:tabs>
        <w:spacing w:line="188" w:lineRule="auto"/>
        <w:ind w:left="80" w:right="52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Près de 76% des filles se sentent écoutées contre 72% des garçons.</w:t>
      </w:r>
    </w:p>
    <w:p w:rsidR="00AC12B4" w:rsidRPr="00C27636" w:rsidRDefault="00AC12B4">
      <w:pPr>
        <w:spacing w:line="244"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128</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représentative des jeunes scolarisés de 15 ans. L’enseignement ordinaire et une partie des</w:t>
      </w:r>
      <w:r w:rsidRPr="00C27636">
        <w:rPr>
          <w:rFonts w:ascii="Calibri" w:eastAsia="Calibri" w:hAnsi="Calibri" w:cs="Calibri"/>
          <w:lang w:val="fr-BE"/>
        </w:rPr>
        <w:t xml:space="preserve"> formes de l'enseignement spécialisé sont touchés par l’enquête. Elle a donc ses limites pour notre set d’indicateurs qui s’intéresse à toutes les tranches d’âge et qui accorde une attention particulière aux groupes vulnérables.</w:t>
      </w:r>
    </w:p>
    <w:p w:rsidR="00AC12B4" w:rsidRPr="00C27636" w:rsidRDefault="00AC12B4">
      <w:pPr>
        <w:spacing w:line="170"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lang w:val="fr-BE"/>
        </w:rPr>
        <w:t xml:space="preserve">Dans le cadre d’enquêtes, </w:t>
      </w:r>
      <w:r w:rsidRPr="00C27636">
        <w:rPr>
          <w:rFonts w:ascii="Calibri" w:eastAsia="Calibri" w:hAnsi="Calibri" w:cs="Calibri"/>
          <w:lang w:val="fr-BE"/>
        </w:rPr>
        <w:t>il faut aussi toujours tenir compte du risque que le répondant réagit selon le principe de désirabilité. La réaction ne correspond dès lors pas toujours à la réalité mais à une version idéalisée de la réalité.</w:t>
      </w:r>
    </w:p>
    <w:p w:rsidR="00AC12B4" w:rsidRPr="00C27636" w:rsidRDefault="00AC12B4">
      <w:pPr>
        <w:spacing w:line="131" w:lineRule="exact"/>
        <w:rPr>
          <w:sz w:val="20"/>
          <w:szCs w:val="20"/>
          <w:lang w:val="fr-BE"/>
        </w:rPr>
      </w:pPr>
    </w:p>
    <w:p w:rsidR="00AC12B4" w:rsidRDefault="00C27636">
      <w:pPr>
        <w:numPr>
          <w:ilvl w:val="0"/>
          <w:numId w:val="233"/>
        </w:numPr>
        <w:tabs>
          <w:tab w:val="left" w:pos="720"/>
        </w:tabs>
        <w:ind w:left="720" w:hanging="355"/>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283" w:lineRule="exact"/>
        <w:rPr>
          <w:sz w:val="20"/>
          <w:szCs w:val="20"/>
        </w:rPr>
      </w:pPr>
    </w:p>
    <w:p w:rsidR="00AC12B4" w:rsidRPr="00C27636" w:rsidRDefault="00C27636">
      <w:pPr>
        <w:spacing w:line="260" w:lineRule="auto"/>
        <w:ind w:right="737"/>
        <w:jc w:val="both"/>
        <w:rPr>
          <w:sz w:val="20"/>
          <w:szCs w:val="20"/>
          <w:lang w:val="fr-BE"/>
        </w:rPr>
      </w:pPr>
      <w:r w:rsidRPr="00C27636">
        <w:rPr>
          <w:rFonts w:ascii="Calibri" w:eastAsia="Calibri" w:hAnsi="Calibri" w:cs="Calibri"/>
          <w:lang w:val="fr-BE"/>
        </w:rPr>
        <w:t xml:space="preserve">Les enquêtes PISA devraient </w:t>
      </w:r>
      <w:r w:rsidRPr="00C27636">
        <w:rPr>
          <w:rFonts w:ascii="Calibri" w:eastAsia="Calibri" w:hAnsi="Calibri" w:cs="Calibri"/>
          <w:lang w:val="fr-BE"/>
        </w:rPr>
        <w:t>être élargies aux dispositifs d'accueil et de scolarisation des élèves primo-arrivants (DASPA) et à l’enseignement spécialisé, sauf en cas de</w:t>
      </w:r>
    </w:p>
    <w:p w:rsidR="00AC12B4" w:rsidRPr="00C27636" w:rsidRDefault="00AC12B4">
      <w:pPr>
        <w:spacing w:line="70" w:lineRule="exact"/>
        <w:rPr>
          <w:sz w:val="20"/>
          <w:szCs w:val="20"/>
          <w:lang w:val="fr-BE"/>
        </w:rPr>
      </w:pPr>
    </w:p>
    <w:p w:rsidR="00AC12B4" w:rsidRPr="00C27636" w:rsidRDefault="00C27636">
      <w:pPr>
        <w:spacing w:line="236" w:lineRule="auto"/>
        <w:ind w:right="737"/>
        <w:jc w:val="both"/>
        <w:rPr>
          <w:sz w:val="20"/>
          <w:szCs w:val="20"/>
          <w:lang w:val="fr-BE"/>
        </w:rPr>
      </w:pPr>
      <w:r w:rsidRPr="00C27636">
        <w:rPr>
          <w:rFonts w:ascii="Calibri" w:eastAsia="Calibri" w:hAnsi="Calibri" w:cs="Calibri"/>
          <w:lang w:val="fr-BE"/>
        </w:rPr>
        <w:t>contre-indication inspirée par l’intérêt supérieur de l’enfant, via des</w:t>
      </w:r>
    </w:p>
    <w:p w:rsidR="00AC12B4" w:rsidRPr="00C27636" w:rsidRDefault="00AC12B4">
      <w:pPr>
        <w:spacing w:line="14"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questionnaires adaptés</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174"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Une enquête sp</w:t>
      </w:r>
      <w:r w:rsidRPr="00C27636">
        <w:rPr>
          <w:rFonts w:ascii="Calibri" w:eastAsia="Calibri" w:hAnsi="Calibri" w:cs="Calibri"/>
          <w:lang w:val="fr-BE"/>
        </w:rPr>
        <w:t>écifique doit atteindre les autres groupes pertinents non-atteints (cf section ‘Atteindre les plus vulnérables’).</w:t>
      </w:r>
    </w:p>
    <w:p w:rsidR="00AC12B4" w:rsidRPr="00C27636" w:rsidRDefault="00AC12B4">
      <w:pPr>
        <w:spacing w:line="208"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44ACE0"/>
          <w:sz w:val="26"/>
          <w:szCs w:val="26"/>
          <w:lang w:val="fr-BE"/>
        </w:rPr>
        <w:t>Pour aller plus loin</w:t>
      </w:r>
    </w:p>
    <w:p w:rsidR="00AC12B4" w:rsidRPr="00C27636" w:rsidRDefault="00AC12B4">
      <w:pPr>
        <w:spacing w:line="16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i/>
          <w:iCs/>
          <w:color w:val="4BACC6"/>
          <w:sz w:val="20"/>
          <w:szCs w:val="20"/>
          <w:lang w:val="fr-BE"/>
        </w:rPr>
        <w:t>JOP-Moniteur flamand</w:t>
      </w:r>
    </w:p>
    <w:p w:rsidR="00AC12B4" w:rsidRPr="00C27636" w:rsidRDefault="00AC12B4">
      <w:pPr>
        <w:spacing w:line="167" w:lineRule="exact"/>
        <w:rPr>
          <w:sz w:val="20"/>
          <w:szCs w:val="20"/>
          <w:lang w:val="fr-BE"/>
        </w:rPr>
      </w:pPr>
    </w:p>
    <w:p w:rsidR="00AC12B4" w:rsidRPr="00C27636" w:rsidRDefault="00C27636">
      <w:pPr>
        <w:numPr>
          <w:ilvl w:val="0"/>
          <w:numId w:val="234"/>
        </w:numPr>
        <w:tabs>
          <w:tab w:val="left" w:pos="720"/>
        </w:tabs>
        <w:spacing w:line="253" w:lineRule="auto"/>
        <w:ind w:left="720" w:right="737" w:hanging="355"/>
        <w:jc w:val="both"/>
        <w:rPr>
          <w:rFonts w:ascii="Cambria" w:eastAsia="Cambria" w:hAnsi="Cambria" w:cs="Cambria"/>
          <w:sz w:val="20"/>
          <w:szCs w:val="20"/>
          <w:lang w:val="fr-BE"/>
        </w:rPr>
      </w:pPr>
      <w:r w:rsidRPr="00C27636">
        <w:rPr>
          <w:rFonts w:ascii="Calibri" w:eastAsia="Calibri" w:hAnsi="Calibri" w:cs="Calibri"/>
          <w:sz w:val="20"/>
          <w:szCs w:val="20"/>
          <w:lang w:val="fr-BE"/>
        </w:rPr>
        <w:t xml:space="preserve">“Mes enseignants ne me prennent pas au sérieux »: 2008 : 6.3% (tout à fait) d’accord , en 2006: </w:t>
      </w:r>
      <w:r w:rsidRPr="00C27636">
        <w:rPr>
          <w:rFonts w:ascii="Calibri" w:eastAsia="Calibri" w:hAnsi="Calibri" w:cs="Calibri"/>
          <w:sz w:val="20"/>
          <w:szCs w:val="20"/>
          <w:lang w:val="fr-BE"/>
        </w:rPr>
        <w:t>9.4%</w:t>
      </w:r>
    </w:p>
    <w:p w:rsidR="00AC12B4" w:rsidRPr="00C27636" w:rsidRDefault="00AC12B4">
      <w:pPr>
        <w:spacing w:line="70" w:lineRule="exact"/>
        <w:rPr>
          <w:rFonts w:ascii="Cambria" w:eastAsia="Cambria" w:hAnsi="Cambria" w:cs="Cambria"/>
          <w:sz w:val="20"/>
          <w:szCs w:val="20"/>
          <w:lang w:val="fr-BE"/>
        </w:rPr>
      </w:pPr>
    </w:p>
    <w:p w:rsidR="00AC12B4" w:rsidRPr="00C27636" w:rsidRDefault="00C27636">
      <w:pPr>
        <w:numPr>
          <w:ilvl w:val="0"/>
          <w:numId w:val="234"/>
        </w:numPr>
        <w:tabs>
          <w:tab w:val="left" w:pos="720"/>
        </w:tabs>
        <w:spacing w:line="253" w:lineRule="auto"/>
        <w:ind w:left="720" w:right="737" w:hanging="355"/>
        <w:jc w:val="both"/>
        <w:rPr>
          <w:rFonts w:ascii="Cambria" w:eastAsia="Cambria" w:hAnsi="Cambria" w:cs="Cambria"/>
          <w:sz w:val="20"/>
          <w:szCs w:val="20"/>
          <w:lang w:val="fr-BE"/>
        </w:rPr>
      </w:pPr>
      <w:r w:rsidRPr="00C27636">
        <w:rPr>
          <w:rFonts w:ascii="Calibri" w:eastAsia="Calibri" w:hAnsi="Calibri" w:cs="Calibri"/>
          <w:sz w:val="20"/>
          <w:szCs w:val="20"/>
          <w:lang w:val="fr-BE"/>
        </w:rPr>
        <w:t>“La plupart de mes enseignants sont d’accord de parler avec moi si quelque chose ne me plaît pas » : 2008 : 57.1%</w:t>
      </w:r>
    </w:p>
    <w:p w:rsidR="00AC12B4" w:rsidRPr="00C27636" w:rsidRDefault="00AC12B4">
      <w:pPr>
        <w:spacing w:line="23" w:lineRule="exact"/>
        <w:rPr>
          <w:rFonts w:ascii="Cambria" w:eastAsia="Cambria" w:hAnsi="Cambria" w:cs="Cambria"/>
          <w:sz w:val="20"/>
          <w:szCs w:val="20"/>
          <w:lang w:val="fr-BE"/>
        </w:rPr>
      </w:pPr>
    </w:p>
    <w:p w:rsidR="00AC12B4" w:rsidRPr="00C27636" w:rsidRDefault="00C27636">
      <w:pPr>
        <w:ind w:left="720"/>
        <w:rPr>
          <w:rFonts w:ascii="Cambria" w:eastAsia="Cambria" w:hAnsi="Cambria" w:cs="Cambria"/>
          <w:sz w:val="20"/>
          <w:szCs w:val="20"/>
          <w:lang w:val="fr-BE"/>
        </w:rPr>
      </w:pPr>
      <w:r w:rsidRPr="00C27636">
        <w:rPr>
          <w:rFonts w:ascii="Calibri" w:eastAsia="Calibri" w:hAnsi="Calibri" w:cs="Calibri"/>
          <w:sz w:val="20"/>
          <w:szCs w:val="20"/>
          <w:lang w:val="fr-BE"/>
        </w:rPr>
        <w:t>(tout à fait) d’accord (2006 : 65.4%).</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94592" behindDoc="1" locked="0" layoutInCell="0" allowOverlap="1">
                <wp:simplePos x="0" y="0"/>
                <wp:positionH relativeFrom="column">
                  <wp:posOffset>3175</wp:posOffset>
                </wp:positionH>
                <wp:positionV relativeFrom="paragraph">
                  <wp:posOffset>382270</wp:posOffset>
                </wp:positionV>
                <wp:extent cx="1828800" cy="0"/>
                <wp:effectExtent l="0" t="0" r="0" b="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0.1pt" to="144.25pt,30.1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5" w:lineRule="exact"/>
        <w:rPr>
          <w:sz w:val="20"/>
          <w:szCs w:val="20"/>
          <w:lang w:val="fr-BE"/>
        </w:rPr>
      </w:pPr>
    </w:p>
    <w:p w:rsidR="00AC12B4" w:rsidRPr="00C27636" w:rsidRDefault="00C27636">
      <w:pPr>
        <w:spacing w:line="233" w:lineRule="auto"/>
        <w:ind w:right="737"/>
        <w:jc w:val="both"/>
        <w:rPr>
          <w:sz w:val="20"/>
          <w:szCs w:val="20"/>
          <w:lang w:val="fr-BE"/>
        </w:rPr>
      </w:pP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 xml:space="preserve"> Pour l’administration de l’enseignement flamande, la forme actuelle de PISA ne permet pas de réaliser l’enquête dans une autre langue que la langue d’instruction, ce qui est problématique pour les DASPA. En outre, des arguments budgétaires et comparabilit</w:t>
      </w:r>
      <w:r w:rsidRPr="00C27636">
        <w:rPr>
          <w:rFonts w:ascii="Calibri" w:eastAsia="Calibri" w:hAnsi="Calibri" w:cs="Calibri"/>
          <w:sz w:val="20"/>
          <w:szCs w:val="20"/>
          <w:lang w:val="fr-BE"/>
        </w:rPr>
        <w:t>és se heurtent à l’introduction d’enquêtes adaptées. HBSC international fait pourtant déjà des démarches dans ce sens.</w:t>
      </w:r>
    </w:p>
    <w:p w:rsidR="00AC12B4" w:rsidRPr="00C27636" w:rsidRDefault="00AC12B4">
      <w:pPr>
        <w:rPr>
          <w:lang w:val="fr-BE"/>
        </w:rPr>
        <w:sectPr w:rsidR="00AC12B4" w:rsidRPr="00C27636">
          <w:pgSz w:w="12080" w:h="17179"/>
          <w:pgMar w:top="1440" w:right="1440" w:bottom="659" w:left="487" w:header="0" w:footer="0" w:gutter="0"/>
          <w:cols w:num="3" w:space="720" w:equalWidth="0">
            <w:col w:w="342" w:space="531"/>
            <w:col w:w="4480" w:space="180"/>
            <w:col w:w="4617"/>
          </w:cols>
        </w:sectPr>
      </w:pPr>
    </w:p>
    <w:bookmarkStart w:id="128" w:name="page129"/>
    <w:bookmarkEnd w:id="128"/>
    <w:p w:rsidR="00AC12B4" w:rsidRPr="00C27636" w:rsidRDefault="00C27636">
      <w:pPr>
        <w:spacing w:line="211" w:lineRule="exact"/>
        <w:rPr>
          <w:sz w:val="20"/>
          <w:szCs w:val="20"/>
          <w:lang w:val="fr-BE"/>
        </w:rPr>
      </w:pPr>
      <w:r>
        <w:rPr>
          <w:noProof/>
          <w:sz w:val="20"/>
          <w:szCs w:val="20"/>
        </w:rPr>
        <w:lastRenderedPageBreak/>
        <mc:AlternateContent>
          <mc:Choice Requires="wps">
            <w:drawing>
              <wp:anchor distT="0" distB="0" distL="114300" distR="114300" simplePos="0" relativeHeight="251695616" behindDoc="1" locked="0" layoutInCell="0" allowOverlap="1">
                <wp:simplePos x="0" y="0"/>
                <wp:positionH relativeFrom="page">
                  <wp:posOffset>6908165</wp:posOffset>
                </wp:positionH>
                <wp:positionV relativeFrom="page">
                  <wp:posOffset>7620</wp:posOffset>
                </wp:positionV>
                <wp:extent cx="751840" cy="10896600"/>
                <wp:effectExtent l="0" t="0" r="0" b="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6600"/>
                        </a:xfrm>
                        <a:prstGeom prst="rect">
                          <a:avLst/>
                        </a:prstGeom>
                        <a:solidFill>
                          <a:srgbClr val="8BCCEC"/>
                        </a:solidFill>
                      </wps:spPr>
                      <wps:bodyPr/>
                    </wps:wsp>
                  </a:graphicData>
                </a:graphic>
              </wp:anchor>
            </w:drawing>
          </mc:Choice>
          <mc:Fallback>
            <w:pict>
              <v:rect id="Shape 362" o:spid="_x0000_s1387" style="position:absolute;margin-left:543.95pt;margin-top:0.6pt;width:59.2pt;height:85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Pr="00C27636" w:rsidRDefault="00C27636">
      <w:pPr>
        <w:numPr>
          <w:ilvl w:val="0"/>
          <w:numId w:val="235"/>
        </w:numPr>
        <w:tabs>
          <w:tab w:val="left" w:pos="1280"/>
        </w:tabs>
        <w:spacing w:line="253" w:lineRule="auto"/>
        <w:ind w:left="1280" w:right="5689" w:hanging="353"/>
        <w:jc w:val="both"/>
        <w:rPr>
          <w:rFonts w:ascii="Cambria" w:eastAsia="Cambria" w:hAnsi="Cambria" w:cs="Cambria"/>
          <w:sz w:val="20"/>
          <w:szCs w:val="20"/>
          <w:lang w:val="fr-BE"/>
        </w:rPr>
      </w:pPr>
      <w:r w:rsidRPr="00C27636">
        <w:rPr>
          <w:rFonts w:ascii="Calibri" w:eastAsia="Calibri" w:hAnsi="Calibri" w:cs="Calibri"/>
          <w:sz w:val="20"/>
          <w:szCs w:val="20"/>
          <w:lang w:val="fr-BE"/>
        </w:rPr>
        <w:t>« Je peux m’exprimer ouvertement, même si mon opinion diffère de celle des enseignants » : 2013: 59.7% (t</w:t>
      </w:r>
      <w:r w:rsidRPr="00C27636">
        <w:rPr>
          <w:rFonts w:ascii="Calibri" w:eastAsia="Calibri" w:hAnsi="Calibri" w:cs="Calibri"/>
          <w:sz w:val="20"/>
          <w:szCs w:val="20"/>
          <w:lang w:val="fr-BE"/>
        </w:rPr>
        <w:t>out</w:t>
      </w:r>
    </w:p>
    <w:p w:rsidR="00AC12B4" w:rsidRPr="00C27636" w:rsidRDefault="00AC12B4">
      <w:pPr>
        <w:spacing w:line="70" w:lineRule="exact"/>
        <w:rPr>
          <w:rFonts w:ascii="Cambria" w:eastAsia="Cambria" w:hAnsi="Cambria" w:cs="Cambria"/>
          <w:sz w:val="20"/>
          <w:szCs w:val="20"/>
          <w:lang w:val="fr-BE"/>
        </w:rPr>
      </w:pPr>
    </w:p>
    <w:p w:rsidR="00AC12B4" w:rsidRDefault="00C27636">
      <w:pPr>
        <w:spacing w:line="236" w:lineRule="auto"/>
        <w:ind w:left="1280" w:right="5689"/>
        <w:rPr>
          <w:rFonts w:ascii="Cambria" w:eastAsia="Cambria" w:hAnsi="Cambria" w:cs="Cambria"/>
          <w:sz w:val="20"/>
          <w:szCs w:val="20"/>
        </w:rPr>
      </w:pPr>
      <w:r>
        <w:rPr>
          <w:rFonts w:ascii="Calibri" w:eastAsia="Calibri" w:hAnsi="Calibri" w:cs="Calibri"/>
          <w:sz w:val="20"/>
          <w:szCs w:val="20"/>
        </w:rPr>
        <w:t>à fait) d’accord , 2008 : 54.1% et 2006 55.1%).</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46" w:lineRule="exact"/>
        <w:rPr>
          <w:sz w:val="20"/>
          <w:szCs w:val="20"/>
        </w:rPr>
      </w:pPr>
    </w:p>
    <w:tbl>
      <w:tblPr>
        <w:tblW w:w="0" w:type="auto"/>
        <w:tblInd w:w="9787" w:type="dxa"/>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à l’enseignement</w:t>
            </w:r>
          </w:p>
        </w:tc>
      </w:tr>
    </w:tbl>
    <w:p w:rsidR="00AC12B4" w:rsidRDefault="00AC12B4">
      <w:pPr>
        <w:spacing w:line="28" w:lineRule="exact"/>
        <w:rPr>
          <w:sz w:val="20"/>
          <w:szCs w:val="20"/>
        </w:rPr>
      </w:pPr>
    </w:p>
    <w:p w:rsidR="00AC12B4" w:rsidRDefault="00C27636">
      <w:pPr>
        <w:ind w:right="529"/>
        <w:jc w:val="center"/>
        <w:rPr>
          <w:sz w:val="20"/>
          <w:szCs w:val="20"/>
        </w:rPr>
      </w:pPr>
      <w:r>
        <w:rPr>
          <w:rFonts w:ascii="Calibri" w:eastAsia="Calibri" w:hAnsi="Calibri" w:cs="Calibri"/>
        </w:rPr>
        <w:t>129</w:t>
      </w:r>
    </w:p>
    <w:p w:rsidR="00AC12B4" w:rsidRDefault="00AC12B4">
      <w:pPr>
        <w:sectPr w:rsidR="00AC12B4">
          <w:pgSz w:w="12080" w:h="17179"/>
          <w:pgMar w:top="1440" w:right="508" w:bottom="659" w:left="1440" w:header="0" w:footer="0" w:gutter="0"/>
          <w:cols w:space="720" w:equalWidth="0">
            <w:col w:w="10129"/>
          </w:cols>
        </w:sectPr>
      </w:pPr>
    </w:p>
    <w:p w:rsidR="00AC12B4" w:rsidRDefault="00AC12B4">
      <w:pPr>
        <w:jc w:val="center"/>
        <w:rPr>
          <w:sz w:val="20"/>
          <w:szCs w:val="20"/>
        </w:rPr>
      </w:pPr>
      <w:bookmarkStart w:id="129" w:name="page130"/>
      <w:bookmarkEnd w:id="129"/>
    </w:p>
    <w:p w:rsidR="00AC12B4" w:rsidRDefault="00AC12B4">
      <w:pPr>
        <w:sectPr w:rsidR="00AC12B4">
          <w:pgSz w:w="12080" w:h="17179"/>
          <w:pgMar w:top="1440" w:right="1440" w:bottom="875" w:left="1440" w:header="0" w:footer="0" w:gutter="0"/>
          <w:cols w:space="0"/>
        </w:sectPr>
      </w:pPr>
    </w:p>
    <w:bookmarkStart w:id="130" w:name="page131"/>
    <w:bookmarkEnd w:id="130"/>
    <w:p w:rsidR="00AC12B4" w:rsidRDefault="00C27636">
      <w:pPr>
        <w:spacing w:line="168" w:lineRule="exact"/>
        <w:rPr>
          <w:sz w:val="20"/>
          <w:szCs w:val="20"/>
        </w:rPr>
      </w:pPr>
      <w:r>
        <w:rPr>
          <w:noProof/>
          <w:sz w:val="20"/>
          <w:szCs w:val="20"/>
        </w:rPr>
        <w:lastRenderedPageBreak/>
        <mc:AlternateContent>
          <mc:Choice Requires="wps">
            <w:drawing>
              <wp:anchor distT="0" distB="0" distL="114300" distR="114300" simplePos="0" relativeHeight="251696640" behindDoc="1" locked="0" layoutInCell="0" allowOverlap="1">
                <wp:simplePos x="0" y="0"/>
                <wp:positionH relativeFrom="page">
                  <wp:posOffset>6908165</wp:posOffset>
                </wp:positionH>
                <wp:positionV relativeFrom="page">
                  <wp:posOffset>7620</wp:posOffset>
                </wp:positionV>
                <wp:extent cx="751840" cy="10896600"/>
                <wp:effectExtent l="0" t="0" r="0" b="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6600"/>
                        </a:xfrm>
                        <a:prstGeom prst="rect">
                          <a:avLst/>
                        </a:prstGeom>
                        <a:solidFill>
                          <a:srgbClr val="8BCCEC"/>
                        </a:solidFill>
                      </wps:spPr>
                      <wps:bodyPr/>
                    </wps:wsp>
                  </a:graphicData>
                </a:graphic>
              </wp:anchor>
            </w:drawing>
          </mc:Choice>
          <mc:Fallback>
            <w:pict>
              <v:rect id="Shape 363" o:spid="_x0000_s1388" style="position:absolute;margin-left:543.95pt;margin-top:0.6pt;width:59.2pt;height:85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Pr="00C27636" w:rsidRDefault="00C27636">
      <w:pPr>
        <w:ind w:left="880"/>
        <w:rPr>
          <w:sz w:val="20"/>
          <w:szCs w:val="20"/>
          <w:lang w:val="fr-BE"/>
        </w:rPr>
      </w:pPr>
      <w:r w:rsidRPr="00C27636">
        <w:rPr>
          <w:rFonts w:ascii="Comic Sans MS" w:eastAsia="Comic Sans MS" w:hAnsi="Comic Sans MS" w:cs="Comic Sans MS"/>
          <w:color w:val="8BCCEC"/>
          <w:sz w:val="40"/>
          <w:szCs w:val="40"/>
          <w:lang w:val="fr-BE"/>
        </w:rPr>
        <w:t>E7. Sentiment d'être traité avec justice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697664" behindDoc="1" locked="0" layoutInCell="0" allowOverlap="1">
                <wp:simplePos x="0" y="0"/>
                <wp:positionH relativeFrom="column">
                  <wp:posOffset>-351155</wp:posOffset>
                </wp:positionH>
                <wp:positionV relativeFrom="paragraph">
                  <wp:posOffset>186690</wp:posOffset>
                </wp:positionV>
                <wp:extent cx="3689985" cy="1414780"/>
                <wp:effectExtent l="0" t="0" r="0" b="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9985" cy="1414780"/>
                        </a:xfrm>
                        <a:prstGeom prst="rect">
                          <a:avLst/>
                        </a:prstGeom>
                        <a:solidFill>
                          <a:srgbClr val="8BCCEC"/>
                        </a:solidFill>
                      </wps:spPr>
                      <wps:bodyPr/>
                    </wps:wsp>
                  </a:graphicData>
                </a:graphic>
              </wp:anchor>
            </w:drawing>
          </mc:Choice>
          <mc:Fallback>
            <w:pict>
              <v:rect id="Shape 364" o:spid="_x0000_s1389" style="position:absolute;margin-left:-27.6499pt;margin-top:14.7pt;width:290.55pt;height:1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r>
        <w:rPr>
          <w:noProof/>
          <w:sz w:val="20"/>
          <w:szCs w:val="20"/>
        </w:rPr>
        <mc:AlternateContent>
          <mc:Choice Requires="wps">
            <w:drawing>
              <wp:anchor distT="0" distB="0" distL="114300" distR="114300" simplePos="0" relativeHeight="251698688" behindDoc="1" locked="0" layoutInCell="0" allowOverlap="1">
                <wp:simplePos x="0" y="0"/>
                <wp:positionH relativeFrom="column">
                  <wp:posOffset>3338830</wp:posOffset>
                </wp:positionH>
                <wp:positionV relativeFrom="paragraph">
                  <wp:posOffset>173990</wp:posOffset>
                </wp:positionV>
                <wp:extent cx="0" cy="1440180"/>
                <wp:effectExtent l="0" t="0" r="0" b="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44018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9pt,13.7pt" to="262.9pt,127.1pt" o:allowincell="f" strokecolor="#44ACE0" strokeweight="2pt"/>
            </w:pict>
          </mc:Fallback>
        </mc:AlternateContent>
      </w:r>
      <w:r>
        <w:rPr>
          <w:noProof/>
          <w:sz w:val="20"/>
          <w:szCs w:val="20"/>
        </w:rPr>
        <mc:AlternateContent>
          <mc:Choice Requires="wps">
            <w:drawing>
              <wp:anchor distT="0" distB="0" distL="114300" distR="114300" simplePos="0" relativeHeight="251699712" behindDoc="1" locked="0" layoutInCell="0" allowOverlap="1">
                <wp:simplePos x="0" y="0"/>
                <wp:positionH relativeFrom="column">
                  <wp:posOffset>-363855</wp:posOffset>
                </wp:positionH>
                <wp:positionV relativeFrom="paragraph">
                  <wp:posOffset>186690</wp:posOffset>
                </wp:positionV>
                <wp:extent cx="3715385" cy="0"/>
                <wp:effectExtent l="0" t="0" r="0" b="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1538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4.7pt" to="263.9pt,14.7pt" o:allowincell="f" strokecolor="#44ACE0" strokeweight="2pt"/>
            </w:pict>
          </mc:Fallback>
        </mc:AlternateContent>
      </w:r>
      <w:r>
        <w:rPr>
          <w:noProof/>
          <w:sz w:val="20"/>
          <w:szCs w:val="20"/>
        </w:rPr>
        <mc:AlternateContent>
          <mc:Choice Requires="wps">
            <w:drawing>
              <wp:anchor distT="0" distB="0" distL="114300" distR="114300" simplePos="0" relativeHeight="251700736" behindDoc="1" locked="0" layoutInCell="0" allowOverlap="1">
                <wp:simplePos x="0" y="0"/>
                <wp:positionH relativeFrom="column">
                  <wp:posOffset>-351155</wp:posOffset>
                </wp:positionH>
                <wp:positionV relativeFrom="paragraph">
                  <wp:posOffset>173990</wp:posOffset>
                </wp:positionV>
                <wp:extent cx="0" cy="1440180"/>
                <wp:effectExtent l="0" t="0" r="0" b="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44018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3.7pt" to="-27.6499pt,127.1pt" o:allowincell="f" strokecolor="#44ACE0" strokeweight="2pt"/>
            </w:pict>
          </mc:Fallback>
        </mc:AlternateContent>
      </w:r>
      <w:r>
        <w:rPr>
          <w:noProof/>
          <w:sz w:val="20"/>
          <w:szCs w:val="20"/>
        </w:rPr>
        <mc:AlternateContent>
          <mc:Choice Requires="wps">
            <w:drawing>
              <wp:anchor distT="0" distB="0" distL="114300" distR="114300" simplePos="0" relativeHeight="251701760" behindDoc="1" locked="0" layoutInCell="0" allowOverlap="1">
                <wp:simplePos x="0" y="0"/>
                <wp:positionH relativeFrom="column">
                  <wp:posOffset>-363855</wp:posOffset>
                </wp:positionH>
                <wp:positionV relativeFrom="paragraph">
                  <wp:posOffset>1601470</wp:posOffset>
                </wp:positionV>
                <wp:extent cx="3715385" cy="0"/>
                <wp:effectExtent l="0" t="0" r="0" b="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1538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26.1pt" to="263.9pt,126.1pt" o:allowincell="f" strokecolor="#44ACE0" strokeweight="2pt"/>
            </w:pict>
          </mc:Fallback>
        </mc:AlternateContent>
      </w:r>
    </w:p>
    <w:p w:rsidR="00AC12B4" w:rsidRPr="00C27636" w:rsidRDefault="00AC12B4">
      <w:pPr>
        <w:rPr>
          <w:lang w:val="fr-BE"/>
        </w:rPr>
        <w:sectPr w:rsidR="00AC12B4" w:rsidRPr="00C27636">
          <w:pgSz w:w="12080" w:h="17179"/>
          <w:pgMar w:top="1440" w:right="569" w:bottom="659" w:left="1120" w:header="0" w:footer="0" w:gutter="0"/>
          <w:cols w:space="720" w:equalWidth="0">
            <w:col w:w="10388"/>
          </w:cols>
        </w:sectPr>
      </w:pPr>
    </w:p>
    <w:p w:rsidR="00AC12B4" w:rsidRPr="00C27636" w:rsidRDefault="00AC12B4">
      <w:pPr>
        <w:spacing w:line="200" w:lineRule="exact"/>
        <w:rPr>
          <w:sz w:val="20"/>
          <w:szCs w:val="20"/>
          <w:lang w:val="fr-BE"/>
        </w:rPr>
      </w:pPr>
    </w:p>
    <w:p w:rsidR="00AC12B4" w:rsidRPr="00C27636" w:rsidRDefault="00AC12B4">
      <w:pPr>
        <w:spacing w:line="274" w:lineRule="exact"/>
        <w:rPr>
          <w:sz w:val="20"/>
          <w:szCs w:val="20"/>
          <w:lang w:val="fr-BE"/>
        </w:rPr>
      </w:pPr>
    </w:p>
    <w:p w:rsidR="00AC12B4" w:rsidRDefault="00C27636">
      <w:pPr>
        <w:rPr>
          <w:sz w:val="20"/>
          <w:szCs w:val="20"/>
        </w:rPr>
      </w:pPr>
      <w:r>
        <w:rPr>
          <w:rFonts w:ascii="Calibri" w:eastAsia="Calibri" w:hAnsi="Calibri" w:cs="Calibri"/>
          <w:i/>
          <w:iCs/>
          <w:color w:val="DAEEF3"/>
        </w:rPr>
        <w:t>Article 28 CIDE</w:t>
      </w:r>
    </w:p>
    <w:p w:rsidR="00AC12B4" w:rsidRDefault="00AC12B4">
      <w:pPr>
        <w:spacing w:line="169" w:lineRule="exact"/>
        <w:rPr>
          <w:sz w:val="20"/>
          <w:szCs w:val="20"/>
        </w:rPr>
      </w:pPr>
    </w:p>
    <w:p w:rsidR="00AC12B4" w:rsidRPr="00C27636" w:rsidRDefault="00C27636">
      <w:pPr>
        <w:numPr>
          <w:ilvl w:val="0"/>
          <w:numId w:val="236"/>
        </w:numPr>
        <w:tabs>
          <w:tab w:val="left" w:pos="341"/>
        </w:tabs>
        <w:spacing w:line="231" w:lineRule="auto"/>
        <w:ind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Les Etats parties prennent toutes les mesures appropriées pour veiller à ce que la discipline scolaire soit appliquée d’une manière compatible avec la dignité de l’enfant en tant qu’être humain et conformément à la présente Convention.</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8" w:lineRule="exact"/>
        <w:rPr>
          <w:sz w:val="20"/>
          <w:szCs w:val="20"/>
          <w:lang w:val="fr-BE"/>
        </w:rPr>
      </w:pPr>
    </w:p>
    <w:p w:rsidR="00AC12B4" w:rsidRPr="00C27636" w:rsidRDefault="00C27636">
      <w:pPr>
        <w:spacing w:line="234" w:lineRule="auto"/>
        <w:ind w:left="880" w:right="340"/>
        <w:jc w:val="both"/>
        <w:rPr>
          <w:sz w:val="20"/>
          <w:szCs w:val="20"/>
          <w:lang w:val="fr-BE"/>
        </w:rPr>
      </w:pPr>
      <w:r w:rsidRPr="00C27636">
        <w:rPr>
          <w:rFonts w:ascii="Calibri" w:eastAsia="Calibri" w:hAnsi="Calibri" w:cs="Calibri"/>
          <w:lang w:val="fr-BE"/>
        </w:rPr>
        <w:t xml:space="preserve">La CIDE souligne </w:t>
      </w:r>
      <w:r w:rsidRPr="00C27636">
        <w:rPr>
          <w:rFonts w:ascii="Calibri" w:eastAsia="Calibri" w:hAnsi="Calibri" w:cs="Calibri"/>
          <w:lang w:val="fr-BE"/>
        </w:rPr>
        <w:t>le droit à une discipline équitable à l’école. Plus encore, conformément à l'article 3, dans toutes les décisions qui concernent les enfants, leur intérêt supérieur doit être une considération primordiale. Les États garantissent à l'enfant la protection et</w:t>
      </w:r>
      <w:r w:rsidRPr="00C27636">
        <w:rPr>
          <w:rFonts w:ascii="Calibri" w:eastAsia="Calibri" w:hAnsi="Calibri" w:cs="Calibri"/>
          <w:lang w:val="fr-BE"/>
        </w:rPr>
        <w:t xml:space="preserve"> les soins nécessaires à son bien-être.</w:t>
      </w:r>
    </w:p>
    <w:p w:rsidR="00AC12B4" w:rsidRPr="00C27636" w:rsidRDefault="00AC12B4">
      <w:pPr>
        <w:spacing w:line="174" w:lineRule="exact"/>
        <w:rPr>
          <w:sz w:val="20"/>
          <w:szCs w:val="20"/>
          <w:lang w:val="fr-BE"/>
        </w:rPr>
      </w:pPr>
    </w:p>
    <w:p w:rsidR="00AC12B4" w:rsidRPr="00C27636" w:rsidRDefault="00C27636">
      <w:pPr>
        <w:spacing w:line="229" w:lineRule="auto"/>
        <w:ind w:left="880" w:right="340"/>
        <w:jc w:val="both"/>
        <w:rPr>
          <w:sz w:val="20"/>
          <w:szCs w:val="20"/>
          <w:lang w:val="fr-BE"/>
        </w:rPr>
      </w:pPr>
      <w:r w:rsidRPr="00C27636">
        <w:rPr>
          <w:rFonts w:ascii="Calibri" w:eastAsia="Calibri" w:hAnsi="Calibri" w:cs="Calibri"/>
          <w:lang w:val="fr-BE"/>
        </w:rPr>
        <w:t>Les données utilisées pour cet indicateur viennent de l’enquête internationale PISA réalisée auprès des élèves de 15 ans dans les pays de l’OCDE.</w:t>
      </w:r>
    </w:p>
    <w:p w:rsidR="00AC12B4" w:rsidRPr="00C27636" w:rsidRDefault="00AC12B4">
      <w:pPr>
        <w:spacing w:line="170" w:lineRule="exact"/>
        <w:rPr>
          <w:sz w:val="20"/>
          <w:szCs w:val="20"/>
          <w:lang w:val="fr-BE"/>
        </w:rPr>
      </w:pPr>
    </w:p>
    <w:p w:rsidR="00AC12B4" w:rsidRPr="00C27636" w:rsidRDefault="00C27636">
      <w:pPr>
        <w:spacing w:line="225" w:lineRule="auto"/>
        <w:ind w:left="880" w:right="340"/>
        <w:jc w:val="both"/>
        <w:rPr>
          <w:sz w:val="20"/>
          <w:szCs w:val="20"/>
          <w:lang w:val="fr-BE"/>
        </w:rPr>
      </w:pPr>
      <w:r w:rsidRPr="00C27636">
        <w:rPr>
          <w:rFonts w:ascii="Calibri" w:eastAsia="Calibri" w:hAnsi="Calibri" w:cs="Calibri"/>
          <w:lang w:val="fr-BE"/>
        </w:rPr>
        <w:t xml:space="preserve">Plus de trois quart des élèves interrogés se sentent traités avec </w:t>
      </w:r>
      <w:r w:rsidRPr="00C27636">
        <w:rPr>
          <w:rFonts w:ascii="Calibri" w:eastAsia="Calibri" w:hAnsi="Calibri" w:cs="Calibri"/>
          <w:lang w:val="fr-BE"/>
        </w:rPr>
        <w:t>justice par leurs professeurs.</w:t>
      </w:r>
    </w:p>
    <w:p w:rsidR="00AC12B4" w:rsidRPr="00C27636" w:rsidRDefault="00AC12B4">
      <w:pPr>
        <w:spacing w:line="171" w:lineRule="exact"/>
        <w:rPr>
          <w:sz w:val="20"/>
          <w:szCs w:val="20"/>
          <w:lang w:val="fr-BE"/>
        </w:rPr>
      </w:pPr>
    </w:p>
    <w:p w:rsidR="00AC12B4" w:rsidRPr="00C27636" w:rsidRDefault="00C27636">
      <w:pPr>
        <w:spacing w:line="228" w:lineRule="auto"/>
        <w:ind w:left="880" w:right="340"/>
        <w:jc w:val="both"/>
        <w:rPr>
          <w:sz w:val="20"/>
          <w:szCs w:val="20"/>
          <w:lang w:val="fr-BE"/>
        </w:rPr>
      </w:pPr>
      <w:r w:rsidRPr="00C27636">
        <w:rPr>
          <w:rFonts w:ascii="Calibri" w:eastAsia="Calibri" w:hAnsi="Calibri" w:cs="Calibri"/>
          <w:lang w:val="fr-BE"/>
        </w:rPr>
        <w:t>Cette réalité est cependant différente selon la Communauté. Les élèves flamands et germanophones se sentent plus largement traité avec justice (85% et 79%</w:t>
      </w:r>
    </w:p>
    <w:p w:rsidR="00AC12B4" w:rsidRPr="00C27636" w:rsidRDefault="00AC12B4">
      <w:pPr>
        <w:spacing w:line="52" w:lineRule="exact"/>
        <w:rPr>
          <w:sz w:val="20"/>
          <w:szCs w:val="20"/>
          <w:lang w:val="fr-BE"/>
        </w:rPr>
      </w:pPr>
    </w:p>
    <w:p w:rsidR="00AC12B4" w:rsidRPr="00C27636" w:rsidRDefault="00C27636">
      <w:pPr>
        <w:spacing w:line="218" w:lineRule="auto"/>
        <w:ind w:left="880" w:right="340"/>
        <w:jc w:val="both"/>
        <w:rPr>
          <w:sz w:val="20"/>
          <w:szCs w:val="20"/>
          <w:lang w:val="fr-BE"/>
        </w:rPr>
      </w:pPr>
      <w:r w:rsidRPr="00C27636">
        <w:rPr>
          <w:rFonts w:ascii="Calibri" w:eastAsia="Calibri" w:hAnsi="Calibri" w:cs="Calibri"/>
          <w:lang w:val="fr-BE"/>
        </w:rPr>
        <w:t>respectivement) que les élèves francophones (71%).</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6" w:lineRule="exact"/>
        <w:rPr>
          <w:sz w:val="20"/>
          <w:szCs w:val="20"/>
          <w:lang w:val="fr-BE"/>
        </w:rPr>
      </w:pPr>
    </w:p>
    <w:p w:rsidR="00AC12B4" w:rsidRPr="00C27636" w:rsidRDefault="00C27636">
      <w:pPr>
        <w:ind w:left="8"/>
        <w:rPr>
          <w:sz w:val="20"/>
          <w:szCs w:val="20"/>
          <w:lang w:val="fr-BE"/>
        </w:rPr>
      </w:pPr>
      <w:r w:rsidRPr="00C27636">
        <w:rPr>
          <w:rFonts w:ascii="Calibri" w:eastAsia="Calibri" w:hAnsi="Calibri" w:cs="Calibri"/>
          <w:lang w:val="fr-BE"/>
        </w:rPr>
        <w:t xml:space="preserve">plus à ceux </w:t>
      </w:r>
      <w:r w:rsidRPr="00C27636">
        <w:rPr>
          <w:rFonts w:ascii="Calibri" w:eastAsia="Calibri" w:hAnsi="Calibri" w:cs="Calibri"/>
          <w:lang w:val="fr-BE"/>
        </w:rPr>
        <w:t>qui en ont besoin) ou de</w:t>
      </w:r>
    </w:p>
    <w:p w:rsidR="00AC12B4" w:rsidRPr="00C27636" w:rsidRDefault="00AC12B4">
      <w:pPr>
        <w:spacing w:line="10" w:lineRule="exact"/>
        <w:rPr>
          <w:sz w:val="20"/>
          <w:szCs w:val="20"/>
          <w:lang w:val="fr-BE"/>
        </w:rPr>
      </w:pPr>
    </w:p>
    <w:p w:rsidR="00AC12B4" w:rsidRDefault="00C27636">
      <w:pPr>
        <w:numPr>
          <w:ilvl w:val="0"/>
          <w:numId w:val="237"/>
        </w:numPr>
        <w:tabs>
          <w:tab w:val="left" w:pos="171"/>
        </w:tabs>
        <w:spacing w:line="230" w:lineRule="auto"/>
        <w:ind w:left="8" w:right="1028" w:hanging="1"/>
        <w:jc w:val="both"/>
        <w:rPr>
          <w:rFonts w:ascii="Calibri" w:eastAsia="Calibri" w:hAnsi="Calibri" w:cs="Calibri"/>
        </w:rPr>
      </w:pPr>
      <w:r w:rsidRPr="00C27636">
        <w:rPr>
          <w:rFonts w:ascii="Calibri" w:eastAsia="Calibri" w:hAnsi="Calibri" w:cs="Calibri"/>
          <w:lang w:val="fr-BE"/>
        </w:rPr>
        <w:t>respect » (ne pas être humilié)</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 xml:space="preserve">. Il est de plus difficile de pouvoir déduire de ces données des réalités « objectives ». Ce qui ne diminue en rien l’importance de ce ressenti. </w:t>
      </w:r>
      <w:r>
        <w:rPr>
          <w:rFonts w:ascii="Calibri" w:eastAsia="Calibri" w:hAnsi="Calibri" w:cs="Calibri"/>
        </w:rPr>
        <w:t>Ainsi, il ressort d’une recherche universitaire</w:t>
      </w:r>
    </w:p>
    <w:p w:rsidR="00AC12B4" w:rsidRDefault="00C27636">
      <w:pPr>
        <w:spacing w:line="205" w:lineRule="auto"/>
        <w:ind w:left="8"/>
        <w:rPr>
          <w:rFonts w:ascii="Calibri" w:eastAsia="Calibri" w:hAnsi="Calibri" w:cs="Calibri"/>
        </w:rPr>
      </w:pPr>
      <w:r>
        <w:rPr>
          <w:rFonts w:ascii="Calibri" w:eastAsia="Calibri" w:hAnsi="Calibri" w:cs="Calibri"/>
        </w:rPr>
        <w:t>européenne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702784" behindDoc="1" locked="0" layoutInCell="0" allowOverlap="1">
                <wp:simplePos x="0" y="0"/>
                <wp:positionH relativeFrom="column">
                  <wp:posOffset>2639060</wp:posOffset>
                </wp:positionH>
                <wp:positionV relativeFrom="paragraph">
                  <wp:posOffset>-198120</wp:posOffset>
                </wp:positionV>
                <wp:extent cx="0" cy="1778635"/>
                <wp:effectExtent l="0" t="0" r="0" b="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7863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8pt,-15.5999pt" to="207.8pt,124.45pt" o:allowincell="f" strokecolor="#44ACE0" strokeweight="2pt"/>
            </w:pict>
          </mc:Fallback>
        </mc:AlternateContent>
      </w:r>
      <w:r>
        <w:rPr>
          <w:noProof/>
          <w:sz w:val="20"/>
          <w:szCs w:val="20"/>
        </w:rPr>
        <mc:AlternateContent>
          <mc:Choice Requires="wps">
            <w:drawing>
              <wp:anchor distT="0" distB="0" distL="114300" distR="114300" simplePos="0" relativeHeight="251703808" behindDoc="1" locked="0" layoutInCell="0" allowOverlap="1">
                <wp:simplePos x="0" y="0"/>
                <wp:positionH relativeFrom="column">
                  <wp:posOffset>1097915</wp:posOffset>
                </wp:positionH>
                <wp:positionV relativeFrom="paragraph">
                  <wp:posOffset>-198120</wp:posOffset>
                </wp:positionV>
                <wp:extent cx="0" cy="1778635"/>
                <wp:effectExtent l="0" t="0" r="0" b="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7863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45pt,-15.5999pt" to="86.45pt,124.45pt" o:allowincell="f" strokecolor="#44ACE0" strokeweight="2pt"/>
            </w:pict>
          </mc:Fallback>
        </mc:AlternateContent>
      </w:r>
      <w:r>
        <w:rPr>
          <w:noProof/>
          <w:sz w:val="20"/>
          <w:szCs w:val="20"/>
        </w:rPr>
        <mc:AlternateContent>
          <mc:Choice Requires="wps">
            <w:drawing>
              <wp:anchor distT="0" distB="0" distL="114300" distR="114300" simplePos="0" relativeHeight="251704832" behindDoc="1" locked="0" layoutInCell="0" allowOverlap="1">
                <wp:simplePos x="0" y="0"/>
                <wp:positionH relativeFrom="column">
                  <wp:posOffset>1085215</wp:posOffset>
                </wp:positionH>
                <wp:positionV relativeFrom="paragraph">
                  <wp:posOffset>-185420</wp:posOffset>
                </wp:positionV>
                <wp:extent cx="1566545" cy="0"/>
                <wp:effectExtent l="0" t="0" r="0" b="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654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45pt,-14.5999pt" to="208.8pt,-14.5999pt" o:allowincell="f" strokecolor="#44ACE0" strokeweight="2pt"/>
            </w:pict>
          </mc:Fallback>
        </mc:AlternateContent>
      </w:r>
    </w:p>
    <w:tbl>
      <w:tblPr>
        <w:tblW w:w="0" w:type="auto"/>
        <w:tblInd w:w="8" w:type="dxa"/>
        <w:tblLayout w:type="fixed"/>
        <w:tblCellMar>
          <w:left w:w="0" w:type="dxa"/>
          <w:right w:w="0" w:type="dxa"/>
        </w:tblCellMar>
        <w:tblLook w:val="04A0" w:firstRow="1" w:lastRow="0" w:firstColumn="1" w:lastColumn="0" w:noHBand="0" w:noVBand="1"/>
      </w:tblPr>
      <w:tblGrid>
        <w:gridCol w:w="1040"/>
        <w:gridCol w:w="660"/>
        <w:gridCol w:w="2460"/>
        <w:gridCol w:w="20"/>
      </w:tblGrid>
      <w:tr w:rsidR="00AC12B4">
        <w:trPr>
          <w:trHeight w:val="306"/>
        </w:trPr>
        <w:tc>
          <w:tcPr>
            <w:tcW w:w="1700" w:type="dxa"/>
            <w:gridSpan w:val="2"/>
            <w:vAlign w:val="bottom"/>
          </w:tcPr>
          <w:p w:rsidR="00AC12B4" w:rsidRDefault="00C27636">
            <w:pPr>
              <w:rPr>
                <w:sz w:val="20"/>
                <w:szCs w:val="20"/>
              </w:rPr>
            </w:pPr>
            <w:r>
              <w:rPr>
                <w:rFonts w:ascii="Calibri" w:eastAsia="Calibri" w:hAnsi="Calibri" w:cs="Calibri"/>
              </w:rPr>
              <w:t>que les élèves</w:t>
            </w:r>
          </w:p>
        </w:tc>
        <w:tc>
          <w:tcPr>
            <w:tcW w:w="2460" w:type="dxa"/>
            <w:vMerge w:val="restart"/>
            <w:vAlign w:val="bottom"/>
          </w:tcPr>
          <w:p w:rsidR="00AC12B4" w:rsidRDefault="00C27636">
            <w:pPr>
              <w:spacing w:line="1160" w:lineRule="exact"/>
              <w:ind w:right="45"/>
              <w:jc w:val="right"/>
              <w:rPr>
                <w:sz w:val="20"/>
                <w:szCs w:val="20"/>
              </w:rPr>
            </w:pPr>
            <w:r>
              <w:rPr>
                <w:rFonts w:ascii="Comic Sans MS" w:eastAsia="Comic Sans MS" w:hAnsi="Comic Sans MS" w:cs="Comic Sans MS"/>
                <w:color w:val="8BCCEC"/>
                <w:sz w:val="96"/>
                <w:szCs w:val="96"/>
              </w:rPr>
              <w:t>79%</w:t>
            </w:r>
          </w:p>
        </w:tc>
        <w:tc>
          <w:tcPr>
            <w:tcW w:w="0" w:type="dxa"/>
            <w:vAlign w:val="bottom"/>
          </w:tcPr>
          <w:p w:rsidR="00AC12B4" w:rsidRDefault="00AC12B4">
            <w:pPr>
              <w:rPr>
                <w:sz w:val="1"/>
                <w:szCs w:val="1"/>
              </w:rPr>
            </w:pPr>
          </w:p>
        </w:tc>
      </w:tr>
      <w:tr w:rsidR="00AC12B4">
        <w:trPr>
          <w:trHeight w:val="269"/>
        </w:trPr>
        <w:tc>
          <w:tcPr>
            <w:tcW w:w="1040" w:type="dxa"/>
            <w:vAlign w:val="bottom"/>
          </w:tcPr>
          <w:p w:rsidR="00AC12B4" w:rsidRDefault="00C27636">
            <w:pPr>
              <w:rPr>
                <w:sz w:val="20"/>
                <w:szCs w:val="20"/>
              </w:rPr>
            </w:pPr>
            <w:r>
              <w:rPr>
                <w:rFonts w:ascii="Calibri" w:eastAsia="Calibri" w:hAnsi="Calibri" w:cs="Calibri"/>
              </w:rPr>
              <w:t>s’estimant</w:t>
            </w:r>
          </w:p>
        </w:tc>
        <w:tc>
          <w:tcPr>
            <w:tcW w:w="660" w:type="dxa"/>
            <w:vAlign w:val="bottom"/>
          </w:tcPr>
          <w:p w:rsidR="00AC12B4" w:rsidRDefault="00AC12B4">
            <w:pPr>
              <w:rPr>
                <w:sz w:val="23"/>
                <w:szCs w:val="23"/>
              </w:rPr>
            </w:pPr>
          </w:p>
        </w:tc>
        <w:tc>
          <w:tcPr>
            <w:tcW w:w="2460" w:type="dxa"/>
            <w:vMerge/>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040" w:type="dxa"/>
            <w:vAlign w:val="bottom"/>
          </w:tcPr>
          <w:p w:rsidR="00AC12B4" w:rsidRDefault="00C27636">
            <w:pPr>
              <w:rPr>
                <w:sz w:val="20"/>
                <w:szCs w:val="20"/>
              </w:rPr>
            </w:pPr>
            <w:r>
              <w:rPr>
                <w:rFonts w:ascii="Calibri" w:eastAsia="Calibri" w:hAnsi="Calibri" w:cs="Calibri"/>
              </w:rPr>
              <w:t>faibles ont</w:t>
            </w:r>
          </w:p>
        </w:tc>
        <w:tc>
          <w:tcPr>
            <w:tcW w:w="660" w:type="dxa"/>
            <w:vAlign w:val="bottom"/>
          </w:tcPr>
          <w:p w:rsidR="00AC12B4" w:rsidRDefault="00C27636">
            <w:pPr>
              <w:ind w:left="60"/>
              <w:rPr>
                <w:sz w:val="20"/>
                <w:szCs w:val="20"/>
              </w:rPr>
            </w:pPr>
            <w:r>
              <w:rPr>
                <w:rFonts w:ascii="Calibri" w:eastAsia="Calibri" w:hAnsi="Calibri" w:cs="Calibri"/>
              </w:rPr>
              <w:t>un</w:t>
            </w:r>
          </w:p>
        </w:tc>
        <w:tc>
          <w:tcPr>
            <w:tcW w:w="2460" w:type="dxa"/>
            <w:vMerge/>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8"/>
        </w:trPr>
        <w:tc>
          <w:tcPr>
            <w:tcW w:w="1040" w:type="dxa"/>
            <w:vAlign w:val="bottom"/>
          </w:tcPr>
          <w:p w:rsidR="00AC12B4" w:rsidRDefault="00C27636">
            <w:pPr>
              <w:rPr>
                <w:sz w:val="20"/>
                <w:szCs w:val="20"/>
              </w:rPr>
            </w:pPr>
            <w:r>
              <w:rPr>
                <w:rFonts w:ascii="Calibri" w:eastAsia="Calibri" w:hAnsi="Calibri" w:cs="Calibri"/>
              </w:rPr>
              <w:t>sentiment</w:t>
            </w:r>
          </w:p>
        </w:tc>
        <w:tc>
          <w:tcPr>
            <w:tcW w:w="660" w:type="dxa"/>
            <w:vAlign w:val="bottom"/>
          </w:tcPr>
          <w:p w:rsidR="00AC12B4" w:rsidRDefault="00AC12B4">
            <w:pPr>
              <w:rPr>
                <w:sz w:val="24"/>
                <w:szCs w:val="24"/>
              </w:rPr>
            </w:pPr>
          </w:p>
        </w:tc>
        <w:tc>
          <w:tcPr>
            <w:tcW w:w="2460" w:type="dxa"/>
            <w:vMerge/>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0"/>
        </w:trPr>
        <w:tc>
          <w:tcPr>
            <w:tcW w:w="1040" w:type="dxa"/>
            <w:vAlign w:val="bottom"/>
          </w:tcPr>
          <w:p w:rsidR="00AC12B4" w:rsidRDefault="00C27636">
            <w:pPr>
              <w:spacing w:line="220" w:lineRule="exact"/>
              <w:rPr>
                <w:sz w:val="20"/>
                <w:szCs w:val="20"/>
              </w:rPr>
            </w:pPr>
            <w:r>
              <w:rPr>
                <w:rFonts w:ascii="Calibri" w:eastAsia="Calibri" w:hAnsi="Calibri" w:cs="Calibri"/>
              </w:rPr>
              <w:t>d’injustice</w:t>
            </w:r>
          </w:p>
        </w:tc>
        <w:tc>
          <w:tcPr>
            <w:tcW w:w="660" w:type="dxa"/>
            <w:vAlign w:val="bottom"/>
          </w:tcPr>
          <w:p w:rsidR="00AC12B4" w:rsidRDefault="00AC12B4">
            <w:pPr>
              <w:rPr>
                <w:sz w:val="19"/>
                <w:szCs w:val="19"/>
              </w:rPr>
            </w:pPr>
          </w:p>
        </w:tc>
        <w:tc>
          <w:tcPr>
            <w:tcW w:w="2460" w:type="dxa"/>
            <w:vMerge w:val="restart"/>
            <w:vAlign w:val="bottom"/>
          </w:tcPr>
          <w:p w:rsidR="00AC12B4" w:rsidRDefault="00C27636">
            <w:pPr>
              <w:ind w:left="180"/>
              <w:rPr>
                <w:sz w:val="20"/>
                <w:szCs w:val="20"/>
              </w:rPr>
            </w:pPr>
            <w:r>
              <w:rPr>
                <w:rFonts w:ascii="Comic Sans MS" w:eastAsia="Comic Sans MS" w:hAnsi="Comic Sans MS" w:cs="Comic Sans MS"/>
                <w:color w:val="0D0D0D"/>
                <w:sz w:val="20"/>
                <w:szCs w:val="20"/>
              </w:rPr>
              <w:t>Des élèves de 15 ans</w:t>
            </w:r>
          </w:p>
        </w:tc>
        <w:tc>
          <w:tcPr>
            <w:tcW w:w="0" w:type="dxa"/>
            <w:vAlign w:val="bottom"/>
          </w:tcPr>
          <w:p w:rsidR="00AC12B4" w:rsidRDefault="00AC12B4">
            <w:pPr>
              <w:rPr>
                <w:sz w:val="1"/>
                <w:szCs w:val="1"/>
              </w:rPr>
            </w:pPr>
          </w:p>
        </w:tc>
      </w:tr>
      <w:tr w:rsidR="00AC12B4">
        <w:trPr>
          <w:trHeight w:val="238"/>
        </w:trPr>
        <w:tc>
          <w:tcPr>
            <w:tcW w:w="1040" w:type="dxa"/>
            <w:vAlign w:val="bottom"/>
          </w:tcPr>
          <w:p w:rsidR="00AC12B4" w:rsidRDefault="00C27636">
            <w:pPr>
              <w:spacing w:line="237" w:lineRule="exact"/>
              <w:rPr>
                <w:sz w:val="20"/>
                <w:szCs w:val="20"/>
              </w:rPr>
            </w:pPr>
            <w:r>
              <w:rPr>
                <w:rFonts w:ascii="Calibri" w:eastAsia="Calibri" w:hAnsi="Calibri" w:cs="Calibri"/>
                <w:sz w:val="21"/>
                <w:szCs w:val="21"/>
              </w:rPr>
              <w:t>plus fort.</w:t>
            </w:r>
            <w:r>
              <w:rPr>
                <w:rFonts w:ascii="Calibri" w:eastAsia="Calibri" w:hAnsi="Calibri" w:cs="Calibri"/>
                <w:sz w:val="25"/>
                <w:szCs w:val="25"/>
                <w:vertAlign w:val="superscript"/>
              </w:rPr>
              <w:t>2</w:t>
            </w:r>
            <w:r>
              <w:rPr>
                <w:rFonts w:ascii="Calibri" w:eastAsia="Calibri" w:hAnsi="Calibri" w:cs="Calibri"/>
                <w:sz w:val="21"/>
                <w:szCs w:val="21"/>
              </w:rPr>
              <w:t>.</w:t>
            </w:r>
          </w:p>
        </w:tc>
        <w:tc>
          <w:tcPr>
            <w:tcW w:w="660" w:type="dxa"/>
            <w:vAlign w:val="bottom"/>
          </w:tcPr>
          <w:p w:rsidR="00AC12B4" w:rsidRDefault="00AC12B4">
            <w:pPr>
              <w:rPr>
                <w:sz w:val="20"/>
                <w:szCs w:val="20"/>
              </w:rPr>
            </w:pPr>
          </w:p>
        </w:tc>
        <w:tc>
          <w:tcPr>
            <w:tcW w:w="2460" w:type="dxa"/>
            <w:vMerge/>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76"/>
        </w:trPr>
        <w:tc>
          <w:tcPr>
            <w:tcW w:w="1700" w:type="dxa"/>
            <w:gridSpan w:val="2"/>
            <w:vMerge w:val="restart"/>
            <w:vAlign w:val="bottom"/>
          </w:tcPr>
          <w:p w:rsidR="00AC12B4" w:rsidRDefault="00C27636">
            <w:pPr>
              <w:rPr>
                <w:sz w:val="20"/>
                <w:szCs w:val="20"/>
              </w:rPr>
            </w:pPr>
            <w:r>
              <w:rPr>
                <w:rFonts w:ascii="Calibri" w:eastAsia="Calibri" w:hAnsi="Calibri" w:cs="Calibri"/>
              </w:rPr>
              <w:t>Les   données</w:t>
            </w:r>
          </w:p>
        </w:tc>
        <w:tc>
          <w:tcPr>
            <w:tcW w:w="2460" w:type="dxa"/>
            <w:vAlign w:val="bottom"/>
          </w:tcPr>
          <w:p w:rsidR="00AC12B4" w:rsidRDefault="00C27636">
            <w:pPr>
              <w:spacing w:line="276" w:lineRule="exact"/>
              <w:ind w:left="180"/>
              <w:rPr>
                <w:sz w:val="20"/>
                <w:szCs w:val="20"/>
              </w:rPr>
            </w:pPr>
            <w:r>
              <w:rPr>
                <w:rFonts w:ascii="Comic Sans MS" w:eastAsia="Comic Sans MS" w:hAnsi="Comic Sans MS" w:cs="Comic Sans MS"/>
                <w:color w:val="0D0D0D"/>
                <w:sz w:val="20"/>
                <w:szCs w:val="20"/>
              </w:rPr>
              <w:t>se   sentent   traités</w:t>
            </w:r>
          </w:p>
        </w:tc>
        <w:tc>
          <w:tcPr>
            <w:tcW w:w="0" w:type="dxa"/>
            <w:vAlign w:val="bottom"/>
          </w:tcPr>
          <w:p w:rsidR="00AC12B4" w:rsidRDefault="00AC12B4">
            <w:pPr>
              <w:rPr>
                <w:sz w:val="1"/>
                <w:szCs w:val="1"/>
              </w:rPr>
            </w:pPr>
          </w:p>
        </w:tc>
      </w:tr>
      <w:tr w:rsidR="00AC12B4">
        <w:trPr>
          <w:trHeight w:val="144"/>
        </w:trPr>
        <w:tc>
          <w:tcPr>
            <w:tcW w:w="1700" w:type="dxa"/>
            <w:gridSpan w:val="2"/>
            <w:vMerge/>
            <w:vAlign w:val="bottom"/>
          </w:tcPr>
          <w:p w:rsidR="00AC12B4" w:rsidRDefault="00AC12B4">
            <w:pPr>
              <w:rPr>
                <w:sz w:val="12"/>
                <w:szCs w:val="12"/>
              </w:rPr>
            </w:pPr>
          </w:p>
        </w:tc>
        <w:tc>
          <w:tcPr>
            <w:tcW w:w="2460" w:type="dxa"/>
            <w:vMerge w:val="restart"/>
            <w:vAlign w:val="bottom"/>
          </w:tcPr>
          <w:p w:rsidR="00AC12B4" w:rsidRDefault="00C27636">
            <w:pPr>
              <w:spacing w:line="277" w:lineRule="exact"/>
              <w:ind w:left="180"/>
              <w:rPr>
                <w:sz w:val="20"/>
                <w:szCs w:val="20"/>
              </w:rPr>
            </w:pPr>
            <w:r>
              <w:rPr>
                <w:rFonts w:ascii="Comic Sans MS" w:eastAsia="Comic Sans MS" w:hAnsi="Comic Sans MS" w:cs="Comic Sans MS"/>
                <w:color w:val="0D0D0D"/>
                <w:sz w:val="20"/>
                <w:szCs w:val="20"/>
              </w:rPr>
              <w:t>avec justice.</w:t>
            </w:r>
          </w:p>
        </w:tc>
        <w:tc>
          <w:tcPr>
            <w:tcW w:w="0" w:type="dxa"/>
            <w:vAlign w:val="bottom"/>
          </w:tcPr>
          <w:p w:rsidR="00AC12B4" w:rsidRDefault="00AC12B4">
            <w:pPr>
              <w:rPr>
                <w:sz w:val="1"/>
                <w:szCs w:val="1"/>
              </w:rPr>
            </w:pPr>
          </w:p>
        </w:tc>
      </w:tr>
      <w:tr w:rsidR="00AC12B4">
        <w:trPr>
          <w:trHeight w:val="134"/>
        </w:trPr>
        <w:tc>
          <w:tcPr>
            <w:tcW w:w="1040" w:type="dxa"/>
            <w:vMerge w:val="restart"/>
            <w:vAlign w:val="bottom"/>
          </w:tcPr>
          <w:p w:rsidR="00AC12B4" w:rsidRDefault="00C27636">
            <w:pPr>
              <w:rPr>
                <w:sz w:val="20"/>
                <w:szCs w:val="20"/>
              </w:rPr>
            </w:pPr>
            <w:r>
              <w:rPr>
                <w:rFonts w:ascii="Calibri" w:eastAsia="Calibri" w:hAnsi="Calibri" w:cs="Calibri"/>
              </w:rPr>
              <w:t>PISA</w:t>
            </w:r>
          </w:p>
        </w:tc>
        <w:tc>
          <w:tcPr>
            <w:tcW w:w="660" w:type="dxa"/>
            <w:vAlign w:val="bottom"/>
          </w:tcPr>
          <w:p w:rsidR="00AC12B4" w:rsidRDefault="00AC12B4">
            <w:pPr>
              <w:rPr>
                <w:sz w:val="11"/>
                <w:szCs w:val="11"/>
              </w:rPr>
            </w:pPr>
          </w:p>
        </w:tc>
        <w:tc>
          <w:tcPr>
            <w:tcW w:w="2460" w:type="dxa"/>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5"/>
        </w:trPr>
        <w:tc>
          <w:tcPr>
            <w:tcW w:w="1040" w:type="dxa"/>
            <w:vMerge/>
            <w:vAlign w:val="bottom"/>
          </w:tcPr>
          <w:p w:rsidR="00AC12B4" w:rsidRDefault="00AC12B4">
            <w:pPr>
              <w:rPr>
                <w:sz w:val="11"/>
                <w:szCs w:val="11"/>
              </w:rPr>
            </w:pPr>
          </w:p>
        </w:tc>
        <w:tc>
          <w:tcPr>
            <w:tcW w:w="660" w:type="dxa"/>
            <w:vAlign w:val="bottom"/>
          </w:tcPr>
          <w:p w:rsidR="00AC12B4" w:rsidRDefault="00AC12B4">
            <w:pPr>
              <w:rPr>
                <w:sz w:val="11"/>
                <w:szCs w:val="11"/>
              </w:rPr>
            </w:pPr>
          </w:p>
        </w:tc>
        <w:tc>
          <w:tcPr>
            <w:tcW w:w="24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62"/>
        </w:trPr>
        <w:tc>
          <w:tcPr>
            <w:tcW w:w="1040" w:type="dxa"/>
            <w:vMerge w:val="restart"/>
            <w:vAlign w:val="bottom"/>
          </w:tcPr>
          <w:p w:rsidR="00AC12B4" w:rsidRDefault="00C27636">
            <w:pPr>
              <w:rPr>
                <w:sz w:val="20"/>
                <w:szCs w:val="20"/>
              </w:rPr>
            </w:pPr>
            <w:r>
              <w:rPr>
                <w:rFonts w:ascii="Calibri" w:eastAsia="Calibri" w:hAnsi="Calibri" w:cs="Calibri"/>
              </w:rPr>
              <w:t>confirment</w:t>
            </w:r>
          </w:p>
        </w:tc>
        <w:tc>
          <w:tcPr>
            <w:tcW w:w="660" w:type="dxa"/>
            <w:vAlign w:val="bottom"/>
          </w:tcPr>
          <w:p w:rsidR="00AC12B4" w:rsidRDefault="00AC12B4">
            <w:pPr>
              <w:rPr>
                <w:sz w:val="14"/>
                <w:szCs w:val="14"/>
              </w:rPr>
            </w:pPr>
          </w:p>
        </w:tc>
        <w:tc>
          <w:tcPr>
            <w:tcW w:w="2460" w:type="dxa"/>
            <w:tcBorders>
              <w:bottom w:val="single" w:sz="8" w:space="0" w:color="44ACE0"/>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87"/>
        </w:trPr>
        <w:tc>
          <w:tcPr>
            <w:tcW w:w="1040" w:type="dxa"/>
            <w:vMerge/>
            <w:vAlign w:val="bottom"/>
          </w:tcPr>
          <w:p w:rsidR="00AC12B4" w:rsidRDefault="00AC12B4">
            <w:pPr>
              <w:rPr>
                <w:sz w:val="7"/>
                <w:szCs w:val="7"/>
              </w:rPr>
            </w:pPr>
          </w:p>
        </w:tc>
        <w:tc>
          <w:tcPr>
            <w:tcW w:w="660" w:type="dxa"/>
            <w:vAlign w:val="bottom"/>
          </w:tcPr>
          <w:p w:rsidR="00AC12B4" w:rsidRDefault="00AC12B4">
            <w:pPr>
              <w:rPr>
                <w:sz w:val="7"/>
                <w:szCs w:val="7"/>
              </w:rPr>
            </w:pPr>
          </w:p>
        </w:tc>
        <w:tc>
          <w:tcPr>
            <w:tcW w:w="2460" w:type="dxa"/>
            <w:vAlign w:val="bottom"/>
          </w:tcPr>
          <w:p w:rsidR="00AC12B4" w:rsidRDefault="00AC12B4">
            <w:pPr>
              <w:rPr>
                <w:sz w:val="7"/>
                <w:szCs w:val="7"/>
              </w:rPr>
            </w:pPr>
          </w:p>
        </w:tc>
        <w:tc>
          <w:tcPr>
            <w:tcW w:w="0" w:type="dxa"/>
            <w:vAlign w:val="bottom"/>
          </w:tcPr>
          <w:p w:rsidR="00AC12B4" w:rsidRDefault="00AC12B4">
            <w:pPr>
              <w:rPr>
                <w:sz w:val="1"/>
                <w:szCs w:val="1"/>
              </w:rPr>
            </w:pPr>
          </w:p>
        </w:tc>
      </w:tr>
    </w:tbl>
    <w:p w:rsidR="00AC12B4" w:rsidRDefault="00AC12B4">
      <w:pPr>
        <w:spacing w:line="47" w:lineRule="exact"/>
        <w:rPr>
          <w:sz w:val="20"/>
          <w:szCs w:val="20"/>
        </w:rPr>
      </w:pPr>
    </w:p>
    <w:p w:rsidR="00AC12B4" w:rsidRPr="00C27636" w:rsidRDefault="00C27636">
      <w:pPr>
        <w:spacing w:line="225" w:lineRule="auto"/>
        <w:ind w:left="8" w:right="1028"/>
        <w:jc w:val="both"/>
        <w:rPr>
          <w:sz w:val="20"/>
          <w:szCs w:val="20"/>
          <w:lang w:val="fr-BE"/>
        </w:rPr>
      </w:pPr>
      <w:r w:rsidRPr="00C27636">
        <w:rPr>
          <w:rFonts w:ascii="Calibri" w:eastAsia="Calibri" w:hAnsi="Calibri" w:cs="Calibri"/>
          <w:lang w:val="fr-BE"/>
        </w:rPr>
        <w:t xml:space="preserve">cela. Les élèves les « moins </w:t>
      </w:r>
      <w:r w:rsidRPr="00C27636">
        <w:rPr>
          <w:rFonts w:ascii="Calibri" w:eastAsia="Calibri" w:hAnsi="Calibri" w:cs="Calibri"/>
          <w:lang w:val="fr-BE"/>
        </w:rPr>
        <w:t>performants » sont seulement 69% à se sentir traités avec justice contre 88% pour les élèves les</w:t>
      </w:r>
    </w:p>
    <w:p w:rsidR="00AC12B4" w:rsidRPr="00C27636" w:rsidRDefault="00AC12B4">
      <w:pPr>
        <w:spacing w:line="11" w:lineRule="exact"/>
        <w:rPr>
          <w:sz w:val="20"/>
          <w:szCs w:val="20"/>
          <w:lang w:val="fr-BE"/>
        </w:rPr>
      </w:pPr>
    </w:p>
    <w:p w:rsidR="00AC12B4" w:rsidRPr="00C27636" w:rsidRDefault="00C27636">
      <w:pPr>
        <w:numPr>
          <w:ilvl w:val="0"/>
          <w:numId w:val="238"/>
        </w:numPr>
        <w:tabs>
          <w:tab w:val="left" w:pos="171"/>
        </w:tabs>
        <w:spacing w:line="211" w:lineRule="auto"/>
        <w:ind w:left="8" w:right="1048" w:hanging="8"/>
        <w:rPr>
          <w:rFonts w:ascii="Calibri" w:eastAsia="Calibri" w:hAnsi="Calibri" w:cs="Calibri"/>
          <w:lang w:val="fr-BE"/>
        </w:rPr>
      </w:pPr>
      <w:r w:rsidRPr="00C27636">
        <w:rPr>
          <w:rFonts w:ascii="Calibri" w:eastAsia="Calibri" w:hAnsi="Calibri" w:cs="Calibri"/>
          <w:lang w:val="fr-BE"/>
        </w:rPr>
        <w:t>plus performants »</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Cette différence est la plus marquée en FWB (58% - 82%)</w:t>
      </w:r>
    </w:p>
    <w:p w:rsidR="00AC12B4" w:rsidRPr="00C27636" w:rsidRDefault="00AC12B4">
      <w:pPr>
        <w:spacing w:line="172" w:lineRule="exact"/>
        <w:rPr>
          <w:sz w:val="20"/>
          <w:szCs w:val="20"/>
          <w:lang w:val="fr-BE"/>
        </w:rPr>
      </w:pPr>
    </w:p>
    <w:p w:rsidR="00AC12B4" w:rsidRPr="00C27636" w:rsidRDefault="00C27636">
      <w:pPr>
        <w:spacing w:line="234" w:lineRule="auto"/>
        <w:ind w:left="8" w:right="1028"/>
        <w:jc w:val="both"/>
        <w:rPr>
          <w:sz w:val="20"/>
          <w:szCs w:val="20"/>
          <w:lang w:val="fr-BE"/>
        </w:rPr>
      </w:pPr>
      <w:r w:rsidRPr="00C27636">
        <w:rPr>
          <w:rFonts w:ascii="Calibri" w:eastAsia="Calibri" w:hAnsi="Calibri" w:cs="Calibri"/>
          <w:lang w:val="fr-BE"/>
        </w:rPr>
        <w:t xml:space="preserve">En moyenne, en Belgique, aucune différence significative n’est observée entre </w:t>
      </w:r>
      <w:r w:rsidRPr="00C27636">
        <w:rPr>
          <w:rFonts w:ascii="Calibri" w:eastAsia="Calibri" w:hAnsi="Calibri" w:cs="Calibri"/>
          <w:lang w:val="fr-BE"/>
        </w:rPr>
        <w:t>les élèves d’origine belge et les élèves issus de l’immigration (première et deuxième générations confondues). Toutefois, l’écart est significatif en Communauté flamande, les élèves d’origine belge étant 86% à se sentir traités</w:t>
      </w:r>
    </w:p>
    <w:p w:rsidR="00AC12B4" w:rsidRPr="00C27636" w:rsidRDefault="00AC12B4">
      <w:pPr>
        <w:spacing w:line="11" w:lineRule="exact"/>
        <w:rPr>
          <w:sz w:val="20"/>
          <w:szCs w:val="20"/>
          <w:lang w:val="fr-BE"/>
        </w:rPr>
      </w:pPr>
    </w:p>
    <w:p w:rsidR="00AC12B4" w:rsidRPr="00C27636" w:rsidRDefault="00AC12B4">
      <w:pPr>
        <w:rPr>
          <w:lang w:val="fr-BE"/>
        </w:rPr>
        <w:sectPr w:rsidR="00AC12B4" w:rsidRPr="00C27636">
          <w:type w:val="continuous"/>
          <w:pgSz w:w="12080" w:h="17179"/>
          <w:pgMar w:top="1440" w:right="569" w:bottom="659" w:left="1120" w:header="0" w:footer="0" w:gutter="0"/>
          <w:cols w:num="2" w:space="720" w:equalWidth="0">
            <w:col w:w="5100" w:space="372"/>
            <w:col w:w="4916"/>
          </w:cols>
        </w:sectPr>
      </w:pPr>
    </w:p>
    <w:p w:rsidR="00AC12B4" w:rsidRPr="00C27636" w:rsidRDefault="00C27636">
      <w:pPr>
        <w:ind w:left="880"/>
        <w:rPr>
          <w:sz w:val="20"/>
          <w:szCs w:val="20"/>
          <w:lang w:val="fr-BE"/>
        </w:rPr>
      </w:pPr>
      <w:r w:rsidRPr="00C27636">
        <w:rPr>
          <w:rFonts w:ascii="Cambria" w:eastAsia="Cambria" w:hAnsi="Cambria" w:cs="Cambria"/>
          <w:b/>
          <w:bCs/>
          <w:i/>
          <w:iCs/>
          <w:color w:val="44ACE0"/>
          <w:sz w:val="26"/>
          <w:szCs w:val="26"/>
          <w:lang w:val="fr-BE"/>
        </w:rPr>
        <w:lastRenderedPageBreak/>
        <w:t>Evolution</w:t>
      </w:r>
    </w:p>
    <w:p w:rsidR="00AC12B4" w:rsidRPr="00C27636" w:rsidRDefault="00AC12B4">
      <w:pPr>
        <w:spacing w:line="208" w:lineRule="exact"/>
        <w:rPr>
          <w:sz w:val="20"/>
          <w:szCs w:val="20"/>
          <w:lang w:val="fr-BE"/>
        </w:rPr>
      </w:pPr>
    </w:p>
    <w:p w:rsidR="00AC12B4" w:rsidRPr="00C27636" w:rsidRDefault="00C27636">
      <w:pPr>
        <w:spacing w:line="225" w:lineRule="auto"/>
        <w:ind w:left="880" w:right="520"/>
        <w:jc w:val="both"/>
        <w:rPr>
          <w:sz w:val="20"/>
          <w:szCs w:val="20"/>
          <w:lang w:val="fr-BE"/>
        </w:rPr>
      </w:pPr>
      <w:r w:rsidRPr="00C27636">
        <w:rPr>
          <w:rFonts w:ascii="Calibri" w:eastAsia="Calibri" w:hAnsi="Calibri" w:cs="Calibri"/>
          <w:lang w:val="fr-BE"/>
        </w:rPr>
        <w:t>Le sentiment d’être traité avec justice par ses professeurs est resté assez stable entre 2003 et 2012.</w:t>
      </w:r>
    </w:p>
    <w:p w:rsidR="00AC12B4" w:rsidRPr="00C27636" w:rsidRDefault="00AC12B4">
      <w:pPr>
        <w:spacing w:line="208" w:lineRule="exact"/>
        <w:rPr>
          <w:sz w:val="20"/>
          <w:szCs w:val="20"/>
          <w:lang w:val="fr-BE"/>
        </w:rPr>
      </w:pPr>
    </w:p>
    <w:p w:rsidR="00AC12B4" w:rsidRPr="00C27636" w:rsidRDefault="00C27636">
      <w:pPr>
        <w:ind w:left="880"/>
        <w:rPr>
          <w:sz w:val="20"/>
          <w:szCs w:val="20"/>
          <w:lang w:val="fr-BE"/>
        </w:rPr>
      </w:pPr>
      <w:r w:rsidRPr="00C27636">
        <w:rPr>
          <w:rFonts w:ascii="Cambria" w:eastAsia="Cambria" w:hAnsi="Cambria" w:cs="Cambria"/>
          <w:b/>
          <w:bCs/>
          <w:i/>
          <w:iCs/>
          <w:color w:val="44ACE0"/>
          <w:sz w:val="26"/>
          <w:szCs w:val="26"/>
          <w:lang w:val="fr-BE"/>
        </w:rPr>
        <w:t>Iniquité</w:t>
      </w:r>
    </w:p>
    <w:p w:rsidR="00AC12B4" w:rsidRPr="00C27636" w:rsidRDefault="00AC12B4">
      <w:pPr>
        <w:spacing w:line="208" w:lineRule="exact"/>
        <w:rPr>
          <w:sz w:val="20"/>
          <w:szCs w:val="20"/>
          <w:lang w:val="fr-BE"/>
        </w:rPr>
      </w:pPr>
    </w:p>
    <w:p w:rsidR="00AC12B4" w:rsidRPr="00C27636" w:rsidRDefault="00C27636">
      <w:pPr>
        <w:spacing w:line="235" w:lineRule="auto"/>
        <w:ind w:left="880" w:right="520"/>
        <w:jc w:val="both"/>
        <w:rPr>
          <w:sz w:val="20"/>
          <w:szCs w:val="20"/>
          <w:lang w:val="fr-BE"/>
        </w:rPr>
      </w:pPr>
      <w:r w:rsidRPr="00C27636">
        <w:rPr>
          <w:rFonts w:ascii="Calibri" w:eastAsia="Calibri" w:hAnsi="Calibri" w:cs="Calibri"/>
          <w:lang w:val="fr-BE"/>
        </w:rPr>
        <w:lastRenderedPageBreak/>
        <w:t>La notion de justice (et les critères utilisés pour définir celle-ci) varie d’un individu à l’autre et varie notamment suivant le</w:t>
      </w:r>
      <w:r w:rsidRPr="00C27636">
        <w:rPr>
          <w:rFonts w:ascii="Calibri" w:eastAsia="Calibri" w:hAnsi="Calibri" w:cs="Calibri"/>
          <w:lang w:val="fr-BE"/>
        </w:rPr>
        <w:t xml:space="preserve"> statut socio-économique, les résultats scolaires,… Dans leur évaluation de la justice d’une situation, les jeunes utilisent tantôt un principe de « mérite » (récompense en cas d’effort), d’ « égalité » (traitement égal), de « besoin » (donner</w:t>
      </w:r>
    </w:p>
    <w:p w:rsidR="00AC12B4" w:rsidRPr="00C27636" w:rsidRDefault="00AC12B4">
      <w:pPr>
        <w:spacing w:line="196" w:lineRule="exact"/>
        <w:rPr>
          <w:sz w:val="20"/>
          <w:szCs w:val="20"/>
          <w:lang w:val="fr-BE"/>
        </w:rPr>
      </w:pPr>
    </w:p>
    <w:p w:rsidR="00AC12B4" w:rsidRDefault="00C27636">
      <w:pPr>
        <w:jc w:val="right"/>
        <w:rPr>
          <w:sz w:val="20"/>
          <w:szCs w:val="20"/>
        </w:rPr>
      </w:pPr>
      <w:r>
        <w:rPr>
          <w:rFonts w:ascii="Calibri" w:eastAsia="Calibri" w:hAnsi="Calibri" w:cs="Calibri"/>
        </w:rPr>
        <w:t>131</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34" w:lineRule="exact"/>
        <w:rPr>
          <w:sz w:val="20"/>
          <w:szCs w:val="20"/>
        </w:rPr>
      </w:pPr>
    </w:p>
    <w:p w:rsidR="00AC12B4" w:rsidRPr="00C27636" w:rsidRDefault="00C27636">
      <w:pPr>
        <w:numPr>
          <w:ilvl w:val="0"/>
          <w:numId w:val="239"/>
        </w:numPr>
        <w:tabs>
          <w:tab w:val="left" w:pos="128"/>
        </w:tabs>
        <w:spacing w:line="196" w:lineRule="auto"/>
        <w:ind w:left="8" w:right="47" w:hanging="8"/>
        <w:jc w:val="both"/>
        <w:rPr>
          <w:rFonts w:ascii="Calibri" w:eastAsia="Calibri" w:hAnsi="Calibri" w:cs="Calibri"/>
          <w:sz w:val="25"/>
          <w:szCs w:val="25"/>
          <w:vertAlign w:val="superscript"/>
          <w:lang w:val="fr-BE"/>
        </w:rPr>
      </w:pPr>
      <w:r w:rsidRPr="00C27636">
        <w:rPr>
          <w:rFonts w:ascii="Calibri" w:eastAsia="Calibri" w:hAnsi="Calibri" w:cs="Calibri"/>
          <w:sz w:val="19"/>
          <w:szCs w:val="19"/>
          <w:lang w:val="fr-BE"/>
        </w:rPr>
        <w:t>Vanoutrive, J., Friant, N., Derobertmasure, A., « L’injustice scolaire : Quels sentiments chez les</w:t>
      </w:r>
    </w:p>
    <w:p w:rsidR="00AC12B4" w:rsidRPr="00C27636" w:rsidRDefault="00AC12B4">
      <w:pPr>
        <w:spacing w:line="48" w:lineRule="exact"/>
        <w:rPr>
          <w:rFonts w:ascii="Calibri" w:eastAsia="Calibri" w:hAnsi="Calibri" w:cs="Calibri"/>
          <w:sz w:val="25"/>
          <w:szCs w:val="25"/>
          <w:vertAlign w:val="superscript"/>
          <w:lang w:val="fr-BE"/>
        </w:rPr>
      </w:pPr>
    </w:p>
    <w:p w:rsidR="00AC12B4" w:rsidRPr="00C27636" w:rsidRDefault="00C27636">
      <w:pPr>
        <w:spacing w:line="217" w:lineRule="auto"/>
        <w:ind w:left="8" w:right="47"/>
        <w:rPr>
          <w:rFonts w:ascii="Calibri" w:eastAsia="Calibri" w:hAnsi="Calibri" w:cs="Calibri"/>
          <w:sz w:val="25"/>
          <w:szCs w:val="25"/>
          <w:vertAlign w:val="superscript"/>
          <w:lang w:val="fr-BE"/>
        </w:rPr>
      </w:pPr>
      <w:r w:rsidRPr="00C27636">
        <w:rPr>
          <w:rFonts w:ascii="Calibri" w:eastAsia="Calibri" w:hAnsi="Calibri" w:cs="Calibri"/>
          <w:sz w:val="20"/>
          <w:szCs w:val="20"/>
          <w:lang w:val="fr-BE"/>
        </w:rPr>
        <w:t xml:space="preserve">élèves ? », </w:t>
      </w:r>
      <w:r w:rsidRPr="00C27636">
        <w:rPr>
          <w:rFonts w:ascii="Calibri" w:eastAsia="Calibri" w:hAnsi="Calibri" w:cs="Calibri"/>
          <w:i/>
          <w:iCs/>
          <w:sz w:val="20"/>
          <w:szCs w:val="20"/>
          <w:lang w:val="fr-BE"/>
        </w:rPr>
        <w:t>Education &amp; Formation,</w:t>
      </w:r>
      <w:r w:rsidRPr="00C27636">
        <w:rPr>
          <w:rFonts w:ascii="Calibri" w:eastAsia="Calibri" w:hAnsi="Calibri" w:cs="Calibri"/>
          <w:sz w:val="20"/>
          <w:szCs w:val="20"/>
          <w:lang w:val="fr-BE"/>
        </w:rPr>
        <w:t xml:space="preserve"> e-295, Août 2011</w:t>
      </w:r>
    </w:p>
    <w:p w:rsidR="00AC12B4" w:rsidRPr="00C27636" w:rsidRDefault="00AC12B4">
      <w:pPr>
        <w:spacing w:line="168" w:lineRule="exact"/>
        <w:rPr>
          <w:rFonts w:ascii="Calibri" w:eastAsia="Calibri" w:hAnsi="Calibri" w:cs="Calibri"/>
          <w:sz w:val="25"/>
          <w:szCs w:val="25"/>
          <w:vertAlign w:val="superscript"/>
          <w:lang w:val="fr-BE"/>
        </w:rPr>
      </w:pPr>
    </w:p>
    <w:p w:rsidR="00AC12B4" w:rsidRPr="00C27636" w:rsidRDefault="00C27636">
      <w:pPr>
        <w:numPr>
          <w:ilvl w:val="0"/>
          <w:numId w:val="239"/>
        </w:numPr>
        <w:tabs>
          <w:tab w:val="left" w:pos="133"/>
        </w:tabs>
        <w:spacing w:line="227" w:lineRule="auto"/>
        <w:ind w:left="8" w:right="47" w:hanging="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On constate également, dans tous les pays, une tendance à un sentiment d’injustice plus fort chez les</w:t>
      </w:r>
      <w:r w:rsidRPr="00C27636">
        <w:rPr>
          <w:rFonts w:ascii="Calibri" w:eastAsia="Calibri" w:hAnsi="Calibri" w:cs="Calibri"/>
          <w:sz w:val="20"/>
          <w:szCs w:val="20"/>
          <w:lang w:val="fr-BE"/>
        </w:rPr>
        <w:t xml:space="preserve"> élèves ayant de faibles résultats scolaires. Ainsi, en Communauté française de Belgique, les élèves « faibles » sont 38% à être d’accord avec cette affirmation, contre 55% des élèves forts. Les écarts sont identiques dans les autres pays.”, dans N. Friant</w:t>
      </w:r>
      <w:r w:rsidRPr="00C27636">
        <w:rPr>
          <w:rFonts w:ascii="Calibri" w:eastAsia="Calibri" w:hAnsi="Calibri" w:cs="Calibri"/>
          <w:sz w:val="20"/>
          <w:szCs w:val="20"/>
          <w:lang w:val="fr-BE"/>
        </w:rPr>
        <w:t xml:space="preserve"> et al, 2008, 14.</w:t>
      </w:r>
    </w:p>
    <w:p w:rsidR="00AC12B4" w:rsidRPr="00C27636" w:rsidRDefault="00AC12B4">
      <w:pPr>
        <w:spacing w:line="168" w:lineRule="exact"/>
        <w:rPr>
          <w:rFonts w:ascii="Calibri" w:eastAsia="Calibri" w:hAnsi="Calibri" w:cs="Calibri"/>
          <w:sz w:val="26"/>
          <w:szCs w:val="26"/>
          <w:vertAlign w:val="superscript"/>
          <w:lang w:val="fr-BE"/>
        </w:rPr>
      </w:pPr>
    </w:p>
    <w:p w:rsidR="00AC12B4" w:rsidRPr="00C27636" w:rsidRDefault="00C27636">
      <w:pPr>
        <w:numPr>
          <w:ilvl w:val="0"/>
          <w:numId w:val="239"/>
        </w:numPr>
        <w:tabs>
          <w:tab w:val="left" w:pos="162"/>
        </w:tabs>
        <w:spacing w:line="188" w:lineRule="auto"/>
        <w:ind w:left="8" w:right="47" w:hanging="8"/>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Analyse par quartile selon les résultats aux tests mathématiques de l’enquête PISA</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05856" behindDoc="1" locked="0" layoutInCell="0" allowOverlap="1">
                <wp:simplePos x="0" y="0"/>
                <wp:positionH relativeFrom="column">
                  <wp:posOffset>0</wp:posOffset>
                </wp:positionH>
                <wp:positionV relativeFrom="paragraph">
                  <wp:posOffset>-2618105</wp:posOffset>
                </wp:positionV>
                <wp:extent cx="1828800" cy="0"/>
                <wp:effectExtent l="0" t="0" r="0" b="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6.1499pt" to="144pt,-206.1499pt" o:allowincell="f" strokecolor="#000000" strokeweight="0.7199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63"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94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t>Le droit à l’enseignement</w:t>
            </w:r>
          </w:p>
        </w:tc>
      </w:tr>
    </w:tbl>
    <w:p w:rsidR="00AC12B4" w:rsidRDefault="00AC12B4">
      <w:pPr>
        <w:sectPr w:rsidR="00AC12B4">
          <w:type w:val="continuous"/>
          <w:pgSz w:w="12080" w:h="17179"/>
          <w:pgMar w:top="1440" w:right="569" w:bottom="659" w:left="1120" w:header="0" w:footer="0" w:gutter="0"/>
          <w:cols w:num="3" w:space="720" w:equalWidth="0">
            <w:col w:w="5280" w:space="192"/>
            <w:col w:w="3916" w:space="720"/>
            <w:col w:w="281"/>
          </w:cols>
        </w:sectPr>
      </w:pPr>
    </w:p>
    <w:bookmarkStart w:id="131" w:name="page132"/>
    <w:bookmarkEnd w:id="131"/>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706880" behindDoc="1" locked="0" layoutInCell="0" allowOverlap="1">
                <wp:simplePos x="0" y="0"/>
                <wp:positionH relativeFrom="page">
                  <wp:posOffset>0</wp:posOffset>
                </wp:positionH>
                <wp:positionV relativeFrom="page">
                  <wp:posOffset>0</wp:posOffset>
                </wp:positionV>
                <wp:extent cx="797560" cy="10908665"/>
                <wp:effectExtent l="0" t="0" r="0" b="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7560" cy="10908665"/>
                        </a:xfrm>
                        <a:prstGeom prst="rect">
                          <a:avLst/>
                        </a:prstGeom>
                        <a:solidFill>
                          <a:srgbClr val="8BCCEC"/>
                        </a:solidFill>
                      </wps:spPr>
                      <wps:bodyPr/>
                    </wps:wsp>
                  </a:graphicData>
                </a:graphic>
              </wp:anchor>
            </w:drawing>
          </mc:Choice>
          <mc:Fallback>
            <w:pict>
              <v:rect id="Shape 373" o:spid="_x0000_s1398" style="position:absolute;margin-left:0pt;margin-top:0pt;width:62.8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r>
        <w:rPr>
          <w:noProof/>
          <w:sz w:val="20"/>
          <w:szCs w:val="20"/>
        </w:rPr>
        <mc:AlternateContent>
          <mc:Choice Requires="wps">
            <w:drawing>
              <wp:anchor distT="0" distB="0" distL="114300" distR="114300" simplePos="0" relativeHeight="251707904" behindDoc="1" locked="0" layoutInCell="0" allowOverlap="1">
                <wp:simplePos x="0" y="0"/>
                <wp:positionH relativeFrom="page">
                  <wp:posOffset>414655</wp:posOffset>
                </wp:positionH>
                <wp:positionV relativeFrom="page">
                  <wp:posOffset>1488440</wp:posOffset>
                </wp:positionV>
                <wp:extent cx="3009265" cy="1573530"/>
                <wp:effectExtent l="0" t="0" r="0" b="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9265" cy="1573530"/>
                        </a:xfrm>
                        <a:prstGeom prst="rect">
                          <a:avLst/>
                        </a:prstGeom>
                        <a:solidFill>
                          <a:srgbClr val="FFFFFF"/>
                        </a:solidFill>
                      </wps:spPr>
                      <wps:bodyPr/>
                    </wps:wsp>
                  </a:graphicData>
                </a:graphic>
              </wp:anchor>
            </w:drawing>
          </mc:Choice>
          <mc:Fallback>
            <w:pict>
              <v:rect id="Shape 374" o:spid="_x0000_s1399" style="position:absolute;margin-left:32.65pt;margin-top:117.2pt;width:236.95pt;height:123.9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r>
        <w:rPr>
          <w:noProof/>
          <w:sz w:val="20"/>
          <w:szCs w:val="20"/>
        </w:rPr>
        <mc:AlternateContent>
          <mc:Choice Requires="wps">
            <w:drawing>
              <wp:anchor distT="0" distB="0" distL="114300" distR="114300" simplePos="0" relativeHeight="251708928" behindDoc="1" locked="0" layoutInCell="0" allowOverlap="1">
                <wp:simplePos x="0" y="0"/>
                <wp:positionH relativeFrom="page">
                  <wp:posOffset>414655</wp:posOffset>
                </wp:positionH>
                <wp:positionV relativeFrom="page">
                  <wp:posOffset>1475740</wp:posOffset>
                </wp:positionV>
                <wp:extent cx="0" cy="1598930"/>
                <wp:effectExtent l="0" t="0" r="0" b="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9893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2.65pt,116.2pt" to="32.65pt,242.1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709952" behindDoc="1" locked="0" layoutInCell="0" allowOverlap="1">
                <wp:simplePos x="0" y="0"/>
                <wp:positionH relativeFrom="page">
                  <wp:posOffset>401955</wp:posOffset>
                </wp:positionH>
                <wp:positionV relativeFrom="page">
                  <wp:posOffset>3061970</wp:posOffset>
                </wp:positionV>
                <wp:extent cx="3034665" cy="0"/>
                <wp:effectExtent l="0" t="0" r="0" b="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65pt,241.1pt" to="270.6pt,241.1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710976" behindDoc="1" locked="0" layoutInCell="0" allowOverlap="1">
                <wp:simplePos x="0" y="0"/>
                <wp:positionH relativeFrom="page">
                  <wp:posOffset>401955</wp:posOffset>
                </wp:positionH>
                <wp:positionV relativeFrom="page">
                  <wp:posOffset>1488440</wp:posOffset>
                </wp:positionV>
                <wp:extent cx="3034665" cy="0"/>
                <wp:effectExtent l="0" t="0" r="0" b="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65pt,117.2pt" to="270.6pt,117.2pt" o:allowincell="f" strokecolor="#44ACE0" strokeweight="2pt">
                <w10:wrap anchorx="page" anchory="page"/>
              </v:line>
            </w:pict>
          </mc:Fallback>
        </mc:AlternateContent>
      </w:r>
      <w:r>
        <w:rPr>
          <w:noProof/>
          <w:sz w:val="20"/>
          <w:szCs w:val="20"/>
        </w:rPr>
        <mc:AlternateContent>
          <mc:Choice Requires="wps">
            <w:drawing>
              <wp:anchor distT="0" distB="0" distL="114300" distR="114300" simplePos="0" relativeHeight="251712000" behindDoc="1" locked="0" layoutInCell="0" allowOverlap="1">
                <wp:simplePos x="0" y="0"/>
                <wp:positionH relativeFrom="page">
                  <wp:posOffset>3423920</wp:posOffset>
                </wp:positionH>
                <wp:positionV relativeFrom="page">
                  <wp:posOffset>1475740</wp:posOffset>
                </wp:positionV>
                <wp:extent cx="0" cy="1598930"/>
                <wp:effectExtent l="0" t="0" r="0" b="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98930"/>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9.6pt,116.2pt" to="269.6pt,242.1pt" o:allowincell="f" strokecolor="#44ACE0" strokeweight="2pt">
                <w10:wrap anchorx="page" anchory="page"/>
              </v:line>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 xml:space="preserve">Le droit à </w:t>
            </w:r>
            <w:r>
              <w:rPr>
                <w:rFonts w:ascii="Calibri" w:eastAsia="Calibri" w:hAnsi="Calibri" w:cs="Calibri"/>
                <w:b/>
                <w:bCs/>
                <w:i/>
                <w:iCs/>
                <w:color w:val="F2F2F2"/>
                <w:sz w:val="28"/>
                <w:szCs w:val="28"/>
              </w:rPr>
              <w:t>l’enseignement</w:t>
            </w:r>
          </w:p>
        </w:tc>
      </w:tr>
    </w:tbl>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Pr="00C27636" w:rsidRDefault="00C27636">
      <w:pPr>
        <w:spacing w:line="218" w:lineRule="auto"/>
        <w:ind w:left="620" w:right="520"/>
        <w:rPr>
          <w:sz w:val="20"/>
          <w:szCs w:val="20"/>
          <w:lang w:val="fr-BE"/>
        </w:rPr>
      </w:pPr>
      <w:r w:rsidRPr="00C27636">
        <w:rPr>
          <w:rFonts w:ascii="Calibri" w:eastAsia="Calibri" w:hAnsi="Calibri" w:cs="Calibri"/>
          <w:lang w:val="fr-BE"/>
        </w:rPr>
        <w:t>avec justice contre 77% pour les élèves issus de l’immigration. Et ailleurs ?</w:t>
      </w:r>
    </w:p>
    <w:p w:rsidR="00AC12B4" w:rsidRPr="00C27636" w:rsidRDefault="00AC12B4">
      <w:pPr>
        <w:spacing w:line="375" w:lineRule="exact"/>
        <w:rPr>
          <w:sz w:val="20"/>
          <w:szCs w:val="20"/>
          <w:lang w:val="fr-BE"/>
        </w:rPr>
      </w:pPr>
    </w:p>
    <w:p w:rsidR="00AC12B4" w:rsidRPr="00C27636" w:rsidRDefault="00C27636">
      <w:pPr>
        <w:ind w:left="340"/>
        <w:rPr>
          <w:sz w:val="20"/>
          <w:szCs w:val="20"/>
          <w:lang w:val="fr-BE"/>
        </w:rPr>
      </w:pPr>
      <w:r w:rsidRPr="00C27636">
        <w:rPr>
          <w:rFonts w:eastAsia="Times New Roman"/>
          <w:b/>
          <w:bCs/>
          <w:color w:val="44ACE0"/>
          <w:sz w:val="20"/>
          <w:szCs w:val="20"/>
          <w:lang w:val="fr-BE"/>
        </w:rPr>
        <w:t>Question originale dans l’enquête PISA :</w:t>
      </w:r>
    </w:p>
    <w:p w:rsidR="00AC12B4" w:rsidRPr="00C27636" w:rsidRDefault="00AC12B4">
      <w:pPr>
        <w:spacing w:line="274" w:lineRule="exact"/>
        <w:rPr>
          <w:sz w:val="20"/>
          <w:szCs w:val="20"/>
          <w:lang w:val="fr-BE"/>
        </w:rPr>
      </w:pPr>
    </w:p>
    <w:p w:rsidR="00AC12B4" w:rsidRPr="00C27636" w:rsidRDefault="00C27636">
      <w:pPr>
        <w:spacing w:line="224" w:lineRule="auto"/>
        <w:ind w:right="620" w:firstLine="341"/>
        <w:jc w:val="both"/>
        <w:rPr>
          <w:sz w:val="20"/>
          <w:szCs w:val="20"/>
          <w:lang w:val="fr-BE"/>
        </w:rPr>
      </w:pPr>
      <w:r w:rsidRPr="00C27636">
        <w:rPr>
          <w:rFonts w:ascii="Calibri" w:eastAsia="Calibri" w:hAnsi="Calibri" w:cs="Calibri"/>
          <w:i/>
          <w:iCs/>
          <w:color w:val="44ACE0"/>
          <w:sz w:val="20"/>
          <w:szCs w:val="20"/>
          <w:lang w:val="fr-BE"/>
        </w:rPr>
        <w:t>Pensez aux professeurs de votre école. Dans quelle mesure êtes-vous d’accord avec les affirmations suivantes ?</w:t>
      </w:r>
    </w:p>
    <w:p w:rsidR="00AC12B4" w:rsidRPr="00C27636" w:rsidRDefault="00AC12B4">
      <w:pPr>
        <w:spacing w:line="169" w:lineRule="exact"/>
        <w:rPr>
          <w:sz w:val="20"/>
          <w:szCs w:val="20"/>
          <w:lang w:val="fr-BE"/>
        </w:rPr>
      </w:pPr>
    </w:p>
    <w:p w:rsidR="00AC12B4" w:rsidRPr="00C27636" w:rsidRDefault="00C27636">
      <w:pPr>
        <w:numPr>
          <w:ilvl w:val="0"/>
          <w:numId w:val="240"/>
        </w:numPr>
        <w:tabs>
          <w:tab w:val="left" w:pos="700"/>
        </w:tabs>
        <w:spacing w:line="181" w:lineRule="auto"/>
        <w:ind w:left="700" w:right="620" w:hanging="363"/>
        <w:rPr>
          <w:rFonts w:ascii="Wingdings" w:eastAsia="Wingdings" w:hAnsi="Wingdings" w:cs="Wingdings"/>
          <w:color w:val="44ACE0"/>
          <w:sz w:val="40"/>
          <w:szCs w:val="40"/>
          <w:vertAlign w:val="superscript"/>
          <w:lang w:val="fr-BE"/>
        </w:rPr>
      </w:pPr>
      <w:r w:rsidRPr="00C27636">
        <w:rPr>
          <w:rFonts w:ascii="Calibri" w:eastAsia="Calibri" w:hAnsi="Calibri" w:cs="Calibri"/>
          <w:i/>
          <w:iCs/>
          <w:color w:val="44ACE0"/>
          <w:sz w:val="21"/>
          <w:szCs w:val="21"/>
          <w:lang w:val="fr-BE"/>
        </w:rPr>
        <w:t xml:space="preserve">La </w:t>
      </w:r>
      <w:r w:rsidRPr="00C27636">
        <w:rPr>
          <w:rFonts w:ascii="Calibri" w:eastAsia="Calibri" w:hAnsi="Calibri" w:cs="Calibri"/>
          <w:i/>
          <w:iCs/>
          <w:color w:val="44ACE0"/>
          <w:sz w:val="21"/>
          <w:szCs w:val="21"/>
          <w:lang w:val="fr-BE"/>
        </w:rPr>
        <w:t>plupart de mes professeurs me traitent avec justice</w:t>
      </w:r>
    </w:p>
    <w:p w:rsidR="00AC12B4" w:rsidRPr="00C27636" w:rsidRDefault="00AC12B4">
      <w:pPr>
        <w:spacing w:line="200" w:lineRule="exact"/>
        <w:rPr>
          <w:sz w:val="20"/>
          <w:szCs w:val="20"/>
          <w:lang w:val="fr-BE"/>
        </w:rPr>
      </w:pPr>
    </w:p>
    <w:p w:rsidR="00AC12B4" w:rsidRPr="00C27636" w:rsidRDefault="00AC12B4">
      <w:pPr>
        <w:spacing w:line="372" w:lineRule="exact"/>
        <w:rPr>
          <w:sz w:val="20"/>
          <w:szCs w:val="20"/>
          <w:lang w:val="fr-BE"/>
        </w:rPr>
      </w:pPr>
    </w:p>
    <w:p w:rsidR="00AC12B4" w:rsidRPr="00C27636" w:rsidRDefault="00C27636">
      <w:pPr>
        <w:ind w:left="620"/>
        <w:rPr>
          <w:sz w:val="20"/>
          <w:szCs w:val="20"/>
          <w:lang w:val="fr-BE"/>
        </w:rPr>
      </w:pPr>
      <w:r w:rsidRPr="00C27636">
        <w:rPr>
          <w:rFonts w:ascii="Cambria" w:eastAsia="Cambria" w:hAnsi="Cambria" w:cs="Cambria"/>
          <w:b/>
          <w:bCs/>
          <w:i/>
          <w:iCs/>
          <w:color w:val="44ACE0"/>
          <w:sz w:val="26"/>
          <w:szCs w:val="26"/>
          <w:lang w:val="fr-BE"/>
        </w:rPr>
        <w:t>Et ailleurs ?</w:t>
      </w:r>
    </w:p>
    <w:p w:rsidR="00AC12B4" w:rsidRPr="00C27636" w:rsidRDefault="00AC12B4">
      <w:pPr>
        <w:spacing w:line="209" w:lineRule="exact"/>
        <w:rPr>
          <w:sz w:val="20"/>
          <w:szCs w:val="20"/>
          <w:lang w:val="fr-BE"/>
        </w:rPr>
      </w:pPr>
    </w:p>
    <w:p w:rsidR="00AC12B4" w:rsidRPr="00C27636" w:rsidRDefault="00C27636">
      <w:pPr>
        <w:spacing w:line="225" w:lineRule="auto"/>
        <w:ind w:left="620" w:right="520"/>
        <w:jc w:val="both"/>
        <w:rPr>
          <w:sz w:val="20"/>
          <w:szCs w:val="20"/>
          <w:lang w:val="fr-BE"/>
        </w:rPr>
      </w:pPr>
      <w:r w:rsidRPr="00C27636">
        <w:rPr>
          <w:rFonts w:ascii="Calibri" w:eastAsia="Calibri" w:hAnsi="Calibri" w:cs="Calibri"/>
          <w:lang w:val="fr-BE"/>
        </w:rPr>
        <w:t>La Belgique se situe dans la moyenne des pays de l’OCDE en terme de sentiment d’être traité avec justice.</w:t>
      </w:r>
    </w:p>
    <w:p w:rsidR="00AC12B4" w:rsidRPr="00C27636" w:rsidRDefault="00AC12B4">
      <w:pPr>
        <w:spacing w:line="208" w:lineRule="exact"/>
        <w:rPr>
          <w:sz w:val="20"/>
          <w:szCs w:val="20"/>
          <w:lang w:val="fr-BE"/>
        </w:rPr>
      </w:pPr>
    </w:p>
    <w:p w:rsidR="00AC12B4" w:rsidRDefault="00C27636">
      <w:pPr>
        <w:ind w:left="620"/>
        <w:rPr>
          <w:sz w:val="20"/>
          <w:szCs w:val="20"/>
        </w:rPr>
      </w:pPr>
      <w:r>
        <w:rPr>
          <w:rFonts w:ascii="Cambria" w:eastAsia="Cambria" w:hAnsi="Cambria" w:cs="Cambria"/>
          <w:b/>
          <w:bCs/>
          <w:i/>
          <w:iCs/>
          <w:color w:val="44ACE0"/>
          <w:sz w:val="26"/>
          <w:szCs w:val="26"/>
        </w:rPr>
        <w:t>D’où viennent ces chiffres ?</w:t>
      </w:r>
    </w:p>
    <w:p w:rsidR="00AC12B4" w:rsidRDefault="00AC12B4">
      <w:pPr>
        <w:spacing w:line="166" w:lineRule="exact"/>
        <w:rPr>
          <w:sz w:val="20"/>
          <w:szCs w:val="20"/>
        </w:rPr>
      </w:pPr>
    </w:p>
    <w:p w:rsidR="00AC12B4" w:rsidRDefault="00C27636">
      <w:pPr>
        <w:numPr>
          <w:ilvl w:val="0"/>
          <w:numId w:val="241"/>
        </w:numPr>
        <w:tabs>
          <w:tab w:val="left" w:pos="1340"/>
        </w:tabs>
        <w:ind w:left="1340" w:hanging="360"/>
        <w:rPr>
          <w:rFonts w:ascii="Wingdings" w:eastAsia="Wingdings" w:hAnsi="Wingdings" w:cs="Wingdings"/>
          <w:color w:val="4BACC6"/>
        </w:rPr>
      </w:pPr>
      <w:r>
        <w:rPr>
          <w:rFonts w:ascii="Cambria" w:eastAsia="Cambria" w:hAnsi="Cambria" w:cs="Cambria"/>
          <w:i/>
          <w:iCs/>
          <w:color w:val="4BACC6"/>
        </w:rPr>
        <w:t>PISA</w:t>
      </w:r>
    </w:p>
    <w:p w:rsidR="00AC12B4" w:rsidRDefault="00AC12B4">
      <w:pPr>
        <w:spacing w:line="202" w:lineRule="exact"/>
        <w:rPr>
          <w:sz w:val="20"/>
          <w:szCs w:val="20"/>
        </w:rPr>
      </w:pPr>
    </w:p>
    <w:p w:rsidR="00AC12B4" w:rsidRPr="00C27636" w:rsidRDefault="00C27636">
      <w:pPr>
        <w:spacing w:line="218" w:lineRule="auto"/>
        <w:ind w:left="620" w:right="520"/>
        <w:rPr>
          <w:sz w:val="20"/>
          <w:szCs w:val="20"/>
          <w:lang w:val="fr-BE"/>
        </w:rPr>
      </w:pPr>
      <w:r w:rsidRPr="00C27636">
        <w:rPr>
          <w:rFonts w:ascii="Calibri" w:eastAsia="Calibri" w:hAnsi="Calibri" w:cs="Calibri"/>
          <w:lang w:val="fr-BE"/>
        </w:rPr>
        <w:t xml:space="preserve">Pour une description de l’enquête PISA voir </w:t>
      </w:r>
      <w:r w:rsidRPr="00C27636">
        <w:rPr>
          <w:rFonts w:ascii="Calibri" w:eastAsia="Calibri" w:hAnsi="Calibri" w:cs="Calibri"/>
          <w:lang w:val="fr-BE"/>
        </w:rPr>
        <w:t>la section « sources ».</w:t>
      </w:r>
    </w:p>
    <w:p w:rsidR="00AC12B4" w:rsidRPr="00C27636" w:rsidRDefault="00AC12B4">
      <w:pPr>
        <w:spacing w:line="128" w:lineRule="exact"/>
        <w:rPr>
          <w:sz w:val="20"/>
          <w:szCs w:val="20"/>
          <w:lang w:val="fr-BE"/>
        </w:rPr>
      </w:pPr>
    </w:p>
    <w:p w:rsidR="00AC12B4" w:rsidRDefault="00C27636">
      <w:pPr>
        <w:numPr>
          <w:ilvl w:val="0"/>
          <w:numId w:val="242"/>
        </w:numPr>
        <w:tabs>
          <w:tab w:val="left" w:pos="1340"/>
        </w:tabs>
        <w:ind w:left="1340" w:hanging="360"/>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199" w:lineRule="exact"/>
        <w:rPr>
          <w:sz w:val="20"/>
          <w:szCs w:val="20"/>
        </w:rPr>
      </w:pPr>
    </w:p>
    <w:p w:rsidR="00AC12B4" w:rsidRPr="00C27636" w:rsidRDefault="00C27636">
      <w:pPr>
        <w:spacing w:line="236" w:lineRule="auto"/>
        <w:ind w:left="620" w:right="520"/>
        <w:jc w:val="both"/>
        <w:rPr>
          <w:sz w:val="20"/>
          <w:szCs w:val="20"/>
          <w:lang w:val="fr-BE"/>
        </w:rPr>
      </w:pPr>
      <w:r w:rsidRPr="00C27636">
        <w:rPr>
          <w:rFonts w:ascii="Calibri" w:eastAsia="Calibri" w:hAnsi="Calibri" w:cs="Calibri"/>
          <w:lang w:val="fr-BE"/>
        </w:rPr>
        <w:t xml:space="preserve">Comme indiqué dans la présentation de PISA, celle-ci est conçue pour être représentative des jeunes scolarisés de 15 ans. L’enseignement ordinaire et une partie des formes de l'enseignement spécialisé sont </w:t>
      </w:r>
      <w:r w:rsidRPr="00C27636">
        <w:rPr>
          <w:rFonts w:ascii="Calibri" w:eastAsia="Calibri" w:hAnsi="Calibri" w:cs="Calibri"/>
          <w:lang w:val="fr-BE"/>
        </w:rPr>
        <w:t>touchés par l’enquête. Elle a donc ses limites pour notre set d’indicateurs qui s’intéresse à toutes les tranches d’âge et qui accorde une attention particulière aux groupes vulnérables.</w:t>
      </w:r>
    </w:p>
    <w:p w:rsidR="00AC12B4" w:rsidRPr="00C27636" w:rsidRDefault="00AC12B4">
      <w:pPr>
        <w:spacing w:line="170" w:lineRule="exact"/>
        <w:rPr>
          <w:sz w:val="20"/>
          <w:szCs w:val="20"/>
          <w:lang w:val="fr-BE"/>
        </w:rPr>
      </w:pPr>
    </w:p>
    <w:p w:rsidR="00AC12B4" w:rsidRPr="00C27636" w:rsidRDefault="00C27636">
      <w:pPr>
        <w:spacing w:line="232" w:lineRule="auto"/>
        <w:ind w:left="620" w:right="520"/>
        <w:jc w:val="both"/>
        <w:rPr>
          <w:sz w:val="20"/>
          <w:szCs w:val="20"/>
          <w:lang w:val="fr-BE"/>
        </w:rPr>
      </w:pPr>
      <w:r w:rsidRPr="00C27636">
        <w:rPr>
          <w:rFonts w:ascii="Calibri" w:eastAsia="Calibri" w:hAnsi="Calibri" w:cs="Calibri"/>
          <w:lang w:val="fr-BE"/>
        </w:rPr>
        <w:t>Dans le cadre d’enquêtes, il faut aussi toujours tenir compte du ris</w:t>
      </w:r>
      <w:r w:rsidRPr="00C27636">
        <w:rPr>
          <w:rFonts w:ascii="Calibri" w:eastAsia="Calibri" w:hAnsi="Calibri" w:cs="Calibri"/>
          <w:lang w:val="fr-BE"/>
        </w:rPr>
        <w:t>que que le répondant réagit selon le principe de désirabilité. La réaction ne correspond dès lors pas toujours à la réalité mais à une version idéalisée de la réalité.</w:t>
      </w:r>
    </w:p>
    <w:p w:rsidR="00AC12B4" w:rsidRPr="00C27636" w:rsidRDefault="00AC12B4">
      <w:pPr>
        <w:spacing w:line="131" w:lineRule="exact"/>
        <w:rPr>
          <w:sz w:val="20"/>
          <w:szCs w:val="20"/>
          <w:lang w:val="fr-BE"/>
        </w:rPr>
      </w:pPr>
    </w:p>
    <w:p w:rsidR="00AC12B4" w:rsidRDefault="00C27636">
      <w:pPr>
        <w:numPr>
          <w:ilvl w:val="0"/>
          <w:numId w:val="243"/>
        </w:numPr>
        <w:tabs>
          <w:tab w:val="left" w:pos="1340"/>
        </w:tabs>
        <w:ind w:left="1340" w:hanging="360"/>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202" w:lineRule="exact"/>
        <w:rPr>
          <w:sz w:val="20"/>
          <w:szCs w:val="20"/>
        </w:rPr>
      </w:pPr>
    </w:p>
    <w:p w:rsidR="00AC12B4" w:rsidRPr="00C27636" w:rsidRDefault="00C27636">
      <w:pPr>
        <w:spacing w:line="231" w:lineRule="auto"/>
        <w:ind w:left="620" w:right="520"/>
        <w:jc w:val="both"/>
        <w:rPr>
          <w:sz w:val="20"/>
          <w:szCs w:val="20"/>
          <w:lang w:val="fr-BE"/>
        </w:rPr>
      </w:pPr>
      <w:r w:rsidRPr="00C27636">
        <w:rPr>
          <w:rFonts w:ascii="Calibri" w:eastAsia="Calibri" w:hAnsi="Calibri" w:cs="Calibri"/>
          <w:lang w:val="fr-BE"/>
        </w:rPr>
        <w:t>Les enquêtes PISA devraient être élargies aux dispositifs d'accueil et</w:t>
      </w:r>
      <w:r w:rsidRPr="00C27636">
        <w:rPr>
          <w:rFonts w:ascii="Calibri" w:eastAsia="Calibri" w:hAnsi="Calibri" w:cs="Calibri"/>
          <w:lang w:val="fr-BE"/>
        </w:rPr>
        <w:t xml:space="preserve"> de scolarisation des élèves primo-arrivants (DASPA) et à l’enseignement spécialisé, sauf en cas de contre-indication inspirée par l’intérêt</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0"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132</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0" w:lineRule="auto"/>
        <w:ind w:right="737"/>
        <w:jc w:val="both"/>
        <w:rPr>
          <w:sz w:val="20"/>
          <w:szCs w:val="20"/>
          <w:lang w:val="fr-BE"/>
        </w:rPr>
      </w:pPr>
      <w:r w:rsidRPr="00C27636">
        <w:rPr>
          <w:rFonts w:ascii="Calibri" w:eastAsia="Calibri" w:hAnsi="Calibri" w:cs="Calibri"/>
          <w:lang w:val="fr-BE"/>
        </w:rPr>
        <w:t>supérieur de l’enfant, via des questionnaires adaptés</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134"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lang w:val="fr-BE"/>
        </w:rPr>
        <w:t xml:space="preserve">Une enquête spécifique doit être menée auprès </w:t>
      </w:r>
      <w:r w:rsidRPr="00C27636">
        <w:rPr>
          <w:rFonts w:ascii="Calibri" w:eastAsia="Calibri" w:hAnsi="Calibri" w:cs="Calibri"/>
          <w:lang w:val="fr-BE"/>
        </w:rPr>
        <w:t>des autres groupes pertinents non-atteints (cf section ‘Atteindre les plus vulnérables’).</w:t>
      </w:r>
    </w:p>
    <w:p w:rsidR="00AC12B4" w:rsidRPr="00C27636" w:rsidRDefault="00AC12B4">
      <w:pPr>
        <w:spacing w:line="209" w:lineRule="exact"/>
        <w:rPr>
          <w:sz w:val="20"/>
          <w:szCs w:val="20"/>
          <w:lang w:val="fr-BE"/>
        </w:rPr>
      </w:pPr>
    </w:p>
    <w:p w:rsidR="00AC12B4" w:rsidRDefault="00C27636">
      <w:pPr>
        <w:rPr>
          <w:sz w:val="20"/>
          <w:szCs w:val="20"/>
        </w:rPr>
      </w:pPr>
      <w:r>
        <w:rPr>
          <w:rFonts w:ascii="Cambria" w:eastAsia="Cambria" w:hAnsi="Cambria" w:cs="Cambria"/>
          <w:b/>
          <w:bCs/>
          <w:i/>
          <w:iCs/>
          <w:color w:val="44ACE0"/>
          <w:sz w:val="26"/>
          <w:szCs w:val="26"/>
        </w:rPr>
        <w:t>Pour aller plus loin</w:t>
      </w:r>
    </w:p>
    <w:p w:rsidR="00AC12B4" w:rsidRDefault="00AC12B4">
      <w:pPr>
        <w:spacing w:line="222" w:lineRule="exact"/>
        <w:rPr>
          <w:sz w:val="20"/>
          <w:szCs w:val="20"/>
        </w:rPr>
      </w:pPr>
    </w:p>
    <w:p w:rsidR="00AC12B4" w:rsidRPr="00C27636" w:rsidRDefault="00C27636">
      <w:pPr>
        <w:numPr>
          <w:ilvl w:val="0"/>
          <w:numId w:val="244"/>
        </w:numPr>
        <w:tabs>
          <w:tab w:val="left" w:pos="720"/>
        </w:tabs>
        <w:spacing w:line="228" w:lineRule="auto"/>
        <w:ind w:left="720" w:right="737" w:hanging="367"/>
        <w:jc w:val="both"/>
        <w:rPr>
          <w:rFonts w:ascii="Symbol" w:eastAsia="Symbol" w:hAnsi="Symbol" w:cs="Symbol"/>
          <w:color w:val="4BACC6"/>
          <w:sz w:val="20"/>
          <w:szCs w:val="20"/>
          <w:lang w:val="fr-BE"/>
        </w:rPr>
      </w:pPr>
      <w:r w:rsidRPr="00C27636">
        <w:rPr>
          <w:rFonts w:ascii="Calibri" w:eastAsia="Calibri" w:hAnsi="Calibri" w:cs="Calibri"/>
          <w:color w:val="4BACC6"/>
          <w:sz w:val="20"/>
          <w:szCs w:val="20"/>
          <w:lang w:val="fr-BE"/>
        </w:rPr>
        <w:t>Groupe Européen de Recherche sur l’Equité de Systèmes Educatifs</w:t>
      </w:r>
    </w:p>
    <w:p w:rsidR="00AC12B4" w:rsidRPr="00C27636" w:rsidRDefault="00AC12B4">
      <w:pPr>
        <w:spacing w:line="38" w:lineRule="exact"/>
        <w:rPr>
          <w:rFonts w:ascii="Symbol" w:eastAsia="Symbol" w:hAnsi="Symbol" w:cs="Symbol"/>
          <w:color w:val="4BACC6"/>
          <w:sz w:val="20"/>
          <w:szCs w:val="20"/>
          <w:lang w:val="fr-BE"/>
        </w:rPr>
      </w:pPr>
    </w:p>
    <w:p w:rsidR="00AC12B4" w:rsidRPr="00C27636" w:rsidRDefault="00C27636">
      <w:pPr>
        <w:ind w:left="720"/>
        <w:rPr>
          <w:rFonts w:ascii="Symbol" w:eastAsia="Symbol" w:hAnsi="Symbol" w:cs="Symbol"/>
          <w:color w:val="4BACC6"/>
          <w:sz w:val="20"/>
          <w:szCs w:val="20"/>
          <w:lang w:val="fr-BE"/>
        </w:rPr>
      </w:pPr>
      <w:r w:rsidRPr="00C27636">
        <w:rPr>
          <w:rFonts w:ascii="Calibri" w:eastAsia="Calibri" w:hAnsi="Calibri" w:cs="Calibri"/>
          <w:color w:val="4BACC6"/>
          <w:sz w:val="20"/>
          <w:szCs w:val="20"/>
          <w:lang w:val="fr-BE"/>
        </w:rPr>
        <w:t>(GERESE):</w:t>
      </w:r>
    </w:p>
    <w:p w:rsidR="00AC12B4" w:rsidRPr="00C27636" w:rsidRDefault="00AC12B4">
      <w:pPr>
        <w:spacing w:line="66" w:lineRule="exact"/>
        <w:rPr>
          <w:rFonts w:ascii="Symbol" w:eastAsia="Symbol" w:hAnsi="Symbol" w:cs="Symbol"/>
          <w:color w:val="4BACC6"/>
          <w:sz w:val="20"/>
          <w:szCs w:val="20"/>
          <w:lang w:val="fr-BE"/>
        </w:rPr>
      </w:pPr>
    </w:p>
    <w:p w:rsidR="00AC12B4" w:rsidRPr="00C27636" w:rsidRDefault="00C27636">
      <w:pPr>
        <w:spacing w:line="265" w:lineRule="auto"/>
        <w:ind w:left="1140" w:right="737" w:hanging="360"/>
        <w:rPr>
          <w:rFonts w:ascii="Symbol" w:eastAsia="Symbol" w:hAnsi="Symbol" w:cs="Symbol"/>
          <w:color w:val="4BACC6"/>
          <w:sz w:val="20"/>
          <w:szCs w:val="20"/>
          <w:lang w:val="fr-BE"/>
        </w:rPr>
      </w:pPr>
      <w:r w:rsidRPr="00C27636">
        <w:rPr>
          <w:rFonts w:ascii="Courier New" w:eastAsia="Courier New" w:hAnsi="Courier New" w:cs="Courier New"/>
          <w:sz w:val="20"/>
          <w:szCs w:val="20"/>
          <w:lang w:val="fr-BE"/>
        </w:rPr>
        <w:t xml:space="preserve">o </w:t>
      </w:r>
      <w:r w:rsidRPr="00C27636">
        <w:rPr>
          <w:rFonts w:ascii="Calibri" w:eastAsia="Calibri" w:hAnsi="Calibri" w:cs="Calibri"/>
          <w:sz w:val="20"/>
          <w:szCs w:val="20"/>
          <w:lang w:val="fr-BE"/>
        </w:rPr>
        <w:t>Friant, N., Laloua, E. et Demeuse,</w:t>
      </w:r>
      <w:r w:rsidRPr="00C27636">
        <w:rPr>
          <w:rFonts w:ascii="Courier New" w:eastAsia="Courier New" w:hAnsi="Courier New" w:cs="Courier New"/>
          <w:sz w:val="20"/>
          <w:szCs w:val="20"/>
          <w:lang w:val="fr-BE"/>
        </w:rPr>
        <w:t xml:space="preserve"> </w:t>
      </w:r>
      <w:r w:rsidRPr="00C27636">
        <w:rPr>
          <w:rFonts w:ascii="Calibri" w:eastAsia="Calibri" w:hAnsi="Calibri" w:cs="Calibri"/>
          <w:sz w:val="20"/>
          <w:szCs w:val="20"/>
          <w:lang w:val="fr-BE"/>
        </w:rPr>
        <w:t>M., "Sentiments de justice des</w:t>
      </w:r>
      <w:r w:rsidRPr="00C27636">
        <w:rPr>
          <w:rFonts w:ascii="Calibri" w:eastAsia="Calibri" w:hAnsi="Calibri" w:cs="Calibri"/>
          <w:sz w:val="20"/>
          <w:szCs w:val="20"/>
          <w:lang w:val="fr-BE"/>
        </w:rPr>
        <w:t xml:space="preserve"> élèves de 15 ans en Europe" in </w:t>
      </w:r>
      <w:r w:rsidRPr="00C27636">
        <w:rPr>
          <w:rFonts w:ascii="Calibri" w:eastAsia="Calibri" w:hAnsi="Calibri" w:cs="Calibri"/>
          <w:i/>
          <w:iCs/>
          <w:sz w:val="20"/>
          <w:szCs w:val="20"/>
          <w:lang w:val="fr-BE"/>
        </w:rPr>
        <w:t>Education et Formation</w:t>
      </w:r>
      <w:r w:rsidRPr="00C27636">
        <w:rPr>
          <w:rFonts w:ascii="Calibri" w:eastAsia="Calibri" w:hAnsi="Calibri" w:cs="Calibri"/>
          <w:sz w:val="20"/>
          <w:szCs w:val="20"/>
          <w:lang w:val="fr-BE"/>
        </w:rPr>
        <w:t>, 2008, e-288, 7-23.</w:t>
      </w:r>
    </w:p>
    <w:p w:rsidR="00AC12B4" w:rsidRPr="00C27636" w:rsidRDefault="00AC12B4">
      <w:pPr>
        <w:spacing w:line="18" w:lineRule="exact"/>
        <w:rPr>
          <w:rFonts w:ascii="Symbol" w:eastAsia="Symbol" w:hAnsi="Symbol" w:cs="Symbol"/>
          <w:color w:val="4BACC6"/>
          <w:sz w:val="20"/>
          <w:szCs w:val="20"/>
          <w:lang w:val="fr-BE"/>
        </w:rPr>
      </w:pPr>
    </w:p>
    <w:p w:rsidR="00AC12B4" w:rsidRPr="00C27636" w:rsidRDefault="00C27636">
      <w:pPr>
        <w:ind w:left="780"/>
        <w:rPr>
          <w:rFonts w:ascii="Symbol" w:eastAsia="Symbol" w:hAnsi="Symbol" w:cs="Symbol"/>
          <w:color w:val="4BACC6"/>
          <w:sz w:val="20"/>
          <w:szCs w:val="20"/>
          <w:lang w:val="fr-BE"/>
        </w:rPr>
      </w:pPr>
      <w:r w:rsidRPr="00C27636">
        <w:rPr>
          <w:rFonts w:ascii="Courier New" w:eastAsia="Courier New" w:hAnsi="Courier New" w:cs="Courier New"/>
          <w:sz w:val="19"/>
          <w:szCs w:val="19"/>
          <w:lang w:val="fr-BE"/>
        </w:rPr>
        <w:t xml:space="preserve">o  </w:t>
      </w:r>
      <w:r w:rsidRPr="00C27636">
        <w:rPr>
          <w:rFonts w:ascii="Calibri" w:eastAsia="Calibri" w:hAnsi="Calibri" w:cs="Calibri"/>
          <w:sz w:val="19"/>
          <w:szCs w:val="19"/>
          <w:lang w:val="fr-BE"/>
        </w:rPr>
        <w:t>GERESE,</w:t>
      </w:r>
      <w:r w:rsidRPr="00C27636">
        <w:rPr>
          <w:rFonts w:ascii="Courier New" w:eastAsia="Courier New" w:hAnsi="Courier New" w:cs="Courier New"/>
          <w:sz w:val="19"/>
          <w:szCs w:val="19"/>
          <w:lang w:val="fr-BE"/>
        </w:rPr>
        <w:t xml:space="preserve">  </w:t>
      </w:r>
      <w:r w:rsidRPr="00C27636">
        <w:rPr>
          <w:rFonts w:ascii="Calibri" w:eastAsia="Calibri" w:hAnsi="Calibri" w:cs="Calibri"/>
          <w:i/>
          <w:iCs/>
          <w:sz w:val="19"/>
          <w:szCs w:val="19"/>
          <w:lang w:val="fr-BE"/>
        </w:rPr>
        <w:t>L’équité  des  systèmes</w:t>
      </w:r>
    </w:p>
    <w:p w:rsidR="00AC12B4" w:rsidRPr="00C27636" w:rsidRDefault="00AC12B4">
      <w:pPr>
        <w:spacing w:line="83" w:lineRule="exact"/>
        <w:rPr>
          <w:rFonts w:ascii="Symbol" w:eastAsia="Symbol" w:hAnsi="Symbol" w:cs="Symbol"/>
          <w:color w:val="4BACC6"/>
          <w:sz w:val="20"/>
          <w:szCs w:val="20"/>
          <w:lang w:val="fr-BE"/>
        </w:rPr>
      </w:pPr>
    </w:p>
    <w:p w:rsidR="00AC12B4" w:rsidRPr="00C27636" w:rsidRDefault="00C27636">
      <w:pPr>
        <w:spacing w:line="253" w:lineRule="auto"/>
        <w:ind w:left="1140" w:right="737"/>
        <w:jc w:val="both"/>
        <w:rPr>
          <w:rFonts w:ascii="Symbol" w:eastAsia="Symbol" w:hAnsi="Symbol" w:cs="Symbol"/>
          <w:color w:val="4BACC6"/>
          <w:sz w:val="20"/>
          <w:szCs w:val="20"/>
          <w:lang w:val="fr-BE"/>
        </w:rPr>
      </w:pPr>
      <w:r w:rsidRPr="00C27636">
        <w:rPr>
          <w:rFonts w:ascii="Calibri" w:eastAsia="Calibri" w:hAnsi="Calibri" w:cs="Calibri"/>
          <w:i/>
          <w:iCs/>
          <w:sz w:val="20"/>
          <w:szCs w:val="20"/>
          <w:lang w:val="fr-BE"/>
        </w:rPr>
        <w:t>éducatifs européens</w:t>
      </w:r>
      <w:r w:rsidRPr="00C27636">
        <w:rPr>
          <w:rFonts w:ascii="Calibri" w:eastAsia="Calibri" w:hAnsi="Calibri" w:cs="Calibri"/>
          <w:sz w:val="20"/>
          <w:szCs w:val="20"/>
          <w:lang w:val="fr-BE"/>
        </w:rPr>
        <w:t>, Liège,</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Service de Pédagogie Théorique et Expérimentale, 2005.</w:t>
      </w:r>
    </w:p>
    <w:p w:rsidR="00AC12B4" w:rsidRPr="00C27636" w:rsidRDefault="00AC12B4">
      <w:pPr>
        <w:spacing w:line="53" w:lineRule="exact"/>
        <w:rPr>
          <w:rFonts w:ascii="Symbol" w:eastAsia="Symbol" w:hAnsi="Symbol" w:cs="Symbol"/>
          <w:color w:val="4BACC6"/>
          <w:sz w:val="20"/>
          <w:szCs w:val="20"/>
          <w:lang w:val="fr-BE"/>
        </w:rPr>
      </w:pPr>
    </w:p>
    <w:p w:rsidR="00AC12B4" w:rsidRPr="00C27636" w:rsidRDefault="00C27636">
      <w:pPr>
        <w:spacing w:line="237" w:lineRule="auto"/>
        <w:ind w:left="1140" w:right="737" w:hanging="360"/>
        <w:jc w:val="right"/>
        <w:rPr>
          <w:rFonts w:ascii="Symbol" w:eastAsia="Symbol" w:hAnsi="Symbol" w:cs="Symbol"/>
          <w:color w:val="4BACC6"/>
          <w:sz w:val="20"/>
          <w:szCs w:val="20"/>
          <w:lang w:val="fr-BE"/>
        </w:rPr>
      </w:pPr>
      <w:r w:rsidRPr="00C27636">
        <w:rPr>
          <w:rFonts w:ascii="Courier New" w:eastAsia="Courier New" w:hAnsi="Courier New" w:cs="Courier New"/>
          <w:sz w:val="20"/>
          <w:szCs w:val="20"/>
          <w:lang w:val="fr-BE"/>
        </w:rPr>
        <w:t xml:space="preserve">o  </w:t>
      </w:r>
      <w:r w:rsidRPr="00C27636">
        <w:rPr>
          <w:rFonts w:ascii="Calibri" w:eastAsia="Calibri" w:hAnsi="Calibri" w:cs="Calibri"/>
          <w:sz w:val="20"/>
          <w:szCs w:val="20"/>
          <w:lang w:val="fr-BE"/>
        </w:rPr>
        <w:t>Selon les indicateurs développés</w:t>
      </w:r>
      <w:r w:rsidRPr="00C27636">
        <w:rPr>
          <w:rFonts w:ascii="Courier New" w:eastAsia="Courier New" w:hAnsi="Courier New" w:cs="Courier New"/>
          <w:sz w:val="20"/>
          <w:szCs w:val="20"/>
          <w:lang w:val="fr-BE"/>
        </w:rPr>
        <w:t xml:space="preserve"> </w:t>
      </w:r>
      <w:r w:rsidRPr="00C27636">
        <w:rPr>
          <w:rFonts w:ascii="Calibri" w:eastAsia="Calibri" w:hAnsi="Calibri" w:cs="Calibri"/>
          <w:sz w:val="20"/>
          <w:szCs w:val="20"/>
          <w:lang w:val="fr-BE"/>
        </w:rPr>
        <w:t xml:space="preserve">par  le  Groupe  </w:t>
      </w:r>
      <w:r w:rsidRPr="00C27636">
        <w:rPr>
          <w:rFonts w:ascii="Calibri" w:eastAsia="Calibri" w:hAnsi="Calibri" w:cs="Calibri"/>
          <w:sz w:val="20"/>
          <w:szCs w:val="20"/>
          <w:lang w:val="fr-BE"/>
        </w:rPr>
        <w:t>Européen  de</w:t>
      </w:r>
    </w:p>
    <w:p w:rsidR="00AC12B4" w:rsidRPr="00C27636" w:rsidRDefault="00AC12B4">
      <w:pPr>
        <w:spacing w:line="36" w:lineRule="exact"/>
        <w:rPr>
          <w:rFonts w:ascii="Symbol" w:eastAsia="Symbol" w:hAnsi="Symbol" w:cs="Symbol"/>
          <w:color w:val="4BACC6"/>
          <w:sz w:val="20"/>
          <w:szCs w:val="20"/>
          <w:lang w:val="fr-BE"/>
        </w:rPr>
      </w:pPr>
    </w:p>
    <w:p w:rsidR="00AC12B4" w:rsidRPr="00C27636" w:rsidRDefault="00C27636">
      <w:pPr>
        <w:ind w:left="1140"/>
        <w:rPr>
          <w:rFonts w:ascii="Symbol" w:eastAsia="Symbol" w:hAnsi="Symbol" w:cs="Symbol"/>
          <w:color w:val="4BACC6"/>
          <w:sz w:val="20"/>
          <w:szCs w:val="20"/>
          <w:lang w:val="fr-BE"/>
        </w:rPr>
      </w:pPr>
      <w:r w:rsidRPr="00C27636">
        <w:rPr>
          <w:rFonts w:ascii="Calibri" w:eastAsia="Calibri" w:hAnsi="Calibri" w:cs="Calibri"/>
          <w:sz w:val="20"/>
          <w:szCs w:val="20"/>
          <w:lang w:val="fr-BE"/>
        </w:rPr>
        <w:t>Recherche   sur   l’Equité   de</w:t>
      </w:r>
    </w:p>
    <w:p w:rsidR="00AC12B4" w:rsidRPr="00C27636" w:rsidRDefault="00AC12B4">
      <w:pPr>
        <w:spacing w:line="83" w:lineRule="exact"/>
        <w:rPr>
          <w:rFonts w:ascii="Symbol" w:eastAsia="Symbol" w:hAnsi="Symbol" w:cs="Symbol"/>
          <w:color w:val="4BACC6"/>
          <w:sz w:val="20"/>
          <w:szCs w:val="20"/>
          <w:lang w:val="fr-BE"/>
        </w:rPr>
      </w:pPr>
    </w:p>
    <w:p w:rsidR="00AC12B4" w:rsidRPr="00C27636" w:rsidRDefault="00C27636">
      <w:pPr>
        <w:spacing w:line="268" w:lineRule="auto"/>
        <w:ind w:left="1140" w:right="737"/>
        <w:jc w:val="both"/>
        <w:rPr>
          <w:rFonts w:ascii="Symbol" w:eastAsia="Symbol" w:hAnsi="Symbol" w:cs="Symbol"/>
          <w:color w:val="4BACC6"/>
          <w:sz w:val="20"/>
          <w:szCs w:val="20"/>
          <w:lang w:val="fr-BE"/>
        </w:rPr>
      </w:pPr>
      <w:r w:rsidRPr="00C27636">
        <w:rPr>
          <w:rFonts w:ascii="Calibri" w:eastAsia="Calibri" w:hAnsi="Calibri" w:cs="Calibri"/>
          <w:sz w:val="20"/>
          <w:szCs w:val="20"/>
          <w:lang w:val="fr-BE"/>
        </w:rPr>
        <w:t>Systèmes Educatifs (GERESE), les élèves peuvent à la fois se sentir traités avec justice et pour autant ne pas être d’accord avec l’affirmation selon laquelle les professeurs respectent tous les élèves (Cf. GE</w:t>
      </w:r>
      <w:r w:rsidRPr="00C27636">
        <w:rPr>
          <w:rFonts w:ascii="Calibri" w:eastAsia="Calibri" w:hAnsi="Calibri" w:cs="Calibri"/>
          <w:sz w:val="20"/>
          <w:szCs w:val="20"/>
          <w:lang w:val="fr-BE"/>
        </w:rPr>
        <w:t>RESE 2005).</w:t>
      </w:r>
    </w:p>
    <w:p w:rsidR="00AC12B4" w:rsidRPr="00C27636" w:rsidRDefault="00AC12B4">
      <w:pPr>
        <w:spacing w:line="69" w:lineRule="exact"/>
        <w:rPr>
          <w:rFonts w:ascii="Symbol" w:eastAsia="Symbol" w:hAnsi="Symbol" w:cs="Symbol"/>
          <w:color w:val="4BACC6"/>
          <w:sz w:val="20"/>
          <w:szCs w:val="20"/>
          <w:lang w:val="fr-BE"/>
        </w:rPr>
      </w:pPr>
    </w:p>
    <w:p w:rsidR="00AC12B4" w:rsidRPr="00C27636" w:rsidRDefault="00C27636">
      <w:pPr>
        <w:numPr>
          <w:ilvl w:val="1"/>
          <w:numId w:val="244"/>
        </w:numPr>
        <w:tabs>
          <w:tab w:val="left" w:pos="720"/>
        </w:tabs>
        <w:spacing w:line="267" w:lineRule="auto"/>
        <w:ind w:left="720" w:right="737" w:hanging="355"/>
        <w:jc w:val="both"/>
        <w:rPr>
          <w:rFonts w:ascii="Symbol" w:eastAsia="Symbol" w:hAnsi="Symbol" w:cs="Symbol"/>
          <w:sz w:val="20"/>
          <w:szCs w:val="20"/>
          <w:lang w:val="fr-BE"/>
        </w:rPr>
      </w:pPr>
      <w:r w:rsidRPr="00C27636">
        <w:rPr>
          <w:rFonts w:ascii="Calibri" w:eastAsia="Calibri" w:hAnsi="Calibri" w:cs="Calibri"/>
          <w:b/>
          <w:bCs/>
          <w:i/>
          <w:iCs/>
          <w:color w:val="4BACC6"/>
          <w:sz w:val="20"/>
          <w:szCs w:val="20"/>
          <w:lang w:val="fr-BE"/>
        </w:rPr>
        <w:t xml:space="preserve">Indicateur composite ‘relation élève-enseignant’ : </w:t>
      </w:r>
      <w:r w:rsidRPr="00C27636">
        <w:rPr>
          <w:rFonts w:ascii="Calibri" w:eastAsia="Calibri" w:hAnsi="Calibri" w:cs="Calibri"/>
          <w:color w:val="000000"/>
          <w:sz w:val="20"/>
          <w:szCs w:val="20"/>
          <w:lang w:val="fr-BE"/>
        </w:rPr>
        <w:t>L’OCDE a développé un</w:t>
      </w:r>
      <w:r w:rsidRPr="00C27636">
        <w:rPr>
          <w:rFonts w:ascii="Calibri" w:eastAsia="Calibri" w:hAnsi="Calibri" w:cs="Calibri"/>
          <w:b/>
          <w:bCs/>
          <w:i/>
          <w:iCs/>
          <w:color w:val="4BACC6"/>
          <w:sz w:val="20"/>
          <w:szCs w:val="20"/>
          <w:lang w:val="fr-BE"/>
        </w:rPr>
        <w:t xml:space="preserve"> </w:t>
      </w:r>
      <w:r w:rsidRPr="00C27636">
        <w:rPr>
          <w:rFonts w:ascii="Calibri" w:eastAsia="Calibri" w:hAnsi="Calibri" w:cs="Calibri"/>
          <w:color w:val="000000"/>
          <w:sz w:val="20"/>
          <w:szCs w:val="20"/>
          <w:lang w:val="fr-BE"/>
        </w:rPr>
        <w:t>indicateur composite reprenant entre autres le sentiment d’être traité avec justice. La variabilité de cet indicateur est assez forte entre les écoles en Belgique (seul l</w:t>
      </w:r>
      <w:r w:rsidRPr="00C27636">
        <w:rPr>
          <w:rFonts w:ascii="Calibri" w:eastAsia="Calibri" w:hAnsi="Calibri" w:cs="Calibri"/>
          <w:color w:val="000000"/>
          <w:sz w:val="20"/>
          <w:szCs w:val="20"/>
          <w:lang w:val="fr-BE"/>
        </w:rPr>
        <w:t>e Mexique, le Luxembourg et la Hongrie ont une</w:t>
      </w:r>
    </w:p>
    <w:p w:rsidR="00AC12B4" w:rsidRPr="00C27636" w:rsidRDefault="00AC12B4">
      <w:pPr>
        <w:spacing w:line="13" w:lineRule="exact"/>
        <w:rPr>
          <w:sz w:val="20"/>
          <w:szCs w:val="20"/>
          <w:lang w:val="fr-BE"/>
        </w:rPr>
      </w:pPr>
    </w:p>
    <w:p w:rsidR="00AC12B4" w:rsidRPr="00C27636" w:rsidRDefault="00C27636">
      <w:pPr>
        <w:tabs>
          <w:tab w:val="left" w:pos="1660"/>
          <w:tab w:val="left" w:pos="2160"/>
          <w:tab w:val="left" w:pos="2980"/>
          <w:tab w:val="left" w:pos="3360"/>
        </w:tabs>
        <w:ind w:left="720"/>
        <w:rPr>
          <w:sz w:val="20"/>
          <w:szCs w:val="20"/>
          <w:lang w:val="fr-BE"/>
        </w:rPr>
      </w:pPr>
      <w:r w:rsidRPr="00C27636">
        <w:rPr>
          <w:rFonts w:ascii="Calibri" w:eastAsia="Calibri" w:hAnsi="Calibri" w:cs="Calibri"/>
          <w:sz w:val="20"/>
          <w:szCs w:val="20"/>
          <w:lang w:val="fr-BE"/>
        </w:rPr>
        <w:t>variabilité</w:t>
      </w:r>
      <w:r w:rsidRPr="00C27636">
        <w:rPr>
          <w:rFonts w:ascii="Calibri" w:eastAsia="Calibri" w:hAnsi="Calibri" w:cs="Calibri"/>
          <w:sz w:val="20"/>
          <w:szCs w:val="20"/>
          <w:lang w:val="fr-BE"/>
        </w:rPr>
        <w:tab/>
        <w:t>plus</w:t>
      </w:r>
      <w:r w:rsidRPr="00C27636">
        <w:rPr>
          <w:rFonts w:ascii="Calibri" w:eastAsia="Calibri" w:hAnsi="Calibri" w:cs="Calibri"/>
          <w:sz w:val="20"/>
          <w:szCs w:val="20"/>
          <w:lang w:val="fr-BE"/>
        </w:rPr>
        <w:tab/>
        <w:t>élevée).</w:t>
      </w:r>
      <w:r w:rsidRPr="00C27636">
        <w:rPr>
          <w:rFonts w:ascii="Calibri" w:eastAsia="Calibri" w:hAnsi="Calibri" w:cs="Calibri"/>
          <w:sz w:val="20"/>
          <w:szCs w:val="20"/>
          <w:lang w:val="fr-BE"/>
        </w:rPr>
        <w:tab/>
        <w:t>Cf.</w:t>
      </w:r>
      <w:r w:rsidRPr="00C27636">
        <w:rPr>
          <w:sz w:val="20"/>
          <w:szCs w:val="20"/>
          <w:lang w:val="fr-BE"/>
        </w:rPr>
        <w:tab/>
      </w:r>
      <w:r w:rsidRPr="00C27636">
        <w:rPr>
          <w:rFonts w:ascii="Calibri" w:eastAsia="Calibri" w:hAnsi="Calibri" w:cs="Calibri"/>
          <w:sz w:val="19"/>
          <w:szCs w:val="19"/>
          <w:lang w:val="fr-BE"/>
        </w:rPr>
        <w:t>OECD,</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13024" behindDoc="1" locked="0" layoutInCell="0" allowOverlap="1">
                <wp:simplePos x="0" y="0"/>
                <wp:positionH relativeFrom="column">
                  <wp:posOffset>3175</wp:posOffset>
                </wp:positionH>
                <wp:positionV relativeFrom="paragraph">
                  <wp:posOffset>208280</wp:posOffset>
                </wp:positionV>
                <wp:extent cx="1828800" cy="0"/>
                <wp:effectExtent l="0" t="0" r="0" b="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4pt" to="144.25pt,16.4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331" w:lineRule="exact"/>
        <w:rPr>
          <w:sz w:val="20"/>
          <w:szCs w:val="20"/>
          <w:lang w:val="fr-BE"/>
        </w:rPr>
      </w:pPr>
    </w:p>
    <w:p w:rsidR="00AC12B4" w:rsidRPr="00C27636" w:rsidRDefault="00C27636">
      <w:pPr>
        <w:spacing w:line="233" w:lineRule="auto"/>
        <w:ind w:right="737"/>
        <w:jc w:val="both"/>
        <w:rPr>
          <w:sz w:val="20"/>
          <w:szCs w:val="20"/>
          <w:lang w:val="fr-BE"/>
        </w:rPr>
      </w:pP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 xml:space="preserve"> Pour l’administration de l’enseignement flamande, la forme actuelle de PISA ne permet pas de réaliser l’enquête dans une autre langue que la langue d’instruction, ce qui est problématique pour les DASPA. En outre, des arguments budgétaires et comparabilit</w:t>
      </w:r>
      <w:r w:rsidRPr="00C27636">
        <w:rPr>
          <w:rFonts w:ascii="Calibri" w:eastAsia="Calibri" w:hAnsi="Calibri" w:cs="Calibri"/>
          <w:sz w:val="20"/>
          <w:szCs w:val="20"/>
          <w:lang w:val="fr-BE"/>
        </w:rPr>
        <w:t>és se heurtent à l’introduction d’enquêtes adaptées. HBSC international fait pourtant déjà des démarches dans ce sens.</w:t>
      </w:r>
    </w:p>
    <w:p w:rsidR="00AC12B4" w:rsidRPr="00C27636" w:rsidRDefault="00AC12B4">
      <w:pPr>
        <w:rPr>
          <w:lang w:val="fr-BE"/>
        </w:rPr>
        <w:sectPr w:rsidR="00AC12B4" w:rsidRPr="00C27636">
          <w:pgSz w:w="12080" w:h="17179"/>
          <w:pgMar w:top="1440" w:right="1440" w:bottom="659" w:left="487" w:header="0" w:footer="0" w:gutter="0"/>
          <w:cols w:num="3" w:space="720" w:equalWidth="0">
            <w:col w:w="342" w:space="-1"/>
            <w:col w:w="5020" w:space="180"/>
            <w:col w:w="4617"/>
          </w:cols>
        </w:sectPr>
      </w:pPr>
    </w:p>
    <w:p w:rsidR="00AC12B4" w:rsidRPr="00C27636" w:rsidRDefault="00AC12B4">
      <w:pPr>
        <w:spacing w:line="211" w:lineRule="exact"/>
        <w:rPr>
          <w:sz w:val="20"/>
          <w:szCs w:val="20"/>
          <w:lang w:val="fr-BE"/>
        </w:rPr>
      </w:pPr>
      <w:bookmarkStart w:id="132" w:name="page133"/>
      <w:bookmarkEnd w:id="132"/>
    </w:p>
    <w:p w:rsidR="00AC12B4" w:rsidRDefault="00C27636">
      <w:pPr>
        <w:spacing w:line="235" w:lineRule="auto"/>
        <w:ind w:left="1280" w:right="720"/>
        <w:jc w:val="both"/>
        <w:rPr>
          <w:sz w:val="20"/>
          <w:szCs w:val="20"/>
        </w:rPr>
      </w:pPr>
      <w:r>
        <w:rPr>
          <w:rFonts w:ascii="Calibri" w:eastAsia="Calibri" w:hAnsi="Calibri" w:cs="Calibri"/>
          <w:i/>
          <w:iCs/>
          <w:sz w:val="20"/>
          <w:szCs w:val="20"/>
        </w:rPr>
        <w:t xml:space="preserve">What Makes Schools Successful? Resources, Policies and Practices </w:t>
      </w:r>
      <w:r>
        <w:rPr>
          <w:rFonts w:ascii="Calibri" w:eastAsia="Calibri" w:hAnsi="Calibri" w:cs="Calibri"/>
          <w:sz w:val="20"/>
          <w:szCs w:val="20"/>
        </w:rPr>
        <w:t>–</w:t>
      </w:r>
    </w:p>
    <w:p w:rsidR="00AC12B4" w:rsidRDefault="00AC12B4">
      <w:pPr>
        <w:spacing w:line="84" w:lineRule="exact"/>
        <w:rPr>
          <w:sz w:val="20"/>
          <w:szCs w:val="20"/>
        </w:rPr>
      </w:pPr>
    </w:p>
    <w:p w:rsidR="00AC12B4" w:rsidRPr="00C27636" w:rsidRDefault="00C27636">
      <w:pPr>
        <w:spacing w:line="253" w:lineRule="auto"/>
        <w:ind w:left="1280" w:right="720"/>
        <w:jc w:val="both"/>
        <w:rPr>
          <w:rFonts w:ascii="Calibri" w:eastAsia="Calibri" w:hAnsi="Calibri" w:cs="Calibri"/>
          <w:color w:val="0000FF"/>
          <w:sz w:val="20"/>
          <w:szCs w:val="20"/>
          <w:u w:val="single"/>
          <w:lang w:val="nl-NL"/>
        </w:rPr>
      </w:pPr>
      <w:r w:rsidRPr="00C27636">
        <w:rPr>
          <w:rFonts w:ascii="Calibri" w:eastAsia="Calibri" w:hAnsi="Calibri" w:cs="Calibri"/>
          <w:sz w:val="20"/>
          <w:szCs w:val="20"/>
          <w:lang w:val="nl-NL"/>
        </w:rPr>
        <w:t xml:space="preserve">Volume IV, 2013 </w:t>
      </w:r>
      <w:hyperlink r:id="rId219">
        <w:r w:rsidRPr="00C27636">
          <w:rPr>
            <w:rFonts w:ascii="Calibri" w:eastAsia="Calibri" w:hAnsi="Calibri" w:cs="Calibri"/>
            <w:color w:val="0000FF"/>
            <w:sz w:val="20"/>
            <w:szCs w:val="20"/>
            <w:u w:val="single"/>
            <w:lang w:val="nl-NL"/>
          </w:rPr>
          <w:t>http://www.oecd.org/pisa/keyfindings</w:t>
        </w:r>
      </w:hyperlink>
      <w:r w:rsidRPr="00C27636">
        <w:rPr>
          <w:rFonts w:ascii="Calibri" w:eastAsia="Calibri" w:hAnsi="Calibri" w:cs="Calibri"/>
          <w:color w:val="0000FF"/>
          <w:sz w:val="20"/>
          <w:szCs w:val="20"/>
          <w:u w:val="single"/>
          <w:lang w:val="nl-NL"/>
        </w:rPr>
        <w:t xml:space="preserve"> </w:t>
      </w:r>
      <w:hyperlink r:id="rId220">
        <w:r w:rsidRPr="00C27636">
          <w:rPr>
            <w:rFonts w:ascii="Calibri" w:eastAsia="Calibri" w:hAnsi="Calibri" w:cs="Calibri"/>
            <w:color w:val="0000FF"/>
            <w:sz w:val="20"/>
            <w:szCs w:val="20"/>
            <w:u w:val="single"/>
            <w:lang w:val="nl-NL"/>
          </w:rPr>
          <w:t>/Vol4Ch5.pdf</w:t>
        </w:r>
      </w:hyperlink>
    </w:p>
    <w:p w:rsidR="00AC12B4" w:rsidRPr="00C27636" w:rsidRDefault="00AC12B4">
      <w:pPr>
        <w:spacing w:line="82" w:lineRule="exact"/>
        <w:rPr>
          <w:sz w:val="20"/>
          <w:szCs w:val="20"/>
          <w:lang w:val="nl-NL"/>
        </w:rPr>
      </w:pPr>
    </w:p>
    <w:p w:rsidR="00AC12B4" w:rsidRPr="00C27636" w:rsidRDefault="00C27636">
      <w:pPr>
        <w:numPr>
          <w:ilvl w:val="0"/>
          <w:numId w:val="245"/>
        </w:numPr>
        <w:tabs>
          <w:tab w:val="left" w:pos="1280"/>
        </w:tabs>
        <w:spacing w:line="268" w:lineRule="auto"/>
        <w:ind w:left="1280" w:right="720" w:hanging="353"/>
        <w:jc w:val="both"/>
        <w:rPr>
          <w:rFonts w:ascii="Symbol" w:eastAsia="Symbol" w:hAnsi="Symbol" w:cs="Symbol"/>
          <w:sz w:val="20"/>
          <w:szCs w:val="20"/>
          <w:lang w:val="fr-BE"/>
        </w:rPr>
      </w:pPr>
      <w:r w:rsidRPr="00C27636">
        <w:rPr>
          <w:rFonts w:ascii="Calibri" w:eastAsia="Calibri" w:hAnsi="Calibri" w:cs="Calibri"/>
          <w:sz w:val="20"/>
          <w:szCs w:val="20"/>
          <w:lang w:val="fr-BE"/>
        </w:rPr>
        <w:t>La Belgique élabore en 2016, dans le cadre d’une collaboration entre les administrations de l</w:t>
      </w:r>
      <w:r w:rsidRPr="00C27636">
        <w:rPr>
          <w:rFonts w:ascii="Calibri" w:eastAsia="Calibri" w:hAnsi="Calibri" w:cs="Calibri"/>
          <w:sz w:val="20"/>
          <w:szCs w:val="20"/>
          <w:lang w:val="fr-BE"/>
        </w:rPr>
        <w:t>’enseignement et le Centre interfédéral pour l’égalité des chances, un baromètre de la diversité dans l’enseignement, avec une attention particulière pour les inégalités et les discriminations structurelles sur base du statut socio-</w:t>
      </w:r>
    </w:p>
    <w:p w:rsidR="00AC12B4" w:rsidRPr="00C27636" w:rsidRDefault="00AC12B4">
      <w:pPr>
        <w:spacing w:line="59" w:lineRule="exact"/>
        <w:rPr>
          <w:rFonts w:ascii="Symbol" w:eastAsia="Symbol" w:hAnsi="Symbol" w:cs="Symbol"/>
          <w:sz w:val="20"/>
          <w:szCs w:val="20"/>
          <w:lang w:val="fr-BE"/>
        </w:rPr>
      </w:pPr>
    </w:p>
    <w:p w:rsidR="00AC12B4" w:rsidRPr="00C27636" w:rsidRDefault="00C27636">
      <w:pPr>
        <w:spacing w:line="235" w:lineRule="auto"/>
        <w:ind w:left="1280" w:right="720"/>
        <w:jc w:val="both"/>
        <w:rPr>
          <w:rFonts w:ascii="Symbol" w:eastAsia="Symbol" w:hAnsi="Symbol" w:cs="Symbol"/>
          <w:sz w:val="20"/>
          <w:szCs w:val="20"/>
          <w:lang w:val="fr-BE"/>
        </w:rPr>
      </w:pPr>
      <w:r w:rsidRPr="00C27636">
        <w:rPr>
          <w:rFonts w:ascii="Calibri" w:eastAsia="Calibri" w:hAnsi="Calibri" w:cs="Calibri"/>
          <w:sz w:val="20"/>
          <w:szCs w:val="20"/>
          <w:lang w:val="fr-BE"/>
        </w:rPr>
        <w:t>économique, de l’origi</w:t>
      </w:r>
      <w:r w:rsidRPr="00C27636">
        <w:rPr>
          <w:rFonts w:ascii="Calibri" w:eastAsia="Calibri" w:hAnsi="Calibri" w:cs="Calibri"/>
          <w:sz w:val="20"/>
          <w:szCs w:val="20"/>
          <w:lang w:val="fr-BE"/>
        </w:rPr>
        <w:t>ne, du handicap et de l’orientation sexuelle. Le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1" w:lineRule="exact"/>
        <w:rPr>
          <w:sz w:val="20"/>
          <w:szCs w:val="20"/>
          <w:lang w:val="fr-BE"/>
        </w:rPr>
      </w:pPr>
    </w:p>
    <w:p w:rsidR="00AC12B4" w:rsidRPr="00C27636" w:rsidRDefault="00C27636">
      <w:pPr>
        <w:spacing w:line="271" w:lineRule="auto"/>
        <w:ind w:right="1048"/>
        <w:jc w:val="both"/>
        <w:rPr>
          <w:sz w:val="20"/>
          <w:szCs w:val="20"/>
          <w:lang w:val="fr-BE"/>
        </w:rPr>
      </w:pPr>
      <w:r w:rsidRPr="00C27636">
        <w:rPr>
          <w:rFonts w:ascii="Calibri" w:eastAsia="Calibri" w:hAnsi="Calibri" w:cs="Calibri"/>
          <w:sz w:val="20"/>
          <w:szCs w:val="20"/>
          <w:lang w:val="fr-BE"/>
        </w:rPr>
        <w:t>baromètre formulera des recommandations pour plusieurs partenaires au sein de l’enseignement et collectera, en vue d’une politique d’égalité des chances plus efficace, de bonnes pratiques. Le Baromètre vi</w:t>
      </w:r>
      <w:r w:rsidRPr="00C27636">
        <w:rPr>
          <w:rFonts w:ascii="Calibri" w:eastAsia="Calibri" w:hAnsi="Calibri" w:cs="Calibri"/>
          <w:sz w:val="20"/>
          <w:szCs w:val="20"/>
          <w:lang w:val="fr-BE"/>
        </w:rPr>
        <w:t>se à donner une synthèse et une vue globale de la problématique, de clarifier les carences actuelles dans l’enseignement et la recherche et de les surmonter.</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14048" behindDoc="1" locked="0" layoutInCell="0" allowOverlap="1">
                <wp:simplePos x="0" y="0"/>
                <wp:positionH relativeFrom="column">
                  <wp:posOffset>2259965</wp:posOffset>
                </wp:positionH>
                <wp:positionV relativeFrom="paragraph">
                  <wp:posOffset>-2965450</wp:posOffset>
                </wp:positionV>
                <wp:extent cx="751840" cy="10895965"/>
                <wp:effectExtent l="0" t="0" r="0" b="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5965"/>
                        </a:xfrm>
                        <a:prstGeom prst="rect">
                          <a:avLst/>
                        </a:prstGeom>
                        <a:solidFill>
                          <a:srgbClr val="8BCCEC"/>
                        </a:solidFill>
                      </wps:spPr>
                      <wps:bodyPr/>
                    </wps:wsp>
                  </a:graphicData>
                </a:graphic>
              </wp:anchor>
            </w:drawing>
          </mc:Choice>
          <mc:Fallback>
            <w:pict>
              <v:rect id="Shape 380" o:spid="_x0000_s1405" style="position:absolute;margin-left:177.95pt;margin-top:-233.4999pt;width:59.2pt;height:8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Pr="00C27636" w:rsidRDefault="00AC12B4">
      <w:pPr>
        <w:spacing w:line="1587" w:lineRule="exact"/>
        <w:rPr>
          <w:sz w:val="20"/>
          <w:szCs w:val="20"/>
          <w:lang w:val="fr-BE"/>
        </w:rPr>
      </w:pPr>
    </w:p>
    <w:p w:rsidR="00AC12B4" w:rsidRPr="00C27636" w:rsidRDefault="00AC12B4">
      <w:pPr>
        <w:rPr>
          <w:lang w:val="fr-BE"/>
        </w:rPr>
        <w:sectPr w:rsidR="00AC12B4" w:rsidRPr="00C27636">
          <w:pgSz w:w="12080" w:h="17179"/>
          <w:pgMar w:top="1440" w:right="569" w:bottom="659" w:left="1440" w:header="0" w:footer="0" w:gutter="0"/>
          <w:cols w:num="2" w:space="720" w:equalWidth="0">
            <w:col w:w="5160" w:space="720"/>
            <w:col w:w="4188"/>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9" w:lineRule="exact"/>
        <w:rPr>
          <w:sz w:val="20"/>
          <w:szCs w:val="20"/>
          <w:lang w:val="fr-BE"/>
        </w:rPr>
      </w:pPr>
    </w:p>
    <w:tbl>
      <w:tblPr>
        <w:tblW w:w="0" w:type="auto"/>
        <w:tblInd w:w="9787" w:type="dxa"/>
        <w:tblLayout w:type="fixed"/>
        <w:tblCellMar>
          <w:left w:w="0" w:type="dxa"/>
          <w:right w:w="0" w:type="dxa"/>
        </w:tblCellMar>
        <w:tblLook w:val="04A0" w:firstRow="1" w:lastRow="0" w:firstColumn="1" w:lastColumn="0" w:noHBand="0" w:noVBand="1"/>
      </w:tblPr>
      <w:tblGrid>
        <w:gridCol w:w="281"/>
      </w:tblGrid>
      <w:tr w:rsidR="00AC12B4">
        <w:trPr>
          <w:trHeight w:val="294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t>Le droit à l’enseignement</w:t>
            </w:r>
          </w:p>
        </w:tc>
      </w:tr>
    </w:tbl>
    <w:p w:rsidR="00AC12B4" w:rsidRDefault="00AC12B4">
      <w:pPr>
        <w:spacing w:line="40" w:lineRule="exact"/>
        <w:rPr>
          <w:sz w:val="20"/>
          <w:szCs w:val="20"/>
        </w:rPr>
      </w:pPr>
    </w:p>
    <w:p w:rsidR="00AC12B4" w:rsidRDefault="00C27636">
      <w:pPr>
        <w:ind w:right="468"/>
        <w:jc w:val="center"/>
        <w:rPr>
          <w:sz w:val="20"/>
          <w:szCs w:val="20"/>
        </w:rPr>
      </w:pPr>
      <w:r>
        <w:rPr>
          <w:rFonts w:ascii="Calibri" w:eastAsia="Calibri" w:hAnsi="Calibri" w:cs="Calibri"/>
          <w:sz w:val="21"/>
          <w:szCs w:val="21"/>
        </w:rPr>
        <w:t>133</w:t>
      </w:r>
    </w:p>
    <w:p w:rsidR="00AC12B4" w:rsidRDefault="00AC12B4">
      <w:pPr>
        <w:sectPr w:rsidR="00AC12B4">
          <w:type w:val="continuous"/>
          <w:pgSz w:w="12080" w:h="17179"/>
          <w:pgMar w:top="1440" w:right="569" w:bottom="659" w:left="1440" w:header="0" w:footer="0" w:gutter="0"/>
          <w:cols w:space="720" w:equalWidth="0">
            <w:col w:w="10068"/>
          </w:cols>
        </w:sectPr>
      </w:pPr>
    </w:p>
    <w:p w:rsidR="00AC12B4" w:rsidRDefault="00AC12B4">
      <w:pPr>
        <w:jc w:val="center"/>
        <w:rPr>
          <w:sz w:val="20"/>
          <w:szCs w:val="20"/>
        </w:rPr>
      </w:pPr>
      <w:bookmarkStart w:id="133" w:name="page134"/>
      <w:bookmarkEnd w:id="133"/>
    </w:p>
    <w:p w:rsidR="00AC12B4" w:rsidRDefault="00AC12B4">
      <w:pPr>
        <w:sectPr w:rsidR="00AC12B4">
          <w:pgSz w:w="12080" w:h="17179"/>
          <w:pgMar w:top="1440" w:right="1440" w:bottom="875" w:left="1440" w:header="0" w:footer="0" w:gutter="0"/>
          <w:cols w:space="0"/>
        </w:sectPr>
      </w:pPr>
    </w:p>
    <w:p w:rsidR="00AC12B4" w:rsidRDefault="00AC12B4">
      <w:pPr>
        <w:spacing w:line="168" w:lineRule="exact"/>
        <w:rPr>
          <w:sz w:val="20"/>
          <w:szCs w:val="20"/>
        </w:rPr>
      </w:pPr>
      <w:bookmarkStart w:id="134" w:name="page135"/>
      <w:bookmarkEnd w:id="134"/>
    </w:p>
    <w:p w:rsidR="00AC12B4" w:rsidRDefault="00C27636">
      <w:pPr>
        <w:jc w:val="right"/>
        <w:rPr>
          <w:sz w:val="20"/>
          <w:szCs w:val="20"/>
        </w:rPr>
      </w:pPr>
      <w:r>
        <w:rPr>
          <w:rFonts w:ascii="Comic Sans MS" w:eastAsia="Comic Sans MS" w:hAnsi="Comic Sans MS" w:cs="Comic Sans MS"/>
          <w:color w:val="8BCCEC"/>
          <w:sz w:val="40"/>
          <w:szCs w:val="40"/>
        </w:rPr>
        <w:t>E8. Inégalité des acquis</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715072" behindDoc="1" locked="0" layoutInCell="0" allowOverlap="1">
                <wp:simplePos x="0" y="0"/>
                <wp:positionH relativeFrom="column">
                  <wp:posOffset>-351155</wp:posOffset>
                </wp:positionH>
                <wp:positionV relativeFrom="paragraph">
                  <wp:posOffset>207645</wp:posOffset>
                </wp:positionV>
                <wp:extent cx="3559810" cy="1637665"/>
                <wp:effectExtent l="0" t="0" r="0" b="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637665"/>
                        </a:xfrm>
                        <a:prstGeom prst="rect">
                          <a:avLst/>
                        </a:prstGeom>
                        <a:solidFill>
                          <a:srgbClr val="8BCCEC"/>
                        </a:solidFill>
                      </wps:spPr>
                      <wps:bodyPr/>
                    </wps:wsp>
                  </a:graphicData>
                </a:graphic>
              </wp:anchor>
            </w:drawing>
          </mc:Choice>
          <mc:Fallback>
            <w:pict>
              <v:rect id="Shape 381" o:spid="_x0000_s1406" style="position:absolute;margin-left:-27.6499pt;margin-top:16.35pt;width:280.3pt;height:12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r>
        <w:rPr>
          <w:noProof/>
          <w:sz w:val="20"/>
          <w:szCs w:val="20"/>
        </w:rPr>
        <mc:AlternateContent>
          <mc:Choice Requires="wps">
            <w:drawing>
              <wp:anchor distT="0" distB="0" distL="114300" distR="114300" simplePos="0" relativeHeight="251716096" behindDoc="1" locked="0" layoutInCell="0" allowOverlap="1">
                <wp:simplePos x="0" y="0"/>
                <wp:positionH relativeFrom="column">
                  <wp:posOffset>3208655</wp:posOffset>
                </wp:positionH>
                <wp:positionV relativeFrom="paragraph">
                  <wp:posOffset>194945</wp:posOffset>
                </wp:positionV>
                <wp:extent cx="0" cy="1663065"/>
                <wp:effectExtent l="0" t="0" r="0" b="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6306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15.35pt" to="252.65pt,146.3pt" o:allowincell="f" strokecolor="#44ACE0" strokeweight="2pt"/>
            </w:pict>
          </mc:Fallback>
        </mc:AlternateContent>
      </w:r>
      <w:r>
        <w:rPr>
          <w:noProof/>
          <w:sz w:val="20"/>
          <w:szCs w:val="20"/>
        </w:rPr>
        <mc:AlternateContent>
          <mc:Choice Requires="wps">
            <w:drawing>
              <wp:anchor distT="0" distB="0" distL="114300" distR="114300" simplePos="0" relativeHeight="251717120" behindDoc="1" locked="0" layoutInCell="0" allowOverlap="1">
                <wp:simplePos x="0" y="0"/>
                <wp:positionH relativeFrom="column">
                  <wp:posOffset>-363855</wp:posOffset>
                </wp:positionH>
                <wp:positionV relativeFrom="paragraph">
                  <wp:posOffset>207645</wp:posOffset>
                </wp:positionV>
                <wp:extent cx="3585210" cy="0"/>
                <wp:effectExtent l="0" t="0" r="0" b="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6.35pt" to="253.65pt,16.35pt" o:allowincell="f" strokecolor="#44ACE0" strokeweight="2pt"/>
            </w:pict>
          </mc:Fallback>
        </mc:AlternateContent>
      </w:r>
      <w:r>
        <w:rPr>
          <w:noProof/>
          <w:sz w:val="20"/>
          <w:szCs w:val="20"/>
        </w:rPr>
        <mc:AlternateContent>
          <mc:Choice Requires="wps">
            <w:drawing>
              <wp:anchor distT="0" distB="0" distL="114300" distR="114300" simplePos="0" relativeHeight="251718144" behindDoc="1" locked="0" layoutInCell="0" allowOverlap="1">
                <wp:simplePos x="0" y="0"/>
                <wp:positionH relativeFrom="column">
                  <wp:posOffset>-351155</wp:posOffset>
                </wp:positionH>
                <wp:positionV relativeFrom="paragraph">
                  <wp:posOffset>194945</wp:posOffset>
                </wp:positionV>
                <wp:extent cx="0" cy="1663065"/>
                <wp:effectExtent l="0" t="0" r="0" b="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63065"/>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5.35pt" to="-27.6499pt,146.3pt" o:allowincell="f" strokecolor="#44ACE0" strokeweight="2pt"/>
            </w:pict>
          </mc:Fallback>
        </mc:AlternateContent>
      </w:r>
      <w:r>
        <w:rPr>
          <w:noProof/>
          <w:sz w:val="20"/>
          <w:szCs w:val="20"/>
        </w:rPr>
        <mc:AlternateContent>
          <mc:Choice Requires="wps">
            <w:drawing>
              <wp:anchor distT="0" distB="0" distL="114300" distR="114300" simplePos="0" relativeHeight="251719168" behindDoc="1" locked="0" layoutInCell="0" allowOverlap="1">
                <wp:simplePos x="0" y="0"/>
                <wp:positionH relativeFrom="column">
                  <wp:posOffset>-363855</wp:posOffset>
                </wp:positionH>
                <wp:positionV relativeFrom="paragraph">
                  <wp:posOffset>1845310</wp:posOffset>
                </wp:positionV>
                <wp:extent cx="3585210" cy="0"/>
                <wp:effectExtent l="0" t="0" r="0" b="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44ACE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45.3pt" to="253.65pt,145.3pt" o:allowincell="f" strokecolor="#44ACE0" strokeweight="2pt"/>
            </w:pict>
          </mc:Fallback>
        </mc:AlternateContent>
      </w:r>
    </w:p>
    <w:p w:rsidR="00AC12B4" w:rsidRDefault="00AC12B4">
      <w:pPr>
        <w:spacing w:line="200" w:lineRule="exact"/>
        <w:rPr>
          <w:sz w:val="20"/>
          <w:szCs w:val="20"/>
        </w:rPr>
      </w:pPr>
    </w:p>
    <w:p w:rsidR="00AC12B4" w:rsidRDefault="00AC12B4">
      <w:pPr>
        <w:spacing w:line="388" w:lineRule="exact"/>
        <w:rPr>
          <w:sz w:val="20"/>
          <w:szCs w:val="20"/>
        </w:rPr>
      </w:pPr>
    </w:p>
    <w:p w:rsidR="00AC12B4" w:rsidRDefault="00C27636">
      <w:pPr>
        <w:rPr>
          <w:sz w:val="20"/>
          <w:szCs w:val="20"/>
        </w:rPr>
      </w:pPr>
      <w:r>
        <w:rPr>
          <w:rFonts w:ascii="Calibri" w:eastAsia="Calibri" w:hAnsi="Calibri" w:cs="Calibri"/>
          <w:i/>
          <w:iCs/>
          <w:color w:val="DAEEF3"/>
        </w:rPr>
        <w:t>Article 29 CIDE</w:t>
      </w:r>
    </w:p>
    <w:p w:rsidR="00AC12B4" w:rsidRDefault="00AC12B4">
      <w:pPr>
        <w:spacing w:line="120" w:lineRule="exact"/>
        <w:rPr>
          <w:sz w:val="20"/>
          <w:szCs w:val="20"/>
        </w:rPr>
      </w:pPr>
    </w:p>
    <w:p w:rsidR="00AC12B4" w:rsidRPr="00C27636" w:rsidRDefault="00C27636">
      <w:pPr>
        <w:rPr>
          <w:sz w:val="20"/>
          <w:szCs w:val="20"/>
          <w:lang w:val="fr-BE"/>
        </w:rPr>
      </w:pPr>
      <w:r w:rsidRPr="00C27636">
        <w:rPr>
          <w:rFonts w:ascii="Calibri" w:eastAsia="Calibri" w:hAnsi="Calibri" w:cs="Calibri"/>
          <w:i/>
          <w:iCs/>
          <w:color w:val="DAEEF3"/>
          <w:lang w:val="fr-BE"/>
        </w:rPr>
        <w:t>1. Les Etats parties conviennent que l’éducation de</w:t>
      </w:r>
    </w:p>
    <w:p w:rsidR="00AC12B4" w:rsidRPr="00C27636" w:rsidRDefault="00C27636">
      <w:pPr>
        <w:spacing w:line="228" w:lineRule="auto"/>
        <w:rPr>
          <w:sz w:val="20"/>
          <w:szCs w:val="20"/>
          <w:lang w:val="fr-BE"/>
        </w:rPr>
      </w:pPr>
      <w:r w:rsidRPr="00C27636">
        <w:rPr>
          <w:rFonts w:ascii="Calibri" w:eastAsia="Calibri" w:hAnsi="Calibri" w:cs="Calibri"/>
          <w:i/>
          <w:iCs/>
          <w:color w:val="DAEEF3"/>
          <w:lang w:val="fr-BE"/>
        </w:rPr>
        <w:t>l’enfant doit viser à :</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2" w:lineRule="exact"/>
        <w:rPr>
          <w:sz w:val="20"/>
          <w:szCs w:val="20"/>
          <w:lang w:val="fr-BE"/>
        </w:rPr>
      </w:pPr>
    </w:p>
    <w:p w:rsidR="00AC12B4" w:rsidRPr="00C27636" w:rsidRDefault="00C27636">
      <w:pPr>
        <w:spacing w:line="229" w:lineRule="auto"/>
        <w:ind w:right="1048"/>
        <w:jc w:val="both"/>
        <w:rPr>
          <w:sz w:val="20"/>
          <w:szCs w:val="20"/>
          <w:lang w:val="fr-BE"/>
        </w:rPr>
      </w:pPr>
      <w:r w:rsidRPr="00C27636">
        <w:rPr>
          <w:rFonts w:ascii="Calibri" w:eastAsia="Calibri" w:hAnsi="Calibri" w:cs="Calibri"/>
          <w:lang w:val="fr-BE"/>
        </w:rPr>
        <w:t xml:space="preserve">L’indicateur choisi permet donc de vérifier si certains groupes sont systématiquement </w:t>
      </w:r>
      <w:r w:rsidRPr="00C27636">
        <w:rPr>
          <w:rFonts w:ascii="Calibri" w:eastAsia="Calibri" w:hAnsi="Calibri" w:cs="Calibri"/>
          <w:lang w:val="fr-BE"/>
        </w:rPr>
        <w:t>défavorisés dans l’acquisition de compétences à l’école.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20192" behindDoc="1" locked="0" layoutInCell="0" allowOverlap="1">
                <wp:simplePos x="0" y="0"/>
                <wp:positionH relativeFrom="column">
                  <wp:posOffset>2717165</wp:posOffset>
                </wp:positionH>
                <wp:positionV relativeFrom="paragraph">
                  <wp:posOffset>-2224405</wp:posOffset>
                </wp:positionV>
                <wp:extent cx="751840" cy="10895965"/>
                <wp:effectExtent l="0" t="0" r="0" b="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840" cy="10895965"/>
                        </a:xfrm>
                        <a:prstGeom prst="rect">
                          <a:avLst/>
                        </a:prstGeom>
                        <a:solidFill>
                          <a:srgbClr val="8BCCEC"/>
                        </a:solidFill>
                      </wps:spPr>
                      <wps:bodyPr/>
                    </wps:wsp>
                  </a:graphicData>
                </a:graphic>
              </wp:anchor>
            </w:drawing>
          </mc:Choice>
          <mc:Fallback>
            <w:pict>
              <v:rect id="Shape 386" o:spid="_x0000_s1411" style="position:absolute;margin-left:213.95pt;margin-top:-175.1499pt;width:59.2pt;height:8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Pr="00C27636" w:rsidRDefault="00AC12B4">
      <w:pPr>
        <w:spacing w:line="170" w:lineRule="exact"/>
        <w:rPr>
          <w:sz w:val="20"/>
          <w:szCs w:val="20"/>
          <w:lang w:val="fr-BE"/>
        </w:rPr>
      </w:pPr>
    </w:p>
    <w:p w:rsidR="00AC12B4" w:rsidRPr="00C27636" w:rsidRDefault="00AC12B4">
      <w:pPr>
        <w:rPr>
          <w:lang w:val="fr-BE"/>
        </w:rPr>
        <w:sectPr w:rsidR="00AC12B4" w:rsidRPr="00C27636">
          <w:pgSz w:w="12080" w:h="17179"/>
          <w:pgMar w:top="1440" w:right="569" w:bottom="659" w:left="1120" w:header="0" w:footer="0" w:gutter="0"/>
          <w:cols w:num="2" w:space="720" w:equalWidth="0">
            <w:col w:w="5320" w:space="160"/>
            <w:col w:w="4908"/>
          </w:cols>
        </w:sectPr>
      </w:pPr>
    </w:p>
    <w:p w:rsidR="00AC12B4" w:rsidRPr="00C27636" w:rsidRDefault="00AC12B4">
      <w:pPr>
        <w:spacing w:line="13"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DAEEF3"/>
          <w:lang w:val="fr-BE"/>
        </w:rPr>
        <w:t>a) Favoriser l’épanouissement de la personnalité de</w:t>
      </w:r>
    </w:p>
    <w:p w:rsidR="00AC12B4" w:rsidRPr="00C27636" w:rsidRDefault="00C27636">
      <w:pPr>
        <w:rPr>
          <w:sz w:val="20"/>
          <w:szCs w:val="20"/>
          <w:lang w:val="fr-BE"/>
        </w:rPr>
      </w:pPr>
      <w:r w:rsidRPr="00C27636">
        <w:rPr>
          <w:rFonts w:ascii="Calibri" w:eastAsia="Calibri" w:hAnsi="Calibri" w:cs="Calibri"/>
          <w:i/>
          <w:iCs/>
          <w:color w:val="DAEEF3"/>
          <w:lang w:val="fr-BE"/>
        </w:rPr>
        <w:t>l’enfant et le développement de ses dons et de ses</w:t>
      </w:r>
    </w:p>
    <w:p w:rsidR="00AC12B4" w:rsidRPr="00C27636" w:rsidRDefault="00C27636">
      <w:pPr>
        <w:rPr>
          <w:sz w:val="20"/>
          <w:szCs w:val="20"/>
          <w:lang w:val="fr-BE"/>
        </w:rPr>
      </w:pPr>
      <w:r w:rsidRPr="00C27636">
        <w:rPr>
          <w:rFonts w:ascii="Calibri" w:eastAsia="Calibri" w:hAnsi="Calibri" w:cs="Calibri"/>
          <w:i/>
          <w:iCs/>
          <w:color w:val="DAEEF3"/>
          <w:lang w:val="fr-BE"/>
        </w:rPr>
        <w:t>aptitudes mentales et physiques, dans toute la mesure</w:t>
      </w:r>
    </w:p>
    <w:p w:rsidR="00AC12B4" w:rsidRPr="00C27636" w:rsidRDefault="00AC12B4">
      <w:pPr>
        <w:spacing w:line="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DAEEF3"/>
          <w:lang w:val="fr-BE"/>
        </w:rPr>
        <w:t>de leurs p</w:t>
      </w:r>
      <w:r w:rsidRPr="00C27636">
        <w:rPr>
          <w:rFonts w:ascii="Calibri" w:eastAsia="Calibri" w:hAnsi="Calibri" w:cs="Calibri"/>
          <w:i/>
          <w:iCs/>
          <w:color w:val="DAEEF3"/>
          <w:lang w:val="fr-BE"/>
        </w:rPr>
        <w:t>otentialités;</w:t>
      </w:r>
    </w:p>
    <w:p w:rsidR="00AC12B4" w:rsidRPr="00C27636" w:rsidRDefault="00AC12B4">
      <w:pPr>
        <w:spacing w:line="200" w:lineRule="exact"/>
        <w:rPr>
          <w:sz w:val="20"/>
          <w:szCs w:val="20"/>
          <w:lang w:val="fr-BE"/>
        </w:rPr>
      </w:pPr>
    </w:p>
    <w:p w:rsidR="00AC12B4" w:rsidRPr="00C27636" w:rsidRDefault="00AC12B4">
      <w:pPr>
        <w:spacing w:line="392" w:lineRule="exact"/>
        <w:rPr>
          <w:sz w:val="20"/>
          <w:szCs w:val="20"/>
          <w:lang w:val="fr-BE"/>
        </w:rPr>
      </w:pPr>
    </w:p>
    <w:p w:rsidR="00AC12B4" w:rsidRPr="00C27636" w:rsidRDefault="00C27636">
      <w:pPr>
        <w:spacing w:line="230" w:lineRule="auto"/>
        <w:ind w:left="880" w:right="120"/>
        <w:jc w:val="both"/>
        <w:rPr>
          <w:sz w:val="20"/>
          <w:szCs w:val="20"/>
          <w:lang w:val="fr-BE"/>
        </w:rPr>
      </w:pPr>
      <w:r w:rsidRPr="00C27636">
        <w:rPr>
          <w:rFonts w:ascii="Calibri" w:eastAsia="Calibri" w:hAnsi="Calibri" w:cs="Calibri"/>
          <w:lang w:val="fr-BE"/>
        </w:rPr>
        <w:t xml:space="preserve">L’origine, le statut socio-économique, le genre et autres ne devraient pas être des freins à l’apprentissage. Or, quand on étudie les compétences acquises par les jeunes, de nombreux facteurs semblent être en relation. Il ne s’agit pas ici </w:t>
      </w:r>
      <w:r w:rsidRPr="00C27636">
        <w:rPr>
          <w:rFonts w:ascii="Calibri" w:eastAsia="Calibri" w:hAnsi="Calibri" w:cs="Calibri"/>
          <w:lang w:val="fr-BE"/>
        </w:rPr>
        <w:t>d’énoncer que tous les enfants doivent</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tabs>
          <w:tab w:val="left" w:pos="860"/>
        </w:tabs>
        <w:spacing w:line="196" w:lineRule="auto"/>
        <w:rPr>
          <w:sz w:val="20"/>
          <w:szCs w:val="20"/>
          <w:lang w:val="fr-BE"/>
        </w:rPr>
      </w:pPr>
      <w:r w:rsidRPr="00C27636">
        <w:rPr>
          <w:rFonts w:ascii="Calibri" w:eastAsia="Calibri" w:hAnsi="Calibri" w:cs="Calibri"/>
          <w:lang w:val="fr-BE"/>
        </w:rPr>
        <w:t>Ainsi</w:t>
      </w:r>
      <w:r w:rsidRPr="00C27636">
        <w:rPr>
          <w:sz w:val="20"/>
          <w:szCs w:val="20"/>
          <w:lang w:val="fr-BE"/>
        </w:rPr>
        <w:tab/>
      </w:r>
      <w:r w:rsidRPr="00C27636">
        <w:rPr>
          <w:rFonts w:ascii="Calibri" w:eastAsia="Calibri" w:hAnsi="Calibri" w:cs="Calibri"/>
          <w:lang w:val="fr-BE"/>
        </w:rPr>
        <w:t>l’on</w:t>
      </w:r>
    </w:p>
    <w:p w:rsidR="00AC12B4" w:rsidRPr="00C27636" w:rsidRDefault="00AC12B4">
      <w:pPr>
        <w:spacing w:line="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peut</w:t>
      </w:r>
    </w:p>
    <w:p w:rsidR="00AC12B4" w:rsidRPr="00C27636" w:rsidRDefault="00C27636">
      <w:pPr>
        <w:tabs>
          <w:tab w:val="left" w:pos="1040"/>
        </w:tabs>
        <w:rPr>
          <w:sz w:val="20"/>
          <w:szCs w:val="20"/>
          <w:lang w:val="fr-BE"/>
        </w:rPr>
      </w:pPr>
      <w:r w:rsidRPr="00C27636">
        <w:rPr>
          <w:rFonts w:ascii="Calibri" w:eastAsia="Calibri" w:hAnsi="Calibri" w:cs="Calibri"/>
          <w:lang w:val="fr-BE"/>
        </w:rPr>
        <w:t>comparer</w:t>
      </w:r>
      <w:r w:rsidRPr="00C27636">
        <w:rPr>
          <w:rFonts w:ascii="Calibri" w:eastAsia="Calibri" w:hAnsi="Calibri" w:cs="Calibri"/>
          <w:lang w:val="fr-BE"/>
        </w:rPr>
        <w:tab/>
        <w:t>la</w:t>
      </w:r>
    </w:p>
    <w:p w:rsidR="00AC12B4" w:rsidRPr="00C27636" w:rsidRDefault="00C27636">
      <w:pPr>
        <w:rPr>
          <w:sz w:val="20"/>
          <w:szCs w:val="20"/>
          <w:lang w:val="fr-BE"/>
        </w:rPr>
      </w:pPr>
      <w:r w:rsidRPr="00C27636">
        <w:rPr>
          <w:rFonts w:ascii="Calibri" w:eastAsia="Calibri" w:hAnsi="Calibri" w:cs="Calibri"/>
          <w:lang w:val="fr-BE"/>
        </w:rPr>
        <w:t>différence de</w:t>
      </w:r>
    </w:p>
    <w:p w:rsidR="00AC12B4" w:rsidRPr="00C27636" w:rsidRDefault="00C27636">
      <w:pPr>
        <w:spacing w:line="193" w:lineRule="auto"/>
        <w:rPr>
          <w:sz w:val="20"/>
          <w:szCs w:val="20"/>
          <w:lang w:val="fr-BE"/>
        </w:rPr>
      </w:pPr>
      <w:r w:rsidRPr="00C27636">
        <w:rPr>
          <w:rFonts w:ascii="Calibri" w:eastAsia="Calibri" w:hAnsi="Calibri" w:cs="Calibri"/>
          <w:lang w:val="fr-BE"/>
        </w:rPr>
        <w:t>résultat</w:t>
      </w:r>
      <w:r w:rsidRPr="00C27636">
        <w:rPr>
          <w:rFonts w:ascii="Calibri" w:eastAsia="Calibri" w:hAnsi="Calibri" w:cs="Calibri"/>
          <w:sz w:val="27"/>
          <w:szCs w:val="27"/>
          <w:vertAlign w:val="superscript"/>
          <w:lang w:val="fr-BE"/>
        </w:rPr>
        <w:t>1</w:t>
      </w:r>
    </w:p>
    <w:p w:rsidR="00AC12B4" w:rsidRPr="00C27636" w:rsidRDefault="00AC12B4">
      <w:pPr>
        <w:spacing w:line="51" w:lineRule="exact"/>
        <w:rPr>
          <w:sz w:val="20"/>
          <w:szCs w:val="20"/>
          <w:lang w:val="fr-BE"/>
        </w:rPr>
      </w:pPr>
    </w:p>
    <w:p w:rsidR="00AC12B4" w:rsidRPr="00C27636" w:rsidRDefault="00C27636">
      <w:pPr>
        <w:spacing w:line="218" w:lineRule="auto"/>
        <w:rPr>
          <w:sz w:val="20"/>
          <w:szCs w:val="20"/>
          <w:lang w:val="fr-BE"/>
        </w:rPr>
      </w:pPr>
      <w:r w:rsidRPr="00C27636">
        <w:rPr>
          <w:rFonts w:ascii="Calibri" w:eastAsia="Calibri" w:hAnsi="Calibri" w:cs="Calibri"/>
          <w:lang w:val="fr-BE"/>
        </w:rPr>
        <w:t>entre le score moyen</w:t>
      </w:r>
    </w:p>
    <w:p w:rsidR="00AC12B4" w:rsidRPr="00C27636" w:rsidRDefault="00AC12B4">
      <w:pPr>
        <w:spacing w:line="14" w:lineRule="exact"/>
        <w:rPr>
          <w:sz w:val="20"/>
          <w:szCs w:val="20"/>
          <w:lang w:val="fr-BE"/>
        </w:rPr>
      </w:pPr>
    </w:p>
    <w:p w:rsidR="00AC12B4" w:rsidRPr="00C27636" w:rsidRDefault="00C27636">
      <w:pPr>
        <w:tabs>
          <w:tab w:val="left" w:pos="820"/>
        </w:tabs>
        <w:rPr>
          <w:sz w:val="20"/>
          <w:szCs w:val="20"/>
          <w:lang w:val="fr-BE"/>
        </w:rPr>
      </w:pPr>
      <w:r w:rsidRPr="00C27636">
        <w:rPr>
          <w:rFonts w:ascii="Calibri" w:eastAsia="Calibri" w:hAnsi="Calibri" w:cs="Calibri"/>
          <w:sz w:val="21"/>
          <w:szCs w:val="21"/>
          <w:lang w:val="fr-BE"/>
        </w:rPr>
        <w:t>des</w:t>
      </w:r>
      <w:r w:rsidRPr="00C27636">
        <w:rPr>
          <w:sz w:val="20"/>
          <w:szCs w:val="20"/>
          <w:lang w:val="fr-BE"/>
        </w:rPr>
        <w:tab/>
      </w:r>
      <w:r w:rsidRPr="00C27636">
        <w:rPr>
          <w:rFonts w:ascii="Calibri" w:eastAsia="Calibri" w:hAnsi="Calibri" w:cs="Calibri"/>
          <w:sz w:val="21"/>
          <w:szCs w:val="21"/>
          <w:lang w:val="fr-BE"/>
        </w:rPr>
        <w:t>25%</w:t>
      </w:r>
    </w:p>
    <w:p w:rsidR="00AC12B4" w:rsidRPr="00C27636" w:rsidRDefault="00C27636">
      <w:pPr>
        <w:tabs>
          <w:tab w:val="left" w:pos="900"/>
        </w:tabs>
        <w:rPr>
          <w:sz w:val="20"/>
          <w:szCs w:val="20"/>
          <w:lang w:val="fr-BE"/>
        </w:rPr>
      </w:pPr>
      <w:r w:rsidRPr="00C27636">
        <w:rPr>
          <w:rFonts w:ascii="Calibri" w:eastAsia="Calibri" w:hAnsi="Calibri" w:cs="Calibri"/>
          <w:lang w:val="fr-BE"/>
        </w:rPr>
        <w:t>d’élèves</w:t>
      </w:r>
      <w:r w:rsidRPr="00C27636">
        <w:rPr>
          <w:rFonts w:ascii="Calibri" w:eastAsia="Calibri" w:hAnsi="Calibri" w:cs="Calibri"/>
          <w:lang w:val="fr-BE"/>
        </w:rPr>
        <w:tab/>
        <w:t>par</w:t>
      </w:r>
    </w:p>
    <w:p w:rsidR="00AC12B4" w:rsidRPr="00C27636" w:rsidRDefault="00C27636">
      <w:pPr>
        <w:tabs>
          <w:tab w:val="left" w:pos="940"/>
        </w:tabs>
        <w:rPr>
          <w:sz w:val="20"/>
          <w:szCs w:val="20"/>
          <w:lang w:val="fr-BE"/>
        </w:rPr>
      </w:pPr>
      <w:r w:rsidRPr="00C27636">
        <w:rPr>
          <w:rFonts w:ascii="Calibri" w:eastAsia="Calibri" w:hAnsi="Calibri" w:cs="Calibri"/>
          <w:lang w:val="fr-BE"/>
        </w:rPr>
        <w:t>exemple</w:t>
      </w:r>
      <w:r w:rsidRPr="00C27636">
        <w:rPr>
          <w:sz w:val="20"/>
          <w:szCs w:val="20"/>
          <w:lang w:val="fr-BE"/>
        </w:rPr>
        <w:tab/>
      </w:r>
      <w:r w:rsidRPr="00C27636">
        <w:rPr>
          <w:rFonts w:ascii="Calibri" w:eastAsia="Calibri" w:hAnsi="Calibri" w:cs="Calibri"/>
          <w:sz w:val="21"/>
          <w:szCs w:val="21"/>
          <w:lang w:val="fr-BE"/>
        </w:rPr>
        <w:t>les</w:t>
      </w:r>
    </w:p>
    <w:p w:rsidR="00AC12B4" w:rsidRPr="00C27636" w:rsidRDefault="00C27636">
      <w:pPr>
        <w:rPr>
          <w:sz w:val="20"/>
          <w:szCs w:val="20"/>
          <w:lang w:val="fr-BE"/>
        </w:rPr>
      </w:pPr>
      <w:r w:rsidRPr="00C27636">
        <w:rPr>
          <w:rFonts w:ascii="Calibri" w:eastAsia="Calibri" w:hAnsi="Calibri" w:cs="Calibri"/>
          <w:lang w:val="fr-BE"/>
        </w:rPr>
        <w:t>plus</w:t>
      </w:r>
    </w:p>
    <w:p w:rsidR="00AC12B4" w:rsidRPr="00C27636" w:rsidRDefault="00C27636">
      <w:pPr>
        <w:tabs>
          <w:tab w:val="left" w:pos="1000"/>
        </w:tabs>
        <w:rPr>
          <w:sz w:val="20"/>
          <w:szCs w:val="20"/>
          <w:lang w:val="fr-BE"/>
        </w:rPr>
      </w:pPr>
      <w:r w:rsidRPr="00C27636">
        <w:rPr>
          <w:rFonts w:ascii="Calibri" w:eastAsia="Calibri" w:hAnsi="Calibri" w:cs="Calibri"/>
          <w:lang w:val="fr-BE"/>
        </w:rPr>
        <w:t>favorisés</w:t>
      </w:r>
      <w:r w:rsidRPr="00C27636">
        <w:rPr>
          <w:rFonts w:ascii="Calibri" w:eastAsia="Calibri" w:hAnsi="Calibri" w:cs="Calibri"/>
          <w:lang w:val="fr-BE"/>
        </w:rPr>
        <w:tab/>
        <w:t>et</w:t>
      </w:r>
    </w:p>
    <w:p w:rsidR="00AC12B4" w:rsidRPr="00C27636" w:rsidRDefault="00C27636">
      <w:pPr>
        <w:rPr>
          <w:sz w:val="20"/>
          <w:szCs w:val="20"/>
          <w:lang w:val="fr-BE"/>
        </w:rPr>
      </w:pPr>
      <w:r w:rsidRPr="00C27636">
        <w:rPr>
          <w:rFonts w:ascii="Calibri" w:eastAsia="Calibri" w:hAnsi="Calibri" w:cs="Calibri"/>
          <w:lang w:val="fr-BE"/>
        </w:rPr>
        <w:t>les  25%  les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7" w:lineRule="exact"/>
        <w:rPr>
          <w:sz w:val="20"/>
          <w:szCs w:val="20"/>
          <w:lang w:val="fr-BE"/>
        </w:rPr>
      </w:pPr>
    </w:p>
    <w:p w:rsidR="00AC12B4" w:rsidRPr="00C27636" w:rsidRDefault="00C27636">
      <w:pPr>
        <w:ind w:right="148"/>
        <w:jc w:val="both"/>
        <w:rPr>
          <w:sz w:val="20"/>
          <w:szCs w:val="20"/>
          <w:lang w:val="fr-BE"/>
        </w:rPr>
      </w:pPr>
      <w:r w:rsidRPr="00C27636">
        <w:rPr>
          <w:rFonts w:ascii="Comic Sans MS" w:eastAsia="Comic Sans MS" w:hAnsi="Comic Sans MS" w:cs="Comic Sans MS"/>
          <w:color w:val="0D0D0D"/>
          <w:sz w:val="20"/>
          <w:szCs w:val="20"/>
          <w:lang w:val="fr-BE"/>
        </w:rPr>
        <w:t xml:space="preserve">En Belgique, les </w:t>
      </w:r>
      <w:r w:rsidRPr="00C27636">
        <w:rPr>
          <w:rFonts w:ascii="Comic Sans MS" w:eastAsia="Comic Sans MS" w:hAnsi="Comic Sans MS" w:cs="Comic Sans MS"/>
          <w:color w:val="8BCCEC"/>
          <w:sz w:val="20"/>
          <w:szCs w:val="20"/>
          <w:lang w:val="fr-BE"/>
        </w:rPr>
        <w:t>élèves les plus</w:t>
      </w:r>
      <w:r w:rsidRPr="00C27636">
        <w:rPr>
          <w:rFonts w:ascii="Comic Sans MS" w:eastAsia="Comic Sans MS" w:hAnsi="Comic Sans MS" w:cs="Comic Sans MS"/>
          <w:color w:val="0D0D0D"/>
          <w:sz w:val="20"/>
          <w:szCs w:val="20"/>
          <w:lang w:val="fr-BE"/>
        </w:rPr>
        <w:t xml:space="preserve"> </w:t>
      </w:r>
      <w:r w:rsidRPr="00C27636">
        <w:rPr>
          <w:rFonts w:ascii="Comic Sans MS" w:eastAsia="Comic Sans MS" w:hAnsi="Comic Sans MS" w:cs="Comic Sans MS"/>
          <w:color w:val="8BCCEC"/>
          <w:sz w:val="20"/>
          <w:szCs w:val="20"/>
          <w:lang w:val="fr-BE"/>
        </w:rPr>
        <w:t xml:space="preserve">favorisés socioéconomiquement ont un score significativement plus élevé </w:t>
      </w:r>
      <w:r w:rsidRPr="00C27636">
        <w:rPr>
          <w:rFonts w:ascii="Comic Sans MS" w:eastAsia="Comic Sans MS" w:hAnsi="Comic Sans MS" w:cs="Comic Sans MS"/>
          <w:color w:val="0D0D0D"/>
          <w:sz w:val="20"/>
          <w:szCs w:val="20"/>
          <w:lang w:val="fr-BE"/>
        </w:rPr>
        <w:t>que les élèves les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21216" behindDoc="1" locked="0" layoutInCell="0" allowOverlap="1">
                <wp:simplePos x="0" y="0"/>
                <wp:positionH relativeFrom="column">
                  <wp:posOffset>-101600</wp:posOffset>
                </wp:positionH>
                <wp:positionV relativeFrom="paragraph">
                  <wp:posOffset>-962025</wp:posOffset>
                </wp:positionV>
                <wp:extent cx="2062480" cy="1923415"/>
                <wp:effectExtent l="0" t="0" r="0" b="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2480" cy="1923415"/>
                        </a:xfrm>
                        <a:prstGeom prst="rect">
                          <a:avLst/>
                        </a:prstGeom>
                        <a:solidFill>
                          <a:srgbClr val="FFFFFF"/>
                        </a:solidFill>
                      </wps:spPr>
                      <wps:bodyPr/>
                    </wps:wsp>
                  </a:graphicData>
                </a:graphic>
              </wp:anchor>
            </w:drawing>
          </mc:Choice>
          <mc:Fallback>
            <w:pict>
              <v:rect id="Shape 387" o:spid="_x0000_s1412" style="position:absolute;margin-left:-8pt;margin-top:-75.7499pt;width:162.4pt;height:15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722240" behindDoc="1" locked="0" layoutInCell="0" allowOverlap="1">
                <wp:simplePos x="0" y="0"/>
                <wp:positionH relativeFrom="column">
                  <wp:posOffset>1960880</wp:posOffset>
                </wp:positionH>
                <wp:positionV relativeFrom="paragraph">
                  <wp:posOffset>-974725</wp:posOffset>
                </wp:positionV>
                <wp:extent cx="0" cy="1948815"/>
                <wp:effectExtent l="0" t="0" r="0" b="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48815"/>
                        </a:xfrm>
                        <a:prstGeom prst="line">
                          <a:avLst/>
                        </a:prstGeom>
                        <a:solidFill>
                          <a:srgbClr val="FFFFFF"/>
                        </a:solidFill>
                        <a:ln w="25400">
                          <a:solidFill>
                            <a:srgbClr val="8BCCEC"/>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4pt,-76.7499pt" to="154.4pt,76.7pt" o:allowincell="f" strokecolor="#8BCCEC" strokeweight="2pt"/>
            </w:pict>
          </mc:Fallback>
        </mc:AlternateContent>
      </w:r>
      <w:r>
        <w:rPr>
          <w:noProof/>
          <w:sz w:val="20"/>
          <w:szCs w:val="20"/>
        </w:rPr>
        <mc:AlternateContent>
          <mc:Choice Requires="wps">
            <w:drawing>
              <wp:anchor distT="0" distB="0" distL="114300" distR="114300" simplePos="0" relativeHeight="251723264" behindDoc="1" locked="0" layoutInCell="0" allowOverlap="1">
                <wp:simplePos x="0" y="0"/>
                <wp:positionH relativeFrom="column">
                  <wp:posOffset>-114300</wp:posOffset>
                </wp:positionH>
                <wp:positionV relativeFrom="paragraph">
                  <wp:posOffset>-962025</wp:posOffset>
                </wp:positionV>
                <wp:extent cx="2087880" cy="0"/>
                <wp:effectExtent l="0" t="0" r="0" b="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87880" cy="4763"/>
                        </a:xfrm>
                        <a:prstGeom prst="line">
                          <a:avLst/>
                        </a:prstGeom>
                        <a:solidFill>
                          <a:srgbClr val="FFFFFF"/>
                        </a:solidFill>
                        <a:ln w="25400">
                          <a:solidFill>
                            <a:srgbClr val="8BCCEC"/>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75.7499pt" to="155.4pt,-75.7499pt" o:allowincell="f" strokecolor="#8BCCEC" strokeweight="2pt"/>
            </w:pict>
          </mc:Fallback>
        </mc:AlternateContent>
      </w:r>
      <w:r>
        <w:rPr>
          <w:noProof/>
          <w:sz w:val="20"/>
          <w:szCs w:val="20"/>
        </w:rPr>
        <mc:AlternateContent>
          <mc:Choice Requires="wps">
            <w:drawing>
              <wp:anchor distT="0" distB="0" distL="114300" distR="114300" simplePos="0" relativeHeight="251724288" behindDoc="1" locked="0" layoutInCell="0" allowOverlap="1">
                <wp:simplePos x="0" y="0"/>
                <wp:positionH relativeFrom="column">
                  <wp:posOffset>-101600</wp:posOffset>
                </wp:positionH>
                <wp:positionV relativeFrom="paragraph">
                  <wp:posOffset>-974725</wp:posOffset>
                </wp:positionV>
                <wp:extent cx="0" cy="1948815"/>
                <wp:effectExtent l="0" t="0" r="0" b="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48815"/>
                        </a:xfrm>
                        <a:prstGeom prst="line">
                          <a:avLst/>
                        </a:prstGeom>
                        <a:solidFill>
                          <a:srgbClr val="FFFFFF"/>
                        </a:solidFill>
                        <a:ln w="25400">
                          <a:solidFill>
                            <a:srgbClr val="8BCCEC"/>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76.7499pt" to="-8pt,76.7pt" o:allowincell="f" strokecolor="#8BCCEC" strokeweight="2pt"/>
            </w:pict>
          </mc:Fallback>
        </mc:AlternateContent>
      </w:r>
      <w:r>
        <w:rPr>
          <w:noProof/>
          <w:sz w:val="20"/>
          <w:szCs w:val="20"/>
        </w:rPr>
        <mc:AlternateContent>
          <mc:Choice Requires="wps">
            <w:drawing>
              <wp:anchor distT="0" distB="0" distL="114300" distR="114300" simplePos="0" relativeHeight="251725312" behindDoc="1" locked="0" layoutInCell="0" allowOverlap="1">
                <wp:simplePos x="0" y="0"/>
                <wp:positionH relativeFrom="column">
                  <wp:posOffset>-114300</wp:posOffset>
                </wp:positionH>
                <wp:positionV relativeFrom="paragraph">
                  <wp:posOffset>961390</wp:posOffset>
                </wp:positionV>
                <wp:extent cx="2087880" cy="0"/>
                <wp:effectExtent l="0" t="0" r="0" b="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87880" cy="4763"/>
                        </a:xfrm>
                        <a:prstGeom prst="line">
                          <a:avLst/>
                        </a:prstGeom>
                        <a:solidFill>
                          <a:srgbClr val="FFFFFF"/>
                        </a:solidFill>
                        <a:ln w="25400">
                          <a:solidFill>
                            <a:srgbClr val="8BCCEC"/>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75.7pt" to="155.4pt,75.7pt" o:allowincell="f" strokecolor="#8BCCEC" strokeweight="2pt"/>
            </w:pict>
          </mc:Fallback>
        </mc:AlternateContent>
      </w:r>
    </w:p>
    <w:p w:rsidR="00AC12B4" w:rsidRPr="00C27636" w:rsidRDefault="00C27636">
      <w:pPr>
        <w:spacing w:line="239" w:lineRule="auto"/>
        <w:ind w:right="148"/>
        <w:jc w:val="both"/>
        <w:rPr>
          <w:sz w:val="20"/>
          <w:szCs w:val="20"/>
          <w:lang w:val="fr-BE"/>
        </w:rPr>
      </w:pPr>
      <w:r w:rsidRPr="00C27636">
        <w:rPr>
          <w:rFonts w:ascii="Comic Sans MS" w:eastAsia="Comic Sans MS" w:hAnsi="Comic Sans MS" w:cs="Comic Sans MS"/>
          <w:color w:val="0D0D0D"/>
          <w:sz w:val="20"/>
          <w:szCs w:val="20"/>
          <w:lang w:val="fr-BE"/>
        </w:rPr>
        <w:t>moins favorisés (test mathématique de PISA 2012). Toutefois on note une amélioration depuis 2003.</w:t>
      </w:r>
    </w:p>
    <w:p w:rsidR="00AC12B4" w:rsidRPr="00C27636" w:rsidRDefault="00AC12B4">
      <w:pPr>
        <w:spacing w:line="518" w:lineRule="exact"/>
        <w:rPr>
          <w:sz w:val="20"/>
          <w:szCs w:val="20"/>
          <w:lang w:val="fr-BE"/>
        </w:rPr>
      </w:pPr>
    </w:p>
    <w:p w:rsidR="00AC12B4" w:rsidRPr="00C27636" w:rsidRDefault="00AC12B4">
      <w:pPr>
        <w:rPr>
          <w:lang w:val="fr-BE"/>
        </w:rPr>
        <w:sectPr w:rsidR="00AC12B4" w:rsidRPr="00C27636">
          <w:type w:val="continuous"/>
          <w:pgSz w:w="12080" w:h="17179"/>
          <w:pgMar w:top="1440" w:right="569" w:bottom="659" w:left="1120" w:header="0" w:footer="0" w:gutter="0"/>
          <w:cols w:num="3" w:space="720" w:equalWidth="0">
            <w:col w:w="4880" w:space="600"/>
            <w:col w:w="1220" w:space="620"/>
            <w:col w:w="3068"/>
          </w:cols>
        </w:sectPr>
      </w:pPr>
    </w:p>
    <w:p w:rsidR="00AC12B4" w:rsidRPr="00C27636" w:rsidRDefault="00AC12B4">
      <w:pPr>
        <w:spacing w:line="72" w:lineRule="exact"/>
        <w:rPr>
          <w:sz w:val="20"/>
          <w:szCs w:val="20"/>
          <w:lang w:val="fr-BE"/>
        </w:rPr>
      </w:pPr>
    </w:p>
    <w:p w:rsidR="00AC12B4" w:rsidRPr="00C27636" w:rsidRDefault="00C27636">
      <w:pPr>
        <w:spacing w:line="225" w:lineRule="auto"/>
        <w:ind w:left="880"/>
        <w:jc w:val="both"/>
        <w:rPr>
          <w:sz w:val="20"/>
          <w:szCs w:val="20"/>
          <w:lang w:val="fr-BE"/>
        </w:rPr>
      </w:pPr>
      <w:r w:rsidRPr="00C27636">
        <w:rPr>
          <w:rFonts w:ascii="Calibri" w:eastAsia="Calibri" w:hAnsi="Calibri" w:cs="Calibri"/>
          <w:lang w:val="fr-BE"/>
        </w:rPr>
        <w:t>être égaux en terme de co</w:t>
      </w:r>
      <w:r w:rsidRPr="00C27636">
        <w:rPr>
          <w:rFonts w:ascii="Calibri" w:eastAsia="Calibri" w:hAnsi="Calibri" w:cs="Calibri"/>
          <w:lang w:val="fr-BE"/>
        </w:rPr>
        <w:t>mpétence mais bien, comme l’indique la CIDE qu’ils puissent s’épanouir et se développer</w:t>
      </w:r>
    </w:p>
    <w:p w:rsidR="00AC12B4" w:rsidRPr="00C27636" w:rsidRDefault="00AC12B4">
      <w:pPr>
        <w:spacing w:line="51" w:lineRule="exact"/>
        <w:rPr>
          <w:sz w:val="20"/>
          <w:szCs w:val="20"/>
          <w:lang w:val="fr-BE"/>
        </w:rPr>
      </w:pPr>
    </w:p>
    <w:p w:rsidR="00AC12B4" w:rsidRPr="00C27636" w:rsidRDefault="00C27636">
      <w:pPr>
        <w:numPr>
          <w:ilvl w:val="0"/>
          <w:numId w:val="246"/>
        </w:numPr>
        <w:tabs>
          <w:tab w:val="left" w:pos="1043"/>
        </w:tabs>
        <w:spacing w:line="218" w:lineRule="auto"/>
        <w:ind w:left="880" w:firstLine="7"/>
        <w:rPr>
          <w:rFonts w:ascii="Calibri" w:eastAsia="Calibri" w:hAnsi="Calibri" w:cs="Calibri"/>
          <w:lang w:val="fr-BE"/>
        </w:rPr>
      </w:pPr>
      <w:r w:rsidRPr="00C27636">
        <w:rPr>
          <w:rFonts w:ascii="Calibri" w:eastAsia="Calibri" w:hAnsi="Calibri" w:cs="Calibri"/>
          <w:lang w:val="fr-BE"/>
        </w:rPr>
        <w:t>dans toute la mesure de leurs potentialités » et ce sans discrimination.</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224" w:lineRule="auto"/>
        <w:ind w:right="1048"/>
        <w:jc w:val="both"/>
        <w:rPr>
          <w:sz w:val="20"/>
          <w:szCs w:val="20"/>
          <w:lang w:val="fr-BE"/>
        </w:rPr>
      </w:pPr>
      <w:r w:rsidRPr="00C27636">
        <w:rPr>
          <w:rFonts w:ascii="Calibri" w:eastAsia="Calibri" w:hAnsi="Calibri" w:cs="Calibri"/>
          <w:lang w:val="fr-BE"/>
        </w:rPr>
        <w:t>moins favorisés, mais également suivant le genre, l’origine ou le fait d’avoir ou ne pas avo</w:t>
      </w:r>
      <w:r w:rsidRPr="00C27636">
        <w:rPr>
          <w:rFonts w:ascii="Calibri" w:eastAsia="Calibri" w:hAnsi="Calibri" w:cs="Calibri"/>
          <w:lang w:val="fr-BE"/>
        </w:rPr>
        <w:t>ir redoublé.</w:t>
      </w:r>
    </w:p>
    <w:p w:rsidR="00AC12B4" w:rsidRPr="00C27636" w:rsidRDefault="00AC12B4">
      <w:pPr>
        <w:spacing w:line="172" w:lineRule="exact"/>
        <w:rPr>
          <w:sz w:val="20"/>
          <w:szCs w:val="20"/>
          <w:lang w:val="fr-BE"/>
        </w:rPr>
      </w:pPr>
    </w:p>
    <w:p w:rsidR="00AC12B4" w:rsidRPr="00C27636" w:rsidRDefault="00C27636">
      <w:pPr>
        <w:spacing w:line="218" w:lineRule="auto"/>
        <w:ind w:right="1048"/>
        <w:jc w:val="both"/>
        <w:rPr>
          <w:sz w:val="20"/>
          <w:szCs w:val="20"/>
          <w:lang w:val="fr-BE"/>
        </w:rPr>
      </w:pPr>
      <w:r w:rsidRPr="00C27636">
        <w:rPr>
          <w:rFonts w:ascii="Calibri" w:eastAsia="Calibri" w:hAnsi="Calibri" w:cs="Calibri"/>
          <w:lang w:val="fr-BE"/>
        </w:rPr>
        <w:t>On se rend alors compte qu’il n’existe qu’une corrélation faible mais néanmoins</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726336" behindDoc="1" locked="0" layoutInCell="0" allowOverlap="1">
            <wp:simplePos x="0" y="0"/>
            <wp:positionH relativeFrom="column">
              <wp:posOffset>-2908935</wp:posOffset>
            </wp:positionH>
            <wp:positionV relativeFrom="paragraph">
              <wp:posOffset>232410</wp:posOffset>
            </wp:positionV>
            <wp:extent cx="5487670" cy="3033395"/>
            <wp:effectExtent l="0" t="0" r="0" b="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21">
                      <a:extLst/>
                    </a:blip>
                    <a:srcRect/>
                    <a:stretch>
                      <a:fillRect/>
                    </a:stretch>
                  </pic:blipFill>
                  <pic:spPr bwMode="auto">
                    <a:xfrm>
                      <a:off x="0" y="0"/>
                      <a:ext cx="5487670" cy="303339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rPr>
          <w:lang w:val="fr-BE"/>
        </w:rPr>
        <w:sectPr w:rsidR="00AC12B4" w:rsidRPr="00C27636">
          <w:type w:val="continuous"/>
          <w:pgSz w:w="12080" w:h="17179"/>
          <w:pgMar w:top="1440" w:right="569" w:bottom="659" w:left="1120" w:header="0" w:footer="0" w:gutter="0"/>
          <w:cols w:num="2" w:space="720" w:equalWidth="0">
            <w:col w:w="4760" w:space="720"/>
            <w:col w:w="4908"/>
          </w:cols>
        </w:sectPr>
      </w:pPr>
    </w:p>
    <w:p w:rsidR="00AC12B4" w:rsidRPr="00C27636" w:rsidRDefault="00AC12B4">
      <w:pPr>
        <w:spacing w:line="269" w:lineRule="exact"/>
        <w:rPr>
          <w:sz w:val="20"/>
          <w:szCs w:val="20"/>
          <w:lang w:val="fr-BE"/>
        </w:rPr>
      </w:pPr>
    </w:p>
    <w:tbl>
      <w:tblPr>
        <w:tblW w:w="0" w:type="auto"/>
        <w:tblInd w:w="1200" w:type="dxa"/>
        <w:tblLayout w:type="fixed"/>
        <w:tblCellMar>
          <w:left w:w="0" w:type="dxa"/>
          <w:right w:w="0" w:type="dxa"/>
        </w:tblCellMar>
        <w:tblLook w:val="04A0" w:firstRow="1" w:lastRow="0" w:firstColumn="1" w:lastColumn="0" w:noHBand="0" w:noVBand="1"/>
      </w:tblPr>
      <w:tblGrid>
        <w:gridCol w:w="220"/>
        <w:gridCol w:w="480"/>
        <w:gridCol w:w="60"/>
        <w:gridCol w:w="20"/>
        <w:gridCol w:w="100"/>
        <w:gridCol w:w="60"/>
        <w:gridCol w:w="1700"/>
        <w:gridCol w:w="1700"/>
        <w:gridCol w:w="1680"/>
        <w:gridCol w:w="2080"/>
        <w:gridCol w:w="220"/>
        <w:gridCol w:w="20"/>
      </w:tblGrid>
      <w:tr w:rsidR="00AC12B4">
        <w:trPr>
          <w:trHeight w:val="131"/>
        </w:trPr>
        <w:tc>
          <w:tcPr>
            <w:tcW w:w="220" w:type="dxa"/>
            <w:vMerge w:val="restart"/>
            <w:textDirection w:val="btLr"/>
            <w:vAlign w:val="bottom"/>
          </w:tcPr>
          <w:p w:rsidR="00AC12B4" w:rsidRDefault="00C27636">
            <w:pPr>
              <w:rPr>
                <w:sz w:val="20"/>
                <w:szCs w:val="20"/>
              </w:rPr>
            </w:pPr>
            <w:r>
              <w:rPr>
                <w:rFonts w:ascii="Calibri" w:eastAsia="Calibri" w:hAnsi="Calibri" w:cs="Calibri"/>
                <w:b/>
                <w:bCs/>
                <w:w w:val="71"/>
                <w:sz w:val="19"/>
                <w:szCs w:val="19"/>
              </w:rPr>
              <w:t>(enpoints)</w:t>
            </w: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650</w:t>
            </w:r>
          </w:p>
        </w:tc>
        <w:tc>
          <w:tcPr>
            <w:tcW w:w="60" w:type="dxa"/>
            <w:tcBorders>
              <w:bottom w:val="single" w:sz="8" w:space="0" w:color="868686"/>
            </w:tcBorders>
            <w:vAlign w:val="bottom"/>
          </w:tcPr>
          <w:p w:rsidR="00AC12B4" w:rsidRDefault="00AC12B4">
            <w:pPr>
              <w:rPr>
                <w:sz w:val="11"/>
                <w:szCs w:val="11"/>
              </w:rPr>
            </w:pPr>
          </w:p>
        </w:tc>
        <w:tc>
          <w:tcPr>
            <w:tcW w:w="20" w:type="dxa"/>
            <w:tcBorders>
              <w:bottom w:val="single" w:sz="8" w:space="0" w:color="868686"/>
            </w:tcBorders>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1700" w:type="dxa"/>
            <w:vAlign w:val="bottom"/>
          </w:tcPr>
          <w:p w:rsidR="00AC12B4" w:rsidRDefault="00AC12B4">
            <w:pPr>
              <w:rPr>
                <w:sz w:val="11"/>
                <w:szCs w:val="11"/>
              </w:rPr>
            </w:pPr>
          </w:p>
        </w:tc>
        <w:tc>
          <w:tcPr>
            <w:tcW w:w="1700" w:type="dxa"/>
            <w:vAlign w:val="bottom"/>
          </w:tcPr>
          <w:p w:rsidR="00AC12B4" w:rsidRDefault="00AC12B4">
            <w:pPr>
              <w:rPr>
                <w:sz w:val="11"/>
                <w:szCs w:val="11"/>
              </w:rPr>
            </w:pPr>
          </w:p>
        </w:tc>
        <w:tc>
          <w:tcPr>
            <w:tcW w:w="1680" w:type="dxa"/>
            <w:vAlign w:val="bottom"/>
          </w:tcPr>
          <w:p w:rsidR="00AC12B4" w:rsidRDefault="00AC12B4">
            <w:pPr>
              <w:rPr>
                <w:sz w:val="11"/>
                <w:szCs w:val="11"/>
              </w:rPr>
            </w:pPr>
          </w:p>
        </w:tc>
        <w:tc>
          <w:tcPr>
            <w:tcW w:w="2300" w:type="dxa"/>
            <w:gridSpan w:val="2"/>
            <w:vMerge w:val="restart"/>
            <w:vAlign w:val="bottom"/>
          </w:tcPr>
          <w:p w:rsidR="00AC12B4" w:rsidRDefault="00C27636">
            <w:pPr>
              <w:ind w:left="540"/>
              <w:rPr>
                <w:sz w:val="20"/>
                <w:szCs w:val="20"/>
              </w:rPr>
            </w:pPr>
            <w:r>
              <w:rPr>
                <w:rFonts w:ascii="Calibri" w:eastAsia="Calibri" w:hAnsi="Calibri" w:cs="Calibri"/>
                <w:sz w:val="16"/>
                <w:szCs w:val="16"/>
              </w:rPr>
              <w:t>4ème transition</w:t>
            </w:r>
          </w:p>
        </w:tc>
        <w:tc>
          <w:tcPr>
            <w:tcW w:w="0" w:type="dxa"/>
            <w:vAlign w:val="bottom"/>
          </w:tcPr>
          <w:p w:rsidR="00AC12B4" w:rsidRDefault="00AC12B4">
            <w:pPr>
              <w:rPr>
                <w:sz w:val="1"/>
                <w:szCs w:val="1"/>
              </w:rPr>
            </w:pPr>
          </w:p>
        </w:tc>
      </w:tr>
      <w:tr w:rsidR="00AC12B4">
        <w:trPr>
          <w:trHeight w:val="93"/>
        </w:trPr>
        <w:tc>
          <w:tcPr>
            <w:tcW w:w="220" w:type="dxa"/>
            <w:vMerge/>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1700" w:type="dxa"/>
            <w:vAlign w:val="bottom"/>
          </w:tcPr>
          <w:p w:rsidR="00AC12B4" w:rsidRDefault="00AC12B4">
            <w:pPr>
              <w:rPr>
                <w:sz w:val="8"/>
                <w:szCs w:val="8"/>
              </w:rPr>
            </w:pPr>
          </w:p>
        </w:tc>
        <w:tc>
          <w:tcPr>
            <w:tcW w:w="1700" w:type="dxa"/>
            <w:vAlign w:val="bottom"/>
          </w:tcPr>
          <w:p w:rsidR="00AC12B4" w:rsidRDefault="00AC12B4">
            <w:pPr>
              <w:rPr>
                <w:sz w:val="8"/>
                <w:szCs w:val="8"/>
              </w:rPr>
            </w:pPr>
          </w:p>
        </w:tc>
        <w:tc>
          <w:tcPr>
            <w:tcW w:w="1680" w:type="dxa"/>
            <w:vAlign w:val="bottom"/>
          </w:tcPr>
          <w:p w:rsidR="00AC12B4" w:rsidRDefault="00AC12B4">
            <w:pPr>
              <w:rPr>
                <w:sz w:val="8"/>
                <w:szCs w:val="8"/>
              </w:rPr>
            </w:pPr>
          </w:p>
        </w:tc>
        <w:tc>
          <w:tcPr>
            <w:tcW w:w="2300" w:type="dxa"/>
            <w:gridSpan w:val="2"/>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304"/>
        </w:trPr>
        <w:tc>
          <w:tcPr>
            <w:tcW w:w="220" w:type="dxa"/>
            <w:vMerge/>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1700" w:type="dxa"/>
            <w:vAlign w:val="bottom"/>
          </w:tcPr>
          <w:p w:rsidR="00AC12B4" w:rsidRDefault="00AC12B4">
            <w:pPr>
              <w:rPr>
                <w:sz w:val="24"/>
                <w:szCs w:val="24"/>
              </w:rPr>
            </w:pPr>
          </w:p>
        </w:tc>
        <w:tc>
          <w:tcPr>
            <w:tcW w:w="1700" w:type="dxa"/>
            <w:vAlign w:val="bottom"/>
          </w:tcPr>
          <w:p w:rsidR="00AC12B4" w:rsidRDefault="00AC12B4">
            <w:pPr>
              <w:rPr>
                <w:sz w:val="24"/>
                <w:szCs w:val="24"/>
              </w:rPr>
            </w:pPr>
          </w:p>
        </w:tc>
        <w:tc>
          <w:tcPr>
            <w:tcW w:w="1680" w:type="dxa"/>
            <w:vAlign w:val="bottom"/>
          </w:tcPr>
          <w:p w:rsidR="00AC12B4" w:rsidRDefault="00AC12B4">
            <w:pPr>
              <w:rPr>
                <w:sz w:val="24"/>
                <w:szCs w:val="24"/>
              </w:rPr>
            </w:pPr>
          </w:p>
        </w:tc>
        <w:tc>
          <w:tcPr>
            <w:tcW w:w="2300" w:type="dxa"/>
            <w:gridSpan w:val="2"/>
            <w:vMerge/>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87"/>
        </w:trPr>
        <w:tc>
          <w:tcPr>
            <w:tcW w:w="220" w:type="dxa"/>
            <w:vMerge/>
            <w:vAlign w:val="bottom"/>
          </w:tcPr>
          <w:p w:rsidR="00AC12B4" w:rsidRDefault="00AC12B4">
            <w:pPr>
              <w:rPr>
                <w:sz w:val="24"/>
                <w:szCs w:val="24"/>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600</w:t>
            </w:r>
          </w:p>
        </w:tc>
        <w:tc>
          <w:tcPr>
            <w:tcW w:w="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1700" w:type="dxa"/>
            <w:vAlign w:val="bottom"/>
          </w:tcPr>
          <w:p w:rsidR="00AC12B4" w:rsidRDefault="00AC12B4">
            <w:pPr>
              <w:rPr>
                <w:sz w:val="24"/>
                <w:szCs w:val="24"/>
              </w:rPr>
            </w:pPr>
          </w:p>
        </w:tc>
        <w:tc>
          <w:tcPr>
            <w:tcW w:w="1700" w:type="dxa"/>
            <w:vAlign w:val="bottom"/>
          </w:tcPr>
          <w:p w:rsidR="00AC12B4" w:rsidRDefault="00AC12B4">
            <w:pPr>
              <w:rPr>
                <w:sz w:val="24"/>
                <w:szCs w:val="24"/>
              </w:rPr>
            </w:pPr>
          </w:p>
        </w:tc>
        <w:tc>
          <w:tcPr>
            <w:tcW w:w="1680" w:type="dxa"/>
            <w:vMerge w:val="restart"/>
            <w:vAlign w:val="bottom"/>
          </w:tcPr>
          <w:p w:rsidR="00AC12B4" w:rsidRDefault="00C27636">
            <w:pPr>
              <w:ind w:right="310"/>
              <w:jc w:val="right"/>
              <w:rPr>
                <w:sz w:val="20"/>
                <w:szCs w:val="20"/>
              </w:rPr>
            </w:pPr>
            <w:r>
              <w:rPr>
                <w:rFonts w:ascii="Calibri" w:eastAsia="Calibri" w:hAnsi="Calibri" w:cs="Calibri"/>
                <w:sz w:val="16"/>
                <w:szCs w:val="16"/>
              </w:rPr>
              <w:t>Favorisés</w:t>
            </w:r>
          </w:p>
        </w:tc>
        <w:tc>
          <w:tcPr>
            <w:tcW w:w="2080" w:type="dxa"/>
            <w:vMerge w:val="restart"/>
            <w:vAlign w:val="bottom"/>
          </w:tcPr>
          <w:p w:rsidR="00AC12B4" w:rsidRDefault="00C27636">
            <w:pPr>
              <w:ind w:right="677"/>
              <w:jc w:val="right"/>
              <w:rPr>
                <w:sz w:val="20"/>
                <w:szCs w:val="20"/>
              </w:rPr>
            </w:pPr>
            <w:r>
              <w:rPr>
                <w:rFonts w:ascii="Calibri" w:eastAsia="Calibri" w:hAnsi="Calibri" w:cs="Calibri"/>
                <w:sz w:val="20"/>
                <w:szCs w:val="20"/>
              </w:rPr>
              <w:t>592</w:t>
            </w:r>
          </w:p>
        </w:tc>
        <w:tc>
          <w:tcPr>
            <w:tcW w:w="2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53"/>
        </w:trPr>
        <w:tc>
          <w:tcPr>
            <w:tcW w:w="220" w:type="dxa"/>
            <w:vAlign w:val="bottom"/>
          </w:tcPr>
          <w:p w:rsidR="00AC12B4" w:rsidRDefault="00AC12B4">
            <w:pPr>
              <w:rPr>
                <w:sz w:val="4"/>
                <w:szCs w:val="4"/>
              </w:rPr>
            </w:pPr>
          </w:p>
        </w:tc>
        <w:tc>
          <w:tcPr>
            <w:tcW w:w="480" w:type="dxa"/>
            <w:vMerge/>
            <w:vAlign w:val="bottom"/>
          </w:tcPr>
          <w:p w:rsidR="00AC12B4" w:rsidRDefault="00AC12B4">
            <w:pPr>
              <w:rPr>
                <w:sz w:val="4"/>
                <w:szCs w:val="4"/>
              </w:rPr>
            </w:pPr>
          </w:p>
        </w:tc>
        <w:tc>
          <w:tcPr>
            <w:tcW w:w="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00" w:type="dxa"/>
            <w:vAlign w:val="bottom"/>
          </w:tcPr>
          <w:p w:rsidR="00AC12B4" w:rsidRDefault="00AC12B4">
            <w:pPr>
              <w:rPr>
                <w:sz w:val="4"/>
                <w:szCs w:val="4"/>
              </w:rPr>
            </w:pPr>
          </w:p>
        </w:tc>
        <w:tc>
          <w:tcPr>
            <w:tcW w:w="60" w:type="dxa"/>
            <w:vAlign w:val="bottom"/>
          </w:tcPr>
          <w:p w:rsidR="00AC12B4" w:rsidRDefault="00AC12B4">
            <w:pPr>
              <w:rPr>
                <w:sz w:val="4"/>
                <w:szCs w:val="4"/>
              </w:rPr>
            </w:pPr>
          </w:p>
        </w:tc>
        <w:tc>
          <w:tcPr>
            <w:tcW w:w="1700" w:type="dxa"/>
            <w:vAlign w:val="bottom"/>
          </w:tcPr>
          <w:p w:rsidR="00AC12B4" w:rsidRDefault="00AC12B4">
            <w:pPr>
              <w:rPr>
                <w:sz w:val="4"/>
                <w:szCs w:val="4"/>
              </w:rPr>
            </w:pPr>
          </w:p>
        </w:tc>
        <w:tc>
          <w:tcPr>
            <w:tcW w:w="1700" w:type="dxa"/>
            <w:vAlign w:val="bottom"/>
          </w:tcPr>
          <w:p w:rsidR="00AC12B4" w:rsidRDefault="00AC12B4">
            <w:pPr>
              <w:rPr>
                <w:sz w:val="4"/>
                <w:szCs w:val="4"/>
              </w:rPr>
            </w:pPr>
          </w:p>
        </w:tc>
        <w:tc>
          <w:tcPr>
            <w:tcW w:w="1680" w:type="dxa"/>
            <w:vMerge/>
            <w:vAlign w:val="bottom"/>
          </w:tcPr>
          <w:p w:rsidR="00AC12B4" w:rsidRDefault="00AC12B4">
            <w:pPr>
              <w:rPr>
                <w:sz w:val="4"/>
                <w:szCs w:val="4"/>
              </w:rPr>
            </w:pPr>
          </w:p>
        </w:tc>
        <w:tc>
          <w:tcPr>
            <w:tcW w:w="2080" w:type="dxa"/>
            <w:vMerge/>
            <w:vAlign w:val="bottom"/>
          </w:tcPr>
          <w:p w:rsidR="00AC12B4" w:rsidRDefault="00AC12B4">
            <w:pPr>
              <w:rPr>
                <w:sz w:val="4"/>
                <w:szCs w:val="4"/>
              </w:rPr>
            </w:pPr>
          </w:p>
        </w:tc>
        <w:tc>
          <w:tcPr>
            <w:tcW w:w="22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95"/>
        </w:trPr>
        <w:tc>
          <w:tcPr>
            <w:tcW w:w="220" w:type="dxa"/>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1700" w:type="dxa"/>
            <w:vAlign w:val="bottom"/>
          </w:tcPr>
          <w:p w:rsidR="00AC12B4" w:rsidRDefault="00AC12B4">
            <w:pPr>
              <w:rPr>
                <w:sz w:val="8"/>
                <w:szCs w:val="8"/>
              </w:rPr>
            </w:pPr>
          </w:p>
        </w:tc>
        <w:tc>
          <w:tcPr>
            <w:tcW w:w="1700" w:type="dxa"/>
            <w:vAlign w:val="bottom"/>
          </w:tcPr>
          <w:p w:rsidR="00AC12B4" w:rsidRDefault="00AC12B4">
            <w:pPr>
              <w:rPr>
                <w:sz w:val="8"/>
                <w:szCs w:val="8"/>
              </w:rPr>
            </w:pPr>
          </w:p>
        </w:tc>
        <w:tc>
          <w:tcPr>
            <w:tcW w:w="1680" w:type="dxa"/>
            <w:vMerge w:val="restart"/>
            <w:vAlign w:val="bottom"/>
          </w:tcPr>
          <w:p w:rsidR="00AC12B4" w:rsidRDefault="00C27636">
            <w:pPr>
              <w:ind w:right="430"/>
              <w:jc w:val="right"/>
              <w:rPr>
                <w:sz w:val="20"/>
                <w:szCs w:val="20"/>
              </w:rPr>
            </w:pPr>
            <w:r>
              <w:rPr>
                <w:rFonts w:ascii="Calibri" w:eastAsia="Calibri" w:hAnsi="Calibri" w:cs="Calibri"/>
                <w:sz w:val="20"/>
                <w:szCs w:val="20"/>
              </w:rPr>
              <w:t>575</w:t>
            </w:r>
          </w:p>
        </w:tc>
        <w:tc>
          <w:tcPr>
            <w:tcW w:w="20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84"/>
        </w:trPr>
        <w:tc>
          <w:tcPr>
            <w:tcW w:w="22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6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60" w:type="dxa"/>
            <w:vAlign w:val="bottom"/>
          </w:tcPr>
          <w:p w:rsidR="00AC12B4" w:rsidRDefault="00AC12B4">
            <w:pPr>
              <w:rPr>
                <w:sz w:val="16"/>
                <w:szCs w:val="16"/>
              </w:rPr>
            </w:pPr>
          </w:p>
        </w:tc>
        <w:tc>
          <w:tcPr>
            <w:tcW w:w="1700" w:type="dxa"/>
            <w:vAlign w:val="bottom"/>
          </w:tcPr>
          <w:p w:rsidR="00AC12B4" w:rsidRDefault="00AC12B4">
            <w:pPr>
              <w:rPr>
                <w:sz w:val="16"/>
                <w:szCs w:val="16"/>
              </w:rPr>
            </w:pPr>
          </w:p>
        </w:tc>
        <w:tc>
          <w:tcPr>
            <w:tcW w:w="1700" w:type="dxa"/>
            <w:vAlign w:val="bottom"/>
          </w:tcPr>
          <w:p w:rsidR="00AC12B4" w:rsidRDefault="00AC12B4">
            <w:pPr>
              <w:rPr>
                <w:sz w:val="16"/>
                <w:szCs w:val="16"/>
              </w:rPr>
            </w:pPr>
          </w:p>
        </w:tc>
        <w:tc>
          <w:tcPr>
            <w:tcW w:w="1680" w:type="dxa"/>
            <w:vMerge/>
            <w:vAlign w:val="bottom"/>
          </w:tcPr>
          <w:p w:rsidR="00AC12B4" w:rsidRDefault="00AC12B4">
            <w:pPr>
              <w:rPr>
                <w:sz w:val="16"/>
                <w:szCs w:val="16"/>
              </w:rPr>
            </w:pPr>
          </w:p>
        </w:tc>
        <w:tc>
          <w:tcPr>
            <w:tcW w:w="2080" w:type="dxa"/>
            <w:vAlign w:val="bottom"/>
          </w:tcPr>
          <w:p w:rsidR="00AC12B4" w:rsidRDefault="00AC12B4">
            <w:pPr>
              <w:rPr>
                <w:sz w:val="16"/>
                <w:szCs w:val="16"/>
              </w:rPr>
            </w:pPr>
          </w:p>
        </w:tc>
        <w:tc>
          <w:tcPr>
            <w:tcW w:w="22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466"/>
        </w:trPr>
        <w:tc>
          <w:tcPr>
            <w:tcW w:w="220" w:type="dxa"/>
            <w:vMerge w:val="restart"/>
            <w:textDirection w:val="btLr"/>
            <w:vAlign w:val="bottom"/>
          </w:tcPr>
          <w:p w:rsidR="00AC12B4" w:rsidRDefault="00C27636">
            <w:pPr>
              <w:rPr>
                <w:sz w:val="20"/>
                <w:szCs w:val="20"/>
              </w:rPr>
            </w:pPr>
            <w:r>
              <w:rPr>
                <w:rFonts w:ascii="Calibri" w:eastAsia="Calibri" w:hAnsi="Calibri" w:cs="Calibri"/>
                <w:b/>
                <w:bCs/>
                <w:w w:val="95"/>
                <w:sz w:val="20"/>
                <w:szCs w:val="20"/>
              </w:rPr>
              <w:t>pisa</w:t>
            </w: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550</w:t>
            </w:r>
          </w:p>
        </w:tc>
        <w:tc>
          <w:tcPr>
            <w:tcW w:w="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1700" w:type="dxa"/>
            <w:vMerge w:val="restart"/>
            <w:vAlign w:val="bottom"/>
          </w:tcPr>
          <w:p w:rsidR="00AC12B4" w:rsidRDefault="00C27636">
            <w:pPr>
              <w:ind w:right="580"/>
              <w:jc w:val="right"/>
              <w:rPr>
                <w:sz w:val="20"/>
                <w:szCs w:val="20"/>
              </w:rPr>
            </w:pPr>
            <w:r>
              <w:rPr>
                <w:rFonts w:ascii="Calibri" w:eastAsia="Calibri" w:hAnsi="Calibri" w:cs="Calibri"/>
                <w:sz w:val="16"/>
                <w:szCs w:val="16"/>
              </w:rPr>
              <w:t>Garçons</w:t>
            </w:r>
          </w:p>
        </w:tc>
        <w:tc>
          <w:tcPr>
            <w:tcW w:w="1700" w:type="dxa"/>
            <w:vAlign w:val="bottom"/>
          </w:tcPr>
          <w:p w:rsidR="00AC12B4" w:rsidRDefault="00C27636">
            <w:pPr>
              <w:ind w:right="450"/>
              <w:jc w:val="right"/>
              <w:rPr>
                <w:sz w:val="20"/>
                <w:szCs w:val="20"/>
              </w:rPr>
            </w:pPr>
            <w:r>
              <w:rPr>
                <w:rFonts w:ascii="Calibri" w:eastAsia="Calibri" w:hAnsi="Calibri" w:cs="Calibri"/>
                <w:sz w:val="16"/>
                <w:szCs w:val="16"/>
              </w:rPr>
              <w:t>Natifs</w:t>
            </w:r>
          </w:p>
        </w:tc>
        <w:tc>
          <w:tcPr>
            <w:tcW w:w="1680" w:type="dxa"/>
            <w:vAlign w:val="bottom"/>
          </w:tcPr>
          <w:p w:rsidR="00AC12B4" w:rsidRDefault="00AC12B4">
            <w:pPr>
              <w:rPr>
                <w:sz w:val="24"/>
                <w:szCs w:val="24"/>
              </w:rPr>
            </w:pPr>
          </w:p>
        </w:tc>
        <w:tc>
          <w:tcPr>
            <w:tcW w:w="2080" w:type="dxa"/>
            <w:vAlign w:val="bottom"/>
          </w:tcPr>
          <w:p w:rsidR="00AC12B4" w:rsidRDefault="00AC12B4">
            <w:pPr>
              <w:rPr>
                <w:sz w:val="24"/>
                <w:szCs w:val="24"/>
              </w:rPr>
            </w:pPr>
          </w:p>
        </w:tc>
        <w:tc>
          <w:tcPr>
            <w:tcW w:w="2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5"/>
        </w:trPr>
        <w:tc>
          <w:tcPr>
            <w:tcW w:w="220" w:type="dxa"/>
            <w:vMerge/>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6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1700" w:type="dxa"/>
            <w:vMerge/>
            <w:vAlign w:val="bottom"/>
          </w:tcPr>
          <w:p w:rsidR="00AC12B4" w:rsidRDefault="00AC12B4">
            <w:pPr>
              <w:rPr>
                <w:sz w:val="8"/>
                <w:szCs w:val="8"/>
              </w:rPr>
            </w:pPr>
          </w:p>
        </w:tc>
        <w:tc>
          <w:tcPr>
            <w:tcW w:w="1700" w:type="dxa"/>
            <w:vMerge w:val="restart"/>
            <w:vAlign w:val="bottom"/>
          </w:tcPr>
          <w:p w:rsidR="00AC12B4" w:rsidRDefault="00C27636">
            <w:pPr>
              <w:ind w:right="590"/>
              <w:jc w:val="right"/>
              <w:rPr>
                <w:sz w:val="20"/>
                <w:szCs w:val="20"/>
              </w:rPr>
            </w:pPr>
            <w:r>
              <w:rPr>
                <w:rFonts w:ascii="Calibri" w:eastAsia="Calibri" w:hAnsi="Calibri" w:cs="Calibri"/>
                <w:sz w:val="20"/>
                <w:szCs w:val="20"/>
              </w:rPr>
              <w:t>530</w:t>
            </w:r>
          </w:p>
        </w:tc>
        <w:tc>
          <w:tcPr>
            <w:tcW w:w="1680" w:type="dxa"/>
            <w:vAlign w:val="bottom"/>
          </w:tcPr>
          <w:p w:rsidR="00AC12B4" w:rsidRDefault="00AC12B4">
            <w:pPr>
              <w:rPr>
                <w:sz w:val="8"/>
                <w:szCs w:val="8"/>
              </w:rPr>
            </w:pPr>
          </w:p>
        </w:tc>
        <w:tc>
          <w:tcPr>
            <w:tcW w:w="20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94"/>
        </w:trPr>
        <w:tc>
          <w:tcPr>
            <w:tcW w:w="220" w:type="dxa"/>
            <w:vMerge w:val="restart"/>
            <w:textDirection w:val="btLr"/>
            <w:vAlign w:val="bottom"/>
          </w:tcPr>
          <w:p w:rsidR="00AC12B4" w:rsidRDefault="00C27636">
            <w:pPr>
              <w:rPr>
                <w:sz w:val="20"/>
                <w:szCs w:val="20"/>
              </w:rPr>
            </w:pPr>
            <w:r>
              <w:rPr>
                <w:rFonts w:ascii="Calibri" w:eastAsia="Calibri" w:hAnsi="Calibri" w:cs="Calibri"/>
                <w:b/>
                <w:bCs/>
                <w:sz w:val="20"/>
                <w:szCs w:val="20"/>
              </w:rPr>
              <w:t>test</w:t>
            </w:r>
          </w:p>
        </w:tc>
        <w:tc>
          <w:tcPr>
            <w:tcW w:w="480" w:type="dxa"/>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1700" w:type="dxa"/>
            <w:vMerge/>
            <w:vAlign w:val="bottom"/>
          </w:tcPr>
          <w:p w:rsidR="00AC12B4" w:rsidRDefault="00AC12B4">
            <w:pPr>
              <w:rPr>
                <w:sz w:val="8"/>
                <w:szCs w:val="8"/>
              </w:rPr>
            </w:pPr>
          </w:p>
        </w:tc>
        <w:tc>
          <w:tcPr>
            <w:tcW w:w="1700" w:type="dxa"/>
            <w:vMerge/>
            <w:vAlign w:val="bottom"/>
          </w:tcPr>
          <w:p w:rsidR="00AC12B4" w:rsidRDefault="00AC12B4">
            <w:pPr>
              <w:rPr>
                <w:sz w:val="8"/>
                <w:szCs w:val="8"/>
              </w:rPr>
            </w:pPr>
          </w:p>
        </w:tc>
        <w:tc>
          <w:tcPr>
            <w:tcW w:w="1680" w:type="dxa"/>
            <w:vAlign w:val="bottom"/>
          </w:tcPr>
          <w:p w:rsidR="00AC12B4" w:rsidRDefault="00AC12B4">
            <w:pPr>
              <w:rPr>
                <w:sz w:val="8"/>
                <w:szCs w:val="8"/>
              </w:rPr>
            </w:pPr>
          </w:p>
        </w:tc>
        <w:tc>
          <w:tcPr>
            <w:tcW w:w="2300" w:type="dxa"/>
            <w:gridSpan w:val="2"/>
            <w:vMerge w:val="restart"/>
            <w:vAlign w:val="bottom"/>
          </w:tcPr>
          <w:p w:rsidR="00AC12B4" w:rsidRDefault="00C27636">
            <w:pPr>
              <w:ind w:left="617"/>
              <w:jc w:val="center"/>
              <w:rPr>
                <w:sz w:val="20"/>
                <w:szCs w:val="20"/>
              </w:rPr>
            </w:pPr>
            <w:r>
              <w:rPr>
                <w:rFonts w:ascii="Calibri" w:eastAsia="Calibri" w:hAnsi="Calibri" w:cs="Calibri"/>
                <w:color w:val="8064A2"/>
                <w:w w:val="98"/>
                <w:sz w:val="16"/>
                <w:szCs w:val="16"/>
              </w:rPr>
              <w:t>C. fl: 531</w:t>
            </w:r>
          </w:p>
        </w:tc>
        <w:tc>
          <w:tcPr>
            <w:tcW w:w="0" w:type="dxa"/>
            <w:vAlign w:val="bottom"/>
          </w:tcPr>
          <w:p w:rsidR="00AC12B4" w:rsidRDefault="00AC12B4">
            <w:pPr>
              <w:rPr>
                <w:sz w:val="1"/>
                <w:szCs w:val="1"/>
              </w:rPr>
            </w:pPr>
          </w:p>
        </w:tc>
      </w:tr>
      <w:tr w:rsidR="00AC12B4">
        <w:trPr>
          <w:trHeight w:val="98"/>
        </w:trPr>
        <w:tc>
          <w:tcPr>
            <w:tcW w:w="220" w:type="dxa"/>
            <w:vMerge/>
            <w:vAlign w:val="bottom"/>
          </w:tcPr>
          <w:p w:rsidR="00AC12B4" w:rsidRDefault="00AC12B4">
            <w:pPr>
              <w:rPr>
                <w:sz w:val="8"/>
                <w:szCs w:val="8"/>
              </w:rPr>
            </w:pPr>
          </w:p>
        </w:tc>
        <w:tc>
          <w:tcPr>
            <w:tcW w:w="480" w:type="dxa"/>
            <w:vAlign w:val="bottom"/>
          </w:tcPr>
          <w:p w:rsidR="00AC12B4" w:rsidRDefault="00AC12B4">
            <w:pPr>
              <w:rPr>
                <w:sz w:val="8"/>
                <w:szCs w:val="8"/>
              </w:rPr>
            </w:pPr>
          </w:p>
        </w:tc>
        <w:tc>
          <w:tcPr>
            <w:tcW w:w="1940" w:type="dxa"/>
            <w:gridSpan w:val="5"/>
            <w:vMerge w:val="restart"/>
            <w:vAlign w:val="bottom"/>
          </w:tcPr>
          <w:p w:rsidR="00AC12B4" w:rsidRDefault="00C27636">
            <w:pPr>
              <w:ind w:right="720"/>
              <w:jc w:val="right"/>
              <w:rPr>
                <w:sz w:val="20"/>
                <w:szCs w:val="20"/>
              </w:rPr>
            </w:pPr>
            <w:r>
              <w:rPr>
                <w:rFonts w:ascii="Calibri" w:eastAsia="Calibri" w:hAnsi="Calibri" w:cs="Calibri"/>
                <w:sz w:val="20"/>
                <w:szCs w:val="20"/>
              </w:rPr>
              <w:t>520</w:t>
            </w:r>
          </w:p>
        </w:tc>
        <w:tc>
          <w:tcPr>
            <w:tcW w:w="1700" w:type="dxa"/>
            <w:vMerge/>
            <w:vAlign w:val="bottom"/>
          </w:tcPr>
          <w:p w:rsidR="00AC12B4" w:rsidRDefault="00AC12B4">
            <w:pPr>
              <w:rPr>
                <w:sz w:val="8"/>
                <w:szCs w:val="8"/>
              </w:rPr>
            </w:pPr>
          </w:p>
        </w:tc>
        <w:tc>
          <w:tcPr>
            <w:tcW w:w="1680" w:type="dxa"/>
            <w:vAlign w:val="bottom"/>
          </w:tcPr>
          <w:p w:rsidR="00AC12B4" w:rsidRDefault="00AC12B4">
            <w:pPr>
              <w:rPr>
                <w:sz w:val="8"/>
                <w:szCs w:val="8"/>
              </w:rPr>
            </w:pPr>
          </w:p>
        </w:tc>
        <w:tc>
          <w:tcPr>
            <w:tcW w:w="2300" w:type="dxa"/>
            <w:gridSpan w:val="2"/>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51"/>
        </w:trPr>
        <w:tc>
          <w:tcPr>
            <w:tcW w:w="220" w:type="dxa"/>
            <w:vMerge/>
            <w:vAlign w:val="bottom"/>
          </w:tcPr>
          <w:p w:rsidR="00AC12B4" w:rsidRDefault="00AC12B4">
            <w:pPr>
              <w:rPr>
                <w:sz w:val="13"/>
                <w:szCs w:val="13"/>
              </w:rPr>
            </w:pPr>
          </w:p>
        </w:tc>
        <w:tc>
          <w:tcPr>
            <w:tcW w:w="480" w:type="dxa"/>
            <w:vAlign w:val="bottom"/>
          </w:tcPr>
          <w:p w:rsidR="00AC12B4" w:rsidRDefault="00AC12B4">
            <w:pPr>
              <w:rPr>
                <w:sz w:val="13"/>
                <w:szCs w:val="13"/>
              </w:rPr>
            </w:pPr>
          </w:p>
        </w:tc>
        <w:tc>
          <w:tcPr>
            <w:tcW w:w="1940" w:type="dxa"/>
            <w:gridSpan w:val="5"/>
            <w:vMerge/>
            <w:vAlign w:val="bottom"/>
          </w:tcPr>
          <w:p w:rsidR="00AC12B4" w:rsidRDefault="00AC12B4">
            <w:pPr>
              <w:rPr>
                <w:sz w:val="13"/>
                <w:szCs w:val="13"/>
              </w:rPr>
            </w:pPr>
          </w:p>
        </w:tc>
        <w:tc>
          <w:tcPr>
            <w:tcW w:w="1700" w:type="dxa"/>
            <w:vAlign w:val="bottom"/>
          </w:tcPr>
          <w:p w:rsidR="00AC12B4" w:rsidRDefault="00AC12B4">
            <w:pPr>
              <w:rPr>
                <w:sz w:val="13"/>
                <w:szCs w:val="13"/>
              </w:rPr>
            </w:pPr>
          </w:p>
        </w:tc>
        <w:tc>
          <w:tcPr>
            <w:tcW w:w="1680" w:type="dxa"/>
            <w:vAlign w:val="bottom"/>
          </w:tcPr>
          <w:p w:rsidR="00AC12B4" w:rsidRDefault="00AC12B4">
            <w:pPr>
              <w:rPr>
                <w:sz w:val="13"/>
                <w:szCs w:val="13"/>
              </w:rPr>
            </w:pPr>
          </w:p>
        </w:tc>
        <w:tc>
          <w:tcPr>
            <w:tcW w:w="2300" w:type="dxa"/>
            <w:gridSpan w:val="2"/>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38"/>
        </w:trPr>
        <w:tc>
          <w:tcPr>
            <w:tcW w:w="220" w:type="dxa"/>
            <w:vMerge/>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1700" w:type="dxa"/>
            <w:tcBorders>
              <w:top w:val="single" w:sz="8" w:space="0" w:color="7D60A0"/>
            </w:tcBorders>
            <w:vAlign w:val="bottom"/>
          </w:tcPr>
          <w:p w:rsidR="00AC12B4" w:rsidRDefault="00AC12B4">
            <w:pPr>
              <w:rPr>
                <w:sz w:val="11"/>
                <w:szCs w:val="11"/>
              </w:rPr>
            </w:pPr>
          </w:p>
        </w:tc>
        <w:tc>
          <w:tcPr>
            <w:tcW w:w="1700" w:type="dxa"/>
            <w:tcBorders>
              <w:top w:val="single" w:sz="8" w:space="0" w:color="7D60A0"/>
            </w:tcBorders>
            <w:vAlign w:val="bottom"/>
          </w:tcPr>
          <w:p w:rsidR="00AC12B4" w:rsidRDefault="00AC12B4">
            <w:pPr>
              <w:rPr>
                <w:sz w:val="11"/>
                <w:szCs w:val="11"/>
              </w:rPr>
            </w:pPr>
          </w:p>
        </w:tc>
        <w:tc>
          <w:tcPr>
            <w:tcW w:w="1680" w:type="dxa"/>
            <w:tcBorders>
              <w:top w:val="single" w:sz="8" w:space="0" w:color="7D60A0"/>
            </w:tcBorders>
            <w:vAlign w:val="bottom"/>
          </w:tcPr>
          <w:p w:rsidR="00AC12B4" w:rsidRDefault="00AC12B4">
            <w:pPr>
              <w:rPr>
                <w:sz w:val="11"/>
                <w:szCs w:val="11"/>
              </w:rPr>
            </w:pPr>
          </w:p>
        </w:tc>
        <w:tc>
          <w:tcPr>
            <w:tcW w:w="2080" w:type="dxa"/>
            <w:vMerge w:val="restart"/>
            <w:tcBorders>
              <w:top w:val="single" w:sz="8" w:space="0" w:color="7D60A0"/>
            </w:tcBorders>
            <w:vAlign w:val="bottom"/>
          </w:tcPr>
          <w:p w:rsidR="00AC12B4" w:rsidRDefault="00C27636">
            <w:pPr>
              <w:ind w:left="797"/>
              <w:jc w:val="center"/>
              <w:rPr>
                <w:sz w:val="20"/>
                <w:szCs w:val="20"/>
              </w:rPr>
            </w:pPr>
            <w:r>
              <w:rPr>
                <w:rFonts w:ascii="Calibri" w:eastAsia="Calibri" w:hAnsi="Calibri" w:cs="Calibri"/>
                <w:color w:val="1F497D"/>
                <w:w w:val="98"/>
                <w:sz w:val="16"/>
                <w:szCs w:val="16"/>
              </w:rPr>
              <w:t>Be: 515</w:t>
            </w:r>
          </w:p>
        </w:tc>
        <w:tc>
          <w:tcPr>
            <w:tcW w:w="220" w:type="dxa"/>
            <w:vMerge w:val="restart"/>
            <w:tcBorders>
              <w:top w:val="single" w:sz="8" w:space="0" w:color="7D60A0"/>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80"/>
        </w:trPr>
        <w:tc>
          <w:tcPr>
            <w:tcW w:w="220" w:type="dxa"/>
            <w:vMerge w:val="restart"/>
            <w:textDirection w:val="btLr"/>
            <w:vAlign w:val="bottom"/>
          </w:tcPr>
          <w:p w:rsidR="00AC12B4" w:rsidRDefault="00C27636">
            <w:pPr>
              <w:rPr>
                <w:sz w:val="20"/>
                <w:szCs w:val="20"/>
              </w:rPr>
            </w:pPr>
            <w:r>
              <w:rPr>
                <w:rFonts w:ascii="Calibri" w:eastAsia="Calibri" w:hAnsi="Calibri" w:cs="Calibri"/>
                <w:b/>
                <w:bCs/>
                <w:w w:val="96"/>
                <w:sz w:val="20"/>
                <w:szCs w:val="20"/>
              </w:rPr>
              <w:t>au</w:t>
            </w:r>
          </w:p>
        </w:tc>
        <w:tc>
          <w:tcPr>
            <w:tcW w:w="48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20" w:type="dxa"/>
            <w:tcBorders>
              <w:bottom w:val="single" w:sz="8" w:space="0" w:color="1F497D"/>
            </w:tcBorders>
            <w:vAlign w:val="bottom"/>
          </w:tcPr>
          <w:p w:rsidR="00AC12B4" w:rsidRDefault="00AC12B4">
            <w:pPr>
              <w:rPr>
                <w:sz w:val="6"/>
                <w:szCs w:val="6"/>
              </w:rPr>
            </w:pPr>
          </w:p>
        </w:tc>
        <w:tc>
          <w:tcPr>
            <w:tcW w:w="100" w:type="dxa"/>
            <w:tcBorders>
              <w:bottom w:val="single" w:sz="8" w:space="0" w:color="1F497D"/>
            </w:tcBorders>
            <w:vAlign w:val="bottom"/>
          </w:tcPr>
          <w:p w:rsidR="00AC12B4" w:rsidRDefault="00AC12B4">
            <w:pPr>
              <w:rPr>
                <w:sz w:val="6"/>
                <w:szCs w:val="6"/>
              </w:rPr>
            </w:pPr>
          </w:p>
        </w:tc>
        <w:tc>
          <w:tcPr>
            <w:tcW w:w="60" w:type="dxa"/>
            <w:tcBorders>
              <w:bottom w:val="single" w:sz="8" w:space="0" w:color="1F497D"/>
            </w:tcBorders>
            <w:vAlign w:val="bottom"/>
          </w:tcPr>
          <w:p w:rsidR="00AC12B4" w:rsidRDefault="00AC12B4">
            <w:pPr>
              <w:rPr>
                <w:sz w:val="6"/>
                <w:szCs w:val="6"/>
              </w:rPr>
            </w:pPr>
          </w:p>
        </w:tc>
        <w:tc>
          <w:tcPr>
            <w:tcW w:w="1700" w:type="dxa"/>
            <w:tcBorders>
              <w:bottom w:val="single" w:sz="8" w:space="0" w:color="1F497D"/>
            </w:tcBorders>
            <w:vAlign w:val="bottom"/>
          </w:tcPr>
          <w:p w:rsidR="00AC12B4" w:rsidRDefault="00AC12B4">
            <w:pPr>
              <w:rPr>
                <w:sz w:val="6"/>
                <w:szCs w:val="6"/>
              </w:rPr>
            </w:pPr>
          </w:p>
        </w:tc>
        <w:tc>
          <w:tcPr>
            <w:tcW w:w="1700" w:type="dxa"/>
            <w:tcBorders>
              <w:bottom w:val="single" w:sz="8" w:space="0" w:color="1F497D"/>
            </w:tcBorders>
            <w:vAlign w:val="bottom"/>
          </w:tcPr>
          <w:p w:rsidR="00AC12B4" w:rsidRDefault="00AC12B4">
            <w:pPr>
              <w:rPr>
                <w:sz w:val="6"/>
                <w:szCs w:val="6"/>
              </w:rPr>
            </w:pPr>
          </w:p>
        </w:tc>
        <w:tc>
          <w:tcPr>
            <w:tcW w:w="1680" w:type="dxa"/>
            <w:tcBorders>
              <w:bottom w:val="single" w:sz="8" w:space="0" w:color="1F497D"/>
            </w:tcBorders>
            <w:vAlign w:val="bottom"/>
          </w:tcPr>
          <w:p w:rsidR="00AC12B4" w:rsidRDefault="00AC12B4">
            <w:pPr>
              <w:rPr>
                <w:sz w:val="6"/>
                <w:szCs w:val="6"/>
              </w:rPr>
            </w:pPr>
          </w:p>
        </w:tc>
        <w:tc>
          <w:tcPr>
            <w:tcW w:w="2080" w:type="dxa"/>
            <w:vMerge/>
            <w:tcBorders>
              <w:bottom w:val="single" w:sz="8" w:space="0" w:color="1F497D"/>
            </w:tcBorders>
            <w:vAlign w:val="bottom"/>
          </w:tcPr>
          <w:p w:rsidR="00AC12B4" w:rsidRDefault="00AC12B4">
            <w:pPr>
              <w:rPr>
                <w:sz w:val="6"/>
                <w:szCs w:val="6"/>
              </w:rPr>
            </w:pPr>
          </w:p>
        </w:tc>
        <w:tc>
          <w:tcPr>
            <w:tcW w:w="220" w:type="dxa"/>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52"/>
        </w:trPr>
        <w:tc>
          <w:tcPr>
            <w:tcW w:w="220" w:type="dxa"/>
            <w:vMerge/>
            <w:vAlign w:val="bottom"/>
          </w:tcPr>
          <w:p w:rsidR="00AC12B4" w:rsidRDefault="00AC12B4">
            <w:pPr>
              <w:rPr>
                <w:sz w:val="13"/>
                <w:szCs w:val="13"/>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500</w:t>
            </w:r>
          </w:p>
        </w:tc>
        <w:tc>
          <w:tcPr>
            <w:tcW w:w="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60" w:type="dxa"/>
            <w:vAlign w:val="bottom"/>
          </w:tcPr>
          <w:p w:rsidR="00AC12B4" w:rsidRDefault="00AC12B4">
            <w:pPr>
              <w:rPr>
                <w:sz w:val="13"/>
                <w:szCs w:val="13"/>
              </w:rPr>
            </w:pPr>
          </w:p>
        </w:tc>
        <w:tc>
          <w:tcPr>
            <w:tcW w:w="1700" w:type="dxa"/>
            <w:vAlign w:val="bottom"/>
          </w:tcPr>
          <w:p w:rsidR="00AC12B4" w:rsidRDefault="00AC12B4">
            <w:pPr>
              <w:rPr>
                <w:sz w:val="13"/>
                <w:szCs w:val="13"/>
              </w:rPr>
            </w:pPr>
          </w:p>
        </w:tc>
        <w:tc>
          <w:tcPr>
            <w:tcW w:w="1700" w:type="dxa"/>
            <w:vAlign w:val="bottom"/>
          </w:tcPr>
          <w:p w:rsidR="00AC12B4" w:rsidRDefault="00AC12B4">
            <w:pPr>
              <w:rPr>
                <w:sz w:val="13"/>
                <w:szCs w:val="13"/>
              </w:rPr>
            </w:pPr>
          </w:p>
        </w:tc>
        <w:tc>
          <w:tcPr>
            <w:tcW w:w="1680" w:type="dxa"/>
            <w:vAlign w:val="bottom"/>
          </w:tcPr>
          <w:p w:rsidR="00AC12B4" w:rsidRDefault="00AC12B4">
            <w:pPr>
              <w:rPr>
                <w:sz w:val="13"/>
                <w:szCs w:val="13"/>
              </w:rPr>
            </w:pPr>
          </w:p>
        </w:tc>
        <w:tc>
          <w:tcPr>
            <w:tcW w:w="2300" w:type="dxa"/>
            <w:gridSpan w:val="2"/>
            <w:vMerge w:val="restart"/>
            <w:vAlign w:val="bottom"/>
          </w:tcPr>
          <w:p w:rsidR="00AC12B4" w:rsidRDefault="00C27636">
            <w:pPr>
              <w:ind w:left="1460"/>
              <w:rPr>
                <w:sz w:val="20"/>
                <w:szCs w:val="20"/>
              </w:rPr>
            </w:pPr>
            <w:r>
              <w:rPr>
                <w:rFonts w:ascii="Calibri" w:eastAsia="Calibri" w:hAnsi="Calibri" w:cs="Calibri"/>
                <w:color w:val="F79646"/>
                <w:sz w:val="16"/>
                <w:szCs w:val="16"/>
              </w:rPr>
              <w:t>C. ger: 510</w:t>
            </w:r>
          </w:p>
        </w:tc>
        <w:tc>
          <w:tcPr>
            <w:tcW w:w="0" w:type="dxa"/>
            <w:vAlign w:val="bottom"/>
          </w:tcPr>
          <w:p w:rsidR="00AC12B4" w:rsidRDefault="00AC12B4">
            <w:pPr>
              <w:rPr>
                <w:sz w:val="1"/>
                <w:szCs w:val="1"/>
              </w:rPr>
            </w:pPr>
          </w:p>
        </w:tc>
      </w:tr>
      <w:tr w:rsidR="00AC12B4">
        <w:trPr>
          <w:trHeight w:val="86"/>
        </w:trPr>
        <w:tc>
          <w:tcPr>
            <w:tcW w:w="220" w:type="dxa"/>
            <w:vMerge w:val="restart"/>
            <w:textDirection w:val="btLr"/>
            <w:vAlign w:val="bottom"/>
          </w:tcPr>
          <w:p w:rsidR="00AC12B4" w:rsidRDefault="00C27636">
            <w:pPr>
              <w:ind w:left="109"/>
              <w:rPr>
                <w:sz w:val="20"/>
                <w:szCs w:val="20"/>
              </w:rPr>
            </w:pPr>
            <w:r>
              <w:rPr>
                <w:rFonts w:ascii="Calibri" w:eastAsia="Calibri" w:hAnsi="Calibri" w:cs="Calibri"/>
                <w:b/>
                <w:bCs/>
                <w:w w:val="78"/>
                <w:sz w:val="8"/>
                <w:szCs w:val="8"/>
              </w:rPr>
              <w:t>moyen</w:t>
            </w:r>
          </w:p>
        </w:tc>
        <w:tc>
          <w:tcPr>
            <w:tcW w:w="480" w:type="dxa"/>
            <w:vMerge/>
            <w:vAlign w:val="bottom"/>
          </w:tcPr>
          <w:p w:rsidR="00AC12B4" w:rsidRDefault="00AC12B4">
            <w:pPr>
              <w:rPr>
                <w:sz w:val="7"/>
                <w:szCs w:val="7"/>
              </w:rPr>
            </w:pPr>
          </w:p>
        </w:tc>
        <w:tc>
          <w:tcPr>
            <w:tcW w:w="60" w:type="dxa"/>
            <w:tcBorders>
              <w:bottom w:val="single" w:sz="8" w:space="0" w:color="868686"/>
            </w:tcBorders>
            <w:vAlign w:val="bottom"/>
          </w:tcPr>
          <w:p w:rsidR="00AC12B4" w:rsidRDefault="00AC12B4">
            <w:pPr>
              <w:rPr>
                <w:sz w:val="7"/>
                <w:szCs w:val="7"/>
              </w:rPr>
            </w:pPr>
          </w:p>
        </w:tc>
        <w:tc>
          <w:tcPr>
            <w:tcW w:w="20" w:type="dxa"/>
            <w:tcBorders>
              <w:bottom w:val="single" w:sz="8" w:space="0" w:color="868686"/>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1700" w:type="dxa"/>
            <w:vAlign w:val="bottom"/>
          </w:tcPr>
          <w:p w:rsidR="00AC12B4" w:rsidRDefault="00AC12B4">
            <w:pPr>
              <w:rPr>
                <w:sz w:val="7"/>
                <w:szCs w:val="7"/>
              </w:rPr>
            </w:pPr>
          </w:p>
        </w:tc>
        <w:tc>
          <w:tcPr>
            <w:tcW w:w="1700" w:type="dxa"/>
            <w:vAlign w:val="bottom"/>
          </w:tcPr>
          <w:p w:rsidR="00AC12B4" w:rsidRDefault="00AC12B4">
            <w:pPr>
              <w:rPr>
                <w:sz w:val="7"/>
                <w:szCs w:val="7"/>
              </w:rPr>
            </w:pPr>
          </w:p>
        </w:tc>
        <w:tc>
          <w:tcPr>
            <w:tcW w:w="1680" w:type="dxa"/>
            <w:vAlign w:val="bottom"/>
          </w:tcPr>
          <w:p w:rsidR="00AC12B4" w:rsidRDefault="00AC12B4">
            <w:pPr>
              <w:rPr>
                <w:sz w:val="7"/>
                <w:szCs w:val="7"/>
              </w:rPr>
            </w:pPr>
          </w:p>
        </w:tc>
        <w:tc>
          <w:tcPr>
            <w:tcW w:w="2300" w:type="dxa"/>
            <w:gridSpan w:val="2"/>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77"/>
        </w:trPr>
        <w:tc>
          <w:tcPr>
            <w:tcW w:w="220" w:type="dxa"/>
            <w:vMerge/>
            <w:vAlign w:val="bottom"/>
          </w:tcPr>
          <w:p w:rsidR="00AC12B4" w:rsidRDefault="00AC12B4">
            <w:pPr>
              <w:rPr>
                <w:sz w:val="6"/>
                <w:szCs w:val="6"/>
              </w:rPr>
            </w:pPr>
          </w:p>
        </w:tc>
        <w:tc>
          <w:tcPr>
            <w:tcW w:w="480" w:type="dxa"/>
            <w:vMerge/>
            <w:vAlign w:val="bottom"/>
          </w:tcPr>
          <w:p w:rsidR="00AC12B4" w:rsidRDefault="00AC12B4">
            <w:pPr>
              <w:rPr>
                <w:sz w:val="6"/>
                <w:szCs w:val="6"/>
              </w:rPr>
            </w:pPr>
          </w:p>
        </w:tc>
        <w:tc>
          <w:tcPr>
            <w:tcW w:w="6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60" w:type="dxa"/>
            <w:tcBorders>
              <w:bottom w:val="single" w:sz="8" w:space="0" w:color="98B954"/>
            </w:tcBorders>
            <w:vAlign w:val="bottom"/>
          </w:tcPr>
          <w:p w:rsidR="00AC12B4" w:rsidRDefault="00AC12B4">
            <w:pPr>
              <w:rPr>
                <w:sz w:val="6"/>
                <w:szCs w:val="6"/>
              </w:rPr>
            </w:pPr>
          </w:p>
        </w:tc>
        <w:tc>
          <w:tcPr>
            <w:tcW w:w="1700" w:type="dxa"/>
            <w:tcBorders>
              <w:bottom w:val="single" w:sz="8" w:space="0" w:color="98B954"/>
            </w:tcBorders>
            <w:vAlign w:val="bottom"/>
          </w:tcPr>
          <w:p w:rsidR="00AC12B4" w:rsidRDefault="00AC12B4">
            <w:pPr>
              <w:rPr>
                <w:sz w:val="6"/>
                <w:szCs w:val="6"/>
              </w:rPr>
            </w:pPr>
          </w:p>
        </w:tc>
        <w:tc>
          <w:tcPr>
            <w:tcW w:w="1700" w:type="dxa"/>
            <w:tcBorders>
              <w:bottom w:val="single" w:sz="8" w:space="0" w:color="98B954"/>
            </w:tcBorders>
            <w:vAlign w:val="bottom"/>
          </w:tcPr>
          <w:p w:rsidR="00AC12B4" w:rsidRDefault="00AC12B4">
            <w:pPr>
              <w:rPr>
                <w:sz w:val="6"/>
                <w:szCs w:val="6"/>
              </w:rPr>
            </w:pPr>
          </w:p>
        </w:tc>
        <w:tc>
          <w:tcPr>
            <w:tcW w:w="1680" w:type="dxa"/>
            <w:tcBorders>
              <w:bottom w:val="single" w:sz="8" w:space="0" w:color="98B954"/>
            </w:tcBorders>
            <w:vAlign w:val="bottom"/>
          </w:tcPr>
          <w:p w:rsidR="00AC12B4" w:rsidRDefault="00AC12B4">
            <w:pPr>
              <w:rPr>
                <w:sz w:val="6"/>
                <w:szCs w:val="6"/>
              </w:rPr>
            </w:pPr>
          </w:p>
        </w:tc>
        <w:tc>
          <w:tcPr>
            <w:tcW w:w="2080" w:type="dxa"/>
            <w:tcBorders>
              <w:bottom w:val="single" w:sz="8" w:space="0" w:color="98B954"/>
            </w:tcBorders>
            <w:vAlign w:val="bottom"/>
          </w:tcPr>
          <w:p w:rsidR="00AC12B4" w:rsidRDefault="00AC12B4">
            <w:pPr>
              <w:rPr>
                <w:sz w:val="6"/>
                <w:szCs w:val="6"/>
              </w:rPr>
            </w:pPr>
          </w:p>
        </w:tc>
        <w:tc>
          <w:tcPr>
            <w:tcW w:w="220" w:type="dxa"/>
            <w:tcBorders>
              <w:bottom w:val="single" w:sz="8" w:space="0" w:color="98B954"/>
            </w:tcBorders>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92"/>
        </w:trPr>
        <w:tc>
          <w:tcPr>
            <w:tcW w:w="22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1940" w:type="dxa"/>
            <w:gridSpan w:val="5"/>
            <w:vAlign w:val="bottom"/>
          </w:tcPr>
          <w:p w:rsidR="00AC12B4" w:rsidRDefault="00C27636">
            <w:pPr>
              <w:spacing w:line="193" w:lineRule="exact"/>
              <w:ind w:right="720"/>
              <w:jc w:val="right"/>
              <w:rPr>
                <w:sz w:val="20"/>
                <w:szCs w:val="20"/>
              </w:rPr>
            </w:pPr>
            <w:r>
              <w:rPr>
                <w:rFonts w:ascii="Calibri" w:eastAsia="Calibri" w:hAnsi="Calibri" w:cs="Calibri"/>
                <w:sz w:val="20"/>
                <w:szCs w:val="20"/>
              </w:rPr>
              <w:t>509</w:t>
            </w:r>
          </w:p>
        </w:tc>
        <w:tc>
          <w:tcPr>
            <w:tcW w:w="1700" w:type="dxa"/>
            <w:vAlign w:val="bottom"/>
          </w:tcPr>
          <w:p w:rsidR="00AC12B4" w:rsidRDefault="00AC12B4">
            <w:pPr>
              <w:rPr>
                <w:sz w:val="16"/>
                <w:szCs w:val="16"/>
              </w:rPr>
            </w:pPr>
          </w:p>
        </w:tc>
        <w:tc>
          <w:tcPr>
            <w:tcW w:w="1680" w:type="dxa"/>
            <w:vAlign w:val="bottom"/>
          </w:tcPr>
          <w:p w:rsidR="00AC12B4" w:rsidRDefault="00AC12B4">
            <w:pPr>
              <w:rPr>
                <w:sz w:val="16"/>
                <w:szCs w:val="16"/>
              </w:rPr>
            </w:pPr>
          </w:p>
        </w:tc>
        <w:tc>
          <w:tcPr>
            <w:tcW w:w="2300" w:type="dxa"/>
            <w:gridSpan w:val="2"/>
            <w:vMerge w:val="restart"/>
            <w:vAlign w:val="bottom"/>
          </w:tcPr>
          <w:p w:rsidR="00AC12B4" w:rsidRDefault="00C27636">
            <w:pPr>
              <w:spacing w:line="317" w:lineRule="exact"/>
              <w:ind w:left="577"/>
              <w:jc w:val="center"/>
              <w:rPr>
                <w:sz w:val="20"/>
                <w:szCs w:val="20"/>
              </w:rPr>
            </w:pPr>
            <w:r>
              <w:rPr>
                <w:rFonts w:ascii="Calibri" w:eastAsia="Calibri" w:hAnsi="Calibri" w:cs="Calibri"/>
                <w:color w:val="000000"/>
                <w:w w:val="98"/>
                <w:sz w:val="34"/>
                <w:szCs w:val="34"/>
                <w:vertAlign w:val="superscript"/>
              </w:rPr>
              <w:t>507</w:t>
            </w:r>
            <w:r>
              <w:rPr>
                <w:rFonts w:ascii="Calibri" w:eastAsia="Calibri" w:hAnsi="Calibri" w:cs="Calibri"/>
                <w:color w:val="9BBB59"/>
                <w:w w:val="98"/>
                <w:sz w:val="15"/>
                <w:szCs w:val="15"/>
              </w:rPr>
              <w:t>FWB: 492</w:t>
            </w:r>
          </w:p>
        </w:tc>
        <w:tc>
          <w:tcPr>
            <w:tcW w:w="0" w:type="dxa"/>
            <w:vAlign w:val="bottom"/>
          </w:tcPr>
          <w:p w:rsidR="00AC12B4" w:rsidRDefault="00AC12B4">
            <w:pPr>
              <w:rPr>
                <w:sz w:val="1"/>
                <w:szCs w:val="1"/>
              </w:rPr>
            </w:pPr>
          </w:p>
        </w:tc>
      </w:tr>
      <w:tr w:rsidR="00AC12B4">
        <w:trPr>
          <w:trHeight w:val="124"/>
        </w:trPr>
        <w:tc>
          <w:tcPr>
            <w:tcW w:w="2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1700" w:type="dxa"/>
            <w:vMerge w:val="restart"/>
            <w:vAlign w:val="bottom"/>
          </w:tcPr>
          <w:p w:rsidR="00AC12B4" w:rsidRDefault="00C27636">
            <w:pPr>
              <w:spacing w:line="164" w:lineRule="exact"/>
              <w:ind w:right="620"/>
              <w:jc w:val="right"/>
              <w:rPr>
                <w:sz w:val="20"/>
                <w:szCs w:val="20"/>
              </w:rPr>
            </w:pPr>
            <w:r>
              <w:rPr>
                <w:rFonts w:ascii="Calibri" w:eastAsia="Calibri" w:hAnsi="Calibri" w:cs="Calibri"/>
                <w:sz w:val="16"/>
                <w:szCs w:val="16"/>
              </w:rPr>
              <w:t>Filles</w:t>
            </w:r>
          </w:p>
        </w:tc>
        <w:tc>
          <w:tcPr>
            <w:tcW w:w="1700" w:type="dxa"/>
            <w:vAlign w:val="bottom"/>
          </w:tcPr>
          <w:p w:rsidR="00AC12B4" w:rsidRDefault="00AC12B4">
            <w:pPr>
              <w:rPr>
                <w:sz w:val="10"/>
                <w:szCs w:val="10"/>
              </w:rPr>
            </w:pPr>
          </w:p>
        </w:tc>
        <w:tc>
          <w:tcPr>
            <w:tcW w:w="1680" w:type="dxa"/>
            <w:vAlign w:val="bottom"/>
          </w:tcPr>
          <w:p w:rsidR="00AC12B4" w:rsidRDefault="00AC12B4">
            <w:pPr>
              <w:rPr>
                <w:sz w:val="10"/>
                <w:szCs w:val="10"/>
              </w:rPr>
            </w:pPr>
          </w:p>
        </w:tc>
        <w:tc>
          <w:tcPr>
            <w:tcW w:w="2300" w:type="dxa"/>
            <w:gridSpan w:val="2"/>
            <w:vMerge/>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40"/>
        </w:trPr>
        <w:tc>
          <w:tcPr>
            <w:tcW w:w="220" w:type="dxa"/>
            <w:vMerge w:val="restart"/>
            <w:textDirection w:val="btLr"/>
            <w:vAlign w:val="bottom"/>
          </w:tcPr>
          <w:p w:rsidR="00AC12B4" w:rsidRDefault="00C27636">
            <w:pPr>
              <w:rPr>
                <w:sz w:val="20"/>
                <w:szCs w:val="20"/>
              </w:rPr>
            </w:pPr>
            <w:r>
              <w:rPr>
                <w:rFonts w:ascii="Calibri" w:eastAsia="Calibri" w:hAnsi="Calibri" w:cs="Calibri"/>
                <w:b/>
                <w:bCs/>
                <w:w w:val="80"/>
                <w:sz w:val="20"/>
                <w:szCs w:val="20"/>
              </w:rPr>
              <w:t>scores</w:t>
            </w:r>
          </w:p>
        </w:tc>
        <w:tc>
          <w:tcPr>
            <w:tcW w:w="480" w:type="dxa"/>
            <w:vAlign w:val="bottom"/>
          </w:tcPr>
          <w:p w:rsidR="00AC12B4" w:rsidRDefault="00AC12B4">
            <w:pPr>
              <w:rPr>
                <w:sz w:val="3"/>
                <w:szCs w:val="3"/>
              </w:rPr>
            </w:pPr>
          </w:p>
        </w:tc>
        <w:tc>
          <w:tcPr>
            <w:tcW w:w="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100" w:type="dxa"/>
            <w:vAlign w:val="bottom"/>
          </w:tcPr>
          <w:p w:rsidR="00AC12B4" w:rsidRDefault="00AC12B4">
            <w:pPr>
              <w:rPr>
                <w:sz w:val="3"/>
                <w:szCs w:val="3"/>
              </w:rPr>
            </w:pPr>
          </w:p>
        </w:tc>
        <w:tc>
          <w:tcPr>
            <w:tcW w:w="60" w:type="dxa"/>
            <w:vAlign w:val="bottom"/>
          </w:tcPr>
          <w:p w:rsidR="00AC12B4" w:rsidRDefault="00AC12B4">
            <w:pPr>
              <w:rPr>
                <w:sz w:val="3"/>
                <w:szCs w:val="3"/>
              </w:rPr>
            </w:pPr>
          </w:p>
        </w:tc>
        <w:tc>
          <w:tcPr>
            <w:tcW w:w="1700" w:type="dxa"/>
            <w:vMerge/>
            <w:vAlign w:val="bottom"/>
          </w:tcPr>
          <w:p w:rsidR="00AC12B4" w:rsidRDefault="00AC12B4">
            <w:pPr>
              <w:rPr>
                <w:sz w:val="3"/>
                <w:szCs w:val="3"/>
              </w:rPr>
            </w:pPr>
          </w:p>
        </w:tc>
        <w:tc>
          <w:tcPr>
            <w:tcW w:w="1700" w:type="dxa"/>
            <w:vAlign w:val="bottom"/>
          </w:tcPr>
          <w:p w:rsidR="00AC12B4" w:rsidRDefault="00AC12B4">
            <w:pPr>
              <w:rPr>
                <w:sz w:val="3"/>
                <w:szCs w:val="3"/>
              </w:rPr>
            </w:pPr>
          </w:p>
        </w:tc>
        <w:tc>
          <w:tcPr>
            <w:tcW w:w="1680" w:type="dxa"/>
            <w:vAlign w:val="bottom"/>
          </w:tcPr>
          <w:p w:rsidR="00AC12B4" w:rsidRDefault="00AC12B4">
            <w:pPr>
              <w:rPr>
                <w:sz w:val="3"/>
                <w:szCs w:val="3"/>
              </w:rPr>
            </w:pPr>
          </w:p>
        </w:tc>
        <w:tc>
          <w:tcPr>
            <w:tcW w:w="2080" w:type="dxa"/>
            <w:vAlign w:val="bottom"/>
          </w:tcPr>
          <w:p w:rsidR="00AC12B4" w:rsidRDefault="00AC12B4">
            <w:pPr>
              <w:rPr>
                <w:sz w:val="3"/>
                <w:szCs w:val="3"/>
              </w:rPr>
            </w:pPr>
          </w:p>
        </w:tc>
        <w:tc>
          <w:tcPr>
            <w:tcW w:w="220" w:type="dxa"/>
            <w:vAlign w:val="bottom"/>
          </w:tcPr>
          <w:p w:rsidR="00AC12B4" w:rsidRDefault="00AC12B4">
            <w:pPr>
              <w:rPr>
                <w:sz w:val="3"/>
                <w:szCs w:val="3"/>
              </w:rPr>
            </w:pPr>
          </w:p>
        </w:tc>
        <w:tc>
          <w:tcPr>
            <w:tcW w:w="0" w:type="dxa"/>
            <w:vAlign w:val="bottom"/>
          </w:tcPr>
          <w:p w:rsidR="00AC12B4" w:rsidRDefault="00AC12B4">
            <w:pPr>
              <w:spacing w:line="20" w:lineRule="exact"/>
              <w:rPr>
                <w:sz w:val="1"/>
                <w:szCs w:val="1"/>
              </w:rPr>
            </w:pPr>
          </w:p>
        </w:tc>
      </w:tr>
      <w:tr w:rsidR="00AC12B4">
        <w:trPr>
          <w:trHeight w:val="383"/>
        </w:trPr>
        <w:tc>
          <w:tcPr>
            <w:tcW w:w="220" w:type="dxa"/>
            <w:vMerge/>
            <w:vAlign w:val="bottom"/>
          </w:tcPr>
          <w:p w:rsidR="00AC12B4" w:rsidRDefault="00AC12B4">
            <w:pPr>
              <w:rPr>
                <w:sz w:val="24"/>
                <w:szCs w:val="24"/>
              </w:rPr>
            </w:pPr>
          </w:p>
        </w:tc>
        <w:tc>
          <w:tcPr>
            <w:tcW w:w="480" w:type="dxa"/>
            <w:vMerge w:val="restart"/>
            <w:vAlign w:val="bottom"/>
          </w:tcPr>
          <w:p w:rsidR="00AC12B4" w:rsidRDefault="00C27636">
            <w:pPr>
              <w:ind w:right="20"/>
              <w:jc w:val="right"/>
              <w:rPr>
                <w:sz w:val="20"/>
                <w:szCs w:val="20"/>
              </w:rPr>
            </w:pPr>
            <w:r>
              <w:rPr>
                <w:rFonts w:ascii="Calibri" w:eastAsia="Calibri" w:hAnsi="Calibri" w:cs="Calibri"/>
                <w:sz w:val="20"/>
                <w:szCs w:val="20"/>
              </w:rPr>
              <w:t>450</w:t>
            </w:r>
          </w:p>
        </w:tc>
        <w:tc>
          <w:tcPr>
            <w:tcW w:w="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1700" w:type="dxa"/>
            <w:vAlign w:val="bottom"/>
          </w:tcPr>
          <w:p w:rsidR="00AC12B4" w:rsidRDefault="00AC12B4">
            <w:pPr>
              <w:rPr>
                <w:sz w:val="24"/>
                <w:szCs w:val="24"/>
              </w:rPr>
            </w:pPr>
          </w:p>
        </w:tc>
        <w:tc>
          <w:tcPr>
            <w:tcW w:w="1700" w:type="dxa"/>
            <w:vAlign w:val="bottom"/>
          </w:tcPr>
          <w:p w:rsidR="00AC12B4" w:rsidRDefault="00C27636">
            <w:pPr>
              <w:ind w:right="590"/>
              <w:jc w:val="right"/>
              <w:rPr>
                <w:sz w:val="20"/>
                <w:szCs w:val="20"/>
              </w:rPr>
            </w:pPr>
            <w:r>
              <w:rPr>
                <w:rFonts w:ascii="Calibri" w:eastAsia="Calibri" w:hAnsi="Calibri" w:cs="Calibri"/>
                <w:sz w:val="20"/>
                <w:szCs w:val="20"/>
              </w:rPr>
              <w:t>455</w:t>
            </w:r>
          </w:p>
        </w:tc>
        <w:tc>
          <w:tcPr>
            <w:tcW w:w="1680" w:type="dxa"/>
            <w:vAlign w:val="bottom"/>
          </w:tcPr>
          <w:p w:rsidR="00AC12B4" w:rsidRDefault="00C27636">
            <w:pPr>
              <w:ind w:right="430"/>
              <w:jc w:val="right"/>
              <w:rPr>
                <w:sz w:val="20"/>
                <w:szCs w:val="20"/>
              </w:rPr>
            </w:pPr>
            <w:r>
              <w:rPr>
                <w:rFonts w:ascii="Calibri" w:eastAsia="Calibri" w:hAnsi="Calibri" w:cs="Calibri"/>
                <w:sz w:val="20"/>
                <w:szCs w:val="20"/>
              </w:rPr>
              <w:t>460</w:t>
            </w:r>
          </w:p>
        </w:tc>
        <w:tc>
          <w:tcPr>
            <w:tcW w:w="2080" w:type="dxa"/>
            <w:vAlign w:val="bottom"/>
          </w:tcPr>
          <w:p w:rsidR="00AC12B4" w:rsidRDefault="00AC12B4">
            <w:pPr>
              <w:rPr>
                <w:sz w:val="24"/>
                <w:szCs w:val="24"/>
              </w:rPr>
            </w:pPr>
          </w:p>
        </w:tc>
        <w:tc>
          <w:tcPr>
            <w:tcW w:w="2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96"/>
        </w:trPr>
        <w:tc>
          <w:tcPr>
            <w:tcW w:w="220" w:type="dxa"/>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1700" w:type="dxa"/>
            <w:vAlign w:val="bottom"/>
          </w:tcPr>
          <w:p w:rsidR="00AC12B4" w:rsidRDefault="00AC12B4">
            <w:pPr>
              <w:rPr>
                <w:sz w:val="8"/>
                <w:szCs w:val="8"/>
              </w:rPr>
            </w:pPr>
          </w:p>
        </w:tc>
        <w:tc>
          <w:tcPr>
            <w:tcW w:w="1700" w:type="dxa"/>
            <w:vMerge w:val="restart"/>
            <w:vAlign w:val="bottom"/>
          </w:tcPr>
          <w:p w:rsidR="00AC12B4" w:rsidRDefault="00C27636">
            <w:pPr>
              <w:ind w:right="330"/>
              <w:jc w:val="right"/>
              <w:rPr>
                <w:sz w:val="20"/>
                <w:szCs w:val="20"/>
              </w:rPr>
            </w:pPr>
            <w:r>
              <w:rPr>
                <w:rFonts w:ascii="Calibri" w:eastAsia="Calibri" w:hAnsi="Calibri" w:cs="Calibri"/>
                <w:sz w:val="16"/>
                <w:szCs w:val="16"/>
              </w:rPr>
              <w:t>Immigr</w:t>
            </w:r>
            <w:r>
              <w:rPr>
                <w:rFonts w:ascii="Calibri" w:eastAsia="Calibri" w:hAnsi="Calibri" w:cs="Calibri"/>
                <w:sz w:val="16"/>
                <w:szCs w:val="16"/>
              </w:rPr>
              <w:lastRenderedPageBreak/>
              <w:t>és</w:t>
            </w:r>
          </w:p>
        </w:tc>
        <w:tc>
          <w:tcPr>
            <w:tcW w:w="1680" w:type="dxa"/>
            <w:vMerge w:val="restart"/>
            <w:vAlign w:val="bottom"/>
          </w:tcPr>
          <w:p w:rsidR="00AC12B4" w:rsidRDefault="00C27636">
            <w:pPr>
              <w:ind w:right="410"/>
              <w:jc w:val="right"/>
              <w:rPr>
                <w:sz w:val="20"/>
                <w:szCs w:val="20"/>
              </w:rPr>
            </w:pPr>
            <w:r>
              <w:rPr>
                <w:rFonts w:ascii="Calibri" w:eastAsia="Calibri" w:hAnsi="Calibri" w:cs="Calibri"/>
                <w:sz w:val="16"/>
                <w:szCs w:val="16"/>
              </w:rPr>
              <w:lastRenderedPageBreak/>
              <w:t>Défavoris</w:t>
            </w:r>
            <w:r>
              <w:rPr>
                <w:rFonts w:ascii="Calibri" w:eastAsia="Calibri" w:hAnsi="Calibri" w:cs="Calibri"/>
                <w:sz w:val="16"/>
                <w:szCs w:val="16"/>
              </w:rPr>
              <w:lastRenderedPageBreak/>
              <w:t>és</w:t>
            </w:r>
          </w:p>
        </w:tc>
        <w:tc>
          <w:tcPr>
            <w:tcW w:w="20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58"/>
        </w:trPr>
        <w:tc>
          <w:tcPr>
            <w:tcW w:w="220" w:type="dxa"/>
            <w:vAlign w:val="bottom"/>
          </w:tcPr>
          <w:p w:rsidR="00AC12B4" w:rsidRDefault="00AC12B4"/>
        </w:tc>
        <w:tc>
          <w:tcPr>
            <w:tcW w:w="480" w:type="dxa"/>
            <w:vAlign w:val="bottom"/>
          </w:tcPr>
          <w:p w:rsidR="00AC12B4" w:rsidRDefault="00AC12B4"/>
        </w:tc>
        <w:tc>
          <w:tcPr>
            <w:tcW w:w="60" w:type="dxa"/>
            <w:vAlign w:val="bottom"/>
          </w:tcPr>
          <w:p w:rsidR="00AC12B4" w:rsidRDefault="00AC12B4"/>
        </w:tc>
        <w:tc>
          <w:tcPr>
            <w:tcW w:w="20" w:type="dxa"/>
            <w:vAlign w:val="bottom"/>
          </w:tcPr>
          <w:p w:rsidR="00AC12B4" w:rsidRDefault="00AC12B4"/>
        </w:tc>
        <w:tc>
          <w:tcPr>
            <w:tcW w:w="100" w:type="dxa"/>
            <w:vAlign w:val="bottom"/>
          </w:tcPr>
          <w:p w:rsidR="00AC12B4" w:rsidRDefault="00AC12B4"/>
        </w:tc>
        <w:tc>
          <w:tcPr>
            <w:tcW w:w="60" w:type="dxa"/>
            <w:vAlign w:val="bottom"/>
          </w:tcPr>
          <w:p w:rsidR="00AC12B4" w:rsidRDefault="00AC12B4"/>
        </w:tc>
        <w:tc>
          <w:tcPr>
            <w:tcW w:w="1700" w:type="dxa"/>
            <w:vAlign w:val="bottom"/>
          </w:tcPr>
          <w:p w:rsidR="00AC12B4" w:rsidRDefault="00AC12B4"/>
        </w:tc>
        <w:tc>
          <w:tcPr>
            <w:tcW w:w="1700" w:type="dxa"/>
            <w:vMerge/>
            <w:vAlign w:val="bottom"/>
          </w:tcPr>
          <w:p w:rsidR="00AC12B4" w:rsidRDefault="00AC12B4"/>
        </w:tc>
        <w:tc>
          <w:tcPr>
            <w:tcW w:w="1680" w:type="dxa"/>
            <w:vMerge/>
            <w:vAlign w:val="bottom"/>
          </w:tcPr>
          <w:p w:rsidR="00AC12B4" w:rsidRDefault="00AC12B4"/>
        </w:tc>
        <w:tc>
          <w:tcPr>
            <w:tcW w:w="2080" w:type="dxa"/>
            <w:vAlign w:val="bottom"/>
          </w:tcPr>
          <w:p w:rsidR="00AC12B4" w:rsidRDefault="00AC12B4"/>
        </w:tc>
        <w:tc>
          <w:tcPr>
            <w:tcW w:w="220" w:type="dxa"/>
            <w:vAlign w:val="bottom"/>
          </w:tcPr>
          <w:p w:rsidR="00AC12B4" w:rsidRDefault="00AC12B4"/>
        </w:tc>
        <w:tc>
          <w:tcPr>
            <w:tcW w:w="0" w:type="dxa"/>
            <w:vAlign w:val="bottom"/>
          </w:tcPr>
          <w:p w:rsidR="00AC12B4" w:rsidRDefault="00AC12B4">
            <w:pPr>
              <w:rPr>
                <w:sz w:val="1"/>
                <w:szCs w:val="1"/>
              </w:rPr>
            </w:pPr>
          </w:p>
        </w:tc>
      </w:tr>
      <w:tr w:rsidR="00AC12B4">
        <w:trPr>
          <w:trHeight w:val="115"/>
        </w:trPr>
        <w:tc>
          <w:tcPr>
            <w:tcW w:w="2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1700" w:type="dxa"/>
            <w:vAlign w:val="bottom"/>
          </w:tcPr>
          <w:p w:rsidR="00AC12B4" w:rsidRDefault="00AC12B4">
            <w:pPr>
              <w:rPr>
                <w:sz w:val="10"/>
                <w:szCs w:val="10"/>
              </w:rPr>
            </w:pPr>
          </w:p>
        </w:tc>
        <w:tc>
          <w:tcPr>
            <w:tcW w:w="1700" w:type="dxa"/>
            <w:vMerge/>
            <w:vAlign w:val="bottom"/>
          </w:tcPr>
          <w:p w:rsidR="00AC12B4" w:rsidRDefault="00AC12B4">
            <w:pPr>
              <w:rPr>
                <w:sz w:val="10"/>
                <w:szCs w:val="10"/>
              </w:rPr>
            </w:pPr>
          </w:p>
        </w:tc>
        <w:tc>
          <w:tcPr>
            <w:tcW w:w="1680" w:type="dxa"/>
            <w:vAlign w:val="bottom"/>
          </w:tcPr>
          <w:p w:rsidR="00AC12B4" w:rsidRDefault="00AC12B4">
            <w:pPr>
              <w:rPr>
                <w:sz w:val="10"/>
                <w:szCs w:val="10"/>
              </w:rPr>
            </w:pPr>
          </w:p>
        </w:tc>
        <w:tc>
          <w:tcPr>
            <w:tcW w:w="2080" w:type="dxa"/>
            <w:vAlign w:val="bottom"/>
          </w:tcPr>
          <w:p w:rsidR="00AC12B4" w:rsidRDefault="00AC12B4">
            <w:pPr>
              <w:rPr>
                <w:sz w:val="10"/>
                <w:szCs w:val="10"/>
              </w:rPr>
            </w:pPr>
          </w:p>
        </w:tc>
        <w:tc>
          <w:tcPr>
            <w:tcW w:w="220" w:type="dxa"/>
            <w:vAlign w:val="bottom"/>
          </w:tcPr>
          <w:p w:rsidR="00AC12B4" w:rsidRDefault="00AC12B4">
            <w:pPr>
              <w:rPr>
                <w:sz w:val="10"/>
                <w:szCs w:val="10"/>
              </w:rPr>
            </w:pPr>
          </w:p>
        </w:tc>
        <w:tc>
          <w:tcPr>
            <w:tcW w:w="0" w:type="dxa"/>
            <w:vAlign w:val="bottom"/>
          </w:tcPr>
          <w:p w:rsidR="00AC12B4" w:rsidRDefault="00AC12B4">
            <w:pPr>
              <w:rPr>
                <w:sz w:val="1"/>
                <w:szCs w:val="1"/>
              </w:rPr>
            </w:pPr>
          </w:p>
        </w:tc>
      </w:tr>
    </w:tbl>
    <w:p w:rsidR="00AC12B4" w:rsidRDefault="00AC12B4">
      <w:pPr>
        <w:spacing w:line="241" w:lineRule="exact"/>
        <w:rPr>
          <w:sz w:val="20"/>
          <w:szCs w:val="20"/>
        </w:rPr>
      </w:pPr>
    </w:p>
    <w:p w:rsidR="00AC12B4" w:rsidRDefault="00C27636">
      <w:pPr>
        <w:ind w:left="1480"/>
        <w:rPr>
          <w:sz w:val="20"/>
          <w:szCs w:val="20"/>
        </w:rPr>
      </w:pPr>
      <w:r>
        <w:rPr>
          <w:rFonts w:ascii="Calibri" w:eastAsia="Calibri" w:hAnsi="Calibri" w:cs="Calibri"/>
          <w:sz w:val="20"/>
          <w:szCs w:val="20"/>
        </w:rPr>
        <w:t>400</w:t>
      </w:r>
    </w:p>
    <w:p w:rsidR="00AC12B4" w:rsidRDefault="00C27636">
      <w:pPr>
        <w:spacing w:line="20" w:lineRule="exact"/>
        <w:rPr>
          <w:sz w:val="20"/>
          <w:szCs w:val="20"/>
        </w:rPr>
      </w:pPr>
      <w:r>
        <w:rPr>
          <w:noProof/>
          <w:sz w:val="20"/>
          <w:szCs w:val="20"/>
        </w:rPr>
        <w:drawing>
          <wp:anchor distT="0" distB="0" distL="114300" distR="114300" simplePos="0" relativeHeight="251727360" behindDoc="1" locked="0" layoutInCell="0" allowOverlap="1">
            <wp:simplePos x="0" y="0"/>
            <wp:positionH relativeFrom="column">
              <wp:posOffset>582930</wp:posOffset>
            </wp:positionH>
            <wp:positionV relativeFrom="paragraph">
              <wp:posOffset>127000</wp:posOffset>
            </wp:positionV>
            <wp:extent cx="4744085" cy="405130"/>
            <wp:effectExtent l="0" t="0" r="0" b="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22">
                      <a:extLst/>
                    </a:blip>
                    <a:srcRect/>
                    <a:stretch>
                      <a:fillRect/>
                    </a:stretch>
                  </pic:blipFill>
                  <pic:spPr bwMode="auto">
                    <a:xfrm>
                      <a:off x="0" y="0"/>
                      <a:ext cx="4744085" cy="405130"/>
                    </a:xfrm>
                    <a:prstGeom prst="rect">
                      <a:avLst/>
                    </a:prstGeom>
                    <a:noFill/>
                  </pic:spPr>
                </pic:pic>
              </a:graphicData>
            </a:graphic>
          </wp:anchor>
        </w:drawing>
      </w:r>
    </w:p>
    <w:p w:rsidR="00AC12B4" w:rsidRDefault="00AC12B4">
      <w:pPr>
        <w:spacing w:line="217" w:lineRule="exact"/>
        <w:rPr>
          <w:sz w:val="20"/>
          <w:szCs w:val="20"/>
        </w:rPr>
      </w:pPr>
    </w:p>
    <w:p w:rsidR="00AC12B4" w:rsidRPr="00C27636" w:rsidRDefault="00C27636">
      <w:pPr>
        <w:spacing w:line="215" w:lineRule="auto"/>
        <w:ind w:left="920" w:right="1140"/>
        <w:rPr>
          <w:sz w:val="20"/>
          <w:szCs w:val="20"/>
          <w:lang w:val="fr-BE"/>
        </w:rPr>
      </w:pPr>
      <w:r w:rsidRPr="00C27636">
        <w:rPr>
          <w:rFonts w:ascii="Calibri" w:eastAsia="Calibri" w:hAnsi="Calibri" w:cs="Calibri"/>
          <w:b/>
          <w:bCs/>
          <w:color w:val="4F81BD"/>
          <w:sz w:val="18"/>
          <w:szCs w:val="18"/>
          <w:lang w:val="fr-BE"/>
        </w:rPr>
        <w:t>Figure 1. Inégalités des acquis en Belgique (PISA 2012) : scores moyens au test de mathématique selon différentes caractéristiques des élèves.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28384" behindDoc="1" locked="0" layoutInCell="0" allowOverlap="1">
                <wp:simplePos x="0" y="0"/>
                <wp:positionH relativeFrom="column">
                  <wp:posOffset>3474085</wp:posOffset>
                </wp:positionH>
                <wp:positionV relativeFrom="paragraph">
                  <wp:posOffset>320040</wp:posOffset>
                </wp:positionV>
                <wp:extent cx="1829435" cy="0"/>
                <wp:effectExtent l="0" t="0" r="0" b="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55pt,25.2pt" to="417.6pt,25.2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387" w:lineRule="exact"/>
        <w:rPr>
          <w:sz w:val="20"/>
          <w:szCs w:val="20"/>
          <w:lang w:val="fr-BE"/>
        </w:rPr>
      </w:pPr>
    </w:p>
    <w:p w:rsidR="00AC12B4" w:rsidRPr="00C27636" w:rsidRDefault="00C27636">
      <w:pPr>
        <w:tabs>
          <w:tab w:val="left" w:pos="5700"/>
          <w:tab w:val="left" w:pos="6620"/>
          <w:tab w:val="left" w:pos="7020"/>
          <w:tab w:val="left" w:pos="7980"/>
          <w:tab w:val="left" w:pos="8520"/>
          <w:tab w:val="left" w:pos="9120"/>
        </w:tabs>
        <w:ind w:left="5480"/>
        <w:rPr>
          <w:sz w:val="20"/>
          <w:szCs w:val="20"/>
          <w:lang w:val="fr-BE"/>
        </w:rPr>
      </w:pPr>
      <w:r w:rsidRPr="00C27636">
        <w:rPr>
          <w:rFonts w:ascii="Calibri" w:eastAsia="Calibri" w:hAnsi="Calibri" w:cs="Calibri"/>
          <w:sz w:val="26"/>
          <w:szCs w:val="26"/>
          <w:vertAlign w:val="superscript"/>
          <w:lang w:val="fr-BE"/>
        </w:rPr>
        <w:t>1</w:t>
      </w:r>
      <w:r w:rsidRPr="00C27636">
        <w:rPr>
          <w:sz w:val="20"/>
          <w:szCs w:val="20"/>
          <w:lang w:val="fr-BE"/>
        </w:rPr>
        <w:tab/>
      </w:r>
      <w:r w:rsidRPr="00C27636">
        <w:rPr>
          <w:rFonts w:ascii="Calibri" w:eastAsia="Calibri" w:hAnsi="Calibri" w:cs="Calibri"/>
          <w:sz w:val="20"/>
          <w:szCs w:val="20"/>
          <w:lang w:val="fr-BE"/>
        </w:rPr>
        <w:t>Résultats</w:t>
      </w:r>
      <w:r w:rsidRPr="00C27636">
        <w:rPr>
          <w:sz w:val="20"/>
          <w:szCs w:val="20"/>
          <w:lang w:val="fr-BE"/>
        </w:rPr>
        <w:tab/>
      </w:r>
      <w:r w:rsidRPr="00C27636">
        <w:rPr>
          <w:rFonts w:ascii="Calibri" w:eastAsia="Calibri" w:hAnsi="Calibri" w:cs="Calibri"/>
          <w:sz w:val="20"/>
          <w:szCs w:val="20"/>
          <w:lang w:val="fr-BE"/>
        </w:rPr>
        <w:t>de</w:t>
      </w:r>
      <w:r w:rsidRPr="00C27636">
        <w:rPr>
          <w:rFonts w:ascii="Calibri" w:eastAsia="Calibri" w:hAnsi="Calibri" w:cs="Calibri"/>
          <w:sz w:val="20"/>
          <w:szCs w:val="20"/>
          <w:lang w:val="fr-BE"/>
        </w:rPr>
        <w:tab/>
        <w:t>l’enquête</w:t>
      </w:r>
      <w:r w:rsidRPr="00C27636">
        <w:rPr>
          <w:sz w:val="20"/>
          <w:szCs w:val="20"/>
          <w:lang w:val="fr-BE"/>
        </w:rPr>
        <w:tab/>
      </w:r>
      <w:r w:rsidRPr="00C27636">
        <w:rPr>
          <w:rFonts w:ascii="Calibri" w:eastAsia="Calibri" w:hAnsi="Calibri" w:cs="Calibri"/>
          <w:sz w:val="20"/>
          <w:szCs w:val="20"/>
          <w:lang w:val="fr-BE"/>
        </w:rPr>
        <w:t>PISA</w:t>
      </w:r>
      <w:r w:rsidRPr="00C27636">
        <w:rPr>
          <w:rFonts w:ascii="Calibri" w:eastAsia="Calibri" w:hAnsi="Calibri" w:cs="Calibri"/>
          <w:sz w:val="20"/>
          <w:szCs w:val="20"/>
          <w:lang w:val="fr-BE"/>
        </w:rPr>
        <w:tab/>
        <w:t>2012</w:t>
      </w:r>
      <w:r w:rsidRPr="00C27636">
        <w:rPr>
          <w:sz w:val="20"/>
          <w:szCs w:val="20"/>
          <w:lang w:val="fr-BE"/>
        </w:rPr>
        <w:tab/>
      </w:r>
      <w:r w:rsidRPr="00C27636">
        <w:rPr>
          <w:rFonts w:ascii="Calibri" w:eastAsia="Calibri" w:hAnsi="Calibri" w:cs="Calibri"/>
          <w:sz w:val="19"/>
          <w:szCs w:val="19"/>
          <w:lang w:val="fr-BE"/>
        </w:rPr>
        <w:t>en</w:t>
      </w:r>
    </w:p>
    <w:p w:rsidR="00AC12B4" w:rsidRPr="00C27636" w:rsidRDefault="00AC12B4">
      <w:pPr>
        <w:spacing w:line="49" w:lineRule="exact"/>
        <w:rPr>
          <w:sz w:val="20"/>
          <w:szCs w:val="20"/>
          <w:lang w:val="fr-BE"/>
        </w:rPr>
      </w:pPr>
    </w:p>
    <w:p w:rsidR="00AC12B4" w:rsidRPr="00C27636" w:rsidRDefault="00C27636">
      <w:pPr>
        <w:ind w:left="5480"/>
        <w:rPr>
          <w:sz w:val="20"/>
          <w:szCs w:val="20"/>
          <w:lang w:val="fr-BE"/>
        </w:rPr>
      </w:pPr>
      <w:r w:rsidRPr="00C27636">
        <w:rPr>
          <w:rFonts w:ascii="Calibri" w:eastAsia="Calibri" w:hAnsi="Calibri" w:cs="Calibri"/>
          <w:sz w:val="20"/>
          <w:szCs w:val="20"/>
          <w:lang w:val="fr-BE"/>
        </w:rPr>
        <w:t>mathématique.</w:t>
      </w:r>
    </w:p>
    <w:p w:rsidR="00AC12B4" w:rsidRPr="00C27636" w:rsidRDefault="00AC12B4">
      <w:pPr>
        <w:spacing w:line="241" w:lineRule="exact"/>
        <w:rPr>
          <w:sz w:val="20"/>
          <w:szCs w:val="20"/>
          <w:lang w:val="fr-BE"/>
        </w:rPr>
      </w:pPr>
    </w:p>
    <w:p w:rsidR="00AC12B4" w:rsidRDefault="00C27636">
      <w:pPr>
        <w:ind w:left="720"/>
        <w:jc w:val="center"/>
        <w:rPr>
          <w:sz w:val="20"/>
          <w:szCs w:val="20"/>
        </w:rPr>
      </w:pPr>
      <w:r>
        <w:rPr>
          <w:rFonts w:ascii="Calibri" w:eastAsia="Calibri" w:hAnsi="Calibri" w:cs="Calibri"/>
        </w:rPr>
        <w:t>135</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0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940"/>
        </w:trPr>
        <w:tc>
          <w:tcPr>
            <w:tcW w:w="281" w:type="dxa"/>
            <w:textDirection w:val="btLr"/>
            <w:vAlign w:val="bottom"/>
          </w:tcPr>
          <w:p w:rsidR="00AC12B4" w:rsidRDefault="00C27636">
            <w:pPr>
              <w:spacing w:line="197" w:lineRule="auto"/>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AC12B4">
      <w:pPr>
        <w:sectPr w:rsidR="00AC12B4">
          <w:type w:val="continuous"/>
          <w:pgSz w:w="12080" w:h="17179"/>
          <w:pgMar w:top="1440" w:right="569" w:bottom="659" w:left="1120" w:header="0" w:footer="0" w:gutter="0"/>
          <w:cols w:num="2" w:space="720" w:equalWidth="0">
            <w:col w:w="9520" w:space="587"/>
            <w:col w:w="281"/>
          </w:cols>
        </w:sectPr>
      </w:pPr>
    </w:p>
    <w:bookmarkStart w:id="135" w:name="page136"/>
    <w:bookmarkEnd w:id="135"/>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729408" behindDoc="1" locked="0" layoutInCell="0" allowOverlap="1">
                <wp:simplePos x="0" y="0"/>
                <wp:positionH relativeFrom="page">
                  <wp:posOffset>0</wp:posOffset>
                </wp:positionH>
                <wp:positionV relativeFrom="page">
                  <wp:posOffset>0</wp:posOffset>
                </wp:positionV>
                <wp:extent cx="732790" cy="10908665"/>
                <wp:effectExtent l="0" t="0" r="0" b="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2790" cy="10908665"/>
                        </a:xfrm>
                        <a:prstGeom prst="rect">
                          <a:avLst/>
                        </a:prstGeom>
                        <a:solidFill>
                          <a:srgbClr val="8BCCEC"/>
                        </a:solidFill>
                      </wps:spPr>
                      <wps:bodyPr/>
                    </wps:wsp>
                  </a:graphicData>
                </a:graphic>
              </wp:anchor>
            </w:drawing>
          </mc:Choice>
          <mc:Fallback>
            <w:pict>
              <v:rect id="Shape 395" o:spid="_x0000_s1420" style="position:absolute;margin-left:0pt;margin-top:0pt;width:57.7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C27636">
      <w:pPr>
        <w:spacing w:line="20" w:lineRule="exact"/>
        <w:rPr>
          <w:sz w:val="20"/>
          <w:szCs w:val="20"/>
        </w:rPr>
      </w:pPr>
      <w:r>
        <w:rPr>
          <w:sz w:val="20"/>
          <w:szCs w:val="20"/>
        </w:rPr>
        <w:br w:type="column"/>
      </w:r>
    </w:p>
    <w:p w:rsidR="00AC12B4" w:rsidRDefault="00AC12B4">
      <w:pPr>
        <w:spacing w:line="116" w:lineRule="exact"/>
        <w:rPr>
          <w:sz w:val="20"/>
          <w:szCs w:val="20"/>
        </w:rPr>
      </w:pPr>
    </w:p>
    <w:p w:rsidR="00AC12B4" w:rsidRDefault="00AC12B4">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300"/>
        <w:gridCol w:w="640"/>
        <w:gridCol w:w="500"/>
        <w:gridCol w:w="600"/>
        <w:gridCol w:w="600"/>
        <w:gridCol w:w="500"/>
        <w:gridCol w:w="460"/>
        <w:gridCol w:w="60"/>
        <w:gridCol w:w="580"/>
        <w:gridCol w:w="1040"/>
        <w:gridCol w:w="20"/>
        <w:gridCol w:w="1620"/>
        <w:gridCol w:w="20"/>
        <w:gridCol w:w="1620"/>
        <w:gridCol w:w="20"/>
        <w:gridCol w:w="300"/>
        <w:gridCol w:w="100"/>
        <w:gridCol w:w="680"/>
        <w:gridCol w:w="100"/>
        <w:gridCol w:w="20"/>
      </w:tblGrid>
      <w:tr w:rsidR="00AC12B4">
        <w:trPr>
          <w:trHeight w:val="305"/>
        </w:trPr>
        <w:tc>
          <w:tcPr>
            <w:tcW w:w="4240" w:type="dxa"/>
            <w:gridSpan w:val="9"/>
            <w:vAlign w:val="bottom"/>
          </w:tcPr>
          <w:p w:rsidR="00AC12B4" w:rsidRPr="00C27636" w:rsidRDefault="00C27636">
            <w:pPr>
              <w:rPr>
                <w:sz w:val="20"/>
                <w:szCs w:val="20"/>
                <w:lang w:val="fr-BE"/>
              </w:rPr>
            </w:pPr>
            <w:r w:rsidRPr="00C27636">
              <w:rPr>
                <w:rFonts w:ascii="Calibri" w:eastAsia="Calibri" w:hAnsi="Calibri" w:cs="Calibri"/>
                <w:lang w:val="fr-BE"/>
              </w:rPr>
              <w:t>statistiquement significative entre le genre</w:t>
            </w:r>
          </w:p>
        </w:tc>
        <w:tc>
          <w:tcPr>
            <w:tcW w:w="5520" w:type="dxa"/>
            <w:gridSpan w:val="10"/>
            <w:vAlign w:val="bottom"/>
          </w:tcPr>
          <w:p w:rsidR="00AC12B4" w:rsidRDefault="00C27636">
            <w:pPr>
              <w:ind w:left="340"/>
              <w:rPr>
                <w:sz w:val="20"/>
                <w:szCs w:val="20"/>
              </w:rPr>
            </w:pPr>
            <w:r>
              <w:rPr>
                <w:rFonts w:ascii="Cambria" w:eastAsia="Cambria" w:hAnsi="Cambria" w:cs="Cambria"/>
                <w:b/>
                <w:bCs/>
                <w:i/>
                <w:iCs/>
                <w:color w:val="44ACE0"/>
                <w:sz w:val="26"/>
                <w:szCs w:val="26"/>
              </w:rPr>
              <w:t>Et ailleurs ?</w:t>
            </w:r>
          </w:p>
        </w:tc>
        <w:tc>
          <w:tcPr>
            <w:tcW w:w="0" w:type="dxa"/>
            <w:vAlign w:val="bottom"/>
          </w:tcPr>
          <w:p w:rsidR="00AC12B4" w:rsidRDefault="00AC12B4">
            <w:pPr>
              <w:rPr>
                <w:sz w:val="1"/>
                <w:szCs w:val="1"/>
              </w:rPr>
            </w:pPr>
          </w:p>
        </w:tc>
      </w:tr>
      <w:tr w:rsidR="00AC12B4" w:rsidRPr="00C27636">
        <w:trPr>
          <w:trHeight w:val="295"/>
        </w:trPr>
        <w:tc>
          <w:tcPr>
            <w:tcW w:w="4240" w:type="dxa"/>
            <w:gridSpan w:val="9"/>
            <w:vAlign w:val="bottom"/>
          </w:tcPr>
          <w:p w:rsidR="00AC12B4" w:rsidRPr="00C27636" w:rsidRDefault="00C27636">
            <w:pPr>
              <w:spacing w:line="294" w:lineRule="exact"/>
              <w:rPr>
                <w:sz w:val="20"/>
                <w:szCs w:val="20"/>
                <w:lang w:val="fr-BE"/>
              </w:rPr>
            </w:pPr>
            <w:r w:rsidRPr="00C27636">
              <w:rPr>
                <w:rFonts w:ascii="Calibri" w:eastAsia="Calibri" w:hAnsi="Calibri" w:cs="Calibri"/>
                <w:lang w:val="fr-BE"/>
              </w:rPr>
              <w:t>et les acquis (11pt</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alors que l’origine ou</w:t>
            </w: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Il y a, en Belgique, plus d’inégalité des</w:t>
            </w:r>
          </w:p>
        </w:tc>
        <w:tc>
          <w:tcPr>
            <w:tcW w:w="0" w:type="dxa"/>
            <w:vAlign w:val="bottom"/>
          </w:tcPr>
          <w:p w:rsidR="00AC12B4" w:rsidRPr="00C27636" w:rsidRDefault="00AC12B4">
            <w:pPr>
              <w:rPr>
                <w:sz w:val="1"/>
                <w:szCs w:val="1"/>
                <w:lang w:val="fr-BE"/>
              </w:rPr>
            </w:pPr>
          </w:p>
        </w:tc>
      </w:tr>
      <w:tr w:rsidR="00AC12B4" w:rsidRPr="00C27636">
        <w:trPr>
          <w:trHeight w:val="166"/>
        </w:trPr>
        <w:tc>
          <w:tcPr>
            <w:tcW w:w="4240" w:type="dxa"/>
            <w:gridSpan w:val="9"/>
            <w:vMerge w:val="restart"/>
            <w:vAlign w:val="bottom"/>
          </w:tcPr>
          <w:p w:rsidR="00AC12B4" w:rsidRPr="00C27636" w:rsidRDefault="00C27636">
            <w:pPr>
              <w:spacing w:line="233" w:lineRule="exact"/>
              <w:rPr>
                <w:sz w:val="20"/>
                <w:szCs w:val="20"/>
                <w:lang w:val="fr-BE"/>
              </w:rPr>
            </w:pPr>
            <w:r w:rsidRPr="00C27636">
              <w:rPr>
                <w:rFonts w:ascii="Calibri" w:eastAsia="Calibri" w:hAnsi="Calibri" w:cs="Calibri"/>
                <w:lang w:val="fr-BE"/>
              </w:rPr>
              <w:t>le statut socioéconomique présentent une</w:t>
            </w:r>
          </w:p>
        </w:tc>
        <w:tc>
          <w:tcPr>
            <w:tcW w:w="5520" w:type="dxa"/>
            <w:gridSpan w:val="10"/>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rsidRPr="00C27636">
        <w:trPr>
          <w:trHeight w:val="67"/>
        </w:trPr>
        <w:tc>
          <w:tcPr>
            <w:tcW w:w="4240" w:type="dxa"/>
            <w:gridSpan w:val="9"/>
            <w:vMerge/>
            <w:vAlign w:val="bottom"/>
          </w:tcPr>
          <w:p w:rsidR="00AC12B4" w:rsidRPr="00C27636" w:rsidRDefault="00AC12B4">
            <w:pPr>
              <w:rPr>
                <w:sz w:val="5"/>
                <w:szCs w:val="5"/>
                <w:lang w:val="fr-BE"/>
              </w:rPr>
            </w:pP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acquis en fonction de l’origine (75 pt de</w:t>
            </w:r>
          </w:p>
        </w:tc>
        <w:tc>
          <w:tcPr>
            <w:tcW w:w="0" w:type="dxa"/>
            <w:vAlign w:val="bottom"/>
          </w:tcPr>
          <w:p w:rsidR="00AC12B4" w:rsidRPr="00C27636" w:rsidRDefault="00AC12B4">
            <w:pPr>
              <w:rPr>
                <w:sz w:val="1"/>
                <w:szCs w:val="1"/>
                <w:lang w:val="fr-BE"/>
              </w:rPr>
            </w:pPr>
          </w:p>
        </w:tc>
      </w:tr>
      <w:tr w:rsidR="00AC12B4">
        <w:trPr>
          <w:trHeight w:val="202"/>
        </w:trPr>
        <w:tc>
          <w:tcPr>
            <w:tcW w:w="4240" w:type="dxa"/>
            <w:gridSpan w:val="9"/>
            <w:vMerge w:val="restart"/>
            <w:vAlign w:val="bottom"/>
          </w:tcPr>
          <w:p w:rsidR="00AC12B4" w:rsidRDefault="00C27636">
            <w:pPr>
              <w:rPr>
                <w:sz w:val="20"/>
                <w:szCs w:val="20"/>
              </w:rPr>
            </w:pPr>
            <w:r>
              <w:rPr>
                <w:rFonts w:ascii="Calibri" w:eastAsia="Calibri" w:hAnsi="Calibri" w:cs="Calibri"/>
              </w:rPr>
              <w:t>corrélation marquante (respectivement 75</w:t>
            </w:r>
          </w:p>
        </w:tc>
        <w:tc>
          <w:tcPr>
            <w:tcW w:w="5520" w:type="dxa"/>
            <w:gridSpan w:val="10"/>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67"/>
        </w:trPr>
        <w:tc>
          <w:tcPr>
            <w:tcW w:w="4240" w:type="dxa"/>
            <w:gridSpan w:val="9"/>
            <w:vMerge/>
            <w:vAlign w:val="bottom"/>
          </w:tcPr>
          <w:p w:rsidR="00AC12B4" w:rsidRDefault="00AC12B4">
            <w:pPr>
              <w:rPr>
                <w:sz w:val="5"/>
                <w:szCs w:val="5"/>
              </w:rPr>
            </w:pP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 xml:space="preserve">différence) ou le statut </w:t>
            </w:r>
            <w:r w:rsidRPr="00C27636">
              <w:rPr>
                <w:rFonts w:ascii="Calibri" w:eastAsia="Calibri" w:hAnsi="Calibri" w:cs="Calibri"/>
                <w:lang w:val="fr-BE"/>
              </w:rPr>
              <w:t>socioéconomique</w:t>
            </w:r>
          </w:p>
        </w:tc>
        <w:tc>
          <w:tcPr>
            <w:tcW w:w="0" w:type="dxa"/>
            <w:vAlign w:val="bottom"/>
          </w:tcPr>
          <w:p w:rsidR="00AC12B4" w:rsidRPr="00C27636" w:rsidRDefault="00AC12B4">
            <w:pPr>
              <w:rPr>
                <w:sz w:val="1"/>
                <w:szCs w:val="1"/>
                <w:lang w:val="fr-BE"/>
              </w:rPr>
            </w:pPr>
          </w:p>
        </w:tc>
      </w:tr>
      <w:tr w:rsidR="00AC12B4">
        <w:trPr>
          <w:trHeight w:val="202"/>
        </w:trPr>
        <w:tc>
          <w:tcPr>
            <w:tcW w:w="940" w:type="dxa"/>
            <w:gridSpan w:val="2"/>
            <w:vMerge w:val="restart"/>
            <w:vAlign w:val="bottom"/>
          </w:tcPr>
          <w:p w:rsidR="00AC12B4" w:rsidRDefault="00C27636">
            <w:pPr>
              <w:spacing w:line="267" w:lineRule="exact"/>
              <w:rPr>
                <w:sz w:val="20"/>
                <w:szCs w:val="20"/>
              </w:rPr>
            </w:pPr>
            <w:r>
              <w:rPr>
                <w:rFonts w:ascii="Calibri" w:eastAsia="Calibri" w:hAnsi="Calibri" w:cs="Calibri"/>
                <w:w w:val="99"/>
              </w:rPr>
              <w:t>et 114 pt).</w:t>
            </w:r>
          </w:p>
        </w:tc>
        <w:tc>
          <w:tcPr>
            <w:tcW w:w="500" w:type="dxa"/>
            <w:vAlign w:val="bottom"/>
          </w:tcPr>
          <w:p w:rsidR="00AC12B4" w:rsidRDefault="00AC12B4">
            <w:pPr>
              <w:rPr>
                <w:sz w:val="17"/>
                <w:szCs w:val="17"/>
              </w:rPr>
            </w:pPr>
          </w:p>
        </w:tc>
        <w:tc>
          <w:tcPr>
            <w:tcW w:w="600" w:type="dxa"/>
            <w:vAlign w:val="bottom"/>
          </w:tcPr>
          <w:p w:rsidR="00AC12B4" w:rsidRDefault="00AC12B4">
            <w:pPr>
              <w:rPr>
                <w:sz w:val="17"/>
                <w:szCs w:val="17"/>
              </w:rPr>
            </w:pPr>
          </w:p>
        </w:tc>
        <w:tc>
          <w:tcPr>
            <w:tcW w:w="600" w:type="dxa"/>
            <w:vAlign w:val="bottom"/>
          </w:tcPr>
          <w:p w:rsidR="00AC12B4" w:rsidRDefault="00AC12B4">
            <w:pPr>
              <w:rPr>
                <w:sz w:val="17"/>
                <w:szCs w:val="17"/>
              </w:rPr>
            </w:pPr>
          </w:p>
        </w:tc>
        <w:tc>
          <w:tcPr>
            <w:tcW w:w="500" w:type="dxa"/>
            <w:vAlign w:val="bottom"/>
          </w:tcPr>
          <w:p w:rsidR="00AC12B4" w:rsidRDefault="00AC12B4">
            <w:pPr>
              <w:rPr>
                <w:sz w:val="17"/>
                <w:szCs w:val="17"/>
              </w:rPr>
            </w:pPr>
          </w:p>
        </w:tc>
        <w:tc>
          <w:tcPr>
            <w:tcW w:w="460" w:type="dxa"/>
            <w:vAlign w:val="bottom"/>
          </w:tcPr>
          <w:p w:rsidR="00AC12B4" w:rsidRDefault="00AC12B4">
            <w:pPr>
              <w:rPr>
                <w:sz w:val="17"/>
                <w:szCs w:val="17"/>
              </w:rPr>
            </w:pPr>
          </w:p>
        </w:tc>
        <w:tc>
          <w:tcPr>
            <w:tcW w:w="60" w:type="dxa"/>
            <w:vAlign w:val="bottom"/>
          </w:tcPr>
          <w:p w:rsidR="00AC12B4" w:rsidRDefault="00AC12B4">
            <w:pPr>
              <w:rPr>
                <w:sz w:val="17"/>
                <w:szCs w:val="17"/>
              </w:rPr>
            </w:pPr>
          </w:p>
        </w:tc>
        <w:tc>
          <w:tcPr>
            <w:tcW w:w="580" w:type="dxa"/>
            <w:vAlign w:val="bottom"/>
          </w:tcPr>
          <w:p w:rsidR="00AC12B4" w:rsidRDefault="00AC12B4">
            <w:pPr>
              <w:rPr>
                <w:sz w:val="17"/>
                <w:szCs w:val="17"/>
              </w:rPr>
            </w:pPr>
          </w:p>
        </w:tc>
        <w:tc>
          <w:tcPr>
            <w:tcW w:w="5520" w:type="dxa"/>
            <w:gridSpan w:val="10"/>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65"/>
        </w:trPr>
        <w:tc>
          <w:tcPr>
            <w:tcW w:w="940" w:type="dxa"/>
            <w:gridSpan w:val="2"/>
            <w:vMerge/>
            <w:vAlign w:val="bottom"/>
          </w:tcPr>
          <w:p w:rsidR="00AC12B4" w:rsidRDefault="00AC12B4">
            <w:pPr>
              <w:rPr>
                <w:sz w:val="5"/>
                <w:szCs w:val="5"/>
              </w:rPr>
            </w:pPr>
          </w:p>
        </w:tc>
        <w:tc>
          <w:tcPr>
            <w:tcW w:w="500" w:type="dxa"/>
            <w:vAlign w:val="bottom"/>
          </w:tcPr>
          <w:p w:rsidR="00AC12B4" w:rsidRDefault="00AC12B4">
            <w:pPr>
              <w:rPr>
                <w:sz w:val="5"/>
                <w:szCs w:val="5"/>
              </w:rPr>
            </w:pPr>
          </w:p>
        </w:tc>
        <w:tc>
          <w:tcPr>
            <w:tcW w:w="600" w:type="dxa"/>
            <w:vAlign w:val="bottom"/>
          </w:tcPr>
          <w:p w:rsidR="00AC12B4" w:rsidRDefault="00AC12B4">
            <w:pPr>
              <w:rPr>
                <w:sz w:val="5"/>
                <w:szCs w:val="5"/>
              </w:rPr>
            </w:pPr>
          </w:p>
        </w:tc>
        <w:tc>
          <w:tcPr>
            <w:tcW w:w="600" w:type="dxa"/>
            <w:vAlign w:val="bottom"/>
          </w:tcPr>
          <w:p w:rsidR="00AC12B4" w:rsidRDefault="00AC12B4">
            <w:pPr>
              <w:rPr>
                <w:sz w:val="5"/>
                <w:szCs w:val="5"/>
              </w:rPr>
            </w:pPr>
          </w:p>
        </w:tc>
        <w:tc>
          <w:tcPr>
            <w:tcW w:w="500" w:type="dxa"/>
            <w:vAlign w:val="bottom"/>
          </w:tcPr>
          <w:p w:rsidR="00AC12B4" w:rsidRDefault="00AC12B4">
            <w:pPr>
              <w:rPr>
                <w:sz w:val="5"/>
                <w:szCs w:val="5"/>
              </w:rPr>
            </w:pPr>
          </w:p>
        </w:tc>
        <w:tc>
          <w:tcPr>
            <w:tcW w:w="460" w:type="dxa"/>
            <w:vAlign w:val="bottom"/>
          </w:tcPr>
          <w:p w:rsidR="00AC12B4" w:rsidRDefault="00AC12B4">
            <w:pPr>
              <w:rPr>
                <w:sz w:val="5"/>
                <w:szCs w:val="5"/>
              </w:rPr>
            </w:pPr>
          </w:p>
        </w:tc>
        <w:tc>
          <w:tcPr>
            <w:tcW w:w="60" w:type="dxa"/>
            <w:vAlign w:val="bottom"/>
          </w:tcPr>
          <w:p w:rsidR="00AC12B4" w:rsidRDefault="00AC12B4">
            <w:pPr>
              <w:rPr>
                <w:sz w:val="5"/>
                <w:szCs w:val="5"/>
              </w:rPr>
            </w:pPr>
          </w:p>
        </w:tc>
        <w:tc>
          <w:tcPr>
            <w:tcW w:w="580" w:type="dxa"/>
            <w:vAlign w:val="bottom"/>
          </w:tcPr>
          <w:p w:rsidR="00AC12B4" w:rsidRDefault="00AC12B4">
            <w:pPr>
              <w:rPr>
                <w:sz w:val="5"/>
                <w:szCs w:val="5"/>
              </w:rPr>
            </w:pP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(114pt) qu’en moyenne dans les pays de</w:t>
            </w:r>
          </w:p>
        </w:tc>
        <w:tc>
          <w:tcPr>
            <w:tcW w:w="0" w:type="dxa"/>
            <w:vAlign w:val="bottom"/>
          </w:tcPr>
          <w:p w:rsidR="00AC12B4" w:rsidRPr="00C27636" w:rsidRDefault="00AC12B4">
            <w:pPr>
              <w:rPr>
                <w:sz w:val="1"/>
                <w:szCs w:val="1"/>
                <w:lang w:val="fr-BE"/>
              </w:rPr>
            </w:pPr>
          </w:p>
        </w:tc>
      </w:tr>
      <w:tr w:rsidR="00AC12B4">
        <w:trPr>
          <w:trHeight w:val="204"/>
        </w:trPr>
        <w:tc>
          <w:tcPr>
            <w:tcW w:w="940" w:type="dxa"/>
            <w:gridSpan w:val="2"/>
            <w:vMerge w:val="restart"/>
            <w:vAlign w:val="bottom"/>
          </w:tcPr>
          <w:p w:rsidR="00AC12B4" w:rsidRDefault="00C27636">
            <w:pPr>
              <w:rPr>
                <w:sz w:val="20"/>
                <w:szCs w:val="20"/>
              </w:rPr>
            </w:pPr>
            <w:r>
              <w:rPr>
                <w:rFonts w:ascii="Calibri" w:eastAsia="Calibri" w:hAnsi="Calibri" w:cs="Calibri"/>
              </w:rPr>
              <w:t>L’inégalité</w:t>
            </w:r>
          </w:p>
        </w:tc>
        <w:tc>
          <w:tcPr>
            <w:tcW w:w="500" w:type="dxa"/>
            <w:vMerge w:val="restart"/>
            <w:vAlign w:val="bottom"/>
          </w:tcPr>
          <w:p w:rsidR="00AC12B4" w:rsidRDefault="00C27636">
            <w:pPr>
              <w:jc w:val="right"/>
              <w:rPr>
                <w:sz w:val="20"/>
                <w:szCs w:val="20"/>
              </w:rPr>
            </w:pPr>
            <w:r>
              <w:rPr>
                <w:rFonts w:ascii="Calibri" w:eastAsia="Calibri" w:hAnsi="Calibri" w:cs="Calibri"/>
              </w:rPr>
              <w:t>des</w:t>
            </w:r>
          </w:p>
        </w:tc>
        <w:tc>
          <w:tcPr>
            <w:tcW w:w="600" w:type="dxa"/>
            <w:vMerge w:val="restart"/>
            <w:vAlign w:val="bottom"/>
          </w:tcPr>
          <w:p w:rsidR="00AC12B4" w:rsidRDefault="00C27636">
            <w:pPr>
              <w:jc w:val="right"/>
              <w:rPr>
                <w:sz w:val="20"/>
                <w:szCs w:val="20"/>
              </w:rPr>
            </w:pPr>
            <w:r>
              <w:rPr>
                <w:rFonts w:ascii="Calibri" w:eastAsia="Calibri" w:hAnsi="Calibri" w:cs="Calibri"/>
                <w:w w:val="98"/>
              </w:rPr>
              <w:t>acquis</w:t>
            </w:r>
          </w:p>
        </w:tc>
        <w:tc>
          <w:tcPr>
            <w:tcW w:w="600" w:type="dxa"/>
            <w:vMerge w:val="restart"/>
            <w:vAlign w:val="bottom"/>
          </w:tcPr>
          <w:p w:rsidR="00AC12B4" w:rsidRDefault="00C27636">
            <w:pPr>
              <w:ind w:right="170"/>
              <w:jc w:val="right"/>
              <w:rPr>
                <w:sz w:val="20"/>
                <w:szCs w:val="20"/>
              </w:rPr>
            </w:pPr>
            <w:r>
              <w:rPr>
                <w:rFonts w:ascii="Calibri" w:eastAsia="Calibri" w:hAnsi="Calibri" w:cs="Calibri"/>
              </w:rPr>
              <w:t>en</w:t>
            </w:r>
          </w:p>
        </w:tc>
        <w:tc>
          <w:tcPr>
            <w:tcW w:w="500" w:type="dxa"/>
            <w:vAlign w:val="bottom"/>
          </w:tcPr>
          <w:p w:rsidR="00AC12B4" w:rsidRDefault="00AC12B4">
            <w:pPr>
              <w:rPr>
                <w:sz w:val="17"/>
                <w:szCs w:val="17"/>
              </w:rPr>
            </w:pPr>
          </w:p>
        </w:tc>
        <w:tc>
          <w:tcPr>
            <w:tcW w:w="460" w:type="dxa"/>
            <w:vAlign w:val="bottom"/>
          </w:tcPr>
          <w:p w:rsidR="00AC12B4" w:rsidRDefault="00AC12B4">
            <w:pPr>
              <w:rPr>
                <w:sz w:val="17"/>
                <w:szCs w:val="17"/>
              </w:rPr>
            </w:pPr>
          </w:p>
        </w:tc>
        <w:tc>
          <w:tcPr>
            <w:tcW w:w="60" w:type="dxa"/>
            <w:vAlign w:val="bottom"/>
          </w:tcPr>
          <w:p w:rsidR="00AC12B4" w:rsidRDefault="00AC12B4">
            <w:pPr>
              <w:rPr>
                <w:sz w:val="17"/>
                <w:szCs w:val="17"/>
              </w:rPr>
            </w:pPr>
          </w:p>
        </w:tc>
        <w:tc>
          <w:tcPr>
            <w:tcW w:w="580" w:type="dxa"/>
            <w:vAlign w:val="bottom"/>
          </w:tcPr>
          <w:p w:rsidR="00AC12B4" w:rsidRDefault="00AC12B4">
            <w:pPr>
              <w:rPr>
                <w:sz w:val="17"/>
                <w:szCs w:val="17"/>
              </w:rPr>
            </w:pPr>
          </w:p>
        </w:tc>
        <w:tc>
          <w:tcPr>
            <w:tcW w:w="5520" w:type="dxa"/>
            <w:gridSpan w:val="10"/>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143"/>
        </w:trPr>
        <w:tc>
          <w:tcPr>
            <w:tcW w:w="940" w:type="dxa"/>
            <w:gridSpan w:val="2"/>
            <w:vMerge/>
            <w:vAlign w:val="bottom"/>
          </w:tcPr>
          <w:p w:rsidR="00AC12B4" w:rsidRDefault="00AC12B4">
            <w:pPr>
              <w:rPr>
                <w:sz w:val="12"/>
                <w:szCs w:val="12"/>
              </w:rPr>
            </w:pPr>
          </w:p>
        </w:tc>
        <w:tc>
          <w:tcPr>
            <w:tcW w:w="500" w:type="dxa"/>
            <w:vMerge/>
            <w:vAlign w:val="bottom"/>
          </w:tcPr>
          <w:p w:rsidR="00AC12B4" w:rsidRDefault="00AC12B4">
            <w:pPr>
              <w:rPr>
                <w:sz w:val="12"/>
                <w:szCs w:val="12"/>
              </w:rPr>
            </w:pPr>
          </w:p>
        </w:tc>
        <w:tc>
          <w:tcPr>
            <w:tcW w:w="600" w:type="dxa"/>
            <w:vMerge/>
            <w:vAlign w:val="bottom"/>
          </w:tcPr>
          <w:p w:rsidR="00AC12B4" w:rsidRDefault="00AC12B4">
            <w:pPr>
              <w:rPr>
                <w:sz w:val="12"/>
                <w:szCs w:val="12"/>
              </w:rPr>
            </w:pPr>
          </w:p>
        </w:tc>
        <w:tc>
          <w:tcPr>
            <w:tcW w:w="600" w:type="dxa"/>
            <w:vMerge/>
            <w:vAlign w:val="bottom"/>
          </w:tcPr>
          <w:p w:rsidR="00AC12B4" w:rsidRDefault="00AC12B4">
            <w:pPr>
              <w:rPr>
                <w:sz w:val="12"/>
                <w:szCs w:val="12"/>
              </w:rPr>
            </w:pPr>
          </w:p>
        </w:tc>
        <w:tc>
          <w:tcPr>
            <w:tcW w:w="500" w:type="dxa"/>
            <w:tcBorders>
              <w:bottom w:val="single" w:sz="8" w:space="0" w:color="8BCCEC"/>
            </w:tcBorders>
            <w:vAlign w:val="bottom"/>
          </w:tcPr>
          <w:p w:rsidR="00AC12B4" w:rsidRDefault="00AC12B4">
            <w:pPr>
              <w:rPr>
                <w:sz w:val="12"/>
                <w:szCs w:val="12"/>
              </w:rPr>
            </w:pPr>
          </w:p>
        </w:tc>
        <w:tc>
          <w:tcPr>
            <w:tcW w:w="460" w:type="dxa"/>
            <w:tcBorders>
              <w:bottom w:val="single" w:sz="8" w:space="0" w:color="8BCCEC"/>
            </w:tcBorders>
            <w:vAlign w:val="bottom"/>
          </w:tcPr>
          <w:p w:rsidR="00AC12B4" w:rsidRDefault="00AC12B4">
            <w:pPr>
              <w:rPr>
                <w:sz w:val="12"/>
                <w:szCs w:val="12"/>
              </w:rPr>
            </w:pPr>
          </w:p>
        </w:tc>
        <w:tc>
          <w:tcPr>
            <w:tcW w:w="60" w:type="dxa"/>
            <w:tcBorders>
              <w:bottom w:val="single" w:sz="8" w:space="0" w:color="8BCCEC"/>
            </w:tcBorders>
            <w:vAlign w:val="bottom"/>
          </w:tcPr>
          <w:p w:rsidR="00AC12B4" w:rsidRDefault="00AC12B4">
            <w:pPr>
              <w:rPr>
                <w:sz w:val="12"/>
                <w:szCs w:val="12"/>
              </w:rPr>
            </w:pPr>
          </w:p>
        </w:tc>
        <w:tc>
          <w:tcPr>
            <w:tcW w:w="580" w:type="dxa"/>
            <w:tcBorders>
              <w:bottom w:val="single" w:sz="8" w:space="0" w:color="8BCCEC"/>
            </w:tcBorders>
            <w:vAlign w:val="bottom"/>
          </w:tcPr>
          <w:p w:rsidR="00AC12B4" w:rsidRDefault="00AC12B4">
            <w:pPr>
              <w:rPr>
                <w:sz w:val="12"/>
                <w:szCs w:val="12"/>
              </w:rPr>
            </w:pPr>
          </w:p>
        </w:tc>
        <w:tc>
          <w:tcPr>
            <w:tcW w:w="1040" w:type="dxa"/>
            <w:tcBorders>
              <w:bottom w:val="single" w:sz="8" w:space="0" w:color="8BCCEC"/>
            </w:tcBorders>
            <w:vAlign w:val="bottom"/>
          </w:tcPr>
          <w:p w:rsidR="00AC12B4" w:rsidRDefault="00AC12B4">
            <w:pPr>
              <w:rPr>
                <w:sz w:val="12"/>
                <w:szCs w:val="12"/>
              </w:rPr>
            </w:pPr>
          </w:p>
        </w:tc>
        <w:tc>
          <w:tcPr>
            <w:tcW w:w="20" w:type="dxa"/>
            <w:tcBorders>
              <w:bottom w:val="single" w:sz="8" w:space="0" w:color="8BCCEC"/>
            </w:tcBorders>
            <w:vAlign w:val="bottom"/>
          </w:tcPr>
          <w:p w:rsidR="00AC12B4" w:rsidRDefault="00AC12B4">
            <w:pPr>
              <w:rPr>
                <w:sz w:val="12"/>
                <w:szCs w:val="12"/>
              </w:rPr>
            </w:pPr>
          </w:p>
        </w:tc>
        <w:tc>
          <w:tcPr>
            <w:tcW w:w="1620" w:type="dxa"/>
            <w:tcBorders>
              <w:bottom w:val="single" w:sz="8" w:space="0" w:color="8BCCEC"/>
            </w:tcBorders>
            <w:vAlign w:val="bottom"/>
          </w:tcPr>
          <w:p w:rsidR="00AC12B4" w:rsidRDefault="00AC12B4">
            <w:pPr>
              <w:rPr>
                <w:sz w:val="12"/>
                <w:szCs w:val="12"/>
              </w:rPr>
            </w:pPr>
          </w:p>
        </w:tc>
        <w:tc>
          <w:tcPr>
            <w:tcW w:w="20" w:type="dxa"/>
            <w:tcBorders>
              <w:bottom w:val="single" w:sz="8" w:space="0" w:color="8BCCEC"/>
            </w:tcBorders>
            <w:vAlign w:val="bottom"/>
          </w:tcPr>
          <w:p w:rsidR="00AC12B4" w:rsidRDefault="00AC12B4">
            <w:pPr>
              <w:rPr>
                <w:sz w:val="12"/>
                <w:szCs w:val="12"/>
              </w:rPr>
            </w:pPr>
          </w:p>
        </w:tc>
        <w:tc>
          <w:tcPr>
            <w:tcW w:w="1620" w:type="dxa"/>
            <w:tcBorders>
              <w:bottom w:val="single" w:sz="8" w:space="0" w:color="8BCCEC"/>
            </w:tcBorders>
            <w:vAlign w:val="bottom"/>
          </w:tcPr>
          <w:p w:rsidR="00AC12B4" w:rsidRDefault="00AC12B4">
            <w:pPr>
              <w:rPr>
                <w:sz w:val="12"/>
                <w:szCs w:val="12"/>
              </w:rPr>
            </w:pPr>
          </w:p>
        </w:tc>
        <w:tc>
          <w:tcPr>
            <w:tcW w:w="20" w:type="dxa"/>
            <w:tcBorders>
              <w:bottom w:val="single" w:sz="8" w:space="0" w:color="8BCCEC"/>
            </w:tcBorders>
            <w:vAlign w:val="bottom"/>
          </w:tcPr>
          <w:p w:rsidR="00AC12B4" w:rsidRDefault="00AC12B4">
            <w:pPr>
              <w:rPr>
                <w:sz w:val="12"/>
                <w:szCs w:val="12"/>
              </w:rPr>
            </w:pPr>
          </w:p>
        </w:tc>
        <w:tc>
          <w:tcPr>
            <w:tcW w:w="300" w:type="dxa"/>
            <w:tcBorders>
              <w:bottom w:val="single" w:sz="8" w:space="0" w:color="8BCCEC"/>
            </w:tcBorders>
            <w:vAlign w:val="bottom"/>
          </w:tcPr>
          <w:p w:rsidR="00AC12B4" w:rsidRDefault="00AC12B4">
            <w:pPr>
              <w:rPr>
                <w:sz w:val="12"/>
                <w:szCs w:val="12"/>
              </w:rPr>
            </w:pPr>
          </w:p>
        </w:tc>
        <w:tc>
          <w:tcPr>
            <w:tcW w:w="100" w:type="dxa"/>
            <w:tcBorders>
              <w:bottom w:val="single" w:sz="8" w:space="0" w:color="8BCCEC"/>
            </w:tcBorders>
            <w:vAlign w:val="bottom"/>
          </w:tcPr>
          <w:p w:rsidR="00AC12B4" w:rsidRDefault="00AC12B4">
            <w:pPr>
              <w:rPr>
                <w:sz w:val="12"/>
                <w:szCs w:val="12"/>
              </w:rPr>
            </w:pPr>
          </w:p>
        </w:tc>
        <w:tc>
          <w:tcPr>
            <w:tcW w:w="680" w:type="dxa"/>
            <w:tcBorders>
              <w:bottom w:val="single" w:sz="8" w:space="0" w:color="8BCCEC"/>
            </w:tcBorders>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95"/>
        </w:trPr>
        <w:tc>
          <w:tcPr>
            <w:tcW w:w="2040" w:type="dxa"/>
            <w:gridSpan w:val="4"/>
            <w:vMerge w:val="restart"/>
            <w:vAlign w:val="bottom"/>
          </w:tcPr>
          <w:p w:rsidR="00AC12B4" w:rsidRDefault="00C27636">
            <w:pPr>
              <w:rPr>
                <w:sz w:val="20"/>
                <w:szCs w:val="20"/>
              </w:rPr>
            </w:pPr>
            <w:r>
              <w:rPr>
                <w:rFonts w:ascii="Calibri" w:eastAsia="Calibri" w:hAnsi="Calibri" w:cs="Calibri"/>
              </w:rPr>
              <w:t>fonction de l’origine</w:t>
            </w:r>
          </w:p>
        </w:tc>
        <w:tc>
          <w:tcPr>
            <w:tcW w:w="600" w:type="dxa"/>
            <w:vMerge w:val="restart"/>
            <w:tcBorders>
              <w:right w:val="single" w:sz="8" w:space="0" w:color="8BCCEC"/>
            </w:tcBorders>
            <w:vAlign w:val="bottom"/>
          </w:tcPr>
          <w:p w:rsidR="00AC12B4" w:rsidRDefault="00C27636">
            <w:pPr>
              <w:ind w:right="170"/>
              <w:jc w:val="right"/>
              <w:rPr>
                <w:sz w:val="20"/>
                <w:szCs w:val="20"/>
              </w:rPr>
            </w:pPr>
            <w:r>
              <w:rPr>
                <w:rFonts w:ascii="Calibri" w:eastAsia="Calibri" w:hAnsi="Calibri" w:cs="Calibri"/>
              </w:rPr>
              <w:t>est</w:t>
            </w:r>
          </w:p>
        </w:tc>
        <w:tc>
          <w:tcPr>
            <w:tcW w:w="500" w:type="dxa"/>
            <w:vAlign w:val="bottom"/>
          </w:tcPr>
          <w:p w:rsidR="00AC12B4" w:rsidRDefault="00AC12B4">
            <w:pPr>
              <w:rPr>
                <w:sz w:val="16"/>
                <w:szCs w:val="16"/>
              </w:rPr>
            </w:pPr>
          </w:p>
        </w:tc>
        <w:tc>
          <w:tcPr>
            <w:tcW w:w="460" w:type="dxa"/>
            <w:vMerge w:val="restart"/>
            <w:vAlign w:val="bottom"/>
          </w:tcPr>
          <w:p w:rsidR="00AC12B4" w:rsidRDefault="00C27636">
            <w:pPr>
              <w:ind w:right="21"/>
              <w:jc w:val="right"/>
              <w:rPr>
                <w:sz w:val="20"/>
                <w:szCs w:val="20"/>
              </w:rPr>
            </w:pPr>
            <w:r>
              <w:rPr>
                <w:rFonts w:ascii="Calibri" w:eastAsia="Calibri" w:hAnsi="Calibri" w:cs="Calibri"/>
                <w:sz w:val="20"/>
                <w:szCs w:val="20"/>
              </w:rPr>
              <w:t>140</w:t>
            </w:r>
          </w:p>
        </w:tc>
        <w:tc>
          <w:tcPr>
            <w:tcW w:w="60" w:type="dxa"/>
            <w:tcBorders>
              <w:bottom w:val="single" w:sz="8" w:space="0" w:color="868686"/>
            </w:tcBorders>
            <w:vAlign w:val="bottom"/>
          </w:tcPr>
          <w:p w:rsidR="00AC12B4" w:rsidRDefault="00AC12B4">
            <w:pPr>
              <w:rPr>
                <w:sz w:val="16"/>
                <w:szCs w:val="16"/>
              </w:rPr>
            </w:pPr>
          </w:p>
        </w:tc>
        <w:tc>
          <w:tcPr>
            <w:tcW w:w="580" w:type="dxa"/>
            <w:tcBorders>
              <w:bottom w:val="single" w:sz="8" w:space="0" w:color="868686"/>
            </w:tcBorders>
            <w:vAlign w:val="bottom"/>
          </w:tcPr>
          <w:p w:rsidR="00AC12B4" w:rsidRDefault="00AC12B4">
            <w:pPr>
              <w:rPr>
                <w:sz w:val="16"/>
                <w:szCs w:val="16"/>
              </w:rPr>
            </w:pPr>
          </w:p>
        </w:tc>
        <w:tc>
          <w:tcPr>
            <w:tcW w:w="10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62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62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300" w:type="dxa"/>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680" w:type="dxa"/>
            <w:tcBorders>
              <w:right w:val="single" w:sz="8" w:space="0" w:color="8BCCEC"/>
            </w:tcBorders>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92"/>
        </w:trPr>
        <w:tc>
          <w:tcPr>
            <w:tcW w:w="2040" w:type="dxa"/>
            <w:gridSpan w:val="4"/>
            <w:vMerge/>
            <w:vAlign w:val="bottom"/>
          </w:tcPr>
          <w:p w:rsidR="00AC12B4" w:rsidRDefault="00AC12B4">
            <w:pPr>
              <w:rPr>
                <w:sz w:val="7"/>
                <w:szCs w:val="7"/>
              </w:rPr>
            </w:pPr>
          </w:p>
        </w:tc>
        <w:tc>
          <w:tcPr>
            <w:tcW w:w="600" w:type="dxa"/>
            <w:vMerge/>
            <w:tcBorders>
              <w:right w:val="single" w:sz="8" w:space="0" w:color="8BCCEC"/>
            </w:tcBorders>
            <w:vAlign w:val="bottom"/>
          </w:tcPr>
          <w:p w:rsidR="00AC12B4" w:rsidRDefault="00AC12B4">
            <w:pPr>
              <w:rPr>
                <w:sz w:val="7"/>
                <w:szCs w:val="7"/>
              </w:rPr>
            </w:pPr>
          </w:p>
        </w:tc>
        <w:tc>
          <w:tcPr>
            <w:tcW w:w="500" w:type="dxa"/>
            <w:vAlign w:val="bottom"/>
          </w:tcPr>
          <w:p w:rsidR="00AC12B4" w:rsidRDefault="00AC12B4">
            <w:pPr>
              <w:rPr>
                <w:sz w:val="7"/>
                <w:szCs w:val="7"/>
              </w:rPr>
            </w:pPr>
          </w:p>
        </w:tc>
        <w:tc>
          <w:tcPr>
            <w:tcW w:w="460" w:type="dxa"/>
            <w:vMerge/>
            <w:vAlign w:val="bottom"/>
          </w:tcPr>
          <w:p w:rsidR="00AC12B4" w:rsidRDefault="00AC12B4">
            <w:pPr>
              <w:rPr>
                <w:sz w:val="7"/>
                <w:szCs w:val="7"/>
              </w:rPr>
            </w:pPr>
          </w:p>
        </w:tc>
        <w:tc>
          <w:tcPr>
            <w:tcW w:w="60" w:type="dxa"/>
            <w:tcBorders>
              <w:right w:val="single" w:sz="8" w:space="0" w:color="868686"/>
            </w:tcBorders>
            <w:vAlign w:val="bottom"/>
          </w:tcPr>
          <w:p w:rsidR="00AC12B4" w:rsidRDefault="00AC12B4">
            <w:pPr>
              <w:rPr>
                <w:sz w:val="7"/>
                <w:szCs w:val="7"/>
              </w:rPr>
            </w:pPr>
          </w:p>
        </w:tc>
        <w:tc>
          <w:tcPr>
            <w:tcW w:w="580" w:type="dxa"/>
            <w:vAlign w:val="bottom"/>
          </w:tcPr>
          <w:p w:rsidR="00AC12B4" w:rsidRDefault="00AC12B4">
            <w:pPr>
              <w:rPr>
                <w:sz w:val="7"/>
                <w:szCs w:val="7"/>
              </w:rPr>
            </w:pPr>
          </w:p>
        </w:tc>
        <w:tc>
          <w:tcPr>
            <w:tcW w:w="10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680" w:type="dxa"/>
            <w:tcBorders>
              <w:right w:val="single" w:sz="8" w:space="0" w:color="8BCCEC"/>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83"/>
        </w:trPr>
        <w:tc>
          <w:tcPr>
            <w:tcW w:w="2640" w:type="dxa"/>
            <w:gridSpan w:val="5"/>
            <w:vMerge w:val="restart"/>
            <w:tcBorders>
              <w:right w:val="single" w:sz="8" w:space="0" w:color="8BCCEC"/>
            </w:tcBorders>
            <w:vAlign w:val="bottom"/>
          </w:tcPr>
          <w:p w:rsidR="00AC12B4" w:rsidRDefault="00C27636">
            <w:pPr>
              <w:spacing w:line="252" w:lineRule="exact"/>
              <w:rPr>
                <w:sz w:val="20"/>
                <w:szCs w:val="20"/>
              </w:rPr>
            </w:pPr>
            <w:r>
              <w:rPr>
                <w:rFonts w:ascii="Calibri" w:eastAsia="Calibri" w:hAnsi="Calibri" w:cs="Calibri"/>
              </w:rPr>
              <w:t>particulièrement marquée</w:t>
            </w:r>
          </w:p>
        </w:tc>
        <w:tc>
          <w:tcPr>
            <w:tcW w:w="500" w:type="dxa"/>
            <w:vMerge w:val="restart"/>
            <w:textDirection w:val="btLr"/>
            <w:vAlign w:val="bottom"/>
          </w:tcPr>
          <w:p w:rsidR="00AC12B4" w:rsidRDefault="00C27636">
            <w:pPr>
              <w:ind w:left="256"/>
              <w:rPr>
                <w:sz w:val="20"/>
                <w:szCs w:val="20"/>
              </w:rPr>
            </w:pPr>
            <w:r>
              <w:rPr>
                <w:rFonts w:ascii="Calibri" w:eastAsia="Calibri" w:hAnsi="Calibri" w:cs="Calibri"/>
                <w:b/>
                <w:bCs/>
                <w:w w:val="99"/>
                <w:sz w:val="20"/>
                <w:szCs w:val="20"/>
              </w:rPr>
              <w:t>score</w:t>
            </w:r>
          </w:p>
        </w:tc>
        <w:tc>
          <w:tcPr>
            <w:tcW w:w="460" w:type="dxa"/>
            <w:vMerge w:val="restart"/>
            <w:vAlign w:val="bottom"/>
          </w:tcPr>
          <w:p w:rsidR="00AC12B4" w:rsidRDefault="00C27636">
            <w:pPr>
              <w:ind w:right="21"/>
              <w:jc w:val="right"/>
              <w:rPr>
                <w:sz w:val="20"/>
                <w:szCs w:val="20"/>
              </w:rPr>
            </w:pPr>
            <w:r>
              <w:rPr>
                <w:rFonts w:ascii="Calibri" w:eastAsia="Calibri" w:hAnsi="Calibri" w:cs="Calibri"/>
                <w:sz w:val="20"/>
                <w:szCs w:val="20"/>
              </w:rPr>
              <w:t>120</w:t>
            </w:r>
          </w:p>
        </w:tc>
        <w:tc>
          <w:tcPr>
            <w:tcW w:w="60" w:type="dxa"/>
            <w:tcBorders>
              <w:bottom w:val="single" w:sz="8" w:space="0" w:color="868686"/>
              <w:right w:val="single" w:sz="8" w:space="0" w:color="868686"/>
            </w:tcBorders>
            <w:vAlign w:val="bottom"/>
          </w:tcPr>
          <w:p w:rsidR="00AC12B4" w:rsidRDefault="00AC12B4">
            <w:pPr>
              <w:rPr>
                <w:sz w:val="15"/>
                <w:szCs w:val="15"/>
              </w:rPr>
            </w:pPr>
          </w:p>
        </w:tc>
        <w:tc>
          <w:tcPr>
            <w:tcW w:w="580" w:type="dxa"/>
            <w:tcBorders>
              <w:bottom w:val="single" w:sz="8" w:space="0" w:color="868686"/>
            </w:tcBorders>
            <w:vAlign w:val="bottom"/>
          </w:tcPr>
          <w:p w:rsidR="00AC12B4" w:rsidRDefault="00AC12B4">
            <w:pPr>
              <w:rPr>
                <w:sz w:val="15"/>
                <w:szCs w:val="15"/>
              </w:rPr>
            </w:pPr>
          </w:p>
        </w:tc>
        <w:tc>
          <w:tcPr>
            <w:tcW w:w="104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162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162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680" w:type="dxa"/>
            <w:tcBorders>
              <w:right w:val="single" w:sz="8" w:space="0" w:color="8BCCEC"/>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3"/>
        </w:trPr>
        <w:tc>
          <w:tcPr>
            <w:tcW w:w="2640" w:type="dxa"/>
            <w:gridSpan w:val="5"/>
            <w:vMerge/>
            <w:tcBorders>
              <w:right w:val="single" w:sz="8" w:space="0" w:color="8BCCEC"/>
            </w:tcBorders>
            <w:vAlign w:val="bottom"/>
          </w:tcPr>
          <w:p w:rsidR="00AC12B4" w:rsidRDefault="00AC12B4">
            <w:pPr>
              <w:rPr>
                <w:sz w:val="8"/>
                <w:szCs w:val="8"/>
              </w:rPr>
            </w:pPr>
          </w:p>
        </w:tc>
        <w:tc>
          <w:tcPr>
            <w:tcW w:w="500" w:type="dxa"/>
            <w:vMerge/>
            <w:vAlign w:val="bottom"/>
          </w:tcPr>
          <w:p w:rsidR="00AC12B4" w:rsidRDefault="00AC12B4">
            <w:pPr>
              <w:rPr>
                <w:sz w:val="8"/>
                <w:szCs w:val="8"/>
              </w:rPr>
            </w:pPr>
          </w:p>
        </w:tc>
        <w:tc>
          <w:tcPr>
            <w:tcW w:w="460" w:type="dxa"/>
            <w:vMerge/>
            <w:vAlign w:val="bottom"/>
          </w:tcPr>
          <w:p w:rsidR="00AC12B4" w:rsidRDefault="00AC12B4">
            <w:pPr>
              <w:rPr>
                <w:sz w:val="8"/>
                <w:szCs w:val="8"/>
              </w:rPr>
            </w:pPr>
          </w:p>
        </w:tc>
        <w:tc>
          <w:tcPr>
            <w:tcW w:w="60" w:type="dxa"/>
            <w:tcBorders>
              <w:right w:val="single" w:sz="8" w:space="0" w:color="868686"/>
            </w:tcBorders>
            <w:vAlign w:val="bottom"/>
          </w:tcPr>
          <w:p w:rsidR="00AC12B4" w:rsidRDefault="00AC12B4">
            <w:pPr>
              <w:rPr>
                <w:sz w:val="8"/>
                <w:szCs w:val="8"/>
              </w:rPr>
            </w:pPr>
          </w:p>
        </w:tc>
        <w:tc>
          <w:tcPr>
            <w:tcW w:w="580" w:type="dxa"/>
            <w:vAlign w:val="bottom"/>
          </w:tcPr>
          <w:p w:rsidR="00AC12B4" w:rsidRDefault="00AC12B4">
            <w:pPr>
              <w:rPr>
                <w:sz w:val="8"/>
                <w:szCs w:val="8"/>
              </w:rPr>
            </w:pPr>
          </w:p>
        </w:tc>
        <w:tc>
          <w:tcPr>
            <w:tcW w:w="10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6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6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680" w:type="dxa"/>
            <w:tcBorders>
              <w:right w:val="single" w:sz="8" w:space="0" w:color="8BCCEC"/>
            </w:tcBorders>
            <w:vAlign w:val="bottom"/>
          </w:tcPr>
          <w:p w:rsidR="00AC12B4" w:rsidRDefault="00AC12B4">
            <w:pPr>
              <w:rPr>
                <w:sz w:val="8"/>
                <w:szCs w:val="8"/>
              </w:rPr>
            </w:pPr>
          </w:p>
        </w:tc>
        <w:tc>
          <w:tcPr>
            <w:tcW w:w="1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82"/>
        </w:trPr>
        <w:tc>
          <w:tcPr>
            <w:tcW w:w="2640" w:type="dxa"/>
            <w:gridSpan w:val="5"/>
            <w:vMerge w:val="restart"/>
            <w:tcBorders>
              <w:right w:val="single" w:sz="8" w:space="0" w:color="8BCCEC"/>
            </w:tcBorders>
            <w:vAlign w:val="bottom"/>
          </w:tcPr>
          <w:p w:rsidR="00AC12B4" w:rsidRDefault="00C27636">
            <w:pPr>
              <w:spacing w:line="224" w:lineRule="exact"/>
              <w:rPr>
                <w:sz w:val="20"/>
                <w:szCs w:val="20"/>
              </w:rPr>
            </w:pPr>
            <w:r>
              <w:rPr>
                <w:rFonts w:ascii="Calibri" w:eastAsia="Calibri" w:hAnsi="Calibri" w:cs="Calibri"/>
              </w:rPr>
              <w:t>en Flandre. La différence</w:t>
            </w:r>
          </w:p>
        </w:tc>
        <w:tc>
          <w:tcPr>
            <w:tcW w:w="500" w:type="dxa"/>
            <w:vMerge/>
            <w:vAlign w:val="bottom"/>
          </w:tcPr>
          <w:p w:rsidR="00AC12B4" w:rsidRDefault="00AC12B4">
            <w:pPr>
              <w:rPr>
                <w:sz w:val="15"/>
                <w:szCs w:val="15"/>
              </w:rPr>
            </w:pPr>
          </w:p>
        </w:tc>
        <w:tc>
          <w:tcPr>
            <w:tcW w:w="460" w:type="dxa"/>
            <w:vMerge w:val="restart"/>
            <w:vAlign w:val="bottom"/>
          </w:tcPr>
          <w:p w:rsidR="00AC12B4" w:rsidRDefault="00C27636">
            <w:pPr>
              <w:ind w:right="21"/>
              <w:jc w:val="right"/>
              <w:rPr>
                <w:sz w:val="20"/>
                <w:szCs w:val="20"/>
              </w:rPr>
            </w:pPr>
            <w:r>
              <w:rPr>
                <w:rFonts w:ascii="Calibri" w:eastAsia="Calibri" w:hAnsi="Calibri" w:cs="Calibri"/>
                <w:sz w:val="20"/>
                <w:szCs w:val="20"/>
              </w:rPr>
              <w:t>100</w:t>
            </w:r>
          </w:p>
        </w:tc>
        <w:tc>
          <w:tcPr>
            <w:tcW w:w="60" w:type="dxa"/>
            <w:tcBorders>
              <w:bottom w:val="single" w:sz="8" w:space="0" w:color="868686"/>
              <w:right w:val="single" w:sz="8" w:space="0" w:color="868686"/>
            </w:tcBorders>
            <w:vAlign w:val="bottom"/>
          </w:tcPr>
          <w:p w:rsidR="00AC12B4" w:rsidRDefault="00AC12B4">
            <w:pPr>
              <w:rPr>
                <w:sz w:val="15"/>
                <w:szCs w:val="15"/>
              </w:rPr>
            </w:pPr>
          </w:p>
        </w:tc>
        <w:tc>
          <w:tcPr>
            <w:tcW w:w="580" w:type="dxa"/>
            <w:tcBorders>
              <w:bottom w:val="single" w:sz="8" w:space="0" w:color="868686"/>
            </w:tcBorders>
            <w:vAlign w:val="bottom"/>
          </w:tcPr>
          <w:p w:rsidR="00AC12B4" w:rsidRDefault="00AC12B4">
            <w:pPr>
              <w:rPr>
                <w:sz w:val="15"/>
                <w:szCs w:val="15"/>
              </w:rPr>
            </w:pPr>
          </w:p>
        </w:tc>
        <w:tc>
          <w:tcPr>
            <w:tcW w:w="104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162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1620" w:type="dxa"/>
            <w:tcBorders>
              <w:bottom w:val="single" w:sz="8" w:space="0" w:color="868686"/>
            </w:tcBorders>
            <w:vAlign w:val="bottom"/>
          </w:tcPr>
          <w:p w:rsidR="00AC12B4" w:rsidRDefault="00AC12B4">
            <w:pPr>
              <w:rPr>
                <w:sz w:val="15"/>
                <w:szCs w:val="15"/>
              </w:rPr>
            </w:pPr>
          </w:p>
        </w:tc>
        <w:tc>
          <w:tcPr>
            <w:tcW w:w="20" w:type="dxa"/>
            <w:tcBorders>
              <w:bottom w:val="single" w:sz="8" w:space="0" w:color="868686"/>
            </w:tcBorders>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680" w:type="dxa"/>
            <w:tcBorders>
              <w:right w:val="single" w:sz="8" w:space="0" w:color="8BCCEC"/>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6"/>
        </w:trPr>
        <w:tc>
          <w:tcPr>
            <w:tcW w:w="2640" w:type="dxa"/>
            <w:gridSpan w:val="5"/>
            <w:vMerge/>
            <w:tcBorders>
              <w:right w:val="single" w:sz="8" w:space="0" w:color="8BCCEC"/>
            </w:tcBorders>
            <w:vAlign w:val="bottom"/>
          </w:tcPr>
          <w:p w:rsidR="00AC12B4" w:rsidRDefault="00AC12B4">
            <w:pPr>
              <w:rPr>
                <w:sz w:val="7"/>
                <w:szCs w:val="7"/>
              </w:rPr>
            </w:pPr>
          </w:p>
        </w:tc>
        <w:tc>
          <w:tcPr>
            <w:tcW w:w="500" w:type="dxa"/>
            <w:vMerge/>
            <w:vAlign w:val="bottom"/>
          </w:tcPr>
          <w:p w:rsidR="00AC12B4" w:rsidRDefault="00AC12B4">
            <w:pPr>
              <w:rPr>
                <w:sz w:val="7"/>
                <w:szCs w:val="7"/>
              </w:rPr>
            </w:pPr>
          </w:p>
        </w:tc>
        <w:tc>
          <w:tcPr>
            <w:tcW w:w="460" w:type="dxa"/>
            <w:vMerge/>
            <w:vAlign w:val="bottom"/>
          </w:tcPr>
          <w:p w:rsidR="00AC12B4" w:rsidRDefault="00AC12B4">
            <w:pPr>
              <w:rPr>
                <w:sz w:val="7"/>
                <w:szCs w:val="7"/>
              </w:rPr>
            </w:pPr>
          </w:p>
        </w:tc>
        <w:tc>
          <w:tcPr>
            <w:tcW w:w="60" w:type="dxa"/>
            <w:tcBorders>
              <w:right w:val="single" w:sz="8" w:space="0" w:color="868686"/>
            </w:tcBorders>
            <w:vAlign w:val="bottom"/>
          </w:tcPr>
          <w:p w:rsidR="00AC12B4" w:rsidRDefault="00AC12B4">
            <w:pPr>
              <w:rPr>
                <w:sz w:val="7"/>
                <w:szCs w:val="7"/>
              </w:rPr>
            </w:pPr>
          </w:p>
        </w:tc>
        <w:tc>
          <w:tcPr>
            <w:tcW w:w="580" w:type="dxa"/>
            <w:vAlign w:val="bottom"/>
          </w:tcPr>
          <w:p w:rsidR="00AC12B4" w:rsidRDefault="00AC12B4">
            <w:pPr>
              <w:rPr>
                <w:sz w:val="7"/>
                <w:szCs w:val="7"/>
              </w:rPr>
            </w:pPr>
          </w:p>
        </w:tc>
        <w:tc>
          <w:tcPr>
            <w:tcW w:w="10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680" w:type="dxa"/>
            <w:tcBorders>
              <w:right w:val="single" w:sz="8" w:space="0" w:color="8BCCEC"/>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92"/>
        </w:trPr>
        <w:tc>
          <w:tcPr>
            <w:tcW w:w="300" w:type="dxa"/>
            <w:vAlign w:val="bottom"/>
          </w:tcPr>
          <w:p w:rsidR="00AC12B4" w:rsidRDefault="00C27636">
            <w:pPr>
              <w:spacing w:line="192" w:lineRule="exact"/>
              <w:rPr>
                <w:sz w:val="20"/>
                <w:szCs w:val="20"/>
              </w:rPr>
            </w:pPr>
            <w:r>
              <w:rPr>
                <w:rFonts w:ascii="Calibri" w:eastAsia="Calibri" w:hAnsi="Calibri" w:cs="Calibri"/>
                <w:sz w:val="20"/>
                <w:szCs w:val="20"/>
              </w:rPr>
              <w:t>de</w:t>
            </w:r>
          </w:p>
        </w:tc>
        <w:tc>
          <w:tcPr>
            <w:tcW w:w="640" w:type="dxa"/>
            <w:vAlign w:val="bottom"/>
          </w:tcPr>
          <w:p w:rsidR="00AC12B4" w:rsidRDefault="00C27636">
            <w:pPr>
              <w:spacing w:line="192" w:lineRule="exact"/>
              <w:ind w:left="40"/>
              <w:rPr>
                <w:sz w:val="20"/>
                <w:szCs w:val="20"/>
              </w:rPr>
            </w:pPr>
            <w:r>
              <w:rPr>
                <w:rFonts w:ascii="Calibri" w:eastAsia="Calibri" w:hAnsi="Calibri" w:cs="Calibri"/>
                <w:sz w:val="20"/>
                <w:szCs w:val="20"/>
              </w:rPr>
              <w:t>score</w:t>
            </w:r>
          </w:p>
        </w:tc>
        <w:tc>
          <w:tcPr>
            <w:tcW w:w="500" w:type="dxa"/>
            <w:vAlign w:val="bottom"/>
          </w:tcPr>
          <w:p w:rsidR="00AC12B4" w:rsidRDefault="00C27636">
            <w:pPr>
              <w:spacing w:line="192" w:lineRule="exact"/>
              <w:jc w:val="right"/>
              <w:rPr>
                <w:sz w:val="20"/>
                <w:szCs w:val="20"/>
              </w:rPr>
            </w:pPr>
            <w:r>
              <w:rPr>
                <w:rFonts w:ascii="Calibri" w:eastAsia="Calibri" w:hAnsi="Calibri" w:cs="Calibri"/>
                <w:sz w:val="20"/>
                <w:szCs w:val="20"/>
              </w:rPr>
              <w:t>entre</w:t>
            </w:r>
          </w:p>
        </w:tc>
        <w:tc>
          <w:tcPr>
            <w:tcW w:w="1200" w:type="dxa"/>
            <w:gridSpan w:val="2"/>
            <w:tcBorders>
              <w:right w:val="single" w:sz="8" w:space="0" w:color="8BCCEC"/>
            </w:tcBorders>
            <w:vAlign w:val="bottom"/>
          </w:tcPr>
          <w:p w:rsidR="00AC12B4" w:rsidRDefault="00C27636">
            <w:pPr>
              <w:spacing w:line="192" w:lineRule="exact"/>
              <w:ind w:right="170"/>
              <w:jc w:val="right"/>
              <w:rPr>
                <w:sz w:val="20"/>
                <w:szCs w:val="20"/>
              </w:rPr>
            </w:pPr>
            <w:r>
              <w:rPr>
                <w:rFonts w:ascii="Calibri" w:eastAsia="Calibri" w:hAnsi="Calibri" w:cs="Calibri"/>
                <w:sz w:val="20"/>
                <w:szCs w:val="20"/>
              </w:rPr>
              <w:t>immigrés</w:t>
            </w:r>
          </w:p>
        </w:tc>
        <w:tc>
          <w:tcPr>
            <w:tcW w:w="500" w:type="dxa"/>
            <w:vMerge w:val="restart"/>
            <w:textDirection w:val="btLr"/>
            <w:vAlign w:val="bottom"/>
          </w:tcPr>
          <w:p w:rsidR="00AC12B4" w:rsidRDefault="00C27636">
            <w:pPr>
              <w:ind w:left="256"/>
              <w:rPr>
                <w:sz w:val="20"/>
                <w:szCs w:val="20"/>
              </w:rPr>
            </w:pPr>
            <w:r>
              <w:rPr>
                <w:rFonts w:ascii="Calibri" w:eastAsia="Calibri" w:hAnsi="Calibri" w:cs="Calibri"/>
                <w:b/>
                <w:bCs/>
                <w:sz w:val="20"/>
                <w:szCs w:val="20"/>
              </w:rPr>
              <w:t>de</w:t>
            </w:r>
          </w:p>
        </w:tc>
        <w:tc>
          <w:tcPr>
            <w:tcW w:w="460" w:type="dxa"/>
            <w:vMerge w:val="restart"/>
            <w:vAlign w:val="bottom"/>
          </w:tcPr>
          <w:p w:rsidR="00AC12B4" w:rsidRDefault="00C27636">
            <w:pPr>
              <w:ind w:right="41"/>
              <w:jc w:val="right"/>
              <w:rPr>
                <w:sz w:val="20"/>
                <w:szCs w:val="20"/>
              </w:rPr>
            </w:pPr>
            <w:r>
              <w:rPr>
                <w:rFonts w:ascii="Calibri" w:eastAsia="Calibri" w:hAnsi="Calibri" w:cs="Calibri"/>
                <w:sz w:val="20"/>
                <w:szCs w:val="20"/>
              </w:rPr>
              <w:t>80</w:t>
            </w:r>
          </w:p>
        </w:tc>
        <w:tc>
          <w:tcPr>
            <w:tcW w:w="60" w:type="dxa"/>
            <w:tcBorders>
              <w:bottom w:val="single" w:sz="8" w:space="0" w:color="868686"/>
              <w:right w:val="single" w:sz="8" w:space="0" w:color="868686"/>
            </w:tcBorders>
            <w:vAlign w:val="bottom"/>
          </w:tcPr>
          <w:p w:rsidR="00AC12B4" w:rsidRDefault="00AC12B4">
            <w:pPr>
              <w:rPr>
                <w:sz w:val="16"/>
                <w:szCs w:val="16"/>
              </w:rPr>
            </w:pPr>
          </w:p>
        </w:tc>
        <w:tc>
          <w:tcPr>
            <w:tcW w:w="580" w:type="dxa"/>
            <w:tcBorders>
              <w:bottom w:val="single" w:sz="8" w:space="0" w:color="868686"/>
            </w:tcBorders>
            <w:vAlign w:val="bottom"/>
          </w:tcPr>
          <w:p w:rsidR="00AC12B4" w:rsidRDefault="00AC12B4">
            <w:pPr>
              <w:rPr>
                <w:sz w:val="16"/>
                <w:szCs w:val="16"/>
              </w:rPr>
            </w:pPr>
          </w:p>
        </w:tc>
        <w:tc>
          <w:tcPr>
            <w:tcW w:w="10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62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62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300" w:type="dxa"/>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680" w:type="dxa"/>
            <w:tcBorders>
              <w:right w:val="single" w:sz="8" w:space="0" w:color="8BCCEC"/>
            </w:tcBorders>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rsidRPr="00C27636">
        <w:trPr>
          <w:trHeight w:val="45"/>
        </w:trPr>
        <w:tc>
          <w:tcPr>
            <w:tcW w:w="2640" w:type="dxa"/>
            <w:gridSpan w:val="5"/>
            <w:vMerge w:val="restart"/>
            <w:tcBorders>
              <w:right w:val="single" w:sz="8" w:space="0" w:color="8BCCEC"/>
            </w:tcBorders>
            <w:vAlign w:val="bottom"/>
          </w:tcPr>
          <w:p w:rsidR="00AC12B4" w:rsidRPr="00C27636" w:rsidRDefault="00C27636">
            <w:pPr>
              <w:spacing w:line="262" w:lineRule="exact"/>
              <w:rPr>
                <w:sz w:val="20"/>
                <w:szCs w:val="20"/>
                <w:lang w:val="fr-BE"/>
              </w:rPr>
            </w:pPr>
            <w:r w:rsidRPr="00C27636">
              <w:rPr>
                <w:rFonts w:ascii="Calibri" w:eastAsia="Calibri" w:hAnsi="Calibri" w:cs="Calibri"/>
                <w:lang w:val="fr-BE"/>
              </w:rPr>
              <w:t>de la première ou de la</w:t>
            </w:r>
          </w:p>
        </w:tc>
        <w:tc>
          <w:tcPr>
            <w:tcW w:w="500" w:type="dxa"/>
            <w:vMerge/>
            <w:vAlign w:val="bottom"/>
          </w:tcPr>
          <w:p w:rsidR="00AC12B4" w:rsidRPr="00C27636" w:rsidRDefault="00AC12B4">
            <w:pPr>
              <w:rPr>
                <w:sz w:val="3"/>
                <w:szCs w:val="3"/>
                <w:lang w:val="fr-BE"/>
              </w:rPr>
            </w:pPr>
          </w:p>
        </w:tc>
        <w:tc>
          <w:tcPr>
            <w:tcW w:w="460" w:type="dxa"/>
            <w:vMerge/>
            <w:vAlign w:val="bottom"/>
          </w:tcPr>
          <w:p w:rsidR="00AC12B4" w:rsidRPr="00C27636" w:rsidRDefault="00AC12B4">
            <w:pPr>
              <w:rPr>
                <w:sz w:val="3"/>
                <w:szCs w:val="3"/>
                <w:lang w:val="fr-BE"/>
              </w:rPr>
            </w:pPr>
          </w:p>
        </w:tc>
        <w:tc>
          <w:tcPr>
            <w:tcW w:w="60" w:type="dxa"/>
            <w:tcBorders>
              <w:right w:val="single" w:sz="8" w:space="0" w:color="868686"/>
            </w:tcBorders>
            <w:vAlign w:val="bottom"/>
          </w:tcPr>
          <w:p w:rsidR="00AC12B4" w:rsidRPr="00C27636" w:rsidRDefault="00AC12B4">
            <w:pPr>
              <w:rPr>
                <w:sz w:val="3"/>
                <w:szCs w:val="3"/>
                <w:lang w:val="fr-BE"/>
              </w:rPr>
            </w:pPr>
          </w:p>
        </w:tc>
        <w:tc>
          <w:tcPr>
            <w:tcW w:w="580" w:type="dxa"/>
            <w:vAlign w:val="bottom"/>
          </w:tcPr>
          <w:p w:rsidR="00AC12B4" w:rsidRPr="00C27636" w:rsidRDefault="00AC12B4">
            <w:pPr>
              <w:rPr>
                <w:sz w:val="3"/>
                <w:szCs w:val="3"/>
                <w:lang w:val="fr-BE"/>
              </w:rPr>
            </w:pPr>
          </w:p>
        </w:tc>
        <w:tc>
          <w:tcPr>
            <w:tcW w:w="1040" w:type="dxa"/>
            <w:vAlign w:val="bottom"/>
          </w:tcPr>
          <w:p w:rsidR="00AC12B4" w:rsidRPr="00C27636" w:rsidRDefault="00AC12B4">
            <w:pPr>
              <w:rPr>
                <w:sz w:val="3"/>
                <w:szCs w:val="3"/>
                <w:lang w:val="fr-BE"/>
              </w:rPr>
            </w:pPr>
          </w:p>
        </w:tc>
        <w:tc>
          <w:tcPr>
            <w:tcW w:w="20" w:type="dxa"/>
            <w:vAlign w:val="bottom"/>
          </w:tcPr>
          <w:p w:rsidR="00AC12B4" w:rsidRPr="00C27636" w:rsidRDefault="00AC12B4">
            <w:pPr>
              <w:rPr>
                <w:sz w:val="3"/>
                <w:szCs w:val="3"/>
                <w:lang w:val="fr-BE"/>
              </w:rPr>
            </w:pPr>
          </w:p>
        </w:tc>
        <w:tc>
          <w:tcPr>
            <w:tcW w:w="1620" w:type="dxa"/>
            <w:vAlign w:val="bottom"/>
          </w:tcPr>
          <w:p w:rsidR="00AC12B4" w:rsidRPr="00C27636" w:rsidRDefault="00AC12B4">
            <w:pPr>
              <w:rPr>
                <w:sz w:val="3"/>
                <w:szCs w:val="3"/>
                <w:lang w:val="fr-BE"/>
              </w:rPr>
            </w:pPr>
          </w:p>
        </w:tc>
        <w:tc>
          <w:tcPr>
            <w:tcW w:w="20" w:type="dxa"/>
            <w:vAlign w:val="bottom"/>
          </w:tcPr>
          <w:p w:rsidR="00AC12B4" w:rsidRPr="00C27636" w:rsidRDefault="00AC12B4">
            <w:pPr>
              <w:rPr>
                <w:sz w:val="3"/>
                <w:szCs w:val="3"/>
                <w:lang w:val="fr-BE"/>
              </w:rPr>
            </w:pPr>
          </w:p>
        </w:tc>
        <w:tc>
          <w:tcPr>
            <w:tcW w:w="1620" w:type="dxa"/>
            <w:vAlign w:val="bottom"/>
          </w:tcPr>
          <w:p w:rsidR="00AC12B4" w:rsidRPr="00C27636" w:rsidRDefault="00AC12B4">
            <w:pPr>
              <w:rPr>
                <w:sz w:val="3"/>
                <w:szCs w:val="3"/>
                <w:lang w:val="fr-BE"/>
              </w:rPr>
            </w:pPr>
          </w:p>
        </w:tc>
        <w:tc>
          <w:tcPr>
            <w:tcW w:w="20" w:type="dxa"/>
            <w:vAlign w:val="bottom"/>
          </w:tcPr>
          <w:p w:rsidR="00AC12B4" w:rsidRPr="00C27636" w:rsidRDefault="00AC12B4">
            <w:pPr>
              <w:rPr>
                <w:sz w:val="3"/>
                <w:szCs w:val="3"/>
                <w:lang w:val="fr-BE"/>
              </w:rPr>
            </w:pPr>
          </w:p>
        </w:tc>
        <w:tc>
          <w:tcPr>
            <w:tcW w:w="300" w:type="dxa"/>
            <w:vAlign w:val="bottom"/>
          </w:tcPr>
          <w:p w:rsidR="00AC12B4" w:rsidRPr="00C27636" w:rsidRDefault="00AC12B4">
            <w:pPr>
              <w:rPr>
                <w:sz w:val="3"/>
                <w:szCs w:val="3"/>
                <w:lang w:val="fr-BE"/>
              </w:rPr>
            </w:pPr>
          </w:p>
        </w:tc>
        <w:tc>
          <w:tcPr>
            <w:tcW w:w="100" w:type="dxa"/>
            <w:vAlign w:val="bottom"/>
          </w:tcPr>
          <w:p w:rsidR="00AC12B4" w:rsidRPr="00C27636" w:rsidRDefault="00AC12B4">
            <w:pPr>
              <w:rPr>
                <w:sz w:val="3"/>
                <w:szCs w:val="3"/>
                <w:lang w:val="fr-BE"/>
              </w:rPr>
            </w:pPr>
          </w:p>
        </w:tc>
        <w:tc>
          <w:tcPr>
            <w:tcW w:w="680" w:type="dxa"/>
            <w:tcBorders>
              <w:right w:val="single" w:sz="8" w:space="0" w:color="8BCCEC"/>
            </w:tcBorders>
            <w:vAlign w:val="bottom"/>
          </w:tcPr>
          <w:p w:rsidR="00AC12B4" w:rsidRPr="00C27636" w:rsidRDefault="00AC12B4">
            <w:pPr>
              <w:rPr>
                <w:sz w:val="3"/>
                <w:szCs w:val="3"/>
                <w:lang w:val="fr-BE"/>
              </w:rPr>
            </w:pPr>
          </w:p>
        </w:tc>
        <w:tc>
          <w:tcPr>
            <w:tcW w:w="100" w:type="dxa"/>
            <w:vAlign w:val="bottom"/>
          </w:tcPr>
          <w:p w:rsidR="00AC12B4" w:rsidRPr="00C27636" w:rsidRDefault="00AC12B4">
            <w:pPr>
              <w:rPr>
                <w:sz w:val="3"/>
                <w:szCs w:val="3"/>
                <w:lang w:val="fr-BE"/>
              </w:rPr>
            </w:pPr>
          </w:p>
        </w:tc>
        <w:tc>
          <w:tcPr>
            <w:tcW w:w="0" w:type="dxa"/>
            <w:vAlign w:val="bottom"/>
          </w:tcPr>
          <w:p w:rsidR="00AC12B4" w:rsidRPr="00C27636" w:rsidRDefault="00AC12B4">
            <w:pPr>
              <w:rPr>
                <w:sz w:val="1"/>
                <w:szCs w:val="1"/>
                <w:lang w:val="fr-BE"/>
              </w:rPr>
            </w:pPr>
          </w:p>
        </w:tc>
      </w:tr>
      <w:tr w:rsidR="00AC12B4">
        <w:trPr>
          <w:trHeight w:val="230"/>
        </w:trPr>
        <w:tc>
          <w:tcPr>
            <w:tcW w:w="2640" w:type="dxa"/>
            <w:gridSpan w:val="5"/>
            <w:vMerge/>
            <w:tcBorders>
              <w:right w:val="single" w:sz="8" w:space="0" w:color="8BCCEC"/>
            </w:tcBorders>
            <w:vAlign w:val="bottom"/>
          </w:tcPr>
          <w:p w:rsidR="00AC12B4" w:rsidRPr="00C27636" w:rsidRDefault="00AC12B4">
            <w:pPr>
              <w:rPr>
                <w:sz w:val="19"/>
                <w:szCs w:val="19"/>
                <w:lang w:val="fr-BE"/>
              </w:rPr>
            </w:pPr>
          </w:p>
        </w:tc>
        <w:tc>
          <w:tcPr>
            <w:tcW w:w="500" w:type="dxa"/>
            <w:textDirection w:val="btLr"/>
            <w:vAlign w:val="bottom"/>
          </w:tcPr>
          <w:p w:rsidR="00AC12B4" w:rsidRDefault="00C27636">
            <w:pPr>
              <w:ind w:left="373"/>
              <w:rPr>
                <w:sz w:val="20"/>
                <w:szCs w:val="20"/>
              </w:rPr>
            </w:pPr>
            <w:r>
              <w:rPr>
                <w:rFonts w:ascii="Calibri" w:eastAsia="Calibri" w:hAnsi="Calibri" w:cs="Calibri"/>
                <w:b/>
                <w:bCs/>
                <w:w w:val="74"/>
                <w:sz w:val="7"/>
                <w:szCs w:val="7"/>
              </w:rPr>
              <w:t>différence</w:t>
            </w:r>
          </w:p>
        </w:tc>
        <w:tc>
          <w:tcPr>
            <w:tcW w:w="460" w:type="dxa"/>
            <w:vAlign w:val="bottom"/>
          </w:tcPr>
          <w:p w:rsidR="00AC12B4" w:rsidRDefault="00C27636">
            <w:pPr>
              <w:spacing w:line="230" w:lineRule="exact"/>
              <w:ind w:right="41"/>
              <w:jc w:val="right"/>
              <w:rPr>
                <w:sz w:val="20"/>
                <w:szCs w:val="20"/>
              </w:rPr>
            </w:pPr>
            <w:r>
              <w:rPr>
                <w:rFonts w:ascii="Calibri" w:eastAsia="Calibri" w:hAnsi="Calibri" w:cs="Calibri"/>
                <w:sz w:val="20"/>
                <w:szCs w:val="20"/>
              </w:rPr>
              <w:t>20</w:t>
            </w:r>
          </w:p>
        </w:tc>
        <w:tc>
          <w:tcPr>
            <w:tcW w:w="60" w:type="dxa"/>
            <w:tcBorders>
              <w:bottom w:val="single" w:sz="8" w:space="0" w:color="868686"/>
              <w:right w:val="single" w:sz="8" w:space="0" w:color="868686"/>
            </w:tcBorders>
            <w:vAlign w:val="bottom"/>
          </w:tcPr>
          <w:p w:rsidR="00AC12B4" w:rsidRDefault="00AC12B4">
            <w:pPr>
              <w:rPr>
                <w:sz w:val="19"/>
                <w:szCs w:val="19"/>
              </w:rPr>
            </w:pPr>
          </w:p>
        </w:tc>
        <w:tc>
          <w:tcPr>
            <w:tcW w:w="580" w:type="dxa"/>
            <w:tcBorders>
              <w:bottom w:val="single" w:sz="8" w:space="0" w:color="868686"/>
            </w:tcBorders>
            <w:vAlign w:val="bottom"/>
          </w:tcPr>
          <w:p w:rsidR="00AC12B4" w:rsidRDefault="00AC12B4">
            <w:pPr>
              <w:rPr>
                <w:sz w:val="19"/>
                <w:szCs w:val="19"/>
              </w:rPr>
            </w:pPr>
          </w:p>
        </w:tc>
        <w:tc>
          <w:tcPr>
            <w:tcW w:w="104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162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162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680" w:type="dxa"/>
            <w:tcBorders>
              <w:right w:val="single" w:sz="8" w:space="0" w:color="8BCCEC"/>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77"/>
        </w:trPr>
        <w:tc>
          <w:tcPr>
            <w:tcW w:w="940" w:type="dxa"/>
            <w:gridSpan w:val="2"/>
            <w:vMerge w:val="restart"/>
            <w:vAlign w:val="bottom"/>
          </w:tcPr>
          <w:p w:rsidR="00AC12B4" w:rsidRDefault="00C27636">
            <w:pPr>
              <w:spacing w:line="237" w:lineRule="exact"/>
              <w:rPr>
                <w:sz w:val="20"/>
                <w:szCs w:val="20"/>
              </w:rPr>
            </w:pPr>
            <w:r>
              <w:rPr>
                <w:rFonts w:ascii="Calibri" w:eastAsia="Calibri" w:hAnsi="Calibri" w:cs="Calibri"/>
              </w:rPr>
              <w:t>deuxième</w:t>
            </w:r>
          </w:p>
        </w:tc>
        <w:tc>
          <w:tcPr>
            <w:tcW w:w="1100" w:type="dxa"/>
            <w:gridSpan w:val="2"/>
            <w:vMerge w:val="restart"/>
            <w:vAlign w:val="bottom"/>
          </w:tcPr>
          <w:p w:rsidR="00AC12B4" w:rsidRDefault="00C27636">
            <w:pPr>
              <w:spacing w:line="237" w:lineRule="exact"/>
              <w:jc w:val="right"/>
              <w:rPr>
                <w:sz w:val="20"/>
                <w:szCs w:val="20"/>
              </w:rPr>
            </w:pPr>
            <w:r>
              <w:rPr>
                <w:rFonts w:ascii="Calibri" w:eastAsia="Calibri" w:hAnsi="Calibri" w:cs="Calibri"/>
              </w:rPr>
              <w:t>génération</w:t>
            </w:r>
          </w:p>
        </w:tc>
        <w:tc>
          <w:tcPr>
            <w:tcW w:w="600" w:type="dxa"/>
            <w:vMerge w:val="restart"/>
            <w:tcBorders>
              <w:right w:val="single" w:sz="8" w:space="0" w:color="8BCCEC"/>
            </w:tcBorders>
            <w:vAlign w:val="bottom"/>
          </w:tcPr>
          <w:p w:rsidR="00AC12B4" w:rsidRDefault="00C27636">
            <w:pPr>
              <w:spacing w:line="237" w:lineRule="exact"/>
              <w:ind w:right="170"/>
              <w:jc w:val="right"/>
              <w:rPr>
                <w:sz w:val="20"/>
                <w:szCs w:val="20"/>
              </w:rPr>
            </w:pPr>
            <w:r>
              <w:rPr>
                <w:rFonts w:ascii="Calibri" w:eastAsia="Calibri" w:hAnsi="Calibri" w:cs="Calibri"/>
              </w:rPr>
              <w:t>et</w:t>
            </w:r>
          </w:p>
        </w:tc>
        <w:tc>
          <w:tcPr>
            <w:tcW w:w="500" w:type="dxa"/>
            <w:vAlign w:val="bottom"/>
          </w:tcPr>
          <w:p w:rsidR="00AC12B4" w:rsidRDefault="00AC12B4">
            <w:pPr>
              <w:rPr>
                <w:sz w:val="15"/>
                <w:szCs w:val="15"/>
              </w:rPr>
            </w:pPr>
          </w:p>
        </w:tc>
        <w:tc>
          <w:tcPr>
            <w:tcW w:w="460" w:type="dxa"/>
            <w:vAlign w:val="bottom"/>
          </w:tcPr>
          <w:p w:rsidR="00AC12B4" w:rsidRDefault="00C27636">
            <w:pPr>
              <w:spacing w:line="177" w:lineRule="exact"/>
              <w:ind w:right="41"/>
              <w:jc w:val="right"/>
              <w:rPr>
                <w:sz w:val="20"/>
                <w:szCs w:val="20"/>
              </w:rPr>
            </w:pPr>
            <w:r>
              <w:rPr>
                <w:rFonts w:ascii="Calibri" w:eastAsia="Calibri" w:hAnsi="Calibri" w:cs="Calibri"/>
                <w:sz w:val="19"/>
                <w:szCs w:val="19"/>
              </w:rPr>
              <w:t>60</w:t>
            </w:r>
          </w:p>
        </w:tc>
        <w:tc>
          <w:tcPr>
            <w:tcW w:w="60" w:type="dxa"/>
            <w:tcBorders>
              <w:right w:val="single" w:sz="8" w:space="0" w:color="868686"/>
            </w:tcBorders>
            <w:vAlign w:val="bottom"/>
          </w:tcPr>
          <w:p w:rsidR="00AC12B4" w:rsidRDefault="00AC12B4">
            <w:pPr>
              <w:rPr>
                <w:sz w:val="15"/>
                <w:szCs w:val="15"/>
              </w:rPr>
            </w:pPr>
          </w:p>
        </w:tc>
        <w:tc>
          <w:tcPr>
            <w:tcW w:w="580" w:type="dxa"/>
            <w:vAlign w:val="bottom"/>
          </w:tcPr>
          <w:p w:rsidR="00AC12B4" w:rsidRDefault="00AC12B4">
            <w:pPr>
              <w:rPr>
                <w:sz w:val="15"/>
                <w:szCs w:val="15"/>
              </w:rPr>
            </w:pPr>
          </w:p>
        </w:tc>
        <w:tc>
          <w:tcPr>
            <w:tcW w:w="104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62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62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680" w:type="dxa"/>
            <w:tcBorders>
              <w:right w:val="single" w:sz="8" w:space="0" w:color="8BCCEC"/>
            </w:tcBorders>
            <w:vAlign w:val="bottom"/>
          </w:tcPr>
          <w:p w:rsidR="00AC12B4" w:rsidRDefault="00AC12B4">
            <w:pPr>
              <w:rPr>
                <w:sz w:val="15"/>
                <w:szCs w:val="15"/>
              </w:rPr>
            </w:pPr>
          </w:p>
        </w:tc>
        <w:tc>
          <w:tcPr>
            <w:tcW w:w="10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59"/>
        </w:trPr>
        <w:tc>
          <w:tcPr>
            <w:tcW w:w="940" w:type="dxa"/>
            <w:gridSpan w:val="2"/>
            <w:vMerge/>
            <w:vAlign w:val="bottom"/>
          </w:tcPr>
          <w:p w:rsidR="00AC12B4" w:rsidRDefault="00AC12B4">
            <w:pPr>
              <w:rPr>
                <w:sz w:val="5"/>
                <w:szCs w:val="5"/>
              </w:rPr>
            </w:pPr>
          </w:p>
        </w:tc>
        <w:tc>
          <w:tcPr>
            <w:tcW w:w="1100" w:type="dxa"/>
            <w:gridSpan w:val="2"/>
            <w:vMerge/>
            <w:vAlign w:val="bottom"/>
          </w:tcPr>
          <w:p w:rsidR="00AC12B4" w:rsidRDefault="00AC12B4">
            <w:pPr>
              <w:rPr>
                <w:sz w:val="5"/>
                <w:szCs w:val="5"/>
              </w:rPr>
            </w:pPr>
          </w:p>
        </w:tc>
        <w:tc>
          <w:tcPr>
            <w:tcW w:w="600" w:type="dxa"/>
            <w:vMerge/>
            <w:tcBorders>
              <w:right w:val="single" w:sz="8" w:space="0" w:color="8BCCEC"/>
            </w:tcBorders>
            <w:vAlign w:val="bottom"/>
          </w:tcPr>
          <w:p w:rsidR="00AC12B4" w:rsidRDefault="00AC12B4">
            <w:pPr>
              <w:rPr>
                <w:sz w:val="5"/>
                <w:szCs w:val="5"/>
              </w:rPr>
            </w:pPr>
          </w:p>
        </w:tc>
        <w:tc>
          <w:tcPr>
            <w:tcW w:w="500" w:type="dxa"/>
            <w:vAlign w:val="bottom"/>
          </w:tcPr>
          <w:p w:rsidR="00AC12B4" w:rsidRDefault="00AC12B4">
            <w:pPr>
              <w:rPr>
                <w:sz w:val="5"/>
                <w:szCs w:val="5"/>
              </w:rPr>
            </w:pPr>
          </w:p>
        </w:tc>
        <w:tc>
          <w:tcPr>
            <w:tcW w:w="460" w:type="dxa"/>
            <w:vMerge w:val="restart"/>
            <w:vAlign w:val="bottom"/>
          </w:tcPr>
          <w:p w:rsidR="00AC12B4" w:rsidRDefault="00C27636">
            <w:pPr>
              <w:spacing w:line="213" w:lineRule="exact"/>
              <w:ind w:right="41"/>
              <w:jc w:val="right"/>
              <w:rPr>
                <w:sz w:val="20"/>
                <w:szCs w:val="20"/>
              </w:rPr>
            </w:pPr>
            <w:r>
              <w:rPr>
                <w:rFonts w:ascii="Calibri" w:eastAsia="Calibri" w:hAnsi="Calibri" w:cs="Calibri"/>
                <w:sz w:val="20"/>
                <w:szCs w:val="20"/>
              </w:rPr>
              <w:t>40</w:t>
            </w:r>
          </w:p>
        </w:tc>
        <w:tc>
          <w:tcPr>
            <w:tcW w:w="60" w:type="dxa"/>
            <w:tcBorders>
              <w:right w:val="single" w:sz="8" w:space="0" w:color="868686"/>
            </w:tcBorders>
            <w:vAlign w:val="bottom"/>
          </w:tcPr>
          <w:p w:rsidR="00AC12B4" w:rsidRDefault="00AC12B4">
            <w:pPr>
              <w:rPr>
                <w:sz w:val="5"/>
                <w:szCs w:val="5"/>
              </w:rPr>
            </w:pPr>
          </w:p>
        </w:tc>
        <w:tc>
          <w:tcPr>
            <w:tcW w:w="580" w:type="dxa"/>
            <w:vAlign w:val="bottom"/>
          </w:tcPr>
          <w:p w:rsidR="00AC12B4" w:rsidRDefault="00AC12B4">
            <w:pPr>
              <w:rPr>
                <w:sz w:val="5"/>
                <w:szCs w:val="5"/>
              </w:rPr>
            </w:pPr>
          </w:p>
        </w:tc>
        <w:tc>
          <w:tcPr>
            <w:tcW w:w="104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6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6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680" w:type="dxa"/>
            <w:tcBorders>
              <w:right w:val="single" w:sz="8" w:space="0" w:color="8BCCEC"/>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42"/>
        </w:trPr>
        <w:tc>
          <w:tcPr>
            <w:tcW w:w="2640" w:type="dxa"/>
            <w:gridSpan w:val="5"/>
            <w:vMerge w:val="restart"/>
            <w:tcBorders>
              <w:right w:val="single" w:sz="8" w:space="0" w:color="8BCCEC"/>
            </w:tcBorders>
            <w:vAlign w:val="bottom"/>
          </w:tcPr>
          <w:p w:rsidR="00AC12B4" w:rsidRDefault="00C27636">
            <w:pPr>
              <w:rPr>
                <w:sz w:val="20"/>
                <w:szCs w:val="20"/>
              </w:rPr>
            </w:pPr>
            <w:r>
              <w:rPr>
                <w:rFonts w:ascii="Calibri" w:eastAsia="Calibri" w:hAnsi="Calibri" w:cs="Calibri"/>
              </w:rPr>
              <w:t xml:space="preserve">les </w:t>
            </w:r>
            <w:r>
              <w:rPr>
                <w:rFonts w:ascii="Calibri" w:eastAsia="Calibri" w:hAnsi="Calibri" w:cs="Calibri"/>
              </w:rPr>
              <w:t xml:space="preserve">élèves d’origine </w:t>
            </w:r>
            <w:r>
              <w:rPr>
                <w:rFonts w:ascii="Calibri" w:eastAsia="Calibri" w:hAnsi="Calibri" w:cs="Calibri"/>
              </w:rPr>
              <w:lastRenderedPageBreak/>
              <w:t>belge</w:t>
            </w:r>
          </w:p>
        </w:tc>
        <w:tc>
          <w:tcPr>
            <w:tcW w:w="500" w:type="dxa"/>
            <w:vAlign w:val="bottom"/>
          </w:tcPr>
          <w:p w:rsidR="00AC12B4" w:rsidRDefault="00AC12B4">
            <w:pPr>
              <w:rPr>
                <w:sz w:val="3"/>
                <w:szCs w:val="3"/>
              </w:rPr>
            </w:pPr>
          </w:p>
        </w:tc>
        <w:tc>
          <w:tcPr>
            <w:tcW w:w="460" w:type="dxa"/>
            <w:vMerge/>
            <w:vAlign w:val="bottom"/>
          </w:tcPr>
          <w:p w:rsidR="00AC12B4" w:rsidRDefault="00AC12B4">
            <w:pPr>
              <w:rPr>
                <w:sz w:val="3"/>
                <w:szCs w:val="3"/>
              </w:rPr>
            </w:pPr>
          </w:p>
        </w:tc>
        <w:tc>
          <w:tcPr>
            <w:tcW w:w="60" w:type="dxa"/>
            <w:tcBorders>
              <w:bottom w:val="single" w:sz="8" w:space="0" w:color="868686"/>
              <w:right w:val="single" w:sz="8" w:space="0" w:color="868686"/>
            </w:tcBorders>
            <w:vAlign w:val="bottom"/>
          </w:tcPr>
          <w:p w:rsidR="00AC12B4" w:rsidRDefault="00AC12B4">
            <w:pPr>
              <w:rPr>
                <w:sz w:val="3"/>
                <w:szCs w:val="3"/>
              </w:rPr>
            </w:pPr>
          </w:p>
        </w:tc>
        <w:tc>
          <w:tcPr>
            <w:tcW w:w="580" w:type="dxa"/>
            <w:tcBorders>
              <w:bottom w:val="single" w:sz="8" w:space="0" w:color="868686"/>
            </w:tcBorders>
            <w:vAlign w:val="bottom"/>
          </w:tcPr>
          <w:p w:rsidR="00AC12B4" w:rsidRDefault="00AC12B4">
            <w:pPr>
              <w:rPr>
                <w:sz w:val="3"/>
                <w:szCs w:val="3"/>
              </w:rPr>
            </w:pPr>
          </w:p>
        </w:tc>
        <w:tc>
          <w:tcPr>
            <w:tcW w:w="10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62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62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300" w:type="dxa"/>
            <w:vAlign w:val="bottom"/>
          </w:tcPr>
          <w:p w:rsidR="00AC12B4" w:rsidRDefault="00AC12B4">
            <w:pPr>
              <w:rPr>
                <w:sz w:val="3"/>
                <w:szCs w:val="3"/>
              </w:rPr>
            </w:pPr>
          </w:p>
        </w:tc>
        <w:tc>
          <w:tcPr>
            <w:tcW w:w="100" w:type="dxa"/>
            <w:vAlign w:val="bottom"/>
          </w:tcPr>
          <w:p w:rsidR="00AC12B4" w:rsidRDefault="00AC12B4">
            <w:pPr>
              <w:rPr>
                <w:sz w:val="3"/>
                <w:szCs w:val="3"/>
              </w:rPr>
            </w:pPr>
          </w:p>
        </w:tc>
        <w:tc>
          <w:tcPr>
            <w:tcW w:w="680" w:type="dxa"/>
            <w:vMerge w:val="restart"/>
            <w:tcBorders>
              <w:right w:val="single" w:sz="8" w:space="0" w:color="8BCCEC"/>
            </w:tcBorders>
            <w:vAlign w:val="bottom"/>
          </w:tcPr>
          <w:p w:rsidR="00AC12B4" w:rsidRDefault="00C27636">
            <w:pPr>
              <w:ind w:right="120"/>
              <w:jc w:val="right"/>
              <w:rPr>
                <w:sz w:val="20"/>
                <w:szCs w:val="20"/>
              </w:rPr>
            </w:pPr>
            <w:r>
              <w:rPr>
                <w:rFonts w:ascii="Calibri" w:eastAsia="Calibri" w:hAnsi="Calibri" w:cs="Calibri"/>
                <w:sz w:val="20"/>
                <w:szCs w:val="20"/>
              </w:rPr>
              <w:t>2003</w:t>
            </w:r>
          </w:p>
        </w:tc>
        <w:tc>
          <w:tcPr>
            <w:tcW w:w="100" w:type="dxa"/>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23"/>
        </w:trPr>
        <w:tc>
          <w:tcPr>
            <w:tcW w:w="2640" w:type="dxa"/>
            <w:gridSpan w:val="5"/>
            <w:vMerge/>
            <w:tcBorders>
              <w:right w:val="single" w:sz="8" w:space="0" w:color="8BCCEC"/>
            </w:tcBorders>
            <w:vAlign w:val="bottom"/>
          </w:tcPr>
          <w:p w:rsidR="00AC12B4" w:rsidRDefault="00AC12B4">
            <w:pPr>
              <w:rPr>
                <w:sz w:val="2"/>
                <w:szCs w:val="2"/>
              </w:rPr>
            </w:pPr>
          </w:p>
        </w:tc>
        <w:tc>
          <w:tcPr>
            <w:tcW w:w="500" w:type="dxa"/>
            <w:vAlign w:val="bottom"/>
          </w:tcPr>
          <w:p w:rsidR="00AC12B4" w:rsidRDefault="00AC12B4">
            <w:pPr>
              <w:rPr>
                <w:sz w:val="2"/>
                <w:szCs w:val="2"/>
              </w:rPr>
            </w:pPr>
          </w:p>
        </w:tc>
        <w:tc>
          <w:tcPr>
            <w:tcW w:w="460" w:type="dxa"/>
            <w:vMerge/>
            <w:vAlign w:val="bottom"/>
          </w:tcPr>
          <w:p w:rsidR="00AC12B4" w:rsidRDefault="00AC12B4">
            <w:pPr>
              <w:rPr>
                <w:sz w:val="2"/>
                <w:szCs w:val="2"/>
              </w:rPr>
            </w:pPr>
          </w:p>
        </w:tc>
        <w:tc>
          <w:tcPr>
            <w:tcW w:w="60" w:type="dxa"/>
            <w:tcBorders>
              <w:right w:val="single" w:sz="8" w:space="0" w:color="868686"/>
            </w:tcBorders>
            <w:vAlign w:val="bottom"/>
          </w:tcPr>
          <w:p w:rsidR="00AC12B4" w:rsidRDefault="00AC12B4">
            <w:pPr>
              <w:rPr>
                <w:sz w:val="2"/>
                <w:szCs w:val="2"/>
              </w:rPr>
            </w:pPr>
          </w:p>
        </w:tc>
        <w:tc>
          <w:tcPr>
            <w:tcW w:w="580" w:type="dxa"/>
            <w:vAlign w:val="bottom"/>
          </w:tcPr>
          <w:p w:rsidR="00AC12B4" w:rsidRDefault="00AC12B4">
            <w:pPr>
              <w:rPr>
                <w:sz w:val="2"/>
                <w:szCs w:val="2"/>
              </w:rPr>
            </w:pPr>
          </w:p>
        </w:tc>
        <w:tc>
          <w:tcPr>
            <w:tcW w:w="104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62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62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300" w:type="dxa"/>
            <w:vAlign w:val="bottom"/>
          </w:tcPr>
          <w:p w:rsidR="00AC12B4" w:rsidRDefault="00AC12B4">
            <w:pPr>
              <w:rPr>
                <w:sz w:val="2"/>
                <w:szCs w:val="2"/>
              </w:rPr>
            </w:pPr>
          </w:p>
        </w:tc>
        <w:tc>
          <w:tcPr>
            <w:tcW w:w="100" w:type="dxa"/>
            <w:vAlign w:val="bottom"/>
          </w:tcPr>
          <w:p w:rsidR="00AC12B4" w:rsidRDefault="00AC12B4">
            <w:pPr>
              <w:rPr>
                <w:sz w:val="2"/>
                <w:szCs w:val="2"/>
              </w:rPr>
            </w:pPr>
          </w:p>
        </w:tc>
        <w:tc>
          <w:tcPr>
            <w:tcW w:w="680" w:type="dxa"/>
            <w:vMerge/>
            <w:tcBorders>
              <w:right w:val="single" w:sz="8" w:space="0" w:color="8BCCEC"/>
            </w:tcBorders>
            <w:vAlign w:val="bottom"/>
          </w:tcPr>
          <w:p w:rsidR="00AC12B4" w:rsidRDefault="00AC12B4">
            <w:pPr>
              <w:rPr>
                <w:sz w:val="2"/>
                <w:szCs w:val="2"/>
              </w:rPr>
            </w:pPr>
          </w:p>
        </w:tc>
        <w:tc>
          <w:tcPr>
            <w:tcW w:w="100" w:type="dxa"/>
            <w:vAlign w:val="bottom"/>
          </w:tcPr>
          <w:p w:rsidR="00AC12B4" w:rsidRDefault="00AC12B4">
            <w:pPr>
              <w:rPr>
                <w:sz w:val="2"/>
                <w:szCs w:val="2"/>
              </w:rPr>
            </w:pPr>
          </w:p>
        </w:tc>
        <w:tc>
          <w:tcPr>
            <w:tcW w:w="0" w:type="dxa"/>
            <w:vAlign w:val="bottom"/>
          </w:tcPr>
          <w:p w:rsidR="00AC12B4" w:rsidRDefault="00AC12B4">
            <w:pPr>
              <w:spacing w:line="20" w:lineRule="exact"/>
              <w:rPr>
                <w:sz w:val="1"/>
                <w:szCs w:val="1"/>
              </w:rPr>
            </w:pPr>
          </w:p>
        </w:tc>
      </w:tr>
      <w:tr w:rsidR="00AC12B4">
        <w:trPr>
          <w:trHeight w:val="88"/>
        </w:trPr>
        <w:tc>
          <w:tcPr>
            <w:tcW w:w="2640" w:type="dxa"/>
            <w:gridSpan w:val="5"/>
            <w:vMerge/>
            <w:tcBorders>
              <w:right w:val="single" w:sz="8" w:space="0" w:color="8BCCEC"/>
            </w:tcBorders>
            <w:vAlign w:val="bottom"/>
          </w:tcPr>
          <w:p w:rsidR="00AC12B4" w:rsidRDefault="00AC12B4">
            <w:pPr>
              <w:rPr>
                <w:sz w:val="7"/>
                <w:szCs w:val="7"/>
              </w:rPr>
            </w:pPr>
          </w:p>
        </w:tc>
        <w:tc>
          <w:tcPr>
            <w:tcW w:w="500" w:type="dxa"/>
            <w:vAlign w:val="bottom"/>
          </w:tcPr>
          <w:p w:rsidR="00AC12B4" w:rsidRDefault="00AC12B4">
            <w:pPr>
              <w:rPr>
                <w:sz w:val="7"/>
                <w:szCs w:val="7"/>
              </w:rPr>
            </w:pPr>
          </w:p>
        </w:tc>
        <w:tc>
          <w:tcPr>
            <w:tcW w:w="460" w:type="dxa"/>
            <w:vMerge/>
            <w:vAlign w:val="bottom"/>
          </w:tcPr>
          <w:p w:rsidR="00AC12B4" w:rsidRDefault="00AC12B4">
            <w:pPr>
              <w:rPr>
                <w:sz w:val="7"/>
                <w:szCs w:val="7"/>
              </w:rPr>
            </w:pPr>
          </w:p>
        </w:tc>
        <w:tc>
          <w:tcPr>
            <w:tcW w:w="60" w:type="dxa"/>
            <w:tcBorders>
              <w:right w:val="single" w:sz="8" w:space="0" w:color="868686"/>
            </w:tcBorders>
            <w:vAlign w:val="bottom"/>
          </w:tcPr>
          <w:p w:rsidR="00AC12B4" w:rsidRDefault="00AC12B4">
            <w:pPr>
              <w:rPr>
                <w:sz w:val="7"/>
                <w:szCs w:val="7"/>
              </w:rPr>
            </w:pPr>
          </w:p>
        </w:tc>
        <w:tc>
          <w:tcPr>
            <w:tcW w:w="580" w:type="dxa"/>
            <w:vAlign w:val="bottom"/>
          </w:tcPr>
          <w:p w:rsidR="00AC12B4" w:rsidRDefault="00AC12B4">
            <w:pPr>
              <w:rPr>
                <w:sz w:val="7"/>
                <w:szCs w:val="7"/>
              </w:rPr>
            </w:pPr>
          </w:p>
        </w:tc>
        <w:tc>
          <w:tcPr>
            <w:tcW w:w="10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tcBorders>
              <w:bottom w:val="single" w:sz="8" w:space="0" w:color="8BCCEC"/>
            </w:tcBorders>
            <w:shd w:val="clear" w:color="auto" w:fill="8BCCEC"/>
            <w:vAlign w:val="bottom"/>
          </w:tcPr>
          <w:p w:rsidR="00AC12B4" w:rsidRDefault="00AC12B4">
            <w:pPr>
              <w:rPr>
                <w:sz w:val="7"/>
                <w:szCs w:val="7"/>
              </w:rPr>
            </w:pPr>
          </w:p>
        </w:tc>
        <w:tc>
          <w:tcPr>
            <w:tcW w:w="680" w:type="dxa"/>
            <w:vMerge/>
            <w:tcBorders>
              <w:right w:val="single" w:sz="8" w:space="0" w:color="8BCCEC"/>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76"/>
        </w:trPr>
        <w:tc>
          <w:tcPr>
            <w:tcW w:w="2640" w:type="dxa"/>
            <w:gridSpan w:val="5"/>
            <w:vMerge/>
            <w:tcBorders>
              <w:right w:val="single" w:sz="8" w:space="0" w:color="8BCCEC"/>
            </w:tcBorders>
            <w:vAlign w:val="bottom"/>
          </w:tcPr>
          <w:p w:rsidR="00AC12B4" w:rsidRDefault="00AC12B4">
            <w:pPr>
              <w:rPr>
                <w:sz w:val="6"/>
                <w:szCs w:val="6"/>
              </w:rPr>
            </w:pPr>
          </w:p>
        </w:tc>
        <w:tc>
          <w:tcPr>
            <w:tcW w:w="500" w:type="dxa"/>
            <w:vAlign w:val="bottom"/>
          </w:tcPr>
          <w:p w:rsidR="00AC12B4" w:rsidRDefault="00AC12B4">
            <w:pPr>
              <w:rPr>
                <w:sz w:val="6"/>
                <w:szCs w:val="6"/>
              </w:rPr>
            </w:pPr>
          </w:p>
        </w:tc>
        <w:tc>
          <w:tcPr>
            <w:tcW w:w="460" w:type="dxa"/>
            <w:vAlign w:val="bottom"/>
          </w:tcPr>
          <w:p w:rsidR="00AC12B4" w:rsidRDefault="00AC12B4">
            <w:pPr>
              <w:rPr>
                <w:sz w:val="6"/>
                <w:szCs w:val="6"/>
              </w:rPr>
            </w:pPr>
          </w:p>
        </w:tc>
        <w:tc>
          <w:tcPr>
            <w:tcW w:w="60" w:type="dxa"/>
            <w:tcBorders>
              <w:right w:val="single" w:sz="8" w:space="0" w:color="868686"/>
            </w:tcBorders>
            <w:vAlign w:val="bottom"/>
          </w:tcPr>
          <w:p w:rsidR="00AC12B4" w:rsidRDefault="00AC12B4">
            <w:pPr>
              <w:rPr>
                <w:sz w:val="6"/>
                <w:szCs w:val="6"/>
              </w:rPr>
            </w:pPr>
          </w:p>
        </w:tc>
        <w:tc>
          <w:tcPr>
            <w:tcW w:w="580" w:type="dxa"/>
            <w:vAlign w:val="bottom"/>
          </w:tcPr>
          <w:p w:rsidR="00AC12B4" w:rsidRDefault="00AC12B4">
            <w:pPr>
              <w:rPr>
                <w:sz w:val="6"/>
                <w:szCs w:val="6"/>
              </w:rPr>
            </w:pPr>
          </w:p>
        </w:tc>
        <w:tc>
          <w:tcPr>
            <w:tcW w:w="4640" w:type="dxa"/>
            <w:gridSpan w:val="7"/>
            <w:vAlign w:val="bottom"/>
          </w:tcPr>
          <w:p w:rsidR="00AC12B4" w:rsidRDefault="00AC12B4">
            <w:pPr>
              <w:rPr>
                <w:sz w:val="6"/>
                <w:szCs w:val="6"/>
              </w:rPr>
            </w:pPr>
          </w:p>
        </w:tc>
        <w:tc>
          <w:tcPr>
            <w:tcW w:w="100" w:type="dxa"/>
            <w:vAlign w:val="bottom"/>
          </w:tcPr>
          <w:p w:rsidR="00AC12B4" w:rsidRDefault="00AC12B4">
            <w:pPr>
              <w:rPr>
                <w:sz w:val="6"/>
                <w:szCs w:val="6"/>
              </w:rPr>
            </w:pPr>
          </w:p>
        </w:tc>
        <w:tc>
          <w:tcPr>
            <w:tcW w:w="680" w:type="dxa"/>
            <w:vMerge/>
            <w:tcBorders>
              <w:right w:val="single" w:sz="8" w:space="0" w:color="8BCCEC"/>
            </w:tcBorders>
            <w:vAlign w:val="bottom"/>
          </w:tcPr>
          <w:p w:rsidR="00AC12B4" w:rsidRDefault="00AC12B4">
            <w:pPr>
              <w:rPr>
                <w:sz w:val="6"/>
                <w:szCs w:val="6"/>
              </w:rPr>
            </w:pPr>
          </w:p>
        </w:tc>
        <w:tc>
          <w:tcPr>
            <w:tcW w:w="1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68"/>
        </w:trPr>
        <w:tc>
          <w:tcPr>
            <w:tcW w:w="2640" w:type="dxa"/>
            <w:gridSpan w:val="5"/>
            <w:vMerge w:val="restart"/>
            <w:tcBorders>
              <w:right w:val="single" w:sz="8" w:space="0" w:color="8BCCEC"/>
            </w:tcBorders>
            <w:vAlign w:val="bottom"/>
          </w:tcPr>
          <w:p w:rsidR="00AC12B4" w:rsidRPr="00C27636" w:rsidRDefault="00C27636">
            <w:pPr>
              <w:rPr>
                <w:sz w:val="20"/>
                <w:szCs w:val="20"/>
                <w:lang w:val="fr-BE"/>
              </w:rPr>
            </w:pPr>
            <w:r w:rsidRPr="00C27636">
              <w:rPr>
                <w:rFonts w:ascii="Calibri" w:eastAsia="Calibri" w:hAnsi="Calibri" w:cs="Calibri"/>
                <w:lang w:val="fr-BE"/>
              </w:rPr>
              <w:lastRenderedPageBreak/>
              <w:t>est de 97 pt contre une</w:t>
            </w:r>
          </w:p>
        </w:tc>
        <w:tc>
          <w:tcPr>
            <w:tcW w:w="500" w:type="dxa"/>
            <w:vAlign w:val="bottom"/>
          </w:tcPr>
          <w:p w:rsidR="00AC12B4" w:rsidRPr="00C27636" w:rsidRDefault="00AC12B4">
            <w:pPr>
              <w:rPr>
                <w:sz w:val="5"/>
                <w:szCs w:val="5"/>
                <w:lang w:val="fr-BE"/>
              </w:rPr>
            </w:pPr>
          </w:p>
        </w:tc>
        <w:tc>
          <w:tcPr>
            <w:tcW w:w="460" w:type="dxa"/>
            <w:vMerge w:val="restart"/>
            <w:vAlign w:val="bottom"/>
          </w:tcPr>
          <w:p w:rsidR="00AC12B4" w:rsidRDefault="00C27636">
            <w:pPr>
              <w:ind w:right="41"/>
              <w:jc w:val="right"/>
              <w:rPr>
                <w:sz w:val="20"/>
                <w:szCs w:val="20"/>
              </w:rPr>
            </w:pPr>
            <w:r>
              <w:rPr>
                <w:rFonts w:ascii="Calibri" w:eastAsia="Calibri" w:hAnsi="Calibri" w:cs="Calibri"/>
                <w:sz w:val="20"/>
                <w:szCs w:val="20"/>
              </w:rPr>
              <w:t>0</w:t>
            </w:r>
          </w:p>
        </w:tc>
        <w:tc>
          <w:tcPr>
            <w:tcW w:w="60" w:type="dxa"/>
            <w:tcBorders>
              <w:bottom w:val="single" w:sz="8" w:space="0" w:color="868686"/>
              <w:right w:val="single" w:sz="8" w:space="0" w:color="868686"/>
            </w:tcBorders>
            <w:vAlign w:val="bottom"/>
          </w:tcPr>
          <w:p w:rsidR="00AC12B4" w:rsidRDefault="00AC12B4">
            <w:pPr>
              <w:rPr>
                <w:sz w:val="5"/>
                <w:szCs w:val="5"/>
              </w:rPr>
            </w:pPr>
          </w:p>
        </w:tc>
        <w:tc>
          <w:tcPr>
            <w:tcW w:w="580" w:type="dxa"/>
            <w:tcBorders>
              <w:bottom w:val="single" w:sz="8" w:space="0" w:color="868686"/>
            </w:tcBorders>
            <w:vAlign w:val="bottom"/>
          </w:tcPr>
          <w:p w:rsidR="00AC12B4" w:rsidRDefault="00AC12B4">
            <w:pPr>
              <w:rPr>
                <w:sz w:val="5"/>
                <w:szCs w:val="5"/>
              </w:rPr>
            </w:pPr>
          </w:p>
        </w:tc>
        <w:tc>
          <w:tcPr>
            <w:tcW w:w="10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62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62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30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680" w:type="dxa"/>
            <w:vMerge w:val="restart"/>
            <w:tcBorders>
              <w:right w:val="single" w:sz="8" w:space="0" w:color="8BCCEC"/>
            </w:tcBorders>
            <w:vAlign w:val="bottom"/>
          </w:tcPr>
          <w:p w:rsidR="00AC12B4" w:rsidRDefault="00C27636">
            <w:pPr>
              <w:ind w:right="120"/>
              <w:jc w:val="right"/>
              <w:rPr>
                <w:sz w:val="20"/>
                <w:szCs w:val="20"/>
              </w:rPr>
            </w:pPr>
            <w:r>
              <w:rPr>
                <w:rFonts w:ascii="Calibri" w:eastAsia="Calibri" w:hAnsi="Calibri" w:cs="Calibri"/>
                <w:sz w:val="20"/>
                <w:szCs w:val="20"/>
              </w:rPr>
              <w:t>2012</w:t>
            </w:r>
          </w:p>
        </w:tc>
        <w:tc>
          <w:tcPr>
            <w:tcW w:w="10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88"/>
        </w:trPr>
        <w:tc>
          <w:tcPr>
            <w:tcW w:w="2640" w:type="dxa"/>
            <w:gridSpan w:val="5"/>
            <w:vMerge/>
            <w:tcBorders>
              <w:right w:val="single" w:sz="8" w:space="0" w:color="8BCCEC"/>
            </w:tcBorders>
            <w:vAlign w:val="bottom"/>
          </w:tcPr>
          <w:p w:rsidR="00AC12B4" w:rsidRDefault="00AC12B4">
            <w:pPr>
              <w:rPr>
                <w:sz w:val="7"/>
                <w:szCs w:val="7"/>
              </w:rPr>
            </w:pPr>
          </w:p>
        </w:tc>
        <w:tc>
          <w:tcPr>
            <w:tcW w:w="500" w:type="dxa"/>
            <w:vAlign w:val="bottom"/>
          </w:tcPr>
          <w:p w:rsidR="00AC12B4" w:rsidRDefault="00AC12B4">
            <w:pPr>
              <w:rPr>
                <w:sz w:val="7"/>
                <w:szCs w:val="7"/>
              </w:rPr>
            </w:pPr>
          </w:p>
        </w:tc>
        <w:tc>
          <w:tcPr>
            <w:tcW w:w="460" w:type="dxa"/>
            <w:vMerge/>
            <w:vAlign w:val="bottom"/>
          </w:tcPr>
          <w:p w:rsidR="00AC12B4" w:rsidRDefault="00AC12B4">
            <w:pPr>
              <w:rPr>
                <w:sz w:val="7"/>
                <w:szCs w:val="7"/>
              </w:rPr>
            </w:pPr>
          </w:p>
        </w:tc>
        <w:tc>
          <w:tcPr>
            <w:tcW w:w="60" w:type="dxa"/>
            <w:tcBorders>
              <w:right w:val="single" w:sz="8" w:space="0" w:color="868686"/>
            </w:tcBorders>
            <w:vAlign w:val="bottom"/>
          </w:tcPr>
          <w:p w:rsidR="00AC12B4" w:rsidRDefault="00AC12B4">
            <w:pPr>
              <w:rPr>
                <w:sz w:val="7"/>
                <w:szCs w:val="7"/>
              </w:rPr>
            </w:pPr>
          </w:p>
        </w:tc>
        <w:tc>
          <w:tcPr>
            <w:tcW w:w="580" w:type="dxa"/>
            <w:vAlign w:val="bottom"/>
          </w:tcPr>
          <w:p w:rsidR="00AC12B4" w:rsidRDefault="00AC12B4">
            <w:pPr>
              <w:rPr>
                <w:sz w:val="7"/>
                <w:szCs w:val="7"/>
              </w:rPr>
            </w:pPr>
          </w:p>
        </w:tc>
        <w:tc>
          <w:tcPr>
            <w:tcW w:w="10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680" w:type="dxa"/>
            <w:vMerge/>
            <w:tcBorders>
              <w:right w:val="single" w:sz="8" w:space="0" w:color="8BCCEC"/>
            </w:tcBorders>
            <w:vAlign w:val="bottom"/>
          </w:tcPr>
          <w:p w:rsidR="00AC12B4" w:rsidRDefault="00AC12B4">
            <w:pPr>
              <w:rPr>
                <w:sz w:val="7"/>
                <w:szCs w:val="7"/>
              </w:rPr>
            </w:pPr>
          </w:p>
        </w:tc>
        <w:tc>
          <w:tcPr>
            <w:tcW w:w="1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10"/>
        </w:trPr>
        <w:tc>
          <w:tcPr>
            <w:tcW w:w="2640" w:type="dxa"/>
            <w:gridSpan w:val="5"/>
            <w:vMerge/>
            <w:tcBorders>
              <w:right w:val="single" w:sz="8" w:space="0" w:color="8BCCEC"/>
            </w:tcBorders>
            <w:vAlign w:val="bottom"/>
          </w:tcPr>
          <w:p w:rsidR="00AC12B4" w:rsidRDefault="00AC12B4">
            <w:pPr>
              <w:rPr>
                <w:sz w:val="9"/>
                <w:szCs w:val="9"/>
              </w:rPr>
            </w:pPr>
          </w:p>
        </w:tc>
        <w:tc>
          <w:tcPr>
            <w:tcW w:w="500" w:type="dxa"/>
            <w:vAlign w:val="bottom"/>
          </w:tcPr>
          <w:p w:rsidR="00AC12B4" w:rsidRDefault="00AC12B4">
            <w:pPr>
              <w:rPr>
                <w:sz w:val="9"/>
                <w:szCs w:val="9"/>
              </w:rPr>
            </w:pPr>
          </w:p>
        </w:tc>
        <w:tc>
          <w:tcPr>
            <w:tcW w:w="460" w:type="dxa"/>
            <w:vMerge/>
            <w:vAlign w:val="bottom"/>
          </w:tcPr>
          <w:p w:rsidR="00AC12B4" w:rsidRDefault="00AC12B4">
            <w:pPr>
              <w:rPr>
                <w:sz w:val="9"/>
                <w:szCs w:val="9"/>
              </w:rPr>
            </w:pPr>
          </w:p>
        </w:tc>
        <w:tc>
          <w:tcPr>
            <w:tcW w:w="60" w:type="dxa"/>
            <w:tcBorders>
              <w:right w:val="single" w:sz="8" w:space="0" w:color="868686"/>
            </w:tcBorders>
            <w:vAlign w:val="bottom"/>
          </w:tcPr>
          <w:p w:rsidR="00AC12B4" w:rsidRDefault="00AC12B4">
            <w:pPr>
              <w:rPr>
                <w:sz w:val="9"/>
                <w:szCs w:val="9"/>
              </w:rPr>
            </w:pPr>
          </w:p>
        </w:tc>
        <w:tc>
          <w:tcPr>
            <w:tcW w:w="580" w:type="dxa"/>
            <w:vAlign w:val="bottom"/>
          </w:tcPr>
          <w:p w:rsidR="00AC12B4" w:rsidRDefault="00AC12B4">
            <w:pPr>
              <w:rPr>
                <w:sz w:val="9"/>
                <w:szCs w:val="9"/>
              </w:rPr>
            </w:pPr>
          </w:p>
        </w:tc>
        <w:tc>
          <w:tcPr>
            <w:tcW w:w="10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6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6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100" w:type="dxa"/>
            <w:shd w:val="clear" w:color="auto" w:fill="44ACE0"/>
            <w:vAlign w:val="bottom"/>
          </w:tcPr>
          <w:p w:rsidR="00AC12B4" w:rsidRDefault="00AC12B4">
            <w:pPr>
              <w:rPr>
                <w:sz w:val="9"/>
                <w:szCs w:val="9"/>
              </w:rPr>
            </w:pPr>
          </w:p>
        </w:tc>
        <w:tc>
          <w:tcPr>
            <w:tcW w:w="680" w:type="dxa"/>
            <w:vMerge/>
            <w:tcBorders>
              <w:right w:val="single" w:sz="8" w:space="0" w:color="8BCCEC"/>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940" w:type="dxa"/>
            <w:gridSpan w:val="2"/>
            <w:vMerge w:val="restart"/>
            <w:vAlign w:val="bottom"/>
          </w:tcPr>
          <w:p w:rsidR="00AC12B4" w:rsidRDefault="00C27636">
            <w:pPr>
              <w:spacing w:line="249" w:lineRule="exact"/>
              <w:rPr>
                <w:sz w:val="20"/>
                <w:szCs w:val="20"/>
              </w:rPr>
            </w:pPr>
            <w:r>
              <w:rPr>
                <w:rFonts w:ascii="Calibri" w:eastAsia="Calibri" w:hAnsi="Calibri" w:cs="Calibri"/>
              </w:rPr>
              <w:t>différence</w:t>
            </w:r>
          </w:p>
        </w:tc>
        <w:tc>
          <w:tcPr>
            <w:tcW w:w="500" w:type="dxa"/>
            <w:vMerge w:val="restart"/>
            <w:vAlign w:val="bottom"/>
          </w:tcPr>
          <w:p w:rsidR="00AC12B4" w:rsidRDefault="00C27636">
            <w:pPr>
              <w:spacing w:line="249" w:lineRule="exact"/>
              <w:jc w:val="right"/>
              <w:rPr>
                <w:sz w:val="20"/>
                <w:szCs w:val="20"/>
              </w:rPr>
            </w:pPr>
            <w:r>
              <w:rPr>
                <w:rFonts w:ascii="Calibri" w:eastAsia="Calibri" w:hAnsi="Calibri" w:cs="Calibri"/>
              </w:rPr>
              <w:t>de</w:t>
            </w:r>
          </w:p>
        </w:tc>
        <w:tc>
          <w:tcPr>
            <w:tcW w:w="600" w:type="dxa"/>
            <w:vMerge w:val="restart"/>
            <w:vAlign w:val="bottom"/>
          </w:tcPr>
          <w:p w:rsidR="00AC12B4" w:rsidRDefault="00C27636">
            <w:pPr>
              <w:spacing w:line="249" w:lineRule="exact"/>
              <w:jc w:val="right"/>
              <w:rPr>
                <w:sz w:val="20"/>
                <w:szCs w:val="20"/>
              </w:rPr>
            </w:pPr>
            <w:r>
              <w:rPr>
                <w:rFonts w:ascii="Calibri" w:eastAsia="Calibri" w:hAnsi="Calibri" w:cs="Calibri"/>
              </w:rPr>
              <w:t>48pt</w:t>
            </w:r>
          </w:p>
        </w:tc>
        <w:tc>
          <w:tcPr>
            <w:tcW w:w="600" w:type="dxa"/>
            <w:vMerge w:val="restart"/>
            <w:tcBorders>
              <w:right w:val="single" w:sz="8" w:space="0" w:color="8BCCEC"/>
            </w:tcBorders>
            <w:vAlign w:val="bottom"/>
          </w:tcPr>
          <w:p w:rsidR="00AC12B4" w:rsidRDefault="00C27636">
            <w:pPr>
              <w:spacing w:line="249" w:lineRule="exact"/>
              <w:ind w:right="170"/>
              <w:jc w:val="right"/>
              <w:rPr>
                <w:sz w:val="20"/>
                <w:szCs w:val="20"/>
              </w:rPr>
            </w:pPr>
            <w:r>
              <w:rPr>
                <w:rFonts w:ascii="Calibri" w:eastAsia="Calibri" w:hAnsi="Calibri" w:cs="Calibri"/>
              </w:rPr>
              <w:t>en</w:t>
            </w:r>
          </w:p>
        </w:tc>
        <w:tc>
          <w:tcPr>
            <w:tcW w:w="500" w:type="dxa"/>
            <w:vAlign w:val="bottom"/>
          </w:tcPr>
          <w:p w:rsidR="00AC12B4" w:rsidRDefault="00AC12B4">
            <w:pPr>
              <w:rPr>
                <w:sz w:val="4"/>
                <w:szCs w:val="4"/>
              </w:rPr>
            </w:pPr>
          </w:p>
        </w:tc>
        <w:tc>
          <w:tcPr>
            <w:tcW w:w="460" w:type="dxa"/>
            <w:vMerge/>
            <w:vAlign w:val="bottom"/>
          </w:tcPr>
          <w:p w:rsidR="00AC12B4" w:rsidRDefault="00AC12B4">
            <w:pPr>
              <w:rPr>
                <w:sz w:val="4"/>
                <w:szCs w:val="4"/>
              </w:rPr>
            </w:pPr>
          </w:p>
        </w:tc>
        <w:tc>
          <w:tcPr>
            <w:tcW w:w="60" w:type="dxa"/>
            <w:tcBorders>
              <w:right w:val="single" w:sz="8" w:space="0" w:color="868686"/>
            </w:tcBorders>
            <w:vAlign w:val="bottom"/>
          </w:tcPr>
          <w:p w:rsidR="00AC12B4" w:rsidRDefault="00AC12B4">
            <w:pPr>
              <w:rPr>
                <w:sz w:val="4"/>
                <w:szCs w:val="4"/>
              </w:rPr>
            </w:pPr>
          </w:p>
        </w:tc>
        <w:tc>
          <w:tcPr>
            <w:tcW w:w="580" w:type="dxa"/>
            <w:vAlign w:val="bottom"/>
          </w:tcPr>
          <w:p w:rsidR="00AC12B4" w:rsidRDefault="00AC12B4">
            <w:pPr>
              <w:rPr>
                <w:sz w:val="4"/>
                <w:szCs w:val="4"/>
              </w:rPr>
            </w:pPr>
          </w:p>
        </w:tc>
        <w:tc>
          <w:tcPr>
            <w:tcW w:w="4640" w:type="dxa"/>
            <w:gridSpan w:val="7"/>
            <w:vAlign w:val="bottom"/>
          </w:tcPr>
          <w:p w:rsidR="00AC12B4" w:rsidRDefault="00AC12B4">
            <w:pPr>
              <w:rPr>
                <w:sz w:val="4"/>
                <w:szCs w:val="4"/>
              </w:rPr>
            </w:pPr>
          </w:p>
        </w:tc>
        <w:tc>
          <w:tcPr>
            <w:tcW w:w="100" w:type="dxa"/>
            <w:vAlign w:val="bottom"/>
          </w:tcPr>
          <w:p w:rsidR="00AC12B4" w:rsidRDefault="00AC12B4">
            <w:pPr>
              <w:rPr>
                <w:sz w:val="4"/>
                <w:szCs w:val="4"/>
              </w:rPr>
            </w:pPr>
          </w:p>
        </w:tc>
        <w:tc>
          <w:tcPr>
            <w:tcW w:w="680" w:type="dxa"/>
            <w:vMerge/>
            <w:tcBorders>
              <w:right w:val="single" w:sz="8" w:space="0" w:color="8BCCEC"/>
            </w:tcBorders>
            <w:vAlign w:val="bottom"/>
          </w:tcPr>
          <w:p w:rsidR="00AC12B4" w:rsidRDefault="00AC12B4">
            <w:pPr>
              <w:rPr>
                <w:sz w:val="4"/>
                <w:szCs w:val="4"/>
              </w:rPr>
            </w:pPr>
          </w:p>
        </w:tc>
        <w:tc>
          <w:tcPr>
            <w:tcW w:w="10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78"/>
        </w:trPr>
        <w:tc>
          <w:tcPr>
            <w:tcW w:w="940" w:type="dxa"/>
            <w:gridSpan w:val="2"/>
            <w:vMerge/>
            <w:vAlign w:val="bottom"/>
          </w:tcPr>
          <w:p w:rsidR="00AC12B4" w:rsidRDefault="00AC12B4">
            <w:pPr>
              <w:rPr>
                <w:sz w:val="6"/>
                <w:szCs w:val="6"/>
              </w:rPr>
            </w:pPr>
          </w:p>
        </w:tc>
        <w:tc>
          <w:tcPr>
            <w:tcW w:w="500" w:type="dxa"/>
            <w:vMerge/>
            <w:vAlign w:val="bottom"/>
          </w:tcPr>
          <w:p w:rsidR="00AC12B4" w:rsidRDefault="00AC12B4">
            <w:pPr>
              <w:rPr>
                <w:sz w:val="6"/>
                <w:szCs w:val="6"/>
              </w:rPr>
            </w:pPr>
          </w:p>
        </w:tc>
        <w:tc>
          <w:tcPr>
            <w:tcW w:w="600" w:type="dxa"/>
            <w:vMerge/>
            <w:vAlign w:val="bottom"/>
          </w:tcPr>
          <w:p w:rsidR="00AC12B4" w:rsidRDefault="00AC12B4">
            <w:pPr>
              <w:rPr>
                <w:sz w:val="6"/>
                <w:szCs w:val="6"/>
              </w:rPr>
            </w:pPr>
          </w:p>
        </w:tc>
        <w:tc>
          <w:tcPr>
            <w:tcW w:w="600" w:type="dxa"/>
            <w:vMerge/>
            <w:tcBorders>
              <w:right w:val="single" w:sz="8" w:space="0" w:color="8BCCEC"/>
            </w:tcBorders>
            <w:vAlign w:val="bottom"/>
          </w:tcPr>
          <w:p w:rsidR="00AC12B4" w:rsidRDefault="00AC12B4">
            <w:pPr>
              <w:rPr>
                <w:sz w:val="6"/>
                <w:szCs w:val="6"/>
              </w:rPr>
            </w:pPr>
          </w:p>
        </w:tc>
        <w:tc>
          <w:tcPr>
            <w:tcW w:w="500" w:type="dxa"/>
            <w:vAlign w:val="bottom"/>
          </w:tcPr>
          <w:p w:rsidR="00AC12B4" w:rsidRDefault="00AC12B4">
            <w:pPr>
              <w:rPr>
                <w:sz w:val="6"/>
                <w:szCs w:val="6"/>
              </w:rPr>
            </w:pPr>
          </w:p>
        </w:tc>
        <w:tc>
          <w:tcPr>
            <w:tcW w:w="460" w:type="dxa"/>
            <w:vMerge/>
            <w:vAlign w:val="bottom"/>
          </w:tcPr>
          <w:p w:rsidR="00AC12B4" w:rsidRDefault="00AC12B4">
            <w:pPr>
              <w:rPr>
                <w:sz w:val="6"/>
                <w:szCs w:val="6"/>
              </w:rPr>
            </w:pPr>
          </w:p>
        </w:tc>
        <w:tc>
          <w:tcPr>
            <w:tcW w:w="60" w:type="dxa"/>
            <w:tcBorders>
              <w:bottom w:val="single" w:sz="8" w:space="0" w:color="868686"/>
              <w:right w:val="single" w:sz="8" w:space="0" w:color="868686"/>
            </w:tcBorders>
            <w:vAlign w:val="bottom"/>
          </w:tcPr>
          <w:p w:rsidR="00AC12B4" w:rsidRDefault="00AC12B4">
            <w:pPr>
              <w:rPr>
                <w:sz w:val="6"/>
                <w:szCs w:val="6"/>
              </w:rPr>
            </w:pPr>
          </w:p>
        </w:tc>
        <w:tc>
          <w:tcPr>
            <w:tcW w:w="580" w:type="dxa"/>
            <w:tcBorders>
              <w:bottom w:val="single" w:sz="8" w:space="0" w:color="868686"/>
            </w:tcBorders>
            <w:vAlign w:val="bottom"/>
          </w:tcPr>
          <w:p w:rsidR="00AC12B4" w:rsidRDefault="00AC12B4">
            <w:pPr>
              <w:rPr>
                <w:sz w:val="6"/>
                <w:szCs w:val="6"/>
              </w:rPr>
            </w:pPr>
          </w:p>
        </w:tc>
        <w:tc>
          <w:tcPr>
            <w:tcW w:w="1040" w:type="dxa"/>
            <w:tcBorders>
              <w:bottom w:val="single" w:sz="8" w:space="0" w:color="868686"/>
            </w:tcBorders>
            <w:vAlign w:val="bottom"/>
          </w:tcPr>
          <w:p w:rsidR="00AC12B4" w:rsidRDefault="00AC12B4">
            <w:pPr>
              <w:rPr>
                <w:sz w:val="6"/>
                <w:szCs w:val="6"/>
              </w:rPr>
            </w:pPr>
          </w:p>
        </w:tc>
        <w:tc>
          <w:tcPr>
            <w:tcW w:w="20" w:type="dxa"/>
            <w:tcBorders>
              <w:bottom w:val="single" w:sz="8" w:space="0" w:color="868686"/>
            </w:tcBorders>
            <w:vAlign w:val="bottom"/>
          </w:tcPr>
          <w:p w:rsidR="00AC12B4" w:rsidRDefault="00AC12B4">
            <w:pPr>
              <w:rPr>
                <w:sz w:val="6"/>
                <w:szCs w:val="6"/>
              </w:rPr>
            </w:pPr>
          </w:p>
        </w:tc>
        <w:tc>
          <w:tcPr>
            <w:tcW w:w="1620" w:type="dxa"/>
            <w:tcBorders>
              <w:bottom w:val="single" w:sz="8" w:space="0" w:color="868686"/>
            </w:tcBorders>
            <w:vAlign w:val="bottom"/>
          </w:tcPr>
          <w:p w:rsidR="00AC12B4" w:rsidRDefault="00AC12B4">
            <w:pPr>
              <w:rPr>
                <w:sz w:val="6"/>
                <w:szCs w:val="6"/>
              </w:rPr>
            </w:pPr>
          </w:p>
        </w:tc>
        <w:tc>
          <w:tcPr>
            <w:tcW w:w="20" w:type="dxa"/>
            <w:tcBorders>
              <w:bottom w:val="single" w:sz="8" w:space="0" w:color="868686"/>
            </w:tcBorders>
            <w:vAlign w:val="bottom"/>
          </w:tcPr>
          <w:p w:rsidR="00AC12B4" w:rsidRDefault="00AC12B4">
            <w:pPr>
              <w:rPr>
                <w:sz w:val="6"/>
                <w:szCs w:val="6"/>
              </w:rPr>
            </w:pPr>
          </w:p>
        </w:tc>
        <w:tc>
          <w:tcPr>
            <w:tcW w:w="1620" w:type="dxa"/>
            <w:tcBorders>
              <w:bottom w:val="single" w:sz="8" w:space="0" w:color="868686"/>
            </w:tcBorders>
            <w:vAlign w:val="bottom"/>
          </w:tcPr>
          <w:p w:rsidR="00AC12B4" w:rsidRDefault="00AC12B4">
            <w:pPr>
              <w:rPr>
                <w:sz w:val="6"/>
                <w:szCs w:val="6"/>
              </w:rPr>
            </w:pPr>
          </w:p>
        </w:tc>
        <w:tc>
          <w:tcPr>
            <w:tcW w:w="20" w:type="dxa"/>
            <w:tcBorders>
              <w:bottom w:val="single" w:sz="8" w:space="0" w:color="868686"/>
            </w:tcBorders>
            <w:vAlign w:val="bottom"/>
          </w:tcPr>
          <w:p w:rsidR="00AC12B4" w:rsidRDefault="00AC12B4">
            <w:pPr>
              <w:rPr>
                <w:sz w:val="6"/>
                <w:szCs w:val="6"/>
              </w:rPr>
            </w:pPr>
          </w:p>
        </w:tc>
        <w:tc>
          <w:tcPr>
            <w:tcW w:w="30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680" w:type="dxa"/>
            <w:tcBorders>
              <w:right w:val="single" w:sz="8" w:space="0" w:color="8BCCEC"/>
            </w:tcBorders>
            <w:vAlign w:val="bottom"/>
          </w:tcPr>
          <w:p w:rsidR="00AC12B4" w:rsidRDefault="00AC12B4">
            <w:pPr>
              <w:rPr>
                <w:sz w:val="6"/>
                <w:szCs w:val="6"/>
              </w:rPr>
            </w:pPr>
          </w:p>
        </w:tc>
        <w:tc>
          <w:tcPr>
            <w:tcW w:w="1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01"/>
        </w:trPr>
        <w:tc>
          <w:tcPr>
            <w:tcW w:w="940" w:type="dxa"/>
            <w:gridSpan w:val="2"/>
            <w:vMerge/>
            <w:vAlign w:val="bottom"/>
          </w:tcPr>
          <w:p w:rsidR="00AC12B4" w:rsidRDefault="00AC12B4">
            <w:pPr>
              <w:rPr>
                <w:sz w:val="8"/>
                <w:szCs w:val="8"/>
              </w:rPr>
            </w:pPr>
          </w:p>
        </w:tc>
        <w:tc>
          <w:tcPr>
            <w:tcW w:w="500" w:type="dxa"/>
            <w:vMerge/>
            <w:vAlign w:val="bottom"/>
          </w:tcPr>
          <w:p w:rsidR="00AC12B4" w:rsidRDefault="00AC12B4">
            <w:pPr>
              <w:rPr>
                <w:sz w:val="8"/>
                <w:szCs w:val="8"/>
              </w:rPr>
            </w:pPr>
          </w:p>
        </w:tc>
        <w:tc>
          <w:tcPr>
            <w:tcW w:w="600" w:type="dxa"/>
            <w:vMerge/>
            <w:vAlign w:val="bottom"/>
          </w:tcPr>
          <w:p w:rsidR="00AC12B4" w:rsidRDefault="00AC12B4">
            <w:pPr>
              <w:rPr>
                <w:sz w:val="8"/>
                <w:szCs w:val="8"/>
              </w:rPr>
            </w:pPr>
          </w:p>
        </w:tc>
        <w:tc>
          <w:tcPr>
            <w:tcW w:w="600" w:type="dxa"/>
            <w:vMerge/>
            <w:tcBorders>
              <w:right w:val="single" w:sz="8" w:space="0" w:color="8BCCEC"/>
            </w:tcBorders>
            <w:vAlign w:val="bottom"/>
          </w:tcPr>
          <w:p w:rsidR="00AC12B4" w:rsidRDefault="00AC12B4">
            <w:pPr>
              <w:rPr>
                <w:sz w:val="8"/>
                <w:szCs w:val="8"/>
              </w:rPr>
            </w:pPr>
          </w:p>
        </w:tc>
        <w:tc>
          <w:tcPr>
            <w:tcW w:w="500" w:type="dxa"/>
            <w:vAlign w:val="bottom"/>
          </w:tcPr>
          <w:p w:rsidR="00AC12B4" w:rsidRDefault="00AC12B4">
            <w:pPr>
              <w:rPr>
                <w:sz w:val="8"/>
                <w:szCs w:val="8"/>
              </w:rPr>
            </w:pPr>
          </w:p>
        </w:tc>
        <w:tc>
          <w:tcPr>
            <w:tcW w:w="460" w:type="dxa"/>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580" w:type="dxa"/>
            <w:vAlign w:val="bottom"/>
          </w:tcPr>
          <w:p w:rsidR="00AC12B4" w:rsidRDefault="00AC12B4">
            <w:pPr>
              <w:rPr>
                <w:sz w:val="8"/>
                <w:szCs w:val="8"/>
              </w:rPr>
            </w:pPr>
          </w:p>
        </w:tc>
        <w:tc>
          <w:tcPr>
            <w:tcW w:w="10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6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6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680" w:type="dxa"/>
            <w:tcBorders>
              <w:right w:val="single" w:sz="8" w:space="0" w:color="8BCCEC"/>
            </w:tcBorders>
            <w:vAlign w:val="bottom"/>
          </w:tcPr>
          <w:p w:rsidR="00AC12B4" w:rsidRDefault="00AC12B4">
            <w:pPr>
              <w:rPr>
                <w:sz w:val="8"/>
                <w:szCs w:val="8"/>
              </w:rPr>
            </w:pPr>
          </w:p>
        </w:tc>
        <w:tc>
          <w:tcPr>
            <w:tcW w:w="1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269"/>
        </w:trPr>
        <w:tc>
          <w:tcPr>
            <w:tcW w:w="2640" w:type="dxa"/>
            <w:gridSpan w:val="5"/>
            <w:tcBorders>
              <w:right w:val="single" w:sz="8" w:space="0" w:color="8BCCEC"/>
            </w:tcBorders>
            <w:vAlign w:val="bottom"/>
          </w:tcPr>
          <w:p w:rsidR="00AC12B4" w:rsidRPr="00C27636" w:rsidRDefault="00C27636">
            <w:pPr>
              <w:rPr>
                <w:sz w:val="20"/>
                <w:szCs w:val="20"/>
                <w:lang w:val="fr-BE"/>
              </w:rPr>
            </w:pPr>
            <w:r w:rsidRPr="00C27636">
              <w:rPr>
                <w:rFonts w:ascii="Calibri" w:eastAsia="Calibri" w:hAnsi="Calibri" w:cs="Calibri"/>
                <w:lang w:val="fr-BE"/>
              </w:rPr>
              <w:t xml:space="preserve">FWB  et  30  pt  </w:t>
            </w:r>
            <w:r w:rsidRPr="00C27636">
              <w:rPr>
                <w:rFonts w:ascii="Calibri" w:eastAsia="Calibri" w:hAnsi="Calibri" w:cs="Calibri"/>
                <w:lang w:val="fr-BE"/>
              </w:rPr>
              <w:t>pour  la</w:t>
            </w:r>
          </w:p>
        </w:tc>
        <w:tc>
          <w:tcPr>
            <w:tcW w:w="500" w:type="dxa"/>
            <w:vAlign w:val="bottom"/>
          </w:tcPr>
          <w:p w:rsidR="00AC12B4" w:rsidRPr="00C27636" w:rsidRDefault="00AC12B4">
            <w:pPr>
              <w:rPr>
                <w:sz w:val="23"/>
                <w:szCs w:val="23"/>
                <w:lang w:val="fr-BE"/>
              </w:rPr>
            </w:pPr>
          </w:p>
        </w:tc>
        <w:tc>
          <w:tcPr>
            <w:tcW w:w="46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580" w:type="dxa"/>
            <w:vAlign w:val="bottom"/>
          </w:tcPr>
          <w:p w:rsidR="00AC12B4" w:rsidRPr="00C27636" w:rsidRDefault="00AC12B4">
            <w:pPr>
              <w:rPr>
                <w:sz w:val="23"/>
                <w:szCs w:val="23"/>
                <w:lang w:val="fr-BE"/>
              </w:rPr>
            </w:pPr>
          </w:p>
        </w:tc>
        <w:tc>
          <w:tcPr>
            <w:tcW w:w="10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680" w:type="dxa"/>
            <w:tcBorders>
              <w:right w:val="single" w:sz="8" w:space="0" w:color="8BCCEC"/>
            </w:tcBorders>
            <w:vAlign w:val="bottom"/>
          </w:tcPr>
          <w:p w:rsidR="00AC12B4" w:rsidRPr="00C27636" w:rsidRDefault="00AC12B4">
            <w:pPr>
              <w:rPr>
                <w:sz w:val="23"/>
                <w:szCs w:val="23"/>
                <w:lang w:val="fr-BE"/>
              </w:rPr>
            </w:pPr>
          </w:p>
        </w:tc>
        <w:tc>
          <w:tcPr>
            <w:tcW w:w="10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1440" w:type="dxa"/>
            <w:gridSpan w:val="3"/>
            <w:vAlign w:val="bottom"/>
          </w:tcPr>
          <w:p w:rsidR="00AC12B4" w:rsidRDefault="00C27636">
            <w:pPr>
              <w:rPr>
                <w:sz w:val="20"/>
                <w:szCs w:val="20"/>
              </w:rPr>
            </w:pPr>
            <w:r>
              <w:rPr>
                <w:rFonts w:ascii="Calibri" w:eastAsia="Calibri" w:hAnsi="Calibri" w:cs="Calibri"/>
              </w:rPr>
              <w:t>Communauté</w:t>
            </w:r>
          </w:p>
        </w:tc>
        <w:tc>
          <w:tcPr>
            <w:tcW w:w="600" w:type="dxa"/>
            <w:vAlign w:val="bottom"/>
          </w:tcPr>
          <w:p w:rsidR="00AC12B4" w:rsidRDefault="00AC12B4">
            <w:pPr>
              <w:rPr>
                <w:sz w:val="23"/>
                <w:szCs w:val="23"/>
              </w:rPr>
            </w:pPr>
          </w:p>
        </w:tc>
        <w:tc>
          <w:tcPr>
            <w:tcW w:w="600" w:type="dxa"/>
            <w:tcBorders>
              <w:right w:val="single" w:sz="8" w:space="0" w:color="8BCCEC"/>
            </w:tcBorders>
            <w:vAlign w:val="bottom"/>
          </w:tcPr>
          <w:p w:rsidR="00AC12B4" w:rsidRDefault="00AC12B4">
            <w:pPr>
              <w:rPr>
                <w:sz w:val="23"/>
                <w:szCs w:val="23"/>
              </w:rPr>
            </w:pPr>
          </w:p>
        </w:tc>
        <w:tc>
          <w:tcPr>
            <w:tcW w:w="500" w:type="dxa"/>
            <w:vAlign w:val="bottom"/>
          </w:tcPr>
          <w:p w:rsidR="00AC12B4" w:rsidRDefault="00AC12B4">
            <w:pPr>
              <w:rPr>
                <w:sz w:val="23"/>
                <w:szCs w:val="23"/>
              </w:rPr>
            </w:pPr>
          </w:p>
        </w:tc>
        <w:tc>
          <w:tcPr>
            <w:tcW w:w="46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580" w:type="dxa"/>
            <w:vAlign w:val="bottom"/>
          </w:tcPr>
          <w:p w:rsidR="00AC12B4" w:rsidRDefault="00AC12B4">
            <w:pPr>
              <w:rPr>
                <w:sz w:val="23"/>
                <w:szCs w:val="23"/>
              </w:rPr>
            </w:pPr>
          </w:p>
        </w:tc>
        <w:tc>
          <w:tcPr>
            <w:tcW w:w="10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680" w:type="dxa"/>
            <w:tcBorders>
              <w:right w:val="single" w:sz="8" w:space="0" w:color="8BCCEC"/>
            </w:tcBorders>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440" w:type="dxa"/>
            <w:gridSpan w:val="3"/>
            <w:vAlign w:val="bottom"/>
          </w:tcPr>
          <w:p w:rsidR="00AC12B4" w:rsidRDefault="00C27636">
            <w:pPr>
              <w:rPr>
                <w:sz w:val="20"/>
                <w:szCs w:val="20"/>
              </w:rPr>
            </w:pPr>
            <w:r>
              <w:rPr>
                <w:rFonts w:ascii="Calibri" w:eastAsia="Calibri" w:hAnsi="Calibri" w:cs="Calibri"/>
                <w:w w:val="99"/>
              </w:rPr>
              <w:t>germanophone.</w:t>
            </w:r>
          </w:p>
        </w:tc>
        <w:tc>
          <w:tcPr>
            <w:tcW w:w="600" w:type="dxa"/>
            <w:vAlign w:val="bottom"/>
          </w:tcPr>
          <w:p w:rsidR="00AC12B4" w:rsidRDefault="00AC12B4">
            <w:pPr>
              <w:rPr>
                <w:sz w:val="23"/>
                <w:szCs w:val="23"/>
              </w:rPr>
            </w:pPr>
          </w:p>
        </w:tc>
        <w:tc>
          <w:tcPr>
            <w:tcW w:w="600" w:type="dxa"/>
            <w:tcBorders>
              <w:right w:val="single" w:sz="8" w:space="0" w:color="8BCCEC"/>
            </w:tcBorders>
            <w:vAlign w:val="bottom"/>
          </w:tcPr>
          <w:p w:rsidR="00AC12B4" w:rsidRDefault="00AC12B4">
            <w:pPr>
              <w:rPr>
                <w:sz w:val="23"/>
                <w:szCs w:val="23"/>
              </w:rPr>
            </w:pPr>
          </w:p>
        </w:tc>
        <w:tc>
          <w:tcPr>
            <w:tcW w:w="500" w:type="dxa"/>
            <w:vAlign w:val="bottom"/>
          </w:tcPr>
          <w:p w:rsidR="00AC12B4" w:rsidRDefault="00AC12B4">
            <w:pPr>
              <w:rPr>
                <w:sz w:val="23"/>
                <w:szCs w:val="23"/>
              </w:rPr>
            </w:pPr>
          </w:p>
        </w:tc>
        <w:tc>
          <w:tcPr>
            <w:tcW w:w="46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580" w:type="dxa"/>
            <w:vAlign w:val="bottom"/>
          </w:tcPr>
          <w:p w:rsidR="00AC12B4" w:rsidRDefault="00AC12B4">
            <w:pPr>
              <w:rPr>
                <w:sz w:val="23"/>
                <w:szCs w:val="23"/>
              </w:rPr>
            </w:pPr>
          </w:p>
        </w:tc>
        <w:tc>
          <w:tcPr>
            <w:tcW w:w="10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680" w:type="dxa"/>
            <w:tcBorders>
              <w:right w:val="single" w:sz="8" w:space="0" w:color="8BCCEC"/>
            </w:tcBorders>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89"/>
        </w:trPr>
        <w:tc>
          <w:tcPr>
            <w:tcW w:w="940" w:type="dxa"/>
            <w:gridSpan w:val="2"/>
            <w:vAlign w:val="bottom"/>
          </w:tcPr>
          <w:p w:rsidR="00AC12B4" w:rsidRDefault="00C27636">
            <w:pPr>
              <w:rPr>
                <w:sz w:val="20"/>
                <w:szCs w:val="20"/>
              </w:rPr>
            </w:pPr>
            <w:r>
              <w:rPr>
                <w:rFonts w:ascii="Calibri" w:eastAsia="Calibri" w:hAnsi="Calibri" w:cs="Calibri"/>
              </w:rPr>
              <w:t>Notons</w:t>
            </w:r>
          </w:p>
        </w:tc>
        <w:tc>
          <w:tcPr>
            <w:tcW w:w="1100" w:type="dxa"/>
            <w:gridSpan w:val="2"/>
            <w:vAlign w:val="bottom"/>
          </w:tcPr>
          <w:p w:rsidR="00AC12B4" w:rsidRDefault="00C27636">
            <w:pPr>
              <w:ind w:right="331"/>
              <w:jc w:val="right"/>
              <w:rPr>
                <w:sz w:val="20"/>
                <w:szCs w:val="20"/>
              </w:rPr>
            </w:pPr>
            <w:r>
              <w:rPr>
                <w:rFonts w:ascii="Calibri" w:eastAsia="Calibri" w:hAnsi="Calibri" w:cs="Calibri"/>
              </w:rPr>
              <w:t>que</w:t>
            </w:r>
          </w:p>
        </w:tc>
        <w:tc>
          <w:tcPr>
            <w:tcW w:w="600" w:type="dxa"/>
            <w:tcBorders>
              <w:right w:val="single" w:sz="8" w:space="0" w:color="8BCCEC"/>
            </w:tcBorders>
            <w:vAlign w:val="bottom"/>
          </w:tcPr>
          <w:p w:rsidR="00AC12B4" w:rsidRDefault="00C27636">
            <w:pPr>
              <w:ind w:right="170"/>
              <w:jc w:val="right"/>
              <w:rPr>
                <w:sz w:val="20"/>
                <w:szCs w:val="20"/>
              </w:rPr>
            </w:pPr>
            <w:r>
              <w:rPr>
                <w:rFonts w:ascii="Calibri" w:eastAsia="Calibri" w:hAnsi="Calibri" w:cs="Calibri"/>
              </w:rPr>
              <w:t>la</w:t>
            </w:r>
          </w:p>
        </w:tc>
        <w:tc>
          <w:tcPr>
            <w:tcW w:w="50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580" w:type="dxa"/>
            <w:vAlign w:val="bottom"/>
          </w:tcPr>
          <w:p w:rsidR="00AC12B4" w:rsidRDefault="00AC12B4">
            <w:pPr>
              <w:rPr>
                <w:sz w:val="24"/>
                <w:szCs w:val="24"/>
              </w:rPr>
            </w:pPr>
          </w:p>
        </w:tc>
        <w:tc>
          <w:tcPr>
            <w:tcW w:w="10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6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6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680" w:type="dxa"/>
            <w:tcBorders>
              <w:right w:val="single" w:sz="8" w:space="0" w:color="8BCCEC"/>
            </w:tcBorders>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95"/>
        </w:trPr>
        <w:tc>
          <w:tcPr>
            <w:tcW w:w="1440" w:type="dxa"/>
            <w:gridSpan w:val="3"/>
            <w:vAlign w:val="bottom"/>
          </w:tcPr>
          <w:p w:rsidR="00AC12B4" w:rsidRDefault="00C27636">
            <w:pPr>
              <w:rPr>
                <w:sz w:val="20"/>
                <w:szCs w:val="20"/>
              </w:rPr>
            </w:pPr>
            <w:r>
              <w:rPr>
                <w:rFonts w:ascii="Calibri" w:eastAsia="Calibri" w:hAnsi="Calibri" w:cs="Calibri"/>
              </w:rPr>
              <w:t>Communauté</w:t>
            </w:r>
          </w:p>
        </w:tc>
        <w:tc>
          <w:tcPr>
            <w:tcW w:w="600" w:type="dxa"/>
            <w:vAlign w:val="bottom"/>
          </w:tcPr>
          <w:p w:rsidR="00AC12B4" w:rsidRDefault="00AC12B4">
            <w:pPr>
              <w:rPr>
                <w:sz w:val="24"/>
                <w:szCs w:val="24"/>
              </w:rPr>
            </w:pPr>
          </w:p>
        </w:tc>
        <w:tc>
          <w:tcPr>
            <w:tcW w:w="600" w:type="dxa"/>
            <w:tcBorders>
              <w:right w:val="single" w:sz="8" w:space="0" w:color="8BCCEC"/>
            </w:tcBorders>
            <w:vAlign w:val="bottom"/>
          </w:tcPr>
          <w:p w:rsidR="00AC12B4" w:rsidRDefault="00AC12B4">
            <w:pPr>
              <w:rPr>
                <w:sz w:val="24"/>
                <w:szCs w:val="24"/>
              </w:rPr>
            </w:pPr>
          </w:p>
        </w:tc>
        <w:tc>
          <w:tcPr>
            <w:tcW w:w="500" w:type="dxa"/>
            <w:tcBorders>
              <w:bottom w:val="single" w:sz="8" w:space="0" w:color="8BCCEC"/>
            </w:tcBorders>
            <w:vAlign w:val="bottom"/>
          </w:tcPr>
          <w:p w:rsidR="00AC12B4" w:rsidRDefault="00AC12B4">
            <w:pPr>
              <w:rPr>
                <w:sz w:val="24"/>
                <w:szCs w:val="24"/>
              </w:rPr>
            </w:pPr>
          </w:p>
        </w:tc>
        <w:tc>
          <w:tcPr>
            <w:tcW w:w="460" w:type="dxa"/>
            <w:tcBorders>
              <w:bottom w:val="single" w:sz="8" w:space="0" w:color="8BCCEC"/>
            </w:tcBorders>
            <w:vAlign w:val="bottom"/>
          </w:tcPr>
          <w:p w:rsidR="00AC12B4" w:rsidRDefault="00AC12B4">
            <w:pPr>
              <w:rPr>
                <w:sz w:val="24"/>
                <w:szCs w:val="24"/>
              </w:rPr>
            </w:pPr>
          </w:p>
        </w:tc>
        <w:tc>
          <w:tcPr>
            <w:tcW w:w="60" w:type="dxa"/>
            <w:tcBorders>
              <w:bottom w:val="single" w:sz="8" w:space="0" w:color="8BCCEC"/>
            </w:tcBorders>
            <w:vAlign w:val="bottom"/>
          </w:tcPr>
          <w:p w:rsidR="00AC12B4" w:rsidRDefault="00AC12B4">
            <w:pPr>
              <w:rPr>
                <w:sz w:val="24"/>
                <w:szCs w:val="24"/>
              </w:rPr>
            </w:pPr>
          </w:p>
        </w:tc>
        <w:tc>
          <w:tcPr>
            <w:tcW w:w="580" w:type="dxa"/>
            <w:tcBorders>
              <w:bottom w:val="single" w:sz="8" w:space="0" w:color="8BCCEC"/>
            </w:tcBorders>
            <w:vAlign w:val="bottom"/>
          </w:tcPr>
          <w:p w:rsidR="00AC12B4" w:rsidRDefault="00AC12B4">
            <w:pPr>
              <w:rPr>
                <w:sz w:val="24"/>
                <w:szCs w:val="24"/>
              </w:rPr>
            </w:pPr>
          </w:p>
        </w:tc>
        <w:tc>
          <w:tcPr>
            <w:tcW w:w="1040" w:type="dxa"/>
            <w:tcBorders>
              <w:bottom w:val="single" w:sz="8" w:space="0" w:color="8BCCEC"/>
            </w:tcBorders>
            <w:vAlign w:val="bottom"/>
          </w:tcPr>
          <w:p w:rsidR="00AC12B4" w:rsidRDefault="00AC12B4">
            <w:pPr>
              <w:rPr>
                <w:sz w:val="24"/>
                <w:szCs w:val="24"/>
              </w:rPr>
            </w:pPr>
          </w:p>
        </w:tc>
        <w:tc>
          <w:tcPr>
            <w:tcW w:w="20" w:type="dxa"/>
            <w:tcBorders>
              <w:bottom w:val="single" w:sz="8" w:space="0" w:color="8BCCEC"/>
            </w:tcBorders>
            <w:vAlign w:val="bottom"/>
          </w:tcPr>
          <w:p w:rsidR="00AC12B4" w:rsidRDefault="00AC12B4">
            <w:pPr>
              <w:rPr>
                <w:sz w:val="24"/>
                <w:szCs w:val="24"/>
              </w:rPr>
            </w:pPr>
          </w:p>
        </w:tc>
        <w:tc>
          <w:tcPr>
            <w:tcW w:w="1620" w:type="dxa"/>
            <w:tcBorders>
              <w:bottom w:val="single" w:sz="8" w:space="0" w:color="8BCCEC"/>
            </w:tcBorders>
            <w:vAlign w:val="bottom"/>
          </w:tcPr>
          <w:p w:rsidR="00AC12B4" w:rsidRDefault="00AC12B4">
            <w:pPr>
              <w:rPr>
                <w:sz w:val="24"/>
                <w:szCs w:val="24"/>
              </w:rPr>
            </w:pPr>
          </w:p>
        </w:tc>
        <w:tc>
          <w:tcPr>
            <w:tcW w:w="20" w:type="dxa"/>
            <w:tcBorders>
              <w:bottom w:val="single" w:sz="8" w:space="0" w:color="8BCCEC"/>
            </w:tcBorders>
            <w:vAlign w:val="bottom"/>
          </w:tcPr>
          <w:p w:rsidR="00AC12B4" w:rsidRDefault="00AC12B4">
            <w:pPr>
              <w:rPr>
                <w:sz w:val="24"/>
                <w:szCs w:val="24"/>
              </w:rPr>
            </w:pPr>
          </w:p>
        </w:tc>
        <w:tc>
          <w:tcPr>
            <w:tcW w:w="1620" w:type="dxa"/>
            <w:tcBorders>
              <w:bottom w:val="single" w:sz="8" w:space="0" w:color="8BCCEC"/>
            </w:tcBorders>
            <w:vAlign w:val="bottom"/>
          </w:tcPr>
          <w:p w:rsidR="00AC12B4" w:rsidRDefault="00AC12B4">
            <w:pPr>
              <w:rPr>
                <w:sz w:val="24"/>
                <w:szCs w:val="24"/>
              </w:rPr>
            </w:pPr>
          </w:p>
        </w:tc>
        <w:tc>
          <w:tcPr>
            <w:tcW w:w="20" w:type="dxa"/>
            <w:tcBorders>
              <w:bottom w:val="single" w:sz="8" w:space="0" w:color="8BCCEC"/>
            </w:tcBorders>
            <w:vAlign w:val="bottom"/>
          </w:tcPr>
          <w:p w:rsidR="00AC12B4" w:rsidRDefault="00AC12B4">
            <w:pPr>
              <w:rPr>
                <w:sz w:val="24"/>
                <w:szCs w:val="24"/>
              </w:rPr>
            </w:pPr>
          </w:p>
        </w:tc>
        <w:tc>
          <w:tcPr>
            <w:tcW w:w="300" w:type="dxa"/>
            <w:tcBorders>
              <w:bottom w:val="single" w:sz="8" w:space="0" w:color="8BCCEC"/>
            </w:tcBorders>
            <w:vAlign w:val="bottom"/>
          </w:tcPr>
          <w:p w:rsidR="00AC12B4" w:rsidRDefault="00AC12B4">
            <w:pPr>
              <w:rPr>
                <w:sz w:val="24"/>
                <w:szCs w:val="24"/>
              </w:rPr>
            </w:pPr>
          </w:p>
        </w:tc>
        <w:tc>
          <w:tcPr>
            <w:tcW w:w="100" w:type="dxa"/>
            <w:tcBorders>
              <w:bottom w:val="single" w:sz="8" w:space="0" w:color="8BCCEC"/>
            </w:tcBorders>
            <w:vAlign w:val="bottom"/>
          </w:tcPr>
          <w:p w:rsidR="00AC12B4" w:rsidRDefault="00AC12B4">
            <w:pPr>
              <w:rPr>
                <w:sz w:val="24"/>
                <w:szCs w:val="24"/>
              </w:rPr>
            </w:pPr>
          </w:p>
        </w:tc>
        <w:tc>
          <w:tcPr>
            <w:tcW w:w="680" w:type="dxa"/>
            <w:tcBorders>
              <w:bottom w:val="single" w:sz="8" w:space="0" w:color="8BCCEC"/>
              <w:right w:val="single" w:sz="8" w:space="0" w:color="8BCCEC"/>
            </w:tcBorders>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46"/>
        </w:trPr>
        <w:tc>
          <w:tcPr>
            <w:tcW w:w="1440" w:type="dxa"/>
            <w:gridSpan w:val="3"/>
            <w:vAlign w:val="bottom"/>
          </w:tcPr>
          <w:p w:rsidR="00AC12B4" w:rsidRDefault="00C27636">
            <w:pPr>
              <w:spacing w:line="222" w:lineRule="exact"/>
              <w:rPr>
                <w:sz w:val="20"/>
                <w:szCs w:val="20"/>
              </w:rPr>
            </w:pPr>
            <w:r>
              <w:rPr>
                <w:rFonts w:ascii="Calibri" w:eastAsia="Calibri" w:hAnsi="Calibri" w:cs="Calibri"/>
              </w:rPr>
              <w:t>germanophone</w:t>
            </w:r>
          </w:p>
        </w:tc>
        <w:tc>
          <w:tcPr>
            <w:tcW w:w="600" w:type="dxa"/>
            <w:vAlign w:val="bottom"/>
          </w:tcPr>
          <w:p w:rsidR="00AC12B4" w:rsidRDefault="00C27636">
            <w:pPr>
              <w:spacing w:line="222" w:lineRule="exact"/>
              <w:ind w:right="11"/>
              <w:jc w:val="right"/>
              <w:rPr>
                <w:sz w:val="20"/>
                <w:szCs w:val="20"/>
              </w:rPr>
            </w:pPr>
            <w:r>
              <w:rPr>
                <w:rFonts w:ascii="Calibri" w:eastAsia="Calibri" w:hAnsi="Calibri" w:cs="Calibri"/>
              </w:rPr>
              <w:t>fait</w:t>
            </w:r>
          </w:p>
        </w:tc>
        <w:tc>
          <w:tcPr>
            <w:tcW w:w="600" w:type="dxa"/>
            <w:vAlign w:val="bottom"/>
          </w:tcPr>
          <w:p w:rsidR="00AC12B4" w:rsidRDefault="00C27636">
            <w:pPr>
              <w:spacing w:line="222" w:lineRule="exact"/>
              <w:ind w:right="170"/>
              <w:jc w:val="right"/>
              <w:rPr>
                <w:sz w:val="20"/>
                <w:szCs w:val="20"/>
              </w:rPr>
            </w:pPr>
            <w:r>
              <w:rPr>
                <w:rFonts w:ascii="Calibri" w:eastAsia="Calibri" w:hAnsi="Calibri" w:cs="Calibri"/>
              </w:rPr>
              <w:t>ici</w:t>
            </w:r>
          </w:p>
        </w:tc>
        <w:tc>
          <w:tcPr>
            <w:tcW w:w="7120" w:type="dxa"/>
            <w:gridSpan w:val="14"/>
            <w:vAlign w:val="bottom"/>
          </w:tcPr>
          <w:p w:rsidR="00AC12B4" w:rsidRPr="00C27636" w:rsidRDefault="00C27636">
            <w:pPr>
              <w:ind w:right="320"/>
              <w:jc w:val="right"/>
              <w:rPr>
                <w:sz w:val="20"/>
                <w:szCs w:val="20"/>
                <w:lang w:val="fr-BE"/>
              </w:rPr>
            </w:pPr>
            <w:r w:rsidRPr="00C27636">
              <w:rPr>
                <w:rFonts w:ascii="Calibri" w:eastAsia="Calibri" w:hAnsi="Calibri" w:cs="Calibri"/>
                <w:b/>
                <w:bCs/>
                <w:color w:val="4F81BD"/>
                <w:sz w:val="18"/>
                <w:szCs w:val="18"/>
                <w:lang w:val="fr-BE"/>
              </w:rPr>
              <w:t>Figure 2. Evolution des différences de performance en mathématique (PISA 2003/2012).</w:t>
            </w:r>
          </w:p>
        </w:tc>
        <w:tc>
          <w:tcPr>
            <w:tcW w:w="0" w:type="dxa"/>
            <w:vAlign w:val="bottom"/>
          </w:tcPr>
          <w:p w:rsidR="00AC12B4" w:rsidRPr="00C27636" w:rsidRDefault="00AC12B4">
            <w:pPr>
              <w:rPr>
                <w:sz w:val="1"/>
                <w:szCs w:val="1"/>
                <w:lang w:val="fr-BE"/>
              </w:rPr>
            </w:pPr>
          </w:p>
        </w:tc>
      </w:tr>
      <w:tr w:rsidR="00AC12B4" w:rsidRPr="00C27636">
        <w:trPr>
          <w:trHeight w:val="245"/>
        </w:trPr>
        <w:tc>
          <w:tcPr>
            <w:tcW w:w="2640" w:type="dxa"/>
            <w:gridSpan w:val="5"/>
            <w:vAlign w:val="bottom"/>
          </w:tcPr>
          <w:p w:rsidR="00AC12B4" w:rsidRPr="00C27636" w:rsidRDefault="00C27636">
            <w:pPr>
              <w:spacing w:line="246" w:lineRule="exact"/>
              <w:rPr>
                <w:sz w:val="20"/>
                <w:szCs w:val="20"/>
                <w:lang w:val="fr-BE"/>
              </w:rPr>
            </w:pPr>
            <w:r w:rsidRPr="00C27636">
              <w:rPr>
                <w:rFonts w:ascii="Calibri" w:eastAsia="Calibri" w:hAnsi="Calibri" w:cs="Calibri"/>
                <w:lang w:val="fr-BE"/>
              </w:rPr>
              <w:t>office de bon élève avec</w:t>
            </w:r>
          </w:p>
        </w:tc>
        <w:tc>
          <w:tcPr>
            <w:tcW w:w="7120" w:type="dxa"/>
            <w:gridSpan w:val="14"/>
            <w:vAlign w:val="bottom"/>
          </w:tcPr>
          <w:p w:rsidR="00AC12B4" w:rsidRPr="00C27636" w:rsidRDefault="00C27636">
            <w:pPr>
              <w:spacing w:line="218" w:lineRule="exact"/>
              <w:ind w:left="180"/>
              <w:rPr>
                <w:sz w:val="20"/>
                <w:szCs w:val="20"/>
                <w:lang w:val="fr-BE"/>
              </w:rPr>
            </w:pPr>
            <w:r w:rsidRPr="00C27636">
              <w:rPr>
                <w:rFonts w:ascii="Calibri" w:eastAsia="Calibri" w:hAnsi="Calibri" w:cs="Calibri"/>
                <w:b/>
                <w:bCs/>
                <w:color w:val="4F81BD"/>
                <w:sz w:val="18"/>
                <w:szCs w:val="18"/>
                <w:lang w:val="fr-BE"/>
              </w:rPr>
              <w:t>NB : x/y = x par rapport à y.</w:t>
            </w:r>
          </w:p>
        </w:tc>
        <w:tc>
          <w:tcPr>
            <w:tcW w:w="0" w:type="dxa"/>
            <w:vAlign w:val="bottom"/>
          </w:tcPr>
          <w:p w:rsidR="00AC12B4" w:rsidRPr="00C27636" w:rsidRDefault="00AC12B4">
            <w:pPr>
              <w:rPr>
                <w:sz w:val="1"/>
                <w:szCs w:val="1"/>
                <w:lang w:val="fr-BE"/>
              </w:rPr>
            </w:pPr>
          </w:p>
        </w:tc>
      </w:tr>
      <w:tr w:rsidR="00AC12B4" w:rsidRPr="00C27636">
        <w:trPr>
          <w:trHeight w:val="269"/>
        </w:trPr>
        <w:tc>
          <w:tcPr>
            <w:tcW w:w="300" w:type="dxa"/>
            <w:vAlign w:val="bottom"/>
          </w:tcPr>
          <w:p w:rsidR="00AC12B4" w:rsidRDefault="00C27636">
            <w:pPr>
              <w:rPr>
                <w:sz w:val="20"/>
                <w:szCs w:val="20"/>
              </w:rPr>
            </w:pPr>
            <w:r>
              <w:rPr>
                <w:rFonts w:ascii="Calibri" w:eastAsia="Calibri" w:hAnsi="Calibri" w:cs="Calibri"/>
              </w:rPr>
              <w:t>les</w:t>
            </w:r>
          </w:p>
        </w:tc>
        <w:tc>
          <w:tcPr>
            <w:tcW w:w="1140" w:type="dxa"/>
            <w:gridSpan w:val="2"/>
            <w:vAlign w:val="bottom"/>
          </w:tcPr>
          <w:p w:rsidR="00AC12B4" w:rsidRDefault="00C27636">
            <w:pPr>
              <w:ind w:right="171"/>
              <w:jc w:val="right"/>
              <w:rPr>
                <w:sz w:val="20"/>
                <w:szCs w:val="20"/>
              </w:rPr>
            </w:pPr>
            <w:r>
              <w:rPr>
                <w:rFonts w:ascii="Calibri" w:eastAsia="Calibri" w:hAnsi="Calibri" w:cs="Calibri"/>
              </w:rPr>
              <w:t>autres</w:t>
            </w:r>
          </w:p>
        </w:tc>
        <w:tc>
          <w:tcPr>
            <w:tcW w:w="1200" w:type="dxa"/>
            <w:gridSpan w:val="2"/>
            <w:vAlign w:val="bottom"/>
          </w:tcPr>
          <w:p w:rsidR="00AC12B4" w:rsidRDefault="00C27636">
            <w:pPr>
              <w:ind w:right="170"/>
              <w:jc w:val="right"/>
              <w:rPr>
                <w:sz w:val="20"/>
                <w:szCs w:val="20"/>
              </w:rPr>
            </w:pPr>
            <w:r>
              <w:rPr>
                <w:rFonts w:ascii="Calibri" w:eastAsia="Calibri" w:hAnsi="Calibri" w:cs="Calibri"/>
              </w:rPr>
              <w:t>inégalités</w:t>
            </w:r>
          </w:p>
        </w:tc>
        <w:tc>
          <w:tcPr>
            <w:tcW w:w="7120" w:type="dxa"/>
            <w:gridSpan w:val="14"/>
            <w:vMerge w:val="restart"/>
            <w:vAlign w:val="bottom"/>
          </w:tcPr>
          <w:p w:rsidR="00AC12B4" w:rsidRPr="00C27636" w:rsidRDefault="00C27636">
            <w:pPr>
              <w:ind w:left="180"/>
              <w:rPr>
                <w:sz w:val="20"/>
                <w:szCs w:val="20"/>
                <w:lang w:val="fr-BE"/>
              </w:rPr>
            </w:pPr>
            <w:r w:rsidRPr="00C27636">
              <w:rPr>
                <w:rFonts w:ascii="Calibri" w:eastAsia="Calibri" w:hAnsi="Calibri" w:cs="Calibri"/>
                <w:color w:val="4F81BD"/>
                <w:sz w:val="18"/>
                <w:szCs w:val="18"/>
                <w:lang w:val="fr-BE"/>
              </w:rPr>
              <w:t>Source : PISA ULG, La culture mathématique à 15 ans. Premiers résultats de PISA 2012 en</w:t>
            </w:r>
          </w:p>
        </w:tc>
        <w:tc>
          <w:tcPr>
            <w:tcW w:w="0" w:type="dxa"/>
            <w:vAlign w:val="bottom"/>
          </w:tcPr>
          <w:p w:rsidR="00AC12B4" w:rsidRPr="00C27636" w:rsidRDefault="00AC12B4">
            <w:pPr>
              <w:rPr>
                <w:sz w:val="1"/>
                <w:szCs w:val="1"/>
                <w:lang w:val="fr-BE"/>
              </w:rPr>
            </w:pPr>
          </w:p>
        </w:tc>
      </w:tr>
      <w:tr w:rsidR="00AC12B4" w:rsidRPr="00C27636">
        <w:trPr>
          <w:trHeight w:val="45"/>
        </w:trPr>
        <w:tc>
          <w:tcPr>
            <w:tcW w:w="300" w:type="dxa"/>
            <w:vAlign w:val="bottom"/>
          </w:tcPr>
          <w:p w:rsidR="00AC12B4" w:rsidRPr="00C27636" w:rsidRDefault="00AC12B4">
            <w:pPr>
              <w:rPr>
                <w:sz w:val="3"/>
                <w:szCs w:val="3"/>
                <w:lang w:val="fr-BE"/>
              </w:rPr>
            </w:pPr>
          </w:p>
        </w:tc>
        <w:tc>
          <w:tcPr>
            <w:tcW w:w="640" w:type="dxa"/>
            <w:vAlign w:val="bottom"/>
          </w:tcPr>
          <w:p w:rsidR="00AC12B4" w:rsidRPr="00C27636" w:rsidRDefault="00AC12B4">
            <w:pPr>
              <w:rPr>
                <w:sz w:val="3"/>
                <w:szCs w:val="3"/>
                <w:lang w:val="fr-BE"/>
              </w:rPr>
            </w:pPr>
          </w:p>
        </w:tc>
        <w:tc>
          <w:tcPr>
            <w:tcW w:w="500" w:type="dxa"/>
            <w:vAlign w:val="bottom"/>
          </w:tcPr>
          <w:p w:rsidR="00AC12B4" w:rsidRPr="00C27636" w:rsidRDefault="00AC12B4">
            <w:pPr>
              <w:rPr>
                <w:sz w:val="3"/>
                <w:szCs w:val="3"/>
                <w:lang w:val="fr-BE"/>
              </w:rPr>
            </w:pPr>
          </w:p>
        </w:tc>
        <w:tc>
          <w:tcPr>
            <w:tcW w:w="600" w:type="dxa"/>
            <w:vAlign w:val="bottom"/>
          </w:tcPr>
          <w:p w:rsidR="00AC12B4" w:rsidRPr="00C27636" w:rsidRDefault="00AC12B4">
            <w:pPr>
              <w:rPr>
                <w:sz w:val="3"/>
                <w:szCs w:val="3"/>
                <w:lang w:val="fr-BE"/>
              </w:rPr>
            </w:pPr>
          </w:p>
        </w:tc>
        <w:tc>
          <w:tcPr>
            <w:tcW w:w="600" w:type="dxa"/>
            <w:vAlign w:val="bottom"/>
          </w:tcPr>
          <w:p w:rsidR="00AC12B4" w:rsidRPr="00C27636" w:rsidRDefault="00AC12B4">
            <w:pPr>
              <w:rPr>
                <w:sz w:val="3"/>
                <w:szCs w:val="3"/>
                <w:lang w:val="fr-BE"/>
              </w:rPr>
            </w:pPr>
          </w:p>
        </w:tc>
        <w:tc>
          <w:tcPr>
            <w:tcW w:w="7120" w:type="dxa"/>
            <w:gridSpan w:val="14"/>
            <w:vMerge/>
            <w:vAlign w:val="bottom"/>
          </w:tcPr>
          <w:p w:rsidR="00AC12B4" w:rsidRPr="00C27636" w:rsidRDefault="00AC12B4">
            <w:pPr>
              <w:rPr>
                <w:sz w:val="3"/>
                <w:szCs w:val="3"/>
                <w:lang w:val="fr-BE"/>
              </w:rPr>
            </w:pPr>
          </w:p>
        </w:tc>
        <w:tc>
          <w:tcPr>
            <w:tcW w:w="0" w:type="dxa"/>
            <w:vAlign w:val="bottom"/>
          </w:tcPr>
          <w:p w:rsidR="00AC12B4" w:rsidRPr="00C27636" w:rsidRDefault="00AC12B4">
            <w:pPr>
              <w:rPr>
                <w:sz w:val="1"/>
                <w:szCs w:val="1"/>
                <w:lang w:val="fr-BE"/>
              </w:rPr>
            </w:pPr>
          </w:p>
        </w:tc>
      </w:tr>
      <w:tr w:rsidR="00AC12B4" w:rsidRPr="00C27636">
        <w:trPr>
          <w:trHeight w:val="221"/>
        </w:trPr>
        <w:tc>
          <w:tcPr>
            <w:tcW w:w="1440" w:type="dxa"/>
            <w:gridSpan w:val="3"/>
            <w:vAlign w:val="bottom"/>
          </w:tcPr>
          <w:p w:rsidR="00AC12B4" w:rsidRDefault="00C27636">
            <w:pPr>
              <w:spacing w:line="221" w:lineRule="exact"/>
              <w:rPr>
                <w:sz w:val="20"/>
                <w:szCs w:val="20"/>
              </w:rPr>
            </w:pPr>
            <w:r>
              <w:rPr>
                <w:rFonts w:ascii="Calibri" w:eastAsia="Calibri" w:hAnsi="Calibri" w:cs="Calibri"/>
              </w:rPr>
              <w:t>également</w:t>
            </w:r>
          </w:p>
        </w:tc>
        <w:tc>
          <w:tcPr>
            <w:tcW w:w="1200" w:type="dxa"/>
            <w:gridSpan w:val="2"/>
            <w:vAlign w:val="bottom"/>
          </w:tcPr>
          <w:p w:rsidR="00AC12B4" w:rsidRDefault="00C27636">
            <w:pPr>
              <w:spacing w:line="221" w:lineRule="exact"/>
              <w:ind w:right="170"/>
              <w:jc w:val="right"/>
              <w:rPr>
                <w:sz w:val="20"/>
                <w:szCs w:val="20"/>
              </w:rPr>
            </w:pPr>
            <w:r>
              <w:rPr>
                <w:rFonts w:ascii="Calibri" w:eastAsia="Calibri" w:hAnsi="Calibri" w:cs="Calibri"/>
              </w:rPr>
              <w:t>beaucoup</w:t>
            </w:r>
          </w:p>
        </w:tc>
        <w:tc>
          <w:tcPr>
            <w:tcW w:w="7120" w:type="dxa"/>
            <w:gridSpan w:val="14"/>
            <w:vAlign w:val="bottom"/>
          </w:tcPr>
          <w:p w:rsidR="00AC12B4" w:rsidRPr="00C27636" w:rsidRDefault="00C27636">
            <w:pPr>
              <w:ind w:left="180"/>
              <w:rPr>
                <w:rFonts w:ascii="Calibri" w:eastAsia="Calibri" w:hAnsi="Calibri" w:cs="Calibri"/>
                <w:color w:val="4F81BD"/>
                <w:sz w:val="18"/>
                <w:szCs w:val="18"/>
                <w:lang w:val="fr-BE"/>
              </w:rPr>
            </w:pPr>
            <w:r w:rsidRPr="00C27636">
              <w:rPr>
                <w:rFonts w:ascii="Calibri" w:eastAsia="Calibri" w:hAnsi="Calibri" w:cs="Calibri"/>
                <w:color w:val="4F81BD"/>
                <w:sz w:val="18"/>
                <w:szCs w:val="18"/>
                <w:lang w:val="fr-BE"/>
              </w:rPr>
              <w:t xml:space="preserve">Fédération Wallonie-Bruxelles, </w:t>
            </w:r>
            <w:hyperlink r:id="rId223">
              <w:r w:rsidRPr="00C27636">
                <w:rPr>
                  <w:rFonts w:ascii="Calibri" w:eastAsia="Calibri" w:hAnsi="Calibri" w:cs="Calibri"/>
                  <w:color w:val="4F81BD"/>
                  <w:sz w:val="18"/>
                  <w:szCs w:val="18"/>
                  <w:lang w:val="fr-BE"/>
                </w:rPr>
                <w:t>http://www.aspe.ulg.ac.be/Files/note_synthese_pisa2012.pdf</w:t>
              </w:r>
            </w:hyperlink>
          </w:p>
        </w:tc>
        <w:tc>
          <w:tcPr>
            <w:tcW w:w="0" w:type="dxa"/>
            <w:vAlign w:val="bottom"/>
          </w:tcPr>
          <w:p w:rsidR="00AC12B4" w:rsidRPr="00C27636" w:rsidRDefault="00AC12B4">
            <w:pPr>
              <w:rPr>
                <w:sz w:val="1"/>
                <w:szCs w:val="1"/>
                <w:lang w:val="fr-BE"/>
              </w:rPr>
            </w:pPr>
          </w:p>
        </w:tc>
      </w:tr>
      <w:tr w:rsidR="00AC12B4">
        <w:trPr>
          <w:trHeight w:val="269"/>
        </w:trPr>
        <w:tc>
          <w:tcPr>
            <w:tcW w:w="2640" w:type="dxa"/>
            <w:gridSpan w:val="5"/>
            <w:vAlign w:val="bottom"/>
          </w:tcPr>
          <w:p w:rsidR="00AC12B4" w:rsidRDefault="00C27636">
            <w:pPr>
              <w:rPr>
                <w:sz w:val="20"/>
                <w:szCs w:val="20"/>
              </w:rPr>
            </w:pPr>
            <w:r>
              <w:rPr>
                <w:rFonts w:ascii="Calibri" w:eastAsia="Calibri" w:hAnsi="Calibri" w:cs="Calibri"/>
              </w:rPr>
              <w:t>moins marquées que dans</w:t>
            </w:r>
          </w:p>
        </w:tc>
        <w:tc>
          <w:tcPr>
            <w:tcW w:w="500" w:type="dxa"/>
            <w:vAlign w:val="bottom"/>
          </w:tcPr>
          <w:p w:rsidR="00AC12B4" w:rsidRDefault="00AC12B4">
            <w:pPr>
              <w:rPr>
                <w:sz w:val="23"/>
                <w:szCs w:val="23"/>
              </w:rPr>
            </w:pPr>
          </w:p>
        </w:tc>
        <w:tc>
          <w:tcPr>
            <w:tcW w:w="46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580" w:type="dxa"/>
            <w:vAlign w:val="bottom"/>
          </w:tcPr>
          <w:p w:rsidR="00AC12B4" w:rsidRDefault="00AC12B4">
            <w:pPr>
              <w:rPr>
                <w:sz w:val="23"/>
                <w:szCs w:val="23"/>
              </w:rPr>
            </w:pPr>
          </w:p>
        </w:tc>
        <w:tc>
          <w:tcPr>
            <w:tcW w:w="10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6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4240" w:type="dxa"/>
            <w:gridSpan w:val="9"/>
            <w:vAlign w:val="bottom"/>
          </w:tcPr>
          <w:p w:rsidR="00AC12B4" w:rsidRPr="00C27636" w:rsidRDefault="00C27636">
            <w:pPr>
              <w:rPr>
                <w:sz w:val="20"/>
                <w:szCs w:val="20"/>
                <w:lang w:val="fr-BE"/>
              </w:rPr>
            </w:pPr>
            <w:r w:rsidRPr="00C27636">
              <w:rPr>
                <w:rFonts w:ascii="Calibri" w:eastAsia="Calibri" w:hAnsi="Calibri" w:cs="Calibri"/>
                <w:lang w:val="fr-BE"/>
              </w:rPr>
              <w:t xml:space="preserve">les autres Communautés (2pt entre </w:t>
            </w:r>
            <w:r w:rsidRPr="00C27636">
              <w:rPr>
                <w:rFonts w:ascii="Calibri" w:eastAsia="Calibri" w:hAnsi="Calibri" w:cs="Calibri"/>
                <w:lang w:val="fr-BE"/>
              </w:rPr>
              <w:lastRenderedPageBreak/>
              <w:t>fille et</w:t>
            </w:r>
          </w:p>
        </w:tc>
        <w:tc>
          <w:tcPr>
            <w:tcW w:w="5520" w:type="dxa"/>
            <w:gridSpan w:val="10"/>
            <w:vAlign w:val="bottom"/>
          </w:tcPr>
          <w:p w:rsidR="00AC12B4" w:rsidRPr="00C27636" w:rsidRDefault="00C27636">
            <w:pPr>
              <w:spacing w:line="230" w:lineRule="exact"/>
              <w:ind w:left="340"/>
              <w:rPr>
                <w:sz w:val="20"/>
                <w:szCs w:val="20"/>
                <w:lang w:val="fr-BE"/>
              </w:rPr>
            </w:pPr>
            <w:r w:rsidRPr="00C27636">
              <w:rPr>
                <w:rFonts w:ascii="Calibri" w:eastAsia="Calibri" w:hAnsi="Calibri" w:cs="Calibri"/>
                <w:lang w:val="fr-BE"/>
              </w:rPr>
              <w:lastRenderedPageBreak/>
              <w:t xml:space="preserve">l’OCDE (respectivement </w:t>
            </w:r>
            <w:r w:rsidRPr="00C27636">
              <w:rPr>
                <w:rFonts w:ascii="Calibri" w:eastAsia="Calibri" w:hAnsi="Calibri" w:cs="Calibri"/>
                <w:lang w:val="fr-BE"/>
              </w:rPr>
              <w:lastRenderedPageBreak/>
              <w:t xml:space="preserve">35pt et </w:t>
            </w:r>
            <w:r w:rsidRPr="00C27636">
              <w:rPr>
                <w:rFonts w:ascii="Calibri" w:eastAsia="Calibri" w:hAnsi="Calibri" w:cs="Calibri"/>
                <w:lang w:val="fr-BE"/>
              </w:rPr>
              <w:t>90pt).</w:t>
            </w:r>
          </w:p>
        </w:tc>
        <w:tc>
          <w:tcPr>
            <w:tcW w:w="0" w:type="dxa"/>
            <w:vAlign w:val="bottom"/>
          </w:tcPr>
          <w:p w:rsidR="00AC12B4" w:rsidRPr="00C27636" w:rsidRDefault="00AC12B4">
            <w:pPr>
              <w:rPr>
                <w:sz w:val="1"/>
                <w:szCs w:val="1"/>
                <w:lang w:val="fr-BE"/>
              </w:rPr>
            </w:pPr>
          </w:p>
        </w:tc>
      </w:tr>
      <w:tr w:rsidR="00AC12B4" w:rsidRPr="00C27636">
        <w:trPr>
          <w:trHeight w:val="269"/>
        </w:trPr>
        <w:tc>
          <w:tcPr>
            <w:tcW w:w="4240" w:type="dxa"/>
            <w:gridSpan w:val="9"/>
            <w:vAlign w:val="bottom"/>
          </w:tcPr>
          <w:p w:rsidR="00AC12B4" w:rsidRPr="00C27636" w:rsidRDefault="00C27636">
            <w:pPr>
              <w:rPr>
                <w:sz w:val="20"/>
                <w:szCs w:val="20"/>
                <w:lang w:val="fr-BE"/>
              </w:rPr>
            </w:pPr>
            <w:r w:rsidRPr="00C27636">
              <w:rPr>
                <w:rFonts w:ascii="Calibri" w:eastAsia="Calibri" w:hAnsi="Calibri" w:cs="Calibri"/>
                <w:lang w:val="fr-BE"/>
              </w:rPr>
              <w:lastRenderedPageBreak/>
              <w:t>garçon, 52pt  entre les élèves d’un statut</w:t>
            </w: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La Belgique se situe dans la moyenne de</w:t>
            </w:r>
          </w:p>
        </w:tc>
        <w:tc>
          <w:tcPr>
            <w:tcW w:w="0" w:type="dxa"/>
            <w:vAlign w:val="bottom"/>
          </w:tcPr>
          <w:p w:rsidR="00AC12B4" w:rsidRPr="00C27636" w:rsidRDefault="00AC12B4">
            <w:pPr>
              <w:rPr>
                <w:sz w:val="1"/>
                <w:szCs w:val="1"/>
                <w:lang w:val="fr-BE"/>
              </w:rPr>
            </w:pPr>
          </w:p>
        </w:tc>
      </w:tr>
      <w:tr w:rsidR="00AC12B4" w:rsidRPr="00C27636">
        <w:trPr>
          <w:trHeight w:val="82"/>
        </w:trPr>
        <w:tc>
          <w:tcPr>
            <w:tcW w:w="3140" w:type="dxa"/>
            <w:gridSpan w:val="6"/>
            <w:vMerge w:val="restart"/>
            <w:vAlign w:val="bottom"/>
          </w:tcPr>
          <w:p w:rsidR="00AC12B4" w:rsidRPr="00C27636" w:rsidRDefault="00C27636">
            <w:pPr>
              <w:rPr>
                <w:sz w:val="20"/>
                <w:szCs w:val="20"/>
                <w:lang w:val="fr-BE"/>
              </w:rPr>
            </w:pPr>
            <w:r w:rsidRPr="00C27636">
              <w:rPr>
                <w:rFonts w:ascii="Calibri" w:eastAsia="Calibri" w:hAnsi="Calibri" w:cs="Calibri"/>
                <w:w w:val="99"/>
                <w:lang w:val="fr-BE"/>
              </w:rPr>
              <w:t>socio-économique élevé ou faible).</w:t>
            </w:r>
          </w:p>
        </w:tc>
        <w:tc>
          <w:tcPr>
            <w:tcW w:w="460" w:type="dxa"/>
            <w:vAlign w:val="bottom"/>
          </w:tcPr>
          <w:p w:rsidR="00AC12B4" w:rsidRPr="00C27636" w:rsidRDefault="00AC12B4">
            <w:pPr>
              <w:rPr>
                <w:sz w:val="7"/>
                <w:szCs w:val="7"/>
                <w:lang w:val="fr-BE"/>
              </w:rPr>
            </w:pPr>
          </w:p>
        </w:tc>
        <w:tc>
          <w:tcPr>
            <w:tcW w:w="60" w:type="dxa"/>
            <w:vAlign w:val="bottom"/>
          </w:tcPr>
          <w:p w:rsidR="00AC12B4" w:rsidRPr="00C27636" w:rsidRDefault="00AC12B4">
            <w:pPr>
              <w:rPr>
                <w:sz w:val="7"/>
                <w:szCs w:val="7"/>
                <w:lang w:val="fr-BE"/>
              </w:rPr>
            </w:pPr>
          </w:p>
        </w:tc>
        <w:tc>
          <w:tcPr>
            <w:tcW w:w="580" w:type="dxa"/>
            <w:vAlign w:val="bottom"/>
          </w:tcPr>
          <w:p w:rsidR="00AC12B4" w:rsidRPr="00C27636" w:rsidRDefault="00AC12B4">
            <w:pPr>
              <w:rPr>
                <w:sz w:val="7"/>
                <w:szCs w:val="7"/>
                <w:lang w:val="fr-BE"/>
              </w:rPr>
            </w:pPr>
          </w:p>
        </w:tc>
        <w:tc>
          <w:tcPr>
            <w:tcW w:w="5520" w:type="dxa"/>
            <w:gridSpan w:val="10"/>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rsidRPr="00C27636">
        <w:trPr>
          <w:trHeight w:val="187"/>
        </w:trPr>
        <w:tc>
          <w:tcPr>
            <w:tcW w:w="3140" w:type="dxa"/>
            <w:gridSpan w:val="6"/>
            <w:vMerge/>
            <w:vAlign w:val="bottom"/>
          </w:tcPr>
          <w:p w:rsidR="00AC12B4" w:rsidRPr="00C27636" w:rsidRDefault="00AC12B4">
            <w:pPr>
              <w:rPr>
                <w:sz w:val="16"/>
                <w:szCs w:val="16"/>
                <w:lang w:val="fr-BE"/>
              </w:rPr>
            </w:pPr>
          </w:p>
        </w:tc>
        <w:tc>
          <w:tcPr>
            <w:tcW w:w="460" w:type="dxa"/>
            <w:vAlign w:val="bottom"/>
          </w:tcPr>
          <w:p w:rsidR="00AC12B4" w:rsidRPr="00C27636" w:rsidRDefault="00AC12B4">
            <w:pPr>
              <w:rPr>
                <w:sz w:val="16"/>
                <w:szCs w:val="16"/>
                <w:lang w:val="fr-BE"/>
              </w:rPr>
            </w:pPr>
          </w:p>
        </w:tc>
        <w:tc>
          <w:tcPr>
            <w:tcW w:w="60" w:type="dxa"/>
            <w:vAlign w:val="bottom"/>
          </w:tcPr>
          <w:p w:rsidR="00AC12B4" w:rsidRPr="00C27636" w:rsidRDefault="00AC12B4">
            <w:pPr>
              <w:rPr>
                <w:sz w:val="16"/>
                <w:szCs w:val="16"/>
                <w:lang w:val="fr-BE"/>
              </w:rPr>
            </w:pPr>
          </w:p>
        </w:tc>
        <w:tc>
          <w:tcPr>
            <w:tcW w:w="580" w:type="dxa"/>
            <w:vAlign w:val="bottom"/>
          </w:tcPr>
          <w:p w:rsidR="00AC12B4" w:rsidRPr="00C27636" w:rsidRDefault="00AC12B4">
            <w:pPr>
              <w:rPr>
                <w:sz w:val="16"/>
                <w:szCs w:val="16"/>
                <w:lang w:val="fr-BE"/>
              </w:rPr>
            </w:pP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l’OCDE en ce qui concerne les différences</w:t>
            </w:r>
          </w:p>
        </w:tc>
        <w:tc>
          <w:tcPr>
            <w:tcW w:w="0" w:type="dxa"/>
            <w:vAlign w:val="bottom"/>
          </w:tcPr>
          <w:p w:rsidR="00AC12B4" w:rsidRPr="00C27636" w:rsidRDefault="00AC12B4">
            <w:pPr>
              <w:rPr>
                <w:sz w:val="1"/>
                <w:szCs w:val="1"/>
                <w:lang w:val="fr-BE"/>
              </w:rPr>
            </w:pPr>
          </w:p>
        </w:tc>
      </w:tr>
      <w:tr w:rsidR="00AC12B4" w:rsidRPr="00C27636">
        <w:trPr>
          <w:trHeight w:val="82"/>
        </w:trPr>
        <w:tc>
          <w:tcPr>
            <w:tcW w:w="300" w:type="dxa"/>
            <w:vAlign w:val="bottom"/>
          </w:tcPr>
          <w:p w:rsidR="00AC12B4" w:rsidRPr="00C27636" w:rsidRDefault="00AC12B4">
            <w:pPr>
              <w:rPr>
                <w:sz w:val="7"/>
                <w:szCs w:val="7"/>
                <w:lang w:val="fr-BE"/>
              </w:rPr>
            </w:pPr>
          </w:p>
        </w:tc>
        <w:tc>
          <w:tcPr>
            <w:tcW w:w="64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600" w:type="dxa"/>
            <w:vAlign w:val="bottom"/>
          </w:tcPr>
          <w:p w:rsidR="00AC12B4" w:rsidRPr="00C27636" w:rsidRDefault="00AC12B4">
            <w:pPr>
              <w:rPr>
                <w:sz w:val="7"/>
                <w:szCs w:val="7"/>
                <w:lang w:val="fr-BE"/>
              </w:rPr>
            </w:pPr>
          </w:p>
        </w:tc>
        <w:tc>
          <w:tcPr>
            <w:tcW w:w="60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460" w:type="dxa"/>
            <w:vAlign w:val="bottom"/>
          </w:tcPr>
          <w:p w:rsidR="00AC12B4" w:rsidRPr="00C27636" w:rsidRDefault="00AC12B4">
            <w:pPr>
              <w:rPr>
                <w:sz w:val="7"/>
                <w:szCs w:val="7"/>
                <w:lang w:val="fr-BE"/>
              </w:rPr>
            </w:pPr>
          </w:p>
        </w:tc>
        <w:tc>
          <w:tcPr>
            <w:tcW w:w="60" w:type="dxa"/>
            <w:vAlign w:val="bottom"/>
          </w:tcPr>
          <w:p w:rsidR="00AC12B4" w:rsidRPr="00C27636" w:rsidRDefault="00AC12B4">
            <w:pPr>
              <w:rPr>
                <w:sz w:val="7"/>
                <w:szCs w:val="7"/>
                <w:lang w:val="fr-BE"/>
              </w:rPr>
            </w:pPr>
          </w:p>
        </w:tc>
        <w:tc>
          <w:tcPr>
            <w:tcW w:w="580" w:type="dxa"/>
            <w:vAlign w:val="bottom"/>
          </w:tcPr>
          <w:p w:rsidR="00AC12B4" w:rsidRPr="00C27636" w:rsidRDefault="00AC12B4">
            <w:pPr>
              <w:rPr>
                <w:sz w:val="7"/>
                <w:szCs w:val="7"/>
                <w:lang w:val="fr-BE"/>
              </w:rPr>
            </w:pPr>
          </w:p>
        </w:tc>
        <w:tc>
          <w:tcPr>
            <w:tcW w:w="5520" w:type="dxa"/>
            <w:gridSpan w:val="10"/>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307"/>
        </w:trPr>
        <w:tc>
          <w:tcPr>
            <w:tcW w:w="4240" w:type="dxa"/>
            <w:gridSpan w:val="9"/>
            <w:vAlign w:val="bottom"/>
          </w:tcPr>
          <w:p w:rsidR="00AC12B4" w:rsidRPr="00C27636" w:rsidRDefault="00C27636">
            <w:pPr>
              <w:rPr>
                <w:sz w:val="20"/>
                <w:szCs w:val="20"/>
                <w:lang w:val="fr-BE"/>
              </w:rPr>
            </w:pPr>
            <w:r w:rsidRPr="00C27636">
              <w:rPr>
                <w:rFonts w:ascii="Calibri" w:eastAsia="Calibri" w:hAnsi="Calibri" w:cs="Calibri"/>
                <w:lang w:val="fr-BE"/>
              </w:rPr>
              <w:t>Finalement,  il  existe  également  une</w:t>
            </w:r>
          </w:p>
        </w:tc>
        <w:tc>
          <w:tcPr>
            <w:tcW w:w="5520" w:type="dxa"/>
            <w:gridSpan w:val="10"/>
            <w:vAlign w:val="bottom"/>
          </w:tcPr>
          <w:p w:rsidR="00AC12B4" w:rsidRDefault="00C27636">
            <w:pPr>
              <w:ind w:left="340"/>
              <w:rPr>
                <w:sz w:val="20"/>
                <w:szCs w:val="20"/>
              </w:rPr>
            </w:pPr>
            <w:r>
              <w:rPr>
                <w:rFonts w:ascii="Calibri" w:eastAsia="Calibri" w:hAnsi="Calibri" w:cs="Calibri"/>
              </w:rPr>
              <w:t xml:space="preserve">entre filles et </w:t>
            </w:r>
            <w:r>
              <w:rPr>
                <w:rFonts w:ascii="Calibri" w:eastAsia="Calibri" w:hAnsi="Calibri" w:cs="Calibri"/>
              </w:rPr>
              <w:t>garçons.</w:t>
            </w:r>
          </w:p>
        </w:tc>
        <w:tc>
          <w:tcPr>
            <w:tcW w:w="0" w:type="dxa"/>
            <w:vAlign w:val="bottom"/>
          </w:tcPr>
          <w:p w:rsidR="00AC12B4" w:rsidRDefault="00AC12B4">
            <w:pPr>
              <w:rPr>
                <w:sz w:val="1"/>
                <w:szCs w:val="1"/>
              </w:rPr>
            </w:pPr>
          </w:p>
        </w:tc>
      </w:tr>
      <w:tr w:rsidR="00AC12B4" w:rsidRPr="00C27636">
        <w:trPr>
          <w:trHeight w:val="269"/>
        </w:trPr>
        <w:tc>
          <w:tcPr>
            <w:tcW w:w="4240" w:type="dxa"/>
            <w:gridSpan w:val="9"/>
            <w:vAlign w:val="bottom"/>
          </w:tcPr>
          <w:p w:rsidR="00AC12B4" w:rsidRPr="00C27636" w:rsidRDefault="00C27636">
            <w:pPr>
              <w:rPr>
                <w:sz w:val="20"/>
                <w:szCs w:val="20"/>
                <w:lang w:val="fr-BE"/>
              </w:rPr>
            </w:pPr>
            <w:r w:rsidRPr="00C27636">
              <w:rPr>
                <w:rFonts w:ascii="Calibri" w:eastAsia="Calibri" w:hAnsi="Calibri" w:cs="Calibri"/>
                <w:lang w:val="fr-BE"/>
              </w:rPr>
              <w:t>disparité générale entre les Communautés</w:t>
            </w: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Notons que la Belgique se situe au-dessus</w:t>
            </w:r>
          </w:p>
        </w:tc>
        <w:tc>
          <w:tcPr>
            <w:tcW w:w="0" w:type="dxa"/>
            <w:vAlign w:val="bottom"/>
          </w:tcPr>
          <w:p w:rsidR="00AC12B4" w:rsidRPr="00C27636" w:rsidRDefault="00AC12B4">
            <w:pPr>
              <w:rPr>
                <w:sz w:val="1"/>
                <w:szCs w:val="1"/>
                <w:lang w:val="fr-BE"/>
              </w:rPr>
            </w:pPr>
          </w:p>
        </w:tc>
      </w:tr>
      <w:tr w:rsidR="00AC12B4" w:rsidRPr="00C27636">
        <w:trPr>
          <w:trHeight w:val="82"/>
        </w:trPr>
        <w:tc>
          <w:tcPr>
            <w:tcW w:w="424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belges. Il y a près de 40pt d’écart entre les</w:t>
            </w:r>
          </w:p>
        </w:tc>
        <w:tc>
          <w:tcPr>
            <w:tcW w:w="5520" w:type="dxa"/>
            <w:gridSpan w:val="10"/>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rsidRPr="00C27636">
        <w:trPr>
          <w:trHeight w:val="187"/>
        </w:trPr>
        <w:tc>
          <w:tcPr>
            <w:tcW w:w="4240" w:type="dxa"/>
            <w:gridSpan w:val="9"/>
            <w:vMerge/>
            <w:vAlign w:val="bottom"/>
          </w:tcPr>
          <w:p w:rsidR="00AC12B4" w:rsidRPr="00C27636" w:rsidRDefault="00AC12B4">
            <w:pPr>
              <w:rPr>
                <w:sz w:val="16"/>
                <w:szCs w:val="16"/>
                <w:lang w:val="fr-BE"/>
              </w:rPr>
            </w:pP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du score moyen des pays de l’OCDE au test</w:t>
            </w:r>
          </w:p>
        </w:tc>
        <w:tc>
          <w:tcPr>
            <w:tcW w:w="0" w:type="dxa"/>
            <w:vAlign w:val="bottom"/>
          </w:tcPr>
          <w:p w:rsidR="00AC12B4" w:rsidRPr="00C27636" w:rsidRDefault="00AC12B4">
            <w:pPr>
              <w:rPr>
                <w:sz w:val="1"/>
                <w:szCs w:val="1"/>
                <w:lang w:val="fr-BE"/>
              </w:rPr>
            </w:pPr>
          </w:p>
        </w:tc>
      </w:tr>
      <w:tr w:rsidR="00AC12B4">
        <w:trPr>
          <w:trHeight w:val="82"/>
        </w:trPr>
        <w:tc>
          <w:tcPr>
            <w:tcW w:w="940" w:type="dxa"/>
            <w:gridSpan w:val="2"/>
            <w:vMerge w:val="restart"/>
            <w:vAlign w:val="bottom"/>
          </w:tcPr>
          <w:p w:rsidR="00AC12B4" w:rsidRDefault="00C27636">
            <w:pPr>
              <w:rPr>
                <w:sz w:val="20"/>
                <w:szCs w:val="20"/>
              </w:rPr>
            </w:pPr>
            <w:r>
              <w:rPr>
                <w:rFonts w:ascii="Calibri" w:eastAsia="Calibri" w:hAnsi="Calibri" w:cs="Calibri"/>
              </w:rPr>
              <w:t>scores</w:t>
            </w:r>
          </w:p>
        </w:tc>
        <w:tc>
          <w:tcPr>
            <w:tcW w:w="1100" w:type="dxa"/>
            <w:gridSpan w:val="2"/>
            <w:vMerge w:val="restart"/>
            <w:vAlign w:val="bottom"/>
          </w:tcPr>
          <w:p w:rsidR="00AC12B4" w:rsidRDefault="00C27636">
            <w:pPr>
              <w:ind w:right="251"/>
              <w:jc w:val="right"/>
              <w:rPr>
                <w:sz w:val="20"/>
                <w:szCs w:val="20"/>
              </w:rPr>
            </w:pPr>
            <w:r>
              <w:rPr>
                <w:rFonts w:ascii="Calibri" w:eastAsia="Calibri" w:hAnsi="Calibri" w:cs="Calibri"/>
              </w:rPr>
              <w:t>moyens</w:t>
            </w:r>
          </w:p>
        </w:tc>
        <w:tc>
          <w:tcPr>
            <w:tcW w:w="1560" w:type="dxa"/>
            <w:gridSpan w:val="3"/>
            <w:vMerge w:val="restart"/>
            <w:vAlign w:val="bottom"/>
          </w:tcPr>
          <w:p w:rsidR="00AC12B4" w:rsidRDefault="00C27636">
            <w:pPr>
              <w:ind w:right="201"/>
              <w:jc w:val="right"/>
              <w:rPr>
                <w:sz w:val="20"/>
                <w:szCs w:val="20"/>
              </w:rPr>
            </w:pPr>
            <w:r>
              <w:rPr>
                <w:rFonts w:ascii="Calibri" w:eastAsia="Calibri" w:hAnsi="Calibri" w:cs="Calibri"/>
              </w:rPr>
              <w:t>francophones</w:t>
            </w:r>
          </w:p>
        </w:tc>
        <w:tc>
          <w:tcPr>
            <w:tcW w:w="60" w:type="dxa"/>
            <w:vAlign w:val="bottom"/>
          </w:tcPr>
          <w:p w:rsidR="00AC12B4" w:rsidRDefault="00AC12B4">
            <w:pPr>
              <w:rPr>
                <w:sz w:val="7"/>
                <w:szCs w:val="7"/>
              </w:rPr>
            </w:pPr>
          </w:p>
        </w:tc>
        <w:tc>
          <w:tcPr>
            <w:tcW w:w="580" w:type="dxa"/>
            <w:vMerge w:val="restart"/>
            <w:vAlign w:val="bottom"/>
          </w:tcPr>
          <w:p w:rsidR="00AC12B4" w:rsidRDefault="00C27636">
            <w:pPr>
              <w:ind w:left="40"/>
              <w:rPr>
                <w:sz w:val="20"/>
                <w:szCs w:val="20"/>
              </w:rPr>
            </w:pPr>
            <w:r>
              <w:rPr>
                <w:rFonts w:ascii="Calibri" w:eastAsia="Calibri" w:hAnsi="Calibri" w:cs="Calibri"/>
              </w:rPr>
              <w:t>et</w:t>
            </w:r>
          </w:p>
        </w:tc>
        <w:tc>
          <w:tcPr>
            <w:tcW w:w="5520" w:type="dxa"/>
            <w:gridSpan w:val="10"/>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187"/>
        </w:trPr>
        <w:tc>
          <w:tcPr>
            <w:tcW w:w="940" w:type="dxa"/>
            <w:gridSpan w:val="2"/>
            <w:vMerge/>
            <w:vAlign w:val="bottom"/>
          </w:tcPr>
          <w:p w:rsidR="00AC12B4" w:rsidRDefault="00AC12B4">
            <w:pPr>
              <w:rPr>
                <w:sz w:val="16"/>
                <w:szCs w:val="16"/>
              </w:rPr>
            </w:pPr>
          </w:p>
        </w:tc>
        <w:tc>
          <w:tcPr>
            <w:tcW w:w="1100" w:type="dxa"/>
            <w:gridSpan w:val="2"/>
            <w:vMerge/>
            <w:vAlign w:val="bottom"/>
          </w:tcPr>
          <w:p w:rsidR="00AC12B4" w:rsidRDefault="00AC12B4">
            <w:pPr>
              <w:rPr>
                <w:sz w:val="16"/>
                <w:szCs w:val="16"/>
              </w:rPr>
            </w:pPr>
          </w:p>
        </w:tc>
        <w:tc>
          <w:tcPr>
            <w:tcW w:w="1560" w:type="dxa"/>
            <w:gridSpan w:val="3"/>
            <w:vMerge/>
            <w:vAlign w:val="bottom"/>
          </w:tcPr>
          <w:p w:rsidR="00AC12B4" w:rsidRDefault="00AC12B4">
            <w:pPr>
              <w:rPr>
                <w:sz w:val="16"/>
                <w:szCs w:val="16"/>
              </w:rPr>
            </w:pPr>
          </w:p>
        </w:tc>
        <w:tc>
          <w:tcPr>
            <w:tcW w:w="60" w:type="dxa"/>
            <w:vAlign w:val="bottom"/>
          </w:tcPr>
          <w:p w:rsidR="00AC12B4" w:rsidRDefault="00AC12B4">
            <w:pPr>
              <w:rPr>
                <w:sz w:val="16"/>
                <w:szCs w:val="16"/>
              </w:rPr>
            </w:pPr>
          </w:p>
        </w:tc>
        <w:tc>
          <w:tcPr>
            <w:tcW w:w="580" w:type="dxa"/>
            <w:vMerge/>
            <w:vAlign w:val="bottom"/>
          </w:tcPr>
          <w:p w:rsidR="00AC12B4" w:rsidRDefault="00AC12B4">
            <w:pPr>
              <w:rPr>
                <w:sz w:val="16"/>
                <w:szCs w:val="16"/>
              </w:rPr>
            </w:pPr>
          </w:p>
        </w:tc>
        <w:tc>
          <w:tcPr>
            <w:tcW w:w="5520" w:type="dxa"/>
            <w:gridSpan w:val="10"/>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 xml:space="preserve">de mathématique avec 515pt </w:t>
            </w:r>
            <w:r w:rsidRPr="00C27636">
              <w:rPr>
                <w:rFonts w:ascii="Calibri" w:eastAsia="Calibri" w:hAnsi="Calibri" w:cs="Calibri"/>
                <w:lang w:val="fr-BE"/>
              </w:rPr>
              <w:t>contre 494.</w:t>
            </w:r>
          </w:p>
        </w:tc>
        <w:tc>
          <w:tcPr>
            <w:tcW w:w="0" w:type="dxa"/>
            <w:vAlign w:val="bottom"/>
          </w:tcPr>
          <w:p w:rsidR="00AC12B4" w:rsidRPr="00C27636" w:rsidRDefault="00AC12B4">
            <w:pPr>
              <w:rPr>
                <w:sz w:val="1"/>
                <w:szCs w:val="1"/>
                <w:lang w:val="fr-BE"/>
              </w:rPr>
            </w:pPr>
          </w:p>
        </w:tc>
      </w:tr>
      <w:tr w:rsidR="00AC12B4">
        <w:trPr>
          <w:trHeight w:val="82"/>
        </w:trPr>
        <w:tc>
          <w:tcPr>
            <w:tcW w:w="2040" w:type="dxa"/>
            <w:gridSpan w:val="4"/>
            <w:vMerge w:val="restart"/>
            <w:vAlign w:val="bottom"/>
          </w:tcPr>
          <w:p w:rsidR="00AC12B4" w:rsidRDefault="00C27636">
            <w:pPr>
              <w:spacing w:line="304" w:lineRule="exact"/>
              <w:rPr>
                <w:sz w:val="20"/>
                <w:szCs w:val="20"/>
              </w:rPr>
            </w:pPr>
            <w:r>
              <w:rPr>
                <w:rFonts w:ascii="Calibri" w:eastAsia="Calibri" w:hAnsi="Calibri" w:cs="Calibri"/>
              </w:rPr>
              <w:t>néerlandophones</w:t>
            </w:r>
            <w:r>
              <w:rPr>
                <w:rFonts w:ascii="Calibri" w:eastAsia="Calibri" w:hAnsi="Calibri" w:cs="Calibri"/>
                <w:sz w:val="27"/>
                <w:szCs w:val="27"/>
                <w:vertAlign w:val="superscript"/>
              </w:rPr>
              <w:t>3</w:t>
            </w:r>
            <w:r>
              <w:rPr>
                <w:rFonts w:ascii="Calibri" w:eastAsia="Calibri" w:hAnsi="Calibri" w:cs="Calibri"/>
              </w:rPr>
              <w:t>.</w:t>
            </w:r>
          </w:p>
        </w:tc>
        <w:tc>
          <w:tcPr>
            <w:tcW w:w="600" w:type="dxa"/>
            <w:vAlign w:val="bottom"/>
          </w:tcPr>
          <w:p w:rsidR="00AC12B4" w:rsidRDefault="00AC12B4">
            <w:pPr>
              <w:rPr>
                <w:sz w:val="7"/>
                <w:szCs w:val="7"/>
              </w:rPr>
            </w:pPr>
          </w:p>
        </w:tc>
        <w:tc>
          <w:tcPr>
            <w:tcW w:w="500" w:type="dxa"/>
            <w:vAlign w:val="bottom"/>
          </w:tcPr>
          <w:p w:rsidR="00AC12B4" w:rsidRDefault="00AC12B4">
            <w:pPr>
              <w:rPr>
                <w:sz w:val="7"/>
                <w:szCs w:val="7"/>
              </w:rPr>
            </w:pPr>
          </w:p>
        </w:tc>
        <w:tc>
          <w:tcPr>
            <w:tcW w:w="46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580" w:type="dxa"/>
            <w:vAlign w:val="bottom"/>
          </w:tcPr>
          <w:p w:rsidR="00AC12B4" w:rsidRDefault="00AC12B4">
            <w:pPr>
              <w:rPr>
                <w:sz w:val="7"/>
                <w:szCs w:val="7"/>
              </w:rPr>
            </w:pPr>
          </w:p>
        </w:tc>
        <w:tc>
          <w:tcPr>
            <w:tcW w:w="5520" w:type="dxa"/>
            <w:gridSpan w:val="10"/>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23"/>
        </w:trPr>
        <w:tc>
          <w:tcPr>
            <w:tcW w:w="2040" w:type="dxa"/>
            <w:gridSpan w:val="4"/>
            <w:vMerge/>
            <w:vAlign w:val="bottom"/>
          </w:tcPr>
          <w:p w:rsidR="00AC12B4" w:rsidRDefault="00AC12B4">
            <w:pPr>
              <w:rPr>
                <w:sz w:val="19"/>
                <w:szCs w:val="19"/>
              </w:rPr>
            </w:pPr>
          </w:p>
        </w:tc>
        <w:tc>
          <w:tcPr>
            <w:tcW w:w="600" w:type="dxa"/>
            <w:vAlign w:val="bottom"/>
          </w:tcPr>
          <w:p w:rsidR="00AC12B4" w:rsidRDefault="00AC12B4">
            <w:pPr>
              <w:rPr>
                <w:sz w:val="19"/>
                <w:szCs w:val="19"/>
              </w:rPr>
            </w:pPr>
          </w:p>
        </w:tc>
        <w:tc>
          <w:tcPr>
            <w:tcW w:w="500" w:type="dxa"/>
            <w:vAlign w:val="bottom"/>
          </w:tcPr>
          <w:p w:rsidR="00AC12B4" w:rsidRDefault="00AC12B4">
            <w:pPr>
              <w:rPr>
                <w:sz w:val="19"/>
                <w:szCs w:val="19"/>
              </w:rPr>
            </w:pPr>
          </w:p>
        </w:tc>
        <w:tc>
          <w:tcPr>
            <w:tcW w:w="46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580" w:type="dxa"/>
            <w:vAlign w:val="bottom"/>
          </w:tcPr>
          <w:p w:rsidR="00AC12B4" w:rsidRDefault="00AC12B4">
            <w:pPr>
              <w:rPr>
                <w:sz w:val="19"/>
                <w:szCs w:val="19"/>
              </w:rPr>
            </w:pPr>
          </w:p>
        </w:tc>
        <w:tc>
          <w:tcPr>
            <w:tcW w:w="104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6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6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680" w:type="dxa"/>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730432" behindDoc="1" locked="0" layoutInCell="0" allowOverlap="1">
            <wp:simplePos x="0" y="0"/>
            <wp:positionH relativeFrom="column">
              <wp:posOffset>1615440</wp:posOffset>
            </wp:positionH>
            <wp:positionV relativeFrom="paragraph">
              <wp:posOffset>-4621530</wp:posOffset>
            </wp:positionV>
            <wp:extent cx="4582795" cy="3043555"/>
            <wp:effectExtent l="0" t="0" r="0" b="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224">
                      <a:extLst/>
                    </a:blip>
                    <a:srcRect/>
                    <a:stretch>
                      <a:fillRect/>
                    </a:stretch>
                  </pic:blipFill>
                  <pic:spPr bwMode="auto">
                    <a:xfrm>
                      <a:off x="0" y="0"/>
                      <a:ext cx="4582795" cy="3043555"/>
                    </a:xfrm>
                    <a:prstGeom prst="rect">
                      <a:avLst/>
                    </a:prstGeom>
                    <a:noFill/>
                  </pic:spPr>
                </pic:pic>
              </a:graphicData>
            </a:graphic>
          </wp:anchor>
        </w:drawing>
      </w:r>
    </w:p>
    <w:p w:rsidR="00AC12B4" w:rsidRDefault="00AC12B4">
      <w:pPr>
        <w:spacing w:line="148" w:lineRule="exact"/>
        <w:rPr>
          <w:sz w:val="20"/>
          <w:szCs w:val="20"/>
        </w:rPr>
      </w:pPr>
    </w:p>
    <w:p w:rsidR="00AC12B4" w:rsidRDefault="00C27636">
      <w:pPr>
        <w:rPr>
          <w:sz w:val="20"/>
          <w:szCs w:val="20"/>
        </w:rPr>
      </w:pPr>
      <w:r>
        <w:rPr>
          <w:rFonts w:ascii="Cambria" w:eastAsia="Cambria" w:hAnsi="Cambria" w:cs="Cambria"/>
          <w:b/>
          <w:bCs/>
          <w:i/>
          <w:iCs/>
          <w:color w:val="44ACE0"/>
          <w:sz w:val="26"/>
          <w:szCs w:val="26"/>
        </w:rPr>
        <w:t>Evolution</w:t>
      </w:r>
    </w:p>
    <w:p w:rsidR="00AC12B4" w:rsidRDefault="00AC12B4">
      <w:pPr>
        <w:spacing w:line="161" w:lineRule="exact"/>
        <w:rPr>
          <w:sz w:val="20"/>
          <w:szCs w:val="20"/>
        </w:rPr>
      </w:pPr>
    </w:p>
    <w:p w:rsidR="00AC12B4" w:rsidRDefault="00C27636">
      <w:pPr>
        <w:rPr>
          <w:sz w:val="20"/>
          <w:szCs w:val="20"/>
        </w:rPr>
      </w:pPr>
      <w:r>
        <w:rPr>
          <w:rFonts w:ascii="Calibri" w:eastAsia="Calibri" w:hAnsi="Calibri" w:cs="Calibri"/>
        </w:rPr>
        <w:t>L’évolution entre les enquêtes 2003 et</w:t>
      </w:r>
    </w:p>
    <w:p w:rsidR="00AC12B4" w:rsidRDefault="00C27636">
      <w:pPr>
        <w:rPr>
          <w:sz w:val="20"/>
          <w:szCs w:val="20"/>
        </w:rPr>
      </w:pPr>
      <w:r>
        <w:rPr>
          <w:rFonts w:ascii="Calibri" w:eastAsia="Calibri" w:hAnsi="Calibri" w:cs="Calibri"/>
        </w:rPr>
        <w:t>2012 montre une réduction des inégalités</w:t>
      </w:r>
    </w:p>
    <w:p w:rsidR="00AC12B4" w:rsidRDefault="00C27636">
      <w:pPr>
        <w:rPr>
          <w:sz w:val="20"/>
          <w:szCs w:val="20"/>
        </w:rPr>
      </w:pPr>
      <w:r>
        <w:rPr>
          <w:rFonts w:ascii="Calibri" w:eastAsia="Calibri" w:hAnsi="Calibri" w:cs="Calibri"/>
        </w:rPr>
        <w:t>en Belgique.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731456" behindDoc="1" locked="0" layoutInCell="0" allowOverlap="1">
                <wp:simplePos x="0" y="0"/>
                <wp:positionH relativeFrom="column">
                  <wp:posOffset>0</wp:posOffset>
                </wp:positionH>
                <wp:positionV relativeFrom="paragraph">
                  <wp:posOffset>226695</wp:posOffset>
                </wp:positionV>
                <wp:extent cx="1828800" cy="0"/>
                <wp:effectExtent l="0" t="0" r="0" b="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85pt" to="144pt,17.85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8" w:lineRule="exact"/>
        <w:rPr>
          <w:sz w:val="20"/>
          <w:szCs w:val="20"/>
        </w:rPr>
      </w:pPr>
    </w:p>
    <w:p w:rsidR="00AC12B4" w:rsidRPr="00C27636" w:rsidRDefault="00C27636">
      <w:pPr>
        <w:numPr>
          <w:ilvl w:val="0"/>
          <w:numId w:val="247"/>
        </w:numPr>
        <w:tabs>
          <w:tab w:val="left" w:pos="161"/>
        </w:tabs>
        <w:spacing w:line="189" w:lineRule="auto"/>
        <w:ind w:right="588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Le score moyen en Belgique étant de 515 points.</w:t>
      </w:r>
    </w:p>
    <w:p w:rsidR="00AC12B4" w:rsidRPr="00C27636" w:rsidRDefault="00AC12B4">
      <w:pPr>
        <w:spacing w:line="167" w:lineRule="exact"/>
        <w:rPr>
          <w:rFonts w:ascii="Calibri" w:eastAsia="Calibri" w:hAnsi="Calibri" w:cs="Calibri"/>
          <w:sz w:val="26"/>
          <w:szCs w:val="26"/>
          <w:vertAlign w:val="superscript"/>
          <w:lang w:val="fr-BE"/>
        </w:rPr>
      </w:pPr>
    </w:p>
    <w:p w:rsidR="00AC12B4" w:rsidRPr="00C27636" w:rsidRDefault="00C27636">
      <w:pPr>
        <w:numPr>
          <w:ilvl w:val="0"/>
          <w:numId w:val="247"/>
        </w:numPr>
        <w:tabs>
          <w:tab w:val="left" w:pos="211"/>
        </w:tabs>
        <w:spacing w:line="212" w:lineRule="auto"/>
        <w:ind w:right="5880"/>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Le score moyen élevé en Communauté </w:t>
      </w:r>
      <w:r w:rsidRPr="00C27636">
        <w:rPr>
          <w:rFonts w:ascii="Calibri" w:eastAsia="Calibri" w:hAnsi="Calibri" w:cs="Calibri"/>
          <w:sz w:val="20"/>
          <w:szCs w:val="20"/>
          <w:lang w:val="fr-BE"/>
        </w:rPr>
        <w:t>flamande ne peut cependant pas justifier la grande différence entre élèves d’origine belge et les autres ne fut-ce que par la prise en</w:t>
      </w:r>
    </w:p>
    <w:p w:rsidR="00AC12B4" w:rsidRPr="00C27636" w:rsidRDefault="00AC12B4">
      <w:pPr>
        <w:spacing w:line="49" w:lineRule="exact"/>
        <w:rPr>
          <w:rFonts w:ascii="Calibri" w:eastAsia="Calibri" w:hAnsi="Calibri" w:cs="Calibri"/>
          <w:sz w:val="26"/>
          <w:szCs w:val="26"/>
          <w:vertAlign w:val="superscript"/>
          <w:lang w:val="fr-BE"/>
        </w:rPr>
      </w:pPr>
    </w:p>
    <w:p w:rsidR="00AC12B4" w:rsidRPr="00C27636" w:rsidRDefault="00C27636">
      <w:pPr>
        <w:spacing w:line="214" w:lineRule="auto"/>
        <w:ind w:right="5880"/>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compte, dans la catégorie « immigré », des élèves nés en Belgique (2</w:t>
      </w:r>
      <w:r w:rsidRPr="00C27636">
        <w:rPr>
          <w:rFonts w:ascii="Calibri" w:eastAsia="Calibri" w:hAnsi="Calibri" w:cs="Calibri"/>
          <w:sz w:val="25"/>
          <w:szCs w:val="25"/>
          <w:vertAlign w:val="superscript"/>
          <w:lang w:val="fr-BE"/>
        </w:rPr>
        <w:t>ième</w:t>
      </w:r>
      <w:r w:rsidRPr="00C27636">
        <w:rPr>
          <w:rFonts w:ascii="Calibri" w:eastAsia="Calibri" w:hAnsi="Calibri" w:cs="Calibri"/>
          <w:sz w:val="20"/>
          <w:szCs w:val="20"/>
          <w:lang w:val="fr-BE"/>
        </w:rPr>
        <w:t xml:space="preserve"> génération) qui auraient donc dû pouvoir profit</w:t>
      </w:r>
      <w:r w:rsidRPr="00C27636">
        <w:rPr>
          <w:rFonts w:ascii="Calibri" w:eastAsia="Calibri" w:hAnsi="Calibri" w:cs="Calibri"/>
          <w:sz w:val="20"/>
          <w:szCs w:val="20"/>
          <w:lang w:val="fr-BE"/>
        </w:rPr>
        <w:t>er d’une égalité de chances éducatives dès le départ.</w:t>
      </w:r>
    </w:p>
    <w:p w:rsidR="00AC12B4" w:rsidRPr="00C27636" w:rsidRDefault="00AC12B4">
      <w:pPr>
        <w:spacing w:line="246" w:lineRule="exact"/>
        <w:rPr>
          <w:sz w:val="20"/>
          <w:szCs w:val="20"/>
          <w:lang w:val="fr-BE"/>
        </w:rPr>
      </w:pPr>
    </w:p>
    <w:p w:rsidR="00AC12B4" w:rsidRDefault="00C27636">
      <w:pPr>
        <w:ind w:right="5360"/>
        <w:jc w:val="right"/>
        <w:rPr>
          <w:sz w:val="20"/>
          <w:szCs w:val="20"/>
        </w:rPr>
      </w:pPr>
      <w:r>
        <w:rPr>
          <w:rFonts w:ascii="Calibri" w:eastAsia="Calibri" w:hAnsi="Calibri" w:cs="Calibri"/>
        </w:rPr>
        <w:t>136</w:t>
      </w:r>
    </w:p>
    <w:p w:rsidR="00AC12B4" w:rsidRDefault="00AC12B4">
      <w:pPr>
        <w:sectPr w:rsidR="00AC12B4">
          <w:pgSz w:w="12080" w:h="17179"/>
          <w:pgMar w:top="1440" w:right="877" w:bottom="659" w:left="439" w:header="0" w:footer="0" w:gutter="0"/>
          <w:cols w:num="2" w:space="720" w:equalWidth="0">
            <w:col w:w="342" w:space="659"/>
            <w:col w:w="9760"/>
          </w:cols>
        </w:sectPr>
      </w:pPr>
    </w:p>
    <w:p w:rsidR="00AC12B4" w:rsidRDefault="00AC12B4">
      <w:pPr>
        <w:spacing w:line="248" w:lineRule="exact"/>
        <w:rPr>
          <w:sz w:val="20"/>
          <w:szCs w:val="20"/>
        </w:rPr>
      </w:pPr>
      <w:bookmarkStart w:id="136" w:name="page137"/>
      <w:bookmarkEnd w:id="136"/>
    </w:p>
    <w:p w:rsidR="00AC12B4" w:rsidRDefault="00C27636">
      <w:pPr>
        <w:ind w:left="560"/>
        <w:rPr>
          <w:sz w:val="20"/>
          <w:szCs w:val="20"/>
        </w:rPr>
      </w:pPr>
      <w:r>
        <w:rPr>
          <w:rFonts w:ascii="Cambria" w:eastAsia="Cambria" w:hAnsi="Cambria" w:cs="Cambria"/>
          <w:b/>
          <w:bCs/>
          <w:i/>
          <w:iCs/>
          <w:color w:val="44ACE0"/>
          <w:sz w:val="26"/>
          <w:szCs w:val="26"/>
        </w:rPr>
        <w:t>D’où viennent ces chiffres ?</w:t>
      </w:r>
    </w:p>
    <w:p w:rsidR="00AC12B4" w:rsidRDefault="00AC12B4">
      <w:pPr>
        <w:spacing w:line="166" w:lineRule="exact"/>
        <w:rPr>
          <w:sz w:val="20"/>
          <w:szCs w:val="20"/>
        </w:rPr>
      </w:pPr>
    </w:p>
    <w:p w:rsidR="00AC12B4" w:rsidRDefault="00C27636">
      <w:pPr>
        <w:numPr>
          <w:ilvl w:val="0"/>
          <w:numId w:val="248"/>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PISA</w:t>
      </w:r>
    </w:p>
    <w:p w:rsidR="00AC12B4" w:rsidRDefault="00AC12B4">
      <w:pPr>
        <w:spacing w:line="202" w:lineRule="exact"/>
        <w:rPr>
          <w:sz w:val="20"/>
          <w:szCs w:val="20"/>
        </w:rPr>
      </w:pPr>
    </w:p>
    <w:p w:rsidR="00AC12B4" w:rsidRPr="00C27636" w:rsidRDefault="00C27636">
      <w:pPr>
        <w:spacing w:line="218" w:lineRule="auto"/>
        <w:ind w:left="560" w:right="520"/>
        <w:rPr>
          <w:sz w:val="20"/>
          <w:szCs w:val="20"/>
          <w:lang w:val="fr-BE"/>
        </w:rPr>
      </w:pPr>
      <w:r w:rsidRPr="00C27636">
        <w:rPr>
          <w:rFonts w:ascii="Calibri" w:eastAsia="Calibri" w:hAnsi="Calibri" w:cs="Calibri"/>
          <w:lang w:val="fr-BE"/>
        </w:rPr>
        <w:t>Pour une description de l’enquête PISA voir la section « sources ».</w:t>
      </w:r>
    </w:p>
    <w:p w:rsidR="00AC12B4" w:rsidRPr="00C27636" w:rsidRDefault="00AC12B4">
      <w:pPr>
        <w:spacing w:line="128" w:lineRule="exact"/>
        <w:rPr>
          <w:sz w:val="20"/>
          <w:szCs w:val="20"/>
          <w:lang w:val="fr-BE"/>
        </w:rPr>
      </w:pPr>
    </w:p>
    <w:p w:rsidR="00AC12B4" w:rsidRDefault="00C27636">
      <w:pPr>
        <w:numPr>
          <w:ilvl w:val="0"/>
          <w:numId w:val="249"/>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Limite de la mesure</w:t>
      </w:r>
    </w:p>
    <w:p w:rsidR="00AC12B4" w:rsidRDefault="00AC12B4">
      <w:pPr>
        <w:spacing w:line="199" w:lineRule="exact"/>
        <w:rPr>
          <w:sz w:val="20"/>
          <w:szCs w:val="20"/>
        </w:rPr>
      </w:pPr>
    </w:p>
    <w:p w:rsidR="00AC12B4" w:rsidRPr="00C27636" w:rsidRDefault="00C27636">
      <w:pPr>
        <w:spacing w:line="236" w:lineRule="auto"/>
        <w:ind w:left="560" w:right="520"/>
        <w:jc w:val="both"/>
        <w:rPr>
          <w:sz w:val="20"/>
          <w:szCs w:val="20"/>
          <w:lang w:val="fr-BE"/>
        </w:rPr>
      </w:pPr>
      <w:r w:rsidRPr="00C27636">
        <w:rPr>
          <w:rFonts w:ascii="Calibri" w:eastAsia="Calibri" w:hAnsi="Calibri" w:cs="Calibri"/>
          <w:lang w:val="fr-BE"/>
        </w:rPr>
        <w:t>Comme indiqué dans la présentation de PISA,</w:t>
      </w:r>
      <w:r w:rsidRPr="00C27636">
        <w:rPr>
          <w:rFonts w:ascii="Calibri" w:eastAsia="Calibri" w:hAnsi="Calibri" w:cs="Calibri"/>
          <w:lang w:val="fr-BE"/>
        </w:rPr>
        <w:t xml:space="preserve"> celle-ci est conçue pour être représentative des jeunes scolarisés de 15 ans. L’enseignement ordinaire et une partie des formes de l'enseignement spécialisé sont touchés par l’enquête. Elle a donc ses limites pour notre set d’indicateurs qui s’intéresse à</w:t>
      </w:r>
      <w:r w:rsidRPr="00C27636">
        <w:rPr>
          <w:rFonts w:ascii="Calibri" w:eastAsia="Calibri" w:hAnsi="Calibri" w:cs="Calibri"/>
          <w:lang w:val="fr-BE"/>
        </w:rPr>
        <w:t xml:space="preserve"> toutes les tranches d’âge et qui accorde une attention particulière aux groupes vulnérables.</w:t>
      </w:r>
    </w:p>
    <w:p w:rsidR="00AC12B4" w:rsidRPr="00C27636" w:rsidRDefault="00AC12B4">
      <w:pPr>
        <w:spacing w:line="170" w:lineRule="exact"/>
        <w:rPr>
          <w:sz w:val="20"/>
          <w:szCs w:val="20"/>
          <w:lang w:val="fr-BE"/>
        </w:rPr>
      </w:pPr>
    </w:p>
    <w:p w:rsidR="00AC12B4" w:rsidRPr="00C27636" w:rsidRDefault="00C27636">
      <w:pPr>
        <w:spacing w:line="232" w:lineRule="auto"/>
        <w:ind w:left="560" w:right="520"/>
        <w:jc w:val="both"/>
        <w:rPr>
          <w:sz w:val="20"/>
          <w:szCs w:val="20"/>
          <w:lang w:val="fr-BE"/>
        </w:rPr>
      </w:pPr>
      <w:r w:rsidRPr="00C27636">
        <w:rPr>
          <w:rFonts w:ascii="Calibri" w:eastAsia="Calibri" w:hAnsi="Calibri" w:cs="Calibri"/>
          <w:lang w:val="fr-BE"/>
        </w:rPr>
        <w:t xml:space="preserve">Dans le cadre d’enquêtes, il faut aussi toujours tenir compte du risque que le répondant réagit selon le principe de désirabilité. La réaction ne correspond dès </w:t>
      </w:r>
      <w:r w:rsidRPr="00C27636">
        <w:rPr>
          <w:rFonts w:ascii="Calibri" w:eastAsia="Calibri" w:hAnsi="Calibri" w:cs="Calibri"/>
          <w:lang w:val="fr-BE"/>
        </w:rPr>
        <w:t>lors pas toujours à la réalité mais à une version idéalisée de la réalité.</w:t>
      </w:r>
    </w:p>
    <w:p w:rsidR="00AC12B4" w:rsidRPr="00C27636" w:rsidRDefault="00AC12B4">
      <w:pPr>
        <w:spacing w:line="131" w:lineRule="exact"/>
        <w:rPr>
          <w:sz w:val="20"/>
          <w:szCs w:val="20"/>
          <w:lang w:val="fr-BE"/>
        </w:rPr>
      </w:pPr>
    </w:p>
    <w:p w:rsidR="00AC12B4" w:rsidRDefault="00C27636">
      <w:pPr>
        <w:numPr>
          <w:ilvl w:val="0"/>
          <w:numId w:val="250"/>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284" w:lineRule="exact"/>
        <w:rPr>
          <w:sz w:val="20"/>
          <w:szCs w:val="20"/>
        </w:rPr>
      </w:pPr>
    </w:p>
    <w:p w:rsidR="00AC12B4" w:rsidRPr="00C27636" w:rsidRDefault="00C27636">
      <w:pPr>
        <w:spacing w:line="260" w:lineRule="auto"/>
        <w:ind w:left="560" w:right="520"/>
        <w:jc w:val="both"/>
        <w:rPr>
          <w:sz w:val="20"/>
          <w:szCs w:val="20"/>
          <w:lang w:val="fr-BE"/>
        </w:rPr>
      </w:pPr>
      <w:r w:rsidRPr="00C27636">
        <w:rPr>
          <w:rFonts w:ascii="Calibri" w:eastAsia="Calibri" w:hAnsi="Calibri" w:cs="Calibri"/>
          <w:lang w:val="fr-BE"/>
        </w:rPr>
        <w:t xml:space="preserve">Les enquêtes PISA devraient être élargies aux dispositifs d'accueil et de scolarisation des élèves primo-arrivants (DASPA) et à l’enseignement spécialisé, sauf en </w:t>
      </w:r>
      <w:r w:rsidRPr="00C27636">
        <w:rPr>
          <w:rFonts w:ascii="Calibri" w:eastAsia="Calibri" w:hAnsi="Calibri" w:cs="Calibri"/>
          <w:lang w:val="fr-BE"/>
        </w:rPr>
        <w:t>cas de</w:t>
      </w:r>
    </w:p>
    <w:p w:rsidR="00AC12B4" w:rsidRPr="00C27636" w:rsidRDefault="00AC12B4">
      <w:pPr>
        <w:spacing w:line="70" w:lineRule="exact"/>
        <w:rPr>
          <w:sz w:val="20"/>
          <w:szCs w:val="20"/>
          <w:lang w:val="fr-BE"/>
        </w:rPr>
      </w:pPr>
    </w:p>
    <w:p w:rsidR="00AC12B4" w:rsidRPr="00C27636" w:rsidRDefault="00C27636">
      <w:pPr>
        <w:spacing w:line="236" w:lineRule="auto"/>
        <w:ind w:left="560" w:right="520"/>
        <w:jc w:val="both"/>
        <w:rPr>
          <w:sz w:val="20"/>
          <w:szCs w:val="20"/>
          <w:lang w:val="fr-BE"/>
        </w:rPr>
      </w:pPr>
      <w:r w:rsidRPr="00C27636">
        <w:rPr>
          <w:rFonts w:ascii="Calibri" w:eastAsia="Calibri" w:hAnsi="Calibri" w:cs="Calibri"/>
          <w:lang w:val="fr-BE"/>
        </w:rPr>
        <w:t>contre-indication inspirée par l’intérêt supérieur de l’enfant, via des</w:t>
      </w:r>
    </w:p>
    <w:p w:rsidR="00AC12B4" w:rsidRPr="00C27636" w:rsidRDefault="00AC12B4">
      <w:pPr>
        <w:spacing w:line="14"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questionnaires adaptés</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174" w:lineRule="exact"/>
        <w:rPr>
          <w:sz w:val="20"/>
          <w:szCs w:val="20"/>
          <w:lang w:val="fr-BE"/>
        </w:rPr>
      </w:pPr>
    </w:p>
    <w:p w:rsidR="00AC12B4" w:rsidRPr="00C27636" w:rsidRDefault="00C27636">
      <w:pPr>
        <w:spacing w:line="229" w:lineRule="auto"/>
        <w:ind w:left="560" w:right="520"/>
        <w:jc w:val="both"/>
        <w:rPr>
          <w:sz w:val="20"/>
          <w:szCs w:val="20"/>
          <w:lang w:val="fr-BE"/>
        </w:rPr>
      </w:pPr>
      <w:r w:rsidRPr="00C27636">
        <w:rPr>
          <w:rFonts w:ascii="Calibri" w:eastAsia="Calibri" w:hAnsi="Calibri" w:cs="Calibri"/>
          <w:lang w:val="fr-BE"/>
        </w:rPr>
        <w:t>Une enquête spécifique doit être menée auprès des autres groupes pertinents non-atteints (cf section ‘Atteindre les plus vulnérables’).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32480" behindDoc="1" locked="0" layoutInCell="0" allowOverlap="1">
                <wp:simplePos x="0" y="0"/>
                <wp:positionH relativeFrom="column">
                  <wp:posOffset>359410</wp:posOffset>
                </wp:positionH>
                <wp:positionV relativeFrom="paragraph">
                  <wp:posOffset>458470</wp:posOffset>
                </wp:positionV>
                <wp:extent cx="1829435" cy="0"/>
                <wp:effectExtent l="0" t="0" r="0" b="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36.1pt" to="172.35pt,36.1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5" w:lineRule="exact"/>
        <w:rPr>
          <w:sz w:val="20"/>
          <w:szCs w:val="20"/>
          <w:lang w:val="fr-BE"/>
        </w:rPr>
      </w:pPr>
    </w:p>
    <w:p w:rsidR="00AC12B4" w:rsidRPr="00C27636" w:rsidRDefault="00C27636">
      <w:pPr>
        <w:spacing w:line="233" w:lineRule="auto"/>
        <w:ind w:left="560" w:right="520"/>
        <w:jc w:val="both"/>
        <w:rPr>
          <w:sz w:val="20"/>
          <w:szCs w:val="20"/>
          <w:lang w:val="fr-BE"/>
        </w:rPr>
      </w:pP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 xml:space="preserve"> Pour l’administration de l’enseignement flamande, la forme actuelle de PISA ne permet pas de réaliser l’enquête dans une autre langue que la langue d’instruction, ce qui est problématique pour les DASPA. En outre, des arguments budgétaires et comparabilit</w:t>
      </w:r>
      <w:r w:rsidRPr="00C27636">
        <w:rPr>
          <w:rFonts w:ascii="Calibri" w:eastAsia="Calibri" w:hAnsi="Calibri" w:cs="Calibri"/>
          <w:sz w:val="20"/>
          <w:szCs w:val="20"/>
          <w:lang w:val="fr-BE"/>
        </w:rPr>
        <w:t>és se heurtent à l’introduction d’enquêtes adaptées. HBSC international fait pourtant déjà des démarches dans ce sens.</w:t>
      </w:r>
    </w:p>
    <w:p w:rsidR="00AC12B4" w:rsidRPr="00C27636" w:rsidRDefault="00AC12B4">
      <w:pPr>
        <w:spacing w:line="249" w:lineRule="exact"/>
        <w:rPr>
          <w:sz w:val="20"/>
          <w:szCs w:val="20"/>
          <w:lang w:val="fr-BE"/>
        </w:rPr>
      </w:pPr>
    </w:p>
    <w:p w:rsidR="00AC12B4" w:rsidRDefault="00C27636">
      <w:pPr>
        <w:jc w:val="right"/>
        <w:rPr>
          <w:sz w:val="20"/>
          <w:szCs w:val="20"/>
        </w:rPr>
      </w:pPr>
      <w:r>
        <w:rPr>
          <w:rFonts w:ascii="Calibri" w:eastAsia="Calibri" w:hAnsi="Calibri" w:cs="Calibri"/>
        </w:rPr>
        <w:t>137</w:t>
      </w:r>
    </w:p>
    <w:p w:rsidR="00AC12B4" w:rsidRDefault="00C27636">
      <w:pPr>
        <w:spacing w:line="20" w:lineRule="exact"/>
        <w:rPr>
          <w:sz w:val="20"/>
          <w:szCs w:val="20"/>
        </w:rPr>
      </w:pPr>
      <w:r>
        <w:rPr>
          <w:sz w:val="20"/>
          <w:szCs w:val="20"/>
        </w:rPr>
        <w:br w:type="column"/>
      </w:r>
    </w:p>
    <w:p w:rsidR="00AC12B4" w:rsidRDefault="00AC12B4">
      <w:pPr>
        <w:spacing w:line="149" w:lineRule="exact"/>
        <w:rPr>
          <w:sz w:val="20"/>
          <w:szCs w:val="20"/>
        </w:rPr>
      </w:pPr>
    </w:p>
    <w:p w:rsidR="00AC12B4" w:rsidRDefault="00C27636">
      <w:pPr>
        <w:rPr>
          <w:sz w:val="20"/>
          <w:szCs w:val="20"/>
        </w:rPr>
      </w:pPr>
      <w:r>
        <w:rPr>
          <w:rFonts w:ascii="Cambria" w:eastAsia="Cambria" w:hAnsi="Cambria" w:cs="Cambria"/>
          <w:b/>
          <w:bCs/>
          <w:i/>
          <w:iCs/>
          <w:color w:val="44ACE0"/>
          <w:sz w:val="26"/>
          <w:szCs w:val="26"/>
        </w:rPr>
        <w:t>Pour aller plus loin</w:t>
      </w:r>
    </w:p>
    <w:p w:rsidR="00AC12B4" w:rsidRDefault="00AC12B4">
      <w:pPr>
        <w:spacing w:line="219" w:lineRule="exact"/>
        <w:rPr>
          <w:sz w:val="20"/>
          <w:szCs w:val="20"/>
        </w:rPr>
      </w:pPr>
    </w:p>
    <w:p w:rsidR="00AC12B4" w:rsidRDefault="00C27636">
      <w:pPr>
        <w:numPr>
          <w:ilvl w:val="0"/>
          <w:numId w:val="251"/>
        </w:numPr>
        <w:tabs>
          <w:tab w:val="left" w:pos="420"/>
        </w:tabs>
        <w:spacing w:line="228" w:lineRule="auto"/>
        <w:ind w:left="420" w:right="52" w:hanging="361"/>
        <w:jc w:val="both"/>
        <w:rPr>
          <w:rFonts w:ascii="Symbol" w:eastAsia="Symbol" w:hAnsi="Symbol" w:cs="Symbol"/>
          <w:sz w:val="20"/>
          <w:szCs w:val="20"/>
        </w:rPr>
      </w:pPr>
      <w:r w:rsidRPr="00C27636">
        <w:rPr>
          <w:rFonts w:ascii="Calibri" w:eastAsia="Calibri" w:hAnsi="Calibri" w:cs="Calibri"/>
          <w:b/>
          <w:bCs/>
          <w:i/>
          <w:iCs/>
          <w:color w:val="4BACC6"/>
          <w:sz w:val="20"/>
          <w:szCs w:val="20"/>
          <w:lang w:val="fr-BE"/>
        </w:rPr>
        <w:t xml:space="preserve">PISA ULG : </w:t>
      </w:r>
      <w:r w:rsidRPr="00C27636">
        <w:rPr>
          <w:rFonts w:ascii="Calibri" w:eastAsia="Calibri" w:hAnsi="Calibri" w:cs="Calibri"/>
          <w:i/>
          <w:iCs/>
          <w:color w:val="000000"/>
          <w:sz w:val="20"/>
          <w:szCs w:val="20"/>
          <w:lang w:val="fr-BE"/>
        </w:rPr>
        <w:t>La culture mathématique à 15</w:t>
      </w:r>
      <w:r w:rsidRPr="00C27636">
        <w:rPr>
          <w:rFonts w:ascii="Calibri" w:eastAsia="Calibri" w:hAnsi="Calibri" w:cs="Calibri"/>
          <w:b/>
          <w:bCs/>
          <w:i/>
          <w:iCs/>
          <w:color w:val="4BACC6"/>
          <w:sz w:val="20"/>
          <w:szCs w:val="20"/>
          <w:lang w:val="fr-BE"/>
        </w:rPr>
        <w:t xml:space="preserve"> </w:t>
      </w:r>
      <w:r w:rsidRPr="00C27636">
        <w:rPr>
          <w:rFonts w:ascii="Calibri" w:eastAsia="Calibri" w:hAnsi="Calibri" w:cs="Calibri"/>
          <w:i/>
          <w:iCs/>
          <w:color w:val="000000"/>
          <w:sz w:val="20"/>
          <w:szCs w:val="20"/>
          <w:lang w:val="fr-BE"/>
        </w:rPr>
        <w:t xml:space="preserve">ans. </w:t>
      </w:r>
      <w:r>
        <w:rPr>
          <w:rFonts w:ascii="Calibri" w:eastAsia="Calibri" w:hAnsi="Calibri" w:cs="Calibri"/>
          <w:i/>
          <w:iCs/>
          <w:color w:val="000000"/>
          <w:sz w:val="20"/>
          <w:szCs w:val="20"/>
        </w:rPr>
        <w:t>Premiers résultats de PISA 2012 en</w:t>
      </w:r>
    </w:p>
    <w:p w:rsidR="00AC12B4" w:rsidRDefault="00AC12B4">
      <w:pPr>
        <w:spacing w:line="85" w:lineRule="exact"/>
        <w:rPr>
          <w:rFonts w:ascii="Symbol" w:eastAsia="Symbol" w:hAnsi="Symbol" w:cs="Symbol"/>
          <w:sz w:val="20"/>
          <w:szCs w:val="20"/>
        </w:rPr>
      </w:pPr>
    </w:p>
    <w:p w:rsidR="00AC12B4" w:rsidRPr="00C27636" w:rsidRDefault="00C27636">
      <w:pPr>
        <w:spacing w:line="253" w:lineRule="auto"/>
        <w:ind w:left="420" w:right="52"/>
        <w:rPr>
          <w:rFonts w:ascii="Calibri" w:eastAsia="Calibri" w:hAnsi="Calibri" w:cs="Calibri"/>
          <w:color w:val="0000FF"/>
          <w:sz w:val="20"/>
          <w:szCs w:val="20"/>
          <w:lang w:val="fr-BE"/>
        </w:rPr>
      </w:pPr>
      <w:r w:rsidRPr="00C27636">
        <w:rPr>
          <w:rFonts w:ascii="Calibri" w:eastAsia="Calibri" w:hAnsi="Calibri" w:cs="Calibri"/>
          <w:i/>
          <w:iCs/>
          <w:sz w:val="20"/>
          <w:szCs w:val="20"/>
          <w:lang w:val="fr-BE"/>
        </w:rPr>
        <w:t xml:space="preserve">Fédération </w:t>
      </w:r>
      <w:r w:rsidRPr="00C27636">
        <w:rPr>
          <w:rFonts w:ascii="Calibri" w:eastAsia="Calibri" w:hAnsi="Calibri" w:cs="Calibri"/>
          <w:i/>
          <w:iCs/>
          <w:sz w:val="20"/>
          <w:szCs w:val="20"/>
          <w:lang w:val="fr-BE"/>
        </w:rPr>
        <w:t>Wallonie-Bruxelles</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w:t>
      </w:r>
      <w:hyperlink r:id="rId225">
        <w:r w:rsidRPr="00C27636">
          <w:rPr>
            <w:rFonts w:ascii="Calibri" w:eastAsia="Calibri" w:hAnsi="Calibri" w:cs="Calibri"/>
            <w:color w:val="0000FF"/>
            <w:sz w:val="20"/>
            <w:szCs w:val="20"/>
            <w:u w:val="single"/>
            <w:lang w:val="fr-BE"/>
          </w:rPr>
          <w:t>http://www.aspe.ulg.ac.be/Files/note_sy</w:t>
        </w:r>
      </w:hyperlink>
      <w:r w:rsidRPr="00C27636">
        <w:rPr>
          <w:rFonts w:ascii="Calibri" w:eastAsia="Calibri" w:hAnsi="Calibri" w:cs="Calibri"/>
          <w:color w:val="0000FF"/>
          <w:sz w:val="20"/>
          <w:szCs w:val="20"/>
          <w:u w:val="single"/>
          <w:lang w:val="fr-BE"/>
        </w:rPr>
        <w:t xml:space="preserve"> </w:t>
      </w:r>
      <w:hyperlink r:id="rId226">
        <w:r w:rsidRPr="00C27636">
          <w:rPr>
            <w:rFonts w:ascii="Calibri" w:eastAsia="Calibri" w:hAnsi="Calibri" w:cs="Calibri"/>
            <w:color w:val="0000FF"/>
            <w:sz w:val="20"/>
            <w:szCs w:val="20"/>
            <w:u w:val="single"/>
            <w:lang w:val="fr-BE"/>
          </w:rPr>
          <w:t>nthese_pisa2012.pdf</w:t>
        </w:r>
        <w:r w:rsidRPr="00C27636">
          <w:rPr>
            <w:rFonts w:ascii="Calibri" w:eastAsia="Calibri" w:hAnsi="Calibri" w:cs="Calibri"/>
            <w:color w:val="0000FF"/>
            <w:sz w:val="20"/>
            <w:szCs w:val="20"/>
            <w:lang w:val="fr-BE"/>
          </w:rPr>
          <w:t xml:space="preserve"> </w:t>
        </w:r>
      </w:hyperlink>
      <w:r w:rsidRPr="00C27636">
        <w:rPr>
          <w:rFonts w:ascii="Calibri" w:eastAsia="Calibri" w:hAnsi="Calibri" w:cs="Calibri"/>
          <w:color w:val="000000"/>
          <w:sz w:val="20"/>
          <w:szCs w:val="20"/>
          <w:lang w:val="fr-BE"/>
        </w:rPr>
        <w:t>(en</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 xml:space="preserve">particulier p. </w:t>
      </w:r>
      <w:r w:rsidRPr="00C27636">
        <w:rPr>
          <w:rFonts w:ascii="Calibri" w:eastAsia="Calibri" w:hAnsi="Calibri" w:cs="Calibri"/>
          <w:color w:val="000000"/>
          <w:sz w:val="20"/>
          <w:szCs w:val="20"/>
          <w:lang w:val="fr-BE"/>
        </w:rPr>
        <w:t>17)</w:t>
      </w:r>
    </w:p>
    <w:p w:rsidR="00AC12B4" w:rsidRPr="00C27636" w:rsidRDefault="00AC12B4">
      <w:pPr>
        <w:spacing w:line="24" w:lineRule="exact"/>
        <w:rPr>
          <w:rFonts w:ascii="Calibri" w:eastAsia="Calibri" w:hAnsi="Calibri" w:cs="Calibri"/>
          <w:color w:val="0000FF"/>
          <w:sz w:val="20"/>
          <w:szCs w:val="20"/>
          <w:lang w:val="fr-BE"/>
        </w:rPr>
      </w:pPr>
    </w:p>
    <w:p w:rsidR="00AC12B4" w:rsidRDefault="00C27636">
      <w:pPr>
        <w:numPr>
          <w:ilvl w:val="0"/>
          <w:numId w:val="251"/>
        </w:numPr>
        <w:tabs>
          <w:tab w:val="left" w:pos="420"/>
        </w:tabs>
        <w:ind w:left="420" w:hanging="361"/>
        <w:rPr>
          <w:rFonts w:ascii="Symbol" w:eastAsia="Symbol" w:hAnsi="Symbol" w:cs="Symbol"/>
          <w:sz w:val="20"/>
          <w:szCs w:val="20"/>
        </w:rPr>
      </w:pPr>
      <w:r>
        <w:rPr>
          <w:rFonts w:ascii="Calibri" w:eastAsia="Calibri" w:hAnsi="Calibri" w:cs="Calibri"/>
          <w:b/>
          <w:bCs/>
          <w:i/>
          <w:iCs/>
          <w:color w:val="4BACC6"/>
          <w:sz w:val="20"/>
          <w:szCs w:val="20"/>
        </w:rPr>
        <w:t>PISA UGent</w:t>
      </w:r>
      <w:r>
        <w:rPr>
          <w:rFonts w:ascii="Calibri" w:eastAsia="Calibri" w:hAnsi="Calibri" w:cs="Calibri"/>
          <w:color w:val="000000"/>
          <w:sz w:val="20"/>
          <w:szCs w:val="20"/>
        </w:rPr>
        <w:t>:</w:t>
      </w:r>
    </w:p>
    <w:p w:rsidR="00AC12B4" w:rsidRDefault="00AC12B4">
      <w:pPr>
        <w:spacing w:line="83" w:lineRule="exact"/>
        <w:rPr>
          <w:rFonts w:ascii="Symbol" w:eastAsia="Symbol" w:hAnsi="Symbol" w:cs="Symbol"/>
          <w:sz w:val="20"/>
          <w:szCs w:val="20"/>
        </w:rPr>
      </w:pPr>
    </w:p>
    <w:p w:rsidR="00AC12B4" w:rsidRPr="00C27636" w:rsidRDefault="00C27636">
      <w:pPr>
        <w:numPr>
          <w:ilvl w:val="0"/>
          <w:numId w:val="252"/>
        </w:numPr>
        <w:tabs>
          <w:tab w:val="left" w:pos="1120"/>
        </w:tabs>
        <w:spacing w:line="232" w:lineRule="auto"/>
        <w:ind w:left="1120" w:right="52" w:hanging="355"/>
        <w:jc w:val="both"/>
        <w:rPr>
          <w:rFonts w:ascii="Courier New" w:eastAsia="Courier New" w:hAnsi="Courier New" w:cs="Courier New"/>
          <w:sz w:val="20"/>
          <w:szCs w:val="20"/>
          <w:lang w:val="nl-NL"/>
        </w:rPr>
      </w:pPr>
      <w:r w:rsidRPr="00C27636">
        <w:rPr>
          <w:rFonts w:ascii="Calibri" w:eastAsia="Calibri" w:hAnsi="Calibri" w:cs="Calibri"/>
          <w:i/>
          <w:iCs/>
          <w:sz w:val="20"/>
          <w:szCs w:val="20"/>
          <w:lang w:val="nl-NL"/>
        </w:rPr>
        <w:t>Wiskundige geletterdheid bij 15-jarigen. Vlaamse resultaten van</w:t>
      </w:r>
    </w:p>
    <w:p w:rsidR="00AC12B4" w:rsidRPr="00C27636" w:rsidRDefault="00AC12B4">
      <w:pPr>
        <w:spacing w:line="83" w:lineRule="exact"/>
        <w:rPr>
          <w:rFonts w:ascii="Courier New" w:eastAsia="Courier New" w:hAnsi="Courier New" w:cs="Courier New"/>
          <w:sz w:val="20"/>
          <w:szCs w:val="20"/>
          <w:lang w:val="nl-NL"/>
        </w:rPr>
      </w:pPr>
    </w:p>
    <w:p w:rsidR="00AC12B4" w:rsidRPr="00C27636" w:rsidRDefault="00C27636">
      <w:pPr>
        <w:spacing w:line="253" w:lineRule="auto"/>
        <w:ind w:left="1120" w:right="52"/>
        <w:rPr>
          <w:rFonts w:ascii="Courier New" w:eastAsia="Courier New" w:hAnsi="Courier New" w:cs="Courier New"/>
          <w:sz w:val="20"/>
          <w:szCs w:val="20"/>
          <w:lang w:val="fr-BE"/>
        </w:rPr>
      </w:pPr>
      <w:r w:rsidRPr="00C27636">
        <w:rPr>
          <w:rFonts w:ascii="Calibri" w:eastAsia="Calibri" w:hAnsi="Calibri" w:cs="Calibri"/>
          <w:i/>
          <w:iCs/>
          <w:sz w:val="20"/>
          <w:szCs w:val="20"/>
          <w:lang w:val="fr-BE"/>
        </w:rPr>
        <w:t>PISA 2012</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http://www.pisa.ugent.be/uploa ds/assets/103/1394536156566-</w:t>
      </w:r>
    </w:p>
    <w:p w:rsidR="00AC12B4" w:rsidRPr="00C27636" w:rsidRDefault="00AC12B4">
      <w:pPr>
        <w:spacing w:line="24" w:lineRule="exact"/>
        <w:rPr>
          <w:rFonts w:ascii="Symbol" w:eastAsia="Symbol" w:hAnsi="Symbol" w:cs="Symbol"/>
          <w:sz w:val="20"/>
          <w:szCs w:val="20"/>
          <w:lang w:val="fr-BE"/>
        </w:rPr>
      </w:pPr>
    </w:p>
    <w:p w:rsidR="00AC12B4" w:rsidRDefault="00C27636">
      <w:pPr>
        <w:ind w:left="1120"/>
        <w:rPr>
          <w:sz w:val="20"/>
          <w:szCs w:val="20"/>
        </w:rPr>
      </w:pPr>
      <w:r>
        <w:rPr>
          <w:rFonts w:ascii="Calibri" w:eastAsia="Calibri" w:hAnsi="Calibri" w:cs="Calibri"/>
          <w:sz w:val="20"/>
          <w:szCs w:val="20"/>
        </w:rPr>
        <w:t>PISA2012%20rapport.pdf</w:t>
      </w:r>
    </w:p>
    <w:p w:rsidR="00AC12B4" w:rsidRDefault="00AC12B4">
      <w:pPr>
        <w:spacing w:line="83" w:lineRule="exact"/>
        <w:rPr>
          <w:rFonts w:ascii="Symbol" w:eastAsia="Symbol" w:hAnsi="Symbol" w:cs="Symbol"/>
          <w:sz w:val="20"/>
          <w:szCs w:val="20"/>
        </w:rPr>
      </w:pPr>
    </w:p>
    <w:p w:rsidR="00AC12B4" w:rsidRDefault="00C27636">
      <w:pPr>
        <w:numPr>
          <w:ilvl w:val="0"/>
          <w:numId w:val="253"/>
        </w:numPr>
        <w:tabs>
          <w:tab w:val="left" w:pos="1120"/>
        </w:tabs>
        <w:spacing w:line="258" w:lineRule="auto"/>
        <w:ind w:left="1120" w:right="52" w:hanging="355"/>
        <w:rPr>
          <w:rFonts w:ascii="Calibri" w:eastAsia="Calibri" w:hAnsi="Calibri" w:cs="Calibri"/>
          <w:color w:val="0000FF"/>
          <w:sz w:val="20"/>
          <w:szCs w:val="20"/>
          <w:u w:val="single"/>
        </w:rPr>
      </w:pPr>
      <w:r>
        <w:rPr>
          <w:rFonts w:ascii="Calibri" w:eastAsia="Calibri" w:hAnsi="Calibri" w:cs="Calibri"/>
          <w:i/>
          <w:iCs/>
          <w:color w:val="4BACC6"/>
          <w:sz w:val="20"/>
          <w:szCs w:val="20"/>
        </w:rPr>
        <w:t>PISA in focus 4</w:t>
      </w:r>
      <w:r>
        <w:rPr>
          <w:rFonts w:ascii="Calibri" w:eastAsia="Calibri" w:hAnsi="Calibri" w:cs="Calibri"/>
          <w:i/>
          <w:iCs/>
          <w:color w:val="000000"/>
          <w:sz w:val="20"/>
          <w:szCs w:val="20"/>
        </w:rPr>
        <w:t>: Migratie</w:t>
      </w:r>
      <w:r>
        <w:rPr>
          <w:rFonts w:ascii="Calibri" w:eastAsia="Calibri" w:hAnsi="Calibri" w:cs="Calibri"/>
          <w:color w:val="000000"/>
          <w:sz w:val="20"/>
          <w:szCs w:val="20"/>
        </w:rPr>
        <w:t>,</w:t>
      </w:r>
      <w:r>
        <w:rPr>
          <w:rFonts w:ascii="Calibri" w:eastAsia="Calibri" w:hAnsi="Calibri" w:cs="Calibri"/>
          <w:i/>
          <w:iCs/>
          <w:color w:val="4BACC6"/>
          <w:sz w:val="20"/>
          <w:szCs w:val="20"/>
        </w:rPr>
        <w:t xml:space="preserve"> </w:t>
      </w:r>
      <w:hyperlink r:id="rId227">
        <w:r>
          <w:rPr>
            <w:rFonts w:ascii="Calibri" w:eastAsia="Calibri" w:hAnsi="Calibri" w:cs="Calibri"/>
            <w:color w:val="0000FF"/>
            <w:sz w:val="20"/>
            <w:szCs w:val="20"/>
            <w:u w:val="single"/>
          </w:rPr>
          <w:t>http://www.pisa.ugent.be/uploa</w:t>
        </w:r>
      </w:hyperlink>
      <w:r>
        <w:rPr>
          <w:rFonts w:ascii="Calibri" w:eastAsia="Calibri" w:hAnsi="Calibri" w:cs="Calibri"/>
          <w:color w:val="0000FF"/>
          <w:sz w:val="20"/>
          <w:szCs w:val="20"/>
          <w:u w:val="single"/>
        </w:rPr>
        <w:t xml:space="preserve"> </w:t>
      </w:r>
      <w:hyperlink r:id="rId228">
        <w:r>
          <w:rPr>
            <w:rFonts w:ascii="Calibri" w:eastAsia="Calibri" w:hAnsi="Calibri" w:cs="Calibri"/>
            <w:color w:val="0000FF"/>
            <w:sz w:val="20"/>
            <w:szCs w:val="20"/>
            <w:u w:val="single"/>
          </w:rPr>
          <w:t>ds/asse</w:t>
        </w:r>
        <w:r>
          <w:rPr>
            <w:rFonts w:ascii="Calibri" w:eastAsia="Calibri" w:hAnsi="Calibri" w:cs="Calibri"/>
            <w:color w:val="0000FF"/>
            <w:sz w:val="20"/>
            <w:szCs w:val="20"/>
            <w:u w:val="single"/>
          </w:rPr>
          <w:t>ts/116/1421145371385-</w:t>
        </w:r>
      </w:hyperlink>
      <w:hyperlink r:id="rId229">
        <w:r>
          <w:rPr>
            <w:rFonts w:ascii="Calibri" w:eastAsia="Calibri" w:hAnsi="Calibri" w:cs="Calibri"/>
            <w:color w:val="0000FF"/>
            <w:sz w:val="20"/>
            <w:szCs w:val="20"/>
            <w:u w:val="single"/>
          </w:rPr>
          <w:t>PISA%20IN%20FOCUS%20migrati</w:t>
        </w:r>
      </w:hyperlink>
    </w:p>
    <w:p w:rsidR="00AC12B4" w:rsidRDefault="00AC12B4">
      <w:pPr>
        <w:spacing w:line="20" w:lineRule="exact"/>
        <w:rPr>
          <w:rFonts w:ascii="Calibri" w:eastAsia="Calibri" w:hAnsi="Calibri" w:cs="Calibri"/>
          <w:color w:val="0000FF"/>
          <w:sz w:val="20"/>
          <w:szCs w:val="20"/>
          <w:u w:val="single"/>
        </w:rPr>
      </w:pPr>
    </w:p>
    <w:p w:rsidR="00AC12B4" w:rsidRDefault="00C27636">
      <w:pPr>
        <w:ind w:left="1120"/>
        <w:rPr>
          <w:rFonts w:ascii="Calibri" w:eastAsia="Calibri" w:hAnsi="Calibri" w:cs="Calibri"/>
          <w:color w:val="0000FF"/>
          <w:sz w:val="20"/>
          <w:szCs w:val="20"/>
          <w:u w:val="single"/>
        </w:rPr>
      </w:pPr>
      <w:hyperlink r:id="rId230">
        <w:r>
          <w:rPr>
            <w:rFonts w:ascii="Calibri" w:eastAsia="Calibri" w:hAnsi="Calibri" w:cs="Calibri"/>
            <w:color w:val="0000FF"/>
            <w:sz w:val="20"/>
            <w:szCs w:val="20"/>
            <w:u w:val="single"/>
          </w:rPr>
          <w:t>e.pdf</w:t>
        </w:r>
      </w:hyperlink>
    </w:p>
    <w:p w:rsidR="00AC12B4" w:rsidRDefault="00AC12B4">
      <w:pPr>
        <w:spacing w:line="81" w:lineRule="exact"/>
        <w:rPr>
          <w:rFonts w:ascii="Calibri" w:eastAsia="Calibri" w:hAnsi="Calibri" w:cs="Calibri"/>
          <w:color w:val="0000FF"/>
          <w:sz w:val="20"/>
          <w:szCs w:val="20"/>
          <w:u w:val="single"/>
        </w:rPr>
      </w:pPr>
    </w:p>
    <w:p w:rsidR="00AC12B4" w:rsidRPr="00C27636" w:rsidRDefault="00C27636">
      <w:pPr>
        <w:numPr>
          <w:ilvl w:val="1"/>
          <w:numId w:val="254"/>
        </w:numPr>
        <w:tabs>
          <w:tab w:val="left" w:pos="1120"/>
        </w:tabs>
        <w:spacing w:line="265" w:lineRule="auto"/>
        <w:ind w:left="1120" w:right="52" w:hanging="355"/>
        <w:rPr>
          <w:rFonts w:ascii="Courier New" w:eastAsia="Courier New" w:hAnsi="Courier New" w:cs="Courier New"/>
          <w:sz w:val="20"/>
          <w:szCs w:val="20"/>
          <w:lang w:val="nl-NL"/>
        </w:rPr>
      </w:pPr>
      <w:r w:rsidRPr="00C27636">
        <w:rPr>
          <w:rFonts w:ascii="Calibri" w:eastAsia="Calibri" w:hAnsi="Calibri" w:cs="Calibri"/>
          <w:i/>
          <w:iCs/>
          <w:color w:val="4BACC6"/>
          <w:sz w:val="20"/>
          <w:szCs w:val="20"/>
          <w:lang w:val="nl-NL"/>
        </w:rPr>
        <w:t>PISA in focus 1</w:t>
      </w:r>
      <w:r w:rsidRPr="00C27636">
        <w:rPr>
          <w:rFonts w:ascii="Calibri" w:eastAsia="Calibri" w:hAnsi="Calibri" w:cs="Calibri"/>
          <w:i/>
          <w:iCs/>
          <w:color w:val="000000"/>
          <w:sz w:val="20"/>
          <w:szCs w:val="20"/>
          <w:lang w:val="nl-NL"/>
        </w:rPr>
        <w:t>: Belang van</w:t>
      </w:r>
      <w:r w:rsidRPr="00C27636">
        <w:rPr>
          <w:rFonts w:ascii="Calibri" w:eastAsia="Calibri" w:hAnsi="Calibri" w:cs="Calibri"/>
          <w:i/>
          <w:iCs/>
          <w:color w:val="4BACC6"/>
          <w:sz w:val="20"/>
          <w:szCs w:val="20"/>
          <w:lang w:val="nl-NL"/>
        </w:rPr>
        <w:t xml:space="preserve"> </w:t>
      </w:r>
      <w:r w:rsidRPr="00C27636">
        <w:rPr>
          <w:rFonts w:ascii="Calibri" w:eastAsia="Calibri" w:hAnsi="Calibri" w:cs="Calibri"/>
          <w:i/>
          <w:iCs/>
          <w:color w:val="000000"/>
          <w:sz w:val="20"/>
          <w:szCs w:val="20"/>
          <w:lang w:val="nl-NL"/>
        </w:rPr>
        <w:t>kleuteronderwijs</w:t>
      </w:r>
      <w:r w:rsidRPr="00C27636">
        <w:rPr>
          <w:rFonts w:ascii="Calibri" w:eastAsia="Calibri" w:hAnsi="Calibri" w:cs="Calibri"/>
          <w:color w:val="000000"/>
          <w:sz w:val="20"/>
          <w:szCs w:val="20"/>
          <w:lang w:val="nl-NL"/>
        </w:rPr>
        <w:t>,</w:t>
      </w:r>
      <w:r w:rsidRPr="00C27636">
        <w:rPr>
          <w:rFonts w:ascii="Calibri" w:eastAsia="Calibri" w:hAnsi="Calibri" w:cs="Calibri"/>
          <w:i/>
          <w:iCs/>
          <w:color w:val="000000"/>
          <w:sz w:val="20"/>
          <w:szCs w:val="20"/>
          <w:lang w:val="nl-NL"/>
        </w:rPr>
        <w:t xml:space="preserve"> </w:t>
      </w:r>
      <w:r w:rsidRPr="00C27636">
        <w:rPr>
          <w:rFonts w:ascii="Calibri" w:eastAsia="Calibri" w:hAnsi="Calibri" w:cs="Calibri"/>
          <w:color w:val="000000"/>
          <w:sz w:val="20"/>
          <w:szCs w:val="20"/>
          <w:lang w:val="nl-NL"/>
        </w:rPr>
        <w:t>http://www.pisa.ugent.be/uploa ds/assets/90/1372239307223-PISA%20belang%20kleuteronder wijs.pdf</w:t>
      </w:r>
    </w:p>
    <w:p w:rsidR="00AC12B4" w:rsidRPr="00C27636" w:rsidRDefault="00AC12B4">
      <w:pPr>
        <w:spacing w:line="72" w:lineRule="exact"/>
        <w:rPr>
          <w:rFonts w:ascii="Courier New" w:eastAsia="Courier New" w:hAnsi="Courier New" w:cs="Courier New"/>
          <w:sz w:val="20"/>
          <w:szCs w:val="20"/>
          <w:lang w:val="nl-NL"/>
        </w:rPr>
      </w:pPr>
    </w:p>
    <w:p w:rsidR="00AC12B4" w:rsidRPr="00C27636" w:rsidRDefault="00C27636">
      <w:pPr>
        <w:numPr>
          <w:ilvl w:val="0"/>
          <w:numId w:val="254"/>
        </w:numPr>
        <w:tabs>
          <w:tab w:val="left" w:pos="420"/>
        </w:tabs>
        <w:spacing w:line="264" w:lineRule="auto"/>
        <w:ind w:left="420" w:right="52" w:hanging="361"/>
        <w:jc w:val="both"/>
        <w:rPr>
          <w:rFonts w:ascii="Symbol" w:eastAsia="Symbol" w:hAnsi="Symbol" w:cs="Symbol"/>
          <w:sz w:val="20"/>
          <w:szCs w:val="20"/>
          <w:lang w:val="fr-BE"/>
        </w:rPr>
      </w:pPr>
      <w:r w:rsidRPr="00C27636">
        <w:rPr>
          <w:rFonts w:ascii="Calibri" w:eastAsia="Calibri" w:hAnsi="Calibri" w:cs="Calibri"/>
          <w:b/>
          <w:bCs/>
          <w:i/>
          <w:iCs/>
          <w:color w:val="4BACC6"/>
          <w:sz w:val="20"/>
          <w:szCs w:val="20"/>
          <w:lang w:val="fr-BE"/>
        </w:rPr>
        <w:t xml:space="preserve">PISA : </w:t>
      </w:r>
      <w:r w:rsidRPr="00C27636">
        <w:rPr>
          <w:rFonts w:ascii="Calibri" w:eastAsia="Calibri" w:hAnsi="Calibri" w:cs="Calibri"/>
          <w:color w:val="000000"/>
          <w:sz w:val="20"/>
          <w:szCs w:val="20"/>
          <w:lang w:val="fr-BE"/>
        </w:rPr>
        <w:t>L’enquête Pisa s’intéresse</w:t>
      </w:r>
      <w:r w:rsidRPr="00C27636">
        <w:rPr>
          <w:rFonts w:ascii="Calibri" w:eastAsia="Calibri" w:hAnsi="Calibri" w:cs="Calibri"/>
          <w:b/>
          <w:bCs/>
          <w:i/>
          <w:iCs/>
          <w:color w:val="4BACC6"/>
          <w:sz w:val="20"/>
          <w:szCs w:val="20"/>
          <w:lang w:val="fr-BE"/>
        </w:rPr>
        <w:t xml:space="preserve"> </w:t>
      </w:r>
      <w:r w:rsidRPr="00C27636">
        <w:rPr>
          <w:rFonts w:ascii="Calibri" w:eastAsia="Calibri" w:hAnsi="Calibri" w:cs="Calibri"/>
          <w:color w:val="000000"/>
          <w:sz w:val="20"/>
          <w:szCs w:val="20"/>
          <w:lang w:val="fr-BE"/>
        </w:rPr>
        <w:t xml:space="preserve">également au sentiment des élèves d’être acteur de leur </w:t>
      </w:r>
      <w:r w:rsidRPr="00C27636">
        <w:rPr>
          <w:rFonts w:ascii="Calibri" w:eastAsia="Calibri" w:hAnsi="Calibri" w:cs="Calibri"/>
          <w:color w:val="000000"/>
          <w:sz w:val="20"/>
          <w:szCs w:val="20"/>
          <w:lang w:val="fr-BE"/>
        </w:rPr>
        <w:t>réussite, notamment à travers la question suivante : « Dans quelle mesure êtes-vous d’accord avec les affirmations suivantes ?</w:t>
      </w:r>
    </w:p>
    <w:p w:rsidR="00AC12B4" w:rsidRPr="00C27636" w:rsidRDefault="00AC12B4">
      <w:pPr>
        <w:spacing w:line="9" w:lineRule="exact"/>
        <w:rPr>
          <w:rFonts w:ascii="Symbol" w:eastAsia="Symbol" w:hAnsi="Symbol" w:cs="Symbol"/>
          <w:sz w:val="20"/>
          <w:szCs w:val="20"/>
          <w:lang w:val="fr-BE"/>
        </w:rPr>
      </w:pPr>
    </w:p>
    <w:p w:rsidR="00AC12B4" w:rsidRPr="00C27636" w:rsidRDefault="00C27636">
      <w:pPr>
        <w:numPr>
          <w:ilvl w:val="1"/>
          <w:numId w:val="254"/>
        </w:numPr>
        <w:tabs>
          <w:tab w:val="left" w:pos="1120"/>
        </w:tabs>
        <w:ind w:left="1120" w:hanging="355"/>
        <w:rPr>
          <w:rFonts w:ascii="Courier New" w:eastAsia="Courier New" w:hAnsi="Courier New" w:cs="Courier New"/>
          <w:sz w:val="20"/>
          <w:szCs w:val="20"/>
          <w:lang w:val="fr-BE"/>
        </w:rPr>
      </w:pPr>
      <w:r w:rsidRPr="00C27636">
        <w:rPr>
          <w:rFonts w:ascii="Calibri" w:eastAsia="Calibri" w:hAnsi="Calibri" w:cs="Calibri"/>
          <w:sz w:val="20"/>
          <w:szCs w:val="20"/>
          <w:lang w:val="fr-BE"/>
        </w:rPr>
        <w:t>Si je fais suffisamment d’efforts,</w:t>
      </w:r>
    </w:p>
    <w:p w:rsidR="00AC12B4" w:rsidRPr="00C27636" w:rsidRDefault="00AC12B4">
      <w:pPr>
        <w:spacing w:line="37" w:lineRule="exact"/>
        <w:rPr>
          <w:rFonts w:ascii="Calibri" w:eastAsia="Calibri" w:hAnsi="Calibri" w:cs="Calibri"/>
          <w:color w:val="0000FF"/>
          <w:sz w:val="20"/>
          <w:szCs w:val="20"/>
          <w:u w:val="single"/>
          <w:lang w:val="fr-BE"/>
        </w:rPr>
      </w:pPr>
    </w:p>
    <w:p w:rsidR="00AC12B4" w:rsidRPr="00C27636" w:rsidRDefault="00C27636">
      <w:pPr>
        <w:ind w:left="1120"/>
        <w:rPr>
          <w:sz w:val="20"/>
          <w:szCs w:val="20"/>
          <w:lang w:val="fr-BE"/>
        </w:rPr>
      </w:pPr>
      <w:r w:rsidRPr="00C27636">
        <w:rPr>
          <w:rFonts w:ascii="Calibri" w:eastAsia="Calibri" w:hAnsi="Calibri" w:cs="Calibri"/>
          <w:sz w:val="20"/>
          <w:szCs w:val="20"/>
          <w:lang w:val="fr-BE"/>
        </w:rPr>
        <w:t>je peux réussir à l’école.</w:t>
      </w:r>
    </w:p>
    <w:p w:rsidR="00AC12B4" w:rsidRPr="00C27636" w:rsidRDefault="00AC12B4">
      <w:pPr>
        <w:spacing w:line="83" w:lineRule="exact"/>
        <w:rPr>
          <w:rFonts w:ascii="Calibri" w:eastAsia="Calibri" w:hAnsi="Calibri" w:cs="Calibri"/>
          <w:color w:val="0000FF"/>
          <w:sz w:val="20"/>
          <w:szCs w:val="20"/>
          <w:u w:val="single"/>
          <w:lang w:val="fr-BE"/>
        </w:rPr>
      </w:pPr>
    </w:p>
    <w:p w:rsidR="00AC12B4" w:rsidRPr="00C27636" w:rsidRDefault="00C27636">
      <w:pPr>
        <w:numPr>
          <w:ilvl w:val="0"/>
          <w:numId w:val="255"/>
        </w:numPr>
        <w:tabs>
          <w:tab w:val="left" w:pos="1120"/>
        </w:tabs>
        <w:spacing w:line="232" w:lineRule="auto"/>
        <w:ind w:left="1120" w:right="52" w:hanging="355"/>
        <w:rPr>
          <w:rFonts w:ascii="Courier New" w:eastAsia="Courier New" w:hAnsi="Courier New" w:cs="Courier New"/>
          <w:sz w:val="20"/>
          <w:szCs w:val="20"/>
          <w:lang w:val="fr-BE"/>
        </w:rPr>
      </w:pPr>
      <w:r w:rsidRPr="00C27636">
        <w:rPr>
          <w:rFonts w:ascii="Calibri" w:eastAsia="Calibri" w:hAnsi="Calibri" w:cs="Calibri"/>
          <w:sz w:val="20"/>
          <w:szCs w:val="20"/>
          <w:lang w:val="fr-BE"/>
        </w:rPr>
        <w:t>Réussir ou échouer à l’école ne dépend que de moi.</w:t>
      </w:r>
    </w:p>
    <w:p w:rsidR="00AC12B4" w:rsidRPr="00C27636" w:rsidRDefault="00AC12B4">
      <w:pPr>
        <w:spacing w:line="83" w:lineRule="exact"/>
        <w:rPr>
          <w:rFonts w:ascii="Calibri" w:eastAsia="Calibri" w:hAnsi="Calibri" w:cs="Calibri"/>
          <w:color w:val="0000FF"/>
          <w:sz w:val="20"/>
          <w:szCs w:val="20"/>
          <w:u w:val="single"/>
          <w:lang w:val="fr-BE"/>
        </w:rPr>
      </w:pPr>
    </w:p>
    <w:p w:rsidR="00AC12B4" w:rsidRPr="00C27636" w:rsidRDefault="00C27636">
      <w:pPr>
        <w:numPr>
          <w:ilvl w:val="0"/>
          <w:numId w:val="256"/>
        </w:numPr>
        <w:tabs>
          <w:tab w:val="left" w:pos="1120"/>
        </w:tabs>
        <w:spacing w:line="232" w:lineRule="auto"/>
        <w:ind w:left="1120" w:right="52" w:hanging="355"/>
        <w:rPr>
          <w:rFonts w:ascii="Courier New" w:eastAsia="Courier New" w:hAnsi="Courier New" w:cs="Courier New"/>
          <w:sz w:val="20"/>
          <w:szCs w:val="20"/>
          <w:lang w:val="fr-BE"/>
        </w:rPr>
      </w:pPr>
      <w:r w:rsidRPr="00C27636">
        <w:rPr>
          <w:rFonts w:ascii="Calibri" w:eastAsia="Calibri" w:hAnsi="Calibri" w:cs="Calibri"/>
          <w:sz w:val="20"/>
          <w:szCs w:val="20"/>
          <w:lang w:val="fr-BE"/>
        </w:rPr>
        <w:t xml:space="preserve">Si je le </w:t>
      </w:r>
      <w:r w:rsidRPr="00C27636">
        <w:rPr>
          <w:rFonts w:ascii="Calibri" w:eastAsia="Calibri" w:hAnsi="Calibri" w:cs="Calibri"/>
          <w:sz w:val="20"/>
          <w:szCs w:val="20"/>
          <w:lang w:val="fr-BE"/>
        </w:rPr>
        <w:t>voulais, je pourrais avoir de bons résultats à l’école.</w:t>
      </w:r>
    </w:p>
    <w:p w:rsidR="00AC12B4" w:rsidRPr="00C27636" w:rsidRDefault="00AC12B4">
      <w:pPr>
        <w:spacing w:line="83" w:lineRule="exact"/>
        <w:rPr>
          <w:rFonts w:ascii="Calibri" w:eastAsia="Calibri" w:hAnsi="Calibri" w:cs="Calibri"/>
          <w:color w:val="0000FF"/>
          <w:sz w:val="20"/>
          <w:szCs w:val="20"/>
          <w:u w:val="single"/>
          <w:lang w:val="fr-BE"/>
        </w:rPr>
      </w:pPr>
    </w:p>
    <w:p w:rsidR="00AC12B4" w:rsidRPr="00C27636" w:rsidRDefault="00C27636">
      <w:pPr>
        <w:numPr>
          <w:ilvl w:val="0"/>
          <w:numId w:val="257"/>
        </w:numPr>
        <w:tabs>
          <w:tab w:val="left" w:pos="1120"/>
        </w:tabs>
        <w:spacing w:line="251" w:lineRule="auto"/>
        <w:ind w:left="1120" w:right="52" w:hanging="355"/>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Que j’étudie ou non pour mes examens, je n’ai pas de bons résultats à l’école.</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79" w:lineRule="exact"/>
        <w:rPr>
          <w:rFonts w:ascii="Calibri" w:eastAsia="Calibri" w:hAnsi="Calibri" w:cs="Calibri"/>
          <w:color w:val="0000FF"/>
          <w:sz w:val="20"/>
          <w:szCs w:val="20"/>
          <w:u w:val="single"/>
          <w:lang w:val="fr-B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noProof/>
          <w:color w:val="0000FF"/>
          <w:sz w:val="20"/>
          <w:szCs w:val="20"/>
          <w:u w:val="single"/>
        </w:rPr>
        <mc:AlternateContent>
          <mc:Choice Requires="wps">
            <w:drawing>
              <wp:anchor distT="0" distB="0" distL="114300" distR="114300" simplePos="0" relativeHeight="251733504" behindDoc="1" locked="0" layoutInCell="0" allowOverlap="1">
                <wp:simplePos x="0" y="0"/>
                <wp:positionH relativeFrom="column">
                  <wp:posOffset>-223520</wp:posOffset>
                </wp:positionH>
                <wp:positionV relativeFrom="paragraph">
                  <wp:posOffset>-9956165</wp:posOffset>
                </wp:positionV>
                <wp:extent cx="751205" cy="10908665"/>
                <wp:effectExtent l="0" t="0" r="0" b="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205" cy="10908665"/>
                        </a:xfrm>
                        <a:prstGeom prst="rect">
                          <a:avLst/>
                        </a:prstGeom>
                        <a:solidFill>
                          <a:srgbClr val="8BCCEC"/>
                        </a:solidFill>
                      </wps:spPr>
                      <wps:bodyPr/>
                    </wps:wsp>
                  </a:graphicData>
                </a:graphic>
              </wp:anchor>
            </w:drawing>
          </mc:Choice>
          <mc:Fallback>
            <w:pict>
              <v:rect id="Shape 399" o:spid="_x0000_s1424" style="position:absolute;margin-left:-17.5999pt;margin-top:-783.9499pt;width:59.15pt;height:85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Default="00AC12B4">
      <w:pPr>
        <w:sectPr w:rsidR="00AC12B4">
          <w:pgSz w:w="12080" w:h="17179"/>
          <w:pgMar w:top="1440" w:right="503" w:bottom="659" w:left="1440" w:header="0" w:footer="0" w:gutter="0"/>
          <w:cols w:num="3" w:space="720" w:equalWidth="0">
            <w:col w:w="4960" w:space="200"/>
            <w:col w:w="3912" w:space="720"/>
            <w:col w:w="342"/>
          </w:cols>
        </w:sectPr>
      </w:pPr>
    </w:p>
    <w:p w:rsidR="00AC12B4" w:rsidRDefault="00AC12B4">
      <w:pPr>
        <w:spacing w:line="20" w:lineRule="exact"/>
        <w:rPr>
          <w:sz w:val="20"/>
          <w:szCs w:val="20"/>
        </w:rPr>
      </w:pPr>
      <w:bookmarkStart w:id="137" w:name="page138"/>
      <w:bookmarkEnd w:id="137"/>
    </w:p>
    <w:p w:rsidR="00AC12B4" w:rsidRDefault="00AC12B4">
      <w:pPr>
        <w:sectPr w:rsidR="00AC12B4">
          <w:pgSz w:w="12080" w:h="17179"/>
          <w:pgMar w:top="1440" w:right="1440" w:bottom="875" w:left="1440" w:header="0" w:footer="0" w:gutter="0"/>
          <w:cols w:space="0"/>
        </w:sectPr>
      </w:pPr>
    </w:p>
    <w:p w:rsidR="00AC12B4" w:rsidRDefault="00AC12B4">
      <w:pPr>
        <w:spacing w:line="168" w:lineRule="exact"/>
        <w:rPr>
          <w:sz w:val="20"/>
          <w:szCs w:val="20"/>
        </w:rPr>
      </w:pPr>
      <w:bookmarkStart w:id="138" w:name="page139"/>
      <w:bookmarkEnd w:id="138"/>
    </w:p>
    <w:p w:rsidR="00AC12B4" w:rsidRDefault="00C27636">
      <w:pPr>
        <w:ind w:left="1460"/>
        <w:rPr>
          <w:sz w:val="20"/>
          <w:szCs w:val="20"/>
        </w:rPr>
      </w:pPr>
      <w:r>
        <w:rPr>
          <w:rFonts w:ascii="Comic Sans MS" w:eastAsia="Comic Sans MS" w:hAnsi="Comic Sans MS" w:cs="Comic Sans MS"/>
          <w:color w:val="8BCCEC"/>
          <w:sz w:val="40"/>
          <w:szCs w:val="40"/>
        </w:rPr>
        <w:t>E9. Interruptions prématurées de scolarité</w:t>
      </w:r>
    </w:p>
    <w:p w:rsidR="00AC12B4" w:rsidRDefault="00AC12B4">
      <w:pPr>
        <w:spacing w:line="200" w:lineRule="exact"/>
        <w:rPr>
          <w:sz w:val="20"/>
          <w:szCs w:val="20"/>
        </w:rPr>
      </w:pPr>
    </w:p>
    <w:p w:rsidR="00AC12B4" w:rsidRDefault="00AC12B4">
      <w:pPr>
        <w:spacing w:line="37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780"/>
        <w:gridCol w:w="460"/>
        <w:gridCol w:w="520"/>
        <w:gridCol w:w="140"/>
        <w:gridCol w:w="620"/>
        <w:gridCol w:w="60"/>
        <w:gridCol w:w="80"/>
        <w:gridCol w:w="140"/>
        <w:gridCol w:w="20"/>
        <w:gridCol w:w="40"/>
        <w:gridCol w:w="100"/>
        <w:gridCol w:w="20"/>
        <w:gridCol w:w="60"/>
        <w:gridCol w:w="80"/>
        <w:gridCol w:w="20"/>
        <w:gridCol w:w="140"/>
        <w:gridCol w:w="20"/>
        <w:gridCol w:w="60"/>
        <w:gridCol w:w="80"/>
        <w:gridCol w:w="20"/>
        <w:gridCol w:w="120"/>
        <w:gridCol w:w="20"/>
        <w:gridCol w:w="140"/>
        <w:gridCol w:w="20"/>
        <w:gridCol w:w="140"/>
        <w:gridCol w:w="20"/>
        <w:gridCol w:w="140"/>
        <w:gridCol w:w="20"/>
        <w:gridCol w:w="140"/>
        <w:gridCol w:w="20"/>
        <w:gridCol w:w="140"/>
        <w:gridCol w:w="20"/>
        <w:gridCol w:w="140"/>
        <w:gridCol w:w="20"/>
        <w:gridCol w:w="120"/>
        <w:gridCol w:w="120"/>
        <w:gridCol w:w="40"/>
        <w:gridCol w:w="20"/>
        <w:gridCol w:w="140"/>
        <w:gridCol w:w="20"/>
        <w:gridCol w:w="400"/>
        <w:gridCol w:w="240"/>
        <w:gridCol w:w="100"/>
        <w:gridCol w:w="40"/>
        <w:gridCol w:w="420"/>
        <w:gridCol w:w="520"/>
        <w:gridCol w:w="480"/>
        <w:gridCol w:w="100"/>
        <w:gridCol w:w="80"/>
        <w:gridCol w:w="480"/>
        <w:gridCol w:w="420"/>
        <w:gridCol w:w="300"/>
        <w:gridCol w:w="480"/>
        <w:gridCol w:w="600"/>
        <w:gridCol w:w="20"/>
      </w:tblGrid>
      <w:tr w:rsidR="00C27636" w:rsidRPr="00C27636">
        <w:trPr>
          <w:trHeight w:val="341"/>
        </w:trPr>
        <w:tc>
          <w:tcPr>
            <w:tcW w:w="1780" w:type="dxa"/>
            <w:tcBorders>
              <w:top w:val="single" w:sz="8" w:space="0" w:color="44ACE0"/>
              <w:left w:val="single" w:sz="8" w:space="0" w:color="44ACE0"/>
            </w:tcBorders>
            <w:shd w:val="clear" w:color="auto" w:fill="8BCCEC"/>
            <w:vAlign w:val="bottom"/>
          </w:tcPr>
          <w:p w:rsidR="00AC12B4" w:rsidRDefault="00AC12B4">
            <w:pPr>
              <w:rPr>
                <w:sz w:val="24"/>
                <w:szCs w:val="24"/>
              </w:rPr>
            </w:pPr>
          </w:p>
        </w:tc>
        <w:tc>
          <w:tcPr>
            <w:tcW w:w="460" w:type="dxa"/>
            <w:tcBorders>
              <w:top w:val="single" w:sz="8" w:space="0" w:color="44ACE0"/>
            </w:tcBorders>
            <w:shd w:val="clear" w:color="auto" w:fill="8BCCEC"/>
            <w:vAlign w:val="bottom"/>
          </w:tcPr>
          <w:p w:rsidR="00AC12B4" w:rsidRDefault="00AC12B4">
            <w:pPr>
              <w:rPr>
                <w:sz w:val="24"/>
                <w:szCs w:val="24"/>
              </w:rPr>
            </w:pPr>
          </w:p>
        </w:tc>
        <w:tc>
          <w:tcPr>
            <w:tcW w:w="520" w:type="dxa"/>
            <w:tcBorders>
              <w:top w:val="single" w:sz="8" w:space="0" w:color="44ACE0"/>
              <w:right w:val="single" w:sz="8" w:space="0" w:color="8BCCEC"/>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620" w:type="dxa"/>
            <w:tcBorders>
              <w:top w:val="single" w:sz="8" w:space="0" w:color="44ACE0"/>
            </w:tcBorders>
            <w:shd w:val="clear" w:color="auto" w:fill="8BCCEC"/>
            <w:vAlign w:val="bottom"/>
          </w:tcPr>
          <w:p w:rsidR="00AC12B4" w:rsidRDefault="00AC12B4">
            <w:pPr>
              <w:rPr>
                <w:sz w:val="24"/>
                <w:szCs w:val="24"/>
              </w:rPr>
            </w:pPr>
          </w:p>
        </w:tc>
        <w:tc>
          <w:tcPr>
            <w:tcW w:w="60" w:type="dxa"/>
            <w:tcBorders>
              <w:top w:val="single" w:sz="8" w:space="0" w:color="44ACE0"/>
            </w:tcBorders>
            <w:shd w:val="clear" w:color="auto" w:fill="8BCCEC"/>
            <w:vAlign w:val="bottom"/>
          </w:tcPr>
          <w:p w:rsidR="00AC12B4" w:rsidRDefault="00AC12B4">
            <w:pPr>
              <w:rPr>
                <w:sz w:val="24"/>
                <w:szCs w:val="24"/>
              </w:rPr>
            </w:pPr>
          </w:p>
        </w:tc>
        <w:tc>
          <w:tcPr>
            <w:tcW w:w="80" w:type="dxa"/>
            <w:tcBorders>
              <w:top w:val="single" w:sz="8" w:space="0" w:color="44ACE0"/>
              <w:right w:val="single" w:sz="8" w:space="0" w:color="8BCCEC"/>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40" w:type="dxa"/>
            <w:tcBorders>
              <w:top w:val="single" w:sz="8" w:space="0" w:color="44ACE0"/>
            </w:tcBorders>
            <w:shd w:val="clear" w:color="auto" w:fill="8BCCEC"/>
            <w:vAlign w:val="bottom"/>
          </w:tcPr>
          <w:p w:rsidR="00AC12B4" w:rsidRDefault="00AC12B4">
            <w:pPr>
              <w:rPr>
                <w:sz w:val="24"/>
                <w:szCs w:val="24"/>
              </w:rPr>
            </w:pPr>
          </w:p>
        </w:tc>
        <w:tc>
          <w:tcPr>
            <w:tcW w:w="10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60" w:type="dxa"/>
            <w:tcBorders>
              <w:top w:val="single" w:sz="8" w:space="0" w:color="44ACE0"/>
            </w:tcBorders>
            <w:shd w:val="clear" w:color="auto" w:fill="8BCCEC"/>
            <w:vAlign w:val="bottom"/>
          </w:tcPr>
          <w:p w:rsidR="00AC12B4" w:rsidRDefault="00AC12B4">
            <w:pPr>
              <w:rPr>
                <w:sz w:val="24"/>
                <w:szCs w:val="24"/>
              </w:rPr>
            </w:pPr>
          </w:p>
        </w:tc>
        <w:tc>
          <w:tcPr>
            <w:tcW w:w="8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60" w:type="dxa"/>
            <w:tcBorders>
              <w:top w:val="single" w:sz="8" w:space="0" w:color="44ACE0"/>
            </w:tcBorders>
            <w:shd w:val="clear" w:color="auto" w:fill="8BCCEC"/>
            <w:vAlign w:val="bottom"/>
          </w:tcPr>
          <w:p w:rsidR="00AC12B4" w:rsidRDefault="00AC12B4">
            <w:pPr>
              <w:rPr>
                <w:sz w:val="24"/>
                <w:szCs w:val="24"/>
              </w:rPr>
            </w:pPr>
          </w:p>
        </w:tc>
        <w:tc>
          <w:tcPr>
            <w:tcW w:w="8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2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40" w:type="dxa"/>
            <w:tcBorders>
              <w:top w:val="single" w:sz="8" w:space="0" w:color="44ACE0"/>
            </w:tcBorders>
            <w:shd w:val="clear" w:color="auto" w:fill="8BCCEC"/>
            <w:vAlign w:val="bottom"/>
          </w:tcPr>
          <w:p w:rsidR="00AC12B4" w:rsidRDefault="00AC12B4">
            <w:pPr>
              <w:rPr>
                <w:sz w:val="24"/>
                <w:szCs w:val="24"/>
              </w:rPr>
            </w:pPr>
          </w:p>
        </w:tc>
        <w:tc>
          <w:tcPr>
            <w:tcW w:w="20" w:type="dxa"/>
            <w:tcBorders>
              <w:top w:val="single" w:sz="8" w:space="0" w:color="44ACE0"/>
            </w:tcBorders>
            <w:shd w:val="clear" w:color="auto" w:fill="8BCCEC"/>
            <w:vAlign w:val="bottom"/>
          </w:tcPr>
          <w:p w:rsidR="00AC12B4" w:rsidRDefault="00AC12B4">
            <w:pPr>
              <w:rPr>
                <w:sz w:val="24"/>
                <w:szCs w:val="24"/>
              </w:rPr>
            </w:pPr>
          </w:p>
        </w:tc>
        <w:tc>
          <w:tcPr>
            <w:tcW w:w="120" w:type="dxa"/>
            <w:tcBorders>
              <w:top w:val="single" w:sz="8" w:space="0" w:color="44ACE0"/>
            </w:tcBorders>
            <w:shd w:val="clear" w:color="auto" w:fill="8BCCEC"/>
            <w:vAlign w:val="bottom"/>
          </w:tcPr>
          <w:p w:rsidR="00AC12B4" w:rsidRDefault="00AC12B4">
            <w:pPr>
              <w:rPr>
                <w:sz w:val="24"/>
                <w:szCs w:val="24"/>
              </w:rPr>
            </w:pPr>
          </w:p>
        </w:tc>
        <w:tc>
          <w:tcPr>
            <w:tcW w:w="120" w:type="dxa"/>
            <w:tcBorders>
              <w:top w:val="single" w:sz="8" w:space="0" w:color="44ACE0"/>
              <w:right w:val="single" w:sz="8" w:space="0" w:color="44ACE0"/>
            </w:tcBorders>
            <w:shd w:val="clear" w:color="auto" w:fill="8BCCEC"/>
            <w:vAlign w:val="bottom"/>
          </w:tcPr>
          <w:p w:rsidR="00AC12B4" w:rsidRDefault="00AC12B4">
            <w:pPr>
              <w:rPr>
                <w:sz w:val="24"/>
                <w:szCs w:val="24"/>
              </w:rPr>
            </w:pPr>
          </w:p>
        </w:tc>
        <w:tc>
          <w:tcPr>
            <w:tcW w:w="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060" w:type="dxa"/>
            <w:gridSpan w:val="13"/>
            <w:vAlign w:val="bottom"/>
          </w:tcPr>
          <w:p w:rsidR="00AC12B4" w:rsidRPr="00C27636" w:rsidRDefault="00C27636">
            <w:pPr>
              <w:ind w:left="40"/>
              <w:rPr>
                <w:sz w:val="20"/>
                <w:szCs w:val="20"/>
                <w:lang w:val="fr-BE"/>
              </w:rPr>
            </w:pPr>
            <w:r w:rsidRPr="00C27636">
              <w:rPr>
                <w:rFonts w:ascii="Calibri" w:eastAsia="Calibri" w:hAnsi="Calibri" w:cs="Calibri"/>
                <w:lang w:val="fr-BE"/>
              </w:rPr>
              <w:t>scolaires  des  enfants  qui  ne  sont  pas</w:t>
            </w:r>
          </w:p>
        </w:tc>
        <w:tc>
          <w:tcPr>
            <w:tcW w:w="60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C27636" w:rsidRPr="00C27636">
        <w:trPr>
          <w:trHeight w:val="269"/>
        </w:trPr>
        <w:tc>
          <w:tcPr>
            <w:tcW w:w="2240" w:type="dxa"/>
            <w:gridSpan w:val="2"/>
            <w:vMerge w:val="restart"/>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Article 28 CIDE</w:t>
            </w:r>
          </w:p>
        </w:tc>
        <w:tc>
          <w:tcPr>
            <w:tcW w:w="520" w:type="dxa"/>
            <w:tcBorders>
              <w:right w:val="single" w:sz="8" w:space="0" w:color="8BCCEC"/>
            </w:tcBorders>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620" w:type="dxa"/>
            <w:shd w:val="clear" w:color="auto" w:fill="8BCCEC"/>
            <w:vAlign w:val="bottom"/>
          </w:tcPr>
          <w:p w:rsidR="00AC12B4" w:rsidRDefault="00AC12B4">
            <w:pPr>
              <w:rPr>
                <w:sz w:val="23"/>
                <w:szCs w:val="23"/>
              </w:rPr>
            </w:pPr>
          </w:p>
        </w:tc>
        <w:tc>
          <w:tcPr>
            <w:tcW w:w="60" w:type="dxa"/>
            <w:shd w:val="clear" w:color="auto" w:fill="8BCCEC"/>
            <w:vAlign w:val="bottom"/>
          </w:tcPr>
          <w:p w:rsidR="00AC12B4" w:rsidRDefault="00AC12B4">
            <w:pPr>
              <w:rPr>
                <w:sz w:val="23"/>
                <w:szCs w:val="23"/>
              </w:rPr>
            </w:pPr>
          </w:p>
        </w:tc>
        <w:tc>
          <w:tcPr>
            <w:tcW w:w="80" w:type="dxa"/>
            <w:tcBorders>
              <w:right w:val="single" w:sz="8" w:space="0" w:color="8BCCEC"/>
            </w:tcBorders>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40" w:type="dxa"/>
            <w:shd w:val="clear" w:color="auto" w:fill="8BCCEC"/>
            <w:vAlign w:val="bottom"/>
          </w:tcPr>
          <w:p w:rsidR="00AC12B4" w:rsidRDefault="00AC12B4">
            <w:pPr>
              <w:rPr>
                <w:sz w:val="23"/>
                <w:szCs w:val="23"/>
              </w:rPr>
            </w:pPr>
          </w:p>
        </w:tc>
        <w:tc>
          <w:tcPr>
            <w:tcW w:w="10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60" w:type="dxa"/>
            <w:shd w:val="clear" w:color="auto" w:fill="8BCCEC"/>
            <w:vAlign w:val="bottom"/>
          </w:tcPr>
          <w:p w:rsidR="00AC12B4" w:rsidRDefault="00AC12B4">
            <w:pPr>
              <w:rPr>
                <w:sz w:val="23"/>
                <w:szCs w:val="23"/>
              </w:rPr>
            </w:pPr>
          </w:p>
        </w:tc>
        <w:tc>
          <w:tcPr>
            <w:tcW w:w="8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60" w:type="dxa"/>
            <w:shd w:val="clear" w:color="auto" w:fill="8BCCEC"/>
            <w:vAlign w:val="bottom"/>
          </w:tcPr>
          <w:p w:rsidR="00AC12B4" w:rsidRDefault="00AC12B4">
            <w:pPr>
              <w:rPr>
                <w:sz w:val="23"/>
                <w:szCs w:val="23"/>
              </w:rPr>
            </w:pPr>
          </w:p>
        </w:tc>
        <w:tc>
          <w:tcPr>
            <w:tcW w:w="8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2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20" w:type="dxa"/>
            <w:shd w:val="clear" w:color="auto" w:fill="8BCCEC"/>
            <w:vAlign w:val="bottom"/>
          </w:tcPr>
          <w:p w:rsidR="00AC12B4" w:rsidRDefault="00AC12B4">
            <w:pPr>
              <w:rPr>
                <w:sz w:val="23"/>
                <w:szCs w:val="23"/>
              </w:rPr>
            </w:pPr>
          </w:p>
        </w:tc>
        <w:tc>
          <w:tcPr>
            <w:tcW w:w="120" w:type="dxa"/>
            <w:tcBorders>
              <w:right w:val="single" w:sz="8" w:space="0" w:color="44ACE0"/>
            </w:tcBorders>
            <w:shd w:val="clear" w:color="auto" w:fill="8BCCEC"/>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4060" w:type="dxa"/>
            <w:gridSpan w:val="13"/>
            <w:vAlign w:val="bottom"/>
          </w:tcPr>
          <w:p w:rsidR="00AC12B4" w:rsidRPr="00C27636" w:rsidRDefault="00C27636">
            <w:pPr>
              <w:ind w:left="40"/>
              <w:rPr>
                <w:sz w:val="20"/>
                <w:szCs w:val="20"/>
                <w:lang w:val="fr-BE"/>
              </w:rPr>
            </w:pPr>
            <w:r w:rsidRPr="00C27636">
              <w:rPr>
                <w:rFonts w:ascii="Calibri" w:eastAsia="Calibri" w:hAnsi="Calibri" w:cs="Calibri"/>
                <w:lang w:val="fr-BE"/>
              </w:rPr>
              <w:t xml:space="preserve">présents à l'école. Le Comité a </w:t>
            </w:r>
            <w:r w:rsidRPr="00C27636">
              <w:rPr>
                <w:rFonts w:ascii="Calibri" w:eastAsia="Calibri" w:hAnsi="Calibri" w:cs="Calibri"/>
                <w:lang w:val="fr-BE"/>
              </w:rPr>
              <w:t>demandé</w:t>
            </w:r>
          </w:p>
        </w:tc>
        <w:tc>
          <w:tcPr>
            <w:tcW w:w="60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C27636" w:rsidRPr="00C27636">
        <w:trPr>
          <w:trHeight w:val="118"/>
        </w:trPr>
        <w:tc>
          <w:tcPr>
            <w:tcW w:w="2240" w:type="dxa"/>
            <w:gridSpan w:val="2"/>
            <w:vMerge/>
            <w:tcBorders>
              <w:left w:val="single" w:sz="8" w:space="0" w:color="44ACE0"/>
            </w:tcBorders>
            <w:shd w:val="clear" w:color="auto" w:fill="8BCCEC"/>
            <w:vAlign w:val="bottom"/>
          </w:tcPr>
          <w:p w:rsidR="00AC12B4" w:rsidRPr="00C27636" w:rsidRDefault="00AC12B4">
            <w:pPr>
              <w:rPr>
                <w:sz w:val="10"/>
                <w:szCs w:val="10"/>
                <w:lang w:val="fr-BE"/>
              </w:rPr>
            </w:pPr>
          </w:p>
        </w:tc>
        <w:tc>
          <w:tcPr>
            <w:tcW w:w="520" w:type="dxa"/>
            <w:tcBorders>
              <w:right w:val="single" w:sz="8" w:space="0" w:color="8BCCEC"/>
            </w:tcBorders>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620" w:type="dxa"/>
            <w:shd w:val="clear" w:color="auto" w:fill="8BCCEC"/>
            <w:vAlign w:val="bottom"/>
          </w:tcPr>
          <w:p w:rsidR="00AC12B4" w:rsidRPr="00C27636" w:rsidRDefault="00AC12B4">
            <w:pPr>
              <w:rPr>
                <w:sz w:val="10"/>
                <w:szCs w:val="10"/>
                <w:lang w:val="fr-BE"/>
              </w:rPr>
            </w:pPr>
          </w:p>
        </w:tc>
        <w:tc>
          <w:tcPr>
            <w:tcW w:w="60" w:type="dxa"/>
            <w:shd w:val="clear" w:color="auto" w:fill="8BCCEC"/>
            <w:vAlign w:val="bottom"/>
          </w:tcPr>
          <w:p w:rsidR="00AC12B4" w:rsidRPr="00C27636" w:rsidRDefault="00AC12B4">
            <w:pPr>
              <w:rPr>
                <w:sz w:val="10"/>
                <w:szCs w:val="10"/>
                <w:lang w:val="fr-BE"/>
              </w:rPr>
            </w:pPr>
          </w:p>
        </w:tc>
        <w:tc>
          <w:tcPr>
            <w:tcW w:w="80" w:type="dxa"/>
            <w:tcBorders>
              <w:right w:val="single" w:sz="8" w:space="0" w:color="8BCCEC"/>
            </w:tcBorders>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40" w:type="dxa"/>
            <w:shd w:val="clear" w:color="auto" w:fill="8BCCEC"/>
            <w:vAlign w:val="bottom"/>
          </w:tcPr>
          <w:p w:rsidR="00AC12B4" w:rsidRPr="00C27636" w:rsidRDefault="00AC12B4">
            <w:pPr>
              <w:rPr>
                <w:sz w:val="10"/>
                <w:szCs w:val="10"/>
                <w:lang w:val="fr-BE"/>
              </w:rPr>
            </w:pPr>
          </w:p>
        </w:tc>
        <w:tc>
          <w:tcPr>
            <w:tcW w:w="10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60" w:type="dxa"/>
            <w:shd w:val="clear" w:color="auto" w:fill="8BCCEC"/>
            <w:vAlign w:val="bottom"/>
          </w:tcPr>
          <w:p w:rsidR="00AC12B4" w:rsidRPr="00C27636" w:rsidRDefault="00AC12B4">
            <w:pPr>
              <w:rPr>
                <w:sz w:val="10"/>
                <w:szCs w:val="10"/>
                <w:lang w:val="fr-BE"/>
              </w:rPr>
            </w:pPr>
          </w:p>
        </w:tc>
        <w:tc>
          <w:tcPr>
            <w:tcW w:w="8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60" w:type="dxa"/>
            <w:shd w:val="clear" w:color="auto" w:fill="8BCCEC"/>
            <w:vAlign w:val="bottom"/>
          </w:tcPr>
          <w:p w:rsidR="00AC12B4" w:rsidRPr="00C27636" w:rsidRDefault="00AC12B4">
            <w:pPr>
              <w:rPr>
                <w:sz w:val="10"/>
                <w:szCs w:val="10"/>
                <w:lang w:val="fr-BE"/>
              </w:rPr>
            </w:pPr>
          </w:p>
        </w:tc>
        <w:tc>
          <w:tcPr>
            <w:tcW w:w="8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2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40" w:type="dxa"/>
            <w:shd w:val="clear" w:color="auto" w:fill="8BCCEC"/>
            <w:vAlign w:val="bottom"/>
          </w:tcPr>
          <w:p w:rsidR="00AC12B4" w:rsidRPr="00C27636" w:rsidRDefault="00AC12B4">
            <w:pPr>
              <w:rPr>
                <w:sz w:val="10"/>
                <w:szCs w:val="10"/>
                <w:lang w:val="fr-BE"/>
              </w:rPr>
            </w:pPr>
          </w:p>
        </w:tc>
        <w:tc>
          <w:tcPr>
            <w:tcW w:w="20" w:type="dxa"/>
            <w:shd w:val="clear" w:color="auto" w:fill="8BCCEC"/>
            <w:vAlign w:val="bottom"/>
          </w:tcPr>
          <w:p w:rsidR="00AC12B4" w:rsidRPr="00C27636" w:rsidRDefault="00AC12B4">
            <w:pPr>
              <w:rPr>
                <w:sz w:val="10"/>
                <w:szCs w:val="10"/>
                <w:lang w:val="fr-BE"/>
              </w:rPr>
            </w:pPr>
          </w:p>
        </w:tc>
        <w:tc>
          <w:tcPr>
            <w:tcW w:w="120" w:type="dxa"/>
            <w:shd w:val="clear" w:color="auto" w:fill="8BCCEC"/>
            <w:vAlign w:val="bottom"/>
          </w:tcPr>
          <w:p w:rsidR="00AC12B4" w:rsidRPr="00C27636" w:rsidRDefault="00AC12B4">
            <w:pPr>
              <w:rPr>
                <w:sz w:val="10"/>
                <w:szCs w:val="10"/>
                <w:lang w:val="fr-BE"/>
              </w:rPr>
            </w:pPr>
          </w:p>
        </w:tc>
        <w:tc>
          <w:tcPr>
            <w:tcW w:w="120" w:type="dxa"/>
            <w:tcBorders>
              <w:right w:val="single" w:sz="8" w:space="0" w:color="44ACE0"/>
            </w:tcBorders>
            <w:shd w:val="clear" w:color="auto" w:fill="8BCCEC"/>
            <w:vAlign w:val="bottom"/>
          </w:tcPr>
          <w:p w:rsidR="00AC12B4" w:rsidRPr="00C27636" w:rsidRDefault="00AC12B4">
            <w:pPr>
              <w:rPr>
                <w:sz w:val="10"/>
                <w:szCs w:val="10"/>
                <w:lang w:val="fr-BE"/>
              </w:rPr>
            </w:pPr>
          </w:p>
        </w:tc>
        <w:tc>
          <w:tcPr>
            <w:tcW w:w="40" w:type="dxa"/>
            <w:vAlign w:val="bottom"/>
          </w:tcPr>
          <w:p w:rsidR="00AC12B4" w:rsidRPr="00C27636" w:rsidRDefault="00AC12B4">
            <w:pPr>
              <w:rPr>
                <w:sz w:val="10"/>
                <w:szCs w:val="10"/>
                <w:lang w:val="fr-BE"/>
              </w:rPr>
            </w:pPr>
          </w:p>
        </w:tc>
        <w:tc>
          <w:tcPr>
            <w:tcW w:w="20" w:type="dxa"/>
            <w:vAlign w:val="bottom"/>
          </w:tcPr>
          <w:p w:rsidR="00AC12B4" w:rsidRPr="00C27636" w:rsidRDefault="00AC12B4">
            <w:pPr>
              <w:rPr>
                <w:sz w:val="10"/>
                <w:szCs w:val="10"/>
                <w:lang w:val="fr-BE"/>
              </w:rPr>
            </w:pPr>
          </w:p>
        </w:tc>
        <w:tc>
          <w:tcPr>
            <w:tcW w:w="140" w:type="dxa"/>
            <w:vAlign w:val="bottom"/>
          </w:tcPr>
          <w:p w:rsidR="00AC12B4" w:rsidRPr="00C27636" w:rsidRDefault="00AC12B4">
            <w:pPr>
              <w:rPr>
                <w:sz w:val="10"/>
                <w:szCs w:val="10"/>
                <w:lang w:val="fr-BE"/>
              </w:rPr>
            </w:pPr>
          </w:p>
        </w:tc>
        <w:tc>
          <w:tcPr>
            <w:tcW w:w="20" w:type="dxa"/>
            <w:vAlign w:val="bottom"/>
          </w:tcPr>
          <w:p w:rsidR="00AC12B4" w:rsidRPr="00C27636" w:rsidRDefault="00AC12B4">
            <w:pPr>
              <w:rPr>
                <w:sz w:val="10"/>
                <w:szCs w:val="10"/>
                <w:lang w:val="fr-BE"/>
              </w:rPr>
            </w:pPr>
          </w:p>
        </w:tc>
        <w:tc>
          <w:tcPr>
            <w:tcW w:w="4060" w:type="dxa"/>
            <w:gridSpan w:val="13"/>
            <w:vMerge w:val="restart"/>
            <w:vAlign w:val="bottom"/>
          </w:tcPr>
          <w:p w:rsidR="00AC12B4" w:rsidRPr="00C27636" w:rsidRDefault="00C27636">
            <w:pPr>
              <w:ind w:left="40"/>
              <w:rPr>
                <w:sz w:val="20"/>
                <w:szCs w:val="20"/>
                <w:lang w:val="fr-BE"/>
              </w:rPr>
            </w:pPr>
            <w:r w:rsidRPr="00C27636">
              <w:rPr>
                <w:rFonts w:ascii="Calibri" w:eastAsia="Calibri" w:hAnsi="Calibri" w:cs="Calibri"/>
                <w:lang w:val="fr-BE"/>
              </w:rPr>
              <w:t>de ne pas prendre de mesures répressives</w:t>
            </w:r>
          </w:p>
        </w:tc>
        <w:tc>
          <w:tcPr>
            <w:tcW w:w="600" w:type="dxa"/>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C27636" w:rsidRPr="00C27636">
        <w:trPr>
          <w:trHeight w:val="151"/>
        </w:trPr>
        <w:tc>
          <w:tcPr>
            <w:tcW w:w="1780" w:type="dxa"/>
            <w:tcBorders>
              <w:left w:val="single" w:sz="8" w:space="0" w:color="44ACE0"/>
            </w:tcBorders>
            <w:shd w:val="clear" w:color="auto" w:fill="8BCCEC"/>
            <w:vAlign w:val="bottom"/>
          </w:tcPr>
          <w:p w:rsidR="00AC12B4" w:rsidRPr="00C27636" w:rsidRDefault="00AC12B4">
            <w:pPr>
              <w:rPr>
                <w:sz w:val="13"/>
                <w:szCs w:val="13"/>
                <w:lang w:val="fr-BE"/>
              </w:rPr>
            </w:pPr>
          </w:p>
        </w:tc>
        <w:tc>
          <w:tcPr>
            <w:tcW w:w="460" w:type="dxa"/>
            <w:shd w:val="clear" w:color="auto" w:fill="8BCCEC"/>
            <w:vAlign w:val="bottom"/>
          </w:tcPr>
          <w:p w:rsidR="00AC12B4" w:rsidRPr="00C27636" w:rsidRDefault="00AC12B4">
            <w:pPr>
              <w:rPr>
                <w:sz w:val="13"/>
                <w:szCs w:val="13"/>
                <w:lang w:val="fr-BE"/>
              </w:rPr>
            </w:pPr>
          </w:p>
        </w:tc>
        <w:tc>
          <w:tcPr>
            <w:tcW w:w="520" w:type="dxa"/>
            <w:tcBorders>
              <w:right w:val="single" w:sz="8" w:space="0" w:color="8BCCEC"/>
            </w:tcBorders>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620" w:type="dxa"/>
            <w:shd w:val="clear" w:color="auto" w:fill="8BCCEC"/>
            <w:vAlign w:val="bottom"/>
          </w:tcPr>
          <w:p w:rsidR="00AC12B4" w:rsidRPr="00C27636" w:rsidRDefault="00AC12B4">
            <w:pPr>
              <w:rPr>
                <w:sz w:val="13"/>
                <w:szCs w:val="13"/>
                <w:lang w:val="fr-BE"/>
              </w:rPr>
            </w:pPr>
          </w:p>
        </w:tc>
        <w:tc>
          <w:tcPr>
            <w:tcW w:w="60" w:type="dxa"/>
            <w:shd w:val="clear" w:color="auto" w:fill="8BCCEC"/>
            <w:vAlign w:val="bottom"/>
          </w:tcPr>
          <w:p w:rsidR="00AC12B4" w:rsidRPr="00C27636" w:rsidRDefault="00AC12B4">
            <w:pPr>
              <w:rPr>
                <w:sz w:val="13"/>
                <w:szCs w:val="13"/>
                <w:lang w:val="fr-BE"/>
              </w:rPr>
            </w:pPr>
          </w:p>
        </w:tc>
        <w:tc>
          <w:tcPr>
            <w:tcW w:w="80" w:type="dxa"/>
            <w:tcBorders>
              <w:right w:val="single" w:sz="8" w:space="0" w:color="8BCCEC"/>
            </w:tcBorders>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40" w:type="dxa"/>
            <w:shd w:val="clear" w:color="auto" w:fill="8BCCEC"/>
            <w:vAlign w:val="bottom"/>
          </w:tcPr>
          <w:p w:rsidR="00AC12B4" w:rsidRPr="00C27636" w:rsidRDefault="00AC12B4">
            <w:pPr>
              <w:rPr>
                <w:sz w:val="13"/>
                <w:szCs w:val="13"/>
                <w:lang w:val="fr-BE"/>
              </w:rPr>
            </w:pPr>
          </w:p>
        </w:tc>
        <w:tc>
          <w:tcPr>
            <w:tcW w:w="10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60" w:type="dxa"/>
            <w:shd w:val="clear" w:color="auto" w:fill="8BCCEC"/>
            <w:vAlign w:val="bottom"/>
          </w:tcPr>
          <w:p w:rsidR="00AC12B4" w:rsidRPr="00C27636" w:rsidRDefault="00AC12B4">
            <w:pPr>
              <w:rPr>
                <w:sz w:val="13"/>
                <w:szCs w:val="13"/>
                <w:lang w:val="fr-BE"/>
              </w:rPr>
            </w:pPr>
          </w:p>
        </w:tc>
        <w:tc>
          <w:tcPr>
            <w:tcW w:w="8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60" w:type="dxa"/>
            <w:shd w:val="clear" w:color="auto" w:fill="8BCCEC"/>
            <w:vAlign w:val="bottom"/>
          </w:tcPr>
          <w:p w:rsidR="00AC12B4" w:rsidRPr="00C27636" w:rsidRDefault="00AC12B4">
            <w:pPr>
              <w:rPr>
                <w:sz w:val="13"/>
                <w:szCs w:val="13"/>
                <w:lang w:val="fr-BE"/>
              </w:rPr>
            </w:pPr>
          </w:p>
        </w:tc>
        <w:tc>
          <w:tcPr>
            <w:tcW w:w="8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2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40" w:type="dxa"/>
            <w:shd w:val="clear" w:color="auto" w:fill="8BCCEC"/>
            <w:vAlign w:val="bottom"/>
          </w:tcPr>
          <w:p w:rsidR="00AC12B4" w:rsidRPr="00C27636" w:rsidRDefault="00AC12B4">
            <w:pPr>
              <w:rPr>
                <w:sz w:val="13"/>
                <w:szCs w:val="13"/>
                <w:lang w:val="fr-BE"/>
              </w:rPr>
            </w:pPr>
          </w:p>
        </w:tc>
        <w:tc>
          <w:tcPr>
            <w:tcW w:w="20" w:type="dxa"/>
            <w:shd w:val="clear" w:color="auto" w:fill="8BCCEC"/>
            <w:vAlign w:val="bottom"/>
          </w:tcPr>
          <w:p w:rsidR="00AC12B4" w:rsidRPr="00C27636" w:rsidRDefault="00AC12B4">
            <w:pPr>
              <w:rPr>
                <w:sz w:val="13"/>
                <w:szCs w:val="13"/>
                <w:lang w:val="fr-BE"/>
              </w:rPr>
            </w:pPr>
          </w:p>
        </w:tc>
        <w:tc>
          <w:tcPr>
            <w:tcW w:w="120" w:type="dxa"/>
            <w:shd w:val="clear" w:color="auto" w:fill="8BCCEC"/>
            <w:vAlign w:val="bottom"/>
          </w:tcPr>
          <w:p w:rsidR="00AC12B4" w:rsidRPr="00C27636" w:rsidRDefault="00AC12B4">
            <w:pPr>
              <w:rPr>
                <w:sz w:val="13"/>
                <w:szCs w:val="13"/>
                <w:lang w:val="fr-BE"/>
              </w:rPr>
            </w:pPr>
          </w:p>
        </w:tc>
        <w:tc>
          <w:tcPr>
            <w:tcW w:w="120" w:type="dxa"/>
            <w:tcBorders>
              <w:right w:val="single" w:sz="8" w:space="0" w:color="44ACE0"/>
            </w:tcBorders>
            <w:shd w:val="clear" w:color="auto" w:fill="8BCCEC"/>
            <w:vAlign w:val="bottom"/>
          </w:tcPr>
          <w:p w:rsidR="00AC12B4" w:rsidRPr="00C27636" w:rsidRDefault="00AC12B4">
            <w:pPr>
              <w:rPr>
                <w:sz w:val="13"/>
                <w:szCs w:val="13"/>
                <w:lang w:val="fr-BE"/>
              </w:rPr>
            </w:pPr>
          </w:p>
        </w:tc>
        <w:tc>
          <w:tcPr>
            <w:tcW w:w="40" w:type="dxa"/>
            <w:vAlign w:val="bottom"/>
          </w:tcPr>
          <w:p w:rsidR="00AC12B4" w:rsidRPr="00C27636" w:rsidRDefault="00AC12B4">
            <w:pPr>
              <w:rPr>
                <w:sz w:val="13"/>
                <w:szCs w:val="13"/>
                <w:lang w:val="fr-BE"/>
              </w:rPr>
            </w:pPr>
          </w:p>
        </w:tc>
        <w:tc>
          <w:tcPr>
            <w:tcW w:w="20" w:type="dxa"/>
            <w:vAlign w:val="bottom"/>
          </w:tcPr>
          <w:p w:rsidR="00AC12B4" w:rsidRPr="00C27636" w:rsidRDefault="00AC12B4">
            <w:pPr>
              <w:rPr>
                <w:sz w:val="13"/>
                <w:szCs w:val="13"/>
                <w:lang w:val="fr-BE"/>
              </w:rPr>
            </w:pPr>
          </w:p>
        </w:tc>
        <w:tc>
          <w:tcPr>
            <w:tcW w:w="140" w:type="dxa"/>
            <w:vAlign w:val="bottom"/>
          </w:tcPr>
          <w:p w:rsidR="00AC12B4" w:rsidRPr="00C27636" w:rsidRDefault="00AC12B4">
            <w:pPr>
              <w:rPr>
                <w:sz w:val="13"/>
                <w:szCs w:val="13"/>
                <w:lang w:val="fr-BE"/>
              </w:rPr>
            </w:pPr>
          </w:p>
        </w:tc>
        <w:tc>
          <w:tcPr>
            <w:tcW w:w="20" w:type="dxa"/>
            <w:vAlign w:val="bottom"/>
          </w:tcPr>
          <w:p w:rsidR="00AC12B4" w:rsidRPr="00C27636" w:rsidRDefault="00AC12B4">
            <w:pPr>
              <w:rPr>
                <w:sz w:val="13"/>
                <w:szCs w:val="13"/>
                <w:lang w:val="fr-BE"/>
              </w:rPr>
            </w:pPr>
          </w:p>
        </w:tc>
        <w:tc>
          <w:tcPr>
            <w:tcW w:w="4060" w:type="dxa"/>
            <w:gridSpan w:val="13"/>
            <w:vMerge/>
            <w:vAlign w:val="bottom"/>
          </w:tcPr>
          <w:p w:rsidR="00AC12B4" w:rsidRPr="00C27636" w:rsidRDefault="00AC12B4">
            <w:pPr>
              <w:rPr>
                <w:sz w:val="13"/>
                <w:szCs w:val="13"/>
                <w:lang w:val="fr-BE"/>
              </w:rPr>
            </w:pPr>
          </w:p>
        </w:tc>
        <w:tc>
          <w:tcPr>
            <w:tcW w:w="60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5680" w:type="dxa"/>
            <w:gridSpan w:val="35"/>
            <w:tcBorders>
              <w:left w:val="single" w:sz="8" w:space="0" w:color="44ACE0"/>
            </w:tcBorders>
            <w:shd w:val="clear" w:color="auto" w:fill="8BCCEC"/>
            <w:vAlign w:val="bottom"/>
          </w:tcPr>
          <w:p w:rsidR="00AC12B4" w:rsidRPr="00C27636" w:rsidRDefault="00C27636">
            <w:pPr>
              <w:spacing w:line="238" w:lineRule="exact"/>
              <w:ind w:left="580"/>
              <w:rPr>
                <w:sz w:val="20"/>
                <w:szCs w:val="20"/>
                <w:lang w:val="fr-BE"/>
              </w:rPr>
            </w:pPr>
            <w:r w:rsidRPr="00C27636">
              <w:rPr>
                <w:rFonts w:ascii="Calibri" w:eastAsia="Calibri" w:hAnsi="Calibri" w:cs="Calibri"/>
                <w:i/>
                <w:iCs/>
                <w:color w:val="DAEEF3"/>
                <w:lang w:val="fr-BE"/>
              </w:rPr>
              <w:t>1. Les Etats parties reconnaissent le droit de l’enfant à</w:t>
            </w:r>
          </w:p>
        </w:tc>
        <w:tc>
          <w:tcPr>
            <w:tcW w:w="1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4060" w:type="dxa"/>
            <w:gridSpan w:val="13"/>
            <w:vAlign w:val="bottom"/>
          </w:tcPr>
          <w:p w:rsidR="00AC12B4" w:rsidRPr="00C27636" w:rsidRDefault="00C27636">
            <w:pPr>
              <w:ind w:left="40"/>
              <w:rPr>
                <w:sz w:val="20"/>
                <w:szCs w:val="20"/>
                <w:lang w:val="fr-BE"/>
              </w:rPr>
            </w:pPr>
            <w:r w:rsidRPr="00C27636">
              <w:rPr>
                <w:rFonts w:ascii="Calibri" w:eastAsia="Calibri" w:hAnsi="Calibri" w:cs="Calibri"/>
                <w:lang w:val="fr-BE"/>
              </w:rPr>
              <w:t>qui  pénalisent  les  famille</w:t>
            </w:r>
            <w:r w:rsidRPr="00C27636">
              <w:rPr>
                <w:rFonts w:ascii="Calibri" w:eastAsia="Calibri" w:hAnsi="Calibri" w:cs="Calibri"/>
                <w:lang w:val="fr-BE"/>
              </w:rPr>
              <w:t>s  les  plus</w:t>
            </w:r>
          </w:p>
        </w:tc>
        <w:tc>
          <w:tcPr>
            <w:tcW w:w="60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5680" w:type="dxa"/>
            <w:gridSpan w:val="35"/>
            <w:tcBorders>
              <w:left w:val="single" w:sz="8" w:space="0" w:color="44ACE0"/>
            </w:tcBorders>
            <w:shd w:val="clear" w:color="auto" w:fill="8BCCEC"/>
            <w:vAlign w:val="bottom"/>
          </w:tcPr>
          <w:p w:rsidR="00AC12B4" w:rsidRPr="00C27636" w:rsidRDefault="00C27636">
            <w:pPr>
              <w:spacing w:line="238" w:lineRule="exact"/>
              <w:ind w:left="580"/>
              <w:rPr>
                <w:sz w:val="20"/>
                <w:szCs w:val="20"/>
                <w:lang w:val="fr-BE"/>
              </w:rPr>
            </w:pPr>
            <w:r w:rsidRPr="00C27636">
              <w:rPr>
                <w:rFonts w:ascii="Calibri" w:eastAsia="Calibri" w:hAnsi="Calibri" w:cs="Calibri"/>
                <w:i/>
                <w:iCs/>
                <w:color w:val="DAEEF3"/>
                <w:lang w:val="fr-BE"/>
              </w:rPr>
              <w:t>l’éducation, et en particulier, en vue d’assurer l’exercice</w:t>
            </w:r>
          </w:p>
        </w:tc>
        <w:tc>
          <w:tcPr>
            <w:tcW w:w="1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0" w:type="dxa"/>
            <w:gridSpan w:val="5"/>
            <w:vAlign w:val="bottom"/>
          </w:tcPr>
          <w:p w:rsidR="00AC12B4" w:rsidRDefault="00C27636">
            <w:pPr>
              <w:ind w:left="40"/>
              <w:rPr>
                <w:sz w:val="20"/>
                <w:szCs w:val="20"/>
              </w:rPr>
            </w:pPr>
            <w:r>
              <w:rPr>
                <w:rFonts w:ascii="Calibri" w:eastAsia="Calibri" w:hAnsi="Calibri" w:cs="Calibri"/>
              </w:rPr>
              <w:t>défavorisées</w:t>
            </w:r>
          </w:p>
        </w:tc>
        <w:tc>
          <w:tcPr>
            <w:tcW w:w="1000" w:type="dxa"/>
            <w:gridSpan w:val="2"/>
            <w:vAlign w:val="bottom"/>
          </w:tcPr>
          <w:p w:rsidR="00AC12B4" w:rsidRDefault="00C27636">
            <w:pPr>
              <w:ind w:right="190"/>
              <w:jc w:val="right"/>
              <w:rPr>
                <w:sz w:val="20"/>
                <w:szCs w:val="20"/>
              </w:rPr>
            </w:pPr>
            <w:r>
              <w:rPr>
                <w:rFonts w:ascii="Calibri" w:eastAsia="Calibri" w:hAnsi="Calibri" w:cs="Calibri"/>
              </w:rPr>
              <w:t>d’un</w:t>
            </w:r>
          </w:p>
        </w:tc>
        <w:tc>
          <w:tcPr>
            <w:tcW w:w="660" w:type="dxa"/>
            <w:gridSpan w:val="3"/>
            <w:vAlign w:val="bottom"/>
          </w:tcPr>
          <w:p w:rsidR="00AC12B4" w:rsidRDefault="00C27636">
            <w:pPr>
              <w:ind w:left="20"/>
              <w:rPr>
                <w:sz w:val="20"/>
                <w:szCs w:val="20"/>
              </w:rPr>
            </w:pPr>
            <w:r>
              <w:rPr>
                <w:rFonts w:ascii="Calibri" w:eastAsia="Calibri" w:hAnsi="Calibri" w:cs="Calibri"/>
              </w:rPr>
              <w:t>point</w:t>
            </w:r>
          </w:p>
        </w:tc>
        <w:tc>
          <w:tcPr>
            <w:tcW w:w="420" w:type="dxa"/>
            <w:vAlign w:val="bottom"/>
          </w:tcPr>
          <w:p w:rsidR="00AC12B4" w:rsidRDefault="00C27636">
            <w:pPr>
              <w:ind w:left="160"/>
              <w:rPr>
                <w:sz w:val="20"/>
                <w:szCs w:val="20"/>
              </w:rPr>
            </w:pPr>
            <w:r>
              <w:rPr>
                <w:rFonts w:ascii="Calibri" w:eastAsia="Calibri" w:hAnsi="Calibri" w:cs="Calibri"/>
              </w:rPr>
              <w:t>de</w:t>
            </w:r>
          </w:p>
        </w:tc>
        <w:tc>
          <w:tcPr>
            <w:tcW w:w="300" w:type="dxa"/>
            <w:vAlign w:val="bottom"/>
          </w:tcPr>
          <w:p w:rsidR="00AC12B4" w:rsidRDefault="00AC12B4">
            <w:pPr>
              <w:rPr>
                <w:sz w:val="23"/>
                <w:szCs w:val="23"/>
              </w:rPr>
            </w:pPr>
          </w:p>
        </w:tc>
        <w:tc>
          <w:tcPr>
            <w:tcW w:w="480" w:type="dxa"/>
            <w:vAlign w:val="bottom"/>
          </w:tcPr>
          <w:p w:rsidR="00AC12B4" w:rsidRDefault="00C27636">
            <w:pPr>
              <w:ind w:right="54"/>
              <w:jc w:val="right"/>
              <w:rPr>
                <w:sz w:val="20"/>
                <w:szCs w:val="20"/>
              </w:rPr>
            </w:pPr>
            <w:r>
              <w:rPr>
                <w:rFonts w:ascii="Calibri" w:eastAsia="Calibri" w:hAnsi="Calibri" w:cs="Calibri"/>
                <w:w w:val="92"/>
              </w:rPr>
              <w:t>vue</w:t>
            </w:r>
          </w:p>
        </w:tc>
        <w:tc>
          <w:tcPr>
            <w:tcW w:w="6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5680" w:type="dxa"/>
            <w:gridSpan w:val="35"/>
            <w:tcBorders>
              <w:left w:val="single" w:sz="8" w:space="0" w:color="44ACE0"/>
            </w:tcBorders>
            <w:shd w:val="clear" w:color="auto" w:fill="8BCCEC"/>
            <w:vAlign w:val="bottom"/>
          </w:tcPr>
          <w:p w:rsidR="00AC12B4" w:rsidRPr="00C27636" w:rsidRDefault="00C27636">
            <w:pPr>
              <w:spacing w:line="238" w:lineRule="exact"/>
              <w:ind w:left="580"/>
              <w:rPr>
                <w:sz w:val="20"/>
                <w:szCs w:val="20"/>
                <w:lang w:val="fr-BE"/>
              </w:rPr>
            </w:pPr>
            <w:r w:rsidRPr="00C27636">
              <w:rPr>
                <w:rFonts w:ascii="Calibri" w:eastAsia="Calibri" w:hAnsi="Calibri" w:cs="Calibri"/>
                <w:i/>
                <w:iCs/>
                <w:color w:val="DAEEF3"/>
                <w:lang w:val="fr-BE"/>
              </w:rPr>
              <w:t>de ce droit progressivement et sur la base de l’égalité</w:t>
            </w:r>
          </w:p>
        </w:tc>
        <w:tc>
          <w:tcPr>
            <w:tcW w:w="1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4060" w:type="dxa"/>
            <w:gridSpan w:val="13"/>
            <w:vAlign w:val="bottom"/>
          </w:tcPr>
          <w:p w:rsidR="00AC12B4" w:rsidRPr="00C27636" w:rsidRDefault="00C27636">
            <w:pPr>
              <w:ind w:left="40"/>
              <w:rPr>
                <w:sz w:val="20"/>
                <w:szCs w:val="20"/>
                <w:lang w:val="fr-BE"/>
              </w:rPr>
            </w:pPr>
            <w:r w:rsidRPr="00C27636">
              <w:rPr>
                <w:rFonts w:ascii="Calibri" w:eastAsia="Calibri" w:hAnsi="Calibri" w:cs="Calibri"/>
                <w:lang w:val="fr-BE"/>
              </w:rPr>
              <w:t>économique et social et qui risquent d’aller</w:t>
            </w:r>
          </w:p>
        </w:tc>
        <w:tc>
          <w:tcPr>
            <w:tcW w:w="60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C27636" w:rsidRPr="00C27636">
        <w:trPr>
          <w:trHeight w:val="269"/>
        </w:trPr>
        <w:tc>
          <w:tcPr>
            <w:tcW w:w="1780" w:type="dxa"/>
            <w:tcBorders>
              <w:left w:val="single" w:sz="8" w:space="0" w:color="44ACE0"/>
            </w:tcBorders>
            <w:shd w:val="clear" w:color="auto" w:fill="8BCCEC"/>
            <w:vAlign w:val="bottom"/>
          </w:tcPr>
          <w:p w:rsidR="00AC12B4" w:rsidRDefault="00C27636">
            <w:pPr>
              <w:spacing w:line="238" w:lineRule="exact"/>
              <w:ind w:left="580"/>
              <w:rPr>
                <w:sz w:val="20"/>
                <w:szCs w:val="20"/>
              </w:rPr>
            </w:pPr>
            <w:r>
              <w:rPr>
                <w:rFonts w:ascii="Calibri" w:eastAsia="Calibri" w:hAnsi="Calibri" w:cs="Calibri"/>
                <w:i/>
                <w:iCs/>
                <w:color w:val="DAEEF3"/>
              </w:rPr>
              <w:t>des chances :</w:t>
            </w:r>
          </w:p>
        </w:tc>
        <w:tc>
          <w:tcPr>
            <w:tcW w:w="460" w:type="dxa"/>
            <w:shd w:val="clear" w:color="auto" w:fill="8BCCEC"/>
            <w:vAlign w:val="bottom"/>
          </w:tcPr>
          <w:p w:rsidR="00AC12B4" w:rsidRDefault="00AC12B4">
            <w:pPr>
              <w:rPr>
                <w:sz w:val="23"/>
                <w:szCs w:val="23"/>
              </w:rPr>
            </w:pPr>
          </w:p>
        </w:tc>
        <w:tc>
          <w:tcPr>
            <w:tcW w:w="520" w:type="dxa"/>
            <w:tcBorders>
              <w:right w:val="single" w:sz="8" w:space="0" w:color="8BCCEC"/>
            </w:tcBorders>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620" w:type="dxa"/>
            <w:shd w:val="clear" w:color="auto" w:fill="8BCCEC"/>
            <w:vAlign w:val="bottom"/>
          </w:tcPr>
          <w:p w:rsidR="00AC12B4" w:rsidRDefault="00AC12B4">
            <w:pPr>
              <w:rPr>
                <w:sz w:val="23"/>
                <w:szCs w:val="23"/>
              </w:rPr>
            </w:pPr>
          </w:p>
        </w:tc>
        <w:tc>
          <w:tcPr>
            <w:tcW w:w="60" w:type="dxa"/>
            <w:shd w:val="clear" w:color="auto" w:fill="8BCCEC"/>
            <w:vAlign w:val="bottom"/>
          </w:tcPr>
          <w:p w:rsidR="00AC12B4" w:rsidRDefault="00AC12B4">
            <w:pPr>
              <w:rPr>
                <w:sz w:val="23"/>
                <w:szCs w:val="23"/>
              </w:rPr>
            </w:pPr>
          </w:p>
        </w:tc>
        <w:tc>
          <w:tcPr>
            <w:tcW w:w="80" w:type="dxa"/>
            <w:tcBorders>
              <w:right w:val="single" w:sz="8" w:space="0" w:color="8BCCEC"/>
            </w:tcBorders>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40" w:type="dxa"/>
            <w:shd w:val="clear" w:color="auto" w:fill="8BCCEC"/>
            <w:vAlign w:val="bottom"/>
          </w:tcPr>
          <w:p w:rsidR="00AC12B4" w:rsidRDefault="00AC12B4">
            <w:pPr>
              <w:rPr>
                <w:sz w:val="23"/>
                <w:szCs w:val="23"/>
              </w:rPr>
            </w:pPr>
          </w:p>
        </w:tc>
        <w:tc>
          <w:tcPr>
            <w:tcW w:w="10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60" w:type="dxa"/>
            <w:shd w:val="clear" w:color="auto" w:fill="8BCCEC"/>
            <w:vAlign w:val="bottom"/>
          </w:tcPr>
          <w:p w:rsidR="00AC12B4" w:rsidRDefault="00AC12B4">
            <w:pPr>
              <w:rPr>
                <w:sz w:val="23"/>
                <w:szCs w:val="23"/>
              </w:rPr>
            </w:pPr>
          </w:p>
        </w:tc>
        <w:tc>
          <w:tcPr>
            <w:tcW w:w="8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60" w:type="dxa"/>
            <w:shd w:val="clear" w:color="auto" w:fill="8BCCEC"/>
            <w:vAlign w:val="bottom"/>
          </w:tcPr>
          <w:p w:rsidR="00AC12B4" w:rsidRDefault="00AC12B4">
            <w:pPr>
              <w:rPr>
                <w:sz w:val="23"/>
                <w:szCs w:val="23"/>
              </w:rPr>
            </w:pPr>
          </w:p>
        </w:tc>
        <w:tc>
          <w:tcPr>
            <w:tcW w:w="8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2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40" w:type="dxa"/>
            <w:shd w:val="clear" w:color="auto" w:fill="8BCCEC"/>
            <w:vAlign w:val="bottom"/>
          </w:tcPr>
          <w:p w:rsidR="00AC12B4" w:rsidRDefault="00AC12B4">
            <w:pPr>
              <w:rPr>
                <w:sz w:val="23"/>
                <w:szCs w:val="23"/>
              </w:rPr>
            </w:pPr>
          </w:p>
        </w:tc>
        <w:tc>
          <w:tcPr>
            <w:tcW w:w="20" w:type="dxa"/>
            <w:shd w:val="clear" w:color="auto" w:fill="8BCCEC"/>
            <w:vAlign w:val="bottom"/>
          </w:tcPr>
          <w:p w:rsidR="00AC12B4" w:rsidRDefault="00AC12B4">
            <w:pPr>
              <w:rPr>
                <w:sz w:val="23"/>
                <w:szCs w:val="23"/>
              </w:rPr>
            </w:pPr>
          </w:p>
        </w:tc>
        <w:tc>
          <w:tcPr>
            <w:tcW w:w="120" w:type="dxa"/>
            <w:shd w:val="clear" w:color="auto" w:fill="8BCCEC"/>
            <w:vAlign w:val="bottom"/>
          </w:tcPr>
          <w:p w:rsidR="00AC12B4" w:rsidRDefault="00AC12B4">
            <w:pPr>
              <w:rPr>
                <w:sz w:val="23"/>
                <w:szCs w:val="23"/>
              </w:rPr>
            </w:pPr>
          </w:p>
        </w:tc>
        <w:tc>
          <w:tcPr>
            <w:tcW w:w="120" w:type="dxa"/>
            <w:tcBorders>
              <w:right w:val="single" w:sz="8" w:space="0" w:color="44ACE0"/>
            </w:tcBorders>
            <w:shd w:val="clear" w:color="auto" w:fill="8BCCEC"/>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4060" w:type="dxa"/>
            <w:gridSpan w:val="13"/>
            <w:vAlign w:val="bottom"/>
          </w:tcPr>
          <w:p w:rsidR="00AC12B4" w:rsidRPr="00C27636" w:rsidRDefault="00C27636">
            <w:pPr>
              <w:ind w:left="40"/>
              <w:rPr>
                <w:sz w:val="20"/>
                <w:szCs w:val="20"/>
                <w:lang w:val="fr-BE"/>
              </w:rPr>
            </w:pPr>
            <w:r w:rsidRPr="00C27636">
              <w:rPr>
                <w:rFonts w:ascii="Calibri" w:eastAsia="Calibri" w:hAnsi="Calibri" w:cs="Calibri"/>
                <w:lang w:val="fr-BE"/>
              </w:rPr>
              <w:t>à l’encontre d’une plus grande intégration</w:t>
            </w:r>
          </w:p>
        </w:tc>
        <w:tc>
          <w:tcPr>
            <w:tcW w:w="60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95"/>
        </w:trPr>
        <w:tc>
          <w:tcPr>
            <w:tcW w:w="5680" w:type="dxa"/>
            <w:gridSpan w:val="35"/>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b) Ils encouragent l’organisation de différentes formes</w:t>
            </w:r>
          </w:p>
        </w:tc>
        <w:tc>
          <w:tcPr>
            <w:tcW w:w="120" w:type="dxa"/>
            <w:tcBorders>
              <w:right w:val="single" w:sz="8" w:space="0" w:color="44ACE0"/>
            </w:tcBorders>
            <w:shd w:val="clear" w:color="auto" w:fill="8BCCEC"/>
            <w:vAlign w:val="bottom"/>
          </w:tcPr>
          <w:p w:rsidR="00AC12B4" w:rsidRPr="00C27636" w:rsidRDefault="00AC12B4">
            <w:pPr>
              <w:rPr>
                <w:sz w:val="24"/>
                <w:szCs w:val="24"/>
                <w:lang w:val="fr-BE"/>
              </w:rPr>
            </w:pPr>
          </w:p>
        </w:tc>
        <w:tc>
          <w:tcPr>
            <w:tcW w:w="4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4060" w:type="dxa"/>
            <w:gridSpan w:val="13"/>
            <w:vAlign w:val="bottom"/>
          </w:tcPr>
          <w:p w:rsidR="00AC12B4" w:rsidRPr="00C27636" w:rsidRDefault="00C27636">
            <w:pPr>
              <w:spacing w:line="267" w:lineRule="exact"/>
              <w:ind w:left="40"/>
              <w:rPr>
                <w:sz w:val="20"/>
                <w:szCs w:val="20"/>
                <w:lang w:val="fr-BE"/>
              </w:rPr>
            </w:pPr>
            <w:r w:rsidRPr="00C27636">
              <w:rPr>
                <w:rFonts w:ascii="Calibri" w:eastAsia="Calibri" w:hAnsi="Calibri" w:cs="Calibri"/>
                <w:lang w:val="fr-BE"/>
              </w:rPr>
              <w:t>dans le système scolaire et d’élabo</w:t>
            </w:r>
            <w:r w:rsidRPr="00C27636">
              <w:rPr>
                <w:rFonts w:ascii="Calibri" w:eastAsia="Calibri" w:hAnsi="Calibri" w:cs="Calibri"/>
                <w:lang w:val="fr-BE"/>
              </w:rPr>
              <w:t>rer à la</w:t>
            </w:r>
          </w:p>
        </w:tc>
        <w:tc>
          <w:tcPr>
            <w:tcW w:w="60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187"/>
        </w:trPr>
        <w:tc>
          <w:tcPr>
            <w:tcW w:w="5680" w:type="dxa"/>
            <w:gridSpan w:val="35"/>
            <w:vMerge w:val="restart"/>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d’enseignement   secondaire,   tant   général   que</w:t>
            </w:r>
          </w:p>
        </w:tc>
        <w:tc>
          <w:tcPr>
            <w:tcW w:w="120" w:type="dxa"/>
            <w:vMerge w:val="restart"/>
            <w:tcBorders>
              <w:right w:val="single" w:sz="8" w:space="0" w:color="44ACE0"/>
            </w:tcBorders>
            <w:shd w:val="clear" w:color="auto" w:fill="8BCCEC"/>
            <w:vAlign w:val="bottom"/>
          </w:tcPr>
          <w:p w:rsidR="00AC12B4" w:rsidRPr="00C27636" w:rsidRDefault="00AC12B4">
            <w:pPr>
              <w:rPr>
                <w:sz w:val="16"/>
                <w:szCs w:val="16"/>
                <w:lang w:val="fr-BE"/>
              </w:rPr>
            </w:pPr>
          </w:p>
        </w:tc>
        <w:tc>
          <w:tcPr>
            <w:tcW w:w="40" w:type="dxa"/>
            <w:vMerge w:val="restart"/>
            <w:vAlign w:val="bottom"/>
          </w:tcPr>
          <w:p w:rsidR="00AC12B4" w:rsidRPr="00C27636" w:rsidRDefault="00AC12B4">
            <w:pPr>
              <w:rPr>
                <w:sz w:val="16"/>
                <w:szCs w:val="16"/>
                <w:lang w:val="fr-BE"/>
              </w:rPr>
            </w:pPr>
          </w:p>
        </w:tc>
        <w:tc>
          <w:tcPr>
            <w:tcW w:w="20" w:type="dxa"/>
            <w:vMerge w:val="restart"/>
            <w:vAlign w:val="bottom"/>
          </w:tcPr>
          <w:p w:rsidR="00AC12B4" w:rsidRPr="00C27636" w:rsidRDefault="00AC12B4">
            <w:pPr>
              <w:rPr>
                <w:sz w:val="16"/>
                <w:szCs w:val="16"/>
                <w:lang w:val="fr-BE"/>
              </w:rPr>
            </w:pPr>
          </w:p>
        </w:tc>
        <w:tc>
          <w:tcPr>
            <w:tcW w:w="140" w:type="dxa"/>
            <w:vMerge w:val="restart"/>
            <w:vAlign w:val="bottom"/>
          </w:tcPr>
          <w:p w:rsidR="00AC12B4" w:rsidRPr="00C27636" w:rsidRDefault="00AC12B4">
            <w:pPr>
              <w:rPr>
                <w:sz w:val="16"/>
                <w:szCs w:val="16"/>
                <w:lang w:val="fr-BE"/>
              </w:rPr>
            </w:pPr>
          </w:p>
        </w:tc>
        <w:tc>
          <w:tcPr>
            <w:tcW w:w="20" w:type="dxa"/>
            <w:vMerge w:val="restart"/>
            <w:vAlign w:val="bottom"/>
          </w:tcPr>
          <w:p w:rsidR="00AC12B4" w:rsidRPr="00C27636" w:rsidRDefault="00AC12B4">
            <w:pPr>
              <w:rPr>
                <w:sz w:val="16"/>
                <w:szCs w:val="16"/>
                <w:lang w:val="fr-BE"/>
              </w:rPr>
            </w:pPr>
          </w:p>
        </w:tc>
        <w:tc>
          <w:tcPr>
            <w:tcW w:w="640" w:type="dxa"/>
            <w:gridSpan w:val="2"/>
            <w:vMerge w:val="restart"/>
            <w:vAlign w:val="bottom"/>
          </w:tcPr>
          <w:p w:rsidR="00AC12B4" w:rsidRDefault="00C27636">
            <w:pPr>
              <w:spacing w:line="240" w:lineRule="exact"/>
              <w:ind w:left="40"/>
              <w:rPr>
                <w:sz w:val="20"/>
                <w:szCs w:val="20"/>
              </w:rPr>
            </w:pPr>
            <w:r>
              <w:rPr>
                <w:rFonts w:ascii="Calibri" w:eastAsia="Calibri" w:hAnsi="Calibri" w:cs="Calibri"/>
              </w:rPr>
              <w:t>place</w:t>
            </w:r>
          </w:p>
        </w:tc>
        <w:tc>
          <w:tcPr>
            <w:tcW w:w="560" w:type="dxa"/>
            <w:gridSpan w:val="3"/>
            <w:vMerge w:val="restart"/>
            <w:vAlign w:val="bottom"/>
          </w:tcPr>
          <w:p w:rsidR="00AC12B4" w:rsidRDefault="00C27636">
            <w:pPr>
              <w:spacing w:line="240" w:lineRule="exact"/>
              <w:ind w:right="76"/>
              <w:jc w:val="right"/>
              <w:rPr>
                <w:sz w:val="20"/>
                <w:szCs w:val="20"/>
              </w:rPr>
            </w:pPr>
            <w:r>
              <w:rPr>
                <w:rFonts w:ascii="Calibri" w:eastAsia="Calibri" w:hAnsi="Calibri" w:cs="Calibri"/>
              </w:rPr>
              <w:t>des</w:t>
            </w:r>
          </w:p>
        </w:tc>
        <w:tc>
          <w:tcPr>
            <w:tcW w:w="1000" w:type="dxa"/>
            <w:gridSpan w:val="2"/>
            <w:vMerge w:val="restart"/>
            <w:vAlign w:val="bottom"/>
          </w:tcPr>
          <w:p w:rsidR="00AC12B4" w:rsidRDefault="00C27636">
            <w:pPr>
              <w:spacing w:line="240" w:lineRule="exact"/>
              <w:jc w:val="right"/>
              <w:rPr>
                <w:sz w:val="20"/>
                <w:szCs w:val="20"/>
              </w:rPr>
            </w:pPr>
            <w:r>
              <w:rPr>
                <w:rFonts w:ascii="Calibri" w:eastAsia="Calibri" w:hAnsi="Calibri" w:cs="Calibri"/>
              </w:rPr>
              <w:t>stratégies</w:t>
            </w:r>
          </w:p>
        </w:tc>
        <w:tc>
          <w:tcPr>
            <w:tcW w:w="10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420" w:type="dxa"/>
            <w:vAlign w:val="bottom"/>
          </w:tcPr>
          <w:p w:rsidR="00AC12B4" w:rsidRDefault="00AC12B4">
            <w:pPr>
              <w:rPr>
                <w:sz w:val="16"/>
                <w:szCs w:val="16"/>
              </w:rPr>
            </w:pPr>
          </w:p>
        </w:tc>
        <w:tc>
          <w:tcPr>
            <w:tcW w:w="30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6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82"/>
        </w:trPr>
        <w:tc>
          <w:tcPr>
            <w:tcW w:w="5680" w:type="dxa"/>
            <w:gridSpan w:val="35"/>
            <w:vMerge/>
            <w:tcBorders>
              <w:left w:val="single" w:sz="8" w:space="0" w:color="44ACE0"/>
            </w:tcBorders>
            <w:shd w:val="clear" w:color="auto" w:fill="8BCCEC"/>
            <w:vAlign w:val="bottom"/>
          </w:tcPr>
          <w:p w:rsidR="00AC12B4" w:rsidRDefault="00AC12B4">
            <w:pPr>
              <w:rPr>
                <w:sz w:val="7"/>
                <w:szCs w:val="7"/>
              </w:rPr>
            </w:pPr>
          </w:p>
        </w:tc>
        <w:tc>
          <w:tcPr>
            <w:tcW w:w="120" w:type="dxa"/>
            <w:vMerge/>
            <w:tcBorders>
              <w:right w:val="single" w:sz="8" w:space="0" w:color="44ACE0"/>
            </w:tcBorders>
            <w:shd w:val="clear" w:color="auto" w:fill="8BCCEC"/>
            <w:vAlign w:val="bottom"/>
          </w:tcPr>
          <w:p w:rsidR="00AC12B4" w:rsidRDefault="00AC12B4">
            <w:pPr>
              <w:rPr>
                <w:sz w:val="7"/>
                <w:szCs w:val="7"/>
              </w:rPr>
            </w:pPr>
          </w:p>
        </w:tc>
        <w:tc>
          <w:tcPr>
            <w:tcW w:w="40" w:type="dxa"/>
            <w:vMerge/>
            <w:vAlign w:val="bottom"/>
          </w:tcPr>
          <w:p w:rsidR="00AC12B4" w:rsidRDefault="00AC12B4">
            <w:pPr>
              <w:rPr>
                <w:sz w:val="7"/>
                <w:szCs w:val="7"/>
              </w:rPr>
            </w:pPr>
          </w:p>
        </w:tc>
        <w:tc>
          <w:tcPr>
            <w:tcW w:w="20" w:type="dxa"/>
            <w:vMerge/>
            <w:vAlign w:val="bottom"/>
          </w:tcPr>
          <w:p w:rsidR="00AC12B4" w:rsidRDefault="00AC12B4">
            <w:pPr>
              <w:rPr>
                <w:sz w:val="7"/>
                <w:szCs w:val="7"/>
              </w:rPr>
            </w:pPr>
          </w:p>
        </w:tc>
        <w:tc>
          <w:tcPr>
            <w:tcW w:w="140" w:type="dxa"/>
            <w:vMerge/>
            <w:vAlign w:val="bottom"/>
          </w:tcPr>
          <w:p w:rsidR="00AC12B4" w:rsidRDefault="00AC12B4">
            <w:pPr>
              <w:rPr>
                <w:sz w:val="7"/>
                <w:szCs w:val="7"/>
              </w:rPr>
            </w:pPr>
          </w:p>
        </w:tc>
        <w:tc>
          <w:tcPr>
            <w:tcW w:w="20" w:type="dxa"/>
            <w:vMerge/>
            <w:vAlign w:val="bottom"/>
          </w:tcPr>
          <w:p w:rsidR="00AC12B4" w:rsidRDefault="00AC12B4">
            <w:pPr>
              <w:rPr>
                <w:sz w:val="7"/>
                <w:szCs w:val="7"/>
              </w:rPr>
            </w:pPr>
          </w:p>
        </w:tc>
        <w:tc>
          <w:tcPr>
            <w:tcW w:w="640" w:type="dxa"/>
            <w:gridSpan w:val="2"/>
            <w:vMerge/>
            <w:vAlign w:val="bottom"/>
          </w:tcPr>
          <w:p w:rsidR="00AC12B4" w:rsidRDefault="00AC12B4">
            <w:pPr>
              <w:rPr>
                <w:sz w:val="7"/>
                <w:szCs w:val="7"/>
              </w:rPr>
            </w:pPr>
          </w:p>
        </w:tc>
        <w:tc>
          <w:tcPr>
            <w:tcW w:w="560" w:type="dxa"/>
            <w:gridSpan w:val="3"/>
            <w:vMerge/>
            <w:vAlign w:val="bottom"/>
          </w:tcPr>
          <w:p w:rsidR="00AC12B4" w:rsidRDefault="00AC12B4">
            <w:pPr>
              <w:rPr>
                <w:sz w:val="7"/>
                <w:szCs w:val="7"/>
              </w:rPr>
            </w:pPr>
          </w:p>
        </w:tc>
        <w:tc>
          <w:tcPr>
            <w:tcW w:w="1000" w:type="dxa"/>
            <w:gridSpan w:val="2"/>
            <w:vMerge/>
            <w:vAlign w:val="bottom"/>
          </w:tcPr>
          <w:p w:rsidR="00AC12B4" w:rsidRDefault="00AC12B4">
            <w:pPr>
              <w:rPr>
                <w:sz w:val="7"/>
                <w:szCs w:val="7"/>
              </w:rPr>
            </w:pPr>
          </w:p>
        </w:tc>
        <w:tc>
          <w:tcPr>
            <w:tcW w:w="100" w:type="dxa"/>
            <w:tcBorders>
              <w:right w:val="single" w:sz="8" w:space="0" w:color="8BCCEC"/>
            </w:tcBorders>
            <w:vAlign w:val="bottom"/>
          </w:tcPr>
          <w:p w:rsidR="00AC12B4" w:rsidRDefault="00AC12B4">
            <w:pPr>
              <w:rPr>
                <w:sz w:val="7"/>
                <w:szCs w:val="7"/>
              </w:rPr>
            </w:pPr>
          </w:p>
        </w:tc>
        <w:tc>
          <w:tcPr>
            <w:tcW w:w="8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6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69"/>
        </w:trPr>
        <w:tc>
          <w:tcPr>
            <w:tcW w:w="5680" w:type="dxa"/>
            <w:gridSpan w:val="35"/>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lastRenderedPageBreak/>
              <w:t>professionnel, les rendent ouvertes et accessibles à tout</w:t>
            </w:r>
          </w:p>
        </w:tc>
        <w:tc>
          <w:tcPr>
            <w:tcW w:w="1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0" w:type="dxa"/>
            <w:gridSpan w:val="5"/>
            <w:vAlign w:val="bottom"/>
          </w:tcPr>
          <w:p w:rsidR="00AC12B4" w:rsidRDefault="00C27636">
            <w:pPr>
              <w:spacing w:line="241" w:lineRule="exact"/>
              <w:ind w:left="40"/>
              <w:rPr>
                <w:sz w:val="20"/>
                <w:szCs w:val="20"/>
              </w:rPr>
            </w:pPr>
            <w:r>
              <w:rPr>
                <w:rFonts w:ascii="Calibri" w:eastAsia="Calibri" w:hAnsi="Calibri" w:cs="Calibri"/>
              </w:rPr>
              <w:t>cohérentes</w:t>
            </w:r>
          </w:p>
        </w:tc>
        <w:tc>
          <w:tcPr>
            <w:tcW w:w="520" w:type="dxa"/>
            <w:vAlign w:val="bottom"/>
          </w:tcPr>
          <w:p w:rsidR="00AC12B4" w:rsidRDefault="00C27636">
            <w:pPr>
              <w:spacing w:line="241" w:lineRule="exact"/>
              <w:jc w:val="right"/>
              <w:rPr>
                <w:sz w:val="20"/>
                <w:szCs w:val="20"/>
              </w:rPr>
            </w:pPr>
            <w:r>
              <w:rPr>
                <w:rFonts w:ascii="Calibri" w:eastAsia="Calibri" w:hAnsi="Calibri" w:cs="Calibri"/>
              </w:rPr>
              <w:t>avec</w:t>
            </w:r>
          </w:p>
        </w:tc>
        <w:tc>
          <w:tcPr>
            <w:tcW w:w="480" w:type="dxa"/>
            <w:vAlign w:val="bottom"/>
          </w:tcPr>
          <w:p w:rsidR="00AC12B4" w:rsidRDefault="00C27636">
            <w:pPr>
              <w:spacing w:line="241" w:lineRule="exact"/>
              <w:jc w:val="right"/>
              <w:rPr>
                <w:sz w:val="20"/>
                <w:szCs w:val="20"/>
              </w:rPr>
            </w:pPr>
            <w:r>
              <w:rPr>
                <w:rFonts w:ascii="Calibri" w:eastAsia="Calibri" w:hAnsi="Calibri" w:cs="Calibri"/>
              </w:rPr>
              <w:t>la</w:t>
            </w:r>
          </w:p>
        </w:tc>
        <w:tc>
          <w:tcPr>
            <w:tcW w:w="100" w:type="dxa"/>
            <w:tcBorders>
              <w:right w:val="single" w:sz="8" w:space="0" w:color="8BCCEC"/>
            </w:tcBorders>
            <w:vAlign w:val="bottom"/>
          </w:tcPr>
          <w:p w:rsidR="00AC12B4" w:rsidRDefault="00AC12B4">
            <w:pPr>
              <w:rPr>
                <w:sz w:val="23"/>
                <w:szCs w:val="23"/>
              </w:rPr>
            </w:pPr>
          </w:p>
        </w:tc>
        <w:tc>
          <w:tcPr>
            <w:tcW w:w="2360" w:type="dxa"/>
            <w:gridSpan w:val="6"/>
            <w:vMerge w:val="restart"/>
            <w:vAlign w:val="bottom"/>
          </w:tcPr>
          <w:p w:rsidR="00AC12B4" w:rsidRDefault="00C27636">
            <w:pPr>
              <w:ind w:right="180"/>
              <w:jc w:val="right"/>
              <w:rPr>
                <w:sz w:val="20"/>
                <w:szCs w:val="20"/>
              </w:rPr>
            </w:pPr>
            <w:r>
              <w:rPr>
                <w:rFonts w:ascii="Comic Sans MS" w:eastAsia="Comic Sans MS" w:hAnsi="Comic Sans MS" w:cs="Comic Sans MS"/>
                <w:color w:val="8BCCEC"/>
                <w:sz w:val="96"/>
                <w:szCs w:val="96"/>
              </w:rPr>
              <w:t>11%</w:t>
            </w:r>
          </w:p>
        </w:tc>
        <w:tc>
          <w:tcPr>
            <w:tcW w:w="0" w:type="dxa"/>
            <w:vAlign w:val="bottom"/>
          </w:tcPr>
          <w:p w:rsidR="00AC12B4" w:rsidRDefault="00AC12B4">
            <w:pPr>
              <w:rPr>
                <w:sz w:val="1"/>
                <w:szCs w:val="1"/>
              </w:rPr>
            </w:pPr>
          </w:p>
        </w:tc>
      </w:tr>
      <w:tr w:rsidR="00AC12B4">
        <w:trPr>
          <w:trHeight w:val="269"/>
        </w:trPr>
        <w:tc>
          <w:tcPr>
            <w:tcW w:w="5680" w:type="dxa"/>
            <w:gridSpan w:val="35"/>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 xml:space="preserve">enfant, et prennent des mesures appropriées, </w:t>
            </w:r>
            <w:r w:rsidRPr="00C27636">
              <w:rPr>
                <w:rFonts w:ascii="Calibri" w:eastAsia="Calibri" w:hAnsi="Calibri" w:cs="Calibri"/>
                <w:i/>
                <w:iCs/>
                <w:color w:val="DAEEF3"/>
                <w:lang w:val="fr-BE"/>
              </w:rPr>
              <w:t>telles que</w:t>
            </w:r>
          </w:p>
        </w:tc>
        <w:tc>
          <w:tcPr>
            <w:tcW w:w="1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0" w:type="dxa"/>
            <w:gridSpan w:val="5"/>
            <w:vAlign w:val="bottom"/>
          </w:tcPr>
          <w:p w:rsidR="00AC12B4" w:rsidRDefault="00C27636">
            <w:pPr>
              <w:spacing w:line="240" w:lineRule="exact"/>
              <w:ind w:left="40"/>
              <w:rPr>
                <w:sz w:val="20"/>
                <w:szCs w:val="20"/>
              </w:rPr>
            </w:pPr>
            <w:r>
              <w:rPr>
                <w:rFonts w:ascii="Calibri" w:eastAsia="Calibri" w:hAnsi="Calibri" w:cs="Calibri"/>
                <w:w w:val="99"/>
              </w:rPr>
              <w:t>participation</w:t>
            </w:r>
          </w:p>
        </w:tc>
        <w:tc>
          <w:tcPr>
            <w:tcW w:w="520" w:type="dxa"/>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100" w:type="dxa"/>
            <w:tcBorders>
              <w:right w:val="single" w:sz="8" w:space="0" w:color="8BCCEC"/>
            </w:tcBorders>
            <w:vAlign w:val="bottom"/>
          </w:tcPr>
          <w:p w:rsidR="00AC12B4" w:rsidRDefault="00AC12B4">
            <w:pPr>
              <w:rPr>
                <w:sz w:val="23"/>
                <w:szCs w:val="23"/>
              </w:rPr>
            </w:pPr>
          </w:p>
        </w:tc>
        <w:tc>
          <w:tcPr>
            <w:tcW w:w="2360" w:type="dxa"/>
            <w:gridSpan w:val="6"/>
            <w:vMerge/>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5680" w:type="dxa"/>
            <w:gridSpan w:val="35"/>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l’instauration de la gratuité de l’enseignement et l’offre</w:t>
            </w:r>
          </w:p>
        </w:tc>
        <w:tc>
          <w:tcPr>
            <w:tcW w:w="1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720" w:type="dxa"/>
            <w:gridSpan w:val="6"/>
            <w:vAlign w:val="bottom"/>
          </w:tcPr>
          <w:p w:rsidR="00AC12B4" w:rsidRDefault="00C27636">
            <w:pPr>
              <w:spacing w:line="240" w:lineRule="exact"/>
              <w:ind w:left="40"/>
              <w:rPr>
                <w:sz w:val="20"/>
                <w:szCs w:val="20"/>
              </w:rPr>
            </w:pPr>
            <w:r>
              <w:rPr>
                <w:rFonts w:ascii="Calibri" w:eastAsia="Calibri" w:hAnsi="Calibri" w:cs="Calibri"/>
              </w:rPr>
              <w:t>d’enseignants,</w:t>
            </w:r>
          </w:p>
        </w:tc>
        <w:tc>
          <w:tcPr>
            <w:tcW w:w="480" w:type="dxa"/>
            <w:vAlign w:val="bottom"/>
          </w:tcPr>
          <w:p w:rsidR="00AC12B4" w:rsidRDefault="00C27636">
            <w:pPr>
              <w:spacing w:line="240" w:lineRule="exact"/>
              <w:jc w:val="right"/>
              <w:rPr>
                <w:sz w:val="20"/>
                <w:szCs w:val="20"/>
              </w:rPr>
            </w:pPr>
            <w:r>
              <w:rPr>
                <w:rFonts w:ascii="Calibri" w:eastAsia="Calibri" w:hAnsi="Calibri" w:cs="Calibri"/>
              </w:rPr>
              <w:t>de</w:t>
            </w:r>
          </w:p>
        </w:tc>
        <w:tc>
          <w:tcPr>
            <w:tcW w:w="100" w:type="dxa"/>
            <w:tcBorders>
              <w:right w:val="single" w:sz="8" w:space="0" w:color="8BCCEC"/>
            </w:tcBorders>
            <w:vAlign w:val="bottom"/>
          </w:tcPr>
          <w:p w:rsidR="00AC12B4" w:rsidRDefault="00AC12B4">
            <w:pPr>
              <w:rPr>
                <w:sz w:val="23"/>
                <w:szCs w:val="23"/>
              </w:rPr>
            </w:pPr>
          </w:p>
        </w:tc>
        <w:tc>
          <w:tcPr>
            <w:tcW w:w="2360" w:type="dxa"/>
            <w:gridSpan w:val="6"/>
            <w:vMerge/>
            <w:vAlign w:val="bottom"/>
          </w:tcPr>
          <w:p w:rsidR="00AC12B4" w:rsidRDefault="00AC12B4">
            <w:pPr>
              <w:rPr>
                <w:sz w:val="23"/>
                <w:szCs w:val="23"/>
              </w:rPr>
            </w:pPr>
          </w:p>
        </w:tc>
        <w:tc>
          <w:tcPr>
            <w:tcW w:w="0" w:type="dxa"/>
            <w:vAlign w:val="bottom"/>
          </w:tcPr>
          <w:p w:rsidR="00AC12B4" w:rsidRDefault="00AC12B4">
            <w:pPr>
              <w:rPr>
                <w:sz w:val="1"/>
                <w:szCs w:val="1"/>
              </w:rPr>
            </w:pPr>
          </w:p>
        </w:tc>
      </w:tr>
      <w:tr w:rsidR="00C27636">
        <w:trPr>
          <w:trHeight w:val="269"/>
        </w:trPr>
        <w:tc>
          <w:tcPr>
            <w:tcW w:w="4040" w:type="dxa"/>
            <w:gridSpan w:val="13"/>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d’une aide financière en cas de besoin;</w:t>
            </w:r>
          </w:p>
        </w:tc>
        <w:tc>
          <w:tcPr>
            <w:tcW w:w="8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4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60" w:type="dxa"/>
            <w:shd w:val="clear" w:color="auto" w:fill="8BCCEC"/>
            <w:vAlign w:val="bottom"/>
          </w:tcPr>
          <w:p w:rsidR="00AC12B4" w:rsidRPr="00C27636" w:rsidRDefault="00AC12B4">
            <w:pPr>
              <w:rPr>
                <w:sz w:val="23"/>
                <w:szCs w:val="23"/>
                <w:lang w:val="fr-BE"/>
              </w:rPr>
            </w:pPr>
          </w:p>
        </w:tc>
        <w:tc>
          <w:tcPr>
            <w:tcW w:w="8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2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4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4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4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4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4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40" w:type="dxa"/>
            <w:shd w:val="clear" w:color="auto" w:fill="8BCCEC"/>
            <w:vAlign w:val="bottom"/>
          </w:tcPr>
          <w:p w:rsidR="00AC12B4" w:rsidRPr="00C27636" w:rsidRDefault="00AC12B4">
            <w:pPr>
              <w:rPr>
                <w:sz w:val="23"/>
                <w:szCs w:val="23"/>
                <w:lang w:val="fr-BE"/>
              </w:rPr>
            </w:pPr>
          </w:p>
        </w:tc>
        <w:tc>
          <w:tcPr>
            <w:tcW w:w="20" w:type="dxa"/>
            <w:shd w:val="clear" w:color="auto" w:fill="8BCCEC"/>
            <w:vAlign w:val="bottom"/>
          </w:tcPr>
          <w:p w:rsidR="00AC12B4" w:rsidRPr="00C27636" w:rsidRDefault="00AC12B4">
            <w:pPr>
              <w:rPr>
                <w:sz w:val="23"/>
                <w:szCs w:val="23"/>
                <w:lang w:val="fr-BE"/>
              </w:rPr>
            </w:pPr>
          </w:p>
        </w:tc>
        <w:tc>
          <w:tcPr>
            <w:tcW w:w="120" w:type="dxa"/>
            <w:shd w:val="clear" w:color="auto" w:fill="8BCCEC"/>
            <w:vAlign w:val="bottom"/>
          </w:tcPr>
          <w:p w:rsidR="00AC12B4" w:rsidRPr="00C27636" w:rsidRDefault="00AC12B4">
            <w:pPr>
              <w:rPr>
                <w:sz w:val="23"/>
                <w:szCs w:val="23"/>
                <w:lang w:val="fr-BE"/>
              </w:rPr>
            </w:pPr>
          </w:p>
        </w:tc>
        <w:tc>
          <w:tcPr>
            <w:tcW w:w="120" w:type="dxa"/>
            <w:tcBorders>
              <w:right w:val="single" w:sz="8" w:space="0" w:color="44ACE0"/>
            </w:tcBorders>
            <w:shd w:val="clear" w:color="auto" w:fill="8BCCEC"/>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740" w:type="dxa"/>
            <w:gridSpan w:val="3"/>
            <w:vAlign w:val="bottom"/>
          </w:tcPr>
          <w:p w:rsidR="00AC12B4" w:rsidRDefault="00C27636">
            <w:pPr>
              <w:spacing w:line="240" w:lineRule="exact"/>
              <w:ind w:left="40"/>
              <w:rPr>
                <w:sz w:val="20"/>
                <w:szCs w:val="20"/>
              </w:rPr>
            </w:pPr>
            <w:r>
              <w:rPr>
                <w:rFonts w:ascii="Calibri" w:eastAsia="Calibri" w:hAnsi="Calibri" w:cs="Calibri"/>
                <w:w w:val="99"/>
              </w:rPr>
              <w:t>parents</w:t>
            </w:r>
          </w:p>
        </w:tc>
        <w:tc>
          <w:tcPr>
            <w:tcW w:w="40" w:type="dxa"/>
            <w:vAlign w:val="bottom"/>
          </w:tcPr>
          <w:p w:rsidR="00AC12B4" w:rsidRDefault="00AC12B4">
            <w:pPr>
              <w:rPr>
                <w:sz w:val="23"/>
                <w:szCs w:val="23"/>
              </w:rPr>
            </w:pPr>
          </w:p>
        </w:tc>
        <w:tc>
          <w:tcPr>
            <w:tcW w:w="420" w:type="dxa"/>
            <w:vAlign w:val="bottom"/>
          </w:tcPr>
          <w:p w:rsidR="00AC12B4" w:rsidRDefault="00C27636">
            <w:pPr>
              <w:spacing w:line="240" w:lineRule="exact"/>
              <w:ind w:right="16"/>
              <w:jc w:val="right"/>
              <w:rPr>
                <w:sz w:val="20"/>
                <w:szCs w:val="20"/>
              </w:rPr>
            </w:pPr>
            <w:r>
              <w:rPr>
                <w:rFonts w:ascii="Calibri" w:eastAsia="Calibri" w:hAnsi="Calibri" w:cs="Calibri"/>
              </w:rPr>
              <w:t>et</w:t>
            </w:r>
          </w:p>
        </w:tc>
        <w:tc>
          <w:tcPr>
            <w:tcW w:w="1000" w:type="dxa"/>
            <w:gridSpan w:val="2"/>
            <w:vAlign w:val="bottom"/>
          </w:tcPr>
          <w:p w:rsidR="00AC12B4" w:rsidRDefault="00C27636">
            <w:pPr>
              <w:spacing w:line="240" w:lineRule="exact"/>
              <w:jc w:val="right"/>
              <w:rPr>
                <w:sz w:val="20"/>
                <w:szCs w:val="20"/>
              </w:rPr>
            </w:pPr>
            <w:r>
              <w:rPr>
                <w:rFonts w:ascii="Calibri" w:eastAsia="Calibri" w:hAnsi="Calibri" w:cs="Calibri"/>
              </w:rPr>
              <w:t>d’enfants</w:t>
            </w:r>
          </w:p>
        </w:tc>
        <w:tc>
          <w:tcPr>
            <w:tcW w:w="100" w:type="dxa"/>
            <w:tcBorders>
              <w:right w:val="single" w:sz="8" w:space="0" w:color="8BCCEC"/>
            </w:tcBorders>
            <w:vAlign w:val="bottom"/>
          </w:tcPr>
          <w:p w:rsidR="00AC12B4" w:rsidRDefault="00AC12B4">
            <w:pPr>
              <w:rPr>
                <w:sz w:val="23"/>
                <w:szCs w:val="23"/>
              </w:rPr>
            </w:pPr>
          </w:p>
        </w:tc>
        <w:tc>
          <w:tcPr>
            <w:tcW w:w="2360" w:type="dxa"/>
            <w:gridSpan w:val="6"/>
            <w:vMerge/>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89"/>
        </w:trPr>
        <w:tc>
          <w:tcPr>
            <w:tcW w:w="2240" w:type="dxa"/>
            <w:gridSpan w:val="2"/>
            <w:tcBorders>
              <w:left w:val="single" w:sz="8" w:space="0" w:color="44ACE0"/>
            </w:tcBorders>
            <w:shd w:val="clear" w:color="auto" w:fill="8BCCEC"/>
            <w:vAlign w:val="bottom"/>
          </w:tcPr>
          <w:p w:rsidR="00AC12B4" w:rsidRDefault="00C27636">
            <w:pPr>
              <w:ind w:left="580"/>
              <w:rPr>
                <w:sz w:val="20"/>
                <w:szCs w:val="20"/>
              </w:rPr>
            </w:pPr>
            <w:r>
              <w:rPr>
                <w:rFonts w:ascii="Calibri" w:eastAsia="Calibri" w:hAnsi="Calibri" w:cs="Calibri"/>
                <w:i/>
                <w:iCs/>
                <w:color w:val="DAEEF3"/>
              </w:rPr>
              <w:t>e)  Ils  prennent</w:t>
            </w:r>
          </w:p>
        </w:tc>
        <w:tc>
          <w:tcPr>
            <w:tcW w:w="520" w:type="dxa"/>
            <w:tcBorders>
              <w:right w:val="single" w:sz="8" w:space="0" w:color="8BCCEC"/>
            </w:tcBorders>
            <w:shd w:val="clear" w:color="auto" w:fill="8BCCEC"/>
            <w:vAlign w:val="bottom"/>
          </w:tcPr>
          <w:p w:rsidR="00AC12B4" w:rsidRDefault="00C27636">
            <w:pPr>
              <w:ind w:right="71"/>
              <w:jc w:val="right"/>
              <w:rPr>
                <w:sz w:val="20"/>
                <w:szCs w:val="20"/>
              </w:rPr>
            </w:pPr>
            <w:r>
              <w:rPr>
                <w:rFonts w:ascii="Calibri" w:eastAsia="Calibri" w:hAnsi="Calibri" w:cs="Calibri"/>
                <w:i/>
                <w:iCs/>
                <w:color w:val="DAEEF3"/>
              </w:rPr>
              <w:t>des</w:t>
            </w:r>
          </w:p>
        </w:tc>
        <w:tc>
          <w:tcPr>
            <w:tcW w:w="760" w:type="dxa"/>
            <w:gridSpan w:val="2"/>
            <w:shd w:val="clear" w:color="auto" w:fill="8BCCEC"/>
            <w:vAlign w:val="bottom"/>
          </w:tcPr>
          <w:p w:rsidR="00AC12B4" w:rsidRDefault="00C27636">
            <w:pPr>
              <w:jc w:val="right"/>
              <w:rPr>
                <w:sz w:val="20"/>
                <w:szCs w:val="20"/>
              </w:rPr>
            </w:pPr>
            <w:r>
              <w:rPr>
                <w:rFonts w:ascii="Calibri" w:eastAsia="Calibri" w:hAnsi="Calibri" w:cs="Calibri"/>
                <w:i/>
                <w:iCs/>
                <w:color w:val="DAEEF3"/>
                <w:w w:val="96"/>
              </w:rPr>
              <w:t>mesures</w:t>
            </w:r>
          </w:p>
        </w:tc>
        <w:tc>
          <w:tcPr>
            <w:tcW w:w="60" w:type="dxa"/>
            <w:shd w:val="clear" w:color="auto" w:fill="8BCCEC"/>
            <w:vAlign w:val="bottom"/>
          </w:tcPr>
          <w:p w:rsidR="00AC12B4" w:rsidRDefault="00AC12B4">
            <w:pPr>
              <w:rPr>
                <w:sz w:val="24"/>
                <w:szCs w:val="24"/>
              </w:rPr>
            </w:pPr>
          </w:p>
        </w:tc>
        <w:tc>
          <w:tcPr>
            <w:tcW w:w="80" w:type="dxa"/>
            <w:tcBorders>
              <w:right w:val="single" w:sz="8" w:space="0" w:color="8BCCEC"/>
            </w:tcBorders>
            <w:shd w:val="clear" w:color="auto" w:fill="8BCCEC"/>
            <w:vAlign w:val="bottom"/>
          </w:tcPr>
          <w:p w:rsidR="00AC12B4" w:rsidRDefault="00AC12B4">
            <w:pPr>
              <w:rPr>
                <w:sz w:val="24"/>
                <w:szCs w:val="24"/>
              </w:rPr>
            </w:pPr>
          </w:p>
        </w:tc>
        <w:tc>
          <w:tcPr>
            <w:tcW w:w="2020" w:type="dxa"/>
            <w:gridSpan w:val="28"/>
            <w:shd w:val="clear" w:color="auto" w:fill="8BCCEC"/>
            <w:vAlign w:val="bottom"/>
          </w:tcPr>
          <w:p w:rsidR="00AC12B4" w:rsidRDefault="00C27636">
            <w:pPr>
              <w:ind w:left="20"/>
              <w:rPr>
                <w:sz w:val="20"/>
                <w:szCs w:val="20"/>
              </w:rPr>
            </w:pPr>
            <w:r>
              <w:rPr>
                <w:rFonts w:ascii="Calibri" w:eastAsia="Calibri" w:hAnsi="Calibri" w:cs="Calibri"/>
                <w:i/>
                <w:iCs/>
                <w:color w:val="DAEEF3"/>
              </w:rPr>
              <w:t>pour  encourager  la</w:t>
            </w:r>
          </w:p>
        </w:tc>
        <w:tc>
          <w:tcPr>
            <w:tcW w:w="120" w:type="dxa"/>
            <w:tcBorders>
              <w:right w:val="single" w:sz="8" w:space="0" w:color="44ACE0"/>
            </w:tcBorders>
            <w:shd w:val="clear" w:color="auto" w:fill="8BCCEC"/>
            <w:vAlign w:val="bottom"/>
          </w:tcPr>
          <w:p w:rsidR="00AC12B4" w:rsidRDefault="00AC12B4">
            <w:pPr>
              <w:rPr>
                <w:sz w:val="24"/>
                <w:szCs w:val="24"/>
              </w:rPr>
            </w:pPr>
          </w:p>
        </w:tc>
        <w:tc>
          <w:tcPr>
            <w:tcW w:w="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640" w:type="dxa"/>
            <w:gridSpan w:val="2"/>
            <w:vAlign w:val="bottom"/>
          </w:tcPr>
          <w:p w:rsidR="00AC12B4" w:rsidRDefault="00C27636">
            <w:pPr>
              <w:spacing w:line="240" w:lineRule="exact"/>
              <w:ind w:left="40"/>
              <w:rPr>
                <w:sz w:val="20"/>
                <w:szCs w:val="20"/>
              </w:rPr>
            </w:pPr>
            <w:r>
              <w:rPr>
                <w:rFonts w:ascii="Calibri" w:eastAsia="Calibri" w:hAnsi="Calibri" w:cs="Calibri"/>
              </w:rPr>
              <w:t>pour</w:t>
            </w:r>
          </w:p>
        </w:tc>
        <w:tc>
          <w:tcPr>
            <w:tcW w:w="1080" w:type="dxa"/>
            <w:gridSpan w:val="4"/>
            <w:vAlign w:val="bottom"/>
          </w:tcPr>
          <w:p w:rsidR="00AC12B4" w:rsidRDefault="00C27636">
            <w:pPr>
              <w:spacing w:line="240" w:lineRule="exact"/>
              <w:ind w:right="30"/>
              <w:jc w:val="right"/>
              <w:rPr>
                <w:sz w:val="20"/>
                <w:szCs w:val="20"/>
              </w:rPr>
            </w:pPr>
            <w:r>
              <w:rPr>
                <w:rFonts w:ascii="Calibri" w:eastAsia="Calibri" w:hAnsi="Calibri" w:cs="Calibri"/>
              </w:rPr>
              <w:t>s’attaquer</w:t>
            </w:r>
          </w:p>
        </w:tc>
        <w:tc>
          <w:tcPr>
            <w:tcW w:w="480" w:type="dxa"/>
            <w:vAlign w:val="bottom"/>
          </w:tcPr>
          <w:p w:rsidR="00AC12B4" w:rsidRDefault="00C27636">
            <w:pPr>
              <w:spacing w:line="240" w:lineRule="exact"/>
              <w:jc w:val="right"/>
              <w:rPr>
                <w:sz w:val="20"/>
                <w:szCs w:val="20"/>
              </w:rPr>
            </w:pPr>
            <w:r>
              <w:rPr>
                <w:rFonts w:ascii="Calibri" w:eastAsia="Calibri" w:hAnsi="Calibri" w:cs="Calibri"/>
              </w:rPr>
              <w:t>aux</w:t>
            </w:r>
          </w:p>
        </w:tc>
        <w:tc>
          <w:tcPr>
            <w:tcW w:w="100" w:type="dxa"/>
            <w:tcBorders>
              <w:right w:val="single" w:sz="8" w:space="0" w:color="8BCCEC"/>
            </w:tcBorders>
            <w:vAlign w:val="bottom"/>
          </w:tcPr>
          <w:p w:rsidR="00AC12B4" w:rsidRDefault="00AC12B4">
            <w:pPr>
              <w:rPr>
                <w:sz w:val="24"/>
                <w:szCs w:val="24"/>
              </w:rPr>
            </w:pPr>
          </w:p>
        </w:tc>
        <w:tc>
          <w:tcPr>
            <w:tcW w:w="2360" w:type="dxa"/>
            <w:gridSpan w:val="6"/>
            <w:vMerge/>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0"/>
        </w:trPr>
        <w:tc>
          <w:tcPr>
            <w:tcW w:w="5680" w:type="dxa"/>
            <w:gridSpan w:val="35"/>
            <w:vMerge w:val="restart"/>
            <w:tcBorders>
              <w:left w:val="single" w:sz="8" w:space="0" w:color="44ACE0"/>
            </w:tcBorders>
            <w:shd w:val="clear" w:color="auto" w:fill="8BCCEC"/>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régularité de la fréquentation scolaire et la réduction</w:t>
            </w:r>
          </w:p>
        </w:tc>
        <w:tc>
          <w:tcPr>
            <w:tcW w:w="120" w:type="dxa"/>
            <w:tcBorders>
              <w:right w:val="single" w:sz="8" w:space="0" w:color="44ACE0"/>
            </w:tcBorders>
            <w:shd w:val="clear" w:color="auto" w:fill="8BCCEC"/>
            <w:vAlign w:val="bottom"/>
          </w:tcPr>
          <w:p w:rsidR="00AC12B4" w:rsidRPr="00C27636" w:rsidRDefault="00AC12B4">
            <w:pPr>
              <w:rPr>
                <w:sz w:val="19"/>
                <w:szCs w:val="19"/>
                <w:lang w:val="fr-BE"/>
              </w:rPr>
            </w:pPr>
          </w:p>
        </w:tc>
        <w:tc>
          <w:tcPr>
            <w:tcW w:w="40" w:type="dxa"/>
            <w:vAlign w:val="bottom"/>
          </w:tcPr>
          <w:p w:rsidR="00AC12B4" w:rsidRPr="00C27636" w:rsidRDefault="00AC12B4">
            <w:pPr>
              <w:rPr>
                <w:sz w:val="19"/>
                <w:szCs w:val="19"/>
                <w:lang w:val="fr-BE"/>
              </w:rPr>
            </w:pPr>
          </w:p>
        </w:tc>
        <w:tc>
          <w:tcPr>
            <w:tcW w:w="20" w:type="dxa"/>
            <w:vAlign w:val="bottom"/>
          </w:tcPr>
          <w:p w:rsidR="00AC12B4" w:rsidRPr="00C27636" w:rsidRDefault="00AC12B4">
            <w:pPr>
              <w:rPr>
                <w:sz w:val="19"/>
                <w:szCs w:val="19"/>
                <w:lang w:val="fr-BE"/>
              </w:rPr>
            </w:pPr>
          </w:p>
        </w:tc>
        <w:tc>
          <w:tcPr>
            <w:tcW w:w="140" w:type="dxa"/>
            <w:vAlign w:val="bottom"/>
          </w:tcPr>
          <w:p w:rsidR="00AC12B4" w:rsidRPr="00C27636" w:rsidRDefault="00AC12B4">
            <w:pPr>
              <w:rPr>
                <w:sz w:val="19"/>
                <w:szCs w:val="19"/>
                <w:lang w:val="fr-BE"/>
              </w:rPr>
            </w:pPr>
          </w:p>
        </w:tc>
        <w:tc>
          <w:tcPr>
            <w:tcW w:w="20" w:type="dxa"/>
            <w:vAlign w:val="bottom"/>
          </w:tcPr>
          <w:p w:rsidR="00AC12B4" w:rsidRPr="00C27636" w:rsidRDefault="00AC12B4">
            <w:pPr>
              <w:rPr>
                <w:sz w:val="19"/>
                <w:szCs w:val="19"/>
                <w:lang w:val="fr-BE"/>
              </w:rPr>
            </w:pPr>
          </w:p>
        </w:tc>
        <w:tc>
          <w:tcPr>
            <w:tcW w:w="640" w:type="dxa"/>
            <w:gridSpan w:val="2"/>
            <w:vAlign w:val="bottom"/>
          </w:tcPr>
          <w:p w:rsidR="00AC12B4" w:rsidRDefault="00C27636">
            <w:pPr>
              <w:spacing w:line="220" w:lineRule="exact"/>
              <w:ind w:left="40"/>
              <w:rPr>
                <w:sz w:val="20"/>
                <w:szCs w:val="20"/>
              </w:rPr>
            </w:pPr>
            <w:r>
              <w:rPr>
                <w:rFonts w:ascii="Calibri" w:eastAsia="Calibri" w:hAnsi="Calibri" w:cs="Calibri"/>
                <w:w w:val="97"/>
              </w:rPr>
              <w:t>causes</w:t>
            </w:r>
          </w:p>
        </w:tc>
        <w:tc>
          <w:tcPr>
            <w:tcW w:w="100" w:type="dxa"/>
            <w:vAlign w:val="bottom"/>
          </w:tcPr>
          <w:p w:rsidR="00AC12B4" w:rsidRDefault="00AC12B4">
            <w:pPr>
              <w:rPr>
                <w:sz w:val="19"/>
                <w:szCs w:val="19"/>
              </w:rPr>
            </w:pPr>
          </w:p>
        </w:tc>
        <w:tc>
          <w:tcPr>
            <w:tcW w:w="1460" w:type="dxa"/>
            <w:gridSpan w:val="4"/>
            <w:vAlign w:val="bottom"/>
          </w:tcPr>
          <w:p w:rsidR="00AC12B4" w:rsidRDefault="00C27636">
            <w:pPr>
              <w:spacing w:line="220" w:lineRule="exact"/>
              <w:jc w:val="right"/>
              <w:rPr>
                <w:sz w:val="20"/>
                <w:szCs w:val="20"/>
              </w:rPr>
            </w:pPr>
            <w:r>
              <w:rPr>
                <w:rFonts w:ascii="Calibri" w:eastAsia="Calibri" w:hAnsi="Calibri" w:cs="Calibri"/>
                <w:w w:val="99"/>
              </w:rPr>
              <w:t>fondamentales</w:t>
            </w:r>
          </w:p>
        </w:tc>
        <w:tc>
          <w:tcPr>
            <w:tcW w:w="100" w:type="dxa"/>
            <w:tcBorders>
              <w:right w:val="single" w:sz="8" w:space="0" w:color="8BCCEC"/>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2280" w:type="dxa"/>
            <w:gridSpan w:val="5"/>
            <w:vMerge w:val="restart"/>
            <w:vAlign w:val="bottom"/>
          </w:tcPr>
          <w:p w:rsidR="00AC12B4" w:rsidRDefault="00C27636">
            <w:pPr>
              <w:ind w:left="60"/>
              <w:rPr>
                <w:sz w:val="20"/>
                <w:szCs w:val="20"/>
              </w:rPr>
            </w:pPr>
            <w:r>
              <w:rPr>
                <w:rFonts w:ascii="Comic Sans MS" w:eastAsia="Comic Sans MS" w:hAnsi="Comic Sans MS" w:cs="Comic Sans MS"/>
                <w:color w:val="0D0D0D"/>
                <w:sz w:val="20"/>
                <w:szCs w:val="20"/>
              </w:rPr>
              <w:t xml:space="preserve">Des </w:t>
            </w:r>
            <w:r>
              <w:rPr>
                <w:rFonts w:ascii="Comic Sans MS" w:eastAsia="Comic Sans MS" w:hAnsi="Comic Sans MS" w:cs="Comic Sans MS"/>
                <w:color w:val="0D0D0D"/>
                <w:sz w:val="20"/>
                <w:szCs w:val="20"/>
              </w:rPr>
              <w:t>jeunes entre 18 et</w:t>
            </w:r>
          </w:p>
        </w:tc>
        <w:tc>
          <w:tcPr>
            <w:tcW w:w="0" w:type="dxa"/>
            <w:vAlign w:val="bottom"/>
          </w:tcPr>
          <w:p w:rsidR="00AC12B4" w:rsidRDefault="00AC12B4">
            <w:pPr>
              <w:rPr>
                <w:sz w:val="1"/>
                <w:szCs w:val="1"/>
              </w:rPr>
            </w:pPr>
          </w:p>
        </w:tc>
      </w:tr>
      <w:tr w:rsidR="00AC12B4">
        <w:trPr>
          <w:trHeight w:val="143"/>
        </w:trPr>
        <w:tc>
          <w:tcPr>
            <w:tcW w:w="5680" w:type="dxa"/>
            <w:gridSpan w:val="35"/>
            <w:vMerge/>
            <w:tcBorders>
              <w:left w:val="single" w:sz="8" w:space="0" w:color="44ACE0"/>
            </w:tcBorders>
            <w:shd w:val="clear" w:color="auto" w:fill="8BCCEC"/>
            <w:vAlign w:val="bottom"/>
          </w:tcPr>
          <w:p w:rsidR="00AC12B4" w:rsidRDefault="00AC12B4">
            <w:pPr>
              <w:rPr>
                <w:sz w:val="12"/>
                <w:szCs w:val="12"/>
              </w:rPr>
            </w:pPr>
          </w:p>
        </w:tc>
        <w:tc>
          <w:tcPr>
            <w:tcW w:w="120" w:type="dxa"/>
            <w:tcBorders>
              <w:right w:val="single" w:sz="8" w:space="0" w:color="44ACE0"/>
            </w:tcBorders>
            <w:shd w:val="clear" w:color="auto" w:fill="8BCCEC"/>
            <w:vAlign w:val="bottom"/>
          </w:tcPr>
          <w:p w:rsidR="00AC12B4" w:rsidRDefault="00AC12B4">
            <w:pPr>
              <w:rPr>
                <w:sz w:val="12"/>
                <w:szCs w:val="12"/>
              </w:rPr>
            </w:pPr>
          </w:p>
        </w:tc>
        <w:tc>
          <w:tcPr>
            <w:tcW w:w="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2200" w:type="dxa"/>
            <w:gridSpan w:val="7"/>
            <w:vMerge w:val="restart"/>
            <w:vAlign w:val="bottom"/>
          </w:tcPr>
          <w:p w:rsidR="00AC12B4" w:rsidRDefault="00C27636">
            <w:pPr>
              <w:ind w:left="40"/>
              <w:rPr>
                <w:sz w:val="20"/>
                <w:szCs w:val="20"/>
              </w:rPr>
            </w:pPr>
            <w:r>
              <w:rPr>
                <w:rFonts w:ascii="Calibri" w:eastAsia="Calibri" w:hAnsi="Calibri" w:cs="Calibri"/>
              </w:rPr>
              <w:t>de l’abandon scolaire.</w:t>
            </w:r>
          </w:p>
        </w:tc>
        <w:tc>
          <w:tcPr>
            <w:tcW w:w="100" w:type="dxa"/>
            <w:tcBorders>
              <w:right w:val="single" w:sz="8" w:space="0" w:color="8BCCEC"/>
            </w:tcBorders>
            <w:vAlign w:val="bottom"/>
          </w:tcPr>
          <w:p w:rsidR="00AC12B4" w:rsidRDefault="00AC12B4">
            <w:pPr>
              <w:rPr>
                <w:sz w:val="12"/>
                <w:szCs w:val="12"/>
              </w:rPr>
            </w:pPr>
          </w:p>
        </w:tc>
        <w:tc>
          <w:tcPr>
            <w:tcW w:w="80" w:type="dxa"/>
            <w:vAlign w:val="bottom"/>
          </w:tcPr>
          <w:p w:rsidR="00AC12B4" w:rsidRDefault="00AC12B4">
            <w:pPr>
              <w:rPr>
                <w:sz w:val="12"/>
                <w:szCs w:val="12"/>
              </w:rPr>
            </w:pPr>
          </w:p>
        </w:tc>
        <w:tc>
          <w:tcPr>
            <w:tcW w:w="2280" w:type="dxa"/>
            <w:gridSpan w:val="5"/>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C27636">
        <w:trPr>
          <w:trHeight w:val="126"/>
        </w:trPr>
        <w:tc>
          <w:tcPr>
            <w:tcW w:w="3520" w:type="dxa"/>
            <w:gridSpan w:val="5"/>
            <w:vMerge w:val="restart"/>
            <w:tcBorders>
              <w:left w:val="single" w:sz="8" w:space="0" w:color="44ACE0"/>
            </w:tcBorders>
            <w:shd w:val="clear" w:color="auto" w:fill="8BCCEC"/>
            <w:vAlign w:val="bottom"/>
          </w:tcPr>
          <w:p w:rsidR="00AC12B4" w:rsidRDefault="00C27636">
            <w:pPr>
              <w:spacing w:line="220" w:lineRule="exact"/>
              <w:ind w:left="580"/>
              <w:rPr>
                <w:sz w:val="20"/>
                <w:szCs w:val="20"/>
              </w:rPr>
            </w:pPr>
            <w:r>
              <w:rPr>
                <w:rFonts w:ascii="Calibri" w:eastAsia="Calibri" w:hAnsi="Calibri" w:cs="Calibri"/>
                <w:i/>
                <w:iCs/>
                <w:color w:val="DAEEF3"/>
              </w:rPr>
              <w:t>des taux d’abandon scolaire.</w:t>
            </w:r>
          </w:p>
        </w:tc>
        <w:tc>
          <w:tcPr>
            <w:tcW w:w="60" w:type="dxa"/>
            <w:shd w:val="clear" w:color="auto" w:fill="8BCCEC"/>
            <w:vAlign w:val="bottom"/>
          </w:tcPr>
          <w:p w:rsidR="00AC12B4" w:rsidRDefault="00AC12B4">
            <w:pPr>
              <w:rPr>
                <w:sz w:val="10"/>
                <w:szCs w:val="10"/>
              </w:rPr>
            </w:pPr>
          </w:p>
        </w:tc>
        <w:tc>
          <w:tcPr>
            <w:tcW w:w="80" w:type="dxa"/>
            <w:tcBorders>
              <w:right w:val="single" w:sz="8" w:space="0" w:color="8BCCEC"/>
            </w:tcBorders>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40" w:type="dxa"/>
            <w:shd w:val="clear" w:color="auto" w:fill="8BCCEC"/>
            <w:vAlign w:val="bottom"/>
          </w:tcPr>
          <w:p w:rsidR="00AC12B4" w:rsidRDefault="00AC12B4">
            <w:pPr>
              <w:rPr>
                <w:sz w:val="10"/>
                <w:szCs w:val="10"/>
              </w:rPr>
            </w:pPr>
          </w:p>
        </w:tc>
        <w:tc>
          <w:tcPr>
            <w:tcW w:w="10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60" w:type="dxa"/>
            <w:shd w:val="clear" w:color="auto" w:fill="8BCCEC"/>
            <w:vAlign w:val="bottom"/>
          </w:tcPr>
          <w:p w:rsidR="00AC12B4" w:rsidRDefault="00AC12B4">
            <w:pPr>
              <w:rPr>
                <w:sz w:val="10"/>
                <w:szCs w:val="10"/>
              </w:rPr>
            </w:pPr>
          </w:p>
        </w:tc>
        <w:tc>
          <w:tcPr>
            <w:tcW w:w="8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60" w:type="dxa"/>
            <w:shd w:val="clear" w:color="auto" w:fill="8BCCEC"/>
            <w:vAlign w:val="bottom"/>
          </w:tcPr>
          <w:p w:rsidR="00AC12B4" w:rsidRDefault="00AC12B4">
            <w:pPr>
              <w:rPr>
                <w:sz w:val="10"/>
                <w:szCs w:val="10"/>
              </w:rPr>
            </w:pPr>
          </w:p>
        </w:tc>
        <w:tc>
          <w:tcPr>
            <w:tcW w:w="8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2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40" w:type="dxa"/>
            <w:shd w:val="clear" w:color="auto" w:fill="8BCCEC"/>
            <w:vAlign w:val="bottom"/>
          </w:tcPr>
          <w:p w:rsidR="00AC12B4" w:rsidRDefault="00AC12B4">
            <w:pPr>
              <w:rPr>
                <w:sz w:val="10"/>
                <w:szCs w:val="10"/>
              </w:rPr>
            </w:pPr>
          </w:p>
        </w:tc>
        <w:tc>
          <w:tcPr>
            <w:tcW w:w="20" w:type="dxa"/>
            <w:shd w:val="clear" w:color="auto" w:fill="8BCCEC"/>
            <w:vAlign w:val="bottom"/>
          </w:tcPr>
          <w:p w:rsidR="00AC12B4" w:rsidRDefault="00AC12B4">
            <w:pPr>
              <w:rPr>
                <w:sz w:val="10"/>
                <w:szCs w:val="10"/>
              </w:rPr>
            </w:pPr>
          </w:p>
        </w:tc>
        <w:tc>
          <w:tcPr>
            <w:tcW w:w="120" w:type="dxa"/>
            <w:shd w:val="clear" w:color="auto" w:fill="8BCCEC"/>
            <w:vAlign w:val="bottom"/>
          </w:tcPr>
          <w:p w:rsidR="00AC12B4" w:rsidRDefault="00AC12B4">
            <w:pPr>
              <w:rPr>
                <w:sz w:val="10"/>
                <w:szCs w:val="10"/>
              </w:rPr>
            </w:pPr>
          </w:p>
        </w:tc>
        <w:tc>
          <w:tcPr>
            <w:tcW w:w="120" w:type="dxa"/>
            <w:tcBorders>
              <w:right w:val="single" w:sz="8" w:space="0" w:color="44ACE0"/>
            </w:tcBorders>
            <w:shd w:val="clear" w:color="auto" w:fill="8BCCEC"/>
            <w:vAlign w:val="bottom"/>
          </w:tcPr>
          <w:p w:rsidR="00AC12B4" w:rsidRDefault="00AC12B4">
            <w:pPr>
              <w:rPr>
                <w:sz w:val="10"/>
                <w:szCs w:val="10"/>
              </w:rPr>
            </w:pPr>
          </w:p>
        </w:tc>
        <w:tc>
          <w:tcPr>
            <w:tcW w:w="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2200" w:type="dxa"/>
            <w:gridSpan w:val="7"/>
            <w:vMerge/>
            <w:vAlign w:val="bottom"/>
          </w:tcPr>
          <w:p w:rsidR="00AC12B4" w:rsidRDefault="00AC12B4">
            <w:pPr>
              <w:rPr>
                <w:sz w:val="10"/>
                <w:szCs w:val="10"/>
              </w:rPr>
            </w:pPr>
          </w:p>
        </w:tc>
        <w:tc>
          <w:tcPr>
            <w:tcW w:w="100" w:type="dxa"/>
            <w:tcBorders>
              <w:right w:val="single" w:sz="8" w:space="0" w:color="8BCCEC"/>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280" w:type="dxa"/>
            <w:gridSpan w:val="5"/>
            <w:vMerge w:val="restart"/>
            <w:vAlign w:val="bottom"/>
          </w:tcPr>
          <w:p w:rsidR="00AC12B4" w:rsidRDefault="00C27636">
            <w:pPr>
              <w:ind w:left="60"/>
              <w:rPr>
                <w:sz w:val="20"/>
                <w:szCs w:val="20"/>
              </w:rPr>
            </w:pPr>
            <w:r>
              <w:rPr>
                <w:rFonts w:ascii="Comic Sans MS" w:eastAsia="Comic Sans MS" w:hAnsi="Comic Sans MS" w:cs="Comic Sans MS"/>
                <w:color w:val="0D0D0D"/>
                <w:w w:val="99"/>
                <w:sz w:val="20"/>
                <w:szCs w:val="20"/>
              </w:rPr>
              <w:t>24 ans en Belgique n’ont</w:t>
            </w:r>
          </w:p>
        </w:tc>
        <w:tc>
          <w:tcPr>
            <w:tcW w:w="0" w:type="dxa"/>
            <w:vAlign w:val="bottom"/>
          </w:tcPr>
          <w:p w:rsidR="00AC12B4" w:rsidRDefault="00AC12B4">
            <w:pPr>
              <w:rPr>
                <w:sz w:val="1"/>
                <w:szCs w:val="1"/>
              </w:rPr>
            </w:pPr>
          </w:p>
        </w:tc>
      </w:tr>
      <w:tr w:rsidR="00C27636">
        <w:trPr>
          <w:trHeight w:val="177"/>
        </w:trPr>
        <w:tc>
          <w:tcPr>
            <w:tcW w:w="3520" w:type="dxa"/>
            <w:gridSpan w:val="5"/>
            <w:vMerge/>
            <w:tcBorders>
              <w:left w:val="single" w:sz="8" w:space="0" w:color="44ACE0"/>
            </w:tcBorders>
            <w:shd w:val="clear" w:color="auto" w:fill="8BCCEC"/>
            <w:vAlign w:val="bottom"/>
          </w:tcPr>
          <w:p w:rsidR="00AC12B4" w:rsidRDefault="00AC12B4">
            <w:pPr>
              <w:rPr>
                <w:sz w:val="15"/>
                <w:szCs w:val="15"/>
              </w:rPr>
            </w:pPr>
          </w:p>
        </w:tc>
        <w:tc>
          <w:tcPr>
            <w:tcW w:w="60" w:type="dxa"/>
            <w:shd w:val="clear" w:color="auto" w:fill="8BCCEC"/>
            <w:vAlign w:val="bottom"/>
          </w:tcPr>
          <w:p w:rsidR="00AC12B4" w:rsidRDefault="00AC12B4">
            <w:pPr>
              <w:rPr>
                <w:sz w:val="15"/>
                <w:szCs w:val="15"/>
              </w:rPr>
            </w:pPr>
          </w:p>
        </w:tc>
        <w:tc>
          <w:tcPr>
            <w:tcW w:w="80" w:type="dxa"/>
            <w:tcBorders>
              <w:right w:val="single" w:sz="8" w:space="0" w:color="8BCCEC"/>
            </w:tcBorders>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40" w:type="dxa"/>
            <w:shd w:val="clear" w:color="auto" w:fill="8BCCEC"/>
            <w:vAlign w:val="bottom"/>
          </w:tcPr>
          <w:p w:rsidR="00AC12B4" w:rsidRDefault="00AC12B4">
            <w:pPr>
              <w:rPr>
                <w:sz w:val="15"/>
                <w:szCs w:val="15"/>
              </w:rPr>
            </w:pPr>
          </w:p>
        </w:tc>
        <w:tc>
          <w:tcPr>
            <w:tcW w:w="10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60" w:type="dxa"/>
            <w:shd w:val="clear" w:color="auto" w:fill="8BCCEC"/>
            <w:vAlign w:val="bottom"/>
          </w:tcPr>
          <w:p w:rsidR="00AC12B4" w:rsidRDefault="00AC12B4">
            <w:pPr>
              <w:rPr>
                <w:sz w:val="15"/>
                <w:szCs w:val="15"/>
              </w:rPr>
            </w:pPr>
          </w:p>
        </w:tc>
        <w:tc>
          <w:tcPr>
            <w:tcW w:w="8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60" w:type="dxa"/>
            <w:shd w:val="clear" w:color="auto" w:fill="8BCCEC"/>
            <w:vAlign w:val="bottom"/>
          </w:tcPr>
          <w:p w:rsidR="00AC12B4" w:rsidRDefault="00AC12B4">
            <w:pPr>
              <w:rPr>
                <w:sz w:val="15"/>
                <w:szCs w:val="15"/>
              </w:rPr>
            </w:pPr>
          </w:p>
        </w:tc>
        <w:tc>
          <w:tcPr>
            <w:tcW w:w="8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2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40" w:type="dxa"/>
            <w:shd w:val="clear" w:color="auto" w:fill="8BCCEC"/>
            <w:vAlign w:val="bottom"/>
          </w:tcPr>
          <w:p w:rsidR="00AC12B4" w:rsidRDefault="00AC12B4">
            <w:pPr>
              <w:rPr>
                <w:sz w:val="15"/>
                <w:szCs w:val="15"/>
              </w:rPr>
            </w:pPr>
          </w:p>
        </w:tc>
        <w:tc>
          <w:tcPr>
            <w:tcW w:w="20" w:type="dxa"/>
            <w:shd w:val="clear" w:color="auto" w:fill="8BCCEC"/>
            <w:vAlign w:val="bottom"/>
          </w:tcPr>
          <w:p w:rsidR="00AC12B4" w:rsidRDefault="00AC12B4">
            <w:pPr>
              <w:rPr>
                <w:sz w:val="15"/>
                <w:szCs w:val="15"/>
              </w:rPr>
            </w:pPr>
          </w:p>
        </w:tc>
        <w:tc>
          <w:tcPr>
            <w:tcW w:w="120" w:type="dxa"/>
            <w:shd w:val="clear" w:color="auto" w:fill="8BCCEC"/>
            <w:vAlign w:val="bottom"/>
          </w:tcPr>
          <w:p w:rsidR="00AC12B4" w:rsidRDefault="00AC12B4">
            <w:pPr>
              <w:rPr>
                <w:sz w:val="15"/>
                <w:szCs w:val="15"/>
              </w:rPr>
            </w:pPr>
          </w:p>
        </w:tc>
        <w:tc>
          <w:tcPr>
            <w:tcW w:w="120" w:type="dxa"/>
            <w:tcBorders>
              <w:right w:val="single" w:sz="8" w:space="0" w:color="44ACE0"/>
            </w:tcBorders>
            <w:shd w:val="clear" w:color="auto" w:fill="8BCCEC"/>
            <w:vAlign w:val="bottom"/>
          </w:tcPr>
          <w:p w:rsidR="00AC12B4" w:rsidRDefault="00AC12B4">
            <w:pPr>
              <w:rPr>
                <w:sz w:val="15"/>
                <w:szCs w:val="15"/>
              </w:rPr>
            </w:pPr>
          </w:p>
        </w:tc>
        <w:tc>
          <w:tcPr>
            <w:tcW w:w="4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4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640" w:type="dxa"/>
            <w:gridSpan w:val="2"/>
            <w:vMerge w:val="restart"/>
            <w:vAlign w:val="bottom"/>
          </w:tcPr>
          <w:p w:rsidR="00AC12B4" w:rsidRDefault="00C27636">
            <w:pPr>
              <w:ind w:left="40"/>
              <w:rPr>
                <w:sz w:val="20"/>
                <w:szCs w:val="20"/>
              </w:rPr>
            </w:pPr>
            <w:r>
              <w:rPr>
                <w:rFonts w:ascii="Calibri" w:eastAsia="Calibri" w:hAnsi="Calibri" w:cs="Calibri"/>
              </w:rPr>
              <w:t>En</w:t>
            </w:r>
          </w:p>
        </w:tc>
        <w:tc>
          <w:tcPr>
            <w:tcW w:w="100" w:type="dxa"/>
            <w:vAlign w:val="bottom"/>
          </w:tcPr>
          <w:p w:rsidR="00AC12B4" w:rsidRDefault="00AC12B4">
            <w:pPr>
              <w:rPr>
                <w:sz w:val="15"/>
                <w:szCs w:val="15"/>
              </w:rPr>
            </w:pPr>
          </w:p>
        </w:tc>
        <w:tc>
          <w:tcPr>
            <w:tcW w:w="40" w:type="dxa"/>
            <w:vAlign w:val="bottom"/>
          </w:tcPr>
          <w:p w:rsidR="00AC12B4" w:rsidRDefault="00AC12B4">
            <w:pPr>
              <w:rPr>
                <w:sz w:val="15"/>
                <w:szCs w:val="15"/>
              </w:rPr>
            </w:pPr>
          </w:p>
        </w:tc>
        <w:tc>
          <w:tcPr>
            <w:tcW w:w="420" w:type="dxa"/>
            <w:vAlign w:val="bottom"/>
          </w:tcPr>
          <w:p w:rsidR="00AC12B4" w:rsidRDefault="00AC12B4">
            <w:pPr>
              <w:rPr>
                <w:sz w:val="15"/>
                <w:szCs w:val="15"/>
              </w:rPr>
            </w:pPr>
          </w:p>
        </w:tc>
        <w:tc>
          <w:tcPr>
            <w:tcW w:w="1000" w:type="dxa"/>
            <w:gridSpan w:val="2"/>
            <w:vMerge w:val="restart"/>
            <w:vAlign w:val="bottom"/>
          </w:tcPr>
          <w:p w:rsidR="00AC12B4" w:rsidRDefault="00C27636">
            <w:pPr>
              <w:jc w:val="right"/>
              <w:rPr>
                <w:sz w:val="20"/>
                <w:szCs w:val="20"/>
              </w:rPr>
            </w:pPr>
            <w:r>
              <w:rPr>
                <w:rFonts w:ascii="Calibri" w:eastAsia="Calibri" w:hAnsi="Calibri" w:cs="Calibri"/>
              </w:rPr>
              <w:t>Belgique,</w:t>
            </w:r>
          </w:p>
        </w:tc>
        <w:tc>
          <w:tcPr>
            <w:tcW w:w="100" w:type="dxa"/>
            <w:tcBorders>
              <w:right w:val="single" w:sz="8" w:space="0" w:color="8BCCEC"/>
            </w:tcBorders>
            <w:vAlign w:val="bottom"/>
          </w:tcPr>
          <w:p w:rsidR="00AC12B4" w:rsidRDefault="00AC12B4">
            <w:pPr>
              <w:rPr>
                <w:sz w:val="15"/>
                <w:szCs w:val="15"/>
              </w:rPr>
            </w:pPr>
          </w:p>
        </w:tc>
        <w:tc>
          <w:tcPr>
            <w:tcW w:w="80" w:type="dxa"/>
            <w:vAlign w:val="bottom"/>
          </w:tcPr>
          <w:p w:rsidR="00AC12B4" w:rsidRDefault="00AC12B4">
            <w:pPr>
              <w:rPr>
                <w:sz w:val="15"/>
                <w:szCs w:val="15"/>
              </w:rPr>
            </w:pPr>
          </w:p>
        </w:tc>
        <w:tc>
          <w:tcPr>
            <w:tcW w:w="2280" w:type="dxa"/>
            <w:gridSpan w:val="5"/>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C27636">
        <w:trPr>
          <w:trHeight w:val="259"/>
        </w:trPr>
        <w:tc>
          <w:tcPr>
            <w:tcW w:w="1780" w:type="dxa"/>
            <w:tcBorders>
              <w:left w:val="single" w:sz="8" w:space="0" w:color="44ACE0"/>
            </w:tcBorders>
            <w:shd w:val="clear" w:color="auto" w:fill="8BCCEC"/>
            <w:vAlign w:val="bottom"/>
          </w:tcPr>
          <w:p w:rsidR="00AC12B4" w:rsidRDefault="00AC12B4"/>
        </w:tc>
        <w:tc>
          <w:tcPr>
            <w:tcW w:w="460" w:type="dxa"/>
            <w:shd w:val="clear" w:color="auto" w:fill="8BCCEC"/>
            <w:vAlign w:val="bottom"/>
          </w:tcPr>
          <w:p w:rsidR="00AC12B4" w:rsidRDefault="00AC12B4"/>
        </w:tc>
        <w:tc>
          <w:tcPr>
            <w:tcW w:w="520" w:type="dxa"/>
            <w:tcBorders>
              <w:right w:val="single" w:sz="8" w:space="0" w:color="8BCCEC"/>
            </w:tcBorders>
            <w:shd w:val="clear" w:color="auto" w:fill="8BCCEC"/>
            <w:vAlign w:val="bottom"/>
          </w:tcPr>
          <w:p w:rsidR="00AC12B4" w:rsidRDefault="00AC12B4"/>
        </w:tc>
        <w:tc>
          <w:tcPr>
            <w:tcW w:w="140" w:type="dxa"/>
            <w:shd w:val="clear" w:color="auto" w:fill="8BCCEC"/>
            <w:vAlign w:val="bottom"/>
          </w:tcPr>
          <w:p w:rsidR="00AC12B4" w:rsidRDefault="00AC12B4"/>
        </w:tc>
        <w:tc>
          <w:tcPr>
            <w:tcW w:w="620" w:type="dxa"/>
            <w:shd w:val="clear" w:color="auto" w:fill="8BCCEC"/>
            <w:vAlign w:val="bottom"/>
          </w:tcPr>
          <w:p w:rsidR="00AC12B4" w:rsidRDefault="00AC12B4"/>
        </w:tc>
        <w:tc>
          <w:tcPr>
            <w:tcW w:w="60" w:type="dxa"/>
            <w:shd w:val="clear" w:color="auto" w:fill="8BCCEC"/>
            <w:vAlign w:val="bottom"/>
          </w:tcPr>
          <w:p w:rsidR="00AC12B4" w:rsidRDefault="00AC12B4"/>
        </w:tc>
        <w:tc>
          <w:tcPr>
            <w:tcW w:w="80" w:type="dxa"/>
            <w:tcBorders>
              <w:right w:val="single" w:sz="8" w:space="0" w:color="8BCCEC"/>
            </w:tcBorders>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40" w:type="dxa"/>
            <w:shd w:val="clear" w:color="auto" w:fill="8BCCEC"/>
            <w:vAlign w:val="bottom"/>
          </w:tcPr>
          <w:p w:rsidR="00AC12B4" w:rsidRDefault="00AC12B4"/>
        </w:tc>
        <w:tc>
          <w:tcPr>
            <w:tcW w:w="100" w:type="dxa"/>
            <w:shd w:val="clear" w:color="auto" w:fill="8BCCEC"/>
            <w:vAlign w:val="bottom"/>
          </w:tcPr>
          <w:p w:rsidR="00AC12B4" w:rsidRDefault="00AC12B4"/>
        </w:tc>
        <w:tc>
          <w:tcPr>
            <w:tcW w:w="20" w:type="dxa"/>
            <w:shd w:val="clear" w:color="auto" w:fill="8BCCEC"/>
            <w:vAlign w:val="bottom"/>
          </w:tcPr>
          <w:p w:rsidR="00AC12B4" w:rsidRDefault="00AC12B4"/>
        </w:tc>
        <w:tc>
          <w:tcPr>
            <w:tcW w:w="60" w:type="dxa"/>
            <w:shd w:val="clear" w:color="auto" w:fill="8BCCEC"/>
            <w:vAlign w:val="bottom"/>
          </w:tcPr>
          <w:p w:rsidR="00AC12B4" w:rsidRDefault="00AC12B4"/>
        </w:tc>
        <w:tc>
          <w:tcPr>
            <w:tcW w:w="80" w:type="dxa"/>
            <w:shd w:val="clear" w:color="auto" w:fill="8BCCEC"/>
            <w:vAlign w:val="bottom"/>
          </w:tcPr>
          <w:p w:rsidR="00AC12B4" w:rsidRDefault="00AC12B4"/>
        </w:tc>
        <w:tc>
          <w:tcPr>
            <w:tcW w:w="20" w:type="dxa"/>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60" w:type="dxa"/>
            <w:shd w:val="clear" w:color="auto" w:fill="8BCCEC"/>
            <w:vAlign w:val="bottom"/>
          </w:tcPr>
          <w:p w:rsidR="00AC12B4" w:rsidRDefault="00AC12B4"/>
        </w:tc>
        <w:tc>
          <w:tcPr>
            <w:tcW w:w="80" w:type="dxa"/>
            <w:shd w:val="clear" w:color="auto" w:fill="8BCCEC"/>
            <w:vAlign w:val="bottom"/>
          </w:tcPr>
          <w:p w:rsidR="00AC12B4" w:rsidRDefault="00AC12B4"/>
        </w:tc>
        <w:tc>
          <w:tcPr>
            <w:tcW w:w="20" w:type="dxa"/>
            <w:shd w:val="clear" w:color="auto" w:fill="8BCCEC"/>
            <w:vAlign w:val="bottom"/>
          </w:tcPr>
          <w:p w:rsidR="00AC12B4" w:rsidRDefault="00AC12B4"/>
        </w:tc>
        <w:tc>
          <w:tcPr>
            <w:tcW w:w="120" w:type="dxa"/>
            <w:shd w:val="clear" w:color="auto" w:fill="8BCCEC"/>
            <w:vAlign w:val="bottom"/>
          </w:tcPr>
          <w:p w:rsidR="00AC12B4" w:rsidRDefault="00AC12B4"/>
        </w:tc>
        <w:tc>
          <w:tcPr>
            <w:tcW w:w="20" w:type="dxa"/>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140" w:type="dxa"/>
            <w:shd w:val="clear" w:color="auto" w:fill="8BCCEC"/>
            <w:vAlign w:val="bottom"/>
          </w:tcPr>
          <w:p w:rsidR="00AC12B4" w:rsidRDefault="00AC12B4"/>
        </w:tc>
        <w:tc>
          <w:tcPr>
            <w:tcW w:w="20" w:type="dxa"/>
            <w:shd w:val="clear" w:color="auto" w:fill="8BCCEC"/>
            <w:vAlign w:val="bottom"/>
          </w:tcPr>
          <w:p w:rsidR="00AC12B4" w:rsidRDefault="00AC12B4"/>
        </w:tc>
        <w:tc>
          <w:tcPr>
            <w:tcW w:w="120" w:type="dxa"/>
            <w:shd w:val="clear" w:color="auto" w:fill="8BCCEC"/>
            <w:vAlign w:val="bottom"/>
          </w:tcPr>
          <w:p w:rsidR="00AC12B4" w:rsidRDefault="00AC12B4"/>
        </w:tc>
        <w:tc>
          <w:tcPr>
            <w:tcW w:w="120" w:type="dxa"/>
            <w:tcBorders>
              <w:right w:val="single" w:sz="8" w:space="0" w:color="44ACE0"/>
            </w:tcBorders>
            <w:shd w:val="clear" w:color="auto" w:fill="8BCCEC"/>
            <w:vAlign w:val="bottom"/>
          </w:tcPr>
          <w:p w:rsidR="00AC12B4" w:rsidRDefault="00AC12B4"/>
        </w:tc>
        <w:tc>
          <w:tcPr>
            <w:tcW w:w="40" w:type="dxa"/>
            <w:vAlign w:val="bottom"/>
          </w:tcPr>
          <w:p w:rsidR="00AC12B4" w:rsidRDefault="00AC12B4"/>
        </w:tc>
        <w:tc>
          <w:tcPr>
            <w:tcW w:w="20" w:type="dxa"/>
            <w:vAlign w:val="bottom"/>
          </w:tcPr>
          <w:p w:rsidR="00AC12B4" w:rsidRDefault="00AC12B4"/>
        </w:tc>
        <w:tc>
          <w:tcPr>
            <w:tcW w:w="140" w:type="dxa"/>
            <w:vAlign w:val="bottom"/>
          </w:tcPr>
          <w:p w:rsidR="00AC12B4" w:rsidRDefault="00AC12B4"/>
        </w:tc>
        <w:tc>
          <w:tcPr>
            <w:tcW w:w="20" w:type="dxa"/>
            <w:vAlign w:val="bottom"/>
          </w:tcPr>
          <w:p w:rsidR="00AC12B4" w:rsidRDefault="00AC12B4"/>
        </w:tc>
        <w:tc>
          <w:tcPr>
            <w:tcW w:w="640" w:type="dxa"/>
            <w:gridSpan w:val="2"/>
            <w:vMerge/>
            <w:vAlign w:val="bottom"/>
          </w:tcPr>
          <w:p w:rsidR="00AC12B4" w:rsidRDefault="00AC12B4"/>
        </w:tc>
        <w:tc>
          <w:tcPr>
            <w:tcW w:w="100" w:type="dxa"/>
            <w:vAlign w:val="bottom"/>
          </w:tcPr>
          <w:p w:rsidR="00AC12B4" w:rsidRDefault="00AC12B4"/>
        </w:tc>
        <w:tc>
          <w:tcPr>
            <w:tcW w:w="40" w:type="dxa"/>
            <w:vAlign w:val="bottom"/>
          </w:tcPr>
          <w:p w:rsidR="00AC12B4" w:rsidRDefault="00AC12B4"/>
        </w:tc>
        <w:tc>
          <w:tcPr>
            <w:tcW w:w="420" w:type="dxa"/>
            <w:vAlign w:val="bottom"/>
          </w:tcPr>
          <w:p w:rsidR="00AC12B4" w:rsidRDefault="00AC12B4"/>
        </w:tc>
        <w:tc>
          <w:tcPr>
            <w:tcW w:w="1000" w:type="dxa"/>
            <w:gridSpan w:val="2"/>
            <w:vMerge/>
            <w:vAlign w:val="bottom"/>
          </w:tcPr>
          <w:p w:rsidR="00AC12B4" w:rsidRDefault="00AC12B4"/>
        </w:tc>
        <w:tc>
          <w:tcPr>
            <w:tcW w:w="100" w:type="dxa"/>
            <w:tcBorders>
              <w:right w:val="single" w:sz="8" w:space="0" w:color="8BCCEC"/>
            </w:tcBorders>
            <w:vAlign w:val="bottom"/>
          </w:tcPr>
          <w:p w:rsidR="00AC12B4" w:rsidRDefault="00AC12B4"/>
        </w:tc>
        <w:tc>
          <w:tcPr>
            <w:tcW w:w="80" w:type="dxa"/>
            <w:vAlign w:val="bottom"/>
          </w:tcPr>
          <w:p w:rsidR="00AC12B4" w:rsidRDefault="00AC12B4"/>
        </w:tc>
        <w:tc>
          <w:tcPr>
            <w:tcW w:w="900" w:type="dxa"/>
            <w:gridSpan w:val="2"/>
            <w:vAlign w:val="bottom"/>
          </w:tcPr>
          <w:p w:rsidR="00AC12B4" w:rsidRDefault="00C27636">
            <w:pPr>
              <w:spacing w:line="258" w:lineRule="exact"/>
              <w:ind w:left="60"/>
              <w:rPr>
                <w:sz w:val="20"/>
                <w:szCs w:val="20"/>
              </w:rPr>
            </w:pPr>
            <w:r>
              <w:rPr>
                <w:rFonts w:ascii="Comic Sans MS" w:eastAsia="Comic Sans MS" w:hAnsi="Comic Sans MS" w:cs="Comic Sans MS"/>
                <w:color w:val="8BCCEC"/>
                <w:sz w:val="20"/>
                <w:szCs w:val="20"/>
              </w:rPr>
              <w:t>pas fini</w:t>
            </w:r>
          </w:p>
        </w:tc>
        <w:tc>
          <w:tcPr>
            <w:tcW w:w="1380" w:type="dxa"/>
            <w:gridSpan w:val="3"/>
            <w:vAlign w:val="bottom"/>
          </w:tcPr>
          <w:p w:rsidR="00AC12B4" w:rsidRDefault="00C27636">
            <w:pPr>
              <w:spacing w:line="258" w:lineRule="exact"/>
              <w:jc w:val="right"/>
              <w:rPr>
                <w:sz w:val="20"/>
                <w:szCs w:val="20"/>
              </w:rPr>
            </w:pPr>
            <w:r>
              <w:rPr>
                <w:rFonts w:ascii="Comic Sans MS" w:eastAsia="Comic Sans MS" w:hAnsi="Comic Sans MS" w:cs="Comic Sans MS"/>
                <w:color w:val="8BCCEC"/>
                <w:sz w:val="20"/>
                <w:szCs w:val="20"/>
              </w:rPr>
              <w:t>l’enseignement</w:t>
            </w:r>
          </w:p>
        </w:tc>
        <w:tc>
          <w:tcPr>
            <w:tcW w:w="0" w:type="dxa"/>
            <w:vAlign w:val="bottom"/>
          </w:tcPr>
          <w:p w:rsidR="00AC12B4" w:rsidRDefault="00AC12B4">
            <w:pPr>
              <w:rPr>
                <w:sz w:val="1"/>
                <w:szCs w:val="1"/>
              </w:rPr>
            </w:pPr>
          </w:p>
        </w:tc>
      </w:tr>
      <w:tr w:rsidR="00C27636">
        <w:trPr>
          <w:trHeight w:val="167"/>
        </w:trPr>
        <w:tc>
          <w:tcPr>
            <w:tcW w:w="1780" w:type="dxa"/>
            <w:tcBorders>
              <w:left w:val="single" w:sz="8" w:space="0" w:color="44ACE0"/>
              <w:bottom w:val="single" w:sz="8" w:space="0" w:color="44ACE0"/>
            </w:tcBorders>
            <w:shd w:val="clear" w:color="auto" w:fill="8BCCEC"/>
            <w:vAlign w:val="bottom"/>
          </w:tcPr>
          <w:p w:rsidR="00AC12B4" w:rsidRDefault="00AC12B4">
            <w:pPr>
              <w:rPr>
                <w:sz w:val="14"/>
                <w:szCs w:val="14"/>
              </w:rPr>
            </w:pPr>
          </w:p>
        </w:tc>
        <w:tc>
          <w:tcPr>
            <w:tcW w:w="460" w:type="dxa"/>
            <w:tcBorders>
              <w:bottom w:val="single" w:sz="8" w:space="0" w:color="44ACE0"/>
            </w:tcBorders>
            <w:shd w:val="clear" w:color="auto" w:fill="8BCCEC"/>
            <w:vAlign w:val="bottom"/>
          </w:tcPr>
          <w:p w:rsidR="00AC12B4" w:rsidRDefault="00AC12B4">
            <w:pPr>
              <w:rPr>
                <w:sz w:val="14"/>
                <w:szCs w:val="14"/>
              </w:rPr>
            </w:pPr>
          </w:p>
        </w:tc>
        <w:tc>
          <w:tcPr>
            <w:tcW w:w="520" w:type="dxa"/>
            <w:tcBorders>
              <w:bottom w:val="single" w:sz="8" w:space="0" w:color="44ACE0"/>
              <w:right w:val="single" w:sz="8" w:space="0" w:color="8BCCEC"/>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620" w:type="dxa"/>
            <w:tcBorders>
              <w:bottom w:val="single" w:sz="8" w:space="0" w:color="44ACE0"/>
            </w:tcBorders>
            <w:shd w:val="clear" w:color="auto" w:fill="8BCCEC"/>
            <w:vAlign w:val="bottom"/>
          </w:tcPr>
          <w:p w:rsidR="00AC12B4" w:rsidRDefault="00AC12B4">
            <w:pPr>
              <w:rPr>
                <w:sz w:val="14"/>
                <w:szCs w:val="14"/>
              </w:rPr>
            </w:pPr>
          </w:p>
        </w:tc>
        <w:tc>
          <w:tcPr>
            <w:tcW w:w="60" w:type="dxa"/>
            <w:tcBorders>
              <w:bottom w:val="single" w:sz="8" w:space="0" w:color="44ACE0"/>
            </w:tcBorders>
            <w:shd w:val="clear" w:color="auto" w:fill="8BCCEC"/>
            <w:vAlign w:val="bottom"/>
          </w:tcPr>
          <w:p w:rsidR="00AC12B4" w:rsidRDefault="00AC12B4">
            <w:pPr>
              <w:rPr>
                <w:sz w:val="14"/>
                <w:szCs w:val="14"/>
              </w:rPr>
            </w:pPr>
          </w:p>
        </w:tc>
        <w:tc>
          <w:tcPr>
            <w:tcW w:w="80" w:type="dxa"/>
            <w:tcBorders>
              <w:bottom w:val="single" w:sz="8" w:space="0" w:color="44ACE0"/>
              <w:right w:val="single" w:sz="8" w:space="0" w:color="8BCCEC"/>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40" w:type="dxa"/>
            <w:tcBorders>
              <w:bottom w:val="single" w:sz="8" w:space="0" w:color="44ACE0"/>
            </w:tcBorders>
            <w:shd w:val="clear" w:color="auto" w:fill="8BCCEC"/>
            <w:vAlign w:val="bottom"/>
          </w:tcPr>
          <w:p w:rsidR="00AC12B4" w:rsidRDefault="00AC12B4">
            <w:pPr>
              <w:rPr>
                <w:sz w:val="14"/>
                <w:szCs w:val="14"/>
              </w:rPr>
            </w:pPr>
          </w:p>
        </w:tc>
        <w:tc>
          <w:tcPr>
            <w:tcW w:w="10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60" w:type="dxa"/>
            <w:tcBorders>
              <w:bottom w:val="single" w:sz="8" w:space="0" w:color="44ACE0"/>
            </w:tcBorders>
            <w:shd w:val="clear" w:color="auto" w:fill="8BCCEC"/>
            <w:vAlign w:val="bottom"/>
          </w:tcPr>
          <w:p w:rsidR="00AC12B4" w:rsidRDefault="00AC12B4">
            <w:pPr>
              <w:rPr>
                <w:sz w:val="14"/>
                <w:szCs w:val="14"/>
              </w:rPr>
            </w:pPr>
          </w:p>
        </w:tc>
        <w:tc>
          <w:tcPr>
            <w:tcW w:w="8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60" w:type="dxa"/>
            <w:tcBorders>
              <w:bottom w:val="single" w:sz="8" w:space="0" w:color="44ACE0"/>
            </w:tcBorders>
            <w:shd w:val="clear" w:color="auto" w:fill="8BCCEC"/>
            <w:vAlign w:val="bottom"/>
          </w:tcPr>
          <w:p w:rsidR="00AC12B4" w:rsidRDefault="00AC12B4">
            <w:pPr>
              <w:rPr>
                <w:sz w:val="14"/>
                <w:szCs w:val="14"/>
              </w:rPr>
            </w:pPr>
          </w:p>
        </w:tc>
        <w:tc>
          <w:tcPr>
            <w:tcW w:w="8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2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40" w:type="dxa"/>
            <w:tcBorders>
              <w:bottom w:val="single" w:sz="8" w:space="0" w:color="44ACE0"/>
            </w:tcBorders>
            <w:shd w:val="clear" w:color="auto" w:fill="8BCCEC"/>
            <w:vAlign w:val="bottom"/>
          </w:tcPr>
          <w:p w:rsidR="00AC12B4" w:rsidRDefault="00AC12B4">
            <w:pPr>
              <w:rPr>
                <w:sz w:val="14"/>
                <w:szCs w:val="14"/>
              </w:rPr>
            </w:pPr>
          </w:p>
        </w:tc>
        <w:tc>
          <w:tcPr>
            <w:tcW w:w="20" w:type="dxa"/>
            <w:tcBorders>
              <w:bottom w:val="single" w:sz="8" w:space="0" w:color="44ACE0"/>
            </w:tcBorders>
            <w:shd w:val="clear" w:color="auto" w:fill="8BCCEC"/>
            <w:vAlign w:val="bottom"/>
          </w:tcPr>
          <w:p w:rsidR="00AC12B4" w:rsidRDefault="00AC12B4">
            <w:pPr>
              <w:rPr>
                <w:sz w:val="14"/>
                <w:szCs w:val="14"/>
              </w:rPr>
            </w:pPr>
          </w:p>
        </w:tc>
        <w:tc>
          <w:tcPr>
            <w:tcW w:w="120" w:type="dxa"/>
            <w:tcBorders>
              <w:bottom w:val="single" w:sz="8" w:space="0" w:color="44ACE0"/>
            </w:tcBorders>
            <w:shd w:val="clear" w:color="auto" w:fill="8BCCEC"/>
            <w:vAlign w:val="bottom"/>
          </w:tcPr>
          <w:p w:rsidR="00AC12B4" w:rsidRDefault="00AC12B4">
            <w:pPr>
              <w:rPr>
                <w:sz w:val="14"/>
                <w:szCs w:val="14"/>
              </w:rPr>
            </w:pPr>
          </w:p>
        </w:tc>
        <w:tc>
          <w:tcPr>
            <w:tcW w:w="120" w:type="dxa"/>
            <w:tcBorders>
              <w:bottom w:val="single" w:sz="8" w:space="0" w:color="44ACE0"/>
              <w:right w:val="single" w:sz="8" w:space="0" w:color="44ACE0"/>
            </w:tcBorders>
            <w:shd w:val="clear" w:color="auto" w:fill="8BCCEC"/>
            <w:vAlign w:val="bottom"/>
          </w:tcPr>
          <w:p w:rsidR="00AC12B4" w:rsidRDefault="00AC12B4">
            <w:pPr>
              <w:rPr>
                <w:sz w:val="14"/>
                <w:szCs w:val="14"/>
              </w:rPr>
            </w:pPr>
          </w:p>
        </w:tc>
        <w:tc>
          <w:tcPr>
            <w:tcW w:w="40" w:type="dxa"/>
            <w:vMerge w:val="restart"/>
            <w:vAlign w:val="bottom"/>
          </w:tcPr>
          <w:p w:rsidR="00AC12B4" w:rsidRDefault="00AC12B4">
            <w:pPr>
              <w:rPr>
                <w:sz w:val="14"/>
                <w:szCs w:val="14"/>
              </w:rPr>
            </w:pPr>
          </w:p>
        </w:tc>
        <w:tc>
          <w:tcPr>
            <w:tcW w:w="20" w:type="dxa"/>
            <w:vMerge w:val="restart"/>
            <w:vAlign w:val="bottom"/>
          </w:tcPr>
          <w:p w:rsidR="00AC12B4" w:rsidRDefault="00AC12B4">
            <w:pPr>
              <w:rPr>
                <w:sz w:val="14"/>
                <w:szCs w:val="14"/>
              </w:rPr>
            </w:pPr>
          </w:p>
        </w:tc>
        <w:tc>
          <w:tcPr>
            <w:tcW w:w="140" w:type="dxa"/>
            <w:vMerge w:val="restart"/>
            <w:vAlign w:val="bottom"/>
          </w:tcPr>
          <w:p w:rsidR="00AC12B4" w:rsidRDefault="00AC12B4">
            <w:pPr>
              <w:rPr>
                <w:sz w:val="14"/>
                <w:szCs w:val="14"/>
              </w:rPr>
            </w:pPr>
          </w:p>
        </w:tc>
        <w:tc>
          <w:tcPr>
            <w:tcW w:w="20" w:type="dxa"/>
            <w:vMerge w:val="restart"/>
            <w:vAlign w:val="bottom"/>
          </w:tcPr>
          <w:p w:rsidR="00AC12B4" w:rsidRDefault="00AC12B4">
            <w:pPr>
              <w:rPr>
                <w:sz w:val="14"/>
                <w:szCs w:val="14"/>
              </w:rPr>
            </w:pPr>
          </w:p>
        </w:tc>
        <w:tc>
          <w:tcPr>
            <w:tcW w:w="1200" w:type="dxa"/>
            <w:gridSpan w:val="5"/>
            <w:vMerge w:val="restart"/>
            <w:vAlign w:val="bottom"/>
          </w:tcPr>
          <w:p w:rsidR="00AC12B4" w:rsidRDefault="00C27636">
            <w:pPr>
              <w:spacing w:line="220" w:lineRule="exact"/>
              <w:ind w:left="40"/>
              <w:rPr>
                <w:sz w:val="20"/>
                <w:szCs w:val="20"/>
              </w:rPr>
            </w:pPr>
            <w:r>
              <w:rPr>
                <w:rFonts w:ascii="Calibri" w:eastAsia="Calibri" w:hAnsi="Calibri" w:cs="Calibri"/>
              </w:rPr>
              <w:t>l’obligation</w:t>
            </w:r>
          </w:p>
        </w:tc>
        <w:tc>
          <w:tcPr>
            <w:tcW w:w="1000" w:type="dxa"/>
            <w:gridSpan w:val="2"/>
            <w:vMerge w:val="restart"/>
            <w:vAlign w:val="bottom"/>
          </w:tcPr>
          <w:p w:rsidR="00AC12B4" w:rsidRDefault="00C27636">
            <w:pPr>
              <w:spacing w:line="220" w:lineRule="exact"/>
              <w:jc w:val="right"/>
              <w:rPr>
                <w:sz w:val="20"/>
                <w:szCs w:val="20"/>
              </w:rPr>
            </w:pPr>
            <w:r>
              <w:rPr>
                <w:rFonts w:ascii="Calibri" w:eastAsia="Calibri" w:hAnsi="Calibri" w:cs="Calibri"/>
              </w:rPr>
              <w:t>scolaire</w:t>
            </w:r>
          </w:p>
        </w:tc>
        <w:tc>
          <w:tcPr>
            <w:tcW w:w="100" w:type="dxa"/>
            <w:tcBorders>
              <w:right w:val="single" w:sz="8" w:space="0" w:color="8BCCEC"/>
            </w:tcBorders>
            <w:vAlign w:val="bottom"/>
          </w:tcPr>
          <w:p w:rsidR="00AC12B4" w:rsidRDefault="00AC12B4">
            <w:pPr>
              <w:rPr>
                <w:sz w:val="14"/>
                <w:szCs w:val="14"/>
              </w:rPr>
            </w:pPr>
          </w:p>
        </w:tc>
        <w:tc>
          <w:tcPr>
            <w:tcW w:w="80" w:type="dxa"/>
            <w:vMerge w:val="restart"/>
            <w:vAlign w:val="bottom"/>
          </w:tcPr>
          <w:p w:rsidR="00AC12B4" w:rsidRDefault="00AC12B4">
            <w:pPr>
              <w:rPr>
                <w:sz w:val="14"/>
                <w:szCs w:val="14"/>
              </w:rPr>
            </w:pPr>
          </w:p>
        </w:tc>
        <w:tc>
          <w:tcPr>
            <w:tcW w:w="1200" w:type="dxa"/>
            <w:gridSpan w:val="3"/>
            <w:vMerge w:val="restart"/>
            <w:vAlign w:val="bottom"/>
          </w:tcPr>
          <w:p w:rsidR="00AC12B4" w:rsidRDefault="00C27636">
            <w:pPr>
              <w:spacing w:line="269" w:lineRule="exact"/>
              <w:ind w:left="60"/>
              <w:rPr>
                <w:sz w:val="20"/>
                <w:szCs w:val="20"/>
              </w:rPr>
            </w:pPr>
            <w:r>
              <w:rPr>
                <w:rFonts w:ascii="Comic Sans MS" w:eastAsia="Comic Sans MS" w:hAnsi="Comic Sans MS" w:cs="Comic Sans MS"/>
                <w:color w:val="8BCCEC"/>
                <w:sz w:val="20"/>
                <w:szCs w:val="20"/>
              </w:rPr>
              <w:t>secondaire</w:t>
            </w:r>
          </w:p>
        </w:tc>
        <w:tc>
          <w:tcPr>
            <w:tcW w:w="480" w:type="dxa"/>
            <w:vMerge w:val="restart"/>
            <w:vAlign w:val="bottom"/>
          </w:tcPr>
          <w:p w:rsidR="00AC12B4" w:rsidRDefault="00C27636">
            <w:pPr>
              <w:spacing w:line="269" w:lineRule="exact"/>
              <w:jc w:val="right"/>
              <w:rPr>
                <w:sz w:val="20"/>
                <w:szCs w:val="20"/>
              </w:rPr>
            </w:pPr>
            <w:r>
              <w:rPr>
                <w:rFonts w:ascii="Comic Sans MS" w:eastAsia="Comic Sans MS" w:hAnsi="Comic Sans MS" w:cs="Comic Sans MS"/>
                <w:color w:val="8BCCEC"/>
                <w:sz w:val="20"/>
                <w:szCs w:val="20"/>
              </w:rPr>
              <w:t>et</w:t>
            </w:r>
          </w:p>
        </w:tc>
        <w:tc>
          <w:tcPr>
            <w:tcW w:w="600" w:type="dxa"/>
            <w:vMerge w:val="restart"/>
            <w:vAlign w:val="bottom"/>
          </w:tcPr>
          <w:p w:rsidR="00AC12B4" w:rsidRDefault="00C27636">
            <w:pPr>
              <w:spacing w:line="269" w:lineRule="exact"/>
              <w:jc w:val="right"/>
              <w:rPr>
                <w:sz w:val="20"/>
                <w:szCs w:val="20"/>
              </w:rPr>
            </w:pPr>
            <w:r>
              <w:rPr>
                <w:rFonts w:ascii="Comic Sans MS" w:eastAsia="Comic Sans MS" w:hAnsi="Comic Sans MS" w:cs="Comic Sans MS"/>
                <w:color w:val="8BCCEC"/>
                <w:sz w:val="20"/>
                <w:szCs w:val="20"/>
              </w:rPr>
              <w:t>ne</w:t>
            </w:r>
          </w:p>
        </w:tc>
        <w:tc>
          <w:tcPr>
            <w:tcW w:w="0" w:type="dxa"/>
            <w:vAlign w:val="bottom"/>
          </w:tcPr>
          <w:p w:rsidR="00AC12B4" w:rsidRDefault="00AC12B4">
            <w:pPr>
              <w:rPr>
                <w:sz w:val="1"/>
                <w:szCs w:val="1"/>
              </w:rPr>
            </w:pPr>
          </w:p>
        </w:tc>
      </w:tr>
      <w:tr w:rsidR="00AC12B4">
        <w:trPr>
          <w:trHeight w:val="82"/>
        </w:trPr>
        <w:tc>
          <w:tcPr>
            <w:tcW w:w="1780" w:type="dxa"/>
            <w:vAlign w:val="bottom"/>
          </w:tcPr>
          <w:p w:rsidR="00AC12B4" w:rsidRDefault="00AC12B4">
            <w:pPr>
              <w:rPr>
                <w:sz w:val="7"/>
                <w:szCs w:val="7"/>
              </w:rPr>
            </w:pPr>
          </w:p>
        </w:tc>
        <w:tc>
          <w:tcPr>
            <w:tcW w:w="460" w:type="dxa"/>
            <w:vAlign w:val="bottom"/>
          </w:tcPr>
          <w:p w:rsidR="00AC12B4" w:rsidRDefault="00AC12B4">
            <w:pPr>
              <w:rPr>
                <w:sz w:val="7"/>
                <w:szCs w:val="7"/>
              </w:rPr>
            </w:pPr>
          </w:p>
        </w:tc>
        <w:tc>
          <w:tcPr>
            <w:tcW w:w="5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6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40" w:type="dxa"/>
            <w:vMerge/>
            <w:vAlign w:val="bottom"/>
          </w:tcPr>
          <w:p w:rsidR="00AC12B4" w:rsidRDefault="00AC12B4">
            <w:pPr>
              <w:rPr>
                <w:sz w:val="7"/>
                <w:szCs w:val="7"/>
              </w:rPr>
            </w:pPr>
          </w:p>
        </w:tc>
        <w:tc>
          <w:tcPr>
            <w:tcW w:w="20" w:type="dxa"/>
            <w:vMerge/>
            <w:vAlign w:val="bottom"/>
          </w:tcPr>
          <w:p w:rsidR="00AC12B4" w:rsidRDefault="00AC12B4">
            <w:pPr>
              <w:rPr>
                <w:sz w:val="7"/>
                <w:szCs w:val="7"/>
              </w:rPr>
            </w:pPr>
          </w:p>
        </w:tc>
        <w:tc>
          <w:tcPr>
            <w:tcW w:w="140" w:type="dxa"/>
            <w:vMerge/>
            <w:vAlign w:val="bottom"/>
          </w:tcPr>
          <w:p w:rsidR="00AC12B4" w:rsidRDefault="00AC12B4">
            <w:pPr>
              <w:rPr>
                <w:sz w:val="7"/>
                <w:szCs w:val="7"/>
              </w:rPr>
            </w:pPr>
          </w:p>
        </w:tc>
        <w:tc>
          <w:tcPr>
            <w:tcW w:w="20" w:type="dxa"/>
            <w:vMerge/>
            <w:vAlign w:val="bottom"/>
          </w:tcPr>
          <w:p w:rsidR="00AC12B4" w:rsidRDefault="00AC12B4">
            <w:pPr>
              <w:rPr>
                <w:sz w:val="7"/>
                <w:szCs w:val="7"/>
              </w:rPr>
            </w:pPr>
          </w:p>
        </w:tc>
        <w:tc>
          <w:tcPr>
            <w:tcW w:w="1200" w:type="dxa"/>
            <w:gridSpan w:val="5"/>
            <w:vMerge/>
            <w:vAlign w:val="bottom"/>
          </w:tcPr>
          <w:p w:rsidR="00AC12B4" w:rsidRDefault="00AC12B4">
            <w:pPr>
              <w:rPr>
                <w:sz w:val="7"/>
                <w:szCs w:val="7"/>
              </w:rPr>
            </w:pPr>
          </w:p>
        </w:tc>
        <w:tc>
          <w:tcPr>
            <w:tcW w:w="1000" w:type="dxa"/>
            <w:gridSpan w:val="2"/>
            <w:vMerge/>
            <w:vAlign w:val="bottom"/>
          </w:tcPr>
          <w:p w:rsidR="00AC12B4" w:rsidRDefault="00AC12B4">
            <w:pPr>
              <w:rPr>
                <w:sz w:val="7"/>
                <w:szCs w:val="7"/>
              </w:rPr>
            </w:pPr>
          </w:p>
        </w:tc>
        <w:tc>
          <w:tcPr>
            <w:tcW w:w="100" w:type="dxa"/>
            <w:tcBorders>
              <w:right w:val="single" w:sz="8" w:space="0" w:color="8BCCEC"/>
            </w:tcBorders>
            <w:vAlign w:val="bottom"/>
          </w:tcPr>
          <w:p w:rsidR="00AC12B4" w:rsidRDefault="00AC12B4">
            <w:pPr>
              <w:rPr>
                <w:sz w:val="7"/>
                <w:szCs w:val="7"/>
              </w:rPr>
            </w:pPr>
          </w:p>
        </w:tc>
        <w:tc>
          <w:tcPr>
            <w:tcW w:w="80" w:type="dxa"/>
            <w:vMerge/>
            <w:vAlign w:val="bottom"/>
          </w:tcPr>
          <w:p w:rsidR="00AC12B4" w:rsidRDefault="00AC12B4">
            <w:pPr>
              <w:rPr>
                <w:sz w:val="7"/>
                <w:szCs w:val="7"/>
              </w:rPr>
            </w:pPr>
          </w:p>
        </w:tc>
        <w:tc>
          <w:tcPr>
            <w:tcW w:w="1200" w:type="dxa"/>
            <w:gridSpan w:val="3"/>
            <w:vMerge/>
            <w:vAlign w:val="bottom"/>
          </w:tcPr>
          <w:p w:rsidR="00AC12B4" w:rsidRDefault="00AC12B4">
            <w:pPr>
              <w:rPr>
                <w:sz w:val="7"/>
                <w:szCs w:val="7"/>
              </w:rPr>
            </w:pPr>
          </w:p>
        </w:tc>
        <w:tc>
          <w:tcPr>
            <w:tcW w:w="480" w:type="dxa"/>
            <w:vMerge/>
            <w:vAlign w:val="bottom"/>
          </w:tcPr>
          <w:p w:rsidR="00AC12B4" w:rsidRDefault="00AC12B4">
            <w:pPr>
              <w:rPr>
                <w:sz w:val="7"/>
                <w:szCs w:val="7"/>
              </w:rPr>
            </w:pPr>
          </w:p>
        </w:tc>
        <w:tc>
          <w:tcPr>
            <w:tcW w:w="60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69"/>
        </w:trPr>
        <w:tc>
          <w:tcPr>
            <w:tcW w:w="1780" w:type="dxa"/>
            <w:vMerge w:val="restart"/>
            <w:vAlign w:val="bottom"/>
          </w:tcPr>
          <w:p w:rsidR="00AC12B4" w:rsidRDefault="00C27636">
            <w:pPr>
              <w:ind w:left="1460"/>
              <w:rPr>
                <w:sz w:val="20"/>
                <w:szCs w:val="20"/>
              </w:rPr>
            </w:pPr>
            <w:r>
              <w:rPr>
                <w:rFonts w:ascii="Calibri" w:eastAsia="Calibri" w:hAnsi="Calibri" w:cs="Calibri"/>
              </w:rPr>
              <w:t>La</w:t>
            </w:r>
          </w:p>
        </w:tc>
        <w:tc>
          <w:tcPr>
            <w:tcW w:w="1120" w:type="dxa"/>
            <w:gridSpan w:val="3"/>
            <w:vMerge w:val="restart"/>
            <w:vAlign w:val="bottom"/>
          </w:tcPr>
          <w:p w:rsidR="00AC12B4" w:rsidRDefault="00C27636">
            <w:pPr>
              <w:ind w:left="60"/>
              <w:rPr>
                <w:sz w:val="20"/>
                <w:szCs w:val="20"/>
              </w:rPr>
            </w:pPr>
            <w:r>
              <w:rPr>
                <w:rFonts w:ascii="Calibri" w:eastAsia="Calibri" w:hAnsi="Calibri" w:cs="Calibri"/>
              </w:rPr>
              <w:t>Convention</w:t>
            </w:r>
          </w:p>
        </w:tc>
        <w:tc>
          <w:tcPr>
            <w:tcW w:w="960" w:type="dxa"/>
            <w:gridSpan w:val="6"/>
            <w:vMerge w:val="restart"/>
            <w:vAlign w:val="bottom"/>
          </w:tcPr>
          <w:p w:rsidR="00AC12B4" w:rsidRDefault="00C27636">
            <w:pPr>
              <w:ind w:right="120"/>
              <w:jc w:val="right"/>
              <w:rPr>
                <w:sz w:val="20"/>
                <w:szCs w:val="20"/>
              </w:rPr>
            </w:pPr>
            <w:r>
              <w:rPr>
                <w:rFonts w:ascii="Calibri" w:eastAsia="Calibri" w:hAnsi="Calibri" w:cs="Calibri"/>
              </w:rPr>
              <w:t>relative</w:t>
            </w:r>
          </w:p>
        </w:tc>
        <w:tc>
          <w:tcPr>
            <w:tcW w:w="500" w:type="dxa"/>
            <w:gridSpan w:val="8"/>
            <w:vMerge w:val="restart"/>
            <w:vAlign w:val="bottom"/>
          </w:tcPr>
          <w:p w:rsidR="00AC12B4" w:rsidRDefault="00C27636">
            <w:pPr>
              <w:ind w:right="120"/>
              <w:jc w:val="right"/>
              <w:rPr>
                <w:sz w:val="20"/>
                <w:szCs w:val="20"/>
              </w:rPr>
            </w:pPr>
            <w:r>
              <w:rPr>
                <w:rFonts w:ascii="Calibri" w:eastAsia="Calibri" w:hAnsi="Calibri" w:cs="Calibri"/>
              </w:rPr>
              <w:t>aux</w:t>
            </w:r>
          </w:p>
        </w:tc>
        <w:tc>
          <w:tcPr>
            <w:tcW w:w="720" w:type="dxa"/>
            <w:gridSpan w:val="10"/>
            <w:vMerge w:val="restart"/>
            <w:vAlign w:val="bottom"/>
          </w:tcPr>
          <w:p w:rsidR="00AC12B4" w:rsidRDefault="00C27636">
            <w:pPr>
              <w:ind w:left="60"/>
              <w:rPr>
                <w:sz w:val="20"/>
                <w:szCs w:val="20"/>
              </w:rPr>
            </w:pPr>
            <w:r>
              <w:rPr>
                <w:rFonts w:ascii="Calibri" w:eastAsia="Calibri" w:hAnsi="Calibri" w:cs="Calibri"/>
              </w:rPr>
              <w:t>droits</w:t>
            </w:r>
          </w:p>
        </w:tc>
        <w:tc>
          <w:tcPr>
            <w:tcW w:w="600" w:type="dxa"/>
            <w:gridSpan w:val="7"/>
            <w:vMerge w:val="restart"/>
            <w:vAlign w:val="bottom"/>
          </w:tcPr>
          <w:p w:rsidR="00AC12B4" w:rsidRDefault="00C27636">
            <w:pPr>
              <w:ind w:right="340"/>
              <w:jc w:val="right"/>
              <w:rPr>
                <w:sz w:val="20"/>
                <w:szCs w:val="20"/>
              </w:rPr>
            </w:pPr>
            <w:r>
              <w:rPr>
                <w:rFonts w:ascii="Calibri" w:eastAsia="Calibri" w:hAnsi="Calibri" w:cs="Calibri"/>
              </w:rPr>
              <w:t>de</w:t>
            </w:r>
          </w:p>
        </w:tc>
        <w:tc>
          <w:tcPr>
            <w:tcW w:w="12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640" w:type="dxa"/>
            <w:gridSpan w:val="2"/>
            <w:vAlign w:val="bottom"/>
          </w:tcPr>
          <w:p w:rsidR="00AC12B4" w:rsidRDefault="00C27636">
            <w:pPr>
              <w:spacing w:line="220" w:lineRule="exact"/>
              <w:ind w:left="40"/>
              <w:rPr>
                <w:sz w:val="20"/>
                <w:szCs w:val="20"/>
              </w:rPr>
            </w:pPr>
            <w:r>
              <w:rPr>
                <w:rFonts w:ascii="Calibri" w:eastAsia="Calibri" w:hAnsi="Calibri" w:cs="Calibri"/>
              </w:rPr>
              <w:t>existe</w:t>
            </w:r>
          </w:p>
        </w:tc>
        <w:tc>
          <w:tcPr>
            <w:tcW w:w="1080" w:type="dxa"/>
            <w:gridSpan w:val="4"/>
            <w:vAlign w:val="bottom"/>
          </w:tcPr>
          <w:p w:rsidR="00AC12B4" w:rsidRDefault="00C27636">
            <w:pPr>
              <w:spacing w:line="220" w:lineRule="exact"/>
              <w:jc w:val="right"/>
              <w:rPr>
                <w:sz w:val="20"/>
                <w:szCs w:val="20"/>
              </w:rPr>
            </w:pPr>
            <w:r>
              <w:rPr>
                <w:rFonts w:ascii="Calibri" w:eastAsia="Calibri" w:hAnsi="Calibri" w:cs="Calibri"/>
              </w:rPr>
              <w:t>jusqu’à 18</w:t>
            </w:r>
          </w:p>
        </w:tc>
        <w:tc>
          <w:tcPr>
            <w:tcW w:w="480" w:type="dxa"/>
            <w:vAlign w:val="bottom"/>
          </w:tcPr>
          <w:p w:rsidR="00AC12B4" w:rsidRDefault="00C27636">
            <w:pPr>
              <w:spacing w:line="220" w:lineRule="exact"/>
              <w:jc w:val="right"/>
              <w:rPr>
                <w:sz w:val="20"/>
                <w:szCs w:val="20"/>
              </w:rPr>
            </w:pPr>
            <w:r>
              <w:rPr>
                <w:rFonts w:ascii="Calibri" w:eastAsia="Calibri" w:hAnsi="Calibri" w:cs="Calibri"/>
                <w:w w:val="99"/>
              </w:rPr>
              <w:t>ans.</w:t>
            </w:r>
          </w:p>
        </w:tc>
        <w:tc>
          <w:tcPr>
            <w:tcW w:w="100" w:type="dxa"/>
            <w:tcBorders>
              <w:right w:val="single" w:sz="8" w:space="0" w:color="8BCCEC"/>
            </w:tcBorders>
            <w:vAlign w:val="bottom"/>
          </w:tcPr>
          <w:p w:rsidR="00AC12B4" w:rsidRDefault="00AC12B4">
            <w:pPr>
              <w:rPr>
                <w:sz w:val="23"/>
                <w:szCs w:val="23"/>
              </w:rPr>
            </w:pPr>
          </w:p>
        </w:tc>
        <w:tc>
          <w:tcPr>
            <w:tcW w:w="80" w:type="dxa"/>
            <w:vAlign w:val="bottom"/>
          </w:tcPr>
          <w:p w:rsidR="00AC12B4" w:rsidRDefault="00AC12B4">
            <w:pPr>
              <w:rPr>
                <w:sz w:val="23"/>
                <w:szCs w:val="23"/>
              </w:rPr>
            </w:pPr>
          </w:p>
        </w:tc>
        <w:tc>
          <w:tcPr>
            <w:tcW w:w="900" w:type="dxa"/>
            <w:gridSpan w:val="2"/>
            <w:vAlign w:val="bottom"/>
          </w:tcPr>
          <w:p w:rsidR="00AC12B4" w:rsidRDefault="00C27636">
            <w:pPr>
              <w:spacing w:line="269" w:lineRule="exact"/>
              <w:ind w:left="60"/>
              <w:rPr>
                <w:sz w:val="20"/>
                <w:szCs w:val="20"/>
              </w:rPr>
            </w:pPr>
            <w:r>
              <w:rPr>
                <w:rFonts w:ascii="Comic Sans MS" w:eastAsia="Comic Sans MS" w:hAnsi="Comic Sans MS" w:cs="Comic Sans MS"/>
                <w:color w:val="8BCCEC"/>
                <w:sz w:val="20"/>
                <w:szCs w:val="20"/>
              </w:rPr>
              <w:t>suivent</w:t>
            </w:r>
          </w:p>
        </w:tc>
        <w:tc>
          <w:tcPr>
            <w:tcW w:w="780" w:type="dxa"/>
            <w:gridSpan w:val="2"/>
            <w:vAlign w:val="bottom"/>
          </w:tcPr>
          <w:p w:rsidR="00AC12B4" w:rsidRDefault="00C27636">
            <w:pPr>
              <w:spacing w:line="269" w:lineRule="exact"/>
              <w:ind w:right="114"/>
              <w:jc w:val="right"/>
              <w:rPr>
                <w:sz w:val="20"/>
                <w:szCs w:val="20"/>
              </w:rPr>
            </w:pPr>
            <w:r>
              <w:rPr>
                <w:rFonts w:ascii="Comic Sans MS" w:eastAsia="Comic Sans MS" w:hAnsi="Comic Sans MS" w:cs="Comic Sans MS"/>
                <w:color w:val="8BCCEC"/>
                <w:sz w:val="20"/>
                <w:szCs w:val="20"/>
              </w:rPr>
              <w:t>aucun</w:t>
            </w:r>
          </w:p>
        </w:tc>
        <w:tc>
          <w:tcPr>
            <w:tcW w:w="600" w:type="dxa"/>
            <w:vAlign w:val="bottom"/>
          </w:tcPr>
          <w:p w:rsidR="00AC12B4" w:rsidRDefault="00C27636">
            <w:pPr>
              <w:spacing w:line="269" w:lineRule="exact"/>
              <w:jc w:val="right"/>
              <w:rPr>
                <w:sz w:val="20"/>
                <w:szCs w:val="20"/>
              </w:rPr>
            </w:pPr>
            <w:r>
              <w:rPr>
                <w:rFonts w:ascii="Comic Sans MS" w:eastAsia="Comic Sans MS" w:hAnsi="Comic Sans MS" w:cs="Comic Sans MS"/>
                <w:color w:val="8BCCEC"/>
                <w:w w:val="96"/>
                <w:sz w:val="20"/>
                <w:szCs w:val="20"/>
              </w:rPr>
              <w:t>cursus</w:t>
            </w:r>
          </w:p>
        </w:tc>
        <w:tc>
          <w:tcPr>
            <w:tcW w:w="0" w:type="dxa"/>
            <w:vAlign w:val="bottom"/>
          </w:tcPr>
          <w:p w:rsidR="00AC12B4" w:rsidRDefault="00AC12B4">
            <w:pPr>
              <w:rPr>
                <w:sz w:val="1"/>
                <w:szCs w:val="1"/>
              </w:rPr>
            </w:pPr>
          </w:p>
        </w:tc>
      </w:tr>
      <w:tr w:rsidR="00AC12B4">
        <w:trPr>
          <w:trHeight w:val="145"/>
        </w:trPr>
        <w:tc>
          <w:tcPr>
            <w:tcW w:w="1780" w:type="dxa"/>
            <w:vMerge/>
            <w:vAlign w:val="bottom"/>
          </w:tcPr>
          <w:p w:rsidR="00AC12B4" w:rsidRDefault="00AC12B4">
            <w:pPr>
              <w:rPr>
                <w:sz w:val="12"/>
                <w:szCs w:val="12"/>
              </w:rPr>
            </w:pPr>
          </w:p>
        </w:tc>
        <w:tc>
          <w:tcPr>
            <w:tcW w:w="1120" w:type="dxa"/>
            <w:gridSpan w:val="3"/>
            <w:vMerge/>
            <w:vAlign w:val="bottom"/>
          </w:tcPr>
          <w:p w:rsidR="00AC12B4" w:rsidRDefault="00AC12B4">
            <w:pPr>
              <w:rPr>
                <w:sz w:val="12"/>
                <w:szCs w:val="12"/>
              </w:rPr>
            </w:pPr>
          </w:p>
        </w:tc>
        <w:tc>
          <w:tcPr>
            <w:tcW w:w="960" w:type="dxa"/>
            <w:gridSpan w:val="6"/>
            <w:vMerge/>
            <w:vAlign w:val="bottom"/>
          </w:tcPr>
          <w:p w:rsidR="00AC12B4" w:rsidRDefault="00AC12B4">
            <w:pPr>
              <w:rPr>
                <w:sz w:val="12"/>
                <w:szCs w:val="12"/>
              </w:rPr>
            </w:pPr>
          </w:p>
        </w:tc>
        <w:tc>
          <w:tcPr>
            <w:tcW w:w="500" w:type="dxa"/>
            <w:gridSpan w:val="8"/>
            <w:vMerge/>
            <w:vAlign w:val="bottom"/>
          </w:tcPr>
          <w:p w:rsidR="00AC12B4" w:rsidRDefault="00AC12B4">
            <w:pPr>
              <w:rPr>
                <w:sz w:val="12"/>
                <w:szCs w:val="12"/>
              </w:rPr>
            </w:pPr>
          </w:p>
        </w:tc>
        <w:tc>
          <w:tcPr>
            <w:tcW w:w="720" w:type="dxa"/>
            <w:gridSpan w:val="10"/>
            <w:vMerge/>
            <w:vAlign w:val="bottom"/>
          </w:tcPr>
          <w:p w:rsidR="00AC12B4" w:rsidRDefault="00AC12B4">
            <w:pPr>
              <w:rPr>
                <w:sz w:val="12"/>
                <w:szCs w:val="12"/>
              </w:rPr>
            </w:pPr>
          </w:p>
        </w:tc>
        <w:tc>
          <w:tcPr>
            <w:tcW w:w="600" w:type="dxa"/>
            <w:gridSpan w:val="7"/>
            <w:vMerge/>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720" w:type="dxa"/>
            <w:gridSpan w:val="6"/>
            <w:vMerge w:val="restart"/>
            <w:vAlign w:val="bottom"/>
          </w:tcPr>
          <w:p w:rsidR="00AC12B4" w:rsidRDefault="00C27636">
            <w:pPr>
              <w:spacing w:line="220" w:lineRule="exact"/>
              <w:ind w:left="40"/>
              <w:rPr>
                <w:sz w:val="20"/>
                <w:szCs w:val="20"/>
              </w:rPr>
            </w:pPr>
            <w:r>
              <w:rPr>
                <w:rFonts w:ascii="Calibri" w:eastAsia="Calibri" w:hAnsi="Calibri" w:cs="Calibri"/>
              </w:rPr>
              <w:t>L’interruption</w:t>
            </w:r>
          </w:p>
        </w:tc>
        <w:tc>
          <w:tcPr>
            <w:tcW w:w="480" w:type="dxa"/>
            <w:vAlign w:val="bottom"/>
          </w:tcPr>
          <w:p w:rsidR="00AC12B4" w:rsidRDefault="00AC12B4">
            <w:pPr>
              <w:rPr>
                <w:sz w:val="12"/>
                <w:szCs w:val="12"/>
              </w:rPr>
            </w:pPr>
          </w:p>
        </w:tc>
        <w:tc>
          <w:tcPr>
            <w:tcW w:w="100" w:type="dxa"/>
            <w:tcBorders>
              <w:right w:val="single" w:sz="8" w:space="0" w:color="8BCCEC"/>
            </w:tcBorders>
            <w:vAlign w:val="bottom"/>
          </w:tcPr>
          <w:p w:rsidR="00AC12B4" w:rsidRDefault="00AC12B4">
            <w:pPr>
              <w:rPr>
                <w:sz w:val="12"/>
                <w:szCs w:val="12"/>
              </w:rPr>
            </w:pPr>
          </w:p>
        </w:tc>
        <w:tc>
          <w:tcPr>
            <w:tcW w:w="80" w:type="dxa"/>
            <w:vAlign w:val="bottom"/>
          </w:tcPr>
          <w:p w:rsidR="00AC12B4" w:rsidRDefault="00AC12B4">
            <w:pPr>
              <w:rPr>
                <w:sz w:val="12"/>
                <w:szCs w:val="12"/>
              </w:rPr>
            </w:pPr>
          </w:p>
        </w:tc>
        <w:tc>
          <w:tcPr>
            <w:tcW w:w="900" w:type="dxa"/>
            <w:gridSpan w:val="2"/>
            <w:vMerge w:val="restart"/>
            <w:vAlign w:val="bottom"/>
          </w:tcPr>
          <w:p w:rsidR="00AC12B4" w:rsidRDefault="00C27636">
            <w:pPr>
              <w:spacing w:line="269" w:lineRule="exact"/>
              <w:ind w:left="60"/>
              <w:rPr>
                <w:sz w:val="20"/>
                <w:szCs w:val="20"/>
              </w:rPr>
            </w:pPr>
            <w:r>
              <w:rPr>
                <w:rFonts w:ascii="Comic Sans MS" w:eastAsia="Comic Sans MS" w:hAnsi="Comic Sans MS" w:cs="Comic Sans MS"/>
                <w:color w:val="0D0D0D"/>
                <w:sz w:val="20"/>
                <w:szCs w:val="20"/>
              </w:rPr>
              <w:t>scolaire</w:t>
            </w:r>
          </w:p>
        </w:tc>
        <w:tc>
          <w:tcPr>
            <w:tcW w:w="300" w:type="dxa"/>
            <w:vMerge w:val="restart"/>
            <w:vAlign w:val="bottom"/>
          </w:tcPr>
          <w:p w:rsidR="00AC12B4" w:rsidRDefault="00C27636">
            <w:pPr>
              <w:spacing w:line="269" w:lineRule="exact"/>
              <w:jc w:val="right"/>
              <w:rPr>
                <w:sz w:val="20"/>
                <w:szCs w:val="20"/>
              </w:rPr>
            </w:pPr>
            <w:r>
              <w:rPr>
                <w:rFonts w:ascii="Comic Sans MS" w:eastAsia="Comic Sans MS" w:hAnsi="Comic Sans MS" w:cs="Comic Sans MS"/>
                <w:color w:val="0D0D0D"/>
                <w:sz w:val="20"/>
                <w:szCs w:val="20"/>
              </w:rPr>
              <w:t>ou</w:t>
            </w:r>
          </w:p>
        </w:tc>
        <w:tc>
          <w:tcPr>
            <w:tcW w:w="1080" w:type="dxa"/>
            <w:gridSpan w:val="2"/>
            <w:vMerge w:val="restart"/>
            <w:vAlign w:val="bottom"/>
          </w:tcPr>
          <w:p w:rsidR="00AC12B4" w:rsidRDefault="00C27636">
            <w:pPr>
              <w:spacing w:line="269" w:lineRule="exact"/>
              <w:jc w:val="right"/>
              <w:rPr>
                <w:sz w:val="20"/>
                <w:szCs w:val="20"/>
              </w:rPr>
            </w:pPr>
            <w:r>
              <w:rPr>
                <w:rFonts w:ascii="Comic Sans MS" w:eastAsia="Comic Sans MS" w:hAnsi="Comic Sans MS" w:cs="Comic Sans MS"/>
                <w:color w:val="0D0D0D"/>
                <w:sz w:val="20"/>
                <w:szCs w:val="20"/>
              </w:rPr>
              <w:t>formation</w:t>
            </w:r>
          </w:p>
        </w:tc>
        <w:tc>
          <w:tcPr>
            <w:tcW w:w="0" w:type="dxa"/>
            <w:vAlign w:val="bottom"/>
          </w:tcPr>
          <w:p w:rsidR="00AC12B4" w:rsidRDefault="00AC12B4">
            <w:pPr>
              <w:rPr>
                <w:sz w:val="1"/>
                <w:szCs w:val="1"/>
              </w:rPr>
            </w:pPr>
          </w:p>
        </w:tc>
      </w:tr>
      <w:tr w:rsidR="00AC12B4" w:rsidRPr="00C27636">
        <w:trPr>
          <w:trHeight w:val="124"/>
        </w:trPr>
        <w:tc>
          <w:tcPr>
            <w:tcW w:w="5680" w:type="dxa"/>
            <w:gridSpan w:val="35"/>
            <w:vMerge w:val="restart"/>
            <w:vAlign w:val="bottom"/>
          </w:tcPr>
          <w:p w:rsidR="00AC12B4" w:rsidRPr="00C27636" w:rsidRDefault="00C27636">
            <w:pPr>
              <w:spacing w:line="267" w:lineRule="exact"/>
              <w:ind w:left="1460"/>
              <w:rPr>
                <w:sz w:val="20"/>
                <w:szCs w:val="20"/>
                <w:lang w:val="fr-BE"/>
              </w:rPr>
            </w:pPr>
            <w:r w:rsidRPr="00C27636">
              <w:rPr>
                <w:rFonts w:ascii="Calibri" w:eastAsia="Calibri" w:hAnsi="Calibri" w:cs="Calibri"/>
                <w:lang w:val="fr-BE"/>
              </w:rPr>
              <w:t xml:space="preserve">l'enfant garantit le </w:t>
            </w:r>
            <w:r w:rsidRPr="00C27636">
              <w:rPr>
                <w:rFonts w:ascii="Calibri" w:eastAsia="Calibri" w:hAnsi="Calibri" w:cs="Calibri"/>
                <w:lang w:val="fr-BE"/>
              </w:rPr>
              <w:lastRenderedPageBreak/>
              <w:t>droit à l'enseignement</w:t>
            </w:r>
          </w:p>
        </w:tc>
        <w:tc>
          <w:tcPr>
            <w:tcW w:w="120" w:type="dxa"/>
            <w:vAlign w:val="bottom"/>
          </w:tcPr>
          <w:p w:rsidR="00AC12B4" w:rsidRPr="00C27636" w:rsidRDefault="00AC12B4">
            <w:pPr>
              <w:rPr>
                <w:sz w:val="10"/>
                <w:szCs w:val="10"/>
                <w:lang w:val="fr-BE"/>
              </w:rPr>
            </w:pPr>
          </w:p>
        </w:tc>
        <w:tc>
          <w:tcPr>
            <w:tcW w:w="40" w:type="dxa"/>
            <w:vAlign w:val="bottom"/>
          </w:tcPr>
          <w:p w:rsidR="00AC12B4" w:rsidRPr="00C27636" w:rsidRDefault="00AC12B4">
            <w:pPr>
              <w:rPr>
                <w:sz w:val="10"/>
                <w:szCs w:val="10"/>
                <w:lang w:val="fr-BE"/>
              </w:rPr>
            </w:pPr>
          </w:p>
        </w:tc>
        <w:tc>
          <w:tcPr>
            <w:tcW w:w="20" w:type="dxa"/>
            <w:vAlign w:val="bottom"/>
          </w:tcPr>
          <w:p w:rsidR="00AC12B4" w:rsidRPr="00C27636" w:rsidRDefault="00AC12B4">
            <w:pPr>
              <w:rPr>
                <w:sz w:val="10"/>
                <w:szCs w:val="10"/>
                <w:lang w:val="fr-BE"/>
              </w:rPr>
            </w:pPr>
          </w:p>
        </w:tc>
        <w:tc>
          <w:tcPr>
            <w:tcW w:w="140" w:type="dxa"/>
            <w:vAlign w:val="bottom"/>
          </w:tcPr>
          <w:p w:rsidR="00AC12B4" w:rsidRPr="00C27636" w:rsidRDefault="00AC12B4">
            <w:pPr>
              <w:rPr>
                <w:sz w:val="10"/>
                <w:szCs w:val="10"/>
                <w:lang w:val="fr-BE"/>
              </w:rPr>
            </w:pPr>
          </w:p>
        </w:tc>
        <w:tc>
          <w:tcPr>
            <w:tcW w:w="20" w:type="dxa"/>
            <w:vAlign w:val="bottom"/>
          </w:tcPr>
          <w:p w:rsidR="00AC12B4" w:rsidRPr="00C27636" w:rsidRDefault="00AC12B4">
            <w:pPr>
              <w:rPr>
                <w:sz w:val="10"/>
                <w:szCs w:val="10"/>
                <w:lang w:val="fr-BE"/>
              </w:rPr>
            </w:pPr>
          </w:p>
        </w:tc>
        <w:tc>
          <w:tcPr>
            <w:tcW w:w="1720" w:type="dxa"/>
            <w:gridSpan w:val="6"/>
            <w:vMerge/>
            <w:vAlign w:val="bottom"/>
          </w:tcPr>
          <w:p w:rsidR="00AC12B4" w:rsidRPr="00C27636" w:rsidRDefault="00AC12B4">
            <w:pPr>
              <w:rPr>
                <w:sz w:val="10"/>
                <w:szCs w:val="10"/>
                <w:lang w:val="fr-BE"/>
              </w:rPr>
            </w:pPr>
          </w:p>
        </w:tc>
        <w:tc>
          <w:tcPr>
            <w:tcW w:w="480" w:type="dxa"/>
            <w:vAlign w:val="bottom"/>
          </w:tcPr>
          <w:p w:rsidR="00AC12B4" w:rsidRPr="00C27636" w:rsidRDefault="00AC12B4">
            <w:pPr>
              <w:rPr>
                <w:sz w:val="10"/>
                <w:szCs w:val="10"/>
                <w:lang w:val="fr-BE"/>
              </w:rPr>
            </w:pPr>
          </w:p>
        </w:tc>
        <w:tc>
          <w:tcPr>
            <w:tcW w:w="100" w:type="dxa"/>
            <w:tcBorders>
              <w:right w:val="single" w:sz="8" w:space="0" w:color="8BCCEC"/>
            </w:tcBorders>
            <w:vAlign w:val="bottom"/>
          </w:tcPr>
          <w:p w:rsidR="00AC12B4" w:rsidRPr="00C27636" w:rsidRDefault="00AC12B4">
            <w:pPr>
              <w:rPr>
                <w:sz w:val="10"/>
                <w:szCs w:val="10"/>
                <w:lang w:val="fr-BE"/>
              </w:rPr>
            </w:pPr>
          </w:p>
        </w:tc>
        <w:tc>
          <w:tcPr>
            <w:tcW w:w="80" w:type="dxa"/>
            <w:vAlign w:val="bottom"/>
          </w:tcPr>
          <w:p w:rsidR="00AC12B4" w:rsidRPr="00C27636" w:rsidRDefault="00AC12B4">
            <w:pPr>
              <w:rPr>
                <w:sz w:val="10"/>
                <w:szCs w:val="10"/>
                <w:lang w:val="fr-BE"/>
              </w:rPr>
            </w:pPr>
          </w:p>
        </w:tc>
        <w:tc>
          <w:tcPr>
            <w:tcW w:w="900" w:type="dxa"/>
            <w:gridSpan w:val="2"/>
            <w:vMerge/>
            <w:vAlign w:val="bottom"/>
          </w:tcPr>
          <w:p w:rsidR="00AC12B4" w:rsidRPr="00C27636" w:rsidRDefault="00AC12B4">
            <w:pPr>
              <w:rPr>
                <w:sz w:val="10"/>
                <w:szCs w:val="10"/>
                <w:lang w:val="fr-BE"/>
              </w:rPr>
            </w:pPr>
          </w:p>
        </w:tc>
        <w:tc>
          <w:tcPr>
            <w:tcW w:w="300" w:type="dxa"/>
            <w:vMerge/>
            <w:vAlign w:val="bottom"/>
          </w:tcPr>
          <w:p w:rsidR="00AC12B4" w:rsidRPr="00C27636" w:rsidRDefault="00AC12B4">
            <w:pPr>
              <w:rPr>
                <w:sz w:val="10"/>
                <w:szCs w:val="10"/>
                <w:lang w:val="fr-BE"/>
              </w:rPr>
            </w:pPr>
          </w:p>
        </w:tc>
        <w:tc>
          <w:tcPr>
            <w:tcW w:w="1080" w:type="dxa"/>
            <w:gridSpan w:val="2"/>
            <w:vMerge/>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trPr>
          <w:trHeight w:val="143"/>
        </w:trPr>
        <w:tc>
          <w:tcPr>
            <w:tcW w:w="5680" w:type="dxa"/>
            <w:gridSpan w:val="35"/>
            <w:vMerge/>
            <w:vAlign w:val="bottom"/>
          </w:tcPr>
          <w:p w:rsidR="00AC12B4" w:rsidRPr="00C27636" w:rsidRDefault="00AC12B4">
            <w:pPr>
              <w:rPr>
                <w:sz w:val="12"/>
                <w:szCs w:val="12"/>
                <w:lang w:val="fr-BE"/>
              </w:rPr>
            </w:pPr>
          </w:p>
        </w:tc>
        <w:tc>
          <w:tcPr>
            <w:tcW w:w="120" w:type="dxa"/>
            <w:vAlign w:val="bottom"/>
          </w:tcPr>
          <w:p w:rsidR="00AC12B4" w:rsidRPr="00C27636" w:rsidRDefault="00AC12B4">
            <w:pPr>
              <w:rPr>
                <w:sz w:val="12"/>
                <w:szCs w:val="12"/>
                <w:lang w:val="fr-BE"/>
              </w:rPr>
            </w:pPr>
          </w:p>
        </w:tc>
        <w:tc>
          <w:tcPr>
            <w:tcW w:w="40" w:type="dxa"/>
            <w:vAlign w:val="bottom"/>
          </w:tcPr>
          <w:p w:rsidR="00AC12B4" w:rsidRPr="00C27636" w:rsidRDefault="00AC12B4">
            <w:pPr>
              <w:rPr>
                <w:sz w:val="12"/>
                <w:szCs w:val="12"/>
                <w:lang w:val="fr-BE"/>
              </w:rPr>
            </w:pPr>
          </w:p>
        </w:tc>
        <w:tc>
          <w:tcPr>
            <w:tcW w:w="20" w:type="dxa"/>
            <w:vAlign w:val="bottom"/>
          </w:tcPr>
          <w:p w:rsidR="00AC12B4" w:rsidRPr="00C27636" w:rsidRDefault="00AC12B4">
            <w:pPr>
              <w:rPr>
                <w:sz w:val="12"/>
                <w:szCs w:val="12"/>
                <w:lang w:val="fr-BE"/>
              </w:rPr>
            </w:pPr>
          </w:p>
        </w:tc>
        <w:tc>
          <w:tcPr>
            <w:tcW w:w="140" w:type="dxa"/>
            <w:vAlign w:val="bottom"/>
          </w:tcPr>
          <w:p w:rsidR="00AC12B4" w:rsidRPr="00C27636" w:rsidRDefault="00AC12B4">
            <w:pPr>
              <w:rPr>
                <w:sz w:val="12"/>
                <w:szCs w:val="12"/>
                <w:lang w:val="fr-BE"/>
              </w:rPr>
            </w:pPr>
          </w:p>
        </w:tc>
        <w:tc>
          <w:tcPr>
            <w:tcW w:w="20" w:type="dxa"/>
            <w:vAlign w:val="bottom"/>
          </w:tcPr>
          <w:p w:rsidR="00AC12B4" w:rsidRPr="00C27636" w:rsidRDefault="00AC12B4">
            <w:pPr>
              <w:rPr>
                <w:sz w:val="12"/>
                <w:szCs w:val="12"/>
                <w:lang w:val="fr-BE"/>
              </w:rPr>
            </w:pPr>
          </w:p>
        </w:tc>
        <w:tc>
          <w:tcPr>
            <w:tcW w:w="1200" w:type="dxa"/>
            <w:gridSpan w:val="5"/>
            <w:vMerge w:val="restart"/>
            <w:vAlign w:val="bottom"/>
          </w:tcPr>
          <w:p w:rsidR="00AC12B4" w:rsidRDefault="00C27636">
            <w:pPr>
              <w:spacing w:line="220" w:lineRule="exact"/>
              <w:ind w:left="40"/>
              <w:rPr>
                <w:sz w:val="20"/>
                <w:szCs w:val="20"/>
              </w:rPr>
            </w:pPr>
            <w:r>
              <w:rPr>
                <w:rFonts w:ascii="Calibri" w:eastAsia="Calibri" w:hAnsi="Calibri" w:cs="Calibri"/>
              </w:rPr>
              <w:t>prématurée</w:t>
            </w:r>
          </w:p>
        </w:tc>
        <w:tc>
          <w:tcPr>
            <w:tcW w:w="520" w:type="dxa"/>
            <w:vMerge w:val="restart"/>
            <w:vAlign w:val="bottom"/>
          </w:tcPr>
          <w:p w:rsidR="00AC12B4" w:rsidRDefault="00C27636">
            <w:pPr>
              <w:spacing w:line="220" w:lineRule="exact"/>
              <w:jc w:val="right"/>
              <w:rPr>
                <w:sz w:val="20"/>
                <w:szCs w:val="20"/>
              </w:rPr>
            </w:pPr>
            <w:r>
              <w:rPr>
                <w:rFonts w:ascii="Calibri" w:eastAsia="Calibri" w:hAnsi="Calibri" w:cs="Calibri"/>
              </w:rPr>
              <w:t>de</w:t>
            </w:r>
          </w:p>
        </w:tc>
        <w:tc>
          <w:tcPr>
            <w:tcW w:w="480" w:type="dxa"/>
            <w:vMerge w:val="restart"/>
            <w:vAlign w:val="bottom"/>
          </w:tcPr>
          <w:p w:rsidR="00AC12B4" w:rsidRDefault="00C27636">
            <w:pPr>
              <w:spacing w:line="220" w:lineRule="exact"/>
              <w:jc w:val="right"/>
              <w:rPr>
                <w:sz w:val="20"/>
                <w:szCs w:val="20"/>
              </w:rPr>
            </w:pPr>
            <w:r>
              <w:rPr>
                <w:rFonts w:ascii="Calibri" w:eastAsia="Calibri" w:hAnsi="Calibri" w:cs="Calibri"/>
              </w:rPr>
              <w:t>la</w:t>
            </w:r>
          </w:p>
        </w:tc>
        <w:tc>
          <w:tcPr>
            <w:tcW w:w="100" w:type="dxa"/>
            <w:tcBorders>
              <w:right w:val="single" w:sz="8" w:space="0" w:color="8BCCEC"/>
            </w:tcBorders>
            <w:vAlign w:val="bottom"/>
          </w:tcPr>
          <w:p w:rsidR="00AC12B4" w:rsidRDefault="00AC12B4">
            <w:pPr>
              <w:rPr>
                <w:sz w:val="12"/>
                <w:szCs w:val="12"/>
              </w:rPr>
            </w:pPr>
          </w:p>
        </w:tc>
        <w:tc>
          <w:tcPr>
            <w:tcW w:w="80" w:type="dxa"/>
            <w:vAlign w:val="bottom"/>
          </w:tcPr>
          <w:p w:rsidR="00AC12B4" w:rsidRDefault="00AC12B4">
            <w:pPr>
              <w:rPr>
                <w:sz w:val="12"/>
                <w:szCs w:val="12"/>
              </w:rPr>
            </w:pPr>
          </w:p>
        </w:tc>
        <w:tc>
          <w:tcPr>
            <w:tcW w:w="1680" w:type="dxa"/>
            <w:gridSpan w:val="4"/>
            <w:vMerge w:val="restart"/>
            <w:vAlign w:val="bottom"/>
          </w:tcPr>
          <w:p w:rsidR="00AC12B4" w:rsidRDefault="00C27636">
            <w:pPr>
              <w:spacing w:line="271" w:lineRule="exact"/>
              <w:ind w:left="60"/>
              <w:rPr>
                <w:sz w:val="20"/>
                <w:szCs w:val="20"/>
              </w:rPr>
            </w:pPr>
            <w:r>
              <w:rPr>
                <w:rFonts w:ascii="Comic Sans MS" w:eastAsia="Comic Sans MS" w:hAnsi="Comic Sans MS" w:cs="Comic Sans MS"/>
                <w:color w:val="0D0D0D"/>
                <w:sz w:val="20"/>
                <w:szCs w:val="20"/>
              </w:rPr>
              <w:t>(Statbel 2013)</w:t>
            </w:r>
          </w:p>
        </w:tc>
        <w:tc>
          <w:tcPr>
            <w:tcW w:w="60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8"/>
        </w:trPr>
        <w:tc>
          <w:tcPr>
            <w:tcW w:w="1780" w:type="dxa"/>
            <w:vMerge w:val="restart"/>
            <w:vAlign w:val="bottom"/>
          </w:tcPr>
          <w:p w:rsidR="00AC12B4" w:rsidRDefault="00C27636">
            <w:pPr>
              <w:ind w:left="1460"/>
              <w:rPr>
                <w:sz w:val="20"/>
                <w:szCs w:val="20"/>
              </w:rPr>
            </w:pPr>
            <w:r>
              <w:rPr>
                <w:rFonts w:ascii="Calibri" w:eastAsia="Calibri" w:hAnsi="Calibri" w:cs="Calibri"/>
              </w:rPr>
              <w:lastRenderedPageBreak/>
              <w:t>et</w:t>
            </w:r>
          </w:p>
        </w:tc>
        <w:tc>
          <w:tcPr>
            <w:tcW w:w="1740" w:type="dxa"/>
            <w:gridSpan w:val="4"/>
            <w:vMerge w:val="restart"/>
            <w:vAlign w:val="bottom"/>
          </w:tcPr>
          <w:p w:rsidR="00AC12B4" w:rsidRDefault="00C27636">
            <w:pPr>
              <w:ind w:right="293"/>
              <w:jc w:val="right"/>
              <w:rPr>
                <w:sz w:val="20"/>
                <w:szCs w:val="20"/>
              </w:rPr>
            </w:pPr>
            <w:r>
              <w:rPr>
                <w:rFonts w:ascii="Calibri" w:eastAsia="Calibri" w:hAnsi="Calibri" w:cs="Calibri"/>
              </w:rPr>
              <w:t>notamment</w:t>
            </w:r>
          </w:p>
        </w:tc>
        <w:tc>
          <w:tcPr>
            <w:tcW w:w="340" w:type="dxa"/>
            <w:gridSpan w:val="5"/>
            <w:vMerge w:val="restart"/>
            <w:vAlign w:val="bottom"/>
          </w:tcPr>
          <w:p w:rsidR="00AC12B4" w:rsidRDefault="00C27636">
            <w:pPr>
              <w:rPr>
                <w:sz w:val="20"/>
                <w:szCs w:val="20"/>
              </w:rPr>
            </w:pPr>
            <w:r>
              <w:rPr>
                <w:rFonts w:ascii="Calibri" w:eastAsia="Calibri" w:hAnsi="Calibri" w:cs="Calibri"/>
                <w:w w:val="93"/>
              </w:rPr>
              <w:t>que</w:t>
            </w:r>
          </w:p>
        </w:tc>
        <w:tc>
          <w:tcPr>
            <w:tcW w:w="1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940" w:type="dxa"/>
            <w:gridSpan w:val="13"/>
            <w:vMerge w:val="restart"/>
            <w:vAlign w:val="bottom"/>
          </w:tcPr>
          <w:p w:rsidR="00AC12B4" w:rsidRDefault="00C27636">
            <w:pPr>
              <w:ind w:left="120"/>
              <w:rPr>
                <w:sz w:val="20"/>
                <w:szCs w:val="20"/>
              </w:rPr>
            </w:pPr>
            <w:r>
              <w:rPr>
                <w:rFonts w:ascii="Calibri" w:eastAsia="Calibri" w:hAnsi="Calibri" w:cs="Calibri"/>
              </w:rPr>
              <w:t>l'accès</w:t>
            </w:r>
          </w:p>
        </w:tc>
        <w:tc>
          <w:tcPr>
            <w:tcW w:w="300" w:type="dxa"/>
            <w:gridSpan w:val="3"/>
            <w:vMerge w:val="restart"/>
            <w:vAlign w:val="bottom"/>
          </w:tcPr>
          <w:p w:rsidR="00AC12B4" w:rsidRDefault="00C27636">
            <w:pPr>
              <w:ind w:right="40"/>
              <w:jc w:val="right"/>
              <w:rPr>
                <w:sz w:val="20"/>
                <w:szCs w:val="20"/>
              </w:rPr>
            </w:pPr>
            <w:r>
              <w:rPr>
                <w:rFonts w:ascii="Calibri" w:eastAsia="Calibri" w:hAnsi="Calibri" w:cs="Calibri"/>
              </w:rPr>
              <w:t>à</w:t>
            </w: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0" w:type="dxa"/>
            <w:gridSpan w:val="5"/>
            <w:vMerge/>
            <w:vAlign w:val="bottom"/>
          </w:tcPr>
          <w:p w:rsidR="00AC12B4" w:rsidRDefault="00AC12B4">
            <w:pPr>
              <w:rPr>
                <w:sz w:val="11"/>
                <w:szCs w:val="11"/>
              </w:rPr>
            </w:pPr>
          </w:p>
        </w:tc>
        <w:tc>
          <w:tcPr>
            <w:tcW w:w="520" w:type="dxa"/>
            <w:vMerge/>
            <w:vAlign w:val="bottom"/>
          </w:tcPr>
          <w:p w:rsidR="00AC12B4" w:rsidRDefault="00AC12B4">
            <w:pPr>
              <w:rPr>
                <w:sz w:val="11"/>
                <w:szCs w:val="11"/>
              </w:rPr>
            </w:pPr>
          </w:p>
        </w:tc>
        <w:tc>
          <w:tcPr>
            <w:tcW w:w="480" w:type="dxa"/>
            <w:vMerge/>
            <w:vAlign w:val="bottom"/>
          </w:tcPr>
          <w:p w:rsidR="00AC12B4" w:rsidRDefault="00AC12B4">
            <w:pPr>
              <w:rPr>
                <w:sz w:val="11"/>
                <w:szCs w:val="11"/>
              </w:rPr>
            </w:pPr>
          </w:p>
        </w:tc>
        <w:tc>
          <w:tcPr>
            <w:tcW w:w="100" w:type="dxa"/>
            <w:tcBorders>
              <w:right w:val="single" w:sz="8" w:space="0" w:color="8BCCEC"/>
            </w:tcBorders>
            <w:vAlign w:val="bottom"/>
          </w:tcPr>
          <w:p w:rsidR="00AC12B4" w:rsidRDefault="00AC12B4">
            <w:pPr>
              <w:rPr>
                <w:sz w:val="11"/>
                <w:szCs w:val="11"/>
              </w:rPr>
            </w:pPr>
          </w:p>
        </w:tc>
        <w:tc>
          <w:tcPr>
            <w:tcW w:w="80" w:type="dxa"/>
            <w:vAlign w:val="bottom"/>
          </w:tcPr>
          <w:p w:rsidR="00AC12B4" w:rsidRDefault="00AC12B4">
            <w:pPr>
              <w:rPr>
                <w:sz w:val="11"/>
                <w:szCs w:val="11"/>
              </w:rPr>
            </w:pPr>
          </w:p>
        </w:tc>
        <w:tc>
          <w:tcPr>
            <w:tcW w:w="1680" w:type="dxa"/>
            <w:gridSpan w:val="4"/>
            <w:vMerge/>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40"/>
        </w:trPr>
        <w:tc>
          <w:tcPr>
            <w:tcW w:w="1780" w:type="dxa"/>
            <w:vMerge/>
            <w:vAlign w:val="bottom"/>
          </w:tcPr>
          <w:p w:rsidR="00AC12B4" w:rsidRDefault="00AC12B4">
            <w:pPr>
              <w:rPr>
                <w:sz w:val="12"/>
                <w:szCs w:val="12"/>
              </w:rPr>
            </w:pPr>
          </w:p>
        </w:tc>
        <w:tc>
          <w:tcPr>
            <w:tcW w:w="1740" w:type="dxa"/>
            <w:gridSpan w:val="4"/>
            <w:vMerge/>
            <w:vAlign w:val="bottom"/>
          </w:tcPr>
          <w:p w:rsidR="00AC12B4" w:rsidRDefault="00AC12B4">
            <w:pPr>
              <w:rPr>
                <w:sz w:val="12"/>
                <w:szCs w:val="12"/>
              </w:rPr>
            </w:pPr>
          </w:p>
        </w:tc>
        <w:tc>
          <w:tcPr>
            <w:tcW w:w="340" w:type="dxa"/>
            <w:gridSpan w:val="5"/>
            <w:vMerge/>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940" w:type="dxa"/>
            <w:gridSpan w:val="13"/>
            <w:vMerge/>
            <w:vAlign w:val="bottom"/>
          </w:tcPr>
          <w:p w:rsidR="00AC12B4" w:rsidRDefault="00AC12B4">
            <w:pPr>
              <w:rPr>
                <w:sz w:val="12"/>
                <w:szCs w:val="12"/>
              </w:rPr>
            </w:pPr>
          </w:p>
        </w:tc>
        <w:tc>
          <w:tcPr>
            <w:tcW w:w="300" w:type="dxa"/>
            <w:gridSpan w:val="3"/>
            <w:vMerge/>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2200" w:type="dxa"/>
            <w:gridSpan w:val="7"/>
            <w:vMerge w:val="restart"/>
            <w:vAlign w:val="bottom"/>
          </w:tcPr>
          <w:p w:rsidR="00AC12B4" w:rsidRDefault="00C27636">
            <w:pPr>
              <w:spacing w:line="220" w:lineRule="exact"/>
              <w:ind w:left="40"/>
              <w:rPr>
                <w:sz w:val="20"/>
                <w:szCs w:val="20"/>
              </w:rPr>
            </w:pPr>
            <w:r>
              <w:rPr>
                <w:rFonts w:ascii="Calibri" w:eastAsia="Calibri" w:hAnsi="Calibri" w:cs="Calibri"/>
              </w:rPr>
              <w:t>scolarité est ici reprise</w:t>
            </w:r>
          </w:p>
        </w:tc>
        <w:tc>
          <w:tcPr>
            <w:tcW w:w="100" w:type="dxa"/>
            <w:tcBorders>
              <w:right w:val="single" w:sz="8" w:space="0" w:color="8BCCEC"/>
            </w:tcBorders>
            <w:vAlign w:val="bottom"/>
          </w:tcPr>
          <w:p w:rsidR="00AC12B4" w:rsidRDefault="00AC12B4">
            <w:pPr>
              <w:rPr>
                <w:sz w:val="12"/>
                <w:szCs w:val="12"/>
              </w:rPr>
            </w:pPr>
          </w:p>
        </w:tc>
        <w:tc>
          <w:tcPr>
            <w:tcW w:w="8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30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60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34"/>
        </w:trPr>
        <w:tc>
          <w:tcPr>
            <w:tcW w:w="2900" w:type="dxa"/>
            <w:gridSpan w:val="4"/>
            <w:vMerge w:val="restart"/>
            <w:vAlign w:val="bottom"/>
          </w:tcPr>
          <w:p w:rsidR="00AC12B4" w:rsidRDefault="00C27636">
            <w:pPr>
              <w:ind w:left="1460"/>
              <w:rPr>
                <w:sz w:val="20"/>
                <w:szCs w:val="20"/>
              </w:rPr>
            </w:pPr>
            <w:r>
              <w:rPr>
                <w:rFonts w:ascii="Calibri" w:eastAsia="Calibri" w:hAnsi="Calibri" w:cs="Calibri"/>
              </w:rPr>
              <w:t>l'enseignement</w:t>
            </w:r>
          </w:p>
        </w:tc>
        <w:tc>
          <w:tcPr>
            <w:tcW w:w="1140" w:type="dxa"/>
            <w:gridSpan w:val="9"/>
            <w:vMerge w:val="restart"/>
            <w:vAlign w:val="bottom"/>
          </w:tcPr>
          <w:p w:rsidR="00AC12B4" w:rsidRDefault="00C27636">
            <w:pPr>
              <w:ind w:right="80"/>
              <w:jc w:val="right"/>
              <w:rPr>
                <w:sz w:val="20"/>
                <w:szCs w:val="20"/>
              </w:rPr>
            </w:pPr>
            <w:r>
              <w:rPr>
                <w:rFonts w:ascii="Calibri" w:eastAsia="Calibri" w:hAnsi="Calibri" w:cs="Calibri"/>
              </w:rPr>
              <w:t>supérieur</w:t>
            </w: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0" w:type="dxa"/>
            <w:gridSpan w:val="8"/>
            <w:vMerge w:val="restart"/>
            <w:vAlign w:val="bottom"/>
          </w:tcPr>
          <w:p w:rsidR="00AC12B4" w:rsidRDefault="00C27636">
            <w:pPr>
              <w:ind w:left="80"/>
              <w:rPr>
                <w:sz w:val="20"/>
                <w:szCs w:val="20"/>
              </w:rPr>
            </w:pPr>
            <w:r>
              <w:rPr>
                <w:rFonts w:ascii="Calibri" w:eastAsia="Calibri" w:hAnsi="Calibri" w:cs="Calibri"/>
              </w:rPr>
              <w:t>soit</w:t>
            </w:r>
          </w:p>
        </w:tc>
        <w:tc>
          <w:tcPr>
            <w:tcW w:w="20" w:type="dxa"/>
            <w:vAlign w:val="bottom"/>
          </w:tcPr>
          <w:p w:rsidR="00AC12B4" w:rsidRDefault="00AC12B4">
            <w:pPr>
              <w:rPr>
                <w:sz w:val="11"/>
                <w:szCs w:val="11"/>
              </w:rPr>
            </w:pPr>
          </w:p>
        </w:tc>
        <w:tc>
          <w:tcPr>
            <w:tcW w:w="920" w:type="dxa"/>
            <w:gridSpan w:val="11"/>
            <w:vMerge w:val="restart"/>
            <w:vAlign w:val="bottom"/>
          </w:tcPr>
          <w:p w:rsidR="00AC12B4" w:rsidRDefault="00C27636">
            <w:pPr>
              <w:ind w:right="340"/>
              <w:jc w:val="right"/>
              <w:rPr>
                <w:sz w:val="20"/>
                <w:szCs w:val="20"/>
              </w:rPr>
            </w:pPr>
            <w:r>
              <w:rPr>
                <w:rFonts w:ascii="Calibri" w:eastAsia="Calibri" w:hAnsi="Calibri" w:cs="Calibri"/>
              </w:rPr>
              <w:t>rendu</w:t>
            </w:r>
          </w:p>
        </w:tc>
        <w:tc>
          <w:tcPr>
            <w:tcW w:w="1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2200" w:type="dxa"/>
            <w:gridSpan w:val="7"/>
            <w:vMerge/>
            <w:vAlign w:val="bottom"/>
          </w:tcPr>
          <w:p w:rsidR="00AC12B4" w:rsidRDefault="00AC12B4">
            <w:pPr>
              <w:rPr>
                <w:sz w:val="11"/>
                <w:szCs w:val="11"/>
              </w:rPr>
            </w:pPr>
          </w:p>
        </w:tc>
        <w:tc>
          <w:tcPr>
            <w:tcW w:w="100" w:type="dxa"/>
            <w:tcBorders>
              <w:right w:val="single" w:sz="8" w:space="0" w:color="8BCCEC"/>
            </w:tcBorders>
            <w:vAlign w:val="bottom"/>
          </w:tcPr>
          <w:p w:rsidR="00AC12B4" w:rsidRDefault="00AC12B4">
            <w:pPr>
              <w:rPr>
                <w:sz w:val="11"/>
                <w:szCs w:val="11"/>
              </w:rPr>
            </w:pPr>
          </w:p>
        </w:tc>
        <w:tc>
          <w:tcPr>
            <w:tcW w:w="8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42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5"/>
        </w:trPr>
        <w:tc>
          <w:tcPr>
            <w:tcW w:w="2900" w:type="dxa"/>
            <w:gridSpan w:val="4"/>
            <w:vMerge/>
            <w:vAlign w:val="bottom"/>
          </w:tcPr>
          <w:p w:rsidR="00AC12B4" w:rsidRDefault="00AC12B4">
            <w:pPr>
              <w:rPr>
                <w:sz w:val="11"/>
                <w:szCs w:val="11"/>
              </w:rPr>
            </w:pPr>
          </w:p>
        </w:tc>
        <w:tc>
          <w:tcPr>
            <w:tcW w:w="1140" w:type="dxa"/>
            <w:gridSpan w:val="9"/>
            <w:vMerge/>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0" w:type="dxa"/>
            <w:gridSpan w:val="8"/>
            <w:vMerge/>
            <w:vAlign w:val="bottom"/>
          </w:tcPr>
          <w:p w:rsidR="00AC12B4" w:rsidRDefault="00AC12B4">
            <w:pPr>
              <w:rPr>
                <w:sz w:val="11"/>
                <w:szCs w:val="11"/>
              </w:rPr>
            </w:pPr>
          </w:p>
        </w:tc>
        <w:tc>
          <w:tcPr>
            <w:tcW w:w="20" w:type="dxa"/>
            <w:vAlign w:val="bottom"/>
          </w:tcPr>
          <w:p w:rsidR="00AC12B4" w:rsidRDefault="00AC12B4">
            <w:pPr>
              <w:rPr>
                <w:sz w:val="11"/>
                <w:szCs w:val="11"/>
              </w:rPr>
            </w:pPr>
          </w:p>
        </w:tc>
        <w:tc>
          <w:tcPr>
            <w:tcW w:w="920" w:type="dxa"/>
            <w:gridSpan w:val="11"/>
            <w:vMerge/>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2200" w:type="dxa"/>
            <w:gridSpan w:val="7"/>
            <w:vMerge w:val="restart"/>
            <w:vAlign w:val="bottom"/>
          </w:tcPr>
          <w:p w:rsidR="00AC12B4" w:rsidRDefault="00C27636">
            <w:pPr>
              <w:spacing w:line="212" w:lineRule="exact"/>
              <w:ind w:left="40"/>
              <w:rPr>
                <w:sz w:val="20"/>
                <w:szCs w:val="20"/>
              </w:rPr>
            </w:pPr>
            <w:r>
              <w:rPr>
                <w:rFonts w:ascii="Calibri" w:eastAsia="Calibri" w:hAnsi="Calibri" w:cs="Calibri"/>
              </w:rPr>
              <w:t>de manière plus large :</w:t>
            </w:r>
          </w:p>
        </w:tc>
        <w:tc>
          <w:tcPr>
            <w:tcW w:w="10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42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77"/>
        </w:trPr>
        <w:tc>
          <w:tcPr>
            <w:tcW w:w="5680" w:type="dxa"/>
            <w:gridSpan w:val="35"/>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possible, que l’information et l’orientation</w:t>
            </w:r>
          </w:p>
        </w:tc>
        <w:tc>
          <w:tcPr>
            <w:tcW w:w="120" w:type="dxa"/>
            <w:vAlign w:val="bottom"/>
          </w:tcPr>
          <w:p w:rsidR="00AC12B4" w:rsidRPr="00C27636" w:rsidRDefault="00AC12B4">
            <w:pPr>
              <w:rPr>
                <w:sz w:val="6"/>
                <w:szCs w:val="6"/>
                <w:lang w:val="fr-BE"/>
              </w:rPr>
            </w:pPr>
          </w:p>
        </w:tc>
        <w:tc>
          <w:tcPr>
            <w:tcW w:w="4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4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2200" w:type="dxa"/>
            <w:gridSpan w:val="7"/>
            <w:vMerge/>
            <w:vAlign w:val="bottom"/>
          </w:tcPr>
          <w:p w:rsidR="00AC12B4" w:rsidRPr="00C27636" w:rsidRDefault="00AC12B4">
            <w:pPr>
              <w:rPr>
                <w:sz w:val="6"/>
                <w:szCs w:val="6"/>
                <w:lang w:val="fr-BE"/>
              </w:rPr>
            </w:pPr>
          </w:p>
        </w:tc>
        <w:tc>
          <w:tcPr>
            <w:tcW w:w="10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480" w:type="dxa"/>
            <w:vAlign w:val="bottom"/>
          </w:tcPr>
          <w:p w:rsidR="00AC12B4" w:rsidRPr="00C27636" w:rsidRDefault="00AC12B4">
            <w:pPr>
              <w:rPr>
                <w:sz w:val="6"/>
                <w:szCs w:val="6"/>
                <w:lang w:val="fr-BE"/>
              </w:rPr>
            </w:pPr>
          </w:p>
        </w:tc>
        <w:tc>
          <w:tcPr>
            <w:tcW w:w="420" w:type="dxa"/>
            <w:vAlign w:val="bottom"/>
          </w:tcPr>
          <w:p w:rsidR="00AC12B4" w:rsidRPr="00C27636" w:rsidRDefault="00AC12B4">
            <w:pPr>
              <w:rPr>
                <w:sz w:val="6"/>
                <w:szCs w:val="6"/>
                <w:lang w:val="fr-BE"/>
              </w:rPr>
            </w:pPr>
          </w:p>
        </w:tc>
        <w:tc>
          <w:tcPr>
            <w:tcW w:w="300" w:type="dxa"/>
            <w:vAlign w:val="bottom"/>
          </w:tcPr>
          <w:p w:rsidR="00AC12B4" w:rsidRPr="00C27636" w:rsidRDefault="00AC12B4">
            <w:pPr>
              <w:rPr>
                <w:sz w:val="6"/>
                <w:szCs w:val="6"/>
                <w:lang w:val="fr-BE"/>
              </w:rPr>
            </w:pPr>
          </w:p>
        </w:tc>
        <w:tc>
          <w:tcPr>
            <w:tcW w:w="480" w:type="dxa"/>
            <w:vAlign w:val="bottom"/>
          </w:tcPr>
          <w:p w:rsidR="00AC12B4" w:rsidRPr="00C27636" w:rsidRDefault="00AC12B4">
            <w:pPr>
              <w:rPr>
                <w:sz w:val="6"/>
                <w:szCs w:val="6"/>
                <w:lang w:val="fr-BE"/>
              </w:rPr>
            </w:pPr>
          </w:p>
        </w:tc>
        <w:tc>
          <w:tcPr>
            <w:tcW w:w="60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192"/>
        </w:trPr>
        <w:tc>
          <w:tcPr>
            <w:tcW w:w="5680" w:type="dxa"/>
            <w:gridSpan w:val="35"/>
            <w:vMerge/>
            <w:vAlign w:val="bottom"/>
          </w:tcPr>
          <w:p w:rsidR="00AC12B4" w:rsidRPr="00C27636" w:rsidRDefault="00AC12B4">
            <w:pPr>
              <w:rPr>
                <w:sz w:val="16"/>
                <w:szCs w:val="16"/>
                <w:lang w:val="fr-BE"/>
              </w:rPr>
            </w:pPr>
          </w:p>
        </w:tc>
        <w:tc>
          <w:tcPr>
            <w:tcW w:w="120" w:type="dxa"/>
            <w:vAlign w:val="bottom"/>
          </w:tcPr>
          <w:p w:rsidR="00AC12B4" w:rsidRPr="00C27636" w:rsidRDefault="00AC12B4">
            <w:pPr>
              <w:rPr>
                <w:sz w:val="16"/>
                <w:szCs w:val="16"/>
                <w:lang w:val="fr-BE"/>
              </w:rPr>
            </w:pPr>
          </w:p>
        </w:tc>
        <w:tc>
          <w:tcPr>
            <w:tcW w:w="4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14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740" w:type="dxa"/>
            <w:gridSpan w:val="3"/>
            <w:vMerge w:val="restart"/>
            <w:vAlign w:val="bottom"/>
          </w:tcPr>
          <w:p w:rsidR="00AC12B4" w:rsidRDefault="00C27636">
            <w:pPr>
              <w:ind w:left="40"/>
              <w:rPr>
                <w:sz w:val="20"/>
                <w:szCs w:val="20"/>
              </w:rPr>
            </w:pPr>
            <w:r>
              <w:rPr>
                <w:rFonts w:ascii="Calibri" w:eastAsia="Calibri" w:hAnsi="Calibri" w:cs="Calibri"/>
              </w:rPr>
              <w:t>ne pas</w:t>
            </w:r>
          </w:p>
        </w:tc>
        <w:tc>
          <w:tcPr>
            <w:tcW w:w="40" w:type="dxa"/>
            <w:vAlign w:val="bottom"/>
          </w:tcPr>
          <w:p w:rsidR="00AC12B4" w:rsidRDefault="00AC12B4">
            <w:pPr>
              <w:rPr>
                <w:sz w:val="16"/>
                <w:szCs w:val="16"/>
              </w:rPr>
            </w:pPr>
          </w:p>
        </w:tc>
        <w:tc>
          <w:tcPr>
            <w:tcW w:w="940" w:type="dxa"/>
            <w:gridSpan w:val="2"/>
            <w:vMerge w:val="restart"/>
            <w:vAlign w:val="bottom"/>
          </w:tcPr>
          <w:p w:rsidR="00AC12B4" w:rsidRDefault="00C27636">
            <w:pPr>
              <w:ind w:left="20"/>
              <w:rPr>
                <w:sz w:val="20"/>
                <w:szCs w:val="20"/>
              </w:rPr>
            </w:pPr>
            <w:r>
              <w:rPr>
                <w:rFonts w:ascii="Calibri" w:eastAsia="Calibri" w:hAnsi="Calibri" w:cs="Calibri"/>
              </w:rPr>
              <w:t>avoir de</w:t>
            </w:r>
          </w:p>
        </w:tc>
        <w:tc>
          <w:tcPr>
            <w:tcW w:w="1140" w:type="dxa"/>
            <w:gridSpan w:val="4"/>
            <w:vMerge w:val="restart"/>
            <w:vAlign w:val="bottom"/>
          </w:tcPr>
          <w:p w:rsidR="00AC12B4" w:rsidRDefault="00C27636">
            <w:pPr>
              <w:rPr>
                <w:sz w:val="20"/>
                <w:szCs w:val="20"/>
              </w:rPr>
            </w:pPr>
            <w:r>
              <w:rPr>
                <w:rFonts w:ascii="Calibri" w:eastAsia="Calibri" w:hAnsi="Calibri" w:cs="Calibri"/>
              </w:rPr>
              <w:t>diplôme du</w:t>
            </w:r>
          </w:p>
        </w:tc>
        <w:tc>
          <w:tcPr>
            <w:tcW w:w="1200" w:type="dxa"/>
            <w:gridSpan w:val="3"/>
            <w:vMerge w:val="restart"/>
            <w:vAlign w:val="bottom"/>
          </w:tcPr>
          <w:p w:rsidR="00AC12B4" w:rsidRDefault="00C27636">
            <w:pPr>
              <w:ind w:right="54"/>
              <w:jc w:val="right"/>
              <w:rPr>
                <w:sz w:val="20"/>
                <w:szCs w:val="20"/>
              </w:rPr>
            </w:pPr>
            <w:r>
              <w:rPr>
                <w:rFonts w:ascii="Calibri" w:eastAsia="Calibri" w:hAnsi="Calibri" w:cs="Calibri"/>
              </w:rPr>
              <w:t>secondaire</w:t>
            </w:r>
          </w:p>
        </w:tc>
        <w:tc>
          <w:tcPr>
            <w:tcW w:w="6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77"/>
        </w:trPr>
        <w:tc>
          <w:tcPr>
            <w:tcW w:w="2240" w:type="dxa"/>
            <w:gridSpan w:val="2"/>
            <w:vMerge w:val="restart"/>
            <w:vAlign w:val="bottom"/>
          </w:tcPr>
          <w:p w:rsidR="00AC12B4" w:rsidRDefault="00C27636">
            <w:pPr>
              <w:ind w:left="1460"/>
              <w:rPr>
                <w:sz w:val="20"/>
                <w:szCs w:val="20"/>
              </w:rPr>
            </w:pPr>
            <w:r>
              <w:rPr>
                <w:rFonts w:ascii="Calibri" w:eastAsia="Calibri" w:hAnsi="Calibri" w:cs="Calibri"/>
                <w:w w:val="98"/>
              </w:rPr>
              <w:t>scolaires</w:t>
            </w:r>
          </w:p>
        </w:tc>
        <w:tc>
          <w:tcPr>
            <w:tcW w:w="520" w:type="dxa"/>
            <w:vMerge w:val="restart"/>
            <w:vAlign w:val="bottom"/>
          </w:tcPr>
          <w:p w:rsidR="00AC12B4" w:rsidRDefault="00C27636">
            <w:pPr>
              <w:jc w:val="right"/>
              <w:rPr>
                <w:sz w:val="20"/>
                <w:szCs w:val="20"/>
              </w:rPr>
            </w:pPr>
            <w:r>
              <w:rPr>
                <w:rFonts w:ascii="Calibri" w:eastAsia="Calibri" w:hAnsi="Calibri" w:cs="Calibri"/>
              </w:rPr>
              <w:t>et</w:t>
            </w:r>
          </w:p>
        </w:tc>
        <w:tc>
          <w:tcPr>
            <w:tcW w:w="140" w:type="dxa"/>
            <w:vAlign w:val="bottom"/>
          </w:tcPr>
          <w:p w:rsidR="00AC12B4" w:rsidRDefault="00AC12B4">
            <w:pPr>
              <w:rPr>
                <w:sz w:val="6"/>
                <w:szCs w:val="6"/>
              </w:rPr>
            </w:pPr>
          </w:p>
        </w:tc>
        <w:tc>
          <w:tcPr>
            <w:tcW w:w="1840" w:type="dxa"/>
            <w:gridSpan w:val="19"/>
            <w:vMerge w:val="restart"/>
            <w:vAlign w:val="bottom"/>
          </w:tcPr>
          <w:p w:rsidR="00AC12B4" w:rsidRDefault="00C27636">
            <w:pPr>
              <w:ind w:left="140"/>
              <w:rPr>
                <w:sz w:val="20"/>
                <w:szCs w:val="20"/>
              </w:rPr>
            </w:pPr>
            <w:r>
              <w:rPr>
                <w:rFonts w:ascii="Calibri" w:eastAsia="Calibri" w:hAnsi="Calibri" w:cs="Calibri"/>
              </w:rPr>
              <w:t>professionnelles</w:t>
            </w:r>
          </w:p>
        </w:tc>
        <w:tc>
          <w:tcPr>
            <w:tcW w:w="20" w:type="dxa"/>
            <w:vAlign w:val="bottom"/>
          </w:tcPr>
          <w:p w:rsidR="00AC12B4" w:rsidRDefault="00AC12B4">
            <w:pPr>
              <w:rPr>
                <w:sz w:val="6"/>
                <w:szCs w:val="6"/>
              </w:rPr>
            </w:pPr>
          </w:p>
        </w:tc>
        <w:tc>
          <w:tcPr>
            <w:tcW w:w="920" w:type="dxa"/>
            <w:gridSpan w:val="11"/>
            <w:vMerge w:val="restart"/>
            <w:vAlign w:val="bottom"/>
          </w:tcPr>
          <w:p w:rsidR="00AC12B4" w:rsidRDefault="00C27636">
            <w:pPr>
              <w:ind w:right="340"/>
              <w:jc w:val="right"/>
              <w:rPr>
                <w:sz w:val="20"/>
                <w:szCs w:val="20"/>
              </w:rPr>
            </w:pPr>
            <w:r>
              <w:rPr>
                <w:rFonts w:ascii="Calibri" w:eastAsia="Calibri" w:hAnsi="Calibri" w:cs="Calibri"/>
              </w:rPr>
              <w:t>soient</w:t>
            </w: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740" w:type="dxa"/>
            <w:gridSpan w:val="3"/>
            <w:vMerge/>
            <w:vAlign w:val="bottom"/>
          </w:tcPr>
          <w:p w:rsidR="00AC12B4" w:rsidRDefault="00AC12B4">
            <w:pPr>
              <w:rPr>
                <w:sz w:val="6"/>
                <w:szCs w:val="6"/>
              </w:rPr>
            </w:pPr>
          </w:p>
        </w:tc>
        <w:tc>
          <w:tcPr>
            <w:tcW w:w="40" w:type="dxa"/>
            <w:vAlign w:val="bottom"/>
          </w:tcPr>
          <w:p w:rsidR="00AC12B4" w:rsidRDefault="00AC12B4">
            <w:pPr>
              <w:rPr>
                <w:sz w:val="6"/>
                <w:szCs w:val="6"/>
              </w:rPr>
            </w:pPr>
          </w:p>
        </w:tc>
        <w:tc>
          <w:tcPr>
            <w:tcW w:w="940" w:type="dxa"/>
            <w:gridSpan w:val="2"/>
            <w:vMerge/>
            <w:vAlign w:val="bottom"/>
          </w:tcPr>
          <w:p w:rsidR="00AC12B4" w:rsidRDefault="00AC12B4">
            <w:pPr>
              <w:rPr>
                <w:sz w:val="6"/>
                <w:szCs w:val="6"/>
              </w:rPr>
            </w:pPr>
          </w:p>
        </w:tc>
        <w:tc>
          <w:tcPr>
            <w:tcW w:w="1140" w:type="dxa"/>
            <w:gridSpan w:val="4"/>
            <w:vMerge/>
            <w:vAlign w:val="bottom"/>
          </w:tcPr>
          <w:p w:rsidR="00AC12B4" w:rsidRDefault="00AC12B4">
            <w:pPr>
              <w:rPr>
                <w:sz w:val="6"/>
                <w:szCs w:val="6"/>
              </w:rPr>
            </w:pPr>
          </w:p>
        </w:tc>
        <w:tc>
          <w:tcPr>
            <w:tcW w:w="1200" w:type="dxa"/>
            <w:gridSpan w:val="3"/>
            <w:vMerge/>
            <w:vAlign w:val="bottom"/>
          </w:tcPr>
          <w:p w:rsidR="00AC12B4" w:rsidRDefault="00AC12B4">
            <w:pPr>
              <w:rPr>
                <w:sz w:val="6"/>
                <w:szCs w:val="6"/>
              </w:rPr>
            </w:pP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rsidRPr="00C27636">
        <w:trPr>
          <w:trHeight w:val="192"/>
        </w:trPr>
        <w:tc>
          <w:tcPr>
            <w:tcW w:w="2240" w:type="dxa"/>
            <w:gridSpan w:val="2"/>
            <w:vMerge/>
            <w:vAlign w:val="bottom"/>
          </w:tcPr>
          <w:p w:rsidR="00AC12B4" w:rsidRDefault="00AC12B4">
            <w:pPr>
              <w:rPr>
                <w:sz w:val="16"/>
                <w:szCs w:val="16"/>
              </w:rPr>
            </w:pPr>
          </w:p>
        </w:tc>
        <w:tc>
          <w:tcPr>
            <w:tcW w:w="520" w:type="dxa"/>
            <w:vMerge/>
            <w:vAlign w:val="bottom"/>
          </w:tcPr>
          <w:p w:rsidR="00AC12B4" w:rsidRDefault="00AC12B4">
            <w:pPr>
              <w:rPr>
                <w:sz w:val="16"/>
                <w:szCs w:val="16"/>
              </w:rPr>
            </w:pPr>
          </w:p>
        </w:tc>
        <w:tc>
          <w:tcPr>
            <w:tcW w:w="140" w:type="dxa"/>
            <w:vAlign w:val="bottom"/>
          </w:tcPr>
          <w:p w:rsidR="00AC12B4" w:rsidRDefault="00AC12B4">
            <w:pPr>
              <w:rPr>
                <w:sz w:val="16"/>
                <w:szCs w:val="16"/>
              </w:rPr>
            </w:pPr>
          </w:p>
        </w:tc>
        <w:tc>
          <w:tcPr>
            <w:tcW w:w="1840" w:type="dxa"/>
            <w:gridSpan w:val="19"/>
            <w:vMerge/>
            <w:vAlign w:val="bottom"/>
          </w:tcPr>
          <w:p w:rsidR="00AC12B4" w:rsidRDefault="00AC12B4">
            <w:pPr>
              <w:rPr>
                <w:sz w:val="16"/>
                <w:szCs w:val="16"/>
              </w:rPr>
            </w:pPr>
          </w:p>
        </w:tc>
        <w:tc>
          <w:tcPr>
            <w:tcW w:w="20" w:type="dxa"/>
            <w:vAlign w:val="bottom"/>
          </w:tcPr>
          <w:p w:rsidR="00AC12B4" w:rsidRDefault="00AC12B4">
            <w:pPr>
              <w:rPr>
                <w:sz w:val="16"/>
                <w:szCs w:val="16"/>
              </w:rPr>
            </w:pPr>
          </w:p>
        </w:tc>
        <w:tc>
          <w:tcPr>
            <w:tcW w:w="920" w:type="dxa"/>
            <w:gridSpan w:val="11"/>
            <w:vMerge/>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4060" w:type="dxa"/>
            <w:gridSpan w:val="13"/>
            <w:vMerge w:val="restart"/>
            <w:vAlign w:val="bottom"/>
          </w:tcPr>
          <w:p w:rsidR="00AC12B4" w:rsidRPr="00C27636" w:rsidRDefault="00C27636">
            <w:pPr>
              <w:ind w:left="40"/>
              <w:rPr>
                <w:sz w:val="20"/>
                <w:szCs w:val="20"/>
                <w:lang w:val="fr-BE"/>
              </w:rPr>
            </w:pPr>
            <w:r w:rsidRPr="00C27636">
              <w:rPr>
                <w:rFonts w:ascii="Calibri" w:eastAsia="Calibri" w:hAnsi="Calibri" w:cs="Calibri"/>
                <w:lang w:val="fr-BE"/>
              </w:rPr>
              <w:t>supérieur et ne plus suivre aucun cursus</w:t>
            </w:r>
          </w:p>
        </w:tc>
        <w:tc>
          <w:tcPr>
            <w:tcW w:w="60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trPr>
          <w:trHeight w:val="77"/>
        </w:trPr>
        <w:tc>
          <w:tcPr>
            <w:tcW w:w="2900" w:type="dxa"/>
            <w:gridSpan w:val="4"/>
            <w:vMerge w:val="restart"/>
            <w:vAlign w:val="bottom"/>
          </w:tcPr>
          <w:p w:rsidR="00AC12B4" w:rsidRDefault="00C27636">
            <w:pPr>
              <w:ind w:left="1460"/>
              <w:rPr>
                <w:sz w:val="20"/>
                <w:szCs w:val="20"/>
              </w:rPr>
            </w:pPr>
            <w:r>
              <w:rPr>
                <w:rFonts w:ascii="Calibri" w:eastAsia="Calibri" w:hAnsi="Calibri" w:cs="Calibri"/>
              </w:rPr>
              <w:t>accessible</w:t>
            </w:r>
            <w:r>
              <w:rPr>
                <w:rFonts w:ascii="Calibri" w:eastAsia="Calibri" w:hAnsi="Calibri" w:cs="Calibri"/>
              </w:rPr>
              <w:lastRenderedPageBreak/>
              <w:t>s  et</w:t>
            </w:r>
          </w:p>
        </w:tc>
        <w:tc>
          <w:tcPr>
            <w:tcW w:w="960" w:type="dxa"/>
            <w:gridSpan w:val="6"/>
            <w:vMerge w:val="restart"/>
            <w:vAlign w:val="bottom"/>
          </w:tcPr>
          <w:p w:rsidR="00AC12B4" w:rsidRDefault="00C27636">
            <w:pPr>
              <w:ind w:right="120"/>
              <w:jc w:val="right"/>
              <w:rPr>
                <w:sz w:val="20"/>
                <w:szCs w:val="20"/>
              </w:rPr>
            </w:pPr>
            <w:r>
              <w:rPr>
                <w:rFonts w:ascii="Calibri" w:eastAsia="Calibri" w:hAnsi="Calibri" w:cs="Calibri"/>
              </w:rPr>
              <w:lastRenderedPageBreak/>
              <w:t>que  des</w:t>
            </w:r>
          </w:p>
        </w:tc>
        <w:tc>
          <w:tcPr>
            <w:tcW w:w="880" w:type="dxa"/>
            <w:gridSpan w:val="13"/>
            <w:vMerge w:val="restart"/>
            <w:vAlign w:val="bottom"/>
          </w:tcPr>
          <w:p w:rsidR="00AC12B4" w:rsidRDefault="00C27636">
            <w:pPr>
              <w:ind w:left="20"/>
              <w:rPr>
                <w:sz w:val="20"/>
                <w:szCs w:val="20"/>
              </w:rPr>
            </w:pPr>
            <w:r>
              <w:rPr>
                <w:rFonts w:ascii="Calibri" w:eastAsia="Calibri" w:hAnsi="Calibri" w:cs="Calibri"/>
              </w:rPr>
              <w:t>mesures</w:t>
            </w:r>
          </w:p>
        </w:tc>
        <w:tc>
          <w:tcPr>
            <w:tcW w:w="20" w:type="dxa"/>
            <w:vAlign w:val="bottom"/>
          </w:tcPr>
          <w:p w:rsidR="00AC12B4" w:rsidRDefault="00AC12B4">
            <w:pPr>
              <w:rPr>
                <w:sz w:val="6"/>
                <w:szCs w:val="6"/>
              </w:rPr>
            </w:pPr>
          </w:p>
        </w:tc>
        <w:tc>
          <w:tcPr>
            <w:tcW w:w="920" w:type="dxa"/>
            <w:gridSpan w:val="11"/>
            <w:vMerge w:val="restart"/>
            <w:vAlign w:val="bottom"/>
          </w:tcPr>
          <w:p w:rsidR="00AC12B4" w:rsidRDefault="00C27636">
            <w:pPr>
              <w:ind w:right="340"/>
              <w:jc w:val="right"/>
              <w:rPr>
                <w:sz w:val="20"/>
                <w:szCs w:val="20"/>
              </w:rPr>
            </w:pPr>
            <w:r>
              <w:rPr>
                <w:rFonts w:ascii="Calibri" w:eastAsia="Calibri" w:hAnsi="Calibri" w:cs="Calibri"/>
              </w:rPr>
              <w:t>soient</w:t>
            </w: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60" w:type="dxa"/>
            <w:gridSpan w:val="13"/>
            <w:vMerge/>
            <w:vAlign w:val="bottom"/>
          </w:tcPr>
          <w:p w:rsidR="00AC12B4" w:rsidRDefault="00AC12B4">
            <w:pPr>
              <w:rPr>
                <w:sz w:val="6"/>
                <w:szCs w:val="6"/>
              </w:rPr>
            </w:pP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92"/>
        </w:trPr>
        <w:tc>
          <w:tcPr>
            <w:tcW w:w="2900" w:type="dxa"/>
            <w:gridSpan w:val="4"/>
            <w:vMerge/>
            <w:vAlign w:val="bottom"/>
          </w:tcPr>
          <w:p w:rsidR="00AC12B4" w:rsidRDefault="00AC12B4">
            <w:pPr>
              <w:rPr>
                <w:sz w:val="16"/>
                <w:szCs w:val="16"/>
              </w:rPr>
            </w:pPr>
          </w:p>
        </w:tc>
        <w:tc>
          <w:tcPr>
            <w:tcW w:w="960" w:type="dxa"/>
            <w:gridSpan w:val="6"/>
            <w:vMerge/>
            <w:vAlign w:val="bottom"/>
          </w:tcPr>
          <w:p w:rsidR="00AC12B4" w:rsidRDefault="00AC12B4">
            <w:pPr>
              <w:rPr>
                <w:sz w:val="16"/>
                <w:szCs w:val="16"/>
              </w:rPr>
            </w:pPr>
          </w:p>
        </w:tc>
        <w:tc>
          <w:tcPr>
            <w:tcW w:w="880" w:type="dxa"/>
            <w:gridSpan w:val="13"/>
            <w:vMerge/>
            <w:vAlign w:val="bottom"/>
          </w:tcPr>
          <w:p w:rsidR="00AC12B4" w:rsidRDefault="00AC12B4">
            <w:pPr>
              <w:rPr>
                <w:sz w:val="16"/>
                <w:szCs w:val="16"/>
              </w:rPr>
            </w:pPr>
          </w:p>
        </w:tc>
        <w:tc>
          <w:tcPr>
            <w:tcW w:w="20" w:type="dxa"/>
            <w:vAlign w:val="bottom"/>
          </w:tcPr>
          <w:p w:rsidR="00AC12B4" w:rsidRDefault="00AC12B4">
            <w:pPr>
              <w:rPr>
                <w:sz w:val="16"/>
                <w:szCs w:val="16"/>
              </w:rPr>
            </w:pPr>
          </w:p>
        </w:tc>
        <w:tc>
          <w:tcPr>
            <w:tcW w:w="920" w:type="dxa"/>
            <w:gridSpan w:val="11"/>
            <w:vMerge/>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740" w:type="dxa"/>
            <w:gridSpan w:val="3"/>
            <w:vMerge w:val="restart"/>
            <w:vAlign w:val="bottom"/>
          </w:tcPr>
          <w:p w:rsidR="00AC12B4" w:rsidRDefault="00C27636">
            <w:pPr>
              <w:ind w:left="40"/>
              <w:rPr>
                <w:sz w:val="20"/>
                <w:szCs w:val="20"/>
              </w:rPr>
            </w:pPr>
            <w:r>
              <w:rPr>
                <w:rFonts w:ascii="Calibri" w:eastAsia="Calibri" w:hAnsi="Calibri" w:cs="Calibri"/>
                <w:w w:val="98"/>
              </w:rPr>
              <w:t>scolaire</w:t>
            </w:r>
          </w:p>
        </w:tc>
        <w:tc>
          <w:tcPr>
            <w:tcW w:w="40" w:type="dxa"/>
            <w:vAlign w:val="bottom"/>
          </w:tcPr>
          <w:p w:rsidR="00AC12B4" w:rsidRDefault="00AC12B4">
            <w:pPr>
              <w:rPr>
                <w:sz w:val="16"/>
                <w:szCs w:val="16"/>
              </w:rPr>
            </w:pPr>
          </w:p>
        </w:tc>
        <w:tc>
          <w:tcPr>
            <w:tcW w:w="420" w:type="dxa"/>
            <w:vMerge w:val="restart"/>
            <w:vAlign w:val="bottom"/>
          </w:tcPr>
          <w:p w:rsidR="00AC12B4" w:rsidRDefault="00C27636">
            <w:pPr>
              <w:ind w:right="16"/>
              <w:jc w:val="right"/>
              <w:rPr>
                <w:sz w:val="20"/>
                <w:szCs w:val="20"/>
              </w:rPr>
            </w:pPr>
            <w:r>
              <w:rPr>
                <w:rFonts w:ascii="Calibri" w:eastAsia="Calibri" w:hAnsi="Calibri" w:cs="Calibri"/>
              </w:rPr>
              <w:t>ou</w:t>
            </w:r>
          </w:p>
        </w:tc>
        <w:tc>
          <w:tcPr>
            <w:tcW w:w="2380" w:type="dxa"/>
            <w:gridSpan w:val="7"/>
            <w:vMerge w:val="restart"/>
            <w:vAlign w:val="bottom"/>
          </w:tcPr>
          <w:p w:rsidR="00AC12B4" w:rsidRDefault="00C27636">
            <w:pPr>
              <w:jc w:val="right"/>
              <w:rPr>
                <w:sz w:val="20"/>
                <w:szCs w:val="20"/>
              </w:rPr>
            </w:pPr>
            <w:r>
              <w:rPr>
                <w:rFonts w:ascii="Calibri" w:eastAsia="Calibri" w:hAnsi="Calibri" w:cs="Calibri"/>
              </w:rPr>
              <w:t xml:space="preserve">formation. Nos </w:t>
            </w:r>
            <w:r>
              <w:rPr>
                <w:rFonts w:ascii="Calibri" w:eastAsia="Calibri" w:hAnsi="Calibri" w:cs="Calibri"/>
              </w:rPr>
              <w:t>données</w:t>
            </w:r>
          </w:p>
        </w:tc>
        <w:tc>
          <w:tcPr>
            <w:tcW w:w="480" w:type="dxa"/>
            <w:vMerge w:val="restart"/>
            <w:vAlign w:val="bottom"/>
          </w:tcPr>
          <w:p w:rsidR="00AC12B4" w:rsidRDefault="00C27636">
            <w:pPr>
              <w:ind w:right="54"/>
              <w:jc w:val="right"/>
              <w:rPr>
                <w:sz w:val="20"/>
                <w:szCs w:val="20"/>
              </w:rPr>
            </w:pPr>
            <w:r>
              <w:rPr>
                <w:rFonts w:ascii="Calibri" w:eastAsia="Calibri" w:hAnsi="Calibri" w:cs="Calibri"/>
              </w:rPr>
              <w:t>ne</w:t>
            </w:r>
          </w:p>
        </w:tc>
        <w:tc>
          <w:tcPr>
            <w:tcW w:w="6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rsidRPr="00C27636">
        <w:trPr>
          <w:trHeight w:val="77"/>
        </w:trPr>
        <w:tc>
          <w:tcPr>
            <w:tcW w:w="5680" w:type="dxa"/>
            <w:gridSpan w:val="35"/>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lastRenderedPageBreak/>
              <w:t>prises pour encourager la régularité de la</w:t>
            </w:r>
          </w:p>
        </w:tc>
        <w:tc>
          <w:tcPr>
            <w:tcW w:w="120" w:type="dxa"/>
            <w:vAlign w:val="bottom"/>
          </w:tcPr>
          <w:p w:rsidR="00AC12B4" w:rsidRPr="00C27636" w:rsidRDefault="00AC12B4">
            <w:pPr>
              <w:rPr>
                <w:sz w:val="6"/>
                <w:szCs w:val="6"/>
                <w:lang w:val="fr-BE"/>
              </w:rPr>
            </w:pPr>
          </w:p>
        </w:tc>
        <w:tc>
          <w:tcPr>
            <w:tcW w:w="4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4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740" w:type="dxa"/>
            <w:gridSpan w:val="3"/>
            <w:vMerge/>
            <w:vAlign w:val="bottom"/>
          </w:tcPr>
          <w:p w:rsidR="00AC12B4" w:rsidRPr="00C27636" w:rsidRDefault="00AC12B4">
            <w:pPr>
              <w:rPr>
                <w:sz w:val="6"/>
                <w:szCs w:val="6"/>
                <w:lang w:val="fr-BE"/>
              </w:rPr>
            </w:pPr>
          </w:p>
        </w:tc>
        <w:tc>
          <w:tcPr>
            <w:tcW w:w="40" w:type="dxa"/>
            <w:vAlign w:val="bottom"/>
          </w:tcPr>
          <w:p w:rsidR="00AC12B4" w:rsidRPr="00C27636" w:rsidRDefault="00AC12B4">
            <w:pPr>
              <w:rPr>
                <w:sz w:val="6"/>
                <w:szCs w:val="6"/>
                <w:lang w:val="fr-BE"/>
              </w:rPr>
            </w:pPr>
          </w:p>
        </w:tc>
        <w:tc>
          <w:tcPr>
            <w:tcW w:w="420" w:type="dxa"/>
            <w:vMerge/>
            <w:vAlign w:val="bottom"/>
          </w:tcPr>
          <w:p w:rsidR="00AC12B4" w:rsidRPr="00C27636" w:rsidRDefault="00AC12B4">
            <w:pPr>
              <w:rPr>
                <w:sz w:val="6"/>
                <w:szCs w:val="6"/>
                <w:lang w:val="fr-BE"/>
              </w:rPr>
            </w:pPr>
          </w:p>
        </w:tc>
        <w:tc>
          <w:tcPr>
            <w:tcW w:w="2380" w:type="dxa"/>
            <w:gridSpan w:val="7"/>
            <w:vMerge/>
            <w:vAlign w:val="bottom"/>
          </w:tcPr>
          <w:p w:rsidR="00AC12B4" w:rsidRPr="00C27636" w:rsidRDefault="00AC12B4">
            <w:pPr>
              <w:rPr>
                <w:sz w:val="6"/>
                <w:szCs w:val="6"/>
                <w:lang w:val="fr-BE"/>
              </w:rPr>
            </w:pPr>
          </w:p>
        </w:tc>
        <w:tc>
          <w:tcPr>
            <w:tcW w:w="480" w:type="dxa"/>
            <w:vMerge/>
            <w:vAlign w:val="bottom"/>
          </w:tcPr>
          <w:p w:rsidR="00AC12B4" w:rsidRPr="00C27636" w:rsidRDefault="00AC12B4">
            <w:pPr>
              <w:rPr>
                <w:sz w:val="6"/>
                <w:szCs w:val="6"/>
                <w:lang w:val="fr-BE"/>
              </w:rPr>
            </w:pPr>
          </w:p>
        </w:tc>
        <w:tc>
          <w:tcPr>
            <w:tcW w:w="60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192"/>
        </w:trPr>
        <w:tc>
          <w:tcPr>
            <w:tcW w:w="5680" w:type="dxa"/>
            <w:gridSpan w:val="35"/>
            <w:vMerge/>
            <w:vAlign w:val="bottom"/>
          </w:tcPr>
          <w:p w:rsidR="00AC12B4" w:rsidRPr="00C27636" w:rsidRDefault="00AC12B4">
            <w:pPr>
              <w:rPr>
                <w:sz w:val="16"/>
                <w:szCs w:val="16"/>
                <w:lang w:val="fr-BE"/>
              </w:rPr>
            </w:pPr>
          </w:p>
        </w:tc>
        <w:tc>
          <w:tcPr>
            <w:tcW w:w="120" w:type="dxa"/>
            <w:vAlign w:val="bottom"/>
          </w:tcPr>
          <w:p w:rsidR="00AC12B4" w:rsidRPr="00C27636" w:rsidRDefault="00AC12B4">
            <w:pPr>
              <w:rPr>
                <w:sz w:val="16"/>
                <w:szCs w:val="16"/>
                <w:lang w:val="fr-BE"/>
              </w:rPr>
            </w:pPr>
          </w:p>
        </w:tc>
        <w:tc>
          <w:tcPr>
            <w:tcW w:w="4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14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4060" w:type="dxa"/>
            <w:gridSpan w:val="13"/>
            <w:vMerge w:val="restart"/>
            <w:vAlign w:val="bottom"/>
          </w:tcPr>
          <w:p w:rsidR="00AC12B4" w:rsidRPr="00C27636" w:rsidRDefault="00C27636">
            <w:pPr>
              <w:ind w:left="40"/>
              <w:rPr>
                <w:sz w:val="20"/>
                <w:szCs w:val="20"/>
                <w:lang w:val="fr-BE"/>
              </w:rPr>
            </w:pPr>
            <w:r w:rsidRPr="00C27636">
              <w:rPr>
                <w:rFonts w:ascii="Calibri" w:eastAsia="Calibri" w:hAnsi="Calibri" w:cs="Calibri"/>
                <w:lang w:val="fr-BE"/>
              </w:rPr>
              <w:t>sont dès lors pas centrées sur l’enfant en</w:t>
            </w:r>
          </w:p>
        </w:tc>
        <w:tc>
          <w:tcPr>
            <w:tcW w:w="60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trPr>
          <w:trHeight w:val="77"/>
        </w:trPr>
        <w:tc>
          <w:tcPr>
            <w:tcW w:w="2760" w:type="dxa"/>
            <w:gridSpan w:val="3"/>
            <w:vMerge w:val="restart"/>
            <w:vAlign w:val="bottom"/>
          </w:tcPr>
          <w:p w:rsidR="00AC12B4" w:rsidRDefault="00C27636">
            <w:pPr>
              <w:ind w:left="1460"/>
              <w:rPr>
                <w:sz w:val="20"/>
                <w:szCs w:val="20"/>
              </w:rPr>
            </w:pPr>
            <w:r>
              <w:rPr>
                <w:rFonts w:ascii="Calibri" w:eastAsia="Calibri" w:hAnsi="Calibri" w:cs="Calibri"/>
              </w:rPr>
              <w:t>fréquentation</w:t>
            </w:r>
          </w:p>
        </w:tc>
        <w:tc>
          <w:tcPr>
            <w:tcW w:w="760" w:type="dxa"/>
            <w:gridSpan w:val="2"/>
            <w:vMerge w:val="restart"/>
            <w:vAlign w:val="bottom"/>
          </w:tcPr>
          <w:p w:rsidR="00AC12B4" w:rsidRDefault="00C27636">
            <w:pPr>
              <w:jc w:val="right"/>
              <w:rPr>
                <w:sz w:val="20"/>
                <w:szCs w:val="20"/>
              </w:rPr>
            </w:pPr>
            <w:r>
              <w:rPr>
                <w:rFonts w:ascii="Calibri" w:eastAsia="Calibri" w:hAnsi="Calibri" w:cs="Calibri"/>
              </w:rPr>
              <w:t>scolaire</w:t>
            </w:r>
          </w:p>
        </w:tc>
        <w:tc>
          <w:tcPr>
            <w:tcW w:w="60" w:type="dxa"/>
            <w:vAlign w:val="bottom"/>
          </w:tcPr>
          <w:p w:rsidR="00AC12B4" w:rsidRDefault="00AC12B4">
            <w:pPr>
              <w:rPr>
                <w:sz w:val="6"/>
                <w:szCs w:val="6"/>
              </w:rPr>
            </w:pPr>
          </w:p>
        </w:tc>
        <w:tc>
          <w:tcPr>
            <w:tcW w:w="460" w:type="dxa"/>
            <w:gridSpan w:val="7"/>
            <w:vMerge w:val="restart"/>
            <w:vAlign w:val="bottom"/>
          </w:tcPr>
          <w:p w:rsidR="00AC12B4" w:rsidRDefault="00C27636">
            <w:pPr>
              <w:ind w:right="80"/>
              <w:jc w:val="right"/>
              <w:rPr>
                <w:sz w:val="20"/>
                <w:szCs w:val="20"/>
              </w:rPr>
            </w:pPr>
            <w:r>
              <w:rPr>
                <w:rFonts w:ascii="Calibri" w:eastAsia="Calibri" w:hAnsi="Calibri" w:cs="Calibri"/>
              </w:rPr>
              <w:t>afin</w:t>
            </w:r>
          </w:p>
        </w:tc>
        <w:tc>
          <w:tcPr>
            <w:tcW w:w="320" w:type="dxa"/>
            <w:gridSpan w:val="5"/>
            <w:vMerge w:val="restart"/>
            <w:vAlign w:val="bottom"/>
          </w:tcPr>
          <w:p w:rsidR="00AC12B4" w:rsidRDefault="00C27636">
            <w:pPr>
              <w:ind w:left="40"/>
              <w:rPr>
                <w:sz w:val="20"/>
                <w:szCs w:val="20"/>
              </w:rPr>
            </w:pPr>
            <w:r>
              <w:rPr>
                <w:rFonts w:ascii="Calibri" w:eastAsia="Calibri" w:hAnsi="Calibri" w:cs="Calibri"/>
              </w:rPr>
              <w:t>de</w:t>
            </w:r>
          </w:p>
        </w:tc>
        <w:tc>
          <w:tcPr>
            <w:tcW w:w="720" w:type="dxa"/>
            <w:gridSpan w:val="10"/>
            <w:vMerge w:val="restart"/>
            <w:vAlign w:val="bottom"/>
          </w:tcPr>
          <w:p w:rsidR="00AC12B4" w:rsidRDefault="00C27636">
            <w:pPr>
              <w:ind w:left="60"/>
              <w:rPr>
                <w:sz w:val="20"/>
                <w:szCs w:val="20"/>
              </w:rPr>
            </w:pPr>
            <w:r>
              <w:rPr>
                <w:rFonts w:ascii="Calibri" w:eastAsia="Calibri" w:hAnsi="Calibri" w:cs="Calibri"/>
                <w:w w:val="97"/>
              </w:rPr>
              <w:t>réduire</w:t>
            </w:r>
          </w:p>
        </w:tc>
        <w:tc>
          <w:tcPr>
            <w:tcW w:w="600" w:type="dxa"/>
            <w:gridSpan w:val="7"/>
            <w:vMerge w:val="restart"/>
            <w:vAlign w:val="bottom"/>
          </w:tcPr>
          <w:p w:rsidR="00AC12B4" w:rsidRDefault="00C27636">
            <w:pPr>
              <w:ind w:right="340"/>
              <w:jc w:val="right"/>
              <w:rPr>
                <w:sz w:val="20"/>
                <w:szCs w:val="20"/>
              </w:rPr>
            </w:pPr>
            <w:r>
              <w:rPr>
                <w:rFonts w:ascii="Calibri" w:eastAsia="Calibri" w:hAnsi="Calibri" w:cs="Calibri"/>
              </w:rPr>
              <w:t>le</w:t>
            </w: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60" w:type="dxa"/>
            <w:gridSpan w:val="13"/>
            <w:vMerge/>
            <w:vAlign w:val="bottom"/>
          </w:tcPr>
          <w:p w:rsidR="00AC12B4" w:rsidRDefault="00AC12B4">
            <w:pPr>
              <w:rPr>
                <w:sz w:val="6"/>
                <w:szCs w:val="6"/>
              </w:rPr>
            </w:pP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rsidRPr="00C27636">
        <w:trPr>
          <w:trHeight w:val="192"/>
        </w:trPr>
        <w:tc>
          <w:tcPr>
            <w:tcW w:w="2760" w:type="dxa"/>
            <w:gridSpan w:val="3"/>
            <w:vMerge/>
            <w:vAlign w:val="bottom"/>
          </w:tcPr>
          <w:p w:rsidR="00AC12B4" w:rsidRDefault="00AC12B4">
            <w:pPr>
              <w:rPr>
                <w:sz w:val="16"/>
                <w:szCs w:val="16"/>
              </w:rPr>
            </w:pPr>
          </w:p>
        </w:tc>
        <w:tc>
          <w:tcPr>
            <w:tcW w:w="760" w:type="dxa"/>
            <w:gridSpan w:val="2"/>
            <w:vMerge/>
            <w:vAlign w:val="bottom"/>
          </w:tcPr>
          <w:p w:rsidR="00AC12B4" w:rsidRDefault="00AC12B4">
            <w:pPr>
              <w:rPr>
                <w:sz w:val="16"/>
                <w:szCs w:val="16"/>
              </w:rPr>
            </w:pPr>
          </w:p>
        </w:tc>
        <w:tc>
          <w:tcPr>
            <w:tcW w:w="60" w:type="dxa"/>
            <w:vAlign w:val="bottom"/>
          </w:tcPr>
          <w:p w:rsidR="00AC12B4" w:rsidRDefault="00AC12B4">
            <w:pPr>
              <w:rPr>
                <w:sz w:val="16"/>
                <w:szCs w:val="16"/>
              </w:rPr>
            </w:pPr>
          </w:p>
        </w:tc>
        <w:tc>
          <w:tcPr>
            <w:tcW w:w="460" w:type="dxa"/>
            <w:gridSpan w:val="7"/>
            <w:vMerge/>
            <w:vAlign w:val="bottom"/>
          </w:tcPr>
          <w:p w:rsidR="00AC12B4" w:rsidRDefault="00AC12B4">
            <w:pPr>
              <w:rPr>
                <w:sz w:val="16"/>
                <w:szCs w:val="16"/>
              </w:rPr>
            </w:pPr>
          </w:p>
        </w:tc>
        <w:tc>
          <w:tcPr>
            <w:tcW w:w="320" w:type="dxa"/>
            <w:gridSpan w:val="5"/>
            <w:vMerge/>
            <w:vAlign w:val="bottom"/>
          </w:tcPr>
          <w:p w:rsidR="00AC12B4" w:rsidRDefault="00AC12B4">
            <w:pPr>
              <w:rPr>
                <w:sz w:val="16"/>
                <w:szCs w:val="16"/>
              </w:rPr>
            </w:pPr>
          </w:p>
        </w:tc>
        <w:tc>
          <w:tcPr>
            <w:tcW w:w="720" w:type="dxa"/>
            <w:gridSpan w:val="10"/>
            <w:vMerge/>
            <w:vAlign w:val="bottom"/>
          </w:tcPr>
          <w:p w:rsidR="00AC12B4" w:rsidRDefault="00AC12B4">
            <w:pPr>
              <w:rPr>
                <w:sz w:val="16"/>
                <w:szCs w:val="16"/>
              </w:rPr>
            </w:pPr>
          </w:p>
        </w:tc>
        <w:tc>
          <w:tcPr>
            <w:tcW w:w="600" w:type="dxa"/>
            <w:gridSpan w:val="7"/>
            <w:vMerge/>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4060" w:type="dxa"/>
            <w:gridSpan w:val="13"/>
            <w:vMerge w:val="restart"/>
            <w:vAlign w:val="bottom"/>
          </w:tcPr>
          <w:p w:rsidR="00AC12B4" w:rsidRPr="00C27636" w:rsidRDefault="00C27636">
            <w:pPr>
              <w:spacing w:line="267" w:lineRule="exact"/>
              <w:ind w:left="40"/>
              <w:rPr>
                <w:sz w:val="20"/>
                <w:szCs w:val="20"/>
                <w:lang w:val="fr-BE"/>
              </w:rPr>
            </w:pPr>
            <w:r w:rsidRPr="00C27636">
              <w:rPr>
                <w:rFonts w:ascii="Calibri" w:eastAsia="Calibri" w:hAnsi="Calibri" w:cs="Calibri"/>
                <w:lang w:val="fr-BE"/>
              </w:rPr>
              <w:t>tant que tel (0-18 ans) mais sur le jeune en</w:t>
            </w:r>
          </w:p>
        </w:tc>
        <w:tc>
          <w:tcPr>
            <w:tcW w:w="60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trPr>
          <w:trHeight w:val="74"/>
        </w:trPr>
        <w:tc>
          <w:tcPr>
            <w:tcW w:w="4040" w:type="dxa"/>
            <w:gridSpan w:val="13"/>
            <w:vMerge w:val="restart"/>
            <w:vAlign w:val="bottom"/>
          </w:tcPr>
          <w:p w:rsidR="00AC12B4" w:rsidRDefault="00C27636">
            <w:pPr>
              <w:ind w:left="1460"/>
              <w:rPr>
                <w:sz w:val="20"/>
                <w:szCs w:val="20"/>
              </w:rPr>
            </w:pPr>
            <w:r>
              <w:rPr>
                <w:rFonts w:ascii="Calibri" w:eastAsia="Calibri" w:hAnsi="Calibri" w:cs="Calibri"/>
              </w:rPr>
              <w:t xml:space="preserve">taux  d’abandon  </w:t>
            </w:r>
            <w:r>
              <w:rPr>
                <w:rFonts w:ascii="Calibri" w:eastAsia="Calibri" w:hAnsi="Calibri" w:cs="Calibri"/>
              </w:rPr>
              <w:t>scolaire.</w:t>
            </w:r>
          </w:p>
        </w:tc>
        <w:tc>
          <w:tcPr>
            <w:tcW w:w="320" w:type="dxa"/>
            <w:gridSpan w:val="5"/>
            <w:vMerge w:val="restart"/>
            <w:vAlign w:val="bottom"/>
          </w:tcPr>
          <w:p w:rsidR="00AC12B4" w:rsidRDefault="00C27636">
            <w:pPr>
              <w:ind w:left="60"/>
              <w:rPr>
                <w:sz w:val="20"/>
                <w:szCs w:val="20"/>
              </w:rPr>
            </w:pPr>
            <w:r>
              <w:rPr>
                <w:rFonts w:ascii="Calibri" w:eastAsia="Calibri" w:hAnsi="Calibri" w:cs="Calibri"/>
              </w:rPr>
              <w:t>En</w:t>
            </w:r>
          </w:p>
        </w:tc>
        <w:tc>
          <w:tcPr>
            <w:tcW w:w="700" w:type="dxa"/>
            <w:gridSpan w:val="9"/>
            <w:vMerge w:val="restart"/>
            <w:vAlign w:val="bottom"/>
          </w:tcPr>
          <w:p w:rsidR="00AC12B4" w:rsidRDefault="00C27636">
            <w:pPr>
              <w:ind w:right="60"/>
              <w:jc w:val="right"/>
              <w:rPr>
                <w:sz w:val="20"/>
                <w:szCs w:val="20"/>
              </w:rPr>
            </w:pPr>
            <w:r>
              <w:rPr>
                <w:rFonts w:ascii="Calibri" w:eastAsia="Calibri" w:hAnsi="Calibri" w:cs="Calibri"/>
              </w:rPr>
              <w:t>2010,</w:t>
            </w:r>
          </w:p>
        </w:tc>
        <w:tc>
          <w:tcPr>
            <w:tcW w:w="20" w:type="dxa"/>
            <w:vAlign w:val="bottom"/>
          </w:tcPr>
          <w:p w:rsidR="00AC12B4" w:rsidRDefault="00AC12B4">
            <w:pPr>
              <w:rPr>
                <w:sz w:val="6"/>
                <w:szCs w:val="6"/>
              </w:rPr>
            </w:pPr>
          </w:p>
        </w:tc>
        <w:tc>
          <w:tcPr>
            <w:tcW w:w="600" w:type="dxa"/>
            <w:gridSpan w:val="7"/>
            <w:vMerge w:val="restart"/>
            <w:vAlign w:val="bottom"/>
          </w:tcPr>
          <w:p w:rsidR="00AC12B4" w:rsidRDefault="00C27636">
            <w:pPr>
              <w:ind w:right="340"/>
              <w:jc w:val="right"/>
              <w:rPr>
                <w:sz w:val="20"/>
                <w:szCs w:val="20"/>
              </w:rPr>
            </w:pPr>
            <w:r>
              <w:rPr>
                <w:rFonts w:ascii="Calibri" w:eastAsia="Calibri" w:hAnsi="Calibri" w:cs="Calibri"/>
              </w:rPr>
              <w:t>le</w:t>
            </w: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60" w:type="dxa"/>
            <w:gridSpan w:val="13"/>
            <w:vMerge/>
            <w:vAlign w:val="bottom"/>
          </w:tcPr>
          <w:p w:rsidR="00AC12B4" w:rsidRDefault="00AC12B4">
            <w:pPr>
              <w:rPr>
                <w:sz w:val="6"/>
                <w:szCs w:val="6"/>
              </w:rPr>
            </w:pP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94"/>
        </w:trPr>
        <w:tc>
          <w:tcPr>
            <w:tcW w:w="4040" w:type="dxa"/>
            <w:gridSpan w:val="13"/>
            <w:vMerge/>
            <w:vAlign w:val="bottom"/>
          </w:tcPr>
          <w:p w:rsidR="00AC12B4" w:rsidRDefault="00AC12B4">
            <w:pPr>
              <w:rPr>
                <w:sz w:val="16"/>
                <w:szCs w:val="16"/>
              </w:rPr>
            </w:pPr>
          </w:p>
        </w:tc>
        <w:tc>
          <w:tcPr>
            <w:tcW w:w="320" w:type="dxa"/>
            <w:gridSpan w:val="5"/>
            <w:vMerge/>
            <w:vAlign w:val="bottom"/>
          </w:tcPr>
          <w:p w:rsidR="00AC12B4" w:rsidRDefault="00AC12B4">
            <w:pPr>
              <w:rPr>
                <w:sz w:val="16"/>
                <w:szCs w:val="16"/>
              </w:rPr>
            </w:pPr>
          </w:p>
        </w:tc>
        <w:tc>
          <w:tcPr>
            <w:tcW w:w="700" w:type="dxa"/>
            <w:gridSpan w:val="9"/>
            <w:vMerge/>
            <w:vAlign w:val="bottom"/>
          </w:tcPr>
          <w:p w:rsidR="00AC12B4" w:rsidRDefault="00AC12B4">
            <w:pPr>
              <w:rPr>
                <w:sz w:val="16"/>
                <w:szCs w:val="16"/>
              </w:rPr>
            </w:pPr>
          </w:p>
        </w:tc>
        <w:tc>
          <w:tcPr>
            <w:tcW w:w="20" w:type="dxa"/>
            <w:vAlign w:val="bottom"/>
          </w:tcPr>
          <w:p w:rsidR="00AC12B4" w:rsidRDefault="00AC12B4">
            <w:pPr>
              <w:rPr>
                <w:sz w:val="16"/>
                <w:szCs w:val="16"/>
              </w:rPr>
            </w:pPr>
          </w:p>
        </w:tc>
        <w:tc>
          <w:tcPr>
            <w:tcW w:w="600" w:type="dxa"/>
            <w:gridSpan w:val="7"/>
            <w:vMerge/>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720" w:type="dxa"/>
            <w:gridSpan w:val="6"/>
            <w:vMerge w:val="restart"/>
            <w:vAlign w:val="bottom"/>
          </w:tcPr>
          <w:p w:rsidR="00AC12B4" w:rsidRDefault="00C27636">
            <w:pPr>
              <w:ind w:left="40"/>
              <w:rPr>
                <w:sz w:val="20"/>
                <w:szCs w:val="20"/>
              </w:rPr>
            </w:pPr>
            <w:r>
              <w:rPr>
                <w:rFonts w:ascii="Calibri" w:eastAsia="Calibri" w:hAnsi="Calibri" w:cs="Calibri"/>
              </w:rPr>
              <w:t>transition (18-24).</w:t>
            </w:r>
          </w:p>
        </w:tc>
        <w:tc>
          <w:tcPr>
            <w:tcW w:w="480" w:type="dxa"/>
            <w:vAlign w:val="bottom"/>
          </w:tcPr>
          <w:p w:rsidR="00AC12B4" w:rsidRDefault="00AC12B4">
            <w:pPr>
              <w:rPr>
                <w:sz w:val="16"/>
                <w:szCs w:val="16"/>
              </w:rPr>
            </w:pPr>
          </w:p>
        </w:tc>
        <w:tc>
          <w:tcPr>
            <w:tcW w:w="10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420" w:type="dxa"/>
            <w:vAlign w:val="bottom"/>
          </w:tcPr>
          <w:p w:rsidR="00AC12B4" w:rsidRDefault="00AC12B4">
            <w:pPr>
              <w:rPr>
                <w:sz w:val="16"/>
                <w:szCs w:val="16"/>
              </w:rPr>
            </w:pPr>
          </w:p>
        </w:tc>
        <w:tc>
          <w:tcPr>
            <w:tcW w:w="300" w:type="dxa"/>
            <w:vAlign w:val="bottom"/>
          </w:tcPr>
          <w:p w:rsidR="00AC12B4" w:rsidRDefault="00AC12B4">
            <w:pPr>
              <w:rPr>
                <w:sz w:val="16"/>
                <w:szCs w:val="16"/>
              </w:rPr>
            </w:pPr>
          </w:p>
        </w:tc>
        <w:tc>
          <w:tcPr>
            <w:tcW w:w="480" w:type="dxa"/>
            <w:vAlign w:val="bottom"/>
          </w:tcPr>
          <w:p w:rsidR="00AC12B4" w:rsidRDefault="00AC12B4">
            <w:pPr>
              <w:rPr>
                <w:sz w:val="16"/>
                <w:szCs w:val="16"/>
              </w:rPr>
            </w:pPr>
          </w:p>
        </w:tc>
        <w:tc>
          <w:tcPr>
            <w:tcW w:w="6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74"/>
        </w:trPr>
        <w:tc>
          <w:tcPr>
            <w:tcW w:w="2240" w:type="dxa"/>
            <w:gridSpan w:val="2"/>
            <w:vMerge w:val="restart"/>
            <w:vAlign w:val="bottom"/>
          </w:tcPr>
          <w:p w:rsidR="00AC12B4" w:rsidRDefault="00C27636">
            <w:pPr>
              <w:spacing w:line="211" w:lineRule="exact"/>
              <w:ind w:left="1460"/>
              <w:rPr>
                <w:sz w:val="20"/>
                <w:szCs w:val="20"/>
              </w:rPr>
            </w:pPr>
            <w:r>
              <w:rPr>
                <w:rFonts w:ascii="Calibri" w:eastAsia="Calibri" w:hAnsi="Calibri" w:cs="Calibri"/>
              </w:rPr>
              <w:t>Comité</w:t>
            </w:r>
          </w:p>
        </w:tc>
        <w:tc>
          <w:tcPr>
            <w:tcW w:w="520" w:type="dxa"/>
            <w:vMerge w:val="restart"/>
            <w:vAlign w:val="bottom"/>
          </w:tcPr>
          <w:p w:rsidR="00AC12B4" w:rsidRDefault="00C27636">
            <w:pPr>
              <w:spacing w:line="211" w:lineRule="exact"/>
              <w:ind w:right="91"/>
              <w:jc w:val="right"/>
              <w:rPr>
                <w:sz w:val="20"/>
                <w:szCs w:val="20"/>
              </w:rPr>
            </w:pPr>
            <w:r>
              <w:rPr>
                <w:rFonts w:ascii="Calibri" w:eastAsia="Calibri" w:hAnsi="Calibri" w:cs="Calibri"/>
                <w:w w:val="96"/>
              </w:rPr>
              <w:t>des</w:t>
            </w:r>
          </w:p>
        </w:tc>
        <w:tc>
          <w:tcPr>
            <w:tcW w:w="140" w:type="dxa"/>
            <w:vAlign w:val="bottom"/>
          </w:tcPr>
          <w:p w:rsidR="00AC12B4" w:rsidRDefault="00AC12B4">
            <w:pPr>
              <w:rPr>
                <w:sz w:val="6"/>
                <w:szCs w:val="6"/>
              </w:rPr>
            </w:pPr>
          </w:p>
        </w:tc>
        <w:tc>
          <w:tcPr>
            <w:tcW w:w="6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720" w:type="dxa"/>
            <w:gridSpan w:val="6"/>
            <w:vMerge/>
            <w:vAlign w:val="bottom"/>
          </w:tcPr>
          <w:p w:rsidR="00AC12B4" w:rsidRDefault="00AC12B4">
            <w:pPr>
              <w:rPr>
                <w:sz w:val="6"/>
                <w:szCs w:val="6"/>
              </w:rPr>
            </w:pPr>
          </w:p>
        </w:tc>
        <w:tc>
          <w:tcPr>
            <w:tcW w:w="48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36"/>
        </w:trPr>
        <w:tc>
          <w:tcPr>
            <w:tcW w:w="2240" w:type="dxa"/>
            <w:gridSpan w:val="2"/>
            <w:vMerge/>
            <w:vAlign w:val="bottom"/>
          </w:tcPr>
          <w:p w:rsidR="00AC12B4" w:rsidRDefault="00AC12B4">
            <w:pPr>
              <w:rPr>
                <w:sz w:val="11"/>
                <w:szCs w:val="11"/>
              </w:rPr>
            </w:pPr>
          </w:p>
        </w:tc>
        <w:tc>
          <w:tcPr>
            <w:tcW w:w="520" w:type="dxa"/>
            <w:vMerge/>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620" w:type="dxa"/>
            <w:tcBorders>
              <w:bottom w:val="single" w:sz="8" w:space="0" w:color="8BCCEC"/>
            </w:tcBorders>
            <w:vAlign w:val="bottom"/>
          </w:tcPr>
          <w:p w:rsidR="00AC12B4" w:rsidRDefault="00AC12B4">
            <w:pPr>
              <w:rPr>
                <w:sz w:val="11"/>
                <w:szCs w:val="11"/>
              </w:rPr>
            </w:pPr>
          </w:p>
        </w:tc>
        <w:tc>
          <w:tcPr>
            <w:tcW w:w="60" w:type="dxa"/>
            <w:tcBorders>
              <w:bottom w:val="single" w:sz="8" w:space="0" w:color="8BCCEC"/>
            </w:tcBorders>
            <w:vAlign w:val="bottom"/>
          </w:tcPr>
          <w:p w:rsidR="00AC12B4" w:rsidRDefault="00AC12B4">
            <w:pPr>
              <w:rPr>
                <w:sz w:val="11"/>
                <w:szCs w:val="11"/>
              </w:rPr>
            </w:pPr>
          </w:p>
        </w:tc>
        <w:tc>
          <w:tcPr>
            <w:tcW w:w="8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40" w:type="dxa"/>
            <w:tcBorders>
              <w:bottom w:val="single" w:sz="8" w:space="0" w:color="8BCCEC"/>
            </w:tcBorders>
            <w:vAlign w:val="bottom"/>
          </w:tcPr>
          <w:p w:rsidR="00AC12B4" w:rsidRDefault="00AC12B4">
            <w:pPr>
              <w:rPr>
                <w:sz w:val="11"/>
                <w:szCs w:val="11"/>
              </w:rPr>
            </w:pPr>
          </w:p>
        </w:tc>
        <w:tc>
          <w:tcPr>
            <w:tcW w:w="10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60" w:type="dxa"/>
            <w:tcBorders>
              <w:bottom w:val="single" w:sz="8" w:space="0" w:color="8BCCEC"/>
            </w:tcBorders>
            <w:vAlign w:val="bottom"/>
          </w:tcPr>
          <w:p w:rsidR="00AC12B4" w:rsidRDefault="00AC12B4">
            <w:pPr>
              <w:rPr>
                <w:sz w:val="11"/>
                <w:szCs w:val="11"/>
              </w:rPr>
            </w:pPr>
          </w:p>
        </w:tc>
        <w:tc>
          <w:tcPr>
            <w:tcW w:w="8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60" w:type="dxa"/>
            <w:tcBorders>
              <w:bottom w:val="single" w:sz="8" w:space="0" w:color="8BCCEC"/>
            </w:tcBorders>
            <w:vAlign w:val="bottom"/>
          </w:tcPr>
          <w:p w:rsidR="00AC12B4" w:rsidRDefault="00AC12B4">
            <w:pPr>
              <w:rPr>
                <w:sz w:val="11"/>
                <w:szCs w:val="11"/>
              </w:rPr>
            </w:pPr>
          </w:p>
        </w:tc>
        <w:tc>
          <w:tcPr>
            <w:tcW w:w="8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2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20" w:type="dxa"/>
            <w:tcBorders>
              <w:bottom w:val="single" w:sz="8" w:space="0" w:color="8BCCEC"/>
            </w:tcBorders>
            <w:vAlign w:val="bottom"/>
          </w:tcPr>
          <w:p w:rsidR="00AC12B4" w:rsidRDefault="00AC12B4">
            <w:pPr>
              <w:rPr>
                <w:sz w:val="11"/>
                <w:szCs w:val="11"/>
              </w:rPr>
            </w:pPr>
          </w:p>
        </w:tc>
        <w:tc>
          <w:tcPr>
            <w:tcW w:w="120" w:type="dxa"/>
            <w:tcBorders>
              <w:bottom w:val="single" w:sz="8" w:space="0" w:color="8BCCEC"/>
            </w:tcBorders>
            <w:vAlign w:val="bottom"/>
          </w:tcPr>
          <w:p w:rsidR="00AC12B4" w:rsidRDefault="00AC12B4">
            <w:pPr>
              <w:rPr>
                <w:sz w:val="11"/>
                <w:szCs w:val="11"/>
              </w:rPr>
            </w:pPr>
          </w:p>
        </w:tc>
        <w:tc>
          <w:tcPr>
            <w:tcW w:w="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140" w:type="dxa"/>
            <w:tcBorders>
              <w:bottom w:val="single" w:sz="8" w:space="0" w:color="8BCCEC"/>
            </w:tcBorders>
            <w:vAlign w:val="bottom"/>
          </w:tcPr>
          <w:p w:rsidR="00AC12B4" w:rsidRDefault="00AC12B4">
            <w:pPr>
              <w:rPr>
                <w:sz w:val="11"/>
                <w:szCs w:val="11"/>
              </w:rPr>
            </w:pPr>
          </w:p>
        </w:tc>
        <w:tc>
          <w:tcPr>
            <w:tcW w:w="20" w:type="dxa"/>
            <w:tcBorders>
              <w:bottom w:val="single" w:sz="8" w:space="0" w:color="8BCCEC"/>
            </w:tcBorders>
            <w:vAlign w:val="bottom"/>
          </w:tcPr>
          <w:p w:rsidR="00AC12B4" w:rsidRDefault="00AC12B4">
            <w:pPr>
              <w:rPr>
                <w:sz w:val="11"/>
                <w:szCs w:val="11"/>
              </w:rPr>
            </w:pPr>
          </w:p>
        </w:tc>
        <w:tc>
          <w:tcPr>
            <w:tcW w:w="400" w:type="dxa"/>
            <w:tcBorders>
              <w:bottom w:val="single" w:sz="8" w:space="0" w:color="8BCCEC"/>
            </w:tcBorders>
            <w:vAlign w:val="bottom"/>
          </w:tcPr>
          <w:p w:rsidR="00AC12B4" w:rsidRDefault="00AC12B4">
            <w:pPr>
              <w:rPr>
                <w:sz w:val="11"/>
                <w:szCs w:val="11"/>
              </w:rPr>
            </w:pPr>
          </w:p>
        </w:tc>
        <w:tc>
          <w:tcPr>
            <w:tcW w:w="240" w:type="dxa"/>
            <w:tcBorders>
              <w:bottom w:val="single" w:sz="8" w:space="0" w:color="8BCCEC"/>
            </w:tcBorders>
            <w:vAlign w:val="bottom"/>
          </w:tcPr>
          <w:p w:rsidR="00AC12B4" w:rsidRDefault="00AC12B4">
            <w:pPr>
              <w:rPr>
                <w:sz w:val="11"/>
                <w:szCs w:val="11"/>
              </w:rPr>
            </w:pPr>
          </w:p>
        </w:tc>
        <w:tc>
          <w:tcPr>
            <w:tcW w:w="100" w:type="dxa"/>
            <w:tcBorders>
              <w:bottom w:val="single" w:sz="8" w:space="0" w:color="8BCCEC"/>
            </w:tcBorders>
            <w:vAlign w:val="bottom"/>
          </w:tcPr>
          <w:p w:rsidR="00AC12B4" w:rsidRDefault="00AC12B4">
            <w:pPr>
              <w:rPr>
                <w:sz w:val="11"/>
                <w:szCs w:val="11"/>
              </w:rPr>
            </w:pPr>
          </w:p>
        </w:tc>
        <w:tc>
          <w:tcPr>
            <w:tcW w:w="40" w:type="dxa"/>
            <w:tcBorders>
              <w:bottom w:val="single" w:sz="8" w:space="0" w:color="8BCCEC"/>
            </w:tcBorders>
            <w:vAlign w:val="bottom"/>
          </w:tcPr>
          <w:p w:rsidR="00AC12B4" w:rsidRDefault="00AC12B4">
            <w:pPr>
              <w:rPr>
                <w:sz w:val="11"/>
                <w:szCs w:val="11"/>
              </w:rPr>
            </w:pPr>
          </w:p>
        </w:tc>
        <w:tc>
          <w:tcPr>
            <w:tcW w:w="420" w:type="dxa"/>
            <w:tcBorders>
              <w:bottom w:val="single" w:sz="8" w:space="0" w:color="8BCCEC"/>
            </w:tcBorders>
            <w:vAlign w:val="bottom"/>
          </w:tcPr>
          <w:p w:rsidR="00AC12B4" w:rsidRDefault="00AC12B4">
            <w:pPr>
              <w:rPr>
                <w:sz w:val="11"/>
                <w:szCs w:val="11"/>
              </w:rPr>
            </w:pPr>
          </w:p>
        </w:tc>
        <w:tc>
          <w:tcPr>
            <w:tcW w:w="520" w:type="dxa"/>
            <w:tcBorders>
              <w:bottom w:val="single" w:sz="8" w:space="0" w:color="8BCCEC"/>
            </w:tcBorders>
            <w:vAlign w:val="bottom"/>
          </w:tcPr>
          <w:p w:rsidR="00AC12B4" w:rsidRDefault="00AC12B4">
            <w:pPr>
              <w:rPr>
                <w:sz w:val="11"/>
                <w:szCs w:val="11"/>
              </w:rPr>
            </w:pPr>
          </w:p>
        </w:tc>
        <w:tc>
          <w:tcPr>
            <w:tcW w:w="480" w:type="dxa"/>
            <w:tcBorders>
              <w:bottom w:val="single" w:sz="8" w:space="0" w:color="8BCCEC"/>
            </w:tcBorders>
            <w:vAlign w:val="bottom"/>
          </w:tcPr>
          <w:p w:rsidR="00AC12B4" w:rsidRDefault="00AC12B4">
            <w:pPr>
              <w:rPr>
                <w:sz w:val="11"/>
                <w:szCs w:val="11"/>
              </w:rPr>
            </w:pPr>
          </w:p>
        </w:tc>
        <w:tc>
          <w:tcPr>
            <w:tcW w:w="100" w:type="dxa"/>
            <w:tcBorders>
              <w:bottom w:val="single" w:sz="8" w:space="0" w:color="8BCCEC"/>
            </w:tcBorders>
            <w:vAlign w:val="bottom"/>
          </w:tcPr>
          <w:p w:rsidR="00AC12B4" w:rsidRDefault="00AC12B4">
            <w:pPr>
              <w:rPr>
                <w:sz w:val="11"/>
                <w:szCs w:val="11"/>
              </w:rPr>
            </w:pPr>
          </w:p>
        </w:tc>
        <w:tc>
          <w:tcPr>
            <w:tcW w:w="80" w:type="dxa"/>
            <w:tcBorders>
              <w:bottom w:val="single" w:sz="8" w:space="0" w:color="8BCCEC"/>
            </w:tcBorders>
            <w:vAlign w:val="bottom"/>
          </w:tcPr>
          <w:p w:rsidR="00AC12B4" w:rsidRDefault="00AC12B4">
            <w:pPr>
              <w:rPr>
                <w:sz w:val="11"/>
                <w:szCs w:val="11"/>
              </w:rPr>
            </w:pPr>
          </w:p>
        </w:tc>
        <w:tc>
          <w:tcPr>
            <w:tcW w:w="900" w:type="dxa"/>
            <w:gridSpan w:val="2"/>
            <w:vMerge w:val="restart"/>
            <w:vAlign w:val="bottom"/>
          </w:tcPr>
          <w:p w:rsidR="00AC12B4" w:rsidRDefault="00C27636">
            <w:pPr>
              <w:ind w:left="180"/>
              <w:rPr>
                <w:sz w:val="20"/>
                <w:szCs w:val="20"/>
              </w:rPr>
            </w:pPr>
            <w:r>
              <w:rPr>
                <w:rFonts w:ascii="Calibri" w:eastAsia="Calibri" w:hAnsi="Calibri" w:cs="Calibri"/>
              </w:rPr>
              <w:t>Nous</w:t>
            </w:r>
          </w:p>
        </w:tc>
        <w:tc>
          <w:tcPr>
            <w:tcW w:w="780" w:type="dxa"/>
            <w:gridSpan w:val="2"/>
            <w:vMerge w:val="restart"/>
            <w:vAlign w:val="bottom"/>
          </w:tcPr>
          <w:p w:rsidR="00AC12B4" w:rsidRDefault="00C27636">
            <w:pPr>
              <w:ind w:right="34"/>
              <w:jc w:val="right"/>
              <w:rPr>
                <w:sz w:val="20"/>
                <w:szCs w:val="20"/>
              </w:rPr>
            </w:pPr>
            <w:r>
              <w:rPr>
                <w:rFonts w:ascii="Calibri" w:eastAsia="Calibri" w:hAnsi="Calibri" w:cs="Calibri"/>
              </w:rPr>
              <w:t>nous</w:t>
            </w:r>
          </w:p>
        </w:tc>
        <w:tc>
          <w:tcPr>
            <w:tcW w:w="6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233"/>
        </w:trPr>
        <w:tc>
          <w:tcPr>
            <w:tcW w:w="2240" w:type="dxa"/>
            <w:gridSpan w:val="2"/>
            <w:vMerge w:val="restart"/>
            <w:vAlign w:val="bottom"/>
          </w:tcPr>
          <w:p w:rsidR="00AC12B4" w:rsidRDefault="00C27636">
            <w:pPr>
              <w:ind w:left="1460"/>
              <w:rPr>
                <w:sz w:val="20"/>
                <w:szCs w:val="20"/>
              </w:rPr>
            </w:pPr>
            <w:r>
              <w:rPr>
                <w:rFonts w:ascii="Calibri" w:eastAsia="Calibri" w:hAnsi="Calibri" w:cs="Calibri"/>
              </w:rPr>
              <w:t>droi</w:t>
            </w:r>
            <w:r>
              <w:rPr>
                <w:rFonts w:ascii="Calibri" w:eastAsia="Calibri" w:hAnsi="Calibri" w:cs="Calibri"/>
              </w:rPr>
              <w:lastRenderedPageBreak/>
              <w:t>ts</w:t>
            </w:r>
          </w:p>
        </w:tc>
        <w:tc>
          <w:tcPr>
            <w:tcW w:w="520" w:type="dxa"/>
            <w:vMerge w:val="restart"/>
            <w:tcBorders>
              <w:right w:val="single" w:sz="8" w:space="0" w:color="8BCCEC"/>
            </w:tcBorders>
            <w:vAlign w:val="bottom"/>
          </w:tcPr>
          <w:p w:rsidR="00AC12B4" w:rsidRDefault="00C27636">
            <w:pPr>
              <w:ind w:right="91"/>
              <w:jc w:val="right"/>
              <w:rPr>
                <w:sz w:val="20"/>
                <w:szCs w:val="20"/>
              </w:rPr>
            </w:pPr>
            <w:r>
              <w:rPr>
                <w:rFonts w:ascii="Calibri" w:eastAsia="Calibri" w:hAnsi="Calibri" w:cs="Calibri"/>
              </w:rPr>
              <w:lastRenderedPageBreak/>
              <w:t>de</w:t>
            </w:r>
          </w:p>
        </w:tc>
        <w:tc>
          <w:tcPr>
            <w:tcW w:w="140" w:type="dxa"/>
            <w:vAlign w:val="bottom"/>
          </w:tcPr>
          <w:p w:rsidR="00AC12B4" w:rsidRDefault="00AC12B4">
            <w:pPr>
              <w:rPr>
                <w:sz w:val="20"/>
                <w:szCs w:val="20"/>
              </w:rPr>
            </w:pPr>
          </w:p>
        </w:tc>
        <w:tc>
          <w:tcPr>
            <w:tcW w:w="620" w:type="dxa"/>
            <w:vAlign w:val="bottom"/>
          </w:tcPr>
          <w:p w:rsidR="00AC12B4" w:rsidRDefault="00AC12B4">
            <w:pPr>
              <w:rPr>
                <w:sz w:val="20"/>
                <w:szCs w:val="20"/>
              </w:rPr>
            </w:pPr>
          </w:p>
        </w:tc>
        <w:tc>
          <w:tcPr>
            <w:tcW w:w="4220" w:type="dxa"/>
            <w:gridSpan w:val="41"/>
            <w:vMerge w:val="restart"/>
            <w:vAlign w:val="bottom"/>
          </w:tcPr>
          <w:p w:rsidR="00AC12B4" w:rsidRPr="00C27636" w:rsidRDefault="00C27636">
            <w:pPr>
              <w:rPr>
                <w:sz w:val="20"/>
                <w:szCs w:val="20"/>
                <w:lang w:val="fr-BE"/>
              </w:rPr>
            </w:pPr>
            <w:r w:rsidRPr="00C27636">
              <w:rPr>
                <w:rFonts w:ascii="Calibri" w:eastAsia="Calibri" w:hAnsi="Calibri" w:cs="Calibri"/>
                <w:b/>
                <w:bCs/>
                <w:sz w:val="20"/>
                <w:szCs w:val="20"/>
                <w:lang w:val="fr-BE"/>
              </w:rPr>
              <w:t>Interruption prématurée de scolarité en Belgique</w:t>
            </w:r>
          </w:p>
        </w:tc>
        <w:tc>
          <w:tcPr>
            <w:tcW w:w="480" w:type="dxa"/>
            <w:vAlign w:val="bottom"/>
          </w:tcPr>
          <w:p w:rsidR="00AC12B4" w:rsidRPr="00C27636" w:rsidRDefault="00AC12B4">
            <w:pPr>
              <w:rPr>
                <w:sz w:val="20"/>
                <w:szCs w:val="20"/>
                <w:lang w:val="fr-BE"/>
              </w:rPr>
            </w:pPr>
          </w:p>
        </w:tc>
        <w:tc>
          <w:tcPr>
            <w:tcW w:w="100" w:type="dxa"/>
            <w:vAlign w:val="bottom"/>
          </w:tcPr>
          <w:p w:rsidR="00AC12B4" w:rsidRPr="00C27636" w:rsidRDefault="00AC12B4">
            <w:pPr>
              <w:rPr>
                <w:sz w:val="20"/>
                <w:szCs w:val="20"/>
                <w:lang w:val="fr-BE"/>
              </w:rPr>
            </w:pPr>
          </w:p>
        </w:tc>
        <w:tc>
          <w:tcPr>
            <w:tcW w:w="80" w:type="dxa"/>
            <w:tcBorders>
              <w:right w:val="single" w:sz="8" w:space="0" w:color="8BCCEC"/>
            </w:tcBorders>
            <w:vAlign w:val="bottom"/>
          </w:tcPr>
          <w:p w:rsidR="00AC12B4" w:rsidRPr="00C27636" w:rsidRDefault="00AC12B4">
            <w:pPr>
              <w:rPr>
                <w:sz w:val="20"/>
                <w:szCs w:val="20"/>
                <w:lang w:val="fr-BE"/>
              </w:rPr>
            </w:pPr>
          </w:p>
        </w:tc>
        <w:tc>
          <w:tcPr>
            <w:tcW w:w="900" w:type="dxa"/>
            <w:gridSpan w:val="2"/>
            <w:vMerge/>
            <w:vAlign w:val="bottom"/>
          </w:tcPr>
          <w:p w:rsidR="00AC12B4" w:rsidRPr="00C27636" w:rsidRDefault="00AC12B4">
            <w:pPr>
              <w:rPr>
                <w:sz w:val="20"/>
                <w:szCs w:val="20"/>
                <w:lang w:val="fr-BE"/>
              </w:rPr>
            </w:pPr>
          </w:p>
        </w:tc>
        <w:tc>
          <w:tcPr>
            <w:tcW w:w="780" w:type="dxa"/>
            <w:gridSpan w:val="2"/>
            <w:vMerge/>
            <w:vAlign w:val="bottom"/>
          </w:tcPr>
          <w:p w:rsidR="00AC12B4" w:rsidRPr="00C27636" w:rsidRDefault="00AC12B4">
            <w:pPr>
              <w:rPr>
                <w:sz w:val="20"/>
                <w:szCs w:val="20"/>
                <w:lang w:val="fr-BE"/>
              </w:rPr>
            </w:pPr>
          </w:p>
        </w:tc>
        <w:tc>
          <w:tcPr>
            <w:tcW w:w="600" w:type="dxa"/>
            <w:vAlign w:val="bottom"/>
          </w:tcPr>
          <w:p w:rsidR="00AC12B4" w:rsidRPr="00C27636" w:rsidRDefault="00AC12B4">
            <w:pPr>
              <w:rPr>
                <w:sz w:val="20"/>
                <w:szCs w:val="20"/>
                <w:lang w:val="fr-BE"/>
              </w:rPr>
            </w:pPr>
          </w:p>
        </w:tc>
        <w:tc>
          <w:tcPr>
            <w:tcW w:w="0" w:type="dxa"/>
            <w:vAlign w:val="bottom"/>
          </w:tcPr>
          <w:p w:rsidR="00AC12B4" w:rsidRPr="00C27636" w:rsidRDefault="00AC12B4">
            <w:pPr>
              <w:rPr>
                <w:sz w:val="1"/>
                <w:szCs w:val="1"/>
                <w:lang w:val="fr-BE"/>
              </w:rPr>
            </w:pPr>
          </w:p>
        </w:tc>
      </w:tr>
      <w:tr w:rsidR="00AC12B4">
        <w:trPr>
          <w:trHeight w:val="72"/>
        </w:trPr>
        <w:tc>
          <w:tcPr>
            <w:tcW w:w="2240" w:type="dxa"/>
            <w:gridSpan w:val="2"/>
            <w:vMerge/>
            <w:vAlign w:val="bottom"/>
          </w:tcPr>
          <w:p w:rsidR="00AC12B4" w:rsidRPr="00C27636" w:rsidRDefault="00AC12B4">
            <w:pPr>
              <w:rPr>
                <w:sz w:val="6"/>
                <w:szCs w:val="6"/>
                <w:lang w:val="fr-BE"/>
              </w:rPr>
            </w:pPr>
          </w:p>
        </w:tc>
        <w:tc>
          <w:tcPr>
            <w:tcW w:w="520" w:type="dxa"/>
            <w:vMerge/>
            <w:tcBorders>
              <w:right w:val="single" w:sz="8" w:space="0" w:color="8BCCEC"/>
            </w:tcBorders>
            <w:vAlign w:val="bottom"/>
          </w:tcPr>
          <w:p w:rsidR="00AC12B4" w:rsidRPr="00C27636" w:rsidRDefault="00AC12B4">
            <w:pPr>
              <w:rPr>
                <w:sz w:val="6"/>
                <w:szCs w:val="6"/>
                <w:lang w:val="fr-BE"/>
              </w:rPr>
            </w:pPr>
          </w:p>
        </w:tc>
        <w:tc>
          <w:tcPr>
            <w:tcW w:w="140" w:type="dxa"/>
            <w:vAlign w:val="bottom"/>
          </w:tcPr>
          <w:p w:rsidR="00AC12B4" w:rsidRPr="00C27636" w:rsidRDefault="00AC12B4">
            <w:pPr>
              <w:rPr>
                <w:sz w:val="6"/>
                <w:szCs w:val="6"/>
                <w:lang w:val="fr-BE"/>
              </w:rPr>
            </w:pPr>
          </w:p>
        </w:tc>
        <w:tc>
          <w:tcPr>
            <w:tcW w:w="620" w:type="dxa"/>
            <w:vAlign w:val="bottom"/>
          </w:tcPr>
          <w:p w:rsidR="00AC12B4" w:rsidRPr="00C27636" w:rsidRDefault="00AC12B4">
            <w:pPr>
              <w:rPr>
                <w:sz w:val="6"/>
                <w:szCs w:val="6"/>
                <w:lang w:val="fr-BE"/>
              </w:rPr>
            </w:pPr>
          </w:p>
        </w:tc>
        <w:tc>
          <w:tcPr>
            <w:tcW w:w="4220" w:type="dxa"/>
            <w:gridSpan w:val="41"/>
            <w:vMerge/>
            <w:vAlign w:val="bottom"/>
          </w:tcPr>
          <w:p w:rsidR="00AC12B4" w:rsidRPr="00C27636" w:rsidRDefault="00AC12B4">
            <w:pPr>
              <w:rPr>
                <w:sz w:val="6"/>
                <w:szCs w:val="6"/>
                <w:lang w:val="fr-BE"/>
              </w:rPr>
            </w:pPr>
          </w:p>
        </w:tc>
        <w:tc>
          <w:tcPr>
            <w:tcW w:w="480" w:type="dxa"/>
            <w:vAlign w:val="bottom"/>
          </w:tcPr>
          <w:p w:rsidR="00AC12B4" w:rsidRPr="00C27636" w:rsidRDefault="00AC12B4">
            <w:pPr>
              <w:rPr>
                <w:sz w:val="6"/>
                <w:szCs w:val="6"/>
                <w:lang w:val="fr-BE"/>
              </w:rPr>
            </w:pPr>
          </w:p>
        </w:tc>
        <w:tc>
          <w:tcPr>
            <w:tcW w:w="100" w:type="dxa"/>
            <w:vAlign w:val="bottom"/>
          </w:tcPr>
          <w:p w:rsidR="00AC12B4" w:rsidRPr="00C27636" w:rsidRDefault="00AC12B4">
            <w:pPr>
              <w:rPr>
                <w:sz w:val="6"/>
                <w:szCs w:val="6"/>
                <w:lang w:val="fr-BE"/>
              </w:rPr>
            </w:pPr>
          </w:p>
        </w:tc>
        <w:tc>
          <w:tcPr>
            <w:tcW w:w="80" w:type="dxa"/>
            <w:tcBorders>
              <w:right w:val="single" w:sz="8" w:space="0" w:color="8BCCEC"/>
            </w:tcBorders>
            <w:vAlign w:val="bottom"/>
          </w:tcPr>
          <w:p w:rsidR="00AC12B4" w:rsidRPr="00C27636" w:rsidRDefault="00AC12B4">
            <w:pPr>
              <w:rPr>
                <w:sz w:val="6"/>
                <w:szCs w:val="6"/>
                <w:lang w:val="fr-BE"/>
              </w:rPr>
            </w:pPr>
          </w:p>
        </w:tc>
        <w:tc>
          <w:tcPr>
            <w:tcW w:w="1680" w:type="dxa"/>
            <w:gridSpan w:val="4"/>
            <w:vMerge w:val="restart"/>
            <w:vAlign w:val="bottom"/>
          </w:tcPr>
          <w:p w:rsidR="00AC12B4" w:rsidRDefault="00C27636">
            <w:pPr>
              <w:ind w:left="180"/>
              <w:rPr>
                <w:sz w:val="20"/>
                <w:szCs w:val="20"/>
              </w:rPr>
            </w:pPr>
            <w:r>
              <w:rPr>
                <w:rFonts w:ascii="Calibri" w:eastAsia="Calibri" w:hAnsi="Calibri" w:cs="Calibri"/>
              </w:rPr>
              <w:t>basons sur les</w:t>
            </w: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72"/>
        </w:trPr>
        <w:tc>
          <w:tcPr>
            <w:tcW w:w="2240" w:type="dxa"/>
            <w:gridSpan w:val="2"/>
            <w:vMerge w:val="restart"/>
            <w:vAlign w:val="bottom"/>
          </w:tcPr>
          <w:p w:rsidR="00AC12B4" w:rsidRDefault="00C27636">
            <w:pPr>
              <w:ind w:left="1460"/>
              <w:rPr>
                <w:sz w:val="20"/>
                <w:szCs w:val="20"/>
              </w:rPr>
            </w:pPr>
            <w:r>
              <w:rPr>
                <w:rFonts w:ascii="Calibri" w:eastAsia="Calibri" w:hAnsi="Calibri" w:cs="Calibri"/>
              </w:rPr>
              <w:lastRenderedPageBreak/>
              <w:t>l'enfant</w:t>
            </w:r>
          </w:p>
        </w:tc>
        <w:tc>
          <w:tcPr>
            <w:tcW w:w="520" w:type="dxa"/>
            <w:vMerge w:val="restart"/>
            <w:tcBorders>
              <w:right w:val="single" w:sz="8" w:space="0" w:color="8BCCEC"/>
            </w:tcBorders>
            <w:vAlign w:val="bottom"/>
          </w:tcPr>
          <w:p w:rsidR="00AC12B4" w:rsidRDefault="00C27636">
            <w:pPr>
              <w:ind w:right="91"/>
              <w:jc w:val="right"/>
              <w:rPr>
                <w:sz w:val="20"/>
                <w:szCs w:val="20"/>
              </w:rPr>
            </w:pPr>
            <w:r>
              <w:rPr>
                <w:rFonts w:ascii="Calibri" w:eastAsia="Calibri" w:hAnsi="Calibri" w:cs="Calibri"/>
              </w:rPr>
              <w:t>a</w:t>
            </w:r>
          </w:p>
        </w:tc>
        <w:tc>
          <w:tcPr>
            <w:tcW w:w="140" w:type="dxa"/>
            <w:vAlign w:val="bottom"/>
          </w:tcPr>
          <w:p w:rsidR="00AC12B4" w:rsidRDefault="00AC12B4">
            <w:pPr>
              <w:rPr>
                <w:sz w:val="6"/>
                <w:szCs w:val="6"/>
              </w:rPr>
            </w:pPr>
          </w:p>
        </w:tc>
        <w:tc>
          <w:tcPr>
            <w:tcW w:w="620" w:type="dxa"/>
            <w:vAlign w:val="bottom"/>
          </w:tcPr>
          <w:p w:rsidR="00AC12B4" w:rsidRDefault="00AC12B4">
            <w:pPr>
              <w:rPr>
                <w:sz w:val="6"/>
                <w:szCs w:val="6"/>
              </w:rPr>
            </w:pPr>
          </w:p>
        </w:tc>
        <w:tc>
          <w:tcPr>
            <w:tcW w:w="4220" w:type="dxa"/>
            <w:gridSpan w:val="41"/>
            <w:vMerge/>
            <w:vAlign w:val="bottom"/>
          </w:tcPr>
          <w:p w:rsidR="00AC12B4" w:rsidRDefault="00AC12B4">
            <w:pPr>
              <w:rPr>
                <w:sz w:val="6"/>
                <w:szCs w:val="6"/>
              </w:rPr>
            </w:pPr>
          </w:p>
        </w:tc>
        <w:tc>
          <w:tcPr>
            <w:tcW w:w="48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80" w:type="dxa"/>
            <w:tcBorders>
              <w:right w:val="single" w:sz="8" w:space="0" w:color="8BCCEC"/>
            </w:tcBorders>
            <w:vAlign w:val="bottom"/>
          </w:tcPr>
          <w:p w:rsidR="00AC12B4" w:rsidRDefault="00AC12B4">
            <w:pPr>
              <w:rPr>
                <w:sz w:val="6"/>
                <w:szCs w:val="6"/>
              </w:rPr>
            </w:pPr>
          </w:p>
        </w:tc>
        <w:tc>
          <w:tcPr>
            <w:tcW w:w="1680" w:type="dxa"/>
            <w:gridSpan w:val="4"/>
            <w:vMerge/>
            <w:vAlign w:val="bottom"/>
          </w:tcPr>
          <w:p w:rsidR="00AC12B4" w:rsidRDefault="00AC12B4">
            <w:pPr>
              <w:rPr>
                <w:sz w:val="6"/>
                <w:szCs w:val="6"/>
              </w:rPr>
            </w:pP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25"/>
        </w:trPr>
        <w:tc>
          <w:tcPr>
            <w:tcW w:w="2240" w:type="dxa"/>
            <w:gridSpan w:val="2"/>
            <w:vMerge/>
            <w:vAlign w:val="bottom"/>
          </w:tcPr>
          <w:p w:rsidR="00AC12B4" w:rsidRDefault="00AC12B4">
            <w:pPr>
              <w:rPr>
                <w:sz w:val="10"/>
                <w:szCs w:val="10"/>
              </w:rPr>
            </w:pPr>
          </w:p>
        </w:tc>
        <w:tc>
          <w:tcPr>
            <w:tcW w:w="520" w:type="dxa"/>
            <w:vMerge/>
            <w:tcBorders>
              <w:right w:val="single" w:sz="8" w:space="0" w:color="8BCCEC"/>
            </w:tcBorders>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6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900" w:type="dxa"/>
            <w:gridSpan w:val="18"/>
            <w:vMerge w:val="restart"/>
            <w:vAlign w:val="bottom"/>
          </w:tcPr>
          <w:p w:rsidR="00AC12B4" w:rsidRDefault="00C27636">
            <w:pPr>
              <w:ind w:left="120"/>
              <w:rPr>
                <w:sz w:val="20"/>
                <w:szCs w:val="20"/>
              </w:rPr>
            </w:pPr>
            <w:r>
              <w:rPr>
                <w:rFonts w:ascii="Calibri" w:eastAsia="Calibri" w:hAnsi="Calibri" w:cs="Calibri"/>
                <w:b/>
                <w:bCs/>
                <w:sz w:val="20"/>
                <w:szCs w:val="20"/>
              </w:rPr>
              <w:t>suivant la région</w:t>
            </w:r>
          </w:p>
        </w:tc>
        <w:tc>
          <w:tcPr>
            <w:tcW w:w="100" w:type="dxa"/>
            <w:vAlign w:val="bottom"/>
          </w:tcPr>
          <w:p w:rsidR="00AC12B4" w:rsidRDefault="00AC12B4">
            <w:pPr>
              <w:rPr>
                <w:sz w:val="10"/>
                <w:szCs w:val="10"/>
              </w:rPr>
            </w:pPr>
          </w:p>
        </w:tc>
        <w:tc>
          <w:tcPr>
            <w:tcW w:w="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80" w:type="dxa"/>
            <w:tcBorders>
              <w:right w:val="single" w:sz="8" w:space="0" w:color="8BCCEC"/>
            </w:tcBorders>
            <w:vAlign w:val="bottom"/>
          </w:tcPr>
          <w:p w:rsidR="00AC12B4" w:rsidRDefault="00AC12B4">
            <w:pPr>
              <w:rPr>
                <w:sz w:val="10"/>
                <w:szCs w:val="10"/>
              </w:rPr>
            </w:pPr>
          </w:p>
        </w:tc>
        <w:tc>
          <w:tcPr>
            <w:tcW w:w="1680" w:type="dxa"/>
            <w:gridSpan w:val="4"/>
            <w:vMerge/>
            <w:vAlign w:val="bottom"/>
          </w:tcPr>
          <w:p w:rsidR="00AC12B4" w:rsidRDefault="00AC12B4">
            <w:pPr>
              <w:rPr>
                <w:sz w:val="10"/>
                <w:szCs w:val="10"/>
              </w:rPr>
            </w:pPr>
          </w:p>
        </w:tc>
        <w:tc>
          <w:tcPr>
            <w:tcW w:w="60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20"/>
        </w:trPr>
        <w:tc>
          <w:tcPr>
            <w:tcW w:w="2240" w:type="dxa"/>
            <w:gridSpan w:val="2"/>
            <w:vMerge/>
            <w:vAlign w:val="bottom"/>
          </w:tcPr>
          <w:p w:rsidR="00AC12B4" w:rsidRDefault="00AC12B4">
            <w:pPr>
              <w:rPr>
                <w:sz w:val="10"/>
                <w:szCs w:val="10"/>
              </w:rPr>
            </w:pPr>
          </w:p>
        </w:tc>
        <w:tc>
          <w:tcPr>
            <w:tcW w:w="520" w:type="dxa"/>
            <w:vMerge/>
            <w:tcBorders>
              <w:right w:val="single" w:sz="8" w:space="0" w:color="8BCCEC"/>
            </w:tcBorders>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6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900" w:type="dxa"/>
            <w:gridSpan w:val="18"/>
            <w:vMerge/>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4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80" w:type="dxa"/>
            <w:tcBorders>
              <w:right w:val="single" w:sz="8" w:space="0" w:color="8BCCEC"/>
            </w:tcBorders>
            <w:vAlign w:val="bottom"/>
          </w:tcPr>
          <w:p w:rsidR="00AC12B4" w:rsidRDefault="00AC12B4">
            <w:pPr>
              <w:rPr>
                <w:sz w:val="10"/>
                <w:szCs w:val="10"/>
              </w:rPr>
            </w:pPr>
          </w:p>
        </w:tc>
        <w:tc>
          <w:tcPr>
            <w:tcW w:w="1200" w:type="dxa"/>
            <w:gridSpan w:val="3"/>
            <w:vMerge w:val="restart"/>
            <w:vAlign w:val="bottom"/>
          </w:tcPr>
          <w:p w:rsidR="00AC12B4" w:rsidRDefault="00C27636">
            <w:pPr>
              <w:ind w:left="180"/>
              <w:rPr>
                <w:sz w:val="20"/>
                <w:szCs w:val="20"/>
              </w:rPr>
            </w:pPr>
            <w:r>
              <w:rPr>
                <w:rFonts w:ascii="Calibri" w:eastAsia="Calibri" w:hAnsi="Calibri" w:cs="Calibri"/>
              </w:rPr>
              <w:t>données</w:t>
            </w:r>
          </w:p>
        </w:tc>
        <w:tc>
          <w:tcPr>
            <w:tcW w:w="480" w:type="dxa"/>
            <w:vMerge w:val="restart"/>
            <w:vAlign w:val="bottom"/>
          </w:tcPr>
          <w:p w:rsidR="00AC12B4" w:rsidRDefault="00C27636">
            <w:pPr>
              <w:ind w:right="34"/>
              <w:jc w:val="right"/>
              <w:rPr>
                <w:sz w:val="20"/>
                <w:szCs w:val="20"/>
              </w:rPr>
            </w:pPr>
            <w:r>
              <w:rPr>
                <w:rFonts w:ascii="Calibri" w:eastAsia="Calibri" w:hAnsi="Calibri" w:cs="Calibri"/>
              </w:rPr>
              <w:t>de</w:t>
            </w:r>
          </w:p>
        </w:tc>
        <w:tc>
          <w:tcPr>
            <w:tcW w:w="60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49"/>
        </w:trPr>
        <w:tc>
          <w:tcPr>
            <w:tcW w:w="2760" w:type="dxa"/>
            <w:gridSpan w:val="3"/>
            <w:vMerge w:val="restart"/>
            <w:tcBorders>
              <w:right w:val="single" w:sz="8" w:space="0" w:color="8BCCEC"/>
            </w:tcBorders>
            <w:vAlign w:val="bottom"/>
          </w:tcPr>
          <w:p w:rsidR="00AC12B4" w:rsidRDefault="00C27636">
            <w:pPr>
              <w:spacing w:line="221" w:lineRule="exact"/>
              <w:ind w:left="1460"/>
              <w:rPr>
                <w:sz w:val="20"/>
                <w:szCs w:val="20"/>
              </w:rPr>
            </w:pPr>
            <w:r>
              <w:rPr>
                <w:rFonts w:ascii="Calibri" w:eastAsia="Calibri" w:hAnsi="Calibri" w:cs="Calibri"/>
              </w:rPr>
              <w:t>demandé à</w:t>
            </w:r>
          </w:p>
        </w:tc>
        <w:tc>
          <w:tcPr>
            <w:tcW w:w="140" w:type="dxa"/>
            <w:vAlign w:val="bottom"/>
          </w:tcPr>
          <w:p w:rsidR="00AC12B4" w:rsidRDefault="00AC12B4">
            <w:pPr>
              <w:rPr>
                <w:sz w:val="12"/>
                <w:szCs w:val="12"/>
              </w:rPr>
            </w:pPr>
          </w:p>
        </w:tc>
        <w:tc>
          <w:tcPr>
            <w:tcW w:w="6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4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400" w:type="dxa"/>
            <w:vAlign w:val="bottom"/>
          </w:tcPr>
          <w:p w:rsidR="00AC12B4" w:rsidRDefault="00AC12B4">
            <w:pPr>
              <w:rPr>
                <w:sz w:val="12"/>
                <w:szCs w:val="12"/>
              </w:rPr>
            </w:pPr>
          </w:p>
        </w:tc>
        <w:tc>
          <w:tcPr>
            <w:tcW w:w="24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4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520" w:type="dxa"/>
            <w:vAlign w:val="bottom"/>
          </w:tcPr>
          <w:p w:rsidR="00AC12B4" w:rsidRDefault="00AC12B4">
            <w:pPr>
              <w:rPr>
                <w:sz w:val="12"/>
                <w:szCs w:val="12"/>
              </w:rPr>
            </w:pPr>
          </w:p>
        </w:tc>
        <w:tc>
          <w:tcPr>
            <w:tcW w:w="480" w:type="dxa"/>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80" w:type="dxa"/>
            <w:tcBorders>
              <w:right w:val="single" w:sz="8" w:space="0" w:color="8BCCEC"/>
            </w:tcBorders>
            <w:vAlign w:val="bottom"/>
          </w:tcPr>
          <w:p w:rsidR="00AC12B4" w:rsidRDefault="00AC12B4">
            <w:pPr>
              <w:rPr>
                <w:sz w:val="12"/>
                <w:szCs w:val="12"/>
              </w:rPr>
            </w:pPr>
          </w:p>
        </w:tc>
        <w:tc>
          <w:tcPr>
            <w:tcW w:w="1200" w:type="dxa"/>
            <w:gridSpan w:val="3"/>
            <w:vMerge/>
            <w:vAlign w:val="bottom"/>
          </w:tcPr>
          <w:p w:rsidR="00AC12B4" w:rsidRDefault="00AC12B4">
            <w:pPr>
              <w:rPr>
                <w:sz w:val="12"/>
                <w:szCs w:val="12"/>
              </w:rPr>
            </w:pPr>
          </w:p>
        </w:tc>
        <w:tc>
          <w:tcPr>
            <w:tcW w:w="480" w:type="dxa"/>
            <w:vMerge/>
            <w:vAlign w:val="bottom"/>
          </w:tcPr>
          <w:p w:rsidR="00AC12B4" w:rsidRDefault="00AC12B4">
            <w:pPr>
              <w:rPr>
                <w:sz w:val="12"/>
                <w:szCs w:val="12"/>
              </w:rPr>
            </w:pPr>
          </w:p>
        </w:tc>
        <w:tc>
          <w:tcPr>
            <w:tcW w:w="60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72"/>
        </w:trPr>
        <w:tc>
          <w:tcPr>
            <w:tcW w:w="2760" w:type="dxa"/>
            <w:gridSpan w:val="3"/>
            <w:vMerge/>
            <w:tcBorders>
              <w:right w:val="single" w:sz="8" w:space="0" w:color="8BCCEC"/>
            </w:tcBorders>
            <w:vAlign w:val="bottom"/>
          </w:tcPr>
          <w:p w:rsidR="00AC12B4" w:rsidRDefault="00AC12B4">
            <w:pPr>
              <w:rPr>
                <w:sz w:val="6"/>
                <w:szCs w:val="6"/>
              </w:rPr>
            </w:pPr>
          </w:p>
        </w:tc>
        <w:tc>
          <w:tcPr>
            <w:tcW w:w="760" w:type="dxa"/>
            <w:gridSpan w:val="2"/>
            <w:vMerge w:val="restart"/>
            <w:vAlign w:val="bottom"/>
          </w:tcPr>
          <w:p w:rsidR="00AC12B4" w:rsidRDefault="00C27636">
            <w:pPr>
              <w:spacing w:line="208" w:lineRule="exact"/>
              <w:jc w:val="right"/>
              <w:rPr>
                <w:sz w:val="20"/>
                <w:szCs w:val="20"/>
              </w:rPr>
            </w:pPr>
            <w:r>
              <w:rPr>
                <w:rFonts w:ascii="Calibri" w:eastAsia="Calibri" w:hAnsi="Calibri" w:cs="Calibri"/>
                <w:sz w:val="20"/>
                <w:szCs w:val="20"/>
              </w:rPr>
              <w:t>25,00%</w:t>
            </w: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52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80" w:type="dxa"/>
            <w:tcBorders>
              <w:right w:val="single" w:sz="8" w:space="0" w:color="8BCCEC"/>
            </w:tcBorders>
            <w:vAlign w:val="bottom"/>
          </w:tcPr>
          <w:p w:rsidR="00AC12B4" w:rsidRDefault="00AC12B4">
            <w:pPr>
              <w:rPr>
                <w:sz w:val="6"/>
                <w:szCs w:val="6"/>
              </w:rPr>
            </w:pPr>
          </w:p>
        </w:tc>
        <w:tc>
          <w:tcPr>
            <w:tcW w:w="480" w:type="dxa"/>
            <w:vAlign w:val="bottom"/>
          </w:tcPr>
          <w:p w:rsidR="00AC12B4" w:rsidRDefault="00AC12B4">
            <w:pPr>
              <w:rPr>
                <w:sz w:val="6"/>
                <w:szCs w:val="6"/>
              </w:rPr>
            </w:pPr>
          </w:p>
        </w:tc>
        <w:tc>
          <w:tcPr>
            <w:tcW w:w="1200" w:type="dxa"/>
            <w:gridSpan w:val="3"/>
            <w:vMerge w:val="restart"/>
            <w:vAlign w:val="bottom"/>
          </w:tcPr>
          <w:p w:rsidR="00AC12B4" w:rsidRDefault="00C27636">
            <w:pPr>
              <w:spacing w:line="208" w:lineRule="exact"/>
              <w:ind w:right="54"/>
              <w:jc w:val="right"/>
              <w:rPr>
                <w:sz w:val="20"/>
                <w:szCs w:val="20"/>
              </w:rPr>
            </w:pPr>
            <w:r>
              <w:rPr>
                <w:rFonts w:ascii="Calibri" w:eastAsia="Calibri" w:hAnsi="Calibri" w:cs="Calibri"/>
              </w:rPr>
              <w:t>l’enquête</w:t>
            </w: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29"/>
        </w:trPr>
        <w:tc>
          <w:tcPr>
            <w:tcW w:w="1780" w:type="dxa"/>
            <w:vMerge w:val="restart"/>
            <w:vAlign w:val="bottom"/>
          </w:tcPr>
          <w:p w:rsidR="00AC12B4" w:rsidRDefault="00C27636">
            <w:pPr>
              <w:ind w:left="1460"/>
              <w:rPr>
                <w:sz w:val="20"/>
                <w:szCs w:val="20"/>
              </w:rPr>
            </w:pPr>
            <w:r>
              <w:rPr>
                <w:rFonts w:ascii="Calibri" w:eastAsia="Calibri" w:hAnsi="Calibri" w:cs="Calibri"/>
              </w:rPr>
              <w:t>la</w:t>
            </w:r>
          </w:p>
        </w:tc>
        <w:tc>
          <w:tcPr>
            <w:tcW w:w="980" w:type="dxa"/>
            <w:gridSpan w:val="2"/>
            <w:vMerge w:val="restart"/>
            <w:tcBorders>
              <w:right w:val="single" w:sz="8" w:space="0" w:color="8BCCEC"/>
            </w:tcBorders>
            <w:vAlign w:val="bottom"/>
          </w:tcPr>
          <w:p w:rsidR="00AC12B4" w:rsidRDefault="00C27636">
            <w:pPr>
              <w:ind w:right="91"/>
              <w:jc w:val="right"/>
              <w:rPr>
                <w:sz w:val="20"/>
                <w:szCs w:val="20"/>
              </w:rPr>
            </w:pPr>
            <w:r>
              <w:rPr>
                <w:rFonts w:ascii="Calibri" w:eastAsia="Calibri" w:hAnsi="Calibri" w:cs="Calibri"/>
                <w:w w:val="98"/>
              </w:rPr>
              <w:t>Belgique</w:t>
            </w:r>
          </w:p>
        </w:tc>
        <w:tc>
          <w:tcPr>
            <w:tcW w:w="760" w:type="dxa"/>
            <w:gridSpan w:val="2"/>
            <w:vMerge/>
            <w:vAlign w:val="bottom"/>
          </w:tcPr>
          <w:p w:rsidR="00AC12B4" w:rsidRDefault="00AC12B4">
            <w:pPr>
              <w:rPr>
                <w:sz w:val="2"/>
                <w:szCs w:val="2"/>
              </w:rPr>
            </w:pPr>
          </w:p>
        </w:tc>
        <w:tc>
          <w:tcPr>
            <w:tcW w:w="60" w:type="dxa"/>
            <w:vAlign w:val="bottom"/>
          </w:tcPr>
          <w:p w:rsidR="00AC12B4" w:rsidRDefault="00AC12B4">
            <w:pPr>
              <w:rPr>
                <w:sz w:val="2"/>
                <w:szCs w:val="2"/>
              </w:rPr>
            </w:pPr>
          </w:p>
        </w:tc>
        <w:tc>
          <w:tcPr>
            <w:tcW w:w="8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 w:type="dxa"/>
            <w:tcBorders>
              <w:bottom w:val="single" w:sz="8" w:space="0" w:color="868686"/>
            </w:tcBorders>
            <w:vAlign w:val="bottom"/>
          </w:tcPr>
          <w:p w:rsidR="00AC12B4" w:rsidRDefault="00AC12B4">
            <w:pPr>
              <w:rPr>
                <w:sz w:val="2"/>
                <w:szCs w:val="2"/>
              </w:rPr>
            </w:pPr>
          </w:p>
        </w:tc>
        <w:tc>
          <w:tcPr>
            <w:tcW w:w="10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60" w:type="dxa"/>
            <w:tcBorders>
              <w:bottom w:val="single" w:sz="8" w:space="0" w:color="868686"/>
            </w:tcBorders>
            <w:vAlign w:val="bottom"/>
          </w:tcPr>
          <w:p w:rsidR="00AC12B4" w:rsidRDefault="00AC12B4">
            <w:pPr>
              <w:rPr>
                <w:sz w:val="2"/>
                <w:szCs w:val="2"/>
              </w:rPr>
            </w:pPr>
          </w:p>
        </w:tc>
        <w:tc>
          <w:tcPr>
            <w:tcW w:w="8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60" w:type="dxa"/>
            <w:tcBorders>
              <w:bottom w:val="single" w:sz="8" w:space="0" w:color="868686"/>
            </w:tcBorders>
            <w:vAlign w:val="bottom"/>
          </w:tcPr>
          <w:p w:rsidR="00AC12B4" w:rsidRDefault="00AC12B4">
            <w:pPr>
              <w:rPr>
                <w:sz w:val="2"/>
                <w:szCs w:val="2"/>
              </w:rPr>
            </w:pPr>
          </w:p>
        </w:tc>
        <w:tc>
          <w:tcPr>
            <w:tcW w:w="8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2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20" w:type="dxa"/>
            <w:tcBorders>
              <w:bottom w:val="single" w:sz="8" w:space="0" w:color="868686"/>
            </w:tcBorders>
            <w:vAlign w:val="bottom"/>
          </w:tcPr>
          <w:p w:rsidR="00AC12B4" w:rsidRDefault="00AC12B4">
            <w:pPr>
              <w:rPr>
                <w:sz w:val="2"/>
                <w:szCs w:val="2"/>
              </w:rPr>
            </w:pPr>
          </w:p>
        </w:tc>
        <w:tc>
          <w:tcPr>
            <w:tcW w:w="120" w:type="dxa"/>
            <w:tcBorders>
              <w:bottom w:val="single" w:sz="8" w:space="0" w:color="868686"/>
            </w:tcBorders>
            <w:vAlign w:val="bottom"/>
          </w:tcPr>
          <w:p w:rsidR="00AC12B4" w:rsidRDefault="00AC12B4">
            <w:pPr>
              <w:rPr>
                <w:sz w:val="2"/>
                <w:szCs w:val="2"/>
              </w:rPr>
            </w:pPr>
          </w:p>
        </w:tc>
        <w:tc>
          <w:tcPr>
            <w:tcW w:w="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140" w:type="dxa"/>
            <w:tcBorders>
              <w:bottom w:val="single" w:sz="8" w:space="0" w:color="868686"/>
            </w:tcBorders>
            <w:vAlign w:val="bottom"/>
          </w:tcPr>
          <w:p w:rsidR="00AC12B4" w:rsidRDefault="00AC12B4">
            <w:pPr>
              <w:rPr>
                <w:sz w:val="2"/>
                <w:szCs w:val="2"/>
              </w:rPr>
            </w:pPr>
          </w:p>
        </w:tc>
        <w:tc>
          <w:tcPr>
            <w:tcW w:w="20" w:type="dxa"/>
            <w:tcBorders>
              <w:bottom w:val="single" w:sz="8" w:space="0" w:color="868686"/>
            </w:tcBorders>
            <w:vAlign w:val="bottom"/>
          </w:tcPr>
          <w:p w:rsidR="00AC12B4" w:rsidRDefault="00AC12B4">
            <w:pPr>
              <w:rPr>
                <w:sz w:val="2"/>
                <w:szCs w:val="2"/>
              </w:rPr>
            </w:pPr>
          </w:p>
        </w:tc>
        <w:tc>
          <w:tcPr>
            <w:tcW w:w="400" w:type="dxa"/>
            <w:vAlign w:val="bottom"/>
          </w:tcPr>
          <w:p w:rsidR="00AC12B4" w:rsidRDefault="00AC12B4">
            <w:pPr>
              <w:rPr>
                <w:sz w:val="2"/>
                <w:szCs w:val="2"/>
              </w:rPr>
            </w:pPr>
          </w:p>
        </w:tc>
        <w:tc>
          <w:tcPr>
            <w:tcW w:w="240" w:type="dxa"/>
            <w:vAlign w:val="bottom"/>
          </w:tcPr>
          <w:p w:rsidR="00AC12B4" w:rsidRDefault="00AC12B4">
            <w:pPr>
              <w:rPr>
                <w:sz w:val="2"/>
                <w:szCs w:val="2"/>
              </w:rPr>
            </w:pPr>
          </w:p>
        </w:tc>
        <w:tc>
          <w:tcPr>
            <w:tcW w:w="100" w:type="dxa"/>
            <w:vAlign w:val="bottom"/>
          </w:tcPr>
          <w:p w:rsidR="00AC12B4" w:rsidRDefault="00AC12B4">
            <w:pPr>
              <w:rPr>
                <w:sz w:val="2"/>
                <w:szCs w:val="2"/>
              </w:rPr>
            </w:pPr>
          </w:p>
        </w:tc>
        <w:tc>
          <w:tcPr>
            <w:tcW w:w="40" w:type="dxa"/>
            <w:vAlign w:val="bottom"/>
          </w:tcPr>
          <w:p w:rsidR="00AC12B4" w:rsidRDefault="00AC12B4">
            <w:pPr>
              <w:rPr>
                <w:sz w:val="2"/>
                <w:szCs w:val="2"/>
              </w:rPr>
            </w:pPr>
          </w:p>
        </w:tc>
        <w:tc>
          <w:tcPr>
            <w:tcW w:w="940" w:type="dxa"/>
            <w:gridSpan w:val="2"/>
            <w:vMerge w:val="restart"/>
            <w:vAlign w:val="bottom"/>
          </w:tcPr>
          <w:p w:rsidR="00AC12B4" w:rsidRDefault="00C27636">
            <w:pPr>
              <w:spacing w:line="242" w:lineRule="exact"/>
              <w:ind w:left="40"/>
              <w:rPr>
                <w:sz w:val="20"/>
                <w:szCs w:val="20"/>
              </w:rPr>
            </w:pPr>
            <w:r>
              <w:rPr>
                <w:rFonts w:ascii="Calibri" w:eastAsia="Calibri" w:hAnsi="Calibri" w:cs="Calibri"/>
                <w:sz w:val="20"/>
                <w:szCs w:val="20"/>
              </w:rPr>
              <w:t>Belgique</w:t>
            </w:r>
          </w:p>
        </w:tc>
        <w:tc>
          <w:tcPr>
            <w:tcW w:w="480" w:type="dxa"/>
            <w:vAlign w:val="bottom"/>
          </w:tcPr>
          <w:p w:rsidR="00AC12B4" w:rsidRDefault="00AC12B4">
            <w:pPr>
              <w:rPr>
                <w:sz w:val="2"/>
                <w:szCs w:val="2"/>
              </w:rPr>
            </w:pPr>
          </w:p>
        </w:tc>
        <w:tc>
          <w:tcPr>
            <w:tcW w:w="100" w:type="dxa"/>
            <w:vAlign w:val="bottom"/>
          </w:tcPr>
          <w:p w:rsidR="00AC12B4" w:rsidRDefault="00AC12B4">
            <w:pPr>
              <w:rPr>
                <w:sz w:val="2"/>
                <w:szCs w:val="2"/>
              </w:rPr>
            </w:pPr>
          </w:p>
        </w:tc>
        <w:tc>
          <w:tcPr>
            <w:tcW w:w="80" w:type="dxa"/>
            <w:tcBorders>
              <w:right w:val="single" w:sz="8" w:space="0" w:color="8BCCEC"/>
            </w:tcBorders>
            <w:vAlign w:val="bottom"/>
          </w:tcPr>
          <w:p w:rsidR="00AC12B4" w:rsidRDefault="00AC12B4">
            <w:pPr>
              <w:rPr>
                <w:sz w:val="2"/>
                <w:szCs w:val="2"/>
              </w:rPr>
            </w:pPr>
          </w:p>
        </w:tc>
        <w:tc>
          <w:tcPr>
            <w:tcW w:w="480" w:type="dxa"/>
            <w:vAlign w:val="bottom"/>
          </w:tcPr>
          <w:p w:rsidR="00AC12B4" w:rsidRDefault="00AC12B4">
            <w:pPr>
              <w:rPr>
                <w:sz w:val="2"/>
                <w:szCs w:val="2"/>
              </w:rPr>
            </w:pPr>
          </w:p>
        </w:tc>
        <w:tc>
          <w:tcPr>
            <w:tcW w:w="1200" w:type="dxa"/>
            <w:gridSpan w:val="3"/>
            <w:vMerge/>
            <w:vAlign w:val="bottom"/>
          </w:tcPr>
          <w:p w:rsidR="00AC12B4" w:rsidRDefault="00AC12B4">
            <w:pPr>
              <w:rPr>
                <w:sz w:val="2"/>
                <w:szCs w:val="2"/>
              </w:rPr>
            </w:pPr>
          </w:p>
        </w:tc>
        <w:tc>
          <w:tcPr>
            <w:tcW w:w="600" w:type="dxa"/>
            <w:vAlign w:val="bottom"/>
          </w:tcPr>
          <w:p w:rsidR="00AC12B4" w:rsidRDefault="00AC12B4">
            <w:pPr>
              <w:rPr>
                <w:sz w:val="2"/>
                <w:szCs w:val="2"/>
              </w:rPr>
            </w:pPr>
          </w:p>
        </w:tc>
        <w:tc>
          <w:tcPr>
            <w:tcW w:w="0" w:type="dxa"/>
            <w:vAlign w:val="bottom"/>
          </w:tcPr>
          <w:p w:rsidR="00AC12B4" w:rsidRDefault="00AC12B4">
            <w:pPr>
              <w:rPr>
                <w:sz w:val="1"/>
                <w:szCs w:val="1"/>
              </w:rPr>
            </w:pPr>
          </w:p>
        </w:tc>
      </w:tr>
      <w:tr w:rsidR="00AC12B4">
        <w:trPr>
          <w:trHeight w:val="87"/>
        </w:trPr>
        <w:tc>
          <w:tcPr>
            <w:tcW w:w="1780" w:type="dxa"/>
            <w:vMerge/>
            <w:vAlign w:val="bottom"/>
          </w:tcPr>
          <w:p w:rsidR="00AC12B4" w:rsidRDefault="00AC12B4">
            <w:pPr>
              <w:rPr>
                <w:sz w:val="7"/>
                <w:szCs w:val="7"/>
              </w:rPr>
            </w:pPr>
          </w:p>
        </w:tc>
        <w:tc>
          <w:tcPr>
            <w:tcW w:w="980" w:type="dxa"/>
            <w:gridSpan w:val="2"/>
            <w:vMerge/>
            <w:tcBorders>
              <w:right w:val="single" w:sz="8" w:space="0" w:color="8BCCEC"/>
            </w:tcBorders>
            <w:vAlign w:val="bottom"/>
          </w:tcPr>
          <w:p w:rsidR="00AC12B4" w:rsidRDefault="00AC12B4">
            <w:pPr>
              <w:rPr>
                <w:sz w:val="7"/>
                <w:szCs w:val="7"/>
              </w:rPr>
            </w:pPr>
          </w:p>
        </w:tc>
        <w:tc>
          <w:tcPr>
            <w:tcW w:w="760" w:type="dxa"/>
            <w:gridSpan w:val="2"/>
            <w:vMerge/>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40" w:type="dxa"/>
            <w:tcBorders>
              <w:bottom w:val="single" w:sz="8" w:space="0" w:color="4A7EBB"/>
            </w:tcBorders>
            <w:vAlign w:val="bottom"/>
          </w:tcPr>
          <w:p w:rsidR="00AC12B4" w:rsidRDefault="00AC12B4">
            <w:pPr>
              <w:rPr>
                <w:sz w:val="7"/>
                <w:szCs w:val="7"/>
              </w:rPr>
            </w:pPr>
          </w:p>
        </w:tc>
        <w:tc>
          <w:tcPr>
            <w:tcW w:w="100" w:type="dxa"/>
            <w:tcBorders>
              <w:bottom w:val="single" w:sz="8" w:space="0" w:color="4A7EBB"/>
            </w:tcBorders>
            <w:vAlign w:val="bottom"/>
          </w:tcPr>
          <w:p w:rsidR="00AC12B4" w:rsidRDefault="00AC12B4">
            <w:pPr>
              <w:rPr>
                <w:sz w:val="7"/>
                <w:szCs w:val="7"/>
              </w:rPr>
            </w:pPr>
          </w:p>
        </w:tc>
        <w:tc>
          <w:tcPr>
            <w:tcW w:w="40" w:type="dxa"/>
            <w:tcBorders>
              <w:bottom w:val="single" w:sz="8" w:space="0" w:color="4A7EBB"/>
            </w:tcBorders>
            <w:vAlign w:val="bottom"/>
          </w:tcPr>
          <w:p w:rsidR="00AC12B4" w:rsidRDefault="00AC12B4">
            <w:pPr>
              <w:rPr>
                <w:sz w:val="7"/>
                <w:szCs w:val="7"/>
              </w:rPr>
            </w:pPr>
          </w:p>
        </w:tc>
        <w:tc>
          <w:tcPr>
            <w:tcW w:w="940" w:type="dxa"/>
            <w:gridSpan w:val="2"/>
            <w:vMerge/>
            <w:vAlign w:val="bottom"/>
          </w:tcPr>
          <w:p w:rsidR="00AC12B4" w:rsidRDefault="00AC12B4">
            <w:pPr>
              <w:rPr>
                <w:sz w:val="7"/>
                <w:szCs w:val="7"/>
              </w:rPr>
            </w:pPr>
          </w:p>
        </w:tc>
        <w:tc>
          <w:tcPr>
            <w:tcW w:w="48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80" w:type="dxa"/>
            <w:tcBorders>
              <w:right w:val="single" w:sz="8" w:space="0" w:color="8BCCEC"/>
            </w:tcBorders>
            <w:vAlign w:val="bottom"/>
          </w:tcPr>
          <w:p w:rsidR="00AC12B4" w:rsidRDefault="00AC12B4">
            <w:pPr>
              <w:rPr>
                <w:sz w:val="7"/>
                <w:szCs w:val="7"/>
              </w:rPr>
            </w:pPr>
          </w:p>
        </w:tc>
        <w:tc>
          <w:tcPr>
            <w:tcW w:w="480" w:type="dxa"/>
            <w:vAlign w:val="bottom"/>
          </w:tcPr>
          <w:p w:rsidR="00AC12B4" w:rsidRDefault="00AC12B4">
            <w:pPr>
              <w:rPr>
                <w:sz w:val="7"/>
                <w:szCs w:val="7"/>
              </w:rPr>
            </w:pPr>
          </w:p>
        </w:tc>
        <w:tc>
          <w:tcPr>
            <w:tcW w:w="1200" w:type="dxa"/>
            <w:gridSpan w:val="3"/>
            <w:vMerge/>
            <w:vAlign w:val="bottom"/>
          </w:tcPr>
          <w:p w:rsidR="00AC12B4" w:rsidRDefault="00AC12B4">
            <w:pPr>
              <w:rPr>
                <w:sz w:val="7"/>
                <w:szCs w:val="7"/>
              </w:rPr>
            </w:pPr>
          </w:p>
        </w:tc>
        <w:tc>
          <w:tcPr>
            <w:tcW w:w="6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13"/>
        </w:trPr>
        <w:tc>
          <w:tcPr>
            <w:tcW w:w="1780" w:type="dxa"/>
            <w:vMerge/>
            <w:vAlign w:val="bottom"/>
          </w:tcPr>
          <w:p w:rsidR="00AC12B4" w:rsidRDefault="00AC12B4">
            <w:pPr>
              <w:rPr>
                <w:sz w:val="9"/>
                <w:szCs w:val="9"/>
              </w:rPr>
            </w:pPr>
          </w:p>
        </w:tc>
        <w:tc>
          <w:tcPr>
            <w:tcW w:w="980" w:type="dxa"/>
            <w:gridSpan w:val="2"/>
            <w:vMerge/>
            <w:tcBorders>
              <w:right w:val="single" w:sz="8" w:space="0" w:color="8BCCEC"/>
            </w:tcBorders>
            <w:vAlign w:val="bottom"/>
          </w:tcPr>
          <w:p w:rsidR="00AC12B4" w:rsidRDefault="00AC12B4">
            <w:pPr>
              <w:rPr>
                <w:sz w:val="9"/>
                <w:szCs w:val="9"/>
              </w:rPr>
            </w:pPr>
          </w:p>
        </w:tc>
        <w:tc>
          <w:tcPr>
            <w:tcW w:w="140" w:type="dxa"/>
            <w:vAlign w:val="bottom"/>
          </w:tcPr>
          <w:p w:rsidR="00AC12B4" w:rsidRDefault="00AC12B4">
            <w:pPr>
              <w:rPr>
                <w:sz w:val="9"/>
                <w:szCs w:val="9"/>
              </w:rPr>
            </w:pPr>
          </w:p>
        </w:tc>
        <w:tc>
          <w:tcPr>
            <w:tcW w:w="62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80" w:type="dxa"/>
            <w:tcBorders>
              <w:right w:val="single" w:sz="8" w:space="0" w:color="868686"/>
            </w:tcBorders>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40" w:type="dxa"/>
            <w:vAlign w:val="bottom"/>
          </w:tcPr>
          <w:p w:rsidR="00AC12B4" w:rsidRDefault="00AC12B4">
            <w:pPr>
              <w:rPr>
                <w:sz w:val="9"/>
                <w:szCs w:val="9"/>
              </w:rPr>
            </w:pPr>
          </w:p>
        </w:tc>
        <w:tc>
          <w:tcPr>
            <w:tcW w:w="940" w:type="dxa"/>
            <w:gridSpan w:val="2"/>
            <w:vMerge/>
            <w:vAlign w:val="bottom"/>
          </w:tcPr>
          <w:p w:rsidR="00AC12B4" w:rsidRDefault="00AC12B4">
            <w:pPr>
              <w:rPr>
                <w:sz w:val="9"/>
                <w:szCs w:val="9"/>
              </w:rPr>
            </w:pPr>
          </w:p>
        </w:tc>
        <w:tc>
          <w:tcPr>
            <w:tcW w:w="480" w:type="dxa"/>
            <w:vAlign w:val="bottom"/>
          </w:tcPr>
          <w:p w:rsidR="00AC12B4" w:rsidRDefault="00AC12B4">
            <w:pPr>
              <w:rPr>
                <w:sz w:val="9"/>
                <w:szCs w:val="9"/>
              </w:rPr>
            </w:pPr>
          </w:p>
        </w:tc>
        <w:tc>
          <w:tcPr>
            <w:tcW w:w="100" w:type="dxa"/>
            <w:vAlign w:val="bottom"/>
          </w:tcPr>
          <w:p w:rsidR="00AC12B4" w:rsidRDefault="00AC12B4">
            <w:pPr>
              <w:rPr>
                <w:sz w:val="9"/>
                <w:szCs w:val="9"/>
              </w:rPr>
            </w:pPr>
          </w:p>
        </w:tc>
        <w:tc>
          <w:tcPr>
            <w:tcW w:w="80" w:type="dxa"/>
            <w:tcBorders>
              <w:right w:val="single" w:sz="8" w:space="0" w:color="8BCCEC"/>
            </w:tcBorders>
            <w:vAlign w:val="bottom"/>
          </w:tcPr>
          <w:p w:rsidR="00AC12B4" w:rsidRDefault="00AC12B4">
            <w:pPr>
              <w:rPr>
                <w:sz w:val="9"/>
                <w:szCs w:val="9"/>
              </w:rPr>
            </w:pPr>
          </w:p>
        </w:tc>
        <w:tc>
          <w:tcPr>
            <w:tcW w:w="1680" w:type="dxa"/>
            <w:gridSpan w:val="4"/>
            <w:vMerge w:val="restart"/>
            <w:vAlign w:val="bottom"/>
          </w:tcPr>
          <w:p w:rsidR="00AC12B4" w:rsidRDefault="00C27636">
            <w:pPr>
              <w:ind w:right="54"/>
              <w:jc w:val="right"/>
              <w:rPr>
                <w:sz w:val="20"/>
                <w:szCs w:val="20"/>
              </w:rPr>
            </w:pPr>
            <w:r>
              <w:rPr>
                <w:rFonts w:ascii="Calibri" w:eastAsia="Calibri" w:hAnsi="Calibri" w:cs="Calibri"/>
              </w:rPr>
              <w:t>européenne</w:t>
            </w:r>
          </w:p>
        </w:tc>
        <w:tc>
          <w:tcPr>
            <w:tcW w:w="60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70"/>
        </w:trPr>
        <w:tc>
          <w:tcPr>
            <w:tcW w:w="1780" w:type="dxa"/>
            <w:vMerge w:val="restart"/>
            <w:vAlign w:val="bottom"/>
          </w:tcPr>
          <w:p w:rsidR="00AC12B4" w:rsidRDefault="00C27636">
            <w:pPr>
              <w:ind w:left="1460"/>
              <w:rPr>
                <w:sz w:val="20"/>
                <w:szCs w:val="20"/>
              </w:rPr>
            </w:pPr>
            <w:r>
              <w:rPr>
                <w:rFonts w:ascii="Calibri" w:eastAsia="Calibri" w:hAnsi="Calibri" w:cs="Calibri"/>
              </w:rPr>
              <w:t>de</w:t>
            </w:r>
          </w:p>
        </w:tc>
        <w:tc>
          <w:tcPr>
            <w:tcW w:w="980" w:type="dxa"/>
            <w:gridSpan w:val="2"/>
            <w:vMerge w:val="restart"/>
            <w:tcBorders>
              <w:right w:val="single" w:sz="8" w:space="0" w:color="8BCCEC"/>
            </w:tcBorders>
            <w:vAlign w:val="bottom"/>
          </w:tcPr>
          <w:p w:rsidR="00AC12B4" w:rsidRDefault="00C27636">
            <w:pPr>
              <w:ind w:right="91"/>
              <w:jc w:val="right"/>
              <w:rPr>
                <w:sz w:val="20"/>
                <w:szCs w:val="20"/>
              </w:rPr>
            </w:pPr>
            <w:r>
              <w:rPr>
                <w:rFonts w:ascii="Calibri" w:eastAsia="Calibri" w:hAnsi="Calibri" w:cs="Calibri"/>
              </w:rPr>
              <w:t>fournir</w:t>
            </w:r>
          </w:p>
        </w:tc>
        <w:tc>
          <w:tcPr>
            <w:tcW w:w="760" w:type="dxa"/>
            <w:gridSpan w:val="2"/>
            <w:vMerge w:val="restart"/>
            <w:vAlign w:val="bottom"/>
          </w:tcPr>
          <w:p w:rsidR="00AC12B4" w:rsidRDefault="00C27636">
            <w:pPr>
              <w:jc w:val="right"/>
              <w:rPr>
                <w:sz w:val="20"/>
                <w:szCs w:val="20"/>
              </w:rPr>
            </w:pPr>
            <w:r>
              <w:rPr>
                <w:rFonts w:ascii="Calibri" w:eastAsia="Calibri" w:hAnsi="Calibri" w:cs="Calibri"/>
                <w:sz w:val="20"/>
                <w:szCs w:val="20"/>
              </w:rPr>
              <w:t>20,00%</w:t>
            </w:r>
          </w:p>
        </w:tc>
        <w:tc>
          <w:tcPr>
            <w:tcW w:w="60" w:type="dxa"/>
            <w:vAlign w:val="bottom"/>
          </w:tcPr>
          <w:p w:rsidR="00AC12B4" w:rsidRDefault="00AC12B4">
            <w:pPr>
              <w:rPr>
                <w:sz w:val="14"/>
                <w:szCs w:val="14"/>
              </w:rPr>
            </w:pPr>
          </w:p>
        </w:tc>
        <w:tc>
          <w:tcPr>
            <w:tcW w:w="80" w:type="dxa"/>
            <w:tcBorders>
              <w:bottom w:val="single" w:sz="8" w:space="0" w:color="868686"/>
              <w:right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 w:type="dxa"/>
            <w:tcBorders>
              <w:bottom w:val="single" w:sz="8" w:space="0" w:color="868686"/>
            </w:tcBorders>
            <w:vAlign w:val="bottom"/>
          </w:tcPr>
          <w:p w:rsidR="00AC12B4" w:rsidRDefault="00AC12B4">
            <w:pPr>
              <w:rPr>
                <w:sz w:val="14"/>
                <w:szCs w:val="14"/>
              </w:rPr>
            </w:pPr>
          </w:p>
        </w:tc>
        <w:tc>
          <w:tcPr>
            <w:tcW w:w="10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60" w:type="dxa"/>
            <w:tcBorders>
              <w:bottom w:val="single" w:sz="8" w:space="0" w:color="868686"/>
            </w:tcBorders>
            <w:vAlign w:val="bottom"/>
          </w:tcPr>
          <w:p w:rsidR="00AC12B4" w:rsidRDefault="00AC12B4">
            <w:pPr>
              <w:rPr>
                <w:sz w:val="14"/>
                <w:szCs w:val="14"/>
              </w:rPr>
            </w:pPr>
          </w:p>
        </w:tc>
        <w:tc>
          <w:tcPr>
            <w:tcW w:w="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60" w:type="dxa"/>
            <w:tcBorders>
              <w:bottom w:val="single" w:sz="8" w:space="0" w:color="868686"/>
            </w:tcBorders>
            <w:vAlign w:val="bottom"/>
          </w:tcPr>
          <w:p w:rsidR="00AC12B4" w:rsidRDefault="00AC12B4">
            <w:pPr>
              <w:rPr>
                <w:sz w:val="14"/>
                <w:szCs w:val="14"/>
              </w:rPr>
            </w:pPr>
          </w:p>
        </w:tc>
        <w:tc>
          <w:tcPr>
            <w:tcW w:w="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2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20" w:type="dxa"/>
            <w:tcBorders>
              <w:bottom w:val="single" w:sz="8" w:space="0" w:color="868686"/>
            </w:tcBorders>
            <w:vAlign w:val="bottom"/>
          </w:tcPr>
          <w:p w:rsidR="00AC12B4" w:rsidRDefault="00AC12B4">
            <w:pPr>
              <w:rPr>
                <w:sz w:val="14"/>
                <w:szCs w:val="14"/>
              </w:rPr>
            </w:pPr>
          </w:p>
        </w:tc>
        <w:tc>
          <w:tcPr>
            <w:tcW w:w="120" w:type="dxa"/>
            <w:tcBorders>
              <w:bottom w:val="single" w:sz="8" w:space="0" w:color="868686"/>
            </w:tcBorders>
            <w:vAlign w:val="bottom"/>
          </w:tcPr>
          <w:p w:rsidR="00AC12B4" w:rsidRDefault="00AC12B4">
            <w:pPr>
              <w:rPr>
                <w:sz w:val="14"/>
                <w:szCs w:val="14"/>
              </w:rPr>
            </w:pPr>
          </w:p>
        </w:tc>
        <w:tc>
          <w:tcPr>
            <w:tcW w:w="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14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00" w:type="dxa"/>
            <w:vAlign w:val="bottom"/>
          </w:tcPr>
          <w:p w:rsidR="00AC12B4" w:rsidRDefault="00AC12B4">
            <w:pPr>
              <w:rPr>
                <w:sz w:val="14"/>
                <w:szCs w:val="14"/>
              </w:rPr>
            </w:pPr>
          </w:p>
        </w:tc>
        <w:tc>
          <w:tcPr>
            <w:tcW w:w="24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40" w:type="dxa"/>
            <w:vAlign w:val="bottom"/>
          </w:tcPr>
          <w:p w:rsidR="00AC12B4" w:rsidRDefault="00AC12B4">
            <w:pPr>
              <w:rPr>
                <w:sz w:val="14"/>
                <w:szCs w:val="14"/>
              </w:rPr>
            </w:pPr>
          </w:p>
        </w:tc>
        <w:tc>
          <w:tcPr>
            <w:tcW w:w="420" w:type="dxa"/>
            <w:vAlign w:val="bottom"/>
          </w:tcPr>
          <w:p w:rsidR="00AC12B4" w:rsidRDefault="00AC12B4">
            <w:pPr>
              <w:rPr>
                <w:sz w:val="14"/>
                <w:szCs w:val="14"/>
              </w:rPr>
            </w:pPr>
          </w:p>
        </w:tc>
        <w:tc>
          <w:tcPr>
            <w:tcW w:w="520" w:type="dxa"/>
            <w:vAlign w:val="bottom"/>
          </w:tcPr>
          <w:p w:rsidR="00AC12B4" w:rsidRDefault="00AC12B4">
            <w:pPr>
              <w:rPr>
                <w:sz w:val="14"/>
                <w:szCs w:val="14"/>
              </w:rPr>
            </w:pPr>
          </w:p>
        </w:tc>
        <w:tc>
          <w:tcPr>
            <w:tcW w:w="48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80" w:type="dxa"/>
            <w:tcBorders>
              <w:right w:val="single" w:sz="8" w:space="0" w:color="8BCCEC"/>
            </w:tcBorders>
            <w:vAlign w:val="bottom"/>
          </w:tcPr>
          <w:p w:rsidR="00AC12B4" w:rsidRDefault="00AC12B4">
            <w:pPr>
              <w:rPr>
                <w:sz w:val="14"/>
                <w:szCs w:val="14"/>
              </w:rPr>
            </w:pPr>
          </w:p>
        </w:tc>
        <w:tc>
          <w:tcPr>
            <w:tcW w:w="1680" w:type="dxa"/>
            <w:gridSpan w:val="4"/>
            <w:vMerge/>
            <w:vAlign w:val="bottom"/>
          </w:tcPr>
          <w:p w:rsidR="00AC12B4" w:rsidRDefault="00AC12B4">
            <w:pPr>
              <w:rPr>
                <w:sz w:val="14"/>
                <w:szCs w:val="14"/>
              </w:rPr>
            </w:pPr>
          </w:p>
        </w:tc>
        <w:tc>
          <w:tcPr>
            <w:tcW w:w="60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94"/>
        </w:trPr>
        <w:tc>
          <w:tcPr>
            <w:tcW w:w="1780" w:type="dxa"/>
            <w:vMerge/>
            <w:vAlign w:val="bottom"/>
          </w:tcPr>
          <w:p w:rsidR="00AC12B4" w:rsidRDefault="00AC12B4">
            <w:pPr>
              <w:rPr>
                <w:sz w:val="8"/>
                <w:szCs w:val="8"/>
              </w:rPr>
            </w:pPr>
          </w:p>
        </w:tc>
        <w:tc>
          <w:tcPr>
            <w:tcW w:w="980" w:type="dxa"/>
            <w:gridSpan w:val="2"/>
            <w:vMerge/>
            <w:tcBorders>
              <w:right w:val="single" w:sz="8" w:space="0" w:color="8BCCEC"/>
            </w:tcBorders>
            <w:vAlign w:val="bottom"/>
          </w:tcPr>
          <w:p w:rsidR="00AC12B4" w:rsidRDefault="00AC12B4">
            <w:pPr>
              <w:rPr>
                <w:sz w:val="8"/>
                <w:szCs w:val="8"/>
              </w:rPr>
            </w:pPr>
          </w:p>
        </w:tc>
        <w:tc>
          <w:tcPr>
            <w:tcW w:w="760" w:type="dxa"/>
            <w:gridSpan w:val="2"/>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5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80" w:type="dxa"/>
            <w:tcBorders>
              <w:right w:val="single" w:sz="8" w:space="0" w:color="8BCCEC"/>
            </w:tcBorders>
            <w:vAlign w:val="bottom"/>
          </w:tcPr>
          <w:p w:rsidR="00AC12B4" w:rsidRDefault="00AC12B4">
            <w:pPr>
              <w:rPr>
                <w:sz w:val="8"/>
                <w:szCs w:val="8"/>
              </w:rPr>
            </w:pPr>
          </w:p>
        </w:tc>
        <w:tc>
          <w:tcPr>
            <w:tcW w:w="480" w:type="dxa"/>
            <w:vMerge w:val="restart"/>
            <w:vAlign w:val="bottom"/>
          </w:tcPr>
          <w:p w:rsidR="00AC12B4" w:rsidRDefault="00C27636">
            <w:pPr>
              <w:spacing w:line="229" w:lineRule="exact"/>
              <w:ind w:left="180"/>
              <w:rPr>
                <w:sz w:val="20"/>
                <w:szCs w:val="20"/>
              </w:rPr>
            </w:pPr>
            <w:r>
              <w:rPr>
                <w:rFonts w:ascii="Calibri" w:eastAsia="Calibri" w:hAnsi="Calibri" w:cs="Calibri"/>
              </w:rPr>
              <w:t>sur</w:t>
            </w:r>
          </w:p>
        </w:tc>
        <w:tc>
          <w:tcPr>
            <w:tcW w:w="420" w:type="dxa"/>
            <w:vMerge w:val="restart"/>
            <w:vAlign w:val="bottom"/>
          </w:tcPr>
          <w:p w:rsidR="00AC12B4" w:rsidRDefault="00C27636">
            <w:pPr>
              <w:spacing w:line="229" w:lineRule="exact"/>
              <w:ind w:left="120"/>
              <w:rPr>
                <w:sz w:val="20"/>
                <w:szCs w:val="20"/>
              </w:rPr>
            </w:pPr>
            <w:r>
              <w:rPr>
                <w:rFonts w:ascii="Calibri" w:eastAsia="Calibri" w:hAnsi="Calibri" w:cs="Calibri"/>
              </w:rPr>
              <w:t>les</w:t>
            </w:r>
          </w:p>
        </w:tc>
        <w:tc>
          <w:tcPr>
            <w:tcW w:w="780" w:type="dxa"/>
            <w:gridSpan w:val="2"/>
            <w:vMerge w:val="restart"/>
            <w:vAlign w:val="bottom"/>
          </w:tcPr>
          <w:p w:rsidR="00AC12B4" w:rsidRDefault="00C27636">
            <w:pPr>
              <w:spacing w:line="229" w:lineRule="exact"/>
              <w:ind w:right="54"/>
              <w:jc w:val="right"/>
              <w:rPr>
                <w:sz w:val="20"/>
                <w:szCs w:val="20"/>
              </w:rPr>
            </w:pPr>
            <w:r>
              <w:rPr>
                <w:rFonts w:ascii="Calibri" w:eastAsia="Calibri" w:hAnsi="Calibri" w:cs="Calibri"/>
              </w:rPr>
              <w:t>forces</w:t>
            </w:r>
          </w:p>
        </w:tc>
        <w:tc>
          <w:tcPr>
            <w:tcW w:w="6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35"/>
        </w:trPr>
        <w:tc>
          <w:tcPr>
            <w:tcW w:w="1780" w:type="dxa"/>
            <w:vMerge w:val="restart"/>
            <w:vAlign w:val="bottom"/>
          </w:tcPr>
          <w:p w:rsidR="00AC12B4" w:rsidRDefault="00C27636">
            <w:pPr>
              <w:spacing w:line="253" w:lineRule="exact"/>
              <w:ind w:left="1460"/>
              <w:rPr>
                <w:sz w:val="20"/>
                <w:szCs w:val="20"/>
              </w:rPr>
            </w:pPr>
            <w:r>
              <w:rPr>
                <w:rFonts w:ascii="Calibri" w:eastAsia="Calibri" w:hAnsi="Calibri" w:cs="Calibri"/>
                <w:w w:val="96"/>
              </w:rPr>
              <w:t>des</w:t>
            </w:r>
          </w:p>
        </w:tc>
        <w:tc>
          <w:tcPr>
            <w:tcW w:w="980" w:type="dxa"/>
            <w:gridSpan w:val="2"/>
            <w:vMerge w:val="restart"/>
            <w:tcBorders>
              <w:right w:val="single" w:sz="8" w:space="0" w:color="8BCCEC"/>
            </w:tcBorders>
            <w:vAlign w:val="bottom"/>
          </w:tcPr>
          <w:p w:rsidR="00AC12B4" w:rsidRDefault="00C27636">
            <w:pPr>
              <w:spacing w:line="253" w:lineRule="exact"/>
              <w:ind w:right="91"/>
              <w:jc w:val="right"/>
              <w:rPr>
                <w:sz w:val="20"/>
                <w:szCs w:val="20"/>
              </w:rPr>
            </w:pPr>
            <w:r>
              <w:rPr>
                <w:rFonts w:ascii="Calibri" w:eastAsia="Calibri" w:hAnsi="Calibri" w:cs="Calibri"/>
              </w:rPr>
              <w:t>efforts</w:t>
            </w:r>
          </w:p>
        </w:tc>
        <w:tc>
          <w:tcPr>
            <w:tcW w:w="760" w:type="dxa"/>
            <w:gridSpan w:val="2"/>
            <w:vMerge w:val="restart"/>
            <w:vAlign w:val="bottom"/>
          </w:tcPr>
          <w:p w:rsidR="00AC12B4" w:rsidRDefault="00C27636">
            <w:pPr>
              <w:jc w:val="right"/>
              <w:rPr>
                <w:sz w:val="20"/>
                <w:szCs w:val="20"/>
              </w:rPr>
            </w:pPr>
            <w:r>
              <w:rPr>
                <w:rFonts w:ascii="Calibri" w:eastAsia="Calibri" w:hAnsi="Calibri" w:cs="Calibri"/>
                <w:sz w:val="20"/>
                <w:szCs w:val="20"/>
              </w:rPr>
              <w:t>15,00%</w:t>
            </w:r>
          </w:p>
        </w:tc>
        <w:tc>
          <w:tcPr>
            <w:tcW w:w="60" w:type="dxa"/>
            <w:vAlign w:val="bottom"/>
          </w:tcPr>
          <w:p w:rsidR="00AC12B4" w:rsidRDefault="00AC12B4">
            <w:pPr>
              <w:rPr>
                <w:sz w:val="11"/>
                <w:szCs w:val="11"/>
              </w:rPr>
            </w:pPr>
          </w:p>
        </w:tc>
        <w:tc>
          <w:tcPr>
            <w:tcW w:w="80" w:type="dxa"/>
            <w:tcBorders>
              <w:right w:val="single" w:sz="8" w:space="0" w:color="868686"/>
            </w:tcBorders>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240" w:type="dxa"/>
            <w:tcBorders>
              <w:bottom w:val="single" w:sz="8" w:space="0" w:color="BE4B48"/>
            </w:tcBorders>
            <w:vAlign w:val="bottom"/>
          </w:tcPr>
          <w:p w:rsidR="00AC12B4" w:rsidRDefault="00AC12B4">
            <w:pPr>
              <w:rPr>
                <w:sz w:val="11"/>
                <w:szCs w:val="11"/>
              </w:rPr>
            </w:pPr>
          </w:p>
        </w:tc>
        <w:tc>
          <w:tcPr>
            <w:tcW w:w="100" w:type="dxa"/>
            <w:tcBorders>
              <w:bottom w:val="single" w:sz="8" w:space="0" w:color="BE4B48"/>
            </w:tcBorders>
            <w:vAlign w:val="bottom"/>
          </w:tcPr>
          <w:p w:rsidR="00AC12B4" w:rsidRDefault="00AC12B4">
            <w:pPr>
              <w:rPr>
                <w:sz w:val="11"/>
                <w:szCs w:val="11"/>
              </w:rPr>
            </w:pPr>
          </w:p>
        </w:tc>
        <w:tc>
          <w:tcPr>
            <w:tcW w:w="40" w:type="dxa"/>
            <w:tcBorders>
              <w:bottom w:val="single" w:sz="8" w:space="0" w:color="BE4B48"/>
            </w:tcBorders>
            <w:vAlign w:val="bottom"/>
          </w:tcPr>
          <w:p w:rsidR="00AC12B4" w:rsidRDefault="00AC12B4">
            <w:pPr>
              <w:rPr>
                <w:sz w:val="11"/>
                <w:szCs w:val="11"/>
              </w:rPr>
            </w:pPr>
          </w:p>
        </w:tc>
        <w:tc>
          <w:tcPr>
            <w:tcW w:w="940" w:type="dxa"/>
            <w:gridSpan w:val="2"/>
            <w:vMerge w:val="restart"/>
            <w:vAlign w:val="bottom"/>
          </w:tcPr>
          <w:p w:rsidR="00AC12B4" w:rsidRDefault="00C27636">
            <w:pPr>
              <w:spacing w:line="240" w:lineRule="exact"/>
              <w:ind w:left="40"/>
              <w:rPr>
                <w:sz w:val="20"/>
                <w:szCs w:val="20"/>
              </w:rPr>
            </w:pPr>
            <w:r>
              <w:rPr>
                <w:rFonts w:ascii="Calibri" w:eastAsia="Calibri" w:hAnsi="Calibri" w:cs="Calibri"/>
                <w:sz w:val="20"/>
                <w:szCs w:val="20"/>
              </w:rPr>
              <w:t>Région de</w:t>
            </w:r>
          </w:p>
        </w:tc>
        <w:tc>
          <w:tcPr>
            <w:tcW w:w="48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80" w:type="dxa"/>
            <w:tcBorders>
              <w:right w:val="single" w:sz="8" w:space="0" w:color="8BCCEC"/>
            </w:tcBorders>
            <w:vAlign w:val="bottom"/>
          </w:tcPr>
          <w:p w:rsidR="00AC12B4" w:rsidRDefault="00AC12B4">
            <w:pPr>
              <w:rPr>
                <w:sz w:val="11"/>
                <w:szCs w:val="11"/>
              </w:rPr>
            </w:pPr>
          </w:p>
        </w:tc>
        <w:tc>
          <w:tcPr>
            <w:tcW w:w="480" w:type="dxa"/>
            <w:vMerge/>
            <w:vAlign w:val="bottom"/>
          </w:tcPr>
          <w:p w:rsidR="00AC12B4" w:rsidRDefault="00AC12B4">
            <w:pPr>
              <w:rPr>
                <w:sz w:val="11"/>
                <w:szCs w:val="11"/>
              </w:rPr>
            </w:pPr>
          </w:p>
        </w:tc>
        <w:tc>
          <w:tcPr>
            <w:tcW w:w="420" w:type="dxa"/>
            <w:vMerge/>
            <w:vAlign w:val="bottom"/>
          </w:tcPr>
          <w:p w:rsidR="00AC12B4" w:rsidRDefault="00AC12B4">
            <w:pPr>
              <w:rPr>
                <w:sz w:val="11"/>
                <w:szCs w:val="11"/>
              </w:rPr>
            </w:pPr>
          </w:p>
        </w:tc>
        <w:tc>
          <w:tcPr>
            <w:tcW w:w="780" w:type="dxa"/>
            <w:gridSpan w:val="2"/>
            <w:vMerge/>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9"/>
        </w:trPr>
        <w:tc>
          <w:tcPr>
            <w:tcW w:w="1780" w:type="dxa"/>
            <w:vMerge/>
            <w:vAlign w:val="bottom"/>
          </w:tcPr>
          <w:p w:rsidR="00AC12B4" w:rsidRDefault="00AC12B4">
            <w:pPr>
              <w:rPr>
                <w:sz w:val="8"/>
                <w:szCs w:val="8"/>
              </w:rPr>
            </w:pPr>
          </w:p>
        </w:tc>
        <w:tc>
          <w:tcPr>
            <w:tcW w:w="980" w:type="dxa"/>
            <w:gridSpan w:val="2"/>
            <w:vMerge/>
            <w:tcBorders>
              <w:right w:val="single" w:sz="8" w:space="0" w:color="8BCCEC"/>
            </w:tcBorders>
            <w:vAlign w:val="bottom"/>
          </w:tcPr>
          <w:p w:rsidR="00AC12B4" w:rsidRDefault="00AC12B4">
            <w:pPr>
              <w:rPr>
                <w:sz w:val="8"/>
                <w:szCs w:val="8"/>
              </w:rPr>
            </w:pPr>
          </w:p>
        </w:tc>
        <w:tc>
          <w:tcPr>
            <w:tcW w:w="760" w:type="dxa"/>
            <w:gridSpan w:val="2"/>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940" w:type="dxa"/>
            <w:gridSpan w:val="2"/>
            <w:vMerge/>
            <w:vAlign w:val="bottom"/>
          </w:tcPr>
          <w:p w:rsidR="00AC12B4" w:rsidRDefault="00AC12B4">
            <w:pPr>
              <w:rPr>
                <w:sz w:val="8"/>
                <w:szCs w:val="8"/>
              </w:rPr>
            </w:pPr>
          </w:p>
        </w:tc>
        <w:tc>
          <w:tcPr>
            <w:tcW w:w="48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80" w:type="dxa"/>
            <w:tcBorders>
              <w:right w:val="single" w:sz="8" w:space="0" w:color="8BCCEC"/>
            </w:tcBorders>
            <w:vAlign w:val="bottom"/>
          </w:tcPr>
          <w:p w:rsidR="00AC12B4" w:rsidRDefault="00AC12B4">
            <w:pPr>
              <w:rPr>
                <w:sz w:val="8"/>
                <w:szCs w:val="8"/>
              </w:rPr>
            </w:pPr>
          </w:p>
        </w:tc>
        <w:tc>
          <w:tcPr>
            <w:tcW w:w="1680" w:type="dxa"/>
            <w:gridSpan w:val="4"/>
            <w:vMerge w:val="restart"/>
            <w:vAlign w:val="bottom"/>
          </w:tcPr>
          <w:p w:rsidR="00AC12B4" w:rsidRDefault="00C27636">
            <w:pPr>
              <w:ind w:right="34"/>
              <w:jc w:val="right"/>
              <w:rPr>
                <w:sz w:val="20"/>
                <w:szCs w:val="20"/>
              </w:rPr>
            </w:pPr>
            <w:r>
              <w:rPr>
                <w:rFonts w:ascii="Calibri" w:eastAsia="Calibri" w:hAnsi="Calibri" w:cs="Calibri"/>
              </w:rPr>
              <w:t>de travail (EFT,</w:t>
            </w:r>
          </w:p>
        </w:tc>
        <w:tc>
          <w:tcPr>
            <w:tcW w:w="6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45"/>
        </w:trPr>
        <w:tc>
          <w:tcPr>
            <w:tcW w:w="2240" w:type="dxa"/>
            <w:gridSpan w:val="2"/>
            <w:vMerge w:val="restart"/>
            <w:vAlign w:val="bottom"/>
          </w:tcPr>
          <w:p w:rsidR="00AC12B4" w:rsidRDefault="00C27636">
            <w:pPr>
              <w:ind w:left="1460"/>
              <w:rPr>
                <w:sz w:val="20"/>
                <w:szCs w:val="20"/>
              </w:rPr>
            </w:pPr>
            <w:r>
              <w:rPr>
                <w:rFonts w:ascii="Calibri" w:eastAsia="Calibri" w:hAnsi="Calibri" w:cs="Calibri"/>
              </w:rPr>
              <w:t>po</w:t>
            </w:r>
            <w:r>
              <w:rPr>
                <w:rFonts w:ascii="Calibri" w:eastAsia="Calibri" w:hAnsi="Calibri" w:cs="Calibri"/>
              </w:rPr>
              <w:lastRenderedPageBreak/>
              <w:t>ur</w:t>
            </w:r>
          </w:p>
        </w:tc>
        <w:tc>
          <w:tcPr>
            <w:tcW w:w="520" w:type="dxa"/>
            <w:tcBorders>
              <w:right w:val="single" w:sz="8" w:space="0" w:color="8BCCEC"/>
            </w:tcBorders>
            <w:vAlign w:val="bottom"/>
          </w:tcPr>
          <w:p w:rsidR="00AC12B4" w:rsidRDefault="00AC12B4">
            <w:pPr>
              <w:rPr>
                <w:sz w:val="3"/>
                <w:szCs w:val="3"/>
              </w:rPr>
            </w:pPr>
          </w:p>
        </w:tc>
        <w:tc>
          <w:tcPr>
            <w:tcW w:w="760" w:type="dxa"/>
            <w:gridSpan w:val="2"/>
            <w:vMerge/>
            <w:vAlign w:val="bottom"/>
          </w:tcPr>
          <w:p w:rsidR="00AC12B4" w:rsidRDefault="00AC12B4">
            <w:pPr>
              <w:rPr>
                <w:sz w:val="3"/>
                <w:szCs w:val="3"/>
              </w:rPr>
            </w:pPr>
          </w:p>
        </w:tc>
        <w:tc>
          <w:tcPr>
            <w:tcW w:w="60" w:type="dxa"/>
            <w:vAlign w:val="bottom"/>
          </w:tcPr>
          <w:p w:rsidR="00AC12B4" w:rsidRDefault="00AC12B4">
            <w:pPr>
              <w:rPr>
                <w:sz w:val="3"/>
                <w:szCs w:val="3"/>
              </w:rPr>
            </w:pPr>
          </w:p>
        </w:tc>
        <w:tc>
          <w:tcPr>
            <w:tcW w:w="80" w:type="dxa"/>
            <w:tcBorders>
              <w:bottom w:val="single" w:sz="8" w:space="0" w:color="868686"/>
              <w:right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40" w:type="dxa"/>
            <w:tcBorders>
              <w:bottom w:val="single" w:sz="8" w:space="0" w:color="868686"/>
            </w:tcBorders>
            <w:vAlign w:val="bottom"/>
          </w:tcPr>
          <w:p w:rsidR="00AC12B4" w:rsidRDefault="00AC12B4">
            <w:pPr>
              <w:rPr>
                <w:sz w:val="3"/>
                <w:szCs w:val="3"/>
              </w:rPr>
            </w:pPr>
          </w:p>
        </w:tc>
        <w:tc>
          <w:tcPr>
            <w:tcW w:w="10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60" w:type="dxa"/>
            <w:tcBorders>
              <w:bottom w:val="single" w:sz="8" w:space="0" w:color="868686"/>
            </w:tcBorders>
            <w:vAlign w:val="bottom"/>
          </w:tcPr>
          <w:p w:rsidR="00AC12B4" w:rsidRDefault="00AC12B4">
            <w:pPr>
              <w:rPr>
                <w:sz w:val="3"/>
                <w:szCs w:val="3"/>
              </w:rPr>
            </w:pPr>
          </w:p>
        </w:tc>
        <w:tc>
          <w:tcPr>
            <w:tcW w:w="8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60" w:type="dxa"/>
            <w:tcBorders>
              <w:bottom w:val="single" w:sz="8" w:space="0" w:color="868686"/>
            </w:tcBorders>
            <w:vAlign w:val="bottom"/>
          </w:tcPr>
          <w:p w:rsidR="00AC12B4" w:rsidRDefault="00AC12B4">
            <w:pPr>
              <w:rPr>
                <w:sz w:val="3"/>
                <w:szCs w:val="3"/>
              </w:rPr>
            </w:pPr>
          </w:p>
        </w:tc>
        <w:tc>
          <w:tcPr>
            <w:tcW w:w="8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2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20" w:type="dxa"/>
            <w:tcBorders>
              <w:bottom w:val="single" w:sz="8" w:space="0" w:color="868686"/>
            </w:tcBorders>
            <w:vAlign w:val="bottom"/>
          </w:tcPr>
          <w:p w:rsidR="00AC12B4" w:rsidRDefault="00AC12B4">
            <w:pPr>
              <w:rPr>
                <w:sz w:val="3"/>
                <w:szCs w:val="3"/>
              </w:rPr>
            </w:pPr>
          </w:p>
        </w:tc>
        <w:tc>
          <w:tcPr>
            <w:tcW w:w="120" w:type="dxa"/>
            <w:tcBorders>
              <w:bottom w:val="single" w:sz="8" w:space="0" w:color="868686"/>
            </w:tcBorders>
            <w:vAlign w:val="bottom"/>
          </w:tcPr>
          <w:p w:rsidR="00AC12B4" w:rsidRDefault="00AC12B4">
            <w:pPr>
              <w:rPr>
                <w:sz w:val="3"/>
                <w:szCs w:val="3"/>
              </w:rPr>
            </w:pPr>
          </w:p>
        </w:tc>
        <w:tc>
          <w:tcPr>
            <w:tcW w:w="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140" w:type="dxa"/>
            <w:tcBorders>
              <w:bottom w:val="single" w:sz="8" w:space="0" w:color="868686"/>
            </w:tcBorders>
            <w:vAlign w:val="bottom"/>
          </w:tcPr>
          <w:p w:rsidR="00AC12B4" w:rsidRDefault="00AC12B4">
            <w:pPr>
              <w:rPr>
                <w:sz w:val="3"/>
                <w:szCs w:val="3"/>
              </w:rPr>
            </w:pPr>
          </w:p>
        </w:tc>
        <w:tc>
          <w:tcPr>
            <w:tcW w:w="20" w:type="dxa"/>
            <w:tcBorders>
              <w:bottom w:val="single" w:sz="8" w:space="0" w:color="868686"/>
            </w:tcBorders>
            <w:vAlign w:val="bottom"/>
          </w:tcPr>
          <w:p w:rsidR="00AC12B4" w:rsidRDefault="00AC12B4">
            <w:pPr>
              <w:rPr>
                <w:sz w:val="3"/>
                <w:szCs w:val="3"/>
              </w:rPr>
            </w:pPr>
          </w:p>
        </w:tc>
        <w:tc>
          <w:tcPr>
            <w:tcW w:w="400" w:type="dxa"/>
            <w:vAlign w:val="bottom"/>
          </w:tcPr>
          <w:p w:rsidR="00AC12B4" w:rsidRDefault="00AC12B4">
            <w:pPr>
              <w:rPr>
                <w:sz w:val="3"/>
                <w:szCs w:val="3"/>
              </w:rPr>
            </w:pPr>
          </w:p>
        </w:tc>
        <w:tc>
          <w:tcPr>
            <w:tcW w:w="240" w:type="dxa"/>
            <w:vAlign w:val="bottom"/>
          </w:tcPr>
          <w:p w:rsidR="00AC12B4" w:rsidRDefault="00AC12B4">
            <w:pPr>
              <w:rPr>
                <w:sz w:val="3"/>
                <w:szCs w:val="3"/>
              </w:rPr>
            </w:pPr>
          </w:p>
        </w:tc>
        <w:tc>
          <w:tcPr>
            <w:tcW w:w="100" w:type="dxa"/>
            <w:vAlign w:val="bottom"/>
          </w:tcPr>
          <w:p w:rsidR="00AC12B4" w:rsidRDefault="00AC12B4">
            <w:pPr>
              <w:rPr>
                <w:sz w:val="3"/>
                <w:szCs w:val="3"/>
              </w:rPr>
            </w:pPr>
          </w:p>
        </w:tc>
        <w:tc>
          <w:tcPr>
            <w:tcW w:w="40" w:type="dxa"/>
            <w:vAlign w:val="bottom"/>
          </w:tcPr>
          <w:p w:rsidR="00AC12B4" w:rsidRDefault="00AC12B4">
            <w:pPr>
              <w:rPr>
                <w:sz w:val="3"/>
                <w:szCs w:val="3"/>
              </w:rPr>
            </w:pPr>
          </w:p>
        </w:tc>
        <w:tc>
          <w:tcPr>
            <w:tcW w:w="1520" w:type="dxa"/>
            <w:gridSpan w:val="4"/>
            <w:vMerge w:val="restart"/>
            <w:vAlign w:val="bottom"/>
          </w:tcPr>
          <w:p w:rsidR="00AC12B4" w:rsidRDefault="00C27636">
            <w:pPr>
              <w:spacing w:line="231" w:lineRule="exact"/>
              <w:ind w:left="40"/>
              <w:rPr>
                <w:sz w:val="20"/>
                <w:szCs w:val="20"/>
              </w:rPr>
            </w:pPr>
            <w:r>
              <w:rPr>
                <w:rFonts w:ascii="Calibri" w:eastAsia="Calibri" w:hAnsi="Calibri" w:cs="Calibri"/>
                <w:w w:val="98"/>
                <w:sz w:val="20"/>
                <w:szCs w:val="20"/>
              </w:rPr>
              <w:t>Bruxelles-Capitale</w:t>
            </w:r>
          </w:p>
        </w:tc>
        <w:tc>
          <w:tcPr>
            <w:tcW w:w="80" w:type="dxa"/>
            <w:vMerge w:val="restart"/>
            <w:tcBorders>
              <w:right w:val="single" w:sz="8" w:space="0" w:color="8BCCEC"/>
            </w:tcBorders>
            <w:vAlign w:val="bottom"/>
          </w:tcPr>
          <w:p w:rsidR="00AC12B4" w:rsidRDefault="00AC12B4">
            <w:pPr>
              <w:rPr>
                <w:sz w:val="3"/>
                <w:szCs w:val="3"/>
              </w:rPr>
            </w:pPr>
          </w:p>
        </w:tc>
        <w:tc>
          <w:tcPr>
            <w:tcW w:w="1680" w:type="dxa"/>
            <w:gridSpan w:val="4"/>
            <w:vMerge/>
            <w:vAlign w:val="bottom"/>
          </w:tcPr>
          <w:p w:rsidR="00AC12B4" w:rsidRDefault="00AC12B4">
            <w:pPr>
              <w:rPr>
                <w:sz w:val="3"/>
                <w:szCs w:val="3"/>
              </w:rPr>
            </w:pPr>
          </w:p>
        </w:tc>
        <w:tc>
          <w:tcPr>
            <w:tcW w:w="600" w:type="dxa"/>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132"/>
        </w:trPr>
        <w:tc>
          <w:tcPr>
            <w:tcW w:w="2240" w:type="dxa"/>
            <w:gridSpan w:val="2"/>
            <w:vMerge/>
            <w:vAlign w:val="bottom"/>
          </w:tcPr>
          <w:p w:rsidR="00AC12B4" w:rsidRDefault="00AC12B4">
            <w:pPr>
              <w:rPr>
                <w:sz w:val="11"/>
                <w:szCs w:val="11"/>
              </w:rPr>
            </w:pPr>
          </w:p>
        </w:tc>
        <w:tc>
          <w:tcPr>
            <w:tcW w:w="520" w:type="dxa"/>
            <w:tcBorders>
              <w:right w:val="single" w:sz="8" w:space="0" w:color="8BCCEC"/>
            </w:tcBorders>
            <w:vAlign w:val="bottom"/>
          </w:tcPr>
          <w:p w:rsidR="00AC12B4" w:rsidRDefault="00AC12B4">
            <w:pPr>
              <w:rPr>
                <w:sz w:val="11"/>
                <w:szCs w:val="11"/>
              </w:rPr>
            </w:pPr>
          </w:p>
        </w:tc>
        <w:tc>
          <w:tcPr>
            <w:tcW w:w="760" w:type="dxa"/>
            <w:gridSpan w:val="2"/>
            <w:vMerge/>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tcBorders>
              <w:right w:val="single" w:sz="8" w:space="0" w:color="868686"/>
            </w:tcBorders>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24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1520" w:type="dxa"/>
            <w:gridSpan w:val="4"/>
            <w:vMerge/>
            <w:vAlign w:val="bottom"/>
          </w:tcPr>
          <w:p w:rsidR="00AC12B4" w:rsidRDefault="00AC12B4">
            <w:pPr>
              <w:rPr>
                <w:sz w:val="11"/>
                <w:szCs w:val="11"/>
              </w:rPr>
            </w:pPr>
          </w:p>
        </w:tc>
        <w:tc>
          <w:tcPr>
            <w:tcW w:w="80" w:type="dxa"/>
            <w:vMerge/>
            <w:tcBorders>
              <w:right w:val="single" w:sz="8" w:space="0" w:color="8BCCEC"/>
            </w:tcBorders>
            <w:vAlign w:val="bottom"/>
          </w:tcPr>
          <w:p w:rsidR="00AC12B4" w:rsidRDefault="00AC12B4">
            <w:pPr>
              <w:rPr>
                <w:sz w:val="11"/>
                <w:szCs w:val="11"/>
              </w:rPr>
            </w:pPr>
          </w:p>
        </w:tc>
        <w:tc>
          <w:tcPr>
            <w:tcW w:w="1680" w:type="dxa"/>
            <w:gridSpan w:val="4"/>
            <w:vMerge/>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72"/>
        </w:trPr>
        <w:tc>
          <w:tcPr>
            <w:tcW w:w="2240" w:type="dxa"/>
            <w:gridSpan w:val="2"/>
            <w:vMerge/>
            <w:vAlign w:val="bottom"/>
          </w:tcPr>
          <w:p w:rsidR="00AC12B4" w:rsidRDefault="00AC12B4">
            <w:pPr>
              <w:rPr>
                <w:sz w:val="6"/>
                <w:szCs w:val="6"/>
              </w:rPr>
            </w:pPr>
          </w:p>
        </w:tc>
        <w:tc>
          <w:tcPr>
            <w:tcW w:w="520" w:type="dxa"/>
            <w:tcBorders>
              <w:right w:val="single" w:sz="8" w:space="0" w:color="8BCCEC"/>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6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tcBorders>
              <w:right w:val="single" w:sz="8" w:space="0" w:color="868686"/>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1520" w:type="dxa"/>
            <w:gridSpan w:val="4"/>
            <w:vMerge/>
            <w:vAlign w:val="bottom"/>
          </w:tcPr>
          <w:p w:rsidR="00AC12B4" w:rsidRDefault="00AC12B4">
            <w:pPr>
              <w:rPr>
                <w:sz w:val="6"/>
                <w:szCs w:val="6"/>
              </w:rPr>
            </w:pPr>
          </w:p>
        </w:tc>
        <w:tc>
          <w:tcPr>
            <w:tcW w:w="80" w:type="dxa"/>
            <w:tcBorders>
              <w:right w:val="single" w:sz="8" w:space="0" w:color="8BCCEC"/>
            </w:tcBorders>
            <w:vAlign w:val="bottom"/>
          </w:tcPr>
          <w:p w:rsidR="00AC12B4" w:rsidRDefault="00AC12B4">
            <w:pPr>
              <w:rPr>
                <w:sz w:val="6"/>
                <w:szCs w:val="6"/>
              </w:rPr>
            </w:pPr>
          </w:p>
        </w:tc>
        <w:tc>
          <w:tcPr>
            <w:tcW w:w="480" w:type="dxa"/>
            <w:vMerge w:val="restart"/>
            <w:vAlign w:val="bottom"/>
          </w:tcPr>
          <w:p w:rsidR="00AC12B4" w:rsidRDefault="00C27636">
            <w:pPr>
              <w:spacing w:line="213" w:lineRule="exact"/>
              <w:ind w:left="180"/>
              <w:rPr>
                <w:sz w:val="20"/>
                <w:szCs w:val="20"/>
              </w:rPr>
            </w:pPr>
            <w:r>
              <w:rPr>
                <w:rFonts w:ascii="Calibri" w:eastAsia="Calibri" w:hAnsi="Calibri" w:cs="Calibri"/>
              </w:rPr>
              <w:t>C</w:t>
            </w:r>
            <w:r>
              <w:rPr>
                <w:rFonts w:ascii="Calibri" w:eastAsia="Calibri" w:hAnsi="Calibri" w:cs="Calibri"/>
              </w:rPr>
              <w:lastRenderedPageBreak/>
              <w:t>f.</w:t>
            </w:r>
          </w:p>
        </w:tc>
        <w:tc>
          <w:tcPr>
            <w:tcW w:w="1200" w:type="dxa"/>
            <w:gridSpan w:val="3"/>
            <w:vMerge w:val="restart"/>
            <w:vAlign w:val="bottom"/>
          </w:tcPr>
          <w:p w:rsidR="00AC12B4" w:rsidRDefault="00C27636">
            <w:pPr>
              <w:spacing w:line="213" w:lineRule="exact"/>
              <w:ind w:right="34"/>
              <w:jc w:val="right"/>
              <w:rPr>
                <w:sz w:val="20"/>
                <w:szCs w:val="20"/>
              </w:rPr>
            </w:pPr>
            <w:r>
              <w:rPr>
                <w:rFonts w:ascii="Calibri" w:eastAsia="Calibri" w:hAnsi="Calibri" w:cs="Calibri"/>
              </w:rPr>
              <w:lastRenderedPageBreak/>
              <w:t>ci-</w:t>
            </w:r>
            <w:r>
              <w:rPr>
                <w:rFonts w:ascii="Calibri" w:eastAsia="Calibri" w:hAnsi="Calibri" w:cs="Calibri"/>
              </w:rPr>
              <w:lastRenderedPageBreak/>
              <w:t>dessous</w:t>
            </w: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84"/>
        </w:trPr>
        <w:tc>
          <w:tcPr>
            <w:tcW w:w="2240" w:type="dxa"/>
            <w:gridSpan w:val="2"/>
            <w:vMerge w:val="restart"/>
            <w:vAlign w:val="bottom"/>
          </w:tcPr>
          <w:p w:rsidR="00AC12B4" w:rsidRDefault="00C27636">
            <w:pPr>
              <w:ind w:left="1460"/>
              <w:rPr>
                <w:sz w:val="20"/>
                <w:szCs w:val="20"/>
              </w:rPr>
            </w:pPr>
            <w:r>
              <w:rPr>
                <w:rFonts w:ascii="Calibri" w:eastAsia="Calibri" w:hAnsi="Calibri" w:cs="Calibri"/>
              </w:rPr>
              <w:lastRenderedPageBreak/>
              <w:t>réduire</w:t>
            </w:r>
          </w:p>
        </w:tc>
        <w:tc>
          <w:tcPr>
            <w:tcW w:w="520" w:type="dxa"/>
            <w:tcBorders>
              <w:right w:val="single" w:sz="8" w:space="0" w:color="8BCCEC"/>
            </w:tcBorders>
            <w:vAlign w:val="bottom"/>
          </w:tcPr>
          <w:p w:rsidR="00AC12B4" w:rsidRDefault="00AC12B4">
            <w:pPr>
              <w:rPr>
                <w:sz w:val="16"/>
                <w:szCs w:val="16"/>
              </w:rPr>
            </w:pPr>
          </w:p>
        </w:tc>
        <w:tc>
          <w:tcPr>
            <w:tcW w:w="760" w:type="dxa"/>
            <w:gridSpan w:val="2"/>
            <w:vMerge w:val="restart"/>
            <w:vAlign w:val="bottom"/>
          </w:tcPr>
          <w:p w:rsidR="00AC12B4" w:rsidRDefault="00C27636">
            <w:pPr>
              <w:jc w:val="right"/>
              <w:rPr>
                <w:sz w:val="20"/>
                <w:szCs w:val="20"/>
              </w:rPr>
            </w:pPr>
            <w:r>
              <w:rPr>
                <w:rFonts w:ascii="Calibri" w:eastAsia="Calibri" w:hAnsi="Calibri" w:cs="Calibri"/>
                <w:sz w:val="20"/>
                <w:szCs w:val="20"/>
              </w:rPr>
              <w:t>10,00%</w:t>
            </w:r>
          </w:p>
        </w:tc>
        <w:tc>
          <w:tcPr>
            <w:tcW w:w="60" w:type="dxa"/>
            <w:vAlign w:val="bottom"/>
          </w:tcPr>
          <w:p w:rsidR="00AC12B4" w:rsidRDefault="00AC12B4">
            <w:pPr>
              <w:rPr>
                <w:sz w:val="16"/>
                <w:szCs w:val="16"/>
              </w:rPr>
            </w:pPr>
          </w:p>
        </w:tc>
        <w:tc>
          <w:tcPr>
            <w:tcW w:w="80" w:type="dxa"/>
            <w:tcBorders>
              <w:bottom w:val="single" w:sz="8" w:space="0" w:color="868686"/>
              <w:right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40" w:type="dxa"/>
            <w:tcBorders>
              <w:bottom w:val="single" w:sz="8" w:space="0" w:color="868686"/>
            </w:tcBorders>
            <w:vAlign w:val="bottom"/>
          </w:tcPr>
          <w:p w:rsidR="00AC12B4" w:rsidRDefault="00AC12B4">
            <w:pPr>
              <w:rPr>
                <w:sz w:val="16"/>
                <w:szCs w:val="16"/>
              </w:rPr>
            </w:pPr>
          </w:p>
        </w:tc>
        <w:tc>
          <w:tcPr>
            <w:tcW w:w="10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60" w:type="dxa"/>
            <w:tcBorders>
              <w:bottom w:val="single" w:sz="8" w:space="0" w:color="868686"/>
            </w:tcBorders>
            <w:vAlign w:val="bottom"/>
          </w:tcPr>
          <w:p w:rsidR="00AC12B4" w:rsidRDefault="00AC12B4">
            <w:pPr>
              <w:rPr>
                <w:sz w:val="16"/>
                <w:szCs w:val="16"/>
              </w:rPr>
            </w:pPr>
          </w:p>
        </w:tc>
        <w:tc>
          <w:tcPr>
            <w:tcW w:w="8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60" w:type="dxa"/>
            <w:tcBorders>
              <w:bottom w:val="single" w:sz="8" w:space="0" w:color="868686"/>
            </w:tcBorders>
            <w:vAlign w:val="bottom"/>
          </w:tcPr>
          <w:p w:rsidR="00AC12B4" w:rsidRDefault="00AC12B4">
            <w:pPr>
              <w:rPr>
                <w:sz w:val="16"/>
                <w:szCs w:val="16"/>
              </w:rPr>
            </w:pPr>
          </w:p>
        </w:tc>
        <w:tc>
          <w:tcPr>
            <w:tcW w:w="8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2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20" w:type="dxa"/>
            <w:tcBorders>
              <w:bottom w:val="single" w:sz="8" w:space="0" w:color="868686"/>
            </w:tcBorders>
            <w:vAlign w:val="bottom"/>
          </w:tcPr>
          <w:p w:rsidR="00AC12B4" w:rsidRDefault="00AC12B4">
            <w:pPr>
              <w:rPr>
                <w:sz w:val="16"/>
                <w:szCs w:val="16"/>
              </w:rPr>
            </w:pPr>
          </w:p>
        </w:tc>
        <w:tc>
          <w:tcPr>
            <w:tcW w:w="120" w:type="dxa"/>
            <w:tcBorders>
              <w:bottom w:val="single" w:sz="8" w:space="0" w:color="868686"/>
            </w:tcBorders>
            <w:vAlign w:val="bottom"/>
          </w:tcPr>
          <w:p w:rsidR="00AC12B4" w:rsidRDefault="00AC12B4">
            <w:pPr>
              <w:rPr>
                <w:sz w:val="16"/>
                <w:szCs w:val="16"/>
              </w:rPr>
            </w:pPr>
          </w:p>
        </w:tc>
        <w:tc>
          <w:tcPr>
            <w:tcW w:w="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140" w:type="dxa"/>
            <w:tcBorders>
              <w:bottom w:val="single" w:sz="8" w:space="0" w:color="868686"/>
            </w:tcBorders>
            <w:vAlign w:val="bottom"/>
          </w:tcPr>
          <w:p w:rsidR="00AC12B4" w:rsidRDefault="00AC12B4">
            <w:pPr>
              <w:rPr>
                <w:sz w:val="16"/>
                <w:szCs w:val="16"/>
              </w:rPr>
            </w:pPr>
          </w:p>
        </w:tc>
        <w:tc>
          <w:tcPr>
            <w:tcW w:w="20" w:type="dxa"/>
            <w:tcBorders>
              <w:bottom w:val="single" w:sz="8" w:space="0" w:color="868686"/>
            </w:tcBorders>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240" w:type="dxa"/>
            <w:tcBorders>
              <w:bottom w:val="single" w:sz="8" w:space="0" w:color="98B954"/>
            </w:tcBorders>
            <w:vAlign w:val="bottom"/>
          </w:tcPr>
          <w:p w:rsidR="00AC12B4" w:rsidRDefault="00AC12B4">
            <w:pPr>
              <w:rPr>
                <w:sz w:val="16"/>
                <w:szCs w:val="16"/>
              </w:rPr>
            </w:pPr>
          </w:p>
        </w:tc>
        <w:tc>
          <w:tcPr>
            <w:tcW w:w="100" w:type="dxa"/>
            <w:tcBorders>
              <w:bottom w:val="single" w:sz="8" w:space="0" w:color="98B954"/>
            </w:tcBorders>
            <w:vAlign w:val="bottom"/>
          </w:tcPr>
          <w:p w:rsidR="00AC12B4" w:rsidRDefault="00AC12B4">
            <w:pPr>
              <w:rPr>
                <w:sz w:val="16"/>
                <w:szCs w:val="16"/>
              </w:rPr>
            </w:pPr>
          </w:p>
        </w:tc>
        <w:tc>
          <w:tcPr>
            <w:tcW w:w="40" w:type="dxa"/>
            <w:tcBorders>
              <w:bottom w:val="single" w:sz="8" w:space="0" w:color="98B954"/>
            </w:tcBorders>
            <w:vAlign w:val="bottom"/>
          </w:tcPr>
          <w:p w:rsidR="00AC12B4" w:rsidRDefault="00AC12B4">
            <w:pPr>
              <w:rPr>
                <w:sz w:val="16"/>
                <w:szCs w:val="16"/>
              </w:rPr>
            </w:pPr>
          </w:p>
        </w:tc>
        <w:tc>
          <w:tcPr>
            <w:tcW w:w="1420" w:type="dxa"/>
            <w:gridSpan w:val="3"/>
            <w:vMerge w:val="restart"/>
            <w:vAlign w:val="bottom"/>
          </w:tcPr>
          <w:p w:rsidR="00AC12B4" w:rsidRDefault="00C27636">
            <w:pPr>
              <w:ind w:left="40"/>
              <w:rPr>
                <w:sz w:val="20"/>
                <w:szCs w:val="20"/>
              </w:rPr>
            </w:pPr>
            <w:r>
              <w:rPr>
                <w:rFonts w:ascii="Calibri" w:eastAsia="Calibri" w:hAnsi="Calibri" w:cs="Calibri"/>
                <w:w w:val="99"/>
                <w:sz w:val="20"/>
                <w:szCs w:val="20"/>
              </w:rPr>
              <w:t>Région flamande</w:t>
            </w:r>
          </w:p>
        </w:tc>
        <w:tc>
          <w:tcPr>
            <w:tcW w:w="100" w:type="dxa"/>
            <w:vAlign w:val="bottom"/>
          </w:tcPr>
          <w:p w:rsidR="00AC12B4" w:rsidRDefault="00AC12B4">
            <w:pPr>
              <w:rPr>
                <w:sz w:val="16"/>
                <w:szCs w:val="16"/>
              </w:rPr>
            </w:pPr>
          </w:p>
        </w:tc>
        <w:tc>
          <w:tcPr>
            <w:tcW w:w="80" w:type="dxa"/>
            <w:tcBorders>
              <w:right w:val="single" w:sz="8" w:space="0" w:color="8BCCEC"/>
            </w:tcBorders>
            <w:vAlign w:val="bottom"/>
          </w:tcPr>
          <w:p w:rsidR="00AC12B4" w:rsidRDefault="00AC12B4">
            <w:pPr>
              <w:rPr>
                <w:sz w:val="16"/>
                <w:szCs w:val="16"/>
              </w:rPr>
            </w:pPr>
          </w:p>
        </w:tc>
        <w:tc>
          <w:tcPr>
            <w:tcW w:w="480" w:type="dxa"/>
            <w:vMerge/>
            <w:vAlign w:val="bottom"/>
          </w:tcPr>
          <w:p w:rsidR="00AC12B4" w:rsidRDefault="00AC12B4">
            <w:pPr>
              <w:rPr>
                <w:sz w:val="16"/>
                <w:szCs w:val="16"/>
              </w:rPr>
            </w:pPr>
          </w:p>
        </w:tc>
        <w:tc>
          <w:tcPr>
            <w:tcW w:w="1200" w:type="dxa"/>
            <w:gridSpan w:val="3"/>
            <w:vMerge/>
            <w:vAlign w:val="bottom"/>
          </w:tcPr>
          <w:p w:rsidR="00AC12B4" w:rsidRDefault="00AC12B4">
            <w:pPr>
              <w:rPr>
                <w:sz w:val="16"/>
                <w:szCs w:val="16"/>
              </w:rPr>
            </w:pPr>
          </w:p>
        </w:tc>
        <w:tc>
          <w:tcPr>
            <w:tcW w:w="60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97"/>
        </w:trPr>
        <w:tc>
          <w:tcPr>
            <w:tcW w:w="2240" w:type="dxa"/>
            <w:gridSpan w:val="2"/>
            <w:vMerge/>
            <w:vAlign w:val="bottom"/>
          </w:tcPr>
          <w:p w:rsidR="00AC12B4" w:rsidRDefault="00AC12B4">
            <w:pPr>
              <w:rPr>
                <w:sz w:val="8"/>
                <w:szCs w:val="8"/>
              </w:rPr>
            </w:pPr>
          </w:p>
        </w:tc>
        <w:tc>
          <w:tcPr>
            <w:tcW w:w="520" w:type="dxa"/>
            <w:tcBorders>
              <w:right w:val="single" w:sz="8" w:space="0" w:color="8BCCEC"/>
            </w:tcBorders>
            <w:vAlign w:val="bottom"/>
          </w:tcPr>
          <w:p w:rsidR="00AC12B4" w:rsidRDefault="00AC12B4">
            <w:pPr>
              <w:rPr>
                <w:sz w:val="8"/>
                <w:szCs w:val="8"/>
              </w:rPr>
            </w:pPr>
          </w:p>
        </w:tc>
        <w:tc>
          <w:tcPr>
            <w:tcW w:w="760" w:type="dxa"/>
            <w:gridSpan w:val="2"/>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1420" w:type="dxa"/>
            <w:gridSpan w:val="3"/>
            <w:vMerge/>
            <w:vAlign w:val="bottom"/>
          </w:tcPr>
          <w:p w:rsidR="00AC12B4" w:rsidRDefault="00AC12B4">
            <w:pPr>
              <w:rPr>
                <w:sz w:val="8"/>
                <w:szCs w:val="8"/>
              </w:rPr>
            </w:pPr>
          </w:p>
        </w:tc>
        <w:tc>
          <w:tcPr>
            <w:tcW w:w="100" w:type="dxa"/>
            <w:vAlign w:val="bottom"/>
          </w:tcPr>
          <w:p w:rsidR="00AC12B4" w:rsidRDefault="00AC12B4">
            <w:pPr>
              <w:rPr>
                <w:sz w:val="8"/>
                <w:szCs w:val="8"/>
              </w:rPr>
            </w:pPr>
          </w:p>
        </w:tc>
        <w:tc>
          <w:tcPr>
            <w:tcW w:w="80" w:type="dxa"/>
            <w:tcBorders>
              <w:right w:val="single" w:sz="8" w:space="0" w:color="8BCCEC"/>
            </w:tcBorders>
            <w:vAlign w:val="bottom"/>
          </w:tcPr>
          <w:p w:rsidR="00AC12B4" w:rsidRDefault="00AC12B4">
            <w:pPr>
              <w:rPr>
                <w:sz w:val="8"/>
                <w:szCs w:val="8"/>
              </w:rPr>
            </w:pPr>
          </w:p>
        </w:tc>
        <w:tc>
          <w:tcPr>
            <w:tcW w:w="900" w:type="dxa"/>
            <w:gridSpan w:val="2"/>
            <w:vMerge w:val="restart"/>
            <w:vAlign w:val="bottom"/>
          </w:tcPr>
          <w:p w:rsidR="00AC12B4" w:rsidRDefault="00C27636">
            <w:pPr>
              <w:spacing w:line="259" w:lineRule="exact"/>
              <w:ind w:left="180"/>
              <w:rPr>
                <w:sz w:val="20"/>
                <w:szCs w:val="20"/>
              </w:rPr>
            </w:pPr>
            <w:r>
              <w:rPr>
                <w:rFonts w:ascii="Calibri" w:eastAsia="Calibri" w:hAnsi="Calibri" w:cs="Calibri"/>
              </w:rPr>
              <w:t>pour</w:t>
            </w:r>
          </w:p>
        </w:tc>
        <w:tc>
          <w:tcPr>
            <w:tcW w:w="780" w:type="dxa"/>
            <w:gridSpan w:val="2"/>
            <w:vMerge w:val="restart"/>
            <w:vAlign w:val="bottom"/>
          </w:tcPr>
          <w:p w:rsidR="00AC12B4" w:rsidRDefault="00C27636">
            <w:pPr>
              <w:spacing w:line="259" w:lineRule="exact"/>
              <w:ind w:right="54"/>
              <w:jc w:val="right"/>
              <w:rPr>
                <w:sz w:val="20"/>
                <w:szCs w:val="20"/>
              </w:rPr>
            </w:pPr>
            <w:r>
              <w:rPr>
                <w:rFonts w:ascii="Calibri" w:eastAsia="Calibri" w:hAnsi="Calibri" w:cs="Calibri"/>
              </w:rPr>
              <w:t>plus</w:t>
            </w:r>
          </w:p>
        </w:tc>
        <w:tc>
          <w:tcPr>
            <w:tcW w:w="6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2"/>
        </w:trPr>
        <w:tc>
          <w:tcPr>
            <w:tcW w:w="2240" w:type="dxa"/>
            <w:gridSpan w:val="2"/>
            <w:vMerge w:val="restart"/>
            <w:vAlign w:val="bottom"/>
          </w:tcPr>
          <w:p w:rsidR="00AC12B4" w:rsidRDefault="00C27636">
            <w:pPr>
              <w:spacing w:line="237" w:lineRule="exact"/>
              <w:ind w:left="1460"/>
              <w:rPr>
                <w:sz w:val="20"/>
                <w:szCs w:val="20"/>
              </w:rPr>
            </w:pPr>
            <w:r>
              <w:rPr>
                <w:rFonts w:ascii="Calibri" w:eastAsia="Calibri" w:hAnsi="Calibri" w:cs="Calibri"/>
              </w:rPr>
              <w:t>cette</w:t>
            </w:r>
          </w:p>
        </w:tc>
        <w:tc>
          <w:tcPr>
            <w:tcW w:w="520" w:type="dxa"/>
            <w:tcBorders>
              <w:right w:val="single" w:sz="8" w:space="0" w:color="8BCCEC"/>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620" w:type="dxa"/>
            <w:vAlign w:val="bottom"/>
          </w:tcPr>
          <w:p w:rsidR="00AC12B4" w:rsidRDefault="00AC12B4">
            <w:pPr>
              <w:rPr>
                <w:sz w:val="14"/>
                <w:szCs w:val="14"/>
              </w:rPr>
            </w:pPr>
          </w:p>
        </w:tc>
        <w:tc>
          <w:tcPr>
            <w:tcW w:w="60" w:type="dxa"/>
            <w:vAlign w:val="bottom"/>
          </w:tcPr>
          <w:p w:rsidR="00AC12B4" w:rsidRDefault="00AC12B4">
            <w:pPr>
              <w:rPr>
                <w:sz w:val="14"/>
                <w:szCs w:val="14"/>
              </w:rPr>
            </w:pPr>
          </w:p>
        </w:tc>
        <w:tc>
          <w:tcPr>
            <w:tcW w:w="80" w:type="dxa"/>
            <w:tcBorders>
              <w:right w:val="single" w:sz="8" w:space="0" w:color="868686"/>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4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60" w:type="dxa"/>
            <w:vAlign w:val="bottom"/>
          </w:tcPr>
          <w:p w:rsidR="00AC12B4" w:rsidRDefault="00AC12B4">
            <w:pPr>
              <w:rPr>
                <w:sz w:val="14"/>
                <w:szCs w:val="14"/>
              </w:rPr>
            </w:pPr>
          </w:p>
        </w:tc>
        <w:tc>
          <w:tcPr>
            <w:tcW w:w="8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60" w:type="dxa"/>
            <w:vAlign w:val="bottom"/>
          </w:tcPr>
          <w:p w:rsidR="00AC12B4" w:rsidRDefault="00AC12B4">
            <w:pPr>
              <w:rPr>
                <w:sz w:val="14"/>
                <w:szCs w:val="14"/>
              </w:rPr>
            </w:pPr>
          </w:p>
        </w:tc>
        <w:tc>
          <w:tcPr>
            <w:tcW w:w="8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0" w:type="dxa"/>
            <w:vAlign w:val="bottom"/>
          </w:tcPr>
          <w:p w:rsidR="00AC12B4" w:rsidRDefault="00AC12B4">
            <w:pPr>
              <w:rPr>
                <w:sz w:val="14"/>
                <w:szCs w:val="14"/>
              </w:rPr>
            </w:pPr>
          </w:p>
        </w:tc>
        <w:tc>
          <w:tcPr>
            <w:tcW w:w="400" w:type="dxa"/>
            <w:vAlign w:val="bottom"/>
          </w:tcPr>
          <w:p w:rsidR="00AC12B4" w:rsidRDefault="00AC12B4">
            <w:pPr>
              <w:rPr>
                <w:sz w:val="14"/>
                <w:szCs w:val="14"/>
              </w:rPr>
            </w:pPr>
          </w:p>
        </w:tc>
        <w:tc>
          <w:tcPr>
            <w:tcW w:w="24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40" w:type="dxa"/>
            <w:vAlign w:val="bottom"/>
          </w:tcPr>
          <w:p w:rsidR="00AC12B4" w:rsidRDefault="00AC12B4">
            <w:pPr>
              <w:rPr>
                <w:sz w:val="14"/>
                <w:szCs w:val="14"/>
              </w:rPr>
            </w:pPr>
          </w:p>
        </w:tc>
        <w:tc>
          <w:tcPr>
            <w:tcW w:w="420" w:type="dxa"/>
            <w:vAlign w:val="bottom"/>
          </w:tcPr>
          <w:p w:rsidR="00AC12B4" w:rsidRDefault="00AC12B4">
            <w:pPr>
              <w:rPr>
                <w:sz w:val="14"/>
                <w:szCs w:val="14"/>
              </w:rPr>
            </w:pPr>
          </w:p>
        </w:tc>
        <w:tc>
          <w:tcPr>
            <w:tcW w:w="520" w:type="dxa"/>
            <w:vAlign w:val="bottom"/>
          </w:tcPr>
          <w:p w:rsidR="00AC12B4" w:rsidRDefault="00AC12B4">
            <w:pPr>
              <w:rPr>
                <w:sz w:val="14"/>
                <w:szCs w:val="14"/>
              </w:rPr>
            </w:pPr>
          </w:p>
        </w:tc>
        <w:tc>
          <w:tcPr>
            <w:tcW w:w="480" w:type="dxa"/>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80" w:type="dxa"/>
            <w:tcBorders>
              <w:right w:val="single" w:sz="8" w:space="0" w:color="8BCCEC"/>
            </w:tcBorders>
            <w:vAlign w:val="bottom"/>
          </w:tcPr>
          <w:p w:rsidR="00AC12B4" w:rsidRDefault="00AC12B4">
            <w:pPr>
              <w:rPr>
                <w:sz w:val="14"/>
                <w:szCs w:val="14"/>
              </w:rPr>
            </w:pPr>
          </w:p>
        </w:tc>
        <w:tc>
          <w:tcPr>
            <w:tcW w:w="900" w:type="dxa"/>
            <w:gridSpan w:val="2"/>
            <w:vMerge/>
            <w:vAlign w:val="bottom"/>
          </w:tcPr>
          <w:p w:rsidR="00AC12B4" w:rsidRDefault="00AC12B4">
            <w:pPr>
              <w:rPr>
                <w:sz w:val="14"/>
                <w:szCs w:val="14"/>
              </w:rPr>
            </w:pPr>
          </w:p>
        </w:tc>
        <w:tc>
          <w:tcPr>
            <w:tcW w:w="780" w:type="dxa"/>
            <w:gridSpan w:val="2"/>
            <w:vMerge/>
            <w:vAlign w:val="bottom"/>
          </w:tcPr>
          <w:p w:rsidR="00AC12B4" w:rsidRDefault="00AC12B4">
            <w:pPr>
              <w:rPr>
                <w:sz w:val="14"/>
                <w:szCs w:val="14"/>
              </w:rPr>
            </w:pPr>
          </w:p>
        </w:tc>
        <w:tc>
          <w:tcPr>
            <w:tcW w:w="60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74"/>
        </w:trPr>
        <w:tc>
          <w:tcPr>
            <w:tcW w:w="2240" w:type="dxa"/>
            <w:gridSpan w:val="2"/>
            <w:vMerge/>
            <w:vAlign w:val="bottom"/>
          </w:tcPr>
          <w:p w:rsidR="00AC12B4" w:rsidRDefault="00AC12B4">
            <w:pPr>
              <w:rPr>
                <w:sz w:val="6"/>
                <w:szCs w:val="6"/>
              </w:rPr>
            </w:pPr>
          </w:p>
        </w:tc>
        <w:tc>
          <w:tcPr>
            <w:tcW w:w="520" w:type="dxa"/>
            <w:tcBorders>
              <w:right w:val="single" w:sz="8" w:space="0" w:color="8BCCEC"/>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620" w:type="dxa"/>
            <w:vMerge w:val="restart"/>
            <w:vAlign w:val="bottom"/>
          </w:tcPr>
          <w:p w:rsidR="00AC12B4" w:rsidRDefault="00C27636">
            <w:pPr>
              <w:spacing w:line="229" w:lineRule="exact"/>
              <w:jc w:val="right"/>
              <w:rPr>
                <w:sz w:val="20"/>
                <w:szCs w:val="20"/>
              </w:rPr>
            </w:pPr>
            <w:r>
              <w:rPr>
                <w:rFonts w:ascii="Calibri" w:eastAsia="Calibri" w:hAnsi="Calibri" w:cs="Calibri"/>
                <w:sz w:val="20"/>
                <w:szCs w:val="20"/>
              </w:rPr>
              <w:t>5,00%</w:t>
            </w:r>
          </w:p>
        </w:tc>
        <w:tc>
          <w:tcPr>
            <w:tcW w:w="60" w:type="dxa"/>
            <w:vAlign w:val="bottom"/>
          </w:tcPr>
          <w:p w:rsidR="00AC12B4" w:rsidRDefault="00AC12B4">
            <w:pPr>
              <w:rPr>
                <w:sz w:val="6"/>
                <w:szCs w:val="6"/>
              </w:rPr>
            </w:pPr>
          </w:p>
        </w:tc>
        <w:tc>
          <w:tcPr>
            <w:tcW w:w="80" w:type="dxa"/>
            <w:tcBorders>
              <w:right w:val="single" w:sz="8" w:space="0" w:color="868686"/>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60" w:type="dxa"/>
            <w:vAlign w:val="bottom"/>
          </w:tcPr>
          <w:p w:rsidR="00AC12B4" w:rsidRDefault="00AC12B4">
            <w:pPr>
              <w:rPr>
                <w:sz w:val="6"/>
                <w:szCs w:val="6"/>
              </w:rPr>
            </w:pPr>
          </w:p>
        </w:tc>
        <w:tc>
          <w:tcPr>
            <w:tcW w:w="8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140" w:type="dxa"/>
            <w:vAlign w:val="bottom"/>
          </w:tcPr>
          <w:p w:rsidR="00AC12B4" w:rsidRDefault="00AC12B4">
            <w:pPr>
              <w:rPr>
                <w:sz w:val="6"/>
                <w:szCs w:val="6"/>
              </w:rPr>
            </w:pPr>
          </w:p>
        </w:tc>
        <w:tc>
          <w:tcPr>
            <w:tcW w:w="2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4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52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100" w:type="dxa"/>
            <w:vAlign w:val="bottom"/>
          </w:tcPr>
          <w:p w:rsidR="00AC12B4" w:rsidRDefault="00AC12B4">
            <w:pPr>
              <w:rPr>
                <w:sz w:val="6"/>
                <w:szCs w:val="6"/>
              </w:rPr>
            </w:pPr>
          </w:p>
        </w:tc>
        <w:tc>
          <w:tcPr>
            <w:tcW w:w="80" w:type="dxa"/>
            <w:tcBorders>
              <w:right w:val="single" w:sz="8" w:space="0" w:color="8BCCEC"/>
            </w:tcBorders>
            <w:vAlign w:val="bottom"/>
          </w:tcPr>
          <w:p w:rsidR="00AC12B4" w:rsidRDefault="00AC12B4">
            <w:pPr>
              <w:rPr>
                <w:sz w:val="6"/>
                <w:szCs w:val="6"/>
              </w:rPr>
            </w:pPr>
          </w:p>
        </w:tc>
        <w:tc>
          <w:tcPr>
            <w:tcW w:w="1680" w:type="dxa"/>
            <w:gridSpan w:val="4"/>
            <w:vMerge w:val="restart"/>
            <w:vAlign w:val="bottom"/>
          </w:tcPr>
          <w:p w:rsidR="00AC12B4" w:rsidRDefault="00C27636">
            <w:pPr>
              <w:spacing w:line="230" w:lineRule="exact"/>
              <w:ind w:right="34"/>
              <w:jc w:val="right"/>
              <w:rPr>
                <w:sz w:val="20"/>
                <w:szCs w:val="20"/>
              </w:rPr>
            </w:pPr>
            <w:r>
              <w:rPr>
                <w:rFonts w:ascii="Calibri" w:eastAsia="Calibri" w:hAnsi="Calibri" w:cs="Calibri"/>
              </w:rPr>
              <w:t>d’information)</w:t>
            </w:r>
          </w:p>
        </w:tc>
        <w:tc>
          <w:tcPr>
            <w:tcW w:w="60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62"/>
        </w:trPr>
        <w:tc>
          <w:tcPr>
            <w:tcW w:w="2240" w:type="dxa"/>
            <w:gridSpan w:val="2"/>
            <w:vMerge w:val="restart"/>
            <w:vAlign w:val="bottom"/>
          </w:tcPr>
          <w:p w:rsidR="00AC12B4" w:rsidRDefault="00C27636">
            <w:pPr>
              <w:spacing w:line="267" w:lineRule="exact"/>
              <w:ind w:left="1460"/>
              <w:rPr>
                <w:sz w:val="20"/>
                <w:szCs w:val="20"/>
              </w:rPr>
            </w:pPr>
            <w:r>
              <w:rPr>
                <w:rFonts w:ascii="Calibri" w:eastAsia="Calibri" w:hAnsi="Calibri" w:cs="Calibri"/>
                <w:w w:val="98"/>
              </w:rPr>
              <w:t>inégalité</w:t>
            </w:r>
          </w:p>
        </w:tc>
        <w:tc>
          <w:tcPr>
            <w:tcW w:w="520" w:type="dxa"/>
            <w:tcBorders>
              <w:right w:val="single" w:sz="8" w:space="0" w:color="8BCCEC"/>
            </w:tcBorders>
            <w:vAlign w:val="bottom"/>
          </w:tcPr>
          <w:p w:rsidR="00AC12B4" w:rsidRDefault="00AC12B4">
            <w:pPr>
              <w:rPr>
                <w:sz w:val="5"/>
                <w:szCs w:val="5"/>
              </w:rPr>
            </w:pPr>
          </w:p>
        </w:tc>
        <w:tc>
          <w:tcPr>
            <w:tcW w:w="140" w:type="dxa"/>
            <w:vAlign w:val="bottom"/>
          </w:tcPr>
          <w:p w:rsidR="00AC12B4" w:rsidRDefault="00AC12B4">
            <w:pPr>
              <w:rPr>
                <w:sz w:val="5"/>
                <w:szCs w:val="5"/>
              </w:rPr>
            </w:pPr>
          </w:p>
        </w:tc>
        <w:tc>
          <w:tcPr>
            <w:tcW w:w="620" w:type="dxa"/>
            <w:vMerge/>
            <w:vAlign w:val="bottom"/>
          </w:tcPr>
          <w:p w:rsidR="00AC12B4" w:rsidRDefault="00AC12B4">
            <w:pPr>
              <w:rPr>
                <w:sz w:val="5"/>
                <w:szCs w:val="5"/>
              </w:rPr>
            </w:pPr>
          </w:p>
        </w:tc>
        <w:tc>
          <w:tcPr>
            <w:tcW w:w="60" w:type="dxa"/>
            <w:vAlign w:val="bottom"/>
          </w:tcPr>
          <w:p w:rsidR="00AC12B4" w:rsidRDefault="00AC12B4">
            <w:pPr>
              <w:rPr>
                <w:sz w:val="5"/>
                <w:szCs w:val="5"/>
              </w:rPr>
            </w:pPr>
          </w:p>
        </w:tc>
        <w:tc>
          <w:tcPr>
            <w:tcW w:w="80" w:type="dxa"/>
            <w:tcBorders>
              <w:bottom w:val="single" w:sz="8" w:space="0" w:color="868686"/>
              <w:right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40" w:type="dxa"/>
            <w:tcBorders>
              <w:bottom w:val="single" w:sz="8" w:space="0" w:color="868686"/>
            </w:tcBorders>
            <w:vAlign w:val="bottom"/>
          </w:tcPr>
          <w:p w:rsidR="00AC12B4" w:rsidRDefault="00AC12B4">
            <w:pPr>
              <w:rPr>
                <w:sz w:val="5"/>
                <w:szCs w:val="5"/>
              </w:rPr>
            </w:pPr>
          </w:p>
        </w:tc>
        <w:tc>
          <w:tcPr>
            <w:tcW w:w="10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60" w:type="dxa"/>
            <w:tcBorders>
              <w:bottom w:val="single" w:sz="8" w:space="0" w:color="868686"/>
            </w:tcBorders>
            <w:vAlign w:val="bottom"/>
          </w:tcPr>
          <w:p w:rsidR="00AC12B4" w:rsidRDefault="00AC12B4">
            <w:pPr>
              <w:rPr>
                <w:sz w:val="5"/>
                <w:szCs w:val="5"/>
              </w:rPr>
            </w:pPr>
          </w:p>
        </w:tc>
        <w:tc>
          <w:tcPr>
            <w:tcW w:w="8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60" w:type="dxa"/>
            <w:tcBorders>
              <w:bottom w:val="single" w:sz="8" w:space="0" w:color="868686"/>
            </w:tcBorders>
            <w:vAlign w:val="bottom"/>
          </w:tcPr>
          <w:p w:rsidR="00AC12B4" w:rsidRDefault="00AC12B4">
            <w:pPr>
              <w:rPr>
                <w:sz w:val="5"/>
                <w:szCs w:val="5"/>
              </w:rPr>
            </w:pPr>
          </w:p>
        </w:tc>
        <w:tc>
          <w:tcPr>
            <w:tcW w:w="8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2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20" w:type="dxa"/>
            <w:tcBorders>
              <w:bottom w:val="single" w:sz="8" w:space="0" w:color="868686"/>
            </w:tcBorders>
            <w:vAlign w:val="bottom"/>
          </w:tcPr>
          <w:p w:rsidR="00AC12B4" w:rsidRDefault="00AC12B4">
            <w:pPr>
              <w:rPr>
                <w:sz w:val="5"/>
                <w:szCs w:val="5"/>
              </w:rPr>
            </w:pPr>
          </w:p>
        </w:tc>
        <w:tc>
          <w:tcPr>
            <w:tcW w:w="120" w:type="dxa"/>
            <w:tcBorders>
              <w:bottom w:val="single" w:sz="8" w:space="0" w:color="868686"/>
            </w:tcBorders>
            <w:vAlign w:val="bottom"/>
          </w:tcPr>
          <w:p w:rsidR="00AC12B4" w:rsidRDefault="00AC12B4">
            <w:pPr>
              <w:rPr>
                <w:sz w:val="5"/>
                <w:szCs w:val="5"/>
              </w:rPr>
            </w:pPr>
          </w:p>
        </w:tc>
        <w:tc>
          <w:tcPr>
            <w:tcW w:w="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4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40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40" w:type="dxa"/>
            <w:vAlign w:val="bottom"/>
          </w:tcPr>
          <w:p w:rsidR="00AC12B4" w:rsidRDefault="00AC12B4">
            <w:pPr>
              <w:rPr>
                <w:sz w:val="5"/>
                <w:szCs w:val="5"/>
              </w:rPr>
            </w:pPr>
          </w:p>
        </w:tc>
        <w:tc>
          <w:tcPr>
            <w:tcW w:w="1420" w:type="dxa"/>
            <w:gridSpan w:val="3"/>
            <w:vMerge w:val="restart"/>
            <w:vAlign w:val="bottom"/>
          </w:tcPr>
          <w:p w:rsidR="00AC12B4" w:rsidRDefault="00C27636">
            <w:pPr>
              <w:ind w:left="40"/>
              <w:rPr>
                <w:sz w:val="20"/>
                <w:szCs w:val="20"/>
              </w:rPr>
            </w:pPr>
            <w:r>
              <w:rPr>
                <w:rFonts w:ascii="Calibri" w:eastAsia="Calibri" w:hAnsi="Calibri" w:cs="Calibri"/>
                <w:sz w:val="20"/>
                <w:szCs w:val="20"/>
              </w:rPr>
              <w:t>Région wallonne</w:t>
            </w:r>
          </w:p>
        </w:tc>
        <w:tc>
          <w:tcPr>
            <w:tcW w:w="100" w:type="dxa"/>
            <w:vAlign w:val="bottom"/>
          </w:tcPr>
          <w:p w:rsidR="00AC12B4" w:rsidRDefault="00AC12B4">
            <w:pPr>
              <w:rPr>
                <w:sz w:val="5"/>
                <w:szCs w:val="5"/>
              </w:rPr>
            </w:pPr>
          </w:p>
        </w:tc>
        <w:tc>
          <w:tcPr>
            <w:tcW w:w="80" w:type="dxa"/>
            <w:vMerge w:val="restart"/>
            <w:tcBorders>
              <w:right w:val="single" w:sz="8" w:space="0" w:color="8BCCEC"/>
            </w:tcBorders>
            <w:vAlign w:val="bottom"/>
          </w:tcPr>
          <w:p w:rsidR="00AC12B4" w:rsidRDefault="00AC12B4">
            <w:pPr>
              <w:rPr>
                <w:sz w:val="5"/>
                <w:szCs w:val="5"/>
              </w:rPr>
            </w:pPr>
          </w:p>
        </w:tc>
        <w:tc>
          <w:tcPr>
            <w:tcW w:w="1680" w:type="dxa"/>
            <w:gridSpan w:val="4"/>
            <w:vMerge/>
            <w:vAlign w:val="bottom"/>
          </w:tcPr>
          <w:p w:rsidR="00AC12B4" w:rsidRDefault="00AC12B4">
            <w:pPr>
              <w:rPr>
                <w:sz w:val="5"/>
                <w:szCs w:val="5"/>
              </w:rPr>
            </w:pPr>
          </w:p>
        </w:tc>
        <w:tc>
          <w:tcPr>
            <w:tcW w:w="60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97"/>
        </w:trPr>
        <w:tc>
          <w:tcPr>
            <w:tcW w:w="2240" w:type="dxa"/>
            <w:gridSpan w:val="2"/>
            <w:vMerge/>
            <w:vAlign w:val="bottom"/>
          </w:tcPr>
          <w:p w:rsidR="00AC12B4" w:rsidRDefault="00AC12B4">
            <w:pPr>
              <w:rPr>
                <w:sz w:val="8"/>
                <w:szCs w:val="8"/>
              </w:rPr>
            </w:pPr>
          </w:p>
        </w:tc>
        <w:tc>
          <w:tcPr>
            <w:tcW w:w="520" w:type="dxa"/>
            <w:tcBorders>
              <w:right w:val="single" w:sz="8" w:space="0" w:color="8BCCEC"/>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620" w:type="dxa"/>
            <w:vMerge/>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240" w:type="dxa"/>
            <w:tcBorders>
              <w:bottom w:val="single" w:sz="8" w:space="0" w:color="7D60A0"/>
            </w:tcBorders>
            <w:vAlign w:val="bottom"/>
          </w:tcPr>
          <w:p w:rsidR="00AC12B4" w:rsidRDefault="00AC12B4">
            <w:pPr>
              <w:rPr>
                <w:sz w:val="8"/>
                <w:szCs w:val="8"/>
              </w:rPr>
            </w:pPr>
          </w:p>
        </w:tc>
        <w:tc>
          <w:tcPr>
            <w:tcW w:w="100" w:type="dxa"/>
            <w:tcBorders>
              <w:bottom w:val="single" w:sz="8" w:space="0" w:color="7D60A0"/>
            </w:tcBorders>
            <w:vAlign w:val="bottom"/>
          </w:tcPr>
          <w:p w:rsidR="00AC12B4" w:rsidRDefault="00AC12B4">
            <w:pPr>
              <w:rPr>
                <w:sz w:val="8"/>
                <w:szCs w:val="8"/>
              </w:rPr>
            </w:pPr>
          </w:p>
        </w:tc>
        <w:tc>
          <w:tcPr>
            <w:tcW w:w="40" w:type="dxa"/>
            <w:tcBorders>
              <w:bottom w:val="single" w:sz="8" w:space="0" w:color="7D60A0"/>
            </w:tcBorders>
            <w:vAlign w:val="bottom"/>
          </w:tcPr>
          <w:p w:rsidR="00AC12B4" w:rsidRDefault="00AC12B4">
            <w:pPr>
              <w:rPr>
                <w:sz w:val="8"/>
                <w:szCs w:val="8"/>
              </w:rPr>
            </w:pPr>
          </w:p>
        </w:tc>
        <w:tc>
          <w:tcPr>
            <w:tcW w:w="1420" w:type="dxa"/>
            <w:gridSpan w:val="3"/>
            <w:vMerge/>
            <w:vAlign w:val="bottom"/>
          </w:tcPr>
          <w:p w:rsidR="00AC12B4" w:rsidRDefault="00AC12B4">
            <w:pPr>
              <w:rPr>
                <w:sz w:val="8"/>
                <w:szCs w:val="8"/>
              </w:rPr>
            </w:pPr>
          </w:p>
        </w:tc>
        <w:tc>
          <w:tcPr>
            <w:tcW w:w="100" w:type="dxa"/>
            <w:vAlign w:val="bottom"/>
          </w:tcPr>
          <w:p w:rsidR="00AC12B4" w:rsidRDefault="00AC12B4">
            <w:pPr>
              <w:rPr>
                <w:sz w:val="8"/>
                <w:szCs w:val="8"/>
              </w:rPr>
            </w:pPr>
          </w:p>
        </w:tc>
        <w:tc>
          <w:tcPr>
            <w:tcW w:w="80" w:type="dxa"/>
            <w:vMerge/>
            <w:tcBorders>
              <w:right w:val="single" w:sz="8" w:space="0" w:color="8BCCEC"/>
            </w:tcBorders>
            <w:vAlign w:val="bottom"/>
          </w:tcPr>
          <w:p w:rsidR="00AC12B4" w:rsidRDefault="00AC12B4">
            <w:pPr>
              <w:rPr>
                <w:sz w:val="8"/>
                <w:szCs w:val="8"/>
              </w:rPr>
            </w:pPr>
          </w:p>
        </w:tc>
        <w:tc>
          <w:tcPr>
            <w:tcW w:w="1680" w:type="dxa"/>
            <w:gridSpan w:val="4"/>
            <w:vMerge/>
            <w:vAlign w:val="bottom"/>
          </w:tcPr>
          <w:p w:rsidR="00AC12B4" w:rsidRDefault="00AC12B4">
            <w:pPr>
              <w:rPr>
                <w:sz w:val="8"/>
                <w:szCs w:val="8"/>
              </w:rPr>
            </w:pPr>
          </w:p>
        </w:tc>
        <w:tc>
          <w:tcPr>
            <w:tcW w:w="60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85"/>
        </w:trPr>
        <w:tc>
          <w:tcPr>
            <w:tcW w:w="2240" w:type="dxa"/>
            <w:gridSpan w:val="2"/>
            <w:vMerge/>
            <w:vAlign w:val="bottom"/>
          </w:tcPr>
          <w:p w:rsidR="00AC12B4" w:rsidRDefault="00AC12B4">
            <w:pPr>
              <w:rPr>
                <w:sz w:val="7"/>
                <w:szCs w:val="7"/>
              </w:rPr>
            </w:pPr>
          </w:p>
        </w:tc>
        <w:tc>
          <w:tcPr>
            <w:tcW w:w="520" w:type="dxa"/>
            <w:tcBorders>
              <w:right w:val="single" w:sz="8" w:space="0" w:color="8BCCEC"/>
            </w:tcBorders>
            <w:vAlign w:val="bottom"/>
          </w:tcPr>
          <w:p w:rsidR="00AC12B4" w:rsidRDefault="00AC12B4">
            <w:pPr>
              <w:rPr>
                <w:sz w:val="7"/>
                <w:szCs w:val="7"/>
              </w:rPr>
            </w:pPr>
          </w:p>
        </w:tc>
        <w:tc>
          <w:tcPr>
            <w:tcW w:w="140" w:type="dxa"/>
            <w:vAlign w:val="bottom"/>
          </w:tcPr>
          <w:p w:rsidR="00AC12B4" w:rsidRDefault="00AC12B4">
            <w:pPr>
              <w:rPr>
                <w:sz w:val="7"/>
                <w:szCs w:val="7"/>
              </w:rPr>
            </w:pPr>
          </w:p>
        </w:tc>
        <w:tc>
          <w:tcPr>
            <w:tcW w:w="6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10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1420" w:type="dxa"/>
            <w:gridSpan w:val="3"/>
            <w:vMerge/>
            <w:vAlign w:val="bottom"/>
          </w:tcPr>
          <w:p w:rsidR="00AC12B4" w:rsidRDefault="00AC12B4">
            <w:pPr>
              <w:rPr>
                <w:sz w:val="7"/>
                <w:szCs w:val="7"/>
              </w:rPr>
            </w:pPr>
          </w:p>
        </w:tc>
        <w:tc>
          <w:tcPr>
            <w:tcW w:w="100" w:type="dxa"/>
            <w:vAlign w:val="bottom"/>
          </w:tcPr>
          <w:p w:rsidR="00AC12B4" w:rsidRDefault="00AC12B4">
            <w:pPr>
              <w:rPr>
                <w:sz w:val="7"/>
                <w:szCs w:val="7"/>
              </w:rPr>
            </w:pPr>
          </w:p>
        </w:tc>
        <w:tc>
          <w:tcPr>
            <w:tcW w:w="80" w:type="dxa"/>
            <w:tcBorders>
              <w:right w:val="single" w:sz="8" w:space="0" w:color="8BCCEC"/>
            </w:tcBorders>
            <w:vAlign w:val="bottom"/>
          </w:tcPr>
          <w:p w:rsidR="00AC12B4" w:rsidRDefault="00AC12B4">
            <w:pPr>
              <w:rPr>
                <w:sz w:val="7"/>
                <w:szCs w:val="7"/>
              </w:rPr>
            </w:pPr>
          </w:p>
        </w:tc>
        <w:tc>
          <w:tcPr>
            <w:tcW w:w="480" w:type="dxa"/>
            <w:vMerge w:val="restart"/>
            <w:vAlign w:val="bottom"/>
          </w:tcPr>
          <w:p w:rsidR="00AC12B4" w:rsidRDefault="00C27636">
            <w:pPr>
              <w:spacing w:line="265" w:lineRule="exact"/>
              <w:ind w:left="180"/>
              <w:rPr>
                <w:sz w:val="20"/>
                <w:szCs w:val="20"/>
              </w:rPr>
            </w:pPr>
            <w:r>
              <w:rPr>
                <w:rFonts w:ascii="Calibri" w:eastAsia="Calibri" w:hAnsi="Calibri" w:cs="Calibri"/>
              </w:rPr>
              <w:t>.</w:t>
            </w:r>
          </w:p>
        </w:tc>
        <w:tc>
          <w:tcPr>
            <w:tcW w:w="420" w:type="dxa"/>
            <w:vAlign w:val="bottom"/>
          </w:tcPr>
          <w:p w:rsidR="00AC12B4" w:rsidRDefault="00AC12B4">
            <w:pPr>
              <w:rPr>
                <w:sz w:val="7"/>
                <w:szCs w:val="7"/>
              </w:rPr>
            </w:pPr>
          </w:p>
        </w:tc>
        <w:tc>
          <w:tcPr>
            <w:tcW w:w="300" w:type="dxa"/>
            <w:vAlign w:val="bottom"/>
          </w:tcPr>
          <w:p w:rsidR="00AC12B4" w:rsidRDefault="00AC12B4">
            <w:pPr>
              <w:rPr>
                <w:sz w:val="7"/>
                <w:szCs w:val="7"/>
              </w:rPr>
            </w:pPr>
          </w:p>
        </w:tc>
        <w:tc>
          <w:tcPr>
            <w:tcW w:w="480" w:type="dxa"/>
            <w:vAlign w:val="bottom"/>
          </w:tcPr>
          <w:p w:rsidR="00AC12B4" w:rsidRDefault="00AC12B4">
            <w:pPr>
              <w:rPr>
                <w:sz w:val="7"/>
                <w:szCs w:val="7"/>
              </w:rPr>
            </w:pPr>
          </w:p>
        </w:tc>
        <w:tc>
          <w:tcPr>
            <w:tcW w:w="60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60"/>
        </w:trPr>
        <w:tc>
          <w:tcPr>
            <w:tcW w:w="2240" w:type="dxa"/>
            <w:gridSpan w:val="2"/>
            <w:vAlign w:val="bottom"/>
          </w:tcPr>
          <w:p w:rsidR="00AC12B4" w:rsidRDefault="00C27636">
            <w:pPr>
              <w:spacing w:line="184" w:lineRule="exact"/>
              <w:ind w:left="1460"/>
              <w:rPr>
                <w:sz w:val="20"/>
                <w:szCs w:val="20"/>
              </w:rPr>
            </w:pPr>
            <w:r>
              <w:rPr>
                <w:rFonts w:ascii="Calibri" w:eastAsia="Calibri" w:hAnsi="Calibri" w:cs="Calibri"/>
                <w:sz w:val="20"/>
                <w:szCs w:val="20"/>
              </w:rPr>
              <w:t>da</w:t>
            </w:r>
            <w:r>
              <w:rPr>
                <w:rFonts w:ascii="Calibri" w:eastAsia="Calibri" w:hAnsi="Calibri" w:cs="Calibri"/>
                <w:sz w:val="20"/>
                <w:szCs w:val="20"/>
              </w:rPr>
              <w:lastRenderedPageBreak/>
              <w:t>ns</w:t>
            </w:r>
          </w:p>
        </w:tc>
        <w:tc>
          <w:tcPr>
            <w:tcW w:w="520" w:type="dxa"/>
            <w:tcBorders>
              <w:right w:val="single" w:sz="8" w:space="0" w:color="8BCCEC"/>
            </w:tcBorders>
            <w:vAlign w:val="bottom"/>
          </w:tcPr>
          <w:p w:rsidR="00AC12B4" w:rsidRDefault="00C27636">
            <w:pPr>
              <w:spacing w:line="184" w:lineRule="exact"/>
              <w:ind w:right="91"/>
              <w:jc w:val="right"/>
              <w:rPr>
                <w:sz w:val="20"/>
                <w:szCs w:val="20"/>
              </w:rPr>
            </w:pPr>
            <w:r>
              <w:rPr>
                <w:rFonts w:ascii="Calibri" w:eastAsia="Calibri" w:hAnsi="Calibri" w:cs="Calibri"/>
                <w:sz w:val="20"/>
                <w:szCs w:val="20"/>
              </w:rPr>
              <w:lastRenderedPageBreak/>
              <w:t>les</w:t>
            </w:r>
          </w:p>
        </w:tc>
        <w:tc>
          <w:tcPr>
            <w:tcW w:w="140" w:type="dxa"/>
            <w:vAlign w:val="bottom"/>
          </w:tcPr>
          <w:p w:rsidR="00AC12B4" w:rsidRDefault="00AC12B4"/>
        </w:tc>
        <w:tc>
          <w:tcPr>
            <w:tcW w:w="620" w:type="dxa"/>
            <w:vAlign w:val="bottom"/>
          </w:tcPr>
          <w:p w:rsidR="00AC12B4" w:rsidRDefault="00C27636">
            <w:pPr>
              <w:jc w:val="right"/>
              <w:rPr>
                <w:sz w:val="20"/>
                <w:szCs w:val="20"/>
              </w:rPr>
            </w:pPr>
            <w:r>
              <w:rPr>
                <w:rFonts w:ascii="Calibri" w:eastAsia="Calibri" w:hAnsi="Calibri" w:cs="Calibri"/>
                <w:sz w:val="20"/>
                <w:szCs w:val="20"/>
              </w:rPr>
              <w:t>0,00%</w:t>
            </w:r>
          </w:p>
        </w:tc>
        <w:tc>
          <w:tcPr>
            <w:tcW w:w="60" w:type="dxa"/>
            <w:vAlign w:val="bottom"/>
          </w:tcPr>
          <w:p w:rsidR="00AC12B4" w:rsidRDefault="00AC12B4"/>
        </w:tc>
        <w:tc>
          <w:tcPr>
            <w:tcW w:w="80" w:type="dxa"/>
            <w:tcBorders>
              <w:bottom w:val="single" w:sz="8" w:space="0" w:color="868686"/>
              <w:right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40" w:type="dxa"/>
            <w:tcBorders>
              <w:bottom w:val="single" w:sz="8" w:space="0" w:color="868686"/>
            </w:tcBorders>
            <w:vAlign w:val="bottom"/>
          </w:tcPr>
          <w:p w:rsidR="00AC12B4" w:rsidRDefault="00AC12B4"/>
        </w:tc>
        <w:tc>
          <w:tcPr>
            <w:tcW w:w="10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60" w:type="dxa"/>
            <w:tcBorders>
              <w:bottom w:val="single" w:sz="8" w:space="0" w:color="868686"/>
            </w:tcBorders>
            <w:vAlign w:val="bottom"/>
          </w:tcPr>
          <w:p w:rsidR="00AC12B4" w:rsidRDefault="00AC12B4"/>
        </w:tc>
        <w:tc>
          <w:tcPr>
            <w:tcW w:w="8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60" w:type="dxa"/>
            <w:tcBorders>
              <w:bottom w:val="single" w:sz="8" w:space="0" w:color="868686"/>
            </w:tcBorders>
            <w:vAlign w:val="bottom"/>
          </w:tcPr>
          <w:p w:rsidR="00AC12B4" w:rsidRDefault="00AC12B4"/>
        </w:tc>
        <w:tc>
          <w:tcPr>
            <w:tcW w:w="8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2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20" w:type="dxa"/>
            <w:tcBorders>
              <w:bottom w:val="single" w:sz="8" w:space="0" w:color="868686"/>
            </w:tcBorders>
            <w:vAlign w:val="bottom"/>
          </w:tcPr>
          <w:p w:rsidR="00AC12B4" w:rsidRDefault="00AC12B4"/>
        </w:tc>
        <w:tc>
          <w:tcPr>
            <w:tcW w:w="120" w:type="dxa"/>
            <w:tcBorders>
              <w:bottom w:val="single" w:sz="8" w:space="0" w:color="868686"/>
            </w:tcBorders>
            <w:vAlign w:val="bottom"/>
          </w:tcPr>
          <w:p w:rsidR="00AC12B4" w:rsidRDefault="00AC12B4"/>
        </w:tc>
        <w:tc>
          <w:tcPr>
            <w:tcW w:w="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140" w:type="dxa"/>
            <w:tcBorders>
              <w:bottom w:val="single" w:sz="8" w:space="0" w:color="868686"/>
            </w:tcBorders>
            <w:vAlign w:val="bottom"/>
          </w:tcPr>
          <w:p w:rsidR="00AC12B4" w:rsidRDefault="00AC12B4"/>
        </w:tc>
        <w:tc>
          <w:tcPr>
            <w:tcW w:w="20" w:type="dxa"/>
            <w:tcBorders>
              <w:bottom w:val="single" w:sz="8" w:space="0" w:color="868686"/>
            </w:tcBorders>
            <w:vAlign w:val="bottom"/>
          </w:tcPr>
          <w:p w:rsidR="00AC12B4" w:rsidRDefault="00AC12B4"/>
        </w:tc>
        <w:tc>
          <w:tcPr>
            <w:tcW w:w="400" w:type="dxa"/>
            <w:vAlign w:val="bottom"/>
          </w:tcPr>
          <w:p w:rsidR="00AC12B4" w:rsidRDefault="00AC12B4"/>
        </w:tc>
        <w:tc>
          <w:tcPr>
            <w:tcW w:w="240" w:type="dxa"/>
            <w:vAlign w:val="bottom"/>
          </w:tcPr>
          <w:p w:rsidR="00AC12B4" w:rsidRDefault="00AC12B4"/>
        </w:tc>
        <w:tc>
          <w:tcPr>
            <w:tcW w:w="100" w:type="dxa"/>
            <w:vAlign w:val="bottom"/>
          </w:tcPr>
          <w:p w:rsidR="00AC12B4" w:rsidRDefault="00AC12B4"/>
        </w:tc>
        <w:tc>
          <w:tcPr>
            <w:tcW w:w="40" w:type="dxa"/>
            <w:vAlign w:val="bottom"/>
          </w:tcPr>
          <w:p w:rsidR="00AC12B4" w:rsidRDefault="00AC12B4"/>
        </w:tc>
        <w:tc>
          <w:tcPr>
            <w:tcW w:w="420" w:type="dxa"/>
            <w:vAlign w:val="bottom"/>
          </w:tcPr>
          <w:p w:rsidR="00AC12B4" w:rsidRDefault="00AC12B4"/>
        </w:tc>
        <w:tc>
          <w:tcPr>
            <w:tcW w:w="520" w:type="dxa"/>
            <w:vAlign w:val="bottom"/>
          </w:tcPr>
          <w:p w:rsidR="00AC12B4" w:rsidRDefault="00AC12B4"/>
        </w:tc>
        <w:tc>
          <w:tcPr>
            <w:tcW w:w="480" w:type="dxa"/>
            <w:vAlign w:val="bottom"/>
          </w:tcPr>
          <w:p w:rsidR="00AC12B4" w:rsidRDefault="00AC12B4"/>
        </w:tc>
        <w:tc>
          <w:tcPr>
            <w:tcW w:w="100" w:type="dxa"/>
            <w:vAlign w:val="bottom"/>
          </w:tcPr>
          <w:p w:rsidR="00AC12B4" w:rsidRDefault="00AC12B4"/>
        </w:tc>
        <w:tc>
          <w:tcPr>
            <w:tcW w:w="80" w:type="dxa"/>
            <w:tcBorders>
              <w:right w:val="single" w:sz="8" w:space="0" w:color="8BCCEC"/>
            </w:tcBorders>
            <w:vAlign w:val="bottom"/>
          </w:tcPr>
          <w:p w:rsidR="00AC12B4" w:rsidRDefault="00AC12B4"/>
        </w:tc>
        <w:tc>
          <w:tcPr>
            <w:tcW w:w="480" w:type="dxa"/>
            <w:vMerge/>
            <w:vAlign w:val="bottom"/>
          </w:tcPr>
          <w:p w:rsidR="00AC12B4" w:rsidRDefault="00AC12B4"/>
        </w:tc>
        <w:tc>
          <w:tcPr>
            <w:tcW w:w="420" w:type="dxa"/>
            <w:vAlign w:val="bottom"/>
          </w:tcPr>
          <w:p w:rsidR="00AC12B4" w:rsidRDefault="00AC12B4"/>
        </w:tc>
        <w:tc>
          <w:tcPr>
            <w:tcW w:w="300" w:type="dxa"/>
            <w:vAlign w:val="bottom"/>
          </w:tcPr>
          <w:p w:rsidR="00AC12B4" w:rsidRDefault="00AC12B4"/>
        </w:tc>
        <w:tc>
          <w:tcPr>
            <w:tcW w:w="480" w:type="dxa"/>
            <w:vAlign w:val="bottom"/>
          </w:tcPr>
          <w:p w:rsidR="00AC12B4" w:rsidRDefault="00AC12B4"/>
        </w:tc>
        <w:tc>
          <w:tcPr>
            <w:tcW w:w="600" w:type="dxa"/>
            <w:vAlign w:val="bottom"/>
          </w:tcPr>
          <w:p w:rsidR="00AC12B4" w:rsidRDefault="00AC12B4"/>
        </w:tc>
        <w:tc>
          <w:tcPr>
            <w:tcW w:w="0" w:type="dxa"/>
            <w:vAlign w:val="bottom"/>
          </w:tcPr>
          <w:p w:rsidR="00AC12B4" w:rsidRDefault="00AC12B4">
            <w:pPr>
              <w:rPr>
                <w:sz w:val="1"/>
                <w:szCs w:val="1"/>
              </w:rPr>
            </w:pPr>
          </w:p>
        </w:tc>
      </w:tr>
      <w:tr w:rsidR="00AC12B4">
        <w:trPr>
          <w:trHeight w:val="288"/>
        </w:trPr>
        <w:tc>
          <w:tcPr>
            <w:tcW w:w="2760" w:type="dxa"/>
            <w:gridSpan w:val="3"/>
            <w:tcBorders>
              <w:right w:val="single" w:sz="8" w:space="0" w:color="8BCCEC"/>
            </w:tcBorders>
            <w:vAlign w:val="bottom"/>
          </w:tcPr>
          <w:p w:rsidR="00AC12B4" w:rsidRDefault="00C27636">
            <w:pPr>
              <w:spacing w:line="240" w:lineRule="exact"/>
              <w:ind w:left="1460"/>
              <w:rPr>
                <w:sz w:val="20"/>
                <w:szCs w:val="20"/>
              </w:rPr>
            </w:pPr>
            <w:r>
              <w:rPr>
                <w:rFonts w:ascii="Calibri" w:eastAsia="Calibri" w:hAnsi="Calibri" w:cs="Calibri"/>
              </w:rPr>
              <w:lastRenderedPageBreak/>
              <w:t>prestations</w:t>
            </w:r>
          </w:p>
        </w:tc>
        <w:tc>
          <w:tcPr>
            <w:tcW w:w="140" w:type="dxa"/>
            <w:vAlign w:val="bottom"/>
          </w:tcPr>
          <w:p w:rsidR="00AC12B4" w:rsidRDefault="00AC12B4">
            <w:pPr>
              <w:rPr>
                <w:sz w:val="24"/>
                <w:szCs w:val="24"/>
              </w:rPr>
            </w:pPr>
          </w:p>
        </w:tc>
        <w:tc>
          <w:tcPr>
            <w:tcW w:w="620" w:type="dxa"/>
            <w:vAlign w:val="bottom"/>
          </w:tcPr>
          <w:p w:rsidR="00AC12B4" w:rsidRDefault="00AC12B4">
            <w:pPr>
              <w:rPr>
                <w:sz w:val="24"/>
                <w:szCs w:val="24"/>
              </w:rPr>
            </w:pPr>
          </w:p>
        </w:tc>
        <w:tc>
          <w:tcPr>
            <w:tcW w:w="440" w:type="dxa"/>
            <w:gridSpan w:val="6"/>
            <w:vAlign w:val="bottom"/>
          </w:tcPr>
          <w:p w:rsidR="00AC12B4" w:rsidRDefault="00C27636">
            <w:pPr>
              <w:rPr>
                <w:sz w:val="20"/>
                <w:szCs w:val="20"/>
              </w:rPr>
            </w:pPr>
            <w:r>
              <w:rPr>
                <w:rFonts w:ascii="Calibri" w:eastAsia="Calibri" w:hAnsi="Calibri" w:cs="Calibri"/>
                <w:sz w:val="20"/>
                <w:szCs w:val="20"/>
              </w:rPr>
              <w:t>2000</w:t>
            </w:r>
          </w:p>
        </w:tc>
        <w:tc>
          <w:tcPr>
            <w:tcW w:w="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700" w:type="dxa"/>
            <w:gridSpan w:val="9"/>
            <w:vAlign w:val="bottom"/>
          </w:tcPr>
          <w:p w:rsidR="00AC12B4" w:rsidRDefault="00C27636">
            <w:pPr>
              <w:ind w:right="20"/>
              <w:jc w:val="right"/>
              <w:rPr>
                <w:sz w:val="20"/>
                <w:szCs w:val="20"/>
              </w:rPr>
            </w:pPr>
            <w:r>
              <w:rPr>
                <w:rFonts w:ascii="Calibri" w:eastAsia="Calibri" w:hAnsi="Calibri" w:cs="Calibri"/>
                <w:sz w:val="20"/>
                <w:szCs w:val="20"/>
              </w:rPr>
              <w:t>2007</w:t>
            </w:r>
          </w:p>
        </w:tc>
        <w:tc>
          <w:tcPr>
            <w:tcW w:w="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740" w:type="dxa"/>
            <w:gridSpan w:val="6"/>
            <w:vAlign w:val="bottom"/>
          </w:tcPr>
          <w:p w:rsidR="00AC12B4" w:rsidRDefault="00C27636">
            <w:pPr>
              <w:ind w:right="170"/>
              <w:jc w:val="right"/>
              <w:rPr>
                <w:sz w:val="20"/>
                <w:szCs w:val="20"/>
              </w:rPr>
            </w:pPr>
            <w:r>
              <w:rPr>
                <w:rFonts w:ascii="Calibri" w:eastAsia="Calibri" w:hAnsi="Calibri" w:cs="Calibri"/>
                <w:sz w:val="20"/>
                <w:szCs w:val="20"/>
              </w:rPr>
              <w:t>2014</w:t>
            </w:r>
          </w:p>
        </w:tc>
        <w:tc>
          <w:tcPr>
            <w:tcW w:w="24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80" w:type="dxa"/>
            <w:tcBorders>
              <w:right w:val="single" w:sz="8" w:space="0" w:color="8BCCEC"/>
            </w:tcBorders>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1200" w:type="dxa"/>
            <w:gridSpan w:val="3"/>
            <w:vAlign w:val="bottom"/>
          </w:tcPr>
          <w:p w:rsidR="00AC12B4" w:rsidRDefault="00C27636">
            <w:pPr>
              <w:ind w:right="54"/>
              <w:jc w:val="right"/>
              <w:rPr>
                <w:sz w:val="20"/>
                <w:szCs w:val="20"/>
              </w:rPr>
            </w:pPr>
            <w:r>
              <w:rPr>
                <w:rFonts w:ascii="Calibri" w:eastAsia="Calibri" w:hAnsi="Calibri" w:cs="Calibri"/>
              </w:rPr>
              <w:t>Aucune</w:t>
            </w:r>
          </w:p>
        </w:tc>
        <w:tc>
          <w:tcPr>
            <w:tcW w:w="60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22"/>
        </w:trPr>
        <w:tc>
          <w:tcPr>
            <w:tcW w:w="2240" w:type="dxa"/>
            <w:gridSpan w:val="2"/>
            <w:vMerge w:val="restart"/>
            <w:vAlign w:val="bottom"/>
          </w:tcPr>
          <w:p w:rsidR="00AC12B4" w:rsidRDefault="00C27636">
            <w:pPr>
              <w:spacing w:line="221" w:lineRule="exact"/>
              <w:ind w:left="1460"/>
              <w:rPr>
                <w:sz w:val="20"/>
                <w:szCs w:val="20"/>
              </w:rPr>
            </w:pPr>
            <w:r>
              <w:rPr>
                <w:rFonts w:ascii="Calibri" w:eastAsia="Calibri" w:hAnsi="Calibri" w:cs="Calibri"/>
              </w:rPr>
              <w:t>dans</w:t>
            </w:r>
          </w:p>
        </w:tc>
        <w:tc>
          <w:tcPr>
            <w:tcW w:w="520" w:type="dxa"/>
            <w:tcBorders>
              <w:right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620" w:type="dxa"/>
            <w:tcBorders>
              <w:bottom w:val="single" w:sz="8" w:space="0" w:color="8BCCEC"/>
            </w:tcBorders>
            <w:vAlign w:val="bottom"/>
          </w:tcPr>
          <w:p w:rsidR="00AC12B4" w:rsidRDefault="00AC12B4">
            <w:pPr>
              <w:rPr>
                <w:sz w:val="10"/>
                <w:szCs w:val="10"/>
              </w:rPr>
            </w:pPr>
          </w:p>
        </w:tc>
        <w:tc>
          <w:tcPr>
            <w:tcW w:w="60" w:type="dxa"/>
            <w:tcBorders>
              <w:bottom w:val="single" w:sz="8" w:space="0" w:color="8BCCEC"/>
            </w:tcBorders>
            <w:vAlign w:val="bottom"/>
          </w:tcPr>
          <w:p w:rsidR="00AC12B4" w:rsidRDefault="00AC12B4">
            <w:pPr>
              <w:rPr>
                <w:sz w:val="10"/>
                <w:szCs w:val="10"/>
              </w:rPr>
            </w:pPr>
          </w:p>
        </w:tc>
        <w:tc>
          <w:tcPr>
            <w:tcW w:w="8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40" w:type="dxa"/>
            <w:tcBorders>
              <w:bottom w:val="single" w:sz="8" w:space="0" w:color="8BCCEC"/>
            </w:tcBorders>
            <w:vAlign w:val="bottom"/>
          </w:tcPr>
          <w:p w:rsidR="00AC12B4" w:rsidRDefault="00AC12B4">
            <w:pPr>
              <w:rPr>
                <w:sz w:val="10"/>
                <w:szCs w:val="10"/>
              </w:rPr>
            </w:pPr>
          </w:p>
        </w:tc>
        <w:tc>
          <w:tcPr>
            <w:tcW w:w="10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60" w:type="dxa"/>
            <w:tcBorders>
              <w:bottom w:val="single" w:sz="8" w:space="0" w:color="8BCCEC"/>
            </w:tcBorders>
            <w:vAlign w:val="bottom"/>
          </w:tcPr>
          <w:p w:rsidR="00AC12B4" w:rsidRDefault="00AC12B4">
            <w:pPr>
              <w:rPr>
                <w:sz w:val="10"/>
                <w:szCs w:val="10"/>
              </w:rPr>
            </w:pPr>
          </w:p>
        </w:tc>
        <w:tc>
          <w:tcPr>
            <w:tcW w:w="8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60" w:type="dxa"/>
            <w:tcBorders>
              <w:bottom w:val="single" w:sz="8" w:space="0" w:color="8BCCEC"/>
            </w:tcBorders>
            <w:vAlign w:val="bottom"/>
          </w:tcPr>
          <w:p w:rsidR="00AC12B4" w:rsidRDefault="00AC12B4">
            <w:pPr>
              <w:rPr>
                <w:sz w:val="10"/>
                <w:szCs w:val="10"/>
              </w:rPr>
            </w:pPr>
          </w:p>
        </w:tc>
        <w:tc>
          <w:tcPr>
            <w:tcW w:w="8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2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20" w:type="dxa"/>
            <w:tcBorders>
              <w:bottom w:val="single" w:sz="8" w:space="0" w:color="8BCCEC"/>
            </w:tcBorders>
            <w:vAlign w:val="bottom"/>
          </w:tcPr>
          <w:p w:rsidR="00AC12B4" w:rsidRDefault="00AC12B4">
            <w:pPr>
              <w:rPr>
                <w:sz w:val="10"/>
                <w:szCs w:val="10"/>
              </w:rPr>
            </w:pPr>
          </w:p>
        </w:tc>
        <w:tc>
          <w:tcPr>
            <w:tcW w:w="120" w:type="dxa"/>
            <w:tcBorders>
              <w:bottom w:val="single" w:sz="8" w:space="0" w:color="8BCCEC"/>
            </w:tcBorders>
            <w:vAlign w:val="bottom"/>
          </w:tcPr>
          <w:p w:rsidR="00AC12B4" w:rsidRDefault="00AC12B4">
            <w:pPr>
              <w:rPr>
                <w:sz w:val="10"/>
                <w:szCs w:val="10"/>
              </w:rPr>
            </w:pPr>
          </w:p>
        </w:tc>
        <w:tc>
          <w:tcPr>
            <w:tcW w:w="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140" w:type="dxa"/>
            <w:tcBorders>
              <w:bottom w:val="single" w:sz="8" w:space="0" w:color="8BCCEC"/>
            </w:tcBorders>
            <w:vAlign w:val="bottom"/>
          </w:tcPr>
          <w:p w:rsidR="00AC12B4" w:rsidRDefault="00AC12B4">
            <w:pPr>
              <w:rPr>
                <w:sz w:val="10"/>
                <w:szCs w:val="10"/>
              </w:rPr>
            </w:pPr>
          </w:p>
        </w:tc>
        <w:tc>
          <w:tcPr>
            <w:tcW w:w="20" w:type="dxa"/>
            <w:tcBorders>
              <w:bottom w:val="single" w:sz="8" w:space="0" w:color="8BCCEC"/>
            </w:tcBorders>
            <w:vAlign w:val="bottom"/>
          </w:tcPr>
          <w:p w:rsidR="00AC12B4" w:rsidRDefault="00AC12B4">
            <w:pPr>
              <w:rPr>
                <w:sz w:val="10"/>
                <w:szCs w:val="10"/>
              </w:rPr>
            </w:pPr>
          </w:p>
        </w:tc>
        <w:tc>
          <w:tcPr>
            <w:tcW w:w="400" w:type="dxa"/>
            <w:tcBorders>
              <w:bottom w:val="single" w:sz="8" w:space="0" w:color="8BCCEC"/>
            </w:tcBorders>
            <w:vAlign w:val="bottom"/>
          </w:tcPr>
          <w:p w:rsidR="00AC12B4" w:rsidRDefault="00AC12B4">
            <w:pPr>
              <w:rPr>
                <w:sz w:val="10"/>
                <w:szCs w:val="10"/>
              </w:rPr>
            </w:pPr>
          </w:p>
        </w:tc>
        <w:tc>
          <w:tcPr>
            <w:tcW w:w="240" w:type="dxa"/>
            <w:tcBorders>
              <w:bottom w:val="single" w:sz="8" w:space="0" w:color="8BCCEC"/>
            </w:tcBorders>
            <w:vAlign w:val="bottom"/>
          </w:tcPr>
          <w:p w:rsidR="00AC12B4" w:rsidRDefault="00AC12B4">
            <w:pPr>
              <w:rPr>
                <w:sz w:val="10"/>
                <w:szCs w:val="10"/>
              </w:rPr>
            </w:pPr>
          </w:p>
        </w:tc>
        <w:tc>
          <w:tcPr>
            <w:tcW w:w="100" w:type="dxa"/>
            <w:tcBorders>
              <w:bottom w:val="single" w:sz="8" w:space="0" w:color="8BCCEC"/>
            </w:tcBorders>
            <w:vAlign w:val="bottom"/>
          </w:tcPr>
          <w:p w:rsidR="00AC12B4" w:rsidRDefault="00AC12B4">
            <w:pPr>
              <w:rPr>
                <w:sz w:val="10"/>
                <w:szCs w:val="10"/>
              </w:rPr>
            </w:pPr>
          </w:p>
        </w:tc>
        <w:tc>
          <w:tcPr>
            <w:tcW w:w="40" w:type="dxa"/>
            <w:tcBorders>
              <w:bottom w:val="single" w:sz="8" w:space="0" w:color="8BCCEC"/>
            </w:tcBorders>
            <w:vAlign w:val="bottom"/>
          </w:tcPr>
          <w:p w:rsidR="00AC12B4" w:rsidRDefault="00AC12B4">
            <w:pPr>
              <w:rPr>
                <w:sz w:val="10"/>
                <w:szCs w:val="10"/>
              </w:rPr>
            </w:pPr>
          </w:p>
        </w:tc>
        <w:tc>
          <w:tcPr>
            <w:tcW w:w="420" w:type="dxa"/>
            <w:tcBorders>
              <w:bottom w:val="single" w:sz="8" w:space="0" w:color="8BCCEC"/>
            </w:tcBorders>
            <w:vAlign w:val="bottom"/>
          </w:tcPr>
          <w:p w:rsidR="00AC12B4" w:rsidRDefault="00AC12B4">
            <w:pPr>
              <w:rPr>
                <w:sz w:val="10"/>
                <w:szCs w:val="10"/>
              </w:rPr>
            </w:pPr>
          </w:p>
        </w:tc>
        <w:tc>
          <w:tcPr>
            <w:tcW w:w="520" w:type="dxa"/>
            <w:tcBorders>
              <w:bottom w:val="single" w:sz="8" w:space="0" w:color="8BCCEC"/>
            </w:tcBorders>
            <w:vAlign w:val="bottom"/>
          </w:tcPr>
          <w:p w:rsidR="00AC12B4" w:rsidRDefault="00AC12B4">
            <w:pPr>
              <w:rPr>
                <w:sz w:val="10"/>
                <w:szCs w:val="10"/>
              </w:rPr>
            </w:pPr>
          </w:p>
        </w:tc>
        <w:tc>
          <w:tcPr>
            <w:tcW w:w="480" w:type="dxa"/>
            <w:tcBorders>
              <w:bottom w:val="single" w:sz="8" w:space="0" w:color="8BCCEC"/>
            </w:tcBorders>
            <w:vAlign w:val="bottom"/>
          </w:tcPr>
          <w:p w:rsidR="00AC12B4" w:rsidRDefault="00AC12B4">
            <w:pPr>
              <w:rPr>
                <w:sz w:val="10"/>
                <w:szCs w:val="10"/>
              </w:rPr>
            </w:pPr>
          </w:p>
        </w:tc>
        <w:tc>
          <w:tcPr>
            <w:tcW w:w="100" w:type="dxa"/>
            <w:tcBorders>
              <w:bottom w:val="single" w:sz="8" w:space="0" w:color="8BCCEC"/>
            </w:tcBorders>
            <w:vAlign w:val="bottom"/>
          </w:tcPr>
          <w:p w:rsidR="00AC12B4" w:rsidRDefault="00AC12B4">
            <w:pPr>
              <w:rPr>
                <w:sz w:val="10"/>
                <w:szCs w:val="10"/>
              </w:rPr>
            </w:pPr>
          </w:p>
        </w:tc>
        <w:tc>
          <w:tcPr>
            <w:tcW w:w="80" w:type="dxa"/>
            <w:tcBorders>
              <w:bottom w:val="single" w:sz="8" w:space="0" w:color="8BCCEC"/>
              <w:right w:val="single" w:sz="8" w:space="0" w:color="8BCCEC"/>
            </w:tcBorders>
            <w:vAlign w:val="bottom"/>
          </w:tcPr>
          <w:p w:rsidR="00AC12B4" w:rsidRDefault="00AC12B4">
            <w:pPr>
              <w:rPr>
                <w:sz w:val="10"/>
                <w:szCs w:val="10"/>
              </w:rPr>
            </w:pPr>
          </w:p>
        </w:tc>
        <w:tc>
          <w:tcPr>
            <w:tcW w:w="1680" w:type="dxa"/>
            <w:gridSpan w:val="4"/>
            <w:vMerge w:val="restart"/>
            <w:vAlign w:val="bottom"/>
          </w:tcPr>
          <w:p w:rsidR="00AC12B4" w:rsidRDefault="00C27636">
            <w:pPr>
              <w:ind w:right="54"/>
              <w:jc w:val="right"/>
              <w:rPr>
                <w:sz w:val="20"/>
                <w:szCs w:val="20"/>
              </w:rPr>
            </w:pPr>
            <w:r>
              <w:rPr>
                <w:rFonts w:ascii="Calibri" w:eastAsia="Calibri" w:hAnsi="Calibri" w:cs="Calibri"/>
              </w:rPr>
              <w:t>information</w:t>
            </w:r>
          </w:p>
        </w:tc>
        <w:tc>
          <w:tcPr>
            <w:tcW w:w="60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27"/>
        </w:trPr>
        <w:tc>
          <w:tcPr>
            <w:tcW w:w="2240" w:type="dxa"/>
            <w:gridSpan w:val="2"/>
            <w:vMerge/>
            <w:vAlign w:val="bottom"/>
          </w:tcPr>
          <w:p w:rsidR="00AC12B4" w:rsidRDefault="00AC12B4">
            <w:pPr>
              <w:rPr>
                <w:sz w:val="11"/>
                <w:szCs w:val="11"/>
              </w:rPr>
            </w:pPr>
          </w:p>
        </w:tc>
        <w:tc>
          <w:tcPr>
            <w:tcW w:w="5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6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24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420" w:type="dxa"/>
            <w:vAlign w:val="bottom"/>
          </w:tcPr>
          <w:p w:rsidR="00AC12B4" w:rsidRDefault="00AC12B4">
            <w:pPr>
              <w:rPr>
                <w:sz w:val="11"/>
                <w:szCs w:val="11"/>
              </w:rPr>
            </w:pPr>
          </w:p>
        </w:tc>
        <w:tc>
          <w:tcPr>
            <w:tcW w:w="52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10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1680" w:type="dxa"/>
            <w:gridSpan w:val="4"/>
            <w:vMerge/>
            <w:vAlign w:val="bottom"/>
          </w:tcPr>
          <w:p w:rsidR="00AC12B4" w:rsidRDefault="00AC12B4">
            <w:pPr>
              <w:rPr>
                <w:sz w:val="11"/>
                <w:szCs w:val="11"/>
              </w:rPr>
            </w:pPr>
          </w:p>
        </w:tc>
        <w:tc>
          <w:tcPr>
            <w:tcW w:w="6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69"/>
        </w:trPr>
        <w:tc>
          <w:tcPr>
            <w:tcW w:w="2760" w:type="dxa"/>
            <w:gridSpan w:val="3"/>
            <w:vAlign w:val="bottom"/>
          </w:tcPr>
          <w:p w:rsidR="00AC12B4" w:rsidRDefault="00C27636">
            <w:pPr>
              <w:spacing w:line="221" w:lineRule="exact"/>
              <w:ind w:left="1460"/>
              <w:rPr>
                <w:sz w:val="20"/>
                <w:szCs w:val="20"/>
              </w:rPr>
            </w:pPr>
            <w:r>
              <w:rPr>
                <w:rFonts w:ascii="Calibri" w:eastAsia="Calibri" w:hAnsi="Calibri" w:cs="Calibri"/>
              </w:rPr>
              <w:t>l'enseignem</w:t>
            </w:r>
          </w:p>
        </w:tc>
        <w:tc>
          <w:tcPr>
            <w:tcW w:w="1100" w:type="dxa"/>
            <w:gridSpan w:val="7"/>
            <w:vAlign w:val="bottom"/>
          </w:tcPr>
          <w:p w:rsidR="00AC12B4" w:rsidRDefault="00C27636">
            <w:pPr>
              <w:spacing w:line="192" w:lineRule="exact"/>
              <w:rPr>
                <w:sz w:val="20"/>
                <w:szCs w:val="20"/>
              </w:rPr>
            </w:pPr>
            <w:r>
              <w:rPr>
                <w:rFonts w:ascii="Calibri" w:eastAsia="Calibri" w:hAnsi="Calibri" w:cs="Calibri"/>
                <w:b/>
                <w:bCs/>
                <w:color w:val="4F81BD"/>
                <w:sz w:val="18"/>
                <w:szCs w:val="18"/>
              </w:rPr>
              <w:t>Figure 1. EFT</w:t>
            </w:r>
          </w:p>
        </w:tc>
        <w:tc>
          <w:tcPr>
            <w:tcW w:w="1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40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1200" w:type="dxa"/>
            <w:gridSpan w:val="3"/>
            <w:vAlign w:val="bottom"/>
          </w:tcPr>
          <w:p w:rsidR="00AC12B4" w:rsidRDefault="00C27636">
            <w:pPr>
              <w:ind w:right="34"/>
              <w:jc w:val="right"/>
              <w:rPr>
                <w:sz w:val="20"/>
                <w:szCs w:val="20"/>
              </w:rPr>
            </w:pPr>
            <w:r>
              <w:rPr>
                <w:rFonts w:ascii="Calibri" w:eastAsia="Calibri" w:hAnsi="Calibri" w:cs="Calibri"/>
              </w:rPr>
              <w:t>structurelle</w:t>
            </w:r>
          </w:p>
        </w:tc>
        <w:tc>
          <w:tcPr>
            <w:tcW w:w="6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2240" w:type="dxa"/>
            <w:gridSpan w:val="2"/>
            <w:vAlign w:val="bottom"/>
          </w:tcPr>
          <w:p w:rsidR="00AC12B4" w:rsidRDefault="00C27636">
            <w:pPr>
              <w:spacing w:line="221" w:lineRule="exact"/>
              <w:ind w:left="1460"/>
              <w:rPr>
                <w:sz w:val="20"/>
                <w:szCs w:val="20"/>
              </w:rPr>
            </w:pPr>
            <w:r>
              <w:rPr>
                <w:rFonts w:ascii="Calibri" w:eastAsia="Calibri" w:hAnsi="Calibri" w:cs="Calibri"/>
              </w:rPr>
              <w:t>ent.</w:t>
            </w:r>
          </w:p>
        </w:tc>
        <w:tc>
          <w:tcPr>
            <w:tcW w:w="520" w:type="dxa"/>
            <w:vAlign w:val="bottom"/>
          </w:tcPr>
          <w:p w:rsidR="00AC12B4" w:rsidRDefault="00C27636">
            <w:pPr>
              <w:spacing w:line="221" w:lineRule="exact"/>
              <w:ind w:right="91"/>
              <w:jc w:val="right"/>
              <w:rPr>
                <w:sz w:val="20"/>
                <w:szCs w:val="20"/>
              </w:rPr>
            </w:pPr>
            <w:r>
              <w:rPr>
                <w:rFonts w:ascii="Calibri" w:eastAsia="Calibri" w:hAnsi="Calibri" w:cs="Calibri"/>
              </w:rPr>
              <w:t>Le</w:t>
            </w:r>
          </w:p>
        </w:tc>
        <w:tc>
          <w:tcPr>
            <w:tcW w:w="140" w:type="dxa"/>
            <w:vAlign w:val="bottom"/>
          </w:tcPr>
          <w:p w:rsidR="00AC12B4" w:rsidRDefault="00AC12B4">
            <w:pPr>
              <w:rPr>
                <w:sz w:val="23"/>
                <w:szCs w:val="23"/>
              </w:rPr>
            </w:pPr>
          </w:p>
        </w:tc>
        <w:tc>
          <w:tcPr>
            <w:tcW w:w="62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40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1680" w:type="dxa"/>
            <w:gridSpan w:val="4"/>
            <w:vAlign w:val="bottom"/>
          </w:tcPr>
          <w:p w:rsidR="00AC12B4" w:rsidRDefault="00C27636">
            <w:pPr>
              <w:ind w:right="34"/>
              <w:jc w:val="right"/>
              <w:rPr>
                <w:sz w:val="20"/>
                <w:szCs w:val="20"/>
              </w:rPr>
            </w:pPr>
            <w:r>
              <w:rPr>
                <w:rFonts w:ascii="Calibri" w:eastAsia="Calibri" w:hAnsi="Calibri" w:cs="Calibri"/>
              </w:rPr>
              <w:t>n’existe sur les</w:t>
            </w:r>
          </w:p>
        </w:tc>
        <w:tc>
          <w:tcPr>
            <w:tcW w:w="60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5680" w:type="dxa"/>
            <w:gridSpan w:val="35"/>
            <w:vAlign w:val="bottom"/>
          </w:tcPr>
          <w:p w:rsidR="00AC12B4" w:rsidRPr="00C27636" w:rsidRDefault="00C27636">
            <w:pPr>
              <w:spacing w:line="221" w:lineRule="exact"/>
              <w:ind w:left="1460"/>
              <w:rPr>
                <w:sz w:val="20"/>
                <w:szCs w:val="20"/>
                <w:lang w:val="fr-BE"/>
              </w:rPr>
            </w:pPr>
            <w:r w:rsidRPr="00C27636">
              <w:rPr>
                <w:rFonts w:ascii="Calibri" w:eastAsia="Calibri" w:hAnsi="Calibri" w:cs="Calibri"/>
                <w:lang w:val="fr-BE"/>
              </w:rPr>
              <w:t>Comité   a   exprimé   son   inquiétude</w:t>
            </w:r>
          </w:p>
        </w:tc>
        <w:tc>
          <w:tcPr>
            <w:tcW w:w="120" w:type="dxa"/>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4060" w:type="dxa"/>
            <w:gridSpan w:val="13"/>
            <w:vAlign w:val="bottom"/>
          </w:tcPr>
          <w:p w:rsidR="00AC12B4" w:rsidRPr="00C27636" w:rsidRDefault="00C27636">
            <w:pPr>
              <w:ind w:left="40"/>
              <w:rPr>
                <w:sz w:val="20"/>
                <w:szCs w:val="20"/>
                <w:lang w:val="fr-BE"/>
              </w:rPr>
            </w:pPr>
            <w:r w:rsidRPr="00C27636">
              <w:rPr>
                <w:rFonts w:ascii="Calibri" w:eastAsia="Calibri" w:hAnsi="Calibri" w:cs="Calibri"/>
                <w:lang w:val="fr-BE"/>
              </w:rPr>
              <w:t>causes de cette interruption prématurée</w:t>
            </w:r>
          </w:p>
        </w:tc>
        <w:tc>
          <w:tcPr>
            <w:tcW w:w="60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2900" w:type="dxa"/>
            <w:gridSpan w:val="4"/>
            <w:vAlign w:val="bottom"/>
          </w:tcPr>
          <w:p w:rsidR="00AC12B4" w:rsidRDefault="00C27636">
            <w:pPr>
              <w:spacing w:line="221" w:lineRule="exact"/>
              <w:ind w:left="1460"/>
              <w:rPr>
                <w:sz w:val="20"/>
                <w:szCs w:val="20"/>
              </w:rPr>
            </w:pPr>
            <w:r>
              <w:rPr>
                <w:rFonts w:ascii="Calibri" w:eastAsia="Calibri" w:hAnsi="Calibri" w:cs="Calibri"/>
              </w:rPr>
              <w:t>concernan</w:t>
            </w:r>
            <w:r>
              <w:rPr>
                <w:rFonts w:ascii="Calibri" w:eastAsia="Calibri" w:hAnsi="Calibri" w:cs="Calibri"/>
              </w:rPr>
              <w:lastRenderedPageBreak/>
              <w:t xml:space="preserve">t </w:t>
            </w:r>
            <w:r>
              <w:rPr>
                <w:rFonts w:ascii="Calibri" w:eastAsia="Calibri" w:hAnsi="Calibri" w:cs="Calibri"/>
              </w:rPr>
              <w:t>la</w:t>
            </w:r>
          </w:p>
        </w:tc>
        <w:tc>
          <w:tcPr>
            <w:tcW w:w="960" w:type="dxa"/>
            <w:gridSpan w:val="6"/>
            <w:vAlign w:val="bottom"/>
          </w:tcPr>
          <w:p w:rsidR="00AC12B4" w:rsidRDefault="00C27636">
            <w:pPr>
              <w:spacing w:line="221" w:lineRule="exact"/>
              <w:ind w:left="20"/>
              <w:rPr>
                <w:sz w:val="20"/>
                <w:szCs w:val="20"/>
              </w:rPr>
            </w:pPr>
            <w:r>
              <w:rPr>
                <w:rFonts w:ascii="Calibri" w:eastAsia="Calibri" w:hAnsi="Calibri" w:cs="Calibri"/>
              </w:rPr>
              <w:lastRenderedPageBreak/>
              <w:t>réduction</w:t>
            </w:r>
          </w:p>
        </w:tc>
        <w:tc>
          <w:tcPr>
            <w:tcW w:w="500" w:type="dxa"/>
            <w:gridSpan w:val="8"/>
            <w:vAlign w:val="bottom"/>
          </w:tcPr>
          <w:p w:rsidR="00AC12B4" w:rsidRDefault="00C27636">
            <w:pPr>
              <w:spacing w:line="221" w:lineRule="exact"/>
              <w:ind w:right="120"/>
              <w:jc w:val="right"/>
              <w:rPr>
                <w:sz w:val="20"/>
                <w:szCs w:val="20"/>
              </w:rPr>
            </w:pPr>
            <w:r>
              <w:rPr>
                <w:rFonts w:ascii="Calibri" w:eastAsia="Calibri" w:hAnsi="Calibri" w:cs="Calibri"/>
              </w:rPr>
              <w:t>des</w:t>
            </w:r>
          </w:p>
        </w:tc>
        <w:tc>
          <w:tcPr>
            <w:tcW w:w="1320" w:type="dxa"/>
            <w:gridSpan w:val="17"/>
            <w:vAlign w:val="bottom"/>
          </w:tcPr>
          <w:p w:rsidR="00AC12B4" w:rsidRDefault="00C27636">
            <w:pPr>
              <w:spacing w:line="221" w:lineRule="exact"/>
              <w:ind w:right="340"/>
              <w:jc w:val="right"/>
              <w:rPr>
                <w:sz w:val="20"/>
                <w:szCs w:val="20"/>
              </w:rPr>
            </w:pPr>
            <w:r>
              <w:rPr>
                <w:rFonts w:ascii="Calibri" w:eastAsia="Calibri" w:hAnsi="Calibri" w:cs="Calibri"/>
                <w:w w:val="99"/>
              </w:rPr>
              <w:t>allocations</w:t>
            </w:r>
          </w:p>
        </w:tc>
        <w:tc>
          <w:tcPr>
            <w:tcW w:w="12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4060" w:type="dxa"/>
            <w:gridSpan w:val="13"/>
            <w:vAlign w:val="bottom"/>
          </w:tcPr>
          <w:p w:rsidR="00AC12B4" w:rsidRPr="00C27636" w:rsidRDefault="00C27636">
            <w:pPr>
              <w:ind w:left="40"/>
              <w:rPr>
                <w:sz w:val="20"/>
                <w:szCs w:val="20"/>
                <w:lang w:val="fr-BE"/>
              </w:rPr>
            </w:pPr>
            <w:r w:rsidRPr="00C27636">
              <w:rPr>
                <w:rFonts w:ascii="Calibri" w:eastAsia="Calibri" w:hAnsi="Calibri" w:cs="Calibri"/>
                <w:lang w:val="fr-BE"/>
              </w:rPr>
              <w:t>de  scolarité  (exclusion  scolaire,  besoin</w:t>
            </w:r>
          </w:p>
        </w:tc>
        <w:tc>
          <w:tcPr>
            <w:tcW w:w="60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408"/>
        </w:trPr>
        <w:tc>
          <w:tcPr>
            <w:tcW w:w="1780" w:type="dxa"/>
            <w:vAlign w:val="bottom"/>
          </w:tcPr>
          <w:p w:rsidR="00AC12B4" w:rsidRPr="00C27636" w:rsidRDefault="00AC12B4">
            <w:pPr>
              <w:rPr>
                <w:sz w:val="24"/>
                <w:szCs w:val="24"/>
                <w:lang w:val="fr-BE"/>
              </w:rPr>
            </w:pPr>
          </w:p>
        </w:tc>
        <w:tc>
          <w:tcPr>
            <w:tcW w:w="46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620" w:type="dxa"/>
            <w:vAlign w:val="bottom"/>
          </w:tcPr>
          <w:p w:rsidR="00AC12B4" w:rsidRPr="00C27636" w:rsidRDefault="00AC12B4">
            <w:pPr>
              <w:rPr>
                <w:sz w:val="24"/>
                <w:szCs w:val="24"/>
                <w:lang w:val="fr-BE"/>
              </w:rPr>
            </w:pPr>
          </w:p>
        </w:tc>
        <w:tc>
          <w:tcPr>
            <w:tcW w:w="60" w:type="dxa"/>
            <w:vAlign w:val="bottom"/>
          </w:tcPr>
          <w:p w:rsidR="00AC12B4" w:rsidRPr="00C27636" w:rsidRDefault="00AC12B4">
            <w:pPr>
              <w:rPr>
                <w:sz w:val="24"/>
                <w:szCs w:val="24"/>
                <w:lang w:val="fr-BE"/>
              </w:rPr>
            </w:pPr>
          </w:p>
        </w:tc>
        <w:tc>
          <w:tcPr>
            <w:tcW w:w="8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40" w:type="dxa"/>
            <w:vAlign w:val="bottom"/>
          </w:tcPr>
          <w:p w:rsidR="00AC12B4" w:rsidRPr="00C27636" w:rsidRDefault="00AC12B4">
            <w:pPr>
              <w:rPr>
                <w:sz w:val="24"/>
                <w:szCs w:val="24"/>
                <w:lang w:val="fr-BE"/>
              </w:rPr>
            </w:pPr>
          </w:p>
        </w:tc>
        <w:tc>
          <w:tcPr>
            <w:tcW w:w="10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60" w:type="dxa"/>
            <w:vAlign w:val="bottom"/>
          </w:tcPr>
          <w:p w:rsidR="00AC12B4" w:rsidRPr="00C27636" w:rsidRDefault="00AC12B4">
            <w:pPr>
              <w:rPr>
                <w:sz w:val="24"/>
                <w:szCs w:val="24"/>
                <w:lang w:val="fr-BE"/>
              </w:rPr>
            </w:pPr>
          </w:p>
        </w:tc>
        <w:tc>
          <w:tcPr>
            <w:tcW w:w="8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60" w:type="dxa"/>
            <w:vAlign w:val="bottom"/>
          </w:tcPr>
          <w:p w:rsidR="00AC12B4" w:rsidRPr="00C27636" w:rsidRDefault="00AC12B4">
            <w:pPr>
              <w:rPr>
                <w:sz w:val="24"/>
                <w:szCs w:val="24"/>
                <w:lang w:val="fr-BE"/>
              </w:rPr>
            </w:pPr>
          </w:p>
        </w:tc>
        <w:tc>
          <w:tcPr>
            <w:tcW w:w="8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12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0" w:type="dxa"/>
            <w:vAlign w:val="bottom"/>
          </w:tcPr>
          <w:p w:rsidR="00AC12B4" w:rsidRPr="00C27636" w:rsidRDefault="00AC12B4">
            <w:pPr>
              <w:rPr>
                <w:sz w:val="24"/>
                <w:szCs w:val="24"/>
                <w:lang w:val="fr-BE"/>
              </w:rPr>
            </w:pPr>
          </w:p>
        </w:tc>
        <w:tc>
          <w:tcPr>
            <w:tcW w:w="920" w:type="dxa"/>
            <w:gridSpan w:val="11"/>
            <w:vAlign w:val="bottom"/>
          </w:tcPr>
          <w:p w:rsidR="00AC12B4" w:rsidRDefault="00C27636">
            <w:pPr>
              <w:ind w:right="140"/>
              <w:jc w:val="right"/>
              <w:rPr>
                <w:sz w:val="20"/>
                <w:szCs w:val="20"/>
              </w:rPr>
            </w:pPr>
            <w:r>
              <w:rPr>
                <w:rFonts w:ascii="Calibri" w:eastAsia="Calibri" w:hAnsi="Calibri" w:cs="Calibri"/>
              </w:rPr>
              <w:t>139</w:t>
            </w:r>
          </w:p>
        </w:tc>
        <w:tc>
          <w:tcPr>
            <w:tcW w:w="2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60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734528" behindDoc="1" locked="0" layoutInCell="0" allowOverlap="1">
            <wp:simplePos x="0" y="0"/>
            <wp:positionH relativeFrom="column">
              <wp:posOffset>1738630</wp:posOffset>
            </wp:positionH>
            <wp:positionV relativeFrom="paragraph">
              <wp:posOffset>-10131425</wp:posOffset>
            </wp:positionV>
            <wp:extent cx="5579110" cy="10908665"/>
            <wp:effectExtent l="0" t="0" r="0" b="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231">
                      <a:extLst/>
                    </a:blip>
                    <a:srcRect/>
                    <a:stretch>
                      <a:fillRect/>
                    </a:stretch>
                  </pic:blipFill>
                  <pic:spPr bwMode="auto">
                    <a:xfrm>
                      <a:off x="0" y="0"/>
                      <a:ext cx="5579110" cy="10908665"/>
                    </a:xfrm>
                    <a:prstGeom prst="rect">
                      <a:avLst/>
                    </a:prstGeom>
                    <a:noFill/>
                  </pic:spPr>
                </pic:pic>
              </a:graphicData>
            </a:graphic>
          </wp:anchor>
        </w:drawing>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7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AC12B4">
      <w:pPr>
        <w:sectPr w:rsidR="00AC12B4">
          <w:pgSz w:w="12080" w:h="17179"/>
          <w:pgMar w:top="1440" w:right="503" w:bottom="659" w:left="540" w:header="0" w:footer="0" w:gutter="0"/>
          <w:cols w:num="2" w:space="720" w:equalWidth="0">
            <w:col w:w="10680" w:space="12"/>
            <w:col w:w="342"/>
          </w:cols>
        </w:sectPr>
      </w:pPr>
    </w:p>
    <w:bookmarkStart w:id="139" w:name="page140"/>
    <w:bookmarkEnd w:id="139"/>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735552" behindDoc="1" locked="0" layoutInCell="0" allowOverlap="1">
                <wp:simplePos x="0" y="0"/>
                <wp:positionH relativeFrom="page">
                  <wp:posOffset>0</wp:posOffset>
                </wp:positionH>
                <wp:positionV relativeFrom="page">
                  <wp:posOffset>0</wp:posOffset>
                </wp:positionV>
                <wp:extent cx="732790" cy="10908665"/>
                <wp:effectExtent l="0" t="0" r="0" b="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2790" cy="10908665"/>
                        </a:xfrm>
                        <a:prstGeom prst="rect">
                          <a:avLst/>
                        </a:prstGeom>
                        <a:solidFill>
                          <a:srgbClr val="8BCCEC"/>
                        </a:solidFill>
                      </wps:spPr>
                      <wps:bodyPr/>
                    </wps:wsp>
                  </a:graphicData>
                </a:graphic>
              </wp:anchor>
            </w:drawing>
          </mc:Choice>
          <mc:Fallback>
            <w:pict>
              <v:rect id="Shape 401" o:spid="_x0000_s1426" style="position:absolute;margin-left:0pt;margin-top:0pt;width:57.7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C27636">
      <w:pPr>
        <w:spacing w:line="20" w:lineRule="exact"/>
        <w:rPr>
          <w:sz w:val="20"/>
          <w:szCs w:val="20"/>
        </w:rPr>
      </w:pPr>
      <w:r>
        <w:rPr>
          <w:sz w:val="20"/>
          <w:szCs w:val="20"/>
        </w:rPr>
        <w:br w:type="column"/>
      </w:r>
    </w:p>
    <w:p w:rsidR="00AC12B4" w:rsidRDefault="00AC12B4">
      <w:pPr>
        <w:spacing w:line="143" w:lineRule="exact"/>
        <w:rPr>
          <w:sz w:val="20"/>
          <w:szCs w:val="20"/>
        </w:rPr>
      </w:pPr>
    </w:p>
    <w:p w:rsidR="00AC12B4" w:rsidRDefault="00AC12B4">
      <w:pPr>
        <w:spacing w:line="1" w:lineRule="exact"/>
        <w:rPr>
          <w:sz w:val="1"/>
          <w:szCs w:val="1"/>
        </w:rPr>
      </w:pPr>
    </w:p>
    <w:tbl>
      <w:tblPr>
        <w:tblW w:w="0" w:type="auto"/>
        <w:tblInd w:w="480" w:type="dxa"/>
        <w:tblLayout w:type="fixed"/>
        <w:tblCellMar>
          <w:left w:w="0" w:type="dxa"/>
          <w:right w:w="0" w:type="dxa"/>
        </w:tblCellMar>
        <w:tblLook w:val="04A0" w:firstRow="1" w:lastRow="0" w:firstColumn="1" w:lastColumn="0" w:noHBand="0" w:noVBand="1"/>
      </w:tblPr>
      <w:tblGrid>
        <w:gridCol w:w="4240"/>
        <w:gridCol w:w="4220"/>
        <w:gridCol w:w="20"/>
      </w:tblGrid>
      <w:tr w:rsidR="00AC12B4">
        <w:trPr>
          <w:trHeight w:val="311"/>
        </w:trPr>
        <w:tc>
          <w:tcPr>
            <w:tcW w:w="4240" w:type="dxa"/>
            <w:vAlign w:val="bottom"/>
          </w:tcPr>
          <w:p w:rsidR="00AC12B4" w:rsidRPr="00C27636" w:rsidRDefault="00C27636">
            <w:pPr>
              <w:rPr>
                <w:sz w:val="20"/>
                <w:szCs w:val="20"/>
                <w:lang w:val="fr-BE"/>
              </w:rPr>
            </w:pPr>
            <w:r w:rsidRPr="00C27636">
              <w:rPr>
                <w:rFonts w:ascii="Calibri" w:eastAsia="Calibri" w:hAnsi="Calibri" w:cs="Calibri"/>
                <w:lang w:val="fr-BE"/>
              </w:rPr>
              <w:t>économique,…),  ni  sur  l’avenir  de  ces</w:t>
            </w:r>
          </w:p>
        </w:tc>
        <w:tc>
          <w:tcPr>
            <w:tcW w:w="4220" w:type="dxa"/>
            <w:vAlign w:val="bottom"/>
          </w:tcPr>
          <w:p w:rsidR="00AC12B4" w:rsidRDefault="00C27636">
            <w:pPr>
              <w:ind w:left="340"/>
              <w:rPr>
                <w:sz w:val="20"/>
                <w:szCs w:val="20"/>
              </w:rPr>
            </w:pPr>
            <w:r>
              <w:rPr>
                <w:rFonts w:ascii="Cambria" w:eastAsia="Cambria" w:hAnsi="Cambria" w:cs="Cambria"/>
                <w:b/>
                <w:bCs/>
                <w:i/>
                <w:iCs/>
                <w:color w:val="44ACE0"/>
                <w:sz w:val="26"/>
                <w:szCs w:val="26"/>
              </w:rPr>
              <w:t>Evolution</w:t>
            </w:r>
          </w:p>
        </w:tc>
        <w:tc>
          <w:tcPr>
            <w:tcW w:w="0" w:type="dxa"/>
            <w:vAlign w:val="bottom"/>
          </w:tcPr>
          <w:p w:rsidR="00AC12B4" w:rsidRDefault="00AC12B4">
            <w:pPr>
              <w:rPr>
                <w:sz w:val="1"/>
                <w:szCs w:val="1"/>
              </w:rPr>
            </w:pPr>
          </w:p>
        </w:tc>
      </w:tr>
      <w:tr w:rsidR="00AC12B4" w:rsidRPr="00C27636">
        <w:trPr>
          <w:trHeight w:val="226"/>
        </w:trPr>
        <w:tc>
          <w:tcPr>
            <w:tcW w:w="4240" w:type="dxa"/>
            <w:vAlign w:val="bottom"/>
          </w:tcPr>
          <w:p w:rsidR="00AC12B4" w:rsidRPr="00C27636" w:rsidRDefault="00C27636">
            <w:pPr>
              <w:spacing w:line="225" w:lineRule="exact"/>
              <w:rPr>
                <w:sz w:val="20"/>
                <w:szCs w:val="20"/>
                <w:lang w:val="fr-BE"/>
              </w:rPr>
            </w:pPr>
            <w:r w:rsidRPr="00C27636">
              <w:rPr>
                <w:rFonts w:ascii="Calibri" w:eastAsia="Calibri" w:hAnsi="Calibri" w:cs="Calibri"/>
                <w:lang w:val="fr-BE"/>
              </w:rPr>
              <w:t>jeunes ayant arrêté trop tôt leur scolarité.</w:t>
            </w:r>
          </w:p>
        </w:tc>
        <w:tc>
          <w:tcPr>
            <w:tcW w:w="4220" w:type="dxa"/>
            <w:vMerge w:val="restart"/>
            <w:vAlign w:val="bottom"/>
          </w:tcPr>
          <w:p w:rsidR="00AC12B4" w:rsidRPr="00C27636" w:rsidRDefault="00C27636">
            <w:pPr>
              <w:ind w:left="340"/>
              <w:rPr>
                <w:sz w:val="20"/>
                <w:szCs w:val="20"/>
                <w:lang w:val="fr-BE"/>
              </w:rPr>
            </w:pPr>
            <w:r w:rsidRPr="00C27636">
              <w:rPr>
                <w:rFonts w:ascii="Calibri" w:eastAsia="Calibri" w:hAnsi="Calibri" w:cs="Calibri"/>
                <w:lang w:val="fr-BE"/>
              </w:rPr>
              <w:t>Les chiffres sont plutôt stables avec une</w:t>
            </w:r>
          </w:p>
        </w:tc>
        <w:tc>
          <w:tcPr>
            <w:tcW w:w="0" w:type="dxa"/>
            <w:vAlign w:val="bottom"/>
          </w:tcPr>
          <w:p w:rsidR="00AC12B4" w:rsidRPr="00C27636" w:rsidRDefault="00AC12B4">
            <w:pPr>
              <w:rPr>
                <w:sz w:val="1"/>
                <w:szCs w:val="1"/>
                <w:lang w:val="fr-BE"/>
              </w:rPr>
            </w:pPr>
          </w:p>
        </w:tc>
      </w:tr>
      <w:tr w:rsidR="00AC12B4" w:rsidRPr="00C27636">
        <w:trPr>
          <w:trHeight w:val="202"/>
        </w:trPr>
        <w:tc>
          <w:tcPr>
            <w:tcW w:w="4240" w:type="dxa"/>
            <w:vAlign w:val="bottom"/>
          </w:tcPr>
          <w:p w:rsidR="00AC12B4" w:rsidRPr="00C27636" w:rsidRDefault="00AC12B4">
            <w:pPr>
              <w:rPr>
                <w:sz w:val="17"/>
                <w:szCs w:val="17"/>
                <w:lang w:val="fr-BE"/>
              </w:rPr>
            </w:pPr>
          </w:p>
        </w:tc>
        <w:tc>
          <w:tcPr>
            <w:tcW w:w="4220" w:type="dxa"/>
            <w:vMerge/>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309"/>
        </w:trPr>
        <w:tc>
          <w:tcPr>
            <w:tcW w:w="4240" w:type="dxa"/>
            <w:vAlign w:val="bottom"/>
          </w:tcPr>
          <w:p w:rsidR="00AC12B4" w:rsidRDefault="00C27636">
            <w:pPr>
              <w:rPr>
                <w:sz w:val="20"/>
                <w:szCs w:val="20"/>
              </w:rPr>
            </w:pPr>
            <w:r>
              <w:rPr>
                <w:rFonts w:ascii="Cambria" w:eastAsia="Cambria" w:hAnsi="Cambria" w:cs="Cambria"/>
                <w:b/>
                <w:bCs/>
                <w:i/>
                <w:iCs/>
                <w:color w:val="44ACE0"/>
                <w:sz w:val="26"/>
                <w:szCs w:val="26"/>
              </w:rPr>
              <w:t>Iniquité</w:t>
            </w:r>
          </w:p>
        </w:tc>
        <w:tc>
          <w:tcPr>
            <w:tcW w:w="4220" w:type="dxa"/>
            <w:vAlign w:val="bottom"/>
          </w:tcPr>
          <w:p w:rsidR="00AC12B4" w:rsidRPr="00C27636" w:rsidRDefault="00C27636">
            <w:pPr>
              <w:ind w:left="340"/>
              <w:rPr>
                <w:sz w:val="20"/>
                <w:szCs w:val="20"/>
                <w:lang w:val="fr-BE"/>
              </w:rPr>
            </w:pPr>
            <w:r w:rsidRPr="00C27636">
              <w:rPr>
                <w:rFonts w:ascii="Calibri" w:eastAsia="Calibri" w:hAnsi="Calibri" w:cs="Calibri"/>
                <w:lang w:val="fr-BE"/>
              </w:rPr>
              <w:t xml:space="preserve">légère tendance à la </w:t>
            </w:r>
            <w:r w:rsidRPr="00C27636">
              <w:rPr>
                <w:rFonts w:ascii="Calibri" w:eastAsia="Calibri" w:hAnsi="Calibri" w:cs="Calibri"/>
                <w:lang w:val="fr-BE"/>
              </w:rPr>
              <w:t>baisse.</w:t>
            </w:r>
          </w:p>
        </w:tc>
        <w:tc>
          <w:tcPr>
            <w:tcW w:w="0" w:type="dxa"/>
            <w:vAlign w:val="bottom"/>
          </w:tcPr>
          <w:p w:rsidR="00AC12B4" w:rsidRPr="00C27636" w:rsidRDefault="00AC12B4">
            <w:pPr>
              <w:rPr>
                <w:sz w:val="1"/>
                <w:szCs w:val="1"/>
                <w:lang w:val="fr-BE"/>
              </w:rPr>
            </w:pPr>
          </w:p>
        </w:tc>
      </w:tr>
    </w:tbl>
    <w:p w:rsidR="00AC12B4" w:rsidRPr="00C27636" w:rsidRDefault="00AC12B4">
      <w:pPr>
        <w:spacing w:line="159" w:lineRule="exact"/>
        <w:rPr>
          <w:sz w:val="20"/>
          <w:szCs w:val="20"/>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480"/>
        <w:gridCol w:w="320"/>
        <w:gridCol w:w="60"/>
        <w:gridCol w:w="80"/>
        <w:gridCol w:w="180"/>
        <w:gridCol w:w="20"/>
        <w:gridCol w:w="200"/>
        <w:gridCol w:w="20"/>
        <w:gridCol w:w="20"/>
        <w:gridCol w:w="160"/>
        <w:gridCol w:w="20"/>
        <w:gridCol w:w="160"/>
        <w:gridCol w:w="40"/>
        <w:gridCol w:w="20"/>
        <w:gridCol w:w="180"/>
        <w:gridCol w:w="20"/>
        <w:gridCol w:w="120"/>
        <w:gridCol w:w="80"/>
        <w:gridCol w:w="20"/>
        <w:gridCol w:w="60"/>
        <w:gridCol w:w="120"/>
        <w:gridCol w:w="20"/>
        <w:gridCol w:w="200"/>
        <w:gridCol w:w="20"/>
        <w:gridCol w:w="180"/>
        <w:gridCol w:w="20"/>
        <w:gridCol w:w="200"/>
        <w:gridCol w:w="20"/>
        <w:gridCol w:w="180"/>
        <w:gridCol w:w="20"/>
        <w:gridCol w:w="120"/>
        <w:gridCol w:w="20"/>
        <w:gridCol w:w="60"/>
        <w:gridCol w:w="20"/>
        <w:gridCol w:w="180"/>
        <w:gridCol w:w="20"/>
        <w:gridCol w:w="200"/>
        <w:gridCol w:w="20"/>
        <w:gridCol w:w="180"/>
        <w:gridCol w:w="20"/>
        <w:gridCol w:w="360"/>
        <w:gridCol w:w="420"/>
        <w:gridCol w:w="200"/>
        <w:gridCol w:w="80"/>
        <w:gridCol w:w="200"/>
        <w:gridCol w:w="340"/>
        <w:gridCol w:w="140"/>
        <w:gridCol w:w="500"/>
        <w:gridCol w:w="920"/>
        <w:gridCol w:w="420"/>
        <w:gridCol w:w="280"/>
        <w:gridCol w:w="440"/>
        <w:gridCol w:w="540"/>
        <w:gridCol w:w="680"/>
        <w:gridCol w:w="30"/>
      </w:tblGrid>
      <w:tr w:rsidR="00AC12B4">
        <w:trPr>
          <w:trHeight w:val="311"/>
        </w:trPr>
        <w:tc>
          <w:tcPr>
            <w:tcW w:w="4440" w:type="dxa"/>
            <w:gridSpan w:val="41"/>
            <w:vAlign w:val="bottom"/>
          </w:tcPr>
          <w:p w:rsidR="00AC12B4" w:rsidRPr="00C27636" w:rsidRDefault="00C27636">
            <w:pPr>
              <w:ind w:left="480"/>
              <w:rPr>
                <w:sz w:val="20"/>
                <w:szCs w:val="20"/>
                <w:lang w:val="fr-BE"/>
              </w:rPr>
            </w:pPr>
            <w:r w:rsidRPr="00C27636">
              <w:rPr>
                <w:rFonts w:ascii="Calibri" w:eastAsia="Calibri" w:hAnsi="Calibri" w:cs="Calibri"/>
                <w:lang w:val="fr-BE"/>
              </w:rPr>
              <w:t>La  Région  de  Bruxelles-Capitale  est</w:t>
            </w:r>
          </w:p>
        </w:tc>
        <w:tc>
          <w:tcPr>
            <w:tcW w:w="42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3320" w:type="dxa"/>
            <w:gridSpan w:val="9"/>
            <w:vAlign w:val="bottom"/>
          </w:tcPr>
          <w:p w:rsidR="00AC12B4" w:rsidRDefault="00C27636">
            <w:pPr>
              <w:rPr>
                <w:sz w:val="20"/>
                <w:szCs w:val="20"/>
              </w:rPr>
            </w:pPr>
            <w:r>
              <w:rPr>
                <w:rFonts w:ascii="Cambria" w:eastAsia="Cambria" w:hAnsi="Cambria" w:cs="Cambria"/>
                <w:b/>
                <w:bCs/>
                <w:i/>
                <w:iCs/>
                <w:color w:val="44ACE0"/>
                <w:sz w:val="26"/>
                <w:szCs w:val="26"/>
              </w:rPr>
              <w:t>D’où viennent ces chiffres ?</w:t>
            </w:r>
          </w:p>
        </w:tc>
        <w:tc>
          <w:tcPr>
            <w:tcW w:w="540" w:type="dxa"/>
            <w:vAlign w:val="bottom"/>
          </w:tcPr>
          <w:p w:rsidR="00AC12B4" w:rsidRDefault="00AC12B4">
            <w:pPr>
              <w:rPr>
                <w:sz w:val="24"/>
                <w:szCs w:val="24"/>
              </w:rPr>
            </w:pPr>
          </w:p>
        </w:tc>
        <w:tc>
          <w:tcPr>
            <w:tcW w:w="68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6"/>
        </w:trPr>
        <w:tc>
          <w:tcPr>
            <w:tcW w:w="2100" w:type="dxa"/>
            <w:gridSpan w:val="17"/>
            <w:vAlign w:val="bottom"/>
          </w:tcPr>
          <w:p w:rsidR="00AC12B4" w:rsidRDefault="00C27636">
            <w:pPr>
              <w:spacing w:line="225" w:lineRule="exact"/>
              <w:ind w:left="480"/>
              <w:rPr>
                <w:sz w:val="20"/>
                <w:szCs w:val="20"/>
              </w:rPr>
            </w:pPr>
            <w:r>
              <w:rPr>
                <w:rFonts w:ascii="Calibri" w:eastAsia="Calibri" w:hAnsi="Calibri" w:cs="Calibri"/>
              </w:rPr>
              <w:t>particulièrement</w:t>
            </w:r>
          </w:p>
        </w:tc>
        <w:tc>
          <w:tcPr>
            <w:tcW w:w="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1120" w:type="dxa"/>
            <w:gridSpan w:val="12"/>
            <w:vAlign w:val="bottom"/>
          </w:tcPr>
          <w:p w:rsidR="00AC12B4" w:rsidRDefault="00C27636">
            <w:pPr>
              <w:spacing w:line="225" w:lineRule="exact"/>
              <w:ind w:left="120"/>
              <w:rPr>
                <w:sz w:val="20"/>
                <w:szCs w:val="20"/>
              </w:rPr>
            </w:pPr>
            <w:r>
              <w:rPr>
                <w:rFonts w:ascii="Calibri" w:eastAsia="Calibri" w:hAnsi="Calibri" w:cs="Calibri"/>
              </w:rPr>
              <w:t>touchée</w:t>
            </w:r>
          </w:p>
        </w:tc>
        <w:tc>
          <w:tcPr>
            <w:tcW w:w="6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620" w:type="dxa"/>
            <w:gridSpan w:val="6"/>
            <w:vAlign w:val="bottom"/>
          </w:tcPr>
          <w:p w:rsidR="00AC12B4" w:rsidRDefault="00C27636">
            <w:pPr>
              <w:spacing w:line="225" w:lineRule="exact"/>
              <w:ind w:left="40"/>
              <w:rPr>
                <w:sz w:val="20"/>
                <w:szCs w:val="20"/>
              </w:rPr>
            </w:pPr>
            <w:r>
              <w:rPr>
                <w:rFonts w:ascii="Calibri" w:eastAsia="Calibri" w:hAnsi="Calibri" w:cs="Calibri"/>
              </w:rPr>
              <w:t>par</w:t>
            </w:r>
          </w:p>
        </w:tc>
        <w:tc>
          <w:tcPr>
            <w:tcW w:w="360" w:type="dxa"/>
            <w:vAlign w:val="bottom"/>
          </w:tcPr>
          <w:p w:rsidR="00AC12B4" w:rsidRDefault="00C27636">
            <w:pPr>
              <w:spacing w:line="225" w:lineRule="exact"/>
              <w:jc w:val="right"/>
              <w:rPr>
                <w:sz w:val="20"/>
                <w:szCs w:val="20"/>
              </w:rPr>
            </w:pPr>
            <w:r>
              <w:rPr>
                <w:rFonts w:ascii="Calibri" w:eastAsia="Calibri" w:hAnsi="Calibri" w:cs="Calibri"/>
              </w:rPr>
              <w:t>le</w:t>
            </w:r>
          </w:p>
        </w:tc>
        <w:tc>
          <w:tcPr>
            <w:tcW w:w="4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8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980" w:type="dxa"/>
            <w:gridSpan w:val="3"/>
            <w:vMerge w:val="restart"/>
            <w:vAlign w:val="bottom"/>
          </w:tcPr>
          <w:p w:rsidR="00AC12B4" w:rsidRDefault="00C27636">
            <w:pPr>
              <w:jc w:val="center"/>
              <w:rPr>
                <w:sz w:val="20"/>
                <w:szCs w:val="20"/>
              </w:rPr>
            </w:pPr>
            <w:r>
              <w:rPr>
                <w:rFonts w:ascii="Wingdings" w:eastAsia="Wingdings" w:hAnsi="Wingdings" w:cs="Wingdings"/>
                <w:color w:val="4BACC6"/>
                <w:w w:val="96"/>
              </w:rPr>
              <w:t></w:t>
            </w:r>
            <w:r>
              <w:rPr>
                <w:rFonts w:ascii="Wingdings" w:eastAsia="Wingdings" w:hAnsi="Wingdings" w:cs="Wingdings"/>
                <w:color w:val="4BACC6"/>
                <w:w w:val="96"/>
              </w:rPr>
              <w:t></w:t>
            </w:r>
            <w:r>
              <w:rPr>
                <w:rFonts w:ascii="Cambria" w:eastAsia="Cambria" w:hAnsi="Cambria" w:cs="Cambria"/>
                <w:i/>
                <w:iCs/>
                <w:color w:val="4BACC6"/>
                <w:w w:val="96"/>
              </w:rPr>
              <w:t>EFT</w:t>
            </w:r>
          </w:p>
        </w:tc>
        <w:tc>
          <w:tcPr>
            <w:tcW w:w="920" w:type="dxa"/>
            <w:vAlign w:val="bottom"/>
          </w:tcPr>
          <w:p w:rsidR="00AC12B4" w:rsidRDefault="00AC12B4">
            <w:pPr>
              <w:rPr>
                <w:sz w:val="19"/>
                <w:szCs w:val="19"/>
              </w:rPr>
            </w:pPr>
          </w:p>
        </w:tc>
        <w:tc>
          <w:tcPr>
            <w:tcW w:w="420" w:type="dxa"/>
            <w:vAlign w:val="bottom"/>
          </w:tcPr>
          <w:p w:rsidR="00AC12B4" w:rsidRDefault="00AC12B4">
            <w:pPr>
              <w:rPr>
                <w:sz w:val="19"/>
                <w:szCs w:val="19"/>
              </w:rPr>
            </w:pPr>
          </w:p>
        </w:tc>
        <w:tc>
          <w:tcPr>
            <w:tcW w:w="280" w:type="dxa"/>
            <w:vAlign w:val="bottom"/>
          </w:tcPr>
          <w:p w:rsidR="00AC12B4" w:rsidRDefault="00AC12B4">
            <w:pPr>
              <w:rPr>
                <w:sz w:val="19"/>
                <w:szCs w:val="19"/>
              </w:rPr>
            </w:pPr>
          </w:p>
        </w:tc>
        <w:tc>
          <w:tcPr>
            <w:tcW w:w="440" w:type="dxa"/>
            <w:vAlign w:val="bottom"/>
          </w:tcPr>
          <w:p w:rsidR="00AC12B4" w:rsidRDefault="00AC12B4">
            <w:pPr>
              <w:rPr>
                <w:sz w:val="19"/>
                <w:szCs w:val="19"/>
              </w:rPr>
            </w:pPr>
          </w:p>
        </w:tc>
        <w:tc>
          <w:tcPr>
            <w:tcW w:w="540" w:type="dxa"/>
            <w:vAlign w:val="bottom"/>
          </w:tcPr>
          <w:p w:rsidR="00AC12B4" w:rsidRDefault="00AC12B4">
            <w:pPr>
              <w:rPr>
                <w:sz w:val="19"/>
                <w:szCs w:val="19"/>
              </w:rPr>
            </w:pPr>
          </w:p>
        </w:tc>
        <w:tc>
          <w:tcPr>
            <w:tcW w:w="680" w:type="dxa"/>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rsidRPr="00C27636">
        <w:trPr>
          <w:trHeight w:val="198"/>
        </w:trPr>
        <w:tc>
          <w:tcPr>
            <w:tcW w:w="4440" w:type="dxa"/>
            <w:gridSpan w:val="41"/>
            <w:vMerge w:val="restart"/>
            <w:vAlign w:val="bottom"/>
          </w:tcPr>
          <w:p w:rsidR="00AC12B4" w:rsidRPr="00C27636" w:rsidRDefault="00C27636">
            <w:pPr>
              <w:ind w:left="480"/>
              <w:rPr>
                <w:sz w:val="20"/>
                <w:szCs w:val="20"/>
                <w:lang w:val="fr-BE"/>
              </w:rPr>
            </w:pPr>
            <w:r w:rsidRPr="00C27636">
              <w:rPr>
                <w:rFonts w:ascii="Calibri" w:eastAsia="Calibri" w:hAnsi="Calibri" w:cs="Calibri"/>
                <w:lang w:val="fr-BE"/>
              </w:rPr>
              <w:t>phénomène (17,7%) alors qu’en Flandre le</w:t>
            </w:r>
          </w:p>
        </w:tc>
        <w:tc>
          <w:tcPr>
            <w:tcW w:w="420" w:type="dxa"/>
            <w:vAlign w:val="bottom"/>
          </w:tcPr>
          <w:p w:rsidR="00AC12B4" w:rsidRPr="00C27636" w:rsidRDefault="00AC12B4">
            <w:pPr>
              <w:rPr>
                <w:sz w:val="17"/>
                <w:szCs w:val="17"/>
                <w:lang w:val="fr-BE"/>
              </w:rPr>
            </w:pPr>
          </w:p>
        </w:tc>
        <w:tc>
          <w:tcPr>
            <w:tcW w:w="200" w:type="dxa"/>
            <w:vAlign w:val="bottom"/>
          </w:tcPr>
          <w:p w:rsidR="00AC12B4" w:rsidRPr="00C27636" w:rsidRDefault="00AC12B4">
            <w:pPr>
              <w:rPr>
                <w:sz w:val="17"/>
                <w:szCs w:val="17"/>
                <w:lang w:val="fr-BE"/>
              </w:rPr>
            </w:pPr>
          </w:p>
        </w:tc>
        <w:tc>
          <w:tcPr>
            <w:tcW w:w="80" w:type="dxa"/>
            <w:vAlign w:val="bottom"/>
          </w:tcPr>
          <w:p w:rsidR="00AC12B4" w:rsidRPr="00C27636" w:rsidRDefault="00AC12B4">
            <w:pPr>
              <w:rPr>
                <w:sz w:val="17"/>
                <w:szCs w:val="17"/>
                <w:lang w:val="fr-BE"/>
              </w:rPr>
            </w:pPr>
          </w:p>
        </w:tc>
        <w:tc>
          <w:tcPr>
            <w:tcW w:w="200" w:type="dxa"/>
            <w:vAlign w:val="bottom"/>
          </w:tcPr>
          <w:p w:rsidR="00AC12B4" w:rsidRPr="00C27636" w:rsidRDefault="00AC12B4">
            <w:pPr>
              <w:rPr>
                <w:sz w:val="17"/>
                <w:szCs w:val="17"/>
                <w:lang w:val="fr-BE"/>
              </w:rPr>
            </w:pPr>
          </w:p>
        </w:tc>
        <w:tc>
          <w:tcPr>
            <w:tcW w:w="980" w:type="dxa"/>
            <w:gridSpan w:val="3"/>
            <w:vMerge/>
            <w:vAlign w:val="bottom"/>
          </w:tcPr>
          <w:p w:rsidR="00AC12B4" w:rsidRPr="00C27636" w:rsidRDefault="00AC12B4">
            <w:pPr>
              <w:rPr>
                <w:sz w:val="17"/>
                <w:szCs w:val="17"/>
                <w:lang w:val="fr-BE"/>
              </w:rPr>
            </w:pPr>
          </w:p>
        </w:tc>
        <w:tc>
          <w:tcPr>
            <w:tcW w:w="920" w:type="dxa"/>
            <w:vAlign w:val="bottom"/>
          </w:tcPr>
          <w:p w:rsidR="00AC12B4" w:rsidRPr="00C27636" w:rsidRDefault="00AC12B4">
            <w:pPr>
              <w:rPr>
                <w:sz w:val="17"/>
                <w:szCs w:val="17"/>
                <w:lang w:val="fr-BE"/>
              </w:rPr>
            </w:pPr>
          </w:p>
        </w:tc>
        <w:tc>
          <w:tcPr>
            <w:tcW w:w="420" w:type="dxa"/>
            <w:vAlign w:val="bottom"/>
          </w:tcPr>
          <w:p w:rsidR="00AC12B4" w:rsidRPr="00C27636" w:rsidRDefault="00AC12B4">
            <w:pPr>
              <w:rPr>
                <w:sz w:val="17"/>
                <w:szCs w:val="17"/>
                <w:lang w:val="fr-BE"/>
              </w:rPr>
            </w:pPr>
          </w:p>
        </w:tc>
        <w:tc>
          <w:tcPr>
            <w:tcW w:w="280" w:type="dxa"/>
            <w:vAlign w:val="bottom"/>
          </w:tcPr>
          <w:p w:rsidR="00AC12B4" w:rsidRPr="00C27636" w:rsidRDefault="00AC12B4">
            <w:pPr>
              <w:rPr>
                <w:sz w:val="17"/>
                <w:szCs w:val="17"/>
                <w:lang w:val="fr-BE"/>
              </w:rPr>
            </w:pPr>
          </w:p>
        </w:tc>
        <w:tc>
          <w:tcPr>
            <w:tcW w:w="440" w:type="dxa"/>
            <w:vAlign w:val="bottom"/>
          </w:tcPr>
          <w:p w:rsidR="00AC12B4" w:rsidRPr="00C27636" w:rsidRDefault="00AC12B4">
            <w:pPr>
              <w:rPr>
                <w:sz w:val="17"/>
                <w:szCs w:val="17"/>
                <w:lang w:val="fr-BE"/>
              </w:rPr>
            </w:pPr>
          </w:p>
        </w:tc>
        <w:tc>
          <w:tcPr>
            <w:tcW w:w="540" w:type="dxa"/>
            <w:vAlign w:val="bottom"/>
          </w:tcPr>
          <w:p w:rsidR="00AC12B4" w:rsidRPr="00C27636" w:rsidRDefault="00AC12B4">
            <w:pPr>
              <w:rPr>
                <w:sz w:val="17"/>
                <w:szCs w:val="17"/>
                <w:lang w:val="fr-BE"/>
              </w:rPr>
            </w:pPr>
          </w:p>
        </w:tc>
        <w:tc>
          <w:tcPr>
            <w:tcW w:w="680" w:type="dxa"/>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71"/>
        </w:trPr>
        <w:tc>
          <w:tcPr>
            <w:tcW w:w="4440" w:type="dxa"/>
            <w:gridSpan w:val="41"/>
            <w:vMerge/>
            <w:vAlign w:val="bottom"/>
          </w:tcPr>
          <w:p w:rsidR="00AC12B4" w:rsidRPr="00C27636" w:rsidRDefault="00AC12B4">
            <w:pPr>
              <w:rPr>
                <w:sz w:val="6"/>
                <w:szCs w:val="6"/>
                <w:lang w:val="fr-BE"/>
              </w:rPr>
            </w:pPr>
          </w:p>
        </w:tc>
        <w:tc>
          <w:tcPr>
            <w:tcW w:w="42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340" w:type="dxa"/>
            <w:vAlign w:val="bottom"/>
          </w:tcPr>
          <w:p w:rsidR="00AC12B4" w:rsidRPr="00C27636" w:rsidRDefault="00AC12B4">
            <w:pPr>
              <w:rPr>
                <w:sz w:val="6"/>
                <w:szCs w:val="6"/>
                <w:lang w:val="fr-BE"/>
              </w:rPr>
            </w:pPr>
          </w:p>
        </w:tc>
        <w:tc>
          <w:tcPr>
            <w:tcW w:w="140" w:type="dxa"/>
            <w:vAlign w:val="bottom"/>
          </w:tcPr>
          <w:p w:rsidR="00AC12B4" w:rsidRPr="00C27636" w:rsidRDefault="00AC12B4">
            <w:pPr>
              <w:rPr>
                <w:sz w:val="6"/>
                <w:szCs w:val="6"/>
                <w:lang w:val="fr-BE"/>
              </w:rPr>
            </w:pPr>
          </w:p>
        </w:tc>
        <w:tc>
          <w:tcPr>
            <w:tcW w:w="500" w:type="dxa"/>
            <w:vAlign w:val="bottom"/>
          </w:tcPr>
          <w:p w:rsidR="00AC12B4" w:rsidRPr="00C27636" w:rsidRDefault="00AC12B4">
            <w:pPr>
              <w:rPr>
                <w:sz w:val="6"/>
                <w:szCs w:val="6"/>
                <w:lang w:val="fr-BE"/>
              </w:rPr>
            </w:pPr>
          </w:p>
        </w:tc>
        <w:tc>
          <w:tcPr>
            <w:tcW w:w="920" w:type="dxa"/>
            <w:vAlign w:val="bottom"/>
          </w:tcPr>
          <w:p w:rsidR="00AC12B4" w:rsidRPr="00C27636" w:rsidRDefault="00AC12B4">
            <w:pPr>
              <w:rPr>
                <w:sz w:val="6"/>
                <w:szCs w:val="6"/>
                <w:lang w:val="fr-BE"/>
              </w:rPr>
            </w:pPr>
          </w:p>
        </w:tc>
        <w:tc>
          <w:tcPr>
            <w:tcW w:w="420" w:type="dxa"/>
            <w:vAlign w:val="bottom"/>
          </w:tcPr>
          <w:p w:rsidR="00AC12B4" w:rsidRPr="00C27636" w:rsidRDefault="00AC12B4">
            <w:pPr>
              <w:rPr>
                <w:sz w:val="6"/>
                <w:szCs w:val="6"/>
                <w:lang w:val="fr-BE"/>
              </w:rPr>
            </w:pPr>
          </w:p>
        </w:tc>
        <w:tc>
          <w:tcPr>
            <w:tcW w:w="280" w:type="dxa"/>
            <w:vAlign w:val="bottom"/>
          </w:tcPr>
          <w:p w:rsidR="00AC12B4" w:rsidRPr="00C27636" w:rsidRDefault="00AC12B4">
            <w:pPr>
              <w:rPr>
                <w:sz w:val="6"/>
                <w:szCs w:val="6"/>
                <w:lang w:val="fr-BE"/>
              </w:rPr>
            </w:pPr>
          </w:p>
        </w:tc>
        <w:tc>
          <w:tcPr>
            <w:tcW w:w="440" w:type="dxa"/>
            <w:vAlign w:val="bottom"/>
          </w:tcPr>
          <w:p w:rsidR="00AC12B4" w:rsidRPr="00C27636" w:rsidRDefault="00AC12B4">
            <w:pPr>
              <w:rPr>
                <w:sz w:val="6"/>
                <w:szCs w:val="6"/>
                <w:lang w:val="fr-BE"/>
              </w:rPr>
            </w:pPr>
          </w:p>
        </w:tc>
        <w:tc>
          <w:tcPr>
            <w:tcW w:w="540" w:type="dxa"/>
            <w:vAlign w:val="bottom"/>
          </w:tcPr>
          <w:p w:rsidR="00AC12B4" w:rsidRPr="00C27636" w:rsidRDefault="00AC12B4">
            <w:pPr>
              <w:rPr>
                <w:sz w:val="6"/>
                <w:szCs w:val="6"/>
                <w:lang w:val="fr-BE"/>
              </w:rPr>
            </w:pPr>
          </w:p>
        </w:tc>
        <w:tc>
          <w:tcPr>
            <w:tcW w:w="68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440" w:type="dxa"/>
            <w:gridSpan w:val="41"/>
            <w:vAlign w:val="bottom"/>
          </w:tcPr>
          <w:p w:rsidR="00AC12B4" w:rsidRDefault="00C27636">
            <w:pPr>
              <w:ind w:left="480"/>
              <w:rPr>
                <w:sz w:val="20"/>
                <w:szCs w:val="20"/>
              </w:rPr>
            </w:pPr>
            <w:r>
              <w:rPr>
                <w:rFonts w:ascii="Calibri" w:eastAsia="Calibri" w:hAnsi="Calibri" w:cs="Calibri"/>
              </w:rPr>
              <w:t>pourcentage d’interruption prématurée de</w:t>
            </w:r>
          </w:p>
        </w:tc>
        <w:tc>
          <w:tcPr>
            <w:tcW w:w="42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4540" w:type="dxa"/>
            <w:gridSpan w:val="11"/>
            <w:vMerge w:val="restart"/>
            <w:vAlign w:val="bottom"/>
          </w:tcPr>
          <w:p w:rsidR="00AC12B4" w:rsidRPr="00C27636" w:rsidRDefault="00C27636">
            <w:pPr>
              <w:rPr>
                <w:sz w:val="20"/>
                <w:szCs w:val="20"/>
                <w:lang w:val="fr-BE"/>
              </w:rPr>
            </w:pPr>
            <w:r w:rsidRPr="00C27636">
              <w:rPr>
                <w:rFonts w:ascii="Calibri" w:eastAsia="Calibri" w:hAnsi="Calibri" w:cs="Calibri"/>
                <w:lang w:val="fr-BE"/>
              </w:rPr>
              <w:t>L’enquête par sondage sur les forces de</w:t>
            </w:r>
          </w:p>
        </w:tc>
        <w:tc>
          <w:tcPr>
            <w:tcW w:w="0" w:type="dxa"/>
            <w:vAlign w:val="bottom"/>
          </w:tcPr>
          <w:p w:rsidR="00AC12B4" w:rsidRPr="00C27636" w:rsidRDefault="00AC12B4">
            <w:pPr>
              <w:rPr>
                <w:sz w:val="1"/>
                <w:szCs w:val="1"/>
                <w:lang w:val="fr-BE"/>
              </w:rPr>
            </w:pPr>
          </w:p>
        </w:tc>
      </w:tr>
      <w:tr w:rsidR="00AC12B4" w:rsidRPr="00C27636">
        <w:trPr>
          <w:trHeight w:val="82"/>
        </w:trPr>
        <w:tc>
          <w:tcPr>
            <w:tcW w:w="4440" w:type="dxa"/>
            <w:gridSpan w:val="41"/>
            <w:vMerge w:val="restart"/>
            <w:vAlign w:val="bottom"/>
          </w:tcPr>
          <w:p w:rsidR="00AC12B4" w:rsidRPr="00C27636" w:rsidRDefault="00C27636">
            <w:pPr>
              <w:ind w:left="480"/>
              <w:rPr>
                <w:sz w:val="20"/>
                <w:szCs w:val="20"/>
                <w:lang w:val="fr-BE"/>
              </w:rPr>
            </w:pPr>
            <w:r w:rsidRPr="00C27636">
              <w:rPr>
                <w:rFonts w:ascii="Calibri" w:eastAsia="Calibri" w:hAnsi="Calibri" w:cs="Calibri"/>
                <w:lang w:val="fr-BE"/>
              </w:rPr>
              <w:t>scolarité se situe autour de 7.5% (Statbel</w:t>
            </w:r>
          </w:p>
        </w:tc>
        <w:tc>
          <w:tcPr>
            <w:tcW w:w="420" w:type="dxa"/>
            <w:vAlign w:val="bottom"/>
          </w:tcPr>
          <w:p w:rsidR="00AC12B4" w:rsidRPr="00C27636" w:rsidRDefault="00AC12B4">
            <w:pPr>
              <w:rPr>
                <w:sz w:val="7"/>
                <w:szCs w:val="7"/>
                <w:lang w:val="fr-BE"/>
              </w:rPr>
            </w:pPr>
          </w:p>
        </w:tc>
        <w:tc>
          <w:tcPr>
            <w:tcW w:w="200" w:type="dxa"/>
            <w:vAlign w:val="bottom"/>
          </w:tcPr>
          <w:p w:rsidR="00AC12B4" w:rsidRPr="00C27636" w:rsidRDefault="00AC12B4">
            <w:pPr>
              <w:rPr>
                <w:sz w:val="7"/>
                <w:szCs w:val="7"/>
                <w:lang w:val="fr-BE"/>
              </w:rPr>
            </w:pPr>
          </w:p>
        </w:tc>
        <w:tc>
          <w:tcPr>
            <w:tcW w:w="4540" w:type="dxa"/>
            <w:gridSpan w:val="11"/>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187"/>
        </w:trPr>
        <w:tc>
          <w:tcPr>
            <w:tcW w:w="4440" w:type="dxa"/>
            <w:gridSpan w:val="41"/>
            <w:vMerge/>
            <w:vAlign w:val="bottom"/>
          </w:tcPr>
          <w:p w:rsidR="00AC12B4" w:rsidRPr="00C27636" w:rsidRDefault="00AC12B4">
            <w:pPr>
              <w:rPr>
                <w:sz w:val="16"/>
                <w:szCs w:val="16"/>
                <w:lang w:val="fr-BE"/>
              </w:rPr>
            </w:pPr>
          </w:p>
        </w:tc>
        <w:tc>
          <w:tcPr>
            <w:tcW w:w="420" w:type="dxa"/>
            <w:vAlign w:val="bottom"/>
          </w:tcPr>
          <w:p w:rsidR="00AC12B4" w:rsidRPr="00C27636" w:rsidRDefault="00AC12B4">
            <w:pPr>
              <w:rPr>
                <w:sz w:val="16"/>
                <w:szCs w:val="16"/>
                <w:lang w:val="fr-BE"/>
              </w:rPr>
            </w:pPr>
          </w:p>
        </w:tc>
        <w:tc>
          <w:tcPr>
            <w:tcW w:w="200" w:type="dxa"/>
            <w:vAlign w:val="bottom"/>
          </w:tcPr>
          <w:p w:rsidR="00AC12B4" w:rsidRPr="00C27636" w:rsidRDefault="00AC12B4">
            <w:pPr>
              <w:rPr>
                <w:sz w:val="16"/>
                <w:szCs w:val="16"/>
                <w:lang w:val="fr-BE"/>
              </w:rPr>
            </w:pPr>
          </w:p>
        </w:tc>
        <w:tc>
          <w:tcPr>
            <w:tcW w:w="620" w:type="dxa"/>
            <w:gridSpan w:val="3"/>
            <w:vMerge w:val="restart"/>
            <w:vAlign w:val="bottom"/>
          </w:tcPr>
          <w:p w:rsidR="00AC12B4" w:rsidRDefault="00C27636">
            <w:pPr>
              <w:rPr>
                <w:sz w:val="20"/>
                <w:szCs w:val="20"/>
              </w:rPr>
            </w:pPr>
            <w:r>
              <w:rPr>
                <w:rFonts w:ascii="Calibri" w:eastAsia="Calibri" w:hAnsi="Calibri" w:cs="Calibri"/>
              </w:rPr>
              <w:t>travail</w:t>
            </w:r>
          </w:p>
        </w:tc>
        <w:tc>
          <w:tcPr>
            <w:tcW w:w="640" w:type="dxa"/>
            <w:gridSpan w:val="2"/>
            <w:vMerge w:val="restart"/>
            <w:vAlign w:val="bottom"/>
          </w:tcPr>
          <w:p w:rsidR="00AC12B4" w:rsidRDefault="00C27636">
            <w:pPr>
              <w:ind w:left="100"/>
              <w:rPr>
                <w:sz w:val="20"/>
                <w:szCs w:val="20"/>
              </w:rPr>
            </w:pPr>
            <w:r>
              <w:rPr>
                <w:rFonts w:ascii="Calibri" w:eastAsia="Calibri" w:hAnsi="Calibri" w:cs="Calibri"/>
              </w:rPr>
              <w:t>(EFT)</w:t>
            </w:r>
          </w:p>
        </w:tc>
        <w:tc>
          <w:tcPr>
            <w:tcW w:w="920" w:type="dxa"/>
            <w:vMerge w:val="restart"/>
            <w:vAlign w:val="bottom"/>
          </w:tcPr>
          <w:p w:rsidR="00AC12B4" w:rsidRDefault="00C27636">
            <w:pPr>
              <w:jc w:val="center"/>
              <w:rPr>
                <w:sz w:val="20"/>
                <w:szCs w:val="20"/>
              </w:rPr>
            </w:pPr>
            <w:r>
              <w:rPr>
                <w:rFonts w:ascii="Calibri" w:eastAsia="Calibri" w:hAnsi="Calibri" w:cs="Calibri"/>
              </w:rPr>
              <w:t>effectuée</w:t>
            </w:r>
          </w:p>
        </w:tc>
        <w:tc>
          <w:tcPr>
            <w:tcW w:w="420" w:type="dxa"/>
            <w:vMerge w:val="restart"/>
            <w:vAlign w:val="bottom"/>
          </w:tcPr>
          <w:p w:rsidR="00AC12B4" w:rsidRDefault="00C27636">
            <w:pPr>
              <w:jc w:val="right"/>
              <w:rPr>
                <w:sz w:val="20"/>
                <w:szCs w:val="20"/>
              </w:rPr>
            </w:pPr>
            <w:r>
              <w:rPr>
                <w:rFonts w:ascii="Calibri" w:eastAsia="Calibri" w:hAnsi="Calibri" w:cs="Calibri"/>
              </w:rPr>
              <w:t>en</w:t>
            </w:r>
          </w:p>
        </w:tc>
        <w:tc>
          <w:tcPr>
            <w:tcW w:w="1940" w:type="dxa"/>
            <w:gridSpan w:val="4"/>
            <w:vMerge w:val="restart"/>
            <w:vAlign w:val="bottom"/>
          </w:tcPr>
          <w:p w:rsidR="00AC12B4" w:rsidRDefault="00C27636">
            <w:pPr>
              <w:ind w:right="660"/>
              <w:jc w:val="right"/>
              <w:rPr>
                <w:sz w:val="20"/>
                <w:szCs w:val="20"/>
              </w:rPr>
            </w:pPr>
            <w:r>
              <w:rPr>
                <w:rFonts w:ascii="Calibri" w:eastAsia="Calibri" w:hAnsi="Calibri" w:cs="Calibri"/>
              </w:rPr>
              <w:t>Belgique par</w:t>
            </w:r>
          </w:p>
        </w:tc>
        <w:tc>
          <w:tcPr>
            <w:tcW w:w="0" w:type="dxa"/>
            <w:vAlign w:val="bottom"/>
          </w:tcPr>
          <w:p w:rsidR="00AC12B4" w:rsidRDefault="00AC12B4">
            <w:pPr>
              <w:rPr>
                <w:sz w:val="1"/>
                <w:szCs w:val="1"/>
              </w:rPr>
            </w:pPr>
          </w:p>
        </w:tc>
      </w:tr>
      <w:tr w:rsidR="00AC12B4">
        <w:trPr>
          <w:trHeight w:val="82"/>
        </w:trPr>
        <w:tc>
          <w:tcPr>
            <w:tcW w:w="1120" w:type="dxa"/>
            <w:gridSpan w:val="5"/>
            <w:vMerge w:val="restart"/>
            <w:vAlign w:val="bottom"/>
          </w:tcPr>
          <w:p w:rsidR="00AC12B4" w:rsidRDefault="00C27636">
            <w:pPr>
              <w:ind w:left="480"/>
              <w:rPr>
                <w:sz w:val="20"/>
                <w:szCs w:val="20"/>
              </w:rPr>
            </w:pPr>
            <w:r>
              <w:rPr>
                <w:rFonts w:ascii="Calibri" w:eastAsia="Calibri" w:hAnsi="Calibri" w:cs="Calibri"/>
              </w:rPr>
              <w:t>2013).</w:t>
            </w: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6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620" w:type="dxa"/>
            <w:gridSpan w:val="3"/>
            <w:vMerge/>
            <w:vAlign w:val="bottom"/>
          </w:tcPr>
          <w:p w:rsidR="00AC12B4" w:rsidRDefault="00AC12B4">
            <w:pPr>
              <w:rPr>
                <w:sz w:val="7"/>
                <w:szCs w:val="7"/>
              </w:rPr>
            </w:pPr>
          </w:p>
        </w:tc>
        <w:tc>
          <w:tcPr>
            <w:tcW w:w="640" w:type="dxa"/>
            <w:gridSpan w:val="2"/>
            <w:vMerge/>
            <w:vAlign w:val="bottom"/>
          </w:tcPr>
          <w:p w:rsidR="00AC12B4" w:rsidRDefault="00AC12B4">
            <w:pPr>
              <w:rPr>
                <w:sz w:val="7"/>
                <w:szCs w:val="7"/>
              </w:rPr>
            </w:pPr>
          </w:p>
        </w:tc>
        <w:tc>
          <w:tcPr>
            <w:tcW w:w="920" w:type="dxa"/>
            <w:vMerge/>
            <w:vAlign w:val="bottom"/>
          </w:tcPr>
          <w:p w:rsidR="00AC12B4" w:rsidRDefault="00AC12B4">
            <w:pPr>
              <w:rPr>
                <w:sz w:val="7"/>
                <w:szCs w:val="7"/>
              </w:rPr>
            </w:pPr>
          </w:p>
        </w:tc>
        <w:tc>
          <w:tcPr>
            <w:tcW w:w="420" w:type="dxa"/>
            <w:vMerge/>
            <w:vAlign w:val="bottom"/>
          </w:tcPr>
          <w:p w:rsidR="00AC12B4" w:rsidRDefault="00AC12B4">
            <w:pPr>
              <w:rPr>
                <w:sz w:val="7"/>
                <w:szCs w:val="7"/>
              </w:rPr>
            </w:pPr>
          </w:p>
        </w:tc>
        <w:tc>
          <w:tcPr>
            <w:tcW w:w="1940" w:type="dxa"/>
            <w:gridSpan w:val="4"/>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187"/>
        </w:trPr>
        <w:tc>
          <w:tcPr>
            <w:tcW w:w="1120" w:type="dxa"/>
            <w:gridSpan w:val="5"/>
            <w:vMerge/>
            <w:vAlign w:val="bottom"/>
          </w:tcPr>
          <w:p w:rsidR="00AC12B4" w:rsidRDefault="00AC12B4">
            <w:pPr>
              <w:rPr>
                <w:sz w:val="16"/>
                <w:szCs w:val="16"/>
              </w:rPr>
            </w:pPr>
          </w:p>
        </w:tc>
        <w:tc>
          <w:tcPr>
            <w:tcW w:w="2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6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60" w:type="dxa"/>
            <w:vAlign w:val="bottom"/>
          </w:tcPr>
          <w:p w:rsidR="00AC12B4" w:rsidRDefault="00AC12B4">
            <w:pPr>
              <w:rPr>
                <w:sz w:val="16"/>
                <w:szCs w:val="16"/>
              </w:rPr>
            </w:pPr>
          </w:p>
        </w:tc>
        <w:tc>
          <w:tcPr>
            <w:tcW w:w="4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60" w:type="dxa"/>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6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180" w:type="dxa"/>
            <w:vAlign w:val="bottom"/>
          </w:tcPr>
          <w:p w:rsidR="00AC12B4" w:rsidRDefault="00AC12B4">
            <w:pPr>
              <w:rPr>
                <w:sz w:val="16"/>
                <w:szCs w:val="16"/>
              </w:rPr>
            </w:pPr>
          </w:p>
        </w:tc>
        <w:tc>
          <w:tcPr>
            <w:tcW w:w="20" w:type="dxa"/>
            <w:vAlign w:val="bottom"/>
          </w:tcPr>
          <w:p w:rsidR="00AC12B4" w:rsidRDefault="00AC12B4">
            <w:pPr>
              <w:rPr>
                <w:sz w:val="16"/>
                <w:szCs w:val="16"/>
              </w:rPr>
            </w:pPr>
          </w:p>
        </w:tc>
        <w:tc>
          <w:tcPr>
            <w:tcW w:w="360" w:type="dxa"/>
            <w:vAlign w:val="bottom"/>
          </w:tcPr>
          <w:p w:rsidR="00AC12B4" w:rsidRDefault="00AC12B4">
            <w:pPr>
              <w:rPr>
                <w:sz w:val="16"/>
                <w:szCs w:val="16"/>
              </w:rPr>
            </w:pPr>
          </w:p>
        </w:tc>
        <w:tc>
          <w:tcPr>
            <w:tcW w:w="42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4540" w:type="dxa"/>
            <w:gridSpan w:val="11"/>
            <w:vMerge w:val="restart"/>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 xml:space="preserve">Statbel est une enquête </w:t>
            </w:r>
            <w:r w:rsidRPr="00C27636">
              <w:rPr>
                <w:rFonts w:ascii="Calibri" w:eastAsia="Calibri" w:hAnsi="Calibri" w:cs="Calibri"/>
                <w:lang w:val="fr-BE"/>
              </w:rPr>
              <w:t>socio-économique</w:t>
            </w:r>
          </w:p>
        </w:tc>
        <w:tc>
          <w:tcPr>
            <w:tcW w:w="0" w:type="dxa"/>
            <w:vAlign w:val="bottom"/>
          </w:tcPr>
          <w:p w:rsidR="00AC12B4" w:rsidRPr="00C27636" w:rsidRDefault="00AC12B4">
            <w:pPr>
              <w:rPr>
                <w:sz w:val="1"/>
                <w:szCs w:val="1"/>
                <w:lang w:val="fr-BE"/>
              </w:rPr>
            </w:pPr>
          </w:p>
        </w:tc>
      </w:tr>
      <w:tr w:rsidR="00AC12B4" w:rsidRPr="00C27636">
        <w:trPr>
          <w:trHeight w:val="79"/>
        </w:trPr>
        <w:tc>
          <w:tcPr>
            <w:tcW w:w="480" w:type="dxa"/>
            <w:vAlign w:val="bottom"/>
          </w:tcPr>
          <w:p w:rsidR="00AC12B4" w:rsidRPr="00C27636" w:rsidRDefault="00AC12B4">
            <w:pPr>
              <w:rPr>
                <w:sz w:val="6"/>
                <w:szCs w:val="6"/>
                <w:lang w:val="fr-BE"/>
              </w:rPr>
            </w:pPr>
          </w:p>
        </w:tc>
        <w:tc>
          <w:tcPr>
            <w:tcW w:w="320" w:type="dxa"/>
            <w:vAlign w:val="bottom"/>
          </w:tcPr>
          <w:p w:rsidR="00AC12B4" w:rsidRPr="00C27636" w:rsidRDefault="00AC12B4">
            <w:pPr>
              <w:rPr>
                <w:sz w:val="6"/>
                <w:szCs w:val="6"/>
                <w:lang w:val="fr-BE"/>
              </w:rPr>
            </w:pPr>
          </w:p>
        </w:tc>
        <w:tc>
          <w:tcPr>
            <w:tcW w:w="6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1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6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60" w:type="dxa"/>
            <w:vAlign w:val="bottom"/>
          </w:tcPr>
          <w:p w:rsidR="00AC12B4" w:rsidRPr="00C27636" w:rsidRDefault="00AC12B4">
            <w:pPr>
              <w:rPr>
                <w:sz w:val="6"/>
                <w:szCs w:val="6"/>
                <w:lang w:val="fr-BE"/>
              </w:rPr>
            </w:pPr>
          </w:p>
        </w:tc>
        <w:tc>
          <w:tcPr>
            <w:tcW w:w="4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6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6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180" w:type="dxa"/>
            <w:vAlign w:val="bottom"/>
          </w:tcPr>
          <w:p w:rsidR="00AC12B4" w:rsidRPr="00C27636" w:rsidRDefault="00AC12B4">
            <w:pPr>
              <w:rPr>
                <w:sz w:val="6"/>
                <w:szCs w:val="6"/>
                <w:lang w:val="fr-BE"/>
              </w:rPr>
            </w:pPr>
          </w:p>
        </w:tc>
        <w:tc>
          <w:tcPr>
            <w:tcW w:w="20" w:type="dxa"/>
            <w:vAlign w:val="bottom"/>
          </w:tcPr>
          <w:p w:rsidR="00AC12B4" w:rsidRPr="00C27636" w:rsidRDefault="00AC12B4">
            <w:pPr>
              <w:rPr>
                <w:sz w:val="6"/>
                <w:szCs w:val="6"/>
                <w:lang w:val="fr-BE"/>
              </w:rPr>
            </w:pPr>
          </w:p>
        </w:tc>
        <w:tc>
          <w:tcPr>
            <w:tcW w:w="360" w:type="dxa"/>
            <w:vAlign w:val="bottom"/>
          </w:tcPr>
          <w:p w:rsidR="00AC12B4" w:rsidRPr="00C27636" w:rsidRDefault="00AC12B4">
            <w:pPr>
              <w:rPr>
                <w:sz w:val="6"/>
                <w:szCs w:val="6"/>
                <w:lang w:val="fr-BE"/>
              </w:rPr>
            </w:pPr>
          </w:p>
        </w:tc>
        <w:tc>
          <w:tcPr>
            <w:tcW w:w="42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4540" w:type="dxa"/>
            <w:gridSpan w:val="11"/>
            <w:vMerge/>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307"/>
        </w:trPr>
        <w:tc>
          <w:tcPr>
            <w:tcW w:w="4440" w:type="dxa"/>
            <w:gridSpan w:val="41"/>
            <w:vAlign w:val="bottom"/>
          </w:tcPr>
          <w:p w:rsidR="00AC12B4" w:rsidRPr="00C27636" w:rsidRDefault="00C27636">
            <w:pPr>
              <w:ind w:left="480"/>
              <w:rPr>
                <w:sz w:val="20"/>
                <w:szCs w:val="20"/>
                <w:lang w:val="fr-BE"/>
              </w:rPr>
            </w:pPr>
            <w:r w:rsidRPr="00C27636">
              <w:rPr>
                <w:rFonts w:ascii="Calibri" w:eastAsia="Calibri" w:hAnsi="Calibri" w:cs="Calibri"/>
                <w:lang w:val="fr-BE"/>
              </w:rPr>
              <w:t>Les hommes sont également plus touchés</w:t>
            </w:r>
          </w:p>
        </w:tc>
        <w:tc>
          <w:tcPr>
            <w:tcW w:w="42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4540" w:type="dxa"/>
            <w:gridSpan w:val="11"/>
            <w:vAlign w:val="bottom"/>
          </w:tcPr>
          <w:p w:rsidR="00AC12B4" w:rsidRPr="00C27636" w:rsidRDefault="00C27636">
            <w:pPr>
              <w:rPr>
                <w:sz w:val="20"/>
                <w:szCs w:val="20"/>
                <w:lang w:val="fr-BE"/>
              </w:rPr>
            </w:pPr>
            <w:r w:rsidRPr="00C27636">
              <w:rPr>
                <w:rFonts w:ascii="Calibri" w:eastAsia="Calibri" w:hAnsi="Calibri" w:cs="Calibri"/>
                <w:lang w:val="fr-BE"/>
              </w:rPr>
              <w:t>auprès de 15.000 ménages par trimestre</w:t>
            </w:r>
          </w:p>
        </w:tc>
        <w:tc>
          <w:tcPr>
            <w:tcW w:w="0" w:type="dxa"/>
            <w:vAlign w:val="bottom"/>
          </w:tcPr>
          <w:p w:rsidR="00AC12B4" w:rsidRPr="00C27636" w:rsidRDefault="00AC12B4">
            <w:pPr>
              <w:rPr>
                <w:sz w:val="1"/>
                <w:szCs w:val="1"/>
                <w:lang w:val="fr-BE"/>
              </w:rPr>
            </w:pPr>
          </w:p>
        </w:tc>
      </w:tr>
      <w:tr w:rsidR="00AC12B4" w:rsidRPr="00C27636">
        <w:trPr>
          <w:trHeight w:val="280"/>
        </w:trPr>
        <w:tc>
          <w:tcPr>
            <w:tcW w:w="2100" w:type="dxa"/>
            <w:gridSpan w:val="17"/>
            <w:vAlign w:val="bottom"/>
          </w:tcPr>
          <w:p w:rsidR="00AC12B4" w:rsidRDefault="00C27636">
            <w:pPr>
              <w:spacing w:line="279" w:lineRule="exact"/>
              <w:ind w:left="480"/>
              <w:rPr>
                <w:sz w:val="20"/>
                <w:szCs w:val="20"/>
              </w:rPr>
            </w:pPr>
            <w:r>
              <w:rPr>
                <w:rFonts w:ascii="Calibri" w:eastAsia="Calibri" w:hAnsi="Calibri" w:cs="Calibri"/>
              </w:rPr>
              <w:t xml:space="preserve">que les </w:t>
            </w:r>
            <w:r>
              <w:rPr>
                <w:rFonts w:ascii="Calibri" w:eastAsia="Calibri" w:hAnsi="Calibri" w:cs="Calibri"/>
              </w:rPr>
              <w:lastRenderedPageBreak/>
              <w:t>femmes</w:t>
            </w:r>
            <w:r>
              <w:rPr>
                <w:rFonts w:ascii="Calibri" w:eastAsia="Calibri" w:hAnsi="Calibri" w:cs="Calibri"/>
                <w:sz w:val="27"/>
                <w:szCs w:val="27"/>
                <w:vertAlign w:val="superscript"/>
              </w:rPr>
              <w:t>1</w:t>
            </w:r>
            <w:r>
              <w:rPr>
                <w:rFonts w:ascii="Calibri" w:eastAsia="Calibri" w:hAnsi="Calibri" w:cs="Calibri"/>
              </w:rPr>
              <w:t>.</w:t>
            </w:r>
          </w:p>
        </w:tc>
        <w:tc>
          <w:tcPr>
            <w:tcW w:w="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4540" w:type="dxa"/>
            <w:gridSpan w:val="11"/>
            <w:vAlign w:val="bottom"/>
          </w:tcPr>
          <w:p w:rsidR="00AC12B4" w:rsidRPr="00C27636" w:rsidRDefault="00C27636">
            <w:pPr>
              <w:spacing w:line="230" w:lineRule="exact"/>
              <w:rPr>
                <w:sz w:val="20"/>
                <w:szCs w:val="20"/>
                <w:lang w:val="fr-BE"/>
              </w:rPr>
            </w:pPr>
            <w:r w:rsidRPr="00C27636">
              <w:rPr>
                <w:rFonts w:ascii="Calibri" w:eastAsia="Calibri" w:hAnsi="Calibri" w:cs="Calibri"/>
                <w:lang w:val="fr-BE"/>
              </w:rPr>
              <w:t xml:space="preserve">(qui atteint 90.000 habitants de </w:t>
            </w:r>
            <w:r w:rsidRPr="00C27636">
              <w:rPr>
                <w:rFonts w:ascii="Calibri" w:eastAsia="Calibri" w:hAnsi="Calibri" w:cs="Calibri"/>
                <w:lang w:val="fr-BE"/>
              </w:rPr>
              <w:lastRenderedPageBreak/>
              <w:t>la Belgique</w:t>
            </w:r>
          </w:p>
        </w:tc>
        <w:tc>
          <w:tcPr>
            <w:tcW w:w="0" w:type="dxa"/>
            <w:vAlign w:val="bottom"/>
          </w:tcPr>
          <w:p w:rsidR="00AC12B4" w:rsidRPr="00C27636" w:rsidRDefault="00AC12B4">
            <w:pPr>
              <w:rPr>
                <w:sz w:val="1"/>
                <w:szCs w:val="1"/>
                <w:lang w:val="fr-BE"/>
              </w:rPr>
            </w:pPr>
          </w:p>
        </w:tc>
      </w:tr>
      <w:tr w:rsidR="00AC12B4">
        <w:trPr>
          <w:trHeight w:val="160"/>
        </w:trPr>
        <w:tc>
          <w:tcPr>
            <w:tcW w:w="480" w:type="dxa"/>
            <w:tcBorders>
              <w:bottom w:val="single" w:sz="8" w:space="0" w:color="8BCCEC"/>
            </w:tcBorders>
            <w:vAlign w:val="bottom"/>
          </w:tcPr>
          <w:p w:rsidR="00AC12B4" w:rsidRPr="00C27636" w:rsidRDefault="00AC12B4">
            <w:pPr>
              <w:rPr>
                <w:sz w:val="13"/>
                <w:szCs w:val="13"/>
                <w:lang w:val="fr-BE"/>
              </w:rPr>
            </w:pPr>
          </w:p>
        </w:tc>
        <w:tc>
          <w:tcPr>
            <w:tcW w:w="320" w:type="dxa"/>
            <w:tcBorders>
              <w:bottom w:val="single" w:sz="8" w:space="0" w:color="8BCCEC"/>
            </w:tcBorders>
            <w:vAlign w:val="bottom"/>
          </w:tcPr>
          <w:p w:rsidR="00AC12B4" w:rsidRPr="00C27636" w:rsidRDefault="00AC12B4">
            <w:pPr>
              <w:rPr>
                <w:sz w:val="13"/>
                <w:szCs w:val="13"/>
                <w:lang w:val="fr-BE"/>
              </w:rPr>
            </w:pPr>
          </w:p>
        </w:tc>
        <w:tc>
          <w:tcPr>
            <w:tcW w:w="60" w:type="dxa"/>
            <w:tcBorders>
              <w:bottom w:val="single" w:sz="8" w:space="0" w:color="8BCCEC"/>
            </w:tcBorders>
            <w:vAlign w:val="bottom"/>
          </w:tcPr>
          <w:p w:rsidR="00AC12B4" w:rsidRPr="00C27636" w:rsidRDefault="00AC12B4">
            <w:pPr>
              <w:rPr>
                <w:sz w:val="13"/>
                <w:szCs w:val="13"/>
                <w:lang w:val="fr-BE"/>
              </w:rPr>
            </w:pPr>
          </w:p>
        </w:tc>
        <w:tc>
          <w:tcPr>
            <w:tcW w:w="80" w:type="dxa"/>
            <w:tcBorders>
              <w:bottom w:val="single" w:sz="8" w:space="0" w:color="8BCCEC"/>
            </w:tcBorders>
            <w:vAlign w:val="bottom"/>
          </w:tcPr>
          <w:p w:rsidR="00AC12B4" w:rsidRPr="00C27636" w:rsidRDefault="00AC12B4">
            <w:pPr>
              <w:rPr>
                <w:sz w:val="13"/>
                <w:szCs w:val="13"/>
                <w:lang w:val="fr-BE"/>
              </w:rPr>
            </w:pPr>
          </w:p>
        </w:tc>
        <w:tc>
          <w:tcPr>
            <w:tcW w:w="18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20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6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60" w:type="dxa"/>
            <w:tcBorders>
              <w:bottom w:val="single" w:sz="8" w:space="0" w:color="8BCCEC"/>
            </w:tcBorders>
            <w:vAlign w:val="bottom"/>
          </w:tcPr>
          <w:p w:rsidR="00AC12B4" w:rsidRPr="00C27636" w:rsidRDefault="00AC12B4">
            <w:pPr>
              <w:rPr>
                <w:sz w:val="13"/>
                <w:szCs w:val="13"/>
                <w:lang w:val="fr-BE"/>
              </w:rPr>
            </w:pPr>
          </w:p>
        </w:tc>
        <w:tc>
          <w:tcPr>
            <w:tcW w:w="4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8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20" w:type="dxa"/>
            <w:tcBorders>
              <w:bottom w:val="single" w:sz="8" w:space="0" w:color="8BCCEC"/>
            </w:tcBorders>
            <w:vAlign w:val="bottom"/>
          </w:tcPr>
          <w:p w:rsidR="00AC12B4" w:rsidRPr="00C27636" w:rsidRDefault="00AC12B4">
            <w:pPr>
              <w:rPr>
                <w:sz w:val="13"/>
                <w:szCs w:val="13"/>
                <w:lang w:val="fr-BE"/>
              </w:rPr>
            </w:pPr>
          </w:p>
        </w:tc>
        <w:tc>
          <w:tcPr>
            <w:tcW w:w="8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60" w:type="dxa"/>
            <w:tcBorders>
              <w:bottom w:val="single" w:sz="8" w:space="0" w:color="8BCCEC"/>
            </w:tcBorders>
            <w:vAlign w:val="bottom"/>
          </w:tcPr>
          <w:p w:rsidR="00AC12B4" w:rsidRPr="00C27636" w:rsidRDefault="00AC12B4">
            <w:pPr>
              <w:rPr>
                <w:sz w:val="13"/>
                <w:szCs w:val="13"/>
                <w:lang w:val="fr-BE"/>
              </w:rPr>
            </w:pPr>
          </w:p>
        </w:tc>
        <w:tc>
          <w:tcPr>
            <w:tcW w:w="12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20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8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20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8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2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6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8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20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180" w:type="dxa"/>
            <w:tcBorders>
              <w:bottom w:val="single" w:sz="8" w:space="0" w:color="8BCCEC"/>
            </w:tcBorders>
            <w:vAlign w:val="bottom"/>
          </w:tcPr>
          <w:p w:rsidR="00AC12B4" w:rsidRPr="00C27636" w:rsidRDefault="00AC12B4">
            <w:pPr>
              <w:rPr>
                <w:sz w:val="13"/>
                <w:szCs w:val="13"/>
                <w:lang w:val="fr-BE"/>
              </w:rPr>
            </w:pPr>
          </w:p>
        </w:tc>
        <w:tc>
          <w:tcPr>
            <w:tcW w:w="20" w:type="dxa"/>
            <w:tcBorders>
              <w:bottom w:val="single" w:sz="8" w:space="0" w:color="8BCCEC"/>
            </w:tcBorders>
            <w:vAlign w:val="bottom"/>
          </w:tcPr>
          <w:p w:rsidR="00AC12B4" w:rsidRPr="00C27636" w:rsidRDefault="00AC12B4">
            <w:pPr>
              <w:rPr>
                <w:sz w:val="13"/>
                <w:szCs w:val="13"/>
                <w:lang w:val="fr-BE"/>
              </w:rPr>
            </w:pPr>
          </w:p>
        </w:tc>
        <w:tc>
          <w:tcPr>
            <w:tcW w:w="360" w:type="dxa"/>
            <w:tcBorders>
              <w:bottom w:val="single" w:sz="8" w:space="0" w:color="8BCCEC"/>
            </w:tcBorders>
            <w:vAlign w:val="bottom"/>
          </w:tcPr>
          <w:p w:rsidR="00AC12B4" w:rsidRPr="00C27636" w:rsidRDefault="00AC12B4">
            <w:pPr>
              <w:rPr>
                <w:sz w:val="13"/>
                <w:szCs w:val="13"/>
                <w:lang w:val="fr-BE"/>
              </w:rPr>
            </w:pPr>
          </w:p>
        </w:tc>
        <w:tc>
          <w:tcPr>
            <w:tcW w:w="420" w:type="dxa"/>
            <w:tcBorders>
              <w:bottom w:val="single" w:sz="8" w:space="0" w:color="8BCCEC"/>
            </w:tcBorders>
            <w:vAlign w:val="bottom"/>
          </w:tcPr>
          <w:p w:rsidR="00AC12B4" w:rsidRPr="00C27636" w:rsidRDefault="00AC12B4">
            <w:pPr>
              <w:rPr>
                <w:sz w:val="13"/>
                <w:szCs w:val="13"/>
                <w:lang w:val="fr-BE"/>
              </w:rPr>
            </w:pPr>
          </w:p>
        </w:tc>
        <w:tc>
          <w:tcPr>
            <w:tcW w:w="200" w:type="dxa"/>
            <w:tcBorders>
              <w:bottom w:val="single" w:sz="8" w:space="0" w:color="8BCCEC"/>
            </w:tcBorders>
            <w:vAlign w:val="bottom"/>
          </w:tcPr>
          <w:p w:rsidR="00AC12B4" w:rsidRPr="00C27636" w:rsidRDefault="00AC12B4">
            <w:pPr>
              <w:rPr>
                <w:sz w:val="13"/>
                <w:szCs w:val="13"/>
                <w:lang w:val="fr-BE"/>
              </w:rPr>
            </w:pPr>
          </w:p>
        </w:tc>
        <w:tc>
          <w:tcPr>
            <w:tcW w:w="80" w:type="dxa"/>
            <w:tcBorders>
              <w:bottom w:val="single" w:sz="8" w:space="0" w:color="8BCCEC"/>
            </w:tcBorders>
            <w:vAlign w:val="bottom"/>
          </w:tcPr>
          <w:p w:rsidR="00AC12B4" w:rsidRPr="00C27636" w:rsidRDefault="00AC12B4">
            <w:pPr>
              <w:rPr>
                <w:sz w:val="13"/>
                <w:szCs w:val="13"/>
                <w:lang w:val="fr-BE"/>
              </w:rPr>
            </w:pPr>
          </w:p>
        </w:tc>
        <w:tc>
          <w:tcPr>
            <w:tcW w:w="200" w:type="dxa"/>
            <w:tcBorders>
              <w:bottom w:val="single" w:sz="8" w:space="0" w:color="8BCCEC"/>
            </w:tcBorders>
            <w:vAlign w:val="bottom"/>
          </w:tcPr>
          <w:p w:rsidR="00AC12B4" w:rsidRPr="00C27636" w:rsidRDefault="00AC12B4">
            <w:pPr>
              <w:rPr>
                <w:sz w:val="13"/>
                <w:szCs w:val="13"/>
                <w:lang w:val="fr-BE"/>
              </w:rPr>
            </w:pPr>
          </w:p>
        </w:tc>
        <w:tc>
          <w:tcPr>
            <w:tcW w:w="340" w:type="dxa"/>
            <w:tcBorders>
              <w:bottom w:val="single" w:sz="8" w:space="0" w:color="8BCCEC"/>
            </w:tcBorders>
            <w:vAlign w:val="bottom"/>
          </w:tcPr>
          <w:p w:rsidR="00AC12B4" w:rsidRPr="00C27636" w:rsidRDefault="00AC12B4">
            <w:pPr>
              <w:rPr>
                <w:sz w:val="13"/>
                <w:szCs w:val="13"/>
                <w:lang w:val="fr-BE"/>
              </w:rPr>
            </w:pPr>
          </w:p>
        </w:tc>
        <w:tc>
          <w:tcPr>
            <w:tcW w:w="140" w:type="dxa"/>
            <w:tcBorders>
              <w:bottom w:val="single" w:sz="8" w:space="0" w:color="8BCCEC"/>
            </w:tcBorders>
            <w:vAlign w:val="bottom"/>
          </w:tcPr>
          <w:p w:rsidR="00AC12B4" w:rsidRPr="00C27636" w:rsidRDefault="00AC12B4">
            <w:pPr>
              <w:rPr>
                <w:sz w:val="13"/>
                <w:szCs w:val="13"/>
                <w:lang w:val="fr-BE"/>
              </w:rPr>
            </w:pPr>
          </w:p>
        </w:tc>
        <w:tc>
          <w:tcPr>
            <w:tcW w:w="500" w:type="dxa"/>
            <w:vAlign w:val="bottom"/>
          </w:tcPr>
          <w:p w:rsidR="00AC12B4" w:rsidRDefault="00C27636">
            <w:pPr>
              <w:spacing w:line="160" w:lineRule="exact"/>
              <w:ind w:left="160"/>
              <w:rPr>
                <w:sz w:val="20"/>
                <w:szCs w:val="20"/>
              </w:rPr>
            </w:pPr>
            <w:r>
              <w:rPr>
                <w:rFonts w:ascii="Calibri" w:eastAsia="Calibri" w:hAnsi="Calibri" w:cs="Calibri"/>
                <w:sz w:val="17"/>
                <w:szCs w:val="17"/>
              </w:rPr>
              <w:t>sur</w:t>
            </w:r>
          </w:p>
        </w:tc>
        <w:tc>
          <w:tcPr>
            <w:tcW w:w="920" w:type="dxa"/>
            <w:vAlign w:val="bottom"/>
          </w:tcPr>
          <w:p w:rsidR="00AC12B4" w:rsidRDefault="00C27636">
            <w:pPr>
              <w:spacing w:line="160" w:lineRule="exact"/>
              <w:jc w:val="center"/>
              <w:rPr>
                <w:sz w:val="20"/>
                <w:szCs w:val="20"/>
              </w:rPr>
            </w:pPr>
            <w:r>
              <w:rPr>
                <w:rFonts w:ascii="Calibri" w:eastAsia="Calibri" w:hAnsi="Calibri" w:cs="Calibri"/>
                <w:sz w:val="17"/>
                <w:szCs w:val="17"/>
              </w:rPr>
              <w:t>base</w:t>
            </w:r>
          </w:p>
        </w:tc>
        <w:tc>
          <w:tcPr>
            <w:tcW w:w="1140" w:type="dxa"/>
            <w:gridSpan w:val="3"/>
            <w:vAlign w:val="bottom"/>
          </w:tcPr>
          <w:p w:rsidR="00AC12B4" w:rsidRDefault="00C27636">
            <w:pPr>
              <w:spacing w:line="160" w:lineRule="exact"/>
              <w:ind w:left="80"/>
              <w:rPr>
                <w:sz w:val="20"/>
                <w:szCs w:val="20"/>
              </w:rPr>
            </w:pPr>
            <w:r>
              <w:rPr>
                <w:rFonts w:ascii="Calibri" w:eastAsia="Calibri" w:hAnsi="Calibri" w:cs="Calibri"/>
                <w:sz w:val="17"/>
                <w:szCs w:val="17"/>
              </w:rPr>
              <w:t>annuelle),</w:t>
            </w:r>
          </w:p>
        </w:tc>
        <w:tc>
          <w:tcPr>
            <w:tcW w:w="1220" w:type="dxa"/>
            <w:gridSpan w:val="2"/>
            <w:vAlign w:val="bottom"/>
          </w:tcPr>
          <w:p w:rsidR="00AC12B4" w:rsidRDefault="00C27636">
            <w:pPr>
              <w:spacing w:line="160" w:lineRule="exact"/>
              <w:ind w:right="660"/>
              <w:jc w:val="right"/>
              <w:rPr>
                <w:sz w:val="20"/>
                <w:szCs w:val="20"/>
              </w:rPr>
            </w:pPr>
            <w:r>
              <w:rPr>
                <w:rFonts w:ascii="Calibri" w:eastAsia="Calibri" w:hAnsi="Calibri" w:cs="Calibri"/>
                <w:sz w:val="17"/>
                <w:szCs w:val="17"/>
              </w:rPr>
              <w:t>dont</w:t>
            </w:r>
          </w:p>
        </w:tc>
        <w:tc>
          <w:tcPr>
            <w:tcW w:w="0" w:type="dxa"/>
            <w:vAlign w:val="bottom"/>
          </w:tcPr>
          <w:p w:rsidR="00AC12B4" w:rsidRDefault="00AC12B4">
            <w:pPr>
              <w:rPr>
                <w:sz w:val="1"/>
                <w:szCs w:val="1"/>
              </w:rPr>
            </w:pPr>
          </w:p>
        </w:tc>
      </w:tr>
      <w:tr w:rsidR="00AC12B4">
        <w:trPr>
          <w:trHeight w:val="309"/>
        </w:trPr>
        <w:tc>
          <w:tcPr>
            <w:tcW w:w="480" w:type="dxa"/>
            <w:tcBorders>
              <w:left w:val="single" w:sz="8" w:space="0" w:color="8BCCEC"/>
            </w:tcBorders>
            <w:vAlign w:val="bottom"/>
          </w:tcPr>
          <w:p w:rsidR="00AC12B4" w:rsidRDefault="00AC12B4">
            <w:pPr>
              <w:rPr>
                <w:sz w:val="24"/>
                <w:szCs w:val="24"/>
              </w:rPr>
            </w:pPr>
          </w:p>
        </w:tc>
        <w:tc>
          <w:tcPr>
            <w:tcW w:w="5200" w:type="dxa"/>
            <w:gridSpan w:val="45"/>
            <w:vMerge w:val="restart"/>
            <w:vAlign w:val="bottom"/>
          </w:tcPr>
          <w:p w:rsidR="00AC12B4" w:rsidRPr="00C27636" w:rsidRDefault="00C27636">
            <w:pPr>
              <w:ind w:left="280"/>
              <w:rPr>
                <w:sz w:val="20"/>
                <w:szCs w:val="20"/>
                <w:lang w:val="fr-BE"/>
              </w:rPr>
            </w:pPr>
            <w:r w:rsidRPr="00C27636">
              <w:rPr>
                <w:rFonts w:ascii="Calibri" w:eastAsia="Calibri" w:hAnsi="Calibri" w:cs="Calibri"/>
                <w:b/>
                <w:bCs/>
                <w:sz w:val="21"/>
                <w:szCs w:val="21"/>
                <w:lang w:val="fr-BE"/>
              </w:rPr>
              <w:t>Interruption prématurée de scolarité en Belgique</w:t>
            </w:r>
          </w:p>
        </w:tc>
        <w:tc>
          <w:tcPr>
            <w:tcW w:w="140" w:type="dxa"/>
            <w:tcBorders>
              <w:right w:val="single" w:sz="8" w:space="0" w:color="8BCCEC"/>
            </w:tcBorders>
            <w:vAlign w:val="bottom"/>
          </w:tcPr>
          <w:p w:rsidR="00AC12B4" w:rsidRPr="00C27636" w:rsidRDefault="00AC12B4">
            <w:pPr>
              <w:rPr>
                <w:sz w:val="24"/>
                <w:szCs w:val="24"/>
                <w:lang w:val="fr-BE"/>
              </w:rPr>
            </w:pPr>
          </w:p>
        </w:tc>
        <w:tc>
          <w:tcPr>
            <w:tcW w:w="1840" w:type="dxa"/>
            <w:gridSpan w:val="3"/>
            <w:vAlign w:val="bottom"/>
          </w:tcPr>
          <w:p w:rsidR="00AC12B4" w:rsidRDefault="00C27636">
            <w:pPr>
              <w:ind w:left="160"/>
              <w:rPr>
                <w:sz w:val="20"/>
                <w:szCs w:val="20"/>
              </w:rPr>
            </w:pPr>
            <w:r>
              <w:rPr>
                <w:rFonts w:ascii="Calibri" w:eastAsia="Calibri" w:hAnsi="Calibri" w:cs="Calibri"/>
              </w:rPr>
              <w:t>l’objectif premier</w:t>
            </w:r>
          </w:p>
        </w:tc>
        <w:tc>
          <w:tcPr>
            <w:tcW w:w="1940" w:type="dxa"/>
            <w:gridSpan w:val="4"/>
            <w:vAlign w:val="bottom"/>
          </w:tcPr>
          <w:p w:rsidR="00AC12B4" w:rsidRDefault="00C27636">
            <w:pPr>
              <w:ind w:right="660"/>
              <w:jc w:val="right"/>
              <w:rPr>
                <w:sz w:val="20"/>
                <w:szCs w:val="20"/>
              </w:rPr>
            </w:pPr>
            <w:r>
              <w:rPr>
                <w:rFonts w:ascii="Calibri" w:eastAsia="Calibri" w:hAnsi="Calibri" w:cs="Calibri"/>
              </w:rPr>
              <w:t>est d’étudier</w:t>
            </w:r>
          </w:p>
        </w:tc>
        <w:tc>
          <w:tcPr>
            <w:tcW w:w="0" w:type="dxa"/>
            <w:vAlign w:val="bottom"/>
          </w:tcPr>
          <w:p w:rsidR="00AC12B4" w:rsidRDefault="00AC12B4">
            <w:pPr>
              <w:rPr>
                <w:sz w:val="1"/>
                <w:szCs w:val="1"/>
              </w:rPr>
            </w:pPr>
          </w:p>
        </w:tc>
      </w:tr>
      <w:tr w:rsidR="00AC12B4" w:rsidRPr="00C27636">
        <w:trPr>
          <w:trHeight w:val="81"/>
        </w:trPr>
        <w:tc>
          <w:tcPr>
            <w:tcW w:w="480" w:type="dxa"/>
            <w:tcBorders>
              <w:left w:val="single" w:sz="8" w:space="0" w:color="8BCCEC"/>
            </w:tcBorders>
            <w:vAlign w:val="bottom"/>
          </w:tcPr>
          <w:p w:rsidR="00AC12B4" w:rsidRDefault="00AC12B4">
            <w:pPr>
              <w:rPr>
                <w:sz w:val="7"/>
                <w:szCs w:val="7"/>
              </w:rPr>
            </w:pPr>
          </w:p>
        </w:tc>
        <w:tc>
          <w:tcPr>
            <w:tcW w:w="5200" w:type="dxa"/>
            <w:gridSpan w:val="45"/>
            <w:vMerge/>
            <w:vAlign w:val="bottom"/>
          </w:tcPr>
          <w:p w:rsidR="00AC12B4" w:rsidRDefault="00AC12B4">
            <w:pPr>
              <w:rPr>
                <w:sz w:val="7"/>
                <w:szCs w:val="7"/>
              </w:rPr>
            </w:pPr>
          </w:p>
        </w:tc>
        <w:tc>
          <w:tcPr>
            <w:tcW w:w="140" w:type="dxa"/>
            <w:tcBorders>
              <w:right w:val="single" w:sz="8" w:space="0" w:color="8BCCEC"/>
            </w:tcBorders>
            <w:vAlign w:val="bottom"/>
          </w:tcPr>
          <w:p w:rsidR="00AC12B4" w:rsidRDefault="00AC12B4">
            <w:pPr>
              <w:rPr>
                <w:sz w:val="7"/>
                <w:szCs w:val="7"/>
              </w:rPr>
            </w:pPr>
          </w:p>
        </w:tc>
        <w:tc>
          <w:tcPr>
            <w:tcW w:w="3780" w:type="dxa"/>
            <w:gridSpan w:val="7"/>
            <w:vMerge w:val="restart"/>
            <w:vAlign w:val="bottom"/>
          </w:tcPr>
          <w:p w:rsidR="00AC12B4" w:rsidRPr="00C27636" w:rsidRDefault="00C27636">
            <w:pPr>
              <w:ind w:left="160"/>
              <w:rPr>
                <w:sz w:val="20"/>
                <w:szCs w:val="20"/>
                <w:lang w:val="fr-BE"/>
              </w:rPr>
            </w:pPr>
            <w:r w:rsidRPr="00C27636">
              <w:rPr>
                <w:rFonts w:ascii="Calibri" w:eastAsia="Calibri" w:hAnsi="Calibri" w:cs="Calibri"/>
                <w:lang w:val="fr-BE"/>
              </w:rPr>
              <w:t>la population en âge de travailler</w:t>
            </w:r>
          </w:p>
        </w:tc>
        <w:tc>
          <w:tcPr>
            <w:tcW w:w="0" w:type="dxa"/>
            <w:vAlign w:val="bottom"/>
          </w:tcPr>
          <w:p w:rsidR="00AC12B4" w:rsidRPr="00C27636" w:rsidRDefault="00AC12B4">
            <w:pPr>
              <w:rPr>
                <w:sz w:val="1"/>
                <w:szCs w:val="1"/>
                <w:lang w:val="fr-BE"/>
              </w:rPr>
            </w:pPr>
          </w:p>
        </w:tc>
      </w:tr>
      <w:tr w:rsidR="00AC12B4">
        <w:trPr>
          <w:trHeight w:val="188"/>
        </w:trPr>
        <w:tc>
          <w:tcPr>
            <w:tcW w:w="480" w:type="dxa"/>
            <w:tcBorders>
              <w:left w:val="single" w:sz="8" w:space="0" w:color="8BCCEC"/>
            </w:tcBorders>
            <w:vAlign w:val="bottom"/>
          </w:tcPr>
          <w:p w:rsidR="00AC12B4" w:rsidRPr="00C27636" w:rsidRDefault="00AC12B4">
            <w:pPr>
              <w:rPr>
                <w:sz w:val="16"/>
                <w:szCs w:val="16"/>
                <w:lang w:val="fr-BE"/>
              </w:rPr>
            </w:pPr>
          </w:p>
        </w:tc>
        <w:tc>
          <w:tcPr>
            <w:tcW w:w="320" w:type="dxa"/>
            <w:vAlign w:val="bottom"/>
          </w:tcPr>
          <w:p w:rsidR="00AC12B4" w:rsidRPr="00C27636" w:rsidRDefault="00AC12B4">
            <w:pPr>
              <w:rPr>
                <w:sz w:val="16"/>
                <w:szCs w:val="16"/>
                <w:lang w:val="fr-BE"/>
              </w:rPr>
            </w:pPr>
          </w:p>
        </w:tc>
        <w:tc>
          <w:tcPr>
            <w:tcW w:w="60" w:type="dxa"/>
            <w:vAlign w:val="bottom"/>
          </w:tcPr>
          <w:p w:rsidR="00AC12B4" w:rsidRPr="00C27636" w:rsidRDefault="00AC12B4">
            <w:pPr>
              <w:rPr>
                <w:sz w:val="16"/>
                <w:szCs w:val="16"/>
                <w:lang w:val="fr-BE"/>
              </w:rPr>
            </w:pPr>
          </w:p>
        </w:tc>
        <w:tc>
          <w:tcPr>
            <w:tcW w:w="80" w:type="dxa"/>
            <w:vAlign w:val="bottom"/>
          </w:tcPr>
          <w:p w:rsidR="00AC12B4" w:rsidRPr="00C27636" w:rsidRDefault="00AC12B4">
            <w:pPr>
              <w:rPr>
                <w:sz w:val="16"/>
                <w:szCs w:val="16"/>
                <w:lang w:val="fr-BE"/>
              </w:rPr>
            </w:pPr>
          </w:p>
        </w:tc>
        <w:tc>
          <w:tcPr>
            <w:tcW w:w="18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20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16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160" w:type="dxa"/>
            <w:vAlign w:val="bottom"/>
          </w:tcPr>
          <w:p w:rsidR="00AC12B4" w:rsidRPr="00C27636" w:rsidRDefault="00AC12B4">
            <w:pPr>
              <w:rPr>
                <w:sz w:val="16"/>
                <w:szCs w:val="16"/>
                <w:lang w:val="fr-BE"/>
              </w:rPr>
            </w:pPr>
          </w:p>
        </w:tc>
        <w:tc>
          <w:tcPr>
            <w:tcW w:w="4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18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120" w:type="dxa"/>
            <w:vAlign w:val="bottom"/>
          </w:tcPr>
          <w:p w:rsidR="00AC12B4" w:rsidRPr="00C27636" w:rsidRDefault="00AC12B4">
            <w:pPr>
              <w:rPr>
                <w:sz w:val="16"/>
                <w:szCs w:val="16"/>
                <w:lang w:val="fr-BE"/>
              </w:rPr>
            </w:pPr>
          </w:p>
        </w:tc>
        <w:tc>
          <w:tcPr>
            <w:tcW w:w="80" w:type="dxa"/>
            <w:vAlign w:val="bottom"/>
          </w:tcPr>
          <w:p w:rsidR="00AC12B4" w:rsidRPr="00C27636" w:rsidRDefault="00AC12B4">
            <w:pPr>
              <w:rPr>
                <w:sz w:val="16"/>
                <w:szCs w:val="16"/>
                <w:lang w:val="fr-BE"/>
              </w:rPr>
            </w:pPr>
          </w:p>
        </w:tc>
        <w:tc>
          <w:tcPr>
            <w:tcW w:w="20" w:type="dxa"/>
            <w:vAlign w:val="bottom"/>
          </w:tcPr>
          <w:p w:rsidR="00AC12B4" w:rsidRPr="00C27636" w:rsidRDefault="00AC12B4">
            <w:pPr>
              <w:rPr>
                <w:sz w:val="16"/>
                <w:szCs w:val="16"/>
                <w:lang w:val="fr-BE"/>
              </w:rPr>
            </w:pPr>
          </w:p>
        </w:tc>
        <w:tc>
          <w:tcPr>
            <w:tcW w:w="60" w:type="dxa"/>
            <w:vAlign w:val="bottom"/>
          </w:tcPr>
          <w:p w:rsidR="00AC12B4" w:rsidRPr="00C27636" w:rsidRDefault="00AC12B4">
            <w:pPr>
              <w:rPr>
                <w:sz w:val="16"/>
                <w:szCs w:val="16"/>
                <w:lang w:val="fr-BE"/>
              </w:rPr>
            </w:pPr>
          </w:p>
        </w:tc>
        <w:tc>
          <w:tcPr>
            <w:tcW w:w="1820" w:type="dxa"/>
            <w:gridSpan w:val="20"/>
            <w:vMerge w:val="restart"/>
            <w:vAlign w:val="bottom"/>
          </w:tcPr>
          <w:p w:rsidR="00AC12B4" w:rsidRDefault="00C27636">
            <w:pPr>
              <w:rPr>
                <w:sz w:val="20"/>
                <w:szCs w:val="20"/>
              </w:rPr>
            </w:pPr>
            <w:r>
              <w:rPr>
                <w:rFonts w:ascii="Calibri" w:eastAsia="Calibri" w:hAnsi="Calibri" w:cs="Calibri"/>
                <w:b/>
                <w:bCs/>
                <w:sz w:val="21"/>
                <w:szCs w:val="21"/>
              </w:rPr>
              <w:t>suivant le sexe</w:t>
            </w:r>
          </w:p>
        </w:tc>
        <w:tc>
          <w:tcPr>
            <w:tcW w:w="360" w:type="dxa"/>
            <w:vAlign w:val="bottom"/>
          </w:tcPr>
          <w:p w:rsidR="00AC12B4" w:rsidRDefault="00AC12B4">
            <w:pPr>
              <w:rPr>
                <w:sz w:val="16"/>
                <w:szCs w:val="16"/>
              </w:rPr>
            </w:pPr>
          </w:p>
        </w:tc>
        <w:tc>
          <w:tcPr>
            <w:tcW w:w="42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8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140" w:type="dxa"/>
            <w:tcBorders>
              <w:right w:val="single" w:sz="8" w:space="0" w:color="8BCCEC"/>
            </w:tcBorders>
            <w:vAlign w:val="bottom"/>
          </w:tcPr>
          <w:p w:rsidR="00AC12B4" w:rsidRDefault="00AC12B4">
            <w:pPr>
              <w:rPr>
                <w:sz w:val="16"/>
                <w:szCs w:val="16"/>
              </w:rPr>
            </w:pPr>
          </w:p>
        </w:tc>
        <w:tc>
          <w:tcPr>
            <w:tcW w:w="3780" w:type="dxa"/>
            <w:gridSpan w:val="7"/>
            <w:vMerge/>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69"/>
        </w:trPr>
        <w:tc>
          <w:tcPr>
            <w:tcW w:w="480" w:type="dxa"/>
            <w:tcBorders>
              <w:left w:val="single" w:sz="8" w:space="0" w:color="8BCCEC"/>
            </w:tcBorders>
            <w:vAlign w:val="bottom"/>
          </w:tcPr>
          <w:p w:rsidR="00AC12B4" w:rsidRDefault="00AC12B4">
            <w:pPr>
              <w:rPr>
                <w:sz w:val="5"/>
                <w:szCs w:val="5"/>
              </w:rPr>
            </w:pPr>
          </w:p>
        </w:tc>
        <w:tc>
          <w:tcPr>
            <w:tcW w:w="320" w:type="dxa"/>
            <w:vAlign w:val="bottom"/>
          </w:tcPr>
          <w:p w:rsidR="00AC12B4" w:rsidRDefault="00AC12B4">
            <w:pPr>
              <w:rPr>
                <w:sz w:val="5"/>
                <w:szCs w:val="5"/>
              </w:rPr>
            </w:pPr>
          </w:p>
        </w:tc>
        <w:tc>
          <w:tcPr>
            <w:tcW w:w="6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1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60" w:type="dxa"/>
            <w:vAlign w:val="bottom"/>
          </w:tcPr>
          <w:p w:rsidR="00AC12B4" w:rsidRDefault="00AC12B4">
            <w:pPr>
              <w:rPr>
                <w:sz w:val="5"/>
                <w:szCs w:val="5"/>
              </w:rPr>
            </w:pPr>
          </w:p>
        </w:tc>
        <w:tc>
          <w:tcPr>
            <w:tcW w:w="4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60" w:type="dxa"/>
            <w:vAlign w:val="bottom"/>
          </w:tcPr>
          <w:p w:rsidR="00AC12B4" w:rsidRDefault="00AC12B4">
            <w:pPr>
              <w:rPr>
                <w:sz w:val="5"/>
                <w:szCs w:val="5"/>
              </w:rPr>
            </w:pPr>
          </w:p>
        </w:tc>
        <w:tc>
          <w:tcPr>
            <w:tcW w:w="1820" w:type="dxa"/>
            <w:gridSpan w:val="20"/>
            <w:vMerge/>
            <w:vAlign w:val="bottom"/>
          </w:tcPr>
          <w:p w:rsidR="00AC12B4" w:rsidRDefault="00AC12B4">
            <w:pPr>
              <w:rPr>
                <w:sz w:val="5"/>
                <w:szCs w:val="5"/>
              </w:rPr>
            </w:pPr>
          </w:p>
        </w:tc>
        <w:tc>
          <w:tcPr>
            <w:tcW w:w="36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8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140" w:type="dxa"/>
            <w:tcBorders>
              <w:right w:val="single" w:sz="8" w:space="0" w:color="8BCCEC"/>
            </w:tcBorders>
            <w:vAlign w:val="bottom"/>
          </w:tcPr>
          <w:p w:rsidR="00AC12B4" w:rsidRDefault="00AC12B4">
            <w:pPr>
              <w:rPr>
                <w:sz w:val="5"/>
                <w:szCs w:val="5"/>
              </w:rPr>
            </w:pPr>
          </w:p>
        </w:tc>
        <w:tc>
          <w:tcPr>
            <w:tcW w:w="1840" w:type="dxa"/>
            <w:gridSpan w:val="3"/>
            <w:vMerge w:val="restart"/>
            <w:vAlign w:val="bottom"/>
          </w:tcPr>
          <w:p w:rsidR="00AC12B4" w:rsidRDefault="00C27636">
            <w:pPr>
              <w:spacing w:line="304" w:lineRule="exact"/>
              <w:ind w:left="160"/>
              <w:rPr>
                <w:sz w:val="20"/>
                <w:szCs w:val="20"/>
              </w:rPr>
            </w:pPr>
            <w:r>
              <w:rPr>
                <w:rFonts w:ascii="Calibri" w:eastAsia="Calibri" w:hAnsi="Calibri" w:cs="Calibri"/>
              </w:rPr>
              <w:t>(15 ans et plus)</w:t>
            </w:r>
            <w:r>
              <w:rPr>
                <w:rFonts w:ascii="Calibri" w:eastAsia="Calibri" w:hAnsi="Calibri" w:cs="Calibri"/>
                <w:sz w:val="27"/>
                <w:szCs w:val="27"/>
                <w:vertAlign w:val="superscript"/>
              </w:rPr>
              <w:t>2</w:t>
            </w:r>
            <w:r>
              <w:rPr>
                <w:rFonts w:ascii="Calibri" w:eastAsia="Calibri" w:hAnsi="Calibri" w:cs="Calibri"/>
              </w:rPr>
              <w:t>.</w:t>
            </w:r>
          </w:p>
        </w:tc>
        <w:tc>
          <w:tcPr>
            <w:tcW w:w="280" w:type="dxa"/>
            <w:vAlign w:val="bottom"/>
          </w:tcPr>
          <w:p w:rsidR="00AC12B4" w:rsidRDefault="00AC12B4">
            <w:pPr>
              <w:rPr>
                <w:sz w:val="5"/>
                <w:szCs w:val="5"/>
              </w:rPr>
            </w:pPr>
          </w:p>
        </w:tc>
        <w:tc>
          <w:tcPr>
            <w:tcW w:w="440" w:type="dxa"/>
            <w:vAlign w:val="bottom"/>
          </w:tcPr>
          <w:p w:rsidR="00AC12B4" w:rsidRDefault="00AC12B4">
            <w:pPr>
              <w:rPr>
                <w:sz w:val="5"/>
                <w:szCs w:val="5"/>
              </w:rPr>
            </w:pPr>
          </w:p>
        </w:tc>
        <w:tc>
          <w:tcPr>
            <w:tcW w:w="540" w:type="dxa"/>
            <w:vAlign w:val="bottom"/>
          </w:tcPr>
          <w:p w:rsidR="00AC12B4" w:rsidRDefault="00AC12B4">
            <w:pPr>
              <w:rPr>
                <w:sz w:val="5"/>
                <w:szCs w:val="5"/>
              </w:rPr>
            </w:pPr>
          </w:p>
        </w:tc>
        <w:tc>
          <w:tcPr>
            <w:tcW w:w="68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243"/>
        </w:trPr>
        <w:tc>
          <w:tcPr>
            <w:tcW w:w="800" w:type="dxa"/>
            <w:gridSpan w:val="2"/>
            <w:vMerge w:val="restart"/>
            <w:tcBorders>
              <w:left w:val="single" w:sz="8" w:space="0" w:color="8BCCEC"/>
            </w:tcBorders>
            <w:vAlign w:val="bottom"/>
          </w:tcPr>
          <w:p w:rsidR="00AC12B4" w:rsidRDefault="00C27636">
            <w:pPr>
              <w:jc w:val="right"/>
              <w:rPr>
                <w:sz w:val="20"/>
                <w:szCs w:val="20"/>
              </w:rPr>
            </w:pPr>
            <w:r>
              <w:rPr>
                <w:rFonts w:ascii="Calibri" w:eastAsia="Calibri" w:hAnsi="Calibri" w:cs="Calibri"/>
                <w:sz w:val="20"/>
                <w:szCs w:val="20"/>
              </w:rPr>
              <w:t>20,00%</w:t>
            </w:r>
          </w:p>
        </w:tc>
        <w:tc>
          <w:tcPr>
            <w:tcW w:w="60" w:type="dxa"/>
            <w:vAlign w:val="bottom"/>
          </w:tcPr>
          <w:p w:rsidR="00AC12B4" w:rsidRDefault="00AC12B4">
            <w:pPr>
              <w:rPr>
                <w:sz w:val="21"/>
                <w:szCs w:val="21"/>
              </w:rPr>
            </w:pPr>
          </w:p>
        </w:tc>
        <w:tc>
          <w:tcPr>
            <w:tcW w:w="80" w:type="dxa"/>
            <w:tcBorders>
              <w:bottom w:val="single" w:sz="8" w:space="0" w:color="868686"/>
            </w:tcBorders>
            <w:vAlign w:val="bottom"/>
          </w:tcPr>
          <w:p w:rsidR="00AC12B4" w:rsidRDefault="00AC12B4">
            <w:pPr>
              <w:rPr>
                <w:sz w:val="21"/>
                <w:szCs w:val="21"/>
              </w:rPr>
            </w:pPr>
          </w:p>
        </w:tc>
        <w:tc>
          <w:tcPr>
            <w:tcW w:w="1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20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6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60" w:type="dxa"/>
            <w:tcBorders>
              <w:bottom w:val="single" w:sz="8" w:space="0" w:color="868686"/>
            </w:tcBorders>
            <w:vAlign w:val="bottom"/>
          </w:tcPr>
          <w:p w:rsidR="00AC12B4" w:rsidRDefault="00AC12B4">
            <w:pPr>
              <w:rPr>
                <w:sz w:val="21"/>
                <w:szCs w:val="21"/>
              </w:rPr>
            </w:pPr>
          </w:p>
        </w:tc>
        <w:tc>
          <w:tcPr>
            <w:tcW w:w="4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20" w:type="dxa"/>
            <w:tcBorders>
              <w:bottom w:val="single" w:sz="8" w:space="0" w:color="868686"/>
            </w:tcBorders>
            <w:vAlign w:val="bottom"/>
          </w:tcPr>
          <w:p w:rsidR="00AC12B4" w:rsidRDefault="00AC12B4">
            <w:pPr>
              <w:rPr>
                <w:sz w:val="21"/>
                <w:szCs w:val="21"/>
              </w:rPr>
            </w:pPr>
          </w:p>
        </w:tc>
        <w:tc>
          <w:tcPr>
            <w:tcW w:w="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60" w:type="dxa"/>
            <w:tcBorders>
              <w:bottom w:val="single" w:sz="8" w:space="0" w:color="868686"/>
            </w:tcBorders>
            <w:vAlign w:val="bottom"/>
          </w:tcPr>
          <w:p w:rsidR="00AC12B4" w:rsidRDefault="00AC12B4">
            <w:pPr>
              <w:rPr>
                <w:sz w:val="21"/>
                <w:szCs w:val="21"/>
              </w:rPr>
            </w:pPr>
          </w:p>
        </w:tc>
        <w:tc>
          <w:tcPr>
            <w:tcW w:w="12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20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20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2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6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20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180" w:type="dxa"/>
            <w:tcBorders>
              <w:bottom w:val="single" w:sz="8" w:space="0" w:color="868686"/>
            </w:tcBorders>
            <w:vAlign w:val="bottom"/>
          </w:tcPr>
          <w:p w:rsidR="00AC12B4" w:rsidRDefault="00AC12B4">
            <w:pPr>
              <w:rPr>
                <w:sz w:val="21"/>
                <w:szCs w:val="21"/>
              </w:rPr>
            </w:pPr>
          </w:p>
        </w:tc>
        <w:tc>
          <w:tcPr>
            <w:tcW w:w="20" w:type="dxa"/>
            <w:tcBorders>
              <w:bottom w:val="single" w:sz="8" w:space="0" w:color="868686"/>
            </w:tcBorders>
            <w:vAlign w:val="bottom"/>
          </w:tcPr>
          <w:p w:rsidR="00AC12B4" w:rsidRDefault="00AC12B4">
            <w:pPr>
              <w:rPr>
                <w:sz w:val="21"/>
                <w:szCs w:val="21"/>
              </w:rPr>
            </w:pPr>
          </w:p>
        </w:tc>
        <w:tc>
          <w:tcPr>
            <w:tcW w:w="36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340" w:type="dxa"/>
            <w:vAlign w:val="bottom"/>
          </w:tcPr>
          <w:p w:rsidR="00AC12B4" w:rsidRDefault="00AC12B4">
            <w:pPr>
              <w:rPr>
                <w:sz w:val="21"/>
                <w:szCs w:val="21"/>
              </w:rPr>
            </w:pPr>
          </w:p>
        </w:tc>
        <w:tc>
          <w:tcPr>
            <w:tcW w:w="140" w:type="dxa"/>
            <w:tcBorders>
              <w:right w:val="single" w:sz="8" w:space="0" w:color="8BCCEC"/>
            </w:tcBorders>
            <w:vAlign w:val="bottom"/>
          </w:tcPr>
          <w:p w:rsidR="00AC12B4" w:rsidRDefault="00AC12B4">
            <w:pPr>
              <w:rPr>
                <w:sz w:val="21"/>
                <w:szCs w:val="21"/>
              </w:rPr>
            </w:pPr>
          </w:p>
        </w:tc>
        <w:tc>
          <w:tcPr>
            <w:tcW w:w="1840" w:type="dxa"/>
            <w:gridSpan w:val="3"/>
            <w:vMerge/>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540" w:type="dxa"/>
            <w:vAlign w:val="bottom"/>
          </w:tcPr>
          <w:p w:rsidR="00AC12B4" w:rsidRDefault="00AC12B4">
            <w:pPr>
              <w:rPr>
                <w:sz w:val="21"/>
                <w:szCs w:val="21"/>
              </w:rPr>
            </w:pPr>
          </w:p>
        </w:tc>
        <w:tc>
          <w:tcPr>
            <w:tcW w:w="68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98"/>
        </w:trPr>
        <w:tc>
          <w:tcPr>
            <w:tcW w:w="800" w:type="dxa"/>
            <w:gridSpan w:val="2"/>
            <w:vMerge/>
            <w:tcBorders>
              <w:left w:val="single" w:sz="8" w:space="0" w:color="8BCCEC"/>
            </w:tcBorders>
            <w:vAlign w:val="bottom"/>
          </w:tcPr>
          <w:p w:rsidR="00AC12B4" w:rsidRDefault="00AC12B4">
            <w:pPr>
              <w:rPr>
                <w:sz w:val="8"/>
                <w:szCs w:val="8"/>
              </w:rPr>
            </w:pPr>
          </w:p>
        </w:tc>
        <w:tc>
          <w:tcPr>
            <w:tcW w:w="60" w:type="dxa"/>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4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6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8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140" w:type="dxa"/>
            <w:tcBorders>
              <w:right w:val="single" w:sz="8" w:space="0" w:color="8BCCEC"/>
            </w:tcBorders>
            <w:vAlign w:val="bottom"/>
          </w:tcPr>
          <w:p w:rsidR="00AC12B4" w:rsidRDefault="00AC12B4">
            <w:pPr>
              <w:rPr>
                <w:sz w:val="8"/>
                <w:szCs w:val="8"/>
              </w:rPr>
            </w:pPr>
          </w:p>
        </w:tc>
        <w:tc>
          <w:tcPr>
            <w:tcW w:w="500" w:type="dxa"/>
            <w:vAlign w:val="bottom"/>
          </w:tcPr>
          <w:p w:rsidR="00AC12B4" w:rsidRDefault="00AC12B4">
            <w:pPr>
              <w:rPr>
                <w:sz w:val="8"/>
                <w:szCs w:val="8"/>
              </w:rPr>
            </w:pPr>
          </w:p>
        </w:tc>
        <w:tc>
          <w:tcPr>
            <w:tcW w:w="3280" w:type="dxa"/>
            <w:gridSpan w:val="6"/>
            <w:vMerge w:val="restart"/>
            <w:vAlign w:val="bottom"/>
          </w:tcPr>
          <w:p w:rsidR="00AC12B4" w:rsidRDefault="00C27636">
            <w:pPr>
              <w:ind w:right="840"/>
              <w:jc w:val="right"/>
              <w:rPr>
                <w:sz w:val="20"/>
                <w:szCs w:val="20"/>
              </w:rPr>
            </w:pPr>
            <w:r>
              <w:rPr>
                <w:rFonts w:ascii="Wingdings" w:eastAsia="Wingdings" w:hAnsi="Wingdings" w:cs="Wingdings"/>
                <w:color w:val="4BACC6"/>
              </w:rPr>
              <w:t></w:t>
            </w:r>
            <w:r>
              <w:rPr>
                <w:rFonts w:ascii="Wingdings" w:eastAsia="Wingdings" w:hAnsi="Wingdings" w:cs="Wingdings"/>
                <w:color w:val="4BACC6"/>
              </w:rPr>
              <w:t></w:t>
            </w:r>
            <w:r>
              <w:rPr>
                <w:rFonts w:ascii="Cambria" w:eastAsia="Cambria" w:hAnsi="Cambria" w:cs="Cambria"/>
                <w:i/>
                <w:iCs/>
                <w:color w:val="4BACC6"/>
              </w:rPr>
              <w:t>Limite de la mesure</w:t>
            </w:r>
          </w:p>
        </w:tc>
        <w:tc>
          <w:tcPr>
            <w:tcW w:w="0" w:type="dxa"/>
            <w:vAlign w:val="bottom"/>
          </w:tcPr>
          <w:p w:rsidR="00AC12B4" w:rsidRDefault="00AC12B4">
            <w:pPr>
              <w:rPr>
                <w:sz w:val="1"/>
                <w:szCs w:val="1"/>
              </w:rPr>
            </w:pPr>
          </w:p>
        </w:tc>
      </w:tr>
      <w:tr w:rsidR="00AC12B4">
        <w:trPr>
          <w:trHeight w:val="224"/>
        </w:trPr>
        <w:tc>
          <w:tcPr>
            <w:tcW w:w="480" w:type="dxa"/>
            <w:tcBorders>
              <w:left w:val="single" w:sz="8" w:space="0" w:color="8BCCEC"/>
            </w:tcBorders>
            <w:vAlign w:val="bottom"/>
          </w:tcPr>
          <w:p w:rsidR="00AC12B4" w:rsidRDefault="00AC12B4">
            <w:pPr>
              <w:rPr>
                <w:sz w:val="19"/>
                <w:szCs w:val="19"/>
              </w:rPr>
            </w:pPr>
          </w:p>
        </w:tc>
        <w:tc>
          <w:tcPr>
            <w:tcW w:w="32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80" w:type="dxa"/>
            <w:tcBorders>
              <w:right w:val="single" w:sz="8" w:space="0" w:color="868686"/>
            </w:tcBorders>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4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360" w:type="dxa"/>
            <w:vAlign w:val="bottom"/>
          </w:tcPr>
          <w:p w:rsidR="00AC12B4" w:rsidRDefault="00AC12B4">
            <w:pPr>
              <w:rPr>
                <w:sz w:val="19"/>
                <w:szCs w:val="19"/>
              </w:rPr>
            </w:pPr>
          </w:p>
        </w:tc>
        <w:tc>
          <w:tcPr>
            <w:tcW w:w="4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8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340" w:type="dxa"/>
            <w:vAlign w:val="bottom"/>
          </w:tcPr>
          <w:p w:rsidR="00AC12B4" w:rsidRDefault="00AC12B4">
            <w:pPr>
              <w:rPr>
                <w:sz w:val="19"/>
                <w:szCs w:val="19"/>
              </w:rPr>
            </w:pPr>
          </w:p>
        </w:tc>
        <w:tc>
          <w:tcPr>
            <w:tcW w:w="140" w:type="dxa"/>
            <w:tcBorders>
              <w:right w:val="single" w:sz="8" w:space="0" w:color="8BCCEC"/>
            </w:tcBorders>
            <w:vAlign w:val="bottom"/>
          </w:tcPr>
          <w:p w:rsidR="00AC12B4" w:rsidRDefault="00AC12B4">
            <w:pPr>
              <w:rPr>
                <w:sz w:val="19"/>
                <w:szCs w:val="19"/>
              </w:rPr>
            </w:pPr>
          </w:p>
        </w:tc>
        <w:tc>
          <w:tcPr>
            <w:tcW w:w="500" w:type="dxa"/>
            <w:vAlign w:val="bottom"/>
          </w:tcPr>
          <w:p w:rsidR="00AC12B4" w:rsidRDefault="00AC12B4">
            <w:pPr>
              <w:rPr>
                <w:sz w:val="19"/>
                <w:szCs w:val="19"/>
              </w:rPr>
            </w:pPr>
          </w:p>
        </w:tc>
        <w:tc>
          <w:tcPr>
            <w:tcW w:w="3280" w:type="dxa"/>
            <w:gridSpan w:val="6"/>
            <w:vMerge/>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rsidRPr="00C27636">
        <w:trPr>
          <w:trHeight w:val="201"/>
        </w:trPr>
        <w:tc>
          <w:tcPr>
            <w:tcW w:w="800" w:type="dxa"/>
            <w:gridSpan w:val="2"/>
            <w:vMerge w:val="restart"/>
            <w:tcBorders>
              <w:left w:val="single" w:sz="8" w:space="0" w:color="8BCCEC"/>
            </w:tcBorders>
            <w:vAlign w:val="bottom"/>
          </w:tcPr>
          <w:p w:rsidR="00AC12B4" w:rsidRDefault="00C27636">
            <w:pPr>
              <w:jc w:val="right"/>
              <w:rPr>
                <w:sz w:val="20"/>
                <w:szCs w:val="20"/>
              </w:rPr>
            </w:pPr>
            <w:r>
              <w:rPr>
                <w:rFonts w:ascii="Calibri" w:eastAsia="Calibri" w:hAnsi="Calibri" w:cs="Calibri"/>
                <w:sz w:val="20"/>
                <w:szCs w:val="20"/>
              </w:rPr>
              <w:t>15,00%</w:t>
            </w:r>
          </w:p>
        </w:tc>
        <w:tc>
          <w:tcPr>
            <w:tcW w:w="60" w:type="dxa"/>
            <w:vAlign w:val="bottom"/>
          </w:tcPr>
          <w:p w:rsidR="00AC12B4" w:rsidRDefault="00AC12B4">
            <w:pPr>
              <w:rPr>
                <w:sz w:val="17"/>
                <w:szCs w:val="17"/>
              </w:rPr>
            </w:pPr>
          </w:p>
        </w:tc>
        <w:tc>
          <w:tcPr>
            <w:tcW w:w="80" w:type="dxa"/>
            <w:tcBorders>
              <w:bottom w:val="single" w:sz="8" w:space="0" w:color="868686"/>
              <w:right w:val="single" w:sz="8" w:space="0" w:color="868686"/>
            </w:tcBorders>
            <w:vAlign w:val="bottom"/>
          </w:tcPr>
          <w:p w:rsidR="00AC12B4" w:rsidRDefault="00AC12B4">
            <w:pPr>
              <w:rPr>
                <w:sz w:val="17"/>
                <w:szCs w:val="17"/>
              </w:rPr>
            </w:pPr>
          </w:p>
        </w:tc>
        <w:tc>
          <w:tcPr>
            <w:tcW w:w="1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20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60" w:type="dxa"/>
            <w:tcBorders>
              <w:bottom w:val="single" w:sz="8" w:space="0" w:color="868686"/>
            </w:tcBorders>
            <w:vAlign w:val="bottom"/>
          </w:tcPr>
          <w:p w:rsidR="00AC12B4" w:rsidRDefault="00AC12B4">
            <w:pPr>
              <w:rPr>
                <w:sz w:val="17"/>
                <w:szCs w:val="17"/>
              </w:rPr>
            </w:pPr>
          </w:p>
        </w:tc>
        <w:tc>
          <w:tcPr>
            <w:tcW w:w="4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20" w:type="dxa"/>
            <w:tcBorders>
              <w:bottom w:val="single" w:sz="8" w:space="0" w:color="868686"/>
            </w:tcBorders>
            <w:vAlign w:val="bottom"/>
          </w:tcPr>
          <w:p w:rsidR="00AC12B4" w:rsidRDefault="00AC12B4">
            <w:pPr>
              <w:rPr>
                <w:sz w:val="17"/>
                <w:szCs w:val="17"/>
              </w:rPr>
            </w:pPr>
          </w:p>
        </w:tc>
        <w:tc>
          <w:tcPr>
            <w:tcW w:w="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60" w:type="dxa"/>
            <w:tcBorders>
              <w:bottom w:val="single" w:sz="8" w:space="0" w:color="868686"/>
            </w:tcBorders>
            <w:vAlign w:val="bottom"/>
          </w:tcPr>
          <w:p w:rsidR="00AC12B4" w:rsidRDefault="00AC12B4">
            <w:pPr>
              <w:rPr>
                <w:sz w:val="17"/>
                <w:szCs w:val="17"/>
              </w:rPr>
            </w:pPr>
          </w:p>
        </w:tc>
        <w:tc>
          <w:tcPr>
            <w:tcW w:w="12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20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20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2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20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1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360" w:type="dxa"/>
            <w:vAlign w:val="bottom"/>
          </w:tcPr>
          <w:p w:rsidR="00AC12B4" w:rsidRDefault="00AC12B4">
            <w:pPr>
              <w:rPr>
                <w:sz w:val="17"/>
                <w:szCs w:val="17"/>
              </w:rPr>
            </w:pPr>
          </w:p>
        </w:tc>
        <w:tc>
          <w:tcPr>
            <w:tcW w:w="420" w:type="dxa"/>
            <w:vAlign w:val="bottom"/>
          </w:tcPr>
          <w:p w:rsidR="00AC12B4" w:rsidRDefault="00AC12B4">
            <w:pPr>
              <w:rPr>
                <w:sz w:val="17"/>
                <w:szCs w:val="17"/>
              </w:rPr>
            </w:pPr>
          </w:p>
        </w:tc>
        <w:tc>
          <w:tcPr>
            <w:tcW w:w="200" w:type="dxa"/>
            <w:vAlign w:val="bottom"/>
          </w:tcPr>
          <w:p w:rsidR="00AC12B4" w:rsidRDefault="00AC12B4">
            <w:pPr>
              <w:rPr>
                <w:sz w:val="17"/>
                <w:szCs w:val="17"/>
              </w:rPr>
            </w:pPr>
          </w:p>
        </w:tc>
        <w:tc>
          <w:tcPr>
            <w:tcW w:w="80" w:type="dxa"/>
            <w:vAlign w:val="bottom"/>
          </w:tcPr>
          <w:p w:rsidR="00AC12B4" w:rsidRDefault="00AC12B4">
            <w:pPr>
              <w:rPr>
                <w:sz w:val="17"/>
                <w:szCs w:val="17"/>
              </w:rPr>
            </w:pPr>
          </w:p>
        </w:tc>
        <w:tc>
          <w:tcPr>
            <w:tcW w:w="200" w:type="dxa"/>
            <w:vAlign w:val="bottom"/>
          </w:tcPr>
          <w:p w:rsidR="00AC12B4" w:rsidRDefault="00AC12B4">
            <w:pPr>
              <w:rPr>
                <w:sz w:val="17"/>
                <w:szCs w:val="17"/>
              </w:rPr>
            </w:pPr>
          </w:p>
        </w:tc>
        <w:tc>
          <w:tcPr>
            <w:tcW w:w="340" w:type="dxa"/>
            <w:vAlign w:val="bottom"/>
          </w:tcPr>
          <w:p w:rsidR="00AC12B4" w:rsidRDefault="00AC12B4">
            <w:pPr>
              <w:rPr>
                <w:sz w:val="17"/>
                <w:szCs w:val="17"/>
              </w:rPr>
            </w:pPr>
          </w:p>
        </w:tc>
        <w:tc>
          <w:tcPr>
            <w:tcW w:w="140" w:type="dxa"/>
            <w:tcBorders>
              <w:right w:val="single" w:sz="8" w:space="0" w:color="8BCCEC"/>
            </w:tcBorders>
            <w:vAlign w:val="bottom"/>
          </w:tcPr>
          <w:p w:rsidR="00AC12B4" w:rsidRDefault="00AC12B4">
            <w:pPr>
              <w:rPr>
                <w:sz w:val="17"/>
                <w:szCs w:val="17"/>
              </w:rPr>
            </w:pPr>
          </w:p>
        </w:tc>
        <w:tc>
          <w:tcPr>
            <w:tcW w:w="3780" w:type="dxa"/>
            <w:gridSpan w:val="7"/>
            <w:vMerge w:val="restart"/>
            <w:vAlign w:val="bottom"/>
          </w:tcPr>
          <w:p w:rsidR="00AC12B4" w:rsidRPr="00C27636" w:rsidRDefault="00C27636">
            <w:pPr>
              <w:ind w:left="160"/>
              <w:rPr>
                <w:sz w:val="20"/>
                <w:szCs w:val="20"/>
                <w:lang w:val="fr-BE"/>
              </w:rPr>
            </w:pPr>
            <w:r w:rsidRPr="00C27636">
              <w:rPr>
                <w:rFonts w:ascii="Calibri" w:eastAsia="Calibri" w:hAnsi="Calibri" w:cs="Calibri"/>
                <w:lang w:val="fr-BE"/>
              </w:rPr>
              <w:t>Bien que l’échantillon de départ</w:t>
            </w:r>
          </w:p>
        </w:tc>
        <w:tc>
          <w:tcPr>
            <w:tcW w:w="0" w:type="dxa"/>
            <w:vAlign w:val="bottom"/>
          </w:tcPr>
          <w:p w:rsidR="00AC12B4" w:rsidRPr="00C27636" w:rsidRDefault="00AC12B4">
            <w:pPr>
              <w:rPr>
                <w:sz w:val="1"/>
                <w:szCs w:val="1"/>
                <w:lang w:val="fr-BE"/>
              </w:rPr>
            </w:pPr>
          </w:p>
        </w:tc>
      </w:tr>
      <w:tr w:rsidR="00AC12B4" w:rsidRPr="00C27636">
        <w:trPr>
          <w:trHeight w:val="93"/>
        </w:trPr>
        <w:tc>
          <w:tcPr>
            <w:tcW w:w="800" w:type="dxa"/>
            <w:gridSpan w:val="2"/>
            <w:vMerge/>
            <w:tcBorders>
              <w:left w:val="single" w:sz="8" w:space="0" w:color="8BCCEC"/>
            </w:tcBorders>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80" w:type="dxa"/>
            <w:tcBorders>
              <w:right w:val="single" w:sz="8" w:space="0" w:color="868686"/>
            </w:tcBorders>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6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60" w:type="dxa"/>
            <w:vAlign w:val="bottom"/>
          </w:tcPr>
          <w:p w:rsidR="00AC12B4" w:rsidRPr="00C27636" w:rsidRDefault="00AC12B4">
            <w:pPr>
              <w:rPr>
                <w:sz w:val="8"/>
                <w:szCs w:val="8"/>
                <w:lang w:val="fr-BE"/>
              </w:rPr>
            </w:pPr>
          </w:p>
        </w:tc>
        <w:tc>
          <w:tcPr>
            <w:tcW w:w="4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20" w:type="dxa"/>
            <w:vAlign w:val="bottom"/>
          </w:tcPr>
          <w:p w:rsidR="00AC12B4" w:rsidRPr="00C27636" w:rsidRDefault="00AC12B4">
            <w:pPr>
              <w:rPr>
                <w:sz w:val="8"/>
                <w:szCs w:val="8"/>
                <w:lang w:val="fr-BE"/>
              </w:rPr>
            </w:pPr>
          </w:p>
        </w:tc>
        <w:tc>
          <w:tcPr>
            <w:tcW w:w="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12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2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360" w:type="dxa"/>
            <w:vAlign w:val="bottom"/>
          </w:tcPr>
          <w:p w:rsidR="00AC12B4" w:rsidRPr="00C27636" w:rsidRDefault="00AC12B4">
            <w:pPr>
              <w:rPr>
                <w:sz w:val="8"/>
                <w:szCs w:val="8"/>
                <w:lang w:val="fr-BE"/>
              </w:rPr>
            </w:pPr>
          </w:p>
        </w:tc>
        <w:tc>
          <w:tcPr>
            <w:tcW w:w="4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8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340" w:type="dxa"/>
            <w:vAlign w:val="bottom"/>
          </w:tcPr>
          <w:p w:rsidR="00AC12B4" w:rsidRPr="00C27636" w:rsidRDefault="00AC12B4">
            <w:pPr>
              <w:rPr>
                <w:sz w:val="8"/>
                <w:szCs w:val="8"/>
                <w:lang w:val="fr-BE"/>
              </w:rPr>
            </w:pPr>
          </w:p>
        </w:tc>
        <w:tc>
          <w:tcPr>
            <w:tcW w:w="140" w:type="dxa"/>
            <w:tcBorders>
              <w:right w:val="single" w:sz="8" w:space="0" w:color="8BCCEC"/>
            </w:tcBorders>
            <w:vAlign w:val="bottom"/>
          </w:tcPr>
          <w:p w:rsidR="00AC12B4" w:rsidRPr="00C27636" w:rsidRDefault="00AC12B4">
            <w:pPr>
              <w:rPr>
                <w:sz w:val="8"/>
                <w:szCs w:val="8"/>
                <w:lang w:val="fr-BE"/>
              </w:rPr>
            </w:pPr>
          </w:p>
        </w:tc>
        <w:tc>
          <w:tcPr>
            <w:tcW w:w="3780" w:type="dxa"/>
            <w:gridSpan w:val="7"/>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rsidRPr="00C27636">
        <w:trPr>
          <w:trHeight w:val="105"/>
        </w:trPr>
        <w:tc>
          <w:tcPr>
            <w:tcW w:w="480" w:type="dxa"/>
            <w:tcBorders>
              <w:left w:val="single" w:sz="8" w:space="0" w:color="8BCCEC"/>
            </w:tcBorders>
            <w:vAlign w:val="bottom"/>
          </w:tcPr>
          <w:p w:rsidR="00AC12B4" w:rsidRPr="00C27636" w:rsidRDefault="00AC12B4">
            <w:pPr>
              <w:rPr>
                <w:sz w:val="9"/>
                <w:szCs w:val="9"/>
                <w:lang w:val="fr-BE"/>
              </w:rPr>
            </w:pPr>
          </w:p>
        </w:tc>
        <w:tc>
          <w:tcPr>
            <w:tcW w:w="320" w:type="dxa"/>
            <w:vAlign w:val="bottom"/>
          </w:tcPr>
          <w:p w:rsidR="00AC12B4" w:rsidRPr="00C27636" w:rsidRDefault="00AC12B4">
            <w:pPr>
              <w:rPr>
                <w:sz w:val="9"/>
                <w:szCs w:val="9"/>
                <w:lang w:val="fr-BE"/>
              </w:rPr>
            </w:pPr>
          </w:p>
        </w:tc>
        <w:tc>
          <w:tcPr>
            <w:tcW w:w="60" w:type="dxa"/>
            <w:vAlign w:val="bottom"/>
          </w:tcPr>
          <w:p w:rsidR="00AC12B4" w:rsidRPr="00C27636" w:rsidRDefault="00AC12B4">
            <w:pPr>
              <w:rPr>
                <w:sz w:val="9"/>
                <w:szCs w:val="9"/>
                <w:lang w:val="fr-BE"/>
              </w:rPr>
            </w:pPr>
          </w:p>
        </w:tc>
        <w:tc>
          <w:tcPr>
            <w:tcW w:w="80" w:type="dxa"/>
            <w:tcBorders>
              <w:right w:val="single" w:sz="8" w:space="0" w:color="868686"/>
            </w:tcBorders>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4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6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6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360" w:type="dxa"/>
            <w:vAlign w:val="bottom"/>
          </w:tcPr>
          <w:p w:rsidR="00AC12B4" w:rsidRPr="00C27636" w:rsidRDefault="00AC12B4">
            <w:pPr>
              <w:rPr>
                <w:sz w:val="9"/>
                <w:szCs w:val="9"/>
                <w:lang w:val="fr-BE"/>
              </w:rPr>
            </w:pPr>
          </w:p>
        </w:tc>
        <w:tc>
          <w:tcPr>
            <w:tcW w:w="4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340" w:type="dxa"/>
            <w:vAlign w:val="bottom"/>
          </w:tcPr>
          <w:p w:rsidR="00AC12B4" w:rsidRPr="00C27636" w:rsidRDefault="00AC12B4">
            <w:pPr>
              <w:rPr>
                <w:sz w:val="9"/>
                <w:szCs w:val="9"/>
                <w:lang w:val="fr-BE"/>
              </w:rPr>
            </w:pPr>
          </w:p>
        </w:tc>
        <w:tc>
          <w:tcPr>
            <w:tcW w:w="140" w:type="dxa"/>
            <w:tcBorders>
              <w:right w:val="single" w:sz="8" w:space="0" w:color="8BCCEC"/>
            </w:tcBorders>
            <w:vAlign w:val="bottom"/>
          </w:tcPr>
          <w:p w:rsidR="00AC12B4" w:rsidRPr="00C27636" w:rsidRDefault="00AC12B4">
            <w:pPr>
              <w:rPr>
                <w:sz w:val="9"/>
                <w:szCs w:val="9"/>
                <w:lang w:val="fr-BE"/>
              </w:rPr>
            </w:pPr>
          </w:p>
        </w:tc>
        <w:tc>
          <w:tcPr>
            <w:tcW w:w="3780" w:type="dxa"/>
            <w:gridSpan w:val="7"/>
            <w:vMerge/>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107"/>
        </w:trPr>
        <w:tc>
          <w:tcPr>
            <w:tcW w:w="800" w:type="dxa"/>
            <w:gridSpan w:val="2"/>
            <w:vMerge w:val="restart"/>
            <w:tcBorders>
              <w:left w:val="single" w:sz="8" w:space="0" w:color="8BCCEC"/>
            </w:tcBorders>
            <w:vAlign w:val="bottom"/>
          </w:tcPr>
          <w:p w:rsidR="00AC12B4" w:rsidRDefault="00C27636">
            <w:pPr>
              <w:jc w:val="right"/>
              <w:rPr>
                <w:sz w:val="20"/>
                <w:szCs w:val="20"/>
              </w:rPr>
            </w:pPr>
            <w:r>
              <w:rPr>
                <w:rFonts w:ascii="Calibri" w:eastAsia="Calibri" w:hAnsi="Calibri" w:cs="Calibri"/>
                <w:sz w:val="20"/>
                <w:szCs w:val="20"/>
              </w:rPr>
              <w:t>10,00%</w:t>
            </w:r>
          </w:p>
        </w:tc>
        <w:tc>
          <w:tcPr>
            <w:tcW w:w="60" w:type="dxa"/>
            <w:vAlign w:val="bottom"/>
          </w:tcPr>
          <w:p w:rsidR="00AC12B4" w:rsidRDefault="00AC12B4">
            <w:pPr>
              <w:rPr>
                <w:sz w:val="9"/>
                <w:szCs w:val="9"/>
              </w:rPr>
            </w:pPr>
          </w:p>
        </w:tc>
        <w:tc>
          <w:tcPr>
            <w:tcW w:w="80" w:type="dxa"/>
            <w:tcBorders>
              <w:right w:val="single" w:sz="8" w:space="0" w:color="868686"/>
            </w:tcBorders>
            <w:vAlign w:val="bottom"/>
          </w:tcPr>
          <w:p w:rsidR="00AC12B4" w:rsidRDefault="00AC12B4">
            <w:pPr>
              <w:rPr>
                <w:sz w:val="9"/>
                <w:szCs w:val="9"/>
              </w:rPr>
            </w:pPr>
          </w:p>
        </w:tc>
        <w:tc>
          <w:tcPr>
            <w:tcW w:w="1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60" w:type="dxa"/>
            <w:vAlign w:val="bottom"/>
          </w:tcPr>
          <w:p w:rsidR="00AC12B4" w:rsidRDefault="00AC12B4">
            <w:pPr>
              <w:rPr>
                <w:sz w:val="9"/>
                <w:szCs w:val="9"/>
              </w:rPr>
            </w:pPr>
          </w:p>
        </w:tc>
        <w:tc>
          <w:tcPr>
            <w:tcW w:w="4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60" w:type="dxa"/>
            <w:vAlign w:val="bottom"/>
          </w:tcPr>
          <w:p w:rsidR="00AC12B4" w:rsidRDefault="00AC12B4">
            <w:pPr>
              <w:rPr>
                <w:sz w:val="9"/>
                <w:szCs w:val="9"/>
              </w:rPr>
            </w:pPr>
          </w:p>
        </w:tc>
        <w:tc>
          <w:tcPr>
            <w:tcW w:w="420" w:type="dxa"/>
            <w:tcBorders>
              <w:bottom w:val="single" w:sz="8" w:space="0" w:color="BE4B48"/>
            </w:tcBorders>
            <w:vAlign w:val="bottom"/>
          </w:tcPr>
          <w:p w:rsidR="00AC12B4" w:rsidRDefault="00AC12B4">
            <w:pPr>
              <w:rPr>
                <w:sz w:val="9"/>
                <w:szCs w:val="9"/>
              </w:rPr>
            </w:pPr>
          </w:p>
        </w:tc>
        <w:tc>
          <w:tcPr>
            <w:tcW w:w="820" w:type="dxa"/>
            <w:gridSpan w:val="4"/>
            <w:vMerge w:val="restart"/>
            <w:vAlign w:val="bottom"/>
          </w:tcPr>
          <w:p w:rsidR="00AC12B4" w:rsidRDefault="00C27636">
            <w:pPr>
              <w:spacing w:line="210" w:lineRule="exact"/>
              <w:ind w:left="20"/>
              <w:rPr>
                <w:sz w:val="20"/>
                <w:szCs w:val="20"/>
              </w:rPr>
            </w:pPr>
            <w:r>
              <w:rPr>
                <w:rFonts w:ascii="Calibri" w:eastAsia="Calibri" w:hAnsi="Calibri" w:cs="Calibri"/>
                <w:sz w:val="20"/>
                <w:szCs w:val="20"/>
              </w:rPr>
              <w:t>Total</w:t>
            </w:r>
          </w:p>
        </w:tc>
        <w:tc>
          <w:tcPr>
            <w:tcW w:w="140" w:type="dxa"/>
            <w:tcBorders>
              <w:right w:val="single" w:sz="8" w:space="0" w:color="8BCCEC"/>
            </w:tcBorders>
            <w:vAlign w:val="bottom"/>
          </w:tcPr>
          <w:p w:rsidR="00AC12B4" w:rsidRDefault="00AC12B4">
            <w:pPr>
              <w:rPr>
                <w:sz w:val="9"/>
                <w:szCs w:val="9"/>
              </w:rPr>
            </w:pPr>
          </w:p>
        </w:tc>
        <w:tc>
          <w:tcPr>
            <w:tcW w:w="500" w:type="dxa"/>
            <w:vMerge w:val="restart"/>
            <w:vAlign w:val="bottom"/>
          </w:tcPr>
          <w:p w:rsidR="00AC12B4" w:rsidRDefault="00C27636">
            <w:pPr>
              <w:ind w:left="160"/>
              <w:rPr>
                <w:sz w:val="20"/>
                <w:szCs w:val="20"/>
              </w:rPr>
            </w:pPr>
            <w:r>
              <w:rPr>
                <w:rFonts w:ascii="Calibri" w:eastAsia="Calibri" w:hAnsi="Calibri" w:cs="Calibri"/>
                <w:w w:val="97"/>
              </w:rPr>
              <w:t>soit</w:t>
            </w:r>
          </w:p>
        </w:tc>
        <w:tc>
          <w:tcPr>
            <w:tcW w:w="1340" w:type="dxa"/>
            <w:gridSpan w:val="2"/>
            <w:vMerge w:val="restart"/>
            <w:vAlign w:val="bottom"/>
          </w:tcPr>
          <w:p w:rsidR="00AC12B4" w:rsidRDefault="00C27636">
            <w:pPr>
              <w:ind w:right="18"/>
              <w:jc w:val="right"/>
              <w:rPr>
                <w:sz w:val="20"/>
                <w:szCs w:val="20"/>
              </w:rPr>
            </w:pPr>
            <w:r>
              <w:rPr>
                <w:rFonts w:ascii="Calibri" w:eastAsia="Calibri" w:hAnsi="Calibri" w:cs="Calibri"/>
              </w:rPr>
              <w:t>assez large,</w:t>
            </w:r>
          </w:p>
        </w:tc>
        <w:tc>
          <w:tcPr>
            <w:tcW w:w="720" w:type="dxa"/>
            <w:gridSpan w:val="2"/>
            <w:vMerge w:val="restart"/>
            <w:vAlign w:val="bottom"/>
          </w:tcPr>
          <w:p w:rsidR="00AC12B4" w:rsidRDefault="00C27636">
            <w:pPr>
              <w:ind w:left="20"/>
              <w:rPr>
                <w:sz w:val="20"/>
                <w:szCs w:val="20"/>
              </w:rPr>
            </w:pPr>
            <w:r>
              <w:rPr>
                <w:rFonts w:ascii="Calibri" w:eastAsia="Calibri" w:hAnsi="Calibri" w:cs="Calibri"/>
              </w:rPr>
              <w:t>le fait</w:t>
            </w:r>
          </w:p>
        </w:tc>
        <w:tc>
          <w:tcPr>
            <w:tcW w:w="1220" w:type="dxa"/>
            <w:gridSpan w:val="2"/>
            <w:vMerge w:val="restart"/>
            <w:vAlign w:val="bottom"/>
          </w:tcPr>
          <w:p w:rsidR="00AC12B4" w:rsidRDefault="00C27636">
            <w:pPr>
              <w:ind w:right="660"/>
              <w:jc w:val="right"/>
              <w:rPr>
                <w:sz w:val="20"/>
                <w:szCs w:val="20"/>
              </w:rPr>
            </w:pPr>
            <w:r>
              <w:rPr>
                <w:rFonts w:ascii="Calibri" w:eastAsia="Calibri" w:hAnsi="Calibri" w:cs="Calibri"/>
              </w:rPr>
              <w:t>de se</w:t>
            </w:r>
          </w:p>
        </w:tc>
        <w:tc>
          <w:tcPr>
            <w:tcW w:w="0" w:type="dxa"/>
            <w:vAlign w:val="bottom"/>
          </w:tcPr>
          <w:p w:rsidR="00AC12B4" w:rsidRDefault="00AC12B4">
            <w:pPr>
              <w:rPr>
                <w:sz w:val="1"/>
                <w:szCs w:val="1"/>
              </w:rPr>
            </w:pPr>
          </w:p>
        </w:tc>
      </w:tr>
      <w:tr w:rsidR="00AC12B4">
        <w:trPr>
          <w:trHeight w:val="141"/>
        </w:trPr>
        <w:tc>
          <w:tcPr>
            <w:tcW w:w="800" w:type="dxa"/>
            <w:gridSpan w:val="2"/>
            <w:vMerge/>
            <w:tcBorders>
              <w:left w:val="single" w:sz="8" w:space="0" w:color="8BCCEC"/>
            </w:tcBorders>
            <w:vAlign w:val="bottom"/>
          </w:tcPr>
          <w:p w:rsidR="00AC12B4" w:rsidRDefault="00AC12B4">
            <w:pPr>
              <w:rPr>
                <w:sz w:val="12"/>
                <w:szCs w:val="12"/>
              </w:rPr>
            </w:pPr>
          </w:p>
        </w:tc>
        <w:tc>
          <w:tcPr>
            <w:tcW w:w="60" w:type="dxa"/>
            <w:vAlign w:val="bottom"/>
          </w:tcPr>
          <w:p w:rsidR="00AC12B4" w:rsidRDefault="00AC12B4">
            <w:pPr>
              <w:rPr>
                <w:sz w:val="12"/>
                <w:szCs w:val="12"/>
              </w:rPr>
            </w:pPr>
          </w:p>
        </w:tc>
        <w:tc>
          <w:tcPr>
            <w:tcW w:w="80" w:type="dxa"/>
            <w:tcBorders>
              <w:right w:val="single" w:sz="8" w:space="0" w:color="868686"/>
            </w:tcBorders>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2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60" w:type="dxa"/>
            <w:vAlign w:val="bottom"/>
          </w:tcPr>
          <w:p w:rsidR="00AC12B4" w:rsidRDefault="00AC12B4">
            <w:pPr>
              <w:rPr>
                <w:sz w:val="12"/>
                <w:szCs w:val="12"/>
              </w:rPr>
            </w:pPr>
          </w:p>
        </w:tc>
        <w:tc>
          <w:tcPr>
            <w:tcW w:w="4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2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2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6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20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180" w:type="dxa"/>
            <w:vAlign w:val="bottom"/>
          </w:tcPr>
          <w:p w:rsidR="00AC12B4" w:rsidRDefault="00AC12B4">
            <w:pPr>
              <w:rPr>
                <w:sz w:val="12"/>
                <w:szCs w:val="12"/>
              </w:rPr>
            </w:pPr>
          </w:p>
        </w:tc>
        <w:tc>
          <w:tcPr>
            <w:tcW w:w="20" w:type="dxa"/>
            <w:vAlign w:val="bottom"/>
          </w:tcPr>
          <w:p w:rsidR="00AC12B4" w:rsidRDefault="00AC12B4">
            <w:pPr>
              <w:rPr>
                <w:sz w:val="12"/>
                <w:szCs w:val="12"/>
              </w:rPr>
            </w:pPr>
          </w:p>
        </w:tc>
        <w:tc>
          <w:tcPr>
            <w:tcW w:w="360" w:type="dxa"/>
            <w:vAlign w:val="bottom"/>
          </w:tcPr>
          <w:p w:rsidR="00AC12B4" w:rsidRDefault="00AC12B4">
            <w:pPr>
              <w:rPr>
                <w:sz w:val="12"/>
                <w:szCs w:val="12"/>
              </w:rPr>
            </w:pPr>
          </w:p>
        </w:tc>
        <w:tc>
          <w:tcPr>
            <w:tcW w:w="420" w:type="dxa"/>
            <w:vAlign w:val="bottom"/>
          </w:tcPr>
          <w:p w:rsidR="00AC12B4" w:rsidRDefault="00AC12B4">
            <w:pPr>
              <w:rPr>
                <w:sz w:val="12"/>
                <w:szCs w:val="12"/>
              </w:rPr>
            </w:pPr>
          </w:p>
        </w:tc>
        <w:tc>
          <w:tcPr>
            <w:tcW w:w="820" w:type="dxa"/>
            <w:gridSpan w:val="4"/>
            <w:vMerge/>
            <w:vAlign w:val="bottom"/>
          </w:tcPr>
          <w:p w:rsidR="00AC12B4" w:rsidRDefault="00AC12B4">
            <w:pPr>
              <w:rPr>
                <w:sz w:val="12"/>
                <w:szCs w:val="12"/>
              </w:rPr>
            </w:pPr>
          </w:p>
        </w:tc>
        <w:tc>
          <w:tcPr>
            <w:tcW w:w="140" w:type="dxa"/>
            <w:tcBorders>
              <w:right w:val="single" w:sz="8" w:space="0" w:color="8BCCEC"/>
            </w:tcBorders>
            <w:vAlign w:val="bottom"/>
          </w:tcPr>
          <w:p w:rsidR="00AC12B4" w:rsidRDefault="00AC12B4">
            <w:pPr>
              <w:rPr>
                <w:sz w:val="12"/>
                <w:szCs w:val="12"/>
              </w:rPr>
            </w:pPr>
          </w:p>
        </w:tc>
        <w:tc>
          <w:tcPr>
            <w:tcW w:w="500" w:type="dxa"/>
            <w:vMerge/>
            <w:vAlign w:val="bottom"/>
          </w:tcPr>
          <w:p w:rsidR="00AC12B4" w:rsidRDefault="00AC12B4">
            <w:pPr>
              <w:rPr>
                <w:sz w:val="12"/>
                <w:szCs w:val="12"/>
              </w:rPr>
            </w:pPr>
          </w:p>
        </w:tc>
        <w:tc>
          <w:tcPr>
            <w:tcW w:w="1340" w:type="dxa"/>
            <w:gridSpan w:val="2"/>
            <w:vMerge/>
            <w:vAlign w:val="bottom"/>
          </w:tcPr>
          <w:p w:rsidR="00AC12B4" w:rsidRDefault="00AC12B4">
            <w:pPr>
              <w:rPr>
                <w:sz w:val="12"/>
                <w:szCs w:val="12"/>
              </w:rPr>
            </w:pPr>
          </w:p>
        </w:tc>
        <w:tc>
          <w:tcPr>
            <w:tcW w:w="720" w:type="dxa"/>
            <w:gridSpan w:val="2"/>
            <w:vMerge/>
            <w:vAlign w:val="bottom"/>
          </w:tcPr>
          <w:p w:rsidR="00AC12B4" w:rsidRDefault="00AC12B4">
            <w:pPr>
              <w:rPr>
                <w:sz w:val="12"/>
                <w:szCs w:val="12"/>
              </w:rPr>
            </w:pPr>
          </w:p>
        </w:tc>
        <w:tc>
          <w:tcPr>
            <w:tcW w:w="1220" w:type="dxa"/>
            <w:gridSpan w:val="2"/>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51"/>
        </w:trPr>
        <w:tc>
          <w:tcPr>
            <w:tcW w:w="800" w:type="dxa"/>
            <w:gridSpan w:val="2"/>
            <w:vMerge/>
            <w:tcBorders>
              <w:left w:val="single" w:sz="8" w:space="0" w:color="8BCCEC"/>
            </w:tcBorders>
            <w:vAlign w:val="bottom"/>
          </w:tcPr>
          <w:p w:rsidR="00AC12B4" w:rsidRDefault="00AC12B4">
            <w:pPr>
              <w:rPr>
                <w:sz w:val="4"/>
                <w:szCs w:val="4"/>
              </w:rPr>
            </w:pPr>
          </w:p>
        </w:tc>
        <w:tc>
          <w:tcPr>
            <w:tcW w:w="60" w:type="dxa"/>
            <w:vAlign w:val="bottom"/>
          </w:tcPr>
          <w:p w:rsidR="00AC12B4" w:rsidRDefault="00AC12B4">
            <w:pPr>
              <w:rPr>
                <w:sz w:val="4"/>
                <w:szCs w:val="4"/>
              </w:rPr>
            </w:pPr>
          </w:p>
        </w:tc>
        <w:tc>
          <w:tcPr>
            <w:tcW w:w="80" w:type="dxa"/>
            <w:tcBorders>
              <w:bottom w:val="single" w:sz="8" w:space="0" w:color="868686"/>
              <w:right w:val="single" w:sz="8" w:space="0" w:color="868686"/>
            </w:tcBorders>
            <w:vAlign w:val="bottom"/>
          </w:tcPr>
          <w:p w:rsidR="00AC12B4" w:rsidRDefault="00AC12B4">
            <w:pPr>
              <w:rPr>
                <w:sz w:val="4"/>
                <w:szCs w:val="4"/>
              </w:rPr>
            </w:pPr>
          </w:p>
        </w:tc>
        <w:tc>
          <w:tcPr>
            <w:tcW w:w="1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2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60" w:type="dxa"/>
            <w:tcBorders>
              <w:bottom w:val="single" w:sz="8" w:space="0" w:color="868686"/>
            </w:tcBorders>
            <w:vAlign w:val="bottom"/>
          </w:tcPr>
          <w:p w:rsidR="00AC12B4" w:rsidRDefault="00AC12B4">
            <w:pPr>
              <w:rPr>
                <w:sz w:val="4"/>
                <w:szCs w:val="4"/>
              </w:rPr>
            </w:pPr>
          </w:p>
        </w:tc>
        <w:tc>
          <w:tcPr>
            <w:tcW w:w="4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20" w:type="dxa"/>
            <w:tcBorders>
              <w:bottom w:val="single" w:sz="8" w:space="0" w:color="868686"/>
            </w:tcBorders>
            <w:vAlign w:val="bottom"/>
          </w:tcPr>
          <w:p w:rsidR="00AC12B4" w:rsidRDefault="00AC12B4">
            <w:pPr>
              <w:rPr>
                <w:sz w:val="4"/>
                <w:szCs w:val="4"/>
              </w:rPr>
            </w:pPr>
          </w:p>
        </w:tc>
        <w:tc>
          <w:tcPr>
            <w:tcW w:w="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60" w:type="dxa"/>
            <w:tcBorders>
              <w:bottom w:val="single" w:sz="8" w:space="0" w:color="868686"/>
            </w:tcBorders>
            <w:vAlign w:val="bottom"/>
          </w:tcPr>
          <w:p w:rsidR="00AC12B4" w:rsidRDefault="00AC12B4">
            <w:pPr>
              <w:rPr>
                <w:sz w:val="4"/>
                <w:szCs w:val="4"/>
              </w:rPr>
            </w:pPr>
          </w:p>
        </w:tc>
        <w:tc>
          <w:tcPr>
            <w:tcW w:w="12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2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2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2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2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6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820" w:type="dxa"/>
            <w:gridSpan w:val="4"/>
            <w:vMerge w:val="restart"/>
            <w:vAlign w:val="bottom"/>
          </w:tcPr>
          <w:p w:rsidR="00AC12B4" w:rsidRDefault="00C27636">
            <w:pPr>
              <w:ind w:left="20"/>
              <w:rPr>
                <w:sz w:val="20"/>
                <w:szCs w:val="20"/>
              </w:rPr>
            </w:pPr>
            <w:r>
              <w:rPr>
                <w:rFonts w:ascii="Calibri" w:eastAsia="Calibri" w:hAnsi="Calibri" w:cs="Calibri"/>
                <w:sz w:val="20"/>
                <w:szCs w:val="20"/>
              </w:rPr>
              <w:t>Hommes</w:t>
            </w:r>
          </w:p>
        </w:tc>
        <w:tc>
          <w:tcPr>
            <w:tcW w:w="140" w:type="dxa"/>
            <w:tcBorders>
              <w:right w:val="single" w:sz="8" w:space="0" w:color="8BCCEC"/>
            </w:tcBorders>
            <w:vAlign w:val="bottom"/>
          </w:tcPr>
          <w:p w:rsidR="00AC12B4" w:rsidRDefault="00AC12B4">
            <w:pPr>
              <w:rPr>
                <w:sz w:val="4"/>
                <w:szCs w:val="4"/>
              </w:rPr>
            </w:pPr>
          </w:p>
        </w:tc>
        <w:tc>
          <w:tcPr>
            <w:tcW w:w="1420" w:type="dxa"/>
            <w:gridSpan w:val="2"/>
            <w:vMerge w:val="restart"/>
            <w:vAlign w:val="bottom"/>
          </w:tcPr>
          <w:p w:rsidR="00AC12B4" w:rsidRDefault="00C27636">
            <w:pPr>
              <w:ind w:left="160"/>
              <w:rPr>
                <w:sz w:val="20"/>
                <w:szCs w:val="20"/>
              </w:rPr>
            </w:pPr>
            <w:r>
              <w:rPr>
                <w:rFonts w:ascii="Calibri" w:eastAsia="Calibri" w:hAnsi="Calibri" w:cs="Calibri"/>
              </w:rPr>
              <w:t>limiter pour</w:t>
            </w:r>
          </w:p>
        </w:tc>
        <w:tc>
          <w:tcPr>
            <w:tcW w:w="420" w:type="dxa"/>
            <w:vMerge w:val="restart"/>
            <w:vAlign w:val="bottom"/>
          </w:tcPr>
          <w:p w:rsidR="00AC12B4" w:rsidRDefault="00C27636">
            <w:pPr>
              <w:ind w:right="18"/>
              <w:jc w:val="right"/>
              <w:rPr>
                <w:sz w:val="20"/>
                <w:szCs w:val="20"/>
              </w:rPr>
            </w:pPr>
            <w:r>
              <w:rPr>
                <w:rFonts w:ascii="Calibri" w:eastAsia="Calibri" w:hAnsi="Calibri" w:cs="Calibri"/>
              </w:rPr>
              <w:t>cet</w:t>
            </w:r>
          </w:p>
        </w:tc>
        <w:tc>
          <w:tcPr>
            <w:tcW w:w="1940" w:type="dxa"/>
            <w:gridSpan w:val="4"/>
            <w:vMerge w:val="restart"/>
            <w:vAlign w:val="bottom"/>
          </w:tcPr>
          <w:p w:rsidR="00AC12B4" w:rsidRDefault="00C27636">
            <w:pPr>
              <w:ind w:right="660"/>
              <w:jc w:val="right"/>
              <w:rPr>
                <w:sz w:val="20"/>
                <w:szCs w:val="20"/>
              </w:rPr>
            </w:pPr>
            <w:r>
              <w:rPr>
                <w:rFonts w:ascii="Calibri" w:eastAsia="Calibri" w:hAnsi="Calibri" w:cs="Calibri"/>
              </w:rPr>
              <w:t>indicateur-ci</w:t>
            </w:r>
          </w:p>
        </w:tc>
        <w:tc>
          <w:tcPr>
            <w:tcW w:w="0" w:type="dxa"/>
            <w:vAlign w:val="bottom"/>
          </w:tcPr>
          <w:p w:rsidR="00AC12B4" w:rsidRDefault="00AC12B4">
            <w:pPr>
              <w:rPr>
                <w:sz w:val="1"/>
                <w:szCs w:val="1"/>
              </w:rPr>
            </w:pPr>
          </w:p>
        </w:tc>
      </w:tr>
      <w:tr w:rsidR="00AC12B4">
        <w:trPr>
          <w:trHeight w:val="128"/>
        </w:trPr>
        <w:tc>
          <w:tcPr>
            <w:tcW w:w="800" w:type="dxa"/>
            <w:gridSpan w:val="2"/>
            <w:vMerge/>
            <w:tcBorders>
              <w:left w:val="single" w:sz="8" w:space="0" w:color="8BCCEC"/>
            </w:tcBorders>
            <w:vAlign w:val="bottom"/>
          </w:tcPr>
          <w:p w:rsidR="00AC12B4" w:rsidRDefault="00AC12B4">
            <w:pPr>
              <w:rPr>
                <w:sz w:val="11"/>
                <w:szCs w:val="11"/>
              </w:rPr>
            </w:pPr>
          </w:p>
        </w:tc>
        <w:tc>
          <w:tcPr>
            <w:tcW w:w="60" w:type="dxa"/>
            <w:vAlign w:val="bottom"/>
          </w:tcPr>
          <w:p w:rsidR="00AC12B4" w:rsidRDefault="00AC12B4">
            <w:pPr>
              <w:rPr>
                <w:sz w:val="11"/>
                <w:szCs w:val="11"/>
              </w:rPr>
            </w:pPr>
          </w:p>
        </w:tc>
        <w:tc>
          <w:tcPr>
            <w:tcW w:w="80" w:type="dxa"/>
            <w:tcBorders>
              <w:right w:val="single" w:sz="8" w:space="0" w:color="868686"/>
            </w:tcBorders>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6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60" w:type="dxa"/>
            <w:vAlign w:val="bottom"/>
          </w:tcPr>
          <w:p w:rsidR="00AC12B4" w:rsidRDefault="00AC12B4">
            <w:pPr>
              <w:rPr>
                <w:sz w:val="11"/>
                <w:szCs w:val="11"/>
              </w:rPr>
            </w:pPr>
          </w:p>
        </w:tc>
        <w:tc>
          <w:tcPr>
            <w:tcW w:w="4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6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20" w:type="dxa"/>
            <w:vAlign w:val="bottom"/>
          </w:tcPr>
          <w:p w:rsidR="00AC12B4" w:rsidRDefault="00AC12B4">
            <w:pPr>
              <w:rPr>
                <w:sz w:val="11"/>
                <w:szCs w:val="11"/>
              </w:rPr>
            </w:pPr>
          </w:p>
        </w:tc>
        <w:tc>
          <w:tcPr>
            <w:tcW w:w="360" w:type="dxa"/>
            <w:vAlign w:val="bottom"/>
          </w:tcPr>
          <w:p w:rsidR="00AC12B4" w:rsidRDefault="00AC12B4">
            <w:pPr>
              <w:rPr>
                <w:sz w:val="11"/>
                <w:szCs w:val="11"/>
              </w:rPr>
            </w:pPr>
          </w:p>
        </w:tc>
        <w:tc>
          <w:tcPr>
            <w:tcW w:w="420" w:type="dxa"/>
            <w:tcBorders>
              <w:bottom w:val="single" w:sz="8" w:space="0" w:color="98B954"/>
            </w:tcBorders>
            <w:vAlign w:val="bottom"/>
          </w:tcPr>
          <w:p w:rsidR="00AC12B4" w:rsidRDefault="00AC12B4">
            <w:pPr>
              <w:rPr>
                <w:sz w:val="11"/>
                <w:szCs w:val="11"/>
              </w:rPr>
            </w:pPr>
          </w:p>
        </w:tc>
        <w:tc>
          <w:tcPr>
            <w:tcW w:w="820" w:type="dxa"/>
            <w:gridSpan w:val="4"/>
            <w:vMerge/>
            <w:vAlign w:val="bottom"/>
          </w:tcPr>
          <w:p w:rsidR="00AC12B4" w:rsidRDefault="00AC12B4">
            <w:pPr>
              <w:rPr>
                <w:sz w:val="11"/>
                <w:szCs w:val="11"/>
              </w:rPr>
            </w:pPr>
          </w:p>
        </w:tc>
        <w:tc>
          <w:tcPr>
            <w:tcW w:w="140" w:type="dxa"/>
            <w:tcBorders>
              <w:right w:val="single" w:sz="8" w:space="0" w:color="8BCCEC"/>
            </w:tcBorders>
            <w:vAlign w:val="bottom"/>
          </w:tcPr>
          <w:p w:rsidR="00AC12B4" w:rsidRDefault="00AC12B4">
            <w:pPr>
              <w:rPr>
                <w:sz w:val="11"/>
                <w:szCs w:val="11"/>
              </w:rPr>
            </w:pPr>
          </w:p>
        </w:tc>
        <w:tc>
          <w:tcPr>
            <w:tcW w:w="1420" w:type="dxa"/>
            <w:gridSpan w:val="2"/>
            <w:vMerge/>
            <w:vAlign w:val="bottom"/>
          </w:tcPr>
          <w:p w:rsidR="00AC12B4" w:rsidRDefault="00AC12B4">
            <w:pPr>
              <w:rPr>
                <w:sz w:val="11"/>
                <w:szCs w:val="11"/>
              </w:rPr>
            </w:pPr>
          </w:p>
        </w:tc>
        <w:tc>
          <w:tcPr>
            <w:tcW w:w="420" w:type="dxa"/>
            <w:vMerge/>
            <w:vAlign w:val="bottom"/>
          </w:tcPr>
          <w:p w:rsidR="00AC12B4" w:rsidRDefault="00AC12B4">
            <w:pPr>
              <w:rPr>
                <w:sz w:val="11"/>
                <w:szCs w:val="11"/>
              </w:rPr>
            </w:pPr>
          </w:p>
        </w:tc>
        <w:tc>
          <w:tcPr>
            <w:tcW w:w="1940" w:type="dxa"/>
            <w:gridSpan w:val="4"/>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85"/>
        </w:trPr>
        <w:tc>
          <w:tcPr>
            <w:tcW w:w="480" w:type="dxa"/>
            <w:tcBorders>
              <w:left w:val="single" w:sz="8" w:space="0" w:color="8BCCEC"/>
            </w:tcBorders>
            <w:vAlign w:val="bottom"/>
          </w:tcPr>
          <w:p w:rsidR="00AC12B4" w:rsidRDefault="00AC12B4">
            <w:pPr>
              <w:rPr>
                <w:sz w:val="7"/>
                <w:szCs w:val="7"/>
              </w:rPr>
            </w:pPr>
          </w:p>
        </w:tc>
        <w:tc>
          <w:tcPr>
            <w:tcW w:w="3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80" w:type="dxa"/>
            <w:tcBorders>
              <w:right w:val="single" w:sz="8" w:space="0" w:color="868686"/>
            </w:tcBorders>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60" w:type="dxa"/>
            <w:vAlign w:val="bottom"/>
          </w:tcPr>
          <w:p w:rsidR="00AC12B4" w:rsidRDefault="00AC12B4">
            <w:pPr>
              <w:rPr>
                <w:sz w:val="7"/>
                <w:szCs w:val="7"/>
              </w:rPr>
            </w:pPr>
          </w:p>
        </w:tc>
        <w:tc>
          <w:tcPr>
            <w:tcW w:w="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6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820" w:type="dxa"/>
            <w:gridSpan w:val="4"/>
            <w:vMerge/>
            <w:vAlign w:val="bottom"/>
          </w:tcPr>
          <w:p w:rsidR="00AC12B4" w:rsidRDefault="00AC12B4">
            <w:pPr>
              <w:rPr>
                <w:sz w:val="7"/>
                <w:szCs w:val="7"/>
              </w:rPr>
            </w:pPr>
          </w:p>
        </w:tc>
        <w:tc>
          <w:tcPr>
            <w:tcW w:w="140" w:type="dxa"/>
            <w:tcBorders>
              <w:right w:val="single" w:sz="8" w:space="0" w:color="8BCCEC"/>
            </w:tcBorders>
            <w:vAlign w:val="bottom"/>
          </w:tcPr>
          <w:p w:rsidR="00AC12B4" w:rsidRDefault="00AC12B4">
            <w:pPr>
              <w:rPr>
                <w:sz w:val="7"/>
                <w:szCs w:val="7"/>
              </w:rPr>
            </w:pPr>
          </w:p>
        </w:tc>
        <w:tc>
          <w:tcPr>
            <w:tcW w:w="1420" w:type="dxa"/>
            <w:gridSpan w:val="2"/>
            <w:vMerge/>
            <w:vAlign w:val="bottom"/>
          </w:tcPr>
          <w:p w:rsidR="00AC12B4" w:rsidRDefault="00AC12B4">
            <w:pPr>
              <w:rPr>
                <w:sz w:val="7"/>
                <w:szCs w:val="7"/>
              </w:rPr>
            </w:pPr>
          </w:p>
        </w:tc>
        <w:tc>
          <w:tcPr>
            <w:tcW w:w="420" w:type="dxa"/>
            <w:vMerge/>
            <w:vAlign w:val="bottom"/>
          </w:tcPr>
          <w:p w:rsidR="00AC12B4" w:rsidRDefault="00AC12B4">
            <w:pPr>
              <w:rPr>
                <w:sz w:val="7"/>
                <w:szCs w:val="7"/>
              </w:rPr>
            </w:pPr>
          </w:p>
        </w:tc>
        <w:tc>
          <w:tcPr>
            <w:tcW w:w="1940" w:type="dxa"/>
            <w:gridSpan w:val="4"/>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281"/>
        </w:trPr>
        <w:tc>
          <w:tcPr>
            <w:tcW w:w="800" w:type="dxa"/>
            <w:gridSpan w:val="2"/>
            <w:vMerge w:val="restart"/>
            <w:tcBorders>
              <w:left w:val="single" w:sz="8" w:space="0" w:color="8BCCEC"/>
            </w:tcBorders>
            <w:vAlign w:val="bottom"/>
          </w:tcPr>
          <w:p w:rsidR="00AC12B4" w:rsidRDefault="00C27636">
            <w:pPr>
              <w:jc w:val="right"/>
              <w:rPr>
                <w:sz w:val="20"/>
                <w:szCs w:val="20"/>
              </w:rPr>
            </w:pPr>
            <w:r>
              <w:rPr>
                <w:rFonts w:ascii="Calibri" w:eastAsia="Calibri" w:hAnsi="Calibri" w:cs="Calibri"/>
                <w:sz w:val="20"/>
                <w:szCs w:val="20"/>
              </w:rPr>
              <w:t>5,00%</w:t>
            </w:r>
          </w:p>
        </w:tc>
        <w:tc>
          <w:tcPr>
            <w:tcW w:w="60" w:type="dxa"/>
            <w:vAlign w:val="bottom"/>
          </w:tcPr>
          <w:p w:rsidR="00AC12B4" w:rsidRDefault="00AC12B4">
            <w:pPr>
              <w:rPr>
                <w:sz w:val="24"/>
                <w:szCs w:val="24"/>
              </w:rPr>
            </w:pPr>
          </w:p>
        </w:tc>
        <w:tc>
          <w:tcPr>
            <w:tcW w:w="80" w:type="dxa"/>
            <w:tcBorders>
              <w:bottom w:val="single" w:sz="8" w:space="0" w:color="868686"/>
              <w:right w:val="single" w:sz="8" w:space="0" w:color="868686"/>
            </w:tcBorders>
            <w:vAlign w:val="bottom"/>
          </w:tcPr>
          <w:p w:rsidR="00AC12B4" w:rsidRDefault="00AC12B4">
            <w:pPr>
              <w:rPr>
                <w:sz w:val="24"/>
                <w:szCs w:val="24"/>
              </w:rPr>
            </w:pPr>
          </w:p>
        </w:tc>
        <w:tc>
          <w:tcPr>
            <w:tcW w:w="1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60" w:type="dxa"/>
            <w:tcBorders>
              <w:bottom w:val="single" w:sz="8" w:space="0" w:color="868686"/>
            </w:tcBorders>
            <w:vAlign w:val="bottom"/>
          </w:tcPr>
          <w:p w:rsidR="00AC12B4" w:rsidRDefault="00AC12B4">
            <w:pPr>
              <w:rPr>
                <w:sz w:val="24"/>
                <w:szCs w:val="24"/>
              </w:rPr>
            </w:pPr>
          </w:p>
        </w:tc>
        <w:tc>
          <w:tcPr>
            <w:tcW w:w="4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2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20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1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420" w:type="dxa"/>
            <w:tcBorders>
              <w:bottom w:val="single" w:sz="8" w:space="0" w:color="7D60A0"/>
            </w:tcBorders>
            <w:vAlign w:val="bottom"/>
          </w:tcPr>
          <w:p w:rsidR="00AC12B4" w:rsidRDefault="00AC12B4">
            <w:pPr>
              <w:rPr>
                <w:sz w:val="24"/>
                <w:szCs w:val="24"/>
              </w:rPr>
            </w:pPr>
          </w:p>
        </w:tc>
        <w:tc>
          <w:tcPr>
            <w:tcW w:w="820" w:type="dxa"/>
            <w:gridSpan w:val="4"/>
            <w:vMerge w:val="restart"/>
            <w:vAlign w:val="bottom"/>
          </w:tcPr>
          <w:p w:rsidR="00AC12B4" w:rsidRDefault="00C27636">
            <w:pPr>
              <w:ind w:left="20"/>
              <w:rPr>
                <w:sz w:val="20"/>
                <w:szCs w:val="20"/>
              </w:rPr>
            </w:pPr>
            <w:r>
              <w:rPr>
                <w:rFonts w:ascii="Calibri" w:eastAsia="Calibri" w:hAnsi="Calibri" w:cs="Calibri"/>
                <w:sz w:val="20"/>
                <w:szCs w:val="20"/>
              </w:rPr>
              <w:t>Femm</w:t>
            </w:r>
            <w:r>
              <w:rPr>
                <w:rFonts w:ascii="Calibri" w:eastAsia="Calibri" w:hAnsi="Calibri" w:cs="Calibri"/>
                <w:sz w:val="20"/>
                <w:szCs w:val="20"/>
              </w:rPr>
              <w:lastRenderedPageBreak/>
              <w:t>es</w:t>
            </w:r>
          </w:p>
        </w:tc>
        <w:tc>
          <w:tcPr>
            <w:tcW w:w="140" w:type="dxa"/>
            <w:tcBorders>
              <w:right w:val="single" w:sz="8" w:space="0" w:color="8BCCEC"/>
            </w:tcBorders>
            <w:vAlign w:val="bottom"/>
          </w:tcPr>
          <w:p w:rsidR="00AC12B4" w:rsidRDefault="00AC12B4">
            <w:pPr>
              <w:rPr>
                <w:sz w:val="24"/>
                <w:szCs w:val="24"/>
              </w:rPr>
            </w:pPr>
          </w:p>
        </w:tc>
        <w:tc>
          <w:tcPr>
            <w:tcW w:w="3780" w:type="dxa"/>
            <w:gridSpan w:val="7"/>
            <w:vAlign w:val="bottom"/>
          </w:tcPr>
          <w:p w:rsidR="00AC12B4" w:rsidRPr="00C27636" w:rsidRDefault="00C27636">
            <w:pPr>
              <w:spacing w:line="234" w:lineRule="exact"/>
              <w:ind w:left="160"/>
              <w:rPr>
                <w:sz w:val="20"/>
                <w:szCs w:val="20"/>
                <w:lang w:val="fr-BE"/>
              </w:rPr>
            </w:pPr>
            <w:r w:rsidRPr="00C27636">
              <w:rPr>
                <w:rFonts w:ascii="Calibri" w:eastAsia="Calibri" w:hAnsi="Calibri" w:cs="Calibri"/>
                <w:lang w:val="fr-BE"/>
              </w:rPr>
              <w:t xml:space="preserve">aux membres du </w:t>
            </w:r>
            <w:r w:rsidRPr="00C27636">
              <w:rPr>
                <w:rFonts w:ascii="Calibri" w:eastAsia="Calibri" w:hAnsi="Calibri" w:cs="Calibri"/>
                <w:lang w:val="fr-BE"/>
              </w:rPr>
              <w:lastRenderedPageBreak/>
              <w:t>ménage ayant</w:t>
            </w:r>
          </w:p>
        </w:tc>
        <w:tc>
          <w:tcPr>
            <w:tcW w:w="0" w:type="dxa"/>
            <w:vAlign w:val="bottom"/>
          </w:tcPr>
          <w:p w:rsidR="00AC12B4" w:rsidRPr="00C27636" w:rsidRDefault="00AC12B4">
            <w:pPr>
              <w:rPr>
                <w:sz w:val="1"/>
                <w:szCs w:val="1"/>
                <w:lang w:val="fr-BE"/>
              </w:rPr>
            </w:pPr>
          </w:p>
        </w:tc>
      </w:tr>
      <w:tr w:rsidR="00AC12B4" w:rsidRPr="00C27636">
        <w:trPr>
          <w:trHeight w:val="97"/>
        </w:trPr>
        <w:tc>
          <w:tcPr>
            <w:tcW w:w="800" w:type="dxa"/>
            <w:gridSpan w:val="2"/>
            <w:vMerge/>
            <w:tcBorders>
              <w:left w:val="single" w:sz="8" w:space="0" w:color="8BCCEC"/>
            </w:tcBorders>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80" w:type="dxa"/>
            <w:tcBorders>
              <w:right w:val="single" w:sz="8" w:space="0" w:color="868686"/>
            </w:tcBorders>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6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60" w:type="dxa"/>
            <w:vAlign w:val="bottom"/>
          </w:tcPr>
          <w:p w:rsidR="00AC12B4" w:rsidRPr="00C27636" w:rsidRDefault="00AC12B4">
            <w:pPr>
              <w:rPr>
                <w:sz w:val="8"/>
                <w:szCs w:val="8"/>
                <w:lang w:val="fr-BE"/>
              </w:rPr>
            </w:pPr>
          </w:p>
        </w:tc>
        <w:tc>
          <w:tcPr>
            <w:tcW w:w="4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20" w:type="dxa"/>
            <w:vAlign w:val="bottom"/>
          </w:tcPr>
          <w:p w:rsidR="00AC12B4" w:rsidRPr="00C27636" w:rsidRDefault="00AC12B4">
            <w:pPr>
              <w:rPr>
                <w:sz w:val="8"/>
                <w:szCs w:val="8"/>
                <w:lang w:val="fr-BE"/>
              </w:rPr>
            </w:pPr>
          </w:p>
        </w:tc>
        <w:tc>
          <w:tcPr>
            <w:tcW w:w="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12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2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6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20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180" w:type="dxa"/>
            <w:vAlign w:val="bottom"/>
          </w:tcPr>
          <w:p w:rsidR="00AC12B4" w:rsidRPr="00C27636" w:rsidRDefault="00AC12B4">
            <w:pPr>
              <w:rPr>
                <w:sz w:val="8"/>
                <w:szCs w:val="8"/>
                <w:lang w:val="fr-BE"/>
              </w:rPr>
            </w:pPr>
          </w:p>
        </w:tc>
        <w:tc>
          <w:tcPr>
            <w:tcW w:w="20" w:type="dxa"/>
            <w:vAlign w:val="bottom"/>
          </w:tcPr>
          <w:p w:rsidR="00AC12B4" w:rsidRPr="00C27636" w:rsidRDefault="00AC12B4">
            <w:pPr>
              <w:rPr>
                <w:sz w:val="8"/>
                <w:szCs w:val="8"/>
                <w:lang w:val="fr-BE"/>
              </w:rPr>
            </w:pPr>
          </w:p>
        </w:tc>
        <w:tc>
          <w:tcPr>
            <w:tcW w:w="360" w:type="dxa"/>
            <w:vAlign w:val="bottom"/>
          </w:tcPr>
          <w:p w:rsidR="00AC12B4" w:rsidRPr="00C27636" w:rsidRDefault="00AC12B4">
            <w:pPr>
              <w:rPr>
                <w:sz w:val="8"/>
                <w:szCs w:val="8"/>
                <w:lang w:val="fr-BE"/>
              </w:rPr>
            </w:pPr>
          </w:p>
        </w:tc>
        <w:tc>
          <w:tcPr>
            <w:tcW w:w="420" w:type="dxa"/>
            <w:vAlign w:val="bottom"/>
          </w:tcPr>
          <w:p w:rsidR="00AC12B4" w:rsidRPr="00C27636" w:rsidRDefault="00AC12B4">
            <w:pPr>
              <w:rPr>
                <w:sz w:val="8"/>
                <w:szCs w:val="8"/>
                <w:lang w:val="fr-BE"/>
              </w:rPr>
            </w:pPr>
          </w:p>
        </w:tc>
        <w:tc>
          <w:tcPr>
            <w:tcW w:w="820" w:type="dxa"/>
            <w:gridSpan w:val="4"/>
            <w:vMerge/>
            <w:vAlign w:val="bottom"/>
          </w:tcPr>
          <w:p w:rsidR="00AC12B4" w:rsidRPr="00C27636" w:rsidRDefault="00AC12B4">
            <w:pPr>
              <w:rPr>
                <w:sz w:val="8"/>
                <w:szCs w:val="8"/>
                <w:lang w:val="fr-BE"/>
              </w:rPr>
            </w:pPr>
          </w:p>
        </w:tc>
        <w:tc>
          <w:tcPr>
            <w:tcW w:w="140" w:type="dxa"/>
            <w:tcBorders>
              <w:right w:val="single" w:sz="8" w:space="0" w:color="8BCCEC"/>
            </w:tcBorders>
            <w:vAlign w:val="bottom"/>
          </w:tcPr>
          <w:p w:rsidR="00AC12B4" w:rsidRPr="00C27636" w:rsidRDefault="00AC12B4">
            <w:pPr>
              <w:rPr>
                <w:sz w:val="8"/>
                <w:szCs w:val="8"/>
                <w:lang w:val="fr-BE"/>
              </w:rPr>
            </w:pPr>
          </w:p>
        </w:tc>
        <w:tc>
          <w:tcPr>
            <w:tcW w:w="3780" w:type="dxa"/>
            <w:gridSpan w:val="7"/>
            <w:vMerge w:val="restart"/>
            <w:vAlign w:val="bottom"/>
          </w:tcPr>
          <w:p w:rsidR="00AC12B4" w:rsidRPr="00C27636" w:rsidRDefault="00C27636">
            <w:pPr>
              <w:spacing w:line="202" w:lineRule="exact"/>
              <w:ind w:left="160"/>
              <w:rPr>
                <w:sz w:val="20"/>
                <w:szCs w:val="20"/>
                <w:lang w:val="fr-BE"/>
              </w:rPr>
            </w:pPr>
            <w:r w:rsidRPr="00C27636">
              <w:rPr>
                <w:rFonts w:ascii="Calibri" w:eastAsia="Calibri" w:hAnsi="Calibri" w:cs="Calibri"/>
                <w:lang w:val="fr-BE"/>
              </w:rPr>
              <w:t>entre 18 et 24 ans le réduit</w:t>
            </w:r>
          </w:p>
        </w:tc>
        <w:tc>
          <w:tcPr>
            <w:tcW w:w="0" w:type="dxa"/>
            <w:vAlign w:val="bottom"/>
          </w:tcPr>
          <w:p w:rsidR="00AC12B4" w:rsidRPr="00C27636" w:rsidRDefault="00AC12B4">
            <w:pPr>
              <w:rPr>
                <w:sz w:val="1"/>
                <w:szCs w:val="1"/>
                <w:lang w:val="fr-BE"/>
              </w:rPr>
            </w:pPr>
          </w:p>
        </w:tc>
      </w:tr>
      <w:tr w:rsidR="00AC12B4" w:rsidRPr="00C27636">
        <w:trPr>
          <w:trHeight w:val="105"/>
        </w:trPr>
        <w:tc>
          <w:tcPr>
            <w:tcW w:w="480" w:type="dxa"/>
            <w:tcBorders>
              <w:left w:val="single" w:sz="8" w:space="0" w:color="8BCCEC"/>
            </w:tcBorders>
            <w:vAlign w:val="bottom"/>
          </w:tcPr>
          <w:p w:rsidR="00AC12B4" w:rsidRPr="00C27636" w:rsidRDefault="00AC12B4">
            <w:pPr>
              <w:rPr>
                <w:sz w:val="9"/>
                <w:szCs w:val="9"/>
                <w:lang w:val="fr-BE"/>
              </w:rPr>
            </w:pPr>
          </w:p>
        </w:tc>
        <w:tc>
          <w:tcPr>
            <w:tcW w:w="320" w:type="dxa"/>
            <w:vAlign w:val="bottom"/>
          </w:tcPr>
          <w:p w:rsidR="00AC12B4" w:rsidRPr="00C27636" w:rsidRDefault="00AC12B4">
            <w:pPr>
              <w:rPr>
                <w:sz w:val="9"/>
                <w:szCs w:val="9"/>
                <w:lang w:val="fr-BE"/>
              </w:rPr>
            </w:pPr>
          </w:p>
        </w:tc>
        <w:tc>
          <w:tcPr>
            <w:tcW w:w="60" w:type="dxa"/>
            <w:vAlign w:val="bottom"/>
          </w:tcPr>
          <w:p w:rsidR="00AC12B4" w:rsidRPr="00C27636" w:rsidRDefault="00AC12B4">
            <w:pPr>
              <w:rPr>
                <w:sz w:val="9"/>
                <w:szCs w:val="9"/>
                <w:lang w:val="fr-BE"/>
              </w:rPr>
            </w:pPr>
          </w:p>
        </w:tc>
        <w:tc>
          <w:tcPr>
            <w:tcW w:w="80" w:type="dxa"/>
            <w:tcBorders>
              <w:right w:val="single" w:sz="8" w:space="0" w:color="868686"/>
            </w:tcBorders>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60" w:type="dxa"/>
            <w:vAlign w:val="bottom"/>
          </w:tcPr>
          <w:p w:rsidR="00AC12B4" w:rsidRPr="00C27636" w:rsidRDefault="00AC12B4">
            <w:pPr>
              <w:rPr>
                <w:sz w:val="9"/>
                <w:szCs w:val="9"/>
                <w:lang w:val="fr-BE"/>
              </w:rPr>
            </w:pPr>
          </w:p>
        </w:tc>
        <w:tc>
          <w:tcPr>
            <w:tcW w:w="4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6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2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6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20" w:type="dxa"/>
            <w:vAlign w:val="bottom"/>
          </w:tcPr>
          <w:p w:rsidR="00AC12B4" w:rsidRPr="00C27636" w:rsidRDefault="00AC12B4">
            <w:pPr>
              <w:rPr>
                <w:sz w:val="9"/>
                <w:szCs w:val="9"/>
                <w:lang w:val="fr-BE"/>
              </w:rPr>
            </w:pPr>
          </w:p>
        </w:tc>
        <w:tc>
          <w:tcPr>
            <w:tcW w:w="360" w:type="dxa"/>
            <w:vAlign w:val="bottom"/>
          </w:tcPr>
          <w:p w:rsidR="00AC12B4" w:rsidRPr="00C27636" w:rsidRDefault="00AC12B4">
            <w:pPr>
              <w:rPr>
                <w:sz w:val="9"/>
                <w:szCs w:val="9"/>
                <w:lang w:val="fr-BE"/>
              </w:rPr>
            </w:pPr>
          </w:p>
        </w:tc>
        <w:tc>
          <w:tcPr>
            <w:tcW w:w="42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340" w:type="dxa"/>
            <w:vAlign w:val="bottom"/>
          </w:tcPr>
          <w:p w:rsidR="00AC12B4" w:rsidRPr="00C27636" w:rsidRDefault="00AC12B4">
            <w:pPr>
              <w:rPr>
                <w:sz w:val="9"/>
                <w:szCs w:val="9"/>
                <w:lang w:val="fr-BE"/>
              </w:rPr>
            </w:pPr>
          </w:p>
        </w:tc>
        <w:tc>
          <w:tcPr>
            <w:tcW w:w="140" w:type="dxa"/>
            <w:tcBorders>
              <w:right w:val="single" w:sz="8" w:space="0" w:color="8BCCEC"/>
            </w:tcBorders>
            <w:vAlign w:val="bottom"/>
          </w:tcPr>
          <w:p w:rsidR="00AC12B4" w:rsidRPr="00C27636" w:rsidRDefault="00AC12B4">
            <w:pPr>
              <w:rPr>
                <w:sz w:val="9"/>
                <w:szCs w:val="9"/>
                <w:lang w:val="fr-BE"/>
              </w:rPr>
            </w:pPr>
          </w:p>
        </w:tc>
        <w:tc>
          <w:tcPr>
            <w:tcW w:w="3780" w:type="dxa"/>
            <w:gridSpan w:val="7"/>
            <w:vMerge/>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269"/>
        </w:trPr>
        <w:tc>
          <w:tcPr>
            <w:tcW w:w="800" w:type="dxa"/>
            <w:gridSpan w:val="2"/>
            <w:vMerge w:val="restart"/>
            <w:tcBorders>
              <w:left w:val="single" w:sz="8" w:space="0" w:color="8BCCEC"/>
            </w:tcBorders>
            <w:vAlign w:val="bottom"/>
          </w:tcPr>
          <w:p w:rsidR="00AC12B4" w:rsidRDefault="00C27636">
            <w:pPr>
              <w:jc w:val="right"/>
              <w:rPr>
                <w:sz w:val="20"/>
                <w:szCs w:val="20"/>
              </w:rPr>
            </w:pPr>
            <w:r>
              <w:rPr>
                <w:rFonts w:ascii="Calibri" w:eastAsia="Calibri" w:hAnsi="Calibri" w:cs="Calibri"/>
                <w:sz w:val="20"/>
                <w:szCs w:val="20"/>
              </w:rPr>
              <w:t>0,00%</w:t>
            </w:r>
          </w:p>
        </w:tc>
        <w:tc>
          <w:tcPr>
            <w:tcW w:w="60" w:type="dxa"/>
            <w:vAlign w:val="bottom"/>
          </w:tcPr>
          <w:p w:rsidR="00AC12B4" w:rsidRDefault="00AC12B4">
            <w:pPr>
              <w:rPr>
                <w:sz w:val="23"/>
                <w:szCs w:val="23"/>
              </w:rPr>
            </w:pPr>
          </w:p>
        </w:tc>
        <w:tc>
          <w:tcPr>
            <w:tcW w:w="80" w:type="dxa"/>
            <w:tcBorders>
              <w:right w:val="single" w:sz="8" w:space="0" w:color="868686"/>
            </w:tcBorders>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60" w:type="dxa"/>
            <w:vAlign w:val="bottom"/>
          </w:tcPr>
          <w:p w:rsidR="00AC12B4" w:rsidRDefault="00AC12B4">
            <w:pPr>
              <w:rPr>
                <w:sz w:val="23"/>
                <w:szCs w:val="23"/>
              </w:rPr>
            </w:pPr>
          </w:p>
        </w:tc>
        <w:tc>
          <w:tcPr>
            <w:tcW w:w="4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6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340" w:type="dxa"/>
            <w:vAlign w:val="bottom"/>
          </w:tcPr>
          <w:p w:rsidR="00AC12B4" w:rsidRDefault="00AC12B4">
            <w:pPr>
              <w:rPr>
                <w:sz w:val="23"/>
                <w:szCs w:val="23"/>
              </w:rPr>
            </w:pPr>
          </w:p>
        </w:tc>
        <w:tc>
          <w:tcPr>
            <w:tcW w:w="140" w:type="dxa"/>
            <w:tcBorders>
              <w:right w:val="single" w:sz="8" w:space="0" w:color="8BCCEC"/>
            </w:tcBorders>
            <w:vAlign w:val="bottom"/>
          </w:tcPr>
          <w:p w:rsidR="00AC12B4" w:rsidRDefault="00AC12B4">
            <w:pPr>
              <w:rPr>
                <w:sz w:val="23"/>
                <w:szCs w:val="23"/>
              </w:rPr>
            </w:pPr>
          </w:p>
        </w:tc>
        <w:tc>
          <w:tcPr>
            <w:tcW w:w="1840" w:type="dxa"/>
            <w:gridSpan w:val="3"/>
            <w:vAlign w:val="bottom"/>
          </w:tcPr>
          <w:p w:rsidR="00AC12B4" w:rsidRDefault="00C27636">
            <w:pPr>
              <w:ind w:left="160"/>
              <w:rPr>
                <w:sz w:val="20"/>
                <w:szCs w:val="20"/>
              </w:rPr>
            </w:pPr>
            <w:r>
              <w:rPr>
                <w:rFonts w:ascii="Calibri" w:eastAsia="Calibri" w:hAnsi="Calibri" w:cs="Calibri"/>
                <w:w w:val="99"/>
              </w:rPr>
              <w:t>considérablement.</w:t>
            </w:r>
          </w:p>
        </w:tc>
        <w:tc>
          <w:tcPr>
            <w:tcW w:w="720" w:type="dxa"/>
            <w:gridSpan w:val="2"/>
            <w:vAlign w:val="bottom"/>
          </w:tcPr>
          <w:p w:rsidR="00AC12B4" w:rsidRDefault="00C27636">
            <w:pPr>
              <w:ind w:left="280"/>
              <w:rPr>
                <w:sz w:val="20"/>
                <w:szCs w:val="20"/>
              </w:rPr>
            </w:pPr>
            <w:r>
              <w:rPr>
                <w:rFonts w:ascii="Calibri" w:eastAsia="Calibri" w:hAnsi="Calibri" w:cs="Calibri"/>
                <w:w w:val="99"/>
              </w:rPr>
              <w:t>Pour</w:t>
            </w:r>
          </w:p>
        </w:tc>
        <w:tc>
          <w:tcPr>
            <w:tcW w:w="1220" w:type="dxa"/>
            <w:gridSpan w:val="2"/>
            <w:vAlign w:val="bottom"/>
          </w:tcPr>
          <w:p w:rsidR="00AC12B4" w:rsidRDefault="00C27636">
            <w:pPr>
              <w:ind w:right="660"/>
              <w:jc w:val="right"/>
              <w:rPr>
                <w:sz w:val="20"/>
                <w:szCs w:val="20"/>
              </w:rPr>
            </w:pPr>
            <w:r>
              <w:rPr>
                <w:rFonts w:ascii="Calibri" w:eastAsia="Calibri" w:hAnsi="Calibri" w:cs="Calibri"/>
              </w:rPr>
              <w:t>des</w:t>
            </w:r>
          </w:p>
        </w:tc>
        <w:tc>
          <w:tcPr>
            <w:tcW w:w="0" w:type="dxa"/>
            <w:vAlign w:val="bottom"/>
          </w:tcPr>
          <w:p w:rsidR="00AC12B4" w:rsidRDefault="00AC12B4">
            <w:pPr>
              <w:rPr>
                <w:sz w:val="1"/>
                <w:szCs w:val="1"/>
              </w:rPr>
            </w:pPr>
          </w:p>
        </w:tc>
      </w:tr>
      <w:tr w:rsidR="00AC12B4" w:rsidRPr="00C27636">
        <w:trPr>
          <w:trHeight w:val="123"/>
        </w:trPr>
        <w:tc>
          <w:tcPr>
            <w:tcW w:w="800" w:type="dxa"/>
            <w:gridSpan w:val="2"/>
            <w:vMerge/>
            <w:tcBorders>
              <w:left w:val="single" w:sz="8" w:space="0" w:color="8BCCEC"/>
            </w:tcBorders>
            <w:vAlign w:val="bottom"/>
          </w:tcPr>
          <w:p w:rsidR="00AC12B4" w:rsidRDefault="00AC12B4">
            <w:pPr>
              <w:rPr>
                <w:sz w:val="10"/>
                <w:szCs w:val="10"/>
              </w:rPr>
            </w:pPr>
          </w:p>
        </w:tc>
        <w:tc>
          <w:tcPr>
            <w:tcW w:w="60" w:type="dxa"/>
            <w:vAlign w:val="bottom"/>
          </w:tcPr>
          <w:p w:rsidR="00AC12B4" w:rsidRDefault="00AC12B4">
            <w:pPr>
              <w:rPr>
                <w:sz w:val="10"/>
                <w:szCs w:val="10"/>
              </w:rPr>
            </w:pPr>
          </w:p>
        </w:tc>
        <w:tc>
          <w:tcPr>
            <w:tcW w:w="80" w:type="dxa"/>
            <w:tcBorders>
              <w:bottom w:val="single" w:sz="8" w:space="0" w:color="868686"/>
              <w:right w:val="single" w:sz="8" w:space="0" w:color="868686"/>
            </w:tcBorders>
            <w:vAlign w:val="bottom"/>
          </w:tcPr>
          <w:p w:rsidR="00AC12B4" w:rsidRDefault="00AC12B4">
            <w:pPr>
              <w:rPr>
                <w:sz w:val="10"/>
                <w:szCs w:val="10"/>
              </w:rPr>
            </w:pPr>
          </w:p>
        </w:tc>
        <w:tc>
          <w:tcPr>
            <w:tcW w:w="18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2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6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60" w:type="dxa"/>
            <w:tcBorders>
              <w:bottom w:val="single" w:sz="8" w:space="0" w:color="868686"/>
            </w:tcBorders>
            <w:vAlign w:val="bottom"/>
          </w:tcPr>
          <w:p w:rsidR="00AC12B4" w:rsidRDefault="00AC12B4">
            <w:pPr>
              <w:rPr>
                <w:sz w:val="10"/>
                <w:szCs w:val="10"/>
              </w:rPr>
            </w:pPr>
          </w:p>
        </w:tc>
        <w:tc>
          <w:tcPr>
            <w:tcW w:w="4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8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20" w:type="dxa"/>
            <w:tcBorders>
              <w:bottom w:val="single" w:sz="8" w:space="0" w:color="868686"/>
            </w:tcBorders>
            <w:vAlign w:val="bottom"/>
          </w:tcPr>
          <w:p w:rsidR="00AC12B4" w:rsidRDefault="00AC12B4">
            <w:pPr>
              <w:rPr>
                <w:sz w:val="10"/>
                <w:szCs w:val="10"/>
              </w:rPr>
            </w:pPr>
          </w:p>
        </w:tc>
        <w:tc>
          <w:tcPr>
            <w:tcW w:w="8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60" w:type="dxa"/>
            <w:tcBorders>
              <w:bottom w:val="single" w:sz="8" w:space="0" w:color="868686"/>
            </w:tcBorders>
            <w:vAlign w:val="bottom"/>
          </w:tcPr>
          <w:p w:rsidR="00AC12B4" w:rsidRDefault="00AC12B4">
            <w:pPr>
              <w:rPr>
                <w:sz w:val="10"/>
                <w:szCs w:val="10"/>
              </w:rPr>
            </w:pPr>
          </w:p>
        </w:tc>
        <w:tc>
          <w:tcPr>
            <w:tcW w:w="12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2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8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2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8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2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6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8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20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180" w:type="dxa"/>
            <w:tcBorders>
              <w:bottom w:val="single" w:sz="8" w:space="0" w:color="868686"/>
            </w:tcBorders>
            <w:vAlign w:val="bottom"/>
          </w:tcPr>
          <w:p w:rsidR="00AC12B4" w:rsidRDefault="00AC12B4">
            <w:pPr>
              <w:rPr>
                <w:sz w:val="10"/>
                <w:szCs w:val="10"/>
              </w:rPr>
            </w:pPr>
          </w:p>
        </w:tc>
        <w:tc>
          <w:tcPr>
            <w:tcW w:w="20" w:type="dxa"/>
            <w:tcBorders>
              <w:bottom w:val="single" w:sz="8" w:space="0" w:color="868686"/>
            </w:tcBorders>
            <w:vAlign w:val="bottom"/>
          </w:tcPr>
          <w:p w:rsidR="00AC12B4" w:rsidRDefault="00AC12B4">
            <w:pPr>
              <w:rPr>
                <w:sz w:val="10"/>
                <w:szCs w:val="10"/>
              </w:rPr>
            </w:pPr>
          </w:p>
        </w:tc>
        <w:tc>
          <w:tcPr>
            <w:tcW w:w="36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140" w:type="dxa"/>
            <w:tcBorders>
              <w:right w:val="single" w:sz="8" w:space="0" w:color="8BCCEC"/>
            </w:tcBorders>
            <w:vAlign w:val="bottom"/>
          </w:tcPr>
          <w:p w:rsidR="00AC12B4" w:rsidRDefault="00AC12B4">
            <w:pPr>
              <w:rPr>
                <w:sz w:val="10"/>
                <w:szCs w:val="10"/>
              </w:rPr>
            </w:pPr>
          </w:p>
        </w:tc>
        <w:tc>
          <w:tcPr>
            <w:tcW w:w="3780" w:type="dxa"/>
            <w:gridSpan w:val="7"/>
            <w:vMerge w:val="restart"/>
            <w:vAlign w:val="bottom"/>
          </w:tcPr>
          <w:p w:rsidR="00AC12B4" w:rsidRPr="00C27636" w:rsidRDefault="00C27636">
            <w:pPr>
              <w:ind w:left="160"/>
              <w:rPr>
                <w:sz w:val="20"/>
                <w:szCs w:val="20"/>
                <w:lang w:val="fr-BE"/>
              </w:rPr>
            </w:pPr>
            <w:r w:rsidRPr="00C27636">
              <w:rPr>
                <w:rFonts w:ascii="Calibri" w:eastAsia="Calibri" w:hAnsi="Calibri" w:cs="Calibri"/>
                <w:lang w:val="fr-BE"/>
              </w:rPr>
              <w:t>raisons de fiabilité statistique, il</w:t>
            </w:r>
          </w:p>
        </w:tc>
        <w:tc>
          <w:tcPr>
            <w:tcW w:w="0" w:type="dxa"/>
            <w:vAlign w:val="bottom"/>
          </w:tcPr>
          <w:p w:rsidR="00AC12B4" w:rsidRPr="00C27636" w:rsidRDefault="00AC12B4">
            <w:pPr>
              <w:rPr>
                <w:sz w:val="1"/>
                <w:szCs w:val="1"/>
                <w:lang w:val="fr-BE"/>
              </w:rPr>
            </w:pPr>
          </w:p>
        </w:tc>
      </w:tr>
      <w:tr w:rsidR="00AC12B4">
        <w:trPr>
          <w:trHeight w:val="126"/>
        </w:trPr>
        <w:tc>
          <w:tcPr>
            <w:tcW w:w="480" w:type="dxa"/>
            <w:tcBorders>
              <w:left w:val="single" w:sz="8" w:space="0" w:color="8BCCEC"/>
            </w:tcBorders>
            <w:vAlign w:val="bottom"/>
          </w:tcPr>
          <w:p w:rsidR="00AC12B4" w:rsidRPr="00C27636" w:rsidRDefault="00AC12B4">
            <w:pPr>
              <w:rPr>
                <w:sz w:val="10"/>
                <w:szCs w:val="10"/>
                <w:lang w:val="fr-BE"/>
              </w:rPr>
            </w:pPr>
          </w:p>
        </w:tc>
        <w:tc>
          <w:tcPr>
            <w:tcW w:w="320" w:type="dxa"/>
            <w:vAlign w:val="bottom"/>
          </w:tcPr>
          <w:p w:rsidR="00AC12B4" w:rsidRPr="00C27636" w:rsidRDefault="00AC12B4">
            <w:pPr>
              <w:rPr>
                <w:sz w:val="10"/>
                <w:szCs w:val="10"/>
                <w:lang w:val="fr-BE"/>
              </w:rPr>
            </w:pPr>
          </w:p>
        </w:tc>
        <w:tc>
          <w:tcPr>
            <w:tcW w:w="540" w:type="dxa"/>
            <w:gridSpan w:val="5"/>
            <w:vMerge w:val="restart"/>
            <w:vAlign w:val="bottom"/>
          </w:tcPr>
          <w:p w:rsidR="00AC12B4" w:rsidRDefault="00C27636">
            <w:pPr>
              <w:ind w:right="100"/>
              <w:jc w:val="right"/>
              <w:rPr>
                <w:sz w:val="20"/>
                <w:szCs w:val="20"/>
              </w:rPr>
            </w:pPr>
            <w:r>
              <w:rPr>
                <w:rFonts w:ascii="Calibri" w:eastAsia="Calibri" w:hAnsi="Calibri" w:cs="Calibri"/>
                <w:sz w:val="20"/>
                <w:szCs w:val="20"/>
              </w:rPr>
              <w:t>2000</w:t>
            </w:r>
          </w:p>
        </w:tc>
        <w:tc>
          <w:tcPr>
            <w:tcW w:w="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4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60" w:type="dxa"/>
            <w:vAlign w:val="bottom"/>
          </w:tcPr>
          <w:p w:rsidR="00AC12B4" w:rsidRDefault="00AC12B4">
            <w:pPr>
              <w:rPr>
                <w:sz w:val="10"/>
                <w:szCs w:val="10"/>
              </w:rPr>
            </w:pPr>
          </w:p>
        </w:tc>
        <w:tc>
          <w:tcPr>
            <w:tcW w:w="540" w:type="dxa"/>
            <w:gridSpan w:val="5"/>
            <w:vMerge w:val="restart"/>
            <w:vAlign w:val="bottom"/>
          </w:tcPr>
          <w:p w:rsidR="00AC12B4" w:rsidRDefault="00C27636">
            <w:pPr>
              <w:ind w:left="40"/>
              <w:rPr>
                <w:sz w:val="20"/>
                <w:szCs w:val="20"/>
              </w:rPr>
            </w:pPr>
            <w:r>
              <w:rPr>
                <w:rFonts w:ascii="Calibri" w:eastAsia="Calibri" w:hAnsi="Calibri" w:cs="Calibri"/>
                <w:sz w:val="20"/>
                <w:szCs w:val="20"/>
              </w:rPr>
              <w:t>2007</w:t>
            </w:r>
          </w:p>
        </w:tc>
        <w:tc>
          <w:tcPr>
            <w:tcW w:w="2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1060" w:type="dxa"/>
            <w:gridSpan w:val="9"/>
            <w:vMerge w:val="restart"/>
            <w:vAlign w:val="bottom"/>
          </w:tcPr>
          <w:p w:rsidR="00AC12B4" w:rsidRDefault="00C27636">
            <w:pPr>
              <w:ind w:right="150"/>
              <w:jc w:val="right"/>
              <w:rPr>
                <w:sz w:val="20"/>
                <w:szCs w:val="20"/>
              </w:rPr>
            </w:pPr>
            <w:r>
              <w:rPr>
                <w:rFonts w:ascii="Calibri" w:eastAsia="Calibri" w:hAnsi="Calibri" w:cs="Calibri"/>
                <w:sz w:val="20"/>
                <w:szCs w:val="20"/>
              </w:rPr>
              <w:t>2014</w:t>
            </w:r>
          </w:p>
        </w:tc>
        <w:tc>
          <w:tcPr>
            <w:tcW w:w="42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80" w:type="dxa"/>
            <w:vAlign w:val="bottom"/>
          </w:tcPr>
          <w:p w:rsidR="00AC12B4" w:rsidRDefault="00AC12B4">
            <w:pPr>
              <w:rPr>
                <w:sz w:val="10"/>
                <w:szCs w:val="10"/>
              </w:rPr>
            </w:pPr>
          </w:p>
        </w:tc>
        <w:tc>
          <w:tcPr>
            <w:tcW w:w="20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140" w:type="dxa"/>
            <w:tcBorders>
              <w:right w:val="single" w:sz="8" w:space="0" w:color="8BCCEC"/>
            </w:tcBorders>
            <w:vAlign w:val="bottom"/>
          </w:tcPr>
          <w:p w:rsidR="00AC12B4" w:rsidRDefault="00AC12B4">
            <w:pPr>
              <w:rPr>
                <w:sz w:val="10"/>
                <w:szCs w:val="10"/>
              </w:rPr>
            </w:pPr>
          </w:p>
        </w:tc>
        <w:tc>
          <w:tcPr>
            <w:tcW w:w="3780" w:type="dxa"/>
            <w:gridSpan w:val="7"/>
            <w:vMerge/>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155"/>
        </w:trPr>
        <w:tc>
          <w:tcPr>
            <w:tcW w:w="480" w:type="dxa"/>
            <w:tcBorders>
              <w:left w:val="single" w:sz="8" w:space="0" w:color="8BCCEC"/>
            </w:tcBorders>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540" w:type="dxa"/>
            <w:gridSpan w:val="5"/>
            <w:vMerge/>
            <w:vAlign w:val="bottom"/>
          </w:tcPr>
          <w:p w:rsidR="00AC12B4" w:rsidRDefault="00AC12B4">
            <w:pPr>
              <w:rPr>
                <w:sz w:val="13"/>
                <w:szCs w:val="13"/>
              </w:rPr>
            </w:pPr>
          </w:p>
        </w:tc>
        <w:tc>
          <w:tcPr>
            <w:tcW w:w="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60" w:type="dxa"/>
            <w:vAlign w:val="bottom"/>
          </w:tcPr>
          <w:p w:rsidR="00AC12B4" w:rsidRDefault="00AC12B4">
            <w:pPr>
              <w:rPr>
                <w:sz w:val="13"/>
                <w:szCs w:val="13"/>
              </w:rPr>
            </w:pPr>
          </w:p>
        </w:tc>
        <w:tc>
          <w:tcPr>
            <w:tcW w:w="4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60" w:type="dxa"/>
            <w:vAlign w:val="bottom"/>
          </w:tcPr>
          <w:p w:rsidR="00AC12B4" w:rsidRDefault="00AC12B4">
            <w:pPr>
              <w:rPr>
                <w:sz w:val="13"/>
                <w:szCs w:val="13"/>
              </w:rPr>
            </w:pPr>
          </w:p>
        </w:tc>
        <w:tc>
          <w:tcPr>
            <w:tcW w:w="540" w:type="dxa"/>
            <w:gridSpan w:val="5"/>
            <w:vMerge/>
            <w:vAlign w:val="bottom"/>
          </w:tcPr>
          <w:p w:rsidR="00AC12B4" w:rsidRDefault="00AC12B4">
            <w:pPr>
              <w:rPr>
                <w:sz w:val="13"/>
                <w:szCs w:val="13"/>
              </w:rPr>
            </w:pPr>
          </w:p>
        </w:tc>
        <w:tc>
          <w:tcPr>
            <w:tcW w:w="2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20" w:type="dxa"/>
            <w:vAlign w:val="bottom"/>
          </w:tcPr>
          <w:p w:rsidR="00AC12B4" w:rsidRDefault="00AC12B4">
            <w:pPr>
              <w:rPr>
                <w:sz w:val="13"/>
                <w:szCs w:val="13"/>
              </w:rPr>
            </w:pPr>
          </w:p>
        </w:tc>
        <w:tc>
          <w:tcPr>
            <w:tcW w:w="1060" w:type="dxa"/>
            <w:gridSpan w:val="9"/>
            <w:vMerge/>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340" w:type="dxa"/>
            <w:vAlign w:val="bottom"/>
          </w:tcPr>
          <w:p w:rsidR="00AC12B4" w:rsidRDefault="00AC12B4">
            <w:pPr>
              <w:rPr>
                <w:sz w:val="13"/>
                <w:szCs w:val="13"/>
              </w:rPr>
            </w:pPr>
          </w:p>
        </w:tc>
        <w:tc>
          <w:tcPr>
            <w:tcW w:w="140" w:type="dxa"/>
            <w:tcBorders>
              <w:right w:val="single" w:sz="8" w:space="0" w:color="8BCCEC"/>
            </w:tcBorders>
            <w:vAlign w:val="bottom"/>
          </w:tcPr>
          <w:p w:rsidR="00AC12B4" w:rsidRDefault="00AC12B4">
            <w:pPr>
              <w:rPr>
                <w:sz w:val="13"/>
                <w:szCs w:val="13"/>
              </w:rPr>
            </w:pPr>
          </w:p>
        </w:tc>
        <w:tc>
          <w:tcPr>
            <w:tcW w:w="3780" w:type="dxa"/>
            <w:gridSpan w:val="7"/>
            <w:vMerge w:val="restart"/>
            <w:vAlign w:val="bottom"/>
          </w:tcPr>
          <w:p w:rsidR="00AC12B4" w:rsidRPr="00C27636" w:rsidRDefault="00C27636">
            <w:pPr>
              <w:ind w:left="160"/>
              <w:rPr>
                <w:sz w:val="20"/>
                <w:szCs w:val="20"/>
                <w:lang w:val="fr-BE"/>
              </w:rPr>
            </w:pPr>
            <w:r w:rsidRPr="00C27636">
              <w:rPr>
                <w:rFonts w:ascii="Calibri" w:eastAsia="Calibri" w:hAnsi="Calibri" w:cs="Calibri"/>
                <w:lang w:val="fr-BE"/>
              </w:rPr>
              <w:t>est peu recommandé de faire</w:t>
            </w:r>
          </w:p>
        </w:tc>
        <w:tc>
          <w:tcPr>
            <w:tcW w:w="0" w:type="dxa"/>
            <w:vAlign w:val="bottom"/>
          </w:tcPr>
          <w:p w:rsidR="00AC12B4" w:rsidRPr="00C27636" w:rsidRDefault="00AC12B4">
            <w:pPr>
              <w:rPr>
                <w:sz w:val="1"/>
                <w:szCs w:val="1"/>
                <w:lang w:val="fr-BE"/>
              </w:rPr>
            </w:pPr>
          </w:p>
        </w:tc>
      </w:tr>
      <w:tr w:rsidR="00AC12B4" w:rsidRPr="00C27636">
        <w:trPr>
          <w:trHeight w:val="123"/>
        </w:trPr>
        <w:tc>
          <w:tcPr>
            <w:tcW w:w="480" w:type="dxa"/>
            <w:tcBorders>
              <w:left w:val="single" w:sz="8" w:space="0" w:color="8BCCEC"/>
              <w:bottom w:val="single" w:sz="8" w:space="0" w:color="8BCCEC"/>
            </w:tcBorders>
            <w:vAlign w:val="bottom"/>
          </w:tcPr>
          <w:p w:rsidR="00AC12B4" w:rsidRPr="00C27636" w:rsidRDefault="00AC12B4">
            <w:pPr>
              <w:rPr>
                <w:sz w:val="10"/>
                <w:szCs w:val="10"/>
                <w:lang w:val="fr-BE"/>
              </w:rPr>
            </w:pPr>
          </w:p>
        </w:tc>
        <w:tc>
          <w:tcPr>
            <w:tcW w:w="320" w:type="dxa"/>
            <w:tcBorders>
              <w:bottom w:val="single" w:sz="8" w:space="0" w:color="8BCCEC"/>
            </w:tcBorders>
            <w:vAlign w:val="bottom"/>
          </w:tcPr>
          <w:p w:rsidR="00AC12B4" w:rsidRPr="00C27636" w:rsidRDefault="00AC12B4">
            <w:pPr>
              <w:rPr>
                <w:sz w:val="10"/>
                <w:szCs w:val="10"/>
                <w:lang w:val="fr-BE"/>
              </w:rPr>
            </w:pPr>
          </w:p>
        </w:tc>
        <w:tc>
          <w:tcPr>
            <w:tcW w:w="60" w:type="dxa"/>
            <w:tcBorders>
              <w:bottom w:val="single" w:sz="8" w:space="0" w:color="8BCCEC"/>
            </w:tcBorders>
            <w:vAlign w:val="bottom"/>
          </w:tcPr>
          <w:p w:rsidR="00AC12B4" w:rsidRPr="00C27636" w:rsidRDefault="00AC12B4">
            <w:pPr>
              <w:rPr>
                <w:sz w:val="10"/>
                <w:szCs w:val="10"/>
                <w:lang w:val="fr-BE"/>
              </w:rPr>
            </w:pPr>
          </w:p>
        </w:tc>
        <w:tc>
          <w:tcPr>
            <w:tcW w:w="80" w:type="dxa"/>
            <w:tcBorders>
              <w:bottom w:val="single" w:sz="8" w:space="0" w:color="8BCCEC"/>
            </w:tcBorders>
            <w:vAlign w:val="bottom"/>
          </w:tcPr>
          <w:p w:rsidR="00AC12B4" w:rsidRPr="00C27636" w:rsidRDefault="00AC12B4">
            <w:pPr>
              <w:rPr>
                <w:sz w:val="10"/>
                <w:szCs w:val="10"/>
                <w:lang w:val="fr-BE"/>
              </w:rPr>
            </w:pPr>
          </w:p>
        </w:tc>
        <w:tc>
          <w:tcPr>
            <w:tcW w:w="18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20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6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60" w:type="dxa"/>
            <w:tcBorders>
              <w:bottom w:val="single" w:sz="8" w:space="0" w:color="8BCCEC"/>
            </w:tcBorders>
            <w:vAlign w:val="bottom"/>
          </w:tcPr>
          <w:p w:rsidR="00AC12B4" w:rsidRPr="00C27636" w:rsidRDefault="00AC12B4">
            <w:pPr>
              <w:rPr>
                <w:sz w:val="10"/>
                <w:szCs w:val="10"/>
                <w:lang w:val="fr-BE"/>
              </w:rPr>
            </w:pPr>
          </w:p>
        </w:tc>
        <w:tc>
          <w:tcPr>
            <w:tcW w:w="4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8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20" w:type="dxa"/>
            <w:tcBorders>
              <w:bottom w:val="single" w:sz="8" w:space="0" w:color="8BCCEC"/>
            </w:tcBorders>
            <w:vAlign w:val="bottom"/>
          </w:tcPr>
          <w:p w:rsidR="00AC12B4" w:rsidRPr="00C27636" w:rsidRDefault="00AC12B4">
            <w:pPr>
              <w:rPr>
                <w:sz w:val="10"/>
                <w:szCs w:val="10"/>
                <w:lang w:val="fr-BE"/>
              </w:rPr>
            </w:pPr>
          </w:p>
        </w:tc>
        <w:tc>
          <w:tcPr>
            <w:tcW w:w="8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60" w:type="dxa"/>
            <w:tcBorders>
              <w:bottom w:val="single" w:sz="8" w:space="0" w:color="8BCCEC"/>
            </w:tcBorders>
            <w:vAlign w:val="bottom"/>
          </w:tcPr>
          <w:p w:rsidR="00AC12B4" w:rsidRPr="00C27636" w:rsidRDefault="00AC12B4">
            <w:pPr>
              <w:rPr>
                <w:sz w:val="10"/>
                <w:szCs w:val="10"/>
                <w:lang w:val="fr-BE"/>
              </w:rPr>
            </w:pPr>
          </w:p>
        </w:tc>
        <w:tc>
          <w:tcPr>
            <w:tcW w:w="12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20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8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20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8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2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6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8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20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180" w:type="dxa"/>
            <w:tcBorders>
              <w:bottom w:val="single" w:sz="8" w:space="0" w:color="8BCCEC"/>
            </w:tcBorders>
            <w:vAlign w:val="bottom"/>
          </w:tcPr>
          <w:p w:rsidR="00AC12B4" w:rsidRPr="00C27636" w:rsidRDefault="00AC12B4">
            <w:pPr>
              <w:rPr>
                <w:sz w:val="10"/>
                <w:szCs w:val="10"/>
                <w:lang w:val="fr-BE"/>
              </w:rPr>
            </w:pPr>
          </w:p>
        </w:tc>
        <w:tc>
          <w:tcPr>
            <w:tcW w:w="20" w:type="dxa"/>
            <w:tcBorders>
              <w:bottom w:val="single" w:sz="8" w:space="0" w:color="8BCCEC"/>
            </w:tcBorders>
            <w:vAlign w:val="bottom"/>
          </w:tcPr>
          <w:p w:rsidR="00AC12B4" w:rsidRPr="00C27636" w:rsidRDefault="00AC12B4">
            <w:pPr>
              <w:rPr>
                <w:sz w:val="10"/>
                <w:szCs w:val="10"/>
                <w:lang w:val="fr-BE"/>
              </w:rPr>
            </w:pPr>
          </w:p>
        </w:tc>
        <w:tc>
          <w:tcPr>
            <w:tcW w:w="360" w:type="dxa"/>
            <w:tcBorders>
              <w:bottom w:val="single" w:sz="8" w:space="0" w:color="8BCCEC"/>
            </w:tcBorders>
            <w:vAlign w:val="bottom"/>
          </w:tcPr>
          <w:p w:rsidR="00AC12B4" w:rsidRPr="00C27636" w:rsidRDefault="00AC12B4">
            <w:pPr>
              <w:rPr>
                <w:sz w:val="10"/>
                <w:szCs w:val="10"/>
                <w:lang w:val="fr-BE"/>
              </w:rPr>
            </w:pPr>
          </w:p>
        </w:tc>
        <w:tc>
          <w:tcPr>
            <w:tcW w:w="420" w:type="dxa"/>
            <w:tcBorders>
              <w:bottom w:val="single" w:sz="8" w:space="0" w:color="8BCCEC"/>
            </w:tcBorders>
            <w:vAlign w:val="bottom"/>
          </w:tcPr>
          <w:p w:rsidR="00AC12B4" w:rsidRPr="00C27636" w:rsidRDefault="00AC12B4">
            <w:pPr>
              <w:rPr>
                <w:sz w:val="10"/>
                <w:szCs w:val="10"/>
                <w:lang w:val="fr-BE"/>
              </w:rPr>
            </w:pPr>
          </w:p>
        </w:tc>
        <w:tc>
          <w:tcPr>
            <w:tcW w:w="200" w:type="dxa"/>
            <w:tcBorders>
              <w:bottom w:val="single" w:sz="8" w:space="0" w:color="8BCCEC"/>
            </w:tcBorders>
            <w:vAlign w:val="bottom"/>
          </w:tcPr>
          <w:p w:rsidR="00AC12B4" w:rsidRPr="00C27636" w:rsidRDefault="00AC12B4">
            <w:pPr>
              <w:rPr>
                <w:sz w:val="10"/>
                <w:szCs w:val="10"/>
                <w:lang w:val="fr-BE"/>
              </w:rPr>
            </w:pPr>
          </w:p>
        </w:tc>
        <w:tc>
          <w:tcPr>
            <w:tcW w:w="80" w:type="dxa"/>
            <w:tcBorders>
              <w:bottom w:val="single" w:sz="8" w:space="0" w:color="8BCCEC"/>
            </w:tcBorders>
            <w:vAlign w:val="bottom"/>
          </w:tcPr>
          <w:p w:rsidR="00AC12B4" w:rsidRPr="00C27636" w:rsidRDefault="00AC12B4">
            <w:pPr>
              <w:rPr>
                <w:sz w:val="10"/>
                <w:szCs w:val="10"/>
                <w:lang w:val="fr-BE"/>
              </w:rPr>
            </w:pPr>
          </w:p>
        </w:tc>
        <w:tc>
          <w:tcPr>
            <w:tcW w:w="200" w:type="dxa"/>
            <w:tcBorders>
              <w:bottom w:val="single" w:sz="8" w:space="0" w:color="8BCCEC"/>
            </w:tcBorders>
            <w:vAlign w:val="bottom"/>
          </w:tcPr>
          <w:p w:rsidR="00AC12B4" w:rsidRPr="00C27636" w:rsidRDefault="00AC12B4">
            <w:pPr>
              <w:rPr>
                <w:sz w:val="10"/>
                <w:szCs w:val="10"/>
                <w:lang w:val="fr-BE"/>
              </w:rPr>
            </w:pPr>
          </w:p>
        </w:tc>
        <w:tc>
          <w:tcPr>
            <w:tcW w:w="340" w:type="dxa"/>
            <w:tcBorders>
              <w:bottom w:val="single" w:sz="8" w:space="0" w:color="8BCCEC"/>
            </w:tcBorders>
            <w:vAlign w:val="bottom"/>
          </w:tcPr>
          <w:p w:rsidR="00AC12B4" w:rsidRPr="00C27636" w:rsidRDefault="00AC12B4">
            <w:pPr>
              <w:rPr>
                <w:sz w:val="10"/>
                <w:szCs w:val="10"/>
                <w:lang w:val="fr-BE"/>
              </w:rPr>
            </w:pPr>
          </w:p>
        </w:tc>
        <w:tc>
          <w:tcPr>
            <w:tcW w:w="140" w:type="dxa"/>
            <w:tcBorders>
              <w:bottom w:val="single" w:sz="8" w:space="0" w:color="8BCCEC"/>
              <w:right w:val="single" w:sz="8" w:space="0" w:color="8BCCEC"/>
            </w:tcBorders>
            <w:vAlign w:val="bottom"/>
          </w:tcPr>
          <w:p w:rsidR="00AC12B4" w:rsidRPr="00C27636" w:rsidRDefault="00AC12B4">
            <w:pPr>
              <w:rPr>
                <w:sz w:val="10"/>
                <w:szCs w:val="10"/>
                <w:lang w:val="fr-BE"/>
              </w:rPr>
            </w:pPr>
          </w:p>
        </w:tc>
        <w:tc>
          <w:tcPr>
            <w:tcW w:w="3780" w:type="dxa"/>
            <w:gridSpan w:val="7"/>
            <w:vMerge/>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trPr>
          <w:trHeight w:val="240"/>
        </w:trPr>
        <w:tc>
          <w:tcPr>
            <w:tcW w:w="480" w:type="dxa"/>
            <w:vAlign w:val="bottom"/>
          </w:tcPr>
          <w:p w:rsidR="00AC12B4" w:rsidRPr="00C27636" w:rsidRDefault="00AC12B4">
            <w:pPr>
              <w:rPr>
                <w:sz w:val="20"/>
                <w:szCs w:val="20"/>
                <w:lang w:val="fr-BE"/>
              </w:rPr>
            </w:pPr>
          </w:p>
        </w:tc>
        <w:tc>
          <w:tcPr>
            <w:tcW w:w="1240" w:type="dxa"/>
            <w:gridSpan w:val="11"/>
            <w:vMerge w:val="restart"/>
            <w:vAlign w:val="bottom"/>
          </w:tcPr>
          <w:p w:rsidR="00AC12B4" w:rsidRDefault="00C27636">
            <w:pPr>
              <w:ind w:left="280"/>
              <w:rPr>
                <w:sz w:val="20"/>
                <w:szCs w:val="20"/>
              </w:rPr>
            </w:pPr>
            <w:r>
              <w:rPr>
                <w:rFonts w:ascii="Calibri" w:eastAsia="Calibri" w:hAnsi="Calibri" w:cs="Calibri"/>
                <w:b/>
                <w:bCs/>
                <w:color w:val="4F81BD"/>
                <w:w w:val="99"/>
                <w:sz w:val="18"/>
                <w:szCs w:val="18"/>
              </w:rPr>
              <w:t>Figure 2. EFT</w:t>
            </w:r>
          </w:p>
        </w:tc>
        <w:tc>
          <w:tcPr>
            <w:tcW w:w="4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120" w:type="dxa"/>
            <w:vAlign w:val="bottom"/>
          </w:tcPr>
          <w:p w:rsidR="00AC12B4" w:rsidRDefault="00AC12B4">
            <w:pPr>
              <w:rPr>
                <w:sz w:val="20"/>
                <w:szCs w:val="20"/>
              </w:rPr>
            </w:pPr>
          </w:p>
        </w:tc>
        <w:tc>
          <w:tcPr>
            <w:tcW w:w="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60" w:type="dxa"/>
            <w:vAlign w:val="bottom"/>
          </w:tcPr>
          <w:p w:rsidR="00AC12B4" w:rsidRDefault="00AC12B4">
            <w:pPr>
              <w:rPr>
                <w:sz w:val="20"/>
                <w:szCs w:val="20"/>
              </w:rPr>
            </w:pPr>
          </w:p>
        </w:tc>
        <w:tc>
          <w:tcPr>
            <w:tcW w:w="12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20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20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12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6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20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360" w:type="dxa"/>
            <w:vAlign w:val="bottom"/>
          </w:tcPr>
          <w:p w:rsidR="00AC12B4" w:rsidRDefault="00AC12B4">
            <w:pPr>
              <w:rPr>
                <w:sz w:val="20"/>
                <w:szCs w:val="20"/>
              </w:rPr>
            </w:pPr>
          </w:p>
        </w:tc>
        <w:tc>
          <w:tcPr>
            <w:tcW w:w="420" w:type="dxa"/>
            <w:vAlign w:val="bottom"/>
          </w:tcPr>
          <w:p w:rsidR="00AC12B4" w:rsidRDefault="00AC12B4">
            <w:pPr>
              <w:rPr>
                <w:sz w:val="20"/>
                <w:szCs w:val="20"/>
              </w:rPr>
            </w:pPr>
          </w:p>
        </w:tc>
        <w:tc>
          <w:tcPr>
            <w:tcW w:w="200" w:type="dxa"/>
            <w:vAlign w:val="bottom"/>
          </w:tcPr>
          <w:p w:rsidR="00AC12B4" w:rsidRDefault="00AC12B4">
            <w:pPr>
              <w:rPr>
                <w:sz w:val="20"/>
                <w:szCs w:val="20"/>
              </w:rPr>
            </w:pPr>
          </w:p>
        </w:tc>
        <w:tc>
          <w:tcPr>
            <w:tcW w:w="80" w:type="dxa"/>
            <w:vAlign w:val="bottom"/>
          </w:tcPr>
          <w:p w:rsidR="00AC12B4" w:rsidRDefault="00AC12B4">
            <w:pPr>
              <w:rPr>
                <w:sz w:val="20"/>
                <w:szCs w:val="20"/>
              </w:rPr>
            </w:pPr>
          </w:p>
        </w:tc>
        <w:tc>
          <w:tcPr>
            <w:tcW w:w="200" w:type="dxa"/>
            <w:vAlign w:val="bottom"/>
          </w:tcPr>
          <w:p w:rsidR="00AC12B4" w:rsidRDefault="00AC12B4">
            <w:pPr>
              <w:rPr>
                <w:sz w:val="20"/>
                <w:szCs w:val="20"/>
              </w:rPr>
            </w:pPr>
          </w:p>
        </w:tc>
        <w:tc>
          <w:tcPr>
            <w:tcW w:w="340" w:type="dxa"/>
            <w:vAlign w:val="bottom"/>
          </w:tcPr>
          <w:p w:rsidR="00AC12B4" w:rsidRDefault="00AC12B4">
            <w:pPr>
              <w:rPr>
                <w:sz w:val="20"/>
                <w:szCs w:val="20"/>
              </w:rPr>
            </w:pPr>
          </w:p>
        </w:tc>
        <w:tc>
          <w:tcPr>
            <w:tcW w:w="140" w:type="dxa"/>
            <w:vAlign w:val="bottom"/>
          </w:tcPr>
          <w:p w:rsidR="00AC12B4" w:rsidRDefault="00AC12B4">
            <w:pPr>
              <w:rPr>
                <w:sz w:val="20"/>
                <w:szCs w:val="20"/>
              </w:rPr>
            </w:pPr>
          </w:p>
        </w:tc>
        <w:tc>
          <w:tcPr>
            <w:tcW w:w="2560" w:type="dxa"/>
            <w:gridSpan w:val="5"/>
            <w:vAlign w:val="bottom"/>
          </w:tcPr>
          <w:p w:rsidR="00AC12B4" w:rsidRDefault="00C27636">
            <w:pPr>
              <w:spacing w:line="240" w:lineRule="exact"/>
              <w:ind w:left="160"/>
              <w:rPr>
                <w:sz w:val="20"/>
                <w:szCs w:val="20"/>
              </w:rPr>
            </w:pPr>
            <w:r>
              <w:rPr>
                <w:rFonts w:ascii="Calibri" w:eastAsia="Calibri" w:hAnsi="Calibri" w:cs="Calibri"/>
              </w:rPr>
              <w:t>plus de ventilations.</w:t>
            </w:r>
          </w:p>
        </w:tc>
        <w:tc>
          <w:tcPr>
            <w:tcW w:w="540" w:type="dxa"/>
            <w:vAlign w:val="bottom"/>
          </w:tcPr>
          <w:p w:rsidR="00AC12B4" w:rsidRDefault="00AC12B4">
            <w:pPr>
              <w:rPr>
                <w:sz w:val="20"/>
                <w:szCs w:val="20"/>
              </w:rPr>
            </w:pPr>
          </w:p>
        </w:tc>
        <w:tc>
          <w:tcPr>
            <w:tcW w:w="68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50"/>
        </w:trPr>
        <w:tc>
          <w:tcPr>
            <w:tcW w:w="480" w:type="dxa"/>
            <w:vAlign w:val="bottom"/>
          </w:tcPr>
          <w:p w:rsidR="00AC12B4" w:rsidRDefault="00AC12B4">
            <w:pPr>
              <w:rPr>
                <w:sz w:val="4"/>
                <w:szCs w:val="4"/>
              </w:rPr>
            </w:pPr>
          </w:p>
        </w:tc>
        <w:tc>
          <w:tcPr>
            <w:tcW w:w="1240" w:type="dxa"/>
            <w:gridSpan w:val="11"/>
            <w:vMerge/>
            <w:vAlign w:val="bottom"/>
          </w:tcPr>
          <w:p w:rsidR="00AC12B4" w:rsidRDefault="00AC12B4">
            <w:pPr>
              <w:rPr>
                <w:sz w:val="4"/>
                <w:szCs w:val="4"/>
              </w:rPr>
            </w:pPr>
          </w:p>
        </w:tc>
        <w:tc>
          <w:tcPr>
            <w:tcW w:w="4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6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6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140" w:type="dxa"/>
            <w:vAlign w:val="bottom"/>
          </w:tcPr>
          <w:p w:rsidR="00AC12B4" w:rsidRDefault="00AC12B4">
            <w:pPr>
              <w:rPr>
                <w:sz w:val="4"/>
                <w:szCs w:val="4"/>
              </w:rPr>
            </w:pPr>
          </w:p>
        </w:tc>
        <w:tc>
          <w:tcPr>
            <w:tcW w:w="500" w:type="dxa"/>
            <w:vAlign w:val="bottom"/>
          </w:tcPr>
          <w:p w:rsidR="00AC12B4" w:rsidRDefault="00AC12B4">
            <w:pPr>
              <w:rPr>
                <w:sz w:val="4"/>
                <w:szCs w:val="4"/>
              </w:rPr>
            </w:pPr>
          </w:p>
        </w:tc>
        <w:tc>
          <w:tcPr>
            <w:tcW w:w="920" w:type="dxa"/>
            <w:vAlign w:val="bottom"/>
          </w:tcPr>
          <w:p w:rsidR="00AC12B4" w:rsidRDefault="00AC12B4">
            <w:pPr>
              <w:rPr>
                <w:sz w:val="4"/>
                <w:szCs w:val="4"/>
              </w:rPr>
            </w:pPr>
          </w:p>
        </w:tc>
        <w:tc>
          <w:tcPr>
            <w:tcW w:w="420" w:type="dxa"/>
            <w:vAlign w:val="bottom"/>
          </w:tcPr>
          <w:p w:rsidR="00AC12B4" w:rsidRDefault="00AC12B4">
            <w:pPr>
              <w:rPr>
                <w:sz w:val="4"/>
                <w:szCs w:val="4"/>
              </w:rPr>
            </w:pPr>
          </w:p>
        </w:tc>
        <w:tc>
          <w:tcPr>
            <w:tcW w:w="280" w:type="dxa"/>
            <w:vAlign w:val="bottom"/>
          </w:tcPr>
          <w:p w:rsidR="00AC12B4" w:rsidRDefault="00AC12B4">
            <w:pPr>
              <w:rPr>
                <w:sz w:val="4"/>
                <w:szCs w:val="4"/>
              </w:rPr>
            </w:pPr>
          </w:p>
        </w:tc>
        <w:tc>
          <w:tcPr>
            <w:tcW w:w="440" w:type="dxa"/>
            <w:vAlign w:val="bottom"/>
          </w:tcPr>
          <w:p w:rsidR="00AC12B4" w:rsidRDefault="00AC12B4">
            <w:pPr>
              <w:rPr>
                <w:sz w:val="4"/>
                <w:szCs w:val="4"/>
              </w:rPr>
            </w:pPr>
          </w:p>
        </w:tc>
        <w:tc>
          <w:tcPr>
            <w:tcW w:w="540" w:type="dxa"/>
            <w:vAlign w:val="bottom"/>
          </w:tcPr>
          <w:p w:rsidR="00AC12B4" w:rsidRDefault="00AC12B4">
            <w:pPr>
              <w:rPr>
                <w:sz w:val="4"/>
                <w:szCs w:val="4"/>
              </w:rPr>
            </w:pPr>
          </w:p>
        </w:tc>
        <w:tc>
          <w:tcPr>
            <w:tcW w:w="68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49"/>
        </w:trPr>
        <w:tc>
          <w:tcPr>
            <w:tcW w:w="480" w:type="dxa"/>
            <w:vAlign w:val="bottom"/>
          </w:tcPr>
          <w:p w:rsidR="00AC12B4" w:rsidRDefault="00AC12B4">
            <w:pPr>
              <w:rPr>
                <w:sz w:val="21"/>
                <w:szCs w:val="21"/>
              </w:rPr>
            </w:pPr>
          </w:p>
        </w:tc>
        <w:tc>
          <w:tcPr>
            <w:tcW w:w="320" w:type="dxa"/>
            <w:vAlign w:val="bottom"/>
          </w:tcPr>
          <w:p w:rsidR="00AC12B4" w:rsidRDefault="00AC12B4">
            <w:pPr>
              <w:rPr>
                <w:sz w:val="21"/>
                <w:szCs w:val="21"/>
              </w:rPr>
            </w:pPr>
          </w:p>
        </w:tc>
        <w:tc>
          <w:tcPr>
            <w:tcW w:w="6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gridSpan w:val="2"/>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00" w:type="dxa"/>
            <w:gridSpan w:val="2"/>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gridSpan w:val="2"/>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6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360" w:type="dxa"/>
            <w:vAlign w:val="bottom"/>
          </w:tcPr>
          <w:p w:rsidR="00AC12B4" w:rsidRDefault="00AC12B4">
            <w:pPr>
              <w:rPr>
                <w:sz w:val="21"/>
                <w:szCs w:val="21"/>
              </w:rPr>
            </w:pPr>
          </w:p>
        </w:tc>
        <w:tc>
          <w:tcPr>
            <w:tcW w:w="420" w:type="dxa"/>
            <w:vAlign w:val="bottom"/>
          </w:tcPr>
          <w:p w:rsidR="00AC12B4" w:rsidRDefault="00AC12B4">
            <w:pPr>
              <w:rPr>
                <w:sz w:val="21"/>
                <w:szCs w:val="21"/>
              </w:rPr>
            </w:pPr>
          </w:p>
        </w:tc>
        <w:tc>
          <w:tcPr>
            <w:tcW w:w="200" w:type="dxa"/>
            <w:tcBorders>
              <w:bottom w:val="single" w:sz="8" w:space="0" w:color="44ACE0"/>
            </w:tcBorders>
            <w:vAlign w:val="bottom"/>
          </w:tcPr>
          <w:p w:rsidR="00AC12B4" w:rsidRDefault="00AC12B4">
            <w:pPr>
              <w:rPr>
                <w:sz w:val="21"/>
                <w:szCs w:val="21"/>
              </w:rPr>
            </w:pPr>
          </w:p>
        </w:tc>
        <w:tc>
          <w:tcPr>
            <w:tcW w:w="80" w:type="dxa"/>
            <w:tcBorders>
              <w:bottom w:val="single" w:sz="8" w:space="0" w:color="44ACE0"/>
            </w:tcBorders>
            <w:vAlign w:val="bottom"/>
          </w:tcPr>
          <w:p w:rsidR="00AC12B4" w:rsidRDefault="00AC12B4">
            <w:pPr>
              <w:rPr>
                <w:sz w:val="21"/>
                <w:szCs w:val="21"/>
              </w:rPr>
            </w:pPr>
          </w:p>
        </w:tc>
        <w:tc>
          <w:tcPr>
            <w:tcW w:w="200" w:type="dxa"/>
            <w:tcBorders>
              <w:bottom w:val="single" w:sz="8" w:space="0" w:color="44ACE0"/>
            </w:tcBorders>
            <w:vAlign w:val="bottom"/>
          </w:tcPr>
          <w:p w:rsidR="00AC12B4" w:rsidRDefault="00AC12B4">
            <w:pPr>
              <w:rPr>
                <w:sz w:val="21"/>
                <w:szCs w:val="21"/>
              </w:rPr>
            </w:pPr>
          </w:p>
        </w:tc>
        <w:tc>
          <w:tcPr>
            <w:tcW w:w="480" w:type="dxa"/>
            <w:gridSpan w:val="2"/>
            <w:tcBorders>
              <w:bottom w:val="single" w:sz="8" w:space="0" w:color="44ACE0"/>
            </w:tcBorders>
            <w:vAlign w:val="bottom"/>
          </w:tcPr>
          <w:p w:rsidR="00AC12B4" w:rsidRDefault="00AC12B4">
            <w:pPr>
              <w:rPr>
                <w:sz w:val="21"/>
                <w:szCs w:val="21"/>
              </w:rPr>
            </w:pPr>
          </w:p>
        </w:tc>
        <w:tc>
          <w:tcPr>
            <w:tcW w:w="2120" w:type="dxa"/>
            <w:gridSpan w:val="4"/>
            <w:tcBorders>
              <w:bottom w:val="single" w:sz="8" w:space="0" w:color="44ACE0"/>
            </w:tcBorders>
            <w:vAlign w:val="bottom"/>
          </w:tcPr>
          <w:p w:rsidR="00AC12B4" w:rsidRDefault="00AC12B4">
            <w:pPr>
              <w:rPr>
                <w:sz w:val="21"/>
                <w:szCs w:val="21"/>
              </w:rPr>
            </w:pPr>
          </w:p>
        </w:tc>
        <w:tc>
          <w:tcPr>
            <w:tcW w:w="980" w:type="dxa"/>
            <w:gridSpan w:val="2"/>
            <w:tcBorders>
              <w:bottom w:val="single" w:sz="8" w:space="0" w:color="44ACE0"/>
            </w:tcBorders>
            <w:vAlign w:val="bottom"/>
          </w:tcPr>
          <w:p w:rsidR="00AC12B4" w:rsidRDefault="00AC12B4">
            <w:pPr>
              <w:rPr>
                <w:sz w:val="21"/>
                <w:szCs w:val="21"/>
              </w:rPr>
            </w:pPr>
          </w:p>
        </w:tc>
        <w:tc>
          <w:tcPr>
            <w:tcW w:w="680" w:type="dxa"/>
            <w:tcBorders>
              <w:bottom w:val="single" w:sz="8" w:space="0" w:color="44ACE0"/>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rsidRPr="00C27636">
        <w:trPr>
          <w:trHeight w:val="358"/>
        </w:trPr>
        <w:tc>
          <w:tcPr>
            <w:tcW w:w="800" w:type="dxa"/>
            <w:gridSpan w:val="2"/>
            <w:vAlign w:val="bottom"/>
          </w:tcPr>
          <w:p w:rsidR="00AC12B4" w:rsidRDefault="00C27636">
            <w:pPr>
              <w:ind w:left="480"/>
              <w:rPr>
                <w:sz w:val="20"/>
                <w:szCs w:val="20"/>
              </w:rPr>
            </w:pPr>
            <w:r>
              <w:rPr>
                <w:rFonts w:ascii="Calibri" w:eastAsia="Calibri" w:hAnsi="Calibri" w:cs="Calibri"/>
              </w:rPr>
              <w:t>Les</w:t>
            </w:r>
          </w:p>
        </w:tc>
        <w:tc>
          <w:tcPr>
            <w:tcW w:w="6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1160" w:type="dxa"/>
            <w:gridSpan w:val="13"/>
            <w:vAlign w:val="bottom"/>
          </w:tcPr>
          <w:p w:rsidR="00AC12B4" w:rsidRDefault="00C27636">
            <w:pPr>
              <w:ind w:left="140"/>
              <w:rPr>
                <w:sz w:val="20"/>
                <w:szCs w:val="20"/>
              </w:rPr>
            </w:pPr>
            <w:r>
              <w:rPr>
                <w:rFonts w:ascii="Calibri" w:eastAsia="Calibri" w:hAnsi="Calibri" w:cs="Calibri"/>
              </w:rPr>
              <w:t>données</w:t>
            </w:r>
          </w:p>
        </w:tc>
        <w:tc>
          <w:tcPr>
            <w:tcW w:w="1280" w:type="dxa"/>
            <w:gridSpan w:val="15"/>
            <w:vAlign w:val="bottom"/>
          </w:tcPr>
          <w:p w:rsidR="00AC12B4" w:rsidRDefault="00C27636">
            <w:pPr>
              <w:ind w:left="60"/>
              <w:rPr>
                <w:sz w:val="20"/>
                <w:szCs w:val="20"/>
              </w:rPr>
            </w:pPr>
            <w:r>
              <w:rPr>
                <w:rFonts w:ascii="Calibri" w:eastAsia="Calibri" w:hAnsi="Calibri" w:cs="Calibri"/>
              </w:rPr>
              <w:t>existantes</w:t>
            </w:r>
          </w:p>
        </w:tc>
        <w:tc>
          <w:tcPr>
            <w:tcW w:w="1060" w:type="dxa"/>
            <w:gridSpan w:val="9"/>
            <w:vAlign w:val="bottom"/>
          </w:tcPr>
          <w:p w:rsidR="00AC12B4" w:rsidRDefault="00C27636">
            <w:pPr>
              <w:jc w:val="right"/>
              <w:rPr>
                <w:sz w:val="20"/>
                <w:szCs w:val="20"/>
              </w:rPr>
            </w:pPr>
            <w:r>
              <w:rPr>
                <w:rFonts w:ascii="Calibri" w:eastAsia="Calibri" w:hAnsi="Calibri" w:cs="Calibri"/>
              </w:rPr>
              <w:t>ne   nous</w:t>
            </w:r>
          </w:p>
        </w:tc>
        <w:tc>
          <w:tcPr>
            <w:tcW w:w="420" w:type="dxa"/>
            <w:tcBorders>
              <w:right w:val="single" w:sz="8" w:space="0" w:color="44ACE0"/>
            </w:tcBorders>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4460" w:type="dxa"/>
            <w:gridSpan w:val="10"/>
            <w:tcBorders>
              <w:right w:val="single" w:sz="8" w:space="0" w:color="44ACE0"/>
            </w:tcBorders>
            <w:vAlign w:val="bottom"/>
          </w:tcPr>
          <w:p w:rsidR="00AC12B4" w:rsidRPr="00C27636" w:rsidRDefault="00C27636">
            <w:pPr>
              <w:ind w:right="720"/>
              <w:jc w:val="right"/>
              <w:rPr>
                <w:sz w:val="20"/>
                <w:szCs w:val="20"/>
                <w:lang w:val="fr-BE"/>
              </w:rPr>
            </w:pPr>
            <w:r w:rsidRPr="00C27636">
              <w:rPr>
                <w:rFonts w:ascii="Calibri" w:eastAsia="Calibri" w:hAnsi="Calibri" w:cs="Calibri"/>
                <w:b/>
                <w:bCs/>
                <w:color w:val="44ACE0"/>
                <w:sz w:val="20"/>
                <w:szCs w:val="20"/>
                <w:lang w:val="fr-BE"/>
              </w:rPr>
              <w:t>Définition de l’interruption prématurée de</w:t>
            </w:r>
          </w:p>
        </w:tc>
        <w:tc>
          <w:tcPr>
            <w:tcW w:w="0" w:type="dxa"/>
            <w:vAlign w:val="bottom"/>
          </w:tcPr>
          <w:p w:rsidR="00AC12B4" w:rsidRPr="00C27636" w:rsidRDefault="00AC12B4">
            <w:pPr>
              <w:rPr>
                <w:sz w:val="1"/>
                <w:szCs w:val="1"/>
                <w:lang w:val="fr-BE"/>
              </w:rPr>
            </w:pPr>
          </w:p>
        </w:tc>
      </w:tr>
      <w:tr w:rsidR="00AC12B4">
        <w:trPr>
          <w:trHeight w:val="197"/>
        </w:trPr>
        <w:tc>
          <w:tcPr>
            <w:tcW w:w="4440" w:type="dxa"/>
            <w:gridSpan w:val="41"/>
            <w:vMerge w:val="restart"/>
            <w:vAlign w:val="bottom"/>
          </w:tcPr>
          <w:p w:rsidR="00AC12B4" w:rsidRPr="00C27636" w:rsidRDefault="00C27636">
            <w:pPr>
              <w:ind w:left="480"/>
              <w:rPr>
                <w:sz w:val="20"/>
                <w:szCs w:val="20"/>
                <w:lang w:val="fr-BE"/>
              </w:rPr>
            </w:pPr>
            <w:r w:rsidRPr="00C27636">
              <w:rPr>
                <w:rFonts w:ascii="Calibri" w:eastAsia="Calibri" w:hAnsi="Calibri" w:cs="Calibri"/>
                <w:lang w:val="fr-BE"/>
              </w:rPr>
              <w:t>permettent pas d’analyse plus approfondie</w:t>
            </w:r>
          </w:p>
        </w:tc>
        <w:tc>
          <w:tcPr>
            <w:tcW w:w="420" w:type="dxa"/>
            <w:tcBorders>
              <w:right w:val="single" w:sz="8" w:space="0" w:color="44ACE0"/>
            </w:tcBorders>
            <w:vAlign w:val="bottom"/>
          </w:tcPr>
          <w:p w:rsidR="00AC12B4" w:rsidRPr="00C27636" w:rsidRDefault="00AC12B4">
            <w:pPr>
              <w:rPr>
                <w:sz w:val="17"/>
                <w:szCs w:val="17"/>
                <w:lang w:val="fr-BE"/>
              </w:rPr>
            </w:pPr>
          </w:p>
        </w:tc>
        <w:tc>
          <w:tcPr>
            <w:tcW w:w="2380" w:type="dxa"/>
            <w:gridSpan w:val="7"/>
            <w:vAlign w:val="bottom"/>
          </w:tcPr>
          <w:p w:rsidR="00AC12B4" w:rsidRDefault="00C27636">
            <w:pPr>
              <w:spacing w:line="198" w:lineRule="exact"/>
              <w:ind w:right="356"/>
              <w:jc w:val="center"/>
              <w:rPr>
                <w:sz w:val="20"/>
                <w:szCs w:val="20"/>
              </w:rPr>
            </w:pPr>
            <w:r>
              <w:rPr>
                <w:rFonts w:ascii="Calibri" w:eastAsia="Calibri" w:hAnsi="Calibri" w:cs="Calibri"/>
                <w:b/>
                <w:bCs/>
                <w:color w:val="44ACE0"/>
                <w:sz w:val="20"/>
                <w:szCs w:val="20"/>
              </w:rPr>
              <w:t>scolarité (Eurostat):</w:t>
            </w:r>
          </w:p>
        </w:tc>
        <w:tc>
          <w:tcPr>
            <w:tcW w:w="420" w:type="dxa"/>
            <w:vAlign w:val="bottom"/>
          </w:tcPr>
          <w:p w:rsidR="00AC12B4" w:rsidRDefault="00AC12B4">
            <w:pPr>
              <w:rPr>
                <w:sz w:val="17"/>
                <w:szCs w:val="17"/>
              </w:rPr>
            </w:pPr>
          </w:p>
        </w:tc>
        <w:tc>
          <w:tcPr>
            <w:tcW w:w="280" w:type="dxa"/>
            <w:vAlign w:val="bottom"/>
          </w:tcPr>
          <w:p w:rsidR="00AC12B4" w:rsidRDefault="00AC12B4">
            <w:pPr>
              <w:rPr>
                <w:sz w:val="17"/>
                <w:szCs w:val="17"/>
              </w:rPr>
            </w:pPr>
          </w:p>
        </w:tc>
        <w:tc>
          <w:tcPr>
            <w:tcW w:w="440" w:type="dxa"/>
            <w:vAlign w:val="bottom"/>
          </w:tcPr>
          <w:p w:rsidR="00AC12B4" w:rsidRDefault="00AC12B4">
            <w:pPr>
              <w:rPr>
                <w:sz w:val="17"/>
                <w:szCs w:val="17"/>
              </w:rPr>
            </w:pPr>
          </w:p>
        </w:tc>
        <w:tc>
          <w:tcPr>
            <w:tcW w:w="540" w:type="dxa"/>
            <w:vAlign w:val="bottom"/>
          </w:tcPr>
          <w:p w:rsidR="00AC12B4" w:rsidRDefault="00AC12B4">
            <w:pPr>
              <w:rPr>
                <w:sz w:val="17"/>
                <w:szCs w:val="17"/>
              </w:rPr>
            </w:pPr>
          </w:p>
        </w:tc>
        <w:tc>
          <w:tcPr>
            <w:tcW w:w="680" w:type="dxa"/>
            <w:tcBorders>
              <w:right w:val="single" w:sz="8" w:space="0" w:color="44ACE0"/>
            </w:tcBorders>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88"/>
        </w:trPr>
        <w:tc>
          <w:tcPr>
            <w:tcW w:w="4440" w:type="dxa"/>
            <w:gridSpan w:val="41"/>
            <w:vMerge/>
            <w:vAlign w:val="bottom"/>
          </w:tcPr>
          <w:p w:rsidR="00AC12B4" w:rsidRDefault="00AC12B4">
            <w:pPr>
              <w:rPr>
                <w:sz w:val="7"/>
                <w:szCs w:val="7"/>
              </w:rPr>
            </w:pPr>
          </w:p>
        </w:tc>
        <w:tc>
          <w:tcPr>
            <w:tcW w:w="420" w:type="dxa"/>
            <w:tcBorders>
              <w:right w:val="single" w:sz="8" w:space="0" w:color="44ACE0"/>
            </w:tcBorders>
            <w:vAlign w:val="bottom"/>
          </w:tcPr>
          <w:p w:rsidR="00AC12B4" w:rsidRDefault="00AC12B4">
            <w:pPr>
              <w:rPr>
                <w:sz w:val="7"/>
                <w:szCs w:val="7"/>
              </w:rPr>
            </w:pPr>
          </w:p>
        </w:tc>
        <w:tc>
          <w:tcPr>
            <w:tcW w:w="20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500" w:type="dxa"/>
            <w:vAlign w:val="bottom"/>
          </w:tcPr>
          <w:p w:rsidR="00AC12B4" w:rsidRDefault="00AC12B4">
            <w:pPr>
              <w:rPr>
                <w:sz w:val="7"/>
                <w:szCs w:val="7"/>
              </w:rPr>
            </w:pPr>
          </w:p>
        </w:tc>
        <w:tc>
          <w:tcPr>
            <w:tcW w:w="92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540" w:type="dxa"/>
            <w:vAlign w:val="bottom"/>
          </w:tcPr>
          <w:p w:rsidR="00AC12B4" w:rsidRDefault="00AC12B4">
            <w:pPr>
              <w:rPr>
                <w:sz w:val="7"/>
                <w:szCs w:val="7"/>
              </w:rPr>
            </w:pPr>
          </w:p>
        </w:tc>
        <w:tc>
          <w:tcPr>
            <w:tcW w:w="680" w:type="dxa"/>
            <w:tcBorders>
              <w:right w:val="single" w:sz="8" w:space="0" w:color="44ACE0"/>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269"/>
        </w:trPr>
        <w:tc>
          <w:tcPr>
            <w:tcW w:w="800" w:type="dxa"/>
            <w:gridSpan w:val="2"/>
            <w:vAlign w:val="bottom"/>
          </w:tcPr>
          <w:p w:rsidR="00AC12B4" w:rsidRDefault="00C27636">
            <w:pPr>
              <w:ind w:left="480"/>
              <w:rPr>
                <w:sz w:val="20"/>
                <w:szCs w:val="20"/>
              </w:rPr>
            </w:pPr>
            <w:r>
              <w:rPr>
                <w:rFonts w:ascii="Calibri" w:eastAsia="Calibri" w:hAnsi="Calibri" w:cs="Calibri"/>
                <w:w w:val="96"/>
              </w:rPr>
              <w:t>des</w:t>
            </w:r>
          </w:p>
        </w:tc>
        <w:tc>
          <w:tcPr>
            <w:tcW w:w="60" w:type="dxa"/>
            <w:vAlign w:val="bottom"/>
          </w:tcPr>
          <w:p w:rsidR="00AC12B4" w:rsidRDefault="00AC12B4">
            <w:pPr>
              <w:rPr>
                <w:sz w:val="23"/>
                <w:szCs w:val="23"/>
              </w:rPr>
            </w:pPr>
          </w:p>
        </w:tc>
        <w:tc>
          <w:tcPr>
            <w:tcW w:w="860" w:type="dxa"/>
            <w:gridSpan w:val="9"/>
            <w:vAlign w:val="bottom"/>
          </w:tcPr>
          <w:p w:rsidR="00AC12B4" w:rsidRDefault="00C27636">
            <w:pPr>
              <w:ind w:left="40"/>
              <w:rPr>
                <w:sz w:val="20"/>
                <w:szCs w:val="20"/>
              </w:rPr>
            </w:pPr>
            <w:r>
              <w:rPr>
                <w:rFonts w:ascii="Calibri" w:eastAsia="Calibri" w:hAnsi="Calibri" w:cs="Calibri"/>
              </w:rPr>
              <w:t>facteurs</w:t>
            </w:r>
          </w:p>
        </w:tc>
        <w:tc>
          <w:tcPr>
            <w:tcW w:w="380" w:type="dxa"/>
            <w:gridSpan w:val="5"/>
            <w:vAlign w:val="bottom"/>
          </w:tcPr>
          <w:p w:rsidR="00AC12B4" w:rsidRDefault="00C27636">
            <w:pPr>
              <w:ind w:left="20"/>
              <w:rPr>
                <w:sz w:val="20"/>
                <w:szCs w:val="20"/>
              </w:rPr>
            </w:pPr>
            <w:r>
              <w:rPr>
                <w:rFonts w:ascii="Calibri" w:eastAsia="Calibri" w:hAnsi="Calibri" w:cs="Calibri"/>
              </w:rPr>
              <w:t>liés</w:t>
            </w:r>
          </w:p>
        </w:tc>
        <w:tc>
          <w:tcPr>
            <w:tcW w:w="160" w:type="dxa"/>
            <w:gridSpan w:val="3"/>
            <w:vAlign w:val="bottom"/>
          </w:tcPr>
          <w:p w:rsidR="00AC12B4" w:rsidRDefault="00C27636">
            <w:pPr>
              <w:ind w:left="40"/>
              <w:rPr>
                <w:sz w:val="20"/>
                <w:szCs w:val="20"/>
              </w:rPr>
            </w:pPr>
            <w:r>
              <w:rPr>
                <w:rFonts w:ascii="Calibri" w:eastAsia="Calibri" w:hAnsi="Calibri" w:cs="Calibri"/>
                <w:w w:val="94"/>
              </w:rPr>
              <w:t>à</w:t>
            </w:r>
          </w:p>
        </w:tc>
        <w:tc>
          <w:tcPr>
            <w:tcW w:w="1820" w:type="dxa"/>
            <w:gridSpan w:val="20"/>
            <w:vAlign w:val="bottom"/>
          </w:tcPr>
          <w:p w:rsidR="00AC12B4" w:rsidRDefault="00C27636">
            <w:pPr>
              <w:ind w:left="100"/>
              <w:rPr>
                <w:sz w:val="20"/>
                <w:szCs w:val="20"/>
              </w:rPr>
            </w:pPr>
            <w:r>
              <w:rPr>
                <w:rFonts w:ascii="Calibri" w:eastAsia="Calibri" w:hAnsi="Calibri" w:cs="Calibri"/>
              </w:rPr>
              <w:t>cette interruption</w:t>
            </w:r>
          </w:p>
        </w:tc>
        <w:tc>
          <w:tcPr>
            <w:tcW w:w="360" w:type="dxa"/>
            <w:vAlign w:val="bottom"/>
          </w:tcPr>
          <w:p w:rsidR="00AC12B4" w:rsidRDefault="00C27636">
            <w:pPr>
              <w:jc w:val="right"/>
              <w:rPr>
                <w:sz w:val="20"/>
                <w:szCs w:val="20"/>
              </w:rPr>
            </w:pPr>
            <w:r>
              <w:rPr>
                <w:rFonts w:ascii="Calibri" w:eastAsia="Calibri" w:hAnsi="Calibri" w:cs="Calibri"/>
              </w:rPr>
              <w:t>de</w:t>
            </w:r>
          </w:p>
        </w:tc>
        <w:tc>
          <w:tcPr>
            <w:tcW w:w="420" w:type="dxa"/>
            <w:tcBorders>
              <w:right w:val="single" w:sz="8" w:space="0" w:color="44ACE0"/>
            </w:tcBorders>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4260" w:type="dxa"/>
            <w:gridSpan w:val="9"/>
            <w:vMerge w:val="restart"/>
            <w:tcBorders>
              <w:right w:val="single" w:sz="8" w:space="0" w:color="44ACE0"/>
            </w:tcBorders>
            <w:vAlign w:val="bottom"/>
          </w:tcPr>
          <w:p w:rsidR="00AC12B4" w:rsidRPr="00C27636" w:rsidRDefault="00C27636">
            <w:pPr>
              <w:spacing w:line="484" w:lineRule="exact"/>
              <w:ind w:right="180"/>
              <w:jc w:val="right"/>
              <w:rPr>
                <w:sz w:val="20"/>
                <w:szCs w:val="20"/>
                <w:lang w:val="fr-BE"/>
              </w:rPr>
            </w:pPr>
            <w:r>
              <w:rPr>
                <w:rFonts w:ascii="Wingdings" w:eastAsia="Wingdings" w:hAnsi="Wingdings" w:cs="Wingdings"/>
                <w:sz w:val="44"/>
                <w:szCs w:val="44"/>
                <w:vertAlign w:val="superscript"/>
              </w:rPr>
              <w:t></w:t>
            </w:r>
            <w:r w:rsidRPr="00C27636">
              <w:rPr>
                <w:rFonts w:ascii="Calibri" w:eastAsia="Calibri" w:hAnsi="Calibri" w:cs="Calibri"/>
                <w:lang w:val="fr-BE"/>
              </w:rPr>
              <w:t xml:space="preserve"> Pourcentage de personnes âgées de 18 à</w:t>
            </w:r>
          </w:p>
        </w:tc>
        <w:tc>
          <w:tcPr>
            <w:tcW w:w="0" w:type="dxa"/>
            <w:vAlign w:val="bottom"/>
          </w:tcPr>
          <w:p w:rsidR="00AC12B4" w:rsidRPr="00C27636" w:rsidRDefault="00AC12B4">
            <w:pPr>
              <w:rPr>
                <w:sz w:val="1"/>
                <w:szCs w:val="1"/>
                <w:lang w:val="fr-BE"/>
              </w:rPr>
            </w:pPr>
          </w:p>
        </w:tc>
      </w:tr>
      <w:tr w:rsidR="00AC12B4">
        <w:trPr>
          <w:trHeight w:val="215"/>
        </w:trPr>
        <w:tc>
          <w:tcPr>
            <w:tcW w:w="1380" w:type="dxa"/>
            <w:gridSpan w:val="9"/>
            <w:vMerge w:val="restart"/>
            <w:vAlign w:val="bottom"/>
          </w:tcPr>
          <w:p w:rsidR="00AC12B4" w:rsidRDefault="00C27636">
            <w:pPr>
              <w:ind w:left="480"/>
              <w:rPr>
                <w:sz w:val="20"/>
                <w:szCs w:val="20"/>
              </w:rPr>
            </w:pPr>
            <w:r>
              <w:rPr>
                <w:rFonts w:ascii="Calibri" w:eastAsia="Calibri" w:hAnsi="Calibri" w:cs="Calibri"/>
              </w:rPr>
              <w:t>scolarité</w:t>
            </w:r>
          </w:p>
        </w:tc>
        <w:tc>
          <w:tcPr>
            <w:tcW w:w="340" w:type="dxa"/>
            <w:gridSpan w:val="3"/>
            <w:vMerge w:val="restart"/>
            <w:vAlign w:val="bottom"/>
          </w:tcPr>
          <w:p w:rsidR="00AC12B4" w:rsidRDefault="00C27636">
            <w:pPr>
              <w:rPr>
                <w:sz w:val="20"/>
                <w:szCs w:val="20"/>
              </w:rPr>
            </w:pPr>
            <w:r>
              <w:rPr>
                <w:rFonts w:ascii="Calibri" w:eastAsia="Calibri" w:hAnsi="Calibri" w:cs="Calibri"/>
              </w:rPr>
              <w:t>(cf.</w:t>
            </w:r>
          </w:p>
        </w:tc>
        <w:tc>
          <w:tcPr>
            <w:tcW w:w="40" w:type="dxa"/>
            <w:vAlign w:val="bottom"/>
          </w:tcPr>
          <w:p w:rsidR="00AC12B4" w:rsidRDefault="00AC12B4">
            <w:pPr>
              <w:rPr>
                <w:sz w:val="18"/>
                <w:szCs w:val="18"/>
              </w:rPr>
            </w:pPr>
          </w:p>
        </w:tc>
        <w:tc>
          <w:tcPr>
            <w:tcW w:w="20" w:type="dxa"/>
            <w:vAlign w:val="bottom"/>
          </w:tcPr>
          <w:p w:rsidR="00AC12B4" w:rsidRDefault="00AC12B4">
            <w:pPr>
              <w:rPr>
                <w:sz w:val="18"/>
                <w:szCs w:val="18"/>
              </w:rPr>
            </w:pPr>
          </w:p>
        </w:tc>
        <w:tc>
          <w:tcPr>
            <w:tcW w:w="480" w:type="dxa"/>
            <w:gridSpan w:val="6"/>
            <w:vMerge w:val="restart"/>
            <w:vAlign w:val="bottom"/>
          </w:tcPr>
          <w:p w:rsidR="00AC12B4" w:rsidRDefault="00C27636">
            <w:pPr>
              <w:ind w:left="40"/>
              <w:rPr>
                <w:sz w:val="20"/>
                <w:szCs w:val="20"/>
              </w:rPr>
            </w:pPr>
            <w:r>
              <w:rPr>
                <w:rFonts w:ascii="Calibri" w:eastAsia="Calibri" w:hAnsi="Calibri" w:cs="Calibri"/>
              </w:rPr>
              <w:t>infra</w:t>
            </w:r>
          </w:p>
        </w:tc>
        <w:tc>
          <w:tcPr>
            <w:tcW w:w="1120" w:type="dxa"/>
            <w:gridSpan w:val="12"/>
            <w:vMerge w:val="restart"/>
            <w:vAlign w:val="bottom"/>
          </w:tcPr>
          <w:p w:rsidR="00AC12B4" w:rsidRDefault="00C27636">
            <w:pPr>
              <w:ind w:left="120"/>
              <w:rPr>
                <w:sz w:val="20"/>
                <w:szCs w:val="20"/>
              </w:rPr>
            </w:pPr>
            <w:r>
              <w:rPr>
                <w:rFonts w:ascii="Calibri" w:eastAsia="Calibri" w:hAnsi="Calibri" w:cs="Calibri"/>
              </w:rPr>
              <w:t>sous-titre</w:t>
            </w:r>
          </w:p>
        </w:tc>
        <w:tc>
          <w:tcPr>
            <w:tcW w:w="700" w:type="dxa"/>
            <w:gridSpan w:val="8"/>
            <w:vMerge w:val="restart"/>
            <w:vAlign w:val="bottom"/>
          </w:tcPr>
          <w:p w:rsidR="00AC12B4" w:rsidRDefault="00C27636">
            <w:pPr>
              <w:rPr>
                <w:sz w:val="20"/>
                <w:szCs w:val="20"/>
              </w:rPr>
            </w:pPr>
            <w:r>
              <w:rPr>
                <w:rFonts w:ascii="Calibri" w:eastAsia="Calibri" w:hAnsi="Calibri" w:cs="Calibri"/>
              </w:rPr>
              <w:t>‘Limite</w:t>
            </w:r>
          </w:p>
        </w:tc>
        <w:tc>
          <w:tcPr>
            <w:tcW w:w="360" w:type="dxa"/>
            <w:vMerge w:val="restart"/>
            <w:vAlign w:val="bottom"/>
          </w:tcPr>
          <w:p w:rsidR="00AC12B4" w:rsidRDefault="00C27636">
            <w:pPr>
              <w:jc w:val="right"/>
              <w:rPr>
                <w:sz w:val="20"/>
                <w:szCs w:val="20"/>
              </w:rPr>
            </w:pPr>
            <w:r>
              <w:rPr>
                <w:rFonts w:ascii="Calibri" w:eastAsia="Calibri" w:hAnsi="Calibri" w:cs="Calibri"/>
              </w:rPr>
              <w:t>de</w:t>
            </w:r>
          </w:p>
        </w:tc>
        <w:tc>
          <w:tcPr>
            <w:tcW w:w="420" w:type="dxa"/>
            <w:tcBorders>
              <w:right w:val="single" w:sz="8" w:space="0" w:color="44ACE0"/>
            </w:tcBorders>
            <w:vAlign w:val="bottom"/>
          </w:tcPr>
          <w:p w:rsidR="00AC12B4" w:rsidRDefault="00AC12B4">
            <w:pPr>
              <w:rPr>
                <w:sz w:val="18"/>
                <w:szCs w:val="18"/>
              </w:rPr>
            </w:pPr>
          </w:p>
        </w:tc>
        <w:tc>
          <w:tcPr>
            <w:tcW w:w="200" w:type="dxa"/>
            <w:vAlign w:val="bottom"/>
          </w:tcPr>
          <w:p w:rsidR="00AC12B4" w:rsidRDefault="00AC12B4">
            <w:pPr>
              <w:rPr>
                <w:sz w:val="18"/>
                <w:szCs w:val="18"/>
              </w:rPr>
            </w:pPr>
          </w:p>
        </w:tc>
        <w:tc>
          <w:tcPr>
            <w:tcW w:w="80" w:type="dxa"/>
            <w:vAlign w:val="bottom"/>
          </w:tcPr>
          <w:p w:rsidR="00AC12B4" w:rsidRDefault="00AC12B4">
            <w:pPr>
              <w:rPr>
                <w:sz w:val="18"/>
                <w:szCs w:val="18"/>
              </w:rPr>
            </w:pPr>
          </w:p>
        </w:tc>
        <w:tc>
          <w:tcPr>
            <w:tcW w:w="200" w:type="dxa"/>
            <w:vAlign w:val="bottom"/>
          </w:tcPr>
          <w:p w:rsidR="00AC12B4" w:rsidRDefault="00AC12B4">
            <w:pPr>
              <w:rPr>
                <w:sz w:val="18"/>
                <w:szCs w:val="18"/>
              </w:rPr>
            </w:pPr>
          </w:p>
        </w:tc>
        <w:tc>
          <w:tcPr>
            <w:tcW w:w="4260" w:type="dxa"/>
            <w:gridSpan w:val="9"/>
            <w:vMerge/>
            <w:tcBorders>
              <w:right w:val="single" w:sz="8" w:space="0" w:color="44ACE0"/>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rsidRPr="00C27636">
        <w:trPr>
          <w:trHeight w:val="54"/>
        </w:trPr>
        <w:tc>
          <w:tcPr>
            <w:tcW w:w="1380" w:type="dxa"/>
            <w:gridSpan w:val="9"/>
            <w:vMerge/>
            <w:vAlign w:val="bottom"/>
          </w:tcPr>
          <w:p w:rsidR="00AC12B4" w:rsidRDefault="00AC12B4">
            <w:pPr>
              <w:rPr>
                <w:sz w:val="4"/>
                <w:szCs w:val="4"/>
              </w:rPr>
            </w:pPr>
          </w:p>
        </w:tc>
        <w:tc>
          <w:tcPr>
            <w:tcW w:w="340" w:type="dxa"/>
            <w:gridSpan w:val="3"/>
            <w:vMerge/>
            <w:vAlign w:val="bottom"/>
          </w:tcPr>
          <w:p w:rsidR="00AC12B4" w:rsidRDefault="00AC12B4">
            <w:pPr>
              <w:rPr>
                <w:sz w:val="4"/>
                <w:szCs w:val="4"/>
              </w:rPr>
            </w:pPr>
          </w:p>
        </w:tc>
        <w:tc>
          <w:tcPr>
            <w:tcW w:w="4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gridSpan w:val="6"/>
            <w:vMerge/>
            <w:vAlign w:val="bottom"/>
          </w:tcPr>
          <w:p w:rsidR="00AC12B4" w:rsidRDefault="00AC12B4">
            <w:pPr>
              <w:rPr>
                <w:sz w:val="4"/>
                <w:szCs w:val="4"/>
              </w:rPr>
            </w:pPr>
          </w:p>
        </w:tc>
        <w:tc>
          <w:tcPr>
            <w:tcW w:w="1120" w:type="dxa"/>
            <w:gridSpan w:val="12"/>
            <w:vMerge/>
            <w:vAlign w:val="bottom"/>
          </w:tcPr>
          <w:p w:rsidR="00AC12B4" w:rsidRDefault="00AC12B4">
            <w:pPr>
              <w:rPr>
                <w:sz w:val="4"/>
                <w:szCs w:val="4"/>
              </w:rPr>
            </w:pPr>
          </w:p>
        </w:tc>
        <w:tc>
          <w:tcPr>
            <w:tcW w:w="700" w:type="dxa"/>
            <w:gridSpan w:val="8"/>
            <w:vMerge/>
            <w:vAlign w:val="bottom"/>
          </w:tcPr>
          <w:p w:rsidR="00AC12B4" w:rsidRDefault="00AC12B4">
            <w:pPr>
              <w:rPr>
                <w:sz w:val="4"/>
                <w:szCs w:val="4"/>
              </w:rPr>
            </w:pPr>
          </w:p>
        </w:tc>
        <w:tc>
          <w:tcPr>
            <w:tcW w:w="360" w:type="dxa"/>
            <w:vMerge/>
            <w:vAlign w:val="bottom"/>
          </w:tcPr>
          <w:p w:rsidR="00AC12B4" w:rsidRDefault="00AC12B4">
            <w:pPr>
              <w:rPr>
                <w:sz w:val="4"/>
                <w:szCs w:val="4"/>
              </w:rPr>
            </w:pPr>
          </w:p>
        </w:tc>
        <w:tc>
          <w:tcPr>
            <w:tcW w:w="420" w:type="dxa"/>
            <w:tcBorders>
              <w:right w:val="single" w:sz="8" w:space="0" w:color="44ACE0"/>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3920" w:type="dxa"/>
            <w:gridSpan w:val="8"/>
            <w:vMerge w:val="restart"/>
            <w:tcBorders>
              <w:right w:val="single" w:sz="8" w:space="0" w:color="44ACE0"/>
            </w:tcBorders>
            <w:vAlign w:val="bottom"/>
          </w:tcPr>
          <w:p w:rsidR="00AC12B4" w:rsidRPr="00C27636" w:rsidRDefault="00C27636">
            <w:pPr>
              <w:spacing w:line="234" w:lineRule="exact"/>
              <w:ind w:right="180"/>
              <w:jc w:val="right"/>
              <w:rPr>
                <w:sz w:val="20"/>
                <w:szCs w:val="20"/>
                <w:lang w:val="fr-BE"/>
              </w:rPr>
            </w:pPr>
            <w:r w:rsidRPr="00C27636">
              <w:rPr>
                <w:rFonts w:ascii="Calibri" w:eastAsia="Calibri" w:hAnsi="Calibri" w:cs="Calibri"/>
                <w:lang w:val="fr-BE"/>
              </w:rPr>
              <w:t>24 ans qui n'ont pas un diplôme du</w:t>
            </w:r>
          </w:p>
        </w:tc>
        <w:tc>
          <w:tcPr>
            <w:tcW w:w="0" w:type="dxa"/>
            <w:vAlign w:val="bottom"/>
          </w:tcPr>
          <w:p w:rsidR="00AC12B4" w:rsidRPr="00C27636" w:rsidRDefault="00AC12B4">
            <w:pPr>
              <w:rPr>
                <w:sz w:val="1"/>
                <w:szCs w:val="1"/>
                <w:lang w:val="fr-BE"/>
              </w:rPr>
            </w:pPr>
          </w:p>
        </w:tc>
      </w:tr>
      <w:tr w:rsidR="00AC12B4">
        <w:trPr>
          <w:trHeight w:val="180"/>
        </w:trPr>
        <w:tc>
          <w:tcPr>
            <w:tcW w:w="1720" w:type="dxa"/>
            <w:gridSpan w:val="12"/>
            <w:vMerge w:val="restart"/>
            <w:vAlign w:val="bottom"/>
          </w:tcPr>
          <w:p w:rsidR="00AC12B4" w:rsidRDefault="00C27636">
            <w:pPr>
              <w:ind w:left="480"/>
              <w:rPr>
                <w:sz w:val="20"/>
                <w:szCs w:val="20"/>
              </w:rPr>
            </w:pPr>
            <w:r>
              <w:rPr>
                <w:rFonts w:ascii="Calibri" w:eastAsia="Calibri" w:hAnsi="Calibri" w:cs="Calibri"/>
              </w:rPr>
              <w:t>l’indicat</w:t>
            </w:r>
            <w:r>
              <w:rPr>
                <w:rFonts w:ascii="Calibri" w:eastAsia="Calibri" w:hAnsi="Calibri" w:cs="Calibri"/>
              </w:rPr>
              <w:lastRenderedPageBreak/>
              <w:t>eur’).</w:t>
            </w:r>
          </w:p>
        </w:tc>
        <w:tc>
          <w:tcPr>
            <w:tcW w:w="4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20" w:type="dxa"/>
            <w:vAlign w:val="bottom"/>
          </w:tcPr>
          <w:p w:rsidR="00AC12B4" w:rsidRDefault="00AC12B4">
            <w:pPr>
              <w:rPr>
                <w:sz w:val="15"/>
                <w:szCs w:val="15"/>
              </w:rPr>
            </w:pPr>
          </w:p>
        </w:tc>
        <w:tc>
          <w:tcPr>
            <w:tcW w:w="8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60" w:type="dxa"/>
            <w:vAlign w:val="bottom"/>
          </w:tcPr>
          <w:p w:rsidR="00AC12B4" w:rsidRDefault="00AC12B4">
            <w:pPr>
              <w:rPr>
                <w:sz w:val="15"/>
                <w:szCs w:val="15"/>
              </w:rPr>
            </w:pPr>
          </w:p>
        </w:tc>
        <w:tc>
          <w:tcPr>
            <w:tcW w:w="12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2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6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20" w:type="dxa"/>
            <w:vAlign w:val="bottom"/>
          </w:tcPr>
          <w:p w:rsidR="00AC12B4" w:rsidRDefault="00AC12B4">
            <w:pPr>
              <w:rPr>
                <w:sz w:val="15"/>
                <w:szCs w:val="15"/>
              </w:rPr>
            </w:pPr>
          </w:p>
        </w:tc>
        <w:tc>
          <w:tcPr>
            <w:tcW w:w="360" w:type="dxa"/>
            <w:vAlign w:val="bottom"/>
          </w:tcPr>
          <w:p w:rsidR="00AC12B4" w:rsidRDefault="00AC12B4">
            <w:pPr>
              <w:rPr>
                <w:sz w:val="15"/>
                <w:szCs w:val="15"/>
              </w:rPr>
            </w:pPr>
          </w:p>
        </w:tc>
        <w:tc>
          <w:tcPr>
            <w:tcW w:w="420" w:type="dxa"/>
            <w:tcBorders>
              <w:right w:val="single" w:sz="8" w:space="0" w:color="44ACE0"/>
            </w:tcBorders>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80" w:type="dxa"/>
            <w:vAlign w:val="bottom"/>
          </w:tcPr>
          <w:p w:rsidR="00AC12B4" w:rsidRDefault="00AC12B4">
            <w:pPr>
              <w:rPr>
                <w:sz w:val="15"/>
                <w:szCs w:val="15"/>
              </w:rPr>
            </w:pPr>
          </w:p>
        </w:tc>
        <w:tc>
          <w:tcPr>
            <w:tcW w:w="200" w:type="dxa"/>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3920" w:type="dxa"/>
            <w:gridSpan w:val="8"/>
            <w:vMerge/>
            <w:tcBorders>
              <w:right w:val="single" w:sz="8" w:space="0" w:color="44ACE0"/>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9"/>
        </w:trPr>
        <w:tc>
          <w:tcPr>
            <w:tcW w:w="1720" w:type="dxa"/>
            <w:gridSpan w:val="12"/>
            <w:vMerge/>
            <w:vAlign w:val="bottom"/>
          </w:tcPr>
          <w:p w:rsidR="00AC12B4" w:rsidRDefault="00AC12B4">
            <w:pPr>
              <w:rPr>
                <w:sz w:val="7"/>
                <w:szCs w:val="7"/>
              </w:rPr>
            </w:pPr>
          </w:p>
        </w:tc>
        <w:tc>
          <w:tcPr>
            <w:tcW w:w="4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6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20" w:type="dxa"/>
            <w:vAlign w:val="bottom"/>
          </w:tcPr>
          <w:p w:rsidR="00AC12B4" w:rsidRDefault="00AC12B4">
            <w:pPr>
              <w:rPr>
                <w:sz w:val="7"/>
                <w:szCs w:val="7"/>
              </w:rPr>
            </w:pPr>
          </w:p>
        </w:tc>
        <w:tc>
          <w:tcPr>
            <w:tcW w:w="360" w:type="dxa"/>
            <w:vAlign w:val="bottom"/>
          </w:tcPr>
          <w:p w:rsidR="00AC12B4" w:rsidRDefault="00AC12B4">
            <w:pPr>
              <w:rPr>
                <w:sz w:val="7"/>
                <w:szCs w:val="7"/>
              </w:rPr>
            </w:pPr>
          </w:p>
        </w:tc>
        <w:tc>
          <w:tcPr>
            <w:tcW w:w="420" w:type="dxa"/>
            <w:tcBorders>
              <w:right w:val="single" w:sz="8" w:space="0" w:color="44ACE0"/>
            </w:tcBorders>
            <w:vAlign w:val="bottom"/>
          </w:tcPr>
          <w:p w:rsidR="00AC12B4" w:rsidRDefault="00AC12B4">
            <w:pPr>
              <w:rPr>
                <w:sz w:val="7"/>
                <w:szCs w:val="7"/>
              </w:rPr>
            </w:pPr>
          </w:p>
        </w:tc>
        <w:tc>
          <w:tcPr>
            <w:tcW w:w="200" w:type="dxa"/>
            <w:vAlign w:val="bottom"/>
          </w:tcPr>
          <w:p w:rsidR="00AC12B4" w:rsidRDefault="00AC12B4">
            <w:pPr>
              <w:rPr>
                <w:sz w:val="7"/>
                <w:szCs w:val="7"/>
              </w:rPr>
            </w:pPr>
          </w:p>
        </w:tc>
        <w:tc>
          <w:tcPr>
            <w:tcW w:w="8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500" w:type="dxa"/>
            <w:vAlign w:val="bottom"/>
          </w:tcPr>
          <w:p w:rsidR="00AC12B4" w:rsidRDefault="00AC12B4">
            <w:pPr>
              <w:rPr>
                <w:sz w:val="7"/>
                <w:szCs w:val="7"/>
              </w:rPr>
            </w:pPr>
          </w:p>
        </w:tc>
        <w:tc>
          <w:tcPr>
            <w:tcW w:w="920" w:type="dxa"/>
            <w:vAlign w:val="bottom"/>
          </w:tcPr>
          <w:p w:rsidR="00AC12B4" w:rsidRDefault="00AC12B4">
            <w:pPr>
              <w:rPr>
                <w:sz w:val="7"/>
                <w:szCs w:val="7"/>
              </w:rPr>
            </w:pPr>
          </w:p>
        </w:tc>
        <w:tc>
          <w:tcPr>
            <w:tcW w:w="420" w:type="dxa"/>
            <w:vAlign w:val="bottom"/>
          </w:tcPr>
          <w:p w:rsidR="00AC12B4" w:rsidRDefault="00AC12B4">
            <w:pPr>
              <w:rPr>
                <w:sz w:val="7"/>
                <w:szCs w:val="7"/>
              </w:rPr>
            </w:pPr>
          </w:p>
        </w:tc>
        <w:tc>
          <w:tcPr>
            <w:tcW w:w="280" w:type="dxa"/>
            <w:vAlign w:val="bottom"/>
          </w:tcPr>
          <w:p w:rsidR="00AC12B4" w:rsidRDefault="00AC12B4">
            <w:pPr>
              <w:rPr>
                <w:sz w:val="7"/>
                <w:szCs w:val="7"/>
              </w:rPr>
            </w:pPr>
          </w:p>
        </w:tc>
        <w:tc>
          <w:tcPr>
            <w:tcW w:w="440" w:type="dxa"/>
            <w:vAlign w:val="bottom"/>
          </w:tcPr>
          <w:p w:rsidR="00AC12B4" w:rsidRDefault="00AC12B4">
            <w:pPr>
              <w:rPr>
                <w:sz w:val="7"/>
                <w:szCs w:val="7"/>
              </w:rPr>
            </w:pPr>
          </w:p>
        </w:tc>
        <w:tc>
          <w:tcPr>
            <w:tcW w:w="540" w:type="dxa"/>
            <w:vAlign w:val="bottom"/>
          </w:tcPr>
          <w:p w:rsidR="00AC12B4" w:rsidRDefault="00AC12B4">
            <w:pPr>
              <w:rPr>
                <w:sz w:val="7"/>
                <w:szCs w:val="7"/>
              </w:rPr>
            </w:pPr>
          </w:p>
        </w:tc>
        <w:tc>
          <w:tcPr>
            <w:tcW w:w="680" w:type="dxa"/>
            <w:tcBorders>
              <w:right w:val="single" w:sz="8" w:space="0" w:color="44ACE0"/>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221"/>
        </w:trPr>
        <w:tc>
          <w:tcPr>
            <w:tcW w:w="800" w:type="dxa"/>
            <w:gridSpan w:val="2"/>
            <w:vMerge w:val="restart"/>
            <w:vAlign w:val="bottom"/>
          </w:tcPr>
          <w:p w:rsidR="00AC12B4" w:rsidRDefault="00C27636">
            <w:pPr>
              <w:ind w:left="480"/>
              <w:rPr>
                <w:sz w:val="20"/>
                <w:szCs w:val="20"/>
              </w:rPr>
            </w:pPr>
            <w:r>
              <w:rPr>
                <w:rFonts w:ascii="Calibri" w:eastAsia="Calibri" w:hAnsi="Calibri" w:cs="Calibri"/>
              </w:rPr>
              <w:lastRenderedPageBreak/>
              <w:t>La</w:t>
            </w:r>
          </w:p>
        </w:tc>
        <w:tc>
          <w:tcPr>
            <w:tcW w:w="60" w:type="dxa"/>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320" w:type="dxa"/>
            <w:gridSpan w:val="16"/>
            <w:vMerge w:val="restart"/>
            <w:vAlign w:val="bottom"/>
          </w:tcPr>
          <w:p w:rsidR="00AC12B4" w:rsidRDefault="00C27636">
            <w:pPr>
              <w:ind w:left="60"/>
              <w:rPr>
                <w:sz w:val="20"/>
                <w:szCs w:val="20"/>
              </w:rPr>
            </w:pPr>
            <w:r>
              <w:rPr>
                <w:rFonts w:ascii="Calibri" w:eastAsia="Calibri" w:hAnsi="Calibri" w:cs="Calibri"/>
              </w:rPr>
              <w:t>Communauté</w:t>
            </w:r>
          </w:p>
        </w:tc>
        <w:tc>
          <w:tcPr>
            <w:tcW w:w="1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980" w:type="dxa"/>
            <w:gridSpan w:val="10"/>
            <w:vMerge w:val="restart"/>
            <w:vAlign w:val="bottom"/>
          </w:tcPr>
          <w:p w:rsidR="00AC12B4" w:rsidRDefault="00C27636">
            <w:pPr>
              <w:ind w:left="120"/>
              <w:rPr>
                <w:sz w:val="20"/>
                <w:szCs w:val="20"/>
              </w:rPr>
            </w:pPr>
            <w:r>
              <w:rPr>
                <w:rFonts w:ascii="Calibri" w:eastAsia="Calibri" w:hAnsi="Calibri" w:cs="Calibri"/>
                <w:w w:val="99"/>
              </w:rPr>
              <w:t>flamande</w:t>
            </w:r>
          </w:p>
        </w:tc>
        <w:tc>
          <w:tcPr>
            <w:tcW w:w="6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780" w:type="dxa"/>
            <w:gridSpan w:val="5"/>
            <w:vMerge w:val="restart"/>
            <w:vAlign w:val="bottom"/>
          </w:tcPr>
          <w:p w:rsidR="00AC12B4" w:rsidRDefault="00C27636">
            <w:pPr>
              <w:jc w:val="right"/>
              <w:rPr>
                <w:sz w:val="20"/>
                <w:szCs w:val="20"/>
              </w:rPr>
            </w:pPr>
            <w:r>
              <w:rPr>
                <w:rFonts w:ascii="Calibri" w:eastAsia="Calibri" w:hAnsi="Calibri" w:cs="Calibri"/>
              </w:rPr>
              <w:t>dispose</w:t>
            </w:r>
          </w:p>
        </w:tc>
        <w:tc>
          <w:tcPr>
            <w:tcW w:w="420" w:type="dxa"/>
            <w:tcBorders>
              <w:right w:val="single" w:sz="8" w:space="0" w:color="44ACE0"/>
            </w:tcBorders>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8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340" w:type="dxa"/>
            <w:vAlign w:val="bottom"/>
          </w:tcPr>
          <w:p w:rsidR="00AC12B4" w:rsidRDefault="00AC12B4">
            <w:pPr>
              <w:rPr>
                <w:sz w:val="19"/>
                <w:szCs w:val="19"/>
              </w:rPr>
            </w:pPr>
          </w:p>
        </w:tc>
        <w:tc>
          <w:tcPr>
            <w:tcW w:w="3920" w:type="dxa"/>
            <w:gridSpan w:val="8"/>
            <w:tcBorders>
              <w:right w:val="single" w:sz="8" w:space="0" w:color="44ACE0"/>
            </w:tcBorders>
            <w:vAlign w:val="bottom"/>
          </w:tcPr>
          <w:p w:rsidR="00AC12B4" w:rsidRPr="00C27636" w:rsidRDefault="00C27636">
            <w:pPr>
              <w:spacing w:line="221" w:lineRule="exact"/>
              <w:ind w:right="180"/>
              <w:jc w:val="right"/>
              <w:rPr>
                <w:sz w:val="20"/>
                <w:szCs w:val="20"/>
                <w:lang w:val="fr-BE"/>
              </w:rPr>
            </w:pPr>
            <w:r w:rsidRPr="00C27636">
              <w:rPr>
                <w:rFonts w:ascii="Calibri" w:eastAsia="Calibri" w:hAnsi="Calibri" w:cs="Calibri"/>
                <w:lang w:val="fr-BE"/>
              </w:rPr>
              <w:t>secondaire supérieur et qui ne suivent</w:t>
            </w:r>
          </w:p>
        </w:tc>
        <w:tc>
          <w:tcPr>
            <w:tcW w:w="0" w:type="dxa"/>
            <w:vAlign w:val="bottom"/>
          </w:tcPr>
          <w:p w:rsidR="00AC12B4" w:rsidRPr="00C27636" w:rsidRDefault="00AC12B4">
            <w:pPr>
              <w:rPr>
                <w:sz w:val="1"/>
                <w:szCs w:val="1"/>
                <w:lang w:val="fr-BE"/>
              </w:rPr>
            </w:pPr>
          </w:p>
        </w:tc>
      </w:tr>
      <w:tr w:rsidR="00AC12B4" w:rsidRPr="00C27636">
        <w:trPr>
          <w:trHeight w:val="168"/>
        </w:trPr>
        <w:tc>
          <w:tcPr>
            <w:tcW w:w="800" w:type="dxa"/>
            <w:gridSpan w:val="2"/>
            <w:vMerge/>
            <w:vAlign w:val="bottom"/>
          </w:tcPr>
          <w:p w:rsidR="00AC12B4" w:rsidRPr="00C27636" w:rsidRDefault="00AC12B4">
            <w:pPr>
              <w:rPr>
                <w:sz w:val="14"/>
                <w:szCs w:val="14"/>
                <w:lang w:val="fr-BE"/>
              </w:rPr>
            </w:pPr>
          </w:p>
        </w:tc>
        <w:tc>
          <w:tcPr>
            <w:tcW w:w="60" w:type="dxa"/>
            <w:vAlign w:val="bottom"/>
          </w:tcPr>
          <w:p w:rsidR="00AC12B4" w:rsidRPr="00C27636" w:rsidRDefault="00AC12B4">
            <w:pPr>
              <w:rPr>
                <w:sz w:val="14"/>
                <w:szCs w:val="14"/>
                <w:lang w:val="fr-BE"/>
              </w:rPr>
            </w:pPr>
          </w:p>
        </w:tc>
        <w:tc>
          <w:tcPr>
            <w:tcW w:w="80" w:type="dxa"/>
            <w:vAlign w:val="bottom"/>
          </w:tcPr>
          <w:p w:rsidR="00AC12B4" w:rsidRPr="00C27636" w:rsidRDefault="00AC12B4">
            <w:pPr>
              <w:rPr>
                <w:sz w:val="14"/>
                <w:szCs w:val="14"/>
                <w:lang w:val="fr-BE"/>
              </w:rPr>
            </w:pPr>
          </w:p>
        </w:tc>
        <w:tc>
          <w:tcPr>
            <w:tcW w:w="1320" w:type="dxa"/>
            <w:gridSpan w:val="16"/>
            <w:vMerge/>
            <w:vAlign w:val="bottom"/>
          </w:tcPr>
          <w:p w:rsidR="00AC12B4" w:rsidRPr="00C27636" w:rsidRDefault="00AC12B4">
            <w:pPr>
              <w:rPr>
                <w:sz w:val="14"/>
                <w:szCs w:val="14"/>
                <w:lang w:val="fr-BE"/>
              </w:rPr>
            </w:pPr>
          </w:p>
        </w:tc>
        <w:tc>
          <w:tcPr>
            <w:tcW w:w="120" w:type="dxa"/>
            <w:vAlign w:val="bottom"/>
          </w:tcPr>
          <w:p w:rsidR="00AC12B4" w:rsidRPr="00C27636" w:rsidRDefault="00AC12B4">
            <w:pPr>
              <w:rPr>
                <w:sz w:val="14"/>
                <w:szCs w:val="14"/>
                <w:lang w:val="fr-BE"/>
              </w:rPr>
            </w:pPr>
          </w:p>
        </w:tc>
        <w:tc>
          <w:tcPr>
            <w:tcW w:w="20" w:type="dxa"/>
            <w:vAlign w:val="bottom"/>
          </w:tcPr>
          <w:p w:rsidR="00AC12B4" w:rsidRPr="00C27636" w:rsidRDefault="00AC12B4">
            <w:pPr>
              <w:rPr>
                <w:sz w:val="14"/>
                <w:szCs w:val="14"/>
                <w:lang w:val="fr-BE"/>
              </w:rPr>
            </w:pPr>
          </w:p>
        </w:tc>
        <w:tc>
          <w:tcPr>
            <w:tcW w:w="980" w:type="dxa"/>
            <w:gridSpan w:val="10"/>
            <w:vMerge/>
            <w:vAlign w:val="bottom"/>
          </w:tcPr>
          <w:p w:rsidR="00AC12B4" w:rsidRPr="00C27636" w:rsidRDefault="00AC12B4">
            <w:pPr>
              <w:rPr>
                <w:sz w:val="14"/>
                <w:szCs w:val="14"/>
                <w:lang w:val="fr-BE"/>
              </w:rPr>
            </w:pPr>
          </w:p>
        </w:tc>
        <w:tc>
          <w:tcPr>
            <w:tcW w:w="60" w:type="dxa"/>
            <w:vAlign w:val="bottom"/>
          </w:tcPr>
          <w:p w:rsidR="00AC12B4" w:rsidRPr="00C27636" w:rsidRDefault="00AC12B4">
            <w:pPr>
              <w:rPr>
                <w:sz w:val="14"/>
                <w:szCs w:val="14"/>
                <w:lang w:val="fr-BE"/>
              </w:rPr>
            </w:pPr>
          </w:p>
        </w:tc>
        <w:tc>
          <w:tcPr>
            <w:tcW w:w="20" w:type="dxa"/>
            <w:vAlign w:val="bottom"/>
          </w:tcPr>
          <w:p w:rsidR="00AC12B4" w:rsidRPr="00C27636" w:rsidRDefault="00AC12B4">
            <w:pPr>
              <w:rPr>
                <w:sz w:val="14"/>
                <w:szCs w:val="14"/>
                <w:lang w:val="fr-BE"/>
              </w:rPr>
            </w:pPr>
          </w:p>
        </w:tc>
        <w:tc>
          <w:tcPr>
            <w:tcW w:w="180" w:type="dxa"/>
            <w:vAlign w:val="bottom"/>
          </w:tcPr>
          <w:p w:rsidR="00AC12B4" w:rsidRPr="00C27636" w:rsidRDefault="00AC12B4">
            <w:pPr>
              <w:rPr>
                <w:sz w:val="14"/>
                <w:szCs w:val="14"/>
                <w:lang w:val="fr-BE"/>
              </w:rPr>
            </w:pPr>
          </w:p>
        </w:tc>
        <w:tc>
          <w:tcPr>
            <w:tcW w:w="20" w:type="dxa"/>
            <w:vAlign w:val="bottom"/>
          </w:tcPr>
          <w:p w:rsidR="00AC12B4" w:rsidRPr="00C27636" w:rsidRDefault="00AC12B4">
            <w:pPr>
              <w:rPr>
                <w:sz w:val="14"/>
                <w:szCs w:val="14"/>
                <w:lang w:val="fr-BE"/>
              </w:rPr>
            </w:pPr>
          </w:p>
        </w:tc>
        <w:tc>
          <w:tcPr>
            <w:tcW w:w="780" w:type="dxa"/>
            <w:gridSpan w:val="5"/>
            <w:vMerge/>
            <w:vAlign w:val="bottom"/>
          </w:tcPr>
          <w:p w:rsidR="00AC12B4" w:rsidRPr="00C27636" w:rsidRDefault="00AC12B4">
            <w:pPr>
              <w:rPr>
                <w:sz w:val="14"/>
                <w:szCs w:val="14"/>
                <w:lang w:val="fr-BE"/>
              </w:rPr>
            </w:pPr>
          </w:p>
        </w:tc>
        <w:tc>
          <w:tcPr>
            <w:tcW w:w="420" w:type="dxa"/>
            <w:tcBorders>
              <w:right w:val="single" w:sz="8" w:space="0" w:color="44ACE0"/>
            </w:tcBorders>
            <w:vAlign w:val="bottom"/>
          </w:tcPr>
          <w:p w:rsidR="00AC12B4" w:rsidRPr="00C27636" w:rsidRDefault="00AC12B4">
            <w:pPr>
              <w:rPr>
                <w:sz w:val="14"/>
                <w:szCs w:val="14"/>
                <w:lang w:val="fr-BE"/>
              </w:rPr>
            </w:pPr>
          </w:p>
        </w:tc>
        <w:tc>
          <w:tcPr>
            <w:tcW w:w="200" w:type="dxa"/>
            <w:vAlign w:val="bottom"/>
          </w:tcPr>
          <w:p w:rsidR="00AC12B4" w:rsidRPr="00C27636" w:rsidRDefault="00AC12B4">
            <w:pPr>
              <w:rPr>
                <w:sz w:val="14"/>
                <w:szCs w:val="14"/>
                <w:lang w:val="fr-BE"/>
              </w:rPr>
            </w:pPr>
          </w:p>
        </w:tc>
        <w:tc>
          <w:tcPr>
            <w:tcW w:w="80" w:type="dxa"/>
            <w:vAlign w:val="bottom"/>
          </w:tcPr>
          <w:p w:rsidR="00AC12B4" w:rsidRPr="00C27636" w:rsidRDefault="00AC12B4">
            <w:pPr>
              <w:rPr>
                <w:sz w:val="14"/>
                <w:szCs w:val="14"/>
                <w:lang w:val="fr-BE"/>
              </w:rPr>
            </w:pPr>
          </w:p>
        </w:tc>
        <w:tc>
          <w:tcPr>
            <w:tcW w:w="200" w:type="dxa"/>
            <w:vAlign w:val="bottom"/>
          </w:tcPr>
          <w:p w:rsidR="00AC12B4" w:rsidRPr="00C27636" w:rsidRDefault="00AC12B4">
            <w:pPr>
              <w:rPr>
                <w:sz w:val="14"/>
                <w:szCs w:val="14"/>
                <w:lang w:val="fr-BE"/>
              </w:rPr>
            </w:pPr>
          </w:p>
        </w:tc>
        <w:tc>
          <w:tcPr>
            <w:tcW w:w="340" w:type="dxa"/>
            <w:vAlign w:val="bottom"/>
          </w:tcPr>
          <w:p w:rsidR="00AC12B4" w:rsidRPr="00C27636" w:rsidRDefault="00AC12B4">
            <w:pPr>
              <w:rPr>
                <w:sz w:val="14"/>
                <w:szCs w:val="14"/>
                <w:lang w:val="fr-BE"/>
              </w:rPr>
            </w:pPr>
          </w:p>
        </w:tc>
        <w:tc>
          <w:tcPr>
            <w:tcW w:w="3920" w:type="dxa"/>
            <w:gridSpan w:val="8"/>
            <w:vMerge w:val="restart"/>
            <w:tcBorders>
              <w:right w:val="single" w:sz="8" w:space="0" w:color="44ACE0"/>
            </w:tcBorders>
            <w:vAlign w:val="bottom"/>
          </w:tcPr>
          <w:p w:rsidR="00AC12B4" w:rsidRPr="00C27636" w:rsidRDefault="00C27636">
            <w:pPr>
              <w:ind w:right="180"/>
              <w:jc w:val="right"/>
              <w:rPr>
                <w:sz w:val="20"/>
                <w:szCs w:val="20"/>
                <w:lang w:val="fr-BE"/>
              </w:rPr>
            </w:pPr>
            <w:r w:rsidRPr="00C27636">
              <w:rPr>
                <w:rFonts w:ascii="Calibri" w:eastAsia="Calibri" w:hAnsi="Calibri" w:cs="Calibri"/>
                <w:lang w:val="fr-BE"/>
              </w:rPr>
              <w:t>plus aucune forme d'enseignement ou</w:t>
            </w:r>
          </w:p>
        </w:tc>
        <w:tc>
          <w:tcPr>
            <w:tcW w:w="0" w:type="dxa"/>
            <w:vAlign w:val="bottom"/>
          </w:tcPr>
          <w:p w:rsidR="00AC12B4" w:rsidRPr="00C27636" w:rsidRDefault="00AC12B4">
            <w:pPr>
              <w:rPr>
                <w:sz w:val="1"/>
                <w:szCs w:val="1"/>
                <w:lang w:val="fr-BE"/>
              </w:rPr>
            </w:pPr>
          </w:p>
        </w:tc>
      </w:tr>
      <w:tr w:rsidR="00AC12B4" w:rsidRPr="00C27636">
        <w:trPr>
          <w:trHeight w:val="139"/>
        </w:trPr>
        <w:tc>
          <w:tcPr>
            <w:tcW w:w="4440" w:type="dxa"/>
            <w:gridSpan w:val="41"/>
            <w:vMerge w:val="restart"/>
            <w:vAlign w:val="bottom"/>
          </w:tcPr>
          <w:p w:rsidR="00AC12B4" w:rsidRPr="00C27636" w:rsidRDefault="00C27636">
            <w:pPr>
              <w:ind w:left="480"/>
              <w:rPr>
                <w:sz w:val="20"/>
                <w:szCs w:val="20"/>
                <w:lang w:val="fr-BE"/>
              </w:rPr>
            </w:pPr>
            <w:r w:rsidRPr="00C27636">
              <w:rPr>
                <w:rFonts w:ascii="Calibri" w:eastAsia="Calibri" w:hAnsi="Calibri" w:cs="Calibri"/>
                <w:lang w:val="fr-BE"/>
              </w:rPr>
              <w:t>toutefois de statistiques administratives en</w:t>
            </w:r>
          </w:p>
        </w:tc>
        <w:tc>
          <w:tcPr>
            <w:tcW w:w="420" w:type="dxa"/>
            <w:tcBorders>
              <w:right w:val="single" w:sz="8" w:space="0" w:color="44ACE0"/>
            </w:tcBorders>
            <w:vAlign w:val="bottom"/>
          </w:tcPr>
          <w:p w:rsidR="00AC12B4" w:rsidRPr="00C27636" w:rsidRDefault="00AC12B4">
            <w:pPr>
              <w:rPr>
                <w:sz w:val="12"/>
                <w:szCs w:val="12"/>
                <w:lang w:val="fr-BE"/>
              </w:rPr>
            </w:pPr>
          </w:p>
        </w:tc>
        <w:tc>
          <w:tcPr>
            <w:tcW w:w="200" w:type="dxa"/>
            <w:vAlign w:val="bottom"/>
          </w:tcPr>
          <w:p w:rsidR="00AC12B4" w:rsidRPr="00C27636" w:rsidRDefault="00AC12B4">
            <w:pPr>
              <w:rPr>
                <w:sz w:val="12"/>
                <w:szCs w:val="12"/>
                <w:lang w:val="fr-BE"/>
              </w:rPr>
            </w:pPr>
          </w:p>
        </w:tc>
        <w:tc>
          <w:tcPr>
            <w:tcW w:w="80" w:type="dxa"/>
            <w:vAlign w:val="bottom"/>
          </w:tcPr>
          <w:p w:rsidR="00AC12B4" w:rsidRPr="00C27636" w:rsidRDefault="00AC12B4">
            <w:pPr>
              <w:rPr>
                <w:sz w:val="12"/>
                <w:szCs w:val="12"/>
                <w:lang w:val="fr-BE"/>
              </w:rPr>
            </w:pPr>
          </w:p>
        </w:tc>
        <w:tc>
          <w:tcPr>
            <w:tcW w:w="200" w:type="dxa"/>
            <w:vAlign w:val="bottom"/>
          </w:tcPr>
          <w:p w:rsidR="00AC12B4" w:rsidRPr="00C27636" w:rsidRDefault="00AC12B4">
            <w:pPr>
              <w:rPr>
                <w:sz w:val="12"/>
                <w:szCs w:val="12"/>
                <w:lang w:val="fr-BE"/>
              </w:rPr>
            </w:pPr>
          </w:p>
        </w:tc>
        <w:tc>
          <w:tcPr>
            <w:tcW w:w="340" w:type="dxa"/>
            <w:vAlign w:val="bottom"/>
          </w:tcPr>
          <w:p w:rsidR="00AC12B4" w:rsidRPr="00C27636" w:rsidRDefault="00AC12B4">
            <w:pPr>
              <w:rPr>
                <w:sz w:val="12"/>
                <w:szCs w:val="12"/>
                <w:lang w:val="fr-BE"/>
              </w:rPr>
            </w:pPr>
          </w:p>
        </w:tc>
        <w:tc>
          <w:tcPr>
            <w:tcW w:w="3920" w:type="dxa"/>
            <w:gridSpan w:val="8"/>
            <w:vMerge/>
            <w:tcBorders>
              <w:right w:val="single" w:sz="8" w:space="0" w:color="44ACE0"/>
            </w:tcBorders>
            <w:vAlign w:val="bottom"/>
          </w:tcPr>
          <w:p w:rsidR="00AC12B4" w:rsidRPr="00C27636" w:rsidRDefault="00AC12B4">
            <w:pPr>
              <w:rPr>
                <w:sz w:val="12"/>
                <w:szCs w:val="12"/>
                <w:lang w:val="fr-BE"/>
              </w:rPr>
            </w:pPr>
          </w:p>
        </w:tc>
        <w:tc>
          <w:tcPr>
            <w:tcW w:w="0" w:type="dxa"/>
            <w:vAlign w:val="bottom"/>
          </w:tcPr>
          <w:p w:rsidR="00AC12B4" w:rsidRPr="00C27636" w:rsidRDefault="00AC12B4">
            <w:pPr>
              <w:rPr>
                <w:sz w:val="1"/>
                <w:szCs w:val="1"/>
                <w:lang w:val="fr-BE"/>
              </w:rPr>
            </w:pPr>
          </w:p>
        </w:tc>
      </w:tr>
      <w:tr w:rsidR="00AC12B4">
        <w:trPr>
          <w:trHeight w:val="130"/>
        </w:trPr>
        <w:tc>
          <w:tcPr>
            <w:tcW w:w="4440" w:type="dxa"/>
            <w:gridSpan w:val="41"/>
            <w:vMerge/>
            <w:vAlign w:val="bottom"/>
          </w:tcPr>
          <w:p w:rsidR="00AC12B4" w:rsidRPr="00C27636" w:rsidRDefault="00AC12B4">
            <w:pPr>
              <w:rPr>
                <w:sz w:val="11"/>
                <w:szCs w:val="11"/>
                <w:lang w:val="fr-BE"/>
              </w:rPr>
            </w:pPr>
          </w:p>
        </w:tc>
        <w:tc>
          <w:tcPr>
            <w:tcW w:w="420" w:type="dxa"/>
            <w:tcBorders>
              <w:right w:val="single" w:sz="8" w:space="0" w:color="44ACE0"/>
            </w:tcBorders>
            <w:vAlign w:val="bottom"/>
          </w:tcPr>
          <w:p w:rsidR="00AC12B4" w:rsidRPr="00C27636" w:rsidRDefault="00AC12B4">
            <w:pPr>
              <w:rPr>
                <w:sz w:val="11"/>
                <w:szCs w:val="11"/>
                <w:lang w:val="fr-BE"/>
              </w:rPr>
            </w:pPr>
          </w:p>
        </w:tc>
        <w:tc>
          <w:tcPr>
            <w:tcW w:w="200" w:type="dxa"/>
            <w:vAlign w:val="bottom"/>
          </w:tcPr>
          <w:p w:rsidR="00AC12B4" w:rsidRPr="00C27636" w:rsidRDefault="00AC12B4">
            <w:pPr>
              <w:rPr>
                <w:sz w:val="11"/>
                <w:szCs w:val="11"/>
                <w:lang w:val="fr-BE"/>
              </w:rPr>
            </w:pPr>
          </w:p>
        </w:tc>
        <w:tc>
          <w:tcPr>
            <w:tcW w:w="80" w:type="dxa"/>
            <w:vAlign w:val="bottom"/>
          </w:tcPr>
          <w:p w:rsidR="00AC12B4" w:rsidRPr="00C27636" w:rsidRDefault="00AC12B4">
            <w:pPr>
              <w:rPr>
                <w:sz w:val="11"/>
                <w:szCs w:val="11"/>
                <w:lang w:val="fr-BE"/>
              </w:rPr>
            </w:pPr>
          </w:p>
        </w:tc>
        <w:tc>
          <w:tcPr>
            <w:tcW w:w="200" w:type="dxa"/>
            <w:vAlign w:val="bottom"/>
          </w:tcPr>
          <w:p w:rsidR="00AC12B4" w:rsidRPr="00C27636" w:rsidRDefault="00AC12B4">
            <w:pPr>
              <w:rPr>
                <w:sz w:val="11"/>
                <w:szCs w:val="11"/>
                <w:lang w:val="fr-BE"/>
              </w:rPr>
            </w:pPr>
          </w:p>
        </w:tc>
        <w:tc>
          <w:tcPr>
            <w:tcW w:w="340" w:type="dxa"/>
            <w:vAlign w:val="bottom"/>
          </w:tcPr>
          <w:p w:rsidR="00AC12B4" w:rsidRPr="00C27636" w:rsidRDefault="00AC12B4">
            <w:pPr>
              <w:rPr>
                <w:sz w:val="11"/>
                <w:szCs w:val="11"/>
                <w:lang w:val="fr-BE"/>
              </w:rPr>
            </w:pPr>
          </w:p>
        </w:tc>
        <w:tc>
          <w:tcPr>
            <w:tcW w:w="1560" w:type="dxa"/>
            <w:gridSpan w:val="3"/>
            <w:vMerge w:val="restart"/>
            <w:vAlign w:val="bottom"/>
          </w:tcPr>
          <w:p w:rsidR="00AC12B4" w:rsidRDefault="00C27636">
            <w:pPr>
              <w:ind w:left="40"/>
              <w:rPr>
                <w:sz w:val="20"/>
                <w:szCs w:val="20"/>
              </w:rPr>
            </w:pPr>
            <w:r>
              <w:rPr>
                <w:rFonts w:ascii="Calibri" w:eastAsia="Calibri" w:hAnsi="Calibri" w:cs="Calibri"/>
              </w:rPr>
              <w:t>formation</w:t>
            </w:r>
          </w:p>
        </w:tc>
        <w:tc>
          <w:tcPr>
            <w:tcW w:w="42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440" w:type="dxa"/>
            <w:vAlign w:val="bottom"/>
          </w:tcPr>
          <w:p w:rsidR="00AC12B4" w:rsidRDefault="00AC12B4">
            <w:pPr>
              <w:rPr>
                <w:sz w:val="11"/>
                <w:szCs w:val="11"/>
              </w:rPr>
            </w:pPr>
          </w:p>
        </w:tc>
        <w:tc>
          <w:tcPr>
            <w:tcW w:w="540" w:type="dxa"/>
            <w:vAlign w:val="bottom"/>
          </w:tcPr>
          <w:p w:rsidR="00AC12B4" w:rsidRDefault="00AC12B4">
            <w:pPr>
              <w:rPr>
                <w:sz w:val="11"/>
                <w:szCs w:val="11"/>
              </w:rPr>
            </w:pPr>
          </w:p>
        </w:tc>
        <w:tc>
          <w:tcPr>
            <w:tcW w:w="680" w:type="dxa"/>
            <w:tcBorders>
              <w:right w:val="single" w:sz="8" w:space="0" w:color="44ACE0"/>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182"/>
        </w:trPr>
        <w:tc>
          <w:tcPr>
            <w:tcW w:w="4440" w:type="dxa"/>
            <w:gridSpan w:val="41"/>
            <w:vMerge w:val="restart"/>
            <w:vAlign w:val="bottom"/>
          </w:tcPr>
          <w:p w:rsidR="00AC12B4" w:rsidRPr="00C27636" w:rsidRDefault="00C27636">
            <w:pPr>
              <w:ind w:left="480"/>
              <w:rPr>
                <w:sz w:val="20"/>
                <w:szCs w:val="20"/>
                <w:lang w:val="fr-BE"/>
              </w:rPr>
            </w:pPr>
            <w:r w:rsidRPr="00C27636">
              <w:rPr>
                <w:rFonts w:ascii="Calibri" w:eastAsia="Calibri" w:hAnsi="Calibri" w:cs="Calibri"/>
                <w:lang w:val="fr-BE"/>
              </w:rPr>
              <w:t>la matière qui permettent de chiffrer un</w:t>
            </w:r>
          </w:p>
        </w:tc>
        <w:tc>
          <w:tcPr>
            <w:tcW w:w="420" w:type="dxa"/>
            <w:tcBorders>
              <w:right w:val="single" w:sz="8" w:space="0" w:color="44ACE0"/>
            </w:tcBorders>
            <w:vAlign w:val="bottom"/>
          </w:tcPr>
          <w:p w:rsidR="00AC12B4" w:rsidRPr="00C27636" w:rsidRDefault="00AC12B4">
            <w:pPr>
              <w:rPr>
                <w:sz w:val="15"/>
                <w:szCs w:val="15"/>
                <w:lang w:val="fr-BE"/>
              </w:rPr>
            </w:pPr>
          </w:p>
        </w:tc>
        <w:tc>
          <w:tcPr>
            <w:tcW w:w="200" w:type="dxa"/>
            <w:vAlign w:val="bottom"/>
          </w:tcPr>
          <w:p w:rsidR="00AC12B4" w:rsidRPr="00C27636" w:rsidRDefault="00AC12B4">
            <w:pPr>
              <w:rPr>
                <w:sz w:val="15"/>
                <w:szCs w:val="15"/>
                <w:lang w:val="fr-BE"/>
              </w:rPr>
            </w:pPr>
          </w:p>
        </w:tc>
        <w:tc>
          <w:tcPr>
            <w:tcW w:w="80" w:type="dxa"/>
            <w:vAlign w:val="bottom"/>
          </w:tcPr>
          <w:p w:rsidR="00AC12B4" w:rsidRPr="00C27636" w:rsidRDefault="00AC12B4">
            <w:pPr>
              <w:rPr>
                <w:sz w:val="15"/>
                <w:szCs w:val="15"/>
                <w:lang w:val="fr-BE"/>
              </w:rPr>
            </w:pPr>
          </w:p>
        </w:tc>
        <w:tc>
          <w:tcPr>
            <w:tcW w:w="200" w:type="dxa"/>
            <w:vAlign w:val="bottom"/>
          </w:tcPr>
          <w:p w:rsidR="00AC12B4" w:rsidRPr="00C27636" w:rsidRDefault="00AC12B4">
            <w:pPr>
              <w:rPr>
                <w:sz w:val="15"/>
                <w:szCs w:val="15"/>
                <w:lang w:val="fr-BE"/>
              </w:rPr>
            </w:pPr>
          </w:p>
        </w:tc>
        <w:tc>
          <w:tcPr>
            <w:tcW w:w="340" w:type="dxa"/>
            <w:vAlign w:val="bottom"/>
          </w:tcPr>
          <w:p w:rsidR="00AC12B4" w:rsidRPr="00C27636" w:rsidRDefault="00AC12B4">
            <w:pPr>
              <w:rPr>
                <w:sz w:val="15"/>
                <w:szCs w:val="15"/>
                <w:lang w:val="fr-BE"/>
              </w:rPr>
            </w:pPr>
          </w:p>
        </w:tc>
        <w:tc>
          <w:tcPr>
            <w:tcW w:w="1560" w:type="dxa"/>
            <w:gridSpan w:val="3"/>
            <w:vMerge/>
            <w:vAlign w:val="bottom"/>
          </w:tcPr>
          <w:p w:rsidR="00AC12B4" w:rsidRPr="00C27636" w:rsidRDefault="00AC12B4">
            <w:pPr>
              <w:rPr>
                <w:sz w:val="15"/>
                <w:szCs w:val="15"/>
                <w:lang w:val="fr-BE"/>
              </w:rPr>
            </w:pPr>
          </w:p>
        </w:tc>
        <w:tc>
          <w:tcPr>
            <w:tcW w:w="420" w:type="dxa"/>
            <w:vAlign w:val="bottom"/>
          </w:tcPr>
          <w:p w:rsidR="00AC12B4" w:rsidRPr="00C27636" w:rsidRDefault="00AC12B4">
            <w:pPr>
              <w:rPr>
                <w:sz w:val="15"/>
                <w:szCs w:val="15"/>
                <w:lang w:val="fr-BE"/>
              </w:rPr>
            </w:pPr>
          </w:p>
        </w:tc>
        <w:tc>
          <w:tcPr>
            <w:tcW w:w="280" w:type="dxa"/>
            <w:vAlign w:val="bottom"/>
          </w:tcPr>
          <w:p w:rsidR="00AC12B4" w:rsidRPr="00C27636" w:rsidRDefault="00AC12B4">
            <w:pPr>
              <w:rPr>
                <w:sz w:val="15"/>
                <w:szCs w:val="15"/>
                <w:lang w:val="fr-BE"/>
              </w:rPr>
            </w:pPr>
          </w:p>
        </w:tc>
        <w:tc>
          <w:tcPr>
            <w:tcW w:w="440" w:type="dxa"/>
            <w:vAlign w:val="bottom"/>
          </w:tcPr>
          <w:p w:rsidR="00AC12B4" w:rsidRPr="00C27636" w:rsidRDefault="00AC12B4">
            <w:pPr>
              <w:rPr>
                <w:sz w:val="15"/>
                <w:szCs w:val="15"/>
                <w:lang w:val="fr-BE"/>
              </w:rPr>
            </w:pPr>
          </w:p>
        </w:tc>
        <w:tc>
          <w:tcPr>
            <w:tcW w:w="540" w:type="dxa"/>
            <w:vAlign w:val="bottom"/>
          </w:tcPr>
          <w:p w:rsidR="00AC12B4" w:rsidRPr="00C27636" w:rsidRDefault="00AC12B4">
            <w:pPr>
              <w:rPr>
                <w:sz w:val="15"/>
                <w:szCs w:val="15"/>
                <w:lang w:val="fr-BE"/>
              </w:rPr>
            </w:pPr>
          </w:p>
        </w:tc>
        <w:tc>
          <w:tcPr>
            <w:tcW w:w="680" w:type="dxa"/>
            <w:tcBorders>
              <w:right w:val="single" w:sz="8" w:space="0" w:color="44ACE0"/>
            </w:tcBorders>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86"/>
        </w:trPr>
        <w:tc>
          <w:tcPr>
            <w:tcW w:w="4440" w:type="dxa"/>
            <w:gridSpan w:val="41"/>
            <w:vMerge/>
            <w:vAlign w:val="bottom"/>
          </w:tcPr>
          <w:p w:rsidR="00AC12B4" w:rsidRPr="00C27636" w:rsidRDefault="00AC12B4">
            <w:pPr>
              <w:rPr>
                <w:sz w:val="7"/>
                <w:szCs w:val="7"/>
                <w:lang w:val="fr-BE"/>
              </w:rPr>
            </w:pPr>
          </w:p>
        </w:tc>
        <w:tc>
          <w:tcPr>
            <w:tcW w:w="420" w:type="dxa"/>
            <w:tcBorders>
              <w:right w:val="single" w:sz="8" w:space="0" w:color="44ACE0"/>
            </w:tcBorders>
            <w:vAlign w:val="bottom"/>
          </w:tcPr>
          <w:p w:rsidR="00AC12B4" w:rsidRPr="00C27636" w:rsidRDefault="00AC12B4">
            <w:pPr>
              <w:rPr>
                <w:sz w:val="7"/>
                <w:szCs w:val="7"/>
                <w:lang w:val="fr-BE"/>
              </w:rPr>
            </w:pPr>
          </w:p>
        </w:tc>
        <w:tc>
          <w:tcPr>
            <w:tcW w:w="200" w:type="dxa"/>
            <w:vAlign w:val="bottom"/>
          </w:tcPr>
          <w:p w:rsidR="00AC12B4" w:rsidRPr="00C27636" w:rsidRDefault="00AC12B4">
            <w:pPr>
              <w:rPr>
                <w:sz w:val="7"/>
                <w:szCs w:val="7"/>
                <w:lang w:val="fr-BE"/>
              </w:rPr>
            </w:pPr>
          </w:p>
        </w:tc>
        <w:tc>
          <w:tcPr>
            <w:tcW w:w="80" w:type="dxa"/>
            <w:vAlign w:val="bottom"/>
          </w:tcPr>
          <w:p w:rsidR="00AC12B4" w:rsidRPr="00C27636" w:rsidRDefault="00AC12B4">
            <w:pPr>
              <w:rPr>
                <w:sz w:val="7"/>
                <w:szCs w:val="7"/>
                <w:lang w:val="fr-BE"/>
              </w:rPr>
            </w:pPr>
          </w:p>
        </w:tc>
        <w:tc>
          <w:tcPr>
            <w:tcW w:w="200" w:type="dxa"/>
            <w:vAlign w:val="bottom"/>
          </w:tcPr>
          <w:p w:rsidR="00AC12B4" w:rsidRPr="00C27636" w:rsidRDefault="00AC12B4">
            <w:pPr>
              <w:rPr>
                <w:sz w:val="7"/>
                <w:szCs w:val="7"/>
                <w:lang w:val="fr-BE"/>
              </w:rPr>
            </w:pPr>
          </w:p>
        </w:tc>
        <w:tc>
          <w:tcPr>
            <w:tcW w:w="340" w:type="dxa"/>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500" w:type="dxa"/>
            <w:vAlign w:val="bottom"/>
          </w:tcPr>
          <w:p w:rsidR="00AC12B4" w:rsidRPr="00C27636" w:rsidRDefault="00AC12B4">
            <w:pPr>
              <w:rPr>
                <w:sz w:val="7"/>
                <w:szCs w:val="7"/>
                <w:lang w:val="fr-BE"/>
              </w:rPr>
            </w:pPr>
          </w:p>
        </w:tc>
        <w:tc>
          <w:tcPr>
            <w:tcW w:w="920" w:type="dxa"/>
            <w:vAlign w:val="bottom"/>
          </w:tcPr>
          <w:p w:rsidR="00AC12B4" w:rsidRPr="00C27636" w:rsidRDefault="00AC12B4">
            <w:pPr>
              <w:rPr>
                <w:sz w:val="7"/>
                <w:szCs w:val="7"/>
                <w:lang w:val="fr-BE"/>
              </w:rPr>
            </w:pPr>
          </w:p>
        </w:tc>
        <w:tc>
          <w:tcPr>
            <w:tcW w:w="420" w:type="dxa"/>
            <w:vAlign w:val="bottom"/>
          </w:tcPr>
          <w:p w:rsidR="00AC12B4" w:rsidRPr="00C27636" w:rsidRDefault="00AC12B4">
            <w:pPr>
              <w:rPr>
                <w:sz w:val="7"/>
                <w:szCs w:val="7"/>
                <w:lang w:val="fr-BE"/>
              </w:rPr>
            </w:pPr>
          </w:p>
        </w:tc>
        <w:tc>
          <w:tcPr>
            <w:tcW w:w="280" w:type="dxa"/>
            <w:vAlign w:val="bottom"/>
          </w:tcPr>
          <w:p w:rsidR="00AC12B4" w:rsidRPr="00C27636" w:rsidRDefault="00AC12B4">
            <w:pPr>
              <w:rPr>
                <w:sz w:val="7"/>
                <w:szCs w:val="7"/>
                <w:lang w:val="fr-BE"/>
              </w:rPr>
            </w:pPr>
          </w:p>
        </w:tc>
        <w:tc>
          <w:tcPr>
            <w:tcW w:w="440" w:type="dxa"/>
            <w:vAlign w:val="bottom"/>
          </w:tcPr>
          <w:p w:rsidR="00AC12B4" w:rsidRPr="00C27636" w:rsidRDefault="00AC12B4">
            <w:pPr>
              <w:rPr>
                <w:sz w:val="7"/>
                <w:szCs w:val="7"/>
                <w:lang w:val="fr-BE"/>
              </w:rPr>
            </w:pPr>
          </w:p>
        </w:tc>
        <w:tc>
          <w:tcPr>
            <w:tcW w:w="540" w:type="dxa"/>
            <w:vAlign w:val="bottom"/>
          </w:tcPr>
          <w:p w:rsidR="00AC12B4" w:rsidRPr="00C27636" w:rsidRDefault="00AC12B4">
            <w:pPr>
              <w:rPr>
                <w:sz w:val="7"/>
                <w:szCs w:val="7"/>
                <w:lang w:val="fr-BE"/>
              </w:rPr>
            </w:pPr>
          </w:p>
        </w:tc>
        <w:tc>
          <w:tcPr>
            <w:tcW w:w="680" w:type="dxa"/>
            <w:tcBorders>
              <w:right w:val="single" w:sz="8" w:space="0" w:color="44ACE0"/>
            </w:tcBorders>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53"/>
        </w:trPr>
        <w:tc>
          <w:tcPr>
            <w:tcW w:w="1380" w:type="dxa"/>
            <w:gridSpan w:val="9"/>
            <w:vMerge w:val="restart"/>
            <w:vAlign w:val="bottom"/>
          </w:tcPr>
          <w:p w:rsidR="00AC12B4" w:rsidRDefault="00C27636">
            <w:pPr>
              <w:ind w:left="480"/>
              <w:rPr>
                <w:sz w:val="20"/>
                <w:szCs w:val="20"/>
              </w:rPr>
            </w:pPr>
            <w:r>
              <w:rPr>
                <w:rFonts w:ascii="Calibri" w:eastAsia="Calibri" w:hAnsi="Calibri" w:cs="Calibri"/>
                <w:w w:val="97"/>
              </w:rPr>
              <w:t>indicateur</w:t>
            </w:r>
          </w:p>
        </w:tc>
        <w:tc>
          <w:tcPr>
            <w:tcW w:w="1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2880" w:type="dxa"/>
            <w:gridSpan w:val="30"/>
            <w:vMerge w:val="restart"/>
            <w:vAlign w:val="bottom"/>
          </w:tcPr>
          <w:p w:rsidR="00AC12B4" w:rsidRDefault="00C27636">
            <w:pPr>
              <w:jc w:val="right"/>
              <w:rPr>
                <w:sz w:val="20"/>
                <w:szCs w:val="20"/>
              </w:rPr>
            </w:pPr>
            <w:r>
              <w:rPr>
                <w:rFonts w:ascii="Calibri" w:eastAsia="Calibri" w:hAnsi="Calibri" w:cs="Calibri"/>
              </w:rPr>
              <w:t>différent  pour  l’interruption</w:t>
            </w:r>
          </w:p>
        </w:tc>
        <w:tc>
          <w:tcPr>
            <w:tcW w:w="420" w:type="dxa"/>
            <w:tcBorders>
              <w:right w:val="single" w:sz="8" w:space="0" w:color="44ACE0"/>
            </w:tcBorders>
            <w:vAlign w:val="bottom"/>
          </w:tcPr>
          <w:p w:rsidR="00AC12B4" w:rsidRDefault="00AC12B4">
            <w:pPr>
              <w:rPr>
                <w:sz w:val="4"/>
                <w:szCs w:val="4"/>
              </w:rPr>
            </w:pPr>
          </w:p>
        </w:tc>
        <w:tc>
          <w:tcPr>
            <w:tcW w:w="200" w:type="dxa"/>
            <w:tcBorders>
              <w:bottom w:val="single" w:sz="8" w:space="0" w:color="44ACE0"/>
            </w:tcBorders>
            <w:vAlign w:val="bottom"/>
          </w:tcPr>
          <w:p w:rsidR="00AC12B4" w:rsidRDefault="00AC12B4">
            <w:pPr>
              <w:rPr>
                <w:sz w:val="4"/>
                <w:szCs w:val="4"/>
              </w:rPr>
            </w:pPr>
          </w:p>
        </w:tc>
        <w:tc>
          <w:tcPr>
            <w:tcW w:w="80" w:type="dxa"/>
            <w:tcBorders>
              <w:bottom w:val="single" w:sz="8" w:space="0" w:color="44ACE0"/>
            </w:tcBorders>
            <w:vAlign w:val="bottom"/>
          </w:tcPr>
          <w:p w:rsidR="00AC12B4" w:rsidRDefault="00AC12B4">
            <w:pPr>
              <w:rPr>
                <w:sz w:val="4"/>
                <w:szCs w:val="4"/>
              </w:rPr>
            </w:pPr>
          </w:p>
        </w:tc>
        <w:tc>
          <w:tcPr>
            <w:tcW w:w="200" w:type="dxa"/>
            <w:tcBorders>
              <w:bottom w:val="single" w:sz="8" w:space="0" w:color="44ACE0"/>
            </w:tcBorders>
            <w:vAlign w:val="bottom"/>
          </w:tcPr>
          <w:p w:rsidR="00AC12B4" w:rsidRDefault="00AC12B4">
            <w:pPr>
              <w:rPr>
                <w:sz w:val="4"/>
                <w:szCs w:val="4"/>
              </w:rPr>
            </w:pPr>
          </w:p>
        </w:tc>
        <w:tc>
          <w:tcPr>
            <w:tcW w:w="340" w:type="dxa"/>
            <w:tcBorders>
              <w:bottom w:val="single" w:sz="8" w:space="0" w:color="44ACE0"/>
            </w:tcBorders>
            <w:vAlign w:val="bottom"/>
          </w:tcPr>
          <w:p w:rsidR="00AC12B4" w:rsidRDefault="00AC12B4">
            <w:pPr>
              <w:rPr>
                <w:sz w:val="4"/>
                <w:szCs w:val="4"/>
              </w:rPr>
            </w:pPr>
          </w:p>
        </w:tc>
        <w:tc>
          <w:tcPr>
            <w:tcW w:w="140" w:type="dxa"/>
            <w:tcBorders>
              <w:bottom w:val="single" w:sz="8" w:space="0" w:color="44ACE0"/>
            </w:tcBorders>
            <w:vAlign w:val="bottom"/>
          </w:tcPr>
          <w:p w:rsidR="00AC12B4" w:rsidRDefault="00AC12B4">
            <w:pPr>
              <w:rPr>
                <w:sz w:val="4"/>
                <w:szCs w:val="4"/>
              </w:rPr>
            </w:pPr>
          </w:p>
        </w:tc>
        <w:tc>
          <w:tcPr>
            <w:tcW w:w="500" w:type="dxa"/>
            <w:tcBorders>
              <w:bottom w:val="single" w:sz="8" w:space="0" w:color="44ACE0"/>
            </w:tcBorders>
            <w:vAlign w:val="bottom"/>
          </w:tcPr>
          <w:p w:rsidR="00AC12B4" w:rsidRDefault="00AC12B4">
            <w:pPr>
              <w:rPr>
                <w:sz w:val="4"/>
                <w:szCs w:val="4"/>
              </w:rPr>
            </w:pPr>
          </w:p>
        </w:tc>
        <w:tc>
          <w:tcPr>
            <w:tcW w:w="920" w:type="dxa"/>
            <w:tcBorders>
              <w:bottom w:val="single" w:sz="8" w:space="0" w:color="44ACE0"/>
            </w:tcBorders>
            <w:vAlign w:val="bottom"/>
          </w:tcPr>
          <w:p w:rsidR="00AC12B4" w:rsidRDefault="00AC12B4">
            <w:pPr>
              <w:rPr>
                <w:sz w:val="4"/>
                <w:szCs w:val="4"/>
              </w:rPr>
            </w:pPr>
          </w:p>
        </w:tc>
        <w:tc>
          <w:tcPr>
            <w:tcW w:w="420" w:type="dxa"/>
            <w:tcBorders>
              <w:bottom w:val="single" w:sz="8" w:space="0" w:color="44ACE0"/>
            </w:tcBorders>
            <w:vAlign w:val="bottom"/>
          </w:tcPr>
          <w:p w:rsidR="00AC12B4" w:rsidRDefault="00AC12B4">
            <w:pPr>
              <w:rPr>
                <w:sz w:val="4"/>
                <w:szCs w:val="4"/>
              </w:rPr>
            </w:pPr>
          </w:p>
        </w:tc>
        <w:tc>
          <w:tcPr>
            <w:tcW w:w="280" w:type="dxa"/>
            <w:tcBorders>
              <w:bottom w:val="single" w:sz="8" w:space="0" w:color="44ACE0"/>
            </w:tcBorders>
            <w:vAlign w:val="bottom"/>
          </w:tcPr>
          <w:p w:rsidR="00AC12B4" w:rsidRDefault="00AC12B4">
            <w:pPr>
              <w:rPr>
                <w:sz w:val="4"/>
                <w:szCs w:val="4"/>
              </w:rPr>
            </w:pPr>
          </w:p>
        </w:tc>
        <w:tc>
          <w:tcPr>
            <w:tcW w:w="440" w:type="dxa"/>
            <w:tcBorders>
              <w:bottom w:val="single" w:sz="8" w:space="0" w:color="44ACE0"/>
            </w:tcBorders>
            <w:vAlign w:val="bottom"/>
          </w:tcPr>
          <w:p w:rsidR="00AC12B4" w:rsidRDefault="00AC12B4">
            <w:pPr>
              <w:rPr>
                <w:sz w:val="4"/>
                <w:szCs w:val="4"/>
              </w:rPr>
            </w:pPr>
          </w:p>
        </w:tc>
        <w:tc>
          <w:tcPr>
            <w:tcW w:w="540" w:type="dxa"/>
            <w:tcBorders>
              <w:bottom w:val="single" w:sz="8" w:space="0" w:color="44ACE0"/>
            </w:tcBorders>
            <w:vAlign w:val="bottom"/>
          </w:tcPr>
          <w:p w:rsidR="00AC12B4" w:rsidRDefault="00AC12B4">
            <w:pPr>
              <w:rPr>
                <w:sz w:val="4"/>
                <w:szCs w:val="4"/>
              </w:rPr>
            </w:pPr>
          </w:p>
        </w:tc>
        <w:tc>
          <w:tcPr>
            <w:tcW w:w="680" w:type="dxa"/>
            <w:tcBorders>
              <w:bottom w:val="single" w:sz="8" w:space="0" w:color="44ACE0"/>
              <w:right w:val="single" w:sz="8" w:space="0" w:color="44ACE0"/>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96"/>
        </w:trPr>
        <w:tc>
          <w:tcPr>
            <w:tcW w:w="1380" w:type="dxa"/>
            <w:gridSpan w:val="9"/>
            <w:vMerge/>
            <w:vAlign w:val="bottom"/>
          </w:tcPr>
          <w:p w:rsidR="00AC12B4" w:rsidRDefault="00AC12B4">
            <w:pPr>
              <w:rPr>
                <w:sz w:val="17"/>
                <w:szCs w:val="17"/>
              </w:rPr>
            </w:pPr>
          </w:p>
        </w:tc>
        <w:tc>
          <w:tcPr>
            <w:tcW w:w="160" w:type="dxa"/>
            <w:vAlign w:val="bottom"/>
          </w:tcPr>
          <w:p w:rsidR="00AC12B4" w:rsidRDefault="00AC12B4">
            <w:pPr>
              <w:rPr>
                <w:sz w:val="17"/>
                <w:szCs w:val="17"/>
              </w:rPr>
            </w:pPr>
          </w:p>
        </w:tc>
        <w:tc>
          <w:tcPr>
            <w:tcW w:w="20" w:type="dxa"/>
            <w:vAlign w:val="bottom"/>
          </w:tcPr>
          <w:p w:rsidR="00AC12B4" w:rsidRDefault="00AC12B4">
            <w:pPr>
              <w:rPr>
                <w:sz w:val="17"/>
                <w:szCs w:val="17"/>
              </w:rPr>
            </w:pPr>
          </w:p>
        </w:tc>
        <w:tc>
          <w:tcPr>
            <w:tcW w:w="2880" w:type="dxa"/>
            <w:gridSpan w:val="30"/>
            <w:vMerge/>
            <w:vAlign w:val="bottom"/>
          </w:tcPr>
          <w:p w:rsidR="00AC12B4" w:rsidRDefault="00AC12B4">
            <w:pPr>
              <w:rPr>
                <w:sz w:val="17"/>
                <w:szCs w:val="17"/>
              </w:rPr>
            </w:pPr>
          </w:p>
        </w:tc>
        <w:tc>
          <w:tcPr>
            <w:tcW w:w="420" w:type="dxa"/>
            <w:vAlign w:val="bottom"/>
          </w:tcPr>
          <w:p w:rsidR="00AC12B4" w:rsidRDefault="00AC12B4">
            <w:pPr>
              <w:rPr>
                <w:sz w:val="17"/>
                <w:szCs w:val="17"/>
              </w:rPr>
            </w:pPr>
          </w:p>
        </w:tc>
        <w:tc>
          <w:tcPr>
            <w:tcW w:w="200" w:type="dxa"/>
            <w:vAlign w:val="bottom"/>
          </w:tcPr>
          <w:p w:rsidR="00AC12B4" w:rsidRDefault="00AC12B4">
            <w:pPr>
              <w:rPr>
                <w:sz w:val="17"/>
                <w:szCs w:val="17"/>
              </w:rPr>
            </w:pPr>
          </w:p>
        </w:tc>
        <w:tc>
          <w:tcPr>
            <w:tcW w:w="80" w:type="dxa"/>
            <w:vAlign w:val="bottom"/>
          </w:tcPr>
          <w:p w:rsidR="00AC12B4" w:rsidRDefault="00AC12B4">
            <w:pPr>
              <w:rPr>
                <w:sz w:val="17"/>
                <w:szCs w:val="17"/>
              </w:rPr>
            </w:pPr>
          </w:p>
        </w:tc>
        <w:tc>
          <w:tcPr>
            <w:tcW w:w="200" w:type="dxa"/>
            <w:vAlign w:val="bottom"/>
          </w:tcPr>
          <w:p w:rsidR="00AC12B4" w:rsidRDefault="00AC12B4">
            <w:pPr>
              <w:rPr>
                <w:sz w:val="17"/>
                <w:szCs w:val="17"/>
              </w:rPr>
            </w:pPr>
          </w:p>
        </w:tc>
        <w:tc>
          <w:tcPr>
            <w:tcW w:w="340" w:type="dxa"/>
            <w:vAlign w:val="bottom"/>
          </w:tcPr>
          <w:p w:rsidR="00AC12B4" w:rsidRDefault="00AC12B4">
            <w:pPr>
              <w:rPr>
                <w:sz w:val="17"/>
                <w:szCs w:val="17"/>
              </w:rPr>
            </w:pPr>
          </w:p>
        </w:tc>
        <w:tc>
          <w:tcPr>
            <w:tcW w:w="140" w:type="dxa"/>
            <w:vAlign w:val="bottom"/>
          </w:tcPr>
          <w:p w:rsidR="00AC12B4" w:rsidRDefault="00AC12B4">
            <w:pPr>
              <w:rPr>
                <w:sz w:val="17"/>
                <w:szCs w:val="17"/>
              </w:rPr>
            </w:pPr>
          </w:p>
        </w:tc>
        <w:tc>
          <w:tcPr>
            <w:tcW w:w="500" w:type="dxa"/>
            <w:vAlign w:val="bottom"/>
          </w:tcPr>
          <w:p w:rsidR="00AC12B4" w:rsidRDefault="00AC12B4">
            <w:pPr>
              <w:rPr>
                <w:sz w:val="17"/>
                <w:szCs w:val="17"/>
              </w:rPr>
            </w:pPr>
          </w:p>
        </w:tc>
        <w:tc>
          <w:tcPr>
            <w:tcW w:w="920" w:type="dxa"/>
            <w:vAlign w:val="bottom"/>
          </w:tcPr>
          <w:p w:rsidR="00AC12B4" w:rsidRDefault="00AC12B4">
            <w:pPr>
              <w:rPr>
                <w:sz w:val="17"/>
                <w:szCs w:val="17"/>
              </w:rPr>
            </w:pPr>
          </w:p>
        </w:tc>
        <w:tc>
          <w:tcPr>
            <w:tcW w:w="420" w:type="dxa"/>
            <w:vAlign w:val="bottom"/>
          </w:tcPr>
          <w:p w:rsidR="00AC12B4" w:rsidRDefault="00AC12B4">
            <w:pPr>
              <w:rPr>
                <w:sz w:val="17"/>
                <w:szCs w:val="17"/>
              </w:rPr>
            </w:pPr>
          </w:p>
        </w:tc>
        <w:tc>
          <w:tcPr>
            <w:tcW w:w="280" w:type="dxa"/>
            <w:vAlign w:val="bottom"/>
          </w:tcPr>
          <w:p w:rsidR="00AC12B4" w:rsidRDefault="00AC12B4">
            <w:pPr>
              <w:rPr>
                <w:sz w:val="17"/>
                <w:szCs w:val="17"/>
              </w:rPr>
            </w:pPr>
          </w:p>
        </w:tc>
        <w:tc>
          <w:tcPr>
            <w:tcW w:w="440" w:type="dxa"/>
            <w:vAlign w:val="bottom"/>
          </w:tcPr>
          <w:p w:rsidR="00AC12B4" w:rsidRDefault="00AC12B4">
            <w:pPr>
              <w:rPr>
                <w:sz w:val="17"/>
                <w:szCs w:val="17"/>
              </w:rPr>
            </w:pPr>
          </w:p>
        </w:tc>
        <w:tc>
          <w:tcPr>
            <w:tcW w:w="540" w:type="dxa"/>
            <w:vAlign w:val="bottom"/>
          </w:tcPr>
          <w:p w:rsidR="00AC12B4" w:rsidRDefault="00AC12B4">
            <w:pPr>
              <w:rPr>
                <w:sz w:val="17"/>
                <w:szCs w:val="17"/>
              </w:rPr>
            </w:pPr>
          </w:p>
        </w:tc>
        <w:tc>
          <w:tcPr>
            <w:tcW w:w="680" w:type="dxa"/>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314"/>
        </w:trPr>
        <w:tc>
          <w:tcPr>
            <w:tcW w:w="4440" w:type="dxa"/>
            <w:gridSpan w:val="41"/>
            <w:vAlign w:val="bottom"/>
          </w:tcPr>
          <w:p w:rsidR="00AC12B4" w:rsidRPr="00C27636" w:rsidRDefault="00C27636">
            <w:pPr>
              <w:ind w:left="480"/>
              <w:rPr>
                <w:sz w:val="20"/>
                <w:szCs w:val="20"/>
                <w:lang w:val="fr-BE"/>
              </w:rPr>
            </w:pPr>
            <w:r w:rsidRPr="00C27636">
              <w:rPr>
                <w:rFonts w:ascii="Calibri" w:eastAsia="Calibri" w:hAnsi="Calibri" w:cs="Calibri"/>
                <w:lang w:val="fr-BE"/>
              </w:rPr>
              <w:t>prématurée de scolarité (cf. infra, sous-</w:t>
            </w:r>
          </w:p>
        </w:tc>
        <w:tc>
          <w:tcPr>
            <w:tcW w:w="42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4540" w:type="dxa"/>
            <w:gridSpan w:val="11"/>
            <w:vAlign w:val="bottom"/>
          </w:tcPr>
          <w:p w:rsidR="00AC12B4" w:rsidRPr="00C27636" w:rsidRDefault="00C27636">
            <w:pPr>
              <w:rPr>
                <w:sz w:val="20"/>
                <w:szCs w:val="20"/>
                <w:lang w:val="fr-BE"/>
              </w:rPr>
            </w:pPr>
            <w:r w:rsidRPr="00C27636">
              <w:rPr>
                <w:rFonts w:ascii="Calibri" w:eastAsia="Calibri" w:hAnsi="Calibri" w:cs="Calibri"/>
                <w:lang w:val="fr-BE"/>
              </w:rPr>
              <w:t>Comme   pour   les   autres   enquêtes</w:t>
            </w:r>
          </w:p>
        </w:tc>
        <w:tc>
          <w:tcPr>
            <w:tcW w:w="0" w:type="dxa"/>
            <w:vAlign w:val="bottom"/>
          </w:tcPr>
          <w:p w:rsidR="00AC12B4" w:rsidRPr="00C27636" w:rsidRDefault="00AC12B4">
            <w:pPr>
              <w:rPr>
                <w:sz w:val="1"/>
                <w:szCs w:val="1"/>
                <w:lang w:val="fr-BE"/>
              </w:rPr>
            </w:pPr>
          </w:p>
        </w:tc>
      </w:tr>
      <w:tr w:rsidR="00AC12B4" w:rsidRPr="00C27636">
        <w:trPr>
          <w:trHeight w:val="269"/>
        </w:trPr>
        <w:tc>
          <w:tcPr>
            <w:tcW w:w="3380" w:type="dxa"/>
            <w:gridSpan w:val="32"/>
            <w:vAlign w:val="bottom"/>
          </w:tcPr>
          <w:p w:rsidR="00AC12B4" w:rsidRPr="00C27636" w:rsidRDefault="00C27636">
            <w:pPr>
              <w:spacing w:line="224" w:lineRule="exact"/>
              <w:ind w:left="480"/>
              <w:rPr>
                <w:sz w:val="20"/>
                <w:szCs w:val="20"/>
                <w:lang w:val="fr-BE"/>
              </w:rPr>
            </w:pPr>
            <w:r w:rsidRPr="00C27636">
              <w:rPr>
                <w:rFonts w:ascii="Calibri" w:eastAsia="Calibri" w:hAnsi="Calibri" w:cs="Calibri"/>
                <w:lang w:val="fr-BE"/>
              </w:rPr>
              <w:t>titre ‘Pour aller plus loin »).</w:t>
            </w:r>
          </w:p>
        </w:tc>
        <w:tc>
          <w:tcPr>
            <w:tcW w:w="6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36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4540" w:type="dxa"/>
            <w:gridSpan w:val="11"/>
            <w:vAlign w:val="bottom"/>
          </w:tcPr>
          <w:p w:rsidR="00AC12B4" w:rsidRPr="00C27636" w:rsidRDefault="00C27636">
            <w:pPr>
              <w:rPr>
                <w:sz w:val="20"/>
                <w:szCs w:val="20"/>
                <w:lang w:val="fr-BE"/>
              </w:rPr>
            </w:pPr>
            <w:r w:rsidRPr="00C27636">
              <w:rPr>
                <w:rFonts w:ascii="Calibri" w:eastAsia="Calibri" w:hAnsi="Calibri" w:cs="Calibri"/>
                <w:lang w:val="fr-BE"/>
              </w:rPr>
              <w:t xml:space="preserve">existantes,   les   </w:t>
            </w:r>
            <w:r w:rsidRPr="00C27636">
              <w:rPr>
                <w:rFonts w:ascii="Calibri" w:eastAsia="Calibri" w:hAnsi="Calibri" w:cs="Calibri"/>
                <w:lang w:val="fr-BE"/>
              </w:rPr>
              <w:t>personnes   les   plus</w:t>
            </w:r>
          </w:p>
        </w:tc>
        <w:tc>
          <w:tcPr>
            <w:tcW w:w="0" w:type="dxa"/>
            <w:vAlign w:val="bottom"/>
          </w:tcPr>
          <w:p w:rsidR="00AC12B4" w:rsidRPr="00C27636" w:rsidRDefault="00AC12B4">
            <w:pPr>
              <w:rPr>
                <w:sz w:val="1"/>
                <w:szCs w:val="1"/>
                <w:lang w:val="fr-BE"/>
              </w:rPr>
            </w:pPr>
          </w:p>
        </w:tc>
      </w:tr>
      <w:tr w:rsidR="00AC12B4" w:rsidRPr="00C27636">
        <w:trPr>
          <w:trHeight w:val="269"/>
        </w:trPr>
        <w:tc>
          <w:tcPr>
            <w:tcW w:w="48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0" w:type="dxa"/>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36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4540" w:type="dxa"/>
            <w:gridSpan w:val="11"/>
            <w:vAlign w:val="bottom"/>
          </w:tcPr>
          <w:p w:rsidR="00AC12B4" w:rsidRPr="00C27636" w:rsidRDefault="00C27636">
            <w:pPr>
              <w:rPr>
                <w:sz w:val="20"/>
                <w:szCs w:val="20"/>
                <w:lang w:val="fr-BE"/>
              </w:rPr>
            </w:pPr>
            <w:r w:rsidRPr="00C27636">
              <w:rPr>
                <w:rFonts w:ascii="Calibri" w:eastAsia="Calibri" w:hAnsi="Calibri" w:cs="Calibri"/>
                <w:lang w:val="fr-BE"/>
              </w:rPr>
              <w:t>vulnérables échappent aux statistiques. Les</w:t>
            </w:r>
          </w:p>
        </w:tc>
        <w:tc>
          <w:tcPr>
            <w:tcW w:w="0" w:type="dxa"/>
            <w:vAlign w:val="bottom"/>
          </w:tcPr>
          <w:p w:rsidR="00AC12B4" w:rsidRPr="00C27636" w:rsidRDefault="00AC12B4">
            <w:pPr>
              <w:rPr>
                <w:sz w:val="1"/>
                <w:szCs w:val="1"/>
                <w:lang w:val="fr-BE"/>
              </w:rPr>
            </w:pPr>
          </w:p>
        </w:tc>
      </w:tr>
      <w:tr w:rsidR="00AC12B4" w:rsidRPr="00C27636">
        <w:trPr>
          <w:trHeight w:val="269"/>
        </w:trPr>
        <w:tc>
          <w:tcPr>
            <w:tcW w:w="48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0" w:type="dxa"/>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36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4540" w:type="dxa"/>
            <w:gridSpan w:val="11"/>
            <w:vAlign w:val="bottom"/>
          </w:tcPr>
          <w:p w:rsidR="00AC12B4" w:rsidRPr="00C27636" w:rsidRDefault="00C27636">
            <w:pPr>
              <w:rPr>
                <w:sz w:val="20"/>
                <w:szCs w:val="20"/>
                <w:lang w:val="fr-BE"/>
              </w:rPr>
            </w:pPr>
            <w:r w:rsidRPr="00C27636">
              <w:rPr>
                <w:rFonts w:ascii="Calibri" w:eastAsia="Calibri" w:hAnsi="Calibri" w:cs="Calibri"/>
                <w:lang w:val="fr-BE"/>
              </w:rPr>
              <w:t>sans-abris, les personnes en séjour illégal,</w:t>
            </w:r>
          </w:p>
        </w:tc>
        <w:tc>
          <w:tcPr>
            <w:tcW w:w="0" w:type="dxa"/>
            <w:vAlign w:val="bottom"/>
          </w:tcPr>
          <w:p w:rsidR="00AC12B4" w:rsidRPr="00C27636" w:rsidRDefault="00AC12B4">
            <w:pPr>
              <w:rPr>
                <w:sz w:val="1"/>
                <w:szCs w:val="1"/>
                <w:lang w:val="fr-BE"/>
              </w:rPr>
            </w:pPr>
          </w:p>
        </w:tc>
      </w:tr>
      <w:tr w:rsidR="00AC12B4" w:rsidRPr="00C27636">
        <w:trPr>
          <w:trHeight w:val="266"/>
        </w:trPr>
        <w:tc>
          <w:tcPr>
            <w:tcW w:w="48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60" w:type="dxa"/>
            <w:vAlign w:val="bottom"/>
          </w:tcPr>
          <w:p w:rsidR="00AC12B4" w:rsidRPr="00C27636" w:rsidRDefault="00AC12B4">
            <w:pPr>
              <w:rPr>
                <w:sz w:val="23"/>
                <w:szCs w:val="23"/>
                <w:lang w:val="fr-BE"/>
              </w:rPr>
            </w:pPr>
          </w:p>
        </w:tc>
        <w:tc>
          <w:tcPr>
            <w:tcW w:w="4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6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20" w:type="dxa"/>
            <w:vAlign w:val="bottom"/>
          </w:tcPr>
          <w:p w:rsidR="00AC12B4" w:rsidRPr="00C27636" w:rsidRDefault="00AC12B4">
            <w:pPr>
              <w:rPr>
                <w:sz w:val="23"/>
                <w:szCs w:val="23"/>
                <w:lang w:val="fr-BE"/>
              </w:rPr>
            </w:pPr>
          </w:p>
        </w:tc>
        <w:tc>
          <w:tcPr>
            <w:tcW w:w="36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4540" w:type="dxa"/>
            <w:gridSpan w:val="11"/>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 xml:space="preserve">les </w:t>
            </w:r>
            <w:r w:rsidRPr="00C27636">
              <w:rPr>
                <w:rFonts w:ascii="Calibri" w:eastAsia="Calibri" w:hAnsi="Calibri" w:cs="Calibri"/>
                <w:lang w:val="fr-BE"/>
              </w:rPr>
              <w:t>personnes résidant dans une institution</w:t>
            </w:r>
          </w:p>
        </w:tc>
        <w:tc>
          <w:tcPr>
            <w:tcW w:w="0" w:type="dxa"/>
            <w:vAlign w:val="bottom"/>
          </w:tcPr>
          <w:p w:rsidR="00AC12B4" w:rsidRPr="00C27636" w:rsidRDefault="00AC12B4">
            <w:pPr>
              <w:rPr>
                <w:sz w:val="1"/>
                <w:szCs w:val="1"/>
                <w:lang w:val="fr-BE"/>
              </w:rPr>
            </w:pPr>
          </w:p>
        </w:tc>
      </w:tr>
      <w:tr w:rsidR="00AC12B4" w:rsidRPr="00C27636">
        <w:trPr>
          <w:trHeight w:val="428"/>
        </w:trPr>
        <w:tc>
          <w:tcPr>
            <w:tcW w:w="480" w:type="dxa"/>
            <w:vAlign w:val="bottom"/>
          </w:tcPr>
          <w:p w:rsidR="00AC12B4" w:rsidRPr="00C27636" w:rsidRDefault="00AC12B4">
            <w:pPr>
              <w:rPr>
                <w:sz w:val="24"/>
                <w:szCs w:val="24"/>
                <w:lang w:val="fr-BE"/>
              </w:rPr>
            </w:pPr>
          </w:p>
        </w:tc>
        <w:tc>
          <w:tcPr>
            <w:tcW w:w="2880" w:type="dxa"/>
            <w:gridSpan w:val="30"/>
            <w:tcBorders>
              <w:bottom w:val="single" w:sz="8" w:space="0" w:color="auto"/>
            </w:tcBorders>
            <w:vAlign w:val="bottom"/>
          </w:tcPr>
          <w:p w:rsidR="00AC12B4" w:rsidRPr="00C27636" w:rsidRDefault="00AC12B4">
            <w:pPr>
              <w:rPr>
                <w:sz w:val="24"/>
                <w:szCs w:val="24"/>
                <w:lang w:val="fr-BE"/>
              </w:rPr>
            </w:pPr>
          </w:p>
        </w:tc>
        <w:tc>
          <w:tcPr>
            <w:tcW w:w="1080" w:type="dxa"/>
            <w:gridSpan w:val="10"/>
            <w:vAlign w:val="bottom"/>
          </w:tcPr>
          <w:p w:rsidR="00AC12B4" w:rsidRPr="00C27636" w:rsidRDefault="00AC12B4">
            <w:pPr>
              <w:rPr>
                <w:sz w:val="24"/>
                <w:szCs w:val="24"/>
                <w:lang w:val="fr-BE"/>
              </w:rPr>
            </w:pPr>
          </w:p>
        </w:tc>
        <w:tc>
          <w:tcPr>
            <w:tcW w:w="42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80" w:type="dxa"/>
            <w:tcBorders>
              <w:bottom w:val="single" w:sz="8" w:space="0" w:color="auto"/>
            </w:tcBorders>
            <w:vAlign w:val="bottom"/>
          </w:tcPr>
          <w:p w:rsidR="00AC12B4" w:rsidRPr="00C27636" w:rsidRDefault="00AC12B4">
            <w:pPr>
              <w:rPr>
                <w:sz w:val="24"/>
                <w:szCs w:val="24"/>
                <w:lang w:val="fr-BE"/>
              </w:rPr>
            </w:pPr>
          </w:p>
        </w:tc>
        <w:tc>
          <w:tcPr>
            <w:tcW w:w="200" w:type="dxa"/>
            <w:tcBorders>
              <w:bottom w:val="single" w:sz="8" w:space="0" w:color="auto"/>
            </w:tcBorders>
            <w:vAlign w:val="bottom"/>
          </w:tcPr>
          <w:p w:rsidR="00AC12B4" w:rsidRPr="00C27636" w:rsidRDefault="00AC12B4">
            <w:pPr>
              <w:rPr>
                <w:sz w:val="24"/>
                <w:szCs w:val="24"/>
                <w:lang w:val="fr-BE"/>
              </w:rPr>
            </w:pPr>
          </w:p>
        </w:tc>
        <w:tc>
          <w:tcPr>
            <w:tcW w:w="2600" w:type="dxa"/>
            <w:gridSpan w:val="6"/>
            <w:tcBorders>
              <w:bottom w:val="single" w:sz="8" w:space="0" w:color="auto"/>
            </w:tcBorders>
            <w:vAlign w:val="bottom"/>
          </w:tcPr>
          <w:p w:rsidR="00AC12B4" w:rsidRPr="00C27636" w:rsidRDefault="00AC12B4">
            <w:pPr>
              <w:rPr>
                <w:sz w:val="24"/>
                <w:szCs w:val="24"/>
                <w:lang w:val="fr-BE"/>
              </w:rPr>
            </w:pPr>
          </w:p>
        </w:tc>
        <w:tc>
          <w:tcPr>
            <w:tcW w:w="980" w:type="dxa"/>
            <w:gridSpan w:val="2"/>
            <w:vAlign w:val="bottom"/>
          </w:tcPr>
          <w:p w:rsidR="00AC12B4" w:rsidRPr="00C27636" w:rsidRDefault="00AC12B4">
            <w:pPr>
              <w:rPr>
                <w:sz w:val="24"/>
                <w:szCs w:val="24"/>
                <w:lang w:val="fr-BE"/>
              </w:rPr>
            </w:pPr>
          </w:p>
        </w:tc>
        <w:tc>
          <w:tcPr>
            <w:tcW w:w="68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446"/>
        </w:trPr>
        <w:tc>
          <w:tcPr>
            <w:tcW w:w="4440" w:type="dxa"/>
            <w:gridSpan w:val="41"/>
            <w:vAlign w:val="bottom"/>
          </w:tcPr>
          <w:p w:rsidR="00AC12B4" w:rsidRPr="00C27636" w:rsidRDefault="00C27636">
            <w:pPr>
              <w:ind w:left="480"/>
              <w:rPr>
                <w:sz w:val="20"/>
                <w:szCs w:val="20"/>
                <w:lang w:val="fr-BE"/>
              </w:rPr>
            </w:pPr>
            <w:r w:rsidRPr="00C27636">
              <w:rPr>
                <w:rFonts w:ascii="Calibri" w:eastAsia="Calibri" w:hAnsi="Calibri" w:cs="Calibri"/>
                <w:sz w:val="27"/>
                <w:szCs w:val="27"/>
                <w:vertAlign w:val="superscript"/>
                <w:lang w:val="fr-BE"/>
              </w:rPr>
              <w:t>1</w:t>
            </w:r>
            <w:r w:rsidRPr="00C27636">
              <w:rPr>
                <w:rFonts w:ascii="Calibri" w:eastAsia="Calibri" w:hAnsi="Calibri" w:cs="Calibri"/>
                <w:sz w:val="20"/>
                <w:szCs w:val="20"/>
                <w:lang w:val="fr-BE"/>
              </w:rPr>
              <w:t xml:space="preserve">  Il y a par exemple en Flandre, depuis des</w:t>
            </w:r>
          </w:p>
        </w:tc>
        <w:tc>
          <w:tcPr>
            <w:tcW w:w="42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4540" w:type="dxa"/>
            <w:gridSpan w:val="11"/>
            <w:vAlign w:val="bottom"/>
          </w:tcPr>
          <w:p w:rsidR="00AC12B4" w:rsidRPr="00C27636" w:rsidRDefault="00C27636">
            <w:pPr>
              <w:rPr>
                <w:rFonts w:ascii="Calibri" w:eastAsia="Calibri" w:hAnsi="Calibri" w:cs="Calibri"/>
                <w:color w:val="0000FF"/>
                <w:sz w:val="20"/>
                <w:szCs w:val="20"/>
                <w:lang w:val="fr-BE"/>
              </w:rPr>
            </w:pPr>
            <w:hyperlink r:id="rId232">
              <w:r w:rsidRPr="00C27636">
                <w:rPr>
                  <w:rFonts w:ascii="Calibri" w:eastAsia="Calibri" w:hAnsi="Calibri" w:cs="Calibri"/>
                  <w:color w:val="000000"/>
                  <w:sz w:val="27"/>
                  <w:szCs w:val="27"/>
                  <w:vertAlign w:val="superscript"/>
                  <w:lang w:val="fr-BE"/>
                </w:rPr>
                <w:t>2</w:t>
              </w:r>
              <w:r w:rsidRPr="00C27636">
                <w:rPr>
                  <w:rFonts w:ascii="Calibri" w:eastAsia="Calibri" w:hAnsi="Calibri" w:cs="Calibri"/>
                  <w:color w:val="0000FF"/>
                  <w:sz w:val="20"/>
                  <w:szCs w:val="20"/>
                  <w:lang w:val="fr-BE"/>
                </w:rPr>
                <w:t>http://statbel.fgov.be/nl/modules/publication</w:t>
              </w:r>
            </w:hyperlink>
          </w:p>
        </w:tc>
        <w:tc>
          <w:tcPr>
            <w:tcW w:w="0" w:type="dxa"/>
            <w:vAlign w:val="bottom"/>
          </w:tcPr>
          <w:p w:rsidR="00AC12B4" w:rsidRPr="00C27636" w:rsidRDefault="00AC12B4">
            <w:pPr>
              <w:rPr>
                <w:sz w:val="1"/>
                <w:szCs w:val="1"/>
                <w:lang w:val="fr-BE"/>
              </w:rPr>
            </w:pPr>
          </w:p>
        </w:tc>
      </w:tr>
      <w:tr w:rsidR="00AC12B4" w:rsidRPr="00C27636">
        <w:trPr>
          <w:trHeight w:val="20"/>
        </w:trPr>
        <w:tc>
          <w:tcPr>
            <w:tcW w:w="4440" w:type="dxa"/>
            <w:gridSpan w:val="41"/>
            <w:vAlign w:val="bottom"/>
          </w:tcPr>
          <w:p w:rsidR="00AC12B4" w:rsidRPr="00C27636" w:rsidRDefault="00AC12B4">
            <w:pPr>
              <w:spacing w:line="20" w:lineRule="exact"/>
              <w:rPr>
                <w:sz w:val="1"/>
                <w:szCs w:val="1"/>
                <w:lang w:val="fr-BE"/>
              </w:rPr>
            </w:pPr>
          </w:p>
        </w:tc>
        <w:tc>
          <w:tcPr>
            <w:tcW w:w="420" w:type="dxa"/>
            <w:vAlign w:val="bottom"/>
          </w:tcPr>
          <w:p w:rsidR="00AC12B4" w:rsidRPr="00C27636" w:rsidRDefault="00AC12B4">
            <w:pPr>
              <w:spacing w:line="20" w:lineRule="exact"/>
              <w:rPr>
                <w:sz w:val="1"/>
                <w:szCs w:val="1"/>
                <w:lang w:val="fr-BE"/>
              </w:rPr>
            </w:pPr>
          </w:p>
        </w:tc>
        <w:tc>
          <w:tcPr>
            <w:tcW w:w="200" w:type="dxa"/>
            <w:vAlign w:val="bottom"/>
          </w:tcPr>
          <w:p w:rsidR="00AC12B4" w:rsidRPr="00C27636" w:rsidRDefault="00AC12B4">
            <w:pPr>
              <w:spacing w:line="20" w:lineRule="exact"/>
              <w:rPr>
                <w:sz w:val="1"/>
                <w:szCs w:val="1"/>
                <w:lang w:val="fr-BE"/>
              </w:rPr>
            </w:pPr>
          </w:p>
        </w:tc>
        <w:tc>
          <w:tcPr>
            <w:tcW w:w="80" w:type="dxa"/>
            <w:vAlign w:val="bottom"/>
          </w:tcPr>
          <w:p w:rsidR="00AC12B4" w:rsidRPr="00C27636" w:rsidRDefault="00AC12B4">
            <w:pPr>
              <w:spacing w:line="20" w:lineRule="exact"/>
              <w:rPr>
                <w:sz w:val="1"/>
                <w:szCs w:val="1"/>
                <w:lang w:val="fr-BE"/>
              </w:rPr>
            </w:pPr>
          </w:p>
        </w:tc>
        <w:tc>
          <w:tcPr>
            <w:tcW w:w="200" w:type="dxa"/>
            <w:shd w:val="clear" w:color="auto" w:fill="0000FF"/>
            <w:vAlign w:val="bottom"/>
          </w:tcPr>
          <w:p w:rsidR="00AC12B4" w:rsidRPr="00C27636" w:rsidRDefault="00AC12B4">
            <w:pPr>
              <w:spacing w:line="20" w:lineRule="exact"/>
              <w:rPr>
                <w:sz w:val="1"/>
                <w:szCs w:val="1"/>
                <w:lang w:val="fr-BE"/>
              </w:rPr>
            </w:pPr>
          </w:p>
        </w:tc>
        <w:tc>
          <w:tcPr>
            <w:tcW w:w="3580" w:type="dxa"/>
            <w:gridSpan w:val="8"/>
            <w:tcBorders>
              <w:right w:val="single" w:sz="8" w:space="0" w:color="0000FF"/>
            </w:tcBorders>
            <w:shd w:val="clear" w:color="auto" w:fill="0000FF"/>
            <w:vAlign w:val="bottom"/>
          </w:tcPr>
          <w:p w:rsidR="00AC12B4" w:rsidRPr="00C27636" w:rsidRDefault="00AC12B4">
            <w:pPr>
              <w:spacing w:line="20" w:lineRule="exact"/>
              <w:rPr>
                <w:sz w:val="1"/>
                <w:szCs w:val="1"/>
                <w:lang w:val="fr-BE"/>
              </w:rPr>
            </w:pPr>
          </w:p>
        </w:tc>
        <w:tc>
          <w:tcPr>
            <w:tcW w:w="680" w:type="dxa"/>
            <w:vAlign w:val="bottom"/>
          </w:tcPr>
          <w:p w:rsidR="00AC12B4" w:rsidRPr="00C27636" w:rsidRDefault="00AC12B4">
            <w:pPr>
              <w:spacing w:line="20" w:lineRule="exact"/>
              <w:rPr>
                <w:sz w:val="1"/>
                <w:szCs w:val="1"/>
                <w:lang w:val="fr-BE"/>
              </w:rPr>
            </w:pPr>
          </w:p>
        </w:tc>
        <w:tc>
          <w:tcPr>
            <w:tcW w:w="0" w:type="dxa"/>
            <w:vAlign w:val="bottom"/>
          </w:tcPr>
          <w:p w:rsidR="00AC12B4" w:rsidRPr="00C27636" w:rsidRDefault="00AC12B4">
            <w:pPr>
              <w:spacing w:line="20" w:lineRule="exact"/>
              <w:rPr>
                <w:sz w:val="1"/>
                <w:szCs w:val="1"/>
                <w:lang w:val="fr-BE"/>
              </w:rPr>
            </w:pPr>
          </w:p>
        </w:tc>
      </w:tr>
      <w:tr w:rsidR="00AC12B4">
        <w:trPr>
          <w:trHeight w:val="232"/>
        </w:trPr>
        <w:tc>
          <w:tcPr>
            <w:tcW w:w="4440" w:type="dxa"/>
            <w:gridSpan w:val="41"/>
            <w:vAlign w:val="bottom"/>
          </w:tcPr>
          <w:p w:rsidR="00AC12B4" w:rsidRPr="00C27636" w:rsidRDefault="00C27636">
            <w:pPr>
              <w:spacing w:line="232" w:lineRule="exact"/>
              <w:ind w:left="480"/>
              <w:rPr>
                <w:sz w:val="20"/>
                <w:szCs w:val="20"/>
                <w:lang w:val="fr-BE"/>
              </w:rPr>
            </w:pPr>
            <w:r w:rsidRPr="00C27636">
              <w:rPr>
                <w:rFonts w:ascii="Calibri" w:eastAsia="Calibri" w:hAnsi="Calibri" w:cs="Calibri"/>
                <w:sz w:val="20"/>
                <w:szCs w:val="20"/>
                <w:lang w:val="fr-BE"/>
              </w:rPr>
              <w:t xml:space="preserve">années, 50% de garçons en plus </w:t>
            </w:r>
            <w:r w:rsidRPr="00C27636">
              <w:rPr>
                <w:rFonts w:ascii="Calibri" w:eastAsia="Calibri" w:hAnsi="Calibri" w:cs="Calibri"/>
                <w:sz w:val="20"/>
                <w:szCs w:val="20"/>
                <w:lang w:val="fr-BE"/>
              </w:rPr>
              <w:lastRenderedPageBreak/>
              <w:t>que de filles</w:t>
            </w:r>
          </w:p>
        </w:tc>
        <w:tc>
          <w:tcPr>
            <w:tcW w:w="420" w:type="dxa"/>
            <w:vAlign w:val="bottom"/>
          </w:tcPr>
          <w:p w:rsidR="00AC12B4" w:rsidRPr="00C27636" w:rsidRDefault="00AC12B4">
            <w:pPr>
              <w:rPr>
                <w:sz w:val="20"/>
                <w:szCs w:val="20"/>
                <w:lang w:val="fr-BE"/>
              </w:rPr>
            </w:pPr>
          </w:p>
        </w:tc>
        <w:tc>
          <w:tcPr>
            <w:tcW w:w="200" w:type="dxa"/>
            <w:vAlign w:val="bottom"/>
          </w:tcPr>
          <w:p w:rsidR="00AC12B4" w:rsidRPr="00C27636" w:rsidRDefault="00AC12B4">
            <w:pPr>
              <w:rPr>
                <w:sz w:val="20"/>
                <w:szCs w:val="20"/>
                <w:lang w:val="fr-BE"/>
              </w:rPr>
            </w:pPr>
          </w:p>
        </w:tc>
        <w:tc>
          <w:tcPr>
            <w:tcW w:w="3860" w:type="dxa"/>
            <w:gridSpan w:val="10"/>
            <w:tcBorders>
              <w:bottom w:val="single" w:sz="8" w:space="0" w:color="0000FF"/>
            </w:tcBorders>
            <w:vAlign w:val="bottom"/>
          </w:tcPr>
          <w:p w:rsidR="00AC12B4" w:rsidRDefault="00C27636">
            <w:pPr>
              <w:spacing w:line="232" w:lineRule="exact"/>
              <w:rPr>
                <w:rFonts w:ascii="Calibri" w:eastAsia="Calibri" w:hAnsi="Calibri" w:cs="Calibri"/>
                <w:color w:val="0000FF"/>
                <w:w w:val="99"/>
                <w:sz w:val="20"/>
                <w:szCs w:val="20"/>
              </w:rPr>
            </w:pPr>
            <w:hyperlink r:id="rId233">
              <w:r>
                <w:rPr>
                  <w:rFonts w:ascii="Calibri" w:eastAsia="Calibri" w:hAnsi="Calibri" w:cs="Calibri"/>
                  <w:color w:val="0000FF"/>
                  <w:w w:val="99"/>
                  <w:sz w:val="20"/>
                  <w:szCs w:val="20"/>
                </w:rPr>
                <w:t>s/statistiques/arbeidsmarkt_leven</w:t>
              </w:r>
              <w:r>
                <w:rPr>
                  <w:rFonts w:ascii="Calibri" w:eastAsia="Calibri" w:hAnsi="Calibri" w:cs="Calibri"/>
                  <w:color w:val="0000FF"/>
                  <w:w w:val="99"/>
                  <w:sz w:val="20"/>
                  <w:szCs w:val="20"/>
                </w:rPr>
                <w:lastRenderedPageBreak/>
                <w:t>somstandigh</w:t>
              </w:r>
            </w:hyperlink>
          </w:p>
        </w:tc>
        <w:tc>
          <w:tcPr>
            <w:tcW w:w="68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rsidRPr="00C27636">
        <w:trPr>
          <w:trHeight w:val="222"/>
        </w:trPr>
        <w:tc>
          <w:tcPr>
            <w:tcW w:w="4440" w:type="dxa"/>
            <w:gridSpan w:val="41"/>
            <w:vAlign w:val="bottom"/>
          </w:tcPr>
          <w:p w:rsidR="00AC12B4" w:rsidRDefault="00C27636">
            <w:pPr>
              <w:spacing w:line="222" w:lineRule="exact"/>
              <w:ind w:left="480"/>
              <w:rPr>
                <w:sz w:val="20"/>
                <w:szCs w:val="20"/>
              </w:rPr>
            </w:pPr>
            <w:r>
              <w:rPr>
                <w:rFonts w:ascii="Calibri" w:eastAsia="Calibri" w:hAnsi="Calibri" w:cs="Calibri"/>
                <w:sz w:val="20"/>
                <w:szCs w:val="20"/>
              </w:rPr>
              <w:lastRenderedPageBreak/>
              <w:t>(13,8% des garçons en 2012-2013 versus 9,4%</w:t>
            </w:r>
          </w:p>
        </w:tc>
        <w:tc>
          <w:tcPr>
            <w:tcW w:w="4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4540" w:type="dxa"/>
            <w:gridSpan w:val="11"/>
            <w:vAlign w:val="bottom"/>
          </w:tcPr>
          <w:p w:rsidR="00AC12B4" w:rsidRPr="00C27636" w:rsidRDefault="00C27636">
            <w:pPr>
              <w:spacing w:line="222" w:lineRule="exact"/>
              <w:rPr>
                <w:rFonts w:ascii="Calibri" w:eastAsia="Calibri" w:hAnsi="Calibri" w:cs="Calibri"/>
                <w:color w:val="0000FF"/>
                <w:sz w:val="20"/>
                <w:szCs w:val="20"/>
                <w:lang w:val="fr-BE"/>
              </w:rPr>
            </w:pPr>
            <w:hyperlink r:id="rId234">
              <w:r w:rsidRPr="00C27636">
                <w:rPr>
                  <w:rFonts w:ascii="Calibri" w:eastAsia="Calibri" w:hAnsi="Calibri" w:cs="Calibri"/>
                  <w:color w:val="0000FF"/>
                  <w:sz w:val="20"/>
                  <w:szCs w:val="20"/>
                  <w:lang w:val="fr-BE"/>
                </w:rPr>
                <w:t>eden/enquete_sur_les_forces_de_travail_2011</w:t>
              </w:r>
            </w:hyperlink>
          </w:p>
        </w:tc>
        <w:tc>
          <w:tcPr>
            <w:tcW w:w="0" w:type="dxa"/>
            <w:vAlign w:val="bottom"/>
          </w:tcPr>
          <w:p w:rsidR="00AC12B4" w:rsidRPr="00C27636" w:rsidRDefault="00AC12B4">
            <w:pPr>
              <w:rPr>
                <w:sz w:val="1"/>
                <w:szCs w:val="1"/>
                <w:lang w:val="fr-BE"/>
              </w:rPr>
            </w:pPr>
          </w:p>
        </w:tc>
      </w:tr>
      <w:tr w:rsidR="00AC12B4">
        <w:trPr>
          <w:trHeight w:val="225"/>
        </w:trPr>
        <w:tc>
          <w:tcPr>
            <w:tcW w:w="1380" w:type="dxa"/>
            <w:gridSpan w:val="9"/>
            <w:vAlign w:val="bottom"/>
          </w:tcPr>
          <w:p w:rsidR="00AC12B4" w:rsidRDefault="00C27636">
            <w:pPr>
              <w:spacing w:line="224" w:lineRule="exact"/>
              <w:ind w:left="480"/>
              <w:rPr>
                <w:sz w:val="20"/>
                <w:szCs w:val="20"/>
              </w:rPr>
            </w:pPr>
            <w:r>
              <w:rPr>
                <w:rFonts w:ascii="Calibri" w:eastAsia="Calibri" w:hAnsi="Calibri" w:cs="Calibri"/>
                <w:sz w:val="20"/>
                <w:szCs w:val="20"/>
              </w:rPr>
              <w:t>des filles).</w:t>
            </w:r>
          </w:p>
        </w:tc>
        <w:tc>
          <w:tcPr>
            <w:tcW w:w="16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4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6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20" w:type="dxa"/>
            <w:vAlign w:val="bottom"/>
          </w:tcPr>
          <w:p w:rsidR="00AC12B4" w:rsidRDefault="00AC12B4">
            <w:pPr>
              <w:rPr>
                <w:sz w:val="19"/>
                <w:szCs w:val="19"/>
              </w:rPr>
            </w:pPr>
          </w:p>
        </w:tc>
        <w:tc>
          <w:tcPr>
            <w:tcW w:w="360" w:type="dxa"/>
            <w:vAlign w:val="bottom"/>
          </w:tcPr>
          <w:p w:rsidR="00AC12B4" w:rsidRDefault="00AC12B4">
            <w:pPr>
              <w:rPr>
                <w:sz w:val="19"/>
                <w:szCs w:val="19"/>
              </w:rPr>
            </w:pPr>
          </w:p>
        </w:tc>
        <w:tc>
          <w:tcPr>
            <w:tcW w:w="420" w:type="dxa"/>
            <w:vAlign w:val="bottom"/>
          </w:tcPr>
          <w:p w:rsidR="00AC12B4" w:rsidRDefault="00AC12B4">
            <w:pPr>
              <w:rPr>
                <w:sz w:val="19"/>
                <w:szCs w:val="19"/>
              </w:rPr>
            </w:pPr>
          </w:p>
        </w:tc>
        <w:tc>
          <w:tcPr>
            <w:tcW w:w="200" w:type="dxa"/>
            <w:vAlign w:val="bottom"/>
          </w:tcPr>
          <w:p w:rsidR="00AC12B4" w:rsidRDefault="00AC12B4">
            <w:pPr>
              <w:rPr>
                <w:sz w:val="19"/>
                <w:szCs w:val="19"/>
              </w:rPr>
            </w:pPr>
          </w:p>
        </w:tc>
        <w:tc>
          <w:tcPr>
            <w:tcW w:w="620" w:type="dxa"/>
            <w:gridSpan w:val="3"/>
            <w:tcBorders>
              <w:top w:val="single" w:sz="8" w:space="0" w:color="0000FF"/>
            </w:tcBorders>
            <w:vAlign w:val="bottom"/>
          </w:tcPr>
          <w:p w:rsidR="00AC12B4" w:rsidRDefault="00C27636">
            <w:pPr>
              <w:spacing w:line="224" w:lineRule="exact"/>
              <w:rPr>
                <w:rFonts w:ascii="Calibri" w:eastAsia="Calibri" w:hAnsi="Calibri" w:cs="Calibri"/>
                <w:color w:val="0000FF"/>
                <w:sz w:val="20"/>
                <w:szCs w:val="20"/>
              </w:rPr>
            </w:pPr>
            <w:hyperlink r:id="rId235">
              <w:r>
                <w:rPr>
                  <w:rFonts w:ascii="Calibri" w:eastAsia="Calibri" w:hAnsi="Calibri" w:cs="Calibri"/>
                  <w:color w:val="0000FF"/>
                  <w:sz w:val="20"/>
                  <w:szCs w:val="20"/>
                </w:rPr>
                <w:t>.jsp</w:t>
              </w:r>
              <w:r>
                <w:rPr>
                  <w:rFonts w:ascii="Calibri" w:eastAsia="Calibri" w:hAnsi="Calibri" w:cs="Calibri"/>
                  <w:color w:val="000000"/>
                  <w:sz w:val="20"/>
                  <w:szCs w:val="20"/>
                </w:rPr>
                <w:t>.</w:t>
              </w:r>
            </w:hyperlink>
          </w:p>
        </w:tc>
        <w:tc>
          <w:tcPr>
            <w:tcW w:w="140" w:type="dxa"/>
            <w:tcBorders>
              <w:top w:val="single" w:sz="8" w:space="0" w:color="0000FF"/>
            </w:tcBorders>
            <w:vAlign w:val="bottom"/>
          </w:tcPr>
          <w:p w:rsidR="00AC12B4" w:rsidRDefault="00AC12B4">
            <w:pPr>
              <w:rPr>
                <w:sz w:val="19"/>
                <w:szCs w:val="19"/>
              </w:rPr>
            </w:pPr>
          </w:p>
        </w:tc>
        <w:tc>
          <w:tcPr>
            <w:tcW w:w="500" w:type="dxa"/>
            <w:tcBorders>
              <w:top w:val="single" w:sz="8" w:space="0" w:color="0000FF"/>
            </w:tcBorders>
            <w:vAlign w:val="bottom"/>
          </w:tcPr>
          <w:p w:rsidR="00AC12B4" w:rsidRDefault="00AC12B4">
            <w:pPr>
              <w:rPr>
                <w:sz w:val="19"/>
                <w:szCs w:val="19"/>
              </w:rPr>
            </w:pPr>
          </w:p>
        </w:tc>
        <w:tc>
          <w:tcPr>
            <w:tcW w:w="920" w:type="dxa"/>
            <w:tcBorders>
              <w:top w:val="single" w:sz="8" w:space="0" w:color="0000FF"/>
            </w:tcBorders>
            <w:vAlign w:val="bottom"/>
          </w:tcPr>
          <w:p w:rsidR="00AC12B4" w:rsidRDefault="00AC12B4">
            <w:pPr>
              <w:rPr>
                <w:sz w:val="19"/>
                <w:szCs w:val="19"/>
              </w:rPr>
            </w:pPr>
          </w:p>
        </w:tc>
        <w:tc>
          <w:tcPr>
            <w:tcW w:w="420" w:type="dxa"/>
            <w:tcBorders>
              <w:top w:val="single" w:sz="8" w:space="0" w:color="0000FF"/>
            </w:tcBorders>
            <w:vAlign w:val="bottom"/>
          </w:tcPr>
          <w:p w:rsidR="00AC12B4" w:rsidRDefault="00AC12B4">
            <w:pPr>
              <w:rPr>
                <w:sz w:val="19"/>
                <w:szCs w:val="19"/>
              </w:rPr>
            </w:pPr>
          </w:p>
        </w:tc>
        <w:tc>
          <w:tcPr>
            <w:tcW w:w="280" w:type="dxa"/>
            <w:tcBorders>
              <w:top w:val="single" w:sz="8" w:space="0" w:color="0000FF"/>
            </w:tcBorders>
            <w:vAlign w:val="bottom"/>
          </w:tcPr>
          <w:p w:rsidR="00AC12B4" w:rsidRDefault="00AC12B4">
            <w:pPr>
              <w:rPr>
                <w:sz w:val="19"/>
                <w:szCs w:val="19"/>
              </w:rPr>
            </w:pPr>
          </w:p>
        </w:tc>
        <w:tc>
          <w:tcPr>
            <w:tcW w:w="440" w:type="dxa"/>
            <w:tcBorders>
              <w:top w:val="single" w:sz="8" w:space="0" w:color="0000FF"/>
            </w:tcBorders>
            <w:vAlign w:val="bottom"/>
          </w:tcPr>
          <w:p w:rsidR="00AC12B4" w:rsidRDefault="00AC12B4">
            <w:pPr>
              <w:rPr>
                <w:sz w:val="19"/>
                <w:szCs w:val="19"/>
              </w:rPr>
            </w:pPr>
          </w:p>
        </w:tc>
        <w:tc>
          <w:tcPr>
            <w:tcW w:w="540" w:type="dxa"/>
            <w:tcBorders>
              <w:top w:val="single" w:sz="8" w:space="0" w:color="0000FF"/>
            </w:tcBorders>
            <w:vAlign w:val="bottom"/>
          </w:tcPr>
          <w:p w:rsidR="00AC12B4" w:rsidRDefault="00AC12B4">
            <w:pPr>
              <w:rPr>
                <w:sz w:val="19"/>
                <w:szCs w:val="19"/>
              </w:rPr>
            </w:pPr>
          </w:p>
        </w:tc>
        <w:tc>
          <w:tcPr>
            <w:tcW w:w="680" w:type="dxa"/>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881"/>
        </w:trPr>
        <w:tc>
          <w:tcPr>
            <w:tcW w:w="480" w:type="dxa"/>
            <w:vAlign w:val="bottom"/>
          </w:tcPr>
          <w:p w:rsidR="00AC12B4" w:rsidRDefault="00AC12B4">
            <w:pPr>
              <w:rPr>
                <w:sz w:val="24"/>
                <w:szCs w:val="24"/>
              </w:rPr>
            </w:pPr>
          </w:p>
        </w:tc>
        <w:tc>
          <w:tcPr>
            <w:tcW w:w="3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4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620" w:type="dxa"/>
            <w:gridSpan w:val="2"/>
            <w:vAlign w:val="bottom"/>
          </w:tcPr>
          <w:p w:rsidR="00AC12B4" w:rsidRDefault="00C27636">
            <w:pPr>
              <w:ind w:right="80"/>
              <w:jc w:val="right"/>
              <w:rPr>
                <w:sz w:val="20"/>
                <w:szCs w:val="20"/>
              </w:rPr>
            </w:pPr>
            <w:r>
              <w:rPr>
                <w:rFonts w:ascii="Calibri" w:eastAsia="Calibri" w:hAnsi="Calibri" w:cs="Calibri"/>
              </w:rPr>
              <w:t>140</w:t>
            </w:r>
          </w:p>
        </w:tc>
        <w:tc>
          <w:tcPr>
            <w:tcW w:w="80" w:type="dxa"/>
            <w:tcBorders>
              <w:top w:val="single" w:sz="8" w:space="0" w:color="0000FF"/>
            </w:tcBorders>
            <w:vAlign w:val="bottom"/>
          </w:tcPr>
          <w:p w:rsidR="00AC12B4" w:rsidRDefault="00AC12B4">
            <w:pPr>
              <w:rPr>
                <w:sz w:val="24"/>
                <w:szCs w:val="24"/>
              </w:rPr>
            </w:pPr>
          </w:p>
        </w:tc>
        <w:tc>
          <w:tcPr>
            <w:tcW w:w="200" w:type="dxa"/>
            <w:tcBorders>
              <w:top w:val="single" w:sz="8" w:space="0" w:color="0000FF"/>
            </w:tcBorders>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92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540" w:type="dxa"/>
            <w:vAlign w:val="bottom"/>
          </w:tcPr>
          <w:p w:rsidR="00AC12B4" w:rsidRDefault="00AC12B4">
            <w:pPr>
              <w:rPr>
                <w:sz w:val="24"/>
                <w:szCs w:val="24"/>
              </w:rPr>
            </w:pPr>
          </w:p>
        </w:tc>
        <w:tc>
          <w:tcPr>
            <w:tcW w:w="68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736576" behindDoc="1" locked="0" layoutInCell="0" allowOverlap="1">
            <wp:simplePos x="0" y="0"/>
            <wp:positionH relativeFrom="column">
              <wp:posOffset>480060</wp:posOffset>
            </wp:positionH>
            <wp:positionV relativeFrom="paragraph">
              <wp:posOffset>-4476115</wp:posOffset>
            </wp:positionV>
            <wp:extent cx="2206625" cy="266700"/>
            <wp:effectExtent l="0" t="0" r="0" b="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36">
                      <a:extLst/>
                    </a:blip>
                    <a:srcRect/>
                    <a:stretch>
                      <a:fillRect/>
                    </a:stretch>
                  </pic:blipFill>
                  <pic:spPr bwMode="auto">
                    <a:xfrm>
                      <a:off x="0" y="0"/>
                      <a:ext cx="2206625" cy="266700"/>
                    </a:xfrm>
                    <a:prstGeom prst="rect">
                      <a:avLst/>
                    </a:prstGeom>
                    <a:noFill/>
                  </pic:spPr>
                </pic:pic>
              </a:graphicData>
            </a:graphic>
          </wp:anchor>
        </w:drawing>
      </w:r>
      <w:r>
        <w:rPr>
          <w:noProof/>
          <w:sz w:val="20"/>
          <w:szCs w:val="20"/>
        </w:rPr>
        <w:drawing>
          <wp:anchor distT="0" distB="0" distL="114300" distR="114300" simplePos="0" relativeHeight="251737600" behindDoc="1" locked="0" layoutInCell="0" allowOverlap="1">
            <wp:simplePos x="0" y="0"/>
            <wp:positionH relativeFrom="column">
              <wp:posOffset>600710</wp:posOffset>
            </wp:positionH>
            <wp:positionV relativeFrom="paragraph">
              <wp:posOffset>-6069965</wp:posOffset>
            </wp:positionV>
            <wp:extent cx="1973580" cy="751205"/>
            <wp:effectExtent l="0" t="0" r="0" b="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237">
                      <a:extLst/>
                    </a:blip>
                    <a:srcRect/>
                    <a:stretch>
                      <a:fillRect/>
                    </a:stretch>
                  </pic:blipFill>
                  <pic:spPr bwMode="auto">
                    <a:xfrm>
                      <a:off x="0" y="0"/>
                      <a:ext cx="1973580" cy="751205"/>
                    </a:xfrm>
                    <a:prstGeom prst="rect">
                      <a:avLst/>
                    </a:prstGeom>
                    <a:noFill/>
                  </pic:spPr>
                </pic:pic>
              </a:graphicData>
            </a:graphic>
          </wp:anchor>
        </w:drawing>
      </w:r>
    </w:p>
    <w:p w:rsidR="00AC12B4" w:rsidRDefault="00AC12B4">
      <w:pPr>
        <w:sectPr w:rsidR="00AC12B4">
          <w:pgSz w:w="12080" w:h="17179"/>
          <w:pgMar w:top="1440" w:right="1440" w:bottom="659" w:left="439" w:header="0" w:footer="0" w:gutter="0"/>
          <w:cols w:num="2" w:space="720" w:equalWidth="0">
            <w:col w:w="342" w:space="179"/>
            <w:col w:w="9677"/>
          </w:cols>
        </w:sectPr>
      </w:pPr>
    </w:p>
    <w:p w:rsidR="00AC12B4" w:rsidRDefault="00AC12B4">
      <w:pPr>
        <w:spacing w:line="212" w:lineRule="exact"/>
        <w:rPr>
          <w:sz w:val="20"/>
          <w:szCs w:val="20"/>
        </w:rPr>
      </w:pPr>
      <w:bookmarkStart w:id="140" w:name="page141"/>
      <w:bookmarkEnd w:id="140"/>
    </w:p>
    <w:p w:rsidR="00AC12B4" w:rsidRPr="00C27636" w:rsidRDefault="00C27636">
      <w:pPr>
        <w:spacing w:line="218" w:lineRule="auto"/>
        <w:ind w:left="560"/>
        <w:rPr>
          <w:sz w:val="20"/>
          <w:szCs w:val="20"/>
          <w:lang w:val="fr-BE"/>
        </w:rPr>
      </w:pPr>
      <w:r w:rsidRPr="00C27636">
        <w:rPr>
          <w:rFonts w:ascii="Calibri" w:eastAsia="Calibri" w:hAnsi="Calibri" w:cs="Calibri"/>
          <w:lang w:val="fr-BE"/>
        </w:rPr>
        <w:t>et les personnes détenues ne sont par exemple pas repris dans l’échantillon.</w:t>
      </w:r>
    </w:p>
    <w:p w:rsidR="00AC12B4" w:rsidRPr="00C27636" w:rsidRDefault="00AC12B4">
      <w:pPr>
        <w:spacing w:line="128" w:lineRule="exact"/>
        <w:rPr>
          <w:sz w:val="20"/>
          <w:szCs w:val="20"/>
          <w:lang w:val="fr-BE"/>
        </w:rPr>
      </w:pPr>
    </w:p>
    <w:p w:rsidR="00AC12B4" w:rsidRDefault="00C27636">
      <w:pPr>
        <w:numPr>
          <w:ilvl w:val="0"/>
          <w:numId w:val="258"/>
        </w:numPr>
        <w:tabs>
          <w:tab w:val="left" w:pos="1280"/>
        </w:tabs>
        <w:ind w:left="1280" w:hanging="353"/>
        <w:rPr>
          <w:rFonts w:ascii="Wingdings" w:eastAsia="Wingdings" w:hAnsi="Wingdings" w:cs="Wingdings"/>
          <w:color w:val="4BACC6"/>
        </w:rPr>
      </w:pPr>
      <w:r>
        <w:rPr>
          <w:rFonts w:ascii="Cambria" w:eastAsia="Cambria" w:hAnsi="Cambria" w:cs="Cambria"/>
          <w:i/>
          <w:iCs/>
          <w:color w:val="4BACC6"/>
        </w:rPr>
        <w:t>Recommandations</w:t>
      </w:r>
    </w:p>
    <w:p w:rsidR="00AC12B4" w:rsidRDefault="00AC12B4">
      <w:pPr>
        <w:spacing w:line="199" w:lineRule="exact"/>
        <w:rPr>
          <w:sz w:val="20"/>
          <w:szCs w:val="20"/>
        </w:rPr>
      </w:pPr>
    </w:p>
    <w:p w:rsidR="00AC12B4" w:rsidRPr="00C27636" w:rsidRDefault="00C27636">
      <w:pPr>
        <w:spacing w:line="225" w:lineRule="auto"/>
        <w:ind w:left="560"/>
        <w:jc w:val="both"/>
        <w:rPr>
          <w:sz w:val="20"/>
          <w:szCs w:val="20"/>
          <w:lang w:val="fr-BE"/>
        </w:rPr>
      </w:pPr>
      <w:r w:rsidRPr="00C27636">
        <w:rPr>
          <w:rFonts w:ascii="Calibri" w:eastAsia="Calibri" w:hAnsi="Calibri" w:cs="Calibri"/>
          <w:lang w:val="fr-BE"/>
        </w:rPr>
        <w:t>Une enquête spécifique doit être menée auprès des groupes non-atteints (cf section ‘Atteindre les plus vulnérables’).</w:t>
      </w:r>
    </w:p>
    <w:p w:rsidR="00AC12B4" w:rsidRPr="00C27636" w:rsidRDefault="00AC12B4">
      <w:pPr>
        <w:spacing w:line="208" w:lineRule="exact"/>
        <w:rPr>
          <w:sz w:val="20"/>
          <w:szCs w:val="20"/>
          <w:lang w:val="fr-BE"/>
        </w:rPr>
      </w:pPr>
    </w:p>
    <w:p w:rsidR="00AC12B4" w:rsidRDefault="00C27636">
      <w:pPr>
        <w:ind w:left="560"/>
        <w:rPr>
          <w:sz w:val="20"/>
          <w:szCs w:val="20"/>
        </w:rPr>
      </w:pPr>
      <w:r>
        <w:rPr>
          <w:rFonts w:ascii="Cambria" w:eastAsia="Cambria" w:hAnsi="Cambria" w:cs="Cambria"/>
          <w:b/>
          <w:bCs/>
          <w:i/>
          <w:iCs/>
          <w:color w:val="44ACE0"/>
          <w:sz w:val="26"/>
          <w:szCs w:val="26"/>
        </w:rPr>
        <w:t xml:space="preserve">Pour aller </w:t>
      </w:r>
      <w:r>
        <w:rPr>
          <w:rFonts w:ascii="Cambria" w:eastAsia="Cambria" w:hAnsi="Cambria" w:cs="Cambria"/>
          <w:b/>
          <w:bCs/>
          <w:i/>
          <w:iCs/>
          <w:color w:val="44ACE0"/>
          <w:sz w:val="26"/>
          <w:szCs w:val="26"/>
        </w:rPr>
        <w:t>plus loin</w:t>
      </w:r>
    </w:p>
    <w:p w:rsidR="00AC12B4" w:rsidRDefault="00AC12B4">
      <w:pPr>
        <w:spacing w:line="162" w:lineRule="exact"/>
        <w:rPr>
          <w:sz w:val="20"/>
          <w:szCs w:val="20"/>
        </w:rPr>
      </w:pPr>
    </w:p>
    <w:p w:rsidR="00AC12B4" w:rsidRDefault="00C27636">
      <w:pPr>
        <w:numPr>
          <w:ilvl w:val="0"/>
          <w:numId w:val="259"/>
        </w:numPr>
        <w:tabs>
          <w:tab w:val="left" w:pos="1280"/>
        </w:tabs>
        <w:ind w:left="1280" w:hanging="365"/>
        <w:rPr>
          <w:rFonts w:ascii="Symbol" w:eastAsia="Symbol" w:hAnsi="Symbol" w:cs="Symbol"/>
          <w:sz w:val="20"/>
          <w:szCs w:val="20"/>
        </w:rPr>
      </w:pPr>
      <w:r>
        <w:rPr>
          <w:rFonts w:ascii="Calibri" w:eastAsia="Calibri" w:hAnsi="Calibri" w:cs="Calibri"/>
          <w:b/>
          <w:bCs/>
          <w:i/>
          <w:iCs/>
          <w:color w:val="4BACC6"/>
          <w:sz w:val="20"/>
          <w:szCs w:val="20"/>
        </w:rPr>
        <w:t>Communauté  flamande</w:t>
      </w:r>
      <w:r>
        <w:rPr>
          <w:rFonts w:ascii="Calibri" w:eastAsia="Calibri" w:hAnsi="Calibri" w:cs="Calibri"/>
          <w:color w:val="000000"/>
          <w:sz w:val="20"/>
          <w:szCs w:val="20"/>
        </w:rPr>
        <w:t>:  statistiques</w:t>
      </w:r>
    </w:p>
    <w:p w:rsidR="00AC12B4" w:rsidRDefault="00AC12B4">
      <w:pPr>
        <w:spacing w:line="83" w:lineRule="exact"/>
        <w:rPr>
          <w:rFonts w:ascii="Symbol" w:eastAsia="Symbol" w:hAnsi="Symbol" w:cs="Symbol"/>
          <w:sz w:val="20"/>
          <w:szCs w:val="20"/>
        </w:rPr>
      </w:pPr>
    </w:p>
    <w:p w:rsidR="00AC12B4" w:rsidRPr="00C27636" w:rsidRDefault="00C27636">
      <w:pPr>
        <w:spacing w:line="254" w:lineRule="auto"/>
        <w:ind w:left="1280"/>
        <w:rPr>
          <w:rFonts w:ascii="Calibri" w:eastAsia="Calibri" w:hAnsi="Calibri" w:cs="Calibri"/>
          <w:color w:val="0000FF"/>
          <w:sz w:val="20"/>
          <w:szCs w:val="20"/>
          <w:u w:val="single"/>
          <w:lang w:val="nl-NL"/>
        </w:rPr>
      </w:pPr>
      <w:r w:rsidRPr="00C27636">
        <w:rPr>
          <w:rFonts w:ascii="Calibri" w:eastAsia="Calibri" w:hAnsi="Calibri" w:cs="Calibri"/>
          <w:sz w:val="20"/>
          <w:szCs w:val="20"/>
          <w:lang w:val="nl-NL"/>
        </w:rPr>
        <w:t>de l’administration flamande (rapport de 2009-2010 à 2012-2013</w:t>
      </w:r>
      <w:r w:rsidRPr="00C27636">
        <w:rPr>
          <w:rFonts w:ascii="Calibri" w:eastAsia="Calibri" w:hAnsi="Calibri" w:cs="Calibri"/>
          <w:sz w:val="25"/>
          <w:szCs w:val="25"/>
          <w:vertAlign w:val="superscript"/>
          <w:lang w:val="nl-NL"/>
        </w:rPr>
        <w:t>3</w:t>
      </w:r>
      <w:r w:rsidRPr="00C27636">
        <w:rPr>
          <w:rFonts w:ascii="Calibri" w:eastAsia="Calibri" w:hAnsi="Calibri" w:cs="Calibri"/>
          <w:sz w:val="20"/>
          <w:szCs w:val="20"/>
          <w:lang w:val="nl-NL"/>
        </w:rPr>
        <w:t xml:space="preserve">), </w:t>
      </w:r>
      <w:hyperlink r:id="rId238">
        <w:r w:rsidRPr="00C27636">
          <w:rPr>
            <w:rFonts w:ascii="Calibri" w:eastAsia="Calibri" w:hAnsi="Calibri" w:cs="Calibri"/>
            <w:color w:val="0000FF"/>
            <w:sz w:val="20"/>
            <w:szCs w:val="20"/>
            <w:u w:val="single"/>
            <w:lang w:val="nl-NL"/>
          </w:rPr>
          <w:t>http://www.onderwijs.vlaanderen.be/</w:t>
        </w:r>
      </w:hyperlink>
      <w:r w:rsidRPr="00C27636">
        <w:rPr>
          <w:rFonts w:ascii="Calibri" w:eastAsia="Calibri" w:hAnsi="Calibri" w:cs="Calibri"/>
          <w:color w:val="0000FF"/>
          <w:sz w:val="20"/>
          <w:szCs w:val="20"/>
          <w:u w:val="single"/>
          <w:lang w:val="nl-NL"/>
        </w:rPr>
        <w:t xml:space="preserve"> </w:t>
      </w:r>
      <w:hyperlink r:id="rId239">
        <w:r w:rsidRPr="00C27636">
          <w:rPr>
            <w:rFonts w:ascii="Calibri" w:eastAsia="Calibri" w:hAnsi="Calibri" w:cs="Calibri"/>
            <w:color w:val="0000FF"/>
            <w:sz w:val="20"/>
            <w:szCs w:val="20"/>
            <w:u w:val="single"/>
            <w:lang w:val="nl-NL"/>
          </w:rPr>
          <w:t>nl/onderwijsstatistieken/themas-</w:t>
        </w:r>
      </w:hyperlink>
      <w:hyperlink r:id="rId240">
        <w:r w:rsidRPr="00C27636">
          <w:rPr>
            <w:rFonts w:ascii="Calibri" w:eastAsia="Calibri" w:hAnsi="Calibri" w:cs="Calibri"/>
            <w:color w:val="0000FF"/>
            <w:sz w:val="20"/>
            <w:szCs w:val="20"/>
            <w:u w:val="single"/>
            <w:lang w:val="nl-NL"/>
          </w:rPr>
          <w:t>onderwijsstatistieken/vroegtijdig-</w:t>
        </w:r>
      </w:hyperlink>
      <w:hyperlink r:id="rId241">
        <w:r w:rsidRPr="00C27636">
          <w:rPr>
            <w:rFonts w:ascii="Calibri" w:eastAsia="Calibri" w:hAnsi="Calibri" w:cs="Calibri"/>
            <w:color w:val="0000FF"/>
            <w:sz w:val="20"/>
            <w:szCs w:val="20"/>
            <w:u w:val="single"/>
            <w:lang w:val="nl-NL"/>
          </w:rPr>
          <w:t>schoo</w:t>
        </w:r>
        <w:r w:rsidRPr="00C27636">
          <w:rPr>
            <w:rFonts w:ascii="Calibri" w:eastAsia="Calibri" w:hAnsi="Calibri" w:cs="Calibri"/>
            <w:color w:val="0000FF"/>
            <w:sz w:val="20"/>
            <w:szCs w:val="20"/>
            <w:u w:val="single"/>
            <w:lang w:val="nl-NL"/>
          </w:rPr>
          <w:t>lverlaten</w:t>
        </w:r>
      </w:hyperlink>
    </w:p>
    <w:p w:rsidR="00AC12B4" w:rsidRPr="00C27636" w:rsidRDefault="00AC12B4">
      <w:pPr>
        <w:spacing w:line="82" w:lineRule="exact"/>
        <w:rPr>
          <w:rFonts w:ascii="Calibri" w:eastAsia="Calibri" w:hAnsi="Calibri" w:cs="Calibri"/>
          <w:color w:val="0000FF"/>
          <w:sz w:val="20"/>
          <w:szCs w:val="20"/>
          <w:u w:val="single"/>
          <w:lang w:val="nl-NL"/>
        </w:rPr>
      </w:pPr>
    </w:p>
    <w:p w:rsidR="00AC12B4" w:rsidRPr="00C27636" w:rsidRDefault="00C27636">
      <w:pPr>
        <w:numPr>
          <w:ilvl w:val="1"/>
          <w:numId w:val="259"/>
        </w:numPr>
        <w:tabs>
          <w:tab w:val="left" w:pos="1640"/>
        </w:tabs>
        <w:spacing w:line="266" w:lineRule="auto"/>
        <w:ind w:left="1640" w:hanging="353"/>
        <w:jc w:val="both"/>
        <w:rPr>
          <w:rFonts w:ascii="Symbol" w:eastAsia="Symbol" w:hAnsi="Symbol" w:cs="Symbol"/>
          <w:sz w:val="20"/>
          <w:szCs w:val="20"/>
          <w:lang w:val="fr-BE"/>
        </w:rPr>
      </w:pPr>
      <w:r w:rsidRPr="00C27636">
        <w:rPr>
          <w:rFonts w:ascii="Calibri" w:eastAsia="Calibri" w:hAnsi="Calibri" w:cs="Calibri"/>
          <w:sz w:val="20"/>
          <w:szCs w:val="20"/>
          <w:u w:val="single"/>
          <w:lang w:val="fr-BE"/>
        </w:rPr>
        <w:t>Lien avec ISE</w:t>
      </w:r>
      <w:r w:rsidRPr="00C27636">
        <w:rPr>
          <w:rFonts w:ascii="Calibri" w:eastAsia="Calibri" w:hAnsi="Calibri" w:cs="Calibri"/>
          <w:sz w:val="20"/>
          <w:szCs w:val="20"/>
          <w:lang w:val="fr-BE"/>
        </w:rPr>
        <w:t xml:space="preserve"> : en 2012-2013, en Flandre, 1 jeune issu d’une famille avec statut socio-économique très faible sur 4 interrompt prématurément ses études, comparé à 1 sur 25 pour les jeunes issus de familles avec</w:t>
      </w:r>
    </w:p>
    <w:p w:rsidR="00AC12B4" w:rsidRPr="00C27636" w:rsidRDefault="00AC12B4">
      <w:pPr>
        <w:spacing w:line="57" w:lineRule="exact"/>
        <w:rPr>
          <w:rFonts w:ascii="Symbol" w:eastAsia="Symbol" w:hAnsi="Symbol" w:cs="Symbol"/>
          <w:sz w:val="20"/>
          <w:szCs w:val="20"/>
          <w:lang w:val="fr-BE"/>
        </w:rPr>
      </w:pPr>
    </w:p>
    <w:p w:rsidR="00AC12B4" w:rsidRDefault="00C27636">
      <w:pPr>
        <w:spacing w:line="235" w:lineRule="auto"/>
        <w:ind w:left="1640"/>
        <w:rPr>
          <w:rFonts w:ascii="Symbol" w:eastAsia="Symbol" w:hAnsi="Symbol" w:cs="Symbol"/>
          <w:sz w:val="20"/>
          <w:szCs w:val="20"/>
        </w:rPr>
      </w:pPr>
      <w:r>
        <w:rPr>
          <w:rFonts w:ascii="Calibri" w:eastAsia="Calibri" w:hAnsi="Calibri" w:cs="Calibri"/>
          <w:sz w:val="20"/>
          <w:szCs w:val="20"/>
        </w:rPr>
        <w:t xml:space="preserve">statut socio-économique </w:t>
      </w:r>
      <w:r>
        <w:rPr>
          <w:rFonts w:ascii="Calibri" w:eastAsia="Calibri" w:hAnsi="Calibri" w:cs="Calibri"/>
          <w:sz w:val="20"/>
          <w:szCs w:val="20"/>
        </w:rPr>
        <w:t>supérieur.</w:t>
      </w:r>
    </w:p>
    <w:p w:rsidR="00AC12B4" w:rsidRDefault="00AC12B4">
      <w:pPr>
        <w:spacing w:line="95" w:lineRule="exact"/>
        <w:rPr>
          <w:rFonts w:ascii="Symbol" w:eastAsia="Symbol" w:hAnsi="Symbol" w:cs="Symbol"/>
          <w:sz w:val="20"/>
          <w:szCs w:val="20"/>
        </w:rPr>
      </w:pPr>
    </w:p>
    <w:p w:rsidR="00AC12B4" w:rsidRPr="00C27636" w:rsidRDefault="00C27636">
      <w:pPr>
        <w:numPr>
          <w:ilvl w:val="1"/>
          <w:numId w:val="259"/>
        </w:numPr>
        <w:tabs>
          <w:tab w:val="left" w:pos="1640"/>
        </w:tabs>
        <w:spacing w:line="246" w:lineRule="auto"/>
        <w:ind w:left="1640" w:hanging="353"/>
        <w:jc w:val="both"/>
        <w:rPr>
          <w:rFonts w:ascii="Symbol" w:eastAsia="Symbol" w:hAnsi="Symbol" w:cs="Symbol"/>
          <w:sz w:val="20"/>
          <w:szCs w:val="20"/>
          <w:lang w:val="fr-BE"/>
        </w:rPr>
      </w:pPr>
      <w:r w:rsidRPr="00C27636">
        <w:rPr>
          <w:rFonts w:ascii="Calibri" w:eastAsia="Calibri" w:hAnsi="Calibri" w:cs="Calibri"/>
          <w:sz w:val="20"/>
          <w:szCs w:val="20"/>
          <w:u w:val="single"/>
          <w:lang w:val="fr-BE"/>
        </w:rPr>
        <w:t>La nationalité</w:t>
      </w:r>
      <w:r w:rsidRPr="00C27636">
        <w:rPr>
          <w:rFonts w:ascii="Calibri" w:eastAsia="Calibri" w:hAnsi="Calibri" w:cs="Calibri"/>
          <w:sz w:val="20"/>
          <w:szCs w:val="20"/>
          <w:lang w:val="fr-BE"/>
        </w:rPr>
        <w:t xml:space="preserve"> : Les jeunes de nationalité non-européenne sont beaucoup plus touchés (en 2012-</w:t>
      </w:r>
    </w:p>
    <w:p w:rsidR="00AC12B4" w:rsidRPr="00C27636" w:rsidRDefault="00AC12B4">
      <w:pPr>
        <w:spacing w:line="78" w:lineRule="exact"/>
        <w:rPr>
          <w:rFonts w:ascii="Symbol" w:eastAsia="Symbol" w:hAnsi="Symbol" w:cs="Symbol"/>
          <w:sz w:val="20"/>
          <w:szCs w:val="20"/>
          <w:lang w:val="fr-BE"/>
        </w:rPr>
      </w:pPr>
    </w:p>
    <w:p w:rsidR="00AC12B4" w:rsidRPr="00C27636" w:rsidRDefault="00C27636">
      <w:pPr>
        <w:spacing w:line="266" w:lineRule="auto"/>
        <w:ind w:left="1640"/>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2013, 46% d’ interruption prématurée) que les jeunes non-belges européens (27%) qui restent dans une position moins favorable que les jeunes belges </w:t>
      </w:r>
      <w:r w:rsidRPr="00C27636">
        <w:rPr>
          <w:rFonts w:ascii="Calibri" w:eastAsia="Calibri" w:hAnsi="Calibri" w:cs="Calibri"/>
          <w:sz w:val="20"/>
          <w:szCs w:val="20"/>
          <w:lang w:val="fr-BE"/>
        </w:rPr>
        <w:t>(11,8%).</w:t>
      </w:r>
    </w:p>
    <w:p w:rsidR="00AC12B4" w:rsidRPr="00C27636" w:rsidRDefault="00AC12B4">
      <w:pPr>
        <w:spacing w:line="73" w:lineRule="exact"/>
        <w:rPr>
          <w:rFonts w:ascii="Symbol" w:eastAsia="Symbol" w:hAnsi="Symbol" w:cs="Symbol"/>
          <w:sz w:val="20"/>
          <w:szCs w:val="20"/>
          <w:lang w:val="fr-BE"/>
        </w:rPr>
      </w:pPr>
    </w:p>
    <w:p w:rsidR="00AC12B4" w:rsidRPr="00C27636" w:rsidRDefault="00C27636">
      <w:pPr>
        <w:numPr>
          <w:ilvl w:val="1"/>
          <w:numId w:val="259"/>
        </w:numPr>
        <w:tabs>
          <w:tab w:val="left" w:pos="1640"/>
        </w:tabs>
        <w:spacing w:line="256" w:lineRule="auto"/>
        <w:ind w:left="1640" w:hanging="353"/>
        <w:jc w:val="both"/>
        <w:rPr>
          <w:rFonts w:ascii="Symbol" w:eastAsia="Symbol" w:hAnsi="Symbol" w:cs="Symbol"/>
          <w:sz w:val="20"/>
          <w:szCs w:val="20"/>
          <w:lang w:val="fr-BE"/>
        </w:rPr>
      </w:pPr>
      <w:r w:rsidRPr="00C27636">
        <w:rPr>
          <w:rFonts w:ascii="Calibri" w:eastAsia="Calibri" w:hAnsi="Calibri" w:cs="Calibri"/>
          <w:sz w:val="20"/>
          <w:szCs w:val="20"/>
          <w:u w:val="single"/>
          <w:lang w:val="fr-BE"/>
        </w:rPr>
        <w:t>La langue</w:t>
      </w:r>
      <w:r w:rsidRPr="00C27636">
        <w:rPr>
          <w:rFonts w:ascii="Calibri" w:eastAsia="Calibri" w:hAnsi="Calibri" w:cs="Calibri"/>
          <w:sz w:val="20"/>
          <w:szCs w:val="20"/>
          <w:lang w:val="fr-BE"/>
        </w:rPr>
        <w:t xml:space="preserve"> : Le fait qu’au moins un des parents ne parle pas néerlandais avec le jeune, influence également énormément</w:t>
      </w:r>
    </w:p>
    <w:p w:rsidR="00AC12B4" w:rsidRPr="00C27636" w:rsidRDefault="00AC12B4">
      <w:pPr>
        <w:spacing w:line="71" w:lineRule="exact"/>
        <w:rPr>
          <w:rFonts w:ascii="Calibri" w:eastAsia="Calibri" w:hAnsi="Calibri" w:cs="Calibri"/>
          <w:color w:val="0000FF"/>
          <w:sz w:val="20"/>
          <w:szCs w:val="20"/>
          <w:u w:val="single"/>
          <w:lang w:val="fr-BE"/>
        </w:rPr>
      </w:pPr>
    </w:p>
    <w:p w:rsidR="00AC12B4" w:rsidRPr="00C27636" w:rsidRDefault="00C27636">
      <w:pPr>
        <w:spacing w:line="235" w:lineRule="auto"/>
        <w:ind w:left="1640"/>
        <w:rPr>
          <w:sz w:val="20"/>
          <w:szCs w:val="20"/>
          <w:lang w:val="fr-BE"/>
        </w:rPr>
      </w:pPr>
      <w:r w:rsidRPr="00C27636">
        <w:rPr>
          <w:rFonts w:ascii="Calibri" w:eastAsia="Calibri" w:hAnsi="Calibri" w:cs="Calibri"/>
          <w:sz w:val="20"/>
          <w:szCs w:val="20"/>
          <w:lang w:val="fr-BE"/>
        </w:rPr>
        <w:t>le chiffre: en 2012-2013, 27,9% (aucun parent) et 20,2% (1</w:t>
      </w:r>
    </w:p>
    <w:p w:rsidR="00AC12B4" w:rsidRPr="00C27636" w:rsidRDefault="00C27636">
      <w:pPr>
        <w:spacing w:line="20" w:lineRule="exact"/>
        <w:rPr>
          <w:rFonts w:ascii="Calibri" w:eastAsia="Calibri" w:hAnsi="Calibri" w:cs="Calibri"/>
          <w:color w:val="0000FF"/>
          <w:sz w:val="20"/>
          <w:szCs w:val="20"/>
          <w:u w:val="single"/>
          <w:lang w:val="fr-BE"/>
        </w:rPr>
      </w:pPr>
      <w:r>
        <w:rPr>
          <w:rFonts w:ascii="Calibri" w:eastAsia="Calibri" w:hAnsi="Calibri" w:cs="Calibri"/>
          <w:noProof/>
          <w:color w:val="0000FF"/>
          <w:sz w:val="20"/>
          <w:szCs w:val="20"/>
          <w:u w:val="single"/>
        </w:rPr>
        <mc:AlternateContent>
          <mc:Choice Requires="wps">
            <w:drawing>
              <wp:anchor distT="0" distB="0" distL="114300" distR="114300" simplePos="0" relativeHeight="251738624" behindDoc="1" locked="0" layoutInCell="0" allowOverlap="1">
                <wp:simplePos x="0" y="0"/>
                <wp:positionH relativeFrom="column">
                  <wp:posOffset>359410</wp:posOffset>
                </wp:positionH>
                <wp:positionV relativeFrom="paragraph">
                  <wp:posOffset>565150</wp:posOffset>
                </wp:positionV>
                <wp:extent cx="1829435" cy="0"/>
                <wp:effectExtent l="0" t="0" r="0" b="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44.5pt" to="172.35pt,44.5pt" o:allowincell="f" strokecolor="#000000" strokeweight="0.72pt"/>
            </w:pict>
          </mc:Fallback>
        </mc:AlternateContent>
      </w: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21" w:lineRule="exact"/>
        <w:rPr>
          <w:rFonts w:ascii="Calibri" w:eastAsia="Calibri" w:hAnsi="Calibri" w:cs="Calibri"/>
          <w:color w:val="0000FF"/>
          <w:sz w:val="20"/>
          <w:szCs w:val="20"/>
          <w:u w:val="single"/>
          <w:lang w:val="fr-BE"/>
        </w:rPr>
      </w:pPr>
    </w:p>
    <w:p w:rsidR="00AC12B4" w:rsidRPr="00C27636" w:rsidRDefault="00C27636">
      <w:pPr>
        <w:numPr>
          <w:ilvl w:val="0"/>
          <w:numId w:val="260"/>
        </w:numPr>
        <w:tabs>
          <w:tab w:val="left" w:pos="740"/>
        </w:tabs>
        <w:ind w:left="740" w:hanging="173"/>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Pour un guide de lecture sur la définition</w:t>
      </w:r>
    </w:p>
    <w:p w:rsidR="00AC12B4" w:rsidRPr="00C27636" w:rsidRDefault="00AC12B4">
      <w:pPr>
        <w:spacing w:line="47" w:lineRule="exact"/>
        <w:rPr>
          <w:rFonts w:ascii="Calibri" w:eastAsia="Calibri" w:hAnsi="Calibri" w:cs="Calibri"/>
          <w:sz w:val="26"/>
          <w:szCs w:val="26"/>
          <w:vertAlign w:val="superscript"/>
          <w:lang w:val="fr-BE"/>
        </w:rPr>
      </w:pPr>
    </w:p>
    <w:p w:rsidR="00AC12B4" w:rsidRPr="00C27636" w:rsidRDefault="00C27636">
      <w:pPr>
        <w:spacing w:line="230" w:lineRule="auto"/>
        <w:ind w:left="560"/>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appliquée </w:t>
      </w:r>
      <w:r w:rsidRPr="00C27636">
        <w:rPr>
          <w:rFonts w:ascii="Calibri" w:eastAsia="Calibri" w:hAnsi="Calibri" w:cs="Calibri"/>
          <w:sz w:val="20"/>
          <w:szCs w:val="20"/>
          <w:lang w:val="fr-BE"/>
        </w:rPr>
        <w:t>d’interruption prématurée, l’opérationnalisation de l’indicateur et l’application de l’OKI (indicateur des chances et des risques d’exclusion en matière d’enseignement): voir le rapport, p. 5-9.</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142" w:lineRule="exact"/>
        <w:rPr>
          <w:rFonts w:ascii="Calibri" w:eastAsia="Calibri" w:hAnsi="Calibri" w:cs="Calibri"/>
          <w:color w:val="0000FF"/>
          <w:sz w:val="20"/>
          <w:szCs w:val="20"/>
          <w:u w:val="single"/>
          <w:lang w:val="fr-BE"/>
        </w:rPr>
      </w:pPr>
    </w:p>
    <w:p w:rsidR="00AC12B4" w:rsidRPr="00C27636" w:rsidRDefault="00C27636">
      <w:pPr>
        <w:spacing w:line="230" w:lineRule="auto"/>
        <w:ind w:left="1600" w:right="52"/>
        <w:rPr>
          <w:sz w:val="20"/>
          <w:szCs w:val="20"/>
          <w:lang w:val="fr-BE"/>
        </w:rPr>
      </w:pPr>
      <w:r w:rsidRPr="00C27636">
        <w:rPr>
          <w:rFonts w:ascii="Calibri" w:eastAsia="Calibri" w:hAnsi="Calibri" w:cs="Calibri"/>
          <w:sz w:val="20"/>
          <w:szCs w:val="20"/>
          <w:lang w:val="fr-BE"/>
        </w:rPr>
        <w:t>parent)</w:t>
      </w: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 xml:space="preserve"> versus 6,5% (les deux parents).</w:t>
      </w:r>
    </w:p>
    <w:p w:rsidR="00AC12B4" w:rsidRPr="00C27636" w:rsidRDefault="00AC12B4">
      <w:pPr>
        <w:spacing w:line="84" w:lineRule="exact"/>
        <w:rPr>
          <w:rFonts w:ascii="Calibri" w:eastAsia="Calibri" w:hAnsi="Calibri" w:cs="Calibri"/>
          <w:color w:val="0000FF"/>
          <w:sz w:val="20"/>
          <w:szCs w:val="20"/>
          <w:u w:val="single"/>
          <w:lang w:val="fr-BE"/>
        </w:rPr>
      </w:pPr>
    </w:p>
    <w:p w:rsidR="00AC12B4" w:rsidRPr="00C27636" w:rsidRDefault="00C27636">
      <w:pPr>
        <w:spacing w:line="285" w:lineRule="auto"/>
        <w:ind w:left="1240" w:right="52"/>
        <w:jc w:val="both"/>
        <w:rPr>
          <w:sz w:val="20"/>
          <w:szCs w:val="20"/>
          <w:lang w:val="fr-BE"/>
        </w:rPr>
      </w:pPr>
      <w:r w:rsidRPr="00C27636">
        <w:rPr>
          <w:rFonts w:ascii="Calibri" w:eastAsia="Calibri" w:hAnsi="Calibri" w:cs="Calibri"/>
          <w:sz w:val="19"/>
          <w:szCs w:val="19"/>
          <w:u w:val="single"/>
          <w:lang w:val="fr-BE"/>
        </w:rPr>
        <w:t>Le niveau d’éduc</w:t>
      </w:r>
      <w:r w:rsidRPr="00C27636">
        <w:rPr>
          <w:rFonts w:ascii="Calibri" w:eastAsia="Calibri" w:hAnsi="Calibri" w:cs="Calibri"/>
          <w:sz w:val="19"/>
          <w:szCs w:val="19"/>
          <w:u w:val="single"/>
          <w:lang w:val="fr-BE"/>
        </w:rPr>
        <w:t>ation de la mère</w:t>
      </w:r>
      <w:r w:rsidRPr="00C27636">
        <w:rPr>
          <w:rFonts w:ascii="Calibri" w:eastAsia="Calibri" w:hAnsi="Calibri" w:cs="Calibri"/>
          <w:sz w:val="19"/>
          <w:szCs w:val="19"/>
          <w:lang w:val="fr-BE"/>
        </w:rPr>
        <w:t xml:space="preserve"> : en 2012-2013, 34,1% des jeunes dont la mère n’a pas de certificat de l’enseignement primaire sont touchés. Ce pourcentage tombe à 15,8% des élèves dont la mère a au maximum obtenu un diplôme d’enseignement de secondaire inférieur et seul</w:t>
      </w:r>
      <w:r w:rsidRPr="00C27636">
        <w:rPr>
          <w:rFonts w:ascii="Calibri" w:eastAsia="Calibri" w:hAnsi="Calibri" w:cs="Calibri"/>
          <w:sz w:val="19"/>
          <w:szCs w:val="19"/>
          <w:lang w:val="fr-BE"/>
        </w:rPr>
        <w:t>ement 3,6% des élèves dont la mère a obtenu un diplôme d’enseignement supérieur.</w:t>
      </w:r>
    </w:p>
    <w:p w:rsidR="00AC12B4" w:rsidRPr="00C27636" w:rsidRDefault="00AC12B4">
      <w:pPr>
        <w:spacing w:line="5" w:lineRule="exact"/>
        <w:rPr>
          <w:rFonts w:ascii="Calibri" w:eastAsia="Calibri" w:hAnsi="Calibri" w:cs="Calibri"/>
          <w:color w:val="0000FF"/>
          <w:sz w:val="20"/>
          <w:szCs w:val="20"/>
          <w:u w:val="single"/>
          <w:lang w:val="fr-BE"/>
        </w:rPr>
      </w:pPr>
    </w:p>
    <w:p w:rsidR="00AC12B4" w:rsidRPr="00C27636" w:rsidRDefault="00C27636">
      <w:pPr>
        <w:numPr>
          <w:ilvl w:val="1"/>
          <w:numId w:val="261"/>
        </w:numPr>
        <w:tabs>
          <w:tab w:val="left" w:pos="1401"/>
        </w:tabs>
        <w:spacing w:line="285" w:lineRule="auto"/>
        <w:ind w:left="1240" w:right="52" w:hanging="8"/>
        <w:jc w:val="both"/>
        <w:rPr>
          <w:rFonts w:ascii="Calibri" w:eastAsia="Calibri" w:hAnsi="Calibri" w:cs="Calibri"/>
          <w:sz w:val="19"/>
          <w:szCs w:val="19"/>
          <w:lang w:val="fr-BE"/>
        </w:rPr>
      </w:pPr>
      <w:r w:rsidRPr="00C27636">
        <w:rPr>
          <w:rFonts w:ascii="Calibri" w:eastAsia="Calibri" w:hAnsi="Calibri" w:cs="Calibri"/>
          <w:b/>
          <w:bCs/>
          <w:i/>
          <w:iCs/>
          <w:color w:val="4BACC6"/>
          <w:sz w:val="19"/>
          <w:szCs w:val="19"/>
          <w:lang w:val="fr-BE"/>
        </w:rPr>
        <w:t>Une enquête de la HIVA</w:t>
      </w:r>
      <w:r w:rsidRPr="00C27636">
        <w:rPr>
          <w:rFonts w:ascii="Calibri" w:eastAsia="Calibri" w:hAnsi="Calibri" w:cs="Calibri"/>
          <w:color w:val="000000"/>
          <w:sz w:val="24"/>
          <w:szCs w:val="24"/>
          <w:vertAlign w:val="superscript"/>
          <w:lang w:val="fr-BE"/>
        </w:rPr>
        <w:t>5</w:t>
      </w:r>
      <w:r w:rsidRPr="00C27636">
        <w:rPr>
          <w:rFonts w:ascii="Calibri" w:eastAsia="Calibri" w:hAnsi="Calibri" w:cs="Calibri"/>
          <w:b/>
          <w:bCs/>
          <w:i/>
          <w:iCs/>
          <w:color w:val="4BACC6"/>
          <w:sz w:val="19"/>
          <w:szCs w:val="19"/>
          <w:lang w:val="fr-BE"/>
        </w:rPr>
        <w:t xml:space="preserve"> </w:t>
      </w:r>
      <w:r w:rsidRPr="00C27636">
        <w:rPr>
          <w:rFonts w:ascii="Calibri" w:eastAsia="Calibri" w:hAnsi="Calibri" w:cs="Calibri"/>
          <w:color w:val="000000"/>
          <w:sz w:val="19"/>
          <w:szCs w:val="19"/>
          <w:lang w:val="fr-BE"/>
        </w:rPr>
        <w:t>menée en</w:t>
      </w:r>
      <w:r w:rsidRPr="00C27636">
        <w:rPr>
          <w:rFonts w:ascii="Calibri" w:eastAsia="Calibri" w:hAnsi="Calibri" w:cs="Calibri"/>
          <w:b/>
          <w:bCs/>
          <w:i/>
          <w:iCs/>
          <w:color w:val="4BACC6"/>
          <w:sz w:val="19"/>
          <w:szCs w:val="19"/>
          <w:lang w:val="fr-BE"/>
        </w:rPr>
        <w:t xml:space="preserve"> </w:t>
      </w:r>
      <w:r w:rsidRPr="00C27636">
        <w:rPr>
          <w:rFonts w:ascii="Calibri" w:eastAsia="Calibri" w:hAnsi="Calibri" w:cs="Calibri"/>
          <w:color w:val="000000"/>
          <w:sz w:val="19"/>
          <w:szCs w:val="19"/>
          <w:lang w:val="fr-BE"/>
        </w:rPr>
        <w:t xml:space="preserve">Flandre en 2009 révélait que 44% des gens de voyage majeurs (20-59 ans, n=230) questionnés n’avaient pas de diplôme, 33% uniquement un </w:t>
      </w:r>
      <w:r w:rsidRPr="00C27636">
        <w:rPr>
          <w:rFonts w:ascii="Calibri" w:eastAsia="Calibri" w:hAnsi="Calibri" w:cs="Calibri"/>
          <w:color w:val="000000"/>
          <w:sz w:val="19"/>
          <w:szCs w:val="19"/>
          <w:lang w:val="fr-BE"/>
        </w:rPr>
        <w:t xml:space="preserve">diplôme de l’enseignement primaire, 10% un diplôme de l’enseignement secondaire inférieur, 12% un diplôme de l’enseignement secondaire supérieur et 1% uniquement un diplôme de l’enseignement supérieur. Les ROM avaient un score particulièrement faible avec </w:t>
      </w:r>
      <w:r w:rsidRPr="00C27636">
        <w:rPr>
          <w:rFonts w:ascii="Calibri" w:eastAsia="Calibri" w:hAnsi="Calibri" w:cs="Calibri"/>
          <w:color w:val="000000"/>
          <w:sz w:val="19"/>
          <w:szCs w:val="19"/>
          <w:lang w:val="fr-BE"/>
        </w:rPr>
        <w:t>89% de non-diplômés et</w:t>
      </w:r>
    </w:p>
    <w:p w:rsidR="00AC12B4" w:rsidRPr="00C27636" w:rsidRDefault="00AC12B4">
      <w:pPr>
        <w:spacing w:line="44" w:lineRule="exact"/>
        <w:rPr>
          <w:rFonts w:ascii="Calibri" w:eastAsia="Calibri" w:hAnsi="Calibri" w:cs="Calibri"/>
          <w:sz w:val="19"/>
          <w:szCs w:val="19"/>
          <w:lang w:val="fr-BE"/>
        </w:rPr>
      </w:pPr>
    </w:p>
    <w:p w:rsidR="00AC12B4" w:rsidRPr="00C27636" w:rsidRDefault="00C27636">
      <w:pPr>
        <w:spacing w:line="221" w:lineRule="auto"/>
        <w:ind w:left="1240" w:right="52"/>
        <w:rPr>
          <w:rFonts w:ascii="Calibri" w:eastAsia="Calibri" w:hAnsi="Calibri" w:cs="Calibri"/>
          <w:sz w:val="19"/>
          <w:szCs w:val="19"/>
          <w:lang w:val="fr-BE"/>
        </w:rPr>
      </w:pPr>
      <w:r w:rsidRPr="00C27636">
        <w:rPr>
          <w:rFonts w:ascii="Calibri" w:eastAsia="Calibri" w:hAnsi="Calibri" w:cs="Calibri"/>
          <w:sz w:val="20"/>
          <w:szCs w:val="20"/>
          <w:lang w:val="fr-BE"/>
        </w:rPr>
        <w:t>11% n’ayant obtenu qu’un diplôme de l’enseignement primaire</w:t>
      </w:r>
      <w:r w:rsidRPr="00C27636">
        <w:rPr>
          <w:rFonts w:ascii="Calibri" w:eastAsia="Calibri" w:hAnsi="Calibri" w:cs="Calibri"/>
          <w:sz w:val="25"/>
          <w:szCs w:val="25"/>
          <w:vertAlign w:val="superscript"/>
          <w:lang w:val="fr-BE"/>
        </w:rPr>
        <w:t>6</w:t>
      </w:r>
      <w:r w:rsidRPr="00C27636">
        <w:rPr>
          <w:rFonts w:ascii="Calibri" w:eastAsia="Calibri" w:hAnsi="Calibri" w:cs="Calibri"/>
          <w:sz w:val="20"/>
          <w:szCs w:val="20"/>
          <w:lang w:val="fr-BE"/>
        </w:rPr>
        <w:t>.</w:t>
      </w:r>
    </w:p>
    <w:p w:rsidR="00AC12B4" w:rsidRPr="00C27636" w:rsidRDefault="00AC12B4">
      <w:pPr>
        <w:spacing w:line="68" w:lineRule="exact"/>
        <w:rPr>
          <w:rFonts w:ascii="Calibri" w:eastAsia="Calibri" w:hAnsi="Calibri" w:cs="Calibri"/>
          <w:sz w:val="19"/>
          <w:szCs w:val="19"/>
          <w:lang w:val="fr-BE"/>
        </w:rPr>
      </w:pPr>
    </w:p>
    <w:p w:rsidR="00AC12B4" w:rsidRPr="00C27636" w:rsidRDefault="00C27636">
      <w:pPr>
        <w:numPr>
          <w:ilvl w:val="0"/>
          <w:numId w:val="261"/>
        </w:numPr>
        <w:tabs>
          <w:tab w:val="left" w:pos="1240"/>
        </w:tabs>
        <w:spacing w:line="232" w:lineRule="auto"/>
        <w:ind w:left="1240" w:right="52" w:hanging="368"/>
        <w:jc w:val="both"/>
        <w:rPr>
          <w:rFonts w:ascii="Symbol" w:eastAsia="Symbol" w:hAnsi="Symbol" w:cs="Symbol"/>
          <w:sz w:val="19"/>
          <w:szCs w:val="19"/>
          <w:lang w:val="fr-BE"/>
        </w:rPr>
      </w:pPr>
      <w:r w:rsidRPr="00C27636">
        <w:rPr>
          <w:rFonts w:ascii="Calibri" w:eastAsia="Calibri" w:hAnsi="Calibri" w:cs="Calibri"/>
          <w:sz w:val="19"/>
          <w:szCs w:val="19"/>
          <w:lang w:val="fr-BE"/>
        </w:rPr>
        <w:t>Voir aussi Lamote, C., Van Landeghem, G., Blommaert, M., Nicaise, I., De Fraine, B. en Van Damme, J.,</w:t>
      </w:r>
    </w:p>
    <w:p w:rsidR="00AC12B4" w:rsidRPr="00C27636" w:rsidRDefault="00AC12B4">
      <w:pPr>
        <w:spacing w:line="49" w:lineRule="exact"/>
        <w:rPr>
          <w:rFonts w:ascii="Symbol" w:eastAsia="Symbol" w:hAnsi="Symbol" w:cs="Symbol"/>
          <w:sz w:val="19"/>
          <w:szCs w:val="19"/>
          <w:lang w:val="fr-BE"/>
        </w:rPr>
      </w:pPr>
    </w:p>
    <w:p w:rsidR="00AC12B4" w:rsidRPr="00C27636" w:rsidRDefault="00C27636">
      <w:pPr>
        <w:spacing w:line="224" w:lineRule="auto"/>
        <w:ind w:left="1240" w:right="52"/>
        <w:jc w:val="both"/>
        <w:rPr>
          <w:rFonts w:ascii="Symbol" w:eastAsia="Symbol" w:hAnsi="Symbol" w:cs="Symbol"/>
          <w:sz w:val="19"/>
          <w:szCs w:val="19"/>
          <w:lang w:val="nl-NL"/>
        </w:rPr>
      </w:pPr>
      <w:r w:rsidRPr="00C27636">
        <w:rPr>
          <w:rFonts w:ascii="Calibri" w:eastAsia="Calibri" w:hAnsi="Calibri" w:cs="Calibri"/>
          <w:sz w:val="20"/>
          <w:szCs w:val="20"/>
          <w:lang w:val="nl-NL"/>
        </w:rPr>
        <w:t xml:space="preserve">Voortijdig schoolverlaten in Vlaanderen: een stand van zaken en </w:t>
      </w:r>
      <w:r w:rsidRPr="00C27636">
        <w:rPr>
          <w:rFonts w:ascii="Calibri" w:eastAsia="Calibri" w:hAnsi="Calibri" w:cs="Calibri"/>
          <w:sz w:val="20"/>
          <w:szCs w:val="20"/>
          <w:lang w:val="nl-NL"/>
        </w:rPr>
        <w:t>een voorstel tot aanpak”, in M.</w:t>
      </w:r>
    </w:p>
    <w:p w:rsidR="00AC12B4" w:rsidRPr="00C27636" w:rsidRDefault="00AC12B4">
      <w:pPr>
        <w:spacing w:line="1" w:lineRule="exact"/>
        <w:rPr>
          <w:rFonts w:ascii="Symbol" w:eastAsia="Symbol" w:hAnsi="Symbol" w:cs="Symbol"/>
          <w:sz w:val="19"/>
          <w:szCs w:val="19"/>
          <w:lang w:val="nl-NL"/>
        </w:rPr>
      </w:pPr>
    </w:p>
    <w:p w:rsidR="00AC12B4" w:rsidRPr="00C27636" w:rsidRDefault="00C27636">
      <w:pPr>
        <w:ind w:left="1240"/>
        <w:rPr>
          <w:rFonts w:ascii="Symbol" w:eastAsia="Symbol" w:hAnsi="Symbol" w:cs="Symbol"/>
          <w:sz w:val="19"/>
          <w:szCs w:val="19"/>
          <w:lang w:val="nl-NL"/>
        </w:rPr>
      </w:pPr>
      <w:r w:rsidRPr="00C27636">
        <w:rPr>
          <w:rFonts w:ascii="Calibri" w:eastAsia="Calibri" w:hAnsi="Calibri" w:cs="Calibri"/>
          <w:sz w:val="20"/>
          <w:szCs w:val="20"/>
          <w:lang w:val="nl-NL"/>
        </w:rPr>
        <w:t>Callens, L. Vanderleyden, en J. Noppe</w:t>
      </w:r>
    </w:p>
    <w:p w:rsidR="00AC12B4" w:rsidRPr="00C27636" w:rsidRDefault="00AC12B4">
      <w:pPr>
        <w:spacing w:line="1" w:lineRule="exact"/>
        <w:rPr>
          <w:rFonts w:ascii="Calibri" w:eastAsia="Calibri" w:hAnsi="Calibri" w:cs="Calibri"/>
          <w:color w:val="0000FF"/>
          <w:sz w:val="20"/>
          <w:szCs w:val="20"/>
          <w:u w:val="single"/>
          <w:lang w:val="nl-NL"/>
        </w:rPr>
      </w:pPr>
    </w:p>
    <w:p w:rsidR="00AC12B4" w:rsidRDefault="00C27636">
      <w:pPr>
        <w:tabs>
          <w:tab w:val="left" w:pos="2040"/>
          <w:tab w:val="left" w:pos="2540"/>
          <w:tab w:val="left" w:pos="3360"/>
          <w:tab w:val="left" w:pos="4080"/>
        </w:tabs>
        <w:ind w:left="1240"/>
        <w:rPr>
          <w:sz w:val="20"/>
          <w:szCs w:val="20"/>
        </w:rPr>
      </w:pPr>
      <w:r>
        <w:rPr>
          <w:rFonts w:ascii="Calibri" w:eastAsia="Calibri" w:hAnsi="Calibri" w:cs="Calibri"/>
          <w:sz w:val="20"/>
          <w:szCs w:val="20"/>
        </w:rPr>
        <w:t>(Red.),</w:t>
      </w:r>
      <w:r>
        <w:rPr>
          <w:sz w:val="20"/>
          <w:szCs w:val="20"/>
        </w:rPr>
        <w:tab/>
      </w:r>
      <w:r>
        <w:rPr>
          <w:rFonts w:ascii="Calibri" w:eastAsia="Calibri" w:hAnsi="Calibri" w:cs="Calibri"/>
          <w:i/>
          <w:iCs/>
          <w:sz w:val="20"/>
          <w:szCs w:val="20"/>
        </w:rPr>
        <w:t>De</w:t>
      </w:r>
      <w:r>
        <w:rPr>
          <w:rFonts w:ascii="Calibri" w:eastAsia="Calibri" w:hAnsi="Calibri" w:cs="Calibri"/>
          <w:i/>
          <w:iCs/>
          <w:sz w:val="20"/>
          <w:szCs w:val="20"/>
        </w:rPr>
        <w:tab/>
        <w:t>sociale</w:t>
      </w:r>
      <w:r>
        <w:rPr>
          <w:rFonts w:ascii="Calibri" w:eastAsia="Calibri" w:hAnsi="Calibri" w:cs="Calibri"/>
          <w:i/>
          <w:iCs/>
          <w:sz w:val="20"/>
          <w:szCs w:val="20"/>
        </w:rPr>
        <w:tab/>
        <w:t>staat</w:t>
      </w:r>
      <w:r>
        <w:rPr>
          <w:sz w:val="20"/>
          <w:szCs w:val="20"/>
        </w:rPr>
        <w:tab/>
      </w:r>
      <w:r>
        <w:rPr>
          <w:rFonts w:ascii="Calibri" w:eastAsia="Calibri" w:hAnsi="Calibri" w:cs="Calibri"/>
          <w:i/>
          <w:iCs/>
          <w:sz w:val="18"/>
          <w:szCs w:val="18"/>
        </w:rPr>
        <w:t>van</w:t>
      </w:r>
    </w:p>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noProof/>
          <w:color w:val="0000FF"/>
          <w:sz w:val="20"/>
          <w:szCs w:val="20"/>
          <w:u w:val="single"/>
        </w:rPr>
        <mc:AlternateContent>
          <mc:Choice Requires="wps">
            <w:drawing>
              <wp:anchor distT="0" distB="0" distL="114300" distR="114300" simplePos="0" relativeHeight="251739648" behindDoc="1" locked="0" layoutInCell="0" allowOverlap="1">
                <wp:simplePos x="0" y="0"/>
                <wp:positionH relativeFrom="column">
                  <wp:posOffset>324485</wp:posOffset>
                </wp:positionH>
                <wp:positionV relativeFrom="paragraph">
                  <wp:posOffset>168910</wp:posOffset>
                </wp:positionV>
                <wp:extent cx="1829435" cy="0"/>
                <wp:effectExtent l="0" t="0" r="0" b="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5pt,13.3pt" to="169.6pt,13.3pt" o:allowincell="f" strokecolor="#000000" strokeweight="0.7199pt"/>
            </w:pict>
          </mc:Fallback>
        </mc:AlternateContent>
      </w: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315" w:lineRule="exact"/>
        <w:rPr>
          <w:rFonts w:ascii="Calibri" w:eastAsia="Calibri" w:hAnsi="Calibri" w:cs="Calibri"/>
          <w:color w:val="0000FF"/>
          <w:sz w:val="20"/>
          <w:szCs w:val="20"/>
          <w:u w:val="single"/>
        </w:rPr>
      </w:pPr>
    </w:p>
    <w:p w:rsidR="00AC12B4" w:rsidRPr="00C27636" w:rsidRDefault="00C27636">
      <w:pPr>
        <w:numPr>
          <w:ilvl w:val="0"/>
          <w:numId w:val="262"/>
        </w:numPr>
        <w:tabs>
          <w:tab w:val="left" w:pos="630"/>
        </w:tabs>
        <w:spacing w:line="213" w:lineRule="auto"/>
        <w:ind w:left="520" w:right="52" w:hanging="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Ces % risquent d’être encore plus élevés: pour les jeunes dont l’information sur la langue parlée à la maison n’est pas connue, l’interruption </w:t>
      </w:r>
      <w:r w:rsidRPr="00C27636">
        <w:rPr>
          <w:rFonts w:ascii="Calibri" w:eastAsia="Calibri" w:hAnsi="Calibri" w:cs="Calibri"/>
          <w:sz w:val="20"/>
          <w:szCs w:val="20"/>
          <w:lang w:val="fr-BE"/>
        </w:rPr>
        <w:t>prématurée s’élève à 50%.</w:t>
      </w:r>
    </w:p>
    <w:p w:rsidR="00AC12B4" w:rsidRPr="00C27636" w:rsidRDefault="00AC12B4">
      <w:pPr>
        <w:spacing w:line="165" w:lineRule="exact"/>
        <w:rPr>
          <w:rFonts w:ascii="Calibri" w:eastAsia="Calibri" w:hAnsi="Calibri" w:cs="Calibri"/>
          <w:sz w:val="26"/>
          <w:szCs w:val="26"/>
          <w:vertAlign w:val="superscript"/>
          <w:lang w:val="fr-BE"/>
        </w:rPr>
      </w:pPr>
    </w:p>
    <w:p w:rsidR="00AC12B4" w:rsidRPr="00C27636" w:rsidRDefault="00C27636">
      <w:pPr>
        <w:numPr>
          <w:ilvl w:val="0"/>
          <w:numId w:val="262"/>
        </w:numPr>
        <w:tabs>
          <w:tab w:val="left" w:pos="846"/>
        </w:tabs>
        <w:spacing w:line="189" w:lineRule="auto"/>
        <w:ind w:left="520" w:right="52" w:hanging="8"/>
        <w:rPr>
          <w:rFonts w:ascii="Calibri" w:eastAsia="Calibri" w:hAnsi="Calibri" w:cs="Calibri"/>
          <w:sz w:val="26"/>
          <w:szCs w:val="26"/>
          <w:vertAlign w:val="superscript"/>
          <w:lang w:val="nl-NL"/>
        </w:rPr>
      </w:pPr>
      <w:r w:rsidRPr="00C27636">
        <w:rPr>
          <w:rFonts w:ascii="Calibri" w:eastAsia="Calibri" w:hAnsi="Calibri" w:cs="Calibri"/>
          <w:sz w:val="20"/>
          <w:szCs w:val="20"/>
          <w:lang w:val="nl-NL"/>
        </w:rPr>
        <w:t>Onderzoeksinstituut voor Arbeid en Samenleving, KU Leuven.</w:t>
      </w:r>
    </w:p>
    <w:p w:rsidR="00AC12B4" w:rsidRPr="00C27636" w:rsidRDefault="00AC12B4">
      <w:pPr>
        <w:spacing w:line="184" w:lineRule="exact"/>
        <w:rPr>
          <w:rFonts w:ascii="Calibri" w:eastAsia="Calibri" w:hAnsi="Calibri" w:cs="Calibri"/>
          <w:sz w:val="26"/>
          <w:szCs w:val="26"/>
          <w:vertAlign w:val="superscript"/>
          <w:lang w:val="nl-NL"/>
        </w:rPr>
      </w:pPr>
    </w:p>
    <w:p w:rsidR="00AC12B4" w:rsidRPr="00C27636" w:rsidRDefault="00C27636">
      <w:pPr>
        <w:numPr>
          <w:ilvl w:val="0"/>
          <w:numId w:val="262"/>
        </w:numPr>
        <w:tabs>
          <w:tab w:val="left" w:pos="652"/>
        </w:tabs>
        <w:ind w:left="520" w:right="52" w:hanging="8"/>
        <w:rPr>
          <w:rFonts w:ascii="Calibri" w:eastAsia="Calibri" w:hAnsi="Calibri" w:cs="Calibri"/>
          <w:sz w:val="27"/>
          <w:szCs w:val="27"/>
          <w:vertAlign w:val="superscript"/>
          <w:lang w:val="nl-NL"/>
        </w:rPr>
      </w:pPr>
      <w:r w:rsidRPr="00C27636">
        <w:rPr>
          <w:rFonts w:ascii="Calibri" w:eastAsia="Calibri" w:hAnsi="Calibri" w:cs="Calibri"/>
          <w:sz w:val="19"/>
          <w:szCs w:val="19"/>
          <w:lang w:val="nl-NL"/>
        </w:rPr>
        <w:t xml:space="preserve">Voir le renvoi à l’enquête de la HIVA dans: Vlaamse overheid, Agentschap voor Binnenlands Bestuur, </w:t>
      </w:r>
      <w:r w:rsidRPr="00C27636">
        <w:rPr>
          <w:rFonts w:ascii="Calibri" w:eastAsia="Calibri" w:hAnsi="Calibri" w:cs="Calibri"/>
          <w:i/>
          <w:iCs/>
          <w:sz w:val="19"/>
          <w:szCs w:val="19"/>
          <w:lang w:val="nl-NL"/>
        </w:rPr>
        <w:t>Strategisch plan</w:t>
      </w:r>
      <w:r w:rsidRPr="00C27636">
        <w:rPr>
          <w:rFonts w:ascii="Calibri" w:eastAsia="Calibri" w:hAnsi="Calibri" w:cs="Calibri"/>
          <w:sz w:val="19"/>
          <w:szCs w:val="19"/>
          <w:lang w:val="nl-NL"/>
        </w:rPr>
        <w:t xml:space="preserve"> </w:t>
      </w:r>
      <w:r w:rsidRPr="00C27636">
        <w:rPr>
          <w:rFonts w:ascii="Calibri" w:eastAsia="Calibri" w:hAnsi="Calibri" w:cs="Calibri"/>
          <w:i/>
          <w:iCs/>
          <w:sz w:val="19"/>
          <w:szCs w:val="19"/>
          <w:lang w:val="nl-NL"/>
        </w:rPr>
        <w:t xml:space="preserve">woonwagenbewoners 2012-2015, in uitvoering van het </w:t>
      </w:r>
      <w:r w:rsidRPr="00C27636">
        <w:rPr>
          <w:rFonts w:ascii="Calibri" w:eastAsia="Calibri" w:hAnsi="Calibri" w:cs="Calibri"/>
          <w:i/>
          <w:iCs/>
          <w:sz w:val="19"/>
          <w:szCs w:val="19"/>
          <w:lang w:val="nl-NL"/>
        </w:rPr>
        <w:t>Vlaams Integratiebeleid, deel 2</w:t>
      </w:r>
      <w:r w:rsidRPr="00C27636">
        <w:rPr>
          <w:rFonts w:ascii="Calibri" w:eastAsia="Calibri" w:hAnsi="Calibri" w:cs="Calibri"/>
          <w:sz w:val="19"/>
          <w:szCs w:val="19"/>
          <w:lang w:val="nl-NL"/>
        </w:rPr>
        <w:t>, 2012,</w:t>
      </w:r>
      <w:r w:rsidRPr="00C27636">
        <w:rPr>
          <w:rFonts w:ascii="Calibri" w:eastAsia="Calibri" w:hAnsi="Calibri" w:cs="Calibri"/>
          <w:i/>
          <w:iCs/>
          <w:sz w:val="19"/>
          <w:szCs w:val="19"/>
          <w:lang w:val="nl-NL"/>
        </w:rPr>
        <w:t xml:space="preserve"> </w:t>
      </w:r>
      <w:r w:rsidRPr="00C27636">
        <w:rPr>
          <w:rFonts w:ascii="Calibri" w:eastAsia="Calibri" w:hAnsi="Calibri" w:cs="Calibri"/>
          <w:sz w:val="19"/>
          <w:szCs w:val="19"/>
          <w:lang w:val="nl-NL"/>
        </w:rPr>
        <w:t>25, http://www.integratiebeleid.be/sites/default/fi les/bestanden/Strategisch-plan-woonwagenbewoners.pdf.</w:t>
      </w:r>
    </w:p>
    <w:p w:rsidR="00AC12B4" w:rsidRPr="00C27636" w:rsidRDefault="00AC12B4">
      <w:pPr>
        <w:spacing w:line="326" w:lineRule="exact"/>
        <w:rPr>
          <w:rFonts w:ascii="Calibri" w:eastAsia="Calibri" w:hAnsi="Calibri" w:cs="Calibri"/>
          <w:color w:val="0000FF"/>
          <w:sz w:val="20"/>
          <w:szCs w:val="20"/>
          <w:u w:val="single"/>
          <w:lang w:val="nl-NL"/>
        </w:rPr>
      </w:pPr>
    </w:p>
    <w:p w:rsidR="00AC12B4" w:rsidRDefault="00C27636">
      <w:pPr>
        <w:rPr>
          <w:sz w:val="20"/>
          <w:szCs w:val="20"/>
        </w:rPr>
      </w:pPr>
      <w:r>
        <w:rPr>
          <w:rFonts w:ascii="Calibri" w:eastAsia="Calibri" w:hAnsi="Calibri" w:cs="Calibri"/>
        </w:rPr>
        <w:t>141</w:t>
      </w:r>
    </w:p>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color w:val="0000FF"/>
          <w:sz w:val="20"/>
          <w:szCs w:val="20"/>
          <w:u w:val="single"/>
        </w:rPr>
        <w:br w:type="column"/>
      </w: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79" w:lineRule="exact"/>
        <w:rPr>
          <w:rFonts w:ascii="Calibri" w:eastAsia="Calibri" w:hAnsi="Calibri" w:cs="Calibri"/>
          <w:color w:val="0000FF"/>
          <w:sz w:val="20"/>
          <w:szCs w:val="20"/>
          <w:u w:val="single"/>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lastRenderedPageBreak/>
              <w:t>Le droit à l’enseignement</w:t>
            </w:r>
          </w:p>
        </w:tc>
      </w:tr>
    </w:tbl>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noProof/>
          <w:color w:val="0000FF"/>
          <w:sz w:val="20"/>
          <w:szCs w:val="20"/>
          <w:u w:val="single"/>
        </w:rPr>
        <mc:AlternateContent>
          <mc:Choice Requires="wps">
            <w:drawing>
              <wp:anchor distT="0" distB="0" distL="114300" distR="114300" simplePos="0" relativeHeight="251740672" behindDoc="1" locked="0" layoutInCell="0" allowOverlap="1">
                <wp:simplePos x="0" y="0"/>
                <wp:positionH relativeFrom="column">
                  <wp:posOffset>-223520</wp:posOffset>
                </wp:positionH>
                <wp:positionV relativeFrom="paragraph">
                  <wp:posOffset>-9956165</wp:posOffset>
                </wp:positionV>
                <wp:extent cx="751205" cy="10908665"/>
                <wp:effectExtent l="0" t="0" r="0" b="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1205" cy="10908665"/>
                        </a:xfrm>
                        <a:prstGeom prst="rect">
                          <a:avLst/>
                        </a:prstGeom>
                        <a:solidFill>
                          <a:srgbClr val="8BCCEC"/>
                        </a:solidFill>
                      </wps:spPr>
                      <wps:bodyPr/>
                    </wps:wsp>
                  </a:graphicData>
                </a:graphic>
              </wp:anchor>
            </w:drawing>
          </mc:Choice>
          <mc:Fallback>
            <w:pict>
              <v:rect id="Shape 406" o:spid="_x0000_s1431" style="position:absolute;margin-left:-17.5999pt;margin-top:-783.9499pt;width:59.15pt;height:85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BCCEC" stroked="f"/>
            </w:pict>
          </mc:Fallback>
        </mc:AlternateContent>
      </w:r>
    </w:p>
    <w:p w:rsidR="00AC12B4" w:rsidRDefault="00AC12B4">
      <w:pPr>
        <w:sectPr w:rsidR="00AC12B4">
          <w:pgSz w:w="12080" w:h="17179"/>
          <w:pgMar w:top="1440" w:right="503" w:bottom="659" w:left="1440" w:header="0" w:footer="0" w:gutter="0"/>
          <w:cols w:num="3" w:space="720" w:equalWidth="0">
            <w:col w:w="4440" w:space="200"/>
            <w:col w:w="4432" w:space="720"/>
            <w:col w:w="342"/>
          </w:cols>
        </w:sectPr>
      </w:pPr>
    </w:p>
    <w:bookmarkStart w:id="141" w:name="page142"/>
    <w:bookmarkEnd w:id="141"/>
    <w:p w:rsidR="00AC12B4" w:rsidRDefault="00C27636">
      <w:pPr>
        <w:spacing w:line="164" w:lineRule="exact"/>
        <w:rPr>
          <w:sz w:val="20"/>
          <w:szCs w:val="20"/>
        </w:rPr>
      </w:pPr>
      <w:r>
        <w:rPr>
          <w:noProof/>
          <w:sz w:val="20"/>
          <w:szCs w:val="20"/>
        </w:rPr>
        <w:lastRenderedPageBreak/>
        <mc:AlternateContent>
          <mc:Choice Requires="wps">
            <w:drawing>
              <wp:anchor distT="0" distB="0" distL="114300" distR="114300" simplePos="0" relativeHeight="251741696" behindDoc="1" locked="0" layoutInCell="0" allowOverlap="1">
                <wp:simplePos x="0" y="0"/>
                <wp:positionH relativeFrom="page">
                  <wp:posOffset>0</wp:posOffset>
                </wp:positionH>
                <wp:positionV relativeFrom="page">
                  <wp:posOffset>0</wp:posOffset>
                </wp:positionV>
                <wp:extent cx="732790" cy="10908665"/>
                <wp:effectExtent l="0" t="0" r="0" b="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2790" cy="10908665"/>
                        </a:xfrm>
                        <a:prstGeom prst="rect">
                          <a:avLst/>
                        </a:prstGeom>
                        <a:solidFill>
                          <a:srgbClr val="8BCCEC"/>
                        </a:solidFill>
                      </wps:spPr>
                      <wps:bodyPr/>
                    </wps:wsp>
                  </a:graphicData>
                </a:graphic>
              </wp:anchor>
            </w:drawing>
          </mc:Choice>
          <mc:Fallback>
            <w:pict>
              <v:rect id="Shape 407" o:spid="_x0000_s1432" style="position:absolute;margin-left:0pt;margin-top:0pt;width:57.7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BCCEC" stroked="f">
                <w10:wrap anchorx="page" anchory="page"/>
              </v:rect>
            </w:pict>
          </mc:Fallback>
        </mc:AlternateContent>
      </w:r>
    </w:p>
    <w:p w:rsidR="00AC12B4" w:rsidRDefault="00C27636">
      <w:pPr>
        <w:ind w:left="1721"/>
        <w:rPr>
          <w:sz w:val="20"/>
          <w:szCs w:val="20"/>
        </w:rPr>
      </w:pPr>
      <w:r>
        <w:rPr>
          <w:rFonts w:ascii="Calibri" w:eastAsia="Calibri" w:hAnsi="Calibri" w:cs="Calibri"/>
          <w:i/>
          <w:iCs/>
          <w:sz w:val="20"/>
          <w:szCs w:val="20"/>
        </w:rPr>
        <w:t>Vlaanderen</w:t>
      </w:r>
      <w:r>
        <w:rPr>
          <w:rFonts w:ascii="Calibri" w:eastAsia="Calibri" w:hAnsi="Calibri" w:cs="Calibri"/>
          <w:sz w:val="20"/>
          <w:szCs w:val="20"/>
        </w:rPr>
        <w:t>, Brussel, Studiedienst van</w:t>
      </w:r>
    </w:p>
    <w:p w:rsidR="00AC12B4" w:rsidRDefault="00AC12B4">
      <w:pPr>
        <w:spacing w:line="1" w:lineRule="exact"/>
        <w:rPr>
          <w:sz w:val="20"/>
          <w:szCs w:val="20"/>
        </w:rPr>
      </w:pPr>
    </w:p>
    <w:p w:rsidR="00AC12B4" w:rsidRDefault="00C27636">
      <w:pPr>
        <w:ind w:left="1721"/>
        <w:rPr>
          <w:sz w:val="20"/>
          <w:szCs w:val="20"/>
        </w:rPr>
      </w:pPr>
      <w:r>
        <w:rPr>
          <w:rFonts w:ascii="Calibri" w:eastAsia="Calibri" w:hAnsi="Calibri" w:cs="Calibri"/>
          <w:sz w:val="20"/>
          <w:szCs w:val="20"/>
        </w:rPr>
        <w:t>de Vlaamse Regering, 2013.</w:t>
      </w:r>
    </w:p>
    <w:p w:rsidR="00AC12B4" w:rsidRDefault="00AC12B4">
      <w:pPr>
        <w:spacing w:line="57" w:lineRule="exact"/>
        <w:rPr>
          <w:sz w:val="20"/>
          <w:szCs w:val="20"/>
        </w:rPr>
      </w:pPr>
    </w:p>
    <w:p w:rsidR="00AC12B4" w:rsidRPr="00C27636" w:rsidRDefault="00C27636">
      <w:pPr>
        <w:numPr>
          <w:ilvl w:val="0"/>
          <w:numId w:val="263"/>
        </w:numPr>
        <w:tabs>
          <w:tab w:val="left" w:pos="1721"/>
        </w:tabs>
        <w:spacing w:line="230" w:lineRule="auto"/>
        <w:ind w:left="1721" w:right="5317" w:hanging="360"/>
        <w:jc w:val="both"/>
        <w:rPr>
          <w:rFonts w:ascii="Symbol" w:eastAsia="Symbol" w:hAnsi="Symbol" w:cs="Symbol"/>
          <w:sz w:val="20"/>
          <w:szCs w:val="20"/>
          <w:lang w:val="fr-BE"/>
        </w:rPr>
      </w:pPr>
      <w:r w:rsidRPr="00C27636">
        <w:rPr>
          <w:rFonts w:ascii="Calibri" w:eastAsia="Calibri" w:hAnsi="Calibri" w:cs="Calibri"/>
          <w:sz w:val="20"/>
          <w:szCs w:val="20"/>
          <w:lang w:val="fr-BE"/>
        </w:rPr>
        <w:t>Voir aussi Lamote, C., Van Damme, J., Blommaert, M. et Meyer, J.,</w:t>
      </w:r>
    </w:p>
    <w:p w:rsidR="00AC12B4" w:rsidRPr="00C27636" w:rsidRDefault="00AC12B4">
      <w:pPr>
        <w:spacing w:line="36" w:lineRule="exact"/>
        <w:rPr>
          <w:rFonts w:ascii="Symbol" w:eastAsia="Symbol" w:hAnsi="Symbol" w:cs="Symbol"/>
          <w:sz w:val="20"/>
          <w:szCs w:val="20"/>
          <w:lang w:val="fr-BE"/>
        </w:rPr>
      </w:pPr>
    </w:p>
    <w:p w:rsidR="00AC12B4" w:rsidRPr="00C27636" w:rsidRDefault="00C27636">
      <w:pPr>
        <w:ind w:left="1721"/>
        <w:rPr>
          <w:rFonts w:ascii="Symbol" w:eastAsia="Symbol" w:hAnsi="Symbol" w:cs="Symbol"/>
          <w:sz w:val="20"/>
          <w:szCs w:val="20"/>
          <w:lang w:val="nl-NL"/>
        </w:rPr>
      </w:pPr>
      <w:r w:rsidRPr="00C27636">
        <w:rPr>
          <w:rFonts w:ascii="Calibri" w:eastAsia="Calibri" w:hAnsi="Calibri" w:cs="Calibri"/>
          <w:sz w:val="20"/>
          <w:szCs w:val="20"/>
          <w:lang w:val="nl-NL"/>
        </w:rPr>
        <w:t>“Wanneer de school geen optie meer</w:t>
      </w:r>
    </w:p>
    <w:p w:rsidR="00AC12B4" w:rsidRPr="00C27636" w:rsidRDefault="00AC12B4">
      <w:pPr>
        <w:spacing w:line="83" w:lineRule="exact"/>
        <w:rPr>
          <w:rFonts w:ascii="Symbol" w:eastAsia="Symbol" w:hAnsi="Symbol" w:cs="Symbol"/>
          <w:sz w:val="20"/>
          <w:szCs w:val="20"/>
          <w:lang w:val="nl-NL"/>
        </w:rPr>
      </w:pPr>
    </w:p>
    <w:p w:rsidR="00AC12B4" w:rsidRPr="00C27636" w:rsidRDefault="00C27636">
      <w:pPr>
        <w:spacing w:line="253" w:lineRule="auto"/>
        <w:ind w:left="1721" w:right="5317"/>
        <w:jc w:val="both"/>
        <w:rPr>
          <w:rFonts w:ascii="Symbol" w:eastAsia="Symbol" w:hAnsi="Symbol" w:cs="Symbol"/>
          <w:sz w:val="20"/>
          <w:szCs w:val="20"/>
          <w:lang w:val="nl-NL"/>
        </w:rPr>
      </w:pPr>
      <w:r w:rsidRPr="00C27636">
        <w:rPr>
          <w:rFonts w:ascii="Calibri" w:eastAsia="Calibri" w:hAnsi="Calibri" w:cs="Calibri"/>
          <w:sz w:val="20"/>
          <w:szCs w:val="20"/>
          <w:lang w:val="nl-NL"/>
        </w:rPr>
        <w:t xml:space="preserve">is. Een studie naar de langetermijneffecten van </w:t>
      </w:r>
      <w:r w:rsidRPr="00C27636">
        <w:rPr>
          <w:rFonts w:ascii="Calibri" w:eastAsia="Calibri" w:hAnsi="Calibri" w:cs="Calibri"/>
          <w:sz w:val="20"/>
          <w:szCs w:val="20"/>
          <w:lang w:val="nl-NL"/>
        </w:rPr>
        <w:t>vroegtijdig schoolverlaten op de latere</w:t>
      </w:r>
    </w:p>
    <w:p w:rsidR="00AC12B4" w:rsidRPr="00C27636" w:rsidRDefault="00AC12B4">
      <w:pPr>
        <w:spacing w:line="70" w:lineRule="exact"/>
        <w:rPr>
          <w:rFonts w:ascii="Symbol" w:eastAsia="Symbol" w:hAnsi="Symbol" w:cs="Symbol"/>
          <w:sz w:val="20"/>
          <w:szCs w:val="20"/>
          <w:lang w:val="nl-NL"/>
        </w:rPr>
      </w:pPr>
    </w:p>
    <w:p w:rsidR="00AC12B4" w:rsidRPr="00C27636" w:rsidRDefault="00C27636">
      <w:pPr>
        <w:spacing w:line="261" w:lineRule="auto"/>
        <w:ind w:left="1721" w:right="5317"/>
        <w:rPr>
          <w:rFonts w:ascii="Calibri" w:eastAsia="Calibri" w:hAnsi="Calibri" w:cs="Calibri"/>
          <w:color w:val="0000FF"/>
          <w:sz w:val="20"/>
          <w:szCs w:val="20"/>
          <w:u w:val="single"/>
          <w:lang w:val="nl-NL"/>
        </w:rPr>
      </w:pPr>
      <w:r w:rsidRPr="00C27636">
        <w:rPr>
          <w:rFonts w:ascii="Calibri" w:eastAsia="Calibri" w:hAnsi="Calibri" w:cs="Calibri"/>
          <w:sz w:val="20"/>
          <w:szCs w:val="20"/>
          <w:lang w:val="nl-NL"/>
        </w:rPr>
        <w:t xml:space="preserve">beroepsloopbaan en andere levensdomeinen”, </w:t>
      </w:r>
      <w:hyperlink r:id="rId242">
        <w:r w:rsidRPr="00C27636">
          <w:rPr>
            <w:rFonts w:ascii="Calibri" w:eastAsia="Calibri" w:hAnsi="Calibri" w:cs="Calibri"/>
            <w:color w:val="0000FF"/>
            <w:sz w:val="20"/>
            <w:szCs w:val="20"/>
            <w:u w:val="single"/>
            <w:lang w:val="nl-NL"/>
          </w:rPr>
          <w:t>http://www.steunpuntwse.be/system</w:t>
        </w:r>
      </w:hyperlink>
      <w:r w:rsidRPr="00C27636">
        <w:rPr>
          <w:rFonts w:ascii="Calibri" w:eastAsia="Calibri" w:hAnsi="Calibri" w:cs="Calibri"/>
          <w:color w:val="0000FF"/>
          <w:sz w:val="20"/>
          <w:szCs w:val="20"/>
          <w:u w:val="single"/>
          <w:lang w:val="nl-NL"/>
        </w:rPr>
        <w:t xml:space="preserve"> </w:t>
      </w:r>
      <w:hyperlink r:id="rId243">
        <w:r w:rsidRPr="00C27636">
          <w:rPr>
            <w:rFonts w:ascii="Calibri" w:eastAsia="Calibri" w:hAnsi="Calibri" w:cs="Calibri"/>
            <w:color w:val="0000FF"/>
            <w:sz w:val="20"/>
            <w:szCs w:val="20"/>
            <w:u w:val="single"/>
            <w:lang w:val="nl-NL"/>
          </w:rPr>
          <w:t>/files/overwerk_2013_4_08.pdf</w:t>
        </w:r>
      </w:hyperlink>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00" w:lineRule="exact"/>
        <w:rPr>
          <w:rFonts w:ascii="Symbol" w:eastAsia="Symbol" w:hAnsi="Symbol" w:cs="Symbol"/>
          <w:sz w:val="20"/>
          <w:szCs w:val="20"/>
          <w:lang w:val="nl-NL"/>
        </w:rPr>
      </w:pPr>
    </w:p>
    <w:p w:rsidR="00AC12B4" w:rsidRPr="00C27636" w:rsidRDefault="00AC12B4">
      <w:pPr>
        <w:spacing w:line="242" w:lineRule="exact"/>
        <w:rPr>
          <w:rFonts w:ascii="Symbol" w:eastAsia="Symbol" w:hAnsi="Symbol" w:cs="Symbol"/>
          <w:sz w:val="20"/>
          <w:szCs w:val="20"/>
          <w:lang w:val="nl-NL"/>
        </w:rPr>
      </w:pPr>
    </w:p>
    <w:tbl>
      <w:tblPr>
        <w:tblW w:w="0" w:type="auto"/>
        <w:tblLayout w:type="fixed"/>
        <w:tblCellMar>
          <w:left w:w="0" w:type="dxa"/>
          <w:right w:w="0" w:type="dxa"/>
        </w:tblCellMar>
        <w:tblLook w:val="04A0" w:firstRow="1" w:lastRow="0" w:firstColumn="1" w:lastColumn="0" w:noHBand="0" w:noVBand="1"/>
      </w:tblPr>
      <w:tblGrid>
        <w:gridCol w:w="342"/>
      </w:tblGrid>
      <w:tr w:rsidR="00AC12B4">
        <w:trPr>
          <w:trHeight w:val="2940"/>
        </w:trPr>
        <w:tc>
          <w:tcPr>
            <w:tcW w:w="342" w:type="dxa"/>
            <w:textDirection w:val="btLr"/>
            <w:vAlign w:val="bottom"/>
          </w:tcPr>
          <w:p w:rsidR="00AC12B4" w:rsidRDefault="00C27636">
            <w:pPr>
              <w:rPr>
                <w:sz w:val="20"/>
                <w:szCs w:val="20"/>
              </w:rPr>
            </w:pPr>
            <w:r>
              <w:rPr>
                <w:rFonts w:ascii="Calibri" w:eastAsia="Calibri" w:hAnsi="Calibri" w:cs="Calibri"/>
                <w:b/>
                <w:bCs/>
                <w:i/>
                <w:iCs/>
                <w:color w:val="F2F2F2"/>
                <w:sz w:val="28"/>
                <w:szCs w:val="28"/>
              </w:rPr>
              <w:t>Le droit à l’enseignement</w:t>
            </w:r>
          </w:p>
        </w:tc>
      </w:tr>
    </w:tbl>
    <w:p w:rsidR="00AC12B4" w:rsidRDefault="00AC12B4">
      <w:pPr>
        <w:spacing w:line="8" w:lineRule="exact"/>
        <w:rPr>
          <w:rFonts w:ascii="Symbol" w:eastAsia="Symbol" w:hAnsi="Symbol" w:cs="Symbol"/>
          <w:sz w:val="20"/>
          <w:szCs w:val="20"/>
        </w:rPr>
      </w:pPr>
    </w:p>
    <w:p w:rsidR="00AC12B4" w:rsidRDefault="00C27636">
      <w:pPr>
        <w:ind w:right="-263"/>
        <w:jc w:val="center"/>
        <w:rPr>
          <w:sz w:val="20"/>
          <w:szCs w:val="20"/>
        </w:rPr>
      </w:pPr>
      <w:r>
        <w:rPr>
          <w:rFonts w:ascii="Calibri" w:eastAsia="Calibri" w:hAnsi="Calibri" w:cs="Calibri"/>
        </w:rPr>
        <w:t>142</w:t>
      </w:r>
    </w:p>
    <w:p w:rsidR="00AC12B4" w:rsidRDefault="00AC12B4">
      <w:pPr>
        <w:sectPr w:rsidR="00AC12B4">
          <w:pgSz w:w="12080" w:h="17179"/>
          <w:pgMar w:top="1440" w:right="1440" w:bottom="659" w:left="439" w:header="0" w:footer="0" w:gutter="0"/>
          <w:cols w:space="720" w:equalWidth="0">
            <w:col w:w="10197"/>
          </w:cols>
        </w:sectPr>
      </w:pPr>
    </w:p>
    <w:p w:rsidR="00AC12B4" w:rsidRDefault="00AC12B4">
      <w:pPr>
        <w:spacing w:line="200" w:lineRule="exact"/>
        <w:rPr>
          <w:sz w:val="20"/>
          <w:szCs w:val="20"/>
        </w:rPr>
      </w:pPr>
      <w:bookmarkStart w:id="142" w:name="page143"/>
      <w:bookmarkEnd w:id="142"/>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78" w:lineRule="exact"/>
        <w:rPr>
          <w:sz w:val="20"/>
          <w:szCs w:val="20"/>
        </w:rPr>
      </w:pPr>
    </w:p>
    <w:p w:rsidR="00AC12B4" w:rsidRPr="00C27636" w:rsidRDefault="00C27636">
      <w:pPr>
        <w:spacing w:line="218" w:lineRule="auto"/>
        <w:ind w:left="960" w:right="177"/>
        <w:jc w:val="right"/>
        <w:rPr>
          <w:sz w:val="20"/>
          <w:szCs w:val="20"/>
          <w:lang w:val="fr-BE"/>
        </w:rPr>
      </w:pPr>
      <w:r w:rsidRPr="00C27636">
        <w:rPr>
          <w:rFonts w:ascii="Calibri" w:eastAsia="Calibri" w:hAnsi="Calibri" w:cs="Calibri"/>
          <w:color w:val="E05429"/>
          <w:sz w:val="96"/>
          <w:szCs w:val="96"/>
          <w:lang w:val="fr-BE"/>
        </w:rPr>
        <w:t>Le droit aux loisirs et au repos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6" w:lineRule="exact"/>
        <w:rPr>
          <w:sz w:val="20"/>
          <w:szCs w:val="20"/>
          <w:lang w:val="fr-BE"/>
        </w:rPr>
      </w:pPr>
    </w:p>
    <w:tbl>
      <w:tblPr>
        <w:tblW w:w="0" w:type="auto"/>
        <w:tblInd w:w="1560" w:type="dxa"/>
        <w:tblLayout w:type="fixed"/>
        <w:tblCellMar>
          <w:left w:w="0" w:type="dxa"/>
          <w:right w:w="0" w:type="dxa"/>
        </w:tblCellMar>
        <w:tblLook w:val="04A0" w:firstRow="1" w:lastRow="0" w:firstColumn="1" w:lastColumn="0" w:noHBand="0" w:noVBand="1"/>
      </w:tblPr>
      <w:tblGrid>
        <w:gridCol w:w="6680"/>
        <w:gridCol w:w="600"/>
      </w:tblGrid>
      <w:tr w:rsidR="00AC12B4">
        <w:trPr>
          <w:trHeight w:val="391"/>
        </w:trPr>
        <w:tc>
          <w:tcPr>
            <w:tcW w:w="6680" w:type="dxa"/>
            <w:vAlign w:val="bottom"/>
          </w:tcPr>
          <w:p w:rsidR="00AC12B4" w:rsidRPr="00C27636" w:rsidRDefault="00C27636">
            <w:pPr>
              <w:rPr>
                <w:sz w:val="20"/>
                <w:szCs w:val="20"/>
                <w:lang w:val="fr-BE"/>
              </w:rPr>
            </w:pPr>
            <w:r w:rsidRPr="00C27636">
              <w:rPr>
                <w:rFonts w:ascii="Calibri" w:eastAsia="Calibri" w:hAnsi="Calibri" w:cs="Calibri"/>
                <w:b/>
                <w:bCs/>
                <w:color w:val="E05429"/>
                <w:sz w:val="32"/>
                <w:szCs w:val="32"/>
                <w:lang w:val="fr-BE"/>
              </w:rPr>
              <w:t xml:space="preserve">L1 </w:t>
            </w:r>
            <w:r w:rsidRPr="00C27636">
              <w:rPr>
                <w:rFonts w:ascii="Calibri" w:eastAsia="Calibri" w:hAnsi="Calibri" w:cs="Calibri"/>
                <w:color w:val="000000"/>
                <w:sz w:val="32"/>
                <w:szCs w:val="32"/>
                <w:lang w:val="fr-BE"/>
              </w:rPr>
              <w:t>Equilibre dans la répartition du temps…………..…</w:t>
            </w:r>
          </w:p>
        </w:tc>
        <w:tc>
          <w:tcPr>
            <w:tcW w:w="600" w:type="dxa"/>
            <w:vAlign w:val="bottom"/>
          </w:tcPr>
          <w:p w:rsidR="00AC12B4" w:rsidRDefault="00C27636">
            <w:pPr>
              <w:jc w:val="right"/>
              <w:rPr>
                <w:rFonts w:ascii="Calibri" w:eastAsia="Calibri" w:hAnsi="Calibri" w:cs="Calibri"/>
                <w:sz w:val="32"/>
                <w:szCs w:val="32"/>
              </w:rPr>
            </w:pPr>
            <w:hyperlink w:anchor="page145">
              <w:r>
                <w:rPr>
                  <w:rFonts w:ascii="Calibri" w:eastAsia="Calibri" w:hAnsi="Calibri" w:cs="Calibri"/>
                  <w:sz w:val="32"/>
                  <w:szCs w:val="32"/>
                </w:rPr>
                <w:t>145</w:t>
              </w:r>
            </w:hyperlink>
          </w:p>
        </w:tc>
      </w:tr>
      <w:tr w:rsidR="00AC12B4">
        <w:trPr>
          <w:trHeight w:val="708"/>
        </w:trPr>
        <w:tc>
          <w:tcPr>
            <w:tcW w:w="6680" w:type="dxa"/>
            <w:vAlign w:val="bottom"/>
          </w:tcPr>
          <w:p w:rsidR="00AC12B4" w:rsidRPr="00C27636" w:rsidRDefault="00C27636">
            <w:pPr>
              <w:rPr>
                <w:sz w:val="20"/>
                <w:szCs w:val="20"/>
                <w:lang w:val="fr-BE"/>
              </w:rPr>
            </w:pPr>
            <w:r w:rsidRPr="00C27636">
              <w:rPr>
                <w:rFonts w:ascii="Calibri" w:eastAsia="Calibri" w:hAnsi="Calibri" w:cs="Calibri"/>
                <w:b/>
                <w:bCs/>
                <w:color w:val="E05429"/>
                <w:sz w:val="32"/>
                <w:szCs w:val="32"/>
                <w:lang w:val="fr-BE"/>
              </w:rPr>
              <w:t xml:space="preserve">L2 </w:t>
            </w:r>
            <w:r w:rsidRPr="00C27636">
              <w:rPr>
                <w:rFonts w:ascii="Calibri" w:eastAsia="Calibri" w:hAnsi="Calibri" w:cs="Calibri"/>
                <w:color w:val="000000"/>
                <w:sz w:val="32"/>
                <w:szCs w:val="32"/>
                <w:lang w:val="fr-BE"/>
              </w:rPr>
              <w:t>Libre choix dans l’organisation du temps libre…</w:t>
            </w:r>
          </w:p>
        </w:tc>
        <w:tc>
          <w:tcPr>
            <w:tcW w:w="600" w:type="dxa"/>
            <w:vAlign w:val="bottom"/>
          </w:tcPr>
          <w:p w:rsidR="00AC12B4" w:rsidRDefault="00C27636">
            <w:pPr>
              <w:jc w:val="right"/>
              <w:rPr>
                <w:rFonts w:ascii="Calibri" w:eastAsia="Calibri" w:hAnsi="Calibri" w:cs="Calibri"/>
                <w:sz w:val="32"/>
                <w:szCs w:val="32"/>
              </w:rPr>
            </w:pPr>
            <w:hyperlink w:anchor="page147">
              <w:r>
                <w:rPr>
                  <w:rFonts w:ascii="Calibri" w:eastAsia="Calibri" w:hAnsi="Calibri" w:cs="Calibri"/>
                  <w:sz w:val="32"/>
                  <w:szCs w:val="32"/>
                </w:rPr>
                <w:t>147</w:t>
              </w:r>
            </w:hyperlink>
          </w:p>
        </w:tc>
      </w:tr>
      <w:tr w:rsidR="00AC12B4">
        <w:trPr>
          <w:trHeight w:val="706"/>
        </w:trPr>
        <w:tc>
          <w:tcPr>
            <w:tcW w:w="6680" w:type="dxa"/>
            <w:vAlign w:val="bottom"/>
          </w:tcPr>
          <w:p w:rsidR="00AC12B4" w:rsidRPr="00C27636" w:rsidRDefault="00C27636">
            <w:pPr>
              <w:rPr>
                <w:sz w:val="20"/>
                <w:szCs w:val="20"/>
                <w:lang w:val="fr-BE"/>
              </w:rPr>
            </w:pPr>
            <w:r w:rsidRPr="00C27636">
              <w:rPr>
                <w:rFonts w:ascii="Calibri" w:eastAsia="Calibri" w:hAnsi="Calibri" w:cs="Calibri"/>
                <w:b/>
                <w:bCs/>
                <w:color w:val="E05429"/>
                <w:sz w:val="32"/>
                <w:szCs w:val="32"/>
                <w:lang w:val="fr-BE"/>
              </w:rPr>
              <w:t xml:space="preserve">L3 </w:t>
            </w:r>
            <w:r w:rsidRPr="00C27636">
              <w:rPr>
                <w:rFonts w:ascii="Calibri" w:eastAsia="Calibri" w:hAnsi="Calibri" w:cs="Calibri"/>
                <w:color w:val="000000"/>
                <w:sz w:val="32"/>
                <w:szCs w:val="32"/>
                <w:lang w:val="fr-BE"/>
              </w:rPr>
              <w:t>Disponibilité d’endroits où l’on peut jouer………</w:t>
            </w:r>
          </w:p>
        </w:tc>
        <w:tc>
          <w:tcPr>
            <w:tcW w:w="600" w:type="dxa"/>
            <w:vAlign w:val="bottom"/>
          </w:tcPr>
          <w:p w:rsidR="00AC12B4" w:rsidRDefault="00C27636">
            <w:pPr>
              <w:jc w:val="right"/>
              <w:rPr>
                <w:rFonts w:ascii="Calibri" w:eastAsia="Calibri" w:hAnsi="Calibri" w:cs="Calibri"/>
                <w:sz w:val="32"/>
                <w:szCs w:val="32"/>
              </w:rPr>
            </w:pPr>
            <w:hyperlink w:anchor="page149">
              <w:r>
                <w:rPr>
                  <w:rFonts w:ascii="Calibri" w:eastAsia="Calibri" w:hAnsi="Calibri" w:cs="Calibri"/>
                  <w:sz w:val="32"/>
                  <w:szCs w:val="32"/>
                </w:rPr>
                <w:t>149</w:t>
              </w:r>
            </w:hyperlink>
          </w:p>
        </w:tc>
      </w:tr>
    </w:tbl>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61" w:lineRule="exact"/>
        <w:rPr>
          <w:sz w:val="20"/>
          <w:szCs w:val="20"/>
        </w:rPr>
      </w:pPr>
    </w:p>
    <w:p w:rsidR="00AC12B4" w:rsidRDefault="00C27636">
      <w:pPr>
        <w:ind w:right="-402"/>
        <w:jc w:val="center"/>
        <w:rPr>
          <w:sz w:val="20"/>
          <w:szCs w:val="20"/>
        </w:rPr>
      </w:pPr>
      <w:r>
        <w:rPr>
          <w:rFonts w:ascii="Calibri" w:eastAsia="Calibri" w:hAnsi="Calibri" w:cs="Calibri"/>
        </w:rPr>
        <w:t>143</w:t>
      </w:r>
    </w:p>
    <w:p w:rsidR="00AC12B4" w:rsidRDefault="00AC12B4">
      <w:pPr>
        <w:sectPr w:rsidR="00AC12B4">
          <w:pgSz w:w="12080" w:h="17179"/>
          <w:pgMar w:top="1440" w:right="1440" w:bottom="659" w:left="1440" w:header="0" w:footer="0" w:gutter="0"/>
          <w:cols w:space="720" w:equalWidth="0">
            <w:col w:w="9197"/>
          </w:cols>
        </w:sectPr>
      </w:pPr>
    </w:p>
    <w:p w:rsidR="00AC12B4" w:rsidRDefault="00AC12B4">
      <w:pPr>
        <w:jc w:val="center"/>
        <w:rPr>
          <w:sz w:val="20"/>
          <w:szCs w:val="20"/>
        </w:rPr>
      </w:pPr>
      <w:bookmarkStart w:id="143" w:name="page144"/>
      <w:bookmarkEnd w:id="143"/>
    </w:p>
    <w:p w:rsidR="00AC12B4" w:rsidRDefault="00AC12B4">
      <w:pPr>
        <w:sectPr w:rsidR="00AC12B4">
          <w:pgSz w:w="12080" w:h="17179"/>
          <w:pgMar w:top="1440" w:right="1440" w:bottom="875" w:left="1440" w:header="0" w:footer="0" w:gutter="0"/>
          <w:cols w:space="0"/>
        </w:sectPr>
      </w:pPr>
    </w:p>
    <w:p w:rsidR="00AC12B4" w:rsidRDefault="00AC12B4">
      <w:pPr>
        <w:framePr w:w="2948" w:h="4434" w:wrap="auto" w:vAnchor="page" w:hAnchor="page" w:x="8203" w:y="3360"/>
        <w:jc w:val="center"/>
        <w:rPr>
          <w:sz w:val="20"/>
          <w:szCs w:val="20"/>
        </w:rPr>
      </w:pPr>
      <w:bookmarkStart w:id="144" w:name="page145"/>
      <w:bookmarkEnd w:id="144"/>
    </w:p>
    <w:p w:rsidR="00AC12B4" w:rsidRPr="00C27636" w:rsidRDefault="00C27636">
      <w:pPr>
        <w:framePr w:w="2480" w:h="774" w:wrap="auto" w:vAnchor="page" w:hAnchor="page" w:x="8720" w:y="5993"/>
        <w:spacing w:line="222" w:lineRule="auto"/>
        <w:jc w:val="both"/>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t>des jeunes déclarent ne pas avoir assez de temps pour eux (HBSC 2014).</w:t>
      </w:r>
    </w:p>
    <w:p w:rsidR="00AC12B4" w:rsidRPr="00C27636" w:rsidRDefault="00AC12B4">
      <w:pPr>
        <w:framePr w:w="2660" w:h="4434" w:wrap="auto" w:vAnchor="page" w:hAnchor="page" w:x="8204" w:y="3360"/>
        <w:spacing w:line="222" w:lineRule="auto"/>
        <w:jc w:val="both"/>
        <w:rPr>
          <w:rFonts w:ascii="Comic Sans MS" w:eastAsia="Comic Sans MS" w:hAnsi="Comic Sans MS" w:cs="Comic Sans MS"/>
          <w:color w:val="0D0D0D"/>
          <w:sz w:val="20"/>
          <w:szCs w:val="20"/>
          <w:lang w:val="fr-BE"/>
        </w:rPr>
      </w:pPr>
    </w:p>
    <w:p w:rsidR="00AC12B4" w:rsidRPr="00C27636" w:rsidRDefault="00C27636">
      <w:pPr>
        <w:framePr w:w="1880" w:h="1058" w:wrap="auto" w:vAnchor="page" w:hAnchor="page" w:x="9020" w:y="4653"/>
        <w:spacing w:line="191" w:lineRule="auto"/>
        <w:rPr>
          <w:rFonts w:ascii="Comic Sans MS" w:eastAsia="Comic Sans MS" w:hAnsi="Comic Sans MS" w:cs="Comic Sans MS"/>
          <w:color w:val="E05429"/>
          <w:sz w:val="95"/>
          <w:szCs w:val="95"/>
          <w:lang w:val="fr-BE"/>
        </w:rPr>
      </w:pPr>
      <w:r w:rsidRPr="00C27636">
        <w:rPr>
          <w:rFonts w:ascii="Comic Sans MS" w:eastAsia="Comic Sans MS" w:hAnsi="Comic Sans MS" w:cs="Comic Sans MS"/>
          <w:color w:val="E05429"/>
          <w:sz w:val="95"/>
          <w:szCs w:val="95"/>
          <w:lang w:val="fr-BE"/>
        </w:rPr>
        <w:t>19%</w:t>
      </w:r>
    </w:p>
    <w:p w:rsidR="00AC12B4" w:rsidRPr="00C27636" w:rsidRDefault="00C27636">
      <w:pPr>
        <w:spacing w:line="169" w:lineRule="exact"/>
        <w:rPr>
          <w:rFonts w:ascii="Comic Sans MS" w:eastAsia="Comic Sans MS" w:hAnsi="Comic Sans MS" w:cs="Comic Sans MS"/>
          <w:color w:val="E05429"/>
          <w:sz w:val="95"/>
          <w:szCs w:val="95"/>
          <w:lang w:val="fr-BE"/>
        </w:rPr>
      </w:pPr>
      <w:r>
        <w:rPr>
          <w:rFonts w:ascii="Comic Sans MS" w:eastAsia="Comic Sans MS" w:hAnsi="Comic Sans MS" w:cs="Comic Sans MS"/>
          <w:noProof/>
          <w:color w:val="E05429"/>
          <w:sz w:val="95"/>
          <w:szCs w:val="95"/>
        </w:rPr>
        <w:lastRenderedPageBreak/>
        <mc:AlternateContent>
          <mc:Choice Requires="wps">
            <w:drawing>
              <wp:anchor distT="0" distB="0" distL="114300" distR="114300" simplePos="0" relativeHeight="251742720" behindDoc="1" locked="0" layoutInCell="0" allowOverlap="1">
                <wp:simplePos x="0" y="0"/>
                <wp:positionH relativeFrom="page">
                  <wp:posOffset>6932930</wp:posOffset>
                </wp:positionH>
                <wp:positionV relativeFrom="page">
                  <wp:posOffset>0</wp:posOffset>
                </wp:positionV>
                <wp:extent cx="734060" cy="10908665"/>
                <wp:effectExtent l="0" t="0" r="0" b="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8665"/>
                        </a:xfrm>
                        <a:prstGeom prst="rect">
                          <a:avLst/>
                        </a:prstGeom>
                        <a:solidFill>
                          <a:srgbClr val="E05429"/>
                        </a:solidFill>
                      </wps:spPr>
                      <wps:bodyPr/>
                    </wps:wsp>
                  </a:graphicData>
                </a:graphic>
              </wp:anchor>
            </w:drawing>
          </mc:Choice>
          <mc:Fallback>
            <w:pict>
              <v:rect id="Shape 408" o:spid="_x0000_s1433" style="position:absolute;margin-left:545.9pt;margin-top:0pt;width:57.8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05429" stroked="f">
                <w10:wrap anchorx="page" anchory="page"/>
              </v:rect>
            </w:pict>
          </mc:Fallback>
        </mc:AlternateContent>
      </w:r>
    </w:p>
    <w:p w:rsidR="00AC12B4" w:rsidRPr="00C27636" w:rsidRDefault="00C27636">
      <w:pPr>
        <w:spacing w:line="276" w:lineRule="auto"/>
        <w:ind w:left="880" w:right="1077"/>
        <w:rPr>
          <w:sz w:val="20"/>
          <w:szCs w:val="20"/>
          <w:lang w:val="fr-BE"/>
        </w:rPr>
      </w:pPr>
      <w:r w:rsidRPr="00C27636">
        <w:rPr>
          <w:rFonts w:ascii="Comic Sans MS" w:eastAsia="Comic Sans MS" w:hAnsi="Comic Sans MS" w:cs="Comic Sans MS"/>
          <w:color w:val="E05429"/>
          <w:sz w:val="32"/>
          <w:szCs w:val="32"/>
          <w:lang w:val="fr-BE"/>
        </w:rPr>
        <w:t>L1. Equilibre dans la répartition du temps (obligations – temps libre)</w:t>
      </w:r>
    </w:p>
    <w:p w:rsidR="00AC12B4" w:rsidRPr="00C27636" w:rsidRDefault="00C27636">
      <w:pPr>
        <w:spacing w:line="20" w:lineRule="exact"/>
        <w:rPr>
          <w:rFonts w:ascii="Comic Sans MS" w:eastAsia="Comic Sans MS" w:hAnsi="Comic Sans MS" w:cs="Comic Sans MS"/>
          <w:color w:val="E05429"/>
          <w:sz w:val="95"/>
          <w:szCs w:val="95"/>
          <w:lang w:val="fr-BE"/>
        </w:rPr>
      </w:pPr>
      <w:r>
        <w:rPr>
          <w:rFonts w:ascii="Comic Sans MS" w:eastAsia="Comic Sans MS" w:hAnsi="Comic Sans MS" w:cs="Comic Sans MS"/>
          <w:noProof/>
          <w:color w:val="E05429"/>
          <w:sz w:val="95"/>
          <w:szCs w:val="95"/>
        </w:rPr>
        <mc:AlternateContent>
          <mc:Choice Requires="wps">
            <w:drawing>
              <wp:anchor distT="0" distB="0" distL="114300" distR="114300" simplePos="0" relativeHeight="251743744" behindDoc="1" locked="0" layoutInCell="0" allowOverlap="1">
                <wp:simplePos x="0" y="0"/>
                <wp:positionH relativeFrom="column">
                  <wp:posOffset>-351155</wp:posOffset>
                </wp:positionH>
                <wp:positionV relativeFrom="paragraph">
                  <wp:posOffset>131445</wp:posOffset>
                </wp:positionV>
                <wp:extent cx="3559810" cy="1286510"/>
                <wp:effectExtent l="0" t="0" r="0" b="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286510"/>
                        </a:xfrm>
                        <a:prstGeom prst="rect">
                          <a:avLst/>
                        </a:prstGeom>
                        <a:solidFill>
                          <a:srgbClr val="E05429"/>
                        </a:solidFill>
                      </wps:spPr>
                      <wps:bodyPr/>
                    </wps:wsp>
                  </a:graphicData>
                </a:graphic>
              </wp:anchor>
            </w:drawing>
          </mc:Choice>
          <mc:Fallback>
            <w:pict>
              <v:rect id="Shape 409" o:spid="_x0000_s1434" style="position:absolute;margin-left:-27.6499pt;margin-top:10.35pt;width:280.3pt;height:10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5429" stroked="f"/>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44768" behindDoc="1" locked="0" layoutInCell="0" allowOverlap="1">
                <wp:simplePos x="0" y="0"/>
                <wp:positionH relativeFrom="column">
                  <wp:posOffset>3208655</wp:posOffset>
                </wp:positionH>
                <wp:positionV relativeFrom="paragraph">
                  <wp:posOffset>118745</wp:posOffset>
                </wp:positionV>
                <wp:extent cx="0" cy="1311910"/>
                <wp:effectExtent l="0" t="0" r="0" b="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11910"/>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9.35pt" to="252.65pt,112.65pt" o:allowincell="f" strokecolor="#7F2D13" strokeweight="2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45792" behindDoc="1" locked="0" layoutInCell="0" allowOverlap="1">
                <wp:simplePos x="0" y="0"/>
                <wp:positionH relativeFrom="column">
                  <wp:posOffset>-363855</wp:posOffset>
                </wp:positionH>
                <wp:positionV relativeFrom="paragraph">
                  <wp:posOffset>131445</wp:posOffset>
                </wp:positionV>
                <wp:extent cx="3585210" cy="0"/>
                <wp:effectExtent l="0" t="0" r="0" b="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0.35pt" to="253.65pt,10.35pt" o:allowincell="f" strokecolor="#7F2D13" strokeweight="2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46816" behindDoc="1" locked="0" layoutInCell="0" allowOverlap="1">
                <wp:simplePos x="0" y="0"/>
                <wp:positionH relativeFrom="column">
                  <wp:posOffset>-351155</wp:posOffset>
                </wp:positionH>
                <wp:positionV relativeFrom="paragraph">
                  <wp:posOffset>118745</wp:posOffset>
                </wp:positionV>
                <wp:extent cx="0" cy="1311910"/>
                <wp:effectExtent l="0" t="0" r="0" b="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11910"/>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9.35pt" to="-27.6499pt,112.65pt" o:allowincell="f" strokecolor="#7F2D13" strokeweight="2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47840" behindDoc="1" locked="0" layoutInCell="0" allowOverlap="1">
                <wp:simplePos x="0" y="0"/>
                <wp:positionH relativeFrom="column">
                  <wp:posOffset>-363855</wp:posOffset>
                </wp:positionH>
                <wp:positionV relativeFrom="paragraph">
                  <wp:posOffset>1417955</wp:posOffset>
                </wp:positionV>
                <wp:extent cx="3585210" cy="0"/>
                <wp:effectExtent l="0" t="0" r="0" b="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11.65pt" to="253.65pt,111.65pt" o:allowincell="f" strokecolor="#7F2D13" strokeweight="2pt"/>
            </w:pict>
          </mc:Fallback>
        </mc:AlternateContent>
      </w:r>
    </w:p>
    <w:p w:rsidR="00AC12B4" w:rsidRPr="00C27636" w:rsidRDefault="00AC12B4">
      <w:pPr>
        <w:rPr>
          <w:lang w:val="fr-BE"/>
        </w:rPr>
        <w:sectPr w:rsidR="00AC12B4" w:rsidRPr="00C27636">
          <w:pgSz w:w="12080" w:h="17179"/>
          <w:pgMar w:top="1440" w:right="540" w:bottom="659" w:left="1120" w:header="0" w:footer="0" w:gutter="0"/>
          <w:cols w:space="720" w:equalWidth="0">
            <w:col w:w="10417"/>
          </w:cols>
        </w:sectPr>
      </w:pP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22" w:lineRule="exact"/>
        <w:rPr>
          <w:rFonts w:ascii="Comic Sans MS" w:eastAsia="Comic Sans MS" w:hAnsi="Comic Sans MS" w:cs="Comic Sans MS"/>
          <w:color w:val="E05429"/>
          <w:sz w:val="95"/>
          <w:szCs w:val="95"/>
          <w:lang w:val="fr-BE"/>
        </w:rPr>
      </w:pPr>
    </w:p>
    <w:p w:rsidR="00AC12B4" w:rsidRDefault="00C27636">
      <w:pPr>
        <w:rPr>
          <w:sz w:val="20"/>
          <w:szCs w:val="20"/>
        </w:rPr>
      </w:pPr>
      <w:r>
        <w:rPr>
          <w:rFonts w:ascii="Calibri" w:eastAsia="Calibri" w:hAnsi="Calibri" w:cs="Calibri"/>
          <w:i/>
          <w:iCs/>
          <w:color w:val="DAEEF3"/>
        </w:rPr>
        <w:t>Article 31 CIDE</w:t>
      </w:r>
    </w:p>
    <w:p w:rsidR="00AC12B4" w:rsidRDefault="00AC12B4">
      <w:pPr>
        <w:spacing w:line="169" w:lineRule="exact"/>
        <w:rPr>
          <w:rFonts w:ascii="Comic Sans MS" w:eastAsia="Comic Sans MS" w:hAnsi="Comic Sans MS" w:cs="Comic Sans MS"/>
          <w:color w:val="E05429"/>
          <w:sz w:val="95"/>
          <w:szCs w:val="95"/>
        </w:rPr>
      </w:pPr>
    </w:p>
    <w:p w:rsidR="00AC12B4" w:rsidRPr="00C27636" w:rsidRDefault="00C27636">
      <w:pPr>
        <w:numPr>
          <w:ilvl w:val="0"/>
          <w:numId w:val="264"/>
        </w:numPr>
        <w:tabs>
          <w:tab w:val="left" w:pos="225"/>
        </w:tabs>
        <w:spacing w:line="229" w:lineRule="auto"/>
        <w:ind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Les Etats parties reconnaissent à l’enfant le droit au repos et aux loisirs, de se livrer au jeu et à des activités récréatives propres à son âge et de participer librement à la vie culturelle et artistique.</w:t>
      </w: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24" w:lineRule="exact"/>
        <w:rPr>
          <w:rFonts w:ascii="Comic Sans MS" w:eastAsia="Comic Sans MS" w:hAnsi="Comic Sans MS" w:cs="Comic Sans MS"/>
          <w:color w:val="E05429"/>
          <w:sz w:val="95"/>
          <w:szCs w:val="95"/>
          <w:lang w:val="fr-BE"/>
        </w:rPr>
      </w:pPr>
    </w:p>
    <w:p w:rsidR="00AC12B4" w:rsidRPr="00C27636" w:rsidRDefault="00C27636">
      <w:pPr>
        <w:spacing w:line="229" w:lineRule="auto"/>
        <w:ind w:left="880" w:right="120"/>
        <w:jc w:val="both"/>
        <w:rPr>
          <w:sz w:val="20"/>
          <w:szCs w:val="20"/>
          <w:lang w:val="fr-BE"/>
        </w:rPr>
      </w:pPr>
      <w:r w:rsidRPr="00C27636">
        <w:rPr>
          <w:rFonts w:ascii="Calibri" w:eastAsia="Calibri" w:hAnsi="Calibri" w:cs="Calibri"/>
          <w:lang w:val="fr-BE"/>
        </w:rPr>
        <w:t>Le d</w:t>
      </w:r>
      <w:r w:rsidRPr="00C27636">
        <w:rPr>
          <w:rFonts w:ascii="Calibri" w:eastAsia="Calibri" w:hAnsi="Calibri" w:cs="Calibri"/>
          <w:lang w:val="fr-BE"/>
        </w:rPr>
        <w:t>roit au repos et aux loisirs implique que l'enfant doit ressentir un certain équilibre entre les obligations sociales et le temps libre.</w:t>
      </w:r>
    </w:p>
    <w:p w:rsidR="00AC12B4" w:rsidRPr="00C27636" w:rsidRDefault="00AC12B4">
      <w:pPr>
        <w:spacing w:line="170" w:lineRule="exact"/>
        <w:rPr>
          <w:rFonts w:ascii="Comic Sans MS" w:eastAsia="Comic Sans MS" w:hAnsi="Comic Sans MS" w:cs="Comic Sans MS"/>
          <w:color w:val="E05429"/>
          <w:sz w:val="95"/>
          <w:szCs w:val="95"/>
          <w:lang w:val="fr-BE"/>
        </w:rPr>
      </w:pPr>
    </w:p>
    <w:p w:rsidR="00AC12B4" w:rsidRPr="00C27636" w:rsidRDefault="00C27636">
      <w:pPr>
        <w:spacing w:line="224" w:lineRule="auto"/>
        <w:ind w:left="880" w:right="120"/>
        <w:jc w:val="both"/>
        <w:rPr>
          <w:sz w:val="20"/>
          <w:szCs w:val="20"/>
          <w:lang w:val="fr-BE"/>
        </w:rPr>
      </w:pPr>
      <w:r w:rsidRPr="00C27636">
        <w:rPr>
          <w:rFonts w:ascii="Calibri" w:eastAsia="Calibri" w:hAnsi="Calibri" w:cs="Calibri"/>
          <w:lang w:val="fr-BE"/>
        </w:rPr>
        <w:t>Il n’existe actuellement pas de données relatives au sentiment d’équilibre entre temps de loisirs, de repos ou d’</w:t>
      </w:r>
    </w:p>
    <w:p w:rsidR="00AC12B4" w:rsidRPr="00C27636" w:rsidRDefault="00AC12B4">
      <w:pPr>
        <w:spacing w:line="52" w:lineRule="exact"/>
        <w:rPr>
          <w:rFonts w:ascii="Comic Sans MS" w:eastAsia="Comic Sans MS" w:hAnsi="Comic Sans MS" w:cs="Comic Sans MS"/>
          <w:color w:val="E05429"/>
          <w:sz w:val="95"/>
          <w:szCs w:val="95"/>
          <w:lang w:val="fr-BE"/>
        </w:rPr>
      </w:pPr>
    </w:p>
    <w:p w:rsidR="00AC12B4" w:rsidRPr="00C27636" w:rsidRDefault="00C27636">
      <w:pPr>
        <w:numPr>
          <w:ilvl w:val="0"/>
          <w:numId w:val="265"/>
        </w:numPr>
        <w:tabs>
          <w:tab w:val="left" w:pos="1043"/>
        </w:tabs>
        <w:spacing w:line="218" w:lineRule="auto"/>
        <w:ind w:left="880" w:right="120" w:firstLine="7"/>
        <w:rPr>
          <w:rFonts w:ascii="Calibri" w:eastAsia="Calibri" w:hAnsi="Calibri" w:cs="Calibri"/>
          <w:lang w:val="fr-BE"/>
        </w:rPr>
      </w:pPr>
      <w:r w:rsidRPr="00C27636">
        <w:rPr>
          <w:rFonts w:ascii="Calibri" w:eastAsia="Calibri" w:hAnsi="Calibri" w:cs="Calibri"/>
          <w:lang w:val="fr-BE"/>
        </w:rPr>
        <w:t>obligation » (qu’elles soient scolaires ou sociales).</w:t>
      </w:r>
    </w:p>
    <w:p w:rsidR="00AC12B4" w:rsidRPr="00C27636" w:rsidRDefault="00AC12B4">
      <w:pPr>
        <w:spacing w:line="170" w:lineRule="exact"/>
        <w:rPr>
          <w:rFonts w:ascii="Comic Sans MS" w:eastAsia="Comic Sans MS" w:hAnsi="Comic Sans MS" w:cs="Comic Sans MS"/>
          <w:color w:val="E05429"/>
          <w:sz w:val="95"/>
          <w:szCs w:val="95"/>
          <w:lang w:val="fr-BE"/>
        </w:rPr>
      </w:pPr>
    </w:p>
    <w:p w:rsidR="00AC12B4" w:rsidRPr="00C27636" w:rsidRDefault="00C27636">
      <w:pPr>
        <w:spacing w:line="233" w:lineRule="auto"/>
        <w:ind w:left="880" w:right="120"/>
        <w:jc w:val="both"/>
        <w:rPr>
          <w:sz w:val="20"/>
          <w:szCs w:val="20"/>
          <w:lang w:val="fr-BE"/>
        </w:rPr>
      </w:pPr>
      <w:r w:rsidRPr="00C27636">
        <w:rPr>
          <w:rFonts w:ascii="Calibri" w:eastAsia="Calibri" w:hAnsi="Calibri" w:cs="Calibri"/>
          <w:lang w:val="fr-BE"/>
        </w:rPr>
        <w:t>La CNDE insiste sur la nécessité de mesurer cet aspect du droit au repos et au loisir. Une enquête de type self-report pourrait reprendre la question suivante : «Etes-vous d’accord avec l’affirmation s</w:t>
      </w:r>
      <w:r w:rsidRPr="00C27636">
        <w:rPr>
          <w:rFonts w:ascii="Calibri" w:eastAsia="Calibri" w:hAnsi="Calibri" w:cs="Calibri"/>
          <w:lang w:val="fr-BE"/>
        </w:rPr>
        <w:t>uivante : je trouve qu’on m’impose trop d’activités obligatoires ».</w:t>
      </w:r>
    </w:p>
    <w:p w:rsidR="00AC12B4" w:rsidRPr="00C27636" w:rsidRDefault="00AC12B4">
      <w:pPr>
        <w:spacing w:line="175" w:lineRule="exact"/>
        <w:rPr>
          <w:rFonts w:ascii="Comic Sans MS" w:eastAsia="Comic Sans MS" w:hAnsi="Comic Sans MS" w:cs="Comic Sans MS"/>
          <w:color w:val="E05429"/>
          <w:sz w:val="95"/>
          <w:szCs w:val="95"/>
          <w:lang w:val="fr-BE"/>
        </w:rPr>
      </w:pPr>
    </w:p>
    <w:p w:rsidR="00AC12B4" w:rsidRPr="00C27636" w:rsidRDefault="00C27636">
      <w:pPr>
        <w:spacing w:line="218" w:lineRule="auto"/>
        <w:ind w:left="880" w:right="120"/>
        <w:jc w:val="both"/>
        <w:rPr>
          <w:sz w:val="20"/>
          <w:szCs w:val="20"/>
          <w:lang w:val="fr-BE"/>
        </w:rPr>
      </w:pPr>
      <w:r w:rsidRPr="00C27636">
        <w:rPr>
          <w:rFonts w:ascii="Calibri" w:eastAsia="Calibri" w:hAnsi="Calibri" w:cs="Calibri"/>
          <w:lang w:val="fr-BE"/>
        </w:rPr>
        <w:t>En repensant à la semaine précédant l’enquête, un jeune sur deux (51,8%)</w:t>
      </w:r>
    </w:p>
    <w:p w:rsidR="00AC12B4" w:rsidRPr="00C27636" w:rsidRDefault="00C27636">
      <w:pPr>
        <w:spacing w:line="20" w:lineRule="exact"/>
        <w:rPr>
          <w:rFonts w:ascii="Comic Sans MS" w:eastAsia="Comic Sans MS" w:hAnsi="Comic Sans MS" w:cs="Comic Sans MS"/>
          <w:color w:val="E05429"/>
          <w:sz w:val="95"/>
          <w:szCs w:val="95"/>
          <w:lang w:val="fr-BE"/>
        </w:rPr>
      </w:pPr>
      <w:r>
        <w:rPr>
          <w:rFonts w:ascii="Comic Sans MS" w:eastAsia="Comic Sans MS" w:hAnsi="Comic Sans MS" w:cs="Comic Sans MS"/>
          <w:noProof/>
          <w:color w:val="E05429"/>
          <w:sz w:val="95"/>
          <w:szCs w:val="95"/>
        </w:rPr>
        <mc:AlternateContent>
          <mc:Choice Requires="wps">
            <w:drawing>
              <wp:anchor distT="0" distB="0" distL="114300" distR="114300" simplePos="0" relativeHeight="251748864" behindDoc="1" locked="0" layoutInCell="0" allowOverlap="1">
                <wp:simplePos x="0" y="0"/>
                <wp:positionH relativeFrom="column">
                  <wp:posOffset>952500</wp:posOffset>
                </wp:positionH>
                <wp:positionV relativeFrom="paragraph">
                  <wp:posOffset>123190</wp:posOffset>
                </wp:positionV>
                <wp:extent cx="4240530" cy="0"/>
                <wp:effectExtent l="0" t="0" r="0" b="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240530" cy="4763"/>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pt,9.7pt" to="408.9pt,9.7pt" o:allowincell="f" strokecolor="#E05429" strokeweight="0.75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49888" behindDoc="1" locked="0" layoutInCell="0" allowOverlap="1">
                <wp:simplePos x="0" y="0"/>
                <wp:positionH relativeFrom="column">
                  <wp:posOffset>956945</wp:posOffset>
                </wp:positionH>
                <wp:positionV relativeFrom="paragraph">
                  <wp:posOffset>118110</wp:posOffset>
                </wp:positionV>
                <wp:extent cx="0" cy="2678430"/>
                <wp:effectExtent l="0" t="0" r="0" b="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78430"/>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35pt,9.3pt" to="75.35pt,220.2pt" o:allowincell="f" strokecolor="#E05429" strokeweight="0.75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50912" behindDoc="1" locked="0" layoutInCell="0" allowOverlap="1">
                <wp:simplePos x="0" y="0"/>
                <wp:positionH relativeFrom="column">
                  <wp:posOffset>5188585</wp:posOffset>
                </wp:positionH>
                <wp:positionV relativeFrom="paragraph">
                  <wp:posOffset>118110</wp:posOffset>
                </wp:positionV>
                <wp:extent cx="0" cy="2678430"/>
                <wp:effectExtent l="0" t="0" r="0" b="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78430"/>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55pt,9.3pt" to="408.55pt,220.2pt" o:allowincell="f" strokecolor="#E05429" strokeweight="0.75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51936" behindDoc="1" locked="0" layoutInCell="0" allowOverlap="1">
                <wp:simplePos x="0" y="0"/>
                <wp:positionH relativeFrom="column">
                  <wp:posOffset>952500</wp:posOffset>
                </wp:positionH>
                <wp:positionV relativeFrom="paragraph">
                  <wp:posOffset>2791460</wp:posOffset>
                </wp:positionV>
                <wp:extent cx="4240530" cy="0"/>
                <wp:effectExtent l="0" t="0" r="0" b="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240530" cy="4763"/>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pt,219.8pt" to="408.9pt,219.8pt" o:allowincell="f" strokecolor="#E05429" strokeweight="0.75pt"/>
            </w:pict>
          </mc:Fallback>
        </mc:AlternateContent>
      </w:r>
    </w:p>
    <w:p w:rsidR="00AC12B4" w:rsidRPr="00C27636" w:rsidRDefault="00C27636">
      <w:pPr>
        <w:spacing w:line="20" w:lineRule="exact"/>
        <w:rPr>
          <w:rFonts w:ascii="Comic Sans MS" w:eastAsia="Comic Sans MS" w:hAnsi="Comic Sans MS" w:cs="Comic Sans MS"/>
          <w:color w:val="E05429"/>
          <w:sz w:val="95"/>
          <w:szCs w:val="95"/>
          <w:lang w:val="fr-BE"/>
        </w:rPr>
      </w:pPr>
      <w:r w:rsidRPr="00C27636">
        <w:rPr>
          <w:rFonts w:ascii="Comic Sans MS" w:eastAsia="Comic Sans MS" w:hAnsi="Comic Sans MS" w:cs="Comic Sans MS"/>
          <w:color w:val="E05429"/>
          <w:sz w:val="95"/>
          <w:szCs w:val="95"/>
          <w:lang w:val="fr-BE"/>
        </w:rPr>
        <w:br w:type="column"/>
      </w:r>
    </w:p>
    <w:p w:rsidR="00AC12B4" w:rsidRPr="00C27636" w:rsidRDefault="00AC12B4">
      <w:pPr>
        <w:spacing w:line="223" w:lineRule="exact"/>
        <w:rPr>
          <w:rFonts w:ascii="Comic Sans MS" w:eastAsia="Comic Sans MS" w:hAnsi="Comic Sans MS" w:cs="Comic Sans MS"/>
          <w:color w:val="E05429"/>
          <w:sz w:val="95"/>
          <w:szCs w:val="95"/>
          <w:lang w:val="fr-BE"/>
        </w:rPr>
      </w:pPr>
    </w:p>
    <w:p w:rsidR="00AC12B4" w:rsidRPr="00C27636" w:rsidRDefault="00C27636">
      <w:pPr>
        <w:spacing w:line="239" w:lineRule="auto"/>
        <w:ind w:right="1077"/>
        <w:rPr>
          <w:sz w:val="20"/>
          <w:szCs w:val="20"/>
          <w:lang w:val="fr-BE"/>
        </w:rPr>
      </w:pPr>
      <w:r w:rsidRPr="00C27636">
        <w:rPr>
          <w:rFonts w:ascii="Calibri" w:eastAsia="Calibri" w:hAnsi="Calibri" w:cs="Calibri"/>
          <w:sz w:val="19"/>
          <w:szCs w:val="19"/>
          <w:lang w:val="fr-BE"/>
        </w:rPr>
        <w:t>rapporte qu’il a toujours (ou très souvent) eu assez de temps pour lui et un jeune sur</w:t>
      </w:r>
    </w:p>
    <w:p w:rsidR="00AC12B4" w:rsidRPr="00C27636" w:rsidRDefault="00AC12B4">
      <w:pPr>
        <w:spacing w:line="73" w:lineRule="exact"/>
        <w:rPr>
          <w:rFonts w:ascii="Comic Sans MS" w:eastAsia="Comic Sans MS" w:hAnsi="Comic Sans MS" w:cs="Comic Sans MS"/>
          <w:color w:val="E05429"/>
          <w:sz w:val="95"/>
          <w:szCs w:val="95"/>
          <w:lang w:val="fr-BE"/>
        </w:rPr>
      </w:pPr>
    </w:p>
    <w:p w:rsidR="00AC12B4" w:rsidRPr="00C27636" w:rsidRDefault="00C27636">
      <w:pPr>
        <w:spacing w:line="218" w:lineRule="auto"/>
        <w:ind w:right="3337"/>
        <w:jc w:val="both"/>
        <w:rPr>
          <w:sz w:val="20"/>
          <w:szCs w:val="20"/>
          <w:lang w:val="fr-BE"/>
        </w:rPr>
      </w:pPr>
      <w:r w:rsidRPr="00C27636">
        <w:rPr>
          <w:rFonts w:ascii="Calibri" w:eastAsia="Calibri" w:hAnsi="Calibri" w:cs="Calibri"/>
          <w:lang w:val="fr-BE"/>
        </w:rPr>
        <w:t xml:space="preserve">cinq rapporte </w:t>
      </w:r>
      <w:r w:rsidRPr="00C27636">
        <w:rPr>
          <w:rFonts w:ascii="Calibri" w:eastAsia="Calibri" w:hAnsi="Calibri" w:cs="Calibri"/>
          <w:lang w:val="fr-BE"/>
        </w:rPr>
        <w:t>qu'il n'en a</w:t>
      </w:r>
    </w:p>
    <w:p w:rsidR="00AC12B4" w:rsidRPr="00C27636" w:rsidRDefault="00C27636">
      <w:pPr>
        <w:spacing w:line="20" w:lineRule="exact"/>
        <w:rPr>
          <w:rFonts w:ascii="Comic Sans MS" w:eastAsia="Comic Sans MS" w:hAnsi="Comic Sans MS" w:cs="Comic Sans MS"/>
          <w:color w:val="E05429"/>
          <w:sz w:val="95"/>
          <w:szCs w:val="95"/>
          <w:lang w:val="fr-BE"/>
        </w:rPr>
      </w:pPr>
      <w:r>
        <w:rPr>
          <w:rFonts w:ascii="Comic Sans MS" w:eastAsia="Comic Sans MS" w:hAnsi="Comic Sans MS" w:cs="Comic Sans MS"/>
          <w:noProof/>
          <w:color w:val="E05429"/>
          <w:sz w:val="95"/>
          <w:szCs w:val="95"/>
        </w:rPr>
        <mc:AlternateContent>
          <mc:Choice Requires="wps">
            <w:drawing>
              <wp:anchor distT="0" distB="0" distL="114300" distR="114300" simplePos="0" relativeHeight="251752960" behindDoc="1" locked="0" layoutInCell="0" allowOverlap="1">
                <wp:simplePos x="0" y="0"/>
                <wp:positionH relativeFrom="column">
                  <wp:posOffset>1271270</wp:posOffset>
                </wp:positionH>
                <wp:positionV relativeFrom="paragraph">
                  <wp:posOffset>-78740</wp:posOffset>
                </wp:positionV>
                <wp:extent cx="1722755" cy="2493010"/>
                <wp:effectExtent l="0" t="0" r="0" b="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2755" cy="2493010"/>
                        </a:xfrm>
                        <a:prstGeom prst="rect">
                          <a:avLst/>
                        </a:prstGeom>
                        <a:solidFill>
                          <a:srgbClr val="FFFFFF"/>
                        </a:solidFill>
                      </wps:spPr>
                      <wps:bodyPr/>
                    </wps:wsp>
                  </a:graphicData>
                </a:graphic>
              </wp:anchor>
            </w:drawing>
          </mc:Choice>
          <mc:Fallback>
            <w:pict>
              <v:rect id="Shape 418" o:spid="_x0000_s1443" style="position:absolute;margin-left:100.1pt;margin-top:-6.1999pt;width:135.65pt;height:196.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53984" behindDoc="1" locked="0" layoutInCell="0" allowOverlap="1">
                <wp:simplePos x="0" y="0"/>
                <wp:positionH relativeFrom="column">
                  <wp:posOffset>2994025</wp:posOffset>
                </wp:positionH>
                <wp:positionV relativeFrom="paragraph">
                  <wp:posOffset>-91440</wp:posOffset>
                </wp:positionV>
                <wp:extent cx="0" cy="2518410"/>
                <wp:effectExtent l="0" t="0" r="0" b="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518410"/>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75pt,-7.1999pt" to="235.75pt,191.1pt" o:allowincell="f" strokecolor="#E05429" strokeweight="2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55008" behindDoc="1" locked="0" layoutInCell="0" allowOverlap="1">
                <wp:simplePos x="0" y="0"/>
                <wp:positionH relativeFrom="column">
                  <wp:posOffset>1271270</wp:posOffset>
                </wp:positionH>
                <wp:positionV relativeFrom="paragraph">
                  <wp:posOffset>-91440</wp:posOffset>
                </wp:positionV>
                <wp:extent cx="0" cy="2518410"/>
                <wp:effectExtent l="0" t="0" r="0" b="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518410"/>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1pt,-7.1999pt" to="100.1pt,191.1pt" o:allowincell="f" strokecolor="#E05429" strokeweight="2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56032" behindDoc="1" locked="0" layoutInCell="0" allowOverlap="1">
                <wp:simplePos x="0" y="0"/>
                <wp:positionH relativeFrom="column">
                  <wp:posOffset>1258570</wp:posOffset>
                </wp:positionH>
                <wp:positionV relativeFrom="paragraph">
                  <wp:posOffset>2414270</wp:posOffset>
                </wp:positionV>
                <wp:extent cx="1748155" cy="0"/>
                <wp:effectExtent l="0" t="0" r="0" b="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8155" cy="4763"/>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1pt,190.1pt" to="236.75pt,190.1pt" o:allowincell="f" strokecolor="#E05429" strokeweight="2pt"/>
            </w:pict>
          </mc:Fallback>
        </mc:AlternateContent>
      </w:r>
      <w:r>
        <w:rPr>
          <w:rFonts w:ascii="Comic Sans MS" w:eastAsia="Comic Sans MS" w:hAnsi="Comic Sans MS" w:cs="Comic Sans MS"/>
          <w:noProof/>
          <w:color w:val="E05429"/>
          <w:sz w:val="95"/>
          <w:szCs w:val="95"/>
        </w:rPr>
        <mc:AlternateContent>
          <mc:Choice Requires="wps">
            <w:drawing>
              <wp:anchor distT="0" distB="0" distL="114300" distR="114300" simplePos="0" relativeHeight="251757056" behindDoc="1" locked="0" layoutInCell="0" allowOverlap="1">
                <wp:simplePos x="0" y="0"/>
                <wp:positionH relativeFrom="column">
                  <wp:posOffset>1258570</wp:posOffset>
                </wp:positionH>
                <wp:positionV relativeFrom="paragraph">
                  <wp:posOffset>-78740</wp:posOffset>
                </wp:positionV>
                <wp:extent cx="1748155" cy="0"/>
                <wp:effectExtent l="0" t="0" r="0" b="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8155" cy="4763"/>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1pt,-6.1999pt" to="236.75pt,-6.1999pt" o:allowincell="f" strokecolor="#E05429" strokeweight="2pt"/>
            </w:pict>
          </mc:Fallback>
        </mc:AlternateContent>
      </w:r>
    </w:p>
    <w:p w:rsidR="00AC12B4" w:rsidRPr="00C27636" w:rsidRDefault="00C27636">
      <w:pPr>
        <w:tabs>
          <w:tab w:val="left" w:pos="1340"/>
        </w:tabs>
        <w:rPr>
          <w:sz w:val="20"/>
          <w:szCs w:val="20"/>
          <w:lang w:val="fr-BE"/>
        </w:rPr>
      </w:pPr>
      <w:r w:rsidRPr="00C27636">
        <w:rPr>
          <w:rFonts w:ascii="Calibri" w:eastAsia="Calibri" w:hAnsi="Calibri" w:cs="Calibri"/>
          <w:lang w:val="fr-BE"/>
        </w:rPr>
        <w:t>jamais</w:t>
      </w:r>
      <w:r w:rsidRPr="00C27636">
        <w:rPr>
          <w:sz w:val="20"/>
          <w:szCs w:val="20"/>
          <w:lang w:val="fr-BE"/>
        </w:rPr>
        <w:tab/>
      </w:r>
      <w:r w:rsidRPr="00C27636">
        <w:rPr>
          <w:rFonts w:ascii="Calibri" w:eastAsia="Calibri" w:hAnsi="Calibri" w:cs="Calibri"/>
          <w:lang w:val="fr-BE"/>
        </w:rPr>
        <w:t>ou</w:t>
      </w:r>
    </w:p>
    <w:p w:rsidR="00AC12B4" w:rsidRPr="00C27636" w:rsidRDefault="00AC12B4">
      <w:pPr>
        <w:spacing w:line="49" w:lineRule="exact"/>
        <w:rPr>
          <w:rFonts w:ascii="Comic Sans MS" w:eastAsia="Comic Sans MS" w:hAnsi="Comic Sans MS" w:cs="Comic Sans MS"/>
          <w:color w:val="E05429"/>
          <w:sz w:val="95"/>
          <w:szCs w:val="95"/>
          <w:lang w:val="fr-BE"/>
        </w:rPr>
      </w:pPr>
    </w:p>
    <w:p w:rsidR="00AC12B4" w:rsidRPr="00C27636" w:rsidRDefault="00C27636">
      <w:pPr>
        <w:spacing w:line="218" w:lineRule="auto"/>
        <w:ind w:right="3337"/>
        <w:jc w:val="both"/>
        <w:rPr>
          <w:sz w:val="20"/>
          <w:szCs w:val="20"/>
          <w:lang w:val="fr-BE"/>
        </w:rPr>
      </w:pPr>
      <w:r w:rsidRPr="00C27636">
        <w:rPr>
          <w:rFonts w:ascii="Calibri" w:eastAsia="Calibri" w:hAnsi="Calibri" w:cs="Calibri"/>
          <w:lang w:val="fr-BE"/>
        </w:rPr>
        <w:t>rarement eu (19,0%).</w:t>
      </w:r>
    </w:p>
    <w:p w:rsidR="00AC12B4" w:rsidRPr="00C27636" w:rsidRDefault="00AC12B4">
      <w:pPr>
        <w:spacing w:line="207" w:lineRule="exact"/>
        <w:rPr>
          <w:rFonts w:ascii="Comic Sans MS" w:eastAsia="Comic Sans MS" w:hAnsi="Comic Sans MS" w:cs="Comic Sans MS"/>
          <w:color w:val="E05429"/>
          <w:sz w:val="95"/>
          <w:szCs w:val="95"/>
          <w:lang w:val="fr-BE"/>
        </w:rPr>
      </w:pPr>
    </w:p>
    <w:p w:rsidR="00AC12B4" w:rsidRPr="00C27636" w:rsidRDefault="00C27636">
      <w:pPr>
        <w:rPr>
          <w:sz w:val="20"/>
          <w:szCs w:val="20"/>
          <w:lang w:val="fr-BE"/>
        </w:rPr>
      </w:pPr>
      <w:r w:rsidRPr="00C27636">
        <w:rPr>
          <w:rFonts w:ascii="Cambria" w:eastAsia="Cambria" w:hAnsi="Cambria" w:cs="Cambria"/>
          <w:b/>
          <w:bCs/>
          <w:i/>
          <w:iCs/>
          <w:color w:val="7F2D13"/>
          <w:sz w:val="26"/>
          <w:szCs w:val="26"/>
          <w:lang w:val="fr-BE"/>
        </w:rPr>
        <w:t>Iniquité</w:t>
      </w:r>
    </w:p>
    <w:p w:rsidR="00AC12B4" w:rsidRPr="00C27636" w:rsidRDefault="00AC12B4">
      <w:pPr>
        <w:spacing w:line="160" w:lineRule="exact"/>
        <w:rPr>
          <w:rFonts w:ascii="Comic Sans MS" w:eastAsia="Comic Sans MS" w:hAnsi="Comic Sans MS" w:cs="Comic Sans MS"/>
          <w:color w:val="E05429"/>
          <w:sz w:val="95"/>
          <w:szCs w:val="95"/>
          <w:lang w:val="fr-BE"/>
        </w:rPr>
      </w:pPr>
    </w:p>
    <w:p w:rsidR="00AC12B4" w:rsidRPr="00C27636" w:rsidRDefault="00C27636">
      <w:pPr>
        <w:rPr>
          <w:sz w:val="20"/>
          <w:szCs w:val="20"/>
          <w:lang w:val="fr-BE"/>
        </w:rPr>
      </w:pPr>
      <w:r w:rsidRPr="00C27636">
        <w:rPr>
          <w:rFonts w:ascii="Calibri" w:eastAsia="Calibri" w:hAnsi="Calibri" w:cs="Calibri"/>
          <w:lang w:val="fr-BE"/>
        </w:rPr>
        <w:t>La proportion de</w:t>
      </w:r>
    </w:p>
    <w:p w:rsidR="00AC12B4" w:rsidRPr="00C27636" w:rsidRDefault="00AC12B4">
      <w:pPr>
        <w:spacing w:line="49" w:lineRule="exact"/>
        <w:rPr>
          <w:rFonts w:ascii="Comic Sans MS" w:eastAsia="Comic Sans MS" w:hAnsi="Comic Sans MS" w:cs="Comic Sans MS"/>
          <w:color w:val="E05429"/>
          <w:sz w:val="95"/>
          <w:szCs w:val="95"/>
          <w:lang w:val="fr-BE"/>
        </w:rPr>
      </w:pPr>
    </w:p>
    <w:p w:rsidR="00AC12B4" w:rsidRPr="00C27636" w:rsidRDefault="00C27636">
      <w:pPr>
        <w:spacing w:line="234" w:lineRule="auto"/>
        <w:ind w:right="3357"/>
        <w:jc w:val="both"/>
        <w:rPr>
          <w:sz w:val="20"/>
          <w:szCs w:val="20"/>
          <w:lang w:val="fr-BE"/>
        </w:rPr>
      </w:pPr>
      <w:r w:rsidRPr="00C27636">
        <w:rPr>
          <w:rFonts w:ascii="Calibri" w:eastAsia="Calibri" w:hAnsi="Calibri" w:cs="Calibri"/>
          <w:lang w:val="fr-BE"/>
        </w:rPr>
        <w:t>jeunes qui rapportent qu'ils ont toujours ou très souvent eu assez de temps pour eux est plus élevée parmi les garçons et parmi</w:t>
      </w:r>
    </w:p>
    <w:p w:rsidR="00AC12B4" w:rsidRPr="00C27636" w:rsidRDefault="00AC12B4">
      <w:pPr>
        <w:spacing w:line="53" w:lineRule="exact"/>
        <w:rPr>
          <w:rFonts w:ascii="Comic Sans MS" w:eastAsia="Comic Sans MS" w:hAnsi="Comic Sans MS" w:cs="Comic Sans MS"/>
          <w:color w:val="E05429"/>
          <w:sz w:val="95"/>
          <w:szCs w:val="95"/>
          <w:lang w:val="fr-BE"/>
        </w:rPr>
      </w:pPr>
    </w:p>
    <w:p w:rsidR="00AC12B4" w:rsidRPr="00C27636" w:rsidRDefault="00C27636">
      <w:pPr>
        <w:spacing w:line="229" w:lineRule="auto"/>
        <w:ind w:right="1077"/>
        <w:jc w:val="both"/>
        <w:rPr>
          <w:sz w:val="20"/>
          <w:szCs w:val="20"/>
          <w:lang w:val="fr-BE"/>
        </w:rPr>
      </w:pPr>
      <w:r w:rsidRPr="00C27636">
        <w:rPr>
          <w:rFonts w:ascii="Calibri" w:eastAsia="Calibri" w:hAnsi="Calibri" w:cs="Calibri"/>
          <w:lang w:val="fr-BE"/>
        </w:rPr>
        <w:t xml:space="preserve">les jeunes qui vivent avec leurs deux parents. </w:t>
      </w:r>
      <w:r w:rsidRPr="00C27636">
        <w:rPr>
          <w:rFonts w:ascii="Calibri" w:eastAsia="Calibri" w:hAnsi="Calibri" w:cs="Calibri"/>
          <w:lang w:val="fr-BE"/>
        </w:rPr>
        <w:t>Cette proportion diminue lorsque l’âge augmente et lorsque le niveau d'aisance matérielle de la famille diminue.</w:t>
      </w:r>
    </w:p>
    <w:p w:rsidR="00AC12B4" w:rsidRPr="00C27636" w:rsidRDefault="00AC12B4">
      <w:pPr>
        <w:spacing w:line="1818" w:lineRule="exact"/>
        <w:rPr>
          <w:rFonts w:ascii="Comic Sans MS" w:eastAsia="Comic Sans MS" w:hAnsi="Comic Sans MS" w:cs="Comic Sans MS"/>
          <w:color w:val="E05429"/>
          <w:sz w:val="95"/>
          <w:szCs w:val="95"/>
          <w:lang w:val="fr-BE"/>
        </w:rPr>
      </w:pPr>
    </w:p>
    <w:p w:rsidR="00AC12B4" w:rsidRPr="00C27636" w:rsidRDefault="00AC12B4">
      <w:pPr>
        <w:rPr>
          <w:lang w:val="fr-BE"/>
        </w:rPr>
        <w:sectPr w:rsidR="00AC12B4" w:rsidRPr="00C27636">
          <w:type w:val="continuous"/>
          <w:pgSz w:w="12080" w:h="17179"/>
          <w:pgMar w:top="1440" w:right="540" w:bottom="659" w:left="1120" w:header="0" w:footer="0" w:gutter="0"/>
          <w:cols w:num="2" w:space="720" w:equalWidth="0">
            <w:col w:w="4880" w:space="600"/>
            <w:col w:w="4937"/>
          </w:cols>
        </w:sectPr>
      </w:pPr>
    </w:p>
    <w:p w:rsidR="00AC12B4" w:rsidRPr="00C27636" w:rsidRDefault="00AC12B4">
      <w:pPr>
        <w:spacing w:line="148" w:lineRule="exact"/>
        <w:rPr>
          <w:rFonts w:ascii="Comic Sans MS" w:eastAsia="Comic Sans MS" w:hAnsi="Comic Sans MS" w:cs="Comic Sans MS"/>
          <w:color w:val="E05429"/>
          <w:sz w:val="95"/>
          <w:szCs w:val="95"/>
          <w:lang w:val="fr-BE"/>
        </w:rPr>
      </w:pPr>
    </w:p>
    <w:p w:rsidR="00AC12B4" w:rsidRPr="00C27636" w:rsidRDefault="00C27636">
      <w:pPr>
        <w:ind w:left="4220"/>
        <w:rPr>
          <w:sz w:val="20"/>
          <w:szCs w:val="20"/>
          <w:lang w:val="fr-BE"/>
        </w:rPr>
      </w:pPr>
      <w:r w:rsidRPr="00C27636">
        <w:rPr>
          <w:rFonts w:ascii="Calibri" w:eastAsia="Calibri" w:hAnsi="Calibri" w:cs="Calibri"/>
          <w:sz w:val="20"/>
          <w:szCs w:val="20"/>
          <w:lang w:val="fr-BE"/>
        </w:rPr>
        <w:t>4,2%</w:t>
      </w:r>
    </w:p>
    <w:p w:rsidR="00AC12B4" w:rsidRPr="00C27636" w:rsidRDefault="00C27636">
      <w:pPr>
        <w:spacing w:line="20" w:lineRule="exact"/>
        <w:rPr>
          <w:rFonts w:ascii="Comic Sans MS" w:eastAsia="Comic Sans MS" w:hAnsi="Comic Sans MS" w:cs="Comic Sans MS"/>
          <w:color w:val="E05429"/>
          <w:sz w:val="95"/>
          <w:szCs w:val="95"/>
          <w:lang w:val="fr-BE"/>
        </w:rPr>
      </w:pPr>
      <w:r>
        <w:rPr>
          <w:rFonts w:ascii="Comic Sans MS" w:eastAsia="Comic Sans MS" w:hAnsi="Comic Sans MS" w:cs="Comic Sans MS"/>
          <w:noProof/>
          <w:color w:val="E05429"/>
          <w:sz w:val="95"/>
          <w:szCs w:val="95"/>
        </w:rPr>
        <w:drawing>
          <wp:anchor distT="0" distB="0" distL="114300" distR="114300" simplePos="0" relativeHeight="251758080" behindDoc="1" locked="0" layoutInCell="0" allowOverlap="1">
            <wp:simplePos x="0" y="0"/>
            <wp:positionH relativeFrom="column">
              <wp:posOffset>1407795</wp:posOffset>
            </wp:positionH>
            <wp:positionV relativeFrom="paragraph">
              <wp:posOffset>3810</wp:posOffset>
            </wp:positionV>
            <wp:extent cx="2325370" cy="2164715"/>
            <wp:effectExtent l="0" t="0" r="0" b="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244">
                      <a:extLst/>
                    </a:blip>
                    <a:srcRect/>
                    <a:stretch>
                      <a:fillRect/>
                    </a:stretch>
                  </pic:blipFill>
                  <pic:spPr bwMode="auto">
                    <a:xfrm>
                      <a:off x="0" y="0"/>
                      <a:ext cx="2325370" cy="2164715"/>
                    </a:xfrm>
                    <a:prstGeom prst="rect">
                      <a:avLst/>
                    </a:prstGeom>
                    <a:noFill/>
                  </pic:spPr>
                </pic:pic>
              </a:graphicData>
            </a:graphic>
          </wp:anchor>
        </w:drawing>
      </w:r>
    </w:p>
    <w:p w:rsidR="00AC12B4" w:rsidRPr="00C27636" w:rsidRDefault="00C27636">
      <w:pPr>
        <w:tabs>
          <w:tab w:val="left" w:pos="5280"/>
        </w:tabs>
        <w:spacing w:line="183" w:lineRule="auto"/>
        <w:ind w:left="2480"/>
        <w:rPr>
          <w:sz w:val="20"/>
          <w:szCs w:val="20"/>
          <w:lang w:val="fr-BE"/>
        </w:rPr>
      </w:pPr>
      <w:r w:rsidRPr="00C27636">
        <w:rPr>
          <w:rFonts w:ascii="Calibri" w:eastAsia="Calibri" w:hAnsi="Calibri" w:cs="Calibri"/>
          <w:sz w:val="36"/>
          <w:szCs w:val="36"/>
          <w:vertAlign w:val="superscript"/>
          <w:lang w:val="fr-BE"/>
        </w:rPr>
        <w:t>20,9%</w:t>
      </w:r>
      <w:r w:rsidRPr="00C27636">
        <w:rPr>
          <w:sz w:val="20"/>
          <w:szCs w:val="20"/>
          <w:lang w:val="fr-BE"/>
        </w:rPr>
        <w:tab/>
      </w:r>
      <w:r w:rsidRPr="00C27636">
        <w:rPr>
          <w:rFonts w:ascii="Calibri" w:eastAsia="Calibri" w:hAnsi="Calibri" w:cs="Calibri"/>
          <w:sz w:val="18"/>
          <w:szCs w:val="18"/>
          <w:lang w:val="fr-BE"/>
        </w:rPr>
        <w:t>14,8%</w:t>
      </w: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307" w:lineRule="exact"/>
        <w:rPr>
          <w:rFonts w:ascii="Comic Sans MS" w:eastAsia="Comic Sans MS" w:hAnsi="Comic Sans MS" w:cs="Comic Sans MS"/>
          <w:color w:val="E05429"/>
          <w:sz w:val="95"/>
          <w:szCs w:val="95"/>
          <w:lang w:val="fr-BE"/>
        </w:rPr>
      </w:pPr>
    </w:p>
    <w:p w:rsidR="00AC12B4" w:rsidRPr="00C27636" w:rsidRDefault="00C27636">
      <w:pPr>
        <w:ind w:left="6780"/>
        <w:rPr>
          <w:sz w:val="20"/>
          <w:szCs w:val="20"/>
          <w:lang w:val="fr-BE"/>
        </w:rPr>
      </w:pPr>
      <w:r>
        <w:rPr>
          <w:noProof/>
          <w:sz w:val="1"/>
          <w:szCs w:val="1"/>
        </w:rPr>
        <w:drawing>
          <wp:inline distT="0" distB="0" distL="0" distR="0">
            <wp:extent cx="69850" cy="6985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245">
                      <a:extLst/>
                    </a:blip>
                    <a:srcRect/>
                    <a:stretch>
                      <a:fillRect/>
                    </a:stretch>
                  </pic:blipFill>
                  <pic:spPr bwMode="auto">
                    <a:xfrm>
                      <a:off x="0" y="0"/>
                      <a:ext cx="69850" cy="69850"/>
                    </a:xfrm>
                    <a:prstGeom prst="rect">
                      <a:avLst/>
                    </a:prstGeom>
                    <a:noFill/>
                    <a:ln>
                      <a:noFill/>
                    </a:ln>
                  </pic:spPr>
                </pic:pic>
              </a:graphicData>
            </a:graphic>
          </wp:inline>
        </w:drawing>
      </w:r>
      <w:r w:rsidRPr="00C27636">
        <w:rPr>
          <w:rFonts w:ascii="Calibri" w:eastAsia="Calibri" w:hAnsi="Calibri" w:cs="Calibri"/>
          <w:sz w:val="20"/>
          <w:szCs w:val="20"/>
          <w:lang w:val="fr-BE"/>
        </w:rPr>
        <w:t xml:space="preserve"> Jamais</w:t>
      </w:r>
    </w:p>
    <w:p w:rsidR="00AC12B4" w:rsidRPr="00C27636" w:rsidRDefault="00AC12B4">
      <w:pPr>
        <w:spacing w:line="117" w:lineRule="exact"/>
        <w:rPr>
          <w:rFonts w:ascii="Comic Sans MS" w:eastAsia="Comic Sans MS" w:hAnsi="Comic Sans MS" w:cs="Comic Sans MS"/>
          <w:color w:val="E05429"/>
          <w:sz w:val="95"/>
          <w:szCs w:val="95"/>
          <w:lang w:val="fr-BE"/>
        </w:rPr>
      </w:pPr>
    </w:p>
    <w:p w:rsidR="00AC12B4" w:rsidRPr="00C27636" w:rsidRDefault="00C27636">
      <w:pPr>
        <w:ind w:left="6780"/>
        <w:rPr>
          <w:sz w:val="20"/>
          <w:szCs w:val="20"/>
          <w:lang w:val="fr-BE"/>
        </w:rPr>
      </w:pPr>
      <w:r>
        <w:rPr>
          <w:noProof/>
          <w:sz w:val="1"/>
          <w:szCs w:val="1"/>
        </w:rPr>
        <w:drawing>
          <wp:inline distT="0" distB="0" distL="0" distR="0">
            <wp:extent cx="69850" cy="6985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246">
                      <a:extLst/>
                    </a:blip>
                    <a:srcRect/>
                    <a:stretch>
                      <a:fillRect/>
                    </a:stretch>
                  </pic:blipFill>
                  <pic:spPr bwMode="auto">
                    <a:xfrm>
                      <a:off x="0" y="0"/>
                      <a:ext cx="69850" cy="69850"/>
                    </a:xfrm>
                    <a:prstGeom prst="rect">
                      <a:avLst/>
                    </a:prstGeom>
                    <a:noFill/>
                    <a:ln>
                      <a:noFill/>
                    </a:ln>
                  </pic:spPr>
                </pic:pic>
              </a:graphicData>
            </a:graphic>
          </wp:inline>
        </w:drawing>
      </w:r>
      <w:r w:rsidRPr="00C27636">
        <w:rPr>
          <w:rFonts w:ascii="Calibri" w:eastAsia="Calibri" w:hAnsi="Calibri" w:cs="Calibri"/>
          <w:sz w:val="20"/>
          <w:szCs w:val="20"/>
          <w:lang w:val="fr-BE"/>
        </w:rPr>
        <w:t xml:space="preserve"> Rarement</w:t>
      </w:r>
    </w:p>
    <w:p w:rsidR="00AC12B4" w:rsidRPr="00C27636" w:rsidRDefault="00AC12B4">
      <w:pPr>
        <w:spacing w:line="118" w:lineRule="exact"/>
        <w:rPr>
          <w:rFonts w:ascii="Comic Sans MS" w:eastAsia="Comic Sans MS" w:hAnsi="Comic Sans MS" w:cs="Comic Sans MS"/>
          <w:color w:val="E05429"/>
          <w:sz w:val="95"/>
          <w:szCs w:val="95"/>
          <w:lang w:val="fr-BE"/>
        </w:rPr>
      </w:pPr>
    </w:p>
    <w:p w:rsidR="00AC12B4" w:rsidRPr="00C27636" w:rsidRDefault="00C27636">
      <w:pPr>
        <w:ind w:left="6780"/>
        <w:rPr>
          <w:sz w:val="20"/>
          <w:szCs w:val="20"/>
          <w:lang w:val="fr-BE"/>
        </w:rPr>
      </w:pPr>
      <w:r>
        <w:rPr>
          <w:noProof/>
          <w:sz w:val="1"/>
          <w:szCs w:val="1"/>
        </w:rPr>
        <w:drawing>
          <wp:inline distT="0" distB="0" distL="0" distR="0">
            <wp:extent cx="69850" cy="6858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247">
                      <a:extLst/>
                    </a:blip>
                    <a:srcRect/>
                    <a:stretch>
                      <a:fillRect/>
                    </a:stretch>
                  </pic:blipFill>
                  <pic:spPr bwMode="auto">
                    <a:xfrm>
                      <a:off x="0" y="0"/>
                      <a:ext cx="69850" cy="68580"/>
                    </a:xfrm>
                    <a:prstGeom prst="rect">
                      <a:avLst/>
                    </a:prstGeom>
                    <a:noFill/>
                    <a:ln>
                      <a:noFill/>
                    </a:ln>
                  </pic:spPr>
                </pic:pic>
              </a:graphicData>
            </a:graphic>
          </wp:inline>
        </w:drawing>
      </w:r>
      <w:r w:rsidRPr="00C27636">
        <w:rPr>
          <w:rFonts w:ascii="Calibri" w:eastAsia="Calibri" w:hAnsi="Calibri" w:cs="Calibri"/>
          <w:sz w:val="20"/>
          <w:szCs w:val="20"/>
          <w:lang w:val="fr-BE"/>
        </w:rPr>
        <w:t xml:space="preserve"> Souvent</w:t>
      </w:r>
    </w:p>
    <w:p w:rsidR="00AC12B4" w:rsidRPr="00C27636" w:rsidRDefault="00AC12B4">
      <w:pPr>
        <w:spacing w:line="129" w:lineRule="exact"/>
        <w:rPr>
          <w:rFonts w:ascii="Comic Sans MS" w:eastAsia="Comic Sans MS" w:hAnsi="Comic Sans MS" w:cs="Comic Sans MS"/>
          <w:color w:val="E05429"/>
          <w:sz w:val="95"/>
          <w:szCs w:val="95"/>
          <w:lang w:val="fr-BE"/>
        </w:rPr>
      </w:pPr>
    </w:p>
    <w:p w:rsidR="00AC12B4" w:rsidRPr="00C27636" w:rsidRDefault="00C27636">
      <w:pPr>
        <w:ind w:left="6780"/>
        <w:rPr>
          <w:sz w:val="20"/>
          <w:szCs w:val="20"/>
          <w:lang w:val="fr-BE"/>
        </w:rPr>
      </w:pPr>
      <w:r>
        <w:rPr>
          <w:noProof/>
          <w:sz w:val="1"/>
          <w:szCs w:val="1"/>
        </w:rPr>
        <w:drawing>
          <wp:inline distT="0" distB="0" distL="0" distR="0">
            <wp:extent cx="69850" cy="6985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7">
                      <a:extLst/>
                    </a:blip>
                    <a:srcRect/>
                    <a:stretch>
                      <a:fillRect/>
                    </a:stretch>
                  </pic:blipFill>
                  <pic:spPr bwMode="auto">
                    <a:xfrm>
                      <a:off x="0" y="0"/>
                      <a:ext cx="69850" cy="69850"/>
                    </a:xfrm>
                    <a:prstGeom prst="rect">
                      <a:avLst/>
                    </a:prstGeom>
                    <a:noFill/>
                    <a:ln>
                      <a:noFill/>
                    </a:ln>
                  </pic:spPr>
                </pic:pic>
              </a:graphicData>
            </a:graphic>
          </wp:inline>
        </w:drawing>
      </w:r>
      <w:r w:rsidRPr="00C27636">
        <w:rPr>
          <w:rFonts w:ascii="Calibri" w:eastAsia="Calibri" w:hAnsi="Calibri" w:cs="Calibri"/>
          <w:sz w:val="19"/>
          <w:szCs w:val="19"/>
          <w:lang w:val="fr-BE"/>
        </w:rPr>
        <w:t xml:space="preserve"> Très souvent</w:t>
      </w:r>
    </w:p>
    <w:p w:rsidR="00AC12B4" w:rsidRPr="00C27636" w:rsidRDefault="00AC12B4">
      <w:pPr>
        <w:spacing w:line="118" w:lineRule="exact"/>
        <w:rPr>
          <w:rFonts w:ascii="Comic Sans MS" w:eastAsia="Comic Sans MS" w:hAnsi="Comic Sans MS" w:cs="Comic Sans MS"/>
          <w:color w:val="E05429"/>
          <w:sz w:val="95"/>
          <w:szCs w:val="95"/>
          <w:lang w:val="fr-BE"/>
        </w:rPr>
      </w:pPr>
    </w:p>
    <w:p w:rsidR="00AC12B4" w:rsidRPr="00C27636" w:rsidRDefault="00C27636">
      <w:pPr>
        <w:ind w:left="6780"/>
        <w:rPr>
          <w:sz w:val="20"/>
          <w:szCs w:val="20"/>
          <w:lang w:val="fr-BE"/>
        </w:rPr>
      </w:pPr>
      <w:r>
        <w:rPr>
          <w:noProof/>
          <w:sz w:val="1"/>
          <w:szCs w:val="1"/>
        </w:rPr>
        <w:drawing>
          <wp:inline distT="0" distB="0" distL="0" distR="0">
            <wp:extent cx="69850" cy="6985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8">
                      <a:extLst/>
                    </a:blip>
                    <a:srcRect/>
                    <a:stretch>
                      <a:fillRect/>
                    </a:stretch>
                  </pic:blipFill>
                  <pic:spPr bwMode="auto">
                    <a:xfrm>
                      <a:off x="0" y="0"/>
                      <a:ext cx="69850" cy="69850"/>
                    </a:xfrm>
                    <a:prstGeom prst="rect">
                      <a:avLst/>
                    </a:prstGeom>
                    <a:noFill/>
                    <a:ln>
                      <a:noFill/>
                    </a:ln>
                  </pic:spPr>
                </pic:pic>
              </a:graphicData>
            </a:graphic>
          </wp:inline>
        </w:drawing>
      </w:r>
      <w:r w:rsidRPr="00C27636">
        <w:rPr>
          <w:rFonts w:ascii="Calibri" w:eastAsia="Calibri" w:hAnsi="Calibri" w:cs="Calibri"/>
          <w:sz w:val="20"/>
          <w:szCs w:val="20"/>
          <w:lang w:val="fr-BE"/>
        </w:rPr>
        <w:t xml:space="preserve"> Toujours</w:t>
      </w:r>
    </w:p>
    <w:p w:rsidR="00AC12B4" w:rsidRPr="00C27636" w:rsidRDefault="00AC12B4">
      <w:pPr>
        <w:spacing w:line="1" w:lineRule="exact"/>
        <w:rPr>
          <w:rFonts w:ascii="Comic Sans MS" w:eastAsia="Comic Sans MS" w:hAnsi="Comic Sans MS" w:cs="Comic Sans MS"/>
          <w:color w:val="E05429"/>
          <w:sz w:val="95"/>
          <w:szCs w:val="95"/>
          <w:lang w:val="fr-BE"/>
        </w:rPr>
      </w:pPr>
    </w:p>
    <w:p w:rsidR="00AC12B4" w:rsidRPr="00C27636" w:rsidRDefault="00C27636">
      <w:pPr>
        <w:ind w:left="5620"/>
        <w:rPr>
          <w:sz w:val="20"/>
          <w:szCs w:val="20"/>
          <w:lang w:val="fr-BE"/>
        </w:rPr>
      </w:pPr>
      <w:r w:rsidRPr="00C27636">
        <w:rPr>
          <w:rFonts w:ascii="Calibri" w:eastAsia="Calibri" w:hAnsi="Calibri" w:cs="Calibri"/>
          <w:sz w:val="20"/>
          <w:szCs w:val="20"/>
          <w:lang w:val="fr-BE"/>
        </w:rPr>
        <w:t>29,2%</w:t>
      </w:r>
    </w:p>
    <w:p w:rsidR="00AC12B4" w:rsidRPr="00C27636" w:rsidRDefault="00AC12B4">
      <w:pPr>
        <w:spacing w:line="31" w:lineRule="exact"/>
        <w:rPr>
          <w:rFonts w:ascii="Comic Sans MS" w:eastAsia="Comic Sans MS" w:hAnsi="Comic Sans MS" w:cs="Comic Sans MS"/>
          <w:color w:val="E05429"/>
          <w:sz w:val="95"/>
          <w:szCs w:val="95"/>
          <w:lang w:val="fr-BE"/>
        </w:rPr>
      </w:pPr>
    </w:p>
    <w:p w:rsidR="00AC12B4" w:rsidRPr="00C27636" w:rsidRDefault="00C27636">
      <w:pPr>
        <w:ind w:left="2240"/>
        <w:rPr>
          <w:sz w:val="20"/>
          <w:szCs w:val="20"/>
          <w:lang w:val="fr-BE"/>
        </w:rPr>
      </w:pPr>
      <w:r w:rsidRPr="00C27636">
        <w:rPr>
          <w:rFonts w:ascii="Calibri" w:eastAsia="Calibri" w:hAnsi="Calibri" w:cs="Calibri"/>
          <w:sz w:val="20"/>
          <w:szCs w:val="20"/>
          <w:lang w:val="fr-BE"/>
        </w:rPr>
        <w:t>30,9%</w:t>
      </w:r>
    </w:p>
    <w:p w:rsidR="00AC12B4" w:rsidRPr="00C27636" w:rsidRDefault="00C27636">
      <w:pPr>
        <w:spacing w:line="20" w:lineRule="exact"/>
        <w:rPr>
          <w:rFonts w:ascii="Comic Sans MS" w:eastAsia="Comic Sans MS" w:hAnsi="Comic Sans MS" w:cs="Comic Sans MS"/>
          <w:color w:val="E05429"/>
          <w:sz w:val="95"/>
          <w:szCs w:val="95"/>
          <w:lang w:val="fr-BE"/>
        </w:rPr>
      </w:pPr>
      <w:r>
        <w:rPr>
          <w:rFonts w:ascii="Comic Sans MS" w:eastAsia="Comic Sans MS" w:hAnsi="Comic Sans MS" w:cs="Comic Sans MS"/>
          <w:noProof/>
          <w:color w:val="E05429"/>
          <w:sz w:val="95"/>
          <w:szCs w:val="95"/>
        </w:rPr>
        <w:drawing>
          <wp:anchor distT="0" distB="0" distL="114300" distR="114300" simplePos="0" relativeHeight="251759104" behindDoc="1" locked="0" layoutInCell="0" allowOverlap="1">
            <wp:simplePos x="0" y="0"/>
            <wp:positionH relativeFrom="column">
              <wp:posOffset>1010920</wp:posOffset>
            </wp:positionH>
            <wp:positionV relativeFrom="paragraph">
              <wp:posOffset>571500</wp:posOffset>
            </wp:positionV>
            <wp:extent cx="4237990" cy="266700"/>
            <wp:effectExtent l="0" t="0" r="0" b="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48">
                      <a:extLst/>
                    </a:blip>
                    <a:srcRect/>
                    <a:stretch>
                      <a:fillRect/>
                    </a:stretch>
                  </pic:blipFill>
                  <pic:spPr bwMode="auto">
                    <a:xfrm>
                      <a:off x="0" y="0"/>
                      <a:ext cx="4237990" cy="266700"/>
                    </a:xfrm>
                    <a:prstGeom prst="rect">
                      <a:avLst/>
                    </a:prstGeom>
                    <a:noFill/>
                  </pic:spPr>
                </pic:pic>
              </a:graphicData>
            </a:graphic>
          </wp:anchor>
        </w:drawing>
      </w: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75" w:lineRule="exact"/>
        <w:rPr>
          <w:rFonts w:ascii="Comic Sans MS" w:eastAsia="Comic Sans MS" w:hAnsi="Comic Sans MS" w:cs="Comic Sans MS"/>
          <w:color w:val="E05429"/>
          <w:sz w:val="95"/>
          <w:szCs w:val="95"/>
          <w:lang w:val="fr-BE"/>
        </w:rPr>
      </w:pPr>
    </w:p>
    <w:p w:rsidR="00AC12B4" w:rsidRPr="00C27636" w:rsidRDefault="00C27636">
      <w:pPr>
        <w:ind w:left="1600"/>
        <w:rPr>
          <w:sz w:val="20"/>
          <w:szCs w:val="20"/>
          <w:lang w:val="fr-BE"/>
        </w:rPr>
      </w:pPr>
      <w:r w:rsidRPr="00C27636">
        <w:rPr>
          <w:rFonts w:ascii="Calibri" w:eastAsia="Calibri" w:hAnsi="Calibri" w:cs="Calibri"/>
          <w:b/>
          <w:bCs/>
          <w:color w:val="4F81BD"/>
          <w:sz w:val="18"/>
          <w:szCs w:val="18"/>
          <w:lang w:val="fr-BE"/>
        </w:rPr>
        <w:t xml:space="preserve">Figure 1. </w:t>
      </w:r>
      <w:r w:rsidRPr="00C27636">
        <w:rPr>
          <w:rFonts w:ascii="Calibri" w:eastAsia="Calibri" w:hAnsi="Calibri" w:cs="Calibri"/>
          <w:b/>
          <w:bCs/>
          <w:color w:val="4F81BD"/>
          <w:sz w:val="18"/>
          <w:szCs w:val="18"/>
          <w:lang w:val="fr-BE"/>
        </w:rPr>
        <w:t>Avoir eu assez de temps pour soi (n=22.052), HBSC 2014.</w:t>
      </w:r>
    </w:p>
    <w:p w:rsidR="00AC12B4" w:rsidRPr="00C27636" w:rsidRDefault="00AC12B4">
      <w:pPr>
        <w:spacing w:line="200" w:lineRule="exact"/>
        <w:rPr>
          <w:rFonts w:ascii="Comic Sans MS" w:eastAsia="Comic Sans MS" w:hAnsi="Comic Sans MS" w:cs="Comic Sans MS"/>
          <w:color w:val="E05429"/>
          <w:sz w:val="95"/>
          <w:szCs w:val="95"/>
          <w:lang w:val="fr-BE"/>
        </w:rPr>
      </w:pPr>
    </w:p>
    <w:p w:rsidR="00AC12B4" w:rsidRPr="00C27636" w:rsidRDefault="00AC12B4">
      <w:pPr>
        <w:spacing w:line="240" w:lineRule="exact"/>
        <w:rPr>
          <w:rFonts w:ascii="Comic Sans MS" w:eastAsia="Comic Sans MS" w:hAnsi="Comic Sans MS" w:cs="Comic Sans MS"/>
          <w:color w:val="E05429"/>
          <w:sz w:val="95"/>
          <w:szCs w:val="95"/>
          <w:lang w:val="fr-BE"/>
        </w:rPr>
      </w:pPr>
    </w:p>
    <w:p w:rsidR="00AC12B4" w:rsidRDefault="00C27636">
      <w:pPr>
        <w:ind w:left="823"/>
        <w:jc w:val="center"/>
        <w:rPr>
          <w:sz w:val="20"/>
          <w:szCs w:val="20"/>
        </w:rPr>
      </w:pPr>
      <w:r>
        <w:rPr>
          <w:rFonts w:ascii="Calibri" w:eastAsia="Calibri" w:hAnsi="Calibri" w:cs="Calibri"/>
        </w:rPr>
        <w:t>145</w:t>
      </w:r>
    </w:p>
    <w:p w:rsidR="00AC12B4" w:rsidRDefault="00C27636">
      <w:pPr>
        <w:spacing w:line="20" w:lineRule="exact"/>
        <w:rPr>
          <w:rFonts w:ascii="Comic Sans MS" w:eastAsia="Comic Sans MS" w:hAnsi="Comic Sans MS" w:cs="Comic Sans MS"/>
          <w:color w:val="E05429"/>
          <w:sz w:val="95"/>
          <w:szCs w:val="95"/>
        </w:rPr>
      </w:pPr>
      <w:r>
        <w:rPr>
          <w:rFonts w:ascii="Comic Sans MS" w:eastAsia="Comic Sans MS" w:hAnsi="Comic Sans MS" w:cs="Comic Sans MS"/>
          <w:color w:val="E05429"/>
          <w:sz w:val="95"/>
          <w:szCs w:val="95"/>
        </w:rPr>
        <w:br w:type="column"/>
      </w:r>
    </w:p>
    <w:p w:rsidR="00AC12B4" w:rsidRDefault="00AC12B4">
      <w:pPr>
        <w:spacing w:line="200" w:lineRule="exact"/>
        <w:rPr>
          <w:rFonts w:ascii="Comic Sans MS" w:eastAsia="Comic Sans MS" w:hAnsi="Comic Sans MS" w:cs="Comic Sans MS"/>
          <w:color w:val="E05429"/>
          <w:sz w:val="95"/>
          <w:szCs w:val="95"/>
        </w:rPr>
      </w:pPr>
    </w:p>
    <w:p w:rsidR="00AC12B4" w:rsidRDefault="00AC12B4">
      <w:pPr>
        <w:spacing w:line="200" w:lineRule="exact"/>
        <w:rPr>
          <w:rFonts w:ascii="Comic Sans MS" w:eastAsia="Comic Sans MS" w:hAnsi="Comic Sans MS" w:cs="Comic Sans MS"/>
          <w:color w:val="E05429"/>
          <w:sz w:val="95"/>
          <w:szCs w:val="95"/>
        </w:rPr>
      </w:pPr>
    </w:p>
    <w:p w:rsidR="00AC12B4" w:rsidRDefault="00AC12B4">
      <w:pPr>
        <w:spacing w:line="200" w:lineRule="exact"/>
        <w:rPr>
          <w:rFonts w:ascii="Comic Sans MS" w:eastAsia="Comic Sans MS" w:hAnsi="Comic Sans MS" w:cs="Comic Sans MS"/>
          <w:color w:val="E05429"/>
          <w:sz w:val="95"/>
          <w:szCs w:val="95"/>
        </w:rPr>
      </w:pPr>
    </w:p>
    <w:p w:rsidR="00AC12B4" w:rsidRDefault="00AC12B4">
      <w:pPr>
        <w:spacing w:line="200" w:lineRule="exact"/>
        <w:rPr>
          <w:rFonts w:ascii="Comic Sans MS" w:eastAsia="Comic Sans MS" w:hAnsi="Comic Sans MS" w:cs="Comic Sans MS"/>
          <w:color w:val="E05429"/>
          <w:sz w:val="95"/>
          <w:szCs w:val="95"/>
        </w:rPr>
      </w:pPr>
    </w:p>
    <w:p w:rsidR="00AC12B4" w:rsidRDefault="00AC12B4">
      <w:pPr>
        <w:spacing w:line="200" w:lineRule="exact"/>
        <w:rPr>
          <w:rFonts w:ascii="Comic Sans MS" w:eastAsia="Comic Sans MS" w:hAnsi="Comic Sans MS" w:cs="Comic Sans MS"/>
          <w:color w:val="E05429"/>
          <w:sz w:val="95"/>
          <w:szCs w:val="95"/>
        </w:rPr>
      </w:pPr>
    </w:p>
    <w:p w:rsidR="00AC12B4" w:rsidRDefault="00AC12B4">
      <w:pPr>
        <w:spacing w:line="200" w:lineRule="exact"/>
        <w:rPr>
          <w:rFonts w:ascii="Comic Sans MS" w:eastAsia="Comic Sans MS" w:hAnsi="Comic Sans MS" w:cs="Comic Sans MS"/>
          <w:color w:val="E05429"/>
          <w:sz w:val="95"/>
          <w:szCs w:val="95"/>
        </w:rPr>
      </w:pPr>
    </w:p>
    <w:p w:rsidR="00AC12B4" w:rsidRDefault="00AC12B4">
      <w:pPr>
        <w:spacing w:line="312" w:lineRule="exact"/>
        <w:rPr>
          <w:rFonts w:ascii="Comic Sans MS" w:eastAsia="Comic Sans MS" w:hAnsi="Comic Sans MS" w:cs="Comic Sans MS"/>
          <w:color w:val="E05429"/>
          <w:sz w:val="95"/>
          <w:szCs w:val="95"/>
        </w:rPr>
      </w:pPr>
    </w:p>
    <w:tbl>
      <w:tblPr>
        <w:tblW w:w="0" w:type="auto"/>
        <w:tblLayout w:type="fixed"/>
        <w:tblCellMar>
          <w:left w:w="0" w:type="dxa"/>
          <w:right w:w="0" w:type="dxa"/>
        </w:tblCellMar>
        <w:tblLook w:val="04A0" w:firstRow="1" w:lastRow="0" w:firstColumn="1" w:lastColumn="0" w:noHBand="0" w:noVBand="1"/>
      </w:tblPr>
      <w:tblGrid>
        <w:gridCol w:w="280"/>
      </w:tblGrid>
      <w:tr w:rsidR="00AC12B4" w:rsidRPr="00C27636">
        <w:trPr>
          <w:trHeight w:val="3460"/>
        </w:trPr>
        <w:tc>
          <w:tcPr>
            <w:tcW w:w="280" w:type="dxa"/>
            <w:textDirection w:val="btLr"/>
            <w:vAlign w:val="bottom"/>
          </w:tcPr>
          <w:p w:rsidR="00AC12B4" w:rsidRPr="00C27636" w:rsidRDefault="00C27636">
            <w:pPr>
              <w:spacing w:line="204" w:lineRule="auto"/>
              <w:rPr>
                <w:sz w:val="20"/>
                <w:szCs w:val="20"/>
                <w:lang w:val="fr-BE"/>
              </w:rPr>
            </w:pPr>
            <w:r w:rsidRPr="00C27636">
              <w:rPr>
                <w:rFonts w:ascii="Calibri" w:eastAsia="Calibri" w:hAnsi="Calibri" w:cs="Calibri"/>
                <w:b/>
                <w:bCs/>
                <w:i/>
                <w:iCs/>
                <w:color w:val="F2F2F2"/>
                <w:sz w:val="27"/>
                <w:szCs w:val="27"/>
                <w:lang w:val="fr-BE"/>
              </w:rPr>
              <w:lastRenderedPageBreak/>
              <w:t>Le droit aux loisirs et au repos</w:t>
            </w:r>
          </w:p>
        </w:tc>
      </w:tr>
    </w:tbl>
    <w:p w:rsidR="00AC12B4" w:rsidRPr="00C27636" w:rsidRDefault="00AC12B4">
      <w:pPr>
        <w:rPr>
          <w:lang w:val="fr-BE"/>
        </w:rPr>
        <w:sectPr w:rsidR="00AC12B4" w:rsidRPr="00C27636">
          <w:type w:val="continuous"/>
          <w:pgSz w:w="12080" w:h="17179"/>
          <w:pgMar w:top="1440" w:right="540" w:bottom="659" w:left="1120" w:header="0" w:footer="0" w:gutter="0"/>
          <w:cols w:num="2" w:space="720" w:equalWidth="0">
            <w:col w:w="9417" w:space="720"/>
            <w:col w:w="280"/>
          </w:cols>
        </w:sectPr>
      </w:pPr>
    </w:p>
    <w:bookmarkStart w:id="145" w:name="page146"/>
    <w:bookmarkEnd w:id="145"/>
    <w:p w:rsidR="00AC12B4" w:rsidRPr="00C27636" w:rsidRDefault="00C27636">
      <w:pPr>
        <w:spacing w:line="200" w:lineRule="exact"/>
        <w:rPr>
          <w:sz w:val="20"/>
          <w:szCs w:val="20"/>
          <w:lang w:val="fr-BE"/>
        </w:rPr>
      </w:pPr>
      <w:r>
        <w:rPr>
          <w:noProof/>
          <w:sz w:val="20"/>
          <w:szCs w:val="20"/>
        </w:rPr>
        <w:lastRenderedPageBreak/>
        <mc:AlternateContent>
          <mc:Choice Requires="wps">
            <w:drawing>
              <wp:anchor distT="0" distB="0" distL="114300" distR="114300" simplePos="0" relativeHeight="251760128" behindDoc="1" locked="0" layoutInCell="0" allowOverlap="1">
                <wp:simplePos x="0" y="0"/>
                <wp:positionH relativeFrom="page">
                  <wp:posOffset>0</wp:posOffset>
                </wp:positionH>
                <wp:positionV relativeFrom="page">
                  <wp:posOffset>0</wp:posOffset>
                </wp:positionV>
                <wp:extent cx="719455" cy="10908665"/>
                <wp:effectExtent l="0" t="0" r="0" b="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9455" cy="10908665"/>
                        </a:xfrm>
                        <a:prstGeom prst="rect">
                          <a:avLst/>
                        </a:prstGeom>
                        <a:solidFill>
                          <a:srgbClr val="E05429"/>
                        </a:solidFill>
                      </wps:spPr>
                      <wps:bodyPr/>
                    </wps:wsp>
                  </a:graphicData>
                </a:graphic>
              </wp:anchor>
            </w:drawing>
          </mc:Choice>
          <mc:Fallback>
            <w:pict>
              <v:rect id="Shape 430" o:spid="_x0000_s1455" style="position:absolute;margin-left:0pt;margin-top:0pt;width:56.6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05429" stroked="f">
                <w10:wrap anchorx="page" anchory="page"/>
              </v:rect>
            </w:pict>
          </mc:Fallback>
        </mc:AlternateContent>
      </w:r>
    </w:p>
    <w:p w:rsidR="00AC12B4" w:rsidRPr="00C27636" w:rsidRDefault="00AC12B4">
      <w:pPr>
        <w:spacing w:line="351" w:lineRule="exact"/>
        <w:rPr>
          <w:sz w:val="20"/>
          <w:szCs w:val="20"/>
          <w:lang w:val="fr-BE"/>
        </w:rPr>
      </w:pPr>
    </w:p>
    <w:tbl>
      <w:tblPr>
        <w:tblW w:w="0" w:type="auto"/>
        <w:tblInd w:w="950" w:type="dxa"/>
        <w:tblLayout w:type="fixed"/>
        <w:tblCellMar>
          <w:left w:w="0" w:type="dxa"/>
          <w:right w:w="0" w:type="dxa"/>
        </w:tblCellMar>
        <w:tblLook w:val="04A0" w:firstRow="1" w:lastRow="0" w:firstColumn="1" w:lastColumn="0" w:noHBand="0" w:noVBand="1"/>
      </w:tblPr>
      <w:tblGrid>
        <w:gridCol w:w="1120"/>
        <w:gridCol w:w="640"/>
        <w:gridCol w:w="1280"/>
        <w:gridCol w:w="960"/>
      </w:tblGrid>
      <w:tr w:rsidR="00AC12B4">
        <w:trPr>
          <w:trHeight w:val="269"/>
        </w:trPr>
        <w:tc>
          <w:tcPr>
            <w:tcW w:w="1120" w:type="dxa"/>
            <w:vAlign w:val="bottom"/>
          </w:tcPr>
          <w:p w:rsidR="00AC12B4" w:rsidRPr="00C27636" w:rsidRDefault="00AC12B4">
            <w:pPr>
              <w:rPr>
                <w:sz w:val="23"/>
                <w:szCs w:val="23"/>
                <w:lang w:val="fr-BE"/>
              </w:rPr>
            </w:pPr>
          </w:p>
        </w:tc>
        <w:tc>
          <w:tcPr>
            <w:tcW w:w="640" w:type="dxa"/>
            <w:vAlign w:val="bottom"/>
          </w:tcPr>
          <w:p w:rsidR="00AC12B4" w:rsidRPr="00C27636" w:rsidRDefault="00AC12B4">
            <w:pPr>
              <w:rPr>
                <w:sz w:val="23"/>
                <w:szCs w:val="23"/>
                <w:lang w:val="fr-BE"/>
              </w:rPr>
            </w:pPr>
          </w:p>
        </w:tc>
        <w:tc>
          <w:tcPr>
            <w:tcW w:w="1280" w:type="dxa"/>
            <w:vAlign w:val="bottom"/>
          </w:tcPr>
          <w:p w:rsidR="00AC12B4" w:rsidRDefault="00C27636">
            <w:pPr>
              <w:jc w:val="center"/>
              <w:rPr>
                <w:sz w:val="20"/>
                <w:szCs w:val="20"/>
              </w:rPr>
            </w:pPr>
            <w:r>
              <w:rPr>
                <w:rFonts w:ascii="Calibri" w:eastAsia="Calibri" w:hAnsi="Calibri" w:cs="Calibri"/>
                <w:color w:val="E05429"/>
                <w:w w:val="99"/>
              </w:rPr>
              <w:t>Toujours,</w:t>
            </w:r>
          </w:p>
        </w:tc>
        <w:tc>
          <w:tcPr>
            <w:tcW w:w="960" w:type="dxa"/>
            <w:vAlign w:val="bottom"/>
          </w:tcPr>
          <w:p w:rsidR="00AC12B4" w:rsidRDefault="00AC12B4">
            <w:pPr>
              <w:rPr>
                <w:sz w:val="23"/>
                <w:szCs w:val="23"/>
              </w:rPr>
            </w:pPr>
          </w:p>
        </w:tc>
      </w:tr>
      <w:tr w:rsidR="00AC12B4">
        <w:trPr>
          <w:trHeight w:val="269"/>
        </w:trPr>
        <w:tc>
          <w:tcPr>
            <w:tcW w:w="1120" w:type="dxa"/>
            <w:vAlign w:val="bottom"/>
          </w:tcPr>
          <w:p w:rsidR="00AC12B4" w:rsidRDefault="00AC12B4">
            <w:pPr>
              <w:rPr>
                <w:sz w:val="23"/>
                <w:szCs w:val="23"/>
              </w:rPr>
            </w:pPr>
          </w:p>
        </w:tc>
        <w:tc>
          <w:tcPr>
            <w:tcW w:w="640" w:type="dxa"/>
            <w:vAlign w:val="bottom"/>
          </w:tcPr>
          <w:p w:rsidR="00AC12B4" w:rsidRDefault="00AC12B4">
            <w:pPr>
              <w:rPr>
                <w:sz w:val="23"/>
                <w:szCs w:val="23"/>
              </w:rPr>
            </w:pPr>
          </w:p>
        </w:tc>
        <w:tc>
          <w:tcPr>
            <w:tcW w:w="1280" w:type="dxa"/>
            <w:vAlign w:val="bottom"/>
          </w:tcPr>
          <w:p w:rsidR="00AC12B4" w:rsidRDefault="00C27636">
            <w:pPr>
              <w:jc w:val="center"/>
              <w:rPr>
                <w:sz w:val="20"/>
                <w:szCs w:val="20"/>
              </w:rPr>
            </w:pPr>
            <w:r>
              <w:rPr>
                <w:rFonts w:ascii="Calibri" w:eastAsia="Calibri" w:hAnsi="Calibri" w:cs="Calibri"/>
                <w:color w:val="E05429"/>
                <w:w w:val="98"/>
              </w:rPr>
              <w:t>très</w:t>
            </w:r>
          </w:p>
        </w:tc>
        <w:tc>
          <w:tcPr>
            <w:tcW w:w="960" w:type="dxa"/>
            <w:vAlign w:val="bottom"/>
          </w:tcPr>
          <w:p w:rsidR="00AC12B4" w:rsidRDefault="00AC12B4">
            <w:pPr>
              <w:rPr>
                <w:sz w:val="23"/>
                <w:szCs w:val="23"/>
              </w:rPr>
            </w:pPr>
          </w:p>
        </w:tc>
      </w:tr>
      <w:tr w:rsidR="00AC12B4">
        <w:trPr>
          <w:trHeight w:val="269"/>
        </w:trPr>
        <w:tc>
          <w:tcPr>
            <w:tcW w:w="1120" w:type="dxa"/>
            <w:vAlign w:val="bottom"/>
          </w:tcPr>
          <w:p w:rsidR="00AC12B4" w:rsidRDefault="00AC12B4">
            <w:pPr>
              <w:rPr>
                <w:sz w:val="23"/>
                <w:szCs w:val="23"/>
              </w:rPr>
            </w:pPr>
          </w:p>
        </w:tc>
        <w:tc>
          <w:tcPr>
            <w:tcW w:w="640" w:type="dxa"/>
            <w:vAlign w:val="bottom"/>
          </w:tcPr>
          <w:p w:rsidR="00AC12B4" w:rsidRDefault="00AC12B4">
            <w:pPr>
              <w:rPr>
                <w:sz w:val="23"/>
                <w:szCs w:val="23"/>
              </w:rPr>
            </w:pPr>
          </w:p>
        </w:tc>
        <w:tc>
          <w:tcPr>
            <w:tcW w:w="1280" w:type="dxa"/>
            <w:vAlign w:val="bottom"/>
          </w:tcPr>
          <w:p w:rsidR="00AC12B4" w:rsidRDefault="00C27636">
            <w:pPr>
              <w:jc w:val="center"/>
              <w:rPr>
                <w:sz w:val="20"/>
                <w:szCs w:val="20"/>
              </w:rPr>
            </w:pPr>
            <w:r>
              <w:rPr>
                <w:rFonts w:ascii="Calibri" w:eastAsia="Calibri" w:hAnsi="Calibri" w:cs="Calibri"/>
                <w:color w:val="E05429"/>
              </w:rPr>
              <w:t>souvent du</w:t>
            </w:r>
          </w:p>
        </w:tc>
        <w:tc>
          <w:tcPr>
            <w:tcW w:w="960" w:type="dxa"/>
            <w:vAlign w:val="bottom"/>
          </w:tcPr>
          <w:p w:rsidR="00AC12B4" w:rsidRDefault="00AC12B4">
            <w:pPr>
              <w:rPr>
                <w:sz w:val="23"/>
                <w:szCs w:val="23"/>
              </w:rPr>
            </w:pPr>
          </w:p>
        </w:tc>
      </w:tr>
      <w:tr w:rsidR="00AC12B4">
        <w:trPr>
          <w:trHeight w:val="266"/>
        </w:trPr>
        <w:tc>
          <w:tcPr>
            <w:tcW w:w="1120" w:type="dxa"/>
            <w:vAlign w:val="bottom"/>
          </w:tcPr>
          <w:p w:rsidR="00AC12B4" w:rsidRDefault="00AC12B4">
            <w:pPr>
              <w:rPr>
                <w:sz w:val="23"/>
                <w:szCs w:val="23"/>
              </w:rPr>
            </w:pPr>
          </w:p>
        </w:tc>
        <w:tc>
          <w:tcPr>
            <w:tcW w:w="640" w:type="dxa"/>
            <w:vAlign w:val="bottom"/>
          </w:tcPr>
          <w:p w:rsidR="00AC12B4" w:rsidRDefault="00AC12B4">
            <w:pPr>
              <w:rPr>
                <w:sz w:val="23"/>
                <w:szCs w:val="23"/>
              </w:rPr>
            </w:pPr>
          </w:p>
        </w:tc>
        <w:tc>
          <w:tcPr>
            <w:tcW w:w="1280" w:type="dxa"/>
            <w:vAlign w:val="bottom"/>
          </w:tcPr>
          <w:p w:rsidR="00AC12B4" w:rsidRDefault="00C27636">
            <w:pPr>
              <w:spacing w:line="267" w:lineRule="exact"/>
              <w:jc w:val="center"/>
              <w:rPr>
                <w:sz w:val="20"/>
                <w:szCs w:val="20"/>
              </w:rPr>
            </w:pPr>
            <w:r>
              <w:rPr>
                <w:rFonts w:ascii="Calibri" w:eastAsia="Calibri" w:hAnsi="Calibri" w:cs="Calibri"/>
                <w:color w:val="E05429"/>
              </w:rPr>
              <w:t>temps pour</w:t>
            </w:r>
          </w:p>
        </w:tc>
        <w:tc>
          <w:tcPr>
            <w:tcW w:w="960" w:type="dxa"/>
            <w:vAlign w:val="bottom"/>
          </w:tcPr>
          <w:p w:rsidR="00AC12B4" w:rsidRDefault="00AC12B4">
            <w:pPr>
              <w:rPr>
                <w:sz w:val="23"/>
                <w:szCs w:val="23"/>
              </w:rPr>
            </w:pPr>
          </w:p>
        </w:tc>
      </w:tr>
      <w:tr w:rsidR="00AC12B4">
        <w:trPr>
          <w:trHeight w:val="273"/>
        </w:trPr>
        <w:tc>
          <w:tcPr>
            <w:tcW w:w="1120" w:type="dxa"/>
            <w:tcBorders>
              <w:bottom w:val="single" w:sz="8" w:space="0" w:color="E05429"/>
            </w:tcBorders>
            <w:vAlign w:val="bottom"/>
          </w:tcPr>
          <w:p w:rsidR="00AC12B4" w:rsidRDefault="00AC12B4">
            <w:pPr>
              <w:rPr>
                <w:sz w:val="23"/>
                <w:szCs w:val="23"/>
              </w:rPr>
            </w:pPr>
          </w:p>
        </w:tc>
        <w:tc>
          <w:tcPr>
            <w:tcW w:w="640" w:type="dxa"/>
            <w:tcBorders>
              <w:bottom w:val="single" w:sz="8" w:space="0" w:color="E05429"/>
            </w:tcBorders>
            <w:vAlign w:val="bottom"/>
          </w:tcPr>
          <w:p w:rsidR="00AC12B4" w:rsidRDefault="00C27636">
            <w:pPr>
              <w:ind w:left="260"/>
              <w:rPr>
                <w:sz w:val="20"/>
                <w:szCs w:val="20"/>
              </w:rPr>
            </w:pPr>
            <w:r>
              <w:rPr>
                <w:rFonts w:ascii="Calibri" w:eastAsia="Calibri" w:hAnsi="Calibri" w:cs="Calibri"/>
                <w:color w:val="E05429"/>
              </w:rPr>
              <w:t>N</w:t>
            </w:r>
          </w:p>
        </w:tc>
        <w:tc>
          <w:tcPr>
            <w:tcW w:w="1280" w:type="dxa"/>
            <w:tcBorders>
              <w:bottom w:val="single" w:sz="8" w:space="0" w:color="E05429"/>
            </w:tcBorders>
            <w:vAlign w:val="bottom"/>
          </w:tcPr>
          <w:p w:rsidR="00AC12B4" w:rsidRDefault="00C27636">
            <w:pPr>
              <w:jc w:val="center"/>
              <w:rPr>
                <w:sz w:val="20"/>
                <w:szCs w:val="20"/>
              </w:rPr>
            </w:pPr>
            <w:r>
              <w:rPr>
                <w:rFonts w:ascii="Calibri" w:eastAsia="Calibri" w:hAnsi="Calibri" w:cs="Calibri"/>
                <w:color w:val="E05429"/>
              </w:rPr>
              <w:t>soi</w:t>
            </w:r>
          </w:p>
        </w:tc>
        <w:tc>
          <w:tcPr>
            <w:tcW w:w="960" w:type="dxa"/>
            <w:tcBorders>
              <w:bottom w:val="single" w:sz="8" w:space="0" w:color="E05429"/>
            </w:tcBorders>
            <w:vAlign w:val="bottom"/>
          </w:tcPr>
          <w:p w:rsidR="00AC12B4" w:rsidRDefault="00C27636">
            <w:pPr>
              <w:ind w:left="400"/>
              <w:rPr>
                <w:sz w:val="20"/>
                <w:szCs w:val="20"/>
              </w:rPr>
            </w:pPr>
            <w:r>
              <w:rPr>
                <w:rFonts w:ascii="Calibri" w:eastAsia="Calibri" w:hAnsi="Calibri" w:cs="Calibri"/>
                <w:color w:val="E05429"/>
              </w:rPr>
              <w:t>p</w:t>
            </w:r>
          </w:p>
        </w:tc>
      </w:tr>
      <w:tr w:rsidR="00AC12B4">
        <w:trPr>
          <w:trHeight w:val="254"/>
        </w:trPr>
        <w:tc>
          <w:tcPr>
            <w:tcW w:w="1120" w:type="dxa"/>
            <w:vAlign w:val="bottom"/>
          </w:tcPr>
          <w:p w:rsidR="00AC12B4" w:rsidRDefault="00AC12B4"/>
        </w:tc>
        <w:tc>
          <w:tcPr>
            <w:tcW w:w="640" w:type="dxa"/>
            <w:vAlign w:val="bottom"/>
          </w:tcPr>
          <w:p w:rsidR="00AC12B4" w:rsidRDefault="00C27636">
            <w:pPr>
              <w:spacing w:line="255" w:lineRule="exact"/>
              <w:jc w:val="center"/>
              <w:rPr>
                <w:sz w:val="20"/>
                <w:szCs w:val="20"/>
              </w:rPr>
            </w:pPr>
            <w:r>
              <w:rPr>
                <w:rFonts w:ascii="Calibri" w:eastAsia="Calibri" w:hAnsi="Calibri" w:cs="Calibri"/>
                <w:w w:val="98"/>
              </w:rPr>
              <w:t>2205</w:t>
            </w:r>
          </w:p>
        </w:tc>
        <w:tc>
          <w:tcPr>
            <w:tcW w:w="1280" w:type="dxa"/>
            <w:vAlign w:val="bottom"/>
          </w:tcPr>
          <w:p w:rsidR="00AC12B4" w:rsidRDefault="00AC12B4"/>
        </w:tc>
        <w:tc>
          <w:tcPr>
            <w:tcW w:w="960" w:type="dxa"/>
            <w:vAlign w:val="bottom"/>
          </w:tcPr>
          <w:p w:rsidR="00AC12B4" w:rsidRDefault="00AC12B4"/>
        </w:tc>
      </w:tr>
      <w:tr w:rsidR="00AC12B4">
        <w:trPr>
          <w:trHeight w:val="269"/>
        </w:trPr>
        <w:tc>
          <w:tcPr>
            <w:tcW w:w="1120" w:type="dxa"/>
            <w:vAlign w:val="bottom"/>
          </w:tcPr>
          <w:p w:rsidR="00AC12B4" w:rsidRDefault="00C27636">
            <w:pPr>
              <w:ind w:left="60"/>
              <w:rPr>
                <w:sz w:val="20"/>
                <w:szCs w:val="20"/>
              </w:rPr>
            </w:pPr>
            <w:r>
              <w:rPr>
                <w:rFonts w:ascii="Calibri" w:eastAsia="Calibri" w:hAnsi="Calibri" w:cs="Calibri"/>
                <w:b/>
                <w:bCs/>
                <w:color w:val="E05429"/>
              </w:rPr>
              <w:t>Genre</w:t>
            </w:r>
          </w:p>
        </w:tc>
        <w:tc>
          <w:tcPr>
            <w:tcW w:w="640" w:type="dxa"/>
            <w:vAlign w:val="bottom"/>
          </w:tcPr>
          <w:p w:rsidR="00AC12B4" w:rsidRDefault="00C27636">
            <w:pPr>
              <w:jc w:val="center"/>
              <w:rPr>
                <w:sz w:val="20"/>
                <w:szCs w:val="20"/>
              </w:rPr>
            </w:pPr>
            <w:r>
              <w:rPr>
                <w:rFonts w:ascii="Calibri" w:eastAsia="Calibri" w:hAnsi="Calibri" w:cs="Calibri"/>
                <w:w w:val="89"/>
              </w:rPr>
              <w:t>2</w:t>
            </w:r>
          </w:p>
        </w:tc>
        <w:tc>
          <w:tcPr>
            <w:tcW w:w="1280" w:type="dxa"/>
            <w:vAlign w:val="bottom"/>
          </w:tcPr>
          <w:p w:rsidR="00AC12B4" w:rsidRDefault="00AC12B4">
            <w:pPr>
              <w:rPr>
                <w:sz w:val="23"/>
                <w:szCs w:val="23"/>
              </w:rPr>
            </w:pPr>
          </w:p>
        </w:tc>
        <w:tc>
          <w:tcPr>
            <w:tcW w:w="960" w:type="dxa"/>
            <w:vAlign w:val="bottom"/>
          </w:tcPr>
          <w:p w:rsidR="00AC12B4" w:rsidRDefault="00C27636">
            <w:pPr>
              <w:jc w:val="center"/>
              <w:rPr>
                <w:sz w:val="20"/>
                <w:szCs w:val="20"/>
              </w:rPr>
            </w:pPr>
            <w:r>
              <w:rPr>
                <w:rFonts w:ascii="Calibri" w:eastAsia="Calibri" w:hAnsi="Calibri" w:cs="Calibri"/>
              </w:rPr>
              <w:t>&lt;0,001</w:t>
            </w: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t>Garçons</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57,1</w:t>
            </w:r>
          </w:p>
        </w:tc>
        <w:tc>
          <w:tcPr>
            <w:tcW w:w="960" w:type="dxa"/>
            <w:vAlign w:val="bottom"/>
          </w:tcPr>
          <w:p w:rsidR="00AC12B4" w:rsidRDefault="00AC12B4">
            <w:pPr>
              <w:rPr>
                <w:sz w:val="24"/>
                <w:szCs w:val="24"/>
              </w:rPr>
            </w:pP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t>Filles</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46,4</w:t>
            </w:r>
          </w:p>
        </w:tc>
        <w:tc>
          <w:tcPr>
            <w:tcW w:w="960" w:type="dxa"/>
            <w:vAlign w:val="bottom"/>
          </w:tcPr>
          <w:p w:rsidR="00AC12B4" w:rsidRDefault="00AC12B4">
            <w:pPr>
              <w:rPr>
                <w:sz w:val="24"/>
                <w:szCs w:val="24"/>
              </w:rPr>
            </w:pPr>
          </w:p>
        </w:tc>
      </w:tr>
      <w:tr w:rsidR="00AC12B4">
        <w:trPr>
          <w:trHeight w:val="569"/>
        </w:trPr>
        <w:tc>
          <w:tcPr>
            <w:tcW w:w="1120" w:type="dxa"/>
            <w:vAlign w:val="bottom"/>
          </w:tcPr>
          <w:p w:rsidR="00AC12B4" w:rsidRDefault="00AC12B4">
            <w:pPr>
              <w:rPr>
                <w:sz w:val="24"/>
                <w:szCs w:val="24"/>
              </w:rPr>
            </w:pPr>
          </w:p>
        </w:tc>
        <w:tc>
          <w:tcPr>
            <w:tcW w:w="640" w:type="dxa"/>
            <w:vAlign w:val="bottom"/>
          </w:tcPr>
          <w:p w:rsidR="00AC12B4" w:rsidRDefault="00C27636">
            <w:pPr>
              <w:jc w:val="center"/>
              <w:rPr>
                <w:sz w:val="20"/>
                <w:szCs w:val="20"/>
              </w:rPr>
            </w:pPr>
            <w:r>
              <w:rPr>
                <w:rFonts w:ascii="Calibri" w:eastAsia="Calibri" w:hAnsi="Calibri" w:cs="Calibri"/>
                <w:w w:val="98"/>
              </w:rPr>
              <w:t>2184</w:t>
            </w:r>
          </w:p>
        </w:tc>
        <w:tc>
          <w:tcPr>
            <w:tcW w:w="1280" w:type="dxa"/>
            <w:vAlign w:val="bottom"/>
          </w:tcPr>
          <w:p w:rsidR="00AC12B4" w:rsidRDefault="00AC12B4">
            <w:pPr>
              <w:rPr>
                <w:sz w:val="24"/>
                <w:szCs w:val="24"/>
              </w:rPr>
            </w:pPr>
          </w:p>
        </w:tc>
        <w:tc>
          <w:tcPr>
            <w:tcW w:w="960" w:type="dxa"/>
            <w:vAlign w:val="bottom"/>
          </w:tcPr>
          <w:p w:rsidR="00AC12B4" w:rsidRDefault="00AC12B4">
            <w:pPr>
              <w:rPr>
                <w:sz w:val="24"/>
                <w:szCs w:val="24"/>
              </w:rPr>
            </w:pPr>
          </w:p>
        </w:tc>
      </w:tr>
      <w:tr w:rsidR="00AC12B4">
        <w:trPr>
          <w:trHeight w:val="269"/>
        </w:trPr>
        <w:tc>
          <w:tcPr>
            <w:tcW w:w="1120" w:type="dxa"/>
            <w:vAlign w:val="bottom"/>
          </w:tcPr>
          <w:p w:rsidR="00AC12B4" w:rsidRDefault="00C27636">
            <w:pPr>
              <w:ind w:left="60"/>
              <w:rPr>
                <w:sz w:val="20"/>
                <w:szCs w:val="20"/>
              </w:rPr>
            </w:pPr>
            <w:r>
              <w:rPr>
                <w:rFonts w:ascii="Calibri" w:eastAsia="Calibri" w:hAnsi="Calibri" w:cs="Calibri"/>
                <w:b/>
                <w:bCs/>
                <w:color w:val="E05429"/>
              </w:rPr>
              <w:t>Age</w:t>
            </w:r>
          </w:p>
        </w:tc>
        <w:tc>
          <w:tcPr>
            <w:tcW w:w="640" w:type="dxa"/>
            <w:vAlign w:val="bottom"/>
          </w:tcPr>
          <w:p w:rsidR="00AC12B4" w:rsidRDefault="00C27636">
            <w:pPr>
              <w:jc w:val="center"/>
              <w:rPr>
                <w:sz w:val="20"/>
                <w:szCs w:val="20"/>
              </w:rPr>
            </w:pPr>
            <w:r>
              <w:rPr>
                <w:rFonts w:ascii="Calibri" w:eastAsia="Calibri" w:hAnsi="Calibri" w:cs="Calibri"/>
                <w:w w:val="89"/>
              </w:rPr>
              <w:t>9</w:t>
            </w:r>
          </w:p>
        </w:tc>
        <w:tc>
          <w:tcPr>
            <w:tcW w:w="1280" w:type="dxa"/>
            <w:vAlign w:val="bottom"/>
          </w:tcPr>
          <w:p w:rsidR="00AC12B4" w:rsidRDefault="00AC12B4">
            <w:pPr>
              <w:rPr>
                <w:sz w:val="23"/>
                <w:szCs w:val="23"/>
              </w:rPr>
            </w:pPr>
          </w:p>
        </w:tc>
        <w:tc>
          <w:tcPr>
            <w:tcW w:w="960" w:type="dxa"/>
            <w:vAlign w:val="bottom"/>
          </w:tcPr>
          <w:p w:rsidR="00AC12B4" w:rsidRDefault="00C27636">
            <w:pPr>
              <w:jc w:val="center"/>
              <w:rPr>
                <w:sz w:val="20"/>
                <w:szCs w:val="20"/>
              </w:rPr>
            </w:pPr>
            <w:r>
              <w:rPr>
                <w:rFonts w:ascii="Calibri" w:eastAsia="Calibri" w:hAnsi="Calibri" w:cs="Calibri"/>
              </w:rPr>
              <w:t>&lt;0,001</w:t>
            </w:r>
          </w:p>
        </w:tc>
      </w:tr>
      <w:tr w:rsidR="00AC12B4">
        <w:trPr>
          <w:trHeight w:val="301"/>
        </w:trPr>
        <w:tc>
          <w:tcPr>
            <w:tcW w:w="1120" w:type="dxa"/>
            <w:vAlign w:val="bottom"/>
          </w:tcPr>
          <w:p w:rsidR="00AC12B4" w:rsidRDefault="00C27636">
            <w:pPr>
              <w:ind w:left="60"/>
              <w:rPr>
                <w:sz w:val="20"/>
                <w:szCs w:val="20"/>
              </w:rPr>
            </w:pPr>
            <w:r>
              <w:rPr>
                <w:rFonts w:ascii="Calibri" w:eastAsia="Calibri" w:hAnsi="Calibri" w:cs="Calibri"/>
                <w:color w:val="E05429"/>
              </w:rPr>
              <w:t>10-12 ans</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59,8</w:t>
            </w:r>
          </w:p>
        </w:tc>
        <w:tc>
          <w:tcPr>
            <w:tcW w:w="960" w:type="dxa"/>
            <w:vAlign w:val="bottom"/>
          </w:tcPr>
          <w:p w:rsidR="00AC12B4" w:rsidRDefault="00AC12B4">
            <w:pPr>
              <w:rPr>
                <w:sz w:val="24"/>
                <w:szCs w:val="24"/>
              </w:rPr>
            </w:pP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t>13-14 ans</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54,9</w:t>
            </w:r>
          </w:p>
        </w:tc>
        <w:tc>
          <w:tcPr>
            <w:tcW w:w="960" w:type="dxa"/>
            <w:vAlign w:val="bottom"/>
          </w:tcPr>
          <w:p w:rsidR="00AC12B4" w:rsidRDefault="00AC12B4">
            <w:pPr>
              <w:rPr>
                <w:sz w:val="24"/>
                <w:szCs w:val="24"/>
              </w:rPr>
            </w:pP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t>15-16 ans</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49,4</w:t>
            </w:r>
          </w:p>
        </w:tc>
        <w:tc>
          <w:tcPr>
            <w:tcW w:w="960" w:type="dxa"/>
            <w:vAlign w:val="bottom"/>
          </w:tcPr>
          <w:p w:rsidR="00AC12B4" w:rsidRDefault="00AC12B4">
            <w:pPr>
              <w:rPr>
                <w:sz w:val="24"/>
                <w:szCs w:val="24"/>
              </w:rPr>
            </w:pP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t>17-19 ans</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42,4</w:t>
            </w:r>
          </w:p>
        </w:tc>
        <w:tc>
          <w:tcPr>
            <w:tcW w:w="960" w:type="dxa"/>
            <w:vAlign w:val="bottom"/>
          </w:tcPr>
          <w:p w:rsidR="00AC12B4" w:rsidRDefault="00AC12B4">
            <w:pPr>
              <w:rPr>
                <w:sz w:val="24"/>
                <w:szCs w:val="24"/>
              </w:rPr>
            </w:pPr>
          </w:p>
        </w:tc>
      </w:tr>
      <w:tr w:rsidR="00AC12B4">
        <w:trPr>
          <w:trHeight w:val="569"/>
        </w:trPr>
        <w:tc>
          <w:tcPr>
            <w:tcW w:w="1120" w:type="dxa"/>
            <w:vAlign w:val="bottom"/>
          </w:tcPr>
          <w:p w:rsidR="00AC12B4" w:rsidRDefault="00C27636">
            <w:pPr>
              <w:ind w:left="60"/>
              <w:rPr>
                <w:sz w:val="20"/>
                <w:szCs w:val="20"/>
              </w:rPr>
            </w:pPr>
            <w:r>
              <w:rPr>
                <w:rFonts w:ascii="Calibri" w:eastAsia="Calibri" w:hAnsi="Calibri" w:cs="Calibri"/>
                <w:b/>
                <w:bCs/>
                <w:color w:val="E05429"/>
              </w:rPr>
              <w:t>Niveau</w:t>
            </w:r>
          </w:p>
        </w:tc>
        <w:tc>
          <w:tcPr>
            <w:tcW w:w="640" w:type="dxa"/>
            <w:vAlign w:val="bottom"/>
          </w:tcPr>
          <w:p w:rsidR="00AC12B4" w:rsidRDefault="00AC12B4">
            <w:pPr>
              <w:rPr>
                <w:sz w:val="24"/>
                <w:szCs w:val="24"/>
              </w:rPr>
            </w:pPr>
          </w:p>
        </w:tc>
        <w:tc>
          <w:tcPr>
            <w:tcW w:w="1280" w:type="dxa"/>
            <w:vAlign w:val="bottom"/>
          </w:tcPr>
          <w:p w:rsidR="00AC12B4" w:rsidRDefault="00AC12B4">
            <w:pPr>
              <w:rPr>
                <w:sz w:val="24"/>
                <w:szCs w:val="24"/>
              </w:rPr>
            </w:pPr>
          </w:p>
        </w:tc>
        <w:tc>
          <w:tcPr>
            <w:tcW w:w="960" w:type="dxa"/>
            <w:vAlign w:val="bottom"/>
          </w:tcPr>
          <w:p w:rsidR="00AC12B4" w:rsidRDefault="00AC12B4">
            <w:pPr>
              <w:rPr>
                <w:sz w:val="24"/>
                <w:szCs w:val="24"/>
              </w:rPr>
            </w:pPr>
          </w:p>
        </w:tc>
      </w:tr>
      <w:tr w:rsidR="00AC12B4">
        <w:trPr>
          <w:trHeight w:val="269"/>
        </w:trPr>
        <w:tc>
          <w:tcPr>
            <w:tcW w:w="1120" w:type="dxa"/>
            <w:vAlign w:val="bottom"/>
          </w:tcPr>
          <w:p w:rsidR="00AC12B4" w:rsidRDefault="00C27636">
            <w:pPr>
              <w:ind w:left="60"/>
              <w:rPr>
                <w:sz w:val="20"/>
                <w:szCs w:val="20"/>
              </w:rPr>
            </w:pPr>
            <w:r>
              <w:rPr>
                <w:rFonts w:ascii="Calibri" w:eastAsia="Calibri" w:hAnsi="Calibri" w:cs="Calibri"/>
                <w:b/>
                <w:bCs/>
                <w:color w:val="E05429"/>
              </w:rPr>
              <w:t>d'aisance</w:t>
            </w:r>
          </w:p>
        </w:tc>
        <w:tc>
          <w:tcPr>
            <w:tcW w:w="640" w:type="dxa"/>
            <w:vAlign w:val="bottom"/>
          </w:tcPr>
          <w:p w:rsidR="00AC12B4" w:rsidRDefault="00C27636">
            <w:pPr>
              <w:jc w:val="center"/>
              <w:rPr>
                <w:sz w:val="20"/>
                <w:szCs w:val="20"/>
              </w:rPr>
            </w:pPr>
            <w:r>
              <w:rPr>
                <w:rFonts w:ascii="Calibri" w:eastAsia="Calibri" w:hAnsi="Calibri" w:cs="Calibri"/>
                <w:w w:val="98"/>
              </w:rPr>
              <w:t>2046</w:t>
            </w:r>
          </w:p>
        </w:tc>
        <w:tc>
          <w:tcPr>
            <w:tcW w:w="1280" w:type="dxa"/>
            <w:vAlign w:val="bottom"/>
          </w:tcPr>
          <w:p w:rsidR="00AC12B4" w:rsidRDefault="00AC12B4">
            <w:pPr>
              <w:rPr>
                <w:sz w:val="23"/>
                <w:szCs w:val="23"/>
              </w:rPr>
            </w:pPr>
          </w:p>
        </w:tc>
        <w:tc>
          <w:tcPr>
            <w:tcW w:w="960" w:type="dxa"/>
            <w:vAlign w:val="bottom"/>
          </w:tcPr>
          <w:p w:rsidR="00AC12B4" w:rsidRDefault="00AC12B4">
            <w:pPr>
              <w:rPr>
                <w:sz w:val="23"/>
                <w:szCs w:val="23"/>
              </w:rPr>
            </w:pPr>
          </w:p>
        </w:tc>
      </w:tr>
      <w:tr w:rsidR="00AC12B4">
        <w:trPr>
          <w:trHeight w:val="269"/>
        </w:trPr>
        <w:tc>
          <w:tcPr>
            <w:tcW w:w="1120" w:type="dxa"/>
            <w:vAlign w:val="bottom"/>
          </w:tcPr>
          <w:p w:rsidR="00AC12B4" w:rsidRDefault="00C27636">
            <w:pPr>
              <w:ind w:left="60"/>
              <w:rPr>
                <w:sz w:val="20"/>
                <w:szCs w:val="20"/>
              </w:rPr>
            </w:pPr>
            <w:r>
              <w:rPr>
                <w:rFonts w:ascii="Calibri" w:eastAsia="Calibri" w:hAnsi="Calibri" w:cs="Calibri"/>
                <w:b/>
                <w:bCs/>
                <w:color w:val="E05429"/>
              </w:rPr>
              <w:t>matérielle</w:t>
            </w:r>
          </w:p>
        </w:tc>
        <w:tc>
          <w:tcPr>
            <w:tcW w:w="640" w:type="dxa"/>
            <w:vAlign w:val="bottom"/>
          </w:tcPr>
          <w:p w:rsidR="00AC12B4" w:rsidRDefault="00C27636">
            <w:pPr>
              <w:jc w:val="center"/>
              <w:rPr>
                <w:sz w:val="20"/>
                <w:szCs w:val="20"/>
              </w:rPr>
            </w:pPr>
            <w:r>
              <w:rPr>
                <w:rFonts w:ascii="Calibri" w:eastAsia="Calibri" w:hAnsi="Calibri" w:cs="Calibri"/>
                <w:w w:val="89"/>
              </w:rPr>
              <w:t>8</w:t>
            </w:r>
          </w:p>
        </w:tc>
        <w:tc>
          <w:tcPr>
            <w:tcW w:w="1280" w:type="dxa"/>
            <w:vAlign w:val="bottom"/>
          </w:tcPr>
          <w:p w:rsidR="00AC12B4" w:rsidRDefault="00AC12B4">
            <w:pPr>
              <w:rPr>
                <w:sz w:val="23"/>
                <w:szCs w:val="23"/>
              </w:rPr>
            </w:pPr>
          </w:p>
        </w:tc>
        <w:tc>
          <w:tcPr>
            <w:tcW w:w="960" w:type="dxa"/>
            <w:vAlign w:val="bottom"/>
          </w:tcPr>
          <w:p w:rsidR="00AC12B4" w:rsidRDefault="00C27636">
            <w:pPr>
              <w:jc w:val="center"/>
              <w:rPr>
                <w:sz w:val="20"/>
                <w:szCs w:val="20"/>
              </w:rPr>
            </w:pPr>
            <w:r>
              <w:rPr>
                <w:rFonts w:ascii="Calibri" w:eastAsia="Calibri" w:hAnsi="Calibri" w:cs="Calibri"/>
              </w:rPr>
              <w:t>&lt;0,01</w:t>
            </w: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t>Faible</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49,2</w:t>
            </w:r>
          </w:p>
        </w:tc>
        <w:tc>
          <w:tcPr>
            <w:tcW w:w="960" w:type="dxa"/>
            <w:vAlign w:val="bottom"/>
          </w:tcPr>
          <w:p w:rsidR="00AC12B4" w:rsidRDefault="00AC12B4">
            <w:pPr>
              <w:rPr>
                <w:sz w:val="24"/>
                <w:szCs w:val="24"/>
              </w:rPr>
            </w:pP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lastRenderedPageBreak/>
              <w:t>Moyen</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51,7</w:t>
            </w:r>
          </w:p>
        </w:tc>
        <w:tc>
          <w:tcPr>
            <w:tcW w:w="960" w:type="dxa"/>
            <w:vAlign w:val="bottom"/>
          </w:tcPr>
          <w:p w:rsidR="00AC12B4" w:rsidRDefault="00AC12B4">
            <w:pPr>
              <w:rPr>
                <w:sz w:val="24"/>
                <w:szCs w:val="24"/>
              </w:rPr>
            </w:pPr>
          </w:p>
        </w:tc>
      </w:tr>
      <w:tr w:rsidR="00AC12B4">
        <w:trPr>
          <w:trHeight w:val="300"/>
        </w:trPr>
        <w:tc>
          <w:tcPr>
            <w:tcW w:w="1120" w:type="dxa"/>
            <w:vAlign w:val="bottom"/>
          </w:tcPr>
          <w:p w:rsidR="00AC12B4" w:rsidRDefault="00C27636">
            <w:pPr>
              <w:ind w:left="60"/>
              <w:rPr>
                <w:sz w:val="20"/>
                <w:szCs w:val="20"/>
              </w:rPr>
            </w:pPr>
            <w:r>
              <w:rPr>
                <w:rFonts w:ascii="Calibri" w:eastAsia="Calibri" w:hAnsi="Calibri" w:cs="Calibri"/>
                <w:color w:val="E05429"/>
              </w:rPr>
              <w:t>Elevé</w:t>
            </w:r>
          </w:p>
        </w:tc>
        <w:tc>
          <w:tcPr>
            <w:tcW w:w="640" w:type="dxa"/>
            <w:vAlign w:val="bottom"/>
          </w:tcPr>
          <w:p w:rsidR="00AC12B4" w:rsidRDefault="00AC12B4">
            <w:pPr>
              <w:rPr>
                <w:sz w:val="24"/>
                <w:szCs w:val="24"/>
              </w:rPr>
            </w:pPr>
          </w:p>
        </w:tc>
        <w:tc>
          <w:tcPr>
            <w:tcW w:w="1280" w:type="dxa"/>
            <w:vAlign w:val="bottom"/>
          </w:tcPr>
          <w:p w:rsidR="00AC12B4" w:rsidRDefault="00C27636">
            <w:pPr>
              <w:jc w:val="center"/>
              <w:rPr>
                <w:sz w:val="20"/>
                <w:szCs w:val="20"/>
              </w:rPr>
            </w:pPr>
            <w:r>
              <w:rPr>
                <w:rFonts w:ascii="Calibri" w:eastAsia="Calibri" w:hAnsi="Calibri" w:cs="Calibri"/>
              </w:rPr>
              <w:t>53,2</w:t>
            </w:r>
          </w:p>
        </w:tc>
        <w:tc>
          <w:tcPr>
            <w:tcW w:w="960" w:type="dxa"/>
            <w:vAlign w:val="bottom"/>
          </w:tcPr>
          <w:p w:rsidR="00AC12B4" w:rsidRDefault="00AC12B4">
            <w:pPr>
              <w:rPr>
                <w:sz w:val="24"/>
                <w:szCs w:val="24"/>
              </w:rPr>
            </w:pPr>
          </w:p>
        </w:tc>
      </w:tr>
      <w:tr w:rsidR="00AC12B4">
        <w:trPr>
          <w:trHeight w:val="569"/>
        </w:trPr>
        <w:tc>
          <w:tcPr>
            <w:tcW w:w="1120" w:type="dxa"/>
            <w:vAlign w:val="bottom"/>
          </w:tcPr>
          <w:p w:rsidR="00AC12B4" w:rsidRDefault="00AC12B4">
            <w:pPr>
              <w:rPr>
                <w:sz w:val="24"/>
                <w:szCs w:val="24"/>
              </w:rPr>
            </w:pPr>
          </w:p>
        </w:tc>
        <w:tc>
          <w:tcPr>
            <w:tcW w:w="640" w:type="dxa"/>
            <w:vAlign w:val="bottom"/>
          </w:tcPr>
          <w:p w:rsidR="00AC12B4" w:rsidRDefault="00C27636">
            <w:pPr>
              <w:jc w:val="center"/>
              <w:rPr>
                <w:sz w:val="20"/>
                <w:szCs w:val="20"/>
              </w:rPr>
            </w:pPr>
            <w:r>
              <w:rPr>
                <w:rFonts w:ascii="Calibri" w:eastAsia="Calibri" w:hAnsi="Calibri" w:cs="Calibri"/>
                <w:w w:val="98"/>
              </w:rPr>
              <w:t>2185</w:t>
            </w:r>
          </w:p>
        </w:tc>
        <w:tc>
          <w:tcPr>
            <w:tcW w:w="1280" w:type="dxa"/>
            <w:vAlign w:val="bottom"/>
          </w:tcPr>
          <w:p w:rsidR="00AC12B4" w:rsidRDefault="00AC12B4">
            <w:pPr>
              <w:rPr>
                <w:sz w:val="24"/>
                <w:szCs w:val="24"/>
              </w:rPr>
            </w:pPr>
          </w:p>
        </w:tc>
        <w:tc>
          <w:tcPr>
            <w:tcW w:w="960" w:type="dxa"/>
            <w:vAlign w:val="bottom"/>
          </w:tcPr>
          <w:p w:rsidR="00AC12B4" w:rsidRDefault="00AC12B4">
            <w:pPr>
              <w:rPr>
                <w:sz w:val="24"/>
                <w:szCs w:val="24"/>
              </w:rPr>
            </w:pPr>
          </w:p>
        </w:tc>
      </w:tr>
      <w:tr w:rsidR="00AC12B4">
        <w:trPr>
          <w:trHeight w:val="269"/>
        </w:trPr>
        <w:tc>
          <w:tcPr>
            <w:tcW w:w="1120" w:type="dxa"/>
            <w:vAlign w:val="bottom"/>
          </w:tcPr>
          <w:p w:rsidR="00AC12B4" w:rsidRDefault="00C27636">
            <w:pPr>
              <w:ind w:left="60"/>
              <w:rPr>
                <w:sz w:val="20"/>
                <w:szCs w:val="20"/>
              </w:rPr>
            </w:pPr>
            <w:r>
              <w:rPr>
                <w:rFonts w:ascii="Calibri" w:eastAsia="Calibri" w:hAnsi="Calibri" w:cs="Calibri"/>
                <w:b/>
                <w:bCs/>
                <w:color w:val="E05429"/>
              </w:rPr>
              <w:t>Famille</w:t>
            </w:r>
          </w:p>
        </w:tc>
        <w:tc>
          <w:tcPr>
            <w:tcW w:w="640" w:type="dxa"/>
            <w:vAlign w:val="bottom"/>
          </w:tcPr>
          <w:p w:rsidR="00AC12B4" w:rsidRDefault="00C27636">
            <w:pPr>
              <w:jc w:val="center"/>
              <w:rPr>
                <w:sz w:val="20"/>
                <w:szCs w:val="20"/>
              </w:rPr>
            </w:pPr>
            <w:r>
              <w:rPr>
                <w:rFonts w:ascii="Calibri" w:eastAsia="Calibri" w:hAnsi="Calibri" w:cs="Calibri"/>
                <w:w w:val="89"/>
              </w:rPr>
              <w:t>3</w:t>
            </w:r>
          </w:p>
        </w:tc>
        <w:tc>
          <w:tcPr>
            <w:tcW w:w="1280" w:type="dxa"/>
            <w:vAlign w:val="bottom"/>
          </w:tcPr>
          <w:p w:rsidR="00AC12B4" w:rsidRDefault="00AC12B4">
            <w:pPr>
              <w:rPr>
                <w:sz w:val="23"/>
                <w:szCs w:val="23"/>
              </w:rPr>
            </w:pPr>
          </w:p>
        </w:tc>
        <w:tc>
          <w:tcPr>
            <w:tcW w:w="960" w:type="dxa"/>
            <w:vAlign w:val="bottom"/>
          </w:tcPr>
          <w:p w:rsidR="00AC12B4" w:rsidRDefault="00C27636">
            <w:pPr>
              <w:jc w:val="center"/>
              <w:rPr>
                <w:sz w:val="20"/>
                <w:szCs w:val="20"/>
              </w:rPr>
            </w:pPr>
            <w:r>
              <w:rPr>
                <w:rFonts w:ascii="Calibri" w:eastAsia="Calibri" w:hAnsi="Calibri" w:cs="Calibri"/>
              </w:rPr>
              <w:t>&lt;0,001</w:t>
            </w:r>
          </w:p>
        </w:tc>
      </w:tr>
    </w:tbl>
    <w:p w:rsidR="00AC12B4" w:rsidRDefault="00AC12B4">
      <w:pPr>
        <w:spacing w:line="47" w:lineRule="exact"/>
        <w:rPr>
          <w:sz w:val="20"/>
          <w:szCs w:val="20"/>
        </w:rPr>
      </w:pPr>
    </w:p>
    <w:p w:rsidR="00AC12B4" w:rsidRDefault="00C27636">
      <w:pPr>
        <w:numPr>
          <w:ilvl w:val="0"/>
          <w:numId w:val="266"/>
        </w:numPr>
        <w:tabs>
          <w:tab w:val="left" w:pos="1173"/>
        </w:tabs>
        <w:spacing w:line="228" w:lineRule="auto"/>
        <w:ind w:left="1010" w:right="3000"/>
        <w:rPr>
          <w:rFonts w:ascii="Calibri" w:eastAsia="Calibri" w:hAnsi="Calibri" w:cs="Calibri"/>
          <w:color w:val="E05429"/>
          <w:sz w:val="21"/>
          <w:szCs w:val="21"/>
        </w:rPr>
      </w:pPr>
      <w:r>
        <w:rPr>
          <w:rFonts w:ascii="Calibri" w:eastAsia="Calibri" w:hAnsi="Calibri" w:cs="Calibri"/>
          <w:color w:val="E05429"/>
          <w:sz w:val="21"/>
          <w:szCs w:val="21"/>
        </w:rPr>
        <w:t>parents biologique</w:t>
      </w:r>
    </w:p>
    <w:p w:rsidR="00AC12B4" w:rsidRDefault="00AC12B4">
      <w:pPr>
        <w:spacing w:line="2" w:lineRule="exact"/>
        <w:rPr>
          <w:sz w:val="20"/>
          <w:szCs w:val="20"/>
        </w:rPr>
      </w:pPr>
    </w:p>
    <w:p w:rsidR="00AC12B4" w:rsidRDefault="00C27636">
      <w:pPr>
        <w:tabs>
          <w:tab w:val="left" w:pos="3110"/>
        </w:tabs>
        <w:ind w:left="1010"/>
        <w:rPr>
          <w:sz w:val="20"/>
          <w:szCs w:val="20"/>
        </w:rPr>
      </w:pPr>
      <w:r>
        <w:rPr>
          <w:rFonts w:ascii="Calibri" w:eastAsia="Calibri" w:hAnsi="Calibri" w:cs="Calibri"/>
          <w:color w:val="E05429"/>
        </w:rPr>
        <w:t>s</w:t>
      </w:r>
      <w:r>
        <w:rPr>
          <w:sz w:val="20"/>
          <w:szCs w:val="20"/>
        </w:rPr>
        <w:tab/>
      </w:r>
      <w:r>
        <w:rPr>
          <w:rFonts w:ascii="Calibri" w:eastAsia="Calibri" w:hAnsi="Calibri" w:cs="Calibri"/>
        </w:rPr>
        <w:t>53,7</w:t>
      </w:r>
    </w:p>
    <w:p w:rsidR="00AC12B4" w:rsidRDefault="00AC12B4">
      <w:pPr>
        <w:spacing w:line="31" w:lineRule="exact"/>
        <w:rPr>
          <w:sz w:val="20"/>
          <w:szCs w:val="20"/>
        </w:rPr>
      </w:pPr>
    </w:p>
    <w:p w:rsidR="00AC12B4" w:rsidRDefault="00C27636">
      <w:pPr>
        <w:tabs>
          <w:tab w:val="left" w:pos="3110"/>
        </w:tabs>
        <w:ind w:left="1010"/>
        <w:rPr>
          <w:sz w:val="20"/>
          <w:szCs w:val="20"/>
        </w:rPr>
      </w:pPr>
      <w:r>
        <w:rPr>
          <w:rFonts w:ascii="Calibri" w:eastAsia="Calibri" w:hAnsi="Calibri" w:cs="Calibri"/>
          <w:color w:val="E05429"/>
        </w:rPr>
        <w:t>Autres</w:t>
      </w:r>
      <w:r>
        <w:rPr>
          <w:sz w:val="20"/>
          <w:szCs w:val="20"/>
        </w:rPr>
        <w:tab/>
      </w:r>
      <w:r>
        <w:rPr>
          <w:rFonts w:ascii="Calibri" w:eastAsia="Calibri" w:hAnsi="Calibri" w:cs="Calibri"/>
        </w:rPr>
        <w:t>47,9</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761152" behindDoc="1" locked="0" layoutInCell="0" allowOverlap="1">
                <wp:simplePos x="0" y="0"/>
                <wp:positionH relativeFrom="column">
                  <wp:posOffset>588010</wp:posOffset>
                </wp:positionH>
                <wp:positionV relativeFrom="paragraph">
                  <wp:posOffset>8255</wp:posOffset>
                </wp:positionV>
                <wp:extent cx="2559050" cy="0"/>
                <wp:effectExtent l="0" t="0" r="0" b="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9050" cy="4763"/>
                        </a:xfrm>
                        <a:prstGeom prst="line">
                          <a:avLst/>
                        </a:prstGeom>
                        <a:solidFill>
                          <a:srgbClr val="FFFFFF"/>
                        </a:solidFill>
                        <a:ln w="6095">
                          <a:solidFill>
                            <a:srgbClr val="E05429"/>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pt,0.65pt" to="247.8pt,0.65pt" o:allowincell="f" strokecolor="#E05429" strokeweight="0.4799pt"/>
            </w:pict>
          </mc:Fallback>
        </mc:AlternateContent>
      </w:r>
    </w:p>
    <w:p w:rsidR="00AC12B4" w:rsidRDefault="00AC12B4">
      <w:pPr>
        <w:spacing w:line="33" w:lineRule="exact"/>
        <w:rPr>
          <w:sz w:val="20"/>
          <w:szCs w:val="20"/>
        </w:rPr>
      </w:pPr>
    </w:p>
    <w:p w:rsidR="00AC12B4" w:rsidRPr="00C27636" w:rsidRDefault="00C27636">
      <w:pPr>
        <w:spacing w:line="225" w:lineRule="auto"/>
        <w:ind w:left="1010" w:right="60"/>
        <w:jc w:val="both"/>
        <w:rPr>
          <w:sz w:val="20"/>
          <w:szCs w:val="20"/>
          <w:lang w:val="fr-BE"/>
        </w:rPr>
      </w:pPr>
      <w:r w:rsidRPr="00C27636">
        <w:rPr>
          <w:rFonts w:ascii="Calibri" w:eastAsia="Calibri" w:hAnsi="Calibri" w:cs="Calibri"/>
          <w:b/>
          <w:bCs/>
          <w:color w:val="4F81BD"/>
          <w:sz w:val="18"/>
          <w:szCs w:val="18"/>
          <w:lang w:val="fr-BE"/>
        </w:rPr>
        <w:t>Table 1.Facteurs associés au sentiment d’avoir eu toujours ou très souvent assez de temps pour soi, HBSC 2014.</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9" w:lineRule="exact"/>
        <w:rPr>
          <w:sz w:val="20"/>
          <w:szCs w:val="20"/>
          <w:lang w:val="fr-BE"/>
        </w:rPr>
      </w:pPr>
    </w:p>
    <w:p w:rsidR="00AC12B4" w:rsidRDefault="00C27636">
      <w:pPr>
        <w:rPr>
          <w:sz w:val="20"/>
          <w:szCs w:val="20"/>
        </w:rPr>
      </w:pPr>
      <w:r>
        <w:rPr>
          <w:rFonts w:ascii="Cambria" w:eastAsia="Cambria" w:hAnsi="Cambria" w:cs="Cambria"/>
          <w:b/>
          <w:bCs/>
          <w:i/>
          <w:iCs/>
          <w:color w:val="7F2D13"/>
          <w:sz w:val="26"/>
          <w:szCs w:val="26"/>
        </w:rPr>
        <w:t>D’où viennent ces chiffres ?</w:t>
      </w:r>
    </w:p>
    <w:p w:rsidR="00AC12B4" w:rsidRDefault="00AC12B4">
      <w:pPr>
        <w:spacing w:line="166" w:lineRule="exact"/>
        <w:rPr>
          <w:sz w:val="20"/>
          <w:szCs w:val="20"/>
        </w:rPr>
      </w:pPr>
    </w:p>
    <w:p w:rsidR="00AC12B4" w:rsidRDefault="00C27636">
      <w:pPr>
        <w:numPr>
          <w:ilvl w:val="0"/>
          <w:numId w:val="267"/>
        </w:numPr>
        <w:tabs>
          <w:tab w:val="left" w:pos="720"/>
        </w:tabs>
        <w:ind w:left="720" w:hanging="355"/>
        <w:rPr>
          <w:rFonts w:ascii="Wingdings" w:eastAsia="Wingdings" w:hAnsi="Wingdings" w:cs="Wingdings"/>
          <w:color w:val="E05429"/>
        </w:rPr>
      </w:pPr>
      <w:r>
        <w:rPr>
          <w:rFonts w:ascii="Cambria" w:eastAsia="Cambria" w:hAnsi="Cambria" w:cs="Cambria"/>
          <w:i/>
          <w:iCs/>
          <w:color w:val="E05429"/>
        </w:rPr>
        <w:t>HBSC</w:t>
      </w:r>
    </w:p>
    <w:p w:rsidR="00AC12B4" w:rsidRDefault="00AC12B4">
      <w:pPr>
        <w:spacing w:line="150" w:lineRule="exact"/>
        <w:rPr>
          <w:sz w:val="20"/>
          <w:szCs w:val="20"/>
        </w:rPr>
      </w:pPr>
    </w:p>
    <w:p w:rsidR="00AC12B4" w:rsidRPr="00C27636" w:rsidRDefault="00C27636">
      <w:pPr>
        <w:rPr>
          <w:sz w:val="20"/>
          <w:szCs w:val="20"/>
          <w:lang w:val="fr-BE"/>
        </w:rPr>
      </w:pPr>
      <w:r w:rsidRPr="00C27636">
        <w:rPr>
          <w:rFonts w:ascii="Calibri" w:eastAsia="Calibri" w:hAnsi="Calibri" w:cs="Calibri"/>
          <w:lang w:val="fr-BE"/>
        </w:rPr>
        <w:t>L’enquête HBSC est décrite dans la section</w:t>
      </w:r>
    </w:p>
    <w:p w:rsidR="00AC12B4" w:rsidRPr="00C27636" w:rsidRDefault="00C27636">
      <w:pPr>
        <w:numPr>
          <w:ilvl w:val="0"/>
          <w:numId w:val="268"/>
        </w:numPr>
        <w:tabs>
          <w:tab w:val="left" w:pos="160"/>
        </w:tabs>
        <w:ind w:left="160" w:hanging="155"/>
        <w:rPr>
          <w:rFonts w:ascii="Calibri" w:eastAsia="Calibri" w:hAnsi="Calibri" w:cs="Calibri"/>
          <w:lang w:val="fr-BE"/>
        </w:rPr>
      </w:pPr>
      <w:r w:rsidRPr="00C27636">
        <w:rPr>
          <w:rFonts w:ascii="Calibri" w:eastAsia="Calibri" w:hAnsi="Calibri" w:cs="Calibri"/>
          <w:lang w:val="fr-BE"/>
        </w:rPr>
        <w:t>sources » de cette publication (Partie I).</w:t>
      </w:r>
    </w:p>
    <w:p w:rsidR="00AC12B4" w:rsidRPr="00C27636" w:rsidRDefault="00AC12B4">
      <w:pPr>
        <w:spacing w:line="49" w:lineRule="exact"/>
        <w:rPr>
          <w:rFonts w:ascii="Calibri" w:eastAsia="Calibri" w:hAnsi="Calibri" w:cs="Calibri"/>
          <w:lang w:val="fr-BE"/>
        </w:rPr>
      </w:pPr>
    </w:p>
    <w:p w:rsidR="00AC12B4" w:rsidRPr="00C27636" w:rsidRDefault="00C27636">
      <w:pPr>
        <w:spacing w:line="218" w:lineRule="auto"/>
        <w:ind w:right="737"/>
        <w:rPr>
          <w:rFonts w:ascii="Calibri" w:eastAsia="Calibri" w:hAnsi="Calibri" w:cs="Calibri"/>
          <w:lang w:val="fr-BE"/>
        </w:rPr>
      </w:pPr>
      <w:r w:rsidRPr="00C27636">
        <w:rPr>
          <w:rFonts w:ascii="Calibri" w:eastAsia="Calibri" w:hAnsi="Calibri" w:cs="Calibri"/>
          <w:lang w:val="fr-BE"/>
        </w:rPr>
        <w:t>L’objectif,</w:t>
      </w:r>
      <w:r w:rsidRPr="00C27636">
        <w:rPr>
          <w:rFonts w:ascii="Calibri" w:eastAsia="Calibri" w:hAnsi="Calibri" w:cs="Calibri"/>
          <w:lang w:val="fr-BE"/>
        </w:rPr>
        <w:t xml:space="preserve"> les modalités et les limites des données collectées y sont présentés.</w:t>
      </w:r>
    </w:p>
    <w:p w:rsidR="00AC12B4" w:rsidRPr="00C27636" w:rsidRDefault="00AC12B4">
      <w:pPr>
        <w:spacing w:line="170"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Cette question est reprise depuis 2010 dans l’enquête HBSC flamande et a été introduite dans l’enquête francophone pour la première fois en 2014. .</w:t>
      </w:r>
    </w:p>
    <w:p w:rsidR="00AC12B4" w:rsidRPr="00C27636" w:rsidRDefault="00AC12B4">
      <w:pPr>
        <w:spacing w:line="128" w:lineRule="exact"/>
        <w:rPr>
          <w:sz w:val="20"/>
          <w:szCs w:val="20"/>
          <w:lang w:val="fr-BE"/>
        </w:rPr>
      </w:pPr>
    </w:p>
    <w:p w:rsidR="00AC12B4" w:rsidRDefault="00C27636">
      <w:pPr>
        <w:numPr>
          <w:ilvl w:val="0"/>
          <w:numId w:val="269"/>
        </w:numPr>
        <w:tabs>
          <w:tab w:val="left" w:pos="720"/>
        </w:tabs>
        <w:ind w:left="720" w:hanging="355"/>
        <w:rPr>
          <w:rFonts w:ascii="Wingdings" w:eastAsia="Wingdings" w:hAnsi="Wingdings" w:cs="Wingdings"/>
          <w:color w:val="E05429"/>
        </w:rPr>
      </w:pPr>
      <w:r>
        <w:rPr>
          <w:rFonts w:ascii="Cambria" w:eastAsia="Cambria" w:hAnsi="Cambria" w:cs="Cambria"/>
          <w:i/>
          <w:iCs/>
          <w:color w:val="E05429"/>
        </w:rPr>
        <w:t>Limite de l’indicateur</w:t>
      </w:r>
    </w:p>
    <w:p w:rsidR="00AC12B4" w:rsidRDefault="00AC12B4">
      <w:pPr>
        <w:spacing w:line="200" w:lineRule="exact"/>
        <w:rPr>
          <w:sz w:val="20"/>
          <w:szCs w:val="20"/>
        </w:rPr>
      </w:pPr>
    </w:p>
    <w:p w:rsidR="00AC12B4" w:rsidRPr="00C27636" w:rsidRDefault="00C27636">
      <w:pPr>
        <w:spacing w:line="231" w:lineRule="auto"/>
        <w:ind w:right="737"/>
        <w:jc w:val="both"/>
        <w:rPr>
          <w:sz w:val="20"/>
          <w:szCs w:val="20"/>
          <w:lang w:val="fr-BE"/>
        </w:rPr>
      </w:pPr>
      <w:r w:rsidRPr="00C27636">
        <w:rPr>
          <w:rFonts w:ascii="Calibri" w:eastAsia="Calibri" w:hAnsi="Calibri" w:cs="Calibri"/>
          <w:lang w:val="fr-BE"/>
        </w:rPr>
        <w:t xml:space="preserve">L’enquête </w:t>
      </w:r>
      <w:r w:rsidRPr="00C27636">
        <w:rPr>
          <w:rFonts w:ascii="Calibri" w:eastAsia="Calibri" w:hAnsi="Calibri" w:cs="Calibri"/>
          <w:lang w:val="fr-BE"/>
        </w:rPr>
        <w:t>HBSC n’est actuellement pas menée au niveau de la Communauté germanophone. De plus, les élèves de l’enseignement spécialisé ne sont pas interrogés.</w:t>
      </w:r>
    </w:p>
    <w:p w:rsidR="00AC12B4" w:rsidRPr="00C27636" w:rsidRDefault="00AC12B4">
      <w:pPr>
        <w:spacing w:line="130" w:lineRule="exact"/>
        <w:rPr>
          <w:sz w:val="20"/>
          <w:szCs w:val="20"/>
          <w:lang w:val="fr-BE"/>
        </w:rPr>
      </w:pPr>
    </w:p>
    <w:p w:rsidR="00AC12B4" w:rsidRDefault="00C27636">
      <w:pPr>
        <w:numPr>
          <w:ilvl w:val="0"/>
          <w:numId w:val="270"/>
        </w:numPr>
        <w:tabs>
          <w:tab w:val="left" w:pos="720"/>
        </w:tabs>
        <w:ind w:left="720" w:hanging="355"/>
        <w:rPr>
          <w:rFonts w:ascii="Wingdings" w:eastAsia="Wingdings" w:hAnsi="Wingdings" w:cs="Wingdings"/>
          <w:color w:val="E05429"/>
        </w:rPr>
      </w:pPr>
      <w:r>
        <w:rPr>
          <w:rFonts w:ascii="Cambria" w:eastAsia="Cambria" w:hAnsi="Cambria" w:cs="Cambria"/>
          <w:i/>
          <w:iCs/>
          <w:color w:val="E05429"/>
        </w:rPr>
        <w:t>Recommandations</w:t>
      </w:r>
    </w:p>
    <w:p w:rsidR="00AC12B4" w:rsidRDefault="00AC12B4">
      <w:pPr>
        <w:spacing w:line="199" w:lineRule="exact"/>
        <w:rPr>
          <w:sz w:val="20"/>
          <w:szCs w:val="20"/>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Les enquêtes HBSC doivent être élargies aux dispositifs d'accueil et de scolarisation des </w:t>
      </w:r>
      <w:r w:rsidRPr="00C27636">
        <w:rPr>
          <w:rFonts w:ascii="Calibri" w:eastAsia="Calibri" w:hAnsi="Calibri" w:cs="Calibri"/>
          <w:lang w:val="fr-BE"/>
        </w:rPr>
        <w:t>élèves primo-arrivants et à</w:t>
      </w:r>
    </w:p>
    <w:p w:rsidR="00AC12B4" w:rsidRPr="00C27636" w:rsidRDefault="00AC12B4">
      <w:pPr>
        <w:spacing w:line="51"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l’enseignement spécialisé, via des questionnaires adaptés.</w:t>
      </w:r>
    </w:p>
    <w:p w:rsidR="00AC12B4" w:rsidRPr="00C27636" w:rsidRDefault="00AC12B4">
      <w:pPr>
        <w:spacing w:line="170"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La Communauté germanophone devrait participer à cette enquête.</w:t>
      </w:r>
    </w:p>
    <w:p w:rsidR="00AC12B4" w:rsidRPr="00C27636" w:rsidRDefault="00AC12B4">
      <w:pPr>
        <w:spacing w:line="170" w:lineRule="exact"/>
        <w:rPr>
          <w:sz w:val="20"/>
          <w:szCs w:val="20"/>
          <w:lang w:val="fr-BE"/>
        </w:rPr>
      </w:pPr>
    </w:p>
    <w:p w:rsidR="00AC12B4" w:rsidRPr="00C27636" w:rsidRDefault="00C27636">
      <w:pPr>
        <w:spacing w:line="224" w:lineRule="auto"/>
        <w:ind w:right="737"/>
        <w:jc w:val="both"/>
        <w:rPr>
          <w:sz w:val="20"/>
          <w:szCs w:val="20"/>
          <w:lang w:val="fr-BE"/>
        </w:rPr>
      </w:pPr>
      <w:r w:rsidRPr="00C27636">
        <w:rPr>
          <w:rFonts w:ascii="Calibri" w:eastAsia="Calibri" w:hAnsi="Calibri" w:cs="Calibri"/>
          <w:lang w:val="fr-BE"/>
        </w:rPr>
        <w:t xml:space="preserve">Une enquête spécifique doit atteindre les groupes non-atteints (cf section ‘Atteindre les plus </w:t>
      </w:r>
      <w:r w:rsidRPr="00C27636">
        <w:rPr>
          <w:rFonts w:ascii="Calibri" w:eastAsia="Calibri" w:hAnsi="Calibri" w:cs="Calibri"/>
          <w:lang w:val="fr-BE"/>
        </w:rPr>
        <w:t>vulnérables’).</w:t>
      </w:r>
    </w:p>
    <w:p w:rsidR="00AC12B4" w:rsidRPr="00C27636" w:rsidRDefault="00AC12B4">
      <w:pPr>
        <w:spacing w:line="130" w:lineRule="exact"/>
        <w:rPr>
          <w:sz w:val="20"/>
          <w:szCs w:val="20"/>
          <w:lang w:val="fr-BE"/>
        </w:rPr>
      </w:pPr>
    </w:p>
    <w:p w:rsidR="00AC12B4" w:rsidRPr="00C27636" w:rsidRDefault="00C27636">
      <w:pPr>
        <w:rPr>
          <w:sz w:val="20"/>
          <w:szCs w:val="20"/>
          <w:lang w:val="nl-NL"/>
        </w:rPr>
      </w:pPr>
      <w:r w:rsidRPr="00C27636">
        <w:rPr>
          <w:rFonts w:ascii="Cambria" w:eastAsia="Cambria" w:hAnsi="Cambria" w:cs="Cambria"/>
          <w:b/>
          <w:bCs/>
          <w:i/>
          <w:iCs/>
          <w:color w:val="7F2D13"/>
          <w:sz w:val="26"/>
          <w:szCs w:val="26"/>
          <w:lang w:val="nl-NL"/>
        </w:rPr>
        <w:t>Pour aller plus loin</w:t>
      </w:r>
    </w:p>
    <w:p w:rsidR="00AC12B4" w:rsidRPr="00C27636" w:rsidRDefault="00AC12B4">
      <w:pPr>
        <w:spacing w:line="115" w:lineRule="exact"/>
        <w:rPr>
          <w:sz w:val="20"/>
          <w:szCs w:val="20"/>
          <w:lang w:val="nl-NL"/>
        </w:rPr>
      </w:pPr>
    </w:p>
    <w:p w:rsidR="00AC12B4" w:rsidRPr="00C27636" w:rsidRDefault="00C27636">
      <w:pPr>
        <w:tabs>
          <w:tab w:val="left" w:pos="520"/>
          <w:tab w:val="left" w:pos="880"/>
          <w:tab w:val="left" w:pos="2140"/>
          <w:tab w:val="left" w:pos="2680"/>
          <w:tab w:val="left" w:pos="3660"/>
        </w:tabs>
        <w:rPr>
          <w:sz w:val="20"/>
          <w:szCs w:val="20"/>
          <w:lang w:val="nl-NL"/>
        </w:rPr>
      </w:pPr>
      <w:r w:rsidRPr="00C27636">
        <w:rPr>
          <w:rFonts w:ascii="Calibri" w:eastAsia="Calibri" w:hAnsi="Calibri" w:cs="Calibri"/>
          <w:sz w:val="20"/>
          <w:szCs w:val="20"/>
          <w:lang w:val="nl-NL"/>
        </w:rPr>
        <w:t>Kind</w:t>
      </w:r>
      <w:r w:rsidRPr="00C27636">
        <w:rPr>
          <w:rFonts w:ascii="Calibri" w:eastAsia="Calibri" w:hAnsi="Calibri" w:cs="Calibri"/>
          <w:sz w:val="20"/>
          <w:szCs w:val="20"/>
          <w:lang w:val="nl-NL"/>
        </w:rPr>
        <w:tab/>
        <w:t>en</w:t>
      </w:r>
      <w:r w:rsidRPr="00C27636">
        <w:rPr>
          <w:rFonts w:ascii="Calibri" w:eastAsia="Calibri" w:hAnsi="Calibri" w:cs="Calibri"/>
          <w:sz w:val="20"/>
          <w:szCs w:val="20"/>
          <w:lang w:val="nl-NL"/>
        </w:rPr>
        <w:tab/>
        <w:t>Samenleving,</w:t>
      </w:r>
      <w:r w:rsidRPr="00C27636">
        <w:rPr>
          <w:sz w:val="20"/>
          <w:szCs w:val="20"/>
          <w:lang w:val="nl-NL"/>
        </w:rPr>
        <w:tab/>
      </w:r>
      <w:r w:rsidRPr="00C27636">
        <w:rPr>
          <w:rFonts w:ascii="Calibri" w:eastAsia="Calibri" w:hAnsi="Calibri" w:cs="Calibri"/>
          <w:i/>
          <w:iCs/>
          <w:color w:val="231716"/>
          <w:sz w:val="20"/>
          <w:szCs w:val="20"/>
          <w:lang w:val="nl-NL"/>
        </w:rPr>
        <w:t>Over</w:t>
      </w:r>
      <w:r w:rsidRPr="00C27636">
        <w:rPr>
          <w:rFonts w:ascii="Calibri" w:eastAsia="Calibri" w:hAnsi="Calibri" w:cs="Calibri"/>
          <w:i/>
          <w:iCs/>
          <w:color w:val="231716"/>
          <w:sz w:val="20"/>
          <w:szCs w:val="20"/>
          <w:lang w:val="nl-NL"/>
        </w:rPr>
        <w:tab/>
        <w:t>vrijbuiters</w:t>
      </w:r>
      <w:r w:rsidRPr="00C27636">
        <w:rPr>
          <w:rFonts w:ascii="Calibri" w:eastAsia="Calibri" w:hAnsi="Calibri" w:cs="Calibri"/>
          <w:i/>
          <w:iCs/>
          <w:color w:val="231716"/>
          <w:sz w:val="20"/>
          <w:szCs w:val="20"/>
          <w:lang w:val="nl-NL"/>
        </w:rPr>
        <w:tab/>
        <w:t>en</w:t>
      </w:r>
    </w:p>
    <w:p w:rsidR="00AC12B4" w:rsidRPr="00C27636" w:rsidRDefault="00AC12B4">
      <w:pPr>
        <w:spacing w:line="47" w:lineRule="exact"/>
        <w:rPr>
          <w:sz w:val="20"/>
          <w:szCs w:val="20"/>
          <w:lang w:val="nl-NL"/>
        </w:rPr>
      </w:pPr>
    </w:p>
    <w:p w:rsidR="00AC12B4" w:rsidRPr="00C27636" w:rsidRDefault="00C27636">
      <w:pPr>
        <w:spacing w:line="228" w:lineRule="auto"/>
        <w:ind w:right="737"/>
        <w:jc w:val="both"/>
        <w:rPr>
          <w:rFonts w:ascii="Calibri" w:eastAsia="Calibri" w:hAnsi="Calibri" w:cs="Calibri"/>
          <w:color w:val="0000FF"/>
          <w:sz w:val="20"/>
          <w:szCs w:val="20"/>
          <w:u w:val="single"/>
          <w:lang w:val="nl-NL"/>
        </w:rPr>
      </w:pPr>
      <w:r w:rsidRPr="00C27636">
        <w:rPr>
          <w:rFonts w:ascii="Calibri" w:eastAsia="Calibri" w:hAnsi="Calibri" w:cs="Calibri"/>
          <w:i/>
          <w:iCs/>
          <w:color w:val="231716"/>
          <w:sz w:val="20"/>
          <w:szCs w:val="20"/>
          <w:lang w:val="nl-NL"/>
        </w:rPr>
        <w:t>ankertijd</w:t>
      </w:r>
      <w:r w:rsidRPr="00C27636">
        <w:rPr>
          <w:rFonts w:ascii="Calibri" w:eastAsia="Calibri" w:hAnsi="Calibri" w:cs="Calibri"/>
          <w:color w:val="231716"/>
          <w:sz w:val="20"/>
          <w:szCs w:val="20"/>
          <w:lang w:val="nl-NL"/>
        </w:rPr>
        <w:t>, 2013,</w:t>
      </w:r>
      <w:r w:rsidRPr="00C27636">
        <w:rPr>
          <w:rFonts w:ascii="Calibri" w:eastAsia="Calibri" w:hAnsi="Calibri" w:cs="Calibri"/>
          <w:i/>
          <w:iCs/>
          <w:color w:val="231716"/>
          <w:sz w:val="20"/>
          <w:szCs w:val="20"/>
          <w:lang w:val="nl-NL"/>
        </w:rPr>
        <w:t xml:space="preserve"> </w:t>
      </w:r>
      <w:hyperlink r:id="rId249">
        <w:r w:rsidRPr="00C27636">
          <w:rPr>
            <w:rFonts w:ascii="Calibri" w:eastAsia="Calibri" w:hAnsi="Calibri" w:cs="Calibri"/>
            <w:color w:val="0000FF"/>
            <w:sz w:val="20"/>
            <w:szCs w:val="20"/>
            <w:u w:val="single"/>
            <w:lang w:val="nl-NL"/>
          </w:rPr>
          <w:t>http://k-</w:t>
        </w:r>
      </w:hyperlink>
      <w:hyperlink r:id="rId250">
        <w:r w:rsidRPr="00C27636">
          <w:rPr>
            <w:rFonts w:ascii="Calibri" w:eastAsia="Calibri" w:hAnsi="Calibri" w:cs="Calibri"/>
            <w:color w:val="0000FF"/>
            <w:sz w:val="20"/>
            <w:szCs w:val="20"/>
            <w:u w:val="single"/>
            <w:lang w:val="nl-NL"/>
          </w:rPr>
          <w:t>s.be/medialibrary/purl/nl/0657821/Inhoud%20</w:t>
        </w:r>
      </w:hyperlink>
      <w:r w:rsidRPr="00C27636">
        <w:rPr>
          <w:rFonts w:ascii="Calibri" w:eastAsia="Calibri" w:hAnsi="Calibri" w:cs="Calibri"/>
          <w:color w:val="0000FF"/>
          <w:sz w:val="20"/>
          <w:szCs w:val="20"/>
          <w:u w:val="single"/>
          <w:lang w:val="nl-NL"/>
        </w:rPr>
        <w:t xml:space="preserve"> </w:t>
      </w:r>
      <w:hyperlink r:id="rId251">
        <w:r w:rsidRPr="00C27636">
          <w:rPr>
            <w:rFonts w:ascii="Calibri" w:eastAsia="Calibri" w:hAnsi="Calibri" w:cs="Calibri"/>
            <w:color w:val="0000FF"/>
            <w:sz w:val="20"/>
            <w:szCs w:val="20"/>
            <w:u w:val="single"/>
            <w:lang w:val="nl-NL"/>
          </w:rPr>
          <w:t>en%20Inleiding%20van%20'Over%20vrijbuiters</w:t>
        </w:r>
      </w:hyperlink>
      <w:r w:rsidRPr="00C27636">
        <w:rPr>
          <w:rFonts w:ascii="Calibri" w:eastAsia="Calibri" w:hAnsi="Calibri" w:cs="Calibri"/>
          <w:color w:val="0000FF"/>
          <w:sz w:val="20"/>
          <w:szCs w:val="20"/>
          <w:u w:val="single"/>
          <w:lang w:val="nl-NL"/>
        </w:rPr>
        <w:t xml:space="preserve"> </w:t>
      </w:r>
      <w:hyperlink r:id="rId252">
        <w:r w:rsidRPr="00C27636">
          <w:rPr>
            <w:rFonts w:ascii="Calibri" w:eastAsia="Calibri" w:hAnsi="Calibri" w:cs="Calibri"/>
            <w:color w:val="0000FF"/>
            <w:sz w:val="20"/>
            <w:szCs w:val="20"/>
            <w:u w:val="single"/>
            <w:lang w:val="nl-NL"/>
          </w:rPr>
          <w:t>%20en%20ankertijd'.</w:t>
        </w:r>
        <w:r w:rsidRPr="00C27636">
          <w:rPr>
            <w:rFonts w:ascii="Calibri" w:eastAsia="Calibri" w:hAnsi="Calibri" w:cs="Calibri"/>
            <w:color w:val="0000FF"/>
            <w:sz w:val="20"/>
            <w:szCs w:val="20"/>
            <w:u w:val="single"/>
            <w:lang w:val="nl-NL"/>
          </w:rPr>
          <w:t>pdf</w:t>
        </w:r>
      </w:hyperlink>
    </w:p>
    <w:p w:rsidR="00AC12B4" w:rsidRPr="00C27636" w:rsidRDefault="00AC12B4">
      <w:pPr>
        <w:spacing w:line="200" w:lineRule="exact"/>
        <w:rPr>
          <w:rFonts w:ascii="Calibri" w:eastAsia="Calibri" w:hAnsi="Calibri" w:cs="Calibri"/>
          <w:color w:val="0000FF"/>
          <w:sz w:val="20"/>
          <w:szCs w:val="20"/>
          <w:u w:val="single"/>
          <w:lang w:val="nl-NL"/>
        </w:rPr>
      </w:pPr>
    </w:p>
    <w:p w:rsidR="00AC12B4" w:rsidRPr="00C27636" w:rsidRDefault="00AC12B4">
      <w:pPr>
        <w:rPr>
          <w:lang w:val="nl-NL"/>
        </w:rPr>
        <w:sectPr w:rsidR="00AC12B4" w:rsidRPr="00C27636">
          <w:pgSz w:w="12080" w:h="17179"/>
          <w:pgMar w:top="1440" w:right="1440" w:bottom="659" w:left="430" w:header="0" w:footer="0" w:gutter="0"/>
          <w:cols w:num="2" w:space="720" w:equalWidth="0">
            <w:col w:w="4950" w:space="640"/>
            <w:col w:w="4617"/>
          </w:cols>
        </w:sectPr>
      </w:pPr>
    </w:p>
    <w:p w:rsidR="00AC12B4" w:rsidRPr="00C27636" w:rsidRDefault="00AC12B4">
      <w:pPr>
        <w:spacing w:line="154" w:lineRule="exact"/>
        <w:rPr>
          <w:rFonts w:ascii="Calibri" w:eastAsia="Calibri" w:hAnsi="Calibri" w:cs="Calibri"/>
          <w:color w:val="0000FF"/>
          <w:sz w:val="20"/>
          <w:szCs w:val="20"/>
          <w:u w:val="single"/>
          <w:lang w:val="nl-NL"/>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4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aux loisirs et au repos</w:t>
            </w:r>
          </w:p>
        </w:tc>
      </w:tr>
    </w:tbl>
    <w:p w:rsidR="00AC12B4" w:rsidRPr="00C27636" w:rsidRDefault="00AC12B4">
      <w:pPr>
        <w:spacing w:line="8" w:lineRule="exact"/>
        <w:rPr>
          <w:rFonts w:ascii="Calibri" w:eastAsia="Calibri" w:hAnsi="Calibri" w:cs="Calibri"/>
          <w:color w:val="0000FF"/>
          <w:sz w:val="20"/>
          <w:szCs w:val="20"/>
          <w:u w:val="single"/>
          <w:lang w:val="fr-BE"/>
        </w:rPr>
      </w:pPr>
    </w:p>
    <w:p w:rsidR="00AC12B4" w:rsidRPr="00C27636" w:rsidRDefault="00C27636">
      <w:pPr>
        <w:ind w:right="-272"/>
        <w:jc w:val="center"/>
        <w:rPr>
          <w:sz w:val="20"/>
          <w:szCs w:val="20"/>
          <w:lang w:val="fr-BE"/>
        </w:rPr>
      </w:pPr>
      <w:r w:rsidRPr="00C27636">
        <w:rPr>
          <w:rFonts w:ascii="Calibri" w:eastAsia="Calibri" w:hAnsi="Calibri" w:cs="Calibri"/>
          <w:lang w:val="fr-BE"/>
        </w:rPr>
        <w:t>146</w:t>
      </w:r>
    </w:p>
    <w:p w:rsidR="00AC12B4" w:rsidRPr="00C27636" w:rsidRDefault="00AC12B4">
      <w:pPr>
        <w:rPr>
          <w:lang w:val="fr-BE"/>
        </w:rPr>
        <w:sectPr w:rsidR="00AC12B4" w:rsidRPr="00C27636">
          <w:type w:val="continuous"/>
          <w:pgSz w:w="12080" w:h="17179"/>
          <w:pgMar w:top="1440" w:right="1440" w:bottom="659" w:left="430" w:header="0" w:footer="0" w:gutter="0"/>
          <w:cols w:space="720" w:equalWidth="0">
            <w:col w:w="10207"/>
          </w:cols>
        </w:sectPr>
      </w:pPr>
    </w:p>
    <w:bookmarkStart w:id="146" w:name="page147"/>
    <w:bookmarkEnd w:id="146"/>
    <w:p w:rsidR="00AC12B4" w:rsidRPr="00C27636" w:rsidRDefault="00C27636">
      <w:pPr>
        <w:spacing w:line="168" w:lineRule="exact"/>
        <w:rPr>
          <w:sz w:val="20"/>
          <w:szCs w:val="20"/>
          <w:lang w:val="fr-BE"/>
        </w:rPr>
      </w:pPr>
      <w:r>
        <w:rPr>
          <w:noProof/>
          <w:sz w:val="20"/>
          <w:szCs w:val="20"/>
        </w:rPr>
        <w:lastRenderedPageBreak/>
        <mc:AlternateContent>
          <mc:Choice Requires="wps">
            <w:drawing>
              <wp:anchor distT="0" distB="0" distL="114300" distR="114300" simplePos="0" relativeHeight="251762176" behindDoc="1" locked="0" layoutInCell="0" allowOverlap="1">
                <wp:simplePos x="0" y="0"/>
                <wp:positionH relativeFrom="page">
                  <wp:posOffset>6932930</wp:posOffset>
                </wp:positionH>
                <wp:positionV relativeFrom="page">
                  <wp:posOffset>0</wp:posOffset>
                </wp:positionV>
                <wp:extent cx="734060" cy="10908665"/>
                <wp:effectExtent l="0" t="0" r="0" b="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8665"/>
                        </a:xfrm>
                        <a:prstGeom prst="rect">
                          <a:avLst/>
                        </a:prstGeom>
                        <a:solidFill>
                          <a:srgbClr val="E05429"/>
                        </a:solidFill>
                      </wps:spPr>
                      <wps:bodyPr/>
                    </wps:wsp>
                  </a:graphicData>
                </a:graphic>
              </wp:anchor>
            </w:drawing>
          </mc:Choice>
          <mc:Fallback>
            <w:pict>
              <v:rect id="Shape 432" o:spid="_x0000_s1457" style="position:absolute;margin-left:545.9pt;margin-top:0pt;width:57.8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05429" stroked="f">
                <w10:wrap anchorx="page" anchory="page"/>
              </v:rect>
            </w:pict>
          </mc:Fallback>
        </mc:AlternateContent>
      </w:r>
    </w:p>
    <w:p w:rsidR="00AC12B4" w:rsidRPr="00C27636" w:rsidRDefault="00C27636">
      <w:pPr>
        <w:spacing w:line="276" w:lineRule="auto"/>
        <w:ind w:left="740" w:right="1080"/>
        <w:rPr>
          <w:sz w:val="20"/>
          <w:szCs w:val="20"/>
          <w:lang w:val="fr-BE"/>
        </w:rPr>
      </w:pPr>
      <w:r w:rsidRPr="00C27636">
        <w:rPr>
          <w:rFonts w:ascii="Comic Sans MS" w:eastAsia="Comic Sans MS" w:hAnsi="Comic Sans MS" w:cs="Comic Sans MS"/>
          <w:color w:val="E05429"/>
          <w:sz w:val="40"/>
          <w:szCs w:val="40"/>
          <w:lang w:val="fr-BE"/>
        </w:rPr>
        <w:t>L2. Libre choix dans l’organisation du temps libre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63200" behindDoc="1" locked="0" layoutInCell="0" allowOverlap="1">
                <wp:simplePos x="0" y="0"/>
                <wp:positionH relativeFrom="column">
                  <wp:posOffset>-350520</wp:posOffset>
                </wp:positionH>
                <wp:positionV relativeFrom="paragraph">
                  <wp:posOffset>128270</wp:posOffset>
                </wp:positionV>
                <wp:extent cx="3559810" cy="1338580"/>
                <wp:effectExtent l="0" t="0" r="0" b="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338580"/>
                        </a:xfrm>
                        <a:prstGeom prst="rect">
                          <a:avLst/>
                        </a:prstGeom>
                        <a:solidFill>
                          <a:srgbClr val="E05429"/>
                        </a:solidFill>
                      </wps:spPr>
                      <wps:bodyPr/>
                    </wps:wsp>
                  </a:graphicData>
                </a:graphic>
              </wp:anchor>
            </w:drawing>
          </mc:Choice>
          <mc:Fallback>
            <w:pict>
              <v:rect id="Shape 433" o:spid="_x0000_s1458" style="position:absolute;margin-left:-27.5999pt;margin-top:10.1pt;width:280.3pt;height:10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5429" stroked="f"/>
            </w:pict>
          </mc:Fallback>
        </mc:AlternateContent>
      </w:r>
      <w:r>
        <w:rPr>
          <w:noProof/>
          <w:sz w:val="20"/>
          <w:szCs w:val="20"/>
        </w:rPr>
        <mc:AlternateContent>
          <mc:Choice Requires="wps">
            <w:drawing>
              <wp:anchor distT="0" distB="0" distL="114300" distR="114300" simplePos="0" relativeHeight="251764224" behindDoc="1" locked="0" layoutInCell="0" allowOverlap="1">
                <wp:simplePos x="0" y="0"/>
                <wp:positionH relativeFrom="column">
                  <wp:posOffset>3209290</wp:posOffset>
                </wp:positionH>
                <wp:positionV relativeFrom="paragraph">
                  <wp:posOffset>115570</wp:posOffset>
                </wp:positionV>
                <wp:extent cx="0" cy="1363980"/>
                <wp:effectExtent l="0" t="0" r="0" b="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63980"/>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7pt,9.1pt" to="252.7pt,116.5pt" o:allowincell="f" strokecolor="#7F2D13" strokeweight="2pt"/>
            </w:pict>
          </mc:Fallback>
        </mc:AlternateContent>
      </w:r>
      <w:r>
        <w:rPr>
          <w:noProof/>
          <w:sz w:val="20"/>
          <w:szCs w:val="20"/>
        </w:rPr>
        <mc:AlternateContent>
          <mc:Choice Requires="wps">
            <w:drawing>
              <wp:anchor distT="0" distB="0" distL="114300" distR="114300" simplePos="0" relativeHeight="251765248" behindDoc="1" locked="0" layoutInCell="0" allowOverlap="1">
                <wp:simplePos x="0" y="0"/>
                <wp:positionH relativeFrom="column">
                  <wp:posOffset>-363220</wp:posOffset>
                </wp:positionH>
                <wp:positionV relativeFrom="paragraph">
                  <wp:posOffset>128270</wp:posOffset>
                </wp:positionV>
                <wp:extent cx="3585210" cy="0"/>
                <wp:effectExtent l="0" t="0" r="0" b="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99pt,10.1pt" to="253.7pt,10.1pt" o:allowincell="f" strokecolor="#7F2D13" strokeweight="2pt"/>
            </w:pict>
          </mc:Fallback>
        </mc:AlternateContent>
      </w:r>
      <w:r>
        <w:rPr>
          <w:noProof/>
          <w:sz w:val="20"/>
          <w:szCs w:val="20"/>
        </w:rPr>
        <mc:AlternateContent>
          <mc:Choice Requires="wps">
            <w:drawing>
              <wp:anchor distT="0" distB="0" distL="114300" distR="114300" simplePos="0" relativeHeight="251766272" behindDoc="1" locked="0" layoutInCell="0" allowOverlap="1">
                <wp:simplePos x="0" y="0"/>
                <wp:positionH relativeFrom="column">
                  <wp:posOffset>-350520</wp:posOffset>
                </wp:positionH>
                <wp:positionV relativeFrom="paragraph">
                  <wp:posOffset>115570</wp:posOffset>
                </wp:positionV>
                <wp:extent cx="0" cy="1363980"/>
                <wp:effectExtent l="0" t="0" r="0" b="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63980"/>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999pt,9.1pt" to="-27.5999pt,116.5pt" o:allowincell="f" strokecolor="#7F2D13" strokeweight="2pt"/>
            </w:pict>
          </mc:Fallback>
        </mc:AlternateContent>
      </w:r>
      <w:r>
        <w:rPr>
          <w:noProof/>
          <w:sz w:val="20"/>
          <w:szCs w:val="20"/>
        </w:rPr>
        <mc:AlternateContent>
          <mc:Choice Requires="wps">
            <w:drawing>
              <wp:anchor distT="0" distB="0" distL="114300" distR="114300" simplePos="0" relativeHeight="251767296" behindDoc="1" locked="0" layoutInCell="0" allowOverlap="1">
                <wp:simplePos x="0" y="0"/>
                <wp:positionH relativeFrom="column">
                  <wp:posOffset>-363220</wp:posOffset>
                </wp:positionH>
                <wp:positionV relativeFrom="paragraph">
                  <wp:posOffset>1466850</wp:posOffset>
                </wp:positionV>
                <wp:extent cx="3585210" cy="0"/>
                <wp:effectExtent l="0" t="0" r="0" b="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7F2D13"/>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99pt,115.5pt" to="253.7pt,115.5pt" o:allowincell="f" strokecolor="#7F2D13" strokeweight="2pt"/>
            </w:pict>
          </mc:Fallback>
        </mc:AlternateContent>
      </w:r>
    </w:p>
    <w:p w:rsidR="00AC12B4" w:rsidRPr="00C27636" w:rsidRDefault="00AC12B4">
      <w:pPr>
        <w:rPr>
          <w:lang w:val="fr-BE"/>
        </w:rPr>
        <w:sectPr w:rsidR="00AC12B4" w:rsidRPr="00C27636">
          <w:pgSz w:w="12080" w:h="17179"/>
          <w:pgMar w:top="1440" w:right="517" w:bottom="659" w:left="1260" w:header="0" w:footer="0" w:gutter="0"/>
          <w:cols w:space="720" w:equalWidth="0">
            <w:col w:w="10300"/>
          </w:cols>
        </w:sectPr>
      </w:pPr>
    </w:p>
    <w:p w:rsidR="00AC12B4" w:rsidRPr="00C27636" w:rsidRDefault="00AC12B4">
      <w:pPr>
        <w:spacing w:line="200" w:lineRule="exact"/>
        <w:rPr>
          <w:sz w:val="20"/>
          <w:szCs w:val="20"/>
          <w:lang w:val="fr-BE"/>
        </w:rPr>
      </w:pPr>
    </w:p>
    <w:p w:rsidR="00AC12B4" w:rsidRPr="00C27636" w:rsidRDefault="00AC12B4">
      <w:pPr>
        <w:spacing w:line="257" w:lineRule="exact"/>
        <w:rPr>
          <w:sz w:val="20"/>
          <w:szCs w:val="20"/>
          <w:lang w:val="fr-BE"/>
        </w:rPr>
      </w:pPr>
    </w:p>
    <w:p w:rsidR="00AC12B4" w:rsidRDefault="00C27636">
      <w:pPr>
        <w:rPr>
          <w:sz w:val="20"/>
          <w:szCs w:val="20"/>
        </w:rPr>
      </w:pPr>
      <w:r>
        <w:rPr>
          <w:rFonts w:ascii="Calibri" w:eastAsia="Calibri" w:hAnsi="Calibri" w:cs="Calibri"/>
          <w:i/>
          <w:iCs/>
          <w:color w:val="DAEEF3"/>
        </w:rPr>
        <w:t>Article 31 CIDE</w:t>
      </w:r>
    </w:p>
    <w:p w:rsidR="00AC12B4" w:rsidRDefault="00AC12B4">
      <w:pPr>
        <w:spacing w:line="169" w:lineRule="exact"/>
        <w:rPr>
          <w:sz w:val="20"/>
          <w:szCs w:val="20"/>
        </w:rPr>
      </w:pPr>
    </w:p>
    <w:p w:rsidR="00AC12B4" w:rsidRPr="00C27636" w:rsidRDefault="00C27636">
      <w:pPr>
        <w:numPr>
          <w:ilvl w:val="0"/>
          <w:numId w:val="271"/>
        </w:numPr>
        <w:tabs>
          <w:tab w:val="left" w:pos="225"/>
        </w:tabs>
        <w:spacing w:line="230" w:lineRule="auto"/>
        <w:ind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Les Etats parties reconnaissent à l’enfant le droit au repos et aux </w:t>
      </w:r>
      <w:r w:rsidRPr="00C27636">
        <w:rPr>
          <w:rFonts w:ascii="Calibri" w:eastAsia="Calibri" w:hAnsi="Calibri" w:cs="Calibri"/>
          <w:i/>
          <w:iCs/>
          <w:color w:val="DAEEF3"/>
          <w:lang w:val="fr-BE"/>
        </w:rPr>
        <w:t>loisirs, de se livrer au jeu et à des activités récréatives propres à son âge et de participer librement à la vie culturelle et artistique.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8" w:lineRule="exact"/>
        <w:rPr>
          <w:sz w:val="20"/>
          <w:szCs w:val="20"/>
          <w:lang w:val="fr-BE"/>
        </w:rPr>
      </w:pPr>
    </w:p>
    <w:p w:rsidR="00AC12B4" w:rsidRPr="00C27636" w:rsidRDefault="00C27636">
      <w:pPr>
        <w:spacing w:line="230" w:lineRule="auto"/>
        <w:ind w:left="740" w:right="260"/>
        <w:jc w:val="both"/>
        <w:rPr>
          <w:sz w:val="20"/>
          <w:szCs w:val="20"/>
          <w:lang w:val="fr-BE"/>
        </w:rPr>
      </w:pPr>
      <w:r w:rsidRPr="00C27636">
        <w:rPr>
          <w:rFonts w:ascii="Calibri" w:eastAsia="Calibri" w:hAnsi="Calibri" w:cs="Calibri"/>
          <w:lang w:val="fr-BE"/>
        </w:rPr>
        <w:t>Le droit au repos implique que l'enfant doit ressentir un certain équilibre entre les obligations sociales et les</w:t>
      </w:r>
      <w:r w:rsidRPr="00C27636">
        <w:rPr>
          <w:rFonts w:ascii="Calibri" w:eastAsia="Calibri" w:hAnsi="Calibri" w:cs="Calibri"/>
          <w:lang w:val="fr-BE"/>
        </w:rPr>
        <w:t xml:space="preserve"> loisirs organisés d'une part, et les moments qui ne sont pas remplis à l'avance d'autre part.</w:t>
      </w:r>
    </w:p>
    <w:p w:rsidR="00AC12B4" w:rsidRPr="00C27636" w:rsidRDefault="00AC12B4">
      <w:pPr>
        <w:spacing w:line="175" w:lineRule="exact"/>
        <w:rPr>
          <w:sz w:val="20"/>
          <w:szCs w:val="20"/>
          <w:lang w:val="fr-BE"/>
        </w:rPr>
      </w:pPr>
    </w:p>
    <w:p w:rsidR="00AC12B4" w:rsidRPr="00C27636" w:rsidRDefault="00C27636">
      <w:pPr>
        <w:spacing w:line="234" w:lineRule="auto"/>
        <w:ind w:left="740" w:right="260"/>
        <w:jc w:val="both"/>
        <w:rPr>
          <w:sz w:val="20"/>
          <w:szCs w:val="20"/>
          <w:lang w:val="fr-BE"/>
        </w:rPr>
      </w:pPr>
      <w:r w:rsidRPr="00C27636">
        <w:rPr>
          <w:rFonts w:ascii="Calibri" w:eastAsia="Calibri" w:hAnsi="Calibri" w:cs="Calibri"/>
          <w:lang w:val="fr-BE"/>
        </w:rPr>
        <w:t>Les enfants doivent être impliqués dans la politique menée en matière de loisirs (Observation générale n°17 du 17 avril 2013 sur le droit de l’enfant aux loisir</w:t>
      </w:r>
      <w:r w:rsidRPr="00C27636">
        <w:rPr>
          <w:rFonts w:ascii="Calibri" w:eastAsia="Calibri" w:hAnsi="Calibri" w:cs="Calibri"/>
          <w:lang w:val="fr-BE"/>
        </w:rPr>
        <w:t>s (art. 31)). Le droit de s'exprimer (également art. 12 et 13) sur la répartition du temps libre peut donc également être considéré comme un droit de l'enfant.</w:t>
      </w:r>
    </w:p>
    <w:p w:rsidR="00AC12B4" w:rsidRPr="00C27636" w:rsidRDefault="00AC12B4">
      <w:pPr>
        <w:spacing w:line="176" w:lineRule="exact"/>
        <w:rPr>
          <w:sz w:val="20"/>
          <w:szCs w:val="20"/>
          <w:lang w:val="fr-BE"/>
        </w:rPr>
      </w:pPr>
    </w:p>
    <w:p w:rsidR="00AC12B4" w:rsidRPr="00C27636" w:rsidRDefault="00C27636">
      <w:pPr>
        <w:spacing w:line="230" w:lineRule="auto"/>
        <w:ind w:left="740" w:right="260"/>
        <w:jc w:val="both"/>
        <w:rPr>
          <w:sz w:val="20"/>
          <w:szCs w:val="20"/>
          <w:lang w:val="fr-BE"/>
        </w:rPr>
      </w:pPr>
      <w:r w:rsidRPr="00C27636">
        <w:rPr>
          <w:rFonts w:ascii="Calibri" w:eastAsia="Calibri" w:hAnsi="Calibri" w:cs="Calibri"/>
          <w:lang w:val="fr-BE"/>
        </w:rPr>
        <w:t xml:space="preserve">En repensant à la semaine précédant l'enquête, un jeune sur deux (53,5%) rapporte qu'il a très </w:t>
      </w:r>
      <w:r w:rsidRPr="00C27636">
        <w:rPr>
          <w:rFonts w:ascii="Calibri" w:eastAsia="Calibri" w:hAnsi="Calibri" w:cs="Calibri"/>
          <w:lang w:val="fr-BE"/>
        </w:rPr>
        <w:t>souvent ou toujours été capable de faire ce qu'il désirait durant son temps libre et un jeune sur cinq</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68320" behindDoc="1" locked="0" layoutInCell="0" allowOverlap="1">
                <wp:simplePos x="0" y="0"/>
                <wp:positionH relativeFrom="column">
                  <wp:posOffset>1021715</wp:posOffset>
                </wp:positionH>
                <wp:positionV relativeFrom="paragraph">
                  <wp:posOffset>64770</wp:posOffset>
                </wp:positionV>
                <wp:extent cx="4166235" cy="0"/>
                <wp:effectExtent l="0" t="0" r="0" b="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66235" cy="4763"/>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45pt,5.1pt" to="408.5pt,5.1pt" o:allowincell="f" strokecolor="#E05429" strokeweight="0.75pt"/>
            </w:pict>
          </mc:Fallback>
        </mc:AlternateContent>
      </w:r>
      <w:r>
        <w:rPr>
          <w:noProof/>
          <w:sz w:val="20"/>
          <w:szCs w:val="20"/>
        </w:rPr>
        <mc:AlternateContent>
          <mc:Choice Requires="wps">
            <w:drawing>
              <wp:anchor distT="0" distB="0" distL="114300" distR="114300" simplePos="0" relativeHeight="251769344" behindDoc="1" locked="0" layoutInCell="0" allowOverlap="1">
                <wp:simplePos x="0" y="0"/>
                <wp:positionH relativeFrom="column">
                  <wp:posOffset>1026795</wp:posOffset>
                </wp:positionH>
                <wp:positionV relativeFrom="paragraph">
                  <wp:posOffset>60325</wp:posOffset>
                </wp:positionV>
                <wp:extent cx="0" cy="2445385"/>
                <wp:effectExtent l="0" t="0" r="0" b="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45385"/>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85pt,4.75pt" to="80.85pt,197.3pt" o:allowincell="f" strokecolor="#E05429" strokeweight="0.75pt"/>
            </w:pict>
          </mc:Fallback>
        </mc:AlternateContent>
      </w:r>
      <w:r>
        <w:rPr>
          <w:noProof/>
          <w:sz w:val="20"/>
          <w:szCs w:val="20"/>
        </w:rPr>
        <mc:AlternateContent>
          <mc:Choice Requires="wps">
            <w:drawing>
              <wp:anchor distT="0" distB="0" distL="114300" distR="114300" simplePos="0" relativeHeight="251770368" behindDoc="1" locked="0" layoutInCell="0" allowOverlap="1">
                <wp:simplePos x="0" y="0"/>
                <wp:positionH relativeFrom="column">
                  <wp:posOffset>5183505</wp:posOffset>
                </wp:positionH>
                <wp:positionV relativeFrom="paragraph">
                  <wp:posOffset>60325</wp:posOffset>
                </wp:positionV>
                <wp:extent cx="0" cy="2445385"/>
                <wp:effectExtent l="0" t="0" r="0" b="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45385"/>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15pt,4.75pt" to="408.15pt,197.3pt" o:allowincell="f" strokecolor="#E05429" strokeweight="0.75pt"/>
            </w:pict>
          </mc:Fallback>
        </mc:AlternateContent>
      </w:r>
      <w:r>
        <w:rPr>
          <w:noProof/>
          <w:sz w:val="20"/>
          <w:szCs w:val="20"/>
        </w:rPr>
        <mc:AlternateContent>
          <mc:Choice Requires="wps">
            <w:drawing>
              <wp:anchor distT="0" distB="0" distL="114300" distR="114300" simplePos="0" relativeHeight="251771392" behindDoc="1" locked="0" layoutInCell="0" allowOverlap="1">
                <wp:simplePos x="0" y="0"/>
                <wp:positionH relativeFrom="column">
                  <wp:posOffset>1021715</wp:posOffset>
                </wp:positionH>
                <wp:positionV relativeFrom="paragraph">
                  <wp:posOffset>2500630</wp:posOffset>
                </wp:positionV>
                <wp:extent cx="4166235" cy="0"/>
                <wp:effectExtent l="0" t="0" r="0" b="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66235" cy="4763"/>
                        </a:xfrm>
                        <a:prstGeom prst="line">
                          <a:avLst/>
                        </a:prstGeom>
                        <a:solidFill>
                          <a:srgbClr val="FFFFFF"/>
                        </a:solidFill>
                        <a:ln w="9525">
                          <a:solidFill>
                            <a:srgbClr val="E05429"/>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45pt,196.9pt" to="408.5pt,196.9pt" o:allowincell="f" strokecolor="#E05429" strokeweight="0.75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22" w:lineRule="exact"/>
        <w:rPr>
          <w:sz w:val="20"/>
          <w:szCs w:val="20"/>
          <w:lang w:val="fr-BE"/>
        </w:rPr>
      </w:pPr>
    </w:p>
    <w:p w:rsidR="00AC12B4" w:rsidRPr="00C27636" w:rsidRDefault="00C27636">
      <w:pPr>
        <w:spacing w:line="218" w:lineRule="auto"/>
        <w:ind w:right="1100"/>
        <w:rPr>
          <w:sz w:val="20"/>
          <w:szCs w:val="20"/>
          <w:lang w:val="fr-BE"/>
        </w:rPr>
      </w:pPr>
      <w:r w:rsidRPr="00C27636">
        <w:rPr>
          <w:rFonts w:ascii="Calibri" w:eastAsia="Calibri" w:hAnsi="Calibri" w:cs="Calibri"/>
          <w:lang w:val="fr-BE"/>
        </w:rPr>
        <w:t>(19,8%) qu'il n'en a jamais ou rarement été capable.</w:t>
      </w:r>
    </w:p>
    <w:p w:rsidR="00AC12B4" w:rsidRPr="00C27636" w:rsidRDefault="00AC12B4">
      <w:pPr>
        <w:spacing w:line="207" w:lineRule="exact"/>
        <w:rPr>
          <w:sz w:val="20"/>
          <w:szCs w:val="20"/>
          <w:lang w:val="fr-BE"/>
        </w:rPr>
      </w:pPr>
    </w:p>
    <w:p w:rsidR="00AC12B4" w:rsidRDefault="00C27636">
      <w:pPr>
        <w:rPr>
          <w:sz w:val="20"/>
          <w:szCs w:val="20"/>
        </w:rPr>
      </w:pPr>
      <w:r>
        <w:rPr>
          <w:rFonts w:ascii="Cambria" w:eastAsia="Cambria" w:hAnsi="Cambria" w:cs="Cambria"/>
          <w:b/>
          <w:bCs/>
          <w:i/>
          <w:iCs/>
          <w:color w:val="7F2D13"/>
          <w:sz w:val="26"/>
          <w:szCs w:val="26"/>
        </w:rPr>
        <w:t>Iniquité</w:t>
      </w:r>
    </w:p>
    <w:p w:rsidR="00AC12B4" w:rsidRDefault="00AC12B4">
      <w:pPr>
        <w:spacing w:line="16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20"/>
        <w:gridCol w:w="1360"/>
        <w:gridCol w:w="2420"/>
        <w:gridCol w:w="760"/>
        <w:gridCol w:w="30"/>
      </w:tblGrid>
      <w:tr w:rsidR="00AC12B4" w:rsidRPr="00C27636">
        <w:trPr>
          <w:trHeight w:val="269"/>
        </w:trPr>
        <w:tc>
          <w:tcPr>
            <w:tcW w:w="4200" w:type="dxa"/>
            <w:gridSpan w:val="3"/>
            <w:vAlign w:val="bottom"/>
          </w:tcPr>
          <w:p w:rsidR="00AC12B4" w:rsidRPr="00C27636" w:rsidRDefault="00C27636">
            <w:pPr>
              <w:rPr>
                <w:sz w:val="20"/>
                <w:szCs w:val="20"/>
                <w:lang w:val="fr-BE"/>
              </w:rPr>
            </w:pPr>
            <w:r w:rsidRPr="00C27636">
              <w:rPr>
                <w:rFonts w:ascii="Calibri" w:eastAsia="Calibri" w:hAnsi="Calibri" w:cs="Calibri"/>
                <w:lang w:val="fr-BE"/>
              </w:rPr>
              <w:t>La  proportion  de  jeunes  qui  ont  très</w:t>
            </w: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6"/>
        </w:trPr>
        <w:tc>
          <w:tcPr>
            <w:tcW w:w="4200" w:type="dxa"/>
            <w:gridSpan w:val="3"/>
            <w:vAlign w:val="bottom"/>
          </w:tcPr>
          <w:p w:rsidR="00AC12B4" w:rsidRPr="00C27636" w:rsidRDefault="00C27636">
            <w:pPr>
              <w:spacing w:line="267" w:lineRule="exact"/>
              <w:rPr>
                <w:sz w:val="20"/>
                <w:szCs w:val="20"/>
                <w:lang w:val="fr-BE"/>
              </w:rPr>
            </w:pPr>
            <w:r w:rsidRPr="00C27636">
              <w:rPr>
                <w:rFonts w:ascii="Calibri" w:eastAsia="Calibri" w:hAnsi="Calibri" w:cs="Calibri"/>
                <w:lang w:val="fr-BE"/>
              </w:rPr>
              <w:t>souvent ou toujours été capables de</w:t>
            </w:r>
            <w:r w:rsidRPr="00C27636">
              <w:rPr>
                <w:rFonts w:ascii="Calibri" w:eastAsia="Calibri" w:hAnsi="Calibri" w:cs="Calibri"/>
                <w:lang w:val="fr-BE"/>
              </w:rPr>
              <w:t xml:space="preserve"> faire</w:t>
            </w: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200" w:type="dxa"/>
            <w:gridSpan w:val="3"/>
            <w:vAlign w:val="bottom"/>
          </w:tcPr>
          <w:p w:rsidR="00AC12B4" w:rsidRPr="00C27636" w:rsidRDefault="00C27636">
            <w:pPr>
              <w:rPr>
                <w:sz w:val="20"/>
                <w:szCs w:val="20"/>
                <w:lang w:val="fr-BE"/>
              </w:rPr>
            </w:pPr>
            <w:r w:rsidRPr="00C27636">
              <w:rPr>
                <w:rFonts w:ascii="Calibri" w:eastAsia="Calibri" w:hAnsi="Calibri" w:cs="Calibri"/>
                <w:lang w:val="fr-BE"/>
              </w:rPr>
              <w:t>ce qu'ils désiraient durant leur temps libre</w:t>
            </w: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200" w:type="dxa"/>
            <w:gridSpan w:val="3"/>
            <w:vAlign w:val="bottom"/>
          </w:tcPr>
          <w:p w:rsidR="00AC12B4" w:rsidRPr="00C27636" w:rsidRDefault="00C27636">
            <w:pPr>
              <w:rPr>
                <w:sz w:val="20"/>
                <w:szCs w:val="20"/>
                <w:lang w:val="fr-BE"/>
              </w:rPr>
            </w:pPr>
            <w:r w:rsidRPr="00C27636">
              <w:rPr>
                <w:rFonts w:ascii="Calibri" w:eastAsia="Calibri" w:hAnsi="Calibri" w:cs="Calibri"/>
                <w:lang w:val="fr-BE"/>
              </w:rPr>
              <w:t>est plus élevée parmi les garçons et parmi</w:t>
            </w: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200" w:type="dxa"/>
            <w:gridSpan w:val="3"/>
            <w:vAlign w:val="bottom"/>
          </w:tcPr>
          <w:p w:rsidR="00AC12B4" w:rsidRPr="00C27636" w:rsidRDefault="00C27636">
            <w:pPr>
              <w:rPr>
                <w:sz w:val="20"/>
                <w:szCs w:val="20"/>
                <w:lang w:val="fr-BE"/>
              </w:rPr>
            </w:pPr>
            <w:r w:rsidRPr="00C27636">
              <w:rPr>
                <w:rFonts w:ascii="Calibri" w:eastAsia="Calibri" w:hAnsi="Calibri" w:cs="Calibri"/>
                <w:lang w:val="fr-BE"/>
              </w:rPr>
              <w:t>les  jeunes  qui  vivent  avec  leurs  deux</w:t>
            </w: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200" w:type="dxa"/>
            <w:gridSpan w:val="3"/>
            <w:vAlign w:val="bottom"/>
          </w:tcPr>
          <w:p w:rsidR="00AC12B4" w:rsidRPr="00C27636" w:rsidRDefault="00C27636">
            <w:pPr>
              <w:rPr>
                <w:sz w:val="20"/>
                <w:szCs w:val="20"/>
                <w:lang w:val="fr-BE"/>
              </w:rPr>
            </w:pPr>
            <w:r w:rsidRPr="00C27636">
              <w:rPr>
                <w:rFonts w:ascii="Calibri" w:eastAsia="Calibri" w:hAnsi="Calibri" w:cs="Calibri"/>
                <w:lang w:val="fr-BE"/>
              </w:rPr>
              <w:t>parents. Cette proportion diminue lorsque</w:t>
            </w: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200" w:type="dxa"/>
            <w:gridSpan w:val="3"/>
            <w:vAlign w:val="bottom"/>
          </w:tcPr>
          <w:p w:rsidR="00AC12B4" w:rsidRPr="00C27636" w:rsidRDefault="00C27636">
            <w:pPr>
              <w:rPr>
                <w:sz w:val="20"/>
                <w:szCs w:val="20"/>
                <w:lang w:val="fr-BE"/>
              </w:rPr>
            </w:pPr>
            <w:r w:rsidRPr="00C27636">
              <w:rPr>
                <w:rFonts w:ascii="Calibri" w:eastAsia="Calibri" w:hAnsi="Calibri" w:cs="Calibri"/>
                <w:lang w:val="fr-BE"/>
              </w:rPr>
              <w:t>l'âge  augmente  et  lorsque  le  niveau</w:t>
            </w:r>
          </w:p>
        </w:tc>
        <w:tc>
          <w:tcPr>
            <w:tcW w:w="7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1780" w:type="dxa"/>
            <w:gridSpan w:val="2"/>
            <w:vAlign w:val="bottom"/>
          </w:tcPr>
          <w:p w:rsidR="00AC12B4" w:rsidRDefault="00C27636">
            <w:pPr>
              <w:rPr>
                <w:sz w:val="20"/>
                <w:szCs w:val="20"/>
              </w:rPr>
            </w:pPr>
            <w:r>
              <w:rPr>
                <w:rFonts w:ascii="Calibri" w:eastAsia="Calibri" w:hAnsi="Calibri" w:cs="Calibri"/>
              </w:rPr>
              <w:t>d'aisance</w:t>
            </w:r>
          </w:p>
        </w:tc>
        <w:tc>
          <w:tcPr>
            <w:tcW w:w="2420" w:type="dxa"/>
            <w:vAlign w:val="bottom"/>
          </w:tcPr>
          <w:p w:rsidR="00AC12B4" w:rsidRDefault="00AC12B4">
            <w:pPr>
              <w:rPr>
                <w:sz w:val="23"/>
                <w:szCs w:val="23"/>
              </w:rPr>
            </w:pPr>
          </w:p>
        </w:tc>
        <w:tc>
          <w:tcPr>
            <w:tcW w:w="7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52"/>
        </w:trPr>
        <w:tc>
          <w:tcPr>
            <w:tcW w:w="1780" w:type="dxa"/>
            <w:gridSpan w:val="2"/>
            <w:vAlign w:val="bottom"/>
          </w:tcPr>
          <w:p w:rsidR="00AC12B4" w:rsidRDefault="00AC12B4">
            <w:pPr>
              <w:rPr>
                <w:sz w:val="4"/>
                <w:szCs w:val="4"/>
              </w:rPr>
            </w:pPr>
          </w:p>
        </w:tc>
        <w:tc>
          <w:tcPr>
            <w:tcW w:w="2420" w:type="dxa"/>
            <w:vAlign w:val="bottom"/>
          </w:tcPr>
          <w:p w:rsidR="00AC12B4" w:rsidRDefault="00AC12B4">
            <w:pPr>
              <w:rPr>
                <w:sz w:val="4"/>
                <w:szCs w:val="4"/>
              </w:rPr>
            </w:pPr>
          </w:p>
        </w:tc>
        <w:tc>
          <w:tcPr>
            <w:tcW w:w="76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97"/>
        </w:trPr>
        <w:tc>
          <w:tcPr>
            <w:tcW w:w="1780" w:type="dxa"/>
            <w:gridSpan w:val="2"/>
            <w:tcBorders>
              <w:right w:val="single" w:sz="8" w:space="0" w:color="E05429"/>
            </w:tcBorders>
            <w:vAlign w:val="bottom"/>
          </w:tcPr>
          <w:p w:rsidR="00AC12B4" w:rsidRDefault="00C27636">
            <w:pPr>
              <w:spacing w:line="197" w:lineRule="exact"/>
              <w:rPr>
                <w:sz w:val="20"/>
                <w:szCs w:val="20"/>
              </w:rPr>
            </w:pPr>
            <w:r>
              <w:rPr>
                <w:rFonts w:ascii="Calibri" w:eastAsia="Calibri" w:hAnsi="Calibri" w:cs="Calibri"/>
                <w:sz w:val="21"/>
                <w:szCs w:val="21"/>
              </w:rPr>
              <w:t>matérielle  de</w:t>
            </w:r>
          </w:p>
        </w:tc>
        <w:tc>
          <w:tcPr>
            <w:tcW w:w="3180" w:type="dxa"/>
            <w:gridSpan w:val="2"/>
            <w:vMerge w:val="restart"/>
            <w:tcBorders>
              <w:top w:val="single" w:sz="8" w:space="0" w:color="E05429"/>
              <w:right w:val="single" w:sz="8" w:space="0" w:color="E05429"/>
            </w:tcBorders>
            <w:vAlign w:val="bottom"/>
          </w:tcPr>
          <w:p w:rsidR="00AC12B4" w:rsidRDefault="00C27636">
            <w:pPr>
              <w:spacing w:line="410" w:lineRule="exact"/>
              <w:ind w:left="160"/>
              <w:rPr>
                <w:sz w:val="20"/>
                <w:szCs w:val="20"/>
              </w:rPr>
            </w:pPr>
            <w:r>
              <w:rPr>
                <w:rFonts w:ascii="Comic Sans MS" w:eastAsia="Comic Sans MS" w:hAnsi="Comic Sans MS" w:cs="Comic Sans MS"/>
                <w:color w:val="E05429"/>
                <w:sz w:val="39"/>
                <w:szCs w:val="39"/>
              </w:rPr>
              <w:t>53,5%</w:t>
            </w:r>
          </w:p>
        </w:tc>
        <w:tc>
          <w:tcPr>
            <w:tcW w:w="0" w:type="dxa"/>
            <w:vAlign w:val="bottom"/>
          </w:tcPr>
          <w:p w:rsidR="00AC12B4" w:rsidRDefault="00AC12B4">
            <w:pPr>
              <w:rPr>
                <w:sz w:val="1"/>
                <w:szCs w:val="1"/>
              </w:rPr>
            </w:pPr>
          </w:p>
        </w:tc>
      </w:tr>
      <w:tr w:rsidR="00AC12B4">
        <w:trPr>
          <w:trHeight w:val="215"/>
        </w:trPr>
        <w:tc>
          <w:tcPr>
            <w:tcW w:w="420" w:type="dxa"/>
            <w:vMerge w:val="restart"/>
            <w:vAlign w:val="bottom"/>
          </w:tcPr>
          <w:p w:rsidR="00AC12B4" w:rsidRDefault="00C27636">
            <w:pPr>
              <w:rPr>
                <w:sz w:val="20"/>
                <w:szCs w:val="20"/>
              </w:rPr>
            </w:pPr>
            <w:r>
              <w:rPr>
                <w:rFonts w:ascii="Calibri" w:eastAsia="Calibri" w:hAnsi="Calibri" w:cs="Calibri"/>
              </w:rPr>
              <w:t>la</w:t>
            </w:r>
          </w:p>
        </w:tc>
        <w:tc>
          <w:tcPr>
            <w:tcW w:w="1360" w:type="dxa"/>
            <w:vMerge w:val="restart"/>
            <w:tcBorders>
              <w:right w:val="single" w:sz="8" w:space="0" w:color="E05429"/>
            </w:tcBorders>
            <w:vAlign w:val="bottom"/>
          </w:tcPr>
          <w:p w:rsidR="00AC12B4" w:rsidRDefault="00C27636">
            <w:pPr>
              <w:ind w:left="280"/>
              <w:rPr>
                <w:sz w:val="20"/>
                <w:szCs w:val="20"/>
              </w:rPr>
            </w:pPr>
            <w:r>
              <w:rPr>
                <w:rFonts w:ascii="Calibri" w:eastAsia="Calibri" w:hAnsi="Calibri" w:cs="Calibri"/>
              </w:rPr>
              <w:t>famille</w:t>
            </w:r>
          </w:p>
        </w:tc>
        <w:tc>
          <w:tcPr>
            <w:tcW w:w="3180" w:type="dxa"/>
            <w:gridSpan w:val="2"/>
            <w:vMerge/>
            <w:tcBorders>
              <w:right w:val="single" w:sz="8" w:space="0" w:color="E05429"/>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54"/>
        </w:trPr>
        <w:tc>
          <w:tcPr>
            <w:tcW w:w="420" w:type="dxa"/>
            <w:vMerge/>
            <w:vAlign w:val="bottom"/>
          </w:tcPr>
          <w:p w:rsidR="00AC12B4" w:rsidRDefault="00AC12B4">
            <w:pPr>
              <w:rPr>
                <w:sz w:val="4"/>
                <w:szCs w:val="4"/>
              </w:rPr>
            </w:pPr>
          </w:p>
        </w:tc>
        <w:tc>
          <w:tcPr>
            <w:tcW w:w="1360" w:type="dxa"/>
            <w:vMerge/>
            <w:tcBorders>
              <w:right w:val="single" w:sz="8" w:space="0" w:color="E05429"/>
            </w:tcBorders>
            <w:vAlign w:val="bottom"/>
          </w:tcPr>
          <w:p w:rsidR="00AC12B4" w:rsidRDefault="00AC12B4">
            <w:pPr>
              <w:rPr>
                <w:sz w:val="4"/>
                <w:szCs w:val="4"/>
              </w:rPr>
            </w:pPr>
          </w:p>
        </w:tc>
        <w:tc>
          <w:tcPr>
            <w:tcW w:w="2420" w:type="dxa"/>
            <w:vAlign w:val="bottom"/>
          </w:tcPr>
          <w:p w:rsidR="00AC12B4" w:rsidRDefault="00AC12B4">
            <w:pPr>
              <w:rPr>
                <w:sz w:val="4"/>
                <w:szCs w:val="4"/>
              </w:rPr>
            </w:pPr>
          </w:p>
        </w:tc>
        <w:tc>
          <w:tcPr>
            <w:tcW w:w="760" w:type="dxa"/>
            <w:tcBorders>
              <w:right w:val="single" w:sz="8" w:space="0" w:color="E05429"/>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69"/>
        </w:trPr>
        <w:tc>
          <w:tcPr>
            <w:tcW w:w="1780" w:type="dxa"/>
            <w:gridSpan w:val="2"/>
            <w:tcBorders>
              <w:right w:val="single" w:sz="8" w:space="0" w:color="E05429"/>
            </w:tcBorders>
            <w:vAlign w:val="bottom"/>
          </w:tcPr>
          <w:p w:rsidR="00AC12B4" w:rsidRDefault="00C27636">
            <w:pPr>
              <w:rPr>
                <w:sz w:val="20"/>
                <w:szCs w:val="20"/>
              </w:rPr>
            </w:pPr>
            <w:r>
              <w:rPr>
                <w:rFonts w:ascii="Calibri" w:eastAsia="Calibri" w:hAnsi="Calibri" w:cs="Calibri"/>
              </w:rPr>
              <w:t>diminue.</w:t>
            </w:r>
          </w:p>
        </w:tc>
        <w:tc>
          <w:tcPr>
            <w:tcW w:w="2420" w:type="dxa"/>
            <w:vAlign w:val="bottom"/>
          </w:tcPr>
          <w:p w:rsidR="00AC12B4" w:rsidRDefault="00AC12B4">
            <w:pPr>
              <w:rPr>
                <w:sz w:val="23"/>
                <w:szCs w:val="23"/>
              </w:rPr>
            </w:pPr>
          </w:p>
        </w:tc>
        <w:tc>
          <w:tcPr>
            <w:tcW w:w="760" w:type="dxa"/>
            <w:tcBorders>
              <w:right w:val="single" w:sz="8" w:space="0" w:color="E05429"/>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026"/>
        </w:trPr>
        <w:tc>
          <w:tcPr>
            <w:tcW w:w="420" w:type="dxa"/>
            <w:vAlign w:val="bottom"/>
          </w:tcPr>
          <w:p w:rsidR="00AC12B4" w:rsidRDefault="00AC12B4">
            <w:pPr>
              <w:rPr>
                <w:sz w:val="24"/>
                <w:szCs w:val="24"/>
              </w:rPr>
            </w:pPr>
          </w:p>
        </w:tc>
        <w:tc>
          <w:tcPr>
            <w:tcW w:w="1360" w:type="dxa"/>
            <w:tcBorders>
              <w:right w:val="single" w:sz="8" w:space="0" w:color="E05429"/>
            </w:tcBorders>
            <w:vAlign w:val="bottom"/>
          </w:tcPr>
          <w:p w:rsidR="00AC12B4" w:rsidRDefault="00AC12B4">
            <w:pPr>
              <w:rPr>
                <w:sz w:val="24"/>
                <w:szCs w:val="24"/>
              </w:rPr>
            </w:pPr>
          </w:p>
        </w:tc>
        <w:tc>
          <w:tcPr>
            <w:tcW w:w="2420" w:type="dxa"/>
            <w:vAlign w:val="bottom"/>
          </w:tcPr>
          <w:p w:rsidR="00AC12B4" w:rsidRDefault="00C27636">
            <w:pPr>
              <w:ind w:left="160"/>
              <w:rPr>
                <w:sz w:val="20"/>
                <w:szCs w:val="20"/>
              </w:rPr>
            </w:pPr>
            <w:r>
              <w:rPr>
                <w:rFonts w:ascii="Comic Sans MS" w:eastAsia="Comic Sans MS" w:hAnsi="Comic Sans MS" w:cs="Comic Sans MS"/>
                <w:color w:val="0D0D0D"/>
                <w:sz w:val="20"/>
                <w:szCs w:val="20"/>
              </w:rPr>
              <w:t>des  jeunes  rapportent</w:t>
            </w:r>
          </w:p>
        </w:tc>
        <w:tc>
          <w:tcPr>
            <w:tcW w:w="760" w:type="dxa"/>
            <w:tcBorders>
              <w:right w:val="single" w:sz="8" w:space="0" w:color="E05429"/>
            </w:tcBorders>
            <w:vAlign w:val="bottom"/>
          </w:tcPr>
          <w:p w:rsidR="00AC12B4" w:rsidRDefault="00C27636">
            <w:pPr>
              <w:ind w:right="100"/>
              <w:jc w:val="right"/>
              <w:rPr>
                <w:sz w:val="20"/>
                <w:szCs w:val="20"/>
              </w:rPr>
            </w:pPr>
            <w:r>
              <w:rPr>
                <w:rFonts w:ascii="Comic Sans MS" w:eastAsia="Comic Sans MS" w:hAnsi="Comic Sans MS" w:cs="Comic Sans MS"/>
                <w:color w:val="0D0D0D"/>
                <w:sz w:val="20"/>
                <w:szCs w:val="20"/>
              </w:rPr>
              <w:t>être</w:t>
            </w:r>
          </w:p>
        </w:tc>
        <w:tc>
          <w:tcPr>
            <w:tcW w:w="0" w:type="dxa"/>
            <w:vAlign w:val="bottom"/>
          </w:tcPr>
          <w:p w:rsidR="00AC12B4" w:rsidRDefault="00AC12B4">
            <w:pPr>
              <w:rPr>
                <w:sz w:val="1"/>
                <w:szCs w:val="1"/>
              </w:rPr>
            </w:pPr>
          </w:p>
        </w:tc>
      </w:tr>
      <w:tr w:rsidR="00AC12B4" w:rsidRPr="00C27636">
        <w:trPr>
          <w:trHeight w:val="278"/>
        </w:trPr>
        <w:tc>
          <w:tcPr>
            <w:tcW w:w="420" w:type="dxa"/>
            <w:vAlign w:val="bottom"/>
          </w:tcPr>
          <w:p w:rsidR="00AC12B4" w:rsidRDefault="00AC12B4">
            <w:pPr>
              <w:rPr>
                <w:sz w:val="24"/>
                <w:szCs w:val="24"/>
              </w:rPr>
            </w:pPr>
          </w:p>
        </w:tc>
        <w:tc>
          <w:tcPr>
            <w:tcW w:w="1360" w:type="dxa"/>
            <w:tcBorders>
              <w:right w:val="single" w:sz="8" w:space="0" w:color="E05429"/>
            </w:tcBorders>
            <w:vAlign w:val="bottom"/>
          </w:tcPr>
          <w:p w:rsidR="00AC12B4" w:rsidRDefault="00AC12B4">
            <w:pPr>
              <w:rPr>
                <w:sz w:val="24"/>
                <w:szCs w:val="24"/>
              </w:rPr>
            </w:pPr>
          </w:p>
        </w:tc>
        <w:tc>
          <w:tcPr>
            <w:tcW w:w="3180" w:type="dxa"/>
            <w:gridSpan w:val="2"/>
            <w:tcBorders>
              <w:right w:val="single" w:sz="8" w:space="0" w:color="E05429"/>
            </w:tcBorders>
            <w:vAlign w:val="bottom"/>
          </w:tcPr>
          <w:p w:rsidR="00AC12B4" w:rsidRPr="00C27636" w:rsidRDefault="00C27636">
            <w:pPr>
              <w:ind w:left="160"/>
              <w:rPr>
                <w:sz w:val="20"/>
                <w:szCs w:val="20"/>
                <w:lang w:val="fr-BE"/>
              </w:rPr>
            </w:pPr>
            <w:r w:rsidRPr="00C27636">
              <w:rPr>
                <w:rFonts w:ascii="Comic Sans MS" w:eastAsia="Comic Sans MS" w:hAnsi="Comic Sans MS" w:cs="Comic Sans MS"/>
                <w:color w:val="0D0D0D"/>
                <w:sz w:val="20"/>
                <w:szCs w:val="20"/>
                <w:lang w:val="fr-BE"/>
              </w:rPr>
              <w:t>capables  de  faire  ce  qu'ils</w:t>
            </w:r>
          </w:p>
        </w:tc>
        <w:tc>
          <w:tcPr>
            <w:tcW w:w="0" w:type="dxa"/>
            <w:vAlign w:val="bottom"/>
          </w:tcPr>
          <w:p w:rsidR="00AC12B4" w:rsidRPr="00C27636" w:rsidRDefault="00AC12B4">
            <w:pPr>
              <w:rPr>
                <w:sz w:val="1"/>
                <w:szCs w:val="1"/>
                <w:lang w:val="fr-BE"/>
              </w:rPr>
            </w:pPr>
          </w:p>
        </w:tc>
      </w:tr>
      <w:tr w:rsidR="00AC12B4">
        <w:trPr>
          <w:trHeight w:val="278"/>
        </w:trPr>
        <w:tc>
          <w:tcPr>
            <w:tcW w:w="420" w:type="dxa"/>
            <w:vAlign w:val="bottom"/>
          </w:tcPr>
          <w:p w:rsidR="00AC12B4" w:rsidRPr="00C27636" w:rsidRDefault="00AC12B4">
            <w:pPr>
              <w:rPr>
                <w:sz w:val="24"/>
                <w:szCs w:val="24"/>
                <w:lang w:val="fr-BE"/>
              </w:rPr>
            </w:pPr>
          </w:p>
        </w:tc>
        <w:tc>
          <w:tcPr>
            <w:tcW w:w="1360" w:type="dxa"/>
            <w:tcBorders>
              <w:right w:val="single" w:sz="8" w:space="0" w:color="E05429"/>
            </w:tcBorders>
            <w:vAlign w:val="bottom"/>
          </w:tcPr>
          <w:p w:rsidR="00AC12B4" w:rsidRPr="00C27636" w:rsidRDefault="00AC12B4">
            <w:pPr>
              <w:rPr>
                <w:sz w:val="24"/>
                <w:szCs w:val="24"/>
                <w:lang w:val="fr-BE"/>
              </w:rPr>
            </w:pPr>
          </w:p>
        </w:tc>
        <w:tc>
          <w:tcPr>
            <w:tcW w:w="2420" w:type="dxa"/>
            <w:vAlign w:val="bottom"/>
          </w:tcPr>
          <w:p w:rsidR="00AC12B4" w:rsidRDefault="00C27636">
            <w:pPr>
              <w:ind w:left="160"/>
              <w:rPr>
                <w:sz w:val="20"/>
                <w:szCs w:val="20"/>
              </w:rPr>
            </w:pPr>
            <w:r>
              <w:rPr>
                <w:rFonts w:ascii="Comic Sans MS" w:eastAsia="Comic Sans MS" w:hAnsi="Comic Sans MS" w:cs="Comic Sans MS"/>
                <w:color w:val="0D0D0D"/>
                <w:sz w:val="20"/>
                <w:szCs w:val="20"/>
              </w:rPr>
              <w:t>désirent  durant  leur</w:t>
            </w:r>
          </w:p>
        </w:tc>
        <w:tc>
          <w:tcPr>
            <w:tcW w:w="760" w:type="dxa"/>
            <w:tcBorders>
              <w:right w:val="single" w:sz="8" w:space="0" w:color="E05429"/>
            </w:tcBorders>
            <w:vAlign w:val="bottom"/>
          </w:tcPr>
          <w:p w:rsidR="00AC12B4" w:rsidRDefault="00C27636">
            <w:pPr>
              <w:ind w:right="100"/>
              <w:jc w:val="right"/>
              <w:rPr>
                <w:sz w:val="20"/>
                <w:szCs w:val="20"/>
              </w:rPr>
            </w:pPr>
            <w:r>
              <w:rPr>
                <w:rFonts w:ascii="Comic Sans MS" w:eastAsia="Comic Sans MS" w:hAnsi="Comic Sans MS" w:cs="Comic Sans MS"/>
                <w:color w:val="0D0D0D"/>
                <w:w w:val="95"/>
                <w:sz w:val="20"/>
                <w:szCs w:val="20"/>
              </w:rPr>
              <w:t>temps</w:t>
            </w:r>
          </w:p>
        </w:tc>
        <w:tc>
          <w:tcPr>
            <w:tcW w:w="0" w:type="dxa"/>
            <w:vAlign w:val="bottom"/>
          </w:tcPr>
          <w:p w:rsidR="00AC12B4" w:rsidRDefault="00AC12B4">
            <w:pPr>
              <w:rPr>
                <w:sz w:val="1"/>
                <w:szCs w:val="1"/>
              </w:rPr>
            </w:pPr>
          </w:p>
        </w:tc>
      </w:tr>
      <w:tr w:rsidR="00AC12B4">
        <w:trPr>
          <w:trHeight w:val="279"/>
        </w:trPr>
        <w:tc>
          <w:tcPr>
            <w:tcW w:w="420" w:type="dxa"/>
            <w:vAlign w:val="bottom"/>
          </w:tcPr>
          <w:p w:rsidR="00AC12B4" w:rsidRDefault="00AC12B4">
            <w:pPr>
              <w:rPr>
                <w:sz w:val="24"/>
                <w:szCs w:val="24"/>
              </w:rPr>
            </w:pPr>
          </w:p>
        </w:tc>
        <w:tc>
          <w:tcPr>
            <w:tcW w:w="1360" w:type="dxa"/>
            <w:tcBorders>
              <w:right w:val="single" w:sz="8" w:space="0" w:color="E05429"/>
            </w:tcBorders>
            <w:vAlign w:val="bottom"/>
          </w:tcPr>
          <w:p w:rsidR="00AC12B4" w:rsidRDefault="00AC12B4">
            <w:pPr>
              <w:rPr>
                <w:sz w:val="24"/>
                <w:szCs w:val="24"/>
              </w:rPr>
            </w:pPr>
          </w:p>
        </w:tc>
        <w:tc>
          <w:tcPr>
            <w:tcW w:w="2420" w:type="dxa"/>
            <w:vAlign w:val="bottom"/>
          </w:tcPr>
          <w:p w:rsidR="00AC12B4" w:rsidRDefault="00C27636">
            <w:pPr>
              <w:ind w:left="160"/>
              <w:rPr>
                <w:sz w:val="20"/>
                <w:szCs w:val="20"/>
              </w:rPr>
            </w:pPr>
            <w:r>
              <w:rPr>
                <w:rFonts w:ascii="Comic Sans MS" w:eastAsia="Comic Sans MS" w:hAnsi="Comic Sans MS" w:cs="Comic Sans MS"/>
                <w:color w:val="0D0D0D"/>
                <w:sz w:val="20"/>
                <w:szCs w:val="20"/>
              </w:rPr>
              <w:t>libre (HBSC 2014).</w:t>
            </w:r>
          </w:p>
        </w:tc>
        <w:tc>
          <w:tcPr>
            <w:tcW w:w="760" w:type="dxa"/>
            <w:tcBorders>
              <w:right w:val="single" w:sz="8" w:space="0" w:color="E05429"/>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62"/>
        </w:trPr>
        <w:tc>
          <w:tcPr>
            <w:tcW w:w="420" w:type="dxa"/>
            <w:vAlign w:val="bottom"/>
          </w:tcPr>
          <w:p w:rsidR="00AC12B4" w:rsidRDefault="00AC12B4">
            <w:pPr>
              <w:rPr>
                <w:sz w:val="14"/>
                <w:szCs w:val="14"/>
              </w:rPr>
            </w:pPr>
          </w:p>
        </w:tc>
        <w:tc>
          <w:tcPr>
            <w:tcW w:w="1360" w:type="dxa"/>
            <w:tcBorders>
              <w:right w:val="single" w:sz="8" w:space="0" w:color="E05429"/>
            </w:tcBorders>
            <w:vAlign w:val="bottom"/>
          </w:tcPr>
          <w:p w:rsidR="00AC12B4" w:rsidRDefault="00AC12B4">
            <w:pPr>
              <w:rPr>
                <w:sz w:val="14"/>
                <w:szCs w:val="14"/>
              </w:rPr>
            </w:pPr>
          </w:p>
        </w:tc>
        <w:tc>
          <w:tcPr>
            <w:tcW w:w="2420" w:type="dxa"/>
            <w:tcBorders>
              <w:bottom w:val="single" w:sz="8" w:space="0" w:color="E05429"/>
            </w:tcBorders>
            <w:vAlign w:val="bottom"/>
          </w:tcPr>
          <w:p w:rsidR="00AC12B4" w:rsidRDefault="00AC12B4">
            <w:pPr>
              <w:rPr>
                <w:sz w:val="14"/>
                <w:szCs w:val="14"/>
              </w:rPr>
            </w:pPr>
          </w:p>
        </w:tc>
        <w:tc>
          <w:tcPr>
            <w:tcW w:w="760" w:type="dxa"/>
            <w:tcBorders>
              <w:bottom w:val="single" w:sz="8" w:space="0" w:color="E05429"/>
              <w:right w:val="single" w:sz="8" w:space="0" w:color="E05429"/>
            </w:tcBorders>
            <w:vAlign w:val="bottom"/>
          </w:tcPr>
          <w:p w:rsidR="00AC12B4" w:rsidRDefault="00AC12B4">
            <w:pPr>
              <w:rPr>
                <w:sz w:val="14"/>
                <w:szCs w:val="14"/>
              </w:rPr>
            </w:pPr>
          </w:p>
        </w:tc>
        <w:tc>
          <w:tcPr>
            <w:tcW w:w="0" w:type="dxa"/>
            <w:vAlign w:val="bottom"/>
          </w:tcPr>
          <w:p w:rsidR="00AC12B4" w:rsidRDefault="00AC12B4">
            <w:pPr>
              <w:rPr>
                <w:sz w:val="1"/>
                <w:szCs w:val="1"/>
              </w:rPr>
            </w:pPr>
          </w:p>
        </w:tc>
      </w:tr>
    </w:tbl>
    <w:p w:rsidR="00AC12B4" w:rsidRDefault="00AC12B4">
      <w:pPr>
        <w:spacing w:line="1419" w:lineRule="exact"/>
        <w:rPr>
          <w:sz w:val="20"/>
          <w:szCs w:val="20"/>
        </w:rPr>
      </w:pPr>
    </w:p>
    <w:p w:rsidR="00AC12B4" w:rsidRDefault="00AC12B4">
      <w:pPr>
        <w:sectPr w:rsidR="00AC12B4">
          <w:type w:val="continuous"/>
          <w:pgSz w:w="12080" w:h="17179"/>
          <w:pgMar w:top="1440" w:right="517" w:bottom="659" w:left="1260" w:header="0" w:footer="0" w:gutter="0"/>
          <w:cols w:num="2" w:space="720" w:equalWidth="0">
            <w:col w:w="4880" w:space="460"/>
            <w:col w:w="4960"/>
          </w:cols>
        </w:sectPr>
      </w:pPr>
    </w:p>
    <w:p w:rsidR="00AC12B4" w:rsidRDefault="00AC12B4">
      <w:pPr>
        <w:spacing w:line="46" w:lineRule="exact"/>
        <w:rPr>
          <w:sz w:val="20"/>
          <w:szCs w:val="20"/>
        </w:rPr>
      </w:pPr>
    </w:p>
    <w:p w:rsidR="00AC12B4" w:rsidRDefault="00C27636">
      <w:pPr>
        <w:ind w:left="4320"/>
        <w:rPr>
          <w:sz w:val="20"/>
          <w:szCs w:val="20"/>
        </w:rPr>
      </w:pPr>
      <w:r>
        <w:rPr>
          <w:rFonts w:ascii="Calibri" w:eastAsia="Calibri" w:hAnsi="Calibri" w:cs="Calibri"/>
          <w:sz w:val="20"/>
          <w:szCs w:val="20"/>
        </w:rPr>
        <w:t>5,3%</w:t>
      </w:r>
    </w:p>
    <w:p w:rsidR="00AC12B4" w:rsidRDefault="00C27636">
      <w:pPr>
        <w:spacing w:line="20" w:lineRule="exact"/>
        <w:rPr>
          <w:sz w:val="20"/>
          <w:szCs w:val="20"/>
        </w:rPr>
      </w:pPr>
      <w:r>
        <w:rPr>
          <w:noProof/>
          <w:sz w:val="20"/>
          <w:szCs w:val="20"/>
        </w:rPr>
        <w:drawing>
          <wp:anchor distT="0" distB="0" distL="114300" distR="114300" simplePos="0" relativeHeight="251772416" behindDoc="1" locked="0" layoutInCell="0" allowOverlap="1">
            <wp:simplePos x="0" y="0"/>
            <wp:positionH relativeFrom="column">
              <wp:posOffset>1649095</wp:posOffset>
            </wp:positionH>
            <wp:positionV relativeFrom="paragraph">
              <wp:posOffset>-5080</wp:posOffset>
            </wp:positionV>
            <wp:extent cx="2045970" cy="1953895"/>
            <wp:effectExtent l="0" t="0" r="0" b="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53">
                      <a:extLst/>
                    </a:blip>
                    <a:srcRect/>
                    <a:stretch>
                      <a:fillRect/>
                    </a:stretch>
                  </pic:blipFill>
                  <pic:spPr bwMode="auto">
                    <a:xfrm>
                      <a:off x="0" y="0"/>
                      <a:ext cx="2045970" cy="1953895"/>
                    </a:xfrm>
                    <a:prstGeom prst="rect">
                      <a:avLst/>
                    </a:prstGeom>
                    <a:noFill/>
                  </pic:spPr>
                </pic:pic>
              </a:graphicData>
            </a:graphic>
          </wp:anchor>
        </w:drawing>
      </w:r>
    </w:p>
    <w:p w:rsidR="00AC12B4" w:rsidRDefault="00AC12B4">
      <w:pPr>
        <w:spacing w:line="155" w:lineRule="exact"/>
        <w:rPr>
          <w:sz w:val="20"/>
          <w:szCs w:val="20"/>
        </w:rPr>
      </w:pPr>
    </w:p>
    <w:p w:rsidR="00AC12B4" w:rsidRDefault="00C27636">
      <w:pPr>
        <w:tabs>
          <w:tab w:val="left" w:pos="5280"/>
        </w:tabs>
        <w:ind w:left="2500"/>
        <w:rPr>
          <w:sz w:val="20"/>
          <w:szCs w:val="20"/>
        </w:rPr>
      </w:pPr>
      <w:r>
        <w:rPr>
          <w:rFonts w:ascii="Calibri" w:eastAsia="Calibri" w:hAnsi="Calibri" w:cs="Calibri"/>
          <w:sz w:val="20"/>
          <w:szCs w:val="20"/>
        </w:rPr>
        <w:t>24,9%</w:t>
      </w:r>
      <w:r>
        <w:rPr>
          <w:sz w:val="20"/>
          <w:szCs w:val="20"/>
        </w:rPr>
        <w:tab/>
      </w:r>
      <w:r>
        <w:rPr>
          <w:rFonts w:ascii="Calibri" w:eastAsia="Calibri" w:hAnsi="Calibri" w:cs="Calibri"/>
          <w:sz w:val="20"/>
          <w:szCs w:val="20"/>
        </w:rPr>
        <w:t>14,5%</w:t>
      </w:r>
    </w:p>
    <w:p w:rsidR="00AC12B4" w:rsidRDefault="00AC12B4">
      <w:pPr>
        <w:spacing w:line="250" w:lineRule="exact"/>
        <w:rPr>
          <w:sz w:val="20"/>
          <w:szCs w:val="20"/>
        </w:rPr>
      </w:pPr>
    </w:p>
    <w:p w:rsidR="00AC12B4" w:rsidRDefault="00C27636">
      <w:pPr>
        <w:ind w:left="6760"/>
        <w:rPr>
          <w:sz w:val="20"/>
          <w:szCs w:val="20"/>
        </w:rPr>
      </w:pPr>
      <w:r>
        <w:rPr>
          <w:noProof/>
          <w:sz w:val="1"/>
          <w:szCs w:val="1"/>
        </w:rPr>
        <w:drawing>
          <wp:inline distT="0" distB="0" distL="0" distR="0">
            <wp:extent cx="69850" cy="6985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45">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Jamais</w:t>
      </w:r>
    </w:p>
    <w:p w:rsidR="00AC12B4" w:rsidRDefault="00AC12B4">
      <w:pPr>
        <w:spacing w:line="117" w:lineRule="exact"/>
        <w:rPr>
          <w:sz w:val="20"/>
          <w:szCs w:val="20"/>
        </w:rPr>
      </w:pPr>
    </w:p>
    <w:p w:rsidR="00AC12B4" w:rsidRDefault="00C27636">
      <w:pPr>
        <w:ind w:left="6760"/>
        <w:rPr>
          <w:sz w:val="20"/>
          <w:szCs w:val="20"/>
        </w:rPr>
      </w:pPr>
      <w:r>
        <w:rPr>
          <w:noProof/>
          <w:sz w:val="1"/>
          <w:szCs w:val="1"/>
        </w:rPr>
        <w:drawing>
          <wp:inline distT="0" distB="0" distL="0" distR="0">
            <wp:extent cx="69850" cy="6858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54">
                      <a:extLst/>
                    </a:blip>
                    <a:srcRect/>
                    <a:stretch>
                      <a:fillRect/>
                    </a:stretch>
                  </pic:blipFill>
                  <pic:spPr bwMode="auto">
                    <a:xfrm>
                      <a:off x="0" y="0"/>
                      <a:ext cx="69850" cy="68580"/>
                    </a:xfrm>
                    <a:prstGeom prst="rect">
                      <a:avLst/>
                    </a:prstGeom>
                    <a:noFill/>
                    <a:ln>
                      <a:noFill/>
                    </a:ln>
                  </pic:spPr>
                </pic:pic>
              </a:graphicData>
            </a:graphic>
          </wp:inline>
        </w:drawing>
      </w:r>
      <w:r>
        <w:rPr>
          <w:rFonts w:ascii="Calibri" w:eastAsia="Calibri" w:hAnsi="Calibri" w:cs="Calibri"/>
          <w:sz w:val="20"/>
          <w:szCs w:val="20"/>
        </w:rPr>
        <w:t xml:space="preserve"> Rarement</w:t>
      </w:r>
    </w:p>
    <w:p w:rsidR="00AC12B4" w:rsidRDefault="00AC12B4">
      <w:pPr>
        <w:spacing w:line="118" w:lineRule="exact"/>
        <w:rPr>
          <w:sz w:val="20"/>
          <w:szCs w:val="20"/>
        </w:rPr>
      </w:pPr>
    </w:p>
    <w:p w:rsidR="00AC12B4" w:rsidRDefault="00C27636">
      <w:pPr>
        <w:ind w:left="6760"/>
        <w:rPr>
          <w:sz w:val="20"/>
          <w:szCs w:val="20"/>
        </w:rPr>
      </w:pPr>
      <w:r>
        <w:rPr>
          <w:noProof/>
          <w:sz w:val="1"/>
          <w:szCs w:val="1"/>
        </w:rPr>
        <w:drawing>
          <wp:inline distT="0" distB="0" distL="0" distR="0">
            <wp:extent cx="69850" cy="6985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78">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Souvent</w:t>
      </w:r>
    </w:p>
    <w:p w:rsidR="00AC12B4" w:rsidRDefault="00AC12B4">
      <w:pPr>
        <w:spacing w:line="117" w:lineRule="exact"/>
        <w:rPr>
          <w:sz w:val="20"/>
          <w:szCs w:val="20"/>
        </w:rPr>
      </w:pPr>
    </w:p>
    <w:p w:rsidR="00AC12B4" w:rsidRDefault="00C27636">
      <w:pPr>
        <w:ind w:right="1317"/>
        <w:jc w:val="right"/>
        <w:rPr>
          <w:sz w:val="20"/>
          <w:szCs w:val="20"/>
        </w:rPr>
      </w:pPr>
      <w:r>
        <w:rPr>
          <w:noProof/>
          <w:sz w:val="1"/>
          <w:szCs w:val="1"/>
        </w:rPr>
        <w:drawing>
          <wp:inline distT="0" distB="0" distL="0" distR="0">
            <wp:extent cx="69850" cy="6985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7">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Très souvent</w:t>
      </w:r>
    </w:p>
    <w:p w:rsidR="00AC12B4" w:rsidRDefault="00AC12B4">
      <w:pPr>
        <w:spacing w:line="37" w:lineRule="exact"/>
        <w:rPr>
          <w:sz w:val="20"/>
          <w:szCs w:val="20"/>
        </w:rPr>
      </w:pPr>
    </w:p>
    <w:p w:rsidR="00AC12B4" w:rsidRDefault="00C27636">
      <w:pPr>
        <w:ind w:left="6920"/>
        <w:rPr>
          <w:sz w:val="20"/>
          <w:szCs w:val="20"/>
        </w:rPr>
      </w:pPr>
      <w:r>
        <w:rPr>
          <w:rFonts w:ascii="Calibri" w:eastAsia="Calibri" w:hAnsi="Calibri" w:cs="Calibri"/>
          <w:sz w:val="20"/>
          <w:szCs w:val="20"/>
        </w:rPr>
        <w:t>Toujours</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773440" behindDoc="1" locked="0" layoutInCell="0" allowOverlap="1">
                <wp:simplePos x="0" y="0"/>
                <wp:positionH relativeFrom="column">
                  <wp:posOffset>4294505</wp:posOffset>
                </wp:positionH>
                <wp:positionV relativeFrom="paragraph">
                  <wp:posOffset>-50800</wp:posOffset>
                </wp:positionV>
                <wp:extent cx="69850" cy="67945"/>
                <wp:effectExtent l="0" t="0" r="0" b="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 cy="67945"/>
                        </a:xfrm>
                        <a:prstGeom prst="rect">
                          <a:avLst/>
                        </a:prstGeom>
                        <a:solidFill>
                          <a:srgbClr val="4BACC6"/>
                        </a:solidFill>
                      </wps:spPr>
                      <wps:bodyPr/>
                    </wps:wsp>
                  </a:graphicData>
                </a:graphic>
              </wp:anchor>
            </w:drawing>
          </mc:Choice>
          <mc:Fallback>
            <w:pict>
              <v:rect id="Shape 447" o:spid="_x0000_s1472" style="position:absolute;margin-left:338.15pt;margin-top:-4pt;width:5.5pt;height: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BACC6" stroked="f"/>
            </w:pict>
          </mc:Fallback>
        </mc:AlternateContent>
      </w:r>
    </w:p>
    <w:p w:rsidR="00AC12B4" w:rsidRDefault="00C27636">
      <w:pPr>
        <w:spacing w:line="194" w:lineRule="auto"/>
        <w:ind w:left="5540"/>
        <w:rPr>
          <w:sz w:val="20"/>
          <w:szCs w:val="20"/>
        </w:rPr>
      </w:pPr>
      <w:r>
        <w:rPr>
          <w:rFonts w:ascii="Calibri" w:eastAsia="Calibri" w:hAnsi="Calibri" w:cs="Calibri"/>
          <w:sz w:val="20"/>
          <w:szCs w:val="20"/>
        </w:rPr>
        <w:t>26,7%</w:t>
      </w:r>
    </w:p>
    <w:p w:rsidR="00AC12B4" w:rsidRDefault="00AC12B4">
      <w:pPr>
        <w:spacing w:line="260" w:lineRule="exact"/>
        <w:rPr>
          <w:sz w:val="20"/>
          <w:szCs w:val="20"/>
        </w:rPr>
      </w:pPr>
    </w:p>
    <w:p w:rsidR="00AC12B4" w:rsidRDefault="00C27636">
      <w:pPr>
        <w:ind w:left="2620"/>
        <w:rPr>
          <w:sz w:val="20"/>
          <w:szCs w:val="20"/>
        </w:rPr>
      </w:pPr>
      <w:r>
        <w:rPr>
          <w:rFonts w:ascii="Calibri" w:eastAsia="Calibri" w:hAnsi="Calibri" w:cs="Calibri"/>
          <w:sz w:val="20"/>
          <w:szCs w:val="20"/>
        </w:rPr>
        <w:t>28,6%</w:t>
      </w:r>
    </w:p>
    <w:p w:rsidR="00AC12B4" w:rsidRDefault="00C27636">
      <w:pPr>
        <w:spacing w:line="20" w:lineRule="exact"/>
        <w:rPr>
          <w:sz w:val="20"/>
          <w:szCs w:val="20"/>
        </w:rPr>
      </w:pPr>
      <w:r>
        <w:rPr>
          <w:noProof/>
          <w:sz w:val="20"/>
          <w:szCs w:val="20"/>
        </w:rPr>
        <w:drawing>
          <wp:anchor distT="0" distB="0" distL="114300" distR="114300" simplePos="0" relativeHeight="251774464" behindDoc="1" locked="0" layoutInCell="0" allowOverlap="1">
            <wp:simplePos x="0" y="0"/>
            <wp:positionH relativeFrom="column">
              <wp:posOffset>1027430</wp:posOffset>
            </wp:positionH>
            <wp:positionV relativeFrom="paragraph">
              <wp:posOffset>355600</wp:posOffset>
            </wp:positionV>
            <wp:extent cx="4154170" cy="292735"/>
            <wp:effectExtent l="0" t="0" r="0" b="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55">
                      <a:extLst/>
                    </a:blip>
                    <a:srcRect/>
                    <a:stretch>
                      <a:fillRect/>
                    </a:stretch>
                  </pic:blipFill>
                  <pic:spPr bwMode="auto">
                    <a:xfrm>
                      <a:off x="0" y="0"/>
                      <a:ext cx="4154170" cy="292735"/>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336" w:lineRule="exact"/>
        <w:rPr>
          <w:sz w:val="20"/>
          <w:szCs w:val="20"/>
        </w:rPr>
      </w:pPr>
    </w:p>
    <w:p w:rsidR="00AC12B4" w:rsidRPr="00C27636" w:rsidRDefault="00C27636">
      <w:pPr>
        <w:ind w:left="1620"/>
        <w:rPr>
          <w:sz w:val="20"/>
          <w:szCs w:val="20"/>
          <w:lang w:val="fr-BE"/>
        </w:rPr>
      </w:pPr>
      <w:r w:rsidRPr="00C27636">
        <w:rPr>
          <w:rFonts w:ascii="Calibri" w:eastAsia="Calibri" w:hAnsi="Calibri" w:cs="Calibri"/>
          <w:b/>
          <w:bCs/>
          <w:color w:val="4F81BD"/>
          <w:sz w:val="18"/>
          <w:szCs w:val="18"/>
          <w:lang w:val="fr-BE"/>
        </w:rPr>
        <w:t>Figure 1. Avoir pu faire ce qu’il désire durant son temps libre (n=22.152), HBSC 2014.</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9" w:lineRule="exact"/>
        <w:rPr>
          <w:sz w:val="20"/>
          <w:szCs w:val="20"/>
          <w:lang w:val="fr-BE"/>
        </w:rPr>
      </w:pPr>
    </w:p>
    <w:p w:rsidR="00AC12B4" w:rsidRDefault="00C27636">
      <w:pPr>
        <w:ind w:left="683"/>
        <w:jc w:val="center"/>
        <w:rPr>
          <w:sz w:val="20"/>
          <w:szCs w:val="20"/>
        </w:rPr>
      </w:pPr>
      <w:r>
        <w:rPr>
          <w:rFonts w:ascii="Calibri" w:eastAsia="Calibri" w:hAnsi="Calibri" w:cs="Calibri"/>
        </w:rPr>
        <w:t>147</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8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0"/>
      </w:tblGrid>
      <w:tr w:rsidR="00AC12B4" w:rsidRPr="00C27636">
        <w:trPr>
          <w:trHeight w:val="3460"/>
        </w:trPr>
        <w:tc>
          <w:tcPr>
            <w:tcW w:w="280" w:type="dxa"/>
            <w:textDirection w:val="btLr"/>
            <w:vAlign w:val="bottom"/>
          </w:tcPr>
          <w:p w:rsidR="00AC12B4" w:rsidRPr="00C27636" w:rsidRDefault="00C27636">
            <w:pPr>
              <w:spacing w:line="204" w:lineRule="auto"/>
              <w:rPr>
                <w:sz w:val="20"/>
                <w:szCs w:val="20"/>
                <w:lang w:val="fr-BE"/>
              </w:rPr>
            </w:pPr>
            <w:r w:rsidRPr="00C27636">
              <w:rPr>
                <w:rFonts w:ascii="Calibri" w:eastAsia="Calibri" w:hAnsi="Calibri" w:cs="Calibri"/>
                <w:b/>
                <w:bCs/>
                <w:i/>
                <w:iCs/>
                <w:color w:val="F2F2F2"/>
                <w:sz w:val="27"/>
                <w:szCs w:val="27"/>
                <w:lang w:val="fr-BE"/>
              </w:rPr>
              <w:t>Le droit aux loisirs et au repos</w:t>
            </w:r>
          </w:p>
        </w:tc>
      </w:tr>
    </w:tbl>
    <w:p w:rsidR="00AC12B4" w:rsidRPr="00C27636" w:rsidRDefault="00AC12B4">
      <w:pPr>
        <w:rPr>
          <w:lang w:val="fr-BE"/>
        </w:rPr>
        <w:sectPr w:rsidR="00AC12B4" w:rsidRPr="00C27636">
          <w:type w:val="continuous"/>
          <w:pgSz w:w="12080" w:h="17179"/>
          <w:pgMar w:top="1440" w:right="517" w:bottom="659" w:left="1260" w:header="0" w:footer="0" w:gutter="0"/>
          <w:cols w:num="2" w:space="720" w:equalWidth="0">
            <w:col w:w="9277" w:space="720"/>
            <w:col w:w="303"/>
          </w:cols>
        </w:sectPr>
      </w:pPr>
    </w:p>
    <w:bookmarkStart w:id="147" w:name="page148"/>
    <w:bookmarkEnd w:id="147"/>
    <w:p w:rsidR="00AC12B4" w:rsidRPr="00C27636" w:rsidRDefault="00C27636">
      <w:pPr>
        <w:spacing w:line="200" w:lineRule="exact"/>
        <w:rPr>
          <w:sz w:val="20"/>
          <w:szCs w:val="20"/>
          <w:lang w:val="fr-BE"/>
        </w:rPr>
      </w:pPr>
      <w:r>
        <w:rPr>
          <w:noProof/>
          <w:sz w:val="20"/>
          <w:szCs w:val="20"/>
        </w:rPr>
        <w:lastRenderedPageBreak/>
        <mc:AlternateContent>
          <mc:Choice Requires="wps">
            <w:drawing>
              <wp:anchor distT="0" distB="0" distL="114300" distR="114300" simplePos="0" relativeHeight="251775488" behindDoc="1" locked="0" layoutInCell="0" allowOverlap="1">
                <wp:simplePos x="0" y="0"/>
                <wp:positionH relativeFrom="page">
                  <wp:posOffset>0</wp:posOffset>
                </wp:positionH>
                <wp:positionV relativeFrom="page">
                  <wp:posOffset>0</wp:posOffset>
                </wp:positionV>
                <wp:extent cx="719455" cy="10908665"/>
                <wp:effectExtent l="0" t="0" r="0" b="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9455" cy="10908665"/>
                        </a:xfrm>
                        <a:prstGeom prst="rect">
                          <a:avLst/>
                        </a:prstGeom>
                        <a:solidFill>
                          <a:srgbClr val="E05429"/>
                        </a:solidFill>
                      </wps:spPr>
                      <wps:bodyPr/>
                    </wps:wsp>
                  </a:graphicData>
                </a:graphic>
              </wp:anchor>
            </w:drawing>
          </mc:Choice>
          <mc:Fallback>
            <w:pict>
              <v:rect id="Shape 449" o:spid="_x0000_s1474" style="position:absolute;margin-left:0pt;margin-top:0pt;width:56.6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05429" stroked="f">
                <w10:wrap anchorx="page" anchory="page"/>
              </v:rec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7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4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aux loisirs et au repos</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333" w:lineRule="exact"/>
        <w:rPr>
          <w:sz w:val="20"/>
          <w:szCs w:val="20"/>
          <w:lang w:val="fr-BE"/>
        </w:rPr>
      </w:pPr>
    </w:p>
    <w:p w:rsidR="00AC12B4" w:rsidRPr="00C27636" w:rsidRDefault="00AC12B4">
      <w:pPr>
        <w:spacing w:line="1" w:lineRule="exact"/>
        <w:rPr>
          <w:sz w:val="1"/>
          <w:szCs w:val="1"/>
          <w:lang w:val="fr-BE"/>
        </w:rPr>
      </w:pPr>
    </w:p>
    <w:tbl>
      <w:tblPr>
        <w:tblW w:w="0" w:type="auto"/>
        <w:tblLayout w:type="fixed"/>
        <w:tblCellMar>
          <w:left w:w="0" w:type="dxa"/>
          <w:right w:w="0" w:type="dxa"/>
        </w:tblCellMar>
        <w:tblLook w:val="04A0" w:firstRow="1" w:lastRow="0" w:firstColumn="1" w:lastColumn="0" w:noHBand="0" w:noVBand="1"/>
      </w:tblPr>
      <w:tblGrid>
        <w:gridCol w:w="1200"/>
        <w:gridCol w:w="2080"/>
        <w:gridCol w:w="720"/>
      </w:tblGrid>
      <w:tr w:rsidR="00AC12B4">
        <w:trPr>
          <w:trHeight w:val="244"/>
        </w:trPr>
        <w:tc>
          <w:tcPr>
            <w:tcW w:w="1200" w:type="dxa"/>
            <w:vAlign w:val="bottom"/>
          </w:tcPr>
          <w:p w:rsidR="00AC12B4" w:rsidRPr="00C27636" w:rsidRDefault="00AC12B4">
            <w:pPr>
              <w:rPr>
                <w:sz w:val="21"/>
                <w:szCs w:val="21"/>
                <w:lang w:val="fr-BE"/>
              </w:rPr>
            </w:pPr>
          </w:p>
        </w:tc>
        <w:tc>
          <w:tcPr>
            <w:tcW w:w="2080" w:type="dxa"/>
            <w:vAlign w:val="bottom"/>
          </w:tcPr>
          <w:p w:rsidR="00AC12B4" w:rsidRDefault="00C27636">
            <w:pPr>
              <w:ind w:left="560"/>
              <w:rPr>
                <w:sz w:val="20"/>
                <w:szCs w:val="20"/>
              </w:rPr>
            </w:pPr>
            <w:r>
              <w:rPr>
                <w:rFonts w:ascii="Calibri" w:eastAsia="Calibri" w:hAnsi="Calibri" w:cs="Calibri"/>
                <w:color w:val="E05429"/>
                <w:sz w:val="20"/>
                <w:szCs w:val="20"/>
              </w:rPr>
              <w:t>Toujours, très</w:t>
            </w:r>
          </w:p>
        </w:tc>
        <w:tc>
          <w:tcPr>
            <w:tcW w:w="720" w:type="dxa"/>
            <w:vAlign w:val="bottom"/>
          </w:tcPr>
          <w:p w:rsidR="00AC12B4" w:rsidRDefault="00AC12B4">
            <w:pPr>
              <w:rPr>
                <w:sz w:val="21"/>
                <w:szCs w:val="21"/>
              </w:rPr>
            </w:pPr>
          </w:p>
        </w:tc>
      </w:tr>
      <w:tr w:rsidR="00AC12B4">
        <w:trPr>
          <w:trHeight w:val="242"/>
        </w:trPr>
        <w:tc>
          <w:tcPr>
            <w:tcW w:w="1200" w:type="dxa"/>
            <w:vAlign w:val="bottom"/>
          </w:tcPr>
          <w:p w:rsidR="00AC12B4" w:rsidRDefault="00AC12B4">
            <w:pPr>
              <w:rPr>
                <w:sz w:val="21"/>
                <w:szCs w:val="21"/>
              </w:rPr>
            </w:pPr>
          </w:p>
        </w:tc>
        <w:tc>
          <w:tcPr>
            <w:tcW w:w="2080" w:type="dxa"/>
            <w:vAlign w:val="bottom"/>
          </w:tcPr>
          <w:p w:rsidR="00AC12B4" w:rsidRDefault="00C27636">
            <w:pPr>
              <w:spacing w:line="243" w:lineRule="exact"/>
              <w:ind w:left="560"/>
              <w:rPr>
                <w:sz w:val="20"/>
                <w:szCs w:val="20"/>
              </w:rPr>
            </w:pPr>
            <w:r>
              <w:rPr>
                <w:rFonts w:ascii="Calibri" w:eastAsia="Calibri" w:hAnsi="Calibri" w:cs="Calibri"/>
                <w:color w:val="E05429"/>
                <w:sz w:val="20"/>
                <w:szCs w:val="20"/>
              </w:rPr>
              <w:t>souvent faire ce</w:t>
            </w:r>
          </w:p>
        </w:tc>
        <w:tc>
          <w:tcPr>
            <w:tcW w:w="720" w:type="dxa"/>
            <w:vAlign w:val="bottom"/>
          </w:tcPr>
          <w:p w:rsidR="00AC12B4" w:rsidRDefault="00AC12B4">
            <w:pPr>
              <w:rPr>
                <w:sz w:val="21"/>
                <w:szCs w:val="21"/>
              </w:rPr>
            </w:pPr>
          </w:p>
        </w:tc>
      </w:tr>
      <w:tr w:rsidR="00AC12B4">
        <w:trPr>
          <w:trHeight w:val="248"/>
        </w:trPr>
        <w:tc>
          <w:tcPr>
            <w:tcW w:w="1200" w:type="dxa"/>
            <w:tcBorders>
              <w:bottom w:val="single" w:sz="8" w:space="0" w:color="E05429"/>
            </w:tcBorders>
            <w:vAlign w:val="bottom"/>
          </w:tcPr>
          <w:p w:rsidR="00AC12B4" w:rsidRDefault="00AC12B4">
            <w:pPr>
              <w:rPr>
                <w:sz w:val="21"/>
                <w:szCs w:val="21"/>
              </w:rPr>
            </w:pPr>
          </w:p>
        </w:tc>
        <w:tc>
          <w:tcPr>
            <w:tcW w:w="2080" w:type="dxa"/>
            <w:tcBorders>
              <w:bottom w:val="single" w:sz="8" w:space="0" w:color="E05429"/>
            </w:tcBorders>
            <w:vAlign w:val="bottom"/>
          </w:tcPr>
          <w:p w:rsidR="00AC12B4" w:rsidRDefault="00C27636">
            <w:pPr>
              <w:ind w:right="540"/>
              <w:jc w:val="right"/>
              <w:rPr>
                <w:sz w:val="20"/>
                <w:szCs w:val="20"/>
              </w:rPr>
            </w:pPr>
            <w:r>
              <w:rPr>
                <w:rFonts w:ascii="Calibri" w:eastAsia="Calibri" w:hAnsi="Calibri" w:cs="Calibri"/>
                <w:color w:val="E05429"/>
                <w:sz w:val="20"/>
                <w:szCs w:val="20"/>
              </w:rPr>
              <w:t>N  qu'il désire</w:t>
            </w:r>
          </w:p>
        </w:tc>
        <w:tc>
          <w:tcPr>
            <w:tcW w:w="720" w:type="dxa"/>
            <w:tcBorders>
              <w:bottom w:val="single" w:sz="8" w:space="0" w:color="E05429"/>
            </w:tcBorders>
            <w:vAlign w:val="bottom"/>
          </w:tcPr>
          <w:p w:rsidR="00AC12B4" w:rsidRDefault="00C27636">
            <w:pPr>
              <w:ind w:right="220"/>
              <w:jc w:val="right"/>
              <w:rPr>
                <w:sz w:val="20"/>
                <w:szCs w:val="20"/>
              </w:rPr>
            </w:pPr>
            <w:r>
              <w:rPr>
                <w:rFonts w:ascii="Calibri" w:eastAsia="Calibri" w:hAnsi="Calibri" w:cs="Calibri"/>
                <w:color w:val="E05429"/>
                <w:sz w:val="20"/>
                <w:szCs w:val="20"/>
              </w:rPr>
              <w:t>p</w:t>
            </w:r>
          </w:p>
        </w:tc>
      </w:tr>
      <w:tr w:rsidR="00AC12B4">
        <w:trPr>
          <w:trHeight w:val="231"/>
        </w:trPr>
        <w:tc>
          <w:tcPr>
            <w:tcW w:w="1200" w:type="dxa"/>
            <w:vAlign w:val="bottom"/>
          </w:tcPr>
          <w:p w:rsidR="00AC12B4" w:rsidRDefault="00AC12B4">
            <w:pPr>
              <w:rPr>
                <w:sz w:val="20"/>
                <w:szCs w:val="20"/>
              </w:rPr>
            </w:pPr>
          </w:p>
        </w:tc>
        <w:tc>
          <w:tcPr>
            <w:tcW w:w="2080" w:type="dxa"/>
            <w:vAlign w:val="bottom"/>
          </w:tcPr>
          <w:p w:rsidR="00AC12B4" w:rsidRDefault="00C27636">
            <w:pPr>
              <w:spacing w:line="230" w:lineRule="exact"/>
              <w:ind w:right="1560"/>
              <w:jc w:val="right"/>
              <w:rPr>
                <w:sz w:val="20"/>
                <w:szCs w:val="20"/>
              </w:rPr>
            </w:pPr>
            <w:r>
              <w:rPr>
                <w:rFonts w:ascii="Calibri" w:eastAsia="Calibri" w:hAnsi="Calibri" w:cs="Calibri"/>
                <w:sz w:val="20"/>
                <w:szCs w:val="20"/>
              </w:rPr>
              <w:t>22</w:t>
            </w:r>
          </w:p>
        </w:tc>
        <w:tc>
          <w:tcPr>
            <w:tcW w:w="720" w:type="dxa"/>
            <w:vAlign w:val="bottom"/>
          </w:tcPr>
          <w:p w:rsidR="00AC12B4" w:rsidRDefault="00AC12B4">
            <w:pPr>
              <w:rPr>
                <w:sz w:val="20"/>
                <w:szCs w:val="20"/>
              </w:rPr>
            </w:pPr>
          </w:p>
        </w:tc>
      </w:tr>
      <w:tr w:rsidR="00AC12B4">
        <w:trPr>
          <w:trHeight w:val="245"/>
        </w:trPr>
        <w:tc>
          <w:tcPr>
            <w:tcW w:w="1200" w:type="dxa"/>
            <w:vAlign w:val="bottom"/>
          </w:tcPr>
          <w:p w:rsidR="00AC12B4" w:rsidRDefault="00AC12B4">
            <w:pPr>
              <w:rPr>
                <w:sz w:val="21"/>
                <w:szCs w:val="21"/>
              </w:rPr>
            </w:pP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15</w:t>
            </w:r>
          </w:p>
        </w:tc>
        <w:tc>
          <w:tcPr>
            <w:tcW w:w="720" w:type="dxa"/>
            <w:vAlign w:val="bottom"/>
          </w:tcPr>
          <w:p w:rsidR="00AC12B4" w:rsidRDefault="00AC12B4">
            <w:pPr>
              <w:rPr>
                <w:sz w:val="21"/>
                <w:szCs w:val="21"/>
              </w:rPr>
            </w:pPr>
          </w:p>
        </w:tc>
      </w:tr>
      <w:tr w:rsidR="00AC12B4">
        <w:trPr>
          <w:trHeight w:val="245"/>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Genre</w:t>
            </w: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2</w:t>
            </w:r>
          </w:p>
        </w:tc>
        <w:tc>
          <w:tcPr>
            <w:tcW w:w="72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Garçons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59,0</w:t>
            </w:r>
          </w:p>
        </w:tc>
        <w:tc>
          <w:tcPr>
            <w:tcW w:w="720" w:type="dxa"/>
            <w:vAlign w:val="bottom"/>
          </w:tcPr>
          <w:p w:rsidR="00AC12B4" w:rsidRDefault="00AC12B4">
            <w:pPr>
              <w:rPr>
                <w:sz w:val="24"/>
                <w:szCs w:val="24"/>
              </w:rPr>
            </w:pP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Filles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48</w:t>
            </w:r>
          </w:p>
        </w:tc>
        <w:tc>
          <w:tcPr>
            <w:tcW w:w="720" w:type="dxa"/>
            <w:vAlign w:val="bottom"/>
          </w:tcPr>
          <w:p w:rsidR="00AC12B4" w:rsidRDefault="00AC12B4">
            <w:pPr>
              <w:rPr>
                <w:sz w:val="24"/>
                <w:szCs w:val="24"/>
              </w:rPr>
            </w:pPr>
          </w:p>
        </w:tc>
      </w:tr>
      <w:tr w:rsidR="00AC12B4">
        <w:trPr>
          <w:trHeight w:val="542"/>
        </w:trPr>
        <w:tc>
          <w:tcPr>
            <w:tcW w:w="1200" w:type="dxa"/>
            <w:vAlign w:val="bottom"/>
          </w:tcPr>
          <w:p w:rsidR="00AC12B4" w:rsidRDefault="00AC12B4">
            <w:pPr>
              <w:rPr>
                <w:sz w:val="24"/>
                <w:szCs w:val="24"/>
              </w:rPr>
            </w:pP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21</w:t>
            </w:r>
          </w:p>
        </w:tc>
        <w:tc>
          <w:tcPr>
            <w:tcW w:w="720" w:type="dxa"/>
            <w:vAlign w:val="bottom"/>
          </w:tcPr>
          <w:p w:rsidR="00AC12B4" w:rsidRDefault="00AC12B4">
            <w:pPr>
              <w:rPr>
                <w:sz w:val="24"/>
                <w:szCs w:val="24"/>
              </w:rPr>
            </w:pPr>
          </w:p>
        </w:tc>
      </w:tr>
      <w:tr w:rsidR="00AC12B4">
        <w:trPr>
          <w:trHeight w:val="245"/>
        </w:trPr>
        <w:tc>
          <w:tcPr>
            <w:tcW w:w="1200" w:type="dxa"/>
            <w:vAlign w:val="bottom"/>
          </w:tcPr>
          <w:p w:rsidR="00AC12B4" w:rsidRDefault="00AC12B4">
            <w:pPr>
              <w:rPr>
                <w:sz w:val="21"/>
                <w:szCs w:val="21"/>
              </w:rPr>
            </w:pP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94</w:t>
            </w:r>
          </w:p>
        </w:tc>
        <w:tc>
          <w:tcPr>
            <w:tcW w:w="720" w:type="dxa"/>
            <w:vAlign w:val="bottom"/>
          </w:tcPr>
          <w:p w:rsidR="00AC12B4" w:rsidRDefault="00AC12B4">
            <w:pPr>
              <w:rPr>
                <w:sz w:val="21"/>
                <w:szCs w:val="21"/>
              </w:rPr>
            </w:pPr>
          </w:p>
        </w:tc>
      </w:tr>
      <w:tr w:rsidR="00AC12B4">
        <w:trPr>
          <w:trHeight w:val="245"/>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Age</w:t>
            </w: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5</w:t>
            </w:r>
          </w:p>
        </w:tc>
        <w:tc>
          <w:tcPr>
            <w:tcW w:w="72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1"/>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10-12 ans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59,6</w:t>
            </w:r>
          </w:p>
        </w:tc>
        <w:tc>
          <w:tcPr>
            <w:tcW w:w="720" w:type="dxa"/>
            <w:vAlign w:val="bottom"/>
          </w:tcPr>
          <w:p w:rsidR="00AC12B4" w:rsidRDefault="00AC12B4">
            <w:pPr>
              <w:rPr>
                <w:sz w:val="24"/>
                <w:szCs w:val="24"/>
              </w:rPr>
            </w:pP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13-14 ans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55,2</w:t>
            </w:r>
          </w:p>
        </w:tc>
        <w:tc>
          <w:tcPr>
            <w:tcW w:w="720" w:type="dxa"/>
            <w:vAlign w:val="bottom"/>
          </w:tcPr>
          <w:p w:rsidR="00AC12B4" w:rsidRDefault="00AC12B4">
            <w:pPr>
              <w:rPr>
                <w:sz w:val="24"/>
                <w:szCs w:val="24"/>
              </w:rPr>
            </w:pP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15-16 ans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52,4</w:t>
            </w:r>
          </w:p>
        </w:tc>
        <w:tc>
          <w:tcPr>
            <w:tcW w:w="720" w:type="dxa"/>
            <w:vAlign w:val="bottom"/>
          </w:tcPr>
          <w:p w:rsidR="00AC12B4" w:rsidRDefault="00AC12B4">
            <w:pPr>
              <w:rPr>
                <w:sz w:val="24"/>
                <w:szCs w:val="24"/>
              </w:rPr>
            </w:pP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17-19 ans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46,4</w:t>
            </w:r>
          </w:p>
        </w:tc>
        <w:tc>
          <w:tcPr>
            <w:tcW w:w="720" w:type="dxa"/>
            <w:vAlign w:val="bottom"/>
          </w:tcPr>
          <w:p w:rsidR="00AC12B4" w:rsidRDefault="00AC12B4">
            <w:pPr>
              <w:rPr>
                <w:sz w:val="24"/>
                <w:szCs w:val="24"/>
              </w:rPr>
            </w:pPr>
          </w:p>
        </w:tc>
      </w:tr>
      <w:tr w:rsidR="00AC12B4">
        <w:trPr>
          <w:trHeight w:val="542"/>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Niveau</w:t>
            </w: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20</w:t>
            </w:r>
          </w:p>
        </w:tc>
        <w:tc>
          <w:tcPr>
            <w:tcW w:w="720" w:type="dxa"/>
            <w:vAlign w:val="bottom"/>
          </w:tcPr>
          <w:p w:rsidR="00AC12B4" w:rsidRDefault="00AC12B4">
            <w:pPr>
              <w:rPr>
                <w:sz w:val="24"/>
                <w:szCs w:val="24"/>
              </w:rPr>
            </w:pPr>
          </w:p>
        </w:tc>
      </w:tr>
      <w:tr w:rsidR="00AC12B4">
        <w:trPr>
          <w:trHeight w:val="245"/>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d'aisance</w:t>
            </w: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55</w:t>
            </w:r>
          </w:p>
        </w:tc>
        <w:tc>
          <w:tcPr>
            <w:tcW w:w="720" w:type="dxa"/>
            <w:vAlign w:val="bottom"/>
          </w:tcPr>
          <w:p w:rsidR="00AC12B4" w:rsidRDefault="00AC12B4">
            <w:pPr>
              <w:rPr>
                <w:sz w:val="21"/>
                <w:szCs w:val="21"/>
              </w:rPr>
            </w:pPr>
          </w:p>
        </w:tc>
      </w:tr>
      <w:tr w:rsidR="00AC12B4">
        <w:trPr>
          <w:trHeight w:val="245"/>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matérielle</w:t>
            </w: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4</w:t>
            </w:r>
          </w:p>
        </w:tc>
        <w:tc>
          <w:tcPr>
            <w:tcW w:w="72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Faible</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47,6</w:t>
            </w:r>
          </w:p>
        </w:tc>
        <w:tc>
          <w:tcPr>
            <w:tcW w:w="720" w:type="dxa"/>
            <w:vAlign w:val="bottom"/>
          </w:tcPr>
          <w:p w:rsidR="00AC12B4" w:rsidRDefault="00AC12B4">
            <w:pPr>
              <w:rPr>
                <w:sz w:val="24"/>
                <w:szCs w:val="24"/>
              </w:rPr>
            </w:pP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Moyen</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53,8</w:t>
            </w:r>
          </w:p>
        </w:tc>
        <w:tc>
          <w:tcPr>
            <w:tcW w:w="720" w:type="dxa"/>
            <w:vAlign w:val="bottom"/>
          </w:tcPr>
          <w:p w:rsidR="00AC12B4" w:rsidRDefault="00AC12B4">
            <w:pPr>
              <w:rPr>
                <w:sz w:val="24"/>
                <w:szCs w:val="24"/>
              </w:rPr>
            </w:pP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lastRenderedPageBreak/>
              <w:t>Elevé</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56,7</w:t>
            </w:r>
          </w:p>
        </w:tc>
        <w:tc>
          <w:tcPr>
            <w:tcW w:w="720" w:type="dxa"/>
            <w:vAlign w:val="bottom"/>
          </w:tcPr>
          <w:p w:rsidR="00AC12B4" w:rsidRDefault="00AC12B4">
            <w:pPr>
              <w:rPr>
                <w:sz w:val="24"/>
                <w:szCs w:val="24"/>
              </w:rPr>
            </w:pPr>
          </w:p>
        </w:tc>
      </w:tr>
      <w:tr w:rsidR="00AC12B4">
        <w:trPr>
          <w:trHeight w:val="545"/>
        </w:trPr>
        <w:tc>
          <w:tcPr>
            <w:tcW w:w="1200" w:type="dxa"/>
            <w:vAlign w:val="bottom"/>
          </w:tcPr>
          <w:p w:rsidR="00AC12B4" w:rsidRDefault="00AC12B4">
            <w:pPr>
              <w:rPr>
                <w:sz w:val="24"/>
                <w:szCs w:val="24"/>
              </w:rPr>
            </w:pP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21</w:t>
            </w:r>
          </w:p>
        </w:tc>
        <w:tc>
          <w:tcPr>
            <w:tcW w:w="720" w:type="dxa"/>
            <w:vAlign w:val="bottom"/>
          </w:tcPr>
          <w:p w:rsidR="00AC12B4" w:rsidRDefault="00AC12B4">
            <w:pPr>
              <w:rPr>
                <w:sz w:val="24"/>
                <w:szCs w:val="24"/>
              </w:rPr>
            </w:pPr>
          </w:p>
        </w:tc>
      </w:tr>
      <w:tr w:rsidR="00AC12B4">
        <w:trPr>
          <w:trHeight w:val="243"/>
        </w:trPr>
        <w:tc>
          <w:tcPr>
            <w:tcW w:w="1200" w:type="dxa"/>
            <w:vAlign w:val="bottom"/>
          </w:tcPr>
          <w:p w:rsidR="00AC12B4" w:rsidRDefault="00AC12B4">
            <w:pPr>
              <w:rPr>
                <w:sz w:val="21"/>
                <w:szCs w:val="21"/>
              </w:rPr>
            </w:pPr>
          </w:p>
        </w:tc>
        <w:tc>
          <w:tcPr>
            <w:tcW w:w="2080" w:type="dxa"/>
            <w:vAlign w:val="bottom"/>
          </w:tcPr>
          <w:p w:rsidR="00AC12B4" w:rsidRDefault="00C27636">
            <w:pPr>
              <w:spacing w:line="243" w:lineRule="exact"/>
              <w:ind w:right="1560"/>
              <w:jc w:val="right"/>
              <w:rPr>
                <w:sz w:val="20"/>
                <w:szCs w:val="20"/>
              </w:rPr>
            </w:pPr>
            <w:r>
              <w:rPr>
                <w:rFonts w:ascii="Calibri" w:eastAsia="Calibri" w:hAnsi="Calibri" w:cs="Calibri"/>
                <w:sz w:val="20"/>
                <w:szCs w:val="20"/>
              </w:rPr>
              <w:t>95</w:t>
            </w:r>
          </w:p>
        </w:tc>
        <w:tc>
          <w:tcPr>
            <w:tcW w:w="720" w:type="dxa"/>
            <w:vAlign w:val="bottom"/>
          </w:tcPr>
          <w:p w:rsidR="00AC12B4" w:rsidRDefault="00AC12B4">
            <w:pPr>
              <w:rPr>
                <w:sz w:val="21"/>
                <w:szCs w:val="21"/>
              </w:rPr>
            </w:pPr>
          </w:p>
        </w:tc>
      </w:tr>
      <w:tr w:rsidR="00AC12B4">
        <w:trPr>
          <w:trHeight w:val="245"/>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Famille</w:t>
            </w:r>
          </w:p>
        </w:tc>
        <w:tc>
          <w:tcPr>
            <w:tcW w:w="2080" w:type="dxa"/>
            <w:vAlign w:val="bottom"/>
          </w:tcPr>
          <w:p w:rsidR="00AC12B4" w:rsidRDefault="00C27636">
            <w:pPr>
              <w:ind w:right="1560"/>
              <w:jc w:val="right"/>
              <w:rPr>
                <w:sz w:val="20"/>
                <w:szCs w:val="20"/>
              </w:rPr>
            </w:pPr>
            <w:r>
              <w:rPr>
                <w:rFonts w:ascii="Calibri" w:eastAsia="Calibri" w:hAnsi="Calibri" w:cs="Calibri"/>
                <w:sz w:val="20"/>
                <w:szCs w:val="20"/>
              </w:rPr>
              <w:t>0</w:t>
            </w:r>
          </w:p>
        </w:tc>
        <w:tc>
          <w:tcPr>
            <w:tcW w:w="720" w:type="dxa"/>
            <w:vAlign w:val="bottom"/>
          </w:tcPr>
          <w:p w:rsidR="00AC12B4" w:rsidRDefault="00C27636">
            <w:pPr>
              <w:jc w:val="right"/>
              <w:rPr>
                <w:sz w:val="20"/>
                <w:szCs w:val="20"/>
              </w:rPr>
            </w:pPr>
            <w:r>
              <w:rPr>
                <w:rFonts w:ascii="Calibri" w:eastAsia="Calibri" w:hAnsi="Calibri" w:cs="Calibri"/>
                <w:sz w:val="20"/>
                <w:szCs w:val="20"/>
              </w:rPr>
              <w:t>&lt;0,001</w:t>
            </w:r>
          </w:p>
        </w:tc>
      </w:tr>
      <w:tr w:rsidR="00AC12B4">
        <w:trPr>
          <w:trHeight w:val="245"/>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2 parents</w:t>
            </w:r>
          </w:p>
        </w:tc>
        <w:tc>
          <w:tcPr>
            <w:tcW w:w="2080" w:type="dxa"/>
            <w:vAlign w:val="bottom"/>
          </w:tcPr>
          <w:p w:rsidR="00AC12B4" w:rsidRDefault="00AC12B4">
            <w:pPr>
              <w:rPr>
                <w:sz w:val="21"/>
                <w:szCs w:val="21"/>
              </w:rPr>
            </w:pPr>
          </w:p>
        </w:tc>
        <w:tc>
          <w:tcPr>
            <w:tcW w:w="720" w:type="dxa"/>
            <w:vAlign w:val="bottom"/>
          </w:tcPr>
          <w:p w:rsidR="00AC12B4" w:rsidRDefault="00AC12B4">
            <w:pPr>
              <w:rPr>
                <w:sz w:val="21"/>
                <w:szCs w:val="21"/>
              </w:rPr>
            </w:pPr>
          </w:p>
        </w:tc>
      </w:tr>
      <w:tr w:rsidR="00AC12B4">
        <w:trPr>
          <w:trHeight w:val="245"/>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biologiques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55,6</w:t>
            </w:r>
          </w:p>
        </w:tc>
        <w:tc>
          <w:tcPr>
            <w:tcW w:w="720" w:type="dxa"/>
            <w:vAlign w:val="bottom"/>
          </w:tcPr>
          <w:p w:rsidR="00AC12B4" w:rsidRDefault="00AC12B4">
            <w:pPr>
              <w:rPr>
                <w:sz w:val="21"/>
                <w:szCs w:val="21"/>
              </w:rPr>
            </w:pPr>
          </w:p>
        </w:tc>
      </w:tr>
      <w:tr w:rsidR="00AC12B4">
        <w:trPr>
          <w:trHeight w:val="300"/>
        </w:trPr>
        <w:tc>
          <w:tcPr>
            <w:tcW w:w="1200" w:type="dxa"/>
            <w:vAlign w:val="bottom"/>
          </w:tcPr>
          <w:p w:rsidR="00AC12B4" w:rsidRDefault="00C27636">
            <w:pPr>
              <w:ind w:left="60"/>
              <w:rPr>
                <w:sz w:val="20"/>
                <w:szCs w:val="20"/>
              </w:rPr>
            </w:pPr>
            <w:r>
              <w:rPr>
                <w:rFonts w:ascii="Calibri" w:eastAsia="Calibri" w:hAnsi="Calibri" w:cs="Calibri"/>
                <w:color w:val="E05429"/>
                <w:sz w:val="20"/>
                <w:szCs w:val="20"/>
              </w:rPr>
              <w:t>Autres</w:t>
            </w:r>
          </w:p>
        </w:tc>
        <w:tc>
          <w:tcPr>
            <w:tcW w:w="2080" w:type="dxa"/>
            <w:vAlign w:val="bottom"/>
          </w:tcPr>
          <w:p w:rsidR="00AC12B4" w:rsidRDefault="00C27636">
            <w:pPr>
              <w:ind w:right="20"/>
              <w:jc w:val="right"/>
              <w:rPr>
                <w:sz w:val="20"/>
                <w:szCs w:val="20"/>
              </w:rPr>
            </w:pPr>
            <w:r>
              <w:rPr>
                <w:rFonts w:ascii="Calibri" w:eastAsia="Calibri" w:hAnsi="Calibri" w:cs="Calibri"/>
                <w:sz w:val="20"/>
                <w:szCs w:val="20"/>
              </w:rPr>
              <w:t>49,6</w:t>
            </w:r>
          </w:p>
        </w:tc>
        <w:tc>
          <w:tcPr>
            <w:tcW w:w="720" w:type="dxa"/>
            <w:vAlign w:val="bottom"/>
          </w:tcPr>
          <w:p w:rsidR="00AC12B4" w:rsidRDefault="00AC12B4">
            <w:pPr>
              <w:rPr>
                <w:sz w:val="24"/>
                <w:szCs w:val="24"/>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776512" behindDoc="1" locked="0" layoutInCell="0" allowOverlap="1">
                <wp:simplePos x="0" y="0"/>
                <wp:positionH relativeFrom="column">
                  <wp:posOffset>-14605</wp:posOffset>
                </wp:positionH>
                <wp:positionV relativeFrom="paragraph">
                  <wp:posOffset>5715</wp:posOffset>
                </wp:positionV>
                <wp:extent cx="2558415" cy="0"/>
                <wp:effectExtent l="0" t="0" r="0" b="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4763"/>
                        </a:xfrm>
                        <a:prstGeom prst="line">
                          <a:avLst/>
                        </a:prstGeom>
                        <a:solidFill>
                          <a:srgbClr val="FFFFFF"/>
                        </a:solidFill>
                        <a:ln w="6096">
                          <a:solidFill>
                            <a:srgbClr val="E05429"/>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45pt" to="200.3pt,0.45pt" o:allowincell="f" strokecolor="#E05429" strokeweight="0.48pt"/>
            </w:pict>
          </mc:Fallback>
        </mc:AlternateContent>
      </w:r>
    </w:p>
    <w:p w:rsidR="00AC12B4" w:rsidRDefault="00AC12B4">
      <w:pPr>
        <w:spacing w:line="30" w:lineRule="exact"/>
        <w:rPr>
          <w:sz w:val="20"/>
          <w:szCs w:val="20"/>
        </w:rPr>
      </w:pPr>
    </w:p>
    <w:p w:rsidR="00AC12B4" w:rsidRPr="00C27636" w:rsidRDefault="00C27636">
      <w:pPr>
        <w:spacing w:line="225" w:lineRule="auto"/>
        <w:ind w:left="60" w:right="520"/>
        <w:jc w:val="both"/>
        <w:rPr>
          <w:sz w:val="20"/>
          <w:szCs w:val="20"/>
          <w:lang w:val="fr-BE"/>
        </w:rPr>
      </w:pPr>
      <w:r w:rsidRPr="00C27636">
        <w:rPr>
          <w:rFonts w:ascii="Calibri" w:eastAsia="Calibri" w:hAnsi="Calibri" w:cs="Calibri"/>
          <w:b/>
          <w:bCs/>
          <w:color w:val="4F81BD"/>
          <w:sz w:val="18"/>
          <w:szCs w:val="18"/>
          <w:lang w:val="fr-BE"/>
        </w:rPr>
        <w:t xml:space="preserve">Table 2. Facteurs associés au sentiment d’avoir été toujours ou </w:t>
      </w:r>
      <w:r w:rsidRPr="00C27636">
        <w:rPr>
          <w:rFonts w:ascii="Calibri" w:eastAsia="Calibri" w:hAnsi="Calibri" w:cs="Calibri"/>
          <w:b/>
          <w:bCs/>
          <w:color w:val="4F81BD"/>
          <w:sz w:val="18"/>
          <w:szCs w:val="18"/>
          <w:lang w:val="fr-BE"/>
        </w:rPr>
        <w:t>très souvent capable de faire ce qu’on désire durant son temps libre, HBSC 2014.</w:t>
      </w:r>
    </w:p>
    <w:p w:rsidR="00AC12B4" w:rsidRPr="00C27636" w:rsidRDefault="00AC12B4">
      <w:pPr>
        <w:spacing w:line="204" w:lineRule="exact"/>
        <w:rPr>
          <w:sz w:val="20"/>
          <w:szCs w:val="20"/>
          <w:lang w:val="fr-BE"/>
        </w:rPr>
      </w:pPr>
    </w:p>
    <w:p w:rsidR="00AC12B4" w:rsidRDefault="00C27636">
      <w:pPr>
        <w:ind w:left="60"/>
        <w:rPr>
          <w:sz w:val="20"/>
          <w:szCs w:val="20"/>
        </w:rPr>
      </w:pPr>
      <w:r>
        <w:rPr>
          <w:rFonts w:ascii="Cambria" w:eastAsia="Cambria" w:hAnsi="Cambria" w:cs="Cambria"/>
          <w:b/>
          <w:bCs/>
          <w:i/>
          <w:iCs/>
          <w:color w:val="7F2D13"/>
          <w:sz w:val="26"/>
          <w:szCs w:val="26"/>
        </w:rPr>
        <w:t>D’où viennent ces chiffres ?</w:t>
      </w:r>
    </w:p>
    <w:p w:rsidR="00AC12B4" w:rsidRDefault="00AC12B4">
      <w:pPr>
        <w:spacing w:line="166" w:lineRule="exact"/>
        <w:rPr>
          <w:sz w:val="20"/>
          <w:szCs w:val="20"/>
        </w:rPr>
      </w:pPr>
    </w:p>
    <w:p w:rsidR="00AC12B4" w:rsidRDefault="00C27636">
      <w:pPr>
        <w:numPr>
          <w:ilvl w:val="0"/>
          <w:numId w:val="272"/>
        </w:numPr>
        <w:tabs>
          <w:tab w:val="left" w:pos="780"/>
        </w:tabs>
        <w:ind w:left="780" w:hanging="360"/>
        <w:rPr>
          <w:rFonts w:ascii="Wingdings" w:eastAsia="Wingdings" w:hAnsi="Wingdings" w:cs="Wingdings"/>
          <w:color w:val="E05429"/>
        </w:rPr>
      </w:pPr>
      <w:r>
        <w:rPr>
          <w:rFonts w:ascii="Cambria" w:eastAsia="Cambria" w:hAnsi="Cambria" w:cs="Cambria"/>
          <w:i/>
          <w:iCs/>
          <w:color w:val="E05429"/>
        </w:rPr>
        <w:t>HBSC</w:t>
      </w:r>
    </w:p>
    <w:p w:rsidR="00AC12B4" w:rsidRDefault="00AC12B4">
      <w:pPr>
        <w:spacing w:line="153" w:lineRule="exact"/>
        <w:rPr>
          <w:sz w:val="20"/>
          <w:szCs w:val="20"/>
        </w:rPr>
      </w:pPr>
    </w:p>
    <w:p w:rsidR="00AC12B4" w:rsidRPr="00C27636" w:rsidRDefault="00C27636">
      <w:pPr>
        <w:ind w:right="460"/>
        <w:jc w:val="center"/>
        <w:rPr>
          <w:sz w:val="20"/>
          <w:szCs w:val="20"/>
          <w:lang w:val="fr-BE"/>
        </w:rPr>
      </w:pPr>
      <w:r w:rsidRPr="00C27636">
        <w:rPr>
          <w:rFonts w:ascii="Calibri" w:eastAsia="Calibri" w:hAnsi="Calibri" w:cs="Calibri"/>
          <w:lang w:val="fr-BE"/>
        </w:rPr>
        <w:t>L’enquête HBSC est décrite dans la section</w:t>
      </w:r>
    </w:p>
    <w:p w:rsidR="00AC12B4" w:rsidRPr="00C27636" w:rsidRDefault="00C27636">
      <w:pPr>
        <w:numPr>
          <w:ilvl w:val="0"/>
          <w:numId w:val="273"/>
        </w:numPr>
        <w:tabs>
          <w:tab w:val="left" w:pos="220"/>
        </w:tabs>
        <w:ind w:left="220" w:hanging="160"/>
        <w:rPr>
          <w:rFonts w:ascii="Calibri" w:eastAsia="Calibri" w:hAnsi="Calibri" w:cs="Calibri"/>
          <w:lang w:val="fr-BE"/>
        </w:rPr>
      </w:pPr>
      <w:r w:rsidRPr="00C27636">
        <w:rPr>
          <w:rFonts w:ascii="Calibri" w:eastAsia="Calibri" w:hAnsi="Calibri" w:cs="Calibri"/>
          <w:lang w:val="fr-BE"/>
        </w:rPr>
        <w:t>sources » de cette publication (Partie I).</w:t>
      </w:r>
    </w:p>
    <w:p w:rsidR="00AC12B4" w:rsidRPr="00C27636" w:rsidRDefault="00AC12B4">
      <w:pPr>
        <w:spacing w:line="49" w:lineRule="exact"/>
        <w:rPr>
          <w:rFonts w:ascii="Calibri" w:eastAsia="Calibri" w:hAnsi="Calibri" w:cs="Calibri"/>
          <w:lang w:val="fr-BE"/>
        </w:rPr>
      </w:pPr>
    </w:p>
    <w:p w:rsidR="00AC12B4" w:rsidRPr="00C27636" w:rsidRDefault="00C27636">
      <w:pPr>
        <w:spacing w:line="218" w:lineRule="auto"/>
        <w:ind w:left="60" w:right="520"/>
        <w:rPr>
          <w:rFonts w:ascii="Calibri" w:eastAsia="Calibri" w:hAnsi="Calibri" w:cs="Calibri"/>
          <w:lang w:val="fr-BE"/>
        </w:rPr>
      </w:pPr>
      <w:r w:rsidRPr="00C27636">
        <w:rPr>
          <w:rFonts w:ascii="Calibri" w:eastAsia="Calibri" w:hAnsi="Calibri" w:cs="Calibri"/>
          <w:lang w:val="fr-BE"/>
        </w:rPr>
        <w:t xml:space="preserve">L’objectif, les modalités et les limites des </w:t>
      </w:r>
      <w:r w:rsidRPr="00C27636">
        <w:rPr>
          <w:rFonts w:ascii="Calibri" w:eastAsia="Calibri" w:hAnsi="Calibri" w:cs="Calibri"/>
          <w:lang w:val="fr-BE"/>
        </w:rPr>
        <w:t>données collectées y sont présentés.</w:t>
      </w:r>
    </w:p>
    <w:p w:rsidR="00AC12B4" w:rsidRPr="00C27636" w:rsidRDefault="00AC12B4">
      <w:pPr>
        <w:spacing w:line="127" w:lineRule="exact"/>
        <w:rPr>
          <w:rFonts w:ascii="Calibri" w:eastAsia="Calibri" w:hAnsi="Calibri" w:cs="Calibri"/>
          <w:lang w:val="fr-BE"/>
        </w:rPr>
      </w:pPr>
    </w:p>
    <w:p w:rsidR="00AC12B4" w:rsidRDefault="00C27636">
      <w:pPr>
        <w:numPr>
          <w:ilvl w:val="1"/>
          <w:numId w:val="273"/>
        </w:numPr>
        <w:tabs>
          <w:tab w:val="left" w:pos="780"/>
        </w:tabs>
        <w:ind w:left="780" w:hanging="360"/>
        <w:rPr>
          <w:rFonts w:ascii="Wingdings" w:eastAsia="Wingdings" w:hAnsi="Wingdings" w:cs="Wingdings"/>
          <w:color w:val="E05429"/>
        </w:rPr>
      </w:pPr>
      <w:r>
        <w:rPr>
          <w:rFonts w:ascii="Cambria" w:eastAsia="Cambria" w:hAnsi="Cambria" w:cs="Cambria"/>
          <w:i/>
          <w:iCs/>
          <w:color w:val="E05429"/>
        </w:rPr>
        <w:t>Limite de l’indicateur</w:t>
      </w:r>
    </w:p>
    <w:p w:rsidR="00AC12B4" w:rsidRDefault="00AC12B4">
      <w:pPr>
        <w:spacing w:line="199" w:lineRule="exact"/>
        <w:rPr>
          <w:sz w:val="20"/>
          <w:szCs w:val="20"/>
        </w:rPr>
      </w:pPr>
    </w:p>
    <w:p w:rsidR="00AC12B4" w:rsidRPr="00C27636" w:rsidRDefault="00C27636">
      <w:pPr>
        <w:spacing w:line="231" w:lineRule="auto"/>
        <w:ind w:left="60" w:right="520"/>
        <w:jc w:val="both"/>
        <w:rPr>
          <w:sz w:val="20"/>
          <w:szCs w:val="20"/>
          <w:lang w:val="fr-BE"/>
        </w:rPr>
      </w:pPr>
      <w:r w:rsidRPr="00C27636">
        <w:rPr>
          <w:rFonts w:ascii="Calibri" w:eastAsia="Calibri" w:hAnsi="Calibri" w:cs="Calibri"/>
          <w:lang w:val="fr-BE"/>
        </w:rPr>
        <w:t>L’enquête HBSC n’est actuellement pas menée au niveau de la Communauté germanophone. De plus, les élèves de l’enseignement spécialisé ne sont pas interrogés.</w:t>
      </w:r>
    </w:p>
    <w:p w:rsidR="00AC12B4" w:rsidRPr="00C27636" w:rsidRDefault="00AC12B4">
      <w:pPr>
        <w:spacing w:line="130" w:lineRule="exact"/>
        <w:rPr>
          <w:sz w:val="20"/>
          <w:szCs w:val="20"/>
          <w:lang w:val="fr-BE"/>
        </w:rPr>
      </w:pPr>
    </w:p>
    <w:p w:rsidR="00AC12B4" w:rsidRDefault="00C27636">
      <w:pPr>
        <w:numPr>
          <w:ilvl w:val="0"/>
          <w:numId w:val="274"/>
        </w:numPr>
        <w:tabs>
          <w:tab w:val="left" w:pos="780"/>
        </w:tabs>
        <w:ind w:left="780" w:hanging="360"/>
        <w:rPr>
          <w:rFonts w:ascii="Wingdings" w:eastAsia="Wingdings" w:hAnsi="Wingdings" w:cs="Wingdings"/>
          <w:color w:val="E05429"/>
        </w:rPr>
      </w:pPr>
      <w:r>
        <w:rPr>
          <w:rFonts w:ascii="Cambria" w:eastAsia="Cambria" w:hAnsi="Cambria" w:cs="Cambria"/>
          <w:i/>
          <w:iCs/>
          <w:color w:val="E05429"/>
        </w:rPr>
        <w:t>Recommandations</w:t>
      </w:r>
    </w:p>
    <w:p w:rsidR="00AC12B4" w:rsidRDefault="00AC12B4">
      <w:pPr>
        <w:spacing w:line="200" w:lineRule="exact"/>
        <w:rPr>
          <w:sz w:val="20"/>
          <w:szCs w:val="20"/>
        </w:rPr>
      </w:pPr>
    </w:p>
    <w:p w:rsidR="00AC12B4" w:rsidRDefault="00AC12B4">
      <w:pPr>
        <w:spacing w:line="339" w:lineRule="exact"/>
        <w:rPr>
          <w:sz w:val="20"/>
          <w:szCs w:val="20"/>
        </w:rPr>
      </w:pPr>
    </w:p>
    <w:p w:rsidR="00AC12B4" w:rsidRDefault="00C27636">
      <w:pPr>
        <w:jc w:val="right"/>
        <w:rPr>
          <w:sz w:val="20"/>
          <w:szCs w:val="20"/>
        </w:rPr>
      </w:pPr>
      <w:r>
        <w:rPr>
          <w:rFonts w:ascii="Calibri" w:eastAsia="Calibri" w:hAnsi="Calibri" w:cs="Calibri"/>
        </w:rPr>
        <w:t>148</w:t>
      </w:r>
    </w:p>
    <w:p w:rsidR="00AC12B4" w:rsidRDefault="00C27636">
      <w:pPr>
        <w:spacing w:line="20" w:lineRule="exact"/>
        <w:rPr>
          <w:sz w:val="20"/>
          <w:szCs w:val="20"/>
        </w:rPr>
      </w:pPr>
      <w:r>
        <w:rPr>
          <w:sz w:val="20"/>
          <w:szCs w:val="20"/>
        </w:rPr>
        <w:br w:type="column"/>
      </w:r>
    </w:p>
    <w:p w:rsidR="00AC12B4" w:rsidRDefault="00AC12B4">
      <w:pPr>
        <w:spacing w:line="194" w:lineRule="exact"/>
        <w:rPr>
          <w:sz w:val="20"/>
          <w:szCs w:val="20"/>
        </w:rPr>
      </w:pPr>
    </w:p>
    <w:p w:rsidR="00AC12B4" w:rsidRPr="00C27636" w:rsidRDefault="00C27636">
      <w:pPr>
        <w:spacing w:line="252" w:lineRule="auto"/>
        <w:ind w:right="737"/>
        <w:jc w:val="both"/>
        <w:rPr>
          <w:sz w:val="20"/>
          <w:szCs w:val="20"/>
          <w:lang w:val="fr-BE"/>
        </w:rPr>
      </w:pPr>
      <w:r w:rsidRPr="00C27636">
        <w:rPr>
          <w:rFonts w:ascii="Calibri" w:eastAsia="Calibri" w:hAnsi="Calibri" w:cs="Calibri"/>
          <w:lang w:val="fr-BE"/>
        </w:rPr>
        <w:t xml:space="preserve">Les </w:t>
      </w:r>
      <w:r w:rsidRPr="00C27636">
        <w:rPr>
          <w:rFonts w:ascii="Calibri" w:eastAsia="Calibri" w:hAnsi="Calibri" w:cs="Calibri"/>
          <w:lang w:val="fr-BE"/>
        </w:rPr>
        <w:t>enquêtes HBSC doivent être élargies aux dispositifs d'accueil et de scolarisation des élèves primo-arrivants et à</w:t>
      </w:r>
    </w:p>
    <w:p w:rsidR="00AC12B4" w:rsidRPr="00C27636" w:rsidRDefault="00AC12B4">
      <w:pPr>
        <w:spacing w:line="29" w:lineRule="exact"/>
        <w:rPr>
          <w:sz w:val="20"/>
          <w:szCs w:val="20"/>
          <w:lang w:val="fr-BE"/>
        </w:rPr>
      </w:pPr>
    </w:p>
    <w:p w:rsidR="00AC12B4" w:rsidRPr="00C27636" w:rsidRDefault="00C27636">
      <w:pPr>
        <w:tabs>
          <w:tab w:val="left" w:pos="1620"/>
          <w:tab w:val="left" w:pos="3040"/>
          <w:tab w:val="left" w:pos="3560"/>
        </w:tabs>
        <w:rPr>
          <w:sz w:val="20"/>
          <w:szCs w:val="20"/>
          <w:lang w:val="fr-BE"/>
        </w:rPr>
      </w:pPr>
      <w:r w:rsidRPr="00C27636">
        <w:rPr>
          <w:rFonts w:ascii="Calibri" w:eastAsia="Calibri" w:hAnsi="Calibri" w:cs="Calibri"/>
          <w:lang w:val="fr-BE"/>
        </w:rPr>
        <w:t>l’enseignement</w:t>
      </w:r>
      <w:r w:rsidRPr="00C27636">
        <w:rPr>
          <w:sz w:val="20"/>
          <w:szCs w:val="20"/>
          <w:lang w:val="fr-BE"/>
        </w:rPr>
        <w:tab/>
      </w:r>
      <w:r w:rsidRPr="00C27636">
        <w:rPr>
          <w:rFonts w:ascii="Calibri" w:eastAsia="Calibri" w:hAnsi="Calibri" w:cs="Calibri"/>
          <w:lang w:val="fr-BE"/>
        </w:rPr>
        <w:t>spécialisé,</w:t>
      </w:r>
      <w:r w:rsidRPr="00C27636">
        <w:rPr>
          <w:sz w:val="20"/>
          <w:szCs w:val="20"/>
          <w:lang w:val="fr-BE"/>
        </w:rPr>
        <w:tab/>
      </w:r>
      <w:r w:rsidRPr="00C27636">
        <w:rPr>
          <w:rFonts w:ascii="Calibri" w:eastAsia="Calibri" w:hAnsi="Calibri" w:cs="Calibri"/>
          <w:lang w:val="fr-BE"/>
        </w:rPr>
        <w:t>via</w:t>
      </w:r>
      <w:r w:rsidRPr="00C27636">
        <w:rPr>
          <w:sz w:val="20"/>
          <w:szCs w:val="20"/>
          <w:lang w:val="fr-BE"/>
        </w:rPr>
        <w:tab/>
      </w:r>
      <w:r w:rsidRPr="00C27636">
        <w:rPr>
          <w:rFonts w:ascii="Calibri" w:eastAsia="Calibri" w:hAnsi="Calibri" w:cs="Calibri"/>
          <w:sz w:val="21"/>
          <w:szCs w:val="21"/>
          <w:lang w:val="fr-BE"/>
        </w:rPr>
        <w:t>des</w:t>
      </w:r>
    </w:p>
    <w:p w:rsidR="00AC12B4" w:rsidRPr="00C27636" w:rsidRDefault="00AC12B4">
      <w:pPr>
        <w:spacing w:line="4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questionnaires adaptés.</w:t>
      </w:r>
    </w:p>
    <w:p w:rsidR="00AC12B4" w:rsidRPr="00C27636" w:rsidRDefault="00AC12B4">
      <w:pPr>
        <w:spacing w:line="208"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La Communauté germanophone devrait participer à cette enquête.</w:t>
      </w:r>
    </w:p>
    <w:p w:rsidR="00AC12B4" w:rsidRPr="00C27636" w:rsidRDefault="00AC12B4">
      <w:pPr>
        <w:spacing w:line="170"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 xml:space="preserve">Une enquête </w:t>
      </w:r>
      <w:r w:rsidRPr="00C27636">
        <w:rPr>
          <w:rFonts w:ascii="Calibri" w:eastAsia="Calibri" w:hAnsi="Calibri" w:cs="Calibri"/>
          <w:lang w:val="fr-BE"/>
        </w:rPr>
        <w:t>spécifique doit atteindre les groupes non-atteints (cf section ‘Atteindre les plus vulnérables’).</w:t>
      </w:r>
    </w:p>
    <w:p w:rsidR="00AC12B4" w:rsidRPr="00C27636" w:rsidRDefault="00AC12B4">
      <w:pPr>
        <w:spacing w:line="208" w:lineRule="exact"/>
        <w:rPr>
          <w:sz w:val="20"/>
          <w:szCs w:val="20"/>
          <w:lang w:val="fr-BE"/>
        </w:rPr>
      </w:pPr>
    </w:p>
    <w:p w:rsidR="00AC12B4" w:rsidRDefault="00C27636">
      <w:pPr>
        <w:ind w:left="60"/>
        <w:rPr>
          <w:sz w:val="20"/>
          <w:szCs w:val="20"/>
        </w:rPr>
      </w:pPr>
      <w:r>
        <w:rPr>
          <w:rFonts w:ascii="Cambria" w:eastAsia="Cambria" w:hAnsi="Cambria" w:cs="Cambria"/>
          <w:b/>
          <w:bCs/>
          <w:i/>
          <w:iCs/>
          <w:color w:val="7F2D13"/>
          <w:sz w:val="26"/>
          <w:szCs w:val="26"/>
        </w:rPr>
        <w:t>Pour aller plus loin :</w:t>
      </w:r>
    </w:p>
    <w:p w:rsidR="00AC12B4" w:rsidRDefault="00AC12B4">
      <w:pPr>
        <w:spacing w:line="163" w:lineRule="exact"/>
        <w:rPr>
          <w:sz w:val="20"/>
          <w:szCs w:val="20"/>
        </w:rPr>
      </w:pPr>
    </w:p>
    <w:p w:rsidR="00AC12B4" w:rsidRDefault="00C27636">
      <w:pPr>
        <w:numPr>
          <w:ilvl w:val="0"/>
          <w:numId w:val="275"/>
        </w:numPr>
        <w:tabs>
          <w:tab w:val="left" w:pos="440"/>
        </w:tabs>
        <w:ind w:left="440" w:hanging="367"/>
        <w:rPr>
          <w:rFonts w:ascii="Symbol" w:eastAsia="Symbol" w:hAnsi="Symbol" w:cs="Symbol"/>
          <w:sz w:val="20"/>
          <w:szCs w:val="20"/>
        </w:rPr>
      </w:pPr>
      <w:r>
        <w:rPr>
          <w:rFonts w:ascii="Calibri" w:eastAsia="Calibri" w:hAnsi="Calibri" w:cs="Calibri"/>
          <w:b/>
          <w:bCs/>
          <w:i/>
          <w:iCs/>
          <w:color w:val="E05429"/>
          <w:sz w:val="20"/>
          <w:szCs w:val="20"/>
        </w:rPr>
        <w:t>Jop moniteur:</w:t>
      </w:r>
    </w:p>
    <w:p w:rsidR="00AC12B4" w:rsidRDefault="00AC12B4">
      <w:pPr>
        <w:spacing w:line="83" w:lineRule="exact"/>
        <w:rPr>
          <w:rFonts w:ascii="Symbol" w:eastAsia="Symbol" w:hAnsi="Symbol" w:cs="Symbol"/>
          <w:sz w:val="20"/>
          <w:szCs w:val="20"/>
        </w:rPr>
      </w:pPr>
    </w:p>
    <w:p w:rsidR="00AC12B4" w:rsidRPr="00C27636" w:rsidRDefault="00C27636">
      <w:pPr>
        <w:spacing w:line="253" w:lineRule="auto"/>
        <w:ind w:left="440" w:right="737"/>
        <w:jc w:val="both"/>
        <w:rPr>
          <w:rFonts w:ascii="Symbol" w:eastAsia="Symbol" w:hAnsi="Symbol" w:cs="Symbol"/>
          <w:sz w:val="20"/>
          <w:szCs w:val="20"/>
          <w:lang w:val="fr-BE"/>
        </w:rPr>
      </w:pPr>
      <w:r w:rsidRPr="00C27636">
        <w:rPr>
          <w:rFonts w:ascii="Calibri" w:eastAsia="Calibri" w:hAnsi="Calibri" w:cs="Calibri"/>
          <w:sz w:val="20"/>
          <w:szCs w:val="20"/>
          <w:lang w:val="fr-BE"/>
        </w:rPr>
        <w:t>Questionnaire adressé aux parents dans le cadre du JOP-monitor scolaire 2013 (Anvers, Gand et Bruxelles) :</w:t>
      </w:r>
    </w:p>
    <w:p w:rsidR="00AC12B4" w:rsidRPr="00C27636" w:rsidRDefault="00AC12B4">
      <w:pPr>
        <w:spacing w:line="67" w:lineRule="exact"/>
        <w:rPr>
          <w:rFonts w:ascii="Symbol" w:eastAsia="Symbol" w:hAnsi="Symbol" w:cs="Symbol"/>
          <w:sz w:val="20"/>
          <w:szCs w:val="20"/>
          <w:lang w:val="fr-BE"/>
        </w:rPr>
      </w:pPr>
    </w:p>
    <w:p w:rsidR="00AC12B4" w:rsidRPr="00C27636" w:rsidRDefault="00C27636">
      <w:pPr>
        <w:numPr>
          <w:ilvl w:val="1"/>
          <w:numId w:val="275"/>
        </w:numPr>
        <w:tabs>
          <w:tab w:val="left" w:pos="800"/>
        </w:tabs>
        <w:spacing w:line="268" w:lineRule="auto"/>
        <w:ind w:left="800" w:right="817" w:hanging="367"/>
        <w:rPr>
          <w:rFonts w:ascii="Calibri" w:eastAsia="Calibri" w:hAnsi="Calibri" w:cs="Calibri"/>
          <w:sz w:val="20"/>
          <w:szCs w:val="20"/>
          <w:lang w:val="fr-BE"/>
        </w:rPr>
      </w:pPr>
      <w:r w:rsidRPr="00C27636">
        <w:rPr>
          <w:rFonts w:ascii="Calibri" w:eastAsia="Calibri" w:hAnsi="Calibri" w:cs="Calibri"/>
          <w:sz w:val="20"/>
          <w:szCs w:val="20"/>
          <w:lang w:val="fr-BE"/>
        </w:rPr>
        <w:t xml:space="preserve">"Je parle </w:t>
      </w:r>
      <w:r w:rsidRPr="00C27636">
        <w:rPr>
          <w:rFonts w:ascii="Calibri" w:eastAsia="Calibri" w:hAnsi="Calibri" w:cs="Calibri"/>
          <w:sz w:val="20"/>
          <w:szCs w:val="20"/>
          <w:lang w:val="fr-BE"/>
        </w:rPr>
        <w:t>régulièrement avec mon fils ou ma fille de ses centres d'intérêt, de son travail scolaire, de ses résultats scolaires ou de ses choix scolaires" : 1,3 % ne sont (absolument) pas d'accord et 87,8 % sont (tout à fait) d'accord ;</w:t>
      </w:r>
    </w:p>
    <w:p w:rsidR="00AC12B4" w:rsidRPr="00C27636" w:rsidRDefault="00AC12B4">
      <w:pPr>
        <w:spacing w:line="57" w:lineRule="exact"/>
        <w:rPr>
          <w:rFonts w:ascii="Calibri" w:eastAsia="Calibri" w:hAnsi="Calibri" w:cs="Calibri"/>
          <w:sz w:val="20"/>
          <w:szCs w:val="20"/>
          <w:lang w:val="fr-BE"/>
        </w:rPr>
      </w:pPr>
    </w:p>
    <w:p w:rsidR="00AC12B4" w:rsidRPr="00C27636" w:rsidRDefault="00C27636">
      <w:pPr>
        <w:numPr>
          <w:ilvl w:val="1"/>
          <w:numId w:val="275"/>
        </w:numPr>
        <w:tabs>
          <w:tab w:val="left" w:pos="800"/>
        </w:tabs>
        <w:spacing w:line="268" w:lineRule="auto"/>
        <w:ind w:left="800" w:right="777" w:hanging="367"/>
        <w:rPr>
          <w:rFonts w:ascii="Calibri" w:eastAsia="Calibri" w:hAnsi="Calibri" w:cs="Calibri"/>
          <w:sz w:val="20"/>
          <w:szCs w:val="20"/>
          <w:lang w:val="fr-BE"/>
        </w:rPr>
      </w:pPr>
      <w:r w:rsidRPr="00C27636">
        <w:rPr>
          <w:rFonts w:ascii="Calibri" w:eastAsia="Calibri" w:hAnsi="Calibri" w:cs="Calibri"/>
          <w:sz w:val="20"/>
          <w:szCs w:val="20"/>
          <w:lang w:val="fr-BE"/>
        </w:rPr>
        <w:t>"Nous discutons ou parlons s</w:t>
      </w:r>
      <w:r w:rsidRPr="00C27636">
        <w:rPr>
          <w:rFonts w:ascii="Calibri" w:eastAsia="Calibri" w:hAnsi="Calibri" w:cs="Calibri"/>
          <w:sz w:val="20"/>
          <w:szCs w:val="20"/>
          <w:lang w:val="fr-BE"/>
        </w:rPr>
        <w:t>ouvent ensemble à propos de quelque chose que nous avons appris à la télévision, à la radio ou dans les journaux (sport, politique, culture, etc. )" : 7,2 % ne sont (absolument) pas d'accord et 63,2 % sont (tout à fait) d'accord ;</w:t>
      </w:r>
    </w:p>
    <w:p w:rsidR="00AC12B4" w:rsidRPr="00C27636" w:rsidRDefault="00AC12B4">
      <w:pPr>
        <w:spacing w:line="57" w:lineRule="exact"/>
        <w:rPr>
          <w:rFonts w:ascii="Calibri" w:eastAsia="Calibri" w:hAnsi="Calibri" w:cs="Calibri"/>
          <w:sz w:val="20"/>
          <w:szCs w:val="20"/>
          <w:lang w:val="fr-BE"/>
        </w:rPr>
      </w:pPr>
    </w:p>
    <w:p w:rsidR="00AC12B4" w:rsidRPr="00C27636" w:rsidRDefault="00C27636">
      <w:pPr>
        <w:numPr>
          <w:ilvl w:val="1"/>
          <w:numId w:val="275"/>
        </w:numPr>
        <w:tabs>
          <w:tab w:val="left" w:pos="800"/>
        </w:tabs>
        <w:spacing w:line="269" w:lineRule="auto"/>
        <w:ind w:left="800" w:right="877" w:hanging="367"/>
        <w:rPr>
          <w:rFonts w:ascii="Calibri" w:eastAsia="Calibri" w:hAnsi="Calibri" w:cs="Calibri"/>
          <w:sz w:val="20"/>
          <w:szCs w:val="20"/>
          <w:lang w:val="fr-BE"/>
        </w:rPr>
      </w:pPr>
      <w:r w:rsidRPr="00C27636">
        <w:rPr>
          <w:rFonts w:ascii="Calibri" w:eastAsia="Calibri" w:hAnsi="Calibri" w:cs="Calibri"/>
          <w:sz w:val="20"/>
          <w:szCs w:val="20"/>
          <w:lang w:val="fr-BE"/>
        </w:rPr>
        <w:t>"Si mon fils/ma fille me</w:t>
      </w:r>
      <w:r w:rsidRPr="00C27636">
        <w:rPr>
          <w:rFonts w:ascii="Calibri" w:eastAsia="Calibri" w:hAnsi="Calibri" w:cs="Calibri"/>
          <w:sz w:val="20"/>
          <w:szCs w:val="20"/>
          <w:lang w:val="fr-BE"/>
        </w:rPr>
        <w:t xml:space="preserve"> demande pourquoi il/elle doit faire quelque chose, je lui réponds que c'est parce que je le dis, parce que je suis son père/sa mère ou parce que c'est ce que je veux" : 64 % ne sont (absolument) pas d'accord et 13,2 % sont (tout à fait) d'accord ;</w:t>
      </w:r>
    </w:p>
    <w:p w:rsidR="00AC12B4" w:rsidRPr="00C27636" w:rsidRDefault="00AC12B4">
      <w:pPr>
        <w:spacing w:line="57" w:lineRule="exact"/>
        <w:rPr>
          <w:rFonts w:ascii="Calibri" w:eastAsia="Calibri" w:hAnsi="Calibri" w:cs="Calibri"/>
          <w:sz w:val="20"/>
          <w:szCs w:val="20"/>
          <w:lang w:val="fr-BE"/>
        </w:rPr>
      </w:pPr>
    </w:p>
    <w:p w:rsidR="00AC12B4" w:rsidRPr="00C27636" w:rsidRDefault="00C27636">
      <w:pPr>
        <w:numPr>
          <w:ilvl w:val="1"/>
          <w:numId w:val="275"/>
        </w:numPr>
        <w:tabs>
          <w:tab w:val="left" w:pos="800"/>
        </w:tabs>
        <w:spacing w:line="260" w:lineRule="auto"/>
        <w:ind w:left="800" w:right="757" w:hanging="367"/>
        <w:rPr>
          <w:rFonts w:ascii="Calibri" w:eastAsia="Calibri" w:hAnsi="Calibri" w:cs="Calibri"/>
          <w:sz w:val="20"/>
          <w:szCs w:val="20"/>
          <w:lang w:val="fr-BE"/>
        </w:rPr>
      </w:pPr>
      <w:r w:rsidRPr="00C27636">
        <w:rPr>
          <w:rFonts w:ascii="Calibri" w:eastAsia="Calibri" w:hAnsi="Calibri" w:cs="Calibri"/>
          <w:sz w:val="20"/>
          <w:szCs w:val="20"/>
          <w:lang w:val="fr-BE"/>
        </w:rPr>
        <w:t>"Je ti</w:t>
      </w:r>
      <w:r w:rsidRPr="00C27636">
        <w:rPr>
          <w:rFonts w:ascii="Calibri" w:eastAsia="Calibri" w:hAnsi="Calibri" w:cs="Calibri"/>
          <w:sz w:val="20"/>
          <w:szCs w:val="20"/>
          <w:lang w:val="fr-BE"/>
        </w:rPr>
        <w:t>ens compte des préférences de mon enfant lorsque je fais des projets pour la famille (excursions, vacances)” : 1,6 % ne sont</w:t>
      </w:r>
    </w:p>
    <w:p w:rsidR="00AC12B4" w:rsidRPr="00C27636" w:rsidRDefault="00AC12B4">
      <w:pPr>
        <w:spacing w:line="65" w:lineRule="exact"/>
        <w:rPr>
          <w:rFonts w:ascii="Calibri" w:eastAsia="Calibri" w:hAnsi="Calibri" w:cs="Calibri"/>
          <w:sz w:val="20"/>
          <w:szCs w:val="20"/>
          <w:lang w:val="fr-BE"/>
        </w:rPr>
      </w:pPr>
    </w:p>
    <w:p w:rsidR="00AC12B4" w:rsidRPr="00C27636" w:rsidRDefault="00C27636">
      <w:pPr>
        <w:spacing w:line="235" w:lineRule="auto"/>
        <w:ind w:left="800" w:right="877"/>
        <w:rPr>
          <w:rFonts w:ascii="Calibri" w:eastAsia="Calibri" w:hAnsi="Calibri" w:cs="Calibri"/>
          <w:sz w:val="20"/>
          <w:szCs w:val="20"/>
          <w:lang w:val="fr-BE"/>
        </w:rPr>
      </w:pPr>
      <w:r w:rsidRPr="00C27636">
        <w:rPr>
          <w:rFonts w:ascii="Calibri" w:eastAsia="Calibri" w:hAnsi="Calibri" w:cs="Calibri"/>
          <w:sz w:val="20"/>
          <w:szCs w:val="20"/>
          <w:lang w:val="fr-BE"/>
        </w:rPr>
        <w:t>(absolument) pas d'accord et 19,8 % sont (tout à fait) d'accord ;</w:t>
      </w:r>
    </w:p>
    <w:p w:rsidR="00AC12B4" w:rsidRPr="00C27636" w:rsidRDefault="00AC12B4">
      <w:pPr>
        <w:spacing w:line="83" w:lineRule="exact"/>
        <w:rPr>
          <w:rFonts w:ascii="Calibri" w:eastAsia="Calibri" w:hAnsi="Calibri" w:cs="Calibri"/>
          <w:sz w:val="20"/>
          <w:szCs w:val="20"/>
          <w:lang w:val="fr-BE"/>
        </w:rPr>
      </w:pPr>
    </w:p>
    <w:p w:rsidR="00AC12B4" w:rsidRPr="00C27636" w:rsidRDefault="00C27636">
      <w:pPr>
        <w:numPr>
          <w:ilvl w:val="1"/>
          <w:numId w:val="275"/>
        </w:numPr>
        <w:tabs>
          <w:tab w:val="left" w:pos="800"/>
        </w:tabs>
        <w:spacing w:line="278" w:lineRule="auto"/>
        <w:ind w:left="800" w:right="797" w:hanging="367"/>
        <w:rPr>
          <w:rFonts w:ascii="Calibri" w:eastAsia="Calibri" w:hAnsi="Calibri" w:cs="Calibri"/>
          <w:sz w:val="19"/>
          <w:szCs w:val="19"/>
          <w:lang w:val="fr-BE"/>
        </w:rPr>
      </w:pPr>
      <w:r w:rsidRPr="00C27636">
        <w:rPr>
          <w:rFonts w:ascii="Calibri" w:eastAsia="Calibri" w:hAnsi="Calibri" w:cs="Calibri"/>
          <w:sz w:val="19"/>
          <w:szCs w:val="19"/>
          <w:lang w:val="fr-BE"/>
        </w:rPr>
        <w:t>"Je respecte l'avis de mon enfant et l'encourage à exprimer son</w:t>
      </w:r>
      <w:r w:rsidRPr="00C27636">
        <w:rPr>
          <w:rFonts w:ascii="Calibri" w:eastAsia="Calibri" w:hAnsi="Calibri" w:cs="Calibri"/>
          <w:sz w:val="19"/>
          <w:szCs w:val="19"/>
          <w:lang w:val="fr-BE"/>
        </w:rPr>
        <w:t xml:space="preserve"> avis" : 0,7 % ne sont (absolument) pas d'accord et 89,5 % sont (tout à fait) d'accord.</w:t>
      </w:r>
    </w:p>
    <w:p w:rsidR="00AC12B4" w:rsidRPr="00C27636" w:rsidRDefault="00AC12B4">
      <w:pPr>
        <w:rPr>
          <w:lang w:val="fr-BE"/>
        </w:rPr>
        <w:sectPr w:rsidR="00AC12B4" w:rsidRPr="00C27636">
          <w:pgSz w:w="12080" w:h="17179"/>
          <w:pgMar w:top="1440" w:right="1440" w:bottom="659" w:left="430" w:header="0" w:footer="0" w:gutter="0"/>
          <w:cols w:num="3" w:space="720" w:equalWidth="0">
            <w:col w:w="330" w:space="621"/>
            <w:col w:w="4460" w:space="180"/>
            <w:col w:w="4617"/>
          </w:cols>
        </w:sectPr>
      </w:pPr>
    </w:p>
    <w:p w:rsidR="00AC12B4" w:rsidRPr="00C27636" w:rsidRDefault="00AC12B4">
      <w:pPr>
        <w:spacing w:line="223" w:lineRule="exact"/>
        <w:rPr>
          <w:sz w:val="20"/>
          <w:szCs w:val="20"/>
          <w:lang w:val="fr-BE"/>
        </w:rPr>
      </w:pPr>
      <w:bookmarkStart w:id="148" w:name="page149"/>
      <w:bookmarkEnd w:id="148"/>
    </w:p>
    <w:p w:rsidR="00AC12B4" w:rsidRPr="00C27636" w:rsidRDefault="00C27636">
      <w:pPr>
        <w:numPr>
          <w:ilvl w:val="0"/>
          <w:numId w:val="276"/>
        </w:numPr>
        <w:tabs>
          <w:tab w:val="left" w:pos="1000"/>
        </w:tabs>
        <w:spacing w:line="247" w:lineRule="auto"/>
        <w:ind w:left="1000" w:right="352" w:hanging="366"/>
        <w:jc w:val="both"/>
        <w:rPr>
          <w:rFonts w:ascii="Symbol" w:eastAsia="Symbol" w:hAnsi="Symbol" w:cs="Symbol"/>
          <w:sz w:val="20"/>
          <w:szCs w:val="20"/>
          <w:lang w:val="fr-BE"/>
        </w:rPr>
      </w:pPr>
      <w:r w:rsidRPr="00C27636">
        <w:rPr>
          <w:rFonts w:ascii="Calibri" w:eastAsia="Calibri" w:hAnsi="Calibri" w:cs="Calibri"/>
          <w:sz w:val="20"/>
          <w:szCs w:val="20"/>
          <w:lang w:val="fr-BE"/>
        </w:rPr>
        <w:t>top 5 des activités les plus faites lors du temps libre (sur échelle de 1 (presque jamais) à 6 (chaque jour)) :</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777536" behindDoc="1" locked="0" layoutInCell="0" allowOverlap="1">
            <wp:simplePos x="0" y="0"/>
            <wp:positionH relativeFrom="column">
              <wp:posOffset>407035</wp:posOffset>
            </wp:positionH>
            <wp:positionV relativeFrom="paragraph">
              <wp:posOffset>195580</wp:posOffset>
            </wp:positionV>
            <wp:extent cx="2639695" cy="1828800"/>
            <wp:effectExtent l="0" t="0" r="0" b="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56">
                      <a:extLst/>
                    </a:blip>
                    <a:srcRect/>
                    <a:stretch>
                      <a:fillRect/>
                    </a:stretch>
                  </pic:blipFill>
                  <pic:spPr bwMode="auto">
                    <a:xfrm>
                      <a:off x="0" y="0"/>
                      <a:ext cx="2639695" cy="1828800"/>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8" w:lineRule="exact"/>
        <w:rPr>
          <w:sz w:val="20"/>
          <w:szCs w:val="20"/>
          <w:lang w:val="fr-BE"/>
        </w:rPr>
      </w:pPr>
    </w:p>
    <w:p w:rsidR="00AC12B4" w:rsidRPr="00C27636" w:rsidRDefault="00C27636">
      <w:pPr>
        <w:numPr>
          <w:ilvl w:val="0"/>
          <w:numId w:val="277"/>
        </w:numPr>
        <w:tabs>
          <w:tab w:val="left" w:pos="1000"/>
        </w:tabs>
        <w:spacing w:line="256" w:lineRule="auto"/>
        <w:ind w:left="1000" w:right="352" w:hanging="366"/>
        <w:jc w:val="both"/>
        <w:rPr>
          <w:rFonts w:ascii="Symbol" w:eastAsia="Symbol" w:hAnsi="Symbol" w:cs="Symbol"/>
          <w:sz w:val="20"/>
          <w:szCs w:val="20"/>
          <w:lang w:val="fr-BE"/>
        </w:rPr>
      </w:pPr>
      <w:r w:rsidRPr="00C27636">
        <w:rPr>
          <w:rFonts w:ascii="Calibri" w:eastAsia="Calibri" w:hAnsi="Calibri" w:cs="Calibri"/>
          <w:b/>
          <w:bCs/>
          <w:i/>
          <w:iCs/>
          <w:color w:val="E05429"/>
          <w:sz w:val="20"/>
          <w:szCs w:val="20"/>
          <w:lang w:val="fr-BE"/>
        </w:rPr>
        <w:t xml:space="preserve">OEJAJ </w:t>
      </w:r>
      <w:r w:rsidRPr="00C27636">
        <w:rPr>
          <w:rFonts w:ascii="Calibri" w:eastAsia="Calibri" w:hAnsi="Calibri" w:cs="Calibri"/>
          <w:color w:val="000000"/>
          <w:sz w:val="20"/>
          <w:szCs w:val="20"/>
          <w:lang w:val="fr-BE"/>
        </w:rPr>
        <w:t>: Recherche visant à mieux</w:t>
      </w:r>
      <w:r w:rsidRPr="00C27636">
        <w:rPr>
          <w:rFonts w:ascii="Calibri" w:eastAsia="Calibri" w:hAnsi="Calibri" w:cs="Calibri"/>
          <w:b/>
          <w:bCs/>
          <w:i/>
          <w:iCs/>
          <w:color w:val="E05429"/>
          <w:sz w:val="20"/>
          <w:szCs w:val="20"/>
          <w:lang w:val="fr-BE"/>
        </w:rPr>
        <w:t xml:space="preserve"> </w:t>
      </w:r>
      <w:r w:rsidRPr="00C27636">
        <w:rPr>
          <w:rFonts w:ascii="Calibri" w:eastAsia="Calibri" w:hAnsi="Calibri" w:cs="Calibri"/>
          <w:color w:val="000000"/>
          <w:sz w:val="20"/>
          <w:szCs w:val="20"/>
          <w:lang w:val="fr-BE"/>
        </w:rPr>
        <w:t>comprendre les mécanismes d’affiliation des jeunes de 12 à 16 ans en Fédération Wallonie-Bruxelles (Sonecom 2013)</w:t>
      </w:r>
    </w:p>
    <w:p w:rsidR="00AC12B4" w:rsidRPr="00C27636" w:rsidRDefault="00AC12B4">
      <w:pPr>
        <w:spacing w:line="51" w:lineRule="exact"/>
        <w:rPr>
          <w:rFonts w:ascii="Symbol" w:eastAsia="Symbol" w:hAnsi="Symbol" w:cs="Symbol"/>
          <w:sz w:val="20"/>
          <w:szCs w:val="20"/>
          <w:lang w:val="fr-BE"/>
        </w:rPr>
      </w:pPr>
    </w:p>
    <w:p w:rsidR="00AC12B4" w:rsidRPr="00C27636" w:rsidRDefault="00C27636">
      <w:pPr>
        <w:spacing w:line="237" w:lineRule="auto"/>
        <w:ind w:left="1700" w:right="352" w:hanging="360"/>
        <w:jc w:val="right"/>
        <w:rPr>
          <w:rFonts w:ascii="Symbol" w:eastAsia="Symbol" w:hAnsi="Symbol" w:cs="Symbol"/>
          <w:sz w:val="20"/>
          <w:szCs w:val="20"/>
          <w:lang w:val="fr-BE"/>
        </w:rPr>
      </w:pPr>
      <w:r w:rsidRPr="00C27636">
        <w:rPr>
          <w:rFonts w:ascii="Courier New" w:eastAsia="Courier New" w:hAnsi="Courier New" w:cs="Courier New"/>
          <w:sz w:val="20"/>
          <w:szCs w:val="20"/>
          <w:lang w:val="fr-BE"/>
        </w:rPr>
        <w:t xml:space="preserve">o  </w:t>
      </w:r>
      <w:r w:rsidRPr="00C27636">
        <w:rPr>
          <w:rFonts w:ascii="Calibri" w:eastAsia="Calibri" w:hAnsi="Calibri" w:cs="Calibri"/>
          <w:sz w:val="20"/>
          <w:szCs w:val="20"/>
          <w:lang w:val="fr-BE"/>
        </w:rPr>
        <w:t>15,7%   des   jeunes   (quatre</w:t>
      </w:r>
      <w:r w:rsidRPr="00C27636">
        <w:rPr>
          <w:rFonts w:ascii="Courier New" w:eastAsia="Courier New" w:hAnsi="Courier New" w:cs="Courier New"/>
          <w:sz w:val="20"/>
          <w:szCs w:val="20"/>
          <w:lang w:val="fr-BE"/>
        </w:rPr>
        <w:t xml:space="preserve"> </w:t>
      </w:r>
      <w:r w:rsidRPr="00C27636">
        <w:rPr>
          <w:rFonts w:ascii="Calibri" w:eastAsia="Calibri" w:hAnsi="Calibri" w:cs="Calibri"/>
          <w:sz w:val="20"/>
          <w:szCs w:val="20"/>
          <w:lang w:val="fr-BE"/>
        </w:rPr>
        <w:t>premières années du secondaire)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1" w:lineRule="exact"/>
        <w:rPr>
          <w:sz w:val="20"/>
          <w:szCs w:val="20"/>
          <w:lang w:val="fr-BE"/>
        </w:rPr>
      </w:pPr>
    </w:p>
    <w:p w:rsidR="00AC12B4" w:rsidRPr="00C27636" w:rsidRDefault="00C27636">
      <w:pPr>
        <w:spacing w:line="264" w:lineRule="auto"/>
        <w:ind w:left="768" w:right="1077"/>
        <w:jc w:val="both"/>
        <w:rPr>
          <w:sz w:val="20"/>
          <w:szCs w:val="20"/>
          <w:lang w:val="fr-BE"/>
        </w:rPr>
      </w:pPr>
      <w:r w:rsidRPr="00C27636">
        <w:rPr>
          <w:rFonts w:ascii="Calibri" w:eastAsia="Calibri" w:hAnsi="Calibri" w:cs="Calibri"/>
          <w:sz w:val="20"/>
          <w:szCs w:val="20"/>
          <w:lang w:val="fr-BE"/>
        </w:rPr>
        <w:t xml:space="preserve">affirme n’avoir jamais fréquenté un club ou </w:t>
      </w:r>
      <w:r w:rsidRPr="00C27636">
        <w:rPr>
          <w:rFonts w:ascii="Calibri" w:eastAsia="Calibri" w:hAnsi="Calibri" w:cs="Calibri"/>
          <w:sz w:val="20"/>
          <w:szCs w:val="20"/>
          <w:lang w:val="fr-BE"/>
        </w:rPr>
        <w:t>une académie. Un niveau socioéconomique faible influence négativement cette fréquentation.</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78560" behindDoc="1" locked="0" layoutInCell="0" allowOverlap="1">
                <wp:simplePos x="0" y="0"/>
                <wp:positionH relativeFrom="column">
                  <wp:posOffset>2518410</wp:posOffset>
                </wp:positionH>
                <wp:positionV relativeFrom="paragraph">
                  <wp:posOffset>-1900555</wp:posOffset>
                </wp:positionV>
                <wp:extent cx="734060" cy="10908030"/>
                <wp:effectExtent l="0" t="0" r="0" b="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8030"/>
                        </a:xfrm>
                        <a:prstGeom prst="rect">
                          <a:avLst/>
                        </a:prstGeom>
                        <a:solidFill>
                          <a:srgbClr val="E05429"/>
                        </a:solidFill>
                      </wps:spPr>
                      <wps:bodyPr/>
                    </wps:wsp>
                  </a:graphicData>
                </a:graphic>
              </wp:anchor>
            </w:drawing>
          </mc:Choice>
          <mc:Fallback>
            <w:pict>
              <v:rect id="Shape 452" o:spid="_x0000_s1477" style="position:absolute;margin-left:198.3pt;margin-top:-149.6499pt;width:57.8pt;height:85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5429" stroked="f"/>
            </w:pict>
          </mc:Fallback>
        </mc:AlternateContent>
      </w:r>
    </w:p>
    <w:p w:rsidR="00AC12B4" w:rsidRPr="00C27636" w:rsidRDefault="00AC12B4">
      <w:pPr>
        <w:spacing w:line="53" w:lineRule="exact"/>
        <w:rPr>
          <w:sz w:val="20"/>
          <w:szCs w:val="20"/>
          <w:lang w:val="fr-BE"/>
        </w:rPr>
      </w:pPr>
    </w:p>
    <w:p w:rsidR="00AC12B4" w:rsidRPr="00C27636" w:rsidRDefault="00C27636">
      <w:pPr>
        <w:numPr>
          <w:ilvl w:val="0"/>
          <w:numId w:val="278"/>
        </w:numPr>
        <w:tabs>
          <w:tab w:val="left" w:pos="368"/>
        </w:tabs>
        <w:spacing w:line="271" w:lineRule="auto"/>
        <w:ind w:left="368" w:right="1117" w:hanging="368"/>
        <w:rPr>
          <w:rFonts w:ascii="Symbol" w:eastAsia="Symbol" w:hAnsi="Symbol" w:cs="Symbol"/>
          <w:sz w:val="20"/>
          <w:szCs w:val="20"/>
          <w:lang w:val="nl-NL"/>
        </w:rPr>
      </w:pPr>
      <w:r w:rsidRPr="00C27636">
        <w:rPr>
          <w:rFonts w:ascii="Calibri" w:eastAsia="Calibri" w:hAnsi="Calibri" w:cs="Calibri"/>
          <w:b/>
          <w:bCs/>
          <w:i/>
          <w:iCs/>
          <w:color w:val="E05429"/>
          <w:sz w:val="20"/>
          <w:szCs w:val="20"/>
          <w:lang w:val="nl-NL"/>
        </w:rPr>
        <w:t>Littérature</w:t>
      </w:r>
      <w:r w:rsidRPr="00C27636">
        <w:rPr>
          <w:rFonts w:ascii="Calibri" w:eastAsia="Calibri" w:hAnsi="Calibri" w:cs="Calibri"/>
          <w:color w:val="000000"/>
          <w:sz w:val="20"/>
          <w:szCs w:val="20"/>
          <w:lang w:val="nl-NL"/>
        </w:rPr>
        <w:t>: Smits, W. en Spruyt, B.,</w:t>
      </w:r>
      <w:r w:rsidRPr="00C27636">
        <w:rPr>
          <w:rFonts w:ascii="Calibri" w:eastAsia="Calibri" w:hAnsi="Calibri" w:cs="Calibri"/>
          <w:b/>
          <w:bCs/>
          <w:i/>
          <w:iCs/>
          <w:color w:val="E05429"/>
          <w:sz w:val="20"/>
          <w:szCs w:val="20"/>
          <w:lang w:val="nl-NL"/>
        </w:rPr>
        <w:t xml:space="preserve"> </w:t>
      </w:r>
      <w:r w:rsidRPr="00C27636">
        <w:rPr>
          <w:rFonts w:ascii="Calibri" w:eastAsia="Calibri" w:hAnsi="Calibri" w:cs="Calibri"/>
          <w:i/>
          <w:iCs/>
          <w:color w:val="000000"/>
          <w:sz w:val="20"/>
          <w:szCs w:val="20"/>
          <w:lang w:val="nl-NL"/>
        </w:rPr>
        <w:t>Opgroeien in kwetsbare gezinnen:materiële deprivatie en participatief opvoedingsklimaat. Een analyse op basis van gegevens o</w:t>
      </w:r>
      <w:r w:rsidRPr="00C27636">
        <w:rPr>
          <w:rFonts w:ascii="Calibri" w:eastAsia="Calibri" w:hAnsi="Calibri" w:cs="Calibri"/>
          <w:i/>
          <w:iCs/>
          <w:color w:val="000000"/>
          <w:sz w:val="20"/>
          <w:szCs w:val="20"/>
          <w:lang w:val="nl-NL"/>
        </w:rPr>
        <w:t xml:space="preserve">ver de leerlingen van het secundair onderwijs in Antwerpen en Gent, </w:t>
      </w:r>
      <w:r w:rsidRPr="00C27636">
        <w:rPr>
          <w:rFonts w:ascii="Calibri" w:eastAsia="Calibri" w:hAnsi="Calibri" w:cs="Calibri"/>
          <w:color w:val="000000"/>
          <w:sz w:val="20"/>
          <w:szCs w:val="20"/>
          <w:lang w:val="nl-NL"/>
        </w:rPr>
        <w:t>Steunpunt</w:t>
      </w:r>
      <w:r w:rsidRPr="00C27636">
        <w:rPr>
          <w:rFonts w:ascii="Calibri" w:eastAsia="Calibri" w:hAnsi="Calibri" w:cs="Calibri"/>
          <w:i/>
          <w:iCs/>
          <w:color w:val="000000"/>
          <w:sz w:val="20"/>
          <w:szCs w:val="20"/>
          <w:lang w:val="nl-NL"/>
        </w:rPr>
        <w:t xml:space="preserve"> </w:t>
      </w:r>
      <w:r w:rsidRPr="00C27636">
        <w:rPr>
          <w:rFonts w:ascii="Calibri" w:eastAsia="Calibri" w:hAnsi="Calibri" w:cs="Calibri"/>
          <w:color w:val="000000"/>
          <w:sz w:val="20"/>
          <w:szCs w:val="20"/>
          <w:lang w:val="nl-NL"/>
        </w:rPr>
        <w:t>Cultuur, Onderzoekslijn maatschappelijke en sociale participatie van kansengroepen, Vakgroep Sociologie, Onderzoeksgroep TOR, Vrije Universiteit Brussel, Brussel, 2013 (Working p</w:t>
      </w:r>
      <w:r w:rsidRPr="00C27636">
        <w:rPr>
          <w:rFonts w:ascii="Calibri" w:eastAsia="Calibri" w:hAnsi="Calibri" w:cs="Calibri"/>
          <w:color w:val="000000"/>
          <w:sz w:val="20"/>
          <w:szCs w:val="20"/>
          <w:lang w:val="nl-NL"/>
        </w:rPr>
        <w:t>aper 3).</w:t>
      </w:r>
    </w:p>
    <w:p w:rsidR="00AC12B4" w:rsidRPr="00C27636" w:rsidRDefault="00AC12B4">
      <w:pPr>
        <w:spacing w:line="726" w:lineRule="exact"/>
        <w:rPr>
          <w:sz w:val="20"/>
          <w:szCs w:val="20"/>
          <w:lang w:val="nl-NL"/>
        </w:rPr>
      </w:pPr>
    </w:p>
    <w:p w:rsidR="00AC12B4" w:rsidRPr="00C27636" w:rsidRDefault="00AC12B4">
      <w:pPr>
        <w:rPr>
          <w:lang w:val="nl-NL"/>
        </w:rPr>
        <w:sectPr w:rsidR="00AC12B4" w:rsidRPr="00C27636">
          <w:pgSz w:w="12080" w:h="17179"/>
          <w:pgMar w:top="1440" w:right="540" w:bottom="659" w:left="1440" w:header="0" w:footer="0" w:gutter="0"/>
          <w:cols w:num="2" w:space="720" w:equalWidth="0">
            <w:col w:w="4792" w:space="720"/>
            <w:col w:w="4585"/>
          </w:cols>
        </w:sect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200" w:lineRule="exact"/>
        <w:rPr>
          <w:sz w:val="20"/>
          <w:szCs w:val="20"/>
          <w:lang w:val="nl-NL"/>
        </w:rPr>
      </w:pPr>
    </w:p>
    <w:p w:rsidR="00AC12B4" w:rsidRPr="00C27636" w:rsidRDefault="00AC12B4">
      <w:pPr>
        <w:spacing w:line="354" w:lineRule="exact"/>
        <w:rPr>
          <w:sz w:val="20"/>
          <w:szCs w:val="20"/>
          <w:lang w:val="nl-NL"/>
        </w:rPr>
      </w:pPr>
    </w:p>
    <w:tbl>
      <w:tblPr>
        <w:tblW w:w="0" w:type="auto"/>
        <w:tblInd w:w="9817" w:type="dxa"/>
        <w:tblLayout w:type="fixed"/>
        <w:tblCellMar>
          <w:left w:w="0" w:type="dxa"/>
          <w:right w:w="0" w:type="dxa"/>
        </w:tblCellMar>
        <w:tblLook w:val="04A0" w:firstRow="1" w:lastRow="0" w:firstColumn="1" w:lastColumn="0" w:noHBand="0" w:noVBand="1"/>
      </w:tblPr>
      <w:tblGrid>
        <w:gridCol w:w="280"/>
      </w:tblGrid>
      <w:tr w:rsidR="00AC12B4" w:rsidRPr="00C27636">
        <w:trPr>
          <w:trHeight w:val="3460"/>
        </w:trPr>
        <w:tc>
          <w:tcPr>
            <w:tcW w:w="280" w:type="dxa"/>
            <w:textDirection w:val="btLr"/>
            <w:vAlign w:val="bottom"/>
          </w:tcPr>
          <w:p w:rsidR="00AC12B4" w:rsidRPr="00C27636" w:rsidRDefault="00C27636">
            <w:pPr>
              <w:spacing w:line="204" w:lineRule="auto"/>
              <w:rPr>
                <w:sz w:val="20"/>
                <w:szCs w:val="20"/>
                <w:lang w:val="fr-BE"/>
              </w:rPr>
            </w:pPr>
            <w:r w:rsidRPr="00C27636">
              <w:rPr>
                <w:rFonts w:ascii="Calibri" w:eastAsia="Calibri" w:hAnsi="Calibri" w:cs="Calibri"/>
                <w:b/>
                <w:bCs/>
                <w:i/>
                <w:iCs/>
                <w:color w:val="F2F2F2"/>
                <w:sz w:val="27"/>
                <w:szCs w:val="27"/>
                <w:lang w:val="fr-BE"/>
              </w:rPr>
              <w:lastRenderedPageBreak/>
              <w:t>Le droit aux loisirs et au repos</w:t>
            </w:r>
          </w:p>
        </w:tc>
      </w:tr>
    </w:tbl>
    <w:p w:rsidR="00AC12B4" w:rsidRPr="00C27636" w:rsidRDefault="00AC12B4">
      <w:pPr>
        <w:spacing w:line="20" w:lineRule="exact"/>
        <w:rPr>
          <w:sz w:val="20"/>
          <w:szCs w:val="20"/>
          <w:lang w:val="fr-BE"/>
        </w:rPr>
      </w:pPr>
    </w:p>
    <w:p w:rsidR="00AC12B4" w:rsidRPr="00C27636" w:rsidRDefault="00C27636">
      <w:pPr>
        <w:ind w:right="497"/>
        <w:jc w:val="center"/>
        <w:rPr>
          <w:sz w:val="20"/>
          <w:szCs w:val="20"/>
          <w:lang w:val="fr-BE"/>
        </w:rPr>
      </w:pPr>
      <w:r w:rsidRPr="00C27636">
        <w:rPr>
          <w:rFonts w:ascii="Calibri" w:eastAsia="Calibri" w:hAnsi="Calibri" w:cs="Calibri"/>
          <w:sz w:val="21"/>
          <w:szCs w:val="21"/>
          <w:lang w:val="fr-BE"/>
        </w:rPr>
        <w:t>149</w:t>
      </w:r>
    </w:p>
    <w:p w:rsidR="00AC12B4" w:rsidRPr="00C27636" w:rsidRDefault="00AC12B4">
      <w:pPr>
        <w:rPr>
          <w:lang w:val="fr-BE"/>
        </w:rPr>
        <w:sectPr w:rsidR="00AC12B4" w:rsidRPr="00C27636">
          <w:type w:val="continuous"/>
          <w:pgSz w:w="12080" w:h="17179"/>
          <w:pgMar w:top="1440" w:right="540" w:bottom="659" w:left="1440" w:header="0" w:footer="0" w:gutter="0"/>
          <w:cols w:space="720" w:equalWidth="0">
            <w:col w:w="10097"/>
          </w:cols>
        </w:sectPr>
      </w:pPr>
    </w:p>
    <w:p w:rsidR="00AC12B4" w:rsidRPr="00C27636" w:rsidRDefault="00AC12B4">
      <w:pPr>
        <w:jc w:val="center"/>
        <w:rPr>
          <w:sz w:val="20"/>
          <w:szCs w:val="20"/>
          <w:lang w:val="fr-BE"/>
        </w:rPr>
      </w:pPr>
      <w:bookmarkStart w:id="149" w:name="page150"/>
      <w:bookmarkEnd w:id="149"/>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spacing w:line="168" w:lineRule="exact"/>
        <w:rPr>
          <w:sz w:val="20"/>
          <w:szCs w:val="20"/>
          <w:lang w:val="fr-BE"/>
        </w:rPr>
      </w:pPr>
      <w:bookmarkStart w:id="150" w:name="page151"/>
      <w:bookmarkEnd w:id="150"/>
    </w:p>
    <w:p w:rsidR="00AC12B4" w:rsidRPr="00C27636" w:rsidRDefault="00C27636">
      <w:pPr>
        <w:ind w:left="1480"/>
        <w:rPr>
          <w:sz w:val="20"/>
          <w:szCs w:val="20"/>
          <w:lang w:val="fr-BE"/>
        </w:rPr>
      </w:pPr>
      <w:r w:rsidRPr="00C27636">
        <w:rPr>
          <w:rFonts w:ascii="Comic Sans MS" w:eastAsia="Comic Sans MS" w:hAnsi="Comic Sans MS" w:cs="Comic Sans MS"/>
          <w:color w:val="E05429"/>
          <w:sz w:val="40"/>
          <w:szCs w:val="40"/>
          <w:lang w:val="fr-BE"/>
        </w:rPr>
        <w:t>L3. Disponibilité d’endroits où l’on peut jouer</w:t>
      </w:r>
    </w:p>
    <w:p w:rsidR="00AC12B4" w:rsidRPr="00C27636" w:rsidRDefault="00AC12B4">
      <w:pPr>
        <w:spacing w:line="306" w:lineRule="exact"/>
        <w:rPr>
          <w:sz w:val="20"/>
          <w:szCs w:val="20"/>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5940"/>
        <w:gridCol w:w="4000"/>
        <w:gridCol w:w="20"/>
      </w:tblGrid>
      <w:tr w:rsidR="00AC12B4">
        <w:trPr>
          <w:trHeight w:val="404"/>
        </w:trPr>
        <w:tc>
          <w:tcPr>
            <w:tcW w:w="5940" w:type="dxa"/>
            <w:vMerge w:val="restart"/>
            <w:tcBorders>
              <w:top w:val="single" w:sz="8" w:space="0" w:color="7F2D13"/>
              <w:left w:val="single" w:sz="8" w:space="0" w:color="7F2D13"/>
              <w:right w:val="single" w:sz="8" w:space="0" w:color="7F2D13"/>
            </w:tcBorders>
            <w:shd w:val="clear" w:color="auto" w:fill="E05429"/>
            <w:vAlign w:val="bottom"/>
          </w:tcPr>
          <w:p w:rsidR="00AC12B4" w:rsidRDefault="00C27636">
            <w:pPr>
              <w:ind w:left="580"/>
              <w:rPr>
                <w:sz w:val="20"/>
                <w:szCs w:val="20"/>
              </w:rPr>
            </w:pPr>
            <w:r>
              <w:rPr>
                <w:rFonts w:ascii="Calibri" w:eastAsia="Calibri" w:hAnsi="Calibri" w:cs="Calibri"/>
                <w:i/>
                <w:iCs/>
                <w:color w:val="DAEEF3"/>
              </w:rPr>
              <w:t>CIDE Article 31</w:t>
            </w:r>
          </w:p>
        </w:tc>
        <w:tc>
          <w:tcPr>
            <w:tcW w:w="4000" w:type="dxa"/>
            <w:vAlign w:val="bottom"/>
          </w:tcPr>
          <w:p w:rsidR="00AC12B4" w:rsidRDefault="00C27636">
            <w:pPr>
              <w:ind w:left="200"/>
              <w:rPr>
                <w:sz w:val="20"/>
                <w:szCs w:val="20"/>
              </w:rPr>
            </w:pPr>
            <w:r>
              <w:rPr>
                <w:rFonts w:ascii="Cambria" w:eastAsia="Cambria" w:hAnsi="Cambria" w:cs="Cambria"/>
                <w:b/>
                <w:bCs/>
                <w:i/>
                <w:iCs/>
                <w:color w:val="7F2D13"/>
                <w:sz w:val="26"/>
                <w:szCs w:val="26"/>
              </w:rPr>
              <w:t>Iniquité</w:t>
            </w:r>
          </w:p>
        </w:tc>
        <w:tc>
          <w:tcPr>
            <w:tcW w:w="0" w:type="dxa"/>
            <w:vAlign w:val="bottom"/>
          </w:tcPr>
          <w:p w:rsidR="00AC12B4" w:rsidRDefault="00AC12B4">
            <w:pPr>
              <w:rPr>
                <w:sz w:val="1"/>
                <w:szCs w:val="1"/>
              </w:rPr>
            </w:pPr>
          </w:p>
        </w:tc>
      </w:tr>
      <w:tr w:rsidR="00AC12B4">
        <w:trPr>
          <w:trHeight w:val="130"/>
        </w:trPr>
        <w:tc>
          <w:tcPr>
            <w:tcW w:w="5940" w:type="dxa"/>
            <w:vMerge/>
            <w:tcBorders>
              <w:left w:val="single" w:sz="8" w:space="0" w:color="7F2D13"/>
              <w:right w:val="single" w:sz="8" w:space="0" w:color="7F2D13"/>
            </w:tcBorders>
            <w:shd w:val="clear" w:color="auto" w:fill="E05429"/>
            <w:vAlign w:val="bottom"/>
          </w:tcPr>
          <w:p w:rsidR="00AC12B4" w:rsidRDefault="00AC12B4">
            <w:pPr>
              <w:rPr>
                <w:sz w:val="11"/>
                <w:szCs w:val="11"/>
              </w:rPr>
            </w:pPr>
          </w:p>
        </w:tc>
        <w:tc>
          <w:tcPr>
            <w:tcW w:w="400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298"/>
        </w:trPr>
        <w:tc>
          <w:tcPr>
            <w:tcW w:w="5940" w:type="dxa"/>
            <w:vMerge w:val="restart"/>
            <w:tcBorders>
              <w:left w:val="single" w:sz="8" w:space="0" w:color="7F2D13"/>
              <w:right w:val="single" w:sz="8" w:space="0" w:color="7F2D13"/>
            </w:tcBorders>
            <w:shd w:val="clear" w:color="auto" w:fill="E05429"/>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 xml:space="preserve">2. Les Etats parties respectent et </w:t>
            </w:r>
            <w:r w:rsidRPr="00C27636">
              <w:rPr>
                <w:rFonts w:ascii="Calibri" w:eastAsia="Calibri" w:hAnsi="Calibri" w:cs="Calibri"/>
                <w:i/>
                <w:iCs/>
                <w:color w:val="DAEEF3"/>
                <w:lang w:val="fr-BE"/>
              </w:rPr>
              <w:t>favorisent le droit de</w:t>
            </w:r>
          </w:p>
        </w:tc>
        <w:tc>
          <w:tcPr>
            <w:tcW w:w="4000" w:type="dxa"/>
            <w:vAlign w:val="bottom"/>
          </w:tcPr>
          <w:p w:rsidR="00AC12B4" w:rsidRPr="00C27636" w:rsidRDefault="00C27636">
            <w:pPr>
              <w:ind w:left="200"/>
              <w:rPr>
                <w:sz w:val="20"/>
                <w:szCs w:val="20"/>
                <w:lang w:val="fr-BE"/>
              </w:rPr>
            </w:pPr>
            <w:r w:rsidRPr="00C27636">
              <w:rPr>
                <w:rFonts w:ascii="Calibri" w:eastAsia="Calibri" w:hAnsi="Calibri" w:cs="Calibri"/>
                <w:lang w:val="fr-BE"/>
              </w:rPr>
              <w:t>La proportion de jeunes qui rapportent</w:t>
            </w:r>
          </w:p>
        </w:tc>
        <w:tc>
          <w:tcPr>
            <w:tcW w:w="0" w:type="dxa"/>
            <w:vAlign w:val="bottom"/>
          </w:tcPr>
          <w:p w:rsidR="00AC12B4" w:rsidRPr="00C27636" w:rsidRDefault="00AC12B4">
            <w:pPr>
              <w:rPr>
                <w:sz w:val="1"/>
                <w:szCs w:val="1"/>
                <w:lang w:val="fr-BE"/>
              </w:rPr>
            </w:pPr>
          </w:p>
        </w:tc>
      </w:tr>
      <w:tr w:rsidR="00AC12B4" w:rsidRPr="00C27636">
        <w:trPr>
          <w:trHeight w:val="91"/>
        </w:trPr>
        <w:tc>
          <w:tcPr>
            <w:tcW w:w="5940" w:type="dxa"/>
            <w:vMerge/>
            <w:tcBorders>
              <w:left w:val="single" w:sz="8" w:space="0" w:color="7F2D13"/>
              <w:right w:val="single" w:sz="8" w:space="0" w:color="7F2D13"/>
            </w:tcBorders>
            <w:shd w:val="clear" w:color="auto" w:fill="E05429"/>
            <w:vAlign w:val="bottom"/>
          </w:tcPr>
          <w:p w:rsidR="00AC12B4" w:rsidRPr="00C27636" w:rsidRDefault="00AC12B4">
            <w:pPr>
              <w:rPr>
                <w:sz w:val="7"/>
                <w:szCs w:val="7"/>
                <w:lang w:val="fr-BE"/>
              </w:rPr>
            </w:pPr>
          </w:p>
        </w:tc>
        <w:tc>
          <w:tcPr>
            <w:tcW w:w="4000" w:type="dxa"/>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qu'il existe des espaces pour jouer dans</w:t>
            </w:r>
          </w:p>
        </w:tc>
        <w:tc>
          <w:tcPr>
            <w:tcW w:w="0" w:type="dxa"/>
            <w:vAlign w:val="bottom"/>
          </w:tcPr>
          <w:p w:rsidR="00AC12B4" w:rsidRPr="00C27636" w:rsidRDefault="00AC12B4">
            <w:pPr>
              <w:rPr>
                <w:sz w:val="1"/>
                <w:szCs w:val="1"/>
                <w:lang w:val="fr-BE"/>
              </w:rPr>
            </w:pPr>
          </w:p>
        </w:tc>
      </w:tr>
      <w:tr w:rsidR="00AC12B4" w:rsidRPr="00C27636">
        <w:trPr>
          <w:trHeight w:val="178"/>
        </w:trPr>
        <w:tc>
          <w:tcPr>
            <w:tcW w:w="5940" w:type="dxa"/>
            <w:vMerge w:val="restart"/>
            <w:tcBorders>
              <w:left w:val="single" w:sz="8" w:space="0" w:color="7F2D13"/>
              <w:right w:val="single" w:sz="8" w:space="0" w:color="7F2D13"/>
            </w:tcBorders>
            <w:shd w:val="clear" w:color="auto" w:fill="E05429"/>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l’enfant de participer pleinement à la vie culturelle et</w:t>
            </w:r>
          </w:p>
        </w:tc>
        <w:tc>
          <w:tcPr>
            <w:tcW w:w="4000" w:type="dxa"/>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91"/>
        </w:trPr>
        <w:tc>
          <w:tcPr>
            <w:tcW w:w="5940" w:type="dxa"/>
            <w:vMerge/>
            <w:tcBorders>
              <w:left w:val="single" w:sz="8" w:space="0" w:color="7F2D13"/>
              <w:right w:val="single" w:sz="8" w:space="0" w:color="7F2D13"/>
            </w:tcBorders>
            <w:shd w:val="clear" w:color="auto" w:fill="E05429"/>
            <w:vAlign w:val="bottom"/>
          </w:tcPr>
          <w:p w:rsidR="00AC12B4" w:rsidRPr="00C27636" w:rsidRDefault="00AC12B4">
            <w:pPr>
              <w:rPr>
                <w:sz w:val="7"/>
                <w:szCs w:val="7"/>
                <w:lang w:val="fr-BE"/>
              </w:rPr>
            </w:pPr>
          </w:p>
        </w:tc>
        <w:tc>
          <w:tcPr>
            <w:tcW w:w="4000" w:type="dxa"/>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leur quartier est un peu plus élevée parmi</w:t>
            </w:r>
          </w:p>
        </w:tc>
        <w:tc>
          <w:tcPr>
            <w:tcW w:w="0" w:type="dxa"/>
            <w:vAlign w:val="bottom"/>
          </w:tcPr>
          <w:p w:rsidR="00AC12B4" w:rsidRPr="00C27636" w:rsidRDefault="00AC12B4">
            <w:pPr>
              <w:rPr>
                <w:sz w:val="1"/>
                <w:szCs w:val="1"/>
                <w:lang w:val="fr-BE"/>
              </w:rPr>
            </w:pPr>
          </w:p>
        </w:tc>
      </w:tr>
      <w:tr w:rsidR="00AC12B4" w:rsidRPr="00C27636">
        <w:trPr>
          <w:trHeight w:val="178"/>
        </w:trPr>
        <w:tc>
          <w:tcPr>
            <w:tcW w:w="5940" w:type="dxa"/>
            <w:vMerge w:val="restart"/>
            <w:tcBorders>
              <w:left w:val="single" w:sz="8" w:space="0" w:color="7F2D13"/>
              <w:right w:val="single" w:sz="8" w:space="0" w:color="7F2D13"/>
            </w:tcBorders>
            <w:shd w:val="clear" w:color="auto" w:fill="E05429"/>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artistique et encouragent l’organisation à</w:t>
            </w:r>
            <w:r w:rsidRPr="00C27636">
              <w:rPr>
                <w:rFonts w:ascii="Calibri" w:eastAsia="Calibri" w:hAnsi="Calibri" w:cs="Calibri"/>
                <w:i/>
                <w:iCs/>
                <w:color w:val="DAEEF3"/>
                <w:lang w:val="fr-BE"/>
              </w:rPr>
              <w:t xml:space="preserve"> son intention</w:t>
            </w:r>
          </w:p>
        </w:tc>
        <w:tc>
          <w:tcPr>
            <w:tcW w:w="4000" w:type="dxa"/>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91"/>
        </w:trPr>
        <w:tc>
          <w:tcPr>
            <w:tcW w:w="5940" w:type="dxa"/>
            <w:vMerge/>
            <w:tcBorders>
              <w:left w:val="single" w:sz="8" w:space="0" w:color="7F2D13"/>
              <w:right w:val="single" w:sz="8" w:space="0" w:color="7F2D13"/>
            </w:tcBorders>
            <w:shd w:val="clear" w:color="auto" w:fill="E05429"/>
            <w:vAlign w:val="bottom"/>
          </w:tcPr>
          <w:p w:rsidR="00AC12B4" w:rsidRPr="00C27636" w:rsidRDefault="00AC12B4">
            <w:pPr>
              <w:rPr>
                <w:sz w:val="7"/>
                <w:szCs w:val="7"/>
                <w:lang w:val="fr-BE"/>
              </w:rPr>
            </w:pPr>
          </w:p>
        </w:tc>
        <w:tc>
          <w:tcPr>
            <w:tcW w:w="4000" w:type="dxa"/>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les garçons (64,4% contre 61,1% pour les</w:t>
            </w:r>
          </w:p>
        </w:tc>
        <w:tc>
          <w:tcPr>
            <w:tcW w:w="0" w:type="dxa"/>
            <w:vAlign w:val="bottom"/>
          </w:tcPr>
          <w:p w:rsidR="00AC12B4" w:rsidRPr="00C27636" w:rsidRDefault="00AC12B4">
            <w:pPr>
              <w:rPr>
                <w:sz w:val="1"/>
                <w:szCs w:val="1"/>
                <w:lang w:val="fr-BE"/>
              </w:rPr>
            </w:pPr>
          </w:p>
        </w:tc>
      </w:tr>
      <w:tr w:rsidR="00AC12B4" w:rsidRPr="00C27636">
        <w:trPr>
          <w:trHeight w:val="178"/>
        </w:trPr>
        <w:tc>
          <w:tcPr>
            <w:tcW w:w="5940" w:type="dxa"/>
            <w:vMerge w:val="restart"/>
            <w:tcBorders>
              <w:left w:val="single" w:sz="8" w:space="0" w:color="7F2D13"/>
              <w:right w:val="single" w:sz="8" w:space="0" w:color="7F2D13"/>
            </w:tcBorders>
            <w:shd w:val="clear" w:color="auto" w:fill="E05429"/>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de moyens appropriés de loisirs et d’activités récréatives,</w:t>
            </w:r>
          </w:p>
        </w:tc>
        <w:tc>
          <w:tcPr>
            <w:tcW w:w="4000" w:type="dxa"/>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91"/>
        </w:trPr>
        <w:tc>
          <w:tcPr>
            <w:tcW w:w="5940" w:type="dxa"/>
            <w:vMerge/>
            <w:tcBorders>
              <w:left w:val="single" w:sz="8" w:space="0" w:color="7F2D13"/>
              <w:right w:val="single" w:sz="8" w:space="0" w:color="7F2D13"/>
            </w:tcBorders>
            <w:shd w:val="clear" w:color="auto" w:fill="E05429"/>
            <w:vAlign w:val="bottom"/>
          </w:tcPr>
          <w:p w:rsidR="00AC12B4" w:rsidRPr="00C27636" w:rsidRDefault="00AC12B4">
            <w:pPr>
              <w:rPr>
                <w:sz w:val="7"/>
                <w:szCs w:val="7"/>
                <w:lang w:val="fr-BE"/>
              </w:rPr>
            </w:pPr>
          </w:p>
        </w:tc>
        <w:tc>
          <w:tcPr>
            <w:tcW w:w="4000" w:type="dxa"/>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filles). Elle est un peu moins élevée parmi</w:t>
            </w:r>
          </w:p>
        </w:tc>
        <w:tc>
          <w:tcPr>
            <w:tcW w:w="0" w:type="dxa"/>
            <w:vAlign w:val="bottom"/>
          </w:tcPr>
          <w:p w:rsidR="00AC12B4" w:rsidRPr="00C27636" w:rsidRDefault="00AC12B4">
            <w:pPr>
              <w:rPr>
                <w:sz w:val="1"/>
                <w:szCs w:val="1"/>
                <w:lang w:val="fr-BE"/>
              </w:rPr>
            </w:pPr>
          </w:p>
        </w:tc>
      </w:tr>
      <w:tr w:rsidR="00AC12B4" w:rsidRPr="00C27636">
        <w:trPr>
          <w:trHeight w:val="178"/>
        </w:trPr>
        <w:tc>
          <w:tcPr>
            <w:tcW w:w="5940" w:type="dxa"/>
            <w:vMerge w:val="restart"/>
            <w:tcBorders>
              <w:left w:val="single" w:sz="8" w:space="0" w:color="7F2D13"/>
              <w:right w:val="single" w:sz="8" w:space="0" w:color="7F2D13"/>
            </w:tcBorders>
            <w:shd w:val="clear" w:color="auto" w:fill="E05429"/>
            <w:vAlign w:val="bottom"/>
          </w:tcPr>
          <w:p w:rsidR="00AC12B4" w:rsidRPr="00C27636" w:rsidRDefault="00C27636">
            <w:pPr>
              <w:ind w:left="580"/>
              <w:rPr>
                <w:sz w:val="20"/>
                <w:szCs w:val="20"/>
                <w:lang w:val="fr-BE"/>
              </w:rPr>
            </w:pPr>
            <w:r w:rsidRPr="00C27636">
              <w:rPr>
                <w:rFonts w:ascii="Calibri" w:eastAsia="Calibri" w:hAnsi="Calibri" w:cs="Calibri"/>
                <w:i/>
                <w:iCs/>
                <w:color w:val="DAEEF3"/>
                <w:lang w:val="fr-BE"/>
              </w:rPr>
              <w:t>artistiques et culturelles, dans des conditions d’égalité.</w:t>
            </w:r>
          </w:p>
        </w:tc>
        <w:tc>
          <w:tcPr>
            <w:tcW w:w="4000" w:type="dxa"/>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96"/>
        </w:trPr>
        <w:tc>
          <w:tcPr>
            <w:tcW w:w="5940" w:type="dxa"/>
            <w:vMerge/>
            <w:tcBorders>
              <w:left w:val="single" w:sz="8" w:space="0" w:color="7F2D13"/>
              <w:right w:val="single" w:sz="8" w:space="0" w:color="7F2D13"/>
            </w:tcBorders>
            <w:shd w:val="clear" w:color="auto" w:fill="E05429"/>
            <w:vAlign w:val="bottom"/>
          </w:tcPr>
          <w:p w:rsidR="00AC12B4" w:rsidRPr="00C27636" w:rsidRDefault="00AC12B4">
            <w:pPr>
              <w:rPr>
                <w:sz w:val="8"/>
                <w:szCs w:val="8"/>
                <w:lang w:val="fr-BE"/>
              </w:rPr>
            </w:pPr>
          </w:p>
        </w:tc>
        <w:tc>
          <w:tcPr>
            <w:tcW w:w="4000" w:type="dxa"/>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 xml:space="preserve">les jeunes de 17-19 </w:t>
            </w:r>
            <w:r w:rsidRPr="00C27636">
              <w:rPr>
                <w:rFonts w:ascii="Calibri" w:eastAsia="Calibri" w:hAnsi="Calibri" w:cs="Calibri"/>
                <w:lang w:val="fr-BE"/>
              </w:rPr>
              <w:t>ans (58%) par rapport</w:t>
            </w:r>
          </w:p>
        </w:tc>
        <w:tc>
          <w:tcPr>
            <w:tcW w:w="0" w:type="dxa"/>
            <w:vAlign w:val="bottom"/>
          </w:tcPr>
          <w:p w:rsidR="00AC12B4" w:rsidRPr="00C27636" w:rsidRDefault="00AC12B4">
            <w:pPr>
              <w:rPr>
                <w:sz w:val="1"/>
                <w:szCs w:val="1"/>
                <w:lang w:val="fr-BE"/>
              </w:rPr>
            </w:pPr>
          </w:p>
        </w:tc>
      </w:tr>
      <w:tr w:rsidR="00AC12B4" w:rsidRPr="00C27636">
        <w:trPr>
          <w:trHeight w:val="173"/>
        </w:trPr>
        <w:tc>
          <w:tcPr>
            <w:tcW w:w="5940" w:type="dxa"/>
            <w:tcBorders>
              <w:left w:val="single" w:sz="8" w:space="0" w:color="7F2D13"/>
              <w:right w:val="single" w:sz="8" w:space="0" w:color="7F2D13"/>
            </w:tcBorders>
            <w:shd w:val="clear" w:color="auto" w:fill="E05429"/>
            <w:vAlign w:val="bottom"/>
          </w:tcPr>
          <w:p w:rsidR="00AC12B4" w:rsidRPr="00C27636" w:rsidRDefault="00AC12B4">
            <w:pPr>
              <w:rPr>
                <w:sz w:val="15"/>
                <w:szCs w:val="15"/>
                <w:lang w:val="fr-BE"/>
              </w:rPr>
            </w:pPr>
          </w:p>
        </w:tc>
        <w:tc>
          <w:tcPr>
            <w:tcW w:w="4000" w:type="dxa"/>
            <w:vMerge/>
            <w:vAlign w:val="bottom"/>
          </w:tcPr>
          <w:p w:rsidR="00AC12B4" w:rsidRPr="00C27636" w:rsidRDefault="00AC12B4">
            <w:pPr>
              <w:rPr>
                <w:sz w:val="15"/>
                <w:szCs w:val="15"/>
                <w:lang w:val="fr-BE"/>
              </w:rPr>
            </w:pPr>
          </w:p>
        </w:tc>
        <w:tc>
          <w:tcPr>
            <w:tcW w:w="0" w:type="dxa"/>
            <w:vAlign w:val="bottom"/>
          </w:tcPr>
          <w:p w:rsidR="00AC12B4" w:rsidRPr="00C27636" w:rsidRDefault="00AC12B4">
            <w:pPr>
              <w:rPr>
                <w:sz w:val="1"/>
                <w:szCs w:val="1"/>
                <w:lang w:val="fr-BE"/>
              </w:rPr>
            </w:pPr>
          </w:p>
        </w:tc>
      </w:tr>
      <w:tr w:rsidR="00AC12B4" w:rsidRPr="00C27636">
        <w:trPr>
          <w:trHeight w:val="203"/>
        </w:trPr>
        <w:tc>
          <w:tcPr>
            <w:tcW w:w="5940" w:type="dxa"/>
            <w:tcBorders>
              <w:left w:val="single" w:sz="8" w:space="0" w:color="7F2D13"/>
              <w:bottom w:val="single" w:sz="8" w:space="0" w:color="7F2D13"/>
              <w:right w:val="single" w:sz="8" w:space="0" w:color="7F2D13"/>
            </w:tcBorders>
            <w:shd w:val="clear" w:color="auto" w:fill="E05429"/>
            <w:vAlign w:val="bottom"/>
          </w:tcPr>
          <w:p w:rsidR="00AC12B4" w:rsidRPr="00C27636" w:rsidRDefault="00AC12B4">
            <w:pPr>
              <w:rPr>
                <w:sz w:val="17"/>
                <w:szCs w:val="17"/>
                <w:lang w:val="fr-BE"/>
              </w:rPr>
            </w:pPr>
          </w:p>
        </w:tc>
        <w:tc>
          <w:tcPr>
            <w:tcW w:w="4000" w:type="dxa"/>
            <w:vAlign w:val="bottom"/>
          </w:tcPr>
          <w:p w:rsidR="00AC12B4" w:rsidRPr="00C27636" w:rsidRDefault="00C27636">
            <w:pPr>
              <w:spacing w:line="203" w:lineRule="exact"/>
              <w:ind w:left="200"/>
              <w:rPr>
                <w:sz w:val="20"/>
                <w:szCs w:val="20"/>
                <w:lang w:val="fr-BE"/>
              </w:rPr>
            </w:pPr>
            <w:r w:rsidRPr="00C27636">
              <w:rPr>
                <w:rFonts w:ascii="Calibri" w:eastAsia="Calibri" w:hAnsi="Calibri" w:cs="Calibri"/>
                <w:lang w:val="fr-BE"/>
              </w:rPr>
              <w:t>aux autres catégories d'âge (63 à 65%</w:t>
            </w:r>
          </w:p>
        </w:tc>
        <w:tc>
          <w:tcPr>
            <w:tcW w:w="0" w:type="dxa"/>
            <w:vAlign w:val="bottom"/>
          </w:tcPr>
          <w:p w:rsidR="00AC12B4" w:rsidRPr="00C27636" w:rsidRDefault="00AC12B4">
            <w:pPr>
              <w:rPr>
                <w:sz w:val="1"/>
                <w:szCs w:val="1"/>
                <w:lang w:val="fr-BE"/>
              </w:rPr>
            </w:pPr>
          </w:p>
        </w:tc>
      </w:tr>
      <w:tr w:rsidR="00AC12B4">
        <w:trPr>
          <w:trHeight w:val="290"/>
        </w:trPr>
        <w:tc>
          <w:tcPr>
            <w:tcW w:w="5940" w:type="dxa"/>
            <w:vAlign w:val="bottom"/>
          </w:tcPr>
          <w:p w:rsidR="00AC12B4" w:rsidRPr="00C27636" w:rsidRDefault="00AC12B4">
            <w:pPr>
              <w:rPr>
                <w:sz w:val="24"/>
                <w:szCs w:val="24"/>
                <w:lang w:val="fr-BE"/>
              </w:rPr>
            </w:pPr>
          </w:p>
        </w:tc>
        <w:tc>
          <w:tcPr>
            <w:tcW w:w="4000" w:type="dxa"/>
            <w:vAlign w:val="bottom"/>
          </w:tcPr>
          <w:p w:rsidR="00AC12B4" w:rsidRDefault="00C27636">
            <w:pPr>
              <w:ind w:left="200"/>
              <w:rPr>
                <w:sz w:val="20"/>
                <w:szCs w:val="20"/>
              </w:rPr>
            </w:pPr>
            <w:r>
              <w:rPr>
                <w:rFonts w:ascii="Calibri" w:eastAsia="Calibri" w:hAnsi="Calibri" w:cs="Calibri"/>
              </w:rPr>
              <w:t>pour   les   10-16</w:t>
            </w:r>
          </w:p>
        </w:tc>
        <w:tc>
          <w:tcPr>
            <w:tcW w:w="0" w:type="dxa"/>
            <w:vAlign w:val="bottom"/>
          </w:tcPr>
          <w:p w:rsidR="00AC12B4" w:rsidRDefault="00AC12B4">
            <w:pPr>
              <w:rPr>
                <w:sz w:val="1"/>
                <w:szCs w:val="1"/>
              </w:rPr>
            </w:pPr>
          </w:p>
        </w:tc>
      </w:tr>
    </w:tbl>
    <w:p w:rsidR="00AC12B4" w:rsidRDefault="00AC12B4">
      <w:pPr>
        <w:spacing w:line="1" w:lineRule="exact"/>
        <w:rPr>
          <w:sz w:val="20"/>
          <w:szCs w:val="20"/>
        </w:rPr>
      </w:pPr>
    </w:p>
    <w:tbl>
      <w:tblPr>
        <w:tblW w:w="0" w:type="auto"/>
        <w:tblInd w:w="1230" w:type="dxa"/>
        <w:tblLayout w:type="fixed"/>
        <w:tblCellMar>
          <w:left w:w="0" w:type="dxa"/>
          <w:right w:w="0" w:type="dxa"/>
        </w:tblCellMar>
        <w:tblLook w:val="04A0" w:firstRow="1" w:lastRow="0" w:firstColumn="1" w:lastColumn="0" w:noHBand="0" w:noVBand="1"/>
      </w:tblPr>
      <w:tblGrid>
        <w:gridCol w:w="720"/>
        <w:gridCol w:w="620"/>
        <w:gridCol w:w="320"/>
        <w:gridCol w:w="560"/>
        <w:gridCol w:w="580"/>
        <w:gridCol w:w="460"/>
        <w:gridCol w:w="400"/>
        <w:gridCol w:w="120"/>
        <w:gridCol w:w="1060"/>
        <w:gridCol w:w="560"/>
        <w:gridCol w:w="200"/>
        <w:gridCol w:w="200"/>
        <w:gridCol w:w="240"/>
        <w:gridCol w:w="300"/>
        <w:gridCol w:w="380"/>
        <w:gridCol w:w="380"/>
        <w:gridCol w:w="760"/>
        <w:gridCol w:w="400"/>
        <w:gridCol w:w="340"/>
        <w:gridCol w:w="200"/>
        <w:gridCol w:w="660"/>
        <w:gridCol w:w="20"/>
      </w:tblGrid>
      <w:tr w:rsidR="00AC12B4">
        <w:trPr>
          <w:trHeight w:val="92"/>
        </w:trPr>
        <w:tc>
          <w:tcPr>
            <w:tcW w:w="720" w:type="dxa"/>
            <w:vMerge w:val="restart"/>
            <w:vAlign w:val="bottom"/>
          </w:tcPr>
          <w:p w:rsidR="00AC12B4" w:rsidRDefault="00C27636">
            <w:pPr>
              <w:spacing w:line="220" w:lineRule="exact"/>
              <w:ind w:left="260"/>
              <w:rPr>
                <w:sz w:val="20"/>
                <w:szCs w:val="20"/>
              </w:rPr>
            </w:pPr>
            <w:r>
              <w:rPr>
                <w:rFonts w:ascii="Calibri" w:eastAsia="Calibri" w:hAnsi="Calibri" w:cs="Calibri"/>
                <w:w w:val="99"/>
              </w:rPr>
              <w:t>Dans</w:t>
            </w:r>
          </w:p>
        </w:tc>
        <w:tc>
          <w:tcPr>
            <w:tcW w:w="620" w:type="dxa"/>
            <w:vMerge w:val="restart"/>
            <w:vAlign w:val="bottom"/>
          </w:tcPr>
          <w:p w:rsidR="00AC12B4" w:rsidRDefault="00C27636">
            <w:pPr>
              <w:spacing w:line="220" w:lineRule="exact"/>
              <w:jc w:val="center"/>
              <w:rPr>
                <w:sz w:val="20"/>
                <w:szCs w:val="20"/>
              </w:rPr>
            </w:pPr>
            <w:r>
              <w:rPr>
                <w:rFonts w:ascii="Calibri" w:eastAsia="Calibri" w:hAnsi="Calibri" w:cs="Calibri"/>
                <w:w w:val="99"/>
              </w:rPr>
              <w:t>le</w:t>
            </w:r>
          </w:p>
        </w:tc>
        <w:tc>
          <w:tcPr>
            <w:tcW w:w="880" w:type="dxa"/>
            <w:gridSpan w:val="2"/>
            <w:vMerge w:val="restart"/>
            <w:vAlign w:val="bottom"/>
          </w:tcPr>
          <w:p w:rsidR="00AC12B4" w:rsidRDefault="00C27636">
            <w:pPr>
              <w:spacing w:line="220" w:lineRule="exact"/>
              <w:ind w:left="60"/>
              <w:rPr>
                <w:sz w:val="20"/>
                <w:szCs w:val="20"/>
              </w:rPr>
            </w:pPr>
            <w:r>
              <w:rPr>
                <w:rFonts w:ascii="Calibri" w:eastAsia="Calibri" w:hAnsi="Calibri" w:cs="Calibri"/>
              </w:rPr>
              <w:t>contexte</w:t>
            </w:r>
          </w:p>
        </w:tc>
        <w:tc>
          <w:tcPr>
            <w:tcW w:w="580" w:type="dxa"/>
            <w:vMerge w:val="restart"/>
            <w:vAlign w:val="bottom"/>
          </w:tcPr>
          <w:p w:rsidR="00AC12B4" w:rsidRDefault="00C27636">
            <w:pPr>
              <w:spacing w:line="220" w:lineRule="exact"/>
              <w:ind w:left="220"/>
              <w:rPr>
                <w:sz w:val="20"/>
                <w:szCs w:val="20"/>
              </w:rPr>
            </w:pPr>
            <w:r>
              <w:rPr>
                <w:rFonts w:ascii="Calibri" w:eastAsia="Calibri" w:hAnsi="Calibri" w:cs="Calibri"/>
              </w:rPr>
              <w:t>de</w:t>
            </w:r>
          </w:p>
        </w:tc>
        <w:tc>
          <w:tcPr>
            <w:tcW w:w="460" w:type="dxa"/>
            <w:vMerge w:val="restart"/>
            <w:vAlign w:val="bottom"/>
          </w:tcPr>
          <w:p w:rsidR="00AC12B4" w:rsidRDefault="00C27636">
            <w:pPr>
              <w:spacing w:line="220" w:lineRule="exact"/>
              <w:ind w:left="120"/>
              <w:rPr>
                <w:sz w:val="20"/>
                <w:szCs w:val="20"/>
              </w:rPr>
            </w:pPr>
            <w:r>
              <w:rPr>
                <w:rFonts w:ascii="Calibri" w:eastAsia="Calibri" w:hAnsi="Calibri" w:cs="Calibri"/>
              </w:rPr>
              <w:t>la</w:t>
            </w:r>
          </w:p>
        </w:tc>
        <w:tc>
          <w:tcPr>
            <w:tcW w:w="1580" w:type="dxa"/>
            <w:gridSpan w:val="3"/>
            <w:vMerge w:val="restart"/>
            <w:vAlign w:val="bottom"/>
          </w:tcPr>
          <w:p w:rsidR="00AC12B4" w:rsidRDefault="00C27636">
            <w:pPr>
              <w:spacing w:line="220" w:lineRule="exact"/>
              <w:ind w:right="597"/>
              <w:jc w:val="right"/>
              <w:rPr>
                <w:sz w:val="20"/>
                <w:szCs w:val="20"/>
              </w:rPr>
            </w:pPr>
            <w:r>
              <w:rPr>
                <w:rFonts w:ascii="Calibri" w:eastAsia="Calibri" w:hAnsi="Calibri" w:cs="Calibri"/>
              </w:rPr>
              <w:t>politique</w:t>
            </w:r>
          </w:p>
        </w:tc>
        <w:tc>
          <w:tcPr>
            <w:tcW w:w="560" w:type="dxa"/>
            <w:vMerge w:val="restart"/>
            <w:vAlign w:val="bottom"/>
          </w:tcPr>
          <w:p w:rsidR="00AC12B4" w:rsidRDefault="00C27636">
            <w:pPr>
              <w:ind w:left="20"/>
              <w:rPr>
                <w:sz w:val="20"/>
                <w:szCs w:val="20"/>
              </w:rPr>
            </w:pPr>
            <w:r>
              <w:rPr>
                <w:rFonts w:ascii="Calibri" w:eastAsia="Calibri" w:hAnsi="Calibri" w:cs="Calibri"/>
              </w:rPr>
              <w:t>ans).</w:t>
            </w:r>
          </w:p>
        </w:tc>
        <w:tc>
          <w:tcPr>
            <w:tcW w:w="20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680" w:type="dxa"/>
            <w:gridSpan w:val="2"/>
            <w:vMerge w:val="restart"/>
            <w:vAlign w:val="bottom"/>
          </w:tcPr>
          <w:p w:rsidR="00AC12B4" w:rsidRDefault="00C27636">
            <w:pPr>
              <w:jc w:val="right"/>
              <w:rPr>
                <w:sz w:val="20"/>
                <w:szCs w:val="20"/>
              </w:rPr>
            </w:pPr>
            <w:r>
              <w:rPr>
                <w:rFonts w:ascii="Calibri" w:eastAsia="Calibri" w:hAnsi="Calibri" w:cs="Calibri"/>
              </w:rPr>
              <w:t>Cette</w:t>
            </w:r>
          </w:p>
        </w:tc>
        <w:tc>
          <w:tcPr>
            <w:tcW w:w="380" w:type="dxa"/>
            <w:vAlign w:val="bottom"/>
          </w:tcPr>
          <w:p w:rsidR="00AC12B4" w:rsidRDefault="00AC12B4">
            <w:pPr>
              <w:rPr>
                <w:sz w:val="8"/>
                <w:szCs w:val="8"/>
              </w:rPr>
            </w:pPr>
          </w:p>
        </w:tc>
        <w:tc>
          <w:tcPr>
            <w:tcW w:w="760" w:type="dxa"/>
            <w:vAlign w:val="bottom"/>
          </w:tcPr>
          <w:p w:rsidR="00AC12B4" w:rsidRDefault="00AC12B4">
            <w:pPr>
              <w:rPr>
                <w:sz w:val="8"/>
                <w:szCs w:val="8"/>
              </w:rPr>
            </w:pPr>
          </w:p>
        </w:tc>
        <w:tc>
          <w:tcPr>
            <w:tcW w:w="40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6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27"/>
        </w:trPr>
        <w:tc>
          <w:tcPr>
            <w:tcW w:w="720" w:type="dxa"/>
            <w:vMerge/>
            <w:vAlign w:val="bottom"/>
          </w:tcPr>
          <w:p w:rsidR="00AC12B4" w:rsidRDefault="00AC12B4">
            <w:pPr>
              <w:rPr>
                <w:sz w:val="11"/>
                <w:szCs w:val="11"/>
              </w:rPr>
            </w:pPr>
          </w:p>
        </w:tc>
        <w:tc>
          <w:tcPr>
            <w:tcW w:w="620" w:type="dxa"/>
            <w:vMerge/>
            <w:vAlign w:val="bottom"/>
          </w:tcPr>
          <w:p w:rsidR="00AC12B4" w:rsidRDefault="00AC12B4">
            <w:pPr>
              <w:rPr>
                <w:sz w:val="11"/>
                <w:szCs w:val="11"/>
              </w:rPr>
            </w:pPr>
          </w:p>
        </w:tc>
        <w:tc>
          <w:tcPr>
            <w:tcW w:w="880" w:type="dxa"/>
            <w:gridSpan w:val="2"/>
            <w:vMerge/>
            <w:vAlign w:val="bottom"/>
          </w:tcPr>
          <w:p w:rsidR="00AC12B4" w:rsidRDefault="00AC12B4">
            <w:pPr>
              <w:rPr>
                <w:sz w:val="11"/>
                <w:szCs w:val="11"/>
              </w:rPr>
            </w:pPr>
          </w:p>
        </w:tc>
        <w:tc>
          <w:tcPr>
            <w:tcW w:w="580" w:type="dxa"/>
            <w:vMerge/>
            <w:vAlign w:val="bottom"/>
          </w:tcPr>
          <w:p w:rsidR="00AC12B4" w:rsidRDefault="00AC12B4">
            <w:pPr>
              <w:rPr>
                <w:sz w:val="11"/>
                <w:szCs w:val="11"/>
              </w:rPr>
            </w:pPr>
          </w:p>
        </w:tc>
        <w:tc>
          <w:tcPr>
            <w:tcW w:w="460" w:type="dxa"/>
            <w:vMerge/>
            <w:vAlign w:val="bottom"/>
          </w:tcPr>
          <w:p w:rsidR="00AC12B4" w:rsidRDefault="00AC12B4">
            <w:pPr>
              <w:rPr>
                <w:sz w:val="11"/>
                <w:szCs w:val="11"/>
              </w:rPr>
            </w:pPr>
          </w:p>
        </w:tc>
        <w:tc>
          <w:tcPr>
            <w:tcW w:w="1580" w:type="dxa"/>
            <w:gridSpan w:val="3"/>
            <w:vMerge/>
            <w:vAlign w:val="bottom"/>
          </w:tcPr>
          <w:p w:rsidR="00AC12B4" w:rsidRDefault="00AC12B4">
            <w:pPr>
              <w:rPr>
                <w:sz w:val="11"/>
                <w:szCs w:val="11"/>
              </w:rPr>
            </w:pPr>
          </w:p>
        </w:tc>
        <w:tc>
          <w:tcPr>
            <w:tcW w:w="560" w:type="dxa"/>
            <w:vMerge/>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40" w:type="dxa"/>
            <w:vAlign w:val="bottom"/>
          </w:tcPr>
          <w:p w:rsidR="00AC12B4" w:rsidRDefault="00AC12B4">
            <w:pPr>
              <w:rPr>
                <w:sz w:val="11"/>
                <w:szCs w:val="11"/>
              </w:rPr>
            </w:pPr>
          </w:p>
        </w:tc>
        <w:tc>
          <w:tcPr>
            <w:tcW w:w="680" w:type="dxa"/>
            <w:gridSpan w:val="2"/>
            <w:vMerge/>
            <w:vAlign w:val="bottom"/>
          </w:tcPr>
          <w:p w:rsidR="00AC12B4" w:rsidRDefault="00AC12B4">
            <w:pPr>
              <w:rPr>
                <w:sz w:val="11"/>
                <w:szCs w:val="11"/>
              </w:rPr>
            </w:pPr>
          </w:p>
        </w:tc>
        <w:tc>
          <w:tcPr>
            <w:tcW w:w="380" w:type="dxa"/>
            <w:tcBorders>
              <w:right w:val="single" w:sz="8" w:space="0" w:color="E05429"/>
            </w:tcBorders>
            <w:vAlign w:val="bottom"/>
          </w:tcPr>
          <w:p w:rsidR="00AC12B4" w:rsidRDefault="00AC12B4">
            <w:pPr>
              <w:rPr>
                <w:sz w:val="11"/>
                <w:szCs w:val="11"/>
              </w:rPr>
            </w:pPr>
          </w:p>
        </w:tc>
        <w:tc>
          <w:tcPr>
            <w:tcW w:w="76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6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73"/>
        </w:trPr>
        <w:tc>
          <w:tcPr>
            <w:tcW w:w="1660" w:type="dxa"/>
            <w:gridSpan w:val="3"/>
            <w:vMerge w:val="restart"/>
            <w:vAlign w:val="bottom"/>
          </w:tcPr>
          <w:p w:rsidR="00AC12B4" w:rsidRDefault="00C27636">
            <w:pPr>
              <w:ind w:left="260"/>
              <w:rPr>
                <w:sz w:val="20"/>
                <w:szCs w:val="20"/>
              </w:rPr>
            </w:pPr>
            <w:r>
              <w:rPr>
                <w:rFonts w:ascii="Calibri" w:eastAsia="Calibri" w:hAnsi="Calibri" w:cs="Calibri"/>
              </w:rPr>
              <w:t>d'hébe</w:t>
            </w:r>
            <w:r>
              <w:rPr>
                <w:rFonts w:ascii="Calibri" w:eastAsia="Calibri" w:hAnsi="Calibri" w:cs="Calibri"/>
              </w:rPr>
              <w:lastRenderedPageBreak/>
              <w:t>rgement</w:t>
            </w:r>
          </w:p>
        </w:tc>
        <w:tc>
          <w:tcPr>
            <w:tcW w:w="560" w:type="dxa"/>
            <w:vMerge w:val="restart"/>
            <w:vAlign w:val="bottom"/>
          </w:tcPr>
          <w:p w:rsidR="00AC12B4" w:rsidRDefault="00C27636">
            <w:pPr>
              <w:ind w:right="70"/>
              <w:jc w:val="right"/>
              <w:rPr>
                <w:sz w:val="20"/>
                <w:szCs w:val="20"/>
              </w:rPr>
            </w:pPr>
            <w:r>
              <w:rPr>
                <w:rFonts w:ascii="Calibri" w:eastAsia="Calibri" w:hAnsi="Calibri" w:cs="Calibri"/>
              </w:rPr>
              <w:lastRenderedPageBreak/>
              <w:t>et</w:t>
            </w:r>
          </w:p>
        </w:tc>
        <w:tc>
          <w:tcPr>
            <w:tcW w:w="1560" w:type="dxa"/>
            <w:gridSpan w:val="4"/>
            <w:vMerge w:val="restart"/>
            <w:vAlign w:val="bottom"/>
          </w:tcPr>
          <w:p w:rsidR="00AC12B4" w:rsidRDefault="00C27636">
            <w:pPr>
              <w:ind w:left="20"/>
              <w:rPr>
                <w:sz w:val="20"/>
                <w:szCs w:val="20"/>
              </w:rPr>
            </w:pPr>
            <w:r>
              <w:rPr>
                <w:rFonts w:ascii="Calibri" w:eastAsia="Calibri" w:hAnsi="Calibri" w:cs="Calibri"/>
              </w:rPr>
              <w:t>d'aména</w:t>
            </w:r>
            <w:r>
              <w:rPr>
                <w:rFonts w:ascii="Calibri" w:eastAsia="Calibri" w:hAnsi="Calibri" w:cs="Calibri"/>
              </w:rPr>
              <w:lastRenderedPageBreak/>
              <w:t>gement</w:t>
            </w:r>
          </w:p>
        </w:tc>
        <w:tc>
          <w:tcPr>
            <w:tcW w:w="1060" w:type="dxa"/>
            <w:vMerge w:val="restart"/>
            <w:vAlign w:val="bottom"/>
          </w:tcPr>
          <w:p w:rsidR="00AC12B4" w:rsidRDefault="00C27636">
            <w:pPr>
              <w:ind w:right="597"/>
              <w:jc w:val="right"/>
              <w:rPr>
                <w:sz w:val="20"/>
                <w:szCs w:val="20"/>
              </w:rPr>
            </w:pPr>
            <w:r>
              <w:rPr>
                <w:rFonts w:ascii="Calibri" w:eastAsia="Calibri" w:hAnsi="Calibri" w:cs="Calibri"/>
              </w:rPr>
              <w:lastRenderedPageBreak/>
              <w:t>d</w:t>
            </w:r>
            <w:r>
              <w:rPr>
                <w:rFonts w:ascii="Calibri" w:eastAsia="Calibri" w:hAnsi="Calibri" w:cs="Calibri"/>
              </w:rPr>
              <w:lastRenderedPageBreak/>
              <w:t>u</w:t>
            </w:r>
          </w:p>
        </w:tc>
        <w:tc>
          <w:tcPr>
            <w:tcW w:w="560" w:type="dxa"/>
            <w:vMerge/>
            <w:vAlign w:val="bottom"/>
          </w:tcPr>
          <w:p w:rsidR="00AC12B4" w:rsidRDefault="00AC12B4">
            <w:pPr>
              <w:rPr>
                <w:sz w:val="6"/>
                <w:szCs w:val="6"/>
              </w:rPr>
            </w:pPr>
          </w:p>
        </w:tc>
        <w:tc>
          <w:tcPr>
            <w:tcW w:w="200" w:type="dxa"/>
            <w:vAlign w:val="bottom"/>
          </w:tcPr>
          <w:p w:rsidR="00AC12B4" w:rsidRDefault="00AC12B4">
            <w:pPr>
              <w:rPr>
                <w:sz w:val="6"/>
                <w:szCs w:val="6"/>
              </w:rPr>
            </w:pPr>
          </w:p>
        </w:tc>
        <w:tc>
          <w:tcPr>
            <w:tcW w:w="20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680" w:type="dxa"/>
            <w:gridSpan w:val="2"/>
            <w:vMerge/>
            <w:vAlign w:val="bottom"/>
          </w:tcPr>
          <w:p w:rsidR="00AC12B4" w:rsidRDefault="00AC12B4">
            <w:pPr>
              <w:rPr>
                <w:sz w:val="6"/>
                <w:szCs w:val="6"/>
              </w:rPr>
            </w:pPr>
          </w:p>
        </w:tc>
        <w:tc>
          <w:tcPr>
            <w:tcW w:w="380" w:type="dxa"/>
            <w:tcBorders>
              <w:right w:val="single" w:sz="8" w:space="0" w:color="E05429"/>
            </w:tcBorders>
            <w:vAlign w:val="bottom"/>
          </w:tcPr>
          <w:p w:rsidR="00AC12B4" w:rsidRDefault="00AC12B4">
            <w:pPr>
              <w:rPr>
                <w:sz w:val="6"/>
                <w:szCs w:val="6"/>
              </w:rPr>
            </w:pPr>
          </w:p>
        </w:tc>
        <w:tc>
          <w:tcPr>
            <w:tcW w:w="76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200" w:type="dxa"/>
            <w:vAlign w:val="bottom"/>
          </w:tcPr>
          <w:p w:rsidR="00AC12B4" w:rsidRDefault="00AC12B4">
            <w:pPr>
              <w:rPr>
                <w:sz w:val="6"/>
                <w:szCs w:val="6"/>
              </w:rPr>
            </w:pPr>
          </w:p>
        </w:tc>
        <w:tc>
          <w:tcPr>
            <w:tcW w:w="66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97"/>
        </w:trPr>
        <w:tc>
          <w:tcPr>
            <w:tcW w:w="1660" w:type="dxa"/>
            <w:gridSpan w:val="3"/>
            <w:vMerge/>
            <w:vAlign w:val="bottom"/>
          </w:tcPr>
          <w:p w:rsidR="00AC12B4" w:rsidRDefault="00AC12B4">
            <w:pPr>
              <w:rPr>
                <w:sz w:val="17"/>
                <w:szCs w:val="17"/>
              </w:rPr>
            </w:pPr>
          </w:p>
        </w:tc>
        <w:tc>
          <w:tcPr>
            <w:tcW w:w="560" w:type="dxa"/>
            <w:vMerge/>
            <w:vAlign w:val="bottom"/>
          </w:tcPr>
          <w:p w:rsidR="00AC12B4" w:rsidRDefault="00AC12B4">
            <w:pPr>
              <w:rPr>
                <w:sz w:val="17"/>
                <w:szCs w:val="17"/>
              </w:rPr>
            </w:pPr>
          </w:p>
        </w:tc>
        <w:tc>
          <w:tcPr>
            <w:tcW w:w="1560" w:type="dxa"/>
            <w:gridSpan w:val="4"/>
            <w:vMerge/>
            <w:vAlign w:val="bottom"/>
          </w:tcPr>
          <w:p w:rsidR="00AC12B4" w:rsidRDefault="00AC12B4">
            <w:pPr>
              <w:rPr>
                <w:sz w:val="17"/>
                <w:szCs w:val="17"/>
              </w:rPr>
            </w:pPr>
          </w:p>
        </w:tc>
        <w:tc>
          <w:tcPr>
            <w:tcW w:w="1060" w:type="dxa"/>
            <w:vMerge/>
            <w:vAlign w:val="bottom"/>
          </w:tcPr>
          <w:p w:rsidR="00AC12B4" w:rsidRDefault="00AC12B4">
            <w:pPr>
              <w:rPr>
                <w:sz w:val="17"/>
                <w:szCs w:val="17"/>
              </w:rPr>
            </w:pPr>
          </w:p>
        </w:tc>
        <w:tc>
          <w:tcPr>
            <w:tcW w:w="1880" w:type="dxa"/>
            <w:gridSpan w:val="6"/>
            <w:vMerge w:val="restart"/>
            <w:vAlign w:val="bottom"/>
          </w:tcPr>
          <w:p w:rsidR="00AC12B4" w:rsidRDefault="00C27636">
            <w:pPr>
              <w:ind w:left="20"/>
              <w:rPr>
                <w:sz w:val="20"/>
                <w:szCs w:val="20"/>
              </w:rPr>
            </w:pPr>
            <w:r>
              <w:rPr>
                <w:rFonts w:ascii="Calibri" w:eastAsia="Calibri" w:hAnsi="Calibri" w:cs="Calibri"/>
              </w:rPr>
              <w:t>proportion ne varie</w:t>
            </w:r>
          </w:p>
        </w:tc>
        <w:tc>
          <w:tcPr>
            <w:tcW w:w="380" w:type="dxa"/>
            <w:tcBorders>
              <w:right w:val="single" w:sz="8" w:space="0" w:color="E05429"/>
            </w:tcBorders>
            <w:vAlign w:val="bottom"/>
          </w:tcPr>
          <w:p w:rsidR="00AC12B4" w:rsidRDefault="00AC12B4">
            <w:pPr>
              <w:rPr>
                <w:sz w:val="17"/>
                <w:szCs w:val="17"/>
              </w:rPr>
            </w:pPr>
          </w:p>
        </w:tc>
        <w:tc>
          <w:tcPr>
            <w:tcW w:w="2360" w:type="dxa"/>
            <w:gridSpan w:val="5"/>
            <w:vMerge w:val="restart"/>
            <w:vAlign w:val="bottom"/>
          </w:tcPr>
          <w:p w:rsidR="00AC12B4" w:rsidRDefault="00C27636">
            <w:pPr>
              <w:spacing w:line="1322" w:lineRule="exact"/>
              <w:ind w:right="40"/>
              <w:jc w:val="right"/>
              <w:rPr>
                <w:sz w:val="20"/>
                <w:szCs w:val="20"/>
              </w:rPr>
            </w:pPr>
            <w:r>
              <w:rPr>
                <w:rFonts w:ascii="Comic Sans MS" w:eastAsia="Comic Sans MS" w:hAnsi="Comic Sans MS" w:cs="Comic Sans MS"/>
                <w:color w:val="E05429"/>
                <w:sz w:val="96"/>
                <w:szCs w:val="96"/>
              </w:rPr>
              <w:t>63%</w:t>
            </w:r>
          </w:p>
        </w:tc>
        <w:tc>
          <w:tcPr>
            <w:tcW w:w="0" w:type="dxa"/>
            <w:vAlign w:val="bottom"/>
          </w:tcPr>
          <w:p w:rsidR="00AC12B4" w:rsidRDefault="00AC12B4">
            <w:pPr>
              <w:rPr>
                <w:sz w:val="1"/>
                <w:szCs w:val="1"/>
              </w:rPr>
            </w:pPr>
          </w:p>
        </w:tc>
      </w:tr>
      <w:tr w:rsidR="00AC12B4" w:rsidRPr="00C27636">
        <w:trPr>
          <w:trHeight w:val="7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lastRenderedPageBreak/>
              <w:t>territoire,</w:t>
            </w:r>
            <w:r w:rsidRPr="00C27636">
              <w:rPr>
                <w:rFonts w:ascii="Calibri" w:eastAsia="Calibri" w:hAnsi="Calibri" w:cs="Calibri"/>
                <w:lang w:val="fr-BE"/>
              </w:rPr>
              <w:t xml:space="preserve"> il convient de tenir compte du</w:t>
            </w:r>
          </w:p>
        </w:tc>
        <w:tc>
          <w:tcPr>
            <w:tcW w:w="1880" w:type="dxa"/>
            <w:gridSpan w:val="6"/>
            <w:vMerge/>
            <w:vAlign w:val="bottom"/>
          </w:tcPr>
          <w:p w:rsidR="00AC12B4" w:rsidRPr="00C27636" w:rsidRDefault="00AC12B4">
            <w:pPr>
              <w:rPr>
                <w:sz w:val="6"/>
                <w:szCs w:val="6"/>
                <w:lang w:val="fr-BE"/>
              </w:rPr>
            </w:pPr>
          </w:p>
        </w:tc>
        <w:tc>
          <w:tcPr>
            <w:tcW w:w="380" w:type="dxa"/>
            <w:tcBorders>
              <w:right w:val="single" w:sz="8" w:space="0" w:color="E05429"/>
            </w:tcBorders>
            <w:vAlign w:val="bottom"/>
          </w:tcPr>
          <w:p w:rsidR="00AC12B4" w:rsidRPr="00C27636" w:rsidRDefault="00AC12B4">
            <w:pPr>
              <w:rPr>
                <w:sz w:val="6"/>
                <w:szCs w:val="6"/>
                <w:lang w:val="fr-BE"/>
              </w:rPr>
            </w:pPr>
          </w:p>
        </w:tc>
        <w:tc>
          <w:tcPr>
            <w:tcW w:w="2360" w:type="dxa"/>
            <w:gridSpan w:val="5"/>
            <w:vMerge/>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197"/>
        </w:trPr>
        <w:tc>
          <w:tcPr>
            <w:tcW w:w="4840" w:type="dxa"/>
            <w:gridSpan w:val="9"/>
            <w:vMerge/>
            <w:vAlign w:val="bottom"/>
          </w:tcPr>
          <w:p w:rsidR="00AC12B4" w:rsidRPr="00C27636" w:rsidRDefault="00AC12B4">
            <w:pPr>
              <w:rPr>
                <w:sz w:val="17"/>
                <w:szCs w:val="17"/>
                <w:lang w:val="fr-BE"/>
              </w:rPr>
            </w:pPr>
          </w:p>
        </w:tc>
        <w:tc>
          <w:tcPr>
            <w:tcW w:w="1880" w:type="dxa"/>
            <w:gridSpan w:val="6"/>
            <w:vMerge w:val="restart"/>
            <w:vAlign w:val="bottom"/>
          </w:tcPr>
          <w:p w:rsidR="00AC12B4" w:rsidRDefault="00C27636">
            <w:pPr>
              <w:ind w:left="20"/>
              <w:rPr>
                <w:sz w:val="20"/>
                <w:szCs w:val="20"/>
              </w:rPr>
            </w:pPr>
            <w:r>
              <w:rPr>
                <w:rFonts w:ascii="Calibri" w:eastAsia="Calibri" w:hAnsi="Calibri" w:cs="Calibri"/>
              </w:rPr>
              <w:t>pas en fonction de</w:t>
            </w:r>
          </w:p>
        </w:tc>
        <w:tc>
          <w:tcPr>
            <w:tcW w:w="380" w:type="dxa"/>
            <w:tcBorders>
              <w:right w:val="single" w:sz="8" w:space="0" w:color="E05429"/>
            </w:tcBorders>
            <w:vAlign w:val="bottom"/>
          </w:tcPr>
          <w:p w:rsidR="00AC12B4" w:rsidRDefault="00AC12B4">
            <w:pPr>
              <w:rPr>
                <w:sz w:val="17"/>
                <w:szCs w:val="17"/>
              </w:rPr>
            </w:pPr>
          </w:p>
        </w:tc>
        <w:tc>
          <w:tcPr>
            <w:tcW w:w="2360" w:type="dxa"/>
            <w:gridSpan w:val="5"/>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7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droit des enfants aux loisirs (art. 31), en</w:t>
            </w:r>
          </w:p>
        </w:tc>
        <w:tc>
          <w:tcPr>
            <w:tcW w:w="1880" w:type="dxa"/>
            <w:gridSpan w:val="6"/>
            <w:vMerge/>
            <w:vAlign w:val="bottom"/>
          </w:tcPr>
          <w:p w:rsidR="00AC12B4" w:rsidRPr="00C27636" w:rsidRDefault="00AC12B4">
            <w:pPr>
              <w:rPr>
                <w:sz w:val="6"/>
                <w:szCs w:val="6"/>
                <w:lang w:val="fr-BE"/>
              </w:rPr>
            </w:pPr>
          </w:p>
        </w:tc>
        <w:tc>
          <w:tcPr>
            <w:tcW w:w="380" w:type="dxa"/>
            <w:tcBorders>
              <w:right w:val="single" w:sz="8" w:space="0" w:color="E05429"/>
            </w:tcBorders>
            <w:vAlign w:val="bottom"/>
          </w:tcPr>
          <w:p w:rsidR="00AC12B4" w:rsidRPr="00C27636" w:rsidRDefault="00AC12B4">
            <w:pPr>
              <w:rPr>
                <w:sz w:val="6"/>
                <w:szCs w:val="6"/>
                <w:lang w:val="fr-BE"/>
              </w:rPr>
            </w:pPr>
          </w:p>
        </w:tc>
        <w:tc>
          <w:tcPr>
            <w:tcW w:w="2360" w:type="dxa"/>
            <w:gridSpan w:val="5"/>
            <w:vMerge/>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197"/>
        </w:trPr>
        <w:tc>
          <w:tcPr>
            <w:tcW w:w="4840" w:type="dxa"/>
            <w:gridSpan w:val="9"/>
            <w:vMerge/>
            <w:vAlign w:val="bottom"/>
          </w:tcPr>
          <w:p w:rsidR="00AC12B4" w:rsidRPr="00C27636" w:rsidRDefault="00AC12B4">
            <w:pPr>
              <w:rPr>
                <w:sz w:val="17"/>
                <w:szCs w:val="17"/>
                <w:lang w:val="fr-BE"/>
              </w:rPr>
            </w:pPr>
          </w:p>
        </w:tc>
        <w:tc>
          <w:tcPr>
            <w:tcW w:w="1200" w:type="dxa"/>
            <w:gridSpan w:val="4"/>
            <w:vMerge w:val="restart"/>
            <w:vAlign w:val="bottom"/>
          </w:tcPr>
          <w:p w:rsidR="00AC12B4" w:rsidRDefault="00C27636">
            <w:pPr>
              <w:ind w:left="20"/>
              <w:rPr>
                <w:sz w:val="20"/>
                <w:szCs w:val="20"/>
              </w:rPr>
            </w:pPr>
            <w:r>
              <w:rPr>
                <w:rFonts w:ascii="Calibri" w:eastAsia="Calibri" w:hAnsi="Calibri" w:cs="Calibri"/>
              </w:rPr>
              <w:t>la  structure</w:t>
            </w:r>
          </w:p>
        </w:tc>
        <w:tc>
          <w:tcPr>
            <w:tcW w:w="300" w:type="dxa"/>
            <w:vMerge w:val="restart"/>
            <w:vAlign w:val="bottom"/>
          </w:tcPr>
          <w:p w:rsidR="00AC12B4" w:rsidRDefault="00C27636">
            <w:pPr>
              <w:ind w:left="80"/>
              <w:rPr>
                <w:sz w:val="20"/>
                <w:szCs w:val="20"/>
              </w:rPr>
            </w:pPr>
            <w:r>
              <w:rPr>
                <w:rFonts w:ascii="Calibri" w:eastAsia="Calibri" w:hAnsi="Calibri" w:cs="Calibri"/>
              </w:rPr>
              <w:t>ni</w:t>
            </w:r>
          </w:p>
        </w:tc>
        <w:tc>
          <w:tcPr>
            <w:tcW w:w="380" w:type="dxa"/>
            <w:vMerge w:val="restart"/>
            <w:vAlign w:val="bottom"/>
          </w:tcPr>
          <w:p w:rsidR="00AC12B4" w:rsidRDefault="00C27636">
            <w:pPr>
              <w:jc w:val="right"/>
              <w:rPr>
                <w:sz w:val="20"/>
                <w:szCs w:val="20"/>
              </w:rPr>
            </w:pPr>
            <w:r>
              <w:rPr>
                <w:rFonts w:ascii="Calibri" w:eastAsia="Calibri" w:hAnsi="Calibri" w:cs="Calibri"/>
              </w:rPr>
              <w:t>du</w:t>
            </w:r>
          </w:p>
        </w:tc>
        <w:tc>
          <w:tcPr>
            <w:tcW w:w="380" w:type="dxa"/>
            <w:tcBorders>
              <w:right w:val="single" w:sz="8" w:space="0" w:color="E05429"/>
            </w:tcBorders>
            <w:vAlign w:val="bottom"/>
          </w:tcPr>
          <w:p w:rsidR="00AC12B4" w:rsidRDefault="00AC12B4">
            <w:pPr>
              <w:rPr>
                <w:sz w:val="17"/>
                <w:szCs w:val="17"/>
              </w:rPr>
            </w:pPr>
          </w:p>
        </w:tc>
        <w:tc>
          <w:tcPr>
            <w:tcW w:w="2360" w:type="dxa"/>
            <w:gridSpan w:val="5"/>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7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particulier pour les enfants qui n'ont pas</w:t>
            </w:r>
          </w:p>
        </w:tc>
        <w:tc>
          <w:tcPr>
            <w:tcW w:w="1200" w:type="dxa"/>
            <w:gridSpan w:val="4"/>
            <w:vMerge/>
            <w:vAlign w:val="bottom"/>
          </w:tcPr>
          <w:p w:rsidR="00AC12B4" w:rsidRPr="00C27636" w:rsidRDefault="00AC12B4">
            <w:pPr>
              <w:rPr>
                <w:sz w:val="6"/>
                <w:szCs w:val="6"/>
                <w:lang w:val="fr-BE"/>
              </w:rPr>
            </w:pPr>
          </w:p>
        </w:tc>
        <w:tc>
          <w:tcPr>
            <w:tcW w:w="300" w:type="dxa"/>
            <w:vMerge/>
            <w:vAlign w:val="bottom"/>
          </w:tcPr>
          <w:p w:rsidR="00AC12B4" w:rsidRPr="00C27636" w:rsidRDefault="00AC12B4">
            <w:pPr>
              <w:rPr>
                <w:sz w:val="6"/>
                <w:szCs w:val="6"/>
                <w:lang w:val="fr-BE"/>
              </w:rPr>
            </w:pPr>
          </w:p>
        </w:tc>
        <w:tc>
          <w:tcPr>
            <w:tcW w:w="380" w:type="dxa"/>
            <w:vMerge/>
            <w:vAlign w:val="bottom"/>
          </w:tcPr>
          <w:p w:rsidR="00AC12B4" w:rsidRPr="00C27636" w:rsidRDefault="00AC12B4">
            <w:pPr>
              <w:rPr>
                <w:sz w:val="6"/>
                <w:szCs w:val="6"/>
                <w:lang w:val="fr-BE"/>
              </w:rPr>
            </w:pPr>
          </w:p>
        </w:tc>
        <w:tc>
          <w:tcPr>
            <w:tcW w:w="380" w:type="dxa"/>
            <w:tcBorders>
              <w:right w:val="single" w:sz="8" w:space="0" w:color="E05429"/>
            </w:tcBorders>
            <w:vAlign w:val="bottom"/>
          </w:tcPr>
          <w:p w:rsidR="00AC12B4" w:rsidRPr="00C27636" w:rsidRDefault="00AC12B4">
            <w:pPr>
              <w:rPr>
                <w:sz w:val="6"/>
                <w:szCs w:val="6"/>
                <w:lang w:val="fr-BE"/>
              </w:rPr>
            </w:pPr>
          </w:p>
        </w:tc>
        <w:tc>
          <w:tcPr>
            <w:tcW w:w="2360" w:type="dxa"/>
            <w:gridSpan w:val="5"/>
            <w:vMerge/>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197"/>
        </w:trPr>
        <w:tc>
          <w:tcPr>
            <w:tcW w:w="4840" w:type="dxa"/>
            <w:gridSpan w:val="9"/>
            <w:vMerge/>
            <w:vAlign w:val="bottom"/>
          </w:tcPr>
          <w:p w:rsidR="00AC12B4" w:rsidRPr="00C27636" w:rsidRDefault="00AC12B4">
            <w:pPr>
              <w:rPr>
                <w:sz w:val="17"/>
                <w:szCs w:val="17"/>
                <w:lang w:val="fr-BE"/>
              </w:rPr>
            </w:pPr>
          </w:p>
        </w:tc>
        <w:tc>
          <w:tcPr>
            <w:tcW w:w="960" w:type="dxa"/>
            <w:gridSpan w:val="3"/>
            <w:vMerge w:val="restart"/>
            <w:vAlign w:val="bottom"/>
          </w:tcPr>
          <w:p w:rsidR="00AC12B4" w:rsidRDefault="00C27636">
            <w:pPr>
              <w:ind w:left="20"/>
              <w:rPr>
                <w:sz w:val="20"/>
                <w:szCs w:val="20"/>
              </w:rPr>
            </w:pPr>
            <w:r>
              <w:rPr>
                <w:rFonts w:ascii="Calibri" w:eastAsia="Calibri" w:hAnsi="Calibri" w:cs="Calibri"/>
              </w:rPr>
              <w:t>niveau</w:t>
            </w:r>
          </w:p>
        </w:tc>
        <w:tc>
          <w:tcPr>
            <w:tcW w:w="920" w:type="dxa"/>
            <w:gridSpan w:val="3"/>
            <w:vMerge w:val="restart"/>
            <w:vAlign w:val="bottom"/>
          </w:tcPr>
          <w:p w:rsidR="00AC12B4" w:rsidRDefault="00C27636">
            <w:pPr>
              <w:ind w:left="40"/>
              <w:rPr>
                <w:sz w:val="20"/>
                <w:szCs w:val="20"/>
              </w:rPr>
            </w:pPr>
            <w:r>
              <w:rPr>
                <w:rFonts w:ascii="Calibri" w:eastAsia="Calibri" w:hAnsi="Calibri" w:cs="Calibri"/>
              </w:rPr>
              <w:t>d'aisance</w:t>
            </w:r>
          </w:p>
        </w:tc>
        <w:tc>
          <w:tcPr>
            <w:tcW w:w="380" w:type="dxa"/>
            <w:tcBorders>
              <w:right w:val="single" w:sz="8" w:space="0" w:color="E05429"/>
            </w:tcBorders>
            <w:vAlign w:val="bottom"/>
          </w:tcPr>
          <w:p w:rsidR="00AC12B4" w:rsidRDefault="00AC12B4">
            <w:pPr>
              <w:rPr>
                <w:sz w:val="17"/>
                <w:szCs w:val="17"/>
              </w:rPr>
            </w:pPr>
          </w:p>
        </w:tc>
        <w:tc>
          <w:tcPr>
            <w:tcW w:w="2360" w:type="dxa"/>
            <w:gridSpan w:val="5"/>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7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de possibilités de loisirs ou de détente à la</w:t>
            </w:r>
          </w:p>
        </w:tc>
        <w:tc>
          <w:tcPr>
            <w:tcW w:w="960" w:type="dxa"/>
            <w:gridSpan w:val="3"/>
            <w:vMerge/>
            <w:vAlign w:val="bottom"/>
          </w:tcPr>
          <w:p w:rsidR="00AC12B4" w:rsidRPr="00C27636" w:rsidRDefault="00AC12B4">
            <w:pPr>
              <w:rPr>
                <w:sz w:val="6"/>
                <w:szCs w:val="6"/>
                <w:lang w:val="fr-BE"/>
              </w:rPr>
            </w:pPr>
          </w:p>
        </w:tc>
        <w:tc>
          <w:tcPr>
            <w:tcW w:w="920" w:type="dxa"/>
            <w:gridSpan w:val="3"/>
            <w:vMerge/>
            <w:vAlign w:val="bottom"/>
          </w:tcPr>
          <w:p w:rsidR="00AC12B4" w:rsidRPr="00C27636" w:rsidRDefault="00AC12B4">
            <w:pPr>
              <w:rPr>
                <w:sz w:val="6"/>
                <w:szCs w:val="6"/>
                <w:lang w:val="fr-BE"/>
              </w:rPr>
            </w:pPr>
          </w:p>
        </w:tc>
        <w:tc>
          <w:tcPr>
            <w:tcW w:w="380" w:type="dxa"/>
            <w:tcBorders>
              <w:right w:val="single" w:sz="8" w:space="0" w:color="E05429"/>
            </w:tcBorders>
            <w:vAlign w:val="bottom"/>
          </w:tcPr>
          <w:p w:rsidR="00AC12B4" w:rsidRPr="00C27636" w:rsidRDefault="00AC12B4">
            <w:pPr>
              <w:rPr>
                <w:sz w:val="6"/>
                <w:szCs w:val="6"/>
                <w:lang w:val="fr-BE"/>
              </w:rPr>
            </w:pPr>
          </w:p>
        </w:tc>
        <w:tc>
          <w:tcPr>
            <w:tcW w:w="2360" w:type="dxa"/>
            <w:gridSpan w:val="5"/>
            <w:vMerge/>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246"/>
        </w:trPr>
        <w:tc>
          <w:tcPr>
            <w:tcW w:w="4840" w:type="dxa"/>
            <w:gridSpan w:val="9"/>
            <w:vMerge/>
            <w:vAlign w:val="bottom"/>
          </w:tcPr>
          <w:p w:rsidR="00AC12B4" w:rsidRPr="00C27636" w:rsidRDefault="00AC12B4">
            <w:pPr>
              <w:rPr>
                <w:sz w:val="21"/>
                <w:szCs w:val="21"/>
                <w:lang w:val="fr-BE"/>
              </w:rPr>
            </w:pPr>
          </w:p>
        </w:tc>
        <w:tc>
          <w:tcPr>
            <w:tcW w:w="960" w:type="dxa"/>
            <w:gridSpan w:val="3"/>
            <w:vAlign w:val="bottom"/>
          </w:tcPr>
          <w:p w:rsidR="00AC12B4" w:rsidRDefault="00C27636">
            <w:pPr>
              <w:spacing w:line="246" w:lineRule="exact"/>
              <w:ind w:left="20"/>
              <w:rPr>
                <w:sz w:val="20"/>
                <w:szCs w:val="20"/>
              </w:rPr>
            </w:pPr>
            <w:r>
              <w:rPr>
                <w:rFonts w:ascii="Calibri" w:eastAsia="Calibri" w:hAnsi="Calibri" w:cs="Calibri"/>
              </w:rPr>
              <w:t>matérielle</w:t>
            </w:r>
          </w:p>
        </w:tc>
        <w:tc>
          <w:tcPr>
            <w:tcW w:w="540" w:type="dxa"/>
            <w:gridSpan w:val="2"/>
            <w:vAlign w:val="bottom"/>
          </w:tcPr>
          <w:p w:rsidR="00AC12B4" w:rsidRDefault="00C27636">
            <w:pPr>
              <w:spacing w:line="246" w:lineRule="exact"/>
              <w:ind w:left="220"/>
              <w:rPr>
                <w:sz w:val="20"/>
                <w:szCs w:val="20"/>
              </w:rPr>
            </w:pPr>
            <w:r>
              <w:rPr>
                <w:rFonts w:ascii="Calibri" w:eastAsia="Calibri" w:hAnsi="Calibri" w:cs="Calibri"/>
              </w:rPr>
              <w:t>de</w:t>
            </w:r>
          </w:p>
        </w:tc>
        <w:tc>
          <w:tcPr>
            <w:tcW w:w="380" w:type="dxa"/>
            <w:vAlign w:val="bottom"/>
          </w:tcPr>
          <w:p w:rsidR="00AC12B4" w:rsidRDefault="00C27636">
            <w:pPr>
              <w:spacing w:line="246" w:lineRule="exact"/>
              <w:jc w:val="right"/>
              <w:rPr>
                <w:sz w:val="20"/>
                <w:szCs w:val="20"/>
              </w:rPr>
            </w:pPr>
            <w:r>
              <w:rPr>
                <w:rFonts w:ascii="Calibri" w:eastAsia="Calibri" w:hAnsi="Calibri" w:cs="Calibri"/>
              </w:rPr>
              <w:t>la</w:t>
            </w:r>
          </w:p>
        </w:tc>
        <w:tc>
          <w:tcPr>
            <w:tcW w:w="380" w:type="dxa"/>
            <w:tcBorders>
              <w:right w:val="single" w:sz="8" w:space="0" w:color="E05429"/>
            </w:tcBorders>
            <w:vAlign w:val="bottom"/>
          </w:tcPr>
          <w:p w:rsidR="00AC12B4" w:rsidRDefault="00AC12B4">
            <w:pPr>
              <w:rPr>
                <w:sz w:val="21"/>
                <w:szCs w:val="21"/>
              </w:rPr>
            </w:pPr>
          </w:p>
        </w:tc>
        <w:tc>
          <w:tcPr>
            <w:tcW w:w="2360" w:type="dxa"/>
            <w:gridSpan w:val="5"/>
            <w:vMerge/>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20"/>
        </w:trPr>
        <w:tc>
          <w:tcPr>
            <w:tcW w:w="4840" w:type="dxa"/>
            <w:gridSpan w:val="9"/>
            <w:vAlign w:val="bottom"/>
          </w:tcPr>
          <w:p w:rsidR="00AC12B4" w:rsidRPr="00C27636" w:rsidRDefault="00C27636">
            <w:pPr>
              <w:spacing w:line="220" w:lineRule="exact"/>
              <w:ind w:left="260"/>
              <w:rPr>
                <w:sz w:val="20"/>
                <w:szCs w:val="20"/>
                <w:lang w:val="fr-BE"/>
              </w:rPr>
            </w:pPr>
            <w:r w:rsidRPr="00C27636">
              <w:rPr>
                <w:rFonts w:ascii="Calibri" w:eastAsia="Calibri" w:hAnsi="Calibri" w:cs="Calibri"/>
                <w:lang w:val="fr-BE"/>
              </w:rPr>
              <w:t>maison. Dans le cadre de l'aménagement</w:t>
            </w:r>
          </w:p>
        </w:tc>
        <w:tc>
          <w:tcPr>
            <w:tcW w:w="960" w:type="dxa"/>
            <w:gridSpan w:val="3"/>
            <w:vMerge w:val="restart"/>
            <w:vAlign w:val="bottom"/>
          </w:tcPr>
          <w:p w:rsidR="00AC12B4" w:rsidRDefault="00C27636">
            <w:pPr>
              <w:ind w:left="20"/>
              <w:rPr>
                <w:sz w:val="20"/>
                <w:szCs w:val="20"/>
              </w:rPr>
            </w:pPr>
            <w:r>
              <w:rPr>
                <w:rFonts w:ascii="Calibri" w:eastAsia="Calibri" w:hAnsi="Calibri" w:cs="Calibri"/>
              </w:rPr>
              <w:t>famille.</w:t>
            </w:r>
          </w:p>
        </w:tc>
        <w:tc>
          <w:tcPr>
            <w:tcW w:w="24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380" w:type="dxa"/>
            <w:vAlign w:val="bottom"/>
          </w:tcPr>
          <w:p w:rsidR="00AC12B4" w:rsidRDefault="00AC12B4">
            <w:pPr>
              <w:rPr>
                <w:sz w:val="19"/>
                <w:szCs w:val="19"/>
              </w:rPr>
            </w:pPr>
          </w:p>
        </w:tc>
        <w:tc>
          <w:tcPr>
            <w:tcW w:w="380" w:type="dxa"/>
            <w:tcBorders>
              <w:right w:val="single" w:sz="8" w:space="0" w:color="E05429"/>
            </w:tcBorders>
            <w:vAlign w:val="bottom"/>
          </w:tcPr>
          <w:p w:rsidR="00AC12B4" w:rsidRDefault="00AC12B4">
            <w:pPr>
              <w:rPr>
                <w:sz w:val="19"/>
                <w:szCs w:val="19"/>
              </w:rPr>
            </w:pPr>
          </w:p>
        </w:tc>
        <w:tc>
          <w:tcPr>
            <w:tcW w:w="760" w:type="dxa"/>
            <w:vMerge w:val="restart"/>
            <w:vAlign w:val="bottom"/>
          </w:tcPr>
          <w:p w:rsidR="00AC12B4" w:rsidRDefault="00C27636">
            <w:pPr>
              <w:ind w:left="140"/>
              <w:rPr>
                <w:sz w:val="20"/>
                <w:szCs w:val="20"/>
              </w:rPr>
            </w:pPr>
            <w:r>
              <w:rPr>
                <w:rFonts w:ascii="Comic Sans MS" w:eastAsia="Comic Sans MS" w:hAnsi="Comic Sans MS" w:cs="Comic Sans MS"/>
                <w:color w:val="0D0D0D"/>
                <w:sz w:val="20"/>
                <w:szCs w:val="20"/>
              </w:rPr>
              <w:t>des</w:t>
            </w:r>
          </w:p>
        </w:tc>
        <w:tc>
          <w:tcPr>
            <w:tcW w:w="940" w:type="dxa"/>
            <w:gridSpan w:val="3"/>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jeunes</w:t>
            </w:r>
          </w:p>
        </w:tc>
        <w:tc>
          <w:tcPr>
            <w:tcW w:w="660" w:type="dxa"/>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en</w:t>
            </w:r>
          </w:p>
        </w:tc>
        <w:tc>
          <w:tcPr>
            <w:tcW w:w="0" w:type="dxa"/>
            <w:vAlign w:val="bottom"/>
          </w:tcPr>
          <w:p w:rsidR="00AC12B4" w:rsidRDefault="00AC12B4">
            <w:pPr>
              <w:rPr>
                <w:sz w:val="1"/>
                <w:szCs w:val="1"/>
              </w:rPr>
            </w:pPr>
          </w:p>
        </w:tc>
      </w:tr>
      <w:tr w:rsidR="00AC12B4" w:rsidRPr="00C27636">
        <w:trPr>
          <w:trHeight w:val="12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du territoire, les autorités locales devraient</w:t>
            </w:r>
          </w:p>
        </w:tc>
        <w:tc>
          <w:tcPr>
            <w:tcW w:w="960" w:type="dxa"/>
            <w:gridSpan w:val="3"/>
            <w:vMerge/>
            <w:vAlign w:val="bottom"/>
          </w:tcPr>
          <w:p w:rsidR="00AC12B4" w:rsidRPr="00C27636" w:rsidRDefault="00AC12B4">
            <w:pPr>
              <w:rPr>
                <w:sz w:val="10"/>
                <w:szCs w:val="10"/>
                <w:lang w:val="fr-BE"/>
              </w:rPr>
            </w:pPr>
          </w:p>
        </w:tc>
        <w:tc>
          <w:tcPr>
            <w:tcW w:w="240" w:type="dxa"/>
            <w:vAlign w:val="bottom"/>
          </w:tcPr>
          <w:p w:rsidR="00AC12B4" w:rsidRPr="00C27636" w:rsidRDefault="00AC12B4">
            <w:pPr>
              <w:rPr>
                <w:sz w:val="10"/>
                <w:szCs w:val="10"/>
                <w:lang w:val="fr-BE"/>
              </w:rPr>
            </w:pPr>
          </w:p>
        </w:tc>
        <w:tc>
          <w:tcPr>
            <w:tcW w:w="300" w:type="dxa"/>
            <w:vAlign w:val="bottom"/>
          </w:tcPr>
          <w:p w:rsidR="00AC12B4" w:rsidRPr="00C27636" w:rsidRDefault="00AC12B4">
            <w:pPr>
              <w:rPr>
                <w:sz w:val="10"/>
                <w:szCs w:val="10"/>
                <w:lang w:val="fr-BE"/>
              </w:rPr>
            </w:pPr>
          </w:p>
        </w:tc>
        <w:tc>
          <w:tcPr>
            <w:tcW w:w="380" w:type="dxa"/>
            <w:vAlign w:val="bottom"/>
          </w:tcPr>
          <w:p w:rsidR="00AC12B4" w:rsidRPr="00C27636" w:rsidRDefault="00AC12B4">
            <w:pPr>
              <w:rPr>
                <w:sz w:val="10"/>
                <w:szCs w:val="10"/>
                <w:lang w:val="fr-BE"/>
              </w:rPr>
            </w:pPr>
          </w:p>
        </w:tc>
        <w:tc>
          <w:tcPr>
            <w:tcW w:w="380" w:type="dxa"/>
            <w:tcBorders>
              <w:right w:val="single" w:sz="8" w:space="0" w:color="E05429"/>
            </w:tcBorders>
            <w:vAlign w:val="bottom"/>
          </w:tcPr>
          <w:p w:rsidR="00AC12B4" w:rsidRPr="00C27636" w:rsidRDefault="00AC12B4">
            <w:pPr>
              <w:rPr>
                <w:sz w:val="10"/>
                <w:szCs w:val="10"/>
                <w:lang w:val="fr-BE"/>
              </w:rPr>
            </w:pPr>
          </w:p>
        </w:tc>
        <w:tc>
          <w:tcPr>
            <w:tcW w:w="760" w:type="dxa"/>
            <w:vMerge/>
            <w:vAlign w:val="bottom"/>
          </w:tcPr>
          <w:p w:rsidR="00AC12B4" w:rsidRPr="00C27636" w:rsidRDefault="00AC12B4">
            <w:pPr>
              <w:rPr>
                <w:sz w:val="10"/>
                <w:szCs w:val="10"/>
                <w:lang w:val="fr-BE"/>
              </w:rPr>
            </w:pPr>
          </w:p>
        </w:tc>
        <w:tc>
          <w:tcPr>
            <w:tcW w:w="940" w:type="dxa"/>
            <w:gridSpan w:val="3"/>
            <w:vMerge/>
            <w:vAlign w:val="bottom"/>
          </w:tcPr>
          <w:p w:rsidR="00AC12B4" w:rsidRPr="00C27636" w:rsidRDefault="00AC12B4">
            <w:pPr>
              <w:rPr>
                <w:sz w:val="10"/>
                <w:szCs w:val="10"/>
                <w:lang w:val="fr-BE"/>
              </w:rPr>
            </w:pPr>
          </w:p>
        </w:tc>
        <w:tc>
          <w:tcPr>
            <w:tcW w:w="660" w:type="dxa"/>
            <w:vMerge/>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trPr>
          <w:trHeight w:val="147"/>
        </w:trPr>
        <w:tc>
          <w:tcPr>
            <w:tcW w:w="4840" w:type="dxa"/>
            <w:gridSpan w:val="9"/>
            <w:vMerge/>
            <w:vAlign w:val="bottom"/>
          </w:tcPr>
          <w:p w:rsidR="00AC12B4" w:rsidRPr="00C27636" w:rsidRDefault="00AC12B4">
            <w:pPr>
              <w:rPr>
                <w:sz w:val="12"/>
                <w:szCs w:val="12"/>
                <w:lang w:val="fr-BE"/>
              </w:rPr>
            </w:pPr>
          </w:p>
        </w:tc>
        <w:tc>
          <w:tcPr>
            <w:tcW w:w="560" w:type="dxa"/>
            <w:vMerge w:val="restart"/>
            <w:vAlign w:val="bottom"/>
          </w:tcPr>
          <w:p w:rsidR="00AC12B4" w:rsidRDefault="00C27636">
            <w:pPr>
              <w:ind w:left="20"/>
              <w:rPr>
                <w:sz w:val="20"/>
                <w:szCs w:val="20"/>
              </w:rPr>
            </w:pPr>
            <w:r>
              <w:rPr>
                <w:rFonts w:ascii="Calibri" w:eastAsia="Calibri" w:hAnsi="Calibri" w:cs="Calibri"/>
              </w:rPr>
              <w:t>Un</w:t>
            </w:r>
          </w:p>
        </w:tc>
        <w:tc>
          <w:tcPr>
            <w:tcW w:w="200" w:type="dxa"/>
            <w:vAlign w:val="bottom"/>
          </w:tcPr>
          <w:p w:rsidR="00AC12B4" w:rsidRDefault="00AC12B4">
            <w:pPr>
              <w:rPr>
                <w:sz w:val="12"/>
                <w:szCs w:val="12"/>
              </w:rPr>
            </w:pPr>
          </w:p>
        </w:tc>
        <w:tc>
          <w:tcPr>
            <w:tcW w:w="200" w:type="dxa"/>
            <w:vAlign w:val="bottom"/>
          </w:tcPr>
          <w:p w:rsidR="00AC12B4" w:rsidRDefault="00AC12B4">
            <w:pPr>
              <w:rPr>
                <w:sz w:val="12"/>
                <w:szCs w:val="12"/>
              </w:rPr>
            </w:pPr>
          </w:p>
        </w:tc>
        <w:tc>
          <w:tcPr>
            <w:tcW w:w="920" w:type="dxa"/>
            <w:gridSpan w:val="3"/>
            <w:vMerge w:val="restart"/>
            <w:vAlign w:val="bottom"/>
          </w:tcPr>
          <w:p w:rsidR="00AC12B4" w:rsidRDefault="00C27636">
            <w:pPr>
              <w:jc w:val="right"/>
              <w:rPr>
                <w:sz w:val="20"/>
                <w:szCs w:val="20"/>
              </w:rPr>
            </w:pPr>
            <w:r>
              <w:rPr>
                <w:rFonts w:ascii="Calibri" w:eastAsia="Calibri" w:hAnsi="Calibri" w:cs="Calibri"/>
              </w:rPr>
              <w:t>groupe</w:t>
            </w:r>
          </w:p>
        </w:tc>
        <w:tc>
          <w:tcPr>
            <w:tcW w:w="380" w:type="dxa"/>
            <w:tcBorders>
              <w:right w:val="single" w:sz="8" w:space="0" w:color="E05429"/>
            </w:tcBorders>
            <w:vAlign w:val="bottom"/>
          </w:tcPr>
          <w:p w:rsidR="00AC12B4" w:rsidRDefault="00AC12B4">
            <w:pPr>
              <w:rPr>
                <w:sz w:val="12"/>
                <w:szCs w:val="12"/>
              </w:rPr>
            </w:pPr>
          </w:p>
        </w:tc>
        <w:tc>
          <w:tcPr>
            <w:tcW w:w="1500" w:type="dxa"/>
            <w:gridSpan w:val="3"/>
            <w:vMerge w:val="restart"/>
            <w:vAlign w:val="bottom"/>
          </w:tcPr>
          <w:p w:rsidR="00AC12B4" w:rsidRDefault="00C27636">
            <w:pPr>
              <w:ind w:left="140"/>
              <w:rPr>
                <w:sz w:val="20"/>
                <w:szCs w:val="20"/>
              </w:rPr>
            </w:pPr>
            <w:r>
              <w:rPr>
                <w:rFonts w:ascii="Comic Sans MS" w:eastAsia="Comic Sans MS" w:hAnsi="Comic Sans MS" w:cs="Comic Sans MS"/>
                <w:color w:val="0D0D0D"/>
                <w:sz w:val="20"/>
                <w:szCs w:val="20"/>
              </w:rPr>
              <w:t>Communauté</w:t>
            </w:r>
          </w:p>
        </w:tc>
        <w:tc>
          <w:tcPr>
            <w:tcW w:w="860" w:type="dxa"/>
            <w:gridSpan w:val="2"/>
            <w:vMerge w:val="restart"/>
            <w:vAlign w:val="bottom"/>
          </w:tcPr>
          <w:p w:rsidR="00AC12B4" w:rsidRDefault="00C27636">
            <w:pPr>
              <w:jc w:val="right"/>
              <w:rPr>
                <w:sz w:val="20"/>
                <w:szCs w:val="20"/>
              </w:rPr>
            </w:pPr>
            <w:r>
              <w:rPr>
                <w:rFonts w:ascii="Comic Sans MS" w:eastAsia="Comic Sans MS" w:hAnsi="Comic Sans MS" w:cs="Comic Sans MS"/>
                <w:color w:val="0D0D0D"/>
                <w:w w:val="98"/>
                <w:sz w:val="20"/>
                <w:szCs w:val="20"/>
              </w:rPr>
              <w:t>flamande</w:t>
            </w:r>
          </w:p>
        </w:tc>
        <w:tc>
          <w:tcPr>
            <w:tcW w:w="0" w:type="dxa"/>
            <w:vAlign w:val="bottom"/>
          </w:tcPr>
          <w:p w:rsidR="00AC12B4" w:rsidRDefault="00AC12B4">
            <w:pPr>
              <w:rPr>
                <w:sz w:val="1"/>
                <w:szCs w:val="1"/>
              </w:rPr>
            </w:pPr>
          </w:p>
        </w:tc>
      </w:tr>
      <w:tr w:rsidR="00AC12B4" w:rsidRPr="00C27636">
        <w:trPr>
          <w:trHeight w:val="131"/>
        </w:trPr>
        <w:tc>
          <w:tcPr>
            <w:tcW w:w="4840" w:type="dxa"/>
            <w:gridSpan w:val="9"/>
            <w:vMerge w:val="restart"/>
            <w:vAlign w:val="bottom"/>
          </w:tcPr>
          <w:p w:rsidR="00AC12B4" w:rsidRPr="00C27636" w:rsidRDefault="00C27636">
            <w:pPr>
              <w:spacing w:line="267" w:lineRule="exact"/>
              <w:ind w:left="260"/>
              <w:rPr>
                <w:sz w:val="20"/>
                <w:szCs w:val="20"/>
                <w:lang w:val="fr-BE"/>
              </w:rPr>
            </w:pPr>
            <w:r w:rsidRPr="00C27636">
              <w:rPr>
                <w:rFonts w:ascii="Calibri" w:eastAsia="Calibri" w:hAnsi="Calibri" w:cs="Calibri"/>
                <w:lang w:val="fr-BE"/>
              </w:rPr>
              <w:t>garantir les mêmes possibilités de loisirs et</w:t>
            </w:r>
          </w:p>
        </w:tc>
        <w:tc>
          <w:tcPr>
            <w:tcW w:w="560" w:type="dxa"/>
            <w:vMerge/>
            <w:vAlign w:val="bottom"/>
          </w:tcPr>
          <w:p w:rsidR="00AC12B4" w:rsidRPr="00C27636" w:rsidRDefault="00AC12B4">
            <w:pPr>
              <w:rPr>
                <w:sz w:val="11"/>
                <w:szCs w:val="11"/>
                <w:lang w:val="fr-BE"/>
              </w:rPr>
            </w:pPr>
          </w:p>
        </w:tc>
        <w:tc>
          <w:tcPr>
            <w:tcW w:w="200" w:type="dxa"/>
            <w:vAlign w:val="bottom"/>
          </w:tcPr>
          <w:p w:rsidR="00AC12B4" w:rsidRPr="00C27636" w:rsidRDefault="00AC12B4">
            <w:pPr>
              <w:rPr>
                <w:sz w:val="11"/>
                <w:szCs w:val="11"/>
                <w:lang w:val="fr-BE"/>
              </w:rPr>
            </w:pPr>
          </w:p>
        </w:tc>
        <w:tc>
          <w:tcPr>
            <w:tcW w:w="200" w:type="dxa"/>
            <w:vAlign w:val="bottom"/>
          </w:tcPr>
          <w:p w:rsidR="00AC12B4" w:rsidRPr="00C27636" w:rsidRDefault="00AC12B4">
            <w:pPr>
              <w:rPr>
                <w:sz w:val="11"/>
                <w:szCs w:val="11"/>
                <w:lang w:val="fr-BE"/>
              </w:rPr>
            </w:pPr>
          </w:p>
        </w:tc>
        <w:tc>
          <w:tcPr>
            <w:tcW w:w="920" w:type="dxa"/>
            <w:gridSpan w:val="3"/>
            <w:vMerge/>
            <w:vAlign w:val="bottom"/>
          </w:tcPr>
          <w:p w:rsidR="00AC12B4" w:rsidRPr="00C27636" w:rsidRDefault="00AC12B4">
            <w:pPr>
              <w:rPr>
                <w:sz w:val="11"/>
                <w:szCs w:val="11"/>
                <w:lang w:val="fr-BE"/>
              </w:rPr>
            </w:pPr>
          </w:p>
        </w:tc>
        <w:tc>
          <w:tcPr>
            <w:tcW w:w="380" w:type="dxa"/>
            <w:tcBorders>
              <w:right w:val="single" w:sz="8" w:space="0" w:color="E05429"/>
            </w:tcBorders>
            <w:vAlign w:val="bottom"/>
          </w:tcPr>
          <w:p w:rsidR="00AC12B4" w:rsidRPr="00C27636" w:rsidRDefault="00AC12B4">
            <w:pPr>
              <w:rPr>
                <w:sz w:val="11"/>
                <w:szCs w:val="11"/>
                <w:lang w:val="fr-BE"/>
              </w:rPr>
            </w:pPr>
          </w:p>
        </w:tc>
        <w:tc>
          <w:tcPr>
            <w:tcW w:w="1500" w:type="dxa"/>
            <w:gridSpan w:val="3"/>
            <w:vMerge/>
            <w:vAlign w:val="bottom"/>
          </w:tcPr>
          <w:p w:rsidR="00AC12B4" w:rsidRPr="00C27636" w:rsidRDefault="00AC12B4">
            <w:pPr>
              <w:rPr>
                <w:sz w:val="11"/>
                <w:szCs w:val="11"/>
                <w:lang w:val="fr-BE"/>
              </w:rPr>
            </w:pPr>
          </w:p>
        </w:tc>
        <w:tc>
          <w:tcPr>
            <w:tcW w:w="860" w:type="dxa"/>
            <w:gridSpan w:val="2"/>
            <w:vMerge/>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trPr>
          <w:trHeight w:val="61"/>
        </w:trPr>
        <w:tc>
          <w:tcPr>
            <w:tcW w:w="4840" w:type="dxa"/>
            <w:gridSpan w:val="9"/>
            <w:vMerge/>
            <w:vAlign w:val="bottom"/>
          </w:tcPr>
          <w:p w:rsidR="00AC12B4" w:rsidRPr="00C27636" w:rsidRDefault="00AC12B4">
            <w:pPr>
              <w:rPr>
                <w:sz w:val="5"/>
                <w:szCs w:val="5"/>
                <w:lang w:val="fr-BE"/>
              </w:rPr>
            </w:pPr>
          </w:p>
        </w:tc>
        <w:tc>
          <w:tcPr>
            <w:tcW w:w="560" w:type="dxa"/>
            <w:vMerge/>
            <w:vAlign w:val="bottom"/>
          </w:tcPr>
          <w:p w:rsidR="00AC12B4" w:rsidRPr="00C27636" w:rsidRDefault="00AC12B4">
            <w:pPr>
              <w:rPr>
                <w:sz w:val="5"/>
                <w:szCs w:val="5"/>
                <w:lang w:val="fr-BE"/>
              </w:rPr>
            </w:pPr>
          </w:p>
        </w:tc>
        <w:tc>
          <w:tcPr>
            <w:tcW w:w="200" w:type="dxa"/>
            <w:vAlign w:val="bottom"/>
          </w:tcPr>
          <w:p w:rsidR="00AC12B4" w:rsidRPr="00C27636" w:rsidRDefault="00AC12B4">
            <w:pPr>
              <w:rPr>
                <w:sz w:val="5"/>
                <w:szCs w:val="5"/>
                <w:lang w:val="fr-BE"/>
              </w:rPr>
            </w:pPr>
          </w:p>
        </w:tc>
        <w:tc>
          <w:tcPr>
            <w:tcW w:w="200" w:type="dxa"/>
            <w:vAlign w:val="bottom"/>
          </w:tcPr>
          <w:p w:rsidR="00AC12B4" w:rsidRPr="00C27636" w:rsidRDefault="00AC12B4">
            <w:pPr>
              <w:rPr>
                <w:sz w:val="5"/>
                <w:szCs w:val="5"/>
                <w:lang w:val="fr-BE"/>
              </w:rPr>
            </w:pPr>
          </w:p>
        </w:tc>
        <w:tc>
          <w:tcPr>
            <w:tcW w:w="920" w:type="dxa"/>
            <w:gridSpan w:val="3"/>
            <w:vMerge/>
            <w:vAlign w:val="bottom"/>
          </w:tcPr>
          <w:p w:rsidR="00AC12B4" w:rsidRPr="00C27636" w:rsidRDefault="00AC12B4">
            <w:pPr>
              <w:rPr>
                <w:sz w:val="5"/>
                <w:szCs w:val="5"/>
                <w:lang w:val="fr-BE"/>
              </w:rPr>
            </w:pPr>
          </w:p>
        </w:tc>
        <w:tc>
          <w:tcPr>
            <w:tcW w:w="380" w:type="dxa"/>
            <w:tcBorders>
              <w:right w:val="single" w:sz="8" w:space="0" w:color="E05429"/>
            </w:tcBorders>
            <w:vAlign w:val="bottom"/>
          </w:tcPr>
          <w:p w:rsidR="00AC12B4" w:rsidRPr="00C27636" w:rsidRDefault="00AC12B4">
            <w:pPr>
              <w:rPr>
                <w:sz w:val="5"/>
                <w:szCs w:val="5"/>
                <w:lang w:val="fr-BE"/>
              </w:rPr>
            </w:pPr>
          </w:p>
        </w:tc>
        <w:tc>
          <w:tcPr>
            <w:tcW w:w="1160" w:type="dxa"/>
            <w:gridSpan w:val="2"/>
            <w:vMerge w:val="restart"/>
            <w:vAlign w:val="bottom"/>
          </w:tcPr>
          <w:p w:rsidR="00AC12B4" w:rsidRDefault="00C27636">
            <w:pPr>
              <w:ind w:left="140"/>
              <w:rPr>
                <w:sz w:val="20"/>
                <w:szCs w:val="20"/>
              </w:rPr>
            </w:pPr>
            <w:r>
              <w:rPr>
                <w:rFonts w:ascii="Comic Sans MS" w:eastAsia="Comic Sans MS" w:hAnsi="Comic Sans MS" w:cs="Comic Sans MS"/>
                <w:color w:val="0D0D0D"/>
                <w:w w:val="98"/>
                <w:sz w:val="20"/>
                <w:szCs w:val="20"/>
              </w:rPr>
              <w:t>rapportent</w:t>
            </w:r>
          </w:p>
        </w:tc>
        <w:tc>
          <w:tcPr>
            <w:tcW w:w="540" w:type="dxa"/>
            <w:gridSpan w:val="2"/>
            <w:vMerge w:val="restart"/>
            <w:vAlign w:val="bottom"/>
          </w:tcPr>
          <w:p w:rsidR="00AC12B4" w:rsidRDefault="00C27636">
            <w:pPr>
              <w:ind w:left="100"/>
              <w:rPr>
                <w:sz w:val="20"/>
                <w:szCs w:val="20"/>
              </w:rPr>
            </w:pPr>
            <w:r>
              <w:rPr>
                <w:rFonts w:ascii="Comic Sans MS" w:eastAsia="Comic Sans MS" w:hAnsi="Comic Sans MS" w:cs="Comic Sans MS"/>
                <w:color w:val="0D0D0D"/>
                <w:sz w:val="20"/>
                <w:szCs w:val="20"/>
              </w:rPr>
              <w:t>qu'il</w:t>
            </w:r>
          </w:p>
        </w:tc>
        <w:tc>
          <w:tcPr>
            <w:tcW w:w="660" w:type="dxa"/>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existe</w:t>
            </w:r>
          </w:p>
        </w:tc>
        <w:tc>
          <w:tcPr>
            <w:tcW w:w="0" w:type="dxa"/>
            <w:vAlign w:val="bottom"/>
          </w:tcPr>
          <w:p w:rsidR="00AC12B4" w:rsidRDefault="00AC12B4">
            <w:pPr>
              <w:rPr>
                <w:sz w:val="1"/>
                <w:szCs w:val="1"/>
              </w:rPr>
            </w:pPr>
          </w:p>
        </w:tc>
      </w:tr>
      <w:tr w:rsidR="00AC12B4">
        <w:trPr>
          <w:trHeight w:val="74"/>
        </w:trPr>
        <w:tc>
          <w:tcPr>
            <w:tcW w:w="4840" w:type="dxa"/>
            <w:gridSpan w:val="9"/>
            <w:vMerge/>
            <w:vAlign w:val="bottom"/>
          </w:tcPr>
          <w:p w:rsidR="00AC12B4" w:rsidRDefault="00AC12B4">
            <w:pPr>
              <w:rPr>
                <w:sz w:val="6"/>
                <w:szCs w:val="6"/>
              </w:rPr>
            </w:pPr>
          </w:p>
        </w:tc>
        <w:tc>
          <w:tcPr>
            <w:tcW w:w="1880" w:type="dxa"/>
            <w:gridSpan w:val="6"/>
            <w:vMerge w:val="restart"/>
            <w:vAlign w:val="bottom"/>
          </w:tcPr>
          <w:p w:rsidR="00AC12B4" w:rsidRDefault="00C27636">
            <w:pPr>
              <w:spacing w:line="221" w:lineRule="exact"/>
              <w:ind w:left="20"/>
              <w:rPr>
                <w:sz w:val="20"/>
                <w:szCs w:val="20"/>
              </w:rPr>
            </w:pPr>
            <w:r>
              <w:rPr>
                <w:rFonts w:ascii="Calibri" w:eastAsia="Calibri" w:hAnsi="Calibri" w:cs="Calibri"/>
              </w:rPr>
              <w:t>particulièrement</w:t>
            </w:r>
          </w:p>
        </w:tc>
        <w:tc>
          <w:tcPr>
            <w:tcW w:w="380" w:type="dxa"/>
            <w:tcBorders>
              <w:right w:val="single" w:sz="8" w:space="0" w:color="E05429"/>
            </w:tcBorders>
            <w:vAlign w:val="bottom"/>
          </w:tcPr>
          <w:p w:rsidR="00AC12B4" w:rsidRDefault="00AC12B4">
            <w:pPr>
              <w:rPr>
                <w:sz w:val="6"/>
                <w:szCs w:val="6"/>
              </w:rPr>
            </w:pPr>
          </w:p>
        </w:tc>
        <w:tc>
          <w:tcPr>
            <w:tcW w:w="1160" w:type="dxa"/>
            <w:gridSpan w:val="2"/>
            <w:vMerge/>
            <w:vAlign w:val="bottom"/>
          </w:tcPr>
          <w:p w:rsidR="00AC12B4" w:rsidRDefault="00AC12B4">
            <w:pPr>
              <w:rPr>
                <w:sz w:val="6"/>
                <w:szCs w:val="6"/>
              </w:rPr>
            </w:pPr>
          </w:p>
        </w:tc>
        <w:tc>
          <w:tcPr>
            <w:tcW w:w="540" w:type="dxa"/>
            <w:gridSpan w:val="2"/>
            <w:vMerge/>
            <w:vAlign w:val="bottom"/>
          </w:tcPr>
          <w:p w:rsidR="00AC12B4" w:rsidRDefault="00AC12B4">
            <w:pPr>
              <w:rPr>
                <w:sz w:val="6"/>
                <w:szCs w:val="6"/>
              </w:rPr>
            </w:pPr>
          </w:p>
        </w:tc>
        <w:tc>
          <w:tcPr>
            <w:tcW w:w="660" w:type="dxa"/>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46"/>
        </w:trPr>
        <w:tc>
          <w:tcPr>
            <w:tcW w:w="720" w:type="dxa"/>
            <w:vMerge w:val="restart"/>
            <w:vAlign w:val="bottom"/>
          </w:tcPr>
          <w:p w:rsidR="00AC12B4" w:rsidRDefault="00C27636">
            <w:pPr>
              <w:ind w:left="260"/>
              <w:rPr>
                <w:sz w:val="20"/>
                <w:szCs w:val="20"/>
              </w:rPr>
            </w:pPr>
            <w:r>
              <w:rPr>
                <w:rFonts w:ascii="Calibri" w:eastAsia="Calibri" w:hAnsi="Calibri" w:cs="Calibri"/>
              </w:rPr>
              <w:t>de</w:t>
            </w:r>
          </w:p>
        </w:tc>
        <w:tc>
          <w:tcPr>
            <w:tcW w:w="940" w:type="dxa"/>
            <w:gridSpan w:val="2"/>
            <w:vMerge w:val="restart"/>
            <w:vAlign w:val="bottom"/>
          </w:tcPr>
          <w:p w:rsidR="00AC12B4" w:rsidRDefault="00C27636">
            <w:pPr>
              <w:ind w:right="113"/>
              <w:jc w:val="center"/>
              <w:rPr>
                <w:sz w:val="20"/>
                <w:szCs w:val="20"/>
              </w:rPr>
            </w:pPr>
            <w:r>
              <w:rPr>
                <w:rFonts w:ascii="Calibri" w:eastAsia="Calibri" w:hAnsi="Calibri" w:cs="Calibri"/>
              </w:rPr>
              <w:t>détente</w:t>
            </w:r>
          </w:p>
        </w:tc>
        <w:tc>
          <w:tcPr>
            <w:tcW w:w="560" w:type="dxa"/>
            <w:vMerge w:val="restart"/>
            <w:vAlign w:val="bottom"/>
          </w:tcPr>
          <w:p w:rsidR="00AC12B4" w:rsidRDefault="00C27636">
            <w:pPr>
              <w:ind w:right="30"/>
              <w:jc w:val="right"/>
              <w:rPr>
                <w:sz w:val="20"/>
                <w:szCs w:val="20"/>
              </w:rPr>
            </w:pPr>
            <w:r>
              <w:rPr>
                <w:rFonts w:ascii="Calibri" w:eastAsia="Calibri" w:hAnsi="Calibri" w:cs="Calibri"/>
                <w:w w:val="94"/>
              </w:rPr>
              <w:t>pour</w:t>
            </w:r>
          </w:p>
        </w:tc>
        <w:tc>
          <w:tcPr>
            <w:tcW w:w="580" w:type="dxa"/>
            <w:vMerge w:val="restart"/>
            <w:vAlign w:val="bottom"/>
          </w:tcPr>
          <w:p w:rsidR="00AC12B4" w:rsidRDefault="00C27636">
            <w:pPr>
              <w:ind w:left="100"/>
              <w:rPr>
                <w:sz w:val="20"/>
                <w:szCs w:val="20"/>
              </w:rPr>
            </w:pPr>
            <w:r>
              <w:rPr>
                <w:rFonts w:ascii="Calibri" w:eastAsia="Calibri" w:hAnsi="Calibri" w:cs="Calibri"/>
              </w:rPr>
              <w:t>tous</w:t>
            </w:r>
          </w:p>
        </w:tc>
        <w:tc>
          <w:tcPr>
            <w:tcW w:w="460" w:type="dxa"/>
            <w:vMerge w:val="restart"/>
            <w:vAlign w:val="bottom"/>
          </w:tcPr>
          <w:p w:rsidR="00AC12B4" w:rsidRDefault="00C27636">
            <w:pPr>
              <w:ind w:left="140"/>
              <w:rPr>
                <w:sz w:val="20"/>
                <w:szCs w:val="20"/>
              </w:rPr>
            </w:pPr>
            <w:r>
              <w:rPr>
                <w:rFonts w:ascii="Calibri" w:eastAsia="Calibri" w:hAnsi="Calibri" w:cs="Calibri"/>
              </w:rPr>
              <w:t>les</w:t>
            </w:r>
          </w:p>
        </w:tc>
        <w:tc>
          <w:tcPr>
            <w:tcW w:w="1580" w:type="dxa"/>
            <w:gridSpan w:val="3"/>
            <w:vMerge w:val="restart"/>
            <w:vAlign w:val="bottom"/>
          </w:tcPr>
          <w:p w:rsidR="00AC12B4" w:rsidRDefault="00C27636">
            <w:pPr>
              <w:ind w:right="597"/>
              <w:jc w:val="right"/>
              <w:rPr>
                <w:sz w:val="20"/>
                <w:szCs w:val="20"/>
              </w:rPr>
            </w:pPr>
            <w:r>
              <w:rPr>
                <w:rFonts w:ascii="Calibri" w:eastAsia="Calibri" w:hAnsi="Calibri" w:cs="Calibri"/>
              </w:rPr>
              <w:t>groupe</w:t>
            </w:r>
            <w:r>
              <w:rPr>
                <w:rFonts w:ascii="Calibri" w:eastAsia="Calibri" w:hAnsi="Calibri" w:cs="Calibri"/>
              </w:rPr>
              <w:lastRenderedPageBreak/>
              <w:t>s</w:t>
            </w:r>
          </w:p>
        </w:tc>
        <w:tc>
          <w:tcPr>
            <w:tcW w:w="1880" w:type="dxa"/>
            <w:gridSpan w:val="6"/>
            <w:vMerge/>
            <w:vAlign w:val="bottom"/>
          </w:tcPr>
          <w:p w:rsidR="00AC12B4" w:rsidRDefault="00AC12B4">
            <w:pPr>
              <w:rPr>
                <w:sz w:val="12"/>
                <w:szCs w:val="12"/>
              </w:rPr>
            </w:pPr>
          </w:p>
        </w:tc>
        <w:tc>
          <w:tcPr>
            <w:tcW w:w="380" w:type="dxa"/>
            <w:tcBorders>
              <w:right w:val="single" w:sz="8" w:space="0" w:color="E05429"/>
            </w:tcBorders>
            <w:vAlign w:val="bottom"/>
          </w:tcPr>
          <w:p w:rsidR="00AC12B4" w:rsidRDefault="00AC12B4">
            <w:pPr>
              <w:rPr>
                <w:sz w:val="12"/>
                <w:szCs w:val="12"/>
              </w:rPr>
            </w:pPr>
          </w:p>
        </w:tc>
        <w:tc>
          <w:tcPr>
            <w:tcW w:w="1160" w:type="dxa"/>
            <w:gridSpan w:val="2"/>
            <w:vMerge/>
            <w:vAlign w:val="bottom"/>
          </w:tcPr>
          <w:p w:rsidR="00AC12B4" w:rsidRDefault="00AC12B4">
            <w:pPr>
              <w:rPr>
                <w:sz w:val="12"/>
                <w:szCs w:val="12"/>
              </w:rPr>
            </w:pPr>
          </w:p>
        </w:tc>
        <w:tc>
          <w:tcPr>
            <w:tcW w:w="540" w:type="dxa"/>
            <w:gridSpan w:val="2"/>
            <w:vMerge/>
            <w:vAlign w:val="bottom"/>
          </w:tcPr>
          <w:p w:rsidR="00AC12B4" w:rsidRDefault="00AC12B4">
            <w:pPr>
              <w:rPr>
                <w:sz w:val="12"/>
                <w:szCs w:val="12"/>
              </w:rPr>
            </w:pPr>
          </w:p>
        </w:tc>
        <w:tc>
          <w:tcPr>
            <w:tcW w:w="660" w:type="dxa"/>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2"/>
        </w:trPr>
        <w:tc>
          <w:tcPr>
            <w:tcW w:w="720" w:type="dxa"/>
            <w:vMerge/>
            <w:vAlign w:val="bottom"/>
          </w:tcPr>
          <w:p w:rsidR="00AC12B4" w:rsidRDefault="00AC12B4">
            <w:pPr>
              <w:rPr>
                <w:sz w:val="10"/>
                <w:szCs w:val="10"/>
              </w:rPr>
            </w:pPr>
          </w:p>
        </w:tc>
        <w:tc>
          <w:tcPr>
            <w:tcW w:w="940" w:type="dxa"/>
            <w:gridSpan w:val="2"/>
            <w:vMerge/>
            <w:vAlign w:val="bottom"/>
          </w:tcPr>
          <w:p w:rsidR="00AC12B4" w:rsidRDefault="00AC12B4">
            <w:pPr>
              <w:rPr>
                <w:sz w:val="10"/>
                <w:szCs w:val="10"/>
              </w:rPr>
            </w:pPr>
          </w:p>
        </w:tc>
        <w:tc>
          <w:tcPr>
            <w:tcW w:w="560" w:type="dxa"/>
            <w:vMerge/>
            <w:vAlign w:val="bottom"/>
          </w:tcPr>
          <w:p w:rsidR="00AC12B4" w:rsidRDefault="00AC12B4">
            <w:pPr>
              <w:rPr>
                <w:sz w:val="10"/>
                <w:szCs w:val="10"/>
              </w:rPr>
            </w:pPr>
          </w:p>
        </w:tc>
        <w:tc>
          <w:tcPr>
            <w:tcW w:w="580" w:type="dxa"/>
            <w:vMerge/>
            <w:vAlign w:val="bottom"/>
          </w:tcPr>
          <w:p w:rsidR="00AC12B4" w:rsidRDefault="00AC12B4">
            <w:pPr>
              <w:rPr>
                <w:sz w:val="10"/>
                <w:szCs w:val="10"/>
              </w:rPr>
            </w:pPr>
          </w:p>
        </w:tc>
        <w:tc>
          <w:tcPr>
            <w:tcW w:w="460" w:type="dxa"/>
            <w:vMerge/>
            <w:vAlign w:val="bottom"/>
          </w:tcPr>
          <w:p w:rsidR="00AC12B4" w:rsidRDefault="00AC12B4">
            <w:pPr>
              <w:rPr>
                <w:sz w:val="10"/>
                <w:szCs w:val="10"/>
              </w:rPr>
            </w:pPr>
          </w:p>
        </w:tc>
        <w:tc>
          <w:tcPr>
            <w:tcW w:w="1580" w:type="dxa"/>
            <w:gridSpan w:val="3"/>
            <w:vMerge/>
            <w:vAlign w:val="bottom"/>
          </w:tcPr>
          <w:p w:rsidR="00AC12B4" w:rsidRDefault="00AC12B4">
            <w:pPr>
              <w:rPr>
                <w:sz w:val="10"/>
                <w:szCs w:val="10"/>
              </w:rPr>
            </w:pPr>
          </w:p>
        </w:tc>
        <w:tc>
          <w:tcPr>
            <w:tcW w:w="1200" w:type="dxa"/>
            <w:gridSpan w:val="4"/>
            <w:vMerge w:val="restart"/>
            <w:vAlign w:val="bottom"/>
          </w:tcPr>
          <w:p w:rsidR="00AC12B4" w:rsidRDefault="00C27636">
            <w:pPr>
              <w:ind w:left="20"/>
              <w:rPr>
                <w:sz w:val="20"/>
                <w:szCs w:val="20"/>
              </w:rPr>
            </w:pPr>
            <w:r>
              <w:rPr>
                <w:rFonts w:ascii="Calibri" w:eastAsia="Calibri" w:hAnsi="Calibri" w:cs="Calibri"/>
              </w:rPr>
              <w:t>vulnér</w:t>
            </w:r>
            <w:r>
              <w:rPr>
                <w:rFonts w:ascii="Calibri" w:eastAsia="Calibri" w:hAnsi="Calibri" w:cs="Calibri"/>
              </w:rPr>
              <w:lastRenderedPageBreak/>
              <w:t>able</w:t>
            </w:r>
          </w:p>
        </w:tc>
        <w:tc>
          <w:tcPr>
            <w:tcW w:w="680" w:type="dxa"/>
            <w:gridSpan w:val="2"/>
            <w:vMerge w:val="restart"/>
            <w:vAlign w:val="bottom"/>
          </w:tcPr>
          <w:p w:rsidR="00AC12B4" w:rsidRDefault="00C27636">
            <w:pPr>
              <w:jc w:val="right"/>
              <w:rPr>
                <w:sz w:val="20"/>
                <w:szCs w:val="20"/>
              </w:rPr>
            </w:pPr>
            <w:r>
              <w:rPr>
                <w:rFonts w:ascii="Calibri" w:eastAsia="Calibri" w:hAnsi="Calibri" w:cs="Calibri"/>
              </w:rPr>
              <w:lastRenderedPageBreak/>
              <w:t>pou</w:t>
            </w:r>
            <w:r>
              <w:rPr>
                <w:rFonts w:ascii="Calibri" w:eastAsia="Calibri" w:hAnsi="Calibri" w:cs="Calibri"/>
              </w:rPr>
              <w:lastRenderedPageBreak/>
              <w:t>r</w:t>
            </w:r>
          </w:p>
        </w:tc>
        <w:tc>
          <w:tcPr>
            <w:tcW w:w="380" w:type="dxa"/>
            <w:tcBorders>
              <w:right w:val="single" w:sz="8" w:space="0" w:color="E05429"/>
            </w:tcBorders>
            <w:vAlign w:val="bottom"/>
          </w:tcPr>
          <w:p w:rsidR="00AC12B4" w:rsidRDefault="00AC12B4">
            <w:pPr>
              <w:rPr>
                <w:sz w:val="10"/>
                <w:szCs w:val="10"/>
              </w:rPr>
            </w:pPr>
          </w:p>
        </w:tc>
        <w:tc>
          <w:tcPr>
            <w:tcW w:w="1160" w:type="dxa"/>
            <w:gridSpan w:val="2"/>
            <w:vMerge w:val="restart"/>
            <w:vAlign w:val="bottom"/>
          </w:tcPr>
          <w:p w:rsidR="00AC12B4" w:rsidRDefault="00C27636">
            <w:pPr>
              <w:spacing w:line="277" w:lineRule="exact"/>
              <w:ind w:left="140"/>
              <w:rPr>
                <w:sz w:val="20"/>
                <w:szCs w:val="20"/>
              </w:rPr>
            </w:pPr>
            <w:r>
              <w:rPr>
                <w:rFonts w:ascii="Comic Sans MS" w:eastAsia="Comic Sans MS" w:hAnsi="Comic Sans MS" w:cs="Comic Sans MS"/>
                <w:color w:val="0D0D0D"/>
                <w:sz w:val="20"/>
                <w:szCs w:val="20"/>
              </w:rPr>
              <w:t xml:space="preserve">un  </w:t>
            </w:r>
            <w:r>
              <w:rPr>
                <w:rFonts w:ascii="Comic Sans MS" w:eastAsia="Comic Sans MS" w:hAnsi="Comic Sans MS" w:cs="Comic Sans MS"/>
                <w:color w:val="0D0D0D"/>
                <w:sz w:val="20"/>
                <w:szCs w:val="20"/>
              </w:rPr>
              <w:lastRenderedPageBreak/>
              <w:t>terrain</w:t>
            </w:r>
          </w:p>
        </w:tc>
        <w:tc>
          <w:tcPr>
            <w:tcW w:w="340" w:type="dxa"/>
            <w:vMerge w:val="restart"/>
            <w:vAlign w:val="bottom"/>
          </w:tcPr>
          <w:p w:rsidR="00AC12B4" w:rsidRDefault="00C27636">
            <w:pPr>
              <w:spacing w:line="277" w:lineRule="exact"/>
              <w:ind w:left="100"/>
              <w:rPr>
                <w:sz w:val="20"/>
                <w:szCs w:val="20"/>
              </w:rPr>
            </w:pPr>
            <w:r>
              <w:rPr>
                <w:rFonts w:ascii="Comic Sans MS" w:eastAsia="Comic Sans MS" w:hAnsi="Comic Sans MS" w:cs="Comic Sans MS"/>
                <w:color w:val="0D0D0D"/>
                <w:w w:val="96"/>
                <w:sz w:val="20"/>
                <w:szCs w:val="20"/>
              </w:rPr>
              <w:lastRenderedPageBreak/>
              <w:t>d</w:t>
            </w:r>
            <w:r>
              <w:rPr>
                <w:rFonts w:ascii="Comic Sans MS" w:eastAsia="Comic Sans MS" w:hAnsi="Comic Sans MS" w:cs="Comic Sans MS"/>
                <w:color w:val="0D0D0D"/>
                <w:w w:val="96"/>
                <w:sz w:val="20"/>
                <w:szCs w:val="20"/>
              </w:rPr>
              <w:lastRenderedPageBreak/>
              <w:t>e</w:t>
            </w:r>
          </w:p>
        </w:tc>
        <w:tc>
          <w:tcPr>
            <w:tcW w:w="860" w:type="dxa"/>
            <w:gridSpan w:val="2"/>
            <w:vMerge w:val="restart"/>
            <w:vAlign w:val="bottom"/>
          </w:tcPr>
          <w:p w:rsidR="00AC12B4" w:rsidRDefault="00C27636">
            <w:pPr>
              <w:spacing w:line="277" w:lineRule="exact"/>
              <w:jc w:val="right"/>
              <w:rPr>
                <w:sz w:val="20"/>
                <w:szCs w:val="20"/>
              </w:rPr>
            </w:pPr>
            <w:r>
              <w:rPr>
                <w:rFonts w:ascii="Comic Sans MS" w:eastAsia="Comic Sans MS" w:hAnsi="Comic Sans MS" w:cs="Comic Sans MS"/>
                <w:color w:val="0D0D0D"/>
                <w:sz w:val="20"/>
                <w:szCs w:val="20"/>
              </w:rPr>
              <w:lastRenderedPageBreak/>
              <w:t xml:space="preserve">jeux  </w:t>
            </w:r>
            <w:r>
              <w:rPr>
                <w:rFonts w:ascii="Comic Sans MS" w:eastAsia="Comic Sans MS" w:hAnsi="Comic Sans MS" w:cs="Comic Sans MS"/>
                <w:color w:val="0D0D0D"/>
                <w:sz w:val="20"/>
                <w:szCs w:val="20"/>
              </w:rPr>
              <w:lastRenderedPageBreak/>
              <w:t>ou</w:t>
            </w:r>
          </w:p>
        </w:tc>
        <w:tc>
          <w:tcPr>
            <w:tcW w:w="0" w:type="dxa"/>
            <w:vAlign w:val="bottom"/>
          </w:tcPr>
          <w:p w:rsidR="00AC12B4" w:rsidRDefault="00AC12B4">
            <w:pPr>
              <w:rPr>
                <w:sz w:val="1"/>
                <w:szCs w:val="1"/>
              </w:rPr>
            </w:pPr>
          </w:p>
        </w:tc>
      </w:tr>
      <w:tr w:rsidR="00AC12B4" w:rsidRPr="00C27636">
        <w:trPr>
          <w:trHeight w:val="156"/>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lastRenderedPageBreak/>
              <w:t>d'enfants. Par ailleurs, les enfants ont non</w:t>
            </w:r>
          </w:p>
        </w:tc>
        <w:tc>
          <w:tcPr>
            <w:tcW w:w="1200" w:type="dxa"/>
            <w:gridSpan w:val="4"/>
            <w:vMerge/>
            <w:vAlign w:val="bottom"/>
          </w:tcPr>
          <w:p w:rsidR="00AC12B4" w:rsidRPr="00C27636" w:rsidRDefault="00AC12B4">
            <w:pPr>
              <w:rPr>
                <w:sz w:val="13"/>
                <w:szCs w:val="13"/>
                <w:lang w:val="fr-BE"/>
              </w:rPr>
            </w:pPr>
          </w:p>
        </w:tc>
        <w:tc>
          <w:tcPr>
            <w:tcW w:w="680" w:type="dxa"/>
            <w:gridSpan w:val="2"/>
            <w:vMerge/>
            <w:vAlign w:val="bottom"/>
          </w:tcPr>
          <w:p w:rsidR="00AC12B4" w:rsidRPr="00C27636" w:rsidRDefault="00AC12B4">
            <w:pPr>
              <w:rPr>
                <w:sz w:val="13"/>
                <w:szCs w:val="13"/>
                <w:lang w:val="fr-BE"/>
              </w:rPr>
            </w:pPr>
          </w:p>
        </w:tc>
        <w:tc>
          <w:tcPr>
            <w:tcW w:w="380" w:type="dxa"/>
            <w:tcBorders>
              <w:right w:val="single" w:sz="8" w:space="0" w:color="E05429"/>
            </w:tcBorders>
            <w:vAlign w:val="bottom"/>
          </w:tcPr>
          <w:p w:rsidR="00AC12B4" w:rsidRPr="00C27636" w:rsidRDefault="00AC12B4">
            <w:pPr>
              <w:rPr>
                <w:sz w:val="13"/>
                <w:szCs w:val="13"/>
                <w:lang w:val="fr-BE"/>
              </w:rPr>
            </w:pPr>
          </w:p>
        </w:tc>
        <w:tc>
          <w:tcPr>
            <w:tcW w:w="1160" w:type="dxa"/>
            <w:gridSpan w:val="2"/>
            <w:vMerge/>
            <w:vAlign w:val="bottom"/>
          </w:tcPr>
          <w:p w:rsidR="00AC12B4" w:rsidRPr="00C27636" w:rsidRDefault="00AC12B4">
            <w:pPr>
              <w:rPr>
                <w:sz w:val="13"/>
                <w:szCs w:val="13"/>
                <w:lang w:val="fr-BE"/>
              </w:rPr>
            </w:pPr>
          </w:p>
        </w:tc>
        <w:tc>
          <w:tcPr>
            <w:tcW w:w="340" w:type="dxa"/>
            <w:vMerge/>
            <w:vAlign w:val="bottom"/>
          </w:tcPr>
          <w:p w:rsidR="00AC12B4" w:rsidRPr="00C27636" w:rsidRDefault="00AC12B4">
            <w:pPr>
              <w:rPr>
                <w:sz w:val="13"/>
                <w:szCs w:val="13"/>
                <w:lang w:val="fr-BE"/>
              </w:rPr>
            </w:pPr>
          </w:p>
        </w:tc>
        <w:tc>
          <w:tcPr>
            <w:tcW w:w="860" w:type="dxa"/>
            <w:gridSpan w:val="2"/>
            <w:vMerge/>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113"/>
        </w:trPr>
        <w:tc>
          <w:tcPr>
            <w:tcW w:w="4840" w:type="dxa"/>
            <w:gridSpan w:val="9"/>
            <w:vMerge/>
            <w:vAlign w:val="bottom"/>
          </w:tcPr>
          <w:p w:rsidR="00AC12B4" w:rsidRPr="00C27636" w:rsidRDefault="00AC12B4">
            <w:pPr>
              <w:rPr>
                <w:sz w:val="9"/>
                <w:szCs w:val="9"/>
                <w:lang w:val="fr-BE"/>
              </w:rPr>
            </w:pPr>
          </w:p>
        </w:tc>
        <w:tc>
          <w:tcPr>
            <w:tcW w:w="1200" w:type="dxa"/>
            <w:gridSpan w:val="4"/>
            <w:vMerge w:val="restart"/>
            <w:vAlign w:val="bottom"/>
          </w:tcPr>
          <w:p w:rsidR="00AC12B4" w:rsidRDefault="00C27636">
            <w:pPr>
              <w:ind w:left="20"/>
              <w:rPr>
                <w:sz w:val="20"/>
                <w:szCs w:val="20"/>
              </w:rPr>
            </w:pPr>
            <w:r>
              <w:rPr>
                <w:rFonts w:ascii="Calibri" w:eastAsia="Calibri" w:hAnsi="Calibri" w:cs="Calibri"/>
                <w:w w:val="98"/>
              </w:rPr>
              <w:t>l’accessibilité</w:t>
            </w:r>
          </w:p>
        </w:tc>
        <w:tc>
          <w:tcPr>
            <w:tcW w:w="300" w:type="dxa"/>
            <w:vAlign w:val="bottom"/>
          </w:tcPr>
          <w:p w:rsidR="00AC12B4" w:rsidRDefault="00AC12B4">
            <w:pPr>
              <w:rPr>
                <w:sz w:val="9"/>
                <w:szCs w:val="9"/>
              </w:rPr>
            </w:pPr>
          </w:p>
        </w:tc>
        <w:tc>
          <w:tcPr>
            <w:tcW w:w="380" w:type="dxa"/>
            <w:vMerge w:val="restart"/>
            <w:vAlign w:val="bottom"/>
          </w:tcPr>
          <w:p w:rsidR="00AC12B4" w:rsidRDefault="00C27636">
            <w:pPr>
              <w:jc w:val="right"/>
              <w:rPr>
                <w:sz w:val="20"/>
                <w:szCs w:val="20"/>
              </w:rPr>
            </w:pPr>
            <w:r>
              <w:rPr>
                <w:rFonts w:ascii="Calibri" w:eastAsia="Calibri" w:hAnsi="Calibri" w:cs="Calibri"/>
                <w:w w:val="94"/>
              </w:rPr>
              <w:t>aux</w:t>
            </w:r>
          </w:p>
        </w:tc>
        <w:tc>
          <w:tcPr>
            <w:tcW w:w="380" w:type="dxa"/>
            <w:tcBorders>
              <w:right w:val="single" w:sz="8" w:space="0" w:color="E05429"/>
            </w:tcBorders>
            <w:vAlign w:val="bottom"/>
          </w:tcPr>
          <w:p w:rsidR="00AC12B4" w:rsidRDefault="00AC12B4">
            <w:pPr>
              <w:rPr>
                <w:sz w:val="9"/>
                <w:szCs w:val="9"/>
              </w:rPr>
            </w:pPr>
          </w:p>
        </w:tc>
        <w:tc>
          <w:tcPr>
            <w:tcW w:w="2360" w:type="dxa"/>
            <w:gridSpan w:val="5"/>
            <w:vMerge w:val="restart"/>
            <w:vAlign w:val="bottom"/>
          </w:tcPr>
          <w:p w:rsidR="00AC12B4" w:rsidRPr="00C27636" w:rsidRDefault="00C27636">
            <w:pPr>
              <w:spacing w:line="277" w:lineRule="exact"/>
              <w:ind w:left="140"/>
              <w:rPr>
                <w:sz w:val="20"/>
                <w:szCs w:val="20"/>
                <w:lang w:val="fr-BE"/>
              </w:rPr>
            </w:pPr>
            <w:r w:rsidRPr="00C27636">
              <w:rPr>
                <w:rFonts w:ascii="Comic Sans MS" w:eastAsia="Comic Sans MS" w:hAnsi="Comic Sans MS" w:cs="Comic Sans MS"/>
                <w:color w:val="0D0D0D"/>
                <w:sz w:val="20"/>
                <w:szCs w:val="20"/>
                <w:lang w:val="fr-BE"/>
              </w:rPr>
              <w:t>un parc pour jouer près</w:t>
            </w:r>
          </w:p>
        </w:tc>
        <w:tc>
          <w:tcPr>
            <w:tcW w:w="0" w:type="dxa"/>
            <w:vAlign w:val="bottom"/>
          </w:tcPr>
          <w:p w:rsidR="00AC12B4" w:rsidRPr="00C27636" w:rsidRDefault="00AC12B4">
            <w:pPr>
              <w:rPr>
                <w:sz w:val="1"/>
                <w:szCs w:val="1"/>
                <w:lang w:val="fr-BE"/>
              </w:rPr>
            </w:pPr>
          </w:p>
        </w:tc>
      </w:tr>
      <w:tr w:rsidR="00AC12B4" w:rsidRPr="00C27636">
        <w:trPr>
          <w:trHeight w:val="166"/>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 xml:space="preserve">seulement le </w:t>
            </w:r>
            <w:r w:rsidRPr="00C27636">
              <w:rPr>
                <w:rFonts w:ascii="Calibri" w:eastAsia="Calibri" w:hAnsi="Calibri" w:cs="Calibri"/>
                <w:lang w:val="fr-BE"/>
              </w:rPr>
              <w:t>droit de se développer par le</w:t>
            </w:r>
          </w:p>
        </w:tc>
        <w:tc>
          <w:tcPr>
            <w:tcW w:w="1200" w:type="dxa"/>
            <w:gridSpan w:val="4"/>
            <w:vMerge/>
            <w:vAlign w:val="bottom"/>
          </w:tcPr>
          <w:p w:rsidR="00AC12B4" w:rsidRPr="00C27636" w:rsidRDefault="00AC12B4">
            <w:pPr>
              <w:rPr>
                <w:sz w:val="14"/>
                <w:szCs w:val="14"/>
                <w:lang w:val="fr-BE"/>
              </w:rPr>
            </w:pPr>
          </w:p>
        </w:tc>
        <w:tc>
          <w:tcPr>
            <w:tcW w:w="300" w:type="dxa"/>
            <w:vAlign w:val="bottom"/>
          </w:tcPr>
          <w:p w:rsidR="00AC12B4" w:rsidRPr="00C27636" w:rsidRDefault="00AC12B4">
            <w:pPr>
              <w:rPr>
                <w:sz w:val="14"/>
                <w:szCs w:val="14"/>
                <w:lang w:val="fr-BE"/>
              </w:rPr>
            </w:pPr>
          </w:p>
        </w:tc>
        <w:tc>
          <w:tcPr>
            <w:tcW w:w="380" w:type="dxa"/>
            <w:vMerge/>
            <w:vAlign w:val="bottom"/>
          </w:tcPr>
          <w:p w:rsidR="00AC12B4" w:rsidRPr="00C27636" w:rsidRDefault="00AC12B4">
            <w:pPr>
              <w:rPr>
                <w:sz w:val="14"/>
                <w:szCs w:val="14"/>
                <w:lang w:val="fr-BE"/>
              </w:rPr>
            </w:pPr>
          </w:p>
        </w:tc>
        <w:tc>
          <w:tcPr>
            <w:tcW w:w="380" w:type="dxa"/>
            <w:tcBorders>
              <w:right w:val="single" w:sz="8" w:space="0" w:color="E05429"/>
            </w:tcBorders>
            <w:vAlign w:val="bottom"/>
          </w:tcPr>
          <w:p w:rsidR="00AC12B4" w:rsidRPr="00C27636" w:rsidRDefault="00AC12B4">
            <w:pPr>
              <w:rPr>
                <w:sz w:val="14"/>
                <w:szCs w:val="14"/>
                <w:lang w:val="fr-BE"/>
              </w:rPr>
            </w:pPr>
          </w:p>
        </w:tc>
        <w:tc>
          <w:tcPr>
            <w:tcW w:w="2360" w:type="dxa"/>
            <w:gridSpan w:val="5"/>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3"/>
        </w:trPr>
        <w:tc>
          <w:tcPr>
            <w:tcW w:w="4840" w:type="dxa"/>
            <w:gridSpan w:val="9"/>
            <w:vMerge/>
            <w:vAlign w:val="bottom"/>
          </w:tcPr>
          <w:p w:rsidR="00AC12B4" w:rsidRPr="00C27636" w:rsidRDefault="00AC12B4">
            <w:pPr>
              <w:rPr>
                <w:sz w:val="8"/>
                <w:szCs w:val="8"/>
                <w:lang w:val="fr-BE"/>
              </w:rPr>
            </w:pPr>
          </w:p>
        </w:tc>
        <w:tc>
          <w:tcPr>
            <w:tcW w:w="560" w:type="dxa"/>
            <w:vMerge w:val="restart"/>
            <w:vAlign w:val="bottom"/>
          </w:tcPr>
          <w:p w:rsidR="00AC12B4" w:rsidRDefault="00C27636">
            <w:pPr>
              <w:ind w:left="20"/>
              <w:rPr>
                <w:sz w:val="20"/>
                <w:szCs w:val="20"/>
              </w:rPr>
            </w:pPr>
            <w:r>
              <w:rPr>
                <w:rFonts w:ascii="Calibri" w:eastAsia="Calibri" w:hAnsi="Calibri" w:cs="Calibri"/>
              </w:rPr>
              <w:t>lieux</w:t>
            </w:r>
          </w:p>
        </w:tc>
        <w:tc>
          <w:tcPr>
            <w:tcW w:w="940" w:type="dxa"/>
            <w:gridSpan w:val="4"/>
            <w:vMerge w:val="restart"/>
            <w:vAlign w:val="bottom"/>
          </w:tcPr>
          <w:p w:rsidR="00AC12B4" w:rsidRDefault="00C27636">
            <w:pPr>
              <w:rPr>
                <w:sz w:val="20"/>
                <w:szCs w:val="20"/>
              </w:rPr>
            </w:pPr>
            <w:r>
              <w:rPr>
                <w:rFonts w:ascii="Calibri" w:eastAsia="Calibri" w:hAnsi="Calibri" w:cs="Calibri"/>
              </w:rPr>
              <w:t>de loisirs</w:t>
            </w:r>
          </w:p>
        </w:tc>
        <w:tc>
          <w:tcPr>
            <w:tcW w:w="380" w:type="dxa"/>
            <w:vMerge w:val="restart"/>
            <w:vAlign w:val="bottom"/>
          </w:tcPr>
          <w:p w:rsidR="00AC12B4" w:rsidRDefault="00C27636">
            <w:pPr>
              <w:jc w:val="right"/>
              <w:rPr>
                <w:sz w:val="20"/>
                <w:szCs w:val="20"/>
              </w:rPr>
            </w:pPr>
            <w:r>
              <w:rPr>
                <w:rFonts w:ascii="Calibri" w:eastAsia="Calibri" w:hAnsi="Calibri" w:cs="Calibri"/>
              </w:rPr>
              <w:t>est</w:t>
            </w:r>
          </w:p>
        </w:tc>
        <w:tc>
          <w:tcPr>
            <w:tcW w:w="380" w:type="dxa"/>
            <w:tcBorders>
              <w:right w:val="single" w:sz="8" w:space="0" w:color="E05429"/>
            </w:tcBorders>
            <w:vAlign w:val="bottom"/>
          </w:tcPr>
          <w:p w:rsidR="00AC12B4" w:rsidRDefault="00AC12B4">
            <w:pPr>
              <w:rPr>
                <w:sz w:val="8"/>
                <w:szCs w:val="8"/>
              </w:rPr>
            </w:pPr>
          </w:p>
        </w:tc>
        <w:tc>
          <w:tcPr>
            <w:tcW w:w="1700" w:type="dxa"/>
            <w:gridSpan w:val="4"/>
            <w:vMerge w:val="restart"/>
            <w:vAlign w:val="bottom"/>
          </w:tcPr>
          <w:p w:rsidR="00AC12B4" w:rsidRDefault="00C27636">
            <w:pPr>
              <w:spacing w:line="277" w:lineRule="exact"/>
              <w:ind w:left="140"/>
              <w:rPr>
                <w:sz w:val="20"/>
                <w:szCs w:val="20"/>
              </w:rPr>
            </w:pPr>
            <w:r>
              <w:rPr>
                <w:rFonts w:ascii="Comic Sans MS" w:eastAsia="Comic Sans MS" w:hAnsi="Comic Sans MS" w:cs="Comic Sans MS"/>
                <w:color w:val="0D0D0D"/>
                <w:sz w:val="20"/>
                <w:szCs w:val="20"/>
              </w:rPr>
              <w:t>de  leur  maison</w:t>
            </w:r>
          </w:p>
        </w:tc>
        <w:tc>
          <w:tcPr>
            <w:tcW w:w="660" w:type="dxa"/>
            <w:vMerge w:val="restart"/>
            <w:vAlign w:val="bottom"/>
          </w:tcPr>
          <w:p w:rsidR="00AC12B4" w:rsidRDefault="00C27636">
            <w:pPr>
              <w:spacing w:line="277" w:lineRule="exact"/>
              <w:jc w:val="right"/>
              <w:rPr>
                <w:sz w:val="20"/>
                <w:szCs w:val="20"/>
              </w:rPr>
            </w:pPr>
            <w:r>
              <w:rPr>
                <w:rFonts w:ascii="Comic Sans MS" w:eastAsia="Comic Sans MS" w:hAnsi="Comic Sans MS" w:cs="Comic Sans MS"/>
                <w:color w:val="0D0D0D"/>
                <w:sz w:val="20"/>
                <w:szCs w:val="20"/>
              </w:rPr>
              <w:t>(HBSC</w:t>
            </w:r>
          </w:p>
        </w:tc>
        <w:tc>
          <w:tcPr>
            <w:tcW w:w="0" w:type="dxa"/>
            <w:vAlign w:val="bottom"/>
          </w:tcPr>
          <w:p w:rsidR="00AC12B4" w:rsidRDefault="00AC12B4">
            <w:pPr>
              <w:rPr>
                <w:sz w:val="1"/>
                <w:szCs w:val="1"/>
              </w:rPr>
            </w:pPr>
          </w:p>
        </w:tc>
      </w:tr>
      <w:tr w:rsidR="00AC12B4">
        <w:trPr>
          <w:trHeight w:val="175"/>
        </w:trPr>
        <w:tc>
          <w:tcPr>
            <w:tcW w:w="720" w:type="dxa"/>
            <w:vMerge w:val="restart"/>
            <w:vAlign w:val="bottom"/>
          </w:tcPr>
          <w:p w:rsidR="00AC12B4" w:rsidRDefault="00C27636">
            <w:pPr>
              <w:ind w:left="260"/>
              <w:rPr>
                <w:sz w:val="20"/>
                <w:szCs w:val="20"/>
              </w:rPr>
            </w:pPr>
            <w:r>
              <w:rPr>
                <w:rFonts w:ascii="Calibri" w:eastAsia="Calibri" w:hAnsi="Calibri" w:cs="Calibri"/>
              </w:rPr>
              <w:t>jeu,</w:t>
            </w:r>
          </w:p>
        </w:tc>
        <w:tc>
          <w:tcPr>
            <w:tcW w:w="620" w:type="dxa"/>
            <w:vMerge w:val="restart"/>
            <w:vAlign w:val="bottom"/>
          </w:tcPr>
          <w:p w:rsidR="00AC12B4" w:rsidRDefault="00C27636">
            <w:pPr>
              <w:ind w:left="60"/>
              <w:rPr>
                <w:sz w:val="20"/>
                <w:szCs w:val="20"/>
              </w:rPr>
            </w:pPr>
            <w:r>
              <w:rPr>
                <w:rFonts w:ascii="Calibri" w:eastAsia="Calibri" w:hAnsi="Calibri" w:cs="Calibri"/>
              </w:rPr>
              <w:t>mais</w:t>
            </w:r>
          </w:p>
        </w:tc>
        <w:tc>
          <w:tcPr>
            <w:tcW w:w="320" w:type="dxa"/>
            <w:vMerge w:val="restart"/>
            <w:vAlign w:val="bottom"/>
          </w:tcPr>
          <w:p w:rsidR="00AC12B4" w:rsidRDefault="00C27636">
            <w:pPr>
              <w:ind w:left="60"/>
              <w:rPr>
                <w:sz w:val="20"/>
                <w:szCs w:val="20"/>
              </w:rPr>
            </w:pPr>
            <w:r>
              <w:rPr>
                <w:rFonts w:ascii="Calibri" w:eastAsia="Calibri" w:hAnsi="Calibri" w:cs="Calibri"/>
              </w:rPr>
              <w:t>ils</w:t>
            </w:r>
          </w:p>
        </w:tc>
        <w:tc>
          <w:tcPr>
            <w:tcW w:w="2120" w:type="dxa"/>
            <w:gridSpan w:val="5"/>
            <w:vMerge w:val="restart"/>
            <w:vAlign w:val="bottom"/>
          </w:tcPr>
          <w:p w:rsidR="00AC12B4" w:rsidRDefault="00C27636">
            <w:pPr>
              <w:ind w:left="100"/>
              <w:rPr>
                <w:sz w:val="20"/>
                <w:szCs w:val="20"/>
              </w:rPr>
            </w:pPr>
            <w:r>
              <w:rPr>
                <w:rFonts w:ascii="Calibri" w:eastAsia="Calibri" w:hAnsi="Calibri" w:cs="Calibri"/>
              </w:rPr>
              <w:t>doivent  également</w:t>
            </w:r>
          </w:p>
        </w:tc>
        <w:tc>
          <w:tcPr>
            <w:tcW w:w="1060" w:type="dxa"/>
            <w:vMerge w:val="restart"/>
            <w:vAlign w:val="bottom"/>
          </w:tcPr>
          <w:p w:rsidR="00AC12B4" w:rsidRDefault="00C27636">
            <w:pPr>
              <w:ind w:right="597"/>
              <w:jc w:val="right"/>
              <w:rPr>
                <w:sz w:val="20"/>
                <w:szCs w:val="20"/>
              </w:rPr>
            </w:pPr>
            <w:r>
              <w:rPr>
                <w:rFonts w:ascii="Calibri" w:eastAsia="Calibri" w:hAnsi="Calibri" w:cs="Calibri"/>
                <w:w w:val="91"/>
              </w:rPr>
              <w:t>être</w:t>
            </w:r>
          </w:p>
        </w:tc>
        <w:tc>
          <w:tcPr>
            <w:tcW w:w="560" w:type="dxa"/>
            <w:vMerge/>
            <w:vAlign w:val="bottom"/>
          </w:tcPr>
          <w:p w:rsidR="00AC12B4" w:rsidRDefault="00AC12B4">
            <w:pPr>
              <w:rPr>
                <w:sz w:val="15"/>
                <w:szCs w:val="15"/>
              </w:rPr>
            </w:pPr>
          </w:p>
        </w:tc>
        <w:tc>
          <w:tcPr>
            <w:tcW w:w="940" w:type="dxa"/>
            <w:gridSpan w:val="4"/>
            <w:vMerge/>
            <w:vAlign w:val="bottom"/>
          </w:tcPr>
          <w:p w:rsidR="00AC12B4" w:rsidRDefault="00AC12B4">
            <w:pPr>
              <w:rPr>
                <w:sz w:val="15"/>
                <w:szCs w:val="15"/>
              </w:rPr>
            </w:pPr>
          </w:p>
        </w:tc>
        <w:tc>
          <w:tcPr>
            <w:tcW w:w="380" w:type="dxa"/>
            <w:vMerge/>
            <w:vAlign w:val="bottom"/>
          </w:tcPr>
          <w:p w:rsidR="00AC12B4" w:rsidRDefault="00AC12B4">
            <w:pPr>
              <w:rPr>
                <w:sz w:val="15"/>
                <w:szCs w:val="15"/>
              </w:rPr>
            </w:pPr>
          </w:p>
        </w:tc>
        <w:tc>
          <w:tcPr>
            <w:tcW w:w="380" w:type="dxa"/>
            <w:tcBorders>
              <w:right w:val="single" w:sz="8" w:space="0" w:color="E05429"/>
            </w:tcBorders>
            <w:vAlign w:val="bottom"/>
          </w:tcPr>
          <w:p w:rsidR="00AC12B4" w:rsidRDefault="00AC12B4">
            <w:pPr>
              <w:rPr>
                <w:sz w:val="15"/>
                <w:szCs w:val="15"/>
              </w:rPr>
            </w:pPr>
          </w:p>
        </w:tc>
        <w:tc>
          <w:tcPr>
            <w:tcW w:w="1700" w:type="dxa"/>
            <w:gridSpan w:val="4"/>
            <w:vMerge/>
            <w:vAlign w:val="bottom"/>
          </w:tcPr>
          <w:p w:rsidR="00AC12B4" w:rsidRDefault="00AC12B4">
            <w:pPr>
              <w:rPr>
                <w:sz w:val="15"/>
                <w:szCs w:val="15"/>
              </w:rPr>
            </w:pPr>
          </w:p>
        </w:tc>
        <w:tc>
          <w:tcPr>
            <w:tcW w:w="660" w:type="dxa"/>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4"/>
        </w:trPr>
        <w:tc>
          <w:tcPr>
            <w:tcW w:w="720" w:type="dxa"/>
            <w:vMerge/>
            <w:vAlign w:val="bottom"/>
          </w:tcPr>
          <w:p w:rsidR="00AC12B4" w:rsidRDefault="00AC12B4">
            <w:pPr>
              <w:rPr>
                <w:sz w:val="8"/>
                <w:szCs w:val="8"/>
              </w:rPr>
            </w:pPr>
          </w:p>
        </w:tc>
        <w:tc>
          <w:tcPr>
            <w:tcW w:w="620" w:type="dxa"/>
            <w:vMerge/>
            <w:vAlign w:val="bottom"/>
          </w:tcPr>
          <w:p w:rsidR="00AC12B4" w:rsidRDefault="00AC12B4">
            <w:pPr>
              <w:rPr>
                <w:sz w:val="8"/>
                <w:szCs w:val="8"/>
              </w:rPr>
            </w:pPr>
          </w:p>
        </w:tc>
        <w:tc>
          <w:tcPr>
            <w:tcW w:w="320" w:type="dxa"/>
            <w:vMerge/>
            <w:vAlign w:val="bottom"/>
          </w:tcPr>
          <w:p w:rsidR="00AC12B4" w:rsidRDefault="00AC12B4">
            <w:pPr>
              <w:rPr>
                <w:sz w:val="8"/>
                <w:szCs w:val="8"/>
              </w:rPr>
            </w:pPr>
          </w:p>
        </w:tc>
        <w:tc>
          <w:tcPr>
            <w:tcW w:w="2120" w:type="dxa"/>
            <w:gridSpan w:val="5"/>
            <w:vMerge/>
            <w:vAlign w:val="bottom"/>
          </w:tcPr>
          <w:p w:rsidR="00AC12B4" w:rsidRDefault="00AC12B4">
            <w:pPr>
              <w:rPr>
                <w:sz w:val="8"/>
                <w:szCs w:val="8"/>
              </w:rPr>
            </w:pPr>
          </w:p>
        </w:tc>
        <w:tc>
          <w:tcPr>
            <w:tcW w:w="1060" w:type="dxa"/>
            <w:vMerge/>
            <w:vAlign w:val="bottom"/>
          </w:tcPr>
          <w:p w:rsidR="00AC12B4" w:rsidRDefault="00AC12B4">
            <w:pPr>
              <w:rPr>
                <w:sz w:val="8"/>
                <w:szCs w:val="8"/>
              </w:rPr>
            </w:pPr>
          </w:p>
        </w:tc>
        <w:tc>
          <w:tcPr>
            <w:tcW w:w="560" w:type="dxa"/>
            <w:vMerge w:val="restart"/>
            <w:vAlign w:val="bottom"/>
          </w:tcPr>
          <w:p w:rsidR="00AC12B4" w:rsidRDefault="00C27636">
            <w:pPr>
              <w:ind w:left="20"/>
              <w:rPr>
                <w:sz w:val="20"/>
                <w:szCs w:val="20"/>
              </w:rPr>
            </w:pPr>
            <w:r>
              <w:rPr>
                <w:rFonts w:ascii="Calibri" w:eastAsia="Calibri" w:hAnsi="Calibri" w:cs="Calibri"/>
              </w:rPr>
              <w:t>celui</w:t>
            </w:r>
          </w:p>
        </w:tc>
        <w:tc>
          <w:tcPr>
            <w:tcW w:w="400" w:type="dxa"/>
            <w:gridSpan w:val="2"/>
            <w:vMerge w:val="restart"/>
            <w:vAlign w:val="bottom"/>
          </w:tcPr>
          <w:p w:rsidR="00AC12B4" w:rsidRDefault="00C27636">
            <w:pPr>
              <w:ind w:left="80"/>
              <w:rPr>
                <w:sz w:val="20"/>
                <w:szCs w:val="20"/>
              </w:rPr>
            </w:pPr>
            <w:r>
              <w:rPr>
                <w:rFonts w:ascii="Calibri" w:eastAsia="Calibri" w:hAnsi="Calibri" w:cs="Calibri"/>
                <w:w w:val="96"/>
              </w:rPr>
              <w:t>des</w:t>
            </w:r>
          </w:p>
        </w:tc>
        <w:tc>
          <w:tcPr>
            <w:tcW w:w="920" w:type="dxa"/>
            <w:gridSpan w:val="3"/>
            <w:vMerge w:val="restart"/>
            <w:vAlign w:val="bottom"/>
          </w:tcPr>
          <w:p w:rsidR="00AC12B4" w:rsidRDefault="00C27636">
            <w:pPr>
              <w:jc w:val="right"/>
              <w:rPr>
                <w:sz w:val="20"/>
                <w:szCs w:val="20"/>
              </w:rPr>
            </w:pPr>
            <w:r>
              <w:rPr>
                <w:rFonts w:ascii="Calibri" w:eastAsia="Calibri" w:hAnsi="Calibri" w:cs="Calibri"/>
              </w:rPr>
              <w:t>enfants</w:t>
            </w:r>
          </w:p>
        </w:tc>
        <w:tc>
          <w:tcPr>
            <w:tcW w:w="380" w:type="dxa"/>
            <w:tcBorders>
              <w:right w:val="single" w:sz="8" w:space="0" w:color="E05429"/>
            </w:tcBorders>
            <w:vAlign w:val="bottom"/>
          </w:tcPr>
          <w:p w:rsidR="00AC12B4" w:rsidRDefault="00AC12B4">
            <w:pPr>
              <w:rPr>
                <w:sz w:val="8"/>
                <w:szCs w:val="8"/>
              </w:rPr>
            </w:pPr>
          </w:p>
        </w:tc>
        <w:tc>
          <w:tcPr>
            <w:tcW w:w="760" w:type="dxa"/>
            <w:vMerge w:val="restart"/>
            <w:vAlign w:val="bottom"/>
          </w:tcPr>
          <w:p w:rsidR="00AC12B4" w:rsidRDefault="00C27636">
            <w:pPr>
              <w:spacing w:line="277" w:lineRule="exact"/>
              <w:ind w:left="140"/>
              <w:rPr>
                <w:sz w:val="20"/>
                <w:szCs w:val="20"/>
              </w:rPr>
            </w:pPr>
            <w:r>
              <w:rPr>
                <w:rFonts w:ascii="Comic Sans MS" w:eastAsia="Comic Sans MS" w:hAnsi="Comic Sans MS" w:cs="Comic Sans MS"/>
                <w:color w:val="0D0D0D"/>
                <w:sz w:val="20"/>
                <w:szCs w:val="20"/>
              </w:rPr>
              <w:t>2014)</w:t>
            </w:r>
          </w:p>
        </w:tc>
        <w:tc>
          <w:tcPr>
            <w:tcW w:w="40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6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19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associés à la politique menée en la matière</w:t>
            </w:r>
          </w:p>
        </w:tc>
        <w:tc>
          <w:tcPr>
            <w:tcW w:w="560" w:type="dxa"/>
            <w:vMerge/>
            <w:vAlign w:val="bottom"/>
          </w:tcPr>
          <w:p w:rsidR="00AC12B4" w:rsidRPr="00C27636" w:rsidRDefault="00AC12B4">
            <w:pPr>
              <w:rPr>
                <w:sz w:val="16"/>
                <w:szCs w:val="16"/>
                <w:lang w:val="fr-BE"/>
              </w:rPr>
            </w:pPr>
          </w:p>
        </w:tc>
        <w:tc>
          <w:tcPr>
            <w:tcW w:w="400" w:type="dxa"/>
            <w:gridSpan w:val="2"/>
            <w:vMerge/>
            <w:vAlign w:val="bottom"/>
          </w:tcPr>
          <w:p w:rsidR="00AC12B4" w:rsidRPr="00C27636" w:rsidRDefault="00AC12B4">
            <w:pPr>
              <w:rPr>
                <w:sz w:val="16"/>
                <w:szCs w:val="16"/>
                <w:lang w:val="fr-BE"/>
              </w:rPr>
            </w:pPr>
          </w:p>
        </w:tc>
        <w:tc>
          <w:tcPr>
            <w:tcW w:w="920" w:type="dxa"/>
            <w:gridSpan w:val="3"/>
            <w:vMerge/>
            <w:vAlign w:val="bottom"/>
          </w:tcPr>
          <w:p w:rsidR="00AC12B4" w:rsidRPr="00C27636" w:rsidRDefault="00AC12B4">
            <w:pPr>
              <w:rPr>
                <w:sz w:val="16"/>
                <w:szCs w:val="16"/>
                <w:lang w:val="fr-BE"/>
              </w:rPr>
            </w:pPr>
          </w:p>
        </w:tc>
        <w:tc>
          <w:tcPr>
            <w:tcW w:w="380" w:type="dxa"/>
            <w:tcBorders>
              <w:right w:val="single" w:sz="8" w:space="0" w:color="E05429"/>
            </w:tcBorders>
            <w:vAlign w:val="bottom"/>
          </w:tcPr>
          <w:p w:rsidR="00AC12B4" w:rsidRPr="00C27636" w:rsidRDefault="00AC12B4">
            <w:pPr>
              <w:rPr>
                <w:sz w:val="16"/>
                <w:szCs w:val="16"/>
                <w:lang w:val="fr-BE"/>
              </w:rPr>
            </w:pPr>
          </w:p>
        </w:tc>
        <w:tc>
          <w:tcPr>
            <w:tcW w:w="760" w:type="dxa"/>
            <w:vMerge/>
            <w:vAlign w:val="bottom"/>
          </w:tcPr>
          <w:p w:rsidR="00AC12B4" w:rsidRPr="00C27636" w:rsidRDefault="00AC12B4">
            <w:pPr>
              <w:rPr>
                <w:sz w:val="16"/>
                <w:szCs w:val="16"/>
                <w:lang w:val="fr-BE"/>
              </w:rPr>
            </w:pPr>
          </w:p>
        </w:tc>
        <w:tc>
          <w:tcPr>
            <w:tcW w:w="400" w:type="dxa"/>
            <w:vAlign w:val="bottom"/>
          </w:tcPr>
          <w:p w:rsidR="00AC12B4" w:rsidRPr="00C27636" w:rsidRDefault="00AC12B4">
            <w:pPr>
              <w:rPr>
                <w:sz w:val="16"/>
                <w:szCs w:val="16"/>
                <w:lang w:val="fr-BE"/>
              </w:rPr>
            </w:pPr>
          </w:p>
        </w:tc>
        <w:tc>
          <w:tcPr>
            <w:tcW w:w="340" w:type="dxa"/>
            <w:vAlign w:val="bottom"/>
          </w:tcPr>
          <w:p w:rsidR="00AC12B4" w:rsidRPr="00C27636" w:rsidRDefault="00AC12B4">
            <w:pPr>
              <w:rPr>
                <w:sz w:val="16"/>
                <w:szCs w:val="16"/>
                <w:lang w:val="fr-BE"/>
              </w:rPr>
            </w:pPr>
          </w:p>
        </w:tc>
        <w:tc>
          <w:tcPr>
            <w:tcW w:w="200" w:type="dxa"/>
            <w:vAlign w:val="bottom"/>
          </w:tcPr>
          <w:p w:rsidR="00AC12B4" w:rsidRPr="00C27636" w:rsidRDefault="00AC12B4">
            <w:pPr>
              <w:rPr>
                <w:sz w:val="16"/>
                <w:szCs w:val="16"/>
                <w:lang w:val="fr-BE"/>
              </w:rPr>
            </w:pPr>
          </w:p>
        </w:tc>
        <w:tc>
          <w:tcPr>
            <w:tcW w:w="66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trPr>
          <w:trHeight w:val="77"/>
        </w:trPr>
        <w:tc>
          <w:tcPr>
            <w:tcW w:w="4840" w:type="dxa"/>
            <w:gridSpan w:val="9"/>
            <w:vMerge/>
            <w:vAlign w:val="bottom"/>
          </w:tcPr>
          <w:p w:rsidR="00AC12B4" w:rsidRPr="00C27636" w:rsidRDefault="00AC12B4">
            <w:pPr>
              <w:rPr>
                <w:sz w:val="6"/>
                <w:szCs w:val="6"/>
                <w:lang w:val="fr-BE"/>
              </w:rPr>
            </w:pPr>
          </w:p>
        </w:tc>
        <w:tc>
          <w:tcPr>
            <w:tcW w:w="960" w:type="dxa"/>
            <w:gridSpan w:val="3"/>
            <w:vMerge w:val="restart"/>
            <w:vAlign w:val="bottom"/>
          </w:tcPr>
          <w:p w:rsidR="00AC12B4" w:rsidRDefault="00C27636">
            <w:pPr>
              <w:spacing w:line="237" w:lineRule="exact"/>
              <w:ind w:left="20"/>
              <w:rPr>
                <w:sz w:val="20"/>
                <w:szCs w:val="20"/>
              </w:rPr>
            </w:pPr>
            <w:r>
              <w:rPr>
                <w:rFonts w:ascii="Calibri" w:eastAsia="Calibri" w:hAnsi="Calibri" w:cs="Calibri"/>
              </w:rPr>
              <w:t>porteurs</w:t>
            </w:r>
          </w:p>
        </w:tc>
        <w:tc>
          <w:tcPr>
            <w:tcW w:w="24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380" w:type="dxa"/>
            <w:vMerge w:val="restart"/>
            <w:vAlign w:val="bottom"/>
          </w:tcPr>
          <w:p w:rsidR="00AC12B4" w:rsidRDefault="00C27636">
            <w:pPr>
              <w:spacing w:line="237" w:lineRule="exact"/>
              <w:jc w:val="right"/>
              <w:rPr>
                <w:sz w:val="20"/>
                <w:szCs w:val="20"/>
              </w:rPr>
            </w:pPr>
            <w:r>
              <w:rPr>
                <w:rFonts w:ascii="Calibri" w:eastAsia="Calibri" w:hAnsi="Calibri" w:cs="Calibri"/>
              </w:rPr>
              <w:t>de</w:t>
            </w:r>
          </w:p>
        </w:tc>
        <w:tc>
          <w:tcPr>
            <w:tcW w:w="380" w:type="dxa"/>
            <w:tcBorders>
              <w:right w:val="single" w:sz="8" w:space="0" w:color="E05429"/>
            </w:tcBorders>
            <w:vAlign w:val="bottom"/>
          </w:tcPr>
          <w:p w:rsidR="00AC12B4" w:rsidRDefault="00AC12B4">
            <w:pPr>
              <w:rPr>
                <w:sz w:val="6"/>
                <w:szCs w:val="6"/>
              </w:rPr>
            </w:pPr>
          </w:p>
        </w:tc>
        <w:tc>
          <w:tcPr>
            <w:tcW w:w="76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200" w:type="dxa"/>
            <w:vAlign w:val="bottom"/>
          </w:tcPr>
          <w:p w:rsidR="00AC12B4" w:rsidRDefault="00AC12B4">
            <w:pPr>
              <w:rPr>
                <w:sz w:val="6"/>
                <w:szCs w:val="6"/>
              </w:rPr>
            </w:pPr>
          </w:p>
        </w:tc>
        <w:tc>
          <w:tcPr>
            <w:tcW w:w="66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60"/>
        </w:trPr>
        <w:tc>
          <w:tcPr>
            <w:tcW w:w="4840" w:type="dxa"/>
            <w:gridSpan w:val="9"/>
            <w:vMerge w:val="restart"/>
            <w:vAlign w:val="bottom"/>
          </w:tcPr>
          <w:p w:rsidR="00AC12B4" w:rsidRDefault="00C27636">
            <w:pPr>
              <w:ind w:left="260"/>
              <w:rPr>
                <w:sz w:val="20"/>
                <w:szCs w:val="20"/>
              </w:rPr>
            </w:pPr>
            <w:r>
              <w:rPr>
                <w:rFonts w:ascii="Calibri" w:eastAsia="Calibri" w:hAnsi="Calibri" w:cs="Calibri"/>
              </w:rPr>
              <w:t>(art. 31.2,</w:t>
            </w:r>
            <w:r>
              <w:rPr>
                <w:rFonts w:ascii="Calibri" w:eastAsia="Calibri" w:hAnsi="Calibri" w:cs="Calibri"/>
              </w:rPr>
              <w:t xml:space="preserve"> Observation générale 17 du 17</w:t>
            </w:r>
          </w:p>
        </w:tc>
        <w:tc>
          <w:tcPr>
            <w:tcW w:w="960" w:type="dxa"/>
            <w:gridSpan w:val="3"/>
            <w:vMerge/>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380" w:type="dxa"/>
            <w:vMerge/>
            <w:vAlign w:val="bottom"/>
          </w:tcPr>
          <w:p w:rsidR="00AC12B4" w:rsidRDefault="00AC12B4">
            <w:pPr>
              <w:rPr>
                <w:sz w:val="13"/>
                <w:szCs w:val="13"/>
              </w:rPr>
            </w:pPr>
          </w:p>
        </w:tc>
        <w:tc>
          <w:tcPr>
            <w:tcW w:w="380" w:type="dxa"/>
            <w:tcBorders>
              <w:right w:val="single" w:sz="8" w:space="0" w:color="E05429"/>
            </w:tcBorders>
            <w:vAlign w:val="bottom"/>
          </w:tcPr>
          <w:p w:rsidR="00AC12B4" w:rsidRDefault="00AC12B4">
            <w:pPr>
              <w:rPr>
                <w:sz w:val="13"/>
                <w:szCs w:val="13"/>
              </w:rPr>
            </w:pPr>
          </w:p>
        </w:tc>
        <w:tc>
          <w:tcPr>
            <w:tcW w:w="76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34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6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rsidRPr="00C27636">
        <w:trPr>
          <w:trHeight w:val="109"/>
        </w:trPr>
        <w:tc>
          <w:tcPr>
            <w:tcW w:w="4840" w:type="dxa"/>
            <w:gridSpan w:val="9"/>
            <w:vMerge/>
            <w:vAlign w:val="bottom"/>
          </w:tcPr>
          <w:p w:rsidR="00AC12B4" w:rsidRDefault="00AC12B4">
            <w:pPr>
              <w:rPr>
                <w:sz w:val="9"/>
                <w:szCs w:val="9"/>
              </w:rPr>
            </w:pPr>
          </w:p>
        </w:tc>
        <w:tc>
          <w:tcPr>
            <w:tcW w:w="3960" w:type="dxa"/>
            <w:gridSpan w:val="11"/>
            <w:vMerge w:val="restart"/>
            <w:vAlign w:val="bottom"/>
          </w:tcPr>
          <w:p w:rsidR="00AC12B4" w:rsidRPr="00C27636" w:rsidRDefault="00C27636">
            <w:pPr>
              <w:ind w:left="20"/>
              <w:rPr>
                <w:sz w:val="20"/>
                <w:szCs w:val="20"/>
                <w:lang w:val="fr-BE"/>
              </w:rPr>
            </w:pPr>
            <w:r w:rsidRPr="00C27636">
              <w:rPr>
                <w:rFonts w:ascii="Calibri" w:eastAsia="Calibri" w:hAnsi="Calibri" w:cs="Calibri"/>
                <w:lang w:val="fr-BE"/>
              </w:rPr>
              <w:t>handicap. Il n’existe malheureusement que</w:t>
            </w:r>
          </w:p>
        </w:tc>
        <w:tc>
          <w:tcPr>
            <w:tcW w:w="66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19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avril 2013 concernant le droit des enfants</w:t>
            </w:r>
          </w:p>
        </w:tc>
        <w:tc>
          <w:tcPr>
            <w:tcW w:w="3960" w:type="dxa"/>
            <w:gridSpan w:val="11"/>
            <w:vMerge/>
            <w:vAlign w:val="bottom"/>
          </w:tcPr>
          <w:p w:rsidR="00AC12B4" w:rsidRPr="00C27636" w:rsidRDefault="00AC12B4">
            <w:pPr>
              <w:rPr>
                <w:sz w:val="16"/>
                <w:szCs w:val="16"/>
                <w:lang w:val="fr-BE"/>
              </w:rPr>
            </w:pPr>
          </w:p>
        </w:tc>
        <w:tc>
          <w:tcPr>
            <w:tcW w:w="66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rsidRPr="00C27636">
        <w:trPr>
          <w:trHeight w:val="77"/>
        </w:trPr>
        <w:tc>
          <w:tcPr>
            <w:tcW w:w="4840" w:type="dxa"/>
            <w:gridSpan w:val="9"/>
            <w:vMerge/>
            <w:vAlign w:val="bottom"/>
          </w:tcPr>
          <w:p w:rsidR="00AC12B4" w:rsidRPr="00C27636" w:rsidRDefault="00AC12B4">
            <w:pPr>
              <w:rPr>
                <w:sz w:val="6"/>
                <w:szCs w:val="6"/>
                <w:lang w:val="fr-BE"/>
              </w:rPr>
            </w:pPr>
          </w:p>
        </w:tc>
        <w:tc>
          <w:tcPr>
            <w:tcW w:w="3960" w:type="dxa"/>
            <w:gridSpan w:val="11"/>
            <w:vMerge w:val="restart"/>
            <w:vAlign w:val="bottom"/>
          </w:tcPr>
          <w:p w:rsidR="00AC12B4" w:rsidRPr="00C27636" w:rsidRDefault="00C27636">
            <w:pPr>
              <w:ind w:left="20"/>
              <w:rPr>
                <w:sz w:val="20"/>
                <w:szCs w:val="20"/>
                <w:lang w:val="fr-BE"/>
              </w:rPr>
            </w:pPr>
            <w:r w:rsidRPr="00C27636">
              <w:rPr>
                <w:rFonts w:ascii="Calibri" w:eastAsia="Calibri" w:hAnsi="Calibri" w:cs="Calibri"/>
                <w:lang w:val="fr-BE"/>
              </w:rPr>
              <w:t>peu d’information sur l’accessibilité réelle</w:t>
            </w:r>
          </w:p>
        </w:tc>
        <w:tc>
          <w:tcPr>
            <w:tcW w:w="6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192"/>
        </w:trPr>
        <w:tc>
          <w:tcPr>
            <w:tcW w:w="1340" w:type="dxa"/>
            <w:gridSpan w:val="2"/>
            <w:vMerge w:val="restart"/>
            <w:vAlign w:val="bottom"/>
          </w:tcPr>
          <w:p w:rsidR="00AC12B4" w:rsidRDefault="00C27636">
            <w:pPr>
              <w:ind w:left="260"/>
              <w:rPr>
                <w:sz w:val="20"/>
                <w:szCs w:val="20"/>
              </w:rPr>
            </w:pPr>
            <w:r>
              <w:rPr>
                <w:rFonts w:ascii="Calibri" w:eastAsia="Calibri" w:hAnsi="Calibri" w:cs="Calibri"/>
              </w:rPr>
              <w:t>aux loisirs).</w:t>
            </w:r>
          </w:p>
        </w:tc>
        <w:tc>
          <w:tcPr>
            <w:tcW w:w="320" w:type="dxa"/>
            <w:vAlign w:val="bottom"/>
          </w:tcPr>
          <w:p w:rsidR="00AC12B4" w:rsidRDefault="00AC12B4">
            <w:pPr>
              <w:rPr>
                <w:sz w:val="16"/>
                <w:szCs w:val="16"/>
              </w:rPr>
            </w:pPr>
          </w:p>
        </w:tc>
        <w:tc>
          <w:tcPr>
            <w:tcW w:w="560" w:type="dxa"/>
            <w:vAlign w:val="bottom"/>
          </w:tcPr>
          <w:p w:rsidR="00AC12B4" w:rsidRDefault="00AC12B4">
            <w:pPr>
              <w:rPr>
                <w:sz w:val="16"/>
                <w:szCs w:val="16"/>
              </w:rPr>
            </w:pPr>
          </w:p>
        </w:tc>
        <w:tc>
          <w:tcPr>
            <w:tcW w:w="580" w:type="dxa"/>
            <w:vAlign w:val="bottom"/>
          </w:tcPr>
          <w:p w:rsidR="00AC12B4" w:rsidRDefault="00AC12B4">
            <w:pPr>
              <w:rPr>
                <w:sz w:val="16"/>
                <w:szCs w:val="16"/>
              </w:rPr>
            </w:pPr>
          </w:p>
        </w:tc>
        <w:tc>
          <w:tcPr>
            <w:tcW w:w="460" w:type="dxa"/>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1060" w:type="dxa"/>
            <w:vAlign w:val="bottom"/>
          </w:tcPr>
          <w:p w:rsidR="00AC12B4" w:rsidRDefault="00AC12B4">
            <w:pPr>
              <w:rPr>
                <w:sz w:val="16"/>
                <w:szCs w:val="16"/>
              </w:rPr>
            </w:pPr>
          </w:p>
        </w:tc>
        <w:tc>
          <w:tcPr>
            <w:tcW w:w="3960" w:type="dxa"/>
            <w:gridSpan w:val="11"/>
            <w:vMerge/>
            <w:vAlign w:val="bottom"/>
          </w:tcPr>
          <w:p w:rsidR="00AC12B4" w:rsidRDefault="00AC12B4">
            <w:pPr>
              <w:rPr>
                <w:sz w:val="16"/>
                <w:szCs w:val="16"/>
              </w:rPr>
            </w:pPr>
          </w:p>
        </w:tc>
        <w:tc>
          <w:tcPr>
            <w:tcW w:w="66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rsidRPr="00C27636">
        <w:trPr>
          <w:trHeight w:val="77"/>
        </w:trPr>
        <w:tc>
          <w:tcPr>
            <w:tcW w:w="1340" w:type="dxa"/>
            <w:gridSpan w:val="2"/>
            <w:vMerge/>
            <w:vAlign w:val="bottom"/>
          </w:tcPr>
          <w:p w:rsidR="00AC12B4" w:rsidRDefault="00AC12B4">
            <w:pPr>
              <w:rPr>
                <w:sz w:val="6"/>
                <w:szCs w:val="6"/>
              </w:rPr>
            </w:pPr>
          </w:p>
        </w:tc>
        <w:tc>
          <w:tcPr>
            <w:tcW w:w="320" w:type="dxa"/>
            <w:vAlign w:val="bottom"/>
          </w:tcPr>
          <w:p w:rsidR="00AC12B4" w:rsidRDefault="00AC12B4">
            <w:pPr>
              <w:rPr>
                <w:sz w:val="6"/>
                <w:szCs w:val="6"/>
              </w:rPr>
            </w:pPr>
          </w:p>
        </w:tc>
        <w:tc>
          <w:tcPr>
            <w:tcW w:w="560" w:type="dxa"/>
            <w:vAlign w:val="bottom"/>
          </w:tcPr>
          <w:p w:rsidR="00AC12B4" w:rsidRDefault="00AC12B4">
            <w:pPr>
              <w:rPr>
                <w:sz w:val="6"/>
                <w:szCs w:val="6"/>
              </w:rPr>
            </w:pPr>
          </w:p>
        </w:tc>
        <w:tc>
          <w:tcPr>
            <w:tcW w:w="580" w:type="dxa"/>
            <w:vAlign w:val="bottom"/>
          </w:tcPr>
          <w:p w:rsidR="00AC12B4" w:rsidRDefault="00AC12B4">
            <w:pPr>
              <w:rPr>
                <w:sz w:val="6"/>
                <w:szCs w:val="6"/>
              </w:rPr>
            </w:pPr>
          </w:p>
        </w:tc>
        <w:tc>
          <w:tcPr>
            <w:tcW w:w="46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1060" w:type="dxa"/>
            <w:vAlign w:val="bottom"/>
          </w:tcPr>
          <w:p w:rsidR="00AC12B4" w:rsidRDefault="00AC12B4">
            <w:pPr>
              <w:rPr>
                <w:sz w:val="6"/>
                <w:szCs w:val="6"/>
              </w:rPr>
            </w:pPr>
          </w:p>
        </w:tc>
        <w:tc>
          <w:tcPr>
            <w:tcW w:w="3960" w:type="dxa"/>
            <w:gridSpan w:val="11"/>
            <w:vMerge w:val="restart"/>
            <w:vAlign w:val="bottom"/>
          </w:tcPr>
          <w:p w:rsidR="00AC12B4" w:rsidRPr="00C27636" w:rsidRDefault="00C27636">
            <w:pPr>
              <w:ind w:left="20"/>
              <w:rPr>
                <w:sz w:val="20"/>
                <w:szCs w:val="20"/>
                <w:lang w:val="fr-BE"/>
              </w:rPr>
            </w:pPr>
            <w:r w:rsidRPr="00C27636">
              <w:rPr>
                <w:rFonts w:ascii="Calibri" w:eastAsia="Calibri" w:hAnsi="Calibri" w:cs="Calibri"/>
                <w:lang w:val="fr-BE"/>
              </w:rPr>
              <w:t xml:space="preserve">pour ces enfants. Seuls les centres </w:t>
            </w:r>
            <w:r w:rsidRPr="00C27636">
              <w:rPr>
                <w:rFonts w:ascii="Calibri" w:eastAsia="Calibri" w:hAnsi="Calibri" w:cs="Calibri"/>
                <w:lang w:val="fr-BE"/>
              </w:rPr>
              <w:t>sportifs</w:t>
            </w:r>
          </w:p>
        </w:tc>
        <w:tc>
          <w:tcPr>
            <w:tcW w:w="6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19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En Communauté flamande, 6 jeunes sur 10</w:t>
            </w:r>
          </w:p>
        </w:tc>
        <w:tc>
          <w:tcPr>
            <w:tcW w:w="3960" w:type="dxa"/>
            <w:gridSpan w:val="11"/>
            <w:vMerge/>
            <w:vAlign w:val="bottom"/>
          </w:tcPr>
          <w:p w:rsidR="00AC12B4" w:rsidRPr="00C27636" w:rsidRDefault="00AC12B4">
            <w:pPr>
              <w:rPr>
                <w:sz w:val="16"/>
                <w:szCs w:val="16"/>
                <w:lang w:val="fr-BE"/>
              </w:rPr>
            </w:pPr>
          </w:p>
        </w:tc>
        <w:tc>
          <w:tcPr>
            <w:tcW w:w="66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trPr>
          <w:trHeight w:val="197"/>
        </w:trPr>
        <w:tc>
          <w:tcPr>
            <w:tcW w:w="4840" w:type="dxa"/>
            <w:gridSpan w:val="9"/>
            <w:vMerge/>
            <w:vAlign w:val="bottom"/>
          </w:tcPr>
          <w:p w:rsidR="00AC12B4" w:rsidRPr="00C27636" w:rsidRDefault="00AC12B4">
            <w:pPr>
              <w:rPr>
                <w:sz w:val="17"/>
                <w:szCs w:val="17"/>
                <w:lang w:val="fr-BE"/>
              </w:rPr>
            </w:pPr>
          </w:p>
        </w:tc>
        <w:tc>
          <w:tcPr>
            <w:tcW w:w="960" w:type="dxa"/>
            <w:gridSpan w:val="3"/>
            <w:vMerge w:val="restart"/>
            <w:vAlign w:val="bottom"/>
          </w:tcPr>
          <w:p w:rsidR="00AC12B4" w:rsidRDefault="00C27636">
            <w:pPr>
              <w:ind w:left="20"/>
              <w:rPr>
                <w:sz w:val="20"/>
                <w:szCs w:val="20"/>
              </w:rPr>
            </w:pPr>
            <w:r>
              <w:rPr>
                <w:rFonts w:ascii="Calibri" w:eastAsia="Calibri" w:hAnsi="Calibri" w:cs="Calibri"/>
              </w:rPr>
              <w:t>publiques</w:t>
            </w:r>
          </w:p>
        </w:tc>
        <w:tc>
          <w:tcPr>
            <w:tcW w:w="240" w:type="dxa"/>
            <w:vAlign w:val="bottom"/>
          </w:tcPr>
          <w:p w:rsidR="00AC12B4" w:rsidRDefault="00AC12B4">
            <w:pPr>
              <w:rPr>
                <w:sz w:val="17"/>
                <w:szCs w:val="17"/>
              </w:rPr>
            </w:pPr>
          </w:p>
        </w:tc>
        <w:tc>
          <w:tcPr>
            <w:tcW w:w="1820" w:type="dxa"/>
            <w:gridSpan w:val="4"/>
            <w:vMerge w:val="restart"/>
            <w:vAlign w:val="bottom"/>
          </w:tcPr>
          <w:p w:rsidR="00AC12B4" w:rsidRDefault="00C27636">
            <w:pPr>
              <w:ind w:left="280"/>
              <w:rPr>
                <w:sz w:val="20"/>
                <w:szCs w:val="20"/>
              </w:rPr>
            </w:pPr>
            <w:r>
              <w:rPr>
                <w:rFonts w:ascii="Calibri" w:eastAsia="Calibri" w:hAnsi="Calibri" w:cs="Calibri"/>
              </w:rPr>
              <w:t>« handicap</w:t>
            </w:r>
          </w:p>
        </w:tc>
        <w:tc>
          <w:tcPr>
            <w:tcW w:w="940" w:type="dxa"/>
            <w:gridSpan w:val="3"/>
            <w:vMerge w:val="restart"/>
            <w:vAlign w:val="bottom"/>
          </w:tcPr>
          <w:p w:rsidR="00AC12B4" w:rsidRDefault="00C27636">
            <w:pPr>
              <w:jc w:val="right"/>
              <w:rPr>
                <w:sz w:val="20"/>
                <w:szCs w:val="20"/>
              </w:rPr>
            </w:pPr>
            <w:r>
              <w:rPr>
                <w:rFonts w:ascii="Calibri" w:eastAsia="Calibri" w:hAnsi="Calibri" w:cs="Calibri"/>
              </w:rPr>
              <w:t>friendly »</w:t>
            </w:r>
          </w:p>
        </w:tc>
        <w:tc>
          <w:tcPr>
            <w:tcW w:w="660" w:type="dxa"/>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72"/>
        </w:trPr>
        <w:tc>
          <w:tcPr>
            <w:tcW w:w="4840" w:type="dxa"/>
            <w:gridSpan w:val="9"/>
            <w:vMerge w:val="restart"/>
            <w:vAlign w:val="bottom"/>
          </w:tcPr>
          <w:p w:rsidR="00AC12B4" w:rsidRPr="00C27636" w:rsidRDefault="00C27636">
            <w:pPr>
              <w:spacing w:line="267" w:lineRule="exact"/>
              <w:ind w:left="260"/>
              <w:rPr>
                <w:sz w:val="20"/>
                <w:szCs w:val="20"/>
                <w:lang w:val="fr-BE"/>
              </w:rPr>
            </w:pPr>
            <w:r w:rsidRPr="00C27636">
              <w:rPr>
                <w:rFonts w:ascii="Calibri" w:eastAsia="Calibri" w:hAnsi="Calibri" w:cs="Calibri"/>
                <w:lang w:val="fr-BE"/>
              </w:rPr>
              <w:t>(63,0%) rapportent qu'il existe un terrain</w:t>
            </w:r>
          </w:p>
        </w:tc>
        <w:tc>
          <w:tcPr>
            <w:tcW w:w="960" w:type="dxa"/>
            <w:gridSpan w:val="3"/>
            <w:vMerge/>
            <w:vAlign w:val="bottom"/>
          </w:tcPr>
          <w:p w:rsidR="00AC12B4" w:rsidRPr="00C27636" w:rsidRDefault="00AC12B4">
            <w:pPr>
              <w:rPr>
                <w:sz w:val="6"/>
                <w:szCs w:val="6"/>
                <w:lang w:val="fr-BE"/>
              </w:rPr>
            </w:pPr>
          </w:p>
        </w:tc>
        <w:tc>
          <w:tcPr>
            <w:tcW w:w="240" w:type="dxa"/>
            <w:vAlign w:val="bottom"/>
          </w:tcPr>
          <w:p w:rsidR="00AC12B4" w:rsidRPr="00C27636" w:rsidRDefault="00AC12B4">
            <w:pPr>
              <w:rPr>
                <w:sz w:val="6"/>
                <w:szCs w:val="6"/>
                <w:lang w:val="fr-BE"/>
              </w:rPr>
            </w:pPr>
          </w:p>
        </w:tc>
        <w:tc>
          <w:tcPr>
            <w:tcW w:w="1820" w:type="dxa"/>
            <w:gridSpan w:val="4"/>
            <w:vMerge/>
            <w:vAlign w:val="bottom"/>
          </w:tcPr>
          <w:p w:rsidR="00AC12B4" w:rsidRPr="00C27636" w:rsidRDefault="00AC12B4">
            <w:pPr>
              <w:rPr>
                <w:sz w:val="6"/>
                <w:szCs w:val="6"/>
                <w:lang w:val="fr-BE"/>
              </w:rPr>
            </w:pPr>
          </w:p>
        </w:tc>
        <w:tc>
          <w:tcPr>
            <w:tcW w:w="940" w:type="dxa"/>
            <w:gridSpan w:val="3"/>
            <w:vMerge/>
            <w:vAlign w:val="bottom"/>
          </w:tcPr>
          <w:p w:rsidR="00AC12B4" w:rsidRPr="00C27636" w:rsidRDefault="00AC12B4">
            <w:pPr>
              <w:rPr>
                <w:sz w:val="6"/>
                <w:szCs w:val="6"/>
                <w:lang w:val="fr-BE"/>
              </w:rPr>
            </w:pPr>
          </w:p>
        </w:tc>
        <w:tc>
          <w:tcPr>
            <w:tcW w:w="6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194"/>
        </w:trPr>
        <w:tc>
          <w:tcPr>
            <w:tcW w:w="4840" w:type="dxa"/>
            <w:gridSpan w:val="9"/>
            <w:vMerge/>
            <w:vAlign w:val="bottom"/>
          </w:tcPr>
          <w:p w:rsidR="00AC12B4" w:rsidRPr="00C27636" w:rsidRDefault="00AC12B4">
            <w:pPr>
              <w:rPr>
                <w:sz w:val="16"/>
                <w:szCs w:val="16"/>
                <w:lang w:val="fr-BE"/>
              </w:rPr>
            </w:pPr>
          </w:p>
        </w:tc>
        <w:tc>
          <w:tcPr>
            <w:tcW w:w="3960" w:type="dxa"/>
            <w:gridSpan w:val="11"/>
            <w:vMerge w:val="restart"/>
            <w:vAlign w:val="bottom"/>
          </w:tcPr>
          <w:p w:rsidR="00AC12B4" w:rsidRDefault="00C27636">
            <w:pPr>
              <w:spacing w:line="267" w:lineRule="exact"/>
              <w:ind w:left="20"/>
              <w:rPr>
                <w:sz w:val="20"/>
                <w:szCs w:val="20"/>
              </w:rPr>
            </w:pPr>
            <w:r>
              <w:rPr>
                <w:rFonts w:ascii="Calibri" w:eastAsia="Calibri" w:hAnsi="Calibri" w:cs="Calibri"/>
              </w:rPr>
              <w:t xml:space="preserve">(infrastructure </w:t>
            </w:r>
            <w:r>
              <w:rPr>
                <w:rFonts w:ascii="Calibri" w:eastAsia="Calibri" w:hAnsi="Calibri" w:cs="Calibri"/>
              </w:rPr>
              <w:lastRenderedPageBreak/>
              <w:t>adaptée) sont répertoriés</w:t>
            </w:r>
          </w:p>
        </w:tc>
        <w:tc>
          <w:tcPr>
            <w:tcW w:w="66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rsidRPr="00C27636">
        <w:trPr>
          <w:trHeight w:val="7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lastRenderedPageBreak/>
              <w:t>de jeux ou un parc pour jouer près de leur</w:t>
            </w:r>
          </w:p>
        </w:tc>
        <w:tc>
          <w:tcPr>
            <w:tcW w:w="3960" w:type="dxa"/>
            <w:gridSpan w:val="11"/>
            <w:vMerge/>
            <w:vAlign w:val="bottom"/>
          </w:tcPr>
          <w:p w:rsidR="00AC12B4" w:rsidRPr="00C27636" w:rsidRDefault="00AC12B4">
            <w:pPr>
              <w:rPr>
                <w:sz w:val="6"/>
                <w:szCs w:val="6"/>
                <w:lang w:val="fr-BE"/>
              </w:rPr>
            </w:pPr>
          </w:p>
        </w:tc>
        <w:tc>
          <w:tcPr>
            <w:tcW w:w="6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197"/>
        </w:trPr>
        <w:tc>
          <w:tcPr>
            <w:tcW w:w="4840" w:type="dxa"/>
            <w:gridSpan w:val="9"/>
            <w:vMerge/>
            <w:vAlign w:val="bottom"/>
          </w:tcPr>
          <w:p w:rsidR="00AC12B4" w:rsidRPr="00C27636" w:rsidRDefault="00AC12B4">
            <w:pPr>
              <w:rPr>
                <w:sz w:val="17"/>
                <w:szCs w:val="17"/>
                <w:lang w:val="fr-BE"/>
              </w:rPr>
            </w:pPr>
          </w:p>
        </w:tc>
        <w:tc>
          <w:tcPr>
            <w:tcW w:w="3960" w:type="dxa"/>
            <w:gridSpan w:val="11"/>
            <w:vMerge w:val="restart"/>
            <w:vAlign w:val="bottom"/>
          </w:tcPr>
          <w:p w:rsidR="00AC12B4" w:rsidRPr="00C27636" w:rsidRDefault="00C27636">
            <w:pPr>
              <w:ind w:left="20"/>
              <w:rPr>
                <w:sz w:val="20"/>
                <w:szCs w:val="20"/>
                <w:lang w:val="fr-BE"/>
              </w:rPr>
            </w:pPr>
            <w:r w:rsidRPr="00C27636">
              <w:rPr>
                <w:rFonts w:ascii="Calibri" w:eastAsia="Calibri" w:hAnsi="Calibri" w:cs="Calibri"/>
                <w:lang w:val="fr-BE"/>
              </w:rPr>
              <w:t xml:space="preserve">mais cela ne donne </w:t>
            </w:r>
            <w:r w:rsidRPr="00C27636">
              <w:rPr>
                <w:rFonts w:ascii="Calibri" w:eastAsia="Calibri" w:hAnsi="Calibri" w:cs="Calibri"/>
                <w:lang w:val="fr-BE"/>
              </w:rPr>
              <w:t>aucune information sur</w:t>
            </w:r>
          </w:p>
        </w:tc>
        <w:tc>
          <w:tcPr>
            <w:tcW w:w="660" w:type="dxa"/>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72"/>
        </w:trPr>
        <w:tc>
          <w:tcPr>
            <w:tcW w:w="4840" w:type="dxa"/>
            <w:gridSpan w:val="9"/>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maison et près d'un jeune sur cinq (18,0%)</w:t>
            </w:r>
          </w:p>
        </w:tc>
        <w:tc>
          <w:tcPr>
            <w:tcW w:w="3960" w:type="dxa"/>
            <w:gridSpan w:val="11"/>
            <w:vMerge/>
            <w:vAlign w:val="bottom"/>
          </w:tcPr>
          <w:p w:rsidR="00AC12B4" w:rsidRPr="00C27636" w:rsidRDefault="00AC12B4">
            <w:pPr>
              <w:rPr>
                <w:sz w:val="6"/>
                <w:szCs w:val="6"/>
                <w:lang w:val="fr-BE"/>
              </w:rPr>
            </w:pPr>
          </w:p>
        </w:tc>
        <w:tc>
          <w:tcPr>
            <w:tcW w:w="6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197"/>
        </w:trPr>
        <w:tc>
          <w:tcPr>
            <w:tcW w:w="4840" w:type="dxa"/>
            <w:gridSpan w:val="9"/>
            <w:vMerge/>
            <w:vAlign w:val="bottom"/>
          </w:tcPr>
          <w:p w:rsidR="00AC12B4" w:rsidRPr="00C27636" w:rsidRDefault="00AC12B4">
            <w:pPr>
              <w:rPr>
                <w:sz w:val="17"/>
                <w:szCs w:val="17"/>
                <w:lang w:val="fr-BE"/>
              </w:rPr>
            </w:pPr>
          </w:p>
        </w:tc>
        <w:tc>
          <w:tcPr>
            <w:tcW w:w="3960" w:type="dxa"/>
            <w:gridSpan w:val="11"/>
            <w:vMerge w:val="restart"/>
            <w:vAlign w:val="bottom"/>
          </w:tcPr>
          <w:p w:rsidR="00AC12B4" w:rsidRPr="00C27636" w:rsidRDefault="00C27636">
            <w:pPr>
              <w:ind w:left="20"/>
              <w:rPr>
                <w:sz w:val="20"/>
                <w:szCs w:val="20"/>
                <w:lang w:val="fr-BE"/>
              </w:rPr>
            </w:pPr>
            <w:r w:rsidRPr="00C27636">
              <w:rPr>
                <w:rFonts w:ascii="Calibri" w:eastAsia="Calibri" w:hAnsi="Calibri" w:cs="Calibri"/>
                <w:lang w:val="fr-BE"/>
              </w:rPr>
              <w:t>le nombre de jeunes prenant part à des</w:t>
            </w:r>
          </w:p>
        </w:tc>
        <w:tc>
          <w:tcPr>
            <w:tcW w:w="660" w:type="dxa"/>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72"/>
        </w:trPr>
        <w:tc>
          <w:tcPr>
            <w:tcW w:w="2800" w:type="dxa"/>
            <w:gridSpan w:val="5"/>
            <w:vMerge w:val="restart"/>
            <w:vAlign w:val="bottom"/>
          </w:tcPr>
          <w:p w:rsidR="00AC12B4" w:rsidRPr="00C27636" w:rsidRDefault="00C27636">
            <w:pPr>
              <w:ind w:left="260"/>
              <w:rPr>
                <w:sz w:val="20"/>
                <w:szCs w:val="20"/>
                <w:lang w:val="fr-BE"/>
              </w:rPr>
            </w:pPr>
            <w:r w:rsidRPr="00C27636">
              <w:rPr>
                <w:rFonts w:ascii="Calibri" w:eastAsia="Calibri" w:hAnsi="Calibri" w:cs="Calibri"/>
                <w:lang w:val="fr-BE"/>
              </w:rPr>
              <w:t>rapporte qu'il n'y en a pas.</w:t>
            </w:r>
          </w:p>
        </w:tc>
        <w:tc>
          <w:tcPr>
            <w:tcW w:w="460" w:type="dxa"/>
            <w:vAlign w:val="bottom"/>
          </w:tcPr>
          <w:p w:rsidR="00AC12B4" w:rsidRPr="00C27636" w:rsidRDefault="00AC12B4">
            <w:pPr>
              <w:rPr>
                <w:sz w:val="6"/>
                <w:szCs w:val="6"/>
                <w:lang w:val="fr-BE"/>
              </w:rPr>
            </w:pPr>
          </w:p>
        </w:tc>
        <w:tc>
          <w:tcPr>
            <w:tcW w:w="40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1060" w:type="dxa"/>
            <w:vAlign w:val="bottom"/>
          </w:tcPr>
          <w:p w:rsidR="00AC12B4" w:rsidRPr="00C27636" w:rsidRDefault="00AC12B4">
            <w:pPr>
              <w:rPr>
                <w:sz w:val="6"/>
                <w:szCs w:val="6"/>
                <w:lang w:val="fr-BE"/>
              </w:rPr>
            </w:pPr>
          </w:p>
        </w:tc>
        <w:tc>
          <w:tcPr>
            <w:tcW w:w="3960" w:type="dxa"/>
            <w:gridSpan w:val="11"/>
            <w:vMerge/>
            <w:vAlign w:val="bottom"/>
          </w:tcPr>
          <w:p w:rsidR="00AC12B4" w:rsidRPr="00C27636" w:rsidRDefault="00AC12B4">
            <w:pPr>
              <w:rPr>
                <w:sz w:val="6"/>
                <w:szCs w:val="6"/>
                <w:lang w:val="fr-BE"/>
              </w:rPr>
            </w:pPr>
          </w:p>
        </w:tc>
        <w:tc>
          <w:tcPr>
            <w:tcW w:w="6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197"/>
        </w:trPr>
        <w:tc>
          <w:tcPr>
            <w:tcW w:w="2800" w:type="dxa"/>
            <w:gridSpan w:val="5"/>
            <w:vMerge/>
            <w:vAlign w:val="bottom"/>
          </w:tcPr>
          <w:p w:rsidR="00AC12B4" w:rsidRPr="00C27636" w:rsidRDefault="00AC12B4">
            <w:pPr>
              <w:rPr>
                <w:sz w:val="17"/>
                <w:szCs w:val="17"/>
                <w:lang w:val="fr-BE"/>
              </w:rPr>
            </w:pPr>
          </w:p>
        </w:tc>
        <w:tc>
          <w:tcPr>
            <w:tcW w:w="460" w:type="dxa"/>
            <w:vAlign w:val="bottom"/>
          </w:tcPr>
          <w:p w:rsidR="00AC12B4" w:rsidRPr="00C27636" w:rsidRDefault="00AC12B4">
            <w:pPr>
              <w:rPr>
                <w:sz w:val="17"/>
                <w:szCs w:val="17"/>
                <w:lang w:val="fr-BE"/>
              </w:rPr>
            </w:pPr>
          </w:p>
        </w:tc>
        <w:tc>
          <w:tcPr>
            <w:tcW w:w="400" w:type="dxa"/>
            <w:vAlign w:val="bottom"/>
          </w:tcPr>
          <w:p w:rsidR="00AC12B4" w:rsidRPr="00C27636" w:rsidRDefault="00AC12B4">
            <w:pPr>
              <w:rPr>
                <w:sz w:val="17"/>
                <w:szCs w:val="17"/>
                <w:lang w:val="fr-BE"/>
              </w:rPr>
            </w:pPr>
          </w:p>
        </w:tc>
        <w:tc>
          <w:tcPr>
            <w:tcW w:w="120" w:type="dxa"/>
            <w:vAlign w:val="bottom"/>
          </w:tcPr>
          <w:p w:rsidR="00AC12B4" w:rsidRPr="00C27636" w:rsidRDefault="00AC12B4">
            <w:pPr>
              <w:rPr>
                <w:sz w:val="17"/>
                <w:szCs w:val="17"/>
                <w:lang w:val="fr-BE"/>
              </w:rPr>
            </w:pPr>
          </w:p>
        </w:tc>
        <w:tc>
          <w:tcPr>
            <w:tcW w:w="1060" w:type="dxa"/>
            <w:vAlign w:val="bottom"/>
          </w:tcPr>
          <w:p w:rsidR="00AC12B4" w:rsidRPr="00C27636" w:rsidRDefault="00AC12B4">
            <w:pPr>
              <w:rPr>
                <w:sz w:val="17"/>
                <w:szCs w:val="17"/>
                <w:lang w:val="fr-BE"/>
              </w:rPr>
            </w:pPr>
          </w:p>
        </w:tc>
        <w:tc>
          <w:tcPr>
            <w:tcW w:w="1880" w:type="dxa"/>
            <w:gridSpan w:val="6"/>
            <w:vMerge w:val="restart"/>
            <w:vAlign w:val="bottom"/>
          </w:tcPr>
          <w:p w:rsidR="00AC12B4" w:rsidRDefault="00C27636">
            <w:pPr>
              <w:ind w:left="20"/>
              <w:rPr>
                <w:sz w:val="20"/>
                <w:szCs w:val="20"/>
              </w:rPr>
            </w:pPr>
            <w:r>
              <w:rPr>
                <w:rFonts w:ascii="Calibri" w:eastAsia="Calibri" w:hAnsi="Calibri" w:cs="Calibri"/>
              </w:rPr>
              <w:t>activités  sportives</w:t>
            </w:r>
          </w:p>
        </w:tc>
        <w:tc>
          <w:tcPr>
            <w:tcW w:w="2080" w:type="dxa"/>
            <w:gridSpan w:val="5"/>
            <w:vMerge w:val="restart"/>
            <w:vAlign w:val="bottom"/>
          </w:tcPr>
          <w:p w:rsidR="00AC12B4" w:rsidRPr="00C27636" w:rsidRDefault="00C27636">
            <w:pPr>
              <w:jc w:val="right"/>
              <w:rPr>
                <w:sz w:val="20"/>
                <w:szCs w:val="20"/>
                <w:lang w:val="fr-BE"/>
              </w:rPr>
            </w:pPr>
            <w:r w:rsidRPr="00C27636">
              <w:rPr>
                <w:rFonts w:ascii="Calibri" w:eastAsia="Calibri" w:hAnsi="Calibri" w:cs="Calibri"/>
                <w:lang w:val="fr-BE"/>
              </w:rPr>
              <w:t>ou  autres  ni  sur  la</w:t>
            </w:r>
          </w:p>
        </w:tc>
        <w:tc>
          <w:tcPr>
            <w:tcW w:w="660" w:type="dxa"/>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72"/>
        </w:trPr>
        <w:tc>
          <w:tcPr>
            <w:tcW w:w="720" w:type="dxa"/>
            <w:vAlign w:val="bottom"/>
          </w:tcPr>
          <w:p w:rsidR="00AC12B4" w:rsidRPr="00C27636" w:rsidRDefault="00AC12B4">
            <w:pPr>
              <w:rPr>
                <w:sz w:val="6"/>
                <w:szCs w:val="6"/>
                <w:lang w:val="fr-BE"/>
              </w:rPr>
            </w:pPr>
          </w:p>
        </w:tc>
        <w:tc>
          <w:tcPr>
            <w:tcW w:w="620" w:type="dxa"/>
            <w:vAlign w:val="bottom"/>
          </w:tcPr>
          <w:p w:rsidR="00AC12B4" w:rsidRPr="00C27636" w:rsidRDefault="00AC12B4">
            <w:pPr>
              <w:rPr>
                <w:sz w:val="6"/>
                <w:szCs w:val="6"/>
                <w:lang w:val="fr-BE"/>
              </w:rPr>
            </w:pPr>
          </w:p>
        </w:tc>
        <w:tc>
          <w:tcPr>
            <w:tcW w:w="320" w:type="dxa"/>
            <w:vAlign w:val="bottom"/>
          </w:tcPr>
          <w:p w:rsidR="00AC12B4" w:rsidRPr="00C27636" w:rsidRDefault="00AC12B4">
            <w:pPr>
              <w:rPr>
                <w:sz w:val="6"/>
                <w:szCs w:val="6"/>
                <w:lang w:val="fr-BE"/>
              </w:rPr>
            </w:pPr>
          </w:p>
        </w:tc>
        <w:tc>
          <w:tcPr>
            <w:tcW w:w="560" w:type="dxa"/>
            <w:vAlign w:val="bottom"/>
          </w:tcPr>
          <w:p w:rsidR="00AC12B4" w:rsidRPr="00C27636" w:rsidRDefault="00AC12B4">
            <w:pPr>
              <w:rPr>
                <w:sz w:val="6"/>
                <w:szCs w:val="6"/>
                <w:lang w:val="fr-BE"/>
              </w:rPr>
            </w:pPr>
          </w:p>
        </w:tc>
        <w:tc>
          <w:tcPr>
            <w:tcW w:w="580" w:type="dxa"/>
            <w:vAlign w:val="bottom"/>
          </w:tcPr>
          <w:p w:rsidR="00AC12B4" w:rsidRPr="00C27636" w:rsidRDefault="00AC12B4">
            <w:pPr>
              <w:rPr>
                <w:sz w:val="6"/>
                <w:szCs w:val="6"/>
                <w:lang w:val="fr-BE"/>
              </w:rPr>
            </w:pPr>
          </w:p>
        </w:tc>
        <w:tc>
          <w:tcPr>
            <w:tcW w:w="460" w:type="dxa"/>
            <w:vAlign w:val="bottom"/>
          </w:tcPr>
          <w:p w:rsidR="00AC12B4" w:rsidRPr="00C27636" w:rsidRDefault="00AC12B4">
            <w:pPr>
              <w:rPr>
                <w:sz w:val="6"/>
                <w:szCs w:val="6"/>
                <w:lang w:val="fr-BE"/>
              </w:rPr>
            </w:pPr>
          </w:p>
        </w:tc>
        <w:tc>
          <w:tcPr>
            <w:tcW w:w="40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1060" w:type="dxa"/>
            <w:vAlign w:val="bottom"/>
          </w:tcPr>
          <w:p w:rsidR="00AC12B4" w:rsidRPr="00C27636" w:rsidRDefault="00AC12B4">
            <w:pPr>
              <w:rPr>
                <w:sz w:val="6"/>
                <w:szCs w:val="6"/>
                <w:lang w:val="fr-BE"/>
              </w:rPr>
            </w:pPr>
          </w:p>
        </w:tc>
        <w:tc>
          <w:tcPr>
            <w:tcW w:w="1880" w:type="dxa"/>
            <w:gridSpan w:val="6"/>
            <w:vMerge/>
            <w:vAlign w:val="bottom"/>
          </w:tcPr>
          <w:p w:rsidR="00AC12B4" w:rsidRPr="00C27636" w:rsidRDefault="00AC12B4">
            <w:pPr>
              <w:rPr>
                <w:sz w:val="6"/>
                <w:szCs w:val="6"/>
                <w:lang w:val="fr-BE"/>
              </w:rPr>
            </w:pPr>
          </w:p>
        </w:tc>
        <w:tc>
          <w:tcPr>
            <w:tcW w:w="2080" w:type="dxa"/>
            <w:gridSpan w:val="5"/>
            <w:vMerge/>
            <w:vAlign w:val="bottom"/>
          </w:tcPr>
          <w:p w:rsidR="00AC12B4" w:rsidRPr="00C27636" w:rsidRDefault="00AC12B4">
            <w:pPr>
              <w:rPr>
                <w:sz w:val="6"/>
                <w:szCs w:val="6"/>
                <w:lang w:val="fr-BE"/>
              </w:rPr>
            </w:pPr>
          </w:p>
        </w:tc>
        <w:tc>
          <w:tcPr>
            <w:tcW w:w="6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239"/>
        </w:trPr>
        <w:tc>
          <w:tcPr>
            <w:tcW w:w="720" w:type="dxa"/>
            <w:tcBorders>
              <w:bottom w:val="single" w:sz="8" w:space="0" w:color="963266"/>
            </w:tcBorders>
            <w:vAlign w:val="bottom"/>
          </w:tcPr>
          <w:p w:rsidR="00AC12B4" w:rsidRPr="00C27636" w:rsidRDefault="00AC12B4">
            <w:pPr>
              <w:rPr>
                <w:sz w:val="20"/>
                <w:szCs w:val="20"/>
                <w:lang w:val="fr-BE"/>
              </w:rPr>
            </w:pPr>
          </w:p>
        </w:tc>
        <w:tc>
          <w:tcPr>
            <w:tcW w:w="620" w:type="dxa"/>
            <w:tcBorders>
              <w:bottom w:val="single" w:sz="8" w:space="0" w:color="963266"/>
            </w:tcBorders>
            <w:vAlign w:val="bottom"/>
          </w:tcPr>
          <w:p w:rsidR="00AC12B4" w:rsidRPr="00C27636" w:rsidRDefault="00AC12B4">
            <w:pPr>
              <w:rPr>
                <w:sz w:val="20"/>
                <w:szCs w:val="20"/>
                <w:lang w:val="fr-BE"/>
              </w:rPr>
            </w:pPr>
          </w:p>
        </w:tc>
        <w:tc>
          <w:tcPr>
            <w:tcW w:w="320" w:type="dxa"/>
            <w:tcBorders>
              <w:bottom w:val="single" w:sz="8" w:space="0" w:color="963266"/>
            </w:tcBorders>
            <w:vAlign w:val="bottom"/>
          </w:tcPr>
          <w:p w:rsidR="00AC12B4" w:rsidRPr="00C27636" w:rsidRDefault="00AC12B4">
            <w:pPr>
              <w:rPr>
                <w:sz w:val="20"/>
                <w:szCs w:val="20"/>
                <w:lang w:val="fr-BE"/>
              </w:rPr>
            </w:pPr>
          </w:p>
        </w:tc>
        <w:tc>
          <w:tcPr>
            <w:tcW w:w="560" w:type="dxa"/>
            <w:tcBorders>
              <w:bottom w:val="single" w:sz="8" w:space="0" w:color="963266"/>
            </w:tcBorders>
            <w:vAlign w:val="bottom"/>
          </w:tcPr>
          <w:p w:rsidR="00AC12B4" w:rsidRPr="00C27636" w:rsidRDefault="00AC12B4">
            <w:pPr>
              <w:rPr>
                <w:sz w:val="20"/>
                <w:szCs w:val="20"/>
                <w:lang w:val="fr-BE"/>
              </w:rPr>
            </w:pPr>
          </w:p>
        </w:tc>
        <w:tc>
          <w:tcPr>
            <w:tcW w:w="580" w:type="dxa"/>
            <w:tcBorders>
              <w:bottom w:val="single" w:sz="8" w:space="0" w:color="963266"/>
            </w:tcBorders>
            <w:vAlign w:val="bottom"/>
          </w:tcPr>
          <w:p w:rsidR="00AC12B4" w:rsidRPr="00C27636" w:rsidRDefault="00AC12B4">
            <w:pPr>
              <w:rPr>
                <w:sz w:val="20"/>
                <w:szCs w:val="20"/>
                <w:lang w:val="fr-BE"/>
              </w:rPr>
            </w:pPr>
          </w:p>
        </w:tc>
        <w:tc>
          <w:tcPr>
            <w:tcW w:w="460" w:type="dxa"/>
            <w:tcBorders>
              <w:bottom w:val="single" w:sz="8" w:space="0" w:color="963266"/>
            </w:tcBorders>
            <w:vAlign w:val="bottom"/>
          </w:tcPr>
          <w:p w:rsidR="00AC12B4" w:rsidRPr="00C27636" w:rsidRDefault="00AC12B4">
            <w:pPr>
              <w:rPr>
                <w:sz w:val="20"/>
                <w:szCs w:val="20"/>
                <w:lang w:val="fr-BE"/>
              </w:rPr>
            </w:pPr>
          </w:p>
        </w:tc>
        <w:tc>
          <w:tcPr>
            <w:tcW w:w="400" w:type="dxa"/>
            <w:tcBorders>
              <w:bottom w:val="single" w:sz="8" w:space="0" w:color="963266"/>
            </w:tcBorders>
            <w:vAlign w:val="bottom"/>
          </w:tcPr>
          <w:p w:rsidR="00AC12B4" w:rsidRPr="00C27636" w:rsidRDefault="00AC12B4">
            <w:pPr>
              <w:rPr>
                <w:sz w:val="20"/>
                <w:szCs w:val="20"/>
                <w:lang w:val="fr-BE"/>
              </w:rPr>
            </w:pPr>
          </w:p>
        </w:tc>
        <w:tc>
          <w:tcPr>
            <w:tcW w:w="120" w:type="dxa"/>
            <w:tcBorders>
              <w:bottom w:val="single" w:sz="8" w:space="0" w:color="963266"/>
            </w:tcBorders>
            <w:vAlign w:val="bottom"/>
          </w:tcPr>
          <w:p w:rsidR="00AC12B4" w:rsidRPr="00C27636" w:rsidRDefault="00AC12B4">
            <w:pPr>
              <w:rPr>
                <w:sz w:val="20"/>
                <w:szCs w:val="20"/>
                <w:lang w:val="fr-BE"/>
              </w:rPr>
            </w:pPr>
          </w:p>
        </w:tc>
        <w:tc>
          <w:tcPr>
            <w:tcW w:w="1060" w:type="dxa"/>
            <w:tcBorders>
              <w:bottom w:val="single" w:sz="8" w:space="0" w:color="963266"/>
            </w:tcBorders>
            <w:vAlign w:val="bottom"/>
          </w:tcPr>
          <w:p w:rsidR="00AC12B4" w:rsidRPr="00C27636" w:rsidRDefault="00AC12B4">
            <w:pPr>
              <w:rPr>
                <w:sz w:val="20"/>
                <w:szCs w:val="20"/>
                <w:lang w:val="fr-BE"/>
              </w:rPr>
            </w:pPr>
          </w:p>
        </w:tc>
        <w:tc>
          <w:tcPr>
            <w:tcW w:w="560" w:type="dxa"/>
            <w:tcBorders>
              <w:bottom w:val="single" w:sz="8" w:space="0" w:color="963266"/>
            </w:tcBorders>
            <w:vAlign w:val="bottom"/>
          </w:tcPr>
          <w:p w:rsidR="00AC12B4" w:rsidRPr="00C27636" w:rsidRDefault="00AC12B4">
            <w:pPr>
              <w:rPr>
                <w:sz w:val="20"/>
                <w:szCs w:val="20"/>
                <w:lang w:val="fr-BE"/>
              </w:rPr>
            </w:pPr>
          </w:p>
        </w:tc>
        <w:tc>
          <w:tcPr>
            <w:tcW w:w="200" w:type="dxa"/>
            <w:tcBorders>
              <w:bottom w:val="single" w:sz="8" w:space="0" w:color="963266"/>
            </w:tcBorders>
            <w:vAlign w:val="bottom"/>
          </w:tcPr>
          <w:p w:rsidR="00AC12B4" w:rsidRPr="00C27636" w:rsidRDefault="00AC12B4">
            <w:pPr>
              <w:rPr>
                <w:sz w:val="20"/>
                <w:szCs w:val="20"/>
                <w:lang w:val="fr-BE"/>
              </w:rPr>
            </w:pPr>
          </w:p>
        </w:tc>
        <w:tc>
          <w:tcPr>
            <w:tcW w:w="200" w:type="dxa"/>
            <w:vAlign w:val="bottom"/>
          </w:tcPr>
          <w:p w:rsidR="00AC12B4" w:rsidRPr="00C27636" w:rsidRDefault="00AC12B4">
            <w:pPr>
              <w:rPr>
                <w:sz w:val="20"/>
                <w:szCs w:val="20"/>
                <w:lang w:val="fr-BE"/>
              </w:rPr>
            </w:pPr>
          </w:p>
        </w:tc>
        <w:tc>
          <w:tcPr>
            <w:tcW w:w="3000" w:type="dxa"/>
            <w:gridSpan w:val="8"/>
            <w:vAlign w:val="bottom"/>
          </w:tcPr>
          <w:p w:rsidR="00AC12B4" w:rsidRPr="00C27636" w:rsidRDefault="00C27636">
            <w:pPr>
              <w:spacing w:line="239" w:lineRule="exact"/>
              <w:rPr>
                <w:sz w:val="20"/>
                <w:szCs w:val="20"/>
                <w:lang w:val="fr-BE"/>
              </w:rPr>
            </w:pPr>
            <w:r w:rsidRPr="00C27636">
              <w:rPr>
                <w:rFonts w:ascii="Calibri" w:eastAsia="Calibri" w:hAnsi="Calibri" w:cs="Calibri"/>
                <w:lang w:val="fr-BE"/>
              </w:rPr>
              <w:t>qualité de celles-ci. De</w:t>
            </w:r>
            <w:r w:rsidRPr="00C27636">
              <w:rPr>
                <w:rFonts w:ascii="Calibri" w:eastAsia="Calibri" w:hAnsi="Calibri" w:cs="Calibri"/>
                <w:lang w:val="fr-BE"/>
              </w:rPr>
              <w:t xml:space="preserve"> plus il ne</w:t>
            </w:r>
          </w:p>
        </w:tc>
        <w:tc>
          <w:tcPr>
            <w:tcW w:w="660" w:type="dxa"/>
            <w:vAlign w:val="bottom"/>
          </w:tcPr>
          <w:p w:rsidR="00AC12B4" w:rsidRPr="00C27636" w:rsidRDefault="00AC12B4">
            <w:pPr>
              <w:rPr>
                <w:sz w:val="20"/>
                <w:szCs w:val="20"/>
                <w:lang w:val="fr-BE"/>
              </w:rPr>
            </w:pPr>
          </w:p>
        </w:tc>
        <w:tc>
          <w:tcPr>
            <w:tcW w:w="0" w:type="dxa"/>
            <w:vAlign w:val="bottom"/>
          </w:tcPr>
          <w:p w:rsidR="00AC12B4" w:rsidRPr="00C27636" w:rsidRDefault="00AC12B4">
            <w:pPr>
              <w:rPr>
                <w:sz w:val="1"/>
                <w:szCs w:val="1"/>
                <w:lang w:val="fr-BE"/>
              </w:rPr>
            </w:pPr>
          </w:p>
        </w:tc>
      </w:tr>
      <w:tr w:rsidR="00AC12B4" w:rsidRPr="00C27636">
        <w:trPr>
          <w:trHeight w:val="278"/>
        </w:trPr>
        <w:tc>
          <w:tcPr>
            <w:tcW w:w="720" w:type="dxa"/>
            <w:tcBorders>
              <w:left w:val="single" w:sz="8" w:space="0" w:color="963266"/>
            </w:tcBorders>
            <w:vAlign w:val="bottom"/>
          </w:tcPr>
          <w:p w:rsidR="00AC12B4" w:rsidRPr="00C27636" w:rsidRDefault="00AC12B4">
            <w:pPr>
              <w:rPr>
                <w:sz w:val="24"/>
                <w:szCs w:val="24"/>
                <w:lang w:val="fr-BE"/>
              </w:rPr>
            </w:pPr>
          </w:p>
        </w:tc>
        <w:tc>
          <w:tcPr>
            <w:tcW w:w="620" w:type="dxa"/>
            <w:vAlign w:val="bottom"/>
          </w:tcPr>
          <w:p w:rsidR="00AC12B4" w:rsidRPr="00C27636" w:rsidRDefault="00AC12B4">
            <w:pPr>
              <w:rPr>
                <w:sz w:val="24"/>
                <w:szCs w:val="24"/>
                <w:lang w:val="fr-BE"/>
              </w:rPr>
            </w:pPr>
          </w:p>
        </w:tc>
        <w:tc>
          <w:tcPr>
            <w:tcW w:w="880" w:type="dxa"/>
            <w:gridSpan w:val="2"/>
            <w:vMerge w:val="restart"/>
            <w:vAlign w:val="bottom"/>
          </w:tcPr>
          <w:p w:rsidR="00AC12B4" w:rsidRDefault="00C27636">
            <w:pPr>
              <w:ind w:right="90"/>
              <w:jc w:val="right"/>
              <w:rPr>
                <w:sz w:val="20"/>
                <w:szCs w:val="20"/>
              </w:rPr>
            </w:pPr>
            <w:r>
              <w:rPr>
                <w:rFonts w:ascii="Calibri" w:eastAsia="Calibri" w:hAnsi="Calibri" w:cs="Calibri"/>
                <w:sz w:val="20"/>
                <w:szCs w:val="20"/>
              </w:rPr>
              <w:t>5,3%</w:t>
            </w:r>
          </w:p>
        </w:tc>
        <w:tc>
          <w:tcPr>
            <w:tcW w:w="58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1620" w:type="dxa"/>
            <w:gridSpan w:val="2"/>
            <w:vMerge w:val="restart"/>
            <w:vAlign w:val="bottom"/>
          </w:tcPr>
          <w:p w:rsidR="00AC12B4" w:rsidRDefault="00C27636">
            <w:pPr>
              <w:ind w:left="40"/>
              <w:rPr>
                <w:sz w:val="20"/>
                <w:szCs w:val="20"/>
              </w:rPr>
            </w:pPr>
            <w:r>
              <w:rPr>
                <w:rFonts w:ascii="Calibri" w:eastAsia="Calibri" w:hAnsi="Calibri" w:cs="Calibri"/>
                <w:w w:val="99"/>
                <w:sz w:val="20"/>
                <w:szCs w:val="20"/>
              </w:rPr>
              <w:t>Tout à fait d'accord</w:t>
            </w:r>
          </w:p>
        </w:tc>
        <w:tc>
          <w:tcPr>
            <w:tcW w:w="200" w:type="dxa"/>
            <w:tcBorders>
              <w:right w:val="single" w:sz="8" w:space="0" w:color="963266"/>
            </w:tcBorders>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3000" w:type="dxa"/>
            <w:gridSpan w:val="8"/>
            <w:vAlign w:val="bottom"/>
          </w:tcPr>
          <w:p w:rsidR="00AC12B4" w:rsidRPr="00C27636" w:rsidRDefault="00C27636">
            <w:pPr>
              <w:rPr>
                <w:sz w:val="20"/>
                <w:szCs w:val="20"/>
                <w:lang w:val="fr-BE"/>
              </w:rPr>
            </w:pPr>
            <w:r w:rsidRPr="00C27636">
              <w:rPr>
                <w:rFonts w:ascii="Calibri" w:eastAsia="Calibri" w:hAnsi="Calibri" w:cs="Calibri"/>
                <w:lang w:val="fr-BE"/>
              </w:rPr>
              <w:t>s’agit que d’une partie de l’offre</w:t>
            </w:r>
          </w:p>
        </w:tc>
        <w:tc>
          <w:tcPr>
            <w:tcW w:w="66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110"/>
        </w:trPr>
        <w:tc>
          <w:tcPr>
            <w:tcW w:w="1340" w:type="dxa"/>
            <w:gridSpan w:val="2"/>
            <w:vMerge w:val="restart"/>
            <w:tcBorders>
              <w:left w:val="single" w:sz="8" w:space="0" w:color="963266"/>
            </w:tcBorders>
            <w:vAlign w:val="bottom"/>
          </w:tcPr>
          <w:p w:rsidR="00AC12B4" w:rsidRDefault="00C27636">
            <w:pPr>
              <w:ind w:left="700"/>
              <w:rPr>
                <w:sz w:val="20"/>
                <w:szCs w:val="20"/>
              </w:rPr>
            </w:pPr>
            <w:r>
              <w:rPr>
                <w:rFonts w:ascii="Calibri" w:eastAsia="Calibri" w:hAnsi="Calibri" w:cs="Calibri"/>
                <w:sz w:val="20"/>
                <w:szCs w:val="20"/>
              </w:rPr>
              <w:t>12,7%</w:t>
            </w:r>
          </w:p>
        </w:tc>
        <w:tc>
          <w:tcPr>
            <w:tcW w:w="880" w:type="dxa"/>
            <w:gridSpan w:val="2"/>
            <w:vMerge/>
            <w:vAlign w:val="bottom"/>
          </w:tcPr>
          <w:p w:rsidR="00AC12B4" w:rsidRDefault="00AC12B4">
            <w:pPr>
              <w:rPr>
                <w:sz w:val="9"/>
                <w:szCs w:val="9"/>
              </w:rPr>
            </w:pPr>
          </w:p>
        </w:tc>
        <w:tc>
          <w:tcPr>
            <w:tcW w:w="580" w:type="dxa"/>
            <w:vAlign w:val="bottom"/>
          </w:tcPr>
          <w:p w:rsidR="00AC12B4" w:rsidRDefault="00AC12B4">
            <w:pPr>
              <w:rPr>
                <w:sz w:val="9"/>
                <w:szCs w:val="9"/>
              </w:rPr>
            </w:pPr>
          </w:p>
        </w:tc>
        <w:tc>
          <w:tcPr>
            <w:tcW w:w="860" w:type="dxa"/>
            <w:gridSpan w:val="2"/>
            <w:vMerge w:val="restart"/>
            <w:vAlign w:val="bottom"/>
          </w:tcPr>
          <w:p w:rsidR="00AC12B4" w:rsidRDefault="00C27636">
            <w:pPr>
              <w:ind w:right="150"/>
              <w:jc w:val="right"/>
              <w:rPr>
                <w:sz w:val="20"/>
                <w:szCs w:val="20"/>
              </w:rPr>
            </w:pPr>
            <w:r>
              <w:rPr>
                <w:rFonts w:ascii="Calibri" w:eastAsia="Calibri" w:hAnsi="Calibri" w:cs="Calibri"/>
                <w:sz w:val="20"/>
                <w:szCs w:val="20"/>
              </w:rPr>
              <w:t>23,7%</w:t>
            </w:r>
          </w:p>
        </w:tc>
        <w:tc>
          <w:tcPr>
            <w:tcW w:w="120" w:type="dxa"/>
            <w:tcBorders>
              <w:right w:val="single" w:sz="8" w:space="0" w:color="4F81BD"/>
            </w:tcBorders>
            <w:shd w:val="clear" w:color="auto" w:fill="4F81BD"/>
            <w:vAlign w:val="bottom"/>
          </w:tcPr>
          <w:p w:rsidR="00AC12B4" w:rsidRDefault="00AC12B4">
            <w:pPr>
              <w:rPr>
                <w:sz w:val="9"/>
                <w:szCs w:val="9"/>
              </w:rPr>
            </w:pPr>
          </w:p>
        </w:tc>
        <w:tc>
          <w:tcPr>
            <w:tcW w:w="1620" w:type="dxa"/>
            <w:gridSpan w:val="2"/>
            <w:vMerge/>
            <w:vAlign w:val="bottom"/>
          </w:tcPr>
          <w:p w:rsidR="00AC12B4" w:rsidRDefault="00AC12B4">
            <w:pPr>
              <w:rPr>
                <w:sz w:val="9"/>
                <w:szCs w:val="9"/>
              </w:rPr>
            </w:pPr>
          </w:p>
        </w:tc>
        <w:tc>
          <w:tcPr>
            <w:tcW w:w="200" w:type="dxa"/>
            <w:tcBorders>
              <w:right w:val="single" w:sz="8" w:space="0" w:color="963266"/>
            </w:tcBorders>
            <w:vAlign w:val="bottom"/>
          </w:tcPr>
          <w:p w:rsidR="00AC12B4" w:rsidRDefault="00AC12B4">
            <w:pPr>
              <w:rPr>
                <w:sz w:val="9"/>
                <w:szCs w:val="9"/>
              </w:rPr>
            </w:pPr>
          </w:p>
        </w:tc>
        <w:tc>
          <w:tcPr>
            <w:tcW w:w="200" w:type="dxa"/>
            <w:vAlign w:val="bottom"/>
          </w:tcPr>
          <w:p w:rsidR="00AC12B4" w:rsidRDefault="00AC12B4">
            <w:pPr>
              <w:rPr>
                <w:sz w:val="9"/>
                <w:szCs w:val="9"/>
              </w:rPr>
            </w:pPr>
          </w:p>
        </w:tc>
        <w:tc>
          <w:tcPr>
            <w:tcW w:w="920" w:type="dxa"/>
            <w:gridSpan w:val="3"/>
            <w:vMerge w:val="restart"/>
            <w:vAlign w:val="bottom"/>
          </w:tcPr>
          <w:p w:rsidR="00AC12B4" w:rsidRDefault="00C27636">
            <w:pPr>
              <w:rPr>
                <w:sz w:val="20"/>
                <w:szCs w:val="20"/>
              </w:rPr>
            </w:pPr>
            <w:r>
              <w:rPr>
                <w:rFonts w:ascii="Calibri" w:eastAsia="Calibri" w:hAnsi="Calibri" w:cs="Calibri"/>
              </w:rPr>
              <w:t>existante.</w:t>
            </w:r>
          </w:p>
        </w:tc>
        <w:tc>
          <w:tcPr>
            <w:tcW w:w="380" w:type="dxa"/>
            <w:vAlign w:val="bottom"/>
          </w:tcPr>
          <w:p w:rsidR="00AC12B4" w:rsidRDefault="00AC12B4">
            <w:pPr>
              <w:rPr>
                <w:sz w:val="9"/>
                <w:szCs w:val="9"/>
              </w:rPr>
            </w:pPr>
          </w:p>
        </w:tc>
        <w:tc>
          <w:tcPr>
            <w:tcW w:w="76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6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67"/>
        </w:trPr>
        <w:tc>
          <w:tcPr>
            <w:tcW w:w="1340" w:type="dxa"/>
            <w:gridSpan w:val="2"/>
            <w:vMerge/>
            <w:tcBorders>
              <w:left w:val="single" w:sz="8" w:space="0" w:color="963266"/>
            </w:tcBorders>
            <w:vAlign w:val="bottom"/>
          </w:tcPr>
          <w:p w:rsidR="00AC12B4" w:rsidRDefault="00AC12B4">
            <w:pPr>
              <w:rPr>
                <w:sz w:val="5"/>
                <w:szCs w:val="5"/>
              </w:rPr>
            </w:pPr>
          </w:p>
        </w:tc>
        <w:tc>
          <w:tcPr>
            <w:tcW w:w="880" w:type="dxa"/>
            <w:gridSpan w:val="2"/>
            <w:vMerge/>
            <w:vAlign w:val="bottom"/>
          </w:tcPr>
          <w:p w:rsidR="00AC12B4" w:rsidRDefault="00AC12B4">
            <w:pPr>
              <w:rPr>
                <w:sz w:val="5"/>
                <w:szCs w:val="5"/>
              </w:rPr>
            </w:pPr>
          </w:p>
        </w:tc>
        <w:tc>
          <w:tcPr>
            <w:tcW w:w="580" w:type="dxa"/>
            <w:vAlign w:val="bottom"/>
          </w:tcPr>
          <w:p w:rsidR="00AC12B4" w:rsidRDefault="00AC12B4">
            <w:pPr>
              <w:rPr>
                <w:sz w:val="5"/>
                <w:szCs w:val="5"/>
              </w:rPr>
            </w:pPr>
          </w:p>
        </w:tc>
        <w:tc>
          <w:tcPr>
            <w:tcW w:w="860" w:type="dxa"/>
            <w:gridSpan w:val="2"/>
            <w:vMerge/>
            <w:vAlign w:val="bottom"/>
          </w:tcPr>
          <w:p w:rsidR="00AC12B4" w:rsidRDefault="00AC12B4">
            <w:pPr>
              <w:rPr>
                <w:sz w:val="5"/>
                <w:szCs w:val="5"/>
              </w:rPr>
            </w:pPr>
          </w:p>
        </w:tc>
        <w:tc>
          <w:tcPr>
            <w:tcW w:w="120" w:type="dxa"/>
            <w:vAlign w:val="bottom"/>
          </w:tcPr>
          <w:p w:rsidR="00AC12B4" w:rsidRDefault="00AC12B4">
            <w:pPr>
              <w:rPr>
                <w:sz w:val="5"/>
                <w:szCs w:val="5"/>
              </w:rPr>
            </w:pPr>
          </w:p>
        </w:tc>
        <w:tc>
          <w:tcPr>
            <w:tcW w:w="1620" w:type="dxa"/>
            <w:gridSpan w:val="2"/>
            <w:vMerge/>
            <w:vAlign w:val="bottom"/>
          </w:tcPr>
          <w:p w:rsidR="00AC12B4" w:rsidRDefault="00AC12B4">
            <w:pPr>
              <w:rPr>
                <w:sz w:val="5"/>
                <w:szCs w:val="5"/>
              </w:rPr>
            </w:pPr>
          </w:p>
        </w:tc>
        <w:tc>
          <w:tcPr>
            <w:tcW w:w="200" w:type="dxa"/>
            <w:tcBorders>
              <w:right w:val="single" w:sz="8" w:space="0" w:color="963266"/>
            </w:tcBorders>
            <w:vAlign w:val="bottom"/>
          </w:tcPr>
          <w:p w:rsidR="00AC12B4" w:rsidRDefault="00AC12B4">
            <w:pPr>
              <w:rPr>
                <w:sz w:val="5"/>
                <w:szCs w:val="5"/>
              </w:rPr>
            </w:pPr>
          </w:p>
        </w:tc>
        <w:tc>
          <w:tcPr>
            <w:tcW w:w="200" w:type="dxa"/>
            <w:vAlign w:val="bottom"/>
          </w:tcPr>
          <w:p w:rsidR="00AC12B4" w:rsidRDefault="00AC12B4">
            <w:pPr>
              <w:rPr>
                <w:sz w:val="5"/>
                <w:szCs w:val="5"/>
              </w:rPr>
            </w:pPr>
          </w:p>
        </w:tc>
        <w:tc>
          <w:tcPr>
            <w:tcW w:w="920" w:type="dxa"/>
            <w:gridSpan w:val="3"/>
            <w:vMerge/>
            <w:vAlign w:val="bottom"/>
          </w:tcPr>
          <w:p w:rsidR="00AC12B4" w:rsidRDefault="00AC12B4">
            <w:pPr>
              <w:rPr>
                <w:sz w:val="5"/>
                <w:szCs w:val="5"/>
              </w:rPr>
            </w:pPr>
          </w:p>
        </w:tc>
        <w:tc>
          <w:tcPr>
            <w:tcW w:w="380" w:type="dxa"/>
            <w:vAlign w:val="bottom"/>
          </w:tcPr>
          <w:p w:rsidR="00AC12B4" w:rsidRDefault="00AC12B4">
            <w:pPr>
              <w:rPr>
                <w:sz w:val="5"/>
                <w:szCs w:val="5"/>
              </w:rPr>
            </w:pPr>
          </w:p>
        </w:tc>
        <w:tc>
          <w:tcPr>
            <w:tcW w:w="76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66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91"/>
        </w:trPr>
        <w:tc>
          <w:tcPr>
            <w:tcW w:w="1340" w:type="dxa"/>
            <w:gridSpan w:val="2"/>
            <w:vMerge/>
            <w:tcBorders>
              <w:left w:val="single" w:sz="8" w:space="0" w:color="963266"/>
            </w:tcBorders>
            <w:vAlign w:val="bottom"/>
          </w:tcPr>
          <w:p w:rsidR="00AC12B4" w:rsidRDefault="00AC12B4">
            <w:pPr>
              <w:rPr>
                <w:sz w:val="7"/>
                <w:szCs w:val="7"/>
              </w:rPr>
            </w:pPr>
          </w:p>
        </w:tc>
        <w:tc>
          <w:tcPr>
            <w:tcW w:w="320" w:type="dxa"/>
            <w:vAlign w:val="bottom"/>
          </w:tcPr>
          <w:p w:rsidR="00AC12B4" w:rsidRDefault="00AC12B4">
            <w:pPr>
              <w:rPr>
                <w:sz w:val="7"/>
                <w:szCs w:val="7"/>
              </w:rPr>
            </w:pPr>
          </w:p>
        </w:tc>
        <w:tc>
          <w:tcPr>
            <w:tcW w:w="560" w:type="dxa"/>
            <w:vAlign w:val="bottom"/>
          </w:tcPr>
          <w:p w:rsidR="00AC12B4" w:rsidRDefault="00AC12B4">
            <w:pPr>
              <w:rPr>
                <w:sz w:val="7"/>
                <w:szCs w:val="7"/>
              </w:rPr>
            </w:pPr>
          </w:p>
        </w:tc>
        <w:tc>
          <w:tcPr>
            <w:tcW w:w="580" w:type="dxa"/>
            <w:vAlign w:val="bottom"/>
          </w:tcPr>
          <w:p w:rsidR="00AC12B4" w:rsidRDefault="00AC12B4">
            <w:pPr>
              <w:rPr>
                <w:sz w:val="7"/>
                <w:szCs w:val="7"/>
              </w:rPr>
            </w:pPr>
          </w:p>
        </w:tc>
        <w:tc>
          <w:tcPr>
            <w:tcW w:w="860" w:type="dxa"/>
            <w:gridSpan w:val="2"/>
            <w:vMerge/>
            <w:vAlign w:val="bottom"/>
          </w:tcPr>
          <w:p w:rsidR="00AC12B4" w:rsidRDefault="00AC12B4">
            <w:pPr>
              <w:rPr>
                <w:sz w:val="7"/>
                <w:szCs w:val="7"/>
              </w:rPr>
            </w:pPr>
          </w:p>
        </w:tc>
        <w:tc>
          <w:tcPr>
            <w:tcW w:w="120" w:type="dxa"/>
            <w:vAlign w:val="bottom"/>
          </w:tcPr>
          <w:p w:rsidR="00AC12B4" w:rsidRDefault="00AC12B4">
            <w:pPr>
              <w:rPr>
                <w:sz w:val="7"/>
                <w:szCs w:val="7"/>
              </w:rPr>
            </w:pPr>
          </w:p>
        </w:tc>
        <w:tc>
          <w:tcPr>
            <w:tcW w:w="1060" w:type="dxa"/>
            <w:vAlign w:val="bottom"/>
          </w:tcPr>
          <w:p w:rsidR="00AC12B4" w:rsidRDefault="00AC12B4">
            <w:pPr>
              <w:rPr>
                <w:sz w:val="7"/>
                <w:szCs w:val="7"/>
              </w:rPr>
            </w:pPr>
          </w:p>
        </w:tc>
        <w:tc>
          <w:tcPr>
            <w:tcW w:w="560" w:type="dxa"/>
            <w:vAlign w:val="bottom"/>
          </w:tcPr>
          <w:p w:rsidR="00AC12B4" w:rsidRDefault="00AC12B4">
            <w:pPr>
              <w:rPr>
                <w:sz w:val="7"/>
                <w:szCs w:val="7"/>
              </w:rPr>
            </w:pPr>
          </w:p>
        </w:tc>
        <w:tc>
          <w:tcPr>
            <w:tcW w:w="200" w:type="dxa"/>
            <w:tcBorders>
              <w:right w:val="single" w:sz="8" w:space="0" w:color="963266"/>
            </w:tcBorders>
            <w:vAlign w:val="bottom"/>
          </w:tcPr>
          <w:p w:rsidR="00AC12B4" w:rsidRDefault="00AC12B4">
            <w:pPr>
              <w:rPr>
                <w:sz w:val="7"/>
                <w:szCs w:val="7"/>
              </w:rPr>
            </w:pPr>
          </w:p>
        </w:tc>
        <w:tc>
          <w:tcPr>
            <w:tcW w:w="200" w:type="dxa"/>
            <w:vAlign w:val="bottom"/>
          </w:tcPr>
          <w:p w:rsidR="00AC12B4" w:rsidRDefault="00AC12B4">
            <w:pPr>
              <w:rPr>
                <w:sz w:val="7"/>
                <w:szCs w:val="7"/>
              </w:rPr>
            </w:pPr>
          </w:p>
        </w:tc>
        <w:tc>
          <w:tcPr>
            <w:tcW w:w="920" w:type="dxa"/>
            <w:gridSpan w:val="3"/>
            <w:vMerge/>
            <w:vAlign w:val="bottom"/>
          </w:tcPr>
          <w:p w:rsidR="00AC12B4" w:rsidRDefault="00AC12B4">
            <w:pPr>
              <w:rPr>
                <w:sz w:val="7"/>
                <w:szCs w:val="7"/>
              </w:rPr>
            </w:pPr>
          </w:p>
        </w:tc>
        <w:tc>
          <w:tcPr>
            <w:tcW w:w="380" w:type="dxa"/>
            <w:vAlign w:val="bottom"/>
          </w:tcPr>
          <w:p w:rsidR="00AC12B4" w:rsidRDefault="00AC12B4">
            <w:pPr>
              <w:rPr>
                <w:sz w:val="7"/>
                <w:szCs w:val="7"/>
              </w:rPr>
            </w:pPr>
          </w:p>
        </w:tc>
        <w:tc>
          <w:tcPr>
            <w:tcW w:w="760" w:type="dxa"/>
            <w:vAlign w:val="bottom"/>
          </w:tcPr>
          <w:p w:rsidR="00AC12B4" w:rsidRDefault="00AC12B4">
            <w:pPr>
              <w:rPr>
                <w:sz w:val="7"/>
                <w:szCs w:val="7"/>
              </w:rPr>
            </w:pPr>
          </w:p>
        </w:tc>
        <w:tc>
          <w:tcPr>
            <w:tcW w:w="400" w:type="dxa"/>
            <w:vAlign w:val="bottom"/>
          </w:tcPr>
          <w:p w:rsidR="00AC12B4" w:rsidRDefault="00AC12B4">
            <w:pPr>
              <w:rPr>
                <w:sz w:val="7"/>
                <w:szCs w:val="7"/>
              </w:rPr>
            </w:pPr>
          </w:p>
        </w:tc>
        <w:tc>
          <w:tcPr>
            <w:tcW w:w="34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6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50"/>
        </w:trPr>
        <w:tc>
          <w:tcPr>
            <w:tcW w:w="1340" w:type="dxa"/>
            <w:gridSpan w:val="2"/>
            <w:vMerge/>
            <w:tcBorders>
              <w:left w:val="single" w:sz="8" w:space="0" w:color="963266"/>
            </w:tcBorders>
            <w:vAlign w:val="bottom"/>
          </w:tcPr>
          <w:p w:rsidR="00AC12B4" w:rsidRDefault="00AC12B4">
            <w:pPr>
              <w:rPr>
                <w:sz w:val="4"/>
                <w:szCs w:val="4"/>
              </w:rPr>
            </w:pPr>
          </w:p>
        </w:tc>
        <w:tc>
          <w:tcPr>
            <w:tcW w:w="320" w:type="dxa"/>
            <w:vAlign w:val="bottom"/>
          </w:tcPr>
          <w:p w:rsidR="00AC12B4" w:rsidRDefault="00AC12B4">
            <w:pPr>
              <w:rPr>
                <w:sz w:val="4"/>
                <w:szCs w:val="4"/>
              </w:rPr>
            </w:pPr>
          </w:p>
        </w:tc>
        <w:tc>
          <w:tcPr>
            <w:tcW w:w="560" w:type="dxa"/>
            <w:vAlign w:val="bottom"/>
          </w:tcPr>
          <w:p w:rsidR="00AC12B4" w:rsidRDefault="00AC12B4">
            <w:pPr>
              <w:rPr>
                <w:sz w:val="4"/>
                <w:szCs w:val="4"/>
              </w:rPr>
            </w:pPr>
          </w:p>
        </w:tc>
        <w:tc>
          <w:tcPr>
            <w:tcW w:w="580" w:type="dxa"/>
            <w:vAlign w:val="bottom"/>
          </w:tcPr>
          <w:p w:rsidR="00AC12B4" w:rsidRDefault="00AC12B4">
            <w:pPr>
              <w:rPr>
                <w:sz w:val="4"/>
                <w:szCs w:val="4"/>
              </w:rPr>
            </w:pPr>
          </w:p>
        </w:tc>
        <w:tc>
          <w:tcPr>
            <w:tcW w:w="860" w:type="dxa"/>
            <w:gridSpan w:val="2"/>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1060" w:type="dxa"/>
            <w:vAlign w:val="bottom"/>
          </w:tcPr>
          <w:p w:rsidR="00AC12B4" w:rsidRDefault="00AC12B4">
            <w:pPr>
              <w:rPr>
                <w:sz w:val="4"/>
                <w:szCs w:val="4"/>
              </w:rPr>
            </w:pPr>
          </w:p>
        </w:tc>
        <w:tc>
          <w:tcPr>
            <w:tcW w:w="560" w:type="dxa"/>
            <w:vAlign w:val="bottom"/>
          </w:tcPr>
          <w:p w:rsidR="00AC12B4" w:rsidRDefault="00AC12B4">
            <w:pPr>
              <w:rPr>
                <w:sz w:val="4"/>
                <w:szCs w:val="4"/>
              </w:rPr>
            </w:pPr>
          </w:p>
        </w:tc>
        <w:tc>
          <w:tcPr>
            <w:tcW w:w="200" w:type="dxa"/>
            <w:tcBorders>
              <w:right w:val="single" w:sz="8" w:space="0" w:color="96326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24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76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66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35"/>
        </w:trPr>
        <w:tc>
          <w:tcPr>
            <w:tcW w:w="720" w:type="dxa"/>
            <w:tcBorders>
              <w:left w:val="single" w:sz="8" w:space="0" w:color="963266"/>
            </w:tcBorders>
            <w:vAlign w:val="bottom"/>
          </w:tcPr>
          <w:p w:rsidR="00AC12B4" w:rsidRDefault="00AC12B4">
            <w:pPr>
              <w:rPr>
                <w:sz w:val="11"/>
                <w:szCs w:val="11"/>
              </w:rPr>
            </w:pPr>
          </w:p>
        </w:tc>
        <w:tc>
          <w:tcPr>
            <w:tcW w:w="620" w:type="dxa"/>
            <w:vAlign w:val="bottom"/>
          </w:tcPr>
          <w:p w:rsidR="00AC12B4" w:rsidRDefault="00AC12B4">
            <w:pPr>
              <w:rPr>
                <w:sz w:val="11"/>
                <w:szCs w:val="11"/>
              </w:rPr>
            </w:pPr>
          </w:p>
        </w:tc>
        <w:tc>
          <w:tcPr>
            <w:tcW w:w="320" w:type="dxa"/>
            <w:vAlign w:val="bottom"/>
          </w:tcPr>
          <w:p w:rsidR="00AC12B4" w:rsidRDefault="00AC12B4">
            <w:pPr>
              <w:rPr>
                <w:sz w:val="11"/>
                <w:szCs w:val="11"/>
              </w:rPr>
            </w:pPr>
          </w:p>
        </w:tc>
        <w:tc>
          <w:tcPr>
            <w:tcW w:w="560" w:type="dxa"/>
            <w:vAlign w:val="bottom"/>
          </w:tcPr>
          <w:p w:rsidR="00AC12B4" w:rsidRDefault="00AC12B4">
            <w:pPr>
              <w:rPr>
                <w:sz w:val="11"/>
                <w:szCs w:val="11"/>
              </w:rPr>
            </w:pPr>
          </w:p>
        </w:tc>
        <w:tc>
          <w:tcPr>
            <w:tcW w:w="580" w:type="dxa"/>
            <w:vAlign w:val="bottom"/>
          </w:tcPr>
          <w:p w:rsidR="00AC12B4" w:rsidRDefault="00AC12B4">
            <w:pPr>
              <w:rPr>
                <w:sz w:val="11"/>
                <w:szCs w:val="11"/>
              </w:rPr>
            </w:pPr>
          </w:p>
        </w:tc>
        <w:tc>
          <w:tcPr>
            <w:tcW w:w="860" w:type="dxa"/>
            <w:gridSpan w:val="2"/>
            <w:vMerge/>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060" w:type="dxa"/>
            <w:vAlign w:val="bottom"/>
          </w:tcPr>
          <w:p w:rsidR="00AC12B4" w:rsidRDefault="00AC12B4">
            <w:pPr>
              <w:rPr>
                <w:sz w:val="11"/>
                <w:szCs w:val="11"/>
              </w:rPr>
            </w:pPr>
          </w:p>
        </w:tc>
        <w:tc>
          <w:tcPr>
            <w:tcW w:w="560" w:type="dxa"/>
            <w:vAlign w:val="bottom"/>
          </w:tcPr>
          <w:p w:rsidR="00AC12B4" w:rsidRDefault="00AC12B4">
            <w:pPr>
              <w:rPr>
                <w:sz w:val="11"/>
                <w:szCs w:val="11"/>
              </w:rPr>
            </w:pPr>
          </w:p>
        </w:tc>
        <w:tc>
          <w:tcPr>
            <w:tcW w:w="200" w:type="dxa"/>
            <w:tcBorders>
              <w:right w:val="single" w:sz="8" w:space="0" w:color="963266"/>
            </w:tcBorders>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4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380" w:type="dxa"/>
            <w:vAlign w:val="bottom"/>
          </w:tcPr>
          <w:p w:rsidR="00AC12B4" w:rsidRDefault="00AC12B4">
            <w:pPr>
              <w:rPr>
                <w:sz w:val="11"/>
                <w:szCs w:val="11"/>
              </w:rPr>
            </w:pPr>
          </w:p>
        </w:tc>
        <w:tc>
          <w:tcPr>
            <w:tcW w:w="380" w:type="dxa"/>
            <w:vAlign w:val="bottom"/>
          </w:tcPr>
          <w:p w:rsidR="00AC12B4" w:rsidRDefault="00AC12B4">
            <w:pPr>
              <w:rPr>
                <w:sz w:val="11"/>
                <w:szCs w:val="11"/>
              </w:rPr>
            </w:pPr>
          </w:p>
        </w:tc>
        <w:tc>
          <w:tcPr>
            <w:tcW w:w="76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6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51"/>
        </w:trPr>
        <w:tc>
          <w:tcPr>
            <w:tcW w:w="720" w:type="dxa"/>
            <w:tcBorders>
              <w:left w:val="single" w:sz="8" w:space="0" w:color="963266"/>
            </w:tcBorders>
            <w:vAlign w:val="bottom"/>
          </w:tcPr>
          <w:p w:rsidR="00AC12B4" w:rsidRDefault="00AC12B4">
            <w:pPr>
              <w:rPr>
                <w:sz w:val="13"/>
                <w:szCs w:val="13"/>
              </w:rPr>
            </w:pPr>
          </w:p>
        </w:tc>
        <w:tc>
          <w:tcPr>
            <w:tcW w:w="6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560" w:type="dxa"/>
            <w:vAlign w:val="bottom"/>
          </w:tcPr>
          <w:p w:rsidR="00AC12B4" w:rsidRDefault="00AC12B4">
            <w:pPr>
              <w:rPr>
                <w:sz w:val="13"/>
                <w:szCs w:val="13"/>
              </w:rPr>
            </w:pPr>
          </w:p>
        </w:tc>
        <w:tc>
          <w:tcPr>
            <w:tcW w:w="580" w:type="dxa"/>
            <w:vAlign w:val="bottom"/>
          </w:tcPr>
          <w:p w:rsidR="00AC12B4" w:rsidRDefault="00AC12B4">
            <w:pPr>
              <w:rPr>
                <w:sz w:val="13"/>
                <w:szCs w:val="13"/>
              </w:rPr>
            </w:pPr>
          </w:p>
        </w:tc>
        <w:tc>
          <w:tcPr>
            <w:tcW w:w="460" w:type="dxa"/>
            <w:vAlign w:val="bottom"/>
          </w:tcPr>
          <w:p w:rsidR="00AC12B4" w:rsidRDefault="00AC12B4">
            <w:pPr>
              <w:rPr>
                <w:sz w:val="13"/>
                <w:szCs w:val="13"/>
              </w:rPr>
            </w:pPr>
          </w:p>
        </w:tc>
        <w:tc>
          <w:tcPr>
            <w:tcW w:w="40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1060" w:type="dxa"/>
            <w:vMerge w:val="restart"/>
            <w:vAlign w:val="bottom"/>
          </w:tcPr>
          <w:p w:rsidR="00AC12B4" w:rsidRDefault="00C27636">
            <w:pPr>
              <w:ind w:left="40"/>
              <w:rPr>
                <w:sz w:val="20"/>
                <w:szCs w:val="20"/>
              </w:rPr>
            </w:pPr>
            <w:r>
              <w:rPr>
                <w:rFonts w:ascii="Calibri" w:eastAsia="Calibri" w:hAnsi="Calibri" w:cs="Calibri"/>
                <w:sz w:val="20"/>
                <w:szCs w:val="20"/>
              </w:rPr>
              <w:t>D'accord</w:t>
            </w:r>
          </w:p>
        </w:tc>
        <w:tc>
          <w:tcPr>
            <w:tcW w:w="560" w:type="dxa"/>
            <w:vAlign w:val="bottom"/>
          </w:tcPr>
          <w:p w:rsidR="00AC12B4" w:rsidRDefault="00AC12B4">
            <w:pPr>
              <w:rPr>
                <w:sz w:val="13"/>
                <w:szCs w:val="13"/>
              </w:rPr>
            </w:pPr>
          </w:p>
        </w:tc>
        <w:tc>
          <w:tcPr>
            <w:tcW w:w="200" w:type="dxa"/>
            <w:tcBorders>
              <w:right w:val="single" w:sz="8" w:space="0" w:color="963266"/>
            </w:tcBorders>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540" w:type="dxa"/>
            <w:gridSpan w:val="2"/>
            <w:vMerge w:val="restart"/>
            <w:vAlign w:val="bottom"/>
          </w:tcPr>
          <w:p w:rsidR="00AC12B4" w:rsidRDefault="00C27636">
            <w:pPr>
              <w:rPr>
                <w:sz w:val="20"/>
                <w:szCs w:val="20"/>
              </w:rPr>
            </w:pPr>
            <w:r>
              <w:rPr>
                <w:rFonts w:ascii="Cambria" w:eastAsia="Cambria" w:hAnsi="Cambria" w:cs="Cambria"/>
                <w:b/>
                <w:bCs/>
                <w:i/>
                <w:iCs/>
                <w:color w:val="7F2D13"/>
                <w:w w:val="98"/>
                <w:sz w:val="26"/>
                <w:szCs w:val="26"/>
              </w:rPr>
              <w:t>D’où</w:t>
            </w:r>
          </w:p>
        </w:tc>
        <w:tc>
          <w:tcPr>
            <w:tcW w:w="380" w:type="dxa"/>
            <w:vAlign w:val="bottom"/>
          </w:tcPr>
          <w:p w:rsidR="00AC12B4" w:rsidRDefault="00AC12B4">
            <w:pPr>
              <w:rPr>
                <w:sz w:val="13"/>
                <w:szCs w:val="13"/>
              </w:rPr>
            </w:pPr>
          </w:p>
        </w:tc>
        <w:tc>
          <w:tcPr>
            <w:tcW w:w="1140" w:type="dxa"/>
            <w:gridSpan w:val="2"/>
            <w:vMerge w:val="restart"/>
            <w:vAlign w:val="bottom"/>
          </w:tcPr>
          <w:p w:rsidR="00AC12B4" w:rsidRDefault="00C27636">
            <w:pPr>
              <w:ind w:left="120"/>
              <w:rPr>
                <w:sz w:val="20"/>
                <w:szCs w:val="20"/>
              </w:rPr>
            </w:pPr>
            <w:r>
              <w:rPr>
                <w:rFonts w:ascii="Cambria" w:eastAsia="Cambria" w:hAnsi="Cambria" w:cs="Cambria"/>
                <w:b/>
                <w:bCs/>
                <w:i/>
                <w:iCs/>
                <w:color w:val="7F2D13"/>
                <w:w w:val="98"/>
                <w:sz w:val="26"/>
                <w:szCs w:val="26"/>
              </w:rPr>
              <w:t>viennent</w:t>
            </w:r>
          </w:p>
        </w:tc>
        <w:tc>
          <w:tcPr>
            <w:tcW w:w="400" w:type="dxa"/>
            <w:vAlign w:val="bottom"/>
          </w:tcPr>
          <w:p w:rsidR="00AC12B4" w:rsidRDefault="00AC12B4">
            <w:pPr>
              <w:rPr>
                <w:sz w:val="13"/>
                <w:szCs w:val="13"/>
              </w:rPr>
            </w:pPr>
          </w:p>
        </w:tc>
        <w:tc>
          <w:tcPr>
            <w:tcW w:w="540" w:type="dxa"/>
            <w:gridSpan w:val="2"/>
            <w:vMerge w:val="restart"/>
            <w:vAlign w:val="bottom"/>
          </w:tcPr>
          <w:p w:rsidR="00AC12B4" w:rsidRDefault="00C27636">
            <w:pPr>
              <w:jc w:val="right"/>
              <w:rPr>
                <w:sz w:val="20"/>
                <w:szCs w:val="20"/>
              </w:rPr>
            </w:pPr>
            <w:r>
              <w:rPr>
                <w:rFonts w:ascii="Cambria" w:eastAsia="Cambria" w:hAnsi="Cambria" w:cs="Cambria"/>
                <w:b/>
                <w:bCs/>
                <w:i/>
                <w:iCs/>
                <w:color w:val="7F2D13"/>
                <w:sz w:val="26"/>
                <w:szCs w:val="26"/>
              </w:rPr>
              <w:t>ces</w:t>
            </w:r>
          </w:p>
        </w:tc>
        <w:tc>
          <w:tcPr>
            <w:tcW w:w="6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0"/>
        </w:trPr>
        <w:tc>
          <w:tcPr>
            <w:tcW w:w="720" w:type="dxa"/>
            <w:tcBorders>
              <w:left w:val="single" w:sz="8" w:space="0" w:color="963266"/>
            </w:tcBorders>
            <w:vAlign w:val="bottom"/>
          </w:tcPr>
          <w:p w:rsidR="00AC12B4" w:rsidRDefault="00AC12B4">
            <w:pPr>
              <w:rPr>
                <w:sz w:val="9"/>
                <w:szCs w:val="9"/>
              </w:rPr>
            </w:pPr>
          </w:p>
        </w:tc>
        <w:tc>
          <w:tcPr>
            <w:tcW w:w="62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560" w:type="dxa"/>
            <w:vAlign w:val="bottom"/>
          </w:tcPr>
          <w:p w:rsidR="00AC12B4" w:rsidRDefault="00AC12B4">
            <w:pPr>
              <w:rPr>
                <w:sz w:val="9"/>
                <w:szCs w:val="9"/>
              </w:rPr>
            </w:pPr>
          </w:p>
        </w:tc>
        <w:tc>
          <w:tcPr>
            <w:tcW w:w="58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120" w:type="dxa"/>
            <w:tcBorders>
              <w:right w:val="single" w:sz="8" w:space="0" w:color="C0504D"/>
            </w:tcBorders>
            <w:shd w:val="clear" w:color="auto" w:fill="C0504D"/>
            <w:vAlign w:val="bottom"/>
          </w:tcPr>
          <w:p w:rsidR="00AC12B4" w:rsidRDefault="00AC12B4">
            <w:pPr>
              <w:rPr>
                <w:sz w:val="9"/>
                <w:szCs w:val="9"/>
              </w:rPr>
            </w:pPr>
          </w:p>
        </w:tc>
        <w:tc>
          <w:tcPr>
            <w:tcW w:w="1060" w:type="dxa"/>
            <w:vMerge/>
            <w:vAlign w:val="bottom"/>
          </w:tcPr>
          <w:p w:rsidR="00AC12B4" w:rsidRDefault="00AC12B4">
            <w:pPr>
              <w:rPr>
                <w:sz w:val="9"/>
                <w:szCs w:val="9"/>
              </w:rPr>
            </w:pPr>
          </w:p>
        </w:tc>
        <w:tc>
          <w:tcPr>
            <w:tcW w:w="560" w:type="dxa"/>
            <w:vAlign w:val="bottom"/>
          </w:tcPr>
          <w:p w:rsidR="00AC12B4" w:rsidRDefault="00AC12B4">
            <w:pPr>
              <w:rPr>
                <w:sz w:val="9"/>
                <w:szCs w:val="9"/>
              </w:rPr>
            </w:pPr>
          </w:p>
        </w:tc>
        <w:tc>
          <w:tcPr>
            <w:tcW w:w="200" w:type="dxa"/>
            <w:tcBorders>
              <w:right w:val="single" w:sz="8" w:space="0" w:color="963266"/>
            </w:tcBorders>
            <w:vAlign w:val="bottom"/>
          </w:tcPr>
          <w:p w:rsidR="00AC12B4" w:rsidRDefault="00AC12B4">
            <w:pPr>
              <w:rPr>
                <w:sz w:val="9"/>
                <w:szCs w:val="9"/>
              </w:rPr>
            </w:pPr>
          </w:p>
        </w:tc>
        <w:tc>
          <w:tcPr>
            <w:tcW w:w="200" w:type="dxa"/>
            <w:vAlign w:val="bottom"/>
          </w:tcPr>
          <w:p w:rsidR="00AC12B4" w:rsidRDefault="00AC12B4">
            <w:pPr>
              <w:rPr>
                <w:sz w:val="9"/>
                <w:szCs w:val="9"/>
              </w:rPr>
            </w:pPr>
          </w:p>
        </w:tc>
        <w:tc>
          <w:tcPr>
            <w:tcW w:w="540" w:type="dxa"/>
            <w:gridSpan w:val="2"/>
            <w:vMerge/>
            <w:vAlign w:val="bottom"/>
          </w:tcPr>
          <w:p w:rsidR="00AC12B4" w:rsidRDefault="00AC12B4">
            <w:pPr>
              <w:rPr>
                <w:sz w:val="9"/>
                <w:szCs w:val="9"/>
              </w:rPr>
            </w:pPr>
          </w:p>
        </w:tc>
        <w:tc>
          <w:tcPr>
            <w:tcW w:w="380" w:type="dxa"/>
            <w:vAlign w:val="bottom"/>
          </w:tcPr>
          <w:p w:rsidR="00AC12B4" w:rsidRDefault="00AC12B4">
            <w:pPr>
              <w:rPr>
                <w:sz w:val="9"/>
                <w:szCs w:val="9"/>
              </w:rPr>
            </w:pPr>
          </w:p>
        </w:tc>
        <w:tc>
          <w:tcPr>
            <w:tcW w:w="1140" w:type="dxa"/>
            <w:gridSpan w:val="2"/>
            <w:vMerge/>
            <w:vAlign w:val="bottom"/>
          </w:tcPr>
          <w:p w:rsidR="00AC12B4" w:rsidRDefault="00AC12B4">
            <w:pPr>
              <w:rPr>
                <w:sz w:val="9"/>
                <w:szCs w:val="9"/>
              </w:rPr>
            </w:pPr>
          </w:p>
        </w:tc>
        <w:tc>
          <w:tcPr>
            <w:tcW w:w="400" w:type="dxa"/>
            <w:vAlign w:val="bottom"/>
          </w:tcPr>
          <w:p w:rsidR="00AC12B4" w:rsidRDefault="00AC12B4">
            <w:pPr>
              <w:rPr>
                <w:sz w:val="9"/>
                <w:szCs w:val="9"/>
              </w:rPr>
            </w:pPr>
          </w:p>
        </w:tc>
        <w:tc>
          <w:tcPr>
            <w:tcW w:w="540" w:type="dxa"/>
            <w:gridSpan w:val="2"/>
            <w:vMerge/>
            <w:vAlign w:val="bottom"/>
          </w:tcPr>
          <w:p w:rsidR="00AC12B4" w:rsidRDefault="00AC12B4">
            <w:pPr>
              <w:rPr>
                <w:sz w:val="9"/>
                <w:szCs w:val="9"/>
              </w:rPr>
            </w:pPr>
          </w:p>
        </w:tc>
        <w:tc>
          <w:tcPr>
            <w:tcW w:w="6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65"/>
        </w:trPr>
        <w:tc>
          <w:tcPr>
            <w:tcW w:w="720" w:type="dxa"/>
            <w:tcBorders>
              <w:left w:val="single" w:sz="8" w:space="0" w:color="963266"/>
            </w:tcBorders>
            <w:vAlign w:val="bottom"/>
          </w:tcPr>
          <w:p w:rsidR="00AC12B4" w:rsidRDefault="00AC12B4">
            <w:pPr>
              <w:rPr>
                <w:sz w:val="5"/>
                <w:szCs w:val="5"/>
              </w:rPr>
            </w:pPr>
          </w:p>
        </w:tc>
        <w:tc>
          <w:tcPr>
            <w:tcW w:w="620" w:type="dxa"/>
            <w:vAlign w:val="bottom"/>
          </w:tcPr>
          <w:p w:rsidR="00AC12B4" w:rsidRDefault="00AC12B4">
            <w:pPr>
              <w:rPr>
                <w:sz w:val="5"/>
                <w:szCs w:val="5"/>
              </w:rPr>
            </w:pPr>
          </w:p>
        </w:tc>
        <w:tc>
          <w:tcPr>
            <w:tcW w:w="320" w:type="dxa"/>
            <w:vAlign w:val="bottom"/>
          </w:tcPr>
          <w:p w:rsidR="00AC12B4" w:rsidRDefault="00AC12B4">
            <w:pPr>
              <w:rPr>
                <w:sz w:val="5"/>
                <w:szCs w:val="5"/>
              </w:rPr>
            </w:pPr>
          </w:p>
        </w:tc>
        <w:tc>
          <w:tcPr>
            <w:tcW w:w="560" w:type="dxa"/>
            <w:vAlign w:val="bottom"/>
          </w:tcPr>
          <w:p w:rsidR="00AC12B4" w:rsidRDefault="00AC12B4">
            <w:pPr>
              <w:rPr>
                <w:sz w:val="5"/>
                <w:szCs w:val="5"/>
              </w:rPr>
            </w:pPr>
          </w:p>
        </w:tc>
        <w:tc>
          <w:tcPr>
            <w:tcW w:w="580" w:type="dxa"/>
            <w:vAlign w:val="bottom"/>
          </w:tcPr>
          <w:p w:rsidR="00AC12B4" w:rsidRDefault="00AC12B4">
            <w:pPr>
              <w:rPr>
                <w:sz w:val="5"/>
                <w:szCs w:val="5"/>
              </w:rPr>
            </w:pPr>
          </w:p>
        </w:tc>
        <w:tc>
          <w:tcPr>
            <w:tcW w:w="46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1060" w:type="dxa"/>
            <w:vMerge/>
            <w:vAlign w:val="bottom"/>
          </w:tcPr>
          <w:p w:rsidR="00AC12B4" w:rsidRDefault="00AC12B4">
            <w:pPr>
              <w:rPr>
                <w:sz w:val="5"/>
                <w:szCs w:val="5"/>
              </w:rPr>
            </w:pPr>
          </w:p>
        </w:tc>
        <w:tc>
          <w:tcPr>
            <w:tcW w:w="560" w:type="dxa"/>
            <w:vAlign w:val="bottom"/>
          </w:tcPr>
          <w:p w:rsidR="00AC12B4" w:rsidRDefault="00AC12B4">
            <w:pPr>
              <w:rPr>
                <w:sz w:val="5"/>
                <w:szCs w:val="5"/>
              </w:rPr>
            </w:pPr>
          </w:p>
        </w:tc>
        <w:tc>
          <w:tcPr>
            <w:tcW w:w="200" w:type="dxa"/>
            <w:tcBorders>
              <w:right w:val="single" w:sz="8" w:space="0" w:color="963266"/>
            </w:tcBorders>
            <w:vAlign w:val="bottom"/>
          </w:tcPr>
          <w:p w:rsidR="00AC12B4" w:rsidRDefault="00AC12B4">
            <w:pPr>
              <w:rPr>
                <w:sz w:val="5"/>
                <w:szCs w:val="5"/>
              </w:rPr>
            </w:pPr>
          </w:p>
        </w:tc>
        <w:tc>
          <w:tcPr>
            <w:tcW w:w="200" w:type="dxa"/>
            <w:vAlign w:val="bottom"/>
          </w:tcPr>
          <w:p w:rsidR="00AC12B4" w:rsidRDefault="00AC12B4">
            <w:pPr>
              <w:rPr>
                <w:sz w:val="5"/>
                <w:szCs w:val="5"/>
              </w:rPr>
            </w:pPr>
          </w:p>
        </w:tc>
        <w:tc>
          <w:tcPr>
            <w:tcW w:w="540" w:type="dxa"/>
            <w:gridSpan w:val="2"/>
            <w:vMerge/>
            <w:vAlign w:val="bottom"/>
          </w:tcPr>
          <w:p w:rsidR="00AC12B4" w:rsidRDefault="00AC12B4">
            <w:pPr>
              <w:rPr>
                <w:sz w:val="5"/>
                <w:szCs w:val="5"/>
              </w:rPr>
            </w:pPr>
          </w:p>
        </w:tc>
        <w:tc>
          <w:tcPr>
            <w:tcW w:w="380" w:type="dxa"/>
            <w:vAlign w:val="bottom"/>
          </w:tcPr>
          <w:p w:rsidR="00AC12B4" w:rsidRDefault="00AC12B4">
            <w:pPr>
              <w:rPr>
                <w:sz w:val="5"/>
                <w:szCs w:val="5"/>
              </w:rPr>
            </w:pPr>
          </w:p>
        </w:tc>
        <w:tc>
          <w:tcPr>
            <w:tcW w:w="1140" w:type="dxa"/>
            <w:gridSpan w:val="2"/>
            <w:vMerge/>
            <w:vAlign w:val="bottom"/>
          </w:tcPr>
          <w:p w:rsidR="00AC12B4" w:rsidRDefault="00AC12B4">
            <w:pPr>
              <w:rPr>
                <w:sz w:val="5"/>
                <w:szCs w:val="5"/>
              </w:rPr>
            </w:pPr>
          </w:p>
        </w:tc>
        <w:tc>
          <w:tcPr>
            <w:tcW w:w="400" w:type="dxa"/>
            <w:vAlign w:val="bottom"/>
          </w:tcPr>
          <w:p w:rsidR="00AC12B4" w:rsidRDefault="00AC12B4">
            <w:pPr>
              <w:rPr>
                <w:sz w:val="5"/>
                <w:szCs w:val="5"/>
              </w:rPr>
            </w:pPr>
          </w:p>
        </w:tc>
        <w:tc>
          <w:tcPr>
            <w:tcW w:w="540" w:type="dxa"/>
            <w:gridSpan w:val="2"/>
            <w:vMerge/>
            <w:vAlign w:val="bottom"/>
          </w:tcPr>
          <w:p w:rsidR="00AC12B4" w:rsidRDefault="00AC12B4">
            <w:pPr>
              <w:rPr>
                <w:sz w:val="5"/>
                <w:szCs w:val="5"/>
              </w:rPr>
            </w:pPr>
          </w:p>
        </w:tc>
        <w:tc>
          <w:tcPr>
            <w:tcW w:w="66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350"/>
        </w:trPr>
        <w:tc>
          <w:tcPr>
            <w:tcW w:w="720" w:type="dxa"/>
            <w:tcBorders>
              <w:left w:val="single" w:sz="8" w:space="0" w:color="963266"/>
            </w:tcBorders>
            <w:vAlign w:val="bottom"/>
          </w:tcPr>
          <w:p w:rsidR="00AC12B4" w:rsidRDefault="00AC12B4">
            <w:pPr>
              <w:rPr>
                <w:sz w:val="24"/>
                <w:szCs w:val="24"/>
              </w:rPr>
            </w:pPr>
          </w:p>
        </w:tc>
        <w:tc>
          <w:tcPr>
            <w:tcW w:w="620" w:type="dxa"/>
            <w:vAlign w:val="bottom"/>
          </w:tcPr>
          <w:p w:rsidR="00AC12B4" w:rsidRDefault="00AC12B4">
            <w:pPr>
              <w:rPr>
                <w:sz w:val="24"/>
                <w:szCs w:val="24"/>
              </w:rPr>
            </w:pPr>
          </w:p>
        </w:tc>
        <w:tc>
          <w:tcPr>
            <w:tcW w:w="320" w:type="dxa"/>
            <w:vAlign w:val="bottom"/>
          </w:tcPr>
          <w:p w:rsidR="00AC12B4" w:rsidRDefault="00AC12B4">
            <w:pPr>
              <w:rPr>
                <w:sz w:val="24"/>
                <w:szCs w:val="24"/>
              </w:rPr>
            </w:pPr>
          </w:p>
        </w:tc>
        <w:tc>
          <w:tcPr>
            <w:tcW w:w="560" w:type="dxa"/>
            <w:vAlign w:val="bottom"/>
          </w:tcPr>
          <w:p w:rsidR="00AC12B4" w:rsidRDefault="00AC12B4">
            <w:pPr>
              <w:rPr>
                <w:sz w:val="24"/>
                <w:szCs w:val="24"/>
              </w:rPr>
            </w:pPr>
          </w:p>
        </w:tc>
        <w:tc>
          <w:tcPr>
            <w:tcW w:w="58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1060" w:type="dxa"/>
            <w:vAlign w:val="bottom"/>
          </w:tcPr>
          <w:p w:rsidR="00AC12B4" w:rsidRDefault="00AC12B4">
            <w:pPr>
              <w:rPr>
                <w:sz w:val="24"/>
                <w:szCs w:val="24"/>
              </w:rPr>
            </w:pPr>
          </w:p>
        </w:tc>
        <w:tc>
          <w:tcPr>
            <w:tcW w:w="560" w:type="dxa"/>
            <w:vAlign w:val="bottom"/>
          </w:tcPr>
          <w:p w:rsidR="00AC12B4" w:rsidRDefault="00AC12B4">
            <w:pPr>
              <w:rPr>
                <w:sz w:val="24"/>
                <w:szCs w:val="24"/>
              </w:rPr>
            </w:pPr>
          </w:p>
        </w:tc>
        <w:tc>
          <w:tcPr>
            <w:tcW w:w="200" w:type="dxa"/>
            <w:tcBorders>
              <w:right w:val="single" w:sz="8" w:space="0" w:color="963266"/>
            </w:tcBorders>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60" w:type="dxa"/>
            <w:gridSpan w:val="5"/>
            <w:vAlign w:val="bottom"/>
          </w:tcPr>
          <w:p w:rsidR="00AC12B4" w:rsidRDefault="00C27636">
            <w:pPr>
              <w:rPr>
                <w:sz w:val="20"/>
                <w:szCs w:val="20"/>
              </w:rPr>
            </w:pPr>
            <w:r>
              <w:rPr>
                <w:rFonts w:ascii="Cambria" w:eastAsia="Cambria" w:hAnsi="Cambria" w:cs="Cambria"/>
                <w:b/>
                <w:bCs/>
                <w:i/>
                <w:iCs/>
                <w:color w:val="7F2D13"/>
                <w:sz w:val="26"/>
                <w:szCs w:val="26"/>
              </w:rPr>
              <w:t>chiffres ?</w:t>
            </w:r>
          </w:p>
        </w:tc>
        <w:tc>
          <w:tcPr>
            <w:tcW w:w="40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6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76"/>
        </w:trPr>
        <w:tc>
          <w:tcPr>
            <w:tcW w:w="720" w:type="dxa"/>
            <w:tcBorders>
              <w:left w:val="single" w:sz="8" w:space="0" w:color="963266"/>
            </w:tcBorders>
            <w:vAlign w:val="bottom"/>
          </w:tcPr>
          <w:p w:rsidR="00AC12B4" w:rsidRDefault="00AC12B4">
            <w:pPr>
              <w:rPr>
                <w:sz w:val="6"/>
                <w:szCs w:val="6"/>
              </w:rPr>
            </w:pPr>
          </w:p>
        </w:tc>
        <w:tc>
          <w:tcPr>
            <w:tcW w:w="620" w:type="dxa"/>
            <w:vAlign w:val="bottom"/>
          </w:tcPr>
          <w:p w:rsidR="00AC12B4" w:rsidRDefault="00AC12B4">
            <w:pPr>
              <w:rPr>
                <w:sz w:val="6"/>
                <w:szCs w:val="6"/>
              </w:rPr>
            </w:pPr>
          </w:p>
        </w:tc>
        <w:tc>
          <w:tcPr>
            <w:tcW w:w="320" w:type="dxa"/>
            <w:vAlign w:val="bottom"/>
          </w:tcPr>
          <w:p w:rsidR="00AC12B4" w:rsidRDefault="00AC12B4">
            <w:pPr>
              <w:rPr>
                <w:sz w:val="6"/>
                <w:szCs w:val="6"/>
              </w:rPr>
            </w:pPr>
          </w:p>
        </w:tc>
        <w:tc>
          <w:tcPr>
            <w:tcW w:w="560" w:type="dxa"/>
            <w:vAlign w:val="bottom"/>
          </w:tcPr>
          <w:p w:rsidR="00AC12B4" w:rsidRDefault="00AC12B4">
            <w:pPr>
              <w:rPr>
                <w:sz w:val="6"/>
                <w:szCs w:val="6"/>
              </w:rPr>
            </w:pPr>
          </w:p>
        </w:tc>
        <w:tc>
          <w:tcPr>
            <w:tcW w:w="580" w:type="dxa"/>
            <w:vAlign w:val="bottom"/>
          </w:tcPr>
          <w:p w:rsidR="00AC12B4" w:rsidRDefault="00AC12B4">
            <w:pPr>
              <w:rPr>
                <w:sz w:val="6"/>
                <w:szCs w:val="6"/>
              </w:rPr>
            </w:pPr>
          </w:p>
        </w:tc>
        <w:tc>
          <w:tcPr>
            <w:tcW w:w="460" w:type="dxa"/>
            <w:vAlign w:val="bottom"/>
          </w:tcPr>
          <w:p w:rsidR="00AC12B4" w:rsidRDefault="00AC12B4">
            <w:pPr>
              <w:rPr>
                <w:sz w:val="6"/>
                <w:szCs w:val="6"/>
              </w:rPr>
            </w:pPr>
          </w:p>
        </w:tc>
        <w:tc>
          <w:tcPr>
            <w:tcW w:w="400" w:type="dxa"/>
            <w:vAlign w:val="bottom"/>
          </w:tcPr>
          <w:p w:rsidR="00AC12B4" w:rsidRDefault="00AC12B4">
            <w:pPr>
              <w:rPr>
                <w:sz w:val="6"/>
                <w:szCs w:val="6"/>
              </w:rPr>
            </w:pPr>
          </w:p>
        </w:tc>
        <w:tc>
          <w:tcPr>
            <w:tcW w:w="120" w:type="dxa"/>
            <w:vAlign w:val="bottom"/>
          </w:tcPr>
          <w:p w:rsidR="00AC12B4" w:rsidRDefault="00AC12B4">
            <w:pPr>
              <w:rPr>
                <w:sz w:val="6"/>
                <w:szCs w:val="6"/>
              </w:rPr>
            </w:pPr>
          </w:p>
        </w:tc>
        <w:tc>
          <w:tcPr>
            <w:tcW w:w="1620" w:type="dxa"/>
            <w:gridSpan w:val="2"/>
            <w:vMerge w:val="restart"/>
            <w:vAlign w:val="bottom"/>
          </w:tcPr>
          <w:p w:rsidR="00AC12B4" w:rsidRDefault="00C27636">
            <w:pPr>
              <w:spacing w:line="238" w:lineRule="exact"/>
              <w:ind w:left="40"/>
              <w:rPr>
                <w:sz w:val="20"/>
                <w:szCs w:val="20"/>
              </w:rPr>
            </w:pPr>
            <w:r>
              <w:rPr>
                <w:rFonts w:ascii="Calibri" w:eastAsia="Calibri" w:hAnsi="Calibri" w:cs="Calibri"/>
                <w:sz w:val="20"/>
                <w:szCs w:val="20"/>
              </w:rPr>
              <w:t xml:space="preserve">Ni d'accord, </w:t>
            </w:r>
            <w:r>
              <w:rPr>
                <w:rFonts w:ascii="Calibri" w:eastAsia="Calibri" w:hAnsi="Calibri" w:cs="Calibri"/>
                <w:sz w:val="20"/>
                <w:szCs w:val="20"/>
              </w:rPr>
              <w:lastRenderedPageBreak/>
              <w:t>ni pas</w:t>
            </w:r>
          </w:p>
        </w:tc>
        <w:tc>
          <w:tcPr>
            <w:tcW w:w="200" w:type="dxa"/>
            <w:tcBorders>
              <w:right w:val="single" w:sz="8" w:space="0" w:color="963266"/>
            </w:tcBorders>
            <w:vAlign w:val="bottom"/>
          </w:tcPr>
          <w:p w:rsidR="00AC12B4" w:rsidRDefault="00AC12B4">
            <w:pPr>
              <w:rPr>
                <w:sz w:val="6"/>
                <w:szCs w:val="6"/>
              </w:rPr>
            </w:pPr>
          </w:p>
        </w:tc>
        <w:tc>
          <w:tcPr>
            <w:tcW w:w="20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1820" w:type="dxa"/>
            <w:gridSpan w:val="4"/>
            <w:vMerge w:val="restart"/>
            <w:vAlign w:val="bottom"/>
          </w:tcPr>
          <w:p w:rsidR="00AC12B4" w:rsidRDefault="00C27636">
            <w:pPr>
              <w:ind w:left="120"/>
              <w:rPr>
                <w:sz w:val="20"/>
                <w:szCs w:val="20"/>
              </w:rPr>
            </w:pPr>
            <w:r>
              <w:rPr>
                <w:rFonts w:ascii="Wingdings" w:eastAsia="Wingdings" w:hAnsi="Wingdings" w:cs="Wingdings"/>
                <w:color w:val="E05429"/>
              </w:rPr>
              <w:t></w:t>
            </w:r>
            <w:r>
              <w:rPr>
                <w:rFonts w:ascii="Wingdings" w:eastAsia="Wingdings" w:hAnsi="Wingdings" w:cs="Wingdings"/>
                <w:color w:val="E05429"/>
              </w:rPr>
              <w:t></w:t>
            </w:r>
            <w:r>
              <w:rPr>
                <w:rFonts w:ascii="Cambria" w:eastAsia="Cambria" w:hAnsi="Cambria" w:cs="Cambria"/>
                <w:i/>
                <w:iCs/>
                <w:color w:val="E05429"/>
              </w:rPr>
              <w:t>HBS</w:t>
            </w:r>
            <w:r>
              <w:rPr>
                <w:rFonts w:ascii="Cambria" w:eastAsia="Cambria" w:hAnsi="Cambria" w:cs="Cambria"/>
                <w:i/>
                <w:iCs/>
                <w:color w:val="E05429"/>
              </w:rPr>
              <w:lastRenderedPageBreak/>
              <w:t>C</w:t>
            </w:r>
          </w:p>
        </w:tc>
        <w:tc>
          <w:tcPr>
            <w:tcW w:w="40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200" w:type="dxa"/>
            <w:vAlign w:val="bottom"/>
          </w:tcPr>
          <w:p w:rsidR="00AC12B4" w:rsidRDefault="00AC12B4">
            <w:pPr>
              <w:rPr>
                <w:sz w:val="6"/>
                <w:szCs w:val="6"/>
              </w:rPr>
            </w:pPr>
          </w:p>
        </w:tc>
        <w:tc>
          <w:tcPr>
            <w:tcW w:w="66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10"/>
        </w:trPr>
        <w:tc>
          <w:tcPr>
            <w:tcW w:w="720" w:type="dxa"/>
            <w:tcBorders>
              <w:left w:val="single" w:sz="8" w:space="0" w:color="963266"/>
            </w:tcBorders>
            <w:vAlign w:val="bottom"/>
          </w:tcPr>
          <w:p w:rsidR="00AC12B4" w:rsidRDefault="00AC12B4">
            <w:pPr>
              <w:rPr>
                <w:sz w:val="9"/>
                <w:szCs w:val="9"/>
              </w:rPr>
            </w:pPr>
          </w:p>
        </w:tc>
        <w:tc>
          <w:tcPr>
            <w:tcW w:w="62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560" w:type="dxa"/>
            <w:vAlign w:val="bottom"/>
          </w:tcPr>
          <w:p w:rsidR="00AC12B4" w:rsidRDefault="00AC12B4">
            <w:pPr>
              <w:rPr>
                <w:sz w:val="9"/>
                <w:szCs w:val="9"/>
              </w:rPr>
            </w:pPr>
          </w:p>
        </w:tc>
        <w:tc>
          <w:tcPr>
            <w:tcW w:w="58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120" w:type="dxa"/>
            <w:tcBorders>
              <w:right w:val="single" w:sz="8" w:space="0" w:color="9BBB59"/>
            </w:tcBorders>
            <w:shd w:val="clear" w:color="auto" w:fill="9BBB59"/>
            <w:vAlign w:val="bottom"/>
          </w:tcPr>
          <w:p w:rsidR="00AC12B4" w:rsidRDefault="00AC12B4">
            <w:pPr>
              <w:rPr>
                <w:sz w:val="9"/>
                <w:szCs w:val="9"/>
              </w:rPr>
            </w:pPr>
          </w:p>
        </w:tc>
        <w:tc>
          <w:tcPr>
            <w:tcW w:w="1620" w:type="dxa"/>
            <w:gridSpan w:val="2"/>
            <w:vMerge/>
            <w:vAlign w:val="bottom"/>
          </w:tcPr>
          <w:p w:rsidR="00AC12B4" w:rsidRDefault="00AC12B4">
            <w:pPr>
              <w:rPr>
                <w:sz w:val="9"/>
                <w:szCs w:val="9"/>
              </w:rPr>
            </w:pPr>
          </w:p>
        </w:tc>
        <w:tc>
          <w:tcPr>
            <w:tcW w:w="200" w:type="dxa"/>
            <w:tcBorders>
              <w:right w:val="single" w:sz="8" w:space="0" w:color="963266"/>
            </w:tcBorders>
            <w:vAlign w:val="bottom"/>
          </w:tcPr>
          <w:p w:rsidR="00AC12B4" w:rsidRDefault="00AC12B4">
            <w:pPr>
              <w:rPr>
                <w:sz w:val="9"/>
                <w:szCs w:val="9"/>
              </w:rPr>
            </w:pPr>
          </w:p>
        </w:tc>
        <w:tc>
          <w:tcPr>
            <w:tcW w:w="20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1820" w:type="dxa"/>
            <w:gridSpan w:val="4"/>
            <w:vMerge/>
            <w:vAlign w:val="bottom"/>
          </w:tcPr>
          <w:p w:rsidR="00AC12B4" w:rsidRDefault="00AC12B4">
            <w:pPr>
              <w:rPr>
                <w:sz w:val="9"/>
                <w:szCs w:val="9"/>
              </w:rPr>
            </w:pPr>
          </w:p>
        </w:tc>
        <w:tc>
          <w:tcPr>
            <w:tcW w:w="40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6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1"/>
        </w:trPr>
        <w:tc>
          <w:tcPr>
            <w:tcW w:w="720" w:type="dxa"/>
            <w:tcBorders>
              <w:left w:val="single" w:sz="8" w:space="0" w:color="963266"/>
            </w:tcBorders>
            <w:vAlign w:val="bottom"/>
          </w:tcPr>
          <w:p w:rsidR="00AC12B4" w:rsidRDefault="00AC12B4">
            <w:pPr>
              <w:rPr>
                <w:sz w:val="4"/>
                <w:szCs w:val="4"/>
              </w:rPr>
            </w:pPr>
          </w:p>
        </w:tc>
        <w:tc>
          <w:tcPr>
            <w:tcW w:w="62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560" w:type="dxa"/>
            <w:vAlign w:val="bottom"/>
          </w:tcPr>
          <w:p w:rsidR="00AC12B4" w:rsidRDefault="00AC12B4">
            <w:pPr>
              <w:rPr>
                <w:sz w:val="4"/>
                <w:szCs w:val="4"/>
              </w:rPr>
            </w:pPr>
          </w:p>
        </w:tc>
        <w:tc>
          <w:tcPr>
            <w:tcW w:w="58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1620" w:type="dxa"/>
            <w:gridSpan w:val="2"/>
            <w:vMerge/>
            <w:vAlign w:val="bottom"/>
          </w:tcPr>
          <w:p w:rsidR="00AC12B4" w:rsidRDefault="00AC12B4">
            <w:pPr>
              <w:rPr>
                <w:sz w:val="4"/>
                <w:szCs w:val="4"/>
              </w:rPr>
            </w:pPr>
          </w:p>
        </w:tc>
        <w:tc>
          <w:tcPr>
            <w:tcW w:w="200" w:type="dxa"/>
            <w:tcBorders>
              <w:right w:val="single" w:sz="8" w:space="0" w:color="96326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240" w:type="dxa"/>
            <w:vAlign w:val="bottom"/>
          </w:tcPr>
          <w:p w:rsidR="00AC12B4" w:rsidRDefault="00AC12B4">
            <w:pPr>
              <w:rPr>
                <w:sz w:val="4"/>
                <w:szCs w:val="4"/>
              </w:rPr>
            </w:pPr>
          </w:p>
        </w:tc>
        <w:tc>
          <w:tcPr>
            <w:tcW w:w="1820" w:type="dxa"/>
            <w:gridSpan w:val="4"/>
            <w:vMerge/>
            <w:vAlign w:val="bottom"/>
          </w:tcPr>
          <w:p w:rsidR="00AC12B4" w:rsidRDefault="00AC12B4">
            <w:pPr>
              <w:rPr>
                <w:sz w:val="4"/>
                <w:szCs w:val="4"/>
              </w:rPr>
            </w:pPr>
          </w:p>
        </w:tc>
        <w:tc>
          <w:tcPr>
            <w:tcW w:w="400" w:type="dxa"/>
            <w:vAlign w:val="bottom"/>
          </w:tcPr>
          <w:p w:rsidR="00AC12B4" w:rsidRDefault="00AC12B4">
            <w:pPr>
              <w:rPr>
                <w:sz w:val="4"/>
                <w:szCs w:val="4"/>
              </w:rPr>
            </w:pPr>
          </w:p>
        </w:tc>
        <w:tc>
          <w:tcPr>
            <w:tcW w:w="340" w:type="dxa"/>
            <w:vAlign w:val="bottom"/>
          </w:tcPr>
          <w:p w:rsidR="00AC12B4" w:rsidRDefault="00AC12B4">
            <w:pPr>
              <w:rPr>
                <w:sz w:val="4"/>
                <w:szCs w:val="4"/>
              </w:rPr>
            </w:pPr>
          </w:p>
        </w:tc>
        <w:tc>
          <w:tcPr>
            <w:tcW w:w="200" w:type="dxa"/>
            <w:vAlign w:val="bottom"/>
          </w:tcPr>
          <w:p w:rsidR="00AC12B4" w:rsidRDefault="00AC12B4">
            <w:pPr>
              <w:rPr>
                <w:sz w:val="4"/>
                <w:szCs w:val="4"/>
              </w:rPr>
            </w:pPr>
          </w:p>
        </w:tc>
        <w:tc>
          <w:tcPr>
            <w:tcW w:w="66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86"/>
        </w:trPr>
        <w:tc>
          <w:tcPr>
            <w:tcW w:w="720" w:type="dxa"/>
            <w:vMerge w:val="restart"/>
            <w:tcBorders>
              <w:left w:val="single" w:sz="8" w:space="0" w:color="963266"/>
            </w:tcBorders>
            <w:vAlign w:val="bottom"/>
          </w:tcPr>
          <w:p w:rsidR="00AC12B4" w:rsidRDefault="00C27636">
            <w:pPr>
              <w:ind w:left="60"/>
              <w:rPr>
                <w:sz w:val="20"/>
                <w:szCs w:val="20"/>
              </w:rPr>
            </w:pPr>
            <w:r>
              <w:rPr>
                <w:rFonts w:ascii="Calibri" w:eastAsia="Calibri" w:hAnsi="Calibri" w:cs="Calibri"/>
                <w:sz w:val="20"/>
                <w:szCs w:val="20"/>
              </w:rPr>
              <w:lastRenderedPageBreak/>
              <w:t>19,0%</w:t>
            </w:r>
          </w:p>
        </w:tc>
        <w:tc>
          <w:tcPr>
            <w:tcW w:w="620" w:type="dxa"/>
            <w:vAlign w:val="bottom"/>
          </w:tcPr>
          <w:p w:rsidR="00AC12B4" w:rsidRDefault="00AC12B4">
            <w:pPr>
              <w:rPr>
                <w:sz w:val="16"/>
                <w:szCs w:val="16"/>
              </w:rPr>
            </w:pPr>
          </w:p>
        </w:tc>
        <w:tc>
          <w:tcPr>
            <w:tcW w:w="320" w:type="dxa"/>
            <w:vAlign w:val="bottom"/>
          </w:tcPr>
          <w:p w:rsidR="00AC12B4" w:rsidRDefault="00AC12B4">
            <w:pPr>
              <w:rPr>
                <w:sz w:val="16"/>
                <w:szCs w:val="16"/>
              </w:rPr>
            </w:pPr>
          </w:p>
        </w:tc>
        <w:tc>
          <w:tcPr>
            <w:tcW w:w="560" w:type="dxa"/>
            <w:vAlign w:val="bottom"/>
          </w:tcPr>
          <w:p w:rsidR="00AC12B4" w:rsidRDefault="00AC12B4">
            <w:pPr>
              <w:rPr>
                <w:sz w:val="16"/>
                <w:szCs w:val="16"/>
              </w:rPr>
            </w:pPr>
          </w:p>
        </w:tc>
        <w:tc>
          <w:tcPr>
            <w:tcW w:w="580" w:type="dxa"/>
            <w:vAlign w:val="bottom"/>
          </w:tcPr>
          <w:p w:rsidR="00AC12B4" w:rsidRDefault="00AC12B4">
            <w:pPr>
              <w:rPr>
                <w:sz w:val="16"/>
                <w:szCs w:val="16"/>
              </w:rPr>
            </w:pPr>
          </w:p>
        </w:tc>
        <w:tc>
          <w:tcPr>
            <w:tcW w:w="460" w:type="dxa"/>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1060" w:type="dxa"/>
            <w:vMerge w:val="restart"/>
            <w:vAlign w:val="bottom"/>
          </w:tcPr>
          <w:p w:rsidR="00AC12B4" w:rsidRDefault="00C27636">
            <w:pPr>
              <w:ind w:left="40"/>
              <w:rPr>
                <w:sz w:val="20"/>
                <w:szCs w:val="20"/>
              </w:rPr>
            </w:pPr>
            <w:r>
              <w:rPr>
                <w:rFonts w:ascii="Calibri" w:eastAsia="Calibri" w:hAnsi="Calibri" w:cs="Calibri"/>
                <w:sz w:val="20"/>
                <w:szCs w:val="20"/>
              </w:rPr>
              <w:t>d'accord</w:t>
            </w:r>
          </w:p>
        </w:tc>
        <w:tc>
          <w:tcPr>
            <w:tcW w:w="560" w:type="dxa"/>
            <w:vAlign w:val="bottom"/>
          </w:tcPr>
          <w:p w:rsidR="00AC12B4" w:rsidRDefault="00AC12B4">
            <w:pPr>
              <w:rPr>
                <w:sz w:val="16"/>
                <w:szCs w:val="16"/>
              </w:rPr>
            </w:pPr>
          </w:p>
        </w:tc>
        <w:tc>
          <w:tcPr>
            <w:tcW w:w="200" w:type="dxa"/>
            <w:tcBorders>
              <w:right w:val="single" w:sz="8" w:space="0" w:color="963266"/>
            </w:tcBorders>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240" w:type="dxa"/>
            <w:vAlign w:val="bottom"/>
          </w:tcPr>
          <w:p w:rsidR="00AC12B4" w:rsidRDefault="00AC12B4">
            <w:pPr>
              <w:rPr>
                <w:sz w:val="16"/>
                <w:szCs w:val="16"/>
              </w:rPr>
            </w:pPr>
          </w:p>
        </w:tc>
        <w:tc>
          <w:tcPr>
            <w:tcW w:w="1820" w:type="dxa"/>
            <w:gridSpan w:val="4"/>
            <w:vMerge/>
            <w:vAlign w:val="bottom"/>
          </w:tcPr>
          <w:p w:rsidR="00AC12B4" w:rsidRDefault="00AC12B4">
            <w:pPr>
              <w:rPr>
                <w:sz w:val="16"/>
                <w:szCs w:val="16"/>
              </w:rPr>
            </w:pPr>
          </w:p>
        </w:tc>
        <w:tc>
          <w:tcPr>
            <w:tcW w:w="400" w:type="dxa"/>
            <w:vAlign w:val="bottom"/>
          </w:tcPr>
          <w:p w:rsidR="00AC12B4" w:rsidRDefault="00AC12B4">
            <w:pPr>
              <w:rPr>
                <w:sz w:val="16"/>
                <w:szCs w:val="16"/>
              </w:rPr>
            </w:pPr>
          </w:p>
        </w:tc>
        <w:tc>
          <w:tcPr>
            <w:tcW w:w="340" w:type="dxa"/>
            <w:vAlign w:val="bottom"/>
          </w:tcPr>
          <w:p w:rsidR="00AC12B4" w:rsidRDefault="00AC12B4">
            <w:pPr>
              <w:rPr>
                <w:sz w:val="16"/>
                <w:szCs w:val="16"/>
              </w:rPr>
            </w:pPr>
          </w:p>
        </w:tc>
        <w:tc>
          <w:tcPr>
            <w:tcW w:w="200" w:type="dxa"/>
            <w:vAlign w:val="bottom"/>
          </w:tcPr>
          <w:p w:rsidR="00AC12B4" w:rsidRDefault="00AC12B4">
            <w:pPr>
              <w:rPr>
                <w:sz w:val="16"/>
                <w:szCs w:val="16"/>
              </w:rPr>
            </w:pPr>
          </w:p>
        </w:tc>
        <w:tc>
          <w:tcPr>
            <w:tcW w:w="660" w:type="dxa"/>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58"/>
        </w:trPr>
        <w:tc>
          <w:tcPr>
            <w:tcW w:w="720" w:type="dxa"/>
            <w:vMerge/>
            <w:tcBorders>
              <w:left w:val="single" w:sz="8" w:space="0" w:color="963266"/>
            </w:tcBorders>
            <w:vAlign w:val="bottom"/>
          </w:tcPr>
          <w:p w:rsidR="00AC12B4" w:rsidRDefault="00AC12B4">
            <w:pPr>
              <w:rPr>
                <w:sz w:val="5"/>
                <w:szCs w:val="5"/>
              </w:rPr>
            </w:pPr>
          </w:p>
        </w:tc>
        <w:tc>
          <w:tcPr>
            <w:tcW w:w="620" w:type="dxa"/>
            <w:vAlign w:val="bottom"/>
          </w:tcPr>
          <w:p w:rsidR="00AC12B4" w:rsidRDefault="00AC12B4">
            <w:pPr>
              <w:rPr>
                <w:sz w:val="5"/>
                <w:szCs w:val="5"/>
              </w:rPr>
            </w:pPr>
          </w:p>
        </w:tc>
        <w:tc>
          <w:tcPr>
            <w:tcW w:w="320" w:type="dxa"/>
            <w:vAlign w:val="bottom"/>
          </w:tcPr>
          <w:p w:rsidR="00AC12B4" w:rsidRDefault="00AC12B4">
            <w:pPr>
              <w:rPr>
                <w:sz w:val="5"/>
                <w:szCs w:val="5"/>
              </w:rPr>
            </w:pPr>
          </w:p>
        </w:tc>
        <w:tc>
          <w:tcPr>
            <w:tcW w:w="560" w:type="dxa"/>
            <w:vAlign w:val="bottom"/>
          </w:tcPr>
          <w:p w:rsidR="00AC12B4" w:rsidRDefault="00AC12B4">
            <w:pPr>
              <w:rPr>
                <w:sz w:val="5"/>
                <w:szCs w:val="5"/>
              </w:rPr>
            </w:pPr>
          </w:p>
        </w:tc>
        <w:tc>
          <w:tcPr>
            <w:tcW w:w="580" w:type="dxa"/>
            <w:vAlign w:val="bottom"/>
          </w:tcPr>
          <w:p w:rsidR="00AC12B4" w:rsidRDefault="00AC12B4">
            <w:pPr>
              <w:rPr>
                <w:sz w:val="5"/>
                <w:szCs w:val="5"/>
              </w:rPr>
            </w:pPr>
          </w:p>
        </w:tc>
        <w:tc>
          <w:tcPr>
            <w:tcW w:w="46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1060" w:type="dxa"/>
            <w:vMerge/>
            <w:vAlign w:val="bottom"/>
          </w:tcPr>
          <w:p w:rsidR="00AC12B4" w:rsidRDefault="00AC12B4">
            <w:pPr>
              <w:rPr>
                <w:sz w:val="5"/>
                <w:szCs w:val="5"/>
              </w:rPr>
            </w:pPr>
          </w:p>
        </w:tc>
        <w:tc>
          <w:tcPr>
            <w:tcW w:w="560" w:type="dxa"/>
            <w:vAlign w:val="bottom"/>
          </w:tcPr>
          <w:p w:rsidR="00AC12B4" w:rsidRDefault="00AC12B4">
            <w:pPr>
              <w:rPr>
                <w:sz w:val="5"/>
                <w:szCs w:val="5"/>
              </w:rPr>
            </w:pPr>
          </w:p>
        </w:tc>
        <w:tc>
          <w:tcPr>
            <w:tcW w:w="200" w:type="dxa"/>
            <w:tcBorders>
              <w:right w:val="single" w:sz="8" w:space="0" w:color="963266"/>
            </w:tcBorders>
            <w:vAlign w:val="bottom"/>
          </w:tcPr>
          <w:p w:rsidR="00AC12B4" w:rsidRDefault="00AC12B4">
            <w:pPr>
              <w:rPr>
                <w:sz w:val="5"/>
                <w:szCs w:val="5"/>
              </w:rPr>
            </w:pPr>
          </w:p>
        </w:tc>
        <w:tc>
          <w:tcPr>
            <w:tcW w:w="20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380" w:type="dxa"/>
            <w:vAlign w:val="bottom"/>
          </w:tcPr>
          <w:p w:rsidR="00AC12B4" w:rsidRDefault="00AC12B4">
            <w:pPr>
              <w:rPr>
                <w:sz w:val="5"/>
                <w:szCs w:val="5"/>
              </w:rPr>
            </w:pPr>
          </w:p>
        </w:tc>
        <w:tc>
          <w:tcPr>
            <w:tcW w:w="76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34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66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36"/>
        </w:trPr>
        <w:tc>
          <w:tcPr>
            <w:tcW w:w="720" w:type="dxa"/>
            <w:vMerge/>
            <w:tcBorders>
              <w:left w:val="single" w:sz="8" w:space="0" w:color="963266"/>
            </w:tcBorders>
            <w:vAlign w:val="bottom"/>
          </w:tcPr>
          <w:p w:rsidR="00AC12B4" w:rsidRDefault="00AC12B4">
            <w:pPr>
              <w:rPr>
                <w:sz w:val="11"/>
                <w:szCs w:val="11"/>
              </w:rPr>
            </w:pPr>
          </w:p>
        </w:tc>
        <w:tc>
          <w:tcPr>
            <w:tcW w:w="620" w:type="dxa"/>
            <w:vAlign w:val="bottom"/>
          </w:tcPr>
          <w:p w:rsidR="00AC12B4" w:rsidRDefault="00AC12B4">
            <w:pPr>
              <w:rPr>
                <w:sz w:val="11"/>
                <w:szCs w:val="11"/>
              </w:rPr>
            </w:pPr>
          </w:p>
        </w:tc>
        <w:tc>
          <w:tcPr>
            <w:tcW w:w="320" w:type="dxa"/>
            <w:vAlign w:val="bottom"/>
          </w:tcPr>
          <w:p w:rsidR="00AC12B4" w:rsidRDefault="00AC12B4">
            <w:pPr>
              <w:rPr>
                <w:sz w:val="11"/>
                <w:szCs w:val="11"/>
              </w:rPr>
            </w:pPr>
          </w:p>
        </w:tc>
        <w:tc>
          <w:tcPr>
            <w:tcW w:w="560" w:type="dxa"/>
            <w:vAlign w:val="bottom"/>
          </w:tcPr>
          <w:p w:rsidR="00AC12B4" w:rsidRDefault="00AC12B4">
            <w:pPr>
              <w:rPr>
                <w:sz w:val="11"/>
                <w:szCs w:val="11"/>
              </w:rPr>
            </w:pPr>
          </w:p>
        </w:tc>
        <w:tc>
          <w:tcPr>
            <w:tcW w:w="580" w:type="dxa"/>
            <w:vAlign w:val="bottom"/>
          </w:tcPr>
          <w:p w:rsidR="00AC12B4" w:rsidRDefault="00AC12B4">
            <w:pPr>
              <w:rPr>
                <w:sz w:val="11"/>
                <w:szCs w:val="11"/>
              </w:rPr>
            </w:pPr>
          </w:p>
        </w:tc>
        <w:tc>
          <w:tcPr>
            <w:tcW w:w="46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060" w:type="dxa"/>
            <w:vAlign w:val="bottom"/>
          </w:tcPr>
          <w:p w:rsidR="00AC12B4" w:rsidRDefault="00AC12B4">
            <w:pPr>
              <w:rPr>
                <w:sz w:val="11"/>
                <w:szCs w:val="11"/>
              </w:rPr>
            </w:pPr>
          </w:p>
        </w:tc>
        <w:tc>
          <w:tcPr>
            <w:tcW w:w="560" w:type="dxa"/>
            <w:vAlign w:val="bottom"/>
          </w:tcPr>
          <w:p w:rsidR="00AC12B4" w:rsidRDefault="00AC12B4">
            <w:pPr>
              <w:rPr>
                <w:sz w:val="11"/>
                <w:szCs w:val="11"/>
              </w:rPr>
            </w:pPr>
          </w:p>
        </w:tc>
        <w:tc>
          <w:tcPr>
            <w:tcW w:w="200" w:type="dxa"/>
            <w:tcBorders>
              <w:right w:val="single" w:sz="8" w:space="0" w:color="963266"/>
            </w:tcBorders>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24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380" w:type="dxa"/>
            <w:vAlign w:val="bottom"/>
          </w:tcPr>
          <w:p w:rsidR="00AC12B4" w:rsidRDefault="00AC12B4">
            <w:pPr>
              <w:rPr>
                <w:sz w:val="11"/>
                <w:szCs w:val="11"/>
              </w:rPr>
            </w:pPr>
          </w:p>
        </w:tc>
        <w:tc>
          <w:tcPr>
            <w:tcW w:w="380" w:type="dxa"/>
            <w:vAlign w:val="bottom"/>
          </w:tcPr>
          <w:p w:rsidR="00AC12B4" w:rsidRDefault="00AC12B4">
            <w:pPr>
              <w:rPr>
                <w:sz w:val="11"/>
                <w:szCs w:val="11"/>
              </w:rPr>
            </w:pPr>
          </w:p>
        </w:tc>
        <w:tc>
          <w:tcPr>
            <w:tcW w:w="760" w:type="dxa"/>
            <w:vAlign w:val="bottom"/>
          </w:tcPr>
          <w:p w:rsidR="00AC12B4" w:rsidRDefault="00AC12B4">
            <w:pPr>
              <w:rPr>
                <w:sz w:val="11"/>
                <w:szCs w:val="11"/>
              </w:rPr>
            </w:pPr>
          </w:p>
        </w:tc>
        <w:tc>
          <w:tcPr>
            <w:tcW w:w="40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200" w:type="dxa"/>
            <w:vAlign w:val="bottom"/>
          </w:tcPr>
          <w:p w:rsidR="00AC12B4" w:rsidRDefault="00AC12B4">
            <w:pPr>
              <w:rPr>
                <w:sz w:val="11"/>
                <w:szCs w:val="11"/>
              </w:rPr>
            </w:pPr>
          </w:p>
        </w:tc>
        <w:tc>
          <w:tcPr>
            <w:tcW w:w="6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62"/>
        </w:trPr>
        <w:tc>
          <w:tcPr>
            <w:tcW w:w="720" w:type="dxa"/>
            <w:tcBorders>
              <w:left w:val="single" w:sz="8" w:space="0" w:color="963266"/>
            </w:tcBorders>
            <w:vAlign w:val="bottom"/>
          </w:tcPr>
          <w:p w:rsidR="00AC12B4" w:rsidRDefault="00AC12B4">
            <w:pPr>
              <w:rPr>
                <w:sz w:val="5"/>
                <w:szCs w:val="5"/>
              </w:rPr>
            </w:pPr>
          </w:p>
        </w:tc>
        <w:tc>
          <w:tcPr>
            <w:tcW w:w="620" w:type="dxa"/>
            <w:vAlign w:val="bottom"/>
          </w:tcPr>
          <w:p w:rsidR="00AC12B4" w:rsidRDefault="00AC12B4">
            <w:pPr>
              <w:rPr>
                <w:sz w:val="5"/>
                <w:szCs w:val="5"/>
              </w:rPr>
            </w:pPr>
          </w:p>
        </w:tc>
        <w:tc>
          <w:tcPr>
            <w:tcW w:w="320" w:type="dxa"/>
            <w:vAlign w:val="bottom"/>
          </w:tcPr>
          <w:p w:rsidR="00AC12B4" w:rsidRDefault="00AC12B4">
            <w:pPr>
              <w:rPr>
                <w:sz w:val="5"/>
                <w:szCs w:val="5"/>
              </w:rPr>
            </w:pPr>
          </w:p>
        </w:tc>
        <w:tc>
          <w:tcPr>
            <w:tcW w:w="560" w:type="dxa"/>
            <w:vAlign w:val="bottom"/>
          </w:tcPr>
          <w:p w:rsidR="00AC12B4" w:rsidRDefault="00AC12B4">
            <w:pPr>
              <w:rPr>
                <w:sz w:val="5"/>
                <w:szCs w:val="5"/>
              </w:rPr>
            </w:pPr>
          </w:p>
        </w:tc>
        <w:tc>
          <w:tcPr>
            <w:tcW w:w="580" w:type="dxa"/>
            <w:vAlign w:val="bottom"/>
          </w:tcPr>
          <w:p w:rsidR="00AC12B4" w:rsidRDefault="00AC12B4">
            <w:pPr>
              <w:rPr>
                <w:sz w:val="5"/>
                <w:szCs w:val="5"/>
              </w:rPr>
            </w:pPr>
          </w:p>
        </w:tc>
        <w:tc>
          <w:tcPr>
            <w:tcW w:w="460" w:type="dxa"/>
            <w:vAlign w:val="bottom"/>
          </w:tcPr>
          <w:p w:rsidR="00AC12B4" w:rsidRDefault="00AC12B4">
            <w:pPr>
              <w:rPr>
                <w:sz w:val="5"/>
                <w:szCs w:val="5"/>
              </w:rPr>
            </w:pPr>
          </w:p>
        </w:tc>
        <w:tc>
          <w:tcPr>
            <w:tcW w:w="40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1060" w:type="dxa"/>
            <w:vMerge w:val="restart"/>
            <w:vAlign w:val="bottom"/>
          </w:tcPr>
          <w:p w:rsidR="00AC12B4" w:rsidRDefault="00C27636">
            <w:pPr>
              <w:spacing w:line="222" w:lineRule="exact"/>
              <w:ind w:left="40"/>
              <w:rPr>
                <w:sz w:val="20"/>
                <w:szCs w:val="20"/>
              </w:rPr>
            </w:pPr>
            <w:r>
              <w:rPr>
                <w:rFonts w:ascii="Calibri" w:eastAsia="Calibri" w:hAnsi="Calibri" w:cs="Calibri"/>
                <w:w w:val="98"/>
                <w:sz w:val="20"/>
                <w:szCs w:val="20"/>
              </w:rPr>
              <w:t>Pas d'accord</w:t>
            </w:r>
          </w:p>
        </w:tc>
        <w:tc>
          <w:tcPr>
            <w:tcW w:w="560" w:type="dxa"/>
            <w:vAlign w:val="bottom"/>
          </w:tcPr>
          <w:p w:rsidR="00AC12B4" w:rsidRDefault="00AC12B4">
            <w:pPr>
              <w:rPr>
                <w:sz w:val="5"/>
                <w:szCs w:val="5"/>
              </w:rPr>
            </w:pPr>
          </w:p>
        </w:tc>
        <w:tc>
          <w:tcPr>
            <w:tcW w:w="200" w:type="dxa"/>
            <w:tcBorders>
              <w:right w:val="single" w:sz="8" w:space="0" w:color="963266"/>
            </w:tcBorders>
            <w:vAlign w:val="bottom"/>
          </w:tcPr>
          <w:p w:rsidR="00AC12B4" w:rsidRDefault="00AC12B4">
            <w:pPr>
              <w:rPr>
                <w:sz w:val="5"/>
                <w:szCs w:val="5"/>
              </w:rPr>
            </w:pPr>
          </w:p>
        </w:tc>
        <w:tc>
          <w:tcPr>
            <w:tcW w:w="200" w:type="dxa"/>
            <w:vAlign w:val="bottom"/>
          </w:tcPr>
          <w:p w:rsidR="00AC12B4" w:rsidRDefault="00AC12B4">
            <w:pPr>
              <w:rPr>
                <w:sz w:val="5"/>
                <w:szCs w:val="5"/>
              </w:rPr>
            </w:pPr>
          </w:p>
        </w:tc>
        <w:tc>
          <w:tcPr>
            <w:tcW w:w="3000" w:type="dxa"/>
            <w:gridSpan w:val="8"/>
            <w:vMerge w:val="restart"/>
            <w:vAlign w:val="bottom"/>
          </w:tcPr>
          <w:p w:rsidR="00AC12B4" w:rsidRPr="00C27636" w:rsidRDefault="00C27636">
            <w:pPr>
              <w:spacing w:line="227" w:lineRule="exact"/>
              <w:rPr>
                <w:sz w:val="20"/>
                <w:szCs w:val="20"/>
                <w:lang w:val="fr-BE"/>
              </w:rPr>
            </w:pPr>
            <w:r w:rsidRPr="00C27636">
              <w:rPr>
                <w:rFonts w:ascii="Calibri" w:eastAsia="Calibri" w:hAnsi="Calibri" w:cs="Calibri"/>
                <w:lang w:val="fr-BE"/>
              </w:rPr>
              <w:t xml:space="preserve">L’enquête </w:t>
            </w:r>
            <w:r w:rsidRPr="00C27636">
              <w:rPr>
                <w:rFonts w:ascii="Calibri" w:eastAsia="Calibri" w:hAnsi="Calibri" w:cs="Calibri"/>
                <w:lang w:val="fr-BE"/>
              </w:rPr>
              <w:t>HBSC est décrite dans</w:t>
            </w:r>
          </w:p>
        </w:tc>
        <w:tc>
          <w:tcPr>
            <w:tcW w:w="660" w:type="dxa"/>
            <w:vAlign w:val="bottom"/>
          </w:tcPr>
          <w:p w:rsidR="00AC12B4" w:rsidRPr="00C27636" w:rsidRDefault="00AC12B4">
            <w:pPr>
              <w:rPr>
                <w:sz w:val="5"/>
                <w:szCs w:val="5"/>
                <w:lang w:val="fr-BE"/>
              </w:rPr>
            </w:pPr>
          </w:p>
        </w:tc>
        <w:tc>
          <w:tcPr>
            <w:tcW w:w="0" w:type="dxa"/>
            <w:vAlign w:val="bottom"/>
          </w:tcPr>
          <w:p w:rsidR="00AC12B4" w:rsidRPr="00C27636" w:rsidRDefault="00AC12B4">
            <w:pPr>
              <w:rPr>
                <w:sz w:val="1"/>
                <w:szCs w:val="1"/>
                <w:lang w:val="fr-BE"/>
              </w:rPr>
            </w:pPr>
          </w:p>
        </w:tc>
      </w:tr>
      <w:tr w:rsidR="00AC12B4" w:rsidRPr="00C27636">
        <w:trPr>
          <w:trHeight w:val="108"/>
        </w:trPr>
        <w:tc>
          <w:tcPr>
            <w:tcW w:w="720" w:type="dxa"/>
            <w:tcBorders>
              <w:left w:val="single" w:sz="8" w:space="0" w:color="963266"/>
            </w:tcBorders>
            <w:vAlign w:val="bottom"/>
          </w:tcPr>
          <w:p w:rsidR="00AC12B4" w:rsidRPr="00C27636" w:rsidRDefault="00AC12B4">
            <w:pPr>
              <w:rPr>
                <w:sz w:val="9"/>
                <w:szCs w:val="9"/>
                <w:lang w:val="fr-BE"/>
              </w:rPr>
            </w:pPr>
          </w:p>
        </w:tc>
        <w:tc>
          <w:tcPr>
            <w:tcW w:w="620" w:type="dxa"/>
            <w:vAlign w:val="bottom"/>
          </w:tcPr>
          <w:p w:rsidR="00AC12B4" w:rsidRPr="00C27636" w:rsidRDefault="00AC12B4">
            <w:pPr>
              <w:rPr>
                <w:sz w:val="9"/>
                <w:szCs w:val="9"/>
                <w:lang w:val="fr-BE"/>
              </w:rPr>
            </w:pPr>
          </w:p>
        </w:tc>
        <w:tc>
          <w:tcPr>
            <w:tcW w:w="320" w:type="dxa"/>
            <w:vAlign w:val="bottom"/>
          </w:tcPr>
          <w:p w:rsidR="00AC12B4" w:rsidRPr="00C27636" w:rsidRDefault="00AC12B4">
            <w:pPr>
              <w:rPr>
                <w:sz w:val="9"/>
                <w:szCs w:val="9"/>
                <w:lang w:val="fr-BE"/>
              </w:rPr>
            </w:pPr>
          </w:p>
        </w:tc>
        <w:tc>
          <w:tcPr>
            <w:tcW w:w="560" w:type="dxa"/>
            <w:vAlign w:val="bottom"/>
          </w:tcPr>
          <w:p w:rsidR="00AC12B4" w:rsidRPr="00C27636" w:rsidRDefault="00AC12B4">
            <w:pPr>
              <w:rPr>
                <w:sz w:val="9"/>
                <w:szCs w:val="9"/>
                <w:lang w:val="fr-BE"/>
              </w:rPr>
            </w:pPr>
          </w:p>
        </w:tc>
        <w:tc>
          <w:tcPr>
            <w:tcW w:w="580" w:type="dxa"/>
            <w:vAlign w:val="bottom"/>
          </w:tcPr>
          <w:p w:rsidR="00AC12B4" w:rsidRPr="00C27636" w:rsidRDefault="00AC12B4">
            <w:pPr>
              <w:rPr>
                <w:sz w:val="9"/>
                <w:szCs w:val="9"/>
                <w:lang w:val="fr-BE"/>
              </w:rPr>
            </w:pPr>
          </w:p>
        </w:tc>
        <w:tc>
          <w:tcPr>
            <w:tcW w:w="460" w:type="dxa"/>
            <w:vAlign w:val="bottom"/>
          </w:tcPr>
          <w:p w:rsidR="00AC12B4" w:rsidRPr="00C27636" w:rsidRDefault="00AC12B4">
            <w:pPr>
              <w:rPr>
                <w:sz w:val="9"/>
                <w:szCs w:val="9"/>
                <w:lang w:val="fr-BE"/>
              </w:rPr>
            </w:pPr>
          </w:p>
        </w:tc>
        <w:tc>
          <w:tcPr>
            <w:tcW w:w="400" w:type="dxa"/>
            <w:vAlign w:val="bottom"/>
          </w:tcPr>
          <w:p w:rsidR="00AC12B4" w:rsidRPr="00C27636" w:rsidRDefault="00AC12B4">
            <w:pPr>
              <w:rPr>
                <w:sz w:val="9"/>
                <w:szCs w:val="9"/>
                <w:lang w:val="fr-BE"/>
              </w:rPr>
            </w:pPr>
          </w:p>
        </w:tc>
        <w:tc>
          <w:tcPr>
            <w:tcW w:w="120" w:type="dxa"/>
            <w:tcBorders>
              <w:right w:val="single" w:sz="8" w:space="0" w:color="8064A2"/>
            </w:tcBorders>
            <w:shd w:val="clear" w:color="auto" w:fill="8064A2"/>
            <w:vAlign w:val="bottom"/>
          </w:tcPr>
          <w:p w:rsidR="00AC12B4" w:rsidRPr="00C27636" w:rsidRDefault="00AC12B4">
            <w:pPr>
              <w:rPr>
                <w:sz w:val="9"/>
                <w:szCs w:val="9"/>
                <w:lang w:val="fr-BE"/>
              </w:rPr>
            </w:pPr>
          </w:p>
        </w:tc>
        <w:tc>
          <w:tcPr>
            <w:tcW w:w="1060" w:type="dxa"/>
            <w:vMerge/>
            <w:vAlign w:val="bottom"/>
          </w:tcPr>
          <w:p w:rsidR="00AC12B4" w:rsidRPr="00C27636" w:rsidRDefault="00AC12B4">
            <w:pPr>
              <w:rPr>
                <w:sz w:val="9"/>
                <w:szCs w:val="9"/>
                <w:lang w:val="fr-BE"/>
              </w:rPr>
            </w:pPr>
          </w:p>
        </w:tc>
        <w:tc>
          <w:tcPr>
            <w:tcW w:w="560" w:type="dxa"/>
            <w:vAlign w:val="bottom"/>
          </w:tcPr>
          <w:p w:rsidR="00AC12B4" w:rsidRPr="00C27636" w:rsidRDefault="00AC12B4">
            <w:pPr>
              <w:rPr>
                <w:sz w:val="9"/>
                <w:szCs w:val="9"/>
                <w:lang w:val="fr-BE"/>
              </w:rPr>
            </w:pPr>
          </w:p>
        </w:tc>
        <w:tc>
          <w:tcPr>
            <w:tcW w:w="200" w:type="dxa"/>
            <w:tcBorders>
              <w:right w:val="single" w:sz="8" w:space="0" w:color="963266"/>
            </w:tcBorders>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3000" w:type="dxa"/>
            <w:gridSpan w:val="8"/>
            <w:vMerge/>
            <w:vAlign w:val="bottom"/>
          </w:tcPr>
          <w:p w:rsidR="00AC12B4" w:rsidRPr="00C27636" w:rsidRDefault="00AC12B4">
            <w:pPr>
              <w:rPr>
                <w:sz w:val="9"/>
                <w:szCs w:val="9"/>
                <w:lang w:val="fr-BE"/>
              </w:rPr>
            </w:pPr>
          </w:p>
        </w:tc>
        <w:tc>
          <w:tcPr>
            <w:tcW w:w="66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56"/>
        </w:trPr>
        <w:tc>
          <w:tcPr>
            <w:tcW w:w="720" w:type="dxa"/>
            <w:tcBorders>
              <w:left w:val="single" w:sz="8" w:space="0" w:color="963266"/>
            </w:tcBorders>
            <w:vAlign w:val="bottom"/>
          </w:tcPr>
          <w:p w:rsidR="00AC12B4" w:rsidRPr="00C27636" w:rsidRDefault="00AC12B4">
            <w:pPr>
              <w:rPr>
                <w:sz w:val="4"/>
                <w:szCs w:val="4"/>
                <w:lang w:val="fr-BE"/>
              </w:rPr>
            </w:pPr>
          </w:p>
        </w:tc>
        <w:tc>
          <w:tcPr>
            <w:tcW w:w="620" w:type="dxa"/>
            <w:vAlign w:val="bottom"/>
          </w:tcPr>
          <w:p w:rsidR="00AC12B4" w:rsidRPr="00C27636" w:rsidRDefault="00AC12B4">
            <w:pPr>
              <w:rPr>
                <w:sz w:val="4"/>
                <w:szCs w:val="4"/>
                <w:lang w:val="fr-BE"/>
              </w:rPr>
            </w:pPr>
          </w:p>
        </w:tc>
        <w:tc>
          <w:tcPr>
            <w:tcW w:w="320" w:type="dxa"/>
            <w:vAlign w:val="bottom"/>
          </w:tcPr>
          <w:p w:rsidR="00AC12B4" w:rsidRPr="00C27636" w:rsidRDefault="00AC12B4">
            <w:pPr>
              <w:rPr>
                <w:sz w:val="4"/>
                <w:szCs w:val="4"/>
                <w:lang w:val="fr-BE"/>
              </w:rPr>
            </w:pPr>
          </w:p>
        </w:tc>
        <w:tc>
          <w:tcPr>
            <w:tcW w:w="560" w:type="dxa"/>
            <w:vAlign w:val="bottom"/>
          </w:tcPr>
          <w:p w:rsidR="00AC12B4" w:rsidRPr="00C27636" w:rsidRDefault="00AC12B4">
            <w:pPr>
              <w:rPr>
                <w:sz w:val="4"/>
                <w:szCs w:val="4"/>
                <w:lang w:val="fr-BE"/>
              </w:rPr>
            </w:pPr>
          </w:p>
        </w:tc>
        <w:tc>
          <w:tcPr>
            <w:tcW w:w="580" w:type="dxa"/>
            <w:vAlign w:val="bottom"/>
          </w:tcPr>
          <w:p w:rsidR="00AC12B4" w:rsidRPr="00C27636" w:rsidRDefault="00AC12B4">
            <w:pPr>
              <w:rPr>
                <w:sz w:val="4"/>
                <w:szCs w:val="4"/>
                <w:lang w:val="fr-BE"/>
              </w:rPr>
            </w:pPr>
          </w:p>
        </w:tc>
        <w:tc>
          <w:tcPr>
            <w:tcW w:w="460" w:type="dxa"/>
            <w:vAlign w:val="bottom"/>
          </w:tcPr>
          <w:p w:rsidR="00AC12B4" w:rsidRPr="00C27636" w:rsidRDefault="00AC12B4">
            <w:pPr>
              <w:rPr>
                <w:sz w:val="4"/>
                <w:szCs w:val="4"/>
                <w:lang w:val="fr-BE"/>
              </w:rPr>
            </w:pPr>
          </w:p>
        </w:tc>
        <w:tc>
          <w:tcPr>
            <w:tcW w:w="400" w:type="dxa"/>
            <w:vAlign w:val="bottom"/>
          </w:tcPr>
          <w:p w:rsidR="00AC12B4" w:rsidRPr="00C27636" w:rsidRDefault="00AC12B4">
            <w:pPr>
              <w:rPr>
                <w:sz w:val="4"/>
                <w:szCs w:val="4"/>
                <w:lang w:val="fr-BE"/>
              </w:rPr>
            </w:pPr>
          </w:p>
        </w:tc>
        <w:tc>
          <w:tcPr>
            <w:tcW w:w="120" w:type="dxa"/>
            <w:vAlign w:val="bottom"/>
          </w:tcPr>
          <w:p w:rsidR="00AC12B4" w:rsidRPr="00C27636" w:rsidRDefault="00AC12B4">
            <w:pPr>
              <w:rPr>
                <w:sz w:val="4"/>
                <w:szCs w:val="4"/>
                <w:lang w:val="fr-BE"/>
              </w:rPr>
            </w:pPr>
          </w:p>
        </w:tc>
        <w:tc>
          <w:tcPr>
            <w:tcW w:w="1060" w:type="dxa"/>
            <w:vMerge/>
            <w:vAlign w:val="bottom"/>
          </w:tcPr>
          <w:p w:rsidR="00AC12B4" w:rsidRPr="00C27636" w:rsidRDefault="00AC12B4">
            <w:pPr>
              <w:rPr>
                <w:sz w:val="4"/>
                <w:szCs w:val="4"/>
                <w:lang w:val="fr-BE"/>
              </w:rPr>
            </w:pPr>
          </w:p>
        </w:tc>
        <w:tc>
          <w:tcPr>
            <w:tcW w:w="560" w:type="dxa"/>
            <w:vAlign w:val="bottom"/>
          </w:tcPr>
          <w:p w:rsidR="00AC12B4" w:rsidRPr="00C27636" w:rsidRDefault="00AC12B4">
            <w:pPr>
              <w:rPr>
                <w:sz w:val="4"/>
                <w:szCs w:val="4"/>
                <w:lang w:val="fr-BE"/>
              </w:rPr>
            </w:pPr>
          </w:p>
        </w:tc>
        <w:tc>
          <w:tcPr>
            <w:tcW w:w="200" w:type="dxa"/>
            <w:tcBorders>
              <w:right w:val="single" w:sz="8" w:space="0" w:color="963266"/>
            </w:tcBorders>
            <w:vAlign w:val="bottom"/>
          </w:tcPr>
          <w:p w:rsidR="00AC12B4" w:rsidRPr="00C27636" w:rsidRDefault="00AC12B4">
            <w:pPr>
              <w:rPr>
                <w:sz w:val="4"/>
                <w:szCs w:val="4"/>
                <w:lang w:val="fr-BE"/>
              </w:rPr>
            </w:pPr>
          </w:p>
        </w:tc>
        <w:tc>
          <w:tcPr>
            <w:tcW w:w="200" w:type="dxa"/>
            <w:vAlign w:val="bottom"/>
          </w:tcPr>
          <w:p w:rsidR="00AC12B4" w:rsidRPr="00C27636" w:rsidRDefault="00AC12B4">
            <w:pPr>
              <w:rPr>
                <w:sz w:val="4"/>
                <w:szCs w:val="4"/>
                <w:lang w:val="fr-BE"/>
              </w:rPr>
            </w:pPr>
          </w:p>
        </w:tc>
        <w:tc>
          <w:tcPr>
            <w:tcW w:w="3000" w:type="dxa"/>
            <w:gridSpan w:val="8"/>
            <w:vMerge/>
            <w:vAlign w:val="bottom"/>
          </w:tcPr>
          <w:p w:rsidR="00AC12B4" w:rsidRPr="00C27636" w:rsidRDefault="00AC12B4">
            <w:pPr>
              <w:rPr>
                <w:sz w:val="4"/>
                <w:szCs w:val="4"/>
                <w:lang w:val="fr-BE"/>
              </w:rPr>
            </w:pPr>
          </w:p>
        </w:tc>
        <w:tc>
          <w:tcPr>
            <w:tcW w:w="660" w:type="dxa"/>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trPr>
          <w:trHeight w:val="269"/>
        </w:trPr>
        <w:tc>
          <w:tcPr>
            <w:tcW w:w="720" w:type="dxa"/>
            <w:tcBorders>
              <w:left w:val="single" w:sz="8" w:space="0" w:color="963266"/>
            </w:tcBorders>
            <w:vAlign w:val="bottom"/>
          </w:tcPr>
          <w:p w:rsidR="00AC12B4" w:rsidRPr="00C27636" w:rsidRDefault="00AC12B4">
            <w:pPr>
              <w:rPr>
                <w:sz w:val="23"/>
                <w:szCs w:val="23"/>
                <w:lang w:val="fr-BE"/>
              </w:rPr>
            </w:pPr>
          </w:p>
        </w:tc>
        <w:tc>
          <w:tcPr>
            <w:tcW w:w="62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560" w:type="dxa"/>
            <w:vAlign w:val="bottom"/>
          </w:tcPr>
          <w:p w:rsidR="00AC12B4" w:rsidRPr="00C27636" w:rsidRDefault="00AC12B4">
            <w:pPr>
              <w:rPr>
                <w:sz w:val="23"/>
                <w:szCs w:val="23"/>
                <w:lang w:val="fr-BE"/>
              </w:rPr>
            </w:pPr>
          </w:p>
        </w:tc>
        <w:tc>
          <w:tcPr>
            <w:tcW w:w="580" w:type="dxa"/>
            <w:vAlign w:val="bottom"/>
          </w:tcPr>
          <w:p w:rsidR="00AC12B4" w:rsidRPr="00C27636" w:rsidRDefault="00AC12B4">
            <w:pPr>
              <w:rPr>
                <w:sz w:val="23"/>
                <w:szCs w:val="23"/>
                <w:lang w:val="fr-BE"/>
              </w:rPr>
            </w:pPr>
          </w:p>
        </w:tc>
        <w:tc>
          <w:tcPr>
            <w:tcW w:w="46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1060" w:type="dxa"/>
            <w:vAlign w:val="bottom"/>
          </w:tcPr>
          <w:p w:rsidR="00AC12B4" w:rsidRPr="00C27636" w:rsidRDefault="00AC12B4">
            <w:pPr>
              <w:rPr>
                <w:sz w:val="23"/>
                <w:szCs w:val="23"/>
                <w:lang w:val="fr-BE"/>
              </w:rPr>
            </w:pPr>
          </w:p>
        </w:tc>
        <w:tc>
          <w:tcPr>
            <w:tcW w:w="560" w:type="dxa"/>
            <w:vAlign w:val="bottom"/>
          </w:tcPr>
          <w:p w:rsidR="00AC12B4" w:rsidRPr="00C27636" w:rsidRDefault="00AC12B4">
            <w:pPr>
              <w:rPr>
                <w:sz w:val="23"/>
                <w:szCs w:val="23"/>
                <w:lang w:val="fr-BE"/>
              </w:rPr>
            </w:pPr>
          </w:p>
        </w:tc>
        <w:tc>
          <w:tcPr>
            <w:tcW w:w="200" w:type="dxa"/>
            <w:tcBorders>
              <w:right w:val="single" w:sz="8" w:space="0" w:color="963266"/>
            </w:tcBorders>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240" w:type="dxa"/>
            <w:vAlign w:val="bottom"/>
          </w:tcPr>
          <w:p w:rsidR="00AC12B4" w:rsidRDefault="00C27636">
            <w:pPr>
              <w:rPr>
                <w:sz w:val="20"/>
                <w:szCs w:val="20"/>
              </w:rPr>
            </w:pPr>
            <w:r>
              <w:rPr>
                <w:rFonts w:ascii="Calibri" w:eastAsia="Calibri" w:hAnsi="Calibri" w:cs="Calibri"/>
              </w:rPr>
              <w:t>la</w:t>
            </w:r>
          </w:p>
        </w:tc>
        <w:tc>
          <w:tcPr>
            <w:tcW w:w="680" w:type="dxa"/>
            <w:gridSpan w:val="2"/>
            <w:vAlign w:val="bottom"/>
          </w:tcPr>
          <w:p w:rsidR="00AC12B4" w:rsidRDefault="00C27636">
            <w:pPr>
              <w:jc w:val="right"/>
              <w:rPr>
                <w:sz w:val="20"/>
                <w:szCs w:val="20"/>
              </w:rPr>
            </w:pPr>
            <w:r>
              <w:rPr>
                <w:rFonts w:ascii="Calibri" w:eastAsia="Calibri" w:hAnsi="Calibri" w:cs="Calibri"/>
                <w:w w:val="99"/>
              </w:rPr>
              <w:t>section</w:t>
            </w:r>
          </w:p>
        </w:tc>
        <w:tc>
          <w:tcPr>
            <w:tcW w:w="1140" w:type="dxa"/>
            <w:gridSpan w:val="2"/>
            <w:vAlign w:val="bottom"/>
          </w:tcPr>
          <w:p w:rsidR="00AC12B4" w:rsidRDefault="00C27636">
            <w:pPr>
              <w:ind w:left="100"/>
              <w:rPr>
                <w:sz w:val="20"/>
                <w:szCs w:val="20"/>
              </w:rPr>
            </w:pPr>
            <w:r>
              <w:rPr>
                <w:rFonts w:ascii="Calibri" w:eastAsia="Calibri" w:hAnsi="Calibri" w:cs="Calibri"/>
              </w:rPr>
              <w:t>« sources »</w:t>
            </w:r>
          </w:p>
        </w:tc>
        <w:tc>
          <w:tcPr>
            <w:tcW w:w="400" w:type="dxa"/>
            <w:vAlign w:val="bottom"/>
          </w:tcPr>
          <w:p w:rsidR="00AC12B4" w:rsidRDefault="00C27636">
            <w:pPr>
              <w:jc w:val="center"/>
              <w:rPr>
                <w:sz w:val="20"/>
                <w:szCs w:val="20"/>
              </w:rPr>
            </w:pPr>
            <w:r>
              <w:rPr>
                <w:rFonts w:ascii="Calibri" w:eastAsia="Calibri" w:hAnsi="Calibri" w:cs="Calibri"/>
                <w:w w:val="97"/>
              </w:rPr>
              <w:t>de</w:t>
            </w:r>
          </w:p>
        </w:tc>
        <w:tc>
          <w:tcPr>
            <w:tcW w:w="540" w:type="dxa"/>
            <w:gridSpan w:val="2"/>
            <w:vAlign w:val="bottom"/>
          </w:tcPr>
          <w:p w:rsidR="00AC12B4" w:rsidRDefault="00C27636">
            <w:pPr>
              <w:jc w:val="right"/>
              <w:rPr>
                <w:sz w:val="20"/>
                <w:szCs w:val="20"/>
              </w:rPr>
            </w:pPr>
            <w:r>
              <w:rPr>
                <w:rFonts w:ascii="Calibri" w:eastAsia="Calibri" w:hAnsi="Calibri" w:cs="Calibri"/>
                <w:w w:val="99"/>
              </w:rPr>
              <w:t>cette</w:t>
            </w:r>
          </w:p>
        </w:tc>
        <w:tc>
          <w:tcPr>
            <w:tcW w:w="6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70"/>
        </w:trPr>
        <w:tc>
          <w:tcPr>
            <w:tcW w:w="720" w:type="dxa"/>
            <w:tcBorders>
              <w:left w:val="single" w:sz="8" w:space="0" w:color="963266"/>
            </w:tcBorders>
            <w:vAlign w:val="bottom"/>
          </w:tcPr>
          <w:p w:rsidR="00AC12B4" w:rsidRDefault="00AC12B4">
            <w:pPr>
              <w:rPr>
                <w:sz w:val="14"/>
                <w:szCs w:val="14"/>
              </w:rPr>
            </w:pPr>
          </w:p>
        </w:tc>
        <w:tc>
          <w:tcPr>
            <w:tcW w:w="620" w:type="dxa"/>
            <w:vAlign w:val="bottom"/>
          </w:tcPr>
          <w:p w:rsidR="00AC12B4" w:rsidRDefault="00AC12B4">
            <w:pPr>
              <w:rPr>
                <w:sz w:val="14"/>
                <w:szCs w:val="14"/>
              </w:rPr>
            </w:pPr>
          </w:p>
        </w:tc>
        <w:tc>
          <w:tcPr>
            <w:tcW w:w="320" w:type="dxa"/>
            <w:vAlign w:val="bottom"/>
          </w:tcPr>
          <w:p w:rsidR="00AC12B4" w:rsidRDefault="00AC12B4">
            <w:pPr>
              <w:rPr>
                <w:sz w:val="14"/>
                <w:szCs w:val="14"/>
              </w:rPr>
            </w:pPr>
          </w:p>
        </w:tc>
        <w:tc>
          <w:tcPr>
            <w:tcW w:w="560" w:type="dxa"/>
            <w:vAlign w:val="bottom"/>
          </w:tcPr>
          <w:p w:rsidR="00AC12B4" w:rsidRDefault="00AC12B4">
            <w:pPr>
              <w:rPr>
                <w:sz w:val="14"/>
                <w:szCs w:val="14"/>
              </w:rPr>
            </w:pPr>
          </w:p>
        </w:tc>
        <w:tc>
          <w:tcPr>
            <w:tcW w:w="580" w:type="dxa"/>
            <w:vAlign w:val="bottom"/>
          </w:tcPr>
          <w:p w:rsidR="00AC12B4" w:rsidRDefault="00AC12B4">
            <w:pPr>
              <w:rPr>
                <w:sz w:val="14"/>
                <w:szCs w:val="14"/>
              </w:rPr>
            </w:pPr>
          </w:p>
        </w:tc>
        <w:tc>
          <w:tcPr>
            <w:tcW w:w="460" w:type="dxa"/>
            <w:vAlign w:val="bottom"/>
          </w:tcPr>
          <w:p w:rsidR="00AC12B4" w:rsidRDefault="00AC12B4">
            <w:pPr>
              <w:rPr>
                <w:sz w:val="14"/>
                <w:szCs w:val="14"/>
              </w:rPr>
            </w:pPr>
          </w:p>
        </w:tc>
        <w:tc>
          <w:tcPr>
            <w:tcW w:w="40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1620" w:type="dxa"/>
            <w:gridSpan w:val="2"/>
            <w:vMerge w:val="restart"/>
            <w:vAlign w:val="bottom"/>
          </w:tcPr>
          <w:p w:rsidR="00AC12B4" w:rsidRDefault="00C27636">
            <w:pPr>
              <w:ind w:left="40"/>
              <w:rPr>
                <w:sz w:val="20"/>
                <w:szCs w:val="20"/>
              </w:rPr>
            </w:pPr>
            <w:r>
              <w:rPr>
                <w:rFonts w:ascii="Calibri" w:eastAsia="Calibri" w:hAnsi="Calibri" w:cs="Calibri"/>
                <w:sz w:val="20"/>
                <w:szCs w:val="20"/>
              </w:rPr>
              <w:t>Pas d'accord du</w:t>
            </w:r>
          </w:p>
        </w:tc>
        <w:tc>
          <w:tcPr>
            <w:tcW w:w="200" w:type="dxa"/>
            <w:tcBorders>
              <w:right w:val="single" w:sz="8" w:space="0" w:color="963266"/>
            </w:tcBorders>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3000" w:type="dxa"/>
            <w:gridSpan w:val="8"/>
            <w:vMerge w:val="restart"/>
            <w:vAlign w:val="bottom"/>
          </w:tcPr>
          <w:p w:rsidR="00AC12B4" w:rsidRDefault="00C27636">
            <w:pPr>
              <w:rPr>
                <w:sz w:val="20"/>
                <w:szCs w:val="20"/>
              </w:rPr>
            </w:pPr>
            <w:r>
              <w:rPr>
                <w:rFonts w:ascii="Calibri" w:eastAsia="Calibri" w:hAnsi="Calibri" w:cs="Calibri"/>
              </w:rPr>
              <w:t>publication (Partie I). L’objectif,</w:t>
            </w:r>
          </w:p>
        </w:tc>
        <w:tc>
          <w:tcPr>
            <w:tcW w:w="66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10"/>
        </w:trPr>
        <w:tc>
          <w:tcPr>
            <w:tcW w:w="720" w:type="dxa"/>
            <w:tcBorders>
              <w:left w:val="single" w:sz="8" w:space="0" w:color="963266"/>
            </w:tcBorders>
            <w:vAlign w:val="bottom"/>
          </w:tcPr>
          <w:p w:rsidR="00AC12B4" w:rsidRDefault="00AC12B4">
            <w:pPr>
              <w:rPr>
                <w:sz w:val="9"/>
                <w:szCs w:val="9"/>
              </w:rPr>
            </w:pPr>
          </w:p>
        </w:tc>
        <w:tc>
          <w:tcPr>
            <w:tcW w:w="62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560" w:type="dxa"/>
            <w:vAlign w:val="bottom"/>
          </w:tcPr>
          <w:p w:rsidR="00AC12B4" w:rsidRDefault="00AC12B4">
            <w:pPr>
              <w:rPr>
                <w:sz w:val="9"/>
                <w:szCs w:val="9"/>
              </w:rPr>
            </w:pPr>
          </w:p>
        </w:tc>
        <w:tc>
          <w:tcPr>
            <w:tcW w:w="58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400" w:type="dxa"/>
            <w:vAlign w:val="bottom"/>
          </w:tcPr>
          <w:p w:rsidR="00AC12B4" w:rsidRDefault="00AC12B4">
            <w:pPr>
              <w:rPr>
                <w:sz w:val="9"/>
                <w:szCs w:val="9"/>
              </w:rPr>
            </w:pPr>
          </w:p>
        </w:tc>
        <w:tc>
          <w:tcPr>
            <w:tcW w:w="120" w:type="dxa"/>
            <w:tcBorders>
              <w:right w:val="single" w:sz="8" w:space="0" w:color="4BACC6"/>
            </w:tcBorders>
            <w:shd w:val="clear" w:color="auto" w:fill="4BACC6"/>
            <w:vAlign w:val="bottom"/>
          </w:tcPr>
          <w:p w:rsidR="00AC12B4" w:rsidRDefault="00AC12B4">
            <w:pPr>
              <w:rPr>
                <w:sz w:val="9"/>
                <w:szCs w:val="9"/>
              </w:rPr>
            </w:pPr>
          </w:p>
        </w:tc>
        <w:tc>
          <w:tcPr>
            <w:tcW w:w="1620" w:type="dxa"/>
            <w:gridSpan w:val="2"/>
            <w:vMerge/>
            <w:vAlign w:val="bottom"/>
          </w:tcPr>
          <w:p w:rsidR="00AC12B4" w:rsidRDefault="00AC12B4">
            <w:pPr>
              <w:rPr>
                <w:sz w:val="9"/>
                <w:szCs w:val="9"/>
              </w:rPr>
            </w:pPr>
          </w:p>
        </w:tc>
        <w:tc>
          <w:tcPr>
            <w:tcW w:w="200" w:type="dxa"/>
            <w:tcBorders>
              <w:right w:val="single" w:sz="8" w:space="0" w:color="963266"/>
            </w:tcBorders>
            <w:vAlign w:val="bottom"/>
          </w:tcPr>
          <w:p w:rsidR="00AC12B4" w:rsidRDefault="00AC12B4">
            <w:pPr>
              <w:rPr>
                <w:sz w:val="9"/>
                <w:szCs w:val="9"/>
              </w:rPr>
            </w:pPr>
          </w:p>
        </w:tc>
        <w:tc>
          <w:tcPr>
            <w:tcW w:w="200" w:type="dxa"/>
            <w:vAlign w:val="bottom"/>
          </w:tcPr>
          <w:p w:rsidR="00AC12B4" w:rsidRDefault="00AC12B4">
            <w:pPr>
              <w:rPr>
                <w:sz w:val="9"/>
                <w:szCs w:val="9"/>
              </w:rPr>
            </w:pPr>
          </w:p>
        </w:tc>
        <w:tc>
          <w:tcPr>
            <w:tcW w:w="3000" w:type="dxa"/>
            <w:gridSpan w:val="8"/>
            <w:vMerge/>
            <w:vAlign w:val="bottom"/>
          </w:tcPr>
          <w:p w:rsidR="00AC12B4" w:rsidRDefault="00AC12B4">
            <w:pPr>
              <w:rPr>
                <w:sz w:val="9"/>
                <w:szCs w:val="9"/>
              </w:rPr>
            </w:pPr>
          </w:p>
        </w:tc>
        <w:tc>
          <w:tcPr>
            <w:tcW w:w="6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50"/>
        </w:trPr>
        <w:tc>
          <w:tcPr>
            <w:tcW w:w="720" w:type="dxa"/>
            <w:tcBorders>
              <w:left w:val="single" w:sz="8" w:space="0" w:color="963266"/>
            </w:tcBorders>
            <w:vAlign w:val="bottom"/>
          </w:tcPr>
          <w:p w:rsidR="00AC12B4" w:rsidRDefault="00AC12B4">
            <w:pPr>
              <w:rPr>
                <w:sz w:val="4"/>
                <w:szCs w:val="4"/>
              </w:rPr>
            </w:pPr>
          </w:p>
        </w:tc>
        <w:tc>
          <w:tcPr>
            <w:tcW w:w="62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560" w:type="dxa"/>
            <w:vAlign w:val="bottom"/>
          </w:tcPr>
          <w:p w:rsidR="00AC12B4" w:rsidRDefault="00AC12B4">
            <w:pPr>
              <w:rPr>
                <w:sz w:val="4"/>
                <w:szCs w:val="4"/>
              </w:rPr>
            </w:pPr>
          </w:p>
        </w:tc>
        <w:tc>
          <w:tcPr>
            <w:tcW w:w="58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1620" w:type="dxa"/>
            <w:gridSpan w:val="2"/>
            <w:vMerge/>
            <w:vAlign w:val="bottom"/>
          </w:tcPr>
          <w:p w:rsidR="00AC12B4" w:rsidRDefault="00AC12B4">
            <w:pPr>
              <w:rPr>
                <w:sz w:val="4"/>
                <w:szCs w:val="4"/>
              </w:rPr>
            </w:pPr>
          </w:p>
        </w:tc>
        <w:tc>
          <w:tcPr>
            <w:tcW w:w="200" w:type="dxa"/>
            <w:tcBorders>
              <w:right w:val="single" w:sz="8" w:space="0" w:color="963266"/>
            </w:tcBorders>
            <w:vAlign w:val="bottom"/>
          </w:tcPr>
          <w:p w:rsidR="00AC12B4" w:rsidRDefault="00AC12B4">
            <w:pPr>
              <w:rPr>
                <w:sz w:val="4"/>
                <w:szCs w:val="4"/>
              </w:rPr>
            </w:pPr>
          </w:p>
        </w:tc>
        <w:tc>
          <w:tcPr>
            <w:tcW w:w="200" w:type="dxa"/>
            <w:vAlign w:val="bottom"/>
          </w:tcPr>
          <w:p w:rsidR="00AC12B4" w:rsidRDefault="00AC12B4">
            <w:pPr>
              <w:rPr>
                <w:sz w:val="4"/>
                <w:szCs w:val="4"/>
              </w:rPr>
            </w:pPr>
          </w:p>
        </w:tc>
        <w:tc>
          <w:tcPr>
            <w:tcW w:w="3000" w:type="dxa"/>
            <w:gridSpan w:val="8"/>
            <w:vMerge w:val="restart"/>
            <w:vAlign w:val="bottom"/>
          </w:tcPr>
          <w:p w:rsidR="00AC12B4" w:rsidRPr="00C27636" w:rsidRDefault="00C27636">
            <w:pPr>
              <w:spacing w:line="256" w:lineRule="exact"/>
              <w:rPr>
                <w:sz w:val="20"/>
                <w:szCs w:val="20"/>
                <w:lang w:val="fr-BE"/>
              </w:rPr>
            </w:pPr>
            <w:r w:rsidRPr="00C27636">
              <w:rPr>
                <w:rFonts w:ascii="Calibri" w:eastAsia="Calibri" w:hAnsi="Calibri" w:cs="Calibri"/>
                <w:lang w:val="fr-BE"/>
              </w:rPr>
              <w:t>les modalités et les limites des</w:t>
            </w:r>
          </w:p>
        </w:tc>
        <w:tc>
          <w:tcPr>
            <w:tcW w:w="660" w:type="dxa"/>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trPr>
          <w:trHeight w:val="245"/>
        </w:trPr>
        <w:tc>
          <w:tcPr>
            <w:tcW w:w="720" w:type="dxa"/>
            <w:tcBorders>
              <w:left w:val="single" w:sz="8" w:space="0" w:color="963266"/>
            </w:tcBorders>
            <w:vAlign w:val="bottom"/>
          </w:tcPr>
          <w:p w:rsidR="00AC12B4" w:rsidRPr="00C27636" w:rsidRDefault="00AC12B4">
            <w:pPr>
              <w:rPr>
                <w:sz w:val="21"/>
                <w:szCs w:val="21"/>
                <w:lang w:val="fr-BE"/>
              </w:rPr>
            </w:pPr>
          </w:p>
        </w:tc>
        <w:tc>
          <w:tcPr>
            <w:tcW w:w="620" w:type="dxa"/>
            <w:vAlign w:val="bottom"/>
          </w:tcPr>
          <w:p w:rsidR="00AC12B4" w:rsidRPr="00C27636" w:rsidRDefault="00AC12B4">
            <w:pPr>
              <w:rPr>
                <w:sz w:val="21"/>
                <w:szCs w:val="21"/>
                <w:lang w:val="fr-BE"/>
              </w:rPr>
            </w:pPr>
          </w:p>
        </w:tc>
        <w:tc>
          <w:tcPr>
            <w:tcW w:w="320" w:type="dxa"/>
            <w:vAlign w:val="bottom"/>
          </w:tcPr>
          <w:p w:rsidR="00AC12B4" w:rsidRPr="00C27636" w:rsidRDefault="00AC12B4">
            <w:pPr>
              <w:rPr>
                <w:sz w:val="21"/>
                <w:szCs w:val="21"/>
                <w:lang w:val="fr-BE"/>
              </w:rPr>
            </w:pPr>
          </w:p>
        </w:tc>
        <w:tc>
          <w:tcPr>
            <w:tcW w:w="560" w:type="dxa"/>
            <w:vAlign w:val="bottom"/>
          </w:tcPr>
          <w:p w:rsidR="00AC12B4" w:rsidRPr="00C27636" w:rsidRDefault="00AC12B4">
            <w:pPr>
              <w:rPr>
                <w:sz w:val="21"/>
                <w:szCs w:val="21"/>
                <w:lang w:val="fr-BE"/>
              </w:rPr>
            </w:pPr>
          </w:p>
        </w:tc>
        <w:tc>
          <w:tcPr>
            <w:tcW w:w="1040" w:type="dxa"/>
            <w:gridSpan w:val="2"/>
            <w:vMerge w:val="restart"/>
            <w:vAlign w:val="bottom"/>
          </w:tcPr>
          <w:p w:rsidR="00AC12B4" w:rsidRDefault="00C27636">
            <w:pPr>
              <w:ind w:left="220"/>
              <w:rPr>
                <w:sz w:val="20"/>
                <w:szCs w:val="20"/>
              </w:rPr>
            </w:pPr>
            <w:r>
              <w:rPr>
                <w:rFonts w:ascii="Calibri" w:eastAsia="Calibri" w:hAnsi="Calibri" w:cs="Calibri"/>
                <w:sz w:val="20"/>
                <w:szCs w:val="20"/>
              </w:rPr>
              <w:t>39,3%</w:t>
            </w:r>
          </w:p>
        </w:tc>
        <w:tc>
          <w:tcPr>
            <w:tcW w:w="40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1060" w:type="dxa"/>
            <w:vAlign w:val="bottom"/>
          </w:tcPr>
          <w:p w:rsidR="00AC12B4" w:rsidRDefault="00C27636">
            <w:pPr>
              <w:ind w:left="40"/>
              <w:rPr>
                <w:sz w:val="20"/>
                <w:szCs w:val="20"/>
              </w:rPr>
            </w:pPr>
            <w:r>
              <w:rPr>
                <w:rFonts w:ascii="Calibri" w:eastAsia="Calibri" w:hAnsi="Calibri" w:cs="Calibri"/>
                <w:sz w:val="20"/>
                <w:szCs w:val="20"/>
              </w:rPr>
              <w:t>tout</w:t>
            </w:r>
          </w:p>
        </w:tc>
        <w:tc>
          <w:tcPr>
            <w:tcW w:w="560" w:type="dxa"/>
            <w:vAlign w:val="bottom"/>
          </w:tcPr>
          <w:p w:rsidR="00AC12B4" w:rsidRDefault="00AC12B4">
            <w:pPr>
              <w:rPr>
                <w:sz w:val="21"/>
                <w:szCs w:val="21"/>
              </w:rPr>
            </w:pPr>
          </w:p>
        </w:tc>
        <w:tc>
          <w:tcPr>
            <w:tcW w:w="200" w:type="dxa"/>
            <w:tcBorders>
              <w:right w:val="single" w:sz="8" w:space="0" w:color="963266"/>
            </w:tcBorders>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3000" w:type="dxa"/>
            <w:gridSpan w:val="8"/>
            <w:vMerge/>
            <w:vAlign w:val="bottom"/>
          </w:tcPr>
          <w:p w:rsidR="00AC12B4" w:rsidRDefault="00AC12B4">
            <w:pPr>
              <w:rPr>
                <w:sz w:val="21"/>
                <w:szCs w:val="21"/>
              </w:rPr>
            </w:pPr>
          </w:p>
        </w:tc>
        <w:tc>
          <w:tcPr>
            <w:tcW w:w="66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43"/>
        </w:trPr>
        <w:tc>
          <w:tcPr>
            <w:tcW w:w="720" w:type="dxa"/>
            <w:tcBorders>
              <w:left w:val="single" w:sz="8" w:space="0" w:color="963266"/>
            </w:tcBorders>
            <w:vAlign w:val="bottom"/>
          </w:tcPr>
          <w:p w:rsidR="00AC12B4" w:rsidRDefault="00AC12B4">
            <w:pPr>
              <w:rPr>
                <w:sz w:val="12"/>
                <w:szCs w:val="12"/>
              </w:rPr>
            </w:pPr>
          </w:p>
        </w:tc>
        <w:tc>
          <w:tcPr>
            <w:tcW w:w="620" w:type="dxa"/>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560" w:type="dxa"/>
            <w:vAlign w:val="bottom"/>
          </w:tcPr>
          <w:p w:rsidR="00AC12B4" w:rsidRDefault="00AC12B4">
            <w:pPr>
              <w:rPr>
                <w:sz w:val="12"/>
                <w:szCs w:val="12"/>
              </w:rPr>
            </w:pPr>
          </w:p>
        </w:tc>
        <w:tc>
          <w:tcPr>
            <w:tcW w:w="1040" w:type="dxa"/>
            <w:gridSpan w:val="2"/>
            <w:vMerge/>
            <w:vAlign w:val="bottom"/>
          </w:tcPr>
          <w:p w:rsidR="00AC12B4" w:rsidRDefault="00AC12B4">
            <w:pPr>
              <w:rPr>
                <w:sz w:val="12"/>
                <w:szCs w:val="12"/>
              </w:rPr>
            </w:pPr>
          </w:p>
        </w:tc>
        <w:tc>
          <w:tcPr>
            <w:tcW w:w="40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1060" w:type="dxa"/>
            <w:vAlign w:val="bottom"/>
          </w:tcPr>
          <w:p w:rsidR="00AC12B4" w:rsidRDefault="00AC12B4">
            <w:pPr>
              <w:rPr>
                <w:sz w:val="12"/>
                <w:szCs w:val="12"/>
              </w:rPr>
            </w:pPr>
          </w:p>
        </w:tc>
        <w:tc>
          <w:tcPr>
            <w:tcW w:w="560" w:type="dxa"/>
            <w:vAlign w:val="bottom"/>
          </w:tcPr>
          <w:p w:rsidR="00AC12B4" w:rsidRDefault="00AC12B4">
            <w:pPr>
              <w:rPr>
                <w:sz w:val="12"/>
                <w:szCs w:val="12"/>
              </w:rPr>
            </w:pPr>
          </w:p>
        </w:tc>
        <w:tc>
          <w:tcPr>
            <w:tcW w:w="200" w:type="dxa"/>
            <w:tcBorders>
              <w:right w:val="single" w:sz="8" w:space="0" w:color="963266"/>
            </w:tcBorders>
            <w:vAlign w:val="bottom"/>
          </w:tcPr>
          <w:p w:rsidR="00AC12B4" w:rsidRDefault="00AC12B4">
            <w:pPr>
              <w:rPr>
                <w:sz w:val="12"/>
                <w:szCs w:val="12"/>
              </w:rPr>
            </w:pPr>
          </w:p>
        </w:tc>
        <w:tc>
          <w:tcPr>
            <w:tcW w:w="200" w:type="dxa"/>
            <w:vAlign w:val="bottom"/>
          </w:tcPr>
          <w:p w:rsidR="00AC12B4" w:rsidRDefault="00AC12B4">
            <w:pPr>
              <w:rPr>
                <w:sz w:val="12"/>
                <w:szCs w:val="12"/>
              </w:rPr>
            </w:pPr>
          </w:p>
        </w:tc>
        <w:tc>
          <w:tcPr>
            <w:tcW w:w="920" w:type="dxa"/>
            <w:gridSpan w:val="3"/>
            <w:vMerge w:val="restart"/>
            <w:vAlign w:val="bottom"/>
          </w:tcPr>
          <w:p w:rsidR="00AC12B4" w:rsidRDefault="00C27636">
            <w:pPr>
              <w:spacing w:line="229" w:lineRule="exact"/>
              <w:rPr>
                <w:sz w:val="20"/>
                <w:szCs w:val="20"/>
              </w:rPr>
            </w:pPr>
            <w:r>
              <w:rPr>
                <w:rFonts w:ascii="Calibri" w:eastAsia="Calibri" w:hAnsi="Calibri" w:cs="Calibri"/>
              </w:rPr>
              <w:t>données</w:t>
            </w:r>
          </w:p>
        </w:tc>
        <w:tc>
          <w:tcPr>
            <w:tcW w:w="1140" w:type="dxa"/>
            <w:gridSpan w:val="2"/>
            <w:vMerge w:val="restart"/>
            <w:vAlign w:val="bottom"/>
          </w:tcPr>
          <w:p w:rsidR="00AC12B4" w:rsidRDefault="00C27636">
            <w:pPr>
              <w:spacing w:line="229" w:lineRule="exact"/>
              <w:ind w:left="100"/>
              <w:rPr>
                <w:sz w:val="20"/>
                <w:szCs w:val="20"/>
              </w:rPr>
            </w:pPr>
            <w:r>
              <w:rPr>
                <w:rFonts w:ascii="Calibri" w:eastAsia="Calibri" w:hAnsi="Calibri" w:cs="Calibri"/>
              </w:rPr>
              <w:t>collectées</w:t>
            </w:r>
          </w:p>
        </w:tc>
        <w:tc>
          <w:tcPr>
            <w:tcW w:w="400" w:type="dxa"/>
            <w:vMerge w:val="restart"/>
            <w:vAlign w:val="bottom"/>
          </w:tcPr>
          <w:p w:rsidR="00AC12B4" w:rsidRDefault="00C27636">
            <w:pPr>
              <w:spacing w:line="229" w:lineRule="exact"/>
              <w:jc w:val="center"/>
              <w:rPr>
                <w:sz w:val="20"/>
                <w:szCs w:val="20"/>
              </w:rPr>
            </w:pPr>
            <w:r>
              <w:rPr>
                <w:rFonts w:ascii="Calibri" w:eastAsia="Calibri" w:hAnsi="Calibri" w:cs="Calibri"/>
                <w:w w:val="99"/>
              </w:rPr>
              <w:t>y</w:t>
            </w:r>
          </w:p>
        </w:tc>
        <w:tc>
          <w:tcPr>
            <w:tcW w:w="540" w:type="dxa"/>
            <w:gridSpan w:val="2"/>
            <w:vMerge w:val="restart"/>
            <w:vAlign w:val="bottom"/>
          </w:tcPr>
          <w:p w:rsidR="00AC12B4" w:rsidRDefault="00C27636">
            <w:pPr>
              <w:spacing w:line="229" w:lineRule="exact"/>
              <w:jc w:val="right"/>
              <w:rPr>
                <w:sz w:val="20"/>
                <w:szCs w:val="20"/>
              </w:rPr>
            </w:pPr>
            <w:r>
              <w:rPr>
                <w:rFonts w:ascii="Calibri" w:eastAsia="Calibri" w:hAnsi="Calibri" w:cs="Calibri"/>
              </w:rPr>
              <w:t>sont</w:t>
            </w:r>
          </w:p>
        </w:tc>
        <w:tc>
          <w:tcPr>
            <w:tcW w:w="66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86"/>
        </w:trPr>
        <w:tc>
          <w:tcPr>
            <w:tcW w:w="720" w:type="dxa"/>
            <w:tcBorders>
              <w:left w:val="single" w:sz="8" w:space="0" w:color="963266"/>
              <w:bottom w:val="single" w:sz="8" w:space="0" w:color="963266"/>
            </w:tcBorders>
            <w:vAlign w:val="bottom"/>
          </w:tcPr>
          <w:p w:rsidR="00AC12B4" w:rsidRDefault="00AC12B4">
            <w:pPr>
              <w:rPr>
                <w:sz w:val="7"/>
                <w:szCs w:val="7"/>
              </w:rPr>
            </w:pPr>
          </w:p>
        </w:tc>
        <w:tc>
          <w:tcPr>
            <w:tcW w:w="620" w:type="dxa"/>
            <w:tcBorders>
              <w:bottom w:val="single" w:sz="8" w:space="0" w:color="963266"/>
            </w:tcBorders>
            <w:vAlign w:val="bottom"/>
          </w:tcPr>
          <w:p w:rsidR="00AC12B4" w:rsidRDefault="00AC12B4">
            <w:pPr>
              <w:rPr>
                <w:sz w:val="7"/>
                <w:szCs w:val="7"/>
              </w:rPr>
            </w:pPr>
          </w:p>
        </w:tc>
        <w:tc>
          <w:tcPr>
            <w:tcW w:w="320" w:type="dxa"/>
            <w:tcBorders>
              <w:bottom w:val="single" w:sz="8" w:space="0" w:color="963266"/>
            </w:tcBorders>
            <w:vAlign w:val="bottom"/>
          </w:tcPr>
          <w:p w:rsidR="00AC12B4" w:rsidRDefault="00AC12B4">
            <w:pPr>
              <w:rPr>
                <w:sz w:val="7"/>
                <w:szCs w:val="7"/>
              </w:rPr>
            </w:pPr>
          </w:p>
        </w:tc>
        <w:tc>
          <w:tcPr>
            <w:tcW w:w="560" w:type="dxa"/>
            <w:tcBorders>
              <w:bottom w:val="single" w:sz="8" w:space="0" w:color="963266"/>
            </w:tcBorders>
            <w:vAlign w:val="bottom"/>
          </w:tcPr>
          <w:p w:rsidR="00AC12B4" w:rsidRDefault="00AC12B4">
            <w:pPr>
              <w:rPr>
                <w:sz w:val="7"/>
                <w:szCs w:val="7"/>
              </w:rPr>
            </w:pPr>
          </w:p>
        </w:tc>
        <w:tc>
          <w:tcPr>
            <w:tcW w:w="580" w:type="dxa"/>
            <w:tcBorders>
              <w:bottom w:val="single" w:sz="8" w:space="0" w:color="963266"/>
            </w:tcBorders>
            <w:vAlign w:val="bottom"/>
          </w:tcPr>
          <w:p w:rsidR="00AC12B4" w:rsidRDefault="00AC12B4">
            <w:pPr>
              <w:rPr>
                <w:sz w:val="7"/>
                <w:szCs w:val="7"/>
              </w:rPr>
            </w:pPr>
          </w:p>
        </w:tc>
        <w:tc>
          <w:tcPr>
            <w:tcW w:w="460" w:type="dxa"/>
            <w:tcBorders>
              <w:bottom w:val="single" w:sz="8" w:space="0" w:color="963266"/>
            </w:tcBorders>
            <w:vAlign w:val="bottom"/>
          </w:tcPr>
          <w:p w:rsidR="00AC12B4" w:rsidRDefault="00AC12B4">
            <w:pPr>
              <w:rPr>
                <w:sz w:val="7"/>
                <w:szCs w:val="7"/>
              </w:rPr>
            </w:pPr>
          </w:p>
        </w:tc>
        <w:tc>
          <w:tcPr>
            <w:tcW w:w="400" w:type="dxa"/>
            <w:tcBorders>
              <w:bottom w:val="single" w:sz="8" w:space="0" w:color="963266"/>
            </w:tcBorders>
            <w:vAlign w:val="bottom"/>
          </w:tcPr>
          <w:p w:rsidR="00AC12B4" w:rsidRDefault="00AC12B4">
            <w:pPr>
              <w:rPr>
                <w:sz w:val="7"/>
                <w:szCs w:val="7"/>
              </w:rPr>
            </w:pPr>
          </w:p>
        </w:tc>
        <w:tc>
          <w:tcPr>
            <w:tcW w:w="120" w:type="dxa"/>
            <w:tcBorders>
              <w:bottom w:val="single" w:sz="8" w:space="0" w:color="963266"/>
            </w:tcBorders>
            <w:vAlign w:val="bottom"/>
          </w:tcPr>
          <w:p w:rsidR="00AC12B4" w:rsidRDefault="00AC12B4">
            <w:pPr>
              <w:rPr>
                <w:sz w:val="7"/>
                <w:szCs w:val="7"/>
              </w:rPr>
            </w:pPr>
          </w:p>
        </w:tc>
        <w:tc>
          <w:tcPr>
            <w:tcW w:w="1060" w:type="dxa"/>
            <w:tcBorders>
              <w:bottom w:val="single" w:sz="8" w:space="0" w:color="963266"/>
            </w:tcBorders>
            <w:vAlign w:val="bottom"/>
          </w:tcPr>
          <w:p w:rsidR="00AC12B4" w:rsidRDefault="00AC12B4">
            <w:pPr>
              <w:rPr>
                <w:sz w:val="7"/>
                <w:szCs w:val="7"/>
              </w:rPr>
            </w:pPr>
          </w:p>
        </w:tc>
        <w:tc>
          <w:tcPr>
            <w:tcW w:w="560" w:type="dxa"/>
            <w:tcBorders>
              <w:bottom w:val="single" w:sz="8" w:space="0" w:color="963266"/>
            </w:tcBorders>
            <w:vAlign w:val="bottom"/>
          </w:tcPr>
          <w:p w:rsidR="00AC12B4" w:rsidRDefault="00AC12B4">
            <w:pPr>
              <w:rPr>
                <w:sz w:val="7"/>
                <w:szCs w:val="7"/>
              </w:rPr>
            </w:pPr>
          </w:p>
        </w:tc>
        <w:tc>
          <w:tcPr>
            <w:tcW w:w="200" w:type="dxa"/>
            <w:tcBorders>
              <w:bottom w:val="single" w:sz="8" w:space="0" w:color="963266"/>
              <w:right w:val="single" w:sz="8" w:space="0" w:color="963266"/>
            </w:tcBorders>
            <w:vAlign w:val="bottom"/>
          </w:tcPr>
          <w:p w:rsidR="00AC12B4" w:rsidRDefault="00AC12B4">
            <w:pPr>
              <w:rPr>
                <w:sz w:val="7"/>
                <w:szCs w:val="7"/>
              </w:rPr>
            </w:pPr>
          </w:p>
        </w:tc>
        <w:tc>
          <w:tcPr>
            <w:tcW w:w="200" w:type="dxa"/>
            <w:vAlign w:val="bottom"/>
          </w:tcPr>
          <w:p w:rsidR="00AC12B4" w:rsidRDefault="00AC12B4">
            <w:pPr>
              <w:rPr>
                <w:sz w:val="7"/>
                <w:szCs w:val="7"/>
              </w:rPr>
            </w:pPr>
          </w:p>
        </w:tc>
        <w:tc>
          <w:tcPr>
            <w:tcW w:w="920" w:type="dxa"/>
            <w:gridSpan w:val="3"/>
            <w:vMerge/>
            <w:vAlign w:val="bottom"/>
          </w:tcPr>
          <w:p w:rsidR="00AC12B4" w:rsidRDefault="00AC12B4">
            <w:pPr>
              <w:rPr>
                <w:sz w:val="7"/>
                <w:szCs w:val="7"/>
              </w:rPr>
            </w:pPr>
          </w:p>
        </w:tc>
        <w:tc>
          <w:tcPr>
            <w:tcW w:w="1140" w:type="dxa"/>
            <w:gridSpan w:val="2"/>
            <w:vMerge/>
            <w:vAlign w:val="bottom"/>
          </w:tcPr>
          <w:p w:rsidR="00AC12B4" w:rsidRDefault="00AC12B4">
            <w:pPr>
              <w:rPr>
                <w:sz w:val="7"/>
                <w:szCs w:val="7"/>
              </w:rPr>
            </w:pPr>
          </w:p>
        </w:tc>
        <w:tc>
          <w:tcPr>
            <w:tcW w:w="400" w:type="dxa"/>
            <w:vMerge/>
            <w:vAlign w:val="bottom"/>
          </w:tcPr>
          <w:p w:rsidR="00AC12B4" w:rsidRDefault="00AC12B4">
            <w:pPr>
              <w:rPr>
                <w:sz w:val="7"/>
                <w:szCs w:val="7"/>
              </w:rPr>
            </w:pPr>
          </w:p>
        </w:tc>
        <w:tc>
          <w:tcPr>
            <w:tcW w:w="540" w:type="dxa"/>
            <w:gridSpan w:val="2"/>
            <w:vMerge/>
            <w:vAlign w:val="bottom"/>
          </w:tcPr>
          <w:p w:rsidR="00AC12B4" w:rsidRDefault="00AC12B4">
            <w:pPr>
              <w:rPr>
                <w:sz w:val="7"/>
                <w:szCs w:val="7"/>
              </w:rPr>
            </w:pPr>
          </w:p>
        </w:tc>
        <w:tc>
          <w:tcPr>
            <w:tcW w:w="66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299"/>
        </w:trPr>
        <w:tc>
          <w:tcPr>
            <w:tcW w:w="5800" w:type="dxa"/>
            <w:gridSpan w:val="12"/>
            <w:vAlign w:val="bottom"/>
          </w:tcPr>
          <w:p w:rsidR="00AC12B4" w:rsidRPr="00C27636" w:rsidRDefault="00C27636">
            <w:pPr>
              <w:rPr>
                <w:sz w:val="20"/>
                <w:szCs w:val="20"/>
                <w:lang w:val="fr-BE"/>
              </w:rPr>
            </w:pPr>
            <w:r w:rsidRPr="00C27636">
              <w:rPr>
                <w:rFonts w:ascii="Calibri" w:eastAsia="Calibri" w:hAnsi="Calibri" w:cs="Calibri"/>
                <w:b/>
                <w:bCs/>
                <w:color w:val="4F81BD"/>
                <w:sz w:val="18"/>
                <w:szCs w:val="18"/>
                <w:lang w:val="fr-BE"/>
              </w:rPr>
              <w:t>Figure 1. Espaces de jeux, parcs pour jouer dans son quartier parmi les</w:t>
            </w:r>
          </w:p>
        </w:tc>
        <w:tc>
          <w:tcPr>
            <w:tcW w:w="2060" w:type="dxa"/>
            <w:gridSpan w:val="5"/>
            <w:vAlign w:val="bottom"/>
          </w:tcPr>
          <w:p w:rsidR="00AC12B4" w:rsidRDefault="00C27636">
            <w:pPr>
              <w:spacing w:line="249" w:lineRule="exact"/>
              <w:rPr>
                <w:sz w:val="20"/>
                <w:szCs w:val="20"/>
              </w:rPr>
            </w:pPr>
            <w:r>
              <w:rPr>
                <w:rFonts w:ascii="Calibri" w:eastAsia="Calibri" w:hAnsi="Calibri" w:cs="Calibri"/>
              </w:rPr>
              <w:t>présentés.</w:t>
            </w:r>
          </w:p>
        </w:tc>
        <w:tc>
          <w:tcPr>
            <w:tcW w:w="40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6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16"/>
        </w:trPr>
        <w:tc>
          <w:tcPr>
            <w:tcW w:w="4840" w:type="dxa"/>
            <w:gridSpan w:val="9"/>
            <w:vAlign w:val="bottom"/>
          </w:tcPr>
          <w:p w:rsidR="00AC12B4" w:rsidRPr="00C27636" w:rsidRDefault="00C27636">
            <w:pPr>
              <w:spacing w:line="216" w:lineRule="exact"/>
              <w:rPr>
                <w:sz w:val="20"/>
                <w:szCs w:val="20"/>
                <w:lang w:val="fr-BE"/>
              </w:rPr>
            </w:pPr>
            <w:r w:rsidRPr="00C27636">
              <w:rPr>
                <w:rFonts w:ascii="Calibri" w:eastAsia="Calibri" w:hAnsi="Calibri" w:cs="Calibri"/>
                <w:b/>
                <w:bCs/>
                <w:color w:val="4F81BD"/>
                <w:sz w:val="18"/>
                <w:szCs w:val="18"/>
                <w:lang w:val="fr-BE"/>
              </w:rPr>
              <w:t>jeunes en Communauté flamande (n=8.703), HBSC 2014.</w:t>
            </w:r>
          </w:p>
        </w:tc>
        <w:tc>
          <w:tcPr>
            <w:tcW w:w="560" w:type="dxa"/>
            <w:vAlign w:val="bottom"/>
          </w:tcPr>
          <w:p w:rsidR="00AC12B4" w:rsidRPr="00C27636" w:rsidRDefault="00AC12B4">
            <w:pPr>
              <w:rPr>
                <w:sz w:val="18"/>
                <w:szCs w:val="18"/>
                <w:lang w:val="fr-BE"/>
              </w:rPr>
            </w:pPr>
          </w:p>
        </w:tc>
        <w:tc>
          <w:tcPr>
            <w:tcW w:w="200" w:type="dxa"/>
            <w:vAlign w:val="bottom"/>
          </w:tcPr>
          <w:p w:rsidR="00AC12B4" w:rsidRPr="00C27636" w:rsidRDefault="00AC12B4">
            <w:pPr>
              <w:rPr>
                <w:sz w:val="18"/>
                <w:szCs w:val="18"/>
                <w:lang w:val="fr-BE"/>
              </w:rPr>
            </w:pPr>
          </w:p>
        </w:tc>
        <w:tc>
          <w:tcPr>
            <w:tcW w:w="200" w:type="dxa"/>
            <w:vAlign w:val="bottom"/>
          </w:tcPr>
          <w:p w:rsidR="00AC12B4" w:rsidRPr="00C27636" w:rsidRDefault="00AC12B4">
            <w:pPr>
              <w:rPr>
                <w:sz w:val="18"/>
                <w:szCs w:val="18"/>
                <w:lang w:val="fr-BE"/>
              </w:rPr>
            </w:pPr>
          </w:p>
        </w:tc>
        <w:tc>
          <w:tcPr>
            <w:tcW w:w="240" w:type="dxa"/>
            <w:vAlign w:val="bottom"/>
          </w:tcPr>
          <w:p w:rsidR="00AC12B4" w:rsidRPr="00C27636" w:rsidRDefault="00AC12B4">
            <w:pPr>
              <w:rPr>
                <w:sz w:val="18"/>
                <w:szCs w:val="18"/>
                <w:lang w:val="fr-BE"/>
              </w:rPr>
            </w:pPr>
          </w:p>
        </w:tc>
        <w:tc>
          <w:tcPr>
            <w:tcW w:w="300" w:type="dxa"/>
            <w:vAlign w:val="bottom"/>
          </w:tcPr>
          <w:p w:rsidR="00AC12B4" w:rsidRPr="00C27636" w:rsidRDefault="00AC12B4">
            <w:pPr>
              <w:rPr>
                <w:sz w:val="18"/>
                <w:szCs w:val="18"/>
                <w:lang w:val="fr-BE"/>
              </w:rPr>
            </w:pPr>
          </w:p>
        </w:tc>
        <w:tc>
          <w:tcPr>
            <w:tcW w:w="380" w:type="dxa"/>
            <w:vAlign w:val="bottom"/>
          </w:tcPr>
          <w:p w:rsidR="00AC12B4" w:rsidRPr="00C27636" w:rsidRDefault="00AC12B4">
            <w:pPr>
              <w:rPr>
                <w:sz w:val="18"/>
                <w:szCs w:val="18"/>
                <w:lang w:val="fr-BE"/>
              </w:rPr>
            </w:pPr>
          </w:p>
        </w:tc>
        <w:tc>
          <w:tcPr>
            <w:tcW w:w="380" w:type="dxa"/>
            <w:vAlign w:val="bottom"/>
          </w:tcPr>
          <w:p w:rsidR="00AC12B4" w:rsidRPr="00C27636" w:rsidRDefault="00AC12B4">
            <w:pPr>
              <w:rPr>
                <w:sz w:val="18"/>
                <w:szCs w:val="18"/>
                <w:lang w:val="fr-BE"/>
              </w:rPr>
            </w:pPr>
          </w:p>
        </w:tc>
        <w:tc>
          <w:tcPr>
            <w:tcW w:w="760" w:type="dxa"/>
            <w:vAlign w:val="bottom"/>
          </w:tcPr>
          <w:p w:rsidR="00AC12B4" w:rsidRPr="00C27636" w:rsidRDefault="00AC12B4">
            <w:pPr>
              <w:rPr>
                <w:sz w:val="18"/>
                <w:szCs w:val="18"/>
                <w:lang w:val="fr-BE"/>
              </w:rPr>
            </w:pPr>
          </w:p>
        </w:tc>
        <w:tc>
          <w:tcPr>
            <w:tcW w:w="400" w:type="dxa"/>
            <w:vAlign w:val="bottom"/>
          </w:tcPr>
          <w:p w:rsidR="00AC12B4" w:rsidRPr="00C27636" w:rsidRDefault="00AC12B4">
            <w:pPr>
              <w:rPr>
                <w:sz w:val="18"/>
                <w:szCs w:val="18"/>
                <w:lang w:val="fr-BE"/>
              </w:rPr>
            </w:pPr>
          </w:p>
        </w:tc>
        <w:tc>
          <w:tcPr>
            <w:tcW w:w="340" w:type="dxa"/>
            <w:vAlign w:val="bottom"/>
          </w:tcPr>
          <w:p w:rsidR="00AC12B4" w:rsidRPr="00C27636" w:rsidRDefault="00AC12B4">
            <w:pPr>
              <w:rPr>
                <w:sz w:val="18"/>
                <w:szCs w:val="18"/>
                <w:lang w:val="fr-BE"/>
              </w:rPr>
            </w:pPr>
          </w:p>
        </w:tc>
        <w:tc>
          <w:tcPr>
            <w:tcW w:w="200" w:type="dxa"/>
            <w:vAlign w:val="bottom"/>
          </w:tcPr>
          <w:p w:rsidR="00AC12B4" w:rsidRPr="00C27636" w:rsidRDefault="00AC12B4">
            <w:pPr>
              <w:rPr>
                <w:sz w:val="18"/>
                <w:szCs w:val="18"/>
                <w:lang w:val="fr-BE"/>
              </w:rPr>
            </w:pPr>
          </w:p>
        </w:tc>
        <w:tc>
          <w:tcPr>
            <w:tcW w:w="660" w:type="dxa"/>
            <w:vAlign w:val="bottom"/>
          </w:tcPr>
          <w:p w:rsidR="00AC12B4" w:rsidRPr="00C27636" w:rsidRDefault="00AC12B4">
            <w:pPr>
              <w:rPr>
                <w:sz w:val="18"/>
                <w:szCs w:val="18"/>
                <w:lang w:val="fr-BE"/>
              </w:rPr>
            </w:pPr>
          </w:p>
        </w:tc>
        <w:tc>
          <w:tcPr>
            <w:tcW w:w="0" w:type="dxa"/>
            <w:vAlign w:val="bottom"/>
          </w:tcPr>
          <w:p w:rsidR="00AC12B4" w:rsidRPr="00C27636" w:rsidRDefault="00AC12B4">
            <w:pPr>
              <w:rPr>
                <w:sz w:val="1"/>
                <w:szCs w:val="1"/>
                <w:lang w:val="fr-BE"/>
              </w:rPr>
            </w:pPr>
          </w:p>
        </w:tc>
      </w:tr>
      <w:tr w:rsidR="00AC12B4">
        <w:trPr>
          <w:trHeight w:val="603"/>
        </w:trPr>
        <w:tc>
          <w:tcPr>
            <w:tcW w:w="720" w:type="dxa"/>
            <w:vAlign w:val="bottom"/>
          </w:tcPr>
          <w:p w:rsidR="00AC12B4" w:rsidRPr="00C27636" w:rsidRDefault="00AC12B4">
            <w:pPr>
              <w:rPr>
                <w:sz w:val="24"/>
                <w:szCs w:val="24"/>
                <w:lang w:val="fr-BE"/>
              </w:rPr>
            </w:pPr>
          </w:p>
        </w:tc>
        <w:tc>
          <w:tcPr>
            <w:tcW w:w="620" w:type="dxa"/>
            <w:vAlign w:val="bottom"/>
          </w:tcPr>
          <w:p w:rsidR="00AC12B4" w:rsidRPr="00C27636" w:rsidRDefault="00AC12B4">
            <w:pPr>
              <w:rPr>
                <w:sz w:val="24"/>
                <w:szCs w:val="24"/>
                <w:lang w:val="fr-BE"/>
              </w:rPr>
            </w:pPr>
          </w:p>
        </w:tc>
        <w:tc>
          <w:tcPr>
            <w:tcW w:w="320" w:type="dxa"/>
            <w:vAlign w:val="bottom"/>
          </w:tcPr>
          <w:p w:rsidR="00AC12B4" w:rsidRPr="00C27636" w:rsidRDefault="00AC12B4">
            <w:pPr>
              <w:rPr>
                <w:sz w:val="24"/>
                <w:szCs w:val="24"/>
                <w:lang w:val="fr-BE"/>
              </w:rPr>
            </w:pPr>
          </w:p>
        </w:tc>
        <w:tc>
          <w:tcPr>
            <w:tcW w:w="560" w:type="dxa"/>
            <w:vAlign w:val="bottom"/>
          </w:tcPr>
          <w:p w:rsidR="00AC12B4" w:rsidRPr="00C27636" w:rsidRDefault="00AC12B4">
            <w:pPr>
              <w:rPr>
                <w:sz w:val="24"/>
                <w:szCs w:val="24"/>
                <w:lang w:val="fr-BE"/>
              </w:rPr>
            </w:pPr>
          </w:p>
        </w:tc>
        <w:tc>
          <w:tcPr>
            <w:tcW w:w="580" w:type="dxa"/>
            <w:vAlign w:val="bottom"/>
          </w:tcPr>
          <w:p w:rsidR="00AC12B4" w:rsidRPr="00C27636" w:rsidRDefault="00AC12B4">
            <w:pPr>
              <w:rPr>
                <w:sz w:val="24"/>
                <w:szCs w:val="24"/>
                <w:lang w:val="fr-BE"/>
              </w:rPr>
            </w:pPr>
          </w:p>
        </w:tc>
        <w:tc>
          <w:tcPr>
            <w:tcW w:w="4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20" w:type="dxa"/>
            <w:vAlign w:val="bottom"/>
          </w:tcPr>
          <w:p w:rsidR="00AC12B4" w:rsidRPr="00C27636" w:rsidRDefault="00AC12B4">
            <w:pPr>
              <w:rPr>
                <w:sz w:val="24"/>
                <w:szCs w:val="24"/>
                <w:lang w:val="fr-BE"/>
              </w:rPr>
            </w:pPr>
          </w:p>
        </w:tc>
        <w:tc>
          <w:tcPr>
            <w:tcW w:w="1060" w:type="dxa"/>
            <w:vAlign w:val="bottom"/>
          </w:tcPr>
          <w:p w:rsidR="00AC12B4" w:rsidRDefault="00C27636">
            <w:pPr>
              <w:ind w:right="77"/>
              <w:jc w:val="right"/>
              <w:rPr>
                <w:sz w:val="20"/>
                <w:szCs w:val="20"/>
              </w:rPr>
            </w:pPr>
            <w:r>
              <w:rPr>
                <w:rFonts w:ascii="Calibri" w:eastAsia="Calibri" w:hAnsi="Calibri" w:cs="Calibri"/>
              </w:rPr>
              <w:t>151</w:t>
            </w:r>
          </w:p>
        </w:tc>
        <w:tc>
          <w:tcPr>
            <w:tcW w:w="56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76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66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779584" behindDoc="1" locked="0" layoutInCell="0" allowOverlap="1">
                <wp:simplePos x="0" y="0"/>
                <wp:positionH relativeFrom="column">
                  <wp:posOffset>6602730</wp:posOffset>
                </wp:positionH>
                <wp:positionV relativeFrom="paragraph">
                  <wp:posOffset>-10131425</wp:posOffset>
                </wp:positionV>
                <wp:extent cx="734060" cy="10908030"/>
                <wp:effectExtent l="0" t="0" r="0" b="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8030"/>
                        </a:xfrm>
                        <a:prstGeom prst="rect">
                          <a:avLst/>
                        </a:prstGeom>
                        <a:solidFill>
                          <a:srgbClr val="E05429"/>
                        </a:solidFill>
                      </wps:spPr>
                      <wps:bodyPr/>
                    </wps:wsp>
                  </a:graphicData>
                </a:graphic>
              </wp:anchor>
            </w:drawing>
          </mc:Choice>
          <mc:Fallback>
            <w:pict>
              <v:rect id="Shape 453" o:spid="_x0000_s1478" style="position:absolute;margin-left:519.9pt;margin-top:-797.7499pt;width:57.8pt;height:85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5429" stroked="f"/>
            </w:pict>
          </mc:Fallback>
        </mc:AlternateContent>
      </w:r>
      <w:r>
        <w:rPr>
          <w:noProof/>
          <w:sz w:val="20"/>
          <w:szCs w:val="20"/>
        </w:rPr>
        <mc:AlternateContent>
          <mc:Choice Requires="wps">
            <w:drawing>
              <wp:anchor distT="0" distB="0" distL="114300" distR="114300" simplePos="0" relativeHeight="251780608" behindDoc="1" locked="0" layoutInCell="0" allowOverlap="1">
                <wp:simplePos x="0" y="0"/>
                <wp:positionH relativeFrom="column">
                  <wp:posOffset>5266690</wp:posOffset>
                </wp:positionH>
                <wp:positionV relativeFrom="paragraph">
                  <wp:posOffset>-6771005</wp:posOffset>
                </wp:positionV>
                <wp:extent cx="1616075" cy="2374900"/>
                <wp:effectExtent l="0" t="0" r="0" b="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6075" cy="2374900"/>
                        </a:xfrm>
                        <a:prstGeom prst="rect">
                          <a:avLst/>
                        </a:prstGeom>
                        <a:solidFill>
                          <a:srgbClr val="FFFFFF"/>
                        </a:solidFill>
                      </wps:spPr>
                      <wps:bodyPr/>
                    </wps:wsp>
                  </a:graphicData>
                </a:graphic>
              </wp:anchor>
            </w:drawing>
          </mc:Choice>
          <mc:Fallback>
            <w:pict>
              <v:rect id="Shape 454" o:spid="_x0000_s1479" style="position:absolute;margin-left:414.7pt;margin-top:-533.1499pt;width:127.25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781632" behindDoc="1" locked="0" layoutInCell="0" allowOverlap="1">
                <wp:simplePos x="0" y="0"/>
                <wp:positionH relativeFrom="column">
                  <wp:posOffset>5253990</wp:posOffset>
                </wp:positionH>
                <wp:positionV relativeFrom="paragraph">
                  <wp:posOffset>-4396105</wp:posOffset>
                </wp:positionV>
                <wp:extent cx="1641475" cy="0"/>
                <wp:effectExtent l="0" t="0" r="0" b="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7pt,-346.1499pt" to="542.95pt,-346.1499pt" o:allowincell="f" strokecolor="#E05429" strokeweight="2pt"/>
            </w:pict>
          </mc:Fallback>
        </mc:AlternateContent>
      </w:r>
      <w:r>
        <w:rPr>
          <w:noProof/>
          <w:sz w:val="20"/>
          <w:szCs w:val="20"/>
        </w:rPr>
        <mc:AlternateContent>
          <mc:Choice Requires="wps">
            <w:drawing>
              <wp:anchor distT="0" distB="0" distL="114300" distR="114300" simplePos="0" relativeHeight="251782656" behindDoc="1" locked="0" layoutInCell="0" allowOverlap="1">
                <wp:simplePos x="0" y="0"/>
                <wp:positionH relativeFrom="column">
                  <wp:posOffset>6882765</wp:posOffset>
                </wp:positionH>
                <wp:positionV relativeFrom="paragraph">
                  <wp:posOffset>-6783705</wp:posOffset>
                </wp:positionV>
                <wp:extent cx="0" cy="2400300"/>
                <wp:effectExtent l="0" t="0" r="0" b="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00300"/>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1.95pt,-534.1499pt" to="541.95pt,-345.1499pt" o:allowincell="f" strokecolor="#E05429" strokeweight="2pt"/>
            </w:pict>
          </mc:Fallback>
        </mc:AlternateContent>
      </w:r>
      <w:r>
        <w:rPr>
          <w:noProof/>
          <w:sz w:val="20"/>
          <w:szCs w:val="20"/>
        </w:rPr>
        <mc:AlternateContent>
          <mc:Choice Requires="wps">
            <w:drawing>
              <wp:anchor distT="0" distB="0" distL="114300" distR="114300" simplePos="0" relativeHeight="251783680" behindDoc="1" locked="0" layoutInCell="0" allowOverlap="1">
                <wp:simplePos x="0" y="0"/>
                <wp:positionH relativeFrom="column">
                  <wp:posOffset>5253990</wp:posOffset>
                </wp:positionH>
                <wp:positionV relativeFrom="paragraph">
                  <wp:posOffset>-6771005</wp:posOffset>
                </wp:positionV>
                <wp:extent cx="1641475" cy="0"/>
                <wp:effectExtent l="0" t="0" r="0" b="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7pt,-533.1499pt" to="542.95pt,-533.1499pt" o:allowincell="f" strokecolor="#E05429" strokeweight="2pt"/>
            </w:pict>
          </mc:Fallback>
        </mc:AlternateContent>
      </w:r>
      <w:r>
        <w:rPr>
          <w:noProof/>
          <w:sz w:val="20"/>
          <w:szCs w:val="20"/>
        </w:rPr>
        <w:drawing>
          <wp:anchor distT="0" distB="0" distL="114300" distR="114300" simplePos="0" relativeHeight="251784704" behindDoc="1" locked="0" layoutInCell="0" allowOverlap="1">
            <wp:simplePos x="0" y="0"/>
            <wp:positionH relativeFrom="column">
              <wp:posOffset>777875</wp:posOffset>
            </wp:positionH>
            <wp:positionV relativeFrom="paragraph">
              <wp:posOffset>-2583180</wp:posOffset>
            </wp:positionV>
            <wp:extent cx="3549650" cy="2331720"/>
            <wp:effectExtent l="0" t="0" r="0" b="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257">
                      <a:extLst/>
                    </a:blip>
                    <a:srcRect/>
                    <a:stretch>
                      <a:fillRect/>
                    </a:stretch>
                  </pic:blipFill>
                  <pic:spPr bwMode="auto">
                    <a:xfrm>
                      <a:off x="0" y="0"/>
                      <a:ext cx="3549650" cy="2331720"/>
                    </a:xfrm>
                    <a:prstGeom prst="rect">
                      <a:avLst/>
                    </a:prstGeom>
                    <a:noFill/>
                  </pic:spPr>
                </pic:pic>
              </a:graphicData>
            </a:graphic>
          </wp:anchor>
        </w:drawing>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4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aux loisirs et au repos</w:t>
            </w:r>
          </w:p>
        </w:tc>
      </w:tr>
    </w:tbl>
    <w:p w:rsidR="00AC12B4" w:rsidRPr="00C27636" w:rsidRDefault="00AC12B4">
      <w:pPr>
        <w:rPr>
          <w:lang w:val="fr-BE"/>
        </w:rPr>
        <w:sectPr w:rsidR="00AC12B4" w:rsidRPr="00C27636">
          <w:pgSz w:w="12080" w:h="17179"/>
          <w:pgMar w:top="1440" w:right="491" w:bottom="659" w:left="520" w:header="0" w:footer="0" w:gutter="0"/>
          <w:cols w:num="2" w:space="720" w:equalWidth="0">
            <w:col w:w="10680" w:space="56"/>
            <w:col w:w="330"/>
          </w:cols>
        </w:sectPr>
      </w:pPr>
    </w:p>
    <w:bookmarkStart w:id="151" w:name="page152"/>
    <w:bookmarkEnd w:id="151"/>
    <w:p w:rsidR="00AC12B4" w:rsidRPr="00C27636" w:rsidRDefault="00C27636">
      <w:pPr>
        <w:spacing w:line="170" w:lineRule="exact"/>
        <w:rPr>
          <w:sz w:val="20"/>
          <w:szCs w:val="20"/>
          <w:lang w:val="fr-BE"/>
        </w:rPr>
      </w:pPr>
      <w:r>
        <w:rPr>
          <w:noProof/>
          <w:sz w:val="20"/>
          <w:szCs w:val="20"/>
        </w:rPr>
        <w:lastRenderedPageBreak/>
        <mc:AlternateContent>
          <mc:Choice Requires="wps">
            <w:drawing>
              <wp:anchor distT="0" distB="0" distL="114300" distR="114300" simplePos="0" relativeHeight="251785728" behindDoc="1" locked="0" layoutInCell="0" allowOverlap="1">
                <wp:simplePos x="0" y="0"/>
                <wp:positionH relativeFrom="page">
                  <wp:posOffset>0</wp:posOffset>
                </wp:positionH>
                <wp:positionV relativeFrom="page">
                  <wp:posOffset>0</wp:posOffset>
                </wp:positionV>
                <wp:extent cx="719455" cy="10908665"/>
                <wp:effectExtent l="0" t="0" r="0" b="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9455" cy="10908665"/>
                        </a:xfrm>
                        <a:prstGeom prst="rect">
                          <a:avLst/>
                        </a:prstGeom>
                        <a:solidFill>
                          <a:srgbClr val="E05429"/>
                        </a:solidFill>
                      </wps:spPr>
                      <wps:bodyPr/>
                    </wps:wsp>
                  </a:graphicData>
                </a:graphic>
              </wp:anchor>
            </w:drawing>
          </mc:Choice>
          <mc:Fallback>
            <w:pict>
              <v:rect id="Shape 459" o:spid="_x0000_s1484" style="position:absolute;margin-left:0pt;margin-top:0pt;width:56.6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05429" stroked="f">
                <w10:wrap anchorx="page" anchory="page"/>
              </v:rect>
            </w:pict>
          </mc:Fallback>
        </mc:AlternateContent>
      </w:r>
    </w:p>
    <w:p w:rsidR="00AC12B4" w:rsidRDefault="00C27636">
      <w:pPr>
        <w:numPr>
          <w:ilvl w:val="0"/>
          <w:numId w:val="279"/>
        </w:numPr>
        <w:tabs>
          <w:tab w:val="left" w:pos="1660"/>
        </w:tabs>
        <w:ind w:left="1660" w:hanging="360"/>
        <w:rPr>
          <w:rFonts w:ascii="Wingdings" w:eastAsia="Wingdings" w:hAnsi="Wingdings" w:cs="Wingdings"/>
          <w:color w:val="E05429"/>
        </w:rPr>
      </w:pPr>
      <w:r>
        <w:rPr>
          <w:rFonts w:ascii="Cambria" w:eastAsia="Cambria" w:hAnsi="Cambria" w:cs="Cambria"/>
          <w:i/>
          <w:iCs/>
          <w:color w:val="E05429"/>
        </w:rPr>
        <w:t>Limite de l’indicateur</w:t>
      </w:r>
    </w:p>
    <w:p w:rsidR="00AC12B4" w:rsidRDefault="00AC12B4">
      <w:pPr>
        <w:spacing w:line="199" w:lineRule="exact"/>
        <w:rPr>
          <w:sz w:val="20"/>
          <w:szCs w:val="20"/>
        </w:rPr>
      </w:pPr>
    </w:p>
    <w:p w:rsidR="00AC12B4" w:rsidRPr="00C27636" w:rsidRDefault="00C27636">
      <w:pPr>
        <w:spacing w:line="225" w:lineRule="auto"/>
        <w:ind w:left="940" w:right="540"/>
        <w:jc w:val="both"/>
        <w:rPr>
          <w:sz w:val="20"/>
          <w:szCs w:val="20"/>
          <w:lang w:val="fr-BE"/>
        </w:rPr>
      </w:pPr>
      <w:r w:rsidRPr="00C27636">
        <w:rPr>
          <w:rFonts w:ascii="Calibri" w:eastAsia="Calibri" w:hAnsi="Calibri" w:cs="Calibri"/>
          <w:lang w:val="fr-BE"/>
        </w:rPr>
        <w:t xml:space="preserve">Cet indicateur ne reprend en rien la notion de qualité de ces espaces de loisirs. Il est cependant très difficile d’obtenir </w:t>
      </w:r>
      <w:r w:rsidRPr="00C27636">
        <w:rPr>
          <w:rFonts w:ascii="Calibri" w:eastAsia="Calibri" w:hAnsi="Calibri" w:cs="Calibri"/>
          <w:lang w:val="fr-BE"/>
        </w:rPr>
        <w:t>une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86752" behindDoc="1" locked="0" layoutInCell="0" allowOverlap="1">
                <wp:simplePos x="0" y="0"/>
                <wp:positionH relativeFrom="column">
                  <wp:posOffset>22225</wp:posOffset>
                </wp:positionH>
                <wp:positionV relativeFrom="paragraph">
                  <wp:posOffset>163195</wp:posOffset>
                </wp:positionV>
                <wp:extent cx="3491230" cy="2837815"/>
                <wp:effectExtent l="0" t="0" r="0" b="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1230" cy="2837815"/>
                        </a:xfrm>
                        <a:prstGeom prst="rect">
                          <a:avLst/>
                        </a:prstGeom>
                        <a:solidFill>
                          <a:srgbClr val="FFFFFF"/>
                        </a:solidFill>
                      </wps:spPr>
                      <wps:bodyPr/>
                    </wps:wsp>
                  </a:graphicData>
                </a:graphic>
              </wp:anchor>
            </w:drawing>
          </mc:Choice>
          <mc:Fallback>
            <w:pict>
              <v:rect id="Shape 460" o:spid="_x0000_s1485" style="position:absolute;margin-left:1.75pt;margin-top:12.85pt;width:274.9pt;height:22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787776" behindDoc="1" locked="0" layoutInCell="0" allowOverlap="1">
                <wp:simplePos x="0" y="0"/>
                <wp:positionH relativeFrom="column">
                  <wp:posOffset>9525</wp:posOffset>
                </wp:positionH>
                <wp:positionV relativeFrom="paragraph">
                  <wp:posOffset>163195</wp:posOffset>
                </wp:positionV>
                <wp:extent cx="3516630" cy="0"/>
                <wp:effectExtent l="0" t="0" r="0" b="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16630" cy="4763"/>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2.85pt" to="277.65pt,12.85pt" o:allowincell="f" strokecolor="#E05429" strokeweight="2pt"/>
            </w:pict>
          </mc:Fallback>
        </mc:AlternateContent>
      </w:r>
      <w:r>
        <w:rPr>
          <w:noProof/>
          <w:sz w:val="20"/>
          <w:szCs w:val="20"/>
        </w:rPr>
        <mc:AlternateContent>
          <mc:Choice Requires="wps">
            <w:drawing>
              <wp:anchor distT="0" distB="0" distL="114300" distR="114300" simplePos="0" relativeHeight="251788800" behindDoc="1" locked="0" layoutInCell="0" allowOverlap="1">
                <wp:simplePos x="0" y="0"/>
                <wp:positionH relativeFrom="column">
                  <wp:posOffset>22225</wp:posOffset>
                </wp:positionH>
                <wp:positionV relativeFrom="paragraph">
                  <wp:posOffset>150495</wp:posOffset>
                </wp:positionV>
                <wp:extent cx="0" cy="2863215"/>
                <wp:effectExtent l="0" t="0" r="0" b="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63215"/>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1.85pt" to="1.75pt,237.3pt" o:allowincell="f" strokecolor="#E05429" strokeweight="2pt"/>
            </w:pict>
          </mc:Fallback>
        </mc:AlternateContent>
      </w:r>
      <w:r>
        <w:rPr>
          <w:noProof/>
          <w:sz w:val="20"/>
          <w:szCs w:val="20"/>
        </w:rPr>
        <mc:AlternateContent>
          <mc:Choice Requires="wps">
            <w:drawing>
              <wp:anchor distT="0" distB="0" distL="114300" distR="114300" simplePos="0" relativeHeight="251789824" behindDoc="1" locked="0" layoutInCell="0" allowOverlap="1">
                <wp:simplePos x="0" y="0"/>
                <wp:positionH relativeFrom="column">
                  <wp:posOffset>3513455</wp:posOffset>
                </wp:positionH>
                <wp:positionV relativeFrom="paragraph">
                  <wp:posOffset>150495</wp:posOffset>
                </wp:positionV>
                <wp:extent cx="0" cy="2863215"/>
                <wp:effectExtent l="0" t="0" r="0" b="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63215"/>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65pt,11.85pt" to="276.65pt,237.3pt" o:allowincell="f" strokecolor="#E05429" strokeweight="2pt"/>
            </w:pict>
          </mc:Fallback>
        </mc:AlternateContent>
      </w:r>
      <w:r>
        <w:rPr>
          <w:noProof/>
          <w:sz w:val="20"/>
          <w:szCs w:val="20"/>
        </w:rPr>
        <mc:AlternateContent>
          <mc:Choice Requires="wps">
            <w:drawing>
              <wp:anchor distT="0" distB="0" distL="114300" distR="114300" simplePos="0" relativeHeight="251790848" behindDoc="1" locked="0" layoutInCell="0" allowOverlap="1">
                <wp:simplePos x="0" y="0"/>
                <wp:positionH relativeFrom="column">
                  <wp:posOffset>9525</wp:posOffset>
                </wp:positionH>
                <wp:positionV relativeFrom="paragraph">
                  <wp:posOffset>3001010</wp:posOffset>
                </wp:positionV>
                <wp:extent cx="3516630" cy="0"/>
                <wp:effectExtent l="0" t="0" r="0" b="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16630" cy="4763"/>
                        </a:xfrm>
                        <a:prstGeom prst="line">
                          <a:avLst/>
                        </a:prstGeom>
                        <a:solidFill>
                          <a:srgbClr val="FFFFFF"/>
                        </a:solidFill>
                        <a:ln w="25400">
                          <a:solidFill>
                            <a:srgbClr val="E05429"/>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36.3pt" to="277.65pt,236.3pt" o:allowincell="f" strokecolor="#E05429" strokeweight="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9" w:lineRule="exact"/>
        <w:rPr>
          <w:sz w:val="20"/>
          <w:szCs w:val="20"/>
          <w:lang w:val="fr-BE"/>
        </w:rPr>
      </w:pPr>
    </w:p>
    <w:p w:rsidR="00AC12B4" w:rsidRPr="00C27636" w:rsidRDefault="00C27636">
      <w:pPr>
        <w:ind w:left="540"/>
        <w:rPr>
          <w:sz w:val="20"/>
          <w:szCs w:val="20"/>
          <w:lang w:val="fr-BE"/>
        </w:rPr>
      </w:pPr>
      <w:r w:rsidRPr="00C27636">
        <w:rPr>
          <w:rFonts w:ascii="Calibri" w:eastAsia="Calibri" w:hAnsi="Calibri" w:cs="Calibri"/>
          <w:b/>
          <w:bCs/>
          <w:color w:val="7F2D13"/>
          <w:sz w:val="20"/>
          <w:szCs w:val="20"/>
          <w:lang w:val="fr-BE"/>
        </w:rPr>
        <w:t>Question originale dans l’enquête HBSC :</w:t>
      </w:r>
    </w:p>
    <w:p w:rsidR="00AC12B4" w:rsidRPr="00C27636" w:rsidRDefault="00AC12B4">
      <w:pPr>
        <w:spacing w:line="278" w:lineRule="exact"/>
        <w:rPr>
          <w:sz w:val="20"/>
          <w:szCs w:val="20"/>
          <w:lang w:val="fr-BE"/>
        </w:rPr>
      </w:pPr>
    </w:p>
    <w:p w:rsidR="00AC12B4" w:rsidRPr="00C27636" w:rsidRDefault="00C27636">
      <w:pPr>
        <w:spacing w:line="225" w:lineRule="auto"/>
        <w:ind w:left="200"/>
        <w:jc w:val="both"/>
        <w:rPr>
          <w:sz w:val="20"/>
          <w:szCs w:val="20"/>
          <w:lang w:val="fr-BE"/>
        </w:rPr>
      </w:pPr>
      <w:r w:rsidRPr="00C27636">
        <w:rPr>
          <w:rFonts w:ascii="Calibri" w:eastAsia="Calibri" w:hAnsi="Calibri" w:cs="Calibri"/>
          <w:i/>
          <w:iCs/>
          <w:color w:val="7F2D13"/>
          <w:lang w:val="fr-BE"/>
        </w:rPr>
        <w:t>"Voici quelques propositions concernant ton environnement. Indique dans quelle mesure tu es d’accord ou pas avec ces propositions.</w:t>
      </w:r>
    </w:p>
    <w:p w:rsidR="00AC12B4" w:rsidRPr="00C27636" w:rsidRDefault="00AC12B4">
      <w:pPr>
        <w:spacing w:line="166" w:lineRule="exact"/>
        <w:rPr>
          <w:sz w:val="20"/>
          <w:szCs w:val="20"/>
          <w:lang w:val="fr-BE"/>
        </w:rPr>
      </w:pPr>
    </w:p>
    <w:p w:rsidR="00AC12B4" w:rsidRPr="00C27636" w:rsidRDefault="00C27636">
      <w:pPr>
        <w:numPr>
          <w:ilvl w:val="0"/>
          <w:numId w:val="280"/>
        </w:numPr>
        <w:tabs>
          <w:tab w:val="left" w:pos="920"/>
        </w:tabs>
        <w:spacing w:line="180" w:lineRule="auto"/>
        <w:ind w:left="920" w:hanging="362"/>
        <w:rPr>
          <w:rFonts w:ascii="Wingdings" w:eastAsia="Wingdings" w:hAnsi="Wingdings" w:cs="Wingdings"/>
          <w:color w:val="7F2D13"/>
          <w:sz w:val="33"/>
          <w:szCs w:val="33"/>
          <w:vertAlign w:val="superscript"/>
          <w:lang w:val="fr-BE"/>
        </w:rPr>
      </w:pPr>
      <w:r w:rsidRPr="00C27636">
        <w:rPr>
          <w:rFonts w:ascii="Calibri" w:eastAsia="Calibri" w:hAnsi="Calibri" w:cs="Calibri"/>
          <w:i/>
          <w:iCs/>
          <w:color w:val="7F2D13"/>
          <w:sz w:val="17"/>
          <w:szCs w:val="17"/>
          <w:lang w:val="fr-BE"/>
        </w:rPr>
        <w:t xml:space="preserve">dans mon quartier, on peut se promener ou jouer tout seul en toute </w:t>
      </w:r>
      <w:r w:rsidRPr="00C27636">
        <w:rPr>
          <w:rFonts w:ascii="Calibri" w:eastAsia="Calibri" w:hAnsi="Calibri" w:cs="Calibri"/>
          <w:i/>
          <w:iCs/>
          <w:color w:val="7F2D13"/>
          <w:sz w:val="17"/>
          <w:szCs w:val="17"/>
          <w:lang w:val="fr-BE"/>
        </w:rPr>
        <w:t>sécurité durant la journée</w:t>
      </w:r>
    </w:p>
    <w:p w:rsidR="00AC12B4" w:rsidRPr="00C27636" w:rsidRDefault="00AC12B4">
      <w:pPr>
        <w:spacing w:line="278" w:lineRule="exact"/>
        <w:rPr>
          <w:sz w:val="20"/>
          <w:szCs w:val="20"/>
          <w:lang w:val="fr-BE"/>
        </w:rPr>
      </w:pPr>
    </w:p>
    <w:p w:rsidR="00AC12B4" w:rsidRPr="00C27636" w:rsidRDefault="00C27636">
      <w:pPr>
        <w:spacing w:line="217" w:lineRule="auto"/>
        <w:ind w:left="200"/>
        <w:rPr>
          <w:sz w:val="20"/>
          <w:szCs w:val="20"/>
          <w:lang w:val="fr-BE"/>
        </w:rPr>
      </w:pPr>
      <w:r w:rsidRPr="00C27636">
        <w:rPr>
          <w:rFonts w:ascii="Calibri" w:eastAsia="Calibri" w:hAnsi="Calibri" w:cs="Calibri"/>
          <w:b/>
          <w:bCs/>
          <w:color w:val="7F2D13"/>
          <w:sz w:val="20"/>
          <w:szCs w:val="20"/>
          <w:lang w:val="fr-BE"/>
        </w:rPr>
        <w:t>Question proposée pour les enquêtes suivantes (2018), en vue d’élargir le groupe cible à toutes les tranches d’âge :</w:t>
      </w:r>
    </w:p>
    <w:p w:rsidR="00AC12B4" w:rsidRPr="00C27636" w:rsidRDefault="00AC12B4">
      <w:pPr>
        <w:spacing w:line="163" w:lineRule="exact"/>
        <w:rPr>
          <w:sz w:val="20"/>
          <w:szCs w:val="20"/>
          <w:lang w:val="fr-BE"/>
        </w:rPr>
      </w:pPr>
    </w:p>
    <w:p w:rsidR="00AC12B4" w:rsidRPr="00C27636" w:rsidRDefault="00C27636">
      <w:pPr>
        <w:numPr>
          <w:ilvl w:val="0"/>
          <w:numId w:val="281"/>
        </w:numPr>
        <w:tabs>
          <w:tab w:val="left" w:pos="373"/>
        </w:tabs>
        <w:spacing w:line="215" w:lineRule="auto"/>
        <w:ind w:left="200" w:firstLine="39"/>
        <w:rPr>
          <w:rFonts w:ascii="Calibri" w:eastAsia="Calibri" w:hAnsi="Calibri" w:cs="Calibri"/>
          <w:color w:val="7F2D13"/>
          <w:sz w:val="18"/>
          <w:szCs w:val="18"/>
          <w:lang w:val="fr-BE"/>
        </w:rPr>
      </w:pPr>
      <w:r w:rsidRPr="00C27636">
        <w:rPr>
          <w:rFonts w:ascii="Calibri" w:eastAsia="Calibri" w:hAnsi="Calibri" w:cs="Calibri"/>
          <w:color w:val="7F2D13"/>
          <w:sz w:val="18"/>
          <w:szCs w:val="18"/>
          <w:lang w:val="fr-BE"/>
        </w:rPr>
        <w:t xml:space="preserve">Il y a un bon endroit pour passer mon temps libre » (question déjà posée en enseignement primaire et </w:t>
      </w:r>
      <w:r w:rsidRPr="00C27636">
        <w:rPr>
          <w:rFonts w:ascii="Calibri" w:eastAsia="Calibri" w:hAnsi="Calibri" w:cs="Calibri"/>
          <w:color w:val="7F2D13"/>
          <w:sz w:val="18"/>
          <w:szCs w:val="18"/>
          <w:lang w:val="fr-BE"/>
        </w:rPr>
        <w:t>secondaire flamand)</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5" w:lineRule="exact"/>
        <w:rPr>
          <w:sz w:val="20"/>
          <w:szCs w:val="20"/>
          <w:lang w:val="fr-BE"/>
        </w:rPr>
      </w:pPr>
    </w:p>
    <w:p w:rsidR="00AC12B4" w:rsidRPr="00C27636" w:rsidRDefault="00C27636">
      <w:pPr>
        <w:spacing w:line="225" w:lineRule="auto"/>
        <w:ind w:left="940" w:right="540"/>
        <w:jc w:val="both"/>
        <w:rPr>
          <w:sz w:val="20"/>
          <w:szCs w:val="20"/>
          <w:lang w:val="fr-BE"/>
        </w:rPr>
      </w:pPr>
      <w:r w:rsidRPr="00C27636">
        <w:rPr>
          <w:rFonts w:ascii="Calibri" w:eastAsia="Calibri" w:hAnsi="Calibri" w:cs="Calibri"/>
          <w:lang w:val="fr-BE"/>
        </w:rPr>
        <w:t>mesure objective de la qualité vu la diversité de l’offre (privée, publique, encadrée ou non).</w:t>
      </w:r>
    </w:p>
    <w:p w:rsidR="00AC12B4" w:rsidRPr="00C27636" w:rsidRDefault="00AC12B4">
      <w:pPr>
        <w:spacing w:line="171" w:lineRule="exact"/>
        <w:rPr>
          <w:sz w:val="20"/>
          <w:szCs w:val="20"/>
          <w:lang w:val="fr-BE"/>
        </w:rPr>
      </w:pPr>
    </w:p>
    <w:p w:rsidR="00AC12B4" w:rsidRPr="00C27636" w:rsidRDefault="00C27636">
      <w:pPr>
        <w:spacing w:line="218" w:lineRule="auto"/>
        <w:ind w:left="940" w:right="540"/>
        <w:jc w:val="both"/>
        <w:rPr>
          <w:sz w:val="20"/>
          <w:szCs w:val="20"/>
          <w:lang w:val="fr-BE"/>
        </w:rPr>
      </w:pPr>
      <w:r w:rsidRPr="00C27636">
        <w:rPr>
          <w:rFonts w:ascii="Calibri" w:eastAsia="Calibri" w:hAnsi="Calibri" w:cs="Calibri"/>
          <w:lang w:val="fr-BE"/>
        </w:rPr>
        <w:t>Les données présentées n’existent que pour HBSC Flandre.</w:t>
      </w:r>
    </w:p>
    <w:p w:rsidR="00AC12B4" w:rsidRPr="00C27636" w:rsidRDefault="00AC12B4">
      <w:pPr>
        <w:spacing w:line="170" w:lineRule="exact"/>
        <w:rPr>
          <w:sz w:val="20"/>
          <w:szCs w:val="20"/>
          <w:lang w:val="fr-BE"/>
        </w:rPr>
      </w:pPr>
    </w:p>
    <w:p w:rsidR="00AC12B4" w:rsidRPr="00C27636" w:rsidRDefault="00C27636">
      <w:pPr>
        <w:spacing w:line="230" w:lineRule="auto"/>
        <w:ind w:left="940" w:right="540"/>
        <w:jc w:val="both"/>
        <w:rPr>
          <w:sz w:val="20"/>
          <w:szCs w:val="20"/>
          <w:lang w:val="fr-BE"/>
        </w:rPr>
      </w:pPr>
      <w:r w:rsidRPr="00C27636">
        <w:rPr>
          <w:rFonts w:ascii="Calibri" w:eastAsia="Calibri" w:hAnsi="Calibri" w:cs="Calibri"/>
          <w:lang w:val="fr-BE"/>
        </w:rPr>
        <w:t xml:space="preserve">L’enquête HBSC n’est actuellement pas menée au niveau de la Communauté </w:t>
      </w:r>
      <w:r w:rsidRPr="00C27636">
        <w:rPr>
          <w:rFonts w:ascii="Calibri" w:eastAsia="Calibri" w:hAnsi="Calibri" w:cs="Calibri"/>
          <w:lang w:val="fr-BE"/>
        </w:rPr>
        <w:t>germanophone. De plus, les élèves de l’enseignement spécialisé ne sont pas interrogés.</w:t>
      </w:r>
    </w:p>
    <w:p w:rsidR="00AC12B4" w:rsidRPr="00C27636" w:rsidRDefault="00AC12B4">
      <w:pPr>
        <w:spacing w:line="175" w:lineRule="exact"/>
        <w:rPr>
          <w:sz w:val="20"/>
          <w:szCs w:val="20"/>
          <w:lang w:val="fr-BE"/>
        </w:rPr>
      </w:pPr>
    </w:p>
    <w:p w:rsidR="00AC12B4" w:rsidRPr="00C27636" w:rsidRDefault="00C27636">
      <w:pPr>
        <w:spacing w:line="225" w:lineRule="auto"/>
        <w:ind w:left="940" w:right="540"/>
        <w:jc w:val="both"/>
        <w:rPr>
          <w:sz w:val="20"/>
          <w:szCs w:val="20"/>
          <w:lang w:val="fr-BE"/>
        </w:rPr>
      </w:pPr>
      <w:r w:rsidRPr="00C27636">
        <w:rPr>
          <w:rFonts w:ascii="Calibri" w:eastAsia="Calibri" w:hAnsi="Calibri" w:cs="Calibri"/>
          <w:lang w:val="fr-BE"/>
        </w:rPr>
        <w:t>La question ayant été intégrée en 2014 à l’enquête HBSC, il est encore impossible d’analyser l’évolution dans le temps.</w:t>
      </w:r>
    </w:p>
    <w:p w:rsidR="00AC12B4" w:rsidRPr="00C27636" w:rsidRDefault="00AC12B4">
      <w:pPr>
        <w:spacing w:line="129" w:lineRule="exact"/>
        <w:rPr>
          <w:sz w:val="20"/>
          <w:szCs w:val="20"/>
          <w:lang w:val="fr-BE"/>
        </w:rPr>
      </w:pPr>
    </w:p>
    <w:p w:rsidR="00AC12B4" w:rsidRDefault="00C27636">
      <w:pPr>
        <w:numPr>
          <w:ilvl w:val="0"/>
          <w:numId w:val="282"/>
        </w:numPr>
        <w:tabs>
          <w:tab w:val="left" w:pos="1660"/>
        </w:tabs>
        <w:ind w:left="1660" w:hanging="360"/>
        <w:rPr>
          <w:rFonts w:ascii="Wingdings" w:eastAsia="Wingdings" w:hAnsi="Wingdings" w:cs="Wingdings"/>
          <w:color w:val="E05429"/>
        </w:rPr>
      </w:pPr>
      <w:r>
        <w:rPr>
          <w:rFonts w:ascii="Cambria" w:eastAsia="Cambria" w:hAnsi="Cambria" w:cs="Cambria"/>
          <w:i/>
          <w:iCs/>
          <w:color w:val="E05429"/>
        </w:rPr>
        <w:t>Recommandations</w:t>
      </w:r>
    </w:p>
    <w:p w:rsidR="00AC12B4" w:rsidRDefault="00AC12B4">
      <w:pPr>
        <w:spacing w:line="4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580"/>
        <w:gridCol w:w="700"/>
        <w:gridCol w:w="1120"/>
        <w:gridCol w:w="1540"/>
        <w:gridCol w:w="180"/>
        <w:gridCol w:w="320"/>
        <w:gridCol w:w="380"/>
        <w:gridCol w:w="20"/>
      </w:tblGrid>
      <w:tr w:rsidR="00AC12B4" w:rsidRPr="00C27636">
        <w:trPr>
          <w:trHeight w:val="372"/>
        </w:trPr>
        <w:tc>
          <w:tcPr>
            <w:tcW w:w="580" w:type="dxa"/>
            <w:vMerge w:val="restart"/>
            <w:textDirection w:val="btLr"/>
            <w:vAlign w:val="bottom"/>
          </w:tcPr>
          <w:p w:rsidR="00AC12B4" w:rsidRDefault="00C27636">
            <w:pPr>
              <w:rPr>
                <w:sz w:val="20"/>
                <w:szCs w:val="20"/>
              </w:rPr>
            </w:pPr>
            <w:r>
              <w:rPr>
                <w:rFonts w:ascii="Calibri" w:eastAsia="Calibri" w:hAnsi="Calibri" w:cs="Calibri"/>
                <w:b/>
                <w:bCs/>
                <w:i/>
                <w:iCs/>
                <w:color w:val="F2F2F2"/>
                <w:w w:val="99"/>
                <w:sz w:val="28"/>
                <w:szCs w:val="28"/>
              </w:rPr>
              <w:t>repos</w:t>
            </w:r>
          </w:p>
        </w:tc>
        <w:tc>
          <w:tcPr>
            <w:tcW w:w="4240" w:type="dxa"/>
            <w:gridSpan w:val="6"/>
            <w:vAlign w:val="bottom"/>
          </w:tcPr>
          <w:p w:rsidR="00AC12B4" w:rsidRPr="00C27636" w:rsidRDefault="00C27636">
            <w:pPr>
              <w:ind w:left="360"/>
              <w:rPr>
                <w:sz w:val="20"/>
                <w:szCs w:val="20"/>
                <w:lang w:val="fr-BE"/>
              </w:rPr>
            </w:pPr>
            <w:r w:rsidRPr="00C27636">
              <w:rPr>
                <w:rFonts w:ascii="Calibri" w:eastAsia="Calibri" w:hAnsi="Calibri" w:cs="Calibri"/>
                <w:lang w:val="fr-BE"/>
              </w:rPr>
              <w:t>Les enquêtes HBSC doiven</w:t>
            </w:r>
            <w:r w:rsidRPr="00C27636">
              <w:rPr>
                <w:rFonts w:ascii="Calibri" w:eastAsia="Calibri" w:hAnsi="Calibri" w:cs="Calibri"/>
                <w:lang w:val="fr-BE"/>
              </w:rPr>
              <w:t>t être élargies</w:t>
            </w:r>
          </w:p>
        </w:tc>
        <w:tc>
          <w:tcPr>
            <w:tcW w:w="0" w:type="dxa"/>
            <w:vAlign w:val="bottom"/>
          </w:tcPr>
          <w:p w:rsidR="00AC12B4" w:rsidRPr="00C27636" w:rsidRDefault="00AC12B4">
            <w:pPr>
              <w:rPr>
                <w:sz w:val="1"/>
                <w:szCs w:val="1"/>
                <w:lang w:val="fr-BE"/>
              </w:rPr>
            </w:pPr>
          </w:p>
        </w:tc>
      </w:tr>
      <w:tr w:rsidR="00AC12B4" w:rsidRPr="00C27636">
        <w:trPr>
          <w:trHeight w:val="271"/>
        </w:trPr>
        <w:tc>
          <w:tcPr>
            <w:tcW w:w="580" w:type="dxa"/>
            <w:vMerge/>
            <w:vAlign w:val="bottom"/>
          </w:tcPr>
          <w:p w:rsidR="00AC12B4" w:rsidRPr="00C27636" w:rsidRDefault="00AC12B4">
            <w:pPr>
              <w:rPr>
                <w:sz w:val="23"/>
                <w:szCs w:val="23"/>
                <w:lang w:val="fr-BE"/>
              </w:rPr>
            </w:pPr>
          </w:p>
        </w:tc>
        <w:tc>
          <w:tcPr>
            <w:tcW w:w="4240" w:type="dxa"/>
            <w:gridSpan w:val="6"/>
            <w:vAlign w:val="bottom"/>
          </w:tcPr>
          <w:p w:rsidR="00AC12B4" w:rsidRPr="00C27636" w:rsidRDefault="00C27636">
            <w:pPr>
              <w:ind w:left="360"/>
              <w:rPr>
                <w:sz w:val="20"/>
                <w:szCs w:val="20"/>
                <w:lang w:val="fr-BE"/>
              </w:rPr>
            </w:pPr>
            <w:r w:rsidRPr="00C27636">
              <w:rPr>
                <w:rFonts w:ascii="Calibri" w:eastAsia="Calibri" w:hAnsi="Calibri" w:cs="Calibri"/>
                <w:lang w:val="fr-BE"/>
              </w:rPr>
              <w:t>aux dispositifs d'accueil et de scolarisation</w:t>
            </w:r>
          </w:p>
        </w:tc>
        <w:tc>
          <w:tcPr>
            <w:tcW w:w="0" w:type="dxa"/>
            <w:vAlign w:val="bottom"/>
          </w:tcPr>
          <w:p w:rsidR="00AC12B4" w:rsidRPr="00C27636" w:rsidRDefault="00AC12B4">
            <w:pPr>
              <w:rPr>
                <w:sz w:val="1"/>
                <w:szCs w:val="1"/>
                <w:lang w:val="fr-BE"/>
              </w:rPr>
            </w:pPr>
          </w:p>
        </w:tc>
      </w:tr>
      <w:tr w:rsidR="00AC12B4">
        <w:trPr>
          <w:trHeight w:val="267"/>
        </w:trPr>
        <w:tc>
          <w:tcPr>
            <w:tcW w:w="580" w:type="dxa"/>
            <w:vMerge w:val="restart"/>
            <w:textDirection w:val="btLr"/>
            <w:vAlign w:val="bottom"/>
          </w:tcPr>
          <w:p w:rsidR="00AC12B4" w:rsidRDefault="00C27636">
            <w:pPr>
              <w:rPr>
                <w:sz w:val="20"/>
                <w:szCs w:val="20"/>
              </w:rPr>
            </w:pPr>
            <w:r>
              <w:rPr>
                <w:rFonts w:ascii="Calibri" w:eastAsia="Calibri" w:hAnsi="Calibri" w:cs="Calibri"/>
                <w:b/>
                <w:bCs/>
                <w:i/>
                <w:iCs/>
                <w:color w:val="F2F2F2"/>
                <w:sz w:val="28"/>
                <w:szCs w:val="28"/>
              </w:rPr>
              <w:t>au</w:t>
            </w:r>
          </w:p>
        </w:tc>
        <w:tc>
          <w:tcPr>
            <w:tcW w:w="700" w:type="dxa"/>
            <w:vAlign w:val="bottom"/>
          </w:tcPr>
          <w:p w:rsidR="00AC12B4" w:rsidRDefault="00C27636">
            <w:pPr>
              <w:spacing w:line="267" w:lineRule="exact"/>
              <w:ind w:left="360"/>
              <w:rPr>
                <w:sz w:val="20"/>
                <w:szCs w:val="20"/>
              </w:rPr>
            </w:pPr>
            <w:r>
              <w:rPr>
                <w:rFonts w:ascii="Calibri" w:eastAsia="Calibri" w:hAnsi="Calibri" w:cs="Calibri"/>
              </w:rPr>
              <w:t>des</w:t>
            </w:r>
          </w:p>
        </w:tc>
        <w:tc>
          <w:tcPr>
            <w:tcW w:w="1120" w:type="dxa"/>
            <w:vAlign w:val="bottom"/>
          </w:tcPr>
          <w:p w:rsidR="00AC12B4" w:rsidRDefault="00C27636">
            <w:pPr>
              <w:spacing w:line="267" w:lineRule="exact"/>
              <w:ind w:left="300"/>
              <w:rPr>
                <w:sz w:val="20"/>
                <w:szCs w:val="20"/>
              </w:rPr>
            </w:pPr>
            <w:r>
              <w:rPr>
                <w:rFonts w:ascii="Calibri" w:eastAsia="Calibri" w:hAnsi="Calibri" w:cs="Calibri"/>
              </w:rPr>
              <w:t>élèves</w:t>
            </w:r>
          </w:p>
        </w:tc>
        <w:tc>
          <w:tcPr>
            <w:tcW w:w="1540" w:type="dxa"/>
            <w:vAlign w:val="bottom"/>
          </w:tcPr>
          <w:p w:rsidR="00AC12B4" w:rsidRDefault="00C27636">
            <w:pPr>
              <w:spacing w:line="267" w:lineRule="exact"/>
              <w:ind w:left="80"/>
              <w:rPr>
                <w:sz w:val="20"/>
                <w:szCs w:val="20"/>
              </w:rPr>
            </w:pPr>
            <w:r>
              <w:rPr>
                <w:rFonts w:ascii="Calibri" w:eastAsia="Calibri" w:hAnsi="Calibri" w:cs="Calibri"/>
              </w:rPr>
              <w:t>primo-arrivants</w:t>
            </w:r>
          </w:p>
        </w:tc>
        <w:tc>
          <w:tcPr>
            <w:tcW w:w="180" w:type="dxa"/>
            <w:vAlign w:val="bottom"/>
          </w:tcPr>
          <w:p w:rsidR="00AC12B4" w:rsidRDefault="00AC12B4">
            <w:pPr>
              <w:rPr>
                <w:sz w:val="23"/>
                <w:szCs w:val="23"/>
              </w:rPr>
            </w:pPr>
          </w:p>
        </w:tc>
        <w:tc>
          <w:tcPr>
            <w:tcW w:w="320" w:type="dxa"/>
            <w:vAlign w:val="bottom"/>
          </w:tcPr>
          <w:p w:rsidR="00AC12B4" w:rsidRDefault="00C27636">
            <w:pPr>
              <w:spacing w:line="267" w:lineRule="exact"/>
              <w:ind w:left="80"/>
              <w:rPr>
                <w:sz w:val="20"/>
                <w:szCs w:val="20"/>
              </w:rPr>
            </w:pPr>
            <w:r>
              <w:rPr>
                <w:rFonts w:ascii="Calibri" w:eastAsia="Calibri" w:hAnsi="Calibri" w:cs="Calibri"/>
              </w:rPr>
              <w:t>et</w:t>
            </w:r>
          </w:p>
        </w:tc>
        <w:tc>
          <w:tcPr>
            <w:tcW w:w="380" w:type="dxa"/>
            <w:vAlign w:val="bottom"/>
          </w:tcPr>
          <w:p w:rsidR="00AC12B4" w:rsidRDefault="00C27636">
            <w:pPr>
              <w:spacing w:line="267" w:lineRule="exact"/>
              <w:jc w:val="right"/>
              <w:rPr>
                <w:sz w:val="20"/>
                <w:szCs w:val="20"/>
              </w:rPr>
            </w:pPr>
            <w:r>
              <w:rPr>
                <w:rFonts w:ascii="Calibri" w:eastAsia="Calibri" w:hAnsi="Calibri" w:cs="Calibri"/>
              </w:rPr>
              <w:t>à</w:t>
            </w:r>
          </w:p>
        </w:tc>
        <w:tc>
          <w:tcPr>
            <w:tcW w:w="0" w:type="dxa"/>
            <w:vAlign w:val="bottom"/>
          </w:tcPr>
          <w:p w:rsidR="00AC12B4" w:rsidRDefault="00AC12B4">
            <w:pPr>
              <w:rPr>
                <w:sz w:val="1"/>
                <w:szCs w:val="1"/>
              </w:rPr>
            </w:pPr>
          </w:p>
        </w:tc>
      </w:tr>
      <w:tr w:rsidR="00AC12B4">
        <w:trPr>
          <w:trHeight w:val="93"/>
        </w:trPr>
        <w:tc>
          <w:tcPr>
            <w:tcW w:w="580" w:type="dxa"/>
            <w:vMerge/>
            <w:vAlign w:val="bottom"/>
          </w:tcPr>
          <w:p w:rsidR="00AC12B4" w:rsidRDefault="00AC12B4">
            <w:pPr>
              <w:rPr>
                <w:sz w:val="8"/>
                <w:szCs w:val="8"/>
              </w:rPr>
            </w:pPr>
          </w:p>
        </w:tc>
        <w:tc>
          <w:tcPr>
            <w:tcW w:w="1820" w:type="dxa"/>
            <w:gridSpan w:val="2"/>
            <w:vMerge w:val="restart"/>
            <w:vAlign w:val="bottom"/>
          </w:tcPr>
          <w:p w:rsidR="00AC12B4" w:rsidRDefault="00C27636">
            <w:pPr>
              <w:ind w:left="360"/>
              <w:rPr>
                <w:sz w:val="20"/>
                <w:szCs w:val="20"/>
              </w:rPr>
            </w:pPr>
            <w:r>
              <w:rPr>
                <w:rFonts w:ascii="Calibri" w:eastAsia="Calibri" w:hAnsi="Calibri" w:cs="Calibri"/>
              </w:rPr>
              <w:t>l’enseignement</w:t>
            </w:r>
          </w:p>
        </w:tc>
        <w:tc>
          <w:tcPr>
            <w:tcW w:w="1540" w:type="dxa"/>
            <w:vMerge w:val="restart"/>
            <w:vAlign w:val="bottom"/>
          </w:tcPr>
          <w:p w:rsidR="00AC12B4" w:rsidRDefault="00C27636">
            <w:pPr>
              <w:ind w:left="180"/>
              <w:rPr>
                <w:sz w:val="20"/>
                <w:szCs w:val="20"/>
              </w:rPr>
            </w:pPr>
            <w:r>
              <w:rPr>
                <w:rFonts w:ascii="Calibri" w:eastAsia="Calibri" w:hAnsi="Calibri" w:cs="Calibri"/>
              </w:rPr>
              <w:t>spécialisé,</w:t>
            </w:r>
          </w:p>
        </w:tc>
        <w:tc>
          <w:tcPr>
            <w:tcW w:w="500" w:type="dxa"/>
            <w:gridSpan w:val="2"/>
            <w:vMerge w:val="restart"/>
            <w:vAlign w:val="bottom"/>
          </w:tcPr>
          <w:p w:rsidR="00AC12B4" w:rsidRDefault="00C27636">
            <w:pPr>
              <w:ind w:left="60"/>
              <w:rPr>
                <w:sz w:val="20"/>
                <w:szCs w:val="20"/>
              </w:rPr>
            </w:pPr>
            <w:r>
              <w:rPr>
                <w:rFonts w:ascii="Calibri" w:eastAsia="Calibri" w:hAnsi="Calibri" w:cs="Calibri"/>
              </w:rPr>
              <w:t>via</w:t>
            </w:r>
          </w:p>
        </w:tc>
        <w:tc>
          <w:tcPr>
            <w:tcW w:w="380" w:type="dxa"/>
            <w:vMerge w:val="restart"/>
            <w:vAlign w:val="bottom"/>
          </w:tcPr>
          <w:p w:rsidR="00AC12B4" w:rsidRDefault="00C27636">
            <w:pPr>
              <w:jc w:val="right"/>
              <w:rPr>
                <w:sz w:val="20"/>
                <w:szCs w:val="20"/>
              </w:rPr>
            </w:pPr>
            <w:r>
              <w:rPr>
                <w:rFonts w:ascii="Calibri" w:eastAsia="Calibri" w:hAnsi="Calibri" w:cs="Calibri"/>
              </w:rPr>
              <w:t>des</w:t>
            </w:r>
          </w:p>
        </w:tc>
        <w:tc>
          <w:tcPr>
            <w:tcW w:w="0" w:type="dxa"/>
            <w:vAlign w:val="bottom"/>
          </w:tcPr>
          <w:p w:rsidR="00AC12B4" w:rsidRDefault="00AC12B4">
            <w:pPr>
              <w:rPr>
                <w:sz w:val="1"/>
                <w:szCs w:val="1"/>
              </w:rPr>
            </w:pPr>
          </w:p>
        </w:tc>
      </w:tr>
      <w:tr w:rsidR="00AC12B4">
        <w:trPr>
          <w:trHeight w:val="176"/>
        </w:trPr>
        <w:tc>
          <w:tcPr>
            <w:tcW w:w="580" w:type="dxa"/>
            <w:vMerge w:val="restart"/>
            <w:textDirection w:val="btLr"/>
            <w:vAlign w:val="bottom"/>
          </w:tcPr>
          <w:p w:rsidR="00AC12B4" w:rsidRDefault="00C27636">
            <w:pPr>
              <w:rPr>
                <w:sz w:val="20"/>
                <w:szCs w:val="20"/>
              </w:rPr>
            </w:pPr>
            <w:r>
              <w:rPr>
                <w:rFonts w:ascii="Calibri" w:eastAsia="Calibri" w:hAnsi="Calibri" w:cs="Calibri"/>
                <w:b/>
                <w:bCs/>
                <w:i/>
                <w:iCs/>
                <w:color w:val="F2F2F2"/>
                <w:sz w:val="28"/>
                <w:szCs w:val="28"/>
              </w:rPr>
              <w:t>et</w:t>
            </w:r>
          </w:p>
        </w:tc>
        <w:tc>
          <w:tcPr>
            <w:tcW w:w="1820" w:type="dxa"/>
            <w:gridSpan w:val="2"/>
            <w:vMerge/>
            <w:vAlign w:val="bottom"/>
          </w:tcPr>
          <w:p w:rsidR="00AC12B4" w:rsidRDefault="00AC12B4">
            <w:pPr>
              <w:rPr>
                <w:sz w:val="15"/>
                <w:szCs w:val="15"/>
              </w:rPr>
            </w:pPr>
          </w:p>
        </w:tc>
        <w:tc>
          <w:tcPr>
            <w:tcW w:w="1540" w:type="dxa"/>
            <w:vMerge/>
            <w:vAlign w:val="bottom"/>
          </w:tcPr>
          <w:p w:rsidR="00AC12B4" w:rsidRDefault="00AC12B4">
            <w:pPr>
              <w:rPr>
                <w:sz w:val="15"/>
                <w:szCs w:val="15"/>
              </w:rPr>
            </w:pPr>
          </w:p>
        </w:tc>
        <w:tc>
          <w:tcPr>
            <w:tcW w:w="500" w:type="dxa"/>
            <w:gridSpan w:val="2"/>
            <w:vMerge/>
            <w:vAlign w:val="bottom"/>
          </w:tcPr>
          <w:p w:rsidR="00AC12B4" w:rsidRDefault="00AC12B4">
            <w:pPr>
              <w:rPr>
                <w:sz w:val="15"/>
                <w:szCs w:val="15"/>
              </w:rPr>
            </w:pPr>
          </w:p>
        </w:tc>
        <w:tc>
          <w:tcPr>
            <w:tcW w:w="380" w:type="dxa"/>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19"/>
        </w:trPr>
        <w:tc>
          <w:tcPr>
            <w:tcW w:w="580" w:type="dxa"/>
            <w:vMerge/>
            <w:vAlign w:val="bottom"/>
          </w:tcPr>
          <w:p w:rsidR="00AC12B4" w:rsidRDefault="00AC12B4">
            <w:pPr>
              <w:rPr>
                <w:sz w:val="10"/>
                <w:szCs w:val="10"/>
              </w:rPr>
            </w:pPr>
          </w:p>
        </w:tc>
        <w:tc>
          <w:tcPr>
            <w:tcW w:w="3360" w:type="dxa"/>
            <w:gridSpan w:val="3"/>
            <w:vMerge w:val="restart"/>
            <w:vAlign w:val="bottom"/>
          </w:tcPr>
          <w:p w:rsidR="00AC12B4" w:rsidRDefault="00C27636">
            <w:pPr>
              <w:ind w:left="360"/>
              <w:rPr>
                <w:sz w:val="20"/>
                <w:szCs w:val="20"/>
              </w:rPr>
            </w:pPr>
            <w:r>
              <w:rPr>
                <w:rFonts w:ascii="Calibri" w:eastAsia="Calibri" w:hAnsi="Calibri" w:cs="Calibri"/>
              </w:rPr>
              <w:t>questionnaires adaptés.</w:t>
            </w:r>
          </w:p>
        </w:tc>
        <w:tc>
          <w:tcPr>
            <w:tcW w:w="180" w:type="dxa"/>
            <w:vAlign w:val="bottom"/>
          </w:tcPr>
          <w:p w:rsidR="00AC12B4" w:rsidRDefault="00AC12B4">
            <w:pPr>
              <w:rPr>
                <w:sz w:val="10"/>
                <w:szCs w:val="10"/>
              </w:rPr>
            </w:pPr>
          </w:p>
        </w:tc>
        <w:tc>
          <w:tcPr>
            <w:tcW w:w="320" w:type="dxa"/>
            <w:vAlign w:val="bottom"/>
          </w:tcPr>
          <w:p w:rsidR="00AC12B4" w:rsidRDefault="00AC12B4">
            <w:pPr>
              <w:rPr>
                <w:sz w:val="10"/>
                <w:szCs w:val="10"/>
              </w:rPr>
            </w:pPr>
          </w:p>
        </w:tc>
        <w:tc>
          <w:tcPr>
            <w:tcW w:w="38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0"/>
        </w:trPr>
        <w:tc>
          <w:tcPr>
            <w:tcW w:w="580" w:type="dxa"/>
            <w:vMerge w:val="restart"/>
            <w:textDirection w:val="btLr"/>
            <w:vAlign w:val="bottom"/>
          </w:tcPr>
          <w:p w:rsidR="00AC12B4" w:rsidRDefault="00C27636">
            <w:pPr>
              <w:rPr>
                <w:sz w:val="20"/>
                <w:szCs w:val="20"/>
              </w:rPr>
            </w:pPr>
            <w:r>
              <w:rPr>
                <w:rFonts w:ascii="Calibri" w:eastAsia="Calibri" w:hAnsi="Calibri" w:cs="Calibri"/>
                <w:b/>
                <w:bCs/>
                <w:i/>
                <w:iCs/>
                <w:color w:val="F2F2F2"/>
                <w:w w:val="71"/>
                <w:sz w:val="28"/>
                <w:szCs w:val="28"/>
              </w:rPr>
              <w:t>loisirs</w:t>
            </w:r>
          </w:p>
        </w:tc>
        <w:tc>
          <w:tcPr>
            <w:tcW w:w="3360" w:type="dxa"/>
            <w:gridSpan w:val="3"/>
            <w:vMerge/>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38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335"/>
        </w:trPr>
        <w:tc>
          <w:tcPr>
            <w:tcW w:w="580" w:type="dxa"/>
            <w:vMerge/>
            <w:vAlign w:val="bottom"/>
          </w:tcPr>
          <w:p w:rsidR="00AC12B4" w:rsidRDefault="00AC12B4">
            <w:pPr>
              <w:rPr>
                <w:sz w:val="24"/>
                <w:szCs w:val="24"/>
              </w:rPr>
            </w:pPr>
          </w:p>
        </w:tc>
        <w:tc>
          <w:tcPr>
            <w:tcW w:w="700" w:type="dxa"/>
            <w:vMerge w:val="restart"/>
            <w:vAlign w:val="bottom"/>
          </w:tcPr>
          <w:p w:rsidR="00AC12B4" w:rsidRDefault="00C27636">
            <w:pPr>
              <w:ind w:left="360"/>
              <w:rPr>
                <w:sz w:val="20"/>
                <w:szCs w:val="20"/>
              </w:rPr>
            </w:pPr>
            <w:r>
              <w:rPr>
                <w:rFonts w:ascii="Calibri" w:eastAsia="Calibri" w:hAnsi="Calibri" w:cs="Calibri"/>
              </w:rPr>
              <w:t>La</w:t>
            </w:r>
          </w:p>
        </w:tc>
        <w:tc>
          <w:tcPr>
            <w:tcW w:w="2840" w:type="dxa"/>
            <w:gridSpan w:val="3"/>
            <w:vMerge w:val="restart"/>
            <w:vAlign w:val="bottom"/>
          </w:tcPr>
          <w:p w:rsidR="00AC12B4" w:rsidRDefault="00C27636">
            <w:pPr>
              <w:ind w:left="20"/>
              <w:rPr>
                <w:sz w:val="20"/>
                <w:szCs w:val="20"/>
              </w:rPr>
            </w:pPr>
            <w:r>
              <w:rPr>
                <w:rFonts w:ascii="Calibri" w:eastAsia="Calibri" w:hAnsi="Calibri" w:cs="Calibri"/>
              </w:rPr>
              <w:t>Communauté  germanophone</w:t>
            </w:r>
          </w:p>
        </w:tc>
        <w:tc>
          <w:tcPr>
            <w:tcW w:w="700" w:type="dxa"/>
            <w:gridSpan w:val="2"/>
            <w:vMerge w:val="restart"/>
            <w:vAlign w:val="bottom"/>
          </w:tcPr>
          <w:p w:rsidR="00AC12B4" w:rsidRDefault="00C27636">
            <w:pPr>
              <w:jc w:val="right"/>
              <w:rPr>
                <w:sz w:val="20"/>
                <w:szCs w:val="20"/>
              </w:rPr>
            </w:pPr>
            <w:r>
              <w:rPr>
                <w:rFonts w:ascii="Calibri" w:eastAsia="Calibri" w:hAnsi="Calibri" w:cs="Calibri"/>
              </w:rPr>
              <w:t>devrait</w:t>
            </w:r>
          </w:p>
        </w:tc>
        <w:tc>
          <w:tcPr>
            <w:tcW w:w="0" w:type="dxa"/>
            <w:vAlign w:val="bottom"/>
          </w:tcPr>
          <w:p w:rsidR="00AC12B4" w:rsidRDefault="00AC12B4">
            <w:pPr>
              <w:rPr>
                <w:sz w:val="1"/>
                <w:szCs w:val="1"/>
              </w:rPr>
            </w:pPr>
          </w:p>
        </w:tc>
      </w:tr>
      <w:tr w:rsidR="00AC12B4">
        <w:trPr>
          <w:trHeight w:val="54"/>
        </w:trPr>
        <w:tc>
          <w:tcPr>
            <w:tcW w:w="580" w:type="dxa"/>
            <w:vAlign w:val="bottom"/>
          </w:tcPr>
          <w:p w:rsidR="00AC12B4" w:rsidRDefault="00AC12B4">
            <w:pPr>
              <w:rPr>
                <w:sz w:val="4"/>
                <w:szCs w:val="4"/>
              </w:rPr>
            </w:pPr>
          </w:p>
        </w:tc>
        <w:tc>
          <w:tcPr>
            <w:tcW w:w="700" w:type="dxa"/>
            <w:vMerge/>
            <w:vAlign w:val="bottom"/>
          </w:tcPr>
          <w:p w:rsidR="00AC12B4" w:rsidRDefault="00AC12B4">
            <w:pPr>
              <w:rPr>
                <w:sz w:val="4"/>
                <w:szCs w:val="4"/>
              </w:rPr>
            </w:pPr>
          </w:p>
        </w:tc>
        <w:tc>
          <w:tcPr>
            <w:tcW w:w="2840" w:type="dxa"/>
            <w:gridSpan w:val="3"/>
            <w:vMerge/>
            <w:vAlign w:val="bottom"/>
          </w:tcPr>
          <w:p w:rsidR="00AC12B4" w:rsidRDefault="00AC12B4">
            <w:pPr>
              <w:rPr>
                <w:sz w:val="4"/>
                <w:szCs w:val="4"/>
              </w:rPr>
            </w:pPr>
          </w:p>
        </w:tc>
        <w:tc>
          <w:tcPr>
            <w:tcW w:w="700" w:type="dxa"/>
            <w:gridSpan w:val="2"/>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69"/>
        </w:trPr>
        <w:tc>
          <w:tcPr>
            <w:tcW w:w="580" w:type="dxa"/>
            <w:vMerge w:val="restart"/>
            <w:textDirection w:val="btLr"/>
            <w:vAlign w:val="bottom"/>
          </w:tcPr>
          <w:p w:rsidR="00AC12B4" w:rsidRDefault="00C27636">
            <w:pPr>
              <w:rPr>
                <w:sz w:val="20"/>
                <w:szCs w:val="20"/>
              </w:rPr>
            </w:pPr>
            <w:r>
              <w:rPr>
                <w:rFonts w:ascii="Calibri" w:eastAsia="Calibri" w:hAnsi="Calibri" w:cs="Calibri"/>
                <w:b/>
                <w:bCs/>
                <w:i/>
                <w:iCs/>
                <w:color w:val="F2F2F2"/>
                <w:sz w:val="28"/>
                <w:szCs w:val="28"/>
              </w:rPr>
              <w:t>aux</w:t>
            </w:r>
          </w:p>
        </w:tc>
        <w:tc>
          <w:tcPr>
            <w:tcW w:w="3360" w:type="dxa"/>
            <w:gridSpan w:val="3"/>
            <w:vAlign w:val="bottom"/>
          </w:tcPr>
          <w:p w:rsidR="00AC12B4" w:rsidRDefault="00C27636">
            <w:pPr>
              <w:ind w:left="360"/>
              <w:rPr>
                <w:sz w:val="20"/>
                <w:szCs w:val="20"/>
              </w:rPr>
            </w:pPr>
            <w:r>
              <w:rPr>
                <w:rFonts w:ascii="Calibri" w:eastAsia="Calibri" w:hAnsi="Calibri" w:cs="Calibri"/>
              </w:rPr>
              <w:t xml:space="preserve">participer </w:t>
            </w:r>
            <w:r>
              <w:rPr>
                <w:rFonts w:ascii="Calibri" w:eastAsia="Calibri" w:hAnsi="Calibri" w:cs="Calibri"/>
              </w:rPr>
              <w:t>à cette enquête.</w:t>
            </w:r>
          </w:p>
        </w:tc>
        <w:tc>
          <w:tcPr>
            <w:tcW w:w="18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335"/>
        </w:trPr>
        <w:tc>
          <w:tcPr>
            <w:tcW w:w="580" w:type="dxa"/>
            <w:vMerge/>
            <w:vAlign w:val="bottom"/>
          </w:tcPr>
          <w:p w:rsidR="00AC12B4" w:rsidRDefault="00AC12B4">
            <w:pPr>
              <w:rPr>
                <w:sz w:val="24"/>
                <w:szCs w:val="24"/>
              </w:rPr>
            </w:pPr>
          </w:p>
        </w:tc>
        <w:tc>
          <w:tcPr>
            <w:tcW w:w="4240" w:type="dxa"/>
            <w:gridSpan w:val="6"/>
            <w:vMerge w:val="restart"/>
            <w:vAlign w:val="bottom"/>
          </w:tcPr>
          <w:p w:rsidR="00AC12B4" w:rsidRPr="00C27636" w:rsidRDefault="00C27636">
            <w:pPr>
              <w:ind w:left="360"/>
              <w:rPr>
                <w:sz w:val="20"/>
                <w:szCs w:val="20"/>
                <w:lang w:val="fr-BE"/>
              </w:rPr>
            </w:pPr>
            <w:r w:rsidRPr="00C27636">
              <w:rPr>
                <w:rFonts w:ascii="Calibri" w:eastAsia="Calibri" w:hAnsi="Calibri" w:cs="Calibri"/>
                <w:lang w:val="fr-BE"/>
              </w:rPr>
              <w:t>Une enquête spécifique doit atteindre les</w:t>
            </w:r>
          </w:p>
        </w:tc>
        <w:tc>
          <w:tcPr>
            <w:tcW w:w="0" w:type="dxa"/>
            <w:vAlign w:val="bottom"/>
          </w:tcPr>
          <w:p w:rsidR="00AC12B4" w:rsidRPr="00C27636" w:rsidRDefault="00AC12B4">
            <w:pPr>
              <w:rPr>
                <w:sz w:val="1"/>
                <w:szCs w:val="1"/>
                <w:lang w:val="fr-BE"/>
              </w:rPr>
            </w:pPr>
          </w:p>
        </w:tc>
      </w:tr>
      <w:tr w:rsidR="00AC12B4" w:rsidRPr="00C27636">
        <w:trPr>
          <w:trHeight w:val="54"/>
        </w:trPr>
        <w:tc>
          <w:tcPr>
            <w:tcW w:w="580" w:type="dxa"/>
            <w:vAlign w:val="bottom"/>
          </w:tcPr>
          <w:p w:rsidR="00AC12B4" w:rsidRPr="00C27636" w:rsidRDefault="00AC12B4">
            <w:pPr>
              <w:rPr>
                <w:sz w:val="4"/>
                <w:szCs w:val="4"/>
                <w:lang w:val="fr-BE"/>
              </w:rPr>
            </w:pPr>
          </w:p>
        </w:tc>
        <w:tc>
          <w:tcPr>
            <w:tcW w:w="4240" w:type="dxa"/>
            <w:gridSpan w:val="6"/>
            <w:vMerge/>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580" w:type="dxa"/>
            <w:vMerge w:val="restart"/>
            <w:textDirection w:val="btLr"/>
            <w:vAlign w:val="bottom"/>
          </w:tcPr>
          <w:p w:rsidR="00AC12B4" w:rsidRDefault="00C27636">
            <w:pPr>
              <w:rPr>
                <w:sz w:val="20"/>
                <w:szCs w:val="20"/>
              </w:rPr>
            </w:pPr>
            <w:r>
              <w:rPr>
                <w:rFonts w:ascii="Calibri" w:eastAsia="Calibri" w:hAnsi="Calibri" w:cs="Calibri"/>
                <w:b/>
                <w:bCs/>
                <w:i/>
                <w:iCs/>
                <w:color w:val="F2F2F2"/>
                <w:w w:val="71"/>
                <w:sz w:val="23"/>
                <w:szCs w:val="23"/>
              </w:rPr>
              <w:t>Ledroit</w:t>
            </w:r>
          </w:p>
        </w:tc>
        <w:tc>
          <w:tcPr>
            <w:tcW w:w="4240" w:type="dxa"/>
            <w:gridSpan w:val="6"/>
            <w:vAlign w:val="bottom"/>
          </w:tcPr>
          <w:p w:rsidR="00AC12B4" w:rsidRPr="00C27636" w:rsidRDefault="00C27636">
            <w:pPr>
              <w:ind w:left="360"/>
              <w:rPr>
                <w:sz w:val="20"/>
                <w:szCs w:val="20"/>
                <w:lang w:val="fr-BE"/>
              </w:rPr>
            </w:pPr>
            <w:r w:rsidRPr="00C27636">
              <w:rPr>
                <w:rFonts w:ascii="Calibri" w:eastAsia="Calibri" w:hAnsi="Calibri" w:cs="Calibri"/>
                <w:lang w:val="fr-BE"/>
              </w:rPr>
              <w:t>groupes non-atteints (cf section ‘Atteindre</w:t>
            </w:r>
          </w:p>
        </w:tc>
        <w:tc>
          <w:tcPr>
            <w:tcW w:w="0" w:type="dxa"/>
            <w:vAlign w:val="bottom"/>
          </w:tcPr>
          <w:p w:rsidR="00AC12B4" w:rsidRPr="00C27636" w:rsidRDefault="00AC12B4">
            <w:pPr>
              <w:rPr>
                <w:sz w:val="1"/>
                <w:szCs w:val="1"/>
                <w:lang w:val="fr-BE"/>
              </w:rPr>
            </w:pPr>
          </w:p>
        </w:tc>
      </w:tr>
      <w:tr w:rsidR="00AC12B4">
        <w:trPr>
          <w:trHeight w:val="215"/>
        </w:trPr>
        <w:tc>
          <w:tcPr>
            <w:tcW w:w="580" w:type="dxa"/>
            <w:vMerge/>
            <w:vAlign w:val="bottom"/>
          </w:tcPr>
          <w:p w:rsidR="00AC12B4" w:rsidRPr="00C27636" w:rsidRDefault="00AC12B4">
            <w:pPr>
              <w:rPr>
                <w:sz w:val="18"/>
                <w:szCs w:val="18"/>
                <w:lang w:val="fr-BE"/>
              </w:rPr>
            </w:pPr>
          </w:p>
        </w:tc>
        <w:tc>
          <w:tcPr>
            <w:tcW w:w="3360" w:type="dxa"/>
            <w:gridSpan w:val="3"/>
            <w:vMerge w:val="restart"/>
            <w:vAlign w:val="bottom"/>
          </w:tcPr>
          <w:p w:rsidR="00AC12B4" w:rsidRDefault="00C27636">
            <w:pPr>
              <w:ind w:left="360"/>
              <w:rPr>
                <w:sz w:val="20"/>
                <w:szCs w:val="20"/>
              </w:rPr>
            </w:pPr>
            <w:r>
              <w:rPr>
                <w:rFonts w:ascii="Calibri" w:eastAsia="Calibri" w:hAnsi="Calibri" w:cs="Calibri"/>
              </w:rPr>
              <w:t>les plus vulnérables’).</w:t>
            </w:r>
          </w:p>
        </w:tc>
        <w:tc>
          <w:tcPr>
            <w:tcW w:w="180" w:type="dxa"/>
            <w:vAlign w:val="bottom"/>
          </w:tcPr>
          <w:p w:rsidR="00AC12B4" w:rsidRDefault="00AC12B4">
            <w:pPr>
              <w:rPr>
                <w:sz w:val="18"/>
                <w:szCs w:val="18"/>
              </w:rPr>
            </w:pPr>
          </w:p>
        </w:tc>
        <w:tc>
          <w:tcPr>
            <w:tcW w:w="320" w:type="dxa"/>
            <w:vAlign w:val="bottom"/>
          </w:tcPr>
          <w:p w:rsidR="00AC12B4" w:rsidRDefault="00AC12B4">
            <w:pPr>
              <w:rPr>
                <w:sz w:val="18"/>
                <w:szCs w:val="18"/>
              </w:rPr>
            </w:pPr>
          </w:p>
        </w:tc>
        <w:tc>
          <w:tcPr>
            <w:tcW w:w="380" w:type="dxa"/>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54"/>
        </w:trPr>
        <w:tc>
          <w:tcPr>
            <w:tcW w:w="580" w:type="dxa"/>
            <w:vAlign w:val="bottom"/>
          </w:tcPr>
          <w:p w:rsidR="00AC12B4" w:rsidRDefault="00AC12B4">
            <w:pPr>
              <w:rPr>
                <w:sz w:val="4"/>
                <w:szCs w:val="4"/>
              </w:rPr>
            </w:pPr>
          </w:p>
        </w:tc>
        <w:tc>
          <w:tcPr>
            <w:tcW w:w="3360" w:type="dxa"/>
            <w:gridSpan w:val="3"/>
            <w:vMerge/>
            <w:vAlign w:val="bottom"/>
          </w:tcPr>
          <w:p w:rsidR="00AC12B4" w:rsidRDefault="00AC12B4">
            <w:pPr>
              <w:rPr>
                <w:sz w:val="4"/>
                <w:szCs w:val="4"/>
              </w:rPr>
            </w:pPr>
          </w:p>
        </w:tc>
        <w:tc>
          <w:tcPr>
            <w:tcW w:w="18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380" w:type="dxa"/>
            <w:vAlign w:val="bottom"/>
          </w:tcPr>
          <w:p w:rsidR="00AC12B4" w:rsidRDefault="00AC12B4">
            <w:pPr>
              <w:rPr>
                <w:sz w:val="4"/>
                <w:szCs w:val="4"/>
              </w:rPr>
            </w:pPr>
          </w:p>
        </w:tc>
        <w:tc>
          <w:tcPr>
            <w:tcW w:w="0" w:type="dxa"/>
            <w:vAlign w:val="bottom"/>
          </w:tcPr>
          <w:p w:rsidR="00AC12B4" w:rsidRDefault="00AC12B4">
            <w:pPr>
              <w:rPr>
                <w:sz w:val="1"/>
                <w:szCs w:val="1"/>
              </w:rPr>
            </w:pPr>
          </w:p>
        </w:tc>
      </w:tr>
    </w:tbl>
    <w:p w:rsidR="00AC12B4" w:rsidRDefault="00AC12B4">
      <w:pPr>
        <w:spacing w:line="200" w:lineRule="exact"/>
        <w:rPr>
          <w:sz w:val="20"/>
          <w:szCs w:val="20"/>
        </w:rPr>
      </w:pPr>
    </w:p>
    <w:p w:rsidR="00AC12B4" w:rsidRDefault="00AC12B4">
      <w:pPr>
        <w:spacing w:line="244" w:lineRule="exact"/>
        <w:rPr>
          <w:sz w:val="20"/>
          <w:szCs w:val="20"/>
        </w:rPr>
      </w:pPr>
    </w:p>
    <w:p w:rsidR="00AC12B4" w:rsidRDefault="00C27636">
      <w:pPr>
        <w:ind w:left="5000"/>
        <w:rPr>
          <w:sz w:val="20"/>
          <w:szCs w:val="20"/>
        </w:rPr>
      </w:pPr>
      <w:r>
        <w:rPr>
          <w:rFonts w:ascii="Calibri" w:eastAsia="Calibri" w:hAnsi="Calibri" w:cs="Calibri"/>
        </w:rPr>
        <w:t>152</w:t>
      </w:r>
    </w:p>
    <w:p w:rsidR="00AC12B4" w:rsidRDefault="00C27636">
      <w:pPr>
        <w:spacing w:line="20" w:lineRule="exact"/>
        <w:rPr>
          <w:sz w:val="20"/>
          <w:szCs w:val="20"/>
        </w:rPr>
      </w:pPr>
      <w:r>
        <w:rPr>
          <w:sz w:val="20"/>
          <w:szCs w:val="20"/>
        </w:rPr>
        <w:br w:type="column"/>
      </w:r>
    </w:p>
    <w:p w:rsidR="00AC12B4" w:rsidRDefault="00AC12B4">
      <w:pPr>
        <w:spacing w:line="149" w:lineRule="exact"/>
        <w:rPr>
          <w:sz w:val="20"/>
          <w:szCs w:val="20"/>
        </w:rPr>
      </w:pPr>
    </w:p>
    <w:p w:rsidR="00AC12B4" w:rsidRDefault="00C27636">
      <w:pPr>
        <w:rPr>
          <w:sz w:val="20"/>
          <w:szCs w:val="20"/>
        </w:rPr>
      </w:pPr>
      <w:r>
        <w:rPr>
          <w:rFonts w:ascii="Cambria" w:eastAsia="Cambria" w:hAnsi="Cambria" w:cs="Cambria"/>
          <w:b/>
          <w:bCs/>
          <w:i/>
          <w:iCs/>
          <w:color w:val="7F2D13"/>
          <w:sz w:val="26"/>
          <w:szCs w:val="26"/>
        </w:rPr>
        <w:t>Pour aller plus loin</w:t>
      </w:r>
    </w:p>
    <w:p w:rsidR="00AC12B4" w:rsidRDefault="00AC12B4">
      <w:pPr>
        <w:spacing w:line="174" w:lineRule="exact"/>
        <w:rPr>
          <w:sz w:val="20"/>
          <w:szCs w:val="20"/>
        </w:rPr>
      </w:pPr>
    </w:p>
    <w:p w:rsidR="00AC12B4" w:rsidRPr="00C27636" w:rsidRDefault="00C27636">
      <w:pPr>
        <w:numPr>
          <w:ilvl w:val="0"/>
          <w:numId w:val="283"/>
        </w:numPr>
        <w:tabs>
          <w:tab w:val="left" w:pos="720"/>
        </w:tabs>
        <w:spacing w:line="268" w:lineRule="auto"/>
        <w:ind w:left="720" w:right="737" w:hanging="367"/>
        <w:jc w:val="both"/>
        <w:rPr>
          <w:rFonts w:ascii="Symbol" w:eastAsia="Symbol" w:hAnsi="Symbol" w:cs="Symbol"/>
          <w:sz w:val="20"/>
          <w:szCs w:val="20"/>
          <w:lang w:val="fr-BE"/>
        </w:rPr>
      </w:pPr>
      <w:r w:rsidRPr="00C27636">
        <w:rPr>
          <w:rFonts w:ascii="Calibri" w:eastAsia="Calibri" w:hAnsi="Calibri" w:cs="Calibri"/>
          <w:b/>
          <w:bCs/>
          <w:i/>
          <w:iCs/>
          <w:color w:val="E05429"/>
          <w:sz w:val="20"/>
          <w:szCs w:val="20"/>
          <w:lang w:val="fr-BE"/>
        </w:rPr>
        <w:t xml:space="preserve">Le Vlaamse Kinderrechtenmonitor </w:t>
      </w:r>
      <w:r w:rsidRPr="00C27636">
        <w:rPr>
          <w:rFonts w:ascii="Calibri" w:eastAsia="Calibri" w:hAnsi="Calibri" w:cs="Calibri"/>
          <w:color w:val="000000"/>
          <w:sz w:val="20"/>
          <w:szCs w:val="20"/>
          <w:lang w:val="fr-BE"/>
        </w:rPr>
        <w:t xml:space="preserve">utilise l’indicateur % </w:t>
      </w:r>
      <w:r w:rsidRPr="00C27636">
        <w:rPr>
          <w:rFonts w:ascii="Calibri" w:eastAsia="Calibri" w:hAnsi="Calibri" w:cs="Calibri"/>
          <w:color w:val="000000"/>
          <w:sz w:val="20"/>
          <w:szCs w:val="20"/>
          <w:lang w:val="fr-BE"/>
        </w:rPr>
        <w:t>d’enfants (0-11 ans) habitant à 400 m maximum d’une aire de jeux publiquement accessible, entretenue par la ville et où un ou plusieurs outils de jeu sont installés (sur base des données du stadsmonitor (moniteur de la ville) – uniquement pour villes moyen</w:t>
      </w:r>
      <w:r w:rsidRPr="00C27636">
        <w:rPr>
          <w:rFonts w:ascii="Calibri" w:eastAsia="Calibri" w:hAnsi="Calibri" w:cs="Calibri"/>
          <w:color w:val="000000"/>
          <w:sz w:val="20"/>
          <w:szCs w:val="20"/>
          <w:lang w:val="fr-BE"/>
        </w:rPr>
        <w:t>nes ).</w:t>
      </w:r>
    </w:p>
    <w:p w:rsidR="00AC12B4" w:rsidRPr="00C27636" w:rsidRDefault="00AC12B4">
      <w:pPr>
        <w:spacing w:line="59" w:lineRule="exact"/>
        <w:rPr>
          <w:rFonts w:ascii="Symbol" w:eastAsia="Symbol" w:hAnsi="Symbol" w:cs="Symbol"/>
          <w:sz w:val="20"/>
          <w:szCs w:val="20"/>
          <w:lang w:val="fr-BE"/>
        </w:rPr>
      </w:pPr>
    </w:p>
    <w:p w:rsidR="00AC12B4" w:rsidRPr="00C27636" w:rsidRDefault="00C27636">
      <w:pPr>
        <w:spacing w:line="272" w:lineRule="auto"/>
        <w:ind w:left="720" w:right="737"/>
        <w:jc w:val="both"/>
        <w:rPr>
          <w:rFonts w:ascii="Symbol" w:eastAsia="Symbol" w:hAnsi="Symbol" w:cs="Symbol"/>
          <w:sz w:val="20"/>
          <w:szCs w:val="20"/>
          <w:lang w:val="fr-BE"/>
        </w:rPr>
      </w:pPr>
      <w:r w:rsidRPr="00C27636">
        <w:rPr>
          <w:rFonts w:ascii="Calibri" w:eastAsia="Calibri" w:hAnsi="Calibri" w:cs="Calibri"/>
          <w:sz w:val="20"/>
          <w:szCs w:val="20"/>
          <w:lang w:val="fr-BE"/>
        </w:rPr>
        <w:t>En 2014, plus de 80% des enfants anversois (augmentation de 20% en 3 ans!) et de Turnhout disposent d’une aire de jeux publiquement accessible dans les environs. Dans les autres villes moyennes, cela bascule entre 50 et 70%, sauf pour Alost, dont m</w:t>
      </w:r>
      <w:r w:rsidRPr="00C27636">
        <w:rPr>
          <w:rFonts w:ascii="Calibri" w:eastAsia="Calibri" w:hAnsi="Calibri" w:cs="Calibri"/>
          <w:sz w:val="20"/>
          <w:szCs w:val="20"/>
          <w:lang w:val="fr-BE"/>
        </w:rPr>
        <w:t>oins de 40% des enfants en disposent. Toutes les villes moyennes ont approuvé leur situation en la matière, sauf Bruges, Leuven, Genk, Ostende et Courtrai (les 3 dernières: diminution de plus de 10%!)</w:t>
      </w:r>
    </w:p>
    <w:p w:rsidR="00AC12B4" w:rsidRPr="00C27636" w:rsidRDefault="00AC12B4">
      <w:pPr>
        <w:spacing w:line="9" w:lineRule="exact"/>
        <w:rPr>
          <w:rFonts w:ascii="Symbol" w:eastAsia="Symbol" w:hAnsi="Symbol" w:cs="Symbol"/>
          <w:sz w:val="20"/>
          <w:szCs w:val="20"/>
          <w:lang w:val="fr-BE"/>
        </w:rPr>
      </w:pPr>
    </w:p>
    <w:p w:rsidR="00AC12B4" w:rsidRPr="00C27636" w:rsidRDefault="00C27636">
      <w:pPr>
        <w:ind w:left="720"/>
        <w:rPr>
          <w:rFonts w:ascii="Symbol" w:eastAsia="Symbol" w:hAnsi="Symbol" w:cs="Symbol"/>
          <w:sz w:val="20"/>
          <w:szCs w:val="20"/>
          <w:lang w:val="fr-BE"/>
        </w:rPr>
      </w:pPr>
      <w:r w:rsidRPr="00C27636">
        <w:rPr>
          <w:rFonts w:ascii="Calibri" w:eastAsia="Calibri" w:hAnsi="Calibri" w:cs="Calibri"/>
          <w:sz w:val="20"/>
          <w:szCs w:val="20"/>
          <w:lang w:val="fr-BE"/>
        </w:rPr>
        <w:t>(http://stadsmonitor.be/publicaties).</w:t>
      </w:r>
    </w:p>
    <w:p w:rsidR="00AC12B4" w:rsidRPr="00C27636" w:rsidRDefault="00AC12B4">
      <w:pPr>
        <w:rPr>
          <w:lang w:val="fr-BE"/>
        </w:rPr>
        <w:sectPr w:rsidR="00AC12B4" w:rsidRPr="00C27636">
          <w:pgSz w:w="12080" w:h="17179"/>
          <w:pgMar w:top="1440" w:right="1440" w:bottom="659" w:left="500" w:header="0" w:footer="0" w:gutter="0"/>
          <w:cols w:num="2" w:space="720" w:equalWidth="0">
            <w:col w:w="5360" w:space="160"/>
            <w:col w:w="4617"/>
          </w:cols>
        </w:sectPr>
      </w:pPr>
    </w:p>
    <w:p w:rsidR="00AC12B4" w:rsidRPr="00C27636" w:rsidRDefault="00AC12B4">
      <w:pPr>
        <w:spacing w:line="200" w:lineRule="exact"/>
        <w:rPr>
          <w:sz w:val="20"/>
          <w:szCs w:val="20"/>
          <w:lang w:val="fr-BE"/>
        </w:rPr>
      </w:pPr>
      <w:bookmarkStart w:id="152" w:name="page153"/>
      <w:bookmarkEnd w:id="152"/>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65" w:lineRule="exact"/>
        <w:rPr>
          <w:sz w:val="20"/>
          <w:szCs w:val="20"/>
          <w:lang w:val="fr-BE"/>
        </w:rPr>
      </w:pPr>
    </w:p>
    <w:p w:rsidR="00AC12B4" w:rsidRPr="00C27636" w:rsidRDefault="00C27636">
      <w:pPr>
        <w:spacing w:line="220" w:lineRule="auto"/>
        <w:ind w:left="1740" w:right="177"/>
        <w:jc w:val="right"/>
        <w:rPr>
          <w:sz w:val="20"/>
          <w:szCs w:val="20"/>
          <w:lang w:val="fr-BE"/>
        </w:rPr>
      </w:pPr>
      <w:r w:rsidRPr="00C27636">
        <w:rPr>
          <w:rFonts w:ascii="Calibri" w:eastAsia="Calibri" w:hAnsi="Calibri" w:cs="Calibri"/>
          <w:color w:val="00923D"/>
          <w:sz w:val="95"/>
          <w:szCs w:val="95"/>
          <w:lang w:val="fr-BE"/>
        </w:rPr>
        <w:t>Le droit au respect de la vie familiale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3" w:lineRule="exact"/>
        <w:rPr>
          <w:sz w:val="20"/>
          <w:szCs w:val="20"/>
          <w:lang w:val="fr-BE"/>
        </w:rPr>
      </w:pPr>
    </w:p>
    <w:tbl>
      <w:tblPr>
        <w:tblW w:w="0" w:type="auto"/>
        <w:tblInd w:w="1560" w:type="dxa"/>
        <w:tblLayout w:type="fixed"/>
        <w:tblCellMar>
          <w:left w:w="0" w:type="dxa"/>
          <w:right w:w="0" w:type="dxa"/>
        </w:tblCellMar>
        <w:tblLook w:val="04A0" w:firstRow="1" w:lastRow="0" w:firstColumn="1" w:lastColumn="0" w:noHBand="0" w:noVBand="1"/>
      </w:tblPr>
      <w:tblGrid>
        <w:gridCol w:w="380"/>
        <w:gridCol w:w="6280"/>
        <w:gridCol w:w="620"/>
      </w:tblGrid>
      <w:tr w:rsidR="00AC12B4">
        <w:trPr>
          <w:trHeight w:val="391"/>
        </w:trPr>
        <w:tc>
          <w:tcPr>
            <w:tcW w:w="380" w:type="dxa"/>
            <w:vAlign w:val="bottom"/>
          </w:tcPr>
          <w:p w:rsidR="00AC12B4" w:rsidRDefault="00C27636">
            <w:pPr>
              <w:rPr>
                <w:sz w:val="20"/>
                <w:szCs w:val="20"/>
              </w:rPr>
            </w:pPr>
            <w:r>
              <w:rPr>
                <w:rFonts w:ascii="Calibri" w:eastAsia="Calibri" w:hAnsi="Calibri" w:cs="Calibri"/>
                <w:b/>
                <w:bCs/>
                <w:color w:val="00923D"/>
                <w:sz w:val="32"/>
                <w:szCs w:val="32"/>
              </w:rPr>
              <w:lastRenderedPageBreak/>
              <w:t>F1</w:t>
            </w:r>
          </w:p>
        </w:tc>
        <w:tc>
          <w:tcPr>
            <w:tcW w:w="6280" w:type="dxa"/>
            <w:vAlign w:val="bottom"/>
          </w:tcPr>
          <w:p w:rsidR="00AC12B4" w:rsidRDefault="00C27636">
            <w:pPr>
              <w:ind w:left="80"/>
              <w:rPr>
                <w:sz w:val="20"/>
                <w:szCs w:val="20"/>
              </w:rPr>
            </w:pPr>
            <w:r>
              <w:rPr>
                <w:rFonts w:ascii="Calibri" w:eastAsia="Calibri" w:hAnsi="Calibri" w:cs="Calibri"/>
                <w:sz w:val="32"/>
                <w:szCs w:val="32"/>
              </w:rPr>
              <w:t>Soutien financier aux familles…………………………</w:t>
            </w:r>
          </w:p>
        </w:tc>
        <w:tc>
          <w:tcPr>
            <w:tcW w:w="620" w:type="dxa"/>
            <w:vAlign w:val="bottom"/>
          </w:tcPr>
          <w:p w:rsidR="00AC12B4" w:rsidRDefault="00C27636">
            <w:pPr>
              <w:jc w:val="right"/>
              <w:rPr>
                <w:rFonts w:ascii="Calibri" w:eastAsia="Calibri" w:hAnsi="Calibri" w:cs="Calibri"/>
                <w:sz w:val="32"/>
                <w:szCs w:val="32"/>
              </w:rPr>
            </w:pPr>
            <w:hyperlink w:anchor="page155">
              <w:r>
                <w:rPr>
                  <w:rFonts w:ascii="Calibri" w:eastAsia="Calibri" w:hAnsi="Calibri" w:cs="Calibri"/>
                  <w:sz w:val="32"/>
                  <w:szCs w:val="32"/>
                </w:rPr>
                <w:t>155</w:t>
              </w:r>
            </w:hyperlink>
          </w:p>
        </w:tc>
      </w:tr>
      <w:tr w:rsidR="00AC12B4">
        <w:trPr>
          <w:trHeight w:val="706"/>
        </w:trPr>
        <w:tc>
          <w:tcPr>
            <w:tcW w:w="380" w:type="dxa"/>
            <w:vAlign w:val="bottom"/>
          </w:tcPr>
          <w:p w:rsidR="00AC12B4" w:rsidRDefault="00C27636">
            <w:pPr>
              <w:rPr>
                <w:sz w:val="20"/>
                <w:szCs w:val="20"/>
              </w:rPr>
            </w:pPr>
            <w:r>
              <w:rPr>
                <w:rFonts w:ascii="Calibri" w:eastAsia="Calibri" w:hAnsi="Calibri" w:cs="Calibri"/>
                <w:b/>
                <w:bCs/>
                <w:color w:val="00923D"/>
                <w:sz w:val="32"/>
                <w:szCs w:val="32"/>
              </w:rPr>
              <w:t>F2</w:t>
            </w:r>
          </w:p>
        </w:tc>
        <w:tc>
          <w:tcPr>
            <w:tcW w:w="6280" w:type="dxa"/>
            <w:vAlign w:val="bottom"/>
          </w:tcPr>
          <w:p w:rsidR="00AC12B4" w:rsidRDefault="00C27636">
            <w:pPr>
              <w:ind w:left="80"/>
              <w:rPr>
                <w:sz w:val="20"/>
                <w:szCs w:val="20"/>
              </w:rPr>
            </w:pPr>
            <w:r>
              <w:rPr>
                <w:rFonts w:ascii="Calibri" w:eastAsia="Calibri" w:hAnsi="Calibri" w:cs="Calibri"/>
                <w:sz w:val="32"/>
                <w:szCs w:val="32"/>
              </w:rPr>
              <w:t>Equilibre travail/famille……………..……………………</w:t>
            </w:r>
          </w:p>
        </w:tc>
        <w:tc>
          <w:tcPr>
            <w:tcW w:w="620" w:type="dxa"/>
            <w:vAlign w:val="bottom"/>
          </w:tcPr>
          <w:p w:rsidR="00AC12B4" w:rsidRDefault="00C27636">
            <w:pPr>
              <w:jc w:val="right"/>
              <w:rPr>
                <w:rFonts w:ascii="Calibri" w:eastAsia="Calibri" w:hAnsi="Calibri" w:cs="Calibri"/>
                <w:sz w:val="32"/>
                <w:szCs w:val="32"/>
              </w:rPr>
            </w:pPr>
            <w:hyperlink w:anchor="page159">
              <w:r>
                <w:rPr>
                  <w:rFonts w:ascii="Calibri" w:eastAsia="Calibri" w:hAnsi="Calibri" w:cs="Calibri"/>
                  <w:sz w:val="32"/>
                  <w:szCs w:val="32"/>
                </w:rPr>
                <w:t>159</w:t>
              </w:r>
            </w:hyperlink>
          </w:p>
        </w:tc>
      </w:tr>
      <w:tr w:rsidR="00AC12B4">
        <w:trPr>
          <w:trHeight w:val="706"/>
        </w:trPr>
        <w:tc>
          <w:tcPr>
            <w:tcW w:w="380" w:type="dxa"/>
            <w:vAlign w:val="bottom"/>
          </w:tcPr>
          <w:p w:rsidR="00AC12B4" w:rsidRDefault="00C27636">
            <w:pPr>
              <w:rPr>
                <w:sz w:val="20"/>
                <w:szCs w:val="20"/>
              </w:rPr>
            </w:pPr>
            <w:r>
              <w:rPr>
                <w:rFonts w:ascii="Calibri" w:eastAsia="Calibri" w:hAnsi="Calibri" w:cs="Calibri"/>
                <w:b/>
                <w:bCs/>
                <w:color w:val="00923D"/>
                <w:sz w:val="32"/>
                <w:szCs w:val="32"/>
              </w:rPr>
              <w:t>F3</w:t>
            </w:r>
          </w:p>
        </w:tc>
        <w:tc>
          <w:tcPr>
            <w:tcW w:w="6280" w:type="dxa"/>
            <w:vAlign w:val="bottom"/>
          </w:tcPr>
          <w:p w:rsidR="00AC12B4" w:rsidRDefault="00C27636">
            <w:pPr>
              <w:ind w:left="80"/>
              <w:rPr>
                <w:sz w:val="20"/>
                <w:szCs w:val="20"/>
              </w:rPr>
            </w:pPr>
            <w:r>
              <w:rPr>
                <w:rFonts w:ascii="Calibri" w:eastAsia="Calibri" w:hAnsi="Calibri" w:cs="Calibri"/>
                <w:sz w:val="32"/>
                <w:szCs w:val="32"/>
              </w:rPr>
              <w:t>Disponibilité de places d’accueil……………………..</w:t>
            </w:r>
          </w:p>
        </w:tc>
        <w:tc>
          <w:tcPr>
            <w:tcW w:w="620" w:type="dxa"/>
            <w:vAlign w:val="bottom"/>
          </w:tcPr>
          <w:p w:rsidR="00AC12B4" w:rsidRDefault="00C27636">
            <w:pPr>
              <w:jc w:val="right"/>
              <w:rPr>
                <w:rFonts w:ascii="Calibri" w:eastAsia="Calibri" w:hAnsi="Calibri" w:cs="Calibri"/>
                <w:sz w:val="32"/>
                <w:szCs w:val="32"/>
              </w:rPr>
            </w:pPr>
            <w:hyperlink w:anchor="page163">
              <w:r>
                <w:rPr>
                  <w:rFonts w:ascii="Calibri" w:eastAsia="Calibri" w:hAnsi="Calibri" w:cs="Calibri"/>
                  <w:sz w:val="32"/>
                  <w:szCs w:val="32"/>
                </w:rPr>
                <w:t>163</w:t>
              </w:r>
            </w:hyperlink>
          </w:p>
        </w:tc>
      </w:tr>
    </w:tbl>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51" w:lineRule="exact"/>
        <w:rPr>
          <w:sz w:val="20"/>
          <w:szCs w:val="20"/>
        </w:rPr>
      </w:pPr>
    </w:p>
    <w:p w:rsidR="00AC12B4" w:rsidRDefault="00C27636">
      <w:pPr>
        <w:ind w:right="-402"/>
        <w:jc w:val="center"/>
        <w:rPr>
          <w:sz w:val="20"/>
          <w:szCs w:val="20"/>
        </w:rPr>
      </w:pPr>
      <w:r>
        <w:rPr>
          <w:rFonts w:ascii="Calibri" w:eastAsia="Calibri" w:hAnsi="Calibri" w:cs="Calibri"/>
        </w:rPr>
        <w:t>153</w:t>
      </w:r>
    </w:p>
    <w:p w:rsidR="00AC12B4" w:rsidRDefault="00AC12B4">
      <w:pPr>
        <w:sectPr w:rsidR="00AC12B4">
          <w:pgSz w:w="12080" w:h="17179"/>
          <w:pgMar w:top="1440" w:right="1440" w:bottom="659" w:left="1440" w:header="0" w:footer="0" w:gutter="0"/>
          <w:cols w:space="720" w:equalWidth="0">
            <w:col w:w="9197"/>
          </w:cols>
        </w:sectPr>
      </w:pPr>
    </w:p>
    <w:p w:rsidR="00AC12B4" w:rsidRDefault="00AC12B4">
      <w:pPr>
        <w:jc w:val="center"/>
        <w:rPr>
          <w:sz w:val="20"/>
          <w:szCs w:val="20"/>
        </w:rPr>
      </w:pPr>
      <w:bookmarkStart w:id="153" w:name="page154"/>
      <w:bookmarkEnd w:id="153"/>
    </w:p>
    <w:p w:rsidR="00AC12B4" w:rsidRDefault="00AC12B4">
      <w:pPr>
        <w:sectPr w:rsidR="00AC12B4">
          <w:pgSz w:w="12080" w:h="17179"/>
          <w:pgMar w:top="1440" w:right="1440" w:bottom="875" w:left="1440" w:header="0" w:footer="0" w:gutter="0"/>
          <w:cols w:space="0"/>
        </w:sectPr>
      </w:pPr>
    </w:p>
    <w:p w:rsidR="00AC12B4" w:rsidRDefault="00C27636">
      <w:pPr>
        <w:spacing w:line="168" w:lineRule="exact"/>
        <w:rPr>
          <w:sz w:val="20"/>
          <w:szCs w:val="20"/>
        </w:rPr>
      </w:pPr>
      <w:bookmarkStart w:id="154" w:name="page155"/>
      <w:bookmarkEnd w:id="154"/>
      <w:r>
        <w:rPr>
          <w:noProof/>
          <w:sz w:val="20"/>
          <w:szCs w:val="20"/>
        </w:rPr>
        <w:lastRenderedPageBreak/>
        <w:drawing>
          <wp:anchor distT="0" distB="0" distL="114300" distR="114300" simplePos="0" relativeHeight="251791872" behindDoc="1" locked="0" layoutInCell="0" allowOverlap="1">
            <wp:simplePos x="0" y="0"/>
            <wp:positionH relativeFrom="page">
              <wp:posOffset>5593080</wp:posOffset>
            </wp:positionH>
            <wp:positionV relativeFrom="page">
              <wp:posOffset>0</wp:posOffset>
            </wp:positionV>
            <wp:extent cx="2075815" cy="10908665"/>
            <wp:effectExtent l="0" t="0" r="0" b="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58">
                      <a:clrChange>
                        <a:clrFrom>
                          <a:srgbClr val="FFFFFF"/>
                        </a:clrFrom>
                        <a:clrTo>
                          <a:srgbClr val="FFFFFF">
                            <a:alpha val="0"/>
                          </a:srgbClr>
                        </a:clrTo>
                      </a:clrChange>
                      <a:extLst/>
                    </a:blip>
                    <a:srcRect/>
                    <a:stretch>
                      <a:fillRect/>
                    </a:stretch>
                  </pic:blipFill>
                  <pic:spPr bwMode="auto">
                    <a:xfrm>
                      <a:off x="0" y="0"/>
                      <a:ext cx="2075815" cy="10908665"/>
                    </a:xfrm>
                    <a:prstGeom prst="rect">
                      <a:avLst/>
                    </a:prstGeom>
                    <a:noFill/>
                  </pic:spPr>
                </pic:pic>
              </a:graphicData>
            </a:graphic>
          </wp:anchor>
        </w:drawing>
      </w:r>
    </w:p>
    <w:p w:rsidR="00AC12B4" w:rsidRDefault="00C27636">
      <w:pPr>
        <w:ind w:left="1460"/>
        <w:rPr>
          <w:sz w:val="20"/>
          <w:szCs w:val="20"/>
        </w:rPr>
      </w:pPr>
      <w:r>
        <w:rPr>
          <w:rFonts w:ascii="Comic Sans MS" w:eastAsia="Comic Sans MS" w:hAnsi="Comic Sans MS" w:cs="Comic Sans MS"/>
          <w:color w:val="00923D"/>
          <w:sz w:val="40"/>
          <w:szCs w:val="40"/>
        </w:rPr>
        <w:t>F1. Soutien financier aux familles</w:t>
      </w:r>
    </w:p>
    <w:p w:rsidR="00AC12B4" w:rsidRDefault="00AC12B4">
      <w:pPr>
        <w:spacing w:line="25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6060"/>
        <w:gridCol w:w="180"/>
        <w:gridCol w:w="660"/>
        <w:gridCol w:w="360"/>
        <w:gridCol w:w="260"/>
        <w:gridCol w:w="440"/>
        <w:gridCol w:w="340"/>
        <w:gridCol w:w="260"/>
        <w:gridCol w:w="240"/>
        <w:gridCol w:w="140"/>
        <w:gridCol w:w="260"/>
        <w:gridCol w:w="200"/>
        <w:gridCol w:w="180"/>
        <w:gridCol w:w="1080"/>
        <w:gridCol w:w="20"/>
      </w:tblGrid>
      <w:tr w:rsidR="00AC12B4">
        <w:trPr>
          <w:trHeight w:val="182"/>
        </w:trPr>
        <w:tc>
          <w:tcPr>
            <w:tcW w:w="6060" w:type="dxa"/>
            <w:tcBorders>
              <w:bottom w:val="single" w:sz="8" w:space="0" w:color="005022"/>
            </w:tcBorders>
            <w:vAlign w:val="bottom"/>
          </w:tcPr>
          <w:p w:rsidR="00AC12B4" w:rsidRDefault="00AC12B4">
            <w:pPr>
              <w:rPr>
                <w:sz w:val="15"/>
                <w:szCs w:val="15"/>
              </w:rPr>
            </w:pPr>
          </w:p>
        </w:tc>
        <w:tc>
          <w:tcPr>
            <w:tcW w:w="180" w:type="dxa"/>
            <w:tcBorders>
              <w:bottom w:val="single" w:sz="8" w:space="0" w:color="005022"/>
            </w:tcBorders>
            <w:vAlign w:val="bottom"/>
          </w:tcPr>
          <w:p w:rsidR="00AC12B4" w:rsidRDefault="00AC12B4">
            <w:pPr>
              <w:rPr>
                <w:sz w:val="15"/>
                <w:szCs w:val="15"/>
              </w:rPr>
            </w:pPr>
          </w:p>
        </w:tc>
        <w:tc>
          <w:tcPr>
            <w:tcW w:w="4420" w:type="dxa"/>
            <w:gridSpan w:val="12"/>
            <w:vMerge w:val="restart"/>
            <w:vAlign w:val="bottom"/>
          </w:tcPr>
          <w:p w:rsidR="00AC12B4" w:rsidRDefault="00C27636">
            <w:pPr>
              <w:ind w:left="200"/>
              <w:rPr>
                <w:sz w:val="20"/>
                <w:szCs w:val="20"/>
              </w:rPr>
            </w:pPr>
            <w:r>
              <w:rPr>
                <w:rFonts w:ascii="Calibri" w:eastAsia="Calibri" w:hAnsi="Calibri" w:cs="Calibri"/>
              </w:rPr>
              <w:t>maximum  les  placements</w:t>
            </w:r>
            <w:r>
              <w:rPr>
                <w:rFonts w:ascii="Calibri" w:eastAsia="Calibri" w:hAnsi="Calibri" w:cs="Calibri"/>
                <w:sz w:val="27"/>
                <w:szCs w:val="27"/>
                <w:vertAlign w:val="superscript"/>
              </w:rPr>
              <w:t>1</w:t>
            </w:r>
            <w:r>
              <w:rPr>
                <w:rFonts w:ascii="Calibri" w:eastAsia="Calibri" w:hAnsi="Calibri" w:cs="Calibri"/>
              </w:rPr>
              <w:t>.Lorsque</w:t>
            </w:r>
          </w:p>
        </w:tc>
        <w:tc>
          <w:tcPr>
            <w:tcW w:w="0" w:type="dxa"/>
            <w:vAlign w:val="bottom"/>
          </w:tcPr>
          <w:p w:rsidR="00AC12B4" w:rsidRDefault="00AC12B4">
            <w:pPr>
              <w:rPr>
                <w:sz w:val="1"/>
                <w:szCs w:val="1"/>
              </w:rPr>
            </w:pPr>
          </w:p>
        </w:tc>
      </w:tr>
      <w:tr w:rsidR="00AC12B4">
        <w:trPr>
          <w:trHeight w:val="128"/>
        </w:trPr>
        <w:tc>
          <w:tcPr>
            <w:tcW w:w="6060" w:type="dxa"/>
            <w:tcBorders>
              <w:left w:val="single" w:sz="8" w:space="0" w:color="005022"/>
            </w:tcBorders>
            <w:shd w:val="clear" w:color="auto" w:fill="00923D"/>
            <w:vAlign w:val="bottom"/>
          </w:tcPr>
          <w:p w:rsidR="00AC12B4" w:rsidRDefault="00AC12B4">
            <w:pPr>
              <w:rPr>
                <w:sz w:val="11"/>
                <w:szCs w:val="11"/>
              </w:rPr>
            </w:pPr>
          </w:p>
        </w:tc>
        <w:tc>
          <w:tcPr>
            <w:tcW w:w="180" w:type="dxa"/>
            <w:tcBorders>
              <w:right w:val="single" w:sz="8" w:space="0" w:color="005022"/>
            </w:tcBorders>
            <w:shd w:val="clear" w:color="auto" w:fill="00923D"/>
            <w:vAlign w:val="bottom"/>
          </w:tcPr>
          <w:p w:rsidR="00AC12B4" w:rsidRDefault="00AC12B4">
            <w:pPr>
              <w:rPr>
                <w:sz w:val="11"/>
                <w:szCs w:val="11"/>
              </w:rPr>
            </w:pPr>
          </w:p>
        </w:tc>
        <w:tc>
          <w:tcPr>
            <w:tcW w:w="4420" w:type="dxa"/>
            <w:gridSpan w:val="12"/>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33"/>
        </w:trPr>
        <w:tc>
          <w:tcPr>
            <w:tcW w:w="6060" w:type="dxa"/>
            <w:vMerge w:val="restart"/>
            <w:tcBorders>
              <w:left w:val="single" w:sz="8" w:space="0" w:color="005022"/>
            </w:tcBorders>
            <w:shd w:val="clear" w:color="auto" w:fill="00923D"/>
            <w:vAlign w:val="bottom"/>
          </w:tcPr>
          <w:p w:rsidR="00AC12B4" w:rsidRDefault="00C27636">
            <w:pPr>
              <w:ind w:left="580"/>
              <w:rPr>
                <w:sz w:val="20"/>
                <w:szCs w:val="20"/>
              </w:rPr>
            </w:pPr>
            <w:r>
              <w:rPr>
                <w:rFonts w:ascii="Calibri" w:eastAsia="Calibri" w:hAnsi="Calibri" w:cs="Calibri"/>
                <w:i/>
                <w:iCs/>
                <w:color w:val="EAF1DD"/>
              </w:rPr>
              <w:t>CIDE</w:t>
            </w:r>
          </w:p>
        </w:tc>
        <w:tc>
          <w:tcPr>
            <w:tcW w:w="180" w:type="dxa"/>
            <w:tcBorders>
              <w:right w:val="single" w:sz="8" w:space="0" w:color="005022"/>
            </w:tcBorders>
            <w:shd w:val="clear" w:color="auto" w:fill="00923D"/>
            <w:vAlign w:val="bottom"/>
          </w:tcPr>
          <w:p w:rsidR="00AC12B4" w:rsidRDefault="00AC12B4">
            <w:pPr>
              <w:rPr>
                <w:sz w:val="20"/>
                <w:szCs w:val="20"/>
              </w:rPr>
            </w:pPr>
          </w:p>
        </w:tc>
        <w:tc>
          <w:tcPr>
            <w:tcW w:w="660" w:type="dxa"/>
            <w:vAlign w:val="bottom"/>
          </w:tcPr>
          <w:p w:rsidR="00AC12B4" w:rsidRDefault="00C27636">
            <w:pPr>
              <w:spacing w:line="233" w:lineRule="exact"/>
              <w:ind w:left="200"/>
              <w:rPr>
                <w:sz w:val="20"/>
                <w:szCs w:val="20"/>
              </w:rPr>
            </w:pPr>
            <w:r>
              <w:rPr>
                <w:rFonts w:ascii="Calibri" w:eastAsia="Calibri" w:hAnsi="Calibri" w:cs="Calibri"/>
              </w:rPr>
              <w:t>l’on</w:t>
            </w:r>
          </w:p>
        </w:tc>
        <w:tc>
          <w:tcPr>
            <w:tcW w:w="620" w:type="dxa"/>
            <w:gridSpan w:val="2"/>
            <w:vAlign w:val="bottom"/>
          </w:tcPr>
          <w:p w:rsidR="00AC12B4" w:rsidRDefault="00C27636">
            <w:pPr>
              <w:spacing w:line="233" w:lineRule="exact"/>
              <w:ind w:left="20"/>
              <w:rPr>
                <w:sz w:val="20"/>
                <w:szCs w:val="20"/>
              </w:rPr>
            </w:pPr>
            <w:r>
              <w:rPr>
                <w:rFonts w:ascii="Calibri" w:eastAsia="Calibri" w:hAnsi="Calibri" w:cs="Calibri"/>
              </w:rPr>
              <w:t>parle</w:t>
            </w:r>
          </w:p>
        </w:tc>
        <w:tc>
          <w:tcPr>
            <w:tcW w:w="1040" w:type="dxa"/>
            <w:gridSpan w:val="3"/>
            <w:vAlign w:val="bottom"/>
          </w:tcPr>
          <w:p w:rsidR="00AC12B4" w:rsidRDefault="00C27636">
            <w:pPr>
              <w:spacing w:line="233" w:lineRule="exact"/>
              <w:rPr>
                <w:sz w:val="20"/>
                <w:szCs w:val="20"/>
              </w:rPr>
            </w:pPr>
            <w:r>
              <w:rPr>
                <w:rFonts w:ascii="Calibri" w:eastAsia="Calibri" w:hAnsi="Calibri" w:cs="Calibri"/>
              </w:rPr>
              <w:t>de soutien</w:t>
            </w:r>
          </w:p>
        </w:tc>
        <w:tc>
          <w:tcPr>
            <w:tcW w:w="1020" w:type="dxa"/>
            <w:gridSpan w:val="5"/>
            <w:vAlign w:val="bottom"/>
          </w:tcPr>
          <w:p w:rsidR="00AC12B4" w:rsidRDefault="00C27636">
            <w:pPr>
              <w:spacing w:line="233" w:lineRule="exact"/>
              <w:jc w:val="right"/>
              <w:rPr>
                <w:sz w:val="20"/>
                <w:szCs w:val="20"/>
              </w:rPr>
            </w:pPr>
            <w:r>
              <w:rPr>
                <w:rFonts w:ascii="Calibri" w:eastAsia="Calibri" w:hAnsi="Calibri" w:cs="Calibri"/>
              </w:rPr>
              <w:t>financier</w:t>
            </w:r>
          </w:p>
        </w:tc>
        <w:tc>
          <w:tcPr>
            <w:tcW w:w="1080" w:type="dxa"/>
            <w:vAlign w:val="bottom"/>
          </w:tcPr>
          <w:p w:rsidR="00AC12B4" w:rsidRDefault="00C27636">
            <w:pPr>
              <w:spacing w:line="233" w:lineRule="exact"/>
              <w:ind w:right="614"/>
              <w:jc w:val="right"/>
              <w:rPr>
                <w:sz w:val="20"/>
                <w:szCs w:val="20"/>
              </w:rPr>
            </w:pPr>
            <w:r>
              <w:rPr>
                <w:rFonts w:ascii="Calibri" w:eastAsia="Calibri" w:hAnsi="Calibri" w:cs="Calibri"/>
                <w:color w:val="005022"/>
              </w:rPr>
              <w:t>aux</w:t>
            </w:r>
          </w:p>
        </w:tc>
        <w:tc>
          <w:tcPr>
            <w:tcW w:w="0" w:type="dxa"/>
            <w:vAlign w:val="bottom"/>
          </w:tcPr>
          <w:p w:rsidR="00AC12B4" w:rsidRDefault="00AC12B4">
            <w:pPr>
              <w:rPr>
                <w:sz w:val="1"/>
                <w:szCs w:val="1"/>
              </w:rPr>
            </w:pPr>
          </w:p>
        </w:tc>
      </w:tr>
      <w:tr w:rsidR="00AC12B4" w:rsidRPr="00C27636">
        <w:trPr>
          <w:trHeight w:val="154"/>
        </w:trPr>
        <w:tc>
          <w:tcPr>
            <w:tcW w:w="6060" w:type="dxa"/>
            <w:vMerge/>
            <w:tcBorders>
              <w:left w:val="single" w:sz="8" w:space="0" w:color="005022"/>
            </w:tcBorders>
            <w:shd w:val="clear" w:color="auto" w:fill="00923D"/>
            <w:vAlign w:val="bottom"/>
          </w:tcPr>
          <w:p w:rsidR="00AC12B4" w:rsidRDefault="00AC12B4">
            <w:pPr>
              <w:rPr>
                <w:sz w:val="13"/>
                <w:szCs w:val="13"/>
              </w:rPr>
            </w:pPr>
          </w:p>
        </w:tc>
        <w:tc>
          <w:tcPr>
            <w:tcW w:w="180" w:type="dxa"/>
            <w:tcBorders>
              <w:right w:val="single" w:sz="8" w:space="0" w:color="005022"/>
            </w:tcBorders>
            <w:shd w:val="clear" w:color="auto" w:fill="00923D"/>
            <w:vAlign w:val="bottom"/>
          </w:tcPr>
          <w:p w:rsidR="00AC12B4" w:rsidRDefault="00AC12B4">
            <w:pPr>
              <w:rPr>
                <w:sz w:val="13"/>
                <w:szCs w:val="13"/>
              </w:rPr>
            </w:pPr>
          </w:p>
        </w:tc>
        <w:tc>
          <w:tcPr>
            <w:tcW w:w="4420" w:type="dxa"/>
            <w:gridSpan w:val="12"/>
            <w:vMerge w:val="restart"/>
            <w:vAlign w:val="bottom"/>
          </w:tcPr>
          <w:p w:rsidR="00AC12B4" w:rsidRPr="00C27636" w:rsidRDefault="00C27636">
            <w:pPr>
              <w:ind w:left="200"/>
              <w:rPr>
                <w:sz w:val="20"/>
                <w:szCs w:val="20"/>
                <w:lang w:val="fr-BE"/>
              </w:rPr>
            </w:pPr>
            <w:r w:rsidRPr="00C27636">
              <w:rPr>
                <w:rFonts w:ascii="Calibri" w:eastAsia="Calibri" w:hAnsi="Calibri" w:cs="Calibri"/>
                <w:color w:val="005022"/>
                <w:lang w:val="fr-BE"/>
              </w:rPr>
              <w:t xml:space="preserve">parents, les allocations </w:t>
            </w:r>
            <w:r w:rsidRPr="00C27636">
              <w:rPr>
                <w:rFonts w:ascii="Calibri" w:eastAsia="Calibri" w:hAnsi="Calibri" w:cs="Calibri"/>
                <w:color w:val="000000"/>
                <w:lang w:val="fr-BE"/>
              </w:rPr>
              <w:t>familiales sont</w:t>
            </w:r>
          </w:p>
        </w:tc>
        <w:tc>
          <w:tcPr>
            <w:tcW w:w="0" w:type="dxa"/>
            <w:vAlign w:val="bottom"/>
          </w:tcPr>
          <w:p w:rsidR="00AC12B4" w:rsidRPr="00C27636" w:rsidRDefault="00AC12B4">
            <w:pPr>
              <w:rPr>
                <w:sz w:val="1"/>
                <w:szCs w:val="1"/>
                <w:lang w:val="fr-BE"/>
              </w:rPr>
            </w:pPr>
          </w:p>
        </w:tc>
      </w:tr>
      <w:tr w:rsidR="00AC12B4" w:rsidRPr="00C27636">
        <w:trPr>
          <w:trHeight w:val="115"/>
        </w:trPr>
        <w:tc>
          <w:tcPr>
            <w:tcW w:w="6060" w:type="dxa"/>
            <w:tcBorders>
              <w:left w:val="single" w:sz="8" w:space="0" w:color="005022"/>
            </w:tcBorders>
            <w:shd w:val="clear" w:color="auto" w:fill="00923D"/>
            <w:vAlign w:val="bottom"/>
          </w:tcPr>
          <w:p w:rsidR="00AC12B4" w:rsidRPr="00C27636" w:rsidRDefault="00AC12B4">
            <w:pPr>
              <w:rPr>
                <w:sz w:val="10"/>
                <w:szCs w:val="10"/>
                <w:lang w:val="fr-BE"/>
              </w:rPr>
            </w:pPr>
          </w:p>
        </w:tc>
        <w:tc>
          <w:tcPr>
            <w:tcW w:w="180" w:type="dxa"/>
            <w:tcBorders>
              <w:right w:val="single" w:sz="8" w:space="0" w:color="005022"/>
            </w:tcBorders>
            <w:shd w:val="clear" w:color="auto" w:fill="00923D"/>
            <w:vAlign w:val="bottom"/>
          </w:tcPr>
          <w:p w:rsidR="00AC12B4" w:rsidRPr="00C27636" w:rsidRDefault="00AC12B4">
            <w:pPr>
              <w:rPr>
                <w:sz w:val="10"/>
                <w:szCs w:val="10"/>
                <w:lang w:val="fr-BE"/>
              </w:rPr>
            </w:pPr>
          </w:p>
        </w:tc>
        <w:tc>
          <w:tcPr>
            <w:tcW w:w="4420" w:type="dxa"/>
            <w:gridSpan w:val="12"/>
            <w:vMerge/>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rsidRPr="00C27636">
        <w:trPr>
          <w:trHeight w:val="271"/>
        </w:trPr>
        <w:tc>
          <w:tcPr>
            <w:tcW w:w="6060" w:type="dxa"/>
            <w:tcBorders>
              <w:left w:val="single" w:sz="8" w:space="0" w:color="005022"/>
            </w:tcBorders>
            <w:shd w:val="clear" w:color="auto" w:fill="00923D"/>
            <w:vAlign w:val="bottom"/>
          </w:tcPr>
          <w:p w:rsidR="00AC12B4" w:rsidRDefault="00C27636">
            <w:pPr>
              <w:ind w:left="580"/>
              <w:rPr>
                <w:sz w:val="20"/>
                <w:szCs w:val="20"/>
              </w:rPr>
            </w:pPr>
            <w:r>
              <w:rPr>
                <w:rFonts w:ascii="Calibri" w:eastAsia="Calibri" w:hAnsi="Calibri" w:cs="Calibri"/>
                <w:i/>
                <w:iCs/>
                <w:color w:val="EAF1DD"/>
              </w:rPr>
              <w:t>Article 18</w:t>
            </w:r>
          </w:p>
        </w:tc>
        <w:tc>
          <w:tcPr>
            <w:tcW w:w="180" w:type="dxa"/>
            <w:tcBorders>
              <w:right w:val="single" w:sz="8" w:space="0" w:color="005022"/>
            </w:tcBorders>
            <w:shd w:val="clear" w:color="auto" w:fill="00923D"/>
            <w:vAlign w:val="bottom"/>
          </w:tcPr>
          <w:p w:rsidR="00AC12B4" w:rsidRDefault="00AC12B4">
            <w:pPr>
              <w:rPr>
                <w:sz w:val="23"/>
                <w:szCs w:val="23"/>
              </w:rPr>
            </w:pPr>
          </w:p>
        </w:tc>
        <w:tc>
          <w:tcPr>
            <w:tcW w:w="4420" w:type="dxa"/>
            <w:gridSpan w:val="12"/>
            <w:vAlign w:val="bottom"/>
          </w:tcPr>
          <w:p w:rsidR="00AC12B4" w:rsidRPr="00C27636" w:rsidRDefault="00C27636">
            <w:pPr>
              <w:ind w:left="200"/>
              <w:rPr>
                <w:sz w:val="20"/>
                <w:szCs w:val="20"/>
                <w:lang w:val="fr-BE"/>
              </w:rPr>
            </w:pPr>
            <w:r w:rsidRPr="00C27636">
              <w:rPr>
                <w:rFonts w:ascii="Calibri" w:eastAsia="Calibri" w:hAnsi="Calibri" w:cs="Calibri"/>
                <w:lang w:val="fr-BE"/>
              </w:rPr>
              <w:t>la première chose qui vient à l’esprit.</w:t>
            </w:r>
          </w:p>
        </w:tc>
        <w:tc>
          <w:tcPr>
            <w:tcW w:w="0" w:type="dxa"/>
            <w:vAlign w:val="bottom"/>
          </w:tcPr>
          <w:p w:rsidR="00AC12B4" w:rsidRPr="00C27636" w:rsidRDefault="00AC12B4">
            <w:pPr>
              <w:rPr>
                <w:sz w:val="1"/>
                <w:szCs w:val="1"/>
                <w:lang w:val="fr-BE"/>
              </w:rPr>
            </w:pPr>
          </w:p>
        </w:tc>
      </w:tr>
      <w:tr w:rsidR="00AC12B4" w:rsidRPr="00C27636">
        <w:trPr>
          <w:trHeight w:val="306"/>
        </w:trPr>
        <w:tc>
          <w:tcPr>
            <w:tcW w:w="6060" w:type="dxa"/>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2. Pour garantir et promouvoir les droits énoncés dans la présente</w:t>
            </w:r>
          </w:p>
        </w:tc>
        <w:tc>
          <w:tcPr>
            <w:tcW w:w="18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4420" w:type="dxa"/>
            <w:gridSpan w:val="12"/>
            <w:vAlign w:val="bottom"/>
          </w:tcPr>
          <w:p w:rsidR="00AC12B4" w:rsidRPr="00C27636" w:rsidRDefault="00C27636">
            <w:pPr>
              <w:spacing w:line="267" w:lineRule="exact"/>
              <w:ind w:left="200"/>
              <w:rPr>
                <w:sz w:val="20"/>
                <w:szCs w:val="20"/>
                <w:lang w:val="fr-BE"/>
              </w:rPr>
            </w:pPr>
            <w:r w:rsidRPr="00C27636">
              <w:rPr>
                <w:rFonts w:ascii="Calibri" w:eastAsia="Calibri" w:hAnsi="Calibri" w:cs="Calibri"/>
                <w:lang w:val="fr-BE"/>
              </w:rPr>
              <w:t>Mais ce n’est pas la seule aide qui</w:t>
            </w:r>
          </w:p>
        </w:tc>
        <w:tc>
          <w:tcPr>
            <w:tcW w:w="0" w:type="dxa"/>
            <w:vAlign w:val="bottom"/>
          </w:tcPr>
          <w:p w:rsidR="00AC12B4" w:rsidRPr="00C27636" w:rsidRDefault="00AC12B4">
            <w:pPr>
              <w:rPr>
                <w:sz w:val="1"/>
                <w:szCs w:val="1"/>
                <w:lang w:val="fr-BE"/>
              </w:rPr>
            </w:pPr>
          </w:p>
        </w:tc>
      </w:tr>
      <w:tr w:rsidR="00AC12B4" w:rsidRPr="00C27636">
        <w:trPr>
          <w:trHeight w:val="245"/>
        </w:trPr>
        <w:tc>
          <w:tcPr>
            <w:tcW w:w="6240" w:type="dxa"/>
            <w:gridSpan w:val="2"/>
            <w:tcBorders>
              <w:left w:val="single" w:sz="8" w:space="0" w:color="005022"/>
              <w:righ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Convention, les Etats parties accordent</w:t>
            </w:r>
            <w:r w:rsidRPr="00C27636">
              <w:rPr>
                <w:rFonts w:ascii="Calibri" w:eastAsia="Calibri" w:hAnsi="Calibri" w:cs="Calibri"/>
                <w:i/>
                <w:iCs/>
                <w:color w:val="EAF1DD"/>
                <w:sz w:val="20"/>
                <w:szCs w:val="20"/>
                <w:lang w:val="fr-BE"/>
              </w:rPr>
              <w:t xml:space="preserve"> l’aide  appropriée aux</w:t>
            </w:r>
          </w:p>
        </w:tc>
        <w:tc>
          <w:tcPr>
            <w:tcW w:w="4420" w:type="dxa"/>
            <w:gridSpan w:val="12"/>
            <w:vAlign w:val="bottom"/>
          </w:tcPr>
          <w:p w:rsidR="00AC12B4" w:rsidRPr="00C27636" w:rsidRDefault="00C27636">
            <w:pPr>
              <w:spacing w:line="229" w:lineRule="exact"/>
              <w:ind w:left="200"/>
              <w:rPr>
                <w:sz w:val="20"/>
                <w:szCs w:val="20"/>
                <w:lang w:val="fr-BE"/>
              </w:rPr>
            </w:pPr>
            <w:r w:rsidRPr="00C27636">
              <w:rPr>
                <w:rFonts w:ascii="Calibri" w:eastAsia="Calibri" w:hAnsi="Calibri" w:cs="Calibri"/>
                <w:lang w:val="fr-BE"/>
              </w:rPr>
              <w:t>existe. Nous renvoyons également au</w:t>
            </w:r>
          </w:p>
        </w:tc>
        <w:tc>
          <w:tcPr>
            <w:tcW w:w="0" w:type="dxa"/>
            <w:vAlign w:val="bottom"/>
          </w:tcPr>
          <w:p w:rsidR="00AC12B4" w:rsidRPr="00C27636" w:rsidRDefault="00AC12B4">
            <w:pPr>
              <w:rPr>
                <w:sz w:val="1"/>
                <w:szCs w:val="1"/>
                <w:lang w:val="fr-BE"/>
              </w:rPr>
            </w:pPr>
          </w:p>
        </w:tc>
      </w:tr>
      <w:tr w:rsidR="00AC12B4" w:rsidRPr="00C27636">
        <w:trPr>
          <w:trHeight w:val="253"/>
        </w:trPr>
        <w:tc>
          <w:tcPr>
            <w:tcW w:w="6060" w:type="dxa"/>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parents et aux représentants légaux de l’enfant dans l’exercice de</w:t>
            </w:r>
          </w:p>
        </w:tc>
        <w:tc>
          <w:tcPr>
            <w:tcW w:w="180" w:type="dxa"/>
            <w:tcBorders>
              <w:right w:val="single" w:sz="8" w:space="0" w:color="005022"/>
            </w:tcBorders>
            <w:shd w:val="clear" w:color="auto" w:fill="00923D"/>
            <w:vAlign w:val="bottom"/>
          </w:tcPr>
          <w:p w:rsidR="00AC12B4" w:rsidRPr="00C27636" w:rsidRDefault="00AC12B4">
            <w:pPr>
              <w:rPr>
                <w:lang w:val="fr-BE"/>
              </w:rPr>
            </w:pPr>
          </w:p>
        </w:tc>
        <w:tc>
          <w:tcPr>
            <w:tcW w:w="4420" w:type="dxa"/>
            <w:gridSpan w:val="12"/>
            <w:vAlign w:val="bottom"/>
          </w:tcPr>
          <w:p w:rsidR="00AC12B4" w:rsidRPr="00C27636" w:rsidRDefault="00C27636">
            <w:pPr>
              <w:spacing w:line="253" w:lineRule="exact"/>
              <w:ind w:left="200"/>
              <w:rPr>
                <w:sz w:val="20"/>
                <w:szCs w:val="20"/>
                <w:lang w:val="fr-BE"/>
              </w:rPr>
            </w:pPr>
            <w:r w:rsidRPr="00C27636">
              <w:rPr>
                <w:rFonts w:ascii="Calibri" w:eastAsia="Calibri" w:hAnsi="Calibri" w:cs="Calibri"/>
                <w:lang w:val="fr-BE"/>
              </w:rPr>
              <w:t>crédit d'impôt pour enfants à charge</w:t>
            </w:r>
          </w:p>
        </w:tc>
        <w:tc>
          <w:tcPr>
            <w:tcW w:w="0" w:type="dxa"/>
            <w:vAlign w:val="bottom"/>
          </w:tcPr>
          <w:p w:rsidR="00AC12B4" w:rsidRPr="00C27636" w:rsidRDefault="00AC12B4">
            <w:pPr>
              <w:rPr>
                <w:sz w:val="1"/>
                <w:szCs w:val="1"/>
                <w:lang w:val="fr-BE"/>
              </w:rPr>
            </w:pPr>
          </w:p>
        </w:tc>
      </w:tr>
      <w:tr w:rsidR="00AC12B4" w:rsidRPr="00C27636">
        <w:trPr>
          <w:trHeight w:val="269"/>
        </w:trPr>
        <w:tc>
          <w:tcPr>
            <w:tcW w:w="6060" w:type="dxa"/>
            <w:tcBorders>
              <w:left w:val="single" w:sz="8" w:space="0" w:color="005022"/>
            </w:tcBorders>
            <w:shd w:val="clear" w:color="auto" w:fill="00923D"/>
            <w:vAlign w:val="bottom"/>
          </w:tcPr>
          <w:p w:rsidR="00AC12B4" w:rsidRPr="00C27636" w:rsidRDefault="00C27636">
            <w:pPr>
              <w:spacing w:line="234" w:lineRule="exact"/>
              <w:ind w:left="580"/>
              <w:rPr>
                <w:sz w:val="20"/>
                <w:szCs w:val="20"/>
                <w:lang w:val="fr-BE"/>
              </w:rPr>
            </w:pPr>
            <w:r w:rsidRPr="00C27636">
              <w:rPr>
                <w:rFonts w:ascii="Calibri" w:eastAsia="Calibri" w:hAnsi="Calibri" w:cs="Calibri"/>
                <w:i/>
                <w:iCs/>
                <w:color w:val="EAF1DD"/>
                <w:sz w:val="20"/>
                <w:szCs w:val="20"/>
                <w:lang w:val="fr-BE"/>
              </w:rPr>
              <w:t>la responsabilité qui leur incombe d’élever l’enfant et assurent la</w:t>
            </w:r>
          </w:p>
        </w:tc>
        <w:tc>
          <w:tcPr>
            <w:tcW w:w="180" w:type="dxa"/>
            <w:tcBorders>
              <w:right w:val="single" w:sz="8" w:space="0" w:color="005022"/>
            </w:tcBorders>
            <w:shd w:val="clear" w:color="auto" w:fill="00923D"/>
            <w:vAlign w:val="bottom"/>
          </w:tcPr>
          <w:p w:rsidR="00AC12B4" w:rsidRPr="00C27636" w:rsidRDefault="00AC12B4">
            <w:pPr>
              <w:rPr>
                <w:sz w:val="23"/>
                <w:szCs w:val="23"/>
                <w:lang w:val="fr-BE"/>
              </w:rPr>
            </w:pPr>
          </w:p>
        </w:tc>
        <w:tc>
          <w:tcPr>
            <w:tcW w:w="4420" w:type="dxa"/>
            <w:gridSpan w:val="12"/>
            <w:vAlign w:val="bottom"/>
          </w:tcPr>
          <w:p w:rsidR="00AC12B4" w:rsidRPr="00C27636" w:rsidRDefault="00C27636">
            <w:pPr>
              <w:ind w:left="200"/>
              <w:rPr>
                <w:sz w:val="20"/>
                <w:szCs w:val="20"/>
                <w:lang w:val="fr-BE"/>
              </w:rPr>
            </w:pPr>
            <w:r w:rsidRPr="00C27636">
              <w:rPr>
                <w:rFonts w:ascii="Calibri" w:eastAsia="Calibri" w:hAnsi="Calibri" w:cs="Calibri"/>
                <w:lang w:val="fr-BE"/>
              </w:rPr>
              <w:t xml:space="preserve">et au </w:t>
            </w:r>
            <w:r w:rsidRPr="00C27636">
              <w:rPr>
                <w:rFonts w:ascii="Calibri" w:eastAsia="Calibri" w:hAnsi="Calibri" w:cs="Calibri"/>
                <w:lang w:val="fr-BE"/>
              </w:rPr>
              <w:t>remboursement de ce crédit aux</w:t>
            </w:r>
          </w:p>
        </w:tc>
        <w:tc>
          <w:tcPr>
            <w:tcW w:w="0" w:type="dxa"/>
            <w:vAlign w:val="bottom"/>
          </w:tcPr>
          <w:p w:rsidR="00AC12B4" w:rsidRPr="00C27636" w:rsidRDefault="00AC12B4">
            <w:pPr>
              <w:rPr>
                <w:sz w:val="1"/>
                <w:szCs w:val="1"/>
                <w:lang w:val="fr-BE"/>
              </w:rPr>
            </w:pPr>
          </w:p>
        </w:tc>
      </w:tr>
      <w:tr w:rsidR="00AC12B4">
        <w:trPr>
          <w:trHeight w:val="257"/>
        </w:trPr>
        <w:tc>
          <w:tcPr>
            <w:tcW w:w="6060" w:type="dxa"/>
            <w:tcBorders>
              <w:left w:val="single" w:sz="8" w:space="0" w:color="005022"/>
            </w:tcBorders>
            <w:shd w:val="clear" w:color="auto" w:fill="00923D"/>
            <w:vAlign w:val="bottom"/>
          </w:tcPr>
          <w:p w:rsidR="00AC12B4" w:rsidRPr="00C27636" w:rsidRDefault="00C27636">
            <w:pPr>
              <w:spacing w:line="210" w:lineRule="exact"/>
              <w:ind w:left="580"/>
              <w:rPr>
                <w:sz w:val="20"/>
                <w:szCs w:val="20"/>
                <w:lang w:val="fr-BE"/>
              </w:rPr>
            </w:pPr>
            <w:r w:rsidRPr="00C27636">
              <w:rPr>
                <w:rFonts w:ascii="Calibri" w:eastAsia="Calibri" w:hAnsi="Calibri" w:cs="Calibri"/>
                <w:i/>
                <w:iCs/>
                <w:color w:val="EAF1DD"/>
                <w:w w:val="99"/>
                <w:sz w:val="20"/>
                <w:szCs w:val="20"/>
                <w:lang w:val="fr-BE"/>
              </w:rPr>
              <w:t>mise en place d’institutions, d’établissements et de services chargés</w:t>
            </w:r>
          </w:p>
        </w:tc>
        <w:tc>
          <w:tcPr>
            <w:tcW w:w="180" w:type="dxa"/>
            <w:tcBorders>
              <w:right w:val="single" w:sz="8" w:space="0" w:color="005022"/>
            </w:tcBorders>
            <w:shd w:val="clear" w:color="auto" w:fill="00923D"/>
            <w:vAlign w:val="bottom"/>
          </w:tcPr>
          <w:p w:rsidR="00AC12B4" w:rsidRPr="00C27636" w:rsidRDefault="00AC12B4">
            <w:pPr>
              <w:rPr>
                <w:lang w:val="fr-BE"/>
              </w:rPr>
            </w:pPr>
          </w:p>
        </w:tc>
        <w:tc>
          <w:tcPr>
            <w:tcW w:w="1020" w:type="dxa"/>
            <w:gridSpan w:val="2"/>
            <w:vAlign w:val="bottom"/>
          </w:tcPr>
          <w:p w:rsidR="00AC12B4" w:rsidRDefault="00C27636">
            <w:pPr>
              <w:spacing w:line="258" w:lineRule="exact"/>
              <w:ind w:left="200"/>
              <w:rPr>
                <w:sz w:val="20"/>
                <w:szCs w:val="20"/>
              </w:rPr>
            </w:pPr>
            <w:r>
              <w:rPr>
                <w:rFonts w:ascii="Calibri" w:eastAsia="Calibri" w:hAnsi="Calibri" w:cs="Calibri"/>
              </w:rPr>
              <w:t>familles</w:t>
            </w:r>
          </w:p>
        </w:tc>
        <w:tc>
          <w:tcPr>
            <w:tcW w:w="1040" w:type="dxa"/>
            <w:gridSpan w:val="3"/>
            <w:vAlign w:val="bottom"/>
          </w:tcPr>
          <w:p w:rsidR="00AC12B4" w:rsidRDefault="00C27636">
            <w:pPr>
              <w:spacing w:line="258" w:lineRule="exact"/>
              <w:rPr>
                <w:sz w:val="20"/>
                <w:szCs w:val="20"/>
              </w:rPr>
            </w:pPr>
            <w:r>
              <w:rPr>
                <w:rFonts w:ascii="Calibri" w:eastAsia="Calibri" w:hAnsi="Calibri" w:cs="Calibri"/>
              </w:rPr>
              <w:t>ayant des</w:t>
            </w:r>
          </w:p>
        </w:tc>
        <w:tc>
          <w:tcPr>
            <w:tcW w:w="1280" w:type="dxa"/>
            <w:gridSpan w:val="6"/>
            <w:vAlign w:val="bottom"/>
          </w:tcPr>
          <w:p w:rsidR="00AC12B4" w:rsidRDefault="00C27636">
            <w:pPr>
              <w:spacing w:line="258" w:lineRule="exact"/>
              <w:jc w:val="right"/>
              <w:rPr>
                <w:sz w:val="20"/>
                <w:szCs w:val="20"/>
              </w:rPr>
            </w:pPr>
            <w:r>
              <w:rPr>
                <w:rFonts w:ascii="Calibri" w:eastAsia="Calibri" w:hAnsi="Calibri" w:cs="Calibri"/>
              </w:rPr>
              <w:t>revenus trop</w:t>
            </w:r>
          </w:p>
        </w:tc>
        <w:tc>
          <w:tcPr>
            <w:tcW w:w="1080" w:type="dxa"/>
            <w:vAlign w:val="bottom"/>
          </w:tcPr>
          <w:p w:rsidR="00AC12B4" w:rsidRDefault="00C27636">
            <w:pPr>
              <w:spacing w:line="258" w:lineRule="exact"/>
              <w:ind w:right="634"/>
              <w:jc w:val="right"/>
              <w:rPr>
                <w:sz w:val="20"/>
                <w:szCs w:val="20"/>
              </w:rPr>
            </w:pPr>
            <w:r>
              <w:rPr>
                <w:rFonts w:ascii="Calibri" w:eastAsia="Calibri" w:hAnsi="Calibri" w:cs="Calibri"/>
              </w:rPr>
              <w:t>bas</w:t>
            </w:r>
          </w:p>
        </w:tc>
        <w:tc>
          <w:tcPr>
            <w:tcW w:w="0" w:type="dxa"/>
            <w:vAlign w:val="bottom"/>
          </w:tcPr>
          <w:p w:rsidR="00AC12B4" w:rsidRDefault="00AC12B4">
            <w:pPr>
              <w:rPr>
                <w:sz w:val="1"/>
                <w:szCs w:val="1"/>
              </w:rPr>
            </w:pPr>
          </w:p>
        </w:tc>
      </w:tr>
      <w:tr w:rsidR="00AC12B4">
        <w:trPr>
          <w:trHeight w:val="197"/>
        </w:trPr>
        <w:tc>
          <w:tcPr>
            <w:tcW w:w="6060" w:type="dxa"/>
            <w:tcBorders>
              <w:left w:val="single" w:sz="8" w:space="0" w:color="005022"/>
            </w:tcBorders>
            <w:shd w:val="clear" w:color="auto" w:fill="00923D"/>
            <w:vAlign w:val="bottom"/>
          </w:tcPr>
          <w:p w:rsidR="00AC12B4" w:rsidRPr="00C27636" w:rsidRDefault="00C27636">
            <w:pPr>
              <w:spacing w:line="198" w:lineRule="exact"/>
              <w:ind w:left="580"/>
              <w:rPr>
                <w:sz w:val="20"/>
                <w:szCs w:val="20"/>
                <w:lang w:val="fr-BE"/>
              </w:rPr>
            </w:pPr>
            <w:r w:rsidRPr="00C27636">
              <w:rPr>
                <w:rFonts w:ascii="Calibri" w:eastAsia="Calibri" w:hAnsi="Calibri" w:cs="Calibri"/>
                <w:i/>
                <w:iCs/>
                <w:color w:val="EAF1DD"/>
                <w:sz w:val="20"/>
                <w:szCs w:val="20"/>
                <w:lang w:val="fr-BE"/>
              </w:rPr>
              <w:t>de veiller au bien-être des enfants.</w:t>
            </w:r>
          </w:p>
        </w:tc>
        <w:tc>
          <w:tcPr>
            <w:tcW w:w="180" w:type="dxa"/>
            <w:tcBorders>
              <w:right w:val="single" w:sz="8" w:space="0" w:color="005022"/>
            </w:tcBorders>
            <w:shd w:val="clear" w:color="auto" w:fill="00923D"/>
            <w:vAlign w:val="bottom"/>
          </w:tcPr>
          <w:p w:rsidR="00AC12B4" w:rsidRPr="00C27636" w:rsidRDefault="00AC12B4">
            <w:pPr>
              <w:rPr>
                <w:sz w:val="17"/>
                <w:szCs w:val="17"/>
                <w:lang w:val="fr-BE"/>
              </w:rPr>
            </w:pPr>
          </w:p>
        </w:tc>
        <w:tc>
          <w:tcPr>
            <w:tcW w:w="660" w:type="dxa"/>
            <w:vMerge w:val="restart"/>
            <w:vAlign w:val="bottom"/>
          </w:tcPr>
          <w:p w:rsidR="00AC12B4" w:rsidRDefault="00C27636">
            <w:pPr>
              <w:spacing w:line="258" w:lineRule="exact"/>
              <w:ind w:left="200"/>
              <w:rPr>
                <w:sz w:val="20"/>
                <w:szCs w:val="20"/>
              </w:rPr>
            </w:pPr>
            <w:r>
              <w:rPr>
                <w:rFonts w:ascii="Calibri" w:eastAsia="Calibri" w:hAnsi="Calibri" w:cs="Calibri"/>
              </w:rPr>
              <w:t>qui</w:t>
            </w:r>
          </w:p>
        </w:tc>
        <w:tc>
          <w:tcPr>
            <w:tcW w:w="360" w:type="dxa"/>
            <w:vMerge w:val="restart"/>
            <w:vAlign w:val="bottom"/>
          </w:tcPr>
          <w:p w:rsidR="00AC12B4" w:rsidRDefault="00C27636">
            <w:pPr>
              <w:spacing w:line="258" w:lineRule="exact"/>
              <w:ind w:left="120"/>
              <w:rPr>
                <w:sz w:val="20"/>
                <w:szCs w:val="20"/>
              </w:rPr>
            </w:pPr>
            <w:r>
              <w:rPr>
                <w:rFonts w:ascii="Calibri" w:eastAsia="Calibri" w:hAnsi="Calibri" w:cs="Calibri"/>
                <w:w w:val="97"/>
              </w:rPr>
              <w:t>ne</w:t>
            </w:r>
          </w:p>
        </w:tc>
        <w:tc>
          <w:tcPr>
            <w:tcW w:w="260" w:type="dxa"/>
            <w:vAlign w:val="bottom"/>
          </w:tcPr>
          <w:p w:rsidR="00AC12B4" w:rsidRDefault="00AC12B4">
            <w:pPr>
              <w:rPr>
                <w:sz w:val="17"/>
                <w:szCs w:val="17"/>
              </w:rPr>
            </w:pPr>
          </w:p>
        </w:tc>
        <w:tc>
          <w:tcPr>
            <w:tcW w:w="440" w:type="dxa"/>
            <w:vMerge w:val="restart"/>
            <w:vAlign w:val="bottom"/>
          </w:tcPr>
          <w:p w:rsidR="00AC12B4" w:rsidRDefault="00C27636">
            <w:pPr>
              <w:spacing w:line="258" w:lineRule="exact"/>
              <w:jc w:val="right"/>
              <w:rPr>
                <w:sz w:val="20"/>
                <w:szCs w:val="20"/>
              </w:rPr>
            </w:pPr>
            <w:r>
              <w:rPr>
                <w:rFonts w:ascii="Calibri" w:eastAsia="Calibri" w:hAnsi="Calibri" w:cs="Calibri"/>
              </w:rPr>
              <w:t>leur</w:t>
            </w:r>
          </w:p>
        </w:tc>
        <w:tc>
          <w:tcPr>
            <w:tcW w:w="340" w:type="dxa"/>
            <w:vAlign w:val="bottom"/>
          </w:tcPr>
          <w:p w:rsidR="00AC12B4" w:rsidRDefault="00AC12B4">
            <w:pPr>
              <w:rPr>
                <w:sz w:val="17"/>
                <w:szCs w:val="17"/>
              </w:rPr>
            </w:pPr>
          </w:p>
        </w:tc>
        <w:tc>
          <w:tcPr>
            <w:tcW w:w="260" w:type="dxa"/>
            <w:vAlign w:val="bottom"/>
          </w:tcPr>
          <w:p w:rsidR="00AC12B4" w:rsidRDefault="00AC12B4">
            <w:pPr>
              <w:rPr>
                <w:sz w:val="17"/>
                <w:szCs w:val="17"/>
              </w:rPr>
            </w:pPr>
          </w:p>
        </w:tc>
        <w:tc>
          <w:tcPr>
            <w:tcW w:w="240" w:type="dxa"/>
            <w:vAlign w:val="bottom"/>
          </w:tcPr>
          <w:p w:rsidR="00AC12B4" w:rsidRDefault="00AC12B4">
            <w:pPr>
              <w:rPr>
                <w:sz w:val="17"/>
                <w:szCs w:val="17"/>
              </w:rPr>
            </w:pPr>
          </w:p>
        </w:tc>
        <w:tc>
          <w:tcPr>
            <w:tcW w:w="140" w:type="dxa"/>
            <w:vAlign w:val="bottom"/>
          </w:tcPr>
          <w:p w:rsidR="00AC12B4" w:rsidRDefault="00AC12B4">
            <w:pPr>
              <w:rPr>
                <w:sz w:val="17"/>
                <w:szCs w:val="17"/>
              </w:rPr>
            </w:pPr>
          </w:p>
        </w:tc>
        <w:tc>
          <w:tcPr>
            <w:tcW w:w="260" w:type="dxa"/>
            <w:vAlign w:val="bottom"/>
          </w:tcPr>
          <w:p w:rsidR="00AC12B4" w:rsidRDefault="00AC12B4">
            <w:pPr>
              <w:rPr>
                <w:sz w:val="17"/>
                <w:szCs w:val="17"/>
              </w:rPr>
            </w:pPr>
          </w:p>
        </w:tc>
        <w:tc>
          <w:tcPr>
            <w:tcW w:w="200" w:type="dxa"/>
            <w:vAlign w:val="bottom"/>
          </w:tcPr>
          <w:p w:rsidR="00AC12B4" w:rsidRDefault="00AC12B4">
            <w:pPr>
              <w:rPr>
                <w:sz w:val="17"/>
                <w:szCs w:val="17"/>
              </w:rPr>
            </w:pPr>
          </w:p>
        </w:tc>
        <w:tc>
          <w:tcPr>
            <w:tcW w:w="180" w:type="dxa"/>
            <w:vAlign w:val="bottom"/>
          </w:tcPr>
          <w:p w:rsidR="00AC12B4" w:rsidRDefault="00AC12B4">
            <w:pPr>
              <w:rPr>
                <w:sz w:val="17"/>
                <w:szCs w:val="17"/>
              </w:rPr>
            </w:pPr>
          </w:p>
        </w:tc>
        <w:tc>
          <w:tcPr>
            <w:tcW w:w="1080" w:type="dxa"/>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60"/>
        </w:trPr>
        <w:tc>
          <w:tcPr>
            <w:tcW w:w="6060" w:type="dxa"/>
            <w:tcBorders>
              <w:left w:val="single" w:sz="8" w:space="0" w:color="005022"/>
            </w:tcBorders>
            <w:shd w:val="clear" w:color="auto" w:fill="00923D"/>
            <w:vAlign w:val="bottom"/>
          </w:tcPr>
          <w:p w:rsidR="00AC12B4" w:rsidRDefault="00AC12B4">
            <w:pPr>
              <w:rPr>
                <w:sz w:val="5"/>
                <w:szCs w:val="5"/>
              </w:rPr>
            </w:pPr>
          </w:p>
        </w:tc>
        <w:tc>
          <w:tcPr>
            <w:tcW w:w="180" w:type="dxa"/>
            <w:tcBorders>
              <w:right w:val="single" w:sz="8" w:space="0" w:color="005022"/>
            </w:tcBorders>
            <w:shd w:val="clear" w:color="auto" w:fill="00923D"/>
            <w:vAlign w:val="bottom"/>
          </w:tcPr>
          <w:p w:rsidR="00AC12B4" w:rsidRDefault="00AC12B4">
            <w:pPr>
              <w:rPr>
                <w:sz w:val="5"/>
                <w:szCs w:val="5"/>
              </w:rPr>
            </w:pPr>
          </w:p>
        </w:tc>
        <w:tc>
          <w:tcPr>
            <w:tcW w:w="660" w:type="dxa"/>
            <w:vMerge/>
            <w:vAlign w:val="bottom"/>
          </w:tcPr>
          <w:p w:rsidR="00AC12B4" w:rsidRDefault="00AC12B4">
            <w:pPr>
              <w:rPr>
                <w:sz w:val="5"/>
                <w:szCs w:val="5"/>
              </w:rPr>
            </w:pPr>
          </w:p>
        </w:tc>
        <w:tc>
          <w:tcPr>
            <w:tcW w:w="360" w:type="dxa"/>
            <w:vMerge/>
            <w:vAlign w:val="bottom"/>
          </w:tcPr>
          <w:p w:rsidR="00AC12B4" w:rsidRDefault="00AC12B4">
            <w:pPr>
              <w:rPr>
                <w:sz w:val="5"/>
                <w:szCs w:val="5"/>
              </w:rPr>
            </w:pPr>
          </w:p>
        </w:tc>
        <w:tc>
          <w:tcPr>
            <w:tcW w:w="260" w:type="dxa"/>
            <w:vAlign w:val="bottom"/>
          </w:tcPr>
          <w:p w:rsidR="00AC12B4" w:rsidRDefault="00AC12B4">
            <w:pPr>
              <w:rPr>
                <w:sz w:val="5"/>
                <w:szCs w:val="5"/>
              </w:rPr>
            </w:pPr>
          </w:p>
        </w:tc>
        <w:tc>
          <w:tcPr>
            <w:tcW w:w="440" w:type="dxa"/>
            <w:vMerge/>
            <w:vAlign w:val="bottom"/>
          </w:tcPr>
          <w:p w:rsidR="00AC12B4" w:rsidRDefault="00AC12B4">
            <w:pPr>
              <w:rPr>
                <w:sz w:val="5"/>
                <w:szCs w:val="5"/>
              </w:rPr>
            </w:pPr>
          </w:p>
        </w:tc>
        <w:tc>
          <w:tcPr>
            <w:tcW w:w="340" w:type="dxa"/>
            <w:vAlign w:val="bottom"/>
          </w:tcPr>
          <w:p w:rsidR="00AC12B4" w:rsidRDefault="00AC12B4">
            <w:pPr>
              <w:rPr>
                <w:sz w:val="5"/>
                <w:szCs w:val="5"/>
              </w:rPr>
            </w:pPr>
          </w:p>
        </w:tc>
        <w:tc>
          <w:tcPr>
            <w:tcW w:w="26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260" w:type="dxa"/>
            <w:vAlign w:val="bottom"/>
          </w:tcPr>
          <w:p w:rsidR="00AC12B4" w:rsidRDefault="00AC12B4">
            <w:pPr>
              <w:rPr>
                <w:sz w:val="5"/>
                <w:szCs w:val="5"/>
              </w:rPr>
            </w:pPr>
          </w:p>
        </w:tc>
        <w:tc>
          <w:tcPr>
            <w:tcW w:w="200" w:type="dxa"/>
            <w:vAlign w:val="bottom"/>
          </w:tcPr>
          <w:p w:rsidR="00AC12B4" w:rsidRDefault="00AC12B4">
            <w:pPr>
              <w:rPr>
                <w:sz w:val="5"/>
                <w:szCs w:val="5"/>
              </w:rPr>
            </w:pPr>
          </w:p>
        </w:tc>
        <w:tc>
          <w:tcPr>
            <w:tcW w:w="180" w:type="dxa"/>
            <w:vAlign w:val="bottom"/>
          </w:tcPr>
          <w:p w:rsidR="00AC12B4" w:rsidRDefault="00AC12B4">
            <w:pPr>
              <w:rPr>
                <w:sz w:val="5"/>
                <w:szCs w:val="5"/>
              </w:rPr>
            </w:pPr>
          </w:p>
        </w:tc>
        <w:tc>
          <w:tcPr>
            <w:tcW w:w="1080" w:type="dxa"/>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289"/>
        </w:trPr>
        <w:tc>
          <w:tcPr>
            <w:tcW w:w="6060" w:type="dxa"/>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 xml:space="preserve">3. Les Etats parties prennent toutes </w:t>
            </w:r>
            <w:r w:rsidRPr="00C27636">
              <w:rPr>
                <w:rFonts w:ascii="Calibri" w:eastAsia="Calibri" w:hAnsi="Calibri" w:cs="Calibri"/>
                <w:i/>
                <w:iCs/>
                <w:color w:val="EAF1DD"/>
                <w:sz w:val="20"/>
                <w:szCs w:val="20"/>
                <w:lang w:val="fr-BE"/>
              </w:rPr>
              <w:t>les mesures appropriées pour</w:t>
            </w:r>
          </w:p>
        </w:tc>
        <w:tc>
          <w:tcPr>
            <w:tcW w:w="18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1720" w:type="dxa"/>
            <w:gridSpan w:val="4"/>
            <w:vAlign w:val="bottom"/>
          </w:tcPr>
          <w:p w:rsidR="00AC12B4" w:rsidRDefault="00C27636">
            <w:pPr>
              <w:ind w:left="200"/>
              <w:rPr>
                <w:sz w:val="20"/>
                <w:szCs w:val="20"/>
              </w:rPr>
            </w:pPr>
            <w:r>
              <w:rPr>
                <w:rFonts w:ascii="Calibri" w:eastAsia="Calibri" w:hAnsi="Calibri" w:cs="Calibri"/>
              </w:rPr>
              <w:t>permettent pas</w:t>
            </w:r>
          </w:p>
        </w:tc>
        <w:tc>
          <w:tcPr>
            <w:tcW w:w="340" w:type="dxa"/>
            <w:tcBorders>
              <w:right w:val="single" w:sz="8" w:space="0" w:color="00923D"/>
            </w:tcBorders>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2100" w:type="dxa"/>
            <w:gridSpan w:val="6"/>
            <w:vMerge w:val="restart"/>
            <w:vAlign w:val="bottom"/>
          </w:tcPr>
          <w:p w:rsidR="00AC12B4" w:rsidRDefault="00C27636">
            <w:pPr>
              <w:ind w:right="114"/>
              <w:jc w:val="right"/>
              <w:rPr>
                <w:sz w:val="20"/>
                <w:szCs w:val="20"/>
              </w:rPr>
            </w:pPr>
            <w:r>
              <w:rPr>
                <w:rFonts w:ascii="Comic Sans MS" w:eastAsia="Comic Sans MS" w:hAnsi="Comic Sans MS" w:cs="Comic Sans MS"/>
                <w:color w:val="00923D"/>
                <w:sz w:val="72"/>
                <w:szCs w:val="72"/>
              </w:rPr>
              <w:t>-50%</w:t>
            </w:r>
          </w:p>
        </w:tc>
        <w:tc>
          <w:tcPr>
            <w:tcW w:w="0" w:type="dxa"/>
            <w:vAlign w:val="bottom"/>
          </w:tcPr>
          <w:p w:rsidR="00AC12B4" w:rsidRDefault="00AC12B4">
            <w:pPr>
              <w:rPr>
                <w:sz w:val="1"/>
                <w:szCs w:val="1"/>
              </w:rPr>
            </w:pPr>
          </w:p>
        </w:tc>
      </w:tr>
      <w:tr w:rsidR="00AC12B4">
        <w:trPr>
          <w:trHeight w:val="246"/>
        </w:trPr>
        <w:tc>
          <w:tcPr>
            <w:tcW w:w="6060" w:type="dxa"/>
            <w:tcBorders>
              <w:left w:val="single" w:sz="8" w:space="0" w:color="005022"/>
            </w:tcBorders>
            <w:shd w:val="clear" w:color="auto" w:fill="00923D"/>
            <w:vAlign w:val="bottom"/>
          </w:tcPr>
          <w:p w:rsidR="00AC12B4" w:rsidRPr="00C27636" w:rsidRDefault="00C27636">
            <w:pPr>
              <w:spacing w:line="199" w:lineRule="exact"/>
              <w:ind w:left="580"/>
              <w:rPr>
                <w:sz w:val="20"/>
                <w:szCs w:val="20"/>
                <w:lang w:val="fr-BE"/>
              </w:rPr>
            </w:pPr>
            <w:r w:rsidRPr="00C27636">
              <w:rPr>
                <w:rFonts w:ascii="Calibri" w:eastAsia="Calibri" w:hAnsi="Calibri" w:cs="Calibri"/>
                <w:i/>
                <w:iCs/>
                <w:color w:val="EAF1DD"/>
                <w:sz w:val="20"/>
                <w:szCs w:val="20"/>
                <w:lang w:val="fr-BE"/>
              </w:rPr>
              <w:t>assurer  aux  enfants  dont  les  parents  travaillent  le  droit  de</w:t>
            </w:r>
          </w:p>
        </w:tc>
        <w:tc>
          <w:tcPr>
            <w:tcW w:w="180" w:type="dxa"/>
            <w:tcBorders>
              <w:right w:val="single" w:sz="8" w:space="0" w:color="005022"/>
            </w:tcBorders>
            <w:shd w:val="clear" w:color="auto" w:fill="00923D"/>
            <w:vAlign w:val="bottom"/>
          </w:tcPr>
          <w:p w:rsidR="00AC12B4" w:rsidRPr="00C27636" w:rsidRDefault="00AC12B4">
            <w:pPr>
              <w:rPr>
                <w:sz w:val="21"/>
                <w:szCs w:val="21"/>
                <w:lang w:val="fr-BE"/>
              </w:rPr>
            </w:pPr>
          </w:p>
        </w:tc>
        <w:tc>
          <w:tcPr>
            <w:tcW w:w="1280" w:type="dxa"/>
            <w:gridSpan w:val="3"/>
            <w:vAlign w:val="bottom"/>
          </w:tcPr>
          <w:p w:rsidR="00AC12B4" w:rsidRDefault="00C27636">
            <w:pPr>
              <w:spacing w:line="246" w:lineRule="exact"/>
              <w:ind w:left="200"/>
              <w:rPr>
                <w:sz w:val="20"/>
                <w:szCs w:val="20"/>
              </w:rPr>
            </w:pPr>
            <w:r>
              <w:rPr>
                <w:rFonts w:ascii="Calibri" w:eastAsia="Calibri" w:hAnsi="Calibri" w:cs="Calibri"/>
              </w:rPr>
              <w:t>d’épuiser</w:t>
            </w:r>
          </w:p>
        </w:tc>
        <w:tc>
          <w:tcPr>
            <w:tcW w:w="440" w:type="dxa"/>
            <w:vAlign w:val="bottom"/>
          </w:tcPr>
          <w:p w:rsidR="00AC12B4" w:rsidRDefault="00C27636">
            <w:pPr>
              <w:spacing w:line="246" w:lineRule="exact"/>
              <w:jc w:val="right"/>
              <w:rPr>
                <w:sz w:val="20"/>
                <w:szCs w:val="20"/>
              </w:rPr>
            </w:pPr>
            <w:r>
              <w:rPr>
                <w:rFonts w:ascii="Calibri" w:eastAsia="Calibri" w:hAnsi="Calibri" w:cs="Calibri"/>
              </w:rPr>
              <w:t>les</w:t>
            </w:r>
          </w:p>
        </w:tc>
        <w:tc>
          <w:tcPr>
            <w:tcW w:w="340" w:type="dxa"/>
            <w:tcBorders>
              <w:right w:val="single" w:sz="8" w:space="0" w:color="00923D"/>
            </w:tcBorders>
            <w:vAlign w:val="bottom"/>
          </w:tcPr>
          <w:p w:rsidR="00AC12B4" w:rsidRDefault="00AC12B4">
            <w:pPr>
              <w:rPr>
                <w:sz w:val="21"/>
                <w:szCs w:val="21"/>
              </w:rPr>
            </w:pPr>
          </w:p>
        </w:tc>
        <w:tc>
          <w:tcPr>
            <w:tcW w:w="260" w:type="dxa"/>
            <w:vAlign w:val="bottom"/>
          </w:tcPr>
          <w:p w:rsidR="00AC12B4" w:rsidRDefault="00AC12B4">
            <w:pPr>
              <w:rPr>
                <w:sz w:val="21"/>
                <w:szCs w:val="21"/>
              </w:rPr>
            </w:pPr>
          </w:p>
        </w:tc>
        <w:tc>
          <w:tcPr>
            <w:tcW w:w="2100" w:type="dxa"/>
            <w:gridSpan w:val="6"/>
            <w:vMerge/>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97"/>
        </w:trPr>
        <w:tc>
          <w:tcPr>
            <w:tcW w:w="6060" w:type="dxa"/>
            <w:tcBorders>
              <w:left w:val="single" w:sz="8" w:space="0" w:color="005022"/>
            </w:tcBorders>
            <w:shd w:val="clear" w:color="auto" w:fill="00923D"/>
            <w:vAlign w:val="bottom"/>
          </w:tcPr>
          <w:p w:rsidR="00AC12B4" w:rsidRPr="00C27636" w:rsidRDefault="00C27636">
            <w:pPr>
              <w:spacing w:line="198" w:lineRule="exact"/>
              <w:ind w:left="580"/>
              <w:rPr>
                <w:sz w:val="20"/>
                <w:szCs w:val="20"/>
                <w:lang w:val="fr-BE"/>
              </w:rPr>
            </w:pPr>
            <w:r w:rsidRPr="00C27636">
              <w:rPr>
                <w:rFonts w:ascii="Calibri" w:eastAsia="Calibri" w:hAnsi="Calibri" w:cs="Calibri"/>
                <w:i/>
                <w:iCs/>
                <w:color w:val="EAF1DD"/>
                <w:sz w:val="20"/>
                <w:szCs w:val="20"/>
                <w:lang w:val="fr-BE"/>
              </w:rPr>
              <w:t>bénéficier des services et établissements de garde d’enfants pour</w:t>
            </w:r>
          </w:p>
        </w:tc>
        <w:tc>
          <w:tcPr>
            <w:tcW w:w="180" w:type="dxa"/>
            <w:tcBorders>
              <w:right w:val="single" w:sz="8" w:space="0" w:color="005022"/>
            </w:tcBorders>
            <w:shd w:val="clear" w:color="auto" w:fill="00923D"/>
            <w:vAlign w:val="bottom"/>
          </w:tcPr>
          <w:p w:rsidR="00AC12B4" w:rsidRPr="00C27636" w:rsidRDefault="00AC12B4">
            <w:pPr>
              <w:rPr>
                <w:sz w:val="17"/>
                <w:szCs w:val="17"/>
                <w:lang w:val="fr-BE"/>
              </w:rPr>
            </w:pPr>
          </w:p>
        </w:tc>
        <w:tc>
          <w:tcPr>
            <w:tcW w:w="1020" w:type="dxa"/>
            <w:gridSpan w:val="2"/>
            <w:vMerge w:val="restart"/>
            <w:vAlign w:val="bottom"/>
          </w:tcPr>
          <w:p w:rsidR="00AC12B4" w:rsidRDefault="00C27636">
            <w:pPr>
              <w:ind w:left="200"/>
              <w:rPr>
                <w:sz w:val="20"/>
                <w:szCs w:val="20"/>
              </w:rPr>
            </w:pPr>
            <w:r>
              <w:rPr>
                <w:rFonts w:ascii="Calibri" w:eastAsia="Calibri" w:hAnsi="Calibri" w:cs="Calibri"/>
              </w:rPr>
              <w:t>sommes</w:t>
            </w:r>
          </w:p>
        </w:tc>
        <w:tc>
          <w:tcPr>
            <w:tcW w:w="260" w:type="dxa"/>
            <w:vAlign w:val="bottom"/>
          </w:tcPr>
          <w:p w:rsidR="00AC12B4" w:rsidRDefault="00AC12B4">
            <w:pPr>
              <w:rPr>
                <w:sz w:val="17"/>
                <w:szCs w:val="17"/>
              </w:rPr>
            </w:pPr>
          </w:p>
        </w:tc>
        <w:tc>
          <w:tcPr>
            <w:tcW w:w="440" w:type="dxa"/>
            <w:vAlign w:val="bottom"/>
          </w:tcPr>
          <w:p w:rsidR="00AC12B4" w:rsidRDefault="00AC12B4">
            <w:pPr>
              <w:rPr>
                <w:sz w:val="17"/>
                <w:szCs w:val="17"/>
              </w:rPr>
            </w:pPr>
          </w:p>
        </w:tc>
        <w:tc>
          <w:tcPr>
            <w:tcW w:w="340" w:type="dxa"/>
            <w:tcBorders>
              <w:right w:val="single" w:sz="8" w:space="0" w:color="00923D"/>
            </w:tcBorders>
            <w:vAlign w:val="bottom"/>
          </w:tcPr>
          <w:p w:rsidR="00AC12B4" w:rsidRDefault="00AC12B4">
            <w:pPr>
              <w:rPr>
                <w:sz w:val="17"/>
                <w:szCs w:val="17"/>
              </w:rPr>
            </w:pPr>
          </w:p>
        </w:tc>
        <w:tc>
          <w:tcPr>
            <w:tcW w:w="260" w:type="dxa"/>
            <w:vAlign w:val="bottom"/>
          </w:tcPr>
          <w:p w:rsidR="00AC12B4" w:rsidRDefault="00AC12B4">
            <w:pPr>
              <w:rPr>
                <w:sz w:val="17"/>
                <w:szCs w:val="17"/>
              </w:rPr>
            </w:pPr>
          </w:p>
        </w:tc>
        <w:tc>
          <w:tcPr>
            <w:tcW w:w="2100" w:type="dxa"/>
            <w:gridSpan w:val="6"/>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rsidRPr="00C27636">
        <w:trPr>
          <w:trHeight w:val="95"/>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 xml:space="preserve">lesquels ils remplissent les </w:t>
            </w:r>
            <w:r w:rsidRPr="00C27636">
              <w:rPr>
                <w:rFonts w:ascii="Calibri" w:eastAsia="Calibri" w:hAnsi="Calibri" w:cs="Calibri"/>
                <w:i/>
                <w:iCs/>
                <w:color w:val="EAF1DD"/>
                <w:sz w:val="20"/>
                <w:szCs w:val="20"/>
                <w:lang w:val="fr-BE"/>
              </w:rPr>
              <w:t>conditions requises.</w:t>
            </w:r>
          </w:p>
        </w:tc>
        <w:tc>
          <w:tcPr>
            <w:tcW w:w="180" w:type="dxa"/>
            <w:tcBorders>
              <w:right w:val="single" w:sz="8" w:space="0" w:color="005022"/>
            </w:tcBorders>
            <w:shd w:val="clear" w:color="auto" w:fill="00923D"/>
            <w:vAlign w:val="bottom"/>
          </w:tcPr>
          <w:p w:rsidR="00AC12B4" w:rsidRPr="00C27636" w:rsidRDefault="00AC12B4">
            <w:pPr>
              <w:rPr>
                <w:sz w:val="8"/>
                <w:szCs w:val="8"/>
                <w:lang w:val="fr-BE"/>
              </w:rPr>
            </w:pPr>
          </w:p>
        </w:tc>
        <w:tc>
          <w:tcPr>
            <w:tcW w:w="1020" w:type="dxa"/>
            <w:gridSpan w:val="2"/>
            <w:vMerge/>
            <w:vAlign w:val="bottom"/>
          </w:tcPr>
          <w:p w:rsidR="00AC12B4" w:rsidRPr="00C27636" w:rsidRDefault="00AC12B4">
            <w:pPr>
              <w:rPr>
                <w:sz w:val="8"/>
                <w:szCs w:val="8"/>
                <w:lang w:val="fr-BE"/>
              </w:rPr>
            </w:pPr>
          </w:p>
        </w:tc>
        <w:tc>
          <w:tcPr>
            <w:tcW w:w="260" w:type="dxa"/>
            <w:vAlign w:val="bottom"/>
          </w:tcPr>
          <w:p w:rsidR="00AC12B4" w:rsidRPr="00C27636" w:rsidRDefault="00AC12B4">
            <w:pPr>
              <w:rPr>
                <w:sz w:val="8"/>
                <w:szCs w:val="8"/>
                <w:lang w:val="fr-BE"/>
              </w:rPr>
            </w:pPr>
          </w:p>
        </w:tc>
        <w:tc>
          <w:tcPr>
            <w:tcW w:w="440" w:type="dxa"/>
            <w:vAlign w:val="bottom"/>
          </w:tcPr>
          <w:p w:rsidR="00AC12B4" w:rsidRPr="00C27636" w:rsidRDefault="00AC12B4">
            <w:pPr>
              <w:rPr>
                <w:sz w:val="8"/>
                <w:szCs w:val="8"/>
                <w:lang w:val="fr-BE"/>
              </w:rPr>
            </w:pPr>
          </w:p>
        </w:tc>
        <w:tc>
          <w:tcPr>
            <w:tcW w:w="340" w:type="dxa"/>
            <w:tcBorders>
              <w:right w:val="single" w:sz="8" w:space="0" w:color="00923D"/>
            </w:tcBorders>
            <w:vAlign w:val="bottom"/>
          </w:tcPr>
          <w:p w:rsidR="00AC12B4" w:rsidRPr="00C27636" w:rsidRDefault="00AC12B4">
            <w:pPr>
              <w:rPr>
                <w:sz w:val="8"/>
                <w:szCs w:val="8"/>
                <w:lang w:val="fr-BE"/>
              </w:rPr>
            </w:pPr>
          </w:p>
        </w:tc>
        <w:tc>
          <w:tcPr>
            <w:tcW w:w="260" w:type="dxa"/>
            <w:vAlign w:val="bottom"/>
          </w:tcPr>
          <w:p w:rsidR="00AC12B4" w:rsidRPr="00C27636" w:rsidRDefault="00AC12B4">
            <w:pPr>
              <w:rPr>
                <w:sz w:val="8"/>
                <w:szCs w:val="8"/>
                <w:lang w:val="fr-BE"/>
              </w:rPr>
            </w:pPr>
          </w:p>
        </w:tc>
        <w:tc>
          <w:tcPr>
            <w:tcW w:w="2100" w:type="dxa"/>
            <w:gridSpan w:val="6"/>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150"/>
        </w:trPr>
        <w:tc>
          <w:tcPr>
            <w:tcW w:w="6060" w:type="dxa"/>
            <w:vMerge/>
            <w:tcBorders>
              <w:left w:val="single" w:sz="8" w:space="0" w:color="005022"/>
            </w:tcBorders>
            <w:shd w:val="clear" w:color="auto" w:fill="00923D"/>
            <w:vAlign w:val="bottom"/>
          </w:tcPr>
          <w:p w:rsidR="00AC12B4" w:rsidRPr="00C27636" w:rsidRDefault="00AC12B4">
            <w:pPr>
              <w:rPr>
                <w:sz w:val="13"/>
                <w:szCs w:val="13"/>
                <w:lang w:val="fr-BE"/>
              </w:rPr>
            </w:pPr>
          </w:p>
        </w:tc>
        <w:tc>
          <w:tcPr>
            <w:tcW w:w="180" w:type="dxa"/>
            <w:tcBorders>
              <w:right w:val="single" w:sz="8" w:space="0" w:color="005022"/>
            </w:tcBorders>
            <w:shd w:val="clear" w:color="auto" w:fill="00923D"/>
            <w:vAlign w:val="bottom"/>
          </w:tcPr>
          <w:p w:rsidR="00AC12B4" w:rsidRPr="00C27636" w:rsidRDefault="00AC12B4">
            <w:pPr>
              <w:rPr>
                <w:sz w:val="13"/>
                <w:szCs w:val="13"/>
                <w:lang w:val="fr-BE"/>
              </w:rPr>
            </w:pPr>
          </w:p>
        </w:tc>
        <w:tc>
          <w:tcPr>
            <w:tcW w:w="1280" w:type="dxa"/>
            <w:gridSpan w:val="3"/>
            <w:vMerge w:val="restart"/>
            <w:vAlign w:val="bottom"/>
          </w:tcPr>
          <w:p w:rsidR="00AC12B4" w:rsidRDefault="00C27636">
            <w:pPr>
              <w:ind w:left="200"/>
              <w:rPr>
                <w:sz w:val="20"/>
                <w:szCs w:val="20"/>
              </w:rPr>
            </w:pPr>
            <w:r>
              <w:rPr>
                <w:rFonts w:ascii="Calibri" w:eastAsia="Calibri" w:hAnsi="Calibri" w:cs="Calibri"/>
              </w:rPr>
              <w:t>exemptées</w:t>
            </w:r>
          </w:p>
        </w:tc>
        <w:tc>
          <w:tcPr>
            <w:tcW w:w="440" w:type="dxa"/>
            <w:vAlign w:val="bottom"/>
          </w:tcPr>
          <w:p w:rsidR="00AC12B4" w:rsidRDefault="00AC12B4">
            <w:pPr>
              <w:rPr>
                <w:sz w:val="13"/>
                <w:szCs w:val="13"/>
              </w:rPr>
            </w:pPr>
          </w:p>
        </w:tc>
        <w:tc>
          <w:tcPr>
            <w:tcW w:w="340" w:type="dxa"/>
            <w:tcBorders>
              <w:right w:val="single" w:sz="8" w:space="0" w:color="00923D"/>
            </w:tcBorders>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2100" w:type="dxa"/>
            <w:gridSpan w:val="6"/>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68"/>
        </w:trPr>
        <w:tc>
          <w:tcPr>
            <w:tcW w:w="6060" w:type="dxa"/>
            <w:tcBorders>
              <w:left w:val="single" w:sz="8" w:space="0" w:color="005022"/>
            </w:tcBorders>
            <w:shd w:val="clear" w:color="auto" w:fill="00923D"/>
            <w:vAlign w:val="bottom"/>
          </w:tcPr>
          <w:p w:rsidR="00AC12B4" w:rsidRDefault="00AC12B4">
            <w:pPr>
              <w:rPr>
                <w:sz w:val="14"/>
                <w:szCs w:val="14"/>
              </w:rPr>
            </w:pPr>
          </w:p>
        </w:tc>
        <w:tc>
          <w:tcPr>
            <w:tcW w:w="180" w:type="dxa"/>
            <w:tcBorders>
              <w:right w:val="single" w:sz="8" w:space="0" w:color="005022"/>
            </w:tcBorders>
            <w:shd w:val="clear" w:color="auto" w:fill="00923D"/>
            <w:vAlign w:val="bottom"/>
          </w:tcPr>
          <w:p w:rsidR="00AC12B4" w:rsidRDefault="00AC12B4">
            <w:pPr>
              <w:rPr>
                <w:sz w:val="14"/>
                <w:szCs w:val="14"/>
              </w:rPr>
            </w:pPr>
          </w:p>
        </w:tc>
        <w:tc>
          <w:tcPr>
            <w:tcW w:w="1280" w:type="dxa"/>
            <w:gridSpan w:val="3"/>
            <w:vMerge/>
            <w:vAlign w:val="bottom"/>
          </w:tcPr>
          <w:p w:rsidR="00AC12B4" w:rsidRDefault="00AC12B4">
            <w:pPr>
              <w:rPr>
                <w:sz w:val="14"/>
                <w:szCs w:val="14"/>
              </w:rPr>
            </w:pPr>
          </w:p>
        </w:tc>
        <w:tc>
          <w:tcPr>
            <w:tcW w:w="440" w:type="dxa"/>
            <w:vAlign w:val="bottom"/>
          </w:tcPr>
          <w:p w:rsidR="00AC12B4" w:rsidRDefault="00AC12B4">
            <w:pPr>
              <w:rPr>
                <w:sz w:val="14"/>
                <w:szCs w:val="14"/>
              </w:rPr>
            </w:pPr>
          </w:p>
        </w:tc>
        <w:tc>
          <w:tcPr>
            <w:tcW w:w="340" w:type="dxa"/>
            <w:tcBorders>
              <w:right w:val="single" w:sz="8" w:space="0" w:color="00923D"/>
            </w:tcBorders>
            <w:vAlign w:val="bottom"/>
          </w:tcPr>
          <w:p w:rsidR="00AC12B4" w:rsidRDefault="00AC12B4">
            <w:pPr>
              <w:rPr>
                <w:sz w:val="14"/>
                <w:szCs w:val="14"/>
              </w:rPr>
            </w:pPr>
          </w:p>
        </w:tc>
        <w:tc>
          <w:tcPr>
            <w:tcW w:w="260" w:type="dxa"/>
            <w:vAlign w:val="bottom"/>
          </w:tcPr>
          <w:p w:rsidR="00AC12B4" w:rsidRDefault="00AC12B4">
            <w:pPr>
              <w:rPr>
                <w:sz w:val="14"/>
                <w:szCs w:val="14"/>
              </w:rPr>
            </w:pPr>
          </w:p>
        </w:tc>
        <w:tc>
          <w:tcPr>
            <w:tcW w:w="2100" w:type="dxa"/>
            <w:gridSpan w:val="6"/>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220"/>
        </w:trPr>
        <w:tc>
          <w:tcPr>
            <w:tcW w:w="6060" w:type="dxa"/>
            <w:tcBorders>
              <w:left w:val="single" w:sz="8" w:space="0" w:color="005022"/>
            </w:tcBorders>
            <w:shd w:val="clear" w:color="auto" w:fill="00923D"/>
            <w:vAlign w:val="bottom"/>
          </w:tcPr>
          <w:p w:rsidR="00AC12B4" w:rsidRDefault="00C27636">
            <w:pPr>
              <w:spacing w:line="220" w:lineRule="exact"/>
              <w:ind w:left="580"/>
              <w:rPr>
                <w:sz w:val="20"/>
                <w:szCs w:val="20"/>
              </w:rPr>
            </w:pPr>
            <w:r>
              <w:rPr>
                <w:rFonts w:ascii="Calibri" w:eastAsia="Calibri" w:hAnsi="Calibri" w:cs="Calibri"/>
                <w:i/>
                <w:iCs/>
                <w:color w:val="EAF1DD"/>
              </w:rPr>
              <w:t>Article 27</w:t>
            </w:r>
          </w:p>
        </w:tc>
        <w:tc>
          <w:tcPr>
            <w:tcW w:w="180" w:type="dxa"/>
            <w:tcBorders>
              <w:right w:val="single" w:sz="8" w:space="0" w:color="005022"/>
            </w:tcBorders>
            <w:shd w:val="clear" w:color="auto" w:fill="00923D"/>
            <w:vAlign w:val="bottom"/>
          </w:tcPr>
          <w:p w:rsidR="00AC12B4" w:rsidRDefault="00AC12B4">
            <w:pPr>
              <w:rPr>
                <w:sz w:val="19"/>
                <w:szCs w:val="19"/>
              </w:rPr>
            </w:pPr>
          </w:p>
        </w:tc>
        <w:tc>
          <w:tcPr>
            <w:tcW w:w="1020" w:type="dxa"/>
            <w:gridSpan w:val="2"/>
            <w:vAlign w:val="bottom"/>
          </w:tcPr>
          <w:p w:rsidR="00AC12B4" w:rsidRDefault="00C27636">
            <w:pPr>
              <w:spacing w:line="220" w:lineRule="exact"/>
              <w:ind w:left="200"/>
              <w:rPr>
                <w:sz w:val="20"/>
                <w:szCs w:val="20"/>
              </w:rPr>
            </w:pPr>
            <w:r>
              <w:rPr>
                <w:rFonts w:ascii="Calibri" w:eastAsia="Calibri" w:hAnsi="Calibri" w:cs="Calibri"/>
              </w:rPr>
              <w:t>d’impôt,</w:t>
            </w:r>
          </w:p>
        </w:tc>
        <w:tc>
          <w:tcPr>
            <w:tcW w:w="260" w:type="dxa"/>
            <w:vAlign w:val="bottom"/>
          </w:tcPr>
          <w:p w:rsidR="00AC12B4" w:rsidRDefault="00AC12B4">
            <w:pPr>
              <w:rPr>
                <w:sz w:val="19"/>
                <w:szCs w:val="19"/>
              </w:rPr>
            </w:pPr>
          </w:p>
        </w:tc>
        <w:tc>
          <w:tcPr>
            <w:tcW w:w="440" w:type="dxa"/>
            <w:vAlign w:val="bottom"/>
          </w:tcPr>
          <w:p w:rsidR="00AC12B4" w:rsidRDefault="00C27636">
            <w:pPr>
              <w:spacing w:line="220" w:lineRule="exact"/>
              <w:jc w:val="right"/>
              <w:rPr>
                <w:sz w:val="20"/>
                <w:szCs w:val="20"/>
              </w:rPr>
            </w:pPr>
            <w:r>
              <w:rPr>
                <w:rFonts w:ascii="Calibri" w:eastAsia="Calibri" w:hAnsi="Calibri" w:cs="Calibri"/>
              </w:rPr>
              <w:t>au</w:t>
            </w:r>
          </w:p>
        </w:tc>
        <w:tc>
          <w:tcPr>
            <w:tcW w:w="340" w:type="dxa"/>
            <w:tcBorders>
              <w:right w:val="single" w:sz="8" w:space="0" w:color="00923D"/>
            </w:tcBorders>
            <w:vAlign w:val="bottom"/>
          </w:tcPr>
          <w:p w:rsidR="00AC12B4" w:rsidRDefault="00AC12B4">
            <w:pPr>
              <w:rPr>
                <w:sz w:val="19"/>
                <w:szCs w:val="19"/>
              </w:rPr>
            </w:pPr>
          </w:p>
        </w:tc>
        <w:tc>
          <w:tcPr>
            <w:tcW w:w="2360" w:type="dxa"/>
            <w:gridSpan w:val="7"/>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Les transferts sociaux</w:t>
            </w:r>
          </w:p>
        </w:tc>
        <w:tc>
          <w:tcPr>
            <w:tcW w:w="0" w:type="dxa"/>
            <w:vAlign w:val="bottom"/>
          </w:tcPr>
          <w:p w:rsidR="00AC12B4" w:rsidRDefault="00AC12B4">
            <w:pPr>
              <w:rPr>
                <w:sz w:val="1"/>
                <w:szCs w:val="1"/>
              </w:rPr>
            </w:pPr>
          </w:p>
        </w:tc>
      </w:tr>
      <w:tr w:rsidR="00AC12B4">
        <w:trPr>
          <w:trHeight w:val="119"/>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1. Les Etats parties reconnaissent le droit de tout enfant à un</w:t>
            </w:r>
          </w:p>
        </w:tc>
        <w:tc>
          <w:tcPr>
            <w:tcW w:w="180" w:type="dxa"/>
            <w:tcBorders>
              <w:right w:val="single" w:sz="8" w:space="0" w:color="005022"/>
            </w:tcBorders>
            <w:shd w:val="clear" w:color="auto" w:fill="00923D"/>
            <w:vAlign w:val="bottom"/>
          </w:tcPr>
          <w:p w:rsidR="00AC12B4" w:rsidRPr="00C27636" w:rsidRDefault="00AC12B4">
            <w:pPr>
              <w:rPr>
                <w:sz w:val="10"/>
                <w:szCs w:val="10"/>
                <w:lang w:val="fr-BE"/>
              </w:rPr>
            </w:pPr>
          </w:p>
        </w:tc>
        <w:tc>
          <w:tcPr>
            <w:tcW w:w="1020" w:type="dxa"/>
            <w:gridSpan w:val="2"/>
            <w:vMerge w:val="restart"/>
            <w:vAlign w:val="bottom"/>
          </w:tcPr>
          <w:p w:rsidR="00AC12B4" w:rsidRDefault="00C27636">
            <w:pPr>
              <w:ind w:left="200"/>
              <w:rPr>
                <w:sz w:val="20"/>
                <w:szCs w:val="20"/>
              </w:rPr>
            </w:pPr>
            <w:r>
              <w:rPr>
                <w:rFonts w:ascii="Calibri" w:eastAsia="Calibri" w:hAnsi="Calibri" w:cs="Calibri"/>
              </w:rPr>
              <w:t>revenu</w:t>
            </w:r>
          </w:p>
        </w:tc>
        <w:tc>
          <w:tcPr>
            <w:tcW w:w="260" w:type="dxa"/>
            <w:vAlign w:val="bottom"/>
          </w:tcPr>
          <w:p w:rsidR="00AC12B4" w:rsidRDefault="00AC12B4">
            <w:pPr>
              <w:rPr>
                <w:sz w:val="10"/>
                <w:szCs w:val="10"/>
              </w:rPr>
            </w:pPr>
          </w:p>
        </w:tc>
        <w:tc>
          <w:tcPr>
            <w:tcW w:w="440" w:type="dxa"/>
            <w:vAlign w:val="bottom"/>
          </w:tcPr>
          <w:p w:rsidR="00AC12B4" w:rsidRDefault="00AC12B4">
            <w:pPr>
              <w:rPr>
                <w:sz w:val="10"/>
                <w:szCs w:val="10"/>
              </w:rPr>
            </w:pPr>
          </w:p>
        </w:tc>
        <w:tc>
          <w:tcPr>
            <w:tcW w:w="340" w:type="dxa"/>
            <w:tcBorders>
              <w:right w:val="single" w:sz="8" w:space="0" w:color="00923D"/>
            </w:tcBorders>
            <w:vAlign w:val="bottom"/>
          </w:tcPr>
          <w:p w:rsidR="00AC12B4" w:rsidRDefault="00AC12B4">
            <w:pPr>
              <w:rPr>
                <w:sz w:val="10"/>
                <w:szCs w:val="10"/>
              </w:rPr>
            </w:pPr>
          </w:p>
        </w:tc>
        <w:tc>
          <w:tcPr>
            <w:tcW w:w="2360" w:type="dxa"/>
            <w:gridSpan w:val="7"/>
            <w:vMerge/>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50"/>
        </w:trPr>
        <w:tc>
          <w:tcPr>
            <w:tcW w:w="6060" w:type="dxa"/>
            <w:vMerge/>
            <w:tcBorders>
              <w:left w:val="single" w:sz="8" w:space="0" w:color="005022"/>
            </w:tcBorders>
            <w:shd w:val="clear" w:color="auto" w:fill="00923D"/>
            <w:vAlign w:val="bottom"/>
          </w:tcPr>
          <w:p w:rsidR="00AC12B4" w:rsidRDefault="00AC12B4">
            <w:pPr>
              <w:rPr>
                <w:sz w:val="13"/>
                <w:szCs w:val="13"/>
              </w:rPr>
            </w:pPr>
          </w:p>
        </w:tc>
        <w:tc>
          <w:tcPr>
            <w:tcW w:w="180" w:type="dxa"/>
            <w:tcBorders>
              <w:right w:val="single" w:sz="8" w:space="0" w:color="005022"/>
            </w:tcBorders>
            <w:shd w:val="clear" w:color="auto" w:fill="00923D"/>
            <w:vAlign w:val="bottom"/>
          </w:tcPr>
          <w:p w:rsidR="00AC12B4" w:rsidRDefault="00AC12B4">
            <w:pPr>
              <w:rPr>
                <w:sz w:val="13"/>
                <w:szCs w:val="13"/>
              </w:rPr>
            </w:pPr>
          </w:p>
        </w:tc>
        <w:tc>
          <w:tcPr>
            <w:tcW w:w="1020" w:type="dxa"/>
            <w:gridSpan w:val="2"/>
            <w:vMerge/>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440" w:type="dxa"/>
            <w:vAlign w:val="bottom"/>
          </w:tcPr>
          <w:p w:rsidR="00AC12B4" w:rsidRDefault="00AC12B4">
            <w:pPr>
              <w:rPr>
                <w:sz w:val="13"/>
                <w:szCs w:val="13"/>
              </w:rPr>
            </w:pPr>
          </w:p>
        </w:tc>
        <w:tc>
          <w:tcPr>
            <w:tcW w:w="340" w:type="dxa"/>
            <w:tcBorders>
              <w:right w:val="single" w:sz="8" w:space="0" w:color="00923D"/>
            </w:tcBorders>
            <w:vAlign w:val="bottom"/>
          </w:tcPr>
          <w:p w:rsidR="00AC12B4" w:rsidRDefault="00AC12B4">
            <w:pPr>
              <w:rPr>
                <w:sz w:val="13"/>
                <w:szCs w:val="13"/>
              </w:rPr>
            </w:pPr>
          </w:p>
        </w:tc>
        <w:tc>
          <w:tcPr>
            <w:tcW w:w="2360" w:type="dxa"/>
            <w:gridSpan w:val="7"/>
            <w:vMerge w:val="restart"/>
            <w:vAlign w:val="bottom"/>
          </w:tcPr>
          <w:p w:rsidR="00AC12B4" w:rsidRDefault="00C27636">
            <w:pPr>
              <w:spacing w:line="232" w:lineRule="exact"/>
              <w:ind w:left="160"/>
              <w:rPr>
                <w:sz w:val="20"/>
                <w:szCs w:val="20"/>
              </w:rPr>
            </w:pPr>
            <w:r>
              <w:rPr>
                <w:rFonts w:ascii="Comic Sans MS" w:eastAsia="Comic Sans MS" w:hAnsi="Comic Sans MS" w:cs="Comic Sans MS"/>
                <w:color w:val="0D0D0D"/>
                <w:sz w:val="20"/>
                <w:szCs w:val="20"/>
              </w:rPr>
              <w:t>ont permis en 2013 de</w:t>
            </w:r>
          </w:p>
        </w:tc>
        <w:tc>
          <w:tcPr>
            <w:tcW w:w="0" w:type="dxa"/>
            <w:vAlign w:val="bottom"/>
          </w:tcPr>
          <w:p w:rsidR="00AC12B4" w:rsidRDefault="00AC12B4">
            <w:pPr>
              <w:rPr>
                <w:sz w:val="1"/>
                <w:szCs w:val="1"/>
              </w:rPr>
            </w:pPr>
          </w:p>
        </w:tc>
      </w:tr>
      <w:tr w:rsidR="00AC12B4">
        <w:trPr>
          <w:trHeight w:val="82"/>
        </w:trPr>
        <w:tc>
          <w:tcPr>
            <w:tcW w:w="6060" w:type="dxa"/>
            <w:vMerge/>
            <w:tcBorders>
              <w:left w:val="single" w:sz="8" w:space="0" w:color="005022"/>
            </w:tcBorders>
            <w:shd w:val="clear" w:color="auto" w:fill="00923D"/>
            <w:vAlign w:val="bottom"/>
          </w:tcPr>
          <w:p w:rsidR="00AC12B4" w:rsidRDefault="00AC12B4">
            <w:pPr>
              <w:rPr>
                <w:sz w:val="7"/>
                <w:szCs w:val="7"/>
              </w:rPr>
            </w:pPr>
          </w:p>
        </w:tc>
        <w:tc>
          <w:tcPr>
            <w:tcW w:w="180" w:type="dxa"/>
            <w:tcBorders>
              <w:right w:val="single" w:sz="8" w:space="0" w:color="005022"/>
            </w:tcBorders>
            <w:shd w:val="clear" w:color="auto" w:fill="00923D"/>
            <w:vAlign w:val="bottom"/>
          </w:tcPr>
          <w:p w:rsidR="00AC12B4" w:rsidRDefault="00AC12B4">
            <w:pPr>
              <w:rPr>
                <w:sz w:val="7"/>
                <w:szCs w:val="7"/>
              </w:rPr>
            </w:pPr>
          </w:p>
        </w:tc>
        <w:tc>
          <w:tcPr>
            <w:tcW w:w="1280" w:type="dxa"/>
            <w:gridSpan w:val="3"/>
            <w:vMerge w:val="restart"/>
            <w:vAlign w:val="bottom"/>
          </w:tcPr>
          <w:p w:rsidR="00AC12B4" w:rsidRDefault="00C27636">
            <w:pPr>
              <w:ind w:left="200"/>
              <w:rPr>
                <w:sz w:val="20"/>
                <w:szCs w:val="20"/>
              </w:rPr>
            </w:pPr>
            <w:r>
              <w:rPr>
                <w:rFonts w:ascii="Calibri" w:eastAsia="Calibri" w:hAnsi="Calibri" w:cs="Calibri"/>
              </w:rPr>
              <w:t>d'insertion</w:t>
            </w:r>
          </w:p>
        </w:tc>
        <w:tc>
          <w:tcPr>
            <w:tcW w:w="440" w:type="dxa"/>
            <w:vAlign w:val="bottom"/>
          </w:tcPr>
          <w:p w:rsidR="00AC12B4" w:rsidRDefault="00AC12B4">
            <w:pPr>
              <w:rPr>
                <w:sz w:val="7"/>
                <w:szCs w:val="7"/>
              </w:rPr>
            </w:pPr>
          </w:p>
        </w:tc>
        <w:tc>
          <w:tcPr>
            <w:tcW w:w="340" w:type="dxa"/>
            <w:tcBorders>
              <w:right w:val="single" w:sz="8" w:space="0" w:color="00923D"/>
            </w:tcBorders>
            <w:vAlign w:val="bottom"/>
          </w:tcPr>
          <w:p w:rsidR="00AC12B4" w:rsidRDefault="00AC12B4">
            <w:pPr>
              <w:rPr>
                <w:sz w:val="7"/>
                <w:szCs w:val="7"/>
              </w:rPr>
            </w:pPr>
          </w:p>
        </w:tc>
        <w:tc>
          <w:tcPr>
            <w:tcW w:w="2360" w:type="dxa"/>
            <w:gridSpan w:val="7"/>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97"/>
        </w:trPr>
        <w:tc>
          <w:tcPr>
            <w:tcW w:w="6240" w:type="dxa"/>
            <w:gridSpan w:val="2"/>
            <w:tcBorders>
              <w:left w:val="single" w:sz="8" w:space="0" w:color="005022"/>
              <w:right w:val="single" w:sz="8" w:space="0" w:color="005022"/>
            </w:tcBorders>
            <w:shd w:val="clear" w:color="auto" w:fill="00923D"/>
            <w:vAlign w:val="bottom"/>
          </w:tcPr>
          <w:p w:rsidR="00AC12B4" w:rsidRPr="00C27636" w:rsidRDefault="00C27636">
            <w:pPr>
              <w:spacing w:line="198" w:lineRule="exact"/>
              <w:ind w:left="580"/>
              <w:rPr>
                <w:sz w:val="20"/>
                <w:szCs w:val="20"/>
                <w:lang w:val="fr-BE"/>
              </w:rPr>
            </w:pPr>
            <w:r w:rsidRPr="00C27636">
              <w:rPr>
                <w:rFonts w:ascii="Calibri" w:eastAsia="Calibri" w:hAnsi="Calibri" w:cs="Calibri"/>
                <w:i/>
                <w:iCs/>
                <w:color w:val="EAF1DD"/>
                <w:sz w:val="20"/>
                <w:szCs w:val="20"/>
                <w:lang w:val="fr-BE"/>
              </w:rPr>
              <w:t xml:space="preserve">niveau  de  vie  </w:t>
            </w:r>
            <w:r w:rsidRPr="00C27636">
              <w:rPr>
                <w:rFonts w:ascii="Calibri" w:eastAsia="Calibri" w:hAnsi="Calibri" w:cs="Calibri"/>
                <w:i/>
                <w:iCs/>
                <w:color w:val="EAF1DD"/>
                <w:sz w:val="20"/>
                <w:szCs w:val="20"/>
                <w:lang w:val="fr-BE"/>
              </w:rPr>
              <w:t>suffisant  pour  permettre  son  développement</w:t>
            </w:r>
          </w:p>
        </w:tc>
        <w:tc>
          <w:tcPr>
            <w:tcW w:w="1280" w:type="dxa"/>
            <w:gridSpan w:val="3"/>
            <w:vMerge/>
            <w:vAlign w:val="bottom"/>
          </w:tcPr>
          <w:p w:rsidR="00AC12B4" w:rsidRPr="00C27636" w:rsidRDefault="00AC12B4">
            <w:pPr>
              <w:rPr>
                <w:sz w:val="17"/>
                <w:szCs w:val="17"/>
                <w:lang w:val="fr-BE"/>
              </w:rPr>
            </w:pPr>
          </w:p>
        </w:tc>
        <w:tc>
          <w:tcPr>
            <w:tcW w:w="440" w:type="dxa"/>
            <w:vAlign w:val="bottom"/>
          </w:tcPr>
          <w:p w:rsidR="00AC12B4" w:rsidRPr="00C27636" w:rsidRDefault="00AC12B4">
            <w:pPr>
              <w:rPr>
                <w:sz w:val="17"/>
                <w:szCs w:val="17"/>
                <w:lang w:val="fr-BE"/>
              </w:rPr>
            </w:pPr>
          </w:p>
        </w:tc>
        <w:tc>
          <w:tcPr>
            <w:tcW w:w="340" w:type="dxa"/>
            <w:tcBorders>
              <w:right w:val="single" w:sz="8" w:space="0" w:color="00923D"/>
            </w:tcBorders>
            <w:vAlign w:val="bottom"/>
          </w:tcPr>
          <w:p w:rsidR="00AC12B4" w:rsidRPr="00C27636" w:rsidRDefault="00AC12B4">
            <w:pPr>
              <w:rPr>
                <w:sz w:val="17"/>
                <w:szCs w:val="17"/>
                <w:lang w:val="fr-BE"/>
              </w:rPr>
            </w:pPr>
          </w:p>
        </w:tc>
        <w:tc>
          <w:tcPr>
            <w:tcW w:w="900" w:type="dxa"/>
            <w:gridSpan w:val="4"/>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réduire</w:t>
            </w:r>
          </w:p>
        </w:tc>
        <w:tc>
          <w:tcPr>
            <w:tcW w:w="380" w:type="dxa"/>
            <w:gridSpan w:val="2"/>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de</w:t>
            </w:r>
          </w:p>
        </w:tc>
        <w:tc>
          <w:tcPr>
            <w:tcW w:w="1080" w:type="dxa"/>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plus  de  la</w:t>
            </w:r>
          </w:p>
        </w:tc>
        <w:tc>
          <w:tcPr>
            <w:tcW w:w="0" w:type="dxa"/>
            <w:vAlign w:val="bottom"/>
          </w:tcPr>
          <w:p w:rsidR="00AC12B4" w:rsidRDefault="00AC12B4">
            <w:pPr>
              <w:rPr>
                <w:sz w:val="1"/>
                <w:szCs w:val="1"/>
              </w:rPr>
            </w:pPr>
          </w:p>
        </w:tc>
      </w:tr>
      <w:tr w:rsidR="00AC12B4">
        <w:trPr>
          <w:trHeight w:val="128"/>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physique, mental, spirituel, moral et social.</w:t>
            </w:r>
          </w:p>
        </w:tc>
        <w:tc>
          <w:tcPr>
            <w:tcW w:w="180" w:type="dxa"/>
            <w:tcBorders>
              <w:right w:val="single" w:sz="8" w:space="0" w:color="005022"/>
            </w:tcBorders>
            <w:shd w:val="clear" w:color="auto" w:fill="00923D"/>
            <w:vAlign w:val="bottom"/>
          </w:tcPr>
          <w:p w:rsidR="00AC12B4" w:rsidRPr="00C27636" w:rsidRDefault="00AC12B4">
            <w:pPr>
              <w:rPr>
                <w:sz w:val="11"/>
                <w:szCs w:val="11"/>
                <w:lang w:val="fr-BE"/>
              </w:rPr>
            </w:pPr>
          </w:p>
        </w:tc>
        <w:tc>
          <w:tcPr>
            <w:tcW w:w="1020" w:type="dxa"/>
            <w:gridSpan w:val="2"/>
            <w:vMerge w:val="restart"/>
            <w:vAlign w:val="bottom"/>
          </w:tcPr>
          <w:p w:rsidR="00AC12B4" w:rsidRDefault="00C27636">
            <w:pPr>
              <w:spacing w:line="258" w:lineRule="exact"/>
              <w:ind w:left="200"/>
              <w:rPr>
                <w:sz w:val="20"/>
                <w:szCs w:val="20"/>
              </w:rPr>
            </w:pPr>
            <w:r>
              <w:rPr>
                <w:rFonts w:ascii="Calibri" w:eastAsia="Calibri" w:hAnsi="Calibri" w:cs="Calibri"/>
              </w:rPr>
              <w:t>sociale</w:t>
            </w:r>
          </w:p>
        </w:tc>
        <w:tc>
          <w:tcPr>
            <w:tcW w:w="700" w:type="dxa"/>
            <w:gridSpan w:val="2"/>
            <w:vMerge w:val="restart"/>
            <w:vAlign w:val="bottom"/>
          </w:tcPr>
          <w:p w:rsidR="00AC12B4" w:rsidRDefault="00C27636">
            <w:pPr>
              <w:spacing w:line="258" w:lineRule="exact"/>
              <w:jc w:val="right"/>
              <w:rPr>
                <w:sz w:val="20"/>
                <w:szCs w:val="20"/>
              </w:rPr>
            </w:pPr>
            <w:r>
              <w:rPr>
                <w:rFonts w:ascii="Calibri" w:eastAsia="Calibri" w:hAnsi="Calibri" w:cs="Calibri"/>
                <w:w w:val="95"/>
              </w:rPr>
              <w:t>adapté</w:t>
            </w:r>
          </w:p>
        </w:tc>
        <w:tc>
          <w:tcPr>
            <w:tcW w:w="340" w:type="dxa"/>
            <w:tcBorders>
              <w:right w:val="single" w:sz="8" w:space="0" w:color="00923D"/>
            </w:tcBorders>
            <w:vAlign w:val="bottom"/>
          </w:tcPr>
          <w:p w:rsidR="00AC12B4" w:rsidRDefault="00AC12B4">
            <w:pPr>
              <w:rPr>
                <w:sz w:val="11"/>
                <w:szCs w:val="11"/>
              </w:rPr>
            </w:pPr>
          </w:p>
        </w:tc>
        <w:tc>
          <w:tcPr>
            <w:tcW w:w="900" w:type="dxa"/>
            <w:gridSpan w:val="4"/>
            <w:vMerge/>
            <w:vAlign w:val="bottom"/>
          </w:tcPr>
          <w:p w:rsidR="00AC12B4" w:rsidRDefault="00AC12B4">
            <w:pPr>
              <w:rPr>
                <w:sz w:val="11"/>
                <w:szCs w:val="11"/>
              </w:rPr>
            </w:pPr>
          </w:p>
        </w:tc>
        <w:tc>
          <w:tcPr>
            <w:tcW w:w="380" w:type="dxa"/>
            <w:gridSpan w:val="2"/>
            <w:vMerge/>
            <w:vAlign w:val="bottom"/>
          </w:tcPr>
          <w:p w:rsidR="00AC12B4" w:rsidRDefault="00AC12B4">
            <w:pPr>
              <w:rPr>
                <w:sz w:val="11"/>
                <w:szCs w:val="11"/>
              </w:rPr>
            </w:pPr>
          </w:p>
        </w:tc>
        <w:tc>
          <w:tcPr>
            <w:tcW w:w="1080" w:type="dxa"/>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0"/>
        </w:trPr>
        <w:tc>
          <w:tcPr>
            <w:tcW w:w="6060" w:type="dxa"/>
            <w:vMerge/>
            <w:tcBorders>
              <w:left w:val="single" w:sz="8" w:space="0" w:color="005022"/>
            </w:tcBorders>
            <w:shd w:val="clear" w:color="auto" w:fill="00923D"/>
            <w:vAlign w:val="bottom"/>
          </w:tcPr>
          <w:p w:rsidR="00AC12B4" w:rsidRDefault="00AC12B4">
            <w:pPr>
              <w:rPr>
                <w:sz w:val="11"/>
                <w:szCs w:val="11"/>
              </w:rPr>
            </w:pPr>
          </w:p>
        </w:tc>
        <w:tc>
          <w:tcPr>
            <w:tcW w:w="180" w:type="dxa"/>
            <w:tcBorders>
              <w:right w:val="single" w:sz="8" w:space="0" w:color="005022"/>
            </w:tcBorders>
            <w:shd w:val="clear" w:color="auto" w:fill="00923D"/>
            <w:vAlign w:val="bottom"/>
          </w:tcPr>
          <w:p w:rsidR="00AC12B4" w:rsidRDefault="00AC12B4">
            <w:pPr>
              <w:rPr>
                <w:sz w:val="11"/>
                <w:szCs w:val="11"/>
              </w:rPr>
            </w:pPr>
          </w:p>
        </w:tc>
        <w:tc>
          <w:tcPr>
            <w:tcW w:w="1020" w:type="dxa"/>
            <w:gridSpan w:val="2"/>
            <w:vMerge/>
            <w:vAlign w:val="bottom"/>
          </w:tcPr>
          <w:p w:rsidR="00AC12B4" w:rsidRDefault="00AC12B4">
            <w:pPr>
              <w:rPr>
                <w:sz w:val="11"/>
                <w:szCs w:val="11"/>
              </w:rPr>
            </w:pPr>
          </w:p>
        </w:tc>
        <w:tc>
          <w:tcPr>
            <w:tcW w:w="700" w:type="dxa"/>
            <w:gridSpan w:val="2"/>
            <w:vMerge/>
            <w:vAlign w:val="bottom"/>
          </w:tcPr>
          <w:p w:rsidR="00AC12B4" w:rsidRDefault="00AC12B4">
            <w:pPr>
              <w:rPr>
                <w:sz w:val="11"/>
                <w:szCs w:val="11"/>
              </w:rPr>
            </w:pPr>
          </w:p>
        </w:tc>
        <w:tc>
          <w:tcPr>
            <w:tcW w:w="340" w:type="dxa"/>
            <w:tcBorders>
              <w:right w:val="single" w:sz="8" w:space="0" w:color="00923D"/>
            </w:tcBorders>
            <w:vAlign w:val="bottom"/>
          </w:tcPr>
          <w:p w:rsidR="00AC12B4" w:rsidRDefault="00AC12B4">
            <w:pPr>
              <w:rPr>
                <w:sz w:val="11"/>
                <w:szCs w:val="11"/>
              </w:rPr>
            </w:pPr>
          </w:p>
        </w:tc>
        <w:tc>
          <w:tcPr>
            <w:tcW w:w="900" w:type="dxa"/>
            <w:gridSpan w:val="4"/>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moitié</w:t>
            </w:r>
          </w:p>
        </w:tc>
        <w:tc>
          <w:tcPr>
            <w:tcW w:w="200" w:type="dxa"/>
            <w:vMerge w:val="restart"/>
            <w:vAlign w:val="bottom"/>
          </w:tcPr>
          <w:p w:rsidR="00AC12B4" w:rsidRDefault="00C27636">
            <w:pPr>
              <w:rPr>
                <w:sz w:val="20"/>
                <w:szCs w:val="20"/>
              </w:rPr>
            </w:pPr>
            <w:r>
              <w:rPr>
                <w:rFonts w:ascii="Comic Sans MS" w:eastAsia="Comic Sans MS" w:hAnsi="Comic Sans MS" w:cs="Comic Sans MS"/>
                <w:color w:val="0D0D0D"/>
                <w:sz w:val="20"/>
                <w:szCs w:val="20"/>
              </w:rPr>
              <w:t>le</w:t>
            </w:r>
          </w:p>
        </w:tc>
        <w:tc>
          <w:tcPr>
            <w:tcW w:w="1260" w:type="dxa"/>
            <w:gridSpan w:val="2"/>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pourcentage</w:t>
            </w:r>
          </w:p>
        </w:tc>
        <w:tc>
          <w:tcPr>
            <w:tcW w:w="0" w:type="dxa"/>
            <w:vAlign w:val="bottom"/>
          </w:tcPr>
          <w:p w:rsidR="00AC12B4" w:rsidRDefault="00AC12B4">
            <w:pPr>
              <w:rPr>
                <w:sz w:val="1"/>
                <w:szCs w:val="1"/>
              </w:rPr>
            </w:pPr>
          </w:p>
        </w:tc>
      </w:tr>
      <w:tr w:rsidR="00AC12B4">
        <w:trPr>
          <w:trHeight w:val="148"/>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 xml:space="preserve">3. Les Etats parties adoptent les mesures appropriées, compte </w:t>
            </w:r>
            <w:r w:rsidRPr="00C27636">
              <w:rPr>
                <w:rFonts w:ascii="Calibri" w:eastAsia="Calibri" w:hAnsi="Calibri" w:cs="Calibri"/>
                <w:i/>
                <w:iCs/>
                <w:color w:val="EAF1DD"/>
                <w:sz w:val="20"/>
                <w:szCs w:val="20"/>
                <w:lang w:val="fr-BE"/>
              </w:rPr>
              <w:lastRenderedPageBreak/>
              <w:t>tenu</w:t>
            </w:r>
          </w:p>
        </w:tc>
        <w:tc>
          <w:tcPr>
            <w:tcW w:w="180" w:type="dxa"/>
            <w:tcBorders>
              <w:right w:val="single" w:sz="8" w:space="0" w:color="005022"/>
            </w:tcBorders>
            <w:shd w:val="clear" w:color="auto" w:fill="00923D"/>
            <w:vAlign w:val="bottom"/>
          </w:tcPr>
          <w:p w:rsidR="00AC12B4" w:rsidRPr="00C27636" w:rsidRDefault="00AC12B4">
            <w:pPr>
              <w:rPr>
                <w:sz w:val="12"/>
                <w:szCs w:val="12"/>
                <w:lang w:val="fr-BE"/>
              </w:rPr>
            </w:pPr>
          </w:p>
        </w:tc>
        <w:tc>
          <w:tcPr>
            <w:tcW w:w="660" w:type="dxa"/>
            <w:vMerge w:val="restart"/>
            <w:vAlign w:val="bottom"/>
          </w:tcPr>
          <w:p w:rsidR="00AC12B4" w:rsidRDefault="00C27636">
            <w:pPr>
              <w:spacing w:line="267" w:lineRule="exact"/>
              <w:ind w:left="200"/>
              <w:rPr>
                <w:sz w:val="20"/>
                <w:szCs w:val="20"/>
              </w:rPr>
            </w:pPr>
            <w:r>
              <w:rPr>
                <w:rFonts w:ascii="Calibri" w:eastAsia="Calibri" w:hAnsi="Calibri" w:cs="Calibri"/>
              </w:rPr>
              <w:t>pour</w:t>
            </w:r>
          </w:p>
        </w:tc>
        <w:tc>
          <w:tcPr>
            <w:tcW w:w="1060" w:type="dxa"/>
            <w:gridSpan w:val="3"/>
            <w:vMerge w:val="restart"/>
            <w:vAlign w:val="bottom"/>
          </w:tcPr>
          <w:p w:rsidR="00AC12B4" w:rsidRDefault="00C27636">
            <w:pPr>
              <w:spacing w:line="267" w:lineRule="exact"/>
              <w:jc w:val="right"/>
              <w:rPr>
                <w:sz w:val="20"/>
                <w:szCs w:val="20"/>
              </w:rPr>
            </w:pPr>
            <w:r>
              <w:rPr>
                <w:rFonts w:ascii="Calibri" w:eastAsia="Calibri" w:hAnsi="Calibri" w:cs="Calibri"/>
              </w:rPr>
              <w:t>familles,</w:t>
            </w:r>
          </w:p>
        </w:tc>
        <w:tc>
          <w:tcPr>
            <w:tcW w:w="340" w:type="dxa"/>
            <w:tcBorders>
              <w:right w:val="single" w:sz="8" w:space="0" w:color="00923D"/>
            </w:tcBorders>
            <w:vAlign w:val="bottom"/>
          </w:tcPr>
          <w:p w:rsidR="00AC12B4" w:rsidRDefault="00AC12B4">
            <w:pPr>
              <w:rPr>
                <w:sz w:val="12"/>
                <w:szCs w:val="12"/>
              </w:rPr>
            </w:pPr>
          </w:p>
        </w:tc>
        <w:tc>
          <w:tcPr>
            <w:tcW w:w="900" w:type="dxa"/>
            <w:gridSpan w:val="4"/>
            <w:vMerge/>
            <w:vAlign w:val="bottom"/>
          </w:tcPr>
          <w:p w:rsidR="00AC12B4" w:rsidRDefault="00AC12B4">
            <w:pPr>
              <w:rPr>
                <w:sz w:val="12"/>
                <w:szCs w:val="12"/>
              </w:rPr>
            </w:pPr>
          </w:p>
        </w:tc>
        <w:tc>
          <w:tcPr>
            <w:tcW w:w="200" w:type="dxa"/>
            <w:vMerge/>
            <w:vAlign w:val="bottom"/>
          </w:tcPr>
          <w:p w:rsidR="00AC12B4" w:rsidRDefault="00AC12B4">
            <w:pPr>
              <w:rPr>
                <w:sz w:val="12"/>
                <w:szCs w:val="12"/>
              </w:rPr>
            </w:pPr>
          </w:p>
        </w:tc>
        <w:tc>
          <w:tcPr>
            <w:tcW w:w="1260" w:type="dxa"/>
            <w:gridSpan w:val="2"/>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44"/>
        </w:trPr>
        <w:tc>
          <w:tcPr>
            <w:tcW w:w="6060" w:type="dxa"/>
            <w:vMerge/>
            <w:tcBorders>
              <w:left w:val="single" w:sz="8" w:space="0" w:color="005022"/>
            </w:tcBorders>
            <w:shd w:val="clear" w:color="auto" w:fill="00923D"/>
            <w:vAlign w:val="bottom"/>
          </w:tcPr>
          <w:p w:rsidR="00AC12B4" w:rsidRDefault="00AC12B4">
            <w:pPr>
              <w:rPr>
                <w:sz w:val="12"/>
                <w:szCs w:val="12"/>
              </w:rPr>
            </w:pPr>
          </w:p>
        </w:tc>
        <w:tc>
          <w:tcPr>
            <w:tcW w:w="180" w:type="dxa"/>
            <w:tcBorders>
              <w:right w:val="single" w:sz="8" w:space="0" w:color="005022"/>
            </w:tcBorders>
            <w:shd w:val="clear" w:color="auto" w:fill="00923D"/>
            <w:vAlign w:val="bottom"/>
          </w:tcPr>
          <w:p w:rsidR="00AC12B4" w:rsidRDefault="00AC12B4">
            <w:pPr>
              <w:rPr>
                <w:sz w:val="12"/>
                <w:szCs w:val="12"/>
              </w:rPr>
            </w:pPr>
          </w:p>
        </w:tc>
        <w:tc>
          <w:tcPr>
            <w:tcW w:w="660" w:type="dxa"/>
            <w:vMerge/>
            <w:vAlign w:val="bottom"/>
          </w:tcPr>
          <w:p w:rsidR="00AC12B4" w:rsidRDefault="00AC12B4">
            <w:pPr>
              <w:rPr>
                <w:sz w:val="12"/>
                <w:szCs w:val="12"/>
              </w:rPr>
            </w:pPr>
          </w:p>
        </w:tc>
        <w:tc>
          <w:tcPr>
            <w:tcW w:w="1060" w:type="dxa"/>
            <w:gridSpan w:val="3"/>
            <w:vMerge/>
            <w:vAlign w:val="bottom"/>
          </w:tcPr>
          <w:p w:rsidR="00AC12B4" w:rsidRDefault="00AC12B4">
            <w:pPr>
              <w:rPr>
                <w:sz w:val="12"/>
                <w:szCs w:val="12"/>
              </w:rPr>
            </w:pPr>
          </w:p>
        </w:tc>
        <w:tc>
          <w:tcPr>
            <w:tcW w:w="340" w:type="dxa"/>
            <w:tcBorders>
              <w:right w:val="single" w:sz="8" w:space="0" w:color="00923D"/>
            </w:tcBorders>
            <w:vAlign w:val="bottom"/>
          </w:tcPr>
          <w:p w:rsidR="00AC12B4" w:rsidRDefault="00AC12B4">
            <w:pPr>
              <w:rPr>
                <w:sz w:val="12"/>
                <w:szCs w:val="12"/>
              </w:rPr>
            </w:pPr>
          </w:p>
        </w:tc>
        <w:tc>
          <w:tcPr>
            <w:tcW w:w="1100" w:type="dxa"/>
            <w:gridSpan w:val="5"/>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d’enfant</w:t>
            </w:r>
            <w:r>
              <w:rPr>
                <w:rFonts w:ascii="Comic Sans MS" w:eastAsia="Comic Sans MS" w:hAnsi="Comic Sans MS" w:cs="Comic Sans MS"/>
                <w:color w:val="0D0D0D"/>
                <w:sz w:val="20"/>
                <w:szCs w:val="20"/>
              </w:rPr>
              <w:lastRenderedPageBreak/>
              <w:t>s</w:t>
            </w:r>
          </w:p>
        </w:tc>
        <w:tc>
          <w:tcPr>
            <w:tcW w:w="1260" w:type="dxa"/>
            <w:gridSpan w:val="2"/>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lastRenderedPageBreak/>
              <w:t xml:space="preserve">en risque </w:t>
            </w:r>
            <w:r>
              <w:rPr>
                <w:rFonts w:ascii="Comic Sans MS" w:eastAsia="Comic Sans MS" w:hAnsi="Comic Sans MS" w:cs="Comic Sans MS"/>
                <w:color w:val="0D0D0D"/>
                <w:sz w:val="20"/>
                <w:szCs w:val="20"/>
              </w:rPr>
              <w:lastRenderedPageBreak/>
              <w:t>de</w:t>
            </w:r>
          </w:p>
        </w:tc>
        <w:tc>
          <w:tcPr>
            <w:tcW w:w="0" w:type="dxa"/>
            <w:vAlign w:val="bottom"/>
          </w:tcPr>
          <w:p w:rsidR="00AC12B4" w:rsidRDefault="00AC12B4">
            <w:pPr>
              <w:rPr>
                <w:sz w:val="1"/>
                <w:szCs w:val="1"/>
              </w:rPr>
            </w:pPr>
          </w:p>
        </w:tc>
      </w:tr>
      <w:tr w:rsidR="00AC12B4">
        <w:trPr>
          <w:trHeight w:val="135"/>
        </w:trPr>
        <w:tc>
          <w:tcPr>
            <w:tcW w:w="6240" w:type="dxa"/>
            <w:gridSpan w:val="2"/>
            <w:vMerge w:val="restart"/>
            <w:tcBorders>
              <w:left w:val="single" w:sz="8" w:space="0" w:color="005022"/>
              <w:right w:val="single" w:sz="8" w:space="0" w:color="005022"/>
            </w:tcBorders>
            <w:shd w:val="clear" w:color="auto" w:fill="00923D"/>
            <w:vAlign w:val="bottom"/>
          </w:tcPr>
          <w:p w:rsidR="00AC12B4" w:rsidRPr="00C27636" w:rsidRDefault="00C27636">
            <w:pPr>
              <w:spacing w:line="243" w:lineRule="exact"/>
              <w:ind w:left="580"/>
              <w:rPr>
                <w:sz w:val="20"/>
                <w:szCs w:val="20"/>
                <w:lang w:val="fr-BE"/>
              </w:rPr>
            </w:pPr>
            <w:r w:rsidRPr="00C27636">
              <w:rPr>
                <w:rFonts w:ascii="Calibri" w:eastAsia="Calibri" w:hAnsi="Calibri" w:cs="Calibri"/>
                <w:i/>
                <w:iCs/>
                <w:color w:val="EAF1DD"/>
                <w:sz w:val="20"/>
                <w:szCs w:val="20"/>
                <w:lang w:val="fr-BE"/>
              </w:rPr>
              <w:lastRenderedPageBreak/>
              <w:t>des conditions nationales et dans la mesure de leurs moyens, pour</w:t>
            </w:r>
          </w:p>
        </w:tc>
        <w:tc>
          <w:tcPr>
            <w:tcW w:w="660" w:type="dxa"/>
            <w:vMerge w:val="restart"/>
            <w:vAlign w:val="bottom"/>
          </w:tcPr>
          <w:p w:rsidR="00AC12B4" w:rsidRDefault="00C27636">
            <w:pPr>
              <w:spacing w:line="243" w:lineRule="exact"/>
              <w:ind w:left="200"/>
              <w:rPr>
                <w:sz w:val="20"/>
                <w:szCs w:val="20"/>
              </w:rPr>
            </w:pPr>
            <w:r>
              <w:rPr>
                <w:rFonts w:ascii="Calibri" w:eastAsia="Calibri" w:hAnsi="Calibri" w:cs="Calibri"/>
              </w:rPr>
              <w:t>aux</w:t>
            </w:r>
          </w:p>
        </w:tc>
        <w:tc>
          <w:tcPr>
            <w:tcW w:w="1060" w:type="dxa"/>
            <w:gridSpan w:val="3"/>
            <w:vMerge w:val="restart"/>
            <w:vAlign w:val="bottom"/>
          </w:tcPr>
          <w:p w:rsidR="00AC12B4" w:rsidRDefault="00C27636">
            <w:pPr>
              <w:spacing w:line="243" w:lineRule="exact"/>
              <w:jc w:val="right"/>
              <w:rPr>
                <w:sz w:val="20"/>
                <w:szCs w:val="20"/>
              </w:rPr>
            </w:pPr>
            <w:r>
              <w:rPr>
                <w:rFonts w:ascii="Calibri" w:eastAsia="Calibri" w:hAnsi="Calibri" w:cs="Calibri"/>
              </w:rPr>
              <w:t>bourses</w:t>
            </w:r>
          </w:p>
        </w:tc>
        <w:tc>
          <w:tcPr>
            <w:tcW w:w="340" w:type="dxa"/>
            <w:tcBorders>
              <w:right w:val="single" w:sz="8" w:space="0" w:color="00923D"/>
            </w:tcBorders>
            <w:vAlign w:val="bottom"/>
          </w:tcPr>
          <w:p w:rsidR="00AC12B4" w:rsidRDefault="00AC12B4">
            <w:pPr>
              <w:rPr>
                <w:sz w:val="11"/>
                <w:szCs w:val="11"/>
              </w:rPr>
            </w:pPr>
          </w:p>
        </w:tc>
        <w:tc>
          <w:tcPr>
            <w:tcW w:w="1100" w:type="dxa"/>
            <w:gridSpan w:val="5"/>
            <w:vMerge/>
            <w:vAlign w:val="bottom"/>
          </w:tcPr>
          <w:p w:rsidR="00AC12B4" w:rsidRDefault="00AC12B4">
            <w:pPr>
              <w:rPr>
                <w:sz w:val="11"/>
                <w:szCs w:val="11"/>
              </w:rPr>
            </w:pPr>
          </w:p>
        </w:tc>
        <w:tc>
          <w:tcPr>
            <w:tcW w:w="1260" w:type="dxa"/>
            <w:gridSpan w:val="2"/>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09"/>
        </w:trPr>
        <w:tc>
          <w:tcPr>
            <w:tcW w:w="6240" w:type="dxa"/>
            <w:gridSpan w:val="2"/>
            <w:vMerge/>
            <w:tcBorders>
              <w:left w:val="single" w:sz="8" w:space="0" w:color="005022"/>
              <w:right w:val="single" w:sz="8" w:space="0" w:color="005022"/>
            </w:tcBorders>
            <w:shd w:val="clear" w:color="auto" w:fill="00923D"/>
            <w:vAlign w:val="bottom"/>
          </w:tcPr>
          <w:p w:rsidR="00AC12B4" w:rsidRDefault="00AC12B4">
            <w:pPr>
              <w:rPr>
                <w:sz w:val="9"/>
                <w:szCs w:val="9"/>
              </w:rPr>
            </w:pPr>
          </w:p>
        </w:tc>
        <w:tc>
          <w:tcPr>
            <w:tcW w:w="660" w:type="dxa"/>
            <w:vMerge/>
            <w:vAlign w:val="bottom"/>
          </w:tcPr>
          <w:p w:rsidR="00AC12B4" w:rsidRDefault="00AC12B4">
            <w:pPr>
              <w:rPr>
                <w:sz w:val="9"/>
                <w:szCs w:val="9"/>
              </w:rPr>
            </w:pPr>
          </w:p>
        </w:tc>
        <w:tc>
          <w:tcPr>
            <w:tcW w:w="1060" w:type="dxa"/>
            <w:gridSpan w:val="3"/>
            <w:vMerge/>
            <w:vAlign w:val="bottom"/>
          </w:tcPr>
          <w:p w:rsidR="00AC12B4" w:rsidRDefault="00AC12B4">
            <w:pPr>
              <w:rPr>
                <w:sz w:val="9"/>
                <w:szCs w:val="9"/>
              </w:rPr>
            </w:pPr>
          </w:p>
        </w:tc>
        <w:tc>
          <w:tcPr>
            <w:tcW w:w="340" w:type="dxa"/>
            <w:tcBorders>
              <w:right w:val="single" w:sz="8" w:space="0" w:color="00923D"/>
            </w:tcBorders>
            <w:vAlign w:val="bottom"/>
          </w:tcPr>
          <w:p w:rsidR="00AC12B4" w:rsidRDefault="00AC12B4">
            <w:pPr>
              <w:rPr>
                <w:sz w:val="9"/>
                <w:szCs w:val="9"/>
              </w:rPr>
            </w:pPr>
          </w:p>
        </w:tc>
        <w:tc>
          <w:tcPr>
            <w:tcW w:w="1280" w:type="dxa"/>
            <w:gridSpan w:val="6"/>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pauvreté ou</w:t>
            </w:r>
          </w:p>
        </w:tc>
        <w:tc>
          <w:tcPr>
            <w:tcW w:w="1080" w:type="dxa"/>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d’exclusion</w:t>
            </w:r>
          </w:p>
        </w:tc>
        <w:tc>
          <w:tcPr>
            <w:tcW w:w="0" w:type="dxa"/>
            <w:vAlign w:val="bottom"/>
          </w:tcPr>
          <w:p w:rsidR="00AC12B4" w:rsidRDefault="00AC12B4">
            <w:pPr>
              <w:rPr>
                <w:sz w:val="1"/>
                <w:szCs w:val="1"/>
              </w:rPr>
            </w:pPr>
          </w:p>
        </w:tc>
      </w:tr>
      <w:tr w:rsidR="00AC12B4">
        <w:trPr>
          <w:trHeight w:val="172"/>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aider les parents et autres personnes ayant la charge de l’enfant à</w:t>
            </w:r>
          </w:p>
        </w:tc>
        <w:tc>
          <w:tcPr>
            <w:tcW w:w="180" w:type="dxa"/>
            <w:tcBorders>
              <w:right w:val="single" w:sz="8" w:space="0" w:color="005022"/>
            </w:tcBorders>
            <w:shd w:val="clear" w:color="auto" w:fill="00923D"/>
            <w:vAlign w:val="bottom"/>
          </w:tcPr>
          <w:p w:rsidR="00AC12B4" w:rsidRPr="00C27636" w:rsidRDefault="00AC12B4">
            <w:pPr>
              <w:rPr>
                <w:sz w:val="14"/>
                <w:szCs w:val="14"/>
                <w:lang w:val="fr-BE"/>
              </w:rPr>
            </w:pPr>
          </w:p>
        </w:tc>
        <w:tc>
          <w:tcPr>
            <w:tcW w:w="1020" w:type="dxa"/>
            <w:gridSpan w:val="2"/>
            <w:vMerge w:val="restart"/>
            <w:vAlign w:val="bottom"/>
          </w:tcPr>
          <w:p w:rsidR="00AC12B4" w:rsidRDefault="00C27636">
            <w:pPr>
              <w:ind w:left="200"/>
              <w:rPr>
                <w:sz w:val="20"/>
                <w:szCs w:val="20"/>
              </w:rPr>
            </w:pPr>
            <w:r>
              <w:rPr>
                <w:rFonts w:ascii="Calibri" w:eastAsia="Calibri" w:hAnsi="Calibri" w:cs="Calibri"/>
              </w:rPr>
              <w:t>d’étude,</w:t>
            </w:r>
          </w:p>
        </w:tc>
        <w:tc>
          <w:tcPr>
            <w:tcW w:w="260" w:type="dxa"/>
            <w:vAlign w:val="bottom"/>
          </w:tcPr>
          <w:p w:rsidR="00AC12B4" w:rsidRDefault="00AC12B4">
            <w:pPr>
              <w:rPr>
                <w:sz w:val="14"/>
                <w:szCs w:val="14"/>
              </w:rPr>
            </w:pPr>
          </w:p>
        </w:tc>
        <w:tc>
          <w:tcPr>
            <w:tcW w:w="440" w:type="dxa"/>
            <w:vMerge w:val="restart"/>
            <w:vAlign w:val="bottom"/>
          </w:tcPr>
          <w:p w:rsidR="00AC12B4" w:rsidRDefault="00C27636">
            <w:pPr>
              <w:jc w:val="right"/>
              <w:rPr>
                <w:sz w:val="20"/>
                <w:szCs w:val="20"/>
              </w:rPr>
            </w:pPr>
            <w:r>
              <w:rPr>
                <w:rFonts w:ascii="Calibri" w:eastAsia="Calibri" w:hAnsi="Calibri" w:cs="Calibri"/>
              </w:rPr>
              <w:t>aux</w:t>
            </w:r>
          </w:p>
        </w:tc>
        <w:tc>
          <w:tcPr>
            <w:tcW w:w="340" w:type="dxa"/>
            <w:tcBorders>
              <w:right w:val="single" w:sz="8" w:space="0" w:color="00923D"/>
            </w:tcBorders>
            <w:vAlign w:val="bottom"/>
          </w:tcPr>
          <w:p w:rsidR="00AC12B4" w:rsidRDefault="00AC12B4">
            <w:pPr>
              <w:rPr>
                <w:sz w:val="14"/>
                <w:szCs w:val="14"/>
              </w:rPr>
            </w:pPr>
          </w:p>
        </w:tc>
        <w:tc>
          <w:tcPr>
            <w:tcW w:w="1280" w:type="dxa"/>
            <w:gridSpan w:val="6"/>
            <w:vMerge/>
            <w:vAlign w:val="bottom"/>
          </w:tcPr>
          <w:p w:rsidR="00AC12B4" w:rsidRDefault="00AC12B4">
            <w:pPr>
              <w:rPr>
                <w:sz w:val="14"/>
                <w:szCs w:val="14"/>
              </w:rPr>
            </w:pPr>
          </w:p>
        </w:tc>
        <w:tc>
          <w:tcPr>
            <w:tcW w:w="1080" w:type="dxa"/>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97"/>
        </w:trPr>
        <w:tc>
          <w:tcPr>
            <w:tcW w:w="6060" w:type="dxa"/>
            <w:vMerge/>
            <w:tcBorders>
              <w:left w:val="single" w:sz="8" w:space="0" w:color="005022"/>
            </w:tcBorders>
            <w:shd w:val="clear" w:color="auto" w:fill="00923D"/>
            <w:vAlign w:val="bottom"/>
          </w:tcPr>
          <w:p w:rsidR="00AC12B4" w:rsidRDefault="00AC12B4">
            <w:pPr>
              <w:rPr>
                <w:sz w:val="8"/>
                <w:szCs w:val="8"/>
              </w:rPr>
            </w:pPr>
          </w:p>
        </w:tc>
        <w:tc>
          <w:tcPr>
            <w:tcW w:w="180" w:type="dxa"/>
            <w:tcBorders>
              <w:right w:val="single" w:sz="8" w:space="0" w:color="005022"/>
            </w:tcBorders>
            <w:shd w:val="clear" w:color="auto" w:fill="00923D"/>
            <w:vAlign w:val="bottom"/>
          </w:tcPr>
          <w:p w:rsidR="00AC12B4" w:rsidRDefault="00AC12B4">
            <w:pPr>
              <w:rPr>
                <w:sz w:val="8"/>
                <w:szCs w:val="8"/>
              </w:rPr>
            </w:pPr>
          </w:p>
        </w:tc>
        <w:tc>
          <w:tcPr>
            <w:tcW w:w="1020" w:type="dxa"/>
            <w:gridSpan w:val="2"/>
            <w:vMerge/>
            <w:vAlign w:val="bottom"/>
          </w:tcPr>
          <w:p w:rsidR="00AC12B4" w:rsidRDefault="00AC12B4">
            <w:pPr>
              <w:rPr>
                <w:sz w:val="8"/>
                <w:szCs w:val="8"/>
              </w:rPr>
            </w:pPr>
          </w:p>
        </w:tc>
        <w:tc>
          <w:tcPr>
            <w:tcW w:w="260" w:type="dxa"/>
            <w:vAlign w:val="bottom"/>
          </w:tcPr>
          <w:p w:rsidR="00AC12B4" w:rsidRDefault="00AC12B4">
            <w:pPr>
              <w:rPr>
                <w:sz w:val="8"/>
                <w:szCs w:val="8"/>
              </w:rPr>
            </w:pPr>
          </w:p>
        </w:tc>
        <w:tc>
          <w:tcPr>
            <w:tcW w:w="440" w:type="dxa"/>
            <w:vMerge/>
            <w:vAlign w:val="bottom"/>
          </w:tcPr>
          <w:p w:rsidR="00AC12B4" w:rsidRDefault="00AC12B4">
            <w:pPr>
              <w:rPr>
                <w:sz w:val="8"/>
                <w:szCs w:val="8"/>
              </w:rPr>
            </w:pPr>
          </w:p>
        </w:tc>
        <w:tc>
          <w:tcPr>
            <w:tcW w:w="340" w:type="dxa"/>
            <w:tcBorders>
              <w:right w:val="single" w:sz="8" w:space="0" w:color="00923D"/>
            </w:tcBorders>
            <w:vAlign w:val="bottom"/>
          </w:tcPr>
          <w:p w:rsidR="00AC12B4" w:rsidRDefault="00AC12B4">
            <w:pPr>
              <w:rPr>
                <w:sz w:val="8"/>
                <w:szCs w:val="8"/>
              </w:rPr>
            </w:pPr>
          </w:p>
        </w:tc>
        <w:tc>
          <w:tcPr>
            <w:tcW w:w="2360" w:type="dxa"/>
            <w:gridSpan w:val="7"/>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 xml:space="preserve">sociale </w:t>
            </w:r>
            <w:r>
              <w:rPr>
                <w:rFonts w:ascii="Comic Sans MS" w:eastAsia="Comic Sans MS" w:hAnsi="Comic Sans MS" w:cs="Comic Sans MS"/>
                <w:color w:val="0D0D0D"/>
                <w:sz w:val="20"/>
                <w:szCs w:val="20"/>
              </w:rPr>
              <w:t>(EU-Silc).</w:t>
            </w:r>
          </w:p>
        </w:tc>
        <w:tc>
          <w:tcPr>
            <w:tcW w:w="0" w:type="dxa"/>
            <w:vAlign w:val="bottom"/>
          </w:tcPr>
          <w:p w:rsidR="00AC12B4" w:rsidRDefault="00AC12B4">
            <w:pPr>
              <w:rPr>
                <w:sz w:val="1"/>
                <w:szCs w:val="1"/>
              </w:rPr>
            </w:pPr>
          </w:p>
        </w:tc>
      </w:tr>
      <w:tr w:rsidR="00AC12B4">
        <w:trPr>
          <w:trHeight w:val="182"/>
        </w:trPr>
        <w:tc>
          <w:tcPr>
            <w:tcW w:w="6060" w:type="dxa"/>
            <w:vMerge w:val="restart"/>
            <w:tcBorders>
              <w:left w:val="single" w:sz="8" w:space="0" w:color="005022"/>
            </w:tcBorders>
            <w:shd w:val="clear" w:color="auto" w:fill="00923D"/>
            <w:vAlign w:val="bottom"/>
          </w:tcPr>
          <w:p w:rsidR="00AC12B4" w:rsidRPr="00C27636" w:rsidRDefault="00C27636">
            <w:pPr>
              <w:spacing w:line="219" w:lineRule="exact"/>
              <w:ind w:left="580"/>
              <w:rPr>
                <w:sz w:val="20"/>
                <w:szCs w:val="20"/>
                <w:lang w:val="fr-BE"/>
              </w:rPr>
            </w:pPr>
            <w:r w:rsidRPr="00C27636">
              <w:rPr>
                <w:rFonts w:ascii="Calibri" w:eastAsia="Calibri" w:hAnsi="Calibri" w:cs="Calibri"/>
                <w:i/>
                <w:iCs/>
                <w:color w:val="EAF1DD"/>
                <w:sz w:val="20"/>
                <w:szCs w:val="20"/>
                <w:lang w:val="fr-BE"/>
              </w:rPr>
              <w:t>mettre en œuvre ce droit et offrent, en cas de besoin, une</w:t>
            </w:r>
          </w:p>
        </w:tc>
        <w:tc>
          <w:tcPr>
            <w:tcW w:w="180" w:type="dxa"/>
            <w:tcBorders>
              <w:right w:val="single" w:sz="8" w:space="0" w:color="005022"/>
            </w:tcBorders>
            <w:shd w:val="clear" w:color="auto" w:fill="00923D"/>
            <w:vAlign w:val="bottom"/>
          </w:tcPr>
          <w:p w:rsidR="00AC12B4" w:rsidRPr="00C27636" w:rsidRDefault="00AC12B4">
            <w:pPr>
              <w:rPr>
                <w:sz w:val="15"/>
                <w:szCs w:val="15"/>
                <w:lang w:val="fr-BE"/>
              </w:rPr>
            </w:pPr>
          </w:p>
        </w:tc>
        <w:tc>
          <w:tcPr>
            <w:tcW w:w="1280" w:type="dxa"/>
            <w:gridSpan w:val="3"/>
            <w:vMerge w:val="restart"/>
            <w:vAlign w:val="bottom"/>
          </w:tcPr>
          <w:p w:rsidR="00AC12B4" w:rsidRDefault="00C27636">
            <w:pPr>
              <w:spacing w:line="267" w:lineRule="exact"/>
              <w:ind w:left="200"/>
              <w:rPr>
                <w:sz w:val="20"/>
                <w:szCs w:val="20"/>
              </w:rPr>
            </w:pPr>
            <w:r>
              <w:rPr>
                <w:rFonts w:ascii="Calibri" w:eastAsia="Calibri" w:hAnsi="Calibri" w:cs="Calibri"/>
                <w:w w:val="99"/>
              </w:rPr>
              <w:t>tarifications</w:t>
            </w:r>
          </w:p>
        </w:tc>
        <w:tc>
          <w:tcPr>
            <w:tcW w:w="440" w:type="dxa"/>
            <w:vMerge w:val="restart"/>
            <w:vAlign w:val="bottom"/>
          </w:tcPr>
          <w:p w:rsidR="00AC12B4" w:rsidRDefault="00C27636">
            <w:pPr>
              <w:spacing w:line="267" w:lineRule="exact"/>
              <w:jc w:val="right"/>
              <w:rPr>
                <w:sz w:val="20"/>
                <w:szCs w:val="20"/>
              </w:rPr>
            </w:pPr>
            <w:r>
              <w:rPr>
                <w:rFonts w:ascii="Calibri" w:eastAsia="Calibri" w:hAnsi="Calibri" w:cs="Calibri"/>
              </w:rPr>
              <w:t>de</w:t>
            </w:r>
          </w:p>
        </w:tc>
        <w:tc>
          <w:tcPr>
            <w:tcW w:w="340" w:type="dxa"/>
            <w:tcBorders>
              <w:right w:val="single" w:sz="8" w:space="0" w:color="00923D"/>
            </w:tcBorders>
            <w:vAlign w:val="bottom"/>
          </w:tcPr>
          <w:p w:rsidR="00AC12B4" w:rsidRDefault="00AC12B4">
            <w:pPr>
              <w:rPr>
                <w:sz w:val="15"/>
                <w:szCs w:val="15"/>
              </w:rPr>
            </w:pPr>
          </w:p>
        </w:tc>
        <w:tc>
          <w:tcPr>
            <w:tcW w:w="2360" w:type="dxa"/>
            <w:gridSpan w:val="7"/>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85"/>
        </w:trPr>
        <w:tc>
          <w:tcPr>
            <w:tcW w:w="6060" w:type="dxa"/>
            <w:vMerge/>
            <w:tcBorders>
              <w:left w:val="single" w:sz="8" w:space="0" w:color="005022"/>
            </w:tcBorders>
            <w:shd w:val="clear" w:color="auto" w:fill="00923D"/>
            <w:vAlign w:val="bottom"/>
          </w:tcPr>
          <w:p w:rsidR="00AC12B4" w:rsidRDefault="00AC12B4">
            <w:pPr>
              <w:rPr>
                <w:sz w:val="7"/>
                <w:szCs w:val="7"/>
              </w:rPr>
            </w:pPr>
          </w:p>
        </w:tc>
        <w:tc>
          <w:tcPr>
            <w:tcW w:w="180" w:type="dxa"/>
            <w:tcBorders>
              <w:right w:val="single" w:sz="8" w:space="0" w:color="005022"/>
            </w:tcBorders>
            <w:shd w:val="clear" w:color="auto" w:fill="00923D"/>
            <w:vAlign w:val="bottom"/>
          </w:tcPr>
          <w:p w:rsidR="00AC12B4" w:rsidRDefault="00AC12B4">
            <w:pPr>
              <w:rPr>
                <w:sz w:val="7"/>
                <w:szCs w:val="7"/>
              </w:rPr>
            </w:pPr>
          </w:p>
        </w:tc>
        <w:tc>
          <w:tcPr>
            <w:tcW w:w="1280" w:type="dxa"/>
            <w:gridSpan w:val="3"/>
            <w:vMerge/>
            <w:vAlign w:val="bottom"/>
          </w:tcPr>
          <w:p w:rsidR="00AC12B4" w:rsidRDefault="00AC12B4">
            <w:pPr>
              <w:rPr>
                <w:sz w:val="7"/>
                <w:szCs w:val="7"/>
              </w:rPr>
            </w:pPr>
          </w:p>
        </w:tc>
        <w:tc>
          <w:tcPr>
            <w:tcW w:w="440" w:type="dxa"/>
            <w:vMerge/>
            <w:vAlign w:val="bottom"/>
          </w:tcPr>
          <w:p w:rsidR="00AC12B4" w:rsidRDefault="00AC12B4">
            <w:pPr>
              <w:rPr>
                <w:sz w:val="7"/>
                <w:szCs w:val="7"/>
              </w:rPr>
            </w:pPr>
          </w:p>
        </w:tc>
        <w:tc>
          <w:tcPr>
            <w:tcW w:w="340" w:type="dxa"/>
            <w:tcBorders>
              <w:right w:val="single" w:sz="8" w:space="0" w:color="00923D"/>
            </w:tcBorders>
            <w:vAlign w:val="bottom"/>
          </w:tcPr>
          <w:p w:rsidR="00AC12B4" w:rsidRDefault="00AC12B4">
            <w:pPr>
              <w:rPr>
                <w:sz w:val="7"/>
                <w:szCs w:val="7"/>
              </w:rPr>
            </w:pPr>
          </w:p>
        </w:tc>
        <w:tc>
          <w:tcPr>
            <w:tcW w:w="26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8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14"/>
        </w:trPr>
        <w:tc>
          <w:tcPr>
            <w:tcW w:w="6060" w:type="dxa"/>
            <w:vMerge w:val="restart"/>
            <w:tcBorders>
              <w:left w:val="single" w:sz="8" w:space="0" w:color="005022"/>
            </w:tcBorders>
            <w:shd w:val="clear" w:color="auto" w:fill="00923D"/>
            <w:vAlign w:val="bottom"/>
          </w:tcPr>
          <w:p w:rsidR="00AC12B4" w:rsidRPr="00C27636" w:rsidRDefault="00C27636">
            <w:pPr>
              <w:spacing w:line="198" w:lineRule="exact"/>
              <w:ind w:left="580"/>
              <w:rPr>
                <w:sz w:val="20"/>
                <w:szCs w:val="20"/>
                <w:lang w:val="fr-BE"/>
              </w:rPr>
            </w:pPr>
            <w:r w:rsidRPr="00C27636">
              <w:rPr>
                <w:rFonts w:ascii="Calibri" w:eastAsia="Calibri" w:hAnsi="Calibri" w:cs="Calibri"/>
                <w:i/>
                <w:iCs/>
                <w:color w:val="EAF1DD"/>
                <w:sz w:val="20"/>
                <w:szCs w:val="20"/>
                <w:lang w:val="fr-BE"/>
              </w:rPr>
              <w:t>assistance matérielle et des programmes d’appui, notamment en</w:t>
            </w:r>
          </w:p>
        </w:tc>
        <w:tc>
          <w:tcPr>
            <w:tcW w:w="180" w:type="dxa"/>
            <w:tcBorders>
              <w:right w:val="single" w:sz="8" w:space="0" w:color="005022"/>
            </w:tcBorders>
            <w:shd w:val="clear" w:color="auto" w:fill="00923D"/>
            <w:vAlign w:val="bottom"/>
          </w:tcPr>
          <w:p w:rsidR="00AC12B4" w:rsidRPr="00C27636" w:rsidRDefault="00AC12B4">
            <w:pPr>
              <w:rPr>
                <w:sz w:val="9"/>
                <w:szCs w:val="9"/>
                <w:lang w:val="fr-BE"/>
              </w:rPr>
            </w:pPr>
          </w:p>
        </w:tc>
        <w:tc>
          <w:tcPr>
            <w:tcW w:w="1020" w:type="dxa"/>
            <w:gridSpan w:val="2"/>
            <w:vMerge w:val="restart"/>
            <w:vAlign w:val="bottom"/>
          </w:tcPr>
          <w:p w:rsidR="00AC12B4" w:rsidRDefault="00C27636">
            <w:pPr>
              <w:ind w:left="200"/>
              <w:rPr>
                <w:sz w:val="20"/>
                <w:szCs w:val="20"/>
              </w:rPr>
            </w:pPr>
            <w:r>
              <w:rPr>
                <w:rFonts w:ascii="Calibri" w:eastAsia="Calibri" w:hAnsi="Calibri" w:cs="Calibri"/>
              </w:rPr>
              <w:t>l’accueil</w:t>
            </w:r>
          </w:p>
        </w:tc>
        <w:tc>
          <w:tcPr>
            <w:tcW w:w="700" w:type="dxa"/>
            <w:gridSpan w:val="2"/>
            <w:vMerge w:val="restart"/>
            <w:vAlign w:val="bottom"/>
          </w:tcPr>
          <w:p w:rsidR="00AC12B4" w:rsidRDefault="00C27636">
            <w:pPr>
              <w:jc w:val="right"/>
              <w:rPr>
                <w:sz w:val="20"/>
                <w:szCs w:val="20"/>
              </w:rPr>
            </w:pPr>
            <w:r>
              <w:rPr>
                <w:rFonts w:ascii="Calibri" w:eastAsia="Calibri" w:hAnsi="Calibri" w:cs="Calibri"/>
              </w:rPr>
              <w:t>de  la</w:t>
            </w:r>
          </w:p>
        </w:tc>
        <w:tc>
          <w:tcPr>
            <w:tcW w:w="340" w:type="dxa"/>
            <w:tcBorders>
              <w:right w:val="single" w:sz="8" w:space="0" w:color="00923D"/>
            </w:tcBorders>
            <w:vAlign w:val="bottom"/>
          </w:tcPr>
          <w:p w:rsidR="00AC12B4" w:rsidRDefault="00AC12B4">
            <w:pPr>
              <w:rPr>
                <w:sz w:val="9"/>
                <w:szCs w:val="9"/>
              </w:rPr>
            </w:pPr>
          </w:p>
        </w:tc>
        <w:tc>
          <w:tcPr>
            <w:tcW w:w="26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08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83"/>
        </w:trPr>
        <w:tc>
          <w:tcPr>
            <w:tcW w:w="6060" w:type="dxa"/>
            <w:vMerge/>
            <w:tcBorders>
              <w:left w:val="single" w:sz="8" w:space="0" w:color="005022"/>
            </w:tcBorders>
            <w:shd w:val="clear" w:color="auto" w:fill="00923D"/>
            <w:vAlign w:val="bottom"/>
          </w:tcPr>
          <w:p w:rsidR="00AC12B4" w:rsidRDefault="00AC12B4">
            <w:pPr>
              <w:rPr>
                <w:sz w:val="7"/>
                <w:szCs w:val="7"/>
              </w:rPr>
            </w:pPr>
          </w:p>
        </w:tc>
        <w:tc>
          <w:tcPr>
            <w:tcW w:w="180" w:type="dxa"/>
            <w:tcBorders>
              <w:right w:val="single" w:sz="8" w:space="0" w:color="005022"/>
            </w:tcBorders>
            <w:shd w:val="clear" w:color="auto" w:fill="00923D"/>
            <w:vAlign w:val="bottom"/>
          </w:tcPr>
          <w:p w:rsidR="00AC12B4" w:rsidRDefault="00AC12B4">
            <w:pPr>
              <w:rPr>
                <w:sz w:val="7"/>
                <w:szCs w:val="7"/>
              </w:rPr>
            </w:pPr>
          </w:p>
        </w:tc>
        <w:tc>
          <w:tcPr>
            <w:tcW w:w="1020" w:type="dxa"/>
            <w:gridSpan w:val="2"/>
            <w:vMerge/>
            <w:vAlign w:val="bottom"/>
          </w:tcPr>
          <w:p w:rsidR="00AC12B4" w:rsidRDefault="00AC12B4">
            <w:pPr>
              <w:rPr>
                <w:sz w:val="7"/>
                <w:szCs w:val="7"/>
              </w:rPr>
            </w:pPr>
          </w:p>
        </w:tc>
        <w:tc>
          <w:tcPr>
            <w:tcW w:w="700" w:type="dxa"/>
            <w:gridSpan w:val="2"/>
            <w:vMerge/>
            <w:vAlign w:val="bottom"/>
          </w:tcPr>
          <w:p w:rsidR="00AC12B4" w:rsidRDefault="00AC12B4">
            <w:pPr>
              <w:rPr>
                <w:sz w:val="7"/>
                <w:szCs w:val="7"/>
              </w:rPr>
            </w:pPr>
          </w:p>
        </w:tc>
        <w:tc>
          <w:tcPr>
            <w:tcW w:w="34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240" w:type="dxa"/>
            <w:vAlign w:val="bottom"/>
          </w:tcPr>
          <w:p w:rsidR="00AC12B4" w:rsidRDefault="00AC12B4">
            <w:pPr>
              <w:rPr>
                <w:sz w:val="7"/>
                <w:szCs w:val="7"/>
              </w:rPr>
            </w:pPr>
          </w:p>
        </w:tc>
        <w:tc>
          <w:tcPr>
            <w:tcW w:w="140" w:type="dxa"/>
            <w:vAlign w:val="bottom"/>
          </w:tcPr>
          <w:p w:rsidR="00AC12B4" w:rsidRDefault="00AC12B4">
            <w:pPr>
              <w:rPr>
                <w:sz w:val="7"/>
                <w:szCs w:val="7"/>
              </w:rPr>
            </w:pPr>
          </w:p>
        </w:tc>
        <w:tc>
          <w:tcPr>
            <w:tcW w:w="260" w:type="dxa"/>
            <w:vAlign w:val="bottom"/>
          </w:tcPr>
          <w:p w:rsidR="00AC12B4" w:rsidRDefault="00AC12B4">
            <w:pPr>
              <w:rPr>
                <w:sz w:val="7"/>
                <w:szCs w:val="7"/>
              </w:rPr>
            </w:pPr>
          </w:p>
        </w:tc>
        <w:tc>
          <w:tcPr>
            <w:tcW w:w="200" w:type="dxa"/>
            <w:vAlign w:val="bottom"/>
          </w:tcPr>
          <w:p w:rsidR="00AC12B4" w:rsidRDefault="00AC12B4">
            <w:pPr>
              <w:rPr>
                <w:sz w:val="7"/>
                <w:szCs w:val="7"/>
              </w:rPr>
            </w:pPr>
          </w:p>
        </w:tc>
        <w:tc>
          <w:tcPr>
            <w:tcW w:w="180" w:type="dxa"/>
            <w:vAlign w:val="bottom"/>
          </w:tcPr>
          <w:p w:rsidR="00AC12B4" w:rsidRDefault="00AC12B4">
            <w:pPr>
              <w:rPr>
                <w:sz w:val="7"/>
                <w:szCs w:val="7"/>
              </w:rPr>
            </w:pPr>
          </w:p>
        </w:tc>
        <w:tc>
          <w:tcPr>
            <w:tcW w:w="1080" w:type="dxa"/>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rsidRPr="00C27636">
        <w:trPr>
          <w:trHeight w:val="73"/>
        </w:trPr>
        <w:tc>
          <w:tcPr>
            <w:tcW w:w="6060" w:type="dxa"/>
            <w:vMerge w:val="restart"/>
            <w:tcBorders>
              <w:left w:val="single" w:sz="8" w:space="0" w:color="005022"/>
            </w:tcBorders>
            <w:shd w:val="clear" w:color="auto" w:fill="00923D"/>
            <w:vAlign w:val="bottom"/>
          </w:tcPr>
          <w:p w:rsidR="00AC12B4" w:rsidRPr="00C27636" w:rsidRDefault="00C27636">
            <w:pPr>
              <w:spacing w:line="243" w:lineRule="exact"/>
              <w:ind w:left="580"/>
              <w:rPr>
                <w:sz w:val="20"/>
                <w:szCs w:val="20"/>
                <w:lang w:val="fr-BE"/>
              </w:rPr>
            </w:pPr>
            <w:r w:rsidRPr="00C27636">
              <w:rPr>
                <w:rFonts w:ascii="Calibri" w:eastAsia="Calibri" w:hAnsi="Calibri" w:cs="Calibri"/>
                <w:i/>
                <w:iCs/>
                <w:color w:val="EAF1DD"/>
                <w:sz w:val="20"/>
                <w:szCs w:val="20"/>
                <w:lang w:val="fr-BE"/>
              </w:rPr>
              <w:t xml:space="preserve">ce qui concerne l’alimentation, le vêtement </w:t>
            </w:r>
            <w:r w:rsidRPr="00C27636">
              <w:rPr>
                <w:rFonts w:ascii="Calibri" w:eastAsia="Calibri" w:hAnsi="Calibri" w:cs="Calibri"/>
                <w:i/>
                <w:iCs/>
                <w:color w:val="EAF1DD"/>
                <w:sz w:val="20"/>
                <w:szCs w:val="20"/>
                <w:lang w:val="fr-BE"/>
              </w:rPr>
              <w:t>et le logement.</w:t>
            </w:r>
          </w:p>
        </w:tc>
        <w:tc>
          <w:tcPr>
            <w:tcW w:w="180" w:type="dxa"/>
            <w:tcBorders>
              <w:right w:val="single" w:sz="8" w:space="0" w:color="005022"/>
            </w:tcBorders>
            <w:shd w:val="clear" w:color="auto" w:fill="00923D"/>
            <w:vAlign w:val="bottom"/>
          </w:tcPr>
          <w:p w:rsidR="00AC12B4" w:rsidRPr="00C27636" w:rsidRDefault="00AC12B4">
            <w:pPr>
              <w:rPr>
                <w:sz w:val="6"/>
                <w:szCs w:val="6"/>
                <w:lang w:val="fr-BE"/>
              </w:rPr>
            </w:pPr>
          </w:p>
        </w:tc>
        <w:tc>
          <w:tcPr>
            <w:tcW w:w="1020" w:type="dxa"/>
            <w:gridSpan w:val="2"/>
            <w:vMerge/>
            <w:vAlign w:val="bottom"/>
          </w:tcPr>
          <w:p w:rsidR="00AC12B4" w:rsidRPr="00C27636" w:rsidRDefault="00AC12B4">
            <w:pPr>
              <w:rPr>
                <w:sz w:val="6"/>
                <w:szCs w:val="6"/>
                <w:lang w:val="fr-BE"/>
              </w:rPr>
            </w:pPr>
          </w:p>
        </w:tc>
        <w:tc>
          <w:tcPr>
            <w:tcW w:w="700" w:type="dxa"/>
            <w:gridSpan w:val="2"/>
            <w:vMerge/>
            <w:vAlign w:val="bottom"/>
          </w:tcPr>
          <w:p w:rsidR="00AC12B4" w:rsidRPr="00C27636" w:rsidRDefault="00AC12B4">
            <w:pPr>
              <w:rPr>
                <w:sz w:val="6"/>
                <w:szCs w:val="6"/>
                <w:lang w:val="fr-BE"/>
              </w:rPr>
            </w:pPr>
          </w:p>
        </w:tc>
        <w:tc>
          <w:tcPr>
            <w:tcW w:w="340" w:type="dxa"/>
            <w:vAlign w:val="bottom"/>
          </w:tcPr>
          <w:p w:rsidR="00AC12B4" w:rsidRPr="00C27636" w:rsidRDefault="00AC12B4">
            <w:pPr>
              <w:rPr>
                <w:sz w:val="6"/>
                <w:szCs w:val="6"/>
                <w:lang w:val="fr-BE"/>
              </w:rPr>
            </w:pPr>
          </w:p>
        </w:tc>
        <w:tc>
          <w:tcPr>
            <w:tcW w:w="260" w:type="dxa"/>
            <w:vAlign w:val="bottom"/>
          </w:tcPr>
          <w:p w:rsidR="00AC12B4" w:rsidRPr="00C27636" w:rsidRDefault="00AC12B4">
            <w:pPr>
              <w:rPr>
                <w:sz w:val="6"/>
                <w:szCs w:val="6"/>
                <w:lang w:val="fr-BE"/>
              </w:rPr>
            </w:pPr>
          </w:p>
        </w:tc>
        <w:tc>
          <w:tcPr>
            <w:tcW w:w="240" w:type="dxa"/>
            <w:vAlign w:val="bottom"/>
          </w:tcPr>
          <w:p w:rsidR="00AC12B4" w:rsidRPr="00C27636" w:rsidRDefault="00AC12B4">
            <w:pPr>
              <w:rPr>
                <w:sz w:val="6"/>
                <w:szCs w:val="6"/>
                <w:lang w:val="fr-BE"/>
              </w:rPr>
            </w:pPr>
          </w:p>
        </w:tc>
        <w:tc>
          <w:tcPr>
            <w:tcW w:w="140" w:type="dxa"/>
            <w:vAlign w:val="bottom"/>
          </w:tcPr>
          <w:p w:rsidR="00AC12B4" w:rsidRPr="00C27636" w:rsidRDefault="00AC12B4">
            <w:pPr>
              <w:rPr>
                <w:sz w:val="6"/>
                <w:szCs w:val="6"/>
                <w:lang w:val="fr-BE"/>
              </w:rPr>
            </w:pPr>
          </w:p>
        </w:tc>
        <w:tc>
          <w:tcPr>
            <w:tcW w:w="26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180" w:type="dxa"/>
            <w:vAlign w:val="bottom"/>
          </w:tcPr>
          <w:p w:rsidR="00AC12B4" w:rsidRPr="00C27636" w:rsidRDefault="00AC12B4">
            <w:pPr>
              <w:rPr>
                <w:sz w:val="6"/>
                <w:szCs w:val="6"/>
                <w:lang w:val="fr-BE"/>
              </w:rPr>
            </w:pPr>
          </w:p>
        </w:tc>
        <w:tc>
          <w:tcPr>
            <w:tcW w:w="108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169"/>
        </w:trPr>
        <w:tc>
          <w:tcPr>
            <w:tcW w:w="6060" w:type="dxa"/>
            <w:vMerge/>
            <w:tcBorders>
              <w:left w:val="single" w:sz="8" w:space="0" w:color="005022"/>
            </w:tcBorders>
            <w:shd w:val="clear" w:color="auto" w:fill="00923D"/>
            <w:vAlign w:val="bottom"/>
          </w:tcPr>
          <w:p w:rsidR="00AC12B4" w:rsidRPr="00C27636" w:rsidRDefault="00AC12B4">
            <w:pPr>
              <w:rPr>
                <w:sz w:val="14"/>
                <w:szCs w:val="14"/>
                <w:lang w:val="fr-BE"/>
              </w:rPr>
            </w:pPr>
          </w:p>
        </w:tc>
        <w:tc>
          <w:tcPr>
            <w:tcW w:w="180" w:type="dxa"/>
            <w:tcBorders>
              <w:right w:val="single" w:sz="8" w:space="0" w:color="005022"/>
            </w:tcBorders>
            <w:shd w:val="clear" w:color="auto" w:fill="00923D"/>
            <w:vAlign w:val="bottom"/>
          </w:tcPr>
          <w:p w:rsidR="00AC12B4" w:rsidRPr="00C27636" w:rsidRDefault="00AC12B4">
            <w:pPr>
              <w:rPr>
                <w:sz w:val="14"/>
                <w:szCs w:val="14"/>
                <w:lang w:val="fr-BE"/>
              </w:rPr>
            </w:pPr>
          </w:p>
        </w:tc>
        <w:tc>
          <w:tcPr>
            <w:tcW w:w="4420" w:type="dxa"/>
            <w:gridSpan w:val="12"/>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petite enfance  liés  au revenu, aux</w:t>
            </w:r>
          </w:p>
        </w:tc>
        <w:tc>
          <w:tcPr>
            <w:tcW w:w="0" w:type="dxa"/>
            <w:vAlign w:val="bottom"/>
          </w:tcPr>
          <w:p w:rsidR="00AC12B4" w:rsidRPr="00C27636" w:rsidRDefault="00AC12B4">
            <w:pPr>
              <w:rPr>
                <w:sz w:val="1"/>
                <w:szCs w:val="1"/>
                <w:lang w:val="fr-BE"/>
              </w:rPr>
            </w:pPr>
          </w:p>
        </w:tc>
      </w:tr>
      <w:tr w:rsidR="00AC12B4" w:rsidRPr="00C27636">
        <w:trPr>
          <w:trHeight w:val="100"/>
        </w:trPr>
        <w:tc>
          <w:tcPr>
            <w:tcW w:w="6060" w:type="dxa"/>
            <w:tcBorders>
              <w:left w:val="single" w:sz="8" w:space="0" w:color="005022"/>
            </w:tcBorders>
            <w:shd w:val="clear" w:color="auto" w:fill="00923D"/>
            <w:vAlign w:val="bottom"/>
          </w:tcPr>
          <w:p w:rsidR="00AC12B4" w:rsidRPr="00C27636" w:rsidRDefault="00AC12B4">
            <w:pPr>
              <w:rPr>
                <w:sz w:val="8"/>
                <w:szCs w:val="8"/>
                <w:lang w:val="fr-BE"/>
              </w:rPr>
            </w:pPr>
          </w:p>
        </w:tc>
        <w:tc>
          <w:tcPr>
            <w:tcW w:w="180" w:type="dxa"/>
            <w:tcBorders>
              <w:right w:val="single" w:sz="8" w:space="0" w:color="005022"/>
            </w:tcBorders>
            <w:shd w:val="clear" w:color="auto" w:fill="00923D"/>
            <w:vAlign w:val="bottom"/>
          </w:tcPr>
          <w:p w:rsidR="00AC12B4" w:rsidRPr="00C27636" w:rsidRDefault="00AC12B4">
            <w:pPr>
              <w:rPr>
                <w:sz w:val="8"/>
                <w:szCs w:val="8"/>
                <w:lang w:val="fr-BE"/>
              </w:rPr>
            </w:pPr>
          </w:p>
        </w:tc>
        <w:tc>
          <w:tcPr>
            <w:tcW w:w="4420" w:type="dxa"/>
            <w:gridSpan w:val="12"/>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253"/>
        </w:trPr>
        <w:tc>
          <w:tcPr>
            <w:tcW w:w="6060" w:type="dxa"/>
            <w:tcBorders>
              <w:left w:val="single" w:sz="8" w:space="0" w:color="005022"/>
            </w:tcBorders>
            <w:shd w:val="clear" w:color="auto" w:fill="00923D"/>
            <w:vAlign w:val="bottom"/>
          </w:tcPr>
          <w:p w:rsidR="00AC12B4" w:rsidRPr="00C27636" w:rsidRDefault="00C27636">
            <w:pPr>
              <w:spacing w:line="206" w:lineRule="exact"/>
              <w:ind w:left="580"/>
              <w:rPr>
                <w:sz w:val="20"/>
                <w:szCs w:val="20"/>
                <w:lang w:val="fr-BE"/>
              </w:rPr>
            </w:pPr>
            <w:r w:rsidRPr="00C27636">
              <w:rPr>
                <w:rFonts w:ascii="Calibri" w:eastAsia="Calibri" w:hAnsi="Calibri" w:cs="Calibri"/>
                <w:i/>
                <w:iCs/>
                <w:color w:val="EAF1DD"/>
                <w:sz w:val="20"/>
                <w:szCs w:val="20"/>
                <w:lang w:val="fr-BE"/>
              </w:rPr>
              <w:t>4. Les Etats parties prennent toutes les mesures appropriées en vue</w:t>
            </w:r>
          </w:p>
        </w:tc>
        <w:tc>
          <w:tcPr>
            <w:tcW w:w="180" w:type="dxa"/>
            <w:tcBorders>
              <w:right w:val="single" w:sz="8" w:space="0" w:color="005022"/>
            </w:tcBorders>
            <w:shd w:val="clear" w:color="auto" w:fill="00923D"/>
            <w:vAlign w:val="bottom"/>
          </w:tcPr>
          <w:p w:rsidR="00AC12B4" w:rsidRPr="00C27636" w:rsidRDefault="00AC12B4">
            <w:pPr>
              <w:rPr>
                <w:lang w:val="fr-BE"/>
              </w:rPr>
            </w:pPr>
          </w:p>
        </w:tc>
        <w:tc>
          <w:tcPr>
            <w:tcW w:w="1280" w:type="dxa"/>
            <w:gridSpan w:val="3"/>
            <w:vAlign w:val="bottom"/>
          </w:tcPr>
          <w:p w:rsidR="00AC12B4" w:rsidRDefault="00C27636">
            <w:pPr>
              <w:spacing w:line="253" w:lineRule="exact"/>
              <w:ind w:left="200"/>
              <w:rPr>
                <w:sz w:val="20"/>
                <w:szCs w:val="20"/>
              </w:rPr>
            </w:pPr>
            <w:r>
              <w:rPr>
                <w:rFonts w:ascii="Calibri" w:eastAsia="Calibri" w:hAnsi="Calibri" w:cs="Calibri"/>
              </w:rPr>
              <w:t>allocations</w:t>
            </w:r>
          </w:p>
        </w:tc>
        <w:tc>
          <w:tcPr>
            <w:tcW w:w="780" w:type="dxa"/>
            <w:gridSpan w:val="2"/>
            <w:vAlign w:val="bottom"/>
          </w:tcPr>
          <w:p w:rsidR="00AC12B4" w:rsidRDefault="00C27636">
            <w:pPr>
              <w:spacing w:line="253" w:lineRule="exact"/>
              <w:ind w:left="200"/>
              <w:rPr>
                <w:sz w:val="20"/>
                <w:szCs w:val="20"/>
              </w:rPr>
            </w:pPr>
            <w:r>
              <w:rPr>
                <w:rFonts w:ascii="Calibri" w:eastAsia="Calibri" w:hAnsi="Calibri" w:cs="Calibri"/>
              </w:rPr>
              <w:t>pour</w:t>
            </w:r>
          </w:p>
        </w:tc>
        <w:tc>
          <w:tcPr>
            <w:tcW w:w="900" w:type="dxa"/>
            <w:gridSpan w:val="4"/>
            <w:vAlign w:val="bottom"/>
          </w:tcPr>
          <w:p w:rsidR="00AC12B4" w:rsidRDefault="00C27636">
            <w:pPr>
              <w:spacing w:line="253" w:lineRule="exact"/>
              <w:ind w:left="160"/>
              <w:rPr>
                <w:sz w:val="20"/>
                <w:szCs w:val="20"/>
              </w:rPr>
            </w:pPr>
            <w:r>
              <w:rPr>
                <w:rFonts w:ascii="Calibri" w:eastAsia="Calibri" w:hAnsi="Calibri" w:cs="Calibri"/>
              </w:rPr>
              <w:t>enfants</w:t>
            </w:r>
          </w:p>
        </w:tc>
        <w:tc>
          <w:tcPr>
            <w:tcW w:w="200" w:type="dxa"/>
            <w:vAlign w:val="bottom"/>
          </w:tcPr>
          <w:p w:rsidR="00AC12B4" w:rsidRDefault="00AC12B4"/>
        </w:tc>
        <w:tc>
          <w:tcPr>
            <w:tcW w:w="1260" w:type="dxa"/>
            <w:gridSpan w:val="2"/>
            <w:vAlign w:val="bottom"/>
          </w:tcPr>
          <w:p w:rsidR="00AC12B4" w:rsidRDefault="00C27636">
            <w:pPr>
              <w:spacing w:line="253" w:lineRule="exact"/>
              <w:ind w:right="634"/>
              <w:jc w:val="right"/>
              <w:rPr>
                <w:sz w:val="20"/>
                <w:szCs w:val="20"/>
              </w:rPr>
            </w:pPr>
            <w:r>
              <w:rPr>
                <w:rFonts w:ascii="Calibri" w:eastAsia="Calibri" w:hAnsi="Calibri" w:cs="Calibri"/>
              </w:rPr>
              <w:t>après</w:t>
            </w:r>
          </w:p>
        </w:tc>
        <w:tc>
          <w:tcPr>
            <w:tcW w:w="0" w:type="dxa"/>
            <w:vAlign w:val="bottom"/>
          </w:tcPr>
          <w:p w:rsidR="00AC12B4" w:rsidRDefault="00AC12B4">
            <w:pPr>
              <w:rPr>
                <w:sz w:val="1"/>
                <w:szCs w:val="1"/>
              </w:rPr>
            </w:pPr>
          </w:p>
        </w:tc>
      </w:tr>
      <w:tr w:rsidR="00AC12B4">
        <w:trPr>
          <w:trHeight w:val="197"/>
        </w:trPr>
        <w:tc>
          <w:tcPr>
            <w:tcW w:w="6060" w:type="dxa"/>
            <w:tcBorders>
              <w:left w:val="single" w:sz="8" w:space="0" w:color="005022"/>
            </w:tcBorders>
            <w:shd w:val="clear" w:color="auto" w:fill="00923D"/>
            <w:vAlign w:val="bottom"/>
          </w:tcPr>
          <w:p w:rsidR="00AC12B4" w:rsidRPr="00C27636" w:rsidRDefault="00C27636">
            <w:pPr>
              <w:spacing w:line="198" w:lineRule="exact"/>
              <w:ind w:left="580"/>
              <w:rPr>
                <w:sz w:val="20"/>
                <w:szCs w:val="20"/>
                <w:lang w:val="fr-BE"/>
              </w:rPr>
            </w:pPr>
            <w:r w:rsidRPr="00C27636">
              <w:rPr>
                <w:rFonts w:ascii="Calibri" w:eastAsia="Calibri" w:hAnsi="Calibri" w:cs="Calibri"/>
                <w:i/>
                <w:iCs/>
                <w:color w:val="EAF1DD"/>
                <w:sz w:val="20"/>
                <w:szCs w:val="20"/>
                <w:lang w:val="fr-BE"/>
              </w:rPr>
              <w:t>d’assurer le recouvrement de la pension alimentaire de l’enfant</w:t>
            </w:r>
          </w:p>
        </w:tc>
        <w:tc>
          <w:tcPr>
            <w:tcW w:w="180" w:type="dxa"/>
            <w:tcBorders>
              <w:right w:val="single" w:sz="8" w:space="0" w:color="005022"/>
            </w:tcBorders>
            <w:shd w:val="clear" w:color="auto" w:fill="00923D"/>
            <w:vAlign w:val="bottom"/>
          </w:tcPr>
          <w:p w:rsidR="00AC12B4" w:rsidRPr="00C27636" w:rsidRDefault="00AC12B4">
            <w:pPr>
              <w:rPr>
                <w:sz w:val="17"/>
                <w:szCs w:val="17"/>
                <w:lang w:val="fr-BE"/>
              </w:rPr>
            </w:pPr>
          </w:p>
        </w:tc>
        <w:tc>
          <w:tcPr>
            <w:tcW w:w="2060" w:type="dxa"/>
            <w:gridSpan w:val="5"/>
            <w:vMerge w:val="restart"/>
            <w:vAlign w:val="bottom"/>
          </w:tcPr>
          <w:p w:rsidR="00AC12B4" w:rsidRDefault="00C27636">
            <w:pPr>
              <w:ind w:left="200"/>
              <w:rPr>
                <w:sz w:val="20"/>
                <w:szCs w:val="20"/>
              </w:rPr>
            </w:pPr>
            <w:r>
              <w:rPr>
                <w:rFonts w:ascii="Calibri" w:eastAsia="Calibri" w:hAnsi="Calibri" w:cs="Calibri"/>
              </w:rPr>
              <w:t>séparation/divorce,</w:t>
            </w:r>
          </w:p>
        </w:tc>
        <w:tc>
          <w:tcPr>
            <w:tcW w:w="500" w:type="dxa"/>
            <w:gridSpan w:val="2"/>
            <w:vMerge w:val="restart"/>
            <w:vAlign w:val="bottom"/>
          </w:tcPr>
          <w:p w:rsidR="00AC12B4" w:rsidRDefault="00C27636">
            <w:pPr>
              <w:ind w:left="120"/>
              <w:rPr>
                <w:sz w:val="20"/>
                <w:szCs w:val="20"/>
              </w:rPr>
            </w:pPr>
            <w:r>
              <w:rPr>
                <w:rFonts w:ascii="Calibri" w:eastAsia="Calibri" w:hAnsi="Calibri" w:cs="Calibri"/>
              </w:rPr>
              <w:t>aux</w:t>
            </w:r>
          </w:p>
        </w:tc>
        <w:tc>
          <w:tcPr>
            <w:tcW w:w="140" w:type="dxa"/>
            <w:vAlign w:val="bottom"/>
          </w:tcPr>
          <w:p w:rsidR="00AC12B4" w:rsidRDefault="00AC12B4">
            <w:pPr>
              <w:rPr>
                <w:sz w:val="17"/>
                <w:szCs w:val="17"/>
              </w:rPr>
            </w:pPr>
          </w:p>
        </w:tc>
        <w:tc>
          <w:tcPr>
            <w:tcW w:w="1720" w:type="dxa"/>
            <w:gridSpan w:val="4"/>
            <w:vMerge w:val="restart"/>
            <w:vAlign w:val="bottom"/>
          </w:tcPr>
          <w:p w:rsidR="00AC12B4" w:rsidRDefault="00C27636">
            <w:pPr>
              <w:ind w:right="614"/>
              <w:jc w:val="right"/>
              <w:rPr>
                <w:sz w:val="20"/>
                <w:szCs w:val="20"/>
              </w:rPr>
            </w:pPr>
            <w:r>
              <w:rPr>
                <w:rFonts w:ascii="Calibri" w:eastAsia="Calibri" w:hAnsi="Calibri" w:cs="Calibri"/>
              </w:rPr>
              <w:t>allocations</w:t>
            </w:r>
          </w:p>
        </w:tc>
        <w:tc>
          <w:tcPr>
            <w:tcW w:w="0" w:type="dxa"/>
            <w:vAlign w:val="bottom"/>
          </w:tcPr>
          <w:p w:rsidR="00AC12B4" w:rsidRDefault="00AC12B4">
            <w:pPr>
              <w:rPr>
                <w:sz w:val="1"/>
                <w:szCs w:val="1"/>
              </w:rPr>
            </w:pPr>
          </w:p>
        </w:tc>
      </w:tr>
      <w:tr w:rsidR="00AC12B4" w:rsidRPr="00C27636">
        <w:trPr>
          <w:trHeight w:val="88"/>
        </w:trPr>
        <w:tc>
          <w:tcPr>
            <w:tcW w:w="6240" w:type="dxa"/>
            <w:gridSpan w:val="2"/>
            <w:vMerge w:val="restart"/>
            <w:tcBorders>
              <w:left w:val="single" w:sz="8" w:space="0" w:color="005022"/>
              <w:right w:val="single" w:sz="8" w:space="0" w:color="005022"/>
            </w:tcBorders>
            <w:shd w:val="clear" w:color="auto" w:fill="00923D"/>
            <w:vAlign w:val="bottom"/>
          </w:tcPr>
          <w:p w:rsidR="00AC12B4" w:rsidRPr="00C27636" w:rsidRDefault="00C27636">
            <w:pPr>
              <w:spacing w:line="243" w:lineRule="exact"/>
              <w:ind w:left="580"/>
              <w:rPr>
                <w:sz w:val="20"/>
                <w:szCs w:val="20"/>
                <w:lang w:val="fr-BE"/>
              </w:rPr>
            </w:pPr>
            <w:r w:rsidRPr="00C27636">
              <w:rPr>
                <w:rFonts w:ascii="Calibri" w:eastAsia="Calibri" w:hAnsi="Calibri" w:cs="Calibri"/>
                <w:i/>
                <w:iCs/>
                <w:color w:val="EAF1DD"/>
                <w:sz w:val="20"/>
                <w:szCs w:val="20"/>
                <w:lang w:val="fr-BE"/>
              </w:rPr>
              <w:t xml:space="preserve">auprès  de  ses  parents  </w:t>
            </w:r>
            <w:r w:rsidRPr="00C27636">
              <w:rPr>
                <w:rFonts w:ascii="Calibri" w:eastAsia="Calibri" w:hAnsi="Calibri" w:cs="Calibri"/>
                <w:i/>
                <w:iCs/>
                <w:color w:val="EAF1DD"/>
                <w:sz w:val="20"/>
                <w:szCs w:val="20"/>
                <w:lang w:val="fr-BE"/>
              </w:rPr>
              <w:lastRenderedPageBreak/>
              <w:t>ou  des  autres  personnes  ayant  une</w:t>
            </w:r>
          </w:p>
        </w:tc>
        <w:tc>
          <w:tcPr>
            <w:tcW w:w="2060" w:type="dxa"/>
            <w:gridSpan w:val="5"/>
            <w:vMerge/>
            <w:vAlign w:val="bottom"/>
          </w:tcPr>
          <w:p w:rsidR="00AC12B4" w:rsidRPr="00C27636" w:rsidRDefault="00AC12B4">
            <w:pPr>
              <w:rPr>
                <w:sz w:val="7"/>
                <w:szCs w:val="7"/>
                <w:lang w:val="fr-BE"/>
              </w:rPr>
            </w:pPr>
          </w:p>
        </w:tc>
        <w:tc>
          <w:tcPr>
            <w:tcW w:w="500" w:type="dxa"/>
            <w:gridSpan w:val="2"/>
            <w:vMerge/>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1720" w:type="dxa"/>
            <w:gridSpan w:val="4"/>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rsidRPr="00C27636">
        <w:trPr>
          <w:trHeight w:val="155"/>
        </w:trPr>
        <w:tc>
          <w:tcPr>
            <w:tcW w:w="6240" w:type="dxa"/>
            <w:gridSpan w:val="2"/>
            <w:vMerge/>
            <w:tcBorders>
              <w:left w:val="single" w:sz="8" w:space="0" w:color="005022"/>
              <w:right w:val="single" w:sz="8" w:space="0" w:color="005022"/>
            </w:tcBorders>
            <w:shd w:val="clear" w:color="auto" w:fill="00923D"/>
            <w:vAlign w:val="bottom"/>
          </w:tcPr>
          <w:p w:rsidR="00AC12B4" w:rsidRPr="00C27636" w:rsidRDefault="00AC12B4">
            <w:pPr>
              <w:rPr>
                <w:sz w:val="13"/>
                <w:szCs w:val="13"/>
                <w:lang w:val="fr-BE"/>
              </w:rPr>
            </w:pPr>
          </w:p>
        </w:tc>
        <w:tc>
          <w:tcPr>
            <w:tcW w:w="4420" w:type="dxa"/>
            <w:gridSpan w:val="12"/>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familiales et liées à la famille (congé</w:t>
            </w:r>
          </w:p>
        </w:tc>
        <w:tc>
          <w:tcPr>
            <w:tcW w:w="0" w:type="dxa"/>
            <w:vAlign w:val="bottom"/>
          </w:tcPr>
          <w:p w:rsidR="00AC12B4" w:rsidRPr="00C27636" w:rsidRDefault="00AC12B4">
            <w:pPr>
              <w:rPr>
                <w:sz w:val="1"/>
                <w:szCs w:val="1"/>
                <w:lang w:val="fr-BE"/>
              </w:rPr>
            </w:pPr>
          </w:p>
        </w:tc>
      </w:tr>
      <w:tr w:rsidR="00AC12B4" w:rsidRPr="00C27636">
        <w:trPr>
          <w:trHeight w:val="114"/>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lastRenderedPageBreak/>
              <w:t>responsabilité financière à son égard, que ce soit sur leur territoire</w:t>
            </w:r>
          </w:p>
        </w:tc>
        <w:tc>
          <w:tcPr>
            <w:tcW w:w="180" w:type="dxa"/>
            <w:tcBorders>
              <w:right w:val="single" w:sz="8" w:space="0" w:color="005022"/>
            </w:tcBorders>
            <w:shd w:val="clear" w:color="auto" w:fill="00923D"/>
            <w:vAlign w:val="bottom"/>
          </w:tcPr>
          <w:p w:rsidR="00AC12B4" w:rsidRPr="00C27636" w:rsidRDefault="00AC12B4">
            <w:pPr>
              <w:rPr>
                <w:sz w:val="9"/>
                <w:szCs w:val="9"/>
                <w:lang w:val="fr-BE"/>
              </w:rPr>
            </w:pPr>
          </w:p>
        </w:tc>
        <w:tc>
          <w:tcPr>
            <w:tcW w:w="4420" w:type="dxa"/>
            <w:gridSpan w:val="12"/>
            <w:vMerge/>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131"/>
        </w:trPr>
        <w:tc>
          <w:tcPr>
            <w:tcW w:w="6060" w:type="dxa"/>
            <w:vMerge/>
            <w:tcBorders>
              <w:left w:val="single" w:sz="8" w:space="0" w:color="005022"/>
            </w:tcBorders>
            <w:shd w:val="clear" w:color="auto" w:fill="00923D"/>
            <w:vAlign w:val="bottom"/>
          </w:tcPr>
          <w:p w:rsidR="00AC12B4" w:rsidRPr="00C27636" w:rsidRDefault="00AC12B4">
            <w:pPr>
              <w:rPr>
                <w:sz w:val="11"/>
                <w:szCs w:val="11"/>
                <w:lang w:val="fr-BE"/>
              </w:rPr>
            </w:pPr>
          </w:p>
        </w:tc>
        <w:tc>
          <w:tcPr>
            <w:tcW w:w="180" w:type="dxa"/>
            <w:tcBorders>
              <w:right w:val="single" w:sz="8" w:space="0" w:color="005022"/>
            </w:tcBorders>
            <w:shd w:val="clear" w:color="auto" w:fill="00923D"/>
            <w:vAlign w:val="bottom"/>
          </w:tcPr>
          <w:p w:rsidR="00AC12B4" w:rsidRPr="00C27636" w:rsidRDefault="00AC12B4">
            <w:pPr>
              <w:rPr>
                <w:sz w:val="11"/>
                <w:szCs w:val="11"/>
                <w:lang w:val="fr-BE"/>
              </w:rPr>
            </w:pPr>
          </w:p>
        </w:tc>
        <w:tc>
          <w:tcPr>
            <w:tcW w:w="4420" w:type="dxa"/>
            <w:gridSpan w:val="12"/>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 xml:space="preserve">parental, de maternité, </w:t>
            </w:r>
            <w:r w:rsidRPr="00C27636">
              <w:rPr>
                <w:rFonts w:ascii="Calibri" w:eastAsia="Calibri" w:hAnsi="Calibri" w:cs="Calibri"/>
                <w:lang w:val="fr-BE"/>
              </w:rPr>
              <w:t>paternité,...) et</w:t>
            </w:r>
          </w:p>
        </w:tc>
        <w:tc>
          <w:tcPr>
            <w:tcW w:w="0" w:type="dxa"/>
            <w:vAlign w:val="bottom"/>
          </w:tcPr>
          <w:p w:rsidR="00AC12B4" w:rsidRPr="00C27636" w:rsidRDefault="00AC12B4">
            <w:pPr>
              <w:rPr>
                <w:sz w:val="1"/>
                <w:szCs w:val="1"/>
                <w:lang w:val="fr-BE"/>
              </w:rPr>
            </w:pPr>
          </w:p>
        </w:tc>
      </w:tr>
      <w:tr w:rsidR="00AC12B4" w:rsidRPr="00C27636">
        <w:trPr>
          <w:trHeight w:val="138"/>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ou à l’étranger. En particulier, pour tenir compte des cas où la</w:t>
            </w:r>
          </w:p>
        </w:tc>
        <w:tc>
          <w:tcPr>
            <w:tcW w:w="180" w:type="dxa"/>
            <w:tcBorders>
              <w:right w:val="single" w:sz="8" w:space="0" w:color="005022"/>
            </w:tcBorders>
            <w:shd w:val="clear" w:color="auto" w:fill="00923D"/>
            <w:vAlign w:val="bottom"/>
          </w:tcPr>
          <w:p w:rsidR="00AC12B4" w:rsidRPr="00C27636" w:rsidRDefault="00AC12B4">
            <w:pPr>
              <w:rPr>
                <w:sz w:val="12"/>
                <w:szCs w:val="12"/>
                <w:lang w:val="fr-BE"/>
              </w:rPr>
            </w:pPr>
          </w:p>
        </w:tc>
        <w:tc>
          <w:tcPr>
            <w:tcW w:w="4420" w:type="dxa"/>
            <w:gridSpan w:val="12"/>
            <w:vMerge/>
            <w:vAlign w:val="bottom"/>
          </w:tcPr>
          <w:p w:rsidR="00AC12B4" w:rsidRPr="00C27636" w:rsidRDefault="00AC12B4">
            <w:pPr>
              <w:rPr>
                <w:sz w:val="12"/>
                <w:szCs w:val="12"/>
                <w:lang w:val="fr-BE"/>
              </w:rPr>
            </w:pPr>
          </w:p>
        </w:tc>
        <w:tc>
          <w:tcPr>
            <w:tcW w:w="0" w:type="dxa"/>
            <w:vAlign w:val="bottom"/>
          </w:tcPr>
          <w:p w:rsidR="00AC12B4" w:rsidRPr="00C27636" w:rsidRDefault="00AC12B4">
            <w:pPr>
              <w:rPr>
                <w:sz w:val="1"/>
                <w:szCs w:val="1"/>
                <w:lang w:val="fr-BE"/>
              </w:rPr>
            </w:pPr>
          </w:p>
        </w:tc>
      </w:tr>
      <w:tr w:rsidR="00AC12B4">
        <w:trPr>
          <w:trHeight w:val="107"/>
        </w:trPr>
        <w:tc>
          <w:tcPr>
            <w:tcW w:w="6060" w:type="dxa"/>
            <w:vMerge/>
            <w:tcBorders>
              <w:left w:val="single" w:sz="8" w:space="0" w:color="005022"/>
            </w:tcBorders>
            <w:shd w:val="clear" w:color="auto" w:fill="00923D"/>
            <w:vAlign w:val="bottom"/>
          </w:tcPr>
          <w:p w:rsidR="00AC12B4" w:rsidRPr="00C27636" w:rsidRDefault="00AC12B4">
            <w:pPr>
              <w:rPr>
                <w:sz w:val="9"/>
                <w:szCs w:val="9"/>
                <w:lang w:val="fr-BE"/>
              </w:rPr>
            </w:pPr>
          </w:p>
        </w:tc>
        <w:tc>
          <w:tcPr>
            <w:tcW w:w="180" w:type="dxa"/>
            <w:tcBorders>
              <w:right w:val="single" w:sz="8" w:space="0" w:color="005022"/>
            </w:tcBorders>
            <w:shd w:val="clear" w:color="auto" w:fill="00923D"/>
            <w:vAlign w:val="bottom"/>
          </w:tcPr>
          <w:p w:rsidR="00AC12B4" w:rsidRPr="00C27636" w:rsidRDefault="00AC12B4">
            <w:pPr>
              <w:rPr>
                <w:sz w:val="9"/>
                <w:szCs w:val="9"/>
                <w:lang w:val="fr-BE"/>
              </w:rPr>
            </w:pPr>
          </w:p>
        </w:tc>
        <w:tc>
          <w:tcPr>
            <w:tcW w:w="2320" w:type="dxa"/>
            <w:gridSpan w:val="6"/>
            <w:vMerge w:val="restart"/>
            <w:vAlign w:val="bottom"/>
          </w:tcPr>
          <w:p w:rsidR="00AC12B4" w:rsidRDefault="00C27636">
            <w:pPr>
              <w:spacing w:line="267" w:lineRule="exact"/>
              <w:ind w:left="200"/>
              <w:rPr>
                <w:sz w:val="20"/>
                <w:szCs w:val="20"/>
              </w:rPr>
            </w:pPr>
            <w:r>
              <w:rPr>
                <w:rFonts w:ascii="Calibri" w:eastAsia="Calibri" w:hAnsi="Calibri" w:cs="Calibri"/>
              </w:rPr>
              <w:t>aux aides au logement.</w:t>
            </w:r>
          </w:p>
        </w:tc>
        <w:tc>
          <w:tcPr>
            <w:tcW w:w="24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08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160"/>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personne qui a une responsabilité financière à l’égard de l’enfant</w:t>
            </w:r>
          </w:p>
        </w:tc>
        <w:tc>
          <w:tcPr>
            <w:tcW w:w="180" w:type="dxa"/>
            <w:tcBorders>
              <w:right w:val="single" w:sz="8" w:space="0" w:color="005022"/>
            </w:tcBorders>
            <w:shd w:val="clear" w:color="auto" w:fill="00923D"/>
            <w:vAlign w:val="bottom"/>
          </w:tcPr>
          <w:p w:rsidR="00AC12B4" w:rsidRPr="00C27636" w:rsidRDefault="00AC12B4">
            <w:pPr>
              <w:rPr>
                <w:sz w:val="13"/>
                <w:szCs w:val="13"/>
                <w:lang w:val="fr-BE"/>
              </w:rPr>
            </w:pPr>
          </w:p>
        </w:tc>
        <w:tc>
          <w:tcPr>
            <w:tcW w:w="2320" w:type="dxa"/>
            <w:gridSpan w:val="6"/>
            <w:vMerge/>
            <w:vAlign w:val="bottom"/>
          </w:tcPr>
          <w:p w:rsidR="00AC12B4" w:rsidRPr="00C27636" w:rsidRDefault="00AC12B4">
            <w:pPr>
              <w:rPr>
                <w:sz w:val="13"/>
                <w:szCs w:val="13"/>
                <w:lang w:val="fr-BE"/>
              </w:rPr>
            </w:pPr>
          </w:p>
        </w:tc>
        <w:tc>
          <w:tcPr>
            <w:tcW w:w="240" w:type="dxa"/>
            <w:vAlign w:val="bottom"/>
          </w:tcPr>
          <w:p w:rsidR="00AC12B4" w:rsidRPr="00C27636" w:rsidRDefault="00AC12B4">
            <w:pPr>
              <w:rPr>
                <w:sz w:val="13"/>
                <w:szCs w:val="13"/>
                <w:lang w:val="fr-BE"/>
              </w:rPr>
            </w:pPr>
          </w:p>
        </w:tc>
        <w:tc>
          <w:tcPr>
            <w:tcW w:w="140" w:type="dxa"/>
            <w:vAlign w:val="bottom"/>
          </w:tcPr>
          <w:p w:rsidR="00AC12B4" w:rsidRPr="00C27636" w:rsidRDefault="00AC12B4">
            <w:pPr>
              <w:rPr>
                <w:sz w:val="13"/>
                <w:szCs w:val="13"/>
                <w:lang w:val="fr-BE"/>
              </w:rPr>
            </w:pPr>
          </w:p>
        </w:tc>
        <w:tc>
          <w:tcPr>
            <w:tcW w:w="260" w:type="dxa"/>
            <w:vAlign w:val="bottom"/>
          </w:tcPr>
          <w:p w:rsidR="00AC12B4" w:rsidRPr="00C27636" w:rsidRDefault="00AC12B4">
            <w:pPr>
              <w:rPr>
                <w:sz w:val="13"/>
                <w:szCs w:val="13"/>
                <w:lang w:val="fr-BE"/>
              </w:rPr>
            </w:pPr>
          </w:p>
        </w:tc>
        <w:tc>
          <w:tcPr>
            <w:tcW w:w="200" w:type="dxa"/>
            <w:vAlign w:val="bottom"/>
          </w:tcPr>
          <w:p w:rsidR="00AC12B4" w:rsidRPr="00C27636" w:rsidRDefault="00AC12B4">
            <w:pPr>
              <w:rPr>
                <w:sz w:val="13"/>
                <w:szCs w:val="13"/>
                <w:lang w:val="fr-BE"/>
              </w:rPr>
            </w:pPr>
          </w:p>
        </w:tc>
        <w:tc>
          <w:tcPr>
            <w:tcW w:w="180" w:type="dxa"/>
            <w:vAlign w:val="bottom"/>
          </w:tcPr>
          <w:p w:rsidR="00AC12B4" w:rsidRPr="00C27636" w:rsidRDefault="00AC12B4">
            <w:pPr>
              <w:rPr>
                <w:sz w:val="13"/>
                <w:szCs w:val="13"/>
                <w:lang w:val="fr-BE"/>
              </w:rPr>
            </w:pPr>
          </w:p>
        </w:tc>
        <w:tc>
          <w:tcPr>
            <w:tcW w:w="108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85"/>
        </w:trPr>
        <w:tc>
          <w:tcPr>
            <w:tcW w:w="6060" w:type="dxa"/>
            <w:vMerge/>
            <w:tcBorders>
              <w:left w:val="single" w:sz="8" w:space="0" w:color="005022"/>
            </w:tcBorders>
            <w:shd w:val="clear" w:color="auto" w:fill="00923D"/>
            <w:vAlign w:val="bottom"/>
          </w:tcPr>
          <w:p w:rsidR="00AC12B4" w:rsidRPr="00C27636" w:rsidRDefault="00AC12B4">
            <w:pPr>
              <w:rPr>
                <w:sz w:val="7"/>
                <w:szCs w:val="7"/>
                <w:lang w:val="fr-BE"/>
              </w:rPr>
            </w:pPr>
          </w:p>
        </w:tc>
        <w:tc>
          <w:tcPr>
            <w:tcW w:w="180" w:type="dxa"/>
            <w:tcBorders>
              <w:right w:val="single" w:sz="8" w:space="0" w:color="005022"/>
            </w:tcBorders>
            <w:shd w:val="clear" w:color="auto" w:fill="00923D"/>
            <w:vAlign w:val="bottom"/>
          </w:tcPr>
          <w:p w:rsidR="00AC12B4" w:rsidRPr="00C27636" w:rsidRDefault="00AC12B4">
            <w:pPr>
              <w:rPr>
                <w:sz w:val="7"/>
                <w:szCs w:val="7"/>
                <w:lang w:val="fr-BE"/>
              </w:rPr>
            </w:pPr>
          </w:p>
        </w:tc>
        <w:tc>
          <w:tcPr>
            <w:tcW w:w="660" w:type="dxa"/>
            <w:vAlign w:val="bottom"/>
          </w:tcPr>
          <w:p w:rsidR="00AC12B4" w:rsidRPr="00C27636" w:rsidRDefault="00AC12B4">
            <w:pPr>
              <w:rPr>
                <w:sz w:val="7"/>
                <w:szCs w:val="7"/>
                <w:lang w:val="fr-BE"/>
              </w:rPr>
            </w:pPr>
          </w:p>
        </w:tc>
        <w:tc>
          <w:tcPr>
            <w:tcW w:w="360" w:type="dxa"/>
            <w:vAlign w:val="bottom"/>
          </w:tcPr>
          <w:p w:rsidR="00AC12B4" w:rsidRPr="00C27636" w:rsidRDefault="00AC12B4">
            <w:pPr>
              <w:rPr>
                <w:sz w:val="7"/>
                <w:szCs w:val="7"/>
                <w:lang w:val="fr-BE"/>
              </w:rPr>
            </w:pPr>
          </w:p>
        </w:tc>
        <w:tc>
          <w:tcPr>
            <w:tcW w:w="260" w:type="dxa"/>
            <w:vAlign w:val="bottom"/>
          </w:tcPr>
          <w:p w:rsidR="00AC12B4" w:rsidRPr="00C27636" w:rsidRDefault="00AC12B4">
            <w:pPr>
              <w:rPr>
                <w:sz w:val="7"/>
                <w:szCs w:val="7"/>
                <w:lang w:val="fr-BE"/>
              </w:rPr>
            </w:pPr>
          </w:p>
        </w:tc>
        <w:tc>
          <w:tcPr>
            <w:tcW w:w="440" w:type="dxa"/>
            <w:vAlign w:val="bottom"/>
          </w:tcPr>
          <w:p w:rsidR="00AC12B4" w:rsidRPr="00C27636" w:rsidRDefault="00AC12B4">
            <w:pPr>
              <w:rPr>
                <w:sz w:val="7"/>
                <w:szCs w:val="7"/>
                <w:lang w:val="fr-BE"/>
              </w:rPr>
            </w:pPr>
          </w:p>
        </w:tc>
        <w:tc>
          <w:tcPr>
            <w:tcW w:w="340" w:type="dxa"/>
            <w:vAlign w:val="bottom"/>
          </w:tcPr>
          <w:p w:rsidR="00AC12B4" w:rsidRPr="00C27636" w:rsidRDefault="00AC12B4">
            <w:pPr>
              <w:rPr>
                <w:sz w:val="7"/>
                <w:szCs w:val="7"/>
                <w:lang w:val="fr-BE"/>
              </w:rPr>
            </w:pPr>
          </w:p>
        </w:tc>
        <w:tc>
          <w:tcPr>
            <w:tcW w:w="260" w:type="dxa"/>
            <w:vAlign w:val="bottom"/>
          </w:tcPr>
          <w:p w:rsidR="00AC12B4" w:rsidRPr="00C27636" w:rsidRDefault="00AC12B4">
            <w:pPr>
              <w:rPr>
                <w:sz w:val="7"/>
                <w:szCs w:val="7"/>
                <w:lang w:val="fr-BE"/>
              </w:rPr>
            </w:pPr>
          </w:p>
        </w:tc>
        <w:tc>
          <w:tcPr>
            <w:tcW w:w="240" w:type="dxa"/>
            <w:vAlign w:val="bottom"/>
          </w:tcPr>
          <w:p w:rsidR="00AC12B4" w:rsidRPr="00C27636" w:rsidRDefault="00AC12B4">
            <w:pPr>
              <w:rPr>
                <w:sz w:val="7"/>
                <w:szCs w:val="7"/>
                <w:lang w:val="fr-BE"/>
              </w:rPr>
            </w:pPr>
          </w:p>
        </w:tc>
        <w:tc>
          <w:tcPr>
            <w:tcW w:w="140" w:type="dxa"/>
            <w:vAlign w:val="bottom"/>
          </w:tcPr>
          <w:p w:rsidR="00AC12B4" w:rsidRPr="00C27636" w:rsidRDefault="00AC12B4">
            <w:pPr>
              <w:rPr>
                <w:sz w:val="7"/>
                <w:szCs w:val="7"/>
                <w:lang w:val="fr-BE"/>
              </w:rPr>
            </w:pPr>
          </w:p>
        </w:tc>
        <w:tc>
          <w:tcPr>
            <w:tcW w:w="260" w:type="dxa"/>
            <w:vAlign w:val="bottom"/>
          </w:tcPr>
          <w:p w:rsidR="00AC12B4" w:rsidRPr="00C27636" w:rsidRDefault="00AC12B4">
            <w:pPr>
              <w:rPr>
                <w:sz w:val="7"/>
                <w:szCs w:val="7"/>
                <w:lang w:val="fr-BE"/>
              </w:rPr>
            </w:pPr>
          </w:p>
        </w:tc>
        <w:tc>
          <w:tcPr>
            <w:tcW w:w="200" w:type="dxa"/>
            <w:vAlign w:val="bottom"/>
          </w:tcPr>
          <w:p w:rsidR="00AC12B4" w:rsidRPr="00C27636" w:rsidRDefault="00AC12B4">
            <w:pPr>
              <w:rPr>
                <w:sz w:val="7"/>
                <w:szCs w:val="7"/>
                <w:lang w:val="fr-BE"/>
              </w:rPr>
            </w:pPr>
          </w:p>
        </w:tc>
        <w:tc>
          <w:tcPr>
            <w:tcW w:w="180" w:type="dxa"/>
            <w:vAlign w:val="bottom"/>
          </w:tcPr>
          <w:p w:rsidR="00AC12B4" w:rsidRPr="00C27636" w:rsidRDefault="00AC12B4">
            <w:pPr>
              <w:rPr>
                <w:sz w:val="7"/>
                <w:szCs w:val="7"/>
                <w:lang w:val="fr-BE"/>
              </w:rPr>
            </w:pPr>
          </w:p>
        </w:tc>
        <w:tc>
          <w:tcPr>
            <w:tcW w:w="1080" w:type="dxa"/>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290"/>
        </w:trPr>
        <w:tc>
          <w:tcPr>
            <w:tcW w:w="6060" w:type="dxa"/>
            <w:tcBorders>
              <w:left w:val="single" w:sz="8" w:space="0" w:color="005022"/>
            </w:tcBorders>
            <w:shd w:val="clear" w:color="auto" w:fill="00923D"/>
            <w:vAlign w:val="bottom"/>
          </w:tcPr>
          <w:p w:rsidR="00AC12B4" w:rsidRPr="00C27636" w:rsidRDefault="00C27636">
            <w:pPr>
              <w:spacing w:line="243" w:lineRule="exact"/>
              <w:ind w:left="580"/>
              <w:rPr>
                <w:sz w:val="20"/>
                <w:szCs w:val="20"/>
                <w:lang w:val="fr-BE"/>
              </w:rPr>
            </w:pPr>
            <w:r w:rsidRPr="00C27636">
              <w:rPr>
                <w:rFonts w:ascii="Calibri" w:eastAsia="Calibri" w:hAnsi="Calibri" w:cs="Calibri"/>
                <w:i/>
                <w:iCs/>
                <w:color w:val="EAF1DD"/>
                <w:sz w:val="20"/>
                <w:szCs w:val="20"/>
                <w:lang w:val="fr-BE"/>
              </w:rPr>
              <w:t xml:space="preserve">vit dans un Etat autre que celui de </w:t>
            </w:r>
            <w:r w:rsidRPr="00C27636">
              <w:rPr>
                <w:rFonts w:ascii="Calibri" w:eastAsia="Calibri" w:hAnsi="Calibri" w:cs="Calibri"/>
                <w:i/>
                <w:iCs/>
                <w:color w:val="EAF1DD"/>
                <w:sz w:val="20"/>
                <w:szCs w:val="20"/>
                <w:lang w:val="fr-BE"/>
              </w:rPr>
              <w:t>l’enfant, les Etats parties</w:t>
            </w:r>
          </w:p>
        </w:tc>
        <w:tc>
          <w:tcPr>
            <w:tcW w:w="18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660" w:type="dxa"/>
            <w:vAlign w:val="bottom"/>
          </w:tcPr>
          <w:p w:rsidR="00AC12B4" w:rsidRDefault="00C27636">
            <w:pPr>
              <w:ind w:left="200"/>
              <w:rPr>
                <w:sz w:val="20"/>
                <w:szCs w:val="20"/>
              </w:rPr>
            </w:pPr>
            <w:r>
              <w:rPr>
                <w:rFonts w:ascii="Calibri" w:eastAsia="Calibri" w:hAnsi="Calibri" w:cs="Calibri"/>
              </w:rPr>
              <w:t>Pour</w:t>
            </w:r>
          </w:p>
        </w:tc>
        <w:tc>
          <w:tcPr>
            <w:tcW w:w="620" w:type="dxa"/>
            <w:gridSpan w:val="2"/>
            <w:vAlign w:val="bottom"/>
          </w:tcPr>
          <w:p w:rsidR="00AC12B4" w:rsidRDefault="00C27636">
            <w:pPr>
              <w:ind w:left="200"/>
              <w:rPr>
                <w:sz w:val="20"/>
                <w:szCs w:val="20"/>
              </w:rPr>
            </w:pPr>
            <w:r>
              <w:rPr>
                <w:rFonts w:ascii="Calibri" w:eastAsia="Calibri" w:hAnsi="Calibri" w:cs="Calibri"/>
              </w:rPr>
              <w:t>cet</w:t>
            </w:r>
          </w:p>
        </w:tc>
        <w:tc>
          <w:tcPr>
            <w:tcW w:w="1280" w:type="dxa"/>
            <w:gridSpan w:val="4"/>
            <w:vAlign w:val="bottom"/>
          </w:tcPr>
          <w:p w:rsidR="00AC12B4" w:rsidRDefault="00C27636">
            <w:pPr>
              <w:ind w:left="100"/>
              <w:rPr>
                <w:sz w:val="20"/>
                <w:szCs w:val="20"/>
              </w:rPr>
            </w:pPr>
            <w:r>
              <w:rPr>
                <w:rFonts w:ascii="Calibri" w:eastAsia="Calibri" w:hAnsi="Calibri" w:cs="Calibri"/>
              </w:rPr>
              <w:t>indicateur,</w:t>
            </w:r>
          </w:p>
        </w:tc>
        <w:tc>
          <w:tcPr>
            <w:tcW w:w="600" w:type="dxa"/>
            <w:gridSpan w:val="3"/>
            <w:vAlign w:val="bottom"/>
          </w:tcPr>
          <w:p w:rsidR="00AC12B4" w:rsidRDefault="00C27636">
            <w:pPr>
              <w:ind w:left="20"/>
              <w:rPr>
                <w:sz w:val="20"/>
                <w:szCs w:val="20"/>
              </w:rPr>
            </w:pPr>
            <w:r>
              <w:rPr>
                <w:rFonts w:ascii="Calibri" w:eastAsia="Calibri" w:hAnsi="Calibri" w:cs="Calibri"/>
              </w:rPr>
              <w:t>nous</w:t>
            </w:r>
          </w:p>
        </w:tc>
        <w:tc>
          <w:tcPr>
            <w:tcW w:w="1260" w:type="dxa"/>
            <w:gridSpan w:val="2"/>
            <w:vAlign w:val="bottom"/>
          </w:tcPr>
          <w:p w:rsidR="00AC12B4" w:rsidRDefault="00C27636">
            <w:pPr>
              <w:ind w:right="634"/>
              <w:jc w:val="right"/>
              <w:rPr>
                <w:sz w:val="20"/>
                <w:szCs w:val="20"/>
              </w:rPr>
            </w:pPr>
            <w:r>
              <w:rPr>
                <w:rFonts w:ascii="Calibri" w:eastAsia="Calibri" w:hAnsi="Calibri" w:cs="Calibri"/>
              </w:rPr>
              <w:t>nous</w:t>
            </w:r>
          </w:p>
        </w:tc>
        <w:tc>
          <w:tcPr>
            <w:tcW w:w="0" w:type="dxa"/>
            <w:vAlign w:val="bottom"/>
          </w:tcPr>
          <w:p w:rsidR="00AC12B4" w:rsidRDefault="00AC12B4">
            <w:pPr>
              <w:rPr>
                <w:sz w:val="1"/>
                <w:szCs w:val="1"/>
              </w:rPr>
            </w:pPr>
          </w:p>
        </w:tc>
      </w:tr>
      <w:tr w:rsidR="00AC12B4">
        <w:trPr>
          <w:trHeight w:val="197"/>
        </w:trPr>
        <w:tc>
          <w:tcPr>
            <w:tcW w:w="6060" w:type="dxa"/>
            <w:tcBorders>
              <w:left w:val="single" w:sz="8" w:space="0" w:color="005022"/>
            </w:tcBorders>
            <w:shd w:val="clear" w:color="auto" w:fill="00923D"/>
            <w:vAlign w:val="bottom"/>
          </w:tcPr>
          <w:p w:rsidR="00AC12B4" w:rsidRPr="00C27636" w:rsidRDefault="00C27636">
            <w:pPr>
              <w:spacing w:line="198" w:lineRule="exact"/>
              <w:ind w:left="580"/>
              <w:rPr>
                <w:sz w:val="20"/>
                <w:szCs w:val="20"/>
                <w:lang w:val="fr-BE"/>
              </w:rPr>
            </w:pPr>
            <w:r w:rsidRPr="00C27636">
              <w:rPr>
                <w:rFonts w:ascii="Calibri" w:eastAsia="Calibri" w:hAnsi="Calibri" w:cs="Calibri"/>
                <w:i/>
                <w:iCs/>
                <w:color w:val="EAF1DD"/>
                <w:sz w:val="20"/>
                <w:szCs w:val="20"/>
                <w:lang w:val="fr-BE"/>
              </w:rPr>
              <w:t>favorisent l’adhésion à des accords internationaux ou la conclusion</w:t>
            </w:r>
          </w:p>
        </w:tc>
        <w:tc>
          <w:tcPr>
            <w:tcW w:w="180" w:type="dxa"/>
            <w:tcBorders>
              <w:right w:val="single" w:sz="8" w:space="0" w:color="005022"/>
            </w:tcBorders>
            <w:shd w:val="clear" w:color="auto" w:fill="00923D"/>
            <w:vAlign w:val="bottom"/>
          </w:tcPr>
          <w:p w:rsidR="00AC12B4" w:rsidRPr="00C27636" w:rsidRDefault="00AC12B4">
            <w:pPr>
              <w:rPr>
                <w:sz w:val="17"/>
                <w:szCs w:val="17"/>
                <w:lang w:val="fr-BE"/>
              </w:rPr>
            </w:pPr>
          </w:p>
        </w:tc>
        <w:tc>
          <w:tcPr>
            <w:tcW w:w="1020" w:type="dxa"/>
            <w:gridSpan w:val="2"/>
            <w:vMerge w:val="restart"/>
            <w:vAlign w:val="bottom"/>
          </w:tcPr>
          <w:p w:rsidR="00AC12B4" w:rsidRDefault="00C27636">
            <w:pPr>
              <w:ind w:left="200"/>
              <w:rPr>
                <w:sz w:val="20"/>
                <w:szCs w:val="20"/>
              </w:rPr>
            </w:pPr>
            <w:r>
              <w:rPr>
                <w:rFonts w:ascii="Calibri" w:eastAsia="Calibri" w:hAnsi="Calibri" w:cs="Calibri"/>
              </w:rPr>
              <w:t>sommes</w:t>
            </w:r>
          </w:p>
        </w:tc>
        <w:tc>
          <w:tcPr>
            <w:tcW w:w="700" w:type="dxa"/>
            <w:gridSpan w:val="2"/>
            <w:vMerge w:val="restart"/>
            <w:vAlign w:val="bottom"/>
          </w:tcPr>
          <w:p w:rsidR="00AC12B4" w:rsidRDefault="00C27636">
            <w:pPr>
              <w:jc w:val="right"/>
              <w:rPr>
                <w:sz w:val="20"/>
                <w:szCs w:val="20"/>
              </w:rPr>
            </w:pPr>
            <w:r>
              <w:rPr>
                <w:rFonts w:ascii="Calibri" w:eastAsia="Calibri" w:hAnsi="Calibri" w:cs="Calibri"/>
              </w:rPr>
              <w:t>basés</w:t>
            </w:r>
          </w:p>
        </w:tc>
        <w:tc>
          <w:tcPr>
            <w:tcW w:w="600" w:type="dxa"/>
            <w:gridSpan w:val="2"/>
            <w:vMerge w:val="restart"/>
            <w:vAlign w:val="bottom"/>
          </w:tcPr>
          <w:p w:rsidR="00AC12B4" w:rsidRDefault="00C27636">
            <w:pPr>
              <w:ind w:left="140"/>
              <w:rPr>
                <w:sz w:val="20"/>
                <w:szCs w:val="20"/>
              </w:rPr>
            </w:pPr>
            <w:r>
              <w:rPr>
                <w:rFonts w:ascii="Calibri" w:eastAsia="Calibri" w:hAnsi="Calibri" w:cs="Calibri"/>
              </w:rPr>
              <w:t>sur</w:t>
            </w:r>
          </w:p>
        </w:tc>
        <w:tc>
          <w:tcPr>
            <w:tcW w:w="240" w:type="dxa"/>
            <w:vMerge w:val="restart"/>
            <w:vAlign w:val="bottom"/>
          </w:tcPr>
          <w:p w:rsidR="00AC12B4" w:rsidRDefault="00C27636">
            <w:pPr>
              <w:rPr>
                <w:sz w:val="20"/>
                <w:szCs w:val="20"/>
              </w:rPr>
            </w:pPr>
            <w:r>
              <w:rPr>
                <w:rFonts w:ascii="Calibri" w:eastAsia="Calibri" w:hAnsi="Calibri" w:cs="Calibri"/>
              </w:rPr>
              <w:t>la</w:t>
            </w:r>
          </w:p>
        </w:tc>
        <w:tc>
          <w:tcPr>
            <w:tcW w:w="780" w:type="dxa"/>
            <w:gridSpan w:val="4"/>
            <w:vMerge w:val="restart"/>
            <w:vAlign w:val="bottom"/>
          </w:tcPr>
          <w:p w:rsidR="00AC12B4" w:rsidRDefault="00C27636">
            <w:pPr>
              <w:jc w:val="right"/>
              <w:rPr>
                <w:sz w:val="20"/>
                <w:szCs w:val="20"/>
              </w:rPr>
            </w:pPr>
            <w:r>
              <w:rPr>
                <w:rFonts w:ascii="Calibri" w:eastAsia="Calibri" w:hAnsi="Calibri" w:cs="Calibri"/>
              </w:rPr>
              <w:t>notion</w:t>
            </w:r>
          </w:p>
        </w:tc>
        <w:tc>
          <w:tcPr>
            <w:tcW w:w="1080" w:type="dxa"/>
            <w:vMerge w:val="restart"/>
            <w:vAlign w:val="bottom"/>
          </w:tcPr>
          <w:p w:rsidR="00AC12B4" w:rsidRDefault="00C27636">
            <w:pPr>
              <w:ind w:right="634"/>
              <w:jc w:val="right"/>
              <w:rPr>
                <w:sz w:val="20"/>
                <w:szCs w:val="20"/>
              </w:rPr>
            </w:pPr>
            <w:r>
              <w:rPr>
                <w:rFonts w:ascii="Calibri" w:eastAsia="Calibri" w:hAnsi="Calibri" w:cs="Calibri"/>
              </w:rPr>
              <w:t>de</w:t>
            </w:r>
          </w:p>
        </w:tc>
        <w:tc>
          <w:tcPr>
            <w:tcW w:w="0" w:type="dxa"/>
            <w:vAlign w:val="bottom"/>
          </w:tcPr>
          <w:p w:rsidR="00AC12B4" w:rsidRDefault="00AC12B4">
            <w:pPr>
              <w:rPr>
                <w:sz w:val="1"/>
                <w:szCs w:val="1"/>
              </w:rPr>
            </w:pPr>
          </w:p>
        </w:tc>
      </w:tr>
      <w:tr w:rsidR="00AC12B4" w:rsidRPr="00C27636">
        <w:trPr>
          <w:trHeight w:val="85"/>
        </w:trPr>
        <w:tc>
          <w:tcPr>
            <w:tcW w:w="6060" w:type="dxa"/>
            <w:vMerge w:val="restart"/>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sz w:val="20"/>
                <w:szCs w:val="20"/>
                <w:lang w:val="fr-BE"/>
              </w:rPr>
              <w:t>de tels accords ainsi que l’adoption de tous autres arrangements</w:t>
            </w:r>
          </w:p>
        </w:tc>
        <w:tc>
          <w:tcPr>
            <w:tcW w:w="180" w:type="dxa"/>
            <w:tcBorders>
              <w:right w:val="single" w:sz="8" w:space="0" w:color="005022"/>
            </w:tcBorders>
            <w:shd w:val="clear" w:color="auto" w:fill="00923D"/>
            <w:vAlign w:val="bottom"/>
          </w:tcPr>
          <w:p w:rsidR="00AC12B4" w:rsidRPr="00C27636" w:rsidRDefault="00AC12B4">
            <w:pPr>
              <w:rPr>
                <w:sz w:val="7"/>
                <w:szCs w:val="7"/>
                <w:lang w:val="fr-BE"/>
              </w:rPr>
            </w:pPr>
          </w:p>
        </w:tc>
        <w:tc>
          <w:tcPr>
            <w:tcW w:w="1020" w:type="dxa"/>
            <w:gridSpan w:val="2"/>
            <w:vMerge/>
            <w:vAlign w:val="bottom"/>
          </w:tcPr>
          <w:p w:rsidR="00AC12B4" w:rsidRPr="00C27636" w:rsidRDefault="00AC12B4">
            <w:pPr>
              <w:rPr>
                <w:sz w:val="7"/>
                <w:szCs w:val="7"/>
                <w:lang w:val="fr-BE"/>
              </w:rPr>
            </w:pPr>
          </w:p>
        </w:tc>
        <w:tc>
          <w:tcPr>
            <w:tcW w:w="700" w:type="dxa"/>
            <w:gridSpan w:val="2"/>
            <w:vMerge/>
            <w:vAlign w:val="bottom"/>
          </w:tcPr>
          <w:p w:rsidR="00AC12B4" w:rsidRPr="00C27636" w:rsidRDefault="00AC12B4">
            <w:pPr>
              <w:rPr>
                <w:sz w:val="7"/>
                <w:szCs w:val="7"/>
                <w:lang w:val="fr-BE"/>
              </w:rPr>
            </w:pPr>
          </w:p>
        </w:tc>
        <w:tc>
          <w:tcPr>
            <w:tcW w:w="600" w:type="dxa"/>
            <w:gridSpan w:val="2"/>
            <w:vMerge/>
            <w:vAlign w:val="bottom"/>
          </w:tcPr>
          <w:p w:rsidR="00AC12B4" w:rsidRPr="00C27636" w:rsidRDefault="00AC12B4">
            <w:pPr>
              <w:rPr>
                <w:sz w:val="7"/>
                <w:szCs w:val="7"/>
                <w:lang w:val="fr-BE"/>
              </w:rPr>
            </w:pPr>
          </w:p>
        </w:tc>
        <w:tc>
          <w:tcPr>
            <w:tcW w:w="240" w:type="dxa"/>
            <w:vMerge/>
            <w:vAlign w:val="bottom"/>
          </w:tcPr>
          <w:p w:rsidR="00AC12B4" w:rsidRPr="00C27636" w:rsidRDefault="00AC12B4">
            <w:pPr>
              <w:rPr>
                <w:sz w:val="7"/>
                <w:szCs w:val="7"/>
                <w:lang w:val="fr-BE"/>
              </w:rPr>
            </w:pPr>
          </w:p>
        </w:tc>
        <w:tc>
          <w:tcPr>
            <w:tcW w:w="780" w:type="dxa"/>
            <w:gridSpan w:val="4"/>
            <w:vMerge/>
            <w:vAlign w:val="bottom"/>
          </w:tcPr>
          <w:p w:rsidR="00AC12B4" w:rsidRPr="00C27636" w:rsidRDefault="00AC12B4">
            <w:pPr>
              <w:rPr>
                <w:sz w:val="7"/>
                <w:szCs w:val="7"/>
                <w:lang w:val="fr-BE"/>
              </w:rPr>
            </w:pPr>
          </w:p>
        </w:tc>
        <w:tc>
          <w:tcPr>
            <w:tcW w:w="1080" w:type="dxa"/>
            <w:vMerge/>
            <w:vAlign w:val="bottom"/>
          </w:tcPr>
          <w:p w:rsidR="00AC12B4" w:rsidRPr="00C27636" w:rsidRDefault="00AC12B4">
            <w:pPr>
              <w:rPr>
                <w:sz w:val="7"/>
                <w:szCs w:val="7"/>
                <w:lang w:val="fr-BE"/>
              </w:rPr>
            </w:pPr>
          </w:p>
        </w:tc>
        <w:tc>
          <w:tcPr>
            <w:tcW w:w="0" w:type="dxa"/>
            <w:vAlign w:val="bottom"/>
          </w:tcPr>
          <w:p w:rsidR="00AC12B4" w:rsidRPr="00C27636" w:rsidRDefault="00AC12B4">
            <w:pPr>
              <w:rPr>
                <w:sz w:val="1"/>
                <w:szCs w:val="1"/>
                <w:lang w:val="fr-BE"/>
              </w:rPr>
            </w:pPr>
          </w:p>
        </w:tc>
      </w:tr>
      <w:tr w:rsidR="00AC12B4">
        <w:trPr>
          <w:trHeight w:val="160"/>
        </w:trPr>
        <w:tc>
          <w:tcPr>
            <w:tcW w:w="6060" w:type="dxa"/>
            <w:vMerge/>
            <w:tcBorders>
              <w:left w:val="single" w:sz="8" w:space="0" w:color="005022"/>
            </w:tcBorders>
            <w:shd w:val="clear" w:color="auto" w:fill="00923D"/>
            <w:vAlign w:val="bottom"/>
          </w:tcPr>
          <w:p w:rsidR="00AC12B4" w:rsidRPr="00C27636" w:rsidRDefault="00AC12B4">
            <w:pPr>
              <w:rPr>
                <w:sz w:val="13"/>
                <w:szCs w:val="13"/>
                <w:lang w:val="fr-BE"/>
              </w:rPr>
            </w:pPr>
          </w:p>
        </w:tc>
        <w:tc>
          <w:tcPr>
            <w:tcW w:w="180" w:type="dxa"/>
            <w:tcBorders>
              <w:right w:val="single" w:sz="8" w:space="0" w:color="005022"/>
            </w:tcBorders>
            <w:shd w:val="clear" w:color="auto" w:fill="00923D"/>
            <w:vAlign w:val="bottom"/>
          </w:tcPr>
          <w:p w:rsidR="00AC12B4" w:rsidRPr="00C27636" w:rsidRDefault="00AC12B4">
            <w:pPr>
              <w:rPr>
                <w:sz w:val="13"/>
                <w:szCs w:val="13"/>
                <w:lang w:val="fr-BE"/>
              </w:rPr>
            </w:pPr>
          </w:p>
        </w:tc>
        <w:tc>
          <w:tcPr>
            <w:tcW w:w="1020" w:type="dxa"/>
            <w:gridSpan w:val="2"/>
            <w:vMerge w:val="restart"/>
            <w:vAlign w:val="bottom"/>
          </w:tcPr>
          <w:p w:rsidR="00AC12B4" w:rsidRDefault="00C27636">
            <w:pPr>
              <w:ind w:left="200"/>
              <w:rPr>
                <w:sz w:val="20"/>
                <w:szCs w:val="20"/>
              </w:rPr>
            </w:pPr>
            <w:r>
              <w:rPr>
                <w:rFonts w:ascii="Calibri" w:eastAsia="Calibri" w:hAnsi="Calibri" w:cs="Calibri"/>
              </w:rPr>
              <w:t>transfert</w:t>
            </w:r>
          </w:p>
        </w:tc>
        <w:tc>
          <w:tcPr>
            <w:tcW w:w="700" w:type="dxa"/>
            <w:gridSpan w:val="2"/>
            <w:vMerge w:val="restart"/>
            <w:vAlign w:val="bottom"/>
          </w:tcPr>
          <w:p w:rsidR="00AC12B4" w:rsidRDefault="00C27636">
            <w:pPr>
              <w:jc w:val="right"/>
              <w:rPr>
                <w:sz w:val="20"/>
                <w:szCs w:val="20"/>
              </w:rPr>
            </w:pPr>
            <w:r>
              <w:rPr>
                <w:rFonts w:ascii="Calibri" w:eastAsia="Calibri" w:hAnsi="Calibri" w:cs="Calibri"/>
              </w:rPr>
              <w:t>social</w:t>
            </w:r>
          </w:p>
        </w:tc>
        <w:tc>
          <w:tcPr>
            <w:tcW w:w="2700" w:type="dxa"/>
            <w:gridSpan w:val="8"/>
            <w:vMerge w:val="restart"/>
            <w:vAlign w:val="bottom"/>
          </w:tcPr>
          <w:p w:rsidR="00AC12B4" w:rsidRDefault="00C27636">
            <w:pPr>
              <w:ind w:right="634"/>
              <w:jc w:val="right"/>
              <w:rPr>
                <w:sz w:val="20"/>
                <w:szCs w:val="20"/>
              </w:rPr>
            </w:pPr>
            <w:r>
              <w:rPr>
                <w:rFonts w:ascii="Calibri" w:eastAsia="Calibri" w:hAnsi="Calibri" w:cs="Calibri"/>
              </w:rPr>
              <w:t>utilisée par Eurostat</w:t>
            </w:r>
          </w:p>
        </w:tc>
        <w:tc>
          <w:tcPr>
            <w:tcW w:w="0" w:type="dxa"/>
            <w:vAlign w:val="bottom"/>
          </w:tcPr>
          <w:p w:rsidR="00AC12B4" w:rsidRDefault="00AC12B4">
            <w:pPr>
              <w:rPr>
                <w:sz w:val="1"/>
                <w:szCs w:val="1"/>
              </w:rPr>
            </w:pPr>
          </w:p>
        </w:tc>
      </w:tr>
      <w:tr w:rsidR="00AC12B4">
        <w:trPr>
          <w:trHeight w:val="109"/>
        </w:trPr>
        <w:tc>
          <w:tcPr>
            <w:tcW w:w="6060" w:type="dxa"/>
            <w:vMerge w:val="restart"/>
            <w:tcBorders>
              <w:left w:val="single" w:sz="8" w:space="0" w:color="005022"/>
            </w:tcBorders>
            <w:shd w:val="clear" w:color="auto" w:fill="00923D"/>
            <w:vAlign w:val="bottom"/>
          </w:tcPr>
          <w:p w:rsidR="00AC12B4" w:rsidRDefault="00C27636">
            <w:pPr>
              <w:ind w:left="580"/>
              <w:rPr>
                <w:sz w:val="20"/>
                <w:szCs w:val="20"/>
              </w:rPr>
            </w:pPr>
            <w:r>
              <w:rPr>
                <w:rFonts w:ascii="Calibri" w:eastAsia="Calibri" w:hAnsi="Calibri" w:cs="Calibri"/>
                <w:i/>
                <w:iCs/>
                <w:color w:val="EAF1DD"/>
                <w:sz w:val="20"/>
                <w:szCs w:val="20"/>
              </w:rPr>
              <w:t>appropriés.</w:t>
            </w:r>
          </w:p>
        </w:tc>
        <w:tc>
          <w:tcPr>
            <w:tcW w:w="180" w:type="dxa"/>
            <w:tcBorders>
              <w:right w:val="single" w:sz="8" w:space="0" w:color="005022"/>
            </w:tcBorders>
            <w:shd w:val="clear" w:color="auto" w:fill="00923D"/>
            <w:vAlign w:val="bottom"/>
          </w:tcPr>
          <w:p w:rsidR="00AC12B4" w:rsidRDefault="00AC12B4">
            <w:pPr>
              <w:rPr>
                <w:sz w:val="9"/>
                <w:szCs w:val="9"/>
              </w:rPr>
            </w:pPr>
          </w:p>
        </w:tc>
        <w:tc>
          <w:tcPr>
            <w:tcW w:w="1020" w:type="dxa"/>
            <w:gridSpan w:val="2"/>
            <w:vMerge/>
            <w:vAlign w:val="bottom"/>
          </w:tcPr>
          <w:p w:rsidR="00AC12B4" w:rsidRDefault="00AC12B4">
            <w:pPr>
              <w:rPr>
                <w:sz w:val="9"/>
                <w:szCs w:val="9"/>
              </w:rPr>
            </w:pPr>
          </w:p>
        </w:tc>
        <w:tc>
          <w:tcPr>
            <w:tcW w:w="700" w:type="dxa"/>
            <w:gridSpan w:val="2"/>
            <w:vMerge/>
            <w:vAlign w:val="bottom"/>
          </w:tcPr>
          <w:p w:rsidR="00AC12B4" w:rsidRDefault="00AC12B4">
            <w:pPr>
              <w:rPr>
                <w:sz w:val="9"/>
                <w:szCs w:val="9"/>
              </w:rPr>
            </w:pPr>
          </w:p>
        </w:tc>
        <w:tc>
          <w:tcPr>
            <w:tcW w:w="2700" w:type="dxa"/>
            <w:gridSpan w:val="8"/>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136"/>
        </w:trPr>
        <w:tc>
          <w:tcPr>
            <w:tcW w:w="6060" w:type="dxa"/>
            <w:vMerge/>
            <w:tcBorders>
              <w:left w:val="single" w:sz="8" w:space="0" w:color="005022"/>
            </w:tcBorders>
            <w:shd w:val="clear" w:color="auto" w:fill="00923D"/>
            <w:vAlign w:val="bottom"/>
          </w:tcPr>
          <w:p w:rsidR="00AC12B4" w:rsidRDefault="00AC12B4">
            <w:pPr>
              <w:rPr>
                <w:sz w:val="11"/>
                <w:szCs w:val="11"/>
              </w:rPr>
            </w:pPr>
          </w:p>
        </w:tc>
        <w:tc>
          <w:tcPr>
            <w:tcW w:w="180" w:type="dxa"/>
            <w:tcBorders>
              <w:right w:val="single" w:sz="8" w:space="0" w:color="005022"/>
            </w:tcBorders>
            <w:shd w:val="clear" w:color="auto" w:fill="00923D"/>
            <w:vAlign w:val="bottom"/>
          </w:tcPr>
          <w:p w:rsidR="00AC12B4" w:rsidRDefault="00AC12B4">
            <w:pPr>
              <w:rPr>
                <w:sz w:val="11"/>
                <w:szCs w:val="11"/>
              </w:rPr>
            </w:pPr>
          </w:p>
        </w:tc>
        <w:tc>
          <w:tcPr>
            <w:tcW w:w="2960" w:type="dxa"/>
            <w:gridSpan w:val="9"/>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(Cf. encadré pour le détail).</w:t>
            </w:r>
          </w:p>
        </w:tc>
        <w:tc>
          <w:tcPr>
            <w:tcW w:w="200" w:type="dxa"/>
            <w:vAlign w:val="bottom"/>
          </w:tcPr>
          <w:p w:rsidR="00AC12B4" w:rsidRPr="00C27636" w:rsidRDefault="00AC12B4">
            <w:pPr>
              <w:rPr>
                <w:sz w:val="11"/>
                <w:szCs w:val="11"/>
                <w:lang w:val="fr-BE"/>
              </w:rPr>
            </w:pPr>
          </w:p>
        </w:tc>
        <w:tc>
          <w:tcPr>
            <w:tcW w:w="180" w:type="dxa"/>
            <w:vAlign w:val="bottom"/>
          </w:tcPr>
          <w:p w:rsidR="00AC12B4" w:rsidRPr="00C27636" w:rsidRDefault="00AC12B4">
            <w:pPr>
              <w:rPr>
                <w:sz w:val="11"/>
                <w:szCs w:val="11"/>
                <w:lang w:val="fr-BE"/>
              </w:rPr>
            </w:pPr>
          </w:p>
        </w:tc>
        <w:tc>
          <w:tcPr>
            <w:tcW w:w="108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rsidRPr="00C27636">
        <w:trPr>
          <w:trHeight w:val="133"/>
        </w:trPr>
        <w:tc>
          <w:tcPr>
            <w:tcW w:w="6060" w:type="dxa"/>
            <w:tcBorders>
              <w:left w:val="single" w:sz="8" w:space="0" w:color="005022"/>
            </w:tcBorders>
            <w:shd w:val="clear" w:color="auto" w:fill="00923D"/>
            <w:vAlign w:val="bottom"/>
          </w:tcPr>
          <w:p w:rsidR="00AC12B4" w:rsidRPr="00C27636" w:rsidRDefault="00AC12B4">
            <w:pPr>
              <w:rPr>
                <w:sz w:val="11"/>
                <w:szCs w:val="11"/>
                <w:lang w:val="fr-BE"/>
              </w:rPr>
            </w:pPr>
          </w:p>
        </w:tc>
        <w:tc>
          <w:tcPr>
            <w:tcW w:w="180" w:type="dxa"/>
            <w:tcBorders>
              <w:right w:val="single" w:sz="8" w:space="0" w:color="005022"/>
            </w:tcBorders>
            <w:shd w:val="clear" w:color="auto" w:fill="00923D"/>
            <w:vAlign w:val="bottom"/>
          </w:tcPr>
          <w:p w:rsidR="00AC12B4" w:rsidRPr="00C27636" w:rsidRDefault="00AC12B4">
            <w:pPr>
              <w:rPr>
                <w:sz w:val="11"/>
                <w:szCs w:val="11"/>
                <w:lang w:val="fr-BE"/>
              </w:rPr>
            </w:pPr>
          </w:p>
        </w:tc>
        <w:tc>
          <w:tcPr>
            <w:tcW w:w="2960" w:type="dxa"/>
            <w:gridSpan w:val="9"/>
            <w:vMerge/>
            <w:vAlign w:val="bottom"/>
          </w:tcPr>
          <w:p w:rsidR="00AC12B4" w:rsidRPr="00C27636" w:rsidRDefault="00AC12B4">
            <w:pPr>
              <w:rPr>
                <w:sz w:val="11"/>
                <w:szCs w:val="11"/>
                <w:lang w:val="fr-BE"/>
              </w:rPr>
            </w:pPr>
          </w:p>
        </w:tc>
        <w:tc>
          <w:tcPr>
            <w:tcW w:w="200" w:type="dxa"/>
            <w:vAlign w:val="bottom"/>
          </w:tcPr>
          <w:p w:rsidR="00AC12B4" w:rsidRPr="00C27636" w:rsidRDefault="00AC12B4">
            <w:pPr>
              <w:rPr>
                <w:sz w:val="11"/>
                <w:szCs w:val="11"/>
                <w:lang w:val="fr-BE"/>
              </w:rPr>
            </w:pPr>
          </w:p>
        </w:tc>
        <w:tc>
          <w:tcPr>
            <w:tcW w:w="180" w:type="dxa"/>
            <w:vAlign w:val="bottom"/>
          </w:tcPr>
          <w:p w:rsidR="00AC12B4" w:rsidRPr="00C27636" w:rsidRDefault="00AC12B4">
            <w:pPr>
              <w:rPr>
                <w:sz w:val="11"/>
                <w:szCs w:val="11"/>
                <w:lang w:val="fr-BE"/>
              </w:rPr>
            </w:pPr>
          </w:p>
        </w:tc>
        <w:tc>
          <w:tcPr>
            <w:tcW w:w="108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rsidRPr="00C27636">
        <w:trPr>
          <w:trHeight w:val="204"/>
        </w:trPr>
        <w:tc>
          <w:tcPr>
            <w:tcW w:w="6060" w:type="dxa"/>
            <w:tcBorders>
              <w:left w:val="single" w:sz="8" w:space="0" w:color="005022"/>
              <w:bottom w:val="single" w:sz="8" w:space="0" w:color="005022"/>
            </w:tcBorders>
            <w:shd w:val="clear" w:color="auto" w:fill="00923D"/>
            <w:vAlign w:val="bottom"/>
          </w:tcPr>
          <w:p w:rsidR="00AC12B4" w:rsidRPr="00C27636" w:rsidRDefault="00AC12B4">
            <w:pPr>
              <w:rPr>
                <w:sz w:val="17"/>
                <w:szCs w:val="17"/>
                <w:lang w:val="fr-BE"/>
              </w:rPr>
            </w:pPr>
          </w:p>
        </w:tc>
        <w:tc>
          <w:tcPr>
            <w:tcW w:w="180" w:type="dxa"/>
            <w:tcBorders>
              <w:bottom w:val="single" w:sz="8" w:space="0" w:color="005022"/>
              <w:right w:val="single" w:sz="8" w:space="0" w:color="005022"/>
            </w:tcBorders>
            <w:shd w:val="clear" w:color="auto" w:fill="00923D"/>
            <w:vAlign w:val="bottom"/>
          </w:tcPr>
          <w:p w:rsidR="00AC12B4" w:rsidRPr="00C27636" w:rsidRDefault="00AC12B4">
            <w:pPr>
              <w:rPr>
                <w:sz w:val="17"/>
                <w:szCs w:val="17"/>
                <w:lang w:val="fr-BE"/>
              </w:rPr>
            </w:pPr>
          </w:p>
        </w:tc>
        <w:tc>
          <w:tcPr>
            <w:tcW w:w="4420" w:type="dxa"/>
            <w:gridSpan w:val="12"/>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Sans ces transferts sociaux, plus d’un</w:t>
            </w:r>
          </w:p>
        </w:tc>
        <w:tc>
          <w:tcPr>
            <w:tcW w:w="0" w:type="dxa"/>
            <w:vAlign w:val="bottom"/>
          </w:tcPr>
          <w:p w:rsidR="00AC12B4" w:rsidRPr="00C27636" w:rsidRDefault="00AC12B4">
            <w:pPr>
              <w:rPr>
                <w:sz w:val="1"/>
                <w:szCs w:val="1"/>
                <w:lang w:val="fr-BE"/>
              </w:rPr>
            </w:pPr>
          </w:p>
        </w:tc>
      </w:tr>
      <w:tr w:rsidR="00AC12B4" w:rsidRPr="00C27636">
        <w:trPr>
          <w:trHeight w:val="164"/>
        </w:trPr>
        <w:tc>
          <w:tcPr>
            <w:tcW w:w="6060" w:type="dxa"/>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Outre les dispositio</w:t>
            </w:r>
            <w:r w:rsidRPr="00C27636">
              <w:rPr>
                <w:rFonts w:ascii="Calibri" w:eastAsia="Calibri" w:hAnsi="Calibri" w:cs="Calibri"/>
                <w:lang w:val="fr-BE"/>
              </w:rPr>
              <w:lastRenderedPageBreak/>
              <w:t>ns de la CIDE citées, le</w:t>
            </w:r>
          </w:p>
        </w:tc>
        <w:tc>
          <w:tcPr>
            <w:tcW w:w="180" w:type="dxa"/>
            <w:vAlign w:val="bottom"/>
          </w:tcPr>
          <w:p w:rsidR="00AC12B4" w:rsidRPr="00C27636" w:rsidRDefault="00AC12B4">
            <w:pPr>
              <w:rPr>
                <w:sz w:val="14"/>
                <w:szCs w:val="14"/>
                <w:lang w:val="fr-BE"/>
              </w:rPr>
            </w:pPr>
          </w:p>
        </w:tc>
        <w:tc>
          <w:tcPr>
            <w:tcW w:w="4420" w:type="dxa"/>
            <w:gridSpan w:val="12"/>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rsidRPr="00C27636">
        <w:trPr>
          <w:trHeight w:val="289"/>
        </w:trPr>
        <w:tc>
          <w:tcPr>
            <w:tcW w:w="6060" w:type="dxa"/>
            <w:vMerge/>
            <w:vAlign w:val="bottom"/>
          </w:tcPr>
          <w:p w:rsidR="00AC12B4" w:rsidRPr="00C27636" w:rsidRDefault="00AC12B4">
            <w:pPr>
              <w:rPr>
                <w:sz w:val="24"/>
                <w:szCs w:val="24"/>
                <w:lang w:val="fr-BE"/>
              </w:rPr>
            </w:pPr>
          </w:p>
        </w:tc>
        <w:tc>
          <w:tcPr>
            <w:tcW w:w="180" w:type="dxa"/>
            <w:tcBorders>
              <w:bottom w:val="single" w:sz="8" w:space="0" w:color="auto"/>
            </w:tcBorders>
            <w:vAlign w:val="bottom"/>
          </w:tcPr>
          <w:p w:rsidR="00AC12B4" w:rsidRPr="00C27636" w:rsidRDefault="00AC12B4">
            <w:pPr>
              <w:rPr>
                <w:sz w:val="24"/>
                <w:szCs w:val="24"/>
                <w:lang w:val="fr-BE"/>
              </w:rPr>
            </w:pPr>
          </w:p>
        </w:tc>
        <w:tc>
          <w:tcPr>
            <w:tcW w:w="660" w:type="dxa"/>
            <w:tcBorders>
              <w:bottom w:val="single" w:sz="8" w:space="0" w:color="auto"/>
            </w:tcBorders>
            <w:vAlign w:val="bottom"/>
          </w:tcPr>
          <w:p w:rsidR="00AC12B4" w:rsidRPr="00C27636" w:rsidRDefault="00AC12B4">
            <w:pPr>
              <w:rPr>
                <w:sz w:val="24"/>
                <w:szCs w:val="24"/>
                <w:lang w:val="fr-BE"/>
              </w:rPr>
            </w:pPr>
          </w:p>
        </w:tc>
        <w:tc>
          <w:tcPr>
            <w:tcW w:w="360" w:type="dxa"/>
            <w:tcBorders>
              <w:bottom w:val="single" w:sz="8" w:space="0" w:color="auto"/>
            </w:tcBorders>
            <w:vAlign w:val="bottom"/>
          </w:tcPr>
          <w:p w:rsidR="00AC12B4" w:rsidRPr="00C27636" w:rsidRDefault="00AC12B4">
            <w:pPr>
              <w:rPr>
                <w:sz w:val="24"/>
                <w:szCs w:val="24"/>
                <w:lang w:val="fr-BE"/>
              </w:rPr>
            </w:pPr>
          </w:p>
        </w:tc>
        <w:tc>
          <w:tcPr>
            <w:tcW w:w="260" w:type="dxa"/>
            <w:tcBorders>
              <w:bottom w:val="single" w:sz="8" w:space="0" w:color="auto"/>
            </w:tcBorders>
            <w:vAlign w:val="bottom"/>
          </w:tcPr>
          <w:p w:rsidR="00AC12B4" w:rsidRPr="00C27636" w:rsidRDefault="00AC12B4">
            <w:pPr>
              <w:rPr>
                <w:sz w:val="24"/>
                <w:szCs w:val="24"/>
                <w:lang w:val="fr-BE"/>
              </w:rPr>
            </w:pPr>
          </w:p>
        </w:tc>
        <w:tc>
          <w:tcPr>
            <w:tcW w:w="440" w:type="dxa"/>
            <w:tcBorders>
              <w:bottom w:val="single" w:sz="8" w:space="0" w:color="auto"/>
            </w:tcBorders>
            <w:vAlign w:val="bottom"/>
          </w:tcPr>
          <w:p w:rsidR="00AC12B4" w:rsidRPr="00C27636" w:rsidRDefault="00AC12B4">
            <w:pPr>
              <w:rPr>
                <w:sz w:val="24"/>
                <w:szCs w:val="24"/>
                <w:lang w:val="fr-BE"/>
              </w:rPr>
            </w:pPr>
          </w:p>
        </w:tc>
        <w:tc>
          <w:tcPr>
            <w:tcW w:w="340" w:type="dxa"/>
            <w:tcBorders>
              <w:bottom w:val="single" w:sz="8" w:space="0" w:color="auto"/>
            </w:tcBorders>
            <w:vAlign w:val="bottom"/>
          </w:tcPr>
          <w:p w:rsidR="00AC12B4" w:rsidRPr="00C27636" w:rsidRDefault="00AC12B4">
            <w:pPr>
              <w:rPr>
                <w:sz w:val="24"/>
                <w:szCs w:val="24"/>
                <w:lang w:val="fr-BE"/>
              </w:rPr>
            </w:pPr>
          </w:p>
        </w:tc>
        <w:tc>
          <w:tcPr>
            <w:tcW w:w="260" w:type="dxa"/>
            <w:tcBorders>
              <w:bottom w:val="single" w:sz="8" w:space="0" w:color="auto"/>
            </w:tcBorders>
            <w:vAlign w:val="bottom"/>
          </w:tcPr>
          <w:p w:rsidR="00AC12B4" w:rsidRPr="00C27636" w:rsidRDefault="00AC12B4">
            <w:pPr>
              <w:rPr>
                <w:sz w:val="24"/>
                <w:szCs w:val="24"/>
                <w:lang w:val="fr-BE"/>
              </w:rPr>
            </w:pPr>
          </w:p>
        </w:tc>
        <w:tc>
          <w:tcPr>
            <w:tcW w:w="240" w:type="dxa"/>
            <w:tcBorders>
              <w:bottom w:val="single" w:sz="8" w:space="0" w:color="auto"/>
            </w:tcBorders>
            <w:vAlign w:val="bottom"/>
          </w:tcPr>
          <w:p w:rsidR="00AC12B4" w:rsidRPr="00C27636" w:rsidRDefault="00AC12B4">
            <w:pPr>
              <w:rPr>
                <w:sz w:val="24"/>
                <w:szCs w:val="24"/>
                <w:lang w:val="fr-BE"/>
              </w:rPr>
            </w:pPr>
          </w:p>
        </w:tc>
        <w:tc>
          <w:tcPr>
            <w:tcW w:w="140" w:type="dxa"/>
            <w:tcBorders>
              <w:bottom w:val="single" w:sz="8" w:space="0" w:color="auto"/>
            </w:tcBorders>
            <w:vAlign w:val="bottom"/>
          </w:tcPr>
          <w:p w:rsidR="00AC12B4" w:rsidRPr="00C27636" w:rsidRDefault="00AC12B4">
            <w:pPr>
              <w:rPr>
                <w:sz w:val="24"/>
                <w:szCs w:val="24"/>
                <w:lang w:val="fr-BE"/>
              </w:rPr>
            </w:pPr>
          </w:p>
        </w:tc>
        <w:tc>
          <w:tcPr>
            <w:tcW w:w="26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108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291"/>
        </w:trPr>
        <w:tc>
          <w:tcPr>
            <w:tcW w:w="6060" w:type="dxa"/>
            <w:vAlign w:val="bottom"/>
          </w:tcPr>
          <w:p w:rsidR="00AC12B4" w:rsidRPr="00C27636" w:rsidRDefault="00C27636">
            <w:pPr>
              <w:ind w:left="1460"/>
              <w:rPr>
                <w:sz w:val="20"/>
                <w:szCs w:val="20"/>
                <w:lang w:val="fr-BE"/>
              </w:rPr>
            </w:pPr>
            <w:r w:rsidRPr="00C27636">
              <w:rPr>
                <w:rFonts w:ascii="Calibri" w:eastAsia="Calibri" w:hAnsi="Calibri" w:cs="Calibri"/>
                <w:lang w:val="fr-BE"/>
              </w:rPr>
              <w:lastRenderedPageBreak/>
              <w:t>Comité des droits de l'enfant de l'ONU a</w:t>
            </w:r>
          </w:p>
        </w:tc>
        <w:tc>
          <w:tcPr>
            <w:tcW w:w="180" w:type="dxa"/>
            <w:vAlign w:val="bottom"/>
          </w:tcPr>
          <w:p w:rsidR="00AC12B4" w:rsidRPr="00C27636" w:rsidRDefault="00AC12B4">
            <w:pPr>
              <w:rPr>
                <w:sz w:val="24"/>
                <w:szCs w:val="24"/>
                <w:lang w:val="fr-BE"/>
              </w:rPr>
            </w:pPr>
          </w:p>
        </w:tc>
        <w:tc>
          <w:tcPr>
            <w:tcW w:w="660" w:type="dxa"/>
            <w:vAlign w:val="bottom"/>
          </w:tcPr>
          <w:p w:rsidR="00AC12B4" w:rsidRPr="00C27636" w:rsidRDefault="00AC12B4">
            <w:pPr>
              <w:rPr>
                <w:sz w:val="24"/>
                <w:szCs w:val="24"/>
                <w:lang w:val="fr-BE"/>
              </w:rPr>
            </w:pPr>
          </w:p>
        </w:tc>
        <w:tc>
          <w:tcPr>
            <w:tcW w:w="360" w:type="dxa"/>
            <w:vAlign w:val="bottom"/>
          </w:tcPr>
          <w:p w:rsidR="00AC12B4" w:rsidRPr="00C27636" w:rsidRDefault="00AC12B4">
            <w:pPr>
              <w:rPr>
                <w:sz w:val="24"/>
                <w:szCs w:val="24"/>
                <w:lang w:val="fr-BE"/>
              </w:rPr>
            </w:pPr>
          </w:p>
        </w:tc>
        <w:tc>
          <w:tcPr>
            <w:tcW w:w="260" w:type="dxa"/>
            <w:vAlign w:val="bottom"/>
          </w:tcPr>
          <w:p w:rsidR="00AC12B4" w:rsidRPr="00C27636" w:rsidRDefault="00AC12B4">
            <w:pPr>
              <w:rPr>
                <w:sz w:val="24"/>
                <w:szCs w:val="24"/>
                <w:lang w:val="fr-BE"/>
              </w:rPr>
            </w:pPr>
          </w:p>
        </w:tc>
        <w:tc>
          <w:tcPr>
            <w:tcW w:w="440" w:type="dxa"/>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26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6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108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69"/>
        </w:trPr>
        <w:tc>
          <w:tcPr>
            <w:tcW w:w="6060" w:type="dxa"/>
            <w:vAlign w:val="bottom"/>
          </w:tcPr>
          <w:p w:rsidR="00AC12B4" w:rsidRPr="00C27636" w:rsidRDefault="00C27636">
            <w:pPr>
              <w:ind w:left="1460"/>
              <w:rPr>
                <w:sz w:val="20"/>
                <w:szCs w:val="20"/>
                <w:lang w:val="fr-BE"/>
              </w:rPr>
            </w:pPr>
            <w:r w:rsidRPr="00C27636">
              <w:rPr>
                <w:rFonts w:ascii="Calibri" w:eastAsia="Calibri" w:hAnsi="Calibri" w:cs="Calibri"/>
                <w:lang w:val="fr-BE"/>
              </w:rPr>
              <w:t>souligné dans ses observations finales de</w:t>
            </w:r>
          </w:p>
        </w:tc>
        <w:tc>
          <w:tcPr>
            <w:tcW w:w="180" w:type="dxa"/>
            <w:vMerge w:val="restart"/>
            <w:vAlign w:val="bottom"/>
          </w:tcPr>
          <w:p w:rsidR="00AC12B4" w:rsidRDefault="00C27636">
            <w:pPr>
              <w:rPr>
                <w:sz w:val="20"/>
                <w:szCs w:val="20"/>
              </w:rPr>
            </w:pPr>
            <w:r>
              <w:rPr>
                <w:rFonts w:ascii="Cambria" w:eastAsia="Cambria" w:hAnsi="Cambria" w:cs="Cambria"/>
                <w:color w:val="4F81BD"/>
                <w:sz w:val="14"/>
                <w:szCs w:val="14"/>
              </w:rPr>
              <w:t>1</w:t>
            </w:r>
          </w:p>
        </w:tc>
        <w:tc>
          <w:tcPr>
            <w:tcW w:w="660" w:type="dxa"/>
            <w:vMerge w:val="restart"/>
            <w:vAlign w:val="bottom"/>
          </w:tcPr>
          <w:p w:rsidR="00AC12B4" w:rsidRDefault="00C27636">
            <w:pPr>
              <w:ind w:left="20"/>
              <w:rPr>
                <w:sz w:val="20"/>
                <w:szCs w:val="20"/>
              </w:rPr>
            </w:pPr>
            <w:r>
              <w:rPr>
                <w:rFonts w:ascii="Calibri" w:eastAsia="Calibri" w:hAnsi="Calibri" w:cs="Calibri"/>
                <w:sz w:val="20"/>
                <w:szCs w:val="20"/>
              </w:rPr>
              <w:t>Sur le</w:t>
            </w:r>
          </w:p>
        </w:tc>
        <w:tc>
          <w:tcPr>
            <w:tcW w:w="360" w:type="dxa"/>
            <w:vMerge w:val="restart"/>
            <w:vAlign w:val="bottom"/>
          </w:tcPr>
          <w:p w:rsidR="00AC12B4" w:rsidRDefault="00C27636">
            <w:pPr>
              <w:ind w:left="20"/>
              <w:rPr>
                <w:sz w:val="20"/>
                <w:szCs w:val="20"/>
              </w:rPr>
            </w:pPr>
            <w:r>
              <w:rPr>
                <w:rFonts w:ascii="Calibri" w:eastAsia="Calibri" w:hAnsi="Calibri" w:cs="Calibri"/>
                <w:sz w:val="20"/>
                <w:szCs w:val="20"/>
              </w:rPr>
              <w:t>lien</w:t>
            </w:r>
          </w:p>
        </w:tc>
        <w:tc>
          <w:tcPr>
            <w:tcW w:w="1040" w:type="dxa"/>
            <w:gridSpan w:val="3"/>
            <w:vMerge w:val="restart"/>
            <w:vAlign w:val="bottom"/>
          </w:tcPr>
          <w:p w:rsidR="00AC12B4" w:rsidRDefault="00C27636">
            <w:pPr>
              <w:ind w:left="100"/>
              <w:rPr>
                <w:sz w:val="20"/>
                <w:szCs w:val="20"/>
              </w:rPr>
            </w:pPr>
            <w:r>
              <w:rPr>
                <w:rFonts w:ascii="Calibri" w:eastAsia="Calibri" w:hAnsi="Calibri" w:cs="Calibri"/>
                <w:sz w:val="20"/>
                <w:szCs w:val="20"/>
              </w:rPr>
              <w:t>statistique</w:t>
            </w:r>
          </w:p>
        </w:tc>
        <w:tc>
          <w:tcPr>
            <w:tcW w:w="500" w:type="dxa"/>
            <w:gridSpan w:val="2"/>
            <w:vMerge w:val="restart"/>
            <w:vAlign w:val="bottom"/>
          </w:tcPr>
          <w:p w:rsidR="00AC12B4" w:rsidRDefault="00C27636">
            <w:pPr>
              <w:ind w:left="40"/>
              <w:rPr>
                <w:sz w:val="20"/>
                <w:szCs w:val="20"/>
              </w:rPr>
            </w:pPr>
            <w:r>
              <w:rPr>
                <w:rFonts w:ascii="Calibri" w:eastAsia="Calibri" w:hAnsi="Calibri" w:cs="Calibri"/>
                <w:w w:val="99"/>
                <w:sz w:val="20"/>
                <w:szCs w:val="20"/>
              </w:rPr>
              <w:t>entre</w:t>
            </w:r>
          </w:p>
        </w:tc>
        <w:tc>
          <w:tcPr>
            <w:tcW w:w="1860" w:type="dxa"/>
            <w:gridSpan w:val="5"/>
            <w:vMerge w:val="restart"/>
            <w:vAlign w:val="bottom"/>
          </w:tcPr>
          <w:p w:rsidR="00AC12B4" w:rsidRDefault="00C27636">
            <w:pPr>
              <w:ind w:right="634"/>
              <w:jc w:val="right"/>
              <w:rPr>
                <w:sz w:val="20"/>
                <w:szCs w:val="20"/>
              </w:rPr>
            </w:pPr>
            <w:r>
              <w:rPr>
                <w:rFonts w:ascii="Calibri" w:eastAsia="Calibri" w:hAnsi="Calibri" w:cs="Calibri"/>
                <w:sz w:val="20"/>
                <w:szCs w:val="20"/>
              </w:rPr>
              <w:t>pauvreté et</w:t>
            </w:r>
          </w:p>
        </w:tc>
        <w:tc>
          <w:tcPr>
            <w:tcW w:w="0" w:type="dxa"/>
            <w:vAlign w:val="bottom"/>
          </w:tcPr>
          <w:p w:rsidR="00AC12B4" w:rsidRDefault="00AC12B4">
            <w:pPr>
              <w:rPr>
                <w:sz w:val="1"/>
                <w:szCs w:val="1"/>
              </w:rPr>
            </w:pPr>
          </w:p>
        </w:tc>
      </w:tr>
      <w:tr w:rsidR="00AC12B4" w:rsidRPr="00C27636">
        <w:trPr>
          <w:trHeight w:val="116"/>
        </w:trPr>
        <w:tc>
          <w:tcPr>
            <w:tcW w:w="6060" w:type="dxa"/>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2010 (§47) le besoin d'aide économique et</w:t>
            </w:r>
          </w:p>
        </w:tc>
        <w:tc>
          <w:tcPr>
            <w:tcW w:w="180" w:type="dxa"/>
            <w:vMerge/>
            <w:vAlign w:val="bottom"/>
          </w:tcPr>
          <w:p w:rsidR="00AC12B4" w:rsidRPr="00C27636" w:rsidRDefault="00AC12B4">
            <w:pPr>
              <w:rPr>
                <w:sz w:val="10"/>
                <w:szCs w:val="10"/>
                <w:lang w:val="fr-BE"/>
              </w:rPr>
            </w:pPr>
          </w:p>
        </w:tc>
        <w:tc>
          <w:tcPr>
            <w:tcW w:w="660" w:type="dxa"/>
            <w:vMerge/>
            <w:vAlign w:val="bottom"/>
          </w:tcPr>
          <w:p w:rsidR="00AC12B4" w:rsidRPr="00C27636" w:rsidRDefault="00AC12B4">
            <w:pPr>
              <w:rPr>
                <w:sz w:val="10"/>
                <w:szCs w:val="10"/>
                <w:lang w:val="fr-BE"/>
              </w:rPr>
            </w:pPr>
          </w:p>
        </w:tc>
        <w:tc>
          <w:tcPr>
            <w:tcW w:w="360" w:type="dxa"/>
            <w:vMerge/>
            <w:vAlign w:val="bottom"/>
          </w:tcPr>
          <w:p w:rsidR="00AC12B4" w:rsidRPr="00C27636" w:rsidRDefault="00AC12B4">
            <w:pPr>
              <w:rPr>
                <w:sz w:val="10"/>
                <w:szCs w:val="10"/>
                <w:lang w:val="fr-BE"/>
              </w:rPr>
            </w:pPr>
          </w:p>
        </w:tc>
        <w:tc>
          <w:tcPr>
            <w:tcW w:w="1040" w:type="dxa"/>
            <w:gridSpan w:val="3"/>
            <w:vMerge/>
            <w:vAlign w:val="bottom"/>
          </w:tcPr>
          <w:p w:rsidR="00AC12B4" w:rsidRPr="00C27636" w:rsidRDefault="00AC12B4">
            <w:pPr>
              <w:rPr>
                <w:sz w:val="10"/>
                <w:szCs w:val="10"/>
                <w:lang w:val="fr-BE"/>
              </w:rPr>
            </w:pPr>
          </w:p>
        </w:tc>
        <w:tc>
          <w:tcPr>
            <w:tcW w:w="500" w:type="dxa"/>
            <w:gridSpan w:val="2"/>
            <w:vMerge/>
            <w:vAlign w:val="bottom"/>
          </w:tcPr>
          <w:p w:rsidR="00AC12B4" w:rsidRPr="00C27636" w:rsidRDefault="00AC12B4">
            <w:pPr>
              <w:rPr>
                <w:sz w:val="10"/>
                <w:szCs w:val="10"/>
                <w:lang w:val="fr-BE"/>
              </w:rPr>
            </w:pPr>
          </w:p>
        </w:tc>
        <w:tc>
          <w:tcPr>
            <w:tcW w:w="1860" w:type="dxa"/>
            <w:gridSpan w:val="5"/>
            <w:vMerge/>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rsidRPr="00C27636">
        <w:trPr>
          <w:trHeight w:val="152"/>
        </w:trPr>
        <w:tc>
          <w:tcPr>
            <w:tcW w:w="6060" w:type="dxa"/>
            <w:vMerge/>
            <w:vAlign w:val="bottom"/>
          </w:tcPr>
          <w:p w:rsidR="00AC12B4" w:rsidRPr="00C27636" w:rsidRDefault="00AC12B4">
            <w:pPr>
              <w:rPr>
                <w:sz w:val="13"/>
                <w:szCs w:val="13"/>
                <w:lang w:val="fr-BE"/>
              </w:rPr>
            </w:pPr>
          </w:p>
        </w:tc>
        <w:tc>
          <w:tcPr>
            <w:tcW w:w="4600" w:type="dxa"/>
            <w:gridSpan w:val="13"/>
            <w:vMerge w:val="restart"/>
            <w:vAlign w:val="bottom"/>
          </w:tcPr>
          <w:p w:rsidR="00AC12B4" w:rsidRPr="00C27636" w:rsidRDefault="00C27636">
            <w:pPr>
              <w:ind w:right="634"/>
              <w:jc w:val="right"/>
              <w:rPr>
                <w:sz w:val="20"/>
                <w:szCs w:val="20"/>
                <w:lang w:val="fr-BE"/>
              </w:rPr>
            </w:pPr>
            <w:r w:rsidRPr="00C27636">
              <w:rPr>
                <w:rFonts w:ascii="Calibri" w:eastAsia="Calibri" w:hAnsi="Calibri" w:cs="Calibri"/>
                <w:sz w:val="20"/>
                <w:szCs w:val="20"/>
                <w:lang w:val="fr-BE"/>
              </w:rPr>
              <w:t>placement, voir recherche UGent et UCL, à la</w:t>
            </w:r>
          </w:p>
        </w:tc>
        <w:tc>
          <w:tcPr>
            <w:tcW w:w="0" w:type="dxa"/>
            <w:vAlign w:val="bottom"/>
          </w:tcPr>
          <w:p w:rsidR="00AC12B4" w:rsidRPr="00C27636" w:rsidRDefault="00AC12B4">
            <w:pPr>
              <w:rPr>
                <w:sz w:val="1"/>
                <w:szCs w:val="1"/>
                <w:lang w:val="fr-BE"/>
              </w:rPr>
            </w:pPr>
          </w:p>
        </w:tc>
      </w:tr>
      <w:tr w:rsidR="00AC12B4" w:rsidRPr="00C27636">
        <w:trPr>
          <w:trHeight w:val="126"/>
        </w:trPr>
        <w:tc>
          <w:tcPr>
            <w:tcW w:w="6060" w:type="dxa"/>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 xml:space="preserve">sociale aux familles en vue </w:t>
            </w:r>
            <w:r w:rsidRPr="00C27636">
              <w:rPr>
                <w:rFonts w:ascii="Calibri" w:eastAsia="Calibri" w:hAnsi="Calibri" w:cs="Calibri"/>
                <w:lang w:val="fr-BE"/>
              </w:rPr>
              <w:lastRenderedPageBreak/>
              <w:t>d'éviter un</w:t>
            </w:r>
          </w:p>
        </w:tc>
        <w:tc>
          <w:tcPr>
            <w:tcW w:w="4600" w:type="dxa"/>
            <w:gridSpan w:val="13"/>
            <w:vMerge/>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rsidRPr="00C27636">
        <w:trPr>
          <w:trHeight w:val="143"/>
        </w:trPr>
        <w:tc>
          <w:tcPr>
            <w:tcW w:w="6060" w:type="dxa"/>
            <w:vMerge/>
            <w:vAlign w:val="bottom"/>
          </w:tcPr>
          <w:p w:rsidR="00AC12B4" w:rsidRPr="00C27636" w:rsidRDefault="00AC12B4">
            <w:pPr>
              <w:rPr>
                <w:sz w:val="12"/>
                <w:szCs w:val="12"/>
                <w:lang w:val="fr-BE"/>
              </w:rPr>
            </w:pPr>
          </w:p>
        </w:tc>
        <w:tc>
          <w:tcPr>
            <w:tcW w:w="4600" w:type="dxa"/>
            <w:gridSpan w:val="13"/>
            <w:vMerge w:val="restart"/>
            <w:vAlign w:val="bottom"/>
          </w:tcPr>
          <w:p w:rsidR="00AC12B4" w:rsidRPr="00C27636" w:rsidRDefault="00C27636">
            <w:pPr>
              <w:ind w:right="634"/>
              <w:jc w:val="right"/>
              <w:rPr>
                <w:sz w:val="20"/>
                <w:szCs w:val="20"/>
                <w:lang w:val="fr-BE"/>
              </w:rPr>
            </w:pPr>
            <w:r w:rsidRPr="00C27636">
              <w:rPr>
                <w:rFonts w:ascii="Calibri" w:eastAsia="Calibri" w:hAnsi="Calibri" w:cs="Calibri"/>
                <w:sz w:val="20"/>
                <w:szCs w:val="20"/>
                <w:lang w:val="fr-BE"/>
              </w:rPr>
              <w:t xml:space="preserve">demande  du  Service  de  </w:t>
            </w:r>
            <w:r w:rsidRPr="00C27636">
              <w:rPr>
                <w:rFonts w:ascii="Calibri" w:eastAsia="Calibri" w:hAnsi="Calibri" w:cs="Calibri"/>
                <w:sz w:val="20"/>
                <w:szCs w:val="20"/>
                <w:lang w:val="fr-BE"/>
              </w:rPr>
              <w:t>lutte  contre  la</w:t>
            </w:r>
          </w:p>
        </w:tc>
        <w:tc>
          <w:tcPr>
            <w:tcW w:w="0" w:type="dxa"/>
            <w:vAlign w:val="bottom"/>
          </w:tcPr>
          <w:p w:rsidR="00AC12B4" w:rsidRPr="00C27636" w:rsidRDefault="00AC12B4">
            <w:pPr>
              <w:rPr>
                <w:sz w:val="1"/>
                <w:szCs w:val="1"/>
                <w:lang w:val="fr-BE"/>
              </w:rPr>
            </w:pPr>
          </w:p>
        </w:tc>
      </w:tr>
      <w:tr w:rsidR="00AC12B4" w:rsidRPr="00C27636">
        <w:trPr>
          <w:trHeight w:val="138"/>
        </w:trPr>
        <w:tc>
          <w:tcPr>
            <w:tcW w:w="6060" w:type="dxa"/>
            <w:vAlign w:val="bottom"/>
          </w:tcPr>
          <w:p w:rsidR="00AC12B4" w:rsidRPr="00C27636" w:rsidRDefault="00AC12B4">
            <w:pPr>
              <w:rPr>
                <w:sz w:val="12"/>
                <w:szCs w:val="12"/>
                <w:lang w:val="fr-BE"/>
              </w:rPr>
            </w:pPr>
          </w:p>
        </w:tc>
        <w:tc>
          <w:tcPr>
            <w:tcW w:w="4600" w:type="dxa"/>
            <w:gridSpan w:val="13"/>
            <w:vMerge/>
            <w:vAlign w:val="bottom"/>
          </w:tcPr>
          <w:p w:rsidR="00AC12B4" w:rsidRPr="00C27636" w:rsidRDefault="00AC12B4">
            <w:pPr>
              <w:rPr>
                <w:sz w:val="12"/>
                <w:szCs w:val="12"/>
                <w:lang w:val="fr-BE"/>
              </w:rPr>
            </w:pPr>
          </w:p>
        </w:tc>
        <w:tc>
          <w:tcPr>
            <w:tcW w:w="0" w:type="dxa"/>
            <w:vAlign w:val="bottom"/>
          </w:tcPr>
          <w:p w:rsidR="00AC12B4" w:rsidRPr="00C27636" w:rsidRDefault="00AC12B4">
            <w:pPr>
              <w:rPr>
                <w:sz w:val="1"/>
                <w:szCs w:val="1"/>
                <w:lang w:val="fr-BE"/>
              </w:rPr>
            </w:pPr>
          </w:p>
        </w:tc>
      </w:tr>
      <w:tr w:rsidR="00AC12B4">
        <w:trPr>
          <w:trHeight w:val="281"/>
        </w:trPr>
        <w:tc>
          <w:tcPr>
            <w:tcW w:w="6060" w:type="dxa"/>
            <w:vAlign w:val="bottom"/>
          </w:tcPr>
          <w:p w:rsidR="00AC12B4" w:rsidRPr="00C27636" w:rsidRDefault="00AC12B4">
            <w:pPr>
              <w:rPr>
                <w:sz w:val="24"/>
                <w:szCs w:val="24"/>
                <w:lang w:val="fr-BE"/>
              </w:rPr>
            </w:pPr>
          </w:p>
        </w:tc>
        <w:tc>
          <w:tcPr>
            <w:tcW w:w="840" w:type="dxa"/>
            <w:gridSpan w:val="2"/>
            <w:vAlign w:val="bottom"/>
          </w:tcPr>
          <w:p w:rsidR="00AC12B4" w:rsidRDefault="00C27636">
            <w:pPr>
              <w:rPr>
                <w:sz w:val="20"/>
                <w:szCs w:val="20"/>
              </w:rPr>
            </w:pPr>
            <w:r>
              <w:rPr>
                <w:rFonts w:ascii="Calibri" w:eastAsia="Calibri" w:hAnsi="Calibri" w:cs="Calibri"/>
                <w:sz w:val="20"/>
                <w:szCs w:val="20"/>
              </w:rPr>
              <w:t>pauvreté,</w:t>
            </w:r>
          </w:p>
        </w:tc>
        <w:tc>
          <w:tcPr>
            <w:tcW w:w="1060" w:type="dxa"/>
            <w:gridSpan w:val="3"/>
            <w:vAlign w:val="bottom"/>
          </w:tcPr>
          <w:p w:rsidR="00AC12B4" w:rsidRDefault="00C27636">
            <w:pPr>
              <w:ind w:left="40"/>
              <w:rPr>
                <w:sz w:val="20"/>
                <w:szCs w:val="20"/>
              </w:rPr>
            </w:pPr>
            <w:r>
              <w:rPr>
                <w:rFonts w:ascii="Calibri" w:eastAsia="Calibri" w:hAnsi="Calibri" w:cs="Calibri"/>
                <w:sz w:val="20"/>
                <w:szCs w:val="20"/>
              </w:rPr>
              <w:t>la précarité</w:t>
            </w:r>
          </w:p>
        </w:tc>
        <w:tc>
          <w:tcPr>
            <w:tcW w:w="340" w:type="dxa"/>
            <w:vAlign w:val="bottom"/>
          </w:tcPr>
          <w:p w:rsidR="00AC12B4" w:rsidRDefault="00C27636">
            <w:pPr>
              <w:ind w:left="100"/>
              <w:rPr>
                <w:sz w:val="20"/>
                <w:szCs w:val="20"/>
              </w:rPr>
            </w:pPr>
            <w:r>
              <w:rPr>
                <w:rFonts w:ascii="Calibri" w:eastAsia="Calibri" w:hAnsi="Calibri" w:cs="Calibri"/>
                <w:sz w:val="20"/>
                <w:szCs w:val="20"/>
              </w:rPr>
              <w:t>et</w:t>
            </w:r>
          </w:p>
        </w:tc>
        <w:tc>
          <w:tcPr>
            <w:tcW w:w="900" w:type="dxa"/>
            <w:gridSpan w:val="4"/>
            <w:vAlign w:val="bottom"/>
          </w:tcPr>
          <w:p w:rsidR="00AC12B4" w:rsidRDefault="00C27636">
            <w:pPr>
              <w:ind w:left="40"/>
              <w:rPr>
                <w:sz w:val="20"/>
                <w:szCs w:val="20"/>
              </w:rPr>
            </w:pPr>
            <w:r>
              <w:rPr>
                <w:rFonts w:ascii="Calibri" w:eastAsia="Calibri" w:hAnsi="Calibri" w:cs="Calibri"/>
                <w:w w:val="98"/>
                <w:sz w:val="20"/>
                <w:szCs w:val="20"/>
              </w:rPr>
              <w:t>l’exclusion</w:t>
            </w:r>
          </w:p>
        </w:tc>
        <w:tc>
          <w:tcPr>
            <w:tcW w:w="1460" w:type="dxa"/>
            <w:gridSpan w:val="3"/>
            <w:vAlign w:val="bottom"/>
          </w:tcPr>
          <w:p w:rsidR="00AC12B4" w:rsidRDefault="00C27636">
            <w:pPr>
              <w:ind w:right="634"/>
              <w:jc w:val="right"/>
              <w:rPr>
                <w:sz w:val="20"/>
                <w:szCs w:val="20"/>
              </w:rPr>
            </w:pPr>
            <w:r>
              <w:rPr>
                <w:rFonts w:ascii="Calibri" w:eastAsia="Calibri" w:hAnsi="Calibri" w:cs="Calibri"/>
                <w:sz w:val="20"/>
                <w:szCs w:val="20"/>
              </w:rPr>
              <w:t>sociale:</w:t>
            </w:r>
          </w:p>
        </w:tc>
        <w:tc>
          <w:tcPr>
            <w:tcW w:w="0" w:type="dxa"/>
            <w:vAlign w:val="bottom"/>
          </w:tcPr>
          <w:p w:rsidR="00AC12B4" w:rsidRDefault="00AC12B4">
            <w:pPr>
              <w:rPr>
                <w:sz w:val="1"/>
                <w:szCs w:val="1"/>
              </w:rPr>
            </w:pPr>
          </w:p>
        </w:tc>
      </w:tr>
    </w:tbl>
    <w:p w:rsidR="00AC12B4" w:rsidRDefault="00AC12B4">
      <w:pPr>
        <w:spacing w:line="37" w:lineRule="exact"/>
        <w:rPr>
          <w:sz w:val="20"/>
          <w:szCs w:val="20"/>
        </w:rPr>
      </w:pPr>
    </w:p>
    <w:p w:rsidR="00AC12B4" w:rsidRPr="00C27636" w:rsidRDefault="00C27636">
      <w:pPr>
        <w:ind w:left="6060"/>
        <w:rPr>
          <w:sz w:val="20"/>
          <w:szCs w:val="20"/>
          <w:lang w:val="fr-BE"/>
        </w:rPr>
      </w:pPr>
      <w:r w:rsidRPr="00C27636">
        <w:rPr>
          <w:rFonts w:ascii="Calibri" w:eastAsia="Calibri" w:hAnsi="Calibri" w:cs="Calibri"/>
          <w:sz w:val="20"/>
          <w:szCs w:val="20"/>
          <w:lang w:val="fr-BE"/>
        </w:rPr>
        <w:t>Bouverne-De Bie, M., Rosseel, Y., Impens, J., De</w:t>
      </w:r>
    </w:p>
    <w:p w:rsidR="00AC12B4" w:rsidRPr="00C27636" w:rsidRDefault="00AC12B4">
      <w:pPr>
        <w:spacing w:line="37" w:lineRule="exact"/>
        <w:rPr>
          <w:sz w:val="20"/>
          <w:szCs w:val="20"/>
          <w:lang w:val="fr-BE"/>
        </w:rPr>
      </w:pPr>
    </w:p>
    <w:p w:rsidR="00AC12B4" w:rsidRPr="00C27636" w:rsidRDefault="00C27636">
      <w:pPr>
        <w:ind w:left="6060"/>
        <w:rPr>
          <w:sz w:val="20"/>
          <w:szCs w:val="20"/>
          <w:lang w:val="fr-BE"/>
        </w:rPr>
      </w:pPr>
      <w:r w:rsidRPr="00C27636">
        <w:rPr>
          <w:rFonts w:ascii="Calibri" w:eastAsia="Calibri" w:hAnsi="Calibri" w:cs="Calibri"/>
          <w:sz w:val="20"/>
          <w:szCs w:val="20"/>
          <w:lang w:val="fr-BE"/>
        </w:rPr>
        <w:t>Visscher, S., Willems, S. et Delens-Ravier, I.,</w:t>
      </w:r>
    </w:p>
    <w:p w:rsidR="00AC12B4" w:rsidRPr="00C27636" w:rsidRDefault="00AC12B4">
      <w:pPr>
        <w:spacing w:line="37" w:lineRule="exact"/>
        <w:rPr>
          <w:sz w:val="20"/>
          <w:szCs w:val="20"/>
          <w:lang w:val="fr-BE"/>
        </w:rPr>
      </w:pPr>
    </w:p>
    <w:p w:rsidR="00AC12B4" w:rsidRPr="00C27636" w:rsidRDefault="00C27636">
      <w:pPr>
        <w:ind w:left="6060"/>
        <w:rPr>
          <w:sz w:val="20"/>
          <w:szCs w:val="20"/>
          <w:lang w:val="fr-BE"/>
        </w:rPr>
      </w:pPr>
      <w:r w:rsidRPr="00C27636">
        <w:rPr>
          <w:rFonts w:ascii="Calibri" w:eastAsia="Calibri" w:hAnsi="Calibri" w:cs="Calibri"/>
          <w:i/>
          <w:iCs/>
          <w:sz w:val="20"/>
          <w:szCs w:val="20"/>
          <w:lang w:val="fr-BE"/>
        </w:rPr>
        <w:t>Existe-t-il un lien entre pauvreté et mesures</w:t>
      </w:r>
    </w:p>
    <w:p w:rsidR="00AC12B4" w:rsidRPr="00C27636" w:rsidRDefault="00AC12B4">
      <w:pPr>
        <w:spacing w:line="37" w:lineRule="exact"/>
        <w:rPr>
          <w:sz w:val="20"/>
          <w:szCs w:val="20"/>
          <w:lang w:val="fr-BE"/>
        </w:rPr>
      </w:pPr>
    </w:p>
    <w:p w:rsidR="00AC12B4" w:rsidRPr="00C27636" w:rsidRDefault="00C27636">
      <w:pPr>
        <w:ind w:left="6060"/>
        <w:rPr>
          <w:sz w:val="20"/>
          <w:szCs w:val="20"/>
          <w:lang w:val="fr-BE"/>
        </w:rPr>
      </w:pPr>
      <w:r w:rsidRPr="00C27636">
        <w:rPr>
          <w:rFonts w:ascii="Calibri" w:eastAsia="Calibri" w:hAnsi="Calibri" w:cs="Calibri"/>
          <w:i/>
          <w:iCs/>
          <w:sz w:val="20"/>
          <w:szCs w:val="20"/>
          <w:lang w:val="fr-BE"/>
        </w:rPr>
        <w:t xml:space="preserve">d'aide à la jeunesse ?, </w:t>
      </w:r>
      <w:r w:rsidRPr="00C27636">
        <w:rPr>
          <w:rFonts w:ascii="Calibri" w:eastAsia="Calibri" w:hAnsi="Calibri" w:cs="Calibri"/>
          <w:sz w:val="20"/>
          <w:szCs w:val="20"/>
          <w:lang w:val="fr-BE"/>
        </w:rPr>
        <w:t xml:space="preserve">Gent, </w:t>
      </w:r>
      <w:r w:rsidRPr="00C27636">
        <w:rPr>
          <w:rFonts w:ascii="Calibri" w:eastAsia="Calibri" w:hAnsi="Calibri" w:cs="Calibri"/>
          <w:sz w:val="20"/>
          <w:szCs w:val="20"/>
          <w:lang w:val="fr-BE"/>
        </w:rPr>
        <w:t>Academia Press,</w:t>
      </w:r>
    </w:p>
    <w:p w:rsidR="00AC12B4" w:rsidRPr="00C27636" w:rsidRDefault="00AC12B4">
      <w:pPr>
        <w:spacing w:line="37" w:lineRule="exact"/>
        <w:rPr>
          <w:sz w:val="20"/>
          <w:szCs w:val="20"/>
          <w:lang w:val="fr-BE"/>
        </w:rPr>
      </w:pPr>
    </w:p>
    <w:p w:rsidR="00AC12B4" w:rsidRDefault="00C27636">
      <w:pPr>
        <w:ind w:left="6060"/>
        <w:rPr>
          <w:sz w:val="20"/>
          <w:szCs w:val="20"/>
        </w:rPr>
      </w:pPr>
      <w:r>
        <w:rPr>
          <w:rFonts w:ascii="Calibri" w:eastAsia="Calibri" w:hAnsi="Calibri" w:cs="Calibri"/>
          <w:sz w:val="20"/>
          <w:szCs w:val="20"/>
        </w:rPr>
        <w:t>2010.</w: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42" w:lineRule="exact"/>
        <w:rPr>
          <w:sz w:val="20"/>
          <w:szCs w:val="20"/>
        </w:rPr>
      </w:pPr>
    </w:p>
    <w:p w:rsidR="00AC12B4" w:rsidRDefault="00C27636">
      <w:pPr>
        <w:ind w:left="5540"/>
        <w:rPr>
          <w:sz w:val="20"/>
          <w:szCs w:val="20"/>
        </w:rPr>
      </w:pPr>
      <w:r>
        <w:rPr>
          <w:rFonts w:ascii="Calibri" w:eastAsia="Calibri" w:hAnsi="Calibri" w:cs="Calibri"/>
        </w:rPr>
        <w:t>155</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 respect de la vie familiale</w:t>
            </w:r>
          </w:p>
        </w:tc>
      </w:tr>
    </w:tbl>
    <w:p w:rsidR="00AC12B4" w:rsidRPr="00C27636" w:rsidRDefault="00AC12B4">
      <w:pPr>
        <w:rPr>
          <w:lang w:val="fr-BE"/>
        </w:rPr>
        <w:sectPr w:rsidR="00AC12B4" w:rsidRPr="00C27636">
          <w:pgSz w:w="12080" w:h="17179"/>
          <w:pgMar w:top="1440" w:right="498" w:bottom="659" w:left="540" w:header="0" w:footer="0" w:gutter="0"/>
          <w:cols w:num="2" w:space="720" w:equalWidth="0">
            <w:col w:w="10660" w:space="49"/>
            <w:col w:w="330"/>
          </w:cols>
        </w:sectPr>
      </w:pPr>
    </w:p>
    <w:p w:rsidR="00AC12B4" w:rsidRPr="00C27636" w:rsidRDefault="00C27636">
      <w:pPr>
        <w:spacing w:line="212" w:lineRule="exact"/>
        <w:rPr>
          <w:sz w:val="20"/>
          <w:szCs w:val="20"/>
          <w:lang w:val="fr-BE"/>
        </w:rPr>
      </w:pPr>
      <w:bookmarkStart w:id="155" w:name="page156"/>
      <w:bookmarkEnd w:id="155"/>
      <w:r>
        <w:rPr>
          <w:noProof/>
          <w:sz w:val="20"/>
          <w:szCs w:val="20"/>
        </w:rPr>
        <w:lastRenderedPageBreak/>
        <w:drawing>
          <wp:anchor distT="0" distB="0" distL="114300" distR="114300" simplePos="0" relativeHeight="251792896" behindDoc="1" locked="0" layoutInCell="0" allowOverlap="1">
            <wp:simplePos x="0" y="0"/>
            <wp:positionH relativeFrom="page">
              <wp:posOffset>0</wp:posOffset>
            </wp:positionH>
            <wp:positionV relativeFrom="page">
              <wp:posOffset>0</wp:posOffset>
            </wp:positionV>
            <wp:extent cx="6249670" cy="10908665"/>
            <wp:effectExtent l="0" t="0" r="0" b="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259">
                      <a:clrChange>
                        <a:clrFrom>
                          <a:srgbClr val="FFFFFF"/>
                        </a:clrFrom>
                        <a:clrTo>
                          <a:srgbClr val="FFFFFF">
                            <a:alpha val="0"/>
                          </a:srgbClr>
                        </a:clrTo>
                      </a:clrChange>
                      <a:extLst/>
                    </a:blip>
                    <a:srcRect/>
                    <a:stretch>
                      <a:fillRect/>
                    </a:stretch>
                  </pic:blipFill>
                  <pic:spPr bwMode="auto">
                    <a:xfrm>
                      <a:off x="0" y="0"/>
                      <a:ext cx="6249670" cy="10908665"/>
                    </a:xfrm>
                    <a:prstGeom prst="rect">
                      <a:avLst/>
                    </a:prstGeom>
                    <a:noFill/>
                  </pic:spPr>
                </pic:pic>
              </a:graphicData>
            </a:graphic>
          </wp:anchor>
        </w:drawing>
      </w:r>
    </w:p>
    <w:p w:rsidR="00AC12B4" w:rsidRPr="00C27636" w:rsidRDefault="00C27636">
      <w:pPr>
        <w:spacing w:line="230" w:lineRule="auto"/>
        <w:ind w:left="986" w:right="320"/>
        <w:jc w:val="both"/>
        <w:rPr>
          <w:sz w:val="20"/>
          <w:szCs w:val="20"/>
          <w:lang w:val="fr-BE"/>
        </w:rPr>
      </w:pPr>
      <w:r w:rsidRPr="00C27636">
        <w:rPr>
          <w:rFonts w:ascii="Calibri" w:eastAsia="Calibri" w:hAnsi="Calibri" w:cs="Calibri"/>
          <w:lang w:val="fr-BE"/>
        </w:rPr>
        <w:t xml:space="preserve">enfant sur trois serait en risque de pauvreté ou d’exclusion sociale (AROPE). Après ces transferts, ce </w:t>
      </w:r>
      <w:r w:rsidRPr="00C27636">
        <w:rPr>
          <w:rFonts w:ascii="Calibri" w:eastAsia="Calibri" w:hAnsi="Calibri" w:cs="Calibri"/>
          <w:lang w:val="fr-BE"/>
        </w:rPr>
        <w:t>taux tombe à 15%. La Belgique est légèrement en dessous de la moyenne européenne.</w:t>
      </w:r>
    </w:p>
    <w:p w:rsidR="00AC12B4" w:rsidRPr="00C27636" w:rsidRDefault="00AC12B4">
      <w:pPr>
        <w:spacing w:line="200" w:lineRule="exact"/>
        <w:rPr>
          <w:sz w:val="20"/>
          <w:szCs w:val="20"/>
          <w:lang w:val="fr-BE"/>
        </w:rPr>
      </w:pPr>
    </w:p>
    <w:p w:rsidR="00AC12B4" w:rsidRPr="00C27636" w:rsidRDefault="00AC12B4">
      <w:pPr>
        <w:spacing w:line="263" w:lineRule="exact"/>
        <w:rPr>
          <w:sz w:val="20"/>
          <w:szCs w:val="20"/>
          <w:lang w:val="fr-BE"/>
        </w:rPr>
      </w:pPr>
    </w:p>
    <w:p w:rsidR="00AC12B4" w:rsidRPr="00C27636" w:rsidRDefault="00C27636">
      <w:pPr>
        <w:ind w:left="506"/>
        <w:rPr>
          <w:sz w:val="20"/>
          <w:szCs w:val="20"/>
          <w:lang w:val="fr-BE"/>
        </w:rPr>
      </w:pPr>
      <w:r w:rsidRPr="00C27636">
        <w:rPr>
          <w:rFonts w:ascii="Calibri" w:eastAsia="Calibri" w:hAnsi="Calibri" w:cs="Calibri"/>
          <w:b/>
          <w:bCs/>
          <w:color w:val="005022"/>
          <w:sz w:val="20"/>
          <w:szCs w:val="20"/>
          <w:lang w:val="fr-BE"/>
        </w:rPr>
        <w:t>Sont compris comme transferts sociaux :</w:t>
      </w:r>
    </w:p>
    <w:p w:rsidR="00AC12B4" w:rsidRPr="00C27636" w:rsidRDefault="00AC12B4">
      <w:pPr>
        <w:spacing w:line="276" w:lineRule="exact"/>
        <w:rPr>
          <w:sz w:val="20"/>
          <w:szCs w:val="20"/>
          <w:lang w:val="fr-BE"/>
        </w:rPr>
      </w:pPr>
    </w:p>
    <w:p w:rsidR="00AC12B4" w:rsidRPr="00C27636" w:rsidRDefault="00C27636">
      <w:pPr>
        <w:numPr>
          <w:ilvl w:val="0"/>
          <w:numId w:val="284"/>
        </w:numPr>
        <w:tabs>
          <w:tab w:val="left" w:pos="1246"/>
        </w:tabs>
        <w:spacing w:line="195" w:lineRule="auto"/>
        <w:ind w:left="1246" w:right="380" w:hanging="363"/>
        <w:rPr>
          <w:rFonts w:ascii="Wingdings" w:eastAsia="Wingdings" w:hAnsi="Wingdings" w:cs="Wingdings"/>
          <w:color w:val="005022"/>
          <w:sz w:val="44"/>
          <w:szCs w:val="44"/>
          <w:vertAlign w:val="superscript"/>
          <w:lang w:val="fr-BE"/>
        </w:rPr>
      </w:pPr>
      <w:r w:rsidRPr="00C27636">
        <w:rPr>
          <w:rFonts w:ascii="Calibri" w:eastAsia="Calibri" w:hAnsi="Calibri" w:cs="Calibri"/>
          <w:i/>
          <w:iCs/>
          <w:color w:val="005022"/>
          <w:lang w:val="fr-BE"/>
        </w:rPr>
        <w:t>les aides à l'emploi (allocations de chômage, d'insertion, d'interruptions de carrière, pré-pensions économiques...),</w:t>
      </w:r>
    </w:p>
    <w:p w:rsidR="00AC12B4" w:rsidRPr="00C27636" w:rsidRDefault="00AC12B4">
      <w:pPr>
        <w:spacing w:line="3" w:lineRule="exact"/>
        <w:rPr>
          <w:rFonts w:ascii="Wingdings" w:eastAsia="Wingdings" w:hAnsi="Wingdings" w:cs="Wingdings"/>
          <w:color w:val="005022"/>
          <w:sz w:val="44"/>
          <w:szCs w:val="44"/>
          <w:vertAlign w:val="superscript"/>
          <w:lang w:val="fr-BE"/>
        </w:rPr>
      </w:pPr>
    </w:p>
    <w:p w:rsidR="00AC12B4" w:rsidRPr="00C27636" w:rsidRDefault="00C27636">
      <w:pPr>
        <w:numPr>
          <w:ilvl w:val="0"/>
          <w:numId w:val="284"/>
        </w:numPr>
        <w:tabs>
          <w:tab w:val="left" w:pos="1246"/>
        </w:tabs>
        <w:spacing w:line="180" w:lineRule="auto"/>
        <w:ind w:left="1246" w:hanging="363"/>
        <w:rPr>
          <w:rFonts w:ascii="Wingdings" w:eastAsia="Wingdings" w:hAnsi="Wingdings" w:cs="Wingdings"/>
          <w:color w:val="005022"/>
          <w:sz w:val="37"/>
          <w:szCs w:val="37"/>
          <w:vertAlign w:val="superscript"/>
          <w:lang w:val="fr-BE"/>
        </w:rPr>
      </w:pPr>
      <w:r w:rsidRPr="00C27636">
        <w:rPr>
          <w:rFonts w:ascii="Calibri" w:eastAsia="Calibri" w:hAnsi="Calibri" w:cs="Calibri"/>
          <w:i/>
          <w:iCs/>
          <w:color w:val="005022"/>
          <w:sz w:val="20"/>
          <w:szCs w:val="20"/>
          <w:lang w:val="fr-BE"/>
        </w:rPr>
        <w:t xml:space="preserve">les </w:t>
      </w:r>
      <w:r w:rsidRPr="00C27636">
        <w:rPr>
          <w:rFonts w:ascii="Calibri" w:eastAsia="Calibri" w:hAnsi="Calibri" w:cs="Calibri"/>
          <w:i/>
          <w:iCs/>
          <w:color w:val="005022"/>
          <w:sz w:val="20"/>
          <w:szCs w:val="20"/>
          <w:lang w:val="fr-BE"/>
        </w:rPr>
        <w:t>indemnités en cas de maladie,</w:t>
      </w:r>
    </w:p>
    <w:p w:rsidR="00AC12B4" w:rsidRPr="00C27636" w:rsidRDefault="00AC12B4">
      <w:pPr>
        <w:spacing w:line="91" w:lineRule="exact"/>
        <w:rPr>
          <w:rFonts w:ascii="Wingdings" w:eastAsia="Wingdings" w:hAnsi="Wingdings" w:cs="Wingdings"/>
          <w:color w:val="005022"/>
          <w:sz w:val="37"/>
          <w:szCs w:val="37"/>
          <w:vertAlign w:val="superscript"/>
          <w:lang w:val="fr-BE"/>
        </w:rPr>
      </w:pPr>
    </w:p>
    <w:p w:rsidR="00AC12B4" w:rsidRPr="00C27636" w:rsidRDefault="00C27636">
      <w:pPr>
        <w:numPr>
          <w:ilvl w:val="0"/>
          <w:numId w:val="284"/>
        </w:numPr>
        <w:tabs>
          <w:tab w:val="left" w:pos="1246"/>
        </w:tabs>
        <w:spacing w:line="182" w:lineRule="auto"/>
        <w:ind w:left="1246" w:hanging="363"/>
        <w:rPr>
          <w:rFonts w:ascii="Wingdings" w:eastAsia="Wingdings" w:hAnsi="Wingdings" w:cs="Wingdings"/>
          <w:color w:val="005022"/>
          <w:sz w:val="26"/>
          <w:szCs w:val="26"/>
          <w:vertAlign w:val="superscript"/>
          <w:lang w:val="fr-BE"/>
        </w:rPr>
      </w:pPr>
      <w:r w:rsidRPr="00C27636">
        <w:rPr>
          <w:rFonts w:ascii="Calibri" w:eastAsia="Calibri" w:hAnsi="Calibri" w:cs="Calibri"/>
          <w:i/>
          <w:iCs/>
          <w:color w:val="005022"/>
          <w:sz w:val="16"/>
          <w:szCs w:val="16"/>
          <w:lang w:val="fr-BE"/>
        </w:rPr>
        <w:t>les indemnités en cas d'invalidité,</w:t>
      </w:r>
    </w:p>
    <w:p w:rsidR="00AC12B4" w:rsidRPr="00C27636" w:rsidRDefault="00AC12B4">
      <w:pPr>
        <w:spacing w:line="91" w:lineRule="exact"/>
        <w:rPr>
          <w:rFonts w:ascii="Wingdings" w:eastAsia="Wingdings" w:hAnsi="Wingdings" w:cs="Wingdings"/>
          <w:color w:val="005022"/>
          <w:sz w:val="26"/>
          <w:szCs w:val="26"/>
          <w:vertAlign w:val="superscript"/>
          <w:lang w:val="fr-BE"/>
        </w:rPr>
      </w:pPr>
    </w:p>
    <w:p w:rsidR="00AC12B4" w:rsidRPr="00C27636" w:rsidRDefault="00C27636">
      <w:pPr>
        <w:numPr>
          <w:ilvl w:val="0"/>
          <w:numId w:val="284"/>
        </w:numPr>
        <w:tabs>
          <w:tab w:val="left" w:pos="1246"/>
        </w:tabs>
        <w:spacing w:line="180" w:lineRule="auto"/>
        <w:ind w:left="1246" w:right="660" w:hanging="363"/>
        <w:rPr>
          <w:rFonts w:ascii="Wingdings" w:eastAsia="Wingdings" w:hAnsi="Wingdings" w:cs="Wingdings"/>
          <w:color w:val="005022"/>
          <w:sz w:val="40"/>
          <w:szCs w:val="40"/>
          <w:vertAlign w:val="superscript"/>
          <w:lang w:val="fr-BE"/>
        </w:rPr>
      </w:pPr>
      <w:r w:rsidRPr="00C27636">
        <w:rPr>
          <w:rFonts w:ascii="Calibri" w:eastAsia="Calibri" w:hAnsi="Calibri" w:cs="Calibri"/>
          <w:i/>
          <w:iCs/>
          <w:color w:val="005022"/>
          <w:sz w:val="21"/>
          <w:szCs w:val="21"/>
          <w:lang w:val="fr-BE"/>
        </w:rPr>
        <w:t>les allocations liées à l'enseignement (bourses d'études),</w:t>
      </w:r>
    </w:p>
    <w:p w:rsidR="00AC12B4" w:rsidRPr="00C27636" w:rsidRDefault="00AC12B4">
      <w:pPr>
        <w:spacing w:line="91" w:lineRule="exact"/>
        <w:rPr>
          <w:rFonts w:ascii="Wingdings" w:eastAsia="Wingdings" w:hAnsi="Wingdings" w:cs="Wingdings"/>
          <w:color w:val="005022"/>
          <w:sz w:val="40"/>
          <w:szCs w:val="40"/>
          <w:vertAlign w:val="superscript"/>
          <w:lang w:val="fr-BE"/>
        </w:rPr>
      </w:pPr>
    </w:p>
    <w:p w:rsidR="00AC12B4" w:rsidRPr="00C27636" w:rsidRDefault="00C27636">
      <w:pPr>
        <w:numPr>
          <w:ilvl w:val="0"/>
          <w:numId w:val="284"/>
        </w:numPr>
        <w:tabs>
          <w:tab w:val="left" w:pos="1246"/>
        </w:tabs>
        <w:spacing w:line="181" w:lineRule="auto"/>
        <w:ind w:left="1246" w:hanging="363"/>
        <w:jc w:val="both"/>
        <w:rPr>
          <w:rFonts w:ascii="Wingdings" w:eastAsia="Wingdings" w:hAnsi="Wingdings" w:cs="Wingdings"/>
          <w:color w:val="005022"/>
          <w:sz w:val="40"/>
          <w:szCs w:val="40"/>
          <w:vertAlign w:val="superscript"/>
          <w:lang w:val="fr-BE"/>
        </w:rPr>
      </w:pPr>
      <w:r w:rsidRPr="00C27636">
        <w:rPr>
          <w:rFonts w:ascii="Calibri" w:eastAsia="Calibri" w:hAnsi="Calibri" w:cs="Calibri"/>
          <w:i/>
          <w:iCs/>
          <w:color w:val="005022"/>
          <w:sz w:val="21"/>
          <w:szCs w:val="21"/>
          <w:lang w:val="fr-BE"/>
        </w:rPr>
        <w:t>les allocations familiales et liées à la famille (congé parental, de maternité, paternité,...),</w:t>
      </w:r>
    </w:p>
    <w:p w:rsidR="00AC12B4" w:rsidRPr="00C27636" w:rsidRDefault="00AC12B4">
      <w:pPr>
        <w:spacing w:line="1" w:lineRule="exact"/>
        <w:rPr>
          <w:rFonts w:ascii="Wingdings" w:eastAsia="Wingdings" w:hAnsi="Wingdings" w:cs="Wingdings"/>
          <w:color w:val="005022"/>
          <w:sz w:val="40"/>
          <w:szCs w:val="40"/>
          <w:vertAlign w:val="superscript"/>
          <w:lang w:val="fr-BE"/>
        </w:rPr>
      </w:pPr>
    </w:p>
    <w:p w:rsidR="00AC12B4" w:rsidRDefault="00C27636">
      <w:pPr>
        <w:numPr>
          <w:ilvl w:val="0"/>
          <w:numId w:val="284"/>
        </w:numPr>
        <w:tabs>
          <w:tab w:val="left" w:pos="1246"/>
        </w:tabs>
        <w:spacing w:line="184" w:lineRule="auto"/>
        <w:ind w:left="1246" w:hanging="363"/>
        <w:rPr>
          <w:rFonts w:ascii="Wingdings" w:eastAsia="Wingdings" w:hAnsi="Wingdings" w:cs="Wingdings"/>
          <w:color w:val="005022"/>
          <w:sz w:val="36"/>
          <w:szCs w:val="36"/>
          <w:vertAlign w:val="superscript"/>
        </w:rPr>
      </w:pPr>
      <w:r>
        <w:rPr>
          <w:rFonts w:ascii="Calibri" w:eastAsia="Calibri" w:hAnsi="Calibri" w:cs="Calibri"/>
          <w:i/>
          <w:iCs/>
          <w:color w:val="005022"/>
          <w:sz w:val="19"/>
          <w:szCs w:val="19"/>
        </w:rPr>
        <w:t>le revenu d'insertion sociale,</w:t>
      </w:r>
    </w:p>
    <w:p w:rsidR="00AC12B4" w:rsidRDefault="00AC12B4">
      <w:pPr>
        <w:spacing w:line="90" w:lineRule="exact"/>
        <w:rPr>
          <w:rFonts w:ascii="Wingdings" w:eastAsia="Wingdings" w:hAnsi="Wingdings" w:cs="Wingdings"/>
          <w:color w:val="005022"/>
          <w:sz w:val="36"/>
          <w:szCs w:val="36"/>
          <w:vertAlign w:val="superscript"/>
        </w:rPr>
      </w:pPr>
    </w:p>
    <w:p w:rsidR="00AC12B4" w:rsidRDefault="00C27636">
      <w:pPr>
        <w:numPr>
          <w:ilvl w:val="0"/>
          <w:numId w:val="284"/>
        </w:numPr>
        <w:tabs>
          <w:tab w:val="left" w:pos="1246"/>
        </w:tabs>
        <w:spacing w:line="182" w:lineRule="auto"/>
        <w:ind w:left="1246" w:hanging="363"/>
        <w:rPr>
          <w:rFonts w:ascii="Wingdings" w:eastAsia="Wingdings" w:hAnsi="Wingdings" w:cs="Wingdings"/>
          <w:color w:val="005022"/>
          <w:sz w:val="26"/>
          <w:szCs w:val="26"/>
          <w:vertAlign w:val="superscript"/>
        </w:rPr>
      </w:pPr>
      <w:r>
        <w:rPr>
          <w:rFonts w:ascii="Calibri" w:eastAsia="Calibri" w:hAnsi="Calibri" w:cs="Calibri"/>
          <w:i/>
          <w:iCs/>
          <w:color w:val="005022"/>
          <w:sz w:val="16"/>
          <w:szCs w:val="16"/>
        </w:rPr>
        <w:t>les aides au logement</w:t>
      </w:r>
    </w:p>
    <w:p w:rsidR="00AC12B4" w:rsidRDefault="00AC12B4">
      <w:pPr>
        <w:spacing w:line="90" w:lineRule="exact"/>
        <w:rPr>
          <w:rFonts w:ascii="Wingdings" w:eastAsia="Wingdings" w:hAnsi="Wingdings" w:cs="Wingdings"/>
          <w:color w:val="005022"/>
          <w:sz w:val="26"/>
          <w:szCs w:val="26"/>
          <w:vertAlign w:val="superscript"/>
        </w:rPr>
      </w:pPr>
    </w:p>
    <w:p w:rsidR="00AC12B4" w:rsidRPr="00C27636" w:rsidRDefault="00C27636">
      <w:pPr>
        <w:numPr>
          <w:ilvl w:val="0"/>
          <w:numId w:val="284"/>
        </w:numPr>
        <w:tabs>
          <w:tab w:val="left" w:pos="1246"/>
        </w:tabs>
        <w:spacing w:line="190" w:lineRule="auto"/>
        <w:ind w:left="1246" w:right="560" w:hanging="363"/>
        <w:rPr>
          <w:rFonts w:ascii="Wingdings" w:eastAsia="Wingdings" w:hAnsi="Wingdings" w:cs="Wingdings"/>
          <w:color w:val="005022"/>
          <w:sz w:val="36"/>
          <w:szCs w:val="36"/>
          <w:vertAlign w:val="superscript"/>
          <w:lang w:val="fr-BE"/>
        </w:rPr>
      </w:pPr>
      <w:r w:rsidRPr="00C27636">
        <w:rPr>
          <w:rFonts w:ascii="Calibri" w:eastAsia="Calibri" w:hAnsi="Calibri" w:cs="Calibri"/>
          <w:i/>
          <w:iCs/>
          <w:color w:val="005022"/>
          <w:lang w:val="fr-BE"/>
        </w:rPr>
        <w:t>les pensions de retraite et pensions de survie</w:t>
      </w:r>
    </w:p>
    <w:p w:rsidR="00AC12B4" w:rsidRPr="00C27636" w:rsidRDefault="00AC12B4">
      <w:pPr>
        <w:spacing w:line="365" w:lineRule="exact"/>
        <w:rPr>
          <w:sz w:val="20"/>
          <w:szCs w:val="20"/>
          <w:lang w:val="fr-BE"/>
        </w:rPr>
      </w:pPr>
    </w:p>
    <w:p w:rsidR="00AC12B4" w:rsidRPr="00C27636" w:rsidRDefault="00C27636">
      <w:pPr>
        <w:ind w:left="986"/>
        <w:rPr>
          <w:sz w:val="20"/>
          <w:szCs w:val="20"/>
          <w:lang w:val="fr-BE"/>
        </w:rPr>
      </w:pPr>
      <w:r w:rsidRPr="00C27636">
        <w:rPr>
          <w:rFonts w:ascii="Cambria" w:eastAsia="Cambria" w:hAnsi="Cambria" w:cs="Cambria"/>
          <w:b/>
          <w:bCs/>
          <w:i/>
          <w:iCs/>
          <w:color w:val="005022"/>
          <w:sz w:val="26"/>
          <w:szCs w:val="26"/>
          <w:lang w:val="fr-BE"/>
        </w:rPr>
        <w:t>Evolution</w:t>
      </w:r>
    </w:p>
    <w:p w:rsidR="00AC12B4" w:rsidRPr="00C27636" w:rsidRDefault="00AC12B4">
      <w:pPr>
        <w:spacing w:line="208" w:lineRule="exact"/>
        <w:rPr>
          <w:sz w:val="20"/>
          <w:szCs w:val="20"/>
          <w:lang w:val="fr-BE"/>
        </w:rPr>
      </w:pPr>
    </w:p>
    <w:p w:rsidR="00AC12B4" w:rsidRPr="00C27636" w:rsidRDefault="00C27636">
      <w:pPr>
        <w:spacing w:line="218" w:lineRule="auto"/>
        <w:ind w:left="986" w:right="320"/>
        <w:rPr>
          <w:sz w:val="20"/>
          <w:szCs w:val="20"/>
          <w:lang w:val="fr-BE"/>
        </w:rPr>
      </w:pPr>
      <w:r w:rsidRPr="00C27636">
        <w:rPr>
          <w:rFonts w:ascii="Calibri" w:eastAsia="Calibri" w:hAnsi="Calibri" w:cs="Calibri"/>
          <w:lang w:val="fr-BE"/>
        </w:rPr>
        <w:t>On observe une certaine stabilité dans les taux d’enfants AROPE.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28" w:lineRule="exact"/>
        <w:rPr>
          <w:sz w:val="20"/>
          <w:szCs w:val="20"/>
          <w:lang w:val="fr-BE"/>
        </w:rPr>
      </w:pPr>
    </w:p>
    <w:p w:rsidR="00AC12B4" w:rsidRDefault="00C27636">
      <w:pPr>
        <w:rPr>
          <w:sz w:val="20"/>
          <w:szCs w:val="20"/>
        </w:rPr>
      </w:pPr>
      <w:r>
        <w:rPr>
          <w:rFonts w:ascii="Cambria" w:eastAsia="Cambria" w:hAnsi="Cambria" w:cs="Cambria"/>
          <w:b/>
          <w:bCs/>
          <w:i/>
          <w:iCs/>
          <w:color w:val="005022"/>
          <w:sz w:val="26"/>
          <w:szCs w:val="26"/>
        </w:rPr>
        <w:t>D’où viennent ces chiffres ?</w:t>
      </w:r>
    </w:p>
    <w:p w:rsidR="00AC12B4" w:rsidRDefault="00AC12B4">
      <w:pPr>
        <w:spacing w:line="166" w:lineRule="exact"/>
        <w:rPr>
          <w:sz w:val="20"/>
          <w:szCs w:val="20"/>
        </w:rPr>
      </w:pPr>
    </w:p>
    <w:p w:rsidR="00AC12B4" w:rsidRDefault="00C27636">
      <w:pPr>
        <w:numPr>
          <w:ilvl w:val="0"/>
          <w:numId w:val="285"/>
        </w:numPr>
        <w:tabs>
          <w:tab w:val="left" w:pos="720"/>
        </w:tabs>
        <w:ind w:left="720" w:hanging="355"/>
        <w:rPr>
          <w:rFonts w:ascii="Wingdings" w:eastAsia="Wingdings" w:hAnsi="Wingdings" w:cs="Wingdings"/>
          <w:color w:val="00923D"/>
        </w:rPr>
      </w:pPr>
      <w:r>
        <w:rPr>
          <w:rFonts w:ascii="Cambria" w:eastAsia="Cambria" w:hAnsi="Cambria" w:cs="Cambria"/>
          <w:i/>
          <w:iCs/>
          <w:color w:val="00923D"/>
        </w:rPr>
        <w:t>Eu-silc</w:t>
      </w:r>
    </w:p>
    <w:p w:rsidR="00AC12B4" w:rsidRDefault="00AC12B4">
      <w:pPr>
        <w:spacing w:line="202" w:lineRule="exact"/>
        <w:rPr>
          <w:sz w:val="20"/>
          <w:szCs w:val="20"/>
        </w:rPr>
      </w:pPr>
    </w:p>
    <w:p w:rsidR="00AC12B4" w:rsidRPr="00C27636" w:rsidRDefault="00C27636">
      <w:pPr>
        <w:spacing w:line="229" w:lineRule="auto"/>
        <w:ind w:right="737" w:firstLine="50"/>
        <w:jc w:val="both"/>
        <w:rPr>
          <w:sz w:val="20"/>
          <w:szCs w:val="20"/>
          <w:lang w:val="fr-BE"/>
        </w:rPr>
      </w:pPr>
      <w:r w:rsidRPr="00C27636">
        <w:rPr>
          <w:rFonts w:ascii="Calibri" w:eastAsia="Calibri" w:hAnsi="Calibri" w:cs="Calibri"/>
          <w:lang w:val="fr-BE"/>
        </w:rPr>
        <w:t xml:space="preserve">EU‐SILC (European Union – Statistics on Income and Living </w:t>
      </w:r>
      <w:r w:rsidRPr="00C27636">
        <w:rPr>
          <w:rFonts w:ascii="Calibri" w:eastAsia="Calibri" w:hAnsi="Calibri" w:cs="Calibri"/>
          <w:lang w:val="fr-BE"/>
        </w:rPr>
        <w:t>Conditions) est une enquête européenne sur les revenus et les conditions de vie.</w:t>
      </w:r>
    </w:p>
    <w:p w:rsidR="00AC12B4" w:rsidRPr="00C27636" w:rsidRDefault="00AC12B4">
      <w:pPr>
        <w:spacing w:line="168" w:lineRule="exact"/>
        <w:rPr>
          <w:sz w:val="20"/>
          <w:szCs w:val="20"/>
          <w:lang w:val="fr-BE"/>
        </w:rPr>
      </w:pPr>
    </w:p>
    <w:p w:rsidR="00AC12B4" w:rsidRPr="00C27636" w:rsidRDefault="00C27636">
      <w:pPr>
        <w:spacing w:line="225" w:lineRule="auto"/>
        <w:ind w:left="20" w:right="737"/>
        <w:jc w:val="both"/>
        <w:rPr>
          <w:sz w:val="20"/>
          <w:szCs w:val="20"/>
          <w:lang w:val="fr-BE"/>
        </w:rPr>
      </w:pPr>
      <w:r w:rsidRPr="00C27636">
        <w:rPr>
          <w:rFonts w:ascii="Calibri" w:eastAsia="Calibri" w:hAnsi="Calibri" w:cs="Calibri"/>
          <w:lang w:val="fr-BE"/>
        </w:rPr>
        <w:t>En Belgique, chaque année, près de 6.000 ménages sont interviewés (soit +/- 11.000 personnes).</w:t>
      </w:r>
    </w:p>
    <w:p w:rsidR="00AC12B4" w:rsidRPr="00C27636" w:rsidRDefault="00AC12B4">
      <w:pPr>
        <w:spacing w:line="171" w:lineRule="exact"/>
        <w:rPr>
          <w:sz w:val="20"/>
          <w:szCs w:val="20"/>
          <w:lang w:val="fr-BE"/>
        </w:rPr>
      </w:pPr>
    </w:p>
    <w:p w:rsidR="00AC12B4" w:rsidRDefault="00C27636">
      <w:pPr>
        <w:spacing w:line="238" w:lineRule="auto"/>
        <w:ind w:right="737" w:firstLine="7"/>
        <w:jc w:val="both"/>
        <w:rPr>
          <w:sz w:val="20"/>
          <w:szCs w:val="20"/>
        </w:rPr>
      </w:pPr>
      <w:r w:rsidRPr="00C27636">
        <w:rPr>
          <w:rFonts w:ascii="Calibri" w:eastAsia="Calibri" w:hAnsi="Calibri" w:cs="Calibri"/>
          <w:lang w:val="fr-BE"/>
        </w:rPr>
        <w:t>Le risque d’exclusion sociale et de pauvreté (AROPE) est un indicateur composé</w:t>
      </w:r>
      <w:r w:rsidRPr="00C27636">
        <w:rPr>
          <w:rFonts w:ascii="Calibri" w:eastAsia="Calibri" w:hAnsi="Calibri" w:cs="Calibri"/>
          <w:lang w:val="fr-BE"/>
        </w:rPr>
        <w:t xml:space="preserve"> de différentes mesures : la pauvreté monétaire (le seuil de pauvreté équivaut à 60% de la médiane du revenu disponible) ; la privation matérielle (être confronté à au moins 4 de ces situations : ne pas être en mesure de payer un loyer ou des factures cour</w:t>
      </w:r>
      <w:r w:rsidRPr="00C27636">
        <w:rPr>
          <w:rFonts w:ascii="Calibri" w:eastAsia="Calibri" w:hAnsi="Calibri" w:cs="Calibri"/>
          <w:lang w:val="fr-BE"/>
        </w:rPr>
        <w:t>antes, de chauffer correctement son domicile, de faire face à des dépenses imprévues, de consommer de la viande, du poisson ou un équivalent de protéines tous les deux jours, de s’offrir une semaine de vacances en dehors du domicile, de posséder une voitur</w:t>
      </w:r>
      <w:r w:rsidRPr="00C27636">
        <w:rPr>
          <w:rFonts w:ascii="Calibri" w:eastAsia="Calibri" w:hAnsi="Calibri" w:cs="Calibri"/>
          <w:lang w:val="fr-BE"/>
        </w:rPr>
        <w:t xml:space="preserve">e personnelle, un lave‐linge, un téléviseur couleur, ou un téléphone) et faire partie d’un ménage à faible intensité de travail (ménages dans lesquels, en moyenne, les adultes ont travaillé moins d’un cinquième de leur temps pendant l’année de référence). </w:t>
      </w:r>
      <w:r>
        <w:rPr>
          <w:rFonts w:ascii="Calibri" w:eastAsia="Calibri" w:hAnsi="Calibri" w:cs="Calibri"/>
        </w:rPr>
        <w:t>Le fait de répondre</w:t>
      </w:r>
    </w:p>
    <w:p w:rsidR="00AC12B4" w:rsidRDefault="00AC12B4">
      <w:pPr>
        <w:spacing w:line="112" w:lineRule="exact"/>
        <w:rPr>
          <w:sz w:val="20"/>
          <w:szCs w:val="20"/>
        </w:rPr>
      </w:pPr>
    </w:p>
    <w:p w:rsidR="00AC12B4" w:rsidRDefault="00AC12B4">
      <w:pPr>
        <w:sectPr w:rsidR="00AC12B4">
          <w:pgSz w:w="12080" w:h="17179"/>
          <w:pgMar w:top="1440" w:right="1440" w:bottom="659" w:left="454" w:header="0" w:footer="0" w:gutter="0"/>
          <w:cols w:num="2" w:space="720" w:equalWidth="0">
            <w:col w:w="5186" w:space="380"/>
            <w:col w:w="4617"/>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5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 respect de la vie familiale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 w:lineRule="exact"/>
        <w:rPr>
          <w:sz w:val="1"/>
          <w:szCs w:val="1"/>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460"/>
        <w:gridCol w:w="80"/>
        <w:gridCol w:w="460"/>
        <w:gridCol w:w="20"/>
        <w:gridCol w:w="480"/>
        <w:gridCol w:w="20"/>
        <w:gridCol w:w="460"/>
        <w:gridCol w:w="20"/>
        <w:gridCol w:w="480"/>
        <w:gridCol w:w="20"/>
        <w:gridCol w:w="460"/>
        <w:gridCol w:w="20"/>
        <w:gridCol w:w="480"/>
        <w:gridCol w:w="20"/>
        <w:gridCol w:w="460"/>
        <w:gridCol w:w="20"/>
        <w:gridCol w:w="480"/>
        <w:gridCol w:w="20"/>
        <w:gridCol w:w="460"/>
        <w:gridCol w:w="20"/>
        <w:gridCol w:w="480"/>
        <w:gridCol w:w="20"/>
        <w:gridCol w:w="300"/>
        <w:gridCol w:w="120"/>
        <w:gridCol w:w="2380"/>
        <w:gridCol w:w="30"/>
      </w:tblGrid>
      <w:tr w:rsidR="00AC12B4">
        <w:trPr>
          <w:trHeight w:val="592"/>
        </w:trPr>
        <w:tc>
          <w:tcPr>
            <w:tcW w:w="460" w:type="dxa"/>
            <w:tcBorders>
              <w:top w:val="single" w:sz="8" w:space="0" w:color="00923D"/>
              <w:left w:val="single" w:sz="8" w:space="0" w:color="00923D"/>
            </w:tcBorders>
            <w:vAlign w:val="bottom"/>
          </w:tcPr>
          <w:p w:rsidR="00AC12B4" w:rsidRPr="00C27636" w:rsidRDefault="00AC12B4">
            <w:pPr>
              <w:rPr>
                <w:sz w:val="24"/>
                <w:szCs w:val="24"/>
                <w:lang w:val="fr-BE"/>
              </w:rPr>
            </w:pPr>
          </w:p>
        </w:tc>
        <w:tc>
          <w:tcPr>
            <w:tcW w:w="80" w:type="dxa"/>
            <w:tcBorders>
              <w:top w:val="single" w:sz="8" w:space="0" w:color="00923D"/>
            </w:tcBorders>
            <w:vAlign w:val="bottom"/>
          </w:tcPr>
          <w:p w:rsidR="00AC12B4" w:rsidRPr="00C27636" w:rsidRDefault="00AC12B4">
            <w:pPr>
              <w:rPr>
                <w:sz w:val="24"/>
                <w:szCs w:val="24"/>
                <w:lang w:val="fr-BE"/>
              </w:rPr>
            </w:pPr>
          </w:p>
        </w:tc>
        <w:tc>
          <w:tcPr>
            <w:tcW w:w="460" w:type="dxa"/>
            <w:tcBorders>
              <w:top w:val="single" w:sz="8" w:space="0" w:color="00923D"/>
            </w:tcBorders>
            <w:vAlign w:val="bottom"/>
          </w:tcPr>
          <w:p w:rsidR="00AC12B4" w:rsidRPr="00C27636" w:rsidRDefault="00AC12B4">
            <w:pPr>
              <w:rPr>
                <w:sz w:val="24"/>
                <w:szCs w:val="24"/>
                <w:lang w:val="fr-BE"/>
              </w:rPr>
            </w:pPr>
          </w:p>
        </w:tc>
        <w:tc>
          <w:tcPr>
            <w:tcW w:w="20" w:type="dxa"/>
            <w:tcBorders>
              <w:top w:val="single" w:sz="8" w:space="0" w:color="00923D"/>
            </w:tcBorders>
            <w:vAlign w:val="bottom"/>
          </w:tcPr>
          <w:p w:rsidR="00AC12B4" w:rsidRPr="00C27636" w:rsidRDefault="00AC12B4">
            <w:pPr>
              <w:rPr>
                <w:sz w:val="24"/>
                <w:szCs w:val="24"/>
                <w:lang w:val="fr-BE"/>
              </w:rPr>
            </w:pPr>
          </w:p>
        </w:tc>
        <w:tc>
          <w:tcPr>
            <w:tcW w:w="480" w:type="dxa"/>
            <w:tcBorders>
              <w:top w:val="single" w:sz="8" w:space="0" w:color="00923D"/>
            </w:tcBorders>
            <w:vAlign w:val="bottom"/>
          </w:tcPr>
          <w:p w:rsidR="00AC12B4" w:rsidRPr="00C27636" w:rsidRDefault="00AC12B4">
            <w:pPr>
              <w:rPr>
                <w:sz w:val="24"/>
                <w:szCs w:val="24"/>
                <w:lang w:val="fr-BE"/>
              </w:rPr>
            </w:pPr>
          </w:p>
        </w:tc>
        <w:tc>
          <w:tcPr>
            <w:tcW w:w="20" w:type="dxa"/>
            <w:tcBorders>
              <w:top w:val="single" w:sz="8" w:space="0" w:color="00923D"/>
            </w:tcBorders>
            <w:vAlign w:val="bottom"/>
          </w:tcPr>
          <w:p w:rsidR="00AC12B4" w:rsidRPr="00C27636" w:rsidRDefault="00AC12B4">
            <w:pPr>
              <w:rPr>
                <w:sz w:val="24"/>
                <w:szCs w:val="24"/>
                <w:lang w:val="fr-BE"/>
              </w:rPr>
            </w:pPr>
          </w:p>
        </w:tc>
        <w:tc>
          <w:tcPr>
            <w:tcW w:w="460" w:type="dxa"/>
            <w:tcBorders>
              <w:top w:val="single" w:sz="8" w:space="0" w:color="00923D"/>
            </w:tcBorders>
            <w:vAlign w:val="bottom"/>
          </w:tcPr>
          <w:p w:rsidR="00AC12B4" w:rsidRPr="00C27636" w:rsidRDefault="00AC12B4">
            <w:pPr>
              <w:rPr>
                <w:sz w:val="24"/>
                <w:szCs w:val="24"/>
                <w:lang w:val="fr-BE"/>
              </w:rPr>
            </w:pPr>
          </w:p>
        </w:tc>
        <w:tc>
          <w:tcPr>
            <w:tcW w:w="20" w:type="dxa"/>
            <w:tcBorders>
              <w:top w:val="single" w:sz="8" w:space="0" w:color="00923D"/>
            </w:tcBorders>
            <w:vAlign w:val="bottom"/>
          </w:tcPr>
          <w:p w:rsidR="00AC12B4" w:rsidRPr="00C27636" w:rsidRDefault="00AC12B4">
            <w:pPr>
              <w:rPr>
                <w:sz w:val="24"/>
                <w:szCs w:val="24"/>
                <w:lang w:val="fr-BE"/>
              </w:rPr>
            </w:pPr>
          </w:p>
        </w:tc>
        <w:tc>
          <w:tcPr>
            <w:tcW w:w="480" w:type="dxa"/>
            <w:tcBorders>
              <w:top w:val="single" w:sz="8" w:space="0" w:color="00923D"/>
            </w:tcBorders>
            <w:vAlign w:val="bottom"/>
          </w:tcPr>
          <w:p w:rsidR="00AC12B4" w:rsidRPr="00C27636" w:rsidRDefault="00AC12B4">
            <w:pPr>
              <w:rPr>
                <w:sz w:val="24"/>
                <w:szCs w:val="24"/>
                <w:lang w:val="fr-BE"/>
              </w:rPr>
            </w:pPr>
          </w:p>
        </w:tc>
        <w:tc>
          <w:tcPr>
            <w:tcW w:w="20" w:type="dxa"/>
            <w:tcBorders>
              <w:top w:val="single" w:sz="8" w:space="0" w:color="00923D"/>
            </w:tcBorders>
            <w:vAlign w:val="bottom"/>
          </w:tcPr>
          <w:p w:rsidR="00AC12B4" w:rsidRPr="00C27636" w:rsidRDefault="00AC12B4">
            <w:pPr>
              <w:rPr>
                <w:sz w:val="24"/>
                <w:szCs w:val="24"/>
                <w:lang w:val="fr-BE"/>
              </w:rPr>
            </w:pPr>
          </w:p>
        </w:tc>
        <w:tc>
          <w:tcPr>
            <w:tcW w:w="3240" w:type="dxa"/>
            <w:gridSpan w:val="13"/>
            <w:tcBorders>
              <w:top w:val="single" w:sz="8" w:space="0" w:color="00923D"/>
            </w:tcBorders>
            <w:vAlign w:val="bottom"/>
          </w:tcPr>
          <w:p w:rsidR="00AC12B4" w:rsidRDefault="00C27636">
            <w:pPr>
              <w:ind w:left="180"/>
              <w:rPr>
                <w:sz w:val="20"/>
                <w:szCs w:val="20"/>
              </w:rPr>
            </w:pPr>
            <w:r>
              <w:rPr>
                <w:rFonts w:ascii="Calibri" w:eastAsia="Calibri" w:hAnsi="Calibri" w:cs="Calibri"/>
                <w:b/>
                <w:bCs/>
                <w:sz w:val="36"/>
                <w:szCs w:val="36"/>
              </w:rPr>
              <w:t>% d'enfants AROPE</w:t>
            </w:r>
          </w:p>
        </w:tc>
        <w:tc>
          <w:tcPr>
            <w:tcW w:w="120" w:type="dxa"/>
            <w:tcBorders>
              <w:top w:val="single" w:sz="8" w:space="0" w:color="00923D"/>
            </w:tcBorders>
            <w:vAlign w:val="bottom"/>
          </w:tcPr>
          <w:p w:rsidR="00AC12B4" w:rsidRDefault="00AC12B4">
            <w:pPr>
              <w:rPr>
                <w:sz w:val="24"/>
                <w:szCs w:val="24"/>
              </w:rPr>
            </w:pPr>
          </w:p>
        </w:tc>
        <w:tc>
          <w:tcPr>
            <w:tcW w:w="2380" w:type="dxa"/>
            <w:tcBorders>
              <w:top w:val="single" w:sz="8" w:space="0" w:color="00923D"/>
              <w:right w:val="single" w:sz="8" w:space="0" w:color="00923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09"/>
        </w:trPr>
        <w:tc>
          <w:tcPr>
            <w:tcW w:w="460" w:type="dxa"/>
            <w:tcBorders>
              <w:left w:val="single" w:sz="8" w:space="0" w:color="00923D"/>
            </w:tcBorders>
            <w:vAlign w:val="bottom"/>
          </w:tcPr>
          <w:p w:rsidR="00AC12B4" w:rsidRDefault="00C27636">
            <w:pPr>
              <w:ind w:right="24"/>
              <w:jc w:val="right"/>
              <w:rPr>
                <w:sz w:val="20"/>
                <w:szCs w:val="20"/>
              </w:rPr>
            </w:pPr>
            <w:r>
              <w:rPr>
                <w:rFonts w:ascii="Calibri" w:eastAsia="Calibri" w:hAnsi="Calibri" w:cs="Calibri"/>
                <w:sz w:val="20"/>
                <w:szCs w:val="20"/>
              </w:rPr>
              <w:t>40</w:t>
            </w:r>
          </w:p>
        </w:tc>
        <w:tc>
          <w:tcPr>
            <w:tcW w:w="80" w:type="dxa"/>
            <w:tcBorders>
              <w:bottom w:val="single" w:sz="8" w:space="0" w:color="868686"/>
            </w:tcBorders>
            <w:vAlign w:val="bottom"/>
          </w:tcPr>
          <w:p w:rsidR="00AC12B4" w:rsidRDefault="00AC12B4">
            <w:pPr>
              <w:rPr>
                <w:sz w:val="24"/>
                <w:szCs w:val="24"/>
              </w:rPr>
            </w:pPr>
          </w:p>
        </w:tc>
        <w:tc>
          <w:tcPr>
            <w:tcW w:w="4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6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480" w:type="dxa"/>
            <w:tcBorders>
              <w:bottom w:val="single" w:sz="8" w:space="0" w:color="868686"/>
            </w:tcBorders>
            <w:vAlign w:val="bottom"/>
          </w:tcPr>
          <w:p w:rsidR="00AC12B4" w:rsidRDefault="00AC12B4">
            <w:pPr>
              <w:rPr>
                <w:sz w:val="24"/>
                <w:szCs w:val="24"/>
              </w:rPr>
            </w:pPr>
          </w:p>
        </w:tc>
        <w:tc>
          <w:tcPr>
            <w:tcW w:w="20" w:type="dxa"/>
            <w:tcBorders>
              <w:bottom w:val="single" w:sz="8" w:space="0" w:color="868686"/>
            </w:tcBorders>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380" w:type="dxa"/>
            <w:vMerge w:val="restart"/>
            <w:tcBorders>
              <w:right w:val="single" w:sz="8" w:space="0" w:color="00923D"/>
            </w:tcBorders>
            <w:vAlign w:val="bottom"/>
          </w:tcPr>
          <w:p w:rsidR="00AC12B4" w:rsidRDefault="00C27636">
            <w:pPr>
              <w:ind w:left="40"/>
              <w:rPr>
                <w:sz w:val="20"/>
                <w:szCs w:val="20"/>
              </w:rPr>
            </w:pPr>
            <w:r>
              <w:rPr>
                <w:rFonts w:ascii="Calibri" w:eastAsia="Calibri" w:hAnsi="Calibri" w:cs="Calibri"/>
                <w:sz w:val="20"/>
                <w:szCs w:val="20"/>
              </w:rPr>
              <w:t>UE 15 (Avant transferts</w:t>
            </w:r>
          </w:p>
        </w:tc>
        <w:tc>
          <w:tcPr>
            <w:tcW w:w="0" w:type="dxa"/>
            <w:vAlign w:val="bottom"/>
          </w:tcPr>
          <w:p w:rsidR="00AC12B4" w:rsidRDefault="00AC12B4">
            <w:pPr>
              <w:rPr>
                <w:sz w:val="1"/>
                <w:szCs w:val="1"/>
              </w:rPr>
            </w:pPr>
          </w:p>
        </w:tc>
      </w:tr>
      <w:tr w:rsidR="00AC12B4">
        <w:trPr>
          <w:trHeight w:val="110"/>
        </w:trPr>
        <w:tc>
          <w:tcPr>
            <w:tcW w:w="460" w:type="dxa"/>
            <w:tcBorders>
              <w:left w:val="single" w:sz="8" w:space="0" w:color="00923D"/>
            </w:tcBorders>
            <w:vAlign w:val="bottom"/>
          </w:tcPr>
          <w:p w:rsidR="00AC12B4" w:rsidRDefault="00AC12B4">
            <w:pPr>
              <w:rPr>
                <w:sz w:val="9"/>
                <w:szCs w:val="9"/>
              </w:rPr>
            </w:pPr>
          </w:p>
        </w:tc>
        <w:tc>
          <w:tcPr>
            <w:tcW w:w="80" w:type="dxa"/>
            <w:tcBorders>
              <w:right w:val="single" w:sz="8" w:space="0" w:color="868686"/>
            </w:tcBorders>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120" w:type="dxa"/>
            <w:shd w:val="clear" w:color="auto" w:fill="4F81BD"/>
            <w:vAlign w:val="bottom"/>
          </w:tcPr>
          <w:p w:rsidR="00AC12B4" w:rsidRDefault="00AC12B4">
            <w:pPr>
              <w:rPr>
                <w:sz w:val="9"/>
                <w:szCs w:val="9"/>
              </w:rPr>
            </w:pPr>
          </w:p>
        </w:tc>
        <w:tc>
          <w:tcPr>
            <w:tcW w:w="2380" w:type="dxa"/>
            <w:vMerge/>
            <w:tcBorders>
              <w:right w:val="single" w:sz="8" w:space="0" w:color="00923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2"/>
        </w:trPr>
        <w:tc>
          <w:tcPr>
            <w:tcW w:w="460" w:type="dxa"/>
            <w:tcBorders>
              <w:left w:val="single" w:sz="8" w:space="0" w:color="00923D"/>
            </w:tcBorders>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380" w:type="dxa"/>
            <w:vMerge/>
            <w:tcBorders>
              <w:right w:val="single" w:sz="8" w:space="0" w:color="00923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5"/>
        </w:trPr>
        <w:tc>
          <w:tcPr>
            <w:tcW w:w="460" w:type="dxa"/>
            <w:vMerge w:val="restart"/>
            <w:tcBorders>
              <w:left w:val="single" w:sz="8" w:space="0" w:color="00923D"/>
            </w:tcBorders>
            <w:vAlign w:val="bottom"/>
          </w:tcPr>
          <w:p w:rsidR="00AC12B4" w:rsidRDefault="00C27636">
            <w:pPr>
              <w:ind w:right="24"/>
              <w:jc w:val="right"/>
              <w:rPr>
                <w:sz w:val="20"/>
                <w:szCs w:val="20"/>
              </w:rPr>
            </w:pPr>
            <w:r>
              <w:rPr>
                <w:rFonts w:ascii="Calibri" w:eastAsia="Calibri" w:hAnsi="Calibri" w:cs="Calibri"/>
                <w:sz w:val="20"/>
                <w:szCs w:val="20"/>
              </w:rPr>
              <w:t>30</w:t>
            </w:r>
          </w:p>
        </w:tc>
        <w:tc>
          <w:tcPr>
            <w:tcW w:w="80" w:type="dxa"/>
            <w:tcBorders>
              <w:bottom w:val="single" w:sz="8" w:space="0" w:color="868686"/>
              <w:right w:val="single" w:sz="8" w:space="0" w:color="868686"/>
            </w:tcBorders>
            <w:vAlign w:val="bottom"/>
          </w:tcPr>
          <w:p w:rsidR="00AC12B4" w:rsidRDefault="00AC12B4">
            <w:pPr>
              <w:rPr>
                <w:sz w:val="17"/>
                <w:szCs w:val="17"/>
              </w:rPr>
            </w:pPr>
          </w:p>
        </w:tc>
        <w:tc>
          <w:tcPr>
            <w:tcW w:w="4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6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480" w:type="dxa"/>
            <w:tcBorders>
              <w:bottom w:val="single" w:sz="8" w:space="0" w:color="868686"/>
            </w:tcBorders>
            <w:vAlign w:val="bottom"/>
          </w:tcPr>
          <w:p w:rsidR="00AC12B4" w:rsidRDefault="00AC12B4">
            <w:pPr>
              <w:rPr>
                <w:sz w:val="17"/>
                <w:szCs w:val="17"/>
              </w:rPr>
            </w:pPr>
          </w:p>
        </w:tc>
        <w:tc>
          <w:tcPr>
            <w:tcW w:w="20" w:type="dxa"/>
            <w:tcBorders>
              <w:bottom w:val="single" w:sz="8" w:space="0" w:color="868686"/>
            </w:tcBorders>
            <w:vAlign w:val="bottom"/>
          </w:tcPr>
          <w:p w:rsidR="00AC12B4" w:rsidRDefault="00AC12B4">
            <w:pPr>
              <w:rPr>
                <w:sz w:val="17"/>
                <w:szCs w:val="17"/>
              </w:rPr>
            </w:pPr>
          </w:p>
        </w:tc>
        <w:tc>
          <w:tcPr>
            <w:tcW w:w="300" w:type="dxa"/>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2380" w:type="dxa"/>
            <w:tcBorders>
              <w:right w:val="single" w:sz="8" w:space="0" w:color="00923D"/>
            </w:tcBorders>
            <w:vAlign w:val="bottom"/>
          </w:tcPr>
          <w:p w:rsidR="00AC12B4" w:rsidRDefault="00C27636">
            <w:pPr>
              <w:spacing w:line="205" w:lineRule="exact"/>
              <w:ind w:left="40"/>
              <w:rPr>
                <w:sz w:val="20"/>
                <w:szCs w:val="20"/>
              </w:rPr>
            </w:pPr>
            <w:r>
              <w:rPr>
                <w:rFonts w:ascii="Calibri" w:eastAsia="Calibri" w:hAnsi="Calibri" w:cs="Calibri"/>
                <w:sz w:val="20"/>
                <w:szCs w:val="20"/>
              </w:rPr>
              <w:t>sociaux)</w:t>
            </w:r>
          </w:p>
        </w:tc>
        <w:tc>
          <w:tcPr>
            <w:tcW w:w="0" w:type="dxa"/>
            <w:vAlign w:val="bottom"/>
          </w:tcPr>
          <w:p w:rsidR="00AC12B4" w:rsidRDefault="00AC12B4">
            <w:pPr>
              <w:rPr>
                <w:sz w:val="1"/>
                <w:szCs w:val="1"/>
              </w:rPr>
            </w:pPr>
          </w:p>
        </w:tc>
      </w:tr>
      <w:tr w:rsidR="00AC12B4">
        <w:trPr>
          <w:trHeight w:val="94"/>
        </w:trPr>
        <w:tc>
          <w:tcPr>
            <w:tcW w:w="460" w:type="dxa"/>
            <w:vMerge/>
            <w:tcBorders>
              <w:left w:val="single" w:sz="8" w:space="0" w:color="00923D"/>
            </w:tcBorders>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380" w:type="dxa"/>
            <w:vMerge w:val="restart"/>
            <w:tcBorders>
              <w:right w:val="single" w:sz="8" w:space="0" w:color="00923D"/>
            </w:tcBorders>
            <w:vAlign w:val="bottom"/>
          </w:tcPr>
          <w:p w:rsidR="00AC12B4" w:rsidRDefault="00C27636">
            <w:pPr>
              <w:ind w:left="40"/>
              <w:rPr>
                <w:sz w:val="20"/>
                <w:szCs w:val="20"/>
              </w:rPr>
            </w:pPr>
            <w:r>
              <w:rPr>
                <w:rFonts w:ascii="Calibri" w:eastAsia="Calibri" w:hAnsi="Calibri" w:cs="Calibri"/>
                <w:sz w:val="20"/>
                <w:szCs w:val="20"/>
              </w:rPr>
              <w:t>UE 15</w:t>
            </w:r>
          </w:p>
        </w:tc>
        <w:tc>
          <w:tcPr>
            <w:tcW w:w="0" w:type="dxa"/>
            <w:vAlign w:val="bottom"/>
          </w:tcPr>
          <w:p w:rsidR="00AC12B4" w:rsidRDefault="00AC12B4">
            <w:pPr>
              <w:rPr>
                <w:sz w:val="1"/>
                <w:szCs w:val="1"/>
              </w:rPr>
            </w:pPr>
          </w:p>
        </w:tc>
      </w:tr>
      <w:tr w:rsidR="00AC12B4">
        <w:trPr>
          <w:trHeight w:val="121"/>
        </w:trPr>
        <w:tc>
          <w:tcPr>
            <w:tcW w:w="460" w:type="dxa"/>
            <w:vMerge w:val="restart"/>
            <w:tcBorders>
              <w:left w:val="single" w:sz="8" w:space="0" w:color="00923D"/>
            </w:tcBorders>
            <w:vAlign w:val="bottom"/>
          </w:tcPr>
          <w:p w:rsidR="00AC12B4" w:rsidRDefault="00C27636">
            <w:pPr>
              <w:ind w:right="24"/>
              <w:jc w:val="right"/>
              <w:rPr>
                <w:sz w:val="20"/>
                <w:szCs w:val="20"/>
              </w:rPr>
            </w:pPr>
            <w:r>
              <w:rPr>
                <w:rFonts w:ascii="Calibri" w:eastAsia="Calibri" w:hAnsi="Calibri" w:cs="Calibri"/>
                <w:sz w:val="20"/>
                <w:szCs w:val="20"/>
              </w:rPr>
              <w:t>20</w:t>
            </w:r>
          </w:p>
        </w:tc>
        <w:tc>
          <w:tcPr>
            <w:tcW w:w="80" w:type="dxa"/>
            <w:tcBorders>
              <w:right w:val="single" w:sz="8" w:space="0" w:color="868686"/>
            </w:tcBorders>
            <w:vAlign w:val="bottom"/>
          </w:tcPr>
          <w:p w:rsidR="00AC12B4" w:rsidRDefault="00AC12B4">
            <w:pPr>
              <w:rPr>
                <w:sz w:val="10"/>
                <w:szCs w:val="10"/>
              </w:rPr>
            </w:pPr>
          </w:p>
        </w:tc>
        <w:tc>
          <w:tcPr>
            <w:tcW w:w="4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6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2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120" w:type="dxa"/>
            <w:vAlign w:val="bottom"/>
          </w:tcPr>
          <w:p w:rsidR="00AC12B4" w:rsidRDefault="00AC12B4">
            <w:pPr>
              <w:rPr>
                <w:sz w:val="10"/>
                <w:szCs w:val="10"/>
              </w:rPr>
            </w:pPr>
          </w:p>
        </w:tc>
        <w:tc>
          <w:tcPr>
            <w:tcW w:w="2380" w:type="dxa"/>
            <w:vMerge/>
            <w:tcBorders>
              <w:right w:val="single" w:sz="8" w:space="0" w:color="00923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10"/>
        </w:trPr>
        <w:tc>
          <w:tcPr>
            <w:tcW w:w="460" w:type="dxa"/>
            <w:vMerge/>
            <w:tcBorders>
              <w:left w:val="single" w:sz="8" w:space="0" w:color="00923D"/>
            </w:tcBorders>
            <w:vAlign w:val="bottom"/>
          </w:tcPr>
          <w:p w:rsidR="00AC12B4" w:rsidRDefault="00AC12B4">
            <w:pPr>
              <w:rPr>
                <w:sz w:val="9"/>
                <w:szCs w:val="9"/>
              </w:rPr>
            </w:pPr>
          </w:p>
        </w:tc>
        <w:tc>
          <w:tcPr>
            <w:tcW w:w="80" w:type="dxa"/>
            <w:tcBorders>
              <w:right w:val="single" w:sz="8" w:space="0" w:color="868686"/>
            </w:tcBorders>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6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120" w:type="dxa"/>
            <w:shd w:val="clear" w:color="auto" w:fill="C0504D"/>
            <w:vAlign w:val="bottom"/>
          </w:tcPr>
          <w:p w:rsidR="00AC12B4" w:rsidRDefault="00AC12B4">
            <w:pPr>
              <w:rPr>
                <w:sz w:val="9"/>
                <w:szCs w:val="9"/>
              </w:rPr>
            </w:pPr>
          </w:p>
        </w:tc>
        <w:tc>
          <w:tcPr>
            <w:tcW w:w="2380" w:type="dxa"/>
            <w:vMerge/>
            <w:tcBorders>
              <w:right w:val="single" w:sz="8" w:space="0" w:color="00923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53"/>
        </w:trPr>
        <w:tc>
          <w:tcPr>
            <w:tcW w:w="460" w:type="dxa"/>
            <w:vMerge/>
            <w:tcBorders>
              <w:left w:val="single" w:sz="8" w:space="0" w:color="00923D"/>
            </w:tcBorders>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380" w:type="dxa"/>
            <w:vMerge/>
            <w:tcBorders>
              <w:right w:val="single" w:sz="8" w:space="0" w:color="00923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48"/>
        </w:trPr>
        <w:tc>
          <w:tcPr>
            <w:tcW w:w="460" w:type="dxa"/>
            <w:vMerge/>
            <w:tcBorders>
              <w:left w:val="single" w:sz="8" w:space="0" w:color="00923D"/>
            </w:tcBorders>
            <w:vAlign w:val="bottom"/>
          </w:tcPr>
          <w:p w:rsidR="00AC12B4" w:rsidRDefault="00AC12B4">
            <w:pPr>
              <w:rPr>
                <w:sz w:val="4"/>
                <w:szCs w:val="4"/>
              </w:rPr>
            </w:pPr>
          </w:p>
        </w:tc>
        <w:tc>
          <w:tcPr>
            <w:tcW w:w="80" w:type="dxa"/>
            <w:tcBorders>
              <w:bottom w:val="single" w:sz="8" w:space="0" w:color="868686"/>
              <w:right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380" w:type="dxa"/>
            <w:vMerge w:val="restart"/>
            <w:tcBorders>
              <w:right w:val="single" w:sz="8" w:space="0" w:color="00923D"/>
            </w:tcBorders>
            <w:vAlign w:val="bottom"/>
          </w:tcPr>
          <w:p w:rsidR="00AC12B4" w:rsidRDefault="00C27636">
            <w:pPr>
              <w:ind w:left="40"/>
              <w:rPr>
                <w:sz w:val="20"/>
                <w:szCs w:val="20"/>
              </w:rPr>
            </w:pPr>
            <w:r>
              <w:rPr>
                <w:rFonts w:ascii="Calibri" w:eastAsia="Calibri" w:hAnsi="Calibri" w:cs="Calibri"/>
                <w:sz w:val="20"/>
                <w:szCs w:val="20"/>
              </w:rPr>
              <w:t>Belgique (Avant transferts</w:t>
            </w:r>
          </w:p>
        </w:tc>
        <w:tc>
          <w:tcPr>
            <w:tcW w:w="0" w:type="dxa"/>
            <w:vAlign w:val="bottom"/>
          </w:tcPr>
          <w:p w:rsidR="00AC12B4" w:rsidRDefault="00AC12B4">
            <w:pPr>
              <w:rPr>
                <w:sz w:val="1"/>
                <w:szCs w:val="1"/>
              </w:rPr>
            </w:pPr>
          </w:p>
        </w:tc>
      </w:tr>
      <w:tr w:rsidR="00AC12B4">
        <w:trPr>
          <w:trHeight w:val="94"/>
        </w:trPr>
        <w:tc>
          <w:tcPr>
            <w:tcW w:w="460" w:type="dxa"/>
            <w:vMerge/>
            <w:tcBorders>
              <w:left w:val="single" w:sz="8" w:space="0" w:color="00923D"/>
            </w:tcBorders>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6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4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380" w:type="dxa"/>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79"/>
        </w:trPr>
        <w:tc>
          <w:tcPr>
            <w:tcW w:w="460" w:type="dxa"/>
            <w:vMerge w:val="restart"/>
            <w:tcBorders>
              <w:left w:val="single" w:sz="8" w:space="0" w:color="00923D"/>
            </w:tcBorders>
            <w:vAlign w:val="bottom"/>
          </w:tcPr>
          <w:p w:rsidR="00AC12B4" w:rsidRDefault="00C27636">
            <w:pPr>
              <w:ind w:right="24"/>
              <w:jc w:val="right"/>
              <w:rPr>
                <w:sz w:val="20"/>
                <w:szCs w:val="20"/>
              </w:rPr>
            </w:pPr>
            <w:r>
              <w:rPr>
                <w:rFonts w:ascii="Calibri" w:eastAsia="Calibri" w:hAnsi="Calibri" w:cs="Calibri"/>
                <w:sz w:val="20"/>
                <w:szCs w:val="20"/>
              </w:rPr>
              <w:t>10</w:t>
            </w:r>
          </w:p>
        </w:tc>
        <w:tc>
          <w:tcPr>
            <w:tcW w:w="80" w:type="dxa"/>
            <w:tcBorders>
              <w:right w:val="single" w:sz="8" w:space="0" w:color="868686"/>
            </w:tcBorders>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6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2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380" w:type="dxa"/>
            <w:vMerge/>
            <w:tcBorders>
              <w:right w:val="single" w:sz="8" w:space="0" w:color="00923D"/>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53"/>
        </w:trPr>
        <w:tc>
          <w:tcPr>
            <w:tcW w:w="460" w:type="dxa"/>
            <w:vMerge/>
            <w:tcBorders>
              <w:left w:val="single" w:sz="8" w:space="0" w:color="00923D"/>
            </w:tcBorders>
            <w:vAlign w:val="bottom"/>
          </w:tcPr>
          <w:p w:rsidR="00AC12B4" w:rsidRDefault="00AC12B4">
            <w:pPr>
              <w:rPr>
                <w:sz w:val="4"/>
                <w:szCs w:val="4"/>
              </w:rPr>
            </w:pPr>
          </w:p>
        </w:tc>
        <w:tc>
          <w:tcPr>
            <w:tcW w:w="80" w:type="dxa"/>
            <w:tcBorders>
              <w:bottom w:val="single" w:sz="8" w:space="0" w:color="868686"/>
              <w:right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6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4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300" w:type="dxa"/>
            <w:vAlign w:val="bottom"/>
          </w:tcPr>
          <w:p w:rsidR="00AC12B4" w:rsidRDefault="00AC12B4">
            <w:pPr>
              <w:rPr>
                <w:sz w:val="4"/>
                <w:szCs w:val="4"/>
              </w:rPr>
            </w:pPr>
          </w:p>
        </w:tc>
        <w:tc>
          <w:tcPr>
            <w:tcW w:w="120" w:type="dxa"/>
            <w:vMerge w:val="restart"/>
            <w:tcBorders>
              <w:bottom w:val="single" w:sz="8" w:space="0" w:color="9BBB59"/>
            </w:tcBorders>
            <w:shd w:val="clear" w:color="auto" w:fill="9BBB59"/>
            <w:vAlign w:val="bottom"/>
          </w:tcPr>
          <w:p w:rsidR="00AC12B4" w:rsidRDefault="00AC12B4">
            <w:pPr>
              <w:rPr>
                <w:sz w:val="4"/>
                <w:szCs w:val="4"/>
              </w:rPr>
            </w:pPr>
          </w:p>
        </w:tc>
        <w:tc>
          <w:tcPr>
            <w:tcW w:w="2380" w:type="dxa"/>
            <w:vMerge/>
            <w:tcBorders>
              <w:right w:val="single" w:sz="8" w:space="0" w:color="00923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38"/>
        </w:trPr>
        <w:tc>
          <w:tcPr>
            <w:tcW w:w="460" w:type="dxa"/>
            <w:vMerge/>
            <w:tcBorders>
              <w:left w:val="single" w:sz="8" w:space="0" w:color="00923D"/>
            </w:tcBorders>
            <w:vAlign w:val="bottom"/>
          </w:tcPr>
          <w:p w:rsidR="00AC12B4" w:rsidRDefault="00AC12B4">
            <w:pPr>
              <w:rPr>
                <w:sz w:val="3"/>
                <w:szCs w:val="3"/>
              </w:rPr>
            </w:pPr>
          </w:p>
        </w:tc>
        <w:tc>
          <w:tcPr>
            <w:tcW w:w="80" w:type="dxa"/>
            <w:tcBorders>
              <w:right w:val="single" w:sz="8" w:space="0" w:color="868686"/>
            </w:tcBorders>
            <w:vAlign w:val="bottom"/>
          </w:tcPr>
          <w:p w:rsidR="00AC12B4" w:rsidRDefault="00AC12B4">
            <w:pPr>
              <w:rPr>
                <w:sz w:val="3"/>
                <w:szCs w:val="3"/>
              </w:rPr>
            </w:pPr>
          </w:p>
        </w:tc>
        <w:tc>
          <w:tcPr>
            <w:tcW w:w="4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6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4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300" w:type="dxa"/>
            <w:vAlign w:val="bottom"/>
          </w:tcPr>
          <w:p w:rsidR="00AC12B4" w:rsidRDefault="00AC12B4">
            <w:pPr>
              <w:rPr>
                <w:sz w:val="3"/>
                <w:szCs w:val="3"/>
              </w:rPr>
            </w:pPr>
          </w:p>
        </w:tc>
        <w:tc>
          <w:tcPr>
            <w:tcW w:w="120" w:type="dxa"/>
            <w:vMerge/>
            <w:shd w:val="clear" w:color="auto" w:fill="9BBB59"/>
            <w:vAlign w:val="bottom"/>
          </w:tcPr>
          <w:p w:rsidR="00AC12B4" w:rsidRDefault="00AC12B4">
            <w:pPr>
              <w:rPr>
                <w:sz w:val="3"/>
                <w:szCs w:val="3"/>
              </w:rPr>
            </w:pPr>
          </w:p>
        </w:tc>
        <w:tc>
          <w:tcPr>
            <w:tcW w:w="2380" w:type="dxa"/>
            <w:vMerge/>
            <w:tcBorders>
              <w:right w:val="single" w:sz="8" w:space="0" w:color="00923D"/>
            </w:tcBorders>
            <w:vAlign w:val="bottom"/>
          </w:tcPr>
          <w:p w:rsidR="00AC12B4" w:rsidRDefault="00AC12B4">
            <w:pPr>
              <w:rPr>
                <w:sz w:val="3"/>
                <w:szCs w:val="3"/>
              </w:rPr>
            </w:pPr>
          </w:p>
        </w:tc>
        <w:tc>
          <w:tcPr>
            <w:tcW w:w="0" w:type="dxa"/>
            <w:vAlign w:val="bottom"/>
          </w:tcPr>
          <w:p w:rsidR="00AC12B4" w:rsidRDefault="00AC12B4">
            <w:pPr>
              <w:spacing w:line="20" w:lineRule="exact"/>
              <w:rPr>
                <w:sz w:val="1"/>
                <w:szCs w:val="1"/>
              </w:rPr>
            </w:pPr>
          </w:p>
        </w:tc>
      </w:tr>
      <w:tr w:rsidR="00AC12B4">
        <w:trPr>
          <w:trHeight w:val="57"/>
        </w:trPr>
        <w:tc>
          <w:tcPr>
            <w:tcW w:w="460" w:type="dxa"/>
            <w:vMerge/>
            <w:tcBorders>
              <w:left w:val="single" w:sz="8" w:space="0" w:color="00923D"/>
            </w:tcBorders>
            <w:vAlign w:val="bottom"/>
          </w:tcPr>
          <w:p w:rsidR="00AC12B4" w:rsidRDefault="00AC12B4">
            <w:pPr>
              <w:rPr>
                <w:sz w:val="4"/>
                <w:szCs w:val="4"/>
              </w:rPr>
            </w:pPr>
          </w:p>
        </w:tc>
        <w:tc>
          <w:tcPr>
            <w:tcW w:w="80" w:type="dxa"/>
            <w:tcBorders>
              <w:right w:val="single" w:sz="8" w:space="0" w:color="868686"/>
            </w:tcBorders>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6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4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380" w:type="dxa"/>
            <w:vMerge/>
            <w:tcBorders>
              <w:right w:val="single" w:sz="8" w:space="0" w:color="00923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40"/>
        </w:trPr>
        <w:tc>
          <w:tcPr>
            <w:tcW w:w="460" w:type="dxa"/>
            <w:tcBorders>
              <w:left w:val="single" w:sz="8" w:space="0" w:color="00923D"/>
            </w:tcBorders>
            <w:vAlign w:val="bottom"/>
          </w:tcPr>
          <w:p w:rsidR="00AC12B4" w:rsidRDefault="00AC12B4">
            <w:pPr>
              <w:rPr>
                <w:sz w:val="20"/>
                <w:szCs w:val="20"/>
              </w:rPr>
            </w:pPr>
          </w:p>
        </w:tc>
        <w:tc>
          <w:tcPr>
            <w:tcW w:w="80" w:type="dxa"/>
            <w:tcBorders>
              <w:right w:val="single" w:sz="8" w:space="0" w:color="868686"/>
            </w:tcBorders>
            <w:vAlign w:val="bottom"/>
          </w:tcPr>
          <w:p w:rsidR="00AC12B4" w:rsidRDefault="00AC12B4">
            <w:pPr>
              <w:rPr>
                <w:sz w:val="20"/>
                <w:szCs w:val="20"/>
              </w:rPr>
            </w:pPr>
          </w:p>
        </w:tc>
        <w:tc>
          <w:tcPr>
            <w:tcW w:w="46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6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6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6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6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480" w:type="dxa"/>
            <w:vAlign w:val="bottom"/>
          </w:tcPr>
          <w:p w:rsidR="00AC12B4" w:rsidRDefault="00AC12B4">
            <w:pPr>
              <w:rPr>
                <w:sz w:val="20"/>
                <w:szCs w:val="20"/>
              </w:rPr>
            </w:pPr>
          </w:p>
        </w:tc>
        <w:tc>
          <w:tcPr>
            <w:tcW w:w="20" w:type="dxa"/>
            <w:vAlign w:val="bottom"/>
          </w:tcPr>
          <w:p w:rsidR="00AC12B4" w:rsidRDefault="00AC12B4">
            <w:pPr>
              <w:rPr>
                <w:sz w:val="20"/>
                <w:szCs w:val="20"/>
              </w:rPr>
            </w:pPr>
          </w:p>
        </w:tc>
        <w:tc>
          <w:tcPr>
            <w:tcW w:w="300" w:type="dxa"/>
            <w:vAlign w:val="bottom"/>
          </w:tcPr>
          <w:p w:rsidR="00AC12B4" w:rsidRDefault="00AC12B4">
            <w:pPr>
              <w:rPr>
                <w:sz w:val="20"/>
                <w:szCs w:val="20"/>
              </w:rPr>
            </w:pPr>
          </w:p>
        </w:tc>
        <w:tc>
          <w:tcPr>
            <w:tcW w:w="120" w:type="dxa"/>
            <w:vAlign w:val="bottom"/>
          </w:tcPr>
          <w:p w:rsidR="00AC12B4" w:rsidRDefault="00AC12B4">
            <w:pPr>
              <w:rPr>
                <w:sz w:val="20"/>
                <w:szCs w:val="20"/>
              </w:rPr>
            </w:pPr>
          </w:p>
        </w:tc>
        <w:tc>
          <w:tcPr>
            <w:tcW w:w="2380" w:type="dxa"/>
            <w:tcBorders>
              <w:right w:val="single" w:sz="8" w:space="0" w:color="00923D"/>
            </w:tcBorders>
            <w:vAlign w:val="bottom"/>
          </w:tcPr>
          <w:p w:rsidR="00AC12B4" w:rsidRDefault="00C27636">
            <w:pPr>
              <w:spacing w:line="240" w:lineRule="exact"/>
              <w:ind w:left="40"/>
              <w:rPr>
                <w:sz w:val="20"/>
                <w:szCs w:val="20"/>
              </w:rPr>
            </w:pPr>
            <w:r>
              <w:rPr>
                <w:rFonts w:ascii="Calibri" w:eastAsia="Calibri" w:hAnsi="Calibri" w:cs="Calibri"/>
                <w:sz w:val="20"/>
                <w:szCs w:val="20"/>
              </w:rPr>
              <w:t>sociaux)</w:t>
            </w:r>
          </w:p>
        </w:tc>
        <w:tc>
          <w:tcPr>
            <w:tcW w:w="0" w:type="dxa"/>
            <w:vAlign w:val="bottom"/>
          </w:tcPr>
          <w:p w:rsidR="00AC12B4" w:rsidRDefault="00AC12B4">
            <w:pPr>
              <w:rPr>
                <w:sz w:val="1"/>
                <w:szCs w:val="1"/>
              </w:rPr>
            </w:pPr>
          </w:p>
        </w:tc>
      </w:tr>
      <w:tr w:rsidR="00AC12B4">
        <w:trPr>
          <w:trHeight w:val="165"/>
        </w:trPr>
        <w:tc>
          <w:tcPr>
            <w:tcW w:w="460" w:type="dxa"/>
            <w:tcBorders>
              <w:left w:val="single" w:sz="8" w:space="0" w:color="00923D"/>
            </w:tcBorders>
            <w:vAlign w:val="bottom"/>
          </w:tcPr>
          <w:p w:rsidR="00AC12B4" w:rsidRDefault="00C27636">
            <w:pPr>
              <w:spacing w:line="165" w:lineRule="exact"/>
              <w:ind w:right="24"/>
              <w:jc w:val="right"/>
              <w:rPr>
                <w:sz w:val="20"/>
                <w:szCs w:val="20"/>
              </w:rPr>
            </w:pPr>
            <w:r>
              <w:rPr>
                <w:rFonts w:ascii="Calibri" w:eastAsia="Calibri" w:hAnsi="Calibri" w:cs="Calibri"/>
                <w:sz w:val="17"/>
                <w:szCs w:val="17"/>
              </w:rPr>
              <w:t>0</w:t>
            </w:r>
          </w:p>
        </w:tc>
        <w:tc>
          <w:tcPr>
            <w:tcW w:w="80" w:type="dxa"/>
            <w:tcBorders>
              <w:bottom w:val="single" w:sz="8" w:space="0" w:color="868686"/>
              <w:right w:val="single" w:sz="8" w:space="0" w:color="868686"/>
            </w:tcBorders>
            <w:vAlign w:val="bottom"/>
          </w:tcPr>
          <w:p w:rsidR="00AC12B4" w:rsidRDefault="00AC12B4">
            <w:pPr>
              <w:rPr>
                <w:sz w:val="14"/>
                <w:szCs w:val="14"/>
              </w:rPr>
            </w:pPr>
          </w:p>
        </w:tc>
        <w:tc>
          <w:tcPr>
            <w:tcW w:w="46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6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6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6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6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480" w:type="dxa"/>
            <w:tcBorders>
              <w:bottom w:val="single" w:sz="8" w:space="0" w:color="868686"/>
            </w:tcBorders>
            <w:vAlign w:val="bottom"/>
          </w:tcPr>
          <w:p w:rsidR="00AC12B4" w:rsidRDefault="00AC12B4">
            <w:pPr>
              <w:rPr>
                <w:sz w:val="14"/>
                <w:szCs w:val="14"/>
              </w:rPr>
            </w:pPr>
          </w:p>
        </w:tc>
        <w:tc>
          <w:tcPr>
            <w:tcW w:w="20" w:type="dxa"/>
            <w:tcBorders>
              <w:bottom w:val="single" w:sz="8" w:space="0" w:color="868686"/>
            </w:tcBorders>
            <w:vAlign w:val="bottom"/>
          </w:tcPr>
          <w:p w:rsidR="00AC12B4" w:rsidRDefault="00AC12B4">
            <w:pPr>
              <w:rPr>
                <w:sz w:val="14"/>
                <w:szCs w:val="14"/>
              </w:rPr>
            </w:pPr>
          </w:p>
        </w:tc>
        <w:tc>
          <w:tcPr>
            <w:tcW w:w="30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2380" w:type="dxa"/>
            <w:vMerge w:val="restart"/>
            <w:tcBorders>
              <w:right w:val="single" w:sz="8" w:space="0" w:color="00923D"/>
            </w:tcBorders>
            <w:vAlign w:val="bottom"/>
          </w:tcPr>
          <w:p w:rsidR="00AC12B4" w:rsidRDefault="00C27636">
            <w:pPr>
              <w:ind w:left="40"/>
              <w:rPr>
                <w:sz w:val="20"/>
                <w:szCs w:val="20"/>
              </w:rPr>
            </w:pPr>
            <w:r>
              <w:rPr>
                <w:rFonts w:ascii="Calibri" w:eastAsia="Calibri" w:hAnsi="Calibri" w:cs="Calibri"/>
                <w:sz w:val="20"/>
                <w:szCs w:val="20"/>
              </w:rPr>
              <w:t>Belgique</w:t>
            </w:r>
          </w:p>
        </w:tc>
        <w:tc>
          <w:tcPr>
            <w:tcW w:w="0" w:type="dxa"/>
            <w:vAlign w:val="bottom"/>
          </w:tcPr>
          <w:p w:rsidR="00AC12B4" w:rsidRDefault="00AC12B4">
            <w:pPr>
              <w:rPr>
                <w:sz w:val="1"/>
                <w:szCs w:val="1"/>
              </w:rPr>
            </w:pPr>
          </w:p>
        </w:tc>
      </w:tr>
      <w:tr w:rsidR="00AC12B4">
        <w:trPr>
          <w:trHeight w:val="20"/>
        </w:trPr>
        <w:tc>
          <w:tcPr>
            <w:tcW w:w="5420" w:type="dxa"/>
            <w:gridSpan w:val="21"/>
            <w:vMerge w:val="restart"/>
            <w:tcBorders>
              <w:left w:val="single" w:sz="8" w:space="0" w:color="00923D"/>
            </w:tcBorders>
            <w:vAlign w:val="bottom"/>
          </w:tcPr>
          <w:p w:rsidR="00AC12B4" w:rsidRDefault="00C27636">
            <w:pPr>
              <w:ind w:right="40"/>
              <w:jc w:val="right"/>
              <w:rPr>
                <w:sz w:val="20"/>
                <w:szCs w:val="20"/>
              </w:rPr>
            </w:pPr>
            <w:r>
              <w:rPr>
                <w:rFonts w:ascii="Calibri" w:eastAsia="Calibri" w:hAnsi="Calibri" w:cs="Calibri"/>
                <w:sz w:val="20"/>
                <w:szCs w:val="20"/>
              </w:rPr>
              <w:t>2004 2005 2006 2007 2008 2009 2010 2011 2012 2013</w:t>
            </w:r>
          </w:p>
        </w:tc>
        <w:tc>
          <w:tcPr>
            <w:tcW w:w="20" w:type="dxa"/>
            <w:vAlign w:val="bottom"/>
          </w:tcPr>
          <w:p w:rsidR="00AC12B4" w:rsidRDefault="00AC12B4">
            <w:pPr>
              <w:spacing w:line="20" w:lineRule="exact"/>
              <w:rPr>
                <w:sz w:val="1"/>
                <w:szCs w:val="1"/>
              </w:rPr>
            </w:pPr>
          </w:p>
        </w:tc>
        <w:tc>
          <w:tcPr>
            <w:tcW w:w="300" w:type="dxa"/>
            <w:vAlign w:val="bottom"/>
          </w:tcPr>
          <w:p w:rsidR="00AC12B4" w:rsidRDefault="00AC12B4">
            <w:pPr>
              <w:spacing w:line="20" w:lineRule="exact"/>
              <w:rPr>
                <w:sz w:val="1"/>
                <w:szCs w:val="1"/>
              </w:rPr>
            </w:pPr>
          </w:p>
        </w:tc>
        <w:tc>
          <w:tcPr>
            <w:tcW w:w="120" w:type="dxa"/>
            <w:vAlign w:val="bottom"/>
          </w:tcPr>
          <w:p w:rsidR="00AC12B4" w:rsidRDefault="00AC12B4">
            <w:pPr>
              <w:spacing w:line="20" w:lineRule="exact"/>
              <w:rPr>
                <w:sz w:val="1"/>
                <w:szCs w:val="1"/>
              </w:rPr>
            </w:pPr>
          </w:p>
        </w:tc>
        <w:tc>
          <w:tcPr>
            <w:tcW w:w="2380" w:type="dxa"/>
            <w:vMerge/>
            <w:tcBorders>
              <w:right w:val="single" w:sz="8" w:space="0" w:color="00923D"/>
            </w:tcBorders>
            <w:vAlign w:val="bottom"/>
          </w:tcPr>
          <w:p w:rsidR="00AC12B4" w:rsidRDefault="00AC12B4">
            <w:pPr>
              <w:spacing w:line="20" w:lineRule="exact"/>
              <w:rPr>
                <w:sz w:val="1"/>
                <w:szCs w:val="1"/>
              </w:rPr>
            </w:pPr>
          </w:p>
        </w:tc>
        <w:tc>
          <w:tcPr>
            <w:tcW w:w="0" w:type="dxa"/>
            <w:vAlign w:val="bottom"/>
          </w:tcPr>
          <w:p w:rsidR="00AC12B4" w:rsidRDefault="00AC12B4">
            <w:pPr>
              <w:spacing w:line="20" w:lineRule="exact"/>
              <w:rPr>
                <w:sz w:val="1"/>
                <w:szCs w:val="1"/>
              </w:rPr>
            </w:pPr>
          </w:p>
        </w:tc>
      </w:tr>
      <w:tr w:rsidR="00AC12B4">
        <w:trPr>
          <w:trHeight w:val="102"/>
        </w:trPr>
        <w:tc>
          <w:tcPr>
            <w:tcW w:w="5420" w:type="dxa"/>
            <w:gridSpan w:val="21"/>
            <w:vMerge/>
            <w:tcBorders>
              <w:left w:val="single" w:sz="8" w:space="0" w:color="00923D"/>
            </w:tcBorders>
            <w:vAlign w:val="bottom"/>
          </w:tcPr>
          <w:p w:rsidR="00AC12B4" w:rsidRDefault="00AC12B4">
            <w:pPr>
              <w:rPr>
                <w:sz w:val="8"/>
                <w:szCs w:val="8"/>
              </w:rPr>
            </w:pPr>
          </w:p>
        </w:tc>
        <w:tc>
          <w:tcPr>
            <w:tcW w:w="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20" w:type="dxa"/>
            <w:shd w:val="clear" w:color="auto" w:fill="8064A2"/>
            <w:vAlign w:val="bottom"/>
          </w:tcPr>
          <w:p w:rsidR="00AC12B4" w:rsidRDefault="00AC12B4">
            <w:pPr>
              <w:rPr>
                <w:sz w:val="8"/>
                <w:szCs w:val="8"/>
              </w:rPr>
            </w:pPr>
          </w:p>
        </w:tc>
        <w:tc>
          <w:tcPr>
            <w:tcW w:w="2380" w:type="dxa"/>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52"/>
        </w:trPr>
        <w:tc>
          <w:tcPr>
            <w:tcW w:w="5420" w:type="dxa"/>
            <w:gridSpan w:val="21"/>
            <w:vMerge/>
            <w:tcBorders>
              <w:left w:val="single" w:sz="8" w:space="0" w:color="00923D"/>
            </w:tcBorders>
            <w:vAlign w:val="bottom"/>
          </w:tcPr>
          <w:p w:rsidR="00AC12B4" w:rsidRDefault="00AC12B4">
            <w:pPr>
              <w:rPr>
                <w:sz w:val="4"/>
                <w:szCs w:val="4"/>
              </w:rPr>
            </w:pPr>
          </w:p>
        </w:tc>
        <w:tc>
          <w:tcPr>
            <w:tcW w:w="2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380" w:type="dxa"/>
            <w:vMerge/>
            <w:tcBorders>
              <w:right w:val="single" w:sz="8" w:space="0" w:color="00923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09"/>
        </w:trPr>
        <w:tc>
          <w:tcPr>
            <w:tcW w:w="5420" w:type="dxa"/>
            <w:gridSpan w:val="21"/>
            <w:vMerge/>
            <w:tcBorders>
              <w:left w:val="single" w:sz="8" w:space="0" w:color="00923D"/>
            </w:tcBorders>
            <w:vAlign w:val="bottom"/>
          </w:tcPr>
          <w:p w:rsidR="00AC12B4" w:rsidRDefault="00AC12B4">
            <w:pPr>
              <w:rPr>
                <w:sz w:val="9"/>
                <w:szCs w:val="9"/>
              </w:rPr>
            </w:pPr>
          </w:p>
        </w:tc>
        <w:tc>
          <w:tcPr>
            <w:tcW w:w="2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2380" w:type="dxa"/>
            <w:tcBorders>
              <w:right w:val="single" w:sz="8" w:space="0" w:color="00923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27"/>
        </w:trPr>
        <w:tc>
          <w:tcPr>
            <w:tcW w:w="5740" w:type="dxa"/>
            <w:gridSpan w:val="23"/>
            <w:tcBorders>
              <w:left w:val="single" w:sz="8" w:space="0" w:color="00923D"/>
              <w:bottom w:val="single" w:sz="8" w:space="0" w:color="00923D"/>
            </w:tcBorders>
            <w:vAlign w:val="bottom"/>
          </w:tcPr>
          <w:p w:rsidR="00AC12B4" w:rsidRDefault="00AC12B4">
            <w:pPr>
              <w:rPr>
                <w:sz w:val="11"/>
                <w:szCs w:val="11"/>
              </w:rPr>
            </w:pPr>
          </w:p>
        </w:tc>
        <w:tc>
          <w:tcPr>
            <w:tcW w:w="120" w:type="dxa"/>
            <w:tcBorders>
              <w:bottom w:val="single" w:sz="8" w:space="0" w:color="00923D"/>
            </w:tcBorders>
            <w:vAlign w:val="bottom"/>
          </w:tcPr>
          <w:p w:rsidR="00AC12B4" w:rsidRDefault="00AC12B4">
            <w:pPr>
              <w:rPr>
                <w:sz w:val="11"/>
                <w:szCs w:val="11"/>
              </w:rPr>
            </w:pPr>
          </w:p>
        </w:tc>
        <w:tc>
          <w:tcPr>
            <w:tcW w:w="2380" w:type="dxa"/>
            <w:tcBorders>
              <w:bottom w:val="single" w:sz="8" w:space="0" w:color="00923D"/>
              <w:right w:val="single" w:sz="8" w:space="0" w:color="00923D"/>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70"/>
        </w:trPr>
        <w:tc>
          <w:tcPr>
            <w:tcW w:w="5740" w:type="dxa"/>
            <w:gridSpan w:val="23"/>
            <w:vAlign w:val="bottom"/>
          </w:tcPr>
          <w:p w:rsidR="00AC12B4" w:rsidRDefault="00C27636">
            <w:pPr>
              <w:rPr>
                <w:sz w:val="20"/>
                <w:szCs w:val="20"/>
              </w:rPr>
            </w:pPr>
            <w:r>
              <w:rPr>
                <w:rFonts w:ascii="Calibri" w:eastAsia="Calibri" w:hAnsi="Calibri" w:cs="Calibri"/>
                <w:b/>
                <w:bCs/>
                <w:color w:val="4F81BD"/>
                <w:sz w:val="18"/>
                <w:szCs w:val="18"/>
              </w:rPr>
              <w:t>Figure 1. Eurostat (Eu-Silc)</w:t>
            </w:r>
          </w:p>
        </w:tc>
        <w:tc>
          <w:tcPr>
            <w:tcW w:w="120" w:type="dxa"/>
            <w:vAlign w:val="bottom"/>
          </w:tcPr>
          <w:p w:rsidR="00AC12B4" w:rsidRDefault="00AC12B4">
            <w:pPr>
              <w:rPr>
                <w:sz w:val="23"/>
                <w:szCs w:val="23"/>
              </w:rPr>
            </w:pPr>
          </w:p>
        </w:tc>
        <w:tc>
          <w:tcPr>
            <w:tcW w:w="2380" w:type="dxa"/>
            <w:vAlign w:val="bottom"/>
          </w:tcPr>
          <w:p w:rsidR="00AC12B4" w:rsidRDefault="00AC12B4">
            <w:pPr>
              <w:rPr>
                <w:sz w:val="23"/>
                <w:szCs w:val="23"/>
              </w:rPr>
            </w:pPr>
          </w:p>
        </w:tc>
        <w:tc>
          <w:tcPr>
            <w:tcW w:w="0" w:type="dxa"/>
            <w:vAlign w:val="bottom"/>
          </w:tcPr>
          <w:p w:rsidR="00AC12B4" w:rsidRDefault="00AC12B4">
            <w:pPr>
              <w:rPr>
                <w:sz w:val="1"/>
                <w:szCs w:val="1"/>
              </w:rPr>
            </w:pPr>
          </w:p>
        </w:tc>
      </w:tr>
    </w:tbl>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39" w:lineRule="exact"/>
        <w:rPr>
          <w:sz w:val="20"/>
          <w:szCs w:val="20"/>
        </w:rPr>
      </w:pPr>
    </w:p>
    <w:p w:rsidR="00AC12B4" w:rsidRDefault="00C27636">
      <w:pPr>
        <w:ind w:left="3680"/>
        <w:rPr>
          <w:sz w:val="20"/>
          <w:szCs w:val="20"/>
        </w:rPr>
      </w:pPr>
      <w:r>
        <w:rPr>
          <w:rFonts w:ascii="Calibri" w:eastAsia="Calibri" w:hAnsi="Calibri" w:cs="Calibri"/>
        </w:rPr>
        <w:t>156</w:t>
      </w:r>
    </w:p>
    <w:p w:rsidR="00AC12B4" w:rsidRDefault="00AC12B4">
      <w:pPr>
        <w:sectPr w:rsidR="00AC12B4">
          <w:type w:val="continuous"/>
          <w:pgSz w:w="12080" w:h="17179"/>
          <w:pgMar w:top="1440" w:right="1440" w:bottom="659" w:left="454" w:header="0" w:footer="0" w:gutter="0"/>
          <w:cols w:num="2" w:space="720" w:equalWidth="0">
            <w:col w:w="646" w:space="720"/>
            <w:col w:w="8817"/>
          </w:cols>
        </w:sectPr>
      </w:pPr>
    </w:p>
    <w:p w:rsidR="00AC12B4" w:rsidRDefault="00AC12B4">
      <w:pPr>
        <w:spacing w:line="212" w:lineRule="exact"/>
        <w:rPr>
          <w:sz w:val="20"/>
          <w:szCs w:val="20"/>
        </w:rPr>
      </w:pPr>
      <w:bookmarkStart w:id="156" w:name="page157"/>
      <w:bookmarkEnd w:id="156"/>
    </w:p>
    <w:p w:rsidR="00AC12B4" w:rsidRPr="00C27636" w:rsidRDefault="00C27636">
      <w:pPr>
        <w:numPr>
          <w:ilvl w:val="0"/>
          <w:numId w:val="286"/>
        </w:numPr>
        <w:tabs>
          <w:tab w:val="left" w:pos="781"/>
        </w:tabs>
        <w:spacing w:line="210" w:lineRule="auto"/>
        <w:ind w:left="560" w:right="520" w:firstLine="7"/>
        <w:rPr>
          <w:rFonts w:ascii="Calibri" w:eastAsia="Calibri" w:hAnsi="Calibri" w:cs="Calibri"/>
          <w:lang w:val="fr-BE"/>
        </w:rPr>
      </w:pPr>
      <w:r w:rsidRPr="00C27636">
        <w:rPr>
          <w:rFonts w:ascii="Calibri" w:eastAsia="Calibri" w:hAnsi="Calibri" w:cs="Calibri"/>
          <w:lang w:val="fr-BE"/>
        </w:rPr>
        <w:t>l’un de ces 3 risques suffit pour être considéré comme AROPE</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AC12B4">
      <w:pPr>
        <w:spacing w:line="92" w:lineRule="exact"/>
        <w:rPr>
          <w:rFonts w:ascii="Calibri" w:eastAsia="Calibri" w:hAnsi="Calibri" w:cs="Calibri"/>
          <w:lang w:val="fr-BE"/>
        </w:rPr>
      </w:pPr>
    </w:p>
    <w:p w:rsidR="00AC12B4" w:rsidRDefault="00C27636">
      <w:pPr>
        <w:numPr>
          <w:ilvl w:val="1"/>
          <w:numId w:val="286"/>
        </w:numPr>
        <w:tabs>
          <w:tab w:val="left" w:pos="1280"/>
        </w:tabs>
        <w:ind w:left="1280" w:hanging="353"/>
        <w:rPr>
          <w:rFonts w:ascii="Wingdings" w:eastAsia="Wingdings" w:hAnsi="Wingdings" w:cs="Wingdings"/>
          <w:color w:val="00923D"/>
        </w:rPr>
      </w:pPr>
      <w:r>
        <w:rPr>
          <w:rFonts w:ascii="Cambria" w:eastAsia="Cambria" w:hAnsi="Cambria" w:cs="Cambria"/>
          <w:i/>
          <w:iCs/>
          <w:color w:val="00923D"/>
        </w:rPr>
        <w:t>Limite de la mesure</w:t>
      </w:r>
    </w:p>
    <w:p w:rsidR="00AC12B4" w:rsidRDefault="00AC12B4">
      <w:pPr>
        <w:spacing w:line="199" w:lineRule="exact"/>
        <w:rPr>
          <w:sz w:val="20"/>
          <w:szCs w:val="20"/>
        </w:rPr>
      </w:pPr>
    </w:p>
    <w:p w:rsidR="00AC12B4" w:rsidRPr="00C27636" w:rsidRDefault="00C27636">
      <w:pPr>
        <w:spacing w:line="229" w:lineRule="auto"/>
        <w:ind w:left="560" w:right="520"/>
        <w:jc w:val="both"/>
        <w:rPr>
          <w:sz w:val="20"/>
          <w:szCs w:val="20"/>
          <w:lang w:val="fr-BE"/>
        </w:rPr>
      </w:pPr>
      <w:r w:rsidRPr="00C27636">
        <w:rPr>
          <w:rFonts w:ascii="Calibri" w:eastAsia="Calibri" w:hAnsi="Calibri" w:cs="Calibri"/>
          <w:lang w:val="fr-BE"/>
        </w:rPr>
        <w:t xml:space="preserve">Il existe un phénomène de non-recours aux droits sociaux. Entre 57 et 75% des ayants droit au revenu d’intégration sociale n’y font pas appel </w:t>
      </w:r>
      <w:r w:rsidRPr="00C27636">
        <w:rPr>
          <w:rFonts w:ascii="Calibri" w:eastAsia="Calibri" w:hAnsi="Calibri" w:cs="Calibri"/>
          <w:lang w:val="fr-BE"/>
        </w:rPr>
        <w:t>en Belgique et seul quelque 70% fait appel au SECAL (Service des créances alimentaires)</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w:t>
      </w:r>
    </w:p>
    <w:p w:rsidR="00AC12B4" w:rsidRPr="00C27636" w:rsidRDefault="00AC12B4">
      <w:pPr>
        <w:spacing w:line="137" w:lineRule="exact"/>
        <w:rPr>
          <w:sz w:val="20"/>
          <w:szCs w:val="20"/>
          <w:lang w:val="fr-BE"/>
        </w:rPr>
      </w:pPr>
    </w:p>
    <w:p w:rsidR="00AC12B4" w:rsidRPr="00C27636" w:rsidRDefault="00C27636">
      <w:pPr>
        <w:spacing w:line="234" w:lineRule="auto"/>
        <w:ind w:left="560" w:right="520"/>
        <w:jc w:val="both"/>
        <w:rPr>
          <w:sz w:val="20"/>
          <w:szCs w:val="20"/>
          <w:lang w:val="fr-BE"/>
        </w:rPr>
      </w:pPr>
      <w:r w:rsidRPr="00C27636">
        <w:rPr>
          <w:rFonts w:ascii="Calibri" w:eastAsia="Calibri" w:hAnsi="Calibri" w:cs="Calibri"/>
          <w:lang w:val="fr-BE"/>
        </w:rPr>
        <w:t>Ce phénomène et sa non diminution peuvent s’expliquer par le fait qu’il est très compliqué d’être au courant de toutes les réglementations et primes, et, en outre, n</w:t>
      </w:r>
      <w:r w:rsidRPr="00C27636">
        <w:rPr>
          <w:rFonts w:ascii="Calibri" w:eastAsia="Calibri" w:hAnsi="Calibri" w:cs="Calibri"/>
          <w:lang w:val="fr-BE"/>
        </w:rPr>
        <w:t>ous vivons dans une société très dynamique : la situation familiale et le statut sur le marché du travail sont beaucoup moins stables qu’avant.</w:t>
      </w:r>
    </w:p>
    <w:p w:rsidR="00AC12B4" w:rsidRPr="00C27636" w:rsidRDefault="00AC12B4">
      <w:pPr>
        <w:spacing w:line="174" w:lineRule="exact"/>
        <w:rPr>
          <w:sz w:val="20"/>
          <w:szCs w:val="20"/>
          <w:lang w:val="fr-BE"/>
        </w:rPr>
      </w:pPr>
    </w:p>
    <w:p w:rsidR="00AC12B4" w:rsidRPr="00C27636" w:rsidRDefault="00C27636">
      <w:pPr>
        <w:spacing w:line="230" w:lineRule="auto"/>
        <w:ind w:left="560" w:right="520"/>
        <w:jc w:val="both"/>
        <w:rPr>
          <w:sz w:val="20"/>
          <w:szCs w:val="20"/>
          <w:lang w:val="fr-BE"/>
        </w:rPr>
      </w:pPr>
      <w:r w:rsidRPr="00C27636">
        <w:rPr>
          <w:rFonts w:ascii="Calibri" w:eastAsia="Calibri" w:hAnsi="Calibri" w:cs="Calibri"/>
          <w:lang w:val="fr-BE"/>
        </w:rPr>
        <w:t>Notons finalement que depuis 2012 les données ci-dessus ne sont plus ventilées par Région ou par composition de</w:t>
      </w:r>
      <w:r w:rsidRPr="00C27636">
        <w:rPr>
          <w:rFonts w:ascii="Calibri" w:eastAsia="Calibri" w:hAnsi="Calibri" w:cs="Calibri"/>
          <w:lang w:val="fr-BE"/>
        </w:rPr>
        <w:t xml:space="preserve"> ménage pour raison d’intervalles de confiance trop larges.</w:t>
      </w:r>
    </w:p>
    <w:p w:rsidR="00AC12B4" w:rsidRPr="00C27636" w:rsidRDefault="00AC12B4">
      <w:pPr>
        <w:spacing w:line="212" w:lineRule="exact"/>
        <w:rPr>
          <w:sz w:val="20"/>
          <w:szCs w:val="20"/>
          <w:lang w:val="fr-BE"/>
        </w:rPr>
      </w:pPr>
    </w:p>
    <w:p w:rsidR="00AC12B4" w:rsidRPr="00C27636" w:rsidRDefault="00C27636">
      <w:pPr>
        <w:ind w:left="560"/>
        <w:rPr>
          <w:sz w:val="20"/>
          <w:szCs w:val="20"/>
          <w:lang w:val="fr-BE"/>
        </w:rPr>
      </w:pPr>
      <w:r w:rsidRPr="00C27636">
        <w:rPr>
          <w:rFonts w:ascii="Cambria" w:eastAsia="Cambria" w:hAnsi="Cambria" w:cs="Cambria"/>
          <w:b/>
          <w:bCs/>
          <w:i/>
          <w:iCs/>
          <w:color w:val="005022"/>
          <w:sz w:val="26"/>
          <w:szCs w:val="26"/>
          <w:lang w:val="fr-BE"/>
        </w:rPr>
        <w:t>Pour aller plus loin :</w:t>
      </w:r>
    </w:p>
    <w:p w:rsidR="00AC12B4" w:rsidRPr="00C27636" w:rsidRDefault="00AC12B4">
      <w:pPr>
        <w:spacing w:line="210" w:lineRule="exact"/>
        <w:rPr>
          <w:sz w:val="20"/>
          <w:szCs w:val="20"/>
          <w:lang w:val="fr-BE"/>
        </w:rPr>
      </w:pPr>
    </w:p>
    <w:p w:rsidR="00AC12B4" w:rsidRPr="00C27636" w:rsidRDefault="00C27636">
      <w:pPr>
        <w:spacing w:line="224" w:lineRule="auto"/>
        <w:ind w:left="560" w:right="520"/>
        <w:jc w:val="both"/>
        <w:rPr>
          <w:sz w:val="20"/>
          <w:szCs w:val="20"/>
          <w:lang w:val="fr-BE"/>
        </w:rPr>
      </w:pPr>
      <w:r w:rsidRPr="00C27636">
        <w:rPr>
          <w:rFonts w:ascii="Calibri" w:eastAsia="Calibri" w:hAnsi="Calibri" w:cs="Calibri"/>
          <w:b/>
          <w:bCs/>
          <w:i/>
          <w:iCs/>
          <w:color w:val="005022"/>
          <w:sz w:val="20"/>
          <w:szCs w:val="20"/>
          <w:lang w:val="fr-BE"/>
        </w:rPr>
        <w:t xml:space="preserve">Les allocations familiales: </w:t>
      </w:r>
      <w:r w:rsidRPr="00C27636">
        <w:rPr>
          <w:rFonts w:ascii="Calibri" w:eastAsia="Calibri" w:hAnsi="Calibri" w:cs="Calibri"/>
          <w:color w:val="000000"/>
          <w:sz w:val="20"/>
          <w:szCs w:val="20"/>
          <w:lang w:val="fr-BE"/>
        </w:rPr>
        <w:t>voici les montants</w:t>
      </w:r>
      <w:r w:rsidRPr="00C27636">
        <w:rPr>
          <w:rFonts w:ascii="Calibri" w:eastAsia="Calibri" w:hAnsi="Calibri" w:cs="Calibri"/>
          <w:b/>
          <w:bCs/>
          <w:i/>
          <w:iCs/>
          <w:color w:val="005022"/>
          <w:sz w:val="20"/>
          <w:szCs w:val="20"/>
          <w:lang w:val="fr-BE"/>
        </w:rPr>
        <w:t xml:space="preserve"> </w:t>
      </w:r>
      <w:r w:rsidRPr="00C27636">
        <w:rPr>
          <w:rFonts w:ascii="Calibri" w:eastAsia="Calibri" w:hAnsi="Calibri" w:cs="Calibri"/>
          <w:color w:val="000000"/>
          <w:sz w:val="20"/>
          <w:szCs w:val="20"/>
          <w:lang w:val="fr-BE"/>
        </w:rPr>
        <w:t>des allocations familiales « ordinaires » en Belgique en 2015.</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793920" behindDoc="1" locked="0" layoutInCell="0" allowOverlap="1">
                <wp:simplePos x="0" y="0"/>
                <wp:positionH relativeFrom="column">
                  <wp:posOffset>359410</wp:posOffset>
                </wp:positionH>
                <wp:positionV relativeFrom="paragraph">
                  <wp:posOffset>1125220</wp:posOffset>
                </wp:positionV>
                <wp:extent cx="1829435" cy="0"/>
                <wp:effectExtent l="0" t="0" r="0" b="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88.6pt" to="172.35pt,88.6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3" w:lineRule="exact"/>
        <w:rPr>
          <w:sz w:val="20"/>
          <w:szCs w:val="20"/>
          <w:lang w:val="fr-BE"/>
        </w:rPr>
      </w:pPr>
    </w:p>
    <w:p w:rsidR="00AC12B4" w:rsidRPr="00C27636" w:rsidRDefault="00C27636">
      <w:pPr>
        <w:numPr>
          <w:ilvl w:val="0"/>
          <w:numId w:val="287"/>
        </w:numPr>
        <w:tabs>
          <w:tab w:val="left" w:pos="700"/>
        </w:tabs>
        <w:ind w:left="700" w:hanging="133"/>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Statbel: la pauvreté et l’exclusion sociale en</w:t>
      </w:r>
    </w:p>
    <w:p w:rsidR="00AC12B4" w:rsidRPr="00C27636" w:rsidRDefault="00AC12B4">
      <w:pPr>
        <w:spacing w:line="28" w:lineRule="exact"/>
        <w:rPr>
          <w:rFonts w:ascii="Calibri" w:eastAsia="Calibri" w:hAnsi="Calibri" w:cs="Calibri"/>
          <w:sz w:val="26"/>
          <w:szCs w:val="26"/>
          <w:vertAlign w:val="superscript"/>
          <w:lang w:val="fr-BE"/>
        </w:rPr>
      </w:pPr>
    </w:p>
    <w:p w:rsidR="00AC12B4" w:rsidRDefault="00C27636">
      <w:pPr>
        <w:spacing w:line="212" w:lineRule="auto"/>
        <w:ind w:left="560"/>
        <w:rPr>
          <w:rFonts w:ascii="Calibri" w:eastAsia="Calibri" w:hAnsi="Calibri" w:cs="Calibri"/>
          <w:sz w:val="26"/>
          <w:szCs w:val="26"/>
          <w:vertAlign w:val="superscript"/>
        </w:rPr>
      </w:pPr>
      <w:r>
        <w:rPr>
          <w:rFonts w:ascii="Calibri" w:eastAsia="Calibri" w:hAnsi="Calibri" w:cs="Calibri"/>
          <w:sz w:val="20"/>
          <w:szCs w:val="20"/>
        </w:rPr>
        <w:t>Belgique</w:t>
      </w:r>
    </w:p>
    <w:p w:rsidR="00AC12B4" w:rsidRDefault="00AC12B4">
      <w:pPr>
        <w:spacing w:line="45" w:lineRule="exact"/>
        <w:rPr>
          <w:rFonts w:ascii="Calibri" w:eastAsia="Calibri" w:hAnsi="Calibri" w:cs="Calibri"/>
          <w:sz w:val="26"/>
          <w:szCs w:val="26"/>
          <w:vertAlign w:val="superscript"/>
        </w:rPr>
      </w:pPr>
    </w:p>
    <w:p w:rsidR="00AC12B4" w:rsidRDefault="00C27636">
      <w:pPr>
        <w:spacing w:line="228" w:lineRule="auto"/>
        <w:ind w:left="560" w:right="580"/>
        <w:rPr>
          <w:rFonts w:ascii="Calibri" w:eastAsia="Calibri" w:hAnsi="Calibri" w:cs="Calibri"/>
          <w:color w:val="0000FF"/>
          <w:sz w:val="19"/>
          <w:szCs w:val="19"/>
          <w:u w:val="single"/>
        </w:rPr>
      </w:pPr>
      <w:hyperlink r:id="rId260">
        <w:r>
          <w:rPr>
            <w:rFonts w:ascii="Calibri" w:eastAsia="Calibri" w:hAnsi="Calibri" w:cs="Calibri"/>
            <w:color w:val="0000FF"/>
            <w:sz w:val="19"/>
            <w:szCs w:val="19"/>
            <w:u w:val="single"/>
          </w:rPr>
          <w:t>http://statbel.fgov.be/fr/binaries/CP_SILC2011</w:t>
        </w:r>
      </w:hyperlink>
      <w:r>
        <w:rPr>
          <w:rFonts w:ascii="Calibri" w:eastAsia="Calibri" w:hAnsi="Calibri" w:cs="Calibri"/>
          <w:color w:val="0000FF"/>
          <w:sz w:val="19"/>
          <w:szCs w:val="19"/>
          <w:u w:val="single"/>
        </w:rPr>
        <w:t xml:space="preserve"> </w:t>
      </w:r>
      <w:hyperlink r:id="rId261">
        <w:r>
          <w:rPr>
            <w:rFonts w:ascii="Calibri" w:eastAsia="Calibri" w:hAnsi="Calibri" w:cs="Calibri"/>
            <w:color w:val="0000FF"/>
            <w:sz w:val="19"/>
            <w:szCs w:val="19"/>
            <w:u w:val="single"/>
          </w:rPr>
          <w:t>_fr_tcm326-201870.pdf</w:t>
        </w:r>
      </w:hyperlink>
    </w:p>
    <w:p w:rsidR="00AC12B4" w:rsidRDefault="00AC12B4">
      <w:pPr>
        <w:spacing w:line="170" w:lineRule="exact"/>
        <w:rPr>
          <w:rFonts w:ascii="Calibri" w:eastAsia="Calibri" w:hAnsi="Calibri" w:cs="Calibri"/>
          <w:sz w:val="26"/>
          <w:szCs w:val="26"/>
          <w:vertAlign w:val="superscript"/>
        </w:rPr>
      </w:pPr>
    </w:p>
    <w:p w:rsidR="00AC12B4" w:rsidRDefault="00C27636">
      <w:pPr>
        <w:numPr>
          <w:ilvl w:val="0"/>
          <w:numId w:val="288"/>
        </w:numPr>
        <w:tabs>
          <w:tab w:val="left" w:pos="774"/>
        </w:tabs>
        <w:spacing w:line="229" w:lineRule="auto"/>
        <w:ind w:left="560" w:right="520" w:firstLine="7"/>
        <w:jc w:val="both"/>
        <w:rPr>
          <w:rFonts w:ascii="Calibri" w:eastAsia="Calibri" w:hAnsi="Calibri" w:cs="Calibri"/>
          <w:color w:val="0000FF"/>
          <w:sz w:val="20"/>
          <w:szCs w:val="20"/>
        </w:rPr>
      </w:pPr>
      <w:r w:rsidRPr="00C27636">
        <w:rPr>
          <w:rFonts w:ascii="Calibri" w:eastAsia="Calibri" w:hAnsi="Calibri" w:cs="Calibri"/>
          <w:sz w:val="20"/>
          <w:szCs w:val="20"/>
          <w:lang w:val="fr-BE"/>
        </w:rPr>
        <w:t xml:space="preserve">Pacolet, J. et De Wispelaere, F., « </w:t>
      </w:r>
      <w:hyperlink r:id="rId262">
        <w:r w:rsidRPr="00C27636">
          <w:rPr>
            <w:rFonts w:ascii="Calibri" w:eastAsia="Calibri" w:hAnsi="Calibri" w:cs="Calibri"/>
            <w:color w:val="0000FF"/>
            <w:sz w:val="20"/>
            <w:szCs w:val="20"/>
            <w:u w:val="single"/>
            <w:lang w:val="fr-BE"/>
          </w:rPr>
          <w:t>L'impact</w:t>
        </w:r>
      </w:hyperlink>
      <w:r w:rsidRPr="00C27636">
        <w:rPr>
          <w:rFonts w:ascii="Calibri" w:eastAsia="Calibri" w:hAnsi="Calibri" w:cs="Calibri"/>
          <w:sz w:val="20"/>
          <w:szCs w:val="20"/>
          <w:lang w:val="fr-BE"/>
        </w:rPr>
        <w:t xml:space="preserve"> </w:t>
      </w:r>
      <w:hyperlink r:id="rId263">
        <w:r w:rsidRPr="00C27636">
          <w:rPr>
            <w:rFonts w:ascii="Calibri" w:eastAsia="Calibri" w:hAnsi="Calibri" w:cs="Calibri"/>
            <w:color w:val="0000FF"/>
            <w:sz w:val="20"/>
            <w:szCs w:val="20"/>
            <w:u w:val="single"/>
            <w:lang w:val="fr-BE"/>
          </w:rPr>
          <w:t>budgétaire de l'octroi d'avances par le Service</w:t>
        </w:r>
      </w:hyperlink>
      <w:r w:rsidRPr="00C27636">
        <w:rPr>
          <w:rFonts w:ascii="Calibri" w:eastAsia="Calibri" w:hAnsi="Calibri" w:cs="Calibri"/>
          <w:color w:val="0000FF"/>
          <w:sz w:val="20"/>
          <w:szCs w:val="20"/>
          <w:u w:val="single"/>
          <w:lang w:val="fr-BE"/>
        </w:rPr>
        <w:t xml:space="preserve"> </w:t>
      </w:r>
      <w:hyperlink r:id="rId264">
        <w:r w:rsidRPr="00C27636">
          <w:rPr>
            <w:rFonts w:ascii="Calibri" w:eastAsia="Calibri" w:hAnsi="Calibri" w:cs="Calibri"/>
            <w:color w:val="0000FF"/>
            <w:sz w:val="20"/>
            <w:szCs w:val="20"/>
            <w:u w:val="single"/>
            <w:lang w:val="fr-BE"/>
          </w:rPr>
          <w:t>des créances alimentaires: résumé »,.</w:t>
        </w:r>
        <w:r w:rsidRPr="00C27636">
          <w:rPr>
            <w:rFonts w:ascii="Calibri" w:eastAsia="Calibri" w:hAnsi="Calibri" w:cs="Calibri"/>
            <w:color w:val="0000FF"/>
            <w:sz w:val="20"/>
            <w:szCs w:val="20"/>
            <w:lang w:val="fr-BE"/>
          </w:rPr>
          <w:t xml:space="preserve"> </w:t>
        </w:r>
      </w:hyperlink>
      <w:r w:rsidRPr="00C27636">
        <w:rPr>
          <w:rFonts w:ascii="Calibri" w:eastAsia="Calibri" w:hAnsi="Calibri" w:cs="Calibri"/>
          <w:i/>
          <w:iCs/>
          <w:color w:val="000000"/>
          <w:sz w:val="20"/>
          <w:szCs w:val="20"/>
          <w:lang w:val="fr-BE"/>
        </w:rPr>
        <w:t>Bulletin</w:t>
      </w:r>
      <w:r w:rsidRPr="00C27636">
        <w:rPr>
          <w:rFonts w:ascii="Calibri" w:eastAsia="Calibri" w:hAnsi="Calibri" w:cs="Calibri"/>
          <w:color w:val="0000FF"/>
          <w:sz w:val="20"/>
          <w:szCs w:val="20"/>
          <w:lang w:val="fr-BE"/>
        </w:rPr>
        <w:t xml:space="preserve"> </w:t>
      </w:r>
      <w:r w:rsidRPr="00C27636">
        <w:rPr>
          <w:rFonts w:ascii="Calibri" w:eastAsia="Calibri" w:hAnsi="Calibri" w:cs="Calibri"/>
          <w:i/>
          <w:iCs/>
          <w:color w:val="000000"/>
          <w:sz w:val="20"/>
          <w:szCs w:val="20"/>
          <w:lang w:val="fr-BE"/>
        </w:rPr>
        <w:t xml:space="preserve">de Documentation. </w:t>
      </w:r>
      <w:r w:rsidRPr="00C27636">
        <w:rPr>
          <w:rFonts w:ascii="Calibri" w:eastAsia="Calibri" w:hAnsi="Calibri" w:cs="Calibri"/>
          <w:color w:val="000000"/>
          <w:sz w:val="20"/>
          <w:szCs w:val="20"/>
          <w:lang w:val="fr-BE"/>
        </w:rPr>
        <w:t>Ministère des Finances,</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00"/>
          <w:sz w:val="20"/>
          <w:szCs w:val="20"/>
          <w:lang w:val="fr-BE"/>
        </w:rPr>
        <w:t>Service Communications - Belgium nr.72, 2012, pp. 1-24. Cf. aussi colloque du service de lutte contr</w:t>
      </w:r>
      <w:r w:rsidRPr="00C27636">
        <w:rPr>
          <w:rFonts w:ascii="Calibri" w:eastAsia="Calibri" w:hAnsi="Calibri" w:cs="Calibri"/>
          <w:color w:val="000000"/>
          <w:sz w:val="20"/>
          <w:szCs w:val="20"/>
          <w:lang w:val="fr-BE"/>
        </w:rPr>
        <w:t xml:space="preserve">e la pauvreté, la précarité et l’exclusion sociale : « Pauvreté et ineffectivité des droits . Non-accès et non-recours aux droits/Armoede en ineffectiviteit van rechten. </w:t>
      </w:r>
      <w:r>
        <w:rPr>
          <w:rFonts w:ascii="Calibri" w:eastAsia="Calibri" w:hAnsi="Calibri" w:cs="Calibri"/>
          <w:color w:val="000000"/>
          <w:sz w:val="20"/>
          <w:szCs w:val="20"/>
        </w:rPr>
        <w:t>Niet-toegang tot en niet-gebruik van rechten”, 16 décembre</w:t>
      </w:r>
    </w:p>
    <w:p w:rsidR="00AC12B4" w:rsidRDefault="00AC12B4">
      <w:pPr>
        <w:spacing w:line="6" w:lineRule="exact"/>
        <w:rPr>
          <w:rFonts w:ascii="Calibri" w:eastAsia="Calibri" w:hAnsi="Calibri" w:cs="Calibri"/>
          <w:color w:val="0000FF"/>
          <w:sz w:val="20"/>
          <w:szCs w:val="20"/>
        </w:rPr>
      </w:pPr>
    </w:p>
    <w:p w:rsidR="00AC12B4" w:rsidRDefault="00C27636">
      <w:pPr>
        <w:ind w:left="560"/>
        <w:rPr>
          <w:rFonts w:ascii="Calibri" w:eastAsia="Calibri" w:hAnsi="Calibri" w:cs="Calibri"/>
          <w:color w:val="0000FF"/>
          <w:sz w:val="20"/>
          <w:szCs w:val="20"/>
        </w:rPr>
      </w:pPr>
      <w:r>
        <w:rPr>
          <w:rFonts w:ascii="Calibri" w:eastAsia="Calibri" w:hAnsi="Calibri" w:cs="Calibri"/>
          <w:sz w:val="20"/>
          <w:szCs w:val="20"/>
        </w:rPr>
        <w:t>2014.</w:t>
      </w:r>
    </w:p>
    <w:p w:rsidR="00AC12B4" w:rsidRDefault="00AC12B4">
      <w:pPr>
        <w:spacing w:line="241" w:lineRule="exact"/>
        <w:rPr>
          <w:rFonts w:ascii="Calibri" w:eastAsia="Calibri" w:hAnsi="Calibri" w:cs="Calibri"/>
          <w:sz w:val="20"/>
          <w:szCs w:val="20"/>
        </w:rPr>
      </w:pPr>
    </w:p>
    <w:p w:rsidR="00AC12B4" w:rsidRDefault="00C27636">
      <w:pPr>
        <w:jc w:val="right"/>
        <w:rPr>
          <w:sz w:val="20"/>
          <w:szCs w:val="20"/>
        </w:rPr>
      </w:pPr>
      <w:r>
        <w:rPr>
          <w:rFonts w:ascii="Calibri" w:eastAsia="Calibri" w:hAnsi="Calibri" w:cs="Calibri"/>
        </w:rPr>
        <w:lastRenderedPageBreak/>
        <w:t>157</w:t>
      </w:r>
    </w:p>
    <w:p w:rsidR="00AC12B4" w:rsidRDefault="00C27636">
      <w:pPr>
        <w:spacing w:line="20" w:lineRule="exact"/>
        <w:rPr>
          <w:rFonts w:ascii="Calibri" w:eastAsia="Calibri" w:hAnsi="Calibri" w:cs="Calibri"/>
          <w:sz w:val="20"/>
          <w:szCs w:val="20"/>
        </w:rPr>
      </w:pPr>
      <w:r>
        <w:rPr>
          <w:rFonts w:ascii="Calibri" w:eastAsia="Calibri" w:hAnsi="Calibri" w:cs="Calibri"/>
          <w:sz w:val="20"/>
          <w:szCs w:val="20"/>
        </w:rPr>
        <w:br w:type="column"/>
      </w:r>
    </w:p>
    <w:p w:rsidR="00AC12B4" w:rsidRDefault="00AC12B4">
      <w:pPr>
        <w:spacing w:line="200" w:lineRule="exact"/>
        <w:rPr>
          <w:rFonts w:ascii="Calibri" w:eastAsia="Calibri" w:hAnsi="Calibri" w:cs="Calibri"/>
          <w:sz w:val="20"/>
          <w:szCs w:val="20"/>
        </w:rPr>
      </w:pPr>
    </w:p>
    <w:p w:rsidR="00AC12B4" w:rsidRDefault="00AC12B4">
      <w:pPr>
        <w:spacing w:line="328" w:lineRule="exact"/>
        <w:rPr>
          <w:rFonts w:ascii="Calibri" w:eastAsia="Calibri" w:hAnsi="Calibri" w:cs="Calibri"/>
          <w:sz w:val="20"/>
          <w:szCs w:val="20"/>
        </w:rPr>
      </w:pPr>
    </w:p>
    <w:p w:rsidR="00AC12B4" w:rsidRDefault="00AC12B4">
      <w:pPr>
        <w:spacing w:line="1" w:lineRule="exact"/>
        <w:rPr>
          <w:rFonts w:ascii="Calibri" w:eastAsia="Calibri" w:hAnsi="Calibri" w:cs="Calibri"/>
          <w:sz w:val="1"/>
          <w:szCs w:val="1"/>
        </w:rPr>
      </w:pPr>
    </w:p>
    <w:tbl>
      <w:tblPr>
        <w:tblW w:w="0" w:type="auto"/>
        <w:tblLayout w:type="fixed"/>
        <w:tblCellMar>
          <w:left w:w="0" w:type="dxa"/>
          <w:right w:w="0" w:type="dxa"/>
        </w:tblCellMar>
        <w:tblLook w:val="04A0" w:firstRow="1" w:lastRow="0" w:firstColumn="1" w:lastColumn="0" w:noHBand="0" w:noVBand="1"/>
      </w:tblPr>
      <w:tblGrid>
        <w:gridCol w:w="20"/>
        <w:gridCol w:w="1920"/>
        <w:gridCol w:w="2160"/>
      </w:tblGrid>
      <w:tr w:rsidR="00AC12B4">
        <w:trPr>
          <w:trHeight w:val="244"/>
        </w:trPr>
        <w:tc>
          <w:tcPr>
            <w:tcW w:w="20" w:type="dxa"/>
            <w:vAlign w:val="bottom"/>
          </w:tcPr>
          <w:p w:rsidR="00AC12B4" w:rsidRDefault="00AC12B4">
            <w:pPr>
              <w:rPr>
                <w:sz w:val="21"/>
                <w:szCs w:val="21"/>
              </w:rPr>
            </w:pPr>
          </w:p>
        </w:tc>
        <w:tc>
          <w:tcPr>
            <w:tcW w:w="1920" w:type="dxa"/>
            <w:vAlign w:val="bottom"/>
          </w:tcPr>
          <w:p w:rsidR="00AC12B4" w:rsidRDefault="00C27636">
            <w:pPr>
              <w:ind w:left="120"/>
              <w:rPr>
                <w:sz w:val="20"/>
                <w:szCs w:val="20"/>
              </w:rPr>
            </w:pPr>
            <w:r>
              <w:rPr>
                <w:rFonts w:ascii="Calibri" w:eastAsia="Calibri" w:hAnsi="Calibri" w:cs="Calibri"/>
                <w:b/>
                <w:bCs/>
                <w:color w:val="005022"/>
                <w:sz w:val="20"/>
                <w:szCs w:val="20"/>
              </w:rPr>
              <w:t>Enfant</w:t>
            </w:r>
          </w:p>
        </w:tc>
        <w:tc>
          <w:tcPr>
            <w:tcW w:w="2160" w:type="dxa"/>
            <w:vAlign w:val="bottom"/>
          </w:tcPr>
          <w:p w:rsidR="00AC12B4" w:rsidRDefault="00C27636">
            <w:pPr>
              <w:ind w:left="60"/>
              <w:rPr>
                <w:sz w:val="20"/>
                <w:szCs w:val="20"/>
              </w:rPr>
            </w:pPr>
            <w:r>
              <w:rPr>
                <w:rFonts w:ascii="Calibri" w:eastAsia="Calibri" w:hAnsi="Calibri" w:cs="Calibri"/>
                <w:b/>
                <w:bCs/>
                <w:color w:val="005022"/>
                <w:sz w:val="20"/>
                <w:szCs w:val="20"/>
              </w:rPr>
              <w:t>Montant par mois</w:t>
            </w:r>
          </w:p>
        </w:tc>
      </w:tr>
      <w:tr w:rsidR="00AC12B4">
        <w:trPr>
          <w:trHeight w:val="127"/>
        </w:trPr>
        <w:tc>
          <w:tcPr>
            <w:tcW w:w="20" w:type="dxa"/>
            <w:vAlign w:val="bottom"/>
          </w:tcPr>
          <w:p w:rsidR="00AC12B4" w:rsidRDefault="00AC12B4">
            <w:pPr>
              <w:rPr>
                <w:sz w:val="11"/>
                <w:szCs w:val="11"/>
              </w:rPr>
            </w:pPr>
          </w:p>
        </w:tc>
        <w:tc>
          <w:tcPr>
            <w:tcW w:w="1920" w:type="dxa"/>
            <w:tcBorders>
              <w:bottom w:val="single" w:sz="8" w:space="0" w:color="005022"/>
            </w:tcBorders>
            <w:vAlign w:val="bottom"/>
          </w:tcPr>
          <w:p w:rsidR="00AC12B4" w:rsidRDefault="00AC12B4">
            <w:pPr>
              <w:rPr>
                <w:sz w:val="11"/>
                <w:szCs w:val="11"/>
              </w:rPr>
            </w:pPr>
          </w:p>
        </w:tc>
        <w:tc>
          <w:tcPr>
            <w:tcW w:w="2160" w:type="dxa"/>
            <w:tcBorders>
              <w:bottom w:val="single" w:sz="8" w:space="0" w:color="005022"/>
            </w:tcBorders>
            <w:vAlign w:val="bottom"/>
          </w:tcPr>
          <w:p w:rsidR="00AC12B4" w:rsidRDefault="00AC12B4">
            <w:pPr>
              <w:rPr>
                <w:sz w:val="11"/>
                <w:szCs w:val="11"/>
              </w:rPr>
            </w:pPr>
          </w:p>
        </w:tc>
      </w:tr>
      <w:tr w:rsidR="00AC12B4">
        <w:trPr>
          <w:trHeight w:val="237"/>
        </w:trPr>
        <w:tc>
          <w:tcPr>
            <w:tcW w:w="20" w:type="dxa"/>
            <w:vAlign w:val="bottom"/>
          </w:tcPr>
          <w:p w:rsidR="00AC12B4" w:rsidRDefault="00AC12B4">
            <w:pPr>
              <w:rPr>
                <w:sz w:val="20"/>
                <w:szCs w:val="20"/>
              </w:rPr>
            </w:pPr>
          </w:p>
        </w:tc>
        <w:tc>
          <w:tcPr>
            <w:tcW w:w="1920" w:type="dxa"/>
            <w:shd w:val="clear" w:color="auto" w:fill="C5FFDE"/>
            <w:vAlign w:val="bottom"/>
          </w:tcPr>
          <w:p w:rsidR="00AC12B4" w:rsidRDefault="00C27636">
            <w:pPr>
              <w:spacing w:line="236" w:lineRule="exact"/>
              <w:ind w:left="120"/>
              <w:rPr>
                <w:sz w:val="20"/>
                <w:szCs w:val="20"/>
              </w:rPr>
            </w:pPr>
            <w:r>
              <w:rPr>
                <w:rFonts w:ascii="Calibri" w:eastAsia="Calibri" w:hAnsi="Calibri" w:cs="Calibri"/>
                <w:color w:val="005022"/>
                <w:sz w:val="20"/>
                <w:szCs w:val="20"/>
              </w:rPr>
              <w:t>Premier enfant</w:t>
            </w:r>
          </w:p>
        </w:tc>
        <w:tc>
          <w:tcPr>
            <w:tcW w:w="2160" w:type="dxa"/>
            <w:shd w:val="clear" w:color="auto" w:fill="C5FFDE"/>
            <w:vAlign w:val="bottom"/>
          </w:tcPr>
          <w:p w:rsidR="00AC12B4" w:rsidRDefault="00C27636">
            <w:pPr>
              <w:spacing w:line="236" w:lineRule="exact"/>
              <w:ind w:left="60"/>
              <w:rPr>
                <w:sz w:val="20"/>
                <w:szCs w:val="20"/>
              </w:rPr>
            </w:pPr>
            <w:r>
              <w:rPr>
                <w:rFonts w:ascii="Calibri" w:eastAsia="Calibri" w:hAnsi="Calibri" w:cs="Calibri"/>
                <w:color w:val="005022"/>
                <w:sz w:val="20"/>
                <w:szCs w:val="20"/>
              </w:rPr>
              <w:t>€ 90,28</w:t>
            </w:r>
          </w:p>
        </w:tc>
      </w:tr>
      <w:tr w:rsidR="00AC12B4">
        <w:trPr>
          <w:trHeight w:val="127"/>
        </w:trPr>
        <w:tc>
          <w:tcPr>
            <w:tcW w:w="20" w:type="dxa"/>
            <w:vAlign w:val="bottom"/>
          </w:tcPr>
          <w:p w:rsidR="00AC12B4" w:rsidRDefault="00AC12B4">
            <w:pPr>
              <w:rPr>
                <w:sz w:val="11"/>
                <w:szCs w:val="11"/>
              </w:rPr>
            </w:pPr>
          </w:p>
        </w:tc>
        <w:tc>
          <w:tcPr>
            <w:tcW w:w="1920" w:type="dxa"/>
            <w:shd w:val="clear" w:color="auto" w:fill="C5FFDE"/>
            <w:vAlign w:val="bottom"/>
          </w:tcPr>
          <w:p w:rsidR="00AC12B4" w:rsidRDefault="00AC12B4">
            <w:pPr>
              <w:rPr>
                <w:sz w:val="11"/>
                <w:szCs w:val="11"/>
              </w:rPr>
            </w:pPr>
          </w:p>
        </w:tc>
        <w:tc>
          <w:tcPr>
            <w:tcW w:w="2160" w:type="dxa"/>
            <w:shd w:val="clear" w:color="auto" w:fill="C5FFDE"/>
            <w:vAlign w:val="bottom"/>
          </w:tcPr>
          <w:p w:rsidR="00AC12B4" w:rsidRDefault="00AC12B4">
            <w:pPr>
              <w:rPr>
                <w:sz w:val="11"/>
                <w:szCs w:val="11"/>
              </w:rPr>
            </w:pPr>
          </w:p>
        </w:tc>
      </w:tr>
      <w:tr w:rsidR="00AC12B4">
        <w:trPr>
          <w:trHeight w:val="238"/>
        </w:trPr>
        <w:tc>
          <w:tcPr>
            <w:tcW w:w="20" w:type="dxa"/>
            <w:vAlign w:val="bottom"/>
          </w:tcPr>
          <w:p w:rsidR="00AC12B4" w:rsidRDefault="00AC12B4">
            <w:pPr>
              <w:rPr>
                <w:sz w:val="20"/>
                <w:szCs w:val="20"/>
              </w:rPr>
            </w:pPr>
          </w:p>
        </w:tc>
        <w:tc>
          <w:tcPr>
            <w:tcW w:w="1920" w:type="dxa"/>
            <w:vAlign w:val="bottom"/>
          </w:tcPr>
          <w:p w:rsidR="00AC12B4" w:rsidRDefault="00C27636">
            <w:pPr>
              <w:spacing w:line="238" w:lineRule="exact"/>
              <w:ind w:left="120"/>
              <w:rPr>
                <w:sz w:val="20"/>
                <w:szCs w:val="20"/>
              </w:rPr>
            </w:pPr>
            <w:r>
              <w:rPr>
                <w:rFonts w:ascii="Calibri" w:eastAsia="Calibri" w:hAnsi="Calibri" w:cs="Calibri"/>
                <w:color w:val="005022"/>
                <w:sz w:val="20"/>
                <w:szCs w:val="20"/>
              </w:rPr>
              <w:t>2ème enfant</w:t>
            </w:r>
          </w:p>
        </w:tc>
        <w:tc>
          <w:tcPr>
            <w:tcW w:w="2160" w:type="dxa"/>
            <w:vAlign w:val="bottom"/>
          </w:tcPr>
          <w:p w:rsidR="00AC12B4" w:rsidRDefault="00C27636">
            <w:pPr>
              <w:spacing w:line="238" w:lineRule="exact"/>
              <w:ind w:left="60"/>
              <w:rPr>
                <w:sz w:val="20"/>
                <w:szCs w:val="20"/>
              </w:rPr>
            </w:pPr>
            <w:r>
              <w:rPr>
                <w:rFonts w:ascii="Calibri" w:eastAsia="Calibri" w:hAnsi="Calibri" w:cs="Calibri"/>
                <w:color w:val="005022"/>
                <w:sz w:val="20"/>
                <w:szCs w:val="20"/>
              </w:rPr>
              <w:t>€ 167,05</w:t>
            </w:r>
          </w:p>
        </w:tc>
      </w:tr>
      <w:tr w:rsidR="00AC12B4">
        <w:trPr>
          <w:trHeight w:val="125"/>
        </w:trPr>
        <w:tc>
          <w:tcPr>
            <w:tcW w:w="20" w:type="dxa"/>
            <w:vAlign w:val="bottom"/>
          </w:tcPr>
          <w:p w:rsidR="00AC12B4" w:rsidRDefault="00AC12B4">
            <w:pPr>
              <w:rPr>
                <w:sz w:val="10"/>
                <w:szCs w:val="10"/>
              </w:rPr>
            </w:pPr>
          </w:p>
        </w:tc>
        <w:tc>
          <w:tcPr>
            <w:tcW w:w="1920" w:type="dxa"/>
            <w:vAlign w:val="bottom"/>
          </w:tcPr>
          <w:p w:rsidR="00AC12B4" w:rsidRDefault="00AC12B4">
            <w:pPr>
              <w:rPr>
                <w:sz w:val="10"/>
                <w:szCs w:val="10"/>
              </w:rPr>
            </w:pPr>
          </w:p>
        </w:tc>
        <w:tc>
          <w:tcPr>
            <w:tcW w:w="2160" w:type="dxa"/>
            <w:vAlign w:val="bottom"/>
          </w:tcPr>
          <w:p w:rsidR="00AC12B4" w:rsidRDefault="00AC12B4">
            <w:pPr>
              <w:rPr>
                <w:sz w:val="10"/>
                <w:szCs w:val="10"/>
              </w:rPr>
            </w:pPr>
          </w:p>
        </w:tc>
      </w:tr>
      <w:tr w:rsidR="00AC12B4">
        <w:trPr>
          <w:trHeight w:val="238"/>
        </w:trPr>
        <w:tc>
          <w:tcPr>
            <w:tcW w:w="20" w:type="dxa"/>
            <w:vAlign w:val="bottom"/>
          </w:tcPr>
          <w:p w:rsidR="00AC12B4" w:rsidRDefault="00AC12B4">
            <w:pPr>
              <w:rPr>
                <w:sz w:val="20"/>
                <w:szCs w:val="20"/>
              </w:rPr>
            </w:pPr>
          </w:p>
        </w:tc>
        <w:tc>
          <w:tcPr>
            <w:tcW w:w="1920" w:type="dxa"/>
            <w:shd w:val="clear" w:color="auto" w:fill="C5FFDE"/>
            <w:vAlign w:val="bottom"/>
          </w:tcPr>
          <w:p w:rsidR="00AC12B4" w:rsidRDefault="00C27636">
            <w:pPr>
              <w:spacing w:line="238" w:lineRule="exact"/>
              <w:ind w:left="120"/>
              <w:rPr>
                <w:sz w:val="20"/>
                <w:szCs w:val="20"/>
              </w:rPr>
            </w:pPr>
            <w:r>
              <w:rPr>
                <w:rFonts w:ascii="Calibri" w:eastAsia="Calibri" w:hAnsi="Calibri" w:cs="Calibri"/>
                <w:color w:val="005022"/>
                <w:sz w:val="20"/>
                <w:szCs w:val="20"/>
              </w:rPr>
              <w:t>3ème enfant</w:t>
            </w:r>
          </w:p>
        </w:tc>
        <w:tc>
          <w:tcPr>
            <w:tcW w:w="2160" w:type="dxa"/>
            <w:shd w:val="clear" w:color="auto" w:fill="C5FFDE"/>
            <w:vAlign w:val="bottom"/>
          </w:tcPr>
          <w:p w:rsidR="00AC12B4" w:rsidRDefault="00C27636">
            <w:pPr>
              <w:spacing w:line="238" w:lineRule="exact"/>
              <w:ind w:left="60"/>
              <w:rPr>
                <w:sz w:val="20"/>
                <w:szCs w:val="20"/>
              </w:rPr>
            </w:pPr>
            <w:r>
              <w:rPr>
                <w:rFonts w:ascii="Calibri" w:eastAsia="Calibri" w:hAnsi="Calibri" w:cs="Calibri"/>
                <w:color w:val="005022"/>
                <w:sz w:val="20"/>
                <w:szCs w:val="20"/>
              </w:rPr>
              <w:t>€ 249,41</w:t>
            </w:r>
          </w:p>
        </w:tc>
      </w:tr>
      <w:tr w:rsidR="00AC12B4">
        <w:trPr>
          <w:trHeight w:val="127"/>
        </w:trPr>
        <w:tc>
          <w:tcPr>
            <w:tcW w:w="20" w:type="dxa"/>
            <w:tcBorders>
              <w:bottom w:val="single" w:sz="8" w:space="0" w:color="005022"/>
            </w:tcBorders>
            <w:vAlign w:val="bottom"/>
          </w:tcPr>
          <w:p w:rsidR="00AC12B4" w:rsidRDefault="00AC12B4">
            <w:pPr>
              <w:rPr>
                <w:sz w:val="11"/>
                <w:szCs w:val="11"/>
              </w:rPr>
            </w:pPr>
          </w:p>
        </w:tc>
        <w:tc>
          <w:tcPr>
            <w:tcW w:w="1920" w:type="dxa"/>
            <w:tcBorders>
              <w:bottom w:val="single" w:sz="8" w:space="0" w:color="005022"/>
            </w:tcBorders>
            <w:shd w:val="clear" w:color="auto" w:fill="C5FFDE"/>
            <w:vAlign w:val="bottom"/>
          </w:tcPr>
          <w:p w:rsidR="00AC12B4" w:rsidRDefault="00AC12B4">
            <w:pPr>
              <w:rPr>
                <w:sz w:val="11"/>
                <w:szCs w:val="11"/>
              </w:rPr>
            </w:pPr>
          </w:p>
        </w:tc>
        <w:tc>
          <w:tcPr>
            <w:tcW w:w="2160" w:type="dxa"/>
            <w:tcBorders>
              <w:bottom w:val="single" w:sz="8" w:space="0" w:color="005022"/>
            </w:tcBorders>
            <w:shd w:val="clear" w:color="auto" w:fill="C5FFDE"/>
            <w:vAlign w:val="bottom"/>
          </w:tcPr>
          <w:p w:rsidR="00AC12B4" w:rsidRDefault="00AC12B4">
            <w:pPr>
              <w:rPr>
                <w:sz w:val="11"/>
                <w:szCs w:val="11"/>
              </w:rPr>
            </w:pPr>
          </w:p>
        </w:tc>
      </w:tr>
    </w:tbl>
    <w:p w:rsidR="00AC12B4" w:rsidRDefault="00C27636">
      <w:pPr>
        <w:spacing w:line="20" w:lineRule="exact"/>
        <w:rPr>
          <w:rFonts w:ascii="Calibri" w:eastAsia="Calibri" w:hAnsi="Calibri" w:cs="Calibri"/>
          <w:sz w:val="20"/>
          <w:szCs w:val="20"/>
        </w:rPr>
      </w:pPr>
      <w:r>
        <w:rPr>
          <w:rFonts w:ascii="Calibri" w:eastAsia="Calibri" w:hAnsi="Calibri" w:cs="Calibri"/>
          <w:noProof/>
          <w:sz w:val="20"/>
          <w:szCs w:val="20"/>
        </w:rPr>
        <mc:AlternateContent>
          <mc:Choice Requires="wps">
            <w:drawing>
              <wp:anchor distT="0" distB="0" distL="114300" distR="114300" simplePos="0" relativeHeight="251794944" behindDoc="1" locked="0" layoutInCell="0" allowOverlap="1">
                <wp:simplePos x="0" y="0"/>
                <wp:positionH relativeFrom="column">
                  <wp:posOffset>14605</wp:posOffset>
                </wp:positionH>
                <wp:positionV relativeFrom="paragraph">
                  <wp:posOffset>-955040</wp:posOffset>
                </wp:positionV>
                <wp:extent cx="2590165" cy="0"/>
                <wp:effectExtent l="0" t="0" r="0" b="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0165" cy="4763"/>
                        </a:xfrm>
                        <a:prstGeom prst="line">
                          <a:avLst/>
                        </a:prstGeom>
                        <a:solidFill>
                          <a:srgbClr val="FFFFFF"/>
                        </a:solidFill>
                        <a:ln w="12192">
                          <a:solidFill>
                            <a:srgbClr val="005022"/>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75.1999pt" to="205.1pt,-75.1999pt" o:allowincell="f" strokecolor="#005022" strokeweight="0.96pt"/>
            </w:pict>
          </mc:Fallback>
        </mc:AlternateContent>
      </w:r>
    </w:p>
    <w:p w:rsidR="00AC12B4" w:rsidRDefault="00AC12B4">
      <w:pPr>
        <w:spacing w:line="385" w:lineRule="exact"/>
        <w:rPr>
          <w:rFonts w:ascii="Calibri" w:eastAsia="Calibri" w:hAnsi="Calibri" w:cs="Calibri"/>
          <w:sz w:val="20"/>
          <w:szCs w:val="20"/>
        </w:rPr>
      </w:pPr>
    </w:p>
    <w:p w:rsidR="00AC12B4" w:rsidRPr="00C27636" w:rsidRDefault="00C27636">
      <w:pPr>
        <w:spacing w:line="234" w:lineRule="auto"/>
        <w:ind w:left="140" w:right="100"/>
        <w:jc w:val="both"/>
        <w:rPr>
          <w:sz w:val="20"/>
          <w:szCs w:val="20"/>
          <w:lang w:val="fr-BE"/>
        </w:rPr>
      </w:pPr>
      <w:r w:rsidRPr="00C27636">
        <w:rPr>
          <w:rFonts w:ascii="Calibri" w:eastAsia="Calibri" w:hAnsi="Calibri" w:cs="Calibri"/>
          <w:sz w:val="20"/>
          <w:szCs w:val="20"/>
          <w:lang w:val="fr-BE"/>
        </w:rPr>
        <w:t>Des montants supplémentaires sont accordés avec l’âge et pour enfants porteurs d’un handicap ou affectation lourde ou si les parents appartiennent à</w:t>
      </w:r>
      <w:r w:rsidRPr="00C27636">
        <w:rPr>
          <w:rFonts w:ascii="Calibri" w:eastAsia="Calibri" w:hAnsi="Calibri" w:cs="Calibri"/>
          <w:sz w:val="20"/>
          <w:szCs w:val="20"/>
          <w:lang w:val="fr-BE"/>
        </w:rPr>
        <w:t xml:space="preserve"> une des catégories sociales suivantes: famille monoparentale, chômeur de longue durée, malade chronique, personne invalide, personne pensionnée, indépendant avec allocation suite à une faillite.</w:t>
      </w:r>
    </w:p>
    <w:p w:rsidR="00AC12B4" w:rsidRPr="00C27636" w:rsidRDefault="00AC12B4">
      <w:pPr>
        <w:spacing w:line="170" w:lineRule="exact"/>
        <w:rPr>
          <w:rFonts w:ascii="Calibri" w:eastAsia="Calibri" w:hAnsi="Calibri" w:cs="Calibri"/>
          <w:sz w:val="20"/>
          <w:szCs w:val="20"/>
          <w:lang w:val="fr-BE"/>
        </w:rPr>
      </w:pPr>
    </w:p>
    <w:p w:rsidR="00AC12B4" w:rsidRPr="00C27636" w:rsidRDefault="00C27636">
      <w:pPr>
        <w:spacing w:line="224" w:lineRule="auto"/>
        <w:ind w:left="140" w:right="100"/>
        <w:jc w:val="both"/>
        <w:rPr>
          <w:sz w:val="20"/>
          <w:szCs w:val="20"/>
          <w:lang w:val="fr-BE"/>
        </w:rPr>
      </w:pPr>
      <w:r w:rsidRPr="00C27636">
        <w:rPr>
          <w:rFonts w:ascii="Calibri" w:eastAsia="Calibri" w:hAnsi="Calibri" w:cs="Calibri"/>
          <w:sz w:val="20"/>
          <w:szCs w:val="20"/>
          <w:lang w:val="fr-BE"/>
        </w:rPr>
        <w:t xml:space="preserve">Depuis juillet 2014, il n’y a plus de différence selon le </w:t>
      </w:r>
      <w:r w:rsidRPr="00C27636">
        <w:rPr>
          <w:rFonts w:ascii="Calibri" w:eastAsia="Calibri" w:hAnsi="Calibri" w:cs="Calibri"/>
          <w:sz w:val="20"/>
          <w:szCs w:val="20"/>
          <w:lang w:val="fr-BE"/>
        </w:rPr>
        <w:t>statut socio-professionnel de la personne qui ouvre le droit (salarié,</w:t>
      </w:r>
    </w:p>
    <w:p w:rsidR="00AC12B4" w:rsidRPr="00C27636" w:rsidRDefault="00AC12B4">
      <w:pPr>
        <w:spacing w:line="48" w:lineRule="exact"/>
        <w:rPr>
          <w:rFonts w:ascii="Calibri" w:eastAsia="Calibri" w:hAnsi="Calibri" w:cs="Calibri"/>
          <w:sz w:val="20"/>
          <w:szCs w:val="20"/>
          <w:lang w:val="fr-BE"/>
        </w:rPr>
      </w:pPr>
    </w:p>
    <w:p w:rsidR="00AC12B4" w:rsidRPr="00C27636" w:rsidRDefault="00C27636">
      <w:pPr>
        <w:spacing w:line="217" w:lineRule="auto"/>
        <w:ind w:left="140" w:right="100"/>
        <w:jc w:val="both"/>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 xml:space="preserve">indépendant ou fonctionnaire). </w:t>
      </w:r>
      <w:hyperlink r:id="rId265">
        <w:r w:rsidRPr="00C27636">
          <w:rPr>
            <w:rFonts w:ascii="Calibri" w:eastAsia="Calibri" w:hAnsi="Calibri" w:cs="Calibri"/>
            <w:color w:val="0000FF"/>
            <w:sz w:val="20"/>
            <w:szCs w:val="20"/>
            <w:u w:val="single"/>
            <w:lang w:val="fr-BE"/>
          </w:rPr>
          <w:t>www.famifed.be</w:t>
        </w:r>
      </w:hyperlink>
    </w:p>
    <w:p w:rsidR="00AC12B4" w:rsidRPr="00C27636" w:rsidRDefault="00AC12B4">
      <w:pPr>
        <w:spacing w:line="168" w:lineRule="exact"/>
        <w:rPr>
          <w:rFonts w:ascii="Calibri" w:eastAsia="Calibri" w:hAnsi="Calibri" w:cs="Calibri"/>
          <w:sz w:val="20"/>
          <w:szCs w:val="20"/>
          <w:lang w:val="fr-BE"/>
        </w:rPr>
      </w:pPr>
    </w:p>
    <w:p w:rsidR="00AC12B4" w:rsidRDefault="00C27636">
      <w:pPr>
        <w:spacing w:line="228" w:lineRule="auto"/>
        <w:ind w:left="140" w:right="100"/>
        <w:jc w:val="both"/>
        <w:rPr>
          <w:sz w:val="20"/>
          <w:szCs w:val="20"/>
        </w:rPr>
      </w:pPr>
      <w:r w:rsidRPr="00C27636">
        <w:rPr>
          <w:rFonts w:ascii="Calibri" w:eastAsia="Calibri" w:hAnsi="Calibri" w:cs="Calibri"/>
          <w:sz w:val="20"/>
          <w:szCs w:val="20"/>
          <w:lang w:val="fr-BE"/>
        </w:rPr>
        <w:t xml:space="preserve">Depuis la sixième réforme de l’Etat, la compétence concernant les allocations familiales a été </w:t>
      </w:r>
      <w:r w:rsidRPr="00C27636">
        <w:rPr>
          <w:rFonts w:ascii="Calibri" w:eastAsia="Calibri" w:hAnsi="Calibri" w:cs="Calibri"/>
          <w:sz w:val="20"/>
          <w:szCs w:val="20"/>
          <w:lang w:val="fr-BE"/>
        </w:rPr>
        <w:t xml:space="preserve">régionalisée. </w:t>
      </w:r>
      <w:r>
        <w:rPr>
          <w:rFonts w:ascii="Calibri" w:eastAsia="Calibri" w:hAnsi="Calibri" w:cs="Calibri"/>
          <w:sz w:val="20"/>
          <w:szCs w:val="20"/>
        </w:rPr>
        <w:t>La réforme est toujours en cours.</w:t>
      </w:r>
    </w:p>
    <w:p w:rsidR="00AC12B4" w:rsidRDefault="00C27636">
      <w:pPr>
        <w:spacing w:line="20" w:lineRule="exact"/>
        <w:rPr>
          <w:rFonts w:ascii="Calibri" w:eastAsia="Calibri" w:hAnsi="Calibri" w:cs="Calibri"/>
          <w:sz w:val="20"/>
          <w:szCs w:val="20"/>
        </w:rPr>
      </w:pPr>
      <w:r>
        <w:rPr>
          <w:rFonts w:ascii="Calibri" w:eastAsia="Calibri" w:hAnsi="Calibri" w:cs="Calibri"/>
          <w:sz w:val="20"/>
          <w:szCs w:val="20"/>
        </w:rPr>
        <w:br w:type="column"/>
      </w: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200" w:lineRule="exact"/>
        <w:rPr>
          <w:rFonts w:ascii="Calibri" w:eastAsia="Calibri" w:hAnsi="Calibri" w:cs="Calibri"/>
          <w:sz w:val="20"/>
          <w:szCs w:val="20"/>
        </w:rPr>
      </w:pPr>
    </w:p>
    <w:p w:rsidR="00AC12B4" w:rsidRDefault="00AC12B4">
      <w:pPr>
        <w:spacing w:line="399" w:lineRule="exact"/>
        <w:rPr>
          <w:rFonts w:ascii="Calibri" w:eastAsia="Calibri" w:hAnsi="Calibri" w:cs="Calibri"/>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 respect de la vie familiale</w:t>
            </w:r>
          </w:p>
        </w:tc>
      </w:tr>
    </w:tbl>
    <w:p w:rsidR="00AC12B4" w:rsidRPr="00C27636" w:rsidRDefault="00C27636">
      <w:pPr>
        <w:spacing w:line="20" w:lineRule="exact"/>
        <w:rPr>
          <w:rFonts w:ascii="Calibri" w:eastAsia="Calibri" w:hAnsi="Calibri" w:cs="Calibri"/>
          <w:sz w:val="20"/>
          <w:szCs w:val="20"/>
          <w:lang w:val="fr-BE"/>
        </w:rPr>
      </w:pPr>
      <w:r>
        <w:rPr>
          <w:rFonts w:ascii="Calibri" w:eastAsia="Calibri" w:hAnsi="Calibri" w:cs="Calibri"/>
          <w:noProof/>
          <w:sz w:val="20"/>
          <w:szCs w:val="20"/>
        </w:rPr>
        <w:drawing>
          <wp:anchor distT="0" distB="0" distL="114300" distR="114300" simplePos="0" relativeHeight="251795968" behindDoc="1" locked="0" layoutInCell="0" allowOverlap="1">
            <wp:simplePos x="0" y="0"/>
            <wp:positionH relativeFrom="column">
              <wp:posOffset>-264795</wp:posOffset>
            </wp:positionH>
            <wp:positionV relativeFrom="paragraph">
              <wp:posOffset>-9980930</wp:posOffset>
            </wp:positionV>
            <wp:extent cx="791210" cy="10908665"/>
            <wp:effectExtent l="0" t="0" r="0" b="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266">
                      <a:extLst/>
                    </a:blip>
                    <a:srcRect/>
                    <a:stretch>
                      <a:fillRect/>
                    </a:stretch>
                  </pic:blipFill>
                  <pic:spPr bwMode="auto">
                    <a:xfrm>
                      <a:off x="0" y="0"/>
                      <a:ext cx="79121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8" w:bottom="659" w:left="1440" w:header="0" w:footer="0" w:gutter="0"/>
          <w:cols w:num="3" w:space="720" w:equalWidth="0">
            <w:col w:w="4960" w:space="60"/>
            <w:col w:w="4100" w:space="689"/>
            <w:col w:w="330"/>
          </w:cols>
        </w:sectPr>
      </w:pPr>
    </w:p>
    <w:p w:rsidR="00AC12B4" w:rsidRPr="00C27636" w:rsidRDefault="00AC12B4">
      <w:pPr>
        <w:spacing w:line="20" w:lineRule="exact"/>
        <w:rPr>
          <w:sz w:val="20"/>
          <w:szCs w:val="20"/>
          <w:lang w:val="fr-BE"/>
        </w:rPr>
      </w:pPr>
      <w:bookmarkStart w:id="157" w:name="page158"/>
      <w:bookmarkEnd w:id="157"/>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C27636">
      <w:pPr>
        <w:spacing w:line="168" w:lineRule="exact"/>
        <w:rPr>
          <w:sz w:val="20"/>
          <w:szCs w:val="20"/>
          <w:lang w:val="fr-BE"/>
        </w:rPr>
      </w:pPr>
      <w:bookmarkStart w:id="158" w:name="page159"/>
      <w:bookmarkEnd w:id="158"/>
      <w:r>
        <w:rPr>
          <w:noProof/>
          <w:sz w:val="20"/>
          <w:szCs w:val="20"/>
        </w:rPr>
        <w:lastRenderedPageBreak/>
        <w:drawing>
          <wp:anchor distT="0" distB="0" distL="114300" distR="114300" simplePos="0" relativeHeight="251796992" behindDoc="1" locked="0" layoutInCell="0" allowOverlap="1">
            <wp:simplePos x="0" y="0"/>
            <wp:positionH relativeFrom="page">
              <wp:posOffset>5286375</wp:posOffset>
            </wp:positionH>
            <wp:positionV relativeFrom="page">
              <wp:posOffset>0</wp:posOffset>
            </wp:positionV>
            <wp:extent cx="2382520" cy="10908665"/>
            <wp:effectExtent l="0" t="0" r="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267">
                      <a:clrChange>
                        <a:clrFrom>
                          <a:srgbClr val="FFFFFF"/>
                        </a:clrFrom>
                        <a:clrTo>
                          <a:srgbClr val="FFFFFF">
                            <a:alpha val="0"/>
                          </a:srgbClr>
                        </a:clrTo>
                      </a:clrChange>
                      <a:extLst/>
                    </a:blip>
                    <a:srcRect/>
                    <a:stretch>
                      <a:fillRect/>
                    </a:stretch>
                  </pic:blipFill>
                  <pic:spPr bwMode="auto">
                    <a:xfrm>
                      <a:off x="0" y="0"/>
                      <a:ext cx="2382520" cy="10908665"/>
                    </a:xfrm>
                    <a:prstGeom prst="rect">
                      <a:avLst/>
                    </a:prstGeom>
                    <a:noFill/>
                  </pic:spPr>
                </pic:pic>
              </a:graphicData>
            </a:graphic>
          </wp:anchor>
        </w:drawing>
      </w:r>
    </w:p>
    <w:p w:rsidR="00AC12B4" w:rsidRDefault="00C27636">
      <w:pPr>
        <w:ind w:left="1460"/>
        <w:rPr>
          <w:sz w:val="20"/>
          <w:szCs w:val="20"/>
        </w:rPr>
      </w:pPr>
      <w:r>
        <w:rPr>
          <w:rFonts w:ascii="Comic Sans MS" w:eastAsia="Comic Sans MS" w:hAnsi="Comic Sans MS" w:cs="Comic Sans MS"/>
          <w:color w:val="00923D"/>
          <w:sz w:val="40"/>
          <w:szCs w:val="40"/>
        </w:rPr>
        <w:t>F2. Equilibre travail/famille</w:t>
      </w:r>
    </w:p>
    <w:p w:rsidR="00AC12B4" w:rsidRDefault="00AC12B4">
      <w:pPr>
        <w:spacing w:line="27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820"/>
        <w:gridCol w:w="220"/>
        <w:gridCol w:w="240"/>
        <w:gridCol w:w="340"/>
        <w:gridCol w:w="480"/>
        <w:gridCol w:w="160"/>
        <w:gridCol w:w="500"/>
        <w:gridCol w:w="280"/>
        <w:gridCol w:w="260"/>
        <w:gridCol w:w="700"/>
        <w:gridCol w:w="180"/>
        <w:gridCol w:w="860"/>
        <w:gridCol w:w="300"/>
        <w:gridCol w:w="180"/>
        <w:gridCol w:w="160"/>
        <w:gridCol w:w="340"/>
        <w:gridCol w:w="700"/>
        <w:gridCol w:w="100"/>
        <w:gridCol w:w="300"/>
        <w:gridCol w:w="380"/>
        <w:gridCol w:w="240"/>
        <w:gridCol w:w="480"/>
        <w:gridCol w:w="360"/>
        <w:gridCol w:w="520"/>
        <w:gridCol w:w="360"/>
        <w:gridCol w:w="260"/>
        <w:gridCol w:w="20"/>
      </w:tblGrid>
      <w:tr w:rsidR="00AC12B4" w:rsidRPr="00C27636">
        <w:trPr>
          <w:trHeight w:val="137"/>
        </w:trPr>
        <w:tc>
          <w:tcPr>
            <w:tcW w:w="1820" w:type="dxa"/>
            <w:tcBorders>
              <w:bottom w:val="single" w:sz="8" w:space="0" w:color="005022"/>
            </w:tcBorders>
            <w:vAlign w:val="bottom"/>
          </w:tcPr>
          <w:p w:rsidR="00AC12B4" w:rsidRDefault="00AC12B4">
            <w:pPr>
              <w:rPr>
                <w:sz w:val="11"/>
                <w:szCs w:val="11"/>
              </w:rPr>
            </w:pPr>
          </w:p>
        </w:tc>
        <w:tc>
          <w:tcPr>
            <w:tcW w:w="220" w:type="dxa"/>
            <w:tcBorders>
              <w:bottom w:val="single" w:sz="8" w:space="0" w:color="005022"/>
            </w:tcBorders>
            <w:vAlign w:val="bottom"/>
          </w:tcPr>
          <w:p w:rsidR="00AC12B4" w:rsidRDefault="00AC12B4">
            <w:pPr>
              <w:rPr>
                <w:sz w:val="11"/>
                <w:szCs w:val="11"/>
              </w:rPr>
            </w:pPr>
          </w:p>
        </w:tc>
        <w:tc>
          <w:tcPr>
            <w:tcW w:w="240" w:type="dxa"/>
            <w:tcBorders>
              <w:bottom w:val="single" w:sz="8" w:space="0" w:color="005022"/>
            </w:tcBorders>
            <w:vAlign w:val="bottom"/>
          </w:tcPr>
          <w:p w:rsidR="00AC12B4" w:rsidRDefault="00AC12B4">
            <w:pPr>
              <w:rPr>
                <w:sz w:val="11"/>
                <w:szCs w:val="11"/>
              </w:rPr>
            </w:pPr>
          </w:p>
        </w:tc>
        <w:tc>
          <w:tcPr>
            <w:tcW w:w="340" w:type="dxa"/>
            <w:tcBorders>
              <w:bottom w:val="single" w:sz="8" w:space="0" w:color="005022"/>
            </w:tcBorders>
            <w:vAlign w:val="bottom"/>
          </w:tcPr>
          <w:p w:rsidR="00AC12B4" w:rsidRDefault="00AC12B4">
            <w:pPr>
              <w:rPr>
                <w:sz w:val="11"/>
                <w:szCs w:val="11"/>
              </w:rPr>
            </w:pPr>
          </w:p>
        </w:tc>
        <w:tc>
          <w:tcPr>
            <w:tcW w:w="480" w:type="dxa"/>
            <w:tcBorders>
              <w:bottom w:val="single" w:sz="8" w:space="0" w:color="005022"/>
            </w:tcBorders>
            <w:vAlign w:val="bottom"/>
          </w:tcPr>
          <w:p w:rsidR="00AC12B4" w:rsidRDefault="00AC12B4">
            <w:pPr>
              <w:rPr>
                <w:sz w:val="11"/>
                <w:szCs w:val="11"/>
              </w:rPr>
            </w:pPr>
          </w:p>
        </w:tc>
        <w:tc>
          <w:tcPr>
            <w:tcW w:w="160" w:type="dxa"/>
            <w:tcBorders>
              <w:bottom w:val="single" w:sz="8" w:space="0" w:color="005022"/>
            </w:tcBorders>
            <w:vAlign w:val="bottom"/>
          </w:tcPr>
          <w:p w:rsidR="00AC12B4" w:rsidRDefault="00AC12B4">
            <w:pPr>
              <w:rPr>
                <w:sz w:val="11"/>
                <w:szCs w:val="11"/>
              </w:rPr>
            </w:pPr>
          </w:p>
        </w:tc>
        <w:tc>
          <w:tcPr>
            <w:tcW w:w="500" w:type="dxa"/>
            <w:tcBorders>
              <w:bottom w:val="single" w:sz="8" w:space="0" w:color="005022"/>
            </w:tcBorders>
            <w:vAlign w:val="bottom"/>
          </w:tcPr>
          <w:p w:rsidR="00AC12B4" w:rsidRDefault="00AC12B4">
            <w:pPr>
              <w:rPr>
                <w:sz w:val="11"/>
                <w:szCs w:val="11"/>
              </w:rPr>
            </w:pPr>
          </w:p>
        </w:tc>
        <w:tc>
          <w:tcPr>
            <w:tcW w:w="280" w:type="dxa"/>
            <w:tcBorders>
              <w:bottom w:val="single" w:sz="8" w:space="0" w:color="005022"/>
            </w:tcBorders>
            <w:vAlign w:val="bottom"/>
          </w:tcPr>
          <w:p w:rsidR="00AC12B4" w:rsidRDefault="00AC12B4">
            <w:pPr>
              <w:rPr>
                <w:sz w:val="11"/>
                <w:szCs w:val="11"/>
              </w:rPr>
            </w:pPr>
          </w:p>
        </w:tc>
        <w:tc>
          <w:tcPr>
            <w:tcW w:w="260" w:type="dxa"/>
            <w:tcBorders>
              <w:bottom w:val="single" w:sz="8" w:space="0" w:color="005022"/>
            </w:tcBorders>
            <w:vAlign w:val="bottom"/>
          </w:tcPr>
          <w:p w:rsidR="00AC12B4" w:rsidRDefault="00AC12B4">
            <w:pPr>
              <w:rPr>
                <w:sz w:val="11"/>
                <w:szCs w:val="11"/>
              </w:rPr>
            </w:pPr>
          </w:p>
        </w:tc>
        <w:tc>
          <w:tcPr>
            <w:tcW w:w="700" w:type="dxa"/>
            <w:tcBorders>
              <w:bottom w:val="single" w:sz="8" w:space="0" w:color="005022"/>
            </w:tcBorders>
            <w:vAlign w:val="bottom"/>
          </w:tcPr>
          <w:p w:rsidR="00AC12B4" w:rsidRDefault="00AC12B4">
            <w:pPr>
              <w:rPr>
                <w:sz w:val="11"/>
                <w:szCs w:val="11"/>
              </w:rPr>
            </w:pPr>
          </w:p>
        </w:tc>
        <w:tc>
          <w:tcPr>
            <w:tcW w:w="180" w:type="dxa"/>
            <w:tcBorders>
              <w:bottom w:val="single" w:sz="8" w:space="0" w:color="005022"/>
            </w:tcBorders>
            <w:vAlign w:val="bottom"/>
          </w:tcPr>
          <w:p w:rsidR="00AC12B4" w:rsidRDefault="00AC12B4">
            <w:pPr>
              <w:rPr>
                <w:sz w:val="11"/>
                <w:szCs w:val="11"/>
              </w:rPr>
            </w:pPr>
          </w:p>
        </w:tc>
        <w:tc>
          <w:tcPr>
            <w:tcW w:w="860" w:type="dxa"/>
            <w:tcBorders>
              <w:bottom w:val="single" w:sz="8" w:space="0" w:color="005022"/>
            </w:tcBorders>
            <w:vAlign w:val="bottom"/>
          </w:tcPr>
          <w:p w:rsidR="00AC12B4" w:rsidRDefault="00AC12B4">
            <w:pPr>
              <w:rPr>
                <w:sz w:val="11"/>
                <w:szCs w:val="11"/>
              </w:rPr>
            </w:pPr>
          </w:p>
        </w:tc>
        <w:tc>
          <w:tcPr>
            <w:tcW w:w="300" w:type="dxa"/>
            <w:tcBorders>
              <w:bottom w:val="single" w:sz="8" w:space="0" w:color="005022"/>
            </w:tcBorders>
            <w:vAlign w:val="bottom"/>
          </w:tcPr>
          <w:p w:rsidR="00AC12B4" w:rsidRDefault="00AC12B4">
            <w:pPr>
              <w:rPr>
                <w:sz w:val="11"/>
                <w:szCs w:val="11"/>
              </w:rPr>
            </w:pPr>
          </w:p>
        </w:tc>
        <w:tc>
          <w:tcPr>
            <w:tcW w:w="180" w:type="dxa"/>
            <w:tcBorders>
              <w:bottom w:val="single" w:sz="8" w:space="0" w:color="005022"/>
            </w:tcBorders>
            <w:vAlign w:val="bottom"/>
          </w:tcPr>
          <w:p w:rsidR="00AC12B4" w:rsidRDefault="00AC12B4">
            <w:pPr>
              <w:rPr>
                <w:sz w:val="11"/>
                <w:szCs w:val="11"/>
              </w:rPr>
            </w:pPr>
          </w:p>
        </w:tc>
        <w:tc>
          <w:tcPr>
            <w:tcW w:w="160" w:type="dxa"/>
            <w:tcBorders>
              <w:bottom w:val="single" w:sz="8" w:space="0" w:color="005022"/>
            </w:tcBorders>
            <w:vAlign w:val="bottom"/>
          </w:tcPr>
          <w:p w:rsidR="00AC12B4" w:rsidRDefault="00AC12B4">
            <w:pPr>
              <w:rPr>
                <w:sz w:val="11"/>
                <w:szCs w:val="11"/>
              </w:rPr>
            </w:pPr>
          </w:p>
        </w:tc>
        <w:tc>
          <w:tcPr>
            <w:tcW w:w="3420" w:type="dxa"/>
            <w:gridSpan w:val="9"/>
            <w:vMerge w:val="restart"/>
            <w:vAlign w:val="bottom"/>
          </w:tcPr>
          <w:p w:rsidR="00AC12B4" w:rsidRPr="00C27636" w:rsidRDefault="00C27636">
            <w:pPr>
              <w:ind w:right="71"/>
              <w:jc w:val="right"/>
              <w:rPr>
                <w:sz w:val="20"/>
                <w:szCs w:val="20"/>
                <w:lang w:val="fr-BE"/>
              </w:rPr>
            </w:pPr>
            <w:r w:rsidRPr="00C27636">
              <w:rPr>
                <w:rFonts w:ascii="Calibri" w:eastAsia="Calibri" w:hAnsi="Calibri" w:cs="Calibri"/>
                <w:lang w:val="fr-BE"/>
              </w:rPr>
              <w:t>consacre  une  partie</w:t>
            </w:r>
            <w:r w:rsidRPr="00C27636">
              <w:rPr>
                <w:rFonts w:ascii="Calibri" w:eastAsia="Calibri" w:hAnsi="Calibri" w:cs="Calibri"/>
                <w:lang w:val="fr-BE"/>
              </w:rPr>
              <w:t xml:space="preserve">  de  son</w:t>
            </w:r>
          </w:p>
        </w:tc>
        <w:tc>
          <w:tcPr>
            <w:tcW w:w="360" w:type="dxa"/>
            <w:vAlign w:val="bottom"/>
          </w:tcPr>
          <w:p w:rsidR="00AC12B4" w:rsidRPr="00C27636" w:rsidRDefault="00AC12B4">
            <w:pPr>
              <w:rPr>
                <w:sz w:val="11"/>
                <w:szCs w:val="11"/>
                <w:lang w:val="fr-BE"/>
              </w:rPr>
            </w:pPr>
          </w:p>
        </w:tc>
        <w:tc>
          <w:tcPr>
            <w:tcW w:w="260" w:type="dxa"/>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rsidRPr="00C27636">
        <w:trPr>
          <w:trHeight w:val="111"/>
        </w:trPr>
        <w:tc>
          <w:tcPr>
            <w:tcW w:w="1820" w:type="dxa"/>
            <w:tcBorders>
              <w:left w:val="single" w:sz="8" w:space="0" w:color="005022"/>
            </w:tcBorders>
            <w:shd w:val="clear" w:color="auto" w:fill="00923D"/>
            <w:vAlign w:val="bottom"/>
          </w:tcPr>
          <w:p w:rsidR="00AC12B4" w:rsidRPr="00C27636" w:rsidRDefault="00AC12B4">
            <w:pPr>
              <w:rPr>
                <w:sz w:val="9"/>
                <w:szCs w:val="9"/>
                <w:lang w:val="fr-BE"/>
              </w:rPr>
            </w:pPr>
          </w:p>
        </w:tc>
        <w:tc>
          <w:tcPr>
            <w:tcW w:w="220" w:type="dxa"/>
            <w:shd w:val="clear" w:color="auto" w:fill="00923D"/>
            <w:vAlign w:val="bottom"/>
          </w:tcPr>
          <w:p w:rsidR="00AC12B4" w:rsidRPr="00C27636" w:rsidRDefault="00AC12B4">
            <w:pPr>
              <w:rPr>
                <w:sz w:val="9"/>
                <w:szCs w:val="9"/>
                <w:lang w:val="fr-BE"/>
              </w:rPr>
            </w:pPr>
          </w:p>
        </w:tc>
        <w:tc>
          <w:tcPr>
            <w:tcW w:w="240" w:type="dxa"/>
            <w:shd w:val="clear" w:color="auto" w:fill="00923D"/>
            <w:vAlign w:val="bottom"/>
          </w:tcPr>
          <w:p w:rsidR="00AC12B4" w:rsidRPr="00C27636" w:rsidRDefault="00AC12B4">
            <w:pPr>
              <w:rPr>
                <w:sz w:val="9"/>
                <w:szCs w:val="9"/>
                <w:lang w:val="fr-BE"/>
              </w:rPr>
            </w:pPr>
          </w:p>
        </w:tc>
        <w:tc>
          <w:tcPr>
            <w:tcW w:w="340" w:type="dxa"/>
            <w:shd w:val="clear" w:color="auto" w:fill="00923D"/>
            <w:vAlign w:val="bottom"/>
          </w:tcPr>
          <w:p w:rsidR="00AC12B4" w:rsidRPr="00C27636" w:rsidRDefault="00AC12B4">
            <w:pPr>
              <w:rPr>
                <w:sz w:val="9"/>
                <w:szCs w:val="9"/>
                <w:lang w:val="fr-BE"/>
              </w:rPr>
            </w:pPr>
          </w:p>
        </w:tc>
        <w:tc>
          <w:tcPr>
            <w:tcW w:w="480" w:type="dxa"/>
            <w:shd w:val="clear" w:color="auto" w:fill="00923D"/>
            <w:vAlign w:val="bottom"/>
          </w:tcPr>
          <w:p w:rsidR="00AC12B4" w:rsidRPr="00C27636" w:rsidRDefault="00AC12B4">
            <w:pPr>
              <w:rPr>
                <w:sz w:val="9"/>
                <w:szCs w:val="9"/>
                <w:lang w:val="fr-BE"/>
              </w:rPr>
            </w:pPr>
          </w:p>
        </w:tc>
        <w:tc>
          <w:tcPr>
            <w:tcW w:w="160" w:type="dxa"/>
            <w:tcBorders>
              <w:right w:val="single" w:sz="8" w:space="0" w:color="00923D"/>
            </w:tcBorders>
            <w:shd w:val="clear" w:color="auto" w:fill="00923D"/>
            <w:vAlign w:val="bottom"/>
          </w:tcPr>
          <w:p w:rsidR="00AC12B4" w:rsidRPr="00C27636" w:rsidRDefault="00AC12B4">
            <w:pPr>
              <w:rPr>
                <w:sz w:val="9"/>
                <w:szCs w:val="9"/>
                <w:lang w:val="fr-BE"/>
              </w:rPr>
            </w:pPr>
          </w:p>
        </w:tc>
        <w:tc>
          <w:tcPr>
            <w:tcW w:w="500" w:type="dxa"/>
            <w:shd w:val="clear" w:color="auto" w:fill="00923D"/>
            <w:vAlign w:val="bottom"/>
          </w:tcPr>
          <w:p w:rsidR="00AC12B4" w:rsidRPr="00C27636" w:rsidRDefault="00AC12B4">
            <w:pPr>
              <w:rPr>
                <w:sz w:val="9"/>
                <w:szCs w:val="9"/>
                <w:lang w:val="fr-BE"/>
              </w:rPr>
            </w:pPr>
          </w:p>
        </w:tc>
        <w:tc>
          <w:tcPr>
            <w:tcW w:w="280" w:type="dxa"/>
            <w:shd w:val="clear" w:color="auto" w:fill="00923D"/>
            <w:vAlign w:val="bottom"/>
          </w:tcPr>
          <w:p w:rsidR="00AC12B4" w:rsidRPr="00C27636" w:rsidRDefault="00AC12B4">
            <w:pPr>
              <w:rPr>
                <w:sz w:val="9"/>
                <w:szCs w:val="9"/>
                <w:lang w:val="fr-BE"/>
              </w:rPr>
            </w:pPr>
          </w:p>
        </w:tc>
        <w:tc>
          <w:tcPr>
            <w:tcW w:w="260" w:type="dxa"/>
            <w:shd w:val="clear" w:color="auto" w:fill="00923D"/>
            <w:vAlign w:val="bottom"/>
          </w:tcPr>
          <w:p w:rsidR="00AC12B4" w:rsidRPr="00C27636" w:rsidRDefault="00AC12B4">
            <w:pPr>
              <w:rPr>
                <w:sz w:val="9"/>
                <w:szCs w:val="9"/>
                <w:lang w:val="fr-BE"/>
              </w:rPr>
            </w:pPr>
          </w:p>
        </w:tc>
        <w:tc>
          <w:tcPr>
            <w:tcW w:w="700" w:type="dxa"/>
            <w:shd w:val="clear" w:color="auto" w:fill="00923D"/>
            <w:vAlign w:val="bottom"/>
          </w:tcPr>
          <w:p w:rsidR="00AC12B4" w:rsidRPr="00C27636" w:rsidRDefault="00AC12B4">
            <w:pPr>
              <w:rPr>
                <w:sz w:val="9"/>
                <w:szCs w:val="9"/>
                <w:lang w:val="fr-BE"/>
              </w:rPr>
            </w:pPr>
          </w:p>
        </w:tc>
        <w:tc>
          <w:tcPr>
            <w:tcW w:w="180" w:type="dxa"/>
            <w:shd w:val="clear" w:color="auto" w:fill="00923D"/>
            <w:vAlign w:val="bottom"/>
          </w:tcPr>
          <w:p w:rsidR="00AC12B4" w:rsidRPr="00C27636" w:rsidRDefault="00AC12B4">
            <w:pPr>
              <w:rPr>
                <w:sz w:val="9"/>
                <w:szCs w:val="9"/>
                <w:lang w:val="fr-BE"/>
              </w:rPr>
            </w:pPr>
          </w:p>
        </w:tc>
        <w:tc>
          <w:tcPr>
            <w:tcW w:w="860" w:type="dxa"/>
            <w:shd w:val="clear" w:color="auto" w:fill="00923D"/>
            <w:vAlign w:val="bottom"/>
          </w:tcPr>
          <w:p w:rsidR="00AC12B4" w:rsidRPr="00C27636" w:rsidRDefault="00AC12B4">
            <w:pPr>
              <w:rPr>
                <w:sz w:val="9"/>
                <w:szCs w:val="9"/>
                <w:lang w:val="fr-BE"/>
              </w:rPr>
            </w:pPr>
          </w:p>
        </w:tc>
        <w:tc>
          <w:tcPr>
            <w:tcW w:w="300" w:type="dxa"/>
            <w:shd w:val="clear" w:color="auto" w:fill="00923D"/>
            <w:vAlign w:val="bottom"/>
          </w:tcPr>
          <w:p w:rsidR="00AC12B4" w:rsidRPr="00C27636" w:rsidRDefault="00AC12B4">
            <w:pPr>
              <w:rPr>
                <w:sz w:val="9"/>
                <w:szCs w:val="9"/>
                <w:lang w:val="fr-BE"/>
              </w:rPr>
            </w:pPr>
          </w:p>
        </w:tc>
        <w:tc>
          <w:tcPr>
            <w:tcW w:w="180" w:type="dxa"/>
            <w:shd w:val="clear" w:color="auto" w:fill="00923D"/>
            <w:vAlign w:val="bottom"/>
          </w:tcPr>
          <w:p w:rsidR="00AC12B4" w:rsidRPr="00C27636" w:rsidRDefault="00AC12B4">
            <w:pPr>
              <w:rPr>
                <w:sz w:val="9"/>
                <w:szCs w:val="9"/>
                <w:lang w:val="fr-BE"/>
              </w:rPr>
            </w:pPr>
          </w:p>
        </w:tc>
        <w:tc>
          <w:tcPr>
            <w:tcW w:w="160" w:type="dxa"/>
            <w:tcBorders>
              <w:right w:val="single" w:sz="8" w:space="0" w:color="005022"/>
            </w:tcBorders>
            <w:shd w:val="clear" w:color="auto" w:fill="00923D"/>
            <w:vAlign w:val="bottom"/>
          </w:tcPr>
          <w:p w:rsidR="00AC12B4" w:rsidRPr="00C27636" w:rsidRDefault="00AC12B4">
            <w:pPr>
              <w:rPr>
                <w:sz w:val="9"/>
                <w:szCs w:val="9"/>
                <w:lang w:val="fr-BE"/>
              </w:rPr>
            </w:pPr>
          </w:p>
        </w:tc>
        <w:tc>
          <w:tcPr>
            <w:tcW w:w="3420" w:type="dxa"/>
            <w:gridSpan w:val="9"/>
            <w:vMerge/>
            <w:vAlign w:val="bottom"/>
          </w:tcPr>
          <w:p w:rsidR="00AC12B4" w:rsidRPr="00C27636" w:rsidRDefault="00AC12B4">
            <w:pPr>
              <w:rPr>
                <w:sz w:val="9"/>
                <w:szCs w:val="9"/>
                <w:lang w:val="fr-BE"/>
              </w:rPr>
            </w:pPr>
          </w:p>
        </w:tc>
        <w:tc>
          <w:tcPr>
            <w:tcW w:w="360" w:type="dxa"/>
            <w:vAlign w:val="bottom"/>
          </w:tcPr>
          <w:p w:rsidR="00AC12B4" w:rsidRPr="00C27636" w:rsidRDefault="00AC12B4">
            <w:pPr>
              <w:rPr>
                <w:sz w:val="9"/>
                <w:szCs w:val="9"/>
                <w:lang w:val="fr-BE"/>
              </w:rPr>
            </w:pPr>
          </w:p>
        </w:tc>
        <w:tc>
          <w:tcPr>
            <w:tcW w:w="26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269"/>
        </w:trPr>
        <w:tc>
          <w:tcPr>
            <w:tcW w:w="1820" w:type="dxa"/>
            <w:vMerge w:val="restart"/>
            <w:tcBorders>
              <w:left w:val="single" w:sz="8" w:space="0" w:color="005022"/>
            </w:tcBorders>
            <w:shd w:val="clear" w:color="auto" w:fill="00923D"/>
            <w:vAlign w:val="bottom"/>
          </w:tcPr>
          <w:p w:rsidR="00AC12B4" w:rsidRDefault="00C27636">
            <w:pPr>
              <w:ind w:left="580"/>
              <w:rPr>
                <w:sz w:val="20"/>
                <w:szCs w:val="20"/>
              </w:rPr>
            </w:pPr>
            <w:r>
              <w:rPr>
                <w:rFonts w:ascii="Calibri" w:eastAsia="Calibri" w:hAnsi="Calibri" w:cs="Calibri"/>
                <w:i/>
                <w:iCs/>
                <w:color w:val="EAF1DD"/>
              </w:rPr>
              <w:t>Article CIDE</w:t>
            </w:r>
          </w:p>
        </w:tc>
        <w:tc>
          <w:tcPr>
            <w:tcW w:w="220" w:type="dxa"/>
            <w:shd w:val="clear" w:color="auto" w:fill="00923D"/>
            <w:vAlign w:val="bottom"/>
          </w:tcPr>
          <w:p w:rsidR="00AC12B4" w:rsidRDefault="00AC12B4">
            <w:pPr>
              <w:rPr>
                <w:sz w:val="23"/>
                <w:szCs w:val="23"/>
              </w:rPr>
            </w:pPr>
          </w:p>
        </w:tc>
        <w:tc>
          <w:tcPr>
            <w:tcW w:w="240" w:type="dxa"/>
            <w:shd w:val="clear" w:color="auto" w:fill="00923D"/>
            <w:vAlign w:val="bottom"/>
          </w:tcPr>
          <w:p w:rsidR="00AC12B4" w:rsidRDefault="00AC12B4">
            <w:pPr>
              <w:rPr>
                <w:sz w:val="23"/>
                <w:szCs w:val="23"/>
              </w:rPr>
            </w:pPr>
          </w:p>
        </w:tc>
        <w:tc>
          <w:tcPr>
            <w:tcW w:w="340" w:type="dxa"/>
            <w:shd w:val="clear" w:color="auto" w:fill="00923D"/>
            <w:vAlign w:val="bottom"/>
          </w:tcPr>
          <w:p w:rsidR="00AC12B4" w:rsidRDefault="00AC12B4">
            <w:pPr>
              <w:rPr>
                <w:sz w:val="23"/>
                <w:szCs w:val="23"/>
              </w:rPr>
            </w:pPr>
          </w:p>
        </w:tc>
        <w:tc>
          <w:tcPr>
            <w:tcW w:w="480" w:type="dxa"/>
            <w:shd w:val="clear" w:color="auto" w:fill="00923D"/>
            <w:vAlign w:val="bottom"/>
          </w:tcPr>
          <w:p w:rsidR="00AC12B4" w:rsidRDefault="00AC12B4">
            <w:pPr>
              <w:rPr>
                <w:sz w:val="23"/>
                <w:szCs w:val="23"/>
              </w:rPr>
            </w:pPr>
          </w:p>
        </w:tc>
        <w:tc>
          <w:tcPr>
            <w:tcW w:w="160" w:type="dxa"/>
            <w:tcBorders>
              <w:right w:val="single" w:sz="8" w:space="0" w:color="00923D"/>
            </w:tcBorders>
            <w:shd w:val="clear" w:color="auto" w:fill="00923D"/>
            <w:vAlign w:val="bottom"/>
          </w:tcPr>
          <w:p w:rsidR="00AC12B4" w:rsidRDefault="00AC12B4">
            <w:pPr>
              <w:rPr>
                <w:sz w:val="23"/>
                <w:szCs w:val="23"/>
              </w:rPr>
            </w:pPr>
          </w:p>
        </w:tc>
        <w:tc>
          <w:tcPr>
            <w:tcW w:w="500" w:type="dxa"/>
            <w:shd w:val="clear" w:color="auto" w:fill="00923D"/>
            <w:vAlign w:val="bottom"/>
          </w:tcPr>
          <w:p w:rsidR="00AC12B4" w:rsidRDefault="00AC12B4">
            <w:pPr>
              <w:rPr>
                <w:sz w:val="23"/>
                <w:szCs w:val="23"/>
              </w:rPr>
            </w:pPr>
          </w:p>
        </w:tc>
        <w:tc>
          <w:tcPr>
            <w:tcW w:w="280" w:type="dxa"/>
            <w:shd w:val="clear" w:color="auto" w:fill="00923D"/>
            <w:vAlign w:val="bottom"/>
          </w:tcPr>
          <w:p w:rsidR="00AC12B4" w:rsidRDefault="00AC12B4">
            <w:pPr>
              <w:rPr>
                <w:sz w:val="23"/>
                <w:szCs w:val="23"/>
              </w:rPr>
            </w:pPr>
          </w:p>
        </w:tc>
        <w:tc>
          <w:tcPr>
            <w:tcW w:w="260" w:type="dxa"/>
            <w:shd w:val="clear" w:color="auto" w:fill="00923D"/>
            <w:vAlign w:val="bottom"/>
          </w:tcPr>
          <w:p w:rsidR="00AC12B4" w:rsidRDefault="00AC12B4">
            <w:pPr>
              <w:rPr>
                <w:sz w:val="23"/>
                <w:szCs w:val="23"/>
              </w:rPr>
            </w:pPr>
          </w:p>
        </w:tc>
        <w:tc>
          <w:tcPr>
            <w:tcW w:w="700" w:type="dxa"/>
            <w:shd w:val="clear" w:color="auto" w:fill="00923D"/>
            <w:vAlign w:val="bottom"/>
          </w:tcPr>
          <w:p w:rsidR="00AC12B4" w:rsidRDefault="00AC12B4">
            <w:pPr>
              <w:rPr>
                <w:sz w:val="23"/>
                <w:szCs w:val="23"/>
              </w:rPr>
            </w:pPr>
          </w:p>
        </w:tc>
        <w:tc>
          <w:tcPr>
            <w:tcW w:w="180" w:type="dxa"/>
            <w:shd w:val="clear" w:color="auto" w:fill="00923D"/>
            <w:vAlign w:val="bottom"/>
          </w:tcPr>
          <w:p w:rsidR="00AC12B4" w:rsidRDefault="00AC12B4">
            <w:pPr>
              <w:rPr>
                <w:sz w:val="23"/>
                <w:szCs w:val="23"/>
              </w:rPr>
            </w:pPr>
          </w:p>
        </w:tc>
        <w:tc>
          <w:tcPr>
            <w:tcW w:w="860" w:type="dxa"/>
            <w:shd w:val="clear" w:color="auto" w:fill="00923D"/>
            <w:vAlign w:val="bottom"/>
          </w:tcPr>
          <w:p w:rsidR="00AC12B4" w:rsidRDefault="00AC12B4">
            <w:pPr>
              <w:rPr>
                <w:sz w:val="23"/>
                <w:szCs w:val="23"/>
              </w:rPr>
            </w:pPr>
          </w:p>
        </w:tc>
        <w:tc>
          <w:tcPr>
            <w:tcW w:w="300" w:type="dxa"/>
            <w:shd w:val="clear" w:color="auto" w:fill="00923D"/>
            <w:vAlign w:val="bottom"/>
          </w:tcPr>
          <w:p w:rsidR="00AC12B4" w:rsidRDefault="00AC12B4">
            <w:pPr>
              <w:rPr>
                <w:sz w:val="23"/>
                <w:szCs w:val="23"/>
              </w:rPr>
            </w:pPr>
          </w:p>
        </w:tc>
        <w:tc>
          <w:tcPr>
            <w:tcW w:w="180" w:type="dxa"/>
            <w:shd w:val="clear" w:color="auto" w:fill="00923D"/>
            <w:vAlign w:val="bottom"/>
          </w:tcPr>
          <w:p w:rsidR="00AC12B4" w:rsidRDefault="00AC12B4">
            <w:pPr>
              <w:rPr>
                <w:sz w:val="23"/>
                <w:szCs w:val="23"/>
              </w:rPr>
            </w:pPr>
          </w:p>
        </w:tc>
        <w:tc>
          <w:tcPr>
            <w:tcW w:w="160" w:type="dxa"/>
            <w:tcBorders>
              <w:right w:val="single" w:sz="8" w:space="0" w:color="005022"/>
            </w:tcBorders>
            <w:shd w:val="clear" w:color="auto" w:fill="00923D"/>
            <w:vAlign w:val="bottom"/>
          </w:tcPr>
          <w:p w:rsidR="00AC12B4" w:rsidRDefault="00AC12B4">
            <w:pPr>
              <w:rPr>
                <w:sz w:val="23"/>
                <w:szCs w:val="23"/>
              </w:rPr>
            </w:pPr>
          </w:p>
        </w:tc>
        <w:tc>
          <w:tcPr>
            <w:tcW w:w="1440" w:type="dxa"/>
            <w:gridSpan w:val="4"/>
            <w:vAlign w:val="bottom"/>
          </w:tcPr>
          <w:p w:rsidR="00AC12B4" w:rsidRDefault="00C27636">
            <w:pPr>
              <w:ind w:left="180"/>
              <w:rPr>
                <w:sz w:val="20"/>
                <w:szCs w:val="20"/>
              </w:rPr>
            </w:pPr>
            <w:r>
              <w:rPr>
                <w:rFonts w:ascii="Calibri" w:eastAsia="Calibri" w:hAnsi="Calibri" w:cs="Calibri"/>
                <w:w w:val="99"/>
              </w:rPr>
              <w:t>questionnaire</w:t>
            </w:r>
          </w:p>
        </w:tc>
        <w:tc>
          <w:tcPr>
            <w:tcW w:w="380" w:type="dxa"/>
            <w:vAlign w:val="bottom"/>
          </w:tcPr>
          <w:p w:rsidR="00AC12B4" w:rsidRDefault="00C27636">
            <w:pPr>
              <w:ind w:left="180"/>
              <w:rPr>
                <w:sz w:val="20"/>
                <w:szCs w:val="20"/>
              </w:rPr>
            </w:pPr>
            <w:r>
              <w:rPr>
                <w:rFonts w:ascii="Calibri" w:eastAsia="Calibri" w:hAnsi="Calibri" w:cs="Calibri"/>
              </w:rPr>
              <w:t>à</w:t>
            </w:r>
          </w:p>
        </w:tc>
        <w:tc>
          <w:tcPr>
            <w:tcW w:w="1080" w:type="dxa"/>
            <w:gridSpan w:val="3"/>
            <w:vAlign w:val="bottom"/>
          </w:tcPr>
          <w:p w:rsidR="00AC12B4" w:rsidRDefault="00C27636">
            <w:pPr>
              <w:jc w:val="right"/>
              <w:rPr>
                <w:sz w:val="20"/>
                <w:szCs w:val="20"/>
              </w:rPr>
            </w:pPr>
            <w:r>
              <w:rPr>
                <w:rFonts w:ascii="Calibri" w:eastAsia="Calibri" w:hAnsi="Calibri" w:cs="Calibri"/>
              </w:rPr>
              <w:t>l’équilibre</w:t>
            </w:r>
          </w:p>
        </w:tc>
        <w:tc>
          <w:tcPr>
            <w:tcW w:w="520" w:type="dxa"/>
            <w:vAlign w:val="bottom"/>
          </w:tcPr>
          <w:p w:rsidR="00AC12B4" w:rsidRDefault="00C27636">
            <w:pPr>
              <w:ind w:right="51"/>
              <w:jc w:val="right"/>
              <w:rPr>
                <w:sz w:val="20"/>
                <w:szCs w:val="20"/>
              </w:rPr>
            </w:pPr>
            <w:r>
              <w:rPr>
                <w:rFonts w:ascii="Calibri" w:eastAsia="Calibri" w:hAnsi="Calibri" w:cs="Calibri"/>
              </w:rPr>
              <w:t>vie</w:t>
            </w:r>
          </w:p>
        </w:tc>
        <w:tc>
          <w:tcPr>
            <w:tcW w:w="36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42"/>
        </w:trPr>
        <w:tc>
          <w:tcPr>
            <w:tcW w:w="1820" w:type="dxa"/>
            <w:vMerge/>
            <w:tcBorders>
              <w:left w:val="single" w:sz="8" w:space="0" w:color="005022"/>
            </w:tcBorders>
            <w:shd w:val="clear" w:color="auto" w:fill="00923D"/>
            <w:vAlign w:val="bottom"/>
          </w:tcPr>
          <w:p w:rsidR="00AC12B4" w:rsidRDefault="00AC12B4">
            <w:pPr>
              <w:rPr>
                <w:sz w:val="12"/>
                <w:szCs w:val="12"/>
              </w:rPr>
            </w:pPr>
          </w:p>
        </w:tc>
        <w:tc>
          <w:tcPr>
            <w:tcW w:w="220" w:type="dxa"/>
            <w:shd w:val="clear" w:color="auto" w:fill="00923D"/>
            <w:vAlign w:val="bottom"/>
          </w:tcPr>
          <w:p w:rsidR="00AC12B4" w:rsidRDefault="00AC12B4">
            <w:pPr>
              <w:rPr>
                <w:sz w:val="12"/>
                <w:szCs w:val="12"/>
              </w:rPr>
            </w:pPr>
          </w:p>
        </w:tc>
        <w:tc>
          <w:tcPr>
            <w:tcW w:w="240" w:type="dxa"/>
            <w:shd w:val="clear" w:color="auto" w:fill="00923D"/>
            <w:vAlign w:val="bottom"/>
          </w:tcPr>
          <w:p w:rsidR="00AC12B4" w:rsidRDefault="00AC12B4">
            <w:pPr>
              <w:rPr>
                <w:sz w:val="12"/>
                <w:szCs w:val="12"/>
              </w:rPr>
            </w:pPr>
          </w:p>
        </w:tc>
        <w:tc>
          <w:tcPr>
            <w:tcW w:w="340" w:type="dxa"/>
            <w:shd w:val="clear" w:color="auto" w:fill="00923D"/>
            <w:vAlign w:val="bottom"/>
          </w:tcPr>
          <w:p w:rsidR="00AC12B4" w:rsidRDefault="00AC12B4">
            <w:pPr>
              <w:rPr>
                <w:sz w:val="12"/>
                <w:szCs w:val="12"/>
              </w:rPr>
            </w:pPr>
          </w:p>
        </w:tc>
        <w:tc>
          <w:tcPr>
            <w:tcW w:w="480" w:type="dxa"/>
            <w:shd w:val="clear" w:color="auto" w:fill="00923D"/>
            <w:vAlign w:val="bottom"/>
          </w:tcPr>
          <w:p w:rsidR="00AC12B4" w:rsidRDefault="00AC12B4">
            <w:pPr>
              <w:rPr>
                <w:sz w:val="12"/>
                <w:szCs w:val="12"/>
              </w:rPr>
            </w:pPr>
          </w:p>
        </w:tc>
        <w:tc>
          <w:tcPr>
            <w:tcW w:w="160" w:type="dxa"/>
            <w:tcBorders>
              <w:right w:val="single" w:sz="8" w:space="0" w:color="00923D"/>
            </w:tcBorders>
            <w:shd w:val="clear" w:color="auto" w:fill="00923D"/>
            <w:vAlign w:val="bottom"/>
          </w:tcPr>
          <w:p w:rsidR="00AC12B4" w:rsidRDefault="00AC12B4">
            <w:pPr>
              <w:rPr>
                <w:sz w:val="12"/>
                <w:szCs w:val="12"/>
              </w:rPr>
            </w:pPr>
          </w:p>
        </w:tc>
        <w:tc>
          <w:tcPr>
            <w:tcW w:w="500" w:type="dxa"/>
            <w:shd w:val="clear" w:color="auto" w:fill="00923D"/>
            <w:vAlign w:val="bottom"/>
          </w:tcPr>
          <w:p w:rsidR="00AC12B4" w:rsidRDefault="00AC12B4">
            <w:pPr>
              <w:rPr>
                <w:sz w:val="12"/>
                <w:szCs w:val="12"/>
              </w:rPr>
            </w:pPr>
          </w:p>
        </w:tc>
        <w:tc>
          <w:tcPr>
            <w:tcW w:w="280" w:type="dxa"/>
            <w:shd w:val="clear" w:color="auto" w:fill="00923D"/>
            <w:vAlign w:val="bottom"/>
          </w:tcPr>
          <w:p w:rsidR="00AC12B4" w:rsidRDefault="00AC12B4">
            <w:pPr>
              <w:rPr>
                <w:sz w:val="12"/>
                <w:szCs w:val="12"/>
              </w:rPr>
            </w:pPr>
          </w:p>
        </w:tc>
        <w:tc>
          <w:tcPr>
            <w:tcW w:w="260" w:type="dxa"/>
            <w:shd w:val="clear" w:color="auto" w:fill="00923D"/>
            <w:vAlign w:val="bottom"/>
          </w:tcPr>
          <w:p w:rsidR="00AC12B4" w:rsidRDefault="00AC12B4">
            <w:pPr>
              <w:rPr>
                <w:sz w:val="12"/>
                <w:szCs w:val="12"/>
              </w:rPr>
            </w:pPr>
          </w:p>
        </w:tc>
        <w:tc>
          <w:tcPr>
            <w:tcW w:w="700" w:type="dxa"/>
            <w:shd w:val="clear" w:color="auto" w:fill="00923D"/>
            <w:vAlign w:val="bottom"/>
          </w:tcPr>
          <w:p w:rsidR="00AC12B4" w:rsidRDefault="00AC12B4">
            <w:pPr>
              <w:rPr>
                <w:sz w:val="12"/>
                <w:szCs w:val="12"/>
              </w:rPr>
            </w:pPr>
          </w:p>
        </w:tc>
        <w:tc>
          <w:tcPr>
            <w:tcW w:w="180" w:type="dxa"/>
            <w:shd w:val="clear" w:color="auto" w:fill="00923D"/>
            <w:vAlign w:val="bottom"/>
          </w:tcPr>
          <w:p w:rsidR="00AC12B4" w:rsidRDefault="00AC12B4">
            <w:pPr>
              <w:rPr>
                <w:sz w:val="12"/>
                <w:szCs w:val="12"/>
              </w:rPr>
            </w:pPr>
          </w:p>
        </w:tc>
        <w:tc>
          <w:tcPr>
            <w:tcW w:w="860" w:type="dxa"/>
            <w:shd w:val="clear" w:color="auto" w:fill="00923D"/>
            <w:vAlign w:val="bottom"/>
          </w:tcPr>
          <w:p w:rsidR="00AC12B4" w:rsidRDefault="00AC12B4">
            <w:pPr>
              <w:rPr>
                <w:sz w:val="12"/>
                <w:szCs w:val="12"/>
              </w:rPr>
            </w:pPr>
          </w:p>
        </w:tc>
        <w:tc>
          <w:tcPr>
            <w:tcW w:w="300" w:type="dxa"/>
            <w:shd w:val="clear" w:color="auto" w:fill="00923D"/>
            <w:vAlign w:val="bottom"/>
          </w:tcPr>
          <w:p w:rsidR="00AC12B4" w:rsidRDefault="00AC12B4">
            <w:pPr>
              <w:rPr>
                <w:sz w:val="12"/>
                <w:szCs w:val="12"/>
              </w:rPr>
            </w:pPr>
          </w:p>
        </w:tc>
        <w:tc>
          <w:tcPr>
            <w:tcW w:w="180" w:type="dxa"/>
            <w:shd w:val="clear" w:color="auto" w:fill="00923D"/>
            <w:vAlign w:val="bottom"/>
          </w:tcPr>
          <w:p w:rsidR="00AC12B4" w:rsidRDefault="00AC12B4">
            <w:pPr>
              <w:rPr>
                <w:sz w:val="12"/>
                <w:szCs w:val="12"/>
              </w:rPr>
            </w:pPr>
          </w:p>
        </w:tc>
        <w:tc>
          <w:tcPr>
            <w:tcW w:w="160" w:type="dxa"/>
            <w:tcBorders>
              <w:right w:val="single" w:sz="8" w:space="0" w:color="005022"/>
            </w:tcBorders>
            <w:shd w:val="clear" w:color="auto" w:fill="00923D"/>
            <w:vAlign w:val="bottom"/>
          </w:tcPr>
          <w:p w:rsidR="00AC12B4" w:rsidRDefault="00AC12B4">
            <w:pPr>
              <w:rPr>
                <w:sz w:val="12"/>
                <w:szCs w:val="12"/>
              </w:rPr>
            </w:pPr>
          </w:p>
        </w:tc>
        <w:tc>
          <w:tcPr>
            <w:tcW w:w="3420" w:type="dxa"/>
            <w:gridSpan w:val="9"/>
            <w:vMerge w:val="restart"/>
            <w:vAlign w:val="bottom"/>
          </w:tcPr>
          <w:p w:rsidR="00AC12B4" w:rsidRDefault="00C27636">
            <w:pPr>
              <w:ind w:right="71"/>
              <w:jc w:val="right"/>
              <w:rPr>
                <w:sz w:val="20"/>
                <w:szCs w:val="20"/>
              </w:rPr>
            </w:pPr>
            <w:r>
              <w:rPr>
                <w:rFonts w:ascii="Calibri" w:eastAsia="Calibri" w:hAnsi="Calibri" w:cs="Calibri"/>
              </w:rPr>
              <w:t>professionnelle / vie privée. Sauf</w:t>
            </w:r>
          </w:p>
        </w:tc>
        <w:tc>
          <w:tcPr>
            <w:tcW w:w="360" w:type="dxa"/>
            <w:vAlign w:val="bottom"/>
          </w:tcPr>
          <w:p w:rsidR="00AC12B4" w:rsidRDefault="00AC12B4">
            <w:pPr>
              <w:rPr>
                <w:sz w:val="12"/>
                <w:szCs w:val="12"/>
              </w:rPr>
            </w:pPr>
          </w:p>
        </w:tc>
        <w:tc>
          <w:tcPr>
            <w:tcW w:w="260" w:type="dxa"/>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7"/>
        </w:trPr>
        <w:tc>
          <w:tcPr>
            <w:tcW w:w="1820" w:type="dxa"/>
            <w:tcBorders>
              <w:left w:val="single" w:sz="8" w:space="0" w:color="005022"/>
            </w:tcBorders>
            <w:shd w:val="clear" w:color="auto" w:fill="00923D"/>
            <w:vAlign w:val="bottom"/>
          </w:tcPr>
          <w:p w:rsidR="00AC12B4" w:rsidRDefault="00AC12B4">
            <w:pPr>
              <w:rPr>
                <w:sz w:val="11"/>
                <w:szCs w:val="11"/>
              </w:rPr>
            </w:pPr>
          </w:p>
        </w:tc>
        <w:tc>
          <w:tcPr>
            <w:tcW w:w="220" w:type="dxa"/>
            <w:shd w:val="clear" w:color="auto" w:fill="00923D"/>
            <w:vAlign w:val="bottom"/>
          </w:tcPr>
          <w:p w:rsidR="00AC12B4" w:rsidRDefault="00AC12B4">
            <w:pPr>
              <w:rPr>
                <w:sz w:val="11"/>
                <w:szCs w:val="11"/>
              </w:rPr>
            </w:pPr>
          </w:p>
        </w:tc>
        <w:tc>
          <w:tcPr>
            <w:tcW w:w="240" w:type="dxa"/>
            <w:shd w:val="clear" w:color="auto" w:fill="00923D"/>
            <w:vAlign w:val="bottom"/>
          </w:tcPr>
          <w:p w:rsidR="00AC12B4" w:rsidRDefault="00AC12B4">
            <w:pPr>
              <w:rPr>
                <w:sz w:val="11"/>
                <w:szCs w:val="11"/>
              </w:rPr>
            </w:pPr>
          </w:p>
        </w:tc>
        <w:tc>
          <w:tcPr>
            <w:tcW w:w="340" w:type="dxa"/>
            <w:shd w:val="clear" w:color="auto" w:fill="00923D"/>
            <w:vAlign w:val="bottom"/>
          </w:tcPr>
          <w:p w:rsidR="00AC12B4" w:rsidRDefault="00AC12B4">
            <w:pPr>
              <w:rPr>
                <w:sz w:val="11"/>
                <w:szCs w:val="11"/>
              </w:rPr>
            </w:pPr>
          </w:p>
        </w:tc>
        <w:tc>
          <w:tcPr>
            <w:tcW w:w="480" w:type="dxa"/>
            <w:shd w:val="clear" w:color="auto" w:fill="00923D"/>
            <w:vAlign w:val="bottom"/>
          </w:tcPr>
          <w:p w:rsidR="00AC12B4" w:rsidRDefault="00AC12B4">
            <w:pPr>
              <w:rPr>
                <w:sz w:val="11"/>
                <w:szCs w:val="11"/>
              </w:rPr>
            </w:pPr>
          </w:p>
        </w:tc>
        <w:tc>
          <w:tcPr>
            <w:tcW w:w="160" w:type="dxa"/>
            <w:tcBorders>
              <w:right w:val="single" w:sz="8" w:space="0" w:color="00923D"/>
            </w:tcBorders>
            <w:shd w:val="clear" w:color="auto" w:fill="00923D"/>
            <w:vAlign w:val="bottom"/>
          </w:tcPr>
          <w:p w:rsidR="00AC12B4" w:rsidRDefault="00AC12B4">
            <w:pPr>
              <w:rPr>
                <w:sz w:val="11"/>
                <w:szCs w:val="11"/>
              </w:rPr>
            </w:pPr>
          </w:p>
        </w:tc>
        <w:tc>
          <w:tcPr>
            <w:tcW w:w="500" w:type="dxa"/>
            <w:shd w:val="clear" w:color="auto" w:fill="00923D"/>
            <w:vAlign w:val="bottom"/>
          </w:tcPr>
          <w:p w:rsidR="00AC12B4" w:rsidRDefault="00AC12B4">
            <w:pPr>
              <w:rPr>
                <w:sz w:val="11"/>
                <w:szCs w:val="11"/>
              </w:rPr>
            </w:pPr>
          </w:p>
        </w:tc>
        <w:tc>
          <w:tcPr>
            <w:tcW w:w="280" w:type="dxa"/>
            <w:shd w:val="clear" w:color="auto" w:fill="00923D"/>
            <w:vAlign w:val="bottom"/>
          </w:tcPr>
          <w:p w:rsidR="00AC12B4" w:rsidRDefault="00AC12B4">
            <w:pPr>
              <w:rPr>
                <w:sz w:val="11"/>
                <w:szCs w:val="11"/>
              </w:rPr>
            </w:pPr>
          </w:p>
        </w:tc>
        <w:tc>
          <w:tcPr>
            <w:tcW w:w="260" w:type="dxa"/>
            <w:shd w:val="clear" w:color="auto" w:fill="00923D"/>
            <w:vAlign w:val="bottom"/>
          </w:tcPr>
          <w:p w:rsidR="00AC12B4" w:rsidRDefault="00AC12B4">
            <w:pPr>
              <w:rPr>
                <w:sz w:val="11"/>
                <w:szCs w:val="11"/>
              </w:rPr>
            </w:pPr>
          </w:p>
        </w:tc>
        <w:tc>
          <w:tcPr>
            <w:tcW w:w="700" w:type="dxa"/>
            <w:shd w:val="clear" w:color="auto" w:fill="00923D"/>
            <w:vAlign w:val="bottom"/>
          </w:tcPr>
          <w:p w:rsidR="00AC12B4" w:rsidRDefault="00AC12B4">
            <w:pPr>
              <w:rPr>
                <w:sz w:val="11"/>
                <w:szCs w:val="11"/>
              </w:rPr>
            </w:pPr>
          </w:p>
        </w:tc>
        <w:tc>
          <w:tcPr>
            <w:tcW w:w="180" w:type="dxa"/>
            <w:shd w:val="clear" w:color="auto" w:fill="00923D"/>
            <w:vAlign w:val="bottom"/>
          </w:tcPr>
          <w:p w:rsidR="00AC12B4" w:rsidRDefault="00AC12B4">
            <w:pPr>
              <w:rPr>
                <w:sz w:val="11"/>
                <w:szCs w:val="11"/>
              </w:rPr>
            </w:pPr>
          </w:p>
        </w:tc>
        <w:tc>
          <w:tcPr>
            <w:tcW w:w="860" w:type="dxa"/>
            <w:shd w:val="clear" w:color="auto" w:fill="00923D"/>
            <w:vAlign w:val="bottom"/>
          </w:tcPr>
          <w:p w:rsidR="00AC12B4" w:rsidRDefault="00AC12B4">
            <w:pPr>
              <w:rPr>
                <w:sz w:val="11"/>
                <w:szCs w:val="11"/>
              </w:rPr>
            </w:pPr>
          </w:p>
        </w:tc>
        <w:tc>
          <w:tcPr>
            <w:tcW w:w="300" w:type="dxa"/>
            <w:shd w:val="clear" w:color="auto" w:fill="00923D"/>
            <w:vAlign w:val="bottom"/>
          </w:tcPr>
          <w:p w:rsidR="00AC12B4" w:rsidRDefault="00AC12B4">
            <w:pPr>
              <w:rPr>
                <w:sz w:val="11"/>
                <w:szCs w:val="11"/>
              </w:rPr>
            </w:pPr>
          </w:p>
        </w:tc>
        <w:tc>
          <w:tcPr>
            <w:tcW w:w="180" w:type="dxa"/>
            <w:shd w:val="clear" w:color="auto" w:fill="00923D"/>
            <w:vAlign w:val="bottom"/>
          </w:tcPr>
          <w:p w:rsidR="00AC12B4" w:rsidRDefault="00AC12B4">
            <w:pPr>
              <w:rPr>
                <w:sz w:val="11"/>
                <w:szCs w:val="11"/>
              </w:rPr>
            </w:pPr>
          </w:p>
        </w:tc>
        <w:tc>
          <w:tcPr>
            <w:tcW w:w="160" w:type="dxa"/>
            <w:tcBorders>
              <w:right w:val="single" w:sz="8" w:space="0" w:color="005022"/>
            </w:tcBorders>
            <w:shd w:val="clear" w:color="auto" w:fill="00923D"/>
            <w:vAlign w:val="bottom"/>
          </w:tcPr>
          <w:p w:rsidR="00AC12B4" w:rsidRDefault="00AC12B4">
            <w:pPr>
              <w:rPr>
                <w:sz w:val="11"/>
                <w:szCs w:val="11"/>
              </w:rPr>
            </w:pPr>
          </w:p>
        </w:tc>
        <w:tc>
          <w:tcPr>
            <w:tcW w:w="3420" w:type="dxa"/>
            <w:gridSpan w:val="9"/>
            <w:vMerge/>
            <w:vAlign w:val="bottom"/>
          </w:tcPr>
          <w:p w:rsidR="00AC12B4" w:rsidRDefault="00AC12B4">
            <w:pPr>
              <w:rPr>
                <w:sz w:val="11"/>
                <w:szCs w:val="11"/>
              </w:rPr>
            </w:pPr>
          </w:p>
        </w:tc>
        <w:tc>
          <w:tcPr>
            <w:tcW w:w="36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69"/>
        </w:trPr>
        <w:tc>
          <w:tcPr>
            <w:tcW w:w="1820" w:type="dxa"/>
            <w:tcBorders>
              <w:left w:val="single" w:sz="8" w:space="0" w:color="005022"/>
            </w:tcBorders>
            <w:shd w:val="clear" w:color="auto" w:fill="00923D"/>
            <w:vAlign w:val="bottom"/>
          </w:tcPr>
          <w:p w:rsidR="00AC12B4" w:rsidRDefault="00C27636">
            <w:pPr>
              <w:spacing w:line="261" w:lineRule="exact"/>
              <w:ind w:left="580"/>
              <w:rPr>
                <w:sz w:val="20"/>
                <w:szCs w:val="20"/>
              </w:rPr>
            </w:pPr>
            <w:r>
              <w:rPr>
                <w:rFonts w:ascii="Calibri" w:eastAsia="Calibri" w:hAnsi="Calibri" w:cs="Calibri"/>
                <w:i/>
                <w:iCs/>
                <w:color w:val="EAF1DD"/>
              </w:rPr>
              <w:t>Article 18</w:t>
            </w:r>
          </w:p>
        </w:tc>
        <w:tc>
          <w:tcPr>
            <w:tcW w:w="220" w:type="dxa"/>
            <w:shd w:val="clear" w:color="auto" w:fill="00923D"/>
            <w:vAlign w:val="bottom"/>
          </w:tcPr>
          <w:p w:rsidR="00AC12B4" w:rsidRDefault="00AC12B4">
            <w:pPr>
              <w:rPr>
                <w:sz w:val="23"/>
                <w:szCs w:val="23"/>
              </w:rPr>
            </w:pPr>
          </w:p>
        </w:tc>
        <w:tc>
          <w:tcPr>
            <w:tcW w:w="240" w:type="dxa"/>
            <w:shd w:val="clear" w:color="auto" w:fill="00923D"/>
            <w:vAlign w:val="bottom"/>
          </w:tcPr>
          <w:p w:rsidR="00AC12B4" w:rsidRDefault="00AC12B4">
            <w:pPr>
              <w:rPr>
                <w:sz w:val="23"/>
                <w:szCs w:val="23"/>
              </w:rPr>
            </w:pPr>
          </w:p>
        </w:tc>
        <w:tc>
          <w:tcPr>
            <w:tcW w:w="340" w:type="dxa"/>
            <w:shd w:val="clear" w:color="auto" w:fill="00923D"/>
            <w:vAlign w:val="bottom"/>
          </w:tcPr>
          <w:p w:rsidR="00AC12B4" w:rsidRDefault="00AC12B4">
            <w:pPr>
              <w:rPr>
                <w:sz w:val="23"/>
                <w:szCs w:val="23"/>
              </w:rPr>
            </w:pPr>
          </w:p>
        </w:tc>
        <w:tc>
          <w:tcPr>
            <w:tcW w:w="480" w:type="dxa"/>
            <w:shd w:val="clear" w:color="auto" w:fill="00923D"/>
            <w:vAlign w:val="bottom"/>
          </w:tcPr>
          <w:p w:rsidR="00AC12B4" w:rsidRDefault="00AC12B4">
            <w:pPr>
              <w:rPr>
                <w:sz w:val="23"/>
                <w:szCs w:val="23"/>
              </w:rPr>
            </w:pPr>
          </w:p>
        </w:tc>
        <w:tc>
          <w:tcPr>
            <w:tcW w:w="160" w:type="dxa"/>
            <w:tcBorders>
              <w:right w:val="single" w:sz="8" w:space="0" w:color="00923D"/>
            </w:tcBorders>
            <w:shd w:val="clear" w:color="auto" w:fill="00923D"/>
            <w:vAlign w:val="bottom"/>
          </w:tcPr>
          <w:p w:rsidR="00AC12B4" w:rsidRDefault="00AC12B4">
            <w:pPr>
              <w:rPr>
                <w:sz w:val="23"/>
                <w:szCs w:val="23"/>
              </w:rPr>
            </w:pPr>
          </w:p>
        </w:tc>
        <w:tc>
          <w:tcPr>
            <w:tcW w:w="500" w:type="dxa"/>
            <w:shd w:val="clear" w:color="auto" w:fill="00923D"/>
            <w:vAlign w:val="bottom"/>
          </w:tcPr>
          <w:p w:rsidR="00AC12B4" w:rsidRDefault="00AC12B4">
            <w:pPr>
              <w:rPr>
                <w:sz w:val="23"/>
                <w:szCs w:val="23"/>
              </w:rPr>
            </w:pPr>
          </w:p>
        </w:tc>
        <w:tc>
          <w:tcPr>
            <w:tcW w:w="280" w:type="dxa"/>
            <w:shd w:val="clear" w:color="auto" w:fill="00923D"/>
            <w:vAlign w:val="bottom"/>
          </w:tcPr>
          <w:p w:rsidR="00AC12B4" w:rsidRDefault="00AC12B4">
            <w:pPr>
              <w:rPr>
                <w:sz w:val="23"/>
                <w:szCs w:val="23"/>
              </w:rPr>
            </w:pPr>
          </w:p>
        </w:tc>
        <w:tc>
          <w:tcPr>
            <w:tcW w:w="260" w:type="dxa"/>
            <w:shd w:val="clear" w:color="auto" w:fill="00923D"/>
            <w:vAlign w:val="bottom"/>
          </w:tcPr>
          <w:p w:rsidR="00AC12B4" w:rsidRDefault="00AC12B4">
            <w:pPr>
              <w:rPr>
                <w:sz w:val="23"/>
                <w:szCs w:val="23"/>
              </w:rPr>
            </w:pPr>
          </w:p>
        </w:tc>
        <w:tc>
          <w:tcPr>
            <w:tcW w:w="700" w:type="dxa"/>
            <w:shd w:val="clear" w:color="auto" w:fill="00923D"/>
            <w:vAlign w:val="bottom"/>
          </w:tcPr>
          <w:p w:rsidR="00AC12B4" w:rsidRDefault="00AC12B4">
            <w:pPr>
              <w:rPr>
                <w:sz w:val="23"/>
                <w:szCs w:val="23"/>
              </w:rPr>
            </w:pPr>
          </w:p>
        </w:tc>
        <w:tc>
          <w:tcPr>
            <w:tcW w:w="180" w:type="dxa"/>
            <w:shd w:val="clear" w:color="auto" w:fill="00923D"/>
            <w:vAlign w:val="bottom"/>
          </w:tcPr>
          <w:p w:rsidR="00AC12B4" w:rsidRDefault="00AC12B4">
            <w:pPr>
              <w:rPr>
                <w:sz w:val="23"/>
                <w:szCs w:val="23"/>
              </w:rPr>
            </w:pPr>
          </w:p>
        </w:tc>
        <w:tc>
          <w:tcPr>
            <w:tcW w:w="860" w:type="dxa"/>
            <w:shd w:val="clear" w:color="auto" w:fill="00923D"/>
            <w:vAlign w:val="bottom"/>
          </w:tcPr>
          <w:p w:rsidR="00AC12B4" w:rsidRDefault="00AC12B4">
            <w:pPr>
              <w:rPr>
                <w:sz w:val="23"/>
                <w:szCs w:val="23"/>
              </w:rPr>
            </w:pPr>
          </w:p>
        </w:tc>
        <w:tc>
          <w:tcPr>
            <w:tcW w:w="300" w:type="dxa"/>
            <w:shd w:val="clear" w:color="auto" w:fill="00923D"/>
            <w:vAlign w:val="bottom"/>
          </w:tcPr>
          <w:p w:rsidR="00AC12B4" w:rsidRDefault="00AC12B4">
            <w:pPr>
              <w:rPr>
                <w:sz w:val="23"/>
                <w:szCs w:val="23"/>
              </w:rPr>
            </w:pPr>
          </w:p>
        </w:tc>
        <w:tc>
          <w:tcPr>
            <w:tcW w:w="180" w:type="dxa"/>
            <w:shd w:val="clear" w:color="auto" w:fill="00923D"/>
            <w:vAlign w:val="bottom"/>
          </w:tcPr>
          <w:p w:rsidR="00AC12B4" w:rsidRDefault="00AC12B4">
            <w:pPr>
              <w:rPr>
                <w:sz w:val="23"/>
                <w:szCs w:val="23"/>
              </w:rPr>
            </w:pPr>
          </w:p>
        </w:tc>
        <w:tc>
          <w:tcPr>
            <w:tcW w:w="160" w:type="dxa"/>
            <w:tcBorders>
              <w:right w:val="single" w:sz="8" w:space="0" w:color="005022"/>
            </w:tcBorders>
            <w:shd w:val="clear" w:color="auto" w:fill="00923D"/>
            <w:vAlign w:val="bottom"/>
          </w:tcPr>
          <w:p w:rsidR="00AC12B4" w:rsidRDefault="00AC12B4">
            <w:pPr>
              <w:rPr>
                <w:sz w:val="23"/>
                <w:szCs w:val="23"/>
              </w:rPr>
            </w:pPr>
          </w:p>
        </w:tc>
        <w:tc>
          <w:tcPr>
            <w:tcW w:w="1140" w:type="dxa"/>
            <w:gridSpan w:val="3"/>
            <w:vAlign w:val="bottom"/>
          </w:tcPr>
          <w:p w:rsidR="00AC12B4" w:rsidRDefault="00C27636">
            <w:pPr>
              <w:ind w:left="180"/>
              <w:rPr>
                <w:sz w:val="20"/>
                <w:szCs w:val="20"/>
              </w:rPr>
            </w:pPr>
            <w:r>
              <w:rPr>
                <w:rFonts w:ascii="Calibri" w:eastAsia="Calibri" w:hAnsi="Calibri" w:cs="Calibri"/>
              </w:rPr>
              <w:t>indication</w:t>
            </w:r>
          </w:p>
        </w:tc>
        <w:tc>
          <w:tcPr>
            <w:tcW w:w="1760" w:type="dxa"/>
            <w:gridSpan w:val="5"/>
            <w:vAlign w:val="bottom"/>
          </w:tcPr>
          <w:p w:rsidR="00AC12B4" w:rsidRDefault="00C27636">
            <w:pPr>
              <w:jc w:val="right"/>
              <w:rPr>
                <w:sz w:val="20"/>
                <w:szCs w:val="20"/>
              </w:rPr>
            </w:pPr>
            <w:r>
              <w:rPr>
                <w:rFonts w:ascii="Calibri" w:eastAsia="Calibri" w:hAnsi="Calibri" w:cs="Calibri"/>
              </w:rPr>
              <w:t>contraire,  toutes</w:t>
            </w:r>
          </w:p>
        </w:tc>
        <w:tc>
          <w:tcPr>
            <w:tcW w:w="520" w:type="dxa"/>
            <w:vAlign w:val="bottom"/>
          </w:tcPr>
          <w:p w:rsidR="00AC12B4" w:rsidRDefault="00C27636">
            <w:pPr>
              <w:ind w:right="71"/>
              <w:jc w:val="right"/>
              <w:rPr>
                <w:sz w:val="20"/>
                <w:szCs w:val="20"/>
              </w:rPr>
            </w:pPr>
            <w:r>
              <w:rPr>
                <w:rFonts w:ascii="Calibri" w:eastAsia="Calibri" w:hAnsi="Calibri" w:cs="Calibri"/>
              </w:rPr>
              <w:t>les</w:t>
            </w:r>
          </w:p>
        </w:tc>
        <w:tc>
          <w:tcPr>
            <w:tcW w:w="36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1820" w:type="dxa"/>
            <w:vMerge w:val="restart"/>
            <w:tcBorders>
              <w:left w:val="single" w:sz="8" w:space="0" w:color="005022"/>
            </w:tcBorders>
            <w:shd w:val="clear" w:color="auto" w:fill="00923D"/>
            <w:vAlign w:val="bottom"/>
          </w:tcPr>
          <w:p w:rsidR="00AC12B4" w:rsidRDefault="00C27636">
            <w:pPr>
              <w:ind w:left="580"/>
              <w:rPr>
                <w:sz w:val="20"/>
                <w:szCs w:val="20"/>
              </w:rPr>
            </w:pPr>
            <w:r>
              <w:rPr>
                <w:rFonts w:ascii="Calibri" w:eastAsia="Calibri" w:hAnsi="Calibri" w:cs="Calibri"/>
                <w:i/>
                <w:iCs/>
                <w:color w:val="EAF1DD"/>
              </w:rPr>
              <w:t>1. Les Etats</w:t>
            </w:r>
          </w:p>
        </w:tc>
        <w:tc>
          <w:tcPr>
            <w:tcW w:w="800" w:type="dxa"/>
            <w:gridSpan w:val="3"/>
            <w:vMerge w:val="restart"/>
            <w:shd w:val="clear" w:color="auto" w:fill="00923D"/>
            <w:vAlign w:val="bottom"/>
          </w:tcPr>
          <w:p w:rsidR="00AC12B4" w:rsidRDefault="00C27636">
            <w:pPr>
              <w:ind w:left="60"/>
              <w:rPr>
                <w:sz w:val="20"/>
                <w:szCs w:val="20"/>
              </w:rPr>
            </w:pPr>
            <w:r>
              <w:rPr>
                <w:rFonts w:ascii="Calibri" w:eastAsia="Calibri" w:hAnsi="Calibri" w:cs="Calibri"/>
                <w:i/>
                <w:iCs/>
                <w:color w:val="EAF1DD"/>
              </w:rPr>
              <w:t>parties</w:t>
            </w:r>
          </w:p>
        </w:tc>
        <w:tc>
          <w:tcPr>
            <w:tcW w:w="1140" w:type="dxa"/>
            <w:gridSpan w:val="3"/>
            <w:vMerge w:val="restart"/>
            <w:shd w:val="clear" w:color="auto" w:fill="00923D"/>
            <w:vAlign w:val="bottom"/>
          </w:tcPr>
          <w:p w:rsidR="00AC12B4" w:rsidRDefault="00C27636">
            <w:pPr>
              <w:ind w:left="20"/>
              <w:rPr>
                <w:sz w:val="20"/>
                <w:szCs w:val="20"/>
              </w:rPr>
            </w:pPr>
            <w:r>
              <w:rPr>
                <w:rFonts w:ascii="Calibri" w:eastAsia="Calibri" w:hAnsi="Calibri" w:cs="Calibri"/>
                <w:i/>
                <w:iCs/>
                <w:color w:val="EAF1DD"/>
              </w:rPr>
              <w:t>s’emploient</w:t>
            </w:r>
          </w:p>
        </w:tc>
        <w:tc>
          <w:tcPr>
            <w:tcW w:w="280" w:type="dxa"/>
            <w:vMerge w:val="restart"/>
            <w:shd w:val="clear" w:color="auto" w:fill="00923D"/>
            <w:vAlign w:val="bottom"/>
          </w:tcPr>
          <w:p w:rsidR="00AC12B4" w:rsidRDefault="00C27636">
            <w:pPr>
              <w:jc w:val="right"/>
              <w:rPr>
                <w:sz w:val="20"/>
                <w:szCs w:val="20"/>
              </w:rPr>
            </w:pPr>
            <w:r>
              <w:rPr>
                <w:rFonts w:ascii="Calibri" w:eastAsia="Calibri" w:hAnsi="Calibri" w:cs="Calibri"/>
                <w:i/>
                <w:iCs/>
                <w:color w:val="EAF1DD"/>
              </w:rPr>
              <w:t>de</w:t>
            </w:r>
          </w:p>
        </w:tc>
        <w:tc>
          <w:tcPr>
            <w:tcW w:w="1140" w:type="dxa"/>
            <w:gridSpan w:val="3"/>
            <w:vMerge w:val="restart"/>
            <w:shd w:val="clear" w:color="auto" w:fill="00923D"/>
            <w:vAlign w:val="bottom"/>
          </w:tcPr>
          <w:p w:rsidR="00AC12B4" w:rsidRDefault="00C27636">
            <w:pPr>
              <w:ind w:left="10"/>
              <w:jc w:val="center"/>
              <w:rPr>
                <w:sz w:val="20"/>
                <w:szCs w:val="20"/>
              </w:rPr>
            </w:pPr>
            <w:r>
              <w:rPr>
                <w:rFonts w:ascii="Calibri" w:eastAsia="Calibri" w:hAnsi="Calibri" w:cs="Calibri"/>
                <w:i/>
                <w:iCs/>
                <w:color w:val="EAF1DD"/>
              </w:rPr>
              <w:t>leur mieux</w:t>
            </w:r>
          </w:p>
        </w:tc>
        <w:tc>
          <w:tcPr>
            <w:tcW w:w="1160" w:type="dxa"/>
            <w:gridSpan w:val="2"/>
            <w:vMerge w:val="restart"/>
            <w:shd w:val="clear" w:color="auto" w:fill="00923D"/>
            <w:vAlign w:val="bottom"/>
          </w:tcPr>
          <w:p w:rsidR="00AC12B4" w:rsidRDefault="00C27636">
            <w:pPr>
              <w:ind w:left="120"/>
              <w:rPr>
                <w:sz w:val="20"/>
                <w:szCs w:val="20"/>
              </w:rPr>
            </w:pPr>
            <w:r>
              <w:rPr>
                <w:rFonts w:ascii="Calibri" w:eastAsia="Calibri" w:hAnsi="Calibri" w:cs="Calibri"/>
                <w:i/>
                <w:iCs/>
                <w:color w:val="EAF1DD"/>
              </w:rPr>
              <w:t>à assurer</w:t>
            </w:r>
          </w:p>
        </w:tc>
        <w:tc>
          <w:tcPr>
            <w:tcW w:w="180" w:type="dxa"/>
            <w:vMerge w:val="restart"/>
            <w:shd w:val="clear" w:color="auto" w:fill="00923D"/>
            <w:vAlign w:val="bottom"/>
          </w:tcPr>
          <w:p w:rsidR="00AC12B4" w:rsidRDefault="00C27636">
            <w:pPr>
              <w:rPr>
                <w:sz w:val="20"/>
                <w:szCs w:val="20"/>
              </w:rPr>
            </w:pPr>
            <w:r>
              <w:rPr>
                <w:rFonts w:ascii="Calibri" w:eastAsia="Calibri" w:hAnsi="Calibri" w:cs="Calibri"/>
                <w:i/>
                <w:iCs/>
                <w:color w:val="EAF1DD"/>
                <w:w w:val="97"/>
              </w:rPr>
              <w:t>la</w:t>
            </w:r>
          </w:p>
        </w:tc>
        <w:tc>
          <w:tcPr>
            <w:tcW w:w="160" w:type="dxa"/>
            <w:tcBorders>
              <w:right w:val="single" w:sz="8" w:space="0" w:color="005022"/>
            </w:tcBorders>
            <w:shd w:val="clear" w:color="auto" w:fill="00923D"/>
            <w:vAlign w:val="bottom"/>
          </w:tcPr>
          <w:p w:rsidR="00AC12B4" w:rsidRDefault="00AC12B4">
            <w:pPr>
              <w:rPr>
                <w:sz w:val="23"/>
                <w:szCs w:val="23"/>
              </w:rPr>
            </w:pPr>
          </w:p>
        </w:tc>
        <w:tc>
          <w:tcPr>
            <w:tcW w:w="3420" w:type="dxa"/>
            <w:gridSpan w:val="9"/>
            <w:vAlign w:val="bottom"/>
          </w:tcPr>
          <w:p w:rsidR="00AC12B4" w:rsidRPr="00C27636" w:rsidRDefault="00C27636">
            <w:pPr>
              <w:ind w:right="71"/>
              <w:jc w:val="right"/>
              <w:rPr>
                <w:sz w:val="20"/>
                <w:szCs w:val="20"/>
                <w:lang w:val="fr-BE"/>
              </w:rPr>
            </w:pPr>
            <w:r w:rsidRPr="00C27636">
              <w:rPr>
                <w:rFonts w:ascii="Calibri" w:eastAsia="Calibri" w:hAnsi="Calibri" w:cs="Calibri"/>
                <w:lang w:val="fr-BE"/>
              </w:rPr>
              <w:t>données qui suivent sont issues</w:t>
            </w:r>
          </w:p>
        </w:tc>
        <w:tc>
          <w:tcPr>
            <w:tcW w:w="360" w:type="dxa"/>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113"/>
        </w:trPr>
        <w:tc>
          <w:tcPr>
            <w:tcW w:w="1820" w:type="dxa"/>
            <w:vMerge/>
            <w:tcBorders>
              <w:left w:val="single" w:sz="8" w:space="0" w:color="005022"/>
            </w:tcBorders>
            <w:shd w:val="clear" w:color="auto" w:fill="00923D"/>
            <w:vAlign w:val="bottom"/>
          </w:tcPr>
          <w:p w:rsidR="00AC12B4" w:rsidRPr="00C27636" w:rsidRDefault="00AC12B4">
            <w:pPr>
              <w:rPr>
                <w:sz w:val="9"/>
                <w:szCs w:val="9"/>
                <w:lang w:val="fr-BE"/>
              </w:rPr>
            </w:pPr>
          </w:p>
        </w:tc>
        <w:tc>
          <w:tcPr>
            <w:tcW w:w="800" w:type="dxa"/>
            <w:gridSpan w:val="3"/>
            <w:vMerge/>
            <w:shd w:val="clear" w:color="auto" w:fill="00923D"/>
            <w:vAlign w:val="bottom"/>
          </w:tcPr>
          <w:p w:rsidR="00AC12B4" w:rsidRPr="00C27636" w:rsidRDefault="00AC12B4">
            <w:pPr>
              <w:rPr>
                <w:sz w:val="9"/>
                <w:szCs w:val="9"/>
                <w:lang w:val="fr-BE"/>
              </w:rPr>
            </w:pPr>
          </w:p>
        </w:tc>
        <w:tc>
          <w:tcPr>
            <w:tcW w:w="1140" w:type="dxa"/>
            <w:gridSpan w:val="3"/>
            <w:vMerge/>
            <w:shd w:val="clear" w:color="auto" w:fill="00923D"/>
            <w:vAlign w:val="bottom"/>
          </w:tcPr>
          <w:p w:rsidR="00AC12B4" w:rsidRPr="00C27636" w:rsidRDefault="00AC12B4">
            <w:pPr>
              <w:rPr>
                <w:sz w:val="9"/>
                <w:szCs w:val="9"/>
                <w:lang w:val="fr-BE"/>
              </w:rPr>
            </w:pPr>
          </w:p>
        </w:tc>
        <w:tc>
          <w:tcPr>
            <w:tcW w:w="280" w:type="dxa"/>
            <w:vMerge/>
            <w:shd w:val="clear" w:color="auto" w:fill="00923D"/>
            <w:vAlign w:val="bottom"/>
          </w:tcPr>
          <w:p w:rsidR="00AC12B4" w:rsidRPr="00C27636" w:rsidRDefault="00AC12B4">
            <w:pPr>
              <w:rPr>
                <w:sz w:val="9"/>
                <w:szCs w:val="9"/>
                <w:lang w:val="fr-BE"/>
              </w:rPr>
            </w:pPr>
          </w:p>
        </w:tc>
        <w:tc>
          <w:tcPr>
            <w:tcW w:w="1140" w:type="dxa"/>
            <w:gridSpan w:val="3"/>
            <w:vMerge/>
            <w:shd w:val="clear" w:color="auto" w:fill="00923D"/>
            <w:vAlign w:val="bottom"/>
          </w:tcPr>
          <w:p w:rsidR="00AC12B4" w:rsidRPr="00C27636" w:rsidRDefault="00AC12B4">
            <w:pPr>
              <w:rPr>
                <w:sz w:val="9"/>
                <w:szCs w:val="9"/>
                <w:lang w:val="fr-BE"/>
              </w:rPr>
            </w:pPr>
          </w:p>
        </w:tc>
        <w:tc>
          <w:tcPr>
            <w:tcW w:w="1160" w:type="dxa"/>
            <w:gridSpan w:val="2"/>
            <w:vMerge/>
            <w:shd w:val="clear" w:color="auto" w:fill="00923D"/>
            <w:vAlign w:val="bottom"/>
          </w:tcPr>
          <w:p w:rsidR="00AC12B4" w:rsidRPr="00C27636" w:rsidRDefault="00AC12B4">
            <w:pPr>
              <w:rPr>
                <w:sz w:val="9"/>
                <w:szCs w:val="9"/>
                <w:lang w:val="fr-BE"/>
              </w:rPr>
            </w:pPr>
          </w:p>
        </w:tc>
        <w:tc>
          <w:tcPr>
            <w:tcW w:w="180" w:type="dxa"/>
            <w:vMerge/>
            <w:shd w:val="clear" w:color="auto" w:fill="00923D"/>
            <w:vAlign w:val="bottom"/>
          </w:tcPr>
          <w:p w:rsidR="00AC12B4" w:rsidRPr="00C27636" w:rsidRDefault="00AC12B4">
            <w:pPr>
              <w:rPr>
                <w:sz w:val="9"/>
                <w:szCs w:val="9"/>
                <w:lang w:val="fr-BE"/>
              </w:rPr>
            </w:pPr>
          </w:p>
        </w:tc>
        <w:tc>
          <w:tcPr>
            <w:tcW w:w="160" w:type="dxa"/>
            <w:tcBorders>
              <w:right w:val="single" w:sz="8" w:space="0" w:color="005022"/>
            </w:tcBorders>
            <w:shd w:val="clear" w:color="auto" w:fill="00923D"/>
            <w:vAlign w:val="bottom"/>
          </w:tcPr>
          <w:p w:rsidR="00AC12B4" w:rsidRPr="00C27636" w:rsidRDefault="00AC12B4">
            <w:pPr>
              <w:rPr>
                <w:sz w:val="9"/>
                <w:szCs w:val="9"/>
                <w:lang w:val="fr-BE"/>
              </w:rPr>
            </w:pPr>
          </w:p>
        </w:tc>
        <w:tc>
          <w:tcPr>
            <w:tcW w:w="1440" w:type="dxa"/>
            <w:gridSpan w:val="4"/>
            <w:vMerge w:val="restart"/>
            <w:vAlign w:val="bottom"/>
          </w:tcPr>
          <w:p w:rsidR="00AC12B4" w:rsidRDefault="00C27636">
            <w:pPr>
              <w:ind w:left="180"/>
              <w:rPr>
                <w:sz w:val="20"/>
                <w:szCs w:val="20"/>
              </w:rPr>
            </w:pPr>
            <w:r>
              <w:rPr>
                <w:rFonts w:ascii="Calibri" w:eastAsia="Calibri" w:hAnsi="Calibri" w:cs="Calibri"/>
              </w:rPr>
              <w:t>d’EQLS 2012.</w:t>
            </w:r>
          </w:p>
        </w:tc>
        <w:tc>
          <w:tcPr>
            <w:tcW w:w="38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360" w:type="dxa"/>
            <w:vAlign w:val="bottom"/>
          </w:tcPr>
          <w:p w:rsidR="00AC12B4" w:rsidRDefault="00AC12B4">
            <w:pPr>
              <w:rPr>
                <w:sz w:val="9"/>
                <w:szCs w:val="9"/>
              </w:rPr>
            </w:pPr>
          </w:p>
        </w:tc>
        <w:tc>
          <w:tcPr>
            <w:tcW w:w="520" w:type="dxa"/>
            <w:vAlign w:val="bottom"/>
          </w:tcPr>
          <w:p w:rsidR="00AC12B4" w:rsidRDefault="00AC12B4">
            <w:pPr>
              <w:rPr>
                <w:sz w:val="9"/>
                <w:szCs w:val="9"/>
              </w:rPr>
            </w:pPr>
          </w:p>
        </w:tc>
        <w:tc>
          <w:tcPr>
            <w:tcW w:w="36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156"/>
        </w:trPr>
        <w:tc>
          <w:tcPr>
            <w:tcW w:w="6520" w:type="dxa"/>
            <w:gridSpan w:val="14"/>
            <w:vMerge w:val="restart"/>
            <w:tcBorders>
              <w:left w:val="single" w:sz="8" w:space="0" w:color="005022"/>
            </w:tcBorders>
            <w:shd w:val="clear" w:color="auto" w:fill="00923D"/>
            <w:vAlign w:val="bottom"/>
          </w:tcPr>
          <w:p w:rsidR="00AC12B4" w:rsidRPr="00C27636" w:rsidRDefault="00C27636">
            <w:pPr>
              <w:spacing w:line="267" w:lineRule="exact"/>
              <w:ind w:left="580"/>
              <w:rPr>
                <w:sz w:val="20"/>
                <w:szCs w:val="20"/>
                <w:lang w:val="fr-BE"/>
              </w:rPr>
            </w:pPr>
            <w:r w:rsidRPr="00C27636">
              <w:rPr>
                <w:rFonts w:ascii="Calibri" w:eastAsia="Calibri" w:hAnsi="Calibri" w:cs="Calibri"/>
                <w:i/>
                <w:iCs/>
                <w:color w:val="EAF1DD"/>
                <w:lang w:val="fr-BE"/>
              </w:rPr>
              <w:t>reconnaissance du principe selon lequel les deux parents ont une</w:t>
            </w:r>
          </w:p>
        </w:tc>
        <w:tc>
          <w:tcPr>
            <w:tcW w:w="160" w:type="dxa"/>
            <w:tcBorders>
              <w:right w:val="single" w:sz="8" w:space="0" w:color="005022"/>
            </w:tcBorders>
            <w:shd w:val="clear" w:color="auto" w:fill="00923D"/>
            <w:vAlign w:val="bottom"/>
          </w:tcPr>
          <w:p w:rsidR="00AC12B4" w:rsidRPr="00C27636" w:rsidRDefault="00AC12B4">
            <w:pPr>
              <w:rPr>
                <w:sz w:val="13"/>
                <w:szCs w:val="13"/>
                <w:lang w:val="fr-BE"/>
              </w:rPr>
            </w:pPr>
          </w:p>
        </w:tc>
        <w:tc>
          <w:tcPr>
            <w:tcW w:w="1440" w:type="dxa"/>
            <w:gridSpan w:val="4"/>
            <w:vMerge/>
            <w:vAlign w:val="bottom"/>
          </w:tcPr>
          <w:p w:rsidR="00AC12B4" w:rsidRPr="00C27636" w:rsidRDefault="00AC12B4">
            <w:pPr>
              <w:rPr>
                <w:sz w:val="13"/>
                <w:szCs w:val="13"/>
                <w:lang w:val="fr-BE"/>
              </w:rPr>
            </w:pPr>
          </w:p>
        </w:tc>
        <w:tc>
          <w:tcPr>
            <w:tcW w:w="380" w:type="dxa"/>
            <w:vAlign w:val="bottom"/>
          </w:tcPr>
          <w:p w:rsidR="00AC12B4" w:rsidRPr="00C27636" w:rsidRDefault="00AC12B4">
            <w:pPr>
              <w:rPr>
                <w:sz w:val="13"/>
                <w:szCs w:val="13"/>
                <w:lang w:val="fr-BE"/>
              </w:rPr>
            </w:pPr>
          </w:p>
        </w:tc>
        <w:tc>
          <w:tcPr>
            <w:tcW w:w="240" w:type="dxa"/>
            <w:vAlign w:val="bottom"/>
          </w:tcPr>
          <w:p w:rsidR="00AC12B4" w:rsidRPr="00C27636" w:rsidRDefault="00AC12B4">
            <w:pPr>
              <w:rPr>
                <w:sz w:val="13"/>
                <w:szCs w:val="13"/>
                <w:lang w:val="fr-BE"/>
              </w:rPr>
            </w:pPr>
          </w:p>
        </w:tc>
        <w:tc>
          <w:tcPr>
            <w:tcW w:w="480" w:type="dxa"/>
            <w:vAlign w:val="bottom"/>
          </w:tcPr>
          <w:p w:rsidR="00AC12B4" w:rsidRPr="00C27636" w:rsidRDefault="00AC12B4">
            <w:pPr>
              <w:rPr>
                <w:sz w:val="13"/>
                <w:szCs w:val="13"/>
                <w:lang w:val="fr-BE"/>
              </w:rPr>
            </w:pPr>
          </w:p>
        </w:tc>
        <w:tc>
          <w:tcPr>
            <w:tcW w:w="360" w:type="dxa"/>
            <w:vAlign w:val="bottom"/>
          </w:tcPr>
          <w:p w:rsidR="00AC12B4" w:rsidRPr="00C27636" w:rsidRDefault="00AC12B4">
            <w:pPr>
              <w:rPr>
                <w:sz w:val="13"/>
                <w:szCs w:val="13"/>
                <w:lang w:val="fr-BE"/>
              </w:rPr>
            </w:pPr>
          </w:p>
        </w:tc>
        <w:tc>
          <w:tcPr>
            <w:tcW w:w="520" w:type="dxa"/>
            <w:vAlign w:val="bottom"/>
          </w:tcPr>
          <w:p w:rsidR="00AC12B4" w:rsidRPr="00C27636" w:rsidRDefault="00AC12B4">
            <w:pPr>
              <w:rPr>
                <w:sz w:val="13"/>
                <w:szCs w:val="13"/>
                <w:lang w:val="fr-BE"/>
              </w:rPr>
            </w:pPr>
          </w:p>
        </w:tc>
        <w:tc>
          <w:tcPr>
            <w:tcW w:w="360" w:type="dxa"/>
            <w:vAlign w:val="bottom"/>
          </w:tcPr>
          <w:p w:rsidR="00AC12B4" w:rsidRPr="00C27636" w:rsidRDefault="00AC12B4">
            <w:pPr>
              <w:rPr>
                <w:sz w:val="13"/>
                <w:szCs w:val="13"/>
                <w:lang w:val="fr-BE"/>
              </w:rPr>
            </w:pPr>
          </w:p>
        </w:tc>
        <w:tc>
          <w:tcPr>
            <w:tcW w:w="26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110"/>
        </w:trPr>
        <w:tc>
          <w:tcPr>
            <w:tcW w:w="6520" w:type="dxa"/>
            <w:gridSpan w:val="14"/>
            <w:vMerge/>
            <w:tcBorders>
              <w:left w:val="single" w:sz="8" w:space="0" w:color="005022"/>
            </w:tcBorders>
            <w:shd w:val="clear" w:color="auto" w:fill="00923D"/>
            <w:vAlign w:val="bottom"/>
          </w:tcPr>
          <w:p w:rsidR="00AC12B4" w:rsidRPr="00C27636" w:rsidRDefault="00AC12B4">
            <w:pPr>
              <w:rPr>
                <w:sz w:val="9"/>
                <w:szCs w:val="9"/>
                <w:lang w:val="fr-BE"/>
              </w:rPr>
            </w:pPr>
          </w:p>
        </w:tc>
        <w:tc>
          <w:tcPr>
            <w:tcW w:w="160" w:type="dxa"/>
            <w:tcBorders>
              <w:right w:val="single" w:sz="8" w:space="0" w:color="005022"/>
            </w:tcBorders>
            <w:shd w:val="clear" w:color="auto" w:fill="00923D"/>
            <w:vAlign w:val="bottom"/>
          </w:tcPr>
          <w:p w:rsidR="00AC12B4" w:rsidRPr="00C27636" w:rsidRDefault="00AC12B4">
            <w:pPr>
              <w:rPr>
                <w:sz w:val="9"/>
                <w:szCs w:val="9"/>
                <w:lang w:val="fr-BE"/>
              </w:rPr>
            </w:pPr>
          </w:p>
        </w:tc>
        <w:tc>
          <w:tcPr>
            <w:tcW w:w="340" w:type="dxa"/>
            <w:vAlign w:val="bottom"/>
          </w:tcPr>
          <w:p w:rsidR="00AC12B4" w:rsidRPr="00C27636" w:rsidRDefault="00AC12B4">
            <w:pPr>
              <w:rPr>
                <w:sz w:val="9"/>
                <w:szCs w:val="9"/>
                <w:lang w:val="fr-BE"/>
              </w:rPr>
            </w:pPr>
          </w:p>
        </w:tc>
        <w:tc>
          <w:tcPr>
            <w:tcW w:w="700" w:type="dxa"/>
            <w:vAlign w:val="bottom"/>
          </w:tcPr>
          <w:p w:rsidR="00AC12B4" w:rsidRPr="00C27636" w:rsidRDefault="00AC12B4">
            <w:pPr>
              <w:rPr>
                <w:sz w:val="9"/>
                <w:szCs w:val="9"/>
                <w:lang w:val="fr-BE"/>
              </w:rPr>
            </w:pPr>
          </w:p>
        </w:tc>
        <w:tc>
          <w:tcPr>
            <w:tcW w:w="100" w:type="dxa"/>
            <w:vAlign w:val="bottom"/>
          </w:tcPr>
          <w:p w:rsidR="00AC12B4" w:rsidRPr="00C27636" w:rsidRDefault="00AC12B4">
            <w:pPr>
              <w:rPr>
                <w:sz w:val="9"/>
                <w:szCs w:val="9"/>
                <w:lang w:val="fr-BE"/>
              </w:rPr>
            </w:pPr>
          </w:p>
        </w:tc>
        <w:tc>
          <w:tcPr>
            <w:tcW w:w="300" w:type="dxa"/>
            <w:vAlign w:val="bottom"/>
          </w:tcPr>
          <w:p w:rsidR="00AC12B4" w:rsidRPr="00C27636" w:rsidRDefault="00AC12B4">
            <w:pPr>
              <w:rPr>
                <w:sz w:val="9"/>
                <w:szCs w:val="9"/>
                <w:lang w:val="fr-BE"/>
              </w:rPr>
            </w:pPr>
          </w:p>
        </w:tc>
        <w:tc>
          <w:tcPr>
            <w:tcW w:w="380" w:type="dxa"/>
            <w:vAlign w:val="bottom"/>
          </w:tcPr>
          <w:p w:rsidR="00AC12B4" w:rsidRPr="00C27636" w:rsidRDefault="00AC12B4">
            <w:pPr>
              <w:rPr>
                <w:sz w:val="9"/>
                <w:szCs w:val="9"/>
                <w:lang w:val="fr-BE"/>
              </w:rPr>
            </w:pPr>
          </w:p>
        </w:tc>
        <w:tc>
          <w:tcPr>
            <w:tcW w:w="240" w:type="dxa"/>
            <w:vAlign w:val="bottom"/>
          </w:tcPr>
          <w:p w:rsidR="00AC12B4" w:rsidRPr="00C27636" w:rsidRDefault="00AC12B4">
            <w:pPr>
              <w:rPr>
                <w:sz w:val="9"/>
                <w:szCs w:val="9"/>
                <w:lang w:val="fr-BE"/>
              </w:rPr>
            </w:pPr>
          </w:p>
        </w:tc>
        <w:tc>
          <w:tcPr>
            <w:tcW w:w="480" w:type="dxa"/>
            <w:vAlign w:val="bottom"/>
          </w:tcPr>
          <w:p w:rsidR="00AC12B4" w:rsidRPr="00C27636" w:rsidRDefault="00AC12B4">
            <w:pPr>
              <w:rPr>
                <w:sz w:val="9"/>
                <w:szCs w:val="9"/>
                <w:lang w:val="fr-BE"/>
              </w:rPr>
            </w:pPr>
          </w:p>
        </w:tc>
        <w:tc>
          <w:tcPr>
            <w:tcW w:w="360" w:type="dxa"/>
            <w:vAlign w:val="bottom"/>
          </w:tcPr>
          <w:p w:rsidR="00AC12B4" w:rsidRPr="00C27636" w:rsidRDefault="00AC12B4">
            <w:pPr>
              <w:rPr>
                <w:sz w:val="9"/>
                <w:szCs w:val="9"/>
                <w:lang w:val="fr-BE"/>
              </w:rPr>
            </w:pPr>
          </w:p>
        </w:tc>
        <w:tc>
          <w:tcPr>
            <w:tcW w:w="520" w:type="dxa"/>
            <w:vAlign w:val="bottom"/>
          </w:tcPr>
          <w:p w:rsidR="00AC12B4" w:rsidRPr="00C27636" w:rsidRDefault="00AC12B4">
            <w:pPr>
              <w:rPr>
                <w:sz w:val="9"/>
                <w:szCs w:val="9"/>
                <w:lang w:val="fr-BE"/>
              </w:rPr>
            </w:pPr>
          </w:p>
        </w:tc>
        <w:tc>
          <w:tcPr>
            <w:tcW w:w="360" w:type="dxa"/>
            <w:vAlign w:val="bottom"/>
          </w:tcPr>
          <w:p w:rsidR="00AC12B4" w:rsidRPr="00C27636" w:rsidRDefault="00AC12B4">
            <w:pPr>
              <w:rPr>
                <w:sz w:val="9"/>
                <w:szCs w:val="9"/>
                <w:lang w:val="fr-BE"/>
              </w:rPr>
            </w:pPr>
          </w:p>
        </w:tc>
        <w:tc>
          <w:tcPr>
            <w:tcW w:w="26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250"/>
        </w:trPr>
        <w:tc>
          <w:tcPr>
            <w:tcW w:w="6520" w:type="dxa"/>
            <w:gridSpan w:val="14"/>
            <w:tcBorders>
              <w:left w:val="single" w:sz="8" w:space="0" w:color="005022"/>
            </w:tcBorders>
            <w:shd w:val="clear" w:color="auto" w:fill="00923D"/>
            <w:vAlign w:val="bottom"/>
          </w:tcPr>
          <w:p w:rsidR="00AC12B4" w:rsidRPr="00C27636" w:rsidRDefault="00C27636">
            <w:pPr>
              <w:spacing w:line="250" w:lineRule="exact"/>
              <w:ind w:left="580"/>
              <w:rPr>
                <w:sz w:val="20"/>
                <w:szCs w:val="20"/>
                <w:lang w:val="fr-BE"/>
              </w:rPr>
            </w:pPr>
            <w:r w:rsidRPr="00C27636">
              <w:rPr>
                <w:rFonts w:ascii="Calibri" w:eastAsia="Calibri" w:hAnsi="Calibri" w:cs="Calibri"/>
                <w:i/>
                <w:iCs/>
                <w:color w:val="EAF1DD"/>
                <w:lang w:val="fr-BE"/>
              </w:rPr>
              <w:t>responsabilité commune pour ce qui est d’élever l’enfant et</w:t>
            </w:r>
          </w:p>
        </w:tc>
        <w:tc>
          <w:tcPr>
            <w:tcW w:w="160" w:type="dxa"/>
            <w:tcBorders>
              <w:right w:val="single" w:sz="8" w:space="0" w:color="005022"/>
            </w:tcBorders>
            <w:shd w:val="clear" w:color="auto" w:fill="00923D"/>
            <w:vAlign w:val="bottom"/>
          </w:tcPr>
          <w:p w:rsidR="00AC12B4" w:rsidRPr="00C27636" w:rsidRDefault="00AC12B4">
            <w:pPr>
              <w:rPr>
                <w:sz w:val="21"/>
                <w:szCs w:val="21"/>
                <w:lang w:val="fr-BE"/>
              </w:rPr>
            </w:pPr>
          </w:p>
        </w:tc>
        <w:tc>
          <w:tcPr>
            <w:tcW w:w="340" w:type="dxa"/>
            <w:vAlign w:val="bottom"/>
          </w:tcPr>
          <w:p w:rsidR="00AC12B4" w:rsidRPr="00C27636" w:rsidRDefault="00AC12B4">
            <w:pPr>
              <w:rPr>
                <w:sz w:val="21"/>
                <w:szCs w:val="21"/>
                <w:lang w:val="fr-BE"/>
              </w:rPr>
            </w:pPr>
          </w:p>
        </w:tc>
        <w:tc>
          <w:tcPr>
            <w:tcW w:w="700" w:type="dxa"/>
            <w:vAlign w:val="bottom"/>
          </w:tcPr>
          <w:p w:rsidR="00AC12B4" w:rsidRPr="00C27636" w:rsidRDefault="00AC12B4">
            <w:pPr>
              <w:rPr>
                <w:sz w:val="21"/>
                <w:szCs w:val="21"/>
                <w:lang w:val="fr-BE"/>
              </w:rPr>
            </w:pPr>
          </w:p>
        </w:tc>
        <w:tc>
          <w:tcPr>
            <w:tcW w:w="100" w:type="dxa"/>
            <w:vAlign w:val="bottom"/>
          </w:tcPr>
          <w:p w:rsidR="00AC12B4" w:rsidRPr="00C27636" w:rsidRDefault="00AC12B4">
            <w:pPr>
              <w:rPr>
                <w:sz w:val="21"/>
                <w:szCs w:val="21"/>
                <w:lang w:val="fr-BE"/>
              </w:rPr>
            </w:pPr>
          </w:p>
        </w:tc>
        <w:tc>
          <w:tcPr>
            <w:tcW w:w="300" w:type="dxa"/>
            <w:vAlign w:val="bottom"/>
          </w:tcPr>
          <w:p w:rsidR="00AC12B4" w:rsidRPr="00C27636" w:rsidRDefault="00AC12B4">
            <w:pPr>
              <w:rPr>
                <w:sz w:val="21"/>
                <w:szCs w:val="21"/>
                <w:lang w:val="fr-BE"/>
              </w:rPr>
            </w:pPr>
          </w:p>
        </w:tc>
        <w:tc>
          <w:tcPr>
            <w:tcW w:w="380" w:type="dxa"/>
            <w:vAlign w:val="bottom"/>
          </w:tcPr>
          <w:p w:rsidR="00AC12B4" w:rsidRPr="00C27636" w:rsidRDefault="00AC12B4">
            <w:pPr>
              <w:rPr>
                <w:sz w:val="21"/>
                <w:szCs w:val="21"/>
                <w:lang w:val="fr-BE"/>
              </w:rPr>
            </w:pPr>
          </w:p>
        </w:tc>
        <w:tc>
          <w:tcPr>
            <w:tcW w:w="240" w:type="dxa"/>
            <w:vAlign w:val="bottom"/>
          </w:tcPr>
          <w:p w:rsidR="00AC12B4" w:rsidRPr="00C27636" w:rsidRDefault="00AC12B4">
            <w:pPr>
              <w:rPr>
                <w:sz w:val="21"/>
                <w:szCs w:val="21"/>
                <w:lang w:val="fr-BE"/>
              </w:rPr>
            </w:pPr>
          </w:p>
        </w:tc>
        <w:tc>
          <w:tcPr>
            <w:tcW w:w="480" w:type="dxa"/>
            <w:vAlign w:val="bottom"/>
          </w:tcPr>
          <w:p w:rsidR="00AC12B4" w:rsidRPr="00C27636" w:rsidRDefault="00AC12B4">
            <w:pPr>
              <w:rPr>
                <w:sz w:val="21"/>
                <w:szCs w:val="21"/>
                <w:lang w:val="fr-BE"/>
              </w:rPr>
            </w:pPr>
          </w:p>
        </w:tc>
        <w:tc>
          <w:tcPr>
            <w:tcW w:w="360" w:type="dxa"/>
            <w:vAlign w:val="bottom"/>
          </w:tcPr>
          <w:p w:rsidR="00AC12B4" w:rsidRPr="00C27636" w:rsidRDefault="00AC12B4">
            <w:pPr>
              <w:rPr>
                <w:sz w:val="21"/>
                <w:szCs w:val="21"/>
                <w:lang w:val="fr-BE"/>
              </w:rPr>
            </w:pPr>
          </w:p>
        </w:tc>
        <w:tc>
          <w:tcPr>
            <w:tcW w:w="520" w:type="dxa"/>
            <w:vAlign w:val="bottom"/>
          </w:tcPr>
          <w:p w:rsidR="00AC12B4" w:rsidRPr="00C27636" w:rsidRDefault="00AC12B4">
            <w:pPr>
              <w:rPr>
                <w:sz w:val="21"/>
                <w:szCs w:val="21"/>
                <w:lang w:val="fr-BE"/>
              </w:rPr>
            </w:pPr>
          </w:p>
        </w:tc>
        <w:tc>
          <w:tcPr>
            <w:tcW w:w="360" w:type="dxa"/>
            <w:vAlign w:val="bottom"/>
          </w:tcPr>
          <w:p w:rsidR="00AC12B4" w:rsidRPr="00C27636" w:rsidRDefault="00AC12B4">
            <w:pPr>
              <w:rPr>
                <w:sz w:val="21"/>
                <w:szCs w:val="21"/>
                <w:lang w:val="fr-BE"/>
              </w:rPr>
            </w:pPr>
          </w:p>
        </w:tc>
        <w:tc>
          <w:tcPr>
            <w:tcW w:w="260" w:type="dxa"/>
            <w:vAlign w:val="bottom"/>
          </w:tcPr>
          <w:p w:rsidR="00AC12B4" w:rsidRPr="00C27636" w:rsidRDefault="00AC12B4">
            <w:pPr>
              <w:rPr>
                <w:sz w:val="21"/>
                <w:szCs w:val="21"/>
                <w:lang w:val="fr-BE"/>
              </w:rPr>
            </w:pPr>
          </w:p>
        </w:tc>
        <w:tc>
          <w:tcPr>
            <w:tcW w:w="0" w:type="dxa"/>
            <w:vAlign w:val="bottom"/>
          </w:tcPr>
          <w:p w:rsidR="00AC12B4" w:rsidRPr="00C27636" w:rsidRDefault="00AC12B4">
            <w:pPr>
              <w:rPr>
                <w:sz w:val="1"/>
                <w:szCs w:val="1"/>
                <w:lang w:val="fr-BE"/>
              </w:rPr>
            </w:pPr>
          </w:p>
        </w:tc>
      </w:tr>
      <w:tr w:rsidR="00AC12B4">
        <w:trPr>
          <w:trHeight w:val="287"/>
        </w:trPr>
        <w:tc>
          <w:tcPr>
            <w:tcW w:w="6520" w:type="dxa"/>
            <w:gridSpan w:val="14"/>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t>d’assurer son développement. La responsabilité d’élever l’enfant</w:t>
            </w: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300" w:type="dxa"/>
            <w:vAlign w:val="bottom"/>
          </w:tcPr>
          <w:p w:rsidR="00AC12B4" w:rsidRPr="00C27636" w:rsidRDefault="00AC12B4">
            <w:pPr>
              <w:rPr>
                <w:sz w:val="24"/>
                <w:szCs w:val="24"/>
                <w:lang w:val="fr-BE"/>
              </w:rPr>
            </w:pPr>
          </w:p>
        </w:tc>
        <w:tc>
          <w:tcPr>
            <w:tcW w:w="2340" w:type="dxa"/>
            <w:gridSpan w:val="6"/>
            <w:vMerge w:val="restart"/>
            <w:vAlign w:val="bottom"/>
          </w:tcPr>
          <w:p w:rsidR="00AC12B4" w:rsidRDefault="00C27636">
            <w:pPr>
              <w:ind w:left="240"/>
              <w:rPr>
                <w:sz w:val="20"/>
                <w:szCs w:val="20"/>
              </w:rPr>
            </w:pPr>
            <w:r>
              <w:rPr>
                <w:rFonts w:ascii="Comic Sans MS" w:eastAsia="Comic Sans MS" w:hAnsi="Comic Sans MS" w:cs="Comic Sans MS"/>
                <w:color w:val="00923D"/>
                <w:sz w:val="96"/>
                <w:szCs w:val="96"/>
              </w:rPr>
              <w:t>3</w:t>
            </w:r>
            <w:r>
              <w:rPr>
                <w:rFonts w:ascii="Comic Sans MS" w:eastAsia="Comic Sans MS" w:hAnsi="Comic Sans MS" w:cs="Comic Sans MS"/>
                <w:color w:val="00923D"/>
                <w:sz w:val="96"/>
                <w:szCs w:val="96"/>
              </w:rPr>
              <w:lastRenderedPageBreak/>
              <w:t>3%</w:t>
            </w:r>
          </w:p>
        </w:tc>
        <w:tc>
          <w:tcPr>
            <w:tcW w:w="2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69"/>
        </w:trPr>
        <w:tc>
          <w:tcPr>
            <w:tcW w:w="6520" w:type="dxa"/>
            <w:gridSpan w:val="14"/>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t>et d’assurer son développement incombe au premier chef aux</w:t>
            </w:r>
          </w:p>
        </w:tc>
        <w:tc>
          <w:tcPr>
            <w:tcW w:w="160" w:type="dxa"/>
            <w:tcBorders>
              <w:right w:val="single" w:sz="8" w:space="0" w:color="005022"/>
            </w:tcBorders>
            <w:shd w:val="clear" w:color="auto" w:fill="00923D"/>
            <w:vAlign w:val="bottom"/>
          </w:tcPr>
          <w:p w:rsidR="00AC12B4" w:rsidRPr="00C27636" w:rsidRDefault="00AC12B4">
            <w:pPr>
              <w:rPr>
                <w:sz w:val="23"/>
                <w:szCs w:val="23"/>
                <w:lang w:val="fr-BE"/>
              </w:rPr>
            </w:pPr>
          </w:p>
        </w:tc>
        <w:tc>
          <w:tcPr>
            <w:tcW w:w="340" w:type="dxa"/>
            <w:vAlign w:val="bottom"/>
          </w:tcPr>
          <w:p w:rsidR="00AC12B4" w:rsidRPr="00C27636" w:rsidRDefault="00AC12B4">
            <w:pPr>
              <w:rPr>
                <w:sz w:val="23"/>
                <w:szCs w:val="23"/>
                <w:lang w:val="fr-BE"/>
              </w:rPr>
            </w:pPr>
          </w:p>
        </w:tc>
        <w:tc>
          <w:tcPr>
            <w:tcW w:w="700" w:type="dxa"/>
            <w:vAlign w:val="bottom"/>
          </w:tcPr>
          <w:p w:rsidR="00AC12B4" w:rsidRPr="00C27636" w:rsidRDefault="00AC12B4">
            <w:pPr>
              <w:rPr>
                <w:sz w:val="23"/>
                <w:szCs w:val="23"/>
                <w:lang w:val="fr-BE"/>
              </w:rPr>
            </w:pPr>
          </w:p>
        </w:tc>
        <w:tc>
          <w:tcPr>
            <w:tcW w:w="100" w:type="dxa"/>
            <w:tcBorders>
              <w:right w:val="single" w:sz="8" w:space="0" w:color="00923D"/>
            </w:tcBorders>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2340" w:type="dxa"/>
            <w:gridSpan w:val="6"/>
            <w:vMerge/>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6520" w:type="dxa"/>
            <w:gridSpan w:val="14"/>
            <w:tcBorders>
              <w:left w:val="single" w:sz="8" w:space="0" w:color="005022"/>
            </w:tcBorders>
            <w:shd w:val="clear" w:color="auto" w:fill="00923D"/>
            <w:vAlign w:val="bottom"/>
          </w:tcPr>
          <w:p w:rsidR="00AC12B4" w:rsidRDefault="00C27636">
            <w:pPr>
              <w:ind w:left="580"/>
              <w:rPr>
                <w:sz w:val="20"/>
                <w:szCs w:val="20"/>
              </w:rPr>
            </w:pPr>
            <w:r w:rsidRPr="00C27636">
              <w:rPr>
                <w:rFonts w:ascii="Calibri" w:eastAsia="Calibri" w:hAnsi="Calibri" w:cs="Calibri"/>
                <w:i/>
                <w:iCs/>
                <w:color w:val="EAF1DD"/>
                <w:lang w:val="fr-BE"/>
              </w:rPr>
              <w:t xml:space="preserve">parents ou, le cas échéant, à ses représentants légaux. </w:t>
            </w:r>
            <w:r>
              <w:rPr>
                <w:rFonts w:ascii="Calibri" w:eastAsia="Calibri" w:hAnsi="Calibri" w:cs="Calibri"/>
                <w:i/>
                <w:iCs/>
                <w:color w:val="EAF1DD"/>
              </w:rPr>
              <w:t>Ceux-ci</w:t>
            </w:r>
          </w:p>
        </w:tc>
        <w:tc>
          <w:tcPr>
            <w:tcW w:w="160" w:type="dxa"/>
            <w:tcBorders>
              <w:right w:val="single" w:sz="8" w:space="0" w:color="005022"/>
            </w:tcBorders>
            <w:shd w:val="clear" w:color="auto" w:fill="00923D"/>
            <w:vAlign w:val="bottom"/>
          </w:tcPr>
          <w:p w:rsidR="00AC12B4" w:rsidRDefault="00AC12B4">
            <w:pPr>
              <w:rPr>
                <w:sz w:val="23"/>
                <w:szCs w:val="23"/>
              </w:rPr>
            </w:pPr>
          </w:p>
        </w:tc>
        <w:tc>
          <w:tcPr>
            <w:tcW w:w="340" w:type="dxa"/>
            <w:vAlign w:val="bottom"/>
          </w:tcPr>
          <w:p w:rsidR="00AC12B4" w:rsidRDefault="00AC12B4">
            <w:pPr>
              <w:rPr>
                <w:sz w:val="23"/>
                <w:szCs w:val="23"/>
              </w:rPr>
            </w:pPr>
          </w:p>
        </w:tc>
        <w:tc>
          <w:tcPr>
            <w:tcW w:w="700" w:type="dxa"/>
            <w:vAlign w:val="bottom"/>
          </w:tcPr>
          <w:p w:rsidR="00AC12B4" w:rsidRDefault="00AC12B4">
            <w:pPr>
              <w:rPr>
                <w:sz w:val="23"/>
                <w:szCs w:val="23"/>
              </w:rPr>
            </w:pPr>
          </w:p>
        </w:tc>
        <w:tc>
          <w:tcPr>
            <w:tcW w:w="100" w:type="dxa"/>
            <w:tcBorders>
              <w:right w:val="single" w:sz="8" w:space="0" w:color="00923D"/>
            </w:tcBorders>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340" w:type="dxa"/>
            <w:gridSpan w:val="6"/>
            <w:vMerge/>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6340" w:type="dxa"/>
            <w:gridSpan w:val="13"/>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w w:val="99"/>
                <w:lang w:val="fr-BE"/>
              </w:rPr>
              <w:t xml:space="preserve">doivent être guidés </w:t>
            </w:r>
            <w:r w:rsidRPr="00C27636">
              <w:rPr>
                <w:rFonts w:ascii="Calibri" w:eastAsia="Calibri" w:hAnsi="Calibri" w:cs="Calibri"/>
                <w:i/>
                <w:iCs/>
                <w:color w:val="EAF1DD"/>
                <w:w w:val="99"/>
                <w:lang w:val="fr-BE"/>
              </w:rPr>
              <w:t xml:space="preserve">avant tout par </w:t>
            </w:r>
            <w:r w:rsidRPr="00C27636">
              <w:rPr>
                <w:rFonts w:ascii="Calibri" w:eastAsia="Calibri" w:hAnsi="Calibri" w:cs="Calibri"/>
                <w:i/>
                <w:iCs/>
                <w:color w:val="EAF1DD"/>
                <w:w w:val="99"/>
                <w:lang w:val="fr-BE"/>
              </w:rPr>
              <w:lastRenderedPageBreak/>
              <w:t>l’intérêt supérieur de l’enfant.</w:t>
            </w:r>
          </w:p>
        </w:tc>
        <w:tc>
          <w:tcPr>
            <w:tcW w:w="180" w:type="dxa"/>
            <w:shd w:val="clear" w:color="auto" w:fill="00923D"/>
            <w:vAlign w:val="bottom"/>
          </w:tcPr>
          <w:p w:rsidR="00AC12B4" w:rsidRPr="00C27636" w:rsidRDefault="00AC12B4">
            <w:pPr>
              <w:rPr>
                <w:sz w:val="23"/>
                <w:szCs w:val="23"/>
                <w:lang w:val="fr-BE"/>
              </w:rPr>
            </w:pPr>
          </w:p>
        </w:tc>
        <w:tc>
          <w:tcPr>
            <w:tcW w:w="160" w:type="dxa"/>
            <w:tcBorders>
              <w:right w:val="single" w:sz="8" w:space="0" w:color="005022"/>
            </w:tcBorders>
            <w:shd w:val="clear" w:color="auto" w:fill="00923D"/>
            <w:vAlign w:val="bottom"/>
          </w:tcPr>
          <w:p w:rsidR="00AC12B4" w:rsidRPr="00C27636" w:rsidRDefault="00AC12B4">
            <w:pPr>
              <w:rPr>
                <w:sz w:val="23"/>
                <w:szCs w:val="23"/>
                <w:lang w:val="fr-BE"/>
              </w:rPr>
            </w:pPr>
          </w:p>
        </w:tc>
        <w:tc>
          <w:tcPr>
            <w:tcW w:w="340" w:type="dxa"/>
            <w:vAlign w:val="bottom"/>
          </w:tcPr>
          <w:p w:rsidR="00AC12B4" w:rsidRPr="00C27636" w:rsidRDefault="00AC12B4">
            <w:pPr>
              <w:rPr>
                <w:sz w:val="23"/>
                <w:szCs w:val="23"/>
                <w:lang w:val="fr-BE"/>
              </w:rPr>
            </w:pPr>
          </w:p>
        </w:tc>
        <w:tc>
          <w:tcPr>
            <w:tcW w:w="700" w:type="dxa"/>
            <w:vAlign w:val="bottom"/>
          </w:tcPr>
          <w:p w:rsidR="00AC12B4" w:rsidRPr="00C27636" w:rsidRDefault="00AC12B4">
            <w:pPr>
              <w:rPr>
                <w:sz w:val="23"/>
                <w:szCs w:val="23"/>
                <w:lang w:val="fr-BE"/>
              </w:rPr>
            </w:pPr>
          </w:p>
        </w:tc>
        <w:tc>
          <w:tcPr>
            <w:tcW w:w="100" w:type="dxa"/>
            <w:tcBorders>
              <w:right w:val="single" w:sz="8" w:space="0" w:color="00923D"/>
            </w:tcBorders>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2340" w:type="dxa"/>
            <w:gridSpan w:val="6"/>
            <w:vMerge/>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430"/>
        </w:trPr>
        <w:tc>
          <w:tcPr>
            <w:tcW w:w="6520" w:type="dxa"/>
            <w:gridSpan w:val="14"/>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lastRenderedPageBreak/>
              <w:t>2. Pour garantir et promouvoir les droits énoncés dans la présente</w:t>
            </w: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300" w:type="dxa"/>
            <w:vAlign w:val="bottom"/>
          </w:tcPr>
          <w:p w:rsidR="00AC12B4" w:rsidRPr="00C27636" w:rsidRDefault="00AC12B4">
            <w:pPr>
              <w:rPr>
                <w:sz w:val="24"/>
                <w:szCs w:val="24"/>
                <w:lang w:val="fr-BE"/>
              </w:rPr>
            </w:pPr>
          </w:p>
        </w:tc>
        <w:tc>
          <w:tcPr>
            <w:tcW w:w="2340" w:type="dxa"/>
            <w:gridSpan w:val="6"/>
            <w:vMerge/>
            <w:vAlign w:val="bottom"/>
          </w:tcPr>
          <w:p w:rsidR="00AC12B4" w:rsidRPr="00C27636" w:rsidRDefault="00AC12B4">
            <w:pPr>
              <w:rPr>
                <w:sz w:val="24"/>
                <w:szCs w:val="24"/>
                <w:lang w:val="fr-BE"/>
              </w:rPr>
            </w:pPr>
          </w:p>
        </w:tc>
        <w:tc>
          <w:tcPr>
            <w:tcW w:w="26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77"/>
        </w:trPr>
        <w:tc>
          <w:tcPr>
            <w:tcW w:w="6520" w:type="dxa"/>
            <w:gridSpan w:val="14"/>
            <w:tcBorders>
              <w:left w:val="single" w:sz="8" w:space="0" w:color="005022"/>
            </w:tcBorders>
            <w:shd w:val="clear" w:color="auto" w:fill="00923D"/>
            <w:vAlign w:val="bottom"/>
          </w:tcPr>
          <w:p w:rsidR="00AC12B4" w:rsidRPr="00C27636" w:rsidRDefault="00C27636">
            <w:pPr>
              <w:spacing w:line="228" w:lineRule="exact"/>
              <w:ind w:left="580"/>
              <w:rPr>
                <w:sz w:val="20"/>
                <w:szCs w:val="20"/>
                <w:lang w:val="fr-BE"/>
              </w:rPr>
            </w:pPr>
            <w:r w:rsidRPr="00C27636">
              <w:rPr>
                <w:rFonts w:ascii="Calibri" w:eastAsia="Calibri" w:hAnsi="Calibri" w:cs="Calibri"/>
                <w:i/>
                <w:iCs/>
                <w:color w:val="EAF1DD"/>
                <w:lang w:val="fr-BE"/>
              </w:rPr>
              <w:t>Convention, les Etats parties accordent l’aide appropriée aux</w:t>
            </w: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680" w:type="dxa"/>
            <w:gridSpan w:val="2"/>
            <w:vAlign w:val="bottom"/>
          </w:tcPr>
          <w:p w:rsidR="00AC12B4" w:rsidRDefault="00C27636">
            <w:pPr>
              <w:spacing w:line="277" w:lineRule="exact"/>
              <w:ind w:left="160"/>
              <w:rPr>
                <w:sz w:val="20"/>
                <w:szCs w:val="20"/>
              </w:rPr>
            </w:pPr>
            <w:r>
              <w:rPr>
                <w:rFonts w:ascii="Comic Sans MS" w:eastAsia="Comic Sans MS" w:hAnsi="Comic Sans MS" w:cs="Comic Sans MS"/>
                <w:color w:val="0D0D0D"/>
                <w:sz w:val="20"/>
                <w:szCs w:val="20"/>
              </w:rPr>
              <w:t>des</w:t>
            </w:r>
          </w:p>
        </w:tc>
        <w:tc>
          <w:tcPr>
            <w:tcW w:w="720" w:type="dxa"/>
            <w:gridSpan w:val="2"/>
            <w:vAlign w:val="bottom"/>
          </w:tcPr>
          <w:p w:rsidR="00AC12B4" w:rsidRDefault="00C27636">
            <w:pPr>
              <w:spacing w:line="277" w:lineRule="exact"/>
              <w:rPr>
                <w:sz w:val="20"/>
                <w:szCs w:val="20"/>
              </w:rPr>
            </w:pPr>
            <w:r>
              <w:rPr>
                <w:rFonts w:ascii="Comic Sans MS" w:eastAsia="Comic Sans MS" w:hAnsi="Comic Sans MS" w:cs="Comic Sans MS"/>
                <w:color w:val="0D0D0D"/>
                <w:sz w:val="20"/>
                <w:szCs w:val="20"/>
              </w:rPr>
              <w:t>belges</w:t>
            </w:r>
          </w:p>
        </w:tc>
        <w:tc>
          <w:tcPr>
            <w:tcW w:w="1240" w:type="dxa"/>
            <w:gridSpan w:val="3"/>
            <w:vAlign w:val="bottom"/>
          </w:tcPr>
          <w:p w:rsidR="00AC12B4" w:rsidRDefault="00C27636">
            <w:pPr>
              <w:spacing w:line="277" w:lineRule="exact"/>
              <w:ind w:left="100"/>
              <w:rPr>
                <w:sz w:val="20"/>
                <w:szCs w:val="20"/>
              </w:rPr>
            </w:pPr>
            <w:r>
              <w:rPr>
                <w:rFonts w:ascii="Comic Sans MS" w:eastAsia="Comic Sans MS" w:hAnsi="Comic Sans MS" w:cs="Comic Sans MS"/>
                <w:color w:val="0D0D0D"/>
                <w:sz w:val="20"/>
                <w:szCs w:val="20"/>
              </w:rPr>
              <w:t>interrogés</w:t>
            </w:r>
          </w:p>
        </w:tc>
        <w:tc>
          <w:tcPr>
            <w:tcW w:w="260" w:type="dxa"/>
            <w:vAlign w:val="bottom"/>
          </w:tcPr>
          <w:p w:rsidR="00AC12B4" w:rsidRDefault="00C27636">
            <w:pPr>
              <w:spacing w:line="277" w:lineRule="exact"/>
              <w:jc w:val="right"/>
              <w:rPr>
                <w:sz w:val="20"/>
                <w:szCs w:val="20"/>
              </w:rPr>
            </w:pPr>
            <w:r>
              <w:rPr>
                <w:rFonts w:ascii="Comic Sans MS" w:eastAsia="Comic Sans MS" w:hAnsi="Comic Sans MS" w:cs="Comic Sans MS"/>
                <w:color w:val="0D0D0D"/>
                <w:sz w:val="20"/>
                <w:szCs w:val="20"/>
              </w:rPr>
              <w:t>ne</w:t>
            </w:r>
          </w:p>
        </w:tc>
        <w:tc>
          <w:tcPr>
            <w:tcW w:w="0" w:type="dxa"/>
            <w:vAlign w:val="bottom"/>
          </w:tcPr>
          <w:p w:rsidR="00AC12B4" w:rsidRDefault="00AC12B4">
            <w:pPr>
              <w:rPr>
                <w:sz w:val="1"/>
                <w:szCs w:val="1"/>
              </w:rPr>
            </w:pPr>
          </w:p>
        </w:tc>
      </w:tr>
      <w:tr w:rsidR="00AC12B4" w:rsidRPr="00C27636">
        <w:trPr>
          <w:trHeight w:val="269"/>
        </w:trPr>
        <w:tc>
          <w:tcPr>
            <w:tcW w:w="6520" w:type="dxa"/>
            <w:gridSpan w:val="14"/>
            <w:tcBorders>
              <w:left w:val="single" w:sz="8" w:space="0" w:color="005022"/>
            </w:tcBorders>
            <w:shd w:val="clear" w:color="auto" w:fill="00923D"/>
            <w:vAlign w:val="bottom"/>
          </w:tcPr>
          <w:p w:rsidR="00AC12B4" w:rsidRPr="00C27636" w:rsidRDefault="00C27636">
            <w:pPr>
              <w:spacing w:line="220" w:lineRule="exact"/>
              <w:ind w:left="580"/>
              <w:rPr>
                <w:sz w:val="20"/>
                <w:szCs w:val="20"/>
                <w:lang w:val="fr-BE"/>
              </w:rPr>
            </w:pPr>
            <w:r w:rsidRPr="00C27636">
              <w:rPr>
                <w:rFonts w:ascii="Calibri" w:eastAsia="Calibri" w:hAnsi="Calibri" w:cs="Calibri"/>
                <w:i/>
                <w:iCs/>
                <w:color w:val="EAF1DD"/>
                <w:lang w:val="fr-BE"/>
              </w:rPr>
              <w:t xml:space="preserve">parents et aux représentants </w:t>
            </w:r>
            <w:r w:rsidRPr="00C27636">
              <w:rPr>
                <w:rFonts w:ascii="Calibri" w:eastAsia="Calibri" w:hAnsi="Calibri" w:cs="Calibri"/>
                <w:i/>
                <w:iCs/>
                <w:color w:val="EAF1DD"/>
                <w:lang w:val="fr-BE"/>
              </w:rPr>
              <w:t>légaux de l’enfant dans l’exercice de</w:t>
            </w:r>
          </w:p>
        </w:tc>
        <w:tc>
          <w:tcPr>
            <w:tcW w:w="160" w:type="dxa"/>
            <w:tcBorders>
              <w:right w:val="single" w:sz="8" w:space="0" w:color="005022"/>
            </w:tcBorders>
            <w:shd w:val="clear" w:color="auto" w:fill="00923D"/>
            <w:vAlign w:val="bottom"/>
          </w:tcPr>
          <w:p w:rsidR="00AC12B4" w:rsidRPr="00C27636" w:rsidRDefault="00AC12B4">
            <w:pPr>
              <w:rPr>
                <w:sz w:val="23"/>
                <w:szCs w:val="23"/>
                <w:lang w:val="fr-BE"/>
              </w:rPr>
            </w:pPr>
          </w:p>
        </w:tc>
        <w:tc>
          <w:tcPr>
            <w:tcW w:w="340" w:type="dxa"/>
            <w:vAlign w:val="bottom"/>
          </w:tcPr>
          <w:p w:rsidR="00AC12B4" w:rsidRPr="00C27636" w:rsidRDefault="00AC12B4">
            <w:pPr>
              <w:rPr>
                <w:sz w:val="23"/>
                <w:szCs w:val="23"/>
                <w:lang w:val="fr-BE"/>
              </w:rPr>
            </w:pPr>
          </w:p>
        </w:tc>
        <w:tc>
          <w:tcPr>
            <w:tcW w:w="700" w:type="dxa"/>
            <w:vAlign w:val="bottom"/>
          </w:tcPr>
          <w:p w:rsidR="00AC12B4" w:rsidRPr="00C27636" w:rsidRDefault="00AC12B4">
            <w:pPr>
              <w:rPr>
                <w:sz w:val="23"/>
                <w:szCs w:val="23"/>
                <w:lang w:val="fr-BE"/>
              </w:rPr>
            </w:pPr>
          </w:p>
        </w:tc>
        <w:tc>
          <w:tcPr>
            <w:tcW w:w="100" w:type="dxa"/>
            <w:tcBorders>
              <w:right w:val="single" w:sz="8" w:space="0" w:color="00923D"/>
            </w:tcBorders>
            <w:vAlign w:val="bottom"/>
          </w:tcPr>
          <w:p w:rsidR="00AC12B4" w:rsidRPr="00C27636" w:rsidRDefault="00AC12B4">
            <w:pPr>
              <w:rPr>
                <w:sz w:val="23"/>
                <w:szCs w:val="23"/>
                <w:lang w:val="fr-BE"/>
              </w:rPr>
            </w:pPr>
          </w:p>
        </w:tc>
        <w:tc>
          <w:tcPr>
            <w:tcW w:w="2900" w:type="dxa"/>
            <w:gridSpan w:val="8"/>
            <w:vAlign w:val="bottom"/>
          </w:tcPr>
          <w:p w:rsidR="00AC12B4" w:rsidRPr="00C27636" w:rsidRDefault="00C27636">
            <w:pPr>
              <w:spacing w:line="269" w:lineRule="exact"/>
              <w:ind w:left="160"/>
              <w:rPr>
                <w:sz w:val="20"/>
                <w:szCs w:val="20"/>
                <w:lang w:val="fr-BE"/>
              </w:rPr>
            </w:pPr>
            <w:r w:rsidRPr="00C27636">
              <w:rPr>
                <w:rFonts w:ascii="Comic Sans MS" w:eastAsia="Comic Sans MS" w:hAnsi="Comic Sans MS" w:cs="Comic Sans MS"/>
                <w:color w:val="0D0D0D"/>
                <w:sz w:val="20"/>
                <w:szCs w:val="20"/>
                <w:lang w:val="fr-BE"/>
              </w:rPr>
              <w:t>sont  pas  satisfaits  par  le</w:t>
            </w:r>
          </w:p>
        </w:tc>
        <w:tc>
          <w:tcPr>
            <w:tcW w:w="0" w:type="dxa"/>
            <w:vAlign w:val="bottom"/>
          </w:tcPr>
          <w:p w:rsidR="00AC12B4" w:rsidRPr="00C27636" w:rsidRDefault="00AC12B4">
            <w:pPr>
              <w:rPr>
                <w:sz w:val="1"/>
                <w:szCs w:val="1"/>
                <w:lang w:val="fr-BE"/>
              </w:rPr>
            </w:pPr>
          </w:p>
        </w:tc>
      </w:tr>
      <w:tr w:rsidR="00AC12B4">
        <w:trPr>
          <w:trHeight w:val="266"/>
        </w:trPr>
        <w:tc>
          <w:tcPr>
            <w:tcW w:w="6520" w:type="dxa"/>
            <w:gridSpan w:val="14"/>
            <w:tcBorders>
              <w:left w:val="single" w:sz="8" w:space="0" w:color="005022"/>
            </w:tcBorders>
            <w:shd w:val="clear" w:color="auto" w:fill="00923D"/>
            <w:vAlign w:val="bottom"/>
          </w:tcPr>
          <w:p w:rsidR="00AC12B4" w:rsidRPr="00C27636" w:rsidRDefault="00C27636">
            <w:pPr>
              <w:spacing w:line="220" w:lineRule="exact"/>
              <w:ind w:left="580"/>
              <w:rPr>
                <w:sz w:val="20"/>
                <w:szCs w:val="20"/>
                <w:lang w:val="fr-BE"/>
              </w:rPr>
            </w:pPr>
            <w:r w:rsidRPr="00C27636">
              <w:rPr>
                <w:rFonts w:ascii="Calibri" w:eastAsia="Calibri" w:hAnsi="Calibri" w:cs="Calibri"/>
                <w:i/>
                <w:iCs/>
                <w:color w:val="EAF1DD"/>
                <w:lang w:val="fr-BE"/>
              </w:rPr>
              <w:t>la responsabilité qui leur incombe d’élever l’enfant et assurent la</w:t>
            </w:r>
          </w:p>
        </w:tc>
        <w:tc>
          <w:tcPr>
            <w:tcW w:w="160" w:type="dxa"/>
            <w:tcBorders>
              <w:right w:val="single" w:sz="8" w:space="0" w:color="005022"/>
            </w:tcBorders>
            <w:shd w:val="clear" w:color="auto" w:fill="00923D"/>
            <w:vAlign w:val="bottom"/>
          </w:tcPr>
          <w:p w:rsidR="00AC12B4" w:rsidRPr="00C27636" w:rsidRDefault="00AC12B4">
            <w:pPr>
              <w:rPr>
                <w:sz w:val="23"/>
                <w:szCs w:val="23"/>
                <w:lang w:val="fr-BE"/>
              </w:rPr>
            </w:pPr>
          </w:p>
        </w:tc>
        <w:tc>
          <w:tcPr>
            <w:tcW w:w="340" w:type="dxa"/>
            <w:vAlign w:val="bottom"/>
          </w:tcPr>
          <w:p w:rsidR="00AC12B4" w:rsidRPr="00C27636" w:rsidRDefault="00AC12B4">
            <w:pPr>
              <w:rPr>
                <w:sz w:val="23"/>
                <w:szCs w:val="23"/>
                <w:lang w:val="fr-BE"/>
              </w:rPr>
            </w:pPr>
          </w:p>
        </w:tc>
        <w:tc>
          <w:tcPr>
            <w:tcW w:w="700" w:type="dxa"/>
            <w:vAlign w:val="bottom"/>
          </w:tcPr>
          <w:p w:rsidR="00AC12B4" w:rsidRPr="00C27636" w:rsidRDefault="00AC12B4">
            <w:pPr>
              <w:rPr>
                <w:sz w:val="23"/>
                <w:szCs w:val="23"/>
                <w:lang w:val="fr-BE"/>
              </w:rPr>
            </w:pPr>
          </w:p>
        </w:tc>
        <w:tc>
          <w:tcPr>
            <w:tcW w:w="100" w:type="dxa"/>
            <w:tcBorders>
              <w:right w:val="single" w:sz="8" w:space="0" w:color="00923D"/>
            </w:tcBorders>
            <w:vAlign w:val="bottom"/>
          </w:tcPr>
          <w:p w:rsidR="00AC12B4" w:rsidRPr="00C27636" w:rsidRDefault="00AC12B4">
            <w:pPr>
              <w:rPr>
                <w:sz w:val="23"/>
                <w:szCs w:val="23"/>
                <w:lang w:val="fr-BE"/>
              </w:rPr>
            </w:pPr>
          </w:p>
        </w:tc>
        <w:tc>
          <w:tcPr>
            <w:tcW w:w="920" w:type="dxa"/>
            <w:gridSpan w:val="3"/>
            <w:vAlign w:val="bottom"/>
          </w:tcPr>
          <w:p w:rsidR="00AC12B4" w:rsidRDefault="00C27636">
            <w:pPr>
              <w:spacing w:line="266" w:lineRule="exact"/>
              <w:ind w:left="160"/>
              <w:rPr>
                <w:sz w:val="20"/>
                <w:szCs w:val="20"/>
              </w:rPr>
            </w:pPr>
            <w:r>
              <w:rPr>
                <w:rFonts w:ascii="Comic Sans MS" w:eastAsia="Comic Sans MS" w:hAnsi="Comic Sans MS" w:cs="Comic Sans MS"/>
                <w:color w:val="0D0D0D"/>
                <w:sz w:val="20"/>
                <w:szCs w:val="20"/>
              </w:rPr>
              <w:t>temps</w:t>
            </w:r>
          </w:p>
        </w:tc>
        <w:tc>
          <w:tcPr>
            <w:tcW w:w="840" w:type="dxa"/>
            <w:gridSpan w:val="2"/>
            <w:vAlign w:val="bottom"/>
          </w:tcPr>
          <w:p w:rsidR="00AC12B4" w:rsidRDefault="00C27636">
            <w:pPr>
              <w:spacing w:line="266" w:lineRule="exact"/>
              <w:ind w:right="55"/>
              <w:jc w:val="center"/>
              <w:rPr>
                <w:sz w:val="20"/>
                <w:szCs w:val="20"/>
              </w:rPr>
            </w:pPr>
            <w:r>
              <w:rPr>
                <w:rFonts w:ascii="Comic Sans MS" w:eastAsia="Comic Sans MS" w:hAnsi="Comic Sans MS" w:cs="Comic Sans MS"/>
                <w:color w:val="0D0D0D"/>
                <w:sz w:val="20"/>
                <w:szCs w:val="20"/>
              </w:rPr>
              <w:t>passé</w:t>
            </w:r>
          </w:p>
        </w:tc>
        <w:tc>
          <w:tcPr>
            <w:tcW w:w="520" w:type="dxa"/>
            <w:vAlign w:val="bottom"/>
          </w:tcPr>
          <w:p w:rsidR="00AC12B4" w:rsidRDefault="00C27636">
            <w:pPr>
              <w:spacing w:line="266" w:lineRule="exact"/>
              <w:jc w:val="right"/>
              <w:rPr>
                <w:sz w:val="20"/>
                <w:szCs w:val="20"/>
              </w:rPr>
            </w:pPr>
            <w:r>
              <w:rPr>
                <w:rFonts w:ascii="Comic Sans MS" w:eastAsia="Comic Sans MS" w:hAnsi="Comic Sans MS" w:cs="Comic Sans MS"/>
                <w:color w:val="0D0D0D"/>
                <w:sz w:val="20"/>
                <w:szCs w:val="20"/>
              </w:rPr>
              <w:t>avec</w:t>
            </w:r>
          </w:p>
        </w:tc>
        <w:tc>
          <w:tcPr>
            <w:tcW w:w="620" w:type="dxa"/>
            <w:gridSpan w:val="2"/>
            <w:vAlign w:val="bottom"/>
          </w:tcPr>
          <w:p w:rsidR="00AC12B4" w:rsidRDefault="00C27636">
            <w:pPr>
              <w:spacing w:line="266" w:lineRule="exact"/>
              <w:jc w:val="right"/>
              <w:rPr>
                <w:sz w:val="20"/>
                <w:szCs w:val="20"/>
              </w:rPr>
            </w:pPr>
            <w:r>
              <w:rPr>
                <w:rFonts w:ascii="Comic Sans MS" w:eastAsia="Comic Sans MS" w:hAnsi="Comic Sans MS" w:cs="Comic Sans MS"/>
                <w:color w:val="0D0D0D"/>
                <w:sz w:val="20"/>
                <w:szCs w:val="20"/>
              </w:rPr>
              <w:t>leur</w:t>
            </w:r>
          </w:p>
        </w:tc>
        <w:tc>
          <w:tcPr>
            <w:tcW w:w="0" w:type="dxa"/>
            <w:vAlign w:val="bottom"/>
          </w:tcPr>
          <w:p w:rsidR="00AC12B4" w:rsidRDefault="00AC12B4">
            <w:pPr>
              <w:rPr>
                <w:sz w:val="1"/>
                <w:szCs w:val="1"/>
              </w:rPr>
            </w:pPr>
          </w:p>
        </w:tc>
      </w:tr>
      <w:tr w:rsidR="00AC12B4">
        <w:trPr>
          <w:trHeight w:val="269"/>
        </w:trPr>
        <w:tc>
          <w:tcPr>
            <w:tcW w:w="6520" w:type="dxa"/>
            <w:gridSpan w:val="14"/>
            <w:tcBorders>
              <w:left w:val="single" w:sz="8" w:space="0" w:color="005022"/>
            </w:tcBorders>
            <w:shd w:val="clear" w:color="auto" w:fill="00923D"/>
            <w:vAlign w:val="bottom"/>
          </w:tcPr>
          <w:p w:rsidR="00AC12B4" w:rsidRPr="00C27636" w:rsidRDefault="00C27636">
            <w:pPr>
              <w:spacing w:line="220" w:lineRule="exact"/>
              <w:ind w:left="580"/>
              <w:rPr>
                <w:sz w:val="20"/>
                <w:szCs w:val="20"/>
                <w:lang w:val="fr-BE"/>
              </w:rPr>
            </w:pPr>
            <w:r w:rsidRPr="00C27636">
              <w:rPr>
                <w:rFonts w:ascii="Calibri" w:eastAsia="Calibri" w:hAnsi="Calibri" w:cs="Calibri"/>
                <w:i/>
                <w:iCs/>
                <w:color w:val="EAF1DD"/>
                <w:lang w:val="fr-BE"/>
              </w:rPr>
              <w:t>mise en place d’institutions, d’établissements et de services</w:t>
            </w:r>
          </w:p>
        </w:tc>
        <w:tc>
          <w:tcPr>
            <w:tcW w:w="160" w:type="dxa"/>
            <w:tcBorders>
              <w:right w:val="single" w:sz="8" w:space="0" w:color="005022"/>
            </w:tcBorders>
            <w:shd w:val="clear" w:color="auto" w:fill="00923D"/>
            <w:vAlign w:val="bottom"/>
          </w:tcPr>
          <w:p w:rsidR="00AC12B4" w:rsidRPr="00C27636" w:rsidRDefault="00AC12B4">
            <w:pPr>
              <w:rPr>
                <w:sz w:val="23"/>
                <w:szCs w:val="23"/>
                <w:lang w:val="fr-BE"/>
              </w:rPr>
            </w:pPr>
          </w:p>
        </w:tc>
        <w:tc>
          <w:tcPr>
            <w:tcW w:w="340" w:type="dxa"/>
            <w:vAlign w:val="bottom"/>
          </w:tcPr>
          <w:p w:rsidR="00AC12B4" w:rsidRPr="00C27636" w:rsidRDefault="00AC12B4">
            <w:pPr>
              <w:rPr>
                <w:sz w:val="23"/>
                <w:szCs w:val="23"/>
                <w:lang w:val="fr-BE"/>
              </w:rPr>
            </w:pPr>
          </w:p>
        </w:tc>
        <w:tc>
          <w:tcPr>
            <w:tcW w:w="700" w:type="dxa"/>
            <w:vAlign w:val="bottom"/>
          </w:tcPr>
          <w:p w:rsidR="00AC12B4" w:rsidRPr="00C27636" w:rsidRDefault="00AC12B4">
            <w:pPr>
              <w:rPr>
                <w:sz w:val="23"/>
                <w:szCs w:val="23"/>
                <w:lang w:val="fr-BE"/>
              </w:rPr>
            </w:pPr>
          </w:p>
        </w:tc>
        <w:tc>
          <w:tcPr>
            <w:tcW w:w="100" w:type="dxa"/>
            <w:tcBorders>
              <w:right w:val="single" w:sz="8" w:space="0" w:color="00923D"/>
            </w:tcBorders>
            <w:vAlign w:val="bottom"/>
          </w:tcPr>
          <w:p w:rsidR="00AC12B4" w:rsidRPr="00C27636" w:rsidRDefault="00AC12B4">
            <w:pPr>
              <w:rPr>
                <w:sz w:val="23"/>
                <w:szCs w:val="23"/>
                <w:lang w:val="fr-BE"/>
              </w:rPr>
            </w:pPr>
          </w:p>
        </w:tc>
        <w:tc>
          <w:tcPr>
            <w:tcW w:w="920" w:type="dxa"/>
            <w:gridSpan w:val="3"/>
            <w:vAlign w:val="bottom"/>
          </w:tcPr>
          <w:p w:rsidR="00AC12B4" w:rsidRDefault="00C27636">
            <w:pPr>
              <w:spacing w:line="269" w:lineRule="exact"/>
              <w:ind w:left="160"/>
              <w:rPr>
                <w:sz w:val="20"/>
                <w:szCs w:val="20"/>
              </w:rPr>
            </w:pPr>
            <w:r>
              <w:rPr>
                <w:rFonts w:ascii="Comic Sans MS" w:eastAsia="Comic Sans MS" w:hAnsi="Comic Sans MS" w:cs="Comic Sans MS"/>
                <w:color w:val="0D0D0D"/>
                <w:sz w:val="20"/>
                <w:szCs w:val="20"/>
              </w:rPr>
              <w:t>famille.</w:t>
            </w:r>
          </w:p>
        </w:tc>
        <w:tc>
          <w:tcPr>
            <w:tcW w:w="480" w:type="dxa"/>
            <w:vAlign w:val="bottom"/>
          </w:tcPr>
          <w:p w:rsidR="00AC12B4" w:rsidRDefault="00C27636">
            <w:pPr>
              <w:spacing w:line="269" w:lineRule="exact"/>
              <w:ind w:left="140"/>
              <w:rPr>
                <w:sz w:val="20"/>
                <w:szCs w:val="20"/>
              </w:rPr>
            </w:pPr>
            <w:r>
              <w:rPr>
                <w:rFonts w:ascii="Comic Sans MS" w:eastAsia="Comic Sans MS" w:hAnsi="Comic Sans MS" w:cs="Comic Sans MS"/>
                <w:color w:val="0D0D0D"/>
                <w:sz w:val="20"/>
                <w:szCs w:val="20"/>
              </w:rPr>
              <w:t>Ils</w:t>
            </w:r>
          </w:p>
        </w:tc>
        <w:tc>
          <w:tcPr>
            <w:tcW w:w="1500" w:type="dxa"/>
            <w:gridSpan w:val="4"/>
            <w:vAlign w:val="bottom"/>
          </w:tcPr>
          <w:p w:rsidR="00AC12B4" w:rsidRDefault="00C27636">
            <w:pPr>
              <w:spacing w:line="269" w:lineRule="exact"/>
              <w:jc w:val="right"/>
              <w:rPr>
                <w:sz w:val="20"/>
                <w:szCs w:val="20"/>
              </w:rPr>
            </w:pPr>
            <w:r>
              <w:rPr>
                <w:rFonts w:ascii="Comic Sans MS" w:eastAsia="Comic Sans MS" w:hAnsi="Comic Sans MS" w:cs="Comic Sans MS"/>
                <w:color w:val="0D0D0D"/>
                <w:sz w:val="20"/>
                <w:szCs w:val="20"/>
              </w:rPr>
              <w:t>souhaiteraient</w:t>
            </w:r>
          </w:p>
        </w:tc>
        <w:tc>
          <w:tcPr>
            <w:tcW w:w="0" w:type="dxa"/>
            <w:vAlign w:val="bottom"/>
          </w:tcPr>
          <w:p w:rsidR="00AC12B4" w:rsidRDefault="00AC12B4">
            <w:pPr>
              <w:rPr>
                <w:sz w:val="1"/>
                <w:szCs w:val="1"/>
              </w:rPr>
            </w:pPr>
          </w:p>
        </w:tc>
      </w:tr>
      <w:tr w:rsidR="00AC12B4">
        <w:trPr>
          <w:trHeight w:val="315"/>
        </w:trPr>
        <w:tc>
          <w:tcPr>
            <w:tcW w:w="5000" w:type="dxa"/>
            <w:gridSpan w:val="10"/>
            <w:tcBorders>
              <w:left w:val="single" w:sz="8" w:space="0" w:color="005022"/>
            </w:tcBorders>
            <w:shd w:val="clear" w:color="auto" w:fill="00923D"/>
            <w:vAlign w:val="bottom"/>
          </w:tcPr>
          <w:p w:rsidR="00AC12B4" w:rsidRPr="00C27636" w:rsidRDefault="00C27636">
            <w:pPr>
              <w:spacing w:line="220" w:lineRule="exact"/>
              <w:ind w:left="580"/>
              <w:rPr>
                <w:sz w:val="20"/>
                <w:szCs w:val="20"/>
                <w:lang w:val="fr-BE"/>
              </w:rPr>
            </w:pPr>
            <w:r w:rsidRPr="00C27636">
              <w:rPr>
                <w:rFonts w:ascii="Calibri" w:eastAsia="Calibri" w:hAnsi="Calibri" w:cs="Calibri"/>
                <w:i/>
                <w:iCs/>
                <w:color w:val="EAF1DD"/>
                <w:lang w:val="fr-BE"/>
              </w:rPr>
              <w:t>chargés de veiller au bien-être des enfants.</w:t>
            </w:r>
          </w:p>
        </w:tc>
        <w:tc>
          <w:tcPr>
            <w:tcW w:w="180" w:type="dxa"/>
            <w:shd w:val="clear" w:color="auto" w:fill="00923D"/>
            <w:vAlign w:val="bottom"/>
          </w:tcPr>
          <w:p w:rsidR="00AC12B4" w:rsidRPr="00C27636" w:rsidRDefault="00AC12B4">
            <w:pPr>
              <w:rPr>
                <w:sz w:val="24"/>
                <w:szCs w:val="24"/>
                <w:lang w:val="fr-BE"/>
              </w:rPr>
            </w:pPr>
          </w:p>
        </w:tc>
        <w:tc>
          <w:tcPr>
            <w:tcW w:w="860" w:type="dxa"/>
            <w:shd w:val="clear" w:color="auto" w:fill="00923D"/>
            <w:vAlign w:val="bottom"/>
          </w:tcPr>
          <w:p w:rsidR="00AC12B4" w:rsidRPr="00C27636" w:rsidRDefault="00AC12B4">
            <w:pPr>
              <w:rPr>
                <w:sz w:val="24"/>
                <w:szCs w:val="24"/>
                <w:lang w:val="fr-BE"/>
              </w:rPr>
            </w:pPr>
          </w:p>
        </w:tc>
        <w:tc>
          <w:tcPr>
            <w:tcW w:w="300" w:type="dxa"/>
            <w:shd w:val="clear" w:color="auto" w:fill="00923D"/>
            <w:vAlign w:val="bottom"/>
          </w:tcPr>
          <w:p w:rsidR="00AC12B4" w:rsidRPr="00C27636" w:rsidRDefault="00AC12B4">
            <w:pPr>
              <w:rPr>
                <w:sz w:val="24"/>
                <w:szCs w:val="24"/>
                <w:lang w:val="fr-BE"/>
              </w:rPr>
            </w:pPr>
          </w:p>
        </w:tc>
        <w:tc>
          <w:tcPr>
            <w:tcW w:w="180" w:type="dxa"/>
            <w:shd w:val="clear" w:color="auto" w:fill="00923D"/>
            <w:vAlign w:val="bottom"/>
          </w:tcPr>
          <w:p w:rsidR="00AC12B4" w:rsidRPr="00C27636" w:rsidRDefault="00AC12B4">
            <w:pPr>
              <w:rPr>
                <w:sz w:val="24"/>
                <w:szCs w:val="24"/>
                <w:lang w:val="fr-BE"/>
              </w:rPr>
            </w:pP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2900" w:type="dxa"/>
            <w:gridSpan w:val="8"/>
            <w:vAlign w:val="bottom"/>
          </w:tcPr>
          <w:p w:rsidR="00AC12B4" w:rsidRDefault="00C27636">
            <w:pPr>
              <w:ind w:left="160"/>
              <w:rPr>
                <w:sz w:val="20"/>
                <w:szCs w:val="20"/>
              </w:rPr>
            </w:pPr>
            <w:r>
              <w:rPr>
                <w:rFonts w:ascii="Comic Sans MS" w:eastAsia="Comic Sans MS" w:hAnsi="Comic Sans MS" w:cs="Comic Sans MS"/>
                <w:color w:val="0D0D0D"/>
                <w:w w:val="99"/>
                <w:sz w:val="20"/>
                <w:szCs w:val="20"/>
              </w:rPr>
              <w:t>passer plus de temps (28.9%)</w:t>
            </w:r>
          </w:p>
        </w:tc>
        <w:tc>
          <w:tcPr>
            <w:tcW w:w="0" w:type="dxa"/>
            <w:vAlign w:val="bottom"/>
          </w:tcPr>
          <w:p w:rsidR="00AC12B4" w:rsidRDefault="00AC12B4">
            <w:pPr>
              <w:rPr>
                <w:sz w:val="1"/>
                <w:szCs w:val="1"/>
              </w:rPr>
            </w:pPr>
          </w:p>
        </w:tc>
      </w:tr>
      <w:tr w:rsidR="00AC12B4">
        <w:trPr>
          <w:trHeight w:val="279"/>
        </w:trPr>
        <w:tc>
          <w:tcPr>
            <w:tcW w:w="6520" w:type="dxa"/>
            <w:gridSpan w:val="14"/>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t>3. Les Etats parties prennent toutes les mesures appropriées pour</w:t>
            </w: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2900" w:type="dxa"/>
            <w:gridSpan w:val="8"/>
            <w:vAlign w:val="bottom"/>
          </w:tcPr>
          <w:p w:rsidR="00AC12B4" w:rsidRDefault="00C27636">
            <w:pPr>
              <w:ind w:left="160"/>
              <w:rPr>
                <w:sz w:val="20"/>
                <w:szCs w:val="20"/>
              </w:rPr>
            </w:pPr>
            <w:r>
              <w:rPr>
                <w:rFonts w:ascii="Comic Sans MS" w:eastAsia="Comic Sans MS" w:hAnsi="Comic Sans MS" w:cs="Comic Sans MS"/>
                <w:color w:val="0D0D0D"/>
                <w:sz w:val="20"/>
                <w:szCs w:val="20"/>
              </w:rPr>
              <w:t>ou  moins  de  temps  (4.1%)</w:t>
            </w:r>
          </w:p>
        </w:tc>
        <w:tc>
          <w:tcPr>
            <w:tcW w:w="0" w:type="dxa"/>
            <w:vAlign w:val="bottom"/>
          </w:tcPr>
          <w:p w:rsidR="00AC12B4" w:rsidRDefault="00AC12B4">
            <w:pPr>
              <w:rPr>
                <w:sz w:val="1"/>
                <w:szCs w:val="1"/>
              </w:rPr>
            </w:pPr>
          </w:p>
        </w:tc>
      </w:tr>
      <w:tr w:rsidR="00AC12B4" w:rsidRPr="00C27636">
        <w:trPr>
          <w:trHeight w:val="278"/>
        </w:trPr>
        <w:tc>
          <w:tcPr>
            <w:tcW w:w="6520" w:type="dxa"/>
            <w:gridSpan w:val="14"/>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t xml:space="preserve">assurer aux enfants dont les </w:t>
            </w:r>
            <w:r w:rsidRPr="00C27636">
              <w:rPr>
                <w:rFonts w:ascii="Calibri" w:eastAsia="Calibri" w:hAnsi="Calibri" w:cs="Calibri"/>
                <w:i/>
                <w:iCs/>
                <w:color w:val="EAF1DD"/>
                <w:lang w:val="fr-BE"/>
              </w:rPr>
              <w:lastRenderedPageBreak/>
              <w:t xml:space="preserve">parents travaillent le </w:t>
            </w:r>
            <w:r w:rsidRPr="00C27636">
              <w:rPr>
                <w:rFonts w:ascii="Calibri" w:eastAsia="Calibri" w:hAnsi="Calibri" w:cs="Calibri"/>
                <w:i/>
                <w:iCs/>
                <w:color w:val="EAF1DD"/>
                <w:lang w:val="fr-BE"/>
              </w:rPr>
              <w:t>droit de</w:t>
            </w: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2900" w:type="dxa"/>
            <w:gridSpan w:val="8"/>
            <w:vAlign w:val="bottom"/>
          </w:tcPr>
          <w:p w:rsidR="00AC12B4" w:rsidRPr="00C27636" w:rsidRDefault="00C27636">
            <w:pPr>
              <w:spacing w:line="277" w:lineRule="exact"/>
              <w:ind w:left="160"/>
              <w:rPr>
                <w:sz w:val="20"/>
                <w:szCs w:val="20"/>
                <w:lang w:val="fr-BE"/>
              </w:rPr>
            </w:pPr>
            <w:r w:rsidRPr="00C27636">
              <w:rPr>
                <w:rFonts w:ascii="Comic Sans MS" w:eastAsia="Comic Sans MS" w:hAnsi="Comic Sans MS" w:cs="Comic Sans MS"/>
                <w:color w:val="0D0D0D"/>
                <w:sz w:val="20"/>
                <w:szCs w:val="20"/>
                <w:lang w:val="fr-BE"/>
              </w:rPr>
              <w:t xml:space="preserve">avec    celle-ci.    </w:t>
            </w:r>
            <w:r w:rsidRPr="00C27636">
              <w:rPr>
                <w:rFonts w:ascii="Comic Sans MS" w:eastAsia="Comic Sans MS" w:hAnsi="Comic Sans MS" w:cs="Comic Sans MS"/>
                <w:color w:val="0D0D0D"/>
                <w:sz w:val="20"/>
                <w:szCs w:val="20"/>
                <w:lang w:val="fr-BE"/>
              </w:rPr>
              <w:lastRenderedPageBreak/>
              <w:t>Pour    les</w:t>
            </w:r>
          </w:p>
        </w:tc>
        <w:tc>
          <w:tcPr>
            <w:tcW w:w="0" w:type="dxa"/>
            <w:vAlign w:val="bottom"/>
          </w:tcPr>
          <w:p w:rsidR="00AC12B4" w:rsidRPr="00C27636" w:rsidRDefault="00AC12B4">
            <w:pPr>
              <w:rPr>
                <w:sz w:val="1"/>
                <w:szCs w:val="1"/>
                <w:lang w:val="fr-BE"/>
              </w:rPr>
            </w:pPr>
          </w:p>
        </w:tc>
      </w:tr>
      <w:tr w:rsidR="00AC12B4">
        <w:trPr>
          <w:trHeight w:val="278"/>
        </w:trPr>
        <w:tc>
          <w:tcPr>
            <w:tcW w:w="6520" w:type="dxa"/>
            <w:gridSpan w:val="14"/>
            <w:tcBorders>
              <w:left w:val="single" w:sz="8" w:space="0" w:color="005022"/>
            </w:tcBorders>
            <w:shd w:val="clear" w:color="auto" w:fill="00923D"/>
            <w:vAlign w:val="bottom"/>
          </w:tcPr>
          <w:p w:rsidR="00AC12B4" w:rsidRPr="00C27636" w:rsidRDefault="00C27636">
            <w:pPr>
              <w:ind w:left="580"/>
              <w:rPr>
                <w:sz w:val="20"/>
                <w:szCs w:val="20"/>
                <w:lang w:val="fr-BE"/>
              </w:rPr>
            </w:pPr>
            <w:r w:rsidRPr="00C27636">
              <w:rPr>
                <w:rFonts w:ascii="Calibri" w:eastAsia="Calibri" w:hAnsi="Calibri" w:cs="Calibri"/>
                <w:i/>
                <w:iCs/>
                <w:color w:val="EAF1DD"/>
                <w:lang w:val="fr-BE"/>
              </w:rPr>
              <w:lastRenderedPageBreak/>
              <w:t>bénéficier des services et établissements de garde d’enfants pour</w:t>
            </w: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920" w:type="dxa"/>
            <w:gridSpan w:val="3"/>
            <w:vAlign w:val="bottom"/>
          </w:tcPr>
          <w:p w:rsidR="00AC12B4" w:rsidRDefault="00C27636">
            <w:pPr>
              <w:spacing w:line="277" w:lineRule="exact"/>
              <w:ind w:left="160"/>
              <w:rPr>
                <w:sz w:val="20"/>
                <w:szCs w:val="20"/>
              </w:rPr>
            </w:pPr>
            <w:r>
              <w:rPr>
                <w:rFonts w:ascii="Comic Sans MS" w:eastAsia="Comic Sans MS" w:hAnsi="Comic Sans MS" w:cs="Comic Sans MS"/>
                <w:color w:val="0D0D0D"/>
                <w:sz w:val="20"/>
                <w:szCs w:val="20"/>
              </w:rPr>
              <w:t>familles</w:t>
            </w:r>
          </w:p>
        </w:tc>
        <w:tc>
          <w:tcPr>
            <w:tcW w:w="480" w:type="dxa"/>
            <w:vAlign w:val="bottom"/>
          </w:tcPr>
          <w:p w:rsidR="00AC12B4" w:rsidRDefault="00C27636">
            <w:pPr>
              <w:spacing w:line="277" w:lineRule="exact"/>
              <w:ind w:left="134"/>
              <w:jc w:val="center"/>
              <w:rPr>
                <w:sz w:val="20"/>
                <w:szCs w:val="20"/>
              </w:rPr>
            </w:pPr>
            <w:r>
              <w:rPr>
                <w:rFonts w:ascii="Comic Sans MS" w:eastAsia="Comic Sans MS" w:hAnsi="Comic Sans MS" w:cs="Comic Sans MS"/>
                <w:color w:val="0D0D0D"/>
                <w:w w:val="96"/>
                <w:sz w:val="20"/>
                <w:szCs w:val="20"/>
              </w:rPr>
              <w:t>au</w:t>
            </w:r>
          </w:p>
        </w:tc>
        <w:tc>
          <w:tcPr>
            <w:tcW w:w="880" w:type="dxa"/>
            <w:gridSpan w:val="2"/>
            <w:vAlign w:val="bottom"/>
          </w:tcPr>
          <w:p w:rsidR="00AC12B4" w:rsidRDefault="00C27636">
            <w:pPr>
              <w:spacing w:line="277" w:lineRule="exact"/>
              <w:ind w:right="131"/>
              <w:jc w:val="right"/>
              <w:rPr>
                <w:sz w:val="20"/>
                <w:szCs w:val="20"/>
              </w:rPr>
            </w:pPr>
            <w:r>
              <w:rPr>
                <w:rFonts w:ascii="Comic Sans MS" w:eastAsia="Comic Sans MS" w:hAnsi="Comic Sans MS" w:cs="Comic Sans MS"/>
                <w:color w:val="0D0D0D"/>
                <w:sz w:val="20"/>
                <w:szCs w:val="20"/>
              </w:rPr>
              <w:t>plus</w:t>
            </w:r>
          </w:p>
        </w:tc>
        <w:tc>
          <w:tcPr>
            <w:tcW w:w="620" w:type="dxa"/>
            <w:gridSpan w:val="2"/>
            <w:vAlign w:val="bottom"/>
          </w:tcPr>
          <w:p w:rsidR="00AC12B4" w:rsidRDefault="00C27636">
            <w:pPr>
              <w:spacing w:line="277" w:lineRule="exact"/>
              <w:jc w:val="right"/>
              <w:rPr>
                <w:sz w:val="20"/>
                <w:szCs w:val="20"/>
              </w:rPr>
            </w:pPr>
            <w:r>
              <w:rPr>
                <w:rFonts w:ascii="Comic Sans MS" w:eastAsia="Comic Sans MS" w:hAnsi="Comic Sans MS" w:cs="Comic Sans MS"/>
                <w:color w:val="0D0D0D"/>
                <w:sz w:val="20"/>
                <w:szCs w:val="20"/>
              </w:rPr>
              <w:t>faible</w:t>
            </w:r>
          </w:p>
        </w:tc>
        <w:tc>
          <w:tcPr>
            <w:tcW w:w="0" w:type="dxa"/>
            <w:vAlign w:val="bottom"/>
          </w:tcPr>
          <w:p w:rsidR="00AC12B4" w:rsidRDefault="00AC12B4">
            <w:pPr>
              <w:rPr>
                <w:sz w:val="1"/>
                <w:szCs w:val="1"/>
              </w:rPr>
            </w:pPr>
          </w:p>
        </w:tc>
      </w:tr>
      <w:tr w:rsidR="00AC12B4">
        <w:trPr>
          <w:trHeight w:val="278"/>
        </w:trPr>
        <w:tc>
          <w:tcPr>
            <w:tcW w:w="5000" w:type="dxa"/>
            <w:gridSpan w:val="10"/>
            <w:tcBorders>
              <w:left w:val="single" w:sz="8" w:space="0" w:color="005022"/>
            </w:tcBorders>
            <w:shd w:val="clear" w:color="auto" w:fill="00923D"/>
            <w:vAlign w:val="bottom"/>
          </w:tcPr>
          <w:p w:rsidR="00AC12B4" w:rsidRPr="00C27636" w:rsidRDefault="00C27636">
            <w:pPr>
              <w:spacing w:line="267" w:lineRule="exact"/>
              <w:ind w:left="580"/>
              <w:rPr>
                <w:sz w:val="20"/>
                <w:szCs w:val="20"/>
                <w:lang w:val="fr-BE"/>
              </w:rPr>
            </w:pPr>
            <w:r w:rsidRPr="00C27636">
              <w:rPr>
                <w:rFonts w:ascii="Calibri" w:eastAsia="Calibri" w:hAnsi="Calibri" w:cs="Calibri"/>
                <w:i/>
                <w:iCs/>
                <w:color w:val="EAF1DD"/>
                <w:lang w:val="fr-BE"/>
              </w:rPr>
              <w:t>lesquels ils remplissent les conditions requises.</w:t>
            </w:r>
          </w:p>
        </w:tc>
        <w:tc>
          <w:tcPr>
            <w:tcW w:w="180" w:type="dxa"/>
            <w:shd w:val="clear" w:color="auto" w:fill="00923D"/>
            <w:vAlign w:val="bottom"/>
          </w:tcPr>
          <w:p w:rsidR="00AC12B4" w:rsidRPr="00C27636" w:rsidRDefault="00AC12B4">
            <w:pPr>
              <w:rPr>
                <w:sz w:val="24"/>
                <w:szCs w:val="24"/>
                <w:lang w:val="fr-BE"/>
              </w:rPr>
            </w:pPr>
          </w:p>
        </w:tc>
        <w:tc>
          <w:tcPr>
            <w:tcW w:w="860" w:type="dxa"/>
            <w:shd w:val="clear" w:color="auto" w:fill="00923D"/>
            <w:vAlign w:val="bottom"/>
          </w:tcPr>
          <w:p w:rsidR="00AC12B4" w:rsidRPr="00C27636" w:rsidRDefault="00AC12B4">
            <w:pPr>
              <w:rPr>
                <w:sz w:val="24"/>
                <w:szCs w:val="24"/>
                <w:lang w:val="fr-BE"/>
              </w:rPr>
            </w:pPr>
          </w:p>
        </w:tc>
        <w:tc>
          <w:tcPr>
            <w:tcW w:w="300" w:type="dxa"/>
            <w:shd w:val="clear" w:color="auto" w:fill="00923D"/>
            <w:vAlign w:val="bottom"/>
          </w:tcPr>
          <w:p w:rsidR="00AC12B4" w:rsidRPr="00C27636" w:rsidRDefault="00AC12B4">
            <w:pPr>
              <w:rPr>
                <w:sz w:val="24"/>
                <w:szCs w:val="24"/>
                <w:lang w:val="fr-BE"/>
              </w:rPr>
            </w:pPr>
          </w:p>
        </w:tc>
        <w:tc>
          <w:tcPr>
            <w:tcW w:w="180" w:type="dxa"/>
            <w:shd w:val="clear" w:color="auto" w:fill="00923D"/>
            <w:vAlign w:val="bottom"/>
          </w:tcPr>
          <w:p w:rsidR="00AC12B4" w:rsidRPr="00C27636" w:rsidRDefault="00AC12B4">
            <w:pPr>
              <w:rPr>
                <w:sz w:val="24"/>
                <w:szCs w:val="24"/>
                <w:lang w:val="fr-BE"/>
              </w:rPr>
            </w:pPr>
          </w:p>
        </w:tc>
        <w:tc>
          <w:tcPr>
            <w:tcW w:w="160" w:type="dxa"/>
            <w:tcBorders>
              <w:right w:val="single" w:sz="8" w:space="0" w:color="005022"/>
            </w:tcBorders>
            <w:shd w:val="clear" w:color="auto" w:fill="00923D"/>
            <w:vAlign w:val="bottom"/>
          </w:tcPr>
          <w:p w:rsidR="00AC12B4" w:rsidRPr="00C27636" w:rsidRDefault="00AC12B4">
            <w:pPr>
              <w:rPr>
                <w:sz w:val="24"/>
                <w:szCs w:val="24"/>
                <w:lang w:val="fr-BE"/>
              </w:rPr>
            </w:pPr>
          </w:p>
        </w:tc>
        <w:tc>
          <w:tcPr>
            <w:tcW w:w="340" w:type="dxa"/>
            <w:vAlign w:val="bottom"/>
          </w:tcPr>
          <w:p w:rsidR="00AC12B4" w:rsidRPr="00C27636" w:rsidRDefault="00AC12B4">
            <w:pPr>
              <w:rPr>
                <w:sz w:val="24"/>
                <w:szCs w:val="24"/>
                <w:lang w:val="fr-BE"/>
              </w:rPr>
            </w:pPr>
          </w:p>
        </w:tc>
        <w:tc>
          <w:tcPr>
            <w:tcW w:w="700" w:type="dxa"/>
            <w:vAlign w:val="bottom"/>
          </w:tcPr>
          <w:p w:rsidR="00AC12B4" w:rsidRPr="00C27636" w:rsidRDefault="00AC12B4">
            <w:pPr>
              <w:rPr>
                <w:sz w:val="24"/>
                <w:szCs w:val="24"/>
                <w:lang w:val="fr-BE"/>
              </w:rPr>
            </w:pPr>
          </w:p>
        </w:tc>
        <w:tc>
          <w:tcPr>
            <w:tcW w:w="100" w:type="dxa"/>
            <w:tcBorders>
              <w:right w:val="single" w:sz="8" w:space="0" w:color="00923D"/>
            </w:tcBorders>
            <w:vAlign w:val="bottom"/>
          </w:tcPr>
          <w:p w:rsidR="00AC12B4" w:rsidRPr="00C27636" w:rsidRDefault="00AC12B4">
            <w:pPr>
              <w:rPr>
                <w:sz w:val="24"/>
                <w:szCs w:val="24"/>
                <w:lang w:val="fr-BE"/>
              </w:rPr>
            </w:pPr>
          </w:p>
        </w:tc>
        <w:tc>
          <w:tcPr>
            <w:tcW w:w="920" w:type="dxa"/>
            <w:gridSpan w:val="3"/>
            <w:vAlign w:val="bottom"/>
          </w:tcPr>
          <w:p w:rsidR="00AC12B4" w:rsidRDefault="00C27636">
            <w:pPr>
              <w:ind w:left="160"/>
              <w:rPr>
                <w:sz w:val="20"/>
                <w:szCs w:val="20"/>
              </w:rPr>
            </w:pPr>
            <w:r>
              <w:rPr>
                <w:rFonts w:ascii="Comic Sans MS" w:eastAsia="Comic Sans MS" w:hAnsi="Comic Sans MS" w:cs="Comic Sans MS"/>
                <w:color w:val="0D0D0D"/>
                <w:sz w:val="20"/>
                <w:szCs w:val="20"/>
              </w:rPr>
              <w:t>revenu,</w:t>
            </w:r>
          </w:p>
        </w:tc>
        <w:tc>
          <w:tcPr>
            <w:tcW w:w="480" w:type="dxa"/>
            <w:vAlign w:val="bottom"/>
          </w:tcPr>
          <w:p w:rsidR="00AC12B4" w:rsidRDefault="00C27636">
            <w:pPr>
              <w:jc w:val="center"/>
              <w:rPr>
                <w:sz w:val="20"/>
                <w:szCs w:val="20"/>
              </w:rPr>
            </w:pPr>
            <w:r>
              <w:rPr>
                <w:rFonts w:ascii="Comic Sans MS" w:eastAsia="Comic Sans MS" w:hAnsi="Comic Sans MS" w:cs="Comic Sans MS"/>
                <w:color w:val="0D0D0D"/>
                <w:sz w:val="20"/>
                <w:szCs w:val="20"/>
              </w:rPr>
              <w:t>ce</w:t>
            </w:r>
          </w:p>
        </w:tc>
        <w:tc>
          <w:tcPr>
            <w:tcW w:w="1240" w:type="dxa"/>
            <w:gridSpan w:val="3"/>
            <w:vAlign w:val="bottom"/>
          </w:tcPr>
          <w:p w:rsidR="00AC12B4" w:rsidRDefault="00C27636">
            <w:pPr>
              <w:ind w:left="40"/>
              <w:rPr>
                <w:sz w:val="20"/>
                <w:szCs w:val="20"/>
              </w:rPr>
            </w:pPr>
            <w:r>
              <w:rPr>
                <w:rFonts w:ascii="Comic Sans MS" w:eastAsia="Comic Sans MS" w:hAnsi="Comic Sans MS" w:cs="Comic Sans MS"/>
                <w:color w:val="0D0D0D"/>
                <w:sz w:val="20"/>
                <w:szCs w:val="20"/>
              </w:rPr>
              <w:t>pourcentage</w:t>
            </w:r>
          </w:p>
        </w:tc>
        <w:tc>
          <w:tcPr>
            <w:tcW w:w="260" w:type="dxa"/>
            <w:vAlign w:val="bottom"/>
          </w:tcPr>
          <w:p w:rsidR="00AC12B4" w:rsidRDefault="00C27636">
            <w:pPr>
              <w:jc w:val="right"/>
              <w:rPr>
                <w:sz w:val="20"/>
                <w:szCs w:val="20"/>
              </w:rPr>
            </w:pPr>
            <w:r>
              <w:rPr>
                <w:rFonts w:ascii="Comic Sans MS" w:eastAsia="Comic Sans MS" w:hAnsi="Comic Sans MS" w:cs="Comic Sans MS"/>
                <w:color w:val="0D0D0D"/>
                <w:sz w:val="20"/>
                <w:szCs w:val="20"/>
              </w:rPr>
              <w:t>à</w:t>
            </w:r>
          </w:p>
        </w:tc>
        <w:tc>
          <w:tcPr>
            <w:tcW w:w="0" w:type="dxa"/>
            <w:vAlign w:val="bottom"/>
          </w:tcPr>
          <w:p w:rsidR="00AC12B4" w:rsidRDefault="00AC12B4">
            <w:pPr>
              <w:rPr>
                <w:sz w:val="1"/>
                <w:szCs w:val="1"/>
              </w:rPr>
            </w:pPr>
          </w:p>
        </w:tc>
      </w:tr>
      <w:tr w:rsidR="00AC12B4">
        <w:trPr>
          <w:trHeight w:val="278"/>
        </w:trPr>
        <w:tc>
          <w:tcPr>
            <w:tcW w:w="1820" w:type="dxa"/>
            <w:tcBorders>
              <w:left w:val="single" w:sz="8" w:space="0" w:color="005022"/>
            </w:tcBorders>
            <w:shd w:val="clear" w:color="auto" w:fill="00923D"/>
            <w:vAlign w:val="bottom"/>
          </w:tcPr>
          <w:p w:rsidR="00AC12B4" w:rsidRDefault="00AC12B4">
            <w:pPr>
              <w:rPr>
                <w:sz w:val="24"/>
                <w:szCs w:val="24"/>
              </w:rPr>
            </w:pPr>
          </w:p>
        </w:tc>
        <w:tc>
          <w:tcPr>
            <w:tcW w:w="220" w:type="dxa"/>
            <w:shd w:val="clear" w:color="auto" w:fill="00923D"/>
            <w:vAlign w:val="bottom"/>
          </w:tcPr>
          <w:p w:rsidR="00AC12B4" w:rsidRDefault="00AC12B4">
            <w:pPr>
              <w:rPr>
                <w:sz w:val="24"/>
                <w:szCs w:val="24"/>
              </w:rPr>
            </w:pPr>
          </w:p>
        </w:tc>
        <w:tc>
          <w:tcPr>
            <w:tcW w:w="240" w:type="dxa"/>
            <w:shd w:val="clear" w:color="auto" w:fill="00923D"/>
            <w:vAlign w:val="bottom"/>
          </w:tcPr>
          <w:p w:rsidR="00AC12B4" w:rsidRDefault="00AC12B4">
            <w:pPr>
              <w:rPr>
                <w:sz w:val="24"/>
                <w:szCs w:val="24"/>
              </w:rPr>
            </w:pPr>
          </w:p>
        </w:tc>
        <w:tc>
          <w:tcPr>
            <w:tcW w:w="340" w:type="dxa"/>
            <w:shd w:val="clear" w:color="auto" w:fill="00923D"/>
            <w:vAlign w:val="bottom"/>
          </w:tcPr>
          <w:p w:rsidR="00AC12B4" w:rsidRDefault="00AC12B4">
            <w:pPr>
              <w:rPr>
                <w:sz w:val="24"/>
                <w:szCs w:val="24"/>
              </w:rPr>
            </w:pPr>
          </w:p>
        </w:tc>
        <w:tc>
          <w:tcPr>
            <w:tcW w:w="480" w:type="dxa"/>
            <w:shd w:val="clear" w:color="auto" w:fill="00923D"/>
            <w:vAlign w:val="bottom"/>
          </w:tcPr>
          <w:p w:rsidR="00AC12B4" w:rsidRDefault="00AC12B4">
            <w:pPr>
              <w:rPr>
                <w:sz w:val="24"/>
                <w:szCs w:val="24"/>
              </w:rPr>
            </w:pPr>
          </w:p>
        </w:tc>
        <w:tc>
          <w:tcPr>
            <w:tcW w:w="160" w:type="dxa"/>
            <w:tcBorders>
              <w:right w:val="single" w:sz="8" w:space="0" w:color="00923D"/>
            </w:tcBorders>
            <w:shd w:val="clear" w:color="auto" w:fill="00923D"/>
            <w:vAlign w:val="bottom"/>
          </w:tcPr>
          <w:p w:rsidR="00AC12B4" w:rsidRDefault="00AC12B4">
            <w:pPr>
              <w:rPr>
                <w:sz w:val="24"/>
                <w:szCs w:val="24"/>
              </w:rPr>
            </w:pPr>
          </w:p>
        </w:tc>
        <w:tc>
          <w:tcPr>
            <w:tcW w:w="500" w:type="dxa"/>
            <w:shd w:val="clear" w:color="auto" w:fill="00923D"/>
            <w:vAlign w:val="bottom"/>
          </w:tcPr>
          <w:p w:rsidR="00AC12B4" w:rsidRDefault="00AC12B4">
            <w:pPr>
              <w:rPr>
                <w:sz w:val="24"/>
                <w:szCs w:val="24"/>
              </w:rPr>
            </w:pPr>
          </w:p>
        </w:tc>
        <w:tc>
          <w:tcPr>
            <w:tcW w:w="280" w:type="dxa"/>
            <w:shd w:val="clear" w:color="auto" w:fill="00923D"/>
            <w:vAlign w:val="bottom"/>
          </w:tcPr>
          <w:p w:rsidR="00AC12B4" w:rsidRDefault="00AC12B4">
            <w:pPr>
              <w:rPr>
                <w:sz w:val="24"/>
                <w:szCs w:val="24"/>
              </w:rPr>
            </w:pPr>
          </w:p>
        </w:tc>
        <w:tc>
          <w:tcPr>
            <w:tcW w:w="260" w:type="dxa"/>
            <w:shd w:val="clear" w:color="auto" w:fill="00923D"/>
            <w:vAlign w:val="bottom"/>
          </w:tcPr>
          <w:p w:rsidR="00AC12B4" w:rsidRDefault="00AC12B4">
            <w:pPr>
              <w:rPr>
                <w:sz w:val="24"/>
                <w:szCs w:val="24"/>
              </w:rPr>
            </w:pPr>
          </w:p>
        </w:tc>
        <w:tc>
          <w:tcPr>
            <w:tcW w:w="700" w:type="dxa"/>
            <w:shd w:val="clear" w:color="auto" w:fill="00923D"/>
            <w:vAlign w:val="bottom"/>
          </w:tcPr>
          <w:p w:rsidR="00AC12B4" w:rsidRDefault="00AC12B4">
            <w:pPr>
              <w:rPr>
                <w:sz w:val="24"/>
                <w:szCs w:val="24"/>
              </w:rPr>
            </w:pPr>
          </w:p>
        </w:tc>
        <w:tc>
          <w:tcPr>
            <w:tcW w:w="180" w:type="dxa"/>
            <w:shd w:val="clear" w:color="auto" w:fill="00923D"/>
            <w:vAlign w:val="bottom"/>
          </w:tcPr>
          <w:p w:rsidR="00AC12B4" w:rsidRDefault="00AC12B4">
            <w:pPr>
              <w:rPr>
                <w:sz w:val="24"/>
                <w:szCs w:val="24"/>
              </w:rPr>
            </w:pPr>
          </w:p>
        </w:tc>
        <w:tc>
          <w:tcPr>
            <w:tcW w:w="860" w:type="dxa"/>
            <w:shd w:val="clear" w:color="auto" w:fill="00923D"/>
            <w:vAlign w:val="bottom"/>
          </w:tcPr>
          <w:p w:rsidR="00AC12B4" w:rsidRDefault="00AC12B4">
            <w:pPr>
              <w:rPr>
                <w:sz w:val="24"/>
                <w:szCs w:val="24"/>
              </w:rPr>
            </w:pPr>
          </w:p>
        </w:tc>
        <w:tc>
          <w:tcPr>
            <w:tcW w:w="300" w:type="dxa"/>
            <w:shd w:val="clear" w:color="auto" w:fill="00923D"/>
            <w:vAlign w:val="bottom"/>
          </w:tcPr>
          <w:p w:rsidR="00AC12B4" w:rsidRDefault="00AC12B4">
            <w:pPr>
              <w:rPr>
                <w:sz w:val="24"/>
                <w:szCs w:val="24"/>
              </w:rPr>
            </w:pPr>
          </w:p>
        </w:tc>
        <w:tc>
          <w:tcPr>
            <w:tcW w:w="180" w:type="dxa"/>
            <w:shd w:val="clear" w:color="auto" w:fill="00923D"/>
            <w:vAlign w:val="bottom"/>
          </w:tcPr>
          <w:p w:rsidR="00AC12B4" w:rsidRDefault="00AC12B4">
            <w:pPr>
              <w:rPr>
                <w:sz w:val="24"/>
                <w:szCs w:val="24"/>
              </w:rPr>
            </w:pPr>
          </w:p>
        </w:tc>
        <w:tc>
          <w:tcPr>
            <w:tcW w:w="160" w:type="dxa"/>
            <w:tcBorders>
              <w:right w:val="single" w:sz="8" w:space="0" w:color="005022"/>
            </w:tcBorders>
            <w:shd w:val="clear" w:color="auto" w:fill="00923D"/>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700" w:type="dxa"/>
            <w:vAlign w:val="bottom"/>
          </w:tcPr>
          <w:p w:rsidR="00AC12B4" w:rsidRDefault="00AC12B4">
            <w:pPr>
              <w:rPr>
                <w:sz w:val="24"/>
                <w:szCs w:val="24"/>
              </w:rPr>
            </w:pPr>
          </w:p>
        </w:tc>
        <w:tc>
          <w:tcPr>
            <w:tcW w:w="100" w:type="dxa"/>
            <w:tcBorders>
              <w:right w:val="single" w:sz="8" w:space="0" w:color="00923D"/>
            </w:tcBorders>
            <w:vAlign w:val="bottom"/>
          </w:tcPr>
          <w:p w:rsidR="00AC12B4" w:rsidRDefault="00AC12B4">
            <w:pPr>
              <w:rPr>
                <w:sz w:val="24"/>
                <w:szCs w:val="24"/>
              </w:rPr>
            </w:pPr>
          </w:p>
        </w:tc>
        <w:tc>
          <w:tcPr>
            <w:tcW w:w="2900" w:type="dxa"/>
            <w:gridSpan w:val="8"/>
            <w:vAlign w:val="bottom"/>
          </w:tcPr>
          <w:p w:rsidR="00AC12B4" w:rsidRDefault="00C27636">
            <w:pPr>
              <w:ind w:left="160"/>
              <w:rPr>
                <w:sz w:val="20"/>
                <w:szCs w:val="20"/>
              </w:rPr>
            </w:pPr>
            <w:r>
              <w:rPr>
                <w:rFonts w:ascii="Comic Sans MS" w:eastAsia="Comic Sans MS" w:hAnsi="Comic Sans MS" w:cs="Comic Sans MS"/>
                <w:color w:val="0D0D0D"/>
                <w:sz w:val="20"/>
                <w:szCs w:val="20"/>
              </w:rPr>
              <w:t xml:space="preserve">doublé  </w:t>
            </w:r>
            <w:r>
              <w:rPr>
                <w:rFonts w:ascii="Comic Sans MS" w:eastAsia="Comic Sans MS" w:hAnsi="Comic Sans MS" w:cs="Comic Sans MS"/>
                <w:color w:val="0D0D0D"/>
                <w:sz w:val="20"/>
                <w:szCs w:val="20"/>
              </w:rPr>
              <w:t>par  rapport  à  2003</w:t>
            </w:r>
          </w:p>
        </w:tc>
        <w:tc>
          <w:tcPr>
            <w:tcW w:w="0" w:type="dxa"/>
            <w:vAlign w:val="bottom"/>
          </w:tcPr>
          <w:p w:rsidR="00AC12B4" w:rsidRDefault="00AC12B4">
            <w:pPr>
              <w:rPr>
                <w:sz w:val="1"/>
                <w:szCs w:val="1"/>
              </w:rPr>
            </w:pPr>
          </w:p>
        </w:tc>
      </w:tr>
      <w:tr w:rsidR="00AC12B4">
        <w:trPr>
          <w:trHeight w:val="116"/>
        </w:trPr>
        <w:tc>
          <w:tcPr>
            <w:tcW w:w="1820" w:type="dxa"/>
            <w:tcBorders>
              <w:left w:val="single" w:sz="8" w:space="0" w:color="005022"/>
              <w:bottom w:val="single" w:sz="8" w:space="0" w:color="005022"/>
            </w:tcBorders>
            <w:shd w:val="clear" w:color="auto" w:fill="00923D"/>
            <w:vAlign w:val="bottom"/>
          </w:tcPr>
          <w:p w:rsidR="00AC12B4" w:rsidRDefault="00AC12B4">
            <w:pPr>
              <w:rPr>
                <w:sz w:val="10"/>
                <w:szCs w:val="10"/>
              </w:rPr>
            </w:pPr>
          </w:p>
        </w:tc>
        <w:tc>
          <w:tcPr>
            <w:tcW w:w="220" w:type="dxa"/>
            <w:tcBorders>
              <w:bottom w:val="single" w:sz="8" w:space="0" w:color="005022"/>
            </w:tcBorders>
            <w:shd w:val="clear" w:color="auto" w:fill="00923D"/>
            <w:vAlign w:val="bottom"/>
          </w:tcPr>
          <w:p w:rsidR="00AC12B4" w:rsidRDefault="00AC12B4">
            <w:pPr>
              <w:rPr>
                <w:sz w:val="10"/>
                <w:szCs w:val="10"/>
              </w:rPr>
            </w:pPr>
          </w:p>
        </w:tc>
        <w:tc>
          <w:tcPr>
            <w:tcW w:w="240" w:type="dxa"/>
            <w:tcBorders>
              <w:bottom w:val="single" w:sz="8" w:space="0" w:color="005022"/>
            </w:tcBorders>
            <w:shd w:val="clear" w:color="auto" w:fill="00923D"/>
            <w:vAlign w:val="bottom"/>
          </w:tcPr>
          <w:p w:rsidR="00AC12B4" w:rsidRDefault="00AC12B4">
            <w:pPr>
              <w:rPr>
                <w:sz w:val="10"/>
                <w:szCs w:val="10"/>
              </w:rPr>
            </w:pPr>
          </w:p>
        </w:tc>
        <w:tc>
          <w:tcPr>
            <w:tcW w:w="340" w:type="dxa"/>
            <w:tcBorders>
              <w:bottom w:val="single" w:sz="8" w:space="0" w:color="005022"/>
            </w:tcBorders>
            <w:shd w:val="clear" w:color="auto" w:fill="00923D"/>
            <w:vAlign w:val="bottom"/>
          </w:tcPr>
          <w:p w:rsidR="00AC12B4" w:rsidRDefault="00AC12B4">
            <w:pPr>
              <w:rPr>
                <w:sz w:val="10"/>
                <w:szCs w:val="10"/>
              </w:rPr>
            </w:pPr>
          </w:p>
        </w:tc>
        <w:tc>
          <w:tcPr>
            <w:tcW w:w="480" w:type="dxa"/>
            <w:tcBorders>
              <w:bottom w:val="single" w:sz="8" w:space="0" w:color="005022"/>
            </w:tcBorders>
            <w:shd w:val="clear" w:color="auto" w:fill="00923D"/>
            <w:vAlign w:val="bottom"/>
          </w:tcPr>
          <w:p w:rsidR="00AC12B4" w:rsidRDefault="00AC12B4">
            <w:pPr>
              <w:rPr>
                <w:sz w:val="10"/>
                <w:szCs w:val="10"/>
              </w:rPr>
            </w:pPr>
          </w:p>
        </w:tc>
        <w:tc>
          <w:tcPr>
            <w:tcW w:w="160" w:type="dxa"/>
            <w:tcBorders>
              <w:bottom w:val="single" w:sz="8" w:space="0" w:color="005022"/>
              <w:right w:val="single" w:sz="8" w:space="0" w:color="00923D"/>
            </w:tcBorders>
            <w:shd w:val="clear" w:color="auto" w:fill="00923D"/>
            <w:vAlign w:val="bottom"/>
          </w:tcPr>
          <w:p w:rsidR="00AC12B4" w:rsidRDefault="00AC12B4">
            <w:pPr>
              <w:rPr>
                <w:sz w:val="10"/>
                <w:szCs w:val="10"/>
              </w:rPr>
            </w:pPr>
          </w:p>
        </w:tc>
        <w:tc>
          <w:tcPr>
            <w:tcW w:w="500" w:type="dxa"/>
            <w:tcBorders>
              <w:bottom w:val="single" w:sz="8" w:space="0" w:color="005022"/>
            </w:tcBorders>
            <w:shd w:val="clear" w:color="auto" w:fill="00923D"/>
            <w:vAlign w:val="bottom"/>
          </w:tcPr>
          <w:p w:rsidR="00AC12B4" w:rsidRDefault="00AC12B4">
            <w:pPr>
              <w:rPr>
                <w:sz w:val="10"/>
                <w:szCs w:val="10"/>
              </w:rPr>
            </w:pPr>
          </w:p>
        </w:tc>
        <w:tc>
          <w:tcPr>
            <w:tcW w:w="280" w:type="dxa"/>
            <w:tcBorders>
              <w:bottom w:val="single" w:sz="8" w:space="0" w:color="005022"/>
            </w:tcBorders>
            <w:shd w:val="clear" w:color="auto" w:fill="00923D"/>
            <w:vAlign w:val="bottom"/>
          </w:tcPr>
          <w:p w:rsidR="00AC12B4" w:rsidRDefault="00AC12B4">
            <w:pPr>
              <w:rPr>
                <w:sz w:val="10"/>
                <w:szCs w:val="10"/>
              </w:rPr>
            </w:pPr>
          </w:p>
        </w:tc>
        <w:tc>
          <w:tcPr>
            <w:tcW w:w="260" w:type="dxa"/>
            <w:tcBorders>
              <w:bottom w:val="single" w:sz="8" w:space="0" w:color="005022"/>
            </w:tcBorders>
            <w:shd w:val="clear" w:color="auto" w:fill="00923D"/>
            <w:vAlign w:val="bottom"/>
          </w:tcPr>
          <w:p w:rsidR="00AC12B4" w:rsidRDefault="00AC12B4">
            <w:pPr>
              <w:rPr>
                <w:sz w:val="10"/>
                <w:szCs w:val="10"/>
              </w:rPr>
            </w:pPr>
          </w:p>
        </w:tc>
        <w:tc>
          <w:tcPr>
            <w:tcW w:w="700" w:type="dxa"/>
            <w:tcBorders>
              <w:bottom w:val="single" w:sz="8" w:space="0" w:color="005022"/>
            </w:tcBorders>
            <w:shd w:val="clear" w:color="auto" w:fill="00923D"/>
            <w:vAlign w:val="bottom"/>
          </w:tcPr>
          <w:p w:rsidR="00AC12B4" w:rsidRDefault="00AC12B4">
            <w:pPr>
              <w:rPr>
                <w:sz w:val="10"/>
                <w:szCs w:val="10"/>
              </w:rPr>
            </w:pPr>
          </w:p>
        </w:tc>
        <w:tc>
          <w:tcPr>
            <w:tcW w:w="180" w:type="dxa"/>
            <w:tcBorders>
              <w:bottom w:val="single" w:sz="8" w:space="0" w:color="005022"/>
            </w:tcBorders>
            <w:shd w:val="clear" w:color="auto" w:fill="00923D"/>
            <w:vAlign w:val="bottom"/>
          </w:tcPr>
          <w:p w:rsidR="00AC12B4" w:rsidRDefault="00AC12B4">
            <w:pPr>
              <w:rPr>
                <w:sz w:val="10"/>
                <w:szCs w:val="10"/>
              </w:rPr>
            </w:pPr>
          </w:p>
        </w:tc>
        <w:tc>
          <w:tcPr>
            <w:tcW w:w="860" w:type="dxa"/>
            <w:tcBorders>
              <w:bottom w:val="single" w:sz="8" w:space="0" w:color="005022"/>
            </w:tcBorders>
            <w:shd w:val="clear" w:color="auto" w:fill="00923D"/>
            <w:vAlign w:val="bottom"/>
          </w:tcPr>
          <w:p w:rsidR="00AC12B4" w:rsidRDefault="00AC12B4">
            <w:pPr>
              <w:rPr>
                <w:sz w:val="10"/>
                <w:szCs w:val="10"/>
              </w:rPr>
            </w:pPr>
          </w:p>
        </w:tc>
        <w:tc>
          <w:tcPr>
            <w:tcW w:w="300" w:type="dxa"/>
            <w:tcBorders>
              <w:bottom w:val="single" w:sz="8" w:space="0" w:color="005022"/>
            </w:tcBorders>
            <w:shd w:val="clear" w:color="auto" w:fill="00923D"/>
            <w:vAlign w:val="bottom"/>
          </w:tcPr>
          <w:p w:rsidR="00AC12B4" w:rsidRDefault="00AC12B4">
            <w:pPr>
              <w:rPr>
                <w:sz w:val="10"/>
                <w:szCs w:val="10"/>
              </w:rPr>
            </w:pPr>
          </w:p>
        </w:tc>
        <w:tc>
          <w:tcPr>
            <w:tcW w:w="180" w:type="dxa"/>
            <w:tcBorders>
              <w:bottom w:val="single" w:sz="8" w:space="0" w:color="005022"/>
            </w:tcBorders>
            <w:shd w:val="clear" w:color="auto" w:fill="00923D"/>
            <w:vAlign w:val="bottom"/>
          </w:tcPr>
          <w:p w:rsidR="00AC12B4" w:rsidRDefault="00AC12B4">
            <w:pPr>
              <w:rPr>
                <w:sz w:val="10"/>
                <w:szCs w:val="10"/>
              </w:rPr>
            </w:pPr>
          </w:p>
        </w:tc>
        <w:tc>
          <w:tcPr>
            <w:tcW w:w="160" w:type="dxa"/>
            <w:tcBorders>
              <w:bottom w:val="single" w:sz="8" w:space="0" w:color="005022"/>
              <w:right w:val="single" w:sz="8" w:space="0" w:color="005022"/>
            </w:tcBorders>
            <w:shd w:val="clear" w:color="auto" w:fill="00923D"/>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700" w:type="dxa"/>
            <w:vAlign w:val="bottom"/>
          </w:tcPr>
          <w:p w:rsidR="00AC12B4" w:rsidRDefault="00AC12B4">
            <w:pPr>
              <w:rPr>
                <w:sz w:val="10"/>
                <w:szCs w:val="10"/>
              </w:rPr>
            </w:pPr>
          </w:p>
        </w:tc>
        <w:tc>
          <w:tcPr>
            <w:tcW w:w="100" w:type="dxa"/>
            <w:tcBorders>
              <w:right w:val="single" w:sz="8" w:space="0" w:color="00923D"/>
            </w:tcBorders>
            <w:vAlign w:val="bottom"/>
          </w:tcPr>
          <w:p w:rsidR="00AC12B4" w:rsidRDefault="00AC12B4">
            <w:pPr>
              <w:rPr>
                <w:sz w:val="10"/>
                <w:szCs w:val="10"/>
              </w:rPr>
            </w:pPr>
          </w:p>
        </w:tc>
        <w:tc>
          <w:tcPr>
            <w:tcW w:w="1400" w:type="dxa"/>
            <w:gridSpan w:val="4"/>
            <w:vMerge w:val="restart"/>
            <w:vAlign w:val="bottom"/>
          </w:tcPr>
          <w:p w:rsidR="00AC12B4" w:rsidRDefault="00C27636">
            <w:pPr>
              <w:ind w:left="160"/>
              <w:rPr>
                <w:sz w:val="20"/>
                <w:szCs w:val="20"/>
              </w:rPr>
            </w:pPr>
            <w:r>
              <w:rPr>
                <w:rFonts w:ascii="Comic Sans MS" w:eastAsia="Comic Sans MS" w:hAnsi="Comic Sans MS" w:cs="Comic Sans MS"/>
                <w:color w:val="0D0D0D"/>
                <w:sz w:val="20"/>
                <w:szCs w:val="20"/>
              </w:rPr>
              <w:t>(EQLS 2012)</w:t>
            </w:r>
          </w:p>
        </w:tc>
        <w:tc>
          <w:tcPr>
            <w:tcW w:w="36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360" w:type="dxa"/>
            <w:vAlign w:val="bottom"/>
          </w:tcPr>
          <w:p w:rsidR="00AC12B4" w:rsidRDefault="00AC12B4">
            <w:pPr>
              <w:rPr>
                <w:sz w:val="10"/>
                <w:szCs w:val="10"/>
              </w:rPr>
            </w:pPr>
          </w:p>
        </w:tc>
        <w:tc>
          <w:tcPr>
            <w:tcW w:w="26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145"/>
        </w:trPr>
        <w:tc>
          <w:tcPr>
            <w:tcW w:w="6040" w:type="dxa"/>
            <w:gridSpan w:val="12"/>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 xml:space="preserve">Les </w:t>
            </w:r>
            <w:r w:rsidRPr="00C27636">
              <w:rPr>
                <w:rFonts w:ascii="Calibri" w:eastAsia="Calibri" w:hAnsi="Calibri" w:cs="Calibri"/>
                <w:lang w:val="fr-BE"/>
              </w:rPr>
              <w:t>parents sont les premiers responsables</w:t>
            </w:r>
          </w:p>
        </w:tc>
        <w:tc>
          <w:tcPr>
            <w:tcW w:w="300" w:type="dxa"/>
            <w:vAlign w:val="bottom"/>
          </w:tcPr>
          <w:p w:rsidR="00AC12B4" w:rsidRPr="00C27636" w:rsidRDefault="00AC12B4">
            <w:pPr>
              <w:rPr>
                <w:sz w:val="12"/>
                <w:szCs w:val="12"/>
                <w:lang w:val="fr-BE"/>
              </w:rPr>
            </w:pPr>
          </w:p>
        </w:tc>
        <w:tc>
          <w:tcPr>
            <w:tcW w:w="180" w:type="dxa"/>
            <w:vAlign w:val="bottom"/>
          </w:tcPr>
          <w:p w:rsidR="00AC12B4" w:rsidRPr="00C27636" w:rsidRDefault="00AC12B4">
            <w:pPr>
              <w:rPr>
                <w:sz w:val="12"/>
                <w:szCs w:val="12"/>
                <w:lang w:val="fr-BE"/>
              </w:rPr>
            </w:pPr>
          </w:p>
        </w:tc>
        <w:tc>
          <w:tcPr>
            <w:tcW w:w="160" w:type="dxa"/>
            <w:vAlign w:val="bottom"/>
          </w:tcPr>
          <w:p w:rsidR="00AC12B4" w:rsidRPr="00C27636" w:rsidRDefault="00AC12B4">
            <w:pPr>
              <w:rPr>
                <w:sz w:val="12"/>
                <w:szCs w:val="12"/>
                <w:lang w:val="fr-BE"/>
              </w:rPr>
            </w:pPr>
          </w:p>
        </w:tc>
        <w:tc>
          <w:tcPr>
            <w:tcW w:w="340" w:type="dxa"/>
            <w:vAlign w:val="bottom"/>
          </w:tcPr>
          <w:p w:rsidR="00AC12B4" w:rsidRPr="00C27636" w:rsidRDefault="00AC12B4">
            <w:pPr>
              <w:rPr>
                <w:sz w:val="12"/>
                <w:szCs w:val="12"/>
                <w:lang w:val="fr-BE"/>
              </w:rPr>
            </w:pPr>
          </w:p>
        </w:tc>
        <w:tc>
          <w:tcPr>
            <w:tcW w:w="700" w:type="dxa"/>
            <w:vAlign w:val="bottom"/>
          </w:tcPr>
          <w:p w:rsidR="00AC12B4" w:rsidRPr="00C27636" w:rsidRDefault="00AC12B4">
            <w:pPr>
              <w:rPr>
                <w:sz w:val="12"/>
                <w:szCs w:val="12"/>
                <w:lang w:val="fr-BE"/>
              </w:rPr>
            </w:pPr>
          </w:p>
        </w:tc>
        <w:tc>
          <w:tcPr>
            <w:tcW w:w="100" w:type="dxa"/>
            <w:tcBorders>
              <w:right w:val="single" w:sz="8" w:space="0" w:color="00923D"/>
            </w:tcBorders>
            <w:vAlign w:val="bottom"/>
          </w:tcPr>
          <w:p w:rsidR="00AC12B4" w:rsidRPr="00C27636" w:rsidRDefault="00AC12B4">
            <w:pPr>
              <w:rPr>
                <w:sz w:val="12"/>
                <w:szCs w:val="12"/>
                <w:lang w:val="fr-BE"/>
              </w:rPr>
            </w:pPr>
          </w:p>
        </w:tc>
        <w:tc>
          <w:tcPr>
            <w:tcW w:w="1400" w:type="dxa"/>
            <w:gridSpan w:val="4"/>
            <w:vMerge/>
            <w:vAlign w:val="bottom"/>
          </w:tcPr>
          <w:p w:rsidR="00AC12B4" w:rsidRPr="00C27636" w:rsidRDefault="00AC12B4">
            <w:pPr>
              <w:rPr>
                <w:sz w:val="12"/>
                <w:szCs w:val="12"/>
                <w:lang w:val="fr-BE"/>
              </w:rPr>
            </w:pPr>
          </w:p>
        </w:tc>
        <w:tc>
          <w:tcPr>
            <w:tcW w:w="360" w:type="dxa"/>
            <w:vAlign w:val="bottom"/>
          </w:tcPr>
          <w:p w:rsidR="00AC12B4" w:rsidRPr="00C27636" w:rsidRDefault="00AC12B4">
            <w:pPr>
              <w:rPr>
                <w:sz w:val="12"/>
                <w:szCs w:val="12"/>
                <w:lang w:val="fr-BE"/>
              </w:rPr>
            </w:pPr>
          </w:p>
        </w:tc>
        <w:tc>
          <w:tcPr>
            <w:tcW w:w="520" w:type="dxa"/>
            <w:vAlign w:val="bottom"/>
          </w:tcPr>
          <w:p w:rsidR="00AC12B4" w:rsidRPr="00C27636" w:rsidRDefault="00AC12B4">
            <w:pPr>
              <w:rPr>
                <w:sz w:val="12"/>
                <w:szCs w:val="12"/>
                <w:lang w:val="fr-BE"/>
              </w:rPr>
            </w:pPr>
          </w:p>
        </w:tc>
        <w:tc>
          <w:tcPr>
            <w:tcW w:w="360" w:type="dxa"/>
            <w:vAlign w:val="bottom"/>
          </w:tcPr>
          <w:p w:rsidR="00AC12B4" w:rsidRPr="00C27636" w:rsidRDefault="00AC12B4">
            <w:pPr>
              <w:rPr>
                <w:sz w:val="12"/>
                <w:szCs w:val="12"/>
                <w:lang w:val="fr-BE"/>
              </w:rPr>
            </w:pPr>
          </w:p>
        </w:tc>
        <w:tc>
          <w:tcPr>
            <w:tcW w:w="260" w:type="dxa"/>
            <w:vAlign w:val="bottom"/>
          </w:tcPr>
          <w:p w:rsidR="00AC12B4" w:rsidRPr="00C27636" w:rsidRDefault="00AC12B4">
            <w:pPr>
              <w:rPr>
                <w:sz w:val="12"/>
                <w:szCs w:val="12"/>
                <w:lang w:val="fr-BE"/>
              </w:rPr>
            </w:pPr>
          </w:p>
        </w:tc>
        <w:tc>
          <w:tcPr>
            <w:tcW w:w="0" w:type="dxa"/>
            <w:vAlign w:val="bottom"/>
          </w:tcPr>
          <w:p w:rsidR="00AC12B4" w:rsidRPr="00C27636" w:rsidRDefault="00AC12B4">
            <w:pPr>
              <w:rPr>
                <w:sz w:val="1"/>
                <w:szCs w:val="1"/>
                <w:lang w:val="fr-BE"/>
              </w:rPr>
            </w:pPr>
          </w:p>
        </w:tc>
      </w:tr>
      <w:tr w:rsidR="00AC12B4" w:rsidRPr="00C27636">
        <w:trPr>
          <w:trHeight w:val="185"/>
        </w:trPr>
        <w:tc>
          <w:tcPr>
            <w:tcW w:w="6040" w:type="dxa"/>
            <w:gridSpan w:val="12"/>
            <w:vMerge/>
            <w:vAlign w:val="bottom"/>
          </w:tcPr>
          <w:p w:rsidR="00AC12B4" w:rsidRPr="00C27636" w:rsidRDefault="00AC12B4">
            <w:pPr>
              <w:rPr>
                <w:sz w:val="16"/>
                <w:szCs w:val="16"/>
                <w:lang w:val="fr-BE"/>
              </w:rPr>
            </w:pPr>
          </w:p>
        </w:tc>
        <w:tc>
          <w:tcPr>
            <w:tcW w:w="300" w:type="dxa"/>
            <w:vAlign w:val="bottom"/>
          </w:tcPr>
          <w:p w:rsidR="00AC12B4" w:rsidRPr="00C27636" w:rsidRDefault="00AC12B4">
            <w:pPr>
              <w:rPr>
                <w:sz w:val="16"/>
                <w:szCs w:val="16"/>
                <w:lang w:val="fr-BE"/>
              </w:rPr>
            </w:pPr>
          </w:p>
        </w:tc>
        <w:tc>
          <w:tcPr>
            <w:tcW w:w="180" w:type="dxa"/>
            <w:vAlign w:val="bottom"/>
          </w:tcPr>
          <w:p w:rsidR="00AC12B4" w:rsidRPr="00C27636" w:rsidRDefault="00AC12B4">
            <w:pPr>
              <w:rPr>
                <w:sz w:val="16"/>
                <w:szCs w:val="16"/>
                <w:lang w:val="fr-BE"/>
              </w:rPr>
            </w:pPr>
          </w:p>
        </w:tc>
        <w:tc>
          <w:tcPr>
            <w:tcW w:w="160" w:type="dxa"/>
            <w:vAlign w:val="bottom"/>
          </w:tcPr>
          <w:p w:rsidR="00AC12B4" w:rsidRPr="00C27636" w:rsidRDefault="00AC12B4">
            <w:pPr>
              <w:rPr>
                <w:sz w:val="16"/>
                <w:szCs w:val="16"/>
                <w:lang w:val="fr-BE"/>
              </w:rPr>
            </w:pPr>
          </w:p>
        </w:tc>
        <w:tc>
          <w:tcPr>
            <w:tcW w:w="340" w:type="dxa"/>
            <w:vAlign w:val="bottom"/>
          </w:tcPr>
          <w:p w:rsidR="00AC12B4" w:rsidRPr="00C27636" w:rsidRDefault="00AC12B4">
            <w:pPr>
              <w:rPr>
                <w:sz w:val="16"/>
                <w:szCs w:val="16"/>
                <w:lang w:val="fr-BE"/>
              </w:rPr>
            </w:pPr>
          </w:p>
        </w:tc>
        <w:tc>
          <w:tcPr>
            <w:tcW w:w="700" w:type="dxa"/>
            <w:vAlign w:val="bottom"/>
          </w:tcPr>
          <w:p w:rsidR="00AC12B4" w:rsidRPr="00C27636" w:rsidRDefault="00AC12B4">
            <w:pPr>
              <w:rPr>
                <w:sz w:val="16"/>
                <w:szCs w:val="16"/>
                <w:lang w:val="fr-BE"/>
              </w:rPr>
            </w:pPr>
          </w:p>
        </w:tc>
        <w:tc>
          <w:tcPr>
            <w:tcW w:w="100" w:type="dxa"/>
            <w:tcBorders>
              <w:right w:val="single" w:sz="8" w:space="0" w:color="00923D"/>
            </w:tcBorders>
            <w:vAlign w:val="bottom"/>
          </w:tcPr>
          <w:p w:rsidR="00AC12B4" w:rsidRPr="00C27636" w:rsidRDefault="00AC12B4">
            <w:pPr>
              <w:rPr>
                <w:sz w:val="16"/>
                <w:szCs w:val="16"/>
                <w:lang w:val="fr-BE"/>
              </w:rPr>
            </w:pPr>
          </w:p>
        </w:tc>
        <w:tc>
          <w:tcPr>
            <w:tcW w:w="300" w:type="dxa"/>
            <w:vAlign w:val="bottom"/>
          </w:tcPr>
          <w:p w:rsidR="00AC12B4" w:rsidRPr="00C27636" w:rsidRDefault="00AC12B4">
            <w:pPr>
              <w:rPr>
                <w:sz w:val="16"/>
                <w:szCs w:val="16"/>
                <w:lang w:val="fr-BE"/>
              </w:rPr>
            </w:pPr>
          </w:p>
        </w:tc>
        <w:tc>
          <w:tcPr>
            <w:tcW w:w="380" w:type="dxa"/>
            <w:vAlign w:val="bottom"/>
          </w:tcPr>
          <w:p w:rsidR="00AC12B4" w:rsidRPr="00C27636" w:rsidRDefault="00AC12B4">
            <w:pPr>
              <w:rPr>
                <w:sz w:val="16"/>
                <w:szCs w:val="16"/>
                <w:lang w:val="fr-BE"/>
              </w:rPr>
            </w:pPr>
          </w:p>
        </w:tc>
        <w:tc>
          <w:tcPr>
            <w:tcW w:w="240" w:type="dxa"/>
            <w:vAlign w:val="bottom"/>
          </w:tcPr>
          <w:p w:rsidR="00AC12B4" w:rsidRPr="00C27636" w:rsidRDefault="00AC12B4">
            <w:pPr>
              <w:rPr>
                <w:sz w:val="16"/>
                <w:szCs w:val="16"/>
                <w:lang w:val="fr-BE"/>
              </w:rPr>
            </w:pPr>
          </w:p>
        </w:tc>
        <w:tc>
          <w:tcPr>
            <w:tcW w:w="480" w:type="dxa"/>
            <w:vAlign w:val="bottom"/>
          </w:tcPr>
          <w:p w:rsidR="00AC12B4" w:rsidRPr="00C27636" w:rsidRDefault="00AC12B4">
            <w:pPr>
              <w:rPr>
                <w:sz w:val="16"/>
                <w:szCs w:val="16"/>
                <w:lang w:val="fr-BE"/>
              </w:rPr>
            </w:pPr>
          </w:p>
        </w:tc>
        <w:tc>
          <w:tcPr>
            <w:tcW w:w="360" w:type="dxa"/>
            <w:vAlign w:val="bottom"/>
          </w:tcPr>
          <w:p w:rsidR="00AC12B4" w:rsidRPr="00C27636" w:rsidRDefault="00AC12B4">
            <w:pPr>
              <w:rPr>
                <w:sz w:val="16"/>
                <w:szCs w:val="16"/>
                <w:lang w:val="fr-BE"/>
              </w:rPr>
            </w:pPr>
          </w:p>
        </w:tc>
        <w:tc>
          <w:tcPr>
            <w:tcW w:w="520" w:type="dxa"/>
            <w:vAlign w:val="bottom"/>
          </w:tcPr>
          <w:p w:rsidR="00AC12B4" w:rsidRPr="00C27636" w:rsidRDefault="00AC12B4">
            <w:pPr>
              <w:rPr>
                <w:sz w:val="16"/>
                <w:szCs w:val="16"/>
                <w:lang w:val="fr-BE"/>
              </w:rPr>
            </w:pPr>
          </w:p>
        </w:tc>
        <w:tc>
          <w:tcPr>
            <w:tcW w:w="360" w:type="dxa"/>
            <w:vAlign w:val="bottom"/>
          </w:tcPr>
          <w:p w:rsidR="00AC12B4" w:rsidRPr="00C27636" w:rsidRDefault="00AC12B4">
            <w:pPr>
              <w:rPr>
                <w:sz w:val="16"/>
                <w:szCs w:val="16"/>
                <w:lang w:val="fr-BE"/>
              </w:rPr>
            </w:pPr>
          </w:p>
        </w:tc>
        <w:tc>
          <w:tcPr>
            <w:tcW w:w="26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trPr>
          <w:trHeight w:val="176"/>
        </w:trPr>
        <w:tc>
          <w:tcPr>
            <w:tcW w:w="6040" w:type="dxa"/>
            <w:gridSpan w:val="12"/>
            <w:vMerge/>
            <w:vAlign w:val="bottom"/>
          </w:tcPr>
          <w:p w:rsidR="00AC12B4" w:rsidRPr="00C27636" w:rsidRDefault="00AC12B4">
            <w:pPr>
              <w:rPr>
                <w:sz w:val="15"/>
                <w:szCs w:val="15"/>
                <w:lang w:val="fr-BE"/>
              </w:rPr>
            </w:pPr>
          </w:p>
        </w:tc>
        <w:tc>
          <w:tcPr>
            <w:tcW w:w="2700" w:type="dxa"/>
            <w:gridSpan w:val="9"/>
            <w:vMerge w:val="restart"/>
            <w:vAlign w:val="bottom"/>
          </w:tcPr>
          <w:p w:rsidR="00AC12B4" w:rsidRDefault="00C27636">
            <w:pPr>
              <w:ind w:left="20"/>
              <w:rPr>
                <w:sz w:val="20"/>
                <w:szCs w:val="20"/>
              </w:rPr>
            </w:pPr>
            <w:r>
              <w:rPr>
                <w:rFonts w:ascii="Cambria" w:eastAsia="Cambria" w:hAnsi="Cambria" w:cs="Cambria"/>
                <w:b/>
                <w:bCs/>
                <w:i/>
                <w:iCs/>
                <w:color w:val="005022"/>
                <w:sz w:val="26"/>
                <w:szCs w:val="26"/>
              </w:rPr>
              <w:t>Iniquité &amp; Evolution :</w:t>
            </w:r>
          </w:p>
        </w:tc>
        <w:tc>
          <w:tcPr>
            <w:tcW w:w="480" w:type="dxa"/>
            <w:vAlign w:val="bottom"/>
          </w:tcPr>
          <w:p w:rsidR="00AC12B4" w:rsidRDefault="00AC12B4">
            <w:pPr>
              <w:rPr>
                <w:sz w:val="15"/>
                <w:szCs w:val="15"/>
              </w:rPr>
            </w:pPr>
          </w:p>
        </w:tc>
        <w:tc>
          <w:tcPr>
            <w:tcW w:w="360" w:type="dxa"/>
            <w:vAlign w:val="bottom"/>
          </w:tcPr>
          <w:p w:rsidR="00AC12B4" w:rsidRDefault="00AC12B4">
            <w:pPr>
              <w:rPr>
                <w:sz w:val="15"/>
                <w:szCs w:val="15"/>
              </w:rPr>
            </w:pPr>
          </w:p>
        </w:tc>
        <w:tc>
          <w:tcPr>
            <w:tcW w:w="520" w:type="dxa"/>
            <w:vAlign w:val="bottom"/>
          </w:tcPr>
          <w:p w:rsidR="00AC12B4" w:rsidRDefault="00AC12B4">
            <w:pPr>
              <w:rPr>
                <w:sz w:val="15"/>
                <w:szCs w:val="15"/>
              </w:rPr>
            </w:pPr>
          </w:p>
        </w:tc>
        <w:tc>
          <w:tcPr>
            <w:tcW w:w="36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266"/>
        </w:trPr>
        <w:tc>
          <w:tcPr>
            <w:tcW w:w="6040" w:type="dxa"/>
            <w:gridSpan w:val="12"/>
            <w:vAlign w:val="bottom"/>
          </w:tcPr>
          <w:p w:rsidR="00AC12B4" w:rsidRDefault="00C27636">
            <w:pPr>
              <w:spacing w:line="267" w:lineRule="exact"/>
              <w:ind w:left="1460"/>
              <w:rPr>
                <w:sz w:val="20"/>
                <w:szCs w:val="20"/>
              </w:rPr>
            </w:pPr>
            <w:r w:rsidRPr="00C27636">
              <w:rPr>
                <w:rFonts w:ascii="Calibri" w:eastAsia="Calibri" w:hAnsi="Calibri" w:cs="Calibri"/>
                <w:lang w:val="fr-BE"/>
              </w:rPr>
              <w:t xml:space="preserve">de leurs enfants et de leur bien-être. </w:t>
            </w:r>
            <w:r>
              <w:rPr>
                <w:rFonts w:ascii="Calibri" w:eastAsia="Calibri" w:hAnsi="Calibri" w:cs="Calibri"/>
              </w:rPr>
              <w:t>La</w:t>
            </w:r>
          </w:p>
        </w:tc>
        <w:tc>
          <w:tcPr>
            <w:tcW w:w="2700" w:type="dxa"/>
            <w:gridSpan w:val="9"/>
            <w:vMerge/>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2040" w:type="dxa"/>
            <w:gridSpan w:val="2"/>
            <w:vAlign w:val="bottom"/>
          </w:tcPr>
          <w:p w:rsidR="00AC12B4" w:rsidRDefault="00C27636">
            <w:pPr>
              <w:ind w:left="1460"/>
              <w:rPr>
                <w:sz w:val="20"/>
                <w:szCs w:val="20"/>
              </w:rPr>
            </w:pPr>
            <w:r>
              <w:rPr>
                <w:rFonts w:ascii="Calibri" w:eastAsia="Calibri" w:hAnsi="Calibri" w:cs="Calibri"/>
              </w:rPr>
              <w:t>CIDE</w:t>
            </w:r>
          </w:p>
        </w:tc>
        <w:tc>
          <w:tcPr>
            <w:tcW w:w="2000" w:type="dxa"/>
            <w:gridSpan w:val="6"/>
            <w:vAlign w:val="bottom"/>
          </w:tcPr>
          <w:p w:rsidR="00AC12B4" w:rsidRDefault="00C27636">
            <w:pPr>
              <w:jc w:val="right"/>
              <w:rPr>
                <w:sz w:val="20"/>
                <w:szCs w:val="20"/>
              </w:rPr>
            </w:pPr>
            <w:r>
              <w:rPr>
                <w:rFonts w:ascii="Calibri" w:eastAsia="Calibri" w:hAnsi="Calibri" w:cs="Calibri"/>
              </w:rPr>
              <w:t>reconnait  cependant</w:t>
            </w:r>
          </w:p>
        </w:tc>
        <w:tc>
          <w:tcPr>
            <w:tcW w:w="1140" w:type="dxa"/>
            <w:gridSpan w:val="3"/>
            <w:vAlign w:val="bottom"/>
          </w:tcPr>
          <w:p w:rsidR="00AC12B4" w:rsidRDefault="00C27636">
            <w:pPr>
              <w:ind w:left="80"/>
              <w:rPr>
                <w:sz w:val="20"/>
                <w:szCs w:val="20"/>
              </w:rPr>
            </w:pPr>
            <w:r>
              <w:rPr>
                <w:rFonts w:ascii="Calibri" w:eastAsia="Calibri" w:hAnsi="Calibri" w:cs="Calibri"/>
              </w:rPr>
              <w:t>que,  pour</w:t>
            </w:r>
          </w:p>
        </w:tc>
        <w:tc>
          <w:tcPr>
            <w:tcW w:w="860" w:type="dxa"/>
            <w:vAlign w:val="bottom"/>
          </w:tcPr>
          <w:p w:rsidR="00AC12B4" w:rsidRDefault="00C27636">
            <w:pPr>
              <w:ind w:right="590"/>
              <w:jc w:val="right"/>
              <w:rPr>
                <w:sz w:val="20"/>
                <w:szCs w:val="20"/>
              </w:rPr>
            </w:pPr>
            <w:r>
              <w:rPr>
                <w:rFonts w:ascii="Calibri" w:eastAsia="Calibri" w:hAnsi="Calibri" w:cs="Calibri"/>
              </w:rPr>
              <w:t>y</w:t>
            </w:r>
          </w:p>
        </w:tc>
        <w:tc>
          <w:tcPr>
            <w:tcW w:w="480" w:type="dxa"/>
            <w:gridSpan w:val="2"/>
            <w:vMerge w:val="restart"/>
            <w:vAlign w:val="bottom"/>
          </w:tcPr>
          <w:p w:rsidR="00AC12B4" w:rsidRDefault="00C27636">
            <w:pPr>
              <w:ind w:left="20"/>
              <w:rPr>
                <w:sz w:val="20"/>
                <w:szCs w:val="20"/>
              </w:rPr>
            </w:pPr>
            <w:r>
              <w:rPr>
                <w:rFonts w:ascii="Calibri" w:eastAsia="Calibri" w:hAnsi="Calibri" w:cs="Calibri"/>
              </w:rPr>
              <w:t>Les</w:t>
            </w:r>
          </w:p>
        </w:tc>
        <w:tc>
          <w:tcPr>
            <w:tcW w:w="3580" w:type="dxa"/>
            <w:gridSpan w:val="10"/>
            <w:vMerge w:val="restart"/>
            <w:vAlign w:val="bottom"/>
          </w:tcPr>
          <w:p w:rsidR="00AC12B4" w:rsidRPr="00C27636" w:rsidRDefault="00C27636">
            <w:pPr>
              <w:ind w:right="71"/>
              <w:jc w:val="right"/>
              <w:rPr>
                <w:sz w:val="20"/>
                <w:szCs w:val="20"/>
                <w:lang w:val="fr-BE"/>
              </w:rPr>
            </w:pPr>
            <w:r w:rsidRPr="00C27636">
              <w:rPr>
                <w:rFonts w:ascii="Calibri" w:eastAsia="Calibri" w:hAnsi="Calibri" w:cs="Calibri"/>
                <w:lang w:val="fr-BE"/>
              </w:rPr>
              <w:t>personnes  se  retrouvant  dans  le</w:t>
            </w:r>
          </w:p>
        </w:tc>
        <w:tc>
          <w:tcPr>
            <w:tcW w:w="360" w:type="dxa"/>
            <w:vAlign w:val="bottom"/>
          </w:tcPr>
          <w:p w:rsidR="00AC12B4" w:rsidRPr="00C27636" w:rsidRDefault="00AC12B4">
            <w:pPr>
              <w:rPr>
                <w:sz w:val="23"/>
                <w:szCs w:val="23"/>
                <w:lang w:val="fr-BE"/>
              </w:rPr>
            </w:pPr>
          </w:p>
        </w:tc>
        <w:tc>
          <w:tcPr>
            <w:tcW w:w="2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113"/>
        </w:trPr>
        <w:tc>
          <w:tcPr>
            <w:tcW w:w="6040" w:type="dxa"/>
            <w:gridSpan w:val="12"/>
            <w:vMerge w:val="restart"/>
            <w:vAlign w:val="bottom"/>
          </w:tcPr>
          <w:p w:rsidR="00AC12B4" w:rsidRPr="00C27636" w:rsidRDefault="00C27636">
            <w:pPr>
              <w:ind w:left="1460"/>
              <w:rPr>
                <w:sz w:val="20"/>
                <w:szCs w:val="20"/>
                <w:lang w:val="fr-BE"/>
              </w:rPr>
            </w:pPr>
            <w:r w:rsidRPr="00C27636">
              <w:rPr>
                <w:rFonts w:ascii="Calibri" w:eastAsia="Calibri" w:hAnsi="Calibri" w:cs="Calibri"/>
                <w:lang w:val="fr-BE"/>
              </w:rPr>
              <w:t xml:space="preserve">arriver au mieux, les </w:t>
            </w:r>
            <w:r w:rsidRPr="00C27636">
              <w:rPr>
                <w:rFonts w:ascii="Calibri" w:eastAsia="Calibri" w:hAnsi="Calibri" w:cs="Calibri"/>
                <w:lang w:val="fr-BE"/>
              </w:rPr>
              <w:t>Etats doivent accorder</w:t>
            </w:r>
          </w:p>
        </w:tc>
        <w:tc>
          <w:tcPr>
            <w:tcW w:w="480" w:type="dxa"/>
            <w:gridSpan w:val="2"/>
            <w:vMerge/>
            <w:vAlign w:val="bottom"/>
          </w:tcPr>
          <w:p w:rsidR="00AC12B4" w:rsidRPr="00C27636" w:rsidRDefault="00AC12B4">
            <w:pPr>
              <w:rPr>
                <w:sz w:val="9"/>
                <w:szCs w:val="9"/>
                <w:lang w:val="fr-BE"/>
              </w:rPr>
            </w:pPr>
          </w:p>
        </w:tc>
        <w:tc>
          <w:tcPr>
            <w:tcW w:w="3580" w:type="dxa"/>
            <w:gridSpan w:val="10"/>
            <w:vMerge/>
            <w:vAlign w:val="bottom"/>
          </w:tcPr>
          <w:p w:rsidR="00AC12B4" w:rsidRPr="00C27636" w:rsidRDefault="00AC12B4">
            <w:pPr>
              <w:rPr>
                <w:sz w:val="9"/>
                <w:szCs w:val="9"/>
                <w:lang w:val="fr-BE"/>
              </w:rPr>
            </w:pPr>
          </w:p>
        </w:tc>
        <w:tc>
          <w:tcPr>
            <w:tcW w:w="360" w:type="dxa"/>
            <w:vAlign w:val="bottom"/>
          </w:tcPr>
          <w:p w:rsidR="00AC12B4" w:rsidRPr="00C27636" w:rsidRDefault="00AC12B4">
            <w:pPr>
              <w:rPr>
                <w:sz w:val="9"/>
                <w:szCs w:val="9"/>
                <w:lang w:val="fr-BE"/>
              </w:rPr>
            </w:pPr>
          </w:p>
        </w:tc>
        <w:tc>
          <w:tcPr>
            <w:tcW w:w="260" w:type="dxa"/>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156"/>
        </w:trPr>
        <w:tc>
          <w:tcPr>
            <w:tcW w:w="6040" w:type="dxa"/>
            <w:gridSpan w:val="12"/>
            <w:vMerge/>
            <w:vAlign w:val="bottom"/>
          </w:tcPr>
          <w:p w:rsidR="00AC12B4" w:rsidRPr="00C27636" w:rsidRDefault="00AC12B4">
            <w:pPr>
              <w:rPr>
                <w:sz w:val="13"/>
                <w:szCs w:val="13"/>
                <w:lang w:val="fr-BE"/>
              </w:rPr>
            </w:pPr>
          </w:p>
        </w:tc>
        <w:tc>
          <w:tcPr>
            <w:tcW w:w="4060" w:type="dxa"/>
            <w:gridSpan w:val="12"/>
            <w:vMerge w:val="restart"/>
            <w:vAlign w:val="bottom"/>
          </w:tcPr>
          <w:p w:rsidR="00AC12B4" w:rsidRPr="00C27636" w:rsidRDefault="00C27636">
            <w:pPr>
              <w:ind w:left="20"/>
              <w:rPr>
                <w:sz w:val="20"/>
                <w:szCs w:val="20"/>
                <w:lang w:val="fr-BE"/>
              </w:rPr>
            </w:pPr>
            <w:r w:rsidRPr="00C27636">
              <w:rPr>
                <w:rFonts w:ascii="Calibri" w:eastAsia="Calibri" w:hAnsi="Calibri" w:cs="Calibri"/>
                <w:lang w:val="fr-BE"/>
              </w:rPr>
              <w:t>quartile de revenu le plus bas sont les plus</w:t>
            </w:r>
          </w:p>
        </w:tc>
        <w:tc>
          <w:tcPr>
            <w:tcW w:w="360" w:type="dxa"/>
            <w:vAlign w:val="bottom"/>
          </w:tcPr>
          <w:p w:rsidR="00AC12B4" w:rsidRPr="00C27636" w:rsidRDefault="00AC12B4">
            <w:pPr>
              <w:rPr>
                <w:sz w:val="13"/>
                <w:szCs w:val="13"/>
                <w:lang w:val="fr-BE"/>
              </w:rPr>
            </w:pPr>
          </w:p>
        </w:tc>
        <w:tc>
          <w:tcPr>
            <w:tcW w:w="260" w:type="dxa"/>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trPr>
          <w:trHeight w:val="113"/>
        </w:trPr>
        <w:tc>
          <w:tcPr>
            <w:tcW w:w="4300" w:type="dxa"/>
            <w:gridSpan w:val="9"/>
            <w:vMerge w:val="restart"/>
            <w:vAlign w:val="bottom"/>
          </w:tcPr>
          <w:p w:rsidR="00AC12B4" w:rsidRDefault="00C27636">
            <w:pPr>
              <w:ind w:left="1460"/>
              <w:rPr>
                <w:sz w:val="20"/>
                <w:szCs w:val="20"/>
              </w:rPr>
            </w:pPr>
            <w:r>
              <w:rPr>
                <w:rFonts w:ascii="Calibri" w:eastAsia="Calibri" w:hAnsi="Calibri" w:cs="Calibri"/>
              </w:rPr>
              <w:t>aux parents l’aide appropriée.</w:t>
            </w:r>
          </w:p>
        </w:tc>
        <w:tc>
          <w:tcPr>
            <w:tcW w:w="70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860" w:type="dxa"/>
            <w:vAlign w:val="bottom"/>
          </w:tcPr>
          <w:p w:rsidR="00AC12B4" w:rsidRDefault="00AC12B4">
            <w:pPr>
              <w:rPr>
                <w:sz w:val="9"/>
                <w:szCs w:val="9"/>
              </w:rPr>
            </w:pPr>
          </w:p>
        </w:tc>
        <w:tc>
          <w:tcPr>
            <w:tcW w:w="4060" w:type="dxa"/>
            <w:gridSpan w:val="12"/>
            <w:vMerge/>
            <w:vAlign w:val="bottom"/>
          </w:tcPr>
          <w:p w:rsidR="00AC12B4" w:rsidRDefault="00AC12B4">
            <w:pPr>
              <w:rPr>
                <w:sz w:val="9"/>
                <w:szCs w:val="9"/>
              </w:rPr>
            </w:pPr>
          </w:p>
        </w:tc>
        <w:tc>
          <w:tcPr>
            <w:tcW w:w="36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56"/>
        </w:trPr>
        <w:tc>
          <w:tcPr>
            <w:tcW w:w="4300" w:type="dxa"/>
            <w:gridSpan w:val="9"/>
            <w:vMerge/>
            <w:vAlign w:val="bottom"/>
          </w:tcPr>
          <w:p w:rsidR="00AC12B4" w:rsidRDefault="00AC12B4">
            <w:pPr>
              <w:rPr>
                <w:sz w:val="13"/>
                <w:szCs w:val="13"/>
              </w:rPr>
            </w:pPr>
          </w:p>
        </w:tc>
        <w:tc>
          <w:tcPr>
            <w:tcW w:w="70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860" w:type="dxa"/>
            <w:vAlign w:val="bottom"/>
          </w:tcPr>
          <w:p w:rsidR="00AC12B4" w:rsidRDefault="00AC12B4">
            <w:pPr>
              <w:rPr>
                <w:sz w:val="13"/>
                <w:szCs w:val="13"/>
              </w:rPr>
            </w:pPr>
          </w:p>
        </w:tc>
        <w:tc>
          <w:tcPr>
            <w:tcW w:w="1680" w:type="dxa"/>
            <w:gridSpan w:val="5"/>
            <w:vMerge w:val="restart"/>
            <w:vAlign w:val="bottom"/>
          </w:tcPr>
          <w:p w:rsidR="00AC12B4" w:rsidRDefault="00C27636">
            <w:pPr>
              <w:ind w:left="20"/>
              <w:rPr>
                <w:sz w:val="20"/>
                <w:szCs w:val="20"/>
              </w:rPr>
            </w:pPr>
            <w:r>
              <w:rPr>
                <w:rFonts w:ascii="Calibri" w:eastAsia="Calibri" w:hAnsi="Calibri" w:cs="Calibri"/>
              </w:rPr>
              <w:t>susceptibles  de</w:t>
            </w:r>
          </w:p>
        </w:tc>
        <w:tc>
          <w:tcPr>
            <w:tcW w:w="400" w:type="dxa"/>
            <w:gridSpan w:val="2"/>
            <w:vMerge w:val="restart"/>
            <w:vAlign w:val="bottom"/>
          </w:tcPr>
          <w:p w:rsidR="00AC12B4" w:rsidRDefault="00C27636">
            <w:pPr>
              <w:ind w:left="20"/>
              <w:rPr>
                <w:sz w:val="20"/>
                <w:szCs w:val="20"/>
              </w:rPr>
            </w:pPr>
            <w:r>
              <w:rPr>
                <w:rFonts w:ascii="Calibri" w:eastAsia="Calibri" w:hAnsi="Calibri" w:cs="Calibri"/>
              </w:rPr>
              <w:t>ne</w:t>
            </w:r>
          </w:p>
        </w:tc>
        <w:tc>
          <w:tcPr>
            <w:tcW w:w="380" w:type="dxa"/>
            <w:vMerge w:val="restart"/>
            <w:vAlign w:val="bottom"/>
          </w:tcPr>
          <w:p w:rsidR="00AC12B4" w:rsidRDefault="00C27636">
            <w:pPr>
              <w:ind w:left="20"/>
              <w:rPr>
                <w:sz w:val="20"/>
                <w:szCs w:val="20"/>
              </w:rPr>
            </w:pPr>
            <w:r>
              <w:rPr>
                <w:rFonts w:ascii="Calibri" w:eastAsia="Calibri" w:hAnsi="Calibri" w:cs="Calibri"/>
              </w:rPr>
              <w:t>pas</w:t>
            </w:r>
          </w:p>
        </w:tc>
        <w:tc>
          <w:tcPr>
            <w:tcW w:w="1080" w:type="dxa"/>
            <w:gridSpan w:val="3"/>
            <w:vMerge w:val="restart"/>
            <w:vAlign w:val="bottom"/>
          </w:tcPr>
          <w:p w:rsidR="00AC12B4" w:rsidRDefault="00C27636">
            <w:pPr>
              <w:jc w:val="right"/>
              <w:rPr>
                <w:sz w:val="20"/>
                <w:szCs w:val="20"/>
              </w:rPr>
            </w:pPr>
            <w:r>
              <w:rPr>
                <w:rFonts w:ascii="Calibri" w:eastAsia="Calibri" w:hAnsi="Calibri" w:cs="Calibri"/>
              </w:rPr>
              <w:t>arriver  à</w:t>
            </w:r>
          </w:p>
        </w:tc>
        <w:tc>
          <w:tcPr>
            <w:tcW w:w="520" w:type="dxa"/>
            <w:vMerge w:val="restart"/>
            <w:vAlign w:val="bottom"/>
          </w:tcPr>
          <w:p w:rsidR="00AC12B4" w:rsidRDefault="00C27636">
            <w:pPr>
              <w:ind w:right="51"/>
              <w:jc w:val="right"/>
              <w:rPr>
                <w:sz w:val="20"/>
                <w:szCs w:val="20"/>
              </w:rPr>
            </w:pPr>
            <w:r>
              <w:rPr>
                <w:rFonts w:ascii="Calibri" w:eastAsia="Calibri" w:hAnsi="Calibri" w:cs="Calibri"/>
              </w:rPr>
              <w:t>un</w:t>
            </w:r>
          </w:p>
        </w:tc>
        <w:tc>
          <w:tcPr>
            <w:tcW w:w="360" w:type="dxa"/>
            <w:vAlign w:val="bottom"/>
          </w:tcPr>
          <w:p w:rsidR="00AC12B4" w:rsidRDefault="00AC12B4">
            <w:pPr>
              <w:rPr>
                <w:sz w:val="13"/>
                <w:szCs w:val="13"/>
              </w:rPr>
            </w:pPr>
          </w:p>
        </w:tc>
        <w:tc>
          <w:tcPr>
            <w:tcW w:w="2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3"/>
        </w:trPr>
        <w:tc>
          <w:tcPr>
            <w:tcW w:w="1820" w:type="dxa"/>
            <w:vAlign w:val="bottom"/>
          </w:tcPr>
          <w:p w:rsidR="00AC12B4" w:rsidRDefault="00AC12B4">
            <w:pPr>
              <w:rPr>
                <w:sz w:val="9"/>
                <w:szCs w:val="9"/>
              </w:rPr>
            </w:pPr>
          </w:p>
        </w:tc>
        <w:tc>
          <w:tcPr>
            <w:tcW w:w="22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340" w:type="dxa"/>
            <w:vAlign w:val="bottom"/>
          </w:tcPr>
          <w:p w:rsidR="00AC12B4" w:rsidRDefault="00AC12B4">
            <w:pPr>
              <w:rPr>
                <w:sz w:val="9"/>
                <w:szCs w:val="9"/>
              </w:rPr>
            </w:pPr>
          </w:p>
        </w:tc>
        <w:tc>
          <w:tcPr>
            <w:tcW w:w="480" w:type="dxa"/>
            <w:vAlign w:val="bottom"/>
          </w:tcPr>
          <w:p w:rsidR="00AC12B4" w:rsidRDefault="00AC12B4">
            <w:pPr>
              <w:rPr>
                <w:sz w:val="9"/>
                <w:szCs w:val="9"/>
              </w:rPr>
            </w:pPr>
          </w:p>
        </w:tc>
        <w:tc>
          <w:tcPr>
            <w:tcW w:w="160" w:type="dxa"/>
            <w:vAlign w:val="bottom"/>
          </w:tcPr>
          <w:p w:rsidR="00AC12B4" w:rsidRDefault="00AC12B4">
            <w:pPr>
              <w:rPr>
                <w:sz w:val="9"/>
                <w:szCs w:val="9"/>
              </w:rPr>
            </w:pPr>
          </w:p>
        </w:tc>
        <w:tc>
          <w:tcPr>
            <w:tcW w:w="50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70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860" w:type="dxa"/>
            <w:vAlign w:val="bottom"/>
          </w:tcPr>
          <w:p w:rsidR="00AC12B4" w:rsidRDefault="00AC12B4">
            <w:pPr>
              <w:rPr>
                <w:sz w:val="9"/>
                <w:szCs w:val="9"/>
              </w:rPr>
            </w:pPr>
          </w:p>
        </w:tc>
        <w:tc>
          <w:tcPr>
            <w:tcW w:w="1680" w:type="dxa"/>
            <w:gridSpan w:val="5"/>
            <w:vMerge/>
            <w:vAlign w:val="bottom"/>
          </w:tcPr>
          <w:p w:rsidR="00AC12B4" w:rsidRDefault="00AC12B4">
            <w:pPr>
              <w:rPr>
                <w:sz w:val="9"/>
                <w:szCs w:val="9"/>
              </w:rPr>
            </w:pPr>
          </w:p>
        </w:tc>
        <w:tc>
          <w:tcPr>
            <w:tcW w:w="400" w:type="dxa"/>
            <w:gridSpan w:val="2"/>
            <w:vMerge/>
            <w:vAlign w:val="bottom"/>
          </w:tcPr>
          <w:p w:rsidR="00AC12B4" w:rsidRDefault="00AC12B4">
            <w:pPr>
              <w:rPr>
                <w:sz w:val="9"/>
                <w:szCs w:val="9"/>
              </w:rPr>
            </w:pPr>
          </w:p>
        </w:tc>
        <w:tc>
          <w:tcPr>
            <w:tcW w:w="380" w:type="dxa"/>
            <w:vMerge/>
            <w:vAlign w:val="bottom"/>
          </w:tcPr>
          <w:p w:rsidR="00AC12B4" w:rsidRDefault="00AC12B4">
            <w:pPr>
              <w:rPr>
                <w:sz w:val="9"/>
                <w:szCs w:val="9"/>
              </w:rPr>
            </w:pPr>
          </w:p>
        </w:tc>
        <w:tc>
          <w:tcPr>
            <w:tcW w:w="1080" w:type="dxa"/>
            <w:gridSpan w:val="3"/>
            <w:vMerge/>
            <w:vAlign w:val="bottom"/>
          </w:tcPr>
          <w:p w:rsidR="00AC12B4" w:rsidRDefault="00AC12B4">
            <w:pPr>
              <w:rPr>
                <w:sz w:val="9"/>
                <w:szCs w:val="9"/>
              </w:rPr>
            </w:pPr>
          </w:p>
        </w:tc>
        <w:tc>
          <w:tcPr>
            <w:tcW w:w="520" w:type="dxa"/>
            <w:vMerge/>
            <w:vAlign w:val="bottom"/>
          </w:tcPr>
          <w:p w:rsidR="00AC12B4" w:rsidRDefault="00AC12B4">
            <w:pPr>
              <w:rPr>
                <w:sz w:val="9"/>
                <w:szCs w:val="9"/>
              </w:rPr>
            </w:pPr>
          </w:p>
        </w:tc>
        <w:tc>
          <w:tcPr>
            <w:tcW w:w="36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76"/>
        </w:trPr>
        <w:tc>
          <w:tcPr>
            <w:tcW w:w="1820" w:type="dxa"/>
            <w:vAlign w:val="bottom"/>
          </w:tcPr>
          <w:p w:rsidR="00AC12B4" w:rsidRDefault="00C27636">
            <w:pPr>
              <w:ind w:left="1460"/>
              <w:rPr>
                <w:sz w:val="20"/>
                <w:szCs w:val="20"/>
              </w:rPr>
            </w:pPr>
            <w:r>
              <w:rPr>
                <w:rFonts w:ascii="Calibri" w:eastAsia="Calibri" w:hAnsi="Calibri" w:cs="Calibri"/>
              </w:rPr>
              <w:t>L</w:t>
            </w:r>
            <w:r>
              <w:rPr>
                <w:rFonts w:ascii="Calibri" w:eastAsia="Calibri" w:hAnsi="Calibri" w:cs="Calibri"/>
              </w:rPr>
              <w:lastRenderedPageBreak/>
              <w:t>a</w:t>
            </w:r>
          </w:p>
        </w:tc>
        <w:tc>
          <w:tcPr>
            <w:tcW w:w="800" w:type="dxa"/>
            <w:gridSpan w:val="3"/>
            <w:vAlign w:val="bottom"/>
          </w:tcPr>
          <w:p w:rsidR="00AC12B4" w:rsidRDefault="00C27636">
            <w:pPr>
              <w:ind w:left="40"/>
              <w:rPr>
                <w:sz w:val="20"/>
                <w:szCs w:val="20"/>
              </w:rPr>
            </w:pPr>
            <w:r>
              <w:rPr>
                <w:rFonts w:ascii="Calibri" w:eastAsia="Calibri" w:hAnsi="Calibri" w:cs="Calibri"/>
              </w:rPr>
              <w:lastRenderedPageBreak/>
              <w:t>gesti</w:t>
            </w:r>
            <w:r>
              <w:rPr>
                <w:rFonts w:ascii="Calibri" w:eastAsia="Calibri" w:hAnsi="Calibri" w:cs="Calibri"/>
              </w:rPr>
              <w:lastRenderedPageBreak/>
              <w:t>on</w:t>
            </w:r>
          </w:p>
        </w:tc>
        <w:tc>
          <w:tcPr>
            <w:tcW w:w="480" w:type="dxa"/>
            <w:vAlign w:val="bottom"/>
          </w:tcPr>
          <w:p w:rsidR="00AC12B4" w:rsidRDefault="00C27636">
            <w:pPr>
              <w:ind w:right="50"/>
              <w:jc w:val="right"/>
              <w:rPr>
                <w:sz w:val="20"/>
                <w:szCs w:val="20"/>
              </w:rPr>
            </w:pPr>
            <w:r>
              <w:rPr>
                <w:rFonts w:ascii="Calibri" w:eastAsia="Calibri" w:hAnsi="Calibri" w:cs="Calibri"/>
              </w:rPr>
              <w:lastRenderedPageBreak/>
              <w:t>du</w:t>
            </w:r>
          </w:p>
        </w:tc>
        <w:tc>
          <w:tcPr>
            <w:tcW w:w="660" w:type="dxa"/>
            <w:gridSpan w:val="2"/>
            <w:vAlign w:val="bottom"/>
          </w:tcPr>
          <w:p w:rsidR="00AC12B4" w:rsidRDefault="00C27636">
            <w:pPr>
              <w:ind w:left="40"/>
              <w:rPr>
                <w:sz w:val="20"/>
                <w:szCs w:val="20"/>
              </w:rPr>
            </w:pPr>
            <w:r>
              <w:rPr>
                <w:rFonts w:ascii="Calibri" w:eastAsia="Calibri" w:hAnsi="Calibri" w:cs="Calibri"/>
                <w:w w:val="97"/>
              </w:rPr>
              <w:t>tem</w:t>
            </w:r>
            <w:r>
              <w:rPr>
                <w:rFonts w:ascii="Calibri" w:eastAsia="Calibri" w:hAnsi="Calibri" w:cs="Calibri"/>
                <w:w w:val="97"/>
              </w:rPr>
              <w:lastRenderedPageBreak/>
              <w:t>ps,</w:t>
            </w:r>
          </w:p>
        </w:tc>
        <w:tc>
          <w:tcPr>
            <w:tcW w:w="540" w:type="dxa"/>
            <w:gridSpan w:val="2"/>
            <w:vAlign w:val="bottom"/>
          </w:tcPr>
          <w:p w:rsidR="00AC12B4" w:rsidRDefault="00C27636">
            <w:pPr>
              <w:ind w:left="200"/>
              <w:rPr>
                <w:sz w:val="20"/>
                <w:szCs w:val="20"/>
              </w:rPr>
            </w:pPr>
            <w:r>
              <w:rPr>
                <w:rFonts w:ascii="Calibri" w:eastAsia="Calibri" w:hAnsi="Calibri" w:cs="Calibri"/>
              </w:rPr>
              <w:lastRenderedPageBreak/>
              <w:t>e</w:t>
            </w:r>
            <w:r>
              <w:rPr>
                <w:rFonts w:ascii="Calibri" w:eastAsia="Calibri" w:hAnsi="Calibri" w:cs="Calibri"/>
              </w:rPr>
              <w:lastRenderedPageBreak/>
              <w:t>t</w:t>
            </w:r>
          </w:p>
        </w:tc>
        <w:tc>
          <w:tcPr>
            <w:tcW w:w="700" w:type="dxa"/>
            <w:vAlign w:val="bottom"/>
          </w:tcPr>
          <w:p w:rsidR="00AC12B4" w:rsidRDefault="00C27636">
            <w:pPr>
              <w:jc w:val="center"/>
              <w:rPr>
                <w:sz w:val="20"/>
                <w:szCs w:val="20"/>
              </w:rPr>
            </w:pPr>
            <w:r>
              <w:rPr>
                <w:rFonts w:ascii="Calibri" w:eastAsia="Calibri" w:hAnsi="Calibri" w:cs="Calibri"/>
                <w:w w:val="97"/>
              </w:rPr>
              <w:lastRenderedPageBreak/>
              <w:t>surto</w:t>
            </w:r>
            <w:r>
              <w:rPr>
                <w:rFonts w:ascii="Calibri" w:eastAsia="Calibri" w:hAnsi="Calibri" w:cs="Calibri"/>
                <w:w w:val="97"/>
              </w:rPr>
              <w:lastRenderedPageBreak/>
              <w:t>ut</w:t>
            </w:r>
          </w:p>
        </w:tc>
        <w:tc>
          <w:tcPr>
            <w:tcW w:w="180" w:type="dxa"/>
            <w:vAlign w:val="bottom"/>
          </w:tcPr>
          <w:p w:rsidR="00AC12B4" w:rsidRDefault="00AC12B4">
            <w:pPr>
              <w:rPr>
                <w:sz w:val="24"/>
                <w:szCs w:val="24"/>
              </w:rPr>
            </w:pPr>
          </w:p>
        </w:tc>
        <w:tc>
          <w:tcPr>
            <w:tcW w:w="860" w:type="dxa"/>
            <w:vAlign w:val="bottom"/>
          </w:tcPr>
          <w:p w:rsidR="00AC12B4" w:rsidRDefault="00C27636">
            <w:pPr>
              <w:ind w:right="590"/>
              <w:jc w:val="right"/>
              <w:rPr>
                <w:sz w:val="20"/>
                <w:szCs w:val="20"/>
              </w:rPr>
            </w:pPr>
            <w:r>
              <w:rPr>
                <w:rFonts w:ascii="Calibri" w:eastAsia="Calibri" w:hAnsi="Calibri" w:cs="Calibri"/>
                <w:w w:val="89"/>
              </w:rPr>
              <w:t>l</w:t>
            </w:r>
            <w:r>
              <w:rPr>
                <w:rFonts w:ascii="Calibri" w:eastAsia="Calibri" w:hAnsi="Calibri" w:cs="Calibri"/>
                <w:w w:val="89"/>
              </w:rPr>
              <w:lastRenderedPageBreak/>
              <w:t>a</w:t>
            </w:r>
          </w:p>
        </w:tc>
        <w:tc>
          <w:tcPr>
            <w:tcW w:w="980" w:type="dxa"/>
            <w:gridSpan w:val="4"/>
            <w:vAlign w:val="bottom"/>
          </w:tcPr>
          <w:p w:rsidR="00AC12B4" w:rsidRDefault="00C27636">
            <w:pPr>
              <w:ind w:left="20"/>
              <w:rPr>
                <w:sz w:val="20"/>
                <w:szCs w:val="20"/>
              </w:rPr>
            </w:pPr>
            <w:r>
              <w:rPr>
                <w:rFonts w:ascii="Calibri" w:eastAsia="Calibri" w:hAnsi="Calibri" w:cs="Calibri"/>
              </w:rPr>
              <w:lastRenderedPageBreak/>
              <w:t>équili</w:t>
            </w:r>
            <w:r>
              <w:rPr>
                <w:rFonts w:ascii="Calibri" w:eastAsia="Calibri" w:hAnsi="Calibri" w:cs="Calibri"/>
              </w:rPr>
              <w:lastRenderedPageBreak/>
              <w:t>bre</w:t>
            </w:r>
          </w:p>
        </w:tc>
        <w:tc>
          <w:tcPr>
            <w:tcW w:w="1100" w:type="dxa"/>
            <w:gridSpan w:val="3"/>
            <w:vAlign w:val="bottom"/>
          </w:tcPr>
          <w:p w:rsidR="00AC12B4" w:rsidRDefault="00C27636">
            <w:pPr>
              <w:ind w:left="20"/>
              <w:rPr>
                <w:sz w:val="20"/>
                <w:szCs w:val="20"/>
              </w:rPr>
            </w:pPr>
            <w:r>
              <w:rPr>
                <w:rFonts w:ascii="Calibri" w:eastAsia="Calibri" w:hAnsi="Calibri" w:cs="Calibri"/>
              </w:rPr>
              <w:lastRenderedPageBreak/>
              <w:t>satisfai</w:t>
            </w:r>
            <w:r>
              <w:rPr>
                <w:rFonts w:ascii="Calibri" w:eastAsia="Calibri" w:hAnsi="Calibri" w:cs="Calibri"/>
              </w:rPr>
              <w:lastRenderedPageBreak/>
              <w:t>sant</w:t>
            </w:r>
          </w:p>
        </w:tc>
        <w:tc>
          <w:tcPr>
            <w:tcW w:w="620" w:type="dxa"/>
            <w:gridSpan w:val="2"/>
            <w:vAlign w:val="bottom"/>
          </w:tcPr>
          <w:p w:rsidR="00AC12B4" w:rsidRDefault="00C27636">
            <w:pPr>
              <w:ind w:left="140"/>
              <w:rPr>
                <w:sz w:val="20"/>
                <w:szCs w:val="20"/>
              </w:rPr>
            </w:pPr>
            <w:r>
              <w:rPr>
                <w:rFonts w:ascii="Calibri" w:eastAsia="Calibri" w:hAnsi="Calibri" w:cs="Calibri"/>
                <w:w w:val="94"/>
              </w:rPr>
              <w:lastRenderedPageBreak/>
              <w:t>en</w:t>
            </w:r>
            <w:r>
              <w:rPr>
                <w:rFonts w:ascii="Calibri" w:eastAsia="Calibri" w:hAnsi="Calibri" w:cs="Calibri"/>
                <w:w w:val="94"/>
              </w:rPr>
              <w:lastRenderedPageBreak/>
              <w:t>tre</w:t>
            </w:r>
          </w:p>
        </w:tc>
        <w:tc>
          <w:tcPr>
            <w:tcW w:w="840" w:type="dxa"/>
            <w:gridSpan w:val="2"/>
            <w:vAlign w:val="bottom"/>
          </w:tcPr>
          <w:p w:rsidR="00AC12B4" w:rsidRDefault="00C27636">
            <w:pPr>
              <w:jc w:val="right"/>
              <w:rPr>
                <w:sz w:val="20"/>
                <w:szCs w:val="20"/>
              </w:rPr>
            </w:pPr>
            <w:r>
              <w:rPr>
                <w:rFonts w:ascii="Calibri" w:eastAsia="Calibri" w:hAnsi="Calibri" w:cs="Calibri"/>
              </w:rPr>
              <w:lastRenderedPageBreak/>
              <w:t>famill</w:t>
            </w:r>
            <w:r>
              <w:rPr>
                <w:rFonts w:ascii="Calibri" w:eastAsia="Calibri" w:hAnsi="Calibri" w:cs="Calibri"/>
              </w:rPr>
              <w:lastRenderedPageBreak/>
              <w:t>e</w:t>
            </w:r>
          </w:p>
        </w:tc>
        <w:tc>
          <w:tcPr>
            <w:tcW w:w="520" w:type="dxa"/>
            <w:vAlign w:val="bottom"/>
          </w:tcPr>
          <w:p w:rsidR="00AC12B4" w:rsidRDefault="00C27636">
            <w:pPr>
              <w:ind w:right="71"/>
              <w:jc w:val="right"/>
              <w:rPr>
                <w:sz w:val="20"/>
                <w:szCs w:val="20"/>
              </w:rPr>
            </w:pPr>
            <w:r>
              <w:rPr>
                <w:rFonts w:ascii="Calibri" w:eastAsia="Calibri" w:hAnsi="Calibri" w:cs="Calibri"/>
              </w:rPr>
              <w:lastRenderedPageBreak/>
              <w:t>et</w:t>
            </w:r>
          </w:p>
        </w:tc>
        <w:tc>
          <w:tcPr>
            <w:tcW w:w="36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6040" w:type="dxa"/>
            <w:gridSpan w:val="12"/>
            <w:vAlign w:val="bottom"/>
          </w:tcPr>
          <w:p w:rsidR="00AC12B4" w:rsidRPr="00C27636" w:rsidRDefault="00C27636">
            <w:pPr>
              <w:ind w:left="1460"/>
              <w:rPr>
                <w:sz w:val="20"/>
                <w:szCs w:val="20"/>
                <w:lang w:val="fr-BE"/>
              </w:rPr>
            </w:pPr>
            <w:r w:rsidRPr="00C27636">
              <w:rPr>
                <w:rFonts w:ascii="Calibri" w:eastAsia="Calibri" w:hAnsi="Calibri" w:cs="Calibri"/>
                <w:lang w:val="fr-BE"/>
              </w:rPr>
              <w:lastRenderedPageBreak/>
              <w:t>possibilité de trouver un équilibre entre</w:t>
            </w:r>
          </w:p>
        </w:tc>
        <w:tc>
          <w:tcPr>
            <w:tcW w:w="980" w:type="dxa"/>
            <w:gridSpan w:val="4"/>
            <w:vAlign w:val="bottom"/>
          </w:tcPr>
          <w:p w:rsidR="00AC12B4" w:rsidRDefault="00C27636">
            <w:pPr>
              <w:spacing w:line="261" w:lineRule="exact"/>
              <w:ind w:left="20"/>
              <w:rPr>
                <w:sz w:val="20"/>
                <w:szCs w:val="20"/>
              </w:rPr>
            </w:pPr>
            <w:r>
              <w:rPr>
                <w:rFonts w:ascii="Calibri" w:eastAsia="Calibri" w:hAnsi="Calibri" w:cs="Calibri"/>
              </w:rPr>
              <w:t>travail.</w:t>
            </w:r>
          </w:p>
        </w:tc>
        <w:tc>
          <w:tcPr>
            <w:tcW w:w="70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480" w:type="dxa"/>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2040" w:type="dxa"/>
            <w:gridSpan w:val="2"/>
            <w:vAlign w:val="bottom"/>
          </w:tcPr>
          <w:p w:rsidR="00AC12B4" w:rsidRDefault="00C27636">
            <w:pPr>
              <w:ind w:left="1460"/>
              <w:rPr>
                <w:sz w:val="20"/>
                <w:szCs w:val="20"/>
              </w:rPr>
            </w:pPr>
            <w:r>
              <w:rPr>
                <w:rFonts w:ascii="Calibri" w:eastAsia="Calibri" w:hAnsi="Calibri" w:cs="Calibri"/>
                <w:w w:val="99"/>
              </w:rPr>
              <w:t>travail</w:t>
            </w:r>
          </w:p>
        </w:tc>
        <w:tc>
          <w:tcPr>
            <w:tcW w:w="2000" w:type="dxa"/>
            <w:gridSpan w:val="6"/>
            <w:vAlign w:val="bottom"/>
          </w:tcPr>
          <w:p w:rsidR="00AC12B4" w:rsidRDefault="00C27636">
            <w:pPr>
              <w:jc w:val="right"/>
              <w:rPr>
                <w:sz w:val="20"/>
                <w:szCs w:val="20"/>
              </w:rPr>
            </w:pPr>
            <w:r>
              <w:rPr>
                <w:rFonts w:ascii="Calibri" w:eastAsia="Calibri" w:hAnsi="Calibri" w:cs="Calibri"/>
              </w:rPr>
              <w:t>et famille est dans</w:t>
            </w:r>
          </w:p>
        </w:tc>
        <w:tc>
          <w:tcPr>
            <w:tcW w:w="260" w:type="dxa"/>
            <w:vAlign w:val="bottom"/>
          </w:tcPr>
          <w:p w:rsidR="00AC12B4" w:rsidRDefault="00C27636">
            <w:pPr>
              <w:ind w:left="40"/>
              <w:rPr>
                <w:sz w:val="20"/>
                <w:szCs w:val="20"/>
              </w:rPr>
            </w:pPr>
            <w:r>
              <w:rPr>
                <w:rFonts w:ascii="Calibri" w:eastAsia="Calibri" w:hAnsi="Calibri" w:cs="Calibri"/>
                <w:w w:val="98"/>
              </w:rPr>
              <w:t>ce</w:t>
            </w:r>
          </w:p>
        </w:tc>
        <w:tc>
          <w:tcPr>
            <w:tcW w:w="700" w:type="dxa"/>
            <w:vAlign w:val="bottom"/>
          </w:tcPr>
          <w:p w:rsidR="00AC12B4" w:rsidRDefault="00C27636">
            <w:pPr>
              <w:ind w:left="80"/>
              <w:rPr>
                <w:sz w:val="20"/>
                <w:szCs w:val="20"/>
              </w:rPr>
            </w:pPr>
            <w:r>
              <w:rPr>
                <w:rFonts w:ascii="Calibri" w:eastAsia="Calibri" w:hAnsi="Calibri" w:cs="Calibri"/>
              </w:rPr>
              <w:t>cadre</w:t>
            </w:r>
          </w:p>
        </w:tc>
        <w:tc>
          <w:tcPr>
            <w:tcW w:w="1040" w:type="dxa"/>
            <w:gridSpan w:val="2"/>
            <w:vAlign w:val="bottom"/>
          </w:tcPr>
          <w:p w:rsidR="00AC12B4" w:rsidRDefault="00C27636">
            <w:pPr>
              <w:ind w:right="590"/>
              <w:jc w:val="right"/>
              <w:rPr>
                <w:sz w:val="20"/>
                <w:szCs w:val="20"/>
              </w:rPr>
            </w:pPr>
            <w:r>
              <w:rPr>
                <w:rFonts w:ascii="Calibri" w:eastAsia="Calibri" w:hAnsi="Calibri" w:cs="Calibri"/>
                <w:w w:val="92"/>
              </w:rPr>
              <w:t>très</w:t>
            </w:r>
          </w:p>
        </w:tc>
        <w:tc>
          <w:tcPr>
            <w:tcW w:w="480" w:type="dxa"/>
            <w:gridSpan w:val="2"/>
            <w:vMerge w:val="restart"/>
            <w:vAlign w:val="bottom"/>
          </w:tcPr>
          <w:p w:rsidR="00AC12B4" w:rsidRDefault="00C27636">
            <w:pPr>
              <w:ind w:left="20"/>
              <w:rPr>
                <w:sz w:val="20"/>
                <w:szCs w:val="20"/>
              </w:rPr>
            </w:pPr>
            <w:r>
              <w:rPr>
                <w:rFonts w:ascii="Calibri" w:eastAsia="Calibri" w:hAnsi="Calibri" w:cs="Calibri"/>
                <w:w w:val="96"/>
              </w:rPr>
              <w:t>Alors</w:t>
            </w:r>
          </w:p>
        </w:tc>
        <w:tc>
          <w:tcPr>
            <w:tcW w:w="160" w:type="dxa"/>
            <w:vAlign w:val="bottom"/>
          </w:tcPr>
          <w:p w:rsidR="00AC12B4" w:rsidRDefault="00AC12B4">
            <w:pPr>
              <w:rPr>
                <w:sz w:val="23"/>
                <w:szCs w:val="23"/>
              </w:rPr>
            </w:pPr>
          </w:p>
        </w:tc>
        <w:tc>
          <w:tcPr>
            <w:tcW w:w="340" w:type="dxa"/>
            <w:vMerge w:val="restart"/>
            <w:vAlign w:val="bottom"/>
          </w:tcPr>
          <w:p w:rsidR="00AC12B4" w:rsidRDefault="00C27636">
            <w:pPr>
              <w:rPr>
                <w:sz w:val="20"/>
                <w:szCs w:val="20"/>
              </w:rPr>
            </w:pPr>
            <w:r>
              <w:rPr>
                <w:rFonts w:ascii="Calibri" w:eastAsia="Calibri" w:hAnsi="Calibri" w:cs="Calibri"/>
                <w:w w:val="93"/>
              </w:rPr>
              <w:t>que</w:t>
            </w:r>
          </w:p>
        </w:tc>
        <w:tc>
          <w:tcPr>
            <w:tcW w:w="700" w:type="dxa"/>
            <w:vMerge w:val="restart"/>
            <w:vAlign w:val="bottom"/>
          </w:tcPr>
          <w:p w:rsidR="00AC12B4" w:rsidRDefault="00C27636">
            <w:pPr>
              <w:jc w:val="right"/>
              <w:rPr>
                <w:sz w:val="20"/>
                <w:szCs w:val="20"/>
              </w:rPr>
            </w:pPr>
            <w:r>
              <w:rPr>
                <w:rFonts w:ascii="Calibri" w:eastAsia="Calibri" w:hAnsi="Calibri" w:cs="Calibri"/>
              </w:rPr>
              <w:t>27.7%</w:t>
            </w:r>
          </w:p>
        </w:tc>
        <w:tc>
          <w:tcPr>
            <w:tcW w:w="100" w:type="dxa"/>
            <w:vAlign w:val="bottom"/>
          </w:tcPr>
          <w:p w:rsidR="00AC12B4" w:rsidRDefault="00AC12B4">
            <w:pPr>
              <w:rPr>
                <w:sz w:val="23"/>
                <w:szCs w:val="23"/>
              </w:rPr>
            </w:pPr>
          </w:p>
        </w:tc>
        <w:tc>
          <w:tcPr>
            <w:tcW w:w="2280" w:type="dxa"/>
            <w:gridSpan w:val="6"/>
            <w:vMerge w:val="restart"/>
            <w:vAlign w:val="bottom"/>
          </w:tcPr>
          <w:p w:rsidR="00AC12B4" w:rsidRDefault="00C27636">
            <w:pPr>
              <w:ind w:right="71"/>
              <w:jc w:val="right"/>
              <w:rPr>
                <w:sz w:val="20"/>
                <w:szCs w:val="20"/>
              </w:rPr>
            </w:pPr>
            <w:r>
              <w:rPr>
                <w:rFonts w:ascii="Calibri" w:eastAsia="Calibri" w:hAnsi="Calibri" w:cs="Calibri"/>
              </w:rPr>
              <w:t>des  belges  déclarent</w:t>
            </w:r>
          </w:p>
        </w:tc>
        <w:tc>
          <w:tcPr>
            <w:tcW w:w="36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13"/>
        </w:trPr>
        <w:tc>
          <w:tcPr>
            <w:tcW w:w="2620" w:type="dxa"/>
            <w:gridSpan w:val="4"/>
            <w:vMerge w:val="restart"/>
            <w:vAlign w:val="bottom"/>
          </w:tcPr>
          <w:p w:rsidR="00AC12B4" w:rsidRDefault="00C27636">
            <w:pPr>
              <w:spacing w:line="224" w:lineRule="exact"/>
              <w:ind w:left="1460"/>
              <w:rPr>
                <w:sz w:val="20"/>
                <w:szCs w:val="20"/>
              </w:rPr>
            </w:pPr>
            <w:r>
              <w:rPr>
                <w:rFonts w:ascii="Calibri" w:eastAsia="Calibri" w:hAnsi="Calibri" w:cs="Calibri"/>
              </w:rPr>
              <w:t>important.</w:t>
            </w:r>
          </w:p>
        </w:tc>
        <w:tc>
          <w:tcPr>
            <w:tcW w:w="480" w:type="dxa"/>
            <w:vAlign w:val="bottom"/>
          </w:tcPr>
          <w:p w:rsidR="00AC12B4" w:rsidRDefault="00AC12B4">
            <w:pPr>
              <w:rPr>
                <w:sz w:val="9"/>
                <w:szCs w:val="9"/>
              </w:rPr>
            </w:pPr>
          </w:p>
        </w:tc>
        <w:tc>
          <w:tcPr>
            <w:tcW w:w="160" w:type="dxa"/>
            <w:vAlign w:val="bottom"/>
          </w:tcPr>
          <w:p w:rsidR="00AC12B4" w:rsidRDefault="00AC12B4">
            <w:pPr>
              <w:rPr>
                <w:sz w:val="9"/>
                <w:szCs w:val="9"/>
              </w:rPr>
            </w:pPr>
          </w:p>
        </w:tc>
        <w:tc>
          <w:tcPr>
            <w:tcW w:w="50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70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860" w:type="dxa"/>
            <w:vAlign w:val="bottom"/>
          </w:tcPr>
          <w:p w:rsidR="00AC12B4" w:rsidRDefault="00AC12B4">
            <w:pPr>
              <w:rPr>
                <w:sz w:val="9"/>
                <w:szCs w:val="9"/>
              </w:rPr>
            </w:pPr>
          </w:p>
        </w:tc>
        <w:tc>
          <w:tcPr>
            <w:tcW w:w="480" w:type="dxa"/>
            <w:gridSpan w:val="2"/>
            <w:vMerge/>
            <w:vAlign w:val="bottom"/>
          </w:tcPr>
          <w:p w:rsidR="00AC12B4" w:rsidRDefault="00AC12B4">
            <w:pPr>
              <w:rPr>
                <w:sz w:val="9"/>
                <w:szCs w:val="9"/>
              </w:rPr>
            </w:pPr>
          </w:p>
        </w:tc>
        <w:tc>
          <w:tcPr>
            <w:tcW w:w="160" w:type="dxa"/>
            <w:vAlign w:val="bottom"/>
          </w:tcPr>
          <w:p w:rsidR="00AC12B4" w:rsidRDefault="00AC12B4">
            <w:pPr>
              <w:rPr>
                <w:sz w:val="9"/>
                <w:szCs w:val="9"/>
              </w:rPr>
            </w:pPr>
          </w:p>
        </w:tc>
        <w:tc>
          <w:tcPr>
            <w:tcW w:w="340" w:type="dxa"/>
            <w:vMerge/>
            <w:vAlign w:val="bottom"/>
          </w:tcPr>
          <w:p w:rsidR="00AC12B4" w:rsidRDefault="00AC12B4">
            <w:pPr>
              <w:rPr>
                <w:sz w:val="9"/>
                <w:szCs w:val="9"/>
              </w:rPr>
            </w:pPr>
          </w:p>
        </w:tc>
        <w:tc>
          <w:tcPr>
            <w:tcW w:w="700" w:type="dxa"/>
            <w:vMerge/>
            <w:vAlign w:val="bottom"/>
          </w:tcPr>
          <w:p w:rsidR="00AC12B4" w:rsidRDefault="00AC12B4">
            <w:pPr>
              <w:rPr>
                <w:sz w:val="9"/>
                <w:szCs w:val="9"/>
              </w:rPr>
            </w:pPr>
          </w:p>
        </w:tc>
        <w:tc>
          <w:tcPr>
            <w:tcW w:w="100" w:type="dxa"/>
            <w:vAlign w:val="bottom"/>
          </w:tcPr>
          <w:p w:rsidR="00AC12B4" w:rsidRDefault="00AC12B4">
            <w:pPr>
              <w:rPr>
                <w:sz w:val="9"/>
                <w:szCs w:val="9"/>
              </w:rPr>
            </w:pPr>
          </w:p>
        </w:tc>
        <w:tc>
          <w:tcPr>
            <w:tcW w:w="2280" w:type="dxa"/>
            <w:gridSpan w:val="6"/>
            <w:vMerge/>
            <w:vAlign w:val="bottom"/>
          </w:tcPr>
          <w:p w:rsidR="00AC12B4" w:rsidRDefault="00AC12B4">
            <w:pPr>
              <w:rPr>
                <w:sz w:val="9"/>
                <w:szCs w:val="9"/>
              </w:rPr>
            </w:pPr>
          </w:p>
        </w:tc>
        <w:tc>
          <w:tcPr>
            <w:tcW w:w="360" w:type="dxa"/>
            <w:vAlign w:val="bottom"/>
          </w:tcPr>
          <w:p w:rsidR="00AC12B4" w:rsidRDefault="00AC12B4">
            <w:pPr>
              <w:rPr>
                <w:sz w:val="9"/>
                <w:szCs w:val="9"/>
              </w:rPr>
            </w:pPr>
          </w:p>
        </w:tc>
        <w:tc>
          <w:tcPr>
            <w:tcW w:w="2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31"/>
        </w:trPr>
        <w:tc>
          <w:tcPr>
            <w:tcW w:w="2620" w:type="dxa"/>
            <w:gridSpan w:val="4"/>
            <w:vMerge/>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160" w:type="dxa"/>
            <w:vAlign w:val="bottom"/>
          </w:tcPr>
          <w:p w:rsidR="00AC12B4" w:rsidRDefault="00AC12B4">
            <w:pPr>
              <w:rPr>
                <w:sz w:val="11"/>
                <w:szCs w:val="11"/>
              </w:rPr>
            </w:pPr>
          </w:p>
        </w:tc>
        <w:tc>
          <w:tcPr>
            <w:tcW w:w="500" w:type="dxa"/>
            <w:tcBorders>
              <w:bottom w:val="single" w:sz="8" w:space="0" w:color="00923D"/>
            </w:tcBorders>
            <w:vAlign w:val="bottom"/>
          </w:tcPr>
          <w:p w:rsidR="00AC12B4" w:rsidRDefault="00AC12B4">
            <w:pPr>
              <w:rPr>
                <w:sz w:val="11"/>
                <w:szCs w:val="11"/>
              </w:rPr>
            </w:pPr>
          </w:p>
        </w:tc>
        <w:tc>
          <w:tcPr>
            <w:tcW w:w="280" w:type="dxa"/>
            <w:tcBorders>
              <w:bottom w:val="single" w:sz="8" w:space="0" w:color="00923D"/>
            </w:tcBorders>
            <w:vAlign w:val="bottom"/>
          </w:tcPr>
          <w:p w:rsidR="00AC12B4" w:rsidRDefault="00AC12B4">
            <w:pPr>
              <w:rPr>
                <w:sz w:val="11"/>
                <w:szCs w:val="11"/>
              </w:rPr>
            </w:pPr>
          </w:p>
        </w:tc>
        <w:tc>
          <w:tcPr>
            <w:tcW w:w="260" w:type="dxa"/>
            <w:tcBorders>
              <w:bottom w:val="single" w:sz="8" w:space="0" w:color="00923D"/>
            </w:tcBorders>
            <w:vAlign w:val="bottom"/>
          </w:tcPr>
          <w:p w:rsidR="00AC12B4" w:rsidRDefault="00AC12B4">
            <w:pPr>
              <w:rPr>
                <w:sz w:val="11"/>
                <w:szCs w:val="11"/>
              </w:rPr>
            </w:pPr>
          </w:p>
        </w:tc>
        <w:tc>
          <w:tcPr>
            <w:tcW w:w="700" w:type="dxa"/>
            <w:tcBorders>
              <w:bottom w:val="single" w:sz="8" w:space="0" w:color="00923D"/>
            </w:tcBorders>
            <w:vAlign w:val="bottom"/>
          </w:tcPr>
          <w:p w:rsidR="00AC12B4" w:rsidRDefault="00AC12B4">
            <w:pPr>
              <w:rPr>
                <w:sz w:val="11"/>
                <w:szCs w:val="11"/>
              </w:rPr>
            </w:pPr>
          </w:p>
        </w:tc>
        <w:tc>
          <w:tcPr>
            <w:tcW w:w="180" w:type="dxa"/>
            <w:tcBorders>
              <w:bottom w:val="single" w:sz="8" w:space="0" w:color="00923D"/>
            </w:tcBorders>
            <w:vAlign w:val="bottom"/>
          </w:tcPr>
          <w:p w:rsidR="00AC12B4" w:rsidRDefault="00AC12B4">
            <w:pPr>
              <w:rPr>
                <w:sz w:val="11"/>
                <w:szCs w:val="11"/>
              </w:rPr>
            </w:pPr>
          </w:p>
        </w:tc>
        <w:tc>
          <w:tcPr>
            <w:tcW w:w="860" w:type="dxa"/>
            <w:tcBorders>
              <w:bottom w:val="single" w:sz="8" w:space="0" w:color="00923D"/>
            </w:tcBorders>
            <w:vAlign w:val="bottom"/>
          </w:tcPr>
          <w:p w:rsidR="00AC12B4" w:rsidRDefault="00AC12B4">
            <w:pPr>
              <w:rPr>
                <w:sz w:val="11"/>
                <w:szCs w:val="11"/>
              </w:rPr>
            </w:pPr>
          </w:p>
        </w:tc>
        <w:tc>
          <w:tcPr>
            <w:tcW w:w="300" w:type="dxa"/>
            <w:tcBorders>
              <w:bottom w:val="single" w:sz="8" w:space="0" w:color="00923D"/>
            </w:tcBorders>
            <w:vAlign w:val="bottom"/>
          </w:tcPr>
          <w:p w:rsidR="00AC12B4" w:rsidRDefault="00AC12B4">
            <w:pPr>
              <w:rPr>
                <w:sz w:val="11"/>
                <w:szCs w:val="11"/>
              </w:rPr>
            </w:pPr>
          </w:p>
        </w:tc>
        <w:tc>
          <w:tcPr>
            <w:tcW w:w="180" w:type="dxa"/>
            <w:tcBorders>
              <w:bottom w:val="single" w:sz="8" w:space="0" w:color="00923D"/>
            </w:tcBorders>
            <w:vAlign w:val="bottom"/>
          </w:tcPr>
          <w:p w:rsidR="00AC12B4" w:rsidRDefault="00AC12B4">
            <w:pPr>
              <w:rPr>
                <w:sz w:val="11"/>
                <w:szCs w:val="11"/>
              </w:rPr>
            </w:pPr>
          </w:p>
        </w:tc>
        <w:tc>
          <w:tcPr>
            <w:tcW w:w="160" w:type="dxa"/>
            <w:tcBorders>
              <w:bottom w:val="single" w:sz="8" w:space="0" w:color="00923D"/>
            </w:tcBorders>
            <w:vAlign w:val="bottom"/>
          </w:tcPr>
          <w:p w:rsidR="00AC12B4" w:rsidRDefault="00AC12B4">
            <w:pPr>
              <w:rPr>
                <w:sz w:val="11"/>
                <w:szCs w:val="11"/>
              </w:rPr>
            </w:pPr>
          </w:p>
        </w:tc>
        <w:tc>
          <w:tcPr>
            <w:tcW w:w="340" w:type="dxa"/>
            <w:tcBorders>
              <w:bottom w:val="single" w:sz="8" w:space="0" w:color="00923D"/>
            </w:tcBorders>
            <w:vAlign w:val="bottom"/>
          </w:tcPr>
          <w:p w:rsidR="00AC12B4" w:rsidRDefault="00AC12B4">
            <w:pPr>
              <w:rPr>
                <w:sz w:val="11"/>
                <w:szCs w:val="11"/>
              </w:rPr>
            </w:pPr>
          </w:p>
        </w:tc>
        <w:tc>
          <w:tcPr>
            <w:tcW w:w="700" w:type="dxa"/>
            <w:tcBorders>
              <w:bottom w:val="single" w:sz="8" w:space="0" w:color="00923D"/>
            </w:tcBorders>
            <w:vAlign w:val="bottom"/>
          </w:tcPr>
          <w:p w:rsidR="00AC12B4" w:rsidRDefault="00AC12B4">
            <w:pPr>
              <w:rPr>
                <w:sz w:val="11"/>
                <w:szCs w:val="11"/>
              </w:rPr>
            </w:pPr>
          </w:p>
        </w:tc>
        <w:tc>
          <w:tcPr>
            <w:tcW w:w="100" w:type="dxa"/>
            <w:tcBorders>
              <w:bottom w:val="single" w:sz="8" w:space="0" w:color="00923D"/>
            </w:tcBorders>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100" w:type="dxa"/>
            <w:gridSpan w:val="3"/>
            <w:vMerge w:val="restart"/>
            <w:vAlign w:val="bottom"/>
          </w:tcPr>
          <w:p w:rsidR="00AC12B4" w:rsidRDefault="00C27636">
            <w:pPr>
              <w:ind w:left="120"/>
              <w:rPr>
                <w:sz w:val="20"/>
                <w:szCs w:val="20"/>
              </w:rPr>
            </w:pPr>
            <w:r>
              <w:rPr>
                <w:rFonts w:ascii="Calibri" w:eastAsia="Calibri" w:hAnsi="Calibri" w:cs="Calibri"/>
                <w:w w:val="99"/>
              </w:rPr>
              <w:t>rencontrer</w:t>
            </w:r>
          </w:p>
        </w:tc>
        <w:tc>
          <w:tcPr>
            <w:tcW w:w="360" w:type="dxa"/>
            <w:vAlign w:val="bottom"/>
          </w:tcPr>
          <w:p w:rsidR="00AC12B4" w:rsidRDefault="00AC12B4">
            <w:pPr>
              <w:rPr>
                <w:sz w:val="11"/>
                <w:szCs w:val="11"/>
              </w:rPr>
            </w:pPr>
          </w:p>
        </w:tc>
        <w:tc>
          <w:tcPr>
            <w:tcW w:w="520" w:type="dxa"/>
            <w:vMerge w:val="restart"/>
            <w:vAlign w:val="bottom"/>
          </w:tcPr>
          <w:p w:rsidR="00AC12B4" w:rsidRDefault="00C27636">
            <w:pPr>
              <w:ind w:right="51"/>
              <w:jc w:val="right"/>
              <w:rPr>
                <w:sz w:val="20"/>
                <w:szCs w:val="20"/>
              </w:rPr>
            </w:pPr>
            <w:r>
              <w:rPr>
                <w:rFonts w:ascii="Calibri" w:eastAsia="Calibri" w:hAnsi="Calibri" w:cs="Calibri"/>
              </w:rPr>
              <w:t>des</w:t>
            </w:r>
          </w:p>
        </w:tc>
        <w:tc>
          <w:tcPr>
            <w:tcW w:w="36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118"/>
        </w:trPr>
        <w:tc>
          <w:tcPr>
            <w:tcW w:w="1820" w:type="dxa"/>
            <w:vAlign w:val="bottom"/>
          </w:tcPr>
          <w:p w:rsidR="00AC12B4" w:rsidRDefault="00AC12B4">
            <w:pPr>
              <w:rPr>
                <w:sz w:val="10"/>
                <w:szCs w:val="10"/>
              </w:rPr>
            </w:pPr>
          </w:p>
        </w:tc>
        <w:tc>
          <w:tcPr>
            <w:tcW w:w="220" w:type="dxa"/>
            <w:vAlign w:val="bottom"/>
          </w:tcPr>
          <w:p w:rsidR="00AC12B4" w:rsidRDefault="00AC12B4">
            <w:pPr>
              <w:rPr>
                <w:sz w:val="10"/>
                <w:szCs w:val="10"/>
              </w:rPr>
            </w:pPr>
          </w:p>
        </w:tc>
        <w:tc>
          <w:tcPr>
            <w:tcW w:w="240" w:type="dxa"/>
            <w:vAlign w:val="bottom"/>
          </w:tcPr>
          <w:p w:rsidR="00AC12B4" w:rsidRDefault="00AC12B4">
            <w:pPr>
              <w:rPr>
                <w:sz w:val="10"/>
                <w:szCs w:val="10"/>
              </w:rPr>
            </w:pPr>
          </w:p>
        </w:tc>
        <w:tc>
          <w:tcPr>
            <w:tcW w:w="340" w:type="dxa"/>
            <w:vAlign w:val="bottom"/>
          </w:tcPr>
          <w:p w:rsidR="00AC12B4" w:rsidRDefault="00AC12B4">
            <w:pPr>
              <w:rPr>
                <w:sz w:val="10"/>
                <w:szCs w:val="10"/>
              </w:rPr>
            </w:pPr>
          </w:p>
        </w:tc>
        <w:tc>
          <w:tcPr>
            <w:tcW w:w="480" w:type="dxa"/>
            <w:vAlign w:val="bottom"/>
          </w:tcPr>
          <w:p w:rsidR="00AC12B4" w:rsidRDefault="00AC12B4">
            <w:pPr>
              <w:rPr>
                <w:sz w:val="10"/>
                <w:szCs w:val="10"/>
              </w:rPr>
            </w:pPr>
          </w:p>
        </w:tc>
        <w:tc>
          <w:tcPr>
            <w:tcW w:w="160" w:type="dxa"/>
            <w:tcBorders>
              <w:right w:val="single" w:sz="8" w:space="0" w:color="00923D"/>
            </w:tcBorders>
            <w:vAlign w:val="bottom"/>
          </w:tcPr>
          <w:p w:rsidR="00AC12B4" w:rsidRDefault="00AC12B4">
            <w:pPr>
              <w:rPr>
                <w:sz w:val="10"/>
                <w:szCs w:val="10"/>
              </w:rPr>
            </w:pPr>
          </w:p>
        </w:tc>
        <w:tc>
          <w:tcPr>
            <w:tcW w:w="4460" w:type="dxa"/>
            <w:gridSpan w:val="11"/>
            <w:vMerge w:val="restart"/>
            <w:vAlign w:val="bottom"/>
          </w:tcPr>
          <w:p w:rsidR="00AC12B4" w:rsidRPr="00C27636" w:rsidRDefault="00C27636">
            <w:pPr>
              <w:ind w:left="140"/>
              <w:rPr>
                <w:sz w:val="20"/>
                <w:szCs w:val="20"/>
                <w:lang w:val="fr-BE"/>
              </w:rPr>
            </w:pPr>
            <w:r w:rsidRPr="00C27636">
              <w:rPr>
                <w:rFonts w:eastAsia="Times New Roman"/>
                <w:b/>
                <w:bCs/>
                <w:color w:val="005022"/>
                <w:sz w:val="20"/>
                <w:szCs w:val="20"/>
                <w:lang w:val="fr-BE"/>
              </w:rPr>
              <w:t xml:space="preserve">Questions sur </w:t>
            </w:r>
            <w:r w:rsidRPr="00C27636">
              <w:rPr>
                <w:rFonts w:eastAsia="Times New Roman"/>
                <w:b/>
                <w:bCs/>
                <w:color w:val="005022"/>
                <w:sz w:val="20"/>
                <w:szCs w:val="20"/>
                <w:lang w:val="fr-BE"/>
              </w:rPr>
              <w:t>l’équilibre famille/travail dans</w:t>
            </w:r>
          </w:p>
        </w:tc>
        <w:tc>
          <w:tcPr>
            <w:tcW w:w="100" w:type="dxa"/>
            <w:tcBorders>
              <w:right w:val="single" w:sz="8" w:space="0" w:color="00923D"/>
            </w:tcBorders>
            <w:vAlign w:val="bottom"/>
          </w:tcPr>
          <w:p w:rsidR="00AC12B4" w:rsidRPr="00C27636" w:rsidRDefault="00AC12B4">
            <w:pPr>
              <w:rPr>
                <w:sz w:val="10"/>
                <w:szCs w:val="10"/>
                <w:lang w:val="fr-BE"/>
              </w:rPr>
            </w:pPr>
          </w:p>
        </w:tc>
        <w:tc>
          <w:tcPr>
            <w:tcW w:w="300" w:type="dxa"/>
            <w:vAlign w:val="bottom"/>
          </w:tcPr>
          <w:p w:rsidR="00AC12B4" w:rsidRPr="00C27636" w:rsidRDefault="00AC12B4">
            <w:pPr>
              <w:rPr>
                <w:sz w:val="10"/>
                <w:szCs w:val="10"/>
                <w:lang w:val="fr-BE"/>
              </w:rPr>
            </w:pPr>
          </w:p>
        </w:tc>
        <w:tc>
          <w:tcPr>
            <w:tcW w:w="1100" w:type="dxa"/>
            <w:gridSpan w:val="3"/>
            <w:vMerge/>
            <w:vAlign w:val="bottom"/>
          </w:tcPr>
          <w:p w:rsidR="00AC12B4" w:rsidRPr="00C27636" w:rsidRDefault="00AC12B4">
            <w:pPr>
              <w:rPr>
                <w:sz w:val="10"/>
                <w:szCs w:val="10"/>
                <w:lang w:val="fr-BE"/>
              </w:rPr>
            </w:pPr>
          </w:p>
        </w:tc>
        <w:tc>
          <w:tcPr>
            <w:tcW w:w="360" w:type="dxa"/>
            <w:vAlign w:val="bottom"/>
          </w:tcPr>
          <w:p w:rsidR="00AC12B4" w:rsidRPr="00C27636" w:rsidRDefault="00AC12B4">
            <w:pPr>
              <w:rPr>
                <w:sz w:val="10"/>
                <w:szCs w:val="10"/>
                <w:lang w:val="fr-BE"/>
              </w:rPr>
            </w:pPr>
          </w:p>
        </w:tc>
        <w:tc>
          <w:tcPr>
            <w:tcW w:w="520" w:type="dxa"/>
            <w:vMerge/>
            <w:vAlign w:val="bottom"/>
          </w:tcPr>
          <w:p w:rsidR="00AC12B4" w:rsidRPr="00C27636" w:rsidRDefault="00AC12B4">
            <w:pPr>
              <w:rPr>
                <w:sz w:val="10"/>
                <w:szCs w:val="10"/>
                <w:lang w:val="fr-BE"/>
              </w:rPr>
            </w:pPr>
          </w:p>
        </w:tc>
        <w:tc>
          <w:tcPr>
            <w:tcW w:w="360" w:type="dxa"/>
            <w:vAlign w:val="bottom"/>
          </w:tcPr>
          <w:p w:rsidR="00AC12B4" w:rsidRPr="00C27636" w:rsidRDefault="00AC12B4">
            <w:pPr>
              <w:rPr>
                <w:sz w:val="10"/>
                <w:szCs w:val="10"/>
                <w:lang w:val="fr-BE"/>
              </w:rPr>
            </w:pPr>
          </w:p>
        </w:tc>
        <w:tc>
          <w:tcPr>
            <w:tcW w:w="260" w:type="dxa"/>
            <w:vAlign w:val="bottom"/>
          </w:tcPr>
          <w:p w:rsidR="00AC12B4" w:rsidRPr="00C27636" w:rsidRDefault="00AC12B4">
            <w:pPr>
              <w:rPr>
                <w:sz w:val="10"/>
                <w:szCs w:val="10"/>
                <w:lang w:val="fr-BE"/>
              </w:rPr>
            </w:pPr>
          </w:p>
        </w:tc>
        <w:tc>
          <w:tcPr>
            <w:tcW w:w="0" w:type="dxa"/>
            <w:vAlign w:val="bottom"/>
          </w:tcPr>
          <w:p w:rsidR="00AC12B4" w:rsidRPr="00C27636" w:rsidRDefault="00AC12B4">
            <w:pPr>
              <w:rPr>
                <w:sz w:val="1"/>
                <w:szCs w:val="1"/>
                <w:lang w:val="fr-BE"/>
              </w:rPr>
            </w:pPr>
          </w:p>
        </w:tc>
      </w:tr>
      <w:tr w:rsidR="00AC12B4">
        <w:trPr>
          <w:trHeight w:val="182"/>
        </w:trPr>
        <w:tc>
          <w:tcPr>
            <w:tcW w:w="2040" w:type="dxa"/>
            <w:gridSpan w:val="2"/>
            <w:vMerge w:val="restart"/>
            <w:vAlign w:val="bottom"/>
          </w:tcPr>
          <w:p w:rsidR="00AC12B4" w:rsidRDefault="00C27636">
            <w:pPr>
              <w:ind w:left="1460"/>
              <w:rPr>
                <w:sz w:val="20"/>
                <w:szCs w:val="20"/>
              </w:rPr>
            </w:pPr>
            <w:r>
              <w:rPr>
                <w:rFonts w:ascii="Calibri" w:eastAsia="Calibri" w:hAnsi="Calibri" w:cs="Calibri"/>
              </w:rPr>
              <w:t>Alors</w:t>
            </w:r>
          </w:p>
        </w:tc>
        <w:tc>
          <w:tcPr>
            <w:tcW w:w="580" w:type="dxa"/>
            <w:gridSpan w:val="2"/>
            <w:vMerge w:val="restart"/>
            <w:vAlign w:val="bottom"/>
          </w:tcPr>
          <w:p w:rsidR="00AC12B4" w:rsidRDefault="00C27636">
            <w:pPr>
              <w:ind w:left="160"/>
              <w:rPr>
                <w:sz w:val="20"/>
                <w:szCs w:val="20"/>
              </w:rPr>
            </w:pPr>
            <w:r>
              <w:rPr>
                <w:rFonts w:ascii="Calibri" w:eastAsia="Calibri" w:hAnsi="Calibri" w:cs="Calibri"/>
              </w:rPr>
              <w:t>que</w:t>
            </w:r>
          </w:p>
        </w:tc>
        <w:tc>
          <w:tcPr>
            <w:tcW w:w="480" w:type="dxa"/>
            <w:vMerge w:val="restart"/>
            <w:vAlign w:val="bottom"/>
          </w:tcPr>
          <w:p w:rsidR="00AC12B4" w:rsidRDefault="00C27636">
            <w:pPr>
              <w:jc w:val="right"/>
              <w:rPr>
                <w:sz w:val="20"/>
                <w:szCs w:val="20"/>
              </w:rPr>
            </w:pPr>
            <w:r>
              <w:rPr>
                <w:rFonts w:ascii="Calibri" w:eastAsia="Calibri" w:hAnsi="Calibri" w:cs="Calibri"/>
              </w:rPr>
              <w:t>les</w:t>
            </w:r>
          </w:p>
        </w:tc>
        <w:tc>
          <w:tcPr>
            <w:tcW w:w="160" w:type="dxa"/>
            <w:tcBorders>
              <w:right w:val="single" w:sz="8" w:space="0" w:color="00923D"/>
            </w:tcBorders>
            <w:vAlign w:val="bottom"/>
          </w:tcPr>
          <w:p w:rsidR="00AC12B4" w:rsidRDefault="00AC12B4">
            <w:pPr>
              <w:rPr>
                <w:sz w:val="15"/>
                <w:szCs w:val="15"/>
              </w:rPr>
            </w:pPr>
          </w:p>
        </w:tc>
        <w:tc>
          <w:tcPr>
            <w:tcW w:w="4460" w:type="dxa"/>
            <w:gridSpan w:val="11"/>
            <w:vMerge/>
            <w:vAlign w:val="bottom"/>
          </w:tcPr>
          <w:p w:rsidR="00AC12B4" w:rsidRDefault="00AC12B4">
            <w:pPr>
              <w:rPr>
                <w:sz w:val="15"/>
                <w:szCs w:val="15"/>
              </w:rPr>
            </w:pPr>
          </w:p>
        </w:tc>
        <w:tc>
          <w:tcPr>
            <w:tcW w:w="100" w:type="dxa"/>
            <w:tcBorders>
              <w:right w:val="single" w:sz="8" w:space="0" w:color="00923D"/>
            </w:tcBorders>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100" w:type="dxa"/>
            <w:gridSpan w:val="3"/>
            <w:vMerge w:val="restart"/>
            <w:vAlign w:val="bottom"/>
          </w:tcPr>
          <w:p w:rsidR="00AC12B4" w:rsidRDefault="00C27636">
            <w:pPr>
              <w:ind w:left="140"/>
              <w:rPr>
                <w:sz w:val="20"/>
                <w:szCs w:val="20"/>
              </w:rPr>
            </w:pPr>
            <w:r>
              <w:rPr>
                <w:rFonts w:ascii="Calibri" w:eastAsia="Calibri" w:hAnsi="Calibri" w:cs="Calibri"/>
              </w:rPr>
              <w:t>difficultés</w:t>
            </w:r>
          </w:p>
        </w:tc>
        <w:tc>
          <w:tcPr>
            <w:tcW w:w="360" w:type="dxa"/>
            <w:vAlign w:val="bottom"/>
          </w:tcPr>
          <w:p w:rsidR="00AC12B4" w:rsidRDefault="00AC12B4">
            <w:pPr>
              <w:rPr>
                <w:sz w:val="15"/>
                <w:szCs w:val="15"/>
              </w:rPr>
            </w:pPr>
          </w:p>
        </w:tc>
        <w:tc>
          <w:tcPr>
            <w:tcW w:w="520" w:type="dxa"/>
            <w:vMerge w:val="restart"/>
            <w:vAlign w:val="bottom"/>
          </w:tcPr>
          <w:p w:rsidR="00AC12B4" w:rsidRDefault="00C27636">
            <w:pPr>
              <w:ind w:right="51"/>
              <w:jc w:val="right"/>
              <w:rPr>
                <w:sz w:val="20"/>
                <w:szCs w:val="20"/>
              </w:rPr>
            </w:pPr>
            <w:r>
              <w:rPr>
                <w:rFonts w:ascii="Calibri" w:eastAsia="Calibri" w:hAnsi="Calibri" w:cs="Calibri"/>
              </w:rPr>
              <w:t>à</w:t>
            </w:r>
          </w:p>
        </w:tc>
        <w:tc>
          <w:tcPr>
            <w:tcW w:w="36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4"/>
        </w:trPr>
        <w:tc>
          <w:tcPr>
            <w:tcW w:w="2040" w:type="dxa"/>
            <w:gridSpan w:val="2"/>
            <w:vMerge/>
            <w:vAlign w:val="bottom"/>
          </w:tcPr>
          <w:p w:rsidR="00AC12B4" w:rsidRDefault="00AC12B4">
            <w:pPr>
              <w:rPr>
                <w:sz w:val="8"/>
                <w:szCs w:val="8"/>
              </w:rPr>
            </w:pPr>
          </w:p>
        </w:tc>
        <w:tc>
          <w:tcPr>
            <w:tcW w:w="580" w:type="dxa"/>
            <w:gridSpan w:val="2"/>
            <w:vMerge/>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160" w:type="dxa"/>
            <w:tcBorders>
              <w:right w:val="single" w:sz="8" w:space="0" w:color="00923D"/>
            </w:tcBorders>
            <w:vAlign w:val="bottom"/>
          </w:tcPr>
          <w:p w:rsidR="00AC12B4" w:rsidRDefault="00AC12B4">
            <w:pPr>
              <w:rPr>
                <w:sz w:val="8"/>
                <w:szCs w:val="8"/>
              </w:rPr>
            </w:pPr>
          </w:p>
        </w:tc>
        <w:tc>
          <w:tcPr>
            <w:tcW w:w="1740" w:type="dxa"/>
            <w:gridSpan w:val="4"/>
            <w:vMerge w:val="restart"/>
            <w:vAlign w:val="bottom"/>
          </w:tcPr>
          <w:p w:rsidR="00AC12B4" w:rsidRDefault="00C27636">
            <w:pPr>
              <w:ind w:left="140"/>
              <w:rPr>
                <w:sz w:val="20"/>
                <w:szCs w:val="20"/>
              </w:rPr>
            </w:pPr>
            <w:r>
              <w:rPr>
                <w:rFonts w:eastAsia="Times New Roman"/>
                <w:b/>
                <w:bCs/>
                <w:color w:val="005022"/>
                <w:sz w:val="20"/>
                <w:szCs w:val="20"/>
              </w:rPr>
              <w:t>EQLS 2012 :</w:t>
            </w:r>
          </w:p>
        </w:tc>
        <w:tc>
          <w:tcPr>
            <w:tcW w:w="180" w:type="dxa"/>
            <w:vAlign w:val="bottom"/>
          </w:tcPr>
          <w:p w:rsidR="00AC12B4" w:rsidRDefault="00AC12B4">
            <w:pPr>
              <w:rPr>
                <w:sz w:val="8"/>
                <w:szCs w:val="8"/>
              </w:rPr>
            </w:pPr>
          </w:p>
        </w:tc>
        <w:tc>
          <w:tcPr>
            <w:tcW w:w="86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60" w:type="dxa"/>
            <w:vAlign w:val="bottom"/>
          </w:tcPr>
          <w:p w:rsidR="00AC12B4" w:rsidRDefault="00AC12B4">
            <w:pPr>
              <w:rPr>
                <w:sz w:val="8"/>
                <w:szCs w:val="8"/>
              </w:rPr>
            </w:pPr>
          </w:p>
        </w:tc>
        <w:tc>
          <w:tcPr>
            <w:tcW w:w="340" w:type="dxa"/>
            <w:vAlign w:val="bottom"/>
          </w:tcPr>
          <w:p w:rsidR="00AC12B4" w:rsidRDefault="00AC12B4">
            <w:pPr>
              <w:rPr>
                <w:sz w:val="8"/>
                <w:szCs w:val="8"/>
              </w:rPr>
            </w:pPr>
          </w:p>
        </w:tc>
        <w:tc>
          <w:tcPr>
            <w:tcW w:w="700" w:type="dxa"/>
            <w:vAlign w:val="bottom"/>
          </w:tcPr>
          <w:p w:rsidR="00AC12B4" w:rsidRDefault="00AC12B4">
            <w:pPr>
              <w:rPr>
                <w:sz w:val="8"/>
                <w:szCs w:val="8"/>
              </w:rPr>
            </w:pPr>
          </w:p>
        </w:tc>
        <w:tc>
          <w:tcPr>
            <w:tcW w:w="100" w:type="dxa"/>
            <w:tcBorders>
              <w:right w:val="single" w:sz="8" w:space="0" w:color="00923D"/>
            </w:tcBorders>
            <w:vAlign w:val="bottom"/>
          </w:tcPr>
          <w:p w:rsidR="00AC12B4" w:rsidRDefault="00AC12B4">
            <w:pPr>
              <w:rPr>
                <w:sz w:val="8"/>
                <w:szCs w:val="8"/>
              </w:rPr>
            </w:pPr>
          </w:p>
        </w:tc>
        <w:tc>
          <w:tcPr>
            <w:tcW w:w="300" w:type="dxa"/>
            <w:vAlign w:val="bottom"/>
          </w:tcPr>
          <w:p w:rsidR="00AC12B4" w:rsidRDefault="00AC12B4">
            <w:pPr>
              <w:rPr>
                <w:sz w:val="8"/>
                <w:szCs w:val="8"/>
              </w:rPr>
            </w:pPr>
          </w:p>
        </w:tc>
        <w:tc>
          <w:tcPr>
            <w:tcW w:w="1100" w:type="dxa"/>
            <w:gridSpan w:val="3"/>
            <w:vMerge/>
            <w:vAlign w:val="bottom"/>
          </w:tcPr>
          <w:p w:rsidR="00AC12B4" w:rsidRDefault="00AC12B4">
            <w:pPr>
              <w:rPr>
                <w:sz w:val="8"/>
                <w:szCs w:val="8"/>
              </w:rPr>
            </w:pPr>
          </w:p>
        </w:tc>
        <w:tc>
          <w:tcPr>
            <w:tcW w:w="360" w:type="dxa"/>
            <w:vAlign w:val="bottom"/>
          </w:tcPr>
          <w:p w:rsidR="00AC12B4" w:rsidRDefault="00AC12B4">
            <w:pPr>
              <w:rPr>
                <w:sz w:val="8"/>
                <w:szCs w:val="8"/>
              </w:rPr>
            </w:pPr>
          </w:p>
        </w:tc>
        <w:tc>
          <w:tcPr>
            <w:tcW w:w="520" w:type="dxa"/>
            <w:vMerge/>
            <w:vAlign w:val="bottom"/>
          </w:tcPr>
          <w:p w:rsidR="00AC12B4" w:rsidRDefault="00AC12B4">
            <w:pPr>
              <w:rPr>
                <w:sz w:val="8"/>
                <w:szCs w:val="8"/>
              </w:rPr>
            </w:pPr>
          </w:p>
        </w:tc>
        <w:tc>
          <w:tcPr>
            <w:tcW w:w="360" w:type="dxa"/>
            <w:vAlign w:val="bottom"/>
          </w:tcPr>
          <w:p w:rsidR="00AC12B4" w:rsidRDefault="00AC12B4">
            <w:pPr>
              <w:rPr>
                <w:sz w:val="8"/>
                <w:szCs w:val="8"/>
              </w:rPr>
            </w:pPr>
          </w:p>
        </w:tc>
        <w:tc>
          <w:tcPr>
            <w:tcW w:w="2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37"/>
        </w:trPr>
        <w:tc>
          <w:tcPr>
            <w:tcW w:w="2280" w:type="dxa"/>
            <w:gridSpan w:val="3"/>
            <w:vMerge w:val="restart"/>
            <w:vAlign w:val="bottom"/>
          </w:tcPr>
          <w:p w:rsidR="00AC12B4" w:rsidRDefault="00C27636">
            <w:pPr>
              <w:ind w:left="1460"/>
              <w:rPr>
                <w:sz w:val="20"/>
                <w:szCs w:val="20"/>
              </w:rPr>
            </w:pPr>
            <w:r>
              <w:rPr>
                <w:rFonts w:ascii="Calibri" w:eastAsia="Calibri" w:hAnsi="Calibri" w:cs="Calibri"/>
              </w:rPr>
              <w:t>a</w:t>
            </w:r>
            <w:r>
              <w:rPr>
                <w:rFonts w:ascii="Calibri" w:eastAsia="Calibri" w:hAnsi="Calibri" w:cs="Calibri"/>
              </w:rPr>
              <w:lastRenderedPageBreak/>
              <w:t>utres</w:t>
            </w:r>
          </w:p>
        </w:tc>
        <w:tc>
          <w:tcPr>
            <w:tcW w:w="34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160" w:type="dxa"/>
            <w:tcBorders>
              <w:right w:val="single" w:sz="8" w:space="0" w:color="00923D"/>
            </w:tcBorders>
            <w:vAlign w:val="bottom"/>
          </w:tcPr>
          <w:p w:rsidR="00AC12B4" w:rsidRDefault="00AC12B4">
            <w:pPr>
              <w:rPr>
                <w:sz w:val="11"/>
                <w:szCs w:val="11"/>
              </w:rPr>
            </w:pPr>
          </w:p>
        </w:tc>
        <w:tc>
          <w:tcPr>
            <w:tcW w:w="1740" w:type="dxa"/>
            <w:gridSpan w:val="4"/>
            <w:vMerge/>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86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6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700" w:type="dxa"/>
            <w:vAlign w:val="bottom"/>
          </w:tcPr>
          <w:p w:rsidR="00AC12B4" w:rsidRDefault="00AC12B4">
            <w:pPr>
              <w:rPr>
                <w:sz w:val="11"/>
                <w:szCs w:val="11"/>
              </w:rPr>
            </w:pPr>
          </w:p>
        </w:tc>
        <w:tc>
          <w:tcPr>
            <w:tcW w:w="100" w:type="dxa"/>
            <w:tcBorders>
              <w:right w:val="single" w:sz="8" w:space="0" w:color="00923D"/>
            </w:tcBorders>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100" w:type="dxa"/>
            <w:gridSpan w:val="3"/>
            <w:vMerge w:val="restart"/>
            <w:vAlign w:val="bottom"/>
          </w:tcPr>
          <w:p w:rsidR="00AC12B4" w:rsidRDefault="00C27636">
            <w:pPr>
              <w:spacing w:line="259" w:lineRule="exact"/>
              <w:ind w:left="140"/>
              <w:rPr>
                <w:sz w:val="20"/>
                <w:szCs w:val="20"/>
              </w:rPr>
            </w:pPr>
            <w:r>
              <w:rPr>
                <w:rFonts w:ascii="Calibri" w:eastAsia="Calibri" w:hAnsi="Calibri" w:cs="Calibri"/>
              </w:rPr>
              <w:t>rempl</w:t>
            </w:r>
            <w:r>
              <w:rPr>
                <w:rFonts w:ascii="Calibri" w:eastAsia="Calibri" w:hAnsi="Calibri" w:cs="Calibri"/>
              </w:rPr>
              <w:lastRenderedPageBreak/>
              <w:t>ir</w:t>
            </w:r>
          </w:p>
        </w:tc>
        <w:tc>
          <w:tcPr>
            <w:tcW w:w="880" w:type="dxa"/>
            <w:gridSpan w:val="2"/>
            <w:vMerge w:val="restart"/>
            <w:vAlign w:val="bottom"/>
          </w:tcPr>
          <w:p w:rsidR="00AC12B4" w:rsidRDefault="00C27636">
            <w:pPr>
              <w:spacing w:line="259" w:lineRule="exact"/>
              <w:ind w:right="51"/>
              <w:jc w:val="right"/>
              <w:rPr>
                <w:sz w:val="20"/>
                <w:szCs w:val="20"/>
              </w:rPr>
            </w:pPr>
            <w:r>
              <w:rPr>
                <w:rFonts w:ascii="Calibri" w:eastAsia="Calibri" w:hAnsi="Calibri" w:cs="Calibri"/>
              </w:rPr>
              <w:lastRenderedPageBreak/>
              <w:t>leurs</w:t>
            </w:r>
          </w:p>
        </w:tc>
        <w:tc>
          <w:tcPr>
            <w:tcW w:w="36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2"/>
        </w:trPr>
        <w:tc>
          <w:tcPr>
            <w:tcW w:w="2280" w:type="dxa"/>
            <w:gridSpan w:val="3"/>
            <w:vMerge/>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160" w:type="dxa"/>
            <w:tcBorders>
              <w:right w:val="single" w:sz="8" w:space="0" w:color="00923D"/>
            </w:tcBorders>
            <w:vAlign w:val="bottom"/>
          </w:tcPr>
          <w:p w:rsidR="00AC12B4" w:rsidRDefault="00AC12B4">
            <w:pPr>
              <w:rPr>
                <w:sz w:val="11"/>
                <w:szCs w:val="11"/>
              </w:rPr>
            </w:pPr>
          </w:p>
        </w:tc>
        <w:tc>
          <w:tcPr>
            <w:tcW w:w="50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70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86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6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700" w:type="dxa"/>
            <w:vAlign w:val="bottom"/>
          </w:tcPr>
          <w:p w:rsidR="00AC12B4" w:rsidRDefault="00AC12B4">
            <w:pPr>
              <w:rPr>
                <w:sz w:val="11"/>
                <w:szCs w:val="11"/>
              </w:rPr>
            </w:pPr>
          </w:p>
        </w:tc>
        <w:tc>
          <w:tcPr>
            <w:tcW w:w="100" w:type="dxa"/>
            <w:tcBorders>
              <w:right w:val="single" w:sz="8" w:space="0" w:color="00923D"/>
            </w:tcBorders>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100" w:type="dxa"/>
            <w:gridSpan w:val="3"/>
            <w:vMerge/>
            <w:vAlign w:val="bottom"/>
          </w:tcPr>
          <w:p w:rsidR="00AC12B4" w:rsidRDefault="00AC12B4">
            <w:pPr>
              <w:rPr>
                <w:sz w:val="11"/>
                <w:szCs w:val="11"/>
              </w:rPr>
            </w:pPr>
          </w:p>
        </w:tc>
        <w:tc>
          <w:tcPr>
            <w:tcW w:w="880" w:type="dxa"/>
            <w:gridSpan w:val="2"/>
            <w:vMerge/>
            <w:vAlign w:val="bottom"/>
          </w:tcPr>
          <w:p w:rsidR="00AC12B4" w:rsidRDefault="00AC12B4">
            <w:pPr>
              <w:rPr>
                <w:sz w:val="11"/>
                <w:szCs w:val="11"/>
              </w:rPr>
            </w:pPr>
          </w:p>
        </w:tc>
        <w:tc>
          <w:tcPr>
            <w:tcW w:w="36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67"/>
        </w:trPr>
        <w:tc>
          <w:tcPr>
            <w:tcW w:w="2620" w:type="dxa"/>
            <w:gridSpan w:val="4"/>
            <w:vAlign w:val="bottom"/>
          </w:tcPr>
          <w:p w:rsidR="00AC12B4" w:rsidRDefault="00C27636">
            <w:pPr>
              <w:spacing w:line="267" w:lineRule="exact"/>
              <w:ind w:left="1460"/>
              <w:rPr>
                <w:sz w:val="20"/>
                <w:szCs w:val="20"/>
              </w:rPr>
            </w:pPr>
            <w:r>
              <w:rPr>
                <w:rFonts w:ascii="Calibri" w:eastAsia="Calibri" w:hAnsi="Calibri" w:cs="Calibri"/>
              </w:rPr>
              <w:lastRenderedPageBreak/>
              <w:t>indicateurs</w:t>
            </w:r>
          </w:p>
        </w:tc>
        <w:tc>
          <w:tcPr>
            <w:tcW w:w="480" w:type="dxa"/>
            <w:vAlign w:val="bottom"/>
          </w:tcPr>
          <w:p w:rsidR="00AC12B4" w:rsidRDefault="00AC12B4">
            <w:pPr>
              <w:rPr>
                <w:sz w:val="23"/>
                <w:szCs w:val="23"/>
              </w:rPr>
            </w:pPr>
          </w:p>
        </w:tc>
        <w:tc>
          <w:tcPr>
            <w:tcW w:w="160" w:type="dxa"/>
            <w:tcBorders>
              <w:right w:val="single" w:sz="8" w:space="0" w:color="00923D"/>
            </w:tcBorders>
            <w:vAlign w:val="bottom"/>
          </w:tcPr>
          <w:p w:rsidR="00AC12B4" w:rsidRDefault="00AC12B4">
            <w:pPr>
              <w:rPr>
                <w:sz w:val="23"/>
                <w:szCs w:val="23"/>
              </w:rPr>
            </w:pPr>
          </w:p>
        </w:tc>
        <w:tc>
          <w:tcPr>
            <w:tcW w:w="500" w:type="dxa"/>
            <w:vAlign w:val="bottom"/>
          </w:tcPr>
          <w:p w:rsidR="00AC12B4" w:rsidRDefault="00AC12B4">
            <w:pPr>
              <w:rPr>
                <w:sz w:val="23"/>
                <w:szCs w:val="23"/>
              </w:rPr>
            </w:pPr>
          </w:p>
        </w:tc>
        <w:tc>
          <w:tcPr>
            <w:tcW w:w="280" w:type="dxa"/>
            <w:vAlign w:val="bottom"/>
          </w:tcPr>
          <w:p w:rsidR="00AC12B4" w:rsidRDefault="00C27636">
            <w:pPr>
              <w:jc w:val="right"/>
              <w:rPr>
                <w:sz w:val="20"/>
                <w:szCs w:val="20"/>
              </w:rPr>
            </w:pPr>
            <w:r>
              <w:rPr>
                <w:rFonts w:ascii="Wingdings" w:eastAsia="Wingdings" w:hAnsi="Wingdings" w:cs="Wingdings"/>
                <w:color w:val="005022"/>
                <w:w w:val="91"/>
              </w:rPr>
              <w:t></w:t>
            </w:r>
          </w:p>
        </w:tc>
        <w:tc>
          <w:tcPr>
            <w:tcW w:w="960" w:type="dxa"/>
            <w:gridSpan w:val="2"/>
            <w:vMerge w:val="restart"/>
            <w:vAlign w:val="bottom"/>
          </w:tcPr>
          <w:p w:rsidR="00AC12B4" w:rsidRDefault="00C27636">
            <w:pPr>
              <w:ind w:left="80"/>
              <w:rPr>
                <w:sz w:val="20"/>
                <w:szCs w:val="20"/>
              </w:rPr>
            </w:pPr>
            <w:r>
              <w:rPr>
                <w:rFonts w:ascii="Calibri" w:eastAsia="Calibri" w:hAnsi="Calibri" w:cs="Calibri"/>
                <w:i/>
                <w:iCs/>
                <w:color w:val="005022"/>
              </w:rPr>
              <w:t>Attitude</w:t>
            </w:r>
          </w:p>
        </w:tc>
        <w:tc>
          <w:tcPr>
            <w:tcW w:w="1340" w:type="dxa"/>
            <w:gridSpan w:val="3"/>
            <w:vMerge w:val="restart"/>
            <w:vAlign w:val="bottom"/>
          </w:tcPr>
          <w:p w:rsidR="00AC12B4" w:rsidRDefault="00C27636">
            <w:pPr>
              <w:ind w:left="60"/>
              <w:rPr>
                <w:sz w:val="20"/>
                <w:szCs w:val="20"/>
              </w:rPr>
            </w:pPr>
            <w:r>
              <w:rPr>
                <w:rFonts w:ascii="Calibri" w:eastAsia="Calibri" w:hAnsi="Calibri" w:cs="Calibri"/>
                <w:i/>
                <w:iCs/>
                <w:color w:val="005022"/>
              </w:rPr>
              <w:t>vis-à-vis  du</w:t>
            </w:r>
          </w:p>
        </w:tc>
        <w:tc>
          <w:tcPr>
            <w:tcW w:w="680" w:type="dxa"/>
            <w:gridSpan w:val="3"/>
            <w:vMerge w:val="restart"/>
            <w:vAlign w:val="bottom"/>
          </w:tcPr>
          <w:p w:rsidR="00AC12B4" w:rsidRDefault="00C27636">
            <w:pPr>
              <w:ind w:left="40"/>
              <w:rPr>
                <w:sz w:val="20"/>
                <w:szCs w:val="20"/>
              </w:rPr>
            </w:pPr>
            <w:r>
              <w:rPr>
                <w:rFonts w:ascii="Calibri" w:eastAsia="Calibri" w:hAnsi="Calibri" w:cs="Calibri"/>
                <w:i/>
                <w:iCs/>
                <w:color w:val="005022"/>
              </w:rPr>
              <w:t>temps</w:t>
            </w:r>
          </w:p>
        </w:tc>
        <w:tc>
          <w:tcPr>
            <w:tcW w:w="700" w:type="dxa"/>
            <w:vMerge w:val="restart"/>
            <w:vAlign w:val="bottom"/>
          </w:tcPr>
          <w:p w:rsidR="00AC12B4" w:rsidRDefault="00C27636">
            <w:pPr>
              <w:jc w:val="right"/>
              <w:rPr>
                <w:sz w:val="20"/>
                <w:szCs w:val="20"/>
              </w:rPr>
            </w:pPr>
            <w:r>
              <w:rPr>
                <w:rFonts w:ascii="Calibri" w:eastAsia="Calibri" w:hAnsi="Calibri" w:cs="Calibri"/>
                <w:i/>
                <w:iCs/>
                <w:color w:val="005022"/>
              </w:rPr>
              <w:t>passé</w:t>
            </w:r>
          </w:p>
        </w:tc>
        <w:tc>
          <w:tcPr>
            <w:tcW w:w="100" w:type="dxa"/>
            <w:tcBorders>
              <w:right w:val="single" w:sz="8" w:space="0" w:color="00923D"/>
            </w:tcBorders>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1360" w:type="dxa"/>
            <w:gridSpan w:val="3"/>
            <w:vAlign w:val="bottom"/>
          </w:tcPr>
          <w:p w:rsidR="00AC12B4" w:rsidRDefault="00C27636">
            <w:pPr>
              <w:spacing w:line="260" w:lineRule="exact"/>
              <w:ind w:right="51"/>
              <w:jc w:val="right"/>
              <w:rPr>
                <w:sz w:val="20"/>
                <w:szCs w:val="20"/>
              </w:rPr>
            </w:pPr>
            <w:r>
              <w:rPr>
                <w:rFonts w:ascii="Calibri" w:eastAsia="Calibri" w:hAnsi="Calibri" w:cs="Calibri"/>
              </w:rPr>
              <w:t>obligations</w:t>
            </w:r>
          </w:p>
        </w:tc>
        <w:tc>
          <w:tcPr>
            <w:tcW w:w="360" w:type="dxa"/>
            <w:vAlign w:val="bottom"/>
          </w:tcPr>
          <w:p w:rsidR="00AC12B4" w:rsidRDefault="00AC12B4">
            <w:pPr>
              <w:rPr>
                <w:sz w:val="23"/>
                <w:szCs w:val="23"/>
              </w:rPr>
            </w:pPr>
          </w:p>
        </w:tc>
        <w:tc>
          <w:tcPr>
            <w:tcW w:w="2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96"/>
        </w:trPr>
        <w:tc>
          <w:tcPr>
            <w:tcW w:w="2620" w:type="dxa"/>
            <w:gridSpan w:val="4"/>
            <w:vMerge w:val="restart"/>
            <w:vAlign w:val="bottom"/>
          </w:tcPr>
          <w:p w:rsidR="00AC12B4" w:rsidRDefault="00C27636">
            <w:pPr>
              <w:ind w:left="1460"/>
              <w:rPr>
                <w:sz w:val="20"/>
                <w:szCs w:val="20"/>
              </w:rPr>
            </w:pPr>
            <w:r>
              <w:rPr>
                <w:rFonts w:ascii="Calibri" w:eastAsia="Calibri" w:hAnsi="Calibri" w:cs="Calibri"/>
              </w:rPr>
              <w:t>développé</w:t>
            </w:r>
            <w:r>
              <w:rPr>
                <w:rFonts w:ascii="Calibri" w:eastAsia="Calibri" w:hAnsi="Calibri" w:cs="Calibri"/>
              </w:rPr>
              <w:lastRenderedPageBreak/>
              <w:t>s</w:t>
            </w:r>
          </w:p>
        </w:tc>
        <w:tc>
          <w:tcPr>
            <w:tcW w:w="480" w:type="dxa"/>
            <w:vMerge w:val="restart"/>
            <w:vAlign w:val="bottom"/>
          </w:tcPr>
          <w:p w:rsidR="00AC12B4" w:rsidRDefault="00C27636">
            <w:pPr>
              <w:jc w:val="right"/>
              <w:rPr>
                <w:sz w:val="20"/>
                <w:szCs w:val="20"/>
              </w:rPr>
            </w:pPr>
            <w:r>
              <w:rPr>
                <w:rFonts w:ascii="Calibri" w:eastAsia="Calibri" w:hAnsi="Calibri" w:cs="Calibri"/>
              </w:rPr>
              <w:lastRenderedPageBreak/>
              <w:t>sont</w:t>
            </w:r>
          </w:p>
        </w:tc>
        <w:tc>
          <w:tcPr>
            <w:tcW w:w="160" w:type="dxa"/>
            <w:tcBorders>
              <w:right w:val="single" w:sz="8" w:space="0" w:color="00923D"/>
            </w:tcBorders>
            <w:vAlign w:val="bottom"/>
          </w:tcPr>
          <w:p w:rsidR="00AC12B4" w:rsidRDefault="00AC12B4">
            <w:pPr>
              <w:rPr>
                <w:sz w:val="8"/>
                <w:szCs w:val="8"/>
              </w:rPr>
            </w:pPr>
          </w:p>
        </w:tc>
        <w:tc>
          <w:tcPr>
            <w:tcW w:w="50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960" w:type="dxa"/>
            <w:gridSpan w:val="2"/>
            <w:vMerge/>
            <w:vAlign w:val="bottom"/>
          </w:tcPr>
          <w:p w:rsidR="00AC12B4" w:rsidRDefault="00AC12B4">
            <w:pPr>
              <w:rPr>
                <w:sz w:val="8"/>
                <w:szCs w:val="8"/>
              </w:rPr>
            </w:pPr>
          </w:p>
        </w:tc>
        <w:tc>
          <w:tcPr>
            <w:tcW w:w="1340" w:type="dxa"/>
            <w:gridSpan w:val="3"/>
            <w:vMerge/>
            <w:vAlign w:val="bottom"/>
          </w:tcPr>
          <w:p w:rsidR="00AC12B4" w:rsidRDefault="00AC12B4">
            <w:pPr>
              <w:rPr>
                <w:sz w:val="8"/>
                <w:szCs w:val="8"/>
              </w:rPr>
            </w:pPr>
          </w:p>
        </w:tc>
        <w:tc>
          <w:tcPr>
            <w:tcW w:w="680" w:type="dxa"/>
            <w:gridSpan w:val="3"/>
            <w:vMerge/>
            <w:vAlign w:val="bottom"/>
          </w:tcPr>
          <w:p w:rsidR="00AC12B4" w:rsidRDefault="00AC12B4">
            <w:pPr>
              <w:rPr>
                <w:sz w:val="8"/>
                <w:szCs w:val="8"/>
              </w:rPr>
            </w:pPr>
          </w:p>
        </w:tc>
        <w:tc>
          <w:tcPr>
            <w:tcW w:w="700" w:type="dxa"/>
            <w:vMerge/>
            <w:vAlign w:val="bottom"/>
          </w:tcPr>
          <w:p w:rsidR="00AC12B4" w:rsidRDefault="00AC12B4">
            <w:pPr>
              <w:rPr>
                <w:sz w:val="8"/>
                <w:szCs w:val="8"/>
              </w:rPr>
            </w:pPr>
          </w:p>
        </w:tc>
        <w:tc>
          <w:tcPr>
            <w:tcW w:w="100" w:type="dxa"/>
            <w:tcBorders>
              <w:right w:val="single" w:sz="8" w:space="0" w:color="00923D"/>
            </w:tcBorders>
            <w:vAlign w:val="bottom"/>
          </w:tcPr>
          <w:p w:rsidR="00AC12B4" w:rsidRDefault="00AC12B4">
            <w:pPr>
              <w:rPr>
                <w:sz w:val="8"/>
                <w:szCs w:val="8"/>
              </w:rPr>
            </w:pPr>
          </w:p>
        </w:tc>
        <w:tc>
          <w:tcPr>
            <w:tcW w:w="300" w:type="dxa"/>
            <w:vAlign w:val="bottom"/>
          </w:tcPr>
          <w:p w:rsidR="00AC12B4" w:rsidRDefault="00AC12B4">
            <w:pPr>
              <w:rPr>
                <w:sz w:val="8"/>
                <w:szCs w:val="8"/>
              </w:rPr>
            </w:pPr>
          </w:p>
        </w:tc>
        <w:tc>
          <w:tcPr>
            <w:tcW w:w="1980" w:type="dxa"/>
            <w:gridSpan w:val="5"/>
            <w:vMerge w:val="restart"/>
            <w:vAlign w:val="bottom"/>
          </w:tcPr>
          <w:p w:rsidR="00AC12B4" w:rsidRDefault="00C27636">
            <w:pPr>
              <w:spacing w:line="261" w:lineRule="exact"/>
              <w:ind w:right="71"/>
              <w:jc w:val="right"/>
              <w:rPr>
                <w:sz w:val="20"/>
                <w:szCs w:val="20"/>
              </w:rPr>
            </w:pPr>
            <w:r>
              <w:rPr>
                <w:rFonts w:ascii="Calibri" w:eastAsia="Calibri" w:hAnsi="Calibri" w:cs="Calibri"/>
              </w:rPr>
              <w:t>familiales à cause</w:t>
            </w:r>
          </w:p>
        </w:tc>
        <w:tc>
          <w:tcPr>
            <w:tcW w:w="360" w:type="dxa"/>
            <w:vAlign w:val="bottom"/>
          </w:tcPr>
          <w:p w:rsidR="00AC12B4" w:rsidRDefault="00AC12B4">
            <w:pPr>
              <w:rPr>
                <w:sz w:val="8"/>
                <w:szCs w:val="8"/>
              </w:rPr>
            </w:pPr>
          </w:p>
        </w:tc>
        <w:tc>
          <w:tcPr>
            <w:tcW w:w="26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73"/>
        </w:trPr>
        <w:tc>
          <w:tcPr>
            <w:tcW w:w="2620" w:type="dxa"/>
            <w:gridSpan w:val="4"/>
            <w:vMerge/>
            <w:vAlign w:val="bottom"/>
          </w:tcPr>
          <w:p w:rsidR="00AC12B4" w:rsidRDefault="00AC12B4">
            <w:pPr>
              <w:rPr>
                <w:sz w:val="15"/>
                <w:szCs w:val="15"/>
              </w:rPr>
            </w:pPr>
          </w:p>
        </w:tc>
        <w:tc>
          <w:tcPr>
            <w:tcW w:w="480" w:type="dxa"/>
            <w:vMerge/>
            <w:vAlign w:val="bottom"/>
          </w:tcPr>
          <w:p w:rsidR="00AC12B4" w:rsidRDefault="00AC12B4">
            <w:pPr>
              <w:rPr>
                <w:sz w:val="15"/>
                <w:szCs w:val="15"/>
              </w:rPr>
            </w:pPr>
          </w:p>
        </w:tc>
        <w:tc>
          <w:tcPr>
            <w:tcW w:w="160" w:type="dxa"/>
            <w:tcBorders>
              <w:right w:val="single" w:sz="8" w:space="0" w:color="00923D"/>
            </w:tcBorders>
            <w:vAlign w:val="bottom"/>
          </w:tcPr>
          <w:p w:rsidR="00AC12B4" w:rsidRDefault="00AC12B4">
            <w:pPr>
              <w:rPr>
                <w:sz w:val="15"/>
                <w:szCs w:val="15"/>
              </w:rPr>
            </w:pPr>
          </w:p>
        </w:tc>
        <w:tc>
          <w:tcPr>
            <w:tcW w:w="50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2000" w:type="dxa"/>
            <w:gridSpan w:val="4"/>
            <w:vMerge w:val="restart"/>
            <w:vAlign w:val="bottom"/>
          </w:tcPr>
          <w:p w:rsidR="00AC12B4" w:rsidRDefault="00C27636">
            <w:pPr>
              <w:ind w:left="80"/>
              <w:rPr>
                <w:sz w:val="20"/>
                <w:szCs w:val="20"/>
              </w:rPr>
            </w:pPr>
            <w:r>
              <w:rPr>
                <w:rFonts w:ascii="Calibri" w:eastAsia="Calibri" w:hAnsi="Calibri" w:cs="Calibri"/>
                <w:i/>
                <w:iCs/>
                <w:color w:val="005022"/>
              </w:rPr>
              <w:t>auprès de membres</w:t>
            </w:r>
          </w:p>
        </w:tc>
        <w:tc>
          <w:tcPr>
            <w:tcW w:w="1680" w:type="dxa"/>
            <w:gridSpan w:val="5"/>
            <w:vMerge w:val="restart"/>
            <w:vAlign w:val="bottom"/>
          </w:tcPr>
          <w:p w:rsidR="00AC12B4" w:rsidRDefault="00C27636">
            <w:pPr>
              <w:jc w:val="right"/>
              <w:rPr>
                <w:sz w:val="20"/>
                <w:szCs w:val="20"/>
              </w:rPr>
            </w:pPr>
            <w:r>
              <w:rPr>
                <w:rFonts w:ascii="Calibri" w:eastAsia="Calibri" w:hAnsi="Calibri" w:cs="Calibri"/>
                <w:i/>
                <w:iCs/>
                <w:color w:val="005022"/>
              </w:rPr>
              <w:t>de la famille (cf.</w:t>
            </w:r>
          </w:p>
        </w:tc>
        <w:tc>
          <w:tcPr>
            <w:tcW w:w="100" w:type="dxa"/>
            <w:tcBorders>
              <w:right w:val="single" w:sz="8" w:space="0" w:color="00923D"/>
            </w:tcBorders>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980" w:type="dxa"/>
            <w:gridSpan w:val="5"/>
            <w:vMerge/>
            <w:vAlign w:val="bottom"/>
          </w:tcPr>
          <w:p w:rsidR="00AC12B4" w:rsidRDefault="00AC12B4">
            <w:pPr>
              <w:rPr>
                <w:sz w:val="15"/>
                <w:szCs w:val="15"/>
              </w:rPr>
            </w:pPr>
          </w:p>
        </w:tc>
        <w:tc>
          <w:tcPr>
            <w:tcW w:w="36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134"/>
        </w:trPr>
        <w:tc>
          <w:tcPr>
            <w:tcW w:w="2620" w:type="dxa"/>
            <w:gridSpan w:val="4"/>
            <w:vMerge w:val="restart"/>
            <w:vAlign w:val="bottom"/>
          </w:tcPr>
          <w:p w:rsidR="00AC12B4" w:rsidRDefault="00C27636">
            <w:pPr>
              <w:ind w:left="1460"/>
              <w:rPr>
                <w:sz w:val="20"/>
                <w:szCs w:val="20"/>
              </w:rPr>
            </w:pPr>
            <w:r>
              <w:rPr>
                <w:rFonts w:ascii="Calibri" w:eastAsia="Calibri" w:hAnsi="Calibri" w:cs="Calibri"/>
              </w:rPr>
              <w:lastRenderedPageBreak/>
              <w:t>entièrement</w:t>
            </w:r>
          </w:p>
        </w:tc>
        <w:tc>
          <w:tcPr>
            <w:tcW w:w="480" w:type="dxa"/>
            <w:vAlign w:val="bottom"/>
          </w:tcPr>
          <w:p w:rsidR="00AC12B4" w:rsidRDefault="00AC12B4">
            <w:pPr>
              <w:rPr>
                <w:sz w:val="11"/>
                <w:szCs w:val="11"/>
              </w:rPr>
            </w:pPr>
          </w:p>
        </w:tc>
        <w:tc>
          <w:tcPr>
            <w:tcW w:w="160" w:type="dxa"/>
            <w:tcBorders>
              <w:right w:val="single" w:sz="8" w:space="0" w:color="00923D"/>
            </w:tcBorders>
            <w:vAlign w:val="bottom"/>
          </w:tcPr>
          <w:p w:rsidR="00AC12B4" w:rsidRDefault="00AC12B4">
            <w:pPr>
              <w:rPr>
                <w:sz w:val="11"/>
                <w:szCs w:val="11"/>
              </w:rPr>
            </w:pPr>
          </w:p>
        </w:tc>
        <w:tc>
          <w:tcPr>
            <w:tcW w:w="50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2000" w:type="dxa"/>
            <w:gridSpan w:val="4"/>
            <w:vMerge/>
            <w:vAlign w:val="bottom"/>
          </w:tcPr>
          <w:p w:rsidR="00AC12B4" w:rsidRDefault="00AC12B4">
            <w:pPr>
              <w:rPr>
                <w:sz w:val="11"/>
                <w:szCs w:val="11"/>
              </w:rPr>
            </w:pPr>
          </w:p>
        </w:tc>
        <w:tc>
          <w:tcPr>
            <w:tcW w:w="1680" w:type="dxa"/>
            <w:gridSpan w:val="5"/>
            <w:vMerge/>
            <w:vAlign w:val="bottom"/>
          </w:tcPr>
          <w:p w:rsidR="00AC12B4" w:rsidRDefault="00AC12B4">
            <w:pPr>
              <w:rPr>
                <w:sz w:val="11"/>
                <w:szCs w:val="11"/>
              </w:rPr>
            </w:pPr>
          </w:p>
        </w:tc>
        <w:tc>
          <w:tcPr>
            <w:tcW w:w="100" w:type="dxa"/>
            <w:tcBorders>
              <w:right w:val="single" w:sz="8" w:space="0" w:color="00923D"/>
            </w:tcBorders>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380" w:type="dxa"/>
            <w:vMerge w:val="restart"/>
            <w:vAlign w:val="bottom"/>
          </w:tcPr>
          <w:p w:rsidR="00AC12B4" w:rsidRDefault="00C27636">
            <w:pPr>
              <w:spacing w:line="261" w:lineRule="exact"/>
              <w:ind w:left="140"/>
              <w:rPr>
                <w:sz w:val="20"/>
                <w:szCs w:val="20"/>
              </w:rPr>
            </w:pPr>
            <w:r>
              <w:rPr>
                <w:rFonts w:ascii="Calibri" w:eastAsia="Calibri" w:hAnsi="Calibri" w:cs="Calibri"/>
                <w:w w:val="97"/>
              </w:rPr>
              <w:t>de</w:t>
            </w:r>
          </w:p>
        </w:tc>
        <w:tc>
          <w:tcPr>
            <w:tcW w:w="1600" w:type="dxa"/>
            <w:gridSpan w:val="4"/>
            <w:vMerge w:val="restart"/>
            <w:vAlign w:val="bottom"/>
          </w:tcPr>
          <w:p w:rsidR="00AC12B4" w:rsidRDefault="00C27636">
            <w:pPr>
              <w:spacing w:line="261" w:lineRule="exact"/>
              <w:ind w:right="51"/>
              <w:jc w:val="right"/>
              <w:rPr>
                <w:sz w:val="20"/>
                <w:szCs w:val="20"/>
              </w:rPr>
            </w:pPr>
            <w:r>
              <w:rPr>
                <w:rFonts w:ascii="Calibri" w:eastAsia="Calibri" w:hAnsi="Calibri" w:cs="Calibri"/>
              </w:rPr>
              <w:t>leur travail, ils</w:t>
            </w:r>
          </w:p>
        </w:tc>
        <w:tc>
          <w:tcPr>
            <w:tcW w:w="36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4"/>
        </w:trPr>
        <w:tc>
          <w:tcPr>
            <w:tcW w:w="2620" w:type="dxa"/>
            <w:gridSpan w:val="4"/>
            <w:vMerge/>
            <w:vAlign w:val="bottom"/>
          </w:tcPr>
          <w:p w:rsidR="00AC12B4" w:rsidRDefault="00AC12B4">
            <w:pPr>
              <w:rPr>
                <w:sz w:val="11"/>
                <w:szCs w:val="11"/>
              </w:rPr>
            </w:pPr>
          </w:p>
        </w:tc>
        <w:tc>
          <w:tcPr>
            <w:tcW w:w="480" w:type="dxa"/>
            <w:vAlign w:val="bottom"/>
          </w:tcPr>
          <w:p w:rsidR="00AC12B4" w:rsidRDefault="00AC12B4">
            <w:pPr>
              <w:rPr>
                <w:sz w:val="11"/>
                <w:szCs w:val="11"/>
              </w:rPr>
            </w:pPr>
          </w:p>
        </w:tc>
        <w:tc>
          <w:tcPr>
            <w:tcW w:w="160" w:type="dxa"/>
            <w:tcBorders>
              <w:right w:val="single" w:sz="8" w:space="0" w:color="00923D"/>
            </w:tcBorders>
            <w:vAlign w:val="bottom"/>
          </w:tcPr>
          <w:p w:rsidR="00AC12B4" w:rsidRDefault="00AC12B4">
            <w:pPr>
              <w:rPr>
                <w:sz w:val="11"/>
                <w:szCs w:val="11"/>
              </w:rPr>
            </w:pPr>
          </w:p>
        </w:tc>
        <w:tc>
          <w:tcPr>
            <w:tcW w:w="500" w:type="dxa"/>
            <w:vAlign w:val="bottom"/>
          </w:tcPr>
          <w:p w:rsidR="00AC12B4" w:rsidRDefault="00AC12B4">
            <w:pPr>
              <w:rPr>
                <w:sz w:val="11"/>
                <w:szCs w:val="11"/>
              </w:rPr>
            </w:pPr>
          </w:p>
        </w:tc>
        <w:tc>
          <w:tcPr>
            <w:tcW w:w="280" w:type="dxa"/>
            <w:vAlign w:val="bottom"/>
          </w:tcPr>
          <w:p w:rsidR="00AC12B4" w:rsidRDefault="00AC12B4">
            <w:pPr>
              <w:rPr>
                <w:sz w:val="11"/>
                <w:szCs w:val="11"/>
              </w:rPr>
            </w:pPr>
          </w:p>
        </w:tc>
        <w:tc>
          <w:tcPr>
            <w:tcW w:w="960" w:type="dxa"/>
            <w:gridSpan w:val="2"/>
            <w:vMerge w:val="restart"/>
            <w:vAlign w:val="bottom"/>
          </w:tcPr>
          <w:p w:rsidR="00AC12B4" w:rsidRDefault="00C27636">
            <w:pPr>
              <w:ind w:left="80"/>
              <w:rPr>
                <w:sz w:val="20"/>
                <w:szCs w:val="20"/>
              </w:rPr>
            </w:pPr>
            <w:r>
              <w:rPr>
                <w:rFonts w:ascii="Calibri" w:eastAsia="Calibri" w:hAnsi="Calibri" w:cs="Calibri"/>
                <w:i/>
                <w:iCs/>
                <w:color w:val="005022"/>
              </w:rPr>
              <w:t>highlight)</w:t>
            </w:r>
          </w:p>
        </w:tc>
        <w:tc>
          <w:tcPr>
            <w:tcW w:w="180" w:type="dxa"/>
            <w:vAlign w:val="bottom"/>
          </w:tcPr>
          <w:p w:rsidR="00AC12B4" w:rsidRDefault="00AC12B4">
            <w:pPr>
              <w:rPr>
                <w:sz w:val="11"/>
                <w:szCs w:val="11"/>
              </w:rPr>
            </w:pPr>
          </w:p>
        </w:tc>
        <w:tc>
          <w:tcPr>
            <w:tcW w:w="860" w:type="dxa"/>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60" w:type="dxa"/>
            <w:vAlign w:val="bottom"/>
          </w:tcPr>
          <w:p w:rsidR="00AC12B4" w:rsidRDefault="00AC12B4">
            <w:pPr>
              <w:rPr>
                <w:sz w:val="11"/>
                <w:szCs w:val="11"/>
              </w:rPr>
            </w:pPr>
          </w:p>
        </w:tc>
        <w:tc>
          <w:tcPr>
            <w:tcW w:w="340" w:type="dxa"/>
            <w:vAlign w:val="bottom"/>
          </w:tcPr>
          <w:p w:rsidR="00AC12B4" w:rsidRDefault="00AC12B4">
            <w:pPr>
              <w:rPr>
                <w:sz w:val="11"/>
                <w:szCs w:val="11"/>
              </w:rPr>
            </w:pPr>
          </w:p>
        </w:tc>
        <w:tc>
          <w:tcPr>
            <w:tcW w:w="700" w:type="dxa"/>
            <w:vAlign w:val="bottom"/>
          </w:tcPr>
          <w:p w:rsidR="00AC12B4" w:rsidRDefault="00AC12B4">
            <w:pPr>
              <w:rPr>
                <w:sz w:val="11"/>
                <w:szCs w:val="11"/>
              </w:rPr>
            </w:pPr>
          </w:p>
        </w:tc>
        <w:tc>
          <w:tcPr>
            <w:tcW w:w="100" w:type="dxa"/>
            <w:tcBorders>
              <w:right w:val="single" w:sz="8" w:space="0" w:color="00923D"/>
            </w:tcBorders>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380" w:type="dxa"/>
            <w:vMerge/>
            <w:vAlign w:val="bottom"/>
          </w:tcPr>
          <w:p w:rsidR="00AC12B4" w:rsidRDefault="00AC12B4">
            <w:pPr>
              <w:rPr>
                <w:sz w:val="11"/>
                <w:szCs w:val="11"/>
              </w:rPr>
            </w:pPr>
          </w:p>
        </w:tc>
        <w:tc>
          <w:tcPr>
            <w:tcW w:w="1600" w:type="dxa"/>
            <w:gridSpan w:val="4"/>
            <w:vMerge/>
            <w:vAlign w:val="bottom"/>
          </w:tcPr>
          <w:p w:rsidR="00AC12B4" w:rsidRDefault="00AC12B4">
            <w:pPr>
              <w:rPr>
                <w:sz w:val="11"/>
                <w:szCs w:val="11"/>
              </w:rPr>
            </w:pPr>
          </w:p>
        </w:tc>
        <w:tc>
          <w:tcPr>
            <w:tcW w:w="360" w:type="dxa"/>
            <w:vAlign w:val="bottom"/>
          </w:tcPr>
          <w:p w:rsidR="00AC12B4" w:rsidRDefault="00AC12B4">
            <w:pPr>
              <w:rPr>
                <w:sz w:val="11"/>
                <w:szCs w:val="11"/>
              </w:rPr>
            </w:pPr>
          </w:p>
        </w:tc>
        <w:tc>
          <w:tcPr>
            <w:tcW w:w="26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75"/>
        </w:trPr>
        <w:tc>
          <w:tcPr>
            <w:tcW w:w="2280" w:type="dxa"/>
            <w:gridSpan w:val="3"/>
            <w:vMerge w:val="restart"/>
            <w:vAlign w:val="bottom"/>
          </w:tcPr>
          <w:p w:rsidR="00AC12B4" w:rsidRDefault="00C27636">
            <w:pPr>
              <w:ind w:left="1460"/>
              <w:rPr>
                <w:sz w:val="20"/>
                <w:szCs w:val="20"/>
              </w:rPr>
            </w:pPr>
            <w:r>
              <w:rPr>
                <w:rFonts w:ascii="Calibri" w:eastAsia="Calibri" w:hAnsi="Calibri" w:cs="Calibri"/>
              </w:rPr>
              <w:t>centrés</w:t>
            </w:r>
          </w:p>
        </w:tc>
        <w:tc>
          <w:tcPr>
            <w:tcW w:w="340" w:type="dxa"/>
            <w:vAlign w:val="bottom"/>
          </w:tcPr>
          <w:p w:rsidR="00AC12B4" w:rsidRDefault="00AC12B4">
            <w:pPr>
              <w:rPr>
                <w:sz w:val="15"/>
                <w:szCs w:val="15"/>
              </w:rPr>
            </w:pPr>
          </w:p>
        </w:tc>
        <w:tc>
          <w:tcPr>
            <w:tcW w:w="480" w:type="dxa"/>
            <w:vMerge w:val="restart"/>
            <w:vAlign w:val="bottom"/>
          </w:tcPr>
          <w:p w:rsidR="00AC12B4" w:rsidRDefault="00C27636">
            <w:pPr>
              <w:jc w:val="right"/>
              <w:rPr>
                <w:sz w:val="20"/>
                <w:szCs w:val="20"/>
              </w:rPr>
            </w:pPr>
            <w:r>
              <w:rPr>
                <w:rFonts w:ascii="Calibri" w:eastAsia="Calibri" w:hAnsi="Calibri" w:cs="Calibri"/>
              </w:rPr>
              <w:t>sur</w:t>
            </w:r>
          </w:p>
        </w:tc>
        <w:tc>
          <w:tcPr>
            <w:tcW w:w="160" w:type="dxa"/>
            <w:tcBorders>
              <w:right w:val="single" w:sz="8" w:space="0" w:color="00923D"/>
            </w:tcBorders>
            <w:vAlign w:val="bottom"/>
          </w:tcPr>
          <w:p w:rsidR="00AC12B4" w:rsidRDefault="00AC12B4">
            <w:pPr>
              <w:rPr>
                <w:sz w:val="15"/>
                <w:szCs w:val="15"/>
              </w:rPr>
            </w:pPr>
          </w:p>
        </w:tc>
        <w:tc>
          <w:tcPr>
            <w:tcW w:w="500" w:type="dxa"/>
            <w:vAlign w:val="bottom"/>
          </w:tcPr>
          <w:p w:rsidR="00AC12B4" w:rsidRDefault="00AC12B4">
            <w:pPr>
              <w:rPr>
                <w:sz w:val="15"/>
                <w:szCs w:val="15"/>
              </w:rPr>
            </w:pPr>
          </w:p>
        </w:tc>
        <w:tc>
          <w:tcPr>
            <w:tcW w:w="280" w:type="dxa"/>
            <w:vAlign w:val="bottom"/>
          </w:tcPr>
          <w:p w:rsidR="00AC12B4" w:rsidRDefault="00AC12B4">
            <w:pPr>
              <w:rPr>
                <w:sz w:val="15"/>
                <w:szCs w:val="15"/>
              </w:rPr>
            </w:pPr>
          </w:p>
        </w:tc>
        <w:tc>
          <w:tcPr>
            <w:tcW w:w="960" w:type="dxa"/>
            <w:gridSpan w:val="2"/>
            <w:vMerge/>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860" w:type="dxa"/>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80" w:type="dxa"/>
            <w:vAlign w:val="bottom"/>
          </w:tcPr>
          <w:p w:rsidR="00AC12B4" w:rsidRDefault="00AC12B4">
            <w:pPr>
              <w:rPr>
                <w:sz w:val="15"/>
                <w:szCs w:val="15"/>
              </w:rPr>
            </w:pPr>
          </w:p>
        </w:tc>
        <w:tc>
          <w:tcPr>
            <w:tcW w:w="160" w:type="dxa"/>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700" w:type="dxa"/>
            <w:vAlign w:val="bottom"/>
          </w:tcPr>
          <w:p w:rsidR="00AC12B4" w:rsidRDefault="00AC12B4">
            <w:pPr>
              <w:rPr>
                <w:sz w:val="15"/>
                <w:szCs w:val="15"/>
              </w:rPr>
            </w:pPr>
          </w:p>
        </w:tc>
        <w:tc>
          <w:tcPr>
            <w:tcW w:w="100" w:type="dxa"/>
            <w:tcBorders>
              <w:right w:val="single" w:sz="8" w:space="0" w:color="00923D"/>
            </w:tcBorders>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1980" w:type="dxa"/>
            <w:gridSpan w:val="5"/>
            <w:vMerge w:val="restart"/>
            <w:vAlign w:val="bottom"/>
          </w:tcPr>
          <w:p w:rsidR="00AC12B4" w:rsidRDefault="00C27636">
            <w:pPr>
              <w:spacing w:line="261" w:lineRule="exact"/>
              <w:ind w:right="51"/>
              <w:jc w:val="right"/>
              <w:rPr>
                <w:sz w:val="20"/>
                <w:szCs w:val="20"/>
              </w:rPr>
            </w:pPr>
            <w:r>
              <w:rPr>
                <w:rFonts w:ascii="Calibri" w:eastAsia="Calibri" w:hAnsi="Calibri" w:cs="Calibri"/>
              </w:rPr>
              <w:t>sont plus de 47% à</w:t>
            </w:r>
          </w:p>
        </w:tc>
        <w:tc>
          <w:tcPr>
            <w:tcW w:w="36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94"/>
        </w:trPr>
        <w:tc>
          <w:tcPr>
            <w:tcW w:w="2280" w:type="dxa"/>
            <w:gridSpan w:val="3"/>
            <w:vMerge/>
            <w:vAlign w:val="bottom"/>
          </w:tcPr>
          <w:p w:rsidR="00AC12B4" w:rsidRDefault="00AC12B4">
            <w:pPr>
              <w:rPr>
                <w:sz w:val="8"/>
                <w:szCs w:val="8"/>
              </w:rPr>
            </w:pPr>
          </w:p>
        </w:tc>
        <w:tc>
          <w:tcPr>
            <w:tcW w:w="340" w:type="dxa"/>
            <w:vAlign w:val="bottom"/>
          </w:tcPr>
          <w:p w:rsidR="00AC12B4" w:rsidRDefault="00AC12B4">
            <w:pPr>
              <w:rPr>
                <w:sz w:val="8"/>
                <w:szCs w:val="8"/>
              </w:rPr>
            </w:pPr>
          </w:p>
        </w:tc>
        <w:tc>
          <w:tcPr>
            <w:tcW w:w="480" w:type="dxa"/>
            <w:vMerge/>
            <w:vAlign w:val="bottom"/>
          </w:tcPr>
          <w:p w:rsidR="00AC12B4" w:rsidRDefault="00AC12B4">
            <w:pPr>
              <w:rPr>
                <w:sz w:val="8"/>
                <w:szCs w:val="8"/>
              </w:rPr>
            </w:pPr>
          </w:p>
        </w:tc>
        <w:tc>
          <w:tcPr>
            <w:tcW w:w="160" w:type="dxa"/>
            <w:tcBorders>
              <w:right w:val="single" w:sz="8" w:space="0" w:color="00923D"/>
            </w:tcBorders>
            <w:vAlign w:val="bottom"/>
          </w:tcPr>
          <w:p w:rsidR="00AC12B4" w:rsidRDefault="00AC12B4">
            <w:pPr>
              <w:rPr>
                <w:sz w:val="8"/>
                <w:szCs w:val="8"/>
              </w:rPr>
            </w:pPr>
          </w:p>
        </w:tc>
        <w:tc>
          <w:tcPr>
            <w:tcW w:w="500" w:type="dxa"/>
            <w:vAlign w:val="bottom"/>
          </w:tcPr>
          <w:p w:rsidR="00AC12B4" w:rsidRDefault="00AC12B4">
            <w:pPr>
              <w:rPr>
                <w:sz w:val="8"/>
                <w:szCs w:val="8"/>
              </w:rPr>
            </w:pPr>
          </w:p>
        </w:tc>
        <w:tc>
          <w:tcPr>
            <w:tcW w:w="3960" w:type="dxa"/>
            <w:gridSpan w:val="10"/>
            <w:vMerge w:val="restart"/>
            <w:vAlign w:val="bottom"/>
          </w:tcPr>
          <w:p w:rsidR="00AC12B4" w:rsidRPr="00C27636" w:rsidRDefault="00C27636">
            <w:pPr>
              <w:spacing w:line="396" w:lineRule="exact"/>
              <w:jc w:val="right"/>
              <w:rPr>
                <w:sz w:val="20"/>
                <w:szCs w:val="20"/>
                <w:lang w:val="fr-BE"/>
              </w:rPr>
            </w:pPr>
            <w:r>
              <w:rPr>
                <w:rFonts w:ascii="Wingdings" w:eastAsia="Wingdings" w:hAnsi="Wingdings" w:cs="Wingdings"/>
                <w:color w:val="005022"/>
                <w:sz w:val="43"/>
                <w:szCs w:val="43"/>
                <w:vertAlign w:val="superscript"/>
              </w:rPr>
              <w:t></w:t>
            </w:r>
            <w:r w:rsidRPr="00C27636">
              <w:rPr>
                <w:rFonts w:ascii="Calibri" w:eastAsia="Calibri" w:hAnsi="Calibri" w:cs="Calibri"/>
                <w:i/>
                <w:iCs/>
                <w:color w:val="005022"/>
                <w:lang w:val="fr-BE"/>
              </w:rPr>
              <w:t xml:space="preserve"> J’ai  rencontré  des  difficultés  pour</w:t>
            </w:r>
          </w:p>
        </w:tc>
        <w:tc>
          <w:tcPr>
            <w:tcW w:w="100" w:type="dxa"/>
            <w:tcBorders>
              <w:right w:val="single" w:sz="8" w:space="0" w:color="00923D"/>
            </w:tcBorders>
            <w:vAlign w:val="bottom"/>
          </w:tcPr>
          <w:p w:rsidR="00AC12B4" w:rsidRPr="00C27636" w:rsidRDefault="00AC12B4">
            <w:pPr>
              <w:rPr>
                <w:sz w:val="8"/>
                <w:szCs w:val="8"/>
                <w:lang w:val="fr-BE"/>
              </w:rPr>
            </w:pPr>
          </w:p>
        </w:tc>
        <w:tc>
          <w:tcPr>
            <w:tcW w:w="300" w:type="dxa"/>
            <w:vAlign w:val="bottom"/>
          </w:tcPr>
          <w:p w:rsidR="00AC12B4" w:rsidRPr="00C27636" w:rsidRDefault="00AC12B4">
            <w:pPr>
              <w:rPr>
                <w:sz w:val="8"/>
                <w:szCs w:val="8"/>
                <w:lang w:val="fr-BE"/>
              </w:rPr>
            </w:pPr>
          </w:p>
        </w:tc>
        <w:tc>
          <w:tcPr>
            <w:tcW w:w="1980" w:type="dxa"/>
            <w:gridSpan w:val="5"/>
            <w:vMerge/>
            <w:vAlign w:val="bottom"/>
          </w:tcPr>
          <w:p w:rsidR="00AC12B4" w:rsidRPr="00C27636" w:rsidRDefault="00AC12B4">
            <w:pPr>
              <w:rPr>
                <w:sz w:val="8"/>
                <w:szCs w:val="8"/>
                <w:lang w:val="fr-BE"/>
              </w:rPr>
            </w:pPr>
          </w:p>
        </w:tc>
        <w:tc>
          <w:tcPr>
            <w:tcW w:w="360" w:type="dxa"/>
            <w:vAlign w:val="bottom"/>
          </w:tcPr>
          <w:p w:rsidR="00AC12B4" w:rsidRPr="00C27636" w:rsidRDefault="00AC12B4">
            <w:pPr>
              <w:rPr>
                <w:sz w:val="8"/>
                <w:szCs w:val="8"/>
                <w:lang w:val="fr-BE"/>
              </w:rPr>
            </w:pPr>
          </w:p>
        </w:tc>
        <w:tc>
          <w:tcPr>
            <w:tcW w:w="260" w:type="dxa"/>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304"/>
        </w:trPr>
        <w:tc>
          <w:tcPr>
            <w:tcW w:w="2280" w:type="dxa"/>
            <w:gridSpan w:val="3"/>
            <w:vAlign w:val="bottom"/>
          </w:tcPr>
          <w:p w:rsidR="00AC12B4" w:rsidRDefault="00C27636">
            <w:pPr>
              <w:ind w:left="1460"/>
              <w:rPr>
                <w:sz w:val="20"/>
                <w:szCs w:val="20"/>
              </w:rPr>
            </w:pPr>
            <w:r>
              <w:rPr>
                <w:rFonts w:ascii="Calibri" w:eastAsia="Calibri" w:hAnsi="Calibri" w:cs="Calibri"/>
              </w:rPr>
              <w:t>l’enfa</w:t>
            </w:r>
            <w:r>
              <w:rPr>
                <w:rFonts w:ascii="Calibri" w:eastAsia="Calibri" w:hAnsi="Calibri" w:cs="Calibri"/>
              </w:rPr>
              <w:lastRenderedPageBreak/>
              <w:t>nt,</w:t>
            </w:r>
          </w:p>
        </w:tc>
        <w:tc>
          <w:tcPr>
            <w:tcW w:w="820" w:type="dxa"/>
            <w:gridSpan w:val="2"/>
            <w:vAlign w:val="bottom"/>
          </w:tcPr>
          <w:p w:rsidR="00AC12B4" w:rsidRDefault="00C27636">
            <w:pPr>
              <w:jc w:val="right"/>
              <w:rPr>
                <w:sz w:val="20"/>
                <w:szCs w:val="20"/>
              </w:rPr>
            </w:pPr>
            <w:r>
              <w:rPr>
                <w:rFonts w:ascii="Calibri" w:eastAsia="Calibri" w:hAnsi="Calibri" w:cs="Calibri"/>
              </w:rPr>
              <w:lastRenderedPageBreak/>
              <w:t>c’est ici</w:t>
            </w:r>
          </w:p>
        </w:tc>
        <w:tc>
          <w:tcPr>
            <w:tcW w:w="160" w:type="dxa"/>
            <w:tcBorders>
              <w:right w:val="single" w:sz="8" w:space="0" w:color="00923D"/>
            </w:tcBorders>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3960" w:type="dxa"/>
            <w:gridSpan w:val="10"/>
            <w:vMerge/>
            <w:vAlign w:val="bottom"/>
          </w:tcPr>
          <w:p w:rsidR="00AC12B4" w:rsidRDefault="00AC12B4">
            <w:pPr>
              <w:rPr>
                <w:sz w:val="24"/>
                <w:szCs w:val="24"/>
              </w:rPr>
            </w:pPr>
          </w:p>
        </w:tc>
        <w:tc>
          <w:tcPr>
            <w:tcW w:w="100" w:type="dxa"/>
            <w:tcBorders>
              <w:right w:val="single" w:sz="8" w:space="0" w:color="00923D"/>
            </w:tcBorders>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620" w:type="dxa"/>
            <w:gridSpan w:val="2"/>
            <w:vAlign w:val="bottom"/>
          </w:tcPr>
          <w:p w:rsidR="00AC12B4" w:rsidRDefault="00C27636">
            <w:pPr>
              <w:spacing w:line="261" w:lineRule="exact"/>
              <w:ind w:left="140"/>
              <w:rPr>
                <w:sz w:val="20"/>
                <w:szCs w:val="20"/>
              </w:rPr>
            </w:pPr>
            <w:r>
              <w:rPr>
                <w:rFonts w:ascii="Calibri" w:eastAsia="Calibri" w:hAnsi="Calibri" w:cs="Calibri"/>
              </w:rPr>
              <w:t>être</w:t>
            </w:r>
          </w:p>
        </w:tc>
        <w:tc>
          <w:tcPr>
            <w:tcW w:w="480" w:type="dxa"/>
            <w:vAlign w:val="bottom"/>
          </w:tcPr>
          <w:p w:rsidR="00AC12B4" w:rsidRDefault="00C27636">
            <w:pPr>
              <w:spacing w:line="261" w:lineRule="exact"/>
              <w:jc w:val="center"/>
              <w:rPr>
                <w:sz w:val="20"/>
                <w:szCs w:val="20"/>
              </w:rPr>
            </w:pPr>
            <w:r>
              <w:rPr>
                <w:rFonts w:ascii="Calibri" w:eastAsia="Calibri" w:hAnsi="Calibri" w:cs="Calibri"/>
                <w:w w:val="99"/>
              </w:rPr>
              <w:t>dans</w:t>
            </w:r>
          </w:p>
        </w:tc>
        <w:tc>
          <w:tcPr>
            <w:tcW w:w="360" w:type="dxa"/>
            <w:vAlign w:val="bottom"/>
          </w:tcPr>
          <w:p w:rsidR="00AC12B4" w:rsidRDefault="00C27636">
            <w:pPr>
              <w:spacing w:line="261" w:lineRule="exact"/>
              <w:jc w:val="right"/>
              <w:rPr>
                <w:sz w:val="20"/>
                <w:szCs w:val="20"/>
              </w:rPr>
            </w:pPr>
            <w:r>
              <w:rPr>
                <w:rFonts w:ascii="Calibri" w:eastAsia="Calibri" w:hAnsi="Calibri" w:cs="Calibri"/>
              </w:rPr>
              <w:t>ce</w:t>
            </w:r>
          </w:p>
        </w:tc>
        <w:tc>
          <w:tcPr>
            <w:tcW w:w="520" w:type="dxa"/>
            <w:vAlign w:val="bottom"/>
          </w:tcPr>
          <w:p w:rsidR="00AC12B4" w:rsidRDefault="00C27636">
            <w:pPr>
              <w:spacing w:line="261" w:lineRule="exact"/>
              <w:ind w:right="71"/>
              <w:jc w:val="right"/>
              <w:rPr>
                <w:sz w:val="20"/>
                <w:szCs w:val="20"/>
              </w:rPr>
            </w:pPr>
            <w:r>
              <w:rPr>
                <w:rFonts w:ascii="Calibri" w:eastAsia="Calibri" w:hAnsi="Calibri" w:cs="Calibri"/>
              </w:rPr>
              <w:t>cas</w:t>
            </w:r>
          </w:p>
        </w:tc>
        <w:tc>
          <w:tcPr>
            <w:tcW w:w="36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34"/>
        </w:trPr>
        <w:tc>
          <w:tcPr>
            <w:tcW w:w="2280" w:type="dxa"/>
            <w:gridSpan w:val="3"/>
            <w:vAlign w:val="bottom"/>
          </w:tcPr>
          <w:p w:rsidR="00AC12B4" w:rsidRDefault="00C27636">
            <w:pPr>
              <w:spacing w:line="234" w:lineRule="exact"/>
              <w:ind w:left="1460"/>
              <w:rPr>
                <w:sz w:val="20"/>
                <w:szCs w:val="20"/>
              </w:rPr>
            </w:pPr>
            <w:r>
              <w:rPr>
                <w:rFonts w:ascii="Calibri" w:eastAsia="Calibri" w:hAnsi="Calibri" w:cs="Calibri"/>
              </w:rPr>
              <w:lastRenderedPageBreak/>
              <w:t>l’adulte</w:t>
            </w:r>
          </w:p>
        </w:tc>
        <w:tc>
          <w:tcPr>
            <w:tcW w:w="340" w:type="dxa"/>
            <w:vAlign w:val="bottom"/>
          </w:tcPr>
          <w:p w:rsidR="00AC12B4" w:rsidRDefault="00C27636">
            <w:pPr>
              <w:spacing w:line="234" w:lineRule="exact"/>
              <w:ind w:left="40"/>
              <w:rPr>
                <w:sz w:val="20"/>
                <w:szCs w:val="20"/>
              </w:rPr>
            </w:pPr>
            <w:r>
              <w:rPr>
                <w:rFonts w:ascii="Calibri" w:eastAsia="Calibri" w:hAnsi="Calibri" w:cs="Calibri"/>
                <w:w w:val="99"/>
              </w:rPr>
              <w:t>qui</w:t>
            </w:r>
          </w:p>
        </w:tc>
        <w:tc>
          <w:tcPr>
            <w:tcW w:w="480" w:type="dxa"/>
            <w:vAlign w:val="bottom"/>
          </w:tcPr>
          <w:p w:rsidR="00AC12B4" w:rsidRDefault="00C27636">
            <w:pPr>
              <w:spacing w:line="234" w:lineRule="exact"/>
              <w:jc w:val="right"/>
              <w:rPr>
                <w:sz w:val="20"/>
                <w:szCs w:val="20"/>
              </w:rPr>
            </w:pPr>
            <w:r>
              <w:rPr>
                <w:rFonts w:ascii="Calibri" w:eastAsia="Calibri" w:hAnsi="Calibri" w:cs="Calibri"/>
              </w:rPr>
              <w:t>est</w:t>
            </w:r>
          </w:p>
        </w:tc>
        <w:tc>
          <w:tcPr>
            <w:tcW w:w="160" w:type="dxa"/>
            <w:tcBorders>
              <w:right w:val="single" w:sz="8" w:space="0" w:color="00923D"/>
            </w:tcBorders>
            <w:vAlign w:val="bottom"/>
          </w:tcPr>
          <w:p w:rsidR="00AC12B4" w:rsidRDefault="00AC12B4">
            <w:pPr>
              <w:rPr>
                <w:sz w:val="20"/>
                <w:szCs w:val="20"/>
              </w:rPr>
            </w:pPr>
          </w:p>
        </w:tc>
        <w:tc>
          <w:tcPr>
            <w:tcW w:w="500" w:type="dxa"/>
            <w:vAlign w:val="bottom"/>
          </w:tcPr>
          <w:p w:rsidR="00AC12B4" w:rsidRDefault="00AC12B4">
            <w:pPr>
              <w:rPr>
                <w:sz w:val="20"/>
                <w:szCs w:val="20"/>
              </w:rPr>
            </w:pPr>
          </w:p>
        </w:tc>
        <w:tc>
          <w:tcPr>
            <w:tcW w:w="280" w:type="dxa"/>
            <w:vAlign w:val="bottom"/>
          </w:tcPr>
          <w:p w:rsidR="00AC12B4" w:rsidRDefault="00AC12B4">
            <w:pPr>
              <w:rPr>
                <w:sz w:val="20"/>
                <w:szCs w:val="20"/>
              </w:rPr>
            </w:pPr>
          </w:p>
        </w:tc>
        <w:tc>
          <w:tcPr>
            <w:tcW w:w="3680" w:type="dxa"/>
            <w:gridSpan w:val="9"/>
            <w:vAlign w:val="bottom"/>
          </w:tcPr>
          <w:p w:rsidR="00AC12B4" w:rsidRPr="00C27636" w:rsidRDefault="00C27636">
            <w:pPr>
              <w:spacing w:line="220" w:lineRule="exact"/>
              <w:ind w:left="80"/>
              <w:rPr>
                <w:sz w:val="20"/>
                <w:szCs w:val="20"/>
                <w:lang w:val="fr-BE"/>
              </w:rPr>
            </w:pPr>
            <w:r w:rsidRPr="00C27636">
              <w:rPr>
                <w:rFonts w:ascii="Calibri" w:eastAsia="Calibri" w:hAnsi="Calibri" w:cs="Calibri"/>
                <w:i/>
                <w:iCs/>
                <w:color w:val="005022"/>
                <w:lang w:val="fr-BE"/>
              </w:rPr>
              <w:t>remplir mes obligations familiales en</w:t>
            </w:r>
          </w:p>
        </w:tc>
        <w:tc>
          <w:tcPr>
            <w:tcW w:w="100" w:type="dxa"/>
            <w:tcBorders>
              <w:right w:val="single" w:sz="8" w:space="0" w:color="00923D"/>
            </w:tcBorders>
            <w:vAlign w:val="bottom"/>
          </w:tcPr>
          <w:p w:rsidR="00AC12B4" w:rsidRPr="00C27636" w:rsidRDefault="00AC12B4">
            <w:pPr>
              <w:rPr>
                <w:sz w:val="20"/>
                <w:szCs w:val="20"/>
                <w:lang w:val="fr-BE"/>
              </w:rPr>
            </w:pPr>
          </w:p>
        </w:tc>
        <w:tc>
          <w:tcPr>
            <w:tcW w:w="300" w:type="dxa"/>
            <w:vAlign w:val="bottom"/>
          </w:tcPr>
          <w:p w:rsidR="00AC12B4" w:rsidRPr="00C27636" w:rsidRDefault="00AC12B4">
            <w:pPr>
              <w:rPr>
                <w:sz w:val="20"/>
                <w:szCs w:val="20"/>
                <w:lang w:val="fr-BE"/>
              </w:rPr>
            </w:pPr>
          </w:p>
        </w:tc>
        <w:tc>
          <w:tcPr>
            <w:tcW w:w="620" w:type="dxa"/>
            <w:gridSpan w:val="2"/>
            <w:vAlign w:val="bottom"/>
          </w:tcPr>
          <w:p w:rsidR="00AC12B4" w:rsidRDefault="00C27636">
            <w:pPr>
              <w:spacing w:line="227" w:lineRule="exact"/>
              <w:ind w:left="140"/>
              <w:rPr>
                <w:sz w:val="20"/>
                <w:szCs w:val="20"/>
              </w:rPr>
            </w:pPr>
            <w:r>
              <w:rPr>
                <w:rFonts w:ascii="Calibri" w:eastAsia="Calibri" w:hAnsi="Calibri" w:cs="Calibri"/>
              </w:rPr>
              <w:t>pour</w:t>
            </w:r>
          </w:p>
        </w:tc>
        <w:tc>
          <w:tcPr>
            <w:tcW w:w="480" w:type="dxa"/>
            <w:vAlign w:val="bottom"/>
          </w:tcPr>
          <w:p w:rsidR="00AC12B4" w:rsidRDefault="00C27636">
            <w:pPr>
              <w:spacing w:line="227" w:lineRule="exact"/>
              <w:jc w:val="center"/>
              <w:rPr>
                <w:sz w:val="20"/>
                <w:szCs w:val="20"/>
              </w:rPr>
            </w:pPr>
            <w:r>
              <w:rPr>
                <w:rFonts w:ascii="Calibri" w:eastAsia="Calibri" w:hAnsi="Calibri" w:cs="Calibri"/>
              </w:rPr>
              <w:t>les</w:t>
            </w:r>
          </w:p>
        </w:tc>
        <w:tc>
          <w:tcPr>
            <w:tcW w:w="880" w:type="dxa"/>
            <w:gridSpan w:val="2"/>
            <w:vAlign w:val="bottom"/>
          </w:tcPr>
          <w:p w:rsidR="00AC12B4" w:rsidRDefault="00C27636">
            <w:pPr>
              <w:spacing w:line="227" w:lineRule="exact"/>
              <w:ind w:right="51"/>
              <w:jc w:val="right"/>
              <w:rPr>
                <w:sz w:val="20"/>
                <w:szCs w:val="20"/>
              </w:rPr>
            </w:pPr>
            <w:r>
              <w:rPr>
                <w:rFonts w:ascii="Calibri" w:eastAsia="Calibri" w:hAnsi="Calibri" w:cs="Calibri"/>
                <w:w w:val="98"/>
              </w:rPr>
              <w:t>revenus</w:t>
            </w:r>
          </w:p>
        </w:tc>
        <w:tc>
          <w:tcPr>
            <w:tcW w:w="360" w:type="dxa"/>
            <w:vAlign w:val="bottom"/>
          </w:tcPr>
          <w:p w:rsidR="00AC12B4" w:rsidRDefault="00AC12B4">
            <w:pPr>
              <w:rPr>
                <w:sz w:val="20"/>
                <w:szCs w:val="20"/>
              </w:rPr>
            </w:pPr>
          </w:p>
        </w:tc>
        <w:tc>
          <w:tcPr>
            <w:tcW w:w="26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95"/>
        </w:trPr>
        <w:tc>
          <w:tcPr>
            <w:tcW w:w="3100" w:type="dxa"/>
            <w:gridSpan w:val="5"/>
            <w:vAlign w:val="bottom"/>
          </w:tcPr>
          <w:p w:rsidR="00AC12B4" w:rsidRDefault="00C27636">
            <w:pPr>
              <w:ind w:left="1460"/>
              <w:rPr>
                <w:sz w:val="20"/>
                <w:szCs w:val="20"/>
              </w:rPr>
            </w:pPr>
            <w:r>
              <w:rPr>
                <w:rFonts w:ascii="Calibri" w:eastAsia="Calibri" w:hAnsi="Calibri" w:cs="Calibri"/>
              </w:rPr>
              <w:t>pris en compte.</w:t>
            </w:r>
          </w:p>
        </w:tc>
        <w:tc>
          <w:tcPr>
            <w:tcW w:w="160" w:type="dxa"/>
            <w:tcBorders>
              <w:right w:val="single" w:sz="8" w:space="0" w:color="00923D"/>
            </w:tcBorders>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3680" w:type="dxa"/>
            <w:gridSpan w:val="9"/>
            <w:vAlign w:val="bottom"/>
          </w:tcPr>
          <w:p w:rsidR="00AC12B4" w:rsidRPr="00C27636" w:rsidRDefault="00C27636">
            <w:pPr>
              <w:ind w:left="80"/>
              <w:rPr>
                <w:sz w:val="20"/>
                <w:szCs w:val="20"/>
                <w:lang w:val="fr-BE"/>
              </w:rPr>
            </w:pPr>
            <w:r w:rsidRPr="00C27636">
              <w:rPr>
                <w:rFonts w:ascii="Calibri" w:eastAsia="Calibri" w:hAnsi="Calibri" w:cs="Calibri"/>
                <w:i/>
                <w:iCs/>
                <w:color w:val="005022"/>
                <w:lang w:val="fr-BE"/>
              </w:rPr>
              <w:t>raison du temps que je consacre à ma</w:t>
            </w:r>
          </w:p>
        </w:tc>
        <w:tc>
          <w:tcPr>
            <w:tcW w:w="100" w:type="dxa"/>
            <w:tcBorders>
              <w:right w:val="single" w:sz="8" w:space="0" w:color="00923D"/>
            </w:tcBorders>
            <w:vAlign w:val="bottom"/>
          </w:tcPr>
          <w:p w:rsidR="00AC12B4" w:rsidRPr="00C27636" w:rsidRDefault="00AC12B4">
            <w:pPr>
              <w:rPr>
                <w:sz w:val="24"/>
                <w:szCs w:val="24"/>
                <w:lang w:val="fr-BE"/>
              </w:rPr>
            </w:pPr>
          </w:p>
        </w:tc>
        <w:tc>
          <w:tcPr>
            <w:tcW w:w="300" w:type="dxa"/>
            <w:vAlign w:val="bottom"/>
          </w:tcPr>
          <w:p w:rsidR="00AC12B4" w:rsidRPr="00C27636" w:rsidRDefault="00AC12B4">
            <w:pPr>
              <w:rPr>
                <w:sz w:val="24"/>
                <w:szCs w:val="24"/>
                <w:lang w:val="fr-BE"/>
              </w:rPr>
            </w:pPr>
          </w:p>
        </w:tc>
        <w:tc>
          <w:tcPr>
            <w:tcW w:w="1460" w:type="dxa"/>
            <w:gridSpan w:val="4"/>
            <w:vAlign w:val="bottom"/>
          </w:tcPr>
          <w:p w:rsidR="00AC12B4" w:rsidRDefault="00C27636">
            <w:pPr>
              <w:spacing w:line="261" w:lineRule="exact"/>
              <w:ind w:left="140"/>
              <w:rPr>
                <w:sz w:val="20"/>
                <w:szCs w:val="20"/>
              </w:rPr>
            </w:pPr>
            <w:r>
              <w:rPr>
                <w:rFonts w:ascii="Calibri" w:eastAsia="Calibri" w:hAnsi="Calibri" w:cs="Calibri"/>
              </w:rPr>
              <w:t>les plus bas.</w:t>
            </w:r>
          </w:p>
        </w:tc>
        <w:tc>
          <w:tcPr>
            <w:tcW w:w="52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62"/>
        </w:trPr>
        <w:tc>
          <w:tcPr>
            <w:tcW w:w="1820" w:type="dxa"/>
            <w:vAlign w:val="bottom"/>
          </w:tcPr>
          <w:p w:rsidR="00AC12B4" w:rsidRDefault="00C27636">
            <w:pPr>
              <w:ind w:left="1460"/>
              <w:rPr>
                <w:sz w:val="20"/>
                <w:szCs w:val="20"/>
              </w:rPr>
            </w:pPr>
            <w:r>
              <w:rPr>
                <w:rFonts w:ascii="Calibri" w:eastAsia="Calibri" w:hAnsi="Calibri" w:cs="Calibri"/>
              </w:rPr>
              <w:t>L’</w:t>
            </w:r>
          </w:p>
        </w:tc>
        <w:tc>
          <w:tcPr>
            <w:tcW w:w="22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820" w:type="dxa"/>
            <w:gridSpan w:val="2"/>
            <w:vAlign w:val="bottom"/>
          </w:tcPr>
          <w:p w:rsidR="00AC12B4" w:rsidRDefault="00C27636">
            <w:pPr>
              <w:jc w:val="right"/>
              <w:rPr>
                <w:sz w:val="20"/>
                <w:szCs w:val="20"/>
              </w:rPr>
            </w:pPr>
            <w:r>
              <w:rPr>
                <w:rFonts w:ascii="Calibri" w:eastAsia="Calibri" w:hAnsi="Calibri" w:cs="Calibri"/>
              </w:rPr>
              <w:t>Enquête</w:t>
            </w:r>
          </w:p>
        </w:tc>
        <w:tc>
          <w:tcPr>
            <w:tcW w:w="160" w:type="dxa"/>
            <w:tcBorders>
              <w:right w:val="single" w:sz="8" w:space="0" w:color="00923D"/>
            </w:tcBorders>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000" w:type="dxa"/>
            <w:gridSpan w:val="4"/>
            <w:vAlign w:val="bottom"/>
          </w:tcPr>
          <w:p w:rsidR="00AC12B4" w:rsidRDefault="00C27636">
            <w:pPr>
              <w:ind w:left="80"/>
              <w:rPr>
                <w:sz w:val="20"/>
                <w:szCs w:val="20"/>
              </w:rPr>
            </w:pPr>
            <w:r>
              <w:rPr>
                <w:rFonts w:ascii="Calibri" w:eastAsia="Calibri" w:hAnsi="Calibri" w:cs="Calibri"/>
                <w:i/>
                <w:iCs/>
                <w:color w:val="005022"/>
              </w:rPr>
              <w:t>vie professionnelle</w:t>
            </w:r>
          </w:p>
        </w:tc>
        <w:tc>
          <w:tcPr>
            <w:tcW w:w="3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700" w:type="dxa"/>
            <w:vAlign w:val="bottom"/>
          </w:tcPr>
          <w:p w:rsidR="00AC12B4" w:rsidRDefault="00AC12B4">
            <w:pPr>
              <w:rPr>
                <w:sz w:val="24"/>
                <w:szCs w:val="24"/>
              </w:rPr>
            </w:pPr>
          </w:p>
        </w:tc>
        <w:tc>
          <w:tcPr>
            <w:tcW w:w="100" w:type="dxa"/>
            <w:tcBorders>
              <w:right w:val="single" w:sz="8" w:space="0" w:color="00923D"/>
            </w:tcBorders>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620" w:type="dxa"/>
            <w:gridSpan w:val="2"/>
            <w:vAlign w:val="bottom"/>
          </w:tcPr>
          <w:p w:rsidR="00AC12B4" w:rsidRDefault="00C27636">
            <w:pPr>
              <w:ind w:left="140"/>
              <w:rPr>
                <w:sz w:val="20"/>
                <w:szCs w:val="20"/>
              </w:rPr>
            </w:pPr>
            <w:r>
              <w:rPr>
                <w:rFonts w:ascii="Calibri" w:eastAsia="Calibri" w:hAnsi="Calibri" w:cs="Calibri"/>
              </w:rPr>
              <w:t>Ces</w:t>
            </w:r>
          </w:p>
        </w:tc>
        <w:tc>
          <w:tcPr>
            <w:tcW w:w="840" w:type="dxa"/>
            <w:gridSpan w:val="2"/>
            <w:vAlign w:val="bottom"/>
          </w:tcPr>
          <w:p w:rsidR="00AC12B4" w:rsidRDefault="00C27636">
            <w:pPr>
              <w:ind w:right="15"/>
              <w:jc w:val="center"/>
              <w:rPr>
                <w:sz w:val="20"/>
                <w:szCs w:val="20"/>
              </w:rPr>
            </w:pPr>
            <w:r>
              <w:rPr>
                <w:rFonts w:ascii="Calibri" w:eastAsia="Calibri" w:hAnsi="Calibri" w:cs="Calibri"/>
              </w:rPr>
              <w:t>chiffres</w:t>
            </w:r>
          </w:p>
        </w:tc>
        <w:tc>
          <w:tcPr>
            <w:tcW w:w="520" w:type="dxa"/>
            <w:vAlign w:val="bottom"/>
          </w:tcPr>
          <w:p w:rsidR="00AC12B4" w:rsidRDefault="00C27636">
            <w:pPr>
              <w:ind w:right="51"/>
              <w:jc w:val="right"/>
              <w:rPr>
                <w:sz w:val="20"/>
                <w:szCs w:val="20"/>
              </w:rPr>
            </w:pPr>
            <w:r>
              <w:rPr>
                <w:rFonts w:ascii="Calibri" w:eastAsia="Calibri" w:hAnsi="Calibri" w:cs="Calibri"/>
              </w:rPr>
              <w:t>ont</w:t>
            </w:r>
          </w:p>
        </w:tc>
        <w:tc>
          <w:tcPr>
            <w:tcW w:w="36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08"/>
        </w:trPr>
        <w:tc>
          <w:tcPr>
            <w:tcW w:w="2620" w:type="dxa"/>
            <w:gridSpan w:val="4"/>
            <w:vAlign w:val="bottom"/>
          </w:tcPr>
          <w:p w:rsidR="00AC12B4" w:rsidRDefault="00C27636">
            <w:pPr>
              <w:ind w:left="1460"/>
              <w:rPr>
                <w:sz w:val="20"/>
                <w:szCs w:val="20"/>
              </w:rPr>
            </w:pPr>
            <w:r>
              <w:rPr>
                <w:rFonts w:ascii="Calibri" w:eastAsia="Calibri" w:hAnsi="Calibri" w:cs="Calibri"/>
              </w:rPr>
              <w:t>europé</w:t>
            </w:r>
            <w:r>
              <w:rPr>
                <w:rFonts w:ascii="Calibri" w:eastAsia="Calibri" w:hAnsi="Calibri" w:cs="Calibri"/>
              </w:rPr>
              <w:lastRenderedPageBreak/>
              <w:t>enne</w:t>
            </w:r>
          </w:p>
        </w:tc>
        <w:tc>
          <w:tcPr>
            <w:tcW w:w="480" w:type="dxa"/>
            <w:vAlign w:val="bottom"/>
          </w:tcPr>
          <w:p w:rsidR="00AC12B4" w:rsidRDefault="00C27636">
            <w:pPr>
              <w:jc w:val="right"/>
              <w:rPr>
                <w:sz w:val="20"/>
                <w:szCs w:val="20"/>
              </w:rPr>
            </w:pPr>
            <w:r>
              <w:rPr>
                <w:rFonts w:ascii="Calibri" w:eastAsia="Calibri" w:hAnsi="Calibri" w:cs="Calibri"/>
              </w:rPr>
              <w:lastRenderedPageBreak/>
              <w:t>sur</w:t>
            </w:r>
          </w:p>
        </w:tc>
        <w:tc>
          <w:tcPr>
            <w:tcW w:w="160" w:type="dxa"/>
            <w:tcBorders>
              <w:right w:val="single" w:sz="8" w:space="0" w:color="00923D"/>
            </w:tcBorders>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3960" w:type="dxa"/>
            <w:gridSpan w:val="10"/>
            <w:vAlign w:val="bottom"/>
          </w:tcPr>
          <w:p w:rsidR="00AC12B4" w:rsidRPr="00C27636" w:rsidRDefault="00C27636">
            <w:pPr>
              <w:spacing w:line="308" w:lineRule="exact"/>
              <w:jc w:val="right"/>
              <w:rPr>
                <w:sz w:val="20"/>
                <w:szCs w:val="20"/>
                <w:lang w:val="fr-BE"/>
              </w:rPr>
            </w:pPr>
            <w:r>
              <w:rPr>
                <w:rFonts w:ascii="Wingdings" w:eastAsia="Wingdings" w:hAnsi="Wingdings" w:cs="Wingdings"/>
                <w:color w:val="005022"/>
                <w:sz w:val="33"/>
                <w:szCs w:val="33"/>
                <w:vertAlign w:val="superscript"/>
              </w:rPr>
              <w:t></w:t>
            </w:r>
            <w:r w:rsidRPr="00C27636">
              <w:rPr>
                <w:rFonts w:ascii="Calibri" w:eastAsia="Calibri" w:hAnsi="Calibri" w:cs="Calibri"/>
                <w:i/>
                <w:iCs/>
                <w:color w:val="005022"/>
                <w:sz w:val="18"/>
                <w:szCs w:val="18"/>
                <w:lang w:val="fr-BE"/>
              </w:rPr>
              <w:t xml:space="preserve"> J’ai rencontré des difficultés pour me</w:t>
            </w:r>
          </w:p>
        </w:tc>
        <w:tc>
          <w:tcPr>
            <w:tcW w:w="100" w:type="dxa"/>
            <w:tcBorders>
              <w:right w:val="single" w:sz="8" w:space="0" w:color="00923D"/>
            </w:tcBorders>
            <w:vAlign w:val="bottom"/>
          </w:tcPr>
          <w:p w:rsidR="00AC12B4" w:rsidRPr="00C27636" w:rsidRDefault="00AC12B4">
            <w:pPr>
              <w:rPr>
                <w:sz w:val="24"/>
                <w:szCs w:val="24"/>
                <w:lang w:val="fr-BE"/>
              </w:rPr>
            </w:pPr>
          </w:p>
        </w:tc>
        <w:tc>
          <w:tcPr>
            <w:tcW w:w="300" w:type="dxa"/>
            <w:vAlign w:val="bottom"/>
          </w:tcPr>
          <w:p w:rsidR="00AC12B4" w:rsidRPr="00C27636" w:rsidRDefault="00AC12B4">
            <w:pPr>
              <w:rPr>
                <w:sz w:val="24"/>
                <w:szCs w:val="24"/>
                <w:lang w:val="fr-BE"/>
              </w:rPr>
            </w:pPr>
          </w:p>
        </w:tc>
        <w:tc>
          <w:tcPr>
            <w:tcW w:w="1100" w:type="dxa"/>
            <w:gridSpan w:val="3"/>
            <w:vAlign w:val="bottom"/>
          </w:tcPr>
          <w:p w:rsidR="00AC12B4" w:rsidRDefault="00C27636">
            <w:pPr>
              <w:spacing w:line="259" w:lineRule="exact"/>
              <w:ind w:left="140"/>
              <w:rPr>
                <w:sz w:val="20"/>
                <w:szCs w:val="20"/>
              </w:rPr>
            </w:pPr>
            <w:r>
              <w:rPr>
                <w:rFonts w:ascii="Calibri" w:eastAsia="Calibri" w:hAnsi="Calibri" w:cs="Calibri"/>
              </w:rPr>
              <w:t>presque</w:t>
            </w:r>
          </w:p>
        </w:tc>
        <w:tc>
          <w:tcPr>
            <w:tcW w:w="880" w:type="dxa"/>
            <w:gridSpan w:val="2"/>
            <w:vAlign w:val="bottom"/>
          </w:tcPr>
          <w:p w:rsidR="00AC12B4" w:rsidRDefault="00C27636">
            <w:pPr>
              <w:spacing w:line="259" w:lineRule="exact"/>
              <w:ind w:right="51"/>
              <w:jc w:val="right"/>
              <w:rPr>
                <w:sz w:val="20"/>
                <w:szCs w:val="20"/>
              </w:rPr>
            </w:pPr>
            <w:r>
              <w:rPr>
                <w:rFonts w:ascii="Calibri" w:eastAsia="Calibri" w:hAnsi="Calibri" w:cs="Calibri"/>
              </w:rPr>
              <w:t>doublé</w:t>
            </w:r>
          </w:p>
        </w:tc>
        <w:tc>
          <w:tcPr>
            <w:tcW w:w="36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56"/>
        </w:trPr>
        <w:tc>
          <w:tcPr>
            <w:tcW w:w="3100" w:type="dxa"/>
            <w:gridSpan w:val="5"/>
            <w:vAlign w:val="bottom"/>
          </w:tcPr>
          <w:p w:rsidR="00AC12B4" w:rsidRDefault="00C27636">
            <w:pPr>
              <w:spacing w:line="229" w:lineRule="exact"/>
              <w:ind w:left="1460"/>
              <w:rPr>
                <w:sz w:val="20"/>
                <w:szCs w:val="20"/>
              </w:rPr>
            </w:pPr>
            <w:r>
              <w:rPr>
                <w:rFonts w:ascii="Calibri" w:eastAsia="Calibri" w:hAnsi="Calibri" w:cs="Calibri"/>
              </w:rPr>
              <w:lastRenderedPageBreak/>
              <w:t>la qualité de vie</w:t>
            </w:r>
          </w:p>
        </w:tc>
        <w:tc>
          <w:tcPr>
            <w:tcW w:w="160" w:type="dxa"/>
            <w:tcBorders>
              <w:right w:val="single" w:sz="8" w:space="0" w:color="00923D"/>
            </w:tcBorders>
            <w:vAlign w:val="bottom"/>
          </w:tcPr>
          <w:p w:rsidR="00AC12B4" w:rsidRDefault="00AC12B4"/>
        </w:tc>
        <w:tc>
          <w:tcPr>
            <w:tcW w:w="500" w:type="dxa"/>
            <w:vAlign w:val="bottom"/>
          </w:tcPr>
          <w:p w:rsidR="00AC12B4" w:rsidRDefault="00AC12B4"/>
        </w:tc>
        <w:tc>
          <w:tcPr>
            <w:tcW w:w="280" w:type="dxa"/>
            <w:vAlign w:val="bottom"/>
          </w:tcPr>
          <w:p w:rsidR="00AC12B4" w:rsidRDefault="00AC12B4"/>
        </w:tc>
        <w:tc>
          <w:tcPr>
            <w:tcW w:w="3680" w:type="dxa"/>
            <w:gridSpan w:val="9"/>
            <w:vAlign w:val="bottom"/>
          </w:tcPr>
          <w:p w:rsidR="00AC12B4" w:rsidRPr="00C27636" w:rsidRDefault="00C27636">
            <w:pPr>
              <w:spacing w:line="256" w:lineRule="exact"/>
              <w:ind w:left="80"/>
              <w:rPr>
                <w:sz w:val="20"/>
                <w:szCs w:val="20"/>
                <w:lang w:val="fr-BE"/>
              </w:rPr>
            </w:pPr>
            <w:r w:rsidRPr="00C27636">
              <w:rPr>
                <w:rFonts w:ascii="Calibri" w:eastAsia="Calibri" w:hAnsi="Calibri" w:cs="Calibri"/>
                <w:i/>
                <w:iCs/>
                <w:color w:val="005022"/>
                <w:lang w:val="fr-BE"/>
              </w:rPr>
              <w:t>concentrer au travail en raison de mes</w:t>
            </w:r>
          </w:p>
        </w:tc>
        <w:tc>
          <w:tcPr>
            <w:tcW w:w="100" w:type="dxa"/>
            <w:tcBorders>
              <w:right w:val="single" w:sz="8" w:space="0" w:color="00923D"/>
            </w:tcBorders>
            <w:vAlign w:val="bottom"/>
          </w:tcPr>
          <w:p w:rsidR="00AC12B4" w:rsidRPr="00C27636" w:rsidRDefault="00AC12B4">
            <w:pPr>
              <w:rPr>
                <w:lang w:val="fr-BE"/>
              </w:rPr>
            </w:pPr>
          </w:p>
        </w:tc>
        <w:tc>
          <w:tcPr>
            <w:tcW w:w="300" w:type="dxa"/>
            <w:vAlign w:val="bottom"/>
          </w:tcPr>
          <w:p w:rsidR="00AC12B4" w:rsidRPr="00C27636" w:rsidRDefault="00AC12B4">
            <w:pPr>
              <w:rPr>
                <w:lang w:val="fr-BE"/>
              </w:rPr>
            </w:pPr>
          </w:p>
        </w:tc>
        <w:tc>
          <w:tcPr>
            <w:tcW w:w="1980" w:type="dxa"/>
            <w:gridSpan w:val="5"/>
            <w:vAlign w:val="bottom"/>
          </w:tcPr>
          <w:p w:rsidR="00AC12B4" w:rsidRDefault="00C27636">
            <w:pPr>
              <w:spacing w:line="220" w:lineRule="exact"/>
              <w:ind w:right="51"/>
              <w:jc w:val="right"/>
              <w:rPr>
                <w:sz w:val="20"/>
                <w:szCs w:val="20"/>
              </w:rPr>
            </w:pPr>
            <w:r>
              <w:rPr>
                <w:rFonts w:ascii="Calibri" w:eastAsia="Calibri" w:hAnsi="Calibri" w:cs="Calibri"/>
              </w:rPr>
              <w:t>depuis 2003 pour</w:t>
            </w:r>
          </w:p>
        </w:tc>
        <w:tc>
          <w:tcPr>
            <w:tcW w:w="360" w:type="dxa"/>
            <w:vAlign w:val="bottom"/>
          </w:tcPr>
          <w:p w:rsidR="00AC12B4" w:rsidRDefault="00AC12B4"/>
        </w:tc>
        <w:tc>
          <w:tcPr>
            <w:tcW w:w="260" w:type="dxa"/>
            <w:vAlign w:val="bottom"/>
          </w:tcPr>
          <w:p w:rsidR="00AC12B4" w:rsidRDefault="00AC12B4"/>
        </w:tc>
        <w:tc>
          <w:tcPr>
            <w:tcW w:w="0" w:type="dxa"/>
            <w:vAlign w:val="bottom"/>
          </w:tcPr>
          <w:p w:rsidR="00AC12B4" w:rsidRDefault="00AC12B4">
            <w:pPr>
              <w:rPr>
                <w:sz w:val="1"/>
                <w:szCs w:val="1"/>
              </w:rPr>
            </w:pPr>
          </w:p>
        </w:tc>
      </w:tr>
      <w:tr w:rsidR="00AC12B4">
        <w:trPr>
          <w:trHeight w:val="240"/>
        </w:trPr>
        <w:tc>
          <w:tcPr>
            <w:tcW w:w="2280" w:type="dxa"/>
            <w:gridSpan w:val="3"/>
            <w:vAlign w:val="bottom"/>
          </w:tcPr>
          <w:p w:rsidR="00AC12B4" w:rsidRDefault="00C27636">
            <w:pPr>
              <w:spacing w:line="240" w:lineRule="exact"/>
              <w:ind w:left="1460"/>
              <w:rPr>
                <w:sz w:val="20"/>
                <w:szCs w:val="20"/>
              </w:rPr>
            </w:pPr>
            <w:r>
              <w:rPr>
                <w:rFonts w:ascii="Calibri" w:eastAsia="Calibri" w:hAnsi="Calibri" w:cs="Calibri"/>
              </w:rPr>
              <w:t>(ci-après</w:t>
            </w:r>
          </w:p>
        </w:tc>
        <w:tc>
          <w:tcPr>
            <w:tcW w:w="820" w:type="dxa"/>
            <w:gridSpan w:val="2"/>
            <w:vAlign w:val="bottom"/>
          </w:tcPr>
          <w:p w:rsidR="00AC12B4" w:rsidRDefault="00C27636">
            <w:pPr>
              <w:spacing w:line="240" w:lineRule="exact"/>
              <w:jc w:val="right"/>
              <w:rPr>
                <w:sz w:val="20"/>
                <w:szCs w:val="20"/>
              </w:rPr>
            </w:pPr>
            <w:r>
              <w:rPr>
                <w:rFonts w:ascii="Calibri" w:eastAsia="Calibri" w:hAnsi="Calibri" w:cs="Calibri"/>
              </w:rPr>
              <w:t>EQLS)</w:t>
            </w:r>
          </w:p>
        </w:tc>
        <w:tc>
          <w:tcPr>
            <w:tcW w:w="160" w:type="dxa"/>
            <w:tcBorders>
              <w:right w:val="single" w:sz="8" w:space="0" w:color="00923D"/>
            </w:tcBorders>
            <w:vAlign w:val="bottom"/>
          </w:tcPr>
          <w:p w:rsidR="00AC12B4" w:rsidRDefault="00AC12B4">
            <w:pPr>
              <w:rPr>
                <w:sz w:val="20"/>
                <w:szCs w:val="20"/>
              </w:rPr>
            </w:pPr>
          </w:p>
        </w:tc>
        <w:tc>
          <w:tcPr>
            <w:tcW w:w="500" w:type="dxa"/>
            <w:vAlign w:val="bottom"/>
          </w:tcPr>
          <w:p w:rsidR="00AC12B4" w:rsidRDefault="00AC12B4">
            <w:pPr>
              <w:rPr>
                <w:sz w:val="20"/>
                <w:szCs w:val="20"/>
              </w:rPr>
            </w:pPr>
          </w:p>
        </w:tc>
        <w:tc>
          <w:tcPr>
            <w:tcW w:w="280" w:type="dxa"/>
            <w:vAlign w:val="bottom"/>
          </w:tcPr>
          <w:p w:rsidR="00AC12B4" w:rsidRDefault="00AC12B4">
            <w:pPr>
              <w:rPr>
                <w:sz w:val="20"/>
                <w:szCs w:val="20"/>
              </w:rPr>
            </w:pPr>
          </w:p>
        </w:tc>
        <w:tc>
          <w:tcPr>
            <w:tcW w:w="2000" w:type="dxa"/>
            <w:gridSpan w:val="4"/>
            <w:vMerge w:val="restart"/>
            <w:vAlign w:val="bottom"/>
          </w:tcPr>
          <w:p w:rsidR="00AC12B4" w:rsidRDefault="00C27636">
            <w:pPr>
              <w:ind w:left="80"/>
              <w:rPr>
                <w:sz w:val="20"/>
                <w:szCs w:val="20"/>
              </w:rPr>
            </w:pPr>
            <w:r>
              <w:rPr>
                <w:rFonts w:ascii="Calibri" w:eastAsia="Calibri" w:hAnsi="Calibri" w:cs="Calibri"/>
                <w:i/>
                <w:iCs/>
                <w:color w:val="005022"/>
              </w:rPr>
              <w:t xml:space="preserve">obligations </w:t>
            </w:r>
            <w:r>
              <w:rPr>
                <w:rFonts w:ascii="Calibri" w:eastAsia="Calibri" w:hAnsi="Calibri" w:cs="Calibri"/>
                <w:i/>
                <w:iCs/>
                <w:color w:val="005022"/>
              </w:rPr>
              <w:t>familiales</w:t>
            </w:r>
          </w:p>
        </w:tc>
        <w:tc>
          <w:tcPr>
            <w:tcW w:w="30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160" w:type="dxa"/>
            <w:vAlign w:val="bottom"/>
          </w:tcPr>
          <w:p w:rsidR="00AC12B4" w:rsidRDefault="00AC12B4">
            <w:pPr>
              <w:rPr>
                <w:sz w:val="20"/>
                <w:szCs w:val="20"/>
              </w:rPr>
            </w:pPr>
          </w:p>
        </w:tc>
        <w:tc>
          <w:tcPr>
            <w:tcW w:w="340" w:type="dxa"/>
            <w:vAlign w:val="bottom"/>
          </w:tcPr>
          <w:p w:rsidR="00AC12B4" w:rsidRDefault="00AC12B4">
            <w:pPr>
              <w:rPr>
                <w:sz w:val="20"/>
                <w:szCs w:val="20"/>
              </w:rPr>
            </w:pPr>
          </w:p>
        </w:tc>
        <w:tc>
          <w:tcPr>
            <w:tcW w:w="700" w:type="dxa"/>
            <w:vAlign w:val="bottom"/>
          </w:tcPr>
          <w:p w:rsidR="00AC12B4" w:rsidRDefault="00AC12B4">
            <w:pPr>
              <w:rPr>
                <w:sz w:val="20"/>
                <w:szCs w:val="20"/>
              </w:rPr>
            </w:pPr>
          </w:p>
        </w:tc>
        <w:tc>
          <w:tcPr>
            <w:tcW w:w="100" w:type="dxa"/>
            <w:tcBorders>
              <w:right w:val="single" w:sz="8" w:space="0" w:color="00923D"/>
            </w:tcBorders>
            <w:vAlign w:val="bottom"/>
          </w:tcPr>
          <w:p w:rsidR="00AC12B4" w:rsidRDefault="00AC12B4">
            <w:pPr>
              <w:rPr>
                <w:sz w:val="20"/>
                <w:szCs w:val="20"/>
              </w:rPr>
            </w:pPr>
          </w:p>
        </w:tc>
        <w:tc>
          <w:tcPr>
            <w:tcW w:w="300" w:type="dxa"/>
            <w:vAlign w:val="bottom"/>
          </w:tcPr>
          <w:p w:rsidR="00AC12B4" w:rsidRDefault="00AC12B4">
            <w:pPr>
              <w:rPr>
                <w:sz w:val="20"/>
                <w:szCs w:val="20"/>
              </w:rPr>
            </w:pPr>
          </w:p>
        </w:tc>
        <w:tc>
          <w:tcPr>
            <w:tcW w:w="620" w:type="dxa"/>
            <w:gridSpan w:val="2"/>
            <w:vAlign w:val="bottom"/>
          </w:tcPr>
          <w:p w:rsidR="00AC12B4" w:rsidRDefault="00C27636">
            <w:pPr>
              <w:spacing w:line="232" w:lineRule="exact"/>
              <w:ind w:left="140"/>
              <w:rPr>
                <w:sz w:val="20"/>
                <w:szCs w:val="20"/>
              </w:rPr>
            </w:pPr>
            <w:r>
              <w:rPr>
                <w:rFonts w:ascii="Calibri" w:eastAsia="Calibri" w:hAnsi="Calibri" w:cs="Calibri"/>
              </w:rPr>
              <w:t>les</w:t>
            </w:r>
          </w:p>
        </w:tc>
        <w:tc>
          <w:tcPr>
            <w:tcW w:w="840" w:type="dxa"/>
            <w:gridSpan w:val="2"/>
            <w:vAlign w:val="bottom"/>
          </w:tcPr>
          <w:p w:rsidR="00AC12B4" w:rsidRDefault="00C27636">
            <w:pPr>
              <w:spacing w:line="232" w:lineRule="exact"/>
              <w:ind w:right="15"/>
              <w:jc w:val="center"/>
              <w:rPr>
                <w:sz w:val="20"/>
                <w:szCs w:val="20"/>
              </w:rPr>
            </w:pPr>
            <w:r>
              <w:rPr>
                <w:rFonts w:ascii="Calibri" w:eastAsia="Calibri" w:hAnsi="Calibri" w:cs="Calibri"/>
              </w:rPr>
              <w:t>revenus</w:t>
            </w:r>
          </w:p>
        </w:tc>
        <w:tc>
          <w:tcPr>
            <w:tcW w:w="520" w:type="dxa"/>
            <w:vAlign w:val="bottom"/>
          </w:tcPr>
          <w:p w:rsidR="00AC12B4" w:rsidRDefault="00C27636">
            <w:pPr>
              <w:spacing w:line="232" w:lineRule="exact"/>
              <w:ind w:right="51"/>
              <w:jc w:val="right"/>
              <w:rPr>
                <w:sz w:val="20"/>
                <w:szCs w:val="20"/>
              </w:rPr>
            </w:pPr>
            <w:r>
              <w:rPr>
                <w:rFonts w:ascii="Calibri" w:eastAsia="Calibri" w:hAnsi="Calibri" w:cs="Calibri"/>
              </w:rPr>
              <w:t>les</w:t>
            </w:r>
          </w:p>
        </w:tc>
        <w:tc>
          <w:tcPr>
            <w:tcW w:w="360" w:type="dxa"/>
            <w:vAlign w:val="bottom"/>
          </w:tcPr>
          <w:p w:rsidR="00AC12B4" w:rsidRDefault="00AC12B4">
            <w:pPr>
              <w:rPr>
                <w:sz w:val="20"/>
                <w:szCs w:val="20"/>
              </w:rPr>
            </w:pPr>
          </w:p>
        </w:tc>
        <w:tc>
          <w:tcPr>
            <w:tcW w:w="26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72"/>
        </w:trPr>
        <w:tc>
          <w:tcPr>
            <w:tcW w:w="1820" w:type="dxa"/>
            <w:vAlign w:val="bottom"/>
          </w:tcPr>
          <w:p w:rsidR="00AC12B4" w:rsidRDefault="00AC12B4">
            <w:pPr>
              <w:rPr>
                <w:sz w:val="6"/>
                <w:szCs w:val="6"/>
              </w:rPr>
            </w:pPr>
          </w:p>
        </w:tc>
        <w:tc>
          <w:tcPr>
            <w:tcW w:w="22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160" w:type="dxa"/>
            <w:tcBorders>
              <w:right w:val="single" w:sz="8" w:space="0" w:color="00923D"/>
            </w:tcBorders>
            <w:vAlign w:val="bottom"/>
          </w:tcPr>
          <w:p w:rsidR="00AC12B4" w:rsidRDefault="00AC12B4">
            <w:pPr>
              <w:rPr>
                <w:sz w:val="6"/>
                <w:szCs w:val="6"/>
              </w:rPr>
            </w:pPr>
          </w:p>
        </w:tc>
        <w:tc>
          <w:tcPr>
            <w:tcW w:w="500" w:type="dxa"/>
            <w:vAlign w:val="bottom"/>
          </w:tcPr>
          <w:p w:rsidR="00AC12B4" w:rsidRDefault="00AC12B4">
            <w:pPr>
              <w:rPr>
                <w:sz w:val="6"/>
                <w:szCs w:val="6"/>
              </w:rPr>
            </w:pPr>
          </w:p>
        </w:tc>
        <w:tc>
          <w:tcPr>
            <w:tcW w:w="280" w:type="dxa"/>
            <w:vAlign w:val="bottom"/>
          </w:tcPr>
          <w:p w:rsidR="00AC12B4" w:rsidRDefault="00AC12B4">
            <w:pPr>
              <w:rPr>
                <w:sz w:val="6"/>
                <w:szCs w:val="6"/>
              </w:rPr>
            </w:pPr>
          </w:p>
        </w:tc>
        <w:tc>
          <w:tcPr>
            <w:tcW w:w="2000" w:type="dxa"/>
            <w:gridSpan w:val="4"/>
            <w:vMerge/>
            <w:vAlign w:val="bottom"/>
          </w:tcPr>
          <w:p w:rsidR="00AC12B4" w:rsidRDefault="00AC12B4">
            <w:pPr>
              <w:rPr>
                <w:sz w:val="6"/>
                <w:szCs w:val="6"/>
              </w:rPr>
            </w:pPr>
          </w:p>
        </w:tc>
        <w:tc>
          <w:tcPr>
            <w:tcW w:w="30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160" w:type="dxa"/>
            <w:vAlign w:val="bottom"/>
          </w:tcPr>
          <w:p w:rsidR="00AC12B4" w:rsidRDefault="00AC12B4">
            <w:pPr>
              <w:rPr>
                <w:sz w:val="6"/>
                <w:szCs w:val="6"/>
              </w:rPr>
            </w:pPr>
          </w:p>
        </w:tc>
        <w:tc>
          <w:tcPr>
            <w:tcW w:w="340" w:type="dxa"/>
            <w:vAlign w:val="bottom"/>
          </w:tcPr>
          <w:p w:rsidR="00AC12B4" w:rsidRDefault="00AC12B4">
            <w:pPr>
              <w:rPr>
                <w:sz w:val="6"/>
                <w:szCs w:val="6"/>
              </w:rPr>
            </w:pPr>
          </w:p>
        </w:tc>
        <w:tc>
          <w:tcPr>
            <w:tcW w:w="700" w:type="dxa"/>
            <w:vAlign w:val="bottom"/>
          </w:tcPr>
          <w:p w:rsidR="00AC12B4" w:rsidRDefault="00AC12B4">
            <w:pPr>
              <w:rPr>
                <w:sz w:val="6"/>
                <w:szCs w:val="6"/>
              </w:rPr>
            </w:pPr>
          </w:p>
        </w:tc>
        <w:tc>
          <w:tcPr>
            <w:tcW w:w="100" w:type="dxa"/>
            <w:tcBorders>
              <w:right w:val="single" w:sz="8" w:space="0" w:color="00923D"/>
            </w:tcBorders>
            <w:vAlign w:val="bottom"/>
          </w:tcPr>
          <w:p w:rsidR="00AC12B4" w:rsidRDefault="00AC12B4">
            <w:pPr>
              <w:rPr>
                <w:sz w:val="6"/>
                <w:szCs w:val="6"/>
              </w:rPr>
            </w:pPr>
          </w:p>
        </w:tc>
        <w:tc>
          <w:tcPr>
            <w:tcW w:w="300" w:type="dxa"/>
            <w:vAlign w:val="bottom"/>
          </w:tcPr>
          <w:p w:rsidR="00AC12B4" w:rsidRDefault="00AC12B4">
            <w:pPr>
              <w:rPr>
                <w:sz w:val="6"/>
                <w:szCs w:val="6"/>
              </w:rPr>
            </w:pPr>
          </w:p>
        </w:tc>
        <w:tc>
          <w:tcPr>
            <w:tcW w:w="38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360" w:type="dxa"/>
            <w:vAlign w:val="bottom"/>
          </w:tcPr>
          <w:p w:rsidR="00AC12B4" w:rsidRDefault="00AC12B4">
            <w:pPr>
              <w:rPr>
                <w:sz w:val="6"/>
                <w:szCs w:val="6"/>
              </w:rPr>
            </w:pPr>
          </w:p>
        </w:tc>
        <w:tc>
          <w:tcPr>
            <w:tcW w:w="520" w:type="dxa"/>
            <w:vAlign w:val="bottom"/>
          </w:tcPr>
          <w:p w:rsidR="00AC12B4" w:rsidRDefault="00AC12B4">
            <w:pPr>
              <w:rPr>
                <w:sz w:val="6"/>
                <w:szCs w:val="6"/>
              </w:rPr>
            </w:pPr>
          </w:p>
        </w:tc>
        <w:tc>
          <w:tcPr>
            <w:tcW w:w="360" w:type="dxa"/>
            <w:vAlign w:val="bottom"/>
          </w:tcPr>
          <w:p w:rsidR="00AC12B4" w:rsidRDefault="00AC12B4">
            <w:pPr>
              <w:rPr>
                <w:sz w:val="6"/>
                <w:szCs w:val="6"/>
              </w:rPr>
            </w:pPr>
          </w:p>
        </w:tc>
        <w:tc>
          <w:tcPr>
            <w:tcW w:w="26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175"/>
        </w:trPr>
        <w:tc>
          <w:tcPr>
            <w:tcW w:w="1820" w:type="dxa"/>
            <w:vAlign w:val="bottom"/>
          </w:tcPr>
          <w:p w:rsidR="00AC12B4" w:rsidRDefault="00AC12B4">
            <w:pPr>
              <w:rPr>
                <w:sz w:val="15"/>
                <w:szCs w:val="15"/>
              </w:rPr>
            </w:pPr>
          </w:p>
        </w:tc>
        <w:tc>
          <w:tcPr>
            <w:tcW w:w="220" w:type="dxa"/>
            <w:vAlign w:val="bottom"/>
          </w:tcPr>
          <w:p w:rsidR="00AC12B4" w:rsidRDefault="00AC12B4">
            <w:pPr>
              <w:rPr>
                <w:sz w:val="15"/>
                <w:szCs w:val="15"/>
              </w:rPr>
            </w:pPr>
          </w:p>
        </w:tc>
        <w:tc>
          <w:tcPr>
            <w:tcW w:w="240" w:type="dxa"/>
            <w:vAlign w:val="bottom"/>
          </w:tcPr>
          <w:p w:rsidR="00AC12B4" w:rsidRDefault="00AC12B4">
            <w:pPr>
              <w:rPr>
                <w:sz w:val="15"/>
                <w:szCs w:val="15"/>
              </w:rPr>
            </w:pPr>
          </w:p>
        </w:tc>
        <w:tc>
          <w:tcPr>
            <w:tcW w:w="340" w:type="dxa"/>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160" w:type="dxa"/>
            <w:tcBorders>
              <w:right w:val="single" w:sz="8" w:space="0" w:color="00923D"/>
            </w:tcBorders>
            <w:vAlign w:val="bottom"/>
          </w:tcPr>
          <w:p w:rsidR="00AC12B4" w:rsidRDefault="00AC12B4">
            <w:pPr>
              <w:rPr>
                <w:sz w:val="15"/>
                <w:szCs w:val="15"/>
              </w:rPr>
            </w:pPr>
          </w:p>
        </w:tc>
        <w:tc>
          <w:tcPr>
            <w:tcW w:w="500" w:type="dxa"/>
            <w:tcBorders>
              <w:bottom w:val="single" w:sz="8" w:space="0" w:color="00923D"/>
            </w:tcBorders>
            <w:vAlign w:val="bottom"/>
          </w:tcPr>
          <w:p w:rsidR="00AC12B4" w:rsidRDefault="00AC12B4">
            <w:pPr>
              <w:rPr>
                <w:sz w:val="15"/>
                <w:szCs w:val="15"/>
              </w:rPr>
            </w:pPr>
          </w:p>
        </w:tc>
        <w:tc>
          <w:tcPr>
            <w:tcW w:w="280" w:type="dxa"/>
            <w:tcBorders>
              <w:bottom w:val="single" w:sz="8" w:space="0" w:color="00923D"/>
            </w:tcBorders>
            <w:vAlign w:val="bottom"/>
          </w:tcPr>
          <w:p w:rsidR="00AC12B4" w:rsidRDefault="00AC12B4">
            <w:pPr>
              <w:rPr>
                <w:sz w:val="15"/>
                <w:szCs w:val="15"/>
              </w:rPr>
            </w:pPr>
          </w:p>
        </w:tc>
        <w:tc>
          <w:tcPr>
            <w:tcW w:w="260" w:type="dxa"/>
            <w:tcBorders>
              <w:bottom w:val="single" w:sz="8" w:space="0" w:color="00923D"/>
            </w:tcBorders>
            <w:vAlign w:val="bottom"/>
          </w:tcPr>
          <w:p w:rsidR="00AC12B4" w:rsidRDefault="00AC12B4">
            <w:pPr>
              <w:rPr>
                <w:sz w:val="15"/>
                <w:szCs w:val="15"/>
              </w:rPr>
            </w:pPr>
          </w:p>
        </w:tc>
        <w:tc>
          <w:tcPr>
            <w:tcW w:w="700" w:type="dxa"/>
            <w:tcBorders>
              <w:bottom w:val="single" w:sz="8" w:space="0" w:color="00923D"/>
            </w:tcBorders>
            <w:vAlign w:val="bottom"/>
          </w:tcPr>
          <w:p w:rsidR="00AC12B4" w:rsidRDefault="00AC12B4">
            <w:pPr>
              <w:rPr>
                <w:sz w:val="15"/>
                <w:szCs w:val="15"/>
              </w:rPr>
            </w:pPr>
          </w:p>
        </w:tc>
        <w:tc>
          <w:tcPr>
            <w:tcW w:w="180" w:type="dxa"/>
            <w:tcBorders>
              <w:bottom w:val="single" w:sz="8" w:space="0" w:color="00923D"/>
            </w:tcBorders>
            <w:vAlign w:val="bottom"/>
          </w:tcPr>
          <w:p w:rsidR="00AC12B4" w:rsidRDefault="00AC12B4">
            <w:pPr>
              <w:rPr>
                <w:sz w:val="15"/>
                <w:szCs w:val="15"/>
              </w:rPr>
            </w:pPr>
          </w:p>
        </w:tc>
        <w:tc>
          <w:tcPr>
            <w:tcW w:w="860" w:type="dxa"/>
            <w:tcBorders>
              <w:bottom w:val="single" w:sz="8" w:space="0" w:color="00923D"/>
            </w:tcBorders>
            <w:vAlign w:val="bottom"/>
          </w:tcPr>
          <w:p w:rsidR="00AC12B4" w:rsidRDefault="00AC12B4">
            <w:pPr>
              <w:rPr>
                <w:sz w:val="15"/>
                <w:szCs w:val="15"/>
              </w:rPr>
            </w:pPr>
          </w:p>
        </w:tc>
        <w:tc>
          <w:tcPr>
            <w:tcW w:w="300" w:type="dxa"/>
            <w:tcBorders>
              <w:bottom w:val="single" w:sz="8" w:space="0" w:color="00923D"/>
            </w:tcBorders>
            <w:vAlign w:val="bottom"/>
          </w:tcPr>
          <w:p w:rsidR="00AC12B4" w:rsidRDefault="00AC12B4">
            <w:pPr>
              <w:rPr>
                <w:sz w:val="15"/>
                <w:szCs w:val="15"/>
              </w:rPr>
            </w:pPr>
          </w:p>
        </w:tc>
        <w:tc>
          <w:tcPr>
            <w:tcW w:w="180" w:type="dxa"/>
            <w:tcBorders>
              <w:bottom w:val="single" w:sz="8" w:space="0" w:color="00923D"/>
            </w:tcBorders>
            <w:vAlign w:val="bottom"/>
          </w:tcPr>
          <w:p w:rsidR="00AC12B4" w:rsidRDefault="00AC12B4">
            <w:pPr>
              <w:rPr>
                <w:sz w:val="15"/>
                <w:szCs w:val="15"/>
              </w:rPr>
            </w:pPr>
          </w:p>
        </w:tc>
        <w:tc>
          <w:tcPr>
            <w:tcW w:w="160" w:type="dxa"/>
            <w:tcBorders>
              <w:bottom w:val="single" w:sz="8" w:space="0" w:color="00923D"/>
            </w:tcBorders>
            <w:vAlign w:val="bottom"/>
          </w:tcPr>
          <w:p w:rsidR="00AC12B4" w:rsidRDefault="00AC12B4">
            <w:pPr>
              <w:rPr>
                <w:sz w:val="15"/>
                <w:szCs w:val="15"/>
              </w:rPr>
            </w:pPr>
          </w:p>
        </w:tc>
        <w:tc>
          <w:tcPr>
            <w:tcW w:w="340" w:type="dxa"/>
            <w:tcBorders>
              <w:bottom w:val="single" w:sz="8" w:space="0" w:color="00923D"/>
            </w:tcBorders>
            <w:vAlign w:val="bottom"/>
          </w:tcPr>
          <w:p w:rsidR="00AC12B4" w:rsidRDefault="00AC12B4">
            <w:pPr>
              <w:rPr>
                <w:sz w:val="15"/>
                <w:szCs w:val="15"/>
              </w:rPr>
            </w:pPr>
          </w:p>
        </w:tc>
        <w:tc>
          <w:tcPr>
            <w:tcW w:w="700" w:type="dxa"/>
            <w:tcBorders>
              <w:bottom w:val="single" w:sz="8" w:space="0" w:color="00923D"/>
            </w:tcBorders>
            <w:vAlign w:val="bottom"/>
          </w:tcPr>
          <w:p w:rsidR="00AC12B4" w:rsidRDefault="00AC12B4">
            <w:pPr>
              <w:rPr>
                <w:sz w:val="15"/>
                <w:szCs w:val="15"/>
              </w:rPr>
            </w:pPr>
          </w:p>
        </w:tc>
        <w:tc>
          <w:tcPr>
            <w:tcW w:w="100" w:type="dxa"/>
            <w:tcBorders>
              <w:bottom w:val="single" w:sz="8" w:space="0" w:color="00923D"/>
              <w:right w:val="single" w:sz="8" w:space="0" w:color="00923D"/>
            </w:tcBorders>
            <w:vAlign w:val="bottom"/>
          </w:tcPr>
          <w:p w:rsidR="00AC12B4" w:rsidRDefault="00AC12B4">
            <w:pPr>
              <w:rPr>
                <w:sz w:val="15"/>
                <w:szCs w:val="15"/>
              </w:rPr>
            </w:pPr>
          </w:p>
        </w:tc>
        <w:tc>
          <w:tcPr>
            <w:tcW w:w="300" w:type="dxa"/>
            <w:vAlign w:val="bottom"/>
          </w:tcPr>
          <w:p w:rsidR="00AC12B4" w:rsidRDefault="00AC12B4">
            <w:pPr>
              <w:rPr>
                <w:sz w:val="15"/>
                <w:szCs w:val="15"/>
              </w:rPr>
            </w:pPr>
          </w:p>
        </w:tc>
        <w:tc>
          <w:tcPr>
            <w:tcW w:w="380" w:type="dxa"/>
            <w:vAlign w:val="bottom"/>
          </w:tcPr>
          <w:p w:rsidR="00AC12B4" w:rsidRDefault="00AC12B4">
            <w:pPr>
              <w:rPr>
                <w:sz w:val="15"/>
                <w:szCs w:val="15"/>
              </w:rPr>
            </w:pPr>
          </w:p>
        </w:tc>
        <w:tc>
          <w:tcPr>
            <w:tcW w:w="240" w:type="dxa"/>
            <w:vAlign w:val="bottom"/>
          </w:tcPr>
          <w:p w:rsidR="00AC12B4" w:rsidRDefault="00AC12B4">
            <w:pPr>
              <w:rPr>
                <w:sz w:val="15"/>
                <w:szCs w:val="15"/>
              </w:rPr>
            </w:pPr>
          </w:p>
        </w:tc>
        <w:tc>
          <w:tcPr>
            <w:tcW w:w="480" w:type="dxa"/>
            <w:vAlign w:val="bottom"/>
          </w:tcPr>
          <w:p w:rsidR="00AC12B4" w:rsidRDefault="00AC12B4">
            <w:pPr>
              <w:rPr>
                <w:sz w:val="15"/>
                <w:szCs w:val="15"/>
              </w:rPr>
            </w:pPr>
          </w:p>
        </w:tc>
        <w:tc>
          <w:tcPr>
            <w:tcW w:w="360" w:type="dxa"/>
            <w:vAlign w:val="bottom"/>
          </w:tcPr>
          <w:p w:rsidR="00AC12B4" w:rsidRDefault="00AC12B4">
            <w:pPr>
              <w:rPr>
                <w:sz w:val="15"/>
                <w:szCs w:val="15"/>
              </w:rPr>
            </w:pPr>
          </w:p>
        </w:tc>
        <w:tc>
          <w:tcPr>
            <w:tcW w:w="520" w:type="dxa"/>
            <w:vAlign w:val="bottom"/>
          </w:tcPr>
          <w:p w:rsidR="00AC12B4" w:rsidRDefault="00AC12B4">
            <w:pPr>
              <w:rPr>
                <w:sz w:val="15"/>
                <w:szCs w:val="15"/>
              </w:rPr>
            </w:pPr>
          </w:p>
        </w:tc>
        <w:tc>
          <w:tcPr>
            <w:tcW w:w="360" w:type="dxa"/>
            <w:vAlign w:val="bottom"/>
          </w:tcPr>
          <w:p w:rsidR="00AC12B4" w:rsidRDefault="00AC12B4">
            <w:pPr>
              <w:rPr>
                <w:sz w:val="15"/>
                <w:szCs w:val="15"/>
              </w:rPr>
            </w:pPr>
          </w:p>
        </w:tc>
        <w:tc>
          <w:tcPr>
            <w:tcW w:w="260" w:type="dxa"/>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321"/>
        </w:trPr>
        <w:tc>
          <w:tcPr>
            <w:tcW w:w="1820" w:type="dxa"/>
            <w:vAlign w:val="bottom"/>
          </w:tcPr>
          <w:p w:rsidR="00AC12B4" w:rsidRDefault="00AC12B4">
            <w:pPr>
              <w:rPr>
                <w:sz w:val="24"/>
                <w:szCs w:val="24"/>
              </w:rPr>
            </w:pPr>
          </w:p>
        </w:tc>
        <w:tc>
          <w:tcPr>
            <w:tcW w:w="22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7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860" w:type="dxa"/>
            <w:vAlign w:val="bottom"/>
          </w:tcPr>
          <w:p w:rsidR="00AC12B4" w:rsidRDefault="00C27636">
            <w:pPr>
              <w:ind w:right="70"/>
              <w:jc w:val="right"/>
              <w:rPr>
                <w:sz w:val="20"/>
                <w:szCs w:val="20"/>
              </w:rPr>
            </w:pPr>
            <w:r>
              <w:rPr>
                <w:rFonts w:ascii="Calibri" w:eastAsia="Calibri" w:hAnsi="Calibri" w:cs="Calibri"/>
              </w:rPr>
              <w:t>159</w:t>
            </w:r>
          </w:p>
        </w:tc>
        <w:tc>
          <w:tcPr>
            <w:tcW w:w="3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16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700" w:type="dxa"/>
            <w:vAlign w:val="bottom"/>
          </w:tcPr>
          <w:p w:rsidR="00AC12B4" w:rsidRDefault="00AC12B4">
            <w:pPr>
              <w:rPr>
                <w:sz w:val="24"/>
                <w:szCs w:val="24"/>
              </w:rPr>
            </w:pPr>
          </w:p>
        </w:tc>
        <w:tc>
          <w:tcPr>
            <w:tcW w:w="10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48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26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 respect de la vie familiale</w:t>
            </w:r>
          </w:p>
        </w:tc>
      </w:tr>
    </w:tbl>
    <w:p w:rsidR="00AC12B4" w:rsidRPr="00C27636" w:rsidRDefault="00AC12B4">
      <w:pPr>
        <w:rPr>
          <w:lang w:val="fr-BE"/>
        </w:rPr>
        <w:sectPr w:rsidR="00AC12B4" w:rsidRPr="00C27636">
          <w:pgSz w:w="12080" w:h="17179"/>
          <w:pgMar w:top="1440" w:right="487" w:bottom="659" w:left="540" w:header="0" w:footer="0" w:gutter="0"/>
          <w:cols w:num="2" w:space="720" w:equalWidth="0">
            <w:col w:w="10720" w:space="0"/>
            <w:col w:w="330"/>
          </w:cols>
        </w:sectPr>
      </w:pPr>
    </w:p>
    <w:p w:rsidR="00AC12B4" w:rsidRPr="00C27636" w:rsidRDefault="00C27636">
      <w:pPr>
        <w:spacing w:line="163" w:lineRule="exact"/>
        <w:rPr>
          <w:sz w:val="20"/>
          <w:szCs w:val="20"/>
          <w:lang w:val="fr-BE"/>
        </w:rPr>
      </w:pPr>
      <w:bookmarkStart w:id="159" w:name="page160"/>
      <w:bookmarkEnd w:id="159"/>
      <w:r>
        <w:rPr>
          <w:noProof/>
          <w:sz w:val="20"/>
          <w:szCs w:val="20"/>
        </w:rPr>
        <w:lastRenderedPageBreak/>
        <w:drawing>
          <wp:anchor distT="0" distB="0" distL="114300" distR="114300" simplePos="0" relativeHeight="251798016" behindDoc="1" locked="0" layoutInCell="0" allowOverlap="1">
            <wp:simplePos x="0" y="0"/>
            <wp:positionH relativeFrom="page">
              <wp:posOffset>0</wp:posOffset>
            </wp:positionH>
            <wp:positionV relativeFrom="page">
              <wp:posOffset>0</wp:posOffset>
            </wp:positionV>
            <wp:extent cx="777240" cy="10908665"/>
            <wp:effectExtent l="0" t="0" r="0" b="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268">
                      <a:clrChange>
                        <a:clrFrom>
                          <a:srgbClr val="FFFFFF"/>
                        </a:clrFrom>
                        <a:clrTo>
                          <a:srgbClr val="FFFFFF">
                            <a:alpha val="0"/>
                          </a:srgbClr>
                        </a:clrTo>
                      </a:clrChange>
                      <a:extLst/>
                    </a:blip>
                    <a:srcRect/>
                    <a:stretch>
                      <a:fillRect/>
                    </a:stretch>
                  </pic:blipFill>
                  <pic:spPr bwMode="auto">
                    <a:xfrm>
                      <a:off x="0" y="0"/>
                      <a:ext cx="777240" cy="10908665"/>
                    </a:xfrm>
                    <a:prstGeom prst="rect">
                      <a:avLst/>
                    </a:prstGeom>
                    <a:noFill/>
                  </pic:spPr>
                </pic:pic>
              </a:graphicData>
            </a:graphic>
          </wp:anchor>
        </w:drawing>
      </w:r>
    </w:p>
    <w:tbl>
      <w:tblPr>
        <w:tblW w:w="0" w:type="auto"/>
        <w:tblInd w:w="986" w:type="dxa"/>
        <w:tblLayout w:type="fixed"/>
        <w:tblCellMar>
          <w:left w:w="0" w:type="dxa"/>
          <w:right w:w="0" w:type="dxa"/>
        </w:tblCellMar>
        <w:tblLook w:val="04A0" w:firstRow="1" w:lastRow="0" w:firstColumn="1" w:lastColumn="0" w:noHBand="0" w:noVBand="1"/>
      </w:tblPr>
      <w:tblGrid>
        <w:gridCol w:w="560"/>
        <w:gridCol w:w="440"/>
        <w:gridCol w:w="80"/>
        <w:gridCol w:w="1200"/>
        <w:gridCol w:w="20"/>
        <w:gridCol w:w="1180"/>
        <w:gridCol w:w="20"/>
        <w:gridCol w:w="980"/>
        <w:gridCol w:w="220"/>
        <w:gridCol w:w="20"/>
        <w:gridCol w:w="1080"/>
        <w:gridCol w:w="120"/>
        <w:gridCol w:w="20"/>
        <w:gridCol w:w="900"/>
        <w:gridCol w:w="300"/>
        <w:gridCol w:w="20"/>
        <w:gridCol w:w="180"/>
        <w:gridCol w:w="140"/>
        <w:gridCol w:w="100"/>
        <w:gridCol w:w="1240"/>
        <w:gridCol w:w="30"/>
      </w:tblGrid>
      <w:tr w:rsidR="00AC12B4">
        <w:trPr>
          <w:trHeight w:val="269"/>
        </w:trPr>
        <w:tc>
          <w:tcPr>
            <w:tcW w:w="4480" w:type="dxa"/>
            <w:gridSpan w:val="8"/>
            <w:vAlign w:val="bottom"/>
          </w:tcPr>
          <w:p w:rsidR="00AC12B4" w:rsidRPr="00C27636" w:rsidRDefault="00C27636">
            <w:pPr>
              <w:rPr>
                <w:sz w:val="20"/>
                <w:szCs w:val="20"/>
                <w:lang w:val="fr-BE"/>
              </w:rPr>
            </w:pPr>
            <w:r w:rsidRPr="00C27636">
              <w:rPr>
                <w:rFonts w:ascii="Calibri" w:eastAsia="Calibri" w:hAnsi="Calibri" w:cs="Calibri"/>
                <w:lang w:val="fr-BE"/>
              </w:rPr>
              <w:t>plus modestes</w:t>
            </w:r>
            <w:r w:rsidRPr="00C27636">
              <w:rPr>
                <w:rFonts w:ascii="Calibri" w:eastAsia="Calibri" w:hAnsi="Calibri" w:cs="Calibri"/>
                <w:lang w:val="fr-BE"/>
              </w:rPr>
              <w:t xml:space="preserve"> ( 25.6% en 2003) alors que</w:t>
            </w:r>
          </w:p>
        </w:tc>
        <w:tc>
          <w:tcPr>
            <w:tcW w:w="1320" w:type="dxa"/>
            <w:gridSpan w:val="3"/>
            <w:vAlign w:val="bottom"/>
          </w:tcPr>
          <w:p w:rsidR="00AC12B4" w:rsidRDefault="00C27636">
            <w:pPr>
              <w:ind w:left="100"/>
              <w:rPr>
                <w:sz w:val="20"/>
                <w:szCs w:val="20"/>
              </w:rPr>
            </w:pPr>
            <w:r>
              <w:rPr>
                <w:rFonts w:ascii="Calibri" w:eastAsia="Calibri" w:hAnsi="Calibri" w:cs="Calibri"/>
              </w:rPr>
              <w:t>Eurofound</w:t>
            </w:r>
          </w:p>
        </w:tc>
        <w:tc>
          <w:tcPr>
            <w:tcW w:w="1040" w:type="dxa"/>
            <w:gridSpan w:val="3"/>
            <w:vAlign w:val="bottom"/>
          </w:tcPr>
          <w:p w:rsidR="00AC12B4" w:rsidRDefault="00C27636">
            <w:pPr>
              <w:ind w:left="120"/>
              <w:rPr>
                <w:sz w:val="20"/>
                <w:szCs w:val="20"/>
              </w:rPr>
            </w:pPr>
            <w:r>
              <w:rPr>
                <w:rFonts w:ascii="Calibri" w:eastAsia="Calibri" w:hAnsi="Calibri" w:cs="Calibri"/>
              </w:rPr>
              <w:t>réalise</w:t>
            </w:r>
          </w:p>
        </w:tc>
        <w:tc>
          <w:tcPr>
            <w:tcW w:w="500" w:type="dxa"/>
            <w:gridSpan w:val="3"/>
            <w:vAlign w:val="bottom"/>
          </w:tcPr>
          <w:p w:rsidR="00AC12B4" w:rsidRDefault="00C27636">
            <w:pPr>
              <w:ind w:left="40"/>
              <w:rPr>
                <w:sz w:val="20"/>
                <w:szCs w:val="20"/>
              </w:rPr>
            </w:pPr>
            <w:r>
              <w:rPr>
                <w:rFonts w:ascii="Calibri" w:eastAsia="Calibri" w:hAnsi="Calibri" w:cs="Calibri"/>
                <w:w w:val="95"/>
              </w:rPr>
              <w:t>cette</w:t>
            </w:r>
          </w:p>
        </w:tc>
        <w:tc>
          <w:tcPr>
            <w:tcW w:w="14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240" w:type="dxa"/>
            <w:vAlign w:val="bottom"/>
          </w:tcPr>
          <w:p w:rsidR="00AC12B4" w:rsidRDefault="00C27636">
            <w:pPr>
              <w:ind w:left="140"/>
              <w:rPr>
                <w:sz w:val="20"/>
                <w:szCs w:val="20"/>
              </w:rPr>
            </w:pPr>
            <w:r>
              <w:rPr>
                <w:rFonts w:ascii="Calibri" w:eastAsia="Calibri" w:hAnsi="Calibri" w:cs="Calibri"/>
              </w:rPr>
              <w:t>enquête</w:t>
            </w:r>
          </w:p>
        </w:tc>
        <w:tc>
          <w:tcPr>
            <w:tcW w:w="0" w:type="dxa"/>
            <w:vAlign w:val="bottom"/>
          </w:tcPr>
          <w:p w:rsidR="00AC12B4" w:rsidRDefault="00AC12B4">
            <w:pPr>
              <w:rPr>
                <w:sz w:val="1"/>
                <w:szCs w:val="1"/>
              </w:rPr>
            </w:pPr>
          </w:p>
        </w:tc>
      </w:tr>
      <w:tr w:rsidR="00AC12B4" w:rsidRPr="00C27636">
        <w:trPr>
          <w:trHeight w:val="269"/>
        </w:trPr>
        <w:tc>
          <w:tcPr>
            <w:tcW w:w="4480" w:type="dxa"/>
            <w:gridSpan w:val="8"/>
            <w:vAlign w:val="bottom"/>
          </w:tcPr>
          <w:p w:rsidR="00AC12B4" w:rsidRPr="00C27636" w:rsidRDefault="00C27636">
            <w:pPr>
              <w:rPr>
                <w:sz w:val="20"/>
                <w:szCs w:val="20"/>
                <w:lang w:val="fr-BE"/>
              </w:rPr>
            </w:pPr>
            <w:r w:rsidRPr="00C27636">
              <w:rPr>
                <w:rFonts w:ascii="Calibri" w:eastAsia="Calibri" w:hAnsi="Calibri" w:cs="Calibri"/>
                <w:lang w:val="fr-BE"/>
              </w:rPr>
              <w:t>la  moyenne  belge  accusait  une  légère</w:t>
            </w:r>
          </w:p>
        </w:tc>
        <w:tc>
          <w:tcPr>
            <w:tcW w:w="4340" w:type="dxa"/>
            <w:gridSpan w:val="12"/>
            <w:vAlign w:val="bottom"/>
          </w:tcPr>
          <w:p w:rsidR="00AC12B4" w:rsidRPr="00C27636" w:rsidRDefault="00C27636">
            <w:pPr>
              <w:ind w:left="100"/>
              <w:rPr>
                <w:sz w:val="20"/>
                <w:szCs w:val="20"/>
                <w:lang w:val="fr-BE"/>
              </w:rPr>
            </w:pPr>
            <w:r w:rsidRPr="00C27636">
              <w:rPr>
                <w:rFonts w:ascii="Calibri" w:eastAsia="Calibri" w:hAnsi="Calibri" w:cs="Calibri"/>
                <w:lang w:val="fr-BE"/>
              </w:rPr>
              <w:t>européenne sur les conditions de vie tous</w:t>
            </w:r>
          </w:p>
        </w:tc>
        <w:tc>
          <w:tcPr>
            <w:tcW w:w="0" w:type="dxa"/>
            <w:vAlign w:val="bottom"/>
          </w:tcPr>
          <w:p w:rsidR="00AC12B4" w:rsidRPr="00C27636" w:rsidRDefault="00AC12B4">
            <w:pPr>
              <w:rPr>
                <w:sz w:val="1"/>
                <w:szCs w:val="1"/>
                <w:lang w:val="fr-BE"/>
              </w:rPr>
            </w:pPr>
          </w:p>
        </w:tc>
      </w:tr>
      <w:tr w:rsidR="00AC12B4">
        <w:trPr>
          <w:trHeight w:val="269"/>
        </w:trPr>
        <w:tc>
          <w:tcPr>
            <w:tcW w:w="2280" w:type="dxa"/>
            <w:gridSpan w:val="4"/>
            <w:vAlign w:val="bottom"/>
          </w:tcPr>
          <w:p w:rsidR="00AC12B4" w:rsidRDefault="00C27636">
            <w:pPr>
              <w:rPr>
                <w:sz w:val="20"/>
                <w:szCs w:val="20"/>
              </w:rPr>
            </w:pPr>
            <w:r>
              <w:rPr>
                <w:rFonts w:ascii="Calibri" w:eastAsia="Calibri" w:hAnsi="Calibri" w:cs="Calibri"/>
              </w:rPr>
              <w:t>hausse (22.8% en 2003).</w:t>
            </w:r>
          </w:p>
        </w:tc>
        <w:tc>
          <w:tcPr>
            <w:tcW w:w="20" w:type="dxa"/>
            <w:vAlign w:val="bottom"/>
          </w:tcPr>
          <w:p w:rsidR="00AC12B4" w:rsidRDefault="00AC12B4">
            <w:pPr>
              <w:rPr>
                <w:sz w:val="23"/>
                <w:szCs w:val="23"/>
              </w:rPr>
            </w:pPr>
          </w:p>
        </w:tc>
        <w:tc>
          <w:tcPr>
            <w:tcW w:w="1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980" w:type="dxa"/>
            <w:vAlign w:val="bottom"/>
          </w:tcPr>
          <w:p w:rsidR="00AC12B4" w:rsidRDefault="00AC12B4">
            <w:pPr>
              <w:rPr>
                <w:sz w:val="23"/>
                <w:szCs w:val="23"/>
              </w:rPr>
            </w:pPr>
          </w:p>
        </w:tc>
        <w:tc>
          <w:tcPr>
            <w:tcW w:w="1320" w:type="dxa"/>
            <w:gridSpan w:val="3"/>
            <w:vAlign w:val="bottom"/>
          </w:tcPr>
          <w:p w:rsidR="00AC12B4" w:rsidRDefault="00C27636">
            <w:pPr>
              <w:ind w:left="100"/>
              <w:rPr>
                <w:sz w:val="20"/>
                <w:szCs w:val="20"/>
              </w:rPr>
            </w:pPr>
            <w:r>
              <w:rPr>
                <w:rFonts w:ascii="Calibri" w:eastAsia="Calibri" w:hAnsi="Calibri" w:cs="Calibri"/>
              </w:rPr>
              <w:t>les 4 ans.</w:t>
            </w:r>
          </w:p>
        </w:tc>
        <w:tc>
          <w:tcPr>
            <w:tcW w:w="1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90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2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57"/>
        </w:trPr>
        <w:tc>
          <w:tcPr>
            <w:tcW w:w="560" w:type="dxa"/>
            <w:vAlign w:val="bottom"/>
          </w:tcPr>
          <w:p w:rsidR="00AC12B4" w:rsidRDefault="00AC12B4">
            <w:pPr>
              <w:rPr>
                <w:sz w:val="13"/>
                <w:szCs w:val="13"/>
              </w:rPr>
            </w:pPr>
          </w:p>
        </w:tc>
        <w:tc>
          <w:tcPr>
            <w:tcW w:w="440" w:type="dxa"/>
            <w:tcBorders>
              <w:bottom w:val="single" w:sz="8" w:space="0" w:color="00923D"/>
            </w:tcBorders>
            <w:vAlign w:val="bottom"/>
          </w:tcPr>
          <w:p w:rsidR="00AC12B4" w:rsidRDefault="00AC12B4">
            <w:pPr>
              <w:rPr>
                <w:sz w:val="13"/>
                <w:szCs w:val="13"/>
              </w:rPr>
            </w:pPr>
          </w:p>
        </w:tc>
        <w:tc>
          <w:tcPr>
            <w:tcW w:w="80" w:type="dxa"/>
            <w:tcBorders>
              <w:bottom w:val="single" w:sz="8" w:space="0" w:color="00923D"/>
            </w:tcBorders>
            <w:vAlign w:val="bottom"/>
          </w:tcPr>
          <w:p w:rsidR="00AC12B4" w:rsidRDefault="00AC12B4">
            <w:pPr>
              <w:rPr>
                <w:sz w:val="13"/>
                <w:szCs w:val="13"/>
              </w:rPr>
            </w:pPr>
          </w:p>
        </w:tc>
        <w:tc>
          <w:tcPr>
            <w:tcW w:w="7740" w:type="dxa"/>
            <w:gridSpan w:val="17"/>
            <w:tcBorders>
              <w:bottom w:val="single" w:sz="8" w:space="0" w:color="00923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rsidRPr="00C27636">
        <w:trPr>
          <w:trHeight w:val="409"/>
        </w:trPr>
        <w:tc>
          <w:tcPr>
            <w:tcW w:w="560" w:type="dxa"/>
            <w:tcBorders>
              <w:right w:val="single" w:sz="8" w:space="0" w:color="00923D"/>
            </w:tcBorders>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7740" w:type="dxa"/>
            <w:gridSpan w:val="17"/>
            <w:tcBorders>
              <w:right w:val="single" w:sz="8" w:space="0" w:color="00923D"/>
            </w:tcBorders>
            <w:vAlign w:val="bottom"/>
          </w:tcPr>
          <w:p w:rsidR="00AC12B4" w:rsidRPr="00C27636" w:rsidRDefault="00C27636">
            <w:pPr>
              <w:ind w:right="798"/>
              <w:jc w:val="center"/>
              <w:rPr>
                <w:sz w:val="20"/>
                <w:szCs w:val="20"/>
                <w:lang w:val="fr-BE"/>
              </w:rPr>
            </w:pPr>
            <w:r w:rsidRPr="00C27636">
              <w:rPr>
                <w:rFonts w:ascii="Calibri" w:eastAsia="Calibri" w:hAnsi="Calibri" w:cs="Calibri"/>
                <w:sz w:val="21"/>
                <w:szCs w:val="21"/>
                <w:lang w:val="fr-BE"/>
              </w:rPr>
              <w:t xml:space="preserve">'J’ai rencontré des difficultés pour remplir </w:t>
            </w:r>
            <w:r w:rsidRPr="00C27636">
              <w:rPr>
                <w:rFonts w:ascii="Calibri" w:eastAsia="Calibri" w:hAnsi="Calibri" w:cs="Calibri"/>
                <w:sz w:val="21"/>
                <w:szCs w:val="21"/>
                <w:lang w:val="fr-BE"/>
              </w:rPr>
              <w:t>mes obligations familiales en</w:t>
            </w:r>
          </w:p>
        </w:tc>
        <w:tc>
          <w:tcPr>
            <w:tcW w:w="0" w:type="dxa"/>
            <w:vAlign w:val="bottom"/>
          </w:tcPr>
          <w:p w:rsidR="00AC12B4" w:rsidRPr="00C27636" w:rsidRDefault="00AC12B4">
            <w:pPr>
              <w:rPr>
                <w:sz w:val="1"/>
                <w:szCs w:val="1"/>
                <w:lang w:val="fr-BE"/>
              </w:rPr>
            </w:pPr>
          </w:p>
        </w:tc>
      </w:tr>
      <w:tr w:rsidR="00AC12B4" w:rsidRPr="00C27636">
        <w:trPr>
          <w:trHeight w:val="257"/>
        </w:trPr>
        <w:tc>
          <w:tcPr>
            <w:tcW w:w="560" w:type="dxa"/>
            <w:tcBorders>
              <w:right w:val="single" w:sz="8" w:space="0" w:color="00923D"/>
            </w:tcBorders>
            <w:vAlign w:val="bottom"/>
          </w:tcPr>
          <w:p w:rsidR="00AC12B4" w:rsidRPr="00C27636" w:rsidRDefault="00AC12B4">
            <w:pPr>
              <w:rPr>
                <w:lang w:val="fr-BE"/>
              </w:rPr>
            </w:pPr>
          </w:p>
        </w:tc>
        <w:tc>
          <w:tcPr>
            <w:tcW w:w="440" w:type="dxa"/>
            <w:vAlign w:val="bottom"/>
          </w:tcPr>
          <w:p w:rsidR="00AC12B4" w:rsidRPr="00C27636" w:rsidRDefault="00AC12B4">
            <w:pPr>
              <w:rPr>
                <w:lang w:val="fr-BE"/>
              </w:rPr>
            </w:pPr>
          </w:p>
        </w:tc>
        <w:tc>
          <w:tcPr>
            <w:tcW w:w="80" w:type="dxa"/>
            <w:vAlign w:val="bottom"/>
          </w:tcPr>
          <w:p w:rsidR="00AC12B4" w:rsidRPr="00C27636" w:rsidRDefault="00AC12B4">
            <w:pPr>
              <w:rPr>
                <w:lang w:val="fr-BE"/>
              </w:rPr>
            </w:pPr>
          </w:p>
        </w:tc>
        <w:tc>
          <w:tcPr>
            <w:tcW w:w="6260" w:type="dxa"/>
            <w:gridSpan w:val="14"/>
            <w:vAlign w:val="bottom"/>
          </w:tcPr>
          <w:p w:rsidR="00AC12B4" w:rsidRPr="00C27636" w:rsidRDefault="00C27636">
            <w:pPr>
              <w:ind w:left="477"/>
              <w:jc w:val="center"/>
              <w:rPr>
                <w:sz w:val="20"/>
                <w:szCs w:val="20"/>
                <w:lang w:val="fr-BE"/>
              </w:rPr>
            </w:pPr>
            <w:r w:rsidRPr="00C27636">
              <w:rPr>
                <w:rFonts w:ascii="Calibri" w:eastAsia="Calibri" w:hAnsi="Calibri" w:cs="Calibri"/>
                <w:w w:val="99"/>
                <w:sz w:val="21"/>
                <w:szCs w:val="21"/>
                <w:lang w:val="fr-BE"/>
              </w:rPr>
              <w:t>raison du temps que je consacre à ma vie professionnelle '</w:t>
            </w:r>
          </w:p>
        </w:tc>
        <w:tc>
          <w:tcPr>
            <w:tcW w:w="140" w:type="dxa"/>
            <w:vAlign w:val="bottom"/>
          </w:tcPr>
          <w:p w:rsidR="00AC12B4" w:rsidRPr="00C27636" w:rsidRDefault="00AC12B4">
            <w:pPr>
              <w:rPr>
                <w:lang w:val="fr-BE"/>
              </w:rPr>
            </w:pPr>
          </w:p>
        </w:tc>
        <w:tc>
          <w:tcPr>
            <w:tcW w:w="100" w:type="dxa"/>
            <w:vAlign w:val="bottom"/>
          </w:tcPr>
          <w:p w:rsidR="00AC12B4" w:rsidRPr="00C27636" w:rsidRDefault="00AC12B4">
            <w:pPr>
              <w:rPr>
                <w:lang w:val="fr-BE"/>
              </w:rPr>
            </w:pPr>
          </w:p>
        </w:tc>
        <w:tc>
          <w:tcPr>
            <w:tcW w:w="1240" w:type="dxa"/>
            <w:tcBorders>
              <w:right w:val="single" w:sz="8" w:space="0" w:color="00923D"/>
            </w:tcBorders>
            <w:vAlign w:val="bottom"/>
          </w:tcPr>
          <w:p w:rsidR="00AC12B4" w:rsidRPr="00C27636" w:rsidRDefault="00AC12B4">
            <w:pPr>
              <w:rPr>
                <w:lang w:val="fr-BE"/>
              </w:rPr>
            </w:pPr>
          </w:p>
        </w:tc>
        <w:tc>
          <w:tcPr>
            <w:tcW w:w="0" w:type="dxa"/>
            <w:vAlign w:val="bottom"/>
          </w:tcPr>
          <w:p w:rsidR="00AC12B4" w:rsidRPr="00C27636" w:rsidRDefault="00AC12B4">
            <w:pPr>
              <w:rPr>
                <w:sz w:val="1"/>
                <w:szCs w:val="1"/>
                <w:lang w:val="fr-BE"/>
              </w:rPr>
            </w:pPr>
          </w:p>
        </w:tc>
      </w:tr>
      <w:tr w:rsidR="00AC12B4">
        <w:trPr>
          <w:trHeight w:val="229"/>
        </w:trPr>
        <w:tc>
          <w:tcPr>
            <w:tcW w:w="560" w:type="dxa"/>
            <w:vMerge w:val="restart"/>
            <w:tcBorders>
              <w:right w:val="single" w:sz="8" w:space="0" w:color="00923D"/>
            </w:tcBorders>
            <w:vAlign w:val="bottom"/>
          </w:tcPr>
          <w:p w:rsidR="00AC12B4" w:rsidRPr="00C27636" w:rsidRDefault="00AC12B4">
            <w:pPr>
              <w:rPr>
                <w:sz w:val="19"/>
                <w:szCs w:val="19"/>
                <w:lang w:val="fr-BE"/>
              </w:rPr>
            </w:pPr>
          </w:p>
        </w:tc>
        <w:tc>
          <w:tcPr>
            <w:tcW w:w="440" w:type="dxa"/>
            <w:vMerge w:val="restart"/>
            <w:vAlign w:val="bottom"/>
          </w:tcPr>
          <w:p w:rsidR="00AC12B4" w:rsidRDefault="00C27636">
            <w:pPr>
              <w:ind w:right="22"/>
              <w:jc w:val="right"/>
              <w:rPr>
                <w:sz w:val="20"/>
                <w:szCs w:val="20"/>
              </w:rPr>
            </w:pPr>
            <w:r>
              <w:rPr>
                <w:rFonts w:ascii="Calibri" w:eastAsia="Calibri" w:hAnsi="Calibri" w:cs="Calibri"/>
                <w:sz w:val="20"/>
                <w:szCs w:val="20"/>
              </w:rPr>
              <w:t>40</w:t>
            </w:r>
          </w:p>
        </w:tc>
        <w:tc>
          <w:tcPr>
            <w:tcW w:w="80" w:type="dxa"/>
            <w:tcBorders>
              <w:bottom w:val="single" w:sz="8" w:space="0" w:color="868686"/>
            </w:tcBorders>
            <w:vAlign w:val="bottom"/>
          </w:tcPr>
          <w:p w:rsidR="00AC12B4" w:rsidRDefault="00AC12B4">
            <w:pPr>
              <w:rPr>
                <w:sz w:val="19"/>
                <w:szCs w:val="19"/>
              </w:rPr>
            </w:pPr>
          </w:p>
        </w:tc>
        <w:tc>
          <w:tcPr>
            <w:tcW w:w="120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118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980" w:type="dxa"/>
            <w:tcBorders>
              <w:bottom w:val="single" w:sz="8" w:space="0" w:color="868686"/>
            </w:tcBorders>
            <w:vAlign w:val="bottom"/>
          </w:tcPr>
          <w:p w:rsidR="00AC12B4" w:rsidRDefault="00AC12B4">
            <w:pPr>
              <w:rPr>
                <w:sz w:val="19"/>
                <w:szCs w:val="19"/>
              </w:rPr>
            </w:pPr>
          </w:p>
        </w:tc>
        <w:tc>
          <w:tcPr>
            <w:tcW w:w="22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1080" w:type="dxa"/>
            <w:tcBorders>
              <w:bottom w:val="single" w:sz="8" w:space="0" w:color="868686"/>
            </w:tcBorders>
            <w:vAlign w:val="bottom"/>
          </w:tcPr>
          <w:p w:rsidR="00AC12B4" w:rsidRDefault="00AC12B4">
            <w:pPr>
              <w:rPr>
                <w:sz w:val="19"/>
                <w:szCs w:val="19"/>
              </w:rPr>
            </w:pPr>
          </w:p>
        </w:tc>
        <w:tc>
          <w:tcPr>
            <w:tcW w:w="12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900" w:type="dxa"/>
            <w:tcBorders>
              <w:bottom w:val="single" w:sz="8" w:space="0" w:color="868686"/>
            </w:tcBorders>
            <w:vAlign w:val="bottom"/>
          </w:tcPr>
          <w:p w:rsidR="00AC12B4" w:rsidRDefault="00AC12B4">
            <w:pPr>
              <w:rPr>
                <w:sz w:val="19"/>
                <w:szCs w:val="19"/>
              </w:rPr>
            </w:pPr>
          </w:p>
        </w:tc>
        <w:tc>
          <w:tcPr>
            <w:tcW w:w="300" w:type="dxa"/>
            <w:tcBorders>
              <w:bottom w:val="single" w:sz="8" w:space="0" w:color="868686"/>
            </w:tcBorders>
            <w:vAlign w:val="bottom"/>
          </w:tcPr>
          <w:p w:rsidR="00AC12B4" w:rsidRDefault="00AC12B4">
            <w:pPr>
              <w:rPr>
                <w:sz w:val="19"/>
                <w:szCs w:val="19"/>
              </w:rPr>
            </w:pPr>
          </w:p>
        </w:tc>
        <w:tc>
          <w:tcPr>
            <w:tcW w:w="20" w:type="dxa"/>
            <w:tcBorders>
              <w:bottom w:val="single" w:sz="8" w:space="0" w:color="868686"/>
            </w:tcBorders>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1480" w:type="dxa"/>
            <w:gridSpan w:val="3"/>
            <w:vMerge w:val="restart"/>
            <w:tcBorders>
              <w:right w:val="single" w:sz="8" w:space="0" w:color="00923D"/>
            </w:tcBorders>
            <w:vAlign w:val="bottom"/>
          </w:tcPr>
          <w:p w:rsidR="00AC12B4" w:rsidRDefault="00C27636">
            <w:pPr>
              <w:ind w:left="20"/>
              <w:rPr>
                <w:sz w:val="20"/>
                <w:szCs w:val="20"/>
              </w:rPr>
            </w:pPr>
            <w:r>
              <w:rPr>
                <w:rFonts w:ascii="Calibri" w:eastAsia="Calibri" w:hAnsi="Calibri" w:cs="Calibri"/>
                <w:color w:val="005022"/>
                <w:sz w:val="20"/>
                <w:szCs w:val="20"/>
              </w:rPr>
              <w:t>Quartile de</w:t>
            </w:r>
          </w:p>
        </w:tc>
        <w:tc>
          <w:tcPr>
            <w:tcW w:w="0" w:type="dxa"/>
            <w:vAlign w:val="bottom"/>
          </w:tcPr>
          <w:p w:rsidR="00AC12B4" w:rsidRDefault="00AC12B4">
            <w:pPr>
              <w:rPr>
                <w:sz w:val="1"/>
                <w:szCs w:val="1"/>
              </w:rPr>
            </w:pPr>
          </w:p>
        </w:tc>
      </w:tr>
      <w:tr w:rsidR="00AC12B4">
        <w:trPr>
          <w:trHeight w:val="93"/>
        </w:trPr>
        <w:tc>
          <w:tcPr>
            <w:tcW w:w="560" w:type="dxa"/>
            <w:vMerge/>
            <w:tcBorders>
              <w:right w:val="single" w:sz="8" w:space="0" w:color="00923D"/>
            </w:tcBorders>
            <w:vAlign w:val="bottom"/>
          </w:tcPr>
          <w:p w:rsidR="00AC12B4" w:rsidRDefault="00AC12B4">
            <w:pPr>
              <w:rPr>
                <w:sz w:val="8"/>
                <w:szCs w:val="8"/>
              </w:rPr>
            </w:pPr>
          </w:p>
        </w:tc>
        <w:tc>
          <w:tcPr>
            <w:tcW w:w="44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8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480" w:type="dxa"/>
            <w:gridSpan w:val="3"/>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03"/>
        </w:trPr>
        <w:tc>
          <w:tcPr>
            <w:tcW w:w="560" w:type="dxa"/>
            <w:tcBorders>
              <w:right w:val="single" w:sz="8" w:space="0" w:color="00923D"/>
            </w:tcBorders>
            <w:vAlign w:val="bottom"/>
          </w:tcPr>
          <w:p w:rsidR="00AC12B4" w:rsidRDefault="00AC12B4">
            <w:pPr>
              <w:rPr>
                <w:sz w:val="8"/>
                <w:szCs w:val="8"/>
              </w:rPr>
            </w:pPr>
          </w:p>
        </w:tc>
        <w:tc>
          <w:tcPr>
            <w:tcW w:w="440" w:type="dxa"/>
            <w:vMerge w:val="restart"/>
            <w:vAlign w:val="bottom"/>
          </w:tcPr>
          <w:p w:rsidR="00AC12B4" w:rsidRDefault="00C27636">
            <w:pPr>
              <w:spacing w:line="216" w:lineRule="exact"/>
              <w:ind w:right="22"/>
              <w:jc w:val="right"/>
              <w:rPr>
                <w:sz w:val="20"/>
                <w:szCs w:val="20"/>
              </w:rPr>
            </w:pPr>
            <w:r>
              <w:rPr>
                <w:rFonts w:ascii="Calibri" w:eastAsia="Calibri" w:hAnsi="Calibri" w:cs="Calibri"/>
                <w:sz w:val="20"/>
                <w:szCs w:val="20"/>
              </w:rPr>
              <w:t>35</w:t>
            </w:r>
          </w:p>
        </w:tc>
        <w:tc>
          <w:tcPr>
            <w:tcW w:w="80" w:type="dxa"/>
            <w:tcBorders>
              <w:bottom w:val="single" w:sz="8" w:space="0" w:color="868686"/>
              <w:right w:val="single" w:sz="8" w:space="0" w:color="868686"/>
            </w:tcBorders>
            <w:vAlign w:val="bottom"/>
          </w:tcPr>
          <w:p w:rsidR="00AC12B4" w:rsidRDefault="00AC12B4">
            <w:pPr>
              <w:rPr>
                <w:sz w:val="8"/>
                <w:szCs w:val="8"/>
              </w:rPr>
            </w:pPr>
          </w:p>
        </w:tc>
        <w:tc>
          <w:tcPr>
            <w:tcW w:w="12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18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80" w:type="dxa"/>
            <w:tcBorders>
              <w:bottom w:val="single" w:sz="8" w:space="0" w:color="868686"/>
            </w:tcBorders>
            <w:vAlign w:val="bottom"/>
          </w:tcPr>
          <w:p w:rsidR="00AC12B4" w:rsidRDefault="00AC12B4">
            <w:pPr>
              <w:rPr>
                <w:sz w:val="8"/>
                <w:szCs w:val="8"/>
              </w:rPr>
            </w:pPr>
          </w:p>
        </w:tc>
        <w:tc>
          <w:tcPr>
            <w:tcW w:w="2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080" w:type="dxa"/>
            <w:tcBorders>
              <w:bottom w:val="single" w:sz="8" w:space="0" w:color="868686"/>
            </w:tcBorders>
            <w:vAlign w:val="bottom"/>
          </w:tcPr>
          <w:p w:rsidR="00AC12B4" w:rsidRDefault="00AC12B4">
            <w:pPr>
              <w:rPr>
                <w:sz w:val="8"/>
                <w:szCs w:val="8"/>
              </w:rPr>
            </w:pPr>
          </w:p>
        </w:tc>
        <w:tc>
          <w:tcPr>
            <w:tcW w:w="1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3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80" w:type="dxa"/>
            <w:vAlign w:val="bottom"/>
          </w:tcPr>
          <w:p w:rsidR="00AC12B4" w:rsidRDefault="00AC12B4">
            <w:pPr>
              <w:rPr>
                <w:sz w:val="8"/>
                <w:szCs w:val="8"/>
              </w:rPr>
            </w:pPr>
          </w:p>
        </w:tc>
        <w:tc>
          <w:tcPr>
            <w:tcW w:w="1480" w:type="dxa"/>
            <w:gridSpan w:val="3"/>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93"/>
        </w:trPr>
        <w:tc>
          <w:tcPr>
            <w:tcW w:w="560" w:type="dxa"/>
            <w:tcBorders>
              <w:right w:val="single" w:sz="8" w:space="0" w:color="00923D"/>
            </w:tcBorders>
            <w:vAlign w:val="bottom"/>
          </w:tcPr>
          <w:p w:rsidR="00AC12B4" w:rsidRDefault="00AC12B4">
            <w:pPr>
              <w:rPr>
                <w:sz w:val="8"/>
                <w:szCs w:val="8"/>
              </w:rPr>
            </w:pPr>
          </w:p>
        </w:tc>
        <w:tc>
          <w:tcPr>
            <w:tcW w:w="44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8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480" w:type="dxa"/>
            <w:gridSpan w:val="3"/>
            <w:vMerge w:val="restart"/>
            <w:tcBorders>
              <w:right w:val="single" w:sz="8" w:space="0" w:color="00923D"/>
            </w:tcBorders>
            <w:vAlign w:val="bottom"/>
          </w:tcPr>
          <w:p w:rsidR="00AC12B4" w:rsidRDefault="00C27636">
            <w:pPr>
              <w:ind w:left="20"/>
              <w:rPr>
                <w:sz w:val="20"/>
                <w:szCs w:val="20"/>
              </w:rPr>
            </w:pPr>
            <w:r>
              <w:rPr>
                <w:rFonts w:ascii="Calibri" w:eastAsia="Calibri" w:hAnsi="Calibri" w:cs="Calibri"/>
                <w:color w:val="005022"/>
                <w:sz w:val="20"/>
                <w:szCs w:val="20"/>
              </w:rPr>
              <w:t>revenu</w:t>
            </w:r>
          </w:p>
        </w:tc>
        <w:tc>
          <w:tcPr>
            <w:tcW w:w="0" w:type="dxa"/>
            <w:vAlign w:val="bottom"/>
          </w:tcPr>
          <w:p w:rsidR="00AC12B4" w:rsidRDefault="00AC12B4">
            <w:pPr>
              <w:rPr>
                <w:sz w:val="1"/>
                <w:szCs w:val="1"/>
              </w:rPr>
            </w:pPr>
          </w:p>
        </w:tc>
      </w:tr>
      <w:tr w:rsidR="00AC12B4">
        <w:trPr>
          <w:trHeight w:val="103"/>
        </w:trPr>
        <w:tc>
          <w:tcPr>
            <w:tcW w:w="560" w:type="dxa"/>
            <w:vMerge w:val="restart"/>
            <w:tcBorders>
              <w:right w:val="single" w:sz="8" w:space="0" w:color="00923D"/>
            </w:tcBorders>
            <w:vAlign w:val="bottom"/>
          </w:tcPr>
          <w:p w:rsidR="00AC12B4" w:rsidRDefault="00AC12B4">
            <w:pPr>
              <w:rPr>
                <w:sz w:val="8"/>
                <w:szCs w:val="8"/>
              </w:rPr>
            </w:pPr>
          </w:p>
        </w:tc>
        <w:tc>
          <w:tcPr>
            <w:tcW w:w="440" w:type="dxa"/>
            <w:vMerge w:val="restart"/>
            <w:vAlign w:val="bottom"/>
          </w:tcPr>
          <w:p w:rsidR="00AC12B4" w:rsidRDefault="00C27636">
            <w:pPr>
              <w:spacing w:line="216" w:lineRule="exact"/>
              <w:ind w:right="22"/>
              <w:jc w:val="right"/>
              <w:rPr>
                <w:sz w:val="20"/>
                <w:szCs w:val="20"/>
              </w:rPr>
            </w:pPr>
            <w:r>
              <w:rPr>
                <w:rFonts w:ascii="Calibri" w:eastAsia="Calibri" w:hAnsi="Calibri" w:cs="Calibri"/>
                <w:sz w:val="20"/>
                <w:szCs w:val="20"/>
              </w:rPr>
              <w:t>30</w:t>
            </w:r>
          </w:p>
        </w:tc>
        <w:tc>
          <w:tcPr>
            <w:tcW w:w="80" w:type="dxa"/>
            <w:tcBorders>
              <w:bottom w:val="single" w:sz="8" w:space="0" w:color="868686"/>
              <w:right w:val="single" w:sz="8" w:space="0" w:color="868686"/>
            </w:tcBorders>
            <w:vAlign w:val="bottom"/>
          </w:tcPr>
          <w:p w:rsidR="00AC12B4" w:rsidRDefault="00AC12B4">
            <w:pPr>
              <w:rPr>
                <w:sz w:val="8"/>
                <w:szCs w:val="8"/>
              </w:rPr>
            </w:pPr>
          </w:p>
        </w:tc>
        <w:tc>
          <w:tcPr>
            <w:tcW w:w="12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18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80" w:type="dxa"/>
            <w:tcBorders>
              <w:bottom w:val="single" w:sz="8" w:space="0" w:color="868686"/>
            </w:tcBorders>
            <w:vAlign w:val="bottom"/>
          </w:tcPr>
          <w:p w:rsidR="00AC12B4" w:rsidRDefault="00AC12B4">
            <w:pPr>
              <w:rPr>
                <w:sz w:val="8"/>
                <w:szCs w:val="8"/>
              </w:rPr>
            </w:pPr>
          </w:p>
        </w:tc>
        <w:tc>
          <w:tcPr>
            <w:tcW w:w="2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080" w:type="dxa"/>
            <w:tcBorders>
              <w:bottom w:val="single" w:sz="8" w:space="0" w:color="868686"/>
            </w:tcBorders>
            <w:vAlign w:val="bottom"/>
          </w:tcPr>
          <w:p w:rsidR="00AC12B4" w:rsidRDefault="00AC12B4">
            <w:pPr>
              <w:rPr>
                <w:sz w:val="8"/>
                <w:szCs w:val="8"/>
              </w:rPr>
            </w:pPr>
          </w:p>
        </w:tc>
        <w:tc>
          <w:tcPr>
            <w:tcW w:w="1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3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80" w:type="dxa"/>
            <w:vAlign w:val="bottom"/>
          </w:tcPr>
          <w:p w:rsidR="00AC12B4" w:rsidRDefault="00AC12B4">
            <w:pPr>
              <w:rPr>
                <w:sz w:val="8"/>
                <w:szCs w:val="8"/>
              </w:rPr>
            </w:pPr>
          </w:p>
        </w:tc>
        <w:tc>
          <w:tcPr>
            <w:tcW w:w="1480" w:type="dxa"/>
            <w:gridSpan w:val="3"/>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93"/>
        </w:trPr>
        <w:tc>
          <w:tcPr>
            <w:tcW w:w="560" w:type="dxa"/>
            <w:vMerge/>
            <w:tcBorders>
              <w:right w:val="single" w:sz="8" w:space="0" w:color="00923D"/>
            </w:tcBorders>
            <w:vAlign w:val="bottom"/>
          </w:tcPr>
          <w:p w:rsidR="00AC12B4" w:rsidRDefault="00AC12B4">
            <w:pPr>
              <w:rPr>
                <w:sz w:val="8"/>
                <w:szCs w:val="8"/>
              </w:rPr>
            </w:pPr>
          </w:p>
        </w:tc>
        <w:tc>
          <w:tcPr>
            <w:tcW w:w="44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8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480" w:type="dxa"/>
            <w:gridSpan w:val="3"/>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03"/>
        </w:trPr>
        <w:tc>
          <w:tcPr>
            <w:tcW w:w="560" w:type="dxa"/>
            <w:vMerge w:val="restart"/>
            <w:tcBorders>
              <w:right w:val="single" w:sz="8" w:space="0" w:color="00923D"/>
            </w:tcBorders>
            <w:vAlign w:val="bottom"/>
          </w:tcPr>
          <w:p w:rsidR="00AC12B4" w:rsidRDefault="00AC12B4">
            <w:pPr>
              <w:rPr>
                <w:sz w:val="8"/>
                <w:szCs w:val="8"/>
              </w:rPr>
            </w:pPr>
          </w:p>
        </w:tc>
        <w:tc>
          <w:tcPr>
            <w:tcW w:w="440" w:type="dxa"/>
            <w:vMerge w:val="restart"/>
            <w:vAlign w:val="bottom"/>
          </w:tcPr>
          <w:p w:rsidR="00AC12B4" w:rsidRDefault="00C27636">
            <w:pPr>
              <w:spacing w:line="216" w:lineRule="exact"/>
              <w:ind w:right="22"/>
              <w:jc w:val="right"/>
              <w:rPr>
                <w:sz w:val="20"/>
                <w:szCs w:val="20"/>
              </w:rPr>
            </w:pPr>
            <w:r>
              <w:rPr>
                <w:rFonts w:ascii="Calibri" w:eastAsia="Calibri" w:hAnsi="Calibri" w:cs="Calibri"/>
                <w:sz w:val="20"/>
                <w:szCs w:val="20"/>
              </w:rPr>
              <w:t>25</w:t>
            </w:r>
          </w:p>
        </w:tc>
        <w:tc>
          <w:tcPr>
            <w:tcW w:w="80" w:type="dxa"/>
            <w:tcBorders>
              <w:bottom w:val="single" w:sz="8" w:space="0" w:color="868686"/>
              <w:right w:val="single" w:sz="8" w:space="0" w:color="868686"/>
            </w:tcBorders>
            <w:vAlign w:val="bottom"/>
          </w:tcPr>
          <w:p w:rsidR="00AC12B4" w:rsidRDefault="00AC12B4">
            <w:pPr>
              <w:rPr>
                <w:sz w:val="8"/>
                <w:szCs w:val="8"/>
              </w:rPr>
            </w:pPr>
          </w:p>
        </w:tc>
        <w:tc>
          <w:tcPr>
            <w:tcW w:w="12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18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80" w:type="dxa"/>
            <w:tcBorders>
              <w:bottom w:val="single" w:sz="8" w:space="0" w:color="868686"/>
            </w:tcBorders>
            <w:vAlign w:val="bottom"/>
          </w:tcPr>
          <w:p w:rsidR="00AC12B4" w:rsidRDefault="00AC12B4">
            <w:pPr>
              <w:rPr>
                <w:sz w:val="8"/>
                <w:szCs w:val="8"/>
              </w:rPr>
            </w:pPr>
          </w:p>
        </w:tc>
        <w:tc>
          <w:tcPr>
            <w:tcW w:w="2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080" w:type="dxa"/>
            <w:tcBorders>
              <w:bottom w:val="single" w:sz="8" w:space="0" w:color="868686"/>
            </w:tcBorders>
            <w:vAlign w:val="bottom"/>
          </w:tcPr>
          <w:p w:rsidR="00AC12B4" w:rsidRDefault="00AC12B4">
            <w:pPr>
              <w:rPr>
                <w:sz w:val="8"/>
                <w:szCs w:val="8"/>
              </w:rPr>
            </w:pPr>
          </w:p>
        </w:tc>
        <w:tc>
          <w:tcPr>
            <w:tcW w:w="1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3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8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100" w:type="dxa"/>
            <w:tcBorders>
              <w:bottom w:val="single" w:sz="8" w:space="0" w:color="4F81BD"/>
            </w:tcBorders>
            <w:vAlign w:val="bottom"/>
          </w:tcPr>
          <w:p w:rsidR="00AC12B4" w:rsidRDefault="00AC12B4">
            <w:pPr>
              <w:rPr>
                <w:sz w:val="8"/>
                <w:szCs w:val="8"/>
              </w:rPr>
            </w:pPr>
          </w:p>
        </w:tc>
        <w:tc>
          <w:tcPr>
            <w:tcW w:w="1240" w:type="dxa"/>
            <w:vMerge w:val="restart"/>
            <w:tcBorders>
              <w:right w:val="single" w:sz="8" w:space="0" w:color="00923D"/>
            </w:tcBorders>
            <w:vAlign w:val="bottom"/>
          </w:tcPr>
          <w:p w:rsidR="00AC12B4" w:rsidRDefault="00C27636">
            <w:pPr>
              <w:ind w:left="60"/>
              <w:rPr>
                <w:sz w:val="20"/>
                <w:szCs w:val="20"/>
              </w:rPr>
            </w:pPr>
            <w:r>
              <w:rPr>
                <w:rFonts w:ascii="Calibri" w:eastAsia="Calibri" w:hAnsi="Calibri" w:cs="Calibri"/>
                <w:sz w:val="20"/>
                <w:szCs w:val="20"/>
              </w:rPr>
              <w:t>Le plus bas</w:t>
            </w:r>
          </w:p>
        </w:tc>
        <w:tc>
          <w:tcPr>
            <w:tcW w:w="0" w:type="dxa"/>
            <w:vAlign w:val="bottom"/>
          </w:tcPr>
          <w:p w:rsidR="00AC12B4" w:rsidRDefault="00AC12B4">
            <w:pPr>
              <w:rPr>
                <w:sz w:val="1"/>
                <w:szCs w:val="1"/>
              </w:rPr>
            </w:pPr>
          </w:p>
        </w:tc>
      </w:tr>
      <w:tr w:rsidR="00AC12B4">
        <w:trPr>
          <w:trHeight w:val="100"/>
        </w:trPr>
        <w:tc>
          <w:tcPr>
            <w:tcW w:w="560" w:type="dxa"/>
            <w:vMerge/>
            <w:tcBorders>
              <w:right w:val="single" w:sz="8" w:space="0" w:color="00923D"/>
            </w:tcBorders>
            <w:vAlign w:val="bottom"/>
          </w:tcPr>
          <w:p w:rsidR="00AC12B4" w:rsidRDefault="00AC12B4">
            <w:pPr>
              <w:rPr>
                <w:sz w:val="8"/>
                <w:szCs w:val="8"/>
              </w:rPr>
            </w:pPr>
          </w:p>
        </w:tc>
        <w:tc>
          <w:tcPr>
            <w:tcW w:w="44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8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100" w:type="dxa"/>
            <w:shd w:val="clear" w:color="auto" w:fill="4F81BD"/>
            <w:vAlign w:val="bottom"/>
          </w:tcPr>
          <w:p w:rsidR="00AC12B4" w:rsidRDefault="00AC12B4">
            <w:pPr>
              <w:rPr>
                <w:sz w:val="8"/>
                <w:szCs w:val="8"/>
              </w:rPr>
            </w:pPr>
          </w:p>
        </w:tc>
        <w:tc>
          <w:tcPr>
            <w:tcW w:w="1240" w:type="dxa"/>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50"/>
        </w:trPr>
        <w:tc>
          <w:tcPr>
            <w:tcW w:w="560" w:type="dxa"/>
            <w:tcBorders>
              <w:right w:val="single" w:sz="8" w:space="0" w:color="00923D"/>
            </w:tcBorders>
            <w:vAlign w:val="bottom"/>
          </w:tcPr>
          <w:p w:rsidR="00AC12B4" w:rsidRDefault="00AC12B4">
            <w:pPr>
              <w:rPr>
                <w:sz w:val="4"/>
                <w:szCs w:val="4"/>
              </w:rPr>
            </w:pPr>
          </w:p>
        </w:tc>
        <w:tc>
          <w:tcPr>
            <w:tcW w:w="440" w:type="dxa"/>
            <w:vMerge w:val="restart"/>
            <w:vAlign w:val="bottom"/>
          </w:tcPr>
          <w:p w:rsidR="00AC12B4" w:rsidRDefault="00C27636">
            <w:pPr>
              <w:spacing w:line="209" w:lineRule="exact"/>
              <w:ind w:right="22"/>
              <w:jc w:val="right"/>
              <w:rPr>
                <w:sz w:val="20"/>
                <w:szCs w:val="20"/>
              </w:rPr>
            </w:pPr>
            <w:r>
              <w:rPr>
                <w:rFonts w:ascii="Calibri" w:eastAsia="Calibri" w:hAnsi="Calibri" w:cs="Calibri"/>
                <w:sz w:val="20"/>
                <w:szCs w:val="20"/>
              </w:rPr>
              <w:t>20</w:t>
            </w:r>
          </w:p>
        </w:tc>
        <w:tc>
          <w:tcPr>
            <w:tcW w:w="80" w:type="dxa"/>
            <w:tcBorders>
              <w:right w:val="single" w:sz="8" w:space="0" w:color="868686"/>
            </w:tcBorders>
            <w:vAlign w:val="bottom"/>
          </w:tcPr>
          <w:p w:rsidR="00AC12B4" w:rsidRDefault="00AC12B4">
            <w:pPr>
              <w:rPr>
                <w:sz w:val="4"/>
                <w:szCs w:val="4"/>
              </w:rPr>
            </w:pPr>
          </w:p>
        </w:tc>
        <w:tc>
          <w:tcPr>
            <w:tcW w:w="12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18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980" w:type="dxa"/>
            <w:vAlign w:val="bottom"/>
          </w:tcPr>
          <w:p w:rsidR="00AC12B4" w:rsidRDefault="00AC12B4">
            <w:pPr>
              <w:rPr>
                <w:sz w:val="4"/>
                <w:szCs w:val="4"/>
              </w:rPr>
            </w:pPr>
          </w:p>
        </w:tc>
        <w:tc>
          <w:tcPr>
            <w:tcW w:w="22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08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900" w:type="dxa"/>
            <w:vAlign w:val="bottom"/>
          </w:tcPr>
          <w:p w:rsidR="00AC12B4" w:rsidRDefault="00AC12B4">
            <w:pPr>
              <w:rPr>
                <w:sz w:val="4"/>
                <w:szCs w:val="4"/>
              </w:rPr>
            </w:pPr>
          </w:p>
        </w:tc>
        <w:tc>
          <w:tcPr>
            <w:tcW w:w="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14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240" w:type="dxa"/>
            <w:vMerge/>
            <w:tcBorders>
              <w:right w:val="single" w:sz="8" w:space="0" w:color="00923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46"/>
        </w:trPr>
        <w:tc>
          <w:tcPr>
            <w:tcW w:w="560" w:type="dxa"/>
            <w:vMerge w:val="restart"/>
            <w:tcBorders>
              <w:right w:val="single" w:sz="8" w:space="0" w:color="00923D"/>
            </w:tcBorders>
            <w:vAlign w:val="bottom"/>
          </w:tcPr>
          <w:p w:rsidR="00AC12B4" w:rsidRDefault="00AC12B4">
            <w:pPr>
              <w:rPr>
                <w:sz w:val="4"/>
                <w:szCs w:val="4"/>
              </w:rPr>
            </w:pPr>
          </w:p>
        </w:tc>
        <w:tc>
          <w:tcPr>
            <w:tcW w:w="440" w:type="dxa"/>
            <w:vMerge/>
            <w:vAlign w:val="bottom"/>
          </w:tcPr>
          <w:p w:rsidR="00AC12B4" w:rsidRDefault="00AC12B4">
            <w:pPr>
              <w:rPr>
                <w:sz w:val="4"/>
                <w:szCs w:val="4"/>
              </w:rPr>
            </w:pPr>
          </w:p>
        </w:tc>
        <w:tc>
          <w:tcPr>
            <w:tcW w:w="80" w:type="dxa"/>
            <w:tcBorders>
              <w:bottom w:val="single" w:sz="8" w:space="0" w:color="868686"/>
              <w:right w:val="single" w:sz="8" w:space="0" w:color="868686"/>
            </w:tcBorders>
            <w:vAlign w:val="bottom"/>
          </w:tcPr>
          <w:p w:rsidR="00AC12B4" w:rsidRDefault="00AC12B4">
            <w:pPr>
              <w:rPr>
                <w:sz w:val="4"/>
                <w:szCs w:val="4"/>
              </w:rPr>
            </w:pPr>
          </w:p>
        </w:tc>
        <w:tc>
          <w:tcPr>
            <w:tcW w:w="12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18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980" w:type="dxa"/>
            <w:tcBorders>
              <w:bottom w:val="single" w:sz="8" w:space="0" w:color="868686"/>
            </w:tcBorders>
            <w:vAlign w:val="bottom"/>
          </w:tcPr>
          <w:p w:rsidR="00AC12B4" w:rsidRDefault="00AC12B4">
            <w:pPr>
              <w:rPr>
                <w:sz w:val="4"/>
                <w:szCs w:val="4"/>
              </w:rPr>
            </w:pPr>
          </w:p>
        </w:tc>
        <w:tc>
          <w:tcPr>
            <w:tcW w:w="22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080" w:type="dxa"/>
            <w:tcBorders>
              <w:bottom w:val="single" w:sz="8" w:space="0" w:color="868686"/>
            </w:tcBorders>
            <w:vAlign w:val="bottom"/>
          </w:tcPr>
          <w:p w:rsidR="00AC12B4" w:rsidRDefault="00AC12B4">
            <w:pPr>
              <w:rPr>
                <w:sz w:val="4"/>
                <w:szCs w:val="4"/>
              </w:rPr>
            </w:pPr>
          </w:p>
        </w:tc>
        <w:tc>
          <w:tcPr>
            <w:tcW w:w="12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900" w:type="dxa"/>
            <w:tcBorders>
              <w:bottom w:val="single" w:sz="8" w:space="0" w:color="868686"/>
            </w:tcBorders>
            <w:vAlign w:val="bottom"/>
          </w:tcPr>
          <w:p w:rsidR="00AC12B4" w:rsidRDefault="00AC12B4">
            <w:pPr>
              <w:rPr>
                <w:sz w:val="4"/>
                <w:szCs w:val="4"/>
              </w:rPr>
            </w:pPr>
          </w:p>
        </w:tc>
        <w:tc>
          <w:tcPr>
            <w:tcW w:w="300" w:type="dxa"/>
            <w:tcBorders>
              <w:bottom w:val="single" w:sz="8" w:space="0" w:color="868686"/>
            </w:tcBorders>
            <w:vAlign w:val="bottom"/>
          </w:tcPr>
          <w:p w:rsidR="00AC12B4" w:rsidRDefault="00AC12B4">
            <w:pPr>
              <w:rPr>
                <w:sz w:val="4"/>
                <w:szCs w:val="4"/>
              </w:rPr>
            </w:pPr>
          </w:p>
        </w:tc>
        <w:tc>
          <w:tcPr>
            <w:tcW w:w="20" w:type="dxa"/>
            <w:tcBorders>
              <w:bottom w:val="single" w:sz="8" w:space="0" w:color="868686"/>
            </w:tcBorders>
            <w:vAlign w:val="bottom"/>
          </w:tcPr>
          <w:p w:rsidR="00AC12B4" w:rsidRDefault="00AC12B4">
            <w:pPr>
              <w:rPr>
                <w:sz w:val="4"/>
                <w:szCs w:val="4"/>
              </w:rPr>
            </w:pPr>
          </w:p>
        </w:tc>
        <w:tc>
          <w:tcPr>
            <w:tcW w:w="180" w:type="dxa"/>
            <w:vAlign w:val="bottom"/>
          </w:tcPr>
          <w:p w:rsidR="00AC12B4" w:rsidRDefault="00AC12B4">
            <w:pPr>
              <w:rPr>
                <w:sz w:val="4"/>
                <w:szCs w:val="4"/>
              </w:rPr>
            </w:pPr>
          </w:p>
        </w:tc>
        <w:tc>
          <w:tcPr>
            <w:tcW w:w="14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240" w:type="dxa"/>
            <w:vMerge w:val="restart"/>
            <w:tcBorders>
              <w:right w:val="single" w:sz="8" w:space="0" w:color="00923D"/>
            </w:tcBorders>
            <w:vAlign w:val="bottom"/>
          </w:tcPr>
          <w:p w:rsidR="00AC12B4" w:rsidRDefault="00C27636">
            <w:pPr>
              <w:ind w:left="60"/>
              <w:rPr>
                <w:sz w:val="20"/>
                <w:szCs w:val="20"/>
              </w:rPr>
            </w:pPr>
            <w:r>
              <w:rPr>
                <w:rFonts w:ascii="Calibri" w:eastAsia="Calibri" w:hAnsi="Calibri" w:cs="Calibri"/>
                <w:sz w:val="20"/>
                <w:szCs w:val="20"/>
              </w:rPr>
              <w:t>2ème</w:t>
            </w:r>
          </w:p>
        </w:tc>
        <w:tc>
          <w:tcPr>
            <w:tcW w:w="0" w:type="dxa"/>
            <w:vAlign w:val="bottom"/>
          </w:tcPr>
          <w:p w:rsidR="00AC12B4" w:rsidRDefault="00AC12B4">
            <w:pPr>
              <w:rPr>
                <w:sz w:val="1"/>
                <w:szCs w:val="1"/>
              </w:rPr>
            </w:pPr>
          </w:p>
        </w:tc>
      </w:tr>
      <w:tr w:rsidR="00AC12B4">
        <w:trPr>
          <w:trHeight w:val="93"/>
        </w:trPr>
        <w:tc>
          <w:tcPr>
            <w:tcW w:w="560" w:type="dxa"/>
            <w:vMerge/>
            <w:tcBorders>
              <w:right w:val="single" w:sz="8" w:space="0" w:color="00923D"/>
            </w:tcBorders>
            <w:vAlign w:val="bottom"/>
          </w:tcPr>
          <w:p w:rsidR="00AC12B4" w:rsidRDefault="00AC12B4">
            <w:pPr>
              <w:rPr>
                <w:sz w:val="8"/>
                <w:szCs w:val="8"/>
              </w:rPr>
            </w:pPr>
          </w:p>
        </w:tc>
        <w:tc>
          <w:tcPr>
            <w:tcW w:w="44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8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240" w:type="dxa"/>
            <w:vMerge/>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43"/>
        </w:trPr>
        <w:tc>
          <w:tcPr>
            <w:tcW w:w="560" w:type="dxa"/>
            <w:vMerge w:val="restart"/>
            <w:tcBorders>
              <w:right w:val="single" w:sz="8" w:space="0" w:color="00923D"/>
            </w:tcBorders>
            <w:vAlign w:val="bottom"/>
          </w:tcPr>
          <w:p w:rsidR="00AC12B4" w:rsidRDefault="00AC12B4">
            <w:pPr>
              <w:rPr>
                <w:sz w:val="3"/>
                <w:szCs w:val="3"/>
              </w:rPr>
            </w:pPr>
          </w:p>
        </w:tc>
        <w:tc>
          <w:tcPr>
            <w:tcW w:w="440" w:type="dxa"/>
            <w:vMerge w:val="restart"/>
            <w:vAlign w:val="bottom"/>
          </w:tcPr>
          <w:p w:rsidR="00AC12B4" w:rsidRDefault="00C27636">
            <w:pPr>
              <w:spacing w:line="216" w:lineRule="exact"/>
              <w:ind w:right="22"/>
              <w:jc w:val="right"/>
              <w:rPr>
                <w:sz w:val="20"/>
                <w:szCs w:val="20"/>
              </w:rPr>
            </w:pPr>
            <w:r>
              <w:rPr>
                <w:rFonts w:ascii="Calibri" w:eastAsia="Calibri" w:hAnsi="Calibri" w:cs="Calibri"/>
                <w:sz w:val="20"/>
                <w:szCs w:val="20"/>
              </w:rPr>
              <w:t>15</w:t>
            </w:r>
          </w:p>
        </w:tc>
        <w:tc>
          <w:tcPr>
            <w:tcW w:w="80" w:type="dxa"/>
            <w:tcBorders>
              <w:right w:val="single" w:sz="8" w:space="0" w:color="868686"/>
            </w:tcBorders>
            <w:vAlign w:val="bottom"/>
          </w:tcPr>
          <w:p w:rsidR="00AC12B4" w:rsidRDefault="00AC12B4">
            <w:pPr>
              <w:rPr>
                <w:sz w:val="3"/>
                <w:szCs w:val="3"/>
              </w:rPr>
            </w:pPr>
          </w:p>
        </w:tc>
        <w:tc>
          <w:tcPr>
            <w:tcW w:w="120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118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80" w:type="dxa"/>
            <w:vAlign w:val="bottom"/>
          </w:tcPr>
          <w:p w:rsidR="00AC12B4" w:rsidRDefault="00AC12B4">
            <w:pPr>
              <w:rPr>
                <w:sz w:val="3"/>
                <w:szCs w:val="3"/>
              </w:rPr>
            </w:pPr>
          </w:p>
        </w:tc>
        <w:tc>
          <w:tcPr>
            <w:tcW w:w="22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1080" w:type="dxa"/>
            <w:vAlign w:val="bottom"/>
          </w:tcPr>
          <w:p w:rsidR="00AC12B4" w:rsidRDefault="00AC12B4">
            <w:pPr>
              <w:rPr>
                <w:sz w:val="3"/>
                <w:szCs w:val="3"/>
              </w:rPr>
            </w:pPr>
          </w:p>
        </w:tc>
        <w:tc>
          <w:tcPr>
            <w:tcW w:w="12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900" w:type="dxa"/>
            <w:vAlign w:val="bottom"/>
          </w:tcPr>
          <w:p w:rsidR="00AC12B4" w:rsidRDefault="00AC12B4">
            <w:pPr>
              <w:rPr>
                <w:sz w:val="3"/>
                <w:szCs w:val="3"/>
              </w:rPr>
            </w:pPr>
          </w:p>
        </w:tc>
        <w:tc>
          <w:tcPr>
            <w:tcW w:w="300" w:type="dxa"/>
            <w:vAlign w:val="bottom"/>
          </w:tcPr>
          <w:p w:rsidR="00AC12B4" w:rsidRDefault="00AC12B4">
            <w:pPr>
              <w:rPr>
                <w:sz w:val="3"/>
                <w:szCs w:val="3"/>
              </w:rPr>
            </w:pPr>
          </w:p>
        </w:tc>
        <w:tc>
          <w:tcPr>
            <w:tcW w:w="20" w:type="dxa"/>
            <w:vAlign w:val="bottom"/>
          </w:tcPr>
          <w:p w:rsidR="00AC12B4" w:rsidRDefault="00AC12B4">
            <w:pPr>
              <w:rPr>
                <w:sz w:val="3"/>
                <w:szCs w:val="3"/>
              </w:rPr>
            </w:pPr>
          </w:p>
        </w:tc>
        <w:tc>
          <w:tcPr>
            <w:tcW w:w="180" w:type="dxa"/>
            <w:vAlign w:val="bottom"/>
          </w:tcPr>
          <w:p w:rsidR="00AC12B4" w:rsidRDefault="00AC12B4">
            <w:pPr>
              <w:rPr>
                <w:sz w:val="3"/>
                <w:szCs w:val="3"/>
              </w:rPr>
            </w:pPr>
          </w:p>
        </w:tc>
        <w:tc>
          <w:tcPr>
            <w:tcW w:w="140" w:type="dxa"/>
            <w:vAlign w:val="bottom"/>
          </w:tcPr>
          <w:p w:rsidR="00AC12B4" w:rsidRDefault="00AC12B4">
            <w:pPr>
              <w:rPr>
                <w:sz w:val="3"/>
                <w:szCs w:val="3"/>
              </w:rPr>
            </w:pPr>
          </w:p>
        </w:tc>
        <w:tc>
          <w:tcPr>
            <w:tcW w:w="100" w:type="dxa"/>
            <w:vAlign w:val="bottom"/>
          </w:tcPr>
          <w:p w:rsidR="00AC12B4" w:rsidRDefault="00AC12B4">
            <w:pPr>
              <w:rPr>
                <w:sz w:val="3"/>
                <w:szCs w:val="3"/>
              </w:rPr>
            </w:pPr>
          </w:p>
        </w:tc>
        <w:tc>
          <w:tcPr>
            <w:tcW w:w="1240" w:type="dxa"/>
            <w:vMerge/>
            <w:tcBorders>
              <w:right w:val="single" w:sz="8" w:space="0" w:color="00923D"/>
            </w:tcBorders>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60"/>
        </w:trPr>
        <w:tc>
          <w:tcPr>
            <w:tcW w:w="560" w:type="dxa"/>
            <w:vMerge/>
            <w:tcBorders>
              <w:right w:val="single" w:sz="8" w:space="0" w:color="00923D"/>
            </w:tcBorders>
            <w:vAlign w:val="bottom"/>
          </w:tcPr>
          <w:p w:rsidR="00AC12B4" w:rsidRDefault="00AC12B4">
            <w:pPr>
              <w:rPr>
                <w:sz w:val="5"/>
                <w:szCs w:val="5"/>
              </w:rPr>
            </w:pPr>
          </w:p>
        </w:tc>
        <w:tc>
          <w:tcPr>
            <w:tcW w:w="440" w:type="dxa"/>
            <w:vMerge/>
            <w:vAlign w:val="bottom"/>
          </w:tcPr>
          <w:p w:rsidR="00AC12B4" w:rsidRDefault="00AC12B4">
            <w:pPr>
              <w:rPr>
                <w:sz w:val="5"/>
                <w:szCs w:val="5"/>
              </w:rPr>
            </w:pPr>
          </w:p>
        </w:tc>
        <w:tc>
          <w:tcPr>
            <w:tcW w:w="80" w:type="dxa"/>
            <w:tcBorders>
              <w:bottom w:val="single" w:sz="8" w:space="0" w:color="868686"/>
              <w:right w:val="single" w:sz="8" w:space="0" w:color="868686"/>
            </w:tcBorders>
            <w:vAlign w:val="bottom"/>
          </w:tcPr>
          <w:p w:rsidR="00AC12B4" w:rsidRDefault="00AC12B4">
            <w:pPr>
              <w:rPr>
                <w:sz w:val="5"/>
                <w:szCs w:val="5"/>
              </w:rPr>
            </w:pPr>
          </w:p>
        </w:tc>
        <w:tc>
          <w:tcPr>
            <w:tcW w:w="120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18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980" w:type="dxa"/>
            <w:tcBorders>
              <w:bottom w:val="single" w:sz="8" w:space="0" w:color="868686"/>
            </w:tcBorders>
            <w:vAlign w:val="bottom"/>
          </w:tcPr>
          <w:p w:rsidR="00AC12B4" w:rsidRDefault="00AC12B4">
            <w:pPr>
              <w:rPr>
                <w:sz w:val="5"/>
                <w:szCs w:val="5"/>
              </w:rPr>
            </w:pPr>
          </w:p>
        </w:tc>
        <w:tc>
          <w:tcPr>
            <w:tcW w:w="22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080" w:type="dxa"/>
            <w:tcBorders>
              <w:bottom w:val="single" w:sz="8" w:space="0" w:color="868686"/>
            </w:tcBorders>
            <w:vAlign w:val="bottom"/>
          </w:tcPr>
          <w:p w:rsidR="00AC12B4" w:rsidRDefault="00AC12B4">
            <w:pPr>
              <w:rPr>
                <w:sz w:val="5"/>
                <w:szCs w:val="5"/>
              </w:rPr>
            </w:pPr>
          </w:p>
        </w:tc>
        <w:tc>
          <w:tcPr>
            <w:tcW w:w="12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900" w:type="dxa"/>
            <w:tcBorders>
              <w:bottom w:val="single" w:sz="8" w:space="0" w:color="868686"/>
            </w:tcBorders>
            <w:vAlign w:val="bottom"/>
          </w:tcPr>
          <w:p w:rsidR="00AC12B4" w:rsidRDefault="00AC12B4">
            <w:pPr>
              <w:rPr>
                <w:sz w:val="5"/>
                <w:szCs w:val="5"/>
              </w:rPr>
            </w:pPr>
          </w:p>
        </w:tc>
        <w:tc>
          <w:tcPr>
            <w:tcW w:w="300" w:type="dxa"/>
            <w:tcBorders>
              <w:bottom w:val="single" w:sz="8" w:space="0" w:color="868686"/>
            </w:tcBorders>
            <w:vAlign w:val="bottom"/>
          </w:tcPr>
          <w:p w:rsidR="00AC12B4" w:rsidRDefault="00AC12B4">
            <w:pPr>
              <w:rPr>
                <w:sz w:val="5"/>
                <w:szCs w:val="5"/>
              </w:rPr>
            </w:pPr>
          </w:p>
        </w:tc>
        <w:tc>
          <w:tcPr>
            <w:tcW w:w="20" w:type="dxa"/>
            <w:tcBorders>
              <w:bottom w:val="single" w:sz="8" w:space="0" w:color="868686"/>
            </w:tcBorders>
            <w:vAlign w:val="bottom"/>
          </w:tcPr>
          <w:p w:rsidR="00AC12B4" w:rsidRDefault="00AC12B4">
            <w:pPr>
              <w:rPr>
                <w:sz w:val="5"/>
                <w:szCs w:val="5"/>
              </w:rPr>
            </w:pPr>
          </w:p>
        </w:tc>
        <w:tc>
          <w:tcPr>
            <w:tcW w:w="180" w:type="dxa"/>
            <w:vAlign w:val="bottom"/>
          </w:tcPr>
          <w:p w:rsidR="00AC12B4" w:rsidRDefault="00AC12B4">
            <w:pPr>
              <w:rPr>
                <w:sz w:val="5"/>
                <w:szCs w:val="5"/>
              </w:rPr>
            </w:pPr>
          </w:p>
        </w:tc>
        <w:tc>
          <w:tcPr>
            <w:tcW w:w="140" w:type="dxa"/>
            <w:vMerge w:val="restart"/>
            <w:vAlign w:val="bottom"/>
          </w:tcPr>
          <w:p w:rsidR="00AC12B4" w:rsidRDefault="00AC12B4">
            <w:pPr>
              <w:rPr>
                <w:sz w:val="5"/>
                <w:szCs w:val="5"/>
              </w:rPr>
            </w:pPr>
          </w:p>
        </w:tc>
        <w:tc>
          <w:tcPr>
            <w:tcW w:w="100" w:type="dxa"/>
            <w:vMerge w:val="restart"/>
            <w:tcBorders>
              <w:bottom w:val="single" w:sz="8" w:space="0" w:color="C0504D"/>
            </w:tcBorders>
            <w:shd w:val="clear" w:color="auto" w:fill="C0504D"/>
            <w:vAlign w:val="bottom"/>
          </w:tcPr>
          <w:p w:rsidR="00AC12B4" w:rsidRDefault="00AC12B4">
            <w:pPr>
              <w:rPr>
                <w:sz w:val="5"/>
                <w:szCs w:val="5"/>
              </w:rPr>
            </w:pPr>
          </w:p>
        </w:tc>
        <w:tc>
          <w:tcPr>
            <w:tcW w:w="1240" w:type="dxa"/>
            <w:vMerge/>
            <w:tcBorders>
              <w:right w:val="single" w:sz="8" w:space="0" w:color="00923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30"/>
        </w:trPr>
        <w:tc>
          <w:tcPr>
            <w:tcW w:w="560" w:type="dxa"/>
            <w:vMerge/>
            <w:tcBorders>
              <w:right w:val="single" w:sz="8" w:space="0" w:color="00923D"/>
            </w:tcBorders>
            <w:vAlign w:val="bottom"/>
          </w:tcPr>
          <w:p w:rsidR="00AC12B4" w:rsidRDefault="00AC12B4">
            <w:pPr>
              <w:rPr>
                <w:sz w:val="2"/>
                <w:szCs w:val="2"/>
              </w:rPr>
            </w:pPr>
          </w:p>
        </w:tc>
        <w:tc>
          <w:tcPr>
            <w:tcW w:w="440" w:type="dxa"/>
            <w:vMerge/>
            <w:vAlign w:val="bottom"/>
          </w:tcPr>
          <w:p w:rsidR="00AC12B4" w:rsidRDefault="00AC12B4">
            <w:pPr>
              <w:rPr>
                <w:sz w:val="2"/>
                <w:szCs w:val="2"/>
              </w:rPr>
            </w:pPr>
          </w:p>
        </w:tc>
        <w:tc>
          <w:tcPr>
            <w:tcW w:w="80" w:type="dxa"/>
            <w:tcBorders>
              <w:right w:val="single" w:sz="8" w:space="0" w:color="868686"/>
            </w:tcBorders>
            <w:vAlign w:val="bottom"/>
          </w:tcPr>
          <w:p w:rsidR="00AC12B4" w:rsidRDefault="00AC12B4">
            <w:pPr>
              <w:rPr>
                <w:sz w:val="2"/>
                <w:szCs w:val="2"/>
              </w:rPr>
            </w:pPr>
          </w:p>
        </w:tc>
        <w:tc>
          <w:tcPr>
            <w:tcW w:w="12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18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980" w:type="dxa"/>
            <w:vAlign w:val="bottom"/>
          </w:tcPr>
          <w:p w:rsidR="00AC12B4" w:rsidRDefault="00AC12B4">
            <w:pPr>
              <w:rPr>
                <w:sz w:val="2"/>
                <w:szCs w:val="2"/>
              </w:rPr>
            </w:pPr>
          </w:p>
        </w:tc>
        <w:tc>
          <w:tcPr>
            <w:tcW w:w="22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080" w:type="dxa"/>
            <w:vAlign w:val="bottom"/>
          </w:tcPr>
          <w:p w:rsidR="00AC12B4" w:rsidRDefault="00AC12B4">
            <w:pPr>
              <w:rPr>
                <w:sz w:val="2"/>
                <w:szCs w:val="2"/>
              </w:rPr>
            </w:pPr>
          </w:p>
        </w:tc>
        <w:tc>
          <w:tcPr>
            <w:tcW w:w="12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900" w:type="dxa"/>
            <w:vAlign w:val="bottom"/>
          </w:tcPr>
          <w:p w:rsidR="00AC12B4" w:rsidRDefault="00AC12B4">
            <w:pPr>
              <w:rPr>
                <w:sz w:val="2"/>
                <w:szCs w:val="2"/>
              </w:rPr>
            </w:pPr>
          </w:p>
        </w:tc>
        <w:tc>
          <w:tcPr>
            <w:tcW w:w="300" w:type="dxa"/>
            <w:vAlign w:val="bottom"/>
          </w:tcPr>
          <w:p w:rsidR="00AC12B4" w:rsidRDefault="00AC12B4">
            <w:pPr>
              <w:rPr>
                <w:sz w:val="2"/>
                <w:szCs w:val="2"/>
              </w:rPr>
            </w:pPr>
          </w:p>
        </w:tc>
        <w:tc>
          <w:tcPr>
            <w:tcW w:w="20" w:type="dxa"/>
            <w:vAlign w:val="bottom"/>
          </w:tcPr>
          <w:p w:rsidR="00AC12B4" w:rsidRDefault="00AC12B4">
            <w:pPr>
              <w:rPr>
                <w:sz w:val="2"/>
                <w:szCs w:val="2"/>
              </w:rPr>
            </w:pPr>
          </w:p>
        </w:tc>
        <w:tc>
          <w:tcPr>
            <w:tcW w:w="180" w:type="dxa"/>
            <w:vAlign w:val="bottom"/>
          </w:tcPr>
          <w:p w:rsidR="00AC12B4" w:rsidRDefault="00AC12B4">
            <w:pPr>
              <w:rPr>
                <w:sz w:val="2"/>
                <w:szCs w:val="2"/>
              </w:rPr>
            </w:pPr>
          </w:p>
        </w:tc>
        <w:tc>
          <w:tcPr>
            <w:tcW w:w="140" w:type="dxa"/>
            <w:vMerge/>
            <w:vAlign w:val="bottom"/>
          </w:tcPr>
          <w:p w:rsidR="00AC12B4" w:rsidRDefault="00AC12B4">
            <w:pPr>
              <w:rPr>
                <w:sz w:val="2"/>
                <w:szCs w:val="2"/>
              </w:rPr>
            </w:pPr>
          </w:p>
        </w:tc>
        <w:tc>
          <w:tcPr>
            <w:tcW w:w="100" w:type="dxa"/>
            <w:vMerge/>
            <w:shd w:val="clear" w:color="auto" w:fill="C0504D"/>
            <w:vAlign w:val="bottom"/>
          </w:tcPr>
          <w:p w:rsidR="00AC12B4" w:rsidRDefault="00AC12B4">
            <w:pPr>
              <w:rPr>
                <w:sz w:val="2"/>
                <w:szCs w:val="2"/>
              </w:rPr>
            </w:pPr>
          </w:p>
        </w:tc>
        <w:tc>
          <w:tcPr>
            <w:tcW w:w="1240" w:type="dxa"/>
            <w:vMerge/>
            <w:tcBorders>
              <w:right w:val="single" w:sz="8" w:space="0" w:color="00923D"/>
            </w:tcBorders>
            <w:vAlign w:val="bottom"/>
          </w:tcPr>
          <w:p w:rsidR="00AC12B4" w:rsidRDefault="00AC12B4">
            <w:pPr>
              <w:rPr>
                <w:sz w:val="2"/>
                <w:szCs w:val="2"/>
              </w:rPr>
            </w:pPr>
          </w:p>
        </w:tc>
        <w:tc>
          <w:tcPr>
            <w:tcW w:w="0" w:type="dxa"/>
            <w:vAlign w:val="bottom"/>
          </w:tcPr>
          <w:p w:rsidR="00AC12B4" w:rsidRDefault="00AC12B4">
            <w:pPr>
              <w:spacing w:line="20" w:lineRule="exact"/>
              <w:rPr>
                <w:sz w:val="1"/>
                <w:szCs w:val="1"/>
              </w:rPr>
            </w:pPr>
          </w:p>
        </w:tc>
      </w:tr>
      <w:tr w:rsidR="00AC12B4">
        <w:trPr>
          <w:trHeight w:val="63"/>
        </w:trPr>
        <w:tc>
          <w:tcPr>
            <w:tcW w:w="560" w:type="dxa"/>
            <w:vMerge/>
            <w:tcBorders>
              <w:right w:val="single" w:sz="8" w:space="0" w:color="00923D"/>
            </w:tcBorders>
            <w:vAlign w:val="bottom"/>
          </w:tcPr>
          <w:p w:rsidR="00AC12B4" w:rsidRDefault="00AC12B4">
            <w:pPr>
              <w:rPr>
                <w:sz w:val="5"/>
                <w:szCs w:val="5"/>
              </w:rPr>
            </w:pPr>
          </w:p>
        </w:tc>
        <w:tc>
          <w:tcPr>
            <w:tcW w:w="440" w:type="dxa"/>
            <w:vMerge/>
            <w:vAlign w:val="bottom"/>
          </w:tcPr>
          <w:p w:rsidR="00AC12B4" w:rsidRDefault="00AC12B4">
            <w:pPr>
              <w:rPr>
                <w:sz w:val="5"/>
                <w:szCs w:val="5"/>
              </w:rPr>
            </w:pPr>
          </w:p>
        </w:tc>
        <w:tc>
          <w:tcPr>
            <w:tcW w:w="80" w:type="dxa"/>
            <w:tcBorders>
              <w:right w:val="single" w:sz="8" w:space="0" w:color="868686"/>
            </w:tcBorders>
            <w:vAlign w:val="bottom"/>
          </w:tcPr>
          <w:p w:rsidR="00AC12B4" w:rsidRDefault="00AC12B4">
            <w:pPr>
              <w:rPr>
                <w:sz w:val="5"/>
                <w:szCs w:val="5"/>
              </w:rPr>
            </w:pPr>
          </w:p>
        </w:tc>
        <w:tc>
          <w:tcPr>
            <w:tcW w:w="12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1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980" w:type="dxa"/>
            <w:vAlign w:val="bottom"/>
          </w:tcPr>
          <w:p w:rsidR="00AC12B4" w:rsidRDefault="00AC12B4">
            <w:pPr>
              <w:rPr>
                <w:sz w:val="5"/>
                <w:szCs w:val="5"/>
              </w:rPr>
            </w:pPr>
          </w:p>
        </w:tc>
        <w:tc>
          <w:tcPr>
            <w:tcW w:w="2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08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90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8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1240" w:type="dxa"/>
            <w:vMerge/>
            <w:tcBorders>
              <w:right w:val="single" w:sz="8" w:space="0" w:color="00923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03"/>
        </w:trPr>
        <w:tc>
          <w:tcPr>
            <w:tcW w:w="560" w:type="dxa"/>
            <w:vMerge w:val="restart"/>
            <w:tcBorders>
              <w:right w:val="single" w:sz="8" w:space="0" w:color="00923D"/>
            </w:tcBorders>
            <w:vAlign w:val="bottom"/>
          </w:tcPr>
          <w:p w:rsidR="00AC12B4" w:rsidRDefault="00AC12B4">
            <w:pPr>
              <w:rPr>
                <w:sz w:val="8"/>
                <w:szCs w:val="8"/>
              </w:rPr>
            </w:pPr>
          </w:p>
        </w:tc>
        <w:tc>
          <w:tcPr>
            <w:tcW w:w="440" w:type="dxa"/>
            <w:vMerge w:val="restart"/>
            <w:vAlign w:val="bottom"/>
          </w:tcPr>
          <w:p w:rsidR="00AC12B4" w:rsidRDefault="00C27636">
            <w:pPr>
              <w:spacing w:line="189" w:lineRule="exact"/>
              <w:ind w:right="22"/>
              <w:jc w:val="right"/>
              <w:rPr>
                <w:sz w:val="20"/>
                <w:szCs w:val="20"/>
              </w:rPr>
            </w:pPr>
            <w:r>
              <w:rPr>
                <w:rFonts w:ascii="Calibri" w:eastAsia="Calibri" w:hAnsi="Calibri" w:cs="Calibri"/>
                <w:sz w:val="20"/>
                <w:szCs w:val="20"/>
              </w:rPr>
              <w:t>10</w:t>
            </w:r>
          </w:p>
        </w:tc>
        <w:tc>
          <w:tcPr>
            <w:tcW w:w="80" w:type="dxa"/>
            <w:tcBorders>
              <w:bottom w:val="single" w:sz="8" w:space="0" w:color="868686"/>
              <w:right w:val="single" w:sz="8" w:space="0" w:color="868686"/>
            </w:tcBorders>
            <w:vAlign w:val="bottom"/>
          </w:tcPr>
          <w:p w:rsidR="00AC12B4" w:rsidRDefault="00AC12B4">
            <w:pPr>
              <w:rPr>
                <w:sz w:val="8"/>
                <w:szCs w:val="8"/>
              </w:rPr>
            </w:pPr>
          </w:p>
        </w:tc>
        <w:tc>
          <w:tcPr>
            <w:tcW w:w="12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18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80" w:type="dxa"/>
            <w:tcBorders>
              <w:bottom w:val="single" w:sz="8" w:space="0" w:color="868686"/>
            </w:tcBorders>
            <w:vAlign w:val="bottom"/>
          </w:tcPr>
          <w:p w:rsidR="00AC12B4" w:rsidRDefault="00AC12B4">
            <w:pPr>
              <w:rPr>
                <w:sz w:val="8"/>
                <w:szCs w:val="8"/>
              </w:rPr>
            </w:pPr>
          </w:p>
        </w:tc>
        <w:tc>
          <w:tcPr>
            <w:tcW w:w="2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080" w:type="dxa"/>
            <w:tcBorders>
              <w:bottom w:val="single" w:sz="8" w:space="0" w:color="868686"/>
            </w:tcBorders>
            <w:vAlign w:val="bottom"/>
          </w:tcPr>
          <w:p w:rsidR="00AC12B4" w:rsidRDefault="00AC12B4">
            <w:pPr>
              <w:rPr>
                <w:sz w:val="8"/>
                <w:szCs w:val="8"/>
              </w:rPr>
            </w:pPr>
          </w:p>
        </w:tc>
        <w:tc>
          <w:tcPr>
            <w:tcW w:w="12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900" w:type="dxa"/>
            <w:tcBorders>
              <w:bottom w:val="single" w:sz="8" w:space="0" w:color="868686"/>
            </w:tcBorders>
            <w:vAlign w:val="bottom"/>
          </w:tcPr>
          <w:p w:rsidR="00AC12B4" w:rsidRDefault="00AC12B4">
            <w:pPr>
              <w:rPr>
                <w:sz w:val="8"/>
                <w:szCs w:val="8"/>
              </w:rPr>
            </w:pPr>
          </w:p>
        </w:tc>
        <w:tc>
          <w:tcPr>
            <w:tcW w:w="300" w:type="dxa"/>
            <w:tcBorders>
              <w:bottom w:val="single" w:sz="8" w:space="0" w:color="868686"/>
            </w:tcBorders>
            <w:vAlign w:val="bottom"/>
          </w:tcPr>
          <w:p w:rsidR="00AC12B4" w:rsidRDefault="00AC12B4">
            <w:pPr>
              <w:rPr>
                <w:sz w:val="8"/>
                <w:szCs w:val="8"/>
              </w:rPr>
            </w:pPr>
          </w:p>
        </w:tc>
        <w:tc>
          <w:tcPr>
            <w:tcW w:w="20" w:type="dxa"/>
            <w:tcBorders>
              <w:bottom w:val="single" w:sz="8" w:space="0" w:color="868686"/>
            </w:tcBorders>
            <w:vAlign w:val="bottom"/>
          </w:tcPr>
          <w:p w:rsidR="00AC12B4" w:rsidRDefault="00AC12B4">
            <w:pPr>
              <w:rPr>
                <w:sz w:val="8"/>
                <w:szCs w:val="8"/>
              </w:rPr>
            </w:pPr>
          </w:p>
        </w:tc>
        <w:tc>
          <w:tcPr>
            <w:tcW w:w="18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240" w:type="dxa"/>
            <w:vMerge w:val="restart"/>
            <w:tcBorders>
              <w:right w:val="single" w:sz="8" w:space="0" w:color="00923D"/>
            </w:tcBorders>
            <w:vAlign w:val="bottom"/>
          </w:tcPr>
          <w:p w:rsidR="00AC12B4" w:rsidRDefault="00C27636">
            <w:pPr>
              <w:ind w:left="60"/>
              <w:rPr>
                <w:sz w:val="20"/>
                <w:szCs w:val="20"/>
              </w:rPr>
            </w:pPr>
            <w:r>
              <w:rPr>
                <w:rFonts w:ascii="Calibri" w:eastAsia="Calibri" w:hAnsi="Calibri" w:cs="Calibri"/>
                <w:sz w:val="20"/>
                <w:szCs w:val="20"/>
              </w:rPr>
              <w:t>3ème</w:t>
            </w:r>
          </w:p>
        </w:tc>
        <w:tc>
          <w:tcPr>
            <w:tcW w:w="0" w:type="dxa"/>
            <w:vAlign w:val="bottom"/>
          </w:tcPr>
          <w:p w:rsidR="00AC12B4" w:rsidRDefault="00AC12B4">
            <w:pPr>
              <w:rPr>
                <w:sz w:val="1"/>
                <w:szCs w:val="1"/>
              </w:rPr>
            </w:pPr>
          </w:p>
        </w:tc>
      </w:tr>
      <w:tr w:rsidR="00AC12B4">
        <w:trPr>
          <w:trHeight w:val="66"/>
        </w:trPr>
        <w:tc>
          <w:tcPr>
            <w:tcW w:w="560" w:type="dxa"/>
            <w:vMerge/>
            <w:tcBorders>
              <w:right w:val="single" w:sz="8" w:space="0" w:color="00923D"/>
            </w:tcBorders>
            <w:vAlign w:val="bottom"/>
          </w:tcPr>
          <w:p w:rsidR="00AC12B4" w:rsidRDefault="00AC12B4">
            <w:pPr>
              <w:rPr>
                <w:sz w:val="5"/>
                <w:szCs w:val="5"/>
              </w:rPr>
            </w:pPr>
          </w:p>
        </w:tc>
        <w:tc>
          <w:tcPr>
            <w:tcW w:w="440" w:type="dxa"/>
            <w:vMerge/>
            <w:vAlign w:val="bottom"/>
          </w:tcPr>
          <w:p w:rsidR="00AC12B4" w:rsidRDefault="00AC12B4">
            <w:pPr>
              <w:rPr>
                <w:sz w:val="5"/>
                <w:szCs w:val="5"/>
              </w:rPr>
            </w:pPr>
          </w:p>
        </w:tc>
        <w:tc>
          <w:tcPr>
            <w:tcW w:w="80" w:type="dxa"/>
            <w:tcBorders>
              <w:right w:val="single" w:sz="8" w:space="0" w:color="868686"/>
            </w:tcBorders>
            <w:vAlign w:val="bottom"/>
          </w:tcPr>
          <w:p w:rsidR="00AC12B4" w:rsidRDefault="00AC12B4">
            <w:pPr>
              <w:rPr>
                <w:sz w:val="5"/>
                <w:szCs w:val="5"/>
              </w:rPr>
            </w:pPr>
          </w:p>
        </w:tc>
        <w:tc>
          <w:tcPr>
            <w:tcW w:w="12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18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980" w:type="dxa"/>
            <w:vAlign w:val="bottom"/>
          </w:tcPr>
          <w:p w:rsidR="00AC12B4" w:rsidRDefault="00AC12B4">
            <w:pPr>
              <w:rPr>
                <w:sz w:val="5"/>
                <w:szCs w:val="5"/>
              </w:rPr>
            </w:pPr>
          </w:p>
        </w:tc>
        <w:tc>
          <w:tcPr>
            <w:tcW w:w="2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08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900" w:type="dxa"/>
            <w:vAlign w:val="bottom"/>
          </w:tcPr>
          <w:p w:rsidR="00AC12B4" w:rsidRDefault="00AC12B4">
            <w:pPr>
              <w:rPr>
                <w:sz w:val="5"/>
                <w:szCs w:val="5"/>
              </w:rPr>
            </w:pPr>
          </w:p>
        </w:tc>
        <w:tc>
          <w:tcPr>
            <w:tcW w:w="300" w:type="dxa"/>
            <w:vAlign w:val="bottom"/>
          </w:tcPr>
          <w:p w:rsidR="00AC12B4" w:rsidRDefault="00AC12B4">
            <w:pPr>
              <w:rPr>
                <w:sz w:val="5"/>
                <w:szCs w:val="5"/>
              </w:rPr>
            </w:pPr>
          </w:p>
        </w:tc>
        <w:tc>
          <w:tcPr>
            <w:tcW w:w="20" w:type="dxa"/>
            <w:vAlign w:val="bottom"/>
          </w:tcPr>
          <w:p w:rsidR="00AC12B4" w:rsidRDefault="00AC12B4">
            <w:pPr>
              <w:rPr>
                <w:sz w:val="5"/>
                <w:szCs w:val="5"/>
              </w:rPr>
            </w:pPr>
          </w:p>
        </w:tc>
        <w:tc>
          <w:tcPr>
            <w:tcW w:w="180" w:type="dxa"/>
            <w:vAlign w:val="bottom"/>
          </w:tcPr>
          <w:p w:rsidR="00AC12B4" w:rsidRDefault="00AC12B4">
            <w:pPr>
              <w:rPr>
                <w:sz w:val="5"/>
                <w:szCs w:val="5"/>
              </w:rPr>
            </w:pPr>
          </w:p>
        </w:tc>
        <w:tc>
          <w:tcPr>
            <w:tcW w:w="140" w:type="dxa"/>
            <w:vAlign w:val="bottom"/>
          </w:tcPr>
          <w:p w:rsidR="00AC12B4" w:rsidRDefault="00AC12B4">
            <w:pPr>
              <w:rPr>
                <w:sz w:val="5"/>
                <w:szCs w:val="5"/>
              </w:rPr>
            </w:pPr>
          </w:p>
        </w:tc>
        <w:tc>
          <w:tcPr>
            <w:tcW w:w="100" w:type="dxa"/>
            <w:vAlign w:val="bottom"/>
          </w:tcPr>
          <w:p w:rsidR="00AC12B4" w:rsidRDefault="00AC12B4">
            <w:pPr>
              <w:rPr>
                <w:sz w:val="5"/>
                <w:szCs w:val="5"/>
              </w:rPr>
            </w:pPr>
          </w:p>
        </w:tc>
        <w:tc>
          <w:tcPr>
            <w:tcW w:w="1240" w:type="dxa"/>
            <w:vMerge/>
            <w:tcBorders>
              <w:right w:val="single" w:sz="8" w:space="0" w:color="00923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08"/>
        </w:trPr>
        <w:tc>
          <w:tcPr>
            <w:tcW w:w="560" w:type="dxa"/>
            <w:tcBorders>
              <w:right w:val="single" w:sz="8" w:space="0" w:color="00923D"/>
            </w:tcBorders>
            <w:vAlign w:val="bottom"/>
          </w:tcPr>
          <w:p w:rsidR="00AC12B4" w:rsidRDefault="00AC12B4">
            <w:pPr>
              <w:rPr>
                <w:sz w:val="9"/>
                <w:szCs w:val="9"/>
              </w:rPr>
            </w:pPr>
          </w:p>
        </w:tc>
        <w:tc>
          <w:tcPr>
            <w:tcW w:w="440" w:type="dxa"/>
            <w:vMerge w:val="restart"/>
            <w:vAlign w:val="bottom"/>
          </w:tcPr>
          <w:p w:rsidR="00AC12B4" w:rsidRDefault="00C27636">
            <w:pPr>
              <w:spacing w:line="243" w:lineRule="exact"/>
              <w:ind w:right="22"/>
              <w:jc w:val="right"/>
              <w:rPr>
                <w:sz w:val="20"/>
                <w:szCs w:val="20"/>
              </w:rPr>
            </w:pPr>
            <w:r>
              <w:rPr>
                <w:rFonts w:ascii="Calibri" w:eastAsia="Calibri" w:hAnsi="Calibri" w:cs="Calibri"/>
                <w:sz w:val="20"/>
                <w:szCs w:val="20"/>
              </w:rPr>
              <w:t>5</w:t>
            </w:r>
          </w:p>
        </w:tc>
        <w:tc>
          <w:tcPr>
            <w:tcW w:w="80" w:type="dxa"/>
            <w:tcBorders>
              <w:right w:val="single" w:sz="8" w:space="0" w:color="868686"/>
            </w:tcBorders>
            <w:vAlign w:val="bottom"/>
          </w:tcPr>
          <w:p w:rsidR="00AC12B4" w:rsidRDefault="00AC12B4">
            <w:pPr>
              <w:rPr>
                <w:sz w:val="9"/>
                <w:szCs w:val="9"/>
              </w:rPr>
            </w:pPr>
          </w:p>
        </w:tc>
        <w:tc>
          <w:tcPr>
            <w:tcW w:w="12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18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80" w:type="dxa"/>
            <w:vAlign w:val="bottom"/>
          </w:tcPr>
          <w:p w:rsidR="00AC12B4" w:rsidRDefault="00AC12B4">
            <w:pPr>
              <w:rPr>
                <w:sz w:val="9"/>
                <w:szCs w:val="9"/>
              </w:rPr>
            </w:pPr>
          </w:p>
        </w:tc>
        <w:tc>
          <w:tcPr>
            <w:tcW w:w="2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08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900" w:type="dxa"/>
            <w:vAlign w:val="bottom"/>
          </w:tcPr>
          <w:p w:rsidR="00AC12B4" w:rsidRDefault="00AC12B4">
            <w:pPr>
              <w:rPr>
                <w:sz w:val="9"/>
                <w:szCs w:val="9"/>
              </w:rPr>
            </w:pPr>
          </w:p>
        </w:tc>
        <w:tc>
          <w:tcPr>
            <w:tcW w:w="300" w:type="dxa"/>
            <w:vAlign w:val="bottom"/>
          </w:tcPr>
          <w:p w:rsidR="00AC12B4" w:rsidRDefault="00AC12B4">
            <w:pPr>
              <w:rPr>
                <w:sz w:val="9"/>
                <w:szCs w:val="9"/>
              </w:rPr>
            </w:pPr>
          </w:p>
        </w:tc>
        <w:tc>
          <w:tcPr>
            <w:tcW w:w="2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100" w:type="dxa"/>
            <w:shd w:val="clear" w:color="auto" w:fill="9BBB59"/>
            <w:vAlign w:val="bottom"/>
          </w:tcPr>
          <w:p w:rsidR="00AC12B4" w:rsidRDefault="00AC12B4">
            <w:pPr>
              <w:rPr>
                <w:sz w:val="9"/>
                <w:szCs w:val="9"/>
              </w:rPr>
            </w:pPr>
          </w:p>
        </w:tc>
        <w:tc>
          <w:tcPr>
            <w:tcW w:w="1240" w:type="dxa"/>
            <w:vMerge/>
            <w:tcBorders>
              <w:right w:val="single" w:sz="8" w:space="0" w:color="00923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2"/>
        </w:trPr>
        <w:tc>
          <w:tcPr>
            <w:tcW w:w="560" w:type="dxa"/>
            <w:tcBorders>
              <w:right w:val="single" w:sz="8" w:space="0" w:color="00923D"/>
            </w:tcBorders>
            <w:vAlign w:val="bottom"/>
          </w:tcPr>
          <w:p w:rsidR="00AC12B4" w:rsidRDefault="00AC12B4">
            <w:pPr>
              <w:spacing w:line="20" w:lineRule="exact"/>
              <w:rPr>
                <w:sz w:val="1"/>
                <w:szCs w:val="1"/>
              </w:rPr>
            </w:pPr>
          </w:p>
        </w:tc>
        <w:tc>
          <w:tcPr>
            <w:tcW w:w="440" w:type="dxa"/>
            <w:vMerge/>
            <w:vAlign w:val="bottom"/>
          </w:tcPr>
          <w:p w:rsidR="00AC12B4" w:rsidRDefault="00AC12B4">
            <w:pPr>
              <w:spacing w:line="20" w:lineRule="exact"/>
              <w:rPr>
                <w:sz w:val="1"/>
                <w:szCs w:val="1"/>
              </w:rPr>
            </w:pPr>
          </w:p>
        </w:tc>
        <w:tc>
          <w:tcPr>
            <w:tcW w:w="80" w:type="dxa"/>
            <w:tcBorders>
              <w:bottom w:val="single" w:sz="8" w:space="0" w:color="868686"/>
              <w:right w:val="single" w:sz="8" w:space="0" w:color="868686"/>
            </w:tcBorders>
            <w:vAlign w:val="bottom"/>
          </w:tcPr>
          <w:p w:rsidR="00AC12B4" w:rsidRDefault="00AC12B4">
            <w:pPr>
              <w:spacing w:line="20" w:lineRule="exact"/>
              <w:rPr>
                <w:sz w:val="1"/>
                <w:szCs w:val="1"/>
              </w:rPr>
            </w:pPr>
          </w:p>
        </w:tc>
        <w:tc>
          <w:tcPr>
            <w:tcW w:w="120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118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980" w:type="dxa"/>
            <w:tcBorders>
              <w:bottom w:val="single" w:sz="8" w:space="0" w:color="868686"/>
            </w:tcBorders>
            <w:vAlign w:val="bottom"/>
          </w:tcPr>
          <w:p w:rsidR="00AC12B4" w:rsidRDefault="00AC12B4">
            <w:pPr>
              <w:spacing w:line="20" w:lineRule="exact"/>
              <w:rPr>
                <w:sz w:val="1"/>
                <w:szCs w:val="1"/>
              </w:rPr>
            </w:pPr>
          </w:p>
        </w:tc>
        <w:tc>
          <w:tcPr>
            <w:tcW w:w="22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1080" w:type="dxa"/>
            <w:tcBorders>
              <w:bottom w:val="single" w:sz="8" w:space="0" w:color="868686"/>
            </w:tcBorders>
            <w:vAlign w:val="bottom"/>
          </w:tcPr>
          <w:p w:rsidR="00AC12B4" w:rsidRDefault="00AC12B4">
            <w:pPr>
              <w:spacing w:line="20" w:lineRule="exact"/>
              <w:rPr>
                <w:sz w:val="1"/>
                <w:szCs w:val="1"/>
              </w:rPr>
            </w:pPr>
          </w:p>
        </w:tc>
        <w:tc>
          <w:tcPr>
            <w:tcW w:w="12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900" w:type="dxa"/>
            <w:tcBorders>
              <w:bottom w:val="single" w:sz="8" w:space="0" w:color="868686"/>
            </w:tcBorders>
            <w:vAlign w:val="bottom"/>
          </w:tcPr>
          <w:p w:rsidR="00AC12B4" w:rsidRDefault="00AC12B4">
            <w:pPr>
              <w:spacing w:line="20" w:lineRule="exact"/>
              <w:rPr>
                <w:sz w:val="1"/>
                <w:szCs w:val="1"/>
              </w:rPr>
            </w:pPr>
          </w:p>
        </w:tc>
        <w:tc>
          <w:tcPr>
            <w:tcW w:w="300" w:type="dxa"/>
            <w:tcBorders>
              <w:bottom w:val="single" w:sz="8" w:space="0" w:color="868686"/>
            </w:tcBorders>
            <w:vAlign w:val="bottom"/>
          </w:tcPr>
          <w:p w:rsidR="00AC12B4" w:rsidRDefault="00AC12B4">
            <w:pPr>
              <w:spacing w:line="20" w:lineRule="exact"/>
              <w:rPr>
                <w:sz w:val="1"/>
                <w:szCs w:val="1"/>
              </w:rPr>
            </w:pPr>
          </w:p>
        </w:tc>
        <w:tc>
          <w:tcPr>
            <w:tcW w:w="20" w:type="dxa"/>
            <w:tcBorders>
              <w:bottom w:val="single" w:sz="8" w:space="0" w:color="868686"/>
            </w:tcBorders>
            <w:vAlign w:val="bottom"/>
          </w:tcPr>
          <w:p w:rsidR="00AC12B4" w:rsidRDefault="00AC12B4">
            <w:pPr>
              <w:spacing w:line="20" w:lineRule="exact"/>
              <w:rPr>
                <w:sz w:val="1"/>
                <w:szCs w:val="1"/>
              </w:rPr>
            </w:pPr>
          </w:p>
        </w:tc>
        <w:tc>
          <w:tcPr>
            <w:tcW w:w="180" w:type="dxa"/>
            <w:vAlign w:val="bottom"/>
          </w:tcPr>
          <w:p w:rsidR="00AC12B4" w:rsidRDefault="00AC12B4">
            <w:pPr>
              <w:spacing w:line="20" w:lineRule="exact"/>
              <w:rPr>
                <w:sz w:val="1"/>
                <w:szCs w:val="1"/>
              </w:rPr>
            </w:pPr>
          </w:p>
        </w:tc>
        <w:tc>
          <w:tcPr>
            <w:tcW w:w="140" w:type="dxa"/>
            <w:vAlign w:val="bottom"/>
          </w:tcPr>
          <w:p w:rsidR="00AC12B4" w:rsidRDefault="00AC12B4">
            <w:pPr>
              <w:spacing w:line="20" w:lineRule="exact"/>
              <w:rPr>
                <w:sz w:val="1"/>
                <w:szCs w:val="1"/>
              </w:rPr>
            </w:pPr>
          </w:p>
        </w:tc>
        <w:tc>
          <w:tcPr>
            <w:tcW w:w="100" w:type="dxa"/>
            <w:vAlign w:val="bottom"/>
          </w:tcPr>
          <w:p w:rsidR="00AC12B4" w:rsidRDefault="00AC12B4">
            <w:pPr>
              <w:spacing w:line="20" w:lineRule="exact"/>
              <w:rPr>
                <w:sz w:val="1"/>
                <w:szCs w:val="1"/>
              </w:rPr>
            </w:pPr>
          </w:p>
        </w:tc>
        <w:tc>
          <w:tcPr>
            <w:tcW w:w="1240" w:type="dxa"/>
            <w:vMerge/>
            <w:tcBorders>
              <w:right w:val="single" w:sz="8" w:space="0" w:color="00923D"/>
            </w:tcBorders>
            <w:vAlign w:val="bottom"/>
          </w:tcPr>
          <w:p w:rsidR="00AC12B4" w:rsidRDefault="00AC12B4">
            <w:pPr>
              <w:spacing w:line="20" w:lineRule="exact"/>
              <w:rPr>
                <w:sz w:val="1"/>
                <w:szCs w:val="1"/>
              </w:rPr>
            </w:pPr>
          </w:p>
        </w:tc>
        <w:tc>
          <w:tcPr>
            <w:tcW w:w="0" w:type="dxa"/>
            <w:vAlign w:val="bottom"/>
          </w:tcPr>
          <w:p w:rsidR="00AC12B4" w:rsidRDefault="00AC12B4">
            <w:pPr>
              <w:rPr>
                <w:sz w:val="1"/>
                <w:szCs w:val="1"/>
              </w:rPr>
            </w:pPr>
          </w:p>
        </w:tc>
      </w:tr>
      <w:tr w:rsidR="00AC12B4">
        <w:trPr>
          <w:trHeight w:val="93"/>
        </w:trPr>
        <w:tc>
          <w:tcPr>
            <w:tcW w:w="560" w:type="dxa"/>
            <w:tcBorders>
              <w:right w:val="single" w:sz="8" w:space="0" w:color="00923D"/>
            </w:tcBorders>
            <w:vAlign w:val="bottom"/>
          </w:tcPr>
          <w:p w:rsidR="00AC12B4" w:rsidRDefault="00AC12B4">
            <w:pPr>
              <w:rPr>
                <w:sz w:val="8"/>
                <w:szCs w:val="8"/>
              </w:rPr>
            </w:pPr>
          </w:p>
        </w:tc>
        <w:tc>
          <w:tcPr>
            <w:tcW w:w="440" w:type="dxa"/>
            <w:vMerge/>
            <w:vAlign w:val="bottom"/>
          </w:tcPr>
          <w:p w:rsidR="00AC12B4" w:rsidRDefault="00AC12B4">
            <w:pPr>
              <w:rPr>
                <w:sz w:val="8"/>
                <w:szCs w:val="8"/>
              </w:rPr>
            </w:pPr>
          </w:p>
        </w:tc>
        <w:tc>
          <w:tcPr>
            <w:tcW w:w="80" w:type="dxa"/>
            <w:tcBorders>
              <w:right w:val="single" w:sz="8" w:space="0" w:color="868686"/>
            </w:tcBorders>
            <w:vAlign w:val="bottom"/>
          </w:tcPr>
          <w:p w:rsidR="00AC12B4" w:rsidRDefault="00AC12B4">
            <w:pPr>
              <w:rPr>
                <w:sz w:val="8"/>
                <w:szCs w:val="8"/>
              </w:rPr>
            </w:pPr>
          </w:p>
        </w:tc>
        <w:tc>
          <w:tcPr>
            <w:tcW w:w="12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18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8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080" w:type="dxa"/>
            <w:vAlign w:val="bottom"/>
          </w:tcPr>
          <w:p w:rsidR="00AC12B4" w:rsidRDefault="00AC12B4">
            <w:pPr>
              <w:rPr>
                <w:sz w:val="8"/>
                <w:szCs w:val="8"/>
              </w:rPr>
            </w:pPr>
          </w:p>
        </w:tc>
        <w:tc>
          <w:tcPr>
            <w:tcW w:w="12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90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100" w:type="dxa"/>
            <w:vAlign w:val="bottom"/>
          </w:tcPr>
          <w:p w:rsidR="00AC12B4" w:rsidRDefault="00AC12B4">
            <w:pPr>
              <w:rPr>
                <w:sz w:val="8"/>
                <w:szCs w:val="8"/>
              </w:rPr>
            </w:pPr>
          </w:p>
        </w:tc>
        <w:tc>
          <w:tcPr>
            <w:tcW w:w="1240" w:type="dxa"/>
            <w:tcBorders>
              <w:right w:val="single" w:sz="8" w:space="0" w:color="00923D"/>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08"/>
        </w:trPr>
        <w:tc>
          <w:tcPr>
            <w:tcW w:w="560" w:type="dxa"/>
            <w:tcBorders>
              <w:right w:val="single" w:sz="8" w:space="0" w:color="00923D"/>
            </w:tcBorders>
            <w:vAlign w:val="bottom"/>
          </w:tcPr>
          <w:p w:rsidR="00AC12B4" w:rsidRDefault="00AC12B4">
            <w:pPr>
              <w:rPr>
                <w:sz w:val="18"/>
                <w:szCs w:val="18"/>
              </w:rPr>
            </w:pPr>
          </w:p>
        </w:tc>
        <w:tc>
          <w:tcPr>
            <w:tcW w:w="440" w:type="dxa"/>
            <w:vAlign w:val="bottom"/>
          </w:tcPr>
          <w:p w:rsidR="00AC12B4" w:rsidRDefault="00C27636">
            <w:pPr>
              <w:spacing w:line="174" w:lineRule="exact"/>
              <w:ind w:right="22"/>
              <w:jc w:val="right"/>
              <w:rPr>
                <w:sz w:val="20"/>
                <w:szCs w:val="20"/>
              </w:rPr>
            </w:pPr>
            <w:r>
              <w:rPr>
                <w:rFonts w:ascii="Calibri" w:eastAsia="Calibri" w:hAnsi="Calibri" w:cs="Calibri"/>
                <w:sz w:val="19"/>
                <w:szCs w:val="19"/>
              </w:rPr>
              <w:t>0</w:t>
            </w:r>
          </w:p>
        </w:tc>
        <w:tc>
          <w:tcPr>
            <w:tcW w:w="80" w:type="dxa"/>
            <w:tcBorders>
              <w:bottom w:val="single" w:sz="8" w:space="0" w:color="868686"/>
              <w:right w:val="single" w:sz="8" w:space="0" w:color="868686"/>
            </w:tcBorders>
            <w:vAlign w:val="bottom"/>
          </w:tcPr>
          <w:p w:rsidR="00AC12B4" w:rsidRDefault="00AC12B4">
            <w:pPr>
              <w:rPr>
                <w:sz w:val="18"/>
                <w:szCs w:val="18"/>
              </w:rPr>
            </w:pPr>
          </w:p>
        </w:tc>
        <w:tc>
          <w:tcPr>
            <w:tcW w:w="1200" w:type="dxa"/>
            <w:tcBorders>
              <w:bottom w:val="single" w:sz="8" w:space="0" w:color="868686"/>
            </w:tcBorders>
            <w:vAlign w:val="bottom"/>
          </w:tcPr>
          <w:p w:rsidR="00AC12B4" w:rsidRDefault="00AC12B4">
            <w:pPr>
              <w:rPr>
                <w:sz w:val="18"/>
                <w:szCs w:val="18"/>
              </w:rPr>
            </w:pPr>
          </w:p>
        </w:tc>
        <w:tc>
          <w:tcPr>
            <w:tcW w:w="20" w:type="dxa"/>
            <w:tcBorders>
              <w:bottom w:val="single" w:sz="8" w:space="0" w:color="868686"/>
            </w:tcBorders>
            <w:vAlign w:val="bottom"/>
          </w:tcPr>
          <w:p w:rsidR="00AC12B4" w:rsidRDefault="00AC12B4">
            <w:pPr>
              <w:rPr>
                <w:sz w:val="18"/>
                <w:szCs w:val="18"/>
              </w:rPr>
            </w:pPr>
          </w:p>
        </w:tc>
        <w:tc>
          <w:tcPr>
            <w:tcW w:w="1180" w:type="dxa"/>
            <w:tcBorders>
              <w:bottom w:val="single" w:sz="8" w:space="0" w:color="868686"/>
            </w:tcBorders>
            <w:vAlign w:val="bottom"/>
          </w:tcPr>
          <w:p w:rsidR="00AC12B4" w:rsidRDefault="00AC12B4">
            <w:pPr>
              <w:rPr>
                <w:sz w:val="18"/>
                <w:szCs w:val="18"/>
              </w:rPr>
            </w:pPr>
          </w:p>
        </w:tc>
        <w:tc>
          <w:tcPr>
            <w:tcW w:w="20" w:type="dxa"/>
            <w:tcBorders>
              <w:bottom w:val="single" w:sz="8" w:space="0" w:color="868686"/>
            </w:tcBorders>
            <w:vAlign w:val="bottom"/>
          </w:tcPr>
          <w:p w:rsidR="00AC12B4" w:rsidRDefault="00AC12B4">
            <w:pPr>
              <w:rPr>
                <w:sz w:val="18"/>
                <w:szCs w:val="18"/>
              </w:rPr>
            </w:pPr>
          </w:p>
        </w:tc>
        <w:tc>
          <w:tcPr>
            <w:tcW w:w="980" w:type="dxa"/>
            <w:tcBorders>
              <w:bottom w:val="single" w:sz="8" w:space="0" w:color="868686"/>
            </w:tcBorders>
            <w:vAlign w:val="bottom"/>
          </w:tcPr>
          <w:p w:rsidR="00AC12B4" w:rsidRDefault="00AC12B4">
            <w:pPr>
              <w:rPr>
                <w:sz w:val="18"/>
                <w:szCs w:val="18"/>
              </w:rPr>
            </w:pPr>
          </w:p>
        </w:tc>
        <w:tc>
          <w:tcPr>
            <w:tcW w:w="220" w:type="dxa"/>
            <w:tcBorders>
              <w:bottom w:val="single" w:sz="8" w:space="0" w:color="868686"/>
            </w:tcBorders>
            <w:vAlign w:val="bottom"/>
          </w:tcPr>
          <w:p w:rsidR="00AC12B4" w:rsidRDefault="00AC12B4">
            <w:pPr>
              <w:rPr>
                <w:sz w:val="18"/>
                <w:szCs w:val="18"/>
              </w:rPr>
            </w:pPr>
          </w:p>
        </w:tc>
        <w:tc>
          <w:tcPr>
            <w:tcW w:w="20" w:type="dxa"/>
            <w:tcBorders>
              <w:bottom w:val="single" w:sz="8" w:space="0" w:color="868686"/>
            </w:tcBorders>
            <w:vAlign w:val="bottom"/>
          </w:tcPr>
          <w:p w:rsidR="00AC12B4" w:rsidRDefault="00AC12B4">
            <w:pPr>
              <w:rPr>
                <w:sz w:val="18"/>
                <w:szCs w:val="18"/>
              </w:rPr>
            </w:pPr>
          </w:p>
        </w:tc>
        <w:tc>
          <w:tcPr>
            <w:tcW w:w="1080" w:type="dxa"/>
            <w:tcBorders>
              <w:bottom w:val="single" w:sz="8" w:space="0" w:color="868686"/>
            </w:tcBorders>
            <w:vAlign w:val="bottom"/>
          </w:tcPr>
          <w:p w:rsidR="00AC12B4" w:rsidRDefault="00AC12B4">
            <w:pPr>
              <w:rPr>
                <w:sz w:val="18"/>
                <w:szCs w:val="18"/>
              </w:rPr>
            </w:pPr>
          </w:p>
        </w:tc>
        <w:tc>
          <w:tcPr>
            <w:tcW w:w="120" w:type="dxa"/>
            <w:tcBorders>
              <w:bottom w:val="single" w:sz="8" w:space="0" w:color="868686"/>
            </w:tcBorders>
            <w:vAlign w:val="bottom"/>
          </w:tcPr>
          <w:p w:rsidR="00AC12B4" w:rsidRDefault="00AC12B4">
            <w:pPr>
              <w:rPr>
                <w:sz w:val="18"/>
                <w:szCs w:val="18"/>
              </w:rPr>
            </w:pPr>
          </w:p>
        </w:tc>
        <w:tc>
          <w:tcPr>
            <w:tcW w:w="20" w:type="dxa"/>
            <w:tcBorders>
              <w:bottom w:val="single" w:sz="8" w:space="0" w:color="868686"/>
            </w:tcBorders>
            <w:vAlign w:val="bottom"/>
          </w:tcPr>
          <w:p w:rsidR="00AC12B4" w:rsidRDefault="00AC12B4">
            <w:pPr>
              <w:rPr>
                <w:sz w:val="18"/>
                <w:szCs w:val="18"/>
              </w:rPr>
            </w:pPr>
          </w:p>
        </w:tc>
        <w:tc>
          <w:tcPr>
            <w:tcW w:w="900" w:type="dxa"/>
            <w:tcBorders>
              <w:bottom w:val="single" w:sz="8" w:space="0" w:color="868686"/>
            </w:tcBorders>
            <w:vAlign w:val="bottom"/>
          </w:tcPr>
          <w:p w:rsidR="00AC12B4" w:rsidRDefault="00AC12B4">
            <w:pPr>
              <w:rPr>
                <w:sz w:val="18"/>
                <w:szCs w:val="18"/>
              </w:rPr>
            </w:pPr>
          </w:p>
        </w:tc>
        <w:tc>
          <w:tcPr>
            <w:tcW w:w="300" w:type="dxa"/>
            <w:tcBorders>
              <w:bottom w:val="single" w:sz="8" w:space="0" w:color="868686"/>
            </w:tcBorders>
            <w:vAlign w:val="bottom"/>
          </w:tcPr>
          <w:p w:rsidR="00AC12B4" w:rsidRDefault="00AC12B4">
            <w:pPr>
              <w:rPr>
                <w:sz w:val="18"/>
                <w:szCs w:val="18"/>
              </w:rPr>
            </w:pPr>
          </w:p>
        </w:tc>
        <w:tc>
          <w:tcPr>
            <w:tcW w:w="20" w:type="dxa"/>
            <w:tcBorders>
              <w:bottom w:val="single" w:sz="8" w:space="0" w:color="868686"/>
            </w:tcBorders>
            <w:vAlign w:val="bottom"/>
          </w:tcPr>
          <w:p w:rsidR="00AC12B4" w:rsidRDefault="00AC12B4">
            <w:pPr>
              <w:rPr>
                <w:sz w:val="18"/>
                <w:szCs w:val="18"/>
              </w:rPr>
            </w:pPr>
          </w:p>
        </w:tc>
        <w:tc>
          <w:tcPr>
            <w:tcW w:w="180" w:type="dxa"/>
            <w:vAlign w:val="bottom"/>
          </w:tcPr>
          <w:p w:rsidR="00AC12B4" w:rsidRDefault="00AC12B4">
            <w:pPr>
              <w:rPr>
                <w:sz w:val="18"/>
                <w:szCs w:val="18"/>
              </w:rPr>
            </w:pPr>
          </w:p>
        </w:tc>
        <w:tc>
          <w:tcPr>
            <w:tcW w:w="140" w:type="dxa"/>
            <w:vAlign w:val="bottom"/>
          </w:tcPr>
          <w:p w:rsidR="00AC12B4" w:rsidRDefault="00AC12B4">
            <w:pPr>
              <w:rPr>
                <w:sz w:val="18"/>
                <w:szCs w:val="18"/>
              </w:rPr>
            </w:pPr>
          </w:p>
        </w:tc>
        <w:tc>
          <w:tcPr>
            <w:tcW w:w="100" w:type="dxa"/>
            <w:tcBorders>
              <w:bottom w:val="single" w:sz="8" w:space="0" w:color="8064A2"/>
            </w:tcBorders>
            <w:vAlign w:val="bottom"/>
          </w:tcPr>
          <w:p w:rsidR="00AC12B4" w:rsidRDefault="00AC12B4">
            <w:pPr>
              <w:rPr>
                <w:sz w:val="18"/>
                <w:szCs w:val="18"/>
              </w:rPr>
            </w:pPr>
          </w:p>
        </w:tc>
        <w:tc>
          <w:tcPr>
            <w:tcW w:w="1240" w:type="dxa"/>
            <w:vMerge w:val="restart"/>
            <w:tcBorders>
              <w:right w:val="single" w:sz="8" w:space="0" w:color="00923D"/>
            </w:tcBorders>
            <w:vAlign w:val="bottom"/>
          </w:tcPr>
          <w:p w:rsidR="00AC12B4" w:rsidRDefault="00C27636">
            <w:pPr>
              <w:ind w:left="60"/>
              <w:rPr>
                <w:sz w:val="20"/>
                <w:szCs w:val="20"/>
              </w:rPr>
            </w:pPr>
            <w:r>
              <w:rPr>
                <w:rFonts w:ascii="Calibri" w:eastAsia="Calibri" w:hAnsi="Calibri" w:cs="Calibri"/>
                <w:sz w:val="20"/>
                <w:szCs w:val="20"/>
              </w:rPr>
              <w:t>Le plus haut</w:t>
            </w:r>
          </w:p>
        </w:tc>
        <w:tc>
          <w:tcPr>
            <w:tcW w:w="0" w:type="dxa"/>
            <w:vAlign w:val="bottom"/>
          </w:tcPr>
          <w:p w:rsidR="00AC12B4" w:rsidRDefault="00AC12B4">
            <w:pPr>
              <w:rPr>
                <w:sz w:val="1"/>
                <w:szCs w:val="1"/>
              </w:rPr>
            </w:pPr>
          </w:p>
        </w:tc>
      </w:tr>
      <w:tr w:rsidR="00AC12B4">
        <w:trPr>
          <w:trHeight w:val="50"/>
        </w:trPr>
        <w:tc>
          <w:tcPr>
            <w:tcW w:w="560" w:type="dxa"/>
            <w:tcBorders>
              <w:right w:val="single" w:sz="8" w:space="0" w:color="00923D"/>
            </w:tcBorders>
            <w:vAlign w:val="bottom"/>
          </w:tcPr>
          <w:p w:rsidR="00AC12B4" w:rsidRDefault="00AC12B4">
            <w:pPr>
              <w:rPr>
                <w:sz w:val="4"/>
                <w:szCs w:val="4"/>
              </w:rPr>
            </w:pPr>
          </w:p>
        </w:tc>
        <w:tc>
          <w:tcPr>
            <w:tcW w:w="440" w:type="dxa"/>
            <w:vAlign w:val="bottom"/>
          </w:tcPr>
          <w:p w:rsidR="00AC12B4" w:rsidRDefault="00AC12B4">
            <w:pPr>
              <w:rPr>
                <w:sz w:val="4"/>
                <w:szCs w:val="4"/>
              </w:rPr>
            </w:pPr>
          </w:p>
        </w:tc>
        <w:tc>
          <w:tcPr>
            <w:tcW w:w="80" w:type="dxa"/>
            <w:vAlign w:val="bottom"/>
          </w:tcPr>
          <w:p w:rsidR="00AC12B4" w:rsidRDefault="00AC12B4">
            <w:pPr>
              <w:rPr>
                <w:sz w:val="4"/>
                <w:szCs w:val="4"/>
              </w:rPr>
            </w:pPr>
          </w:p>
        </w:tc>
        <w:tc>
          <w:tcPr>
            <w:tcW w:w="1200" w:type="dxa"/>
            <w:vMerge w:val="restart"/>
            <w:vAlign w:val="bottom"/>
          </w:tcPr>
          <w:p w:rsidR="00AC12B4" w:rsidRDefault="00C27636">
            <w:pPr>
              <w:jc w:val="center"/>
              <w:rPr>
                <w:sz w:val="20"/>
                <w:szCs w:val="20"/>
              </w:rPr>
            </w:pPr>
            <w:r>
              <w:rPr>
                <w:rFonts w:ascii="Calibri" w:eastAsia="Calibri" w:hAnsi="Calibri" w:cs="Calibri"/>
                <w:w w:val="99"/>
                <w:sz w:val="20"/>
                <w:szCs w:val="20"/>
              </w:rPr>
              <w:t>Plusieurs fois</w:t>
            </w:r>
          </w:p>
        </w:tc>
        <w:tc>
          <w:tcPr>
            <w:tcW w:w="20" w:type="dxa"/>
            <w:vAlign w:val="bottom"/>
          </w:tcPr>
          <w:p w:rsidR="00AC12B4" w:rsidRDefault="00AC12B4">
            <w:pPr>
              <w:rPr>
                <w:sz w:val="4"/>
                <w:szCs w:val="4"/>
              </w:rPr>
            </w:pPr>
          </w:p>
        </w:tc>
        <w:tc>
          <w:tcPr>
            <w:tcW w:w="1180" w:type="dxa"/>
            <w:vMerge w:val="restart"/>
            <w:vAlign w:val="bottom"/>
          </w:tcPr>
          <w:p w:rsidR="00AC12B4" w:rsidRDefault="00C27636">
            <w:pPr>
              <w:jc w:val="center"/>
              <w:rPr>
                <w:sz w:val="20"/>
                <w:szCs w:val="20"/>
              </w:rPr>
            </w:pPr>
            <w:r>
              <w:rPr>
                <w:rFonts w:ascii="Calibri" w:eastAsia="Calibri" w:hAnsi="Calibri" w:cs="Calibri"/>
                <w:w w:val="99"/>
                <w:sz w:val="20"/>
                <w:szCs w:val="20"/>
              </w:rPr>
              <w:t>Plusieurs fois</w:t>
            </w:r>
          </w:p>
        </w:tc>
        <w:tc>
          <w:tcPr>
            <w:tcW w:w="20" w:type="dxa"/>
            <w:vAlign w:val="bottom"/>
          </w:tcPr>
          <w:p w:rsidR="00AC12B4" w:rsidRDefault="00AC12B4">
            <w:pPr>
              <w:rPr>
                <w:sz w:val="4"/>
                <w:szCs w:val="4"/>
              </w:rPr>
            </w:pPr>
          </w:p>
        </w:tc>
        <w:tc>
          <w:tcPr>
            <w:tcW w:w="1200" w:type="dxa"/>
            <w:gridSpan w:val="2"/>
            <w:vMerge w:val="restart"/>
            <w:vAlign w:val="bottom"/>
          </w:tcPr>
          <w:p w:rsidR="00AC12B4" w:rsidRDefault="00C27636">
            <w:pPr>
              <w:jc w:val="center"/>
              <w:rPr>
                <w:sz w:val="20"/>
                <w:szCs w:val="20"/>
              </w:rPr>
            </w:pPr>
            <w:r>
              <w:rPr>
                <w:rFonts w:ascii="Calibri" w:eastAsia="Calibri" w:hAnsi="Calibri" w:cs="Calibri"/>
                <w:w w:val="99"/>
                <w:sz w:val="20"/>
                <w:szCs w:val="20"/>
              </w:rPr>
              <w:t>Plusieurs fois</w:t>
            </w:r>
          </w:p>
        </w:tc>
        <w:tc>
          <w:tcPr>
            <w:tcW w:w="20" w:type="dxa"/>
            <w:vAlign w:val="bottom"/>
          </w:tcPr>
          <w:p w:rsidR="00AC12B4" w:rsidRDefault="00AC12B4">
            <w:pPr>
              <w:rPr>
                <w:sz w:val="4"/>
                <w:szCs w:val="4"/>
              </w:rPr>
            </w:pPr>
          </w:p>
        </w:tc>
        <w:tc>
          <w:tcPr>
            <w:tcW w:w="1080" w:type="dxa"/>
            <w:vMerge w:val="restart"/>
            <w:vAlign w:val="bottom"/>
          </w:tcPr>
          <w:p w:rsidR="00AC12B4" w:rsidRDefault="00C27636">
            <w:pPr>
              <w:ind w:left="40"/>
              <w:jc w:val="center"/>
              <w:rPr>
                <w:sz w:val="20"/>
                <w:szCs w:val="20"/>
              </w:rPr>
            </w:pPr>
            <w:r>
              <w:rPr>
                <w:rFonts w:ascii="Calibri" w:eastAsia="Calibri" w:hAnsi="Calibri" w:cs="Calibri"/>
                <w:w w:val="98"/>
                <w:sz w:val="20"/>
                <w:szCs w:val="20"/>
              </w:rPr>
              <w:t>Moins</w:t>
            </w:r>
          </w:p>
        </w:tc>
        <w:tc>
          <w:tcPr>
            <w:tcW w:w="12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900" w:type="dxa"/>
            <w:vMerge w:val="restart"/>
            <w:vAlign w:val="bottom"/>
          </w:tcPr>
          <w:p w:rsidR="00AC12B4" w:rsidRDefault="00C27636">
            <w:pPr>
              <w:ind w:left="340"/>
              <w:rPr>
                <w:sz w:val="20"/>
                <w:szCs w:val="20"/>
              </w:rPr>
            </w:pPr>
            <w:r>
              <w:rPr>
                <w:rFonts w:ascii="Calibri" w:eastAsia="Calibri" w:hAnsi="Calibri" w:cs="Calibri"/>
                <w:sz w:val="20"/>
                <w:szCs w:val="20"/>
              </w:rPr>
              <w:t>Jamais</w:t>
            </w:r>
          </w:p>
        </w:tc>
        <w:tc>
          <w:tcPr>
            <w:tcW w:w="300" w:type="dxa"/>
            <w:vAlign w:val="bottom"/>
          </w:tcPr>
          <w:p w:rsidR="00AC12B4" w:rsidRDefault="00AC12B4">
            <w:pPr>
              <w:rPr>
                <w:sz w:val="4"/>
                <w:szCs w:val="4"/>
              </w:rPr>
            </w:pPr>
          </w:p>
        </w:tc>
        <w:tc>
          <w:tcPr>
            <w:tcW w:w="2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140" w:type="dxa"/>
            <w:vAlign w:val="bottom"/>
          </w:tcPr>
          <w:p w:rsidR="00AC12B4" w:rsidRDefault="00AC12B4">
            <w:pPr>
              <w:rPr>
                <w:sz w:val="4"/>
                <w:szCs w:val="4"/>
              </w:rPr>
            </w:pPr>
          </w:p>
        </w:tc>
        <w:tc>
          <w:tcPr>
            <w:tcW w:w="100" w:type="dxa"/>
            <w:vAlign w:val="bottom"/>
          </w:tcPr>
          <w:p w:rsidR="00AC12B4" w:rsidRDefault="00AC12B4">
            <w:pPr>
              <w:rPr>
                <w:sz w:val="4"/>
                <w:szCs w:val="4"/>
              </w:rPr>
            </w:pPr>
          </w:p>
        </w:tc>
        <w:tc>
          <w:tcPr>
            <w:tcW w:w="1240" w:type="dxa"/>
            <w:vMerge/>
            <w:tcBorders>
              <w:right w:val="single" w:sz="8" w:space="0" w:color="00923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98"/>
        </w:trPr>
        <w:tc>
          <w:tcPr>
            <w:tcW w:w="560" w:type="dxa"/>
            <w:tcBorders>
              <w:right w:val="single" w:sz="8" w:space="0" w:color="00923D"/>
            </w:tcBorders>
            <w:vAlign w:val="bottom"/>
          </w:tcPr>
          <w:p w:rsidR="00AC12B4" w:rsidRDefault="00AC12B4">
            <w:pPr>
              <w:rPr>
                <w:sz w:val="17"/>
                <w:szCs w:val="17"/>
              </w:rPr>
            </w:pPr>
          </w:p>
        </w:tc>
        <w:tc>
          <w:tcPr>
            <w:tcW w:w="440" w:type="dxa"/>
            <w:vAlign w:val="bottom"/>
          </w:tcPr>
          <w:p w:rsidR="00AC12B4" w:rsidRDefault="00AC12B4">
            <w:pPr>
              <w:rPr>
                <w:sz w:val="17"/>
                <w:szCs w:val="17"/>
              </w:rPr>
            </w:pPr>
          </w:p>
        </w:tc>
        <w:tc>
          <w:tcPr>
            <w:tcW w:w="80" w:type="dxa"/>
            <w:vAlign w:val="bottom"/>
          </w:tcPr>
          <w:p w:rsidR="00AC12B4" w:rsidRDefault="00AC12B4">
            <w:pPr>
              <w:rPr>
                <w:sz w:val="17"/>
                <w:szCs w:val="17"/>
              </w:rPr>
            </w:pPr>
          </w:p>
        </w:tc>
        <w:tc>
          <w:tcPr>
            <w:tcW w:w="1200" w:type="dxa"/>
            <w:vMerge/>
            <w:vAlign w:val="bottom"/>
          </w:tcPr>
          <w:p w:rsidR="00AC12B4" w:rsidRDefault="00AC12B4">
            <w:pPr>
              <w:rPr>
                <w:sz w:val="17"/>
                <w:szCs w:val="17"/>
              </w:rPr>
            </w:pPr>
          </w:p>
        </w:tc>
        <w:tc>
          <w:tcPr>
            <w:tcW w:w="20" w:type="dxa"/>
            <w:vAlign w:val="bottom"/>
          </w:tcPr>
          <w:p w:rsidR="00AC12B4" w:rsidRDefault="00AC12B4">
            <w:pPr>
              <w:rPr>
                <w:sz w:val="17"/>
                <w:szCs w:val="17"/>
              </w:rPr>
            </w:pPr>
          </w:p>
        </w:tc>
        <w:tc>
          <w:tcPr>
            <w:tcW w:w="1180" w:type="dxa"/>
            <w:vMerge/>
            <w:vAlign w:val="bottom"/>
          </w:tcPr>
          <w:p w:rsidR="00AC12B4" w:rsidRDefault="00AC12B4">
            <w:pPr>
              <w:rPr>
                <w:sz w:val="17"/>
                <w:szCs w:val="17"/>
              </w:rPr>
            </w:pPr>
          </w:p>
        </w:tc>
        <w:tc>
          <w:tcPr>
            <w:tcW w:w="20" w:type="dxa"/>
            <w:vAlign w:val="bottom"/>
          </w:tcPr>
          <w:p w:rsidR="00AC12B4" w:rsidRDefault="00AC12B4">
            <w:pPr>
              <w:rPr>
                <w:sz w:val="17"/>
                <w:szCs w:val="17"/>
              </w:rPr>
            </w:pPr>
          </w:p>
        </w:tc>
        <w:tc>
          <w:tcPr>
            <w:tcW w:w="1200" w:type="dxa"/>
            <w:gridSpan w:val="2"/>
            <w:vMerge/>
            <w:vAlign w:val="bottom"/>
          </w:tcPr>
          <w:p w:rsidR="00AC12B4" w:rsidRDefault="00AC12B4">
            <w:pPr>
              <w:rPr>
                <w:sz w:val="17"/>
                <w:szCs w:val="17"/>
              </w:rPr>
            </w:pPr>
          </w:p>
        </w:tc>
        <w:tc>
          <w:tcPr>
            <w:tcW w:w="20" w:type="dxa"/>
            <w:vAlign w:val="bottom"/>
          </w:tcPr>
          <w:p w:rsidR="00AC12B4" w:rsidRDefault="00AC12B4">
            <w:pPr>
              <w:rPr>
                <w:sz w:val="17"/>
                <w:szCs w:val="17"/>
              </w:rPr>
            </w:pPr>
          </w:p>
        </w:tc>
        <w:tc>
          <w:tcPr>
            <w:tcW w:w="1080" w:type="dxa"/>
            <w:vMerge/>
            <w:vAlign w:val="bottom"/>
          </w:tcPr>
          <w:p w:rsidR="00AC12B4" w:rsidRDefault="00AC12B4">
            <w:pPr>
              <w:rPr>
                <w:sz w:val="17"/>
                <w:szCs w:val="17"/>
              </w:rPr>
            </w:pPr>
          </w:p>
        </w:tc>
        <w:tc>
          <w:tcPr>
            <w:tcW w:w="120" w:type="dxa"/>
            <w:vAlign w:val="bottom"/>
          </w:tcPr>
          <w:p w:rsidR="00AC12B4" w:rsidRDefault="00AC12B4">
            <w:pPr>
              <w:rPr>
                <w:sz w:val="17"/>
                <w:szCs w:val="17"/>
              </w:rPr>
            </w:pPr>
          </w:p>
        </w:tc>
        <w:tc>
          <w:tcPr>
            <w:tcW w:w="20" w:type="dxa"/>
            <w:vAlign w:val="bottom"/>
          </w:tcPr>
          <w:p w:rsidR="00AC12B4" w:rsidRDefault="00AC12B4">
            <w:pPr>
              <w:rPr>
                <w:sz w:val="17"/>
                <w:szCs w:val="17"/>
              </w:rPr>
            </w:pPr>
          </w:p>
        </w:tc>
        <w:tc>
          <w:tcPr>
            <w:tcW w:w="900" w:type="dxa"/>
            <w:vMerge/>
            <w:vAlign w:val="bottom"/>
          </w:tcPr>
          <w:p w:rsidR="00AC12B4" w:rsidRDefault="00AC12B4">
            <w:pPr>
              <w:rPr>
                <w:sz w:val="17"/>
                <w:szCs w:val="17"/>
              </w:rPr>
            </w:pPr>
          </w:p>
        </w:tc>
        <w:tc>
          <w:tcPr>
            <w:tcW w:w="300" w:type="dxa"/>
            <w:vAlign w:val="bottom"/>
          </w:tcPr>
          <w:p w:rsidR="00AC12B4" w:rsidRDefault="00AC12B4">
            <w:pPr>
              <w:rPr>
                <w:sz w:val="17"/>
                <w:szCs w:val="17"/>
              </w:rPr>
            </w:pPr>
          </w:p>
        </w:tc>
        <w:tc>
          <w:tcPr>
            <w:tcW w:w="20" w:type="dxa"/>
            <w:vAlign w:val="bottom"/>
          </w:tcPr>
          <w:p w:rsidR="00AC12B4" w:rsidRDefault="00AC12B4">
            <w:pPr>
              <w:rPr>
                <w:sz w:val="17"/>
                <w:szCs w:val="17"/>
              </w:rPr>
            </w:pPr>
          </w:p>
        </w:tc>
        <w:tc>
          <w:tcPr>
            <w:tcW w:w="180" w:type="dxa"/>
            <w:vAlign w:val="bottom"/>
          </w:tcPr>
          <w:p w:rsidR="00AC12B4" w:rsidRDefault="00AC12B4">
            <w:pPr>
              <w:rPr>
                <w:sz w:val="17"/>
                <w:szCs w:val="17"/>
              </w:rPr>
            </w:pPr>
          </w:p>
        </w:tc>
        <w:tc>
          <w:tcPr>
            <w:tcW w:w="140" w:type="dxa"/>
            <w:vAlign w:val="bottom"/>
          </w:tcPr>
          <w:p w:rsidR="00AC12B4" w:rsidRDefault="00AC12B4">
            <w:pPr>
              <w:rPr>
                <w:sz w:val="17"/>
                <w:szCs w:val="17"/>
              </w:rPr>
            </w:pPr>
          </w:p>
        </w:tc>
        <w:tc>
          <w:tcPr>
            <w:tcW w:w="100" w:type="dxa"/>
            <w:vAlign w:val="bottom"/>
          </w:tcPr>
          <w:p w:rsidR="00AC12B4" w:rsidRDefault="00AC12B4">
            <w:pPr>
              <w:rPr>
                <w:sz w:val="17"/>
                <w:szCs w:val="17"/>
              </w:rPr>
            </w:pPr>
          </w:p>
        </w:tc>
        <w:tc>
          <w:tcPr>
            <w:tcW w:w="1240" w:type="dxa"/>
            <w:tcBorders>
              <w:right w:val="single" w:sz="8" w:space="0" w:color="00923D"/>
            </w:tcBorders>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245"/>
        </w:trPr>
        <w:tc>
          <w:tcPr>
            <w:tcW w:w="560" w:type="dxa"/>
            <w:tcBorders>
              <w:right w:val="single" w:sz="8" w:space="0" w:color="00923D"/>
            </w:tcBorders>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1200" w:type="dxa"/>
            <w:vAlign w:val="bottom"/>
          </w:tcPr>
          <w:p w:rsidR="00AC12B4" w:rsidRDefault="00C27636">
            <w:pPr>
              <w:jc w:val="center"/>
              <w:rPr>
                <w:sz w:val="20"/>
                <w:szCs w:val="20"/>
              </w:rPr>
            </w:pPr>
            <w:r>
              <w:rPr>
                <w:rFonts w:ascii="Calibri" w:eastAsia="Calibri" w:hAnsi="Calibri" w:cs="Calibri"/>
                <w:w w:val="97"/>
                <w:sz w:val="20"/>
                <w:szCs w:val="20"/>
              </w:rPr>
              <w:t>par semaine</w:t>
            </w:r>
          </w:p>
        </w:tc>
        <w:tc>
          <w:tcPr>
            <w:tcW w:w="20" w:type="dxa"/>
            <w:vAlign w:val="bottom"/>
          </w:tcPr>
          <w:p w:rsidR="00AC12B4" w:rsidRDefault="00AC12B4">
            <w:pPr>
              <w:rPr>
                <w:sz w:val="21"/>
                <w:szCs w:val="21"/>
              </w:rPr>
            </w:pPr>
          </w:p>
        </w:tc>
        <w:tc>
          <w:tcPr>
            <w:tcW w:w="1180" w:type="dxa"/>
            <w:vAlign w:val="bottom"/>
          </w:tcPr>
          <w:p w:rsidR="00AC12B4" w:rsidRDefault="00C27636">
            <w:pPr>
              <w:jc w:val="center"/>
              <w:rPr>
                <w:sz w:val="20"/>
                <w:szCs w:val="20"/>
              </w:rPr>
            </w:pPr>
            <w:r>
              <w:rPr>
                <w:rFonts w:ascii="Calibri" w:eastAsia="Calibri" w:hAnsi="Calibri" w:cs="Calibri"/>
                <w:w w:val="99"/>
                <w:sz w:val="20"/>
                <w:szCs w:val="20"/>
              </w:rPr>
              <w:t>par mois</w:t>
            </w:r>
          </w:p>
        </w:tc>
        <w:tc>
          <w:tcPr>
            <w:tcW w:w="20" w:type="dxa"/>
            <w:vAlign w:val="bottom"/>
          </w:tcPr>
          <w:p w:rsidR="00AC12B4" w:rsidRDefault="00AC12B4">
            <w:pPr>
              <w:rPr>
                <w:sz w:val="21"/>
                <w:szCs w:val="21"/>
              </w:rPr>
            </w:pPr>
          </w:p>
        </w:tc>
        <w:tc>
          <w:tcPr>
            <w:tcW w:w="980" w:type="dxa"/>
            <w:vAlign w:val="bottom"/>
          </w:tcPr>
          <w:p w:rsidR="00AC12B4" w:rsidRDefault="00C27636">
            <w:pPr>
              <w:ind w:left="140"/>
              <w:jc w:val="center"/>
              <w:rPr>
                <w:sz w:val="20"/>
                <w:szCs w:val="20"/>
              </w:rPr>
            </w:pPr>
            <w:r>
              <w:rPr>
                <w:rFonts w:ascii="Calibri" w:eastAsia="Calibri" w:hAnsi="Calibri" w:cs="Calibri"/>
                <w:w w:val="96"/>
                <w:sz w:val="20"/>
                <w:szCs w:val="20"/>
              </w:rPr>
              <w:t>par an</w:t>
            </w:r>
          </w:p>
        </w:tc>
        <w:tc>
          <w:tcPr>
            <w:tcW w:w="22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080" w:type="dxa"/>
            <w:vAlign w:val="bottom"/>
          </w:tcPr>
          <w:p w:rsidR="00AC12B4" w:rsidRDefault="00C27636">
            <w:pPr>
              <w:ind w:left="40"/>
              <w:jc w:val="center"/>
              <w:rPr>
                <w:sz w:val="20"/>
                <w:szCs w:val="20"/>
              </w:rPr>
            </w:pPr>
            <w:r>
              <w:rPr>
                <w:rFonts w:ascii="Calibri" w:eastAsia="Calibri" w:hAnsi="Calibri" w:cs="Calibri"/>
                <w:w w:val="99"/>
                <w:sz w:val="20"/>
                <w:szCs w:val="20"/>
              </w:rPr>
              <w:t>souvent,</w:t>
            </w:r>
          </w:p>
        </w:tc>
        <w:tc>
          <w:tcPr>
            <w:tcW w:w="12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900" w:type="dxa"/>
            <w:vAlign w:val="bottom"/>
          </w:tcPr>
          <w:p w:rsidR="00AC12B4" w:rsidRDefault="00AC12B4">
            <w:pPr>
              <w:rPr>
                <w:sz w:val="21"/>
                <w:szCs w:val="21"/>
              </w:rPr>
            </w:pPr>
          </w:p>
        </w:tc>
        <w:tc>
          <w:tcPr>
            <w:tcW w:w="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1240" w:type="dxa"/>
            <w:tcBorders>
              <w:right w:val="single" w:sz="8" w:space="0" w:color="00923D"/>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42"/>
        </w:trPr>
        <w:tc>
          <w:tcPr>
            <w:tcW w:w="560" w:type="dxa"/>
            <w:tcBorders>
              <w:right w:val="single" w:sz="8" w:space="0" w:color="00923D"/>
            </w:tcBorders>
            <w:vAlign w:val="bottom"/>
          </w:tcPr>
          <w:p w:rsidR="00AC12B4" w:rsidRDefault="00AC12B4">
            <w:pPr>
              <w:rPr>
                <w:sz w:val="21"/>
                <w:szCs w:val="21"/>
              </w:rPr>
            </w:pPr>
          </w:p>
        </w:tc>
        <w:tc>
          <w:tcPr>
            <w:tcW w:w="44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12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18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980" w:type="dxa"/>
            <w:vAlign w:val="bottom"/>
          </w:tcPr>
          <w:p w:rsidR="00AC12B4" w:rsidRDefault="00AC12B4">
            <w:pPr>
              <w:rPr>
                <w:sz w:val="21"/>
                <w:szCs w:val="21"/>
              </w:rPr>
            </w:pPr>
          </w:p>
        </w:tc>
        <w:tc>
          <w:tcPr>
            <w:tcW w:w="22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080" w:type="dxa"/>
            <w:vAlign w:val="bottom"/>
          </w:tcPr>
          <w:p w:rsidR="00AC12B4" w:rsidRDefault="00C27636">
            <w:pPr>
              <w:spacing w:line="243" w:lineRule="exact"/>
              <w:ind w:left="20"/>
              <w:jc w:val="center"/>
              <w:rPr>
                <w:sz w:val="20"/>
                <w:szCs w:val="20"/>
              </w:rPr>
            </w:pPr>
            <w:r>
              <w:rPr>
                <w:rFonts w:ascii="Calibri" w:eastAsia="Calibri" w:hAnsi="Calibri" w:cs="Calibri"/>
                <w:w w:val="99"/>
                <w:sz w:val="20"/>
                <w:szCs w:val="20"/>
              </w:rPr>
              <w:t>rarement</w:t>
            </w:r>
          </w:p>
        </w:tc>
        <w:tc>
          <w:tcPr>
            <w:tcW w:w="12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900" w:type="dxa"/>
            <w:vAlign w:val="bottom"/>
          </w:tcPr>
          <w:p w:rsidR="00AC12B4" w:rsidRDefault="00AC12B4">
            <w:pPr>
              <w:rPr>
                <w:sz w:val="21"/>
                <w:szCs w:val="21"/>
              </w:rPr>
            </w:pPr>
          </w:p>
        </w:tc>
        <w:tc>
          <w:tcPr>
            <w:tcW w:w="300" w:type="dxa"/>
            <w:vAlign w:val="bottom"/>
          </w:tcPr>
          <w:p w:rsidR="00AC12B4" w:rsidRDefault="00AC12B4">
            <w:pPr>
              <w:rPr>
                <w:sz w:val="21"/>
                <w:szCs w:val="21"/>
              </w:rPr>
            </w:pPr>
          </w:p>
        </w:tc>
        <w:tc>
          <w:tcPr>
            <w:tcW w:w="20" w:type="dxa"/>
            <w:vAlign w:val="bottom"/>
          </w:tcPr>
          <w:p w:rsidR="00AC12B4" w:rsidRDefault="00AC12B4">
            <w:pPr>
              <w:rPr>
                <w:sz w:val="21"/>
                <w:szCs w:val="21"/>
              </w:rPr>
            </w:pPr>
          </w:p>
        </w:tc>
        <w:tc>
          <w:tcPr>
            <w:tcW w:w="180" w:type="dxa"/>
            <w:vAlign w:val="bottom"/>
          </w:tcPr>
          <w:p w:rsidR="00AC12B4" w:rsidRDefault="00AC12B4">
            <w:pPr>
              <w:rPr>
                <w:sz w:val="21"/>
                <w:szCs w:val="21"/>
              </w:rPr>
            </w:pPr>
          </w:p>
        </w:tc>
        <w:tc>
          <w:tcPr>
            <w:tcW w:w="140" w:type="dxa"/>
            <w:vAlign w:val="bottom"/>
          </w:tcPr>
          <w:p w:rsidR="00AC12B4" w:rsidRDefault="00AC12B4">
            <w:pPr>
              <w:rPr>
                <w:sz w:val="21"/>
                <w:szCs w:val="21"/>
              </w:rPr>
            </w:pPr>
          </w:p>
        </w:tc>
        <w:tc>
          <w:tcPr>
            <w:tcW w:w="100" w:type="dxa"/>
            <w:vAlign w:val="bottom"/>
          </w:tcPr>
          <w:p w:rsidR="00AC12B4" w:rsidRDefault="00AC12B4">
            <w:pPr>
              <w:rPr>
                <w:sz w:val="21"/>
                <w:szCs w:val="21"/>
              </w:rPr>
            </w:pPr>
          </w:p>
        </w:tc>
        <w:tc>
          <w:tcPr>
            <w:tcW w:w="1240" w:type="dxa"/>
            <w:tcBorders>
              <w:right w:val="single" w:sz="8" w:space="0" w:color="00923D"/>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29"/>
        </w:trPr>
        <w:tc>
          <w:tcPr>
            <w:tcW w:w="560" w:type="dxa"/>
            <w:tcBorders>
              <w:right w:val="single" w:sz="8" w:space="0" w:color="00923D"/>
            </w:tcBorders>
            <w:vAlign w:val="bottom"/>
          </w:tcPr>
          <w:p w:rsidR="00AC12B4" w:rsidRDefault="00AC12B4">
            <w:pPr>
              <w:rPr>
                <w:sz w:val="11"/>
                <w:szCs w:val="11"/>
              </w:rPr>
            </w:pPr>
          </w:p>
        </w:tc>
        <w:tc>
          <w:tcPr>
            <w:tcW w:w="1720" w:type="dxa"/>
            <w:gridSpan w:val="3"/>
            <w:tcBorders>
              <w:bottom w:val="single" w:sz="8" w:space="0" w:color="00923D"/>
            </w:tcBorders>
            <w:vAlign w:val="bottom"/>
          </w:tcPr>
          <w:p w:rsidR="00AC12B4" w:rsidRDefault="00AC12B4">
            <w:pPr>
              <w:rPr>
                <w:sz w:val="11"/>
                <w:szCs w:val="11"/>
              </w:rPr>
            </w:pPr>
          </w:p>
        </w:tc>
        <w:tc>
          <w:tcPr>
            <w:tcW w:w="20" w:type="dxa"/>
            <w:tcBorders>
              <w:bottom w:val="single" w:sz="8" w:space="0" w:color="00923D"/>
            </w:tcBorders>
            <w:vAlign w:val="bottom"/>
          </w:tcPr>
          <w:p w:rsidR="00AC12B4" w:rsidRDefault="00AC12B4">
            <w:pPr>
              <w:rPr>
                <w:sz w:val="11"/>
                <w:szCs w:val="11"/>
              </w:rPr>
            </w:pPr>
          </w:p>
        </w:tc>
        <w:tc>
          <w:tcPr>
            <w:tcW w:w="1180" w:type="dxa"/>
            <w:tcBorders>
              <w:bottom w:val="single" w:sz="8" w:space="0" w:color="00923D"/>
            </w:tcBorders>
            <w:vAlign w:val="bottom"/>
          </w:tcPr>
          <w:p w:rsidR="00AC12B4" w:rsidRDefault="00AC12B4">
            <w:pPr>
              <w:rPr>
                <w:sz w:val="11"/>
                <w:szCs w:val="11"/>
              </w:rPr>
            </w:pPr>
          </w:p>
        </w:tc>
        <w:tc>
          <w:tcPr>
            <w:tcW w:w="20" w:type="dxa"/>
            <w:tcBorders>
              <w:bottom w:val="single" w:sz="8" w:space="0" w:color="00923D"/>
            </w:tcBorders>
            <w:vAlign w:val="bottom"/>
          </w:tcPr>
          <w:p w:rsidR="00AC12B4" w:rsidRDefault="00AC12B4">
            <w:pPr>
              <w:rPr>
                <w:sz w:val="11"/>
                <w:szCs w:val="11"/>
              </w:rPr>
            </w:pPr>
          </w:p>
        </w:tc>
        <w:tc>
          <w:tcPr>
            <w:tcW w:w="980" w:type="dxa"/>
            <w:tcBorders>
              <w:bottom w:val="single" w:sz="8" w:space="0" w:color="00923D"/>
            </w:tcBorders>
            <w:vAlign w:val="bottom"/>
          </w:tcPr>
          <w:p w:rsidR="00AC12B4" w:rsidRDefault="00AC12B4">
            <w:pPr>
              <w:rPr>
                <w:sz w:val="11"/>
                <w:szCs w:val="11"/>
              </w:rPr>
            </w:pPr>
          </w:p>
        </w:tc>
        <w:tc>
          <w:tcPr>
            <w:tcW w:w="220" w:type="dxa"/>
            <w:tcBorders>
              <w:bottom w:val="single" w:sz="8" w:space="0" w:color="00923D"/>
            </w:tcBorders>
            <w:vAlign w:val="bottom"/>
          </w:tcPr>
          <w:p w:rsidR="00AC12B4" w:rsidRDefault="00AC12B4">
            <w:pPr>
              <w:rPr>
                <w:sz w:val="11"/>
                <w:szCs w:val="11"/>
              </w:rPr>
            </w:pPr>
          </w:p>
        </w:tc>
        <w:tc>
          <w:tcPr>
            <w:tcW w:w="20" w:type="dxa"/>
            <w:tcBorders>
              <w:bottom w:val="single" w:sz="8" w:space="0" w:color="00923D"/>
            </w:tcBorders>
            <w:vAlign w:val="bottom"/>
          </w:tcPr>
          <w:p w:rsidR="00AC12B4" w:rsidRDefault="00AC12B4">
            <w:pPr>
              <w:rPr>
                <w:sz w:val="11"/>
                <w:szCs w:val="11"/>
              </w:rPr>
            </w:pPr>
          </w:p>
        </w:tc>
        <w:tc>
          <w:tcPr>
            <w:tcW w:w="1080" w:type="dxa"/>
            <w:tcBorders>
              <w:bottom w:val="single" w:sz="8" w:space="0" w:color="00923D"/>
            </w:tcBorders>
            <w:vAlign w:val="bottom"/>
          </w:tcPr>
          <w:p w:rsidR="00AC12B4" w:rsidRDefault="00AC12B4">
            <w:pPr>
              <w:rPr>
                <w:sz w:val="11"/>
                <w:szCs w:val="11"/>
              </w:rPr>
            </w:pPr>
          </w:p>
        </w:tc>
        <w:tc>
          <w:tcPr>
            <w:tcW w:w="120" w:type="dxa"/>
            <w:tcBorders>
              <w:bottom w:val="single" w:sz="8" w:space="0" w:color="00923D"/>
            </w:tcBorders>
            <w:vAlign w:val="bottom"/>
          </w:tcPr>
          <w:p w:rsidR="00AC12B4" w:rsidRDefault="00AC12B4">
            <w:pPr>
              <w:rPr>
                <w:sz w:val="11"/>
                <w:szCs w:val="11"/>
              </w:rPr>
            </w:pPr>
          </w:p>
        </w:tc>
        <w:tc>
          <w:tcPr>
            <w:tcW w:w="20" w:type="dxa"/>
            <w:tcBorders>
              <w:bottom w:val="single" w:sz="8" w:space="0" w:color="00923D"/>
            </w:tcBorders>
            <w:vAlign w:val="bottom"/>
          </w:tcPr>
          <w:p w:rsidR="00AC12B4" w:rsidRDefault="00AC12B4">
            <w:pPr>
              <w:rPr>
                <w:sz w:val="11"/>
                <w:szCs w:val="11"/>
              </w:rPr>
            </w:pPr>
          </w:p>
        </w:tc>
        <w:tc>
          <w:tcPr>
            <w:tcW w:w="900" w:type="dxa"/>
            <w:tcBorders>
              <w:bottom w:val="single" w:sz="8" w:space="0" w:color="00923D"/>
            </w:tcBorders>
            <w:vAlign w:val="bottom"/>
          </w:tcPr>
          <w:p w:rsidR="00AC12B4" w:rsidRDefault="00AC12B4">
            <w:pPr>
              <w:rPr>
                <w:sz w:val="11"/>
                <w:szCs w:val="11"/>
              </w:rPr>
            </w:pPr>
          </w:p>
        </w:tc>
        <w:tc>
          <w:tcPr>
            <w:tcW w:w="300" w:type="dxa"/>
            <w:tcBorders>
              <w:bottom w:val="single" w:sz="8" w:space="0" w:color="00923D"/>
            </w:tcBorders>
            <w:vAlign w:val="bottom"/>
          </w:tcPr>
          <w:p w:rsidR="00AC12B4" w:rsidRDefault="00AC12B4">
            <w:pPr>
              <w:rPr>
                <w:sz w:val="11"/>
                <w:szCs w:val="11"/>
              </w:rPr>
            </w:pPr>
          </w:p>
        </w:tc>
        <w:tc>
          <w:tcPr>
            <w:tcW w:w="20" w:type="dxa"/>
            <w:tcBorders>
              <w:bottom w:val="single" w:sz="8" w:space="0" w:color="00923D"/>
            </w:tcBorders>
            <w:vAlign w:val="bottom"/>
          </w:tcPr>
          <w:p w:rsidR="00AC12B4" w:rsidRDefault="00AC12B4">
            <w:pPr>
              <w:rPr>
                <w:sz w:val="11"/>
                <w:szCs w:val="11"/>
              </w:rPr>
            </w:pPr>
          </w:p>
        </w:tc>
        <w:tc>
          <w:tcPr>
            <w:tcW w:w="180" w:type="dxa"/>
            <w:tcBorders>
              <w:bottom w:val="single" w:sz="8" w:space="0" w:color="00923D"/>
            </w:tcBorders>
            <w:vAlign w:val="bottom"/>
          </w:tcPr>
          <w:p w:rsidR="00AC12B4" w:rsidRDefault="00AC12B4">
            <w:pPr>
              <w:rPr>
                <w:sz w:val="11"/>
                <w:szCs w:val="11"/>
              </w:rPr>
            </w:pPr>
          </w:p>
        </w:tc>
        <w:tc>
          <w:tcPr>
            <w:tcW w:w="140" w:type="dxa"/>
            <w:tcBorders>
              <w:bottom w:val="single" w:sz="8" w:space="0" w:color="00923D"/>
            </w:tcBorders>
            <w:vAlign w:val="bottom"/>
          </w:tcPr>
          <w:p w:rsidR="00AC12B4" w:rsidRDefault="00AC12B4">
            <w:pPr>
              <w:rPr>
                <w:sz w:val="11"/>
                <w:szCs w:val="11"/>
              </w:rPr>
            </w:pPr>
          </w:p>
        </w:tc>
        <w:tc>
          <w:tcPr>
            <w:tcW w:w="100" w:type="dxa"/>
            <w:tcBorders>
              <w:bottom w:val="single" w:sz="8" w:space="0" w:color="00923D"/>
            </w:tcBorders>
            <w:vAlign w:val="bottom"/>
          </w:tcPr>
          <w:p w:rsidR="00AC12B4" w:rsidRDefault="00AC12B4">
            <w:pPr>
              <w:rPr>
                <w:sz w:val="11"/>
                <w:szCs w:val="11"/>
              </w:rPr>
            </w:pPr>
          </w:p>
        </w:tc>
        <w:tc>
          <w:tcPr>
            <w:tcW w:w="1240" w:type="dxa"/>
            <w:tcBorders>
              <w:bottom w:val="single" w:sz="8" w:space="0" w:color="00923D"/>
              <w:right w:val="single" w:sz="8" w:space="0" w:color="00923D"/>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76"/>
        </w:trPr>
        <w:tc>
          <w:tcPr>
            <w:tcW w:w="560" w:type="dxa"/>
            <w:vAlign w:val="bottom"/>
          </w:tcPr>
          <w:p w:rsidR="00AC12B4" w:rsidRDefault="00AC12B4">
            <w:pPr>
              <w:rPr>
                <w:sz w:val="23"/>
                <w:szCs w:val="23"/>
              </w:rPr>
            </w:pPr>
          </w:p>
        </w:tc>
        <w:tc>
          <w:tcPr>
            <w:tcW w:w="1720" w:type="dxa"/>
            <w:gridSpan w:val="3"/>
            <w:vAlign w:val="bottom"/>
          </w:tcPr>
          <w:p w:rsidR="00AC12B4" w:rsidRDefault="00C27636">
            <w:pPr>
              <w:rPr>
                <w:sz w:val="20"/>
                <w:szCs w:val="20"/>
              </w:rPr>
            </w:pPr>
            <w:r>
              <w:rPr>
                <w:rFonts w:ascii="Calibri" w:eastAsia="Calibri" w:hAnsi="Calibri" w:cs="Calibri"/>
                <w:b/>
                <w:bCs/>
                <w:color w:val="4F81BD"/>
                <w:sz w:val="18"/>
                <w:szCs w:val="18"/>
              </w:rPr>
              <w:t>Figure 2. EQLS 2012</w:t>
            </w:r>
          </w:p>
        </w:tc>
        <w:tc>
          <w:tcPr>
            <w:tcW w:w="20" w:type="dxa"/>
            <w:vAlign w:val="bottom"/>
          </w:tcPr>
          <w:p w:rsidR="00AC12B4" w:rsidRDefault="00AC12B4">
            <w:pPr>
              <w:rPr>
                <w:sz w:val="23"/>
                <w:szCs w:val="23"/>
              </w:rPr>
            </w:pPr>
          </w:p>
        </w:tc>
        <w:tc>
          <w:tcPr>
            <w:tcW w:w="118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98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08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90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1240" w:type="dxa"/>
            <w:vAlign w:val="bottom"/>
          </w:tcPr>
          <w:p w:rsidR="00AC12B4" w:rsidRDefault="00AC12B4">
            <w:pPr>
              <w:rPr>
                <w:sz w:val="23"/>
                <w:szCs w:val="23"/>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w:drawing>
          <wp:anchor distT="0" distB="0" distL="114300" distR="114300" simplePos="0" relativeHeight="251799040" behindDoc="1" locked="0" layoutInCell="0" allowOverlap="1">
            <wp:simplePos x="0" y="0"/>
            <wp:positionH relativeFrom="column">
              <wp:posOffset>1386840</wp:posOffset>
            </wp:positionH>
            <wp:positionV relativeFrom="paragraph">
              <wp:posOffset>-1855470</wp:posOffset>
            </wp:positionV>
            <wp:extent cx="3694430" cy="1062355"/>
            <wp:effectExtent l="0" t="0" r="0" b="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269">
                      <a:extLst/>
                    </a:blip>
                    <a:srcRect/>
                    <a:stretch>
                      <a:fillRect/>
                    </a:stretch>
                  </pic:blipFill>
                  <pic:spPr bwMode="auto">
                    <a:xfrm>
                      <a:off x="0" y="0"/>
                      <a:ext cx="3694430" cy="1062355"/>
                    </a:xfrm>
                    <a:prstGeom prst="rect">
                      <a:avLst/>
                    </a:prstGeom>
                    <a:noFill/>
                  </pic:spPr>
                </pic:pic>
              </a:graphicData>
            </a:graphic>
          </wp:anchor>
        </w:drawing>
      </w:r>
      <w:r>
        <w:rPr>
          <w:noProof/>
          <w:sz w:val="20"/>
          <w:szCs w:val="20"/>
        </w:rPr>
        <w:drawing>
          <wp:anchor distT="0" distB="0" distL="114300" distR="114300" simplePos="0" relativeHeight="251800064" behindDoc="1" locked="0" layoutInCell="0" allowOverlap="1">
            <wp:simplePos x="0" y="0"/>
            <wp:positionH relativeFrom="column">
              <wp:posOffset>961390</wp:posOffset>
            </wp:positionH>
            <wp:positionV relativeFrom="paragraph">
              <wp:posOffset>-134620</wp:posOffset>
            </wp:positionV>
            <wp:extent cx="5044440" cy="3152775"/>
            <wp:effectExtent l="0" t="0" r="0" b="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270">
                      <a:extLst/>
                    </a:blip>
                    <a:srcRect/>
                    <a:stretch>
                      <a:fillRect/>
                    </a:stretch>
                  </pic:blipFill>
                  <pic:spPr bwMode="auto">
                    <a:xfrm>
                      <a:off x="0" y="0"/>
                      <a:ext cx="5044440" cy="3152775"/>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329" w:lineRule="exact"/>
        <w:rPr>
          <w:sz w:val="20"/>
          <w:szCs w:val="20"/>
        </w:rPr>
      </w:pPr>
    </w:p>
    <w:p w:rsidR="00AC12B4" w:rsidRPr="00C27636" w:rsidRDefault="00C27636">
      <w:pPr>
        <w:ind w:right="-788"/>
        <w:jc w:val="center"/>
        <w:rPr>
          <w:sz w:val="20"/>
          <w:szCs w:val="20"/>
          <w:lang w:val="fr-BE"/>
        </w:rPr>
      </w:pPr>
      <w:r w:rsidRPr="00C27636">
        <w:rPr>
          <w:rFonts w:ascii="Calibri" w:eastAsia="Calibri" w:hAnsi="Calibri" w:cs="Calibri"/>
          <w:lang w:val="fr-BE"/>
        </w:rPr>
        <w:t>'J’ai rencontré des difficultés pour me concentrer au travail en raison</w:t>
      </w:r>
    </w:p>
    <w:p w:rsidR="00AC12B4" w:rsidRDefault="00C27636">
      <w:pPr>
        <w:ind w:right="-788"/>
        <w:jc w:val="center"/>
        <w:rPr>
          <w:sz w:val="20"/>
          <w:szCs w:val="20"/>
        </w:rPr>
      </w:pPr>
      <w:r>
        <w:rPr>
          <w:rFonts w:ascii="Calibri" w:eastAsia="Calibri" w:hAnsi="Calibri" w:cs="Calibri"/>
        </w:rPr>
        <w:t xml:space="preserve">des mes obligations </w:t>
      </w:r>
      <w:r>
        <w:rPr>
          <w:rFonts w:ascii="Calibri" w:eastAsia="Calibri" w:hAnsi="Calibri" w:cs="Calibri"/>
        </w:rPr>
        <w:t>familiales'</w:t>
      </w:r>
    </w:p>
    <w:p w:rsidR="00AC12B4" w:rsidRDefault="00AC12B4">
      <w:pPr>
        <w:spacing w:line="118" w:lineRule="exact"/>
        <w:rPr>
          <w:sz w:val="20"/>
          <w:szCs w:val="20"/>
        </w:rPr>
      </w:pPr>
    </w:p>
    <w:p w:rsidR="00AC12B4" w:rsidRDefault="00C27636">
      <w:pPr>
        <w:ind w:left="1646"/>
        <w:rPr>
          <w:sz w:val="20"/>
          <w:szCs w:val="20"/>
        </w:rPr>
      </w:pPr>
      <w:r>
        <w:rPr>
          <w:rFonts w:ascii="Calibri" w:eastAsia="Calibri" w:hAnsi="Calibri" w:cs="Calibri"/>
          <w:sz w:val="20"/>
          <w:szCs w:val="20"/>
        </w:rPr>
        <w:t>50</w:t>
      </w:r>
    </w:p>
    <w:p w:rsidR="00AC12B4" w:rsidRDefault="00C27636">
      <w:pPr>
        <w:spacing w:line="20" w:lineRule="exact"/>
        <w:rPr>
          <w:sz w:val="20"/>
          <w:szCs w:val="20"/>
        </w:rPr>
      </w:pPr>
      <w:r>
        <w:rPr>
          <w:noProof/>
          <w:sz w:val="20"/>
          <w:szCs w:val="20"/>
        </w:rPr>
        <w:drawing>
          <wp:anchor distT="0" distB="0" distL="114300" distR="114300" simplePos="0" relativeHeight="251801088" behindDoc="1" locked="0" layoutInCell="0" allowOverlap="1">
            <wp:simplePos x="0" y="0"/>
            <wp:positionH relativeFrom="column">
              <wp:posOffset>1290955</wp:posOffset>
            </wp:positionH>
            <wp:positionV relativeFrom="paragraph">
              <wp:posOffset>-70485</wp:posOffset>
            </wp:positionV>
            <wp:extent cx="3656330" cy="1554480"/>
            <wp:effectExtent l="0" t="0" r="0" b="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271">
                      <a:extLst/>
                    </a:blip>
                    <a:srcRect/>
                    <a:stretch>
                      <a:fillRect/>
                    </a:stretch>
                  </pic:blipFill>
                  <pic:spPr bwMode="auto">
                    <a:xfrm>
                      <a:off x="0" y="0"/>
                      <a:ext cx="3656330" cy="1554480"/>
                    </a:xfrm>
                    <a:prstGeom prst="rect">
                      <a:avLst/>
                    </a:prstGeom>
                    <a:noFill/>
                  </pic:spPr>
                </pic:pic>
              </a:graphicData>
            </a:graphic>
          </wp:anchor>
        </w:drawing>
      </w:r>
    </w:p>
    <w:p w:rsidR="00AC12B4" w:rsidRDefault="00C27636">
      <w:pPr>
        <w:spacing w:line="236" w:lineRule="auto"/>
        <w:ind w:left="1646"/>
        <w:rPr>
          <w:sz w:val="20"/>
          <w:szCs w:val="20"/>
        </w:rPr>
      </w:pPr>
      <w:r>
        <w:rPr>
          <w:rFonts w:ascii="Calibri" w:eastAsia="Calibri" w:hAnsi="Calibri" w:cs="Calibri"/>
          <w:sz w:val="20"/>
          <w:szCs w:val="20"/>
        </w:rPr>
        <w:t>45</w:t>
      </w:r>
    </w:p>
    <w:p w:rsidR="00AC12B4" w:rsidRDefault="00C27636">
      <w:pPr>
        <w:spacing w:line="20" w:lineRule="exact"/>
        <w:rPr>
          <w:sz w:val="20"/>
          <w:szCs w:val="20"/>
        </w:rPr>
      </w:pPr>
      <w:r>
        <w:rPr>
          <w:noProof/>
          <w:sz w:val="20"/>
          <w:szCs w:val="20"/>
        </w:rPr>
        <w:drawing>
          <wp:anchor distT="0" distB="0" distL="114300" distR="114300" simplePos="0" relativeHeight="251802112" behindDoc="1" locked="0" layoutInCell="0" allowOverlap="1">
            <wp:simplePos x="0" y="0"/>
            <wp:positionH relativeFrom="column">
              <wp:posOffset>4958715</wp:posOffset>
            </wp:positionH>
            <wp:positionV relativeFrom="paragraph">
              <wp:posOffset>15875</wp:posOffset>
            </wp:positionV>
            <wp:extent cx="897890" cy="370205"/>
            <wp:effectExtent l="0" t="0" r="0" b="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272">
                      <a:extLst/>
                    </a:blip>
                    <a:srcRect/>
                    <a:stretch>
                      <a:fillRect/>
                    </a:stretch>
                  </pic:blipFill>
                  <pic:spPr bwMode="auto">
                    <a:xfrm>
                      <a:off x="0" y="0"/>
                      <a:ext cx="897890" cy="370205"/>
                    </a:xfrm>
                    <a:prstGeom prst="rect">
                      <a:avLst/>
                    </a:prstGeom>
                    <a:noFill/>
                  </pic:spPr>
                </pic:pic>
              </a:graphicData>
            </a:graphic>
          </wp:anchor>
        </w:drawing>
      </w:r>
    </w:p>
    <w:tbl>
      <w:tblPr>
        <w:tblW w:w="0" w:type="auto"/>
        <w:tblInd w:w="1646" w:type="dxa"/>
        <w:tblLayout w:type="fixed"/>
        <w:tblCellMar>
          <w:left w:w="0" w:type="dxa"/>
          <w:right w:w="0" w:type="dxa"/>
        </w:tblCellMar>
        <w:tblLook w:val="04A0" w:firstRow="1" w:lastRow="0" w:firstColumn="1" w:lastColumn="0" w:noHBand="0" w:noVBand="1"/>
      </w:tblPr>
      <w:tblGrid>
        <w:gridCol w:w="380"/>
        <w:gridCol w:w="5760"/>
        <w:gridCol w:w="320"/>
        <w:gridCol w:w="120"/>
        <w:gridCol w:w="1020"/>
        <w:gridCol w:w="20"/>
      </w:tblGrid>
      <w:tr w:rsidR="00AC12B4">
        <w:trPr>
          <w:trHeight w:val="131"/>
        </w:trPr>
        <w:tc>
          <w:tcPr>
            <w:tcW w:w="380" w:type="dxa"/>
            <w:vMerge w:val="restart"/>
            <w:vAlign w:val="bottom"/>
          </w:tcPr>
          <w:p w:rsidR="00AC12B4" w:rsidRDefault="00C27636">
            <w:pPr>
              <w:spacing w:line="243" w:lineRule="exact"/>
              <w:ind w:right="80"/>
              <w:jc w:val="right"/>
              <w:rPr>
                <w:sz w:val="20"/>
                <w:szCs w:val="20"/>
              </w:rPr>
            </w:pPr>
            <w:r>
              <w:rPr>
                <w:rFonts w:ascii="Calibri" w:eastAsia="Calibri" w:hAnsi="Calibri" w:cs="Calibri"/>
                <w:w w:val="88"/>
                <w:sz w:val="20"/>
                <w:szCs w:val="20"/>
              </w:rPr>
              <w:t>40</w:t>
            </w:r>
          </w:p>
        </w:tc>
        <w:tc>
          <w:tcPr>
            <w:tcW w:w="5760" w:type="dxa"/>
            <w:tcBorders>
              <w:bottom w:val="single" w:sz="8" w:space="0" w:color="868686"/>
            </w:tcBorders>
            <w:vAlign w:val="bottom"/>
          </w:tcPr>
          <w:p w:rsidR="00AC12B4" w:rsidRDefault="00AC12B4">
            <w:pPr>
              <w:rPr>
                <w:sz w:val="11"/>
                <w:szCs w:val="11"/>
              </w:rPr>
            </w:pPr>
          </w:p>
        </w:tc>
        <w:tc>
          <w:tcPr>
            <w:tcW w:w="1460" w:type="dxa"/>
            <w:gridSpan w:val="3"/>
            <w:vMerge w:val="restart"/>
            <w:vAlign w:val="bottom"/>
          </w:tcPr>
          <w:p w:rsidR="00AC12B4" w:rsidRDefault="00C27636">
            <w:pPr>
              <w:ind w:left="160"/>
              <w:rPr>
                <w:sz w:val="20"/>
                <w:szCs w:val="20"/>
              </w:rPr>
            </w:pPr>
            <w:r>
              <w:rPr>
                <w:rFonts w:ascii="Calibri" w:eastAsia="Calibri" w:hAnsi="Calibri" w:cs="Calibri"/>
                <w:color w:val="005022"/>
              </w:rPr>
              <w:t>Quartile  de</w:t>
            </w:r>
          </w:p>
        </w:tc>
        <w:tc>
          <w:tcPr>
            <w:tcW w:w="0" w:type="dxa"/>
            <w:vAlign w:val="bottom"/>
          </w:tcPr>
          <w:p w:rsidR="00AC12B4" w:rsidRDefault="00AC12B4">
            <w:pPr>
              <w:rPr>
                <w:sz w:val="1"/>
                <w:szCs w:val="1"/>
              </w:rPr>
            </w:pPr>
          </w:p>
        </w:tc>
      </w:tr>
      <w:tr w:rsidR="00AC12B4">
        <w:trPr>
          <w:trHeight w:val="135"/>
        </w:trPr>
        <w:tc>
          <w:tcPr>
            <w:tcW w:w="380" w:type="dxa"/>
            <w:vMerge/>
            <w:vAlign w:val="bottom"/>
          </w:tcPr>
          <w:p w:rsidR="00AC12B4" w:rsidRDefault="00AC12B4">
            <w:pPr>
              <w:rPr>
                <w:sz w:val="11"/>
                <w:szCs w:val="11"/>
              </w:rPr>
            </w:pPr>
          </w:p>
        </w:tc>
        <w:tc>
          <w:tcPr>
            <w:tcW w:w="5760" w:type="dxa"/>
            <w:vAlign w:val="bottom"/>
          </w:tcPr>
          <w:p w:rsidR="00AC12B4" w:rsidRDefault="00AC12B4">
            <w:pPr>
              <w:rPr>
                <w:sz w:val="11"/>
                <w:szCs w:val="11"/>
              </w:rPr>
            </w:pPr>
          </w:p>
        </w:tc>
        <w:tc>
          <w:tcPr>
            <w:tcW w:w="1460" w:type="dxa"/>
            <w:gridSpan w:val="3"/>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87"/>
        </w:trPr>
        <w:tc>
          <w:tcPr>
            <w:tcW w:w="380" w:type="dxa"/>
            <w:vMerge w:val="restart"/>
            <w:vAlign w:val="bottom"/>
          </w:tcPr>
          <w:p w:rsidR="00AC12B4" w:rsidRDefault="00C27636">
            <w:pPr>
              <w:spacing w:line="198" w:lineRule="exact"/>
              <w:ind w:right="80"/>
              <w:jc w:val="right"/>
              <w:rPr>
                <w:sz w:val="20"/>
                <w:szCs w:val="20"/>
              </w:rPr>
            </w:pPr>
            <w:r>
              <w:rPr>
                <w:rFonts w:ascii="Calibri" w:eastAsia="Calibri" w:hAnsi="Calibri" w:cs="Calibri"/>
                <w:w w:val="88"/>
                <w:sz w:val="20"/>
                <w:szCs w:val="20"/>
              </w:rPr>
              <w:t>35</w:t>
            </w:r>
          </w:p>
        </w:tc>
        <w:tc>
          <w:tcPr>
            <w:tcW w:w="5760" w:type="dxa"/>
            <w:tcBorders>
              <w:bottom w:val="single" w:sz="8" w:space="0" w:color="868686"/>
            </w:tcBorders>
            <w:vAlign w:val="bottom"/>
          </w:tcPr>
          <w:p w:rsidR="00AC12B4" w:rsidRDefault="00AC12B4">
            <w:pPr>
              <w:rPr>
                <w:sz w:val="7"/>
                <w:szCs w:val="7"/>
              </w:rPr>
            </w:pPr>
          </w:p>
        </w:tc>
        <w:tc>
          <w:tcPr>
            <w:tcW w:w="1460" w:type="dxa"/>
            <w:gridSpan w:val="3"/>
            <w:vMerge w:val="restart"/>
            <w:vAlign w:val="bottom"/>
          </w:tcPr>
          <w:p w:rsidR="00AC12B4" w:rsidRDefault="00C27636">
            <w:pPr>
              <w:ind w:left="160"/>
              <w:rPr>
                <w:sz w:val="20"/>
                <w:szCs w:val="20"/>
              </w:rPr>
            </w:pPr>
            <w:r>
              <w:rPr>
                <w:rFonts w:ascii="Calibri" w:eastAsia="Calibri" w:hAnsi="Calibri" w:cs="Calibri"/>
                <w:color w:val="005022"/>
              </w:rPr>
              <w:t>revenu</w:t>
            </w:r>
          </w:p>
        </w:tc>
        <w:tc>
          <w:tcPr>
            <w:tcW w:w="0" w:type="dxa"/>
            <w:vAlign w:val="bottom"/>
          </w:tcPr>
          <w:p w:rsidR="00AC12B4" w:rsidRDefault="00AC12B4">
            <w:pPr>
              <w:rPr>
                <w:sz w:val="1"/>
                <w:szCs w:val="1"/>
              </w:rPr>
            </w:pPr>
          </w:p>
        </w:tc>
      </w:tr>
      <w:tr w:rsidR="00AC12B4">
        <w:trPr>
          <w:trHeight w:val="90"/>
        </w:trPr>
        <w:tc>
          <w:tcPr>
            <w:tcW w:w="380" w:type="dxa"/>
            <w:vMerge/>
            <w:vAlign w:val="bottom"/>
          </w:tcPr>
          <w:p w:rsidR="00AC12B4" w:rsidRDefault="00AC12B4">
            <w:pPr>
              <w:rPr>
                <w:sz w:val="7"/>
                <w:szCs w:val="7"/>
              </w:rPr>
            </w:pPr>
          </w:p>
        </w:tc>
        <w:tc>
          <w:tcPr>
            <w:tcW w:w="5760" w:type="dxa"/>
            <w:vAlign w:val="bottom"/>
          </w:tcPr>
          <w:p w:rsidR="00AC12B4" w:rsidRDefault="00AC12B4">
            <w:pPr>
              <w:rPr>
                <w:sz w:val="7"/>
                <w:szCs w:val="7"/>
              </w:rPr>
            </w:pPr>
          </w:p>
        </w:tc>
        <w:tc>
          <w:tcPr>
            <w:tcW w:w="1460" w:type="dxa"/>
            <w:gridSpan w:val="3"/>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72"/>
        </w:trPr>
        <w:tc>
          <w:tcPr>
            <w:tcW w:w="380" w:type="dxa"/>
            <w:vMerge w:val="restart"/>
            <w:vAlign w:val="bottom"/>
          </w:tcPr>
          <w:p w:rsidR="00AC12B4" w:rsidRDefault="00C27636">
            <w:pPr>
              <w:spacing w:line="242" w:lineRule="exact"/>
              <w:ind w:right="80"/>
              <w:jc w:val="right"/>
              <w:rPr>
                <w:sz w:val="20"/>
                <w:szCs w:val="20"/>
              </w:rPr>
            </w:pPr>
            <w:r>
              <w:rPr>
                <w:rFonts w:ascii="Calibri" w:eastAsia="Calibri" w:hAnsi="Calibri" w:cs="Calibri"/>
                <w:w w:val="88"/>
                <w:sz w:val="20"/>
                <w:szCs w:val="20"/>
              </w:rPr>
              <w:t>30</w:t>
            </w:r>
          </w:p>
        </w:tc>
        <w:tc>
          <w:tcPr>
            <w:tcW w:w="5760" w:type="dxa"/>
            <w:vAlign w:val="bottom"/>
          </w:tcPr>
          <w:p w:rsidR="00AC12B4" w:rsidRDefault="00AC12B4">
            <w:pPr>
              <w:rPr>
                <w:sz w:val="6"/>
                <w:szCs w:val="6"/>
              </w:rPr>
            </w:pPr>
          </w:p>
        </w:tc>
        <w:tc>
          <w:tcPr>
            <w:tcW w:w="1460" w:type="dxa"/>
            <w:gridSpan w:val="3"/>
            <w:vMerge/>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66"/>
        </w:trPr>
        <w:tc>
          <w:tcPr>
            <w:tcW w:w="380" w:type="dxa"/>
            <w:vMerge/>
            <w:vAlign w:val="bottom"/>
          </w:tcPr>
          <w:p w:rsidR="00AC12B4" w:rsidRDefault="00AC12B4">
            <w:pPr>
              <w:rPr>
                <w:sz w:val="5"/>
                <w:szCs w:val="5"/>
              </w:rPr>
            </w:pPr>
          </w:p>
        </w:tc>
        <w:tc>
          <w:tcPr>
            <w:tcW w:w="5760" w:type="dxa"/>
            <w:tcBorders>
              <w:bottom w:val="single" w:sz="8" w:space="0" w:color="868686"/>
            </w:tcBorders>
            <w:vAlign w:val="bottom"/>
          </w:tcPr>
          <w:p w:rsidR="00AC12B4" w:rsidRDefault="00AC12B4">
            <w:pPr>
              <w:rPr>
                <w:sz w:val="5"/>
                <w:szCs w:val="5"/>
              </w:rPr>
            </w:pPr>
          </w:p>
        </w:tc>
        <w:tc>
          <w:tcPr>
            <w:tcW w:w="32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1020" w:type="dxa"/>
            <w:vMerge w:val="restart"/>
            <w:vAlign w:val="bottom"/>
          </w:tcPr>
          <w:p w:rsidR="00AC12B4" w:rsidRDefault="00C27636">
            <w:pPr>
              <w:ind w:left="40"/>
              <w:rPr>
                <w:sz w:val="20"/>
                <w:szCs w:val="20"/>
              </w:rPr>
            </w:pPr>
            <w:r>
              <w:rPr>
                <w:rFonts w:ascii="Calibri" w:eastAsia="Calibri" w:hAnsi="Calibri" w:cs="Calibri"/>
                <w:sz w:val="20"/>
                <w:szCs w:val="20"/>
              </w:rPr>
              <w:t>Le plus bas</w:t>
            </w:r>
          </w:p>
        </w:tc>
        <w:tc>
          <w:tcPr>
            <w:tcW w:w="0" w:type="dxa"/>
            <w:vAlign w:val="bottom"/>
          </w:tcPr>
          <w:p w:rsidR="00AC12B4" w:rsidRDefault="00AC12B4">
            <w:pPr>
              <w:rPr>
                <w:sz w:val="1"/>
                <w:szCs w:val="1"/>
              </w:rPr>
            </w:pPr>
          </w:p>
        </w:tc>
      </w:tr>
      <w:tr w:rsidR="00AC12B4">
        <w:trPr>
          <w:trHeight w:val="96"/>
        </w:trPr>
        <w:tc>
          <w:tcPr>
            <w:tcW w:w="380" w:type="dxa"/>
            <w:vMerge/>
            <w:vAlign w:val="bottom"/>
          </w:tcPr>
          <w:p w:rsidR="00AC12B4" w:rsidRDefault="00AC12B4">
            <w:pPr>
              <w:rPr>
                <w:sz w:val="8"/>
                <w:szCs w:val="8"/>
              </w:rPr>
            </w:pPr>
          </w:p>
        </w:tc>
        <w:tc>
          <w:tcPr>
            <w:tcW w:w="5760" w:type="dxa"/>
            <w:vAlign w:val="bottom"/>
          </w:tcPr>
          <w:p w:rsidR="00AC12B4" w:rsidRDefault="00AC12B4">
            <w:pPr>
              <w:rPr>
                <w:sz w:val="8"/>
                <w:szCs w:val="8"/>
              </w:rPr>
            </w:pPr>
          </w:p>
        </w:tc>
        <w:tc>
          <w:tcPr>
            <w:tcW w:w="320" w:type="dxa"/>
            <w:vAlign w:val="bottom"/>
          </w:tcPr>
          <w:p w:rsidR="00AC12B4" w:rsidRDefault="00AC12B4">
            <w:pPr>
              <w:rPr>
                <w:sz w:val="8"/>
                <w:szCs w:val="8"/>
              </w:rPr>
            </w:pPr>
          </w:p>
        </w:tc>
        <w:tc>
          <w:tcPr>
            <w:tcW w:w="120" w:type="dxa"/>
            <w:tcBorders>
              <w:bottom w:val="single" w:sz="8" w:space="0" w:color="4F81BD"/>
            </w:tcBorders>
            <w:shd w:val="clear" w:color="auto" w:fill="4F81BD"/>
            <w:vAlign w:val="bottom"/>
          </w:tcPr>
          <w:p w:rsidR="00AC12B4" w:rsidRDefault="00AC12B4">
            <w:pPr>
              <w:rPr>
                <w:sz w:val="8"/>
                <w:szCs w:val="8"/>
              </w:rPr>
            </w:pPr>
          </w:p>
        </w:tc>
        <w:tc>
          <w:tcPr>
            <w:tcW w:w="1020" w:type="dxa"/>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50"/>
        </w:trPr>
        <w:tc>
          <w:tcPr>
            <w:tcW w:w="380" w:type="dxa"/>
            <w:vMerge w:val="restart"/>
            <w:vAlign w:val="bottom"/>
          </w:tcPr>
          <w:p w:rsidR="00AC12B4" w:rsidRDefault="00C27636">
            <w:pPr>
              <w:spacing w:line="209" w:lineRule="exact"/>
              <w:ind w:right="80"/>
              <w:jc w:val="right"/>
              <w:rPr>
                <w:sz w:val="20"/>
                <w:szCs w:val="20"/>
              </w:rPr>
            </w:pPr>
            <w:r>
              <w:rPr>
                <w:rFonts w:ascii="Calibri" w:eastAsia="Calibri" w:hAnsi="Calibri" w:cs="Calibri"/>
                <w:w w:val="88"/>
                <w:sz w:val="20"/>
                <w:szCs w:val="20"/>
              </w:rPr>
              <w:t>25</w:t>
            </w:r>
          </w:p>
        </w:tc>
        <w:tc>
          <w:tcPr>
            <w:tcW w:w="576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102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48"/>
        </w:trPr>
        <w:tc>
          <w:tcPr>
            <w:tcW w:w="380" w:type="dxa"/>
            <w:vMerge/>
            <w:vAlign w:val="bottom"/>
          </w:tcPr>
          <w:p w:rsidR="00AC12B4" w:rsidRDefault="00AC12B4">
            <w:pPr>
              <w:rPr>
                <w:sz w:val="4"/>
                <w:szCs w:val="4"/>
              </w:rPr>
            </w:pPr>
          </w:p>
        </w:tc>
        <w:tc>
          <w:tcPr>
            <w:tcW w:w="5760" w:type="dxa"/>
            <w:tcBorders>
              <w:bottom w:val="single" w:sz="8" w:space="0" w:color="868686"/>
            </w:tcBorders>
            <w:vAlign w:val="bottom"/>
          </w:tcPr>
          <w:p w:rsidR="00AC12B4" w:rsidRDefault="00AC12B4">
            <w:pPr>
              <w:rPr>
                <w:sz w:val="4"/>
                <w:szCs w:val="4"/>
              </w:rPr>
            </w:pPr>
          </w:p>
        </w:tc>
        <w:tc>
          <w:tcPr>
            <w:tcW w:w="3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1020" w:type="dxa"/>
            <w:vMerge w:val="restart"/>
            <w:vAlign w:val="bottom"/>
          </w:tcPr>
          <w:p w:rsidR="00AC12B4" w:rsidRDefault="00C27636">
            <w:pPr>
              <w:ind w:left="40"/>
              <w:rPr>
                <w:sz w:val="20"/>
                <w:szCs w:val="20"/>
              </w:rPr>
            </w:pPr>
            <w:r>
              <w:rPr>
                <w:rFonts w:ascii="Calibri" w:eastAsia="Calibri" w:hAnsi="Calibri" w:cs="Calibri"/>
                <w:sz w:val="20"/>
                <w:szCs w:val="20"/>
              </w:rPr>
              <w:t>2ème</w:t>
            </w:r>
          </w:p>
        </w:tc>
        <w:tc>
          <w:tcPr>
            <w:tcW w:w="0" w:type="dxa"/>
            <w:vAlign w:val="bottom"/>
          </w:tcPr>
          <w:p w:rsidR="00AC12B4" w:rsidRDefault="00AC12B4">
            <w:pPr>
              <w:rPr>
                <w:sz w:val="1"/>
                <w:szCs w:val="1"/>
              </w:rPr>
            </w:pPr>
          </w:p>
        </w:tc>
      </w:tr>
      <w:tr w:rsidR="00AC12B4">
        <w:trPr>
          <w:trHeight w:val="90"/>
        </w:trPr>
        <w:tc>
          <w:tcPr>
            <w:tcW w:w="380" w:type="dxa"/>
            <w:vMerge/>
            <w:vAlign w:val="bottom"/>
          </w:tcPr>
          <w:p w:rsidR="00AC12B4" w:rsidRDefault="00AC12B4">
            <w:pPr>
              <w:rPr>
                <w:sz w:val="7"/>
                <w:szCs w:val="7"/>
              </w:rPr>
            </w:pPr>
          </w:p>
        </w:tc>
        <w:tc>
          <w:tcPr>
            <w:tcW w:w="5760" w:type="dxa"/>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02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43"/>
        </w:trPr>
        <w:tc>
          <w:tcPr>
            <w:tcW w:w="380" w:type="dxa"/>
            <w:vMerge w:val="restart"/>
            <w:vAlign w:val="bottom"/>
          </w:tcPr>
          <w:p w:rsidR="00AC12B4" w:rsidRDefault="00C27636">
            <w:pPr>
              <w:spacing w:line="242" w:lineRule="exact"/>
              <w:ind w:right="80"/>
              <w:jc w:val="right"/>
              <w:rPr>
                <w:sz w:val="20"/>
                <w:szCs w:val="20"/>
              </w:rPr>
            </w:pPr>
            <w:r>
              <w:rPr>
                <w:rFonts w:ascii="Calibri" w:eastAsia="Calibri" w:hAnsi="Calibri" w:cs="Calibri"/>
                <w:w w:val="88"/>
                <w:sz w:val="20"/>
                <w:szCs w:val="20"/>
              </w:rPr>
              <w:t>20</w:t>
            </w:r>
          </w:p>
        </w:tc>
        <w:tc>
          <w:tcPr>
            <w:tcW w:w="5760" w:type="dxa"/>
            <w:vAlign w:val="bottom"/>
          </w:tcPr>
          <w:p w:rsidR="00AC12B4" w:rsidRDefault="00AC12B4">
            <w:pPr>
              <w:rPr>
                <w:sz w:val="3"/>
                <w:szCs w:val="3"/>
              </w:rPr>
            </w:pPr>
          </w:p>
        </w:tc>
        <w:tc>
          <w:tcPr>
            <w:tcW w:w="320" w:type="dxa"/>
            <w:vAlign w:val="bottom"/>
          </w:tcPr>
          <w:p w:rsidR="00AC12B4" w:rsidRDefault="00AC12B4">
            <w:pPr>
              <w:rPr>
                <w:sz w:val="3"/>
                <w:szCs w:val="3"/>
              </w:rPr>
            </w:pPr>
          </w:p>
        </w:tc>
        <w:tc>
          <w:tcPr>
            <w:tcW w:w="120" w:type="dxa"/>
            <w:vAlign w:val="bottom"/>
          </w:tcPr>
          <w:p w:rsidR="00AC12B4" w:rsidRDefault="00AC12B4">
            <w:pPr>
              <w:rPr>
                <w:sz w:val="3"/>
                <w:szCs w:val="3"/>
              </w:rPr>
            </w:pPr>
          </w:p>
        </w:tc>
        <w:tc>
          <w:tcPr>
            <w:tcW w:w="1020" w:type="dxa"/>
            <w:vMerge/>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90"/>
        </w:trPr>
        <w:tc>
          <w:tcPr>
            <w:tcW w:w="380" w:type="dxa"/>
            <w:vMerge/>
            <w:vAlign w:val="bottom"/>
          </w:tcPr>
          <w:p w:rsidR="00AC12B4" w:rsidRDefault="00AC12B4">
            <w:pPr>
              <w:rPr>
                <w:sz w:val="7"/>
                <w:szCs w:val="7"/>
              </w:rPr>
            </w:pPr>
          </w:p>
        </w:tc>
        <w:tc>
          <w:tcPr>
            <w:tcW w:w="5760" w:type="dxa"/>
            <w:tcBorders>
              <w:bottom w:val="single" w:sz="8" w:space="0" w:color="868686"/>
            </w:tcBorders>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tcBorders>
              <w:bottom w:val="single" w:sz="8" w:space="0" w:color="C0504D"/>
            </w:tcBorders>
            <w:shd w:val="clear" w:color="auto" w:fill="C0504D"/>
            <w:vAlign w:val="bottom"/>
          </w:tcPr>
          <w:p w:rsidR="00AC12B4" w:rsidRDefault="00AC12B4">
            <w:pPr>
              <w:rPr>
                <w:sz w:val="7"/>
                <w:szCs w:val="7"/>
              </w:rPr>
            </w:pPr>
          </w:p>
        </w:tc>
        <w:tc>
          <w:tcPr>
            <w:tcW w:w="102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88"/>
        </w:trPr>
        <w:tc>
          <w:tcPr>
            <w:tcW w:w="380" w:type="dxa"/>
            <w:vMerge/>
            <w:vAlign w:val="bottom"/>
          </w:tcPr>
          <w:p w:rsidR="00AC12B4" w:rsidRDefault="00AC12B4">
            <w:pPr>
              <w:rPr>
                <w:sz w:val="7"/>
                <w:szCs w:val="7"/>
              </w:rPr>
            </w:pPr>
          </w:p>
        </w:tc>
        <w:tc>
          <w:tcPr>
            <w:tcW w:w="5760" w:type="dxa"/>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02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44"/>
        </w:trPr>
        <w:tc>
          <w:tcPr>
            <w:tcW w:w="380" w:type="dxa"/>
            <w:vMerge w:val="restart"/>
            <w:vAlign w:val="bottom"/>
          </w:tcPr>
          <w:p w:rsidR="00AC12B4" w:rsidRDefault="00C27636">
            <w:pPr>
              <w:spacing w:line="241" w:lineRule="exact"/>
              <w:ind w:right="80"/>
              <w:jc w:val="right"/>
              <w:rPr>
                <w:sz w:val="20"/>
                <w:szCs w:val="20"/>
              </w:rPr>
            </w:pPr>
            <w:r>
              <w:rPr>
                <w:rFonts w:ascii="Calibri" w:eastAsia="Calibri" w:hAnsi="Calibri" w:cs="Calibri"/>
                <w:w w:val="88"/>
                <w:sz w:val="20"/>
                <w:szCs w:val="20"/>
              </w:rPr>
              <w:t>15</w:t>
            </w:r>
          </w:p>
        </w:tc>
        <w:tc>
          <w:tcPr>
            <w:tcW w:w="5760" w:type="dxa"/>
            <w:tcBorders>
              <w:bottom w:val="single" w:sz="8" w:space="0" w:color="868686"/>
            </w:tcBorders>
            <w:vAlign w:val="bottom"/>
          </w:tcPr>
          <w:p w:rsidR="00AC12B4" w:rsidRDefault="00AC12B4">
            <w:pPr>
              <w:rPr>
                <w:sz w:val="12"/>
                <w:szCs w:val="12"/>
              </w:rPr>
            </w:pPr>
          </w:p>
        </w:tc>
        <w:tc>
          <w:tcPr>
            <w:tcW w:w="320" w:type="dxa"/>
            <w:vAlign w:val="bottom"/>
          </w:tcPr>
          <w:p w:rsidR="00AC12B4" w:rsidRDefault="00AC12B4">
            <w:pPr>
              <w:rPr>
                <w:sz w:val="12"/>
                <w:szCs w:val="12"/>
              </w:rPr>
            </w:pPr>
          </w:p>
        </w:tc>
        <w:tc>
          <w:tcPr>
            <w:tcW w:w="120" w:type="dxa"/>
            <w:vAlign w:val="bottom"/>
          </w:tcPr>
          <w:p w:rsidR="00AC12B4" w:rsidRDefault="00AC12B4">
            <w:pPr>
              <w:rPr>
                <w:sz w:val="12"/>
                <w:szCs w:val="12"/>
              </w:rPr>
            </w:pPr>
          </w:p>
        </w:tc>
        <w:tc>
          <w:tcPr>
            <w:tcW w:w="1020" w:type="dxa"/>
            <w:vMerge w:val="restart"/>
            <w:vAlign w:val="bottom"/>
          </w:tcPr>
          <w:p w:rsidR="00AC12B4" w:rsidRDefault="00C27636">
            <w:pPr>
              <w:ind w:left="40"/>
              <w:rPr>
                <w:sz w:val="20"/>
                <w:szCs w:val="20"/>
              </w:rPr>
            </w:pPr>
            <w:r>
              <w:rPr>
                <w:rFonts w:ascii="Calibri" w:eastAsia="Calibri" w:hAnsi="Calibri" w:cs="Calibri"/>
                <w:sz w:val="20"/>
                <w:szCs w:val="20"/>
              </w:rPr>
              <w:t>3ème</w:t>
            </w:r>
          </w:p>
        </w:tc>
        <w:tc>
          <w:tcPr>
            <w:tcW w:w="0" w:type="dxa"/>
            <w:vAlign w:val="bottom"/>
          </w:tcPr>
          <w:p w:rsidR="00AC12B4" w:rsidRDefault="00AC12B4">
            <w:pPr>
              <w:rPr>
                <w:sz w:val="1"/>
                <w:szCs w:val="1"/>
              </w:rPr>
            </w:pPr>
          </w:p>
        </w:tc>
      </w:tr>
      <w:tr w:rsidR="00AC12B4">
        <w:trPr>
          <w:trHeight w:val="90"/>
        </w:trPr>
        <w:tc>
          <w:tcPr>
            <w:tcW w:w="380" w:type="dxa"/>
            <w:vMerge/>
            <w:vAlign w:val="bottom"/>
          </w:tcPr>
          <w:p w:rsidR="00AC12B4" w:rsidRDefault="00AC12B4">
            <w:pPr>
              <w:rPr>
                <w:sz w:val="7"/>
                <w:szCs w:val="7"/>
              </w:rPr>
            </w:pPr>
          </w:p>
        </w:tc>
        <w:tc>
          <w:tcPr>
            <w:tcW w:w="5760" w:type="dxa"/>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tcBorders>
              <w:bottom w:val="single" w:sz="8" w:space="0" w:color="9BBB59"/>
            </w:tcBorders>
            <w:shd w:val="clear" w:color="auto" w:fill="9BBB59"/>
            <w:vAlign w:val="bottom"/>
          </w:tcPr>
          <w:p w:rsidR="00AC12B4" w:rsidRDefault="00AC12B4">
            <w:pPr>
              <w:rPr>
                <w:sz w:val="7"/>
                <w:szCs w:val="7"/>
              </w:rPr>
            </w:pPr>
          </w:p>
        </w:tc>
        <w:tc>
          <w:tcPr>
            <w:tcW w:w="102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48"/>
        </w:trPr>
        <w:tc>
          <w:tcPr>
            <w:tcW w:w="380" w:type="dxa"/>
            <w:vMerge w:val="restart"/>
            <w:vAlign w:val="bottom"/>
          </w:tcPr>
          <w:p w:rsidR="00AC12B4" w:rsidRDefault="00C27636">
            <w:pPr>
              <w:spacing w:line="208" w:lineRule="exact"/>
              <w:ind w:right="80"/>
              <w:jc w:val="right"/>
              <w:rPr>
                <w:sz w:val="20"/>
                <w:szCs w:val="20"/>
              </w:rPr>
            </w:pPr>
            <w:r>
              <w:rPr>
                <w:rFonts w:ascii="Calibri" w:eastAsia="Calibri" w:hAnsi="Calibri" w:cs="Calibri"/>
                <w:w w:val="88"/>
                <w:sz w:val="20"/>
                <w:szCs w:val="20"/>
              </w:rPr>
              <w:t>10</w:t>
            </w:r>
          </w:p>
        </w:tc>
        <w:tc>
          <w:tcPr>
            <w:tcW w:w="5760" w:type="dxa"/>
            <w:vAlign w:val="bottom"/>
          </w:tcPr>
          <w:p w:rsidR="00AC12B4" w:rsidRDefault="00AC12B4">
            <w:pPr>
              <w:rPr>
                <w:sz w:val="4"/>
                <w:szCs w:val="4"/>
              </w:rPr>
            </w:pPr>
          </w:p>
        </w:tc>
        <w:tc>
          <w:tcPr>
            <w:tcW w:w="3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1020" w:type="dxa"/>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48"/>
        </w:trPr>
        <w:tc>
          <w:tcPr>
            <w:tcW w:w="380" w:type="dxa"/>
            <w:vMerge/>
            <w:vAlign w:val="bottom"/>
          </w:tcPr>
          <w:p w:rsidR="00AC12B4" w:rsidRDefault="00AC12B4">
            <w:pPr>
              <w:rPr>
                <w:sz w:val="4"/>
                <w:szCs w:val="4"/>
              </w:rPr>
            </w:pPr>
          </w:p>
        </w:tc>
        <w:tc>
          <w:tcPr>
            <w:tcW w:w="5760" w:type="dxa"/>
            <w:tcBorders>
              <w:bottom w:val="single" w:sz="8" w:space="0" w:color="868686"/>
            </w:tcBorders>
            <w:vAlign w:val="bottom"/>
          </w:tcPr>
          <w:p w:rsidR="00AC12B4" w:rsidRDefault="00AC12B4">
            <w:pPr>
              <w:rPr>
                <w:sz w:val="4"/>
                <w:szCs w:val="4"/>
              </w:rPr>
            </w:pPr>
          </w:p>
        </w:tc>
        <w:tc>
          <w:tcPr>
            <w:tcW w:w="320" w:type="dxa"/>
            <w:vAlign w:val="bottom"/>
          </w:tcPr>
          <w:p w:rsidR="00AC12B4" w:rsidRDefault="00AC12B4">
            <w:pPr>
              <w:rPr>
                <w:sz w:val="4"/>
                <w:szCs w:val="4"/>
              </w:rPr>
            </w:pPr>
          </w:p>
        </w:tc>
        <w:tc>
          <w:tcPr>
            <w:tcW w:w="120" w:type="dxa"/>
            <w:vAlign w:val="bottom"/>
          </w:tcPr>
          <w:p w:rsidR="00AC12B4" w:rsidRDefault="00AC12B4">
            <w:pPr>
              <w:rPr>
                <w:sz w:val="4"/>
                <w:szCs w:val="4"/>
              </w:rPr>
            </w:pPr>
          </w:p>
        </w:tc>
        <w:tc>
          <w:tcPr>
            <w:tcW w:w="1020" w:type="dxa"/>
            <w:vMerge w:val="restart"/>
            <w:vAlign w:val="bottom"/>
          </w:tcPr>
          <w:p w:rsidR="00AC12B4" w:rsidRDefault="00C27636">
            <w:pPr>
              <w:ind w:left="40"/>
              <w:rPr>
                <w:sz w:val="20"/>
                <w:szCs w:val="20"/>
              </w:rPr>
            </w:pPr>
            <w:r>
              <w:rPr>
                <w:rFonts w:ascii="Calibri" w:eastAsia="Calibri" w:hAnsi="Calibri" w:cs="Calibri"/>
                <w:w w:val="97"/>
                <w:sz w:val="20"/>
                <w:szCs w:val="20"/>
              </w:rPr>
              <w:t>Le plus haut</w:t>
            </w:r>
          </w:p>
        </w:tc>
        <w:tc>
          <w:tcPr>
            <w:tcW w:w="0" w:type="dxa"/>
            <w:vAlign w:val="bottom"/>
          </w:tcPr>
          <w:p w:rsidR="00AC12B4" w:rsidRDefault="00AC12B4">
            <w:pPr>
              <w:rPr>
                <w:sz w:val="1"/>
                <w:szCs w:val="1"/>
              </w:rPr>
            </w:pPr>
          </w:p>
        </w:tc>
      </w:tr>
      <w:tr w:rsidR="00AC12B4">
        <w:trPr>
          <w:trHeight w:val="92"/>
        </w:trPr>
        <w:tc>
          <w:tcPr>
            <w:tcW w:w="380" w:type="dxa"/>
            <w:vMerge/>
            <w:vAlign w:val="bottom"/>
          </w:tcPr>
          <w:p w:rsidR="00AC12B4" w:rsidRDefault="00AC12B4">
            <w:pPr>
              <w:rPr>
                <w:sz w:val="7"/>
                <w:szCs w:val="7"/>
              </w:rPr>
            </w:pPr>
          </w:p>
        </w:tc>
        <w:tc>
          <w:tcPr>
            <w:tcW w:w="5760" w:type="dxa"/>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02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44"/>
        </w:trPr>
        <w:tc>
          <w:tcPr>
            <w:tcW w:w="380" w:type="dxa"/>
            <w:vMerge w:val="restart"/>
            <w:vAlign w:val="bottom"/>
          </w:tcPr>
          <w:p w:rsidR="00AC12B4" w:rsidRDefault="00C27636">
            <w:pPr>
              <w:spacing w:line="241" w:lineRule="exact"/>
              <w:ind w:right="80"/>
              <w:jc w:val="right"/>
              <w:rPr>
                <w:sz w:val="20"/>
                <w:szCs w:val="20"/>
              </w:rPr>
            </w:pPr>
            <w:r>
              <w:rPr>
                <w:rFonts w:ascii="Calibri" w:eastAsia="Calibri" w:hAnsi="Calibri" w:cs="Calibri"/>
                <w:sz w:val="20"/>
                <w:szCs w:val="20"/>
              </w:rPr>
              <w:t>5</w:t>
            </w:r>
          </w:p>
        </w:tc>
        <w:tc>
          <w:tcPr>
            <w:tcW w:w="5760" w:type="dxa"/>
            <w:vAlign w:val="bottom"/>
          </w:tcPr>
          <w:p w:rsidR="00AC12B4" w:rsidRDefault="00AC12B4">
            <w:pPr>
              <w:rPr>
                <w:sz w:val="3"/>
                <w:szCs w:val="3"/>
              </w:rPr>
            </w:pPr>
          </w:p>
        </w:tc>
        <w:tc>
          <w:tcPr>
            <w:tcW w:w="320" w:type="dxa"/>
            <w:vAlign w:val="bottom"/>
          </w:tcPr>
          <w:p w:rsidR="00AC12B4" w:rsidRDefault="00AC12B4">
            <w:pPr>
              <w:rPr>
                <w:sz w:val="3"/>
                <w:szCs w:val="3"/>
              </w:rPr>
            </w:pPr>
          </w:p>
        </w:tc>
        <w:tc>
          <w:tcPr>
            <w:tcW w:w="120" w:type="dxa"/>
            <w:vAlign w:val="bottom"/>
          </w:tcPr>
          <w:p w:rsidR="00AC12B4" w:rsidRDefault="00AC12B4">
            <w:pPr>
              <w:rPr>
                <w:sz w:val="3"/>
                <w:szCs w:val="3"/>
              </w:rPr>
            </w:pPr>
          </w:p>
        </w:tc>
        <w:tc>
          <w:tcPr>
            <w:tcW w:w="1020" w:type="dxa"/>
            <w:vMerge/>
            <w:vAlign w:val="bottom"/>
          </w:tcPr>
          <w:p w:rsidR="00AC12B4" w:rsidRDefault="00AC12B4">
            <w:pPr>
              <w:rPr>
                <w:sz w:val="3"/>
                <w:szCs w:val="3"/>
              </w:rPr>
            </w:pPr>
          </w:p>
        </w:tc>
        <w:tc>
          <w:tcPr>
            <w:tcW w:w="0" w:type="dxa"/>
            <w:vAlign w:val="bottom"/>
          </w:tcPr>
          <w:p w:rsidR="00AC12B4" w:rsidRDefault="00AC12B4">
            <w:pPr>
              <w:rPr>
                <w:sz w:val="1"/>
                <w:szCs w:val="1"/>
              </w:rPr>
            </w:pPr>
          </w:p>
        </w:tc>
      </w:tr>
      <w:tr w:rsidR="00AC12B4">
        <w:trPr>
          <w:trHeight w:val="90"/>
        </w:trPr>
        <w:tc>
          <w:tcPr>
            <w:tcW w:w="380" w:type="dxa"/>
            <w:vMerge/>
            <w:vAlign w:val="bottom"/>
          </w:tcPr>
          <w:p w:rsidR="00AC12B4" w:rsidRDefault="00AC12B4">
            <w:pPr>
              <w:rPr>
                <w:sz w:val="7"/>
                <w:szCs w:val="7"/>
              </w:rPr>
            </w:pPr>
          </w:p>
        </w:tc>
        <w:tc>
          <w:tcPr>
            <w:tcW w:w="5760" w:type="dxa"/>
            <w:tcBorders>
              <w:bottom w:val="single" w:sz="8" w:space="0" w:color="868686"/>
            </w:tcBorders>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tcBorders>
              <w:bottom w:val="single" w:sz="8" w:space="0" w:color="8064A2"/>
            </w:tcBorders>
            <w:shd w:val="clear" w:color="auto" w:fill="8064A2"/>
            <w:vAlign w:val="bottom"/>
          </w:tcPr>
          <w:p w:rsidR="00AC12B4" w:rsidRDefault="00AC12B4">
            <w:pPr>
              <w:rPr>
                <w:sz w:val="7"/>
                <w:szCs w:val="7"/>
              </w:rPr>
            </w:pPr>
          </w:p>
        </w:tc>
        <w:tc>
          <w:tcPr>
            <w:tcW w:w="102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86"/>
        </w:trPr>
        <w:tc>
          <w:tcPr>
            <w:tcW w:w="380" w:type="dxa"/>
            <w:vMerge/>
            <w:vAlign w:val="bottom"/>
          </w:tcPr>
          <w:p w:rsidR="00AC12B4" w:rsidRDefault="00AC12B4">
            <w:pPr>
              <w:rPr>
                <w:sz w:val="7"/>
                <w:szCs w:val="7"/>
              </w:rPr>
            </w:pPr>
          </w:p>
        </w:tc>
        <w:tc>
          <w:tcPr>
            <w:tcW w:w="5760" w:type="dxa"/>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020" w:type="dxa"/>
            <w:vMerge/>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30"/>
        </w:trPr>
        <w:tc>
          <w:tcPr>
            <w:tcW w:w="380" w:type="dxa"/>
            <w:vMerge w:val="restart"/>
            <w:vAlign w:val="bottom"/>
          </w:tcPr>
          <w:p w:rsidR="00AC12B4" w:rsidRDefault="00C27636">
            <w:pPr>
              <w:spacing w:line="242" w:lineRule="exact"/>
              <w:ind w:right="80"/>
              <w:jc w:val="right"/>
              <w:rPr>
                <w:sz w:val="20"/>
                <w:szCs w:val="20"/>
              </w:rPr>
            </w:pPr>
            <w:r>
              <w:rPr>
                <w:rFonts w:ascii="Calibri" w:eastAsia="Calibri" w:hAnsi="Calibri" w:cs="Calibri"/>
                <w:sz w:val="20"/>
                <w:szCs w:val="20"/>
              </w:rPr>
              <w:t>0</w:t>
            </w:r>
          </w:p>
        </w:tc>
        <w:tc>
          <w:tcPr>
            <w:tcW w:w="5760" w:type="dxa"/>
            <w:tcBorders>
              <w:bottom w:val="single" w:sz="8" w:space="0" w:color="868686"/>
            </w:tcBorders>
            <w:vAlign w:val="bottom"/>
          </w:tcPr>
          <w:p w:rsidR="00AC12B4" w:rsidRDefault="00AC12B4">
            <w:pPr>
              <w:rPr>
                <w:sz w:val="11"/>
                <w:szCs w:val="11"/>
              </w:rPr>
            </w:pPr>
          </w:p>
        </w:tc>
        <w:tc>
          <w:tcPr>
            <w:tcW w:w="320" w:type="dxa"/>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1020" w:type="dxa"/>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92"/>
        </w:trPr>
        <w:tc>
          <w:tcPr>
            <w:tcW w:w="380" w:type="dxa"/>
            <w:vMerge/>
            <w:vAlign w:val="bottom"/>
          </w:tcPr>
          <w:p w:rsidR="00AC12B4" w:rsidRDefault="00AC12B4">
            <w:pPr>
              <w:rPr>
                <w:sz w:val="7"/>
                <w:szCs w:val="7"/>
              </w:rPr>
            </w:pPr>
          </w:p>
        </w:tc>
        <w:tc>
          <w:tcPr>
            <w:tcW w:w="5760" w:type="dxa"/>
            <w:vAlign w:val="bottom"/>
          </w:tcPr>
          <w:p w:rsidR="00AC12B4" w:rsidRDefault="00AC12B4">
            <w:pPr>
              <w:rPr>
                <w:sz w:val="7"/>
                <w:szCs w:val="7"/>
              </w:rPr>
            </w:pPr>
          </w:p>
        </w:tc>
        <w:tc>
          <w:tcPr>
            <w:tcW w:w="320" w:type="dxa"/>
            <w:vAlign w:val="bottom"/>
          </w:tcPr>
          <w:p w:rsidR="00AC12B4" w:rsidRDefault="00AC12B4">
            <w:pPr>
              <w:rPr>
                <w:sz w:val="7"/>
                <w:szCs w:val="7"/>
              </w:rPr>
            </w:pPr>
          </w:p>
        </w:tc>
        <w:tc>
          <w:tcPr>
            <w:tcW w:w="120" w:type="dxa"/>
            <w:vAlign w:val="bottom"/>
          </w:tcPr>
          <w:p w:rsidR="00AC12B4" w:rsidRDefault="00AC12B4">
            <w:pPr>
              <w:rPr>
                <w:sz w:val="7"/>
                <w:szCs w:val="7"/>
              </w:rPr>
            </w:pPr>
          </w:p>
        </w:tc>
        <w:tc>
          <w:tcPr>
            <w:tcW w:w="1020" w:type="dxa"/>
            <w:vAlign w:val="bottom"/>
          </w:tcPr>
          <w:p w:rsidR="00AC12B4" w:rsidRDefault="00AC12B4">
            <w:pPr>
              <w:rPr>
                <w:sz w:val="7"/>
                <w:szCs w:val="7"/>
              </w:rPr>
            </w:pPr>
          </w:p>
        </w:tc>
        <w:tc>
          <w:tcPr>
            <w:tcW w:w="0" w:type="dxa"/>
            <w:vAlign w:val="bottom"/>
          </w:tcPr>
          <w:p w:rsidR="00AC12B4" w:rsidRDefault="00AC12B4">
            <w:pPr>
              <w:rPr>
                <w:sz w:val="1"/>
                <w:szCs w:val="1"/>
              </w:rPr>
            </w:pPr>
          </w:p>
        </w:tc>
      </w:tr>
    </w:tbl>
    <w:p w:rsidR="00AC12B4" w:rsidRDefault="00AC12B4">
      <w:pPr>
        <w:spacing w:line="16" w:lineRule="exact"/>
        <w:rPr>
          <w:sz w:val="20"/>
          <w:szCs w:val="20"/>
        </w:rPr>
      </w:pPr>
    </w:p>
    <w:p w:rsidR="00AC12B4" w:rsidRPr="00C27636" w:rsidRDefault="00C27636">
      <w:pPr>
        <w:tabs>
          <w:tab w:val="left" w:pos="5786"/>
          <w:tab w:val="left" w:pos="6926"/>
        </w:tabs>
        <w:ind w:left="2086"/>
        <w:rPr>
          <w:sz w:val="20"/>
          <w:szCs w:val="20"/>
          <w:lang w:val="fr-BE"/>
        </w:rPr>
      </w:pPr>
      <w:r w:rsidRPr="00C27636">
        <w:rPr>
          <w:rFonts w:ascii="Calibri" w:eastAsia="Calibri" w:hAnsi="Calibri" w:cs="Calibri"/>
          <w:sz w:val="20"/>
          <w:szCs w:val="20"/>
          <w:lang w:val="fr-BE"/>
        </w:rPr>
        <w:t xml:space="preserve">Plusieurs fois </w:t>
      </w:r>
      <w:r w:rsidRPr="00C27636">
        <w:rPr>
          <w:rFonts w:ascii="Calibri" w:eastAsia="Calibri" w:hAnsi="Calibri" w:cs="Calibri"/>
          <w:sz w:val="20"/>
          <w:szCs w:val="20"/>
          <w:lang w:val="fr-BE"/>
        </w:rPr>
        <w:t>Plusieurs fois Plusieurs fois</w:t>
      </w:r>
      <w:r w:rsidRPr="00C27636">
        <w:rPr>
          <w:sz w:val="20"/>
          <w:szCs w:val="20"/>
          <w:lang w:val="fr-BE"/>
        </w:rPr>
        <w:tab/>
      </w:r>
      <w:r w:rsidRPr="00C27636">
        <w:rPr>
          <w:rFonts w:ascii="Calibri" w:eastAsia="Calibri" w:hAnsi="Calibri" w:cs="Calibri"/>
          <w:sz w:val="20"/>
          <w:szCs w:val="20"/>
          <w:lang w:val="fr-BE"/>
        </w:rPr>
        <w:t>Moins</w:t>
      </w:r>
      <w:r w:rsidRPr="00C27636">
        <w:rPr>
          <w:sz w:val="20"/>
          <w:szCs w:val="20"/>
          <w:lang w:val="fr-BE"/>
        </w:rPr>
        <w:tab/>
      </w:r>
      <w:r w:rsidRPr="00C27636">
        <w:rPr>
          <w:rFonts w:ascii="Calibri" w:eastAsia="Calibri" w:hAnsi="Calibri" w:cs="Calibri"/>
          <w:sz w:val="20"/>
          <w:szCs w:val="20"/>
          <w:lang w:val="fr-BE"/>
        </w:rPr>
        <w:t>Jamais</w:t>
      </w:r>
    </w:p>
    <w:p w:rsidR="00AC12B4" w:rsidRPr="00C27636" w:rsidRDefault="00AC12B4">
      <w:pPr>
        <w:spacing w:line="1" w:lineRule="exact"/>
        <w:rPr>
          <w:sz w:val="20"/>
          <w:szCs w:val="20"/>
          <w:lang w:val="fr-BE"/>
        </w:rPr>
      </w:pPr>
    </w:p>
    <w:p w:rsidR="00AC12B4" w:rsidRPr="00C27636" w:rsidRDefault="00C27636">
      <w:pPr>
        <w:tabs>
          <w:tab w:val="left" w:pos="3386"/>
          <w:tab w:val="left" w:pos="4646"/>
          <w:tab w:val="left" w:pos="5706"/>
        </w:tabs>
        <w:ind w:left="2106"/>
        <w:rPr>
          <w:sz w:val="20"/>
          <w:szCs w:val="20"/>
          <w:lang w:val="fr-BE"/>
        </w:rPr>
      </w:pPr>
      <w:r w:rsidRPr="00C27636">
        <w:rPr>
          <w:rFonts w:ascii="Calibri" w:eastAsia="Calibri" w:hAnsi="Calibri" w:cs="Calibri"/>
          <w:sz w:val="20"/>
          <w:szCs w:val="20"/>
          <w:lang w:val="fr-BE"/>
        </w:rPr>
        <w:t>par semaine</w:t>
      </w:r>
      <w:r w:rsidRPr="00C27636">
        <w:rPr>
          <w:rFonts w:ascii="Calibri" w:eastAsia="Calibri" w:hAnsi="Calibri" w:cs="Calibri"/>
          <w:sz w:val="20"/>
          <w:szCs w:val="20"/>
          <w:lang w:val="fr-BE"/>
        </w:rPr>
        <w:tab/>
        <w:t>par mois</w:t>
      </w:r>
      <w:r w:rsidRPr="00C27636">
        <w:rPr>
          <w:sz w:val="20"/>
          <w:szCs w:val="20"/>
          <w:lang w:val="fr-BE"/>
        </w:rPr>
        <w:tab/>
      </w:r>
      <w:r w:rsidRPr="00C27636">
        <w:rPr>
          <w:rFonts w:ascii="Calibri" w:eastAsia="Calibri" w:hAnsi="Calibri" w:cs="Calibri"/>
          <w:sz w:val="20"/>
          <w:szCs w:val="20"/>
          <w:lang w:val="fr-BE"/>
        </w:rPr>
        <w:t>par an</w:t>
      </w:r>
      <w:r w:rsidRPr="00C27636">
        <w:rPr>
          <w:sz w:val="20"/>
          <w:szCs w:val="20"/>
          <w:lang w:val="fr-BE"/>
        </w:rPr>
        <w:tab/>
      </w:r>
      <w:r w:rsidRPr="00C27636">
        <w:rPr>
          <w:rFonts w:ascii="Calibri" w:eastAsia="Calibri" w:hAnsi="Calibri" w:cs="Calibri"/>
          <w:sz w:val="19"/>
          <w:szCs w:val="19"/>
          <w:lang w:val="fr-BE"/>
        </w:rPr>
        <w:t>souvent,</w:t>
      </w:r>
    </w:p>
    <w:p w:rsidR="00AC12B4" w:rsidRDefault="00C27636">
      <w:pPr>
        <w:spacing w:line="238" w:lineRule="auto"/>
        <w:ind w:left="5686"/>
        <w:rPr>
          <w:sz w:val="20"/>
          <w:szCs w:val="20"/>
        </w:rPr>
      </w:pPr>
      <w:r>
        <w:rPr>
          <w:rFonts w:ascii="Calibri" w:eastAsia="Calibri" w:hAnsi="Calibri" w:cs="Calibri"/>
          <w:sz w:val="20"/>
          <w:szCs w:val="20"/>
        </w:rPr>
        <w:t>rarement</w:t>
      </w:r>
    </w:p>
    <w:p w:rsidR="00AC12B4" w:rsidRDefault="00C27636">
      <w:pPr>
        <w:spacing w:line="20" w:lineRule="exact"/>
        <w:rPr>
          <w:sz w:val="20"/>
          <w:szCs w:val="20"/>
        </w:rPr>
      </w:pPr>
      <w:r>
        <w:rPr>
          <w:noProof/>
          <w:sz w:val="20"/>
          <w:szCs w:val="20"/>
        </w:rPr>
        <w:drawing>
          <wp:anchor distT="0" distB="0" distL="114300" distR="114300" simplePos="0" relativeHeight="251803136" behindDoc="1" locked="0" layoutInCell="0" allowOverlap="1">
            <wp:simplePos x="0" y="0"/>
            <wp:positionH relativeFrom="column">
              <wp:posOffset>965835</wp:posOffset>
            </wp:positionH>
            <wp:positionV relativeFrom="paragraph">
              <wp:posOffset>189230</wp:posOffset>
            </wp:positionV>
            <wp:extent cx="5033645" cy="323215"/>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73">
                      <a:extLst/>
                    </a:blip>
                    <a:srcRect/>
                    <a:stretch>
                      <a:fillRect/>
                    </a:stretch>
                  </pic:blipFill>
                  <pic:spPr bwMode="auto">
                    <a:xfrm>
                      <a:off x="0" y="0"/>
                      <a:ext cx="5033645" cy="323215"/>
                    </a:xfrm>
                    <a:prstGeom prst="rect">
                      <a:avLst/>
                    </a:prstGeom>
                    <a:noFill/>
                  </pic:spPr>
                </pic:pic>
              </a:graphicData>
            </a:graphic>
          </wp:anchor>
        </w:drawing>
      </w:r>
    </w:p>
    <w:p w:rsidR="00AC12B4" w:rsidRDefault="00AC12B4">
      <w:pPr>
        <w:spacing w:line="272" w:lineRule="exact"/>
        <w:rPr>
          <w:sz w:val="20"/>
          <w:szCs w:val="20"/>
        </w:rPr>
      </w:pPr>
    </w:p>
    <w:p w:rsidR="00AC12B4" w:rsidRDefault="00C27636">
      <w:pPr>
        <w:ind w:left="1526"/>
        <w:rPr>
          <w:sz w:val="20"/>
          <w:szCs w:val="20"/>
        </w:rPr>
      </w:pPr>
      <w:r>
        <w:rPr>
          <w:rFonts w:ascii="Calibri" w:eastAsia="Calibri" w:hAnsi="Calibri" w:cs="Calibri"/>
          <w:b/>
          <w:bCs/>
          <w:color w:val="4F81BD"/>
          <w:sz w:val="18"/>
          <w:szCs w:val="18"/>
        </w:rPr>
        <w:t>Figure 1. EQLS 2012</w:t>
      </w:r>
    </w:p>
    <w:p w:rsidR="00AC12B4" w:rsidRDefault="00AC12B4">
      <w:pPr>
        <w:sectPr w:rsidR="00AC12B4">
          <w:pgSz w:w="12080" w:h="17179"/>
          <w:pgMar w:top="1440" w:right="1440" w:bottom="659" w:left="454" w:header="0" w:footer="0" w:gutter="0"/>
          <w:cols w:space="720" w:equalWidth="0">
            <w:col w:w="10183"/>
          </w:cols>
        </w:sectPr>
      </w:pPr>
    </w:p>
    <w:p w:rsidR="00AC12B4" w:rsidRDefault="00AC12B4">
      <w:pPr>
        <w:spacing w:line="34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93"/>
      </w:tblGrid>
      <w:tr w:rsidR="00AC12B4" w:rsidRPr="00C27636">
        <w:trPr>
          <w:trHeight w:val="3760"/>
        </w:trPr>
        <w:tc>
          <w:tcPr>
            <w:tcW w:w="293"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4"/>
                <w:szCs w:val="24"/>
                <w:lang w:val="fr-BE"/>
              </w:rPr>
              <w:lastRenderedPageBreak/>
              <w:t>Le droit au respect de la vie familiale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18" w:lineRule="exact"/>
        <w:rPr>
          <w:sz w:val="20"/>
          <w:szCs w:val="20"/>
          <w:lang w:val="fr-BE"/>
        </w:rPr>
      </w:pPr>
    </w:p>
    <w:p w:rsidR="00AC12B4" w:rsidRPr="00C27636" w:rsidRDefault="00C27636">
      <w:pPr>
        <w:spacing w:line="234" w:lineRule="auto"/>
        <w:jc w:val="both"/>
        <w:rPr>
          <w:sz w:val="20"/>
          <w:szCs w:val="20"/>
          <w:lang w:val="fr-BE"/>
        </w:rPr>
      </w:pPr>
      <w:r w:rsidRPr="00C27636">
        <w:rPr>
          <w:rFonts w:ascii="Calibri" w:eastAsia="Calibri" w:hAnsi="Calibri" w:cs="Calibri"/>
          <w:lang w:val="fr-BE"/>
        </w:rPr>
        <w:t xml:space="preserve">L’influence de la vie privée sur le travail peut aussi poser problème. Elle est </w:t>
      </w:r>
      <w:r w:rsidRPr="00C27636">
        <w:rPr>
          <w:rFonts w:ascii="Calibri" w:eastAsia="Calibri" w:hAnsi="Calibri" w:cs="Calibri"/>
          <w:lang w:val="fr-BE"/>
        </w:rPr>
        <w:t>perçue différemment selon le niveau de revenu: seuls 11.3% des belges estiment que leurs obligations familiales empiètent sur leur travail, ils sont près de 20% à répondre dans ce sens pour le quartile de revenu le plus bas.</w:t>
      </w:r>
    </w:p>
    <w:p w:rsidR="00AC12B4" w:rsidRPr="00C27636" w:rsidRDefault="00AC12B4">
      <w:pPr>
        <w:spacing w:line="211" w:lineRule="exact"/>
        <w:rPr>
          <w:sz w:val="20"/>
          <w:szCs w:val="20"/>
          <w:lang w:val="fr-BE"/>
        </w:rPr>
      </w:pPr>
    </w:p>
    <w:p w:rsidR="00AC12B4" w:rsidRDefault="00C27636">
      <w:pPr>
        <w:rPr>
          <w:sz w:val="20"/>
          <w:szCs w:val="20"/>
        </w:rPr>
      </w:pPr>
      <w:r>
        <w:rPr>
          <w:rFonts w:ascii="Cambria" w:eastAsia="Cambria" w:hAnsi="Cambria" w:cs="Cambria"/>
          <w:b/>
          <w:bCs/>
          <w:i/>
          <w:iCs/>
          <w:color w:val="005022"/>
          <w:sz w:val="26"/>
          <w:szCs w:val="26"/>
        </w:rPr>
        <w:t>D’où viennent ces chiffres ?</w:t>
      </w:r>
    </w:p>
    <w:p w:rsidR="00AC12B4" w:rsidRDefault="00AC12B4">
      <w:pPr>
        <w:spacing w:line="168" w:lineRule="exact"/>
        <w:rPr>
          <w:sz w:val="20"/>
          <w:szCs w:val="20"/>
        </w:rPr>
      </w:pPr>
    </w:p>
    <w:p w:rsidR="00AC12B4" w:rsidRDefault="00C27636">
      <w:pPr>
        <w:numPr>
          <w:ilvl w:val="0"/>
          <w:numId w:val="289"/>
        </w:numPr>
        <w:tabs>
          <w:tab w:val="left" w:pos="720"/>
        </w:tabs>
        <w:ind w:left="720" w:hanging="360"/>
        <w:rPr>
          <w:rFonts w:ascii="Wingdings" w:eastAsia="Wingdings" w:hAnsi="Wingdings" w:cs="Wingdings"/>
          <w:color w:val="00923D"/>
        </w:rPr>
      </w:pPr>
      <w:r>
        <w:rPr>
          <w:rFonts w:ascii="Cambria" w:eastAsia="Cambria" w:hAnsi="Cambria" w:cs="Cambria"/>
          <w:i/>
          <w:iCs/>
          <w:color w:val="00923D"/>
        </w:rPr>
        <w:t>Enquête EQLS</w:t>
      </w:r>
    </w:p>
    <w:p w:rsidR="00AC12B4" w:rsidRDefault="00C27636">
      <w:pPr>
        <w:spacing w:line="20" w:lineRule="exact"/>
        <w:rPr>
          <w:sz w:val="20"/>
          <w:szCs w:val="20"/>
        </w:rPr>
      </w:pPr>
      <w:r>
        <w:rPr>
          <w:sz w:val="20"/>
          <w:szCs w:val="20"/>
        </w:rPr>
        <w:br w:type="column"/>
      </w:r>
    </w:p>
    <w:p w:rsidR="00AC12B4" w:rsidRDefault="00AC12B4">
      <w:pPr>
        <w:spacing w:line="269" w:lineRule="exact"/>
        <w:rPr>
          <w:sz w:val="20"/>
          <w:szCs w:val="20"/>
        </w:rPr>
      </w:pPr>
    </w:p>
    <w:p w:rsidR="00AC12B4" w:rsidRDefault="00C27636">
      <w:pPr>
        <w:rPr>
          <w:rFonts w:ascii="Calibri" w:eastAsia="Calibri" w:hAnsi="Calibri" w:cs="Calibri"/>
          <w:color w:val="0000FF"/>
          <w:u w:val="single"/>
        </w:rPr>
      </w:pPr>
      <w:hyperlink r:id="rId274">
        <w:r>
          <w:rPr>
            <w:rFonts w:ascii="Calibri" w:eastAsia="Calibri" w:hAnsi="Calibri" w:cs="Calibri"/>
            <w:color w:val="0000FF"/>
            <w:u w:val="single"/>
          </w:rPr>
          <w:t>http://www.eurofound.europa.eu/</w:t>
        </w:r>
      </w:hyperlink>
    </w:p>
    <w:p w:rsidR="00AC12B4" w:rsidRDefault="00AC12B4">
      <w:pPr>
        <w:spacing w:line="128" w:lineRule="exact"/>
        <w:rPr>
          <w:sz w:val="20"/>
          <w:szCs w:val="20"/>
        </w:rPr>
      </w:pPr>
    </w:p>
    <w:p w:rsidR="00AC12B4" w:rsidRDefault="00C27636">
      <w:pPr>
        <w:numPr>
          <w:ilvl w:val="0"/>
          <w:numId w:val="290"/>
        </w:numPr>
        <w:tabs>
          <w:tab w:val="left" w:pos="720"/>
        </w:tabs>
        <w:ind w:left="720" w:hanging="355"/>
        <w:rPr>
          <w:rFonts w:ascii="Wingdings" w:eastAsia="Wingdings" w:hAnsi="Wingdings" w:cs="Wingdings"/>
          <w:color w:val="00923D"/>
        </w:rPr>
      </w:pPr>
      <w:r>
        <w:rPr>
          <w:rFonts w:ascii="Cambria" w:eastAsia="Cambria" w:hAnsi="Cambria" w:cs="Cambria"/>
          <w:i/>
          <w:iCs/>
          <w:color w:val="00923D"/>
        </w:rPr>
        <w:t>Limite de la mesure</w:t>
      </w:r>
    </w:p>
    <w:p w:rsidR="00AC12B4" w:rsidRDefault="00AC12B4">
      <w:pPr>
        <w:spacing w:line="202" w:lineRule="exact"/>
        <w:rPr>
          <w:sz w:val="20"/>
          <w:szCs w:val="20"/>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 xml:space="preserve">Comme cela a déjà été invoqué, (Cf. encadré page précédente) parler d’équilibre entre vie familiale et travail ne va pas uniquement </w:t>
      </w:r>
      <w:r w:rsidRPr="00C27636">
        <w:rPr>
          <w:rFonts w:ascii="Calibri" w:eastAsia="Calibri" w:hAnsi="Calibri" w:cs="Calibri"/>
          <w:lang w:val="fr-BE"/>
        </w:rPr>
        <w:t>dans le sens de vouloir passer plus de temps avec sa famille. Un ménage avec une faible intensité de travail (low work intensity) ne l’a pas forcément choisi. Et trouver l’équilibre serait peut-être pour ces ménages d’augmenter le temps de travail.</w:t>
      </w:r>
    </w:p>
    <w:p w:rsidR="00AC12B4" w:rsidRPr="00C27636" w:rsidRDefault="00AC12B4">
      <w:pPr>
        <w:spacing w:line="332" w:lineRule="exact"/>
        <w:rPr>
          <w:sz w:val="20"/>
          <w:szCs w:val="20"/>
          <w:lang w:val="fr-BE"/>
        </w:rPr>
      </w:pPr>
    </w:p>
    <w:p w:rsidR="00AC12B4" w:rsidRPr="00C27636" w:rsidRDefault="00AC12B4">
      <w:pPr>
        <w:rPr>
          <w:lang w:val="fr-BE"/>
        </w:rPr>
        <w:sectPr w:rsidR="00AC12B4" w:rsidRPr="00C27636">
          <w:type w:val="continuous"/>
          <w:pgSz w:w="12080" w:h="17179"/>
          <w:pgMar w:top="1440" w:right="1440" w:bottom="659" w:left="454" w:header="0" w:footer="0" w:gutter="0"/>
          <w:cols w:num="3" w:space="720" w:equalWidth="0">
            <w:col w:w="293" w:space="693"/>
            <w:col w:w="3880" w:space="700"/>
            <w:col w:w="4617"/>
          </w:cols>
        </w:sectPr>
      </w:pPr>
    </w:p>
    <w:p w:rsidR="00AC12B4" w:rsidRDefault="00C27636">
      <w:pPr>
        <w:spacing w:line="211" w:lineRule="auto"/>
        <w:ind w:left="5046"/>
        <w:rPr>
          <w:sz w:val="20"/>
          <w:szCs w:val="20"/>
        </w:rPr>
      </w:pPr>
      <w:r>
        <w:rPr>
          <w:rFonts w:ascii="Calibri" w:eastAsia="Calibri" w:hAnsi="Calibri" w:cs="Calibri"/>
        </w:rPr>
        <w:lastRenderedPageBreak/>
        <w:t>160</w:t>
      </w:r>
    </w:p>
    <w:p w:rsidR="00AC12B4" w:rsidRDefault="00AC12B4">
      <w:pPr>
        <w:sectPr w:rsidR="00AC12B4">
          <w:type w:val="continuous"/>
          <w:pgSz w:w="12080" w:h="17179"/>
          <w:pgMar w:top="1440" w:right="1440" w:bottom="659" w:left="454" w:header="0" w:footer="0" w:gutter="0"/>
          <w:cols w:space="720" w:equalWidth="0">
            <w:col w:w="10183"/>
          </w:cols>
        </w:sectPr>
      </w:pPr>
    </w:p>
    <w:p w:rsidR="00AC12B4" w:rsidRDefault="00AC12B4">
      <w:pPr>
        <w:spacing w:line="169" w:lineRule="exact"/>
        <w:rPr>
          <w:sz w:val="20"/>
          <w:szCs w:val="20"/>
        </w:rPr>
      </w:pPr>
      <w:bookmarkStart w:id="160" w:name="page161"/>
      <w:bookmarkEnd w:id="160"/>
    </w:p>
    <w:p w:rsidR="00AC12B4" w:rsidRDefault="00C27636">
      <w:pPr>
        <w:ind w:left="560"/>
        <w:rPr>
          <w:sz w:val="20"/>
          <w:szCs w:val="20"/>
        </w:rPr>
      </w:pPr>
      <w:r>
        <w:rPr>
          <w:rFonts w:ascii="Cambria" w:eastAsia="Cambria" w:hAnsi="Cambria" w:cs="Cambria"/>
          <w:b/>
          <w:bCs/>
          <w:i/>
          <w:iCs/>
          <w:color w:val="005022"/>
          <w:sz w:val="26"/>
          <w:szCs w:val="26"/>
        </w:rPr>
        <w:t>Pour aller plus loin :</w:t>
      </w:r>
    </w:p>
    <w:p w:rsidR="00AC12B4" w:rsidRDefault="00AC12B4">
      <w:pPr>
        <w:spacing w:line="219" w:lineRule="exact"/>
        <w:rPr>
          <w:sz w:val="20"/>
          <w:szCs w:val="20"/>
        </w:rPr>
      </w:pPr>
    </w:p>
    <w:p w:rsidR="00AC12B4" w:rsidRPr="00C27636" w:rsidRDefault="00C27636">
      <w:pPr>
        <w:numPr>
          <w:ilvl w:val="0"/>
          <w:numId w:val="291"/>
        </w:numPr>
        <w:tabs>
          <w:tab w:val="left" w:pos="1000"/>
        </w:tabs>
        <w:spacing w:line="246" w:lineRule="auto"/>
        <w:ind w:left="1000" w:right="520" w:hanging="366"/>
        <w:jc w:val="both"/>
        <w:rPr>
          <w:rFonts w:ascii="Symbol" w:eastAsia="Symbol" w:hAnsi="Symbol" w:cs="Symbol"/>
          <w:sz w:val="20"/>
          <w:szCs w:val="20"/>
          <w:lang w:val="fr-BE"/>
        </w:rPr>
      </w:pPr>
      <w:r w:rsidRPr="00C27636">
        <w:rPr>
          <w:rFonts w:ascii="Calibri" w:eastAsia="Calibri" w:hAnsi="Calibri" w:cs="Calibri"/>
          <w:b/>
          <w:bCs/>
          <w:i/>
          <w:iCs/>
          <w:color w:val="005022"/>
          <w:sz w:val="20"/>
          <w:szCs w:val="20"/>
          <w:lang w:val="fr-BE"/>
        </w:rPr>
        <w:t xml:space="preserve">Accueil 0-3 ans et parascolaire: </w:t>
      </w:r>
      <w:r w:rsidRPr="00C27636">
        <w:rPr>
          <w:rFonts w:ascii="Calibri" w:eastAsia="Calibri" w:hAnsi="Calibri" w:cs="Calibri"/>
          <w:color w:val="000000"/>
          <w:sz w:val="20"/>
          <w:szCs w:val="20"/>
          <w:lang w:val="fr-BE"/>
        </w:rPr>
        <w:t>cf notre</w:t>
      </w:r>
      <w:r w:rsidRPr="00C27636">
        <w:rPr>
          <w:rFonts w:ascii="Calibri" w:eastAsia="Calibri" w:hAnsi="Calibri" w:cs="Calibri"/>
          <w:b/>
          <w:bCs/>
          <w:i/>
          <w:iCs/>
          <w:color w:val="005022"/>
          <w:sz w:val="20"/>
          <w:szCs w:val="20"/>
          <w:lang w:val="fr-BE"/>
        </w:rPr>
        <w:t xml:space="preserve"> </w:t>
      </w:r>
      <w:r w:rsidRPr="00C27636">
        <w:rPr>
          <w:rFonts w:ascii="Calibri" w:eastAsia="Calibri" w:hAnsi="Calibri" w:cs="Calibri"/>
          <w:color w:val="000000"/>
          <w:sz w:val="20"/>
          <w:szCs w:val="20"/>
          <w:lang w:val="fr-BE"/>
        </w:rPr>
        <w:t>indicateur ‘disponibilité de places d’accueil’</w:t>
      </w:r>
    </w:p>
    <w:p w:rsidR="00AC12B4" w:rsidRPr="00C27636" w:rsidRDefault="00AC12B4">
      <w:pPr>
        <w:spacing w:line="32" w:lineRule="exact"/>
        <w:rPr>
          <w:rFonts w:ascii="Symbol" w:eastAsia="Symbol" w:hAnsi="Symbol" w:cs="Symbol"/>
          <w:sz w:val="20"/>
          <w:szCs w:val="20"/>
          <w:lang w:val="fr-BE"/>
        </w:rPr>
      </w:pPr>
    </w:p>
    <w:p w:rsidR="00AC12B4" w:rsidRPr="00C27636" w:rsidRDefault="00C27636">
      <w:pPr>
        <w:numPr>
          <w:ilvl w:val="0"/>
          <w:numId w:val="291"/>
        </w:numPr>
        <w:tabs>
          <w:tab w:val="left" w:pos="1000"/>
        </w:tabs>
        <w:ind w:left="1000" w:hanging="366"/>
        <w:rPr>
          <w:rFonts w:ascii="Symbol" w:eastAsia="Symbol" w:hAnsi="Symbol" w:cs="Symbol"/>
          <w:sz w:val="20"/>
          <w:szCs w:val="20"/>
          <w:lang w:val="fr-BE"/>
        </w:rPr>
      </w:pPr>
      <w:r w:rsidRPr="00C27636">
        <w:rPr>
          <w:rFonts w:ascii="Calibri" w:eastAsia="Calibri" w:hAnsi="Calibri" w:cs="Calibri"/>
          <w:b/>
          <w:bCs/>
          <w:i/>
          <w:iCs/>
          <w:color w:val="005022"/>
          <w:sz w:val="20"/>
          <w:szCs w:val="20"/>
          <w:lang w:val="fr-BE"/>
        </w:rPr>
        <w:t>Communauté flamande</w:t>
      </w:r>
      <w:r w:rsidRPr="00C27636">
        <w:rPr>
          <w:rFonts w:ascii="Calibri" w:eastAsia="Calibri" w:hAnsi="Calibri" w:cs="Calibri"/>
          <w:color w:val="000000"/>
          <w:sz w:val="20"/>
          <w:szCs w:val="20"/>
          <w:lang w:val="fr-BE"/>
        </w:rPr>
        <w:t>: SCV et SERV :</w:t>
      </w:r>
    </w:p>
    <w:p w:rsidR="00AC12B4" w:rsidRPr="00C27636" w:rsidRDefault="00AC12B4">
      <w:pPr>
        <w:spacing w:line="30" w:lineRule="exact"/>
        <w:rPr>
          <w:sz w:val="20"/>
          <w:szCs w:val="20"/>
          <w:lang w:val="fr-BE"/>
        </w:rPr>
      </w:pPr>
    </w:p>
    <w:p w:rsidR="00AC12B4" w:rsidRDefault="00C27636">
      <w:pPr>
        <w:numPr>
          <w:ilvl w:val="0"/>
          <w:numId w:val="292"/>
        </w:numPr>
        <w:tabs>
          <w:tab w:val="left" w:pos="2000"/>
        </w:tabs>
        <w:ind w:left="2000" w:hanging="356"/>
        <w:rPr>
          <w:rFonts w:ascii="Courier New" w:eastAsia="Courier New" w:hAnsi="Courier New" w:cs="Courier New"/>
          <w:color w:val="00923D"/>
          <w:sz w:val="20"/>
          <w:szCs w:val="20"/>
        </w:rPr>
      </w:pPr>
      <w:r>
        <w:rPr>
          <w:rFonts w:ascii="Calibri" w:eastAsia="Calibri" w:hAnsi="Calibri" w:cs="Calibri"/>
          <w:color w:val="00923D"/>
          <w:sz w:val="20"/>
          <w:szCs w:val="20"/>
        </w:rPr>
        <w:t>SCV :</w:t>
      </w:r>
    </w:p>
    <w:p w:rsidR="00AC12B4" w:rsidRDefault="00AC12B4">
      <w:pPr>
        <w:spacing w:line="203" w:lineRule="exact"/>
        <w:rPr>
          <w:sz w:val="20"/>
          <w:szCs w:val="20"/>
        </w:rPr>
      </w:pPr>
    </w:p>
    <w:p w:rsidR="00AC12B4" w:rsidRPr="00C27636" w:rsidRDefault="00C27636">
      <w:pPr>
        <w:spacing w:line="232" w:lineRule="auto"/>
        <w:ind w:left="1000" w:right="520"/>
        <w:jc w:val="both"/>
        <w:rPr>
          <w:sz w:val="20"/>
          <w:szCs w:val="20"/>
          <w:lang w:val="fr-BE"/>
        </w:rPr>
      </w:pPr>
      <w:r w:rsidRPr="00C27636">
        <w:rPr>
          <w:rFonts w:ascii="Calibri" w:eastAsia="Calibri" w:hAnsi="Calibri" w:cs="Calibri"/>
          <w:sz w:val="20"/>
          <w:szCs w:val="20"/>
          <w:lang w:val="fr-BE"/>
        </w:rPr>
        <w:t xml:space="preserve">Enquête en 2012 sur, entre autres, la </w:t>
      </w:r>
      <w:r w:rsidRPr="00C27636">
        <w:rPr>
          <w:rFonts w:ascii="Calibri" w:eastAsia="Calibri" w:hAnsi="Calibri" w:cs="Calibri"/>
          <w:sz w:val="20"/>
          <w:szCs w:val="20"/>
          <w:lang w:val="fr-BE"/>
        </w:rPr>
        <w:t>combinaison travail- famille: « trop fatigué après le travail pour s’occuper du ménage”, “le temps investi au travail rend difficile de faire le ménage », “trop fatigué au boulot à cause du ménage »,</w:t>
      </w:r>
    </w:p>
    <w:p w:rsidR="00AC12B4" w:rsidRPr="00C27636" w:rsidRDefault="00AC12B4">
      <w:pPr>
        <w:spacing w:line="48" w:lineRule="exact"/>
        <w:rPr>
          <w:sz w:val="20"/>
          <w:szCs w:val="20"/>
          <w:lang w:val="fr-BE"/>
        </w:rPr>
      </w:pPr>
    </w:p>
    <w:p w:rsidR="00AC12B4" w:rsidRPr="00C27636" w:rsidRDefault="00C27636">
      <w:pPr>
        <w:numPr>
          <w:ilvl w:val="0"/>
          <w:numId w:val="293"/>
        </w:numPr>
        <w:tabs>
          <w:tab w:val="left" w:pos="1149"/>
        </w:tabs>
        <w:spacing w:line="233" w:lineRule="auto"/>
        <w:ind w:left="1000" w:right="520" w:hanging="8"/>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difficultés de se concentrer au boulot à cause du ménag</w:t>
      </w:r>
      <w:r w:rsidRPr="00C27636">
        <w:rPr>
          <w:rFonts w:ascii="Calibri" w:eastAsia="Calibri" w:hAnsi="Calibri" w:cs="Calibri"/>
          <w:sz w:val="20"/>
          <w:szCs w:val="20"/>
          <w:lang w:val="fr-BE"/>
        </w:rPr>
        <w:t xml:space="preserve">e » (ventilations demandées selon composition famille, statut socio-économique et statut sur le marché d’emploi) </w:t>
      </w:r>
      <w:hyperlink r:id="rId275">
        <w:r w:rsidRPr="00C27636">
          <w:rPr>
            <w:rFonts w:ascii="Calibri" w:eastAsia="Calibri" w:hAnsi="Calibri" w:cs="Calibri"/>
            <w:color w:val="0000FF"/>
            <w:sz w:val="20"/>
            <w:szCs w:val="20"/>
            <w:u w:val="single"/>
            <w:lang w:val="fr-BE"/>
          </w:rPr>
          <w:t>http://www4.vlaanderen.be/dar/svr/Enq</w:t>
        </w:r>
      </w:hyperlink>
      <w:r w:rsidRPr="00C27636">
        <w:rPr>
          <w:rFonts w:ascii="Calibri" w:eastAsia="Calibri" w:hAnsi="Calibri" w:cs="Calibri"/>
          <w:color w:val="0000FF"/>
          <w:sz w:val="20"/>
          <w:szCs w:val="20"/>
          <w:u w:val="single"/>
          <w:lang w:val="fr-BE"/>
        </w:rPr>
        <w:t xml:space="preserve"> </w:t>
      </w:r>
      <w:hyperlink r:id="rId276">
        <w:r w:rsidRPr="00C27636">
          <w:rPr>
            <w:rFonts w:ascii="Calibri" w:eastAsia="Calibri" w:hAnsi="Calibri" w:cs="Calibri"/>
            <w:color w:val="0000FF"/>
            <w:sz w:val="20"/>
            <w:szCs w:val="20"/>
            <w:u w:val="single"/>
            <w:lang w:val="fr-BE"/>
          </w:rPr>
          <w:t>uetes/Pages/Enquetes.aspx</w:t>
        </w:r>
      </w:hyperlink>
    </w:p>
    <w:p w:rsidR="00AC12B4" w:rsidRPr="00C27636" w:rsidRDefault="00AC12B4">
      <w:pPr>
        <w:spacing w:line="117" w:lineRule="exact"/>
        <w:rPr>
          <w:rFonts w:ascii="Calibri" w:eastAsia="Calibri" w:hAnsi="Calibri" w:cs="Calibri"/>
          <w:sz w:val="20"/>
          <w:szCs w:val="20"/>
          <w:lang w:val="fr-BE"/>
        </w:rPr>
      </w:pPr>
    </w:p>
    <w:p w:rsidR="00AC12B4" w:rsidRDefault="00C27636">
      <w:pPr>
        <w:numPr>
          <w:ilvl w:val="0"/>
          <w:numId w:val="294"/>
        </w:numPr>
        <w:tabs>
          <w:tab w:val="left" w:pos="2000"/>
        </w:tabs>
        <w:ind w:left="2000" w:hanging="356"/>
        <w:rPr>
          <w:rFonts w:ascii="Courier New" w:eastAsia="Courier New" w:hAnsi="Courier New" w:cs="Courier New"/>
          <w:color w:val="00923D"/>
          <w:sz w:val="20"/>
          <w:szCs w:val="20"/>
        </w:rPr>
      </w:pPr>
      <w:r>
        <w:rPr>
          <w:rFonts w:ascii="Calibri" w:eastAsia="Calibri" w:hAnsi="Calibri" w:cs="Calibri"/>
          <w:color w:val="00923D"/>
          <w:sz w:val="20"/>
          <w:szCs w:val="20"/>
        </w:rPr>
        <w:t>SERV:</w:t>
      </w:r>
    </w:p>
    <w:p w:rsidR="00AC12B4" w:rsidRDefault="00AC12B4">
      <w:pPr>
        <w:spacing w:line="157" w:lineRule="exact"/>
        <w:rPr>
          <w:rFonts w:ascii="Calibri" w:eastAsia="Calibri" w:hAnsi="Calibri" w:cs="Calibri"/>
          <w:sz w:val="20"/>
          <w:szCs w:val="20"/>
        </w:rPr>
      </w:pPr>
    </w:p>
    <w:p w:rsidR="00AC12B4" w:rsidRDefault="00C27636">
      <w:pPr>
        <w:tabs>
          <w:tab w:val="left" w:pos="2100"/>
          <w:tab w:val="left" w:pos="2660"/>
          <w:tab w:val="left" w:pos="3160"/>
        </w:tabs>
        <w:ind w:left="1000"/>
        <w:rPr>
          <w:sz w:val="20"/>
          <w:szCs w:val="20"/>
        </w:rPr>
      </w:pPr>
      <w:r>
        <w:rPr>
          <w:rFonts w:ascii="Calibri" w:eastAsia="Calibri" w:hAnsi="Calibri" w:cs="Calibri"/>
          <w:sz w:val="20"/>
          <w:szCs w:val="20"/>
        </w:rPr>
        <w:t>Moniteur</w:t>
      </w:r>
      <w:r>
        <w:rPr>
          <w:sz w:val="20"/>
          <w:szCs w:val="20"/>
        </w:rPr>
        <w:tab/>
      </w:r>
      <w:r>
        <w:rPr>
          <w:rFonts w:ascii="Calibri" w:eastAsia="Calibri" w:hAnsi="Calibri" w:cs="Calibri"/>
          <w:sz w:val="20"/>
          <w:szCs w:val="20"/>
        </w:rPr>
        <w:t>de</w:t>
      </w:r>
      <w:r>
        <w:rPr>
          <w:sz w:val="20"/>
          <w:szCs w:val="20"/>
        </w:rPr>
        <w:tab/>
      </w:r>
      <w:r>
        <w:rPr>
          <w:rFonts w:ascii="Calibri" w:eastAsia="Calibri" w:hAnsi="Calibri" w:cs="Calibri"/>
          <w:sz w:val="20"/>
          <w:szCs w:val="20"/>
        </w:rPr>
        <w:t>la</w:t>
      </w:r>
      <w:r>
        <w:rPr>
          <w:sz w:val="20"/>
          <w:szCs w:val="20"/>
        </w:rPr>
        <w:tab/>
      </w:r>
      <w:r>
        <w:rPr>
          <w:rFonts w:ascii="Calibri" w:eastAsia="Calibri" w:hAnsi="Calibri" w:cs="Calibri"/>
          <w:sz w:val="19"/>
          <w:szCs w:val="19"/>
        </w:rPr>
        <w:t>« praticabilité »</w:t>
      </w:r>
    </w:p>
    <w:p w:rsidR="00AC12B4" w:rsidRDefault="00AC12B4">
      <w:pPr>
        <w:spacing w:line="47" w:lineRule="exact"/>
        <w:rPr>
          <w:rFonts w:ascii="Calibri" w:eastAsia="Calibri" w:hAnsi="Calibri" w:cs="Calibri"/>
          <w:sz w:val="20"/>
          <w:szCs w:val="20"/>
        </w:rPr>
      </w:pPr>
    </w:p>
    <w:p w:rsidR="00AC12B4" w:rsidRPr="00C27636" w:rsidRDefault="00C27636">
      <w:pPr>
        <w:ind w:left="1000" w:right="520"/>
        <w:jc w:val="both"/>
        <w:rPr>
          <w:sz w:val="20"/>
          <w:szCs w:val="20"/>
          <w:lang w:val="fr-BE"/>
        </w:rPr>
      </w:pPr>
      <w:r w:rsidRPr="00C27636">
        <w:rPr>
          <w:rFonts w:ascii="Calibri" w:eastAsia="Calibri" w:hAnsi="Calibri" w:cs="Calibri"/>
          <w:sz w:val="19"/>
          <w:szCs w:val="19"/>
          <w:lang w:val="fr-BE"/>
        </w:rPr>
        <w:t xml:space="preserve">(“Werkbaarheidsmonitor”) pour employés et indépendants, indicateur de l’équilibre travail-vie privée (tous les 3 ans): pour les </w:t>
      </w:r>
      <w:r w:rsidRPr="00C27636">
        <w:rPr>
          <w:rFonts w:ascii="Calibri" w:eastAsia="Calibri" w:hAnsi="Calibri" w:cs="Calibri"/>
          <w:sz w:val="19"/>
          <w:szCs w:val="19"/>
          <w:lang w:val="fr-BE"/>
        </w:rPr>
        <w:t>employés, l’évaluation de l’ équilibre</w:t>
      </w:r>
    </w:p>
    <w:p w:rsidR="00AC12B4" w:rsidRPr="00C27636" w:rsidRDefault="00AC12B4">
      <w:pPr>
        <w:spacing w:line="49" w:lineRule="exact"/>
        <w:rPr>
          <w:rFonts w:ascii="Calibri" w:eastAsia="Calibri" w:hAnsi="Calibri" w:cs="Calibri"/>
          <w:sz w:val="20"/>
          <w:szCs w:val="20"/>
          <w:lang w:val="fr-BE"/>
        </w:rPr>
      </w:pPr>
    </w:p>
    <w:p w:rsidR="00AC12B4" w:rsidRPr="00C27636" w:rsidRDefault="00C27636">
      <w:pPr>
        <w:spacing w:line="236" w:lineRule="auto"/>
        <w:ind w:left="1000" w:right="520"/>
        <w:jc w:val="both"/>
        <w:rPr>
          <w:sz w:val="20"/>
          <w:szCs w:val="20"/>
          <w:lang w:val="fr-BE"/>
        </w:rPr>
      </w:pPr>
      <w:r w:rsidRPr="00C27636">
        <w:rPr>
          <w:rFonts w:ascii="Calibri" w:eastAsia="Calibri" w:hAnsi="Calibri" w:cs="Calibri"/>
          <w:sz w:val="20"/>
          <w:szCs w:val="20"/>
          <w:lang w:val="fr-BE"/>
        </w:rPr>
        <w:t xml:space="preserve">entre privé et travail reste plus ou moins constante depuis 2007 :ils sont autour de 89% à ne pas juger la situation comme problématique. En 2013 2,7% des employés considéraient la situation comme très problématique </w:t>
      </w:r>
      <w:r w:rsidRPr="00C27636">
        <w:rPr>
          <w:rFonts w:ascii="Calibri" w:eastAsia="Calibri" w:hAnsi="Calibri" w:cs="Calibri"/>
          <w:sz w:val="20"/>
          <w:szCs w:val="20"/>
          <w:lang w:val="fr-BE"/>
        </w:rPr>
        <w:t>(2,3% en 2010). Seuls 68,4% des indépendants ont évalué leur situation comme non-problématique en 2013. 9,5% des indépendants considéraient la situation comme très problématique. Toutefois, une amélioration peut être constatée par</w:t>
      </w:r>
    </w:p>
    <w:p w:rsidR="00AC12B4" w:rsidRPr="00C27636" w:rsidRDefault="00AC12B4">
      <w:pPr>
        <w:spacing w:line="1" w:lineRule="exact"/>
        <w:rPr>
          <w:rFonts w:ascii="Calibri" w:eastAsia="Calibri" w:hAnsi="Calibri" w:cs="Calibri"/>
          <w:sz w:val="20"/>
          <w:szCs w:val="20"/>
          <w:lang w:val="fr-BE"/>
        </w:rPr>
      </w:pPr>
    </w:p>
    <w:p w:rsidR="00AC12B4" w:rsidRPr="00C27636" w:rsidRDefault="00C27636">
      <w:pPr>
        <w:tabs>
          <w:tab w:val="left" w:pos="2000"/>
          <w:tab w:val="left" w:pos="2940"/>
          <w:tab w:val="left" w:pos="3760"/>
        </w:tabs>
        <w:ind w:left="1000"/>
        <w:rPr>
          <w:sz w:val="20"/>
          <w:szCs w:val="20"/>
          <w:lang w:val="nl-NL"/>
        </w:rPr>
      </w:pPr>
      <w:r w:rsidRPr="00C27636">
        <w:rPr>
          <w:rFonts w:ascii="Calibri" w:eastAsia="Calibri" w:hAnsi="Calibri" w:cs="Calibri"/>
          <w:sz w:val="20"/>
          <w:szCs w:val="20"/>
          <w:lang w:val="nl-NL"/>
        </w:rPr>
        <w:t>rapport</w:t>
      </w:r>
      <w:r w:rsidRPr="00C27636">
        <w:rPr>
          <w:sz w:val="20"/>
          <w:szCs w:val="20"/>
          <w:lang w:val="nl-NL"/>
        </w:rPr>
        <w:tab/>
      </w:r>
      <w:r w:rsidRPr="00C27636">
        <w:rPr>
          <w:rFonts w:ascii="Calibri" w:eastAsia="Calibri" w:hAnsi="Calibri" w:cs="Calibri"/>
          <w:sz w:val="20"/>
          <w:szCs w:val="20"/>
          <w:lang w:val="nl-NL"/>
        </w:rPr>
        <w:t>à</w:t>
      </w:r>
      <w:r w:rsidRPr="00C27636">
        <w:rPr>
          <w:sz w:val="20"/>
          <w:szCs w:val="20"/>
          <w:lang w:val="nl-NL"/>
        </w:rPr>
        <w:tab/>
      </w:r>
      <w:r w:rsidRPr="00C27636">
        <w:rPr>
          <w:rFonts w:ascii="Calibri" w:eastAsia="Calibri" w:hAnsi="Calibri" w:cs="Calibri"/>
          <w:sz w:val="20"/>
          <w:szCs w:val="20"/>
          <w:lang w:val="nl-NL"/>
        </w:rPr>
        <w:t>2010</w:t>
      </w:r>
      <w:r w:rsidRPr="00C27636">
        <w:rPr>
          <w:sz w:val="20"/>
          <w:szCs w:val="20"/>
          <w:lang w:val="nl-NL"/>
        </w:rPr>
        <w:tab/>
      </w:r>
      <w:r w:rsidRPr="00C27636">
        <w:rPr>
          <w:rFonts w:ascii="Calibri" w:eastAsia="Calibri" w:hAnsi="Calibri" w:cs="Calibri"/>
          <w:sz w:val="19"/>
          <w:szCs w:val="19"/>
          <w:lang w:val="nl-NL"/>
        </w:rPr>
        <w:t>(11,8%).</w:t>
      </w:r>
    </w:p>
    <w:p w:rsidR="00AC12B4" w:rsidRPr="00C27636" w:rsidRDefault="00AC12B4">
      <w:pPr>
        <w:spacing w:line="47" w:lineRule="exact"/>
        <w:rPr>
          <w:rFonts w:ascii="Calibri" w:eastAsia="Calibri" w:hAnsi="Calibri" w:cs="Calibri"/>
          <w:sz w:val="20"/>
          <w:szCs w:val="20"/>
          <w:lang w:val="nl-NL"/>
        </w:rPr>
      </w:pPr>
    </w:p>
    <w:p w:rsidR="00AC12B4" w:rsidRPr="00C27636" w:rsidRDefault="00C27636">
      <w:pPr>
        <w:spacing w:line="228" w:lineRule="auto"/>
        <w:ind w:left="1000" w:right="520"/>
        <w:rPr>
          <w:rFonts w:ascii="Calibri" w:eastAsia="Calibri" w:hAnsi="Calibri" w:cs="Calibri"/>
          <w:color w:val="0000FF"/>
          <w:sz w:val="19"/>
          <w:szCs w:val="19"/>
          <w:u w:val="single"/>
          <w:lang w:val="nl-NL"/>
        </w:rPr>
      </w:pPr>
      <w:hyperlink r:id="rId277">
        <w:r w:rsidRPr="00C27636">
          <w:rPr>
            <w:rFonts w:ascii="Calibri" w:eastAsia="Calibri" w:hAnsi="Calibri" w:cs="Calibri"/>
            <w:color w:val="0000FF"/>
            <w:sz w:val="19"/>
            <w:szCs w:val="19"/>
            <w:u w:val="single"/>
            <w:lang w:val="nl-NL"/>
          </w:rPr>
          <w:t>http://www.werkbaarwerk.be/werkbaarw</w:t>
        </w:r>
      </w:hyperlink>
      <w:r w:rsidRPr="00C27636">
        <w:rPr>
          <w:rFonts w:ascii="Calibri" w:eastAsia="Calibri" w:hAnsi="Calibri" w:cs="Calibri"/>
          <w:color w:val="0000FF"/>
          <w:sz w:val="19"/>
          <w:szCs w:val="19"/>
          <w:u w:val="single"/>
          <w:lang w:val="nl-NL"/>
        </w:rPr>
        <w:t xml:space="preserve"> </w:t>
      </w:r>
      <w:hyperlink r:id="rId278">
        <w:r w:rsidRPr="00C27636">
          <w:rPr>
            <w:rFonts w:ascii="Calibri" w:eastAsia="Calibri" w:hAnsi="Calibri" w:cs="Calibri"/>
            <w:color w:val="0000FF"/>
            <w:sz w:val="19"/>
            <w:szCs w:val="19"/>
            <w:u w:val="single"/>
            <w:lang w:val="nl-NL"/>
          </w:rPr>
          <w:t>erk/werkbaarheidsmonitor</w:t>
        </w:r>
      </w:hyperlink>
    </w:p>
    <w:p w:rsidR="00AC12B4" w:rsidRPr="00C27636" w:rsidRDefault="00AC12B4">
      <w:pPr>
        <w:spacing w:line="124" w:lineRule="exact"/>
        <w:rPr>
          <w:sz w:val="20"/>
          <w:szCs w:val="20"/>
          <w:lang w:val="nl-NL"/>
        </w:rPr>
      </w:pPr>
    </w:p>
    <w:p w:rsidR="00AC12B4" w:rsidRDefault="00C27636">
      <w:pPr>
        <w:numPr>
          <w:ilvl w:val="0"/>
          <w:numId w:val="295"/>
        </w:numPr>
        <w:tabs>
          <w:tab w:val="left" w:pos="1000"/>
        </w:tabs>
        <w:ind w:left="1000" w:hanging="292"/>
        <w:rPr>
          <w:rFonts w:ascii="Symbol" w:eastAsia="Symbol" w:hAnsi="Symbol" w:cs="Symbol"/>
          <w:sz w:val="20"/>
          <w:szCs w:val="20"/>
        </w:rPr>
      </w:pPr>
      <w:r>
        <w:rPr>
          <w:rFonts w:ascii="Calibri" w:eastAsia="Calibri" w:hAnsi="Calibri" w:cs="Calibri"/>
          <w:b/>
          <w:bCs/>
          <w:i/>
          <w:iCs/>
          <w:color w:val="005022"/>
          <w:sz w:val="20"/>
          <w:szCs w:val="20"/>
        </w:rPr>
        <w:t xml:space="preserve">Niveau belge </w:t>
      </w:r>
      <w:r>
        <w:rPr>
          <w:rFonts w:ascii="Calibri" w:eastAsia="Calibri" w:hAnsi="Calibri" w:cs="Calibri"/>
          <w:color w:val="005022"/>
          <w:sz w:val="20"/>
          <w:szCs w:val="20"/>
        </w:rPr>
        <w:t>:</w:t>
      </w:r>
      <w:r>
        <w:rPr>
          <w:rFonts w:ascii="Calibri" w:eastAsia="Calibri" w:hAnsi="Calibri" w:cs="Calibri"/>
          <w:b/>
          <w:bCs/>
          <w:i/>
          <w:iCs/>
          <w:color w:val="005022"/>
          <w:sz w:val="20"/>
          <w:szCs w:val="20"/>
        </w:rPr>
        <w:t xml:space="preserve"> </w:t>
      </w:r>
      <w:r>
        <w:rPr>
          <w:rFonts w:ascii="Calibri" w:eastAsia="Calibri" w:hAnsi="Calibri" w:cs="Calibri"/>
          <w:color w:val="000000"/>
          <w:sz w:val="20"/>
          <w:szCs w:val="20"/>
        </w:rPr>
        <w:t xml:space="preserve">DGSIE (Direction </w:t>
      </w:r>
      <w:r>
        <w:rPr>
          <w:rFonts w:ascii="Calibri" w:eastAsia="Calibri" w:hAnsi="Calibri" w:cs="Calibri"/>
          <w:color w:val="000000"/>
          <w:sz w:val="20"/>
          <w:szCs w:val="20"/>
        </w:rPr>
        <w:t>générale</w:t>
      </w:r>
    </w:p>
    <w:p w:rsidR="00AC12B4" w:rsidRDefault="00AC12B4">
      <w:pPr>
        <w:spacing w:line="45" w:lineRule="exact"/>
        <w:rPr>
          <w:rFonts w:ascii="Symbol" w:eastAsia="Symbol" w:hAnsi="Symbol" w:cs="Symbol"/>
          <w:sz w:val="20"/>
          <w:szCs w:val="20"/>
        </w:rPr>
      </w:pPr>
    </w:p>
    <w:p w:rsidR="00AC12B4" w:rsidRPr="00C27636" w:rsidRDefault="00C27636">
      <w:pPr>
        <w:spacing w:line="214" w:lineRule="auto"/>
        <w:ind w:left="1000" w:right="520"/>
        <w:jc w:val="both"/>
        <w:rPr>
          <w:rFonts w:ascii="Symbol" w:eastAsia="Symbol" w:hAnsi="Symbol" w:cs="Symbol"/>
          <w:sz w:val="20"/>
          <w:szCs w:val="20"/>
          <w:lang w:val="fr-BE"/>
        </w:rPr>
      </w:pPr>
      <w:r w:rsidRPr="00C27636">
        <w:rPr>
          <w:rFonts w:ascii="Calibri" w:eastAsia="Calibri" w:hAnsi="Calibri" w:cs="Calibri"/>
          <w:sz w:val="20"/>
          <w:szCs w:val="20"/>
          <w:lang w:val="fr-BE"/>
        </w:rPr>
        <w:t>Statistique et Information économique), EFT, module spéciale 2e trimestre 2010</w:t>
      </w: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question posée aux personnes qui ne travaillent pas pour garder leurs enfants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04160" behindDoc="1" locked="0" layoutInCell="0" allowOverlap="1">
                <wp:simplePos x="0" y="0"/>
                <wp:positionH relativeFrom="column">
                  <wp:posOffset>359410</wp:posOffset>
                </wp:positionH>
                <wp:positionV relativeFrom="paragraph">
                  <wp:posOffset>118110</wp:posOffset>
                </wp:positionV>
                <wp:extent cx="1829435" cy="0"/>
                <wp:effectExtent l="0" t="0" r="0" b="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9.3pt" to="172.35pt,9.3pt" o:allowincell="f" strokecolor="#000000" strokeweight="0.72pt"/>
            </w:pict>
          </mc:Fallback>
        </mc:AlternateContent>
      </w:r>
    </w:p>
    <w:p w:rsidR="00AC12B4" w:rsidRPr="00C27636" w:rsidRDefault="00AC12B4">
      <w:pPr>
        <w:spacing w:line="311" w:lineRule="exact"/>
        <w:rPr>
          <w:sz w:val="20"/>
          <w:szCs w:val="20"/>
          <w:lang w:val="fr-BE"/>
        </w:rPr>
      </w:pPr>
    </w:p>
    <w:p w:rsidR="00AC12B4" w:rsidRPr="00C27636" w:rsidRDefault="00C27636">
      <w:pPr>
        <w:numPr>
          <w:ilvl w:val="0"/>
          <w:numId w:val="296"/>
        </w:numPr>
        <w:tabs>
          <w:tab w:val="left" w:pos="700"/>
        </w:tabs>
        <w:ind w:left="700" w:hanging="133"/>
        <w:rPr>
          <w:rFonts w:ascii="Calibri" w:eastAsia="Calibri" w:hAnsi="Calibri" w:cs="Calibri"/>
          <w:sz w:val="26"/>
          <w:szCs w:val="26"/>
          <w:vertAlign w:val="superscript"/>
          <w:lang w:val="fr-BE"/>
        </w:rPr>
      </w:pPr>
      <w:r w:rsidRPr="00C27636">
        <w:rPr>
          <w:rFonts w:ascii="Calibri" w:eastAsia="Calibri" w:hAnsi="Calibri" w:cs="Calibri"/>
          <w:sz w:val="17"/>
          <w:szCs w:val="17"/>
          <w:lang w:val="fr-BE"/>
        </w:rPr>
        <w:t>Ce module visait toutes les personnes âgées de 15 à</w:t>
      </w:r>
    </w:p>
    <w:p w:rsidR="00AC12B4" w:rsidRPr="00C27636" w:rsidRDefault="00AC12B4">
      <w:pPr>
        <w:spacing w:line="46" w:lineRule="exact"/>
        <w:rPr>
          <w:rFonts w:ascii="Calibri" w:eastAsia="Calibri" w:hAnsi="Calibri" w:cs="Calibri"/>
          <w:sz w:val="26"/>
          <w:szCs w:val="26"/>
          <w:vertAlign w:val="superscript"/>
          <w:lang w:val="fr-BE"/>
        </w:rPr>
      </w:pPr>
    </w:p>
    <w:p w:rsidR="00AC12B4" w:rsidRPr="00C27636" w:rsidRDefault="00C27636">
      <w:pPr>
        <w:numPr>
          <w:ilvl w:val="0"/>
          <w:numId w:val="297"/>
        </w:numPr>
        <w:tabs>
          <w:tab w:val="left" w:pos="797"/>
        </w:tabs>
        <w:spacing w:line="232" w:lineRule="auto"/>
        <w:ind w:left="560" w:right="520" w:firstLine="7"/>
        <w:jc w:val="both"/>
        <w:rPr>
          <w:rFonts w:ascii="Calibri" w:eastAsia="Calibri" w:hAnsi="Calibri" w:cs="Calibri"/>
          <w:sz w:val="17"/>
          <w:szCs w:val="17"/>
          <w:lang w:val="fr-BE"/>
        </w:rPr>
      </w:pPr>
      <w:r w:rsidRPr="00C27636">
        <w:rPr>
          <w:rFonts w:ascii="Calibri" w:eastAsia="Calibri" w:hAnsi="Calibri" w:cs="Calibri"/>
          <w:sz w:val="17"/>
          <w:szCs w:val="17"/>
          <w:lang w:val="fr-BE"/>
        </w:rPr>
        <w:t>ans faisant partie de l’échanti</w:t>
      </w:r>
      <w:r w:rsidRPr="00C27636">
        <w:rPr>
          <w:rFonts w:ascii="Calibri" w:eastAsia="Calibri" w:hAnsi="Calibri" w:cs="Calibri"/>
          <w:sz w:val="17"/>
          <w:szCs w:val="17"/>
          <w:lang w:val="fr-BE"/>
        </w:rPr>
        <w:t>llon de l’enquête sur les forces de travail. Parmi les 17.031 personnes à interroger (personnes pour lesquelles il existait une réponse au questionnaire individuel de l’enquête sur les forces de travail), 16.289 ont répondu au module, ce qui correspond à u</w:t>
      </w:r>
      <w:r w:rsidRPr="00C27636">
        <w:rPr>
          <w:rFonts w:ascii="Calibri" w:eastAsia="Calibri" w:hAnsi="Calibri" w:cs="Calibri"/>
          <w:sz w:val="17"/>
          <w:szCs w:val="17"/>
          <w:lang w:val="fr-BE"/>
        </w:rPr>
        <w:t>n taux de réponse de 95,6%.</w:t>
      </w:r>
    </w:p>
    <w:p w:rsidR="00AC12B4" w:rsidRPr="00C27636" w:rsidRDefault="00AC12B4">
      <w:pPr>
        <w:spacing w:line="243"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161</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1" w:lineRule="exact"/>
        <w:rPr>
          <w:sz w:val="20"/>
          <w:szCs w:val="20"/>
          <w:lang w:val="fr-BE"/>
        </w:rPr>
      </w:pPr>
    </w:p>
    <w:p w:rsidR="00AC12B4" w:rsidRPr="00C27636" w:rsidRDefault="00C27636">
      <w:pPr>
        <w:spacing w:line="233" w:lineRule="auto"/>
        <w:ind w:left="361" w:right="49"/>
        <w:jc w:val="both"/>
        <w:rPr>
          <w:sz w:val="20"/>
          <w:szCs w:val="20"/>
          <w:lang w:val="fr-BE"/>
        </w:rPr>
      </w:pPr>
      <w:r w:rsidRPr="00C27636">
        <w:rPr>
          <w:rFonts w:ascii="Calibri" w:eastAsia="Calibri" w:hAnsi="Calibri" w:cs="Calibri"/>
          <w:sz w:val="20"/>
          <w:szCs w:val="20"/>
          <w:lang w:val="fr-BE"/>
        </w:rPr>
        <w:t xml:space="preserve">ou pour s’occuper de personnes dépendantes : « Pour quelle raison gardez-vous vos enfants ou vous occupez-vous d’autres personnes dépendantes (malades, handicapées ou âgées) ? (une seule réponse possible ) ».16,2% des </w:t>
      </w:r>
      <w:r w:rsidRPr="00C27636">
        <w:rPr>
          <w:rFonts w:ascii="Calibri" w:eastAsia="Calibri" w:hAnsi="Calibri" w:cs="Calibri"/>
          <w:sz w:val="20"/>
          <w:szCs w:val="20"/>
          <w:lang w:val="fr-BE"/>
        </w:rPr>
        <w:t>femmes et 5% des hommes ont répondu :</w:t>
      </w:r>
    </w:p>
    <w:p w:rsidR="00AC12B4" w:rsidRPr="00C27636" w:rsidRDefault="00AC12B4">
      <w:pPr>
        <w:spacing w:line="50" w:lineRule="exact"/>
        <w:rPr>
          <w:sz w:val="20"/>
          <w:szCs w:val="20"/>
          <w:lang w:val="fr-BE"/>
        </w:rPr>
      </w:pPr>
    </w:p>
    <w:p w:rsidR="00AC12B4" w:rsidRPr="00C27636" w:rsidRDefault="00C27636">
      <w:pPr>
        <w:spacing w:line="233" w:lineRule="auto"/>
        <w:ind w:left="361" w:right="69"/>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 xml:space="preserve">« Parce qu’aucun service approprié d’accueil d’enfants n’est disponible ou abordable » </w:t>
      </w:r>
      <w:hyperlink r:id="rId279">
        <w:r w:rsidRPr="00C27636">
          <w:rPr>
            <w:rFonts w:ascii="Calibri" w:eastAsia="Calibri" w:hAnsi="Calibri" w:cs="Calibri"/>
            <w:color w:val="0000FF"/>
            <w:sz w:val="20"/>
            <w:szCs w:val="20"/>
            <w:u w:val="single"/>
            <w:lang w:val="fr-BE"/>
          </w:rPr>
          <w:t>http://statbel.fgov.be/fr/modules/publica</w:t>
        </w:r>
      </w:hyperlink>
      <w:r w:rsidRPr="00C27636">
        <w:rPr>
          <w:rFonts w:ascii="Calibri" w:eastAsia="Calibri" w:hAnsi="Calibri" w:cs="Calibri"/>
          <w:color w:val="0000FF"/>
          <w:sz w:val="20"/>
          <w:szCs w:val="20"/>
          <w:u w:val="single"/>
          <w:lang w:val="fr-BE"/>
        </w:rPr>
        <w:t xml:space="preserve"> </w:t>
      </w:r>
      <w:hyperlink r:id="rId280">
        <w:r w:rsidRPr="00C27636">
          <w:rPr>
            <w:rFonts w:ascii="Calibri" w:eastAsia="Calibri" w:hAnsi="Calibri" w:cs="Calibri"/>
            <w:color w:val="0000FF"/>
            <w:sz w:val="20"/>
            <w:szCs w:val="20"/>
            <w:u w:val="single"/>
            <w:lang w:val="fr-BE"/>
          </w:rPr>
          <w:t>tions/statistiques/marche_du_travail_et_</w:t>
        </w:r>
      </w:hyperlink>
      <w:r w:rsidRPr="00C27636">
        <w:rPr>
          <w:rFonts w:ascii="Calibri" w:eastAsia="Calibri" w:hAnsi="Calibri" w:cs="Calibri"/>
          <w:color w:val="0000FF"/>
          <w:sz w:val="20"/>
          <w:szCs w:val="20"/>
          <w:u w:val="single"/>
          <w:lang w:val="fr-BE"/>
        </w:rPr>
        <w:t xml:space="preserve"> </w:t>
      </w:r>
      <w:hyperlink r:id="rId281">
        <w:r w:rsidRPr="00C27636">
          <w:rPr>
            <w:rFonts w:ascii="Calibri" w:eastAsia="Calibri" w:hAnsi="Calibri" w:cs="Calibri"/>
            <w:color w:val="0000FF"/>
            <w:sz w:val="20"/>
            <w:szCs w:val="20"/>
            <w:u w:val="single"/>
            <w:lang w:val="fr-BE"/>
          </w:rPr>
          <w:t>conditions_de_vie/concili</w:t>
        </w:r>
        <w:r w:rsidRPr="00C27636">
          <w:rPr>
            <w:rFonts w:ascii="Calibri" w:eastAsia="Calibri" w:hAnsi="Calibri" w:cs="Calibri"/>
            <w:color w:val="0000FF"/>
            <w:sz w:val="20"/>
            <w:szCs w:val="20"/>
            <w:u w:val="single"/>
            <w:lang w:val="fr-BE"/>
          </w:rPr>
          <w:t>ation_entre_vie</w:t>
        </w:r>
      </w:hyperlink>
      <w:r w:rsidRPr="00C27636">
        <w:rPr>
          <w:rFonts w:ascii="Calibri" w:eastAsia="Calibri" w:hAnsi="Calibri" w:cs="Calibri"/>
          <w:color w:val="0000FF"/>
          <w:sz w:val="20"/>
          <w:szCs w:val="20"/>
          <w:u w:val="single"/>
          <w:lang w:val="fr-BE"/>
        </w:rPr>
        <w:t xml:space="preserve"> </w:t>
      </w:r>
      <w:hyperlink r:id="rId282">
        <w:r w:rsidRPr="00C27636">
          <w:rPr>
            <w:rFonts w:ascii="Calibri" w:eastAsia="Calibri" w:hAnsi="Calibri" w:cs="Calibri"/>
            <w:color w:val="0000FF"/>
            <w:sz w:val="20"/>
            <w:szCs w:val="20"/>
            <w:u w:val="single"/>
            <w:lang w:val="fr-BE"/>
          </w:rPr>
          <w:t>_professionnelle_et_vie_familiale.jsp</w:t>
        </w:r>
      </w:hyperlink>
    </w:p>
    <w:p w:rsidR="00AC12B4" w:rsidRPr="00C27636" w:rsidRDefault="00AC12B4">
      <w:pPr>
        <w:spacing w:line="261" w:lineRule="exact"/>
        <w:rPr>
          <w:rFonts w:ascii="Calibri" w:eastAsia="Calibri" w:hAnsi="Calibri" w:cs="Calibri"/>
          <w:color w:val="0000FF"/>
          <w:sz w:val="20"/>
          <w:szCs w:val="20"/>
          <w:u w:val="single"/>
          <w:lang w:val="fr-BE"/>
        </w:rPr>
      </w:pPr>
    </w:p>
    <w:p w:rsidR="00AC12B4" w:rsidRPr="00C27636" w:rsidRDefault="00C27636">
      <w:pPr>
        <w:numPr>
          <w:ilvl w:val="0"/>
          <w:numId w:val="298"/>
        </w:numPr>
        <w:tabs>
          <w:tab w:val="left" w:pos="361"/>
        </w:tabs>
        <w:spacing w:line="256" w:lineRule="auto"/>
        <w:ind w:left="361" w:right="69" w:hanging="361"/>
        <w:jc w:val="both"/>
        <w:rPr>
          <w:rFonts w:ascii="Symbol" w:eastAsia="Symbol" w:hAnsi="Symbol" w:cs="Symbol"/>
          <w:sz w:val="20"/>
          <w:szCs w:val="20"/>
          <w:lang w:val="fr-BE"/>
        </w:rPr>
      </w:pPr>
      <w:r w:rsidRPr="00C27636">
        <w:rPr>
          <w:rFonts w:ascii="Calibri" w:eastAsia="Calibri" w:hAnsi="Calibri" w:cs="Calibri"/>
          <w:b/>
          <w:bCs/>
          <w:i/>
          <w:iCs/>
          <w:color w:val="005022"/>
          <w:sz w:val="20"/>
          <w:szCs w:val="20"/>
          <w:lang w:val="fr-BE"/>
        </w:rPr>
        <w:t>Perspective des enfants</w:t>
      </w:r>
      <w:r w:rsidRPr="00C27636">
        <w:rPr>
          <w:rFonts w:ascii="Calibri" w:eastAsia="Calibri" w:hAnsi="Calibri" w:cs="Calibri"/>
          <w:b/>
          <w:bCs/>
          <w:i/>
          <w:iCs/>
          <w:color w:val="005022"/>
          <w:sz w:val="20"/>
          <w:szCs w:val="20"/>
          <w:lang w:val="fr-BE"/>
        </w:rPr>
        <w:t xml:space="preserve"> sur l’équilibre entre temps de famille et travail’ </w:t>
      </w:r>
      <w:r w:rsidRPr="00C27636">
        <w:rPr>
          <w:rFonts w:ascii="Calibri" w:eastAsia="Calibri" w:hAnsi="Calibri" w:cs="Calibri"/>
          <w:b/>
          <w:bCs/>
          <w:i/>
          <w:iCs/>
          <w:color w:val="CC0099"/>
          <w:sz w:val="20"/>
          <w:szCs w:val="20"/>
          <w:lang w:val="fr-BE"/>
        </w:rPr>
        <w:t>:</w:t>
      </w:r>
      <w:r w:rsidRPr="00C27636">
        <w:rPr>
          <w:rFonts w:ascii="Calibri" w:eastAsia="Calibri" w:hAnsi="Calibri" w:cs="Calibri"/>
          <w:b/>
          <w:bCs/>
          <w:i/>
          <w:iCs/>
          <w:color w:val="005022"/>
          <w:sz w:val="20"/>
          <w:szCs w:val="20"/>
          <w:lang w:val="fr-BE"/>
        </w:rPr>
        <w:t xml:space="preserve"> </w:t>
      </w:r>
      <w:r w:rsidRPr="00C27636">
        <w:rPr>
          <w:rFonts w:ascii="Calibri" w:eastAsia="Calibri" w:hAnsi="Calibri" w:cs="Calibri"/>
          <w:color w:val="000000"/>
          <w:sz w:val="20"/>
          <w:szCs w:val="20"/>
          <w:lang w:val="fr-BE"/>
        </w:rPr>
        <w:t>Kind</w:t>
      </w:r>
      <w:r w:rsidRPr="00C27636">
        <w:rPr>
          <w:rFonts w:ascii="Calibri" w:eastAsia="Calibri" w:hAnsi="Calibri" w:cs="Calibri"/>
          <w:b/>
          <w:bCs/>
          <w:i/>
          <w:iCs/>
          <w:color w:val="005022"/>
          <w:sz w:val="20"/>
          <w:szCs w:val="20"/>
          <w:lang w:val="fr-BE"/>
        </w:rPr>
        <w:t xml:space="preserve"> </w:t>
      </w:r>
      <w:r w:rsidRPr="00C27636">
        <w:rPr>
          <w:rFonts w:ascii="Calibri" w:eastAsia="Calibri" w:hAnsi="Calibri" w:cs="Calibri"/>
          <w:color w:val="000000"/>
          <w:sz w:val="20"/>
          <w:szCs w:val="20"/>
          <w:lang w:val="fr-BE"/>
        </w:rPr>
        <w:t xml:space="preserve">en Samenleving, </w:t>
      </w:r>
      <w:r w:rsidRPr="00C27636">
        <w:rPr>
          <w:rFonts w:ascii="Calibri" w:eastAsia="Calibri" w:hAnsi="Calibri" w:cs="Calibri"/>
          <w:b/>
          <w:bCs/>
          <w:i/>
          <w:iCs/>
          <w:color w:val="231716"/>
          <w:sz w:val="20"/>
          <w:szCs w:val="20"/>
          <w:lang w:val="fr-BE"/>
        </w:rPr>
        <w:t>Over vrijbuiters en</w:t>
      </w:r>
      <w:r w:rsidRPr="00C27636">
        <w:rPr>
          <w:rFonts w:ascii="Calibri" w:eastAsia="Calibri" w:hAnsi="Calibri" w:cs="Calibri"/>
          <w:color w:val="000000"/>
          <w:sz w:val="20"/>
          <w:szCs w:val="20"/>
          <w:lang w:val="fr-BE"/>
        </w:rPr>
        <w:t xml:space="preserve"> </w:t>
      </w:r>
      <w:r w:rsidRPr="00C27636">
        <w:rPr>
          <w:rFonts w:ascii="Calibri" w:eastAsia="Calibri" w:hAnsi="Calibri" w:cs="Calibri"/>
          <w:b/>
          <w:bCs/>
          <w:i/>
          <w:iCs/>
          <w:color w:val="231716"/>
          <w:sz w:val="20"/>
          <w:szCs w:val="20"/>
          <w:lang w:val="fr-BE"/>
        </w:rPr>
        <w:t>ankertijd</w:t>
      </w:r>
      <w:r w:rsidRPr="00C27636">
        <w:rPr>
          <w:rFonts w:ascii="Calibri" w:eastAsia="Calibri" w:hAnsi="Calibri" w:cs="Calibri"/>
          <w:b/>
          <w:bCs/>
          <w:color w:val="231716"/>
          <w:sz w:val="20"/>
          <w:szCs w:val="20"/>
          <w:lang w:val="fr-BE"/>
        </w:rPr>
        <w:t>, 2013,</w:t>
      </w:r>
    </w:p>
    <w:p w:rsidR="00AC12B4" w:rsidRPr="00C27636" w:rsidRDefault="00AC12B4">
      <w:pPr>
        <w:spacing w:line="70" w:lineRule="exact"/>
        <w:rPr>
          <w:rFonts w:ascii="Symbol" w:eastAsia="Symbol" w:hAnsi="Symbol" w:cs="Symbol"/>
          <w:sz w:val="20"/>
          <w:szCs w:val="20"/>
          <w:lang w:val="fr-BE"/>
        </w:rPr>
      </w:pPr>
    </w:p>
    <w:p w:rsidR="00AC12B4" w:rsidRPr="00C27636" w:rsidRDefault="00C27636">
      <w:pPr>
        <w:spacing w:line="278" w:lineRule="auto"/>
        <w:ind w:left="361" w:right="109" w:firstLine="46"/>
        <w:rPr>
          <w:rFonts w:ascii="Calibri" w:eastAsia="Calibri" w:hAnsi="Calibri" w:cs="Calibri"/>
          <w:color w:val="0000FF"/>
          <w:sz w:val="19"/>
          <w:szCs w:val="19"/>
          <w:u w:val="single"/>
          <w:lang w:val="nl-NL"/>
        </w:rPr>
      </w:pPr>
      <w:hyperlink r:id="rId283">
        <w:r w:rsidRPr="00C27636">
          <w:rPr>
            <w:rFonts w:ascii="Calibri" w:eastAsia="Calibri" w:hAnsi="Calibri" w:cs="Calibri"/>
            <w:color w:val="0000FF"/>
            <w:sz w:val="19"/>
            <w:szCs w:val="19"/>
            <w:u w:val="single"/>
            <w:lang w:val="nl-NL"/>
          </w:rPr>
          <w:t>http://k-</w:t>
        </w:r>
      </w:hyperlink>
      <w:hyperlink r:id="rId284">
        <w:r w:rsidRPr="00C27636">
          <w:rPr>
            <w:rFonts w:ascii="Calibri" w:eastAsia="Calibri" w:hAnsi="Calibri" w:cs="Calibri"/>
            <w:color w:val="0000FF"/>
            <w:sz w:val="19"/>
            <w:szCs w:val="19"/>
            <w:u w:val="single"/>
            <w:lang w:val="nl-NL"/>
          </w:rPr>
          <w:t>s.be/medialibrary/purl/nl/0657821/Inhou</w:t>
        </w:r>
      </w:hyperlink>
      <w:r w:rsidRPr="00C27636">
        <w:rPr>
          <w:rFonts w:ascii="Calibri" w:eastAsia="Calibri" w:hAnsi="Calibri" w:cs="Calibri"/>
          <w:color w:val="0000FF"/>
          <w:sz w:val="19"/>
          <w:szCs w:val="19"/>
          <w:u w:val="single"/>
          <w:lang w:val="nl-NL"/>
        </w:rPr>
        <w:t xml:space="preserve"> </w:t>
      </w:r>
      <w:hyperlink r:id="rId285">
        <w:r w:rsidRPr="00C27636">
          <w:rPr>
            <w:rFonts w:ascii="Calibri" w:eastAsia="Calibri" w:hAnsi="Calibri" w:cs="Calibri"/>
            <w:color w:val="0000FF"/>
            <w:sz w:val="19"/>
            <w:szCs w:val="19"/>
            <w:u w:val="single"/>
            <w:lang w:val="nl-NL"/>
          </w:rPr>
          <w:t>d%20en%20Inleiding%20van%20'Over%2</w:t>
        </w:r>
      </w:hyperlink>
      <w:r w:rsidRPr="00C27636">
        <w:rPr>
          <w:rFonts w:ascii="Calibri" w:eastAsia="Calibri" w:hAnsi="Calibri" w:cs="Calibri"/>
          <w:color w:val="0000FF"/>
          <w:sz w:val="19"/>
          <w:szCs w:val="19"/>
          <w:u w:val="single"/>
          <w:lang w:val="nl-NL"/>
        </w:rPr>
        <w:t xml:space="preserve"> </w:t>
      </w:r>
      <w:hyperlink r:id="rId286">
        <w:r w:rsidRPr="00C27636">
          <w:rPr>
            <w:rFonts w:ascii="Calibri" w:eastAsia="Calibri" w:hAnsi="Calibri" w:cs="Calibri"/>
            <w:color w:val="0000FF"/>
            <w:sz w:val="19"/>
            <w:szCs w:val="19"/>
            <w:u w:val="single"/>
            <w:lang w:val="nl-NL"/>
          </w:rPr>
          <w:t>0vrijbuiters%20en%20</w:t>
        </w:r>
        <w:r w:rsidRPr="00C27636">
          <w:rPr>
            <w:rFonts w:ascii="Calibri" w:eastAsia="Calibri" w:hAnsi="Calibri" w:cs="Calibri"/>
            <w:color w:val="0000FF"/>
            <w:sz w:val="19"/>
            <w:szCs w:val="19"/>
            <w:u w:val="single"/>
            <w:lang w:val="nl-NL"/>
          </w:rPr>
          <w:t>ankertijd'.pdf</w:t>
        </w:r>
      </w:hyperlink>
    </w:p>
    <w:p w:rsidR="00AC12B4" w:rsidRPr="00C27636" w:rsidRDefault="00AC12B4">
      <w:pPr>
        <w:spacing w:line="60" w:lineRule="exact"/>
        <w:rPr>
          <w:rFonts w:ascii="Calibri" w:eastAsia="Calibri" w:hAnsi="Calibri" w:cs="Calibri"/>
          <w:color w:val="0000FF"/>
          <w:sz w:val="19"/>
          <w:szCs w:val="19"/>
          <w:u w:val="single"/>
          <w:lang w:val="nl-NL"/>
        </w:rPr>
      </w:pPr>
    </w:p>
    <w:p w:rsidR="00AC12B4" w:rsidRPr="00C27636" w:rsidRDefault="00C27636">
      <w:pPr>
        <w:numPr>
          <w:ilvl w:val="1"/>
          <w:numId w:val="298"/>
        </w:numPr>
        <w:tabs>
          <w:tab w:val="left" w:pos="361"/>
        </w:tabs>
        <w:spacing w:line="264" w:lineRule="auto"/>
        <w:ind w:left="361" w:right="69" w:hanging="287"/>
        <w:rPr>
          <w:rFonts w:ascii="Symbol" w:eastAsia="Symbol" w:hAnsi="Symbol" w:cs="Symbol"/>
          <w:sz w:val="20"/>
          <w:szCs w:val="20"/>
          <w:lang w:val="fr-BE"/>
        </w:rPr>
      </w:pPr>
      <w:r w:rsidRPr="00C27636">
        <w:rPr>
          <w:rFonts w:ascii="Calibri" w:eastAsia="Calibri" w:hAnsi="Calibri" w:cs="Calibri"/>
          <w:b/>
          <w:bCs/>
          <w:i/>
          <w:iCs/>
          <w:color w:val="005022"/>
          <w:sz w:val="20"/>
          <w:szCs w:val="20"/>
          <w:lang w:val="fr-BE"/>
        </w:rPr>
        <w:t xml:space="preserve">Concilier vie familiale et vie professionnelle: une vision pour l’Europe : </w:t>
      </w:r>
      <w:r w:rsidRPr="00C27636">
        <w:rPr>
          <w:rFonts w:ascii="Calibri" w:eastAsia="Calibri" w:hAnsi="Calibri" w:cs="Calibri"/>
          <w:color w:val="000000"/>
          <w:sz w:val="20"/>
          <w:szCs w:val="20"/>
          <w:lang w:val="fr-BE"/>
        </w:rPr>
        <w:t>Rapport de COFACE.</w:t>
      </w:r>
      <w:r w:rsidRPr="00C27636">
        <w:rPr>
          <w:rFonts w:ascii="Calibri" w:eastAsia="Calibri" w:hAnsi="Calibri" w:cs="Calibri"/>
          <w:b/>
          <w:bCs/>
          <w:i/>
          <w:iCs/>
          <w:color w:val="005022"/>
          <w:sz w:val="20"/>
          <w:szCs w:val="20"/>
          <w:lang w:val="fr-BE"/>
        </w:rPr>
        <w:t xml:space="preserve"> </w:t>
      </w:r>
      <w:r w:rsidRPr="00C27636">
        <w:rPr>
          <w:rFonts w:ascii="Calibri" w:eastAsia="Calibri" w:hAnsi="Calibri" w:cs="Calibri"/>
          <w:color w:val="000000"/>
          <w:sz w:val="20"/>
          <w:szCs w:val="20"/>
          <w:lang w:val="fr-BE"/>
        </w:rPr>
        <w:t>http://www.coface-eu.org/en/upload/ERP/ERP_COFACE_201 5_web.pdf</w:t>
      </w:r>
      <w:r w:rsidRPr="00C27636">
        <w:rPr>
          <w:rFonts w:ascii="Calibri" w:eastAsia="Calibri" w:hAnsi="Calibri" w:cs="Calibri"/>
          <w:color w:val="0000FF"/>
          <w:sz w:val="20"/>
          <w:szCs w:val="20"/>
          <w:u w:val="single"/>
          <w:lang w:val="fr-BE"/>
        </w:rPr>
        <w:t>.</w:t>
      </w:r>
    </w:p>
    <w:p w:rsidR="00AC12B4" w:rsidRPr="00C27636" w:rsidRDefault="00C27636">
      <w:pPr>
        <w:spacing w:line="20" w:lineRule="exact"/>
        <w:rPr>
          <w:rFonts w:ascii="Calibri" w:eastAsia="Calibri" w:hAnsi="Calibri" w:cs="Calibri"/>
          <w:color w:val="0000FF"/>
          <w:sz w:val="19"/>
          <w:szCs w:val="19"/>
          <w:u w:val="single"/>
          <w:lang w:val="fr-BE"/>
        </w:rPr>
      </w:pPr>
      <w:r w:rsidRPr="00C27636">
        <w:rPr>
          <w:rFonts w:ascii="Calibri" w:eastAsia="Calibri" w:hAnsi="Calibri" w:cs="Calibri"/>
          <w:color w:val="0000FF"/>
          <w:sz w:val="19"/>
          <w:szCs w:val="19"/>
          <w:u w:val="single"/>
          <w:lang w:val="fr-BE"/>
        </w:rPr>
        <w:br w:type="column"/>
      </w: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200" w:lineRule="exact"/>
        <w:rPr>
          <w:rFonts w:ascii="Calibri" w:eastAsia="Calibri" w:hAnsi="Calibri" w:cs="Calibri"/>
          <w:color w:val="0000FF"/>
          <w:sz w:val="19"/>
          <w:szCs w:val="19"/>
          <w:u w:val="single"/>
          <w:lang w:val="fr-BE"/>
        </w:rPr>
      </w:pPr>
    </w:p>
    <w:p w:rsidR="00AC12B4" w:rsidRPr="00C27636" w:rsidRDefault="00AC12B4">
      <w:pPr>
        <w:spacing w:line="399" w:lineRule="exact"/>
        <w:rPr>
          <w:rFonts w:ascii="Calibri" w:eastAsia="Calibri" w:hAnsi="Calibri" w:cs="Calibri"/>
          <w:color w:val="0000FF"/>
          <w:sz w:val="19"/>
          <w:szCs w:val="19"/>
          <w:u w:val="single"/>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 xml:space="preserve">Le droit au respect de la vie </w:t>
            </w:r>
            <w:r w:rsidRPr="00C27636">
              <w:rPr>
                <w:rFonts w:ascii="Calibri" w:eastAsia="Calibri" w:hAnsi="Calibri" w:cs="Calibri"/>
                <w:b/>
                <w:bCs/>
                <w:i/>
                <w:iCs/>
                <w:color w:val="F2F2F2"/>
                <w:sz w:val="27"/>
                <w:szCs w:val="27"/>
                <w:lang w:val="fr-BE"/>
              </w:rPr>
              <w:t>familiale</w:t>
            </w:r>
          </w:p>
        </w:tc>
      </w:tr>
    </w:tbl>
    <w:p w:rsidR="00AC12B4" w:rsidRPr="00C27636" w:rsidRDefault="00C27636">
      <w:pPr>
        <w:spacing w:line="20" w:lineRule="exact"/>
        <w:rPr>
          <w:rFonts w:ascii="Calibri" w:eastAsia="Calibri" w:hAnsi="Calibri" w:cs="Calibri"/>
          <w:color w:val="0000FF"/>
          <w:sz w:val="19"/>
          <w:szCs w:val="19"/>
          <w:u w:val="single"/>
          <w:lang w:val="fr-BE"/>
        </w:rPr>
      </w:pPr>
      <w:r>
        <w:rPr>
          <w:rFonts w:ascii="Calibri" w:eastAsia="Calibri" w:hAnsi="Calibri" w:cs="Calibri"/>
          <w:noProof/>
          <w:color w:val="0000FF"/>
          <w:sz w:val="19"/>
          <w:szCs w:val="19"/>
          <w:u w:val="single"/>
        </w:rPr>
        <w:drawing>
          <wp:anchor distT="0" distB="0" distL="114300" distR="114300" simplePos="0" relativeHeight="251805184" behindDoc="1" locked="0" layoutInCell="0" allowOverlap="1">
            <wp:simplePos x="0" y="0"/>
            <wp:positionH relativeFrom="column">
              <wp:posOffset>-264795</wp:posOffset>
            </wp:positionH>
            <wp:positionV relativeFrom="paragraph">
              <wp:posOffset>-9980930</wp:posOffset>
            </wp:positionV>
            <wp:extent cx="791210" cy="10908665"/>
            <wp:effectExtent l="0" t="0" r="0" b="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266">
                      <a:extLst/>
                    </a:blip>
                    <a:srcRect/>
                    <a:stretch>
                      <a:fillRect/>
                    </a:stretch>
                  </pic:blipFill>
                  <pic:spPr bwMode="auto">
                    <a:xfrm>
                      <a:off x="0" y="0"/>
                      <a:ext cx="791210" cy="10908665"/>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98" w:bottom="659" w:left="1440" w:header="0" w:footer="0" w:gutter="0"/>
          <w:cols w:num="3" w:space="720" w:equalWidth="0">
            <w:col w:w="4960" w:space="259"/>
            <w:col w:w="3870" w:space="720"/>
            <w:col w:w="330"/>
          </w:cols>
        </w:sectPr>
      </w:pPr>
    </w:p>
    <w:p w:rsidR="00AC12B4" w:rsidRPr="00C27636" w:rsidRDefault="00AC12B4">
      <w:pPr>
        <w:spacing w:line="20" w:lineRule="exact"/>
        <w:rPr>
          <w:sz w:val="20"/>
          <w:szCs w:val="20"/>
          <w:lang w:val="fr-BE"/>
        </w:rPr>
      </w:pPr>
      <w:bookmarkStart w:id="161" w:name="page162"/>
      <w:bookmarkEnd w:id="161"/>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C27636">
      <w:pPr>
        <w:spacing w:line="168" w:lineRule="exact"/>
        <w:rPr>
          <w:sz w:val="20"/>
          <w:szCs w:val="20"/>
          <w:lang w:val="fr-BE"/>
        </w:rPr>
      </w:pPr>
      <w:bookmarkStart w:id="162" w:name="page163"/>
      <w:bookmarkEnd w:id="162"/>
      <w:r>
        <w:rPr>
          <w:noProof/>
          <w:sz w:val="20"/>
          <w:szCs w:val="20"/>
        </w:rPr>
        <w:lastRenderedPageBreak/>
        <w:drawing>
          <wp:anchor distT="0" distB="0" distL="114300" distR="114300" simplePos="0" relativeHeight="251806208" behindDoc="1" locked="0" layoutInCell="0" allowOverlap="1">
            <wp:simplePos x="0" y="0"/>
            <wp:positionH relativeFrom="page">
              <wp:posOffset>4185920</wp:posOffset>
            </wp:positionH>
            <wp:positionV relativeFrom="page">
              <wp:posOffset>0</wp:posOffset>
            </wp:positionV>
            <wp:extent cx="3482975" cy="10908665"/>
            <wp:effectExtent l="0" t="0" r="0" b="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287">
                      <a:clrChange>
                        <a:clrFrom>
                          <a:srgbClr val="FFFFFF"/>
                        </a:clrFrom>
                        <a:clrTo>
                          <a:srgbClr val="FFFFFF">
                            <a:alpha val="0"/>
                          </a:srgbClr>
                        </a:clrTo>
                      </a:clrChange>
                      <a:extLst/>
                    </a:blip>
                    <a:srcRect/>
                    <a:stretch>
                      <a:fillRect/>
                    </a:stretch>
                  </pic:blipFill>
                  <pic:spPr bwMode="auto">
                    <a:xfrm>
                      <a:off x="0" y="0"/>
                      <a:ext cx="3482975" cy="10908665"/>
                    </a:xfrm>
                    <a:prstGeom prst="rect">
                      <a:avLst/>
                    </a:prstGeom>
                    <a:noFill/>
                  </pic:spPr>
                </pic:pic>
              </a:graphicData>
            </a:graphic>
          </wp:anchor>
        </w:drawing>
      </w:r>
    </w:p>
    <w:p w:rsidR="00AC12B4" w:rsidRPr="00C27636" w:rsidRDefault="00C27636">
      <w:pPr>
        <w:ind w:left="880"/>
        <w:rPr>
          <w:sz w:val="20"/>
          <w:szCs w:val="20"/>
          <w:lang w:val="fr-BE"/>
        </w:rPr>
      </w:pPr>
      <w:r w:rsidRPr="00C27636">
        <w:rPr>
          <w:rFonts w:ascii="Comic Sans MS" w:eastAsia="Comic Sans MS" w:hAnsi="Comic Sans MS" w:cs="Comic Sans MS"/>
          <w:color w:val="00923D"/>
          <w:sz w:val="39"/>
          <w:szCs w:val="39"/>
          <w:lang w:val="fr-BE"/>
        </w:rPr>
        <w:t>F3. Disponibilité de places d'accueil</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07232" behindDoc="1" locked="0" layoutInCell="0" allowOverlap="1">
                <wp:simplePos x="0" y="0"/>
                <wp:positionH relativeFrom="column">
                  <wp:posOffset>-351155</wp:posOffset>
                </wp:positionH>
                <wp:positionV relativeFrom="paragraph">
                  <wp:posOffset>257810</wp:posOffset>
                </wp:positionV>
                <wp:extent cx="3559810" cy="2870200"/>
                <wp:effectExtent l="0" t="0" r="0" b="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2870200"/>
                        </a:xfrm>
                        <a:prstGeom prst="rect">
                          <a:avLst/>
                        </a:prstGeom>
                        <a:solidFill>
                          <a:srgbClr val="00923D"/>
                        </a:solidFill>
                      </wps:spPr>
                      <wps:bodyPr/>
                    </wps:wsp>
                  </a:graphicData>
                </a:graphic>
              </wp:anchor>
            </w:drawing>
          </mc:Choice>
          <mc:Fallback>
            <w:pict>
              <v:rect id="Shape 480" o:spid="_x0000_s1505" style="position:absolute;margin-left:-27.6499pt;margin-top:20.3pt;width:280.3pt;height:2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923D" stroked="f"/>
            </w:pict>
          </mc:Fallback>
        </mc:AlternateContent>
      </w:r>
      <w:r>
        <w:rPr>
          <w:noProof/>
          <w:sz w:val="20"/>
          <w:szCs w:val="20"/>
        </w:rPr>
        <mc:AlternateContent>
          <mc:Choice Requires="wps">
            <w:drawing>
              <wp:anchor distT="0" distB="0" distL="114300" distR="114300" simplePos="0" relativeHeight="251808256" behindDoc="1" locked="0" layoutInCell="0" allowOverlap="1">
                <wp:simplePos x="0" y="0"/>
                <wp:positionH relativeFrom="column">
                  <wp:posOffset>3208655</wp:posOffset>
                </wp:positionH>
                <wp:positionV relativeFrom="paragraph">
                  <wp:posOffset>245110</wp:posOffset>
                </wp:positionV>
                <wp:extent cx="0" cy="2895600"/>
                <wp:effectExtent l="0" t="0" r="0" b="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95600"/>
                        </a:xfrm>
                        <a:prstGeom prst="line">
                          <a:avLst/>
                        </a:prstGeom>
                        <a:solidFill>
                          <a:srgbClr val="FFFFFF"/>
                        </a:solidFill>
                        <a:ln w="25400">
                          <a:solidFill>
                            <a:srgbClr val="005022"/>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19.3pt" to="252.65pt,247.3pt" o:allowincell="f" strokecolor="#005022" strokeweight="2pt"/>
            </w:pict>
          </mc:Fallback>
        </mc:AlternateContent>
      </w:r>
      <w:r>
        <w:rPr>
          <w:noProof/>
          <w:sz w:val="20"/>
          <w:szCs w:val="20"/>
        </w:rPr>
        <mc:AlternateContent>
          <mc:Choice Requires="wps">
            <w:drawing>
              <wp:anchor distT="0" distB="0" distL="114300" distR="114300" simplePos="0" relativeHeight="251809280" behindDoc="1" locked="0" layoutInCell="0" allowOverlap="1">
                <wp:simplePos x="0" y="0"/>
                <wp:positionH relativeFrom="column">
                  <wp:posOffset>-363855</wp:posOffset>
                </wp:positionH>
                <wp:positionV relativeFrom="paragraph">
                  <wp:posOffset>257810</wp:posOffset>
                </wp:positionV>
                <wp:extent cx="3585210" cy="0"/>
                <wp:effectExtent l="0" t="0" r="0" b="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005022"/>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0.3pt" to="253.65pt,20.3pt" o:allowincell="f" strokecolor="#005022" strokeweight="2pt"/>
            </w:pict>
          </mc:Fallback>
        </mc:AlternateContent>
      </w:r>
      <w:r>
        <w:rPr>
          <w:noProof/>
          <w:sz w:val="20"/>
          <w:szCs w:val="20"/>
        </w:rPr>
        <mc:AlternateContent>
          <mc:Choice Requires="wps">
            <w:drawing>
              <wp:anchor distT="0" distB="0" distL="114300" distR="114300" simplePos="0" relativeHeight="251810304" behindDoc="1" locked="0" layoutInCell="0" allowOverlap="1">
                <wp:simplePos x="0" y="0"/>
                <wp:positionH relativeFrom="column">
                  <wp:posOffset>-351155</wp:posOffset>
                </wp:positionH>
                <wp:positionV relativeFrom="paragraph">
                  <wp:posOffset>245110</wp:posOffset>
                </wp:positionV>
                <wp:extent cx="0" cy="2895600"/>
                <wp:effectExtent l="0" t="0" r="0" b="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895600"/>
                        </a:xfrm>
                        <a:prstGeom prst="line">
                          <a:avLst/>
                        </a:prstGeom>
                        <a:solidFill>
                          <a:srgbClr val="FFFFFF"/>
                        </a:solidFill>
                        <a:ln w="25400">
                          <a:solidFill>
                            <a:srgbClr val="005022"/>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9.3pt" to="-27.6499pt,247.3pt" o:allowincell="f" strokecolor="#005022" strokeweight="2pt"/>
            </w:pict>
          </mc:Fallback>
        </mc:AlternateContent>
      </w:r>
      <w:r>
        <w:rPr>
          <w:noProof/>
          <w:sz w:val="20"/>
          <w:szCs w:val="20"/>
        </w:rPr>
        <mc:AlternateContent>
          <mc:Choice Requires="wps">
            <w:drawing>
              <wp:anchor distT="0" distB="0" distL="114300" distR="114300" simplePos="0" relativeHeight="251811328" behindDoc="1" locked="0" layoutInCell="0" allowOverlap="1">
                <wp:simplePos x="0" y="0"/>
                <wp:positionH relativeFrom="column">
                  <wp:posOffset>-363855</wp:posOffset>
                </wp:positionH>
                <wp:positionV relativeFrom="paragraph">
                  <wp:posOffset>3128010</wp:posOffset>
                </wp:positionV>
                <wp:extent cx="3585210" cy="0"/>
                <wp:effectExtent l="0" t="0" r="0" b="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005022"/>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46.3pt" to="253.65pt,246.3pt" o:allowincell="f" strokecolor="#005022" strokeweight="2pt"/>
            </w:pict>
          </mc:Fallback>
        </mc:AlternateContent>
      </w:r>
    </w:p>
    <w:p w:rsidR="00AC12B4" w:rsidRPr="00C27636" w:rsidRDefault="00AC12B4">
      <w:pPr>
        <w:rPr>
          <w:lang w:val="fr-BE"/>
        </w:rPr>
        <w:sectPr w:rsidR="00AC12B4" w:rsidRPr="00C27636">
          <w:pgSz w:w="12080" w:h="17179"/>
          <w:pgMar w:top="1440" w:right="538" w:bottom="659" w:left="1120" w:header="0" w:footer="0" w:gutter="0"/>
          <w:cols w:space="720" w:equalWidth="0">
            <w:col w:w="10419"/>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2"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EAF1DD"/>
          <w:lang w:val="fr-BE"/>
        </w:rPr>
        <w:t>Article 18 CIDE</w:t>
      </w:r>
    </w:p>
    <w:p w:rsidR="00AC12B4" w:rsidRPr="00C27636" w:rsidRDefault="00AC12B4">
      <w:pPr>
        <w:spacing w:line="120"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EAF1DD"/>
          <w:lang w:val="fr-BE"/>
        </w:rPr>
        <w:t>2. Pour garantir et promouvoir les droits énoncés dans</w:t>
      </w:r>
    </w:p>
    <w:p w:rsidR="00AC12B4" w:rsidRPr="00C27636" w:rsidRDefault="00C27636">
      <w:pPr>
        <w:rPr>
          <w:sz w:val="20"/>
          <w:szCs w:val="20"/>
          <w:lang w:val="fr-BE"/>
        </w:rPr>
      </w:pPr>
      <w:r w:rsidRPr="00C27636">
        <w:rPr>
          <w:rFonts w:ascii="Calibri" w:eastAsia="Calibri" w:hAnsi="Calibri" w:cs="Calibri"/>
          <w:i/>
          <w:iCs/>
          <w:color w:val="EAF1DD"/>
          <w:lang w:val="fr-BE"/>
        </w:rPr>
        <w:t>la présente Convention, les Etats parties accordent</w:t>
      </w:r>
    </w:p>
    <w:p w:rsidR="00AC12B4" w:rsidRPr="00C27636" w:rsidRDefault="00C27636">
      <w:pPr>
        <w:spacing w:line="237" w:lineRule="auto"/>
        <w:rPr>
          <w:sz w:val="20"/>
          <w:szCs w:val="20"/>
          <w:lang w:val="fr-BE"/>
        </w:rPr>
      </w:pPr>
      <w:r w:rsidRPr="00C27636">
        <w:rPr>
          <w:rFonts w:ascii="Calibri" w:eastAsia="Calibri" w:hAnsi="Calibri" w:cs="Calibri"/>
          <w:i/>
          <w:iCs/>
          <w:color w:val="EAF1DD"/>
          <w:lang w:val="fr-BE"/>
        </w:rPr>
        <w:t>l’aide appropriée aux parents et aux représentants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9" w:lineRule="exact"/>
        <w:rPr>
          <w:sz w:val="20"/>
          <w:szCs w:val="20"/>
          <w:lang w:val="fr-BE"/>
        </w:rPr>
      </w:pPr>
    </w:p>
    <w:p w:rsidR="00AC12B4" w:rsidRPr="00C27636" w:rsidRDefault="00C27636">
      <w:pPr>
        <w:numPr>
          <w:ilvl w:val="0"/>
          <w:numId w:val="299"/>
        </w:numPr>
        <w:tabs>
          <w:tab w:val="left" w:pos="171"/>
        </w:tabs>
        <w:spacing w:line="229" w:lineRule="auto"/>
        <w:ind w:left="8" w:right="1059" w:hanging="8"/>
        <w:jc w:val="both"/>
        <w:rPr>
          <w:rFonts w:ascii="Calibri" w:eastAsia="Calibri" w:hAnsi="Calibri" w:cs="Calibri"/>
          <w:lang w:val="fr-BE"/>
        </w:rPr>
      </w:pPr>
      <w:r w:rsidRPr="00C27636">
        <w:rPr>
          <w:rFonts w:ascii="Calibri" w:eastAsia="Calibri" w:hAnsi="Calibri" w:cs="Calibri"/>
          <w:lang w:val="fr-BE"/>
        </w:rPr>
        <w:t>Pour aller plus loin » (cf. infra) mettra en avant des recherches portant sur l’accueil extra-scolaire des enfants porteurs d’un handicap.</w:t>
      </w:r>
    </w:p>
    <w:p w:rsidR="00AC12B4" w:rsidRPr="00C27636" w:rsidRDefault="00AC12B4">
      <w:pPr>
        <w:spacing w:line="171" w:lineRule="exact"/>
        <w:rPr>
          <w:sz w:val="20"/>
          <w:szCs w:val="20"/>
          <w:lang w:val="fr-BE"/>
        </w:rPr>
      </w:pPr>
    </w:p>
    <w:p w:rsidR="00AC12B4" w:rsidRPr="00C27636" w:rsidRDefault="00AC12B4">
      <w:pPr>
        <w:rPr>
          <w:lang w:val="fr-BE"/>
        </w:rPr>
        <w:sectPr w:rsidR="00AC12B4" w:rsidRPr="00C27636">
          <w:type w:val="continuous"/>
          <w:pgSz w:w="12080" w:h="17179"/>
          <w:pgMar w:top="1440" w:right="538" w:bottom="659" w:left="1120" w:header="0" w:footer="0" w:gutter="0"/>
          <w:cols w:num="2" w:space="720" w:equalWidth="0">
            <w:col w:w="4900" w:space="572"/>
            <w:col w:w="4947"/>
          </w:cols>
        </w:sectPr>
      </w:pPr>
    </w:p>
    <w:p w:rsidR="00AC12B4" w:rsidRPr="00C27636" w:rsidRDefault="00AC12B4">
      <w:pPr>
        <w:spacing w:line="3"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EAF1DD"/>
          <w:lang w:val="fr-BE"/>
        </w:rPr>
        <w:t xml:space="preserve">légaux de l’enfant dans </w:t>
      </w:r>
      <w:r w:rsidRPr="00C27636">
        <w:rPr>
          <w:rFonts w:ascii="Calibri" w:eastAsia="Calibri" w:hAnsi="Calibri" w:cs="Calibri"/>
          <w:i/>
          <w:iCs/>
          <w:color w:val="EAF1DD"/>
          <w:lang w:val="fr-BE"/>
        </w:rPr>
        <w:t>l’exercice de la responsabilité</w:t>
      </w:r>
    </w:p>
    <w:p w:rsidR="00AC12B4" w:rsidRPr="00C27636" w:rsidRDefault="00C27636">
      <w:pPr>
        <w:spacing w:line="238" w:lineRule="auto"/>
        <w:rPr>
          <w:sz w:val="20"/>
          <w:szCs w:val="20"/>
          <w:lang w:val="fr-BE"/>
        </w:rPr>
      </w:pPr>
      <w:r w:rsidRPr="00C27636">
        <w:rPr>
          <w:rFonts w:ascii="Calibri" w:eastAsia="Calibri" w:hAnsi="Calibri" w:cs="Calibri"/>
          <w:i/>
          <w:iCs/>
          <w:color w:val="EAF1DD"/>
          <w:lang w:val="fr-BE"/>
        </w:rPr>
        <w:t>qui leur incombe d’élever l’enfant et assurent la mise</w:t>
      </w:r>
    </w:p>
    <w:p w:rsidR="00AC12B4" w:rsidRPr="00C27636" w:rsidRDefault="00C27636">
      <w:pPr>
        <w:rPr>
          <w:sz w:val="20"/>
          <w:szCs w:val="20"/>
          <w:lang w:val="fr-BE"/>
        </w:rPr>
      </w:pPr>
      <w:r w:rsidRPr="00C27636">
        <w:rPr>
          <w:rFonts w:ascii="Calibri" w:eastAsia="Calibri" w:hAnsi="Calibri" w:cs="Calibri"/>
          <w:i/>
          <w:iCs/>
          <w:color w:val="EAF1DD"/>
          <w:lang w:val="fr-BE"/>
        </w:rPr>
        <w:t>en place d’institutions, d’établissements et de services</w:t>
      </w:r>
    </w:p>
    <w:p w:rsidR="00AC12B4" w:rsidRPr="00C27636" w:rsidRDefault="00C27636">
      <w:pPr>
        <w:rPr>
          <w:sz w:val="20"/>
          <w:szCs w:val="20"/>
          <w:lang w:val="fr-BE"/>
        </w:rPr>
      </w:pPr>
      <w:r w:rsidRPr="00C27636">
        <w:rPr>
          <w:rFonts w:ascii="Calibri" w:eastAsia="Calibri" w:hAnsi="Calibri" w:cs="Calibri"/>
          <w:i/>
          <w:iCs/>
          <w:color w:val="EAF1DD"/>
          <w:lang w:val="fr-BE"/>
        </w:rPr>
        <w:t>chargés de veiller au bien-être des enfants.</w:t>
      </w:r>
    </w:p>
    <w:p w:rsidR="00AC12B4" w:rsidRPr="00C27636" w:rsidRDefault="00AC12B4">
      <w:pPr>
        <w:spacing w:line="121"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EAF1DD"/>
          <w:lang w:val="fr-BE"/>
        </w:rPr>
        <w:t>3. Les Etats parties  prennent toutes  les  mesures</w:t>
      </w:r>
    </w:p>
    <w:p w:rsidR="00AC12B4" w:rsidRPr="00C27636" w:rsidRDefault="00C27636">
      <w:pPr>
        <w:rPr>
          <w:sz w:val="20"/>
          <w:szCs w:val="20"/>
          <w:lang w:val="fr-BE"/>
        </w:rPr>
      </w:pPr>
      <w:r w:rsidRPr="00C27636">
        <w:rPr>
          <w:rFonts w:ascii="Calibri" w:eastAsia="Calibri" w:hAnsi="Calibri" w:cs="Calibri"/>
          <w:i/>
          <w:iCs/>
          <w:color w:val="EAF1DD"/>
          <w:lang w:val="fr-BE"/>
        </w:rPr>
        <w:t xml:space="preserve">appropriées </w:t>
      </w:r>
      <w:r w:rsidRPr="00C27636">
        <w:rPr>
          <w:rFonts w:ascii="Calibri" w:eastAsia="Calibri" w:hAnsi="Calibri" w:cs="Calibri"/>
          <w:i/>
          <w:iCs/>
          <w:color w:val="EAF1DD"/>
          <w:lang w:val="fr-BE"/>
        </w:rPr>
        <w:t>pour assurer aux enfants dont les parents</w:t>
      </w:r>
    </w:p>
    <w:p w:rsidR="00AC12B4" w:rsidRPr="00C27636" w:rsidRDefault="00C27636">
      <w:pPr>
        <w:rPr>
          <w:sz w:val="20"/>
          <w:szCs w:val="20"/>
          <w:lang w:val="fr-BE"/>
        </w:rPr>
      </w:pPr>
      <w:r w:rsidRPr="00C27636">
        <w:rPr>
          <w:rFonts w:ascii="Calibri" w:eastAsia="Calibri" w:hAnsi="Calibri" w:cs="Calibri"/>
          <w:i/>
          <w:iCs/>
          <w:color w:val="EAF1DD"/>
          <w:lang w:val="fr-BE"/>
        </w:rPr>
        <w:t>travaillent  le  droit  de  bénéficier  des  services  et</w:t>
      </w:r>
    </w:p>
    <w:p w:rsidR="00AC12B4" w:rsidRPr="00C27636" w:rsidRDefault="00C27636">
      <w:pPr>
        <w:rPr>
          <w:sz w:val="20"/>
          <w:szCs w:val="20"/>
          <w:lang w:val="fr-BE"/>
        </w:rPr>
      </w:pPr>
      <w:r w:rsidRPr="00C27636">
        <w:rPr>
          <w:rFonts w:ascii="Calibri" w:eastAsia="Calibri" w:hAnsi="Calibri" w:cs="Calibri"/>
          <w:i/>
          <w:iCs/>
          <w:color w:val="EAF1DD"/>
          <w:lang w:val="fr-BE"/>
        </w:rPr>
        <w:t>établissements de garde d’enfants pour lesquels ils</w:t>
      </w:r>
    </w:p>
    <w:p w:rsidR="00AC12B4" w:rsidRPr="00C27636" w:rsidRDefault="00AC12B4">
      <w:pPr>
        <w:spacing w:line="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i/>
          <w:iCs/>
          <w:color w:val="EAF1DD"/>
          <w:lang w:val="fr-BE"/>
        </w:rPr>
        <w:t>remplissent les conditions requises.</w:t>
      </w:r>
    </w:p>
    <w:p w:rsidR="00AC12B4" w:rsidRPr="00C27636" w:rsidRDefault="00AC12B4">
      <w:pPr>
        <w:spacing w:line="200" w:lineRule="exact"/>
        <w:rPr>
          <w:sz w:val="20"/>
          <w:szCs w:val="20"/>
          <w:lang w:val="fr-BE"/>
        </w:rPr>
      </w:pPr>
    </w:p>
    <w:p w:rsidR="00AC12B4" w:rsidRPr="00C27636" w:rsidRDefault="00AC12B4">
      <w:pPr>
        <w:spacing w:line="339" w:lineRule="exact"/>
        <w:rPr>
          <w:sz w:val="20"/>
          <w:szCs w:val="20"/>
          <w:lang w:val="fr-BE"/>
        </w:rPr>
      </w:pPr>
    </w:p>
    <w:p w:rsidR="00AC12B4" w:rsidRPr="00C27636" w:rsidRDefault="00C27636">
      <w:pPr>
        <w:spacing w:line="181" w:lineRule="auto"/>
        <w:ind w:left="880" w:right="140"/>
        <w:rPr>
          <w:sz w:val="20"/>
          <w:szCs w:val="20"/>
          <w:lang w:val="fr-BE"/>
        </w:rPr>
      </w:pPr>
      <w:r w:rsidRPr="00C27636">
        <w:rPr>
          <w:rFonts w:ascii="Calibri" w:eastAsia="Calibri" w:hAnsi="Calibri" w:cs="Calibri"/>
          <w:lang w:val="fr-BE"/>
        </w:rPr>
        <w:t>La Convention relative aux droits de l'enfant oblige l'État à so</w:t>
      </w:r>
      <w:r w:rsidRPr="00C27636">
        <w:rPr>
          <w:rFonts w:ascii="Calibri" w:eastAsia="Calibri" w:hAnsi="Calibri" w:cs="Calibri"/>
          <w:lang w:val="fr-BE"/>
        </w:rPr>
        <w:t>utenir les parents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225" w:lineRule="auto"/>
        <w:rPr>
          <w:sz w:val="20"/>
          <w:szCs w:val="20"/>
          <w:lang w:val="fr-BE"/>
        </w:rPr>
      </w:pPr>
      <w:r w:rsidRPr="00C27636">
        <w:rPr>
          <w:rFonts w:ascii="Calibri" w:eastAsia="Calibri" w:hAnsi="Calibri" w:cs="Calibri"/>
          <w:lang w:val="fr-BE"/>
        </w:rPr>
        <w:t>Il existe un consensus international sur</w:t>
      </w:r>
    </w:p>
    <w:p w:rsidR="00AC12B4" w:rsidRPr="00C27636" w:rsidRDefault="00AC12B4">
      <w:pPr>
        <w:spacing w:line="49" w:lineRule="exact"/>
        <w:rPr>
          <w:sz w:val="20"/>
          <w:szCs w:val="20"/>
          <w:lang w:val="fr-BE"/>
        </w:rPr>
      </w:pPr>
    </w:p>
    <w:p w:rsidR="00AC12B4" w:rsidRPr="00C27636" w:rsidRDefault="00C27636">
      <w:pPr>
        <w:spacing w:line="225" w:lineRule="auto"/>
        <w:jc w:val="both"/>
        <w:rPr>
          <w:sz w:val="20"/>
          <w:szCs w:val="20"/>
          <w:lang w:val="fr-BE"/>
        </w:rPr>
      </w:pPr>
      <w:r w:rsidRPr="00C27636">
        <w:rPr>
          <w:rFonts w:ascii="Calibri" w:eastAsia="Calibri" w:hAnsi="Calibri" w:cs="Calibri"/>
          <w:lang w:val="fr-BE"/>
        </w:rPr>
        <w:t>les bienfaits (pour la santé, les compétences</w:t>
      </w:r>
    </w:p>
    <w:p w:rsidR="00AC12B4" w:rsidRPr="00C27636" w:rsidRDefault="00AC12B4">
      <w:pPr>
        <w:spacing w:line="15" w:lineRule="exact"/>
        <w:rPr>
          <w:sz w:val="20"/>
          <w:szCs w:val="20"/>
          <w:lang w:val="fr-BE"/>
        </w:rPr>
      </w:pPr>
    </w:p>
    <w:p w:rsidR="00AC12B4" w:rsidRPr="00C27636" w:rsidRDefault="00C27636">
      <w:pPr>
        <w:tabs>
          <w:tab w:val="left" w:pos="1380"/>
        </w:tabs>
        <w:rPr>
          <w:sz w:val="20"/>
          <w:szCs w:val="20"/>
          <w:lang w:val="fr-BE"/>
        </w:rPr>
      </w:pPr>
      <w:r w:rsidRPr="00C27636">
        <w:rPr>
          <w:rFonts w:ascii="Calibri" w:eastAsia="Calibri" w:hAnsi="Calibri" w:cs="Calibri"/>
          <w:sz w:val="21"/>
          <w:szCs w:val="21"/>
          <w:lang w:val="fr-BE"/>
        </w:rPr>
        <w:t>motrices</w:t>
      </w:r>
      <w:r w:rsidRPr="00C27636">
        <w:rPr>
          <w:sz w:val="20"/>
          <w:szCs w:val="20"/>
          <w:lang w:val="fr-BE"/>
        </w:rPr>
        <w:tab/>
      </w:r>
      <w:r w:rsidRPr="00C27636">
        <w:rPr>
          <w:rFonts w:ascii="Calibri" w:eastAsia="Calibri" w:hAnsi="Calibri" w:cs="Calibri"/>
          <w:sz w:val="21"/>
          <w:szCs w:val="21"/>
          <w:lang w:val="fr-BE"/>
        </w:rPr>
        <w:t>et</w:t>
      </w:r>
    </w:p>
    <w:p w:rsidR="00AC12B4" w:rsidRPr="00C27636" w:rsidRDefault="00AC12B4">
      <w:pPr>
        <w:spacing w:line="12" w:lineRule="exact"/>
        <w:rPr>
          <w:sz w:val="20"/>
          <w:szCs w:val="20"/>
          <w:lang w:val="fr-BE"/>
        </w:rPr>
      </w:pPr>
    </w:p>
    <w:p w:rsidR="00AC12B4" w:rsidRPr="00C27636" w:rsidRDefault="00C27636">
      <w:pPr>
        <w:tabs>
          <w:tab w:val="left" w:pos="1320"/>
        </w:tabs>
        <w:rPr>
          <w:sz w:val="20"/>
          <w:szCs w:val="20"/>
          <w:lang w:val="fr-BE"/>
        </w:rPr>
      </w:pPr>
      <w:r w:rsidRPr="00C27636">
        <w:rPr>
          <w:rFonts w:ascii="Calibri" w:eastAsia="Calibri" w:hAnsi="Calibri" w:cs="Calibri"/>
          <w:sz w:val="21"/>
          <w:szCs w:val="21"/>
          <w:lang w:val="fr-BE"/>
        </w:rPr>
        <w:t>sociales,</w:t>
      </w:r>
      <w:r w:rsidRPr="00C27636">
        <w:rPr>
          <w:sz w:val="20"/>
          <w:szCs w:val="20"/>
          <w:lang w:val="fr-BE"/>
        </w:rPr>
        <w:tab/>
      </w:r>
      <w:r w:rsidRPr="00C27636">
        <w:rPr>
          <w:rFonts w:ascii="Calibri" w:eastAsia="Calibri" w:hAnsi="Calibri" w:cs="Calibri"/>
          <w:sz w:val="21"/>
          <w:szCs w:val="21"/>
          <w:lang w:val="fr-BE"/>
        </w:rPr>
        <w:t>les</w:t>
      </w:r>
    </w:p>
    <w:p w:rsidR="00AC12B4" w:rsidRPr="00C27636" w:rsidRDefault="00C27636">
      <w:pPr>
        <w:rPr>
          <w:sz w:val="20"/>
          <w:szCs w:val="20"/>
          <w:lang w:val="fr-BE"/>
        </w:rPr>
      </w:pPr>
      <w:r w:rsidRPr="00C27636">
        <w:rPr>
          <w:rFonts w:ascii="Calibri" w:eastAsia="Calibri" w:hAnsi="Calibri" w:cs="Calibri"/>
          <w:lang w:val="fr-BE"/>
        </w:rPr>
        <w:t>apprentissages</w:t>
      </w:r>
    </w:p>
    <w:p w:rsidR="00AC12B4" w:rsidRPr="00C27636" w:rsidRDefault="00C27636">
      <w:pPr>
        <w:tabs>
          <w:tab w:val="left" w:pos="980"/>
          <w:tab w:val="left" w:pos="1400"/>
        </w:tabs>
        <w:rPr>
          <w:sz w:val="20"/>
          <w:szCs w:val="20"/>
          <w:lang w:val="fr-BE"/>
        </w:rPr>
      </w:pPr>
      <w:r w:rsidRPr="00C27636">
        <w:rPr>
          <w:rFonts w:ascii="Calibri" w:eastAsia="Calibri" w:hAnsi="Calibri" w:cs="Calibri"/>
          <w:lang w:val="fr-BE"/>
        </w:rPr>
        <w:t>cognitifs</w:t>
      </w:r>
      <w:r w:rsidRPr="00C27636">
        <w:rPr>
          <w:rFonts w:ascii="Calibri" w:eastAsia="Calibri" w:hAnsi="Calibri" w:cs="Calibri"/>
          <w:lang w:val="fr-BE"/>
        </w:rPr>
        <w:tab/>
        <w:t>et</w:t>
      </w:r>
      <w:r w:rsidRPr="00C27636">
        <w:rPr>
          <w:rFonts w:ascii="Calibri" w:eastAsia="Calibri" w:hAnsi="Calibri" w:cs="Calibri"/>
          <w:lang w:val="fr-BE"/>
        </w:rPr>
        <w:tab/>
        <w:t>le</w:t>
      </w:r>
    </w:p>
    <w:p w:rsidR="00AC12B4" w:rsidRPr="00C27636" w:rsidRDefault="00C27636">
      <w:pPr>
        <w:rPr>
          <w:sz w:val="20"/>
          <w:szCs w:val="20"/>
          <w:lang w:val="fr-BE"/>
        </w:rPr>
      </w:pPr>
      <w:r w:rsidRPr="00C27636">
        <w:rPr>
          <w:rFonts w:ascii="Calibri" w:eastAsia="Calibri" w:hAnsi="Calibri" w:cs="Calibri"/>
          <w:lang w:val="fr-BE"/>
        </w:rPr>
        <w:t>parcours</w:t>
      </w:r>
    </w:p>
    <w:p w:rsidR="00AC12B4" w:rsidRPr="00C27636" w:rsidRDefault="00C27636">
      <w:pPr>
        <w:tabs>
          <w:tab w:val="left" w:pos="960"/>
          <w:tab w:val="left" w:pos="1400"/>
        </w:tabs>
        <w:rPr>
          <w:sz w:val="20"/>
          <w:szCs w:val="20"/>
          <w:lang w:val="fr-BE"/>
        </w:rPr>
      </w:pPr>
      <w:r w:rsidRPr="00C27636">
        <w:rPr>
          <w:rFonts w:ascii="Calibri" w:eastAsia="Calibri" w:hAnsi="Calibri" w:cs="Calibri"/>
          <w:lang w:val="fr-BE"/>
        </w:rPr>
        <w:t>scolaire)</w:t>
      </w:r>
      <w:r w:rsidRPr="00C27636">
        <w:rPr>
          <w:rFonts w:ascii="Calibri" w:eastAsia="Calibri" w:hAnsi="Calibri" w:cs="Calibri"/>
          <w:lang w:val="fr-BE"/>
        </w:rPr>
        <w:tab/>
        <w:t>de</w:t>
      </w:r>
      <w:r w:rsidRPr="00C27636">
        <w:rPr>
          <w:rFonts w:ascii="Calibri" w:eastAsia="Calibri" w:hAnsi="Calibri" w:cs="Calibri"/>
          <w:lang w:val="fr-BE"/>
        </w:rPr>
        <w:tab/>
        <w:t>la</w:t>
      </w:r>
    </w:p>
    <w:p w:rsidR="00AC12B4" w:rsidRPr="00C27636" w:rsidRDefault="00C27636">
      <w:pPr>
        <w:rPr>
          <w:sz w:val="20"/>
          <w:szCs w:val="20"/>
          <w:lang w:val="fr-BE"/>
        </w:rPr>
      </w:pPr>
      <w:r w:rsidRPr="00C27636">
        <w:rPr>
          <w:rFonts w:ascii="Calibri" w:eastAsia="Calibri" w:hAnsi="Calibri" w:cs="Calibri"/>
          <w:lang w:val="fr-BE"/>
        </w:rPr>
        <w:t>fréquentation</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238" w:lineRule="auto"/>
        <w:rPr>
          <w:sz w:val="20"/>
          <w:szCs w:val="20"/>
          <w:lang w:val="fr-BE"/>
        </w:rPr>
      </w:pPr>
      <w:r w:rsidRPr="00C27636">
        <w:rPr>
          <w:rFonts w:ascii="Comic Sans MS" w:eastAsia="Comic Sans MS" w:hAnsi="Comic Sans MS" w:cs="Comic Sans MS"/>
          <w:sz w:val="20"/>
          <w:szCs w:val="20"/>
          <w:lang w:val="fr-BE"/>
        </w:rPr>
        <w:t>Plus de</w:t>
      </w:r>
    </w:p>
    <w:p w:rsidR="00AC12B4" w:rsidRPr="00C27636" w:rsidRDefault="00AC12B4">
      <w:pPr>
        <w:spacing w:line="1" w:lineRule="exact"/>
        <w:rPr>
          <w:sz w:val="20"/>
          <w:szCs w:val="20"/>
          <w:lang w:val="fr-BE"/>
        </w:rPr>
      </w:pPr>
    </w:p>
    <w:p w:rsidR="00AC12B4" w:rsidRPr="00C27636" w:rsidRDefault="00C27636">
      <w:pPr>
        <w:ind w:left="280"/>
        <w:rPr>
          <w:sz w:val="20"/>
          <w:szCs w:val="20"/>
          <w:lang w:val="fr-BE"/>
        </w:rPr>
      </w:pPr>
      <w:r w:rsidRPr="00C27636">
        <w:rPr>
          <w:rFonts w:ascii="Comic Sans MS" w:eastAsia="Comic Sans MS" w:hAnsi="Comic Sans MS" w:cs="Comic Sans MS"/>
          <w:color w:val="00923D"/>
          <w:sz w:val="96"/>
          <w:szCs w:val="96"/>
          <w:lang w:val="fr-BE"/>
        </w:rPr>
        <w:t>40%</w:t>
      </w:r>
    </w:p>
    <w:p w:rsidR="00AC12B4" w:rsidRPr="00C27636" w:rsidRDefault="00AC12B4">
      <w:pPr>
        <w:spacing w:line="2" w:lineRule="exact"/>
        <w:rPr>
          <w:sz w:val="20"/>
          <w:szCs w:val="20"/>
          <w:lang w:val="fr-BE"/>
        </w:rPr>
      </w:pPr>
    </w:p>
    <w:p w:rsidR="00AC12B4" w:rsidRPr="00C27636" w:rsidRDefault="00C27636">
      <w:pPr>
        <w:spacing w:line="239" w:lineRule="auto"/>
        <w:ind w:right="879"/>
        <w:rPr>
          <w:sz w:val="20"/>
          <w:szCs w:val="20"/>
          <w:lang w:val="fr-BE"/>
        </w:rPr>
      </w:pPr>
      <w:r w:rsidRPr="00C27636">
        <w:rPr>
          <w:rFonts w:ascii="Comic Sans MS" w:eastAsia="Comic Sans MS" w:hAnsi="Comic Sans MS" w:cs="Comic Sans MS"/>
          <w:sz w:val="20"/>
          <w:szCs w:val="20"/>
          <w:lang w:val="fr-BE"/>
        </w:rPr>
        <w:t xml:space="preserve">d’enfants de 0-3 ans bénéficient </w:t>
      </w:r>
      <w:r w:rsidRPr="00C27636">
        <w:rPr>
          <w:rFonts w:ascii="Comic Sans MS" w:eastAsia="Comic Sans MS" w:hAnsi="Comic Sans MS" w:cs="Comic Sans MS"/>
          <w:sz w:val="20"/>
          <w:szCs w:val="20"/>
          <w:lang w:val="fr-BE"/>
        </w:rPr>
        <w:t>d’une place dans une structure d’accueil formel en Belgique</w:t>
      </w:r>
    </w:p>
    <w:p w:rsidR="00AC12B4" w:rsidRPr="00C27636" w:rsidRDefault="00AC12B4">
      <w:pPr>
        <w:spacing w:line="485" w:lineRule="exact"/>
        <w:rPr>
          <w:sz w:val="20"/>
          <w:szCs w:val="20"/>
          <w:lang w:val="fr-BE"/>
        </w:rPr>
      </w:pPr>
    </w:p>
    <w:p w:rsidR="00AC12B4" w:rsidRPr="00C27636" w:rsidRDefault="00AC12B4">
      <w:pPr>
        <w:rPr>
          <w:lang w:val="fr-BE"/>
        </w:rPr>
        <w:sectPr w:rsidR="00AC12B4" w:rsidRPr="00C27636">
          <w:type w:val="continuous"/>
          <w:pgSz w:w="12080" w:h="17179"/>
          <w:pgMar w:top="1440" w:right="538" w:bottom="659" w:left="1120" w:header="0" w:footer="0" w:gutter="0"/>
          <w:cols w:num="3" w:space="720" w:equalWidth="0">
            <w:col w:w="4900" w:space="580"/>
            <w:col w:w="1580" w:space="340"/>
            <w:col w:w="3019"/>
          </w:cols>
        </w:sectPr>
      </w:pPr>
    </w:p>
    <w:p w:rsidR="00AC12B4" w:rsidRPr="00C27636" w:rsidRDefault="00AC12B4">
      <w:pPr>
        <w:spacing w:line="132" w:lineRule="exact"/>
        <w:rPr>
          <w:sz w:val="20"/>
          <w:szCs w:val="20"/>
          <w:lang w:val="fr-BE"/>
        </w:rPr>
      </w:pPr>
    </w:p>
    <w:p w:rsidR="00AC12B4" w:rsidRPr="00C27636" w:rsidRDefault="00C27636">
      <w:pPr>
        <w:spacing w:line="238" w:lineRule="auto"/>
        <w:ind w:left="880" w:right="520"/>
        <w:jc w:val="both"/>
        <w:rPr>
          <w:sz w:val="20"/>
          <w:szCs w:val="20"/>
          <w:lang w:val="fr-BE"/>
        </w:rPr>
      </w:pPr>
      <w:r w:rsidRPr="00C27636">
        <w:rPr>
          <w:rFonts w:ascii="Calibri" w:eastAsia="Calibri" w:hAnsi="Calibri" w:cs="Calibri"/>
          <w:lang w:val="fr-BE"/>
        </w:rPr>
        <w:t>dans l'éducation de leurs enfants. Dans ses observations finales de 2010, le Comité des droits de l'enfant a exprimé sa préoccupation sur le fait que l'offre de</w:t>
      </w:r>
      <w:r w:rsidRPr="00C27636">
        <w:rPr>
          <w:rFonts w:ascii="Calibri" w:eastAsia="Calibri" w:hAnsi="Calibri" w:cs="Calibri"/>
          <w:lang w:val="fr-BE"/>
        </w:rPr>
        <w:t xml:space="preserve"> prise en charge des enfants ne répond pas aux besoins. La pénurie touche particulièrement les enfants issus de familles plus défavorisées et les enfants handicapés. Le Comité demande à l’État partie de créer sans retard davantage de services de prise en c</w:t>
      </w:r>
      <w:r w:rsidRPr="00C27636">
        <w:rPr>
          <w:rFonts w:ascii="Calibri" w:eastAsia="Calibri" w:hAnsi="Calibri" w:cs="Calibri"/>
          <w:lang w:val="fr-BE"/>
        </w:rPr>
        <w:t>harge des enfants et d’en assurer l’accès à tous les enfants quels que soient leurs besoins particuliers en matière d’éducation ou le statut socioéconomique de leur famille. Il lui demande également de faire en sorte que les enfants handicapés reçoivent da</w:t>
      </w:r>
      <w:r w:rsidRPr="00C27636">
        <w:rPr>
          <w:rFonts w:ascii="Calibri" w:eastAsia="Calibri" w:hAnsi="Calibri" w:cs="Calibri"/>
          <w:lang w:val="fr-BE"/>
        </w:rPr>
        <w:t>ns les établissements de prise en charge des enfants l’assistance spéciale dont ils ont besoin, de veiller à ce que les services de protection de l’enfance soient assurés par du personnel qualifié et de favoriser le développement de la petite enfance, comp</w:t>
      </w:r>
      <w:r w:rsidRPr="00C27636">
        <w:rPr>
          <w:rFonts w:ascii="Calibri" w:eastAsia="Calibri" w:hAnsi="Calibri" w:cs="Calibri"/>
          <w:lang w:val="fr-BE"/>
        </w:rPr>
        <w:t>te tenu des principes et dispositions de la Convention.</w:t>
      </w:r>
    </w:p>
    <w:p w:rsidR="00AC12B4" w:rsidRPr="00C27636" w:rsidRDefault="00AC12B4">
      <w:pPr>
        <w:spacing w:line="176" w:lineRule="exact"/>
        <w:rPr>
          <w:sz w:val="20"/>
          <w:szCs w:val="20"/>
          <w:lang w:val="fr-BE"/>
        </w:rPr>
      </w:pPr>
    </w:p>
    <w:p w:rsidR="00AC12B4" w:rsidRPr="00C27636" w:rsidRDefault="00C27636">
      <w:pPr>
        <w:spacing w:line="229" w:lineRule="auto"/>
        <w:ind w:left="880" w:right="520"/>
        <w:jc w:val="both"/>
        <w:rPr>
          <w:sz w:val="20"/>
          <w:szCs w:val="20"/>
          <w:lang w:val="fr-BE"/>
        </w:rPr>
      </w:pPr>
      <w:r w:rsidRPr="00C27636">
        <w:rPr>
          <w:rFonts w:ascii="Calibri" w:eastAsia="Calibri" w:hAnsi="Calibri" w:cs="Calibri"/>
          <w:lang w:val="fr-BE"/>
        </w:rPr>
        <w:t>Nous nous pencherons ici sur la disponibilité de places d’accueil pour les 0-3 ans. Toutefois, la problématique des places d’accueil est plus large. La section</w:t>
      </w:r>
    </w:p>
    <w:p w:rsidR="00AC12B4" w:rsidRPr="00C27636" w:rsidRDefault="00AC12B4">
      <w:pPr>
        <w:spacing w:line="131"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163</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227" w:lineRule="auto"/>
        <w:ind w:left="8" w:right="59"/>
        <w:jc w:val="both"/>
        <w:rPr>
          <w:sz w:val="20"/>
          <w:szCs w:val="20"/>
          <w:lang w:val="fr-BE"/>
        </w:rPr>
      </w:pPr>
      <w:r w:rsidRPr="00C27636">
        <w:rPr>
          <w:rFonts w:ascii="Calibri" w:eastAsia="Calibri" w:hAnsi="Calibri" w:cs="Calibri"/>
          <w:lang w:val="fr-BE"/>
        </w:rPr>
        <w:t xml:space="preserve">régulière, pour les enfants </w:t>
      </w:r>
      <w:r w:rsidRPr="00C27636">
        <w:rPr>
          <w:rFonts w:ascii="Calibri" w:eastAsia="Calibri" w:hAnsi="Calibri" w:cs="Calibri"/>
          <w:lang w:val="fr-BE"/>
        </w:rPr>
        <w:t>entre 18 et 24 mois d’un lieu d’accueil et d’éducation de la petite enfance de qualité. Ces bienfaits seraient encore plus importants pour les enfants issus de milieux défavorisés</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AC12B4">
      <w:pPr>
        <w:spacing w:line="137" w:lineRule="exact"/>
        <w:rPr>
          <w:sz w:val="20"/>
          <w:szCs w:val="20"/>
          <w:lang w:val="fr-BE"/>
        </w:rPr>
      </w:pPr>
    </w:p>
    <w:p w:rsidR="00AC12B4" w:rsidRPr="00C27636" w:rsidRDefault="00C27636">
      <w:pPr>
        <w:spacing w:line="234" w:lineRule="auto"/>
        <w:ind w:left="8" w:right="59"/>
        <w:jc w:val="both"/>
        <w:rPr>
          <w:sz w:val="20"/>
          <w:szCs w:val="20"/>
          <w:lang w:val="fr-BE"/>
        </w:rPr>
      </w:pPr>
      <w:r w:rsidRPr="00C27636">
        <w:rPr>
          <w:rFonts w:ascii="Calibri" w:eastAsia="Calibri" w:hAnsi="Calibri" w:cs="Calibri"/>
          <w:lang w:val="fr-BE"/>
        </w:rPr>
        <w:t>Le tableau ci-dessous reprend le pourcentage d’enfants (0-3 ans) dans l’a</w:t>
      </w:r>
      <w:r w:rsidRPr="00C27636">
        <w:rPr>
          <w:rFonts w:ascii="Calibri" w:eastAsia="Calibri" w:hAnsi="Calibri" w:cs="Calibri"/>
          <w:lang w:val="fr-BE"/>
        </w:rPr>
        <w:t>ccueil formel dans les différentes régions. Les solutions de garde chez les grands-parents par exemple ne sont donc pas reprises ici. Les enfants entre 2.5 ans et 3 ans qui fréquentent l’école maternelle sont, eux, bien comptabilisés.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92" w:lineRule="exact"/>
        <w:rPr>
          <w:sz w:val="20"/>
          <w:szCs w:val="20"/>
          <w:lang w:val="fr-BE"/>
        </w:rPr>
      </w:pPr>
    </w:p>
    <w:p w:rsidR="00AC12B4" w:rsidRPr="00C27636" w:rsidRDefault="00C27636">
      <w:pPr>
        <w:numPr>
          <w:ilvl w:val="0"/>
          <w:numId w:val="300"/>
        </w:numPr>
        <w:tabs>
          <w:tab w:val="left" w:pos="147"/>
        </w:tabs>
        <w:spacing w:line="212" w:lineRule="auto"/>
        <w:ind w:left="8" w:right="59" w:hanging="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DIEU, A.M., «L’accueil de la petite enfance : une perspective internationale», in </w:t>
      </w:r>
      <w:r w:rsidRPr="00C27636">
        <w:rPr>
          <w:rFonts w:ascii="Calibri" w:eastAsia="Calibri" w:hAnsi="Calibri" w:cs="Calibri"/>
          <w:i/>
          <w:iCs/>
          <w:sz w:val="20"/>
          <w:szCs w:val="20"/>
          <w:lang w:val="fr-BE"/>
        </w:rPr>
        <w:t>En'jeux</w:t>
      </w:r>
      <w:r w:rsidRPr="00C27636">
        <w:rPr>
          <w:rFonts w:ascii="Calibri" w:eastAsia="Calibri" w:hAnsi="Calibri" w:cs="Calibri"/>
          <w:sz w:val="20"/>
          <w:szCs w:val="20"/>
          <w:lang w:val="fr-BE"/>
        </w:rPr>
        <w:t>, n°3, Bruxelles, Observatoire de l’Enfant, de la Jeunesse et de l’Aide à la jeunesse, 2014, 9.</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3"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0"/>
      </w:tblGrid>
      <w:tr w:rsidR="00AC12B4" w:rsidRPr="00C27636">
        <w:trPr>
          <w:trHeight w:val="4260"/>
        </w:trPr>
        <w:tc>
          <w:tcPr>
            <w:tcW w:w="280" w:type="dxa"/>
            <w:textDirection w:val="btLr"/>
            <w:vAlign w:val="bottom"/>
          </w:tcPr>
          <w:p w:rsidR="00AC12B4" w:rsidRPr="00C27636" w:rsidRDefault="00C27636">
            <w:pPr>
              <w:spacing w:line="204" w:lineRule="auto"/>
              <w:rPr>
                <w:sz w:val="20"/>
                <w:szCs w:val="20"/>
                <w:lang w:val="fr-BE"/>
              </w:rPr>
            </w:pPr>
            <w:r w:rsidRPr="00C27636">
              <w:rPr>
                <w:rFonts w:ascii="Calibri" w:eastAsia="Calibri" w:hAnsi="Calibri" w:cs="Calibri"/>
                <w:b/>
                <w:bCs/>
                <w:i/>
                <w:iCs/>
                <w:color w:val="F2F2F2"/>
                <w:sz w:val="27"/>
                <w:szCs w:val="27"/>
                <w:lang w:val="fr-BE"/>
              </w:rPr>
              <w:lastRenderedPageBreak/>
              <w:t>Le droit au respect de la vie familiale</w:t>
            </w:r>
          </w:p>
        </w:tc>
      </w:tr>
    </w:tbl>
    <w:p w:rsidR="00AC12B4" w:rsidRPr="00C27636" w:rsidRDefault="00AC12B4">
      <w:pPr>
        <w:rPr>
          <w:lang w:val="fr-BE"/>
        </w:rPr>
        <w:sectPr w:rsidR="00AC12B4" w:rsidRPr="00C27636">
          <w:type w:val="continuous"/>
          <w:pgSz w:w="12080" w:h="17179"/>
          <w:pgMar w:top="1440" w:right="538" w:bottom="659" w:left="1120" w:header="0" w:footer="0" w:gutter="0"/>
          <w:cols w:num="3" w:space="720" w:equalWidth="0">
            <w:col w:w="5280" w:space="192"/>
            <w:col w:w="3947" w:space="720"/>
            <w:col w:w="280"/>
          </w:cols>
        </w:sectPr>
      </w:pPr>
    </w:p>
    <w:p w:rsidR="00AC12B4" w:rsidRPr="00C27636" w:rsidRDefault="00C27636">
      <w:pPr>
        <w:spacing w:line="170" w:lineRule="exact"/>
        <w:rPr>
          <w:sz w:val="20"/>
          <w:szCs w:val="20"/>
          <w:lang w:val="fr-BE"/>
        </w:rPr>
      </w:pPr>
      <w:bookmarkStart w:id="163" w:name="page164"/>
      <w:bookmarkEnd w:id="163"/>
      <w:r>
        <w:rPr>
          <w:noProof/>
          <w:sz w:val="20"/>
          <w:szCs w:val="20"/>
        </w:rPr>
        <w:lastRenderedPageBreak/>
        <w:drawing>
          <wp:anchor distT="0" distB="0" distL="114300" distR="114300" simplePos="0" relativeHeight="251812352" behindDoc="1" locked="0" layoutInCell="0" allowOverlap="1">
            <wp:simplePos x="0" y="0"/>
            <wp:positionH relativeFrom="page">
              <wp:posOffset>0</wp:posOffset>
            </wp:positionH>
            <wp:positionV relativeFrom="page">
              <wp:posOffset>0</wp:posOffset>
            </wp:positionV>
            <wp:extent cx="7193280" cy="10908665"/>
            <wp:effectExtent l="0" t="0" r="0" b="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88">
                      <a:clrChange>
                        <a:clrFrom>
                          <a:srgbClr val="FFFFFF"/>
                        </a:clrFrom>
                        <a:clrTo>
                          <a:srgbClr val="FFFFFF">
                            <a:alpha val="0"/>
                          </a:srgbClr>
                        </a:clrTo>
                      </a:clrChange>
                      <a:extLst/>
                    </a:blip>
                    <a:srcRect/>
                    <a:stretch>
                      <a:fillRect/>
                    </a:stretch>
                  </pic:blipFill>
                  <pic:spPr bwMode="auto">
                    <a:xfrm>
                      <a:off x="0" y="0"/>
                      <a:ext cx="7193280" cy="10908665"/>
                    </a:xfrm>
                    <a:prstGeom prst="rect">
                      <a:avLst/>
                    </a:prstGeom>
                    <a:noFill/>
                  </pic:spPr>
                </pic:pic>
              </a:graphicData>
            </a:graphic>
          </wp:anchor>
        </w:drawing>
      </w:r>
    </w:p>
    <w:p w:rsidR="00AC12B4" w:rsidRDefault="00C27636">
      <w:pPr>
        <w:ind w:right="2477"/>
        <w:jc w:val="right"/>
        <w:rPr>
          <w:sz w:val="20"/>
          <w:szCs w:val="20"/>
        </w:rPr>
      </w:pPr>
      <w:r>
        <w:rPr>
          <w:rFonts w:ascii="Wingdings" w:eastAsia="Wingdings" w:hAnsi="Wingdings" w:cs="Wingdings"/>
          <w:color w:val="00923D"/>
        </w:rPr>
        <w:t></w:t>
      </w:r>
      <w:r>
        <w:rPr>
          <w:rFonts w:ascii="Wingdings" w:eastAsia="Wingdings" w:hAnsi="Wingdings" w:cs="Wingdings"/>
          <w:color w:val="00923D"/>
        </w:rPr>
        <w:t></w:t>
      </w:r>
      <w:r>
        <w:rPr>
          <w:rFonts w:ascii="Cambria" w:eastAsia="Cambria" w:hAnsi="Cambria" w:cs="Cambria"/>
          <w:i/>
          <w:iCs/>
          <w:color w:val="00923D"/>
        </w:rPr>
        <w:t>Kind en Gezin</w:t>
      </w:r>
    </w:p>
    <w:p w:rsidR="00AC12B4" w:rsidRDefault="00AC12B4">
      <w:pPr>
        <w:spacing w:line="200" w:lineRule="exact"/>
        <w:rPr>
          <w:sz w:val="20"/>
          <w:szCs w:val="20"/>
        </w:rPr>
      </w:pPr>
    </w:p>
    <w:p w:rsidR="00AC12B4" w:rsidRDefault="00AC12B4">
      <w:pPr>
        <w:spacing w:line="301" w:lineRule="exact"/>
        <w:rPr>
          <w:sz w:val="20"/>
          <w:szCs w:val="20"/>
        </w:rPr>
      </w:pPr>
    </w:p>
    <w:tbl>
      <w:tblPr>
        <w:tblW w:w="0" w:type="auto"/>
        <w:tblInd w:w="916" w:type="dxa"/>
        <w:tblLayout w:type="fixed"/>
        <w:tblCellMar>
          <w:left w:w="0" w:type="dxa"/>
          <w:right w:w="0" w:type="dxa"/>
        </w:tblCellMar>
        <w:tblLook w:val="04A0" w:firstRow="1" w:lastRow="0" w:firstColumn="1" w:lastColumn="0" w:noHBand="0" w:noVBand="1"/>
      </w:tblPr>
      <w:tblGrid>
        <w:gridCol w:w="1600"/>
        <w:gridCol w:w="2440"/>
        <w:gridCol w:w="30"/>
      </w:tblGrid>
      <w:tr w:rsidR="00AC12B4">
        <w:trPr>
          <w:trHeight w:val="270"/>
        </w:trPr>
        <w:tc>
          <w:tcPr>
            <w:tcW w:w="1600" w:type="dxa"/>
            <w:tcBorders>
              <w:right w:val="single" w:sz="8" w:space="0" w:color="auto"/>
            </w:tcBorders>
            <w:vAlign w:val="bottom"/>
          </w:tcPr>
          <w:p w:rsidR="00AC12B4" w:rsidRDefault="00AC12B4">
            <w:pPr>
              <w:rPr>
                <w:sz w:val="23"/>
                <w:szCs w:val="23"/>
              </w:rPr>
            </w:pPr>
          </w:p>
        </w:tc>
        <w:tc>
          <w:tcPr>
            <w:tcW w:w="2440" w:type="dxa"/>
            <w:tcBorders>
              <w:top w:val="single" w:sz="8" w:space="0" w:color="auto"/>
              <w:left w:val="single" w:sz="8" w:space="0" w:color="C5FFDE"/>
              <w:right w:val="single" w:sz="8" w:space="0" w:color="auto"/>
            </w:tcBorders>
            <w:shd w:val="clear" w:color="auto" w:fill="C5FFDE"/>
            <w:vAlign w:val="bottom"/>
          </w:tcPr>
          <w:p w:rsidR="00AC12B4" w:rsidRDefault="00C27636">
            <w:pPr>
              <w:ind w:left="60"/>
              <w:rPr>
                <w:sz w:val="20"/>
                <w:szCs w:val="20"/>
              </w:rPr>
            </w:pPr>
            <w:r>
              <w:rPr>
                <w:rFonts w:ascii="Trebuchet MS" w:eastAsia="Trebuchet MS" w:hAnsi="Trebuchet MS" w:cs="Trebuchet MS"/>
                <w:sz w:val="16"/>
                <w:szCs w:val="16"/>
                <w:shd w:val="clear" w:color="auto" w:fill="C5FFDE"/>
              </w:rPr>
              <w:t>Taux   de   couverture   2014</w:t>
            </w:r>
          </w:p>
        </w:tc>
        <w:tc>
          <w:tcPr>
            <w:tcW w:w="0" w:type="dxa"/>
            <w:vAlign w:val="bottom"/>
          </w:tcPr>
          <w:p w:rsidR="00AC12B4" w:rsidRDefault="00AC12B4">
            <w:pPr>
              <w:rPr>
                <w:sz w:val="1"/>
                <w:szCs w:val="1"/>
              </w:rPr>
            </w:pPr>
          </w:p>
        </w:tc>
      </w:tr>
      <w:tr w:rsidR="00AC12B4">
        <w:trPr>
          <w:trHeight w:val="210"/>
        </w:trPr>
        <w:tc>
          <w:tcPr>
            <w:tcW w:w="1600" w:type="dxa"/>
            <w:tcBorders>
              <w:right w:val="single" w:sz="8" w:space="0" w:color="auto"/>
            </w:tcBorders>
            <w:vAlign w:val="bottom"/>
          </w:tcPr>
          <w:p w:rsidR="00AC12B4" w:rsidRDefault="00AC12B4">
            <w:pPr>
              <w:rPr>
                <w:sz w:val="18"/>
                <w:szCs w:val="18"/>
              </w:rPr>
            </w:pPr>
          </w:p>
        </w:tc>
        <w:tc>
          <w:tcPr>
            <w:tcW w:w="2440" w:type="dxa"/>
            <w:tcBorders>
              <w:left w:val="single" w:sz="8" w:space="0" w:color="C5FFDE"/>
              <w:right w:val="single" w:sz="8" w:space="0" w:color="auto"/>
            </w:tcBorders>
            <w:shd w:val="clear" w:color="auto" w:fill="C5FFDE"/>
            <w:vAlign w:val="bottom"/>
          </w:tcPr>
          <w:p w:rsidR="00AC12B4" w:rsidRDefault="00C27636">
            <w:pPr>
              <w:spacing w:line="210" w:lineRule="exact"/>
              <w:ind w:left="60"/>
              <w:rPr>
                <w:sz w:val="20"/>
                <w:szCs w:val="20"/>
              </w:rPr>
            </w:pPr>
            <w:r>
              <w:rPr>
                <w:rFonts w:ascii="Trebuchet MS" w:eastAsia="Trebuchet MS" w:hAnsi="Trebuchet MS" w:cs="Trebuchet MS"/>
                <w:sz w:val="16"/>
                <w:szCs w:val="16"/>
              </w:rPr>
              <w:t>accueil formel 0-3 ans</w:t>
            </w:r>
            <w:r>
              <w:rPr>
                <w:rFonts w:ascii="Trebuchet MS" w:eastAsia="Trebuchet MS" w:hAnsi="Trebuchet MS" w:cs="Trebuchet MS"/>
                <w:sz w:val="20"/>
                <w:szCs w:val="20"/>
                <w:vertAlign w:val="superscript"/>
              </w:rPr>
              <w:t>2</w:t>
            </w:r>
          </w:p>
        </w:tc>
        <w:tc>
          <w:tcPr>
            <w:tcW w:w="0" w:type="dxa"/>
            <w:vAlign w:val="bottom"/>
          </w:tcPr>
          <w:p w:rsidR="00AC12B4" w:rsidRDefault="00AC12B4">
            <w:pPr>
              <w:rPr>
                <w:sz w:val="1"/>
                <w:szCs w:val="1"/>
              </w:rPr>
            </w:pPr>
          </w:p>
        </w:tc>
      </w:tr>
      <w:tr w:rsidR="00AC12B4">
        <w:trPr>
          <w:trHeight w:val="96"/>
        </w:trPr>
        <w:tc>
          <w:tcPr>
            <w:tcW w:w="1600" w:type="dxa"/>
            <w:tcBorders>
              <w:bottom w:val="single" w:sz="8" w:space="0" w:color="auto"/>
              <w:right w:val="single" w:sz="8" w:space="0" w:color="auto"/>
            </w:tcBorders>
            <w:vAlign w:val="bottom"/>
          </w:tcPr>
          <w:p w:rsidR="00AC12B4" w:rsidRDefault="00AC12B4">
            <w:pPr>
              <w:rPr>
                <w:sz w:val="8"/>
                <w:szCs w:val="8"/>
              </w:rPr>
            </w:pPr>
          </w:p>
        </w:tc>
        <w:tc>
          <w:tcPr>
            <w:tcW w:w="2440" w:type="dxa"/>
            <w:tcBorders>
              <w:left w:val="single" w:sz="8" w:space="0" w:color="C5FFDE"/>
              <w:bottom w:val="single" w:sz="8" w:space="0" w:color="auto"/>
              <w:right w:val="single" w:sz="8" w:space="0" w:color="auto"/>
            </w:tcBorders>
            <w:shd w:val="clear" w:color="auto" w:fill="C5FFD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93"/>
        </w:trPr>
        <w:tc>
          <w:tcPr>
            <w:tcW w:w="1600" w:type="dxa"/>
            <w:tcBorders>
              <w:left w:val="single" w:sz="8" w:space="0" w:color="auto"/>
              <w:right w:val="single" w:sz="8" w:space="0" w:color="auto"/>
            </w:tcBorders>
            <w:shd w:val="clear" w:color="auto" w:fill="C5FFDE"/>
            <w:vAlign w:val="bottom"/>
          </w:tcPr>
          <w:p w:rsidR="00AC12B4" w:rsidRDefault="00C27636">
            <w:pPr>
              <w:ind w:left="80"/>
              <w:rPr>
                <w:sz w:val="20"/>
                <w:szCs w:val="20"/>
              </w:rPr>
            </w:pPr>
            <w:r>
              <w:rPr>
                <w:rFonts w:ascii="Trebuchet MS" w:eastAsia="Trebuchet MS" w:hAnsi="Trebuchet MS" w:cs="Trebuchet MS"/>
                <w:sz w:val="16"/>
                <w:szCs w:val="16"/>
              </w:rPr>
              <w:t>BXL-CAPITALE</w:t>
            </w:r>
          </w:p>
        </w:tc>
        <w:tc>
          <w:tcPr>
            <w:tcW w:w="2440" w:type="dxa"/>
            <w:vMerge w:val="restart"/>
            <w:tcBorders>
              <w:right w:val="single" w:sz="8" w:space="0" w:color="auto"/>
            </w:tcBorders>
            <w:vAlign w:val="bottom"/>
          </w:tcPr>
          <w:p w:rsidR="00AC12B4" w:rsidRDefault="00C27636">
            <w:pPr>
              <w:ind w:left="60"/>
              <w:rPr>
                <w:sz w:val="20"/>
                <w:szCs w:val="20"/>
              </w:rPr>
            </w:pPr>
            <w:r>
              <w:rPr>
                <w:rFonts w:ascii="Trebuchet MS" w:eastAsia="Trebuchet MS" w:hAnsi="Trebuchet MS" w:cs="Trebuchet MS"/>
                <w:sz w:val="16"/>
                <w:szCs w:val="16"/>
              </w:rPr>
              <w:t>39% (ONE &amp; Kind en Gezin)</w:t>
            </w:r>
            <w:r>
              <w:rPr>
                <w:rFonts w:ascii="Trebuchet MS" w:eastAsia="Trebuchet MS" w:hAnsi="Trebuchet MS" w:cs="Trebuchet MS"/>
                <w:sz w:val="20"/>
                <w:szCs w:val="20"/>
                <w:vertAlign w:val="superscript"/>
              </w:rPr>
              <w:t>3</w:t>
            </w:r>
          </w:p>
        </w:tc>
        <w:tc>
          <w:tcPr>
            <w:tcW w:w="0" w:type="dxa"/>
            <w:vAlign w:val="bottom"/>
          </w:tcPr>
          <w:p w:rsidR="00AC12B4" w:rsidRDefault="00AC12B4">
            <w:pPr>
              <w:rPr>
                <w:sz w:val="1"/>
                <w:szCs w:val="1"/>
              </w:rPr>
            </w:pPr>
          </w:p>
        </w:tc>
      </w:tr>
      <w:tr w:rsidR="00AC12B4">
        <w:trPr>
          <w:trHeight w:val="141"/>
        </w:trPr>
        <w:tc>
          <w:tcPr>
            <w:tcW w:w="1600" w:type="dxa"/>
            <w:tcBorders>
              <w:left w:val="single" w:sz="8" w:space="0" w:color="auto"/>
              <w:bottom w:val="single" w:sz="8" w:space="0" w:color="auto"/>
              <w:right w:val="single" w:sz="8" w:space="0" w:color="auto"/>
            </w:tcBorders>
            <w:shd w:val="clear" w:color="auto" w:fill="C5FFDE"/>
            <w:vAlign w:val="bottom"/>
          </w:tcPr>
          <w:p w:rsidR="00AC12B4" w:rsidRDefault="00AC12B4">
            <w:pPr>
              <w:rPr>
                <w:sz w:val="12"/>
                <w:szCs w:val="12"/>
              </w:rPr>
            </w:pPr>
          </w:p>
        </w:tc>
        <w:tc>
          <w:tcPr>
            <w:tcW w:w="2440" w:type="dxa"/>
            <w:vMerge/>
            <w:tcBorders>
              <w:bottom w:val="single" w:sz="8" w:space="0" w:color="auto"/>
              <w:right w:val="single" w:sz="8" w:space="0" w:color="auto"/>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287"/>
        </w:trPr>
        <w:tc>
          <w:tcPr>
            <w:tcW w:w="1600" w:type="dxa"/>
            <w:tcBorders>
              <w:left w:val="single" w:sz="8" w:space="0" w:color="auto"/>
              <w:bottom w:val="single" w:sz="8" w:space="0" w:color="C5FFDE"/>
              <w:right w:val="single" w:sz="8" w:space="0" w:color="auto"/>
            </w:tcBorders>
            <w:shd w:val="clear" w:color="auto" w:fill="C5FFDE"/>
            <w:vAlign w:val="bottom"/>
          </w:tcPr>
          <w:p w:rsidR="00AC12B4" w:rsidRDefault="00C27636">
            <w:pPr>
              <w:ind w:left="80"/>
              <w:rPr>
                <w:sz w:val="20"/>
                <w:szCs w:val="20"/>
              </w:rPr>
            </w:pPr>
            <w:r>
              <w:rPr>
                <w:rFonts w:ascii="Trebuchet MS" w:eastAsia="Trebuchet MS" w:hAnsi="Trebuchet MS" w:cs="Trebuchet MS"/>
                <w:sz w:val="16"/>
                <w:szCs w:val="16"/>
                <w:shd w:val="clear" w:color="auto" w:fill="C5FFDE"/>
              </w:rPr>
              <w:t>REGION WALLONNE</w:t>
            </w:r>
            <w:r>
              <w:rPr>
                <w:rFonts w:ascii="Trebuchet MS" w:eastAsia="Trebuchet MS" w:hAnsi="Trebuchet MS" w:cs="Trebuchet MS"/>
                <w:sz w:val="20"/>
                <w:szCs w:val="20"/>
                <w:shd w:val="clear" w:color="auto" w:fill="C5FFDE"/>
                <w:vertAlign w:val="superscript"/>
              </w:rPr>
              <w:t>4</w:t>
            </w:r>
          </w:p>
        </w:tc>
        <w:tc>
          <w:tcPr>
            <w:tcW w:w="2440" w:type="dxa"/>
            <w:tcBorders>
              <w:right w:val="single" w:sz="8" w:space="0" w:color="auto"/>
            </w:tcBorders>
            <w:vAlign w:val="bottom"/>
          </w:tcPr>
          <w:p w:rsidR="00AC12B4" w:rsidRDefault="00C27636">
            <w:pPr>
              <w:ind w:left="60"/>
              <w:rPr>
                <w:sz w:val="20"/>
                <w:szCs w:val="20"/>
              </w:rPr>
            </w:pPr>
            <w:r>
              <w:rPr>
                <w:rFonts w:ascii="Trebuchet MS" w:eastAsia="Trebuchet MS" w:hAnsi="Trebuchet MS" w:cs="Trebuchet MS"/>
                <w:sz w:val="16"/>
                <w:szCs w:val="16"/>
              </w:rPr>
              <w:t>49.3% (ONE)</w:t>
            </w:r>
          </w:p>
        </w:tc>
        <w:tc>
          <w:tcPr>
            <w:tcW w:w="0" w:type="dxa"/>
            <w:vAlign w:val="bottom"/>
          </w:tcPr>
          <w:p w:rsidR="00AC12B4" w:rsidRDefault="00AC12B4">
            <w:pPr>
              <w:rPr>
                <w:sz w:val="1"/>
                <w:szCs w:val="1"/>
              </w:rPr>
            </w:pPr>
          </w:p>
        </w:tc>
      </w:tr>
      <w:tr w:rsidR="00AC12B4">
        <w:trPr>
          <w:trHeight w:val="236"/>
        </w:trPr>
        <w:tc>
          <w:tcPr>
            <w:tcW w:w="1600" w:type="dxa"/>
            <w:tcBorders>
              <w:top w:val="single" w:sz="8" w:space="0" w:color="auto"/>
              <w:left w:val="single" w:sz="8" w:space="0" w:color="auto"/>
              <w:right w:val="single" w:sz="8" w:space="0" w:color="auto"/>
            </w:tcBorders>
            <w:shd w:val="clear" w:color="auto" w:fill="C5FFDE"/>
            <w:vAlign w:val="bottom"/>
          </w:tcPr>
          <w:p w:rsidR="00AC12B4" w:rsidRDefault="00C27636">
            <w:pPr>
              <w:ind w:left="80"/>
              <w:rPr>
                <w:sz w:val="20"/>
                <w:szCs w:val="20"/>
              </w:rPr>
            </w:pPr>
            <w:r>
              <w:rPr>
                <w:rFonts w:ascii="Trebuchet MS" w:eastAsia="Trebuchet MS" w:hAnsi="Trebuchet MS" w:cs="Trebuchet MS"/>
                <w:sz w:val="16"/>
                <w:szCs w:val="16"/>
                <w:shd w:val="clear" w:color="auto" w:fill="C5FFDE"/>
              </w:rPr>
              <w:t>REGION FLAMANDE</w:t>
            </w:r>
          </w:p>
        </w:tc>
        <w:tc>
          <w:tcPr>
            <w:tcW w:w="2440" w:type="dxa"/>
            <w:vMerge w:val="restart"/>
            <w:tcBorders>
              <w:top w:val="single" w:sz="8" w:space="0" w:color="auto"/>
              <w:right w:val="single" w:sz="8" w:space="0" w:color="auto"/>
            </w:tcBorders>
            <w:vAlign w:val="bottom"/>
          </w:tcPr>
          <w:p w:rsidR="00AC12B4" w:rsidRDefault="00C27636">
            <w:pPr>
              <w:ind w:left="60"/>
              <w:rPr>
                <w:sz w:val="20"/>
                <w:szCs w:val="20"/>
              </w:rPr>
            </w:pPr>
            <w:r>
              <w:rPr>
                <w:rFonts w:ascii="Trebuchet MS" w:eastAsia="Trebuchet MS" w:hAnsi="Trebuchet MS" w:cs="Trebuchet MS"/>
                <w:sz w:val="16"/>
                <w:szCs w:val="16"/>
              </w:rPr>
              <w:t>54 % (Kind en Gezin)</w:t>
            </w:r>
          </w:p>
        </w:tc>
        <w:tc>
          <w:tcPr>
            <w:tcW w:w="0" w:type="dxa"/>
            <w:vAlign w:val="bottom"/>
          </w:tcPr>
          <w:p w:rsidR="00AC12B4" w:rsidRDefault="00AC12B4">
            <w:pPr>
              <w:rPr>
                <w:sz w:val="1"/>
                <w:szCs w:val="1"/>
              </w:rPr>
            </w:pPr>
          </w:p>
        </w:tc>
      </w:tr>
      <w:tr w:rsidR="00AC12B4">
        <w:trPr>
          <w:trHeight w:val="76"/>
        </w:trPr>
        <w:tc>
          <w:tcPr>
            <w:tcW w:w="1600" w:type="dxa"/>
            <w:tcBorders>
              <w:left w:val="single" w:sz="8" w:space="0" w:color="auto"/>
              <w:bottom w:val="single" w:sz="8" w:space="0" w:color="auto"/>
              <w:right w:val="single" w:sz="8" w:space="0" w:color="auto"/>
            </w:tcBorders>
            <w:shd w:val="clear" w:color="auto" w:fill="C5FFDE"/>
            <w:vAlign w:val="bottom"/>
          </w:tcPr>
          <w:p w:rsidR="00AC12B4" w:rsidRDefault="00AC12B4">
            <w:pPr>
              <w:rPr>
                <w:sz w:val="6"/>
                <w:szCs w:val="6"/>
              </w:rPr>
            </w:pPr>
          </w:p>
        </w:tc>
        <w:tc>
          <w:tcPr>
            <w:tcW w:w="2440" w:type="dxa"/>
            <w:vMerge/>
            <w:tcBorders>
              <w:bottom w:val="single" w:sz="8" w:space="0" w:color="auto"/>
              <w:right w:val="single" w:sz="8" w:space="0" w:color="auto"/>
            </w:tcBorders>
            <w:vAlign w:val="bottom"/>
          </w:tcPr>
          <w:p w:rsidR="00AC12B4" w:rsidRDefault="00AC12B4">
            <w:pPr>
              <w:rPr>
                <w:sz w:val="6"/>
                <w:szCs w:val="6"/>
              </w:rPr>
            </w:pPr>
          </w:p>
        </w:tc>
        <w:tc>
          <w:tcPr>
            <w:tcW w:w="0" w:type="dxa"/>
            <w:vAlign w:val="bottom"/>
          </w:tcPr>
          <w:p w:rsidR="00AC12B4" w:rsidRDefault="00AC12B4">
            <w:pPr>
              <w:rPr>
                <w:sz w:val="1"/>
                <w:szCs w:val="1"/>
              </w:rPr>
            </w:pPr>
          </w:p>
        </w:tc>
      </w:tr>
    </w:tbl>
    <w:p w:rsidR="00AC12B4" w:rsidRDefault="00AC12B4">
      <w:pPr>
        <w:spacing w:line="200" w:lineRule="exact"/>
        <w:rPr>
          <w:sz w:val="20"/>
          <w:szCs w:val="20"/>
        </w:rPr>
      </w:pPr>
    </w:p>
    <w:p w:rsidR="00AC12B4" w:rsidRDefault="00AC12B4">
      <w:pPr>
        <w:sectPr w:rsidR="00AC12B4">
          <w:pgSz w:w="12080" w:h="17179"/>
          <w:pgMar w:top="1440" w:right="1440" w:bottom="659" w:left="454" w:header="0" w:footer="0" w:gutter="0"/>
          <w:cols w:space="720" w:equalWidth="0">
            <w:col w:w="10183"/>
          </w:cols>
        </w:sect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31" w:lineRule="exact"/>
        <w:rPr>
          <w:sz w:val="20"/>
          <w:szCs w:val="20"/>
        </w:rPr>
      </w:pPr>
    </w:p>
    <w:p w:rsidR="00AC12B4" w:rsidRDefault="00C27636">
      <w:pPr>
        <w:ind w:left="986"/>
        <w:rPr>
          <w:sz w:val="20"/>
          <w:szCs w:val="20"/>
        </w:rPr>
      </w:pPr>
      <w:r>
        <w:rPr>
          <w:rFonts w:ascii="Cambria" w:eastAsia="Cambria" w:hAnsi="Cambria" w:cs="Cambria"/>
          <w:b/>
          <w:bCs/>
          <w:i/>
          <w:iCs/>
          <w:color w:val="005022"/>
          <w:sz w:val="26"/>
          <w:szCs w:val="26"/>
        </w:rPr>
        <w:t>Evolution</w:t>
      </w:r>
    </w:p>
    <w:p w:rsidR="00AC12B4" w:rsidRDefault="00AC12B4">
      <w:pPr>
        <w:spacing w:line="210" w:lineRule="exact"/>
        <w:rPr>
          <w:sz w:val="20"/>
          <w:szCs w:val="20"/>
        </w:rPr>
      </w:pPr>
    </w:p>
    <w:p w:rsidR="00AC12B4" w:rsidRPr="00C27636" w:rsidRDefault="00C27636">
      <w:pPr>
        <w:spacing w:line="218" w:lineRule="auto"/>
        <w:ind w:left="986" w:right="520"/>
        <w:rPr>
          <w:sz w:val="20"/>
          <w:szCs w:val="20"/>
          <w:lang w:val="fr-BE"/>
        </w:rPr>
      </w:pPr>
      <w:r w:rsidRPr="00C27636">
        <w:rPr>
          <w:rFonts w:ascii="Calibri" w:eastAsia="Calibri" w:hAnsi="Calibri" w:cs="Calibri"/>
          <w:lang w:val="fr-BE"/>
        </w:rPr>
        <w:t>Les places disponibles dans l’accueil formel sont en légère augmentation en Belgique.</w:t>
      </w:r>
    </w:p>
    <w:p w:rsidR="00AC12B4" w:rsidRPr="00C27636" w:rsidRDefault="00AC12B4">
      <w:pPr>
        <w:spacing w:line="200" w:lineRule="exact"/>
        <w:rPr>
          <w:sz w:val="20"/>
          <w:szCs w:val="20"/>
          <w:lang w:val="fr-BE"/>
        </w:rPr>
      </w:pPr>
    </w:p>
    <w:p w:rsidR="00AC12B4" w:rsidRPr="00C27636" w:rsidRDefault="00AC12B4">
      <w:pPr>
        <w:spacing w:line="314" w:lineRule="exact"/>
        <w:rPr>
          <w:sz w:val="20"/>
          <w:szCs w:val="20"/>
          <w:lang w:val="fr-BE"/>
        </w:rPr>
      </w:pPr>
    </w:p>
    <w:p w:rsidR="00AC12B4" w:rsidRDefault="00C27636">
      <w:pPr>
        <w:numPr>
          <w:ilvl w:val="0"/>
          <w:numId w:val="301"/>
        </w:numPr>
        <w:tabs>
          <w:tab w:val="left" w:pos="1706"/>
        </w:tabs>
        <w:ind w:left="1706" w:hanging="360"/>
        <w:rPr>
          <w:rFonts w:ascii="Wingdings" w:eastAsia="Wingdings" w:hAnsi="Wingdings" w:cs="Wingdings"/>
          <w:color w:val="00923D"/>
        </w:rPr>
      </w:pPr>
      <w:r>
        <w:rPr>
          <w:rFonts w:ascii="Cambria" w:eastAsia="Cambria" w:hAnsi="Cambria" w:cs="Cambria"/>
          <w:i/>
          <w:iCs/>
          <w:color w:val="00923D"/>
        </w:rPr>
        <w:t>ONE</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98" w:lineRule="exact"/>
        <w:rPr>
          <w:sz w:val="20"/>
          <w:szCs w:val="20"/>
        </w:rPr>
      </w:pPr>
    </w:p>
    <w:p w:rsidR="00AC12B4" w:rsidRPr="00C27636" w:rsidRDefault="00C27636">
      <w:pPr>
        <w:spacing w:line="224" w:lineRule="auto"/>
        <w:ind w:right="57"/>
        <w:jc w:val="both"/>
        <w:rPr>
          <w:sz w:val="20"/>
          <w:szCs w:val="20"/>
          <w:lang w:val="fr-BE"/>
        </w:rPr>
      </w:pPr>
      <w:r w:rsidRPr="00C27636">
        <w:rPr>
          <w:rFonts w:ascii="Calibri" w:eastAsia="Calibri" w:hAnsi="Calibri" w:cs="Calibri"/>
          <w:b/>
          <w:bCs/>
          <w:color w:val="4F81BD"/>
          <w:sz w:val="18"/>
          <w:szCs w:val="18"/>
          <w:lang w:val="fr-BE"/>
        </w:rPr>
        <w:t xml:space="preserve">Figure 2. Kind en Gezin, Evolution du nombre de places par 1000 enfants et part des enfants de 0-3 ans dans l’accueil formel en </w:t>
      </w:r>
      <w:r w:rsidRPr="00C27636">
        <w:rPr>
          <w:rFonts w:ascii="Calibri" w:eastAsia="Calibri" w:hAnsi="Calibri" w:cs="Calibri"/>
          <w:b/>
          <w:bCs/>
          <w:color w:val="4F81BD"/>
          <w:sz w:val="18"/>
          <w:szCs w:val="18"/>
          <w:lang w:val="fr-BE"/>
        </w:rPr>
        <w:t>°/°° de 2006 à 2012.</w:t>
      </w:r>
    </w:p>
    <w:p w:rsidR="00AC12B4" w:rsidRPr="00C27636" w:rsidRDefault="00AC12B4">
      <w:pPr>
        <w:spacing w:line="200" w:lineRule="exact"/>
        <w:rPr>
          <w:sz w:val="20"/>
          <w:szCs w:val="20"/>
          <w:lang w:val="fr-BE"/>
        </w:rPr>
      </w:pPr>
    </w:p>
    <w:p w:rsidR="00AC12B4" w:rsidRPr="00C27636" w:rsidRDefault="00AC12B4">
      <w:pPr>
        <w:rPr>
          <w:lang w:val="fr-BE"/>
        </w:rPr>
        <w:sectPr w:rsidR="00AC12B4" w:rsidRPr="00C27636">
          <w:type w:val="continuous"/>
          <w:pgSz w:w="12080" w:h="17179"/>
          <w:pgMar w:top="1440" w:right="1440" w:bottom="659" w:left="454" w:header="0" w:footer="0" w:gutter="0"/>
          <w:cols w:num="2" w:space="720" w:equalWidth="0">
            <w:col w:w="5386" w:space="720"/>
            <w:col w:w="407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3"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 respect de la vie familiale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8" w:lineRule="exact"/>
        <w:rPr>
          <w:sz w:val="20"/>
          <w:szCs w:val="20"/>
          <w:lang w:val="fr-BE"/>
        </w:rPr>
      </w:pPr>
    </w:p>
    <w:p w:rsidR="00AC12B4" w:rsidRPr="00C27636" w:rsidRDefault="00C27636">
      <w:pPr>
        <w:rPr>
          <w:sz w:val="20"/>
          <w:szCs w:val="20"/>
          <w:lang w:val="fr-BE"/>
        </w:rPr>
      </w:pPr>
      <w:r w:rsidRPr="00C27636">
        <w:rPr>
          <w:rFonts w:ascii="Calibri" w:eastAsia="Calibri" w:hAnsi="Calibri" w:cs="Calibri"/>
          <w:b/>
          <w:bCs/>
          <w:color w:val="4F81BD"/>
          <w:sz w:val="18"/>
          <w:szCs w:val="18"/>
          <w:lang w:val="fr-BE"/>
        </w:rPr>
        <w:t>Figure 3. L’ONE en chiffres 2014, p. 21.</w:t>
      </w:r>
    </w:p>
    <w:p w:rsidR="00AC12B4" w:rsidRPr="00C27636" w:rsidRDefault="00AC12B4">
      <w:pPr>
        <w:spacing w:line="200" w:lineRule="exact"/>
        <w:rPr>
          <w:sz w:val="20"/>
          <w:szCs w:val="20"/>
          <w:lang w:val="fr-BE"/>
        </w:rPr>
      </w:pPr>
    </w:p>
    <w:p w:rsidR="00AC12B4" w:rsidRPr="00C27636" w:rsidRDefault="00AC12B4">
      <w:pPr>
        <w:spacing w:line="339" w:lineRule="exact"/>
        <w:rPr>
          <w:sz w:val="20"/>
          <w:szCs w:val="20"/>
          <w:lang w:val="fr-BE"/>
        </w:rPr>
      </w:pPr>
    </w:p>
    <w:p w:rsidR="00AC12B4" w:rsidRDefault="00C27636">
      <w:pPr>
        <w:numPr>
          <w:ilvl w:val="0"/>
          <w:numId w:val="302"/>
        </w:numPr>
        <w:tabs>
          <w:tab w:val="left" w:pos="280"/>
        </w:tabs>
        <w:ind w:left="280" w:hanging="120"/>
        <w:rPr>
          <w:rFonts w:ascii="Calibri" w:eastAsia="Calibri" w:hAnsi="Calibri" w:cs="Calibri"/>
          <w:sz w:val="26"/>
          <w:szCs w:val="26"/>
          <w:vertAlign w:val="superscript"/>
        </w:rPr>
      </w:pPr>
      <w:r>
        <w:rPr>
          <w:rFonts w:ascii="Calibri" w:eastAsia="Calibri" w:hAnsi="Calibri" w:cs="Calibri"/>
          <w:sz w:val="20"/>
          <w:szCs w:val="20"/>
        </w:rPr>
        <w:t>Sources :</w:t>
      </w:r>
    </w:p>
    <w:p w:rsidR="00AC12B4" w:rsidRDefault="00AC12B4">
      <w:pPr>
        <w:spacing w:line="168" w:lineRule="exact"/>
        <w:rPr>
          <w:sz w:val="20"/>
          <w:szCs w:val="20"/>
        </w:rPr>
      </w:pPr>
    </w:p>
    <w:p w:rsidR="00AC12B4" w:rsidRPr="00C27636" w:rsidRDefault="00C27636">
      <w:pPr>
        <w:spacing w:line="224" w:lineRule="auto"/>
        <w:ind w:left="160"/>
        <w:jc w:val="both"/>
        <w:rPr>
          <w:rFonts w:ascii="Calibri" w:eastAsia="Calibri" w:hAnsi="Calibri" w:cs="Calibri"/>
          <w:color w:val="0000FF"/>
          <w:sz w:val="20"/>
          <w:szCs w:val="20"/>
          <w:lang w:val="fr-BE"/>
        </w:rPr>
      </w:pPr>
      <w:r w:rsidRPr="00C27636">
        <w:rPr>
          <w:rFonts w:ascii="Calibri" w:eastAsia="Calibri" w:hAnsi="Calibri" w:cs="Calibri"/>
          <w:sz w:val="20"/>
          <w:szCs w:val="20"/>
          <w:lang w:val="fr-BE"/>
        </w:rPr>
        <w:t xml:space="preserve">L’ONE en chiffres 2014 : </w:t>
      </w:r>
      <w:hyperlink r:id="rId289">
        <w:r w:rsidRPr="00C27636">
          <w:rPr>
            <w:rFonts w:ascii="Calibri" w:eastAsia="Calibri" w:hAnsi="Calibri" w:cs="Calibri"/>
            <w:color w:val="0000FF"/>
            <w:sz w:val="20"/>
            <w:szCs w:val="20"/>
            <w:u w:val="single"/>
            <w:lang w:val="fr-BE"/>
          </w:rPr>
          <w:t>http://www.one.be/uploads/tx_ttproducts/dat</w:t>
        </w:r>
      </w:hyperlink>
      <w:r w:rsidRPr="00C27636">
        <w:rPr>
          <w:rFonts w:ascii="Calibri" w:eastAsia="Calibri" w:hAnsi="Calibri" w:cs="Calibri"/>
          <w:color w:val="0000FF"/>
          <w:sz w:val="20"/>
          <w:szCs w:val="20"/>
          <w:u w:val="single"/>
          <w:lang w:val="fr-BE"/>
        </w:rPr>
        <w:t xml:space="preserve"> </w:t>
      </w:r>
      <w:hyperlink r:id="rId290">
        <w:r w:rsidRPr="00C27636">
          <w:rPr>
            <w:rFonts w:ascii="Calibri" w:eastAsia="Calibri" w:hAnsi="Calibri" w:cs="Calibri"/>
            <w:color w:val="0000FF"/>
            <w:sz w:val="20"/>
            <w:szCs w:val="20"/>
            <w:u w:val="single"/>
            <w:lang w:val="fr-BE"/>
          </w:rPr>
          <w:t>asheet/RA_2014_ONE_e</w:t>
        </w:r>
        <w:r w:rsidRPr="00C27636">
          <w:rPr>
            <w:rFonts w:ascii="Calibri" w:eastAsia="Calibri" w:hAnsi="Calibri" w:cs="Calibri"/>
            <w:color w:val="0000FF"/>
            <w:sz w:val="20"/>
            <w:szCs w:val="20"/>
            <w:u w:val="single"/>
            <w:lang w:val="fr-BE"/>
          </w:rPr>
          <w:t>n_chiffres.pdf</w:t>
        </w:r>
        <w:r w:rsidRPr="00C27636">
          <w:rPr>
            <w:rFonts w:ascii="Calibri" w:eastAsia="Calibri" w:hAnsi="Calibri" w:cs="Calibri"/>
            <w:color w:val="0000FF"/>
            <w:sz w:val="20"/>
            <w:szCs w:val="20"/>
            <w:lang w:val="fr-BE"/>
          </w:rPr>
          <w:t xml:space="preserve"> </w:t>
        </w:r>
      </w:hyperlink>
      <w:r w:rsidRPr="00C27636">
        <w:rPr>
          <w:rFonts w:ascii="Calibri" w:eastAsia="Calibri" w:hAnsi="Calibri" w:cs="Calibri"/>
          <w:color w:val="000000"/>
          <w:sz w:val="20"/>
          <w:szCs w:val="20"/>
          <w:lang w:val="fr-BE"/>
        </w:rPr>
        <w:t>p.</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22;</w:t>
      </w:r>
    </w:p>
    <w:p w:rsidR="00AC12B4" w:rsidRPr="00C27636" w:rsidRDefault="00AC12B4">
      <w:pPr>
        <w:spacing w:line="168" w:lineRule="exact"/>
        <w:rPr>
          <w:sz w:val="20"/>
          <w:szCs w:val="20"/>
          <w:lang w:val="fr-BE"/>
        </w:rPr>
      </w:pPr>
    </w:p>
    <w:p w:rsidR="00AC12B4" w:rsidRPr="00C27636" w:rsidRDefault="00C27636">
      <w:pPr>
        <w:spacing w:line="224" w:lineRule="auto"/>
        <w:ind w:left="160"/>
        <w:jc w:val="both"/>
        <w:rPr>
          <w:rFonts w:ascii="Calibri" w:eastAsia="Calibri" w:hAnsi="Calibri" w:cs="Calibri"/>
          <w:color w:val="0000FF"/>
          <w:sz w:val="20"/>
          <w:szCs w:val="20"/>
          <w:u w:val="single"/>
          <w:lang w:val="nl-NL"/>
        </w:rPr>
      </w:pPr>
      <w:r w:rsidRPr="00C27636">
        <w:rPr>
          <w:rFonts w:ascii="Calibri" w:eastAsia="Calibri" w:hAnsi="Calibri" w:cs="Calibri"/>
          <w:sz w:val="20"/>
          <w:szCs w:val="20"/>
          <w:lang w:val="nl-NL"/>
        </w:rPr>
        <w:t xml:space="preserve">Kind en Gezin : </w:t>
      </w:r>
      <w:hyperlink r:id="rId291">
        <w:r w:rsidRPr="00C27636">
          <w:rPr>
            <w:rFonts w:ascii="Calibri" w:eastAsia="Calibri" w:hAnsi="Calibri" w:cs="Calibri"/>
            <w:color w:val="0000FF"/>
            <w:sz w:val="20"/>
            <w:szCs w:val="20"/>
            <w:u w:val="single"/>
            <w:lang w:val="nl-NL"/>
          </w:rPr>
          <w:t>http://www.kindengezin.be/kinderopvang/cijfe</w:t>
        </w:r>
      </w:hyperlink>
      <w:r w:rsidRPr="00C27636">
        <w:rPr>
          <w:rFonts w:ascii="Calibri" w:eastAsia="Calibri" w:hAnsi="Calibri" w:cs="Calibri"/>
          <w:color w:val="0000FF"/>
          <w:sz w:val="20"/>
          <w:szCs w:val="20"/>
          <w:u w:val="single"/>
          <w:lang w:val="nl-NL"/>
        </w:rPr>
        <w:t xml:space="preserve"> </w:t>
      </w:r>
      <w:hyperlink r:id="rId292">
        <w:r w:rsidRPr="00C27636">
          <w:rPr>
            <w:rFonts w:ascii="Calibri" w:eastAsia="Calibri" w:hAnsi="Calibri" w:cs="Calibri"/>
            <w:color w:val="0000FF"/>
            <w:sz w:val="20"/>
            <w:szCs w:val="20"/>
            <w:u w:val="single"/>
            <w:lang w:val="nl-NL"/>
          </w:rPr>
          <w:t>rs-en-beleid/kinderopvangcijfers-op-maat/</w:t>
        </w:r>
      </w:hyperlink>
    </w:p>
    <w:p w:rsidR="00AC12B4" w:rsidRPr="00C27636" w:rsidRDefault="00AC12B4">
      <w:pPr>
        <w:spacing w:line="120" w:lineRule="exact"/>
        <w:rPr>
          <w:sz w:val="20"/>
          <w:szCs w:val="20"/>
          <w:lang w:val="nl-NL"/>
        </w:rPr>
      </w:pPr>
    </w:p>
    <w:p w:rsidR="00AC12B4" w:rsidRPr="00C27636" w:rsidRDefault="00C27636">
      <w:pPr>
        <w:spacing w:line="226" w:lineRule="auto"/>
        <w:ind w:left="160"/>
        <w:jc w:val="both"/>
        <w:rPr>
          <w:sz w:val="20"/>
          <w:szCs w:val="20"/>
          <w:lang w:val="fr-BE"/>
        </w:rPr>
      </w:pPr>
      <w:r w:rsidRPr="00C27636">
        <w:rPr>
          <w:rFonts w:ascii="Calibri" w:eastAsia="Calibri" w:hAnsi="Calibri" w:cs="Calibri"/>
          <w:sz w:val="25"/>
          <w:szCs w:val="25"/>
          <w:vertAlign w:val="superscript"/>
          <w:lang w:val="fr-BE"/>
        </w:rPr>
        <w:t>3</w:t>
      </w:r>
      <w:r w:rsidRPr="00C27636">
        <w:rPr>
          <w:rFonts w:ascii="Calibri" w:eastAsia="Calibri" w:hAnsi="Calibri" w:cs="Calibri"/>
          <w:sz w:val="20"/>
          <w:szCs w:val="20"/>
          <w:lang w:val="fr-BE"/>
        </w:rPr>
        <w:t xml:space="preserve"> Donnée calculée sur base du nombre d’enfants fréquentant une structure d’accueil formel repris dans leurs rapports par Kind en Gezin et ONE (premier trimestre 2014).</w:t>
      </w:r>
    </w:p>
    <w:p w:rsidR="00AC12B4" w:rsidRPr="00C27636" w:rsidRDefault="00AC12B4">
      <w:pPr>
        <w:spacing w:line="48" w:lineRule="exact"/>
        <w:rPr>
          <w:sz w:val="20"/>
          <w:szCs w:val="20"/>
          <w:lang w:val="fr-BE"/>
        </w:rPr>
      </w:pPr>
    </w:p>
    <w:p w:rsidR="00AC12B4" w:rsidRDefault="00C27636">
      <w:pPr>
        <w:numPr>
          <w:ilvl w:val="0"/>
          <w:numId w:val="303"/>
        </w:numPr>
        <w:tabs>
          <w:tab w:val="left" w:pos="280"/>
        </w:tabs>
        <w:ind w:left="280" w:hanging="120"/>
        <w:rPr>
          <w:rFonts w:ascii="Calibri" w:eastAsia="Calibri" w:hAnsi="Calibri" w:cs="Calibri"/>
          <w:sz w:val="26"/>
          <w:szCs w:val="26"/>
          <w:vertAlign w:val="superscript"/>
        </w:rPr>
      </w:pPr>
      <w:r>
        <w:rPr>
          <w:rFonts w:ascii="Calibri" w:eastAsia="Calibri" w:hAnsi="Calibri" w:cs="Calibri"/>
          <w:sz w:val="20"/>
          <w:szCs w:val="20"/>
        </w:rPr>
        <w:t>Except</w:t>
      </w:r>
      <w:r>
        <w:rPr>
          <w:rFonts w:ascii="Calibri" w:eastAsia="Calibri" w:hAnsi="Calibri" w:cs="Calibri"/>
          <w:sz w:val="20"/>
          <w:szCs w:val="20"/>
        </w:rPr>
        <w:t>é cantons germanophones.</w:t>
      </w:r>
    </w:p>
    <w:p w:rsidR="00AC12B4" w:rsidRDefault="00C27636">
      <w:pPr>
        <w:spacing w:line="20" w:lineRule="exact"/>
        <w:rPr>
          <w:sz w:val="20"/>
          <w:szCs w:val="20"/>
        </w:rPr>
      </w:pPr>
      <w:r>
        <w:rPr>
          <w:sz w:val="20"/>
          <w:szCs w:val="20"/>
        </w:rPr>
        <w:br w:type="column"/>
      </w:r>
    </w:p>
    <w:p w:rsidR="00AC12B4" w:rsidRDefault="00AC12B4">
      <w:pPr>
        <w:spacing w:line="88" w:lineRule="exact"/>
        <w:rPr>
          <w:sz w:val="20"/>
          <w:szCs w:val="20"/>
        </w:rPr>
      </w:pPr>
    </w:p>
    <w:p w:rsidR="00AC12B4" w:rsidRDefault="00C27636">
      <w:pPr>
        <w:ind w:left="2320"/>
        <w:rPr>
          <w:sz w:val="20"/>
          <w:szCs w:val="20"/>
        </w:rPr>
      </w:pPr>
      <w:r>
        <w:rPr>
          <w:rFonts w:ascii="Cambria" w:eastAsia="Cambria" w:hAnsi="Cambria" w:cs="Cambria"/>
          <w:b/>
          <w:bCs/>
          <w:i/>
          <w:iCs/>
          <w:color w:val="005022"/>
          <w:sz w:val="26"/>
          <w:szCs w:val="26"/>
        </w:rPr>
        <w:t>Iniquité</w:t>
      </w:r>
    </w:p>
    <w:p w:rsidR="00AC12B4" w:rsidRDefault="00AC12B4">
      <w:pPr>
        <w:spacing w:line="208" w:lineRule="exact"/>
        <w:rPr>
          <w:sz w:val="20"/>
          <w:szCs w:val="20"/>
        </w:rPr>
      </w:pPr>
    </w:p>
    <w:p w:rsidR="00AC12B4" w:rsidRPr="00C27636" w:rsidRDefault="00C27636">
      <w:pPr>
        <w:spacing w:line="224" w:lineRule="auto"/>
        <w:ind w:left="2320" w:right="737"/>
        <w:jc w:val="both"/>
        <w:rPr>
          <w:sz w:val="20"/>
          <w:szCs w:val="20"/>
          <w:lang w:val="fr-BE"/>
        </w:rPr>
      </w:pPr>
      <w:r w:rsidRPr="00C27636">
        <w:rPr>
          <w:rFonts w:ascii="Calibri" w:eastAsia="Calibri" w:hAnsi="Calibri" w:cs="Calibri"/>
          <w:lang w:val="fr-BE"/>
        </w:rPr>
        <w:t>Kind en Gezin a réalisé une enquête sur l’utilisation des places d’accueil</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w:t>
      </w:r>
    </w:p>
    <w:p w:rsidR="00AC12B4" w:rsidRPr="00C27636" w:rsidRDefault="00AC12B4">
      <w:pPr>
        <w:spacing w:line="136" w:lineRule="exact"/>
        <w:rPr>
          <w:sz w:val="20"/>
          <w:szCs w:val="20"/>
          <w:lang w:val="fr-BE"/>
        </w:rPr>
      </w:pPr>
    </w:p>
    <w:p w:rsidR="00AC12B4" w:rsidRPr="00C27636" w:rsidRDefault="00C27636">
      <w:pPr>
        <w:spacing w:line="225" w:lineRule="auto"/>
        <w:ind w:left="2320" w:right="737"/>
        <w:jc w:val="both"/>
        <w:rPr>
          <w:sz w:val="20"/>
          <w:szCs w:val="20"/>
          <w:lang w:val="fr-BE"/>
        </w:rPr>
      </w:pPr>
      <w:r w:rsidRPr="00C27636">
        <w:rPr>
          <w:rFonts w:ascii="Calibri" w:eastAsia="Calibri" w:hAnsi="Calibri" w:cs="Calibri"/>
          <w:lang w:val="fr-BE"/>
        </w:rPr>
        <w:t>De grandes différences sont visibles dans l’utilisation des milieux</w:t>
      </w:r>
    </w:p>
    <w:p w:rsidR="00AC12B4" w:rsidRPr="00C27636" w:rsidRDefault="00AC12B4">
      <w:pPr>
        <w:spacing w:line="51" w:lineRule="exact"/>
        <w:rPr>
          <w:sz w:val="20"/>
          <w:szCs w:val="20"/>
          <w:lang w:val="fr-BE"/>
        </w:rPr>
      </w:pPr>
    </w:p>
    <w:p w:rsidR="00AC12B4" w:rsidRPr="00C27636" w:rsidRDefault="00C27636">
      <w:pPr>
        <w:spacing w:line="224" w:lineRule="auto"/>
        <w:ind w:left="2320" w:right="737"/>
        <w:jc w:val="both"/>
        <w:rPr>
          <w:sz w:val="20"/>
          <w:szCs w:val="20"/>
          <w:lang w:val="fr-BE"/>
        </w:rPr>
      </w:pPr>
      <w:r w:rsidRPr="00C27636">
        <w:rPr>
          <w:rFonts w:ascii="Calibri" w:eastAsia="Calibri" w:hAnsi="Calibri" w:cs="Calibri"/>
          <w:lang w:val="fr-BE"/>
        </w:rPr>
        <w:t>d’accueil suivant l’origine des parents ou le statut socio-</w:t>
      </w:r>
    </w:p>
    <w:p w:rsidR="00AC12B4" w:rsidRPr="00C27636" w:rsidRDefault="00AC12B4">
      <w:pPr>
        <w:spacing w:line="52" w:lineRule="exact"/>
        <w:rPr>
          <w:sz w:val="20"/>
          <w:szCs w:val="20"/>
          <w:lang w:val="fr-BE"/>
        </w:rPr>
      </w:pPr>
    </w:p>
    <w:p w:rsidR="00AC12B4" w:rsidRPr="00C27636" w:rsidRDefault="00C27636">
      <w:pPr>
        <w:ind w:left="520" w:right="737"/>
        <w:jc w:val="right"/>
        <w:rPr>
          <w:sz w:val="20"/>
          <w:szCs w:val="20"/>
          <w:lang w:val="fr-BE"/>
        </w:rPr>
      </w:pPr>
      <w:r w:rsidRPr="00C27636">
        <w:rPr>
          <w:rFonts w:ascii="Calibri" w:eastAsia="Calibri" w:hAnsi="Calibri" w:cs="Calibri"/>
          <w:lang w:val="fr-BE"/>
        </w:rPr>
        <w:t>économique.      Les enfants   dont   les parents sont d’origine belge se retrouvent</w:t>
      </w:r>
    </w:p>
    <w:p w:rsidR="00AC12B4" w:rsidRPr="00C27636" w:rsidRDefault="00AC12B4">
      <w:pPr>
        <w:spacing w:line="269" w:lineRule="exact"/>
        <w:rPr>
          <w:sz w:val="20"/>
          <w:szCs w:val="20"/>
          <w:lang w:val="fr-BE"/>
        </w:rPr>
      </w:pPr>
    </w:p>
    <w:p w:rsidR="00AC12B4" w:rsidRPr="00C27636" w:rsidRDefault="00C27636">
      <w:pPr>
        <w:spacing w:line="230" w:lineRule="auto"/>
        <w:ind w:left="520" w:right="737"/>
        <w:jc w:val="both"/>
        <w:rPr>
          <w:sz w:val="20"/>
          <w:szCs w:val="20"/>
          <w:lang w:val="fr-BE"/>
        </w:rPr>
      </w:pPr>
      <w:r w:rsidRPr="00C27636">
        <w:rPr>
          <w:rFonts w:ascii="Calibri" w:eastAsia="Calibri" w:hAnsi="Calibri" w:cs="Calibri"/>
          <w:lang w:val="fr-BE"/>
        </w:rPr>
        <w:t>beaucoup plus dans des milieux d’accueil (70.8%) que ceux dont les parents sont d’origine étrangère (32.6%). De même, les enfants issus de familles « aisées » utilisent p</w:t>
      </w:r>
      <w:r w:rsidRPr="00C27636">
        <w:rPr>
          <w:rFonts w:ascii="Calibri" w:eastAsia="Calibri" w:hAnsi="Calibri" w:cs="Calibri"/>
          <w:lang w:val="fr-BE"/>
        </w:rPr>
        <w:t>lus fréquemment les milieux d’accueil que ceux issus de familles en pauvreté (65.7% contre 21%)</w:t>
      </w:r>
      <w:r w:rsidRPr="00C27636">
        <w:rPr>
          <w:rFonts w:ascii="Calibri" w:eastAsia="Calibri" w:hAnsi="Calibri" w:cs="Calibri"/>
          <w:sz w:val="27"/>
          <w:szCs w:val="27"/>
          <w:vertAlign w:val="superscript"/>
          <w:lang w:val="fr-BE"/>
        </w:rPr>
        <w:t>6</w:t>
      </w:r>
      <w:r w:rsidRPr="00C27636">
        <w:rPr>
          <w:rFonts w:ascii="Calibri" w:eastAsia="Calibri" w:hAnsi="Calibri" w:cs="Calibri"/>
          <w:lang w:val="fr-BE"/>
        </w:rPr>
        <w:t>.</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8" w:lineRule="exact"/>
        <w:rPr>
          <w:sz w:val="20"/>
          <w:szCs w:val="20"/>
          <w:lang w:val="fr-BE"/>
        </w:rPr>
      </w:pPr>
    </w:p>
    <w:p w:rsidR="00AC12B4" w:rsidRPr="00C27636" w:rsidRDefault="00C27636">
      <w:pPr>
        <w:numPr>
          <w:ilvl w:val="0"/>
          <w:numId w:val="304"/>
        </w:numPr>
        <w:tabs>
          <w:tab w:val="left" w:pos="657"/>
        </w:tabs>
        <w:spacing w:line="187" w:lineRule="auto"/>
        <w:ind w:left="520" w:right="737" w:firstLine="5"/>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Une telle enquête n’existe pas au niveau de l’ONE et de Kaleido DG.</w:t>
      </w:r>
    </w:p>
    <w:p w:rsidR="00AC12B4" w:rsidRPr="00C27636" w:rsidRDefault="00AC12B4">
      <w:pPr>
        <w:spacing w:line="169" w:lineRule="exact"/>
        <w:rPr>
          <w:rFonts w:ascii="Calibri" w:eastAsia="Calibri" w:hAnsi="Calibri" w:cs="Calibri"/>
          <w:sz w:val="26"/>
          <w:szCs w:val="26"/>
          <w:vertAlign w:val="superscript"/>
          <w:lang w:val="fr-BE"/>
        </w:rPr>
      </w:pPr>
    </w:p>
    <w:p w:rsidR="00AC12B4" w:rsidRPr="00C27636" w:rsidRDefault="00C27636">
      <w:pPr>
        <w:numPr>
          <w:ilvl w:val="0"/>
          <w:numId w:val="304"/>
        </w:numPr>
        <w:tabs>
          <w:tab w:val="left" w:pos="669"/>
        </w:tabs>
        <w:spacing w:line="189" w:lineRule="auto"/>
        <w:ind w:left="520" w:right="737" w:firstLine="5"/>
        <w:jc w:val="both"/>
        <w:rPr>
          <w:rFonts w:ascii="Calibri" w:eastAsia="Calibri" w:hAnsi="Calibri" w:cs="Calibri"/>
          <w:sz w:val="26"/>
          <w:szCs w:val="26"/>
          <w:vertAlign w:val="superscript"/>
          <w:lang w:val="nl-NL"/>
        </w:rPr>
      </w:pPr>
      <w:r w:rsidRPr="00C27636">
        <w:rPr>
          <w:rFonts w:ascii="Calibri" w:eastAsia="Calibri" w:hAnsi="Calibri" w:cs="Calibri"/>
          <w:sz w:val="20"/>
          <w:szCs w:val="20"/>
          <w:lang w:val="nl-NL"/>
        </w:rPr>
        <w:t xml:space="preserve">Kind en Gezin, </w:t>
      </w:r>
      <w:r w:rsidRPr="00C27636">
        <w:rPr>
          <w:rFonts w:ascii="Calibri" w:eastAsia="Calibri" w:hAnsi="Calibri" w:cs="Calibri"/>
          <w:i/>
          <w:iCs/>
          <w:sz w:val="20"/>
          <w:szCs w:val="20"/>
          <w:lang w:val="nl-NL"/>
        </w:rPr>
        <w:t>Buitenschoolse kinderopvang</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 xml:space="preserve">en vrijetijdsbesteding in Vlaanderen, </w:t>
      </w:r>
      <w:r w:rsidRPr="00C27636">
        <w:rPr>
          <w:rFonts w:ascii="Calibri" w:eastAsia="Calibri" w:hAnsi="Calibri" w:cs="Calibri"/>
          <w:sz w:val="20"/>
          <w:szCs w:val="20"/>
          <w:lang w:val="nl-NL"/>
        </w:rPr>
        <w:t>2013,</w:t>
      </w:r>
    </w:p>
    <w:p w:rsidR="00AC12B4" w:rsidRPr="00C27636" w:rsidRDefault="00AC12B4">
      <w:pPr>
        <w:spacing w:line="121" w:lineRule="exact"/>
        <w:rPr>
          <w:sz w:val="20"/>
          <w:szCs w:val="20"/>
          <w:lang w:val="nl-NL"/>
        </w:rPr>
      </w:pPr>
    </w:p>
    <w:p w:rsidR="00AC12B4" w:rsidRPr="00C27636" w:rsidRDefault="00C27636">
      <w:pPr>
        <w:rPr>
          <w:sz w:val="20"/>
          <w:szCs w:val="20"/>
          <w:lang w:val="fr-BE"/>
        </w:rPr>
      </w:pPr>
      <w:r w:rsidRPr="00C27636">
        <w:rPr>
          <w:rFonts w:ascii="Calibri" w:eastAsia="Calibri" w:hAnsi="Calibri" w:cs="Calibri"/>
          <w:lang w:val="fr-BE"/>
        </w:rPr>
        <w:t>164</w:t>
      </w:r>
    </w:p>
    <w:p w:rsidR="00AC12B4" w:rsidRPr="00C27636" w:rsidRDefault="00AC12B4">
      <w:pPr>
        <w:rPr>
          <w:lang w:val="fr-BE"/>
        </w:rPr>
        <w:sectPr w:rsidR="00AC12B4" w:rsidRPr="00C27636">
          <w:type w:val="continuous"/>
          <w:pgSz w:w="12080" w:h="17179"/>
          <w:pgMar w:top="1440" w:right="1440" w:bottom="659" w:left="454" w:header="0" w:footer="0" w:gutter="0"/>
          <w:cols w:num="3" w:space="720" w:equalWidth="0">
            <w:col w:w="330" w:space="497"/>
            <w:col w:w="4040" w:space="180"/>
            <w:col w:w="5137"/>
          </w:cols>
        </w:sectPr>
      </w:pPr>
    </w:p>
    <w:p w:rsidR="00AC12B4" w:rsidRPr="00C27636" w:rsidRDefault="00C27636">
      <w:pPr>
        <w:spacing w:line="163" w:lineRule="exact"/>
        <w:rPr>
          <w:sz w:val="20"/>
          <w:szCs w:val="20"/>
          <w:lang w:val="fr-BE"/>
        </w:rPr>
      </w:pPr>
      <w:bookmarkStart w:id="164" w:name="page165"/>
      <w:bookmarkEnd w:id="164"/>
      <w:r>
        <w:rPr>
          <w:noProof/>
          <w:sz w:val="20"/>
          <w:szCs w:val="20"/>
        </w:rPr>
        <w:lastRenderedPageBreak/>
        <w:drawing>
          <wp:anchor distT="0" distB="0" distL="114300" distR="114300" simplePos="0" relativeHeight="251813376" behindDoc="1" locked="0" layoutInCell="0" allowOverlap="1">
            <wp:simplePos x="0" y="0"/>
            <wp:positionH relativeFrom="page">
              <wp:posOffset>6891655</wp:posOffset>
            </wp:positionH>
            <wp:positionV relativeFrom="page">
              <wp:posOffset>0</wp:posOffset>
            </wp:positionV>
            <wp:extent cx="777240" cy="10908665"/>
            <wp:effectExtent l="0" t="0" r="0" b="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293">
                      <a:clrChange>
                        <a:clrFrom>
                          <a:srgbClr val="FFFFFF"/>
                        </a:clrFrom>
                        <a:clrTo>
                          <a:srgbClr val="FFFFFF">
                            <a:alpha val="0"/>
                          </a:srgbClr>
                        </a:clrTo>
                      </a:clrChange>
                      <a:extLst/>
                    </a:blip>
                    <a:srcRect/>
                    <a:stretch>
                      <a:fillRect/>
                    </a:stretch>
                  </pic:blipFill>
                  <pic:spPr bwMode="auto">
                    <a:xfrm>
                      <a:off x="0" y="0"/>
                      <a:ext cx="777240" cy="10908665"/>
                    </a:xfrm>
                    <a:prstGeom prst="rect">
                      <a:avLst/>
                    </a:prstGeom>
                    <a:noFill/>
                  </pic:spPr>
                </pic:pic>
              </a:graphicData>
            </a:graphic>
          </wp:anchor>
        </w:drawing>
      </w:r>
    </w:p>
    <w:p w:rsidR="00AC12B4" w:rsidRPr="00C27636" w:rsidRDefault="00C27636">
      <w:pPr>
        <w:tabs>
          <w:tab w:val="left" w:pos="5140"/>
        </w:tabs>
        <w:ind w:left="560"/>
        <w:rPr>
          <w:sz w:val="20"/>
          <w:szCs w:val="20"/>
          <w:lang w:val="fr-BE"/>
        </w:rPr>
      </w:pPr>
      <w:r w:rsidRPr="00C27636">
        <w:rPr>
          <w:rFonts w:ascii="Calibri" w:eastAsia="Calibri" w:hAnsi="Calibri" w:cs="Calibri"/>
          <w:lang w:val="fr-BE"/>
        </w:rPr>
        <w:t>La  répartition  géographique  des  places</w:t>
      </w:r>
      <w:r w:rsidRPr="00C27636">
        <w:rPr>
          <w:sz w:val="20"/>
          <w:szCs w:val="20"/>
          <w:lang w:val="fr-BE"/>
        </w:rPr>
        <w:tab/>
      </w:r>
      <w:r w:rsidRPr="00C27636">
        <w:rPr>
          <w:rFonts w:ascii="Calibri" w:eastAsia="Calibri" w:hAnsi="Calibri" w:cs="Calibri"/>
          <w:lang w:val="fr-BE"/>
        </w:rPr>
        <w:t>d'enfants. La densité de ces places varie de</w:t>
      </w:r>
    </w:p>
    <w:p w:rsidR="00AC12B4" w:rsidRPr="00C27636" w:rsidRDefault="00C27636">
      <w:pPr>
        <w:tabs>
          <w:tab w:val="left" w:pos="5140"/>
        </w:tabs>
        <w:ind w:left="560"/>
        <w:rPr>
          <w:sz w:val="20"/>
          <w:szCs w:val="20"/>
          <w:lang w:val="fr-BE"/>
        </w:rPr>
      </w:pPr>
      <w:r w:rsidRPr="00C27636">
        <w:rPr>
          <w:rFonts w:ascii="Calibri" w:eastAsia="Calibri" w:hAnsi="Calibri" w:cs="Calibri"/>
          <w:lang w:val="fr-BE"/>
        </w:rPr>
        <w:t>d’accueil n’est pas homogène. A Bruxelles</w:t>
      </w:r>
      <w:r w:rsidRPr="00C27636">
        <w:rPr>
          <w:sz w:val="20"/>
          <w:szCs w:val="20"/>
          <w:lang w:val="fr-BE"/>
        </w:rPr>
        <w:tab/>
      </w:r>
      <w:r w:rsidRPr="00C27636">
        <w:rPr>
          <w:rFonts w:ascii="Calibri" w:eastAsia="Calibri" w:hAnsi="Calibri" w:cs="Calibri"/>
          <w:lang w:val="fr-BE"/>
        </w:rPr>
        <w:t>9 pour 100 enfants à Anderlecht à 31% à</w:t>
      </w:r>
    </w:p>
    <w:p w:rsidR="00AC12B4" w:rsidRPr="00C27636" w:rsidRDefault="00C27636">
      <w:pPr>
        <w:tabs>
          <w:tab w:val="left" w:pos="5140"/>
        </w:tabs>
        <w:spacing w:line="230" w:lineRule="auto"/>
        <w:ind w:left="560"/>
        <w:rPr>
          <w:sz w:val="20"/>
          <w:szCs w:val="20"/>
          <w:lang w:val="fr-BE"/>
        </w:rPr>
      </w:pPr>
      <w:r w:rsidRPr="00C27636">
        <w:rPr>
          <w:rFonts w:ascii="Calibri" w:eastAsia="Calibri" w:hAnsi="Calibri" w:cs="Calibri"/>
          <w:lang w:val="fr-BE"/>
        </w:rPr>
        <w:t>par exemple, l’offre est très variable selon</w:t>
      </w:r>
      <w:r w:rsidRPr="00C27636">
        <w:rPr>
          <w:sz w:val="20"/>
          <w:szCs w:val="20"/>
          <w:lang w:val="fr-BE"/>
        </w:rPr>
        <w:tab/>
      </w:r>
      <w:r w:rsidRPr="00C27636">
        <w:rPr>
          <w:rFonts w:ascii="Calibri" w:eastAsia="Calibri" w:hAnsi="Calibri" w:cs="Calibri"/>
          <w:sz w:val="21"/>
          <w:szCs w:val="21"/>
          <w:lang w:val="fr-BE"/>
        </w:rPr>
        <w:t>Watermael-Boitsfort et à Uccle</w:t>
      </w:r>
      <w:r w:rsidRPr="00C27636">
        <w:rPr>
          <w:rFonts w:ascii="Calibri" w:eastAsia="Calibri" w:hAnsi="Calibri" w:cs="Calibri"/>
          <w:sz w:val="26"/>
          <w:szCs w:val="26"/>
          <w:vertAlign w:val="superscript"/>
          <w:lang w:val="fr-BE"/>
        </w:rPr>
        <w:t>8</w:t>
      </w:r>
      <w:r w:rsidRPr="00C27636">
        <w:rPr>
          <w:rFonts w:ascii="Calibri" w:eastAsia="Calibri" w:hAnsi="Calibri" w:cs="Calibri"/>
          <w:sz w:val="21"/>
          <w:szCs w:val="21"/>
          <w:lang w:val="fr-BE"/>
        </w:rPr>
        <w:t>.</w:t>
      </w:r>
    </w:p>
    <w:p w:rsidR="00AC12B4" w:rsidRPr="00C27636" w:rsidRDefault="00C27636">
      <w:pPr>
        <w:spacing w:line="208" w:lineRule="auto"/>
        <w:ind w:left="560"/>
        <w:rPr>
          <w:sz w:val="20"/>
          <w:szCs w:val="20"/>
          <w:lang w:val="fr-BE"/>
        </w:rPr>
      </w:pPr>
      <w:r w:rsidRPr="00C27636">
        <w:rPr>
          <w:rFonts w:ascii="Calibri" w:eastAsia="Calibri" w:hAnsi="Calibri" w:cs="Calibri"/>
          <w:lang w:val="fr-BE"/>
        </w:rPr>
        <w:t>le quartier. Les quartiers les plus favorisés</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814400" behindDoc="1" locked="0" layoutInCell="0" allowOverlap="1">
            <wp:simplePos x="0" y="0"/>
            <wp:positionH relativeFrom="column">
              <wp:posOffset>164465</wp:posOffset>
            </wp:positionH>
            <wp:positionV relativeFrom="paragraph">
              <wp:posOffset>31115</wp:posOffset>
            </wp:positionV>
            <wp:extent cx="3227705" cy="3282950"/>
            <wp:effectExtent l="0" t="0" r="0" b="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94">
                      <a:extLst/>
                    </a:blip>
                    <a:srcRect/>
                    <a:stretch>
                      <a:fillRect/>
                    </a:stretch>
                  </pic:blipFill>
                  <pic:spPr bwMode="auto">
                    <a:xfrm>
                      <a:off x="0" y="0"/>
                      <a:ext cx="3227705" cy="3282950"/>
                    </a:xfrm>
                    <a:prstGeom prst="rect">
                      <a:avLst/>
                    </a:prstGeom>
                    <a:noFill/>
                  </pic:spPr>
                </pic:pic>
              </a:graphicData>
            </a:graphic>
          </wp:anchor>
        </w:drawing>
      </w:r>
    </w:p>
    <w:p w:rsidR="00AC12B4" w:rsidRPr="00C27636" w:rsidRDefault="00AC12B4">
      <w:pPr>
        <w:rPr>
          <w:lang w:val="fr-BE"/>
        </w:rPr>
        <w:sectPr w:rsidR="00AC12B4" w:rsidRPr="00C27636">
          <w:pgSz w:w="12080" w:h="17179"/>
          <w:pgMar w:top="1440" w:right="489" w:bottom="659" w:left="1440" w:header="0" w:footer="0" w:gutter="0"/>
          <w:cols w:space="720" w:equalWidth="0">
            <w:col w:w="10148"/>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7" w:lineRule="exact"/>
        <w:rPr>
          <w:sz w:val="20"/>
          <w:szCs w:val="20"/>
          <w:lang w:val="fr-BE"/>
        </w:rPr>
      </w:pPr>
    </w:p>
    <w:p w:rsidR="00AC12B4" w:rsidRPr="00C27636" w:rsidRDefault="00C27636">
      <w:pPr>
        <w:spacing w:line="215" w:lineRule="auto"/>
        <w:ind w:left="560" w:right="240"/>
        <w:rPr>
          <w:sz w:val="20"/>
          <w:szCs w:val="20"/>
          <w:lang w:val="fr-BE"/>
        </w:rPr>
      </w:pPr>
      <w:r w:rsidRPr="00C27636">
        <w:rPr>
          <w:rFonts w:ascii="Calibri" w:eastAsia="Calibri" w:hAnsi="Calibri" w:cs="Calibri"/>
          <w:b/>
          <w:bCs/>
          <w:color w:val="4F81BD"/>
          <w:sz w:val="18"/>
          <w:szCs w:val="18"/>
          <w:lang w:val="fr-BE"/>
        </w:rPr>
        <w:t xml:space="preserve">Figure 3. Nombre de places par enfant par quartier à Bruxelles en 2013 </w:t>
      </w:r>
      <w:r w:rsidRPr="00C27636">
        <w:rPr>
          <w:rFonts w:ascii="Arial" w:eastAsia="Arial" w:hAnsi="Arial" w:cs="Arial"/>
          <w:b/>
          <w:bCs/>
          <w:color w:val="4F81BD"/>
          <w:sz w:val="16"/>
          <w:szCs w:val="16"/>
          <w:lang w:val="fr-BE"/>
        </w:rPr>
        <w:t>(Note de synthèse Brussels studies)</w:t>
      </w:r>
    </w:p>
    <w:p w:rsidR="00AC12B4" w:rsidRPr="00C27636" w:rsidRDefault="00AC12B4">
      <w:pPr>
        <w:spacing w:line="200" w:lineRule="exact"/>
        <w:rPr>
          <w:sz w:val="20"/>
          <w:szCs w:val="20"/>
          <w:lang w:val="fr-BE"/>
        </w:rPr>
      </w:pPr>
    </w:p>
    <w:p w:rsidR="00AC12B4" w:rsidRPr="00C27636" w:rsidRDefault="00AC12B4">
      <w:pPr>
        <w:spacing w:line="209" w:lineRule="exact"/>
        <w:rPr>
          <w:sz w:val="20"/>
          <w:szCs w:val="20"/>
          <w:lang w:val="fr-BE"/>
        </w:rPr>
      </w:pPr>
    </w:p>
    <w:p w:rsidR="00AC12B4" w:rsidRPr="00C27636" w:rsidRDefault="00C27636">
      <w:pPr>
        <w:spacing w:line="229" w:lineRule="auto"/>
        <w:ind w:left="560" w:right="520"/>
        <w:jc w:val="both"/>
        <w:rPr>
          <w:sz w:val="20"/>
          <w:szCs w:val="20"/>
          <w:lang w:val="fr-BE"/>
        </w:rPr>
      </w:pPr>
      <w:r w:rsidRPr="00C27636">
        <w:rPr>
          <w:rFonts w:ascii="Calibri" w:eastAsia="Calibri" w:hAnsi="Calibri" w:cs="Calibri"/>
          <w:lang w:val="fr-BE"/>
        </w:rPr>
        <w:t xml:space="preserve">en nombre de places dans </w:t>
      </w:r>
      <w:r w:rsidRPr="00C27636">
        <w:rPr>
          <w:rFonts w:ascii="Calibri" w:eastAsia="Calibri" w:hAnsi="Calibri" w:cs="Calibri"/>
          <w:lang w:val="fr-BE"/>
        </w:rPr>
        <w:t>un milieu d’accueil par enfant se situent surtout dans la deuxième couronne bruxelloise et le quartier des institutions européennes</w:t>
      </w:r>
      <w:r w:rsidRPr="00C27636">
        <w:rPr>
          <w:rFonts w:ascii="Calibri" w:eastAsia="Calibri" w:hAnsi="Calibri" w:cs="Calibri"/>
          <w:sz w:val="27"/>
          <w:szCs w:val="27"/>
          <w:vertAlign w:val="superscript"/>
          <w:lang w:val="fr-BE"/>
        </w:rPr>
        <w:t>7</w:t>
      </w:r>
      <w:r w:rsidRPr="00C27636">
        <w:rPr>
          <w:rFonts w:ascii="Calibri" w:eastAsia="Calibri" w:hAnsi="Calibri" w:cs="Calibri"/>
          <w:lang w:val="fr-BE"/>
        </w:rPr>
        <w:t>. Cette iniquité en terme de répartition géographique est encore plus frappante lorsqu’il s’agit des places à tarification s</w:t>
      </w:r>
      <w:r w:rsidRPr="00C27636">
        <w:rPr>
          <w:rFonts w:ascii="Calibri" w:eastAsia="Calibri" w:hAnsi="Calibri" w:cs="Calibri"/>
          <w:lang w:val="fr-BE"/>
        </w:rPr>
        <w:t>ociale ou selon le revenu des parents et non réservées à une catégorie spécifique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15424" behindDoc="1" locked="0" layoutInCell="0" allowOverlap="1">
                <wp:simplePos x="0" y="0"/>
                <wp:positionH relativeFrom="column">
                  <wp:posOffset>359410</wp:posOffset>
                </wp:positionH>
                <wp:positionV relativeFrom="paragraph">
                  <wp:posOffset>234315</wp:posOffset>
                </wp:positionV>
                <wp:extent cx="2461895" cy="0"/>
                <wp:effectExtent l="0" t="0" r="0" b="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618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8.45pt" to="222.15pt,18.4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0" w:lineRule="exact"/>
        <w:rPr>
          <w:sz w:val="20"/>
          <w:szCs w:val="20"/>
          <w:lang w:val="fr-BE"/>
        </w:rPr>
      </w:pPr>
    </w:p>
    <w:p w:rsidR="00AC12B4" w:rsidRPr="00C27636" w:rsidRDefault="00C27636">
      <w:pPr>
        <w:spacing w:line="217" w:lineRule="auto"/>
        <w:ind w:left="560" w:right="520"/>
        <w:jc w:val="both"/>
        <w:rPr>
          <w:sz w:val="20"/>
          <w:szCs w:val="20"/>
          <w:lang w:val="fr-BE"/>
        </w:rPr>
      </w:pPr>
      <w:r w:rsidRPr="00C27636">
        <w:rPr>
          <w:rFonts w:ascii="Calibri" w:eastAsia="Calibri" w:hAnsi="Calibri" w:cs="Calibri"/>
          <w:sz w:val="20"/>
          <w:szCs w:val="20"/>
          <w:lang w:val="fr-BE"/>
        </w:rPr>
        <w:t>tableau “utilisation accueil de la petite enfance selon le groupe cible”.</w:t>
      </w:r>
    </w:p>
    <w:p w:rsidR="00AC12B4" w:rsidRPr="00C27636" w:rsidRDefault="00AC12B4">
      <w:pPr>
        <w:spacing w:line="121" w:lineRule="exact"/>
        <w:rPr>
          <w:sz w:val="20"/>
          <w:szCs w:val="20"/>
          <w:lang w:val="fr-BE"/>
        </w:rPr>
      </w:pPr>
    </w:p>
    <w:p w:rsidR="00AC12B4" w:rsidRPr="00C27636" w:rsidRDefault="00C27636">
      <w:pPr>
        <w:ind w:left="560"/>
        <w:rPr>
          <w:sz w:val="20"/>
          <w:szCs w:val="20"/>
          <w:lang w:val="nl-NL"/>
        </w:rPr>
      </w:pPr>
      <w:r w:rsidRPr="00C27636">
        <w:rPr>
          <w:rFonts w:ascii="Calibri" w:eastAsia="Calibri" w:hAnsi="Calibri" w:cs="Calibri"/>
          <w:sz w:val="20"/>
          <w:szCs w:val="20"/>
          <w:lang w:val="nl-NL"/>
        </w:rPr>
        <w:t>Voir aussi Kind en Gezin</w:t>
      </w:r>
      <w:r w:rsidRPr="00C27636">
        <w:rPr>
          <w:rFonts w:ascii="Calibri" w:eastAsia="Calibri" w:hAnsi="Calibri" w:cs="Calibri"/>
          <w:i/>
          <w:iCs/>
          <w:sz w:val="20"/>
          <w:szCs w:val="20"/>
          <w:lang w:val="nl-NL"/>
        </w:rPr>
        <w:t>, Kind in Vlaanderen</w:t>
      </w:r>
    </w:p>
    <w:p w:rsidR="00AC12B4" w:rsidRPr="00C27636" w:rsidRDefault="00AC12B4">
      <w:pPr>
        <w:spacing w:line="45" w:lineRule="exact"/>
        <w:rPr>
          <w:sz w:val="20"/>
          <w:szCs w:val="20"/>
          <w:lang w:val="nl-NL"/>
        </w:rPr>
      </w:pPr>
    </w:p>
    <w:p w:rsidR="00AC12B4" w:rsidRPr="00C27636" w:rsidRDefault="00C27636">
      <w:pPr>
        <w:spacing w:line="232" w:lineRule="auto"/>
        <w:ind w:left="560" w:right="520"/>
        <w:rPr>
          <w:rFonts w:ascii="Calibri" w:eastAsia="Calibri" w:hAnsi="Calibri" w:cs="Calibri"/>
          <w:color w:val="0000FF"/>
          <w:sz w:val="20"/>
          <w:szCs w:val="20"/>
          <w:lang w:val="nl-NL"/>
        </w:rPr>
      </w:pPr>
      <w:r w:rsidRPr="00C27636">
        <w:rPr>
          <w:rFonts w:ascii="Calibri" w:eastAsia="Calibri" w:hAnsi="Calibri" w:cs="Calibri"/>
          <w:i/>
          <w:iCs/>
          <w:sz w:val="20"/>
          <w:szCs w:val="20"/>
          <w:lang w:val="nl-NL"/>
        </w:rPr>
        <w:t>2014</w:t>
      </w:r>
      <w:r w:rsidRPr="00C27636">
        <w:rPr>
          <w:rFonts w:ascii="Calibri" w:eastAsia="Calibri" w:hAnsi="Calibri" w:cs="Calibri"/>
          <w:sz w:val="20"/>
          <w:szCs w:val="20"/>
          <w:lang w:val="nl-NL"/>
        </w:rPr>
        <w:t>, 110-111,</w:t>
      </w:r>
      <w:r w:rsidRPr="00C27636">
        <w:rPr>
          <w:rFonts w:ascii="Calibri" w:eastAsia="Calibri" w:hAnsi="Calibri" w:cs="Calibri"/>
          <w:i/>
          <w:iCs/>
          <w:sz w:val="20"/>
          <w:szCs w:val="20"/>
          <w:lang w:val="nl-NL"/>
        </w:rPr>
        <w:t xml:space="preserve"> </w:t>
      </w:r>
      <w:hyperlink r:id="rId295">
        <w:r w:rsidRPr="00C27636">
          <w:rPr>
            <w:rFonts w:ascii="Calibri" w:eastAsia="Calibri" w:hAnsi="Calibri" w:cs="Calibri"/>
            <w:color w:val="0000FF"/>
            <w:sz w:val="20"/>
            <w:szCs w:val="20"/>
            <w:u w:val="single"/>
            <w:lang w:val="nl-NL"/>
          </w:rPr>
          <w:t>http://www.kindengezin.be/img/kind-in-</w:t>
        </w:r>
      </w:hyperlink>
      <w:hyperlink r:id="rId296">
        <w:r w:rsidRPr="00C27636">
          <w:rPr>
            <w:rFonts w:ascii="Calibri" w:eastAsia="Calibri" w:hAnsi="Calibri" w:cs="Calibri"/>
            <w:color w:val="0000FF"/>
            <w:sz w:val="20"/>
            <w:szCs w:val="20"/>
            <w:u w:val="single"/>
            <w:lang w:val="nl-NL"/>
          </w:rPr>
          <w:t>vlaanderen-2014.pdf</w:t>
        </w:r>
        <w:r w:rsidRPr="00C27636">
          <w:rPr>
            <w:rFonts w:ascii="Calibri" w:eastAsia="Calibri" w:hAnsi="Calibri" w:cs="Calibri"/>
            <w:color w:val="1F497D"/>
            <w:sz w:val="20"/>
            <w:szCs w:val="20"/>
            <w:lang w:val="nl-NL"/>
          </w:rPr>
          <w:t>;</w:t>
        </w:r>
        <w:r w:rsidRPr="00C27636">
          <w:rPr>
            <w:rFonts w:ascii="Calibri" w:eastAsia="Calibri" w:hAnsi="Calibri" w:cs="Calibri"/>
            <w:color w:val="0000FF"/>
            <w:sz w:val="20"/>
            <w:szCs w:val="20"/>
            <w:lang w:val="nl-NL"/>
          </w:rPr>
          <w:t xml:space="preserve"> </w:t>
        </w:r>
      </w:hyperlink>
      <w:r w:rsidRPr="00C27636">
        <w:rPr>
          <w:rFonts w:ascii="Calibri" w:eastAsia="Calibri" w:hAnsi="Calibri" w:cs="Calibri"/>
          <w:color w:val="000000"/>
          <w:sz w:val="20"/>
          <w:szCs w:val="20"/>
          <w:lang w:val="nl-NL"/>
        </w:rPr>
        <w:t>Steunpunt</w:t>
      </w:r>
      <w:r w:rsidRPr="00C27636">
        <w:rPr>
          <w:rFonts w:ascii="Calibri" w:eastAsia="Calibri" w:hAnsi="Calibri" w:cs="Calibri"/>
          <w:color w:val="0000FF"/>
          <w:sz w:val="20"/>
          <w:szCs w:val="20"/>
          <w:lang w:val="nl-NL"/>
        </w:rPr>
        <w:t xml:space="preserve"> </w:t>
      </w:r>
      <w:r w:rsidRPr="00C27636">
        <w:rPr>
          <w:rFonts w:ascii="Calibri" w:eastAsia="Calibri" w:hAnsi="Calibri" w:cs="Calibri"/>
          <w:color w:val="000000"/>
          <w:sz w:val="20"/>
          <w:szCs w:val="20"/>
          <w:lang w:val="nl-NL"/>
        </w:rPr>
        <w:t>Welzijn,</w:t>
      </w:r>
      <w:r w:rsidRPr="00C27636">
        <w:rPr>
          <w:rFonts w:ascii="Calibri" w:eastAsia="Calibri" w:hAnsi="Calibri" w:cs="Calibri"/>
          <w:color w:val="0000FF"/>
          <w:sz w:val="20"/>
          <w:szCs w:val="20"/>
          <w:lang w:val="nl-NL"/>
        </w:rPr>
        <w:t xml:space="preserve"> </w:t>
      </w:r>
      <w:r w:rsidRPr="00C27636">
        <w:rPr>
          <w:rFonts w:ascii="Calibri" w:eastAsia="Calibri" w:hAnsi="Calibri" w:cs="Calibri"/>
          <w:color w:val="000000"/>
          <w:sz w:val="20"/>
          <w:szCs w:val="20"/>
          <w:lang w:val="nl-NL"/>
        </w:rPr>
        <w:t xml:space="preserve">Volksgezondheid en Gezin, </w:t>
      </w:r>
      <w:r w:rsidRPr="00C27636">
        <w:rPr>
          <w:rFonts w:ascii="Calibri" w:eastAsia="Calibri" w:hAnsi="Calibri" w:cs="Calibri"/>
          <w:i/>
          <w:iCs/>
          <w:color w:val="000000"/>
          <w:sz w:val="20"/>
          <w:szCs w:val="20"/>
          <w:lang w:val="nl-NL"/>
        </w:rPr>
        <w:t>Het gebruik van</w:t>
      </w:r>
      <w:r w:rsidRPr="00C27636">
        <w:rPr>
          <w:rFonts w:ascii="Calibri" w:eastAsia="Calibri" w:hAnsi="Calibri" w:cs="Calibri"/>
          <w:color w:val="000000"/>
          <w:sz w:val="20"/>
          <w:szCs w:val="20"/>
          <w:lang w:val="nl-NL"/>
        </w:rPr>
        <w:t xml:space="preserve"> </w:t>
      </w:r>
      <w:r w:rsidRPr="00C27636">
        <w:rPr>
          <w:rFonts w:ascii="Calibri" w:eastAsia="Calibri" w:hAnsi="Calibri" w:cs="Calibri"/>
          <w:i/>
          <w:iCs/>
          <w:color w:val="000000"/>
          <w:sz w:val="20"/>
          <w:szCs w:val="20"/>
          <w:lang w:val="nl-NL"/>
        </w:rPr>
        <w:t>opvang voor kinderen jonger dan drie jaar in het Vlaamse gewest</w:t>
      </w:r>
      <w:r w:rsidRPr="00C27636">
        <w:rPr>
          <w:rFonts w:ascii="Calibri" w:eastAsia="Calibri" w:hAnsi="Calibri" w:cs="Calibri"/>
          <w:color w:val="000000"/>
          <w:sz w:val="20"/>
          <w:szCs w:val="20"/>
          <w:lang w:val="nl-NL"/>
        </w:rPr>
        <w:t>, Leuven, 2013,</w:t>
      </w:r>
    </w:p>
    <w:p w:rsidR="00AC12B4" w:rsidRPr="00C27636" w:rsidRDefault="00AC12B4">
      <w:pPr>
        <w:spacing w:line="171" w:lineRule="exact"/>
        <w:rPr>
          <w:sz w:val="20"/>
          <w:szCs w:val="20"/>
          <w:lang w:val="nl-NL"/>
        </w:rPr>
      </w:pPr>
    </w:p>
    <w:p w:rsidR="00AC12B4" w:rsidRPr="00C27636" w:rsidRDefault="00C27636">
      <w:pPr>
        <w:spacing w:line="216" w:lineRule="auto"/>
        <w:ind w:left="560" w:right="1000"/>
        <w:rPr>
          <w:rFonts w:ascii="Calibri" w:eastAsia="Calibri" w:hAnsi="Calibri" w:cs="Calibri"/>
          <w:color w:val="0000FF"/>
          <w:sz w:val="20"/>
          <w:szCs w:val="20"/>
          <w:u w:val="single"/>
          <w:lang w:val="nl-NL"/>
        </w:rPr>
      </w:pPr>
      <w:hyperlink r:id="rId297">
        <w:r w:rsidRPr="00C27636">
          <w:rPr>
            <w:rFonts w:ascii="Calibri" w:eastAsia="Calibri" w:hAnsi="Calibri" w:cs="Calibri"/>
            <w:color w:val="0000FF"/>
            <w:sz w:val="20"/>
            <w:szCs w:val="20"/>
            <w:u w:val="single"/>
            <w:lang w:val="nl-NL"/>
          </w:rPr>
          <w:t>http://www.kindengezin.be/img/gebruik-</w:t>
        </w:r>
      </w:hyperlink>
      <w:hyperlink r:id="rId298">
        <w:r w:rsidRPr="00C27636">
          <w:rPr>
            <w:rFonts w:ascii="Calibri" w:eastAsia="Calibri" w:hAnsi="Calibri" w:cs="Calibri"/>
            <w:color w:val="0000FF"/>
            <w:sz w:val="20"/>
            <w:szCs w:val="20"/>
            <w:u w:val="single"/>
            <w:lang w:val="nl-NL"/>
          </w:rPr>
          <w:t>kinderopvang-vlgewest2013.pdf</w:t>
        </w:r>
      </w:hyperlink>
    </w:p>
    <w:p w:rsidR="00AC12B4" w:rsidRPr="00C27636" w:rsidRDefault="00AC12B4">
      <w:pPr>
        <w:spacing w:line="168" w:lineRule="exact"/>
        <w:rPr>
          <w:sz w:val="20"/>
          <w:szCs w:val="20"/>
          <w:lang w:val="nl-NL"/>
        </w:rPr>
      </w:pPr>
    </w:p>
    <w:p w:rsidR="00AC12B4" w:rsidRPr="00C27636" w:rsidRDefault="00C27636">
      <w:pPr>
        <w:numPr>
          <w:ilvl w:val="0"/>
          <w:numId w:val="305"/>
        </w:numPr>
        <w:tabs>
          <w:tab w:val="left" w:pos="718"/>
        </w:tabs>
        <w:spacing w:line="217" w:lineRule="auto"/>
        <w:ind w:left="560" w:right="520" w:firstLine="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HUMBLET, P., AMERIJCKX, G., AUJEAN, S., EGUERRY, M., VANDENBROECK, M. et WAYENS, B.« Note de synthèse BSI. Les jeunes enfants à Bruxelles d'</w:t>
      </w:r>
      <w:r w:rsidRPr="00C27636">
        <w:rPr>
          <w:rFonts w:ascii="Calibri" w:eastAsia="Calibri" w:hAnsi="Calibri" w:cs="Calibri"/>
          <w:sz w:val="20"/>
          <w:szCs w:val="20"/>
          <w:lang w:val="fr-BE"/>
        </w:rPr>
        <w:t xml:space="preserve">une logique institutionnelle à une vision systémique », in </w:t>
      </w:r>
      <w:r w:rsidRPr="00C27636">
        <w:rPr>
          <w:rFonts w:ascii="Calibri" w:eastAsia="Calibri" w:hAnsi="Calibri" w:cs="Calibri"/>
          <w:i/>
          <w:iCs/>
          <w:sz w:val="20"/>
          <w:szCs w:val="20"/>
          <w:lang w:val="fr-BE"/>
        </w:rPr>
        <w:t>Brussels Studies</w:t>
      </w:r>
      <w:r w:rsidRPr="00C27636">
        <w:rPr>
          <w:rFonts w:ascii="Calibri" w:eastAsia="Calibri" w:hAnsi="Calibri" w:cs="Calibri"/>
          <w:sz w:val="20"/>
          <w:szCs w:val="20"/>
          <w:lang w:val="fr-BE"/>
        </w:rPr>
        <w:t>, N° 91,</w:t>
      </w:r>
    </w:p>
    <w:p w:rsidR="00AC12B4" w:rsidRPr="00C27636" w:rsidRDefault="00AC12B4">
      <w:pPr>
        <w:spacing w:line="4" w:lineRule="exact"/>
        <w:rPr>
          <w:rFonts w:ascii="Calibri" w:eastAsia="Calibri" w:hAnsi="Calibri" w:cs="Calibri"/>
          <w:sz w:val="26"/>
          <w:szCs w:val="26"/>
          <w:vertAlign w:val="superscript"/>
          <w:lang w:val="fr-BE"/>
        </w:rPr>
      </w:pPr>
    </w:p>
    <w:p w:rsidR="00AC12B4" w:rsidRDefault="00C27636">
      <w:pPr>
        <w:numPr>
          <w:ilvl w:val="0"/>
          <w:numId w:val="306"/>
        </w:numPr>
        <w:tabs>
          <w:tab w:val="left" w:pos="820"/>
        </w:tabs>
        <w:ind w:left="820" w:hanging="253"/>
        <w:rPr>
          <w:rFonts w:ascii="Calibri" w:eastAsia="Calibri" w:hAnsi="Calibri" w:cs="Calibri"/>
          <w:sz w:val="20"/>
          <w:szCs w:val="20"/>
        </w:rPr>
      </w:pPr>
      <w:r>
        <w:rPr>
          <w:rFonts w:ascii="Calibri" w:eastAsia="Calibri" w:hAnsi="Calibri" w:cs="Calibri"/>
          <w:sz w:val="20"/>
          <w:szCs w:val="20"/>
        </w:rPr>
        <w:t>septembre 2015, 12.</w:t>
      </w:r>
    </w:p>
    <w:p w:rsidR="00AC12B4" w:rsidRDefault="00AC12B4">
      <w:pPr>
        <w:spacing w:line="121" w:lineRule="exact"/>
        <w:rPr>
          <w:sz w:val="20"/>
          <w:szCs w:val="20"/>
        </w:rPr>
      </w:pPr>
    </w:p>
    <w:p w:rsidR="00AC12B4" w:rsidRDefault="00C27636">
      <w:pPr>
        <w:jc w:val="right"/>
        <w:rPr>
          <w:sz w:val="20"/>
          <w:szCs w:val="20"/>
        </w:rPr>
      </w:pPr>
      <w:r>
        <w:rPr>
          <w:rFonts w:ascii="Calibri" w:eastAsia="Calibri" w:hAnsi="Calibri" w:cs="Calibri"/>
        </w:rPr>
        <w:t>165</w:t>
      </w:r>
    </w:p>
    <w:p w:rsidR="00AC12B4" w:rsidRDefault="00C27636">
      <w:pPr>
        <w:spacing w:line="20" w:lineRule="exact"/>
        <w:rPr>
          <w:sz w:val="20"/>
          <w:szCs w:val="20"/>
        </w:rPr>
      </w:pPr>
      <w:r>
        <w:rPr>
          <w:sz w:val="20"/>
          <w:szCs w:val="20"/>
        </w:rPr>
        <w:br w:type="column"/>
      </w:r>
    </w:p>
    <w:p w:rsidR="00AC12B4" w:rsidRDefault="00AC12B4">
      <w:pPr>
        <w:spacing w:line="143" w:lineRule="exact"/>
        <w:rPr>
          <w:sz w:val="20"/>
          <w:szCs w:val="20"/>
        </w:rPr>
      </w:pPr>
    </w:p>
    <w:p w:rsidR="00AC12B4" w:rsidRDefault="00C27636">
      <w:pPr>
        <w:ind w:left="328"/>
        <w:rPr>
          <w:sz w:val="20"/>
          <w:szCs w:val="20"/>
        </w:rPr>
      </w:pPr>
      <w:r>
        <w:rPr>
          <w:rFonts w:ascii="Cambria" w:eastAsia="Cambria" w:hAnsi="Cambria" w:cs="Cambria"/>
          <w:b/>
          <w:bCs/>
          <w:i/>
          <w:iCs/>
          <w:color w:val="005022"/>
          <w:sz w:val="26"/>
          <w:szCs w:val="26"/>
        </w:rPr>
        <w:t>D’où viennent ces chiffres ?</w:t>
      </w:r>
    </w:p>
    <w:p w:rsidR="00AC12B4" w:rsidRDefault="00AC12B4">
      <w:pPr>
        <w:spacing w:line="168" w:lineRule="exact"/>
        <w:rPr>
          <w:sz w:val="20"/>
          <w:szCs w:val="20"/>
        </w:rPr>
      </w:pPr>
    </w:p>
    <w:p w:rsidR="00AC12B4" w:rsidRDefault="00C27636">
      <w:pPr>
        <w:numPr>
          <w:ilvl w:val="0"/>
          <w:numId w:val="307"/>
        </w:numPr>
        <w:tabs>
          <w:tab w:val="left" w:pos="1048"/>
        </w:tabs>
        <w:ind w:left="1048" w:hanging="355"/>
        <w:rPr>
          <w:rFonts w:ascii="Wingdings" w:eastAsia="Wingdings" w:hAnsi="Wingdings" w:cs="Wingdings"/>
          <w:color w:val="00923D"/>
        </w:rPr>
      </w:pPr>
      <w:r>
        <w:rPr>
          <w:rFonts w:ascii="Cambria" w:eastAsia="Cambria" w:hAnsi="Cambria" w:cs="Cambria"/>
          <w:i/>
          <w:iCs/>
          <w:color w:val="00923D"/>
        </w:rPr>
        <w:t>Données administratives</w:t>
      </w:r>
    </w:p>
    <w:p w:rsidR="00AC12B4" w:rsidRDefault="00AC12B4">
      <w:pPr>
        <w:spacing w:line="160" w:lineRule="exact"/>
        <w:rPr>
          <w:sz w:val="20"/>
          <w:szCs w:val="20"/>
        </w:rPr>
      </w:pPr>
    </w:p>
    <w:p w:rsidR="00AC12B4" w:rsidRPr="00C27636" w:rsidRDefault="00C27636">
      <w:pPr>
        <w:spacing w:line="228" w:lineRule="auto"/>
        <w:ind w:left="328" w:right="59" w:firstLine="7"/>
        <w:jc w:val="both"/>
        <w:rPr>
          <w:sz w:val="20"/>
          <w:szCs w:val="20"/>
          <w:lang w:val="fr-BE"/>
        </w:rPr>
      </w:pPr>
      <w:r w:rsidRPr="00C27636">
        <w:rPr>
          <w:rFonts w:ascii="Calibri" w:eastAsia="Calibri" w:hAnsi="Calibri" w:cs="Calibri"/>
          <w:lang w:val="fr-BE"/>
        </w:rPr>
        <w:t>Les données reprises ci-dessus</w:t>
      </w:r>
      <w:r w:rsidRPr="00C27636">
        <w:rPr>
          <w:rFonts w:ascii="Calibri" w:eastAsia="Calibri" w:hAnsi="Calibri" w:cs="Calibri"/>
          <w:sz w:val="27"/>
          <w:szCs w:val="27"/>
          <w:vertAlign w:val="superscript"/>
          <w:lang w:val="fr-BE"/>
        </w:rPr>
        <w:t>9</w:t>
      </w:r>
      <w:r w:rsidRPr="00C27636">
        <w:rPr>
          <w:rFonts w:ascii="Calibri" w:eastAsia="Calibri" w:hAnsi="Calibri" w:cs="Calibri"/>
          <w:lang w:val="fr-BE"/>
        </w:rPr>
        <w:t xml:space="preserve"> sont les données fournies par l’Office de la Naissance et de l’Enfance (ONE), Kind en Gezin et le Ministère de la Communauté germanophone.</w:t>
      </w:r>
    </w:p>
    <w:p w:rsidR="00AC12B4" w:rsidRPr="00C27636" w:rsidRDefault="00AC12B4">
      <w:pPr>
        <w:spacing w:line="129" w:lineRule="exact"/>
        <w:rPr>
          <w:sz w:val="20"/>
          <w:szCs w:val="20"/>
          <w:lang w:val="fr-BE"/>
        </w:rPr>
      </w:pPr>
    </w:p>
    <w:p w:rsidR="00AC12B4" w:rsidRDefault="00C27636">
      <w:pPr>
        <w:numPr>
          <w:ilvl w:val="0"/>
          <w:numId w:val="308"/>
        </w:numPr>
        <w:tabs>
          <w:tab w:val="left" w:pos="1028"/>
        </w:tabs>
        <w:ind w:left="1028" w:hanging="349"/>
        <w:rPr>
          <w:rFonts w:ascii="Wingdings" w:eastAsia="Wingdings" w:hAnsi="Wingdings" w:cs="Wingdings"/>
          <w:color w:val="00923D"/>
        </w:rPr>
      </w:pPr>
      <w:r>
        <w:rPr>
          <w:rFonts w:ascii="Cambria" w:eastAsia="Cambria" w:hAnsi="Cambria" w:cs="Cambria"/>
          <w:i/>
          <w:iCs/>
          <w:color w:val="00923D"/>
        </w:rPr>
        <w:t>Limite de la mesure</w:t>
      </w:r>
    </w:p>
    <w:p w:rsidR="00AC12B4" w:rsidRDefault="00AC12B4">
      <w:pPr>
        <w:spacing w:line="199" w:lineRule="exact"/>
        <w:rPr>
          <w:sz w:val="20"/>
          <w:szCs w:val="20"/>
        </w:rPr>
      </w:pPr>
    </w:p>
    <w:p w:rsidR="00AC12B4" w:rsidRPr="00C27636" w:rsidRDefault="00C27636">
      <w:pPr>
        <w:spacing w:line="232" w:lineRule="auto"/>
        <w:ind w:left="308" w:right="59" w:firstLine="10"/>
        <w:jc w:val="both"/>
        <w:rPr>
          <w:sz w:val="20"/>
          <w:szCs w:val="20"/>
          <w:lang w:val="fr-BE"/>
        </w:rPr>
      </w:pPr>
      <w:r w:rsidRPr="00C27636">
        <w:rPr>
          <w:rFonts w:ascii="Calibri" w:eastAsia="Calibri" w:hAnsi="Calibri" w:cs="Calibri"/>
          <w:lang w:val="fr-BE"/>
        </w:rPr>
        <w:t>Les données disponibles ne donnent aucune information sur la rencontre entre offre et demande.</w:t>
      </w:r>
      <w:r w:rsidRPr="00C27636">
        <w:rPr>
          <w:rFonts w:ascii="Calibri" w:eastAsia="Calibri" w:hAnsi="Calibri" w:cs="Calibri"/>
          <w:lang w:val="fr-BE"/>
        </w:rPr>
        <w:t xml:space="preserve"> Il est impossible de savoir combien d’enfants/ de familles souhaiteraient une place d’accueil sans y avoir accès.</w:t>
      </w:r>
    </w:p>
    <w:p w:rsidR="00AC12B4" w:rsidRPr="00C27636" w:rsidRDefault="00AC12B4">
      <w:pPr>
        <w:spacing w:line="212" w:lineRule="exact"/>
        <w:rPr>
          <w:sz w:val="20"/>
          <w:szCs w:val="20"/>
          <w:lang w:val="fr-BE"/>
        </w:rPr>
      </w:pPr>
    </w:p>
    <w:p w:rsidR="00AC12B4" w:rsidRDefault="00C27636">
      <w:pPr>
        <w:ind w:left="148"/>
        <w:rPr>
          <w:sz w:val="20"/>
          <w:szCs w:val="20"/>
        </w:rPr>
      </w:pPr>
      <w:r>
        <w:rPr>
          <w:rFonts w:ascii="Cambria" w:eastAsia="Cambria" w:hAnsi="Cambria" w:cs="Cambria"/>
          <w:b/>
          <w:bCs/>
          <w:i/>
          <w:iCs/>
          <w:color w:val="005022"/>
          <w:sz w:val="26"/>
          <w:szCs w:val="26"/>
        </w:rPr>
        <w:t>Pour aller plus loin</w:t>
      </w:r>
    </w:p>
    <w:p w:rsidR="00AC12B4" w:rsidRDefault="00AC12B4">
      <w:pPr>
        <w:spacing w:line="219" w:lineRule="exact"/>
        <w:rPr>
          <w:sz w:val="20"/>
          <w:szCs w:val="20"/>
        </w:rPr>
      </w:pPr>
    </w:p>
    <w:p w:rsidR="00AC12B4" w:rsidRPr="00C27636" w:rsidRDefault="00C27636">
      <w:pPr>
        <w:numPr>
          <w:ilvl w:val="0"/>
          <w:numId w:val="309"/>
        </w:numPr>
        <w:tabs>
          <w:tab w:val="left" w:pos="428"/>
        </w:tabs>
        <w:spacing w:line="228" w:lineRule="auto"/>
        <w:ind w:left="428" w:right="79" w:hanging="361"/>
        <w:rPr>
          <w:rFonts w:ascii="Symbol" w:eastAsia="Symbol" w:hAnsi="Symbol" w:cs="Symbol"/>
          <w:sz w:val="20"/>
          <w:szCs w:val="20"/>
          <w:lang w:val="fr-BE"/>
        </w:rPr>
      </w:pPr>
      <w:r w:rsidRPr="00C27636">
        <w:rPr>
          <w:rFonts w:ascii="Calibri" w:eastAsia="Calibri" w:hAnsi="Calibri" w:cs="Calibri"/>
          <w:b/>
          <w:bCs/>
          <w:i/>
          <w:iCs/>
          <w:sz w:val="20"/>
          <w:szCs w:val="20"/>
          <w:lang w:val="fr-BE"/>
        </w:rPr>
        <w:t>Accueil extra-scolaire pour enfants handicapés ou malades:</w:t>
      </w:r>
    </w:p>
    <w:p w:rsidR="00AC12B4" w:rsidRPr="00C27636" w:rsidRDefault="00AC12B4">
      <w:pPr>
        <w:spacing w:line="68" w:lineRule="exact"/>
        <w:rPr>
          <w:rFonts w:ascii="Symbol" w:eastAsia="Symbol" w:hAnsi="Symbol" w:cs="Symbol"/>
          <w:sz w:val="20"/>
          <w:szCs w:val="20"/>
          <w:lang w:val="fr-BE"/>
        </w:rPr>
      </w:pPr>
    </w:p>
    <w:p w:rsidR="00AC12B4" w:rsidRPr="00C27636" w:rsidRDefault="00C27636">
      <w:pPr>
        <w:spacing w:line="268" w:lineRule="auto"/>
        <w:ind w:left="848" w:right="79" w:hanging="360"/>
        <w:jc w:val="right"/>
        <w:rPr>
          <w:rFonts w:ascii="Symbol" w:eastAsia="Symbol" w:hAnsi="Symbol" w:cs="Symbol"/>
          <w:sz w:val="20"/>
          <w:szCs w:val="20"/>
          <w:lang w:val="fr-BE"/>
        </w:rPr>
      </w:pPr>
      <w:r w:rsidRPr="00C27636">
        <w:rPr>
          <w:rFonts w:ascii="Courier New" w:eastAsia="Courier New" w:hAnsi="Courier New" w:cs="Courier New"/>
          <w:sz w:val="20"/>
          <w:szCs w:val="20"/>
          <w:lang w:val="fr-BE"/>
        </w:rPr>
        <w:t xml:space="preserve">o  </w:t>
      </w:r>
      <w:r w:rsidRPr="00C27636">
        <w:rPr>
          <w:rFonts w:ascii="Calibri" w:eastAsia="Calibri" w:hAnsi="Calibri" w:cs="Calibri"/>
          <w:b/>
          <w:bCs/>
          <w:i/>
          <w:iCs/>
          <w:color w:val="005022"/>
          <w:sz w:val="20"/>
          <w:szCs w:val="20"/>
          <w:lang w:val="fr-BE"/>
        </w:rPr>
        <w:t>FWB : OEJAJ,</w:t>
      </w:r>
      <w:r w:rsidRPr="00C27636">
        <w:rPr>
          <w:rFonts w:ascii="Courier New" w:eastAsia="Courier New" w:hAnsi="Courier New" w:cs="Courier New"/>
          <w:sz w:val="20"/>
          <w:szCs w:val="20"/>
          <w:lang w:val="fr-BE"/>
        </w:rPr>
        <w:t xml:space="preserve"> </w:t>
      </w:r>
      <w:r w:rsidRPr="00C27636">
        <w:rPr>
          <w:rFonts w:ascii="Calibri" w:eastAsia="Calibri" w:hAnsi="Calibri" w:cs="Calibri"/>
          <w:b/>
          <w:bCs/>
          <w:color w:val="005022"/>
          <w:sz w:val="20"/>
          <w:szCs w:val="20"/>
          <w:lang w:val="fr-BE"/>
        </w:rPr>
        <w:t>L’accueil temps libre</w:t>
      </w:r>
      <w:r w:rsidRPr="00C27636">
        <w:rPr>
          <w:rFonts w:ascii="Courier New" w:eastAsia="Courier New" w:hAnsi="Courier New" w:cs="Courier New"/>
          <w:sz w:val="20"/>
          <w:szCs w:val="20"/>
          <w:lang w:val="fr-BE"/>
        </w:rPr>
        <w:t xml:space="preserve"> </w:t>
      </w:r>
      <w:r w:rsidRPr="00C27636">
        <w:rPr>
          <w:rFonts w:ascii="Calibri" w:eastAsia="Calibri" w:hAnsi="Calibri" w:cs="Calibri"/>
          <w:b/>
          <w:bCs/>
          <w:color w:val="005022"/>
          <w:sz w:val="20"/>
          <w:szCs w:val="20"/>
          <w:lang w:val="fr-BE"/>
        </w:rPr>
        <w:t>en FWB</w:t>
      </w:r>
      <w:r w:rsidRPr="00C27636">
        <w:rPr>
          <w:rFonts w:ascii="Calibri" w:eastAsia="Calibri" w:hAnsi="Calibri" w:cs="Calibri"/>
          <w:color w:val="000000"/>
          <w:sz w:val="20"/>
          <w:szCs w:val="20"/>
          <w:lang w:val="fr-BE"/>
        </w:rPr>
        <w:t>,</w:t>
      </w:r>
      <w:r w:rsidRPr="00C27636">
        <w:rPr>
          <w:rFonts w:ascii="Calibri" w:eastAsia="Calibri" w:hAnsi="Calibri" w:cs="Calibri"/>
          <w:b/>
          <w:bCs/>
          <w:color w:val="005022"/>
          <w:sz w:val="20"/>
          <w:szCs w:val="20"/>
          <w:lang w:val="fr-BE"/>
        </w:rPr>
        <w:t xml:space="preserve"> </w:t>
      </w:r>
      <w:r w:rsidRPr="00C27636">
        <w:rPr>
          <w:rFonts w:ascii="Calibri" w:eastAsia="Calibri" w:hAnsi="Calibri" w:cs="Calibri"/>
          <w:i/>
          <w:iCs/>
          <w:color w:val="000000"/>
          <w:sz w:val="20"/>
          <w:szCs w:val="20"/>
          <w:lang w:val="fr-BE"/>
        </w:rPr>
        <w:t xml:space="preserve">Synthèse de </w:t>
      </w:r>
      <w:r w:rsidRPr="00C27636">
        <w:rPr>
          <w:rFonts w:ascii="Calibri" w:eastAsia="Calibri" w:hAnsi="Calibri" w:cs="Calibri"/>
          <w:i/>
          <w:iCs/>
          <w:color w:val="000000"/>
          <w:sz w:val="20"/>
          <w:szCs w:val="20"/>
          <w:lang w:val="fr-BE"/>
        </w:rPr>
        <w:t>l'état des lieux</w:t>
      </w:r>
      <w:r w:rsidRPr="00C27636">
        <w:rPr>
          <w:rFonts w:ascii="Calibri" w:eastAsia="Calibri" w:hAnsi="Calibri" w:cs="Calibri"/>
          <w:b/>
          <w:bCs/>
          <w:color w:val="005022"/>
          <w:sz w:val="20"/>
          <w:szCs w:val="20"/>
          <w:lang w:val="fr-BE"/>
        </w:rPr>
        <w:t xml:space="preserve"> </w:t>
      </w:r>
      <w:r w:rsidRPr="00C27636">
        <w:rPr>
          <w:rFonts w:ascii="Calibri" w:eastAsia="Calibri" w:hAnsi="Calibri" w:cs="Calibri"/>
          <w:i/>
          <w:iCs/>
          <w:color w:val="000000"/>
          <w:sz w:val="20"/>
          <w:szCs w:val="20"/>
          <w:lang w:val="fr-BE"/>
        </w:rPr>
        <w:t>et de l'analyse des besoins</w:t>
      </w:r>
      <w:r w:rsidRPr="00C27636">
        <w:rPr>
          <w:rFonts w:ascii="Calibri" w:eastAsia="Calibri" w:hAnsi="Calibri" w:cs="Calibri"/>
          <w:color w:val="000000"/>
          <w:sz w:val="20"/>
          <w:szCs w:val="20"/>
          <w:lang w:val="fr-BE"/>
        </w:rPr>
        <w:t>,</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FF"/>
          <w:sz w:val="20"/>
          <w:szCs w:val="20"/>
          <w:lang w:val="fr-BE"/>
        </w:rPr>
        <w:t>2012,</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FF"/>
          <w:sz w:val="20"/>
          <w:szCs w:val="20"/>
          <w:u w:val="single"/>
          <w:lang w:val="fr-BE"/>
        </w:rPr>
        <w:t>www.oejaj.cfwb.be</w:t>
      </w:r>
      <w:r w:rsidRPr="00C27636">
        <w:rPr>
          <w:rFonts w:ascii="Calibri" w:eastAsia="Calibri" w:hAnsi="Calibri" w:cs="Calibri"/>
          <w:color w:val="000000"/>
          <w:sz w:val="20"/>
          <w:szCs w:val="20"/>
          <w:lang w:val="fr-BE"/>
        </w:rPr>
        <w:t>:  «</w:t>
      </w:r>
      <w:r w:rsidRPr="00C27636">
        <w:rPr>
          <w:rFonts w:ascii="Calibri" w:eastAsia="Calibri" w:hAnsi="Calibri" w:cs="Calibri"/>
          <w:color w:val="0000FF"/>
          <w:sz w:val="20"/>
          <w:szCs w:val="20"/>
          <w:lang w:val="fr-BE"/>
        </w:rPr>
        <w:t xml:space="preserve"> </w:t>
      </w:r>
      <w:r w:rsidRPr="00C27636">
        <w:rPr>
          <w:rFonts w:ascii="Calibri" w:eastAsia="Calibri" w:hAnsi="Calibri" w:cs="Calibri"/>
          <w:i/>
          <w:iCs/>
          <w:color w:val="000000"/>
          <w:sz w:val="20"/>
          <w:szCs w:val="20"/>
          <w:lang w:val="fr-BE"/>
        </w:rPr>
        <w:t>65  %  des</w:t>
      </w:r>
      <w:r w:rsidRPr="00C27636">
        <w:rPr>
          <w:rFonts w:ascii="Calibri" w:eastAsia="Calibri" w:hAnsi="Calibri" w:cs="Calibri"/>
          <w:color w:val="0000FF"/>
          <w:sz w:val="20"/>
          <w:szCs w:val="20"/>
          <w:lang w:val="fr-BE"/>
        </w:rPr>
        <w:t xml:space="preserve"> </w:t>
      </w:r>
      <w:r w:rsidRPr="00C27636">
        <w:rPr>
          <w:rFonts w:ascii="Calibri" w:eastAsia="Calibri" w:hAnsi="Calibri" w:cs="Calibri"/>
          <w:i/>
          <w:iCs/>
          <w:color w:val="000000"/>
          <w:sz w:val="20"/>
          <w:szCs w:val="20"/>
          <w:lang w:val="fr-BE"/>
        </w:rPr>
        <w:t>communes  se  disent  insatisfaites, particulièrement  sur  le  manque d’offre pour les enfants de moins de</w:t>
      </w:r>
    </w:p>
    <w:p w:rsidR="00AC12B4" w:rsidRPr="00C27636" w:rsidRDefault="00AC12B4">
      <w:pPr>
        <w:spacing w:line="60" w:lineRule="exact"/>
        <w:rPr>
          <w:rFonts w:ascii="Symbol" w:eastAsia="Symbol" w:hAnsi="Symbol" w:cs="Symbol"/>
          <w:sz w:val="20"/>
          <w:szCs w:val="20"/>
          <w:lang w:val="fr-BE"/>
        </w:rPr>
      </w:pPr>
    </w:p>
    <w:p w:rsidR="00AC12B4" w:rsidRPr="00C27636" w:rsidRDefault="00C27636">
      <w:pPr>
        <w:spacing w:line="268" w:lineRule="auto"/>
        <w:ind w:left="848" w:right="59"/>
        <w:jc w:val="both"/>
        <w:rPr>
          <w:rFonts w:ascii="Symbol" w:eastAsia="Symbol" w:hAnsi="Symbol" w:cs="Symbol"/>
          <w:sz w:val="20"/>
          <w:szCs w:val="20"/>
          <w:lang w:val="fr-BE"/>
        </w:rPr>
      </w:pPr>
      <w:r w:rsidRPr="00C27636">
        <w:rPr>
          <w:rFonts w:ascii="Calibri" w:eastAsia="Calibri" w:hAnsi="Calibri" w:cs="Calibri"/>
          <w:i/>
          <w:iCs/>
          <w:sz w:val="20"/>
          <w:szCs w:val="20"/>
          <w:lang w:val="fr-BE"/>
        </w:rPr>
        <w:t>6 ans (entre autres) » et, en ce qui concerne l’accueil extra-</w:t>
      </w:r>
      <w:r w:rsidRPr="00C27636">
        <w:rPr>
          <w:rFonts w:ascii="Calibri" w:eastAsia="Calibri" w:hAnsi="Calibri" w:cs="Calibri"/>
          <w:i/>
          <w:iCs/>
          <w:sz w:val="20"/>
          <w:szCs w:val="20"/>
          <w:lang w:val="fr-BE"/>
        </w:rPr>
        <w:t>scolaire en milieu scolaire, « on ne constate pas de progrès en matière d’accès aux enfants porteurs d’un handicap : le taux global est resté stable depuis 2004</w:t>
      </w:r>
      <w:r w:rsidRPr="00C27636">
        <w:rPr>
          <w:rFonts w:ascii="Calibri" w:eastAsia="Calibri" w:hAnsi="Calibri" w:cs="Calibri"/>
          <w:sz w:val="20"/>
          <w:szCs w:val="20"/>
          <w:lang w:val="fr-BE"/>
        </w:rPr>
        <w:t>».</w:t>
      </w:r>
    </w:p>
    <w:p w:rsidR="00AC12B4" w:rsidRPr="00C27636" w:rsidRDefault="00AC12B4">
      <w:pPr>
        <w:spacing w:line="41" w:lineRule="exact"/>
        <w:rPr>
          <w:rFonts w:ascii="Symbol" w:eastAsia="Symbol" w:hAnsi="Symbol" w:cs="Symbol"/>
          <w:sz w:val="20"/>
          <w:szCs w:val="20"/>
          <w:lang w:val="fr-BE"/>
        </w:rPr>
      </w:pPr>
    </w:p>
    <w:p w:rsidR="00AC12B4" w:rsidRPr="00C27636" w:rsidRDefault="00C27636">
      <w:pPr>
        <w:spacing w:line="254" w:lineRule="auto"/>
        <w:ind w:left="848" w:right="79" w:hanging="360"/>
        <w:rPr>
          <w:rFonts w:ascii="Calibri" w:eastAsia="Calibri" w:hAnsi="Calibri" w:cs="Calibri"/>
          <w:color w:val="0000FF"/>
          <w:sz w:val="20"/>
          <w:szCs w:val="20"/>
          <w:u w:val="single"/>
          <w:lang w:val="nl-NL"/>
        </w:rPr>
      </w:pPr>
      <w:r w:rsidRPr="00C27636">
        <w:rPr>
          <w:rFonts w:ascii="Courier New" w:eastAsia="Courier New" w:hAnsi="Courier New" w:cs="Courier New"/>
          <w:color w:val="1F497D"/>
          <w:sz w:val="20"/>
          <w:szCs w:val="20"/>
          <w:lang w:val="nl-NL"/>
        </w:rPr>
        <w:t xml:space="preserve">o </w:t>
      </w:r>
      <w:r w:rsidRPr="00C27636">
        <w:rPr>
          <w:rFonts w:ascii="Calibri" w:eastAsia="Calibri" w:hAnsi="Calibri" w:cs="Calibri"/>
          <w:color w:val="000000"/>
          <w:sz w:val="20"/>
          <w:szCs w:val="20"/>
          <w:lang w:val="nl-NL"/>
        </w:rPr>
        <w:t>Kind en Gezin,</w:t>
      </w:r>
      <w:r w:rsidRPr="00C27636">
        <w:rPr>
          <w:rFonts w:ascii="Courier New" w:eastAsia="Courier New" w:hAnsi="Courier New" w:cs="Courier New"/>
          <w:color w:val="1F497D"/>
          <w:sz w:val="20"/>
          <w:szCs w:val="20"/>
          <w:lang w:val="nl-NL"/>
        </w:rPr>
        <w:t xml:space="preserve"> </w:t>
      </w:r>
      <w:r w:rsidRPr="00C27636">
        <w:rPr>
          <w:rFonts w:ascii="Calibri" w:eastAsia="Calibri" w:hAnsi="Calibri" w:cs="Calibri"/>
          <w:i/>
          <w:iCs/>
          <w:color w:val="000000"/>
          <w:sz w:val="20"/>
          <w:szCs w:val="20"/>
          <w:lang w:val="nl-NL"/>
        </w:rPr>
        <w:t>Jaarverslag 2013</w:t>
      </w:r>
      <w:r w:rsidRPr="00C27636">
        <w:rPr>
          <w:rFonts w:ascii="Calibri" w:eastAsia="Calibri" w:hAnsi="Calibri" w:cs="Calibri"/>
          <w:color w:val="000000"/>
          <w:sz w:val="20"/>
          <w:szCs w:val="20"/>
          <w:lang w:val="nl-NL"/>
        </w:rPr>
        <w:t>, p.</w:t>
      </w:r>
      <w:r w:rsidRPr="00C27636">
        <w:rPr>
          <w:rFonts w:ascii="Courier New" w:eastAsia="Courier New" w:hAnsi="Courier New" w:cs="Courier New"/>
          <w:color w:val="1F497D"/>
          <w:sz w:val="20"/>
          <w:szCs w:val="20"/>
          <w:lang w:val="nl-NL"/>
        </w:rPr>
        <w:t xml:space="preserve"> </w:t>
      </w:r>
      <w:r w:rsidRPr="00C27636">
        <w:rPr>
          <w:rFonts w:ascii="Calibri" w:eastAsia="Calibri" w:hAnsi="Calibri" w:cs="Calibri"/>
          <w:color w:val="000000"/>
          <w:sz w:val="20"/>
          <w:szCs w:val="20"/>
          <w:lang w:val="nl-NL"/>
        </w:rPr>
        <w:t xml:space="preserve">41 </w:t>
      </w:r>
      <w:hyperlink r:id="rId299">
        <w:r w:rsidRPr="00C27636">
          <w:rPr>
            <w:rFonts w:ascii="Calibri" w:eastAsia="Calibri" w:hAnsi="Calibri" w:cs="Calibri"/>
            <w:color w:val="0000FF"/>
            <w:sz w:val="20"/>
            <w:szCs w:val="20"/>
            <w:u w:val="single"/>
            <w:lang w:val="nl-NL"/>
          </w:rPr>
          <w:t>http://www.kindengezin.be/img/jaa</w:t>
        </w:r>
      </w:hyperlink>
    </w:p>
    <w:p w:rsidR="00AC12B4" w:rsidRPr="00C27636" w:rsidRDefault="00C27636">
      <w:pPr>
        <w:spacing w:line="20" w:lineRule="exact"/>
        <w:rPr>
          <w:sz w:val="20"/>
          <w:szCs w:val="20"/>
          <w:lang w:val="nl-NL"/>
        </w:rPr>
      </w:pPr>
      <w:r>
        <w:rPr>
          <w:noProof/>
          <w:sz w:val="20"/>
          <w:szCs w:val="20"/>
        </w:rPr>
        <mc:AlternateContent>
          <mc:Choice Requires="wps">
            <w:drawing>
              <wp:anchor distT="0" distB="0" distL="114300" distR="114300" simplePos="0" relativeHeight="251816448" behindDoc="1" locked="0" layoutInCell="0" allowOverlap="1">
                <wp:simplePos x="0" y="0"/>
                <wp:positionH relativeFrom="column">
                  <wp:posOffset>2099945</wp:posOffset>
                </wp:positionH>
                <wp:positionV relativeFrom="paragraph">
                  <wp:posOffset>-2517775</wp:posOffset>
                </wp:positionV>
                <wp:extent cx="361950" cy="0"/>
                <wp:effectExtent l="0" t="0" r="0" b="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4763"/>
                        </a:xfrm>
                        <a:prstGeom prst="line">
                          <a:avLst/>
                        </a:prstGeom>
                        <a:solidFill>
                          <a:srgbClr val="FFFFFF"/>
                        </a:solidFill>
                        <a:ln w="7620">
                          <a:solidFill>
                            <a:srgbClr val="0000FF"/>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35pt,-198.2499pt" to="193.85pt,-198.2499pt" o:allowincell="f" strokecolor="#0000FF" strokeweight="0.6pt"/>
            </w:pict>
          </mc:Fallback>
        </mc:AlternateContent>
      </w:r>
      <w:r>
        <w:rPr>
          <w:noProof/>
          <w:sz w:val="20"/>
          <w:szCs w:val="20"/>
        </w:rPr>
        <mc:AlternateContent>
          <mc:Choice Requires="wps">
            <w:drawing>
              <wp:anchor distT="0" distB="0" distL="114300" distR="114300" simplePos="0" relativeHeight="251817472" behindDoc="1" locked="0" layoutInCell="0" allowOverlap="1">
                <wp:simplePos x="0" y="0"/>
                <wp:positionH relativeFrom="column">
                  <wp:posOffset>1772285</wp:posOffset>
                </wp:positionH>
                <wp:positionV relativeFrom="paragraph">
                  <wp:posOffset>-2345690</wp:posOffset>
                </wp:positionV>
                <wp:extent cx="29210" cy="12700"/>
                <wp:effectExtent l="0" t="0" r="0" b="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10" cy="12700"/>
                        </a:xfrm>
                        <a:prstGeom prst="rect">
                          <a:avLst/>
                        </a:prstGeom>
                        <a:solidFill>
                          <a:srgbClr val="000000"/>
                        </a:solidFill>
                      </wps:spPr>
                      <wps:bodyPr/>
                    </wps:wsp>
                  </a:graphicData>
                </a:graphic>
              </wp:anchor>
            </w:drawing>
          </mc:Choice>
          <mc:Fallback>
            <w:pict>
              <v:rect id="Shape 490" o:spid="_x0000_s1515" style="position:absolute;margin-left:139.55pt;margin-top:-184.69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818496" behindDoc="1" locked="0" layoutInCell="0" allowOverlap="1">
                <wp:simplePos x="0" y="0"/>
                <wp:positionH relativeFrom="column">
                  <wp:posOffset>0</wp:posOffset>
                </wp:positionH>
                <wp:positionV relativeFrom="paragraph">
                  <wp:posOffset>118110</wp:posOffset>
                </wp:positionV>
                <wp:extent cx="1828800" cy="0"/>
                <wp:effectExtent l="0" t="0" r="0" b="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pt" to="144pt,9.3pt" o:allowincell="f" strokecolor="#000000" strokeweight="0.72pt"/>
            </w:pict>
          </mc:Fallback>
        </mc:AlternateContent>
      </w:r>
    </w:p>
    <w:p w:rsidR="00AC12B4" w:rsidRPr="00C27636" w:rsidRDefault="00AC12B4">
      <w:pPr>
        <w:spacing w:line="314" w:lineRule="exact"/>
        <w:rPr>
          <w:sz w:val="20"/>
          <w:szCs w:val="20"/>
          <w:lang w:val="nl-NL"/>
        </w:rPr>
      </w:pPr>
    </w:p>
    <w:p w:rsidR="00AC12B4" w:rsidRDefault="00C27636">
      <w:pPr>
        <w:numPr>
          <w:ilvl w:val="0"/>
          <w:numId w:val="310"/>
        </w:numPr>
        <w:tabs>
          <w:tab w:val="left" w:pos="108"/>
        </w:tabs>
        <w:ind w:left="108" w:hanging="108"/>
        <w:rPr>
          <w:rFonts w:ascii="Calibri" w:eastAsia="Calibri" w:hAnsi="Calibri" w:cs="Calibri"/>
          <w:sz w:val="26"/>
          <w:szCs w:val="26"/>
          <w:vertAlign w:val="superscript"/>
        </w:rPr>
      </w:pPr>
      <w:r>
        <w:rPr>
          <w:rFonts w:ascii="Calibri" w:eastAsia="Calibri" w:hAnsi="Calibri" w:cs="Calibri"/>
          <w:i/>
          <w:iCs/>
          <w:sz w:val="20"/>
          <w:szCs w:val="20"/>
        </w:rPr>
        <w:t>l.c.</w:t>
      </w:r>
    </w:p>
    <w:p w:rsidR="00AC12B4" w:rsidRDefault="00AC12B4">
      <w:pPr>
        <w:spacing w:line="167" w:lineRule="exact"/>
        <w:rPr>
          <w:rFonts w:ascii="Calibri" w:eastAsia="Calibri" w:hAnsi="Calibri" w:cs="Calibri"/>
          <w:sz w:val="26"/>
          <w:szCs w:val="26"/>
          <w:vertAlign w:val="superscript"/>
        </w:rPr>
      </w:pPr>
    </w:p>
    <w:p w:rsidR="00AC12B4" w:rsidRPr="00C27636" w:rsidRDefault="00C27636">
      <w:pPr>
        <w:numPr>
          <w:ilvl w:val="0"/>
          <w:numId w:val="310"/>
        </w:numPr>
        <w:tabs>
          <w:tab w:val="left" w:pos="229"/>
        </w:tabs>
        <w:spacing w:line="221" w:lineRule="auto"/>
        <w:ind w:left="8" w:right="79" w:hanging="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Comme toutes les places ne sont pas occupées à temps plein, tant en Flandre qu’en Wallonie, le nombre d’enfants fréquentant les milieux d’accue</w:t>
      </w:r>
      <w:r w:rsidRPr="00C27636">
        <w:rPr>
          <w:rFonts w:ascii="Calibri" w:eastAsia="Calibri" w:hAnsi="Calibri" w:cs="Calibri"/>
          <w:sz w:val="20"/>
          <w:szCs w:val="20"/>
          <w:lang w:val="fr-BE"/>
        </w:rPr>
        <w:t>il est calculé en multipliant le nombre de places disponibles par 1,29 (taux de fréquentation).</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2"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 droit au respect de la vie familiale</w:t>
            </w:r>
          </w:p>
        </w:tc>
      </w:tr>
    </w:tbl>
    <w:p w:rsidR="00AC12B4" w:rsidRPr="00C27636" w:rsidRDefault="00AC12B4">
      <w:pPr>
        <w:rPr>
          <w:lang w:val="fr-BE"/>
        </w:rPr>
        <w:sectPr w:rsidR="00AC12B4" w:rsidRPr="00C27636">
          <w:type w:val="continuous"/>
          <w:pgSz w:w="12080" w:h="17179"/>
          <w:pgMar w:top="1440" w:right="489" w:bottom="659" w:left="1440" w:header="0" w:footer="0" w:gutter="0"/>
          <w:cols w:num="3" w:space="720" w:equalWidth="0">
            <w:col w:w="4960" w:space="192"/>
            <w:col w:w="3947" w:space="720"/>
            <w:col w:w="330"/>
          </w:cols>
        </w:sectPr>
      </w:pPr>
    </w:p>
    <w:p w:rsidR="00AC12B4" w:rsidRPr="00C27636" w:rsidRDefault="00C27636">
      <w:pPr>
        <w:spacing w:line="200" w:lineRule="exact"/>
        <w:rPr>
          <w:sz w:val="20"/>
          <w:szCs w:val="20"/>
          <w:lang w:val="fr-BE"/>
        </w:rPr>
      </w:pPr>
      <w:bookmarkStart w:id="165" w:name="page166"/>
      <w:bookmarkEnd w:id="165"/>
      <w:r>
        <w:rPr>
          <w:noProof/>
          <w:sz w:val="20"/>
          <w:szCs w:val="20"/>
        </w:rPr>
        <w:lastRenderedPageBreak/>
        <w:drawing>
          <wp:anchor distT="0" distB="0" distL="114300" distR="114300" simplePos="0" relativeHeight="251819520" behindDoc="1" locked="0" layoutInCell="0" allowOverlap="1">
            <wp:simplePos x="0" y="0"/>
            <wp:positionH relativeFrom="page">
              <wp:posOffset>0</wp:posOffset>
            </wp:positionH>
            <wp:positionV relativeFrom="page">
              <wp:posOffset>0</wp:posOffset>
            </wp:positionV>
            <wp:extent cx="777240" cy="10908665"/>
            <wp:effectExtent l="0" t="0" r="0" b="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268">
                      <a:clrChange>
                        <a:clrFrom>
                          <a:srgbClr val="FFFFFF"/>
                        </a:clrFrom>
                        <a:clrTo>
                          <a:srgbClr val="FFFFFF">
                            <a:alpha val="0"/>
                          </a:srgbClr>
                        </a:clrTo>
                      </a:clrChange>
                      <a:extLst/>
                    </a:blip>
                    <a:srcRect/>
                    <a:stretch>
                      <a:fillRect/>
                    </a:stretch>
                  </pic:blipFill>
                  <pic:spPr bwMode="auto">
                    <a:xfrm>
                      <a:off x="0" y="0"/>
                      <a:ext cx="777240" cy="1090866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426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 droit au respect de la vie familiale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4" w:lineRule="exact"/>
        <w:rPr>
          <w:sz w:val="20"/>
          <w:szCs w:val="20"/>
          <w:lang w:val="fr-BE"/>
        </w:rPr>
      </w:pPr>
    </w:p>
    <w:p w:rsidR="00AC12B4" w:rsidRPr="00C27636" w:rsidRDefault="00C27636">
      <w:pPr>
        <w:tabs>
          <w:tab w:val="left" w:pos="3058"/>
          <w:tab w:val="left" w:pos="3918"/>
        </w:tabs>
        <w:ind w:left="1078"/>
        <w:rPr>
          <w:rFonts w:ascii="Calibri" w:eastAsia="Calibri" w:hAnsi="Calibri" w:cs="Calibri"/>
          <w:color w:val="0000FF"/>
          <w:sz w:val="20"/>
          <w:szCs w:val="20"/>
          <w:lang w:val="nl-NL"/>
        </w:rPr>
      </w:pPr>
      <w:hyperlink r:id="rId300">
        <w:r w:rsidRPr="00C27636">
          <w:rPr>
            <w:rFonts w:ascii="Calibri" w:eastAsia="Calibri" w:hAnsi="Calibri" w:cs="Calibri"/>
            <w:color w:val="0000FF"/>
            <w:sz w:val="20"/>
            <w:szCs w:val="20"/>
            <w:u w:val="single"/>
            <w:lang w:val="nl-NL"/>
          </w:rPr>
          <w:t>rverslag-2013.pdf</w:t>
        </w:r>
        <w:r w:rsidRPr="00C27636">
          <w:rPr>
            <w:rFonts w:ascii="Calibri" w:eastAsia="Calibri" w:hAnsi="Calibri" w:cs="Calibri"/>
            <w:color w:val="1F497D"/>
            <w:sz w:val="20"/>
            <w:szCs w:val="20"/>
            <w:lang w:val="nl-NL"/>
          </w:rPr>
          <w:t>;</w:t>
        </w:r>
      </w:hyperlink>
      <w:r w:rsidRPr="00C27636">
        <w:rPr>
          <w:rFonts w:ascii="Calibri" w:eastAsia="Calibri" w:hAnsi="Calibri" w:cs="Calibri"/>
          <w:color w:val="0000FF"/>
          <w:sz w:val="20"/>
          <w:szCs w:val="20"/>
          <w:lang w:val="nl-NL"/>
        </w:rPr>
        <w:tab/>
      </w:r>
      <w:r w:rsidRPr="00C27636">
        <w:rPr>
          <w:rFonts w:ascii="Calibri" w:eastAsia="Calibri" w:hAnsi="Calibri" w:cs="Calibri"/>
          <w:i/>
          <w:iCs/>
          <w:color w:val="0000FF"/>
          <w:sz w:val="20"/>
          <w:szCs w:val="20"/>
          <w:lang w:val="nl-NL"/>
        </w:rPr>
        <w:t>Kind</w:t>
      </w:r>
      <w:r w:rsidRPr="00C27636">
        <w:rPr>
          <w:rFonts w:ascii="Calibri" w:eastAsia="Calibri" w:hAnsi="Calibri" w:cs="Calibri"/>
          <w:color w:val="0000FF"/>
          <w:sz w:val="20"/>
          <w:szCs w:val="20"/>
          <w:lang w:val="nl-NL"/>
        </w:rPr>
        <w:tab/>
      </w:r>
      <w:r w:rsidRPr="00C27636">
        <w:rPr>
          <w:rFonts w:ascii="Calibri" w:eastAsia="Calibri" w:hAnsi="Calibri" w:cs="Calibri"/>
          <w:i/>
          <w:iCs/>
          <w:color w:val="0000FF"/>
          <w:sz w:val="20"/>
          <w:szCs w:val="20"/>
          <w:lang w:val="nl-NL"/>
        </w:rPr>
        <w:t>in</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i/>
          <w:iCs/>
          <w:sz w:val="20"/>
          <w:szCs w:val="20"/>
          <w:lang w:val="nl-NL"/>
        </w:rPr>
        <w:t xml:space="preserve">Vlaanderen </w:t>
      </w:r>
      <w:r w:rsidRPr="00C27636">
        <w:rPr>
          <w:rFonts w:ascii="Calibri" w:eastAsia="Calibri" w:hAnsi="Calibri" w:cs="Calibri"/>
          <w:sz w:val="20"/>
          <w:szCs w:val="20"/>
          <w:lang w:val="nl-NL"/>
        </w:rPr>
        <w:t>2013, p. 153; Kind en</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sz w:val="20"/>
          <w:szCs w:val="20"/>
          <w:lang w:val="nl-NL"/>
        </w:rPr>
        <w:t xml:space="preserve">Gezin, </w:t>
      </w:r>
      <w:r w:rsidRPr="00C27636">
        <w:rPr>
          <w:rFonts w:ascii="Calibri" w:eastAsia="Calibri" w:hAnsi="Calibri" w:cs="Calibri"/>
          <w:i/>
          <w:iCs/>
          <w:sz w:val="20"/>
          <w:szCs w:val="20"/>
          <w:lang w:val="nl-NL"/>
        </w:rPr>
        <w:t>Buitenschoolse kinderopvang</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i/>
          <w:iCs/>
          <w:sz w:val="20"/>
          <w:szCs w:val="20"/>
          <w:lang w:val="nl-NL"/>
        </w:rPr>
        <w:t xml:space="preserve">en vrijetijdsbesteding in </w:t>
      </w:r>
      <w:r w:rsidRPr="00C27636">
        <w:rPr>
          <w:rFonts w:ascii="Calibri" w:eastAsia="Calibri" w:hAnsi="Calibri" w:cs="Calibri"/>
          <w:i/>
          <w:iCs/>
          <w:sz w:val="20"/>
          <w:szCs w:val="20"/>
          <w:lang w:val="nl-NL"/>
        </w:rPr>
        <w:t>Vlaanderen,</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sz w:val="20"/>
          <w:szCs w:val="20"/>
          <w:lang w:val="nl-NL"/>
        </w:rPr>
        <w:t>2013:</w:t>
      </w:r>
    </w:p>
    <w:p w:rsidR="00AC12B4" w:rsidRPr="00C27636" w:rsidRDefault="00AC12B4">
      <w:pPr>
        <w:spacing w:line="37" w:lineRule="exact"/>
        <w:rPr>
          <w:sz w:val="20"/>
          <w:szCs w:val="20"/>
          <w:lang w:val="nl-NL"/>
        </w:rPr>
      </w:pPr>
    </w:p>
    <w:p w:rsidR="00AC12B4" w:rsidRPr="00C27636" w:rsidRDefault="00C27636">
      <w:pPr>
        <w:ind w:left="1078"/>
        <w:rPr>
          <w:rFonts w:ascii="Calibri" w:eastAsia="Calibri" w:hAnsi="Calibri" w:cs="Calibri"/>
          <w:color w:val="0000FF"/>
          <w:sz w:val="20"/>
          <w:szCs w:val="20"/>
          <w:u w:val="single"/>
          <w:lang w:val="nl-NL"/>
        </w:rPr>
      </w:pPr>
      <w:hyperlink r:id="rId301">
        <w:r w:rsidRPr="00C27636">
          <w:rPr>
            <w:rFonts w:ascii="Calibri" w:eastAsia="Calibri" w:hAnsi="Calibri" w:cs="Calibri"/>
            <w:color w:val="0000FF"/>
            <w:sz w:val="20"/>
            <w:szCs w:val="20"/>
            <w:u w:val="single"/>
            <w:lang w:val="nl-NL"/>
          </w:rPr>
          <w:t>http://www.kindengezin.be/img/bko</w:t>
        </w:r>
      </w:hyperlink>
    </w:p>
    <w:p w:rsidR="00AC12B4" w:rsidRPr="00C27636" w:rsidRDefault="00AC12B4">
      <w:pPr>
        <w:spacing w:line="37" w:lineRule="exact"/>
        <w:rPr>
          <w:sz w:val="20"/>
          <w:szCs w:val="20"/>
          <w:lang w:val="nl-NL"/>
        </w:rPr>
      </w:pPr>
    </w:p>
    <w:p w:rsidR="00AC12B4" w:rsidRPr="00C27636" w:rsidRDefault="00C27636">
      <w:pPr>
        <w:ind w:left="1078"/>
        <w:rPr>
          <w:rFonts w:ascii="Calibri" w:eastAsia="Calibri" w:hAnsi="Calibri" w:cs="Calibri"/>
          <w:color w:val="0000FF"/>
          <w:sz w:val="20"/>
          <w:szCs w:val="20"/>
          <w:u w:val="single"/>
          <w:lang w:val="nl-NL"/>
        </w:rPr>
      </w:pPr>
      <w:hyperlink r:id="rId302">
        <w:r w:rsidRPr="00C27636">
          <w:rPr>
            <w:rFonts w:ascii="Calibri" w:eastAsia="Calibri" w:hAnsi="Calibri" w:cs="Calibri"/>
            <w:color w:val="0000FF"/>
            <w:sz w:val="20"/>
            <w:szCs w:val="20"/>
            <w:u w:val="single"/>
            <w:lang w:val="nl-NL"/>
          </w:rPr>
          <w:t>-en-vrijetijdsbestedi</w:t>
        </w:r>
        <w:r w:rsidRPr="00C27636">
          <w:rPr>
            <w:rFonts w:ascii="Calibri" w:eastAsia="Calibri" w:hAnsi="Calibri" w:cs="Calibri"/>
            <w:color w:val="0000FF"/>
            <w:sz w:val="20"/>
            <w:szCs w:val="20"/>
            <w:u w:val="single"/>
            <w:lang w:val="nl-NL"/>
          </w:rPr>
          <w:t>ng-in-vl2013.pdf</w:t>
        </w:r>
      </w:hyperlink>
    </w:p>
    <w:p w:rsidR="00AC12B4" w:rsidRPr="00C27636" w:rsidRDefault="00AC12B4">
      <w:pPr>
        <w:spacing w:line="37" w:lineRule="exact"/>
        <w:rPr>
          <w:sz w:val="20"/>
          <w:szCs w:val="20"/>
          <w:lang w:val="nl-NL"/>
        </w:rPr>
      </w:pPr>
    </w:p>
    <w:p w:rsidR="00AC12B4" w:rsidRPr="00C27636" w:rsidRDefault="00C27636">
      <w:pPr>
        <w:tabs>
          <w:tab w:val="left" w:pos="1638"/>
          <w:tab w:val="left" w:pos="2318"/>
          <w:tab w:val="left" w:pos="3418"/>
        </w:tabs>
        <w:ind w:left="1078"/>
        <w:rPr>
          <w:sz w:val="20"/>
          <w:szCs w:val="20"/>
          <w:lang w:val="nl-NL"/>
        </w:rPr>
      </w:pPr>
      <w:r w:rsidRPr="00C27636">
        <w:rPr>
          <w:rFonts w:ascii="Calibri" w:eastAsia="Calibri" w:hAnsi="Calibri" w:cs="Calibri"/>
          <w:sz w:val="20"/>
          <w:szCs w:val="20"/>
          <w:lang w:val="nl-NL"/>
        </w:rPr>
        <w:t>Voir</w:t>
      </w:r>
      <w:r w:rsidRPr="00C27636">
        <w:rPr>
          <w:rFonts w:ascii="Calibri" w:eastAsia="Calibri" w:hAnsi="Calibri" w:cs="Calibri"/>
          <w:sz w:val="20"/>
          <w:szCs w:val="20"/>
          <w:lang w:val="nl-NL"/>
        </w:rPr>
        <w:tab/>
        <w:t>aussi</w:t>
      </w:r>
      <w:r w:rsidRPr="00C27636">
        <w:rPr>
          <w:rFonts w:ascii="Calibri" w:eastAsia="Calibri" w:hAnsi="Calibri" w:cs="Calibri"/>
          <w:sz w:val="20"/>
          <w:szCs w:val="20"/>
          <w:lang w:val="nl-NL"/>
        </w:rPr>
        <w:tab/>
        <w:t>Steunpunt</w:t>
      </w:r>
      <w:r w:rsidRPr="00C27636">
        <w:rPr>
          <w:rFonts w:ascii="Calibri" w:eastAsia="Calibri" w:hAnsi="Calibri" w:cs="Calibri"/>
          <w:sz w:val="20"/>
          <w:szCs w:val="20"/>
          <w:lang w:val="nl-NL"/>
        </w:rPr>
        <w:tab/>
        <w:t>Welzijn,</w:t>
      </w:r>
    </w:p>
    <w:p w:rsidR="00AC12B4" w:rsidRPr="00C27636" w:rsidRDefault="00AC12B4">
      <w:pPr>
        <w:spacing w:line="37" w:lineRule="exact"/>
        <w:rPr>
          <w:sz w:val="20"/>
          <w:szCs w:val="20"/>
          <w:lang w:val="nl-NL"/>
        </w:rPr>
      </w:pPr>
    </w:p>
    <w:p w:rsidR="00AC12B4" w:rsidRPr="00C27636" w:rsidRDefault="00C27636">
      <w:pPr>
        <w:tabs>
          <w:tab w:val="left" w:pos="2638"/>
          <w:tab w:val="left" w:pos="3058"/>
          <w:tab w:val="left" w:pos="3798"/>
        </w:tabs>
        <w:ind w:left="1078"/>
        <w:rPr>
          <w:sz w:val="20"/>
          <w:szCs w:val="20"/>
          <w:lang w:val="nl-NL"/>
        </w:rPr>
      </w:pPr>
      <w:r w:rsidRPr="00C27636">
        <w:rPr>
          <w:rFonts w:ascii="Calibri" w:eastAsia="Calibri" w:hAnsi="Calibri" w:cs="Calibri"/>
          <w:sz w:val="20"/>
          <w:szCs w:val="20"/>
          <w:lang w:val="nl-NL"/>
        </w:rPr>
        <w:t>Volksgezondheid</w:t>
      </w:r>
      <w:r w:rsidRPr="00C27636">
        <w:rPr>
          <w:rFonts w:ascii="Calibri" w:eastAsia="Calibri" w:hAnsi="Calibri" w:cs="Calibri"/>
          <w:sz w:val="20"/>
          <w:szCs w:val="20"/>
          <w:lang w:val="nl-NL"/>
        </w:rPr>
        <w:tab/>
        <w:t>en</w:t>
      </w:r>
      <w:r w:rsidRPr="00C27636">
        <w:rPr>
          <w:rFonts w:ascii="Calibri" w:eastAsia="Calibri" w:hAnsi="Calibri" w:cs="Calibri"/>
          <w:sz w:val="20"/>
          <w:szCs w:val="20"/>
          <w:lang w:val="nl-NL"/>
        </w:rPr>
        <w:tab/>
        <w:t>Gezin,</w:t>
      </w:r>
      <w:r w:rsidRPr="00C27636">
        <w:rPr>
          <w:sz w:val="20"/>
          <w:szCs w:val="20"/>
          <w:lang w:val="nl-NL"/>
        </w:rPr>
        <w:tab/>
      </w:r>
      <w:r w:rsidRPr="00C27636">
        <w:rPr>
          <w:rFonts w:ascii="Calibri" w:eastAsia="Calibri" w:hAnsi="Calibri" w:cs="Calibri"/>
          <w:i/>
          <w:iCs/>
          <w:sz w:val="19"/>
          <w:szCs w:val="19"/>
          <w:lang w:val="nl-NL"/>
        </w:rPr>
        <w:t>Het</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i/>
          <w:iCs/>
          <w:sz w:val="20"/>
          <w:szCs w:val="20"/>
          <w:lang w:val="nl-NL"/>
        </w:rPr>
        <w:t>gebruik van opvang voor kinderen</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i/>
          <w:iCs/>
          <w:sz w:val="20"/>
          <w:szCs w:val="20"/>
          <w:lang w:val="nl-NL"/>
        </w:rPr>
        <w:t>jonger dan drie jaar in het Vlaamse</w:t>
      </w:r>
    </w:p>
    <w:p w:rsidR="00AC12B4" w:rsidRPr="00C27636" w:rsidRDefault="00AC12B4">
      <w:pPr>
        <w:spacing w:line="37" w:lineRule="exact"/>
        <w:rPr>
          <w:sz w:val="20"/>
          <w:szCs w:val="20"/>
          <w:lang w:val="nl-NL"/>
        </w:rPr>
      </w:pPr>
    </w:p>
    <w:p w:rsidR="00AC12B4" w:rsidRPr="00C27636" w:rsidRDefault="00C27636">
      <w:pPr>
        <w:tabs>
          <w:tab w:val="left" w:pos="1878"/>
          <w:tab w:val="left" w:pos="2698"/>
          <w:tab w:val="left" w:pos="3358"/>
        </w:tabs>
        <w:ind w:left="1078"/>
        <w:rPr>
          <w:sz w:val="20"/>
          <w:szCs w:val="20"/>
          <w:lang w:val="nl-NL"/>
        </w:rPr>
      </w:pPr>
      <w:r w:rsidRPr="00C27636">
        <w:rPr>
          <w:rFonts w:ascii="Calibri" w:eastAsia="Calibri" w:hAnsi="Calibri" w:cs="Calibri"/>
          <w:i/>
          <w:iCs/>
          <w:sz w:val="20"/>
          <w:szCs w:val="20"/>
          <w:lang w:val="nl-NL"/>
        </w:rPr>
        <w:t>gewest</w:t>
      </w:r>
      <w:r w:rsidRPr="00C27636">
        <w:rPr>
          <w:rFonts w:ascii="Calibri" w:eastAsia="Calibri" w:hAnsi="Calibri" w:cs="Calibri"/>
          <w:sz w:val="20"/>
          <w:szCs w:val="20"/>
          <w:lang w:val="nl-NL"/>
        </w:rPr>
        <w:t>,</w:t>
      </w:r>
      <w:r w:rsidRPr="00C27636">
        <w:rPr>
          <w:sz w:val="20"/>
          <w:szCs w:val="20"/>
          <w:lang w:val="nl-NL"/>
        </w:rPr>
        <w:tab/>
      </w:r>
      <w:r w:rsidRPr="00C27636">
        <w:rPr>
          <w:rFonts w:ascii="Calibri" w:eastAsia="Calibri" w:hAnsi="Calibri" w:cs="Calibri"/>
          <w:sz w:val="20"/>
          <w:szCs w:val="20"/>
          <w:lang w:val="nl-NL"/>
        </w:rPr>
        <w:t>Leuven,</w:t>
      </w:r>
      <w:r w:rsidRPr="00C27636">
        <w:rPr>
          <w:rFonts w:ascii="Calibri" w:eastAsia="Calibri" w:hAnsi="Calibri" w:cs="Calibri"/>
          <w:sz w:val="20"/>
          <w:szCs w:val="20"/>
          <w:lang w:val="nl-NL"/>
        </w:rPr>
        <w:tab/>
        <w:t>2013,</w:t>
      </w:r>
      <w:r w:rsidRPr="00C27636">
        <w:rPr>
          <w:sz w:val="20"/>
          <w:szCs w:val="20"/>
          <w:lang w:val="nl-NL"/>
        </w:rPr>
        <w:tab/>
      </w:r>
      <w:r w:rsidRPr="00C27636">
        <w:rPr>
          <w:rFonts w:ascii="Calibri" w:eastAsia="Calibri" w:hAnsi="Calibri" w:cs="Calibri"/>
          <w:sz w:val="19"/>
          <w:szCs w:val="19"/>
          <w:lang w:val="nl-NL"/>
        </w:rPr>
        <w:t>114-118,</w:t>
      </w:r>
    </w:p>
    <w:p w:rsidR="00AC12B4" w:rsidRPr="00C27636" w:rsidRDefault="00AC12B4">
      <w:pPr>
        <w:spacing w:line="37" w:lineRule="exact"/>
        <w:rPr>
          <w:sz w:val="20"/>
          <w:szCs w:val="20"/>
          <w:lang w:val="nl-NL"/>
        </w:rPr>
      </w:pPr>
    </w:p>
    <w:p w:rsidR="00AC12B4" w:rsidRPr="00C27636" w:rsidRDefault="00C27636">
      <w:pPr>
        <w:ind w:left="1078"/>
        <w:rPr>
          <w:rFonts w:ascii="Calibri" w:eastAsia="Calibri" w:hAnsi="Calibri" w:cs="Calibri"/>
          <w:color w:val="0000FF"/>
          <w:sz w:val="20"/>
          <w:szCs w:val="20"/>
          <w:u w:val="single"/>
          <w:lang w:val="nl-NL"/>
        </w:rPr>
      </w:pPr>
      <w:hyperlink r:id="rId303">
        <w:r w:rsidRPr="00C27636">
          <w:rPr>
            <w:rFonts w:ascii="Calibri" w:eastAsia="Calibri" w:hAnsi="Calibri" w:cs="Calibri"/>
            <w:color w:val="0000FF"/>
            <w:sz w:val="20"/>
            <w:szCs w:val="20"/>
            <w:u w:val="single"/>
            <w:lang w:val="nl-NL"/>
          </w:rPr>
          <w:t>http://www.kindengezin.be/img/geb</w:t>
        </w:r>
      </w:hyperlink>
    </w:p>
    <w:p w:rsidR="00AC12B4" w:rsidRPr="00C27636" w:rsidRDefault="00AC12B4">
      <w:pPr>
        <w:spacing w:line="37" w:lineRule="exact"/>
        <w:rPr>
          <w:sz w:val="20"/>
          <w:szCs w:val="20"/>
          <w:lang w:val="nl-NL"/>
        </w:rPr>
      </w:pPr>
    </w:p>
    <w:p w:rsidR="00AC12B4" w:rsidRPr="00C27636" w:rsidRDefault="00C27636">
      <w:pPr>
        <w:ind w:left="1078"/>
        <w:rPr>
          <w:rFonts w:ascii="Calibri" w:eastAsia="Calibri" w:hAnsi="Calibri" w:cs="Calibri"/>
          <w:color w:val="0000FF"/>
          <w:sz w:val="20"/>
          <w:szCs w:val="20"/>
          <w:u w:val="single"/>
          <w:lang w:val="nl-NL"/>
        </w:rPr>
      </w:pPr>
      <w:hyperlink r:id="rId304">
        <w:r w:rsidRPr="00C27636">
          <w:rPr>
            <w:rFonts w:ascii="Calibri" w:eastAsia="Calibri" w:hAnsi="Calibri" w:cs="Calibri"/>
            <w:color w:val="0000FF"/>
            <w:sz w:val="20"/>
            <w:szCs w:val="20"/>
            <w:u w:val="single"/>
            <w:lang w:val="nl-NL"/>
          </w:rPr>
          <w:t>ruik-kinderopvang-</w:t>
        </w:r>
      </w:hyperlink>
    </w:p>
    <w:p w:rsidR="00AC12B4" w:rsidRPr="00C27636" w:rsidRDefault="00AC12B4">
      <w:pPr>
        <w:spacing w:line="37" w:lineRule="exact"/>
        <w:rPr>
          <w:sz w:val="20"/>
          <w:szCs w:val="20"/>
          <w:lang w:val="nl-NL"/>
        </w:rPr>
      </w:pPr>
    </w:p>
    <w:p w:rsidR="00AC12B4" w:rsidRPr="00C27636" w:rsidRDefault="00C27636">
      <w:pPr>
        <w:tabs>
          <w:tab w:val="left" w:pos="2898"/>
          <w:tab w:val="left" w:pos="3398"/>
        </w:tabs>
        <w:ind w:left="1078"/>
        <w:rPr>
          <w:rFonts w:ascii="Calibri" w:eastAsia="Calibri" w:hAnsi="Calibri" w:cs="Calibri"/>
          <w:color w:val="0000FF"/>
          <w:sz w:val="20"/>
          <w:szCs w:val="20"/>
          <w:lang w:val="nl-NL"/>
        </w:rPr>
      </w:pPr>
      <w:hyperlink r:id="rId305">
        <w:r w:rsidRPr="00C27636">
          <w:rPr>
            <w:rFonts w:ascii="Calibri" w:eastAsia="Calibri" w:hAnsi="Calibri" w:cs="Calibri"/>
            <w:color w:val="0000FF"/>
            <w:sz w:val="20"/>
            <w:szCs w:val="20"/>
            <w:u w:val="single"/>
            <w:lang w:val="nl-NL"/>
          </w:rPr>
          <w:t>vlgewest2013.pdf</w:t>
        </w:r>
        <w:r w:rsidRPr="00C27636">
          <w:rPr>
            <w:rFonts w:ascii="Calibri" w:eastAsia="Calibri" w:hAnsi="Calibri" w:cs="Calibri"/>
            <w:color w:val="000000"/>
            <w:sz w:val="20"/>
            <w:szCs w:val="20"/>
            <w:lang w:val="nl-NL"/>
          </w:rPr>
          <w:t>;</w:t>
        </w:r>
      </w:hyperlink>
      <w:r w:rsidRPr="00C27636">
        <w:rPr>
          <w:rFonts w:ascii="Calibri" w:eastAsia="Calibri" w:hAnsi="Calibri" w:cs="Calibri"/>
          <w:color w:val="0000FF"/>
          <w:sz w:val="20"/>
          <w:szCs w:val="20"/>
          <w:lang w:val="nl-NL"/>
        </w:rPr>
        <w:tab/>
        <w:t>S.</w:t>
      </w:r>
      <w:r w:rsidRPr="00C27636">
        <w:rPr>
          <w:rFonts w:ascii="Calibri" w:eastAsia="Calibri" w:hAnsi="Calibri" w:cs="Calibri"/>
          <w:color w:val="0000FF"/>
          <w:sz w:val="20"/>
          <w:szCs w:val="20"/>
          <w:lang w:val="nl-NL"/>
        </w:rPr>
        <w:tab/>
      </w:r>
      <w:r w:rsidRPr="00C27636">
        <w:rPr>
          <w:rFonts w:ascii="Calibri" w:eastAsia="Calibri" w:hAnsi="Calibri" w:cs="Calibri"/>
          <w:color w:val="0000FF"/>
          <w:sz w:val="19"/>
          <w:szCs w:val="19"/>
          <w:lang w:val="nl-NL"/>
        </w:rPr>
        <w:t>Lenaers,</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sz w:val="20"/>
          <w:szCs w:val="20"/>
          <w:lang w:val="nl-NL"/>
        </w:rPr>
        <w:t>recherche commanditée par Kind en</w:t>
      </w:r>
    </w:p>
    <w:p w:rsidR="00AC12B4" w:rsidRPr="00C27636" w:rsidRDefault="00AC12B4">
      <w:pPr>
        <w:spacing w:line="37" w:lineRule="exact"/>
        <w:rPr>
          <w:sz w:val="20"/>
          <w:szCs w:val="20"/>
          <w:lang w:val="nl-NL"/>
        </w:rPr>
      </w:pPr>
    </w:p>
    <w:p w:rsidR="00AC12B4" w:rsidRPr="00C27636" w:rsidRDefault="00C27636">
      <w:pPr>
        <w:tabs>
          <w:tab w:val="left" w:pos="1718"/>
          <w:tab w:val="left" w:pos="3098"/>
          <w:tab w:val="left" w:pos="3878"/>
        </w:tabs>
        <w:ind w:left="1078"/>
        <w:rPr>
          <w:sz w:val="20"/>
          <w:szCs w:val="20"/>
          <w:lang w:val="nl-NL"/>
        </w:rPr>
      </w:pPr>
      <w:r w:rsidRPr="00C27636">
        <w:rPr>
          <w:rFonts w:ascii="Calibri" w:eastAsia="Calibri" w:hAnsi="Calibri" w:cs="Calibri"/>
          <w:sz w:val="20"/>
          <w:szCs w:val="20"/>
          <w:lang w:val="nl-NL"/>
        </w:rPr>
        <w:t>Gezin,</w:t>
      </w:r>
      <w:r w:rsidRPr="00C27636">
        <w:rPr>
          <w:sz w:val="20"/>
          <w:szCs w:val="20"/>
          <w:lang w:val="nl-NL"/>
        </w:rPr>
        <w:tab/>
      </w:r>
      <w:r w:rsidRPr="00C27636">
        <w:rPr>
          <w:rFonts w:ascii="Calibri" w:eastAsia="Calibri" w:hAnsi="Calibri" w:cs="Calibri"/>
          <w:i/>
          <w:iCs/>
          <w:sz w:val="20"/>
          <w:szCs w:val="20"/>
          <w:lang w:val="nl-NL"/>
        </w:rPr>
        <w:t>Buitenschoolse</w:t>
      </w:r>
      <w:r w:rsidRPr="00C27636">
        <w:rPr>
          <w:rFonts w:ascii="Calibri" w:eastAsia="Calibri" w:hAnsi="Calibri" w:cs="Calibri"/>
          <w:i/>
          <w:iCs/>
          <w:sz w:val="20"/>
          <w:szCs w:val="20"/>
          <w:lang w:val="nl-NL"/>
        </w:rPr>
        <w:tab/>
        <w:t>opvang</w:t>
      </w:r>
      <w:r w:rsidRPr="00C27636">
        <w:rPr>
          <w:rFonts w:ascii="Calibri" w:eastAsia="Calibri" w:hAnsi="Calibri" w:cs="Calibri"/>
          <w:i/>
          <w:iCs/>
          <w:sz w:val="20"/>
          <w:szCs w:val="20"/>
          <w:lang w:val="nl-NL"/>
        </w:rPr>
        <w:tab/>
        <w:t>en</w:t>
      </w:r>
    </w:p>
    <w:p w:rsidR="00AC12B4" w:rsidRPr="00C27636" w:rsidRDefault="00AC12B4">
      <w:pPr>
        <w:spacing w:line="37" w:lineRule="exact"/>
        <w:rPr>
          <w:sz w:val="20"/>
          <w:szCs w:val="20"/>
          <w:lang w:val="nl-NL"/>
        </w:rPr>
      </w:pPr>
    </w:p>
    <w:p w:rsidR="00AC12B4" w:rsidRPr="00C27636" w:rsidRDefault="00C27636">
      <w:pPr>
        <w:tabs>
          <w:tab w:val="left" w:pos="2738"/>
          <w:tab w:val="left" w:pos="3098"/>
        </w:tabs>
        <w:ind w:left="1078"/>
        <w:rPr>
          <w:sz w:val="20"/>
          <w:szCs w:val="20"/>
          <w:lang w:val="nl-NL"/>
        </w:rPr>
      </w:pPr>
      <w:r w:rsidRPr="00C27636">
        <w:rPr>
          <w:rFonts w:ascii="Calibri" w:eastAsia="Calibri" w:hAnsi="Calibri" w:cs="Calibri"/>
          <w:i/>
          <w:iCs/>
          <w:sz w:val="20"/>
          <w:szCs w:val="20"/>
          <w:lang w:val="nl-NL"/>
        </w:rPr>
        <w:t>vrijetijdsbesteding</w:t>
      </w:r>
      <w:r w:rsidRPr="00C27636">
        <w:rPr>
          <w:rFonts w:ascii="Calibri" w:eastAsia="Calibri" w:hAnsi="Calibri" w:cs="Calibri"/>
          <w:i/>
          <w:iCs/>
          <w:sz w:val="20"/>
          <w:szCs w:val="20"/>
          <w:lang w:val="nl-NL"/>
        </w:rPr>
        <w:tab/>
        <w:t>in</w:t>
      </w:r>
      <w:r w:rsidRPr="00C27636">
        <w:rPr>
          <w:sz w:val="20"/>
          <w:szCs w:val="20"/>
          <w:lang w:val="nl-NL"/>
        </w:rPr>
        <w:tab/>
      </w:r>
      <w:r w:rsidRPr="00C27636">
        <w:rPr>
          <w:rFonts w:ascii="Calibri" w:eastAsia="Calibri" w:hAnsi="Calibri" w:cs="Calibri"/>
          <w:i/>
          <w:iCs/>
          <w:sz w:val="19"/>
          <w:szCs w:val="19"/>
          <w:lang w:val="nl-NL"/>
        </w:rPr>
        <w:t>Vlaanderen</w:t>
      </w:r>
      <w:r w:rsidRPr="00C27636">
        <w:rPr>
          <w:rFonts w:ascii="Calibri" w:eastAsia="Calibri" w:hAnsi="Calibri" w:cs="Calibri"/>
          <w:sz w:val="19"/>
          <w:szCs w:val="19"/>
          <w:lang w:val="nl-NL"/>
        </w:rPr>
        <w:t>,</w:t>
      </w:r>
    </w:p>
    <w:p w:rsidR="00AC12B4" w:rsidRPr="00C27636" w:rsidRDefault="00AC12B4">
      <w:pPr>
        <w:spacing w:line="37" w:lineRule="exact"/>
        <w:rPr>
          <w:sz w:val="20"/>
          <w:szCs w:val="20"/>
          <w:lang w:val="nl-NL"/>
        </w:rPr>
      </w:pPr>
    </w:p>
    <w:p w:rsidR="00AC12B4" w:rsidRPr="00C27636" w:rsidRDefault="00C27636">
      <w:pPr>
        <w:ind w:left="1078"/>
        <w:rPr>
          <w:sz w:val="20"/>
          <w:szCs w:val="20"/>
          <w:lang w:val="nl-NL"/>
        </w:rPr>
      </w:pPr>
      <w:r w:rsidRPr="00C27636">
        <w:rPr>
          <w:rFonts w:ascii="Calibri" w:eastAsia="Calibri" w:hAnsi="Calibri" w:cs="Calibri"/>
          <w:sz w:val="20"/>
          <w:szCs w:val="20"/>
          <w:lang w:val="nl-NL"/>
        </w:rPr>
        <w:t>2012,</w:t>
      </w:r>
    </w:p>
    <w:p w:rsidR="00AC12B4" w:rsidRPr="00C27636" w:rsidRDefault="00AC12B4">
      <w:pPr>
        <w:spacing w:line="37" w:lineRule="exact"/>
        <w:rPr>
          <w:sz w:val="20"/>
          <w:szCs w:val="20"/>
          <w:lang w:val="nl-NL"/>
        </w:rPr>
      </w:pPr>
    </w:p>
    <w:p w:rsidR="00AC12B4" w:rsidRPr="00C27636" w:rsidRDefault="00C27636">
      <w:pPr>
        <w:ind w:left="1078"/>
        <w:rPr>
          <w:rFonts w:ascii="Calibri" w:eastAsia="Calibri" w:hAnsi="Calibri" w:cs="Calibri"/>
          <w:color w:val="0000FF"/>
          <w:sz w:val="20"/>
          <w:szCs w:val="20"/>
          <w:u w:val="single"/>
          <w:lang w:val="nl-NL"/>
        </w:rPr>
      </w:pPr>
      <w:hyperlink r:id="rId306">
        <w:r w:rsidRPr="00C27636">
          <w:rPr>
            <w:rFonts w:ascii="Calibri" w:eastAsia="Calibri" w:hAnsi="Calibri" w:cs="Calibri"/>
            <w:color w:val="0000FF"/>
            <w:sz w:val="20"/>
            <w:szCs w:val="20"/>
            <w:u w:val="single"/>
            <w:lang w:val="nl-NL"/>
          </w:rPr>
          <w:t>http://www.kindengezin.be/img/bko</w:t>
        </w:r>
      </w:hyperlink>
    </w:p>
    <w:p w:rsidR="00AC12B4" w:rsidRPr="00C27636" w:rsidRDefault="00AC12B4">
      <w:pPr>
        <w:spacing w:line="37" w:lineRule="exact"/>
        <w:rPr>
          <w:sz w:val="20"/>
          <w:szCs w:val="20"/>
          <w:lang w:val="nl-NL"/>
        </w:rPr>
      </w:pPr>
    </w:p>
    <w:p w:rsidR="00AC12B4" w:rsidRDefault="00C27636">
      <w:pPr>
        <w:ind w:left="1078"/>
        <w:rPr>
          <w:rFonts w:ascii="Calibri" w:eastAsia="Calibri" w:hAnsi="Calibri" w:cs="Calibri"/>
          <w:color w:val="0000FF"/>
          <w:sz w:val="20"/>
          <w:szCs w:val="20"/>
          <w:u w:val="single"/>
        </w:rPr>
      </w:pPr>
      <w:hyperlink r:id="rId307">
        <w:r>
          <w:rPr>
            <w:rFonts w:ascii="Calibri" w:eastAsia="Calibri" w:hAnsi="Calibri" w:cs="Calibri"/>
            <w:color w:val="0000FF"/>
            <w:sz w:val="20"/>
            <w:szCs w:val="20"/>
            <w:u w:val="single"/>
          </w:rPr>
          <w:t>-en-vrijetijdsbesteding-in-vl2013.pdf</w:t>
        </w:r>
      </w:hyperlink>
    </w:p>
    <w:p w:rsidR="00AC12B4" w:rsidRDefault="00AC12B4">
      <w:pPr>
        <w:spacing w:line="36" w:lineRule="exact"/>
        <w:rPr>
          <w:sz w:val="20"/>
          <w:szCs w:val="20"/>
        </w:rPr>
      </w:pPr>
    </w:p>
    <w:p w:rsidR="00AC12B4" w:rsidRDefault="00C27636">
      <w:pPr>
        <w:numPr>
          <w:ilvl w:val="0"/>
          <w:numId w:val="311"/>
        </w:numPr>
        <w:tabs>
          <w:tab w:val="left" w:pos="638"/>
        </w:tabs>
        <w:ind w:left="638" w:hanging="352"/>
        <w:rPr>
          <w:rFonts w:ascii="Symbol" w:eastAsia="Symbol" w:hAnsi="Symbol" w:cs="Symbol"/>
          <w:sz w:val="20"/>
          <w:szCs w:val="20"/>
        </w:rPr>
      </w:pPr>
      <w:r>
        <w:rPr>
          <w:rFonts w:ascii="Calibri" w:eastAsia="Calibri" w:hAnsi="Calibri" w:cs="Calibri"/>
          <w:sz w:val="20"/>
          <w:szCs w:val="20"/>
        </w:rPr>
        <w:t xml:space="preserve">DGS </w:t>
      </w:r>
      <w:r>
        <w:rPr>
          <w:rFonts w:ascii="Calibri" w:eastAsia="Calibri" w:hAnsi="Calibri" w:cs="Calibri"/>
          <w:sz w:val="20"/>
          <w:szCs w:val="20"/>
        </w:rPr>
        <w:t xml:space="preserve"> (Direction  générale  Statistique),</w:t>
      </w:r>
    </w:p>
    <w:p w:rsidR="00AC12B4" w:rsidRDefault="00AC12B4">
      <w:pPr>
        <w:spacing w:line="83" w:lineRule="exact"/>
        <w:rPr>
          <w:rFonts w:ascii="Symbol" w:eastAsia="Symbol" w:hAnsi="Symbol" w:cs="Symbol"/>
          <w:sz w:val="20"/>
          <w:szCs w:val="20"/>
        </w:rPr>
      </w:pPr>
    </w:p>
    <w:p w:rsidR="00AC12B4" w:rsidRPr="00C27636" w:rsidRDefault="00C27636">
      <w:pPr>
        <w:ind w:left="638"/>
        <w:jc w:val="both"/>
        <w:rPr>
          <w:rFonts w:ascii="Symbol" w:eastAsia="Symbol" w:hAnsi="Symbol" w:cs="Symbol"/>
          <w:sz w:val="20"/>
          <w:szCs w:val="20"/>
          <w:lang w:val="fr-BE"/>
        </w:rPr>
      </w:pPr>
      <w:r w:rsidRPr="00C27636">
        <w:rPr>
          <w:rFonts w:ascii="Calibri" w:eastAsia="Calibri" w:hAnsi="Calibri" w:cs="Calibri"/>
          <w:sz w:val="20"/>
          <w:szCs w:val="20"/>
          <w:lang w:val="fr-BE"/>
        </w:rPr>
        <w:t>Enquête sur les forces de travail (EFT), module spéciale 2e trimestre 2010</w:t>
      </w:r>
      <w:r w:rsidRPr="00C27636">
        <w:rPr>
          <w:rFonts w:ascii="Calibri" w:eastAsia="Calibri" w:hAnsi="Calibri" w:cs="Calibri"/>
          <w:sz w:val="25"/>
          <w:szCs w:val="25"/>
          <w:vertAlign w:val="superscript"/>
          <w:lang w:val="fr-BE"/>
        </w:rPr>
        <w:t>10</w:t>
      </w:r>
      <w:r w:rsidRPr="00C27636">
        <w:rPr>
          <w:rFonts w:ascii="Calibri" w:eastAsia="Calibri" w:hAnsi="Calibri" w:cs="Calibri"/>
          <w:sz w:val="20"/>
          <w:szCs w:val="20"/>
          <w:lang w:val="fr-BE"/>
        </w:rPr>
        <w:t xml:space="preserve">: question posée aux </w:t>
      </w:r>
      <w:r w:rsidRPr="00C27636">
        <w:rPr>
          <w:rFonts w:ascii="Calibri" w:eastAsia="Calibri" w:hAnsi="Calibri" w:cs="Calibri"/>
          <w:b/>
          <w:bCs/>
          <w:i/>
          <w:iCs/>
          <w:sz w:val="20"/>
          <w:szCs w:val="20"/>
          <w:lang w:val="fr-BE"/>
        </w:rPr>
        <w:t>personnes qui ne</w:t>
      </w:r>
      <w:r w:rsidRPr="00C27636">
        <w:rPr>
          <w:rFonts w:ascii="Calibri" w:eastAsia="Calibri" w:hAnsi="Calibri" w:cs="Calibri"/>
          <w:sz w:val="20"/>
          <w:szCs w:val="20"/>
          <w:lang w:val="fr-BE"/>
        </w:rPr>
        <w:t xml:space="preserve"> </w:t>
      </w:r>
      <w:r w:rsidRPr="00C27636">
        <w:rPr>
          <w:rFonts w:ascii="Calibri" w:eastAsia="Calibri" w:hAnsi="Calibri" w:cs="Calibri"/>
          <w:b/>
          <w:bCs/>
          <w:i/>
          <w:iCs/>
          <w:sz w:val="20"/>
          <w:szCs w:val="20"/>
          <w:lang w:val="fr-BE"/>
        </w:rPr>
        <w:t>travaillent pas pour garder leurs enfants</w:t>
      </w:r>
    </w:p>
    <w:p w:rsidR="00AC12B4" w:rsidRPr="00C27636" w:rsidRDefault="00AC12B4">
      <w:pPr>
        <w:spacing w:line="39" w:lineRule="exact"/>
        <w:rPr>
          <w:sz w:val="20"/>
          <w:szCs w:val="20"/>
          <w:lang w:val="fr-BE"/>
        </w:rPr>
      </w:pPr>
    </w:p>
    <w:p w:rsidR="00AC12B4" w:rsidRPr="00C27636" w:rsidRDefault="00C27636">
      <w:pPr>
        <w:tabs>
          <w:tab w:val="left" w:pos="1098"/>
          <w:tab w:val="left" w:pos="1738"/>
          <w:tab w:val="left" w:pos="2758"/>
          <w:tab w:val="left" w:pos="3218"/>
        </w:tabs>
        <w:ind w:left="638"/>
        <w:rPr>
          <w:sz w:val="20"/>
          <w:szCs w:val="20"/>
          <w:lang w:val="fr-BE"/>
        </w:rPr>
      </w:pPr>
      <w:r w:rsidRPr="00C27636">
        <w:rPr>
          <w:rFonts w:ascii="Calibri" w:eastAsia="Calibri" w:hAnsi="Calibri" w:cs="Calibri"/>
          <w:b/>
          <w:bCs/>
          <w:i/>
          <w:iCs/>
          <w:sz w:val="20"/>
          <w:szCs w:val="20"/>
          <w:lang w:val="fr-BE"/>
        </w:rPr>
        <w:t>ou</w:t>
      </w:r>
      <w:r w:rsidRPr="00C27636">
        <w:rPr>
          <w:rFonts w:ascii="Calibri" w:eastAsia="Calibri" w:hAnsi="Calibri" w:cs="Calibri"/>
          <w:b/>
          <w:bCs/>
          <w:i/>
          <w:iCs/>
          <w:sz w:val="20"/>
          <w:szCs w:val="20"/>
          <w:lang w:val="fr-BE"/>
        </w:rPr>
        <w:tab/>
        <w:t>pour</w:t>
      </w:r>
      <w:r w:rsidRPr="00C27636">
        <w:rPr>
          <w:rFonts w:ascii="Calibri" w:eastAsia="Calibri" w:hAnsi="Calibri" w:cs="Calibri"/>
          <w:b/>
          <w:bCs/>
          <w:i/>
          <w:iCs/>
          <w:sz w:val="20"/>
          <w:szCs w:val="20"/>
          <w:lang w:val="fr-BE"/>
        </w:rPr>
        <w:tab/>
        <w:t>s’occuper</w:t>
      </w:r>
      <w:r w:rsidRPr="00C27636">
        <w:rPr>
          <w:rFonts w:ascii="Calibri" w:eastAsia="Calibri" w:hAnsi="Calibri" w:cs="Calibri"/>
          <w:b/>
          <w:bCs/>
          <w:i/>
          <w:iCs/>
          <w:sz w:val="20"/>
          <w:szCs w:val="20"/>
          <w:lang w:val="fr-BE"/>
        </w:rPr>
        <w:tab/>
        <w:t>de</w:t>
      </w:r>
      <w:r w:rsidRPr="00C27636">
        <w:rPr>
          <w:rFonts w:ascii="Calibri" w:eastAsia="Calibri" w:hAnsi="Calibri" w:cs="Calibri"/>
          <w:b/>
          <w:bCs/>
          <w:i/>
          <w:iCs/>
          <w:sz w:val="20"/>
          <w:szCs w:val="20"/>
          <w:lang w:val="fr-BE"/>
        </w:rPr>
        <w:tab/>
        <w:t>personnes</w:t>
      </w:r>
    </w:p>
    <w:p w:rsidR="00AC12B4" w:rsidRPr="00C27636" w:rsidRDefault="00AC12B4">
      <w:pPr>
        <w:spacing w:line="83" w:lineRule="exact"/>
        <w:rPr>
          <w:sz w:val="20"/>
          <w:szCs w:val="20"/>
          <w:lang w:val="fr-BE"/>
        </w:rPr>
      </w:pPr>
    </w:p>
    <w:p w:rsidR="00AC12B4" w:rsidRPr="00C27636" w:rsidRDefault="00C27636">
      <w:pPr>
        <w:spacing w:line="266" w:lineRule="auto"/>
        <w:ind w:left="638"/>
        <w:jc w:val="both"/>
        <w:rPr>
          <w:sz w:val="20"/>
          <w:szCs w:val="20"/>
          <w:lang w:val="fr-BE"/>
        </w:rPr>
      </w:pPr>
      <w:r w:rsidRPr="00C27636">
        <w:rPr>
          <w:rFonts w:ascii="Calibri" w:eastAsia="Calibri" w:hAnsi="Calibri" w:cs="Calibri"/>
          <w:b/>
          <w:bCs/>
          <w:i/>
          <w:iCs/>
          <w:sz w:val="20"/>
          <w:szCs w:val="20"/>
          <w:lang w:val="fr-BE"/>
        </w:rPr>
        <w:lastRenderedPageBreak/>
        <w:t xml:space="preserve">dépendantes </w:t>
      </w:r>
      <w:r w:rsidRPr="00C27636">
        <w:rPr>
          <w:rFonts w:ascii="Calibri" w:eastAsia="Calibri" w:hAnsi="Calibri" w:cs="Calibri"/>
          <w:sz w:val="20"/>
          <w:szCs w:val="20"/>
          <w:lang w:val="fr-BE"/>
        </w:rPr>
        <w:t xml:space="preserve">: « Pour quelle </w:t>
      </w:r>
      <w:r w:rsidRPr="00C27636">
        <w:rPr>
          <w:rFonts w:ascii="Calibri" w:eastAsia="Calibri" w:hAnsi="Calibri" w:cs="Calibri"/>
          <w:sz w:val="20"/>
          <w:szCs w:val="20"/>
          <w:lang w:val="fr-BE"/>
        </w:rPr>
        <w:t>raison</w:t>
      </w:r>
      <w:r w:rsidRPr="00C27636">
        <w:rPr>
          <w:rFonts w:ascii="Calibri" w:eastAsia="Calibri" w:hAnsi="Calibri" w:cs="Calibri"/>
          <w:b/>
          <w:bCs/>
          <w:i/>
          <w:iCs/>
          <w:sz w:val="20"/>
          <w:szCs w:val="20"/>
          <w:lang w:val="fr-BE"/>
        </w:rPr>
        <w:t xml:space="preserve"> </w:t>
      </w:r>
      <w:r w:rsidRPr="00C27636">
        <w:rPr>
          <w:rFonts w:ascii="Calibri" w:eastAsia="Calibri" w:hAnsi="Calibri" w:cs="Calibri"/>
          <w:sz w:val="20"/>
          <w:szCs w:val="20"/>
          <w:lang w:val="fr-BE"/>
        </w:rPr>
        <w:t>gardez-vous vos enfants ou vous occupez-vous d’autres personnes dépendantes (malades, handicapées ou âgées) ? (une seule réponse possible )». 16,2% des femmes et 5% des hommes ont répondu :</w:t>
      </w:r>
    </w:p>
    <w:p w:rsidR="00AC12B4" w:rsidRPr="00C27636" w:rsidRDefault="00AC12B4">
      <w:pPr>
        <w:spacing w:line="61" w:lineRule="exact"/>
        <w:rPr>
          <w:sz w:val="20"/>
          <w:szCs w:val="20"/>
          <w:lang w:val="fr-BE"/>
        </w:rPr>
      </w:pPr>
    </w:p>
    <w:p w:rsidR="00AC12B4" w:rsidRPr="00C27636" w:rsidRDefault="00C27636">
      <w:pPr>
        <w:numPr>
          <w:ilvl w:val="1"/>
          <w:numId w:val="312"/>
        </w:numPr>
        <w:tabs>
          <w:tab w:val="left" w:pos="787"/>
        </w:tabs>
        <w:spacing w:line="268" w:lineRule="auto"/>
        <w:ind w:left="638" w:firstLine="8"/>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Parce qu’aucun service approprié d’accueil d’enfants n’est</w:t>
      </w:r>
      <w:r w:rsidRPr="00C27636">
        <w:rPr>
          <w:rFonts w:ascii="Calibri" w:eastAsia="Calibri" w:hAnsi="Calibri" w:cs="Calibri"/>
          <w:sz w:val="20"/>
          <w:szCs w:val="20"/>
          <w:lang w:val="fr-BE"/>
        </w:rPr>
        <w:t xml:space="preserve"> disponible ou abordable » </w:t>
      </w:r>
      <w:hyperlink r:id="rId308">
        <w:r w:rsidRPr="00C27636">
          <w:rPr>
            <w:rFonts w:ascii="Calibri" w:eastAsia="Calibri" w:hAnsi="Calibri" w:cs="Calibri"/>
            <w:color w:val="0000FF"/>
            <w:sz w:val="20"/>
            <w:szCs w:val="20"/>
            <w:u w:val="single"/>
            <w:lang w:val="fr-BE"/>
          </w:rPr>
          <w:t>http://statbel.fgov.be/fr/modules/publica</w:t>
        </w:r>
      </w:hyperlink>
      <w:r w:rsidRPr="00C27636">
        <w:rPr>
          <w:rFonts w:ascii="Calibri" w:eastAsia="Calibri" w:hAnsi="Calibri" w:cs="Calibri"/>
          <w:color w:val="0000FF"/>
          <w:sz w:val="20"/>
          <w:szCs w:val="20"/>
          <w:u w:val="single"/>
          <w:lang w:val="fr-BE"/>
        </w:rPr>
        <w:t xml:space="preserve"> </w:t>
      </w:r>
      <w:hyperlink r:id="rId309">
        <w:r w:rsidRPr="00C27636">
          <w:rPr>
            <w:rFonts w:ascii="Calibri" w:eastAsia="Calibri" w:hAnsi="Calibri" w:cs="Calibri"/>
            <w:color w:val="0000FF"/>
            <w:sz w:val="20"/>
            <w:szCs w:val="20"/>
            <w:u w:val="single"/>
            <w:lang w:val="fr-BE"/>
          </w:rPr>
          <w:t>tions/statistiques/marche_du_travail_et_</w:t>
        </w:r>
      </w:hyperlink>
      <w:r w:rsidRPr="00C27636">
        <w:rPr>
          <w:rFonts w:ascii="Calibri" w:eastAsia="Calibri" w:hAnsi="Calibri" w:cs="Calibri"/>
          <w:color w:val="0000FF"/>
          <w:sz w:val="20"/>
          <w:szCs w:val="20"/>
          <w:u w:val="single"/>
          <w:lang w:val="fr-BE"/>
        </w:rPr>
        <w:t xml:space="preserve"> </w:t>
      </w:r>
      <w:hyperlink r:id="rId310">
        <w:r w:rsidRPr="00C27636">
          <w:rPr>
            <w:rFonts w:ascii="Calibri" w:eastAsia="Calibri" w:hAnsi="Calibri" w:cs="Calibri"/>
            <w:color w:val="0000FF"/>
            <w:sz w:val="20"/>
            <w:szCs w:val="20"/>
            <w:u w:val="single"/>
            <w:lang w:val="fr-BE"/>
          </w:rPr>
          <w:t>conditions_de_vie/conciliation_entre_vie</w:t>
        </w:r>
      </w:hyperlink>
      <w:r w:rsidRPr="00C27636">
        <w:rPr>
          <w:rFonts w:ascii="Calibri" w:eastAsia="Calibri" w:hAnsi="Calibri" w:cs="Calibri"/>
          <w:color w:val="0000FF"/>
          <w:sz w:val="20"/>
          <w:szCs w:val="20"/>
          <w:u w:val="single"/>
          <w:lang w:val="fr-BE"/>
        </w:rPr>
        <w:t xml:space="preserve"> </w:t>
      </w:r>
      <w:hyperlink r:id="rId311">
        <w:r w:rsidRPr="00C27636">
          <w:rPr>
            <w:rFonts w:ascii="Calibri" w:eastAsia="Calibri" w:hAnsi="Calibri" w:cs="Calibri"/>
            <w:color w:val="0000FF"/>
            <w:sz w:val="20"/>
            <w:szCs w:val="20"/>
            <w:u w:val="single"/>
            <w:lang w:val="fr-BE"/>
          </w:rPr>
          <w:t>_professionnelle_et_vie_familiale.jsp</w:t>
        </w:r>
      </w:hyperlink>
    </w:p>
    <w:p w:rsidR="00AC12B4" w:rsidRPr="00C27636" w:rsidRDefault="00AC12B4">
      <w:pPr>
        <w:spacing w:line="69" w:lineRule="exact"/>
        <w:rPr>
          <w:rFonts w:ascii="Calibri" w:eastAsia="Calibri" w:hAnsi="Calibri" w:cs="Calibri"/>
          <w:color w:val="0000FF"/>
          <w:sz w:val="20"/>
          <w:szCs w:val="20"/>
          <w:u w:val="single"/>
          <w:lang w:val="fr-BE"/>
        </w:rPr>
      </w:pPr>
    </w:p>
    <w:p w:rsidR="00AC12B4" w:rsidRPr="00C27636" w:rsidRDefault="00C27636">
      <w:pPr>
        <w:numPr>
          <w:ilvl w:val="0"/>
          <w:numId w:val="312"/>
        </w:numPr>
        <w:tabs>
          <w:tab w:val="left" w:pos="358"/>
        </w:tabs>
        <w:spacing w:line="246" w:lineRule="auto"/>
        <w:ind w:left="358" w:hanging="358"/>
        <w:jc w:val="both"/>
        <w:rPr>
          <w:rFonts w:ascii="Symbol" w:eastAsia="Symbol" w:hAnsi="Symbol" w:cs="Symbol"/>
          <w:sz w:val="20"/>
          <w:szCs w:val="20"/>
          <w:lang w:val="fr-BE"/>
        </w:rPr>
      </w:pPr>
      <w:r w:rsidRPr="00C27636">
        <w:rPr>
          <w:rFonts w:ascii="Calibri" w:eastAsia="Calibri" w:hAnsi="Calibri" w:cs="Calibri"/>
          <w:b/>
          <w:bCs/>
          <w:i/>
          <w:iCs/>
          <w:sz w:val="20"/>
          <w:szCs w:val="20"/>
          <w:lang w:val="fr-BE"/>
        </w:rPr>
        <w:t xml:space="preserve">Enquête PROVAC : </w:t>
      </w:r>
      <w:r w:rsidRPr="00C27636">
        <w:rPr>
          <w:rFonts w:ascii="Calibri" w:eastAsia="Calibri" w:hAnsi="Calibri" w:cs="Calibri"/>
          <w:sz w:val="20"/>
          <w:szCs w:val="20"/>
          <w:lang w:val="fr-BE"/>
        </w:rPr>
        <w:t>Cette enquête sur la</w:t>
      </w:r>
      <w:r w:rsidRPr="00C27636">
        <w:rPr>
          <w:rFonts w:ascii="Calibri" w:eastAsia="Calibri" w:hAnsi="Calibri" w:cs="Calibri"/>
          <w:b/>
          <w:bCs/>
          <w:i/>
          <w:iCs/>
          <w:sz w:val="20"/>
          <w:szCs w:val="20"/>
          <w:lang w:val="fr-BE"/>
        </w:rPr>
        <w:t xml:space="preserve"> </w:t>
      </w:r>
      <w:r w:rsidRPr="00C27636">
        <w:rPr>
          <w:rFonts w:ascii="Calibri" w:eastAsia="Calibri" w:hAnsi="Calibri" w:cs="Calibri"/>
          <w:sz w:val="20"/>
          <w:szCs w:val="20"/>
          <w:lang w:val="fr-BE"/>
        </w:rPr>
        <w:t>vaccination des 18-24 mois (Cf. indicateur vaccination) a en 2012 été co-financée pa</w:t>
      </w:r>
      <w:r w:rsidRPr="00C27636">
        <w:rPr>
          <w:rFonts w:ascii="Calibri" w:eastAsia="Calibri" w:hAnsi="Calibri" w:cs="Calibri"/>
          <w:sz w:val="20"/>
          <w:szCs w:val="20"/>
          <w:lang w:val="fr-BE"/>
        </w:rPr>
        <w:t>r</w:t>
      </w:r>
    </w:p>
    <w:p w:rsidR="00AC12B4" w:rsidRPr="00C27636" w:rsidRDefault="00C27636">
      <w:pPr>
        <w:spacing w:line="20" w:lineRule="exact"/>
        <w:rPr>
          <w:rFonts w:ascii="Calibri" w:eastAsia="Calibri" w:hAnsi="Calibri" w:cs="Calibri"/>
          <w:color w:val="0000FF"/>
          <w:sz w:val="20"/>
          <w:szCs w:val="20"/>
          <w:u w:val="single"/>
          <w:lang w:val="fr-BE"/>
        </w:rPr>
      </w:pPr>
      <w:r>
        <w:rPr>
          <w:rFonts w:ascii="Calibri" w:eastAsia="Calibri" w:hAnsi="Calibri" w:cs="Calibri"/>
          <w:noProof/>
          <w:color w:val="0000FF"/>
          <w:sz w:val="20"/>
          <w:szCs w:val="20"/>
          <w:u w:val="single"/>
        </w:rPr>
        <mc:AlternateContent>
          <mc:Choice Requires="wps">
            <w:drawing>
              <wp:anchor distT="0" distB="0" distL="114300" distR="114300" simplePos="0" relativeHeight="251820544" behindDoc="1" locked="0" layoutInCell="0" allowOverlap="1">
                <wp:simplePos x="0" y="0"/>
                <wp:positionH relativeFrom="column">
                  <wp:posOffset>138430</wp:posOffset>
                </wp:positionH>
                <wp:positionV relativeFrom="paragraph">
                  <wp:posOffset>132080</wp:posOffset>
                </wp:positionV>
                <wp:extent cx="1828800" cy="0"/>
                <wp:effectExtent l="0" t="0" r="0" b="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pt,10.4pt" to="154.9pt,10.4pt" o:allowincell="f" strokecolor="#000000" strokeweight="0.72pt"/>
            </w:pict>
          </mc:Fallback>
        </mc:AlternateContent>
      </w: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59" w:lineRule="exact"/>
        <w:rPr>
          <w:rFonts w:ascii="Calibri" w:eastAsia="Calibri" w:hAnsi="Calibri" w:cs="Calibri"/>
          <w:color w:val="0000FF"/>
          <w:sz w:val="20"/>
          <w:szCs w:val="20"/>
          <w:u w:val="single"/>
          <w:lang w:val="fr-BE"/>
        </w:rPr>
      </w:pPr>
    </w:p>
    <w:p w:rsidR="00AC12B4" w:rsidRDefault="00C27636">
      <w:pPr>
        <w:numPr>
          <w:ilvl w:val="0"/>
          <w:numId w:val="313"/>
        </w:numPr>
        <w:tabs>
          <w:tab w:val="left" w:pos="410"/>
        </w:tabs>
        <w:spacing w:line="204" w:lineRule="auto"/>
        <w:ind w:left="218"/>
        <w:jc w:val="both"/>
        <w:rPr>
          <w:rFonts w:ascii="Calibri" w:eastAsia="Calibri" w:hAnsi="Calibri" w:cs="Calibri"/>
          <w:sz w:val="26"/>
          <w:szCs w:val="26"/>
          <w:vertAlign w:val="superscript"/>
        </w:rPr>
      </w:pPr>
      <w:r w:rsidRPr="00C27636">
        <w:rPr>
          <w:rFonts w:ascii="Calibri" w:eastAsia="Calibri" w:hAnsi="Calibri" w:cs="Calibri"/>
          <w:sz w:val="20"/>
          <w:szCs w:val="20"/>
          <w:lang w:val="fr-BE"/>
        </w:rPr>
        <w:t xml:space="preserve">Ce module visait toutes les personnes âgées de 15 à 64 ans faisant partie de l’échantillon de l’enquête sur les forces de travail. </w:t>
      </w:r>
      <w:r>
        <w:rPr>
          <w:rFonts w:ascii="Calibri" w:eastAsia="Calibri" w:hAnsi="Calibri" w:cs="Calibri"/>
          <w:sz w:val="20"/>
          <w:szCs w:val="20"/>
        </w:rPr>
        <w:t>Parmi les</w:t>
      </w:r>
    </w:p>
    <w:p w:rsidR="00AC12B4" w:rsidRDefault="00AC12B4">
      <w:pPr>
        <w:spacing w:line="47" w:lineRule="exact"/>
        <w:rPr>
          <w:rFonts w:ascii="Calibri" w:eastAsia="Calibri" w:hAnsi="Calibri" w:cs="Calibri"/>
          <w:sz w:val="26"/>
          <w:szCs w:val="26"/>
          <w:vertAlign w:val="superscript"/>
        </w:rPr>
      </w:pPr>
    </w:p>
    <w:p w:rsidR="00AC12B4" w:rsidRPr="00C27636" w:rsidRDefault="00C27636">
      <w:pPr>
        <w:spacing w:line="225" w:lineRule="auto"/>
        <w:ind w:left="21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17.031 personnes interrogées , 16.289 ont répondu au module, ce qui correspond à un taux de réponse de </w:t>
      </w:r>
      <w:r w:rsidRPr="00C27636">
        <w:rPr>
          <w:rFonts w:ascii="Calibri" w:eastAsia="Calibri" w:hAnsi="Calibri" w:cs="Calibri"/>
          <w:sz w:val="20"/>
          <w:szCs w:val="20"/>
          <w:lang w:val="fr-BE"/>
        </w:rPr>
        <w:t>95,6%.</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191" w:lineRule="exact"/>
        <w:rPr>
          <w:rFonts w:ascii="Calibri" w:eastAsia="Calibri" w:hAnsi="Calibri" w:cs="Calibri"/>
          <w:color w:val="0000FF"/>
          <w:sz w:val="20"/>
          <w:szCs w:val="20"/>
          <w:u w:val="single"/>
          <w:lang w:val="fr-BE"/>
        </w:rPr>
      </w:pPr>
    </w:p>
    <w:p w:rsidR="00AC12B4" w:rsidRPr="00C27636" w:rsidRDefault="00C27636">
      <w:pPr>
        <w:spacing w:line="264" w:lineRule="auto"/>
        <w:ind w:left="660" w:right="737"/>
        <w:jc w:val="both"/>
        <w:rPr>
          <w:sz w:val="20"/>
          <w:szCs w:val="20"/>
          <w:lang w:val="fr-BE"/>
        </w:rPr>
      </w:pPr>
      <w:r w:rsidRPr="00C27636">
        <w:rPr>
          <w:rFonts w:ascii="Calibri" w:eastAsia="Calibri" w:hAnsi="Calibri" w:cs="Calibri"/>
          <w:sz w:val="20"/>
          <w:szCs w:val="20"/>
          <w:lang w:val="fr-BE"/>
        </w:rPr>
        <w:t>l’Observatoire de la Santé et du Social de Bruxelles-capitale, ce qui a permis de développer une partie du questionnaire sur les modes de garde d’enfants en Région Wallonne et Bruxelloise.</w:t>
      </w:r>
    </w:p>
    <w:p w:rsidR="00AC12B4" w:rsidRPr="00C27636" w:rsidRDefault="00AC12B4">
      <w:pPr>
        <w:spacing w:line="16" w:lineRule="exact"/>
        <w:rPr>
          <w:rFonts w:ascii="Calibri" w:eastAsia="Calibri" w:hAnsi="Calibri" w:cs="Calibri"/>
          <w:color w:val="0000FF"/>
          <w:sz w:val="20"/>
          <w:szCs w:val="20"/>
          <w:u w:val="single"/>
          <w:lang w:val="fr-BE"/>
        </w:rPr>
      </w:pPr>
    </w:p>
    <w:p w:rsidR="00AC12B4" w:rsidRDefault="00C27636">
      <w:pPr>
        <w:numPr>
          <w:ilvl w:val="0"/>
          <w:numId w:val="314"/>
        </w:numPr>
        <w:tabs>
          <w:tab w:val="left" w:pos="660"/>
        </w:tabs>
        <w:ind w:left="660" w:hanging="353"/>
        <w:rPr>
          <w:rFonts w:ascii="Symbol" w:eastAsia="Symbol" w:hAnsi="Symbol" w:cs="Symbol"/>
          <w:sz w:val="20"/>
          <w:szCs w:val="20"/>
        </w:rPr>
      </w:pPr>
      <w:r>
        <w:rPr>
          <w:rFonts w:ascii="Calibri" w:eastAsia="Calibri" w:hAnsi="Calibri" w:cs="Calibri"/>
          <w:b/>
          <w:bCs/>
          <w:i/>
          <w:iCs/>
          <w:sz w:val="20"/>
          <w:szCs w:val="20"/>
        </w:rPr>
        <w:t>Ligue des Familles : Baromètre 2015 des</w:t>
      </w:r>
    </w:p>
    <w:p w:rsidR="00AC12B4" w:rsidRDefault="00AC12B4">
      <w:pPr>
        <w:spacing w:line="80" w:lineRule="exact"/>
        <w:rPr>
          <w:rFonts w:ascii="Symbol" w:eastAsia="Symbol" w:hAnsi="Symbol" w:cs="Symbol"/>
          <w:sz w:val="20"/>
          <w:szCs w:val="20"/>
        </w:rPr>
      </w:pPr>
    </w:p>
    <w:p w:rsidR="00AC12B4" w:rsidRDefault="00C27636">
      <w:pPr>
        <w:spacing w:line="270" w:lineRule="auto"/>
        <w:ind w:left="660" w:right="737"/>
        <w:rPr>
          <w:rFonts w:ascii="Calibri" w:eastAsia="Calibri" w:hAnsi="Calibri" w:cs="Calibri"/>
          <w:color w:val="0000FF"/>
          <w:sz w:val="20"/>
          <w:szCs w:val="20"/>
          <w:u w:val="single"/>
        </w:rPr>
      </w:pPr>
      <w:r w:rsidRPr="00C27636">
        <w:rPr>
          <w:rFonts w:ascii="Calibri" w:eastAsia="Calibri" w:hAnsi="Calibri" w:cs="Calibri"/>
          <w:b/>
          <w:bCs/>
          <w:i/>
          <w:iCs/>
          <w:sz w:val="20"/>
          <w:szCs w:val="20"/>
          <w:lang w:val="fr-BE"/>
        </w:rPr>
        <w:t xml:space="preserve">parents </w:t>
      </w:r>
      <w:r w:rsidRPr="00C27636">
        <w:rPr>
          <w:rFonts w:ascii="Calibri" w:eastAsia="Calibri" w:hAnsi="Calibri" w:cs="Calibri"/>
          <w:sz w:val="20"/>
          <w:szCs w:val="20"/>
          <w:lang w:val="fr-BE"/>
        </w:rPr>
        <w:t>: 1 500</w:t>
      </w:r>
      <w:r w:rsidRPr="00C27636">
        <w:rPr>
          <w:rFonts w:ascii="Calibri" w:eastAsia="Calibri" w:hAnsi="Calibri" w:cs="Calibri"/>
          <w:sz w:val="20"/>
          <w:szCs w:val="20"/>
          <w:lang w:val="fr-BE"/>
        </w:rPr>
        <w:t xml:space="preserve"> parents vivant à Bruxelles et</w:t>
      </w:r>
      <w:r w:rsidRPr="00C27636">
        <w:rPr>
          <w:rFonts w:ascii="Calibri" w:eastAsia="Calibri" w:hAnsi="Calibri" w:cs="Calibri"/>
          <w:b/>
          <w:bCs/>
          <w:i/>
          <w:iCs/>
          <w:sz w:val="20"/>
          <w:szCs w:val="20"/>
          <w:lang w:val="fr-BE"/>
        </w:rPr>
        <w:t xml:space="preserve"> </w:t>
      </w:r>
      <w:r w:rsidRPr="00C27636">
        <w:rPr>
          <w:rFonts w:ascii="Calibri" w:eastAsia="Calibri" w:hAnsi="Calibri" w:cs="Calibri"/>
          <w:sz w:val="20"/>
          <w:szCs w:val="20"/>
          <w:lang w:val="fr-BE"/>
        </w:rPr>
        <w:t xml:space="preserve">en Wallonie ont été interrogés sur divers thèmes. Il en ressort que « </w:t>
      </w:r>
      <w:r w:rsidRPr="00C27636">
        <w:rPr>
          <w:rFonts w:ascii="Calibri" w:eastAsia="Calibri" w:hAnsi="Calibri" w:cs="Calibri"/>
          <w:i/>
          <w:iCs/>
          <w:sz w:val="20"/>
          <w:szCs w:val="20"/>
          <w:lang w:val="fr-BE"/>
        </w:rPr>
        <w:t>Presque 1 famille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 xml:space="preserve">sur 10 n’a trouvé aucune solution. Et parmi ceux qui ont une place, 2 parents sur 3 sont très insatisfaits de son prix. </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w:t>
      </w:r>
      <w:hyperlink r:id="rId312">
        <w:r>
          <w:rPr>
            <w:rFonts w:ascii="Calibri" w:eastAsia="Calibri" w:hAnsi="Calibri" w:cs="Calibri"/>
            <w:color w:val="0000FF"/>
            <w:sz w:val="20"/>
            <w:szCs w:val="20"/>
            <w:u w:val="single"/>
          </w:rPr>
          <w:t>https://www.laligue.be/leligueur/articles/la-</w:t>
        </w:r>
      </w:hyperlink>
      <w:hyperlink r:id="rId313">
        <w:r>
          <w:rPr>
            <w:rFonts w:ascii="Calibri" w:eastAsia="Calibri" w:hAnsi="Calibri" w:cs="Calibri"/>
            <w:color w:val="0000FF"/>
            <w:sz w:val="20"/>
            <w:szCs w:val="20"/>
            <w:u w:val="single"/>
          </w:rPr>
          <w:t>ligue-des-familles-lance-le-premier-</w:t>
        </w:r>
      </w:hyperlink>
      <w:hyperlink r:id="rId314">
        <w:r>
          <w:rPr>
            <w:rFonts w:ascii="Calibri" w:eastAsia="Calibri" w:hAnsi="Calibri" w:cs="Calibri"/>
            <w:color w:val="0000FF"/>
            <w:sz w:val="20"/>
            <w:szCs w:val="20"/>
            <w:u w:val="single"/>
          </w:rPr>
          <w:t>barometre-des-parents</w:t>
        </w:r>
      </w:hyperlink>
    </w:p>
    <w:p w:rsidR="00AC12B4" w:rsidRDefault="00AC12B4">
      <w:pPr>
        <w:spacing w:line="67" w:lineRule="exact"/>
        <w:rPr>
          <w:rFonts w:ascii="Calibri" w:eastAsia="Calibri" w:hAnsi="Calibri" w:cs="Calibri"/>
          <w:color w:val="0000FF"/>
          <w:sz w:val="20"/>
          <w:szCs w:val="20"/>
          <w:u w:val="single"/>
        </w:rPr>
      </w:pPr>
    </w:p>
    <w:p w:rsidR="00AC12B4" w:rsidRPr="00C27636" w:rsidRDefault="00C27636">
      <w:pPr>
        <w:numPr>
          <w:ilvl w:val="1"/>
          <w:numId w:val="314"/>
        </w:numPr>
        <w:tabs>
          <w:tab w:val="left" w:pos="800"/>
        </w:tabs>
        <w:spacing w:line="228" w:lineRule="auto"/>
        <w:ind w:left="800" w:right="737" w:hanging="351"/>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Besoin de continuité entre école et loisirs pour les </w:t>
      </w:r>
      <w:r w:rsidRPr="00C27636">
        <w:rPr>
          <w:rFonts w:ascii="Calibri" w:eastAsia="Calibri" w:hAnsi="Calibri" w:cs="Calibri"/>
          <w:sz w:val="20"/>
          <w:szCs w:val="20"/>
          <w:lang w:val="fr-BE"/>
        </w:rPr>
        <w:t>enfants de 0 à 6 ans : OCDE,</w:t>
      </w:r>
    </w:p>
    <w:p w:rsidR="00AC12B4" w:rsidRPr="00C27636" w:rsidRDefault="00AC12B4">
      <w:pPr>
        <w:spacing w:line="38" w:lineRule="exact"/>
        <w:rPr>
          <w:rFonts w:ascii="Symbol" w:eastAsia="Symbol" w:hAnsi="Symbol" w:cs="Symbol"/>
          <w:sz w:val="20"/>
          <w:szCs w:val="20"/>
          <w:lang w:val="fr-BE"/>
        </w:rPr>
      </w:pPr>
    </w:p>
    <w:p w:rsidR="00AC12B4" w:rsidRPr="00C27636" w:rsidRDefault="00C27636">
      <w:pPr>
        <w:ind w:left="800"/>
        <w:rPr>
          <w:rFonts w:ascii="Symbol" w:eastAsia="Symbol" w:hAnsi="Symbol" w:cs="Symbol"/>
          <w:sz w:val="20"/>
          <w:szCs w:val="20"/>
          <w:lang w:val="fr-BE"/>
        </w:rPr>
      </w:pPr>
      <w:r w:rsidRPr="00C27636">
        <w:rPr>
          <w:rFonts w:ascii="Calibri" w:eastAsia="Calibri" w:hAnsi="Calibri" w:cs="Calibri"/>
          <w:sz w:val="20"/>
          <w:szCs w:val="20"/>
          <w:lang w:val="fr-BE"/>
        </w:rPr>
        <w:t>Eurydice,Commissioneuropéenne</w:t>
      </w:r>
    </w:p>
    <w:p w:rsidR="00AC12B4" w:rsidRPr="00C27636" w:rsidRDefault="00AC12B4">
      <w:pPr>
        <w:spacing w:line="83" w:lineRule="exact"/>
        <w:rPr>
          <w:rFonts w:ascii="Symbol" w:eastAsia="Symbol" w:hAnsi="Symbol" w:cs="Symbol"/>
          <w:sz w:val="20"/>
          <w:szCs w:val="20"/>
          <w:lang w:val="fr-BE"/>
        </w:rPr>
      </w:pPr>
    </w:p>
    <w:p w:rsidR="00AC12B4" w:rsidRPr="00C27636" w:rsidRDefault="00C27636">
      <w:pPr>
        <w:spacing w:line="235" w:lineRule="auto"/>
        <w:ind w:left="800" w:right="737"/>
        <w:jc w:val="both"/>
        <w:rPr>
          <w:rFonts w:ascii="Symbol" w:eastAsia="Symbol" w:hAnsi="Symbol" w:cs="Symbol"/>
          <w:sz w:val="20"/>
          <w:szCs w:val="20"/>
          <w:lang w:val="fr-BE"/>
        </w:rPr>
      </w:pPr>
      <w:r w:rsidRPr="00C27636">
        <w:rPr>
          <w:rFonts w:ascii="Calibri" w:eastAsia="Calibri" w:hAnsi="Calibri" w:cs="Calibri"/>
          <w:sz w:val="20"/>
          <w:szCs w:val="20"/>
          <w:lang w:val="fr-BE"/>
        </w:rPr>
        <w:t>(“L’accueil et l’éducation des jeunes enfants”) ainsi que FRAJE , Recherche</w:t>
      </w:r>
    </w:p>
    <w:p w:rsidR="00AC12B4" w:rsidRPr="00C27636" w:rsidRDefault="00AC12B4">
      <w:pPr>
        <w:spacing w:line="83" w:lineRule="exact"/>
        <w:rPr>
          <w:rFonts w:ascii="Symbol" w:eastAsia="Symbol" w:hAnsi="Symbol" w:cs="Symbol"/>
          <w:sz w:val="20"/>
          <w:szCs w:val="20"/>
          <w:lang w:val="fr-BE"/>
        </w:rPr>
      </w:pPr>
    </w:p>
    <w:p w:rsidR="00AC12B4" w:rsidRPr="00C27636" w:rsidRDefault="00C27636">
      <w:pPr>
        <w:spacing w:line="257" w:lineRule="auto"/>
        <w:ind w:left="800" w:right="737"/>
        <w:jc w:val="both"/>
        <w:rPr>
          <w:rFonts w:ascii="Symbol" w:eastAsia="Symbol" w:hAnsi="Symbol" w:cs="Symbol"/>
          <w:sz w:val="20"/>
          <w:szCs w:val="20"/>
          <w:lang w:val="fr-BE"/>
        </w:rPr>
      </w:pPr>
      <w:r w:rsidRPr="00C27636">
        <w:rPr>
          <w:rFonts w:ascii="Calibri" w:eastAsia="Calibri" w:hAnsi="Calibri" w:cs="Calibri"/>
          <w:sz w:val="20"/>
          <w:szCs w:val="20"/>
          <w:lang w:val="fr-BE"/>
        </w:rPr>
        <w:t>exploratoire "La journée d'un enfant en classe d'accueil"</w:t>
      </w:r>
      <w:r w:rsidRPr="00C27636">
        <w:rPr>
          <w:rFonts w:ascii="Calibri" w:eastAsia="Calibri" w:hAnsi="Calibri" w:cs="Calibri"/>
          <w:color w:val="666666"/>
          <w:sz w:val="25"/>
          <w:szCs w:val="25"/>
          <w:vertAlign w:val="superscript"/>
          <w:lang w:val="fr-BE"/>
        </w:rPr>
        <w:t>11</w:t>
      </w:r>
      <w:r w:rsidRPr="00C27636">
        <w:rPr>
          <w:rFonts w:ascii="Calibri" w:eastAsia="Calibri" w:hAnsi="Calibri" w:cs="Calibri"/>
          <w:sz w:val="20"/>
          <w:szCs w:val="20"/>
          <w:lang w:val="fr-BE"/>
        </w:rPr>
        <w:t xml:space="preserve"> (étude sur le respect des rythmes et des besoins des enfants, la qualité des espaces d'accueil qui leur sont dédiés et la circulation de la communication entre les différents professionnels qui en ont la responsabilité).</w:t>
      </w:r>
    </w:p>
    <w:p w:rsidR="00AC12B4" w:rsidRPr="00C27636" w:rsidRDefault="00AC12B4">
      <w:pPr>
        <w:spacing w:line="82" w:lineRule="exact"/>
        <w:rPr>
          <w:rFonts w:ascii="Symbol" w:eastAsia="Symbol" w:hAnsi="Symbol" w:cs="Symbol"/>
          <w:sz w:val="20"/>
          <w:szCs w:val="20"/>
          <w:lang w:val="fr-BE"/>
        </w:rPr>
      </w:pPr>
    </w:p>
    <w:p w:rsidR="00AC12B4" w:rsidRPr="00C27636" w:rsidRDefault="00C27636">
      <w:pPr>
        <w:numPr>
          <w:ilvl w:val="2"/>
          <w:numId w:val="314"/>
        </w:numPr>
        <w:tabs>
          <w:tab w:val="left" w:pos="1240"/>
        </w:tabs>
        <w:spacing w:line="264" w:lineRule="auto"/>
        <w:ind w:left="1240" w:right="737" w:hanging="355"/>
        <w:jc w:val="both"/>
        <w:rPr>
          <w:rFonts w:ascii="Symbol" w:eastAsia="Symbol" w:hAnsi="Symbol" w:cs="Symbol"/>
          <w:sz w:val="20"/>
          <w:szCs w:val="20"/>
          <w:lang w:val="fr-BE"/>
        </w:rPr>
      </w:pPr>
      <w:r w:rsidRPr="00C27636">
        <w:rPr>
          <w:rFonts w:ascii="Calibri" w:eastAsia="Calibri" w:hAnsi="Calibri" w:cs="Calibri"/>
          <w:sz w:val="20"/>
          <w:szCs w:val="20"/>
          <w:lang w:val="fr-BE"/>
        </w:rPr>
        <w:t>Pour une analyse des services pub</w:t>
      </w:r>
      <w:r w:rsidRPr="00C27636">
        <w:rPr>
          <w:rFonts w:ascii="Calibri" w:eastAsia="Calibri" w:hAnsi="Calibri" w:cs="Calibri"/>
          <w:sz w:val="20"/>
          <w:szCs w:val="20"/>
          <w:lang w:val="fr-BE"/>
        </w:rPr>
        <w:t xml:space="preserve">lics d’accueil de la petite enfance : Service de lutte contre la pauvreté la précarité et l’exclusion sociale, </w:t>
      </w:r>
      <w:r w:rsidRPr="00C27636">
        <w:rPr>
          <w:rFonts w:ascii="Calibri" w:eastAsia="Calibri" w:hAnsi="Calibri" w:cs="Calibri"/>
          <w:i/>
          <w:iCs/>
          <w:sz w:val="20"/>
          <w:szCs w:val="20"/>
          <w:lang w:val="fr-BE"/>
        </w:rPr>
        <w:t>Le rôle des</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services publics dans l’effectivité des droits</w:t>
      </w:r>
      <w:r w:rsidRPr="00C27636">
        <w:rPr>
          <w:rFonts w:ascii="Calibri" w:eastAsia="Calibri" w:hAnsi="Calibri" w:cs="Calibri"/>
          <w:sz w:val="20"/>
          <w:szCs w:val="20"/>
          <w:lang w:val="fr-BE"/>
        </w:rPr>
        <w:t>,2016</w:t>
      </w:r>
    </w:p>
    <w:p w:rsidR="00AC12B4" w:rsidRPr="00C27636" w:rsidRDefault="00AC12B4">
      <w:pPr>
        <w:spacing w:line="73" w:lineRule="exact"/>
        <w:rPr>
          <w:rFonts w:ascii="Symbol" w:eastAsia="Symbol" w:hAnsi="Symbol" w:cs="Symbol"/>
          <w:sz w:val="20"/>
          <w:szCs w:val="20"/>
          <w:lang w:val="fr-BE"/>
        </w:rPr>
      </w:pPr>
    </w:p>
    <w:p w:rsidR="00AC12B4" w:rsidRDefault="00C27636">
      <w:pPr>
        <w:numPr>
          <w:ilvl w:val="2"/>
          <w:numId w:val="314"/>
        </w:numPr>
        <w:tabs>
          <w:tab w:val="left" w:pos="1240"/>
        </w:tabs>
        <w:spacing w:line="261" w:lineRule="auto"/>
        <w:ind w:left="1240" w:right="737" w:hanging="355"/>
        <w:rPr>
          <w:rFonts w:ascii="Calibri" w:eastAsia="Calibri" w:hAnsi="Calibri" w:cs="Calibri"/>
          <w:color w:val="0000FF"/>
          <w:sz w:val="20"/>
          <w:szCs w:val="20"/>
          <w:u w:val="single"/>
        </w:rPr>
      </w:pPr>
      <w:r>
        <w:rPr>
          <w:rFonts w:ascii="Calibri" w:eastAsia="Calibri" w:hAnsi="Calibri" w:cs="Calibri"/>
          <w:sz w:val="20"/>
          <w:szCs w:val="20"/>
        </w:rPr>
        <w:t xml:space="preserve">Voir aussi les publications du Vlaams Armoedesteunpunt, </w:t>
      </w:r>
      <w:hyperlink r:id="rId315">
        <w:r>
          <w:rPr>
            <w:rFonts w:ascii="Calibri" w:eastAsia="Calibri" w:hAnsi="Calibri" w:cs="Calibri"/>
            <w:color w:val="0000FF"/>
            <w:sz w:val="20"/>
            <w:szCs w:val="20"/>
            <w:u w:val="single"/>
          </w:rPr>
          <w:t>https://www.uantwerpen.be/nl/steun</w:t>
        </w:r>
      </w:hyperlink>
      <w:r>
        <w:rPr>
          <w:rFonts w:ascii="Calibri" w:eastAsia="Calibri" w:hAnsi="Calibri" w:cs="Calibri"/>
          <w:color w:val="0000FF"/>
          <w:sz w:val="20"/>
          <w:szCs w:val="20"/>
          <w:u w:val="single"/>
        </w:rPr>
        <w:t xml:space="preserve"> </w:t>
      </w:r>
      <w:hyperlink r:id="rId316">
        <w:r>
          <w:rPr>
            <w:rFonts w:ascii="Calibri" w:eastAsia="Calibri" w:hAnsi="Calibri" w:cs="Calibri"/>
            <w:color w:val="0000FF"/>
            <w:sz w:val="20"/>
            <w:szCs w:val="20"/>
            <w:u w:val="single"/>
          </w:rPr>
          <w:t>punten/vlaams-</w:t>
        </w:r>
      </w:hyperlink>
      <w:hyperlink r:id="rId317">
        <w:r>
          <w:rPr>
            <w:rFonts w:ascii="Calibri" w:eastAsia="Calibri" w:hAnsi="Calibri" w:cs="Calibri"/>
            <w:color w:val="0000FF"/>
            <w:sz w:val="20"/>
            <w:szCs w:val="20"/>
            <w:u w:val="single"/>
          </w:rPr>
          <w:t>armoedesteunpunt/publicaties/</w:t>
        </w:r>
      </w:hyperlink>
    </w:p>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noProof/>
          <w:color w:val="0000FF"/>
          <w:sz w:val="20"/>
          <w:szCs w:val="20"/>
          <w:u w:val="single"/>
        </w:rPr>
        <mc:AlternateContent>
          <mc:Choice Requires="wps">
            <w:drawing>
              <wp:anchor distT="0" distB="0" distL="114300" distR="114300" simplePos="0" relativeHeight="251821568" behindDoc="1" locked="0" layoutInCell="0" allowOverlap="1">
                <wp:simplePos x="0" y="0"/>
                <wp:positionH relativeFrom="column">
                  <wp:posOffset>333375</wp:posOffset>
                </wp:positionH>
                <wp:positionV relativeFrom="paragraph">
                  <wp:posOffset>1468120</wp:posOffset>
                </wp:positionV>
                <wp:extent cx="1828800" cy="0"/>
                <wp:effectExtent l="0" t="0" r="0" b="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5pt,115.6pt" to="170.25pt,115.6pt" o:allowincell="f" strokecolor="#000000" strokeweight="0.7199pt"/>
            </w:pict>
          </mc:Fallback>
        </mc:AlternateContent>
      </w: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55" w:lineRule="exact"/>
        <w:rPr>
          <w:rFonts w:ascii="Calibri" w:eastAsia="Calibri" w:hAnsi="Calibri" w:cs="Calibri"/>
          <w:color w:val="0000FF"/>
          <w:sz w:val="20"/>
          <w:szCs w:val="20"/>
          <w:u w:val="single"/>
        </w:rPr>
      </w:pPr>
    </w:p>
    <w:p w:rsidR="00AC12B4" w:rsidRDefault="00C27636">
      <w:pPr>
        <w:numPr>
          <w:ilvl w:val="0"/>
          <w:numId w:val="315"/>
        </w:numPr>
        <w:tabs>
          <w:tab w:val="left" w:pos="700"/>
        </w:tabs>
        <w:ind w:left="700" w:hanging="175"/>
        <w:rPr>
          <w:rFonts w:ascii="Calibri" w:eastAsia="Calibri" w:hAnsi="Calibri" w:cs="Calibri"/>
          <w:sz w:val="25"/>
          <w:szCs w:val="25"/>
          <w:vertAlign w:val="superscript"/>
        </w:rPr>
      </w:pPr>
      <w:r>
        <w:rPr>
          <w:rFonts w:ascii="Calibri" w:eastAsia="Calibri" w:hAnsi="Calibri" w:cs="Calibri"/>
          <w:sz w:val="19"/>
          <w:szCs w:val="19"/>
        </w:rPr>
        <w:t>www.fraje.be.</w:t>
      </w: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06" w:lineRule="exact"/>
        <w:rPr>
          <w:rFonts w:ascii="Calibri" w:eastAsia="Calibri" w:hAnsi="Calibri" w:cs="Calibri"/>
          <w:color w:val="0000FF"/>
          <w:sz w:val="20"/>
          <w:szCs w:val="20"/>
          <w:u w:val="single"/>
        </w:rPr>
      </w:pPr>
    </w:p>
    <w:p w:rsidR="00AC12B4" w:rsidRDefault="00C27636">
      <w:pPr>
        <w:rPr>
          <w:sz w:val="20"/>
          <w:szCs w:val="20"/>
        </w:rPr>
      </w:pPr>
      <w:r>
        <w:rPr>
          <w:rFonts w:ascii="Calibri" w:eastAsia="Calibri" w:hAnsi="Calibri" w:cs="Calibri"/>
        </w:rPr>
        <w:t>166</w:t>
      </w:r>
    </w:p>
    <w:p w:rsidR="00AC12B4" w:rsidRDefault="00AC12B4">
      <w:pPr>
        <w:sectPr w:rsidR="00AC12B4">
          <w:pgSz w:w="12080" w:h="17179"/>
          <w:pgMar w:top="1440" w:right="1440" w:bottom="659" w:left="454" w:header="0" w:footer="0" w:gutter="0"/>
          <w:cols w:num="3" w:space="720" w:equalWidth="0">
            <w:col w:w="330" w:space="439"/>
            <w:col w:w="4098" w:space="180"/>
            <w:col w:w="5137"/>
          </w:cols>
        </w:sectPr>
      </w:pPr>
    </w:p>
    <w:p w:rsidR="00AC12B4" w:rsidRDefault="00AC12B4">
      <w:pPr>
        <w:spacing w:line="200" w:lineRule="exact"/>
        <w:rPr>
          <w:sz w:val="20"/>
          <w:szCs w:val="20"/>
        </w:rPr>
      </w:pPr>
      <w:bookmarkStart w:id="166" w:name="page167"/>
      <w:bookmarkEnd w:id="166"/>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31" w:lineRule="exact"/>
        <w:rPr>
          <w:sz w:val="20"/>
          <w:szCs w:val="20"/>
        </w:rPr>
      </w:pPr>
    </w:p>
    <w:p w:rsidR="00AC12B4" w:rsidRPr="00C27636" w:rsidRDefault="00C27636">
      <w:pPr>
        <w:spacing w:line="227" w:lineRule="auto"/>
        <w:ind w:left="1500" w:right="177"/>
        <w:jc w:val="right"/>
        <w:rPr>
          <w:sz w:val="20"/>
          <w:szCs w:val="20"/>
          <w:lang w:val="fr-BE"/>
        </w:rPr>
      </w:pPr>
      <w:r w:rsidRPr="00C27636">
        <w:rPr>
          <w:rFonts w:ascii="Calibri" w:eastAsia="Calibri" w:hAnsi="Calibri" w:cs="Calibri"/>
          <w:color w:val="FEC930"/>
          <w:sz w:val="95"/>
          <w:szCs w:val="95"/>
          <w:lang w:val="fr-BE"/>
        </w:rPr>
        <w:t>Les droits des mineurs en contact avec la Justice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5" w:lineRule="exact"/>
        <w:rPr>
          <w:sz w:val="20"/>
          <w:szCs w:val="20"/>
          <w:lang w:val="fr-BE"/>
        </w:rPr>
      </w:pPr>
    </w:p>
    <w:p w:rsidR="00AC12B4" w:rsidRPr="00C27636" w:rsidRDefault="00C27636">
      <w:pPr>
        <w:ind w:left="1560"/>
        <w:rPr>
          <w:rFonts w:ascii="Calibri" w:eastAsia="Calibri" w:hAnsi="Calibri" w:cs="Calibri"/>
          <w:b/>
          <w:bCs/>
          <w:color w:val="FEC930"/>
          <w:sz w:val="32"/>
          <w:szCs w:val="32"/>
          <w:lang w:val="fr-BE"/>
        </w:rPr>
      </w:pPr>
      <w:r w:rsidRPr="00C27636">
        <w:rPr>
          <w:rFonts w:ascii="Calibri" w:eastAsia="Calibri" w:hAnsi="Calibri" w:cs="Calibri"/>
          <w:b/>
          <w:bCs/>
          <w:color w:val="FEC930"/>
          <w:sz w:val="32"/>
          <w:szCs w:val="32"/>
          <w:lang w:val="fr-BE"/>
        </w:rPr>
        <w:t xml:space="preserve">MJ1 </w:t>
      </w:r>
      <w:r w:rsidRPr="00C27636">
        <w:rPr>
          <w:rFonts w:ascii="Calibri" w:eastAsia="Calibri" w:hAnsi="Calibri" w:cs="Calibri"/>
          <w:color w:val="000000"/>
          <w:sz w:val="32"/>
          <w:szCs w:val="32"/>
          <w:lang w:val="fr-BE"/>
        </w:rPr>
        <w:t xml:space="preserve">Image que le jeune a de la justice juvénile……. </w:t>
      </w:r>
      <w:hyperlink w:anchor="page169">
        <w:r w:rsidRPr="00C27636">
          <w:rPr>
            <w:rFonts w:ascii="Calibri" w:eastAsia="Calibri" w:hAnsi="Calibri" w:cs="Calibri"/>
            <w:color w:val="000000"/>
            <w:sz w:val="32"/>
            <w:szCs w:val="32"/>
            <w:lang w:val="fr-BE"/>
          </w:rPr>
          <w:t>169</w:t>
        </w:r>
      </w:hyperlink>
    </w:p>
    <w:p w:rsidR="00AC12B4" w:rsidRPr="00C27636" w:rsidRDefault="00AC12B4">
      <w:pPr>
        <w:spacing w:line="315" w:lineRule="exact"/>
        <w:rPr>
          <w:sz w:val="20"/>
          <w:szCs w:val="20"/>
          <w:lang w:val="fr-BE"/>
        </w:rPr>
      </w:pPr>
    </w:p>
    <w:p w:rsidR="00AC12B4" w:rsidRPr="00C27636" w:rsidRDefault="00C27636">
      <w:pPr>
        <w:ind w:left="1560"/>
        <w:rPr>
          <w:rFonts w:ascii="Calibri" w:eastAsia="Calibri" w:hAnsi="Calibri" w:cs="Calibri"/>
          <w:b/>
          <w:bCs/>
          <w:color w:val="FEC930"/>
          <w:sz w:val="32"/>
          <w:szCs w:val="32"/>
          <w:lang w:val="fr-BE"/>
        </w:rPr>
      </w:pPr>
      <w:r w:rsidRPr="00C27636">
        <w:rPr>
          <w:rFonts w:ascii="Calibri" w:eastAsia="Calibri" w:hAnsi="Calibri" w:cs="Calibri"/>
          <w:b/>
          <w:bCs/>
          <w:color w:val="FEC930"/>
          <w:sz w:val="32"/>
          <w:szCs w:val="32"/>
          <w:lang w:val="fr-BE"/>
        </w:rPr>
        <w:lastRenderedPageBreak/>
        <w:t xml:space="preserve">MJ2 </w:t>
      </w:r>
      <w:r w:rsidRPr="00C27636">
        <w:rPr>
          <w:rFonts w:ascii="Calibri" w:eastAsia="Calibri" w:hAnsi="Calibri" w:cs="Calibri"/>
          <w:color w:val="000000"/>
          <w:sz w:val="32"/>
          <w:szCs w:val="32"/>
          <w:lang w:val="fr-BE"/>
        </w:rPr>
        <w:t>Hiérarchie des mesures</w:t>
      </w:r>
      <w:r w:rsidRPr="00C27636">
        <w:rPr>
          <w:rFonts w:ascii="Calibri" w:eastAsia="Calibri" w:hAnsi="Calibri" w:cs="Calibri"/>
          <w:b/>
          <w:bCs/>
          <w:color w:val="FEC930"/>
          <w:sz w:val="32"/>
          <w:szCs w:val="32"/>
          <w:lang w:val="fr-BE"/>
        </w:rPr>
        <w:t xml:space="preserve"> </w:t>
      </w:r>
      <w:r w:rsidRPr="00C27636">
        <w:rPr>
          <w:rFonts w:ascii="Calibri" w:eastAsia="Calibri" w:hAnsi="Calibri" w:cs="Calibri"/>
          <w:color w:val="000000"/>
          <w:sz w:val="32"/>
          <w:szCs w:val="32"/>
          <w:lang w:val="fr-BE"/>
        </w:rPr>
        <w:t xml:space="preserve">……………………………….. </w:t>
      </w:r>
      <w:hyperlink w:anchor="page171">
        <w:r w:rsidRPr="00C27636">
          <w:rPr>
            <w:rFonts w:ascii="Calibri" w:eastAsia="Calibri" w:hAnsi="Calibri" w:cs="Calibri"/>
            <w:color w:val="000000"/>
            <w:sz w:val="32"/>
            <w:szCs w:val="32"/>
            <w:lang w:val="fr-BE"/>
          </w:rPr>
          <w:t>171</w:t>
        </w:r>
      </w:hyperlink>
    </w:p>
    <w:p w:rsidR="00AC12B4" w:rsidRPr="00C27636" w:rsidRDefault="00AC12B4">
      <w:pPr>
        <w:spacing w:line="315" w:lineRule="exact"/>
        <w:rPr>
          <w:sz w:val="20"/>
          <w:szCs w:val="20"/>
          <w:lang w:val="fr-BE"/>
        </w:rPr>
      </w:pPr>
    </w:p>
    <w:p w:rsidR="00AC12B4" w:rsidRPr="00C27636" w:rsidRDefault="00C27636">
      <w:pPr>
        <w:ind w:left="1560"/>
        <w:rPr>
          <w:rFonts w:ascii="Calibri" w:eastAsia="Calibri" w:hAnsi="Calibri" w:cs="Calibri"/>
          <w:b/>
          <w:bCs/>
          <w:color w:val="FEC930"/>
          <w:sz w:val="32"/>
          <w:szCs w:val="32"/>
          <w:lang w:val="fr-BE"/>
        </w:rPr>
      </w:pPr>
      <w:r w:rsidRPr="00C27636">
        <w:rPr>
          <w:rFonts w:ascii="Calibri" w:eastAsia="Calibri" w:hAnsi="Calibri" w:cs="Calibri"/>
          <w:b/>
          <w:bCs/>
          <w:color w:val="FEC930"/>
          <w:sz w:val="32"/>
          <w:szCs w:val="32"/>
          <w:lang w:val="fr-BE"/>
        </w:rPr>
        <w:t xml:space="preserve">MJ3 </w:t>
      </w:r>
      <w:r w:rsidRPr="00C27636">
        <w:rPr>
          <w:rFonts w:ascii="Calibri" w:eastAsia="Calibri" w:hAnsi="Calibri" w:cs="Calibri"/>
          <w:color w:val="000000"/>
          <w:sz w:val="32"/>
          <w:szCs w:val="32"/>
          <w:lang w:val="fr-BE"/>
        </w:rPr>
        <w:t>Formation des professionnels………………………..</w:t>
      </w:r>
      <w:r w:rsidRPr="00C27636">
        <w:rPr>
          <w:rFonts w:ascii="Calibri" w:eastAsia="Calibri" w:hAnsi="Calibri" w:cs="Calibri"/>
          <w:b/>
          <w:bCs/>
          <w:color w:val="FEC930"/>
          <w:sz w:val="32"/>
          <w:szCs w:val="32"/>
          <w:lang w:val="fr-BE"/>
        </w:rPr>
        <w:t xml:space="preserve"> </w:t>
      </w:r>
      <w:hyperlink w:anchor="page177">
        <w:r w:rsidRPr="00C27636">
          <w:rPr>
            <w:rFonts w:ascii="Calibri" w:eastAsia="Calibri" w:hAnsi="Calibri" w:cs="Calibri"/>
            <w:color w:val="000000"/>
            <w:sz w:val="32"/>
            <w:szCs w:val="32"/>
            <w:lang w:val="fr-BE"/>
          </w:rPr>
          <w:t>177</w:t>
        </w:r>
      </w:hyperlink>
    </w:p>
    <w:p w:rsidR="00AC12B4" w:rsidRPr="00C27636" w:rsidRDefault="00AC12B4">
      <w:pPr>
        <w:spacing w:line="315" w:lineRule="exact"/>
        <w:rPr>
          <w:sz w:val="20"/>
          <w:szCs w:val="20"/>
          <w:lang w:val="fr-BE"/>
        </w:rPr>
      </w:pPr>
    </w:p>
    <w:p w:rsidR="00AC12B4" w:rsidRPr="00C27636" w:rsidRDefault="00C27636">
      <w:pPr>
        <w:ind w:left="1560"/>
        <w:rPr>
          <w:rFonts w:ascii="Calibri" w:eastAsia="Calibri" w:hAnsi="Calibri" w:cs="Calibri"/>
          <w:b/>
          <w:bCs/>
          <w:color w:val="FEC930"/>
          <w:sz w:val="32"/>
          <w:szCs w:val="32"/>
          <w:lang w:val="fr-BE"/>
        </w:rPr>
      </w:pPr>
      <w:r w:rsidRPr="00C27636">
        <w:rPr>
          <w:rFonts w:ascii="Calibri" w:eastAsia="Calibri" w:hAnsi="Calibri" w:cs="Calibri"/>
          <w:b/>
          <w:bCs/>
          <w:color w:val="FEC930"/>
          <w:sz w:val="32"/>
          <w:szCs w:val="32"/>
          <w:lang w:val="fr-BE"/>
        </w:rPr>
        <w:t xml:space="preserve">MJ4 </w:t>
      </w:r>
      <w:r w:rsidRPr="00C27636">
        <w:rPr>
          <w:rFonts w:ascii="Calibri" w:eastAsia="Calibri" w:hAnsi="Calibri" w:cs="Calibri"/>
          <w:color w:val="000000"/>
          <w:sz w:val="32"/>
          <w:szCs w:val="32"/>
          <w:lang w:val="fr-BE"/>
        </w:rPr>
        <w:t xml:space="preserve">Participation dans des procédures judiciaires.. </w:t>
      </w:r>
      <w:hyperlink w:anchor="page181">
        <w:r w:rsidRPr="00C27636">
          <w:rPr>
            <w:rFonts w:ascii="Calibri" w:eastAsia="Calibri" w:hAnsi="Calibri" w:cs="Calibri"/>
            <w:color w:val="000000"/>
            <w:sz w:val="32"/>
            <w:szCs w:val="32"/>
            <w:lang w:val="fr-BE"/>
          </w:rPr>
          <w:t>181</w:t>
        </w:r>
      </w:hyperlink>
    </w:p>
    <w:p w:rsidR="00AC12B4" w:rsidRPr="00C27636" w:rsidRDefault="00AC12B4">
      <w:pPr>
        <w:spacing w:line="386" w:lineRule="exact"/>
        <w:rPr>
          <w:sz w:val="20"/>
          <w:szCs w:val="20"/>
          <w:lang w:val="fr-BE"/>
        </w:rPr>
      </w:pPr>
    </w:p>
    <w:p w:rsidR="00AC12B4" w:rsidRPr="00C27636" w:rsidRDefault="00C27636">
      <w:pPr>
        <w:spacing w:line="218" w:lineRule="auto"/>
        <w:ind w:left="1640" w:right="357" w:hanging="73"/>
        <w:rPr>
          <w:rFonts w:ascii="Calibri" w:eastAsia="Calibri" w:hAnsi="Calibri" w:cs="Calibri"/>
          <w:color w:val="000000"/>
          <w:sz w:val="32"/>
          <w:szCs w:val="32"/>
          <w:lang w:val="fr-BE"/>
        </w:rPr>
      </w:pPr>
      <w:r w:rsidRPr="00C27636">
        <w:rPr>
          <w:rFonts w:ascii="Calibri" w:eastAsia="Calibri" w:hAnsi="Calibri" w:cs="Calibri"/>
          <w:b/>
          <w:bCs/>
          <w:color w:val="FEC930"/>
          <w:sz w:val="32"/>
          <w:szCs w:val="32"/>
          <w:lang w:val="fr-BE"/>
        </w:rPr>
        <w:t xml:space="preserve">MJ5 </w:t>
      </w:r>
      <w:r w:rsidRPr="00C27636">
        <w:rPr>
          <w:rFonts w:ascii="Calibri" w:eastAsia="Calibri" w:hAnsi="Calibri" w:cs="Calibri"/>
          <w:color w:val="000000"/>
          <w:sz w:val="32"/>
          <w:szCs w:val="32"/>
          <w:lang w:val="fr-BE"/>
        </w:rPr>
        <w:t>Participation dans le cadre d’un placement en</w:t>
      </w:r>
      <w:r w:rsidRPr="00C27636">
        <w:rPr>
          <w:rFonts w:ascii="Calibri" w:eastAsia="Calibri" w:hAnsi="Calibri" w:cs="Calibri"/>
          <w:b/>
          <w:bCs/>
          <w:color w:val="FEC930"/>
          <w:sz w:val="32"/>
          <w:szCs w:val="32"/>
          <w:lang w:val="fr-BE"/>
        </w:rPr>
        <w:t xml:space="preserve"> </w:t>
      </w:r>
      <w:r w:rsidRPr="00C27636">
        <w:rPr>
          <w:rFonts w:ascii="Calibri" w:eastAsia="Calibri" w:hAnsi="Calibri" w:cs="Calibri"/>
          <w:color w:val="000000"/>
          <w:sz w:val="32"/>
          <w:szCs w:val="32"/>
          <w:lang w:val="fr-BE"/>
        </w:rPr>
        <w:t xml:space="preserve">régime ouvert ou fermé……………….………………………. </w:t>
      </w:r>
      <w:hyperlink w:anchor="page183">
        <w:r w:rsidRPr="00C27636">
          <w:rPr>
            <w:rFonts w:ascii="Calibri" w:eastAsia="Calibri" w:hAnsi="Calibri" w:cs="Calibri"/>
            <w:color w:val="000000"/>
            <w:sz w:val="32"/>
            <w:szCs w:val="32"/>
            <w:lang w:val="fr-BE"/>
          </w:rPr>
          <w:t>183</w:t>
        </w:r>
      </w:hyperlink>
    </w:p>
    <w:p w:rsidR="00AC12B4" w:rsidRPr="00C27636" w:rsidRDefault="00AC12B4">
      <w:pPr>
        <w:spacing w:line="316" w:lineRule="exact"/>
        <w:rPr>
          <w:sz w:val="20"/>
          <w:szCs w:val="20"/>
          <w:lang w:val="fr-BE"/>
        </w:rPr>
      </w:pPr>
    </w:p>
    <w:p w:rsidR="00AC12B4" w:rsidRPr="00C27636" w:rsidRDefault="00C27636">
      <w:pPr>
        <w:ind w:left="1560"/>
        <w:rPr>
          <w:rFonts w:ascii="Calibri" w:eastAsia="Calibri" w:hAnsi="Calibri" w:cs="Calibri"/>
          <w:b/>
          <w:bCs/>
          <w:color w:val="FEC930"/>
          <w:sz w:val="32"/>
          <w:szCs w:val="32"/>
          <w:lang w:val="fr-BE"/>
        </w:rPr>
      </w:pPr>
      <w:r w:rsidRPr="00C27636">
        <w:rPr>
          <w:rFonts w:ascii="Calibri" w:eastAsia="Calibri" w:hAnsi="Calibri" w:cs="Calibri"/>
          <w:b/>
          <w:bCs/>
          <w:color w:val="FEC930"/>
          <w:sz w:val="32"/>
          <w:szCs w:val="32"/>
          <w:lang w:val="fr-BE"/>
        </w:rPr>
        <w:t xml:space="preserve">MJ6 </w:t>
      </w:r>
      <w:r w:rsidRPr="00C27636">
        <w:rPr>
          <w:rFonts w:ascii="Calibri" w:eastAsia="Calibri" w:hAnsi="Calibri" w:cs="Calibri"/>
          <w:color w:val="000000"/>
          <w:sz w:val="32"/>
          <w:szCs w:val="32"/>
          <w:lang w:val="fr-BE"/>
        </w:rPr>
        <w:t xml:space="preserve">Placement de longue durée………………………….. </w:t>
      </w:r>
      <w:hyperlink w:anchor="page187">
        <w:r w:rsidRPr="00C27636">
          <w:rPr>
            <w:rFonts w:ascii="Calibri" w:eastAsia="Calibri" w:hAnsi="Calibri" w:cs="Calibri"/>
            <w:color w:val="000000"/>
            <w:sz w:val="32"/>
            <w:szCs w:val="32"/>
            <w:lang w:val="fr-BE"/>
          </w:rPr>
          <w:t>187</w:t>
        </w:r>
      </w:hyperlink>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60"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167</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167" w:name="page168"/>
      <w:bookmarkEnd w:id="167"/>
    </w:p>
    <w:p w:rsidR="00AC12B4" w:rsidRPr="00C27636" w:rsidRDefault="00AC12B4">
      <w:pPr>
        <w:rPr>
          <w:lang w:val="fr-BE"/>
        </w:rPr>
        <w:sectPr w:rsidR="00AC12B4" w:rsidRPr="00C27636">
          <w:pgSz w:w="12080" w:h="17179"/>
          <w:pgMar w:top="1440" w:right="1440" w:bottom="875" w:left="1440" w:header="0" w:footer="0" w:gutter="0"/>
          <w:cols w:space="0"/>
        </w:sectPr>
      </w:pPr>
    </w:p>
    <w:bookmarkStart w:id="168" w:name="page169"/>
    <w:bookmarkEnd w:id="168"/>
    <w:p w:rsidR="00AC12B4" w:rsidRPr="00C27636" w:rsidRDefault="00C27636">
      <w:pPr>
        <w:spacing w:line="168" w:lineRule="exact"/>
        <w:rPr>
          <w:sz w:val="20"/>
          <w:szCs w:val="20"/>
          <w:lang w:val="fr-BE"/>
        </w:rPr>
      </w:pPr>
      <w:r>
        <w:rPr>
          <w:noProof/>
          <w:sz w:val="20"/>
          <w:szCs w:val="20"/>
        </w:rPr>
        <w:lastRenderedPageBreak/>
        <mc:AlternateContent>
          <mc:Choice Requires="wps">
            <w:drawing>
              <wp:anchor distT="0" distB="0" distL="114300" distR="114300" simplePos="0" relativeHeight="251822592" behindDoc="1" locked="0" layoutInCell="0" allowOverlap="1">
                <wp:simplePos x="0" y="0"/>
                <wp:positionH relativeFrom="page">
                  <wp:posOffset>6962140</wp:posOffset>
                </wp:positionH>
                <wp:positionV relativeFrom="page">
                  <wp:posOffset>0</wp:posOffset>
                </wp:positionV>
                <wp:extent cx="701040" cy="10908665"/>
                <wp:effectExtent l="0" t="0" r="0" b="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495" o:spid="_x0000_s1520" style="position:absolute;margin-left:548.2pt;margin-top:0pt;width:55.2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Pr="00C27636" w:rsidRDefault="00C27636">
      <w:pPr>
        <w:ind w:left="880"/>
        <w:rPr>
          <w:sz w:val="20"/>
          <w:szCs w:val="20"/>
          <w:lang w:val="fr-BE"/>
        </w:rPr>
      </w:pPr>
      <w:r w:rsidRPr="00C27636">
        <w:rPr>
          <w:rFonts w:ascii="Comic Sans MS" w:eastAsia="Comic Sans MS" w:hAnsi="Comic Sans MS" w:cs="Comic Sans MS"/>
          <w:color w:val="FEC930"/>
          <w:sz w:val="40"/>
          <w:szCs w:val="40"/>
          <w:lang w:val="fr-BE"/>
        </w:rPr>
        <w:t>MJ1.  Image  que  le  jeune  a  de  la  justice</w:t>
      </w:r>
    </w:p>
    <w:p w:rsidR="00AC12B4" w:rsidRPr="00C27636" w:rsidRDefault="00AC12B4">
      <w:pPr>
        <w:rPr>
          <w:lang w:val="fr-BE"/>
        </w:rPr>
        <w:sectPr w:rsidR="00AC12B4" w:rsidRPr="00C27636">
          <w:pgSz w:w="12080" w:h="17179"/>
          <w:pgMar w:top="1440" w:right="407" w:bottom="659" w:left="1120" w:header="0" w:footer="0" w:gutter="0"/>
          <w:cols w:space="720" w:equalWidth="0">
            <w:col w:w="1055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4" w:lineRule="exact"/>
        <w:rPr>
          <w:sz w:val="20"/>
          <w:szCs w:val="20"/>
          <w:lang w:val="fr-BE"/>
        </w:rPr>
      </w:pPr>
    </w:p>
    <w:p w:rsidR="00AC12B4" w:rsidRDefault="00C27636">
      <w:pPr>
        <w:rPr>
          <w:sz w:val="20"/>
          <w:szCs w:val="20"/>
        </w:rPr>
      </w:pPr>
      <w:r>
        <w:rPr>
          <w:rFonts w:ascii="Calibri" w:eastAsia="Calibri" w:hAnsi="Calibri" w:cs="Calibri"/>
          <w:i/>
          <w:iCs/>
          <w:color w:val="DAEEF3"/>
        </w:rPr>
        <w:t>Article 12 CIDE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823616" behindDoc="1" locked="0" layoutInCell="0" allowOverlap="1">
                <wp:simplePos x="0" y="0"/>
                <wp:positionH relativeFrom="column">
                  <wp:posOffset>-351155</wp:posOffset>
                </wp:positionH>
                <wp:positionV relativeFrom="paragraph">
                  <wp:posOffset>-325755</wp:posOffset>
                </wp:positionV>
                <wp:extent cx="3559810" cy="1668145"/>
                <wp:effectExtent l="0" t="0" r="0" b="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668145"/>
                        </a:xfrm>
                        <a:prstGeom prst="rect">
                          <a:avLst/>
                        </a:prstGeom>
                        <a:solidFill>
                          <a:srgbClr val="FEC930"/>
                        </a:solidFill>
                      </wps:spPr>
                      <wps:bodyPr/>
                    </wps:wsp>
                  </a:graphicData>
                </a:graphic>
              </wp:anchor>
            </w:drawing>
          </mc:Choice>
          <mc:Fallback>
            <w:pict>
              <v:rect id="Shape 496" o:spid="_x0000_s1521" style="position:absolute;margin-left:-27.6499pt;margin-top:-25.6499pt;width:280.3pt;height:13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r>
        <w:rPr>
          <w:noProof/>
          <w:sz w:val="20"/>
          <w:szCs w:val="20"/>
        </w:rPr>
        <mc:AlternateContent>
          <mc:Choice Requires="wps">
            <w:drawing>
              <wp:anchor distT="0" distB="0" distL="114300" distR="114300" simplePos="0" relativeHeight="251824640" behindDoc="1" locked="0" layoutInCell="0" allowOverlap="1">
                <wp:simplePos x="0" y="0"/>
                <wp:positionH relativeFrom="column">
                  <wp:posOffset>3208655</wp:posOffset>
                </wp:positionH>
                <wp:positionV relativeFrom="paragraph">
                  <wp:posOffset>-338455</wp:posOffset>
                </wp:positionV>
                <wp:extent cx="0" cy="1693545"/>
                <wp:effectExtent l="0" t="0" r="0" b="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93545"/>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26.6499pt" to="252.65pt,106.7pt" o:allowincell="f" strokecolor="#CF9901" strokeweight="2pt"/>
            </w:pict>
          </mc:Fallback>
        </mc:AlternateContent>
      </w:r>
      <w:r>
        <w:rPr>
          <w:noProof/>
          <w:sz w:val="20"/>
          <w:szCs w:val="20"/>
        </w:rPr>
        <mc:AlternateContent>
          <mc:Choice Requires="wps">
            <w:drawing>
              <wp:anchor distT="0" distB="0" distL="114300" distR="114300" simplePos="0" relativeHeight="251825664" behindDoc="1" locked="0" layoutInCell="0" allowOverlap="1">
                <wp:simplePos x="0" y="0"/>
                <wp:positionH relativeFrom="column">
                  <wp:posOffset>-363855</wp:posOffset>
                </wp:positionH>
                <wp:positionV relativeFrom="paragraph">
                  <wp:posOffset>-325755</wp:posOffset>
                </wp:positionV>
                <wp:extent cx="3585210" cy="0"/>
                <wp:effectExtent l="0" t="0" r="0" b="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5.6499pt" to="253.65pt,-25.6499pt" o:allowincell="f" strokecolor="#CF9901" strokeweight="2pt"/>
            </w:pict>
          </mc:Fallback>
        </mc:AlternateContent>
      </w:r>
      <w:r>
        <w:rPr>
          <w:noProof/>
          <w:sz w:val="20"/>
          <w:szCs w:val="20"/>
        </w:rPr>
        <mc:AlternateContent>
          <mc:Choice Requires="wps">
            <w:drawing>
              <wp:anchor distT="0" distB="0" distL="114300" distR="114300" simplePos="0" relativeHeight="251826688" behindDoc="1" locked="0" layoutInCell="0" allowOverlap="1">
                <wp:simplePos x="0" y="0"/>
                <wp:positionH relativeFrom="column">
                  <wp:posOffset>-351155</wp:posOffset>
                </wp:positionH>
                <wp:positionV relativeFrom="paragraph">
                  <wp:posOffset>-338455</wp:posOffset>
                </wp:positionV>
                <wp:extent cx="0" cy="1693545"/>
                <wp:effectExtent l="0" t="0" r="0" b="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93545"/>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26.6499pt" to="-27.6499pt,106.7pt" o:allowincell="f" strokecolor="#CF9901" strokeweight="2pt"/>
            </w:pict>
          </mc:Fallback>
        </mc:AlternateContent>
      </w:r>
      <w:r>
        <w:rPr>
          <w:noProof/>
          <w:sz w:val="20"/>
          <w:szCs w:val="20"/>
        </w:rPr>
        <mc:AlternateContent>
          <mc:Choice Requires="wps">
            <w:drawing>
              <wp:anchor distT="0" distB="0" distL="114300" distR="114300" simplePos="0" relativeHeight="251827712" behindDoc="1" locked="0" layoutInCell="0" allowOverlap="1">
                <wp:simplePos x="0" y="0"/>
                <wp:positionH relativeFrom="column">
                  <wp:posOffset>-363855</wp:posOffset>
                </wp:positionH>
                <wp:positionV relativeFrom="paragraph">
                  <wp:posOffset>1342390</wp:posOffset>
                </wp:positionV>
                <wp:extent cx="3585210" cy="0"/>
                <wp:effectExtent l="0" t="0" r="0" b="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05.7pt" to="253.65pt,105.7pt" o:allowincell="f" strokecolor="#CF9901" strokeweight="2pt"/>
            </w:pict>
          </mc:Fallback>
        </mc:AlternateContent>
      </w:r>
    </w:p>
    <w:p w:rsidR="00AC12B4" w:rsidRDefault="00AC12B4">
      <w:pPr>
        <w:spacing w:line="149" w:lineRule="exact"/>
        <w:rPr>
          <w:sz w:val="20"/>
          <w:szCs w:val="20"/>
        </w:rPr>
      </w:pPr>
    </w:p>
    <w:p w:rsidR="00AC12B4" w:rsidRPr="00C27636" w:rsidRDefault="00C27636">
      <w:pPr>
        <w:numPr>
          <w:ilvl w:val="0"/>
          <w:numId w:val="316"/>
        </w:numPr>
        <w:tabs>
          <w:tab w:val="left" w:pos="280"/>
        </w:tabs>
        <w:spacing w:line="233" w:lineRule="auto"/>
        <w:ind w:firstLine="8"/>
        <w:jc w:val="both"/>
        <w:rPr>
          <w:rFonts w:ascii="Calibri" w:eastAsia="Calibri" w:hAnsi="Calibri" w:cs="Calibri"/>
          <w:i/>
          <w:iCs/>
          <w:color w:val="FFFFFF"/>
          <w:lang w:val="fr-BE"/>
        </w:rPr>
      </w:pPr>
      <w:r w:rsidRPr="00C27636">
        <w:rPr>
          <w:rFonts w:ascii="Calibri" w:eastAsia="Calibri" w:hAnsi="Calibri" w:cs="Calibri"/>
          <w:i/>
          <w:iCs/>
          <w:color w:val="FFFFFF"/>
          <w:lang w:val="fr-BE"/>
        </w:rPr>
        <w:t xml:space="preserve">Les Etats parties garantissent à l’enfant qui est capable de discernement le droit </w:t>
      </w:r>
      <w:r w:rsidRPr="00C27636">
        <w:rPr>
          <w:rFonts w:ascii="Calibri" w:eastAsia="Calibri" w:hAnsi="Calibri" w:cs="Calibri"/>
          <w:i/>
          <w:iCs/>
          <w:color w:val="FFFFFF"/>
          <w:lang w:val="fr-BE"/>
        </w:rPr>
        <w:t>d’exprimer librement son opinion sur toute question l’intéressant, les opinions de l’enfant étant dûment prises en considération eu égard à son âge et à son degré de maturité.</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53" w:lineRule="exact"/>
        <w:rPr>
          <w:sz w:val="20"/>
          <w:szCs w:val="20"/>
          <w:lang w:val="fr-BE"/>
        </w:rPr>
      </w:pPr>
    </w:p>
    <w:p w:rsidR="00AC12B4" w:rsidRPr="00C27636" w:rsidRDefault="00C27636">
      <w:pPr>
        <w:spacing w:line="233" w:lineRule="auto"/>
        <w:ind w:left="880" w:right="140"/>
        <w:jc w:val="both"/>
        <w:rPr>
          <w:sz w:val="20"/>
          <w:szCs w:val="20"/>
          <w:lang w:val="fr-BE"/>
        </w:rPr>
      </w:pPr>
      <w:r w:rsidRPr="00C27636">
        <w:rPr>
          <w:rFonts w:ascii="Calibri" w:eastAsia="Calibri" w:hAnsi="Calibri" w:cs="Calibri"/>
          <w:lang w:val="fr-BE"/>
        </w:rPr>
        <w:t xml:space="preserve">Dans les décisions qui ont des conséquences pour les enfants, l’intérêt </w:t>
      </w:r>
      <w:r w:rsidRPr="00C27636">
        <w:rPr>
          <w:rFonts w:ascii="Calibri" w:eastAsia="Calibri" w:hAnsi="Calibri" w:cs="Calibri"/>
          <w:lang w:val="fr-BE"/>
        </w:rPr>
        <w:t>supérieur de l’enfant doit être une considération primordiale et les États parties s’engagent à assurer à l’enfant toute la protection et tous les soins nécessaires à son bien-être (art. 3).</w:t>
      </w:r>
    </w:p>
    <w:p w:rsidR="00AC12B4" w:rsidRPr="00C27636" w:rsidRDefault="00AC12B4">
      <w:pPr>
        <w:spacing w:line="174" w:lineRule="exact"/>
        <w:rPr>
          <w:sz w:val="20"/>
          <w:szCs w:val="20"/>
          <w:lang w:val="fr-BE"/>
        </w:rPr>
      </w:pPr>
    </w:p>
    <w:p w:rsidR="00AC12B4" w:rsidRPr="00C27636" w:rsidRDefault="00C27636">
      <w:pPr>
        <w:spacing w:line="236" w:lineRule="auto"/>
        <w:ind w:left="880" w:right="140"/>
        <w:jc w:val="both"/>
        <w:rPr>
          <w:sz w:val="20"/>
          <w:szCs w:val="20"/>
          <w:lang w:val="fr-BE"/>
        </w:rPr>
      </w:pPr>
      <w:r w:rsidRPr="00C27636">
        <w:rPr>
          <w:rFonts w:ascii="Calibri" w:eastAsia="Calibri" w:hAnsi="Calibri" w:cs="Calibri"/>
          <w:lang w:val="fr-BE"/>
        </w:rPr>
        <w:t>Il découle de ceci ainsi que du droit à la participation, à l'in</w:t>
      </w:r>
      <w:r w:rsidRPr="00C27636">
        <w:rPr>
          <w:rFonts w:ascii="Calibri" w:eastAsia="Calibri" w:hAnsi="Calibri" w:cs="Calibri"/>
          <w:lang w:val="fr-BE"/>
        </w:rPr>
        <w:t>formation et à la liberté d’expression, tel qu'exprimé dans les articles 12 et 13, que les États doivent consulter des enfants sur la manière dont ils vivent les règlements qui les concernent et l'exécution de ceux-ci. Le respect des principes contenus dan</w:t>
      </w:r>
      <w:r w:rsidRPr="00C27636">
        <w:rPr>
          <w:rFonts w:ascii="Calibri" w:eastAsia="Calibri" w:hAnsi="Calibri" w:cs="Calibri"/>
          <w:lang w:val="fr-BE"/>
        </w:rPr>
        <w:t>s les articles 37 et 40 de la CIDE (administration de la justice aux mineurs) peut donc par exemple être évalué à partir du point de vue de l’enfant. Sauf indication contraire, les chiffres suivants sont issus du Baromètre de la Justice 2014.</w:t>
      </w:r>
    </w:p>
    <w:p w:rsidR="00AC12B4" w:rsidRPr="00C27636" w:rsidRDefault="00AC12B4">
      <w:pPr>
        <w:spacing w:line="184" w:lineRule="exact"/>
        <w:rPr>
          <w:sz w:val="20"/>
          <w:szCs w:val="20"/>
          <w:lang w:val="fr-BE"/>
        </w:rPr>
      </w:pPr>
    </w:p>
    <w:p w:rsidR="00AC12B4" w:rsidRPr="00C27636" w:rsidRDefault="00C27636">
      <w:pPr>
        <w:spacing w:line="224" w:lineRule="auto"/>
        <w:ind w:left="880" w:right="140"/>
        <w:jc w:val="both"/>
        <w:rPr>
          <w:sz w:val="20"/>
          <w:szCs w:val="20"/>
          <w:lang w:val="fr-BE"/>
        </w:rPr>
      </w:pPr>
      <w:r w:rsidRPr="00C27636">
        <w:rPr>
          <w:rFonts w:ascii="Calibri" w:eastAsia="Calibri" w:hAnsi="Calibri" w:cs="Calibri"/>
          <w:lang w:val="fr-BE"/>
        </w:rPr>
        <w:t>Selon ce Bar</w:t>
      </w:r>
      <w:r w:rsidRPr="00C27636">
        <w:rPr>
          <w:rFonts w:ascii="Calibri" w:eastAsia="Calibri" w:hAnsi="Calibri" w:cs="Calibri"/>
          <w:lang w:val="fr-BE"/>
        </w:rPr>
        <w:t>omètre de la Justice (BJ), les jeunes (15-24 ans) ont en général moins confiance dans la police que le reste de la population</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AC12B4">
      <w:pPr>
        <w:spacing w:line="136" w:lineRule="exact"/>
        <w:rPr>
          <w:sz w:val="20"/>
          <w:szCs w:val="20"/>
          <w:lang w:val="fr-BE"/>
        </w:rPr>
      </w:pPr>
    </w:p>
    <w:p w:rsidR="00AC12B4" w:rsidRPr="00C27636" w:rsidRDefault="00C27636">
      <w:pPr>
        <w:spacing w:line="228" w:lineRule="auto"/>
        <w:ind w:left="880" w:right="140"/>
        <w:jc w:val="both"/>
        <w:rPr>
          <w:sz w:val="20"/>
          <w:szCs w:val="20"/>
          <w:lang w:val="fr-BE"/>
        </w:rPr>
      </w:pPr>
      <w:r w:rsidRPr="00C27636">
        <w:rPr>
          <w:rFonts w:ascii="Calibri" w:eastAsia="Calibri" w:hAnsi="Calibri" w:cs="Calibri"/>
          <w:lang w:val="fr-BE"/>
        </w:rPr>
        <w:t>Ils sont par contre plus nombreux (10% de plus) à croire aux procès équitables et qu’il est « facile d’introduire une action en</w:t>
      </w:r>
      <w:r w:rsidRPr="00C27636">
        <w:rPr>
          <w:rFonts w:ascii="Calibri" w:eastAsia="Calibri" w:hAnsi="Calibri" w:cs="Calibri"/>
          <w:lang w:val="fr-BE"/>
        </w:rPr>
        <w:t xml:space="preserve"> justice ». Les jeunes sont également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28736" behindDoc="1" locked="0" layoutInCell="0" allowOverlap="1">
                <wp:simplePos x="0" y="0"/>
                <wp:positionH relativeFrom="column">
                  <wp:posOffset>562610</wp:posOffset>
                </wp:positionH>
                <wp:positionV relativeFrom="paragraph">
                  <wp:posOffset>346710</wp:posOffset>
                </wp:positionV>
                <wp:extent cx="1829435" cy="0"/>
                <wp:effectExtent l="0" t="0" r="0" b="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pt,27.3pt" to="188.35pt,27.3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9" w:lineRule="exact"/>
        <w:rPr>
          <w:sz w:val="20"/>
          <w:szCs w:val="20"/>
          <w:lang w:val="fr-BE"/>
        </w:rPr>
      </w:pPr>
    </w:p>
    <w:p w:rsidR="00AC12B4" w:rsidRPr="00C27636" w:rsidRDefault="00C27636">
      <w:pPr>
        <w:spacing w:line="222" w:lineRule="auto"/>
        <w:ind w:left="880" w:right="140"/>
        <w:jc w:val="both"/>
        <w:rPr>
          <w:sz w:val="20"/>
          <w:szCs w:val="20"/>
          <w:lang w:val="fr-BE"/>
        </w:rPr>
      </w:pPr>
      <w:r w:rsidRPr="00C27636">
        <w:rPr>
          <w:rFonts w:ascii="Calibri" w:eastAsia="Calibri" w:hAnsi="Calibri" w:cs="Calibri"/>
          <w:sz w:val="25"/>
          <w:szCs w:val="25"/>
          <w:vertAlign w:val="superscript"/>
          <w:lang w:val="fr-BE"/>
        </w:rPr>
        <w:t>1</w:t>
      </w:r>
      <w:r w:rsidRPr="00C27636">
        <w:rPr>
          <w:rFonts w:ascii="Calibri" w:eastAsia="Calibri" w:hAnsi="Calibri" w:cs="Calibri"/>
          <w:sz w:val="20"/>
          <w:szCs w:val="20"/>
          <w:lang w:val="fr-BE"/>
        </w:rPr>
        <w:t xml:space="preserve"> Ils sont 6% de moins à déclarer avoir confiance en la police (moyenne générale: 81%)</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306" w:lineRule="exact"/>
        <w:rPr>
          <w:sz w:val="20"/>
          <w:szCs w:val="20"/>
          <w:lang w:val="fr-BE"/>
        </w:rPr>
      </w:pPr>
    </w:p>
    <w:p w:rsidR="00AC12B4" w:rsidRPr="00C27636" w:rsidRDefault="00C27636">
      <w:pPr>
        <w:spacing w:line="218" w:lineRule="auto"/>
        <w:ind w:left="8" w:right="880"/>
        <w:jc w:val="both"/>
        <w:rPr>
          <w:sz w:val="20"/>
          <w:szCs w:val="20"/>
          <w:lang w:val="fr-BE"/>
        </w:rPr>
      </w:pPr>
      <w:r w:rsidRPr="00C27636">
        <w:rPr>
          <w:rFonts w:ascii="Calibri" w:eastAsia="Calibri" w:hAnsi="Calibri" w:cs="Calibri"/>
          <w:lang w:val="fr-BE"/>
        </w:rPr>
        <w:t>généralement plus satisfaits globalement de la justice.</w:t>
      </w:r>
    </w:p>
    <w:p w:rsidR="00AC12B4" w:rsidRPr="00C27636" w:rsidRDefault="00AC12B4">
      <w:pPr>
        <w:spacing w:line="121" w:lineRule="exact"/>
        <w:rPr>
          <w:sz w:val="20"/>
          <w:szCs w:val="20"/>
          <w:lang w:val="fr-BE"/>
        </w:rPr>
      </w:pPr>
    </w:p>
    <w:p w:rsidR="00AC12B4" w:rsidRPr="00C27636" w:rsidRDefault="00C27636">
      <w:pPr>
        <w:ind w:left="8"/>
        <w:rPr>
          <w:sz w:val="20"/>
          <w:szCs w:val="20"/>
          <w:lang w:val="fr-BE"/>
        </w:rPr>
      </w:pPr>
      <w:r w:rsidRPr="00C27636">
        <w:rPr>
          <w:rFonts w:ascii="Calibri" w:eastAsia="Calibri" w:hAnsi="Calibri" w:cs="Calibri"/>
          <w:lang w:val="fr-BE"/>
        </w:rPr>
        <w:t>Ceci  concerne  toutefois l’ensemble  des</w:t>
      </w:r>
    </w:p>
    <w:p w:rsidR="00AC12B4" w:rsidRPr="00C27636" w:rsidRDefault="00C27636">
      <w:pPr>
        <w:tabs>
          <w:tab w:val="left" w:pos="768"/>
          <w:tab w:val="left" w:pos="1928"/>
          <w:tab w:val="left" w:pos="2268"/>
          <w:tab w:val="left" w:pos="2888"/>
        </w:tabs>
        <w:ind w:left="8"/>
        <w:rPr>
          <w:sz w:val="20"/>
          <w:szCs w:val="20"/>
          <w:lang w:val="fr-BE"/>
        </w:rPr>
      </w:pPr>
      <w:r w:rsidRPr="00C27636">
        <w:rPr>
          <w:rFonts w:ascii="Calibri" w:eastAsia="Calibri" w:hAnsi="Calibri" w:cs="Calibri"/>
          <w:lang w:val="fr-BE"/>
        </w:rPr>
        <w:t>jeunes</w:t>
      </w:r>
      <w:r w:rsidRPr="00C27636">
        <w:rPr>
          <w:rFonts w:ascii="Calibri" w:eastAsia="Calibri" w:hAnsi="Calibri" w:cs="Calibri"/>
          <w:lang w:val="fr-BE"/>
        </w:rPr>
        <w:tab/>
        <w:t>interrogés.</w:t>
      </w:r>
      <w:r w:rsidRPr="00C27636">
        <w:rPr>
          <w:rFonts w:ascii="Calibri" w:eastAsia="Calibri" w:hAnsi="Calibri" w:cs="Calibri"/>
          <w:lang w:val="fr-BE"/>
        </w:rPr>
        <w:tab/>
        <w:t>Si</w:t>
      </w:r>
      <w:r w:rsidRPr="00C27636">
        <w:rPr>
          <w:rFonts w:ascii="Calibri" w:eastAsia="Calibri" w:hAnsi="Calibri" w:cs="Calibri"/>
          <w:lang w:val="fr-BE"/>
        </w:rPr>
        <w:tab/>
      </w:r>
      <w:r w:rsidRPr="00C27636">
        <w:rPr>
          <w:rFonts w:ascii="Calibri" w:eastAsia="Calibri" w:hAnsi="Calibri" w:cs="Calibri"/>
          <w:lang w:val="fr-BE"/>
        </w:rPr>
        <w:t>nous</w:t>
      </w:r>
      <w:r w:rsidRPr="00C27636">
        <w:rPr>
          <w:sz w:val="20"/>
          <w:szCs w:val="20"/>
          <w:lang w:val="fr-BE"/>
        </w:rPr>
        <w:tab/>
      </w:r>
      <w:r w:rsidRPr="00C27636">
        <w:rPr>
          <w:rFonts w:ascii="Calibri" w:eastAsia="Calibri" w:hAnsi="Calibri" w:cs="Calibri"/>
          <w:sz w:val="21"/>
          <w:szCs w:val="21"/>
          <w:lang w:val="fr-BE"/>
        </w:rPr>
        <w:t>examinons</w:t>
      </w:r>
    </w:p>
    <w:p w:rsidR="00AC12B4" w:rsidRPr="00C27636" w:rsidRDefault="00C27636">
      <w:pPr>
        <w:ind w:left="8"/>
        <w:rPr>
          <w:sz w:val="20"/>
          <w:szCs w:val="20"/>
          <w:lang w:val="fr-BE"/>
        </w:rPr>
      </w:pPr>
      <w:r w:rsidRPr="00C27636">
        <w:rPr>
          <w:rFonts w:ascii="Calibri" w:eastAsia="Calibri" w:hAnsi="Calibri" w:cs="Calibri"/>
          <w:lang w:val="fr-BE"/>
        </w:rPr>
        <w:t>l’évaluation par les jeunes ayant déjà eu un</w:t>
      </w:r>
    </w:p>
    <w:p w:rsidR="00AC12B4" w:rsidRPr="00C27636" w:rsidRDefault="00C27636">
      <w:pPr>
        <w:ind w:left="8"/>
        <w:rPr>
          <w:sz w:val="20"/>
          <w:szCs w:val="20"/>
          <w:lang w:val="fr-BE"/>
        </w:rPr>
      </w:pPr>
      <w:r w:rsidRPr="00C27636">
        <w:rPr>
          <w:rFonts w:ascii="Calibri" w:eastAsia="Calibri" w:hAnsi="Calibri" w:cs="Calibri"/>
          <w:lang w:val="fr-BE"/>
        </w:rPr>
        <w:t>contact avec la Justice, les résultats se</w:t>
      </w:r>
    </w:p>
    <w:p w:rsidR="00AC12B4" w:rsidRDefault="00C27636">
      <w:pPr>
        <w:ind w:left="8"/>
        <w:rPr>
          <w:sz w:val="20"/>
          <w:szCs w:val="20"/>
        </w:rPr>
      </w:pPr>
      <w:r>
        <w:rPr>
          <w:rFonts w:ascii="Calibri" w:eastAsia="Calibri" w:hAnsi="Calibri" w:cs="Calibri"/>
        </w:rPr>
        <w:t>présentent</w:t>
      </w:r>
    </w:p>
    <w:p w:rsidR="00AC12B4" w:rsidRDefault="00C27636">
      <w:pPr>
        <w:spacing w:line="233" w:lineRule="auto"/>
        <w:ind w:left="8"/>
        <w:rPr>
          <w:sz w:val="20"/>
          <w:szCs w:val="20"/>
        </w:rPr>
      </w:pPr>
      <w:r>
        <w:rPr>
          <w:rFonts w:ascii="Calibri" w:eastAsia="Calibri" w:hAnsi="Calibri" w:cs="Calibri"/>
        </w:rPr>
        <w:t>différemment.</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829760" behindDoc="1" locked="0" layoutInCell="0" allowOverlap="1">
                <wp:simplePos x="0" y="0"/>
                <wp:positionH relativeFrom="column">
                  <wp:posOffset>1383030</wp:posOffset>
                </wp:positionH>
                <wp:positionV relativeFrom="paragraph">
                  <wp:posOffset>-95250</wp:posOffset>
                </wp:positionV>
                <wp:extent cx="1616075" cy="2105025"/>
                <wp:effectExtent l="0" t="0" r="0" b="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6075" cy="2105025"/>
                        </a:xfrm>
                        <a:prstGeom prst="rect">
                          <a:avLst/>
                        </a:prstGeom>
                        <a:solidFill>
                          <a:srgbClr val="FFFFFF"/>
                        </a:solidFill>
                      </wps:spPr>
                      <wps:bodyPr/>
                    </wps:wsp>
                  </a:graphicData>
                </a:graphic>
              </wp:anchor>
            </w:drawing>
          </mc:Choice>
          <mc:Fallback>
            <w:pict>
              <v:rect id="Shape 502" o:spid="_x0000_s1527" style="position:absolute;margin-left:108.9pt;margin-top:-7.4999pt;width:127.25pt;height:16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830784" behindDoc="1" locked="0" layoutInCell="0" allowOverlap="1">
                <wp:simplePos x="0" y="0"/>
                <wp:positionH relativeFrom="column">
                  <wp:posOffset>2999105</wp:posOffset>
                </wp:positionH>
                <wp:positionV relativeFrom="paragraph">
                  <wp:posOffset>-107950</wp:posOffset>
                </wp:positionV>
                <wp:extent cx="0" cy="2130425"/>
                <wp:effectExtent l="0" t="0" r="0" b="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0425"/>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15pt,-8.4999pt" to="236.15pt,159.25pt" o:allowincell="f" strokecolor="#FEC930" strokeweight="2pt"/>
            </w:pict>
          </mc:Fallback>
        </mc:AlternateContent>
      </w:r>
      <w:r>
        <w:rPr>
          <w:noProof/>
          <w:sz w:val="20"/>
          <w:szCs w:val="20"/>
        </w:rPr>
        <mc:AlternateContent>
          <mc:Choice Requires="wps">
            <w:drawing>
              <wp:anchor distT="0" distB="0" distL="114300" distR="114300" simplePos="0" relativeHeight="251831808" behindDoc="1" locked="0" layoutInCell="0" allowOverlap="1">
                <wp:simplePos x="0" y="0"/>
                <wp:positionH relativeFrom="column">
                  <wp:posOffset>1383030</wp:posOffset>
                </wp:positionH>
                <wp:positionV relativeFrom="paragraph">
                  <wp:posOffset>-107950</wp:posOffset>
                </wp:positionV>
                <wp:extent cx="0" cy="2130425"/>
                <wp:effectExtent l="0" t="0" r="0" b="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0425"/>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9pt,-8.4999pt" to="108.9pt,159.25pt" o:allowincell="f" strokecolor="#FEC930" strokeweight="2pt"/>
            </w:pict>
          </mc:Fallback>
        </mc:AlternateContent>
      </w:r>
      <w:r>
        <w:rPr>
          <w:noProof/>
          <w:sz w:val="20"/>
          <w:szCs w:val="20"/>
        </w:rPr>
        <mc:AlternateContent>
          <mc:Choice Requires="wps">
            <w:drawing>
              <wp:anchor distT="0" distB="0" distL="114300" distR="114300" simplePos="0" relativeHeight="251832832" behindDoc="1" locked="0" layoutInCell="0" allowOverlap="1">
                <wp:simplePos x="0" y="0"/>
                <wp:positionH relativeFrom="column">
                  <wp:posOffset>1370330</wp:posOffset>
                </wp:positionH>
                <wp:positionV relativeFrom="paragraph">
                  <wp:posOffset>-95250</wp:posOffset>
                </wp:positionV>
                <wp:extent cx="1641475" cy="0"/>
                <wp:effectExtent l="0" t="0" r="0" b="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9pt,-7.4999pt" to="237.15pt,-7.4999pt" o:allowincell="f" strokecolor="#FEC930" strokeweight="2pt"/>
            </w:pict>
          </mc:Fallback>
        </mc:AlternateContent>
      </w:r>
    </w:p>
    <w:tbl>
      <w:tblPr>
        <w:tblW w:w="0" w:type="auto"/>
        <w:tblInd w:w="8" w:type="dxa"/>
        <w:tblLayout w:type="fixed"/>
        <w:tblCellMar>
          <w:left w:w="0" w:type="dxa"/>
          <w:right w:w="0" w:type="dxa"/>
        </w:tblCellMar>
        <w:tblLook w:val="04A0" w:firstRow="1" w:lastRow="0" w:firstColumn="1" w:lastColumn="0" w:noHBand="0" w:noVBand="1"/>
      </w:tblPr>
      <w:tblGrid>
        <w:gridCol w:w="500"/>
        <w:gridCol w:w="260"/>
        <w:gridCol w:w="460"/>
        <w:gridCol w:w="940"/>
        <w:gridCol w:w="1800"/>
        <w:gridCol w:w="300"/>
        <w:gridCol w:w="480"/>
        <w:gridCol w:w="20"/>
      </w:tblGrid>
      <w:tr w:rsidR="00AC12B4">
        <w:trPr>
          <w:trHeight w:val="394"/>
        </w:trPr>
        <w:tc>
          <w:tcPr>
            <w:tcW w:w="760" w:type="dxa"/>
            <w:gridSpan w:val="2"/>
            <w:vAlign w:val="bottom"/>
          </w:tcPr>
          <w:p w:rsidR="00AC12B4" w:rsidRDefault="00C27636">
            <w:pPr>
              <w:rPr>
                <w:sz w:val="20"/>
                <w:szCs w:val="20"/>
              </w:rPr>
            </w:pPr>
            <w:r>
              <w:rPr>
                <w:rFonts w:ascii="Calibri" w:eastAsia="Calibri" w:hAnsi="Calibri" w:cs="Calibri"/>
                <w:w w:val="96"/>
              </w:rPr>
              <w:t>L’écoute</w:t>
            </w:r>
          </w:p>
        </w:tc>
        <w:tc>
          <w:tcPr>
            <w:tcW w:w="460" w:type="dxa"/>
            <w:vAlign w:val="bottom"/>
          </w:tcPr>
          <w:p w:rsidR="00AC12B4" w:rsidRDefault="00C27636">
            <w:pPr>
              <w:jc w:val="right"/>
              <w:rPr>
                <w:sz w:val="20"/>
                <w:szCs w:val="20"/>
              </w:rPr>
            </w:pPr>
            <w:r>
              <w:rPr>
                <w:rFonts w:ascii="Calibri" w:eastAsia="Calibri" w:hAnsi="Calibri" w:cs="Calibri"/>
              </w:rPr>
              <w:t>des</w:t>
            </w:r>
          </w:p>
        </w:tc>
        <w:tc>
          <w:tcPr>
            <w:tcW w:w="940" w:type="dxa"/>
            <w:vAlign w:val="bottom"/>
          </w:tcPr>
          <w:p w:rsidR="00AC12B4" w:rsidRDefault="00C27636">
            <w:pPr>
              <w:ind w:right="270"/>
              <w:jc w:val="right"/>
              <w:rPr>
                <w:sz w:val="20"/>
                <w:szCs w:val="20"/>
              </w:rPr>
            </w:pPr>
            <w:r>
              <w:rPr>
                <w:rFonts w:ascii="Calibri" w:eastAsia="Calibri" w:hAnsi="Calibri" w:cs="Calibri"/>
              </w:rPr>
              <w:t>juges</w:t>
            </w:r>
          </w:p>
        </w:tc>
        <w:tc>
          <w:tcPr>
            <w:tcW w:w="2580" w:type="dxa"/>
            <w:gridSpan w:val="3"/>
            <w:vMerge w:val="restart"/>
            <w:vAlign w:val="bottom"/>
          </w:tcPr>
          <w:p w:rsidR="00AC12B4" w:rsidRDefault="00C27636">
            <w:pPr>
              <w:spacing w:line="1249" w:lineRule="exact"/>
              <w:ind w:right="220"/>
              <w:jc w:val="right"/>
              <w:rPr>
                <w:sz w:val="20"/>
                <w:szCs w:val="20"/>
              </w:rPr>
            </w:pPr>
            <w:r>
              <w:rPr>
                <w:rFonts w:ascii="Comic Sans MS" w:eastAsia="Comic Sans MS" w:hAnsi="Comic Sans MS" w:cs="Comic Sans MS"/>
                <w:color w:val="FEC930"/>
                <w:sz w:val="96"/>
                <w:szCs w:val="96"/>
              </w:rPr>
              <w:t>66%</w:t>
            </w:r>
          </w:p>
        </w:tc>
        <w:tc>
          <w:tcPr>
            <w:tcW w:w="0" w:type="dxa"/>
            <w:vAlign w:val="bottom"/>
          </w:tcPr>
          <w:p w:rsidR="00AC12B4" w:rsidRDefault="00AC12B4">
            <w:pPr>
              <w:rPr>
                <w:sz w:val="1"/>
                <w:szCs w:val="1"/>
              </w:rPr>
            </w:pPr>
          </w:p>
        </w:tc>
      </w:tr>
      <w:tr w:rsidR="00AC12B4">
        <w:trPr>
          <w:trHeight w:val="269"/>
        </w:trPr>
        <w:tc>
          <w:tcPr>
            <w:tcW w:w="500" w:type="dxa"/>
            <w:vAlign w:val="bottom"/>
          </w:tcPr>
          <w:p w:rsidR="00AC12B4" w:rsidRDefault="00C27636">
            <w:pPr>
              <w:rPr>
                <w:sz w:val="20"/>
                <w:szCs w:val="20"/>
              </w:rPr>
            </w:pPr>
            <w:r>
              <w:rPr>
                <w:rFonts w:ascii="Calibri" w:eastAsia="Calibri" w:hAnsi="Calibri" w:cs="Calibri"/>
              </w:rPr>
              <w:t>pose</w:t>
            </w:r>
          </w:p>
        </w:tc>
        <w:tc>
          <w:tcPr>
            <w:tcW w:w="260" w:type="dxa"/>
            <w:vAlign w:val="bottom"/>
          </w:tcPr>
          <w:p w:rsidR="00AC12B4" w:rsidRDefault="00AC12B4">
            <w:pPr>
              <w:rPr>
                <w:sz w:val="23"/>
                <w:szCs w:val="23"/>
              </w:rPr>
            </w:pPr>
          </w:p>
        </w:tc>
        <w:tc>
          <w:tcPr>
            <w:tcW w:w="1400" w:type="dxa"/>
            <w:gridSpan w:val="2"/>
            <w:vAlign w:val="bottom"/>
          </w:tcPr>
          <w:p w:rsidR="00AC12B4" w:rsidRDefault="00C27636">
            <w:pPr>
              <w:ind w:right="290"/>
              <w:jc w:val="right"/>
              <w:rPr>
                <w:sz w:val="20"/>
                <w:szCs w:val="20"/>
              </w:rPr>
            </w:pPr>
            <w:r>
              <w:rPr>
                <w:rFonts w:ascii="Calibri" w:eastAsia="Calibri" w:hAnsi="Calibri" w:cs="Calibri"/>
              </w:rPr>
              <w:t>problème</w:t>
            </w:r>
          </w:p>
        </w:tc>
        <w:tc>
          <w:tcPr>
            <w:tcW w:w="2580" w:type="dxa"/>
            <w:gridSpan w:val="3"/>
            <w:vMerge/>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500" w:type="dxa"/>
            <w:vAlign w:val="bottom"/>
          </w:tcPr>
          <w:p w:rsidR="00AC12B4" w:rsidRDefault="00C27636">
            <w:pPr>
              <w:rPr>
                <w:sz w:val="20"/>
                <w:szCs w:val="20"/>
              </w:rPr>
            </w:pPr>
            <w:r>
              <w:rPr>
                <w:rFonts w:ascii="Calibri" w:eastAsia="Calibri" w:hAnsi="Calibri" w:cs="Calibri"/>
              </w:rPr>
              <w:t>selon</w:t>
            </w:r>
          </w:p>
        </w:tc>
        <w:tc>
          <w:tcPr>
            <w:tcW w:w="260" w:type="dxa"/>
            <w:vAlign w:val="bottom"/>
          </w:tcPr>
          <w:p w:rsidR="00AC12B4" w:rsidRDefault="00AC12B4">
            <w:pPr>
              <w:rPr>
                <w:sz w:val="23"/>
                <w:szCs w:val="23"/>
              </w:rPr>
            </w:pPr>
          </w:p>
        </w:tc>
        <w:tc>
          <w:tcPr>
            <w:tcW w:w="1400" w:type="dxa"/>
            <w:gridSpan w:val="2"/>
            <w:vAlign w:val="bottom"/>
          </w:tcPr>
          <w:p w:rsidR="00AC12B4" w:rsidRDefault="00C27636">
            <w:pPr>
              <w:ind w:right="290"/>
              <w:jc w:val="right"/>
              <w:rPr>
                <w:sz w:val="20"/>
                <w:szCs w:val="20"/>
              </w:rPr>
            </w:pPr>
            <w:r>
              <w:rPr>
                <w:rFonts w:ascii="Calibri" w:eastAsia="Calibri" w:hAnsi="Calibri" w:cs="Calibri"/>
              </w:rPr>
              <w:t>plusieurs</w:t>
            </w:r>
          </w:p>
        </w:tc>
        <w:tc>
          <w:tcPr>
            <w:tcW w:w="2580" w:type="dxa"/>
            <w:gridSpan w:val="3"/>
            <w:vMerge/>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8"/>
        </w:trPr>
        <w:tc>
          <w:tcPr>
            <w:tcW w:w="760" w:type="dxa"/>
            <w:gridSpan w:val="2"/>
            <w:vAlign w:val="bottom"/>
          </w:tcPr>
          <w:p w:rsidR="00AC12B4" w:rsidRDefault="00C27636">
            <w:pPr>
              <w:rPr>
                <w:sz w:val="20"/>
                <w:szCs w:val="20"/>
              </w:rPr>
            </w:pPr>
            <w:r>
              <w:rPr>
                <w:rFonts w:ascii="Calibri" w:eastAsia="Calibri" w:hAnsi="Calibri" w:cs="Calibri"/>
              </w:rPr>
              <w:t>jeunes.</w:t>
            </w:r>
          </w:p>
        </w:tc>
        <w:tc>
          <w:tcPr>
            <w:tcW w:w="460" w:type="dxa"/>
            <w:vAlign w:val="bottom"/>
          </w:tcPr>
          <w:p w:rsidR="00AC12B4" w:rsidRDefault="00C27636">
            <w:pPr>
              <w:ind w:right="10"/>
              <w:jc w:val="right"/>
              <w:rPr>
                <w:sz w:val="20"/>
                <w:szCs w:val="20"/>
              </w:rPr>
            </w:pPr>
            <w:r>
              <w:rPr>
                <w:rFonts w:ascii="Calibri" w:eastAsia="Calibri" w:hAnsi="Calibri" w:cs="Calibri"/>
              </w:rPr>
              <w:t>Les</w:t>
            </w:r>
          </w:p>
        </w:tc>
        <w:tc>
          <w:tcPr>
            <w:tcW w:w="940" w:type="dxa"/>
            <w:vAlign w:val="bottom"/>
          </w:tcPr>
          <w:p w:rsidR="00AC12B4" w:rsidRDefault="00C27636">
            <w:pPr>
              <w:ind w:right="290"/>
              <w:jc w:val="right"/>
              <w:rPr>
                <w:sz w:val="20"/>
                <w:szCs w:val="20"/>
              </w:rPr>
            </w:pPr>
            <w:r>
              <w:rPr>
                <w:rFonts w:ascii="Calibri" w:eastAsia="Calibri" w:hAnsi="Calibri" w:cs="Calibri"/>
              </w:rPr>
              <w:t>15-24</w:t>
            </w:r>
          </w:p>
        </w:tc>
        <w:tc>
          <w:tcPr>
            <w:tcW w:w="2580" w:type="dxa"/>
            <w:gridSpan w:val="3"/>
            <w:vMerge/>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0"/>
        </w:trPr>
        <w:tc>
          <w:tcPr>
            <w:tcW w:w="500" w:type="dxa"/>
            <w:vAlign w:val="bottom"/>
          </w:tcPr>
          <w:p w:rsidR="00AC12B4" w:rsidRDefault="00C27636">
            <w:pPr>
              <w:spacing w:line="220" w:lineRule="exact"/>
              <w:rPr>
                <w:sz w:val="20"/>
                <w:szCs w:val="20"/>
              </w:rPr>
            </w:pPr>
            <w:r>
              <w:rPr>
                <w:rFonts w:ascii="Calibri" w:eastAsia="Calibri" w:hAnsi="Calibri" w:cs="Calibri"/>
              </w:rPr>
              <w:t>ans</w:t>
            </w:r>
          </w:p>
        </w:tc>
        <w:tc>
          <w:tcPr>
            <w:tcW w:w="720" w:type="dxa"/>
            <w:gridSpan w:val="2"/>
            <w:vAlign w:val="bottom"/>
          </w:tcPr>
          <w:p w:rsidR="00AC12B4" w:rsidRDefault="00C27636">
            <w:pPr>
              <w:spacing w:line="220" w:lineRule="exact"/>
              <w:jc w:val="right"/>
              <w:rPr>
                <w:sz w:val="20"/>
                <w:szCs w:val="20"/>
              </w:rPr>
            </w:pPr>
            <w:r>
              <w:rPr>
                <w:rFonts w:ascii="Calibri" w:eastAsia="Calibri" w:hAnsi="Calibri" w:cs="Calibri"/>
              </w:rPr>
              <w:t>ayant</w:t>
            </w:r>
          </w:p>
        </w:tc>
        <w:tc>
          <w:tcPr>
            <w:tcW w:w="940" w:type="dxa"/>
            <w:vAlign w:val="bottom"/>
          </w:tcPr>
          <w:p w:rsidR="00AC12B4" w:rsidRDefault="00C27636">
            <w:pPr>
              <w:spacing w:line="220" w:lineRule="exact"/>
              <w:ind w:right="290"/>
              <w:jc w:val="right"/>
              <w:rPr>
                <w:sz w:val="20"/>
                <w:szCs w:val="20"/>
              </w:rPr>
            </w:pPr>
            <w:r>
              <w:rPr>
                <w:rFonts w:ascii="Calibri" w:eastAsia="Calibri" w:hAnsi="Calibri" w:cs="Calibri"/>
              </w:rPr>
              <w:t>été</w:t>
            </w:r>
          </w:p>
        </w:tc>
        <w:tc>
          <w:tcPr>
            <w:tcW w:w="1800" w:type="dxa"/>
            <w:vMerge w:val="restart"/>
            <w:vAlign w:val="bottom"/>
          </w:tcPr>
          <w:p w:rsidR="00AC12B4" w:rsidRDefault="00C27636">
            <w:pPr>
              <w:ind w:left="180"/>
              <w:rPr>
                <w:sz w:val="20"/>
                <w:szCs w:val="20"/>
              </w:rPr>
            </w:pPr>
            <w:r>
              <w:rPr>
                <w:rFonts w:ascii="Comic Sans MS" w:eastAsia="Comic Sans MS" w:hAnsi="Comic Sans MS" w:cs="Comic Sans MS"/>
                <w:color w:val="0D0D0D"/>
                <w:sz w:val="20"/>
                <w:szCs w:val="20"/>
              </w:rPr>
              <w:t>Des  15-24  ans</w:t>
            </w:r>
          </w:p>
        </w:tc>
        <w:tc>
          <w:tcPr>
            <w:tcW w:w="780" w:type="dxa"/>
            <w:gridSpan w:val="2"/>
            <w:vMerge w:val="restart"/>
            <w:vAlign w:val="bottom"/>
          </w:tcPr>
          <w:p w:rsidR="00AC12B4" w:rsidRDefault="00C27636">
            <w:pPr>
              <w:ind w:right="100"/>
              <w:jc w:val="right"/>
              <w:rPr>
                <w:sz w:val="20"/>
                <w:szCs w:val="20"/>
              </w:rPr>
            </w:pPr>
            <w:r>
              <w:rPr>
                <w:rFonts w:ascii="Comic Sans MS" w:eastAsia="Comic Sans MS" w:hAnsi="Comic Sans MS" w:cs="Comic Sans MS"/>
                <w:color w:val="0D0D0D"/>
                <w:sz w:val="20"/>
                <w:szCs w:val="20"/>
              </w:rPr>
              <w:t>sont</w:t>
            </w:r>
          </w:p>
        </w:tc>
        <w:tc>
          <w:tcPr>
            <w:tcW w:w="0" w:type="dxa"/>
            <w:vAlign w:val="bottom"/>
          </w:tcPr>
          <w:p w:rsidR="00AC12B4" w:rsidRDefault="00AC12B4">
            <w:pPr>
              <w:rPr>
                <w:sz w:val="1"/>
                <w:szCs w:val="1"/>
              </w:rPr>
            </w:pPr>
          </w:p>
        </w:tc>
      </w:tr>
      <w:tr w:rsidR="00AC12B4">
        <w:trPr>
          <w:trHeight w:val="148"/>
        </w:trPr>
        <w:tc>
          <w:tcPr>
            <w:tcW w:w="1220" w:type="dxa"/>
            <w:gridSpan w:val="3"/>
            <w:vMerge w:val="restart"/>
            <w:vAlign w:val="bottom"/>
          </w:tcPr>
          <w:p w:rsidR="00AC12B4" w:rsidRDefault="00C27636">
            <w:pPr>
              <w:rPr>
                <w:sz w:val="20"/>
                <w:szCs w:val="20"/>
              </w:rPr>
            </w:pPr>
            <w:r>
              <w:rPr>
                <w:rFonts w:ascii="Calibri" w:eastAsia="Calibri" w:hAnsi="Calibri" w:cs="Calibri"/>
              </w:rPr>
              <w:t>plaignant</w:t>
            </w:r>
          </w:p>
        </w:tc>
        <w:tc>
          <w:tcPr>
            <w:tcW w:w="940" w:type="dxa"/>
            <w:vMerge w:val="restart"/>
            <w:vAlign w:val="bottom"/>
          </w:tcPr>
          <w:p w:rsidR="00AC12B4" w:rsidRDefault="00C27636">
            <w:pPr>
              <w:ind w:right="290"/>
              <w:jc w:val="right"/>
              <w:rPr>
                <w:sz w:val="20"/>
                <w:szCs w:val="20"/>
              </w:rPr>
            </w:pPr>
            <w:r>
              <w:rPr>
                <w:rFonts w:ascii="Calibri" w:eastAsia="Calibri" w:hAnsi="Calibri" w:cs="Calibri"/>
              </w:rPr>
              <w:t>ou</w:t>
            </w:r>
          </w:p>
        </w:tc>
        <w:tc>
          <w:tcPr>
            <w:tcW w:w="1800" w:type="dxa"/>
            <w:vMerge/>
            <w:vAlign w:val="bottom"/>
          </w:tcPr>
          <w:p w:rsidR="00AC12B4" w:rsidRDefault="00AC12B4">
            <w:pPr>
              <w:rPr>
                <w:sz w:val="12"/>
                <w:szCs w:val="12"/>
              </w:rPr>
            </w:pPr>
          </w:p>
        </w:tc>
        <w:tc>
          <w:tcPr>
            <w:tcW w:w="780" w:type="dxa"/>
            <w:gridSpan w:val="2"/>
            <w:vMerge/>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1"/>
        </w:trPr>
        <w:tc>
          <w:tcPr>
            <w:tcW w:w="1220" w:type="dxa"/>
            <w:gridSpan w:val="3"/>
            <w:vMerge/>
            <w:vAlign w:val="bottom"/>
          </w:tcPr>
          <w:p w:rsidR="00AC12B4" w:rsidRDefault="00AC12B4">
            <w:pPr>
              <w:rPr>
                <w:sz w:val="10"/>
                <w:szCs w:val="10"/>
              </w:rPr>
            </w:pPr>
          </w:p>
        </w:tc>
        <w:tc>
          <w:tcPr>
            <w:tcW w:w="940" w:type="dxa"/>
            <w:vMerge/>
            <w:vAlign w:val="bottom"/>
          </w:tcPr>
          <w:p w:rsidR="00AC12B4" w:rsidRDefault="00AC12B4">
            <w:pPr>
              <w:rPr>
                <w:sz w:val="10"/>
                <w:szCs w:val="10"/>
              </w:rPr>
            </w:pPr>
          </w:p>
        </w:tc>
        <w:tc>
          <w:tcPr>
            <w:tcW w:w="1800" w:type="dxa"/>
            <w:vMerge w:val="restart"/>
            <w:vAlign w:val="bottom"/>
          </w:tcPr>
          <w:p w:rsidR="00AC12B4" w:rsidRDefault="00C27636">
            <w:pPr>
              <w:ind w:left="180"/>
              <w:rPr>
                <w:sz w:val="20"/>
                <w:szCs w:val="20"/>
              </w:rPr>
            </w:pPr>
            <w:r>
              <w:rPr>
                <w:rFonts w:ascii="Comic Sans MS" w:eastAsia="Comic Sans MS" w:hAnsi="Comic Sans MS" w:cs="Comic Sans MS"/>
                <w:color w:val="0D0D0D"/>
                <w:sz w:val="20"/>
                <w:szCs w:val="20"/>
              </w:rPr>
              <w:t>satisfaits</w:t>
            </w:r>
          </w:p>
        </w:tc>
        <w:tc>
          <w:tcPr>
            <w:tcW w:w="300" w:type="dxa"/>
            <w:vAlign w:val="bottom"/>
          </w:tcPr>
          <w:p w:rsidR="00AC12B4" w:rsidRDefault="00AC12B4">
            <w:pPr>
              <w:rPr>
                <w:sz w:val="10"/>
                <w:szCs w:val="10"/>
              </w:rPr>
            </w:pPr>
          </w:p>
        </w:tc>
        <w:tc>
          <w:tcPr>
            <w:tcW w:w="480" w:type="dxa"/>
            <w:vMerge w:val="restart"/>
            <w:vAlign w:val="bottom"/>
          </w:tcPr>
          <w:p w:rsidR="00AC12B4" w:rsidRDefault="00C27636">
            <w:pPr>
              <w:ind w:right="100"/>
              <w:jc w:val="right"/>
              <w:rPr>
                <w:sz w:val="20"/>
                <w:szCs w:val="20"/>
              </w:rPr>
            </w:pPr>
            <w:r>
              <w:rPr>
                <w:rFonts w:ascii="Comic Sans MS" w:eastAsia="Comic Sans MS" w:hAnsi="Comic Sans MS" w:cs="Comic Sans MS"/>
                <w:color w:val="0D0D0D"/>
                <w:sz w:val="20"/>
                <w:szCs w:val="20"/>
              </w:rPr>
              <w:t>du</w:t>
            </w:r>
          </w:p>
        </w:tc>
        <w:tc>
          <w:tcPr>
            <w:tcW w:w="0" w:type="dxa"/>
            <w:vAlign w:val="bottom"/>
          </w:tcPr>
          <w:p w:rsidR="00AC12B4" w:rsidRDefault="00AC12B4">
            <w:pPr>
              <w:rPr>
                <w:sz w:val="1"/>
                <w:szCs w:val="1"/>
              </w:rPr>
            </w:pPr>
          </w:p>
        </w:tc>
      </w:tr>
      <w:tr w:rsidR="00AC12B4">
        <w:trPr>
          <w:trHeight w:val="160"/>
        </w:trPr>
        <w:tc>
          <w:tcPr>
            <w:tcW w:w="1220" w:type="dxa"/>
            <w:gridSpan w:val="3"/>
            <w:vMerge w:val="restart"/>
            <w:vAlign w:val="bottom"/>
          </w:tcPr>
          <w:p w:rsidR="00AC12B4" w:rsidRDefault="00C27636">
            <w:pPr>
              <w:rPr>
                <w:sz w:val="20"/>
                <w:szCs w:val="20"/>
              </w:rPr>
            </w:pPr>
            <w:r>
              <w:rPr>
                <w:rFonts w:ascii="Calibri" w:eastAsia="Calibri" w:hAnsi="Calibri" w:cs="Calibri"/>
              </w:rPr>
              <w:t>défendeur</w:t>
            </w:r>
          </w:p>
        </w:tc>
        <w:tc>
          <w:tcPr>
            <w:tcW w:w="940" w:type="dxa"/>
            <w:vMerge w:val="restart"/>
            <w:vAlign w:val="bottom"/>
          </w:tcPr>
          <w:p w:rsidR="00AC12B4" w:rsidRDefault="00C27636">
            <w:pPr>
              <w:ind w:right="290"/>
              <w:jc w:val="right"/>
              <w:rPr>
                <w:sz w:val="20"/>
                <w:szCs w:val="20"/>
              </w:rPr>
            </w:pPr>
            <w:r>
              <w:rPr>
                <w:rFonts w:ascii="Calibri" w:eastAsia="Calibri" w:hAnsi="Calibri" w:cs="Calibri"/>
              </w:rPr>
              <w:t>dans</w:t>
            </w:r>
          </w:p>
        </w:tc>
        <w:tc>
          <w:tcPr>
            <w:tcW w:w="1800" w:type="dxa"/>
            <w:vMerge/>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480" w:type="dxa"/>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09"/>
        </w:trPr>
        <w:tc>
          <w:tcPr>
            <w:tcW w:w="1220" w:type="dxa"/>
            <w:gridSpan w:val="3"/>
            <w:vMerge/>
            <w:vAlign w:val="bottom"/>
          </w:tcPr>
          <w:p w:rsidR="00AC12B4" w:rsidRDefault="00AC12B4">
            <w:pPr>
              <w:rPr>
                <w:sz w:val="9"/>
                <w:szCs w:val="9"/>
              </w:rPr>
            </w:pPr>
          </w:p>
        </w:tc>
        <w:tc>
          <w:tcPr>
            <w:tcW w:w="940" w:type="dxa"/>
            <w:vMerge/>
            <w:vAlign w:val="bottom"/>
          </w:tcPr>
          <w:p w:rsidR="00AC12B4" w:rsidRDefault="00AC12B4">
            <w:pPr>
              <w:rPr>
                <w:sz w:val="9"/>
                <w:szCs w:val="9"/>
              </w:rPr>
            </w:pPr>
          </w:p>
        </w:tc>
        <w:tc>
          <w:tcPr>
            <w:tcW w:w="1800" w:type="dxa"/>
            <w:vMerge w:val="restart"/>
            <w:vAlign w:val="bottom"/>
          </w:tcPr>
          <w:p w:rsidR="00AC12B4" w:rsidRDefault="00C27636">
            <w:pPr>
              <w:ind w:left="180"/>
              <w:rPr>
                <w:sz w:val="20"/>
                <w:szCs w:val="20"/>
              </w:rPr>
            </w:pPr>
            <w:r>
              <w:rPr>
                <w:rFonts w:ascii="Comic Sans MS" w:eastAsia="Comic Sans MS" w:hAnsi="Comic Sans MS" w:cs="Comic Sans MS"/>
                <w:color w:val="0D0D0D"/>
                <w:sz w:val="20"/>
                <w:szCs w:val="20"/>
              </w:rPr>
              <w:t>fonctionnement</w:t>
            </w:r>
          </w:p>
        </w:tc>
        <w:tc>
          <w:tcPr>
            <w:tcW w:w="300" w:type="dxa"/>
            <w:vMerge w:val="restart"/>
            <w:vAlign w:val="bottom"/>
          </w:tcPr>
          <w:p w:rsidR="00AC12B4" w:rsidRDefault="00C27636">
            <w:pPr>
              <w:ind w:left="20"/>
              <w:rPr>
                <w:sz w:val="20"/>
                <w:szCs w:val="20"/>
              </w:rPr>
            </w:pPr>
            <w:r>
              <w:rPr>
                <w:rFonts w:ascii="Comic Sans MS" w:eastAsia="Comic Sans MS" w:hAnsi="Comic Sans MS" w:cs="Comic Sans MS"/>
                <w:color w:val="0D0D0D"/>
                <w:sz w:val="20"/>
                <w:szCs w:val="20"/>
              </w:rPr>
              <w:t>de</w:t>
            </w:r>
          </w:p>
        </w:tc>
        <w:tc>
          <w:tcPr>
            <w:tcW w:w="480" w:type="dxa"/>
            <w:vMerge w:val="restart"/>
            <w:vAlign w:val="bottom"/>
          </w:tcPr>
          <w:p w:rsidR="00AC12B4" w:rsidRDefault="00C27636">
            <w:pPr>
              <w:ind w:right="100"/>
              <w:jc w:val="right"/>
              <w:rPr>
                <w:sz w:val="20"/>
                <w:szCs w:val="20"/>
              </w:rPr>
            </w:pPr>
            <w:r>
              <w:rPr>
                <w:rFonts w:ascii="Comic Sans MS" w:eastAsia="Comic Sans MS" w:hAnsi="Comic Sans MS" w:cs="Comic Sans MS"/>
                <w:color w:val="0D0D0D"/>
                <w:sz w:val="20"/>
                <w:szCs w:val="20"/>
              </w:rPr>
              <w:t>la</w:t>
            </w:r>
          </w:p>
        </w:tc>
        <w:tc>
          <w:tcPr>
            <w:tcW w:w="0" w:type="dxa"/>
            <w:vAlign w:val="bottom"/>
          </w:tcPr>
          <w:p w:rsidR="00AC12B4" w:rsidRDefault="00AC12B4">
            <w:pPr>
              <w:rPr>
                <w:sz w:val="1"/>
                <w:szCs w:val="1"/>
              </w:rPr>
            </w:pPr>
          </w:p>
        </w:tc>
      </w:tr>
      <w:tr w:rsidR="00AC12B4">
        <w:trPr>
          <w:trHeight w:val="170"/>
        </w:trPr>
        <w:tc>
          <w:tcPr>
            <w:tcW w:w="500" w:type="dxa"/>
            <w:vMerge w:val="restart"/>
            <w:vAlign w:val="bottom"/>
          </w:tcPr>
          <w:p w:rsidR="00AC12B4" w:rsidRDefault="00C27636">
            <w:pPr>
              <w:rPr>
                <w:sz w:val="20"/>
                <w:szCs w:val="20"/>
              </w:rPr>
            </w:pPr>
            <w:r>
              <w:rPr>
                <w:rFonts w:ascii="Calibri" w:eastAsia="Calibri" w:hAnsi="Calibri" w:cs="Calibri"/>
              </w:rPr>
              <w:t>une</w:t>
            </w:r>
          </w:p>
        </w:tc>
        <w:tc>
          <w:tcPr>
            <w:tcW w:w="720" w:type="dxa"/>
            <w:gridSpan w:val="2"/>
            <w:vMerge w:val="restart"/>
            <w:vAlign w:val="bottom"/>
          </w:tcPr>
          <w:p w:rsidR="00AC12B4" w:rsidRDefault="00C27636">
            <w:pPr>
              <w:jc w:val="right"/>
              <w:rPr>
                <w:sz w:val="20"/>
                <w:szCs w:val="20"/>
              </w:rPr>
            </w:pPr>
            <w:r>
              <w:rPr>
                <w:rFonts w:ascii="Calibri" w:eastAsia="Calibri" w:hAnsi="Calibri" w:cs="Calibri"/>
              </w:rPr>
              <w:t>affaire</w:t>
            </w:r>
          </w:p>
        </w:tc>
        <w:tc>
          <w:tcPr>
            <w:tcW w:w="940" w:type="dxa"/>
            <w:vMerge w:val="restart"/>
            <w:vAlign w:val="bottom"/>
          </w:tcPr>
          <w:p w:rsidR="00AC12B4" w:rsidRDefault="00C27636">
            <w:pPr>
              <w:ind w:right="290"/>
              <w:jc w:val="right"/>
              <w:rPr>
                <w:sz w:val="20"/>
                <w:szCs w:val="20"/>
              </w:rPr>
            </w:pPr>
            <w:r>
              <w:rPr>
                <w:rFonts w:ascii="Calibri" w:eastAsia="Calibri" w:hAnsi="Calibri" w:cs="Calibri"/>
              </w:rPr>
              <w:t>civile</w:t>
            </w:r>
          </w:p>
        </w:tc>
        <w:tc>
          <w:tcPr>
            <w:tcW w:w="1800" w:type="dxa"/>
            <w:vMerge/>
            <w:vAlign w:val="bottom"/>
          </w:tcPr>
          <w:p w:rsidR="00AC12B4" w:rsidRDefault="00AC12B4">
            <w:pPr>
              <w:rPr>
                <w:sz w:val="14"/>
                <w:szCs w:val="14"/>
              </w:rPr>
            </w:pPr>
          </w:p>
        </w:tc>
        <w:tc>
          <w:tcPr>
            <w:tcW w:w="300" w:type="dxa"/>
            <w:vMerge/>
            <w:vAlign w:val="bottom"/>
          </w:tcPr>
          <w:p w:rsidR="00AC12B4" w:rsidRDefault="00AC12B4">
            <w:pPr>
              <w:rPr>
                <w:sz w:val="14"/>
                <w:szCs w:val="14"/>
              </w:rPr>
            </w:pPr>
          </w:p>
        </w:tc>
        <w:tc>
          <w:tcPr>
            <w:tcW w:w="480" w:type="dxa"/>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99"/>
        </w:trPr>
        <w:tc>
          <w:tcPr>
            <w:tcW w:w="500" w:type="dxa"/>
            <w:vMerge/>
            <w:vAlign w:val="bottom"/>
          </w:tcPr>
          <w:p w:rsidR="00AC12B4" w:rsidRDefault="00AC12B4">
            <w:pPr>
              <w:rPr>
                <w:sz w:val="8"/>
                <w:szCs w:val="8"/>
              </w:rPr>
            </w:pPr>
          </w:p>
        </w:tc>
        <w:tc>
          <w:tcPr>
            <w:tcW w:w="720" w:type="dxa"/>
            <w:gridSpan w:val="2"/>
            <w:vMerge/>
            <w:vAlign w:val="bottom"/>
          </w:tcPr>
          <w:p w:rsidR="00AC12B4" w:rsidRDefault="00AC12B4">
            <w:pPr>
              <w:rPr>
                <w:sz w:val="8"/>
                <w:szCs w:val="8"/>
              </w:rPr>
            </w:pPr>
          </w:p>
        </w:tc>
        <w:tc>
          <w:tcPr>
            <w:tcW w:w="940" w:type="dxa"/>
            <w:vMerge/>
            <w:vAlign w:val="bottom"/>
          </w:tcPr>
          <w:p w:rsidR="00AC12B4" w:rsidRDefault="00AC12B4">
            <w:pPr>
              <w:rPr>
                <w:sz w:val="8"/>
                <w:szCs w:val="8"/>
              </w:rPr>
            </w:pPr>
          </w:p>
        </w:tc>
        <w:tc>
          <w:tcPr>
            <w:tcW w:w="2100" w:type="dxa"/>
            <w:gridSpan w:val="2"/>
            <w:vMerge w:val="restart"/>
            <w:vAlign w:val="bottom"/>
          </w:tcPr>
          <w:p w:rsidR="00AC12B4" w:rsidRDefault="00C27636">
            <w:pPr>
              <w:ind w:left="180"/>
              <w:rPr>
                <w:sz w:val="20"/>
                <w:szCs w:val="20"/>
              </w:rPr>
            </w:pPr>
            <w:r>
              <w:rPr>
                <w:rFonts w:ascii="Comic Sans MS" w:eastAsia="Comic Sans MS" w:hAnsi="Comic Sans MS" w:cs="Comic Sans MS"/>
                <w:color w:val="0D0D0D"/>
                <w:sz w:val="20"/>
                <w:szCs w:val="20"/>
              </w:rPr>
              <w:t>justice.  C’est  9%</w:t>
            </w:r>
          </w:p>
        </w:tc>
        <w:tc>
          <w:tcPr>
            <w:tcW w:w="480" w:type="dxa"/>
            <w:vMerge w:val="restart"/>
            <w:vAlign w:val="bottom"/>
          </w:tcPr>
          <w:p w:rsidR="00AC12B4" w:rsidRDefault="00C27636">
            <w:pPr>
              <w:ind w:right="100"/>
              <w:jc w:val="right"/>
              <w:rPr>
                <w:sz w:val="20"/>
                <w:szCs w:val="20"/>
              </w:rPr>
            </w:pPr>
            <w:r>
              <w:rPr>
                <w:rFonts w:ascii="Comic Sans MS" w:eastAsia="Comic Sans MS" w:hAnsi="Comic Sans MS" w:cs="Comic Sans MS"/>
                <w:color w:val="0D0D0D"/>
                <w:sz w:val="20"/>
                <w:szCs w:val="20"/>
              </w:rPr>
              <w:t>de</w:t>
            </w:r>
          </w:p>
        </w:tc>
        <w:tc>
          <w:tcPr>
            <w:tcW w:w="0" w:type="dxa"/>
            <w:vAlign w:val="bottom"/>
          </w:tcPr>
          <w:p w:rsidR="00AC12B4" w:rsidRDefault="00AC12B4">
            <w:pPr>
              <w:rPr>
                <w:sz w:val="1"/>
                <w:szCs w:val="1"/>
              </w:rPr>
            </w:pPr>
          </w:p>
        </w:tc>
      </w:tr>
      <w:tr w:rsidR="00AC12B4">
        <w:trPr>
          <w:trHeight w:val="179"/>
        </w:trPr>
        <w:tc>
          <w:tcPr>
            <w:tcW w:w="500" w:type="dxa"/>
            <w:vMerge w:val="restart"/>
            <w:vAlign w:val="bottom"/>
          </w:tcPr>
          <w:p w:rsidR="00AC12B4" w:rsidRDefault="00C27636">
            <w:pPr>
              <w:rPr>
                <w:sz w:val="20"/>
                <w:szCs w:val="20"/>
              </w:rPr>
            </w:pPr>
            <w:r>
              <w:rPr>
                <w:rFonts w:ascii="Calibri" w:eastAsia="Calibri" w:hAnsi="Calibri" w:cs="Calibri"/>
              </w:rPr>
              <w:t>lors</w:t>
            </w:r>
          </w:p>
        </w:tc>
        <w:tc>
          <w:tcPr>
            <w:tcW w:w="260" w:type="dxa"/>
            <w:vAlign w:val="bottom"/>
          </w:tcPr>
          <w:p w:rsidR="00AC12B4" w:rsidRDefault="00AC12B4">
            <w:pPr>
              <w:rPr>
                <w:sz w:val="15"/>
                <w:szCs w:val="15"/>
              </w:rPr>
            </w:pPr>
          </w:p>
        </w:tc>
        <w:tc>
          <w:tcPr>
            <w:tcW w:w="460" w:type="dxa"/>
            <w:vMerge w:val="restart"/>
            <w:vAlign w:val="bottom"/>
          </w:tcPr>
          <w:p w:rsidR="00AC12B4" w:rsidRDefault="00C27636">
            <w:pPr>
              <w:ind w:right="30"/>
              <w:jc w:val="right"/>
              <w:rPr>
                <w:sz w:val="20"/>
                <w:szCs w:val="20"/>
              </w:rPr>
            </w:pPr>
            <w:r>
              <w:rPr>
                <w:rFonts w:ascii="Calibri" w:eastAsia="Calibri" w:hAnsi="Calibri" w:cs="Calibri"/>
                <w:w w:val="96"/>
              </w:rPr>
              <w:t>des</w:t>
            </w:r>
          </w:p>
        </w:tc>
        <w:tc>
          <w:tcPr>
            <w:tcW w:w="940" w:type="dxa"/>
            <w:vMerge w:val="restart"/>
            <w:vAlign w:val="bottom"/>
          </w:tcPr>
          <w:p w:rsidR="00AC12B4" w:rsidRDefault="00C27636">
            <w:pPr>
              <w:ind w:right="290"/>
              <w:jc w:val="right"/>
              <w:rPr>
                <w:sz w:val="20"/>
                <w:szCs w:val="20"/>
              </w:rPr>
            </w:pPr>
            <w:r>
              <w:rPr>
                <w:rFonts w:ascii="Calibri" w:eastAsia="Calibri" w:hAnsi="Calibri" w:cs="Calibri"/>
              </w:rPr>
              <w:t>10</w:t>
            </w:r>
          </w:p>
        </w:tc>
        <w:tc>
          <w:tcPr>
            <w:tcW w:w="2100" w:type="dxa"/>
            <w:gridSpan w:val="2"/>
            <w:vMerge/>
            <w:vAlign w:val="bottom"/>
          </w:tcPr>
          <w:p w:rsidR="00AC12B4" w:rsidRDefault="00AC12B4">
            <w:pPr>
              <w:rPr>
                <w:sz w:val="15"/>
                <w:szCs w:val="15"/>
              </w:rPr>
            </w:pPr>
          </w:p>
        </w:tc>
        <w:tc>
          <w:tcPr>
            <w:tcW w:w="480" w:type="dxa"/>
            <w:vMerge/>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rsidRPr="00C27636">
        <w:trPr>
          <w:trHeight w:val="90"/>
        </w:trPr>
        <w:tc>
          <w:tcPr>
            <w:tcW w:w="500" w:type="dxa"/>
            <w:vMerge/>
            <w:vAlign w:val="bottom"/>
          </w:tcPr>
          <w:p w:rsidR="00AC12B4" w:rsidRDefault="00AC12B4">
            <w:pPr>
              <w:rPr>
                <w:sz w:val="7"/>
                <w:szCs w:val="7"/>
              </w:rPr>
            </w:pPr>
          </w:p>
        </w:tc>
        <w:tc>
          <w:tcPr>
            <w:tcW w:w="260" w:type="dxa"/>
            <w:vAlign w:val="bottom"/>
          </w:tcPr>
          <w:p w:rsidR="00AC12B4" w:rsidRDefault="00AC12B4">
            <w:pPr>
              <w:rPr>
                <w:sz w:val="7"/>
                <w:szCs w:val="7"/>
              </w:rPr>
            </w:pPr>
          </w:p>
        </w:tc>
        <w:tc>
          <w:tcPr>
            <w:tcW w:w="460" w:type="dxa"/>
            <w:vMerge/>
            <w:vAlign w:val="bottom"/>
          </w:tcPr>
          <w:p w:rsidR="00AC12B4" w:rsidRDefault="00AC12B4">
            <w:pPr>
              <w:rPr>
                <w:sz w:val="7"/>
                <w:szCs w:val="7"/>
              </w:rPr>
            </w:pPr>
          </w:p>
        </w:tc>
        <w:tc>
          <w:tcPr>
            <w:tcW w:w="940" w:type="dxa"/>
            <w:vMerge/>
            <w:vAlign w:val="bottom"/>
          </w:tcPr>
          <w:p w:rsidR="00AC12B4" w:rsidRDefault="00AC12B4">
            <w:pPr>
              <w:rPr>
                <w:sz w:val="7"/>
                <w:szCs w:val="7"/>
              </w:rPr>
            </w:pPr>
          </w:p>
        </w:tc>
        <w:tc>
          <w:tcPr>
            <w:tcW w:w="2580" w:type="dxa"/>
            <w:gridSpan w:val="3"/>
            <w:vMerge w:val="restart"/>
            <w:vAlign w:val="bottom"/>
          </w:tcPr>
          <w:p w:rsidR="00AC12B4" w:rsidRPr="00C27636" w:rsidRDefault="00C27636">
            <w:pPr>
              <w:spacing w:line="277" w:lineRule="exact"/>
              <w:ind w:left="180"/>
              <w:rPr>
                <w:sz w:val="20"/>
                <w:szCs w:val="20"/>
                <w:lang w:val="fr-BE"/>
              </w:rPr>
            </w:pPr>
            <w:r w:rsidRPr="00C27636">
              <w:rPr>
                <w:rFonts w:ascii="Comic Sans MS" w:eastAsia="Comic Sans MS" w:hAnsi="Comic Sans MS" w:cs="Comic Sans MS"/>
                <w:color w:val="0D0D0D"/>
                <w:sz w:val="20"/>
                <w:szCs w:val="20"/>
                <w:lang w:val="fr-BE"/>
              </w:rPr>
              <w:t>plus que la moyenne des</w:t>
            </w:r>
          </w:p>
        </w:tc>
        <w:tc>
          <w:tcPr>
            <w:tcW w:w="0" w:type="dxa"/>
            <w:vAlign w:val="bottom"/>
          </w:tcPr>
          <w:p w:rsidR="00AC12B4" w:rsidRPr="00C27636" w:rsidRDefault="00AC12B4">
            <w:pPr>
              <w:rPr>
                <w:sz w:val="1"/>
                <w:szCs w:val="1"/>
                <w:lang w:val="fr-BE"/>
              </w:rPr>
            </w:pPr>
          </w:p>
        </w:tc>
      </w:tr>
      <w:tr w:rsidR="00AC12B4">
        <w:trPr>
          <w:trHeight w:val="187"/>
        </w:trPr>
        <w:tc>
          <w:tcPr>
            <w:tcW w:w="2160" w:type="dxa"/>
            <w:gridSpan w:val="4"/>
            <w:vMerge w:val="restart"/>
            <w:vAlign w:val="bottom"/>
          </w:tcPr>
          <w:p w:rsidR="00AC12B4" w:rsidRDefault="00C27636">
            <w:pPr>
              <w:rPr>
                <w:sz w:val="20"/>
                <w:szCs w:val="20"/>
              </w:rPr>
            </w:pPr>
            <w:r>
              <w:rPr>
                <w:rFonts w:ascii="Calibri" w:eastAsia="Calibri" w:hAnsi="Calibri" w:cs="Calibri"/>
              </w:rPr>
              <w:t>dernières   années</w:t>
            </w:r>
          </w:p>
        </w:tc>
        <w:tc>
          <w:tcPr>
            <w:tcW w:w="2580" w:type="dxa"/>
            <w:gridSpan w:val="3"/>
            <w:vMerge/>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82"/>
        </w:trPr>
        <w:tc>
          <w:tcPr>
            <w:tcW w:w="2160" w:type="dxa"/>
            <w:gridSpan w:val="4"/>
            <w:vMerge/>
            <w:vAlign w:val="bottom"/>
          </w:tcPr>
          <w:p w:rsidR="00AC12B4" w:rsidRDefault="00AC12B4">
            <w:pPr>
              <w:rPr>
                <w:sz w:val="7"/>
                <w:szCs w:val="7"/>
              </w:rPr>
            </w:pPr>
          </w:p>
        </w:tc>
        <w:tc>
          <w:tcPr>
            <w:tcW w:w="2580" w:type="dxa"/>
            <w:gridSpan w:val="3"/>
            <w:vMerge w:val="restart"/>
            <w:vAlign w:val="bottom"/>
          </w:tcPr>
          <w:p w:rsidR="00AC12B4" w:rsidRDefault="00C27636">
            <w:pPr>
              <w:spacing w:line="277" w:lineRule="exact"/>
              <w:ind w:left="180"/>
              <w:rPr>
                <w:sz w:val="20"/>
                <w:szCs w:val="20"/>
              </w:rPr>
            </w:pPr>
            <w:r>
              <w:rPr>
                <w:rFonts w:ascii="Comic Sans MS" w:eastAsia="Comic Sans MS" w:hAnsi="Comic Sans MS" w:cs="Comic Sans MS"/>
                <w:color w:val="0D0D0D"/>
                <w:sz w:val="20"/>
                <w:szCs w:val="20"/>
              </w:rPr>
              <w:t>répondants (BJ 2014).</w:t>
            </w:r>
          </w:p>
        </w:tc>
        <w:tc>
          <w:tcPr>
            <w:tcW w:w="0" w:type="dxa"/>
            <w:vAlign w:val="bottom"/>
          </w:tcPr>
          <w:p w:rsidR="00AC12B4" w:rsidRDefault="00AC12B4">
            <w:pPr>
              <w:rPr>
                <w:sz w:val="1"/>
                <w:szCs w:val="1"/>
              </w:rPr>
            </w:pPr>
          </w:p>
        </w:tc>
      </w:tr>
      <w:tr w:rsidR="00AC12B4">
        <w:trPr>
          <w:trHeight w:val="196"/>
        </w:trPr>
        <w:tc>
          <w:tcPr>
            <w:tcW w:w="500" w:type="dxa"/>
            <w:vMerge w:val="restart"/>
            <w:vAlign w:val="bottom"/>
          </w:tcPr>
          <w:p w:rsidR="00AC12B4" w:rsidRDefault="00C27636">
            <w:pPr>
              <w:spacing w:line="267" w:lineRule="exact"/>
              <w:rPr>
                <w:sz w:val="20"/>
                <w:szCs w:val="20"/>
              </w:rPr>
            </w:pPr>
            <w:r>
              <w:rPr>
                <w:rFonts w:ascii="Calibri" w:eastAsia="Calibri" w:hAnsi="Calibri" w:cs="Calibri"/>
              </w:rPr>
              <w:t>sont</w:t>
            </w:r>
          </w:p>
        </w:tc>
        <w:tc>
          <w:tcPr>
            <w:tcW w:w="260" w:type="dxa"/>
            <w:vAlign w:val="bottom"/>
          </w:tcPr>
          <w:p w:rsidR="00AC12B4" w:rsidRDefault="00AC12B4">
            <w:pPr>
              <w:rPr>
                <w:sz w:val="17"/>
                <w:szCs w:val="17"/>
              </w:rPr>
            </w:pPr>
          </w:p>
        </w:tc>
        <w:tc>
          <w:tcPr>
            <w:tcW w:w="1400" w:type="dxa"/>
            <w:gridSpan w:val="2"/>
            <w:vMerge w:val="restart"/>
            <w:vAlign w:val="bottom"/>
          </w:tcPr>
          <w:p w:rsidR="00AC12B4" w:rsidRDefault="00C27636">
            <w:pPr>
              <w:spacing w:line="267" w:lineRule="exact"/>
              <w:ind w:right="290"/>
              <w:jc w:val="right"/>
              <w:rPr>
                <w:sz w:val="20"/>
                <w:szCs w:val="20"/>
              </w:rPr>
            </w:pPr>
            <w:r>
              <w:rPr>
                <w:rFonts w:ascii="Calibri" w:eastAsia="Calibri" w:hAnsi="Calibri" w:cs="Calibri"/>
              </w:rPr>
              <w:t>seulement</w:t>
            </w:r>
          </w:p>
        </w:tc>
        <w:tc>
          <w:tcPr>
            <w:tcW w:w="2580" w:type="dxa"/>
            <w:gridSpan w:val="3"/>
            <w:vMerge/>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70"/>
        </w:trPr>
        <w:tc>
          <w:tcPr>
            <w:tcW w:w="500" w:type="dxa"/>
            <w:vMerge/>
            <w:vAlign w:val="bottom"/>
          </w:tcPr>
          <w:p w:rsidR="00AC12B4" w:rsidRDefault="00AC12B4">
            <w:pPr>
              <w:rPr>
                <w:sz w:val="6"/>
                <w:szCs w:val="6"/>
              </w:rPr>
            </w:pPr>
          </w:p>
        </w:tc>
        <w:tc>
          <w:tcPr>
            <w:tcW w:w="260" w:type="dxa"/>
            <w:vAlign w:val="bottom"/>
          </w:tcPr>
          <w:p w:rsidR="00AC12B4" w:rsidRDefault="00AC12B4">
            <w:pPr>
              <w:rPr>
                <w:sz w:val="6"/>
                <w:szCs w:val="6"/>
              </w:rPr>
            </w:pPr>
          </w:p>
        </w:tc>
        <w:tc>
          <w:tcPr>
            <w:tcW w:w="1400" w:type="dxa"/>
            <w:gridSpan w:val="2"/>
            <w:vMerge/>
            <w:vAlign w:val="bottom"/>
          </w:tcPr>
          <w:p w:rsidR="00AC12B4" w:rsidRDefault="00AC12B4">
            <w:pPr>
              <w:rPr>
                <w:sz w:val="6"/>
                <w:szCs w:val="6"/>
              </w:rPr>
            </w:pPr>
          </w:p>
        </w:tc>
        <w:tc>
          <w:tcPr>
            <w:tcW w:w="1800" w:type="dxa"/>
            <w:vAlign w:val="bottom"/>
          </w:tcPr>
          <w:p w:rsidR="00AC12B4" w:rsidRDefault="00AC12B4">
            <w:pPr>
              <w:rPr>
                <w:sz w:val="6"/>
                <w:szCs w:val="6"/>
              </w:rPr>
            </w:pPr>
          </w:p>
        </w:tc>
        <w:tc>
          <w:tcPr>
            <w:tcW w:w="300" w:type="dxa"/>
            <w:vAlign w:val="bottom"/>
          </w:tcPr>
          <w:p w:rsidR="00AC12B4" w:rsidRDefault="00AC12B4">
            <w:pPr>
              <w:rPr>
                <w:sz w:val="6"/>
                <w:szCs w:val="6"/>
              </w:rPr>
            </w:pPr>
          </w:p>
        </w:tc>
        <w:tc>
          <w:tcPr>
            <w:tcW w:w="48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trPr>
          <w:trHeight w:val="85"/>
        </w:trPr>
        <w:tc>
          <w:tcPr>
            <w:tcW w:w="500" w:type="dxa"/>
            <w:vMerge w:val="restart"/>
            <w:vAlign w:val="bottom"/>
          </w:tcPr>
          <w:p w:rsidR="00AC12B4" w:rsidRDefault="00C27636">
            <w:pPr>
              <w:rPr>
                <w:sz w:val="20"/>
                <w:szCs w:val="20"/>
              </w:rPr>
            </w:pPr>
            <w:r>
              <w:rPr>
                <w:rFonts w:ascii="Calibri" w:eastAsia="Calibri" w:hAnsi="Calibri" w:cs="Calibri"/>
              </w:rPr>
              <w:t>37%</w:t>
            </w:r>
          </w:p>
        </w:tc>
        <w:tc>
          <w:tcPr>
            <w:tcW w:w="260" w:type="dxa"/>
            <w:vMerge w:val="restart"/>
            <w:vAlign w:val="bottom"/>
          </w:tcPr>
          <w:p w:rsidR="00AC12B4" w:rsidRDefault="00C27636">
            <w:pPr>
              <w:jc w:val="right"/>
              <w:rPr>
                <w:sz w:val="20"/>
                <w:szCs w:val="20"/>
              </w:rPr>
            </w:pPr>
            <w:r>
              <w:rPr>
                <w:rFonts w:ascii="Calibri" w:eastAsia="Calibri" w:hAnsi="Calibri" w:cs="Calibri"/>
              </w:rPr>
              <w:t>à</w:t>
            </w:r>
          </w:p>
        </w:tc>
        <w:tc>
          <w:tcPr>
            <w:tcW w:w="1400" w:type="dxa"/>
            <w:gridSpan w:val="2"/>
            <w:vMerge w:val="restart"/>
            <w:vAlign w:val="bottom"/>
          </w:tcPr>
          <w:p w:rsidR="00AC12B4" w:rsidRDefault="00C27636">
            <w:pPr>
              <w:ind w:right="290"/>
              <w:jc w:val="right"/>
              <w:rPr>
                <w:sz w:val="20"/>
                <w:szCs w:val="20"/>
              </w:rPr>
            </w:pPr>
            <w:r>
              <w:rPr>
                <w:rFonts w:ascii="Calibri" w:eastAsia="Calibri" w:hAnsi="Calibri" w:cs="Calibri"/>
              </w:rPr>
              <w:t>avoir  le</w:t>
            </w:r>
          </w:p>
        </w:tc>
        <w:tc>
          <w:tcPr>
            <w:tcW w:w="1800" w:type="dxa"/>
            <w:tcBorders>
              <w:bottom w:val="single" w:sz="8" w:space="0" w:color="FEC930"/>
            </w:tcBorders>
            <w:vAlign w:val="bottom"/>
          </w:tcPr>
          <w:p w:rsidR="00AC12B4" w:rsidRDefault="00AC12B4">
            <w:pPr>
              <w:rPr>
                <w:sz w:val="7"/>
                <w:szCs w:val="7"/>
              </w:rPr>
            </w:pPr>
          </w:p>
        </w:tc>
        <w:tc>
          <w:tcPr>
            <w:tcW w:w="300" w:type="dxa"/>
            <w:tcBorders>
              <w:bottom w:val="single" w:sz="8" w:space="0" w:color="FEC930"/>
            </w:tcBorders>
            <w:vAlign w:val="bottom"/>
          </w:tcPr>
          <w:p w:rsidR="00AC12B4" w:rsidRDefault="00AC12B4">
            <w:pPr>
              <w:rPr>
                <w:sz w:val="7"/>
                <w:szCs w:val="7"/>
              </w:rPr>
            </w:pPr>
          </w:p>
        </w:tc>
        <w:tc>
          <w:tcPr>
            <w:tcW w:w="480" w:type="dxa"/>
            <w:tcBorders>
              <w:bottom w:val="single" w:sz="8" w:space="0" w:color="FEC930"/>
            </w:tcBorders>
            <w:vAlign w:val="bottom"/>
          </w:tcPr>
          <w:p w:rsidR="00AC12B4" w:rsidRDefault="00AC12B4">
            <w:pPr>
              <w:rPr>
                <w:sz w:val="7"/>
                <w:szCs w:val="7"/>
              </w:rPr>
            </w:pPr>
          </w:p>
        </w:tc>
        <w:tc>
          <w:tcPr>
            <w:tcW w:w="0" w:type="dxa"/>
            <w:vAlign w:val="bottom"/>
          </w:tcPr>
          <w:p w:rsidR="00AC12B4" w:rsidRDefault="00AC12B4">
            <w:pPr>
              <w:rPr>
                <w:sz w:val="1"/>
                <w:szCs w:val="1"/>
              </w:rPr>
            </w:pPr>
          </w:p>
        </w:tc>
      </w:tr>
      <w:tr w:rsidR="00AC12B4">
        <w:trPr>
          <w:trHeight w:val="164"/>
        </w:trPr>
        <w:tc>
          <w:tcPr>
            <w:tcW w:w="500" w:type="dxa"/>
            <w:vMerge/>
            <w:vAlign w:val="bottom"/>
          </w:tcPr>
          <w:p w:rsidR="00AC12B4" w:rsidRDefault="00AC12B4">
            <w:pPr>
              <w:rPr>
                <w:sz w:val="14"/>
                <w:szCs w:val="14"/>
              </w:rPr>
            </w:pPr>
          </w:p>
        </w:tc>
        <w:tc>
          <w:tcPr>
            <w:tcW w:w="260" w:type="dxa"/>
            <w:vMerge/>
            <w:vAlign w:val="bottom"/>
          </w:tcPr>
          <w:p w:rsidR="00AC12B4" w:rsidRDefault="00AC12B4">
            <w:pPr>
              <w:rPr>
                <w:sz w:val="14"/>
                <w:szCs w:val="14"/>
              </w:rPr>
            </w:pPr>
          </w:p>
        </w:tc>
        <w:tc>
          <w:tcPr>
            <w:tcW w:w="1400" w:type="dxa"/>
            <w:gridSpan w:val="2"/>
            <w:vMerge/>
            <w:vAlign w:val="bottom"/>
          </w:tcPr>
          <w:p w:rsidR="00AC12B4" w:rsidRDefault="00AC12B4">
            <w:pPr>
              <w:rPr>
                <w:sz w:val="14"/>
                <w:szCs w:val="14"/>
              </w:rPr>
            </w:pPr>
          </w:p>
        </w:tc>
        <w:tc>
          <w:tcPr>
            <w:tcW w:w="1800" w:type="dxa"/>
            <w:vAlign w:val="bottom"/>
          </w:tcPr>
          <w:p w:rsidR="00AC12B4" w:rsidRDefault="00AC12B4">
            <w:pPr>
              <w:rPr>
                <w:sz w:val="14"/>
                <w:szCs w:val="14"/>
              </w:rPr>
            </w:pPr>
          </w:p>
        </w:tc>
        <w:tc>
          <w:tcPr>
            <w:tcW w:w="300" w:type="dxa"/>
            <w:vAlign w:val="bottom"/>
          </w:tcPr>
          <w:p w:rsidR="00AC12B4" w:rsidRDefault="00AC12B4">
            <w:pPr>
              <w:rPr>
                <w:sz w:val="14"/>
                <w:szCs w:val="14"/>
              </w:rPr>
            </w:pPr>
          </w:p>
        </w:tc>
        <w:tc>
          <w:tcPr>
            <w:tcW w:w="48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rsidRPr="00C27636">
        <w:trPr>
          <w:trHeight w:val="269"/>
        </w:trPr>
        <w:tc>
          <w:tcPr>
            <w:tcW w:w="3960" w:type="dxa"/>
            <w:gridSpan w:val="5"/>
            <w:vAlign w:val="bottom"/>
          </w:tcPr>
          <w:p w:rsidR="00AC12B4" w:rsidRPr="00C27636" w:rsidRDefault="00C27636">
            <w:pPr>
              <w:rPr>
                <w:sz w:val="20"/>
                <w:szCs w:val="20"/>
                <w:lang w:val="fr-BE"/>
              </w:rPr>
            </w:pPr>
            <w:r w:rsidRPr="00C27636">
              <w:rPr>
                <w:rFonts w:ascii="Calibri" w:eastAsia="Calibri" w:hAnsi="Calibri" w:cs="Calibri"/>
                <w:lang w:val="fr-BE"/>
              </w:rPr>
              <w:t>sentiment d’avoir été écouté par le juge</w:t>
            </w:r>
          </w:p>
        </w:tc>
        <w:tc>
          <w:tcPr>
            <w:tcW w:w="300" w:type="dxa"/>
            <w:vAlign w:val="bottom"/>
          </w:tcPr>
          <w:p w:rsidR="00AC12B4" w:rsidRPr="00C27636" w:rsidRDefault="00AC12B4">
            <w:pPr>
              <w:rPr>
                <w:sz w:val="23"/>
                <w:szCs w:val="23"/>
                <w:lang w:val="fr-BE"/>
              </w:rPr>
            </w:pPr>
          </w:p>
        </w:tc>
        <w:tc>
          <w:tcPr>
            <w:tcW w:w="48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3960" w:type="dxa"/>
            <w:gridSpan w:val="5"/>
            <w:vAlign w:val="bottom"/>
          </w:tcPr>
          <w:p w:rsidR="00AC12B4" w:rsidRPr="00C27636" w:rsidRDefault="00C27636">
            <w:pPr>
              <w:rPr>
                <w:sz w:val="20"/>
                <w:szCs w:val="20"/>
                <w:lang w:val="fr-BE"/>
              </w:rPr>
            </w:pPr>
            <w:r w:rsidRPr="00C27636">
              <w:rPr>
                <w:rFonts w:ascii="Calibri" w:eastAsia="Calibri" w:hAnsi="Calibri" w:cs="Calibri"/>
                <w:lang w:val="fr-BE"/>
              </w:rPr>
              <w:t>(alors que la moyenne est de 55%).</w:t>
            </w:r>
          </w:p>
        </w:tc>
        <w:tc>
          <w:tcPr>
            <w:tcW w:w="300" w:type="dxa"/>
            <w:vAlign w:val="bottom"/>
          </w:tcPr>
          <w:p w:rsidR="00AC12B4" w:rsidRPr="00C27636" w:rsidRDefault="00AC12B4">
            <w:pPr>
              <w:rPr>
                <w:sz w:val="23"/>
                <w:szCs w:val="23"/>
                <w:lang w:val="fr-BE"/>
              </w:rPr>
            </w:pPr>
          </w:p>
        </w:tc>
        <w:tc>
          <w:tcPr>
            <w:tcW w:w="48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bl>
    <w:p w:rsidR="00AC12B4" w:rsidRPr="00C27636" w:rsidRDefault="00AC12B4">
      <w:pPr>
        <w:spacing w:line="170" w:lineRule="exact"/>
        <w:rPr>
          <w:sz w:val="20"/>
          <w:szCs w:val="20"/>
          <w:lang w:val="fr-BE"/>
        </w:rPr>
      </w:pPr>
    </w:p>
    <w:p w:rsidR="00AC12B4" w:rsidRPr="00C27636" w:rsidRDefault="00C27636">
      <w:pPr>
        <w:spacing w:line="225" w:lineRule="auto"/>
        <w:ind w:left="8" w:right="860"/>
        <w:jc w:val="both"/>
        <w:rPr>
          <w:sz w:val="20"/>
          <w:szCs w:val="20"/>
          <w:lang w:val="fr-BE"/>
        </w:rPr>
      </w:pPr>
      <w:r w:rsidRPr="00C27636">
        <w:rPr>
          <w:rFonts w:ascii="Calibri" w:eastAsia="Calibri" w:hAnsi="Calibri" w:cs="Calibri"/>
          <w:lang w:val="fr-BE"/>
        </w:rPr>
        <w:t>Ils sont également moins satisfaits (12% de moins) de la façon dont leur affaire civile a été traitée.</w:t>
      </w:r>
    </w:p>
    <w:p w:rsidR="00AC12B4" w:rsidRPr="00C27636" w:rsidRDefault="00AC12B4">
      <w:pPr>
        <w:spacing w:line="122" w:lineRule="exact"/>
        <w:rPr>
          <w:sz w:val="20"/>
          <w:szCs w:val="20"/>
          <w:lang w:val="fr-BE"/>
        </w:rPr>
      </w:pPr>
    </w:p>
    <w:p w:rsidR="00AC12B4" w:rsidRPr="00C27636" w:rsidRDefault="00C27636">
      <w:pPr>
        <w:ind w:left="8"/>
        <w:rPr>
          <w:sz w:val="20"/>
          <w:szCs w:val="20"/>
          <w:lang w:val="fr-BE"/>
        </w:rPr>
      </w:pPr>
      <w:r w:rsidRPr="00C27636">
        <w:rPr>
          <w:rFonts w:ascii="Calibri" w:eastAsia="Calibri" w:hAnsi="Calibri" w:cs="Calibri"/>
          <w:lang w:val="fr-BE"/>
        </w:rPr>
        <w:t xml:space="preserve">Finalement, les jeunes sont seulement </w:t>
      </w:r>
      <w:r w:rsidRPr="00C27636">
        <w:rPr>
          <w:rFonts w:ascii="Calibri" w:eastAsia="Calibri" w:hAnsi="Calibri" w:cs="Calibri"/>
          <w:lang w:val="fr-BE"/>
        </w:rPr>
        <w:t>14%</w:t>
      </w:r>
    </w:p>
    <w:p w:rsidR="00AC12B4" w:rsidRPr="00C27636" w:rsidRDefault="00C27636">
      <w:pPr>
        <w:numPr>
          <w:ilvl w:val="0"/>
          <w:numId w:val="317"/>
        </w:numPr>
        <w:tabs>
          <w:tab w:val="left" w:pos="208"/>
        </w:tabs>
        <w:ind w:left="208" w:hanging="208"/>
        <w:rPr>
          <w:rFonts w:ascii="Calibri" w:eastAsia="Calibri" w:hAnsi="Calibri" w:cs="Calibri"/>
          <w:lang w:val="fr-BE"/>
        </w:rPr>
      </w:pPr>
      <w:r w:rsidRPr="00C27636">
        <w:rPr>
          <w:rFonts w:ascii="Calibri" w:eastAsia="Calibri" w:hAnsi="Calibri" w:cs="Calibri"/>
          <w:lang w:val="fr-BE"/>
        </w:rPr>
        <w:t>considérer que la décision a été juste</w:t>
      </w:r>
    </w:p>
    <w:p w:rsidR="00AC12B4" w:rsidRPr="00C27636" w:rsidRDefault="00C27636">
      <w:pPr>
        <w:ind w:left="8"/>
        <w:rPr>
          <w:rFonts w:ascii="Calibri" w:eastAsia="Calibri" w:hAnsi="Calibri" w:cs="Calibri"/>
          <w:lang w:val="fr-BE"/>
        </w:rPr>
      </w:pPr>
      <w:r w:rsidRPr="00C27636">
        <w:rPr>
          <w:rFonts w:ascii="Calibri" w:eastAsia="Calibri" w:hAnsi="Calibri" w:cs="Calibri"/>
          <w:lang w:val="fr-BE"/>
        </w:rPr>
        <w:t>(contre près d’un répondant sur 2).</w:t>
      </w:r>
    </w:p>
    <w:p w:rsidR="00AC12B4" w:rsidRPr="00C27636" w:rsidRDefault="00AC12B4">
      <w:pPr>
        <w:spacing w:line="167" w:lineRule="exact"/>
        <w:rPr>
          <w:sz w:val="20"/>
          <w:szCs w:val="20"/>
          <w:lang w:val="fr-BE"/>
        </w:rPr>
      </w:pPr>
    </w:p>
    <w:p w:rsidR="00AC12B4" w:rsidRPr="00C27636" w:rsidRDefault="00C27636">
      <w:pPr>
        <w:spacing w:line="229" w:lineRule="auto"/>
        <w:ind w:left="8" w:right="880"/>
        <w:jc w:val="both"/>
        <w:rPr>
          <w:sz w:val="20"/>
          <w:szCs w:val="20"/>
          <w:lang w:val="fr-BE"/>
        </w:rPr>
      </w:pPr>
      <w:r w:rsidRPr="00C27636">
        <w:rPr>
          <w:rFonts w:ascii="Calibri" w:eastAsia="Calibri" w:hAnsi="Calibri" w:cs="Calibri"/>
          <w:lang w:val="fr-BE"/>
        </w:rPr>
        <w:lastRenderedPageBreak/>
        <w:t>Ces résultats sont à prendre avec précaution. Seuls 21 jeunes en contact avec la justice pour une affaire civile ont répondu à cette enquête.</w:t>
      </w:r>
    </w:p>
    <w:p w:rsidR="00AC12B4" w:rsidRPr="00C27636" w:rsidRDefault="00AC12B4">
      <w:pPr>
        <w:spacing w:line="170" w:lineRule="exact"/>
        <w:rPr>
          <w:sz w:val="20"/>
          <w:szCs w:val="20"/>
          <w:lang w:val="fr-BE"/>
        </w:rPr>
      </w:pPr>
    </w:p>
    <w:p w:rsidR="00AC12B4" w:rsidRPr="00C27636" w:rsidRDefault="00C27636">
      <w:pPr>
        <w:spacing w:line="227" w:lineRule="auto"/>
        <w:ind w:left="8" w:right="860"/>
        <w:jc w:val="both"/>
        <w:rPr>
          <w:sz w:val="20"/>
          <w:szCs w:val="20"/>
          <w:lang w:val="fr-BE"/>
        </w:rPr>
      </w:pPr>
      <w:r w:rsidRPr="00C27636">
        <w:rPr>
          <w:rFonts w:ascii="Calibri" w:eastAsia="Calibri" w:hAnsi="Calibri" w:cs="Calibri"/>
          <w:lang w:val="fr-BE"/>
        </w:rPr>
        <w:t xml:space="preserve">Pour ce qui est des procédures </w:t>
      </w:r>
      <w:r w:rsidRPr="00C27636">
        <w:rPr>
          <w:rFonts w:ascii="Calibri" w:eastAsia="Calibri" w:hAnsi="Calibri" w:cs="Calibri"/>
          <w:lang w:val="fr-BE"/>
        </w:rPr>
        <w:t>pénales, la taille de l’échantillon est encore plus restreinte et ne permet pas de tirer de conclusion pour les 15-24 ans ayant eu affaire à la justice pénale</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33856" behindDoc="1" locked="0" layoutInCell="0" allowOverlap="1">
                <wp:simplePos x="0" y="0"/>
                <wp:positionH relativeFrom="column">
                  <wp:posOffset>0</wp:posOffset>
                </wp:positionH>
                <wp:positionV relativeFrom="paragraph">
                  <wp:posOffset>394335</wp:posOffset>
                </wp:positionV>
                <wp:extent cx="1828800" cy="0"/>
                <wp:effectExtent l="0" t="0" r="0" b="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05pt" to="144pt,31.0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2" w:lineRule="exact"/>
        <w:rPr>
          <w:sz w:val="20"/>
          <w:szCs w:val="20"/>
          <w:lang w:val="fr-BE"/>
        </w:rPr>
      </w:pPr>
    </w:p>
    <w:p w:rsidR="00AC12B4" w:rsidRPr="00C27636" w:rsidRDefault="00C27636">
      <w:pPr>
        <w:numPr>
          <w:ilvl w:val="0"/>
          <w:numId w:val="318"/>
        </w:numPr>
        <w:tabs>
          <w:tab w:val="left" w:pos="143"/>
        </w:tabs>
        <w:spacing w:line="221" w:lineRule="auto"/>
        <w:ind w:left="8" w:right="880" w:hanging="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Seulement 12 jeunes entre 15 et 24 ans ont répondu avoir eu des contacts antérieurs avec </w:t>
      </w:r>
      <w:r w:rsidRPr="00C27636">
        <w:rPr>
          <w:rFonts w:ascii="Calibri" w:eastAsia="Calibri" w:hAnsi="Calibri" w:cs="Calibri"/>
          <w:sz w:val="20"/>
          <w:szCs w:val="20"/>
          <w:lang w:val="fr-BE"/>
        </w:rPr>
        <w:t>la justice pénale, dont 9 comme victime, 2 comme suspect et 1 comme témoin. (sur un total de 218 jeunes entre 15 et 24 ans ayant participé à l’enquête).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73"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AC12B4">
      <w:pPr>
        <w:spacing w:line="1" w:lineRule="exact"/>
        <w:rPr>
          <w:sz w:val="20"/>
          <w:szCs w:val="20"/>
          <w:lang w:val="fr-BE"/>
        </w:rPr>
      </w:pPr>
    </w:p>
    <w:p w:rsidR="00AC12B4" w:rsidRPr="00C27636" w:rsidRDefault="00AC12B4">
      <w:pPr>
        <w:rPr>
          <w:lang w:val="fr-BE"/>
        </w:rPr>
        <w:sectPr w:rsidR="00AC12B4" w:rsidRPr="00C27636">
          <w:type w:val="continuous"/>
          <w:pgSz w:w="12080" w:h="17179"/>
          <w:pgMar w:top="1440" w:right="407" w:bottom="659" w:left="1120" w:header="0" w:footer="0" w:gutter="0"/>
          <w:cols w:num="3" w:space="720" w:equalWidth="0">
            <w:col w:w="4900" w:space="572"/>
            <w:col w:w="4748" w:space="0"/>
            <w:col w:w="330"/>
          </w:cols>
        </w:sectPr>
      </w:pPr>
    </w:p>
    <w:p w:rsidR="00AC12B4" w:rsidRDefault="00C27636">
      <w:pPr>
        <w:ind w:right="310"/>
        <w:jc w:val="center"/>
        <w:rPr>
          <w:sz w:val="20"/>
          <w:szCs w:val="20"/>
        </w:rPr>
      </w:pPr>
      <w:r>
        <w:rPr>
          <w:rFonts w:ascii="Calibri" w:eastAsia="Calibri" w:hAnsi="Calibri" w:cs="Calibri"/>
          <w:sz w:val="21"/>
          <w:szCs w:val="21"/>
        </w:rPr>
        <w:lastRenderedPageBreak/>
        <w:t>169</w:t>
      </w:r>
    </w:p>
    <w:p w:rsidR="00AC12B4" w:rsidRDefault="00AC12B4">
      <w:pPr>
        <w:sectPr w:rsidR="00AC12B4">
          <w:type w:val="continuous"/>
          <w:pgSz w:w="12080" w:h="17179"/>
          <w:pgMar w:top="1440" w:right="407" w:bottom="659" w:left="1120" w:header="0" w:footer="0" w:gutter="0"/>
          <w:cols w:space="720" w:equalWidth="0">
            <w:col w:w="10550"/>
          </w:cols>
        </w:sectPr>
      </w:pPr>
    </w:p>
    <w:bookmarkStart w:id="169" w:name="page170"/>
    <w:bookmarkEnd w:id="169"/>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834880" behindDoc="1" locked="0" layoutInCell="0" allowOverlap="1">
                <wp:simplePos x="0" y="0"/>
                <wp:positionH relativeFrom="page">
                  <wp:posOffset>0</wp:posOffset>
                </wp:positionH>
                <wp:positionV relativeFrom="page">
                  <wp:posOffset>0</wp:posOffset>
                </wp:positionV>
                <wp:extent cx="699135" cy="10908665"/>
                <wp:effectExtent l="0" t="0" r="0" b="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07" o:spid="_x0000_s1532"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1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3" w:lineRule="exact"/>
        <w:rPr>
          <w:sz w:val="20"/>
          <w:szCs w:val="20"/>
          <w:lang w:val="fr-BE"/>
        </w:rPr>
      </w:pPr>
    </w:p>
    <w:p w:rsidR="00AC12B4" w:rsidRPr="00C27636" w:rsidRDefault="00AC12B4">
      <w:pPr>
        <w:spacing w:line="1" w:lineRule="exact"/>
        <w:rPr>
          <w:sz w:val="1"/>
          <w:szCs w:val="1"/>
          <w:lang w:val="fr-BE"/>
        </w:rPr>
      </w:pPr>
    </w:p>
    <w:tbl>
      <w:tblPr>
        <w:tblW w:w="0" w:type="auto"/>
        <w:tblLayout w:type="fixed"/>
        <w:tblCellMar>
          <w:left w:w="0" w:type="dxa"/>
          <w:right w:w="0" w:type="dxa"/>
        </w:tblCellMar>
        <w:tblLook w:val="04A0" w:firstRow="1" w:lastRow="0" w:firstColumn="1" w:lastColumn="0" w:noHBand="0" w:noVBand="1"/>
      </w:tblPr>
      <w:tblGrid>
        <w:gridCol w:w="300"/>
        <w:gridCol w:w="1560"/>
        <w:gridCol w:w="760"/>
        <w:gridCol w:w="1640"/>
        <w:gridCol w:w="320"/>
        <w:gridCol w:w="20"/>
      </w:tblGrid>
      <w:tr w:rsidR="00AC12B4">
        <w:trPr>
          <w:trHeight w:val="269"/>
        </w:trPr>
        <w:tc>
          <w:tcPr>
            <w:tcW w:w="1860" w:type="dxa"/>
            <w:gridSpan w:val="2"/>
            <w:vMerge w:val="restart"/>
            <w:vAlign w:val="bottom"/>
          </w:tcPr>
          <w:p w:rsidR="00AC12B4" w:rsidRDefault="00C27636">
            <w:pPr>
              <w:rPr>
                <w:sz w:val="20"/>
                <w:szCs w:val="20"/>
              </w:rPr>
            </w:pPr>
            <w:r>
              <w:rPr>
                <w:rFonts w:eastAsia="Times New Roman"/>
                <w:b/>
                <w:bCs/>
                <w:color w:val="CF9901"/>
                <w:sz w:val="24"/>
                <w:szCs w:val="24"/>
              </w:rPr>
              <w:t>Question:</w:t>
            </w:r>
          </w:p>
        </w:tc>
        <w:tc>
          <w:tcPr>
            <w:tcW w:w="760" w:type="dxa"/>
            <w:tcBorders>
              <w:right w:val="single" w:sz="8" w:space="0" w:color="FEC930"/>
            </w:tcBorders>
            <w:vAlign w:val="bottom"/>
          </w:tcPr>
          <w:p w:rsidR="00AC12B4" w:rsidRDefault="00AC12B4">
            <w:pPr>
              <w:rPr>
                <w:sz w:val="23"/>
                <w:szCs w:val="23"/>
              </w:rPr>
            </w:pPr>
          </w:p>
        </w:tc>
        <w:tc>
          <w:tcPr>
            <w:tcW w:w="1960" w:type="dxa"/>
            <w:gridSpan w:val="2"/>
            <w:vAlign w:val="bottom"/>
          </w:tcPr>
          <w:p w:rsidR="00AC12B4" w:rsidRDefault="00C27636">
            <w:pPr>
              <w:ind w:left="380"/>
              <w:rPr>
                <w:sz w:val="20"/>
                <w:szCs w:val="20"/>
              </w:rPr>
            </w:pPr>
            <w:r>
              <w:rPr>
                <w:rFonts w:ascii="Calibri" w:eastAsia="Calibri" w:hAnsi="Calibri" w:cs="Calibri"/>
              </w:rPr>
              <w:t>Le Baromètre de</w:t>
            </w:r>
          </w:p>
        </w:tc>
        <w:tc>
          <w:tcPr>
            <w:tcW w:w="0" w:type="dxa"/>
            <w:vAlign w:val="bottom"/>
          </w:tcPr>
          <w:p w:rsidR="00AC12B4" w:rsidRDefault="00AC12B4">
            <w:pPr>
              <w:rPr>
                <w:sz w:val="1"/>
                <w:szCs w:val="1"/>
              </w:rPr>
            </w:pPr>
          </w:p>
        </w:tc>
      </w:tr>
      <w:tr w:rsidR="00AC12B4">
        <w:trPr>
          <w:trHeight w:val="269"/>
        </w:trPr>
        <w:tc>
          <w:tcPr>
            <w:tcW w:w="1860" w:type="dxa"/>
            <w:gridSpan w:val="2"/>
            <w:vMerge/>
            <w:vAlign w:val="bottom"/>
          </w:tcPr>
          <w:p w:rsidR="00AC12B4" w:rsidRDefault="00AC12B4">
            <w:pPr>
              <w:rPr>
                <w:sz w:val="23"/>
                <w:szCs w:val="23"/>
              </w:rPr>
            </w:pPr>
          </w:p>
        </w:tc>
        <w:tc>
          <w:tcPr>
            <w:tcW w:w="760" w:type="dxa"/>
            <w:tcBorders>
              <w:right w:val="single" w:sz="8" w:space="0" w:color="FEC930"/>
            </w:tcBorders>
            <w:vAlign w:val="bottom"/>
          </w:tcPr>
          <w:p w:rsidR="00AC12B4" w:rsidRDefault="00AC12B4">
            <w:pPr>
              <w:rPr>
                <w:sz w:val="23"/>
                <w:szCs w:val="23"/>
              </w:rPr>
            </w:pPr>
          </w:p>
        </w:tc>
        <w:tc>
          <w:tcPr>
            <w:tcW w:w="1640" w:type="dxa"/>
            <w:vAlign w:val="bottom"/>
          </w:tcPr>
          <w:p w:rsidR="00AC12B4" w:rsidRDefault="00C27636">
            <w:pPr>
              <w:ind w:left="380"/>
              <w:rPr>
                <w:sz w:val="20"/>
                <w:szCs w:val="20"/>
              </w:rPr>
            </w:pPr>
            <w:r>
              <w:rPr>
                <w:rFonts w:ascii="Calibri" w:eastAsia="Calibri" w:hAnsi="Calibri" w:cs="Calibri"/>
              </w:rPr>
              <w:t>la   Justice</w:t>
            </w:r>
          </w:p>
        </w:tc>
        <w:tc>
          <w:tcPr>
            <w:tcW w:w="320" w:type="dxa"/>
            <w:vAlign w:val="bottom"/>
          </w:tcPr>
          <w:p w:rsidR="00AC12B4" w:rsidRDefault="00C27636">
            <w:pPr>
              <w:jc w:val="right"/>
              <w:rPr>
                <w:sz w:val="20"/>
                <w:szCs w:val="20"/>
              </w:rPr>
            </w:pPr>
            <w:r>
              <w:rPr>
                <w:rFonts w:ascii="Calibri" w:eastAsia="Calibri" w:hAnsi="Calibri" w:cs="Calibri"/>
              </w:rPr>
              <w:t>ne</w:t>
            </w:r>
          </w:p>
        </w:tc>
        <w:tc>
          <w:tcPr>
            <w:tcW w:w="0" w:type="dxa"/>
            <w:vAlign w:val="bottom"/>
          </w:tcPr>
          <w:p w:rsidR="00AC12B4" w:rsidRDefault="00AC12B4">
            <w:pPr>
              <w:rPr>
                <w:sz w:val="1"/>
                <w:szCs w:val="1"/>
              </w:rPr>
            </w:pPr>
          </w:p>
        </w:tc>
      </w:tr>
      <w:tr w:rsidR="00AC12B4">
        <w:trPr>
          <w:trHeight w:val="269"/>
        </w:trPr>
        <w:tc>
          <w:tcPr>
            <w:tcW w:w="300" w:type="dxa"/>
            <w:vAlign w:val="bottom"/>
          </w:tcPr>
          <w:p w:rsidR="00AC12B4" w:rsidRDefault="00C27636">
            <w:pPr>
              <w:spacing w:line="235" w:lineRule="exact"/>
              <w:rPr>
                <w:sz w:val="20"/>
                <w:szCs w:val="20"/>
              </w:rPr>
            </w:pPr>
            <w:r>
              <w:rPr>
                <w:rFonts w:ascii="Calibri" w:eastAsia="Calibri" w:hAnsi="Calibri" w:cs="Calibri"/>
                <w:color w:val="CF9901"/>
              </w:rPr>
              <w:t>En</w:t>
            </w:r>
          </w:p>
        </w:tc>
        <w:tc>
          <w:tcPr>
            <w:tcW w:w="1560" w:type="dxa"/>
            <w:vAlign w:val="bottom"/>
          </w:tcPr>
          <w:p w:rsidR="00AC12B4" w:rsidRDefault="00C27636">
            <w:pPr>
              <w:spacing w:line="235" w:lineRule="exact"/>
              <w:jc w:val="center"/>
              <w:rPr>
                <w:sz w:val="20"/>
                <w:szCs w:val="20"/>
              </w:rPr>
            </w:pPr>
            <w:r>
              <w:rPr>
                <w:rFonts w:ascii="Calibri" w:eastAsia="Calibri" w:hAnsi="Calibri" w:cs="Calibri"/>
                <w:color w:val="CF9901"/>
              </w:rPr>
              <w:t>général,  dans</w:t>
            </w:r>
          </w:p>
        </w:tc>
        <w:tc>
          <w:tcPr>
            <w:tcW w:w="760" w:type="dxa"/>
            <w:tcBorders>
              <w:right w:val="single" w:sz="8" w:space="0" w:color="FEC930"/>
            </w:tcBorders>
            <w:vAlign w:val="bottom"/>
          </w:tcPr>
          <w:p w:rsidR="00AC12B4" w:rsidRDefault="00C27636">
            <w:pPr>
              <w:spacing w:line="235" w:lineRule="exact"/>
              <w:ind w:right="70"/>
              <w:jc w:val="right"/>
              <w:rPr>
                <w:sz w:val="20"/>
                <w:szCs w:val="20"/>
              </w:rPr>
            </w:pPr>
            <w:r>
              <w:rPr>
                <w:rFonts w:ascii="Calibri" w:eastAsia="Calibri" w:hAnsi="Calibri" w:cs="Calibri"/>
                <w:color w:val="CF9901"/>
              </w:rPr>
              <w:t>quelle</w:t>
            </w:r>
          </w:p>
        </w:tc>
        <w:tc>
          <w:tcPr>
            <w:tcW w:w="1640" w:type="dxa"/>
            <w:vAlign w:val="bottom"/>
          </w:tcPr>
          <w:p w:rsidR="00AC12B4" w:rsidRDefault="00C27636">
            <w:pPr>
              <w:ind w:left="380"/>
              <w:rPr>
                <w:sz w:val="20"/>
                <w:szCs w:val="20"/>
              </w:rPr>
            </w:pPr>
            <w:r>
              <w:rPr>
                <w:rFonts w:ascii="Calibri" w:eastAsia="Calibri" w:hAnsi="Calibri" w:cs="Calibri"/>
              </w:rPr>
              <w:t>permet</w:t>
            </w:r>
          </w:p>
        </w:tc>
        <w:tc>
          <w:tcPr>
            <w:tcW w:w="320" w:type="dxa"/>
            <w:vAlign w:val="bottom"/>
          </w:tcPr>
          <w:p w:rsidR="00AC12B4" w:rsidRDefault="00C27636">
            <w:pPr>
              <w:jc w:val="right"/>
              <w:rPr>
                <w:sz w:val="20"/>
                <w:szCs w:val="20"/>
              </w:rPr>
            </w:pPr>
            <w:r>
              <w:rPr>
                <w:rFonts w:ascii="Calibri" w:eastAsia="Calibri" w:hAnsi="Calibri" w:cs="Calibri"/>
                <w:w w:val="97"/>
              </w:rPr>
              <w:t>pas</w:t>
            </w:r>
          </w:p>
        </w:tc>
        <w:tc>
          <w:tcPr>
            <w:tcW w:w="0" w:type="dxa"/>
            <w:vAlign w:val="bottom"/>
          </w:tcPr>
          <w:p w:rsidR="00AC12B4" w:rsidRDefault="00AC12B4">
            <w:pPr>
              <w:rPr>
                <w:sz w:val="1"/>
                <w:szCs w:val="1"/>
              </w:rPr>
            </w:pPr>
          </w:p>
        </w:tc>
      </w:tr>
      <w:tr w:rsidR="00AC12B4">
        <w:trPr>
          <w:trHeight w:val="269"/>
        </w:trPr>
        <w:tc>
          <w:tcPr>
            <w:tcW w:w="2620" w:type="dxa"/>
            <w:gridSpan w:val="3"/>
            <w:tcBorders>
              <w:right w:val="single" w:sz="8" w:space="0" w:color="FEC930"/>
            </w:tcBorders>
            <w:vAlign w:val="bottom"/>
          </w:tcPr>
          <w:p w:rsidR="00AC12B4" w:rsidRDefault="00C27636">
            <w:pPr>
              <w:spacing w:line="235" w:lineRule="exact"/>
              <w:rPr>
                <w:sz w:val="20"/>
                <w:szCs w:val="20"/>
              </w:rPr>
            </w:pPr>
            <w:r>
              <w:rPr>
                <w:rFonts w:ascii="Calibri" w:eastAsia="Calibri" w:hAnsi="Calibri" w:cs="Calibri"/>
                <w:color w:val="CF9901"/>
              </w:rPr>
              <w:t xml:space="preserve">mesure </w:t>
            </w:r>
            <w:r>
              <w:rPr>
                <w:rFonts w:ascii="Calibri" w:eastAsia="Calibri" w:hAnsi="Calibri" w:cs="Calibri"/>
                <w:color w:val="CF9901"/>
              </w:rPr>
              <w:t>êtes-vous satisfait</w:t>
            </w:r>
          </w:p>
        </w:tc>
        <w:tc>
          <w:tcPr>
            <w:tcW w:w="1960" w:type="dxa"/>
            <w:gridSpan w:val="2"/>
            <w:vAlign w:val="bottom"/>
          </w:tcPr>
          <w:p w:rsidR="00AC12B4" w:rsidRDefault="00C27636">
            <w:pPr>
              <w:jc w:val="right"/>
              <w:rPr>
                <w:sz w:val="20"/>
                <w:szCs w:val="20"/>
              </w:rPr>
            </w:pPr>
            <w:r>
              <w:rPr>
                <w:rFonts w:ascii="Calibri" w:eastAsia="Calibri" w:hAnsi="Calibri" w:cs="Calibri"/>
              </w:rPr>
              <w:t>d’atteindre</w:t>
            </w:r>
          </w:p>
        </w:tc>
        <w:tc>
          <w:tcPr>
            <w:tcW w:w="0" w:type="dxa"/>
            <w:vAlign w:val="bottom"/>
          </w:tcPr>
          <w:p w:rsidR="00AC12B4" w:rsidRDefault="00AC12B4">
            <w:pPr>
              <w:rPr>
                <w:sz w:val="1"/>
                <w:szCs w:val="1"/>
              </w:rPr>
            </w:pPr>
          </w:p>
        </w:tc>
      </w:tr>
      <w:tr w:rsidR="00AC12B4">
        <w:trPr>
          <w:trHeight w:val="266"/>
        </w:trPr>
        <w:tc>
          <w:tcPr>
            <w:tcW w:w="300" w:type="dxa"/>
            <w:vAlign w:val="bottom"/>
          </w:tcPr>
          <w:p w:rsidR="00AC12B4" w:rsidRDefault="00C27636">
            <w:pPr>
              <w:spacing w:line="235" w:lineRule="exact"/>
              <w:rPr>
                <w:sz w:val="20"/>
                <w:szCs w:val="20"/>
              </w:rPr>
            </w:pPr>
            <w:r>
              <w:rPr>
                <w:rFonts w:ascii="Calibri" w:eastAsia="Calibri" w:hAnsi="Calibri" w:cs="Calibri"/>
                <w:color w:val="CF9901"/>
              </w:rPr>
              <w:t>du</w:t>
            </w:r>
          </w:p>
        </w:tc>
        <w:tc>
          <w:tcPr>
            <w:tcW w:w="1560" w:type="dxa"/>
            <w:vAlign w:val="bottom"/>
          </w:tcPr>
          <w:p w:rsidR="00AC12B4" w:rsidRDefault="00C27636">
            <w:pPr>
              <w:spacing w:line="235" w:lineRule="exact"/>
              <w:jc w:val="center"/>
              <w:rPr>
                <w:sz w:val="20"/>
                <w:szCs w:val="20"/>
              </w:rPr>
            </w:pPr>
            <w:r>
              <w:rPr>
                <w:rFonts w:ascii="Calibri" w:eastAsia="Calibri" w:hAnsi="Calibri" w:cs="Calibri"/>
                <w:color w:val="CF9901"/>
              </w:rPr>
              <w:t>fonctionnement</w:t>
            </w:r>
          </w:p>
        </w:tc>
        <w:tc>
          <w:tcPr>
            <w:tcW w:w="760" w:type="dxa"/>
            <w:tcBorders>
              <w:right w:val="single" w:sz="8" w:space="0" w:color="FEC930"/>
            </w:tcBorders>
            <w:vAlign w:val="bottom"/>
          </w:tcPr>
          <w:p w:rsidR="00AC12B4" w:rsidRDefault="00C27636">
            <w:pPr>
              <w:spacing w:line="235" w:lineRule="exact"/>
              <w:ind w:right="70"/>
              <w:jc w:val="right"/>
              <w:rPr>
                <w:sz w:val="20"/>
                <w:szCs w:val="20"/>
              </w:rPr>
            </w:pPr>
            <w:r>
              <w:rPr>
                <w:rFonts w:ascii="Calibri" w:eastAsia="Calibri" w:hAnsi="Calibri" w:cs="Calibri"/>
                <w:color w:val="CF9901"/>
              </w:rPr>
              <w:t>de la</w:t>
            </w:r>
          </w:p>
        </w:tc>
        <w:tc>
          <w:tcPr>
            <w:tcW w:w="1960" w:type="dxa"/>
            <w:gridSpan w:val="2"/>
            <w:vAlign w:val="bottom"/>
          </w:tcPr>
          <w:p w:rsidR="00AC12B4" w:rsidRDefault="00C27636">
            <w:pPr>
              <w:spacing w:line="267" w:lineRule="exact"/>
              <w:jc w:val="right"/>
              <w:rPr>
                <w:sz w:val="20"/>
                <w:szCs w:val="20"/>
              </w:rPr>
            </w:pPr>
            <w:r>
              <w:rPr>
                <w:rFonts w:ascii="Calibri" w:eastAsia="Calibri" w:hAnsi="Calibri" w:cs="Calibri"/>
              </w:rPr>
              <w:t>suffisamment les</w:t>
            </w:r>
          </w:p>
        </w:tc>
        <w:tc>
          <w:tcPr>
            <w:tcW w:w="0" w:type="dxa"/>
            <w:vAlign w:val="bottom"/>
          </w:tcPr>
          <w:p w:rsidR="00AC12B4" w:rsidRDefault="00AC12B4">
            <w:pPr>
              <w:rPr>
                <w:sz w:val="1"/>
                <w:szCs w:val="1"/>
              </w:rPr>
            </w:pPr>
          </w:p>
        </w:tc>
      </w:tr>
      <w:tr w:rsidR="00AC12B4">
        <w:trPr>
          <w:trHeight w:val="269"/>
        </w:trPr>
        <w:tc>
          <w:tcPr>
            <w:tcW w:w="1860" w:type="dxa"/>
            <w:gridSpan w:val="2"/>
            <w:vAlign w:val="bottom"/>
          </w:tcPr>
          <w:p w:rsidR="00AC12B4" w:rsidRDefault="00C27636">
            <w:pPr>
              <w:spacing w:line="238" w:lineRule="exact"/>
              <w:rPr>
                <w:sz w:val="20"/>
                <w:szCs w:val="20"/>
              </w:rPr>
            </w:pPr>
            <w:r>
              <w:rPr>
                <w:rFonts w:ascii="Calibri" w:eastAsia="Calibri" w:hAnsi="Calibri" w:cs="Calibri"/>
                <w:color w:val="CF9901"/>
              </w:rPr>
              <w:t>Justice ?</w:t>
            </w:r>
          </w:p>
        </w:tc>
        <w:tc>
          <w:tcPr>
            <w:tcW w:w="760" w:type="dxa"/>
            <w:tcBorders>
              <w:right w:val="single" w:sz="8" w:space="0" w:color="FEC930"/>
            </w:tcBorders>
            <w:vAlign w:val="bottom"/>
          </w:tcPr>
          <w:p w:rsidR="00AC12B4" w:rsidRDefault="00AC12B4">
            <w:pPr>
              <w:rPr>
                <w:sz w:val="23"/>
                <w:szCs w:val="23"/>
              </w:rPr>
            </w:pPr>
          </w:p>
        </w:tc>
        <w:tc>
          <w:tcPr>
            <w:tcW w:w="1640" w:type="dxa"/>
            <w:vAlign w:val="bottom"/>
          </w:tcPr>
          <w:p w:rsidR="00AC12B4" w:rsidRDefault="00C27636">
            <w:pPr>
              <w:ind w:left="380"/>
              <w:rPr>
                <w:sz w:val="20"/>
                <w:szCs w:val="20"/>
              </w:rPr>
            </w:pPr>
            <w:r>
              <w:rPr>
                <w:rFonts w:ascii="Calibri" w:eastAsia="Calibri" w:hAnsi="Calibri" w:cs="Calibri"/>
              </w:rPr>
              <w:t>jeunes</w:t>
            </w:r>
          </w:p>
        </w:tc>
        <w:tc>
          <w:tcPr>
            <w:tcW w:w="320" w:type="dxa"/>
            <w:vAlign w:val="bottom"/>
          </w:tcPr>
          <w:p w:rsidR="00AC12B4" w:rsidRDefault="00C27636">
            <w:pPr>
              <w:jc w:val="right"/>
              <w:rPr>
                <w:sz w:val="20"/>
                <w:szCs w:val="20"/>
              </w:rPr>
            </w:pPr>
            <w:r>
              <w:rPr>
                <w:rFonts w:ascii="Calibri" w:eastAsia="Calibri" w:hAnsi="Calibri" w:cs="Calibri"/>
              </w:rPr>
              <w:t>en</w:t>
            </w:r>
          </w:p>
        </w:tc>
        <w:tc>
          <w:tcPr>
            <w:tcW w:w="0" w:type="dxa"/>
            <w:vAlign w:val="bottom"/>
          </w:tcPr>
          <w:p w:rsidR="00AC12B4" w:rsidRDefault="00AC12B4">
            <w:pPr>
              <w:rPr>
                <w:sz w:val="1"/>
                <w:szCs w:val="1"/>
              </w:rPr>
            </w:pPr>
          </w:p>
        </w:tc>
      </w:tr>
      <w:tr w:rsidR="00AC12B4">
        <w:trPr>
          <w:trHeight w:val="190"/>
        </w:trPr>
        <w:tc>
          <w:tcPr>
            <w:tcW w:w="300" w:type="dxa"/>
            <w:vAlign w:val="bottom"/>
          </w:tcPr>
          <w:p w:rsidR="00AC12B4" w:rsidRDefault="00AC12B4">
            <w:pPr>
              <w:rPr>
                <w:sz w:val="16"/>
                <w:szCs w:val="16"/>
              </w:rPr>
            </w:pPr>
          </w:p>
        </w:tc>
        <w:tc>
          <w:tcPr>
            <w:tcW w:w="1560" w:type="dxa"/>
            <w:vAlign w:val="bottom"/>
          </w:tcPr>
          <w:p w:rsidR="00AC12B4" w:rsidRDefault="00AC12B4">
            <w:pPr>
              <w:rPr>
                <w:sz w:val="16"/>
                <w:szCs w:val="16"/>
              </w:rPr>
            </w:pPr>
          </w:p>
        </w:tc>
        <w:tc>
          <w:tcPr>
            <w:tcW w:w="760" w:type="dxa"/>
            <w:tcBorders>
              <w:right w:val="single" w:sz="8" w:space="0" w:color="FEC930"/>
            </w:tcBorders>
            <w:vAlign w:val="bottom"/>
          </w:tcPr>
          <w:p w:rsidR="00AC12B4" w:rsidRDefault="00AC12B4">
            <w:pPr>
              <w:rPr>
                <w:sz w:val="16"/>
                <w:szCs w:val="16"/>
              </w:rPr>
            </w:pPr>
          </w:p>
        </w:tc>
        <w:tc>
          <w:tcPr>
            <w:tcW w:w="1640" w:type="dxa"/>
            <w:vMerge w:val="restart"/>
            <w:vAlign w:val="bottom"/>
          </w:tcPr>
          <w:p w:rsidR="00AC12B4" w:rsidRDefault="00C27636">
            <w:pPr>
              <w:ind w:left="380"/>
              <w:rPr>
                <w:sz w:val="20"/>
                <w:szCs w:val="20"/>
              </w:rPr>
            </w:pPr>
            <w:r>
              <w:rPr>
                <w:rFonts w:ascii="Calibri" w:eastAsia="Calibri" w:hAnsi="Calibri" w:cs="Calibri"/>
              </w:rPr>
              <w:t>contact  avec</w:t>
            </w:r>
          </w:p>
        </w:tc>
        <w:tc>
          <w:tcPr>
            <w:tcW w:w="320" w:type="dxa"/>
            <w:vMerge w:val="restart"/>
            <w:vAlign w:val="bottom"/>
          </w:tcPr>
          <w:p w:rsidR="00AC12B4" w:rsidRDefault="00C27636">
            <w:pPr>
              <w:jc w:val="right"/>
              <w:rPr>
                <w:sz w:val="20"/>
                <w:szCs w:val="20"/>
              </w:rPr>
            </w:pPr>
            <w:r>
              <w:rPr>
                <w:rFonts w:ascii="Calibri" w:eastAsia="Calibri" w:hAnsi="Calibri" w:cs="Calibri"/>
              </w:rPr>
              <w:t>la</w:t>
            </w:r>
          </w:p>
        </w:tc>
        <w:tc>
          <w:tcPr>
            <w:tcW w:w="0" w:type="dxa"/>
            <w:vAlign w:val="bottom"/>
          </w:tcPr>
          <w:p w:rsidR="00AC12B4" w:rsidRDefault="00AC12B4">
            <w:pPr>
              <w:rPr>
                <w:sz w:val="1"/>
                <w:szCs w:val="1"/>
              </w:rPr>
            </w:pPr>
          </w:p>
        </w:tc>
      </w:tr>
      <w:tr w:rsidR="00AC12B4">
        <w:trPr>
          <w:trHeight w:val="79"/>
        </w:trPr>
        <w:tc>
          <w:tcPr>
            <w:tcW w:w="300" w:type="dxa"/>
            <w:vAlign w:val="bottom"/>
          </w:tcPr>
          <w:p w:rsidR="00AC12B4" w:rsidRDefault="00AC12B4">
            <w:pPr>
              <w:rPr>
                <w:sz w:val="6"/>
                <w:szCs w:val="6"/>
              </w:rPr>
            </w:pPr>
          </w:p>
        </w:tc>
        <w:tc>
          <w:tcPr>
            <w:tcW w:w="1560" w:type="dxa"/>
            <w:vAlign w:val="bottom"/>
          </w:tcPr>
          <w:p w:rsidR="00AC12B4" w:rsidRDefault="00AC12B4">
            <w:pPr>
              <w:rPr>
                <w:sz w:val="6"/>
                <w:szCs w:val="6"/>
              </w:rPr>
            </w:pPr>
          </w:p>
        </w:tc>
        <w:tc>
          <w:tcPr>
            <w:tcW w:w="760" w:type="dxa"/>
            <w:vAlign w:val="bottom"/>
          </w:tcPr>
          <w:p w:rsidR="00AC12B4" w:rsidRDefault="00AC12B4">
            <w:pPr>
              <w:rPr>
                <w:sz w:val="6"/>
                <w:szCs w:val="6"/>
              </w:rPr>
            </w:pPr>
          </w:p>
        </w:tc>
        <w:tc>
          <w:tcPr>
            <w:tcW w:w="1640" w:type="dxa"/>
            <w:vMerge/>
            <w:vAlign w:val="bottom"/>
          </w:tcPr>
          <w:p w:rsidR="00AC12B4" w:rsidRDefault="00AC12B4">
            <w:pPr>
              <w:rPr>
                <w:sz w:val="6"/>
                <w:szCs w:val="6"/>
              </w:rPr>
            </w:pPr>
          </w:p>
        </w:tc>
        <w:tc>
          <w:tcPr>
            <w:tcW w:w="320" w:type="dxa"/>
            <w:vMerge/>
            <w:vAlign w:val="bottom"/>
          </w:tcPr>
          <w:p w:rsidR="00AC12B4" w:rsidRDefault="00AC12B4">
            <w:pPr>
              <w:rPr>
                <w:sz w:val="6"/>
                <w:szCs w:val="6"/>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835904" behindDoc="1" locked="0" layoutInCell="0" allowOverlap="1">
                <wp:simplePos x="0" y="0"/>
                <wp:positionH relativeFrom="column">
                  <wp:posOffset>-101600</wp:posOffset>
                </wp:positionH>
                <wp:positionV relativeFrom="paragraph">
                  <wp:posOffset>-1166495</wp:posOffset>
                </wp:positionV>
                <wp:extent cx="1756410" cy="1104265"/>
                <wp:effectExtent l="0" t="0" r="0" b="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6410" cy="1104265"/>
                        </a:xfrm>
                        <a:prstGeom prst="rect">
                          <a:avLst/>
                        </a:prstGeom>
                        <a:solidFill>
                          <a:srgbClr val="FFFFFF"/>
                        </a:solidFill>
                      </wps:spPr>
                      <wps:bodyPr/>
                    </wps:wsp>
                  </a:graphicData>
                </a:graphic>
              </wp:anchor>
            </w:drawing>
          </mc:Choice>
          <mc:Fallback>
            <w:pict>
              <v:rect id="Shape 508" o:spid="_x0000_s1533" style="position:absolute;margin-left:-8pt;margin-top:-91.8499pt;width:138.3pt;height:86.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836928" behindDoc="1" locked="0" layoutInCell="0" allowOverlap="1">
                <wp:simplePos x="0" y="0"/>
                <wp:positionH relativeFrom="column">
                  <wp:posOffset>-114300</wp:posOffset>
                </wp:positionH>
                <wp:positionV relativeFrom="paragraph">
                  <wp:posOffset>-1166495</wp:posOffset>
                </wp:positionV>
                <wp:extent cx="1781810" cy="0"/>
                <wp:effectExtent l="0" t="0" r="0" b="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81810"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91.8499pt" to="131.3pt,-91.8499pt" o:allowincell="f" strokecolor="#FEC930" strokeweight="2pt"/>
            </w:pict>
          </mc:Fallback>
        </mc:AlternateContent>
      </w:r>
      <w:r>
        <w:rPr>
          <w:noProof/>
          <w:sz w:val="20"/>
          <w:szCs w:val="20"/>
        </w:rPr>
        <mc:AlternateContent>
          <mc:Choice Requires="wps">
            <w:drawing>
              <wp:anchor distT="0" distB="0" distL="114300" distR="114300" simplePos="0" relativeHeight="251837952" behindDoc="1" locked="0" layoutInCell="0" allowOverlap="1">
                <wp:simplePos x="0" y="0"/>
                <wp:positionH relativeFrom="column">
                  <wp:posOffset>-101600</wp:posOffset>
                </wp:positionH>
                <wp:positionV relativeFrom="paragraph">
                  <wp:posOffset>-1179195</wp:posOffset>
                </wp:positionV>
                <wp:extent cx="0" cy="1129665"/>
                <wp:effectExtent l="0" t="0" r="0" b="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29665"/>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92.8499pt" to="-8pt,-3.8999pt" o:allowincell="f" strokecolor="#FEC930" strokeweight="2pt"/>
            </w:pict>
          </mc:Fallback>
        </mc:AlternateContent>
      </w:r>
      <w:r>
        <w:rPr>
          <w:noProof/>
          <w:sz w:val="20"/>
          <w:szCs w:val="20"/>
        </w:rPr>
        <mc:AlternateContent>
          <mc:Choice Requires="wps">
            <w:drawing>
              <wp:anchor distT="0" distB="0" distL="114300" distR="114300" simplePos="0" relativeHeight="251838976" behindDoc="1" locked="0" layoutInCell="0" allowOverlap="1">
                <wp:simplePos x="0" y="0"/>
                <wp:positionH relativeFrom="column">
                  <wp:posOffset>-114300</wp:posOffset>
                </wp:positionH>
                <wp:positionV relativeFrom="paragraph">
                  <wp:posOffset>-62230</wp:posOffset>
                </wp:positionV>
                <wp:extent cx="1781810" cy="0"/>
                <wp:effectExtent l="0" t="0" r="0" b="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81810"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4.8999pt" to="131.3pt,-4.8999pt" o:allowincell="f" strokecolor="#FEC930" strokeweight="2pt"/>
            </w:pict>
          </mc:Fallback>
        </mc:AlternateContent>
      </w:r>
    </w:p>
    <w:p w:rsidR="00AC12B4" w:rsidRDefault="00AC12B4">
      <w:pPr>
        <w:spacing w:line="29" w:lineRule="exact"/>
        <w:rPr>
          <w:sz w:val="20"/>
          <w:szCs w:val="20"/>
        </w:rPr>
      </w:pPr>
    </w:p>
    <w:p w:rsidR="00AC12B4" w:rsidRPr="00C27636" w:rsidRDefault="00C27636">
      <w:pPr>
        <w:spacing w:line="218" w:lineRule="auto"/>
        <w:ind w:left="700" w:right="520"/>
        <w:rPr>
          <w:sz w:val="20"/>
          <w:szCs w:val="20"/>
          <w:lang w:val="fr-BE"/>
        </w:rPr>
      </w:pPr>
      <w:r w:rsidRPr="00C27636">
        <w:rPr>
          <w:rFonts w:ascii="Calibri" w:eastAsia="Calibri" w:hAnsi="Calibri" w:cs="Calibri"/>
          <w:lang w:val="fr-BE"/>
        </w:rPr>
        <w:t>justice pour pouvoir en tirer des conclusions claires (cf. recommandations).</w:t>
      </w:r>
    </w:p>
    <w:p w:rsidR="00AC12B4" w:rsidRPr="00C27636" w:rsidRDefault="00AC12B4">
      <w:pPr>
        <w:spacing w:line="207" w:lineRule="exact"/>
        <w:rPr>
          <w:sz w:val="20"/>
          <w:szCs w:val="20"/>
          <w:lang w:val="fr-BE"/>
        </w:rPr>
      </w:pPr>
    </w:p>
    <w:p w:rsidR="00AC12B4" w:rsidRDefault="00C27636">
      <w:pPr>
        <w:ind w:left="700"/>
        <w:rPr>
          <w:sz w:val="20"/>
          <w:szCs w:val="20"/>
        </w:rPr>
      </w:pPr>
      <w:r>
        <w:rPr>
          <w:rFonts w:ascii="Cambria" w:eastAsia="Cambria" w:hAnsi="Cambria" w:cs="Cambria"/>
          <w:b/>
          <w:bCs/>
          <w:i/>
          <w:iCs/>
          <w:color w:val="CF9901"/>
          <w:sz w:val="26"/>
          <w:szCs w:val="26"/>
        </w:rPr>
        <w:t>D’où viennent ces chiffres ?</w:t>
      </w:r>
    </w:p>
    <w:p w:rsidR="00AC12B4" w:rsidRDefault="00AC12B4">
      <w:pPr>
        <w:spacing w:line="166" w:lineRule="exact"/>
        <w:rPr>
          <w:sz w:val="20"/>
          <w:szCs w:val="20"/>
        </w:rPr>
      </w:pPr>
    </w:p>
    <w:p w:rsidR="00AC12B4" w:rsidRDefault="00C27636">
      <w:pPr>
        <w:numPr>
          <w:ilvl w:val="0"/>
          <w:numId w:val="319"/>
        </w:numPr>
        <w:tabs>
          <w:tab w:val="left" w:pos="1420"/>
        </w:tabs>
        <w:ind w:left="1420" w:hanging="360"/>
        <w:rPr>
          <w:rFonts w:ascii="Wingdings" w:eastAsia="Wingdings" w:hAnsi="Wingdings" w:cs="Wingdings"/>
          <w:color w:val="FEC930"/>
        </w:rPr>
      </w:pPr>
      <w:r>
        <w:rPr>
          <w:rFonts w:ascii="Cambria" w:eastAsia="Cambria" w:hAnsi="Cambria" w:cs="Cambria"/>
          <w:i/>
          <w:iCs/>
          <w:color w:val="FEC930"/>
        </w:rPr>
        <w:t xml:space="preserve">Baromètre de </w:t>
      </w:r>
      <w:r>
        <w:rPr>
          <w:rFonts w:ascii="Cambria" w:eastAsia="Cambria" w:hAnsi="Cambria" w:cs="Cambria"/>
          <w:i/>
          <w:iCs/>
          <w:color w:val="FEC930"/>
        </w:rPr>
        <w:t>la Justice</w:t>
      </w:r>
    </w:p>
    <w:p w:rsidR="00AC12B4" w:rsidRDefault="00AC12B4">
      <w:pPr>
        <w:spacing w:line="202" w:lineRule="exact"/>
        <w:rPr>
          <w:sz w:val="20"/>
          <w:szCs w:val="20"/>
        </w:rPr>
      </w:pPr>
    </w:p>
    <w:p w:rsidR="00AC12B4" w:rsidRPr="00C27636" w:rsidRDefault="00C27636">
      <w:pPr>
        <w:spacing w:line="225" w:lineRule="auto"/>
        <w:ind w:left="700" w:right="520"/>
        <w:jc w:val="both"/>
        <w:rPr>
          <w:sz w:val="20"/>
          <w:szCs w:val="20"/>
          <w:lang w:val="fr-BE"/>
        </w:rPr>
      </w:pPr>
      <w:r w:rsidRPr="00C27636">
        <w:rPr>
          <w:rFonts w:ascii="Calibri" w:eastAsia="Calibri" w:hAnsi="Calibri" w:cs="Calibri"/>
          <w:lang w:val="fr-BE"/>
        </w:rPr>
        <w:t>Le Baromètre de la Justice est réalisé à la demande du Conseil Supérieur de la Justice (CSJ).</w:t>
      </w:r>
    </w:p>
    <w:p w:rsidR="00AC12B4" w:rsidRPr="00C27636" w:rsidRDefault="00AC12B4">
      <w:pPr>
        <w:spacing w:line="172" w:lineRule="exact"/>
        <w:rPr>
          <w:sz w:val="20"/>
          <w:szCs w:val="20"/>
          <w:lang w:val="fr-BE"/>
        </w:rPr>
      </w:pPr>
    </w:p>
    <w:p w:rsidR="00AC12B4" w:rsidRPr="00C27636" w:rsidRDefault="00C27636">
      <w:pPr>
        <w:spacing w:line="232" w:lineRule="auto"/>
        <w:ind w:left="700" w:right="520"/>
        <w:jc w:val="both"/>
        <w:rPr>
          <w:sz w:val="20"/>
          <w:szCs w:val="20"/>
          <w:lang w:val="fr-BE"/>
        </w:rPr>
      </w:pPr>
      <w:r w:rsidRPr="00C27636">
        <w:rPr>
          <w:rFonts w:ascii="Calibri" w:eastAsia="Calibri" w:hAnsi="Calibri" w:cs="Calibri"/>
          <w:lang w:val="fr-BE"/>
        </w:rPr>
        <w:t xml:space="preserve">Il s’agit d’une enquête téléphonique réalisée depuis 2002 auprès de plus de 1500 personnes et portant sur, notamment, la confiance des citoyens </w:t>
      </w:r>
      <w:r w:rsidRPr="00C27636">
        <w:rPr>
          <w:rFonts w:ascii="Calibri" w:eastAsia="Calibri" w:hAnsi="Calibri" w:cs="Calibri"/>
          <w:lang w:val="fr-BE"/>
        </w:rPr>
        <w:t>vis-à-vis de la justice (mais aussi d’autres institutions comme la police p.ex.).</w:t>
      </w:r>
    </w:p>
    <w:p w:rsidR="00AC12B4" w:rsidRPr="00C27636" w:rsidRDefault="00AC12B4">
      <w:pPr>
        <w:spacing w:line="173" w:lineRule="exact"/>
        <w:rPr>
          <w:sz w:val="20"/>
          <w:szCs w:val="20"/>
          <w:lang w:val="fr-BE"/>
        </w:rPr>
      </w:pPr>
    </w:p>
    <w:p w:rsidR="00AC12B4" w:rsidRPr="00C27636" w:rsidRDefault="00C27636">
      <w:pPr>
        <w:spacing w:line="225" w:lineRule="auto"/>
        <w:ind w:left="700" w:right="520"/>
        <w:jc w:val="both"/>
        <w:rPr>
          <w:sz w:val="20"/>
          <w:szCs w:val="20"/>
          <w:lang w:val="fr-BE"/>
        </w:rPr>
      </w:pPr>
      <w:r w:rsidRPr="00C27636">
        <w:rPr>
          <w:rFonts w:ascii="Calibri" w:eastAsia="Calibri" w:hAnsi="Calibri" w:cs="Calibri"/>
          <w:lang w:val="fr-BE"/>
        </w:rPr>
        <w:t>L’édition 2014 est la quatrième édition de ce baromètre (éditions précédentes: 2002, 2007, 2010).</w:t>
      </w:r>
    </w:p>
    <w:p w:rsidR="00AC12B4" w:rsidRPr="00C27636" w:rsidRDefault="00AC12B4">
      <w:pPr>
        <w:spacing w:line="129" w:lineRule="exact"/>
        <w:rPr>
          <w:sz w:val="20"/>
          <w:szCs w:val="20"/>
          <w:lang w:val="fr-BE"/>
        </w:rPr>
      </w:pPr>
    </w:p>
    <w:p w:rsidR="00AC12B4" w:rsidRDefault="00C27636">
      <w:pPr>
        <w:numPr>
          <w:ilvl w:val="0"/>
          <w:numId w:val="320"/>
        </w:numPr>
        <w:tabs>
          <w:tab w:val="left" w:pos="1420"/>
        </w:tabs>
        <w:ind w:left="1420" w:hanging="360"/>
        <w:rPr>
          <w:rFonts w:ascii="Wingdings" w:eastAsia="Wingdings" w:hAnsi="Wingdings" w:cs="Wingdings"/>
          <w:color w:val="FEC930"/>
        </w:rPr>
      </w:pPr>
      <w:r>
        <w:rPr>
          <w:rFonts w:ascii="Cambria" w:eastAsia="Cambria" w:hAnsi="Cambria" w:cs="Cambria"/>
          <w:i/>
          <w:iCs/>
          <w:color w:val="FEC930"/>
        </w:rPr>
        <w:t>Limite de la mesure</w:t>
      </w:r>
    </w:p>
    <w:p w:rsidR="00AC12B4" w:rsidRDefault="00AC12B4">
      <w:pPr>
        <w:spacing w:line="200" w:lineRule="exact"/>
        <w:rPr>
          <w:sz w:val="20"/>
          <w:szCs w:val="20"/>
        </w:rPr>
      </w:pPr>
    </w:p>
    <w:p w:rsidR="00AC12B4" w:rsidRPr="00C27636" w:rsidRDefault="00C27636">
      <w:pPr>
        <w:spacing w:line="229" w:lineRule="auto"/>
        <w:ind w:left="700" w:right="520"/>
        <w:jc w:val="both"/>
        <w:rPr>
          <w:sz w:val="20"/>
          <w:szCs w:val="20"/>
          <w:lang w:val="fr-BE"/>
        </w:rPr>
      </w:pPr>
      <w:r w:rsidRPr="00C27636">
        <w:rPr>
          <w:rFonts w:ascii="Calibri" w:eastAsia="Calibri" w:hAnsi="Calibri" w:cs="Calibri"/>
          <w:lang w:val="fr-BE"/>
        </w:rPr>
        <w:t xml:space="preserve">Seuls les plus de 15 ans sont questionnés pour cette </w:t>
      </w:r>
      <w:r w:rsidRPr="00C27636">
        <w:rPr>
          <w:rFonts w:ascii="Calibri" w:eastAsia="Calibri" w:hAnsi="Calibri" w:cs="Calibri"/>
          <w:lang w:val="fr-BE"/>
        </w:rPr>
        <w:t>enquête. De plus, les tranches d’âges utilisées ne permettent pas de mettre en avant les 15-18 ans.</w:t>
      </w:r>
    </w:p>
    <w:p w:rsidR="00AC12B4" w:rsidRPr="00C27636" w:rsidRDefault="00AC12B4">
      <w:pPr>
        <w:spacing w:line="170" w:lineRule="exact"/>
        <w:rPr>
          <w:sz w:val="20"/>
          <w:szCs w:val="20"/>
          <w:lang w:val="fr-BE"/>
        </w:rPr>
      </w:pPr>
    </w:p>
    <w:p w:rsidR="00AC12B4" w:rsidRPr="00C27636" w:rsidRDefault="00C27636">
      <w:pPr>
        <w:spacing w:line="233" w:lineRule="auto"/>
        <w:ind w:left="700" w:right="520"/>
        <w:jc w:val="both"/>
        <w:rPr>
          <w:sz w:val="20"/>
          <w:szCs w:val="20"/>
          <w:lang w:val="fr-BE"/>
        </w:rPr>
      </w:pPr>
      <w:r w:rsidRPr="00C27636">
        <w:rPr>
          <w:rFonts w:ascii="Calibri" w:eastAsia="Calibri" w:hAnsi="Calibri" w:cs="Calibri"/>
          <w:lang w:val="fr-BE"/>
        </w:rPr>
        <w:t>De plus, l’enquête est une enquête générale. Il n’existe pas toujours de ventilation sur les jeunes ayant été en contact avec la justice (l’échantillon éta</w:t>
      </w:r>
      <w:r w:rsidRPr="00C27636">
        <w:rPr>
          <w:rFonts w:ascii="Calibri" w:eastAsia="Calibri" w:hAnsi="Calibri" w:cs="Calibri"/>
          <w:lang w:val="fr-BE"/>
        </w:rPr>
        <w:t>nt trop petit que pour qu’une analyse par tranche d’âge soit systématiquement statistiquement fiable et encore moins par</w:t>
      </w:r>
    </w:p>
    <w:p w:rsidR="00AC12B4" w:rsidRPr="00C27636" w:rsidRDefault="00AC12B4">
      <w:pPr>
        <w:spacing w:line="5" w:lineRule="exact"/>
        <w:rPr>
          <w:sz w:val="20"/>
          <w:szCs w:val="20"/>
          <w:lang w:val="fr-BE"/>
        </w:rPr>
      </w:pPr>
    </w:p>
    <w:p w:rsidR="00AC12B4" w:rsidRDefault="00C27636">
      <w:pPr>
        <w:numPr>
          <w:ilvl w:val="0"/>
          <w:numId w:val="321"/>
        </w:numPr>
        <w:tabs>
          <w:tab w:val="left" w:pos="860"/>
        </w:tabs>
        <w:ind w:left="860" w:hanging="160"/>
        <w:rPr>
          <w:rFonts w:ascii="Calibri" w:eastAsia="Calibri" w:hAnsi="Calibri" w:cs="Calibri"/>
        </w:rPr>
      </w:pPr>
      <w:r>
        <w:rPr>
          <w:rFonts w:ascii="Calibri" w:eastAsia="Calibri" w:hAnsi="Calibri" w:cs="Calibri"/>
        </w:rPr>
        <w:t>groupes vulnérables »).</w:t>
      </w:r>
    </w:p>
    <w:p w:rsidR="00AC12B4" w:rsidRDefault="00AC12B4">
      <w:pPr>
        <w:spacing w:line="127" w:lineRule="exact"/>
        <w:rPr>
          <w:rFonts w:ascii="Calibri" w:eastAsia="Calibri" w:hAnsi="Calibri" w:cs="Calibri"/>
        </w:rPr>
      </w:pPr>
    </w:p>
    <w:p w:rsidR="00AC12B4" w:rsidRDefault="00C27636">
      <w:pPr>
        <w:numPr>
          <w:ilvl w:val="1"/>
          <w:numId w:val="321"/>
        </w:numPr>
        <w:tabs>
          <w:tab w:val="left" w:pos="1420"/>
        </w:tabs>
        <w:ind w:left="1420" w:hanging="360"/>
        <w:rPr>
          <w:rFonts w:ascii="Wingdings" w:eastAsia="Wingdings" w:hAnsi="Wingdings" w:cs="Wingdings"/>
          <w:color w:val="F79646"/>
        </w:rPr>
      </w:pPr>
      <w:r>
        <w:rPr>
          <w:rFonts w:ascii="Cambria" w:eastAsia="Cambria" w:hAnsi="Cambria" w:cs="Cambria"/>
          <w:i/>
          <w:iCs/>
          <w:color w:val="FEC930"/>
        </w:rPr>
        <w:t>Recommandations</w:t>
      </w:r>
    </w:p>
    <w:p w:rsidR="00AC12B4" w:rsidRDefault="00AC12B4">
      <w:pPr>
        <w:spacing w:line="202" w:lineRule="exact"/>
        <w:rPr>
          <w:sz w:val="20"/>
          <w:szCs w:val="20"/>
        </w:rPr>
      </w:pPr>
    </w:p>
    <w:p w:rsidR="00AC12B4" w:rsidRPr="00C27636" w:rsidRDefault="00C27636">
      <w:pPr>
        <w:ind w:left="700" w:right="520"/>
        <w:jc w:val="both"/>
        <w:rPr>
          <w:sz w:val="20"/>
          <w:szCs w:val="20"/>
          <w:lang w:val="fr-BE"/>
        </w:rPr>
      </w:pPr>
      <w:r w:rsidRPr="00C27636">
        <w:rPr>
          <w:rFonts w:ascii="Calibri" w:eastAsia="Calibri" w:hAnsi="Calibri" w:cs="Calibri"/>
          <w:lang w:val="fr-BE"/>
        </w:rPr>
        <w:t xml:space="preserve">Une enquête spécifique à destination des jeunes en contact avec la justice (aussi bien </w:t>
      </w:r>
      <w:r w:rsidRPr="00C27636">
        <w:rPr>
          <w:rFonts w:ascii="Calibri" w:eastAsia="Calibri" w:hAnsi="Calibri" w:cs="Calibri"/>
          <w:lang w:val="fr-BE"/>
        </w:rPr>
        <w:t>mineurs en danger que FQI) reprenant cette question devrait être réalisée.</w:t>
      </w:r>
    </w:p>
    <w:p w:rsidR="00AC12B4" w:rsidRPr="00C27636" w:rsidRDefault="00AC12B4">
      <w:pPr>
        <w:spacing w:line="387" w:lineRule="exact"/>
        <w:rPr>
          <w:sz w:val="20"/>
          <w:szCs w:val="20"/>
          <w:lang w:val="fr-BE"/>
        </w:rPr>
      </w:pPr>
    </w:p>
    <w:p w:rsidR="00AC12B4" w:rsidRPr="00C27636" w:rsidRDefault="00C27636">
      <w:pPr>
        <w:spacing w:line="229" w:lineRule="auto"/>
        <w:ind w:left="700" w:right="520"/>
        <w:jc w:val="both"/>
        <w:rPr>
          <w:sz w:val="20"/>
          <w:szCs w:val="20"/>
          <w:lang w:val="fr-BE"/>
        </w:rPr>
      </w:pPr>
      <w:r w:rsidRPr="00C27636">
        <w:rPr>
          <w:rFonts w:ascii="Calibri" w:eastAsia="Calibri" w:hAnsi="Calibri" w:cs="Calibri"/>
          <w:lang w:val="fr-BE"/>
        </w:rPr>
        <w:t>Pour plus d’informations sur cette enquête spécifique, voir la section « Atteindre les plus vulnérables » en Partie I de cette publication.</w:t>
      </w:r>
    </w:p>
    <w:p w:rsidR="00AC12B4" w:rsidRPr="00C27636" w:rsidRDefault="00AC12B4">
      <w:pPr>
        <w:spacing w:line="164" w:lineRule="exact"/>
        <w:rPr>
          <w:sz w:val="20"/>
          <w:szCs w:val="20"/>
          <w:lang w:val="fr-BE"/>
        </w:rPr>
      </w:pPr>
    </w:p>
    <w:p w:rsidR="00AC12B4" w:rsidRDefault="00C27636">
      <w:pPr>
        <w:jc w:val="right"/>
        <w:rPr>
          <w:sz w:val="20"/>
          <w:szCs w:val="20"/>
        </w:rPr>
      </w:pPr>
      <w:r>
        <w:rPr>
          <w:rFonts w:ascii="Calibri" w:eastAsia="Calibri" w:hAnsi="Calibri" w:cs="Calibri"/>
        </w:rPr>
        <w:t>170</w:t>
      </w:r>
    </w:p>
    <w:p w:rsidR="00AC12B4" w:rsidRDefault="00C27636">
      <w:pPr>
        <w:spacing w:line="20" w:lineRule="exact"/>
        <w:rPr>
          <w:sz w:val="20"/>
          <w:szCs w:val="20"/>
        </w:rPr>
      </w:pPr>
      <w:r>
        <w:rPr>
          <w:sz w:val="20"/>
          <w:szCs w:val="20"/>
        </w:rPr>
        <w:br w:type="column"/>
      </w:r>
    </w:p>
    <w:p w:rsidR="00AC12B4" w:rsidRDefault="00AC12B4">
      <w:pPr>
        <w:spacing w:line="149" w:lineRule="exact"/>
        <w:rPr>
          <w:sz w:val="20"/>
          <w:szCs w:val="20"/>
        </w:rPr>
      </w:pPr>
    </w:p>
    <w:p w:rsidR="00AC12B4" w:rsidRDefault="00C27636">
      <w:pPr>
        <w:rPr>
          <w:sz w:val="20"/>
          <w:szCs w:val="20"/>
        </w:rPr>
      </w:pPr>
      <w:r>
        <w:rPr>
          <w:rFonts w:ascii="Cambria" w:eastAsia="Cambria" w:hAnsi="Cambria" w:cs="Cambria"/>
          <w:b/>
          <w:bCs/>
          <w:i/>
          <w:iCs/>
          <w:color w:val="CF9901"/>
          <w:sz w:val="26"/>
          <w:szCs w:val="26"/>
        </w:rPr>
        <w:t>Pour aller plus loin</w:t>
      </w:r>
    </w:p>
    <w:p w:rsidR="00AC12B4" w:rsidRDefault="00AC12B4">
      <w:pPr>
        <w:spacing w:line="291" w:lineRule="exact"/>
        <w:rPr>
          <w:sz w:val="20"/>
          <w:szCs w:val="20"/>
        </w:rPr>
      </w:pPr>
    </w:p>
    <w:p w:rsidR="00AC12B4" w:rsidRPr="00C27636" w:rsidRDefault="00C27636">
      <w:pPr>
        <w:numPr>
          <w:ilvl w:val="0"/>
          <w:numId w:val="322"/>
        </w:numPr>
        <w:tabs>
          <w:tab w:val="left" w:pos="440"/>
        </w:tabs>
        <w:spacing w:line="211" w:lineRule="auto"/>
        <w:ind w:left="440" w:right="837" w:hanging="367"/>
        <w:rPr>
          <w:rFonts w:ascii="Wingdings" w:eastAsia="Wingdings" w:hAnsi="Wingdings" w:cs="Wingdings"/>
          <w:sz w:val="40"/>
          <w:szCs w:val="40"/>
          <w:vertAlign w:val="superscript"/>
          <w:lang w:val="fr-BE"/>
        </w:rPr>
      </w:pPr>
      <w:r w:rsidRPr="00C27636">
        <w:rPr>
          <w:rFonts w:ascii="Calibri" w:eastAsia="Calibri" w:hAnsi="Calibri" w:cs="Calibri"/>
          <w:b/>
          <w:bCs/>
          <w:i/>
          <w:iCs/>
          <w:color w:val="CF9901"/>
          <w:sz w:val="18"/>
          <w:szCs w:val="18"/>
          <w:lang w:val="fr-BE"/>
        </w:rPr>
        <w:t>Etude de l</w:t>
      </w:r>
      <w:r w:rsidRPr="00C27636">
        <w:rPr>
          <w:rFonts w:ascii="Calibri" w:eastAsia="Calibri" w:hAnsi="Calibri" w:cs="Calibri"/>
          <w:b/>
          <w:bCs/>
          <w:i/>
          <w:iCs/>
          <w:color w:val="CF9901"/>
          <w:sz w:val="18"/>
          <w:szCs w:val="18"/>
          <w:lang w:val="fr-BE"/>
        </w:rPr>
        <w:t>a FRA sur le traitement des enfants dans les affaires civiles et pénales</w:t>
      </w:r>
      <w:r w:rsidRPr="00C27636">
        <w:rPr>
          <w:rFonts w:ascii="Cambria" w:eastAsia="Cambria" w:hAnsi="Cambria" w:cs="Cambria"/>
          <w:i/>
          <w:iCs/>
          <w:color w:val="D99594"/>
          <w:sz w:val="24"/>
          <w:szCs w:val="24"/>
          <w:lang w:val="fr-BE"/>
        </w:rPr>
        <w:t>:</w:t>
      </w:r>
      <w:r w:rsidRPr="00C27636">
        <w:rPr>
          <w:rFonts w:ascii="Calibri" w:eastAsia="Calibri" w:hAnsi="Calibri" w:cs="Calibri"/>
          <w:b/>
          <w:bCs/>
          <w:i/>
          <w:iCs/>
          <w:color w:val="CF9901"/>
          <w:sz w:val="18"/>
          <w:szCs w:val="18"/>
          <w:lang w:val="fr-BE"/>
        </w:rPr>
        <w:t xml:space="preserve"> </w:t>
      </w:r>
      <w:r w:rsidRPr="00C27636">
        <w:rPr>
          <w:rFonts w:ascii="Calibri" w:eastAsia="Calibri" w:hAnsi="Calibri" w:cs="Calibri"/>
          <w:color w:val="000000"/>
          <w:sz w:val="19"/>
          <w:szCs w:val="19"/>
          <w:lang w:val="fr-BE"/>
        </w:rPr>
        <w:t>cette</w:t>
      </w:r>
      <w:r w:rsidRPr="00C27636">
        <w:rPr>
          <w:rFonts w:ascii="Calibri" w:eastAsia="Calibri" w:hAnsi="Calibri" w:cs="Calibri"/>
          <w:b/>
          <w:bCs/>
          <w:i/>
          <w:iCs/>
          <w:color w:val="CF9901"/>
          <w:sz w:val="18"/>
          <w:szCs w:val="18"/>
          <w:lang w:val="fr-BE"/>
        </w:rPr>
        <w:t xml:space="preserve"> </w:t>
      </w:r>
      <w:r w:rsidRPr="00C27636">
        <w:rPr>
          <w:rFonts w:ascii="Calibri" w:eastAsia="Calibri" w:hAnsi="Calibri" w:cs="Calibri"/>
          <w:color w:val="000000"/>
          <w:sz w:val="19"/>
          <w:szCs w:val="19"/>
          <w:lang w:val="fr-BE"/>
        </w:rPr>
        <w:t>enquête par interview menée dans dix pays de l’Union européenne (pas en</w:t>
      </w:r>
    </w:p>
    <w:p w:rsidR="00AC12B4" w:rsidRPr="00C27636" w:rsidRDefault="00AC12B4">
      <w:pPr>
        <w:spacing w:line="86" w:lineRule="exact"/>
        <w:rPr>
          <w:rFonts w:ascii="Wingdings" w:eastAsia="Wingdings" w:hAnsi="Wingdings" w:cs="Wingdings"/>
          <w:sz w:val="40"/>
          <w:szCs w:val="40"/>
          <w:vertAlign w:val="superscript"/>
          <w:lang w:val="fr-BE"/>
        </w:rPr>
      </w:pPr>
    </w:p>
    <w:p w:rsidR="00AC12B4" w:rsidRPr="00C27636" w:rsidRDefault="00C27636">
      <w:pPr>
        <w:spacing w:line="272" w:lineRule="auto"/>
        <w:ind w:left="440" w:right="797"/>
        <w:rPr>
          <w:rFonts w:ascii="Wingdings" w:eastAsia="Wingdings" w:hAnsi="Wingdings" w:cs="Wingdings"/>
          <w:sz w:val="40"/>
          <w:szCs w:val="40"/>
          <w:vertAlign w:val="superscript"/>
          <w:lang w:val="fr-BE"/>
        </w:rPr>
      </w:pPr>
      <w:r w:rsidRPr="00C27636">
        <w:rPr>
          <w:rFonts w:ascii="Calibri" w:eastAsia="Calibri" w:hAnsi="Calibri" w:cs="Calibri"/>
          <w:sz w:val="19"/>
          <w:szCs w:val="19"/>
          <w:lang w:val="fr-BE"/>
        </w:rPr>
        <w:t xml:space="preserve">Belgique) collecte les perceptions et le vécu des professionnels et des enfants impliqués dans des </w:t>
      </w:r>
      <w:r w:rsidRPr="00C27636">
        <w:rPr>
          <w:rFonts w:ascii="Calibri" w:eastAsia="Calibri" w:hAnsi="Calibri" w:cs="Calibri"/>
          <w:sz w:val="19"/>
          <w:szCs w:val="19"/>
          <w:lang w:val="fr-BE"/>
        </w:rPr>
        <w:t>procédures judiciaires</w:t>
      </w:r>
    </w:p>
    <w:p w:rsidR="00AC12B4" w:rsidRPr="00C27636" w:rsidRDefault="00AC12B4">
      <w:pPr>
        <w:spacing w:line="53" w:lineRule="exact"/>
        <w:rPr>
          <w:rFonts w:ascii="Wingdings" w:eastAsia="Wingdings" w:hAnsi="Wingdings" w:cs="Wingdings"/>
          <w:sz w:val="40"/>
          <w:szCs w:val="40"/>
          <w:vertAlign w:val="superscript"/>
          <w:lang w:val="fr-BE"/>
        </w:rPr>
      </w:pPr>
    </w:p>
    <w:p w:rsidR="00AC12B4" w:rsidRPr="00C27636" w:rsidRDefault="00C27636">
      <w:pPr>
        <w:spacing w:line="221" w:lineRule="auto"/>
        <w:ind w:left="440" w:right="1017"/>
        <w:rPr>
          <w:rFonts w:ascii="Wingdings" w:eastAsia="Wingdings" w:hAnsi="Wingdings" w:cs="Wingdings"/>
          <w:sz w:val="40"/>
          <w:szCs w:val="40"/>
          <w:vertAlign w:val="superscript"/>
          <w:lang w:val="fr-BE"/>
        </w:rPr>
      </w:pPr>
      <w:r w:rsidRPr="00C27636">
        <w:rPr>
          <w:rFonts w:ascii="Calibri" w:eastAsia="Calibri" w:hAnsi="Calibri" w:cs="Calibri"/>
          <w:sz w:val="20"/>
          <w:szCs w:val="20"/>
          <w:lang w:val="fr-BE"/>
        </w:rPr>
        <w:t xml:space="preserve">(pénales ou civiles) (publication prévue courant 2016) </w:t>
      </w:r>
      <w:r w:rsidRPr="00C27636">
        <w:rPr>
          <w:rFonts w:ascii="Calibri" w:eastAsia="Calibri" w:hAnsi="Calibri" w:cs="Calibri"/>
          <w:sz w:val="25"/>
          <w:szCs w:val="25"/>
          <w:vertAlign w:val="superscript"/>
          <w:lang w:val="fr-BE"/>
        </w:rPr>
        <w:t>3</w:t>
      </w:r>
    </w:p>
    <w:p w:rsidR="00AC12B4" w:rsidRPr="00C27636" w:rsidRDefault="00AC12B4">
      <w:pPr>
        <w:spacing w:line="188" w:lineRule="exact"/>
        <w:rPr>
          <w:sz w:val="20"/>
          <w:szCs w:val="20"/>
          <w:lang w:val="fr-BE"/>
        </w:rPr>
      </w:pPr>
    </w:p>
    <w:p w:rsidR="00AC12B4" w:rsidRPr="00C27636" w:rsidRDefault="00C27636">
      <w:pPr>
        <w:numPr>
          <w:ilvl w:val="0"/>
          <w:numId w:val="323"/>
        </w:numPr>
        <w:tabs>
          <w:tab w:val="left" w:pos="440"/>
        </w:tabs>
        <w:spacing w:line="246" w:lineRule="auto"/>
        <w:ind w:left="440" w:right="737" w:hanging="367"/>
        <w:jc w:val="both"/>
        <w:rPr>
          <w:rFonts w:ascii="Symbol" w:eastAsia="Symbol" w:hAnsi="Symbol" w:cs="Symbol"/>
          <w:sz w:val="20"/>
          <w:szCs w:val="20"/>
          <w:lang w:val="fr-BE"/>
        </w:rPr>
      </w:pPr>
      <w:r w:rsidRPr="00C27636">
        <w:rPr>
          <w:rFonts w:ascii="Calibri" w:eastAsia="Calibri" w:hAnsi="Calibri" w:cs="Calibri"/>
          <w:b/>
          <w:bCs/>
          <w:i/>
          <w:iCs/>
          <w:color w:val="CF9901"/>
          <w:sz w:val="20"/>
          <w:szCs w:val="20"/>
          <w:lang w:val="fr-BE"/>
        </w:rPr>
        <w:t xml:space="preserve">Indicateur participation : </w:t>
      </w:r>
      <w:r w:rsidRPr="00C27636">
        <w:rPr>
          <w:rFonts w:ascii="Calibri" w:eastAsia="Calibri" w:hAnsi="Calibri" w:cs="Calibri"/>
          <w:color w:val="000000"/>
          <w:sz w:val="20"/>
          <w:szCs w:val="20"/>
          <w:lang w:val="fr-BE"/>
        </w:rPr>
        <w:t>Un autre</w:t>
      </w:r>
      <w:r w:rsidRPr="00C27636">
        <w:rPr>
          <w:rFonts w:ascii="Calibri" w:eastAsia="Calibri" w:hAnsi="Calibri" w:cs="Calibri"/>
          <w:b/>
          <w:bCs/>
          <w:i/>
          <w:iCs/>
          <w:color w:val="CF9901"/>
          <w:sz w:val="20"/>
          <w:szCs w:val="20"/>
          <w:lang w:val="fr-BE"/>
        </w:rPr>
        <w:t xml:space="preserve"> </w:t>
      </w:r>
      <w:r w:rsidRPr="00C27636">
        <w:rPr>
          <w:rFonts w:ascii="Calibri" w:eastAsia="Calibri" w:hAnsi="Calibri" w:cs="Calibri"/>
          <w:color w:val="000000"/>
          <w:sz w:val="20"/>
          <w:szCs w:val="20"/>
          <w:lang w:val="fr-BE"/>
        </w:rPr>
        <w:t>indicateur pertinent est « participation dans des procédures judiciaires ».</w:t>
      </w:r>
    </w:p>
    <w:p w:rsidR="00AC12B4" w:rsidRPr="00C27636" w:rsidRDefault="00AC12B4">
      <w:pPr>
        <w:spacing w:line="110" w:lineRule="exact"/>
        <w:rPr>
          <w:rFonts w:ascii="Symbol" w:eastAsia="Symbol" w:hAnsi="Symbol" w:cs="Symbol"/>
          <w:sz w:val="20"/>
          <w:szCs w:val="20"/>
          <w:lang w:val="fr-BE"/>
        </w:rPr>
      </w:pPr>
    </w:p>
    <w:p w:rsidR="00AC12B4" w:rsidRPr="00C27636" w:rsidRDefault="00C27636">
      <w:pPr>
        <w:numPr>
          <w:ilvl w:val="0"/>
          <w:numId w:val="323"/>
        </w:numPr>
        <w:tabs>
          <w:tab w:val="left" w:pos="440"/>
        </w:tabs>
        <w:spacing w:line="257" w:lineRule="auto"/>
        <w:ind w:left="440" w:right="737" w:hanging="367"/>
        <w:rPr>
          <w:rFonts w:ascii="Calibri" w:eastAsia="Calibri" w:hAnsi="Calibri" w:cs="Calibri"/>
          <w:i/>
          <w:iCs/>
          <w:color w:val="0000FF"/>
          <w:sz w:val="20"/>
          <w:szCs w:val="20"/>
          <w:u w:val="single"/>
          <w:lang w:val="fr-BE"/>
        </w:rPr>
      </w:pPr>
      <w:r w:rsidRPr="00C27636">
        <w:rPr>
          <w:rFonts w:ascii="Calibri" w:eastAsia="Calibri" w:hAnsi="Calibri" w:cs="Calibri"/>
          <w:b/>
          <w:bCs/>
          <w:i/>
          <w:iCs/>
          <w:color w:val="CF9901"/>
          <w:sz w:val="20"/>
          <w:szCs w:val="20"/>
          <w:lang w:val="fr-BE"/>
        </w:rPr>
        <w:t xml:space="preserve">Baromètre de la justice : </w:t>
      </w:r>
      <w:r w:rsidRPr="00C27636">
        <w:rPr>
          <w:rFonts w:ascii="Calibri" w:eastAsia="Calibri" w:hAnsi="Calibri" w:cs="Calibri"/>
          <w:color w:val="000000"/>
          <w:sz w:val="20"/>
          <w:szCs w:val="20"/>
          <w:lang w:val="fr-BE"/>
        </w:rPr>
        <w:t>disponible en</w:t>
      </w:r>
      <w:r w:rsidRPr="00C27636">
        <w:rPr>
          <w:rFonts w:ascii="Calibri" w:eastAsia="Calibri" w:hAnsi="Calibri" w:cs="Calibri"/>
          <w:b/>
          <w:bCs/>
          <w:i/>
          <w:iCs/>
          <w:color w:val="CF9901"/>
          <w:sz w:val="20"/>
          <w:szCs w:val="20"/>
          <w:lang w:val="fr-BE"/>
        </w:rPr>
        <w:t xml:space="preserve"> </w:t>
      </w:r>
      <w:r w:rsidRPr="00C27636">
        <w:rPr>
          <w:rFonts w:ascii="Calibri" w:eastAsia="Calibri" w:hAnsi="Calibri" w:cs="Calibri"/>
          <w:color w:val="000000"/>
          <w:sz w:val="20"/>
          <w:szCs w:val="20"/>
          <w:lang w:val="fr-BE"/>
        </w:rPr>
        <w:t xml:space="preserve">ligne : </w:t>
      </w:r>
      <w:hyperlink r:id="rId318">
        <w:r w:rsidRPr="00C27636">
          <w:rPr>
            <w:rFonts w:ascii="Calibri" w:eastAsia="Calibri" w:hAnsi="Calibri" w:cs="Calibri"/>
            <w:i/>
            <w:iCs/>
            <w:color w:val="0000FF"/>
            <w:sz w:val="20"/>
            <w:szCs w:val="20"/>
            <w:u w:val="single"/>
            <w:lang w:val="fr-BE"/>
          </w:rPr>
          <w:t>http://www.csj.be/sites/5023.b.fedimbo.b</w:t>
        </w:r>
      </w:hyperlink>
      <w:r w:rsidRPr="00C27636">
        <w:rPr>
          <w:rFonts w:ascii="Calibri" w:eastAsia="Calibri" w:hAnsi="Calibri" w:cs="Calibri"/>
          <w:i/>
          <w:iCs/>
          <w:color w:val="0000FF"/>
          <w:sz w:val="20"/>
          <w:szCs w:val="20"/>
          <w:u w:val="single"/>
          <w:lang w:val="fr-BE"/>
        </w:rPr>
        <w:t xml:space="preserve"> </w:t>
      </w:r>
      <w:hyperlink r:id="rId319">
        <w:r w:rsidRPr="00C27636">
          <w:rPr>
            <w:rFonts w:ascii="Calibri" w:eastAsia="Calibri" w:hAnsi="Calibri" w:cs="Calibri"/>
            <w:i/>
            <w:iCs/>
            <w:color w:val="0000FF"/>
            <w:sz w:val="20"/>
            <w:szCs w:val="20"/>
            <w:u w:val="single"/>
            <w:lang w:val="fr-BE"/>
          </w:rPr>
          <w:t>elgium.be/files/press_publications/barom</w:t>
        </w:r>
      </w:hyperlink>
      <w:r w:rsidRPr="00C27636">
        <w:rPr>
          <w:rFonts w:ascii="Calibri" w:eastAsia="Calibri" w:hAnsi="Calibri" w:cs="Calibri"/>
          <w:i/>
          <w:iCs/>
          <w:color w:val="0000FF"/>
          <w:sz w:val="20"/>
          <w:szCs w:val="20"/>
          <w:u w:val="single"/>
          <w:lang w:val="fr-BE"/>
        </w:rPr>
        <w:t xml:space="preserve"> </w:t>
      </w:r>
      <w:hyperlink r:id="rId320">
        <w:r w:rsidRPr="00C27636">
          <w:rPr>
            <w:rFonts w:ascii="Calibri" w:eastAsia="Calibri" w:hAnsi="Calibri" w:cs="Calibri"/>
            <w:i/>
            <w:iCs/>
            <w:color w:val="0000FF"/>
            <w:sz w:val="20"/>
            <w:szCs w:val="20"/>
            <w:u w:val="single"/>
            <w:lang w:val="fr-BE"/>
          </w:rPr>
          <w:t>etre_justice_2014.pdf</w:t>
        </w:r>
      </w:hyperlink>
    </w:p>
    <w:p w:rsidR="00AC12B4" w:rsidRPr="00C27636" w:rsidRDefault="00C27636">
      <w:pPr>
        <w:spacing w:line="20" w:lineRule="exact"/>
        <w:rPr>
          <w:rFonts w:ascii="Calibri" w:eastAsia="Calibri" w:hAnsi="Calibri" w:cs="Calibri"/>
          <w:i/>
          <w:iCs/>
          <w:color w:val="0000FF"/>
          <w:sz w:val="20"/>
          <w:szCs w:val="20"/>
          <w:u w:val="single"/>
          <w:lang w:val="fr-BE"/>
        </w:rPr>
      </w:pPr>
      <w:r>
        <w:rPr>
          <w:rFonts w:ascii="Calibri" w:eastAsia="Calibri" w:hAnsi="Calibri" w:cs="Calibri"/>
          <w:i/>
          <w:iCs/>
          <w:noProof/>
          <w:color w:val="0000FF"/>
          <w:sz w:val="20"/>
          <w:szCs w:val="20"/>
          <w:u w:val="single"/>
        </w:rPr>
        <mc:AlternateContent>
          <mc:Choice Requires="wps">
            <w:drawing>
              <wp:anchor distT="0" distB="0" distL="114300" distR="114300" simplePos="0" relativeHeight="251840000" behindDoc="1" locked="0" layoutInCell="0" allowOverlap="1">
                <wp:simplePos x="0" y="0"/>
                <wp:positionH relativeFrom="column">
                  <wp:posOffset>3175</wp:posOffset>
                </wp:positionH>
                <wp:positionV relativeFrom="paragraph">
                  <wp:posOffset>5005070</wp:posOffset>
                </wp:positionV>
                <wp:extent cx="1828800" cy="0"/>
                <wp:effectExtent l="0" t="0" r="0" b="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94.1pt" to="144.25pt,394.1pt" o:allowincell="f" strokecolor="#000000" strokeweight="0.7199pt"/>
            </w:pict>
          </mc:Fallback>
        </mc:AlternateContent>
      </w: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00" w:lineRule="exact"/>
        <w:rPr>
          <w:rFonts w:ascii="Calibri" w:eastAsia="Calibri" w:hAnsi="Calibri" w:cs="Calibri"/>
          <w:i/>
          <w:iCs/>
          <w:color w:val="0000FF"/>
          <w:sz w:val="20"/>
          <w:szCs w:val="20"/>
          <w:u w:val="single"/>
          <w:lang w:val="fr-BE"/>
        </w:rPr>
      </w:pPr>
    </w:p>
    <w:p w:rsidR="00AC12B4" w:rsidRPr="00C27636" w:rsidRDefault="00AC12B4">
      <w:pPr>
        <w:spacing w:line="213" w:lineRule="exact"/>
        <w:rPr>
          <w:rFonts w:ascii="Calibri" w:eastAsia="Calibri" w:hAnsi="Calibri" w:cs="Calibri"/>
          <w:i/>
          <w:iCs/>
          <w:color w:val="0000FF"/>
          <w:sz w:val="20"/>
          <w:szCs w:val="20"/>
          <w:u w:val="single"/>
          <w:lang w:val="fr-BE"/>
        </w:rPr>
      </w:pPr>
    </w:p>
    <w:p w:rsidR="00AC12B4" w:rsidRDefault="00C27636">
      <w:pPr>
        <w:numPr>
          <w:ilvl w:val="0"/>
          <w:numId w:val="324"/>
        </w:numPr>
        <w:tabs>
          <w:tab w:val="left" w:pos="120"/>
        </w:tabs>
        <w:ind w:left="120" w:hanging="115"/>
        <w:rPr>
          <w:rFonts w:ascii="Calibri" w:eastAsia="Calibri" w:hAnsi="Calibri" w:cs="Calibri"/>
          <w:sz w:val="26"/>
          <w:szCs w:val="26"/>
          <w:vertAlign w:val="superscript"/>
        </w:rPr>
      </w:pPr>
      <w:r>
        <w:rPr>
          <w:rFonts w:ascii="Calibri" w:eastAsia="Calibri" w:hAnsi="Calibri" w:cs="Calibri"/>
          <w:sz w:val="20"/>
          <w:szCs w:val="20"/>
        </w:rPr>
        <w:t>http://fra.europa.eu/</w:t>
      </w:r>
    </w:p>
    <w:p w:rsidR="00AC12B4" w:rsidRDefault="00AC12B4">
      <w:pPr>
        <w:sectPr w:rsidR="00AC12B4">
          <w:pgSz w:w="12080" w:h="17179"/>
          <w:pgMar w:top="1440" w:right="1440" w:bottom="659" w:left="427" w:header="0" w:footer="0" w:gutter="0"/>
          <w:cols w:num="3" w:space="720" w:equalWidth="0">
            <w:col w:w="330" w:space="-1"/>
            <w:col w:w="5100" w:space="180"/>
            <w:col w:w="4617"/>
          </w:cols>
        </w:sectPr>
      </w:pPr>
    </w:p>
    <w:p w:rsidR="00AC12B4" w:rsidRDefault="00AC12B4">
      <w:pPr>
        <w:spacing w:line="168" w:lineRule="exact"/>
        <w:rPr>
          <w:sz w:val="20"/>
          <w:szCs w:val="20"/>
        </w:rPr>
      </w:pPr>
      <w:bookmarkStart w:id="170" w:name="page171"/>
      <w:bookmarkEnd w:id="170"/>
    </w:p>
    <w:p w:rsidR="00AC12B4" w:rsidRDefault="00C27636">
      <w:pPr>
        <w:ind w:left="1460"/>
        <w:rPr>
          <w:sz w:val="20"/>
          <w:szCs w:val="20"/>
        </w:rPr>
      </w:pPr>
      <w:r>
        <w:rPr>
          <w:rFonts w:ascii="Comic Sans MS" w:eastAsia="Comic Sans MS" w:hAnsi="Comic Sans MS" w:cs="Comic Sans MS"/>
          <w:color w:val="FEC930"/>
          <w:sz w:val="40"/>
          <w:szCs w:val="40"/>
        </w:rPr>
        <w:t>MJ2. Hiérarchie des mesures</w:t>
      </w:r>
    </w:p>
    <w:p w:rsidR="00AC12B4" w:rsidRDefault="00AC12B4">
      <w:pPr>
        <w:spacing w:line="27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60"/>
        <w:gridCol w:w="180"/>
        <w:gridCol w:w="1080"/>
        <w:gridCol w:w="200"/>
        <w:gridCol w:w="100"/>
        <w:gridCol w:w="380"/>
        <w:gridCol w:w="420"/>
        <w:gridCol w:w="240"/>
        <w:gridCol w:w="240"/>
        <w:gridCol w:w="1220"/>
        <w:gridCol w:w="140"/>
        <w:gridCol w:w="520"/>
        <w:gridCol w:w="280"/>
        <w:gridCol w:w="400"/>
        <w:gridCol w:w="140"/>
        <w:gridCol w:w="140"/>
        <w:gridCol w:w="280"/>
        <w:gridCol w:w="200"/>
        <w:gridCol w:w="180"/>
        <w:gridCol w:w="140"/>
        <w:gridCol w:w="180"/>
        <w:gridCol w:w="420"/>
        <w:gridCol w:w="240"/>
        <w:gridCol w:w="220"/>
        <w:gridCol w:w="320"/>
        <w:gridCol w:w="840"/>
        <w:gridCol w:w="20"/>
      </w:tblGrid>
      <w:tr w:rsidR="00AC12B4" w:rsidRPr="00C27636">
        <w:trPr>
          <w:trHeight w:val="137"/>
        </w:trPr>
        <w:tc>
          <w:tcPr>
            <w:tcW w:w="1960" w:type="dxa"/>
            <w:tcBorders>
              <w:bottom w:val="single" w:sz="8" w:space="0" w:color="CF9901"/>
            </w:tcBorders>
            <w:vAlign w:val="bottom"/>
          </w:tcPr>
          <w:p w:rsidR="00AC12B4" w:rsidRDefault="00AC12B4">
            <w:pPr>
              <w:rPr>
                <w:sz w:val="11"/>
                <w:szCs w:val="11"/>
              </w:rPr>
            </w:pPr>
          </w:p>
        </w:tc>
        <w:tc>
          <w:tcPr>
            <w:tcW w:w="180" w:type="dxa"/>
            <w:tcBorders>
              <w:bottom w:val="single" w:sz="8" w:space="0" w:color="CF9901"/>
            </w:tcBorders>
            <w:vAlign w:val="bottom"/>
          </w:tcPr>
          <w:p w:rsidR="00AC12B4" w:rsidRDefault="00AC12B4">
            <w:pPr>
              <w:rPr>
                <w:sz w:val="11"/>
                <w:szCs w:val="11"/>
              </w:rPr>
            </w:pPr>
          </w:p>
        </w:tc>
        <w:tc>
          <w:tcPr>
            <w:tcW w:w="1080" w:type="dxa"/>
            <w:tcBorders>
              <w:bottom w:val="single" w:sz="8" w:space="0" w:color="CF9901"/>
            </w:tcBorders>
            <w:vAlign w:val="bottom"/>
          </w:tcPr>
          <w:p w:rsidR="00AC12B4" w:rsidRDefault="00AC12B4">
            <w:pPr>
              <w:rPr>
                <w:sz w:val="11"/>
                <w:szCs w:val="11"/>
              </w:rPr>
            </w:pPr>
          </w:p>
        </w:tc>
        <w:tc>
          <w:tcPr>
            <w:tcW w:w="200" w:type="dxa"/>
            <w:tcBorders>
              <w:bottom w:val="single" w:sz="8" w:space="0" w:color="CF9901"/>
            </w:tcBorders>
            <w:vAlign w:val="bottom"/>
          </w:tcPr>
          <w:p w:rsidR="00AC12B4" w:rsidRDefault="00AC12B4">
            <w:pPr>
              <w:rPr>
                <w:sz w:val="11"/>
                <w:szCs w:val="11"/>
              </w:rPr>
            </w:pPr>
          </w:p>
        </w:tc>
        <w:tc>
          <w:tcPr>
            <w:tcW w:w="100" w:type="dxa"/>
            <w:tcBorders>
              <w:bottom w:val="single" w:sz="8" w:space="0" w:color="CF9901"/>
            </w:tcBorders>
            <w:vAlign w:val="bottom"/>
          </w:tcPr>
          <w:p w:rsidR="00AC12B4" w:rsidRDefault="00AC12B4">
            <w:pPr>
              <w:rPr>
                <w:sz w:val="11"/>
                <w:szCs w:val="11"/>
              </w:rPr>
            </w:pPr>
          </w:p>
        </w:tc>
        <w:tc>
          <w:tcPr>
            <w:tcW w:w="380" w:type="dxa"/>
            <w:tcBorders>
              <w:bottom w:val="single" w:sz="8" w:space="0" w:color="CF9901"/>
            </w:tcBorders>
            <w:vAlign w:val="bottom"/>
          </w:tcPr>
          <w:p w:rsidR="00AC12B4" w:rsidRDefault="00AC12B4">
            <w:pPr>
              <w:rPr>
                <w:sz w:val="11"/>
                <w:szCs w:val="11"/>
              </w:rPr>
            </w:pPr>
          </w:p>
        </w:tc>
        <w:tc>
          <w:tcPr>
            <w:tcW w:w="420" w:type="dxa"/>
            <w:tcBorders>
              <w:bottom w:val="single" w:sz="8" w:space="0" w:color="CF9901"/>
            </w:tcBorders>
            <w:vAlign w:val="bottom"/>
          </w:tcPr>
          <w:p w:rsidR="00AC12B4" w:rsidRDefault="00AC12B4">
            <w:pPr>
              <w:rPr>
                <w:sz w:val="11"/>
                <w:szCs w:val="11"/>
              </w:rPr>
            </w:pPr>
          </w:p>
        </w:tc>
        <w:tc>
          <w:tcPr>
            <w:tcW w:w="240" w:type="dxa"/>
            <w:tcBorders>
              <w:bottom w:val="single" w:sz="8" w:space="0" w:color="CF9901"/>
            </w:tcBorders>
            <w:vAlign w:val="bottom"/>
          </w:tcPr>
          <w:p w:rsidR="00AC12B4" w:rsidRDefault="00AC12B4">
            <w:pPr>
              <w:rPr>
                <w:sz w:val="11"/>
                <w:szCs w:val="11"/>
              </w:rPr>
            </w:pPr>
          </w:p>
        </w:tc>
        <w:tc>
          <w:tcPr>
            <w:tcW w:w="240" w:type="dxa"/>
            <w:tcBorders>
              <w:bottom w:val="single" w:sz="8" w:space="0" w:color="CF9901"/>
            </w:tcBorders>
            <w:vAlign w:val="bottom"/>
          </w:tcPr>
          <w:p w:rsidR="00AC12B4" w:rsidRDefault="00AC12B4">
            <w:pPr>
              <w:rPr>
                <w:sz w:val="11"/>
                <w:szCs w:val="11"/>
              </w:rPr>
            </w:pPr>
          </w:p>
        </w:tc>
        <w:tc>
          <w:tcPr>
            <w:tcW w:w="1220" w:type="dxa"/>
            <w:tcBorders>
              <w:bottom w:val="single" w:sz="8" w:space="0" w:color="CF9901"/>
            </w:tcBorders>
            <w:vAlign w:val="bottom"/>
          </w:tcPr>
          <w:p w:rsidR="00AC12B4" w:rsidRDefault="00AC12B4">
            <w:pPr>
              <w:rPr>
                <w:sz w:val="11"/>
                <w:szCs w:val="11"/>
              </w:rPr>
            </w:pPr>
          </w:p>
        </w:tc>
        <w:tc>
          <w:tcPr>
            <w:tcW w:w="140" w:type="dxa"/>
            <w:tcBorders>
              <w:bottom w:val="single" w:sz="8" w:space="0" w:color="CF9901"/>
            </w:tcBorders>
            <w:vAlign w:val="bottom"/>
          </w:tcPr>
          <w:p w:rsidR="00AC12B4" w:rsidRDefault="00AC12B4">
            <w:pPr>
              <w:rPr>
                <w:sz w:val="11"/>
                <w:szCs w:val="11"/>
              </w:rPr>
            </w:pPr>
          </w:p>
        </w:tc>
        <w:tc>
          <w:tcPr>
            <w:tcW w:w="4500" w:type="dxa"/>
            <w:gridSpan w:val="15"/>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être la première chose à prendre en</w:t>
            </w:r>
          </w:p>
        </w:tc>
        <w:tc>
          <w:tcPr>
            <w:tcW w:w="0" w:type="dxa"/>
            <w:vAlign w:val="bottom"/>
          </w:tcPr>
          <w:p w:rsidR="00AC12B4" w:rsidRPr="00C27636" w:rsidRDefault="00AC12B4">
            <w:pPr>
              <w:rPr>
                <w:sz w:val="1"/>
                <w:szCs w:val="1"/>
                <w:lang w:val="fr-BE"/>
              </w:rPr>
            </w:pPr>
          </w:p>
        </w:tc>
      </w:tr>
      <w:tr w:rsidR="00AC12B4">
        <w:trPr>
          <w:trHeight w:val="111"/>
        </w:trPr>
        <w:tc>
          <w:tcPr>
            <w:tcW w:w="1960" w:type="dxa"/>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EAF1DD"/>
              </w:rPr>
              <w:t>Articl</w:t>
            </w:r>
            <w:r>
              <w:rPr>
                <w:rFonts w:ascii="Calibri" w:eastAsia="Calibri" w:hAnsi="Calibri" w:cs="Calibri"/>
                <w:i/>
                <w:iCs/>
                <w:color w:val="FFFFFF"/>
              </w:rPr>
              <w:t>e 9 CIDE</w:t>
            </w:r>
          </w:p>
        </w:tc>
        <w:tc>
          <w:tcPr>
            <w:tcW w:w="180" w:type="dxa"/>
            <w:shd w:val="clear" w:color="auto" w:fill="FEC930"/>
            <w:vAlign w:val="bottom"/>
          </w:tcPr>
          <w:p w:rsidR="00AC12B4" w:rsidRDefault="00AC12B4">
            <w:pPr>
              <w:rPr>
                <w:sz w:val="9"/>
                <w:szCs w:val="9"/>
              </w:rPr>
            </w:pPr>
          </w:p>
        </w:tc>
        <w:tc>
          <w:tcPr>
            <w:tcW w:w="1080" w:type="dxa"/>
            <w:shd w:val="clear" w:color="auto" w:fill="FEC930"/>
            <w:vAlign w:val="bottom"/>
          </w:tcPr>
          <w:p w:rsidR="00AC12B4" w:rsidRDefault="00AC12B4">
            <w:pPr>
              <w:rPr>
                <w:sz w:val="9"/>
                <w:szCs w:val="9"/>
              </w:rPr>
            </w:pPr>
          </w:p>
        </w:tc>
        <w:tc>
          <w:tcPr>
            <w:tcW w:w="200" w:type="dxa"/>
            <w:shd w:val="clear" w:color="auto" w:fill="FEC930"/>
            <w:vAlign w:val="bottom"/>
          </w:tcPr>
          <w:p w:rsidR="00AC12B4" w:rsidRDefault="00AC12B4">
            <w:pPr>
              <w:rPr>
                <w:sz w:val="9"/>
                <w:szCs w:val="9"/>
              </w:rPr>
            </w:pPr>
          </w:p>
        </w:tc>
        <w:tc>
          <w:tcPr>
            <w:tcW w:w="100" w:type="dxa"/>
            <w:shd w:val="clear" w:color="auto" w:fill="FEC930"/>
            <w:vAlign w:val="bottom"/>
          </w:tcPr>
          <w:p w:rsidR="00AC12B4" w:rsidRDefault="00AC12B4">
            <w:pPr>
              <w:rPr>
                <w:sz w:val="9"/>
                <w:szCs w:val="9"/>
              </w:rPr>
            </w:pPr>
          </w:p>
        </w:tc>
        <w:tc>
          <w:tcPr>
            <w:tcW w:w="380" w:type="dxa"/>
            <w:shd w:val="clear" w:color="auto" w:fill="FEC930"/>
            <w:vAlign w:val="bottom"/>
          </w:tcPr>
          <w:p w:rsidR="00AC12B4" w:rsidRDefault="00AC12B4">
            <w:pPr>
              <w:rPr>
                <w:sz w:val="9"/>
                <w:szCs w:val="9"/>
              </w:rPr>
            </w:pPr>
          </w:p>
        </w:tc>
        <w:tc>
          <w:tcPr>
            <w:tcW w:w="420" w:type="dxa"/>
            <w:shd w:val="clear" w:color="auto" w:fill="FEC930"/>
            <w:vAlign w:val="bottom"/>
          </w:tcPr>
          <w:p w:rsidR="00AC12B4" w:rsidRDefault="00AC12B4">
            <w:pPr>
              <w:rPr>
                <w:sz w:val="9"/>
                <w:szCs w:val="9"/>
              </w:rPr>
            </w:pPr>
          </w:p>
        </w:tc>
        <w:tc>
          <w:tcPr>
            <w:tcW w:w="240" w:type="dxa"/>
            <w:shd w:val="clear" w:color="auto" w:fill="FEC930"/>
            <w:vAlign w:val="bottom"/>
          </w:tcPr>
          <w:p w:rsidR="00AC12B4" w:rsidRDefault="00AC12B4">
            <w:pPr>
              <w:rPr>
                <w:sz w:val="9"/>
                <w:szCs w:val="9"/>
              </w:rPr>
            </w:pPr>
          </w:p>
        </w:tc>
        <w:tc>
          <w:tcPr>
            <w:tcW w:w="240" w:type="dxa"/>
            <w:shd w:val="clear" w:color="auto" w:fill="FEC930"/>
            <w:vAlign w:val="bottom"/>
          </w:tcPr>
          <w:p w:rsidR="00AC12B4" w:rsidRDefault="00AC12B4">
            <w:pPr>
              <w:rPr>
                <w:sz w:val="9"/>
                <w:szCs w:val="9"/>
              </w:rPr>
            </w:pPr>
          </w:p>
        </w:tc>
        <w:tc>
          <w:tcPr>
            <w:tcW w:w="1220" w:type="dxa"/>
            <w:shd w:val="clear" w:color="auto" w:fill="FEC930"/>
            <w:vAlign w:val="bottom"/>
          </w:tcPr>
          <w:p w:rsidR="00AC12B4" w:rsidRDefault="00AC12B4">
            <w:pPr>
              <w:rPr>
                <w:sz w:val="9"/>
                <w:szCs w:val="9"/>
              </w:rPr>
            </w:pPr>
          </w:p>
        </w:tc>
        <w:tc>
          <w:tcPr>
            <w:tcW w:w="140" w:type="dxa"/>
            <w:tcBorders>
              <w:right w:val="single" w:sz="8" w:space="0" w:color="CF9901"/>
            </w:tcBorders>
            <w:shd w:val="clear" w:color="auto" w:fill="FEC930"/>
            <w:vAlign w:val="bottom"/>
          </w:tcPr>
          <w:p w:rsidR="00AC12B4" w:rsidRDefault="00AC12B4">
            <w:pPr>
              <w:rPr>
                <w:sz w:val="9"/>
                <w:szCs w:val="9"/>
              </w:rPr>
            </w:pPr>
          </w:p>
        </w:tc>
        <w:tc>
          <w:tcPr>
            <w:tcW w:w="4500" w:type="dxa"/>
            <w:gridSpan w:val="15"/>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69"/>
        </w:trPr>
        <w:tc>
          <w:tcPr>
            <w:tcW w:w="1960" w:type="dxa"/>
            <w:vMerge/>
            <w:tcBorders>
              <w:left w:val="single" w:sz="8" w:space="0" w:color="CF9901"/>
            </w:tcBorders>
            <w:shd w:val="clear" w:color="auto" w:fill="FEC930"/>
            <w:vAlign w:val="bottom"/>
          </w:tcPr>
          <w:p w:rsidR="00AC12B4" w:rsidRDefault="00AC12B4">
            <w:pPr>
              <w:rPr>
                <w:sz w:val="23"/>
                <w:szCs w:val="23"/>
              </w:rPr>
            </w:pPr>
          </w:p>
        </w:tc>
        <w:tc>
          <w:tcPr>
            <w:tcW w:w="180" w:type="dxa"/>
            <w:shd w:val="clear" w:color="auto" w:fill="FEC930"/>
            <w:vAlign w:val="bottom"/>
          </w:tcPr>
          <w:p w:rsidR="00AC12B4" w:rsidRDefault="00AC12B4">
            <w:pPr>
              <w:rPr>
                <w:sz w:val="23"/>
                <w:szCs w:val="23"/>
              </w:rPr>
            </w:pPr>
          </w:p>
        </w:tc>
        <w:tc>
          <w:tcPr>
            <w:tcW w:w="1080" w:type="dxa"/>
            <w:shd w:val="clear" w:color="auto" w:fill="FEC930"/>
            <w:vAlign w:val="bottom"/>
          </w:tcPr>
          <w:p w:rsidR="00AC12B4" w:rsidRDefault="00AC12B4">
            <w:pPr>
              <w:rPr>
                <w:sz w:val="23"/>
                <w:szCs w:val="23"/>
              </w:rPr>
            </w:pPr>
          </w:p>
        </w:tc>
        <w:tc>
          <w:tcPr>
            <w:tcW w:w="200" w:type="dxa"/>
            <w:shd w:val="clear" w:color="auto" w:fill="FEC930"/>
            <w:vAlign w:val="bottom"/>
          </w:tcPr>
          <w:p w:rsidR="00AC12B4" w:rsidRDefault="00AC12B4">
            <w:pPr>
              <w:rPr>
                <w:sz w:val="23"/>
                <w:szCs w:val="23"/>
              </w:rPr>
            </w:pPr>
          </w:p>
        </w:tc>
        <w:tc>
          <w:tcPr>
            <w:tcW w:w="100" w:type="dxa"/>
            <w:shd w:val="clear" w:color="auto" w:fill="FEC930"/>
            <w:vAlign w:val="bottom"/>
          </w:tcPr>
          <w:p w:rsidR="00AC12B4" w:rsidRDefault="00AC12B4">
            <w:pPr>
              <w:rPr>
                <w:sz w:val="23"/>
                <w:szCs w:val="23"/>
              </w:rPr>
            </w:pPr>
          </w:p>
        </w:tc>
        <w:tc>
          <w:tcPr>
            <w:tcW w:w="380" w:type="dxa"/>
            <w:shd w:val="clear" w:color="auto" w:fill="FEC930"/>
            <w:vAlign w:val="bottom"/>
          </w:tcPr>
          <w:p w:rsidR="00AC12B4" w:rsidRDefault="00AC12B4">
            <w:pPr>
              <w:rPr>
                <w:sz w:val="23"/>
                <w:szCs w:val="23"/>
              </w:rPr>
            </w:pPr>
          </w:p>
        </w:tc>
        <w:tc>
          <w:tcPr>
            <w:tcW w:w="420" w:type="dxa"/>
            <w:shd w:val="clear" w:color="auto" w:fill="FEC930"/>
            <w:vAlign w:val="bottom"/>
          </w:tcPr>
          <w:p w:rsidR="00AC12B4" w:rsidRDefault="00AC12B4">
            <w:pPr>
              <w:rPr>
                <w:sz w:val="23"/>
                <w:szCs w:val="23"/>
              </w:rPr>
            </w:pPr>
          </w:p>
        </w:tc>
        <w:tc>
          <w:tcPr>
            <w:tcW w:w="240" w:type="dxa"/>
            <w:shd w:val="clear" w:color="auto" w:fill="FEC930"/>
            <w:vAlign w:val="bottom"/>
          </w:tcPr>
          <w:p w:rsidR="00AC12B4" w:rsidRDefault="00AC12B4">
            <w:pPr>
              <w:rPr>
                <w:sz w:val="23"/>
                <w:szCs w:val="23"/>
              </w:rPr>
            </w:pPr>
          </w:p>
        </w:tc>
        <w:tc>
          <w:tcPr>
            <w:tcW w:w="240" w:type="dxa"/>
            <w:shd w:val="clear" w:color="auto" w:fill="FEC930"/>
            <w:vAlign w:val="bottom"/>
          </w:tcPr>
          <w:p w:rsidR="00AC12B4" w:rsidRDefault="00AC12B4">
            <w:pPr>
              <w:rPr>
                <w:sz w:val="23"/>
                <w:szCs w:val="23"/>
              </w:rPr>
            </w:pPr>
          </w:p>
        </w:tc>
        <w:tc>
          <w:tcPr>
            <w:tcW w:w="1220" w:type="dxa"/>
            <w:shd w:val="clear" w:color="auto" w:fill="FEC930"/>
            <w:vAlign w:val="bottom"/>
          </w:tcPr>
          <w:p w:rsidR="00AC12B4" w:rsidRDefault="00AC12B4">
            <w:pPr>
              <w:rPr>
                <w:sz w:val="23"/>
                <w:szCs w:val="23"/>
              </w:rPr>
            </w:pPr>
          </w:p>
        </w:tc>
        <w:tc>
          <w:tcPr>
            <w:tcW w:w="140" w:type="dxa"/>
            <w:tcBorders>
              <w:right w:val="single" w:sz="8" w:space="0" w:color="CF9901"/>
            </w:tcBorders>
            <w:shd w:val="clear" w:color="auto" w:fill="FEC930"/>
            <w:vAlign w:val="bottom"/>
          </w:tcPr>
          <w:p w:rsidR="00AC12B4" w:rsidRDefault="00AC12B4">
            <w:pPr>
              <w:rPr>
                <w:sz w:val="23"/>
                <w:szCs w:val="23"/>
              </w:rPr>
            </w:pPr>
          </w:p>
        </w:tc>
        <w:tc>
          <w:tcPr>
            <w:tcW w:w="2280" w:type="dxa"/>
            <w:gridSpan w:val="9"/>
            <w:vAlign w:val="bottom"/>
          </w:tcPr>
          <w:p w:rsidR="00AC12B4" w:rsidRDefault="00C27636">
            <w:pPr>
              <w:ind w:left="200"/>
              <w:rPr>
                <w:sz w:val="20"/>
                <w:szCs w:val="20"/>
              </w:rPr>
            </w:pPr>
            <w:r>
              <w:rPr>
                <w:rFonts w:ascii="Calibri" w:eastAsia="Calibri" w:hAnsi="Calibri" w:cs="Calibri"/>
              </w:rPr>
              <w:t>considération (art. 3).</w:t>
            </w:r>
          </w:p>
        </w:tc>
        <w:tc>
          <w:tcPr>
            <w:tcW w:w="1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8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341"/>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 xml:space="preserve">1. Les Etats parties veillent à ce que l’enfant ne soit </w:t>
            </w:r>
            <w:r w:rsidRPr="00C27636">
              <w:rPr>
                <w:rFonts w:ascii="Calibri" w:eastAsia="Calibri" w:hAnsi="Calibri" w:cs="Calibri"/>
                <w:i/>
                <w:iCs/>
                <w:color w:val="FFFFFF"/>
                <w:lang w:val="fr-BE"/>
              </w:rPr>
              <w:t>pas</w:t>
            </w:r>
          </w:p>
        </w:tc>
        <w:tc>
          <w:tcPr>
            <w:tcW w:w="140" w:type="dxa"/>
            <w:tcBorders>
              <w:right w:val="single" w:sz="8" w:space="0" w:color="CF9901"/>
            </w:tcBorders>
            <w:shd w:val="clear" w:color="auto" w:fill="FEC930"/>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14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42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220" w:type="dxa"/>
            <w:vAlign w:val="bottom"/>
          </w:tcPr>
          <w:p w:rsidR="00AC12B4" w:rsidRPr="00C27636" w:rsidRDefault="00AC12B4">
            <w:pPr>
              <w:rPr>
                <w:sz w:val="24"/>
                <w:szCs w:val="24"/>
                <w:lang w:val="fr-BE"/>
              </w:rPr>
            </w:pPr>
          </w:p>
        </w:tc>
        <w:tc>
          <w:tcPr>
            <w:tcW w:w="320" w:type="dxa"/>
            <w:vAlign w:val="bottom"/>
          </w:tcPr>
          <w:p w:rsidR="00AC12B4" w:rsidRPr="00C27636" w:rsidRDefault="00AC12B4">
            <w:pPr>
              <w:rPr>
                <w:sz w:val="24"/>
                <w:szCs w:val="24"/>
                <w:lang w:val="fr-BE"/>
              </w:rPr>
            </w:pPr>
          </w:p>
        </w:tc>
        <w:tc>
          <w:tcPr>
            <w:tcW w:w="84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269"/>
        </w:trPr>
        <w:tc>
          <w:tcPr>
            <w:tcW w:w="1960" w:type="dxa"/>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séparé de ses</w:t>
            </w:r>
          </w:p>
        </w:tc>
        <w:tc>
          <w:tcPr>
            <w:tcW w:w="1460" w:type="dxa"/>
            <w:gridSpan w:val="3"/>
            <w:shd w:val="clear" w:color="auto" w:fill="FEC930"/>
            <w:vAlign w:val="bottom"/>
          </w:tcPr>
          <w:p w:rsidR="00AC12B4" w:rsidRDefault="00C27636">
            <w:pPr>
              <w:ind w:left="60"/>
              <w:rPr>
                <w:sz w:val="20"/>
                <w:szCs w:val="20"/>
              </w:rPr>
            </w:pPr>
            <w:r>
              <w:rPr>
                <w:rFonts w:ascii="Calibri" w:eastAsia="Calibri" w:hAnsi="Calibri" w:cs="Calibri"/>
                <w:i/>
                <w:iCs/>
                <w:color w:val="FFFFFF"/>
              </w:rPr>
              <w:t>parents contre</w:t>
            </w:r>
          </w:p>
        </w:tc>
        <w:tc>
          <w:tcPr>
            <w:tcW w:w="480" w:type="dxa"/>
            <w:gridSpan w:val="2"/>
            <w:shd w:val="clear" w:color="auto" w:fill="FEC930"/>
            <w:vAlign w:val="bottom"/>
          </w:tcPr>
          <w:p w:rsidR="00AC12B4" w:rsidRDefault="00C27636">
            <w:pPr>
              <w:jc w:val="right"/>
              <w:rPr>
                <w:sz w:val="20"/>
                <w:szCs w:val="20"/>
              </w:rPr>
            </w:pPr>
            <w:r>
              <w:rPr>
                <w:rFonts w:ascii="Calibri" w:eastAsia="Calibri" w:hAnsi="Calibri" w:cs="Calibri"/>
                <w:i/>
                <w:iCs/>
                <w:color w:val="FFFFFF"/>
              </w:rPr>
              <w:t>leur</w:t>
            </w:r>
          </w:p>
        </w:tc>
        <w:tc>
          <w:tcPr>
            <w:tcW w:w="420" w:type="dxa"/>
            <w:shd w:val="clear" w:color="auto" w:fill="FEC930"/>
            <w:vAlign w:val="bottom"/>
          </w:tcPr>
          <w:p w:rsidR="00AC12B4" w:rsidRDefault="00C27636">
            <w:pPr>
              <w:jc w:val="right"/>
              <w:rPr>
                <w:sz w:val="20"/>
                <w:szCs w:val="20"/>
              </w:rPr>
            </w:pPr>
            <w:r>
              <w:rPr>
                <w:rFonts w:ascii="Calibri" w:eastAsia="Calibri" w:hAnsi="Calibri" w:cs="Calibri"/>
                <w:i/>
                <w:iCs/>
                <w:color w:val="FFFFFF"/>
              </w:rPr>
              <w:t>gré,</w:t>
            </w:r>
          </w:p>
        </w:tc>
        <w:tc>
          <w:tcPr>
            <w:tcW w:w="240" w:type="dxa"/>
            <w:shd w:val="clear" w:color="auto" w:fill="FEC930"/>
            <w:vAlign w:val="bottom"/>
          </w:tcPr>
          <w:p w:rsidR="00AC12B4" w:rsidRDefault="00C27636">
            <w:pPr>
              <w:ind w:left="100"/>
              <w:rPr>
                <w:sz w:val="20"/>
                <w:szCs w:val="20"/>
              </w:rPr>
            </w:pPr>
            <w:r>
              <w:rPr>
                <w:rFonts w:ascii="Calibri" w:eastAsia="Calibri" w:hAnsi="Calibri" w:cs="Calibri"/>
                <w:i/>
                <w:iCs/>
                <w:color w:val="FFFFFF"/>
              </w:rPr>
              <w:t>à</w:t>
            </w:r>
          </w:p>
        </w:tc>
        <w:tc>
          <w:tcPr>
            <w:tcW w:w="1460" w:type="dxa"/>
            <w:gridSpan w:val="2"/>
            <w:shd w:val="clear" w:color="auto" w:fill="FEC930"/>
            <w:vAlign w:val="bottom"/>
          </w:tcPr>
          <w:p w:rsidR="00AC12B4" w:rsidRDefault="00C27636">
            <w:pPr>
              <w:jc w:val="right"/>
              <w:rPr>
                <w:sz w:val="20"/>
                <w:szCs w:val="20"/>
              </w:rPr>
            </w:pPr>
            <w:r>
              <w:rPr>
                <w:rFonts w:ascii="Calibri" w:eastAsia="Calibri" w:hAnsi="Calibri" w:cs="Calibri"/>
                <w:i/>
                <w:iCs/>
                <w:color w:val="FFFFFF"/>
              </w:rPr>
              <w:t>moins que les</w:t>
            </w:r>
          </w:p>
        </w:tc>
        <w:tc>
          <w:tcPr>
            <w:tcW w:w="140" w:type="dxa"/>
            <w:tcBorders>
              <w:right w:val="single" w:sz="8" w:space="0" w:color="CF9901"/>
            </w:tcBorders>
            <w:shd w:val="clear" w:color="auto" w:fill="FEC930"/>
            <w:vAlign w:val="bottom"/>
          </w:tcPr>
          <w:p w:rsidR="00AC12B4" w:rsidRDefault="00AC12B4">
            <w:pPr>
              <w:rPr>
                <w:sz w:val="23"/>
                <w:szCs w:val="23"/>
              </w:rPr>
            </w:pPr>
          </w:p>
        </w:tc>
        <w:tc>
          <w:tcPr>
            <w:tcW w:w="520" w:type="dxa"/>
            <w:vMerge w:val="restart"/>
            <w:vAlign w:val="bottom"/>
          </w:tcPr>
          <w:p w:rsidR="00AC12B4" w:rsidRDefault="00C27636">
            <w:pPr>
              <w:ind w:left="200"/>
              <w:rPr>
                <w:sz w:val="20"/>
                <w:szCs w:val="20"/>
              </w:rPr>
            </w:pPr>
            <w:r>
              <w:rPr>
                <w:rFonts w:ascii="Calibri" w:eastAsia="Calibri" w:hAnsi="Calibri" w:cs="Calibri"/>
              </w:rPr>
              <w:t>Le</w:t>
            </w:r>
          </w:p>
        </w:tc>
        <w:tc>
          <w:tcPr>
            <w:tcW w:w="820" w:type="dxa"/>
            <w:gridSpan w:val="3"/>
            <w:vMerge w:val="restart"/>
            <w:vAlign w:val="bottom"/>
          </w:tcPr>
          <w:p w:rsidR="00AC12B4" w:rsidRDefault="00C27636">
            <w:pPr>
              <w:ind w:left="100"/>
              <w:rPr>
                <w:sz w:val="20"/>
                <w:szCs w:val="20"/>
              </w:rPr>
            </w:pPr>
            <w:r>
              <w:rPr>
                <w:rFonts w:ascii="Calibri" w:eastAsia="Calibri" w:hAnsi="Calibri" w:cs="Calibri"/>
                <w:w w:val="96"/>
              </w:rPr>
              <w:t>principe</w:t>
            </w:r>
          </w:p>
        </w:tc>
        <w:tc>
          <w:tcPr>
            <w:tcW w:w="140" w:type="dxa"/>
            <w:vAlign w:val="bottom"/>
          </w:tcPr>
          <w:p w:rsidR="00AC12B4" w:rsidRDefault="00AC12B4">
            <w:pPr>
              <w:rPr>
                <w:sz w:val="23"/>
                <w:szCs w:val="23"/>
              </w:rPr>
            </w:pPr>
          </w:p>
        </w:tc>
        <w:tc>
          <w:tcPr>
            <w:tcW w:w="480" w:type="dxa"/>
            <w:gridSpan w:val="2"/>
            <w:vMerge w:val="restart"/>
            <w:vAlign w:val="bottom"/>
          </w:tcPr>
          <w:p w:rsidR="00AC12B4" w:rsidRDefault="00C27636">
            <w:pPr>
              <w:ind w:right="70"/>
              <w:jc w:val="right"/>
              <w:rPr>
                <w:sz w:val="20"/>
                <w:szCs w:val="20"/>
              </w:rPr>
            </w:pPr>
            <w:r>
              <w:rPr>
                <w:rFonts w:ascii="Calibri" w:eastAsia="Calibri" w:hAnsi="Calibri" w:cs="Calibri"/>
              </w:rPr>
              <w:t>de</w:t>
            </w:r>
          </w:p>
        </w:tc>
        <w:tc>
          <w:tcPr>
            <w:tcW w:w="320" w:type="dxa"/>
            <w:gridSpan w:val="2"/>
            <w:vMerge w:val="restart"/>
            <w:vAlign w:val="bottom"/>
          </w:tcPr>
          <w:p w:rsidR="00AC12B4" w:rsidRDefault="00C27636">
            <w:pPr>
              <w:ind w:right="30"/>
              <w:jc w:val="right"/>
              <w:rPr>
                <w:sz w:val="20"/>
                <w:szCs w:val="20"/>
              </w:rPr>
            </w:pPr>
            <w:r>
              <w:rPr>
                <w:rFonts w:ascii="Calibri" w:eastAsia="Calibri" w:hAnsi="Calibri" w:cs="Calibri"/>
              </w:rPr>
              <w:t>la</w:t>
            </w:r>
          </w:p>
        </w:tc>
        <w:tc>
          <w:tcPr>
            <w:tcW w:w="1060" w:type="dxa"/>
            <w:gridSpan w:val="4"/>
            <w:vMerge w:val="restart"/>
            <w:vAlign w:val="bottom"/>
          </w:tcPr>
          <w:p w:rsidR="00AC12B4" w:rsidRDefault="00C27636">
            <w:pPr>
              <w:jc w:val="center"/>
              <w:rPr>
                <w:sz w:val="20"/>
                <w:szCs w:val="20"/>
              </w:rPr>
            </w:pPr>
            <w:r>
              <w:rPr>
                <w:rFonts w:ascii="Calibri" w:eastAsia="Calibri" w:hAnsi="Calibri" w:cs="Calibri"/>
                <w:w w:val="99"/>
              </w:rPr>
              <w:t>hiérarchie</w:t>
            </w:r>
          </w:p>
        </w:tc>
        <w:tc>
          <w:tcPr>
            <w:tcW w:w="1160" w:type="dxa"/>
            <w:gridSpan w:val="2"/>
            <w:vMerge w:val="restart"/>
            <w:vAlign w:val="bottom"/>
          </w:tcPr>
          <w:p w:rsidR="00AC12B4" w:rsidRDefault="00C27636">
            <w:pPr>
              <w:ind w:right="637"/>
              <w:jc w:val="right"/>
              <w:rPr>
                <w:sz w:val="20"/>
                <w:szCs w:val="20"/>
              </w:rPr>
            </w:pPr>
            <w:r>
              <w:rPr>
                <w:rFonts w:ascii="Calibri" w:eastAsia="Calibri" w:hAnsi="Calibri" w:cs="Calibri"/>
              </w:rPr>
              <w:t>des</w:t>
            </w:r>
          </w:p>
        </w:tc>
        <w:tc>
          <w:tcPr>
            <w:tcW w:w="0" w:type="dxa"/>
            <w:vAlign w:val="bottom"/>
          </w:tcPr>
          <w:p w:rsidR="00AC12B4" w:rsidRDefault="00AC12B4">
            <w:pPr>
              <w:rPr>
                <w:sz w:val="1"/>
                <w:szCs w:val="1"/>
              </w:rPr>
            </w:pPr>
          </w:p>
        </w:tc>
      </w:tr>
      <w:tr w:rsidR="00AC12B4" w:rsidRPr="00C27636">
        <w:trPr>
          <w:trHeight w:val="168"/>
        </w:trPr>
        <w:tc>
          <w:tcPr>
            <w:tcW w:w="602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autorités compétentes ne décident, sous réserve de révision</w:t>
            </w:r>
          </w:p>
        </w:tc>
        <w:tc>
          <w:tcPr>
            <w:tcW w:w="14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520" w:type="dxa"/>
            <w:vMerge/>
            <w:vAlign w:val="bottom"/>
          </w:tcPr>
          <w:p w:rsidR="00AC12B4" w:rsidRPr="00C27636" w:rsidRDefault="00AC12B4">
            <w:pPr>
              <w:rPr>
                <w:sz w:val="14"/>
                <w:szCs w:val="14"/>
                <w:lang w:val="fr-BE"/>
              </w:rPr>
            </w:pPr>
          </w:p>
        </w:tc>
        <w:tc>
          <w:tcPr>
            <w:tcW w:w="820" w:type="dxa"/>
            <w:gridSpan w:val="3"/>
            <w:vMerge/>
            <w:vAlign w:val="bottom"/>
          </w:tcPr>
          <w:p w:rsidR="00AC12B4" w:rsidRPr="00C27636" w:rsidRDefault="00AC12B4">
            <w:pPr>
              <w:rPr>
                <w:sz w:val="14"/>
                <w:szCs w:val="14"/>
                <w:lang w:val="fr-BE"/>
              </w:rPr>
            </w:pPr>
          </w:p>
        </w:tc>
        <w:tc>
          <w:tcPr>
            <w:tcW w:w="140" w:type="dxa"/>
            <w:vAlign w:val="bottom"/>
          </w:tcPr>
          <w:p w:rsidR="00AC12B4" w:rsidRPr="00C27636" w:rsidRDefault="00AC12B4">
            <w:pPr>
              <w:rPr>
                <w:sz w:val="14"/>
                <w:szCs w:val="14"/>
                <w:lang w:val="fr-BE"/>
              </w:rPr>
            </w:pPr>
          </w:p>
        </w:tc>
        <w:tc>
          <w:tcPr>
            <w:tcW w:w="480" w:type="dxa"/>
            <w:gridSpan w:val="2"/>
            <w:vMerge/>
            <w:vAlign w:val="bottom"/>
          </w:tcPr>
          <w:p w:rsidR="00AC12B4" w:rsidRPr="00C27636" w:rsidRDefault="00AC12B4">
            <w:pPr>
              <w:rPr>
                <w:sz w:val="14"/>
                <w:szCs w:val="14"/>
                <w:lang w:val="fr-BE"/>
              </w:rPr>
            </w:pPr>
          </w:p>
        </w:tc>
        <w:tc>
          <w:tcPr>
            <w:tcW w:w="320" w:type="dxa"/>
            <w:gridSpan w:val="2"/>
            <w:vMerge/>
            <w:vAlign w:val="bottom"/>
          </w:tcPr>
          <w:p w:rsidR="00AC12B4" w:rsidRPr="00C27636" w:rsidRDefault="00AC12B4">
            <w:pPr>
              <w:rPr>
                <w:sz w:val="14"/>
                <w:szCs w:val="14"/>
                <w:lang w:val="fr-BE"/>
              </w:rPr>
            </w:pPr>
          </w:p>
        </w:tc>
        <w:tc>
          <w:tcPr>
            <w:tcW w:w="1060" w:type="dxa"/>
            <w:gridSpan w:val="4"/>
            <w:vMerge/>
            <w:vAlign w:val="bottom"/>
          </w:tcPr>
          <w:p w:rsidR="00AC12B4" w:rsidRPr="00C27636" w:rsidRDefault="00AC12B4">
            <w:pPr>
              <w:rPr>
                <w:sz w:val="14"/>
                <w:szCs w:val="14"/>
                <w:lang w:val="fr-BE"/>
              </w:rPr>
            </w:pPr>
          </w:p>
        </w:tc>
        <w:tc>
          <w:tcPr>
            <w:tcW w:w="1160" w:type="dxa"/>
            <w:gridSpan w:val="2"/>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1"/>
        </w:trPr>
        <w:tc>
          <w:tcPr>
            <w:tcW w:w="6020" w:type="dxa"/>
            <w:gridSpan w:val="10"/>
            <w:vMerge/>
            <w:tcBorders>
              <w:left w:val="single" w:sz="8" w:space="0" w:color="CF9901"/>
            </w:tcBorders>
            <w:shd w:val="clear" w:color="auto" w:fill="FEC930"/>
            <w:vAlign w:val="bottom"/>
          </w:tcPr>
          <w:p w:rsidR="00AC12B4" w:rsidRPr="00C27636" w:rsidRDefault="00AC12B4">
            <w:pPr>
              <w:rPr>
                <w:sz w:val="8"/>
                <w:szCs w:val="8"/>
                <w:lang w:val="fr-BE"/>
              </w:rPr>
            </w:pPr>
          </w:p>
        </w:tc>
        <w:tc>
          <w:tcPr>
            <w:tcW w:w="140" w:type="dxa"/>
            <w:tcBorders>
              <w:right w:val="single" w:sz="8" w:space="0" w:color="CF9901"/>
            </w:tcBorders>
            <w:shd w:val="clear" w:color="auto" w:fill="FEC930"/>
            <w:vAlign w:val="bottom"/>
          </w:tcPr>
          <w:p w:rsidR="00AC12B4" w:rsidRPr="00C27636" w:rsidRDefault="00AC12B4">
            <w:pPr>
              <w:rPr>
                <w:sz w:val="8"/>
                <w:szCs w:val="8"/>
                <w:lang w:val="fr-BE"/>
              </w:rPr>
            </w:pPr>
          </w:p>
        </w:tc>
        <w:tc>
          <w:tcPr>
            <w:tcW w:w="1480" w:type="dxa"/>
            <w:gridSpan w:val="5"/>
            <w:vMerge w:val="restart"/>
            <w:vAlign w:val="bottom"/>
          </w:tcPr>
          <w:p w:rsidR="00AC12B4" w:rsidRDefault="00C27636">
            <w:pPr>
              <w:ind w:left="200"/>
              <w:rPr>
                <w:sz w:val="20"/>
                <w:szCs w:val="20"/>
              </w:rPr>
            </w:pPr>
            <w:r>
              <w:rPr>
                <w:rFonts w:ascii="Calibri" w:eastAsia="Calibri" w:hAnsi="Calibri" w:cs="Calibri"/>
              </w:rPr>
              <w:t>mesures veut</w:t>
            </w:r>
          </w:p>
        </w:tc>
        <w:tc>
          <w:tcPr>
            <w:tcW w:w="480" w:type="dxa"/>
            <w:gridSpan w:val="2"/>
            <w:vMerge w:val="restart"/>
            <w:vAlign w:val="bottom"/>
          </w:tcPr>
          <w:p w:rsidR="00AC12B4" w:rsidRDefault="00C27636">
            <w:pPr>
              <w:ind w:left="120"/>
              <w:rPr>
                <w:sz w:val="20"/>
                <w:szCs w:val="20"/>
              </w:rPr>
            </w:pPr>
            <w:r>
              <w:rPr>
                <w:rFonts w:ascii="Calibri" w:eastAsia="Calibri" w:hAnsi="Calibri" w:cs="Calibri"/>
                <w:w w:val="99"/>
              </w:rPr>
              <w:t>que</w:t>
            </w:r>
          </w:p>
        </w:tc>
        <w:tc>
          <w:tcPr>
            <w:tcW w:w="920" w:type="dxa"/>
            <w:gridSpan w:val="4"/>
            <w:vMerge w:val="restart"/>
            <w:vAlign w:val="bottom"/>
          </w:tcPr>
          <w:p w:rsidR="00AC12B4" w:rsidRDefault="00C27636">
            <w:pPr>
              <w:ind w:left="100"/>
              <w:rPr>
                <w:sz w:val="20"/>
                <w:szCs w:val="20"/>
              </w:rPr>
            </w:pPr>
            <w:r>
              <w:rPr>
                <w:rFonts w:ascii="Calibri" w:eastAsia="Calibri" w:hAnsi="Calibri" w:cs="Calibri"/>
                <w:w w:val="97"/>
              </w:rPr>
              <w:t>certaines</w:t>
            </w:r>
          </w:p>
        </w:tc>
        <w:tc>
          <w:tcPr>
            <w:tcW w:w="1620" w:type="dxa"/>
            <w:gridSpan w:val="4"/>
            <w:vMerge w:val="restart"/>
            <w:vAlign w:val="bottom"/>
          </w:tcPr>
          <w:p w:rsidR="00AC12B4" w:rsidRDefault="00C27636">
            <w:pPr>
              <w:ind w:right="637"/>
              <w:jc w:val="right"/>
              <w:rPr>
                <w:sz w:val="20"/>
                <w:szCs w:val="20"/>
              </w:rPr>
            </w:pPr>
            <w:r>
              <w:rPr>
                <w:rFonts w:ascii="Calibri" w:eastAsia="Calibri" w:hAnsi="Calibri" w:cs="Calibri"/>
              </w:rPr>
              <w:t>mesures</w:t>
            </w:r>
          </w:p>
        </w:tc>
        <w:tc>
          <w:tcPr>
            <w:tcW w:w="0" w:type="dxa"/>
            <w:vAlign w:val="bottom"/>
          </w:tcPr>
          <w:p w:rsidR="00AC12B4" w:rsidRDefault="00AC12B4">
            <w:pPr>
              <w:rPr>
                <w:sz w:val="1"/>
                <w:szCs w:val="1"/>
              </w:rPr>
            </w:pPr>
          </w:p>
        </w:tc>
      </w:tr>
      <w:tr w:rsidR="00AC12B4">
        <w:trPr>
          <w:trHeight w:val="168"/>
        </w:trPr>
        <w:tc>
          <w:tcPr>
            <w:tcW w:w="1960" w:type="dxa"/>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judiciaire  et</w:t>
            </w:r>
          </w:p>
        </w:tc>
        <w:tc>
          <w:tcPr>
            <w:tcW w:w="1460" w:type="dxa"/>
            <w:gridSpan w:val="3"/>
            <w:vMerge w:val="restart"/>
            <w:shd w:val="clear" w:color="auto" w:fill="FEC930"/>
            <w:vAlign w:val="bottom"/>
          </w:tcPr>
          <w:p w:rsidR="00AC12B4" w:rsidRDefault="00C27636">
            <w:pPr>
              <w:ind w:left="60"/>
              <w:rPr>
                <w:sz w:val="20"/>
                <w:szCs w:val="20"/>
              </w:rPr>
            </w:pPr>
            <w:r>
              <w:rPr>
                <w:rFonts w:ascii="Calibri" w:eastAsia="Calibri" w:hAnsi="Calibri" w:cs="Calibri"/>
                <w:i/>
                <w:iCs/>
                <w:color w:val="FFFFFF"/>
              </w:rPr>
              <w:t>conformément</w:t>
            </w:r>
          </w:p>
        </w:tc>
        <w:tc>
          <w:tcPr>
            <w:tcW w:w="100" w:type="dxa"/>
            <w:shd w:val="clear" w:color="auto" w:fill="FEC930"/>
            <w:vAlign w:val="bottom"/>
          </w:tcPr>
          <w:p w:rsidR="00AC12B4" w:rsidRDefault="00AC12B4">
            <w:pPr>
              <w:rPr>
                <w:sz w:val="14"/>
                <w:szCs w:val="14"/>
              </w:rPr>
            </w:pPr>
          </w:p>
        </w:tc>
        <w:tc>
          <w:tcPr>
            <w:tcW w:w="380" w:type="dxa"/>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w w:val="99"/>
              </w:rPr>
              <w:t>aux</w:t>
            </w:r>
          </w:p>
        </w:tc>
        <w:tc>
          <w:tcPr>
            <w:tcW w:w="660" w:type="dxa"/>
            <w:gridSpan w:val="2"/>
            <w:vMerge w:val="restart"/>
            <w:shd w:val="clear" w:color="auto" w:fill="FEC930"/>
            <w:vAlign w:val="bottom"/>
          </w:tcPr>
          <w:p w:rsidR="00AC12B4" w:rsidRDefault="00C27636">
            <w:pPr>
              <w:ind w:left="180"/>
              <w:rPr>
                <w:sz w:val="20"/>
                <w:szCs w:val="20"/>
              </w:rPr>
            </w:pPr>
            <w:r>
              <w:rPr>
                <w:rFonts w:ascii="Calibri" w:eastAsia="Calibri" w:hAnsi="Calibri" w:cs="Calibri"/>
                <w:i/>
                <w:iCs/>
                <w:color w:val="FFFFFF"/>
              </w:rPr>
              <w:t>lois</w:t>
            </w:r>
          </w:p>
        </w:tc>
        <w:tc>
          <w:tcPr>
            <w:tcW w:w="240" w:type="dxa"/>
            <w:vMerge w:val="restart"/>
            <w:shd w:val="clear" w:color="auto" w:fill="FEC930"/>
            <w:vAlign w:val="bottom"/>
          </w:tcPr>
          <w:p w:rsidR="00AC12B4" w:rsidRDefault="00C27636">
            <w:pPr>
              <w:ind w:left="40"/>
              <w:rPr>
                <w:sz w:val="20"/>
                <w:szCs w:val="20"/>
              </w:rPr>
            </w:pPr>
            <w:r>
              <w:rPr>
                <w:rFonts w:ascii="Calibri" w:eastAsia="Calibri" w:hAnsi="Calibri" w:cs="Calibri"/>
                <w:i/>
                <w:iCs/>
                <w:color w:val="FFFFFF"/>
              </w:rPr>
              <w:t>et</w:t>
            </w:r>
          </w:p>
        </w:tc>
        <w:tc>
          <w:tcPr>
            <w:tcW w:w="1220" w:type="dxa"/>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procédures</w:t>
            </w:r>
          </w:p>
        </w:tc>
        <w:tc>
          <w:tcPr>
            <w:tcW w:w="140" w:type="dxa"/>
            <w:tcBorders>
              <w:right w:val="single" w:sz="8" w:space="0" w:color="CF9901"/>
            </w:tcBorders>
            <w:shd w:val="clear" w:color="auto" w:fill="FEC930"/>
            <w:vAlign w:val="bottom"/>
          </w:tcPr>
          <w:p w:rsidR="00AC12B4" w:rsidRDefault="00AC12B4">
            <w:pPr>
              <w:rPr>
                <w:sz w:val="14"/>
                <w:szCs w:val="14"/>
              </w:rPr>
            </w:pPr>
          </w:p>
        </w:tc>
        <w:tc>
          <w:tcPr>
            <w:tcW w:w="1480" w:type="dxa"/>
            <w:gridSpan w:val="5"/>
            <w:vMerge/>
            <w:vAlign w:val="bottom"/>
          </w:tcPr>
          <w:p w:rsidR="00AC12B4" w:rsidRDefault="00AC12B4">
            <w:pPr>
              <w:rPr>
                <w:sz w:val="14"/>
                <w:szCs w:val="14"/>
              </w:rPr>
            </w:pPr>
          </w:p>
        </w:tc>
        <w:tc>
          <w:tcPr>
            <w:tcW w:w="480" w:type="dxa"/>
            <w:gridSpan w:val="2"/>
            <w:vMerge/>
            <w:vAlign w:val="bottom"/>
          </w:tcPr>
          <w:p w:rsidR="00AC12B4" w:rsidRDefault="00AC12B4">
            <w:pPr>
              <w:rPr>
                <w:sz w:val="14"/>
                <w:szCs w:val="14"/>
              </w:rPr>
            </w:pPr>
          </w:p>
        </w:tc>
        <w:tc>
          <w:tcPr>
            <w:tcW w:w="920" w:type="dxa"/>
            <w:gridSpan w:val="4"/>
            <w:vMerge/>
            <w:vAlign w:val="bottom"/>
          </w:tcPr>
          <w:p w:rsidR="00AC12B4" w:rsidRDefault="00AC12B4">
            <w:pPr>
              <w:rPr>
                <w:sz w:val="14"/>
                <w:szCs w:val="14"/>
              </w:rPr>
            </w:pPr>
          </w:p>
        </w:tc>
        <w:tc>
          <w:tcPr>
            <w:tcW w:w="1620" w:type="dxa"/>
            <w:gridSpan w:val="4"/>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1"/>
        </w:trPr>
        <w:tc>
          <w:tcPr>
            <w:tcW w:w="1960" w:type="dxa"/>
            <w:vMerge/>
            <w:tcBorders>
              <w:left w:val="single" w:sz="8" w:space="0" w:color="CF9901"/>
            </w:tcBorders>
            <w:shd w:val="clear" w:color="auto" w:fill="FEC930"/>
            <w:vAlign w:val="bottom"/>
          </w:tcPr>
          <w:p w:rsidR="00AC12B4" w:rsidRDefault="00AC12B4">
            <w:pPr>
              <w:rPr>
                <w:sz w:val="8"/>
                <w:szCs w:val="8"/>
              </w:rPr>
            </w:pPr>
          </w:p>
        </w:tc>
        <w:tc>
          <w:tcPr>
            <w:tcW w:w="1460" w:type="dxa"/>
            <w:gridSpan w:val="3"/>
            <w:vMerge/>
            <w:shd w:val="clear" w:color="auto" w:fill="FEC930"/>
            <w:vAlign w:val="bottom"/>
          </w:tcPr>
          <w:p w:rsidR="00AC12B4" w:rsidRDefault="00AC12B4">
            <w:pPr>
              <w:rPr>
                <w:sz w:val="8"/>
                <w:szCs w:val="8"/>
              </w:rPr>
            </w:pPr>
          </w:p>
        </w:tc>
        <w:tc>
          <w:tcPr>
            <w:tcW w:w="100" w:type="dxa"/>
            <w:shd w:val="clear" w:color="auto" w:fill="FEC930"/>
            <w:vAlign w:val="bottom"/>
          </w:tcPr>
          <w:p w:rsidR="00AC12B4" w:rsidRDefault="00AC12B4">
            <w:pPr>
              <w:rPr>
                <w:sz w:val="8"/>
                <w:szCs w:val="8"/>
              </w:rPr>
            </w:pPr>
          </w:p>
        </w:tc>
        <w:tc>
          <w:tcPr>
            <w:tcW w:w="380" w:type="dxa"/>
            <w:vMerge/>
            <w:shd w:val="clear" w:color="auto" w:fill="FEC930"/>
            <w:vAlign w:val="bottom"/>
          </w:tcPr>
          <w:p w:rsidR="00AC12B4" w:rsidRDefault="00AC12B4">
            <w:pPr>
              <w:rPr>
                <w:sz w:val="8"/>
                <w:szCs w:val="8"/>
              </w:rPr>
            </w:pPr>
          </w:p>
        </w:tc>
        <w:tc>
          <w:tcPr>
            <w:tcW w:w="660" w:type="dxa"/>
            <w:gridSpan w:val="2"/>
            <w:vMerge/>
            <w:shd w:val="clear" w:color="auto" w:fill="FEC930"/>
            <w:vAlign w:val="bottom"/>
          </w:tcPr>
          <w:p w:rsidR="00AC12B4" w:rsidRDefault="00AC12B4">
            <w:pPr>
              <w:rPr>
                <w:sz w:val="8"/>
                <w:szCs w:val="8"/>
              </w:rPr>
            </w:pPr>
          </w:p>
        </w:tc>
        <w:tc>
          <w:tcPr>
            <w:tcW w:w="240" w:type="dxa"/>
            <w:vMerge/>
            <w:shd w:val="clear" w:color="auto" w:fill="FEC930"/>
            <w:vAlign w:val="bottom"/>
          </w:tcPr>
          <w:p w:rsidR="00AC12B4" w:rsidRDefault="00AC12B4">
            <w:pPr>
              <w:rPr>
                <w:sz w:val="8"/>
                <w:szCs w:val="8"/>
              </w:rPr>
            </w:pPr>
          </w:p>
        </w:tc>
        <w:tc>
          <w:tcPr>
            <w:tcW w:w="1220" w:type="dxa"/>
            <w:vMerge/>
            <w:shd w:val="clear" w:color="auto" w:fill="FEC930"/>
            <w:vAlign w:val="bottom"/>
          </w:tcPr>
          <w:p w:rsidR="00AC12B4" w:rsidRDefault="00AC12B4">
            <w:pPr>
              <w:rPr>
                <w:sz w:val="8"/>
                <w:szCs w:val="8"/>
              </w:rPr>
            </w:pPr>
          </w:p>
        </w:tc>
        <w:tc>
          <w:tcPr>
            <w:tcW w:w="140" w:type="dxa"/>
            <w:tcBorders>
              <w:right w:val="single" w:sz="8" w:space="0" w:color="CF9901"/>
            </w:tcBorders>
            <w:shd w:val="clear" w:color="auto" w:fill="FEC930"/>
            <w:vAlign w:val="bottom"/>
          </w:tcPr>
          <w:p w:rsidR="00AC12B4" w:rsidRDefault="00AC12B4">
            <w:pPr>
              <w:rPr>
                <w:sz w:val="8"/>
                <w:szCs w:val="8"/>
              </w:rPr>
            </w:pPr>
          </w:p>
        </w:tc>
        <w:tc>
          <w:tcPr>
            <w:tcW w:w="800" w:type="dxa"/>
            <w:gridSpan w:val="2"/>
            <w:vMerge w:val="restart"/>
            <w:vAlign w:val="bottom"/>
          </w:tcPr>
          <w:p w:rsidR="00AC12B4" w:rsidRDefault="00C27636">
            <w:pPr>
              <w:ind w:left="200"/>
              <w:rPr>
                <w:sz w:val="20"/>
                <w:szCs w:val="20"/>
              </w:rPr>
            </w:pPr>
            <w:r>
              <w:rPr>
                <w:rFonts w:ascii="Calibri" w:eastAsia="Calibri" w:hAnsi="Calibri" w:cs="Calibri"/>
              </w:rPr>
              <w:t>soient</w:t>
            </w:r>
          </w:p>
        </w:tc>
        <w:tc>
          <w:tcPr>
            <w:tcW w:w="960" w:type="dxa"/>
            <w:gridSpan w:val="4"/>
            <w:vMerge w:val="restart"/>
            <w:vAlign w:val="bottom"/>
          </w:tcPr>
          <w:p w:rsidR="00AC12B4" w:rsidRDefault="00C27636">
            <w:pPr>
              <w:jc w:val="right"/>
              <w:rPr>
                <w:sz w:val="20"/>
                <w:szCs w:val="20"/>
              </w:rPr>
            </w:pPr>
            <w:r>
              <w:rPr>
                <w:rFonts w:ascii="Calibri" w:eastAsia="Calibri" w:hAnsi="Calibri" w:cs="Calibri"/>
              </w:rPr>
              <w:t>toujours</w:t>
            </w:r>
          </w:p>
        </w:tc>
        <w:tc>
          <w:tcPr>
            <w:tcW w:w="1580" w:type="dxa"/>
            <w:gridSpan w:val="7"/>
            <w:vMerge w:val="restart"/>
            <w:vAlign w:val="bottom"/>
          </w:tcPr>
          <w:p w:rsidR="00AC12B4" w:rsidRDefault="00C27636">
            <w:pPr>
              <w:ind w:left="140"/>
              <w:rPr>
                <w:sz w:val="20"/>
                <w:szCs w:val="20"/>
              </w:rPr>
            </w:pPr>
            <w:r>
              <w:rPr>
                <w:rFonts w:ascii="Calibri" w:eastAsia="Calibri" w:hAnsi="Calibri" w:cs="Calibri"/>
              </w:rPr>
              <w:t>privilégiées  ou</w:t>
            </w:r>
          </w:p>
        </w:tc>
        <w:tc>
          <w:tcPr>
            <w:tcW w:w="1160" w:type="dxa"/>
            <w:gridSpan w:val="2"/>
            <w:vMerge w:val="restart"/>
            <w:vAlign w:val="bottom"/>
          </w:tcPr>
          <w:p w:rsidR="00AC12B4" w:rsidRDefault="00C27636">
            <w:pPr>
              <w:ind w:right="617"/>
              <w:jc w:val="right"/>
              <w:rPr>
                <w:sz w:val="20"/>
                <w:szCs w:val="20"/>
              </w:rPr>
            </w:pPr>
            <w:r>
              <w:rPr>
                <w:rFonts w:ascii="Calibri" w:eastAsia="Calibri" w:hAnsi="Calibri" w:cs="Calibri"/>
              </w:rPr>
              <w:t>du</w:t>
            </w:r>
          </w:p>
        </w:tc>
        <w:tc>
          <w:tcPr>
            <w:tcW w:w="0" w:type="dxa"/>
            <w:vAlign w:val="bottom"/>
          </w:tcPr>
          <w:p w:rsidR="00AC12B4" w:rsidRDefault="00AC12B4">
            <w:pPr>
              <w:rPr>
                <w:sz w:val="1"/>
                <w:szCs w:val="1"/>
              </w:rPr>
            </w:pPr>
          </w:p>
        </w:tc>
      </w:tr>
      <w:tr w:rsidR="00AC12B4">
        <w:trPr>
          <w:trHeight w:val="168"/>
        </w:trPr>
        <w:tc>
          <w:tcPr>
            <w:tcW w:w="2140" w:type="dxa"/>
            <w:gridSpan w:val="2"/>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applicables,  que</w:t>
            </w:r>
          </w:p>
        </w:tc>
        <w:tc>
          <w:tcPr>
            <w:tcW w:w="1760" w:type="dxa"/>
            <w:gridSpan w:val="4"/>
            <w:vMerge w:val="restart"/>
            <w:shd w:val="clear" w:color="auto" w:fill="FEC930"/>
            <w:vAlign w:val="bottom"/>
          </w:tcPr>
          <w:p w:rsidR="00AC12B4" w:rsidRDefault="00C27636">
            <w:pPr>
              <w:ind w:left="160"/>
              <w:rPr>
                <w:sz w:val="20"/>
                <w:szCs w:val="20"/>
              </w:rPr>
            </w:pPr>
            <w:r>
              <w:rPr>
                <w:rFonts w:ascii="Calibri" w:eastAsia="Calibri" w:hAnsi="Calibri" w:cs="Calibri"/>
                <w:i/>
                <w:iCs/>
                <w:color w:val="FFFFFF"/>
              </w:rPr>
              <w:t>cette  séparation</w:t>
            </w:r>
          </w:p>
        </w:tc>
        <w:tc>
          <w:tcPr>
            <w:tcW w:w="420" w:type="dxa"/>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est</w:t>
            </w:r>
          </w:p>
        </w:tc>
        <w:tc>
          <w:tcPr>
            <w:tcW w:w="1700" w:type="dxa"/>
            <w:gridSpan w:val="3"/>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nécessaire  dans</w:t>
            </w:r>
          </w:p>
        </w:tc>
        <w:tc>
          <w:tcPr>
            <w:tcW w:w="140" w:type="dxa"/>
            <w:tcBorders>
              <w:right w:val="single" w:sz="8" w:space="0" w:color="CF9901"/>
            </w:tcBorders>
            <w:shd w:val="clear" w:color="auto" w:fill="FEC930"/>
            <w:vAlign w:val="bottom"/>
          </w:tcPr>
          <w:p w:rsidR="00AC12B4" w:rsidRDefault="00AC12B4">
            <w:pPr>
              <w:rPr>
                <w:sz w:val="14"/>
                <w:szCs w:val="14"/>
              </w:rPr>
            </w:pPr>
          </w:p>
        </w:tc>
        <w:tc>
          <w:tcPr>
            <w:tcW w:w="800" w:type="dxa"/>
            <w:gridSpan w:val="2"/>
            <w:vMerge/>
            <w:vAlign w:val="bottom"/>
          </w:tcPr>
          <w:p w:rsidR="00AC12B4" w:rsidRDefault="00AC12B4">
            <w:pPr>
              <w:rPr>
                <w:sz w:val="14"/>
                <w:szCs w:val="14"/>
              </w:rPr>
            </w:pPr>
          </w:p>
        </w:tc>
        <w:tc>
          <w:tcPr>
            <w:tcW w:w="960" w:type="dxa"/>
            <w:gridSpan w:val="4"/>
            <w:vMerge/>
            <w:vAlign w:val="bottom"/>
          </w:tcPr>
          <w:p w:rsidR="00AC12B4" w:rsidRDefault="00AC12B4">
            <w:pPr>
              <w:rPr>
                <w:sz w:val="14"/>
                <w:szCs w:val="14"/>
              </w:rPr>
            </w:pPr>
          </w:p>
        </w:tc>
        <w:tc>
          <w:tcPr>
            <w:tcW w:w="1580" w:type="dxa"/>
            <w:gridSpan w:val="7"/>
            <w:vMerge/>
            <w:vAlign w:val="bottom"/>
          </w:tcPr>
          <w:p w:rsidR="00AC12B4" w:rsidRDefault="00AC12B4">
            <w:pPr>
              <w:rPr>
                <w:sz w:val="14"/>
                <w:szCs w:val="14"/>
              </w:rPr>
            </w:pPr>
          </w:p>
        </w:tc>
        <w:tc>
          <w:tcPr>
            <w:tcW w:w="1160" w:type="dxa"/>
            <w:gridSpan w:val="2"/>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1"/>
        </w:trPr>
        <w:tc>
          <w:tcPr>
            <w:tcW w:w="2140" w:type="dxa"/>
            <w:gridSpan w:val="2"/>
            <w:vMerge/>
            <w:tcBorders>
              <w:left w:val="single" w:sz="8" w:space="0" w:color="CF9901"/>
            </w:tcBorders>
            <w:shd w:val="clear" w:color="auto" w:fill="FEC930"/>
            <w:vAlign w:val="bottom"/>
          </w:tcPr>
          <w:p w:rsidR="00AC12B4" w:rsidRDefault="00AC12B4">
            <w:pPr>
              <w:rPr>
                <w:sz w:val="8"/>
                <w:szCs w:val="8"/>
              </w:rPr>
            </w:pPr>
          </w:p>
        </w:tc>
        <w:tc>
          <w:tcPr>
            <w:tcW w:w="1760" w:type="dxa"/>
            <w:gridSpan w:val="4"/>
            <w:vMerge/>
            <w:shd w:val="clear" w:color="auto" w:fill="FEC930"/>
            <w:vAlign w:val="bottom"/>
          </w:tcPr>
          <w:p w:rsidR="00AC12B4" w:rsidRDefault="00AC12B4">
            <w:pPr>
              <w:rPr>
                <w:sz w:val="8"/>
                <w:szCs w:val="8"/>
              </w:rPr>
            </w:pPr>
          </w:p>
        </w:tc>
        <w:tc>
          <w:tcPr>
            <w:tcW w:w="420" w:type="dxa"/>
            <w:vMerge/>
            <w:shd w:val="clear" w:color="auto" w:fill="FEC930"/>
            <w:vAlign w:val="bottom"/>
          </w:tcPr>
          <w:p w:rsidR="00AC12B4" w:rsidRDefault="00AC12B4">
            <w:pPr>
              <w:rPr>
                <w:sz w:val="8"/>
                <w:szCs w:val="8"/>
              </w:rPr>
            </w:pPr>
          </w:p>
        </w:tc>
        <w:tc>
          <w:tcPr>
            <w:tcW w:w="1700" w:type="dxa"/>
            <w:gridSpan w:val="3"/>
            <w:vMerge/>
            <w:shd w:val="clear" w:color="auto" w:fill="FEC930"/>
            <w:vAlign w:val="bottom"/>
          </w:tcPr>
          <w:p w:rsidR="00AC12B4" w:rsidRDefault="00AC12B4">
            <w:pPr>
              <w:rPr>
                <w:sz w:val="8"/>
                <w:szCs w:val="8"/>
              </w:rPr>
            </w:pPr>
          </w:p>
        </w:tc>
        <w:tc>
          <w:tcPr>
            <w:tcW w:w="140" w:type="dxa"/>
            <w:tcBorders>
              <w:right w:val="single" w:sz="8" w:space="0" w:color="CF9901"/>
            </w:tcBorders>
            <w:shd w:val="clear" w:color="auto" w:fill="FEC930"/>
            <w:vAlign w:val="bottom"/>
          </w:tcPr>
          <w:p w:rsidR="00AC12B4" w:rsidRDefault="00AC12B4">
            <w:pPr>
              <w:rPr>
                <w:sz w:val="8"/>
                <w:szCs w:val="8"/>
              </w:rPr>
            </w:pPr>
          </w:p>
        </w:tc>
        <w:tc>
          <w:tcPr>
            <w:tcW w:w="800" w:type="dxa"/>
            <w:gridSpan w:val="2"/>
            <w:vMerge w:val="restart"/>
            <w:vAlign w:val="bottom"/>
          </w:tcPr>
          <w:p w:rsidR="00AC12B4" w:rsidRDefault="00C27636">
            <w:pPr>
              <w:ind w:left="200"/>
              <w:rPr>
                <w:sz w:val="20"/>
                <w:szCs w:val="20"/>
              </w:rPr>
            </w:pPr>
            <w:r>
              <w:rPr>
                <w:rFonts w:ascii="Calibri" w:eastAsia="Calibri" w:hAnsi="Calibri" w:cs="Calibri"/>
              </w:rPr>
              <w:t>moins</w:t>
            </w:r>
          </w:p>
        </w:tc>
        <w:tc>
          <w:tcPr>
            <w:tcW w:w="40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18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320" w:type="dxa"/>
            <w:vAlign w:val="bottom"/>
          </w:tcPr>
          <w:p w:rsidR="00AC12B4" w:rsidRDefault="00AC12B4">
            <w:pPr>
              <w:rPr>
                <w:sz w:val="8"/>
                <w:szCs w:val="8"/>
              </w:rPr>
            </w:pPr>
          </w:p>
        </w:tc>
        <w:tc>
          <w:tcPr>
            <w:tcW w:w="840" w:type="dxa"/>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168"/>
        </w:trPr>
        <w:tc>
          <w:tcPr>
            <w:tcW w:w="602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l’intérêt supérieur de l’enfant. Une décision en ce sens peut</w:t>
            </w:r>
          </w:p>
        </w:tc>
        <w:tc>
          <w:tcPr>
            <w:tcW w:w="14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800" w:type="dxa"/>
            <w:gridSpan w:val="2"/>
            <w:vMerge/>
            <w:vAlign w:val="bottom"/>
          </w:tcPr>
          <w:p w:rsidR="00AC12B4" w:rsidRPr="00C27636" w:rsidRDefault="00AC12B4">
            <w:pPr>
              <w:rPr>
                <w:sz w:val="14"/>
                <w:szCs w:val="14"/>
                <w:lang w:val="fr-BE"/>
              </w:rPr>
            </w:pPr>
          </w:p>
        </w:tc>
        <w:tc>
          <w:tcPr>
            <w:tcW w:w="400" w:type="dxa"/>
            <w:vAlign w:val="bottom"/>
          </w:tcPr>
          <w:p w:rsidR="00AC12B4" w:rsidRPr="00C27636" w:rsidRDefault="00AC12B4">
            <w:pPr>
              <w:rPr>
                <w:sz w:val="14"/>
                <w:szCs w:val="14"/>
                <w:lang w:val="fr-BE"/>
              </w:rPr>
            </w:pPr>
          </w:p>
        </w:tc>
        <w:tc>
          <w:tcPr>
            <w:tcW w:w="140" w:type="dxa"/>
            <w:vAlign w:val="bottom"/>
          </w:tcPr>
          <w:p w:rsidR="00AC12B4" w:rsidRPr="00C27636" w:rsidRDefault="00AC12B4">
            <w:pPr>
              <w:rPr>
                <w:sz w:val="14"/>
                <w:szCs w:val="14"/>
                <w:lang w:val="fr-BE"/>
              </w:rPr>
            </w:pPr>
          </w:p>
        </w:tc>
        <w:tc>
          <w:tcPr>
            <w:tcW w:w="140" w:type="dxa"/>
            <w:vAlign w:val="bottom"/>
          </w:tcPr>
          <w:p w:rsidR="00AC12B4" w:rsidRPr="00C27636" w:rsidRDefault="00AC12B4">
            <w:pPr>
              <w:rPr>
                <w:sz w:val="14"/>
                <w:szCs w:val="14"/>
                <w:lang w:val="fr-BE"/>
              </w:rPr>
            </w:pPr>
          </w:p>
        </w:tc>
        <w:tc>
          <w:tcPr>
            <w:tcW w:w="280" w:type="dxa"/>
            <w:vAlign w:val="bottom"/>
          </w:tcPr>
          <w:p w:rsidR="00AC12B4" w:rsidRPr="00C27636" w:rsidRDefault="00AC12B4">
            <w:pPr>
              <w:rPr>
                <w:sz w:val="14"/>
                <w:szCs w:val="14"/>
                <w:lang w:val="fr-BE"/>
              </w:rPr>
            </w:pPr>
          </w:p>
        </w:tc>
        <w:tc>
          <w:tcPr>
            <w:tcW w:w="200" w:type="dxa"/>
            <w:vAlign w:val="bottom"/>
          </w:tcPr>
          <w:p w:rsidR="00AC12B4" w:rsidRPr="00C27636" w:rsidRDefault="00AC12B4">
            <w:pPr>
              <w:rPr>
                <w:sz w:val="14"/>
                <w:szCs w:val="14"/>
                <w:lang w:val="fr-BE"/>
              </w:rPr>
            </w:pPr>
          </w:p>
        </w:tc>
        <w:tc>
          <w:tcPr>
            <w:tcW w:w="180" w:type="dxa"/>
            <w:vAlign w:val="bottom"/>
          </w:tcPr>
          <w:p w:rsidR="00AC12B4" w:rsidRPr="00C27636" w:rsidRDefault="00AC12B4">
            <w:pPr>
              <w:rPr>
                <w:sz w:val="14"/>
                <w:szCs w:val="14"/>
                <w:lang w:val="fr-BE"/>
              </w:rPr>
            </w:pPr>
          </w:p>
        </w:tc>
        <w:tc>
          <w:tcPr>
            <w:tcW w:w="140" w:type="dxa"/>
            <w:vAlign w:val="bottom"/>
          </w:tcPr>
          <w:p w:rsidR="00AC12B4" w:rsidRPr="00C27636" w:rsidRDefault="00AC12B4">
            <w:pPr>
              <w:rPr>
                <w:sz w:val="14"/>
                <w:szCs w:val="14"/>
                <w:lang w:val="fr-BE"/>
              </w:rPr>
            </w:pPr>
          </w:p>
        </w:tc>
        <w:tc>
          <w:tcPr>
            <w:tcW w:w="180" w:type="dxa"/>
            <w:vAlign w:val="bottom"/>
          </w:tcPr>
          <w:p w:rsidR="00AC12B4" w:rsidRPr="00C27636" w:rsidRDefault="00AC12B4">
            <w:pPr>
              <w:rPr>
                <w:sz w:val="14"/>
                <w:szCs w:val="14"/>
                <w:lang w:val="fr-BE"/>
              </w:rPr>
            </w:pPr>
          </w:p>
        </w:tc>
        <w:tc>
          <w:tcPr>
            <w:tcW w:w="420" w:type="dxa"/>
            <w:vAlign w:val="bottom"/>
          </w:tcPr>
          <w:p w:rsidR="00AC12B4" w:rsidRPr="00C27636" w:rsidRDefault="00AC12B4">
            <w:pPr>
              <w:rPr>
                <w:sz w:val="14"/>
                <w:szCs w:val="14"/>
                <w:lang w:val="fr-BE"/>
              </w:rPr>
            </w:pPr>
          </w:p>
        </w:tc>
        <w:tc>
          <w:tcPr>
            <w:tcW w:w="240" w:type="dxa"/>
            <w:vAlign w:val="bottom"/>
          </w:tcPr>
          <w:p w:rsidR="00AC12B4" w:rsidRPr="00C27636" w:rsidRDefault="00AC12B4">
            <w:pPr>
              <w:rPr>
                <w:sz w:val="14"/>
                <w:szCs w:val="14"/>
                <w:lang w:val="fr-BE"/>
              </w:rPr>
            </w:pPr>
          </w:p>
        </w:tc>
        <w:tc>
          <w:tcPr>
            <w:tcW w:w="220" w:type="dxa"/>
            <w:vAlign w:val="bottom"/>
          </w:tcPr>
          <w:p w:rsidR="00AC12B4" w:rsidRPr="00C27636" w:rsidRDefault="00AC12B4">
            <w:pPr>
              <w:rPr>
                <w:sz w:val="14"/>
                <w:szCs w:val="14"/>
                <w:lang w:val="fr-BE"/>
              </w:rPr>
            </w:pPr>
          </w:p>
        </w:tc>
        <w:tc>
          <w:tcPr>
            <w:tcW w:w="320" w:type="dxa"/>
            <w:vAlign w:val="bottom"/>
          </w:tcPr>
          <w:p w:rsidR="00AC12B4" w:rsidRPr="00C27636" w:rsidRDefault="00AC12B4">
            <w:pPr>
              <w:rPr>
                <w:sz w:val="14"/>
                <w:szCs w:val="14"/>
                <w:lang w:val="fr-BE"/>
              </w:rPr>
            </w:pPr>
          </w:p>
        </w:tc>
        <w:tc>
          <w:tcPr>
            <w:tcW w:w="840" w:type="dxa"/>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26"/>
        </w:trPr>
        <w:tc>
          <w:tcPr>
            <w:tcW w:w="6020" w:type="dxa"/>
            <w:gridSpan w:val="10"/>
            <w:vMerge/>
            <w:tcBorders>
              <w:left w:val="single" w:sz="8" w:space="0" w:color="CF9901"/>
            </w:tcBorders>
            <w:shd w:val="clear" w:color="auto" w:fill="FEC930"/>
            <w:vAlign w:val="bottom"/>
          </w:tcPr>
          <w:p w:rsidR="00AC12B4" w:rsidRPr="00C27636" w:rsidRDefault="00AC12B4">
            <w:pPr>
              <w:rPr>
                <w:sz w:val="2"/>
                <w:szCs w:val="2"/>
                <w:lang w:val="fr-BE"/>
              </w:rPr>
            </w:pPr>
          </w:p>
        </w:tc>
        <w:tc>
          <w:tcPr>
            <w:tcW w:w="140" w:type="dxa"/>
            <w:tcBorders>
              <w:right w:val="single" w:sz="8" w:space="0" w:color="CF9901"/>
            </w:tcBorders>
            <w:shd w:val="clear" w:color="auto" w:fill="FEC930"/>
            <w:vAlign w:val="bottom"/>
          </w:tcPr>
          <w:p w:rsidR="00AC12B4" w:rsidRPr="00C27636" w:rsidRDefault="00AC12B4">
            <w:pPr>
              <w:rPr>
                <w:sz w:val="2"/>
                <w:szCs w:val="2"/>
                <w:lang w:val="fr-BE"/>
              </w:rPr>
            </w:pPr>
          </w:p>
        </w:tc>
        <w:tc>
          <w:tcPr>
            <w:tcW w:w="1340" w:type="dxa"/>
            <w:gridSpan w:val="4"/>
            <w:vMerge w:val="restart"/>
            <w:vAlign w:val="bottom"/>
          </w:tcPr>
          <w:p w:rsidR="00AC12B4" w:rsidRDefault="00C27636">
            <w:pPr>
              <w:ind w:left="200"/>
              <w:rPr>
                <w:sz w:val="20"/>
                <w:szCs w:val="20"/>
              </w:rPr>
            </w:pPr>
            <w:r>
              <w:rPr>
                <w:rFonts w:ascii="Calibri" w:eastAsia="Calibri" w:hAnsi="Calibri" w:cs="Calibri"/>
              </w:rPr>
              <w:t>considérées</w:t>
            </w:r>
          </w:p>
        </w:tc>
        <w:tc>
          <w:tcPr>
            <w:tcW w:w="140" w:type="dxa"/>
            <w:vAlign w:val="bottom"/>
          </w:tcPr>
          <w:p w:rsidR="00AC12B4" w:rsidRDefault="00AC12B4">
            <w:pPr>
              <w:rPr>
                <w:sz w:val="2"/>
                <w:szCs w:val="2"/>
              </w:rPr>
            </w:pPr>
          </w:p>
        </w:tc>
        <w:tc>
          <w:tcPr>
            <w:tcW w:w="280" w:type="dxa"/>
            <w:vMerge w:val="restart"/>
            <w:vAlign w:val="bottom"/>
          </w:tcPr>
          <w:p w:rsidR="00AC12B4" w:rsidRDefault="00C27636">
            <w:pPr>
              <w:jc w:val="right"/>
              <w:rPr>
                <w:sz w:val="20"/>
                <w:szCs w:val="20"/>
              </w:rPr>
            </w:pPr>
            <w:r>
              <w:rPr>
                <w:rFonts w:ascii="Calibri" w:eastAsia="Calibri" w:hAnsi="Calibri" w:cs="Calibri"/>
              </w:rPr>
              <w:t>en</w:t>
            </w:r>
          </w:p>
        </w:tc>
        <w:tc>
          <w:tcPr>
            <w:tcW w:w="200" w:type="dxa"/>
            <w:vAlign w:val="bottom"/>
          </w:tcPr>
          <w:p w:rsidR="00AC12B4" w:rsidRDefault="00AC12B4">
            <w:pPr>
              <w:rPr>
                <w:sz w:val="2"/>
                <w:szCs w:val="2"/>
              </w:rPr>
            </w:pPr>
          </w:p>
        </w:tc>
        <w:tc>
          <w:tcPr>
            <w:tcW w:w="180" w:type="dxa"/>
            <w:vAlign w:val="bottom"/>
          </w:tcPr>
          <w:p w:rsidR="00AC12B4" w:rsidRDefault="00AC12B4">
            <w:pPr>
              <w:rPr>
                <w:sz w:val="2"/>
                <w:szCs w:val="2"/>
              </w:rPr>
            </w:pPr>
          </w:p>
        </w:tc>
        <w:tc>
          <w:tcPr>
            <w:tcW w:w="140" w:type="dxa"/>
            <w:vAlign w:val="bottom"/>
          </w:tcPr>
          <w:p w:rsidR="00AC12B4" w:rsidRDefault="00AC12B4">
            <w:pPr>
              <w:rPr>
                <w:sz w:val="2"/>
                <w:szCs w:val="2"/>
              </w:rPr>
            </w:pPr>
          </w:p>
        </w:tc>
        <w:tc>
          <w:tcPr>
            <w:tcW w:w="180" w:type="dxa"/>
            <w:vAlign w:val="bottom"/>
          </w:tcPr>
          <w:p w:rsidR="00AC12B4" w:rsidRDefault="00AC12B4">
            <w:pPr>
              <w:rPr>
                <w:sz w:val="2"/>
                <w:szCs w:val="2"/>
              </w:rPr>
            </w:pPr>
          </w:p>
        </w:tc>
        <w:tc>
          <w:tcPr>
            <w:tcW w:w="420" w:type="dxa"/>
            <w:vAlign w:val="bottom"/>
          </w:tcPr>
          <w:p w:rsidR="00AC12B4" w:rsidRDefault="00AC12B4">
            <w:pPr>
              <w:rPr>
                <w:sz w:val="2"/>
                <w:szCs w:val="2"/>
              </w:rPr>
            </w:pPr>
          </w:p>
        </w:tc>
        <w:tc>
          <w:tcPr>
            <w:tcW w:w="240" w:type="dxa"/>
            <w:vAlign w:val="bottom"/>
          </w:tcPr>
          <w:p w:rsidR="00AC12B4" w:rsidRDefault="00AC12B4">
            <w:pPr>
              <w:rPr>
                <w:sz w:val="2"/>
                <w:szCs w:val="2"/>
              </w:rPr>
            </w:pPr>
          </w:p>
        </w:tc>
        <w:tc>
          <w:tcPr>
            <w:tcW w:w="220" w:type="dxa"/>
            <w:vAlign w:val="bottom"/>
          </w:tcPr>
          <w:p w:rsidR="00AC12B4" w:rsidRDefault="00AC12B4">
            <w:pPr>
              <w:rPr>
                <w:sz w:val="2"/>
                <w:szCs w:val="2"/>
              </w:rPr>
            </w:pPr>
          </w:p>
        </w:tc>
        <w:tc>
          <w:tcPr>
            <w:tcW w:w="320" w:type="dxa"/>
            <w:vAlign w:val="bottom"/>
          </w:tcPr>
          <w:p w:rsidR="00AC12B4" w:rsidRDefault="00AC12B4">
            <w:pPr>
              <w:rPr>
                <w:sz w:val="2"/>
                <w:szCs w:val="2"/>
              </w:rPr>
            </w:pPr>
          </w:p>
        </w:tc>
        <w:tc>
          <w:tcPr>
            <w:tcW w:w="840" w:type="dxa"/>
            <w:vAlign w:val="bottom"/>
          </w:tcPr>
          <w:p w:rsidR="00AC12B4" w:rsidRDefault="00AC12B4">
            <w:pPr>
              <w:rPr>
                <w:sz w:val="2"/>
                <w:szCs w:val="2"/>
              </w:rPr>
            </w:pPr>
          </w:p>
        </w:tc>
        <w:tc>
          <w:tcPr>
            <w:tcW w:w="0" w:type="dxa"/>
            <w:vAlign w:val="bottom"/>
          </w:tcPr>
          <w:p w:rsidR="00AC12B4" w:rsidRDefault="00AC12B4">
            <w:pPr>
              <w:spacing w:line="20" w:lineRule="exact"/>
              <w:rPr>
                <w:sz w:val="1"/>
                <w:szCs w:val="1"/>
              </w:rPr>
            </w:pPr>
          </w:p>
        </w:tc>
      </w:tr>
      <w:tr w:rsidR="00AC12B4">
        <w:trPr>
          <w:trHeight w:val="75"/>
        </w:trPr>
        <w:tc>
          <w:tcPr>
            <w:tcW w:w="6020" w:type="dxa"/>
            <w:gridSpan w:val="10"/>
            <w:vMerge/>
            <w:tcBorders>
              <w:left w:val="single" w:sz="8" w:space="0" w:color="CF9901"/>
            </w:tcBorders>
            <w:shd w:val="clear" w:color="auto" w:fill="FEC930"/>
            <w:vAlign w:val="bottom"/>
          </w:tcPr>
          <w:p w:rsidR="00AC12B4" w:rsidRDefault="00AC12B4">
            <w:pPr>
              <w:rPr>
                <w:sz w:val="6"/>
                <w:szCs w:val="6"/>
              </w:rPr>
            </w:pPr>
          </w:p>
        </w:tc>
        <w:tc>
          <w:tcPr>
            <w:tcW w:w="140" w:type="dxa"/>
            <w:tcBorders>
              <w:right w:val="single" w:sz="8" w:space="0" w:color="CF9901"/>
            </w:tcBorders>
            <w:shd w:val="clear" w:color="auto" w:fill="FEC930"/>
            <w:vAlign w:val="bottom"/>
          </w:tcPr>
          <w:p w:rsidR="00AC12B4" w:rsidRDefault="00AC12B4">
            <w:pPr>
              <w:rPr>
                <w:sz w:val="6"/>
                <w:szCs w:val="6"/>
              </w:rPr>
            </w:pPr>
          </w:p>
        </w:tc>
        <w:tc>
          <w:tcPr>
            <w:tcW w:w="1340" w:type="dxa"/>
            <w:gridSpan w:val="4"/>
            <w:vMerge/>
            <w:vAlign w:val="bottom"/>
          </w:tcPr>
          <w:p w:rsidR="00AC12B4" w:rsidRDefault="00AC12B4">
            <w:pPr>
              <w:rPr>
                <w:sz w:val="6"/>
                <w:szCs w:val="6"/>
              </w:rPr>
            </w:pPr>
          </w:p>
        </w:tc>
        <w:tc>
          <w:tcPr>
            <w:tcW w:w="140" w:type="dxa"/>
            <w:vAlign w:val="bottom"/>
          </w:tcPr>
          <w:p w:rsidR="00AC12B4" w:rsidRDefault="00AC12B4">
            <w:pPr>
              <w:rPr>
                <w:sz w:val="6"/>
                <w:szCs w:val="6"/>
              </w:rPr>
            </w:pPr>
          </w:p>
        </w:tc>
        <w:tc>
          <w:tcPr>
            <w:tcW w:w="280" w:type="dxa"/>
            <w:vMerge/>
            <w:vAlign w:val="bottom"/>
          </w:tcPr>
          <w:p w:rsidR="00AC12B4" w:rsidRDefault="00AC12B4">
            <w:pPr>
              <w:rPr>
                <w:sz w:val="6"/>
                <w:szCs w:val="6"/>
              </w:rPr>
            </w:pPr>
          </w:p>
        </w:tc>
        <w:tc>
          <w:tcPr>
            <w:tcW w:w="200" w:type="dxa"/>
            <w:vAlign w:val="bottom"/>
          </w:tcPr>
          <w:p w:rsidR="00AC12B4" w:rsidRDefault="00AC12B4">
            <w:pPr>
              <w:rPr>
                <w:sz w:val="6"/>
                <w:szCs w:val="6"/>
              </w:rPr>
            </w:pPr>
          </w:p>
        </w:tc>
        <w:tc>
          <w:tcPr>
            <w:tcW w:w="180" w:type="dxa"/>
            <w:tcBorders>
              <w:right w:val="single" w:sz="8" w:space="0" w:color="FEC930"/>
            </w:tcBorders>
            <w:vAlign w:val="bottom"/>
          </w:tcPr>
          <w:p w:rsidR="00AC12B4" w:rsidRDefault="00AC12B4">
            <w:pPr>
              <w:rPr>
                <w:sz w:val="6"/>
                <w:szCs w:val="6"/>
              </w:rPr>
            </w:pPr>
          </w:p>
        </w:tc>
        <w:tc>
          <w:tcPr>
            <w:tcW w:w="140" w:type="dxa"/>
            <w:vAlign w:val="bottom"/>
          </w:tcPr>
          <w:p w:rsidR="00AC12B4" w:rsidRDefault="00AC12B4">
            <w:pPr>
              <w:rPr>
                <w:sz w:val="6"/>
                <w:szCs w:val="6"/>
              </w:rPr>
            </w:pPr>
          </w:p>
        </w:tc>
        <w:tc>
          <w:tcPr>
            <w:tcW w:w="180" w:type="dxa"/>
            <w:vAlign w:val="bottom"/>
          </w:tcPr>
          <w:p w:rsidR="00AC12B4" w:rsidRDefault="00AC12B4">
            <w:pPr>
              <w:rPr>
                <w:sz w:val="6"/>
                <w:szCs w:val="6"/>
              </w:rPr>
            </w:pPr>
          </w:p>
        </w:tc>
        <w:tc>
          <w:tcPr>
            <w:tcW w:w="420" w:type="dxa"/>
            <w:vAlign w:val="bottom"/>
          </w:tcPr>
          <w:p w:rsidR="00AC12B4" w:rsidRDefault="00AC12B4">
            <w:pPr>
              <w:rPr>
                <w:sz w:val="6"/>
                <w:szCs w:val="6"/>
              </w:rPr>
            </w:pPr>
          </w:p>
        </w:tc>
        <w:tc>
          <w:tcPr>
            <w:tcW w:w="240" w:type="dxa"/>
            <w:vAlign w:val="bottom"/>
          </w:tcPr>
          <w:p w:rsidR="00AC12B4" w:rsidRDefault="00AC12B4">
            <w:pPr>
              <w:rPr>
                <w:sz w:val="6"/>
                <w:szCs w:val="6"/>
              </w:rPr>
            </w:pPr>
          </w:p>
        </w:tc>
        <w:tc>
          <w:tcPr>
            <w:tcW w:w="220" w:type="dxa"/>
            <w:vAlign w:val="bottom"/>
          </w:tcPr>
          <w:p w:rsidR="00AC12B4" w:rsidRDefault="00AC12B4">
            <w:pPr>
              <w:rPr>
                <w:sz w:val="6"/>
                <w:szCs w:val="6"/>
              </w:rPr>
            </w:pPr>
          </w:p>
        </w:tc>
        <w:tc>
          <w:tcPr>
            <w:tcW w:w="320" w:type="dxa"/>
            <w:vAlign w:val="bottom"/>
          </w:tcPr>
          <w:p w:rsidR="00AC12B4" w:rsidRDefault="00AC12B4">
            <w:pPr>
              <w:rPr>
                <w:sz w:val="6"/>
                <w:szCs w:val="6"/>
              </w:rPr>
            </w:pPr>
          </w:p>
        </w:tc>
        <w:tc>
          <w:tcPr>
            <w:tcW w:w="840" w:type="dxa"/>
            <w:vAlign w:val="bottom"/>
          </w:tcPr>
          <w:p w:rsidR="00AC12B4" w:rsidRDefault="00AC12B4">
            <w:pPr>
              <w:rPr>
                <w:sz w:val="6"/>
                <w:szCs w:val="6"/>
              </w:rPr>
            </w:pPr>
          </w:p>
        </w:tc>
        <w:tc>
          <w:tcPr>
            <w:tcW w:w="0" w:type="dxa"/>
            <w:vAlign w:val="bottom"/>
          </w:tcPr>
          <w:p w:rsidR="00AC12B4" w:rsidRDefault="00AC12B4">
            <w:pPr>
              <w:rPr>
                <w:sz w:val="1"/>
                <w:szCs w:val="1"/>
              </w:rPr>
            </w:pPr>
          </w:p>
        </w:tc>
      </w:tr>
      <w:tr w:rsidR="00AC12B4" w:rsidRPr="00C27636">
        <w:trPr>
          <w:trHeight w:val="168"/>
        </w:trPr>
        <w:tc>
          <w:tcPr>
            <w:tcW w:w="602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être nécessaire dans certains cas particuliers, par exemple</w:t>
            </w:r>
          </w:p>
        </w:tc>
        <w:tc>
          <w:tcPr>
            <w:tcW w:w="14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1340" w:type="dxa"/>
            <w:gridSpan w:val="4"/>
            <w:vMerge/>
            <w:vAlign w:val="bottom"/>
          </w:tcPr>
          <w:p w:rsidR="00AC12B4" w:rsidRPr="00C27636" w:rsidRDefault="00AC12B4">
            <w:pPr>
              <w:rPr>
                <w:sz w:val="14"/>
                <w:szCs w:val="14"/>
                <w:lang w:val="fr-BE"/>
              </w:rPr>
            </w:pPr>
          </w:p>
        </w:tc>
        <w:tc>
          <w:tcPr>
            <w:tcW w:w="140" w:type="dxa"/>
            <w:vAlign w:val="bottom"/>
          </w:tcPr>
          <w:p w:rsidR="00AC12B4" w:rsidRPr="00C27636" w:rsidRDefault="00AC12B4">
            <w:pPr>
              <w:rPr>
                <w:sz w:val="14"/>
                <w:szCs w:val="14"/>
                <w:lang w:val="fr-BE"/>
              </w:rPr>
            </w:pPr>
          </w:p>
        </w:tc>
        <w:tc>
          <w:tcPr>
            <w:tcW w:w="280" w:type="dxa"/>
            <w:vMerge/>
            <w:vAlign w:val="bottom"/>
          </w:tcPr>
          <w:p w:rsidR="00AC12B4" w:rsidRPr="00C27636" w:rsidRDefault="00AC12B4">
            <w:pPr>
              <w:rPr>
                <w:sz w:val="14"/>
                <w:szCs w:val="14"/>
                <w:lang w:val="fr-BE"/>
              </w:rPr>
            </w:pPr>
          </w:p>
        </w:tc>
        <w:tc>
          <w:tcPr>
            <w:tcW w:w="200" w:type="dxa"/>
            <w:vAlign w:val="bottom"/>
          </w:tcPr>
          <w:p w:rsidR="00AC12B4" w:rsidRPr="00C27636" w:rsidRDefault="00AC12B4">
            <w:pPr>
              <w:rPr>
                <w:sz w:val="14"/>
                <w:szCs w:val="14"/>
                <w:lang w:val="fr-BE"/>
              </w:rPr>
            </w:pPr>
          </w:p>
        </w:tc>
        <w:tc>
          <w:tcPr>
            <w:tcW w:w="180" w:type="dxa"/>
            <w:tcBorders>
              <w:right w:val="single" w:sz="8" w:space="0" w:color="FEC930"/>
            </w:tcBorders>
            <w:vAlign w:val="bottom"/>
          </w:tcPr>
          <w:p w:rsidR="00AC12B4" w:rsidRPr="00C27636" w:rsidRDefault="00AC12B4">
            <w:pPr>
              <w:rPr>
                <w:sz w:val="14"/>
                <w:szCs w:val="14"/>
                <w:lang w:val="fr-BE"/>
              </w:rPr>
            </w:pPr>
          </w:p>
        </w:tc>
        <w:tc>
          <w:tcPr>
            <w:tcW w:w="140" w:type="dxa"/>
            <w:vAlign w:val="bottom"/>
          </w:tcPr>
          <w:p w:rsidR="00AC12B4" w:rsidRPr="00C27636" w:rsidRDefault="00AC12B4">
            <w:pPr>
              <w:rPr>
                <w:sz w:val="14"/>
                <w:szCs w:val="14"/>
                <w:lang w:val="fr-BE"/>
              </w:rPr>
            </w:pPr>
          </w:p>
        </w:tc>
        <w:tc>
          <w:tcPr>
            <w:tcW w:w="180" w:type="dxa"/>
            <w:vAlign w:val="bottom"/>
          </w:tcPr>
          <w:p w:rsidR="00AC12B4" w:rsidRPr="00C27636" w:rsidRDefault="00AC12B4">
            <w:pPr>
              <w:rPr>
                <w:sz w:val="14"/>
                <w:szCs w:val="14"/>
                <w:lang w:val="fr-BE"/>
              </w:rPr>
            </w:pPr>
          </w:p>
        </w:tc>
        <w:tc>
          <w:tcPr>
            <w:tcW w:w="420" w:type="dxa"/>
            <w:vAlign w:val="bottom"/>
          </w:tcPr>
          <w:p w:rsidR="00AC12B4" w:rsidRPr="00C27636" w:rsidRDefault="00AC12B4">
            <w:pPr>
              <w:rPr>
                <w:sz w:val="14"/>
                <w:szCs w:val="14"/>
                <w:lang w:val="fr-BE"/>
              </w:rPr>
            </w:pPr>
          </w:p>
        </w:tc>
        <w:tc>
          <w:tcPr>
            <w:tcW w:w="240" w:type="dxa"/>
            <w:vAlign w:val="bottom"/>
          </w:tcPr>
          <w:p w:rsidR="00AC12B4" w:rsidRPr="00C27636" w:rsidRDefault="00AC12B4">
            <w:pPr>
              <w:rPr>
                <w:sz w:val="14"/>
                <w:szCs w:val="14"/>
                <w:lang w:val="fr-BE"/>
              </w:rPr>
            </w:pPr>
          </w:p>
        </w:tc>
        <w:tc>
          <w:tcPr>
            <w:tcW w:w="220" w:type="dxa"/>
            <w:vAlign w:val="bottom"/>
          </w:tcPr>
          <w:p w:rsidR="00AC12B4" w:rsidRPr="00C27636" w:rsidRDefault="00AC12B4">
            <w:pPr>
              <w:rPr>
                <w:sz w:val="14"/>
                <w:szCs w:val="14"/>
                <w:lang w:val="fr-BE"/>
              </w:rPr>
            </w:pPr>
          </w:p>
        </w:tc>
        <w:tc>
          <w:tcPr>
            <w:tcW w:w="320" w:type="dxa"/>
            <w:vAlign w:val="bottom"/>
          </w:tcPr>
          <w:p w:rsidR="00AC12B4" w:rsidRPr="00C27636" w:rsidRDefault="00AC12B4">
            <w:pPr>
              <w:rPr>
                <w:sz w:val="14"/>
                <w:szCs w:val="14"/>
                <w:lang w:val="fr-BE"/>
              </w:rPr>
            </w:pPr>
          </w:p>
        </w:tc>
        <w:tc>
          <w:tcPr>
            <w:tcW w:w="840" w:type="dxa"/>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1"/>
        </w:trPr>
        <w:tc>
          <w:tcPr>
            <w:tcW w:w="6020" w:type="dxa"/>
            <w:gridSpan w:val="10"/>
            <w:vMerge/>
            <w:tcBorders>
              <w:left w:val="single" w:sz="8" w:space="0" w:color="CF9901"/>
            </w:tcBorders>
            <w:shd w:val="clear" w:color="auto" w:fill="FEC930"/>
            <w:vAlign w:val="bottom"/>
          </w:tcPr>
          <w:p w:rsidR="00AC12B4" w:rsidRPr="00C27636" w:rsidRDefault="00AC12B4">
            <w:pPr>
              <w:rPr>
                <w:sz w:val="8"/>
                <w:szCs w:val="8"/>
                <w:lang w:val="fr-BE"/>
              </w:rPr>
            </w:pPr>
          </w:p>
        </w:tc>
        <w:tc>
          <w:tcPr>
            <w:tcW w:w="140" w:type="dxa"/>
            <w:tcBorders>
              <w:right w:val="single" w:sz="8" w:space="0" w:color="CF9901"/>
            </w:tcBorders>
            <w:shd w:val="clear" w:color="auto" w:fill="FEC930"/>
            <w:vAlign w:val="bottom"/>
          </w:tcPr>
          <w:p w:rsidR="00AC12B4" w:rsidRPr="00C27636" w:rsidRDefault="00AC12B4">
            <w:pPr>
              <w:rPr>
                <w:sz w:val="8"/>
                <w:szCs w:val="8"/>
                <w:lang w:val="fr-BE"/>
              </w:rPr>
            </w:pPr>
          </w:p>
        </w:tc>
        <w:tc>
          <w:tcPr>
            <w:tcW w:w="1200" w:type="dxa"/>
            <w:gridSpan w:val="3"/>
            <w:vMerge w:val="restart"/>
            <w:vAlign w:val="bottom"/>
          </w:tcPr>
          <w:p w:rsidR="00AC12B4" w:rsidRDefault="00C27636">
            <w:pPr>
              <w:spacing w:line="267" w:lineRule="exact"/>
              <w:ind w:left="200"/>
              <w:rPr>
                <w:sz w:val="20"/>
                <w:szCs w:val="20"/>
              </w:rPr>
            </w:pPr>
            <w:r>
              <w:rPr>
                <w:rFonts w:ascii="Calibri" w:eastAsia="Calibri" w:hAnsi="Calibri" w:cs="Calibri"/>
              </w:rPr>
              <w:t>prem</w:t>
            </w:r>
            <w:r>
              <w:rPr>
                <w:rFonts w:ascii="Calibri" w:eastAsia="Calibri" w:hAnsi="Calibri" w:cs="Calibri"/>
              </w:rPr>
              <w:lastRenderedPageBreak/>
              <w:t>ier</w:t>
            </w:r>
          </w:p>
        </w:tc>
        <w:tc>
          <w:tcPr>
            <w:tcW w:w="560" w:type="dxa"/>
            <w:gridSpan w:val="3"/>
            <w:vMerge w:val="restart"/>
            <w:vAlign w:val="bottom"/>
          </w:tcPr>
          <w:p w:rsidR="00AC12B4" w:rsidRDefault="00C27636">
            <w:pPr>
              <w:spacing w:line="267" w:lineRule="exact"/>
              <w:jc w:val="right"/>
              <w:rPr>
                <w:sz w:val="20"/>
                <w:szCs w:val="20"/>
              </w:rPr>
            </w:pPr>
            <w:r>
              <w:rPr>
                <w:rFonts w:ascii="Calibri" w:eastAsia="Calibri" w:hAnsi="Calibri" w:cs="Calibri"/>
              </w:rPr>
              <w:lastRenderedPageBreak/>
              <w:t xml:space="preserve">lieu </w:t>
            </w:r>
            <w:r>
              <w:rPr>
                <w:rFonts w:ascii="Calibri" w:eastAsia="Calibri" w:hAnsi="Calibri" w:cs="Calibri"/>
              </w:rPr>
              <w:lastRenderedPageBreak/>
              <w:t>:</w:t>
            </w:r>
          </w:p>
        </w:tc>
        <w:tc>
          <w:tcPr>
            <w:tcW w:w="200" w:type="dxa"/>
            <w:vAlign w:val="bottom"/>
          </w:tcPr>
          <w:p w:rsidR="00AC12B4" w:rsidRDefault="00AC12B4">
            <w:pPr>
              <w:rPr>
                <w:sz w:val="8"/>
                <w:szCs w:val="8"/>
              </w:rPr>
            </w:pPr>
          </w:p>
        </w:tc>
        <w:tc>
          <w:tcPr>
            <w:tcW w:w="180" w:type="dxa"/>
            <w:tcBorders>
              <w:right w:val="single" w:sz="8" w:space="0" w:color="FEC93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220" w:type="dxa"/>
            <w:gridSpan w:val="6"/>
            <w:vMerge w:val="restart"/>
            <w:vAlign w:val="bottom"/>
          </w:tcPr>
          <w:p w:rsidR="00AC12B4" w:rsidRDefault="00C27636">
            <w:pPr>
              <w:ind w:left="140"/>
              <w:rPr>
                <w:sz w:val="20"/>
                <w:szCs w:val="20"/>
              </w:rPr>
            </w:pPr>
            <w:r>
              <w:rPr>
                <w:rFonts w:ascii="Comic Sans MS" w:eastAsia="Comic Sans MS" w:hAnsi="Comic Sans MS" w:cs="Comic Sans MS"/>
                <w:color w:val="FEC930"/>
                <w:sz w:val="96"/>
                <w:szCs w:val="96"/>
              </w:rPr>
              <w:t>N</w:t>
            </w:r>
            <w:r>
              <w:rPr>
                <w:rFonts w:ascii="Comic Sans MS" w:eastAsia="Comic Sans MS" w:hAnsi="Comic Sans MS" w:cs="Comic Sans MS"/>
                <w:color w:val="FEC930"/>
                <w:sz w:val="96"/>
                <w:szCs w:val="96"/>
              </w:rPr>
              <w:lastRenderedPageBreak/>
              <w:t>/A</w:t>
            </w:r>
          </w:p>
        </w:tc>
        <w:tc>
          <w:tcPr>
            <w:tcW w:w="0" w:type="dxa"/>
            <w:vAlign w:val="bottom"/>
          </w:tcPr>
          <w:p w:rsidR="00AC12B4" w:rsidRDefault="00AC12B4">
            <w:pPr>
              <w:rPr>
                <w:sz w:val="1"/>
                <w:szCs w:val="1"/>
              </w:rPr>
            </w:pPr>
          </w:p>
        </w:tc>
      </w:tr>
      <w:tr w:rsidR="00AC12B4">
        <w:trPr>
          <w:trHeight w:val="166"/>
        </w:trPr>
        <w:tc>
          <w:tcPr>
            <w:tcW w:w="3520" w:type="dxa"/>
            <w:gridSpan w:val="5"/>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lastRenderedPageBreak/>
              <w:t>lorsque les parents maltraitent</w:t>
            </w:r>
          </w:p>
        </w:tc>
        <w:tc>
          <w:tcPr>
            <w:tcW w:w="380" w:type="dxa"/>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ou</w:t>
            </w:r>
          </w:p>
        </w:tc>
        <w:tc>
          <w:tcPr>
            <w:tcW w:w="900" w:type="dxa"/>
            <w:gridSpan w:val="3"/>
            <w:vMerge w:val="restart"/>
            <w:shd w:val="clear" w:color="auto" w:fill="FEC930"/>
            <w:vAlign w:val="bottom"/>
          </w:tcPr>
          <w:p w:rsidR="00AC12B4" w:rsidRDefault="00C27636">
            <w:pPr>
              <w:ind w:left="40"/>
              <w:rPr>
                <w:sz w:val="20"/>
                <w:szCs w:val="20"/>
              </w:rPr>
            </w:pPr>
            <w:r>
              <w:rPr>
                <w:rFonts w:ascii="Calibri" w:eastAsia="Calibri" w:hAnsi="Calibri" w:cs="Calibri"/>
                <w:i/>
                <w:iCs/>
                <w:color w:val="FFFFFF"/>
              </w:rPr>
              <w:t>négligent</w:t>
            </w:r>
          </w:p>
        </w:tc>
        <w:tc>
          <w:tcPr>
            <w:tcW w:w="1220" w:type="dxa"/>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l’enfant, ou</w:t>
            </w:r>
          </w:p>
        </w:tc>
        <w:tc>
          <w:tcPr>
            <w:tcW w:w="140" w:type="dxa"/>
            <w:tcBorders>
              <w:right w:val="single" w:sz="8" w:space="0" w:color="CF9901"/>
            </w:tcBorders>
            <w:shd w:val="clear" w:color="auto" w:fill="FEC930"/>
            <w:vAlign w:val="bottom"/>
          </w:tcPr>
          <w:p w:rsidR="00AC12B4" w:rsidRDefault="00AC12B4">
            <w:pPr>
              <w:rPr>
                <w:sz w:val="14"/>
                <w:szCs w:val="14"/>
              </w:rPr>
            </w:pPr>
          </w:p>
        </w:tc>
        <w:tc>
          <w:tcPr>
            <w:tcW w:w="1200" w:type="dxa"/>
            <w:gridSpan w:val="3"/>
            <w:vMerge/>
            <w:vAlign w:val="bottom"/>
          </w:tcPr>
          <w:p w:rsidR="00AC12B4" w:rsidRDefault="00AC12B4">
            <w:pPr>
              <w:rPr>
                <w:sz w:val="14"/>
                <w:szCs w:val="14"/>
              </w:rPr>
            </w:pPr>
          </w:p>
        </w:tc>
        <w:tc>
          <w:tcPr>
            <w:tcW w:w="560" w:type="dxa"/>
            <w:gridSpan w:val="3"/>
            <w:vMerge/>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180" w:type="dxa"/>
            <w:tcBorders>
              <w:right w:val="single" w:sz="8" w:space="0" w:color="FEC930"/>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220" w:type="dxa"/>
            <w:gridSpan w:val="6"/>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3"/>
        </w:trPr>
        <w:tc>
          <w:tcPr>
            <w:tcW w:w="3520" w:type="dxa"/>
            <w:gridSpan w:val="5"/>
            <w:vMerge/>
            <w:tcBorders>
              <w:left w:val="single" w:sz="8" w:space="0" w:color="CF9901"/>
            </w:tcBorders>
            <w:shd w:val="clear" w:color="auto" w:fill="FEC930"/>
            <w:vAlign w:val="bottom"/>
          </w:tcPr>
          <w:p w:rsidR="00AC12B4" w:rsidRDefault="00AC12B4">
            <w:pPr>
              <w:rPr>
                <w:sz w:val="8"/>
                <w:szCs w:val="8"/>
              </w:rPr>
            </w:pPr>
          </w:p>
        </w:tc>
        <w:tc>
          <w:tcPr>
            <w:tcW w:w="380" w:type="dxa"/>
            <w:vMerge/>
            <w:shd w:val="clear" w:color="auto" w:fill="FEC930"/>
            <w:vAlign w:val="bottom"/>
          </w:tcPr>
          <w:p w:rsidR="00AC12B4" w:rsidRDefault="00AC12B4">
            <w:pPr>
              <w:rPr>
                <w:sz w:val="8"/>
                <w:szCs w:val="8"/>
              </w:rPr>
            </w:pPr>
          </w:p>
        </w:tc>
        <w:tc>
          <w:tcPr>
            <w:tcW w:w="900" w:type="dxa"/>
            <w:gridSpan w:val="3"/>
            <w:vMerge/>
            <w:shd w:val="clear" w:color="auto" w:fill="FEC930"/>
            <w:vAlign w:val="bottom"/>
          </w:tcPr>
          <w:p w:rsidR="00AC12B4" w:rsidRDefault="00AC12B4">
            <w:pPr>
              <w:rPr>
                <w:sz w:val="8"/>
                <w:szCs w:val="8"/>
              </w:rPr>
            </w:pPr>
          </w:p>
        </w:tc>
        <w:tc>
          <w:tcPr>
            <w:tcW w:w="1220" w:type="dxa"/>
            <w:vMerge/>
            <w:shd w:val="clear" w:color="auto" w:fill="FEC930"/>
            <w:vAlign w:val="bottom"/>
          </w:tcPr>
          <w:p w:rsidR="00AC12B4" w:rsidRDefault="00AC12B4">
            <w:pPr>
              <w:rPr>
                <w:sz w:val="8"/>
                <w:szCs w:val="8"/>
              </w:rPr>
            </w:pPr>
          </w:p>
        </w:tc>
        <w:tc>
          <w:tcPr>
            <w:tcW w:w="140" w:type="dxa"/>
            <w:tcBorders>
              <w:right w:val="single" w:sz="8" w:space="0" w:color="CF9901"/>
            </w:tcBorders>
            <w:shd w:val="clear" w:color="auto" w:fill="FEC930"/>
            <w:vAlign w:val="bottom"/>
          </w:tcPr>
          <w:p w:rsidR="00AC12B4" w:rsidRDefault="00AC12B4">
            <w:pPr>
              <w:rPr>
                <w:sz w:val="8"/>
                <w:szCs w:val="8"/>
              </w:rPr>
            </w:pPr>
          </w:p>
        </w:tc>
        <w:tc>
          <w:tcPr>
            <w:tcW w:w="1200" w:type="dxa"/>
            <w:gridSpan w:val="3"/>
            <w:vMerge w:val="restart"/>
            <w:vAlign w:val="bottom"/>
          </w:tcPr>
          <w:p w:rsidR="00AC12B4" w:rsidRDefault="00C27636">
            <w:pPr>
              <w:ind w:left="200"/>
              <w:rPr>
                <w:sz w:val="20"/>
                <w:szCs w:val="20"/>
              </w:rPr>
            </w:pPr>
            <w:r>
              <w:rPr>
                <w:rFonts w:ascii="Calibri" w:eastAsia="Calibri" w:hAnsi="Calibri" w:cs="Calibri"/>
              </w:rPr>
              <w:t>mesures</w:t>
            </w:r>
          </w:p>
        </w:tc>
        <w:tc>
          <w:tcPr>
            <w:tcW w:w="140" w:type="dxa"/>
            <w:vAlign w:val="bottom"/>
          </w:tcPr>
          <w:p w:rsidR="00AC12B4" w:rsidRDefault="00AC12B4">
            <w:pPr>
              <w:rPr>
                <w:sz w:val="8"/>
                <w:szCs w:val="8"/>
              </w:rPr>
            </w:pPr>
          </w:p>
        </w:tc>
        <w:tc>
          <w:tcPr>
            <w:tcW w:w="140" w:type="dxa"/>
            <w:vAlign w:val="bottom"/>
          </w:tcPr>
          <w:p w:rsidR="00AC12B4" w:rsidRDefault="00AC12B4">
            <w:pPr>
              <w:rPr>
                <w:sz w:val="8"/>
                <w:szCs w:val="8"/>
              </w:rPr>
            </w:pPr>
          </w:p>
        </w:tc>
        <w:tc>
          <w:tcPr>
            <w:tcW w:w="280" w:type="dxa"/>
            <w:vAlign w:val="bottom"/>
          </w:tcPr>
          <w:p w:rsidR="00AC12B4" w:rsidRDefault="00AC12B4">
            <w:pPr>
              <w:rPr>
                <w:sz w:val="8"/>
                <w:szCs w:val="8"/>
              </w:rPr>
            </w:pPr>
          </w:p>
        </w:tc>
        <w:tc>
          <w:tcPr>
            <w:tcW w:w="200" w:type="dxa"/>
            <w:vAlign w:val="bottom"/>
          </w:tcPr>
          <w:p w:rsidR="00AC12B4" w:rsidRDefault="00AC12B4">
            <w:pPr>
              <w:rPr>
                <w:sz w:val="8"/>
                <w:szCs w:val="8"/>
              </w:rPr>
            </w:pPr>
          </w:p>
        </w:tc>
        <w:tc>
          <w:tcPr>
            <w:tcW w:w="180" w:type="dxa"/>
            <w:tcBorders>
              <w:right w:val="single" w:sz="8" w:space="0" w:color="FEC93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220" w:type="dxa"/>
            <w:gridSpan w:val="6"/>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6"/>
        </w:trPr>
        <w:tc>
          <w:tcPr>
            <w:tcW w:w="2140" w:type="dxa"/>
            <w:gridSpan w:val="2"/>
            <w:vMerge w:val="restart"/>
            <w:tcBorders>
              <w:left w:val="single" w:sz="8" w:space="0" w:color="CF9901"/>
            </w:tcBorders>
            <w:shd w:val="clear" w:color="auto" w:fill="FEC930"/>
            <w:vAlign w:val="bottom"/>
          </w:tcPr>
          <w:p w:rsidR="00AC12B4" w:rsidRDefault="00C27636">
            <w:pPr>
              <w:spacing w:line="267" w:lineRule="exact"/>
              <w:ind w:left="580"/>
              <w:rPr>
                <w:sz w:val="20"/>
                <w:szCs w:val="20"/>
              </w:rPr>
            </w:pPr>
            <w:r>
              <w:rPr>
                <w:rFonts w:ascii="Calibri" w:eastAsia="Calibri" w:hAnsi="Calibri" w:cs="Calibri"/>
                <w:i/>
                <w:iCs/>
                <w:color w:val="FFFFFF"/>
              </w:rPr>
              <w:t>lorsqu’ils vivent</w:t>
            </w:r>
          </w:p>
        </w:tc>
        <w:tc>
          <w:tcPr>
            <w:tcW w:w="1080" w:type="dxa"/>
            <w:vMerge w:val="restart"/>
            <w:shd w:val="clear" w:color="auto" w:fill="FEC930"/>
            <w:vAlign w:val="bottom"/>
          </w:tcPr>
          <w:p w:rsidR="00AC12B4" w:rsidRDefault="00C27636">
            <w:pPr>
              <w:spacing w:line="267" w:lineRule="exact"/>
              <w:rPr>
                <w:sz w:val="20"/>
                <w:szCs w:val="20"/>
              </w:rPr>
            </w:pPr>
            <w:r>
              <w:rPr>
                <w:rFonts w:ascii="Calibri" w:eastAsia="Calibri" w:hAnsi="Calibri" w:cs="Calibri"/>
                <w:i/>
                <w:iCs/>
                <w:color w:val="FFFFFF"/>
                <w:w w:val="99"/>
              </w:rPr>
              <w:t>séparément</w:t>
            </w:r>
          </w:p>
        </w:tc>
        <w:tc>
          <w:tcPr>
            <w:tcW w:w="300" w:type="dxa"/>
            <w:gridSpan w:val="2"/>
            <w:vMerge w:val="restart"/>
            <w:shd w:val="clear" w:color="auto" w:fill="FEC930"/>
            <w:vAlign w:val="bottom"/>
          </w:tcPr>
          <w:p w:rsidR="00AC12B4" w:rsidRDefault="00C27636">
            <w:pPr>
              <w:spacing w:line="267" w:lineRule="exact"/>
              <w:ind w:left="100"/>
              <w:rPr>
                <w:sz w:val="20"/>
                <w:szCs w:val="20"/>
              </w:rPr>
            </w:pPr>
            <w:r>
              <w:rPr>
                <w:rFonts w:ascii="Calibri" w:eastAsia="Calibri" w:hAnsi="Calibri" w:cs="Calibri"/>
                <w:i/>
                <w:iCs/>
                <w:color w:val="FFFFFF"/>
              </w:rPr>
              <w:t>et</w:t>
            </w:r>
          </w:p>
        </w:tc>
        <w:tc>
          <w:tcPr>
            <w:tcW w:w="800" w:type="dxa"/>
            <w:gridSpan w:val="2"/>
            <w:vMerge w:val="restart"/>
            <w:shd w:val="clear" w:color="auto" w:fill="FEC930"/>
            <w:vAlign w:val="bottom"/>
          </w:tcPr>
          <w:p w:rsidR="00AC12B4" w:rsidRDefault="00C27636">
            <w:pPr>
              <w:spacing w:line="267" w:lineRule="exact"/>
              <w:jc w:val="right"/>
              <w:rPr>
                <w:sz w:val="20"/>
                <w:szCs w:val="20"/>
              </w:rPr>
            </w:pPr>
            <w:r>
              <w:rPr>
                <w:rFonts w:ascii="Calibri" w:eastAsia="Calibri" w:hAnsi="Calibri" w:cs="Calibri"/>
                <w:i/>
                <w:iCs/>
                <w:color w:val="FFFFFF"/>
              </w:rPr>
              <w:t>qu’une</w:t>
            </w:r>
          </w:p>
        </w:tc>
        <w:tc>
          <w:tcPr>
            <w:tcW w:w="1700" w:type="dxa"/>
            <w:gridSpan w:val="3"/>
            <w:vMerge w:val="restart"/>
            <w:shd w:val="clear" w:color="auto" w:fill="FEC930"/>
            <w:vAlign w:val="bottom"/>
          </w:tcPr>
          <w:p w:rsidR="00AC12B4" w:rsidRDefault="00C27636">
            <w:pPr>
              <w:spacing w:line="267" w:lineRule="exact"/>
              <w:jc w:val="right"/>
              <w:rPr>
                <w:sz w:val="20"/>
                <w:szCs w:val="20"/>
              </w:rPr>
            </w:pPr>
            <w:r>
              <w:rPr>
                <w:rFonts w:ascii="Calibri" w:eastAsia="Calibri" w:hAnsi="Calibri" w:cs="Calibri"/>
                <w:i/>
                <w:iCs/>
                <w:color w:val="FFFFFF"/>
              </w:rPr>
              <w:t>décision doit être</w:t>
            </w:r>
          </w:p>
        </w:tc>
        <w:tc>
          <w:tcPr>
            <w:tcW w:w="140" w:type="dxa"/>
            <w:tcBorders>
              <w:right w:val="single" w:sz="8" w:space="0" w:color="CF9901"/>
            </w:tcBorders>
            <w:shd w:val="clear" w:color="auto" w:fill="FEC930"/>
            <w:vAlign w:val="bottom"/>
          </w:tcPr>
          <w:p w:rsidR="00AC12B4" w:rsidRDefault="00AC12B4">
            <w:pPr>
              <w:rPr>
                <w:sz w:val="14"/>
                <w:szCs w:val="14"/>
              </w:rPr>
            </w:pPr>
          </w:p>
        </w:tc>
        <w:tc>
          <w:tcPr>
            <w:tcW w:w="1200" w:type="dxa"/>
            <w:gridSpan w:val="3"/>
            <w:vMerge/>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80" w:type="dxa"/>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180" w:type="dxa"/>
            <w:tcBorders>
              <w:right w:val="single" w:sz="8" w:space="0" w:color="FEC930"/>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220" w:type="dxa"/>
            <w:gridSpan w:val="6"/>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1"/>
        </w:trPr>
        <w:tc>
          <w:tcPr>
            <w:tcW w:w="2140" w:type="dxa"/>
            <w:gridSpan w:val="2"/>
            <w:vMerge/>
            <w:tcBorders>
              <w:left w:val="single" w:sz="8" w:space="0" w:color="CF9901"/>
            </w:tcBorders>
            <w:shd w:val="clear" w:color="auto" w:fill="FEC930"/>
            <w:vAlign w:val="bottom"/>
          </w:tcPr>
          <w:p w:rsidR="00AC12B4" w:rsidRDefault="00AC12B4">
            <w:pPr>
              <w:rPr>
                <w:sz w:val="8"/>
                <w:szCs w:val="8"/>
              </w:rPr>
            </w:pPr>
          </w:p>
        </w:tc>
        <w:tc>
          <w:tcPr>
            <w:tcW w:w="1080" w:type="dxa"/>
            <w:vMerge/>
            <w:shd w:val="clear" w:color="auto" w:fill="FEC930"/>
            <w:vAlign w:val="bottom"/>
          </w:tcPr>
          <w:p w:rsidR="00AC12B4" w:rsidRDefault="00AC12B4">
            <w:pPr>
              <w:rPr>
                <w:sz w:val="8"/>
                <w:szCs w:val="8"/>
              </w:rPr>
            </w:pPr>
          </w:p>
        </w:tc>
        <w:tc>
          <w:tcPr>
            <w:tcW w:w="300" w:type="dxa"/>
            <w:gridSpan w:val="2"/>
            <w:vMerge/>
            <w:shd w:val="clear" w:color="auto" w:fill="FEC930"/>
            <w:vAlign w:val="bottom"/>
          </w:tcPr>
          <w:p w:rsidR="00AC12B4" w:rsidRDefault="00AC12B4">
            <w:pPr>
              <w:rPr>
                <w:sz w:val="8"/>
                <w:szCs w:val="8"/>
              </w:rPr>
            </w:pPr>
          </w:p>
        </w:tc>
        <w:tc>
          <w:tcPr>
            <w:tcW w:w="800" w:type="dxa"/>
            <w:gridSpan w:val="2"/>
            <w:vMerge/>
            <w:shd w:val="clear" w:color="auto" w:fill="FEC930"/>
            <w:vAlign w:val="bottom"/>
          </w:tcPr>
          <w:p w:rsidR="00AC12B4" w:rsidRDefault="00AC12B4">
            <w:pPr>
              <w:rPr>
                <w:sz w:val="8"/>
                <w:szCs w:val="8"/>
              </w:rPr>
            </w:pPr>
          </w:p>
        </w:tc>
        <w:tc>
          <w:tcPr>
            <w:tcW w:w="1700" w:type="dxa"/>
            <w:gridSpan w:val="3"/>
            <w:vMerge/>
            <w:shd w:val="clear" w:color="auto" w:fill="FEC930"/>
            <w:vAlign w:val="bottom"/>
          </w:tcPr>
          <w:p w:rsidR="00AC12B4" w:rsidRDefault="00AC12B4">
            <w:pPr>
              <w:rPr>
                <w:sz w:val="8"/>
                <w:szCs w:val="8"/>
              </w:rPr>
            </w:pPr>
          </w:p>
        </w:tc>
        <w:tc>
          <w:tcPr>
            <w:tcW w:w="140" w:type="dxa"/>
            <w:tcBorders>
              <w:right w:val="single" w:sz="8" w:space="0" w:color="CF9901"/>
            </w:tcBorders>
            <w:shd w:val="clear" w:color="auto" w:fill="FEC930"/>
            <w:vAlign w:val="bottom"/>
          </w:tcPr>
          <w:p w:rsidR="00AC12B4" w:rsidRDefault="00AC12B4">
            <w:pPr>
              <w:rPr>
                <w:sz w:val="8"/>
                <w:szCs w:val="8"/>
              </w:rPr>
            </w:pPr>
          </w:p>
        </w:tc>
        <w:tc>
          <w:tcPr>
            <w:tcW w:w="1480" w:type="dxa"/>
            <w:gridSpan w:val="5"/>
            <w:vMerge w:val="restart"/>
            <w:vAlign w:val="bottom"/>
          </w:tcPr>
          <w:p w:rsidR="00AC12B4" w:rsidRDefault="00C27636">
            <w:pPr>
              <w:ind w:left="200"/>
              <w:rPr>
                <w:sz w:val="20"/>
                <w:szCs w:val="20"/>
              </w:rPr>
            </w:pPr>
            <w:r>
              <w:rPr>
                <w:rFonts w:ascii="Calibri" w:eastAsia="Calibri" w:hAnsi="Calibri" w:cs="Calibri"/>
              </w:rPr>
              <w:t>restauratrices</w:t>
            </w:r>
          </w:p>
        </w:tc>
        <w:tc>
          <w:tcPr>
            <w:tcW w:w="280" w:type="dxa"/>
            <w:vMerge w:val="restart"/>
            <w:vAlign w:val="bottom"/>
          </w:tcPr>
          <w:p w:rsidR="00AC12B4" w:rsidRDefault="00C27636">
            <w:pPr>
              <w:jc w:val="right"/>
              <w:rPr>
                <w:sz w:val="20"/>
                <w:szCs w:val="20"/>
              </w:rPr>
            </w:pPr>
            <w:r>
              <w:rPr>
                <w:rFonts w:ascii="Calibri" w:eastAsia="Calibri" w:hAnsi="Calibri" w:cs="Calibri"/>
              </w:rPr>
              <w:t>à</w:t>
            </w:r>
          </w:p>
        </w:tc>
        <w:tc>
          <w:tcPr>
            <w:tcW w:w="200" w:type="dxa"/>
            <w:vAlign w:val="bottom"/>
          </w:tcPr>
          <w:p w:rsidR="00AC12B4" w:rsidRDefault="00AC12B4">
            <w:pPr>
              <w:rPr>
                <w:sz w:val="8"/>
                <w:szCs w:val="8"/>
              </w:rPr>
            </w:pPr>
          </w:p>
        </w:tc>
        <w:tc>
          <w:tcPr>
            <w:tcW w:w="180" w:type="dxa"/>
            <w:tcBorders>
              <w:right w:val="single" w:sz="8" w:space="0" w:color="FEC93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220" w:type="dxa"/>
            <w:gridSpan w:val="6"/>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168"/>
        </w:trPr>
        <w:tc>
          <w:tcPr>
            <w:tcW w:w="4800" w:type="dxa"/>
            <w:gridSpan w:val="9"/>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prise au sujet du lieu de résidence de l’enfant.</w:t>
            </w:r>
          </w:p>
        </w:tc>
        <w:tc>
          <w:tcPr>
            <w:tcW w:w="1220" w:type="dxa"/>
            <w:shd w:val="clear" w:color="auto" w:fill="FEC930"/>
            <w:vAlign w:val="bottom"/>
          </w:tcPr>
          <w:p w:rsidR="00AC12B4" w:rsidRPr="00C27636" w:rsidRDefault="00AC12B4">
            <w:pPr>
              <w:rPr>
                <w:sz w:val="14"/>
                <w:szCs w:val="14"/>
                <w:lang w:val="fr-BE"/>
              </w:rPr>
            </w:pPr>
          </w:p>
        </w:tc>
        <w:tc>
          <w:tcPr>
            <w:tcW w:w="14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1480" w:type="dxa"/>
            <w:gridSpan w:val="5"/>
            <w:vMerge/>
            <w:vAlign w:val="bottom"/>
          </w:tcPr>
          <w:p w:rsidR="00AC12B4" w:rsidRPr="00C27636" w:rsidRDefault="00AC12B4">
            <w:pPr>
              <w:rPr>
                <w:sz w:val="14"/>
                <w:szCs w:val="14"/>
                <w:lang w:val="fr-BE"/>
              </w:rPr>
            </w:pPr>
          </w:p>
        </w:tc>
        <w:tc>
          <w:tcPr>
            <w:tcW w:w="280" w:type="dxa"/>
            <w:vMerge/>
            <w:vAlign w:val="bottom"/>
          </w:tcPr>
          <w:p w:rsidR="00AC12B4" w:rsidRPr="00C27636" w:rsidRDefault="00AC12B4">
            <w:pPr>
              <w:rPr>
                <w:sz w:val="14"/>
                <w:szCs w:val="14"/>
                <w:lang w:val="fr-BE"/>
              </w:rPr>
            </w:pPr>
          </w:p>
        </w:tc>
        <w:tc>
          <w:tcPr>
            <w:tcW w:w="200" w:type="dxa"/>
            <w:vAlign w:val="bottom"/>
          </w:tcPr>
          <w:p w:rsidR="00AC12B4" w:rsidRPr="00C27636" w:rsidRDefault="00AC12B4">
            <w:pPr>
              <w:rPr>
                <w:sz w:val="14"/>
                <w:szCs w:val="14"/>
                <w:lang w:val="fr-BE"/>
              </w:rPr>
            </w:pPr>
          </w:p>
        </w:tc>
        <w:tc>
          <w:tcPr>
            <w:tcW w:w="180" w:type="dxa"/>
            <w:tcBorders>
              <w:right w:val="single" w:sz="8" w:space="0" w:color="FEC930"/>
            </w:tcBorders>
            <w:vAlign w:val="bottom"/>
          </w:tcPr>
          <w:p w:rsidR="00AC12B4" w:rsidRPr="00C27636" w:rsidRDefault="00AC12B4">
            <w:pPr>
              <w:rPr>
                <w:sz w:val="14"/>
                <w:szCs w:val="14"/>
                <w:lang w:val="fr-BE"/>
              </w:rPr>
            </w:pPr>
          </w:p>
        </w:tc>
        <w:tc>
          <w:tcPr>
            <w:tcW w:w="140" w:type="dxa"/>
            <w:vAlign w:val="bottom"/>
          </w:tcPr>
          <w:p w:rsidR="00AC12B4" w:rsidRPr="00C27636" w:rsidRDefault="00AC12B4">
            <w:pPr>
              <w:rPr>
                <w:sz w:val="14"/>
                <w:szCs w:val="14"/>
                <w:lang w:val="fr-BE"/>
              </w:rPr>
            </w:pPr>
          </w:p>
        </w:tc>
        <w:tc>
          <w:tcPr>
            <w:tcW w:w="2220" w:type="dxa"/>
            <w:gridSpan w:val="6"/>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1"/>
        </w:trPr>
        <w:tc>
          <w:tcPr>
            <w:tcW w:w="4800" w:type="dxa"/>
            <w:gridSpan w:val="9"/>
            <w:vMerge/>
            <w:tcBorders>
              <w:left w:val="single" w:sz="8" w:space="0" w:color="CF9901"/>
            </w:tcBorders>
            <w:shd w:val="clear" w:color="auto" w:fill="FEC930"/>
            <w:vAlign w:val="bottom"/>
          </w:tcPr>
          <w:p w:rsidR="00AC12B4" w:rsidRPr="00C27636" w:rsidRDefault="00AC12B4">
            <w:pPr>
              <w:rPr>
                <w:sz w:val="8"/>
                <w:szCs w:val="8"/>
                <w:lang w:val="fr-BE"/>
              </w:rPr>
            </w:pPr>
          </w:p>
        </w:tc>
        <w:tc>
          <w:tcPr>
            <w:tcW w:w="1220" w:type="dxa"/>
            <w:shd w:val="clear" w:color="auto" w:fill="FEC930"/>
            <w:vAlign w:val="bottom"/>
          </w:tcPr>
          <w:p w:rsidR="00AC12B4" w:rsidRPr="00C27636" w:rsidRDefault="00AC12B4">
            <w:pPr>
              <w:rPr>
                <w:sz w:val="8"/>
                <w:szCs w:val="8"/>
                <w:lang w:val="fr-BE"/>
              </w:rPr>
            </w:pPr>
          </w:p>
        </w:tc>
        <w:tc>
          <w:tcPr>
            <w:tcW w:w="140" w:type="dxa"/>
            <w:tcBorders>
              <w:right w:val="single" w:sz="8" w:space="0" w:color="CF9901"/>
            </w:tcBorders>
            <w:shd w:val="clear" w:color="auto" w:fill="FEC930"/>
            <w:vAlign w:val="bottom"/>
          </w:tcPr>
          <w:p w:rsidR="00AC12B4" w:rsidRPr="00C27636" w:rsidRDefault="00AC12B4">
            <w:pPr>
              <w:rPr>
                <w:sz w:val="8"/>
                <w:szCs w:val="8"/>
                <w:lang w:val="fr-BE"/>
              </w:rPr>
            </w:pPr>
          </w:p>
        </w:tc>
        <w:tc>
          <w:tcPr>
            <w:tcW w:w="1760" w:type="dxa"/>
            <w:gridSpan w:val="6"/>
            <w:vMerge w:val="restart"/>
            <w:vAlign w:val="bottom"/>
          </w:tcPr>
          <w:p w:rsidR="00AC12B4" w:rsidRDefault="00C27636">
            <w:pPr>
              <w:ind w:left="200"/>
              <w:rPr>
                <w:sz w:val="20"/>
                <w:szCs w:val="20"/>
              </w:rPr>
            </w:pPr>
            <w:r>
              <w:rPr>
                <w:rFonts w:ascii="Calibri" w:eastAsia="Calibri" w:hAnsi="Calibri" w:cs="Calibri"/>
              </w:rPr>
              <w:t>considérer avant</w:t>
            </w:r>
          </w:p>
        </w:tc>
        <w:tc>
          <w:tcPr>
            <w:tcW w:w="200" w:type="dxa"/>
            <w:vAlign w:val="bottom"/>
          </w:tcPr>
          <w:p w:rsidR="00AC12B4" w:rsidRDefault="00AC12B4">
            <w:pPr>
              <w:rPr>
                <w:sz w:val="8"/>
                <w:szCs w:val="8"/>
              </w:rPr>
            </w:pPr>
          </w:p>
        </w:tc>
        <w:tc>
          <w:tcPr>
            <w:tcW w:w="180" w:type="dxa"/>
            <w:tcBorders>
              <w:right w:val="single" w:sz="8" w:space="0" w:color="FEC930"/>
            </w:tcBorders>
            <w:vAlign w:val="bottom"/>
          </w:tcPr>
          <w:p w:rsidR="00AC12B4" w:rsidRDefault="00AC12B4">
            <w:pPr>
              <w:rPr>
                <w:sz w:val="8"/>
                <w:szCs w:val="8"/>
              </w:rPr>
            </w:pPr>
          </w:p>
        </w:tc>
        <w:tc>
          <w:tcPr>
            <w:tcW w:w="140" w:type="dxa"/>
            <w:vAlign w:val="bottom"/>
          </w:tcPr>
          <w:p w:rsidR="00AC12B4" w:rsidRDefault="00AC12B4">
            <w:pPr>
              <w:rPr>
                <w:sz w:val="8"/>
                <w:szCs w:val="8"/>
              </w:rPr>
            </w:pPr>
          </w:p>
        </w:tc>
        <w:tc>
          <w:tcPr>
            <w:tcW w:w="2220" w:type="dxa"/>
            <w:gridSpan w:val="6"/>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68"/>
        </w:trPr>
        <w:tc>
          <w:tcPr>
            <w:tcW w:w="1960" w:type="dxa"/>
            <w:tcBorders>
              <w:left w:val="single" w:sz="8" w:space="0" w:color="CF9901"/>
            </w:tcBorders>
            <w:shd w:val="clear" w:color="auto" w:fill="FEC930"/>
            <w:vAlign w:val="bottom"/>
          </w:tcPr>
          <w:p w:rsidR="00AC12B4" w:rsidRDefault="00AC12B4">
            <w:pPr>
              <w:rPr>
                <w:sz w:val="14"/>
                <w:szCs w:val="14"/>
              </w:rPr>
            </w:pPr>
          </w:p>
        </w:tc>
        <w:tc>
          <w:tcPr>
            <w:tcW w:w="180" w:type="dxa"/>
            <w:shd w:val="clear" w:color="auto" w:fill="FEC930"/>
            <w:vAlign w:val="bottom"/>
          </w:tcPr>
          <w:p w:rsidR="00AC12B4" w:rsidRDefault="00AC12B4">
            <w:pPr>
              <w:rPr>
                <w:sz w:val="14"/>
                <w:szCs w:val="14"/>
              </w:rPr>
            </w:pPr>
          </w:p>
        </w:tc>
        <w:tc>
          <w:tcPr>
            <w:tcW w:w="1080" w:type="dxa"/>
            <w:shd w:val="clear" w:color="auto" w:fill="FEC930"/>
            <w:vAlign w:val="bottom"/>
          </w:tcPr>
          <w:p w:rsidR="00AC12B4" w:rsidRDefault="00AC12B4">
            <w:pPr>
              <w:rPr>
                <w:sz w:val="14"/>
                <w:szCs w:val="14"/>
              </w:rPr>
            </w:pPr>
          </w:p>
        </w:tc>
        <w:tc>
          <w:tcPr>
            <w:tcW w:w="200" w:type="dxa"/>
            <w:shd w:val="clear" w:color="auto" w:fill="FEC930"/>
            <w:vAlign w:val="bottom"/>
          </w:tcPr>
          <w:p w:rsidR="00AC12B4" w:rsidRDefault="00AC12B4">
            <w:pPr>
              <w:rPr>
                <w:sz w:val="14"/>
                <w:szCs w:val="14"/>
              </w:rPr>
            </w:pPr>
          </w:p>
        </w:tc>
        <w:tc>
          <w:tcPr>
            <w:tcW w:w="100" w:type="dxa"/>
            <w:shd w:val="clear" w:color="auto" w:fill="FEC930"/>
            <w:vAlign w:val="bottom"/>
          </w:tcPr>
          <w:p w:rsidR="00AC12B4" w:rsidRDefault="00AC12B4">
            <w:pPr>
              <w:rPr>
                <w:sz w:val="14"/>
                <w:szCs w:val="14"/>
              </w:rPr>
            </w:pPr>
          </w:p>
        </w:tc>
        <w:tc>
          <w:tcPr>
            <w:tcW w:w="380" w:type="dxa"/>
            <w:shd w:val="clear" w:color="auto" w:fill="FEC930"/>
            <w:vAlign w:val="bottom"/>
          </w:tcPr>
          <w:p w:rsidR="00AC12B4" w:rsidRDefault="00AC12B4">
            <w:pPr>
              <w:rPr>
                <w:sz w:val="14"/>
                <w:szCs w:val="14"/>
              </w:rPr>
            </w:pPr>
          </w:p>
        </w:tc>
        <w:tc>
          <w:tcPr>
            <w:tcW w:w="420" w:type="dxa"/>
            <w:shd w:val="clear" w:color="auto" w:fill="FEC930"/>
            <w:vAlign w:val="bottom"/>
          </w:tcPr>
          <w:p w:rsidR="00AC12B4" w:rsidRDefault="00AC12B4">
            <w:pPr>
              <w:rPr>
                <w:sz w:val="14"/>
                <w:szCs w:val="14"/>
              </w:rPr>
            </w:pPr>
          </w:p>
        </w:tc>
        <w:tc>
          <w:tcPr>
            <w:tcW w:w="240" w:type="dxa"/>
            <w:shd w:val="clear" w:color="auto" w:fill="FEC930"/>
            <w:vAlign w:val="bottom"/>
          </w:tcPr>
          <w:p w:rsidR="00AC12B4" w:rsidRDefault="00AC12B4">
            <w:pPr>
              <w:rPr>
                <w:sz w:val="14"/>
                <w:szCs w:val="14"/>
              </w:rPr>
            </w:pPr>
          </w:p>
        </w:tc>
        <w:tc>
          <w:tcPr>
            <w:tcW w:w="240" w:type="dxa"/>
            <w:shd w:val="clear" w:color="auto" w:fill="FEC930"/>
            <w:vAlign w:val="bottom"/>
          </w:tcPr>
          <w:p w:rsidR="00AC12B4" w:rsidRDefault="00AC12B4">
            <w:pPr>
              <w:rPr>
                <w:sz w:val="14"/>
                <w:szCs w:val="14"/>
              </w:rPr>
            </w:pPr>
          </w:p>
        </w:tc>
        <w:tc>
          <w:tcPr>
            <w:tcW w:w="1220" w:type="dxa"/>
            <w:shd w:val="clear" w:color="auto" w:fill="FEC930"/>
            <w:vAlign w:val="bottom"/>
          </w:tcPr>
          <w:p w:rsidR="00AC12B4" w:rsidRDefault="00AC12B4">
            <w:pPr>
              <w:rPr>
                <w:sz w:val="14"/>
                <w:szCs w:val="14"/>
              </w:rPr>
            </w:pPr>
          </w:p>
        </w:tc>
        <w:tc>
          <w:tcPr>
            <w:tcW w:w="140" w:type="dxa"/>
            <w:tcBorders>
              <w:right w:val="single" w:sz="8" w:space="0" w:color="CF9901"/>
            </w:tcBorders>
            <w:shd w:val="clear" w:color="auto" w:fill="FEC930"/>
            <w:vAlign w:val="bottom"/>
          </w:tcPr>
          <w:p w:rsidR="00AC12B4" w:rsidRDefault="00AC12B4">
            <w:pPr>
              <w:rPr>
                <w:sz w:val="14"/>
                <w:szCs w:val="14"/>
              </w:rPr>
            </w:pPr>
          </w:p>
        </w:tc>
        <w:tc>
          <w:tcPr>
            <w:tcW w:w="1760" w:type="dxa"/>
            <w:gridSpan w:val="6"/>
            <w:vMerge/>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180" w:type="dxa"/>
            <w:tcBorders>
              <w:right w:val="single" w:sz="8" w:space="0" w:color="FEC930"/>
            </w:tcBorders>
            <w:vAlign w:val="bottom"/>
          </w:tcPr>
          <w:p w:rsidR="00AC12B4" w:rsidRDefault="00AC12B4">
            <w:pPr>
              <w:rPr>
                <w:sz w:val="14"/>
                <w:szCs w:val="14"/>
              </w:rPr>
            </w:pPr>
          </w:p>
        </w:tc>
        <w:tc>
          <w:tcPr>
            <w:tcW w:w="140" w:type="dxa"/>
            <w:vAlign w:val="bottom"/>
          </w:tcPr>
          <w:p w:rsidR="00AC12B4" w:rsidRDefault="00AC12B4">
            <w:pPr>
              <w:rPr>
                <w:sz w:val="14"/>
                <w:szCs w:val="14"/>
              </w:rPr>
            </w:pPr>
          </w:p>
        </w:tc>
        <w:tc>
          <w:tcPr>
            <w:tcW w:w="2220" w:type="dxa"/>
            <w:gridSpan w:val="6"/>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318"/>
        </w:trPr>
        <w:tc>
          <w:tcPr>
            <w:tcW w:w="1960" w:type="dxa"/>
            <w:tcBorders>
              <w:left w:val="single" w:sz="8" w:space="0" w:color="CF9901"/>
            </w:tcBorders>
            <w:shd w:val="clear" w:color="auto" w:fill="FEC930"/>
            <w:vAlign w:val="bottom"/>
          </w:tcPr>
          <w:p w:rsidR="00AC12B4" w:rsidRDefault="00C27636">
            <w:pPr>
              <w:spacing w:line="221" w:lineRule="exact"/>
              <w:ind w:left="580"/>
              <w:rPr>
                <w:sz w:val="20"/>
                <w:szCs w:val="20"/>
              </w:rPr>
            </w:pPr>
            <w:r>
              <w:rPr>
                <w:rFonts w:ascii="Calibri" w:eastAsia="Calibri" w:hAnsi="Calibri" w:cs="Calibri"/>
                <w:i/>
                <w:iCs/>
                <w:color w:val="FFFFFF"/>
              </w:rPr>
              <w:t>Article 25 CIDE</w:t>
            </w:r>
          </w:p>
        </w:tc>
        <w:tc>
          <w:tcPr>
            <w:tcW w:w="180" w:type="dxa"/>
            <w:shd w:val="clear" w:color="auto" w:fill="FEC930"/>
            <w:vAlign w:val="bottom"/>
          </w:tcPr>
          <w:p w:rsidR="00AC12B4" w:rsidRDefault="00AC12B4">
            <w:pPr>
              <w:rPr>
                <w:sz w:val="24"/>
                <w:szCs w:val="24"/>
              </w:rPr>
            </w:pPr>
          </w:p>
        </w:tc>
        <w:tc>
          <w:tcPr>
            <w:tcW w:w="1080" w:type="dxa"/>
            <w:shd w:val="clear" w:color="auto" w:fill="FEC930"/>
            <w:vAlign w:val="bottom"/>
          </w:tcPr>
          <w:p w:rsidR="00AC12B4" w:rsidRDefault="00AC12B4">
            <w:pPr>
              <w:rPr>
                <w:sz w:val="24"/>
                <w:szCs w:val="24"/>
              </w:rPr>
            </w:pPr>
          </w:p>
        </w:tc>
        <w:tc>
          <w:tcPr>
            <w:tcW w:w="200" w:type="dxa"/>
            <w:shd w:val="clear" w:color="auto" w:fill="FEC930"/>
            <w:vAlign w:val="bottom"/>
          </w:tcPr>
          <w:p w:rsidR="00AC12B4" w:rsidRDefault="00AC12B4">
            <w:pPr>
              <w:rPr>
                <w:sz w:val="24"/>
                <w:szCs w:val="24"/>
              </w:rPr>
            </w:pPr>
          </w:p>
        </w:tc>
        <w:tc>
          <w:tcPr>
            <w:tcW w:w="100" w:type="dxa"/>
            <w:shd w:val="clear" w:color="auto" w:fill="FEC930"/>
            <w:vAlign w:val="bottom"/>
          </w:tcPr>
          <w:p w:rsidR="00AC12B4" w:rsidRDefault="00AC12B4">
            <w:pPr>
              <w:rPr>
                <w:sz w:val="24"/>
                <w:szCs w:val="24"/>
              </w:rPr>
            </w:pPr>
          </w:p>
        </w:tc>
        <w:tc>
          <w:tcPr>
            <w:tcW w:w="380" w:type="dxa"/>
            <w:shd w:val="clear" w:color="auto" w:fill="FEC930"/>
            <w:vAlign w:val="bottom"/>
          </w:tcPr>
          <w:p w:rsidR="00AC12B4" w:rsidRDefault="00AC12B4">
            <w:pPr>
              <w:rPr>
                <w:sz w:val="24"/>
                <w:szCs w:val="24"/>
              </w:rPr>
            </w:pPr>
          </w:p>
        </w:tc>
        <w:tc>
          <w:tcPr>
            <w:tcW w:w="420" w:type="dxa"/>
            <w:shd w:val="clear" w:color="auto" w:fill="FEC930"/>
            <w:vAlign w:val="bottom"/>
          </w:tcPr>
          <w:p w:rsidR="00AC12B4" w:rsidRDefault="00AC12B4">
            <w:pPr>
              <w:rPr>
                <w:sz w:val="24"/>
                <w:szCs w:val="24"/>
              </w:rPr>
            </w:pPr>
          </w:p>
        </w:tc>
        <w:tc>
          <w:tcPr>
            <w:tcW w:w="240" w:type="dxa"/>
            <w:shd w:val="clear" w:color="auto" w:fill="FEC930"/>
            <w:vAlign w:val="bottom"/>
          </w:tcPr>
          <w:p w:rsidR="00AC12B4" w:rsidRDefault="00AC12B4">
            <w:pPr>
              <w:rPr>
                <w:sz w:val="24"/>
                <w:szCs w:val="24"/>
              </w:rPr>
            </w:pPr>
          </w:p>
        </w:tc>
        <w:tc>
          <w:tcPr>
            <w:tcW w:w="240" w:type="dxa"/>
            <w:shd w:val="clear" w:color="auto" w:fill="FEC930"/>
            <w:vAlign w:val="bottom"/>
          </w:tcPr>
          <w:p w:rsidR="00AC12B4" w:rsidRDefault="00AC12B4">
            <w:pPr>
              <w:rPr>
                <w:sz w:val="24"/>
                <w:szCs w:val="24"/>
              </w:rPr>
            </w:pPr>
          </w:p>
        </w:tc>
        <w:tc>
          <w:tcPr>
            <w:tcW w:w="1220" w:type="dxa"/>
            <w:shd w:val="clear" w:color="auto" w:fill="FEC930"/>
            <w:vAlign w:val="bottom"/>
          </w:tcPr>
          <w:p w:rsidR="00AC12B4" w:rsidRDefault="00AC12B4">
            <w:pPr>
              <w:rPr>
                <w:sz w:val="24"/>
                <w:szCs w:val="24"/>
              </w:rPr>
            </w:pPr>
          </w:p>
        </w:tc>
        <w:tc>
          <w:tcPr>
            <w:tcW w:w="140" w:type="dxa"/>
            <w:tcBorders>
              <w:right w:val="single" w:sz="8" w:space="0" w:color="CF9901"/>
            </w:tcBorders>
            <w:shd w:val="clear" w:color="auto" w:fill="FEC930"/>
            <w:vAlign w:val="bottom"/>
          </w:tcPr>
          <w:p w:rsidR="00AC12B4" w:rsidRDefault="00AC12B4">
            <w:pPr>
              <w:rPr>
                <w:sz w:val="24"/>
                <w:szCs w:val="24"/>
              </w:rPr>
            </w:pPr>
          </w:p>
        </w:tc>
        <w:tc>
          <w:tcPr>
            <w:tcW w:w="800" w:type="dxa"/>
            <w:gridSpan w:val="2"/>
            <w:vAlign w:val="bottom"/>
          </w:tcPr>
          <w:p w:rsidR="00AC12B4" w:rsidRDefault="00C27636">
            <w:pPr>
              <w:ind w:left="200"/>
              <w:rPr>
                <w:sz w:val="20"/>
                <w:szCs w:val="20"/>
              </w:rPr>
            </w:pPr>
            <w:r>
              <w:rPr>
                <w:rFonts w:ascii="Calibri" w:eastAsia="Calibri" w:hAnsi="Calibri" w:cs="Calibri"/>
              </w:rPr>
              <w:t>toute</w:t>
            </w:r>
          </w:p>
        </w:tc>
        <w:tc>
          <w:tcPr>
            <w:tcW w:w="400" w:type="dxa"/>
            <w:vAlign w:val="bottom"/>
          </w:tcPr>
          <w:p w:rsidR="00AC12B4" w:rsidRDefault="00AC12B4">
            <w:pPr>
              <w:rPr>
                <w:sz w:val="24"/>
                <w:szCs w:val="24"/>
              </w:rPr>
            </w:pPr>
          </w:p>
        </w:tc>
        <w:tc>
          <w:tcPr>
            <w:tcW w:w="560" w:type="dxa"/>
            <w:gridSpan w:val="3"/>
            <w:vAlign w:val="bottom"/>
          </w:tcPr>
          <w:p w:rsidR="00AC12B4" w:rsidRDefault="00C27636">
            <w:pPr>
              <w:jc w:val="right"/>
              <w:rPr>
                <w:sz w:val="20"/>
                <w:szCs w:val="20"/>
              </w:rPr>
            </w:pPr>
            <w:r>
              <w:rPr>
                <w:rFonts w:ascii="Calibri" w:eastAsia="Calibri" w:hAnsi="Calibri" w:cs="Calibri"/>
              </w:rPr>
              <w:t>autre</w:t>
            </w:r>
          </w:p>
        </w:tc>
        <w:tc>
          <w:tcPr>
            <w:tcW w:w="200" w:type="dxa"/>
            <w:vAlign w:val="bottom"/>
          </w:tcPr>
          <w:p w:rsidR="00AC12B4" w:rsidRDefault="00AC12B4">
            <w:pPr>
              <w:rPr>
                <w:sz w:val="24"/>
                <w:szCs w:val="24"/>
              </w:rPr>
            </w:pPr>
          </w:p>
        </w:tc>
        <w:tc>
          <w:tcPr>
            <w:tcW w:w="180" w:type="dxa"/>
            <w:tcBorders>
              <w:right w:val="single" w:sz="8" w:space="0" w:color="FEC930"/>
            </w:tcBorders>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220" w:type="dxa"/>
            <w:gridSpan w:val="6"/>
            <w:vMerge/>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Les Etats parties reconnaissent à l’enfant</w:t>
            </w:r>
            <w:r w:rsidRPr="00C27636">
              <w:rPr>
                <w:rFonts w:ascii="Calibri" w:eastAsia="Calibri" w:hAnsi="Calibri" w:cs="Calibri"/>
                <w:i/>
                <w:iCs/>
                <w:color w:val="FFFFFF"/>
                <w:lang w:val="fr-BE"/>
              </w:rPr>
              <w:t xml:space="preserve"> qui a été placé par</w:t>
            </w:r>
          </w:p>
        </w:tc>
        <w:tc>
          <w:tcPr>
            <w:tcW w:w="14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1200" w:type="dxa"/>
            <w:gridSpan w:val="3"/>
            <w:vAlign w:val="bottom"/>
          </w:tcPr>
          <w:p w:rsidR="00AC12B4" w:rsidRDefault="00C27636">
            <w:pPr>
              <w:spacing w:line="220" w:lineRule="exact"/>
              <w:ind w:left="200"/>
              <w:rPr>
                <w:sz w:val="20"/>
                <w:szCs w:val="20"/>
              </w:rPr>
            </w:pPr>
            <w:r>
              <w:rPr>
                <w:rFonts w:ascii="Calibri" w:eastAsia="Calibri" w:hAnsi="Calibri" w:cs="Calibri"/>
              </w:rPr>
              <w:t>mesure</w:t>
            </w:r>
          </w:p>
        </w:tc>
        <w:tc>
          <w:tcPr>
            <w:tcW w:w="14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C27636">
            <w:pPr>
              <w:spacing w:line="220" w:lineRule="exact"/>
              <w:jc w:val="right"/>
              <w:rPr>
                <w:sz w:val="20"/>
                <w:szCs w:val="20"/>
              </w:rPr>
            </w:pPr>
            <w:r>
              <w:rPr>
                <w:rFonts w:ascii="Calibri" w:eastAsia="Calibri" w:hAnsi="Calibri" w:cs="Calibri"/>
                <w:w w:val="99"/>
              </w:rPr>
              <w:t>au</w:t>
            </w:r>
          </w:p>
        </w:tc>
        <w:tc>
          <w:tcPr>
            <w:tcW w:w="200" w:type="dxa"/>
            <w:vAlign w:val="bottom"/>
          </w:tcPr>
          <w:p w:rsidR="00AC12B4" w:rsidRDefault="00AC12B4">
            <w:pPr>
              <w:rPr>
                <w:sz w:val="23"/>
                <w:szCs w:val="23"/>
              </w:rPr>
            </w:pPr>
          </w:p>
        </w:tc>
        <w:tc>
          <w:tcPr>
            <w:tcW w:w="180" w:type="dxa"/>
            <w:tcBorders>
              <w:right w:val="single" w:sz="8" w:space="0" w:color="FEC930"/>
            </w:tcBorders>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80" w:type="dxa"/>
            <w:vAlign w:val="bottom"/>
          </w:tcPr>
          <w:p w:rsidR="00AC12B4" w:rsidRDefault="00C27636">
            <w:pPr>
              <w:spacing w:line="269" w:lineRule="exact"/>
              <w:ind w:left="20"/>
              <w:rPr>
                <w:sz w:val="20"/>
                <w:szCs w:val="20"/>
              </w:rPr>
            </w:pPr>
            <w:r>
              <w:rPr>
                <w:rFonts w:ascii="Comic Sans MS" w:eastAsia="Comic Sans MS" w:hAnsi="Comic Sans MS" w:cs="Comic Sans MS"/>
                <w:color w:val="0D0D0D"/>
                <w:w w:val="85"/>
                <w:sz w:val="20"/>
                <w:szCs w:val="20"/>
              </w:rPr>
              <w:t>Il</w:t>
            </w:r>
          </w:p>
        </w:tc>
        <w:tc>
          <w:tcPr>
            <w:tcW w:w="660" w:type="dxa"/>
            <w:gridSpan w:val="2"/>
            <w:vAlign w:val="bottom"/>
          </w:tcPr>
          <w:p w:rsidR="00AC12B4" w:rsidRDefault="00C27636">
            <w:pPr>
              <w:spacing w:line="269" w:lineRule="exact"/>
              <w:ind w:left="220"/>
              <w:rPr>
                <w:sz w:val="20"/>
                <w:szCs w:val="20"/>
              </w:rPr>
            </w:pPr>
            <w:r>
              <w:rPr>
                <w:rFonts w:ascii="Comic Sans MS" w:eastAsia="Comic Sans MS" w:hAnsi="Comic Sans MS" w:cs="Comic Sans MS"/>
                <w:color w:val="0D0D0D"/>
                <w:w w:val="94"/>
                <w:sz w:val="20"/>
                <w:szCs w:val="20"/>
              </w:rPr>
              <w:t>n’est</w:t>
            </w:r>
          </w:p>
        </w:tc>
        <w:tc>
          <w:tcPr>
            <w:tcW w:w="220" w:type="dxa"/>
            <w:vAlign w:val="bottom"/>
          </w:tcPr>
          <w:p w:rsidR="00AC12B4" w:rsidRDefault="00AC12B4">
            <w:pPr>
              <w:rPr>
                <w:sz w:val="23"/>
                <w:szCs w:val="23"/>
              </w:rPr>
            </w:pPr>
          </w:p>
        </w:tc>
        <w:tc>
          <w:tcPr>
            <w:tcW w:w="320" w:type="dxa"/>
            <w:vAlign w:val="bottom"/>
          </w:tcPr>
          <w:p w:rsidR="00AC12B4" w:rsidRDefault="00C27636">
            <w:pPr>
              <w:spacing w:line="269" w:lineRule="exact"/>
              <w:rPr>
                <w:sz w:val="20"/>
                <w:szCs w:val="20"/>
              </w:rPr>
            </w:pPr>
            <w:r>
              <w:rPr>
                <w:rFonts w:ascii="Comic Sans MS" w:eastAsia="Comic Sans MS" w:hAnsi="Comic Sans MS" w:cs="Comic Sans MS"/>
                <w:color w:val="0D0D0D"/>
                <w:w w:val="97"/>
                <w:sz w:val="20"/>
                <w:szCs w:val="20"/>
              </w:rPr>
              <w:t>pas</w:t>
            </w:r>
          </w:p>
        </w:tc>
        <w:tc>
          <w:tcPr>
            <w:tcW w:w="840" w:type="dxa"/>
            <w:vAlign w:val="bottom"/>
          </w:tcPr>
          <w:p w:rsidR="00AC12B4" w:rsidRDefault="00C27636">
            <w:pPr>
              <w:spacing w:line="269" w:lineRule="exact"/>
              <w:jc w:val="right"/>
              <w:rPr>
                <w:sz w:val="20"/>
                <w:szCs w:val="20"/>
              </w:rPr>
            </w:pPr>
            <w:r>
              <w:rPr>
                <w:rFonts w:ascii="Comic Sans MS" w:eastAsia="Comic Sans MS" w:hAnsi="Comic Sans MS" w:cs="Comic Sans MS"/>
                <w:color w:val="0D0D0D"/>
                <w:sz w:val="20"/>
                <w:szCs w:val="20"/>
              </w:rPr>
              <w:t>encore</w:t>
            </w:r>
          </w:p>
        </w:tc>
        <w:tc>
          <w:tcPr>
            <w:tcW w:w="0" w:type="dxa"/>
            <w:vAlign w:val="bottom"/>
          </w:tcPr>
          <w:p w:rsidR="00AC12B4" w:rsidRDefault="00AC12B4">
            <w:pPr>
              <w:rPr>
                <w:sz w:val="1"/>
                <w:szCs w:val="1"/>
              </w:rPr>
            </w:pPr>
          </w:p>
        </w:tc>
      </w:tr>
      <w:tr w:rsidR="00AC12B4">
        <w:trPr>
          <w:trHeight w:val="269"/>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les autorités compétentes pour recevoir des soins, une</w:t>
            </w:r>
          </w:p>
        </w:tc>
        <w:tc>
          <w:tcPr>
            <w:tcW w:w="14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800" w:type="dxa"/>
            <w:gridSpan w:val="2"/>
            <w:vAlign w:val="bottom"/>
          </w:tcPr>
          <w:p w:rsidR="00AC12B4" w:rsidRDefault="00C27636">
            <w:pPr>
              <w:spacing w:line="220" w:lineRule="exact"/>
              <w:ind w:left="200"/>
              <w:rPr>
                <w:sz w:val="20"/>
                <w:szCs w:val="20"/>
              </w:rPr>
            </w:pPr>
            <w:r>
              <w:rPr>
                <w:rFonts w:ascii="Calibri" w:eastAsia="Calibri" w:hAnsi="Calibri" w:cs="Calibri"/>
                <w:w w:val="97"/>
              </w:rPr>
              <w:t>niveau</w:t>
            </w:r>
          </w:p>
        </w:tc>
        <w:tc>
          <w:tcPr>
            <w:tcW w:w="4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180" w:type="dxa"/>
            <w:tcBorders>
              <w:right w:val="single" w:sz="8" w:space="0" w:color="FEC930"/>
            </w:tcBorders>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840" w:type="dxa"/>
            <w:gridSpan w:val="3"/>
            <w:vAlign w:val="bottom"/>
          </w:tcPr>
          <w:p w:rsidR="00AC12B4" w:rsidRDefault="00C27636">
            <w:pPr>
              <w:spacing w:line="269" w:lineRule="exact"/>
              <w:ind w:left="20"/>
              <w:rPr>
                <w:sz w:val="20"/>
                <w:szCs w:val="20"/>
              </w:rPr>
            </w:pPr>
            <w:r>
              <w:rPr>
                <w:rFonts w:ascii="Comic Sans MS" w:eastAsia="Comic Sans MS" w:hAnsi="Comic Sans MS" w:cs="Comic Sans MS"/>
                <w:color w:val="0D0D0D"/>
                <w:sz w:val="20"/>
                <w:szCs w:val="20"/>
              </w:rPr>
              <w:t>possible</w:t>
            </w:r>
          </w:p>
        </w:tc>
        <w:tc>
          <w:tcPr>
            <w:tcW w:w="1380" w:type="dxa"/>
            <w:gridSpan w:val="3"/>
            <w:vAlign w:val="bottom"/>
          </w:tcPr>
          <w:p w:rsidR="00AC12B4" w:rsidRDefault="00C27636">
            <w:pPr>
              <w:spacing w:line="269" w:lineRule="exact"/>
              <w:jc w:val="right"/>
              <w:rPr>
                <w:sz w:val="20"/>
                <w:szCs w:val="20"/>
              </w:rPr>
            </w:pPr>
            <w:r>
              <w:rPr>
                <w:rFonts w:ascii="Comic Sans MS" w:eastAsia="Comic Sans MS" w:hAnsi="Comic Sans MS" w:cs="Comic Sans MS"/>
                <w:color w:val="0D0D0D"/>
                <w:sz w:val="20"/>
                <w:szCs w:val="20"/>
              </w:rPr>
              <w:t>d’obtenir  des</w:t>
            </w:r>
          </w:p>
        </w:tc>
        <w:tc>
          <w:tcPr>
            <w:tcW w:w="0" w:type="dxa"/>
            <w:vAlign w:val="bottom"/>
          </w:tcPr>
          <w:p w:rsidR="00AC12B4" w:rsidRDefault="00AC12B4">
            <w:pPr>
              <w:rPr>
                <w:sz w:val="1"/>
                <w:szCs w:val="1"/>
              </w:rPr>
            </w:pPr>
          </w:p>
        </w:tc>
      </w:tr>
      <w:tr w:rsidR="00AC12B4">
        <w:trPr>
          <w:trHeight w:val="269"/>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protection ou un traitement physique ou mental, le droit à</w:t>
            </w:r>
          </w:p>
        </w:tc>
        <w:tc>
          <w:tcPr>
            <w:tcW w:w="14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1760" w:type="dxa"/>
            <w:gridSpan w:val="6"/>
            <w:vAlign w:val="bottom"/>
          </w:tcPr>
          <w:p w:rsidR="00AC12B4" w:rsidRDefault="00C27636">
            <w:pPr>
              <w:spacing w:line="220" w:lineRule="exact"/>
              <w:ind w:left="200"/>
              <w:rPr>
                <w:sz w:val="20"/>
                <w:szCs w:val="20"/>
              </w:rPr>
            </w:pPr>
            <w:r>
              <w:rPr>
                <w:rFonts w:ascii="Calibri" w:eastAsia="Calibri" w:hAnsi="Calibri" w:cs="Calibri"/>
              </w:rPr>
              <w:t>parquet/tribunal</w:t>
            </w:r>
          </w:p>
        </w:tc>
        <w:tc>
          <w:tcPr>
            <w:tcW w:w="200" w:type="dxa"/>
            <w:vAlign w:val="bottom"/>
          </w:tcPr>
          <w:p w:rsidR="00AC12B4" w:rsidRDefault="00AC12B4">
            <w:pPr>
              <w:rPr>
                <w:sz w:val="23"/>
                <w:szCs w:val="23"/>
              </w:rPr>
            </w:pPr>
          </w:p>
        </w:tc>
        <w:tc>
          <w:tcPr>
            <w:tcW w:w="180" w:type="dxa"/>
            <w:tcBorders>
              <w:right w:val="single" w:sz="8" w:space="0" w:color="FEC930"/>
            </w:tcBorders>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840" w:type="dxa"/>
            <w:gridSpan w:val="3"/>
            <w:vAlign w:val="bottom"/>
          </w:tcPr>
          <w:p w:rsidR="00AC12B4" w:rsidRDefault="00C27636">
            <w:pPr>
              <w:spacing w:line="269" w:lineRule="exact"/>
              <w:ind w:left="20"/>
              <w:rPr>
                <w:sz w:val="20"/>
                <w:szCs w:val="20"/>
              </w:rPr>
            </w:pPr>
            <w:r>
              <w:rPr>
                <w:rFonts w:ascii="Comic Sans MS" w:eastAsia="Comic Sans MS" w:hAnsi="Comic Sans MS" w:cs="Comic Sans MS"/>
                <w:color w:val="0D0D0D"/>
                <w:sz w:val="20"/>
                <w:szCs w:val="20"/>
              </w:rPr>
              <w:t>données</w:t>
            </w:r>
          </w:p>
        </w:tc>
        <w:tc>
          <w:tcPr>
            <w:tcW w:w="2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840" w:type="dxa"/>
            <w:vAlign w:val="bottom"/>
          </w:tcPr>
          <w:p w:rsidR="00AC12B4" w:rsidRDefault="00C27636">
            <w:pPr>
              <w:spacing w:line="269" w:lineRule="exact"/>
              <w:jc w:val="right"/>
              <w:rPr>
                <w:sz w:val="20"/>
                <w:szCs w:val="20"/>
              </w:rPr>
            </w:pPr>
            <w:r>
              <w:rPr>
                <w:rFonts w:ascii="Comic Sans MS" w:eastAsia="Comic Sans MS" w:hAnsi="Comic Sans MS" w:cs="Comic Sans MS"/>
                <w:color w:val="0D0D0D"/>
                <w:sz w:val="20"/>
                <w:szCs w:val="20"/>
              </w:rPr>
              <w:t>pour</w:t>
            </w:r>
          </w:p>
        </w:tc>
        <w:tc>
          <w:tcPr>
            <w:tcW w:w="0" w:type="dxa"/>
            <w:vAlign w:val="bottom"/>
          </w:tcPr>
          <w:p w:rsidR="00AC12B4" w:rsidRDefault="00AC12B4">
            <w:pPr>
              <w:rPr>
                <w:sz w:val="1"/>
                <w:szCs w:val="1"/>
              </w:rPr>
            </w:pPr>
          </w:p>
        </w:tc>
      </w:tr>
      <w:tr w:rsidR="00AC12B4">
        <w:trPr>
          <w:trHeight w:val="269"/>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 xml:space="preserve">un </w:t>
            </w:r>
            <w:r w:rsidRPr="00C27636">
              <w:rPr>
                <w:rFonts w:ascii="Calibri" w:eastAsia="Calibri" w:hAnsi="Calibri" w:cs="Calibri"/>
                <w:i/>
                <w:iCs/>
                <w:color w:val="FFFFFF"/>
                <w:lang w:val="fr-BE"/>
              </w:rPr>
              <w:t>examen périodique dudit traitement et de toute autre</w:t>
            </w:r>
          </w:p>
        </w:tc>
        <w:tc>
          <w:tcPr>
            <w:tcW w:w="14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520" w:type="dxa"/>
            <w:vAlign w:val="bottom"/>
          </w:tcPr>
          <w:p w:rsidR="00AC12B4" w:rsidRDefault="00C27636">
            <w:pPr>
              <w:spacing w:line="220" w:lineRule="exact"/>
              <w:ind w:left="200"/>
              <w:rPr>
                <w:sz w:val="20"/>
                <w:szCs w:val="20"/>
              </w:rPr>
            </w:pPr>
            <w:r>
              <w:rPr>
                <w:rFonts w:ascii="Calibri" w:eastAsia="Calibri" w:hAnsi="Calibri" w:cs="Calibri"/>
              </w:rPr>
              <w:t>;</w:t>
            </w:r>
          </w:p>
        </w:tc>
        <w:tc>
          <w:tcPr>
            <w:tcW w:w="680" w:type="dxa"/>
            <w:gridSpan w:val="2"/>
            <w:vAlign w:val="bottom"/>
          </w:tcPr>
          <w:p w:rsidR="00AC12B4" w:rsidRDefault="00C27636">
            <w:pPr>
              <w:spacing w:line="220" w:lineRule="exact"/>
              <w:ind w:left="20"/>
              <w:rPr>
                <w:sz w:val="20"/>
                <w:szCs w:val="20"/>
              </w:rPr>
            </w:pPr>
            <w:r>
              <w:rPr>
                <w:rFonts w:ascii="Calibri" w:eastAsia="Calibri" w:hAnsi="Calibri" w:cs="Calibri"/>
                <w:w w:val="95"/>
              </w:rPr>
              <w:t>priorité</w:t>
            </w:r>
          </w:p>
        </w:tc>
        <w:tc>
          <w:tcPr>
            <w:tcW w:w="14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C27636">
            <w:pPr>
              <w:spacing w:line="220" w:lineRule="exact"/>
              <w:jc w:val="right"/>
              <w:rPr>
                <w:sz w:val="20"/>
                <w:szCs w:val="20"/>
              </w:rPr>
            </w:pPr>
            <w:r>
              <w:rPr>
                <w:rFonts w:ascii="Calibri" w:eastAsia="Calibri" w:hAnsi="Calibri" w:cs="Calibri"/>
                <w:w w:val="95"/>
              </w:rPr>
              <w:t>du</w:t>
            </w:r>
          </w:p>
        </w:tc>
        <w:tc>
          <w:tcPr>
            <w:tcW w:w="200" w:type="dxa"/>
            <w:vAlign w:val="bottom"/>
          </w:tcPr>
          <w:p w:rsidR="00AC12B4" w:rsidRDefault="00AC12B4">
            <w:pPr>
              <w:rPr>
                <w:sz w:val="23"/>
                <w:szCs w:val="23"/>
              </w:rPr>
            </w:pPr>
          </w:p>
        </w:tc>
        <w:tc>
          <w:tcPr>
            <w:tcW w:w="180" w:type="dxa"/>
            <w:tcBorders>
              <w:right w:val="single" w:sz="8" w:space="0" w:color="FEC930"/>
            </w:tcBorders>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220" w:type="dxa"/>
            <w:gridSpan w:val="6"/>
            <w:vAlign w:val="bottom"/>
          </w:tcPr>
          <w:p w:rsidR="00AC12B4" w:rsidRDefault="00C27636">
            <w:pPr>
              <w:spacing w:line="269" w:lineRule="exact"/>
              <w:ind w:left="20"/>
              <w:rPr>
                <w:sz w:val="20"/>
                <w:szCs w:val="20"/>
              </w:rPr>
            </w:pPr>
            <w:r>
              <w:rPr>
                <w:rFonts w:ascii="Comic Sans MS" w:eastAsia="Comic Sans MS" w:hAnsi="Comic Sans MS" w:cs="Comic Sans MS"/>
                <w:color w:val="0D0D0D"/>
                <w:w w:val="98"/>
                <w:sz w:val="20"/>
                <w:szCs w:val="20"/>
              </w:rPr>
              <w:t>l’ensemble du territoire</w:t>
            </w:r>
          </w:p>
        </w:tc>
        <w:tc>
          <w:tcPr>
            <w:tcW w:w="0" w:type="dxa"/>
            <w:vAlign w:val="bottom"/>
          </w:tcPr>
          <w:p w:rsidR="00AC12B4" w:rsidRDefault="00AC12B4">
            <w:pPr>
              <w:rPr>
                <w:sz w:val="1"/>
                <w:szCs w:val="1"/>
              </w:rPr>
            </w:pPr>
          </w:p>
        </w:tc>
      </w:tr>
      <w:tr w:rsidR="00AC12B4">
        <w:trPr>
          <w:trHeight w:val="220"/>
        </w:trPr>
        <w:tc>
          <w:tcPr>
            <w:tcW w:w="4320" w:type="dxa"/>
            <w:gridSpan w:val="7"/>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circonstance relative à son placement.</w:t>
            </w:r>
          </w:p>
        </w:tc>
        <w:tc>
          <w:tcPr>
            <w:tcW w:w="240" w:type="dxa"/>
            <w:shd w:val="clear" w:color="auto" w:fill="FEC930"/>
            <w:vAlign w:val="bottom"/>
          </w:tcPr>
          <w:p w:rsidR="00AC12B4" w:rsidRPr="00C27636" w:rsidRDefault="00AC12B4">
            <w:pPr>
              <w:rPr>
                <w:sz w:val="19"/>
                <w:szCs w:val="19"/>
                <w:lang w:val="fr-BE"/>
              </w:rPr>
            </w:pPr>
          </w:p>
        </w:tc>
        <w:tc>
          <w:tcPr>
            <w:tcW w:w="240" w:type="dxa"/>
            <w:shd w:val="clear" w:color="auto" w:fill="FEC930"/>
            <w:vAlign w:val="bottom"/>
          </w:tcPr>
          <w:p w:rsidR="00AC12B4" w:rsidRPr="00C27636" w:rsidRDefault="00AC12B4">
            <w:pPr>
              <w:rPr>
                <w:sz w:val="19"/>
                <w:szCs w:val="19"/>
                <w:lang w:val="fr-BE"/>
              </w:rPr>
            </w:pPr>
          </w:p>
        </w:tc>
        <w:tc>
          <w:tcPr>
            <w:tcW w:w="1220" w:type="dxa"/>
            <w:shd w:val="clear" w:color="auto" w:fill="FEC930"/>
            <w:vAlign w:val="bottom"/>
          </w:tcPr>
          <w:p w:rsidR="00AC12B4" w:rsidRPr="00C27636" w:rsidRDefault="00AC12B4">
            <w:pPr>
              <w:rPr>
                <w:sz w:val="19"/>
                <w:szCs w:val="19"/>
                <w:lang w:val="fr-BE"/>
              </w:rPr>
            </w:pPr>
          </w:p>
        </w:tc>
        <w:tc>
          <w:tcPr>
            <w:tcW w:w="140" w:type="dxa"/>
            <w:tcBorders>
              <w:right w:val="single" w:sz="8" w:space="0" w:color="CF9901"/>
            </w:tcBorders>
            <w:shd w:val="clear" w:color="auto" w:fill="FEC930"/>
            <w:vAlign w:val="bottom"/>
          </w:tcPr>
          <w:p w:rsidR="00AC12B4" w:rsidRPr="00C27636" w:rsidRDefault="00AC12B4">
            <w:pPr>
              <w:rPr>
                <w:sz w:val="19"/>
                <w:szCs w:val="19"/>
                <w:lang w:val="fr-BE"/>
              </w:rPr>
            </w:pPr>
          </w:p>
        </w:tc>
        <w:tc>
          <w:tcPr>
            <w:tcW w:w="800" w:type="dxa"/>
            <w:gridSpan w:val="2"/>
            <w:vAlign w:val="bottom"/>
          </w:tcPr>
          <w:p w:rsidR="00AC12B4" w:rsidRDefault="00C27636">
            <w:pPr>
              <w:spacing w:line="220" w:lineRule="exact"/>
              <w:ind w:left="200"/>
              <w:rPr>
                <w:sz w:val="20"/>
                <w:szCs w:val="20"/>
              </w:rPr>
            </w:pPr>
            <w:r>
              <w:rPr>
                <w:rFonts w:ascii="Calibri" w:eastAsia="Calibri" w:hAnsi="Calibri" w:cs="Calibri"/>
              </w:rPr>
              <w:t>projet</w:t>
            </w:r>
          </w:p>
        </w:tc>
        <w:tc>
          <w:tcPr>
            <w:tcW w:w="400" w:type="dxa"/>
            <w:vAlign w:val="bottom"/>
          </w:tcPr>
          <w:p w:rsidR="00AC12B4" w:rsidRDefault="00C27636">
            <w:pPr>
              <w:spacing w:line="220" w:lineRule="exact"/>
              <w:ind w:left="60"/>
              <w:rPr>
                <w:sz w:val="20"/>
                <w:szCs w:val="20"/>
              </w:rPr>
            </w:pPr>
            <w:r>
              <w:rPr>
                <w:rFonts w:ascii="Calibri" w:eastAsia="Calibri" w:hAnsi="Calibri" w:cs="Calibri"/>
              </w:rPr>
              <w:t>du</w:t>
            </w:r>
          </w:p>
        </w:tc>
        <w:tc>
          <w:tcPr>
            <w:tcW w:w="560" w:type="dxa"/>
            <w:gridSpan w:val="3"/>
            <w:vAlign w:val="bottom"/>
          </w:tcPr>
          <w:p w:rsidR="00AC12B4" w:rsidRDefault="00C27636">
            <w:pPr>
              <w:spacing w:line="220" w:lineRule="exact"/>
              <w:jc w:val="right"/>
              <w:rPr>
                <w:sz w:val="20"/>
                <w:szCs w:val="20"/>
              </w:rPr>
            </w:pPr>
            <w:r>
              <w:rPr>
                <w:rFonts w:ascii="Calibri" w:eastAsia="Calibri" w:hAnsi="Calibri" w:cs="Calibri"/>
                <w:w w:val="99"/>
              </w:rPr>
              <w:t>jeune</w:t>
            </w:r>
          </w:p>
        </w:tc>
        <w:tc>
          <w:tcPr>
            <w:tcW w:w="200" w:type="dxa"/>
            <w:vAlign w:val="bottom"/>
          </w:tcPr>
          <w:p w:rsidR="00AC12B4" w:rsidRDefault="00AC12B4">
            <w:pPr>
              <w:rPr>
                <w:sz w:val="19"/>
                <w:szCs w:val="19"/>
              </w:rPr>
            </w:pPr>
          </w:p>
        </w:tc>
        <w:tc>
          <w:tcPr>
            <w:tcW w:w="180" w:type="dxa"/>
            <w:tcBorders>
              <w:right w:val="single" w:sz="8" w:space="0" w:color="FEC930"/>
            </w:tcBorders>
            <w:vAlign w:val="bottom"/>
          </w:tcPr>
          <w:p w:rsidR="00AC12B4" w:rsidRDefault="00AC12B4">
            <w:pPr>
              <w:rPr>
                <w:sz w:val="19"/>
                <w:szCs w:val="19"/>
              </w:rPr>
            </w:pPr>
          </w:p>
        </w:tc>
        <w:tc>
          <w:tcPr>
            <w:tcW w:w="140" w:type="dxa"/>
            <w:vAlign w:val="bottom"/>
          </w:tcPr>
          <w:p w:rsidR="00AC12B4" w:rsidRDefault="00AC12B4">
            <w:pPr>
              <w:rPr>
                <w:sz w:val="19"/>
                <w:szCs w:val="19"/>
              </w:rPr>
            </w:pPr>
          </w:p>
        </w:tc>
        <w:tc>
          <w:tcPr>
            <w:tcW w:w="600" w:type="dxa"/>
            <w:gridSpan w:val="2"/>
            <w:vMerge w:val="restart"/>
            <w:vAlign w:val="bottom"/>
          </w:tcPr>
          <w:p w:rsidR="00AC12B4" w:rsidRDefault="00C27636">
            <w:pPr>
              <w:ind w:left="20"/>
              <w:rPr>
                <w:sz w:val="20"/>
                <w:szCs w:val="20"/>
              </w:rPr>
            </w:pPr>
            <w:r>
              <w:rPr>
                <w:rFonts w:ascii="Comic Sans MS" w:eastAsia="Comic Sans MS" w:hAnsi="Comic Sans MS" w:cs="Comic Sans MS"/>
                <w:color w:val="0D0D0D"/>
                <w:sz w:val="20"/>
                <w:szCs w:val="20"/>
              </w:rPr>
              <w:t>belge</w:t>
            </w:r>
          </w:p>
        </w:tc>
        <w:tc>
          <w:tcPr>
            <w:tcW w:w="2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320" w:type="dxa"/>
            <w:vAlign w:val="bottom"/>
          </w:tcPr>
          <w:p w:rsidR="00AC12B4" w:rsidRDefault="00AC12B4">
            <w:pPr>
              <w:rPr>
                <w:sz w:val="19"/>
                <w:szCs w:val="19"/>
              </w:rPr>
            </w:pPr>
          </w:p>
        </w:tc>
        <w:tc>
          <w:tcPr>
            <w:tcW w:w="840" w:type="dxa"/>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12"/>
        </w:trPr>
        <w:tc>
          <w:tcPr>
            <w:tcW w:w="4320" w:type="dxa"/>
            <w:gridSpan w:val="7"/>
            <w:vMerge/>
            <w:tcBorders>
              <w:left w:val="single" w:sz="8" w:space="0" w:color="CF9901"/>
            </w:tcBorders>
            <w:shd w:val="clear" w:color="auto" w:fill="FEC930"/>
            <w:vAlign w:val="bottom"/>
          </w:tcPr>
          <w:p w:rsidR="00AC12B4" w:rsidRDefault="00AC12B4">
            <w:pPr>
              <w:rPr>
                <w:sz w:val="9"/>
                <w:szCs w:val="9"/>
              </w:rPr>
            </w:pPr>
          </w:p>
        </w:tc>
        <w:tc>
          <w:tcPr>
            <w:tcW w:w="240" w:type="dxa"/>
            <w:shd w:val="clear" w:color="auto" w:fill="FEC930"/>
            <w:vAlign w:val="bottom"/>
          </w:tcPr>
          <w:p w:rsidR="00AC12B4" w:rsidRDefault="00AC12B4">
            <w:pPr>
              <w:rPr>
                <w:sz w:val="9"/>
                <w:szCs w:val="9"/>
              </w:rPr>
            </w:pPr>
          </w:p>
        </w:tc>
        <w:tc>
          <w:tcPr>
            <w:tcW w:w="240" w:type="dxa"/>
            <w:shd w:val="clear" w:color="auto" w:fill="FEC930"/>
            <w:vAlign w:val="bottom"/>
          </w:tcPr>
          <w:p w:rsidR="00AC12B4" w:rsidRDefault="00AC12B4">
            <w:pPr>
              <w:rPr>
                <w:sz w:val="9"/>
                <w:szCs w:val="9"/>
              </w:rPr>
            </w:pPr>
          </w:p>
        </w:tc>
        <w:tc>
          <w:tcPr>
            <w:tcW w:w="1220" w:type="dxa"/>
            <w:shd w:val="clear" w:color="auto" w:fill="FEC930"/>
            <w:vAlign w:val="bottom"/>
          </w:tcPr>
          <w:p w:rsidR="00AC12B4" w:rsidRDefault="00AC12B4">
            <w:pPr>
              <w:rPr>
                <w:sz w:val="9"/>
                <w:szCs w:val="9"/>
              </w:rPr>
            </w:pPr>
          </w:p>
        </w:tc>
        <w:tc>
          <w:tcPr>
            <w:tcW w:w="140" w:type="dxa"/>
            <w:tcBorders>
              <w:right w:val="single" w:sz="8" w:space="0" w:color="CF9901"/>
            </w:tcBorders>
            <w:shd w:val="clear" w:color="auto" w:fill="FEC930"/>
            <w:vAlign w:val="bottom"/>
          </w:tcPr>
          <w:p w:rsidR="00AC12B4" w:rsidRDefault="00AC12B4">
            <w:pPr>
              <w:rPr>
                <w:sz w:val="9"/>
                <w:szCs w:val="9"/>
              </w:rPr>
            </w:pPr>
          </w:p>
        </w:tc>
        <w:tc>
          <w:tcPr>
            <w:tcW w:w="520" w:type="dxa"/>
            <w:vMerge w:val="restart"/>
            <w:vAlign w:val="bottom"/>
          </w:tcPr>
          <w:p w:rsidR="00AC12B4" w:rsidRDefault="00C27636">
            <w:pPr>
              <w:spacing w:line="267" w:lineRule="exact"/>
              <w:ind w:left="200"/>
              <w:rPr>
                <w:sz w:val="20"/>
                <w:szCs w:val="20"/>
              </w:rPr>
            </w:pPr>
            <w:r>
              <w:rPr>
                <w:rFonts w:ascii="Calibri" w:eastAsia="Calibri" w:hAnsi="Calibri" w:cs="Calibri"/>
              </w:rPr>
              <w:t>par</w:t>
            </w:r>
          </w:p>
        </w:tc>
        <w:tc>
          <w:tcPr>
            <w:tcW w:w="820" w:type="dxa"/>
            <w:gridSpan w:val="3"/>
            <w:vMerge w:val="restart"/>
            <w:vAlign w:val="bottom"/>
          </w:tcPr>
          <w:p w:rsidR="00AC12B4" w:rsidRDefault="00C27636">
            <w:pPr>
              <w:spacing w:line="267" w:lineRule="exact"/>
              <w:ind w:left="80"/>
              <w:rPr>
                <w:sz w:val="20"/>
                <w:szCs w:val="20"/>
              </w:rPr>
            </w:pPr>
            <w:r>
              <w:rPr>
                <w:rFonts w:ascii="Calibri" w:eastAsia="Calibri" w:hAnsi="Calibri" w:cs="Calibri"/>
              </w:rPr>
              <w:t>rapport</w:t>
            </w:r>
          </w:p>
        </w:tc>
        <w:tc>
          <w:tcPr>
            <w:tcW w:w="420" w:type="dxa"/>
            <w:gridSpan w:val="2"/>
            <w:vMerge w:val="restart"/>
            <w:vAlign w:val="bottom"/>
          </w:tcPr>
          <w:p w:rsidR="00AC12B4" w:rsidRDefault="00C27636">
            <w:pPr>
              <w:spacing w:line="267" w:lineRule="exact"/>
              <w:jc w:val="right"/>
              <w:rPr>
                <w:sz w:val="20"/>
                <w:szCs w:val="20"/>
              </w:rPr>
            </w:pPr>
            <w:r>
              <w:rPr>
                <w:rFonts w:ascii="Calibri" w:eastAsia="Calibri" w:hAnsi="Calibri" w:cs="Calibri"/>
              </w:rPr>
              <w:t>aux</w:t>
            </w:r>
          </w:p>
        </w:tc>
        <w:tc>
          <w:tcPr>
            <w:tcW w:w="200" w:type="dxa"/>
            <w:vAlign w:val="bottom"/>
          </w:tcPr>
          <w:p w:rsidR="00AC12B4" w:rsidRDefault="00AC12B4">
            <w:pPr>
              <w:rPr>
                <w:sz w:val="9"/>
                <w:szCs w:val="9"/>
              </w:rPr>
            </w:pPr>
          </w:p>
        </w:tc>
        <w:tc>
          <w:tcPr>
            <w:tcW w:w="180" w:type="dxa"/>
            <w:tcBorders>
              <w:right w:val="single" w:sz="8" w:space="0" w:color="FEC930"/>
            </w:tcBorders>
            <w:vAlign w:val="bottom"/>
          </w:tcPr>
          <w:p w:rsidR="00AC12B4" w:rsidRDefault="00AC12B4">
            <w:pPr>
              <w:rPr>
                <w:sz w:val="9"/>
                <w:szCs w:val="9"/>
              </w:rPr>
            </w:pPr>
          </w:p>
        </w:tc>
        <w:tc>
          <w:tcPr>
            <w:tcW w:w="140" w:type="dxa"/>
            <w:vAlign w:val="bottom"/>
          </w:tcPr>
          <w:p w:rsidR="00AC12B4" w:rsidRDefault="00AC12B4">
            <w:pPr>
              <w:rPr>
                <w:sz w:val="9"/>
                <w:szCs w:val="9"/>
              </w:rPr>
            </w:pPr>
          </w:p>
        </w:tc>
        <w:tc>
          <w:tcPr>
            <w:tcW w:w="600" w:type="dxa"/>
            <w:gridSpan w:val="2"/>
            <w:vMerge/>
            <w:vAlign w:val="bottom"/>
          </w:tcPr>
          <w:p w:rsidR="00AC12B4" w:rsidRDefault="00AC12B4">
            <w:pPr>
              <w:rPr>
                <w:sz w:val="9"/>
                <w:szCs w:val="9"/>
              </w:rPr>
            </w:pPr>
          </w:p>
        </w:tc>
        <w:tc>
          <w:tcPr>
            <w:tcW w:w="240" w:type="dxa"/>
            <w:vAlign w:val="bottom"/>
          </w:tcPr>
          <w:p w:rsidR="00AC12B4" w:rsidRDefault="00AC12B4">
            <w:pPr>
              <w:rPr>
                <w:sz w:val="9"/>
                <w:szCs w:val="9"/>
              </w:rPr>
            </w:pPr>
          </w:p>
        </w:tc>
        <w:tc>
          <w:tcPr>
            <w:tcW w:w="22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8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54"/>
        </w:trPr>
        <w:tc>
          <w:tcPr>
            <w:tcW w:w="1960" w:type="dxa"/>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Article 37 CIDE</w:t>
            </w:r>
          </w:p>
        </w:tc>
        <w:tc>
          <w:tcPr>
            <w:tcW w:w="180" w:type="dxa"/>
            <w:shd w:val="clear" w:color="auto" w:fill="FEC930"/>
            <w:vAlign w:val="bottom"/>
          </w:tcPr>
          <w:p w:rsidR="00AC12B4" w:rsidRDefault="00AC12B4">
            <w:pPr>
              <w:rPr>
                <w:sz w:val="13"/>
                <w:szCs w:val="13"/>
              </w:rPr>
            </w:pPr>
          </w:p>
        </w:tc>
        <w:tc>
          <w:tcPr>
            <w:tcW w:w="1080" w:type="dxa"/>
            <w:shd w:val="clear" w:color="auto" w:fill="FEC930"/>
            <w:vAlign w:val="bottom"/>
          </w:tcPr>
          <w:p w:rsidR="00AC12B4" w:rsidRDefault="00AC12B4">
            <w:pPr>
              <w:rPr>
                <w:sz w:val="13"/>
                <w:szCs w:val="13"/>
              </w:rPr>
            </w:pPr>
          </w:p>
        </w:tc>
        <w:tc>
          <w:tcPr>
            <w:tcW w:w="200" w:type="dxa"/>
            <w:shd w:val="clear" w:color="auto" w:fill="FEC930"/>
            <w:vAlign w:val="bottom"/>
          </w:tcPr>
          <w:p w:rsidR="00AC12B4" w:rsidRDefault="00AC12B4">
            <w:pPr>
              <w:rPr>
                <w:sz w:val="13"/>
                <w:szCs w:val="13"/>
              </w:rPr>
            </w:pPr>
          </w:p>
        </w:tc>
        <w:tc>
          <w:tcPr>
            <w:tcW w:w="100" w:type="dxa"/>
            <w:shd w:val="clear" w:color="auto" w:fill="FEC930"/>
            <w:vAlign w:val="bottom"/>
          </w:tcPr>
          <w:p w:rsidR="00AC12B4" w:rsidRDefault="00AC12B4">
            <w:pPr>
              <w:rPr>
                <w:sz w:val="13"/>
                <w:szCs w:val="13"/>
              </w:rPr>
            </w:pPr>
          </w:p>
        </w:tc>
        <w:tc>
          <w:tcPr>
            <w:tcW w:w="380" w:type="dxa"/>
            <w:shd w:val="clear" w:color="auto" w:fill="FEC930"/>
            <w:vAlign w:val="bottom"/>
          </w:tcPr>
          <w:p w:rsidR="00AC12B4" w:rsidRDefault="00AC12B4">
            <w:pPr>
              <w:rPr>
                <w:sz w:val="13"/>
                <w:szCs w:val="13"/>
              </w:rPr>
            </w:pPr>
          </w:p>
        </w:tc>
        <w:tc>
          <w:tcPr>
            <w:tcW w:w="420" w:type="dxa"/>
            <w:shd w:val="clear" w:color="auto" w:fill="FEC930"/>
            <w:vAlign w:val="bottom"/>
          </w:tcPr>
          <w:p w:rsidR="00AC12B4" w:rsidRDefault="00AC12B4">
            <w:pPr>
              <w:rPr>
                <w:sz w:val="13"/>
                <w:szCs w:val="13"/>
              </w:rPr>
            </w:pPr>
          </w:p>
        </w:tc>
        <w:tc>
          <w:tcPr>
            <w:tcW w:w="240" w:type="dxa"/>
            <w:shd w:val="clear" w:color="auto" w:fill="FEC930"/>
            <w:vAlign w:val="bottom"/>
          </w:tcPr>
          <w:p w:rsidR="00AC12B4" w:rsidRDefault="00AC12B4">
            <w:pPr>
              <w:rPr>
                <w:sz w:val="13"/>
                <w:szCs w:val="13"/>
              </w:rPr>
            </w:pPr>
          </w:p>
        </w:tc>
        <w:tc>
          <w:tcPr>
            <w:tcW w:w="240" w:type="dxa"/>
            <w:shd w:val="clear" w:color="auto" w:fill="FEC930"/>
            <w:vAlign w:val="bottom"/>
          </w:tcPr>
          <w:p w:rsidR="00AC12B4" w:rsidRDefault="00AC12B4">
            <w:pPr>
              <w:rPr>
                <w:sz w:val="13"/>
                <w:szCs w:val="13"/>
              </w:rPr>
            </w:pPr>
          </w:p>
        </w:tc>
        <w:tc>
          <w:tcPr>
            <w:tcW w:w="1220" w:type="dxa"/>
            <w:shd w:val="clear" w:color="auto" w:fill="FEC930"/>
            <w:vAlign w:val="bottom"/>
          </w:tcPr>
          <w:p w:rsidR="00AC12B4" w:rsidRDefault="00AC12B4">
            <w:pPr>
              <w:rPr>
                <w:sz w:val="13"/>
                <w:szCs w:val="13"/>
              </w:rPr>
            </w:pPr>
          </w:p>
        </w:tc>
        <w:tc>
          <w:tcPr>
            <w:tcW w:w="140" w:type="dxa"/>
            <w:tcBorders>
              <w:right w:val="single" w:sz="8" w:space="0" w:color="CF9901"/>
            </w:tcBorders>
            <w:shd w:val="clear" w:color="auto" w:fill="FEC930"/>
            <w:vAlign w:val="bottom"/>
          </w:tcPr>
          <w:p w:rsidR="00AC12B4" w:rsidRDefault="00AC12B4">
            <w:pPr>
              <w:rPr>
                <w:sz w:val="13"/>
                <w:szCs w:val="13"/>
              </w:rPr>
            </w:pPr>
          </w:p>
        </w:tc>
        <w:tc>
          <w:tcPr>
            <w:tcW w:w="520" w:type="dxa"/>
            <w:vMerge/>
            <w:vAlign w:val="bottom"/>
          </w:tcPr>
          <w:p w:rsidR="00AC12B4" w:rsidRDefault="00AC12B4">
            <w:pPr>
              <w:rPr>
                <w:sz w:val="13"/>
                <w:szCs w:val="13"/>
              </w:rPr>
            </w:pPr>
          </w:p>
        </w:tc>
        <w:tc>
          <w:tcPr>
            <w:tcW w:w="820" w:type="dxa"/>
            <w:gridSpan w:val="3"/>
            <w:vMerge/>
            <w:vAlign w:val="bottom"/>
          </w:tcPr>
          <w:p w:rsidR="00AC12B4" w:rsidRDefault="00AC12B4">
            <w:pPr>
              <w:rPr>
                <w:sz w:val="13"/>
                <w:szCs w:val="13"/>
              </w:rPr>
            </w:pPr>
          </w:p>
        </w:tc>
        <w:tc>
          <w:tcPr>
            <w:tcW w:w="420" w:type="dxa"/>
            <w:gridSpan w:val="2"/>
            <w:vMerge/>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180" w:type="dxa"/>
            <w:tcBorders>
              <w:right w:val="single" w:sz="8" w:space="0" w:color="FEC930"/>
            </w:tcBorders>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2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8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61"/>
        </w:trPr>
        <w:tc>
          <w:tcPr>
            <w:tcW w:w="1960" w:type="dxa"/>
            <w:vMerge/>
            <w:tcBorders>
              <w:left w:val="single" w:sz="8" w:space="0" w:color="CF9901"/>
            </w:tcBorders>
            <w:shd w:val="clear" w:color="auto" w:fill="FEC930"/>
            <w:vAlign w:val="bottom"/>
          </w:tcPr>
          <w:p w:rsidR="00AC12B4" w:rsidRDefault="00AC12B4">
            <w:pPr>
              <w:rPr>
                <w:sz w:val="13"/>
                <w:szCs w:val="13"/>
              </w:rPr>
            </w:pPr>
          </w:p>
        </w:tc>
        <w:tc>
          <w:tcPr>
            <w:tcW w:w="180" w:type="dxa"/>
            <w:shd w:val="clear" w:color="auto" w:fill="FEC930"/>
            <w:vAlign w:val="bottom"/>
          </w:tcPr>
          <w:p w:rsidR="00AC12B4" w:rsidRDefault="00AC12B4">
            <w:pPr>
              <w:rPr>
                <w:sz w:val="13"/>
                <w:szCs w:val="13"/>
              </w:rPr>
            </w:pPr>
          </w:p>
        </w:tc>
        <w:tc>
          <w:tcPr>
            <w:tcW w:w="1080" w:type="dxa"/>
            <w:shd w:val="clear" w:color="auto" w:fill="FEC930"/>
            <w:vAlign w:val="bottom"/>
          </w:tcPr>
          <w:p w:rsidR="00AC12B4" w:rsidRDefault="00AC12B4">
            <w:pPr>
              <w:rPr>
                <w:sz w:val="13"/>
                <w:szCs w:val="13"/>
              </w:rPr>
            </w:pPr>
          </w:p>
        </w:tc>
        <w:tc>
          <w:tcPr>
            <w:tcW w:w="200" w:type="dxa"/>
            <w:shd w:val="clear" w:color="auto" w:fill="FEC930"/>
            <w:vAlign w:val="bottom"/>
          </w:tcPr>
          <w:p w:rsidR="00AC12B4" w:rsidRDefault="00AC12B4">
            <w:pPr>
              <w:rPr>
                <w:sz w:val="13"/>
                <w:szCs w:val="13"/>
              </w:rPr>
            </w:pPr>
          </w:p>
        </w:tc>
        <w:tc>
          <w:tcPr>
            <w:tcW w:w="100" w:type="dxa"/>
            <w:shd w:val="clear" w:color="auto" w:fill="FEC930"/>
            <w:vAlign w:val="bottom"/>
          </w:tcPr>
          <w:p w:rsidR="00AC12B4" w:rsidRDefault="00AC12B4">
            <w:pPr>
              <w:rPr>
                <w:sz w:val="13"/>
                <w:szCs w:val="13"/>
              </w:rPr>
            </w:pPr>
          </w:p>
        </w:tc>
        <w:tc>
          <w:tcPr>
            <w:tcW w:w="380" w:type="dxa"/>
            <w:shd w:val="clear" w:color="auto" w:fill="FEC930"/>
            <w:vAlign w:val="bottom"/>
          </w:tcPr>
          <w:p w:rsidR="00AC12B4" w:rsidRDefault="00AC12B4">
            <w:pPr>
              <w:rPr>
                <w:sz w:val="13"/>
                <w:szCs w:val="13"/>
              </w:rPr>
            </w:pPr>
          </w:p>
        </w:tc>
        <w:tc>
          <w:tcPr>
            <w:tcW w:w="420" w:type="dxa"/>
            <w:shd w:val="clear" w:color="auto" w:fill="FEC930"/>
            <w:vAlign w:val="bottom"/>
          </w:tcPr>
          <w:p w:rsidR="00AC12B4" w:rsidRDefault="00AC12B4">
            <w:pPr>
              <w:rPr>
                <w:sz w:val="13"/>
                <w:szCs w:val="13"/>
              </w:rPr>
            </w:pPr>
          </w:p>
        </w:tc>
        <w:tc>
          <w:tcPr>
            <w:tcW w:w="240" w:type="dxa"/>
            <w:shd w:val="clear" w:color="auto" w:fill="FEC930"/>
            <w:vAlign w:val="bottom"/>
          </w:tcPr>
          <w:p w:rsidR="00AC12B4" w:rsidRDefault="00AC12B4">
            <w:pPr>
              <w:rPr>
                <w:sz w:val="13"/>
                <w:szCs w:val="13"/>
              </w:rPr>
            </w:pPr>
          </w:p>
        </w:tc>
        <w:tc>
          <w:tcPr>
            <w:tcW w:w="240" w:type="dxa"/>
            <w:shd w:val="clear" w:color="auto" w:fill="FEC930"/>
            <w:vAlign w:val="bottom"/>
          </w:tcPr>
          <w:p w:rsidR="00AC12B4" w:rsidRDefault="00AC12B4">
            <w:pPr>
              <w:rPr>
                <w:sz w:val="13"/>
                <w:szCs w:val="13"/>
              </w:rPr>
            </w:pPr>
          </w:p>
        </w:tc>
        <w:tc>
          <w:tcPr>
            <w:tcW w:w="1220" w:type="dxa"/>
            <w:shd w:val="clear" w:color="auto" w:fill="FEC930"/>
            <w:vAlign w:val="bottom"/>
          </w:tcPr>
          <w:p w:rsidR="00AC12B4" w:rsidRDefault="00AC12B4">
            <w:pPr>
              <w:rPr>
                <w:sz w:val="13"/>
                <w:szCs w:val="13"/>
              </w:rPr>
            </w:pPr>
          </w:p>
        </w:tc>
        <w:tc>
          <w:tcPr>
            <w:tcW w:w="140" w:type="dxa"/>
            <w:tcBorders>
              <w:right w:val="single" w:sz="8" w:space="0" w:color="CF9901"/>
            </w:tcBorders>
            <w:shd w:val="clear" w:color="auto" w:fill="FEC930"/>
            <w:vAlign w:val="bottom"/>
          </w:tcPr>
          <w:p w:rsidR="00AC12B4" w:rsidRDefault="00AC12B4">
            <w:pPr>
              <w:rPr>
                <w:sz w:val="13"/>
                <w:szCs w:val="13"/>
              </w:rPr>
            </w:pPr>
          </w:p>
        </w:tc>
        <w:tc>
          <w:tcPr>
            <w:tcW w:w="800" w:type="dxa"/>
            <w:gridSpan w:val="2"/>
            <w:vMerge w:val="restart"/>
            <w:vAlign w:val="bottom"/>
          </w:tcPr>
          <w:p w:rsidR="00AC12B4" w:rsidRDefault="00C27636">
            <w:pPr>
              <w:ind w:left="200"/>
              <w:rPr>
                <w:sz w:val="20"/>
                <w:szCs w:val="20"/>
              </w:rPr>
            </w:pPr>
            <w:r>
              <w:rPr>
                <w:rFonts w:ascii="Calibri" w:eastAsia="Calibri" w:hAnsi="Calibri" w:cs="Calibri"/>
              </w:rPr>
              <w:t>autres</w:t>
            </w:r>
          </w:p>
        </w:tc>
        <w:tc>
          <w:tcPr>
            <w:tcW w:w="960" w:type="dxa"/>
            <w:gridSpan w:val="4"/>
            <w:vMerge w:val="restart"/>
            <w:vAlign w:val="bottom"/>
          </w:tcPr>
          <w:p w:rsidR="00AC12B4" w:rsidRDefault="00C27636">
            <w:pPr>
              <w:jc w:val="right"/>
              <w:rPr>
                <w:sz w:val="20"/>
                <w:szCs w:val="20"/>
              </w:rPr>
            </w:pPr>
            <w:r>
              <w:rPr>
                <w:rFonts w:ascii="Calibri" w:eastAsia="Calibri" w:hAnsi="Calibri" w:cs="Calibri"/>
              </w:rPr>
              <w:t>mesures,</w:t>
            </w:r>
          </w:p>
        </w:tc>
        <w:tc>
          <w:tcPr>
            <w:tcW w:w="200" w:type="dxa"/>
            <w:vAlign w:val="bottom"/>
          </w:tcPr>
          <w:p w:rsidR="00AC12B4" w:rsidRDefault="00AC12B4">
            <w:pPr>
              <w:rPr>
                <w:sz w:val="13"/>
                <w:szCs w:val="13"/>
              </w:rPr>
            </w:pPr>
          </w:p>
        </w:tc>
        <w:tc>
          <w:tcPr>
            <w:tcW w:w="180" w:type="dxa"/>
            <w:tcBorders>
              <w:right w:val="single" w:sz="8" w:space="0" w:color="FEC930"/>
            </w:tcBorders>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220" w:type="dxa"/>
            <w:vAlign w:val="bottom"/>
          </w:tcPr>
          <w:p w:rsidR="00AC12B4" w:rsidRDefault="00AC12B4">
            <w:pPr>
              <w:rPr>
                <w:sz w:val="13"/>
                <w:szCs w:val="13"/>
              </w:rPr>
            </w:pPr>
          </w:p>
        </w:tc>
        <w:tc>
          <w:tcPr>
            <w:tcW w:w="320" w:type="dxa"/>
            <w:vAlign w:val="bottom"/>
          </w:tcPr>
          <w:p w:rsidR="00AC12B4" w:rsidRDefault="00AC12B4">
            <w:pPr>
              <w:rPr>
                <w:sz w:val="13"/>
                <w:szCs w:val="13"/>
              </w:rPr>
            </w:pPr>
          </w:p>
        </w:tc>
        <w:tc>
          <w:tcPr>
            <w:tcW w:w="84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08"/>
        </w:trPr>
        <w:tc>
          <w:tcPr>
            <w:tcW w:w="1960" w:type="dxa"/>
            <w:tcBorders>
              <w:left w:val="single" w:sz="8" w:space="0" w:color="CF9901"/>
            </w:tcBorders>
            <w:shd w:val="clear" w:color="auto" w:fill="FEC930"/>
            <w:vAlign w:val="bottom"/>
          </w:tcPr>
          <w:p w:rsidR="00AC12B4" w:rsidRDefault="00AC12B4">
            <w:pPr>
              <w:rPr>
                <w:sz w:val="9"/>
                <w:szCs w:val="9"/>
              </w:rPr>
            </w:pPr>
          </w:p>
        </w:tc>
        <w:tc>
          <w:tcPr>
            <w:tcW w:w="180" w:type="dxa"/>
            <w:shd w:val="clear" w:color="auto" w:fill="FEC930"/>
            <w:vAlign w:val="bottom"/>
          </w:tcPr>
          <w:p w:rsidR="00AC12B4" w:rsidRDefault="00AC12B4">
            <w:pPr>
              <w:rPr>
                <w:sz w:val="9"/>
                <w:szCs w:val="9"/>
              </w:rPr>
            </w:pPr>
          </w:p>
        </w:tc>
        <w:tc>
          <w:tcPr>
            <w:tcW w:w="1080" w:type="dxa"/>
            <w:shd w:val="clear" w:color="auto" w:fill="FEC930"/>
            <w:vAlign w:val="bottom"/>
          </w:tcPr>
          <w:p w:rsidR="00AC12B4" w:rsidRDefault="00AC12B4">
            <w:pPr>
              <w:rPr>
                <w:sz w:val="9"/>
                <w:szCs w:val="9"/>
              </w:rPr>
            </w:pPr>
          </w:p>
        </w:tc>
        <w:tc>
          <w:tcPr>
            <w:tcW w:w="200" w:type="dxa"/>
            <w:shd w:val="clear" w:color="auto" w:fill="FEC930"/>
            <w:vAlign w:val="bottom"/>
          </w:tcPr>
          <w:p w:rsidR="00AC12B4" w:rsidRDefault="00AC12B4">
            <w:pPr>
              <w:rPr>
                <w:sz w:val="9"/>
                <w:szCs w:val="9"/>
              </w:rPr>
            </w:pPr>
          </w:p>
        </w:tc>
        <w:tc>
          <w:tcPr>
            <w:tcW w:w="100" w:type="dxa"/>
            <w:shd w:val="clear" w:color="auto" w:fill="FEC930"/>
            <w:vAlign w:val="bottom"/>
          </w:tcPr>
          <w:p w:rsidR="00AC12B4" w:rsidRDefault="00AC12B4">
            <w:pPr>
              <w:rPr>
                <w:sz w:val="9"/>
                <w:szCs w:val="9"/>
              </w:rPr>
            </w:pPr>
          </w:p>
        </w:tc>
        <w:tc>
          <w:tcPr>
            <w:tcW w:w="380" w:type="dxa"/>
            <w:shd w:val="clear" w:color="auto" w:fill="FEC930"/>
            <w:vAlign w:val="bottom"/>
          </w:tcPr>
          <w:p w:rsidR="00AC12B4" w:rsidRDefault="00AC12B4">
            <w:pPr>
              <w:rPr>
                <w:sz w:val="9"/>
                <w:szCs w:val="9"/>
              </w:rPr>
            </w:pPr>
          </w:p>
        </w:tc>
        <w:tc>
          <w:tcPr>
            <w:tcW w:w="420" w:type="dxa"/>
            <w:shd w:val="clear" w:color="auto" w:fill="FEC930"/>
            <w:vAlign w:val="bottom"/>
          </w:tcPr>
          <w:p w:rsidR="00AC12B4" w:rsidRDefault="00AC12B4">
            <w:pPr>
              <w:rPr>
                <w:sz w:val="9"/>
                <w:szCs w:val="9"/>
              </w:rPr>
            </w:pPr>
          </w:p>
        </w:tc>
        <w:tc>
          <w:tcPr>
            <w:tcW w:w="240" w:type="dxa"/>
            <w:shd w:val="clear" w:color="auto" w:fill="FEC930"/>
            <w:vAlign w:val="bottom"/>
          </w:tcPr>
          <w:p w:rsidR="00AC12B4" w:rsidRDefault="00AC12B4">
            <w:pPr>
              <w:rPr>
                <w:sz w:val="9"/>
                <w:szCs w:val="9"/>
              </w:rPr>
            </w:pPr>
          </w:p>
        </w:tc>
        <w:tc>
          <w:tcPr>
            <w:tcW w:w="240" w:type="dxa"/>
            <w:shd w:val="clear" w:color="auto" w:fill="FEC930"/>
            <w:vAlign w:val="bottom"/>
          </w:tcPr>
          <w:p w:rsidR="00AC12B4" w:rsidRDefault="00AC12B4">
            <w:pPr>
              <w:rPr>
                <w:sz w:val="9"/>
                <w:szCs w:val="9"/>
              </w:rPr>
            </w:pPr>
          </w:p>
        </w:tc>
        <w:tc>
          <w:tcPr>
            <w:tcW w:w="1220" w:type="dxa"/>
            <w:shd w:val="clear" w:color="auto" w:fill="FEC930"/>
            <w:vAlign w:val="bottom"/>
          </w:tcPr>
          <w:p w:rsidR="00AC12B4" w:rsidRDefault="00AC12B4">
            <w:pPr>
              <w:rPr>
                <w:sz w:val="9"/>
                <w:szCs w:val="9"/>
              </w:rPr>
            </w:pPr>
          </w:p>
        </w:tc>
        <w:tc>
          <w:tcPr>
            <w:tcW w:w="140" w:type="dxa"/>
            <w:tcBorders>
              <w:right w:val="single" w:sz="8" w:space="0" w:color="CF9901"/>
            </w:tcBorders>
            <w:shd w:val="clear" w:color="auto" w:fill="FEC930"/>
            <w:vAlign w:val="bottom"/>
          </w:tcPr>
          <w:p w:rsidR="00AC12B4" w:rsidRDefault="00AC12B4">
            <w:pPr>
              <w:rPr>
                <w:sz w:val="9"/>
                <w:szCs w:val="9"/>
              </w:rPr>
            </w:pPr>
          </w:p>
        </w:tc>
        <w:tc>
          <w:tcPr>
            <w:tcW w:w="800" w:type="dxa"/>
            <w:gridSpan w:val="2"/>
            <w:vMerge/>
            <w:vAlign w:val="bottom"/>
          </w:tcPr>
          <w:p w:rsidR="00AC12B4" w:rsidRDefault="00AC12B4">
            <w:pPr>
              <w:rPr>
                <w:sz w:val="9"/>
                <w:szCs w:val="9"/>
              </w:rPr>
            </w:pPr>
          </w:p>
        </w:tc>
        <w:tc>
          <w:tcPr>
            <w:tcW w:w="960" w:type="dxa"/>
            <w:gridSpan w:val="4"/>
            <w:vMerge/>
            <w:vAlign w:val="bottom"/>
          </w:tcPr>
          <w:p w:rsidR="00AC12B4" w:rsidRDefault="00AC12B4">
            <w:pPr>
              <w:rPr>
                <w:sz w:val="9"/>
                <w:szCs w:val="9"/>
              </w:rPr>
            </w:pPr>
          </w:p>
        </w:tc>
        <w:tc>
          <w:tcPr>
            <w:tcW w:w="20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420" w:type="dxa"/>
            <w:vAlign w:val="bottom"/>
          </w:tcPr>
          <w:p w:rsidR="00AC12B4" w:rsidRDefault="00AC12B4">
            <w:pPr>
              <w:rPr>
                <w:sz w:val="9"/>
                <w:szCs w:val="9"/>
              </w:rPr>
            </w:pPr>
          </w:p>
        </w:tc>
        <w:tc>
          <w:tcPr>
            <w:tcW w:w="240" w:type="dxa"/>
            <w:vAlign w:val="bottom"/>
          </w:tcPr>
          <w:p w:rsidR="00AC12B4" w:rsidRDefault="00AC12B4">
            <w:pPr>
              <w:rPr>
                <w:sz w:val="9"/>
                <w:szCs w:val="9"/>
              </w:rPr>
            </w:pPr>
          </w:p>
        </w:tc>
        <w:tc>
          <w:tcPr>
            <w:tcW w:w="220" w:type="dxa"/>
            <w:vAlign w:val="bottom"/>
          </w:tcPr>
          <w:p w:rsidR="00AC12B4" w:rsidRDefault="00AC12B4">
            <w:pPr>
              <w:rPr>
                <w:sz w:val="9"/>
                <w:szCs w:val="9"/>
              </w:rPr>
            </w:pPr>
          </w:p>
        </w:tc>
        <w:tc>
          <w:tcPr>
            <w:tcW w:w="320" w:type="dxa"/>
            <w:vAlign w:val="bottom"/>
          </w:tcPr>
          <w:p w:rsidR="00AC12B4" w:rsidRDefault="00AC12B4">
            <w:pPr>
              <w:rPr>
                <w:sz w:val="9"/>
                <w:szCs w:val="9"/>
              </w:rPr>
            </w:pPr>
          </w:p>
        </w:tc>
        <w:tc>
          <w:tcPr>
            <w:tcW w:w="84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312"/>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b) Nul enfant ne soit privé de liberté de façon illégale ou</w:t>
            </w:r>
          </w:p>
        </w:tc>
        <w:tc>
          <w:tcPr>
            <w:tcW w:w="140" w:type="dxa"/>
            <w:tcBorders>
              <w:right w:val="single" w:sz="8" w:space="0" w:color="CF9901"/>
            </w:tcBorders>
            <w:shd w:val="clear" w:color="auto" w:fill="FEC930"/>
            <w:vAlign w:val="bottom"/>
          </w:tcPr>
          <w:p w:rsidR="00AC12B4" w:rsidRPr="00C27636" w:rsidRDefault="00AC12B4">
            <w:pPr>
              <w:rPr>
                <w:sz w:val="24"/>
                <w:szCs w:val="24"/>
                <w:lang w:val="fr-BE"/>
              </w:rPr>
            </w:pPr>
          </w:p>
        </w:tc>
        <w:tc>
          <w:tcPr>
            <w:tcW w:w="4500" w:type="dxa"/>
            <w:gridSpan w:val="15"/>
            <w:vAlign w:val="bottom"/>
          </w:tcPr>
          <w:p w:rsidR="00AC12B4" w:rsidRPr="00C27636" w:rsidRDefault="00C27636">
            <w:pPr>
              <w:ind w:left="200"/>
              <w:rPr>
                <w:sz w:val="20"/>
                <w:szCs w:val="20"/>
                <w:lang w:val="fr-BE"/>
              </w:rPr>
            </w:pPr>
            <w:r w:rsidRPr="00C27636">
              <w:rPr>
                <w:rFonts w:ascii="Calibri" w:eastAsia="Calibri" w:hAnsi="Calibri" w:cs="Calibri"/>
                <w:lang w:val="fr-BE"/>
              </w:rPr>
              <w:t>des mesures ambulatoires par rapport</w:t>
            </w:r>
          </w:p>
        </w:tc>
        <w:tc>
          <w:tcPr>
            <w:tcW w:w="0" w:type="dxa"/>
            <w:vAlign w:val="bottom"/>
          </w:tcPr>
          <w:p w:rsidR="00AC12B4" w:rsidRPr="00C27636" w:rsidRDefault="00AC12B4">
            <w:pPr>
              <w:rPr>
                <w:sz w:val="1"/>
                <w:szCs w:val="1"/>
                <w:lang w:val="fr-BE"/>
              </w:rPr>
            </w:pPr>
          </w:p>
        </w:tc>
      </w:tr>
      <w:tr w:rsidR="00AC12B4" w:rsidRPr="00C27636">
        <w:trPr>
          <w:trHeight w:val="269"/>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arbitraire. L’arrestation, la détention ou l’emprisonnement</w:t>
            </w:r>
          </w:p>
        </w:tc>
        <w:tc>
          <w:tcPr>
            <w:tcW w:w="14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4500" w:type="dxa"/>
            <w:gridSpan w:val="15"/>
            <w:vAlign w:val="bottom"/>
          </w:tcPr>
          <w:p w:rsidR="00AC12B4" w:rsidRPr="00C27636" w:rsidRDefault="00C27636">
            <w:pPr>
              <w:spacing w:line="225" w:lineRule="exact"/>
              <w:ind w:left="200"/>
              <w:rPr>
                <w:sz w:val="20"/>
                <w:szCs w:val="20"/>
                <w:lang w:val="fr-BE"/>
              </w:rPr>
            </w:pPr>
            <w:r w:rsidRPr="00C27636">
              <w:rPr>
                <w:rFonts w:ascii="Calibri" w:eastAsia="Calibri" w:hAnsi="Calibri" w:cs="Calibri"/>
                <w:lang w:val="fr-BE"/>
              </w:rPr>
              <w:t>au placement (ceci vaut aussi pour le</w:t>
            </w:r>
          </w:p>
        </w:tc>
        <w:tc>
          <w:tcPr>
            <w:tcW w:w="0" w:type="dxa"/>
            <w:vAlign w:val="bottom"/>
          </w:tcPr>
          <w:p w:rsidR="00AC12B4" w:rsidRPr="00C27636" w:rsidRDefault="00AC12B4">
            <w:pPr>
              <w:rPr>
                <w:sz w:val="1"/>
                <w:szCs w:val="1"/>
                <w:lang w:val="fr-BE"/>
              </w:rPr>
            </w:pPr>
          </w:p>
        </w:tc>
      </w:tr>
      <w:tr w:rsidR="00AC12B4" w:rsidRPr="00C27636">
        <w:trPr>
          <w:trHeight w:val="269"/>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d’un</w:t>
            </w:r>
            <w:r w:rsidRPr="00C27636">
              <w:rPr>
                <w:rFonts w:ascii="Calibri" w:eastAsia="Calibri" w:hAnsi="Calibri" w:cs="Calibri"/>
                <w:i/>
                <w:iCs/>
                <w:color w:val="FFFFFF"/>
                <w:lang w:val="fr-BE"/>
              </w:rPr>
              <w:t xml:space="preserve"> enfant doit être en conformité avec la loi, n’être qu’une</w:t>
            </w:r>
          </w:p>
        </w:tc>
        <w:tc>
          <w:tcPr>
            <w:tcW w:w="14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4500" w:type="dxa"/>
            <w:gridSpan w:val="15"/>
            <w:vAlign w:val="bottom"/>
          </w:tcPr>
          <w:p w:rsidR="00AC12B4" w:rsidRPr="00C27636" w:rsidRDefault="00C27636">
            <w:pPr>
              <w:spacing w:line="225" w:lineRule="exact"/>
              <w:ind w:left="200"/>
              <w:rPr>
                <w:sz w:val="20"/>
                <w:szCs w:val="20"/>
                <w:lang w:val="fr-BE"/>
              </w:rPr>
            </w:pPr>
            <w:r w:rsidRPr="00C27636">
              <w:rPr>
                <w:rFonts w:ascii="Calibri" w:eastAsia="Calibri" w:hAnsi="Calibri" w:cs="Calibri"/>
                <w:lang w:val="fr-BE"/>
              </w:rPr>
              <w:t>mineur en danger), du placement en</w:t>
            </w:r>
          </w:p>
        </w:tc>
        <w:tc>
          <w:tcPr>
            <w:tcW w:w="0" w:type="dxa"/>
            <w:vAlign w:val="bottom"/>
          </w:tcPr>
          <w:p w:rsidR="00AC12B4" w:rsidRPr="00C27636" w:rsidRDefault="00AC12B4">
            <w:pPr>
              <w:rPr>
                <w:sz w:val="1"/>
                <w:szCs w:val="1"/>
                <w:lang w:val="fr-BE"/>
              </w:rPr>
            </w:pPr>
          </w:p>
        </w:tc>
      </w:tr>
      <w:tr w:rsidR="00AC12B4" w:rsidRPr="00C27636">
        <w:trPr>
          <w:trHeight w:val="269"/>
        </w:trPr>
        <w:tc>
          <w:tcPr>
            <w:tcW w:w="6020" w:type="dxa"/>
            <w:gridSpan w:val="10"/>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mesure de dernier ressort, et être d’une durée aussi brève</w:t>
            </w:r>
          </w:p>
        </w:tc>
        <w:tc>
          <w:tcPr>
            <w:tcW w:w="14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4500" w:type="dxa"/>
            <w:gridSpan w:val="15"/>
            <w:vAlign w:val="bottom"/>
          </w:tcPr>
          <w:p w:rsidR="00AC12B4" w:rsidRPr="00C27636" w:rsidRDefault="00C27636">
            <w:pPr>
              <w:spacing w:line="225" w:lineRule="exact"/>
              <w:ind w:left="200"/>
              <w:rPr>
                <w:sz w:val="20"/>
                <w:szCs w:val="20"/>
                <w:lang w:val="fr-BE"/>
              </w:rPr>
            </w:pPr>
            <w:r w:rsidRPr="00C27636">
              <w:rPr>
                <w:rFonts w:ascii="Calibri" w:eastAsia="Calibri" w:hAnsi="Calibri" w:cs="Calibri"/>
                <w:lang w:val="fr-BE"/>
              </w:rPr>
              <w:t>institution  privée  par  rapport  au</w:t>
            </w:r>
          </w:p>
        </w:tc>
        <w:tc>
          <w:tcPr>
            <w:tcW w:w="0" w:type="dxa"/>
            <w:vAlign w:val="bottom"/>
          </w:tcPr>
          <w:p w:rsidR="00AC12B4" w:rsidRPr="00C27636" w:rsidRDefault="00AC12B4">
            <w:pPr>
              <w:rPr>
                <w:sz w:val="1"/>
                <w:szCs w:val="1"/>
                <w:lang w:val="fr-BE"/>
              </w:rPr>
            </w:pPr>
          </w:p>
        </w:tc>
      </w:tr>
      <w:tr w:rsidR="00AC12B4">
        <w:trPr>
          <w:trHeight w:val="269"/>
        </w:trPr>
        <w:tc>
          <w:tcPr>
            <w:tcW w:w="1960" w:type="dxa"/>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que possible;</w:t>
            </w:r>
          </w:p>
        </w:tc>
        <w:tc>
          <w:tcPr>
            <w:tcW w:w="180" w:type="dxa"/>
            <w:shd w:val="clear" w:color="auto" w:fill="FEC930"/>
            <w:vAlign w:val="bottom"/>
          </w:tcPr>
          <w:p w:rsidR="00AC12B4" w:rsidRDefault="00AC12B4">
            <w:pPr>
              <w:rPr>
                <w:sz w:val="23"/>
                <w:szCs w:val="23"/>
              </w:rPr>
            </w:pPr>
          </w:p>
        </w:tc>
        <w:tc>
          <w:tcPr>
            <w:tcW w:w="1080" w:type="dxa"/>
            <w:shd w:val="clear" w:color="auto" w:fill="FEC930"/>
            <w:vAlign w:val="bottom"/>
          </w:tcPr>
          <w:p w:rsidR="00AC12B4" w:rsidRDefault="00AC12B4">
            <w:pPr>
              <w:rPr>
                <w:sz w:val="23"/>
                <w:szCs w:val="23"/>
              </w:rPr>
            </w:pPr>
          </w:p>
        </w:tc>
        <w:tc>
          <w:tcPr>
            <w:tcW w:w="200" w:type="dxa"/>
            <w:shd w:val="clear" w:color="auto" w:fill="FEC930"/>
            <w:vAlign w:val="bottom"/>
          </w:tcPr>
          <w:p w:rsidR="00AC12B4" w:rsidRDefault="00AC12B4">
            <w:pPr>
              <w:rPr>
                <w:sz w:val="23"/>
                <w:szCs w:val="23"/>
              </w:rPr>
            </w:pPr>
          </w:p>
        </w:tc>
        <w:tc>
          <w:tcPr>
            <w:tcW w:w="100" w:type="dxa"/>
            <w:shd w:val="clear" w:color="auto" w:fill="FEC930"/>
            <w:vAlign w:val="bottom"/>
          </w:tcPr>
          <w:p w:rsidR="00AC12B4" w:rsidRDefault="00AC12B4">
            <w:pPr>
              <w:rPr>
                <w:sz w:val="23"/>
                <w:szCs w:val="23"/>
              </w:rPr>
            </w:pPr>
          </w:p>
        </w:tc>
        <w:tc>
          <w:tcPr>
            <w:tcW w:w="380" w:type="dxa"/>
            <w:shd w:val="clear" w:color="auto" w:fill="FEC930"/>
            <w:vAlign w:val="bottom"/>
          </w:tcPr>
          <w:p w:rsidR="00AC12B4" w:rsidRDefault="00AC12B4">
            <w:pPr>
              <w:rPr>
                <w:sz w:val="23"/>
                <w:szCs w:val="23"/>
              </w:rPr>
            </w:pPr>
          </w:p>
        </w:tc>
        <w:tc>
          <w:tcPr>
            <w:tcW w:w="420" w:type="dxa"/>
            <w:shd w:val="clear" w:color="auto" w:fill="FEC930"/>
            <w:vAlign w:val="bottom"/>
          </w:tcPr>
          <w:p w:rsidR="00AC12B4" w:rsidRDefault="00AC12B4">
            <w:pPr>
              <w:rPr>
                <w:sz w:val="23"/>
                <w:szCs w:val="23"/>
              </w:rPr>
            </w:pPr>
          </w:p>
        </w:tc>
        <w:tc>
          <w:tcPr>
            <w:tcW w:w="240" w:type="dxa"/>
            <w:shd w:val="clear" w:color="auto" w:fill="FEC930"/>
            <w:vAlign w:val="bottom"/>
          </w:tcPr>
          <w:p w:rsidR="00AC12B4" w:rsidRDefault="00AC12B4">
            <w:pPr>
              <w:rPr>
                <w:sz w:val="23"/>
                <w:szCs w:val="23"/>
              </w:rPr>
            </w:pPr>
          </w:p>
        </w:tc>
        <w:tc>
          <w:tcPr>
            <w:tcW w:w="240" w:type="dxa"/>
            <w:shd w:val="clear" w:color="auto" w:fill="FEC930"/>
            <w:vAlign w:val="bottom"/>
          </w:tcPr>
          <w:p w:rsidR="00AC12B4" w:rsidRDefault="00AC12B4">
            <w:pPr>
              <w:rPr>
                <w:sz w:val="23"/>
                <w:szCs w:val="23"/>
              </w:rPr>
            </w:pPr>
          </w:p>
        </w:tc>
        <w:tc>
          <w:tcPr>
            <w:tcW w:w="1220" w:type="dxa"/>
            <w:shd w:val="clear" w:color="auto" w:fill="FEC930"/>
            <w:vAlign w:val="bottom"/>
          </w:tcPr>
          <w:p w:rsidR="00AC12B4" w:rsidRDefault="00AC12B4">
            <w:pPr>
              <w:rPr>
                <w:sz w:val="23"/>
                <w:szCs w:val="23"/>
              </w:rPr>
            </w:pPr>
          </w:p>
        </w:tc>
        <w:tc>
          <w:tcPr>
            <w:tcW w:w="140" w:type="dxa"/>
            <w:tcBorders>
              <w:right w:val="single" w:sz="8" w:space="0" w:color="CF9901"/>
            </w:tcBorders>
            <w:shd w:val="clear" w:color="auto" w:fill="FEC930"/>
            <w:vAlign w:val="bottom"/>
          </w:tcPr>
          <w:p w:rsidR="00AC12B4" w:rsidRDefault="00AC12B4">
            <w:pPr>
              <w:rPr>
                <w:sz w:val="23"/>
                <w:szCs w:val="23"/>
              </w:rPr>
            </w:pPr>
          </w:p>
        </w:tc>
        <w:tc>
          <w:tcPr>
            <w:tcW w:w="1960" w:type="dxa"/>
            <w:gridSpan w:val="7"/>
            <w:vAlign w:val="bottom"/>
          </w:tcPr>
          <w:p w:rsidR="00AC12B4" w:rsidRDefault="00C27636">
            <w:pPr>
              <w:spacing w:line="225" w:lineRule="exact"/>
              <w:ind w:left="200"/>
              <w:rPr>
                <w:sz w:val="20"/>
                <w:szCs w:val="20"/>
              </w:rPr>
            </w:pPr>
            <w:r>
              <w:rPr>
                <w:rFonts w:ascii="Calibri" w:eastAsia="Calibri" w:hAnsi="Calibri" w:cs="Calibri"/>
              </w:rPr>
              <w:t>placement en IPPJ.</w:t>
            </w:r>
          </w:p>
        </w:tc>
        <w:tc>
          <w:tcPr>
            <w:tcW w:w="1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8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389"/>
        </w:trPr>
        <w:tc>
          <w:tcPr>
            <w:tcW w:w="1960" w:type="dxa"/>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Article 40 CIDE</w:t>
            </w:r>
          </w:p>
        </w:tc>
        <w:tc>
          <w:tcPr>
            <w:tcW w:w="180" w:type="dxa"/>
            <w:shd w:val="clear" w:color="auto" w:fill="FEC930"/>
            <w:vAlign w:val="bottom"/>
          </w:tcPr>
          <w:p w:rsidR="00AC12B4" w:rsidRDefault="00AC12B4">
            <w:pPr>
              <w:rPr>
                <w:sz w:val="24"/>
                <w:szCs w:val="24"/>
              </w:rPr>
            </w:pPr>
          </w:p>
        </w:tc>
        <w:tc>
          <w:tcPr>
            <w:tcW w:w="1080" w:type="dxa"/>
            <w:shd w:val="clear" w:color="auto" w:fill="FEC930"/>
            <w:vAlign w:val="bottom"/>
          </w:tcPr>
          <w:p w:rsidR="00AC12B4" w:rsidRDefault="00AC12B4">
            <w:pPr>
              <w:rPr>
                <w:sz w:val="24"/>
                <w:szCs w:val="24"/>
              </w:rPr>
            </w:pPr>
          </w:p>
        </w:tc>
        <w:tc>
          <w:tcPr>
            <w:tcW w:w="200" w:type="dxa"/>
            <w:shd w:val="clear" w:color="auto" w:fill="FEC930"/>
            <w:vAlign w:val="bottom"/>
          </w:tcPr>
          <w:p w:rsidR="00AC12B4" w:rsidRDefault="00AC12B4">
            <w:pPr>
              <w:rPr>
                <w:sz w:val="24"/>
                <w:szCs w:val="24"/>
              </w:rPr>
            </w:pPr>
          </w:p>
        </w:tc>
        <w:tc>
          <w:tcPr>
            <w:tcW w:w="100" w:type="dxa"/>
            <w:shd w:val="clear" w:color="auto" w:fill="FEC930"/>
            <w:vAlign w:val="bottom"/>
          </w:tcPr>
          <w:p w:rsidR="00AC12B4" w:rsidRDefault="00AC12B4">
            <w:pPr>
              <w:rPr>
                <w:sz w:val="24"/>
                <w:szCs w:val="24"/>
              </w:rPr>
            </w:pPr>
          </w:p>
        </w:tc>
        <w:tc>
          <w:tcPr>
            <w:tcW w:w="380" w:type="dxa"/>
            <w:shd w:val="clear" w:color="auto" w:fill="FEC930"/>
            <w:vAlign w:val="bottom"/>
          </w:tcPr>
          <w:p w:rsidR="00AC12B4" w:rsidRDefault="00AC12B4">
            <w:pPr>
              <w:rPr>
                <w:sz w:val="24"/>
                <w:szCs w:val="24"/>
              </w:rPr>
            </w:pPr>
          </w:p>
        </w:tc>
        <w:tc>
          <w:tcPr>
            <w:tcW w:w="420" w:type="dxa"/>
            <w:shd w:val="clear" w:color="auto" w:fill="FEC930"/>
            <w:vAlign w:val="bottom"/>
          </w:tcPr>
          <w:p w:rsidR="00AC12B4" w:rsidRDefault="00AC12B4">
            <w:pPr>
              <w:rPr>
                <w:sz w:val="24"/>
                <w:szCs w:val="24"/>
              </w:rPr>
            </w:pPr>
          </w:p>
        </w:tc>
        <w:tc>
          <w:tcPr>
            <w:tcW w:w="240" w:type="dxa"/>
            <w:shd w:val="clear" w:color="auto" w:fill="FEC930"/>
            <w:vAlign w:val="bottom"/>
          </w:tcPr>
          <w:p w:rsidR="00AC12B4" w:rsidRDefault="00AC12B4">
            <w:pPr>
              <w:rPr>
                <w:sz w:val="24"/>
                <w:szCs w:val="24"/>
              </w:rPr>
            </w:pPr>
          </w:p>
        </w:tc>
        <w:tc>
          <w:tcPr>
            <w:tcW w:w="240" w:type="dxa"/>
            <w:shd w:val="clear" w:color="auto" w:fill="FEC930"/>
            <w:vAlign w:val="bottom"/>
          </w:tcPr>
          <w:p w:rsidR="00AC12B4" w:rsidRDefault="00AC12B4">
            <w:pPr>
              <w:rPr>
                <w:sz w:val="24"/>
                <w:szCs w:val="24"/>
              </w:rPr>
            </w:pPr>
          </w:p>
        </w:tc>
        <w:tc>
          <w:tcPr>
            <w:tcW w:w="1220" w:type="dxa"/>
            <w:shd w:val="clear" w:color="auto" w:fill="FEC930"/>
            <w:vAlign w:val="bottom"/>
          </w:tcPr>
          <w:p w:rsidR="00AC12B4" w:rsidRDefault="00AC12B4">
            <w:pPr>
              <w:rPr>
                <w:sz w:val="24"/>
                <w:szCs w:val="24"/>
              </w:rPr>
            </w:pPr>
          </w:p>
        </w:tc>
        <w:tc>
          <w:tcPr>
            <w:tcW w:w="140" w:type="dxa"/>
            <w:tcBorders>
              <w:right w:val="single" w:sz="8" w:space="0" w:color="CF9901"/>
            </w:tcBorders>
            <w:shd w:val="clear" w:color="auto" w:fill="FEC930"/>
            <w:vAlign w:val="bottom"/>
          </w:tcPr>
          <w:p w:rsidR="00AC12B4" w:rsidRDefault="00AC12B4">
            <w:pPr>
              <w:rPr>
                <w:sz w:val="24"/>
                <w:szCs w:val="24"/>
              </w:rPr>
            </w:pPr>
          </w:p>
        </w:tc>
        <w:tc>
          <w:tcPr>
            <w:tcW w:w="4500" w:type="dxa"/>
            <w:gridSpan w:val="15"/>
            <w:vAlign w:val="bottom"/>
          </w:tcPr>
          <w:p w:rsidR="00AC12B4" w:rsidRPr="00C27636" w:rsidRDefault="00C27636">
            <w:pPr>
              <w:ind w:left="200"/>
              <w:rPr>
                <w:sz w:val="20"/>
                <w:szCs w:val="20"/>
                <w:lang w:val="fr-BE"/>
              </w:rPr>
            </w:pPr>
            <w:r w:rsidRPr="00C27636">
              <w:rPr>
                <w:rFonts w:ascii="Calibri" w:eastAsia="Calibri" w:hAnsi="Calibri" w:cs="Calibri"/>
                <w:lang w:val="fr-BE"/>
              </w:rPr>
              <w:t>Dans les faits, il est difficile de mesurer</w:t>
            </w:r>
          </w:p>
        </w:tc>
        <w:tc>
          <w:tcPr>
            <w:tcW w:w="0" w:type="dxa"/>
            <w:vAlign w:val="bottom"/>
          </w:tcPr>
          <w:p w:rsidR="00AC12B4" w:rsidRPr="00C27636" w:rsidRDefault="00AC12B4">
            <w:pPr>
              <w:rPr>
                <w:sz w:val="1"/>
                <w:szCs w:val="1"/>
                <w:lang w:val="fr-BE"/>
              </w:rPr>
            </w:pPr>
          </w:p>
        </w:tc>
      </w:tr>
      <w:tr w:rsidR="00AC12B4">
        <w:trPr>
          <w:trHeight w:val="226"/>
        </w:trPr>
        <w:tc>
          <w:tcPr>
            <w:tcW w:w="602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4. Toute une gamme de dispositions, relatives notamment</w:t>
            </w:r>
          </w:p>
        </w:tc>
        <w:tc>
          <w:tcPr>
            <w:tcW w:w="140" w:type="dxa"/>
            <w:tcBorders>
              <w:right w:val="single" w:sz="8" w:space="0" w:color="CF9901"/>
            </w:tcBorders>
            <w:shd w:val="clear" w:color="auto" w:fill="FEC930"/>
            <w:vAlign w:val="bottom"/>
          </w:tcPr>
          <w:p w:rsidR="00AC12B4" w:rsidRPr="00C27636" w:rsidRDefault="00AC12B4">
            <w:pPr>
              <w:rPr>
                <w:sz w:val="19"/>
                <w:szCs w:val="19"/>
                <w:lang w:val="fr-BE"/>
              </w:rPr>
            </w:pPr>
          </w:p>
        </w:tc>
        <w:tc>
          <w:tcPr>
            <w:tcW w:w="1760" w:type="dxa"/>
            <w:gridSpan w:val="6"/>
            <w:vAlign w:val="bottom"/>
          </w:tcPr>
          <w:p w:rsidR="00AC12B4" w:rsidRDefault="00C27636">
            <w:pPr>
              <w:spacing w:line="225" w:lineRule="exact"/>
              <w:ind w:left="200"/>
              <w:rPr>
                <w:sz w:val="20"/>
                <w:szCs w:val="20"/>
              </w:rPr>
            </w:pPr>
            <w:r>
              <w:rPr>
                <w:rFonts w:ascii="Calibri" w:eastAsia="Calibri" w:hAnsi="Calibri" w:cs="Calibri"/>
              </w:rPr>
              <w:t>objectivement</w:t>
            </w:r>
          </w:p>
        </w:tc>
        <w:tc>
          <w:tcPr>
            <w:tcW w:w="200" w:type="dxa"/>
            <w:vAlign w:val="bottom"/>
          </w:tcPr>
          <w:p w:rsidR="00AC12B4" w:rsidRDefault="00C27636">
            <w:pPr>
              <w:spacing w:line="225" w:lineRule="exact"/>
              <w:rPr>
                <w:sz w:val="20"/>
                <w:szCs w:val="20"/>
              </w:rPr>
            </w:pPr>
            <w:r>
              <w:rPr>
                <w:rFonts w:ascii="Calibri" w:eastAsia="Calibri" w:hAnsi="Calibri" w:cs="Calibri"/>
              </w:rPr>
              <w:t>le</w:t>
            </w:r>
          </w:p>
        </w:tc>
        <w:tc>
          <w:tcPr>
            <w:tcW w:w="180" w:type="dxa"/>
            <w:vAlign w:val="bottom"/>
          </w:tcPr>
          <w:p w:rsidR="00AC12B4" w:rsidRDefault="00AC12B4">
            <w:pPr>
              <w:rPr>
                <w:sz w:val="19"/>
                <w:szCs w:val="19"/>
              </w:rPr>
            </w:pPr>
          </w:p>
        </w:tc>
        <w:tc>
          <w:tcPr>
            <w:tcW w:w="740" w:type="dxa"/>
            <w:gridSpan w:val="3"/>
            <w:vAlign w:val="bottom"/>
          </w:tcPr>
          <w:p w:rsidR="00AC12B4" w:rsidRDefault="00C27636">
            <w:pPr>
              <w:spacing w:line="225" w:lineRule="exact"/>
              <w:ind w:left="40"/>
              <w:rPr>
                <w:sz w:val="20"/>
                <w:szCs w:val="20"/>
              </w:rPr>
            </w:pPr>
            <w:r>
              <w:rPr>
                <w:rFonts w:ascii="Calibri" w:eastAsia="Calibri" w:hAnsi="Calibri" w:cs="Calibri"/>
              </w:rPr>
              <w:t>respect</w:t>
            </w:r>
          </w:p>
        </w:tc>
        <w:tc>
          <w:tcPr>
            <w:tcW w:w="240" w:type="dxa"/>
            <w:vAlign w:val="bottom"/>
          </w:tcPr>
          <w:p w:rsidR="00AC12B4" w:rsidRDefault="00AC12B4">
            <w:pPr>
              <w:rPr>
                <w:sz w:val="19"/>
                <w:szCs w:val="19"/>
              </w:rPr>
            </w:pPr>
          </w:p>
        </w:tc>
        <w:tc>
          <w:tcPr>
            <w:tcW w:w="220" w:type="dxa"/>
            <w:vAlign w:val="bottom"/>
          </w:tcPr>
          <w:p w:rsidR="00AC12B4" w:rsidRDefault="00C27636">
            <w:pPr>
              <w:spacing w:line="225" w:lineRule="exact"/>
              <w:rPr>
                <w:sz w:val="20"/>
                <w:szCs w:val="20"/>
              </w:rPr>
            </w:pPr>
            <w:r>
              <w:rPr>
                <w:rFonts w:ascii="Calibri" w:eastAsia="Calibri" w:hAnsi="Calibri" w:cs="Calibri"/>
                <w:w w:val="88"/>
              </w:rPr>
              <w:t>de</w:t>
            </w:r>
          </w:p>
        </w:tc>
        <w:tc>
          <w:tcPr>
            <w:tcW w:w="1160" w:type="dxa"/>
            <w:gridSpan w:val="2"/>
            <w:vAlign w:val="bottom"/>
          </w:tcPr>
          <w:p w:rsidR="00AC12B4" w:rsidRDefault="00C27636">
            <w:pPr>
              <w:spacing w:line="225" w:lineRule="exact"/>
              <w:ind w:right="617"/>
              <w:jc w:val="right"/>
              <w:rPr>
                <w:sz w:val="20"/>
                <w:szCs w:val="20"/>
              </w:rPr>
            </w:pPr>
            <w:r>
              <w:rPr>
                <w:rFonts w:ascii="Calibri" w:eastAsia="Calibri" w:hAnsi="Calibri" w:cs="Calibri"/>
              </w:rPr>
              <w:t>la</w:t>
            </w:r>
          </w:p>
        </w:tc>
        <w:tc>
          <w:tcPr>
            <w:tcW w:w="0" w:type="dxa"/>
            <w:vAlign w:val="bottom"/>
          </w:tcPr>
          <w:p w:rsidR="00AC12B4" w:rsidRDefault="00AC12B4">
            <w:pPr>
              <w:rPr>
                <w:sz w:val="1"/>
                <w:szCs w:val="1"/>
              </w:rPr>
            </w:pPr>
          </w:p>
        </w:tc>
      </w:tr>
      <w:tr w:rsidR="00AC12B4">
        <w:trPr>
          <w:trHeight w:val="163"/>
        </w:trPr>
        <w:tc>
          <w:tcPr>
            <w:tcW w:w="6020" w:type="dxa"/>
            <w:gridSpan w:val="10"/>
            <w:vMerge/>
            <w:tcBorders>
              <w:left w:val="single" w:sz="8" w:space="0" w:color="CF9901"/>
            </w:tcBorders>
            <w:shd w:val="clear" w:color="auto" w:fill="FEC930"/>
            <w:vAlign w:val="bottom"/>
          </w:tcPr>
          <w:p w:rsidR="00AC12B4" w:rsidRDefault="00AC12B4">
            <w:pPr>
              <w:rPr>
                <w:sz w:val="14"/>
                <w:szCs w:val="14"/>
              </w:rPr>
            </w:pPr>
          </w:p>
        </w:tc>
        <w:tc>
          <w:tcPr>
            <w:tcW w:w="140" w:type="dxa"/>
            <w:tcBorders>
              <w:right w:val="single" w:sz="8" w:space="0" w:color="CF9901"/>
            </w:tcBorders>
            <w:shd w:val="clear" w:color="auto" w:fill="FEC930"/>
            <w:vAlign w:val="bottom"/>
          </w:tcPr>
          <w:p w:rsidR="00AC12B4" w:rsidRDefault="00AC12B4">
            <w:pPr>
              <w:rPr>
                <w:sz w:val="14"/>
                <w:szCs w:val="14"/>
              </w:rPr>
            </w:pPr>
          </w:p>
        </w:tc>
        <w:tc>
          <w:tcPr>
            <w:tcW w:w="1200" w:type="dxa"/>
            <w:gridSpan w:val="3"/>
            <w:vMerge w:val="restart"/>
            <w:vAlign w:val="bottom"/>
          </w:tcPr>
          <w:p w:rsidR="00AC12B4" w:rsidRDefault="00C27636">
            <w:pPr>
              <w:ind w:left="200"/>
              <w:rPr>
                <w:sz w:val="20"/>
                <w:szCs w:val="20"/>
              </w:rPr>
            </w:pPr>
            <w:r>
              <w:rPr>
                <w:rFonts w:ascii="Calibri" w:eastAsia="Calibri" w:hAnsi="Calibri" w:cs="Calibri"/>
              </w:rPr>
              <w:t>hiéra</w:t>
            </w:r>
            <w:r>
              <w:rPr>
                <w:rFonts w:ascii="Calibri" w:eastAsia="Calibri" w:hAnsi="Calibri" w:cs="Calibri"/>
              </w:rPr>
              <w:lastRenderedPageBreak/>
              <w:t>rchie</w:t>
            </w:r>
          </w:p>
        </w:tc>
        <w:tc>
          <w:tcPr>
            <w:tcW w:w="140" w:type="dxa"/>
            <w:vAlign w:val="bottom"/>
          </w:tcPr>
          <w:p w:rsidR="00AC12B4" w:rsidRDefault="00AC12B4">
            <w:pPr>
              <w:rPr>
                <w:sz w:val="14"/>
                <w:szCs w:val="14"/>
              </w:rPr>
            </w:pPr>
          </w:p>
        </w:tc>
        <w:tc>
          <w:tcPr>
            <w:tcW w:w="420" w:type="dxa"/>
            <w:gridSpan w:val="2"/>
            <w:vMerge w:val="restart"/>
            <w:vAlign w:val="bottom"/>
          </w:tcPr>
          <w:p w:rsidR="00AC12B4" w:rsidRDefault="00C27636">
            <w:pPr>
              <w:jc w:val="right"/>
              <w:rPr>
                <w:sz w:val="20"/>
                <w:szCs w:val="20"/>
              </w:rPr>
            </w:pPr>
            <w:r>
              <w:rPr>
                <w:rFonts w:ascii="Calibri" w:eastAsia="Calibri" w:hAnsi="Calibri" w:cs="Calibri"/>
                <w:w w:val="96"/>
              </w:rPr>
              <w:t>de</w:t>
            </w:r>
            <w:r>
              <w:rPr>
                <w:rFonts w:ascii="Calibri" w:eastAsia="Calibri" w:hAnsi="Calibri" w:cs="Calibri"/>
                <w:w w:val="96"/>
              </w:rPr>
              <w:lastRenderedPageBreak/>
              <w:t>s</w:t>
            </w:r>
          </w:p>
        </w:tc>
        <w:tc>
          <w:tcPr>
            <w:tcW w:w="1120" w:type="dxa"/>
            <w:gridSpan w:val="5"/>
            <w:vMerge w:val="restart"/>
            <w:vAlign w:val="bottom"/>
          </w:tcPr>
          <w:p w:rsidR="00AC12B4" w:rsidRDefault="00C27636">
            <w:pPr>
              <w:ind w:left="140"/>
              <w:rPr>
                <w:sz w:val="20"/>
                <w:szCs w:val="20"/>
              </w:rPr>
            </w:pPr>
            <w:r>
              <w:rPr>
                <w:rFonts w:ascii="Calibri" w:eastAsia="Calibri" w:hAnsi="Calibri" w:cs="Calibri"/>
              </w:rPr>
              <w:lastRenderedPageBreak/>
              <w:t>mesu</w:t>
            </w:r>
            <w:r>
              <w:rPr>
                <w:rFonts w:ascii="Calibri" w:eastAsia="Calibri" w:hAnsi="Calibri" w:cs="Calibri"/>
              </w:rPr>
              <w:lastRenderedPageBreak/>
              <w:t>res</w:t>
            </w:r>
          </w:p>
        </w:tc>
        <w:tc>
          <w:tcPr>
            <w:tcW w:w="460" w:type="dxa"/>
            <w:gridSpan w:val="2"/>
            <w:vMerge w:val="restart"/>
            <w:vAlign w:val="bottom"/>
          </w:tcPr>
          <w:p w:rsidR="00AC12B4" w:rsidRDefault="00C27636">
            <w:pPr>
              <w:ind w:left="20"/>
              <w:rPr>
                <w:sz w:val="20"/>
                <w:szCs w:val="20"/>
              </w:rPr>
            </w:pPr>
            <w:r>
              <w:rPr>
                <w:rFonts w:ascii="Calibri" w:eastAsia="Calibri" w:hAnsi="Calibri" w:cs="Calibri"/>
              </w:rPr>
              <w:lastRenderedPageBreak/>
              <w:t>pa</w:t>
            </w:r>
            <w:r>
              <w:rPr>
                <w:rFonts w:ascii="Calibri" w:eastAsia="Calibri" w:hAnsi="Calibri" w:cs="Calibri"/>
              </w:rPr>
              <w:lastRenderedPageBreak/>
              <w:t>r</w:t>
            </w:r>
          </w:p>
        </w:tc>
        <w:tc>
          <w:tcPr>
            <w:tcW w:w="1160" w:type="dxa"/>
            <w:gridSpan w:val="2"/>
            <w:vMerge w:val="restart"/>
            <w:vAlign w:val="bottom"/>
          </w:tcPr>
          <w:p w:rsidR="00AC12B4" w:rsidRDefault="00C27636">
            <w:pPr>
              <w:ind w:right="637"/>
              <w:jc w:val="right"/>
              <w:rPr>
                <w:sz w:val="20"/>
                <w:szCs w:val="20"/>
              </w:rPr>
            </w:pPr>
            <w:r>
              <w:rPr>
                <w:rFonts w:ascii="Calibri" w:eastAsia="Calibri" w:hAnsi="Calibri" w:cs="Calibri"/>
              </w:rPr>
              <w:lastRenderedPageBreak/>
              <w:t>u</w:t>
            </w:r>
            <w:r>
              <w:rPr>
                <w:rFonts w:ascii="Calibri" w:eastAsia="Calibri" w:hAnsi="Calibri" w:cs="Calibri"/>
              </w:rPr>
              <w:lastRenderedPageBreak/>
              <w:t>ne</w:t>
            </w:r>
          </w:p>
        </w:tc>
        <w:tc>
          <w:tcPr>
            <w:tcW w:w="0" w:type="dxa"/>
            <w:vAlign w:val="bottom"/>
          </w:tcPr>
          <w:p w:rsidR="00AC12B4" w:rsidRDefault="00AC12B4">
            <w:pPr>
              <w:rPr>
                <w:sz w:val="1"/>
                <w:szCs w:val="1"/>
              </w:rPr>
            </w:pPr>
          </w:p>
        </w:tc>
      </w:tr>
      <w:tr w:rsidR="00AC12B4" w:rsidRPr="00C27636">
        <w:trPr>
          <w:trHeight w:val="106"/>
        </w:trPr>
        <w:tc>
          <w:tcPr>
            <w:tcW w:w="602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 xml:space="preserve">aux soins, à l’orientation et à la </w:t>
            </w:r>
            <w:r w:rsidRPr="00C27636">
              <w:rPr>
                <w:rFonts w:ascii="Calibri" w:eastAsia="Calibri" w:hAnsi="Calibri" w:cs="Calibri"/>
                <w:i/>
                <w:iCs/>
                <w:color w:val="FFFFFF"/>
                <w:lang w:val="fr-BE"/>
              </w:rPr>
              <w:lastRenderedPageBreak/>
              <w:t xml:space="preserve">supervision, aux </w:t>
            </w:r>
            <w:r w:rsidRPr="00C27636">
              <w:rPr>
                <w:rFonts w:ascii="Calibri" w:eastAsia="Calibri" w:hAnsi="Calibri" w:cs="Calibri"/>
                <w:i/>
                <w:iCs/>
                <w:color w:val="FFFFFF"/>
                <w:lang w:val="fr-BE"/>
              </w:rPr>
              <w:t>conseils, à</w:t>
            </w:r>
          </w:p>
        </w:tc>
        <w:tc>
          <w:tcPr>
            <w:tcW w:w="140" w:type="dxa"/>
            <w:tcBorders>
              <w:right w:val="single" w:sz="8" w:space="0" w:color="CF9901"/>
            </w:tcBorders>
            <w:shd w:val="clear" w:color="auto" w:fill="FEC930"/>
            <w:vAlign w:val="bottom"/>
          </w:tcPr>
          <w:p w:rsidR="00AC12B4" w:rsidRPr="00C27636" w:rsidRDefault="00AC12B4">
            <w:pPr>
              <w:rPr>
                <w:sz w:val="9"/>
                <w:szCs w:val="9"/>
                <w:lang w:val="fr-BE"/>
              </w:rPr>
            </w:pPr>
          </w:p>
        </w:tc>
        <w:tc>
          <w:tcPr>
            <w:tcW w:w="1200" w:type="dxa"/>
            <w:gridSpan w:val="3"/>
            <w:vMerge/>
            <w:vAlign w:val="bottom"/>
          </w:tcPr>
          <w:p w:rsidR="00AC12B4" w:rsidRPr="00C27636" w:rsidRDefault="00AC12B4">
            <w:pPr>
              <w:rPr>
                <w:sz w:val="9"/>
                <w:szCs w:val="9"/>
                <w:lang w:val="fr-BE"/>
              </w:rPr>
            </w:pPr>
          </w:p>
        </w:tc>
        <w:tc>
          <w:tcPr>
            <w:tcW w:w="140" w:type="dxa"/>
            <w:vAlign w:val="bottom"/>
          </w:tcPr>
          <w:p w:rsidR="00AC12B4" w:rsidRPr="00C27636" w:rsidRDefault="00AC12B4">
            <w:pPr>
              <w:rPr>
                <w:sz w:val="9"/>
                <w:szCs w:val="9"/>
                <w:lang w:val="fr-BE"/>
              </w:rPr>
            </w:pPr>
          </w:p>
        </w:tc>
        <w:tc>
          <w:tcPr>
            <w:tcW w:w="420" w:type="dxa"/>
            <w:gridSpan w:val="2"/>
            <w:vMerge/>
            <w:vAlign w:val="bottom"/>
          </w:tcPr>
          <w:p w:rsidR="00AC12B4" w:rsidRPr="00C27636" w:rsidRDefault="00AC12B4">
            <w:pPr>
              <w:rPr>
                <w:sz w:val="9"/>
                <w:szCs w:val="9"/>
                <w:lang w:val="fr-BE"/>
              </w:rPr>
            </w:pPr>
          </w:p>
        </w:tc>
        <w:tc>
          <w:tcPr>
            <w:tcW w:w="1120" w:type="dxa"/>
            <w:gridSpan w:val="5"/>
            <w:vMerge/>
            <w:vAlign w:val="bottom"/>
          </w:tcPr>
          <w:p w:rsidR="00AC12B4" w:rsidRPr="00C27636" w:rsidRDefault="00AC12B4">
            <w:pPr>
              <w:rPr>
                <w:sz w:val="9"/>
                <w:szCs w:val="9"/>
                <w:lang w:val="fr-BE"/>
              </w:rPr>
            </w:pPr>
          </w:p>
        </w:tc>
        <w:tc>
          <w:tcPr>
            <w:tcW w:w="460" w:type="dxa"/>
            <w:gridSpan w:val="2"/>
            <w:vMerge/>
            <w:vAlign w:val="bottom"/>
          </w:tcPr>
          <w:p w:rsidR="00AC12B4" w:rsidRPr="00C27636" w:rsidRDefault="00AC12B4">
            <w:pPr>
              <w:rPr>
                <w:sz w:val="9"/>
                <w:szCs w:val="9"/>
                <w:lang w:val="fr-BE"/>
              </w:rPr>
            </w:pPr>
          </w:p>
        </w:tc>
        <w:tc>
          <w:tcPr>
            <w:tcW w:w="1160" w:type="dxa"/>
            <w:gridSpan w:val="2"/>
            <w:vMerge/>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163"/>
        </w:trPr>
        <w:tc>
          <w:tcPr>
            <w:tcW w:w="6020" w:type="dxa"/>
            <w:gridSpan w:val="10"/>
            <w:vMerge/>
            <w:tcBorders>
              <w:left w:val="single" w:sz="8" w:space="0" w:color="CF9901"/>
            </w:tcBorders>
            <w:shd w:val="clear" w:color="auto" w:fill="FEC930"/>
            <w:vAlign w:val="bottom"/>
          </w:tcPr>
          <w:p w:rsidR="00AC12B4" w:rsidRPr="00C27636" w:rsidRDefault="00AC12B4">
            <w:pPr>
              <w:rPr>
                <w:sz w:val="14"/>
                <w:szCs w:val="14"/>
                <w:lang w:val="fr-BE"/>
              </w:rPr>
            </w:pPr>
          </w:p>
        </w:tc>
        <w:tc>
          <w:tcPr>
            <w:tcW w:w="14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4500" w:type="dxa"/>
            <w:gridSpan w:val="15"/>
            <w:vMerge w:val="restart"/>
            <w:vAlign w:val="bottom"/>
          </w:tcPr>
          <w:p w:rsidR="00AC12B4" w:rsidRPr="00C27636" w:rsidRDefault="00C27636">
            <w:pPr>
              <w:spacing w:line="267" w:lineRule="exact"/>
              <w:ind w:left="200"/>
              <w:rPr>
                <w:sz w:val="20"/>
                <w:szCs w:val="20"/>
                <w:lang w:val="fr-BE"/>
              </w:rPr>
            </w:pPr>
            <w:r w:rsidRPr="00C27636">
              <w:rPr>
                <w:rFonts w:ascii="Calibri" w:eastAsia="Calibri" w:hAnsi="Calibri" w:cs="Calibri"/>
                <w:lang w:val="fr-BE"/>
              </w:rPr>
              <w:t>« simple » photographie de la situation</w:t>
            </w:r>
          </w:p>
        </w:tc>
        <w:tc>
          <w:tcPr>
            <w:tcW w:w="0" w:type="dxa"/>
            <w:vAlign w:val="bottom"/>
          </w:tcPr>
          <w:p w:rsidR="00AC12B4" w:rsidRPr="00C27636" w:rsidRDefault="00AC12B4">
            <w:pPr>
              <w:rPr>
                <w:sz w:val="1"/>
                <w:szCs w:val="1"/>
                <w:lang w:val="fr-BE"/>
              </w:rPr>
            </w:pPr>
          </w:p>
        </w:tc>
      </w:tr>
      <w:tr w:rsidR="00AC12B4">
        <w:trPr>
          <w:trHeight w:val="103"/>
        </w:trPr>
        <w:tc>
          <w:tcPr>
            <w:tcW w:w="1960" w:type="dxa"/>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la  probation,</w:t>
            </w:r>
          </w:p>
        </w:tc>
        <w:tc>
          <w:tcPr>
            <w:tcW w:w="1460" w:type="dxa"/>
            <w:gridSpan w:val="3"/>
            <w:vMerge w:val="restart"/>
            <w:shd w:val="clear" w:color="auto" w:fill="FEC930"/>
            <w:vAlign w:val="bottom"/>
          </w:tcPr>
          <w:p w:rsidR="00AC12B4" w:rsidRDefault="00C27636">
            <w:pPr>
              <w:ind w:left="40"/>
              <w:rPr>
                <w:sz w:val="20"/>
                <w:szCs w:val="20"/>
              </w:rPr>
            </w:pPr>
            <w:r>
              <w:rPr>
                <w:rFonts w:ascii="Calibri" w:eastAsia="Calibri" w:hAnsi="Calibri" w:cs="Calibri"/>
                <w:i/>
                <w:iCs/>
                <w:color w:val="FFFFFF"/>
              </w:rPr>
              <w:t>au  placement</w:t>
            </w:r>
          </w:p>
        </w:tc>
        <w:tc>
          <w:tcPr>
            <w:tcW w:w="900" w:type="dxa"/>
            <w:gridSpan w:val="3"/>
            <w:vMerge w:val="restart"/>
            <w:shd w:val="clear" w:color="auto" w:fill="FEC930"/>
            <w:vAlign w:val="bottom"/>
          </w:tcPr>
          <w:p w:rsidR="00AC12B4" w:rsidRDefault="00C27636">
            <w:pPr>
              <w:ind w:right="10"/>
              <w:jc w:val="right"/>
              <w:rPr>
                <w:sz w:val="20"/>
                <w:szCs w:val="20"/>
              </w:rPr>
            </w:pPr>
            <w:r>
              <w:rPr>
                <w:rFonts w:ascii="Calibri" w:eastAsia="Calibri" w:hAnsi="Calibri" w:cs="Calibri"/>
                <w:i/>
                <w:iCs/>
                <w:color w:val="FFFFFF"/>
              </w:rPr>
              <w:t>familial,</w:t>
            </w:r>
          </w:p>
        </w:tc>
        <w:tc>
          <w:tcPr>
            <w:tcW w:w="480" w:type="dxa"/>
            <w:gridSpan w:val="2"/>
            <w:vMerge w:val="restart"/>
            <w:shd w:val="clear" w:color="auto" w:fill="FEC930"/>
            <w:vAlign w:val="bottom"/>
          </w:tcPr>
          <w:p w:rsidR="00AC12B4" w:rsidRDefault="00C27636">
            <w:pPr>
              <w:ind w:left="40"/>
              <w:rPr>
                <w:sz w:val="20"/>
                <w:szCs w:val="20"/>
              </w:rPr>
            </w:pPr>
            <w:r>
              <w:rPr>
                <w:rFonts w:ascii="Calibri" w:eastAsia="Calibri" w:hAnsi="Calibri" w:cs="Calibri"/>
                <w:i/>
                <w:iCs/>
                <w:color w:val="FFFFFF"/>
              </w:rPr>
              <w:t>aux</w:t>
            </w:r>
          </w:p>
        </w:tc>
        <w:tc>
          <w:tcPr>
            <w:tcW w:w="1220" w:type="dxa"/>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programmes</w:t>
            </w:r>
          </w:p>
        </w:tc>
        <w:tc>
          <w:tcPr>
            <w:tcW w:w="140" w:type="dxa"/>
            <w:tcBorders>
              <w:right w:val="single" w:sz="8" w:space="0" w:color="CF9901"/>
            </w:tcBorders>
            <w:shd w:val="clear" w:color="auto" w:fill="FEC930"/>
            <w:vAlign w:val="bottom"/>
          </w:tcPr>
          <w:p w:rsidR="00AC12B4" w:rsidRDefault="00AC12B4">
            <w:pPr>
              <w:rPr>
                <w:sz w:val="8"/>
                <w:szCs w:val="8"/>
              </w:rPr>
            </w:pPr>
          </w:p>
        </w:tc>
        <w:tc>
          <w:tcPr>
            <w:tcW w:w="4500" w:type="dxa"/>
            <w:gridSpan w:val="15"/>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166"/>
        </w:trPr>
        <w:tc>
          <w:tcPr>
            <w:tcW w:w="1960" w:type="dxa"/>
            <w:vMerge/>
            <w:tcBorders>
              <w:left w:val="single" w:sz="8" w:space="0" w:color="CF9901"/>
            </w:tcBorders>
            <w:shd w:val="clear" w:color="auto" w:fill="FEC930"/>
            <w:vAlign w:val="bottom"/>
          </w:tcPr>
          <w:p w:rsidR="00AC12B4" w:rsidRDefault="00AC12B4">
            <w:pPr>
              <w:rPr>
                <w:sz w:val="14"/>
                <w:szCs w:val="14"/>
              </w:rPr>
            </w:pPr>
          </w:p>
        </w:tc>
        <w:tc>
          <w:tcPr>
            <w:tcW w:w="1460" w:type="dxa"/>
            <w:gridSpan w:val="3"/>
            <w:vMerge/>
            <w:shd w:val="clear" w:color="auto" w:fill="FEC930"/>
            <w:vAlign w:val="bottom"/>
          </w:tcPr>
          <w:p w:rsidR="00AC12B4" w:rsidRDefault="00AC12B4">
            <w:pPr>
              <w:rPr>
                <w:sz w:val="14"/>
                <w:szCs w:val="14"/>
              </w:rPr>
            </w:pPr>
          </w:p>
        </w:tc>
        <w:tc>
          <w:tcPr>
            <w:tcW w:w="900" w:type="dxa"/>
            <w:gridSpan w:val="3"/>
            <w:vMerge/>
            <w:shd w:val="clear" w:color="auto" w:fill="FEC930"/>
            <w:vAlign w:val="bottom"/>
          </w:tcPr>
          <w:p w:rsidR="00AC12B4" w:rsidRDefault="00AC12B4">
            <w:pPr>
              <w:rPr>
                <w:sz w:val="14"/>
                <w:szCs w:val="14"/>
              </w:rPr>
            </w:pPr>
          </w:p>
        </w:tc>
        <w:tc>
          <w:tcPr>
            <w:tcW w:w="480" w:type="dxa"/>
            <w:gridSpan w:val="2"/>
            <w:vMerge/>
            <w:shd w:val="clear" w:color="auto" w:fill="FEC930"/>
            <w:vAlign w:val="bottom"/>
          </w:tcPr>
          <w:p w:rsidR="00AC12B4" w:rsidRDefault="00AC12B4">
            <w:pPr>
              <w:rPr>
                <w:sz w:val="14"/>
                <w:szCs w:val="14"/>
              </w:rPr>
            </w:pPr>
          </w:p>
        </w:tc>
        <w:tc>
          <w:tcPr>
            <w:tcW w:w="1220" w:type="dxa"/>
            <w:vMerge/>
            <w:shd w:val="clear" w:color="auto" w:fill="FEC930"/>
            <w:vAlign w:val="bottom"/>
          </w:tcPr>
          <w:p w:rsidR="00AC12B4" w:rsidRDefault="00AC12B4">
            <w:pPr>
              <w:rPr>
                <w:sz w:val="14"/>
                <w:szCs w:val="14"/>
              </w:rPr>
            </w:pPr>
          </w:p>
        </w:tc>
        <w:tc>
          <w:tcPr>
            <w:tcW w:w="140" w:type="dxa"/>
            <w:tcBorders>
              <w:right w:val="single" w:sz="8" w:space="0" w:color="CF9901"/>
            </w:tcBorders>
            <w:shd w:val="clear" w:color="auto" w:fill="FEC930"/>
            <w:vAlign w:val="bottom"/>
          </w:tcPr>
          <w:p w:rsidR="00AC12B4" w:rsidRDefault="00AC12B4">
            <w:pPr>
              <w:rPr>
                <w:sz w:val="14"/>
                <w:szCs w:val="14"/>
              </w:rPr>
            </w:pPr>
          </w:p>
        </w:tc>
        <w:tc>
          <w:tcPr>
            <w:tcW w:w="4500" w:type="dxa"/>
            <w:gridSpan w:val="15"/>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 xml:space="preserve">à un moment </w:t>
            </w:r>
            <w:r w:rsidRPr="00C27636">
              <w:rPr>
                <w:rFonts w:ascii="Calibri" w:eastAsia="Calibri" w:hAnsi="Calibri" w:cs="Calibri"/>
                <w:i/>
                <w:iCs/>
                <w:lang w:val="fr-BE"/>
              </w:rPr>
              <w:t>t</w:t>
            </w:r>
            <w:r w:rsidRPr="00C27636">
              <w:rPr>
                <w:rFonts w:ascii="Calibri" w:eastAsia="Calibri" w:hAnsi="Calibri" w:cs="Calibri"/>
                <w:lang w:val="fr-BE"/>
              </w:rPr>
              <w:t xml:space="preserve"> (que nous dirait le fait</w:t>
            </w:r>
          </w:p>
        </w:tc>
        <w:tc>
          <w:tcPr>
            <w:tcW w:w="0" w:type="dxa"/>
            <w:vAlign w:val="bottom"/>
          </w:tcPr>
          <w:p w:rsidR="00AC12B4" w:rsidRPr="00C27636" w:rsidRDefault="00AC12B4">
            <w:pPr>
              <w:rPr>
                <w:sz w:val="1"/>
                <w:szCs w:val="1"/>
                <w:lang w:val="fr-BE"/>
              </w:rPr>
            </w:pPr>
          </w:p>
        </w:tc>
      </w:tr>
      <w:tr w:rsidR="00AC12B4">
        <w:trPr>
          <w:trHeight w:val="103"/>
        </w:trPr>
        <w:tc>
          <w:tcPr>
            <w:tcW w:w="4320" w:type="dxa"/>
            <w:gridSpan w:val="7"/>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d’éducation générale et professionnelle</w:t>
            </w:r>
          </w:p>
        </w:tc>
        <w:tc>
          <w:tcPr>
            <w:tcW w:w="1700" w:type="dxa"/>
            <w:gridSpan w:val="3"/>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et aux solutions</w:t>
            </w:r>
          </w:p>
        </w:tc>
        <w:tc>
          <w:tcPr>
            <w:tcW w:w="140" w:type="dxa"/>
            <w:tcBorders>
              <w:right w:val="single" w:sz="8" w:space="0" w:color="CF9901"/>
            </w:tcBorders>
            <w:shd w:val="clear" w:color="auto" w:fill="FEC930"/>
            <w:vAlign w:val="bottom"/>
          </w:tcPr>
          <w:p w:rsidR="00AC12B4" w:rsidRDefault="00AC12B4">
            <w:pPr>
              <w:rPr>
                <w:sz w:val="8"/>
                <w:szCs w:val="8"/>
              </w:rPr>
            </w:pPr>
          </w:p>
        </w:tc>
        <w:tc>
          <w:tcPr>
            <w:tcW w:w="4500" w:type="dxa"/>
            <w:gridSpan w:val="15"/>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rsidRPr="00C27636">
        <w:trPr>
          <w:trHeight w:val="166"/>
        </w:trPr>
        <w:tc>
          <w:tcPr>
            <w:tcW w:w="4320" w:type="dxa"/>
            <w:gridSpan w:val="7"/>
            <w:vMerge/>
            <w:tcBorders>
              <w:left w:val="single" w:sz="8" w:space="0" w:color="CF9901"/>
            </w:tcBorders>
            <w:shd w:val="clear" w:color="auto" w:fill="FEC930"/>
            <w:vAlign w:val="bottom"/>
          </w:tcPr>
          <w:p w:rsidR="00AC12B4" w:rsidRDefault="00AC12B4">
            <w:pPr>
              <w:rPr>
                <w:sz w:val="14"/>
                <w:szCs w:val="14"/>
              </w:rPr>
            </w:pPr>
          </w:p>
        </w:tc>
        <w:tc>
          <w:tcPr>
            <w:tcW w:w="1700" w:type="dxa"/>
            <w:gridSpan w:val="3"/>
            <w:vMerge/>
            <w:shd w:val="clear" w:color="auto" w:fill="FEC930"/>
            <w:vAlign w:val="bottom"/>
          </w:tcPr>
          <w:p w:rsidR="00AC12B4" w:rsidRDefault="00AC12B4">
            <w:pPr>
              <w:rPr>
                <w:sz w:val="14"/>
                <w:szCs w:val="14"/>
              </w:rPr>
            </w:pPr>
          </w:p>
        </w:tc>
        <w:tc>
          <w:tcPr>
            <w:tcW w:w="140" w:type="dxa"/>
            <w:tcBorders>
              <w:right w:val="single" w:sz="8" w:space="0" w:color="CF9901"/>
            </w:tcBorders>
            <w:shd w:val="clear" w:color="auto" w:fill="FEC930"/>
            <w:vAlign w:val="bottom"/>
          </w:tcPr>
          <w:p w:rsidR="00AC12B4" w:rsidRDefault="00AC12B4">
            <w:pPr>
              <w:rPr>
                <w:sz w:val="14"/>
                <w:szCs w:val="14"/>
              </w:rPr>
            </w:pPr>
          </w:p>
        </w:tc>
        <w:tc>
          <w:tcPr>
            <w:tcW w:w="4500" w:type="dxa"/>
            <w:gridSpan w:val="15"/>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 xml:space="preserve">que x % des mineurs </w:t>
            </w:r>
            <w:r w:rsidRPr="00C27636">
              <w:rPr>
                <w:rFonts w:ascii="Calibri" w:eastAsia="Calibri" w:hAnsi="Calibri" w:cs="Calibri"/>
                <w:lang w:val="fr-BE"/>
              </w:rPr>
              <w:t>ayant commis un</w:t>
            </w:r>
          </w:p>
        </w:tc>
        <w:tc>
          <w:tcPr>
            <w:tcW w:w="0" w:type="dxa"/>
            <w:vAlign w:val="bottom"/>
          </w:tcPr>
          <w:p w:rsidR="00AC12B4" w:rsidRPr="00C27636" w:rsidRDefault="00AC12B4">
            <w:pPr>
              <w:rPr>
                <w:sz w:val="1"/>
                <w:szCs w:val="1"/>
                <w:lang w:val="fr-BE"/>
              </w:rPr>
            </w:pPr>
          </w:p>
        </w:tc>
      </w:tr>
      <w:tr w:rsidR="00AC12B4" w:rsidRPr="00C27636">
        <w:trPr>
          <w:trHeight w:val="103"/>
        </w:trPr>
        <w:tc>
          <w:tcPr>
            <w:tcW w:w="6020" w:type="dxa"/>
            <w:gridSpan w:val="10"/>
            <w:vMerge w:val="restart"/>
            <w:tcBorders>
              <w:left w:val="single" w:sz="8" w:space="0" w:color="CF9901"/>
            </w:tcBorders>
            <w:shd w:val="clear" w:color="auto" w:fill="FEC930"/>
            <w:vAlign w:val="bottom"/>
          </w:tcPr>
          <w:p w:rsidR="00AC12B4" w:rsidRPr="00C27636" w:rsidRDefault="00C27636">
            <w:pPr>
              <w:spacing w:line="267" w:lineRule="exact"/>
              <w:ind w:left="580"/>
              <w:rPr>
                <w:sz w:val="20"/>
                <w:szCs w:val="20"/>
                <w:lang w:val="fr-BE"/>
              </w:rPr>
            </w:pPr>
            <w:r w:rsidRPr="00C27636">
              <w:rPr>
                <w:rFonts w:ascii="Calibri" w:eastAsia="Calibri" w:hAnsi="Calibri" w:cs="Calibri"/>
                <w:i/>
                <w:iCs/>
                <w:color w:val="FFFFFF"/>
                <w:lang w:val="fr-BE"/>
              </w:rPr>
              <w:t>autres qu’institutionnelles seront prévues en vue d’assurer</w:t>
            </w:r>
          </w:p>
        </w:tc>
        <w:tc>
          <w:tcPr>
            <w:tcW w:w="140" w:type="dxa"/>
            <w:tcBorders>
              <w:right w:val="single" w:sz="8" w:space="0" w:color="CF9901"/>
            </w:tcBorders>
            <w:shd w:val="clear" w:color="auto" w:fill="FEC930"/>
            <w:vAlign w:val="bottom"/>
          </w:tcPr>
          <w:p w:rsidR="00AC12B4" w:rsidRPr="00C27636" w:rsidRDefault="00AC12B4">
            <w:pPr>
              <w:rPr>
                <w:sz w:val="8"/>
                <w:szCs w:val="8"/>
                <w:lang w:val="fr-BE"/>
              </w:rPr>
            </w:pPr>
          </w:p>
        </w:tc>
        <w:tc>
          <w:tcPr>
            <w:tcW w:w="4500" w:type="dxa"/>
            <w:gridSpan w:val="15"/>
            <w:vMerge/>
            <w:vAlign w:val="bottom"/>
          </w:tcPr>
          <w:p w:rsidR="00AC12B4" w:rsidRPr="00C27636" w:rsidRDefault="00AC12B4">
            <w:pPr>
              <w:rPr>
                <w:sz w:val="8"/>
                <w:szCs w:val="8"/>
                <w:lang w:val="fr-BE"/>
              </w:rPr>
            </w:pPr>
          </w:p>
        </w:tc>
        <w:tc>
          <w:tcPr>
            <w:tcW w:w="0" w:type="dxa"/>
            <w:vAlign w:val="bottom"/>
          </w:tcPr>
          <w:p w:rsidR="00AC12B4" w:rsidRPr="00C27636" w:rsidRDefault="00AC12B4">
            <w:pPr>
              <w:rPr>
                <w:sz w:val="1"/>
                <w:szCs w:val="1"/>
                <w:lang w:val="fr-BE"/>
              </w:rPr>
            </w:pPr>
          </w:p>
        </w:tc>
      </w:tr>
      <w:tr w:rsidR="00AC12B4">
        <w:trPr>
          <w:trHeight w:val="163"/>
        </w:trPr>
        <w:tc>
          <w:tcPr>
            <w:tcW w:w="6020" w:type="dxa"/>
            <w:gridSpan w:val="10"/>
            <w:vMerge/>
            <w:tcBorders>
              <w:left w:val="single" w:sz="8" w:space="0" w:color="CF9901"/>
            </w:tcBorders>
            <w:shd w:val="clear" w:color="auto" w:fill="FEC930"/>
            <w:vAlign w:val="bottom"/>
          </w:tcPr>
          <w:p w:rsidR="00AC12B4" w:rsidRPr="00C27636" w:rsidRDefault="00AC12B4">
            <w:pPr>
              <w:rPr>
                <w:sz w:val="14"/>
                <w:szCs w:val="14"/>
                <w:lang w:val="fr-BE"/>
              </w:rPr>
            </w:pPr>
          </w:p>
        </w:tc>
        <w:tc>
          <w:tcPr>
            <w:tcW w:w="14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520" w:type="dxa"/>
            <w:vMerge w:val="restart"/>
            <w:vAlign w:val="bottom"/>
          </w:tcPr>
          <w:p w:rsidR="00AC12B4" w:rsidRDefault="00C27636">
            <w:pPr>
              <w:ind w:left="200"/>
              <w:rPr>
                <w:sz w:val="20"/>
                <w:szCs w:val="20"/>
              </w:rPr>
            </w:pPr>
            <w:r>
              <w:rPr>
                <w:rFonts w:ascii="Calibri" w:eastAsia="Calibri" w:hAnsi="Calibri" w:cs="Calibri"/>
              </w:rPr>
              <w:t>fait</w:t>
            </w:r>
          </w:p>
        </w:tc>
        <w:tc>
          <w:tcPr>
            <w:tcW w:w="820" w:type="dxa"/>
            <w:gridSpan w:val="3"/>
            <w:vMerge w:val="restart"/>
            <w:vAlign w:val="bottom"/>
          </w:tcPr>
          <w:p w:rsidR="00AC12B4" w:rsidRDefault="00C27636">
            <w:pPr>
              <w:ind w:left="100"/>
              <w:rPr>
                <w:sz w:val="20"/>
                <w:szCs w:val="20"/>
              </w:rPr>
            </w:pPr>
            <w:r>
              <w:rPr>
                <w:rFonts w:ascii="Calibri" w:eastAsia="Calibri" w:hAnsi="Calibri" w:cs="Calibri"/>
              </w:rPr>
              <w:t>qualifié</w:t>
            </w:r>
          </w:p>
        </w:tc>
        <w:tc>
          <w:tcPr>
            <w:tcW w:w="940" w:type="dxa"/>
            <w:gridSpan w:val="5"/>
            <w:vMerge w:val="restart"/>
            <w:vAlign w:val="bottom"/>
          </w:tcPr>
          <w:p w:rsidR="00AC12B4" w:rsidRDefault="00C27636">
            <w:pPr>
              <w:jc w:val="right"/>
              <w:rPr>
                <w:sz w:val="20"/>
                <w:szCs w:val="20"/>
              </w:rPr>
            </w:pPr>
            <w:r>
              <w:rPr>
                <w:rFonts w:ascii="Calibri" w:eastAsia="Calibri" w:hAnsi="Calibri" w:cs="Calibri"/>
              </w:rPr>
              <w:t>infraction</w:t>
            </w:r>
          </w:p>
        </w:tc>
        <w:tc>
          <w:tcPr>
            <w:tcW w:w="600" w:type="dxa"/>
            <w:gridSpan w:val="2"/>
            <w:vMerge w:val="restart"/>
            <w:vAlign w:val="bottom"/>
          </w:tcPr>
          <w:p w:rsidR="00AC12B4" w:rsidRDefault="00C27636">
            <w:pPr>
              <w:ind w:left="120"/>
              <w:rPr>
                <w:sz w:val="20"/>
                <w:szCs w:val="20"/>
              </w:rPr>
            </w:pPr>
            <w:r>
              <w:rPr>
                <w:rFonts w:ascii="Calibri" w:eastAsia="Calibri" w:hAnsi="Calibri" w:cs="Calibri"/>
              </w:rPr>
              <w:t>sont</w:t>
            </w:r>
          </w:p>
        </w:tc>
        <w:tc>
          <w:tcPr>
            <w:tcW w:w="780" w:type="dxa"/>
            <w:gridSpan w:val="3"/>
            <w:vMerge w:val="restart"/>
            <w:vAlign w:val="bottom"/>
          </w:tcPr>
          <w:p w:rsidR="00AC12B4" w:rsidRDefault="00C27636">
            <w:pPr>
              <w:ind w:left="20"/>
              <w:rPr>
                <w:sz w:val="20"/>
                <w:szCs w:val="20"/>
              </w:rPr>
            </w:pPr>
            <w:r>
              <w:rPr>
                <w:rFonts w:ascii="Calibri" w:eastAsia="Calibri" w:hAnsi="Calibri" w:cs="Calibri"/>
              </w:rPr>
              <w:t>soumis</w:t>
            </w:r>
          </w:p>
        </w:tc>
        <w:tc>
          <w:tcPr>
            <w:tcW w:w="840" w:type="dxa"/>
            <w:vMerge w:val="restart"/>
            <w:vAlign w:val="bottom"/>
          </w:tcPr>
          <w:p w:rsidR="00AC12B4" w:rsidRDefault="00C27636">
            <w:pPr>
              <w:ind w:right="637"/>
              <w:jc w:val="right"/>
              <w:rPr>
                <w:sz w:val="20"/>
                <w:szCs w:val="20"/>
              </w:rPr>
            </w:pPr>
            <w:r>
              <w:rPr>
                <w:rFonts w:ascii="Calibri" w:eastAsia="Calibri" w:hAnsi="Calibri" w:cs="Calibri"/>
                <w:w w:val="75"/>
              </w:rPr>
              <w:t>à</w:t>
            </w:r>
          </w:p>
        </w:tc>
        <w:tc>
          <w:tcPr>
            <w:tcW w:w="0" w:type="dxa"/>
            <w:vAlign w:val="bottom"/>
          </w:tcPr>
          <w:p w:rsidR="00AC12B4" w:rsidRDefault="00AC12B4">
            <w:pPr>
              <w:rPr>
                <w:sz w:val="1"/>
                <w:szCs w:val="1"/>
              </w:rPr>
            </w:pPr>
          </w:p>
        </w:tc>
      </w:tr>
      <w:tr w:rsidR="00AC12B4">
        <w:trPr>
          <w:trHeight w:val="106"/>
        </w:trPr>
        <w:tc>
          <w:tcPr>
            <w:tcW w:w="2140" w:type="dxa"/>
            <w:gridSpan w:val="2"/>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aux enfants un</w:t>
            </w:r>
          </w:p>
        </w:tc>
        <w:tc>
          <w:tcPr>
            <w:tcW w:w="1080" w:type="dxa"/>
            <w:vMerge w:val="restart"/>
            <w:shd w:val="clear" w:color="auto" w:fill="FEC930"/>
            <w:vAlign w:val="bottom"/>
          </w:tcPr>
          <w:p w:rsidR="00AC12B4" w:rsidRDefault="00C27636">
            <w:pPr>
              <w:ind w:left="20"/>
              <w:rPr>
                <w:sz w:val="20"/>
                <w:szCs w:val="20"/>
              </w:rPr>
            </w:pPr>
            <w:r>
              <w:rPr>
                <w:rFonts w:ascii="Calibri" w:eastAsia="Calibri" w:hAnsi="Calibri" w:cs="Calibri"/>
                <w:i/>
                <w:iCs/>
                <w:color w:val="FFFFFF"/>
              </w:rPr>
              <w:t>traitement</w:t>
            </w:r>
          </w:p>
        </w:tc>
        <w:tc>
          <w:tcPr>
            <w:tcW w:w="1100" w:type="dxa"/>
            <w:gridSpan w:val="4"/>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conforme à</w:t>
            </w:r>
          </w:p>
        </w:tc>
        <w:tc>
          <w:tcPr>
            <w:tcW w:w="480" w:type="dxa"/>
            <w:gridSpan w:val="2"/>
            <w:vMerge w:val="restart"/>
            <w:shd w:val="clear" w:color="auto" w:fill="FEC930"/>
            <w:vAlign w:val="bottom"/>
          </w:tcPr>
          <w:p w:rsidR="00AC12B4" w:rsidRDefault="00C27636">
            <w:pPr>
              <w:ind w:left="100"/>
              <w:rPr>
                <w:sz w:val="20"/>
                <w:szCs w:val="20"/>
              </w:rPr>
            </w:pPr>
            <w:r>
              <w:rPr>
                <w:rFonts w:ascii="Calibri" w:eastAsia="Calibri" w:hAnsi="Calibri" w:cs="Calibri"/>
                <w:i/>
                <w:iCs/>
                <w:color w:val="FFFFFF"/>
              </w:rPr>
              <w:t>leur</w:t>
            </w:r>
          </w:p>
        </w:tc>
        <w:tc>
          <w:tcPr>
            <w:tcW w:w="1220" w:type="dxa"/>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bien-être et</w:t>
            </w:r>
          </w:p>
        </w:tc>
        <w:tc>
          <w:tcPr>
            <w:tcW w:w="140" w:type="dxa"/>
            <w:tcBorders>
              <w:right w:val="single" w:sz="8" w:space="0" w:color="CF9901"/>
            </w:tcBorders>
            <w:shd w:val="clear" w:color="auto" w:fill="FEC930"/>
            <w:vAlign w:val="bottom"/>
          </w:tcPr>
          <w:p w:rsidR="00AC12B4" w:rsidRDefault="00AC12B4">
            <w:pPr>
              <w:rPr>
                <w:sz w:val="9"/>
                <w:szCs w:val="9"/>
              </w:rPr>
            </w:pPr>
          </w:p>
        </w:tc>
        <w:tc>
          <w:tcPr>
            <w:tcW w:w="520" w:type="dxa"/>
            <w:vMerge/>
            <w:vAlign w:val="bottom"/>
          </w:tcPr>
          <w:p w:rsidR="00AC12B4" w:rsidRDefault="00AC12B4">
            <w:pPr>
              <w:rPr>
                <w:sz w:val="9"/>
                <w:szCs w:val="9"/>
              </w:rPr>
            </w:pPr>
          </w:p>
        </w:tc>
        <w:tc>
          <w:tcPr>
            <w:tcW w:w="820" w:type="dxa"/>
            <w:gridSpan w:val="3"/>
            <w:vMerge/>
            <w:vAlign w:val="bottom"/>
          </w:tcPr>
          <w:p w:rsidR="00AC12B4" w:rsidRDefault="00AC12B4">
            <w:pPr>
              <w:rPr>
                <w:sz w:val="9"/>
                <w:szCs w:val="9"/>
              </w:rPr>
            </w:pPr>
          </w:p>
        </w:tc>
        <w:tc>
          <w:tcPr>
            <w:tcW w:w="940" w:type="dxa"/>
            <w:gridSpan w:val="5"/>
            <w:vMerge/>
            <w:vAlign w:val="bottom"/>
          </w:tcPr>
          <w:p w:rsidR="00AC12B4" w:rsidRDefault="00AC12B4">
            <w:pPr>
              <w:rPr>
                <w:sz w:val="9"/>
                <w:szCs w:val="9"/>
              </w:rPr>
            </w:pPr>
          </w:p>
        </w:tc>
        <w:tc>
          <w:tcPr>
            <w:tcW w:w="600" w:type="dxa"/>
            <w:gridSpan w:val="2"/>
            <w:vMerge/>
            <w:vAlign w:val="bottom"/>
          </w:tcPr>
          <w:p w:rsidR="00AC12B4" w:rsidRDefault="00AC12B4">
            <w:pPr>
              <w:rPr>
                <w:sz w:val="9"/>
                <w:szCs w:val="9"/>
              </w:rPr>
            </w:pPr>
          </w:p>
        </w:tc>
        <w:tc>
          <w:tcPr>
            <w:tcW w:w="780" w:type="dxa"/>
            <w:gridSpan w:val="3"/>
            <w:vMerge/>
            <w:vAlign w:val="bottom"/>
          </w:tcPr>
          <w:p w:rsidR="00AC12B4" w:rsidRDefault="00AC12B4">
            <w:pPr>
              <w:rPr>
                <w:sz w:val="9"/>
                <w:szCs w:val="9"/>
              </w:rPr>
            </w:pPr>
          </w:p>
        </w:tc>
        <w:tc>
          <w:tcPr>
            <w:tcW w:w="840" w:type="dxa"/>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3"/>
        </w:trPr>
        <w:tc>
          <w:tcPr>
            <w:tcW w:w="2140" w:type="dxa"/>
            <w:gridSpan w:val="2"/>
            <w:vMerge/>
            <w:tcBorders>
              <w:left w:val="single" w:sz="8" w:space="0" w:color="CF9901"/>
            </w:tcBorders>
            <w:shd w:val="clear" w:color="auto" w:fill="FEC930"/>
            <w:vAlign w:val="bottom"/>
          </w:tcPr>
          <w:p w:rsidR="00AC12B4" w:rsidRDefault="00AC12B4">
            <w:pPr>
              <w:rPr>
                <w:sz w:val="14"/>
                <w:szCs w:val="14"/>
              </w:rPr>
            </w:pPr>
          </w:p>
        </w:tc>
        <w:tc>
          <w:tcPr>
            <w:tcW w:w="1080" w:type="dxa"/>
            <w:vMerge/>
            <w:shd w:val="clear" w:color="auto" w:fill="FEC930"/>
            <w:vAlign w:val="bottom"/>
          </w:tcPr>
          <w:p w:rsidR="00AC12B4" w:rsidRDefault="00AC12B4">
            <w:pPr>
              <w:rPr>
                <w:sz w:val="14"/>
                <w:szCs w:val="14"/>
              </w:rPr>
            </w:pPr>
          </w:p>
        </w:tc>
        <w:tc>
          <w:tcPr>
            <w:tcW w:w="1100" w:type="dxa"/>
            <w:gridSpan w:val="4"/>
            <w:vMerge/>
            <w:shd w:val="clear" w:color="auto" w:fill="FEC930"/>
            <w:vAlign w:val="bottom"/>
          </w:tcPr>
          <w:p w:rsidR="00AC12B4" w:rsidRDefault="00AC12B4">
            <w:pPr>
              <w:rPr>
                <w:sz w:val="14"/>
                <w:szCs w:val="14"/>
              </w:rPr>
            </w:pPr>
          </w:p>
        </w:tc>
        <w:tc>
          <w:tcPr>
            <w:tcW w:w="480" w:type="dxa"/>
            <w:gridSpan w:val="2"/>
            <w:vMerge/>
            <w:shd w:val="clear" w:color="auto" w:fill="FEC930"/>
            <w:vAlign w:val="bottom"/>
          </w:tcPr>
          <w:p w:rsidR="00AC12B4" w:rsidRDefault="00AC12B4">
            <w:pPr>
              <w:rPr>
                <w:sz w:val="14"/>
                <w:szCs w:val="14"/>
              </w:rPr>
            </w:pPr>
          </w:p>
        </w:tc>
        <w:tc>
          <w:tcPr>
            <w:tcW w:w="1220" w:type="dxa"/>
            <w:vMerge/>
            <w:shd w:val="clear" w:color="auto" w:fill="FEC930"/>
            <w:vAlign w:val="bottom"/>
          </w:tcPr>
          <w:p w:rsidR="00AC12B4" w:rsidRDefault="00AC12B4">
            <w:pPr>
              <w:rPr>
                <w:sz w:val="14"/>
                <w:szCs w:val="14"/>
              </w:rPr>
            </w:pPr>
          </w:p>
        </w:tc>
        <w:tc>
          <w:tcPr>
            <w:tcW w:w="140" w:type="dxa"/>
            <w:tcBorders>
              <w:right w:val="single" w:sz="8" w:space="0" w:color="CF9901"/>
            </w:tcBorders>
            <w:shd w:val="clear" w:color="auto" w:fill="FEC930"/>
            <w:vAlign w:val="bottom"/>
          </w:tcPr>
          <w:p w:rsidR="00AC12B4" w:rsidRDefault="00AC12B4">
            <w:pPr>
              <w:rPr>
                <w:sz w:val="14"/>
                <w:szCs w:val="14"/>
              </w:rPr>
            </w:pPr>
          </w:p>
        </w:tc>
        <w:tc>
          <w:tcPr>
            <w:tcW w:w="800" w:type="dxa"/>
            <w:gridSpan w:val="2"/>
            <w:vMerge w:val="restart"/>
            <w:vAlign w:val="bottom"/>
          </w:tcPr>
          <w:p w:rsidR="00AC12B4" w:rsidRDefault="00C27636">
            <w:pPr>
              <w:ind w:left="200"/>
              <w:rPr>
                <w:sz w:val="20"/>
                <w:szCs w:val="20"/>
              </w:rPr>
            </w:pPr>
            <w:r>
              <w:rPr>
                <w:rFonts w:ascii="Calibri" w:eastAsia="Calibri" w:hAnsi="Calibri" w:cs="Calibri"/>
              </w:rPr>
              <w:t>telle</w:t>
            </w:r>
          </w:p>
        </w:tc>
        <w:tc>
          <w:tcPr>
            <w:tcW w:w="960" w:type="dxa"/>
            <w:gridSpan w:val="4"/>
            <w:vMerge w:val="restart"/>
            <w:vAlign w:val="bottom"/>
          </w:tcPr>
          <w:p w:rsidR="00AC12B4" w:rsidRDefault="00C27636">
            <w:pPr>
              <w:jc w:val="right"/>
              <w:rPr>
                <w:sz w:val="20"/>
                <w:szCs w:val="20"/>
              </w:rPr>
            </w:pPr>
            <w:r>
              <w:rPr>
                <w:rFonts w:ascii="Calibri" w:eastAsia="Calibri" w:hAnsi="Calibri" w:cs="Calibri"/>
                <w:w w:val="99"/>
              </w:rPr>
              <w:t>mesure ?).</w:t>
            </w:r>
          </w:p>
        </w:tc>
        <w:tc>
          <w:tcPr>
            <w:tcW w:w="200" w:type="dxa"/>
            <w:vAlign w:val="bottom"/>
          </w:tcPr>
          <w:p w:rsidR="00AC12B4" w:rsidRDefault="00AC12B4">
            <w:pPr>
              <w:rPr>
                <w:sz w:val="14"/>
                <w:szCs w:val="14"/>
              </w:rPr>
            </w:pPr>
          </w:p>
        </w:tc>
        <w:tc>
          <w:tcPr>
            <w:tcW w:w="320" w:type="dxa"/>
            <w:gridSpan w:val="2"/>
            <w:vMerge w:val="restart"/>
            <w:vAlign w:val="bottom"/>
          </w:tcPr>
          <w:p w:rsidR="00AC12B4" w:rsidRDefault="00C27636">
            <w:pPr>
              <w:jc w:val="right"/>
              <w:rPr>
                <w:sz w:val="20"/>
                <w:szCs w:val="20"/>
              </w:rPr>
            </w:pPr>
            <w:r>
              <w:rPr>
                <w:rFonts w:ascii="Calibri" w:eastAsia="Calibri" w:hAnsi="Calibri" w:cs="Calibri"/>
                <w:w w:val="94"/>
              </w:rPr>
              <w:t>Par</w:t>
            </w:r>
          </w:p>
        </w:tc>
        <w:tc>
          <w:tcPr>
            <w:tcW w:w="180" w:type="dxa"/>
            <w:vAlign w:val="bottom"/>
          </w:tcPr>
          <w:p w:rsidR="00AC12B4" w:rsidRDefault="00AC12B4">
            <w:pPr>
              <w:rPr>
                <w:sz w:val="14"/>
                <w:szCs w:val="14"/>
              </w:rPr>
            </w:pPr>
          </w:p>
        </w:tc>
        <w:tc>
          <w:tcPr>
            <w:tcW w:w="660" w:type="dxa"/>
            <w:gridSpan w:val="2"/>
            <w:vMerge w:val="restart"/>
            <w:vAlign w:val="bottom"/>
          </w:tcPr>
          <w:p w:rsidR="00AC12B4" w:rsidRDefault="00C27636">
            <w:pPr>
              <w:jc w:val="center"/>
              <w:rPr>
                <w:sz w:val="20"/>
                <w:szCs w:val="20"/>
              </w:rPr>
            </w:pPr>
            <w:r>
              <w:rPr>
                <w:rFonts w:ascii="Calibri" w:eastAsia="Calibri" w:hAnsi="Calibri" w:cs="Calibri"/>
                <w:w w:val="99"/>
              </w:rPr>
              <w:t>contre,</w:t>
            </w:r>
          </w:p>
        </w:tc>
        <w:tc>
          <w:tcPr>
            <w:tcW w:w="1380" w:type="dxa"/>
            <w:gridSpan w:val="3"/>
            <w:vMerge w:val="restart"/>
            <w:vAlign w:val="bottom"/>
          </w:tcPr>
          <w:p w:rsidR="00AC12B4" w:rsidRDefault="00C27636">
            <w:pPr>
              <w:ind w:right="617"/>
              <w:jc w:val="right"/>
              <w:rPr>
                <w:sz w:val="20"/>
                <w:szCs w:val="20"/>
              </w:rPr>
            </w:pPr>
            <w:r>
              <w:rPr>
                <w:rFonts w:ascii="Calibri" w:eastAsia="Calibri" w:hAnsi="Calibri" w:cs="Calibri"/>
              </w:rPr>
              <w:t>nous</w:t>
            </w:r>
          </w:p>
        </w:tc>
        <w:tc>
          <w:tcPr>
            <w:tcW w:w="0" w:type="dxa"/>
            <w:vAlign w:val="bottom"/>
          </w:tcPr>
          <w:p w:rsidR="00AC12B4" w:rsidRDefault="00AC12B4">
            <w:pPr>
              <w:rPr>
                <w:sz w:val="1"/>
                <w:szCs w:val="1"/>
              </w:rPr>
            </w:pPr>
          </w:p>
        </w:tc>
      </w:tr>
      <w:tr w:rsidR="00AC12B4" w:rsidRPr="00C27636">
        <w:trPr>
          <w:trHeight w:val="106"/>
        </w:trPr>
        <w:tc>
          <w:tcPr>
            <w:tcW w:w="4800" w:type="dxa"/>
            <w:gridSpan w:val="9"/>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 xml:space="preserve">proportionné à leur </w:t>
            </w:r>
            <w:r w:rsidRPr="00C27636">
              <w:rPr>
                <w:rFonts w:ascii="Calibri" w:eastAsia="Calibri" w:hAnsi="Calibri" w:cs="Calibri"/>
                <w:i/>
                <w:iCs/>
                <w:color w:val="FFFFFF"/>
                <w:lang w:val="fr-BE"/>
              </w:rPr>
              <w:t>situation et à l’infraction.</w:t>
            </w:r>
          </w:p>
        </w:tc>
        <w:tc>
          <w:tcPr>
            <w:tcW w:w="1220" w:type="dxa"/>
            <w:shd w:val="clear" w:color="auto" w:fill="FEC930"/>
            <w:vAlign w:val="bottom"/>
          </w:tcPr>
          <w:p w:rsidR="00AC12B4" w:rsidRPr="00C27636" w:rsidRDefault="00AC12B4">
            <w:pPr>
              <w:rPr>
                <w:sz w:val="9"/>
                <w:szCs w:val="9"/>
                <w:lang w:val="fr-BE"/>
              </w:rPr>
            </w:pPr>
          </w:p>
        </w:tc>
        <w:tc>
          <w:tcPr>
            <w:tcW w:w="140" w:type="dxa"/>
            <w:tcBorders>
              <w:right w:val="single" w:sz="8" w:space="0" w:color="CF9901"/>
            </w:tcBorders>
            <w:shd w:val="clear" w:color="auto" w:fill="FEC930"/>
            <w:vAlign w:val="bottom"/>
          </w:tcPr>
          <w:p w:rsidR="00AC12B4" w:rsidRPr="00C27636" w:rsidRDefault="00AC12B4">
            <w:pPr>
              <w:rPr>
                <w:sz w:val="9"/>
                <w:szCs w:val="9"/>
                <w:lang w:val="fr-BE"/>
              </w:rPr>
            </w:pPr>
          </w:p>
        </w:tc>
        <w:tc>
          <w:tcPr>
            <w:tcW w:w="800" w:type="dxa"/>
            <w:gridSpan w:val="2"/>
            <w:vMerge/>
            <w:vAlign w:val="bottom"/>
          </w:tcPr>
          <w:p w:rsidR="00AC12B4" w:rsidRPr="00C27636" w:rsidRDefault="00AC12B4">
            <w:pPr>
              <w:rPr>
                <w:sz w:val="9"/>
                <w:szCs w:val="9"/>
                <w:lang w:val="fr-BE"/>
              </w:rPr>
            </w:pPr>
          </w:p>
        </w:tc>
        <w:tc>
          <w:tcPr>
            <w:tcW w:w="960" w:type="dxa"/>
            <w:gridSpan w:val="4"/>
            <w:vMerge/>
            <w:vAlign w:val="bottom"/>
          </w:tcPr>
          <w:p w:rsidR="00AC12B4" w:rsidRPr="00C27636" w:rsidRDefault="00AC12B4">
            <w:pPr>
              <w:rPr>
                <w:sz w:val="9"/>
                <w:szCs w:val="9"/>
                <w:lang w:val="fr-BE"/>
              </w:rPr>
            </w:pPr>
          </w:p>
        </w:tc>
        <w:tc>
          <w:tcPr>
            <w:tcW w:w="200" w:type="dxa"/>
            <w:vAlign w:val="bottom"/>
          </w:tcPr>
          <w:p w:rsidR="00AC12B4" w:rsidRPr="00C27636" w:rsidRDefault="00AC12B4">
            <w:pPr>
              <w:rPr>
                <w:sz w:val="9"/>
                <w:szCs w:val="9"/>
                <w:lang w:val="fr-BE"/>
              </w:rPr>
            </w:pPr>
          </w:p>
        </w:tc>
        <w:tc>
          <w:tcPr>
            <w:tcW w:w="320" w:type="dxa"/>
            <w:gridSpan w:val="2"/>
            <w:vMerge/>
            <w:vAlign w:val="bottom"/>
          </w:tcPr>
          <w:p w:rsidR="00AC12B4" w:rsidRPr="00C27636" w:rsidRDefault="00AC12B4">
            <w:pPr>
              <w:rPr>
                <w:sz w:val="9"/>
                <w:szCs w:val="9"/>
                <w:lang w:val="fr-BE"/>
              </w:rPr>
            </w:pPr>
          </w:p>
        </w:tc>
        <w:tc>
          <w:tcPr>
            <w:tcW w:w="180" w:type="dxa"/>
            <w:vAlign w:val="bottom"/>
          </w:tcPr>
          <w:p w:rsidR="00AC12B4" w:rsidRPr="00C27636" w:rsidRDefault="00AC12B4">
            <w:pPr>
              <w:rPr>
                <w:sz w:val="9"/>
                <w:szCs w:val="9"/>
                <w:lang w:val="fr-BE"/>
              </w:rPr>
            </w:pPr>
          </w:p>
        </w:tc>
        <w:tc>
          <w:tcPr>
            <w:tcW w:w="660" w:type="dxa"/>
            <w:gridSpan w:val="2"/>
            <w:vMerge/>
            <w:vAlign w:val="bottom"/>
          </w:tcPr>
          <w:p w:rsidR="00AC12B4" w:rsidRPr="00C27636" w:rsidRDefault="00AC12B4">
            <w:pPr>
              <w:rPr>
                <w:sz w:val="9"/>
                <w:szCs w:val="9"/>
                <w:lang w:val="fr-BE"/>
              </w:rPr>
            </w:pPr>
          </w:p>
        </w:tc>
        <w:tc>
          <w:tcPr>
            <w:tcW w:w="1380" w:type="dxa"/>
            <w:gridSpan w:val="3"/>
            <w:vMerge/>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rsidRPr="00C27636">
        <w:trPr>
          <w:trHeight w:val="163"/>
        </w:trPr>
        <w:tc>
          <w:tcPr>
            <w:tcW w:w="4800" w:type="dxa"/>
            <w:gridSpan w:val="9"/>
            <w:vMerge/>
            <w:tcBorders>
              <w:left w:val="single" w:sz="8" w:space="0" w:color="CF9901"/>
            </w:tcBorders>
            <w:shd w:val="clear" w:color="auto" w:fill="FEC930"/>
            <w:vAlign w:val="bottom"/>
          </w:tcPr>
          <w:p w:rsidR="00AC12B4" w:rsidRPr="00C27636" w:rsidRDefault="00AC12B4">
            <w:pPr>
              <w:rPr>
                <w:sz w:val="14"/>
                <w:szCs w:val="14"/>
                <w:lang w:val="fr-BE"/>
              </w:rPr>
            </w:pPr>
          </w:p>
        </w:tc>
        <w:tc>
          <w:tcPr>
            <w:tcW w:w="1220" w:type="dxa"/>
            <w:shd w:val="clear" w:color="auto" w:fill="FEC930"/>
            <w:vAlign w:val="bottom"/>
          </w:tcPr>
          <w:p w:rsidR="00AC12B4" w:rsidRPr="00C27636" w:rsidRDefault="00AC12B4">
            <w:pPr>
              <w:rPr>
                <w:sz w:val="14"/>
                <w:szCs w:val="14"/>
                <w:lang w:val="fr-BE"/>
              </w:rPr>
            </w:pPr>
          </w:p>
        </w:tc>
        <w:tc>
          <w:tcPr>
            <w:tcW w:w="14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4500" w:type="dxa"/>
            <w:gridSpan w:val="15"/>
            <w:vMerge w:val="restart"/>
            <w:vAlign w:val="bottom"/>
          </w:tcPr>
          <w:p w:rsidR="00AC12B4" w:rsidRPr="00C27636" w:rsidRDefault="00C27636">
            <w:pPr>
              <w:ind w:left="200"/>
              <w:rPr>
                <w:sz w:val="20"/>
                <w:szCs w:val="20"/>
                <w:lang w:val="fr-BE"/>
              </w:rPr>
            </w:pPr>
            <w:r w:rsidRPr="00C27636">
              <w:rPr>
                <w:rFonts w:ascii="Calibri" w:eastAsia="Calibri" w:hAnsi="Calibri" w:cs="Calibri"/>
                <w:lang w:val="fr-BE"/>
              </w:rPr>
              <w:t>pouvons  étudier  l’évolution  dans  le</w:t>
            </w:r>
          </w:p>
        </w:tc>
        <w:tc>
          <w:tcPr>
            <w:tcW w:w="0" w:type="dxa"/>
            <w:vAlign w:val="bottom"/>
          </w:tcPr>
          <w:p w:rsidR="00AC12B4" w:rsidRPr="00C27636" w:rsidRDefault="00AC12B4">
            <w:pPr>
              <w:rPr>
                <w:sz w:val="1"/>
                <w:szCs w:val="1"/>
                <w:lang w:val="fr-BE"/>
              </w:rPr>
            </w:pPr>
          </w:p>
        </w:tc>
      </w:tr>
      <w:tr w:rsidR="00AC12B4" w:rsidRPr="00C27636">
        <w:trPr>
          <w:trHeight w:val="106"/>
        </w:trPr>
        <w:tc>
          <w:tcPr>
            <w:tcW w:w="1960" w:type="dxa"/>
            <w:tcBorders>
              <w:left w:val="single" w:sz="8" w:space="0" w:color="CF9901"/>
            </w:tcBorders>
            <w:shd w:val="clear" w:color="auto" w:fill="FEC930"/>
            <w:vAlign w:val="bottom"/>
          </w:tcPr>
          <w:p w:rsidR="00AC12B4" w:rsidRPr="00C27636" w:rsidRDefault="00AC12B4">
            <w:pPr>
              <w:rPr>
                <w:sz w:val="9"/>
                <w:szCs w:val="9"/>
                <w:lang w:val="fr-BE"/>
              </w:rPr>
            </w:pPr>
          </w:p>
        </w:tc>
        <w:tc>
          <w:tcPr>
            <w:tcW w:w="180" w:type="dxa"/>
            <w:shd w:val="clear" w:color="auto" w:fill="FEC930"/>
            <w:vAlign w:val="bottom"/>
          </w:tcPr>
          <w:p w:rsidR="00AC12B4" w:rsidRPr="00C27636" w:rsidRDefault="00AC12B4">
            <w:pPr>
              <w:rPr>
                <w:sz w:val="9"/>
                <w:szCs w:val="9"/>
                <w:lang w:val="fr-BE"/>
              </w:rPr>
            </w:pPr>
          </w:p>
        </w:tc>
        <w:tc>
          <w:tcPr>
            <w:tcW w:w="1080" w:type="dxa"/>
            <w:shd w:val="clear" w:color="auto" w:fill="FEC930"/>
            <w:vAlign w:val="bottom"/>
          </w:tcPr>
          <w:p w:rsidR="00AC12B4" w:rsidRPr="00C27636" w:rsidRDefault="00AC12B4">
            <w:pPr>
              <w:rPr>
                <w:sz w:val="9"/>
                <w:szCs w:val="9"/>
                <w:lang w:val="fr-BE"/>
              </w:rPr>
            </w:pPr>
          </w:p>
        </w:tc>
        <w:tc>
          <w:tcPr>
            <w:tcW w:w="200" w:type="dxa"/>
            <w:shd w:val="clear" w:color="auto" w:fill="FEC930"/>
            <w:vAlign w:val="bottom"/>
          </w:tcPr>
          <w:p w:rsidR="00AC12B4" w:rsidRPr="00C27636" w:rsidRDefault="00AC12B4">
            <w:pPr>
              <w:rPr>
                <w:sz w:val="9"/>
                <w:szCs w:val="9"/>
                <w:lang w:val="fr-BE"/>
              </w:rPr>
            </w:pPr>
          </w:p>
        </w:tc>
        <w:tc>
          <w:tcPr>
            <w:tcW w:w="100" w:type="dxa"/>
            <w:shd w:val="clear" w:color="auto" w:fill="FEC930"/>
            <w:vAlign w:val="bottom"/>
          </w:tcPr>
          <w:p w:rsidR="00AC12B4" w:rsidRPr="00C27636" w:rsidRDefault="00AC12B4">
            <w:pPr>
              <w:rPr>
                <w:sz w:val="9"/>
                <w:szCs w:val="9"/>
                <w:lang w:val="fr-BE"/>
              </w:rPr>
            </w:pPr>
          </w:p>
        </w:tc>
        <w:tc>
          <w:tcPr>
            <w:tcW w:w="380" w:type="dxa"/>
            <w:shd w:val="clear" w:color="auto" w:fill="FEC930"/>
            <w:vAlign w:val="bottom"/>
          </w:tcPr>
          <w:p w:rsidR="00AC12B4" w:rsidRPr="00C27636" w:rsidRDefault="00AC12B4">
            <w:pPr>
              <w:rPr>
                <w:sz w:val="9"/>
                <w:szCs w:val="9"/>
                <w:lang w:val="fr-BE"/>
              </w:rPr>
            </w:pPr>
          </w:p>
        </w:tc>
        <w:tc>
          <w:tcPr>
            <w:tcW w:w="420" w:type="dxa"/>
            <w:shd w:val="clear" w:color="auto" w:fill="FEC930"/>
            <w:vAlign w:val="bottom"/>
          </w:tcPr>
          <w:p w:rsidR="00AC12B4" w:rsidRPr="00C27636" w:rsidRDefault="00AC12B4">
            <w:pPr>
              <w:rPr>
                <w:sz w:val="9"/>
                <w:szCs w:val="9"/>
                <w:lang w:val="fr-BE"/>
              </w:rPr>
            </w:pPr>
          </w:p>
        </w:tc>
        <w:tc>
          <w:tcPr>
            <w:tcW w:w="240" w:type="dxa"/>
            <w:shd w:val="clear" w:color="auto" w:fill="FEC930"/>
            <w:vAlign w:val="bottom"/>
          </w:tcPr>
          <w:p w:rsidR="00AC12B4" w:rsidRPr="00C27636" w:rsidRDefault="00AC12B4">
            <w:pPr>
              <w:rPr>
                <w:sz w:val="9"/>
                <w:szCs w:val="9"/>
                <w:lang w:val="fr-BE"/>
              </w:rPr>
            </w:pPr>
          </w:p>
        </w:tc>
        <w:tc>
          <w:tcPr>
            <w:tcW w:w="240" w:type="dxa"/>
            <w:shd w:val="clear" w:color="auto" w:fill="FEC930"/>
            <w:vAlign w:val="bottom"/>
          </w:tcPr>
          <w:p w:rsidR="00AC12B4" w:rsidRPr="00C27636" w:rsidRDefault="00AC12B4">
            <w:pPr>
              <w:rPr>
                <w:sz w:val="9"/>
                <w:szCs w:val="9"/>
                <w:lang w:val="fr-BE"/>
              </w:rPr>
            </w:pPr>
          </w:p>
        </w:tc>
        <w:tc>
          <w:tcPr>
            <w:tcW w:w="1220" w:type="dxa"/>
            <w:shd w:val="clear" w:color="auto" w:fill="FEC930"/>
            <w:vAlign w:val="bottom"/>
          </w:tcPr>
          <w:p w:rsidR="00AC12B4" w:rsidRPr="00C27636" w:rsidRDefault="00AC12B4">
            <w:pPr>
              <w:rPr>
                <w:sz w:val="9"/>
                <w:szCs w:val="9"/>
                <w:lang w:val="fr-BE"/>
              </w:rPr>
            </w:pPr>
          </w:p>
        </w:tc>
        <w:tc>
          <w:tcPr>
            <w:tcW w:w="140" w:type="dxa"/>
            <w:tcBorders>
              <w:right w:val="single" w:sz="8" w:space="0" w:color="CF9901"/>
            </w:tcBorders>
            <w:shd w:val="clear" w:color="auto" w:fill="FEC930"/>
            <w:vAlign w:val="bottom"/>
          </w:tcPr>
          <w:p w:rsidR="00AC12B4" w:rsidRPr="00C27636" w:rsidRDefault="00AC12B4">
            <w:pPr>
              <w:rPr>
                <w:sz w:val="9"/>
                <w:szCs w:val="9"/>
                <w:lang w:val="fr-BE"/>
              </w:rPr>
            </w:pPr>
          </w:p>
        </w:tc>
        <w:tc>
          <w:tcPr>
            <w:tcW w:w="4500" w:type="dxa"/>
            <w:gridSpan w:val="15"/>
            <w:vMerge/>
            <w:vAlign w:val="bottom"/>
          </w:tcPr>
          <w:p w:rsidR="00AC12B4" w:rsidRPr="00C27636" w:rsidRDefault="00AC12B4">
            <w:pPr>
              <w:rPr>
                <w:sz w:val="9"/>
                <w:szCs w:val="9"/>
                <w:lang w:val="fr-BE"/>
              </w:rPr>
            </w:pPr>
          </w:p>
        </w:tc>
        <w:tc>
          <w:tcPr>
            <w:tcW w:w="0" w:type="dxa"/>
            <w:vAlign w:val="bottom"/>
          </w:tcPr>
          <w:p w:rsidR="00AC12B4" w:rsidRPr="00C27636" w:rsidRDefault="00AC12B4">
            <w:pPr>
              <w:rPr>
                <w:sz w:val="1"/>
                <w:szCs w:val="1"/>
                <w:lang w:val="fr-BE"/>
              </w:rPr>
            </w:pPr>
          </w:p>
        </w:tc>
      </w:tr>
      <w:tr w:rsidR="00AC12B4">
        <w:trPr>
          <w:trHeight w:val="89"/>
        </w:trPr>
        <w:tc>
          <w:tcPr>
            <w:tcW w:w="1960" w:type="dxa"/>
            <w:tcBorders>
              <w:left w:val="single" w:sz="8" w:space="0" w:color="CF9901"/>
              <w:bottom w:val="single" w:sz="8" w:space="0" w:color="CF9901"/>
            </w:tcBorders>
            <w:shd w:val="clear" w:color="auto" w:fill="FEC930"/>
            <w:vAlign w:val="bottom"/>
          </w:tcPr>
          <w:p w:rsidR="00AC12B4" w:rsidRPr="00C27636" w:rsidRDefault="00AC12B4">
            <w:pPr>
              <w:rPr>
                <w:sz w:val="7"/>
                <w:szCs w:val="7"/>
                <w:lang w:val="fr-BE"/>
              </w:rPr>
            </w:pPr>
          </w:p>
        </w:tc>
        <w:tc>
          <w:tcPr>
            <w:tcW w:w="180" w:type="dxa"/>
            <w:tcBorders>
              <w:bottom w:val="single" w:sz="8" w:space="0" w:color="CF9901"/>
            </w:tcBorders>
            <w:shd w:val="clear" w:color="auto" w:fill="FEC930"/>
            <w:vAlign w:val="bottom"/>
          </w:tcPr>
          <w:p w:rsidR="00AC12B4" w:rsidRPr="00C27636" w:rsidRDefault="00AC12B4">
            <w:pPr>
              <w:rPr>
                <w:sz w:val="7"/>
                <w:szCs w:val="7"/>
                <w:lang w:val="fr-BE"/>
              </w:rPr>
            </w:pPr>
          </w:p>
        </w:tc>
        <w:tc>
          <w:tcPr>
            <w:tcW w:w="1080" w:type="dxa"/>
            <w:tcBorders>
              <w:bottom w:val="single" w:sz="8" w:space="0" w:color="CF9901"/>
            </w:tcBorders>
            <w:shd w:val="clear" w:color="auto" w:fill="FEC930"/>
            <w:vAlign w:val="bottom"/>
          </w:tcPr>
          <w:p w:rsidR="00AC12B4" w:rsidRPr="00C27636" w:rsidRDefault="00AC12B4">
            <w:pPr>
              <w:rPr>
                <w:sz w:val="7"/>
                <w:szCs w:val="7"/>
                <w:lang w:val="fr-BE"/>
              </w:rPr>
            </w:pPr>
          </w:p>
        </w:tc>
        <w:tc>
          <w:tcPr>
            <w:tcW w:w="200" w:type="dxa"/>
            <w:tcBorders>
              <w:bottom w:val="single" w:sz="8" w:space="0" w:color="CF9901"/>
            </w:tcBorders>
            <w:shd w:val="clear" w:color="auto" w:fill="FEC930"/>
            <w:vAlign w:val="bottom"/>
          </w:tcPr>
          <w:p w:rsidR="00AC12B4" w:rsidRPr="00C27636" w:rsidRDefault="00AC12B4">
            <w:pPr>
              <w:rPr>
                <w:sz w:val="7"/>
                <w:szCs w:val="7"/>
                <w:lang w:val="fr-BE"/>
              </w:rPr>
            </w:pPr>
          </w:p>
        </w:tc>
        <w:tc>
          <w:tcPr>
            <w:tcW w:w="100" w:type="dxa"/>
            <w:tcBorders>
              <w:bottom w:val="single" w:sz="8" w:space="0" w:color="CF9901"/>
            </w:tcBorders>
            <w:shd w:val="clear" w:color="auto" w:fill="FEC930"/>
            <w:vAlign w:val="bottom"/>
          </w:tcPr>
          <w:p w:rsidR="00AC12B4" w:rsidRPr="00C27636" w:rsidRDefault="00AC12B4">
            <w:pPr>
              <w:rPr>
                <w:sz w:val="7"/>
                <w:szCs w:val="7"/>
                <w:lang w:val="fr-BE"/>
              </w:rPr>
            </w:pPr>
          </w:p>
        </w:tc>
        <w:tc>
          <w:tcPr>
            <w:tcW w:w="380" w:type="dxa"/>
            <w:tcBorders>
              <w:bottom w:val="single" w:sz="8" w:space="0" w:color="CF9901"/>
            </w:tcBorders>
            <w:shd w:val="clear" w:color="auto" w:fill="FEC930"/>
            <w:vAlign w:val="bottom"/>
          </w:tcPr>
          <w:p w:rsidR="00AC12B4" w:rsidRPr="00C27636" w:rsidRDefault="00AC12B4">
            <w:pPr>
              <w:rPr>
                <w:sz w:val="7"/>
                <w:szCs w:val="7"/>
                <w:lang w:val="fr-BE"/>
              </w:rPr>
            </w:pPr>
          </w:p>
        </w:tc>
        <w:tc>
          <w:tcPr>
            <w:tcW w:w="420" w:type="dxa"/>
            <w:tcBorders>
              <w:bottom w:val="single" w:sz="8" w:space="0" w:color="CF9901"/>
            </w:tcBorders>
            <w:shd w:val="clear" w:color="auto" w:fill="FEC930"/>
            <w:vAlign w:val="bottom"/>
          </w:tcPr>
          <w:p w:rsidR="00AC12B4" w:rsidRPr="00C27636" w:rsidRDefault="00AC12B4">
            <w:pPr>
              <w:rPr>
                <w:sz w:val="7"/>
                <w:szCs w:val="7"/>
                <w:lang w:val="fr-BE"/>
              </w:rPr>
            </w:pPr>
          </w:p>
        </w:tc>
        <w:tc>
          <w:tcPr>
            <w:tcW w:w="240" w:type="dxa"/>
            <w:tcBorders>
              <w:bottom w:val="single" w:sz="8" w:space="0" w:color="CF9901"/>
            </w:tcBorders>
            <w:shd w:val="clear" w:color="auto" w:fill="FEC930"/>
            <w:vAlign w:val="bottom"/>
          </w:tcPr>
          <w:p w:rsidR="00AC12B4" w:rsidRPr="00C27636" w:rsidRDefault="00AC12B4">
            <w:pPr>
              <w:rPr>
                <w:sz w:val="7"/>
                <w:szCs w:val="7"/>
                <w:lang w:val="fr-BE"/>
              </w:rPr>
            </w:pPr>
          </w:p>
        </w:tc>
        <w:tc>
          <w:tcPr>
            <w:tcW w:w="240" w:type="dxa"/>
            <w:tcBorders>
              <w:bottom w:val="single" w:sz="8" w:space="0" w:color="CF9901"/>
            </w:tcBorders>
            <w:shd w:val="clear" w:color="auto" w:fill="FEC930"/>
            <w:vAlign w:val="bottom"/>
          </w:tcPr>
          <w:p w:rsidR="00AC12B4" w:rsidRPr="00C27636" w:rsidRDefault="00AC12B4">
            <w:pPr>
              <w:rPr>
                <w:sz w:val="7"/>
                <w:szCs w:val="7"/>
                <w:lang w:val="fr-BE"/>
              </w:rPr>
            </w:pPr>
          </w:p>
        </w:tc>
        <w:tc>
          <w:tcPr>
            <w:tcW w:w="1220" w:type="dxa"/>
            <w:tcBorders>
              <w:bottom w:val="single" w:sz="8" w:space="0" w:color="CF9901"/>
            </w:tcBorders>
            <w:shd w:val="clear" w:color="auto" w:fill="FEC930"/>
            <w:vAlign w:val="bottom"/>
          </w:tcPr>
          <w:p w:rsidR="00AC12B4" w:rsidRPr="00C27636" w:rsidRDefault="00AC12B4">
            <w:pPr>
              <w:rPr>
                <w:sz w:val="7"/>
                <w:szCs w:val="7"/>
                <w:lang w:val="fr-BE"/>
              </w:rPr>
            </w:pPr>
          </w:p>
        </w:tc>
        <w:tc>
          <w:tcPr>
            <w:tcW w:w="140" w:type="dxa"/>
            <w:tcBorders>
              <w:bottom w:val="single" w:sz="8" w:space="0" w:color="CF9901"/>
              <w:right w:val="single" w:sz="8" w:space="0" w:color="CF9901"/>
            </w:tcBorders>
            <w:shd w:val="clear" w:color="auto" w:fill="FEC930"/>
            <w:vAlign w:val="bottom"/>
          </w:tcPr>
          <w:p w:rsidR="00AC12B4" w:rsidRPr="00C27636" w:rsidRDefault="00AC12B4">
            <w:pPr>
              <w:rPr>
                <w:sz w:val="7"/>
                <w:szCs w:val="7"/>
                <w:lang w:val="fr-BE"/>
              </w:rPr>
            </w:pPr>
          </w:p>
        </w:tc>
        <w:tc>
          <w:tcPr>
            <w:tcW w:w="800" w:type="dxa"/>
            <w:gridSpan w:val="2"/>
            <w:vMerge w:val="restart"/>
            <w:vAlign w:val="bottom"/>
          </w:tcPr>
          <w:p w:rsidR="00AC12B4" w:rsidRDefault="00C27636">
            <w:pPr>
              <w:ind w:left="200"/>
              <w:rPr>
                <w:sz w:val="20"/>
                <w:szCs w:val="20"/>
              </w:rPr>
            </w:pPr>
            <w:r>
              <w:rPr>
                <w:rFonts w:ascii="Calibri" w:eastAsia="Calibri" w:hAnsi="Calibri" w:cs="Calibri"/>
              </w:rPr>
              <w:t>temps</w:t>
            </w:r>
          </w:p>
        </w:tc>
        <w:tc>
          <w:tcPr>
            <w:tcW w:w="540" w:type="dxa"/>
            <w:gridSpan w:val="2"/>
            <w:vMerge w:val="restart"/>
            <w:vAlign w:val="bottom"/>
          </w:tcPr>
          <w:p w:rsidR="00AC12B4" w:rsidRDefault="00C27636">
            <w:pPr>
              <w:ind w:left="220"/>
              <w:rPr>
                <w:sz w:val="20"/>
                <w:szCs w:val="20"/>
              </w:rPr>
            </w:pPr>
            <w:r>
              <w:rPr>
                <w:rFonts w:ascii="Calibri" w:eastAsia="Calibri" w:hAnsi="Calibri" w:cs="Calibri"/>
                <w:w w:val="96"/>
              </w:rPr>
              <w:t>des</w:t>
            </w:r>
          </w:p>
        </w:tc>
        <w:tc>
          <w:tcPr>
            <w:tcW w:w="140" w:type="dxa"/>
            <w:vAlign w:val="bottom"/>
          </w:tcPr>
          <w:p w:rsidR="00AC12B4" w:rsidRDefault="00AC12B4">
            <w:pPr>
              <w:rPr>
                <w:sz w:val="7"/>
                <w:szCs w:val="7"/>
              </w:rPr>
            </w:pPr>
          </w:p>
        </w:tc>
        <w:tc>
          <w:tcPr>
            <w:tcW w:w="980" w:type="dxa"/>
            <w:gridSpan w:val="5"/>
            <w:vMerge w:val="restart"/>
            <w:vAlign w:val="bottom"/>
          </w:tcPr>
          <w:p w:rsidR="00AC12B4" w:rsidRDefault="00C27636">
            <w:pPr>
              <w:ind w:left="100"/>
              <w:rPr>
                <w:sz w:val="20"/>
                <w:szCs w:val="20"/>
              </w:rPr>
            </w:pPr>
            <w:r>
              <w:rPr>
                <w:rFonts w:ascii="Calibri" w:eastAsia="Calibri" w:hAnsi="Calibri" w:cs="Calibri"/>
              </w:rPr>
              <w:t>pratiques</w:t>
            </w:r>
          </w:p>
        </w:tc>
        <w:tc>
          <w:tcPr>
            <w:tcW w:w="880" w:type="dxa"/>
            <w:gridSpan w:val="3"/>
            <w:vMerge w:val="restart"/>
            <w:vAlign w:val="bottom"/>
          </w:tcPr>
          <w:p w:rsidR="00AC12B4" w:rsidRDefault="00C27636">
            <w:pPr>
              <w:ind w:left="220"/>
              <w:rPr>
                <w:sz w:val="20"/>
                <w:szCs w:val="20"/>
              </w:rPr>
            </w:pPr>
            <w:r>
              <w:rPr>
                <w:rFonts w:ascii="Calibri" w:eastAsia="Calibri" w:hAnsi="Calibri" w:cs="Calibri"/>
              </w:rPr>
              <w:t>(p.ex.</w:t>
            </w:r>
          </w:p>
        </w:tc>
        <w:tc>
          <w:tcPr>
            <w:tcW w:w="1160" w:type="dxa"/>
            <w:gridSpan w:val="2"/>
            <w:vMerge w:val="restart"/>
            <w:vAlign w:val="bottom"/>
          </w:tcPr>
          <w:p w:rsidR="00AC12B4" w:rsidRDefault="00C27636">
            <w:pPr>
              <w:ind w:right="637"/>
              <w:jc w:val="right"/>
              <w:rPr>
                <w:sz w:val="20"/>
                <w:szCs w:val="20"/>
              </w:rPr>
            </w:pPr>
            <w:r>
              <w:rPr>
                <w:rFonts w:ascii="Calibri" w:eastAsia="Calibri" w:hAnsi="Calibri" w:cs="Calibri"/>
              </w:rPr>
              <w:t>une</w:t>
            </w:r>
          </w:p>
        </w:tc>
        <w:tc>
          <w:tcPr>
            <w:tcW w:w="0" w:type="dxa"/>
            <w:vAlign w:val="bottom"/>
          </w:tcPr>
          <w:p w:rsidR="00AC12B4" w:rsidRDefault="00AC12B4">
            <w:pPr>
              <w:rPr>
                <w:sz w:val="1"/>
                <w:szCs w:val="1"/>
              </w:rPr>
            </w:pPr>
          </w:p>
        </w:tc>
      </w:tr>
      <w:tr w:rsidR="00AC12B4">
        <w:trPr>
          <w:trHeight w:val="160"/>
        </w:trPr>
        <w:tc>
          <w:tcPr>
            <w:tcW w:w="1960" w:type="dxa"/>
            <w:vAlign w:val="bottom"/>
          </w:tcPr>
          <w:p w:rsidR="00AC12B4" w:rsidRDefault="00AC12B4">
            <w:pPr>
              <w:rPr>
                <w:sz w:val="13"/>
                <w:szCs w:val="13"/>
              </w:rPr>
            </w:pPr>
          </w:p>
        </w:tc>
        <w:tc>
          <w:tcPr>
            <w:tcW w:w="180" w:type="dxa"/>
            <w:vAlign w:val="bottom"/>
          </w:tcPr>
          <w:p w:rsidR="00AC12B4" w:rsidRDefault="00AC12B4">
            <w:pPr>
              <w:rPr>
                <w:sz w:val="13"/>
                <w:szCs w:val="13"/>
              </w:rPr>
            </w:pPr>
          </w:p>
        </w:tc>
        <w:tc>
          <w:tcPr>
            <w:tcW w:w="108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380" w:type="dxa"/>
            <w:vAlign w:val="bottom"/>
          </w:tcPr>
          <w:p w:rsidR="00AC12B4" w:rsidRDefault="00AC12B4">
            <w:pPr>
              <w:rPr>
                <w:sz w:val="13"/>
                <w:szCs w:val="13"/>
              </w:rPr>
            </w:pPr>
          </w:p>
        </w:tc>
        <w:tc>
          <w:tcPr>
            <w:tcW w:w="42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122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800" w:type="dxa"/>
            <w:gridSpan w:val="2"/>
            <w:vMerge/>
            <w:vAlign w:val="bottom"/>
          </w:tcPr>
          <w:p w:rsidR="00AC12B4" w:rsidRDefault="00AC12B4">
            <w:pPr>
              <w:rPr>
                <w:sz w:val="13"/>
                <w:szCs w:val="13"/>
              </w:rPr>
            </w:pPr>
          </w:p>
        </w:tc>
        <w:tc>
          <w:tcPr>
            <w:tcW w:w="540" w:type="dxa"/>
            <w:gridSpan w:val="2"/>
            <w:vMerge/>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980" w:type="dxa"/>
            <w:gridSpan w:val="5"/>
            <w:vMerge/>
            <w:vAlign w:val="bottom"/>
          </w:tcPr>
          <w:p w:rsidR="00AC12B4" w:rsidRDefault="00AC12B4">
            <w:pPr>
              <w:rPr>
                <w:sz w:val="13"/>
                <w:szCs w:val="13"/>
              </w:rPr>
            </w:pPr>
          </w:p>
        </w:tc>
        <w:tc>
          <w:tcPr>
            <w:tcW w:w="880" w:type="dxa"/>
            <w:gridSpan w:val="3"/>
            <w:vMerge/>
            <w:vAlign w:val="bottom"/>
          </w:tcPr>
          <w:p w:rsidR="00AC12B4" w:rsidRDefault="00AC12B4">
            <w:pPr>
              <w:rPr>
                <w:sz w:val="13"/>
                <w:szCs w:val="13"/>
              </w:rPr>
            </w:pPr>
          </w:p>
        </w:tc>
        <w:tc>
          <w:tcPr>
            <w:tcW w:w="1160" w:type="dxa"/>
            <w:gridSpan w:val="2"/>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rsidRPr="00C27636">
        <w:trPr>
          <w:trHeight w:val="269"/>
        </w:trPr>
        <w:tc>
          <w:tcPr>
            <w:tcW w:w="196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108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100" w:type="dxa"/>
            <w:vAlign w:val="bottom"/>
          </w:tcPr>
          <w:p w:rsidR="00AC12B4" w:rsidRDefault="00AC12B4">
            <w:pPr>
              <w:rPr>
                <w:sz w:val="23"/>
                <w:szCs w:val="23"/>
              </w:rPr>
            </w:pPr>
          </w:p>
        </w:tc>
        <w:tc>
          <w:tcPr>
            <w:tcW w:w="3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1220" w:type="dxa"/>
            <w:vAlign w:val="bottom"/>
          </w:tcPr>
          <w:p w:rsidR="00AC12B4" w:rsidRDefault="00AC12B4">
            <w:pPr>
              <w:rPr>
                <w:sz w:val="23"/>
                <w:szCs w:val="23"/>
              </w:rPr>
            </w:pPr>
          </w:p>
        </w:tc>
        <w:tc>
          <w:tcPr>
            <w:tcW w:w="4640" w:type="dxa"/>
            <w:gridSpan w:val="16"/>
            <w:vAlign w:val="bottom"/>
          </w:tcPr>
          <w:p w:rsidR="00AC12B4" w:rsidRPr="00C27636" w:rsidRDefault="00C27636">
            <w:pPr>
              <w:ind w:right="637"/>
              <w:jc w:val="right"/>
              <w:rPr>
                <w:sz w:val="20"/>
                <w:szCs w:val="20"/>
                <w:lang w:val="fr-BE"/>
              </w:rPr>
            </w:pPr>
            <w:r w:rsidRPr="00C27636">
              <w:rPr>
                <w:rFonts w:ascii="Calibri" w:eastAsia="Calibri" w:hAnsi="Calibri" w:cs="Calibri"/>
                <w:lang w:val="fr-BE"/>
              </w:rPr>
              <w:t>augmentation significative de la proportion</w:t>
            </w:r>
          </w:p>
        </w:tc>
        <w:tc>
          <w:tcPr>
            <w:tcW w:w="0" w:type="dxa"/>
            <w:vAlign w:val="bottom"/>
          </w:tcPr>
          <w:p w:rsidR="00AC12B4" w:rsidRPr="00C27636" w:rsidRDefault="00AC12B4">
            <w:pPr>
              <w:rPr>
                <w:sz w:val="1"/>
                <w:szCs w:val="1"/>
                <w:lang w:val="fr-BE"/>
              </w:rPr>
            </w:pPr>
          </w:p>
        </w:tc>
      </w:tr>
      <w:tr w:rsidR="00AC12B4" w:rsidRPr="00C27636">
        <w:trPr>
          <w:trHeight w:val="269"/>
        </w:trPr>
        <w:tc>
          <w:tcPr>
            <w:tcW w:w="6020" w:type="dxa"/>
            <w:gridSpan w:val="10"/>
            <w:vAlign w:val="bottom"/>
          </w:tcPr>
          <w:p w:rsidR="00AC12B4" w:rsidRPr="00C27636" w:rsidRDefault="00C27636">
            <w:pPr>
              <w:spacing w:line="238" w:lineRule="exact"/>
              <w:ind w:right="570"/>
              <w:jc w:val="right"/>
              <w:rPr>
                <w:sz w:val="20"/>
                <w:szCs w:val="20"/>
                <w:lang w:val="fr-BE"/>
              </w:rPr>
            </w:pPr>
            <w:r w:rsidRPr="00C27636">
              <w:rPr>
                <w:rFonts w:ascii="Calibri" w:eastAsia="Calibri" w:hAnsi="Calibri" w:cs="Calibri"/>
                <w:lang w:val="fr-BE"/>
              </w:rPr>
              <w:lastRenderedPageBreak/>
              <w:t xml:space="preserve">Outre les dispositions de la CIDE </w:t>
            </w:r>
            <w:r w:rsidRPr="00C27636">
              <w:rPr>
                <w:rFonts w:ascii="Calibri" w:eastAsia="Calibri" w:hAnsi="Calibri" w:cs="Calibri"/>
                <w:lang w:val="fr-BE"/>
              </w:rPr>
              <w:t>citées, le</w:t>
            </w:r>
          </w:p>
        </w:tc>
        <w:tc>
          <w:tcPr>
            <w:tcW w:w="4640" w:type="dxa"/>
            <w:gridSpan w:val="16"/>
            <w:vAlign w:val="bottom"/>
          </w:tcPr>
          <w:p w:rsidR="00AC12B4" w:rsidRPr="00C27636" w:rsidRDefault="00C27636">
            <w:pPr>
              <w:ind w:right="637"/>
              <w:jc w:val="right"/>
              <w:rPr>
                <w:sz w:val="20"/>
                <w:szCs w:val="20"/>
                <w:lang w:val="fr-BE"/>
              </w:rPr>
            </w:pPr>
            <w:r w:rsidRPr="00C27636">
              <w:rPr>
                <w:rFonts w:ascii="Calibri" w:eastAsia="Calibri" w:hAnsi="Calibri" w:cs="Calibri"/>
                <w:lang w:val="fr-BE"/>
              </w:rPr>
              <w:t>de  jeunes  placés)  ou  réaliser  des</w:t>
            </w:r>
          </w:p>
        </w:tc>
        <w:tc>
          <w:tcPr>
            <w:tcW w:w="0" w:type="dxa"/>
            <w:vAlign w:val="bottom"/>
          </w:tcPr>
          <w:p w:rsidR="00AC12B4" w:rsidRPr="00C27636" w:rsidRDefault="00AC12B4">
            <w:pPr>
              <w:rPr>
                <w:sz w:val="1"/>
                <w:szCs w:val="1"/>
                <w:lang w:val="fr-BE"/>
              </w:rPr>
            </w:pPr>
          </w:p>
        </w:tc>
      </w:tr>
      <w:tr w:rsidR="00AC12B4" w:rsidRPr="00C27636">
        <w:trPr>
          <w:trHeight w:val="266"/>
        </w:trPr>
        <w:tc>
          <w:tcPr>
            <w:tcW w:w="6020" w:type="dxa"/>
            <w:gridSpan w:val="10"/>
            <w:vAlign w:val="bottom"/>
          </w:tcPr>
          <w:p w:rsidR="00AC12B4" w:rsidRPr="00C27636" w:rsidRDefault="00C27636">
            <w:pPr>
              <w:spacing w:line="238" w:lineRule="exact"/>
              <w:ind w:right="570"/>
              <w:jc w:val="right"/>
              <w:rPr>
                <w:sz w:val="20"/>
                <w:szCs w:val="20"/>
                <w:lang w:val="fr-BE"/>
              </w:rPr>
            </w:pPr>
            <w:r w:rsidRPr="00C27636">
              <w:rPr>
                <w:rFonts w:ascii="Calibri" w:eastAsia="Calibri" w:hAnsi="Calibri" w:cs="Calibri"/>
                <w:lang w:val="fr-BE"/>
              </w:rPr>
              <w:t>Comité des droits de l'enfant de l'ONU a</w:t>
            </w:r>
          </w:p>
        </w:tc>
        <w:tc>
          <w:tcPr>
            <w:tcW w:w="4640" w:type="dxa"/>
            <w:gridSpan w:val="16"/>
            <w:vAlign w:val="bottom"/>
          </w:tcPr>
          <w:p w:rsidR="00AC12B4" w:rsidRPr="00C27636" w:rsidRDefault="00C27636">
            <w:pPr>
              <w:spacing w:line="267" w:lineRule="exact"/>
              <w:ind w:right="637"/>
              <w:jc w:val="right"/>
              <w:rPr>
                <w:sz w:val="20"/>
                <w:szCs w:val="20"/>
                <w:lang w:val="fr-BE"/>
              </w:rPr>
            </w:pPr>
            <w:r w:rsidRPr="00C27636">
              <w:rPr>
                <w:rFonts w:ascii="Calibri" w:eastAsia="Calibri" w:hAnsi="Calibri" w:cs="Calibri"/>
                <w:lang w:val="fr-BE"/>
              </w:rPr>
              <w:t>comparaisons entre les différentes entités</w:t>
            </w:r>
          </w:p>
        </w:tc>
        <w:tc>
          <w:tcPr>
            <w:tcW w:w="0" w:type="dxa"/>
            <w:vAlign w:val="bottom"/>
          </w:tcPr>
          <w:p w:rsidR="00AC12B4" w:rsidRPr="00C27636" w:rsidRDefault="00AC12B4">
            <w:pPr>
              <w:rPr>
                <w:sz w:val="1"/>
                <w:szCs w:val="1"/>
                <w:lang w:val="fr-BE"/>
              </w:rPr>
            </w:pPr>
          </w:p>
        </w:tc>
      </w:tr>
      <w:tr w:rsidR="00AC12B4">
        <w:trPr>
          <w:trHeight w:val="269"/>
        </w:trPr>
        <w:tc>
          <w:tcPr>
            <w:tcW w:w="6020" w:type="dxa"/>
            <w:gridSpan w:val="10"/>
            <w:vAlign w:val="bottom"/>
          </w:tcPr>
          <w:p w:rsidR="00AC12B4" w:rsidRPr="00C27636" w:rsidRDefault="00C27636">
            <w:pPr>
              <w:spacing w:line="240" w:lineRule="exact"/>
              <w:ind w:right="570"/>
              <w:jc w:val="right"/>
              <w:rPr>
                <w:sz w:val="20"/>
                <w:szCs w:val="20"/>
                <w:lang w:val="fr-BE"/>
              </w:rPr>
            </w:pPr>
            <w:r w:rsidRPr="00C27636">
              <w:rPr>
                <w:rFonts w:ascii="Calibri" w:eastAsia="Calibri" w:hAnsi="Calibri" w:cs="Calibri"/>
                <w:lang w:val="fr-BE"/>
              </w:rPr>
              <w:t>insisté dans son observation générale n°10,</w:t>
            </w:r>
          </w:p>
        </w:tc>
        <w:tc>
          <w:tcPr>
            <w:tcW w:w="1480" w:type="dxa"/>
            <w:gridSpan w:val="5"/>
            <w:vAlign w:val="bottom"/>
          </w:tcPr>
          <w:p w:rsidR="00AC12B4" w:rsidRDefault="00C27636">
            <w:pPr>
              <w:ind w:left="40"/>
              <w:rPr>
                <w:sz w:val="20"/>
                <w:szCs w:val="20"/>
              </w:rPr>
            </w:pPr>
            <w:r>
              <w:rPr>
                <w:rFonts w:ascii="Calibri" w:eastAsia="Calibri" w:hAnsi="Calibri" w:cs="Calibri"/>
              </w:rPr>
              <w:t>géographiques.</w:t>
            </w: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8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40"/>
        </w:trPr>
        <w:tc>
          <w:tcPr>
            <w:tcW w:w="6020" w:type="dxa"/>
            <w:gridSpan w:val="10"/>
            <w:vAlign w:val="bottom"/>
          </w:tcPr>
          <w:p w:rsidR="00AC12B4" w:rsidRDefault="00C27636">
            <w:pPr>
              <w:spacing w:line="240" w:lineRule="exact"/>
              <w:ind w:right="570"/>
              <w:jc w:val="right"/>
              <w:rPr>
                <w:sz w:val="20"/>
                <w:szCs w:val="20"/>
              </w:rPr>
            </w:pPr>
            <w:r>
              <w:rPr>
                <w:rFonts w:ascii="Calibri" w:eastAsia="Calibri" w:hAnsi="Calibri" w:cs="Calibri"/>
              </w:rPr>
              <w:t>§25-27,  68  et  70-73  et  dans  ses</w:t>
            </w:r>
          </w:p>
        </w:tc>
        <w:tc>
          <w:tcPr>
            <w:tcW w:w="140" w:type="dxa"/>
            <w:vAlign w:val="bottom"/>
          </w:tcPr>
          <w:p w:rsidR="00AC12B4" w:rsidRDefault="00AC12B4">
            <w:pPr>
              <w:rPr>
                <w:sz w:val="20"/>
                <w:szCs w:val="20"/>
              </w:rPr>
            </w:pPr>
          </w:p>
        </w:tc>
        <w:tc>
          <w:tcPr>
            <w:tcW w:w="520" w:type="dxa"/>
            <w:vAlign w:val="bottom"/>
          </w:tcPr>
          <w:p w:rsidR="00AC12B4" w:rsidRDefault="00AC12B4">
            <w:pPr>
              <w:rPr>
                <w:sz w:val="20"/>
                <w:szCs w:val="20"/>
              </w:rPr>
            </w:pPr>
          </w:p>
        </w:tc>
        <w:tc>
          <w:tcPr>
            <w:tcW w:w="280" w:type="dxa"/>
            <w:vAlign w:val="bottom"/>
          </w:tcPr>
          <w:p w:rsidR="00AC12B4" w:rsidRDefault="00AC12B4">
            <w:pPr>
              <w:rPr>
                <w:sz w:val="20"/>
                <w:szCs w:val="20"/>
              </w:rPr>
            </w:pPr>
          </w:p>
        </w:tc>
        <w:tc>
          <w:tcPr>
            <w:tcW w:w="400" w:type="dxa"/>
            <w:vAlign w:val="bottom"/>
          </w:tcPr>
          <w:p w:rsidR="00AC12B4" w:rsidRDefault="00AC12B4">
            <w:pPr>
              <w:rPr>
                <w:sz w:val="20"/>
                <w:szCs w:val="20"/>
              </w:rPr>
            </w:pPr>
          </w:p>
        </w:tc>
        <w:tc>
          <w:tcPr>
            <w:tcW w:w="140" w:type="dxa"/>
            <w:vAlign w:val="bottom"/>
          </w:tcPr>
          <w:p w:rsidR="00AC12B4" w:rsidRDefault="00AC12B4">
            <w:pPr>
              <w:rPr>
                <w:sz w:val="20"/>
                <w:szCs w:val="20"/>
              </w:rPr>
            </w:pPr>
          </w:p>
        </w:tc>
        <w:tc>
          <w:tcPr>
            <w:tcW w:w="140" w:type="dxa"/>
            <w:vAlign w:val="bottom"/>
          </w:tcPr>
          <w:p w:rsidR="00AC12B4" w:rsidRDefault="00AC12B4">
            <w:pPr>
              <w:rPr>
                <w:sz w:val="20"/>
                <w:szCs w:val="20"/>
              </w:rPr>
            </w:pPr>
          </w:p>
        </w:tc>
        <w:tc>
          <w:tcPr>
            <w:tcW w:w="280" w:type="dxa"/>
            <w:vAlign w:val="bottom"/>
          </w:tcPr>
          <w:p w:rsidR="00AC12B4" w:rsidRDefault="00AC12B4">
            <w:pPr>
              <w:rPr>
                <w:sz w:val="20"/>
                <w:szCs w:val="20"/>
              </w:rPr>
            </w:pPr>
          </w:p>
        </w:tc>
        <w:tc>
          <w:tcPr>
            <w:tcW w:w="20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14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420" w:type="dxa"/>
            <w:vAlign w:val="bottom"/>
          </w:tcPr>
          <w:p w:rsidR="00AC12B4" w:rsidRDefault="00AC12B4">
            <w:pPr>
              <w:rPr>
                <w:sz w:val="20"/>
                <w:szCs w:val="20"/>
              </w:rPr>
            </w:pPr>
          </w:p>
        </w:tc>
        <w:tc>
          <w:tcPr>
            <w:tcW w:w="240" w:type="dxa"/>
            <w:vAlign w:val="bottom"/>
          </w:tcPr>
          <w:p w:rsidR="00AC12B4" w:rsidRDefault="00AC12B4">
            <w:pPr>
              <w:rPr>
                <w:sz w:val="20"/>
                <w:szCs w:val="20"/>
              </w:rPr>
            </w:pPr>
          </w:p>
        </w:tc>
        <w:tc>
          <w:tcPr>
            <w:tcW w:w="220" w:type="dxa"/>
            <w:vAlign w:val="bottom"/>
          </w:tcPr>
          <w:p w:rsidR="00AC12B4" w:rsidRDefault="00AC12B4">
            <w:pPr>
              <w:rPr>
                <w:sz w:val="20"/>
                <w:szCs w:val="20"/>
              </w:rPr>
            </w:pPr>
          </w:p>
        </w:tc>
        <w:tc>
          <w:tcPr>
            <w:tcW w:w="320" w:type="dxa"/>
            <w:vAlign w:val="bottom"/>
          </w:tcPr>
          <w:p w:rsidR="00AC12B4" w:rsidRDefault="00AC12B4">
            <w:pPr>
              <w:rPr>
                <w:sz w:val="20"/>
                <w:szCs w:val="20"/>
              </w:rPr>
            </w:pPr>
          </w:p>
        </w:tc>
        <w:tc>
          <w:tcPr>
            <w:tcW w:w="840" w:type="dxa"/>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rsidRPr="00C27636">
        <w:trPr>
          <w:trHeight w:val="266"/>
        </w:trPr>
        <w:tc>
          <w:tcPr>
            <w:tcW w:w="6020" w:type="dxa"/>
            <w:gridSpan w:val="10"/>
            <w:vAlign w:val="bottom"/>
          </w:tcPr>
          <w:p w:rsidR="00AC12B4" w:rsidRPr="00C27636" w:rsidRDefault="00C27636">
            <w:pPr>
              <w:spacing w:line="267" w:lineRule="exact"/>
              <w:ind w:right="570"/>
              <w:jc w:val="right"/>
              <w:rPr>
                <w:sz w:val="20"/>
                <w:szCs w:val="20"/>
                <w:lang w:val="fr-BE"/>
              </w:rPr>
            </w:pPr>
            <w:r w:rsidRPr="00C27636">
              <w:rPr>
                <w:rFonts w:ascii="Calibri" w:eastAsia="Calibri" w:hAnsi="Calibri" w:cs="Calibri"/>
                <w:lang w:val="fr-BE"/>
              </w:rPr>
              <w:t>observations finales de 2010 (§ 83), sur la</w:t>
            </w:r>
          </w:p>
        </w:tc>
        <w:tc>
          <w:tcPr>
            <w:tcW w:w="1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22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84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020" w:type="dxa"/>
            <w:gridSpan w:val="10"/>
            <w:vAlign w:val="bottom"/>
          </w:tcPr>
          <w:p w:rsidR="00AC12B4" w:rsidRPr="00C27636" w:rsidRDefault="00C27636">
            <w:pPr>
              <w:ind w:right="570"/>
              <w:jc w:val="right"/>
              <w:rPr>
                <w:sz w:val="20"/>
                <w:szCs w:val="20"/>
                <w:lang w:val="fr-BE"/>
              </w:rPr>
            </w:pPr>
            <w:r w:rsidRPr="00C27636">
              <w:rPr>
                <w:rFonts w:ascii="Calibri" w:eastAsia="Calibri" w:hAnsi="Calibri" w:cs="Calibri"/>
                <w:lang w:val="fr-BE"/>
              </w:rPr>
              <w:t>condition que la finalité des mesures ne</w:t>
            </w:r>
          </w:p>
        </w:tc>
        <w:tc>
          <w:tcPr>
            <w:tcW w:w="1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22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84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020" w:type="dxa"/>
            <w:gridSpan w:val="10"/>
            <w:vAlign w:val="bottom"/>
          </w:tcPr>
          <w:p w:rsidR="00AC12B4" w:rsidRPr="00C27636" w:rsidRDefault="00C27636">
            <w:pPr>
              <w:ind w:right="570"/>
              <w:jc w:val="right"/>
              <w:rPr>
                <w:sz w:val="20"/>
                <w:szCs w:val="20"/>
                <w:lang w:val="fr-BE"/>
              </w:rPr>
            </w:pPr>
            <w:r w:rsidRPr="00C27636">
              <w:rPr>
                <w:rFonts w:ascii="Calibri" w:eastAsia="Calibri" w:hAnsi="Calibri" w:cs="Calibri"/>
                <w:lang w:val="fr-BE"/>
              </w:rPr>
              <w:t>peut être atteinte par aucun autre moyen</w:t>
            </w:r>
          </w:p>
        </w:tc>
        <w:tc>
          <w:tcPr>
            <w:tcW w:w="1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22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84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2140" w:type="dxa"/>
            <w:gridSpan w:val="2"/>
            <w:vAlign w:val="bottom"/>
          </w:tcPr>
          <w:p w:rsidR="00AC12B4" w:rsidRDefault="00C27636">
            <w:pPr>
              <w:ind w:left="1460"/>
              <w:rPr>
                <w:sz w:val="20"/>
                <w:szCs w:val="20"/>
              </w:rPr>
            </w:pPr>
            <w:r>
              <w:rPr>
                <w:rFonts w:ascii="Calibri" w:eastAsia="Calibri" w:hAnsi="Calibri" w:cs="Calibri"/>
              </w:rPr>
              <w:t>moins</w:t>
            </w:r>
          </w:p>
        </w:tc>
        <w:tc>
          <w:tcPr>
            <w:tcW w:w="1080" w:type="dxa"/>
            <w:vAlign w:val="bottom"/>
          </w:tcPr>
          <w:p w:rsidR="00AC12B4" w:rsidRDefault="00C27636">
            <w:pPr>
              <w:ind w:left="160"/>
              <w:rPr>
                <w:sz w:val="20"/>
                <w:szCs w:val="20"/>
              </w:rPr>
            </w:pPr>
            <w:r>
              <w:rPr>
                <w:rFonts w:ascii="Calibri" w:eastAsia="Calibri" w:hAnsi="Calibri" w:cs="Calibri"/>
              </w:rPr>
              <w:t>intrusif.</w:t>
            </w:r>
          </w:p>
        </w:tc>
        <w:tc>
          <w:tcPr>
            <w:tcW w:w="680" w:type="dxa"/>
            <w:gridSpan w:val="3"/>
            <w:vAlign w:val="bottom"/>
          </w:tcPr>
          <w:p w:rsidR="00AC12B4" w:rsidRDefault="00C27636">
            <w:pPr>
              <w:ind w:right="90"/>
              <w:jc w:val="right"/>
              <w:rPr>
                <w:sz w:val="20"/>
                <w:szCs w:val="20"/>
              </w:rPr>
            </w:pPr>
            <w:r>
              <w:rPr>
                <w:rFonts w:ascii="Calibri" w:eastAsia="Calibri" w:hAnsi="Calibri" w:cs="Calibri"/>
              </w:rPr>
              <w:t>Dans</w:t>
            </w:r>
          </w:p>
        </w:tc>
        <w:tc>
          <w:tcPr>
            <w:tcW w:w="420" w:type="dxa"/>
            <w:vAlign w:val="bottom"/>
          </w:tcPr>
          <w:p w:rsidR="00AC12B4" w:rsidRDefault="00C27636">
            <w:pPr>
              <w:jc w:val="right"/>
              <w:rPr>
                <w:sz w:val="20"/>
                <w:szCs w:val="20"/>
              </w:rPr>
            </w:pPr>
            <w:r>
              <w:rPr>
                <w:rFonts w:ascii="Calibri" w:eastAsia="Calibri" w:hAnsi="Calibri" w:cs="Calibri"/>
              </w:rPr>
              <w:t>les</w:t>
            </w:r>
          </w:p>
        </w:tc>
        <w:tc>
          <w:tcPr>
            <w:tcW w:w="1700" w:type="dxa"/>
            <w:gridSpan w:val="3"/>
            <w:vAlign w:val="bottom"/>
          </w:tcPr>
          <w:p w:rsidR="00AC12B4" w:rsidRDefault="00C27636">
            <w:pPr>
              <w:ind w:right="570"/>
              <w:jc w:val="right"/>
              <w:rPr>
                <w:sz w:val="20"/>
                <w:szCs w:val="20"/>
              </w:rPr>
            </w:pPr>
            <w:r>
              <w:rPr>
                <w:rFonts w:ascii="Calibri" w:eastAsia="Calibri" w:hAnsi="Calibri" w:cs="Calibri"/>
              </w:rPr>
              <w:t>décisions</w:t>
            </w:r>
          </w:p>
        </w:tc>
        <w:tc>
          <w:tcPr>
            <w:tcW w:w="140" w:type="dxa"/>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40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14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320" w:type="dxa"/>
            <w:vAlign w:val="bottom"/>
          </w:tcPr>
          <w:p w:rsidR="00AC12B4" w:rsidRDefault="00AC12B4">
            <w:pPr>
              <w:rPr>
                <w:sz w:val="23"/>
                <w:szCs w:val="23"/>
              </w:rPr>
            </w:pPr>
          </w:p>
        </w:tc>
        <w:tc>
          <w:tcPr>
            <w:tcW w:w="84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6020" w:type="dxa"/>
            <w:gridSpan w:val="10"/>
            <w:vAlign w:val="bottom"/>
          </w:tcPr>
          <w:p w:rsidR="00AC12B4" w:rsidRPr="00C27636" w:rsidRDefault="00C27636">
            <w:pPr>
              <w:ind w:right="570"/>
              <w:jc w:val="right"/>
              <w:rPr>
                <w:sz w:val="20"/>
                <w:szCs w:val="20"/>
                <w:lang w:val="fr-BE"/>
              </w:rPr>
            </w:pPr>
            <w:r w:rsidRPr="00C27636">
              <w:rPr>
                <w:rFonts w:ascii="Calibri" w:eastAsia="Calibri" w:hAnsi="Calibri" w:cs="Calibri"/>
                <w:lang w:val="fr-BE"/>
              </w:rPr>
              <w:t xml:space="preserve">impliquant </w:t>
            </w:r>
            <w:r w:rsidRPr="00C27636">
              <w:rPr>
                <w:rFonts w:ascii="Calibri" w:eastAsia="Calibri" w:hAnsi="Calibri" w:cs="Calibri"/>
                <w:lang w:val="fr-BE"/>
              </w:rPr>
              <w:t>des enfants, les intérêts et le</w:t>
            </w:r>
          </w:p>
        </w:tc>
        <w:tc>
          <w:tcPr>
            <w:tcW w:w="1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22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84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020" w:type="dxa"/>
            <w:gridSpan w:val="10"/>
            <w:vAlign w:val="bottom"/>
          </w:tcPr>
          <w:p w:rsidR="00AC12B4" w:rsidRPr="00C27636" w:rsidRDefault="00C27636">
            <w:pPr>
              <w:ind w:right="570"/>
              <w:jc w:val="right"/>
              <w:rPr>
                <w:sz w:val="20"/>
                <w:szCs w:val="20"/>
                <w:lang w:val="fr-BE"/>
              </w:rPr>
            </w:pPr>
            <w:r w:rsidRPr="00C27636">
              <w:rPr>
                <w:rFonts w:ascii="Calibri" w:eastAsia="Calibri" w:hAnsi="Calibri" w:cs="Calibri"/>
                <w:lang w:val="fr-BE"/>
              </w:rPr>
              <w:t>bien-être de ces derniers doivent en effet</w:t>
            </w:r>
          </w:p>
        </w:tc>
        <w:tc>
          <w:tcPr>
            <w:tcW w:w="1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40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80" w:type="dxa"/>
            <w:vAlign w:val="bottom"/>
          </w:tcPr>
          <w:p w:rsidR="00AC12B4" w:rsidRPr="00C27636" w:rsidRDefault="00AC12B4">
            <w:pPr>
              <w:rPr>
                <w:sz w:val="23"/>
                <w:szCs w:val="23"/>
                <w:lang w:val="fr-BE"/>
              </w:rPr>
            </w:pPr>
          </w:p>
        </w:tc>
        <w:tc>
          <w:tcPr>
            <w:tcW w:w="42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220" w:type="dxa"/>
            <w:vAlign w:val="bottom"/>
          </w:tcPr>
          <w:p w:rsidR="00AC12B4" w:rsidRPr="00C27636" w:rsidRDefault="00AC12B4">
            <w:pPr>
              <w:rPr>
                <w:sz w:val="23"/>
                <w:szCs w:val="23"/>
                <w:lang w:val="fr-BE"/>
              </w:rPr>
            </w:pPr>
          </w:p>
        </w:tc>
        <w:tc>
          <w:tcPr>
            <w:tcW w:w="320" w:type="dxa"/>
            <w:vAlign w:val="bottom"/>
          </w:tcPr>
          <w:p w:rsidR="00AC12B4" w:rsidRPr="00C27636" w:rsidRDefault="00AC12B4">
            <w:pPr>
              <w:rPr>
                <w:sz w:val="23"/>
                <w:szCs w:val="23"/>
                <w:lang w:val="fr-BE"/>
              </w:rPr>
            </w:pPr>
          </w:p>
        </w:tc>
        <w:tc>
          <w:tcPr>
            <w:tcW w:w="84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828"/>
        </w:trPr>
        <w:tc>
          <w:tcPr>
            <w:tcW w:w="196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108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100" w:type="dxa"/>
            <w:vAlign w:val="bottom"/>
          </w:tcPr>
          <w:p w:rsidR="00AC12B4" w:rsidRPr="00C27636" w:rsidRDefault="00AC12B4">
            <w:pPr>
              <w:rPr>
                <w:sz w:val="24"/>
                <w:szCs w:val="24"/>
                <w:lang w:val="fr-BE"/>
              </w:rPr>
            </w:pPr>
          </w:p>
        </w:tc>
        <w:tc>
          <w:tcPr>
            <w:tcW w:w="380" w:type="dxa"/>
            <w:vAlign w:val="bottom"/>
          </w:tcPr>
          <w:p w:rsidR="00AC12B4" w:rsidRPr="00C27636" w:rsidRDefault="00AC12B4">
            <w:pPr>
              <w:rPr>
                <w:sz w:val="24"/>
                <w:szCs w:val="24"/>
                <w:lang w:val="fr-BE"/>
              </w:rPr>
            </w:pPr>
          </w:p>
        </w:tc>
        <w:tc>
          <w:tcPr>
            <w:tcW w:w="42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1220" w:type="dxa"/>
            <w:vAlign w:val="bottom"/>
          </w:tcPr>
          <w:p w:rsidR="00AC12B4" w:rsidRDefault="00C27636">
            <w:pPr>
              <w:ind w:right="50"/>
              <w:jc w:val="right"/>
              <w:rPr>
                <w:sz w:val="20"/>
                <w:szCs w:val="20"/>
              </w:rPr>
            </w:pPr>
            <w:r>
              <w:rPr>
                <w:rFonts w:ascii="Calibri" w:eastAsia="Calibri" w:hAnsi="Calibri" w:cs="Calibri"/>
              </w:rPr>
              <w:t>171</w:t>
            </w:r>
          </w:p>
        </w:tc>
        <w:tc>
          <w:tcPr>
            <w:tcW w:w="14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20" w:type="dxa"/>
            <w:vAlign w:val="bottom"/>
          </w:tcPr>
          <w:p w:rsidR="00AC12B4" w:rsidRDefault="00AC12B4">
            <w:pPr>
              <w:rPr>
                <w:sz w:val="24"/>
                <w:szCs w:val="24"/>
              </w:rPr>
            </w:pPr>
          </w:p>
        </w:tc>
        <w:tc>
          <w:tcPr>
            <w:tcW w:w="320" w:type="dxa"/>
            <w:vAlign w:val="bottom"/>
          </w:tcPr>
          <w:p w:rsidR="00AC12B4" w:rsidRDefault="00AC12B4">
            <w:pPr>
              <w:rPr>
                <w:sz w:val="24"/>
                <w:szCs w:val="24"/>
              </w:rPr>
            </w:pPr>
          </w:p>
        </w:tc>
        <w:tc>
          <w:tcPr>
            <w:tcW w:w="84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841024" behindDoc="1" locked="0" layoutInCell="0" allowOverlap="1">
                <wp:simplePos x="0" y="0"/>
                <wp:positionH relativeFrom="column">
                  <wp:posOffset>6619240</wp:posOffset>
                </wp:positionH>
                <wp:positionV relativeFrom="paragraph">
                  <wp:posOffset>-10131425</wp:posOffset>
                </wp:positionV>
                <wp:extent cx="701040" cy="10908030"/>
                <wp:effectExtent l="0" t="0" r="0" b="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030"/>
                        </a:xfrm>
                        <a:prstGeom prst="rect">
                          <a:avLst/>
                        </a:prstGeom>
                        <a:solidFill>
                          <a:srgbClr val="FEC930"/>
                        </a:solidFill>
                      </wps:spPr>
                      <wps:bodyPr/>
                    </wps:wsp>
                  </a:graphicData>
                </a:graphic>
              </wp:anchor>
            </w:drawing>
          </mc:Choice>
          <mc:Fallback>
            <w:pict>
              <v:rect id="Shape 513" o:spid="_x0000_s1538" style="position:absolute;margin-left:521.2pt;margin-top:-797.7499pt;width:55.2pt;height:85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r>
        <w:rPr>
          <w:noProof/>
          <w:sz w:val="20"/>
          <w:szCs w:val="20"/>
        </w:rPr>
        <mc:AlternateContent>
          <mc:Choice Requires="wps">
            <w:drawing>
              <wp:anchor distT="0" distB="0" distL="114300" distR="114300" simplePos="0" relativeHeight="251842048" behindDoc="1" locked="0" layoutInCell="0" allowOverlap="1">
                <wp:simplePos x="0" y="0"/>
                <wp:positionH relativeFrom="column">
                  <wp:posOffset>5260340</wp:posOffset>
                </wp:positionH>
                <wp:positionV relativeFrom="paragraph">
                  <wp:posOffset>-7204075</wp:posOffset>
                </wp:positionV>
                <wp:extent cx="1616075" cy="2105660"/>
                <wp:effectExtent l="0" t="0" r="0" b="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6075" cy="2105660"/>
                        </a:xfrm>
                        <a:prstGeom prst="rect">
                          <a:avLst/>
                        </a:prstGeom>
                        <a:solidFill>
                          <a:srgbClr val="FFFFFF"/>
                        </a:solidFill>
                      </wps:spPr>
                      <wps:bodyPr/>
                    </wps:wsp>
                  </a:graphicData>
                </a:graphic>
              </wp:anchor>
            </w:drawing>
          </mc:Choice>
          <mc:Fallback>
            <w:pict>
              <v:rect id="Shape 514" o:spid="_x0000_s1539" style="position:absolute;margin-left:414.2pt;margin-top:-567.2499pt;width:127.25pt;height:165.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843072" behindDoc="1" locked="0" layoutInCell="0" allowOverlap="1">
                <wp:simplePos x="0" y="0"/>
                <wp:positionH relativeFrom="column">
                  <wp:posOffset>6876415</wp:posOffset>
                </wp:positionH>
                <wp:positionV relativeFrom="paragraph">
                  <wp:posOffset>-7216775</wp:posOffset>
                </wp:positionV>
                <wp:extent cx="0" cy="2131060"/>
                <wp:effectExtent l="0" t="0" r="0" b="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106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1.45pt,-568.2499pt" to="541.45pt,-400.4499pt" o:allowincell="f" strokecolor="#FEC930" strokeweight="2pt"/>
            </w:pict>
          </mc:Fallback>
        </mc:AlternateContent>
      </w:r>
      <w:r>
        <w:rPr>
          <w:noProof/>
          <w:sz w:val="20"/>
          <w:szCs w:val="20"/>
        </w:rPr>
        <mc:AlternateContent>
          <mc:Choice Requires="wps">
            <w:drawing>
              <wp:anchor distT="0" distB="0" distL="114300" distR="114300" simplePos="0" relativeHeight="251844096" behindDoc="1" locked="0" layoutInCell="0" allowOverlap="1">
                <wp:simplePos x="0" y="0"/>
                <wp:positionH relativeFrom="column">
                  <wp:posOffset>5247640</wp:posOffset>
                </wp:positionH>
                <wp:positionV relativeFrom="paragraph">
                  <wp:posOffset>-7204075</wp:posOffset>
                </wp:positionV>
                <wp:extent cx="1641475" cy="0"/>
                <wp:effectExtent l="0" t="0" r="0" b="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pt,-567.2499pt" to="542.45pt,-567.2499pt" o:allowincell="f" strokecolor="#FEC930" strokeweight="2pt"/>
            </w:pict>
          </mc:Fallback>
        </mc:AlternateContent>
      </w:r>
      <w:r>
        <w:rPr>
          <w:noProof/>
          <w:sz w:val="20"/>
          <w:szCs w:val="20"/>
        </w:rPr>
        <mc:AlternateContent>
          <mc:Choice Requires="wps">
            <w:drawing>
              <wp:anchor distT="0" distB="0" distL="114300" distR="114300" simplePos="0" relativeHeight="251845120" behindDoc="1" locked="0" layoutInCell="0" allowOverlap="1">
                <wp:simplePos x="0" y="0"/>
                <wp:positionH relativeFrom="column">
                  <wp:posOffset>5247640</wp:posOffset>
                </wp:positionH>
                <wp:positionV relativeFrom="paragraph">
                  <wp:posOffset>-5098415</wp:posOffset>
                </wp:positionV>
                <wp:extent cx="1641475" cy="0"/>
                <wp:effectExtent l="0" t="0" r="0" b="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pt,-401.4499pt" to="542.45pt,-401.4499pt" o:allowincell="f" strokecolor="#FEC930" strokeweight="2pt"/>
            </w:pict>
          </mc:Fallback>
        </mc:AlternateConten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AC12B4">
      <w:pPr>
        <w:rPr>
          <w:lang w:val="fr-BE"/>
        </w:rPr>
        <w:sectPr w:rsidR="00AC12B4" w:rsidRPr="00C27636">
          <w:pgSz w:w="12080" w:h="17179"/>
          <w:pgMar w:top="1440" w:right="474" w:bottom="659" w:left="540" w:header="0" w:footer="0" w:gutter="0"/>
          <w:cols w:num="2" w:space="720" w:equalWidth="0">
            <w:col w:w="10660" w:space="73"/>
            <w:col w:w="330"/>
          </w:cols>
        </w:sectPr>
      </w:pPr>
    </w:p>
    <w:bookmarkStart w:id="171" w:name="page172"/>
    <w:bookmarkEnd w:id="171"/>
    <w:p w:rsidR="00AC12B4" w:rsidRPr="00C27636" w:rsidRDefault="00C27636">
      <w:pPr>
        <w:spacing w:line="200" w:lineRule="exact"/>
        <w:rPr>
          <w:sz w:val="20"/>
          <w:szCs w:val="20"/>
          <w:lang w:val="fr-BE"/>
        </w:rPr>
      </w:pPr>
      <w:r>
        <w:rPr>
          <w:noProof/>
          <w:sz w:val="20"/>
          <w:szCs w:val="20"/>
        </w:rPr>
        <w:lastRenderedPageBreak/>
        <mc:AlternateContent>
          <mc:Choice Requires="wps">
            <w:drawing>
              <wp:anchor distT="0" distB="0" distL="114300" distR="114300" simplePos="0" relativeHeight="251846144" behindDoc="1" locked="0" layoutInCell="0" allowOverlap="1">
                <wp:simplePos x="0" y="0"/>
                <wp:positionH relativeFrom="page">
                  <wp:posOffset>0</wp:posOffset>
                </wp:positionH>
                <wp:positionV relativeFrom="page">
                  <wp:posOffset>0</wp:posOffset>
                </wp:positionV>
                <wp:extent cx="699135" cy="10908665"/>
                <wp:effectExtent l="0" t="0" r="0" b="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18" o:spid="_x0000_s1543"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7" w:lineRule="exact"/>
        <w:rPr>
          <w:sz w:val="20"/>
          <w:szCs w:val="20"/>
          <w:lang w:val="fr-BE"/>
        </w:rPr>
      </w:pPr>
    </w:p>
    <w:p w:rsidR="00AC12B4" w:rsidRPr="00C27636" w:rsidRDefault="00C27636">
      <w:pPr>
        <w:spacing w:line="262" w:lineRule="auto"/>
        <w:ind w:left="720" w:right="520"/>
        <w:jc w:val="both"/>
        <w:rPr>
          <w:sz w:val="20"/>
          <w:szCs w:val="20"/>
          <w:lang w:val="fr-BE"/>
        </w:rPr>
      </w:pPr>
      <w:r w:rsidRPr="00C27636">
        <w:rPr>
          <w:rFonts w:ascii="Calibri" w:eastAsia="Calibri" w:hAnsi="Calibri" w:cs="Calibri"/>
          <w:b/>
          <w:bCs/>
          <w:sz w:val="28"/>
          <w:szCs w:val="28"/>
          <w:lang w:val="fr-BE"/>
        </w:rPr>
        <w:t>Hiérarchie des mesures pour les mineurs ayant commis un fait qualifié infraction</w:t>
      </w:r>
    </w:p>
    <w:p w:rsidR="00AC12B4" w:rsidRPr="00C27636" w:rsidRDefault="00AC12B4">
      <w:pPr>
        <w:spacing w:line="264" w:lineRule="exact"/>
        <w:rPr>
          <w:sz w:val="20"/>
          <w:szCs w:val="20"/>
          <w:lang w:val="fr-BE"/>
        </w:rPr>
      </w:pPr>
    </w:p>
    <w:p w:rsidR="00AC12B4" w:rsidRPr="00C27636" w:rsidRDefault="00C27636">
      <w:pPr>
        <w:spacing w:line="232" w:lineRule="auto"/>
        <w:ind w:right="520"/>
        <w:jc w:val="both"/>
        <w:rPr>
          <w:sz w:val="20"/>
          <w:szCs w:val="20"/>
          <w:lang w:val="fr-BE"/>
        </w:rPr>
      </w:pPr>
      <w:r w:rsidRPr="00C27636">
        <w:rPr>
          <w:rFonts w:ascii="Calibri" w:eastAsia="Calibri" w:hAnsi="Calibri" w:cs="Calibri"/>
          <w:lang w:val="fr-BE"/>
        </w:rPr>
        <w:t xml:space="preserve">Les statistiques administratives fédérales </w:t>
      </w:r>
      <w:r w:rsidRPr="00C27636">
        <w:rPr>
          <w:rFonts w:ascii="Calibri" w:eastAsia="Calibri" w:hAnsi="Calibri" w:cs="Calibri"/>
          <w:lang w:val="fr-BE"/>
        </w:rPr>
        <w:t>manquent, tant au niveau du parquet (les données disponibles ne concernent que les dossiers entrés au parquet et non leur issue) qu’au niveau du tribunal de la jeunesse.</w:t>
      </w:r>
    </w:p>
    <w:p w:rsidR="00AC12B4" w:rsidRPr="00C27636" w:rsidRDefault="00AC12B4">
      <w:pPr>
        <w:spacing w:line="175" w:lineRule="exact"/>
        <w:rPr>
          <w:sz w:val="20"/>
          <w:szCs w:val="20"/>
          <w:lang w:val="fr-BE"/>
        </w:rPr>
      </w:pPr>
    </w:p>
    <w:p w:rsidR="00AC12B4" w:rsidRPr="00C27636" w:rsidRDefault="00C27636">
      <w:pPr>
        <w:spacing w:line="234" w:lineRule="auto"/>
        <w:ind w:right="520"/>
        <w:jc w:val="both"/>
        <w:rPr>
          <w:sz w:val="20"/>
          <w:szCs w:val="20"/>
          <w:lang w:val="fr-BE"/>
        </w:rPr>
      </w:pPr>
      <w:r w:rsidRPr="00C27636">
        <w:rPr>
          <w:rFonts w:ascii="Calibri" w:eastAsia="Calibri" w:hAnsi="Calibri" w:cs="Calibri"/>
          <w:lang w:val="fr-BE"/>
        </w:rPr>
        <w:t xml:space="preserve">Nous nous basons dès lors sur les données disponibles au niveau des Communautés, via </w:t>
      </w:r>
      <w:r w:rsidRPr="00C27636">
        <w:rPr>
          <w:rFonts w:ascii="Calibri" w:eastAsia="Calibri" w:hAnsi="Calibri" w:cs="Calibri"/>
          <w:lang w:val="fr-BE"/>
        </w:rPr>
        <w:t>le SPJ (en Flandre : SDJ). Si le juge ne consulte pas ce service dans le cadre de ses interventions, rien n’est enregistré au niveau des Communautés. Les chiffres ne couvrent donc pas 100% des mesures, mais bien la plupart d’entre elles.</w:t>
      </w:r>
    </w:p>
    <w:p w:rsidR="00AC12B4" w:rsidRPr="00C27636" w:rsidRDefault="00AC12B4">
      <w:pPr>
        <w:spacing w:line="174" w:lineRule="exact"/>
        <w:rPr>
          <w:sz w:val="20"/>
          <w:szCs w:val="20"/>
          <w:lang w:val="fr-BE"/>
        </w:rPr>
      </w:pPr>
    </w:p>
    <w:p w:rsidR="00AC12B4" w:rsidRPr="00C27636" w:rsidRDefault="00C27636">
      <w:pPr>
        <w:spacing w:line="232" w:lineRule="auto"/>
        <w:ind w:right="520"/>
        <w:jc w:val="both"/>
        <w:rPr>
          <w:sz w:val="20"/>
          <w:szCs w:val="20"/>
          <w:lang w:val="fr-BE"/>
        </w:rPr>
      </w:pPr>
      <w:r w:rsidRPr="00C27636">
        <w:rPr>
          <w:rFonts w:ascii="Calibri" w:eastAsia="Calibri" w:hAnsi="Calibri" w:cs="Calibri"/>
          <w:lang w:val="fr-BE"/>
        </w:rPr>
        <w:t>Suite à une réorg</w:t>
      </w:r>
      <w:r w:rsidRPr="00C27636">
        <w:rPr>
          <w:rFonts w:ascii="Calibri" w:eastAsia="Calibri" w:hAnsi="Calibri" w:cs="Calibri"/>
          <w:lang w:val="fr-BE"/>
        </w:rPr>
        <w:t>anisation majeure de l’aide à la jeunesse et/ou du système d’enregistrement des données, les Communautés étudient actuellement quelles données peuvent être utilisables. Ces données seront publiées sur</w:t>
      </w:r>
    </w:p>
    <w:p w:rsidR="00AC12B4" w:rsidRPr="00C27636" w:rsidRDefault="00AC12B4">
      <w:pPr>
        <w:spacing w:line="53" w:lineRule="exact"/>
        <w:rPr>
          <w:sz w:val="20"/>
          <w:szCs w:val="20"/>
          <w:lang w:val="fr-BE"/>
        </w:rPr>
      </w:pPr>
    </w:p>
    <w:p w:rsidR="00AC12B4" w:rsidRPr="00C27636" w:rsidRDefault="00C27636">
      <w:pPr>
        <w:spacing w:line="218" w:lineRule="auto"/>
        <w:ind w:right="520"/>
        <w:jc w:val="both"/>
        <w:rPr>
          <w:rFonts w:ascii="Calibri" w:eastAsia="Calibri" w:hAnsi="Calibri" w:cs="Calibri"/>
          <w:color w:val="0000FF"/>
          <w:lang w:val="fr-BE"/>
        </w:rPr>
      </w:pPr>
      <w:hyperlink r:id="rId321">
        <w:r w:rsidRPr="00C27636">
          <w:rPr>
            <w:rFonts w:ascii="Calibri" w:eastAsia="Calibri" w:hAnsi="Calibri" w:cs="Calibri"/>
            <w:color w:val="0000FF"/>
            <w:u w:val="single"/>
            <w:lang w:val="fr-BE"/>
          </w:rPr>
          <w:t>www.cnde.be/content/indicateurs</w:t>
        </w:r>
        <w:r w:rsidRPr="00C27636">
          <w:rPr>
            <w:rFonts w:ascii="Calibri" w:eastAsia="Calibri" w:hAnsi="Calibri" w:cs="Calibri"/>
            <w:color w:val="0000FF"/>
            <w:lang w:val="fr-BE"/>
          </w:rPr>
          <w:t xml:space="preserve"> </w:t>
        </w:r>
      </w:hyperlink>
      <w:r w:rsidRPr="00C27636">
        <w:rPr>
          <w:rFonts w:ascii="Calibri" w:eastAsia="Calibri" w:hAnsi="Calibri" w:cs="Calibri"/>
          <w:color w:val="000000"/>
          <w:lang w:val="fr-BE"/>
        </w:rPr>
        <w:t>dès</w:t>
      </w:r>
      <w:r w:rsidRPr="00C27636">
        <w:rPr>
          <w:rFonts w:ascii="Calibri" w:eastAsia="Calibri" w:hAnsi="Calibri" w:cs="Calibri"/>
          <w:color w:val="0000FF"/>
          <w:lang w:val="fr-BE"/>
        </w:rPr>
        <w:t xml:space="preserve"> </w:t>
      </w:r>
      <w:r w:rsidRPr="00C27636">
        <w:rPr>
          <w:rFonts w:ascii="Calibri" w:eastAsia="Calibri" w:hAnsi="Calibri" w:cs="Calibri"/>
          <w:color w:val="000000"/>
          <w:lang w:val="fr-BE"/>
        </w:rPr>
        <w:t>qu’elles seront disponibles.</w:t>
      </w:r>
    </w:p>
    <w:p w:rsidR="00AC12B4" w:rsidRPr="00C27636" w:rsidRDefault="00AC12B4">
      <w:pPr>
        <w:spacing w:line="170" w:lineRule="exact"/>
        <w:rPr>
          <w:sz w:val="20"/>
          <w:szCs w:val="20"/>
          <w:lang w:val="fr-BE"/>
        </w:rPr>
      </w:pPr>
    </w:p>
    <w:p w:rsidR="00AC12B4" w:rsidRPr="00C27636" w:rsidRDefault="00C27636">
      <w:pPr>
        <w:spacing w:line="232" w:lineRule="auto"/>
        <w:ind w:right="520"/>
        <w:jc w:val="both"/>
        <w:rPr>
          <w:sz w:val="20"/>
          <w:szCs w:val="20"/>
          <w:lang w:val="fr-BE"/>
        </w:rPr>
      </w:pPr>
      <w:r w:rsidRPr="00C27636">
        <w:rPr>
          <w:rFonts w:ascii="Calibri" w:eastAsia="Calibri" w:hAnsi="Calibri" w:cs="Calibri"/>
          <w:lang w:val="fr-BE"/>
        </w:rPr>
        <w:t xml:space="preserve">L’INCC a réalisé une grande enquête en 2011-2012 sur les décisions prises par les juges de la jeunesse. En attendant des chiffres objectifs sur l’issue des affaires judiciaires, nous </w:t>
      </w:r>
      <w:r w:rsidRPr="00C27636">
        <w:rPr>
          <w:rFonts w:ascii="Calibri" w:eastAsia="Calibri" w:hAnsi="Calibri" w:cs="Calibri"/>
          <w:lang w:val="fr-BE"/>
        </w:rPr>
        <w:t>renvoyons aux conclusions de cette recherche:</w:t>
      </w:r>
    </w:p>
    <w:p w:rsidR="00AC12B4" w:rsidRPr="00C27636" w:rsidRDefault="00AC12B4">
      <w:pPr>
        <w:spacing w:line="173" w:lineRule="exact"/>
        <w:rPr>
          <w:sz w:val="20"/>
          <w:szCs w:val="20"/>
          <w:lang w:val="fr-BE"/>
        </w:rPr>
      </w:pPr>
    </w:p>
    <w:p w:rsidR="00AC12B4" w:rsidRPr="00C27636" w:rsidRDefault="00C27636">
      <w:pPr>
        <w:spacing w:line="236" w:lineRule="auto"/>
        <w:ind w:right="520"/>
        <w:jc w:val="both"/>
        <w:rPr>
          <w:sz w:val="20"/>
          <w:szCs w:val="20"/>
          <w:lang w:val="fr-BE"/>
        </w:rPr>
      </w:pPr>
      <w:r w:rsidRPr="00C27636">
        <w:rPr>
          <w:rFonts w:ascii="Calibri" w:eastAsia="Calibri" w:hAnsi="Calibri" w:cs="Calibri"/>
          <w:lang w:val="fr-BE"/>
        </w:rPr>
        <w:t xml:space="preserve">Au niveau des réquisitions des parquets, "le parquet ne requiert pas de mesure spécifique dans de nombreux cas (49,4%), c’est d’autant plus vrai du côté néerlandophone (64% des cas contre 38% du côté </w:t>
      </w:r>
      <w:r w:rsidRPr="00C27636">
        <w:rPr>
          <w:rFonts w:ascii="Calibri" w:eastAsia="Calibri" w:hAnsi="Calibri" w:cs="Calibri"/>
          <w:lang w:val="fr-BE"/>
        </w:rPr>
        <w:t>francophone). Lorsqu’il requiert une mesure plus précise, il s’agit dans près d’un cas sur trois d’une mesure de placement. Une différence considérable existe entre les deux Communautés : ces réquisitoires parquet visant une mesure de placement seraient pl</w:t>
      </w:r>
      <w:r w:rsidRPr="00C27636">
        <w:rPr>
          <w:rFonts w:ascii="Calibri" w:eastAsia="Calibri" w:hAnsi="Calibri" w:cs="Calibri"/>
          <w:lang w:val="fr-BE"/>
        </w:rPr>
        <w:t>us présents du côté francophone (46% contre 12% du côté néerlandophone).</w:t>
      </w:r>
    </w:p>
    <w:p w:rsidR="00AC12B4" w:rsidRPr="00C27636" w:rsidRDefault="00AC12B4">
      <w:pPr>
        <w:spacing w:line="200" w:lineRule="exact"/>
        <w:rPr>
          <w:sz w:val="20"/>
          <w:szCs w:val="20"/>
          <w:lang w:val="fr-BE"/>
        </w:rPr>
      </w:pPr>
    </w:p>
    <w:p w:rsidR="00AC12B4" w:rsidRPr="00C27636" w:rsidRDefault="00AC12B4">
      <w:pPr>
        <w:spacing w:line="367"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172</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En ce qui concerne les interventions précédentes du parquet, si l’information relative aux éventuelles offres de médiation a été un peu plus facile à trouver, surtout du côté</w:t>
      </w:r>
      <w:r w:rsidRPr="00C27636">
        <w:rPr>
          <w:rFonts w:ascii="Calibri" w:eastAsia="Calibri" w:hAnsi="Calibri" w:cs="Calibri"/>
          <w:lang w:val="fr-BE"/>
        </w:rPr>
        <w:t xml:space="preserve"> néerlandophone, les informations relatives aux rappels à la loi et lettres d’avertissement se sont avérées bien plus rares. Du côté francophone en particulier, ce constat a permis de mettre en avant un manque ou une absence de systématicité de la communic</w:t>
      </w:r>
      <w:r w:rsidRPr="00C27636">
        <w:rPr>
          <w:rFonts w:ascii="Calibri" w:eastAsia="Calibri" w:hAnsi="Calibri" w:cs="Calibri"/>
          <w:lang w:val="fr-BE"/>
        </w:rPr>
        <w:t>ation entre les parquets et les juges de la jeunesse. Ces informations seraient pourtant de nature, elles aussi, à éclairer le magistrat dans sa décision.”</w:t>
      </w:r>
      <w:r w:rsidRPr="00C27636">
        <w:rPr>
          <w:rFonts w:ascii="Calibri" w:eastAsia="Calibri" w:hAnsi="Calibri" w:cs="Calibri"/>
          <w:sz w:val="27"/>
          <w:szCs w:val="27"/>
          <w:vertAlign w:val="superscript"/>
          <w:lang w:val="fr-BE"/>
        </w:rPr>
        <w:t>1</w:t>
      </w:r>
    </w:p>
    <w:p w:rsidR="00AC12B4" w:rsidRPr="00C27636" w:rsidRDefault="00AC12B4">
      <w:pPr>
        <w:spacing w:line="144" w:lineRule="exact"/>
        <w:rPr>
          <w:sz w:val="20"/>
          <w:szCs w:val="20"/>
          <w:lang w:val="fr-BE"/>
        </w:rPr>
      </w:pPr>
    </w:p>
    <w:p w:rsidR="00AC12B4" w:rsidRPr="00C27636" w:rsidRDefault="00C27636">
      <w:pPr>
        <w:spacing w:line="237" w:lineRule="auto"/>
        <w:ind w:right="737"/>
        <w:jc w:val="both"/>
        <w:rPr>
          <w:sz w:val="20"/>
          <w:szCs w:val="20"/>
          <w:lang w:val="fr-BE"/>
        </w:rPr>
      </w:pPr>
      <w:r w:rsidRPr="00C27636">
        <w:rPr>
          <w:rFonts w:ascii="Calibri" w:eastAsia="Calibri" w:hAnsi="Calibri" w:cs="Calibri"/>
          <w:lang w:val="fr-BE"/>
        </w:rPr>
        <w:t>L’offre restauratrice et le projet écrit ne représentent que 3 % de toutes les décisions rassemblé</w:t>
      </w:r>
      <w:r w:rsidRPr="00C27636">
        <w:rPr>
          <w:rFonts w:ascii="Calibri" w:eastAsia="Calibri" w:hAnsi="Calibri" w:cs="Calibri"/>
          <w:lang w:val="fr-BE"/>
        </w:rPr>
        <w:t>es. Ceci est étonnant, car depuis la modification législative de 2006, le juge doit d'abord envisager une offre restauratrice et/ou un projet écrit avant d'imposer d'autres mesures. “En outre, lorsque le juge n’est pas satisfait de la mesure qu’il a prise,</w:t>
      </w:r>
      <w:r w:rsidRPr="00C27636">
        <w:rPr>
          <w:rFonts w:ascii="Calibri" w:eastAsia="Calibri" w:hAnsi="Calibri" w:cs="Calibri"/>
          <w:lang w:val="fr-BE"/>
        </w:rPr>
        <w:t xml:space="preserve"> son premier choix indisponible ne s’orienterait jamais vers une offre restauratrice ou un projet écrit. Les hypothèses mises en avant pour expliquer ce faible succès sont diverses et plutôt partagées au nord comme au sud du pays. Les principales hypothèse</w:t>
      </w:r>
      <w:r w:rsidRPr="00C27636">
        <w:rPr>
          <w:rFonts w:ascii="Calibri" w:eastAsia="Calibri" w:hAnsi="Calibri" w:cs="Calibri"/>
          <w:lang w:val="fr-BE"/>
        </w:rPr>
        <w:t>s soulevées au sujet des offres restauratrices sont, d’une part, un problème « culturel » dans le chef des juges eux-mêmes mais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47168" behindDoc="1" locked="0" layoutInCell="0" allowOverlap="1">
                <wp:simplePos x="0" y="0"/>
                <wp:positionH relativeFrom="column">
                  <wp:posOffset>3175</wp:posOffset>
                </wp:positionH>
                <wp:positionV relativeFrom="paragraph">
                  <wp:posOffset>163195</wp:posOffset>
                </wp:positionV>
                <wp:extent cx="1828800" cy="0"/>
                <wp:effectExtent l="0" t="0" r="0" b="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85pt" to="144.25pt,12.8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308" w:lineRule="exact"/>
        <w:rPr>
          <w:sz w:val="20"/>
          <w:szCs w:val="20"/>
          <w:lang w:val="fr-BE"/>
        </w:rPr>
      </w:pPr>
    </w:p>
    <w:p w:rsidR="00AC12B4" w:rsidRPr="00C27636" w:rsidRDefault="00C27636">
      <w:pPr>
        <w:numPr>
          <w:ilvl w:val="0"/>
          <w:numId w:val="325"/>
        </w:numPr>
        <w:tabs>
          <w:tab w:val="left" w:pos="118"/>
        </w:tabs>
        <w:spacing w:line="212" w:lineRule="auto"/>
        <w:ind w:right="737" w:firstLine="5"/>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INCC (Ravier, I., Goedseels, E. e.a.), </w:t>
      </w:r>
      <w:r w:rsidRPr="00C27636">
        <w:rPr>
          <w:rFonts w:ascii="Calibri" w:eastAsia="Calibri" w:hAnsi="Calibri" w:cs="Calibri"/>
          <w:i/>
          <w:iCs/>
          <w:sz w:val="20"/>
          <w:szCs w:val="20"/>
          <w:lang w:val="fr-BE"/>
        </w:rPr>
        <w:t>Recherche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relative aux décisions des juges/tribunaux de la jeunesse dans les affaires</w:t>
      </w:r>
      <w:r w:rsidRPr="00C27636">
        <w:rPr>
          <w:rFonts w:ascii="Calibri" w:eastAsia="Calibri" w:hAnsi="Calibri" w:cs="Calibri"/>
          <w:i/>
          <w:iCs/>
          <w:sz w:val="20"/>
          <w:szCs w:val="20"/>
          <w:lang w:val="fr-BE"/>
        </w:rPr>
        <w:t xml:space="preserve"> de faits qualifiés infraction, Résumé exécutif</w:t>
      </w:r>
      <w:r w:rsidRPr="00C27636">
        <w:rPr>
          <w:rFonts w:ascii="Calibri" w:eastAsia="Calibri" w:hAnsi="Calibri" w:cs="Calibri"/>
          <w:sz w:val="20"/>
          <w:szCs w:val="20"/>
          <w:lang w:val="fr-BE"/>
        </w:rPr>
        <w:t>, Bruxelles, INCC,</w:t>
      </w:r>
    </w:p>
    <w:p w:rsidR="00AC12B4" w:rsidRPr="00C27636" w:rsidRDefault="00AC12B4">
      <w:pPr>
        <w:spacing w:line="49" w:lineRule="exact"/>
        <w:rPr>
          <w:rFonts w:ascii="Calibri" w:eastAsia="Calibri" w:hAnsi="Calibri" w:cs="Calibri"/>
          <w:sz w:val="26"/>
          <w:szCs w:val="26"/>
          <w:vertAlign w:val="superscript"/>
          <w:lang w:val="fr-BE"/>
        </w:rPr>
      </w:pPr>
    </w:p>
    <w:p w:rsidR="00AC12B4" w:rsidRDefault="00C27636">
      <w:pPr>
        <w:spacing w:line="225" w:lineRule="auto"/>
        <w:ind w:right="737"/>
        <w:jc w:val="both"/>
        <w:rPr>
          <w:rFonts w:ascii="Calibri" w:eastAsia="Calibri" w:hAnsi="Calibri" w:cs="Calibri"/>
          <w:sz w:val="26"/>
          <w:szCs w:val="26"/>
          <w:vertAlign w:val="superscript"/>
        </w:rPr>
      </w:pPr>
      <w:r>
        <w:rPr>
          <w:rFonts w:ascii="Calibri" w:eastAsia="Calibri" w:hAnsi="Calibri" w:cs="Calibri"/>
          <w:sz w:val="20"/>
          <w:szCs w:val="20"/>
        </w:rPr>
        <w:t>2012, 4 (https://nicc.fgov.be/upload/publicaties/rappo rt_32a_2.pdf).</w:t>
      </w:r>
    </w:p>
    <w:p w:rsidR="00AC12B4" w:rsidRDefault="00AC12B4">
      <w:pPr>
        <w:spacing w:line="166" w:lineRule="exact"/>
        <w:rPr>
          <w:sz w:val="20"/>
          <w:szCs w:val="20"/>
        </w:rPr>
      </w:pPr>
    </w:p>
    <w:p w:rsidR="00AC12B4" w:rsidRPr="00C27636" w:rsidRDefault="00C27636">
      <w:pPr>
        <w:spacing w:line="234" w:lineRule="auto"/>
        <w:ind w:right="737"/>
        <w:jc w:val="both"/>
        <w:rPr>
          <w:sz w:val="20"/>
          <w:szCs w:val="20"/>
          <w:lang w:val="fr-BE"/>
        </w:rPr>
      </w:pPr>
      <w:r w:rsidRPr="00C27636">
        <w:rPr>
          <w:rFonts w:ascii="Calibri" w:eastAsia="Calibri" w:hAnsi="Calibri" w:cs="Calibri"/>
          <w:sz w:val="20"/>
          <w:szCs w:val="20"/>
          <w:lang w:val="fr-BE"/>
        </w:rPr>
        <w:t xml:space="preserve">Voir aussi Franssens, M., Put, J. et Deklerck, J., </w:t>
      </w:r>
      <w:r w:rsidRPr="00C27636">
        <w:rPr>
          <w:rFonts w:ascii="Calibri" w:eastAsia="Calibri" w:hAnsi="Calibri" w:cs="Calibri"/>
          <w:i/>
          <w:iCs/>
          <w:sz w:val="20"/>
          <w:szCs w:val="20"/>
          <w:lang w:val="fr-BE"/>
        </w:rPr>
        <w:t>Het beleid van de jeugdmagistraat</w:t>
      </w:r>
      <w:r w:rsidRPr="00C27636">
        <w:rPr>
          <w:rFonts w:ascii="Calibri" w:eastAsia="Calibri" w:hAnsi="Calibri" w:cs="Calibri"/>
          <w:sz w:val="20"/>
          <w:szCs w:val="20"/>
          <w:lang w:val="fr-BE"/>
        </w:rPr>
        <w:t>, Leuven,</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 xml:space="preserve">Universitaire Pers, </w:t>
      </w:r>
      <w:r w:rsidRPr="00C27636">
        <w:rPr>
          <w:rFonts w:ascii="Calibri" w:eastAsia="Calibri" w:hAnsi="Calibri" w:cs="Calibri"/>
          <w:sz w:val="20"/>
          <w:szCs w:val="20"/>
          <w:lang w:val="fr-BE"/>
        </w:rPr>
        <w:t>2009, 316. Ces derniers soulignent l'importance de contacts et de rendez-vous structurels qui, à la fois doivent être encadrés par les pouvoirs publics (formation des magistrats, appui de structures de concertation) et dépendent des collaborations interper</w:t>
      </w:r>
      <w:r w:rsidRPr="00C27636">
        <w:rPr>
          <w:rFonts w:ascii="Calibri" w:eastAsia="Calibri" w:hAnsi="Calibri" w:cs="Calibri"/>
          <w:sz w:val="20"/>
          <w:szCs w:val="20"/>
          <w:lang w:val="fr-BE"/>
        </w:rPr>
        <w:t>sonnelles.</w:t>
      </w:r>
    </w:p>
    <w:p w:rsidR="00AC12B4" w:rsidRPr="00C27636" w:rsidRDefault="00AC12B4">
      <w:pPr>
        <w:rPr>
          <w:lang w:val="fr-BE"/>
        </w:rPr>
        <w:sectPr w:rsidR="00AC12B4" w:rsidRPr="00C27636">
          <w:pgSz w:w="12080" w:h="17179"/>
          <w:pgMar w:top="1440" w:right="1440" w:bottom="659" w:left="427" w:header="0" w:footer="0" w:gutter="0"/>
          <w:cols w:num="3" w:space="720" w:equalWidth="0">
            <w:col w:w="330" w:space="683"/>
            <w:col w:w="4400" w:space="180"/>
            <w:col w:w="4617"/>
          </w:cols>
        </w:sectPr>
      </w:pPr>
    </w:p>
    <w:p w:rsidR="00AC12B4" w:rsidRPr="00C27636" w:rsidRDefault="00AC12B4">
      <w:pPr>
        <w:spacing w:line="212" w:lineRule="exact"/>
        <w:rPr>
          <w:sz w:val="20"/>
          <w:szCs w:val="20"/>
          <w:lang w:val="fr-BE"/>
        </w:rPr>
      </w:pPr>
      <w:bookmarkStart w:id="172" w:name="page173"/>
      <w:bookmarkEnd w:id="172"/>
    </w:p>
    <w:p w:rsidR="00AC12B4" w:rsidRDefault="00C27636">
      <w:pPr>
        <w:spacing w:line="237" w:lineRule="auto"/>
        <w:ind w:left="560" w:right="520"/>
        <w:jc w:val="both"/>
        <w:rPr>
          <w:sz w:val="20"/>
          <w:szCs w:val="20"/>
        </w:rPr>
      </w:pPr>
      <w:r w:rsidRPr="00C27636">
        <w:rPr>
          <w:rFonts w:ascii="Calibri" w:eastAsia="Calibri" w:hAnsi="Calibri" w:cs="Calibri"/>
          <w:lang w:val="fr-BE"/>
        </w:rPr>
        <w:t>également dans le chef des délégués des services sociaux. Si les premiers ne pensent pas toujours à proposer une offre restauratrice, les seconds ne pensent pas non plus à la suggérer. Problème culturel également s</w:t>
      </w:r>
      <w:r w:rsidRPr="00C27636">
        <w:rPr>
          <w:rFonts w:ascii="Calibri" w:eastAsia="Calibri" w:hAnsi="Calibri" w:cs="Calibri"/>
          <w:lang w:val="fr-BE"/>
        </w:rPr>
        <w:t>oulevé pour expliquer le refus de certaines victimes de participer à la résolution de la situation problème qui les concerne. Les juges expliquent également que dans un contexte d’urgence et face à des faits « graves », ils ne se trouvent pas dans un conte</w:t>
      </w:r>
      <w:r w:rsidRPr="00C27636">
        <w:rPr>
          <w:rFonts w:ascii="Calibri" w:eastAsia="Calibri" w:hAnsi="Calibri" w:cs="Calibri"/>
          <w:lang w:val="fr-BE"/>
        </w:rPr>
        <w:t>xte propice à une offre restauratrice et qu’il est davantage de leur devoir de « marquer le coup » par une mesure plus « éducative ». L’offre s’inscrirait donc plutôt dans la continuité de ladite mesure. Les juges regretteraient également le manque d’infor</w:t>
      </w:r>
      <w:r w:rsidRPr="00C27636">
        <w:rPr>
          <w:rFonts w:ascii="Calibri" w:eastAsia="Calibri" w:hAnsi="Calibri" w:cs="Calibri"/>
          <w:lang w:val="fr-BE"/>
        </w:rPr>
        <w:t xml:space="preserve">mations qui leur sont transmises dans le cadre des offres restauratrices qui nécessitent parfois de longues périodes pour des résultats toujours hypothétiques.” </w:t>
      </w:r>
      <w:r>
        <w:rPr>
          <w:rFonts w:ascii="Calibri" w:eastAsia="Calibri" w:hAnsi="Calibri" w:cs="Calibri"/>
          <w:sz w:val="27"/>
          <w:szCs w:val="27"/>
          <w:vertAlign w:val="superscript"/>
        </w:rPr>
        <w:t>2</w:t>
      </w:r>
    </w:p>
    <w:p w:rsidR="00AC12B4" w:rsidRDefault="00AC12B4">
      <w:pPr>
        <w:spacing w:line="135" w:lineRule="exact"/>
        <w:rPr>
          <w:sz w:val="20"/>
          <w:szCs w:val="20"/>
        </w:rPr>
      </w:pPr>
    </w:p>
    <w:p w:rsidR="00AC12B4" w:rsidRPr="00C27636" w:rsidRDefault="00C27636">
      <w:pPr>
        <w:numPr>
          <w:ilvl w:val="0"/>
          <w:numId w:val="326"/>
        </w:numPr>
        <w:tabs>
          <w:tab w:val="left" w:pos="723"/>
        </w:tabs>
        <w:spacing w:line="236" w:lineRule="auto"/>
        <w:ind w:left="560" w:right="520" w:firstLine="7"/>
        <w:jc w:val="both"/>
        <w:rPr>
          <w:rFonts w:ascii="Calibri" w:eastAsia="Calibri" w:hAnsi="Calibri" w:cs="Calibri"/>
          <w:lang w:val="fr-BE"/>
        </w:rPr>
      </w:pPr>
      <w:r w:rsidRPr="00C27636">
        <w:rPr>
          <w:rFonts w:ascii="Calibri" w:eastAsia="Calibri" w:hAnsi="Calibri" w:cs="Calibri"/>
          <w:lang w:val="fr-BE"/>
        </w:rPr>
        <w:t>Concernant le projet écrit, c’est avant tout le manque de connaissance dans le chef des mine</w:t>
      </w:r>
      <w:r w:rsidRPr="00C27636">
        <w:rPr>
          <w:rFonts w:ascii="Calibri" w:eastAsia="Calibri" w:hAnsi="Calibri" w:cs="Calibri"/>
          <w:lang w:val="fr-BE"/>
        </w:rPr>
        <w:t>urs et des avocats qui est souligné. S’ajoute à cela l’absence de services chargés d’encadrer la préparation et la réalisation de projets écrits créatifs avec le mineur. Ceci ne signifie pas pour autant que des projets ne sont pas mis en place avec les min</w:t>
      </w:r>
      <w:r w:rsidRPr="00C27636">
        <w:rPr>
          <w:rFonts w:ascii="Calibri" w:eastAsia="Calibri" w:hAnsi="Calibri" w:cs="Calibri"/>
          <w:lang w:val="fr-BE"/>
        </w:rPr>
        <w:t>eurs mais sous d’autres formes que le projet écrit tel que prévu par la loi. Enfin, sa position, lors du jugement au fond, ne serait pas propice à son</w:t>
      </w:r>
    </w:p>
    <w:p w:rsidR="00AC12B4" w:rsidRPr="00C27636" w:rsidRDefault="00AC12B4">
      <w:pPr>
        <w:spacing w:line="3" w:lineRule="exact"/>
        <w:rPr>
          <w:sz w:val="20"/>
          <w:szCs w:val="20"/>
          <w:lang w:val="fr-BE"/>
        </w:rPr>
      </w:pPr>
    </w:p>
    <w:p w:rsidR="00AC12B4" w:rsidRPr="00C27636" w:rsidRDefault="00C27636">
      <w:pPr>
        <w:tabs>
          <w:tab w:val="left" w:pos="2820"/>
          <w:tab w:val="left" w:pos="3800"/>
        </w:tabs>
        <w:ind w:left="560"/>
        <w:rPr>
          <w:sz w:val="20"/>
          <w:szCs w:val="20"/>
          <w:lang w:val="fr-BE"/>
        </w:rPr>
      </w:pPr>
      <w:r w:rsidRPr="00C27636">
        <w:rPr>
          <w:rFonts w:ascii="Calibri" w:eastAsia="Calibri" w:hAnsi="Calibri" w:cs="Calibri"/>
          <w:lang w:val="fr-BE"/>
        </w:rPr>
        <w:t>développement :</w:t>
      </w:r>
      <w:r w:rsidRPr="00C27636">
        <w:rPr>
          <w:sz w:val="20"/>
          <w:szCs w:val="20"/>
          <w:lang w:val="fr-BE"/>
        </w:rPr>
        <w:tab/>
      </w:r>
      <w:r w:rsidRPr="00C27636">
        <w:rPr>
          <w:rFonts w:ascii="Calibri" w:eastAsia="Calibri" w:hAnsi="Calibri" w:cs="Calibri"/>
          <w:lang w:val="fr-BE"/>
        </w:rPr>
        <w:t>les</w:t>
      </w:r>
      <w:r w:rsidRPr="00C27636">
        <w:rPr>
          <w:sz w:val="20"/>
          <w:szCs w:val="20"/>
          <w:lang w:val="fr-BE"/>
        </w:rPr>
        <w:tab/>
      </w:r>
      <w:r w:rsidRPr="00C27636">
        <w:rPr>
          <w:rFonts w:ascii="Calibri" w:eastAsia="Calibri" w:hAnsi="Calibri" w:cs="Calibri"/>
          <w:lang w:val="fr-BE"/>
        </w:rPr>
        <w:t>phases</w:t>
      </w:r>
    </w:p>
    <w:p w:rsidR="00AC12B4" w:rsidRPr="00C27636" w:rsidRDefault="00AC12B4">
      <w:pPr>
        <w:spacing w:line="49" w:lineRule="exact"/>
        <w:rPr>
          <w:sz w:val="20"/>
          <w:szCs w:val="20"/>
          <w:lang w:val="fr-BE"/>
        </w:rPr>
      </w:pPr>
    </w:p>
    <w:p w:rsidR="00AC12B4" w:rsidRPr="00C27636" w:rsidRDefault="00C27636">
      <w:pPr>
        <w:spacing w:line="227" w:lineRule="auto"/>
        <w:ind w:left="560" w:right="520"/>
        <w:jc w:val="both"/>
        <w:rPr>
          <w:sz w:val="20"/>
          <w:szCs w:val="20"/>
          <w:lang w:val="fr-BE"/>
        </w:rPr>
      </w:pPr>
      <w:r w:rsidRPr="00C27636">
        <w:rPr>
          <w:rFonts w:ascii="Calibri" w:eastAsia="Calibri" w:hAnsi="Calibri" w:cs="Calibri"/>
          <w:lang w:val="fr-BE"/>
        </w:rPr>
        <w:t>d’investigation, parfois très longues, ont déjà permis de mettre en place de</w:t>
      </w:r>
      <w:r w:rsidRPr="00C27636">
        <w:rPr>
          <w:rFonts w:ascii="Calibri" w:eastAsia="Calibri" w:hAnsi="Calibri" w:cs="Calibri"/>
          <w:lang w:val="fr-BE"/>
        </w:rPr>
        <w:t xml:space="preserve"> nombreux dispositifs, tant et si bien que lors du jugement, le projet écrit n’a plus lieu d’être. »</w:t>
      </w:r>
      <w:r w:rsidRPr="00C27636">
        <w:rPr>
          <w:rFonts w:ascii="Calibri" w:eastAsia="Calibri" w:hAnsi="Calibri" w:cs="Calibri"/>
          <w:sz w:val="27"/>
          <w:szCs w:val="27"/>
          <w:vertAlign w:val="superscript"/>
          <w:lang w:val="fr-BE"/>
        </w:rPr>
        <w:t>3</w:t>
      </w:r>
    </w:p>
    <w:p w:rsidR="00AC12B4" w:rsidRPr="00C27636" w:rsidRDefault="00AC12B4">
      <w:pPr>
        <w:spacing w:line="137" w:lineRule="exact"/>
        <w:rPr>
          <w:sz w:val="20"/>
          <w:szCs w:val="20"/>
          <w:lang w:val="fr-BE"/>
        </w:rPr>
      </w:pPr>
    </w:p>
    <w:p w:rsidR="00AC12B4" w:rsidRDefault="00C27636">
      <w:pPr>
        <w:spacing w:line="232" w:lineRule="auto"/>
        <w:ind w:left="560" w:right="520"/>
        <w:jc w:val="both"/>
        <w:rPr>
          <w:sz w:val="20"/>
          <w:szCs w:val="20"/>
        </w:rPr>
      </w:pPr>
      <w:r w:rsidRPr="00C27636">
        <w:rPr>
          <w:rFonts w:ascii="Calibri" w:eastAsia="Calibri" w:hAnsi="Calibri" w:cs="Calibri"/>
          <w:lang w:val="fr-BE"/>
        </w:rPr>
        <w:t xml:space="preserve">(Seuls) 55 % des mesures enregistrées sont ambulatoires. “Elles sont, par contre, nettement moins représentées parmi les mesures de premier choix </w:t>
      </w:r>
      <w:r w:rsidRPr="00C27636">
        <w:rPr>
          <w:rFonts w:ascii="Calibri" w:eastAsia="Calibri" w:hAnsi="Calibri" w:cs="Calibri"/>
          <w:lang w:val="fr-BE"/>
        </w:rPr>
        <w:t xml:space="preserve">indisponibles que le juge n’a pas été en mesure de prononcer (15%). </w:t>
      </w:r>
      <w:r>
        <w:rPr>
          <w:rFonts w:ascii="Calibri" w:eastAsia="Calibri" w:hAnsi="Calibri" w:cs="Calibri"/>
        </w:rPr>
        <w:t>(…) Du côté francophone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848192" behindDoc="1" locked="0" layoutInCell="0" allowOverlap="1">
                <wp:simplePos x="0" y="0"/>
                <wp:positionH relativeFrom="column">
                  <wp:posOffset>359410</wp:posOffset>
                </wp:positionH>
                <wp:positionV relativeFrom="paragraph">
                  <wp:posOffset>266065</wp:posOffset>
                </wp:positionV>
                <wp:extent cx="1829435" cy="0"/>
                <wp:effectExtent l="0" t="0" r="0" b="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20.95pt" to="172.35pt,20.95pt" o:allowincell="f" strokecolor="#000000" strokeweight="0.7199pt"/>
            </w:pict>
          </mc:Fallback>
        </mc:AlternateContent>
      </w:r>
    </w:p>
    <w:p w:rsidR="00AC12B4" w:rsidRDefault="00AC12B4">
      <w:pPr>
        <w:spacing w:line="200" w:lineRule="exact"/>
        <w:rPr>
          <w:sz w:val="20"/>
          <w:szCs w:val="20"/>
        </w:rPr>
      </w:pPr>
    </w:p>
    <w:p w:rsidR="00AC12B4" w:rsidRDefault="00AC12B4">
      <w:pPr>
        <w:spacing w:line="351" w:lineRule="exact"/>
        <w:rPr>
          <w:sz w:val="20"/>
          <w:szCs w:val="20"/>
        </w:rPr>
      </w:pPr>
    </w:p>
    <w:p w:rsidR="00AC12B4" w:rsidRDefault="00C27636">
      <w:pPr>
        <w:numPr>
          <w:ilvl w:val="0"/>
          <w:numId w:val="327"/>
        </w:numPr>
        <w:tabs>
          <w:tab w:val="left" w:pos="680"/>
        </w:tabs>
        <w:ind w:left="680" w:hanging="113"/>
        <w:rPr>
          <w:rFonts w:ascii="Calibri" w:eastAsia="Calibri" w:hAnsi="Calibri" w:cs="Calibri"/>
          <w:sz w:val="26"/>
          <w:szCs w:val="26"/>
          <w:vertAlign w:val="superscript"/>
        </w:rPr>
      </w:pPr>
      <w:r>
        <w:rPr>
          <w:rFonts w:ascii="Calibri" w:eastAsia="Calibri" w:hAnsi="Calibri" w:cs="Calibri"/>
          <w:sz w:val="20"/>
          <w:szCs w:val="20"/>
        </w:rPr>
        <w:t xml:space="preserve">INCC, </w:t>
      </w:r>
      <w:r>
        <w:rPr>
          <w:rFonts w:ascii="Calibri" w:eastAsia="Calibri" w:hAnsi="Calibri" w:cs="Calibri"/>
          <w:i/>
          <w:iCs/>
          <w:sz w:val="20"/>
          <w:szCs w:val="20"/>
        </w:rPr>
        <w:t>o.c</w:t>
      </w:r>
      <w:r>
        <w:rPr>
          <w:rFonts w:ascii="Calibri" w:eastAsia="Calibri" w:hAnsi="Calibri" w:cs="Calibri"/>
          <w:sz w:val="20"/>
          <w:szCs w:val="20"/>
        </w:rPr>
        <w:t>., 6</w:t>
      </w:r>
    </w:p>
    <w:p w:rsidR="00AC12B4" w:rsidRDefault="00AC12B4">
      <w:pPr>
        <w:spacing w:line="47" w:lineRule="exact"/>
        <w:rPr>
          <w:rFonts w:ascii="Calibri" w:eastAsia="Calibri" w:hAnsi="Calibri" w:cs="Calibri"/>
          <w:sz w:val="26"/>
          <w:szCs w:val="26"/>
          <w:vertAlign w:val="superscript"/>
        </w:rPr>
      </w:pPr>
    </w:p>
    <w:p w:rsidR="00AC12B4" w:rsidRDefault="00C27636">
      <w:pPr>
        <w:numPr>
          <w:ilvl w:val="0"/>
          <w:numId w:val="327"/>
        </w:numPr>
        <w:tabs>
          <w:tab w:val="left" w:pos="680"/>
        </w:tabs>
        <w:ind w:left="680" w:hanging="113"/>
        <w:rPr>
          <w:rFonts w:ascii="Calibri" w:eastAsia="Calibri" w:hAnsi="Calibri" w:cs="Calibri"/>
          <w:sz w:val="26"/>
          <w:szCs w:val="26"/>
          <w:vertAlign w:val="superscript"/>
        </w:rPr>
      </w:pPr>
      <w:r>
        <w:rPr>
          <w:rFonts w:ascii="Calibri" w:eastAsia="Calibri" w:hAnsi="Calibri" w:cs="Calibri"/>
          <w:sz w:val="20"/>
          <w:szCs w:val="20"/>
        </w:rPr>
        <w:t xml:space="preserve">INCC, </w:t>
      </w:r>
      <w:r>
        <w:rPr>
          <w:rFonts w:ascii="Calibri" w:eastAsia="Calibri" w:hAnsi="Calibri" w:cs="Calibri"/>
          <w:i/>
          <w:iCs/>
          <w:sz w:val="20"/>
          <w:szCs w:val="20"/>
        </w:rPr>
        <w:t>o.c., 6</w:t>
      </w:r>
    </w:p>
    <w:p w:rsidR="00AC12B4" w:rsidRDefault="00AC12B4">
      <w:pPr>
        <w:spacing w:line="241" w:lineRule="exact"/>
        <w:rPr>
          <w:sz w:val="20"/>
          <w:szCs w:val="20"/>
        </w:rPr>
      </w:pPr>
    </w:p>
    <w:p w:rsidR="00AC12B4" w:rsidRDefault="00C27636">
      <w:pPr>
        <w:jc w:val="right"/>
        <w:rPr>
          <w:sz w:val="20"/>
          <w:szCs w:val="20"/>
        </w:rPr>
      </w:pPr>
      <w:r>
        <w:rPr>
          <w:rFonts w:ascii="Calibri" w:eastAsia="Calibri" w:hAnsi="Calibri" w:cs="Calibri"/>
        </w:rPr>
        <w:t>173</w:t>
      </w:r>
    </w:p>
    <w:p w:rsidR="00AC12B4" w:rsidRDefault="00C27636">
      <w:pPr>
        <w:spacing w:line="20" w:lineRule="exact"/>
        <w:rPr>
          <w:sz w:val="20"/>
          <w:szCs w:val="20"/>
        </w:rPr>
      </w:pPr>
      <w:r>
        <w:rPr>
          <w:sz w:val="20"/>
          <w:szCs w:val="20"/>
        </w:rPr>
        <w:br w:type="column"/>
      </w:r>
    </w:p>
    <w:p w:rsidR="00AC12B4" w:rsidRDefault="00AC12B4">
      <w:pPr>
        <w:spacing w:line="192" w:lineRule="exact"/>
        <w:rPr>
          <w:sz w:val="20"/>
          <w:szCs w:val="20"/>
        </w:rPr>
      </w:pPr>
    </w:p>
    <w:p w:rsidR="00AC12B4" w:rsidRDefault="00C27636">
      <w:pPr>
        <w:spacing w:line="234" w:lineRule="auto"/>
        <w:ind w:left="8" w:right="73"/>
        <w:jc w:val="both"/>
        <w:rPr>
          <w:sz w:val="20"/>
          <w:szCs w:val="20"/>
        </w:rPr>
      </w:pPr>
      <w:r w:rsidRPr="00C27636">
        <w:rPr>
          <w:rFonts w:ascii="Calibri" w:eastAsia="Calibri" w:hAnsi="Calibri" w:cs="Calibri"/>
          <w:lang w:val="fr-BE"/>
        </w:rPr>
        <w:t>uniquement, une mesure a particulièrement suscité le débat, la mesure de surveillance par le service social compétent. Elle</w:t>
      </w:r>
      <w:r w:rsidRPr="00C27636">
        <w:rPr>
          <w:rFonts w:ascii="Calibri" w:eastAsia="Calibri" w:hAnsi="Calibri" w:cs="Calibri"/>
          <w:lang w:val="fr-BE"/>
        </w:rPr>
        <w:t xml:space="preserve"> connaîtrait des applications bien différentes d’un arrondissement judiciaire à l’autre alors que l’intérêt de ce type de mesure est reconnu par tout un chacun. </w:t>
      </w:r>
      <w:r>
        <w:rPr>
          <w:rFonts w:ascii="Calibri" w:eastAsia="Calibri" w:hAnsi="Calibri" w:cs="Calibri"/>
        </w:rPr>
        <w:t>Cela serait dû</w:t>
      </w:r>
    </w:p>
    <w:p w:rsidR="00AC12B4" w:rsidRDefault="00AC12B4">
      <w:pPr>
        <w:spacing w:line="53" w:lineRule="exact"/>
        <w:rPr>
          <w:sz w:val="20"/>
          <w:szCs w:val="20"/>
        </w:rPr>
      </w:pPr>
    </w:p>
    <w:p w:rsidR="00AC12B4" w:rsidRPr="00C27636" w:rsidRDefault="00C27636">
      <w:pPr>
        <w:numPr>
          <w:ilvl w:val="0"/>
          <w:numId w:val="328"/>
        </w:numPr>
        <w:tabs>
          <w:tab w:val="left" w:pos="195"/>
        </w:tabs>
        <w:spacing w:line="218" w:lineRule="auto"/>
        <w:ind w:left="8" w:right="93" w:hanging="8"/>
        <w:jc w:val="both"/>
        <w:rPr>
          <w:rFonts w:ascii="Calibri" w:eastAsia="Calibri" w:hAnsi="Calibri" w:cs="Calibri"/>
          <w:lang w:val="fr-BE"/>
        </w:rPr>
      </w:pPr>
      <w:r w:rsidRPr="00C27636">
        <w:rPr>
          <w:rFonts w:ascii="Calibri" w:eastAsia="Calibri" w:hAnsi="Calibri" w:cs="Calibri"/>
          <w:lang w:val="fr-BE"/>
        </w:rPr>
        <w:t>un manque d’effectifs dans certains SPJ d’une part mais aussi, et surtout, à un</w:t>
      </w:r>
      <w:r w:rsidRPr="00C27636">
        <w:rPr>
          <w:rFonts w:ascii="Calibri" w:eastAsia="Calibri" w:hAnsi="Calibri" w:cs="Calibri"/>
          <w:lang w:val="fr-BE"/>
        </w:rPr>
        <w:t>e</w:t>
      </w:r>
    </w:p>
    <w:p w:rsidR="00AC12B4" w:rsidRPr="00C27636" w:rsidRDefault="00AC12B4">
      <w:pPr>
        <w:spacing w:line="49" w:lineRule="exact"/>
        <w:rPr>
          <w:rFonts w:ascii="Calibri" w:eastAsia="Calibri" w:hAnsi="Calibri" w:cs="Calibri"/>
          <w:lang w:val="fr-BE"/>
        </w:rPr>
      </w:pPr>
    </w:p>
    <w:p w:rsidR="00AC12B4" w:rsidRPr="00C27636" w:rsidRDefault="00C27636">
      <w:pPr>
        <w:spacing w:line="225" w:lineRule="auto"/>
        <w:ind w:left="8" w:right="73"/>
        <w:jc w:val="both"/>
        <w:rPr>
          <w:rFonts w:ascii="Calibri" w:eastAsia="Calibri" w:hAnsi="Calibri" w:cs="Calibri"/>
          <w:lang w:val="fr-BE"/>
        </w:rPr>
      </w:pPr>
      <w:r w:rsidRPr="00C27636">
        <w:rPr>
          <w:rFonts w:ascii="Calibri" w:eastAsia="Calibri" w:hAnsi="Calibri" w:cs="Calibri"/>
          <w:lang w:val="fr-BE"/>
        </w:rPr>
        <w:t>« philosophie interne » propre à certains SPJ visant à privilégier la prise en charge des dossiers « danger » (art. 38 Décret</w:t>
      </w:r>
    </w:p>
    <w:p w:rsidR="00AC12B4" w:rsidRPr="00C27636" w:rsidRDefault="00AC12B4">
      <w:pPr>
        <w:spacing w:line="51" w:lineRule="exact"/>
        <w:rPr>
          <w:sz w:val="20"/>
          <w:szCs w:val="20"/>
          <w:lang w:val="fr-BE"/>
        </w:rPr>
      </w:pPr>
    </w:p>
    <w:p w:rsidR="00AC12B4" w:rsidRPr="00C27636" w:rsidRDefault="00C27636">
      <w:pPr>
        <w:spacing w:line="217" w:lineRule="auto"/>
        <w:ind w:left="8" w:right="93"/>
        <w:jc w:val="both"/>
        <w:rPr>
          <w:sz w:val="20"/>
          <w:szCs w:val="20"/>
          <w:lang w:val="fr-BE"/>
        </w:rPr>
      </w:pPr>
      <w:r w:rsidRPr="00C27636">
        <w:rPr>
          <w:rFonts w:ascii="Calibri" w:eastAsia="Calibri" w:hAnsi="Calibri" w:cs="Calibri"/>
          <w:lang w:val="fr-BE"/>
        </w:rPr>
        <w:t>1991) au détriment des dossiers « infractionnels » (art. 36,4° loi de 1965).</w:t>
      </w:r>
    </w:p>
    <w:p w:rsidR="00AC12B4" w:rsidRPr="00C27636" w:rsidRDefault="00AC12B4">
      <w:pPr>
        <w:spacing w:line="170" w:lineRule="exact"/>
        <w:rPr>
          <w:sz w:val="20"/>
          <w:szCs w:val="20"/>
          <w:lang w:val="fr-BE"/>
        </w:rPr>
      </w:pPr>
    </w:p>
    <w:p w:rsidR="00AC12B4" w:rsidRPr="00C27636" w:rsidRDefault="00C27636">
      <w:pPr>
        <w:spacing w:line="229" w:lineRule="auto"/>
        <w:ind w:left="8" w:right="73"/>
        <w:jc w:val="both"/>
        <w:rPr>
          <w:sz w:val="20"/>
          <w:szCs w:val="20"/>
          <w:lang w:val="fr-BE"/>
        </w:rPr>
      </w:pPr>
      <w:r w:rsidRPr="00C27636">
        <w:rPr>
          <w:rFonts w:ascii="Calibri" w:eastAsia="Calibri" w:hAnsi="Calibri" w:cs="Calibri"/>
          <w:lang w:val="fr-BE"/>
        </w:rPr>
        <w:t xml:space="preserve">Ce constat s’appliquerait également à certains </w:t>
      </w:r>
      <w:r w:rsidRPr="00C27636">
        <w:rPr>
          <w:rFonts w:ascii="Calibri" w:eastAsia="Calibri" w:hAnsi="Calibri" w:cs="Calibri"/>
          <w:lang w:val="fr-BE"/>
        </w:rPr>
        <w:t>services privés subsidiés chargés de prendre en charge des mineurs « en danger » et des mineurs « délinquants ». De fortes disparités existeraient entre les arrondissements judiciaires à cet égard. »</w:t>
      </w:r>
      <w:r w:rsidRPr="00C27636">
        <w:rPr>
          <w:rFonts w:ascii="Calibri" w:eastAsia="Calibri" w:hAnsi="Calibri" w:cs="Calibri"/>
          <w:sz w:val="27"/>
          <w:szCs w:val="27"/>
          <w:vertAlign w:val="superscript"/>
          <w:lang w:val="fr-BE"/>
        </w:rPr>
        <w:t>4</w:t>
      </w:r>
    </w:p>
    <w:p w:rsidR="00AC12B4" w:rsidRPr="00C27636" w:rsidRDefault="00AC12B4">
      <w:pPr>
        <w:spacing w:line="137" w:lineRule="exact"/>
        <w:rPr>
          <w:sz w:val="20"/>
          <w:szCs w:val="20"/>
          <w:lang w:val="fr-BE"/>
        </w:rPr>
      </w:pPr>
    </w:p>
    <w:p w:rsidR="00AC12B4" w:rsidRPr="00C27636" w:rsidRDefault="00C27636">
      <w:pPr>
        <w:spacing w:line="236" w:lineRule="auto"/>
        <w:ind w:left="8" w:right="73"/>
        <w:jc w:val="both"/>
        <w:rPr>
          <w:sz w:val="20"/>
          <w:szCs w:val="20"/>
          <w:lang w:val="fr-BE"/>
        </w:rPr>
      </w:pPr>
      <w:r w:rsidRPr="00C27636">
        <w:rPr>
          <w:rFonts w:ascii="Calibri" w:eastAsia="Calibri" w:hAnsi="Calibri" w:cs="Calibri"/>
          <w:lang w:val="fr-BE"/>
        </w:rPr>
        <w:t>“Plusieurs hypothèses ont été développées pour éclaire</w:t>
      </w:r>
      <w:r w:rsidRPr="00C27636">
        <w:rPr>
          <w:rFonts w:ascii="Calibri" w:eastAsia="Calibri" w:hAnsi="Calibri" w:cs="Calibri"/>
          <w:lang w:val="fr-BE"/>
        </w:rPr>
        <w:t>r cet engouement apparent pour les placements dans les institutions publiques et surtout pour en relativiser l’importance réelle. Le principal d’entre eux est le constat général d’un secteur privé qui fermerait ses portes aux mineurs délinquants et privilé</w:t>
      </w:r>
      <w:r w:rsidRPr="00C27636">
        <w:rPr>
          <w:rFonts w:ascii="Calibri" w:eastAsia="Calibri" w:hAnsi="Calibri" w:cs="Calibri"/>
          <w:lang w:val="fr-BE"/>
        </w:rPr>
        <w:t>gierait les mineurs dits «en danger». Ceci s’expliquerait en partie par un manque de places disponibles au sein de ces services mais aussi et surtout par des refus de prendre en charge certains mineurs qui ne correspondraient pas, pour diverses raisons, au</w:t>
      </w:r>
      <w:r w:rsidRPr="00C27636">
        <w:rPr>
          <w:rFonts w:ascii="Calibri" w:eastAsia="Calibri" w:hAnsi="Calibri" w:cs="Calibri"/>
          <w:lang w:val="fr-BE"/>
        </w:rPr>
        <w:t xml:space="preserve"> projet pédagogique du service ou au groupe de mineurs qui occupe l’institution. Or, les services publics ne peuvent refuser aucune prise en charge sauf pour manque de place disponible.”</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w:t>
      </w:r>
    </w:p>
    <w:p w:rsidR="00AC12B4" w:rsidRPr="00C27636" w:rsidRDefault="00AC12B4">
      <w:pPr>
        <w:spacing w:line="146" w:lineRule="exact"/>
        <w:rPr>
          <w:sz w:val="20"/>
          <w:szCs w:val="20"/>
          <w:lang w:val="fr-BE"/>
        </w:rPr>
      </w:pPr>
    </w:p>
    <w:p w:rsidR="00AC12B4" w:rsidRPr="00C27636" w:rsidRDefault="00C27636">
      <w:pPr>
        <w:numPr>
          <w:ilvl w:val="0"/>
          <w:numId w:val="329"/>
        </w:numPr>
        <w:tabs>
          <w:tab w:val="left" w:pos="174"/>
        </w:tabs>
        <w:spacing w:line="219" w:lineRule="auto"/>
        <w:ind w:left="8" w:right="93" w:hanging="8"/>
        <w:rPr>
          <w:rFonts w:ascii="Calibri" w:eastAsia="Calibri" w:hAnsi="Calibri" w:cs="Calibri"/>
          <w:sz w:val="21"/>
          <w:szCs w:val="21"/>
          <w:lang w:val="fr-BE"/>
        </w:rPr>
      </w:pPr>
      <w:r w:rsidRPr="00C27636">
        <w:rPr>
          <w:rFonts w:ascii="Calibri" w:eastAsia="Calibri" w:hAnsi="Calibri" w:cs="Calibri"/>
          <w:sz w:val="21"/>
          <w:szCs w:val="21"/>
          <w:lang w:val="fr-BE"/>
        </w:rPr>
        <w:t>le juge serait insatisfait de la mesure qu’il prononce dans une dé</w:t>
      </w:r>
      <w:r w:rsidRPr="00C27636">
        <w:rPr>
          <w:rFonts w:ascii="Calibri" w:eastAsia="Calibri" w:hAnsi="Calibri" w:cs="Calibri"/>
          <w:sz w:val="21"/>
          <w:szCs w:val="21"/>
          <w:lang w:val="fr-BE"/>
        </w:rPr>
        <w:t>cision sur quatre »</w:t>
      </w:r>
      <w:r w:rsidRPr="00C27636">
        <w:rPr>
          <w:rFonts w:ascii="Calibri" w:eastAsia="Calibri" w:hAnsi="Calibri" w:cs="Calibri"/>
          <w:sz w:val="26"/>
          <w:szCs w:val="26"/>
          <w:vertAlign w:val="superscript"/>
          <w:lang w:val="fr-BE"/>
        </w:rPr>
        <w:t>6</w:t>
      </w:r>
      <w:r w:rsidRPr="00C27636">
        <w:rPr>
          <w:rFonts w:ascii="Calibri" w:eastAsia="Calibri" w:hAnsi="Calibri" w:cs="Calibri"/>
          <w:sz w:val="21"/>
          <w:szCs w:val="21"/>
          <w:lang w:val="fr-BE"/>
        </w:rPr>
        <w:t>;</w:t>
      </w:r>
    </w:p>
    <w:p w:rsidR="00AC12B4" w:rsidRPr="00C27636" w:rsidRDefault="00AC12B4">
      <w:pPr>
        <w:spacing w:line="85" w:lineRule="exact"/>
        <w:rPr>
          <w:rFonts w:ascii="Calibri" w:eastAsia="Calibri" w:hAnsi="Calibri" w:cs="Calibri"/>
          <w:sz w:val="21"/>
          <w:szCs w:val="21"/>
          <w:lang w:val="fr-BE"/>
        </w:rPr>
      </w:pPr>
    </w:p>
    <w:p w:rsidR="00AC12B4" w:rsidRDefault="00C27636">
      <w:pPr>
        <w:numPr>
          <w:ilvl w:val="0"/>
          <w:numId w:val="329"/>
        </w:numPr>
        <w:tabs>
          <w:tab w:val="left" w:pos="168"/>
        </w:tabs>
        <w:ind w:left="168" w:hanging="168"/>
        <w:rPr>
          <w:rFonts w:ascii="Calibri" w:eastAsia="Calibri" w:hAnsi="Calibri" w:cs="Calibri"/>
        </w:rPr>
      </w:pPr>
      <w:r>
        <w:rPr>
          <w:rFonts w:ascii="Calibri" w:eastAsia="Calibri" w:hAnsi="Calibri" w:cs="Calibri"/>
        </w:rPr>
        <w:t>Dans certaines situations, le placement</w:t>
      </w:r>
    </w:p>
    <w:p w:rsidR="00AC12B4" w:rsidRPr="00C27636" w:rsidRDefault="00C27636">
      <w:pPr>
        <w:spacing w:line="238" w:lineRule="auto"/>
        <w:ind w:left="8"/>
        <w:rPr>
          <w:sz w:val="20"/>
          <w:szCs w:val="20"/>
          <w:lang w:val="fr-BE"/>
        </w:rPr>
      </w:pPr>
      <w:r w:rsidRPr="00C27636">
        <w:rPr>
          <w:rFonts w:ascii="Calibri" w:eastAsia="Calibri" w:hAnsi="Calibri" w:cs="Calibri"/>
          <w:lang w:val="fr-BE"/>
        </w:rPr>
        <w:t>de 5 jours immédiat en centre fédéral</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49216" behindDoc="1" locked="0" layoutInCell="0" allowOverlap="1">
                <wp:simplePos x="0" y="0"/>
                <wp:positionH relativeFrom="column">
                  <wp:posOffset>0</wp:posOffset>
                </wp:positionH>
                <wp:positionV relativeFrom="paragraph">
                  <wp:posOffset>221615</wp:posOffset>
                </wp:positionV>
                <wp:extent cx="1828800" cy="0"/>
                <wp:effectExtent l="0" t="0" r="0" b="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45pt" to="144pt,17.4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80" w:lineRule="exact"/>
        <w:rPr>
          <w:sz w:val="20"/>
          <w:szCs w:val="20"/>
          <w:lang w:val="fr-BE"/>
        </w:rPr>
      </w:pPr>
    </w:p>
    <w:p w:rsidR="00AC12B4" w:rsidRDefault="00C27636">
      <w:pPr>
        <w:numPr>
          <w:ilvl w:val="0"/>
          <w:numId w:val="330"/>
        </w:numPr>
        <w:tabs>
          <w:tab w:val="left" w:pos="108"/>
        </w:tabs>
        <w:ind w:left="108" w:hanging="108"/>
        <w:rPr>
          <w:rFonts w:ascii="Calibri" w:eastAsia="Calibri" w:hAnsi="Calibri" w:cs="Calibri"/>
          <w:sz w:val="26"/>
          <w:szCs w:val="26"/>
          <w:vertAlign w:val="superscript"/>
        </w:rPr>
      </w:pPr>
      <w:r>
        <w:rPr>
          <w:rFonts w:ascii="Calibri" w:eastAsia="Calibri" w:hAnsi="Calibri" w:cs="Calibri"/>
          <w:sz w:val="20"/>
          <w:szCs w:val="20"/>
        </w:rPr>
        <w:t xml:space="preserve">INCC, </w:t>
      </w:r>
      <w:r>
        <w:rPr>
          <w:rFonts w:ascii="Calibri" w:eastAsia="Calibri" w:hAnsi="Calibri" w:cs="Calibri"/>
          <w:i/>
          <w:iCs/>
          <w:sz w:val="20"/>
          <w:szCs w:val="20"/>
        </w:rPr>
        <w:t>o.c.,</w:t>
      </w:r>
      <w:r>
        <w:rPr>
          <w:rFonts w:ascii="Calibri" w:eastAsia="Calibri" w:hAnsi="Calibri" w:cs="Calibri"/>
          <w:sz w:val="20"/>
          <w:szCs w:val="20"/>
        </w:rPr>
        <w:t xml:space="preserve"> 7</w:t>
      </w:r>
    </w:p>
    <w:p w:rsidR="00AC12B4" w:rsidRDefault="00AC12B4">
      <w:pPr>
        <w:spacing w:line="47" w:lineRule="exact"/>
        <w:rPr>
          <w:rFonts w:ascii="Calibri" w:eastAsia="Calibri" w:hAnsi="Calibri" w:cs="Calibri"/>
          <w:sz w:val="26"/>
          <w:szCs w:val="26"/>
          <w:vertAlign w:val="superscript"/>
        </w:rPr>
      </w:pPr>
    </w:p>
    <w:p w:rsidR="00AC12B4" w:rsidRDefault="00C27636">
      <w:pPr>
        <w:numPr>
          <w:ilvl w:val="0"/>
          <w:numId w:val="330"/>
        </w:numPr>
        <w:tabs>
          <w:tab w:val="left" w:pos="108"/>
        </w:tabs>
        <w:ind w:left="108" w:hanging="108"/>
        <w:rPr>
          <w:rFonts w:ascii="Calibri" w:eastAsia="Calibri" w:hAnsi="Calibri" w:cs="Calibri"/>
          <w:sz w:val="26"/>
          <w:szCs w:val="26"/>
          <w:vertAlign w:val="superscript"/>
        </w:rPr>
      </w:pPr>
      <w:r>
        <w:rPr>
          <w:rFonts w:ascii="Calibri" w:eastAsia="Calibri" w:hAnsi="Calibri" w:cs="Calibri"/>
          <w:sz w:val="20"/>
          <w:szCs w:val="20"/>
        </w:rPr>
        <w:t>INCC, o</w:t>
      </w:r>
      <w:r>
        <w:rPr>
          <w:rFonts w:ascii="Calibri" w:eastAsia="Calibri" w:hAnsi="Calibri" w:cs="Calibri"/>
          <w:i/>
          <w:iCs/>
          <w:sz w:val="20"/>
          <w:szCs w:val="20"/>
        </w:rPr>
        <w:t>.c.</w:t>
      </w:r>
      <w:r>
        <w:rPr>
          <w:rFonts w:ascii="Calibri" w:eastAsia="Calibri" w:hAnsi="Calibri" w:cs="Calibri"/>
          <w:sz w:val="20"/>
          <w:szCs w:val="20"/>
        </w:rPr>
        <w:t>, 9.</w:t>
      </w:r>
    </w:p>
    <w:p w:rsidR="00AC12B4" w:rsidRDefault="00AC12B4">
      <w:pPr>
        <w:spacing w:line="47" w:lineRule="exact"/>
        <w:rPr>
          <w:rFonts w:ascii="Calibri" w:eastAsia="Calibri" w:hAnsi="Calibri" w:cs="Calibri"/>
          <w:sz w:val="26"/>
          <w:szCs w:val="26"/>
          <w:vertAlign w:val="superscript"/>
        </w:rPr>
      </w:pPr>
    </w:p>
    <w:p w:rsidR="00AC12B4" w:rsidRDefault="00C27636">
      <w:pPr>
        <w:numPr>
          <w:ilvl w:val="0"/>
          <w:numId w:val="330"/>
        </w:numPr>
        <w:tabs>
          <w:tab w:val="left" w:pos="108"/>
        </w:tabs>
        <w:ind w:left="108" w:hanging="108"/>
        <w:rPr>
          <w:rFonts w:ascii="Calibri" w:eastAsia="Calibri" w:hAnsi="Calibri" w:cs="Calibri"/>
          <w:sz w:val="26"/>
          <w:szCs w:val="26"/>
          <w:vertAlign w:val="superscript"/>
        </w:rPr>
      </w:pPr>
      <w:r>
        <w:rPr>
          <w:rFonts w:ascii="Calibri" w:eastAsia="Calibri" w:hAnsi="Calibri" w:cs="Calibri"/>
          <w:sz w:val="20"/>
          <w:szCs w:val="20"/>
        </w:rPr>
        <w:t xml:space="preserve">INCC, </w:t>
      </w:r>
      <w:r>
        <w:rPr>
          <w:rFonts w:ascii="Calibri" w:eastAsia="Calibri" w:hAnsi="Calibri" w:cs="Calibri"/>
          <w:i/>
          <w:iCs/>
          <w:sz w:val="20"/>
          <w:szCs w:val="20"/>
        </w:rPr>
        <w:t>o.c</w:t>
      </w:r>
      <w:r>
        <w:rPr>
          <w:rFonts w:ascii="Calibri" w:eastAsia="Calibri" w:hAnsi="Calibri" w:cs="Calibri"/>
          <w:sz w:val="20"/>
          <w:szCs w:val="20"/>
        </w:rPr>
        <w:t>.</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50240" behindDoc="1" locked="0" layoutInCell="0" allowOverlap="1">
                <wp:simplePos x="0" y="0"/>
                <wp:positionH relativeFrom="column">
                  <wp:posOffset>-196215</wp:posOffset>
                </wp:positionH>
                <wp:positionV relativeFrom="paragraph">
                  <wp:posOffset>-9968865</wp:posOffset>
                </wp:positionV>
                <wp:extent cx="701040" cy="10908665"/>
                <wp:effectExtent l="0" t="0" r="0" b="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22" o:spid="_x0000_s1547" style="position:absolute;margin-left:-15.4499pt;margin-top:-784.9499pt;width:55.2pt;height:85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p>
    <w:p w:rsidR="00AC12B4" w:rsidRPr="00C27636" w:rsidRDefault="00AC12B4">
      <w:pPr>
        <w:rPr>
          <w:lang w:val="fr-BE"/>
        </w:rPr>
        <w:sectPr w:rsidR="00AC12B4" w:rsidRPr="00C27636">
          <w:pgSz w:w="12080" w:h="17179"/>
          <w:pgMar w:top="1440" w:right="474" w:bottom="659" w:left="1440" w:header="0" w:footer="0" w:gutter="0"/>
          <w:cols w:num="3" w:space="720" w:equalWidth="0">
            <w:col w:w="4960" w:space="192"/>
            <w:col w:w="3961" w:space="720"/>
            <w:col w:w="330"/>
          </w:cols>
        </w:sectPr>
      </w:pPr>
    </w:p>
    <w:bookmarkStart w:id="173" w:name="page174"/>
    <w:bookmarkEnd w:id="173"/>
    <w:p w:rsidR="00AC12B4" w:rsidRPr="00C27636" w:rsidRDefault="00C27636">
      <w:pPr>
        <w:spacing w:line="200" w:lineRule="exact"/>
        <w:rPr>
          <w:sz w:val="20"/>
          <w:szCs w:val="20"/>
          <w:lang w:val="fr-BE"/>
        </w:rPr>
      </w:pPr>
      <w:r>
        <w:rPr>
          <w:noProof/>
          <w:sz w:val="20"/>
          <w:szCs w:val="20"/>
        </w:rPr>
        <w:lastRenderedPageBreak/>
        <mc:AlternateContent>
          <mc:Choice Requires="wps">
            <w:drawing>
              <wp:anchor distT="0" distB="0" distL="114300" distR="114300" simplePos="0" relativeHeight="251851264" behindDoc="1" locked="0" layoutInCell="0" allowOverlap="1">
                <wp:simplePos x="0" y="0"/>
                <wp:positionH relativeFrom="page">
                  <wp:posOffset>0</wp:posOffset>
                </wp:positionH>
                <wp:positionV relativeFrom="page">
                  <wp:posOffset>0</wp:posOffset>
                </wp:positionV>
                <wp:extent cx="699135" cy="10908665"/>
                <wp:effectExtent l="0" t="0" r="0" b="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23" o:spid="_x0000_s1548"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jc w:val="both"/>
        <w:rPr>
          <w:sz w:val="20"/>
          <w:szCs w:val="20"/>
          <w:lang w:val="fr-BE"/>
        </w:rPr>
      </w:pPr>
      <w:r w:rsidRPr="00C27636">
        <w:rPr>
          <w:rFonts w:ascii="Calibri" w:eastAsia="Calibri" w:hAnsi="Calibri" w:cs="Calibri"/>
          <w:lang w:val="fr-BE"/>
        </w:rPr>
        <w:t xml:space="preserve">fermé est recherché par certains juges pour « marquer le coup » (« </w:t>
      </w:r>
      <w:r w:rsidRPr="00C27636">
        <w:rPr>
          <w:rFonts w:ascii="Calibri" w:eastAsia="Calibri" w:hAnsi="Calibri" w:cs="Calibri"/>
          <w:i/>
          <w:iCs/>
          <w:lang w:val="fr-BE"/>
        </w:rPr>
        <w:t>short sharp</w:t>
      </w:r>
    </w:p>
    <w:p w:rsidR="00AC12B4" w:rsidRPr="00C27636" w:rsidRDefault="00AC12B4">
      <w:pPr>
        <w:spacing w:line="50" w:lineRule="exact"/>
        <w:rPr>
          <w:sz w:val="20"/>
          <w:szCs w:val="20"/>
          <w:lang w:val="fr-BE"/>
        </w:rPr>
      </w:pPr>
    </w:p>
    <w:p w:rsidR="00AC12B4" w:rsidRPr="00C27636" w:rsidRDefault="00C27636">
      <w:pPr>
        <w:spacing w:line="210" w:lineRule="auto"/>
        <w:jc w:val="both"/>
        <w:rPr>
          <w:sz w:val="20"/>
          <w:szCs w:val="20"/>
          <w:lang w:val="fr-BE"/>
        </w:rPr>
      </w:pPr>
      <w:r w:rsidRPr="00C27636">
        <w:rPr>
          <w:rFonts w:ascii="Calibri" w:eastAsia="Calibri" w:hAnsi="Calibri" w:cs="Calibri"/>
          <w:i/>
          <w:iCs/>
          <w:lang w:val="fr-BE"/>
        </w:rPr>
        <w:t xml:space="preserve">shock </w:t>
      </w:r>
      <w:r w:rsidRPr="00C27636">
        <w:rPr>
          <w:rFonts w:ascii="Calibri" w:eastAsia="Calibri" w:hAnsi="Calibri" w:cs="Calibri"/>
          <w:lang w:val="fr-BE"/>
        </w:rPr>
        <w:t>») face à des situations jugées</w:t>
      </w:r>
      <w:r w:rsidRPr="00C27636">
        <w:rPr>
          <w:rFonts w:ascii="Calibri" w:eastAsia="Calibri" w:hAnsi="Calibri" w:cs="Calibri"/>
          <w:i/>
          <w:iCs/>
          <w:lang w:val="fr-BE"/>
        </w:rPr>
        <w:t xml:space="preserve"> </w:t>
      </w:r>
      <w:r w:rsidRPr="00C27636">
        <w:rPr>
          <w:rFonts w:ascii="Calibri" w:eastAsia="Calibri" w:hAnsi="Calibri" w:cs="Calibri"/>
          <w:lang w:val="fr-BE"/>
        </w:rPr>
        <w:t>graves »</w:t>
      </w:r>
      <w:r w:rsidRPr="00C27636">
        <w:rPr>
          <w:rFonts w:ascii="Calibri" w:eastAsia="Calibri" w:hAnsi="Calibri" w:cs="Calibri"/>
          <w:sz w:val="27"/>
          <w:szCs w:val="27"/>
          <w:vertAlign w:val="superscript"/>
          <w:lang w:val="fr-BE"/>
        </w:rPr>
        <w:t>7</w:t>
      </w:r>
      <w:r w:rsidRPr="00C27636">
        <w:rPr>
          <w:rFonts w:ascii="Calibri" w:eastAsia="Calibri" w:hAnsi="Calibri" w:cs="Calibri"/>
          <w:lang w:val="fr-BE"/>
        </w:rPr>
        <w:t xml:space="preserve"> ;</w:t>
      </w:r>
    </w:p>
    <w:p w:rsidR="00AC12B4" w:rsidRPr="00C27636" w:rsidRDefault="00AC12B4">
      <w:pPr>
        <w:spacing w:line="132" w:lineRule="exact"/>
        <w:rPr>
          <w:sz w:val="20"/>
          <w:szCs w:val="20"/>
          <w:lang w:val="fr-BE"/>
        </w:rPr>
      </w:pPr>
    </w:p>
    <w:p w:rsidR="00AC12B4" w:rsidRPr="00C27636" w:rsidRDefault="00C27636">
      <w:pPr>
        <w:spacing w:line="229" w:lineRule="auto"/>
        <w:jc w:val="both"/>
        <w:rPr>
          <w:sz w:val="20"/>
          <w:szCs w:val="20"/>
          <w:lang w:val="fr-BE"/>
        </w:rPr>
      </w:pPr>
      <w:r w:rsidRPr="00C27636">
        <w:rPr>
          <w:rFonts w:ascii="Calibri" w:eastAsia="Calibri" w:hAnsi="Calibri" w:cs="Calibri"/>
          <w:lang w:val="fr-BE"/>
        </w:rPr>
        <w:t>“Notons enfin que l’articulation et la coordination entre les dossiers « danger » et les dossiers « infractionnel » sont différentes d’un arrondissement judiciaire</w:t>
      </w:r>
    </w:p>
    <w:p w:rsidR="00AC12B4" w:rsidRPr="00C27636" w:rsidRDefault="00AC12B4">
      <w:pPr>
        <w:spacing w:line="50" w:lineRule="exact"/>
        <w:rPr>
          <w:sz w:val="20"/>
          <w:szCs w:val="20"/>
          <w:lang w:val="fr-BE"/>
        </w:rPr>
      </w:pPr>
    </w:p>
    <w:p w:rsidR="00AC12B4" w:rsidRPr="00C27636" w:rsidRDefault="00C27636">
      <w:pPr>
        <w:numPr>
          <w:ilvl w:val="0"/>
          <w:numId w:val="331"/>
        </w:numPr>
        <w:tabs>
          <w:tab w:val="left" w:pos="266"/>
        </w:tabs>
        <w:spacing w:line="229" w:lineRule="auto"/>
        <w:jc w:val="both"/>
        <w:rPr>
          <w:rFonts w:ascii="Calibri" w:eastAsia="Calibri" w:hAnsi="Calibri" w:cs="Calibri"/>
          <w:lang w:val="fr-BE"/>
        </w:rPr>
      </w:pPr>
      <w:r w:rsidRPr="00C27636">
        <w:rPr>
          <w:rFonts w:ascii="Calibri" w:eastAsia="Calibri" w:hAnsi="Calibri" w:cs="Calibri"/>
          <w:lang w:val="fr-BE"/>
        </w:rPr>
        <w:t>l’autre : dans certains, les dossiers peuvent coexister, impliquant divers intervenants</w:t>
      </w:r>
      <w:r w:rsidRPr="00C27636">
        <w:rPr>
          <w:rFonts w:ascii="Calibri" w:eastAsia="Calibri" w:hAnsi="Calibri" w:cs="Calibri"/>
          <w:lang w:val="fr-BE"/>
        </w:rPr>
        <w:t xml:space="preserve"> et interventions tandis que dans d’autres, l’ouverture d’un dossier</w:t>
      </w:r>
    </w:p>
    <w:p w:rsidR="00AC12B4" w:rsidRPr="00C27636" w:rsidRDefault="00AC12B4">
      <w:pPr>
        <w:spacing w:line="50" w:lineRule="exact"/>
        <w:rPr>
          <w:rFonts w:ascii="Calibri" w:eastAsia="Calibri" w:hAnsi="Calibri" w:cs="Calibri"/>
          <w:lang w:val="fr-BE"/>
        </w:rPr>
      </w:pPr>
    </w:p>
    <w:p w:rsidR="00AC12B4" w:rsidRPr="00C27636" w:rsidRDefault="00C27636">
      <w:pPr>
        <w:spacing w:line="210" w:lineRule="auto"/>
        <w:rPr>
          <w:rFonts w:ascii="Calibri" w:eastAsia="Calibri" w:hAnsi="Calibri" w:cs="Calibri"/>
          <w:lang w:val="fr-BE"/>
        </w:rPr>
      </w:pPr>
      <w:r w:rsidRPr="00C27636">
        <w:rPr>
          <w:rFonts w:ascii="Calibri" w:eastAsia="Calibri" w:hAnsi="Calibri" w:cs="Calibri"/>
          <w:lang w:val="fr-BE"/>
        </w:rPr>
        <w:t>suite à des faits infractionnels entraine la fermeture du dossier protectionnel”</w:t>
      </w:r>
      <w:r w:rsidRPr="00C27636">
        <w:rPr>
          <w:rFonts w:ascii="Calibri" w:eastAsia="Calibri" w:hAnsi="Calibri" w:cs="Calibri"/>
          <w:sz w:val="27"/>
          <w:szCs w:val="27"/>
          <w:vertAlign w:val="superscript"/>
          <w:lang w:val="fr-BE"/>
        </w:rPr>
        <w:t>8</w:t>
      </w:r>
      <w:r w:rsidRPr="00C27636">
        <w:rPr>
          <w:rFonts w:ascii="Calibri" w:eastAsia="Calibri" w:hAnsi="Calibri" w:cs="Calibri"/>
          <w:lang w:val="fr-BE"/>
        </w:rPr>
        <w:t>.</w:t>
      </w:r>
    </w:p>
    <w:p w:rsidR="00AC12B4" w:rsidRPr="00C27636" w:rsidRDefault="00AC12B4">
      <w:pPr>
        <w:spacing w:line="147" w:lineRule="exact"/>
        <w:rPr>
          <w:sz w:val="20"/>
          <w:szCs w:val="20"/>
          <w:lang w:val="fr-BE"/>
        </w:rPr>
      </w:pPr>
    </w:p>
    <w:p w:rsidR="00AC12B4" w:rsidRPr="00C27636" w:rsidRDefault="00C27636">
      <w:pPr>
        <w:spacing w:line="219" w:lineRule="auto"/>
        <w:jc w:val="both"/>
        <w:rPr>
          <w:sz w:val="20"/>
          <w:szCs w:val="20"/>
          <w:lang w:val="fr-BE"/>
        </w:rPr>
      </w:pPr>
      <w:r w:rsidRPr="00C27636">
        <w:rPr>
          <w:rFonts w:ascii="Calibri" w:eastAsia="Calibri" w:hAnsi="Calibri" w:cs="Calibri"/>
          <w:b/>
          <w:bCs/>
          <w:sz w:val="28"/>
          <w:szCs w:val="28"/>
          <w:lang w:val="fr-BE"/>
        </w:rPr>
        <w:t>Hiérarchie des mesures pour les mineurs en danger</w:t>
      </w:r>
    </w:p>
    <w:p w:rsidR="00AC12B4" w:rsidRPr="00C27636" w:rsidRDefault="00AC12B4">
      <w:pPr>
        <w:spacing w:line="165" w:lineRule="exact"/>
        <w:rPr>
          <w:sz w:val="20"/>
          <w:szCs w:val="20"/>
          <w:lang w:val="fr-BE"/>
        </w:rPr>
      </w:pPr>
    </w:p>
    <w:p w:rsidR="00AC12B4" w:rsidRPr="00C27636" w:rsidRDefault="00C27636">
      <w:pPr>
        <w:spacing w:line="224" w:lineRule="auto"/>
        <w:jc w:val="both"/>
        <w:rPr>
          <w:sz w:val="20"/>
          <w:szCs w:val="20"/>
          <w:lang w:val="fr-BE"/>
        </w:rPr>
      </w:pPr>
      <w:r w:rsidRPr="00C27636">
        <w:rPr>
          <w:rFonts w:ascii="Calibri" w:eastAsia="Calibri" w:hAnsi="Calibri" w:cs="Calibri"/>
          <w:lang w:val="fr-BE"/>
        </w:rPr>
        <w:t xml:space="preserve">Plus d’un jeune sur deux pris en charge par l’aide </w:t>
      </w:r>
      <w:r w:rsidRPr="00C27636">
        <w:rPr>
          <w:rFonts w:ascii="Calibri" w:eastAsia="Calibri" w:hAnsi="Calibri" w:cs="Calibri"/>
          <w:lang w:val="fr-BE"/>
        </w:rPr>
        <w:t>à la jeunesse en FWB</w:t>
      </w:r>
      <w:r w:rsidRPr="00C27636">
        <w:rPr>
          <w:rFonts w:ascii="Calibri" w:eastAsia="Calibri" w:hAnsi="Calibri" w:cs="Calibri"/>
          <w:sz w:val="27"/>
          <w:szCs w:val="27"/>
          <w:vertAlign w:val="superscript"/>
          <w:lang w:val="fr-BE"/>
        </w:rPr>
        <w:t>9</w:t>
      </w:r>
      <w:r w:rsidRPr="00C27636">
        <w:rPr>
          <w:rFonts w:ascii="Calibri" w:eastAsia="Calibri" w:hAnsi="Calibri" w:cs="Calibri"/>
          <w:lang w:val="fr-BE"/>
        </w:rPr>
        <w:t xml:space="preserve"> est aidé dans son milieu de vie. Les jeunes placés le sont principalement en famille d’accueil (41% des enfants placés) ou dans un service agréé par l’aide à la jeunesse (34%).</w:t>
      </w:r>
    </w:p>
    <w:p w:rsidR="00AC12B4" w:rsidRPr="00C27636" w:rsidRDefault="00AC12B4">
      <w:pPr>
        <w:spacing w:line="123" w:lineRule="exact"/>
        <w:rPr>
          <w:sz w:val="20"/>
          <w:szCs w:val="20"/>
          <w:lang w:val="fr-BE"/>
        </w:rPr>
      </w:pPr>
    </w:p>
    <w:p w:rsidR="00AC12B4" w:rsidRPr="00C27636" w:rsidRDefault="00C27636">
      <w:pPr>
        <w:rPr>
          <w:sz w:val="20"/>
          <w:szCs w:val="20"/>
          <w:lang w:val="fr-BE"/>
        </w:rPr>
      </w:pPr>
      <w:r w:rsidRPr="00C27636">
        <w:rPr>
          <w:rFonts w:ascii="Calibri" w:eastAsia="Calibri" w:hAnsi="Calibri" w:cs="Calibri"/>
          <w:lang w:val="fr-BE"/>
        </w:rPr>
        <w:t>Ces chiffres ne concernent que la FWB.</w:t>
      </w:r>
    </w:p>
    <w:p w:rsidR="00AC12B4" w:rsidRPr="00C27636" w:rsidRDefault="00AC12B4">
      <w:pPr>
        <w:spacing w:line="169" w:lineRule="exact"/>
        <w:rPr>
          <w:sz w:val="20"/>
          <w:szCs w:val="20"/>
          <w:lang w:val="fr-BE"/>
        </w:rPr>
      </w:pPr>
    </w:p>
    <w:p w:rsidR="00AC12B4" w:rsidRPr="00C27636" w:rsidRDefault="00C27636">
      <w:pPr>
        <w:spacing w:line="224" w:lineRule="auto"/>
        <w:jc w:val="both"/>
        <w:rPr>
          <w:sz w:val="20"/>
          <w:szCs w:val="20"/>
          <w:lang w:val="fr-BE"/>
        </w:rPr>
      </w:pPr>
      <w:r w:rsidRPr="00C27636">
        <w:rPr>
          <w:rFonts w:ascii="Calibri" w:eastAsia="Calibri" w:hAnsi="Calibri" w:cs="Calibri"/>
          <w:lang w:val="fr-BE"/>
        </w:rPr>
        <w:t>Suite à une réor</w:t>
      </w:r>
      <w:r w:rsidRPr="00C27636">
        <w:rPr>
          <w:rFonts w:ascii="Calibri" w:eastAsia="Calibri" w:hAnsi="Calibri" w:cs="Calibri"/>
          <w:lang w:val="fr-BE"/>
        </w:rPr>
        <w:t>ganisation majeure de l’aide à la jeunesse et/ou du système d’enregistrement des données, la</w:t>
      </w:r>
    </w:p>
    <w:p w:rsidR="00AC12B4" w:rsidRPr="00C27636" w:rsidRDefault="00AC12B4">
      <w:pPr>
        <w:spacing w:line="52" w:lineRule="exact"/>
        <w:rPr>
          <w:sz w:val="20"/>
          <w:szCs w:val="20"/>
          <w:lang w:val="fr-BE"/>
        </w:rPr>
      </w:pPr>
    </w:p>
    <w:p w:rsidR="00AC12B4" w:rsidRPr="00C27636" w:rsidRDefault="00C27636">
      <w:pPr>
        <w:spacing w:line="225" w:lineRule="auto"/>
        <w:jc w:val="both"/>
        <w:rPr>
          <w:sz w:val="20"/>
          <w:szCs w:val="20"/>
          <w:lang w:val="fr-BE"/>
        </w:rPr>
      </w:pPr>
      <w:r w:rsidRPr="00C27636">
        <w:rPr>
          <w:rFonts w:ascii="Calibri" w:eastAsia="Calibri" w:hAnsi="Calibri" w:cs="Calibri"/>
          <w:lang w:val="fr-BE"/>
        </w:rPr>
        <w:t>Communauté flamande étudie actuellement quelles données peuvent être utilisables.</w:t>
      </w:r>
    </w:p>
    <w:p w:rsidR="00AC12B4" w:rsidRPr="00C27636" w:rsidRDefault="00AC12B4">
      <w:pPr>
        <w:spacing w:line="171" w:lineRule="exact"/>
        <w:rPr>
          <w:sz w:val="20"/>
          <w:szCs w:val="20"/>
          <w:lang w:val="fr-BE"/>
        </w:rPr>
      </w:pPr>
    </w:p>
    <w:p w:rsidR="00AC12B4" w:rsidRPr="00C27636" w:rsidRDefault="00C27636">
      <w:pPr>
        <w:spacing w:line="225" w:lineRule="auto"/>
        <w:jc w:val="both"/>
        <w:rPr>
          <w:rFonts w:ascii="Calibri" w:eastAsia="Calibri" w:hAnsi="Calibri" w:cs="Calibri"/>
          <w:color w:val="0000FF"/>
          <w:lang w:val="fr-BE"/>
        </w:rPr>
      </w:pPr>
      <w:r w:rsidRPr="00C27636">
        <w:rPr>
          <w:rFonts w:ascii="Calibri" w:eastAsia="Calibri" w:hAnsi="Calibri" w:cs="Calibri"/>
          <w:lang w:val="fr-BE"/>
        </w:rPr>
        <w:t xml:space="preserve">Les données seront publiées sur </w:t>
      </w:r>
      <w:hyperlink r:id="rId322">
        <w:r w:rsidRPr="00C27636">
          <w:rPr>
            <w:rFonts w:ascii="Calibri" w:eastAsia="Calibri" w:hAnsi="Calibri" w:cs="Calibri"/>
            <w:color w:val="0000FF"/>
            <w:u w:val="single"/>
            <w:lang w:val="fr-BE"/>
          </w:rPr>
          <w:t>www.cnde.be/fr/content/indicateurs</w:t>
        </w:r>
        <w:r w:rsidRPr="00C27636">
          <w:rPr>
            <w:rFonts w:ascii="Calibri" w:eastAsia="Calibri" w:hAnsi="Calibri" w:cs="Calibri"/>
            <w:color w:val="0000FF"/>
            <w:lang w:val="fr-BE"/>
          </w:rPr>
          <w:t xml:space="preserve"> </w:t>
        </w:r>
      </w:hyperlink>
      <w:r w:rsidRPr="00C27636">
        <w:rPr>
          <w:rFonts w:ascii="Calibri" w:eastAsia="Calibri" w:hAnsi="Calibri" w:cs="Calibri"/>
          <w:color w:val="000000"/>
          <w:lang w:val="fr-BE"/>
        </w:rPr>
        <w:t>dès</w:t>
      </w:r>
      <w:r w:rsidRPr="00C27636">
        <w:rPr>
          <w:rFonts w:ascii="Calibri" w:eastAsia="Calibri" w:hAnsi="Calibri" w:cs="Calibri"/>
          <w:color w:val="0000FF"/>
          <w:lang w:val="fr-BE"/>
        </w:rPr>
        <w:t xml:space="preserve"> </w:t>
      </w:r>
      <w:r w:rsidRPr="00C27636">
        <w:rPr>
          <w:rFonts w:ascii="Calibri" w:eastAsia="Calibri" w:hAnsi="Calibri" w:cs="Calibri"/>
          <w:color w:val="000000"/>
          <w:lang w:val="fr-BE"/>
        </w:rPr>
        <w:t>qu’elles seront disponibles.</w:t>
      </w:r>
    </w:p>
    <w:p w:rsidR="00AC12B4" w:rsidRPr="00C27636" w:rsidRDefault="00AC12B4">
      <w:pPr>
        <w:spacing w:line="208"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CF9901"/>
          <w:sz w:val="26"/>
          <w:szCs w:val="26"/>
          <w:lang w:val="fr-BE"/>
        </w:rPr>
        <w:t>Evolution</w:t>
      </w:r>
    </w:p>
    <w:p w:rsidR="00AC12B4" w:rsidRPr="00C27636" w:rsidRDefault="00AC12B4">
      <w:pPr>
        <w:spacing w:line="208" w:lineRule="exact"/>
        <w:rPr>
          <w:sz w:val="20"/>
          <w:szCs w:val="20"/>
          <w:lang w:val="fr-BE"/>
        </w:rPr>
      </w:pPr>
    </w:p>
    <w:p w:rsidR="00AC12B4" w:rsidRPr="00C27636" w:rsidRDefault="00C27636">
      <w:pPr>
        <w:spacing w:line="225" w:lineRule="auto"/>
        <w:jc w:val="both"/>
        <w:rPr>
          <w:sz w:val="20"/>
          <w:szCs w:val="20"/>
          <w:lang w:val="fr-BE"/>
        </w:rPr>
      </w:pPr>
      <w:r w:rsidRPr="00C27636">
        <w:rPr>
          <w:rFonts w:ascii="Calibri" w:eastAsia="Calibri" w:hAnsi="Calibri" w:cs="Calibri"/>
          <w:lang w:val="fr-BE"/>
        </w:rPr>
        <w:t>Les chiffres sont très stables entre 2010 et 2014 en FWB, avec au plus 1% de différence pour chaque mesure.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52288" behindDoc="1" locked="0" layoutInCell="0" allowOverlap="1">
                <wp:simplePos x="0" y="0"/>
                <wp:positionH relativeFrom="column">
                  <wp:posOffset>0</wp:posOffset>
                </wp:positionH>
                <wp:positionV relativeFrom="paragraph">
                  <wp:posOffset>466725</wp:posOffset>
                </wp:positionV>
                <wp:extent cx="1828800" cy="0"/>
                <wp:effectExtent l="0" t="0" r="0" b="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75pt" to="144pt,36.7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4" w:lineRule="exact"/>
        <w:rPr>
          <w:sz w:val="20"/>
          <w:szCs w:val="20"/>
          <w:lang w:val="fr-BE"/>
        </w:rPr>
      </w:pPr>
    </w:p>
    <w:p w:rsidR="00AC12B4" w:rsidRDefault="00C27636">
      <w:pPr>
        <w:numPr>
          <w:ilvl w:val="0"/>
          <w:numId w:val="332"/>
        </w:numPr>
        <w:tabs>
          <w:tab w:val="left" w:pos="120"/>
        </w:tabs>
        <w:ind w:left="120" w:hanging="120"/>
        <w:rPr>
          <w:rFonts w:ascii="Calibri" w:eastAsia="Calibri" w:hAnsi="Calibri" w:cs="Calibri"/>
          <w:sz w:val="26"/>
          <w:szCs w:val="26"/>
          <w:vertAlign w:val="superscript"/>
        </w:rPr>
      </w:pPr>
      <w:r>
        <w:rPr>
          <w:rFonts w:ascii="Calibri" w:eastAsia="Calibri" w:hAnsi="Calibri" w:cs="Calibri"/>
          <w:sz w:val="20"/>
          <w:szCs w:val="20"/>
        </w:rPr>
        <w:t>INC</w:t>
      </w:r>
      <w:r>
        <w:rPr>
          <w:rFonts w:ascii="Calibri" w:eastAsia="Calibri" w:hAnsi="Calibri" w:cs="Calibri"/>
          <w:sz w:val="20"/>
          <w:szCs w:val="20"/>
        </w:rPr>
        <w:t xml:space="preserve">C, </w:t>
      </w:r>
      <w:r>
        <w:rPr>
          <w:rFonts w:ascii="Calibri" w:eastAsia="Calibri" w:hAnsi="Calibri" w:cs="Calibri"/>
          <w:i/>
          <w:iCs/>
          <w:sz w:val="20"/>
          <w:szCs w:val="20"/>
        </w:rPr>
        <w:t>o.c</w:t>
      </w:r>
      <w:r>
        <w:rPr>
          <w:rFonts w:ascii="Calibri" w:eastAsia="Calibri" w:hAnsi="Calibri" w:cs="Calibri"/>
          <w:sz w:val="20"/>
          <w:szCs w:val="20"/>
        </w:rPr>
        <w:t>., 5.</w:t>
      </w:r>
    </w:p>
    <w:p w:rsidR="00AC12B4" w:rsidRDefault="00AC12B4">
      <w:pPr>
        <w:spacing w:line="47" w:lineRule="exact"/>
        <w:rPr>
          <w:rFonts w:ascii="Calibri" w:eastAsia="Calibri" w:hAnsi="Calibri" w:cs="Calibri"/>
          <w:sz w:val="26"/>
          <w:szCs w:val="26"/>
          <w:vertAlign w:val="superscript"/>
        </w:rPr>
      </w:pPr>
    </w:p>
    <w:p w:rsidR="00AC12B4" w:rsidRDefault="00C27636">
      <w:pPr>
        <w:numPr>
          <w:ilvl w:val="0"/>
          <w:numId w:val="332"/>
        </w:numPr>
        <w:tabs>
          <w:tab w:val="left" w:pos="120"/>
        </w:tabs>
        <w:ind w:left="120" w:hanging="120"/>
        <w:rPr>
          <w:rFonts w:ascii="Calibri" w:eastAsia="Calibri" w:hAnsi="Calibri" w:cs="Calibri"/>
          <w:sz w:val="26"/>
          <w:szCs w:val="26"/>
          <w:vertAlign w:val="superscript"/>
        </w:rPr>
      </w:pPr>
      <w:r>
        <w:rPr>
          <w:rFonts w:ascii="Calibri" w:eastAsia="Calibri" w:hAnsi="Calibri" w:cs="Calibri"/>
          <w:sz w:val="20"/>
          <w:szCs w:val="20"/>
        </w:rPr>
        <w:t xml:space="preserve">INCC, </w:t>
      </w:r>
      <w:r>
        <w:rPr>
          <w:rFonts w:ascii="Calibri" w:eastAsia="Calibri" w:hAnsi="Calibri" w:cs="Calibri"/>
          <w:i/>
          <w:iCs/>
          <w:sz w:val="20"/>
          <w:szCs w:val="20"/>
        </w:rPr>
        <w:t>o.c</w:t>
      </w:r>
      <w:r>
        <w:rPr>
          <w:rFonts w:ascii="Calibri" w:eastAsia="Calibri" w:hAnsi="Calibri" w:cs="Calibri"/>
          <w:sz w:val="20"/>
          <w:szCs w:val="20"/>
        </w:rPr>
        <w:t>., 3.</w:t>
      </w:r>
    </w:p>
    <w:p w:rsidR="00AC12B4" w:rsidRDefault="00AC12B4">
      <w:pPr>
        <w:spacing w:line="167" w:lineRule="exact"/>
        <w:rPr>
          <w:rFonts w:ascii="Calibri" w:eastAsia="Calibri" w:hAnsi="Calibri" w:cs="Calibri"/>
          <w:sz w:val="26"/>
          <w:szCs w:val="26"/>
          <w:vertAlign w:val="superscript"/>
        </w:rPr>
      </w:pPr>
    </w:p>
    <w:p w:rsidR="00AC12B4" w:rsidRPr="00C27636" w:rsidRDefault="00C27636">
      <w:pPr>
        <w:numPr>
          <w:ilvl w:val="0"/>
          <w:numId w:val="332"/>
        </w:numPr>
        <w:tabs>
          <w:tab w:val="left" w:pos="144"/>
        </w:tabs>
        <w:spacing w:line="217" w:lineRule="auto"/>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Note concernant les données de l’AGAJ: Un même jeune peut à la fois être un jeune en difficulté ou en danger et un mineur ayant commis un fait qualifié infraction (et donc apparaître deux fois dans les données)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365" w:lineRule="exact"/>
        <w:rPr>
          <w:sz w:val="20"/>
          <w:szCs w:val="20"/>
          <w:lang w:val="fr-BE"/>
        </w:rPr>
      </w:pPr>
    </w:p>
    <w:p w:rsidR="00AC12B4" w:rsidRPr="00C27636" w:rsidRDefault="00C27636">
      <w:pPr>
        <w:spacing w:line="225" w:lineRule="auto"/>
        <w:ind w:left="-539" w:right="100"/>
        <w:jc w:val="center"/>
        <w:rPr>
          <w:sz w:val="20"/>
          <w:szCs w:val="20"/>
          <w:lang w:val="fr-BE"/>
        </w:rPr>
      </w:pPr>
      <w:r w:rsidRPr="00C27636">
        <w:rPr>
          <w:rFonts w:ascii="Calibri" w:eastAsia="Calibri" w:hAnsi="Calibri" w:cs="Calibri"/>
          <w:b/>
          <w:bCs/>
          <w:sz w:val="20"/>
          <w:szCs w:val="20"/>
          <w:lang w:val="fr-BE"/>
        </w:rPr>
        <w:t xml:space="preserve">Nombre de </w:t>
      </w:r>
      <w:r w:rsidRPr="00C27636">
        <w:rPr>
          <w:rFonts w:ascii="Calibri" w:eastAsia="Calibri" w:hAnsi="Calibri" w:cs="Calibri"/>
          <w:b/>
          <w:bCs/>
          <w:sz w:val="20"/>
          <w:szCs w:val="20"/>
          <w:lang w:val="fr-BE"/>
        </w:rPr>
        <w:t>jeunes en difficulté ou en danger pris en charge par l'aide à la jeunesse au 1er janvier 2014</w:t>
      </w:r>
    </w:p>
    <w:p w:rsidR="00AC12B4" w:rsidRPr="00C27636" w:rsidRDefault="00C27636">
      <w:pPr>
        <w:spacing w:line="20" w:lineRule="exact"/>
        <w:rPr>
          <w:sz w:val="20"/>
          <w:szCs w:val="20"/>
          <w:lang w:val="fr-BE"/>
        </w:rPr>
      </w:pPr>
      <w:r>
        <w:rPr>
          <w:noProof/>
          <w:sz w:val="20"/>
          <w:szCs w:val="20"/>
        </w:rPr>
        <w:drawing>
          <wp:anchor distT="0" distB="0" distL="114300" distR="114300" simplePos="0" relativeHeight="251853312" behindDoc="1" locked="0" layoutInCell="0" allowOverlap="1">
            <wp:simplePos x="0" y="0"/>
            <wp:positionH relativeFrom="column">
              <wp:posOffset>187960</wp:posOffset>
            </wp:positionH>
            <wp:positionV relativeFrom="paragraph">
              <wp:posOffset>-513080</wp:posOffset>
            </wp:positionV>
            <wp:extent cx="3017520" cy="4004310"/>
            <wp:effectExtent l="0" t="0" r="0" b="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323">
                      <a:extLst/>
                    </a:blip>
                    <a:srcRect/>
                    <a:stretch>
                      <a:fillRect/>
                    </a:stretch>
                  </pic:blipFill>
                  <pic:spPr bwMode="auto">
                    <a:xfrm>
                      <a:off x="0" y="0"/>
                      <a:ext cx="3017520" cy="4004310"/>
                    </a:xfrm>
                    <a:prstGeom prst="rect">
                      <a:avLst/>
                    </a:prstGeom>
                    <a:noFill/>
                  </pic:spPr>
                </pic:pic>
              </a:graphicData>
            </a:graphic>
          </wp:anchor>
        </w:drawing>
      </w:r>
    </w:p>
    <w:p w:rsidR="00AC12B4" w:rsidRPr="00C27636" w:rsidRDefault="00AC12B4">
      <w:pPr>
        <w:spacing w:line="205" w:lineRule="exact"/>
        <w:rPr>
          <w:sz w:val="20"/>
          <w:szCs w:val="20"/>
          <w:lang w:val="fr-BE"/>
        </w:rPr>
      </w:pPr>
    </w:p>
    <w:tbl>
      <w:tblPr>
        <w:tblW w:w="0" w:type="auto"/>
        <w:tblInd w:w="580" w:type="dxa"/>
        <w:tblLayout w:type="fixed"/>
        <w:tblCellMar>
          <w:left w:w="0" w:type="dxa"/>
          <w:right w:w="0" w:type="dxa"/>
        </w:tblCellMar>
        <w:tblLook w:val="04A0" w:firstRow="1" w:lastRow="0" w:firstColumn="1" w:lastColumn="0" w:noHBand="0" w:noVBand="1"/>
      </w:tblPr>
      <w:tblGrid>
        <w:gridCol w:w="2820"/>
        <w:gridCol w:w="720"/>
        <w:gridCol w:w="600"/>
      </w:tblGrid>
      <w:tr w:rsidR="00AC12B4">
        <w:trPr>
          <w:trHeight w:val="207"/>
        </w:trPr>
        <w:tc>
          <w:tcPr>
            <w:tcW w:w="2820" w:type="dxa"/>
            <w:vAlign w:val="bottom"/>
          </w:tcPr>
          <w:p w:rsidR="00AC12B4" w:rsidRPr="00C27636" w:rsidRDefault="00AC12B4">
            <w:pPr>
              <w:rPr>
                <w:sz w:val="17"/>
                <w:szCs w:val="17"/>
                <w:lang w:val="fr-BE"/>
              </w:rPr>
            </w:pPr>
          </w:p>
        </w:tc>
        <w:tc>
          <w:tcPr>
            <w:tcW w:w="1320" w:type="dxa"/>
            <w:gridSpan w:val="2"/>
            <w:vAlign w:val="bottom"/>
          </w:tcPr>
          <w:p w:rsidR="00AC12B4" w:rsidRDefault="00C27636">
            <w:pPr>
              <w:ind w:right="110"/>
              <w:jc w:val="right"/>
              <w:rPr>
                <w:sz w:val="20"/>
                <w:szCs w:val="20"/>
              </w:rPr>
            </w:pPr>
            <w:r>
              <w:rPr>
                <w:rFonts w:ascii="Arial" w:eastAsia="Arial" w:hAnsi="Arial" w:cs="Arial"/>
                <w:color w:val="FEC930"/>
                <w:sz w:val="18"/>
                <w:szCs w:val="18"/>
              </w:rPr>
              <w:t>01/01/2014</w:t>
            </w:r>
          </w:p>
        </w:tc>
      </w:tr>
      <w:tr w:rsidR="00AC12B4">
        <w:trPr>
          <w:trHeight w:val="310"/>
        </w:trPr>
        <w:tc>
          <w:tcPr>
            <w:tcW w:w="2820" w:type="dxa"/>
            <w:vAlign w:val="bottom"/>
          </w:tcPr>
          <w:p w:rsidR="00AC12B4" w:rsidRDefault="00AC12B4">
            <w:pPr>
              <w:rPr>
                <w:sz w:val="24"/>
                <w:szCs w:val="24"/>
              </w:rPr>
            </w:pPr>
          </w:p>
        </w:tc>
        <w:tc>
          <w:tcPr>
            <w:tcW w:w="720" w:type="dxa"/>
            <w:vAlign w:val="bottom"/>
          </w:tcPr>
          <w:p w:rsidR="00AC12B4" w:rsidRDefault="00C27636">
            <w:pPr>
              <w:ind w:right="130"/>
              <w:jc w:val="right"/>
              <w:rPr>
                <w:sz w:val="20"/>
                <w:szCs w:val="20"/>
              </w:rPr>
            </w:pPr>
            <w:r>
              <w:rPr>
                <w:rFonts w:ascii="Arial" w:eastAsia="Arial" w:hAnsi="Arial" w:cs="Arial"/>
                <w:color w:val="FEC930"/>
                <w:sz w:val="18"/>
                <w:szCs w:val="18"/>
              </w:rPr>
              <w:t>Nbre</w:t>
            </w:r>
          </w:p>
        </w:tc>
        <w:tc>
          <w:tcPr>
            <w:tcW w:w="600" w:type="dxa"/>
            <w:vAlign w:val="bottom"/>
          </w:tcPr>
          <w:p w:rsidR="00AC12B4" w:rsidRDefault="00C27636">
            <w:pPr>
              <w:ind w:right="130"/>
              <w:jc w:val="right"/>
              <w:rPr>
                <w:sz w:val="20"/>
                <w:szCs w:val="20"/>
              </w:rPr>
            </w:pPr>
            <w:r>
              <w:rPr>
                <w:rFonts w:ascii="Arial" w:eastAsia="Arial" w:hAnsi="Arial" w:cs="Arial"/>
                <w:color w:val="FEC930"/>
                <w:sz w:val="18"/>
                <w:szCs w:val="18"/>
              </w:rPr>
              <w:t>%</w:t>
            </w:r>
          </w:p>
        </w:tc>
      </w:tr>
      <w:tr w:rsidR="00AC12B4" w:rsidRPr="00C27636">
        <w:trPr>
          <w:trHeight w:val="301"/>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Nombre de jeunes en difficulté ou</w:t>
            </w:r>
          </w:p>
        </w:tc>
        <w:tc>
          <w:tcPr>
            <w:tcW w:w="720" w:type="dxa"/>
            <w:vAlign w:val="bottom"/>
          </w:tcPr>
          <w:p w:rsidR="00AC12B4" w:rsidRPr="00C27636" w:rsidRDefault="00AC12B4">
            <w:pPr>
              <w:rPr>
                <w:sz w:val="24"/>
                <w:szCs w:val="24"/>
                <w:lang w:val="fr-BE"/>
              </w:rPr>
            </w:pPr>
          </w:p>
        </w:tc>
        <w:tc>
          <w:tcPr>
            <w:tcW w:w="600" w:type="dxa"/>
            <w:vAlign w:val="bottom"/>
          </w:tcPr>
          <w:p w:rsidR="00AC12B4" w:rsidRPr="00C27636" w:rsidRDefault="00AC12B4">
            <w:pPr>
              <w:rPr>
                <w:sz w:val="24"/>
                <w:szCs w:val="24"/>
                <w:lang w:val="fr-BE"/>
              </w:rPr>
            </w:pPr>
          </w:p>
        </w:tc>
      </w:tr>
      <w:tr w:rsidR="00AC12B4">
        <w:trPr>
          <w:trHeight w:val="220"/>
        </w:trPr>
        <w:tc>
          <w:tcPr>
            <w:tcW w:w="2820" w:type="dxa"/>
            <w:vAlign w:val="bottom"/>
          </w:tcPr>
          <w:p w:rsidR="00AC12B4" w:rsidRDefault="00C27636">
            <w:pPr>
              <w:spacing w:line="218" w:lineRule="exact"/>
              <w:rPr>
                <w:sz w:val="20"/>
                <w:szCs w:val="20"/>
              </w:rPr>
            </w:pPr>
            <w:r>
              <w:rPr>
                <w:rFonts w:ascii="Calibri" w:eastAsia="Calibri" w:hAnsi="Calibri" w:cs="Calibri"/>
                <w:color w:val="FEC930"/>
                <w:sz w:val="18"/>
                <w:szCs w:val="18"/>
              </w:rPr>
              <w:t>en danger (DD)</w:t>
            </w:r>
          </w:p>
        </w:tc>
        <w:tc>
          <w:tcPr>
            <w:tcW w:w="720" w:type="dxa"/>
            <w:vAlign w:val="bottom"/>
          </w:tcPr>
          <w:p w:rsidR="00AC12B4" w:rsidRDefault="00C27636">
            <w:pPr>
              <w:ind w:right="30"/>
              <w:jc w:val="right"/>
              <w:rPr>
                <w:sz w:val="20"/>
                <w:szCs w:val="20"/>
              </w:rPr>
            </w:pPr>
            <w:r>
              <w:rPr>
                <w:rFonts w:ascii="Arial" w:eastAsia="Arial" w:hAnsi="Arial" w:cs="Arial"/>
                <w:sz w:val="18"/>
                <w:szCs w:val="18"/>
              </w:rPr>
              <w:t>19754</w:t>
            </w:r>
          </w:p>
        </w:tc>
        <w:tc>
          <w:tcPr>
            <w:tcW w:w="600" w:type="dxa"/>
            <w:vAlign w:val="bottom"/>
          </w:tcPr>
          <w:p w:rsidR="00AC12B4" w:rsidRDefault="00C27636">
            <w:pPr>
              <w:jc w:val="right"/>
              <w:rPr>
                <w:sz w:val="20"/>
                <w:szCs w:val="20"/>
              </w:rPr>
            </w:pPr>
            <w:r>
              <w:rPr>
                <w:rFonts w:ascii="Arial" w:eastAsia="Arial" w:hAnsi="Arial" w:cs="Arial"/>
                <w:sz w:val="18"/>
                <w:szCs w:val="18"/>
              </w:rPr>
              <w:t>100%</w:t>
            </w:r>
          </w:p>
        </w:tc>
      </w:tr>
      <w:tr w:rsidR="00AC12B4" w:rsidRPr="00C27636">
        <w:trPr>
          <w:trHeight w:val="272"/>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Nombre de jeunes en DD hébergés</w:t>
            </w:r>
          </w:p>
        </w:tc>
        <w:tc>
          <w:tcPr>
            <w:tcW w:w="720" w:type="dxa"/>
            <w:vAlign w:val="bottom"/>
          </w:tcPr>
          <w:p w:rsidR="00AC12B4" w:rsidRPr="00C27636" w:rsidRDefault="00AC12B4">
            <w:pPr>
              <w:rPr>
                <w:sz w:val="23"/>
                <w:szCs w:val="23"/>
                <w:lang w:val="fr-BE"/>
              </w:rPr>
            </w:pPr>
          </w:p>
        </w:tc>
        <w:tc>
          <w:tcPr>
            <w:tcW w:w="600" w:type="dxa"/>
            <w:vAlign w:val="bottom"/>
          </w:tcPr>
          <w:p w:rsidR="00AC12B4" w:rsidRPr="00C27636" w:rsidRDefault="00AC12B4">
            <w:pPr>
              <w:rPr>
                <w:sz w:val="23"/>
                <w:szCs w:val="23"/>
                <w:lang w:val="fr-BE"/>
              </w:rPr>
            </w:pPr>
          </w:p>
        </w:tc>
      </w:tr>
      <w:tr w:rsidR="00AC12B4" w:rsidRPr="00C27636">
        <w:trPr>
          <w:trHeight w:val="221"/>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par un service agréé par l'aide à la</w:t>
            </w:r>
          </w:p>
        </w:tc>
        <w:tc>
          <w:tcPr>
            <w:tcW w:w="720" w:type="dxa"/>
            <w:vAlign w:val="bottom"/>
          </w:tcPr>
          <w:p w:rsidR="00AC12B4" w:rsidRPr="00C27636" w:rsidRDefault="00AC12B4">
            <w:pPr>
              <w:rPr>
                <w:sz w:val="19"/>
                <w:szCs w:val="19"/>
                <w:lang w:val="fr-BE"/>
              </w:rPr>
            </w:pPr>
          </w:p>
        </w:tc>
        <w:tc>
          <w:tcPr>
            <w:tcW w:w="600" w:type="dxa"/>
            <w:vAlign w:val="bottom"/>
          </w:tcPr>
          <w:p w:rsidR="00AC12B4" w:rsidRPr="00C27636" w:rsidRDefault="00AC12B4">
            <w:pPr>
              <w:rPr>
                <w:sz w:val="19"/>
                <w:szCs w:val="19"/>
                <w:lang w:val="fr-BE"/>
              </w:rPr>
            </w:pPr>
          </w:p>
        </w:tc>
      </w:tr>
      <w:tr w:rsidR="00AC12B4">
        <w:trPr>
          <w:trHeight w:val="222"/>
        </w:trPr>
        <w:tc>
          <w:tcPr>
            <w:tcW w:w="2820" w:type="dxa"/>
            <w:vAlign w:val="bottom"/>
          </w:tcPr>
          <w:p w:rsidR="00AC12B4" w:rsidRDefault="00C27636">
            <w:pPr>
              <w:spacing w:line="218" w:lineRule="exact"/>
              <w:rPr>
                <w:sz w:val="20"/>
                <w:szCs w:val="20"/>
              </w:rPr>
            </w:pPr>
            <w:r>
              <w:rPr>
                <w:rFonts w:ascii="Calibri" w:eastAsia="Calibri" w:hAnsi="Calibri" w:cs="Calibri"/>
                <w:color w:val="FEC930"/>
                <w:sz w:val="18"/>
                <w:szCs w:val="18"/>
              </w:rPr>
              <w:t>jeunesse</w:t>
            </w:r>
          </w:p>
        </w:tc>
        <w:tc>
          <w:tcPr>
            <w:tcW w:w="720" w:type="dxa"/>
            <w:vAlign w:val="bottom"/>
          </w:tcPr>
          <w:p w:rsidR="00AC12B4" w:rsidRDefault="00C27636">
            <w:pPr>
              <w:ind w:right="30"/>
              <w:jc w:val="right"/>
              <w:rPr>
                <w:sz w:val="20"/>
                <w:szCs w:val="20"/>
              </w:rPr>
            </w:pPr>
            <w:r>
              <w:rPr>
                <w:rFonts w:ascii="Arial" w:eastAsia="Arial" w:hAnsi="Arial" w:cs="Arial"/>
                <w:sz w:val="18"/>
                <w:szCs w:val="18"/>
              </w:rPr>
              <w:t>2858</w:t>
            </w:r>
          </w:p>
        </w:tc>
        <w:tc>
          <w:tcPr>
            <w:tcW w:w="600" w:type="dxa"/>
            <w:vAlign w:val="bottom"/>
          </w:tcPr>
          <w:p w:rsidR="00AC12B4" w:rsidRDefault="00C27636">
            <w:pPr>
              <w:jc w:val="right"/>
              <w:rPr>
                <w:sz w:val="20"/>
                <w:szCs w:val="20"/>
              </w:rPr>
            </w:pPr>
            <w:r>
              <w:rPr>
                <w:rFonts w:ascii="Arial" w:eastAsia="Arial" w:hAnsi="Arial" w:cs="Arial"/>
                <w:sz w:val="18"/>
                <w:szCs w:val="18"/>
              </w:rPr>
              <w:t>14%</w:t>
            </w:r>
          </w:p>
        </w:tc>
      </w:tr>
      <w:tr w:rsidR="00AC12B4" w:rsidRPr="00C27636">
        <w:trPr>
          <w:trHeight w:val="344"/>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Nombre de jeunes en DD hébergés</w:t>
            </w:r>
          </w:p>
        </w:tc>
        <w:tc>
          <w:tcPr>
            <w:tcW w:w="720" w:type="dxa"/>
            <w:vAlign w:val="bottom"/>
          </w:tcPr>
          <w:p w:rsidR="00AC12B4" w:rsidRPr="00C27636" w:rsidRDefault="00AC12B4">
            <w:pPr>
              <w:rPr>
                <w:sz w:val="24"/>
                <w:szCs w:val="24"/>
                <w:lang w:val="fr-BE"/>
              </w:rPr>
            </w:pPr>
          </w:p>
        </w:tc>
        <w:tc>
          <w:tcPr>
            <w:tcW w:w="600" w:type="dxa"/>
            <w:vAlign w:val="bottom"/>
          </w:tcPr>
          <w:p w:rsidR="00AC12B4" w:rsidRPr="00C27636" w:rsidRDefault="00AC12B4">
            <w:pPr>
              <w:rPr>
                <w:sz w:val="24"/>
                <w:szCs w:val="24"/>
                <w:lang w:val="fr-BE"/>
              </w:rPr>
            </w:pPr>
          </w:p>
        </w:tc>
      </w:tr>
      <w:tr w:rsidR="00AC12B4">
        <w:trPr>
          <w:trHeight w:val="222"/>
        </w:trPr>
        <w:tc>
          <w:tcPr>
            <w:tcW w:w="2820" w:type="dxa"/>
            <w:vAlign w:val="bottom"/>
          </w:tcPr>
          <w:p w:rsidR="00AC12B4" w:rsidRDefault="00C27636">
            <w:pPr>
              <w:spacing w:line="218" w:lineRule="exact"/>
              <w:rPr>
                <w:sz w:val="20"/>
                <w:szCs w:val="20"/>
              </w:rPr>
            </w:pPr>
            <w:r>
              <w:rPr>
                <w:rFonts w:ascii="Calibri" w:eastAsia="Calibri" w:hAnsi="Calibri" w:cs="Calibri"/>
                <w:color w:val="FEC930"/>
                <w:sz w:val="18"/>
                <w:szCs w:val="18"/>
              </w:rPr>
              <w:t>par une famille d'accueil</w:t>
            </w:r>
          </w:p>
        </w:tc>
        <w:tc>
          <w:tcPr>
            <w:tcW w:w="720" w:type="dxa"/>
            <w:vAlign w:val="bottom"/>
          </w:tcPr>
          <w:p w:rsidR="00AC12B4" w:rsidRDefault="00C27636">
            <w:pPr>
              <w:ind w:right="30"/>
              <w:jc w:val="right"/>
              <w:rPr>
                <w:sz w:val="20"/>
                <w:szCs w:val="20"/>
              </w:rPr>
            </w:pPr>
            <w:r>
              <w:rPr>
                <w:rFonts w:ascii="Arial" w:eastAsia="Arial" w:hAnsi="Arial" w:cs="Arial"/>
                <w:sz w:val="18"/>
                <w:szCs w:val="18"/>
              </w:rPr>
              <w:t>3473</w:t>
            </w:r>
          </w:p>
        </w:tc>
        <w:tc>
          <w:tcPr>
            <w:tcW w:w="600" w:type="dxa"/>
            <w:vAlign w:val="bottom"/>
          </w:tcPr>
          <w:p w:rsidR="00AC12B4" w:rsidRDefault="00C27636">
            <w:pPr>
              <w:jc w:val="right"/>
              <w:rPr>
                <w:sz w:val="20"/>
                <w:szCs w:val="20"/>
              </w:rPr>
            </w:pPr>
            <w:r>
              <w:rPr>
                <w:rFonts w:ascii="Arial" w:eastAsia="Arial" w:hAnsi="Arial" w:cs="Arial"/>
                <w:sz w:val="18"/>
                <w:szCs w:val="18"/>
              </w:rPr>
              <w:t>17%</w:t>
            </w:r>
          </w:p>
        </w:tc>
      </w:tr>
      <w:tr w:rsidR="00AC12B4" w:rsidRPr="00C27636">
        <w:trPr>
          <w:trHeight w:val="352"/>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Nombre de jeunes en DD pris en</w:t>
            </w:r>
          </w:p>
        </w:tc>
        <w:tc>
          <w:tcPr>
            <w:tcW w:w="720" w:type="dxa"/>
            <w:vAlign w:val="bottom"/>
          </w:tcPr>
          <w:p w:rsidR="00AC12B4" w:rsidRPr="00C27636" w:rsidRDefault="00AC12B4">
            <w:pPr>
              <w:rPr>
                <w:sz w:val="24"/>
                <w:szCs w:val="24"/>
                <w:lang w:val="fr-BE"/>
              </w:rPr>
            </w:pPr>
          </w:p>
        </w:tc>
        <w:tc>
          <w:tcPr>
            <w:tcW w:w="600" w:type="dxa"/>
            <w:vAlign w:val="bottom"/>
          </w:tcPr>
          <w:p w:rsidR="00AC12B4" w:rsidRPr="00C27636" w:rsidRDefault="00AC12B4">
            <w:pPr>
              <w:rPr>
                <w:sz w:val="24"/>
                <w:szCs w:val="24"/>
                <w:lang w:val="fr-BE"/>
              </w:rPr>
            </w:pPr>
          </w:p>
        </w:tc>
      </w:tr>
      <w:tr w:rsidR="00AC12B4">
        <w:trPr>
          <w:trHeight w:val="222"/>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charge dans un internat scolaire</w:t>
            </w:r>
          </w:p>
        </w:tc>
        <w:tc>
          <w:tcPr>
            <w:tcW w:w="720" w:type="dxa"/>
            <w:vAlign w:val="bottom"/>
          </w:tcPr>
          <w:p w:rsidR="00AC12B4" w:rsidRDefault="00C27636">
            <w:pPr>
              <w:ind w:right="30"/>
              <w:jc w:val="right"/>
              <w:rPr>
                <w:sz w:val="20"/>
                <w:szCs w:val="20"/>
              </w:rPr>
            </w:pPr>
            <w:r>
              <w:rPr>
                <w:rFonts w:ascii="Arial" w:eastAsia="Arial" w:hAnsi="Arial" w:cs="Arial"/>
                <w:sz w:val="18"/>
                <w:szCs w:val="18"/>
              </w:rPr>
              <w:t>1170</w:t>
            </w:r>
          </w:p>
        </w:tc>
        <w:tc>
          <w:tcPr>
            <w:tcW w:w="600" w:type="dxa"/>
            <w:vAlign w:val="bottom"/>
          </w:tcPr>
          <w:p w:rsidR="00AC12B4" w:rsidRDefault="00C27636">
            <w:pPr>
              <w:jc w:val="right"/>
              <w:rPr>
                <w:sz w:val="20"/>
                <w:szCs w:val="20"/>
              </w:rPr>
            </w:pPr>
            <w:r>
              <w:rPr>
                <w:rFonts w:ascii="Arial" w:eastAsia="Arial" w:hAnsi="Arial" w:cs="Arial"/>
                <w:sz w:val="18"/>
                <w:szCs w:val="18"/>
              </w:rPr>
              <w:t>6%</w:t>
            </w:r>
          </w:p>
        </w:tc>
      </w:tr>
      <w:tr w:rsidR="00AC12B4" w:rsidRPr="00C27636">
        <w:trPr>
          <w:trHeight w:val="399"/>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Nombre de jeunes en DD pris en</w:t>
            </w:r>
          </w:p>
        </w:tc>
        <w:tc>
          <w:tcPr>
            <w:tcW w:w="720" w:type="dxa"/>
            <w:vAlign w:val="bottom"/>
          </w:tcPr>
          <w:p w:rsidR="00AC12B4" w:rsidRPr="00C27636" w:rsidRDefault="00AC12B4">
            <w:pPr>
              <w:rPr>
                <w:sz w:val="24"/>
                <w:szCs w:val="24"/>
                <w:lang w:val="fr-BE"/>
              </w:rPr>
            </w:pPr>
          </w:p>
        </w:tc>
        <w:tc>
          <w:tcPr>
            <w:tcW w:w="600" w:type="dxa"/>
            <w:vAlign w:val="bottom"/>
          </w:tcPr>
          <w:p w:rsidR="00AC12B4" w:rsidRPr="00C27636" w:rsidRDefault="00AC12B4">
            <w:pPr>
              <w:rPr>
                <w:sz w:val="24"/>
                <w:szCs w:val="24"/>
                <w:lang w:val="fr-BE"/>
              </w:rPr>
            </w:pPr>
          </w:p>
        </w:tc>
      </w:tr>
      <w:tr w:rsidR="00AC12B4" w:rsidRPr="00C27636">
        <w:trPr>
          <w:trHeight w:val="218"/>
        </w:trPr>
        <w:tc>
          <w:tcPr>
            <w:tcW w:w="2820" w:type="dxa"/>
            <w:vAlign w:val="bottom"/>
          </w:tcPr>
          <w:p w:rsidR="00AC12B4" w:rsidRPr="00C27636" w:rsidRDefault="00C27636">
            <w:pPr>
              <w:spacing w:line="218" w:lineRule="exact"/>
              <w:rPr>
                <w:sz w:val="20"/>
                <w:szCs w:val="20"/>
                <w:lang w:val="fr-BE"/>
              </w:rPr>
            </w:pPr>
            <w:r w:rsidRPr="00C27636">
              <w:rPr>
                <w:rFonts w:ascii="Calibri" w:eastAsia="Calibri" w:hAnsi="Calibri" w:cs="Calibri"/>
                <w:color w:val="FEC930"/>
                <w:sz w:val="18"/>
                <w:szCs w:val="18"/>
                <w:lang w:val="fr-BE"/>
              </w:rPr>
              <w:t>charge par une institution du secteur</w:t>
            </w:r>
          </w:p>
        </w:tc>
        <w:tc>
          <w:tcPr>
            <w:tcW w:w="720" w:type="dxa"/>
            <w:vAlign w:val="bottom"/>
          </w:tcPr>
          <w:p w:rsidR="00AC12B4" w:rsidRPr="00C27636" w:rsidRDefault="00AC12B4">
            <w:pPr>
              <w:rPr>
                <w:sz w:val="18"/>
                <w:szCs w:val="18"/>
                <w:lang w:val="fr-BE"/>
              </w:rPr>
            </w:pPr>
          </w:p>
        </w:tc>
        <w:tc>
          <w:tcPr>
            <w:tcW w:w="600" w:type="dxa"/>
            <w:vAlign w:val="bottom"/>
          </w:tcPr>
          <w:p w:rsidR="00AC12B4" w:rsidRPr="00C27636" w:rsidRDefault="00AC12B4">
            <w:pPr>
              <w:rPr>
                <w:sz w:val="18"/>
                <w:szCs w:val="18"/>
                <w:lang w:val="fr-BE"/>
              </w:rPr>
            </w:pPr>
          </w:p>
        </w:tc>
      </w:tr>
      <w:tr w:rsidR="00AC12B4">
        <w:trPr>
          <w:trHeight w:val="222"/>
        </w:trPr>
        <w:tc>
          <w:tcPr>
            <w:tcW w:w="2820" w:type="dxa"/>
            <w:vAlign w:val="bottom"/>
          </w:tcPr>
          <w:p w:rsidR="00AC12B4" w:rsidRDefault="00C27636">
            <w:pPr>
              <w:rPr>
                <w:sz w:val="20"/>
                <w:szCs w:val="20"/>
              </w:rPr>
            </w:pPr>
            <w:r>
              <w:rPr>
                <w:rFonts w:ascii="Calibri" w:eastAsia="Calibri" w:hAnsi="Calibri" w:cs="Calibri"/>
                <w:color w:val="FEC930"/>
                <w:sz w:val="18"/>
                <w:szCs w:val="18"/>
              </w:rPr>
              <w:t>du handicap</w:t>
            </w:r>
          </w:p>
        </w:tc>
        <w:tc>
          <w:tcPr>
            <w:tcW w:w="720" w:type="dxa"/>
            <w:vAlign w:val="bottom"/>
          </w:tcPr>
          <w:p w:rsidR="00AC12B4" w:rsidRDefault="00C27636">
            <w:pPr>
              <w:ind w:right="30"/>
              <w:jc w:val="right"/>
              <w:rPr>
                <w:sz w:val="20"/>
                <w:szCs w:val="20"/>
              </w:rPr>
            </w:pPr>
            <w:r>
              <w:rPr>
                <w:rFonts w:ascii="Arial" w:eastAsia="Arial" w:hAnsi="Arial" w:cs="Arial"/>
                <w:sz w:val="18"/>
                <w:szCs w:val="18"/>
              </w:rPr>
              <w:t>730</w:t>
            </w:r>
          </w:p>
        </w:tc>
        <w:tc>
          <w:tcPr>
            <w:tcW w:w="600" w:type="dxa"/>
            <w:vAlign w:val="bottom"/>
          </w:tcPr>
          <w:p w:rsidR="00AC12B4" w:rsidRDefault="00C27636">
            <w:pPr>
              <w:jc w:val="right"/>
              <w:rPr>
                <w:sz w:val="20"/>
                <w:szCs w:val="20"/>
              </w:rPr>
            </w:pPr>
            <w:r>
              <w:rPr>
                <w:rFonts w:ascii="Arial" w:eastAsia="Arial" w:hAnsi="Arial" w:cs="Arial"/>
                <w:sz w:val="18"/>
                <w:szCs w:val="18"/>
              </w:rPr>
              <w:t>3%</w:t>
            </w:r>
          </w:p>
        </w:tc>
      </w:tr>
      <w:tr w:rsidR="00AC12B4" w:rsidRPr="00C27636">
        <w:trPr>
          <w:trHeight w:val="346"/>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Nombre de jeunes en DD pris en</w:t>
            </w:r>
          </w:p>
        </w:tc>
        <w:tc>
          <w:tcPr>
            <w:tcW w:w="720" w:type="dxa"/>
            <w:vAlign w:val="bottom"/>
          </w:tcPr>
          <w:p w:rsidR="00AC12B4" w:rsidRPr="00C27636" w:rsidRDefault="00AC12B4">
            <w:pPr>
              <w:rPr>
                <w:sz w:val="24"/>
                <w:szCs w:val="24"/>
                <w:lang w:val="fr-BE"/>
              </w:rPr>
            </w:pPr>
          </w:p>
        </w:tc>
        <w:tc>
          <w:tcPr>
            <w:tcW w:w="600" w:type="dxa"/>
            <w:vAlign w:val="bottom"/>
          </w:tcPr>
          <w:p w:rsidR="00AC12B4" w:rsidRPr="00C27636" w:rsidRDefault="00AC12B4">
            <w:pPr>
              <w:rPr>
                <w:sz w:val="24"/>
                <w:szCs w:val="24"/>
                <w:lang w:val="fr-BE"/>
              </w:rPr>
            </w:pPr>
          </w:p>
        </w:tc>
      </w:tr>
      <w:tr w:rsidR="00AC12B4">
        <w:trPr>
          <w:trHeight w:val="222"/>
        </w:trPr>
        <w:tc>
          <w:tcPr>
            <w:tcW w:w="2820" w:type="dxa"/>
            <w:vAlign w:val="bottom"/>
          </w:tcPr>
          <w:p w:rsidR="00AC12B4" w:rsidRDefault="00C27636">
            <w:pPr>
              <w:spacing w:line="218" w:lineRule="exact"/>
              <w:rPr>
                <w:sz w:val="20"/>
                <w:szCs w:val="20"/>
              </w:rPr>
            </w:pPr>
            <w:r>
              <w:rPr>
                <w:rFonts w:ascii="Calibri" w:eastAsia="Calibri" w:hAnsi="Calibri" w:cs="Calibri"/>
                <w:color w:val="FEC930"/>
                <w:sz w:val="18"/>
                <w:szCs w:val="18"/>
              </w:rPr>
              <w:t>charge en hôpital</w:t>
            </w:r>
          </w:p>
        </w:tc>
        <w:tc>
          <w:tcPr>
            <w:tcW w:w="720" w:type="dxa"/>
            <w:vAlign w:val="bottom"/>
          </w:tcPr>
          <w:p w:rsidR="00AC12B4" w:rsidRDefault="00C27636">
            <w:pPr>
              <w:ind w:right="30"/>
              <w:jc w:val="right"/>
              <w:rPr>
                <w:sz w:val="20"/>
                <w:szCs w:val="20"/>
              </w:rPr>
            </w:pPr>
            <w:r>
              <w:rPr>
                <w:rFonts w:ascii="Arial" w:eastAsia="Arial" w:hAnsi="Arial" w:cs="Arial"/>
                <w:sz w:val="18"/>
                <w:szCs w:val="18"/>
              </w:rPr>
              <w:t>185</w:t>
            </w:r>
          </w:p>
        </w:tc>
        <w:tc>
          <w:tcPr>
            <w:tcW w:w="600" w:type="dxa"/>
            <w:vAlign w:val="bottom"/>
          </w:tcPr>
          <w:p w:rsidR="00AC12B4" w:rsidRDefault="00C27636">
            <w:pPr>
              <w:jc w:val="right"/>
              <w:rPr>
                <w:sz w:val="20"/>
                <w:szCs w:val="20"/>
              </w:rPr>
            </w:pPr>
            <w:r>
              <w:rPr>
                <w:rFonts w:ascii="Arial" w:eastAsia="Arial" w:hAnsi="Arial" w:cs="Arial"/>
                <w:sz w:val="18"/>
                <w:szCs w:val="18"/>
              </w:rPr>
              <w:t>1%</w:t>
            </w:r>
          </w:p>
        </w:tc>
      </w:tr>
      <w:tr w:rsidR="00AC12B4" w:rsidRPr="00C27636">
        <w:trPr>
          <w:trHeight w:val="354"/>
        </w:trPr>
        <w:tc>
          <w:tcPr>
            <w:tcW w:w="2820" w:type="dxa"/>
            <w:vAlign w:val="bottom"/>
          </w:tcPr>
          <w:p w:rsidR="00AC12B4" w:rsidRPr="00C27636" w:rsidRDefault="00C27636">
            <w:pPr>
              <w:rPr>
                <w:sz w:val="20"/>
                <w:szCs w:val="20"/>
                <w:lang w:val="fr-BE"/>
              </w:rPr>
            </w:pPr>
            <w:r w:rsidRPr="00C27636">
              <w:rPr>
                <w:rFonts w:ascii="Calibri" w:eastAsia="Calibri" w:hAnsi="Calibri" w:cs="Calibri"/>
                <w:color w:val="FEC930"/>
                <w:sz w:val="18"/>
                <w:szCs w:val="18"/>
                <w:lang w:val="fr-BE"/>
              </w:rPr>
              <w:t>Nombre de jeunes en DD aidés dans</w:t>
            </w:r>
          </w:p>
        </w:tc>
        <w:tc>
          <w:tcPr>
            <w:tcW w:w="720" w:type="dxa"/>
            <w:vAlign w:val="bottom"/>
          </w:tcPr>
          <w:p w:rsidR="00AC12B4" w:rsidRPr="00C27636" w:rsidRDefault="00AC12B4">
            <w:pPr>
              <w:rPr>
                <w:sz w:val="24"/>
                <w:szCs w:val="24"/>
                <w:lang w:val="fr-BE"/>
              </w:rPr>
            </w:pPr>
          </w:p>
        </w:tc>
        <w:tc>
          <w:tcPr>
            <w:tcW w:w="600" w:type="dxa"/>
            <w:vAlign w:val="bottom"/>
          </w:tcPr>
          <w:p w:rsidR="00AC12B4" w:rsidRPr="00C27636" w:rsidRDefault="00AC12B4">
            <w:pPr>
              <w:rPr>
                <w:sz w:val="24"/>
                <w:szCs w:val="24"/>
                <w:lang w:val="fr-BE"/>
              </w:rPr>
            </w:pPr>
          </w:p>
        </w:tc>
      </w:tr>
      <w:tr w:rsidR="00AC12B4">
        <w:trPr>
          <w:trHeight w:val="222"/>
        </w:trPr>
        <w:tc>
          <w:tcPr>
            <w:tcW w:w="2820" w:type="dxa"/>
            <w:vAlign w:val="bottom"/>
          </w:tcPr>
          <w:p w:rsidR="00AC12B4" w:rsidRDefault="00C27636">
            <w:pPr>
              <w:spacing w:line="218" w:lineRule="exact"/>
              <w:rPr>
                <w:sz w:val="20"/>
                <w:szCs w:val="20"/>
              </w:rPr>
            </w:pPr>
            <w:r>
              <w:rPr>
                <w:rFonts w:ascii="Calibri" w:eastAsia="Calibri" w:hAnsi="Calibri" w:cs="Calibri"/>
                <w:color w:val="FEC930"/>
                <w:sz w:val="18"/>
                <w:szCs w:val="18"/>
              </w:rPr>
              <w:t>le milieu de vie</w:t>
            </w:r>
          </w:p>
        </w:tc>
        <w:tc>
          <w:tcPr>
            <w:tcW w:w="720" w:type="dxa"/>
            <w:vAlign w:val="bottom"/>
          </w:tcPr>
          <w:p w:rsidR="00AC12B4" w:rsidRDefault="00C27636">
            <w:pPr>
              <w:spacing w:line="218" w:lineRule="exact"/>
              <w:ind w:right="30"/>
              <w:jc w:val="right"/>
              <w:rPr>
                <w:sz w:val="20"/>
                <w:szCs w:val="20"/>
              </w:rPr>
            </w:pPr>
            <w:r>
              <w:rPr>
                <w:rFonts w:ascii="Calibri" w:eastAsia="Calibri" w:hAnsi="Calibri" w:cs="Calibri"/>
                <w:sz w:val="18"/>
                <w:szCs w:val="18"/>
              </w:rPr>
              <w:t>11338</w:t>
            </w:r>
          </w:p>
        </w:tc>
        <w:tc>
          <w:tcPr>
            <w:tcW w:w="600" w:type="dxa"/>
            <w:vAlign w:val="bottom"/>
          </w:tcPr>
          <w:p w:rsidR="00AC12B4" w:rsidRDefault="00C27636">
            <w:pPr>
              <w:jc w:val="right"/>
              <w:rPr>
                <w:sz w:val="20"/>
                <w:szCs w:val="20"/>
              </w:rPr>
            </w:pPr>
            <w:r>
              <w:rPr>
                <w:rFonts w:ascii="Arial" w:eastAsia="Arial" w:hAnsi="Arial" w:cs="Arial"/>
                <w:sz w:val="18"/>
                <w:szCs w:val="18"/>
              </w:rPr>
              <w:t>54%</w:t>
            </w:r>
          </w:p>
        </w:tc>
      </w:tr>
    </w:tbl>
    <w:p w:rsidR="00AC12B4" w:rsidRDefault="00C27636">
      <w:pPr>
        <w:spacing w:line="20" w:lineRule="exact"/>
        <w:rPr>
          <w:sz w:val="20"/>
          <w:szCs w:val="20"/>
        </w:rPr>
      </w:pPr>
      <w:r>
        <w:rPr>
          <w:noProof/>
          <w:sz w:val="20"/>
          <w:szCs w:val="20"/>
        </w:rPr>
        <w:drawing>
          <wp:anchor distT="0" distB="0" distL="114300" distR="114300" simplePos="0" relativeHeight="251854336" behindDoc="1" locked="0" layoutInCell="0" allowOverlap="1">
            <wp:simplePos x="0" y="0"/>
            <wp:positionH relativeFrom="column">
              <wp:posOffset>238125</wp:posOffset>
            </wp:positionH>
            <wp:positionV relativeFrom="paragraph">
              <wp:posOffset>266065</wp:posOffset>
            </wp:positionV>
            <wp:extent cx="2807335" cy="300355"/>
            <wp:effectExtent l="0" t="0" r="0" b="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324">
                      <a:extLst/>
                    </a:blip>
                    <a:srcRect/>
                    <a:stretch>
                      <a:fillRect/>
                    </a:stretch>
                  </pic:blipFill>
                  <pic:spPr bwMode="auto">
                    <a:xfrm>
                      <a:off x="0" y="0"/>
                      <a:ext cx="2807335" cy="300355"/>
                    </a:xfrm>
                    <a:prstGeom prst="rect">
                      <a:avLst/>
                    </a:prstGeom>
                    <a:noFill/>
                  </pic:spPr>
                </pic:pic>
              </a:graphicData>
            </a:graphic>
          </wp:anchor>
        </w:drawing>
      </w:r>
    </w:p>
    <w:p w:rsidR="00AC12B4" w:rsidRDefault="00AC12B4">
      <w:pPr>
        <w:spacing w:line="200" w:lineRule="exact"/>
        <w:rPr>
          <w:sz w:val="20"/>
          <w:szCs w:val="20"/>
        </w:rPr>
      </w:pPr>
    </w:p>
    <w:p w:rsidR="00AC12B4" w:rsidRDefault="00AC12B4">
      <w:pPr>
        <w:spacing w:line="235" w:lineRule="exact"/>
        <w:rPr>
          <w:sz w:val="20"/>
          <w:szCs w:val="20"/>
        </w:rPr>
      </w:pPr>
    </w:p>
    <w:p w:rsidR="00AC12B4" w:rsidRPr="00C27636" w:rsidRDefault="00C27636">
      <w:pPr>
        <w:spacing w:line="217" w:lineRule="auto"/>
        <w:ind w:left="380" w:right="337"/>
        <w:rPr>
          <w:sz w:val="20"/>
          <w:szCs w:val="20"/>
          <w:lang w:val="fr-BE"/>
        </w:rPr>
      </w:pPr>
      <w:r w:rsidRPr="00C27636">
        <w:rPr>
          <w:rFonts w:ascii="Calibri" w:eastAsia="Calibri" w:hAnsi="Calibri" w:cs="Calibri"/>
          <w:b/>
          <w:bCs/>
          <w:color w:val="4F81BD"/>
          <w:sz w:val="18"/>
          <w:szCs w:val="18"/>
          <w:lang w:val="fr-BE"/>
        </w:rPr>
        <w:lastRenderedPageBreak/>
        <w:t>Table 1. FWB : Source AGAJ - IMAJ (extraction 1er septembre 2015)</w:t>
      </w:r>
    </w:p>
    <w:p w:rsidR="00AC12B4" w:rsidRPr="00C27636" w:rsidRDefault="00AC12B4">
      <w:pPr>
        <w:spacing w:line="128" w:lineRule="exact"/>
        <w:rPr>
          <w:sz w:val="20"/>
          <w:szCs w:val="20"/>
          <w:lang w:val="fr-BE"/>
        </w:rPr>
      </w:pPr>
    </w:p>
    <w:p w:rsidR="00AC12B4" w:rsidRDefault="00C27636">
      <w:pPr>
        <w:ind w:left="580"/>
        <w:rPr>
          <w:sz w:val="20"/>
          <w:szCs w:val="20"/>
        </w:rPr>
      </w:pPr>
      <w:r>
        <w:rPr>
          <w:rFonts w:ascii="Cambria" w:eastAsia="Cambria" w:hAnsi="Cambria" w:cs="Cambria"/>
          <w:b/>
          <w:bCs/>
          <w:i/>
          <w:iCs/>
          <w:color w:val="CF9901"/>
          <w:sz w:val="26"/>
          <w:szCs w:val="26"/>
        </w:rPr>
        <w:t>Pour aller plus loin</w:t>
      </w:r>
    </w:p>
    <w:p w:rsidR="00AC12B4" w:rsidRDefault="00AC12B4">
      <w:pPr>
        <w:spacing w:line="222" w:lineRule="exact"/>
        <w:rPr>
          <w:sz w:val="20"/>
          <w:szCs w:val="20"/>
        </w:rPr>
      </w:pPr>
    </w:p>
    <w:p w:rsidR="00AC12B4" w:rsidRPr="00C27636" w:rsidRDefault="00C27636">
      <w:pPr>
        <w:numPr>
          <w:ilvl w:val="0"/>
          <w:numId w:val="333"/>
        </w:numPr>
        <w:tabs>
          <w:tab w:val="left" w:pos="960"/>
        </w:tabs>
        <w:spacing w:line="246" w:lineRule="auto"/>
        <w:ind w:left="960" w:right="737" w:hanging="367"/>
        <w:rPr>
          <w:rFonts w:ascii="Calibri" w:eastAsia="Calibri" w:hAnsi="Calibri" w:cs="Calibri"/>
          <w:color w:val="000000"/>
          <w:sz w:val="19"/>
          <w:szCs w:val="19"/>
          <w:lang w:val="fr-BE"/>
        </w:rPr>
      </w:pPr>
      <w:r w:rsidRPr="00C27636">
        <w:rPr>
          <w:rFonts w:ascii="Calibri" w:eastAsia="Calibri" w:hAnsi="Calibri" w:cs="Calibri"/>
          <w:b/>
          <w:bCs/>
          <w:i/>
          <w:iCs/>
          <w:color w:val="FABF8F"/>
          <w:sz w:val="19"/>
          <w:szCs w:val="19"/>
          <w:lang w:val="fr-BE"/>
        </w:rPr>
        <w:t xml:space="preserve">Rapport INCC </w:t>
      </w:r>
      <w:r w:rsidRPr="00C27636">
        <w:rPr>
          <w:rFonts w:ascii="Calibri" w:eastAsia="Calibri" w:hAnsi="Calibri" w:cs="Calibri"/>
          <w:i/>
          <w:iCs/>
          <w:color w:val="000000"/>
          <w:sz w:val="19"/>
          <w:szCs w:val="19"/>
          <w:lang w:val="fr-BE"/>
        </w:rPr>
        <w:t xml:space="preserve">: Recherche </w:t>
      </w:r>
      <w:r w:rsidRPr="00C27636">
        <w:rPr>
          <w:rFonts w:ascii="Calibri" w:eastAsia="Calibri" w:hAnsi="Calibri" w:cs="Calibri"/>
          <w:i/>
          <w:iCs/>
          <w:color w:val="000000"/>
          <w:sz w:val="19"/>
          <w:szCs w:val="19"/>
          <w:lang w:val="fr-BE"/>
        </w:rPr>
        <w:t>relative aux</w:t>
      </w:r>
      <w:r w:rsidRPr="00C27636">
        <w:rPr>
          <w:rFonts w:ascii="Calibri" w:eastAsia="Calibri" w:hAnsi="Calibri" w:cs="Calibri"/>
          <w:b/>
          <w:bCs/>
          <w:i/>
          <w:iCs/>
          <w:color w:val="FABF8F"/>
          <w:sz w:val="19"/>
          <w:szCs w:val="19"/>
          <w:lang w:val="fr-BE"/>
        </w:rPr>
        <w:t xml:space="preserve"> </w:t>
      </w:r>
      <w:r w:rsidRPr="00C27636">
        <w:rPr>
          <w:rFonts w:ascii="Calibri" w:eastAsia="Calibri" w:hAnsi="Calibri" w:cs="Calibri"/>
          <w:i/>
          <w:iCs/>
          <w:color w:val="000000"/>
          <w:sz w:val="19"/>
          <w:szCs w:val="19"/>
          <w:lang w:val="fr-BE"/>
        </w:rPr>
        <w:t>décisions des juges/tribunaux de la jeunesse dans les affaires de faits qualifiés infraction, Résumé exécutif</w:t>
      </w:r>
      <w:r w:rsidRPr="00C27636">
        <w:rPr>
          <w:rFonts w:ascii="Calibri" w:eastAsia="Calibri" w:hAnsi="Calibri" w:cs="Calibri"/>
          <w:color w:val="000000"/>
          <w:sz w:val="19"/>
          <w:szCs w:val="19"/>
          <w:lang w:val="fr-BE"/>
        </w:rPr>
        <w:t>, novembre</w:t>
      </w:r>
      <w:r w:rsidRPr="00C27636">
        <w:rPr>
          <w:rFonts w:ascii="Calibri" w:eastAsia="Calibri" w:hAnsi="Calibri" w:cs="Calibri"/>
          <w:i/>
          <w:iCs/>
          <w:color w:val="000000"/>
          <w:sz w:val="19"/>
          <w:szCs w:val="19"/>
          <w:lang w:val="fr-BE"/>
        </w:rPr>
        <w:t xml:space="preserve"> </w:t>
      </w:r>
      <w:r w:rsidRPr="00C27636">
        <w:rPr>
          <w:rFonts w:ascii="Calibri" w:eastAsia="Calibri" w:hAnsi="Calibri" w:cs="Calibri"/>
          <w:color w:val="000000"/>
          <w:sz w:val="19"/>
          <w:szCs w:val="19"/>
          <w:lang w:val="fr-BE"/>
        </w:rPr>
        <w:t xml:space="preserve">2012, </w:t>
      </w:r>
      <w:hyperlink r:id="rId325">
        <w:r w:rsidRPr="00C27636">
          <w:rPr>
            <w:rFonts w:ascii="Calibri" w:eastAsia="Calibri" w:hAnsi="Calibri" w:cs="Calibri"/>
            <w:color w:val="000000"/>
            <w:sz w:val="19"/>
            <w:szCs w:val="19"/>
            <w:lang w:val="fr-BE"/>
          </w:rPr>
          <w:t>http://incc.fgov.be/upload/files/ODcrimin</w:t>
        </w:r>
      </w:hyperlink>
      <w:r w:rsidRPr="00C27636">
        <w:rPr>
          <w:rFonts w:ascii="Calibri" w:eastAsia="Calibri" w:hAnsi="Calibri" w:cs="Calibri"/>
          <w:color w:val="000000"/>
          <w:sz w:val="19"/>
          <w:szCs w:val="19"/>
          <w:lang w:val="fr-BE"/>
        </w:rPr>
        <w:t xml:space="preserve"> </w:t>
      </w:r>
      <w:hyperlink r:id="rId326">
        <w:r w:rsidRPr="00C27636">
          <w:rPr>
            <w:rFonts w:ascii="Calibri" w:eastAsia="Calibri" w:hAnsi="Calibri" w:cs="Calibri"/>
            <w:color w:val="000000"/>
            <w:sz w:val="19"/>
            <w:szCs w:val="19"/>
            <w:lang w:val="fr-BE"/>
          </w:rPr>
          <w:t>ologie/protectiondelajeunesse/pratiquesd</w:t>
        </w:r>
      </w:hyperlink>
      <w:r w:rsidRPr="00C27636">
        <w:rPr>
          <w:rFonts w:ascii="Calibri" w:eastAsia="Calibri" w:hAnsi="Calibri" w:cs="Calibri"/>
          <w:color w:val="000000"/>
          <w:sz w:val="19"/>
          <w:szCs w:val="19"/>
          <w:lang w:val="fr-BE"/>
        </w:rPr>
        <w:t xml:space="preserve"> </w:t>
      </w:r>
      <w:hyperlink r:id="rId327">
        <w:r w:rsidRPr="00C27636">
          <w:rPr>
            <w:rFonts w:ascii="Calibri" w:eastAsia="Calibri" w:hAnsi="Calibri" w:cs="Calibri"/>
            <w:color w:val="000000"/>
            <w:sz w:val="19"/>
            <w:szCs w:val="19"/>
            <w:lang w:val="fr-BE"/>
          </w:rPr>
          <w:t>ecisionnellesdestribunauxdelajeunesse/R</w:t>
        </w:r>
      </w:hyperlink>
      <w:r w:rsidRPr="00C27636">
        <w:rPr>
          <w:rFonts w:ascii="Calibri" w:eastAsia="Calibri" w:hAnsi="Calibri" w:cs="Calibri"/>
          <w:color w:val="000000"/>
          <w:sz w:val="19"/>
          <w:szCs w:val="19"/>
          <w:lang w:val="fr-BE"/>
        </w:rPr>
        <w:t xml:space="preserve"> </w:t>
      </w:r>
      <w:hyperlink r:id="rId328">
        <w:r w:rsidRPr="00C27636">
          <w:rPr>
            <w:rFonts w:ascii="Calibri" w:eastAsia="Calibri" w:hAnsi="Calibri" w:cs="Calibri"/>
            <w:color w:val="000000"/>
            <w:sz w:val="19"/>
            <w:szCs w:val="19"/>
            <w:lang w:val="fr-BE"/>
          </w:rPr>
          <w:t>esume%2</w:t>
        </w:r>
        <w:r w:rsidRPr="00C27636">
          <w:rPr>
            <w:rFonts w:ascii="Calibri" w:eastAsia="Calibri" w:hAnsi="Calibri" w:cs="Calibri"/>
            <w:color w:val="000000"/>
            <w:sz w:val="19"/>
            <w:szCs w:val="19"/>
            <w:lang w:val="fr-BE"/>
          </w:rPr>
          <w:t>0DEF%20FR.pdf.</w:t>
        </w:r>
      </w:hyperlink>
    </w:p>
    <w:p w:rsidR="00AC12B4" w:rsidRPr="00C27636" w:rsidRDefault="00AC12B4">
      <w:pPr>
        <w:spacing w:line="200" w:lineRule="exact"/>
        <w:rPr>
          <w:rFonts w:ascii="Calibri" w:eastAsia="Calibri" w:hAnsi="Calibri" w:cs="Calibri"/>
          <w:color w:val="000000"/>
          <w:sz w:val="19"/>
          <w:szCs w:val="19"/>
          <w:lang w:val="fr-BE"/>
        </w:rPr>
      </w:pPr>
    </w:p>
    <w:p w:rsidR="00AC12B4" w:rsidRPr="00C27636" w:rsidRDefault="00AC12B4">
      <w:pPr>
        <w:spacing w:line="340" w:lineRule="exact"/>
        <w:rPr>
          <w:rFonts w:ascii="Calibri" w:eastAsia="Calibri" w:hAnsi="Calibri" w:cs="Calibri"/>
          <w:color w:val="000000"/>
          <w:sz w:val="19"/>
          <w:szCs w:val="19"/>
          <w:lang w:val="fr-BE"/>
        </w:rPr>
      </w:pPr>
    </w:p>
    <w:p w:rsidR="00AC12B4" w:rsidRPr="00C27636" w:rsidRDefault="00C27636">
      <w:pPr>
        <w:numPr>
          <w:ilvl w:val="0"/>
          <w:numId w:val="333"/>
        </w:numPr>
        <w:tabs>
          <w:tab w:val="left" w:pos="960"/>
        </w:tabs>
        <w:spacing w:line="283" w:lineRule="auto"/>
        <w:ind w:left="960" w:right="737" w:hanging="367"/>
        <w:jc w:val="both"/>
        <w:rPr>
          <w:rFonts w:ascii="Symbol" w:eastAsia="Symbol" w:hAnsi="Symbol" w:cs="Symbol"/>
          <w:sz w:val="19"/>
          <w:szCs w:val="19"/>
          <w:lang w:val="fr-BE"/>
        </w:rPr>
      </w:pPr>
      <w:r w:rsidRPr="00C27636">
        <w:rPr>
          <w:rFonts w:ascii="Calibri" w:eastAsia="Calibri" w:hAnsi="Calibri" w:cs="Calibri"/>
          <w:b/>
          <w:bCs/>
          <w:i/>
          <w:iCs/>
          <w:color w:val="FABF8F"/>
          <w:sz w:val="19"/>
          <w:szCs w:val="19"/>
          <w:lang w:val="fr-BE"/>
        </w:rPr>
        <w:t xml:space="preserve">Une décision multidisciplinaire ? </w:t>
      </w:r>
      <w:r w:rsidRPr="00C27636">
        <w:rPr>
          <w:rFonts w:ascii="Calibri" w:eastAsia="Calibri" w:hAnsi="Calibri" w:cs="Calibri"/>
          <w:color w:val="000000"/>
          <w:sz w:val="19"/>
          <w:szCs w:val="19"/>
          <w:lang w:val="fr-BE"/>
        </w:rPr>
        <w:t>Les juges</w:t>
      </w:r>
      <w:r w:rsidRPr="00C27636">
        <w:rPr>
          <w:rFonts w:ascii="Calibri" w:eastAsia="Calibri" w:hAnsi="Calibri" w:cs="Calibri"/>
          <w:b/>
          <w:bCs/>
          <w:i/>
          <w:iCs/>
          <w:color w:val="FABF8F"/>
          <w:sz w:val="19"/>
          <w:szCs w:val="19"/>
          <w:lang w:val="fr-BE"/>
        </w:rPr>
        <w:t xml:space="preserve"> </w:t>
      </w:r>
      <w:r w:rsidRPr="00C27636">
        <w:rPr>
          <w:rFonts w:ascii="Calibri" w:eastAsia="Calibri" w:hAnsi="Calibri" w:cs="Calibri"/>
          <w:color w:val="000000"/>
          <w:sz w:val="19"/>
          <w:szCs w:val="19"/>
          <w:lang w:val="fr-BE"/>
        </w:rPr>
        <w:t>semblent très preneurs d’avis des services sociaux (qu’ils suivent en tout ou en partie dans 94% des cas). Cependant de grandes disparités géographiques existent. Selon l’enquête de l’INCC, 66% d</w:t>
      </w:r>
      <w:r w:rsidRPr="00C27636">
        <w:rPr>
          <w:rFonts w:ascii="Calibri" w:eastAsia="Calibri" w:hAnsi="Calibri" w:cs="Calibri"/>
          <w:color w:val="000000"/>
          <w:sz w:val="19"/>
          <w:szCs w:val="19"/>
          <w:lang w:val="fr-BE"/>
        </w:rPr>
        <w:t>es jugements du côté néerlandophone font référence à un tel avis contre seulement 41% du côté</w:t>
      </w:r>
    </w:p>
    <w:p w:rsidR="00AC12B4" w:rsidRPr="00C27636" w:rsidRDefault="00AC12B4">
      <w:pPr>
        <w:spacing w:line="44" w:lineRule="exact"/>
        <w:rPr>
          <w:rFonts w:ascii="Symbol" w:eastAsia="Symbol" w:hAnsi="Symbol" w:cs="Symbol"/>
          <w:sz w:val="19"/>
          <w:szCs w:val="19"/>
          <w:lang w:val="fr-BE"/>
        </w:rPr>
      </w:pPr>
    </w:p>
    <w:p w:rsidR="00AC12B4" w:rsidRDefault="00C27636">
      <w:pPr>
        <w:spacing w:line="221" w:lineRule="auto"/>
        <w:ind w:left="960" w:right="737"/>
        <w:jc w:val="both"/>
        <w:rPr>
          <w:rFonts w:ascii="Symbol" w:eastAsia="Symbol" w:hAnsi="Symbol" w:cs="Symbol"/>
          <w:sz w:val="19"/>
          <w:szCs w:val="19"/>
        </w:rPr>
      </w:pPr>
      <w:r w:rsidRPr="00C27636">
        <w:rPr>
          <w:rFonts w:ascii="Calibri" w:eastAsia="Calibri" w:hAnsi="Calibri" w:cs="Calibri"/>
          <w:sz w:val="20"/>
          <w:szCs w:val="20"/>
          <w:lang w:val="fr-BE"/>
        </w:rPr>
        <w:t>francophone (les disparités existent également entre arrondissements)</w:t>
      </w:r>
      <w:r w:rsidRPr="00C27636">
        <w:rPr>
          <w:rFonts w:ascii="Calibri" w:eastAsia="Calibri" w:hAnsi="Calibri" w:cs="Calibri"/>
          <w:sz w:val="25"/>
          <w:szCs w:val="25"/>
          <w:vertAlign w:val="superscript"/>
          <w:lang w:val="fr-BE"/>
        </w:rPr>
        <w:t>10</w:t>
      </w:r>
      <w:r w:rsidRPr="00C27636">
        <w:rPr>
          <w:rFonts w:ascii="Calibri" w:eastAsia="Calibri" w:hAnsi="Calibri" w:cs="Calibri"/>
          <w:sz w:val="20"/>
          <w:szCs w:val="20"/>
          <w:lang w:val="fr-BE"/>
        </w:rPr>
        <w:t xml:space="preserve">. </w:t>
      </w:r>
      <w:r>
        <w:rPr>
          <w:rFonts w:ascii="Calibri" w:eastAsia="Calibri" w:hAnsi="Calibri" w:cs="Calibri"/>
          <w:sz w:val="20"/>
          <w:szCs w:val="20"/>
        </w:rPr>
        <w:t>Voir</w:t>
      </w:r>
    </w:p>
    <w:p w:rsidR="00AC12B4" w:rsidRDefault="00C27636">
      <w:pPr>
        <w:spacing w:line="20" w:lineRule="exact"/>
        <w:rPr>
          <w:rFonts w:ascii="Calibri" w:eastAsia="Calibri" w:hAnsi="Calibri" w:cs="Calibri"/>
          <w:color w:val="000000"/>
          <w:sz w:val="19"/>
          <w:szCs w:val="19"/>
        </w:rPr>
      </w:pPr>
      <w:r>
        <w:rPr>
          <w:rFonts w:ascii="Calibri" w:eastAsia="Calibri" w:hAnsi="Calibri" w:cs="Calibri"/>
          <w:noProof/>
          <w:color w:val="000000"/>
          <w:sz w:val="19"/>
          <w:szCs w:val="19"/>
        </w:rPr>
        <mc:AlternateContent>
          <mc:Choice Requires="wps">
            <w:drawing>
              <wp:anchor distT="0" distB="0" distL="114300" distR="114300" simplePos="0" relativeHeight="251855360" behindDoc="1" locked="0" layoutInCell="0" allowOverlap="1">
                <wp:simplePos x="0" y="0"/>
                <wp:positionH relativeFrom="column">
                  <wp:posOffset>333375</wp:posOffset>
                </wp:positionH>
                <wp:positionV relativeFrom="paragraph">
                  <wp:posOffset>287020</wp:posOffset>
                </wp:positionV>
                <wp:extent cx="1828800" cy="0"/>
                <wp:effectExtent l="0" t="0" r="0" b="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5pt,22.6pt" to="170.25pt,22.6pt" o:allowincell="f" strokecolor="#000000" strokeweight="0.7199pt"/>
            </w:pict>
          </mc:Fallback>
        </mc:AlternateContent>
      </w:r>
    </w:p>
    <w:p w:rsidR="00AC12B4" w:rsidRDefault="00AC12B4">
      <w:pPr>
        <w:spacing w:line="200" w:lineRule="exact"/>
        <w:rPr>
          <w:rFonts w:ascii="Calibri" w:eastAsia="Calibri" w:hAnsi="Calibri" w:cs="Calibri"/>
          <w:color w:val="000000"/>
          <w:sz w:val="19"/>
          <w:szCs w:val="19"/>
        </w:rPr>
      </w:pPr>
    </w:p>
    <w:p w:rsidR="00AC12B4" w:rsidRDefault="00AC12B4">
      <w:pPr>
        <w:spacing w:line="395" w:lineRule="exact"/>
        <w:rPr>
          <w:rFonts w:ascii="Calibri" w:eastAsia="Calibri" w:hAnsi="Calibri" w:cs="Calibri"/>
          <w:color w:val="000000"/>
          <w:sz w:val="19"/>
          <w:szCs w:val="19"/>
        </w:rPr>
      </w:pPr>
    </w:p>
    <w:p w:rsidR="00AC12B4" w:rsidRDefault="00C27636">
      <w:pPr>
        <w:numPr>
          <w:ilvl w:val="0"/>
          <w:numId w:val="334"/>
        </w:numPr>
        <w:tabs>
          <w:tab w:val="left" w:pos="700"/>
        </w:tabs>
        <w:ind w:left="700" w:hanging="175"/>
        <w:rPr>
          <w:rFonts w:ascii="Calibri" w:eastAsia="Calibri" w:hAnsi="Calibri" w:cs="Calibri"/>
          <w:sz w:val="25"/>
          <w:szCs w:val="25"/>
          <w:vertAlign w:val="superscript"/>
        </w:rPr>
      </w:pPr>
      <w:r>
        <w:rPr>
          <w:rFonts w:ascii="Calibri" w:eastAsia="Calibri" w:hAnsi="Calibri" w:cs="Calibri"/>
          <w:sz w:val="19"/>
          <w:szCs w:val="19"/>
        </w:rPr>
        <w:t xml:space="preserve">INCC, </w:t>
      </w:r>
      <w:r>
        <w:rPr>
          <w:rFonts w:ascii="Calibri" w:eastAsia="Calibri" w:hAnsi="Calibri" w:cs="Calibri"/>
          <w:i/>
          <w:iCs/>
          <w:sz w:val="19"/>
          <w:szCs w:val="19"/>
        </w:rPr>
        <w:t>o.c</w:t>
      </w:r>
      <w:r>
        <w:rPr>
          <w:rFonts w:ascii="Calibri" w:eastAsia="Calibri" w:hAnsi="Calibri" w:cs="Calibri"/>
          <w:sz w:val="19"/>
          <w:szCs w:val="19"/>
        </w:rPr>
        <w:t>.</w:t>
      </w:r>
    </w:p>
    <w:p w:rsidR="00AC12B4" w:rsidRDefault="00AC12B4">
      <w:pPr>
        <w:spacing w:line="241" w:lineRule="exact"/>
        <w:rPr>
          <w:rFonts w:ascii="Calibri" w:eastAsia="Calibri" w:hAnsi="Calibri" w:cs="Calibri"/>
          <w:color w:val="000000"/>
          <w:sz w:val="19"/>
          <w:szCs w:val="19"/>
        </w:rPr>
      </w:pPr>
    </w:p>
    <w:p w:rsidR="00AC12B4" w:rsidRDefault="00C27636">
      <w:pPr>
        <w:rPr>
          <w:sz w:val="20"/>
          <w:szCs w:val="20"/>
        </w:rPr>
      </w:pPr>
      <w:r>
        <w:rPr>
          <w:rFonts w:ascii="Calibri" w:eastAsia="Calibri" w:hAnsi="Calibri" w:cs="Calibri"/>
        </w:rPr>
        <w:t>174</w:t>
      </w:r>
    </w:p>
    <w:p w:rsidR="00AC12B4" w:rsidRDefault="00AC12B4">
      <w:pPr>
        <w:sectPr w:rsidR="00AC12B4">
          <w:pgSz w:w="12080" w:h="17179"/>
          <w:pgMar w:top="1440" w:right="1440" w:bottom="659" w:left="427" w:header="0" w:footer="0" w:gutter="0"/>
          <w:cols w:num="3" w:space="720" w:equalWidth="0">
            <w:col w:w="330" w:space="683"/>
            <w:col w:w="3880" w:space="180"/>
            <w:col w:w="5137"/>
          </w:cols>
        </w:sectPr>
      </w:pPr>
    </w:p>
    <w:p w:rsidR="00AC12B4" w:rsidRDefault="00AC12B4">
      <w:pPr>
        <w:spacing w:line="211" w:lineRule="exact"/>
        <w:rPr>
          <w:sz w:val="20"/>
          <w:szCs w:val="20"/>
        </w:rPr>
      </w:pPr>
      <w:bookmarkStart w:id="174" w:name="page175"/>
      <w:bookmarkEnd w:id="174"/>
    </w:p>
    <w:p w:rsidR="00AC12B4" w:rsidRPr="00C27636" w:rsidRDefault="00C27636">
      <w:pPr>
        <w:spacing w:line="236" w:lineRule="auto"/>
        <w:ind w:left="1000"/>
        <w:jc w:val="both"/>
        <w:rPr>
          <w:sz w:val="20"/>
          <w:szCs w:val="20"/>
          <w:lang w:val="fr-BE"/>
        </w:rPr>
      </w:pPr>
      <w:r w:rsidRPr="00C27636">
        <w:rPr>
          <w:rFonts w:ascii="Calibri" w:eastAsia="Calibri" w:hAnsi="Calibri" w:cs="Calibri"/>
          <w:sz w:val="20"/>
          <w:szCs w:val="20"/>
          <w:lang w:val="fr-BE"/>
        </w:rPr>
        <w:t xml:space="preserve">aussi Franssens M., Put J. en Deklerck J., </w:t>
      </w:r>
      <w:r w:rsidRPr="00C27636">
        <w:rPr>
          <w:rFonts w:ascii="Calibri" w:eastAsia="Calibri" w:hAnsi="Calibri" w:cs="Calibri"/>
          <w:i/>
          <w:iCs/>
          <w:sz w:val="20"/>
          <w:szCs w:val="20"/>
          <w:lang w:val="fr-BE"/>
        </w:rPr>
        <w:t>o.c.</w:t>
      </w:r>
    </w:p>
    <w:p w:rsidR="00AC12B4" w:rsidRPr="00C27636" w:rsidRDefault="00AC12B4">
      <w:pPr>
        <w:spacing w:line="281" w:lineRule="exact"/>
        <w:rPr>
          <w:sz w:val="20"/>
          <w:szCs w:val="20"/>
          <w:lang w:val="fr-BE"/>
        </w:rPr>
      </w:pPr>
    </w:p>
    <w:p w:rsidR="00AC12B4" w:rsidRPr="00C27636" w:rsidRDefault="00C27636">
      <w:pPr>
        <w:spacing w:line="230" w:lineRule="auto"/>
        <w:ind w:left="1000"/>
        <w:jc w:val="both"/>
        <w:rPr>
          <w:sz w:val="20"/>
          <w:szCs w:val="20"/>
          <w:lang w:val="fr-BE"/>
        </w:rPr>
      </w:pPr>
      <w:r w:rsidRPr="00C27636">
        <w:rPr>
          <w:rFonts w:ascii="Calibri" w:eastAsia="Calibri" w:hAnsi="Calibri" w:cs="Calibri"/>
          <w:sz w:val="20"/>
          <w:szCs w:val="20"/>
          <w:lang w:val="fr-BE"/>
        </w:rPr>
        <w:t>La multidisciplinarité connaît toutefois ses limites. Quant à un échange entre le service de protection judiciaire et le centre PMS p.ex., le secret professionnel s’y oppose.</w:t>
      </w:r>
    </w:p>
    <w:p w:rsidR="00AC12B4" w:rsidRPr="00C27636" w:rsidRDefault="00AC12B4">
      <w:pPr>
        <w:spacing w:line="200" w:lineRule="exact"/>
        <w:rPr>
          <w:sz w:val="20"/>
          <w:szCs w:val="20"/>
          <w:lang w:val="fr-BE"/>
        </w:rPr>
      </w:pPr>
    </w:p>
    <w:p w:rsidR="00AC12B4" w:rsidRPr="00C27636" w:rsidRDefault="00AC12B4">
      <w:pPr>
        <w:spacing w:line="289" w:lineRule="exact"/>
        <w:rPr>
          <w:sz w:val="20"/>
          <w:szCs w:val="20"/>
          <w:lang w:val="fr-BE"/>
        </w:rPr>
      </w:pPr>
    </w:p>
    <w:p w:rsidR="00AC12B4" w:rsidRDefault="00C27636">
      <w:pPr>
        <w:numPr>
          <w:ilvl w:val="0"/>
          <w:numId w:val="335"/>
        </w:numPr>
        <w:tabs>
          <w:tab w:val="left" w:pos="1280"/>
        </w:tabs>
        <w:ind w:left="1280" w:hanging="353"/>
        <w:rPr>
          <w:rFonts w:ascii="Symbol" w:eastAsia="Symbol" w:hAnsi="Symbol" w:cs="Symbol"/>
          <w:sz w:val="20"/>
          <w:szCs w:val="20"/>
        </w:rPr>
      </w:pPr>
      <w:r>
        <w:rPr>
          <w:rFonts w:ascii="Calibri" w:eastAsia="Calibri" w:hAnsi="Calibri" w:cs="Calibri"/>
          <w:b/>
          <w:bCs/>
          <w:i/>
          <w:iCs/>
          <w:color w:val="FABF8F"/>
          <w:sz w:val="20"/>
          <w:szCs w:val="20"/>
        </w:rPr>
        <w:t>Récidive :</w:t>
      </w:r>
    </w:p>
    <w:p w:rsidR="00AC12B4" w:rsidRDefault="00AC12B4">
      <w:pPr>
        <w:spacing w:line="83" w:lineRule="exact"/>
        <w:rPr>
          <w:sz w:val="20"/>
          <w:szCs w:val="20"/>
        </w:rPr>
      </w:pPr>
    </w:p>
    <w:p w:rsidR="00AC12B4" w:rsidRDefault="00C27636">
      <w:pPr>
        <w:spacing w:line="271" w:lineRule="auto"/>
        <w:ind w:left="920"/>
        <w:jc w:val="both"/>
        <w:rPr>
          <w:sz w:val="20"/>
          <w:szCs w:val="20"/>
        </w:rPr>
      </w:pPr>
      <w:r w:rsidRPr="00C27636">
        <w:rPr>
          <w:rFonts w:ascii="Calibri" w:eastAsia="Calibri" w:hAnsi="Calibri" w:cs="Calibri"/>
          <w:sz w:val="20"/>
          <w:szCs w:val="20"/>
          <w:lang w:val="fr-BE"/>
        </w:rPr>
        <w:t>Christiaens, J. et</w:t>
      </w:r>
      <w:r w:rsidRPr="00C27636">
        <w:rPr>
          <w:rFonts w:ascii="Calibri" w:eastAsia="Calibri" w:hAnsi="Calibri" w:cs="Calibri"/>
          <w:sz w:val="20"/>
          <w:szCs w:val="20"/>
          <w:lang w:val="fr-BE"/>
        </w:rPr>
        <w:t xml:space="preserve"> Dumortier, E., </w:t>
      </w:r>
      <w:r w:rsidRPr="00C27636">
        <w:rPr>
          <w:rFonts w:ascii="Calibri" w:eastAsia="Calibri" w:hAnsi="Calibri" w:cs="Calibri"/>
          <w:i/>
          <w:iCs/>
          <w:sz w:val="20"/>
          <w:szCs w:val="20"/>
          <w:lang w:val="fr-BE"/>
        </w:rPr>
        <w:t>Pathways</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of transferred juvenile delinquents: A qualitative study about the consequences of transfer on criminal justice pathways into (young) adulthood</w:t>
      </w:r>
      <w:r w:rsidRPr="00C27636">
        <w:rPr>
          <w:rFonts w:ascii="Calibri" w:eastAsia="Calibri" w:hAnsi="Calibri" w:cs="Calibri"/>
          <w:sz w:val="20"/>
          <w:szCs w:val="20"/>
          <w:lang w:val="fr-BE"/>
        </w:rPr>
        <w:t>, 2013-2016: cette</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étude est élaborée sur la base d'une étude précédente de Nuyttiens, A</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Impact van</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uithandengeving</w:t>
      </w:r>
      <w:r w:rsidRPr="00C27636">
        <w:rPr>
          <w:rFonts w:ascii="Calibri" w:eastAsia="Calibri" w:hAnsi="Calibri" w:cs="Calibri"/>
          <w:sz w:val="20"/>
          <w:szCs w:val="20"/>
          <w:lang w:val="fr-BE"/>
        </w:rPr>
        <w:t>, Brussel, VUB, 2013,</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 xml:space="preserve">auprès de 210 jeunes qui avaient été dessaisis auparavant. </w:t>
      </w:r>
      <w:r>
        <w:rPr>
          <w:rFonts w:ascii="Calibri" w:eastAsia="Calibri" w:hAnsi="Calibri" w:cs="Calibri"/>
          <w:sz w:val="20"/>
          <w:szCs w:val="20"/>
        </w:rPr>
        <w:t>Il en était ressorti que :</w:t>
      </w:r>
    </w:p>
    <w:p w:rsidR="00AC12B4" w:rsidRDefault="00AC12B4">
      <w:pPr>
        <w:spacing w:line="69" w:lineRule="exact"/>
        <w:rPr>
          <w:sz w:val="20"/>
          <w:szCs w:val="20"/>
        </w:rPr>
      </w:pPr>
    </w:p>
    <w:p w:rsidR="00AC12B4" w:rsidRPr="00C27636" w:rsidRDefault="00C27636">
      <w:pPr>
        <w:numPr>
          <w:ilvl w:val="1"/>
          <w:numId w:val="336"/>
        </w:numPr>
        <w:tabs>
          <w:tab w:val="left" w:pos="2000"/>
        </w:tabs>
        <w:spacing w:line="264" w:lineRule="auto"/>
        <w:ind w:left="2000" w:hanging="353"/>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sur 75 % de condamnés, seuls 17,4 % avaient écopé d'une peine effective ; 11,6 % des affaires n'avaient pas eu de </w:t>
      </w:r>
      <w:r w:rsidRPr="00C27636">
        <w:rPr>
          <w:rFonts w:ascii="Calibri" w:eastAsia="Calibri" w:hAnsi="Calibri" w:cs="Calibri"/>
          <w:sz w:val="20"/>
          <w:szCs w:val="20"/>
          <w:lang w:val="fr-BE"/>
        </w:rPr>
        <w:t>suite (et le résultat de 13 % des affaires est inconnu)</w:t>
      </w:r>
    </w:p>
    <w:p w:rsidR="00AC12B4" w:rsidRPr="00C27636" w:rsidRDefault="00AC12B4">
      <w:pPr>
        <w:spacing w:line="71" w:lineRule="exact"/>
        <w:rPr>
          <w:rFonts w:ascii="Symbol" w:eastAsia="Symbol" w:hAnsi="Symbol" w:cs="Symbol"/>
          <w:sz w:val="20"/>
          <w:szCs w:val="20"/>
          <w:lang w:val="fr-BE"/>
        </w:rPr>
      </w:pPr>
    </w:p>
    <w:p w:rsidR="00AC12B4" w:rsidRPr="00C27636" w:rsidRDefault="00C27636">
      <w:pPr>
        <w:numPr>
          <w:ilvl w:val="1"/>
          <w:numId w:val="336"/>
        </w:numPr>
        <w:tabs>
          <w:tab w:val="left" w:pos="2000"/>
        </w:tabs>
        <w:spacing w:line="246" w:lineRule="auto"/>
        <w:ind w:left="2000" w:hanging="353"/>
        <w:jc w:val="both"/>
        <w:rPr>
          <w:rFonts w:ascii="Symbol" w:eastAsia="Symbol" w:hAnsi="Symbol" w:cs="Symbol"/>
          <w:sz w:val="20"/>
          <w:szCs w:val="20"/>
          <w:lang w:val="fr-BE"/>
        </w:rPr>
      </w:pPr>
      <w:r w:rsidRPr="00C27636">
        <w:rPr>
          <w:rFonts w:ascii="Calibri" w:eastAsia="Calibri" w:hAnsi="Calibri" w:cs="Calibri"/>
          <w:sz w:val="20"/>
          <w:szCs w:val="20"/>
          <w:lang w:val="fr-BE"/>
        </w:rPr>
        <w:t>dans un délai de 4 à 6 ans, plus de la moitié avait récidivé, et ce pour des faits</w:t>
      </w:r>
    </w:p>
    <w:p w:rsidR="00AC12B4" w:rsidRPr="00C27636" w:rsidRDefault="00AC12B4">
      <w:pPr>
        <w:spacing w:line="78" w:lineRule="exact"/>
        <w:rPr>
          <w:rFonts w:ascii="Symbol" w:eastAsia="Symbol" w:hAnsi="Symbol" w:cs="Symbol"/>
          <w:sz w:val="20"/>
          <w:szCs w:val="20"/>
          <w:lang w:val="fr-BE"/>
        </w:rPr>
      </w:pPr>
    </w:p>
    <w:p w:rsidR="00AC12B4" w:rsidRPr="00C27636" w:rsidRDefault="00C27636">
      <w:pPr>
        <w:spacing w:line="235" w:lineRule="auto"/>
        <w:ind w:left="2000"/>
        <w:jc w:val="both"/>
        <w:rPr>
          <w:rFonts w:ascii="Symbol" w:eastAsia="Symbol" w:hAnsi="Symbol" w:cs="Symbol"/>
          <w:sz w:val="20"/>
          <w:szCs w:val="20"/>
          <w:lang w:val="fr-BE"/>
        </w:rPr>
      </w:pPr>
      <w:r w:rsidRPr="00C27636">
        <w:rPr>
          <w:rFonts w:ascii="Calibri" w:eastAsia="Calibri" w:hAnsi="Calibri" w:cs="Calibri"/>
          <w:sz w:val="20"/>
          <w:szCs w:val="20"/>
          <w:lang w:val="fr-BE"/>
        </w:rPr>
        <w:t>plus graves (délits patrimoniaux, souvent avec</w:t>
      </w:r>
    </w:p>
    <w:p w:rsidR="00AC12B4" w:rsidRPr="00C27636" w:rsidRDefault="00AC12B4">
      <w:pPr>
        <w:spacing w:line="36" w:lineRule="exact"/>
        <w:rPr>
          <w:rFonts w:ascii="Symbol" w:eastAsia="Symbol" w:hAnsi="Symbol" w:cs="Symbol"/>
          <w:sz w:val="20"/>
          <w:szCs w:val="20"/>
          <w:lang w:val="fr-BE"/>
        </w:rPr>
      </w:pPr>
    </w:p>
    <w:p w:rsidR="00AC12B4" w:rsidRPr="00C27636" w:rsidRDefault="00C27636">
      <w:pPr>
        <w:ind w:left="2000"/>
        <w:rPr>
          <w:rFonts w:ascii="Symbol" w:eastAsia="Symbol" w:hAnsi="Symbol" w:cs="Symbol"/>
          <w:sz w:val="20"/>
          <w:szCs w:val="20"/>
          <w:lang w:val="fr-BE"/>
        </w:rPr>
      </w:pPr>
      <w:r w:rsidRPr="00C27636">
        <w:rPr>
          <w:rFonts w:ascii="Calibri" w:eastAsia="Calibri" w:hAnsi="Calibri" w:cs="Calibri"/>
          <w:sz w:val="20"/>
          <w:szCs w:val="20"/>
          <w:lang w:val="fr-BE"/>
        </w:rPr>
        <w:t>des</w:t>
      </w:r>
      <w:r w:rsidRPr="00C27636">
        <w:rPr>
          <w:rFonts w:ascii="Calibri" w:eastAsia="Calibri" w:hAnsi="Calibri" w:cs="Calibri"/>
          <w:sz w:val="19"/>
          <w:szCs w:val="19"/>
          <w:lang w:val="fr-BE"/>
        </w:rPr>
        <w:t>circonstances</w:t>
      </w:r>
    </w:p>
    <w:p w:rsidR="00AC12B4" w:rsidRPr="00C27636" w:rsidRDefault="00AC12B4">
      <w:pPr>
        <w:spacing w:line="83" w:lineRule="exact"/>
        <w:rPr>
          <w:rFonts w:ascii="Symbol" w:eastAsia="Symbol" w:hAnsi="Symbol" w:cs="Symbol"/>
          <w:sz w:val="20"/>
          <w:szCs w:val="20"/>
          <w:lang w:val="fr-BE"/>
        </w:rPr>
      </w:pPr>
    </w:p>
    <w:p w:rsidR="00AC12B4" w:rsidRDefault="00C27636">
      <w:pPr>
        <w:spacing w:line="264" w:lineRule="auto"/>
        <w:ind w:left="2000"/>
        <w:jc w:val="both"/>
        <w:rPr>
          <w:rFonts w:ascii="Symbol" w:eastAsia="Symbol" w:hAnsi="Symbol" w:cs="Symbol"/>
          <w:sz w:val="20"/>
          <w:szCs w:val="20"/>
        </w:rPr>
      </w:pPr>
      <w:r w:rsidRPr="00C27636">
        <w:rPr>
          <w:rFonts w:ascii="Calibri" w:eastAsia="Calibri" w:hAnsi="Calibri" w:cs="Calibri"/>
          <w:sz w:val="20"/>
          <w:szCs w:val="20"/>
          <w:lang w:val="fr-BE"/>
        </w:rPr>
        <w:t xml:space="preserve">aggravantes) que les délinquants mineurs qui </w:t>
      </w:r>
      <w:r w:rsidRPr="00C27636">
        <w:rPr>
          <w:rFonts w:ascii="Calibri" w:eastAsia="Calibri" w:hAnsi="Calibri" w:cs="Calibri"/>
          <w:sz w:val="20"/>
          <w:szCs w:val="20"/>
          <w:lang w:val="fr-BE"/>
        </w:rPr>
        <w:t xml:space="preserve">n'avaient pas été dessaisis. </w:t>
      </w:r>
      <w:r>
        <w:rPr>
          <w:rFonts w:ascii="Calibri" w:eastAsia="Calibri" w:hAnsi="Calibri" w:cs="Calibri"/>
          <w:sz w:val="20"/>
          <w:szCs w:val="20"/>
        </w:rPr>
        <w:t>72,4 % avaient été au moins 1x en prison.</w:t>
      </w:r>
    </w:p>
    <w:p w:rsidR="00AC12B4" w:rsidRDefault="00AC12B4">
      <w:pPr>
        <w:spacing w:line="354" w:lineRule="exact"/>
        <w:rPr>
          <w:rFonts w:ascii="Symbol" w:eastAsia="Symbol" w:hAnsi="Symbol" w:cs="Symbol"/>
          <w:sz w:val="20"/>
          <w:szCs w:val="20"/>
        </w:rPr>
      </w:pPr>
    </w:p>
    <w:p w:rsidR="00AC12B4" w:rsidRPr="00C27636" w:rsidRDefault="00C27636">
      <w:pPr>
        <w:numPr>
          <w:ilvl w:val="0"/>
          <w:numId w:val="336"/>
        </w:numPr>
        <w:tabs>
          <w:tab w:val="left" w:pos="1260"/>
        </w:tabs>
        <w:spacing w:line="230" w:lineRule="auto"/>
        <w:ind w:left="1260" w:hanging="352"/>
        <w:rPr>
          <w:rFonts w:ascii="Symbol" w:eastAsia="Symbol" w:hAnsi="Symbol" w:cs="Symbol"/>
          <w:sz w:val="20"/>
          <w:szCs w:val="20"/>
          <w:lang w:val="fr-BE"/>
        </w:rPr>
      </w:pPr>
      <w:r w:rsidRPr="00C27636">
        <w:rPr>
          <w:rFonts w:ascii="Calibri" w:eastAsia="Calibri" w:hAnsi="Calibri" w:cs="Calibri"/>
          <w:b/>
          <w:bCs/>
          <w:i/>
          <w:iCs/>
          <w:color w:val="FABF8F"/>
          <w:sz w:val="20"/>
          <w:szCs w:val="20"/>
          <w:lang w:val="fr-BE"/>
        </w:rPr>
        <w:t>Parcours de mineurs ayant commis un fait qualifié infraction :</w:t>
      </w:r>
    </w:p>
    <w:p w:rsidR="00AC12B4" w:rsidRPr="00C27636" w:rsidRDefault="00AC12B4">
      <w:pPr>
        <w:spacing w:line="38" w:lineRule="exact"/>
        <w:rPr>
          <w:rFonts w:ascii="Symbol" w:eastAsia="Symbol" w:hAnsi="Symbol" w:cs="Symbol"/>
          <w:sz w:val="20"/>
          <w:szCs w:val="20"/>
          <w:lang w:val="fr-BE"/>
        </w:rPr>
      </w:pPr>
    </w:p>
    <w:p w:rsidR="00AC12B4" w:rsidRDefault="00C27636">
      <w:pPr>
        <w:numPr>
          <w:ilvl w:val="1"/>
          <w:numId w:val="336"/>
        </w:numPr>
        <w:tabs>
          <w:tab w:val="left" w:pos="2000"/>
        </w:tabs>
        <w:ind w:left="2000" w:hanging="353"/>
        <w:rPr>
          <w:rFonts w:ascii="Symbol" w:eastAsia="Symbol" w:hAnsi="Symbol" w:cs="Symbol"/>
          <w:sz w:val="20"/>
          <w:szCs w:val="20"/>
        </w:rPr>
      </w:pPr>
      <w:r>
        <w:rPr>
          <w:rFonts w:ascii="Calibri" w:eastAsia="Calibri" w:hAnsi="Calibri" w:cs="Calibri"/>
          <w:sz w:val="20"/>
          <w:szCs w:val="20"/>
        </w:rPr>
        <w:t>DE FRAENE, D., JASPART, A.</w:t>
      </w:r>
    </w:p>
    <w:p w:rsidR="00AC12B4" w:rsidRDefault="00AC12B4">
      <w:pPr>
        <w:spacing w:line="81" w:lineRule="exact"/>
        <w:rPr>
          <w:rFonts w:ascii="Symbol" w:eastAsia="Symbol" w:hAnsi="Symbol" w:cs="Symbol"/>
          <w:sz w:val="20"/>
          <w:szCs w:val="20"/>
        </w:rPr>
      </w:pPr>
    </w:p>
    <w:p w:rsidR="00AC12B4" w:rsidRPr="00C27636" w:rsidRDefault="00C27636">
      <w:pPr>
        <w:spacing w:line="266" w:lineRule="auto"/>
        <w:ind w:left="2000"/>
        <w:rPr>
          <w:rFonts w:ascii="Symbol" w:eastAsia="Symbol" w:hAnsi="Symbol" w:cs="Symbol"/>
          <w:sz w:val="20"/>
          <w:szCs w:val="20"/>
          <w:lang w:val="fr-BE"/>
        </w:rPr>
      </w:pPr>
      <w:r w:rsidRPr="00C27636">
        <w:rPr>
          <w:rFonts w:ascii="Calibri" w:eastAsia="Calibri" w:hAnsi="Calibri" w:cs="Calibri"/>
          <w:sz w:val="20"/>
          <w:szCs w:val="20"/>
          <w:lang w:val="fr-BE"/>
        </w:rPr>
        <w:t>et REMACLE, C., «Cheminements biographiques et repères de socialisation. Une recherche auprè</w:t>
      </w:r>
      <w:r w:rsidRPr="00C27636">
        <w:rPr>
          <w:rFonts w:ascii="Calibri" w:eastAsia="Calibri" w:hAnsi="Calibri" w:cs="Calibri"/>
          <w:sz w:val="20"/>
          <w:szCs w:val="20"/>
          <w:lang w:val="fr-BE"/>
        </w:rPr>
        <w:t xml:space="preserve">s de jeunes placés en IPPJ », </w:t>
      </w:r>
      <w:r w:rsidRPr="00C27636">
        <w:rPr>
          <w:rFonts w:ascii="Calibri" w:eastAsia="Calibri" w:hAnsi="Calibri" w:cs="Calibri"/>
          <w:i/>
          <w:iCs/>
          <w:sz w:val="20"/>
          <w:szCs w:val="20"/>
          <w:lang w:val="fr-BE"/>
        </w:rPr>
        <w:t>Journal du Droit des</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4" w:lineRule="exact"/>
        <w:rPr>
          <w:sz w:val="20"/>
          <w:szCs w:val="20"/>
          <w:lang w:val="fr-BE"/>
        </w:rPr>
      </w:pPr>
    </w:p>
    <w:p w:rsidR="00AC12B4" w:rsidRDefault="00C27636">
      <w:pPr>
        <w:ind w:left="1960"/>
        <w:rPr>
          <w:sz w:val="20"/>
          <w:szCs w:val="20"/>
        </w:rPr>
      </w:pPr>
      <w:r>
        <w:rPr>
          <w:rFonts w:ascii="Calibri" w:eastAsia="Calibri" w:hAnsi="Calibri" w:cs="Calibri"/>
          <w:i/>
          <w:iCs/>
          <w:sz w:val="20"/>
          <w:szCs w:val="20"/>
        </w:rPr>
        <w:t>Jeunes</w:t>
      </w:r>
      <w:r>
        <w:rPr>
          <w:rFonts w:ascii="Calibri" w:eastAsia="Calibri" w:hAnsi="Calibri" w:cs="Calibri"/>
          <w:sz w:val="20"/>
          <w:szCs w:val="20"/>
        </w:rPr>
        <w:t>, février 2014, n° 332,</w:t>
      </w:r>
    </w:p>
    <w:p w:rsidR="00AC12B4" w:rsidRDefault="00AC12B4">
      <w:pPr>
        <w:spacing w:line="37" w:lineRule="exact"/>
        <w:rPr>
          <w:sz w:val="20"/>
          <w:szCs w:val="20"/>
        </w:rPr>
      </w:pPr>
    </w:p>
    <w:p w:rsidR="00AC12B4" w:rsidRDefault="00C27636">
      <w:pPr>
        <w:ind w:left="1960"/>
        <w:rPr>
          <w:sz w:val="20"/>
          <w:szCs w:val="20"/>
        </w:rPr>
      </w:pPr>
      <w:r>
        <w:rPr>
          <w:rFonts w:ascii="Calibri" w:eastAsia="Calibri" w:hAnsi="Calibri" w:cs="Calibri"/>
          <w:sz w:val="20"/>
          <w:szCs w:val="20"/>
        </w:rPr>
        <w:t>pp. 4-13.</w:t>
      </w:r>
    </w:p>
    <w:p w:rsidR="00AC12B4" w:rsidRDefault="00AC12B4">
      <w:pPr>
        <w:spacing w:line="95" w:lineRule="exact"/>
        <w:rPr>
          <w:sz w:val="20"/>
          <w:szCs w:val="20"/>
        </w:rPr>
      </w:pPr>
    </w:p>
    <w:p w:rsidR="00AC12B4" w:rsidRPr="00C27636" w:rsidRDefault="00C27636">
      <w:pPr>
        <w:numPr>
          <w:ilvl w:val="1"/>
          <w:numId w:val="337"/>
        </w:numPr>
        <w:tabs>
          <w:tab w:val="left" w:pos="1960"/>
        </w:tabs>
        <w:spacing w:line="266" w:lineRule="auto"/>
        <w:ind w:left="1960" w:right="93" w:hanging="368"/>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 xml:space="preserve">Présentation de l'OEJAJ à la matinée d'étude sur les parcours en IPPJ, </w:t>
      </w:r>
      <w:r w:rsidRPr="00C27636">
        <w:rPr>
          <w:rFonts w:ascii="Calibri" w:eastAsia="Calibri" w:hAnsi="Calibri" w:cs="Calibri"/>
          <w:i/>
          <w:iCs/>
          <w:sz w:val="20"/>
          <w:szCs w:val="20"/>
          <w:lang w:val="fr-BE"/>
        </w:rPr>
        <w:t>Esquisse de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 xml:space="preserve">parcours d'une génération en IPPJ </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w:t>
      </w:r>
      <w:hyperlink r:id="rId329">
        <w:r w:rsidRPr="00C27636">
          <w:rPr>
            <w:rFonts w:ascii="Calibri" w:eastAsia="Calibri" w:hAnsi="Calibri" w:cs="Calibri"/>
            <w:color w:val="0000FF"/>
            <w:sz w:val="20"/>
            <w:szCs w:val="20"/>
            <w:u w:val="single"/>
            <w:lang w:val="fr-BE"/>
          </w:rPr>
          <w:t>http://www.oejaj.cfwb.be/in</w:t>
        </w:r>
      </w:hyperlink>
      <w:r w:rsidRPr="00C27636">
        <w:rPr>
          <w:rFonts w:ascii="Calibri" w:eastAsia="Calibri" w:hAnsi="Calibri" w:cs="Calibri"/>
          <w:color w:val="0000FF"/>
          <w:sz w:val="20"/>
          <w:szCs w:val="20"/>
          <w:u w:val="single"/>
          <w:lang w:val="fr-BE"/>
        </w:rPr>
        <w:t xml:space="preserve"> </w:t>
      </w:r>
      <w:hyperlink r:id="rId330">
        <w:r w:rsidRPr="00C27636">
          <w:rPr>
            <w:rFonts w:ascii="Calibri" w:eastAsia="Calibri" w:hAnsi="Calibri" w:cs="Calibri"/>
            <w:color w:val="0000FF"/>
            <w:sz w:val="20"/>
            <w:szCs w:val="20"/>
            <w:u w:val="single"/>
            <w:lang w:val="fr-BE"/>
          </w:rPr>
          <w:t>dex.php?id=11004</w:t>
        </w:r>
      </w:hyperlink>
    </w:p>
    <w:p w:rsidR="00AC12B4" w:rsidRPr="00C27636" w:rsidRDefault="00AC12B4">
      <w:pPr>
        <w:spacing w:line="350" w:lineRule="exact"/>
        <w:rPr>
          <w:rFonts w:ascii="Calibri" w:eastAsia="Calibri" w:hAnsi="Calibri" w:cs="Calibri"/>
          <w:color w:val="0000FF"/>
          <w:sz w:val="20"/>
          <w:szCs w:val="20"/>
          <w:u w:val="single"/>
          <w:lang w:val="fr-BE"/>
        </w:rPr>
      </w:pPr>
    </w:p>
    <w:p w:rsidR="00AC12B4" w:rsidRPr="00C27636" w:rsidRDefault="00C27636">
      <w:pPr>
        <w:numPr>
          <w:ilvl w:val="0"/>
          <w:numId w:val="337"/>
        </w:numPr>
        <w:tabs>
          <w:tab w:val="left" w:pos="1080"/>
        </w:tabs>
        <w:spacing w:line="261" w:lineRule="auto"/>
        <w:ind w:left="1080" w:right="93" w:hanging="362"/>
        <w:jc w:val="both"/>
        <w:rPr>
          <w:rFonts w:ascii="Symbol" w:eastAsia="Symbol" w:hAnsi="Symbol" w:cs="Symbol"/>
          <w:sz w:val="20"/>
          <w:szCs w:val="20"/>
          <w:lang w:val="fr-BE"/>
        </w:rPr>
      </w:pPr>
      <w:r w:rsidRPr="00C27636">
        <w:rPr>
          <w:rFonts w:ascii="Calibri" w:eastAsia="Calibri" w:hAnsi="Calibri" w:cs="Calibri"/>
          <w:b/>
          <w:bCs/>
          <w:i/>
          <w:iCs/>
          <w:color w:val="FABF8F"/>
          <w:sz w:val="20"/>
          <w:szCs w:val="20"/>
          <w:lang w:val="fr-BE"/>
        </w:rPr>
        <w:t xml:space="preserve">Sanctions administratives communales: </w:t>
      </w:r>
      <w:r w:rsidRPr="00C27636">
        <w:rPr>
          <w:rFonts w:ascii="Calibri" w:eastAsia="Calibri" w:hAnsi="Calibri" w:cs="Calibri"/>
          <w:color w:val="000000"/>
          <w:sz w:val="20"/>
          <w:szCs w:val="20"/>
          <w:lang w:val="fr-BE"/>
        </w:rPr>
        <w:t xml:space="preserve">ces « sanctions » sont des mesures </w:t>
      </w:r>
      <w:r w:rsidRPr="00C27636">
        <w:rPr>
          <w:rFonts w:ascii="Calibri" w:eastAsia="Calibri" w:hAnsi="Calibri" w:cs="Calibri"/>
          <w:color w:val="000000"/>
          <w:sz w:val="20"/>
          <w:szCs w:val="20"/>
          <w:lang w:val="fr-BE"/>
        </w:rPr>
        <w:t>extra-judiciaires. Elles sont applicables aux jeunes à partir de 14 ans. Il serait intéressant de connaître l’ampleur des</w:t>
      </w:r>
    </w:p>
    <w:p w:rsidR="00AC12B4" w:rsidRPr="00C27636" w:rsidRDefault="00AC12B4">
      <w:pPr>
        <w:spacing w:line="63" w:lineRule="exact"/>
        <w:rPr>
          <w:rFonts w:ascii="Symbol" w:eastAsia="Symbol" w:hAnsi="Symbol" w:cs="Symbol"/>
          <w:sz w:val="20"/>
          <w:szCs w:val="20"/>
          <w:lang w:val="fr-BE"/>
        </w:rPr>
      </w:pPr>
    </w:p>
    <w:p w:rsidR="00AC12B4" w:rsidRPr="00C27636" w:rsidRDefault="00C27636">
      <w:pPr>
        <w:spacing w:line="260" w:lineRule="auto"/>
        <w:ind w:left="1080" w:right="93"/>
        <w:jc w:val="both"/>
        <w:rPr>
          <w:rFonts w:ascii="Symbol" w:eastAsia="Symbol" w:hAnsi="Symbol" w:cs="Symbol"/>
          <w:sz w:val="20"/>
          <w:szCs w:val="20"/>
          <w:lang w:val="fr-BE"/>
        </w:rPr>
      </w:pPr>
      <w:r w:rsidRPr="00C27636">
        <w:rPr>
          <w:rFonts w:ascii="Calibri" w:eastAsia="Calibri" w:hAnsi="Calibri" w:cs="Calibri"/>
          <w:sz w:val="20"/>
          <w:szCs w:val="20"/>
          <w:lang w:val="fr-BE"/>
        </w:rPr>
        <w:t>SAC appliquées à des mineurs et d’analyser l’évolution de celle-ci conjointement à l’évolution de l’application des mesures judiciair</w:t>
      </w:r>
      <w:r w:rsidRPr="00C27636">
        <w:rPr>
          <w:rFonts w:ascii="Calibri" w:eastAsia="Calibri" w:hAnsi="Calibri" w:cs="Calibri"/>
          <w:sz w:val="20"/>
          <w:szCs w:val="20"/>
          <w:lang w:val="fr-BE"/>
        </w:rPr>
        <w:t>es.</w:t>
      </w:r>
    </w:p>
    <w:p w:rsidR="00AC12B4" w:rsidRPr="00C27636" w:rsidRDefault="00AC12B4">
      <w:pPr>
        <w:spacing w:line="65" w:lineRule="exact"/>
        <w:rPr>
          <w:rFonts w:ascii="Symbol" w:eastAsia="Symbol" w:hAnsi="Symbol" w:cs="Symbol"/>
          <w:sz w:val="20"/>
          <w:szCs w:val="20"/>
          <w:lang w:val="fr-BE"/>
        </w:rPr>
      </w:pPr>
    </w:p>
    <w:p w:rsidR="00AC12B4" w:rsidRPr="00C27636" w:rsidRDefault="00C27636">
      <w:pPr>
        <w:spacing w:line="235" w:lineRule="auto"/>
        <w:ind w:left="1080" w:right="93"/>
        <w:rPr>
          <w:rFonts w:ascii="Symbol" w:eastAsia="Symbol" w:hAnsi="Symbol" w:cs="Symbol"/>
          <w:sz w:val="20"/>
          <w:szCs w:val="20"/>
          <w:lang w:val="fr-BE"/>
        </w:rPr>
      </w:pPr>
      <w:r w:rsidRPr="00C27636">
        <w:rPr>
          <w:rFonts w:ascii="Calibri" w:eastAsia="Calibri" w:hAnsi="Calibri" w:cs="Calibri"/>
          <w:sz w:val="20"/>
          <w:szCs w:val="20"/>
          <w:lang w:val="fr-BE"/>
        </w:rPr>
        <w:t>Des statistiques ne sont toutefois pas tenues.</w:t>
      </w: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3" w:lineRule="exact"/>
        <w:rPr>
          <w:rFonts w:ascii="Symbol" w:eastAsia="Symbol" w:hAnsi="Symbol" w:cs="Symbol"/>
          <w:sz w:val="20"/>
          <w:szCs w:val="20"/>
          <w:lang w:val="fr-BE"/>
        </w:rPr>
      </w:pPr>
    </w:p>
    <w:p w:rsidR="00AC12B4" w:rsidRDefault="00C27636">
      <w:pPr>
        <w:rPr>
          <w:sz w:val="20"/>
          <w:szCs w:val="20"/>
        </w:rPr>
      </w:pPr>
      <w:r>
        <w:rPr>
          <w:rFonts w:ascii="Calibri" w:eastAsia="Calibri" w:hAnsi="Calibri" w:cs="Calibri"/>
        </w:rPr>
        <w:t>175</w:t>
      </w:r>
    </w:p>
    <w:p w:rsidR="00AC12B4" w:rsidRDefault="00C27636">
      <w:pPr>
        <w:spacing w:line="20" w:lineRule="exact"/>
        <w:rPr>
          <w:rFonts w:ascii="Symbol" w:eastAsia="Symbol" w:hAnsi="Symbol" w:cs="Symbol"/>
          <w:sz w:val="20"/>
          <w:szCs w:val="20"/>
        </w:rPr>
      </w:pPr>
      <w:r>
        <w:rPr>
          <w:rFonts w:ascii="Symbol" w:eastAsia="Symbol" w:hAnsi="Symbol" w:cs="Symbol"/>
          <w:sz w:val="20"/>
          <w:szCs w:val="20"/>
        </w:rPr>
        <w:br w:type="column"/>
      </w: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99" w:lineRule="exact"/>
        <w:rPr>
          <w:rFonts w:ascii="Symbol" w:eastAsia="Symbol" w:hAnsi="Symbol" w:cs="Symbol"/>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rFonts w:ascii="Symbol" w:eastAsia="Symbol" w:hAnsi="Symbol" w:cs="Symbol"/>
          <w:sz w:val="20"/>
          <w:szCs w:val="20"/>
          <w:lang w:val="fr-BE"/>
        </w:rPr>
      </w:pPr>
      <w:r>
        <w:rPr>
          <w:rFonts w:ascii="Symbol" w:eastAsia="Symbol" w:hAnsi="Symbol" w:cs="Symbol"/>
          <w:noProof/>
          <w:sz w:val="20"/>
          <w:szCs w:val="20"/>
        </w:rPr>
        <mc:AlternateContent>
          <mc:Choice Requires="wps">
            <w:drawing>
              <wp:anchor distT="0" distB="0" distL="114300" distR="114300" simplePos="0" relativeHeight="251856384" behindDoc="1" locked="0" layoutInCell="0" allowOverlap="1">
                <wp:simplePos x="0" y="0"/>
                <wp:positionH relativeFrom="column">
                  <wp:posOffset>-196215</wp:posOffset>
                </wp:positionH>
                <wp:positionV relativeFrom="paragraph">
                  <wp:posOffset>-9968865</wp:posOffset>
                </wp:positionV>
                <wp:extent cx="701040" cy="10908665"/>
                <wp:effectExtent l="0" t="0" r="0" b="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28" o:spid="_x0000_s1553" style="position:absolute;margin-left:-15.4499pt;margin-top:-784.9499pt;width:55.2pt;height:85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p>
    <w:p w:rsidR="00AC12B4" w:rsidRPr="00C27636" w:rsidRDefault="00AC12B4">
      <w:pPr>
        <w:rPr>
          <w:lang w:val="fr-BE"/>
        </w:rPr>
        <w:sectPr w:rsidR="00AC12B4" w:rsidRPr="00C27636">
          <w:pgSz w:w="12080" w:h="17179"/>
          <w:pgMar w:top="1440" w:right="474" w:bottom="659" w:left="1440" w:header="0" w:footer="0" w:gutter="0"/>
          <w:cols w:num="3" w:space="720" w:equalWidth="0">
            <w:col w:w="4440" w:space="200"/>
            <w:col w:w="4473" w:space="720"/>
            <w:col w:w="330"/>
          </w:cols>
        </w:sectPr>
      </w:pPr>
    </w:p>
    <w:p w:rsidR="00AC12B4" w:rsidRPr="00C27636" w:rsidRDefault="00AC12B4">
      <w:pPr>
        <w:spacing w:line="20" w:lineRule="exact"/>
        <w:rPr>
          <w:sz w:val="20"/>
          <w:szCs w:val="20"/>
          <w:lang w:val="fr-BE"/>
        </w:rPr>
      </w:pPr>
      <w:bookmarkStart w:id="175" w:name="page176"/>
      <w:bookmarkEnd w:id="175"/>
    </w:p>
    <w:p w:rsidR="00AC12B4" w:rsidRPr="00C27636" w:rsidRDefault="00AC12B4">
      <w:pPr>
        <w:rPr>
          <w:lang w:val="fr-BE"/>
        </w:rPr>
        <w:sectPr w:rsidR="00AC12B4" w:rsidRPr="00C27636">
          <w:pgSz w:w="12080" w:h="17179"/>
          <w:pgMar w:top="1440" w:right="1440" w:bottom="875" w:left="1440" w:header="0" w:footer="0" w:gutter="0"/>
          <w:cols w:space="0"/>
        </w:sectPr>
      </w:pPr>
    </w:p>
    <w:bookmarkStart w:id="176" w:name="page177"/>
    <w:bookmarkEnd w:id="176"/>
    <w:p w:rsidR="00AC12B4" w:rsidRPr="00C27636" w:rsidRDefault="00C27636">
      <w:pPr>
        <w:spacing w:line="168" w:lineRule="exact"/>
        <w:rPr>
          <w:sz w:val="20"/>
          <w:szCs w:val="20"/>
          <w:lang w:val="fr-BE"/>
        </w:rPr>
      </w:pPr>
      <w:r>
        <w:rPr>
          <w:noProof/>
          <w:sz w:val="20"/>
          <w:szCs w:val="20"/>
        </w:rPr>
        <w:lastRenderedPageBreak/>
        <mc:AlternateContent>
          <mc:Choice Requires="wps">
            <w:drawing>
              <wp:anchor distT="0" distB="0" distL="114300" distR="114300" simplePos="0" relativeHeight="251857408" behindDoc="1" locked="0" layoutInCell="0" allowOverlap="1">
                <wp:simplePos x="0" y="0"/>
                <wp:positionH relativeFrom="page">
                  <wp:posOffset>6962140</wp:posOffset>
                </wp:positionH>
                <wp:positionV relativeFrom="page">
                  <wp:posOffset>0</wp:posOffset>
                </wp:positionV>
                <wp:extent cx="701040" cy="10908665"/>
                <wp:effectExtent l="0" t="0" r="0" b="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29" o:spid="_x0000_s1554" style="position:absolute;margin-left:548.2pt;margin-top:0pt;width:55.2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Pr="00C27636" w:rsidRDefault="00C27636">
      <w:pPr>
        <w:ind w:left="560"/>
        <w:rPr>
          <w:sz w:val="20"/>
          <w:szCs w:val="20"/>
          <w:lang w:val="fr-BE"/>
        </w:rPr>
      </w:pPr>
      <w:r w:rsidRPr="00C27636">
        <w:rPr>
          <w:rFonts w:ascii="Comic Sans MS" w:eastAsia="Comic Sans MS" w:hAnsi="Comic Sans MS" w:cs="Comic Sans MS"/>
          <w:color w:val="FEC930"/>
          <w:sz w:val="39"/>
          <w:szCs w:val="39"/>
          <w:lang w:val="fr-BE"/>
        </w:rPr>
        <w:t>MJ3. Formation</w:t>
      </w:r>
      <w:r w:rsidRPr="00C27636">
        <w:rPr>
          <w:rFonts w:ascii="Comic Sans MS" w:eastAsia="Comic Sans MS" w:hAnsi="Comic Sans MS" w:cs="Comic Sans MS"/>
          <w:color w:val="FEC930"/>
          <w:sz w:val="39"/>
          <w:szCs w:val="39"/>
          <w:lang w:val="fr-BE"/>
        </w:rPr>
        <w:t xml:space="preserve"> des professionnels</w:t>
      </w:r>
    </w:p>
    <w:p w:rsidR="00AC12B4" w:rsidRPr="00C27636" w:rsidRDefault="00AC12B4">
      <w:pPr>
        <w:rPr>
          <w:lang w:val="fr-BE"/>
        </w:rPr>
        <w:sectPr w:rsidR="00AC12B4" w:rsidRPr="00C27636">
          <w:pgSz w:w="12080" w:h="17179"/>
          <w:pgMar w:top="1440" w:right="474" w:bottom="659" w:left="1440" w:header="0" w:footer="0" w:gutter="0"/>
          <w:cols w:space="720" w:equalWidth="0">
            <w:col w:w="10163"/>
          </w:cols>
        </w:sectPr>
      </w:pPr>
    </w:p>
    <w:p w:rsidR="00AC12B4" w:rsidRPr="00C27636" w:rsidRDefault="00AC12B4">
      <w:pPr>
        <w:spacing w:line="300" w:lineRule="exact"/>
        <w:rPr>
          <w:sz w:val="20"/>
          <w:szCs w:val="20"/>
          <w:lang w:val="fr-BE"/>
        </w:rPr>
      </w:pPr>
    </w:p>
    <w:p w:rsidR="00AC12B4" w:rsidRPr="00C27636" w:rsidRDefault="00C27636">
      <w:pPr>
        <w:spacing w:line="231" w:lineRule="auto"/>
        <w:ind w:left="560"/>
        <w:jc w:val="both"/>
        <w:rPr>
          <w:sz w:val="20"/>
          <w:szCs w:val="20"/>
          <w:lang w:val="fr-BE"/>
        </w:rPr>
      </w:pPr>
      <w:r w:rsidRPr="00C27636">
        <w:rPr>
          <w:rFonts w:ascii="Calibri" w:eastAsia="Calibri" w:hAnsi="Calibri" w:cs="Calibri"/>
          <w:lang w:val="fr-BE"/>
        </w:rPr>
        <w:t>Plus que la CIDE</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 ce sont les observations finales du Comité des droits de l'enfant de l'ONU de 2010 (§25), les principes directeurs de Riyad (§5 pour l'aide à la jeunesse) et les Règles de Beijing (§22 pour les magi</w:t>
      </w:r>
      <w:r w:rsidRPr="00C27636">
        <w:rPr>
          <w:rFonts w:ascii="Calibri" w:eastAsia="Calibri" w:hAnsi="Calibri" w:cs="Calibri"/>
          <w:lang w:val="fr-BE"/>
        </w:rPr>
        <w:t>strats et la police dans le cadre de la délinquance juvénile) qui font référence</w:t>
      </w:r>
    </w:p>
    <w:p w:rsidR="00AC12B4" w:rsidRPr="00C27636" w:rsidRDefault="00AC12B4">
      <w:pPr>
        <w:spacing w:line="53" w:lineRule="exact"/>
        <w:rPr>
          <w:sz w:val="20"/>
          <w:szCs w:val="20"/>
          <w:lang w:val="fr-BE"/>
        </w:rPr>
      </w:pPr>
    </w:p>
    <w:p w:rsidR="00AC12B4" w:rsidRPr="00C27636" w:rsidRDefault="00C27636">
      <w:pPr>
        <w:numPr>
          <w:ilvl w:val="0"/>
          <w:numId w:val="338"/>
        </w:numPr>
        <w:tabs>
          <w:tab w:val="left" w:pos="797"/>
        </w:tabs>
        <w:spacing w:line="217" w:lineRule="auto"/>
        <w:ind w:left="560" w:firstLine="7"/>
        <w:rPr>
          <w:rFonts w:ascii="Calibri" w:eastAsia="Calibri" w:hAnsi="Calibri" w:cs="Calibri"/>
          <w:lang w:val="fr-BE"/>
        </w:rPr>
      </w:pPr>
      <w:r w:rsidRPr="00C27636">
        <w:rPr>
          <w:rFonts w:ascii="Calibri" w:eastAsia="Calibri" w:hAnsi="Calibri" w:cs="Calibri"/>
          <w:lang w:val="fr-BE"/>
        </w:rPr>
        <w:t>l'importance d'une formation et d'un suivi de qualité.</w:t>
      </w:r>
    </w:p>
    <w:p w:rsidR="00AC12B4" w:rsidRPr="00C27636" w:rsidRDefault="00AC12B4">
      <w:pPr>
        <w:spacing w:line="170" w:lineRule="exact"/>
        <w:rPr>
          <w:sz w:val="20"/>
          <w:szCs w:val="20"/>
          <w:lang w:val="fr-BE"/>
        </w:rPr>
      </w:pPr>
    </w:p>
    <w:p w:rsidR="00AC12B4" w:rsidRPr="00C27636" w:rsidRDefault="00C27636">
      <w:pPr>
        <w:spacing w:line="232" w:lineRule="auto"/>
        <w:ind w:left="560"/>
        <w:jc w:val="both"/>
        <w:rPr>
          <w:sz w:val="20"/>
          <w:szCs w:val="20"/>
          <w:lang w:val="fr-BE"/>
        </w:rPr>
      </w:pPr>
      <w:r w:rsidRPr="00C27636">
        <w:rPr>
          <w:rFonts w:ascii="Calibri" w:eastAsia="Calibri" w:hAnsi="Calibri" w:cs="Calibri"/>
          <w:lang w:val="fr-BE"/>
        </w:rPr>
        <w:t>La qualité de l’aide aura un impact sur le risque de récidive (même si celle-ci est évidemment le fruit de l’interacti</w:t>
      </w:r>
      <w:r w:rsidRPr="00C27636">
        <w:rPr>
          <w:rFonts w:ascii="Calibri" w:eastAsia="Calibri" w:hAnsi="Calibri" w:cs="Calibri"/>
          <w:lang w:val="fr-BE"/>
        </w:rPr>
        <w:t>on de plusieurs facteurs). Cette qualité dépend (entre-autre) de la formation des professionnels rencontrés.</w:t>
      </w:r>
    </w:p>
    <w:p w:rsidR="00AC12B4" w:rsidRPr="00C27636" w:rsidRDefault="00AC12B4">
      <w:pPr>
        <w:spacing w:line="213" w:lineRule="exact"/>
        <w:rPr>
          <w:sz w:val="20"/>
          <w:szCs w:val="20"/>
          <w:lang w:val="fr-BE"/>
        </w:rPr>
      </w:pPr>
    </w:p>
    <w:p w:rsidR="00AC12B4" w:rsidRPr="00C27636" w:rsidRDefault="00C27636">
      <w:pPr>
        <w:ind w:left="560"/>
        <w:rPr>
          <w:sz w:val="20"/>
          <w:szCs w:val="20"/>
          <w:lang w:val="fr-BE"/>
        </w:rPr>
      </w:pPr>
      <w:r w:rsidRPr="00C27636">
        <w:rPr>
          <w:rFonts w:ascii="Cambria" w:eastAsia="Cambria" w:hAnsi="Cambria" w:cs="Cambria"/>
          <w:b/>
          <w:bCs/>
          <w:i/>
          <w:iCs/>
          <w:color w:val="CF9901"/>
          <w:sz w:val="26"/>
          <w:szCs w:val="26"/>
          <w:lang w:val="fr-BE"/>
        </w:rPr>
        <w:t>Magistrats</w:t>
      </w:r>
    </w:p>
    <w:p w:rsidR="00AC12B4" w:rsidRPr="00C27636" w:rsidRDefault="00AC12B4">
      <w:pPr>
        <w:spacing w:line="208" w:lineRule="exact"/>
        <w:rPr>
          <w:sz w:val="20"/>
          <w:szCs w:val="20"/>
          <w:lang w:val="fr-BE"/>
        </w:rPr>
      </w:pPr>
    </w:p>
    <w:p w:rsidR="00AC12B4" w:rsidRPr="00C27636" w:rsidRDefault="00C27636">
      <w:pPr>
        <w:spacing w:line="231" w:lineRule="auto"/>
        <w:ind w:left="560"/>
        <w:jc w:val="both"/>
        <w:rPr>
          <w:sz w:val="20"/>
          <w:szCs w:val="20"/>
          <w:lang w:val="fr-BE"/>
        </w:rPr>
      </w:pPr>
      <w:r w:rsidRPr="00C27636">
        <w:rPr>
          <w:rFonts w:ascii="Calibri" w:eastAsia="Calibri" w:hAnsi="Calibri" w:cs="Calibri"/>
          <w:lang w:val="fr-BE"/>
        </w:rPr>
        <w:t xml:space="preserve">Ce n’est pas ici tant la formation juridique de base obligatoire qui est visée mais bien les formations complémentaires de type </w:t>
      </w:r>
      <w:r w:rsidRPr="00C27636">
        <w:rPr>
          <w:rFonts w:ascii="Calibri" w:eastAsia="Calibri" w:hAnsi="Calibri" w:cs="Calibri"/>
          <w:lang w:val="fr-BE"/>
        </w:rPr>
        <w:t>communication, droits de l’enfant, child friendly justice, psychologie de l’enfant,…</w:t>
      </w:r>
    </w:p>
    <w:p w:rsidR="00AC12B4" w:rsidRPr="00C27636" w:rsidRDefault="00AC12B4">
      <w:pPr>
        <w:spacing w:line="333" w:lineRule="exact"/>
        <w:rPr>
          <w:sz w:val="20"/>
          <w:szCs w:val="20"/>
          <w:lang w:val="fr-BE"/>
        </w:rPr>
      </w:pPr>
    </w:p>
    <w:p w:rsidR="00AC12B4" w:rsidRPr="00C27636" w:rsidRDefault="00C27636">
      <w:pPr>
        <w:spacing w:line="232" w:lineRule="auto"/>
        <w:ind w:left="560"/>
        <w:jc w:val="both"/>
        <w:rPr>
          <w:sz w:val="20"/>
          <w:szCs w:val="20"/>
          <w:lang w:val="fr-BE"/>
        </w:rPr>
      </w:pPr>
      <w:r w:rsidRPr="00C27636">
        <w:rPr>
          <w:rFonts w:ascii="Calibri" w:eastAsia="Calibri" w:hAnsi="Calibri" w:cs="Calibri"/>
          <w:lang w:val="fr-BE"/>
        </w:rPr>
        <w:t>Nombre de personnes (principalement des magistrats, mais aussi des membres de l’ordre judiciaire, p.ex. des criminologues jeunesse) ayant participé pendant l’année écoulé</w:t>
      </w:r>
      <w:r w:rsidRPr="00C27636">
        <w:rPr>
          <w:rFonts w:ascii="Calibri" w:eastAsia="Calibri" w:hAnsi="Calibri" w:cs="Calibri"/>
          <w:lang w:val="fr-BE"/>
        </w:rPr>
        <w:t>e à une telle formation non-obligatoire complémentaire:</w:t>
      </w:r>
    </w:p>
    <w:p w:rsidR="00AC12B4" w:rsidRPr="00C27636" w:rsidRDefault="00AC12B4">
      <w:pPr>
        <w:spacing w:line="270" w:lineRule="exact"/>
        <w:rPr>
          <w:sz w:val="20"/>
          <w:szCs w:val="20"/>
          <w:lang w:val="fr-BE"/>
        </w:rPr>
      </w:pPr>
    </w:p>
    <w:tbl>
      <w:tblPr>
        <w:tblW w:w="0" w:type="auto"/>
        <w:tblInd w:w="560" w:type="dxa"/>
        <w:tblLayout w:type="fixed"/>
        <w:tblCellMar>
          <w:left w:w="0" w:type="dxa"/>
          <w:right w:w="0" w:type="dxa"/>
        </w:tblCellMar>
        <w:tblLook w:val="04A0" w:firstRow="1" w:lastRow="0" w:firstColumn="1" w:lastColumn="0" w:noHBand="0" w:noVBand="1"/>
      </w:tblPr>
      <w:tblGrid>
        <w:gridCol w:w="840"/>
        <w:gridCol w:w="1100"/>
        <w:gridCol w:w="580"/>
        <w:gridCol w:w="360"/>
        <w:gridCol w:w="200"/>
      </w:tblGrid>
      <w:tr w:rsidR="00AC12B4">
        <w:trPr>
          <w:trHeight w:val="270"/>
        </w:trPr>
        <w:tc>
          <w:tcPr>
            <w:tcW w:w="840" w:type="dxa"/>
            <w:tcBorders>
              <w:right w:val="single" w:sz="8" w:space="0" w:color="auto"/>
            </w:tcBorders>
            <w:vAlign w:val="bottom"/>
          </w:tcPr>
          <w:p w:rsidR="00AC12B4" w:rsidRPr="00C27636" w:rsidRDefault="00AC12B4">
            <w:pPr>
              <w:rPr>
                <w:sz w:val="23"/>
                <w:szCs w:val="23"/>
                <w:lang w:val="fr-BE"/>
              </w:rPr>
            </w:pPr>
          </w:p>
        </w:tc>
        <w:tc>
          <w:tcPr>
            <w:tcW w:w="1100" w:type="dxa"/>
            <w:tcBorders>
              <w:top w:val="single" w:sz="8" w:space="0" w:color="auto"/>
              <w:right w:val="single" w:sz="8" w:space="0" w:color="auto"/>
            </w:tcBorders>
            <w:vAlign w:val="bottom"/>
          </w:tcPr>
          <w:p w:rsidR="00AC12B4" w:rsidRDefault="00C27636">
            <w:pPr>
              <w:ind w:left="80"/>
              <w:rPr>
                <w:sz w:val="20"/>
                <w:szCs w:val="20"/>
              </w:rPr>
            </w:pPr>
            <w:r>
              <w:rPr>
                <w:rFonts w:ascii="Calibri" w:eastAsia="Calibri" w:hAnsi="Calibri" w:cs="Calibri"/>
              </w:rPr>
              <w:t>Année</w:t>
            </w:r>
          </w:p>
        </w:tc>
        <w:tc>
          <w:tcPr>
            <w:tcW w:w="580" w:type="dxa"/>
            <w:tcBorders>
              <w:top w:val="single" w:sz="8" w:space="0" w:color="auto"/>
            </w:tcBorders>
            <w:vAlign w:val="bottom"/>
          </w:tcPr>
          <w:p w:rsidR="00AC12B4" w:rsidRDefault="00C27636">
            <w:pPr>
              <w:ind w:left="100"/>
              <w:rPr>
                <w:sz w:val="20"/>
                <w:szCs w:val="20"/>
              </w:rPr>
            </w:pPr>
            <w:r>
              <w:rPr>
                <w:rFonts w:ascii="Calibri" w:eastAsia="Calibri" w:hAnsi="Calibri" w:cs="Calibri"/>
              </w:rPr>
              <w:t>Nb</w:t>
            </w:r>
          </w:p>
        </w:tc>
        <w:tc>
          <w:tcPr>
            <w:tcW w:w="560" w:type="dxa"/>
            <w:gridSpan w:val="2"/>
            <w:tcBorders>
              <w:top w:val="single" w:sz="8" w:space="0" w:color="auto"/>
              <w:right w:val="single" w:sz="8" w:space="0" w:color="auto"/>
            </w:tcBorders>
            <w:vAlign w:val="bottom"/>
          </w:tcPr>
          <w:p w:rsidR="00AC12B4" w:rsidRDefault="00C27636">
            <w:pPr>
              <w:ind w:left="220"/>
              <w:rPr>
                <w:sz w:val="20"/>
                <w:szCs w:val="20"/>
              </w:rPr>
            </w:pPr>
            <w:r>
              <w:rPr>
                <w:rFonts w:ascii="Calibri" w:eastAsia="Calibri" w:hAnsi="Calibri" w:cs="Calibri"/>
              </w:rPr>
              <w:t>de</w:t>
            </w:r>
          </w:p>
        </w:tc>
      </w:tr>
      <w:tr w:rsidR="00AC12B4">
        <w:trPr>
          <w:trHeight w:val="273"/>
        </w:trPr>
        <w:tc>
          <w:tcPr>
            <w:tcW w:w="840" w:type="dxa"/>
            <w:tcBorders>
              <w:right w:val="single" w:sz="8" w:space="0" w:color="auto"/>
            </w:tcBorders>
            <w:vAlign w:val="bottom"/>
          </w:tcPr>
          <w:p w:rsidR="00AC12B4" w:rsidRDefault="00AC12B4">
            <w:pPr>
              <w:rPr>
                <w:sz w:val="23"/>
                <w:szCs w:val="23"/>
              </w:rPr>
            </w:pPr>
          </w:p>
        </w:tc>
        <w:tc>
          <w:tcPr>
            <w:tcW w:w="1100" w:type="dxa"/>
            <w:tcBorders>
              <w:bottom w:val="single" w:sz="8" w:space="0" w:color="auto"/>
              <w:right w:val="single" w:sz="8" w:space="0" w:color="auto"/>
            </w:tcBorders>
            <w:vAlign w:val="bottom"/>
          </w:tcPr>
          <w:p w:rsidR="00AC12B4" w:rsidRDefault="00AC12B4">
            <w:pPr>
              <w:rPr>
                <w:sz w:val="23"/>
                <w:szCs w:val="23"/>
              </w:rPr>
            </w:pPr>
          </w:p>
        </w:tc>
        <w:tc>
          <w:tcPr>
            <w:tcW w:w="1140" w:type="dxa"/>
            <w:gridSpan w:val="3"/>
            <w:tcBorders>
              <w:bottom w:val="single" w:sz="8" w:space="0" w:color="auto"/>
              <w:right w:val="single" w:sz="8" w:space="0" w:color="auto"/>
            </w:tcBorders>
            <w:vAlign w:val="bottom"/>
          </w:tcPr>
          <w:p w:rsidR="00AC12B4" w:rsidRDefault="00C27636">
            <w:pPr>
              <w:ind w:left="100"/>
              <w:rPr>
                <w:sz w:val="20"/>
                <w:szCs w:val="20"/>
              </w:rPr>
            </w:pPr>
            <w:r>
              <w:rPr>
                <w:rFonts w:ascii="Calibri" w:eastAsia="Calibri" w:hAnsi="Calibri" w:cs="Calibri"/>
              </w:rPr>
              <w:t>personnes</w:t>
            </w:r>
          </w:p>
        </w:tc>
      </w:tr>
      <w:tr w:rsidR="00AC12B4">
        <w:trPr>
          <w:trHeight w:val="258"/>
        </w:trPr>
        <w:tc>
          <w:tcPr>
            <w:tcW w:w="840" w:type="dxa"/>
            <w:tcBorders>
              <w:right w:val="single" w:sz="8" w:space="0" w:color="auto"/>
            </w:tcBorders>
            <w:vAlign w:val="bottom"/>
          </w:tcPr>
          <w:p w:rsidR="00AC12B4" w:rsidRDefault="00AC12B4"/>
        </w:tc>
        <w:tc>
          <w:tcPr>
            <w:tcW w:w="1100" w:type="dxa"/>
            <w:tcBorders>
              <w:bottom w:val="single" w:sz="8" w:space="0" w:color="auto"/>
              <w:right w:val="single" w:sz="8" w:space="0" w:color="auto"/>
            </w:tcBorders>
            <w:vAlign w:val="bottom"/>
          </w:tcPr>
          <w:p w:rsidR="00AC12B4" w:rsidRDefault="00C27636">
            <w:pPr>
              <w:spacing w:line="255" w:lineRule="exact"/>
              <w:ind w:left="80"/>
              <w:rPr>
                <w:sz w:val="20"/>
                <w:szCs w:val="20"/>
              </w:rPr>
            </w:pPr>
            <w:r>
              <w:rPr>
                <w:rFonts w:ascii="Calibri" w:eastAsia="Calibri" w:hAnsi="Calibri" w:cs="Calibri"/>
              </w:rPr>
              <w:t>2002</w:t>
            </w:r>
          </w:p>
        </w:tc>
        <w:tc>
          <w:tcPr>
            <w:tcW w:w="580" w:type="dxa"/>
            <w:tcBorders>
              <w:bottom w:val="single" w:sz="8" w:space="0" w:color="auto"/>
            </w:tcBorders>
            <w:vAlign w:val="bottom"/>
          </w:tcPr>
          <w:p w:rsidR="00AC12B4" w:rsidRDefault="00C27636">
            <w:pPr>
              <w:spacing w:line="255" w:lineRule="exact"/>
              <w:ind w:left="100"/>
              <w:rPr>
                <w:sz w:val="20"/>
                <w:szCs w:val="20"/>
              </w:rPr>
            </w:pPr>
            <w:r>
              <w:rPr>
                <w:rFonts w:ascii="Calibri" w:eastAsia="Calibri" w:hAnsi="Calibri" w:cs="Calibri"/>
              </w:rPr>
              <w:t>13</w:t>
            </w:r>
          </w:p>
        </w:tc>
        <w:tc>
          <w:tcPr>
            <w:tcW w:w="360" w:type="dxa"/>
            <w:tcBorders>
              <w:bottom w:val="single" w:sz="8" w:space="0" w:color="auto"/>
            </w:tcBorders>
            <w:vAlign w:val="bottom"/>
          </w:tcPr>
          <w:p w:rsidR="00AC12B4" w:rsidRDefault="00AC12B4"/>
        </w:tc>
        <w:tc>
          <w:tcPr>
            <w:tcW w:w="200" w:type="dxa"/>
            <w:tcBorders>
              <w:bottom w:val="single" w:sz="8" w:space="0" w:color="auto"/>
              <w:right w:val="single" w:sz="8" w:space="0" w:color="auto"/>
            </w:tcBorders>
            <w:vAlign w:val="bottom"/>
          </w:tcPr>
          <w:p w:rsidR="00AC12B4" w:rsidRDefault="00AC12B4"/>
        </w:tc>
      </w:tr>
      <w:tr w:rsidR="00AC12B4">
        <w:trPr>
          <w:trHeight w:val="260"/>
        </w:trPr>
        <w:tc>
          <w:tcPr>
            <w:tcW w:w="840" w:type="dxa"/>
            <w:tcBorders>
              <w:right w:val="single" w:sz="8" w:space="0" w:color="auto"/>
            </w:tcBorders>
            <w:vAlign w:val="bottom"/>
          </w:tcPr>
          <w:p w:rsidR="00AC12B4" w:rsidRDefault="00AC12B4"/>
        </w:tc>
        <w:tc>
          <w:tcPr>
            <w:tcW w:w="1100" w:type="dxa"/>
            <w:tcBorders>
              <w:bottom w:val="single" w:sz="8" w:space="0" w:color="auto"/>
              <w:right w:val="single" w:sz="8" w:space="0" w:color="auto"/>
            </w:tcBorders>
            <w:vAlign w:val="bottom"/>
          </w:tcPr>
          <w:p w:rsidR="00AC12B4" w:rsidRDefault="00C27636">
            <w:pPr>
              <w:spacing w:line="257" w:lineRule="exact"/>
              <w:ind w:left="80"/>
              <w:rPr>
                <w:sz w:val="20"/>
                <w:szCs w:val="20"/>
              </w:rPr>
            </w:pPr>
            <w:r>
              <w:rPr>
                <w:rFonts w:ascii="Calibri" w:eastAsia="Calibri" w:hAnsi="Calibri" w:cs="Calibri"/>
              </w:rPr>
              <w:t>2003</w:t>
            </w:r>
          </w:p>
        </w:tc>
        <w:tc>
          <w:tcPr>
            <w:tcW w:w="580" w:type="dxa"/>
            <w:tcBorders>
              <w:bottom w:val="single" w:sz="8" w:space="0" w:color="auto"/>
            </w:tcBorders>
            <w:vAlign w:val="bottom"/>
          </w:tcPr>
          <w:p w:rsidR="00AC12B4" w:rsidRDefault="00C27636">
            <w:pPr>
              <w:spacing w:line="257" w:lineRule="exact"/>
              <w:ind w:left="100"/>
              <w:rPr>
                <w:sz w:val="20"/>
                <w:szCs w:val="20"/>
              </w:rPr>
            </w:pPr>
            <w:r>
              <w:rPr>
                <w:rFonts w:ascii="Calibri" w:eastAsia="Calibri" w:hAnsi="Calibri" w:cs="Calibri"/>
              </w:rPr>
              <w:t>66</w:t>
            </w:r>
          </w:p>
        </w:tc>
        <w:tc>
          <w:tcPr>
            <w:tcW w:w="360" w:type="dxa"/>
            <w:tcBorders>
              <w:bottom w:val="single" w:sz="8" w:space="0" w:color="auto"/>
            </w:tcBorders>
            <w:vAlign w:val="bottom"/>
          </w:tcPr>
          <w:p w:rsidR="00AC12B4" w:rsidRDefault="00AC12B4"/>
        </w:tc>
        <w:tc>
          <w:tcPr>
            <w:tcW w:w="200" w:type="dxa"/>
            <w:tcBorders>
              <w:bottom w:val="single" w:sz="8" w:space="0" w:color="auto"/>
              <w:right w:val="single" w:sz="8" w:space="0" w:color="auto"/>
            </w:tcBorders>
            <w:vAlign w:val="bottom"/>
          </w:tcPr>
          <w:p w:rsidR="00AC12B4" w:rsidRDefault="00AC12B4"/>
        </w:tc>
      </w:tr>
      <w:tr w:rsidR="00AC12B4">
        <w:trPr>
          <w:trHeight w:val="258"/>
        </w:trPr>
        <w:tc>
          <w:tcPr>
            <w:tcW w:w="840" w:type="dxa"/>
            <w:tcBorders>
              <w:right w:val="single" w:sz="8" w:space="0" w:color="auto"/>
            </w:tcBorders>
            <w:vAlign w:val="bottom"/>
          </w:tcPr>
          <w:p w:rsidR="00AC12B4" w:rsidRDefault="00AC12B4"/>
        </w:tc>
        <w:tc>
          <w:tcPr>
            <w:tcW w:w="1100" w:type="dxa"/>
            <w:tcBorders>
              <w:bottom w:val="single" w:sz="8" w:space="0" w:color="auto"/>
              <w:right w:val="single" w:sz="8" w:space="0" w:color="auto"/>
            </w:tcBorders>
            <w:vAlign w:val="bottom"/>
          </w:tcPr>
          <w:p w:rsidR="00AC12B4" w:rsidRDefault="00C27636">
            <w:pPr>
              <w:spacing w:line="256" w:lineRule="exact"/>
              <w:ind w:left="80"/>
              <w:rPr>
                <w:sz w:val="20"/>
                <w:szCs w:val="20"/>
              </w:rPr>
            </w:pPr>
            <w:r>
              <w:rPr>
                <w:rFonts w:ascii="Calibri" w:eastAsia="Calibri" w:hAnsi="Calibri" w:cs="Calibri"/>
              </w:rPr>
              <w:t>2004</w:t>
            </w:r>
          </w:p>
        </w:tc>
        <w:tc>
          <w:tcPr>
            <w:tcW w:w="580" w:type="dxa"/>
            <w:tcBorders>
              <w:bottom w:val="single" w:sz="8" w:space="0" w:color="auto"/>
            </w:tcBorders>
            <w:vAlign w:val="bottom"/>
          </w:tcPr>
          <w:p w:rsidR="00AC12B4" w:rsidRDefault="00C27636">
            <w:pPr>
              <w:spacing w:line="256" w:lineRule="exact"/>
              <w:ind w:left="100"/>
              <w:rPr>
                <w:sz w:val="20"/>
                <w:szCs w:val="20"/>
              </w:rPr>
            </w:pPr>
            <w:r>
              <w:rPr>
                <w:rFonts w:ascii="Calibri" w:eastAsia="Calibri" w:hAnsi="Calibri" w:cs="Calibri"/>
              </w:rPr>
              <w:t>36</w:t>
            </w:r>
          </w:p>
        </w:tc>
        <w:tc>
          <w:tcPr>
            <w:tcW w:w="360" w:type="dxa"/>
            <w:tcBorders>
              <w:bottom w:val="single" w:sz="8" w:space="0" w:color="auto"/>
            </w:tcBorders>
            <w:vAlign w:val="bottom"/>
          </w:tcPr>
          <w:p w:rsidR="00AC12B4" w:rsidRDefault="00AC12B4"/>
        </w:tc>
        <w:tc>
          <w:tcPr>
            <w:tcW w:w="200" w:type="dxa"/>
            <w:tcBorders>
              <w:bottom w:val="single" w:sz="8" w:space="0" w:color="auto"/>
              <w:right w:val="single" w:sz="8" w:space="0" w:color="auto"/>
            </w:tcBorders>
            <w:vAlign w:val="bottom"/>
          </w:tcPr>
          <w:p w:rsidR="00AC12B4" w:rsidRDefault="00AC12B4"/>
        </w:tc>
      </w:tr>
      <w:tr w:rsidR="00AC12B4">
        <w:trPr>
          <w:trHeight w:val="260"/>
        </w:trPr>
        <w:tc>
          <w:tcPr>
            <w:tcW w:w="840" w:type="dxa"/>
            <w:tcBorders>
              <w:right w:val="single" w:sz="8" w:space="0" w:color="auto"/>
            </w:tcBorders>
            <w:vAlign w:val="bottom"/>
          </w:tcPr>
          <w:p w:rsidR="00AC12B4" w:rsidRDefault="00AC12B4"/>
        </w:tc>
        <w:tc>
          <w:tcPr>
            <w:tcW w:w="1100" w:type="dxa"/>
            <w:tcBorders>
              <w:bottom w:val="single" w:sz="8" w:space="0" w:color="auto"/>
              <w:right w:val="single" w:sz="8" w:space="0" w:color="auto"/>
            </w:tcBorders>
            <w:vAlign w:val="bottom"/>
          </w:tcPr>
          <w:p w:rsidR="00AC12B4" w:rsidRDefault="00C27636">
            <w:pPr>
              <w:spacing w:line="256" w:lineRule="exact"/>
              <w:ind w:left="80"/>
              <w:rPr>
                <w:sz w:val="20"/>
                <w:szCs w:val="20"/>
              </w:rPr>
            </w:pPr>
            <w:r>
              <w:rPr>
                <w:rFonts w:ascii="Calibri" w:eastAsia="Calibri" w:hAnsi="Calibri" w:cs="Calibri"/>
              </w:rPr>
              <w:t>2005</w:t>
            </w:r>
          </w:p>
        </w:tc>
        <w:tc>
          <w:tcPr>
            <w:tcW w:w="580" w:type="dxa"/>
            <w:tcBorders>
              <w:bottom w:val="single" w:sz="8" w:space="0" w:color="auto"/>
            </w:tcBorders>
            <w:vAlign w:val="bottom"/>
          </w:tcPr>
          <w:p w:rsidR="00AC12B4" w:rsidRDefault="00C27636">
            <w:pPr>
              <w:spacing w:line="256" w:lineRule="exact"/>
              <w:ind w:left="100"/>
              <w:rPr>
                <w:sz w:val="20"/>
                <w:szCs w:val="20"/>
              </w:rPr>
            </w:pPr>
            <w:r>
              <w:rPr>
                <w:rFonts w:ascii="Calibri" w:eastAsia="Calibri" w:hAnsi="Calibri" w:cs="Calibri"/>
              </w:rPr>
              <w:t>56</w:t>
            </w:r>
          </w:p>
        </w:tc>
        <w:tc>
          <w:tcPr>
            <w:tcW w:w="360" w:type="dxa"/>
            <w:tcBorders>
              <w:bottom w:val="single" w:sz="8" w:space="0" w:color="auto"/>
            </w:tcBorders>
            <w:vAlign w:val="bottom"/>
          </w:tcPr>
          <w:p w:rsidR="00AC12B4" w:rsidRDefault="00AC12B4"/>
        </w:tc>
        <w:tc>
          <w:tcPr>
            <w:tcW w:w="200" w:type="dxa"/>
            <w:tcBorders>
              <w:bottom w:val="single" w:sz="8" w:space="0" w:color="auto"/>
              <w:right w:val="single" w:sz="8" w:space="0" w:color="auto"/>
            </w:tcBorders>
            <w:vAlign w:val="bottom"/>
          </w:tcPr>
          <w:p w:rsidR="00AC12B4" w:rsidRDefault="00AC12B4"/>
        </w:tc>
      </w:tr>
      <w:tr w:rsidR="00AC12B4">
        <w:trPr>
          <w:trHeight w:val="259"/>
        </w:trPr>
        <w:tc>
          <w:tcPr>
            <w:tcW w:w="840" w:type="dxa"/>
            <w:tcBorders>
              <w:right w:val="single" w:sz="8" w:space="0" w:color="auto"/>
            </w:tcBorders>
            <w:vAlign w:val="bottom"/>
          </w:tcPr>
          <w:p w:rsidR="00AC12B4" w:rsidRDefault="00AC12B4"/>
        </w:tc>
        <w:tc>
          <w:tcPr>
            <w:tcW w:w="1100" w:type="dxa"/>
            <w:tcBorders>
              <w:bottom w:val="single" w:sz="8" w:space="0" w:color="auto"/>
              <w:right w:val="single" w:sz="8" w:space="0" w:color="auto"/>
            </w:tcBorders>
            <w:vAlign w:val="bottom"/>
          </w:tcPr>
          <w:p w:rsidR="00AC12B4" w:rsidRDefault="00C27636">
            <w:pPr>
              <w:spacing w:line="255" w:lineRule="exact"/>
              <w:ind w:left="80"/>
              <w:rPr>
                <w:sz w:val="20"/>
                <w:szCs w:val="20"/>
              </w:rPr>
            </w:pPr>
            <w:r>
              <w:rPr>
                <w:rFonts w:ascii="Calibri" w:eastAsia="Calibri" w:hAnsi="Calibri" w:cs="Calibri"/>
              </w:rPr>
              <w:t>2006</w:t>
            </w:r>
          </w:p>
        </w:tc>
        <w:tc>
          <w:tcPr>
            <w:tcW w:w="580" w:type="dxa"/>
            <w:tcBorders>
              <w:bottom w:val="single" w:sz="8" w:space="0" w:color="auto"/>
            </w:tcBorders>
            <w:vAlign w:val="bottom"/>
          </w:tcPr>
          <w:p w:rsidR="00AC12B4" w:rsidRDefault="00C27636">
            <w:pPr>
              <w:spacing w:line="255" w:lineRule="exact"/>
              <w:ind w:left="100"/>
              <w:rPr>
                <w:sz w:val="20"/>
                <w:szCs w:val="20"/>
              </w:rPr>
            </w:pPr>
            <w:r>
              <w:rPr>
                <w:rFonts w:ascii="Calibri" w:eastAsia="Calibri" w:hAnsi="Calibri" w:cs="Calibri"/>
              </w:rPr>
              <w:t>30</w:t>
            </w:r>
          </w:p>
        </w:tc>
        <w:tc>
          <w:tcPr>
            <w:tcW w:w="360" w:type="dxa"/>
            <w:tcBorders>
              <w:bottom w:val="single" w:sz="8" w:space="0" w:color="auto"/>
            </w:tcBorders>
            <w:vAlign w:val="bottom"/>
          </w:tcPr>
          <w:p w:rsidR="00AC12B4" w:rsidRDefault="00AC12B4"/>
        </w:tc>
        <w:tc>
          <w:tcPr>
            <w:tcW w:w="200" w:type="dxa"/>
            <w:tcBorders>
              <w:bottom w:val="single" w:sz="8" w:space="0" w:color="auto"/>
              <w:right w:val="single" w:sz="8" w:space="0" w:color="auto"/>
            </w:tcBorders>
            <w:vAlign w:val="bottom"/>
          </w:tcPr>
          <w:p w:rsidR="00AC12B4" w:rsidRDefault="00AC12B4"/>
        </w:tc>
      </w:tr>
      <w:tr w:rsidR="00AC12B4">
        <w:trPr>
          <w:trHeight w:val="258"/>
        </w:trPr>
        <w:tc>
          <w:tcPr>
            <w:tcW w:w="840" w:type="dxa"/>
            <w:tcBorders>
              <w:right w:val="single" w:sz="8" w:space="0" w:color="auto"/>
            </w:tcBorders>
            <w:vAlign w:val="bottom"/>
          </w:tcPr>
          <w:p w:rsidR="00AC12B4" w:rsidRDefault="00AC12B4"/>
        </w:tc>
        <w:tc>
          <w:tcPr>
            <w:tcW w:w="1100" w:type="dxa"/>
            <w:tcBorders>
              <w:bottom w:val="single" w:sz="8" w:space="0" w:color="auto"/>
              <w:right w:val="single" w:sz="8" w:space="0" w:color="auto"/>
            </w:tcBorders>
            <w:vAlign w:val="bottom"/>
          </w:tcPr>
          <w:p w:rsidR="00AC12B4" w:rsidRDefault="00C27636">
            <w:pPr>
              <w:spacing w:line="255" w:lineRule="exact"/>
              <w:ind w:left="80"/>
              <w:rPr>
                <w:sz w:val="20"/>
                <w:szCs w:val="20"/>
              </w:rPr>
            </w:pPr>
            <w:r>
              <w:rPr>
                <w:rFonts w:ascii="Calibri" w:eastAsia="Calibri" w:hAnsi="Calibri" w:cs="Calibri"/>
              </w:rPr>
              <w:t>2007</w:t>
            </w:r>
          </w:p>
        </w:tc>
        <w:tc>
          <w:tcPr>
            <w:tcW w:w="580" w:type="dxa"/>
            <w:tcBorders>
              <w:bottom w:val="single" w:sz="8" w:space="0" w:color="auto"/>
            </w:tcBorders>
            <w:vAlign w:val="bottom"/>
          </w:tcPr>
          <w:p w:rsidR="00AC12B4" w:rsidRDefault="00C27636">
            <w:pPr>
              <w:spacing w:line="255" w:lineRule="exact"/>
              <w:ind w:left="100"/>
              <w:rPr>
                <w:sz w:val="20"/>
                <w:szCs w:val="20"/>
              </w:rPr>
            </w:pPr>
            <w:r>
              <w:rPr>
                <w:rFonts w:ascii="Calibri" w:eastAsia="Calibri" w:hAnsi="Calibri" w:cs="Calibri"/>
              </w:rPr>
              <w:t>87</w:t>
            </w:r>
          </w:p>
        </w:tc>
        <w:tc>
          <w:tcPr>
            <w:tcW w:w="360" w:type="dxa"/>
            <w:tcBorders>
              <w:bottom w:val="single" w:sz="8" w:space="0" w:color="auto"/>
            </w:tcBorders>
            <w:vAlign w:val="bottom"/>
          </w:tcPr>
          <w:p w:rsidR="00AC12B4" w:rsidRDefault="00AC12B4"/>
        </w:tc>
        <w:tc>
          <w:tcPr>
            <w:tcW w:w="200" w:type="dxa"/>
            <w:tcBorders>
              <w:bottom w:val="single" w:sz="8" w:space="0" w:color="auto"/>
              <w:right w:val="single" w:sz="8" w:space="0" w:color="auto"/>
            </w:tcBorders>
            <w:vAlign w:val="bottom"/>
          </w:tcPr>
          <w:p w:rsidR="00AC12B4" w:rsidRDefault="00AC12B4"/>
        </w:tc>
      </w:tr>
      <w:tr w:rsidR="00AC12B4">
        <w:trPr>
          <w:trHeight w:val="258"/>
        </w:trPr>
        <w:tc>
          <w:tcPr>
            <w:tcW w:w="840" w:type="dxa"/>
            <w:tcBorders>
              <w:right w:val="single" w:sz="8" w:space="0" w:color="auto"/>
            </w:tcBorders>
            <w:vAlign w:val="bottom"/>
          </w:tcPr>
          <w:p w:rsidR="00AC12B4" w:rsidRDefault="00AC12B4"/>
        </w:tc>
        <w:tc>
          <w:tcPr>
            <w:tcW w:w="1100" w:type="dxa"/>
            <w:tcBorders>
              <w:bottom w:val="single" w:sz="8" w:space="0" w:color="auto"/>
              <w:right w:val="single" w:sz="8" w:space="0" w:color="auto"/>
            </w:tcBorders>
            <w:vAlign w:val="bottom"/>
          </w:tcPr>
          <w:p w:rsidR="00AC12B4" w:rsidRDefault="00C27636">
            <w:pPr>
              <w:spacing w:line="255" w:lineRule="exact"/>
              <w:ind w:left="80"/>
              <w:rPr>
                <w:sz w:val="20"/>
                <w:szCs w:val="20"/>
              </w:rPr>
            </w:pPr>
            <w:r>
              <w:rPr>
                <w:rFonts w:ascii="Calibri" w:eastAsia="Calibri" w:hAnsi="Calibri" w:cs="Calibri"/>
              </w:rPr>
              <w:t>2008</w:t>
            </w:r>
          </w:p>
        </w:tc>
        <w:tc>
          <w:tcPr>
            <w:tcW w:w="580" w:type="dxa"/>
            <w:tcBorders>
              <w:bottom w:val="single" w:sz="8" w:space="0" w:color="auto"/>
            </w:tcBorders>
            <w:vAlign w:val="bottom"/>
          </w:tcPr>
          <w:p w:rsidR="00AC12B4" w:rsidRDefault="00C27636">
            <w:pPr>
              <w:spacing w:line="255" w:lineRule="exact"/>
              <w:ind w:left="100"/>
              <w:rPr>
                <w:sz w:val="20"/>
                <w:szCs w:val="20"/>
              </w:rPr>
            </w:pPr>
            <w:r>
              <w:rPr>
                <w:rFonts w:ascii="Calibri" w:eastAsia="Calibri" w:hAnsi="Calibri" w:cs="Calibri"/>
              </w:rPr>
              <w:t>26</w:t>
            </w:r>
          </w:p>
        </w:tc>
        <w:tc>
          <w:tcPr>
            <w:tcW w:w="360" w:type="dxa"/>
            <w:tcBorders>
              <w:bottom w:val="single" w:sz="8" w:space="0" w:color="auto"/>
            </w:tcBorders>
            <w:vAlign w:val="bottom"/>
          </w:tcPr>
          <w:p w:rsidR="00AC12B4" w:rsidRDefault="00AC12B4"/>
        </w:tc>
        <w:tc>
          <w:tcPr>
            <w:tcW w:w="200" w:type="dxa"/>
            <w:tcBorders>
              <w:bottom w:val="single" w:sz="8" w:space="0" w:color="auto"/>
              <w:right w:val="single" w:sz="8" w:space="0" w:color="auto"/>
            </w:tcBorders>
            <w:vAlign w:val="bottom"/>
          </w:tcPr>
          <w:p w:rsidR="00AC12B4" w:rsidRDefault="00AC12B4"/>
        </w:tc>
      </w:tr>
      <w:tr w:rsidR="00AC12B4">
        <w:trPr>
          <w:trHeight w:val="254"/>
        </w:trPr>
        <w:tc>
          <w:tcPr>
            <w:tcW w:w="840" w:type="dxa"/>
            <w:tcBorders>
              <w:right w:val="single" w:sz="8" w:space="0" w:color="auto"/>
            </w:tcBorders>
            <w:vAlign w:val="bottom"/>
          </w:tcPr>
          <w:p w:rsidR="00AC12B4" w:rsidRDefault="00AC12B4"/>
        </w:tc>
        <w:tc>
          <w:tcPr>
            <w:tcW w:w="1100" w:type="dxa"/>
            <w:tcBorders>
              <w:right w:val="single" w:sz="8" w:space="0" w:color="auto"/>
            </w:tcBorders>
            <w:vAlign w:val="bottom"/>
          </w:tcPr>
          <w:p w:rsidR="00AC12B4" w:rsidRDefault="00C27636">
            <w:pPr>
              <w:spacing w:line="255" w:lineRule="exact"/>
              <w:ind w:left="80"/>
              <w:rPr>
                <w:sz w:val="20"/>
                <w:szCs w:val="20"/>
              </w:rPr>
            </w:pPr>
            <w:r>
              <w:rPr>
                <w:rFonts w:ascii="Calibri" w:eastAsia="Calibri" w:hAnsi="Calibri" w:cs="Calibri"/>
              </w:rPr>
              <w:t>2009-</w:t>
            </w:r>
          </w:p>
        </w:tc>
        <w:tc>
          <w:tcPr>
            <w:tcW w:w="1140" w:type="dxa"/>
            <w:gridSpan w:val="3"/>
            <w:tcBorders>
              <w:right w:val="single" w:sz="8" w:space="0" w:color="auto"/>
            </w:tcBorders>
            <w:vAlign w:val="bottom"/>
          </w:tcPr>
          <w:p w:rsidR="00AC12B4" w:rsidRDefault="00C27636">
            <w:pPr>
              <w:spacing w:line="255" w:lineRule="exact"/>
              <w:ind w:left="100"/>
              <w:rPr>
                <w:sz w:val="20"/>
                <w:szCs w:val="20"/>
              </w:rPr>
            </w:pPr>
            <w:r>
              <w:rPr>
                <w:rFonts w:ascii="Calibri" w:eastAsia="Calibri" w:hAnsi="Calibri" w:cs="Calibri"/>
              </w:rPr>
              <w:t>inconnu</w:t>
            </w:r>
          </w:p>
        </w:tc>
      </w:tr>
      <w:tr w:rsidR="00AC12B4">
        <w:trPr>
          <w:trHeight w:val="273"/>
        </w:trPr>
        <w:tc>
          <w:tcPr>
            <w:tcW w:w="840" w:type="dxa"/>
            <w:tcBorders>
              <w:right w:val="single" w:sz="8" w:space="0" w:color="auto"/>
            </w:tcBorders>
            <w:vAlign w:val="bottom"/>
          </w:tcPr>
          <w:p w:rsidR="00AC12B4" w:rsidRDefault="00AC12B4">
            <w:pPr>
              <w:rPr>
                <w:sz w:val="23"/>
                <w:szCs w:val="23"/>
              </w:rPr>
            </w:pPr>
          </w:p>
        </w:tc>
        <w:tc>
          <w:tcPr>
            <w:tcW w:w="1100" w:type="dxa"/>
            <w:tcBorders>
              <w:bottom w:val="single" w:sz="8" w:space="0" w:color="auto"/>
              <w:right w:val="single" w:sz="8" w:space="0" w:color="auto"/>
            </w:tcBorders>
            <w:vAlign w:val="bottom"/>
          </w:tcPr>
          <w:p w:rsidR="00AC12B4" w:rsidRDefault="00C27636">
            <w:pPr>
              <w:ind w:left="80"/>
              <w:rPr>
                <w:sz w:val="20"/>
                <w:szCs w:val="20"/>
              </w:rPr>
            </w:pPr>
            <w:r>
              <w:rPr>
                <w:rFonts w:ascii="Calibri" w:eastAsia="Calibri" w:hAnsi="Calibri" w:cs="Calibri"/>
              </w:rPr>
              <w:t>2011</w:t>
            </w:r>
          </w:p>
        </w:tc>
        <w:tc>
          <w:tcPr>
            <w:tcW w:w="580" w:type="dxa"/>
            <w:tcBorders>
              <w:bottom w:val="single" w:sz="8" w:space="0" w:color="auto"/>
            </w:tcBorders>
            <w:vAlign w:val="bottom"/>
          </w:tcPr>
          <w:p w:rsidR="00AC12B4" w:rsidRDefault="00AC12B4">
            <w:pPr>
              <w:rPr>
                <w:sz w:val="23"/>
                <w:szCs w:val="23"/>
              </w:rPr>
            </w:pPr>
          </w:p>
        </w:tc>
        <w:tc>
          <w:tcPr>
            <w:tcW w:w="360" w:type="dxa"/>
            <w:tcBorders>
              <w:bottom w:val="single" w:sz="8" w:space="0" w:color="auto"/>
            </w:tcBorders>
            <w:vAlign w:val="bottom"/>
          </w:tcPr>
          <w:p w:rsidR="00AC12B4" w:rsidRDefault="00AC12B4">
            <w:pPr>
              <w:rPr>
                <w:sz w:val="23"/>
                <w:szCs w:val="23"/>
              </w:rPr>
            </w:pPr>
          </w:p>
        </w:tc>
        <w:tc>
          <w:tcPr>
            <w:tcW w:w="200" w:type="dxa"/>
            <w:tcBorders>
              <w:bottom w:val="single" w:sz="8" w:space="0" w:color="auto"/>
              <w:right w:val="single" w:sz="8" w:space="0" w:color="auto"/>
            </w:tcBorders>
            <w:vAlign w:val="bottom"/>
          </w:tcPr>
          <w:p w:rsidR="00AC12B4" w:rsidRDefault="00AC12B4">
            <w:pPr>
              <w:rPr>
                <w:sz w:val="23"/>
                <w:szCs w:val="23"/>
              </w:rPr>
            </w:pPr>
          </w:p>
        </w:tc>
      </w:tr>
      <w:tr w:rsidR="00AC12B4">
        <w:trPr>
          <w:trHeight w:val="147"/>
        </w:trPr>
        <w:tc>
          <w:tcPr>
            <w:tcW w:w="840" w:type="dxa"/>
            <w:tcBorders>
              <w:bottom w:val="single" w:sz="8" w:space="0" w:color="auto"/>
            </w:tcBorders>
            <w:vAlign w:val="bottom"/>
          </w:tcPr>
          <w:p w:rsidR="00AC12B4" w:rsidRDefault="00AC12B4">
            <w:pPr>
              <w:rPr>
                <w:sz w:val="12"/>
                <w:szCs w:val="12"/>
              </w:rPr>
            </w:pPr>
          </w:p>
        </w:tc>
        <w:tc>
          <w:tcPr>
            <w:tcW w:w="1100" w:type="dxa"/>
            <w:tcBorders>
              <w:bottom w:val="single" w:sz="8" w:space="0" w:color="auto"/>
            </w:tcBorders>
            <w:vAlign w:val="bottom"/>
          </w:tcPr>
          <w:p w:rsidR="00AC12B4" w:rsidRDefault="00AC12B4">
            <w:pPr>
              <w:rPr>
                <w:sz w:val="12"/>
                <w:szCs w:val="12"/>
              </w:rPr>
            </w:pPr>
          </w:p>
        </w:tc>
        <w:tc>
          <w:tcPr>
            <w:tcW w:w="580" w:type="dxa"/>
            <w:tcBorders>
              <w:bottom w:val="single" w:sz="8" w:space="0" w:color="auto"/>
            </w:tcBorders>
            <w:vAlign w:val="bottom"/>
          </w:tcPr>
          <w:p w:rsidR="00AC12B4" w:rsidRDefault="00AC12B4">
            <w:pPr>
              <w:rPr>
                <w:sz w:val="12"/>
                <w:szCs w:val="12"/>
              </w:rPr>
            </w:pPr>
          </w:p>
        </w:tc>
        <w:tc>
          <w:tcPr>
            <w:tcW w:w="360" w:type="dxa"/>
            <w:tcBorders>
              <w:bottom w:val="single" w:sz="8" w:space="0" w:color="auto"/>
            </w:tcBorders>
            <w:vAlign w:val="bottom"/>
          </w:tcPr>
          <w:p w:rsidR="00AC12B4" w:rsidRDefault="00AC12B4">
            <w:pPr>
              <w:rPr>
                <w:sz w:val="12"/>
                <w:szCs w:val="12"/>
              </w:rPr>
            </w:pPr>
          </w:p>
        </w:tc>
        <w:tc>
          <w:tcPr>
            <w:tcW w:w="200" w:type="dxa"/>
            <w:vAlign w:val="bottom"/>
          </w:tcPr>
          <w:p w:rsidR="00AC12B4" w:rsidRDefault="00AC12B4">
            <w:pPr>
              <w:rPr>
                <w:sz w:val="12"/>
                <w:szCs w:val="12"/>
              </w:rPr>
            </w:pPr>
          </w:p>
        </w:tc>
      </w:tr>
    </w:tbl>
    <w:p w:rsidR="00AC12B4" w:rsidRDefault="00AC12B4">
      <w:pPr>
        <w:spacing w:line="263" w:lineRule="exact"/>
        <w:rPr>
          <w:sz w:val="20"/>
          <w:szCs w:val="20"/>
        </w:rPr>
      </w:pPr>
    </w:p>
    <w:p w:rsidR="00AC12B4" w:rsidRPr="00C27636" w:rsidRDefault="00C27636">
      <w:pPr>
        <w:numPr>
          <w:ilvl w:val="0"/>
          <w:numId w:val="339"/>
        </w:numPr>
        <w:tabs>
          <w:tab w:val="left" w:pos="692"/>
        </w:tabs>
        <w:spacing w:line="220" w:lineRule="auto"/>
        <w:ind w:left="560" w:firstLine="7"/>
        <w:jc w:val="both"/>
        <w:rPr>
          <w:rFonts w:ascii="Arial" w:eastAsia="Arial" w:hAnsi="Arial" w:cs="Arial"/>
          <w:sz w:val="26"/>
          <w:szCs w:val="26"/>
          <w:vertAlign w:val="superscript"/>
          <w:lang w:val="fr-BE"/>
        </w:rPr>
      </w:pPr>
      <w:r w:rsidRPr="00C27636">
        <w:rPr>
          <w:rFonts w:ascii="Calibri" w:eastAsia="Calibri" w:hAnsi="Calibri" w:cs="Calibri"/>
          <w:sz w:val="20"/>
          <w:szCs w:val="20"/>
          <w:lang w:val="fr-BE"/>
        </w:rPr>
        <w:t xml:space="preserve">Seul l'article 23.4 s'est arrêté sur l'importance de « </w:t>
      </w:r>
      <w:r w:rsidRPr="00C27636">
        <w:rPr>
          <w:rFonts w:ascii="Calibri" w:eastAsia="Calibri" w:hAnsi="Calibri" w:cs="Calibri"/>
          <w:sz w:val="20"/>
          <w:szCs w:val="20"/>
          <w:lang w:val="fr-BE"/>
        </w:rPr>
        <w:t>formations professionnelles dans le domaine des soins de santé préventifs et du traitement médical, psychologique et fonctionnel des enfants handicapés ».</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59" w:lineRule="exact"/>
        <w:rPr>
          <w:sz w:val="20"/>
          <w:szCs w:val="20"/>
          <w:lang w:val="fr-BE"/>
        </w:rPr>
      </w:pPr>
    </w:p>
    <w:p w:rsidR="00AC12B4" w:rsidRPr="00C27636" w:rsidRDefault="00AC12B4">
      <w:pPr>
        <w:spacing w:line="1" w:lineRule="exact"/>
        <w:rPr>
          <w:sz w:val="1"/>
          <w:szCs w:val="1"/>
          <w:lang w:val="fr-BE"/>
        </w:rPr>
      </w:pPr>
    </w:p>
    <w:tbl>
      <w:tblPr>
        <w:tblW w:w="0" w:type="auto"/>
        <w:tblInd w:w="818" w:type="dxa"/>
        <w:tblLayout w:type="fixed"/>
        <w:tblCellMar>
          <w:left w:w="0" w:type="dxa"/>
          <w:right w:w="0" w:type="dxa"/>
        </w:tblCellMar>
        <w:tblLook w:val="04A0" w:firstRow="1" w:lastRow="0" w:firstColumn="1" w:lastColumn="0" w:noHBand="0" w:noVBand="1"/>
      </w:tblPr>
      <w:tblGrid>
        <w:gridCol w:w="1120"/>
        <w:gridCol w:w="1160"/>
      </w:tblGrid>
      <w:tr w:rsidR="00AC12B4">
        <w:trPr>
          <w:trHeight w:val="274"/>
        </w:trPr>
        <w:tc>
          <w:tcPr>
            <w:tcW w:w="1120" w:type="dxa"/>
            <w:tcBorders>
              <w:top w:val="single" w:sz="8" w:space="0" w:color="auto"/>
              <w:left w:val="single" w:sz="8" w:space="0" w:color="auto"/>
              <w:bottom w:val="single" w:sz="8" w:space="0" w:color="auto"/>
              <w:right w:val="single" w:sz="8" w:space="0" w:color="auto"/>
            </w:tcBorders>
            <w:vAlign w:val="bottom"/>
          </w:tcPr>
          <w:p w:rsidR="00AC12B4" w:rsidRDefault="00C27636">
            <w:pPr>
              <w:ind w:left="120"/>
              <w:rPr>
                <w:sz w:val="20"/>
                <w:szCs w:val="20"/>
              </w:rPr>
            </w:pPr>
            <w:r>
              <w:rPr>
                <w:rFonts w:ascii="Calibri" w:eastAsia="Calibri" w:hAnsi="Calibri" w:cs="Calibri"/>
              </w:rPr>
              <w:t>2012</w:t>
            </w:r>
          </w:p>
        </w:tc>
        <w:tc>
          <w:tcPr>
            <w:tcW w:w="1160" w:type="dxa"/>
            <w:tcBorders>
              <w:top w:val="single" w:sz="8" w:space="0" w:color="auto"/>
              <w:bottom w:val="single" w:sz="8" w:space="0" w:color="auto"/>
              <w:right w:val="single" w:sz="8" w:space="0" w:color="auto"/>
            </w:tcBorders>
            <w:vAlign w:val="bottom"/>
          </w:tcPr>
          <w:p w:rsidR="00AC12B4" w:rsidRDefault="00C27636">
            <w:pPr>
              <w:ind w:left="100"/>
              <w:rPr>
                <w:sz w:val="20"/>
                <w:szCs w:val="20"/>
              </w:rPr>
            </w:pPr>
            <w:r>
              <w:rPr>
                <w:rFonts w:ascii="Calibri" w:eastAsia="Calibri" w:hAnsi="Calibri" w:cs="Calibri"/>
              </w:rPr>
              <w:t>17</w:t>
            </w:r>
          </w:p>
        </w:tc>
      </w:tr>
      <w:tr w:rsidR="00AC12B4">
        <w:trPr>
          <w:trHeight w:val="258"/>
        </w:trPr>
        <w:tc>
          <w:tcPr>
            <w:tcW w:w="1120" w:type="dxa"/>
            <w:tcBorders>
              <w:left w:val="single" w:sz="8" w:space="0" w:color="auto"/>
              <w:bottom w:val="single" w:sz="8" w:space="0" w:color="auto"/>
              <w:right w:val="single" w:sz="8" w:space="0" w:color="auto"/>
            </w:tcBorders>
            <w:vAlign w:val="bottom"/>
          </w:tcPr>
          <w:p w:rsidR="00AC12B4" w:rsidRDefault="00C27636">
            <w:pPr>
              <w:spacing w:line="255" w:lineRule="exact"/>
              <w:ind w:left="120"/>
              <w:rPr>
                <w:sz w:val="20"/>
                <w:szCs w:val="20"/>
              </w:rPr>
            </w:pPr>
            <w:r>
              <w:rPr>
                <w:rFonts w:ascii="Calibri" w:eastAsia="Calibri" w:hAnsi="Calibri" w:cs="Calibri"/>
              </w:rPr>
              <w:t>2013</w:t>
            </w:r>
          </w:p>
        </w:tc>
        <w:tc>
          <w:tcPr>
            <w:tcW w:w="1160" w:type="dxa"/>
            <w:tcBorders>
              <w:bottom w:val="single" w:sz="8" w:space="0" w:color="auto"/>
              <w:right w:val="single" w:sz="8" w:space="0" w:color="auto"/>
            </w:tcBorders>
            <w:vAlign w:val="bottom"/>
          </w:tcPr>
          <w:p w:rsidR="00AC12B4" w:rsidRDefault="00C27636">
            <w:pPr>
              <w:spacing w:line="255" w:lineRule="exact"/>
              <w:ind w:left="100"/>
              <w:rPr>
                <w:sz w:val="20"/>
                <w:szCs w:val="20"/>
              </w:rPr>
            </w:pPr>
            <w:r>
              <w:rPr>
                <w:rFonts w:ascii="Calibri" w:eastAsia="Calibri" w:hAnsi="Calibri" w:cs="Calibri"/>
              </w:rPr>
              <w:t>49</w:t>
            </w:r>
          </w:p>
        </w:tc>
      </w:tr>
      <w:tr w:rsidR="00AC12B4">
        <w:trPr>
          <w:trHeight w:val="260"/>
        </w:trPr>
        <w:tc>
          <w:tcPr>
            <w:tcW w:w="1120" w:type="dxa"/>
            <w:tcBorders>
              <w:left w:val="single" w:sz="8" w:space="0" w:color="auto"/>
              <w:bottom w:val="single" w:sz="8" w:space="0" w:color="auto"/>
              <w:right w:val="single" w:sz="8" w:space="0" w:color="auto"/>
            </w:tcBorders>
            <w:vAlign w:val="bottom"/>
          </w:tcPr>
          <w:p w:rsidR="00AC12B4" w:rsidRDefault="00C27636">
            <w:pPr>
              <w:spacing w:line="257" w:lineRule="exact"/>
              <w:ind w:left="120"/>
              <w:rPr>
                <w:sz w:val="20"/>
                <w:szCs w:val="20"/>
              </w:rPr>
            </w:pPr>
            <w:r>
              <w:rPr>
                <w:rFonts w:ascii="Calibri" w:eastAsia="Calibri" w:hAnsi="Calibri" w:cs="Calibri"/>
              </w:rPr>
              <w:t>2014</w:t>
            </w:r>
          </w:p>
        </w:tc>
        <w:tc>
          <w:tcPr>
            <w:tcW w:w="1160" w:type="dxa"/>
            <w:tcBorders>
              <w:bottom w:val="single" w:sz="8" w:space="0" w:color="auto"/>
              <w:right w:val="single" w:sz="8" w:space="0" w:color="auto"/>
            </w:tcBorders>
            <w:vAlign w:val="bottom"/>
          </w:tcPr>
          <w:p w:rsidR="00AC12B4" w:rsidRDefault="00C27636">
            <w:pPr>
              <w:spacing w:line="257" w:lineRule="exact"/>
              <w:ind w:left="100"/>
              <w:rPr>
                <w:sz w:val="20"/>
                <w:szCs w:val="20"/>
              </w:rPr>
            </w:pPr>
            <w:r>
              <w:rPr>
                <w:rFonts w:ascii="Calibri" w:eastAsia="Calibri" w:hAnsi="Calibri" w:cs="Calibri"/>
              </w:rPr>
              <w:t>31</w:t>
            </w:r>
          </w:p>
        </w:tc>
      </w:tr>
      <w:tr w:rsidR="00AC12B4">
        <w:trPr>
          <w:trHeight w:val="255"/>
        </w:trPr>
        <w:tc>
          <w:tcPr>
            <w:tcW w:w="1120" w:type="dxa"/>
            <w:tcBorders>
              <w:left w:val="single" w:sz="8" w:space="0" w:color="auto"/>
              <w:right w:val="single" w:sz="8" w:space="0" w:color="auto"/>
            </w:tcBorders>
            <w:vAlign w:val="bottom"/>
          </w:tcPr>
          <w:p w:rsidR="00AC12B4" w:rsidRDefault="00C27636">
            <w:pPr>
              <w:spacing w:line="256" w:lineRule="exact"/>
              <w:ind w:left="120"/>
              <w:rPr>
                <w:sz w:val="20"/>
                <w:szCs w:val="20"/>
              </w:rPr>
            </w:pPr>
            <w:r>
              <w:rPr>
                <w:rFonts w:ascii="Calibri" w:eastAsia="Calibri" w:hAnsi="Calibri" w:cs="Calibri"/>
              </w:rPr>
              <w:t>2015</w:t>
            </w:r>
          </w:p>
        </w:tc>
        <w:tc>
          <w:tcPr>
            <w:tcW w:w="1160" w:type="dxa"/>
            <w:tcBorders>
              <w:right w:val="single" w:sz="8" w:space="0" w:color="auto"/>
            </w:tcBorders>
            <w:vAlign w:val="bottom"/>
          </w:tcPr>
          <w:p w:rsidR="00AC12B4" w:rsidRDefault="00C27636">
            <w:pPr>
              <w:spacing w:line="256" w:lineRule="exact"/>
              <w:ind w:left="100"/>
              <w:rPr>
                <w:sz w:val="20"/>
                <w:szCs w:val="20"/>
              </w:rPr>
            </w:pPr>
            <w:r>
              <w:rPr>
                <w:rFonts w:ascii="Calibri" w:eastAsia="Calibri" w:hAnsi="Calibri" w:cs="Calibri"/>
              </w:rPr>
              <w:t>15</w:t>
            </w:r>
          </w:p>
        </w:tc>
      </w:tr>
      <w:tr w:rsidR="00AC12B4">
        <w:trPr>
          <w:trHeight w:val="269"/>
        </w:trPr>
        <w:tc>
          <w:tcPr>
            <w:tcW w:w="1120" w:type="dxa"/>
            <w:tcBorders>
              <w:left w:val="single" w:sz="8" w:space="0" w:color="auto"/>
              <w:right w:val="single" w:sz="8" w:space="0" w:color="auto"/>
            </w:tcBorders>
            <w:vAlign w:val="bottom"/>
          </w:tcPr>
          <w:p w:rsidR="00AC12B4" w:rsidRDefault="00C27636">
            <w:pPr>
              <w:ind w:left="120"/>
              <w:rPr>
                <w:sz w:val="20"/>
                <w:szCs w:val="20"/>
              </w:rPr>
            </w:pPr>
            <w:r>
              <w:rPr>
                <w:rFonts w:ascii="Calibri" w:eastAsia="Calibri" w:hAnsi="Calibri" w:cs="Calibri"/>
              </w:rPr>
              <w:t>(30/06)</w:t>
            </w:r>
          </w:p>
        </w:tc>
        <w:tc>
          <w:tcPr>
            <w:tcW w:w="1160" w:type="dxa"/>
            <w:tcBorders>
              <w:right w:val="single" w:sz="8" w:space="0" w:color="auto"/>
            </w:tcBorders>
            <w:vAlign w:val="bottom"/>
          </w:tcPr>
          <w:p w:rsidR="00AC12B4" w:rsidRDefault="00AC12B4">
            <w:pPr>
              <w:rPr>
                <w:sz w:val="23"/>
                <w:szCs w:val="23"/>
              </w:rPr>
            </w:pPr>
          </w:p>
        </w:tc>
      </w:tr>
      <w:tr w:rsidR="00AC12B4">
        <w:trPr>
          <w:trHeight w:val="64"/>
        </w:trPr>
        <w:tc>
          <w:tcPr>
            <w:tcW w:w="1120" w:type="dxa"/>
            <w:tcBorders>
              <w:left w:val="single" w:sz="8" w:space="0" w:color="auto"/>
              <w:bottom w:val="single" w:sz="8" w:space="0" w:color="auto"/>
              <w:right w:val="single" w:sz="8" w:space="0" w:color="auto"/>
            </w:tcBorders>
            <w:vAlign w:val="bottom"/>
          </w:tcPr>
          <w:p w:rsidR="00AC12B4" w:rsidRDefault="00AC12B4">
            <w:pPr>
              <w:rPr>
                <w:sz w:val="5"/>
                <w:szCs w:val="5"/>
              </w:rPr>
            </w:pPr>
          </w:p>
        </w:tc>
        <w:tc>
          <w:tcPr>
            <w:tcW w:w="1160" w:type="dxa"/>
            <w:tcBorders>
              <w:bottom w:val="single" w:sz="8" w:space="0" w:color="auto"/>
              <w:right w:val="single" w:sz="8" w:space="0" w:color="auto"/>
            </w:tcBorders>
            <w:vAlign w:val="bottom"/>
          </w:tcPr>
          <w:p w:rsidR="00AC12B4" w:rsidRDefault="00AC12B4">
            <w:pPr>
              <w:rPr>
                <w:sz w:val="5"/>
                <w:szCs w:val="5"/>
              </w:rPr>
            </w:pPr>
          </w:p>
        </w:tc>
      </w:tr>
      <w:tr w:rsidR="00AC12B4">
        <w:trPr>
          <w:trHeight w:val="258"/>
        </w:trPr>
        <w:tc>
          <w:tcPr>
            <w:tcW w:w="1120" w:type="dxa"/>
            <w:tcBorders>
              <w:left w:val="single" w:sz="8" w:space="0" w:color="auto"/>
              <w:bottom w:val="single" w:sz="8" w:space="0" w:color="auto"/>
              <w:right w:val="single" w:sz="8" w:space="0" w:color="auto"/>
            </w:tcBorders>
            <w:vAlign w:val="bottom"/>
          </w:tcPr>
          <w:p w:rsidR="00AC12B4" w:rsidRDefault="00C27636">
            <w:pPr>
              <w:spacing w:line="259" w:lineRule="exact"/>
              <w:ind w:left="120"/>
              <w:rPr>
                <w:sz w:val="20"/>
                <w:szCs w:val="20"/>
              </w:rPr>
            </w:pPr>
            <w:r>
              <w:rPr>
                <w:rFonts w:ascii="Calibri" w:eastAsia="Calibri" w:hAnsi="Calibri" w:cs="Calibri"/>
              </w:rPr>
              <w:t>TOTAL</w:t>
            </w:r>
            <w:r>
              <w:rPr>
                <w:rFonts w:ascii="Calibri" w:eastAsia="Calibri" w:hAnsi="Calibri" w:cs="Calibri"/>
                <w:sz w:val="27"/>
                <w:szCs w:val="27"/>
                <w:vertAlign w:val="superscript"/>
              </w:rPr>
              <w:t>2</w:t>
            </w:r>
          </w:p>
        </w:tc>
        <w:tc>
          <w:tcPr>
            <w:tcW w:w="1160" w:type="dxa"/>
            <w:tcBorders>
              <w:bottom w:val="single" w:sz="8" w:space="0" w:color="auto"/>
              <w:right w:val="single" w:sz="8" w:space="0" w:color="auto"/>
            </w:tcBorders>
            <w:vAlign w:val="bottom"/>
          </w:tcPr>
          <w:p w:rsidR="00AC12B4" w:rsidRDefault="00C27636">
            <w:pPr>
              <w:spacing w:line="250" w:lineRule="exact"/>
              <w:ind w:left="100"/>
              <w:rPr>
                <w:sz w:val="20"/>
                <w:szCs w:val="20"/>
              </w:rPr>
            </w:pPr>
            <w:r>
              <w:rPr>
                <w:rFonts w:ascii="Calibri" w:eastAsia="Calibri" w:hAnsi="Calibri" w:cs="Calibri"/>
              </w:rPr>
              <w:t>426</w:t>
            </w:r>
          </w:p>
        </w:tc>
      </w:tr>
    </w:tbl>
    <w:p w:rsidR="00AC12B4" w:rsidRDefault="00AC12B4">
      <w:pPr>
        <w:spacing w:line="321" w:lineRule="exact"/>
        <w:rPr>
          <w:sz w:val="20"/>
          <w:szCs w:val="20"/>
        </w:rPr>
      </w:pPr>
    </w:p>
    <w:p w:rsidR="00AC12B4" w:rsidRPr="00C27636" w:rsidRDefault="00C27636">
      <w:pPr>
        <w:spacing w:line="230" w:lineRule="auto"/>
        <w:ind w:left="8" w:right="93"/>
        <w:jc w:val="both"/>
        <w:rPr>
          <w:sz w:val="20"/>
          <w:szCs w:val="20"/>
          <w:lang w:val="fr-BE"/>
        </w:rPr>
      </w:pPr>
      <w:r w:rsidRPr="00C27636">
        <w:rPr>
          <w:rFonts w:ascii="Calibri" w:eastAsia="Calibri" w:hAnsi="Calibri" w:cs="Calibri"/>
          <w:sz w:val="20"/>
          <w:szCs w:val="20"/>
          <w:lang w:val="fr-BE"/>
        </w:rPr>
        <w:t xml:space="preserve">Source: IFJ, qui organise les </w:t>
      </w:r>
      <w:r w:rsidRPr="00C27636">
        <w:rPr>
          <w:rFonts w:ascii="Calibri" w:eastAsia="Calibri" w:hAnsi="Calibri" w:cs="Calibri"/>
          <w:sz w:val="20"/>
          <w:szCs w:val="20"/>
          <w:lang w:val="fr-BE"/>
        </w:rPr>
        <w:t>formations depuis 2009. Entre 2009 et 2011, l’IFJ a organisé un nombre limité de formations et n’a pas tenu de statistiques en la matière, pour raison de manque de personnel.</w:t>
      </w:r>
    </w:p>
    <w:p w:rsidR="00AC12B4" w:rsidRPr="00C27636" w:rsidRDefault="00AC12B4">
      <w:pPr>
        <w:spacing w:line="331" w:lineRule="exact"/>
        <w:rPr>
          <w:sz w:val="20"/>
          <w:szCs w:val="20"/>
          <w:lang w:val="fr-BE"/>
        </w:rPr>
      </w:pPr>
    </w:p>
    <w:p w:rsidR="00AC12B4" w:rsidRPr="00C27636" w:rsidRDefault="00C27636">
      <w:pPr>
        <w:spacing w:line="220" w:lineRule="auto"/>
        <w:ind w:left="8" w:right="73"/>
        <w:jc w:val="both"/>
        <w:rPr>
          <w:sz w:val="20"/>
          <w:szCs w:val="20"/>
          <w:lang w:val="fr-BE"/>
        </w:rPr>
      </w:pPr>
      <w:r w:rsidRPr="00C27636">
        <w:rPr>
          <w:rFonts w:ascii="Calibri" w:eastAsia="Calibri" w:hAnsi="Calibri" w:cs="Calibri"/>
          <w:lang w:val="fr-BE"/>
        </w:rPr>
        <w:t>Il s’agit au total d’approximativement (vu les risques de double comptage) 426 s</w:t>
      </w:r>
      <w:r w:rsidRPr="00C27636">
        <w:rPr>
          <w:rFonts w:ascii="Calibri" w:eastAsia="Calibri" w:hAnsi="Calibri" w:cs="Calibri"/>
          <w:lang w:val="fr-BE"/>
        </w:rPr>
        <w:t>ur 2.455 magistrats</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xml:space="preserve"> et 33 criminologues dans le tribunal de la famille et de la jeunesse et dans les parquets concernés, à savoir 17%.</w:t>
      </w:r>
    </w:p>
    <w:p w:rsidR="00AC12B4" w:rsidRPr="00C27636" w:rsidRDefault="00AC12B4">
      <w:pPr>
        <w:spacing w:line="336" w:lineRule="exact"/>
        <w:rPr>
          <w:sz w:val="20"/>
          <w:szCs w:val="20"/>
          <w:lang w:val="fr-BE"/>
        </w:rPr>
      </w:pPr>
    </w:p>
    <w:p w:rsidR="00AC12B4" w:rsidRPr="00C27636" w:rsidRDefault="00C27636">
      <w:pPr>
        <w:spacing w:line="235" w:lineRule="auto"/>
        <w:ind w:left="8" w:right="93"/>
        <w:jc w:val="both"/>
        <w:rPr>
          <w:sz w:val="20"/>
          <w:szCs w:val="20"/>
          <w:lang w:val="fr-BE"/>
        </w:rPr>
      </w:pPr>
      <w:r w:rsidRPr="00C27636">
        <w:rPr>
          <w:rFonts w:ascii="Calibri" w:eastAsia="Calibri" w:hAnsi="Calibri" w:cs="Calibri"/>
          <w:lang w:val="fr-BE"/>
        </w:rPr>
        <w:t>La formation de spécialisation obligatoire pour de futurs magistrats de la famille et de la jeunesse comprend un module</w:t>
      </w:r>
      <w:r w:rsidRPr="00C27636">
        <w:rPr>
          <w:rFonts w:ascii="Calibri" w:eastAsia="Calibri" w:hAnsi="Calibri" w:cs="Calibri"/>
          <w:lang w:val="fr-BE"/>
        </w:rPr>
        <w:t xml:space="preserve"> obligatoire de deux jours sur ‘entendre des enfants et des mineurs’. Tous les magistrats entrant en contact avec des mineurs, sauf le juge de paix qui continue de suivre la tutelle des MENA, reçoivent dorénavant la formation suggérée.</w:t>
      </w:r>
    </w:p>
    <w:p w:rsidR="00AC12B4" w:rsidRPr="00C27636" w:rsidRDefault="00AC12B4">
      <w:pPr>
        <w:spacing w:line="331" w:lineRule="exact"/>
        <w:rPr>
          <w:sz w:val="20"/>
          <w:szCs w:val="20"/>
          <w:lang w:val="fr-BE"/>
        </w:rPr>
      </w:pPr>
    </w:p>
    <w:p w:rsidR="00AC12B4" w:rsidRPr="00C27636" w:rsidRDefault="00C27636">
      <w:pPr>
        <w:spacing w:line="234" w:lineRule="auto"/>
        <w:ind w:left="8" w:right="73"/>
        <w:jc w:val="both"/>
        <w:rPr>
          <w:sz w:val="20"/>
          <w:szCs w:val="20"/>
          <w:lang w:val="fr-BE"/>
        </w:rPr>
      </w:pPr>
      <w:r w:rsidRPr="00C27636">
        <w:rPr>
          <w:rFonts w:ascii="Calibri" w:eastAsia="Calibri" w:hAnsi="Calibri" w:cs="Calibri"/>
          <w:lang w:val="fr-BE"/>
        </w:rPr>
        <w:t>Des formations en m</w:t>
      </w:r>
      <w:r w:rsidRPr="00C27636">
        <w:rPr>
          <w:rFonts w:ascii="Calibri" w:eastAsia="Calibri" w:hAnsi="Calibri" w:cs="Calibri"/>
          <w:lang w:val="fr-BE"/>
        </w:rPr>
        <w:t>atière de traite des êtres humains sont régulièrement organisées par l’Institut de Formation Judiciaire en concertation avec le Collège des Procureurs-généraux et d’autres intervenants. Il existe un réseau d’expertise des magistrats spécialisés qui se réun</w:t>
      </w:r>
      <w:r w:rsidRPr="00C27636">
        <w:rPr>
          <w:rFonts w:ascii="Calibri" w:eastAsia="Calibri" w:hAnsi="Calibri" w:cs="Calibri"/>
          <w:lang w:val="fr-BE"/>
        </w:rPr>
        <w:t>it une fois par an. 2/3 des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58432" behindDoc="1" locked="0" layoutInCell="0" allowOverlap="1">
                <wp:simplePos x="0" y="0"/>
                <wp:positionH relativeFrom="column">
                  <wp:posOffset>0</wp:posOffset>
                </wp:positionH>
                <wp:positionV relativeFrom="paragraph">
                  <wp:posOffset>774700</wp:posOffset>
                </wp:positionV>
                <wp:extent cx="1828800" cy="0"/>
                <wp:effectExtent l="0" t="0" r="0" b="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pt" to="144pt,61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2" w:lineRule="exact"/>
        <w:rPr>
          <w:sz w:val="20"/>
          <w:szCs w:val="20"/>
          <w:lang w:val="fr-BE"/>
        </w:rPr>
      </w:pPr>
    </w:p>
    <w:p w:rsidR="00AC12B4" w:rsidRPr="00C27636" w:rsidRDefault="00C27636">
      <w:pPr>
        <w:spacing w:line="226" w:lineRule="auto"/>
        <w:ind w:left="8" w:right="93"/>
        <w:jc w:val="both"/>
        <w:rPr>
          <w:sz w:val="20"/>
          <w:szCs w:val="20"/>
          <w:lang w:val="fr-BE"/>
        </w:rPr>
      </w:pPr>
      <w:r w:rsidRPr="00C27636">
        <w:rPr>
          <w:rFonts w:ascii="Calibri" w:eastAsia="Calibri" w:hAnsi="Calibri" w:cs="Calibri"/>
          <w:sz w:val="25"/>
          <w:szCs w:val="25"/>
          <w:vertAlign w:val="superscript"/>
          <w:lang w:val="fr-BE"/>
        </w:rPr>
        <w:t>2</w:t>
      </w:r>
      <w:r w:rsidRPr="00C27636">
        <w:rPr>
          <w:rFonts w:ascii="Calibri" w:eastAsia="Calibri" w:hAnsi="Calibri" w:cs="Calibri"/>
          <w:sz w:val="20"/>
          <w:szCs w:val="20"/>
          <w:lang w:val="fr-BE"/>
        </w:rPr>
        <w:t xml:space="preserve"> Ceci concerne le nombre de formations suivies et donc pas nécessairement le nombre de personnes formées (1 personne ayant pu suivre plusieurs formations).</w:t>
      </w:r>
    </w:p>
    <w:p w:rsidR="00AC12B4" w:rsidRPr="00C27636" w:rsidRDefault="00AC12B4">
      <w:pPr>
        <w:spacing w:line="168" w:lineRule="exact"/>
        <w:rPr>
          <w:sz w:val="20"/>
          <w:szCs w:val="20"/>
          <w:lang w:val="fr-BE"/>
        </w:rPr>
      </w:pPr>
    </w:p>
    <w:p w:rsidR="00AC12B4" w:rsidRPr="00C27636" w:rsidRDefault="00C27636">
      <w:pPr>
        <w:numPr>
          <w:ilvl w:val="0"/>
          <w:numId w:val="340"/>
        </w:numPr>
        <w:tabs>
          <w:tab w:val="left" w:pos="126"/>
        </w:tabs>
        <w:spacing w:line="188" w:lineRule="auto"/>
        <w:ind w:left="8" w:right="93" w:hanging="8"/>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Au 31/12/2014: 1.602 juges et 853 magistrats de parquet.</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87"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AC12B4">
      <w:pPr>
        <w:spacing w:line="1" w:lineRule="exact"/>
        <w:rPr>
          <w:sz w:val="20"/>
          <w:szCs w:val="20"/>
          <w:lang w:val="fr-BE"/>
        </w:rPr>
      </w:pPr>
    </w:p>
    <w:p w:rsidR="00AC12B4" w:rsidRPr="00C27636" w:rsidRDefault="00AC12B4">
      <w:pPr>
        <w:rPr>
          <w:lang w:val="fr-BE"/>
        </w:rPr>
        <w:sectPr w:rsidR="00AC12B4" w:rsidRPr="00C27636">
          <w:type w:val="continuous"/>
          <w:pgSz w:w="12080" w:h="17179"/>
          <w:pgMar w:top="1440" w:right="474" w:bottom="659" w:left="1440" w:header="0" w:footer="0" w:gutter="0"/>
          <w:cols w:num="3" w:space="720" w:equalWidth="0">
            <w:col w:w="4440" w:space="712"/>
            <w:col w:w="3961" w:space="720"/>
            <w:col w:w="330"/>
          </w:cols>
        </w:sectPr>
      </w:pPr>
    </w:p>
    <w:p w:rsidR="00AC12B4" w:rsidRDefault="00C27636">
      <w:pPr>
        <w:ind w:left="4640"/>
        <w:rPr>
          <w:sz w:val="20"/>
          <w:szCs w:val="20"/>
        </w:rPr>
      </w:pPr>
      <w:r>
        <w:rPr>
          <w:rFonts w:ascii="Calibri" w:eastAsia="Calibri" w:hAnsi="Calibri" w:cs="Calibri"/>
          <w:sz w:val="21"/>
          <w:szCs w:val="21"/>
        </w:rPr>
        <w:lastRenderedPageBreak/>
        <w:t>177</w:t>
      </w:r>
    </w:p>
    <w:p w:rsidR="00AC12B4" w:rsidRDefault="00AC12B4">
      <w:pPr>
        <w:sectPr w:rsidR="00AC12B4">
          <w:type w:val="continuous"/>
          <w:pgSz w:w="12080" w:h="17179"/>
          <w:pgMar w:top="1440" w:right="474" w:bottom="659" w:left="1440" w:header="0" w:footer="0" w:gutter="0"/>
          <w:cols w:space="720" w:equalWidth="0">
            <w:col w:w="10163"/>
          </w:cols>
        </w:sectPr>
      </w:pPr>
    </w:p>
    <w:bookmarkStart w:id="177" w:name="page178"/>
    <w:bookmarkEnd w:id="177"/>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859456" behindDoc="1" locked="0" layoutInCell="0" allowOverlap="1">
                <wp:simplePos x="0" y="0"/>
                <wp:positionH relativeFrom="page">
                  <wp:posOffset>0</wp:posOffset>
                </wp:positionH>
                <wp:positionV relativeFrom="page">
                  <wp:posOffset>0</wp:posOffset>
                </wp:positionV>
                <wp:extent cx="699135" cy="10908665"/>
                <wp:effectExtent l="0" t="0" r="0" b="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31" o:spid="_x0000_s1556"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1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292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en contact avec la Justice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0" w:lineRule="auto"/>
        <w:jc w:val="both"/>
        <w:rPr>
          <w:sz w:val="20"/>
          <w:szCs w:val="20"/>
          <w:lang w:val="fr-BE"/>
        </w:rPr>
      </w:pPr>
      <w:r w:rsidRPr="00C27636">
        <w:rPr>
          <w:rFonts w:ascii="Calibri" w:eastAsia="Calibri" w:hAnsi="Calibri" w:cs="Calibri"/>
          <w:lang w:val="fr-BE"/>
        </w:rPr>
        <w:t xml:space="preserve">magistrats spécialisés y assistent </w:t>
      </w:r>
      <w:r w:rsidRPr="00C27636">
        <w:rPr>
          <w:rFonts w:ascii="Calibri" w:eastAsia="Calibri" w:hAnsi="Calibri" w:cs="Calibri"/>
          <w:lang w:val="fr-BE"/>
        </w:rPr>
        <w:t>généralement</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w:t>
      </w:r>
    </w:p>
    <w:p w:rsidR="00AC12B4" w:rsidRPr="00C27636" w:rsidRDefault="00AC12B4">
      <w:pPr>
        <w:spacing w:line="293" w:lineRule="exact"/>
        <w:rPr>
          <w:sz w:val="20"/>
          <w:szCs w:val="20"/>
          <w:lang w:val="fr-BE"/>
        </w:rPr>
      </w:pPr>
    </w:p>
    <w:p w:rsidR="00AC12B4" w:rsidRPr="00C27636" w:rsidRDefault="00C27636">
      <w:pPr>
        <w:spacing w:line="225" w:lineRule="auto"/>
        <w:jc w:val="both"/>
        <w:rPr>
          <w:sz w:val="20"/>
          <w:szCs w:val="20"/>
          <w:lang w:val="fr-BE"/>
        </w:rPr>
      </w:pPr>
      <w:r w:rsidRPr="00C27636">
        <w:rPr>
          <w:rFonts w:ascii="Calibri" w:eastAsia="Calibri" w:hAnsi="Calibri" w:cs="Calibri"/>
          <w:lang w:val="fr-BE"/>
        </w:rPr>
        <w:t>Il y a un magistrat spécialisé en traite des êtres humains par arrondissement judiciaire et auditorat du travail.</w:t>
      </w:r>
    </w:p>
    <w:p w:rsidR="00AC12B4" w:rsidRPr="00C27636" w:rsidRDefault="00AC12B4">
      <w:pPr>
        <w:spacing w:line="332" w:lineRule="exact"/>
        <w:rPr>
          <w:sz w:val="20"/>
          <w:szCs w:val="20"/>
          <w:lang w:val="fr-BE"/>
        </w:rPr>
      </w:pPr>
    </w:p>
    <w:p w:rsidR="00AC12B4" w:rsidRPr="00C27636" w:rsidRDefault="00C27636">
      <w:pPr>
        <w:spacing w:line="233" w:lineRule="auto"/>
        <w:jc w:val="both"/>
        <w:rPr>
          <w:sz w:val="20"/>
          <w:szCs w:val="20"/>
          <w:lang w:val="fr-BE"/>
        </w:rPr>
      </w:pPr>
      <w:r w:rsidRPr="00C27636">
        <w:rPr>
          <w:rFonts w:ascii="Calibri" w:eastAsia="Calibri" w:hAnsi="Calibri" w:cs="Calibri"/>
          <w:lang w:val="fr-BE"/>
        </w:rPr>
        <w:t>La cellule interdépartementale de coordination de la lutte contre le trafic et la traite des êtres humains organise également</w:t>
      </w:r>
      <w:r w:rsidRPr="00C27636">
        <w:rPr>
          <w:rFonts w:ascii="Calibri" w:eastAsia="Calibri" w:hAnsi="Calibri" w:cs="Calibri"/>
          <w:lang w:val="fr-BE"/>
        </w:rPr>
        <w:t xml:space="preserve"> des formations ou apporte son appui à leur organisation au niveau des départements ministériels (par exemple en rédigeant des outils didactiques).</w:t>
      </w:r>
    </w:p>
    <w:p w:rsidR="00AC12B4" w:rsidRPr="00C27636" w:rsidRDefault="00AC12B4">
      <w:pPr>
        <w:spacing w:line="293" w:lineRule="exact"/>
        <w:rPr>
          <w:sz w:val="20"/>
          <w:szCs w:val="20"/>
          <w:lang w:val="fr-BE"/>
        </w:rPr>
      </w:pPr>
    </w:p>
    <w:p w:rsidR="00AC12B4" w:rsidRDefault="00C27636">
      <w:pPr>
        <w:rPr>
          <w:sz w:val="20"/>
          <w:szCs w:val="20"/>
        </w:rPr>
      </w:pPr>
      <w:r>
        <w:rPr>
          <w:rFonts w:ascii="Cambria" w:eastAsia="Cambria" w:hAnsi="Cambria" w:cs="Cambria"/>
          <w:b/>
          <w:bCs/>
          <w:i/>
          <w:iCs/>
          <w:color w:val="CF9901"/>
          <w:sz w:val="26"/>
          <w:szCs w:val="26"/>
        </w:rPr>
        <w:t>Police</w:t>
      </w:r>
    </w:p>
    <w:p w:rsidR="00AC12B4" w:rsidRDefault="00AC12B4">
      <w:pPr>
        <w:spacing w:line="166" w:lineRule="exact"/>
        <w:rPr>
          <w:sz w:val="20"/>
          <w:szCs w:val="20"/>
        </w:rPr>
      </w:pPr>
    </w:p>
    <w:p w:rsidR="00AC12B4" w:rsidRDefault="00C27636">
      <w:pPr>
        <w:numPr>
          <w:ilvl w:val="0"/>
          <w:numId w:val="341"/>
        </w:numPr>
        <w:tabs>
          <w:tab w:val="left" w:pos="560"/>
        </w:tabs>
        <w:ind w:left="560" w:hanging="353"/>
        <w:rPr>
          <w:rFonts w:ascii="Wingdings" w:eastAsia="Wingdings" w:hAnsi="Wingdings" w:cs="Wingdings"/>
          <w:color w:val="FEC930"/>
        </w:rPr>
      </w:pPr>
      <w:r>
        <w:rPr>
          <w:rFonts w:ascii="Cambria" w:eastAsia="Cambria" w:hAnsi="Cambria" w:cs="Cambria"/>
          <w:i/>
          <w:iCs/>
          <w:color w:val="FEC930"/>
        </w:rPr>
        <w:t>Focus mineurs « FQI »</w:t>
      </w:r>
    </w:p>
    <w:p w:rsidR="00AC12B4" w:rsidRDefault="00AC12B4">
      <w:pPr>
        <w:spacing w:line="199" w:lineRule="exact"/>
        <w:rPr>
          <w:sz w:val="20"/>
          <w:szCs w:val="20"/>
        </w:rPr>
      </w:pPr>
    </w:p>
    <w:p w:rsidR="00AC12B4" w:rsidRPr="00C27636" w:rsidRDefault="00C27636">
      <w:pPr>
        <w:spacing w:line="235" w:lineRule="auto"/>
        <w:jc w:val="both"/>
        <w:rPr>
          <w:sz w:val="20"/>
          <w:szCs w:val="20"/>
          <w:lang w:val="fr-BE"/>
        </w:rPr>
      </w:pPr>
      <w:r w:rsidRPr="00C27636">
        <w:rPr>
          <w:rFonts w:ascii="Calibri" w:eastAsia="Calibri" w:hAnsi="Calibri" w:cs="Calibri"/>
          <w:lang w:val="fr-BE"/>
        </w:rPr>
        <w:t>En plus de la formation de base dans laquelle un accent est mis sur la théma</w:t>
      </w:r>
      <w:r w:rsidRPr="00C27636">
        <w:rPr>
          <w:rFonts w:ascii="Calibri" w:eastAsia="Calibri" w:hAnsi="Calibri" w:cs="Calibri"/>
          <w:lang w:val="fr-BE"/>
        </w:rPr>
        <w:t>tique de la protection de la jeunesse (orientation des jeunes et de leurs parents vers des services spécialisés, connaissance des points d’attention lors du premier accueil de mineurs,…) une série de formations fonctionnelles ou continuées est proposée.</w:t>
      </w:r>
    </w:p>
    <w:p w:rsidR="00AC12B4" w:rsidRPr="00C27636" w:rsidRDefault="00AC12B4">
      <w:pPr>
        <w:spacing w:line="171" w:lineRule="exact"/>
        <w:rPr>
          <w:sz w:val="20"/>
          <w:szCs w:val="20"/>
          <w:lang w:val="fr-BE"/>
        </w:rPr>
      </w:pPr>
    </w:p>
    <w:p w:rsidR="00AC12B4" w:rsidRPr="00C27636" w:rsidRDefault="00C27636">
      <w:pPr>
        <w:spacing w:line="232" w:lineRule="auto"/>
        <w:jc w:val="both"/>
        <w:rPr>
          <w:sz w:val="20"/>
          <w:szCs w:val="20"/>
          <w:lang w:val="fr-BE"/>
        </w:rPr>
      </w:pPr>
      <w:r w:rsidRPr="00C27636">
        <w:rPr>
          <w:rFonts w:ascii="Calibri" w:eastAsia="Calibri" w:hAnsi="Calibri" w:cs="Calibri"/>
          <w:lang w:val="fr-BE"/>
        </w:rPr>
        <w:t>La Direction de la Formation de la Police fédérale (DGS/DES) indique que toutes les zones de police disposent soit d’un expert en communication avec les mineurs, soit elles font systématiquement appel à un expert d’une zone voisine pour l’audition.</w:t>
      </w:r>
    </w:p>
    <w:p w:rsidR="00AC12B4" w:rsidRPr="00C27636" w:rsidRDefault="00AC12B4">
      <w:pPr>
        <w:spacing w:line="133" w:lineRule="exact"/>
        <w:rPr>
          <w:sz w:val="20"/>
          <w:szCs w:val="20"/>
          <w:lang w:val="fr-BE"/>
        </w:rPr>
      </w:pPr>
    </w:p>
    <w:p w:rsidR="00AC12B4" w:rsidRDefault="00C27636">
      <w:pPr>
        <w:numPr>
          <w:ilvl w:val="0"/>
          <w:numId w:val="342"/>
        </w:numPr>
        <w:tabs>
          <w:tab w:val="left" w:pos="560"/>
        </w:tabs>
        <w:ind w:left="560" w:hanging="353"/>
        <w:rPr>
          <w:rFonts w:ascii="Wingdings" w:eastAsia="Wingdings" w:hAnsi="Wingdings" w:cs="Wingdings"/>
          <w:color w:val="FEC930"/>
        </w:rPr>
      </w:pPr>
      <w:r>
        <w:rPr>
          <w:rFonts w:ascii="Cambria" w:eastAsia="Cambria" w:hAnsi="Cambria" w:cs="Cambria"/>
          <w:i/>
          <w:iCs/>
          <w:color w:val="FEC930"/>
        </w:rPr>
        <w:t xml:space="preserve">Focus </w:t>
      </w:r>
      <w:r>
        <w:rPr>
          <w:rFonts w:ascii="Cambria" w:eastAsia="Cambria" w:hAnsi="Cambria" w:cs="Cambria"/>
          <w:i/>
          <w:iCs/>
          <w:color w:val="FEC930"/>
        </w:rPr>
        <w:t>mineurs en danger</w:t>
      </w:r>
    </w:p>
    <w:p w:rsidR="00AC12B4" w:rsidRDefault="00AC12B4">
      <w:pPr>
        <w:spacing w:line="199" w:lineRule="exact"/>
        <w:rPr>
          <w:sz w:val="20"/>
          <w:szCs w:val="20"/>
        </w:rPr>
      </w:pPr>
    </w:p>
    <w:p w:rsidR="00AC12B4" w:rsidRPr="00C27636" w:rsidRDefault="00C27636">
      <w:pPr>
        <w:spacing w:line="232" w:lineRule="auto"/>
        <w:jc w:val="both"/>
        <w:rPr>
          <w:sz w:val="20"/>
          <w:szCs w:val="20"/>
          <w:lang w:val="fr-BE"/>
        </w:rPr>
      </w:pPr>
      <w:r w:rsidRPr="00C27636">
        <w:rPr>
          <w:rFonts w:ascii="Calibri" w:eastAsia="Calibri" w:hAnsi="Calibri" w:cs="Calibri"/>
          <w:lang w:val="fr-BE"/>
        </w:rPr>
        <w:t>Lors de leur formation de base, les futurs agents et inspecteurs de police apprennent à prendre en charge une victime, à répondre de manière adéquate à ses demandes et à annoncer avec tact une mauvaise nouvelle.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60480" behindDoc="1" locked="0" layoutInCell="0" allowOverlap="1">
                <wp:simplePos x="0" y="0"/>
                <wp:positionH relativeFrom="column">
                  <wp:posOffset>0</wp:posOffset>
                </wp:positionH>
                <wp:positionV relativeFrom="paragraph">
                  <wp:posOffset>425450</wp:posOffset>
                </wp:positionV>
                <wp:extent cx="1828800" cy="0"/>
                <wp:effectExtent l="0" t="0" r="0" b="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5pt" to="144pt,33.5pt" o:allowincell="f" strokecolor="#000000" strokeweight="0.72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lang w:val="fr-BE"/>
        </w:rPr>
        <w:t>Des techniques d’aud</w:t>
      </w:r>
      <w:r w:rsidRPr="00C27636">
        <w:rPr>
          <w:rFonts w:ascii="Calibri" w:eastAsia="Calibri" w:hAnsi="Calibri" w:cs="Calibri"/>
          <w:lang w:val="fr-BE"/>
        </w:rPr>
        <w:t>itions audio-visuelles sont également enseignées (avec un focus particulier sur le développement psychologique et sexuel de l’enfant, les problématiques de maltraitance, abus sexuels,…).</w:t>
      </w:r>
    </w:p>
    <w:p w:rsidR="00AC12B4" w:rsidRPr="00C27636" w:rsidRDefault="00AC12B4">
      <w:pPr>
        <w:spacing w:line="173"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Une série de formations fonctionnelles ou continuées sont proposées,</w:t>
      </w:r>
      <w:r w:rsidRPr="00C27636">
        <w:rPr>
          <w:rFonts w:ascii="Calibri" w:eastAsia="Calibri" w:hAnsi="Calibri" w:cs="Calibri"/>
          <w:lang w:val="fr-BE"/>
        </w:rPr>
        <w:t xml:space="preserve"> entre autres en matière de traite des êtres humains.</w:t>
      </w:r>
    </w:p>
    <w:p w:rsidR="00AC12B4" w:rsidRPr="00C27636" w:rsidRDefault="00AC12B4">
      <w:pPr>
        <w:spacing w:line="171" w:lineRule="exact"/>
        <w:rPr>
          <w:sz w:val="20"/>
          <w:szCs w:val="20"/>
          <w:lang w:val="fr-BE"/>
        </w:rPr>
      </w:pPr>
    </w:p>
    <w:p w:rsidR="00AC12B4" w:rsidRPr="00C27636" w:rsidRDefault="00C27636">
      <w:pPr>
        <w:spacing w:line="233" w:lineRule="auto"/>
        <w:ind w:right="737"/>
        <w:jc w:val="both"/>
        <w:rPr>
          <w:sz w:val="20"/>
          <w:szCs w:val="20"/>
          <w:lang w:val="fr-BE"/>
        </w:rPr>
      </w:pPr>
      <w:r w:rsidRPr="00C27636">
        <w:rPr>
          <w:rFonts w:ascii="Calibri" w:eastAsia="Calibri" w:hAnsi="Calibri" w:cs="Calibri"/>
          <w:lang w:val="fr-BE"/>
        </w:rPr>
        <w:t>La Direction de la Formation de la Police fédérale (DGS/DES) indique que toutes les zones de police disposent soit d’un expert en communication avec les victimes mineurs, soit elles font, pour l’auditi</w:t>
      </w:r>
      <w:r w:rsidRPr="00C27636">
        <w:rPr>
          <w:rFonts w:ascii="Calibri" w:eastAsia="Calibri" w:hAnsi="Calibri" w:cs="Calibri"/>
          <w:lang w:val="fr-BE"/>
        </w:rPr>
        <w:t>on, systématiquement appel à un expert d’une zone voisine.</w:t>
      </w:r>
    </w:p>
    <w:p w:rsidR="00AC12B4" w:rsidRPr="00C27636" w:rsidRDefault="00AC12B4">
      <w:pPr>
        <w:spacing w:line="212" w:lineRule="exact"/>
        <w:rPr>
          <w:sz w:val="20"/>
          <w:szCs w:val="20"/>
          <w:lang w:val="fr-BE"/>
        </w:rPr>
      </w:pPr>
    </w:p>
    <w:p w:rsidR="00AC12B4" w:rsidRDefault="00C27636">
      <w:pPr>
        <w:rPr>
          <w:sz w:val="20"/>
          <w:szCs w:val="20"/>
        </w:rPr>
      </w:pPr>
      <w:r>
        <w:rPr>
          <w:rFonts w:ascii="Cambria" w:eastAsia="Cambria" w:hAnsi="Cambria" w:cs="Cambria"/>
          <w:b/>
          <w:bCs/>
          <w:i/>
          <w:iCs/>
          <w:color w:val="CF9901"/>
          <w:sz w:val="26"/>
          <w:szCs w:val="26"/>
        </w:rPr>
        <w:t>Avocats</w:t>
      </w:r>
    </w:p>
    <w:p w:rsidR="00AC12B4" w:rsidRDefault="00AC12B4">
      <w:pPr>
        <w:spacing w:line="168" w:lineRule="exact"/>
        <w:rPr>
          <w:sz w:val="20"/>
          <w:szCs w:val="20"/>
        </w:rPr>
      </w:pPr>
    </w:p>
    <w:p w:rsidR="00AC12B4" w:rsidRDefault="00C27636">
      <w:pPr>
        <w:numPr>
          <w:ilvl w:val="0"/>
          <w:numId w:val="343"/>
        </w:numPr>
        <w:tabs>
          <w:tab w:val="left" w:pos="580"/>
        </w:tabs>
        <w:ind w:left="580" w:hanging="368"/>
        <w:rPr>
          <w:rFonts w:ascii="Wingdings" w:eastAsia="Wingdings" w:hAnsi="Wingdings" w:cs="Wingdings"/>
          <w:color w:val="FEC930"/>
        </w:rPr>
      </w:pPr>
      <w:r>
        <w:rPr>
          <w:rFonts w:ascii="Cambria" w:eastAsia="Cambria" w:hAnsi="Cambria" w:cs="Cambria"/>
          <w:i/>
          <w:iCs/>
          <w:color w:val="FEC930"/>
        </w:rPr>
        <w:t>OVB</w:t>
      </w:r>
    </w:p>
    <w:p w:rsidR="00AC12B4" w:rsidRDefault="00AC12B4">
      <w:pPr>
        <w:spacing w:line="199" w:lineRule="exact"/>
        <w:rPr>
          <w:sz w:val="20"/>
          <w:szCs w:val="20"/>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Année judiciaire 2013-2014 : 28,86 % (=183/634 stagiaires de première année) suivent l'option droit de la jeunesse ;</w:t>
      </w:r>
    </w:p>
    <w:p w:rsidR="00AC12B4" w:rsidRPr="00C27636" w:rsidRDefault="00AC12B4">
      <w:pPr>
        <w:spacing w:line="171" w:lineRule="exact"/>
        <w:rPr>
          <w:sz w:val="20"/>
          <w:szCs w:val="20"/>
          <w:lang w:val="fr-BE"/>
        </w:rPr>
      </w:pPr>
    </w:p>
    <w:p w:rsidR="00AC12B4" w:rsidRDefault="00C27636">
      <w:pPr>
        <w:spacing w:line="229" w:lineRule="auto"/>
        <w:ind w:right="737"/>
        <w:jc w:val="both"/>
        <w:rPr>
          <w:sz w:val="20"/>
          <w:szCs w:val="20"/>
        </w:rPr>
      </w:pPr>
      <w:r w:rsidRPr="00C27636">
        <w:rPr>
          <w:rFonts w:ascii="Calibri" w:eastAsia="Calibri" w:hAnsi="Calibri" w:cs="Calibri"/>
          <w:lang w:val="fr-BE"/>
        </w:rPr>
        <w:t>Formation spéciale certificat droit de la jeunesse : environ 140</w:t>
      </w:r>
      <w:r w:rsidRPr="00C27636">
        <w:rPr>
          <w:rFonts w:ascii="Calibri" w:eastAsia="Calibri" w:hAnsi="Calibri" w:cs="Calibri"/>
          <w:lang w:val="fr-BE"/>
        </w:rPr>
        <w:t xml:space="preserve"> participants chaque année (2014 : 141). </w:t>
      </w:r>
      <w:r>
        <w:rPr>
          <w:rFonts w:ascii="Calibri" w:eastAsia="Calibri" w:hAnsi="Calibri" w:cs="Calibri"/>
        </w:rPr>
        <w:t>Nombre total d'avocats disposant du certificat</w:t>
      </w:r>
    </w:p>
    <w:p w:rsidR="00AC12B4" w:rsidRDefault="00AC12B4">
      <w:pPr>
        <w:spacing w:line="48" w:lineRule="exact"/>
        <w:rPr>
          <w:sz w:val="20"/>
          <w:szCs w:val="20"/>
        </w:rPr>
      </w:pPr>
    </w:p>
    <w:p w:rsidR="00AC12B4" w:rsidRPr="00C27636" w:rsidRDefault="00C27636">
      <w:pPr>
        <w:numPr>
          <w:ilvl w:val="0"/>
          <w:numId w:val="344"/>
        </w:numPr>
        <w:tabs>
          <w:tab w:val="left" w:pos="163"/>
        </w:tabs>
        <w:spacing w:line="218" w:lineRule="auto"/>
        <w:ind w:right="737" w:firstLine="5"/>
        <w:jc w:val="both"/>
        <w:rPr>
          <w:rFonts w:ascii="Calibri" w:eastAsia="Calibri" w:hAnsi="Calibri" w:cs="Calibri"/>
          <w:lang w:val="fr-BE"/>
        </w:rPr>
      </w:pPr>
      <w:r w:rsidRPr="00C27636">
        <w:rPr>
          <w:rFonts w:ascii="Calibri" w:eastAsia="Calibri" w:hAnsi="Calibri" w:cs="Calibri"/>
          <w:lang w:val="fr-BE"/>
        </w:rPr>
        <w:t>formation spéciale droit de la jeunesse » (sur un total de six cycles de formation) :</w:t>
      </w:r>
    </w:p>
    <w:p w:rsidR="00AC12B4" w:rsidRPr="00C27636" w:rsidRDefault="00AC12B4">
      <w:pPr>
        <w:spacing w:line="49" w:lineRule="exact"/>
        <w:rPr>
          <w:rFonts w:ascii="Calibri" w:eastAsia="Calibri" w:hAnsi="Calibri" w:cs="Calibri"/>
          <w:lang w:val="fr-BE"/>
        </w:rPr>
      </w:pPr>
    </w:p>
    <w:p w:rsidR="00AC12B4" w:rsidRDefault="00C27636">
      <w:pPr>
        <w:spacing w:line="209" w:lineRule="auto"/>
        <w:ind w:right="737"/>
        <w:jc w:val="both"/>
        <w:rPr>
          <w:rFonts w:ascii="Calibri" w:eastAsia="Calibri" w:hAnsi="Calibri" w:cs="Calibri"/>
        </w:rPr>
      </w:pPr>
      <w:r w:rsidRPr="00C27636">
        <w:rPr>
          <w:rFonts w:ascii="Calibri" w:eastAsia="Calibri" w:hAnsi="Calibri" w:cs="Calibri"/>
          <w:lang w:val="fr-BE"/>
        </w:rPr>
        <w:t>672/10.339 avocats flamands (chiffre du 1</w:t>
      </w:r>
      <w:r w:rsidRPr="00C27636">
        <w:rPr>
          <w:rFonts w:ascii="Calibri" w:eastAsia="Calibri" w:hAnsi="Calibri" w:cs="Calibri"/>
          <w:sz w:val="27"/>
          <w:szCs w:val="27"/>
          <w:vertAlign w:val="superscript"/>
          <w:lang w:val="fr-BE"/>
        </w:rPr>
        <w:t>er</w:t>
      </w:r>
      <w:r w:rsidRPr="00C27636">
        <w:rPr>
          <w:rFonts w:ascii="Calibri" w:eastAsia="Calibri" w:hAnsi="Calibri" w:cs="Calibri"/>
          <w:lang w:val="fr-BE"/>
        </w:rPr>
        <w:t xml:space="preserve">décembre 2014) = 6,49 %. </w:t>
      </w:r>
      <w:r>
        <w:rPr>
          <w:rFonts w:ascii="Calibri" w:eastAsia="Calibri" w:hAnsi="Calibri" w:cs="Calibri"/>
        </w:rPr>
        <w:t xml:space="preserve">Fin 2015 il </w:t>
      </w:r>
      <w:r>
        <w:rPr>
          <w:rFonts w:ascii="Calibri" w:eastAsia="Calibri" w:hAnsi="Calibri" w:cs="Calibri"/>
        </w:rPr>
        <w:t>s’agissait déjà d’environ 800 avocats.</w:t>
      </w:r>
    </w:p>
    <w:p w:rsidR="00AC12B4" w:rsidRDefault="00AC12B4">
      <w:pPr>
        <w:spacing w:line="129" w:lineRule="exact"/>
        <w:rPr>
          <w:rFonts w:ascii="Calibri" w:eastAsia="Calibri" w:hAnsi="Calibri" w:cs="Calibri"/>
        </w:rPr>
      </w:pPr>
    </w:p>
    <w:p w:rsidR="00AC12B4" w:rsidRDefault="00C27636">
      <w:pPr>
        <w:numPr>
          <w:ilvl w:val="1"/>
          <w:numId w:val="344"/>
        </w:numPr>
        <w:tabs>
          <w:tab w:val="left" w:pos="580"/>
        </w:tabs>
        <w:ind w:left="580" w:hanging="368"/>
        <w:rPr>
          <w:rFonts w:ascii="Wingdings" w:eastAsia="Wingdings" w:hAnsi="Wingdings" w:cs="Wingdings"/>
          <w:color w:val="FEC930"/>
        </w:rPr>
      </w:pPr>
      <w:r>
        <w:rPr>
          <w:rFonts w:ascii="Cambria" w:eastAsia="Cambria" w:hAnsi="Cambria" w:cs="Cambria"/>
          <w:i/>
          <w:iCs/>
          <w:color w:val="FEC930"/>
        </w:rPr>
        <w:t>OBFG</w:t>
      </w:r>
    </w:p>
    <w:p w:rsidR="00AC12B4" w:rsidRDefault="00AC12B4">
      <w:pPr>
        <w:spacing w:line="202" w:lineRule="exact"/>
        <w:rPr>
          <w:sz w:val="20"/>
          <w:szCs w:val="20"/>
        </w:rPr>
      </w:pPr>
    </w:p>
    <w:p w:rsidR="00AC12B4" w:rsidRPr="00C27636" w:rsidRDefault="00C27636">
      <w:pPr>
        <w:spacing w:line="224" w:lineRule="auto"/>
        <w:ind w:right="737"/>
        <w:jc w:val="both"/>
        <w:rPr>
          <w:sz w:val="20"/>
          <w:szCs w:val="20"/>
          <w:lang w:val="fr-BE"/>
        </w:rPr>
      </w:pPr>
      <w:r w:rsidRPr="00C27636">
        <w:rPr>
          <w:rFonts w:ascii="Calibri" w:eastAsia="Calibri" w:hAnsi="Calibri" w:cs="Calibri"/>
          <w:lang w:val="fr-BE"/>
        </w:rPr>
        <w:t>Nous ne disposons pas de données pour l’Ordre des Barreaux Francophones et Germanophones (avocat.be).</w:t>
      </w:r>
    </w:p>
    <w:p w:rsidR="00AC12B4" w:rsidRPr="00C27636" w:rsidRDefault="00AC12B4">
      <w:pPr>
        <w:spacing w:line="209"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CF9901"/>
          <w:sz w:val="26"/>
          <w:szCs w:val="26"/>
          <w:lang w:val="fr-BE"/>
        </w:rPr>
        <w:t>Tuteurs de MENA</w:t>
      </w:r>
    </w:p>
    <w:p w:rsidR="00AC12B4" w:rsidRPr="00C27636" w:rsidRDefault="00AC12B4">
      <w:pPr>
        <w:spacing w:line="211" w:lineRule="exact"/>
        <w:rPr>
          <w:sz w:val="20"/>
          <w:szCs w:val="20"/>
          <w:lang w:val="fr-BE"/>
        </w:rPr>
      </w:pPr>
    </w:p>
    <w:p w:rsidR="00AC12B4" w:rsidRPr="00C27636" w:rsidRDefault="00C27636">
      <w:pPr>
        <w:spacing w:line="224" w:lineRule="auto"/>
        <w:ind w:right="737"/>
        <w:jc w:val="both"/>
        <w:rPr>
          <w:sz w:val="20"/>
          <w:szCs w:val="20"/>
          <w:lang w:val="fr-BE"/>
        </w:rPr>
      </w:pPr>
      <w:r w:rsidRPr="00C27636">
        <w:rPr>
          <w:rFonts w:ascii="Calibri" w:eastAsia="Calibri" w:hAnsi="Calibri" w:cs="Calibri"/>
          <w:lang w:val="fr-BE"/>
        </w:rPr>
        <w:t xml:space="preserve">Les Mineurs étrangers non-accompagnés (MENA) constituent une catégorie particulière de </w:t>
      </w:r>
      <w:r w:rsidRPr="00C27636">
        <w:rPr>
          <w:rFonts w:ascii="Calibri" w:eastAsia="Calibri" w:hAnsi="Calibri" w:cs="Calibri"/>
          <w:lang w:val="fr-BE"/>
        </w:rPr>
        <w:t>mineurs en dangers.</w:t>
      </w:r>
    </w:p>
    <w:p w:rsidR="00AC12B4" w:rsidRPr="00C27636" w:rsidRDefault="00AC12B4">
      <w:pPr>
        <w:spacing w:line="172" w:lineRule="exact"/>
        <w:rPr>
          <w:sz w:val="20"/>
          <w:szCs w:val="20"/>
          <w:lang w:val="fr-BE"/>
        </w:rPr>
      </w:pPr>
    </w:p>
    <w:p w:rsidR="00AC12B4" w:rsidRPr="00C27636" w:rsidRDefault="00AC12B4">
      <w:pPr>
        <w:rPr>
          <w:lang w:val="fr-BE"/>
        </w:rPr>
        <w:sectPr w:rsidR="00AC12B4" w:rsidRPr="00C27636">
          <w:pgSz w:w="12080" w:h="17179"/>
          <w:pgMar w:top="1440" w:right="1440" w:bottom="659" w:left="427" w:header="0" w:footer="0" w:gutter="0"/>
          <w:cols w:num="3" w:space="720" w:equalWidth="0">
            <w:col w:w="330" w:space="683"/>
            <w:col w:w="3880" w:space="700"/>
            <w:col w:w="4617"/>
          </w:cols>
        </w:sectPr>
      </w:pPr>
    </w:p>
    <w:p w:rsidR="00AC12B4" w:rsidRPr="00C27636" w:rsidRDefault="00AC12B4">
      <w:pPr>
        <w:spacing w:line="2"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2140"/>
        </w:trPr>
        <w:tc>
          <w:tcPr>
            <w:tcW w:w="281" w:type="dxa"/>
            <w:textDirection w:val="btLr"/>
            <w:vAlign w:val="bottom"/>
          </w:tcPr>
          <w:p w:rsidR="00AC12B4" w:rsidRDefault="00C27636">
            <w:pPr>
              <w:rPr>
                <w:sz w:val="20"/>
                <w:szCs w:val="20"/>
              </w:rPr>
            </w:pPr>
            <w:r>
              <w:rPr>
                <w:rFonts w:ascii="Calibri" w:eastAsia="Calibri" w:hAnsi="Calibri" w:cs="Calibri"/>
                <w:b/>
                <w:bCs/>
                <w:i/>
                <w:iCs/>
                <w:color w:val="F2F2F2"/>
                <w:sz w:val="23"/>
                <w:szCs w:val="23"/>
              </w:rPr>
              <w:lastRenderedPageBreak/>
              <w:t>Les droits des mineurs</w:t>
            </w:r>
          </w:p>
        </w:tc>
      </w:tr>
    </w:tbl>
    <w:p w:rsidR="00AC12B4" w:rsidRDefault="00C27636">
      <w:pPr>
        <w:spacing w:line="20" w:lineRule="exact"/>
        <w:rPr>
          <w:sz w:val="20"/>
          <w:szCs w:val="20"/>
        </w:rPr>
      </w:pPr>
      <w:r>
        <w:rPr>
          <w:sz w:val="20"/>
          <w:szCs w:val="20"/>
        </w:rPr>
        <w:br w:type="column"/>
      </w:r>
    </w:p>
    <w:p w:rsidR="00AC12B4" w:rsidRDefault="00AC12B4">
      <w:pPr>
        <w:spacing w:line="205" w:lineRule="exact"/>
        <w:rPr>
          <w:sz w:val="20"/>
          <w:szCs w:val="20"/>
        </w:rPr>
      </w:pPr>
    </w:p>
    <w:p w:rsidR="00AC12B4" w:rsidRPr="00C27636" w:rsidRDefault="00C27636">
      <w:pPr>
        <w:numPr>
          <w:ilvl w:val="0"/>
          <w:numId w:val="345"/>
        </w:numPr>
        <w:tabs>
          <w:tab w:val="left" w:pos="156"/>
        </w:tabs>
        <w:spacing w:line="204" w:lineRule="auto"/>
        <w:rPr>
          <w:rFonts w:ascii="Calibri" w:eastAsia="Calibri" w:hAnsi="Calibri" w:cs="Calibri"/>
          <w:color w:val="0000FF"/>
          <w:sz w:val="20"/>
          <w:szCs w:val="20"/>
          <w:u w:val="single"/>
          <w:lang w:val="nl-NL"/>
        </w:rPr>
      </w:pPr>
      <w:r w:rsidRPr="00C27636">
        <w:rPr>
          <w:rFonts w:ascii="Calibri" w:eastAsia="Calibri" w:hAnsi="Calibri" w:cs="Calibri"/>
          <w:sz w:val="20"/>
          <w:szCs w:val="20"/>
          <w:lang w:val="nl-NL"/>
        </w:rPr>
        <w:t xml:space="preserve">Regeringsrapport mensenhandel 2011-2012, </w:t>
      </w:r>
      <w:hyperlink r:id="rId331">
        <w:r w:rsidRPr="00C27636">
          <w:rPr>
            <w:rFonts w:ascii="Calibri" w:eastAsia="Calibri" w:hAnsi="Calibri" w:cs="Calibri"/>
            <w:color w:val="0000FF"/>
            <w:sz w:val="20"/>
            <w:szCs w:val="20"/>
            <w:u w:val="single"/>
            <w:lang w:val="nl-NL"/>
          </w:rPr>
          <w:t>http://www.dsb-</w:t>
        </w:r>
      </w:hyperlink>
      <w:hyperlink r:id="rId332">
        <w:r w:rsidRPr="00C27636">
          <w:rPr>
            <w:rFonts w:ascii="Calibri" w:eastAsia="Calibri" w:hAnsi="Calibri" w:cs="Calibri"/>
            <w:color w:val="0000FF"/>
            <w:sz w:val="20"/>
            <w:szCs w:val="20"/>
            <w:u w:val="single"/>
            <w:lang w:val="nl-NL"/>
          </w:rPr>
          <w:t>spc.be/doc/pdf/RAPPORT_TEH_2011-</w:t>
        </w:r>
      </w:hyperlink>
    </w:p>
    <w:p w:rsidR="00AC12B4" w:rsidRPr="00C27636" w:rsidRDefault="00AC12B4">
      <w:pPr>
        <w:spacing w:line="2" w:lineRule="exact"/>
        <w:rPr>
          <w:rFonts w:ascii="Calibri" w:eastAsia="Calibri" w:hAnsi="Calibri" w:cs="Calibri"/>
          <w:color w:val="0000FF"/>
          <w:sz w:val="20"/>
          <w:szCs w:val="20"/>
          <w:u w:val="single"/>
          <w:lang w:val="nl-NL"/>
        </w:rPr>
      </w:pPr>
    </w:p>
    <w:p w:rsidR="00AC12B4" w:rsidRPr="00C27636" w:rsidRDefault="00C27636">
      <w:pPr>
        <w:rPr>
          <w:rFonts w:ascii="Calibri" w:eastAsia="Calibri" w:hAnsi="Calibri" w:cs="Calibri"/>
          <w:color w:val="0000FF"/>
          <w:sz w:val="20"/>
          <w:szCs w:val="20"/>
          <w:lang w:val="fr-BE"/>
        </w:rPr>
      </w:pPr>
      <w:hyperlink r:id="rId333">
        <w:r w:rsidRPr="00C27636">
          <w:rPr>
            <w:rFonts w:ascii="Calibri" w:eastAsia="Calibri" w:hAnsi="Calibri" w:cs="Calibri"/>
            <w:color w:val="0000FF"/>
            <w:sz w:val="20"/>
            <w:szCs w:val="20"/>
            <w:u w:val="single"/>
            <w:lang w:val="fr-BE"/>
          </w:rPr>
          <w:t>2012_NL.pdf</w:t>
        </w:r>
        <w:r w:rsidRPr="00C27636">
          <w:rPr>
            <w:rFonts w:ascii="Calibri" w:eastAsia="Calibri" w:hAnsi="Calibri" w:cs="Calibri"/>
            <w:color w:val="000000"/>
            <w:sz w:val="20"/>
            <w:szCs w:val="20"/>
            <w:lang w:val="fr-BE"/>
          </w:rPr>
          <w:t xml:space="preserve">;  </w:t>
        </w:r>
      </w:hyperlink>
      <w:r w:rsidRPr="00C27636">
        <w:rPr>
          <w:rFonts w:ascii="Calibri" w:eastAsia="Calibri" w:hAnsi="Calibri" w:cs="Calibri"/>
          <w:color w:val="0000FF"/>
          <w:sz w:val="20"/>
          <w:szCs w:val="20"/>
          <w:lang w:val="fr-BE"/>
        </w:rPr>
        <w:t xml:space="preserve">Rapport  </w:t>
      </w:r>
      <w:r w:rsidRPr="00C27636">
        <w:rPr>
          <w:rFonts w:ascii="Calibri" w:eastAsia="Calibri" w:hAnsi="Calibri" w:cs="Calibri"/>
          <w:color w:val="000000"/>
          <w:sz w:val="20"/>
          <w:szCs w:val="20"/>
          <w:lang w:val="fr-BE"/>
        </w:rPr>
        <w:t>intermédiaire  de  la</w:t>
      </w:r>
    </w:p>
    <w:p w:rsidR="00AC12B4" w:rsidRPr="00C27636" w:rsidRDefault="00AC12B4">
      <w:pPr>
        <w:spacing w:line="45" w:lineRule="exact"/>
        <w:rPr>
          <w:rFonts w:ascii="Calibri" w:eastAsia="Calibri" w:hAnsi="Calibri" w:cs="Calibri"/>
          <w:color w:val="0000FF"/>
          <w:sz w:val="20"/>
          <w:szCs w:val="20"/>
          <w:lang w:val="fr-BE"/>
        </w:rPr>
      </w:pPr>
    </w:p>
    <w:p w:rsidR="00AC12B4" w:rsidRPr="00C27636" w:rsidRDefault="00C27636">
      <w:pPr>
        <w:spacing w:line="225" w:lineRule="auto"/>
        <w:jc w:val="both"/>
        <w:rPr>
          <w:rFonts w:ascii="Calibri" w:eastAsia="Calibri" w:hAnsi="Calibri" w:cs="Calibri"/>
          <w:color w:val="0000FF"/>
          <w:sz w:val="20"/>
          <w:szCs w:val="20"/>
          <w:lang w:val="fr-BE"/>
        </w:rPr>
      </w:pPr>
      <w:r w:rsidRPr="00C27636">
        <w:rPr>
          <w:rFonts w:ascii="Calibri" w:eastAsia="Calibri" w:hAnsi="Calibri" w:cs="Calibri"/>
          <w:sz w:val="20"/>
          <w:szCs w:val="20"/>
          <w:lang w:val="fr-BE"/>
        </w:rPr>
        <w:t>Belgique relatif à l’a</w:t>
      </w:r>
      <w:r w:rsidRPr="00C27636">
        <w:rPr>
          <w:rFonts w:ascii="Calibri" w:eastAsia="Calibri" w:hAnsi="Calibri" w:cs="Calibri"/>
          <w:sz w:val="20"/>
          <w:szCs w:val="20"/>
          <w:lang w:val="fr-BE"/>
        </w:rPr>
        <w:t>pplication de la Convention du Conseil de l’Europe sur la lutte contre la traite.</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C27636">
      <w:pPr>
        <w:spacing w:line="229" w:lineRule="auto"/>
        <w:ind w:left="520" w:right="737"/>
        <w:jc w:val="both"/>
        <w:rPr>
          <w:sz w:val="20"/>
          <w:szCs w:val="20"/>
          <w:lang w:val="fr-BE"/>
        </w:rPr>
      </w:pPr>
      <w:r w:rsidRPr="00C27636">
        <w:rPr>
          <w:rFonts w:ascii="Calibri" w:eastAsia="Calibri" w:hAnsi="Calibri" w:cs="Calibri"/>
          <w:lang w:val="fr-BE"/>
        </w:rPr>
        <w:t>Le service des Tutelles veille à ce que les tuteurs reçoivent une formation adaptée à la problématique des mineurs étrangers non accompagnés.</w:t>
      </w:r>
    </w:p>
    <w:p w:rsidR="00AC12B4" w:rsidRPr="00C27636" w:rsidRDefault="00AC12B4">
      <w:pPr>
        <w:spacing w:line="170" w:lineRule="exact"/>
        <w:rPr>
          <w:rFonts w:ascii="Calibri" w:eastAsia="Calibri" w:hAnsi="Calibri" w:cs="Calibri"/>
          <w:color w:val="0000FF"/>
          <w:sz w:val="20"/>
          <w:szCs w:val="20"/>
          <w:u w:val="single"/>
          <w:lang w:val="fr-BE"/>
        </w:rPr>
      </w:pPr>
    </w:p>
    <w:p w:rsidR="00AC12B4" w:rsidRPr="00C27636" w:rsidRDefault="00C27636">
      <w:pPr>
        <w:spacing w:line="225" w:lineRule="auto"/>
        <w:ind w:left="520" w:right="737"/>
        <w:jc w:val="both"/>
        <w:rPr>
          <w:sz w:val="20"/>
          <w:szCs w:val="20"/>
          <w:lang w:val="fr-BE"/>
        </w:rPr>
      </w:pPr>
      <w:r w:rsidRPr="00C27636">
        <w:rPr>
          <w:rFonts w:ascii="Calibri" w:eastAsia="Calibri" w:hAnsi="Calibri" w:cs="Calibri"/>
          <w:lang w:val="fr-BE"/>
        </w:rPr>
        <w:t xml:space="preserve">Une formation de base de 5 </w:t>
      </w:r>
      <w:r w:rsidRPr="00C27636">
        <w:rPr>
          <w:rFonts w:ascii="Calibri" w:eastAsia="Calibri" w:hAnsi="Calibri" w:cs="Calibri"/>
          <w:lang w:val="fr-BE"/>
        </w:rPr>
        <w:t>jours, répartis sur les premiers mois de leur activité porte, en plus d’une approche juridique,</w:t>
      </w:r>
    </w:p>
    <w:p w:rsidR="00AC12B4" w:rsidRPr="00C27636" w:rsidRDefault="00AC12B4">
      <w:pPr>
        <w:spacing w:line="180" w:lineRule="exact"/>
        <w:rPr>
          <w:rFonts w:ascii="Calibri" w:eastAsia="Calibri" w:hAnsi="Calibri" w:cs="Calibri"/>
          <w:color w:val="0000FF"/>
          <w:sz w:val="20"/>
          <w:szCs w:val="20"/>
          <w:u w:val="single"/>
          <w:lang w:val="fr-BE"/>
        </w:rPr>
      </w:pPr>
    </w:p>
    <w:p w:rsidR="00AC12B4" w:rsidRPr="00C27636" w:rsidRDefault="00C27636">
      <w:pPr>
        <w:rPr>
          <w:sz w:val="20"/>
          <w:szCs w:val="20"/>
          <w:lang w:val="fr-BE"/>
        </w:rPr>
      </w:pPr>
      <w:r w:rsidRPr="00C27636">
        <w:rPr>
          <w:rFonts w:ascii="Calibri" w:eastAsia="Calibri" w:hAnsi="Calibri" w:cs="Calibri"/>
          <w:lang w:val="fr-BE"/>
        </w:rPr>
        <w:t>178</w:t>
      </w:r>
    </w:p>
    <w:p w:rsidR="00AC12B4" w:rsidRPr="00C27636" w:rsidRDefault="00AC12B4">
      <w:pPr>
        <w:rPr>
          <w:lang w:val="fr-BE"/>
        </w:rPr>
        <w:sectPr w:rsidR="00AC12B4" w:rsidRPr="00C27636">
          <w:type w:val="continuous"/>
          <w:pgSz w:w="12080" w:h="17179"/>
          <w:pgMar w:top="1440" w:right="1440" w:bottom="659" w:left="427" w:header="0" w:footer="0" w:gutter="0"/>
          <w:cols w:num="3" w:space="720" w:equalWidth="0">
            <w:col w:w="293" w:space="720"/>
            <w:col w:w="3880" w:space="180"/>
            <w:col w:w="5137"/>
          </w:cols>
        </w:sectPr>
      </w:pPr>
    </w:p>
    <w:p w:rsidR="00AC12B4" w:rsidRPr="00C27636" w:rsidRDefault="00AC12B4">
      <w:pPr>
        <w:spacing w:line="212" w:lineRule="exact"/>
        <w:rPr>
          <w:sz w:val="20"/>
          <w:szCs w:val="20"/>
          <w:lang w:val="fr-BE"/>
        </w:rPr>
      </w:pPr>
      <w:bookmarkStart w:id="178" w:name="page179"/>
      <w:bookmarkEnd w:id="178"/>
    </w:p>
    <w:p w:rsidR="00AC12B4" w:rsidRPr="00C27636" w:rsidRDefault="00C27636">
      <w:pPr>
        <w:spacing w:line="229" w:lineRule="auto"/>
        <w:ind w:left="560" w:right="520"/>
        <w:jc w:val="both"/>
        <w:rPr>
          <w:sz w:val="20"/>
          <w:szCs w:val="20"/>
          <w:lang w:val="fr-BE"/>
        </w:rPr>
      </w:pPr>
      <w:r w:rsidRPr="00C27636">
        <w:rPr>
          <w:rFonts w:ascii="Calibri" w:eastAsia="Calibri" w:hAnsi="Calibri" w:cs="Calibri"/>
          <w:lang w:val="fr-BE"/>
        </w:rPr>
        <w:t>sur les notions de pédagogie et de psychologie (bien-être psycho-social), détection de la famille (tracing) et d’accueil m</w:t>
      </w:r>
      <w:r w:rsidRPr="00C27636">
        <w:rPr>
          <w:rFonts w:ascii="Calibri" w:eastAsia="Calibri" w:hAnsi="Calibri" w:cs="Calibri"/>
          <w:lang w:val="fr-BE"/>
        </w:rPr>
        <w:t>ulticulturel.</w:t>
      </w:r>
    </w:p>
    <w:p w:rsidR="00AC12B4" w:rsidRPr="00C27636" w:rsidRDefault="00AC12B4">
      <w:pPr>
        <w:spacing w:line="168" w:lineRule="exact"/>
        <w:rPr>
          <w:sz w:val="20"/>
          <w:szCs w:val="20"/>
          <w:lang w:val="fr-BE"/>
        </w:rPr>
      </w:pPr>
    </w:p>
    <w:p w:rsidR="00AC12B4" w:rsidRPr="00C27636" w:rsidRDefault="00C27636">
      <w:pPr>
        <w:ind w:left="560" w:right="520"/>
        <w:jc w:val="both"/>
        <w:rPr>
          <w:sz w:val="20"/>
          <w:szCs w:val="20"/>
          <w:lang w:val="fr-BE"/>
        </w:rPr>
      </w:pPr>
      <w:r w:rsidRPr="00C27636">
        <w:rPr>
          <w:rFonts w:ascii="Calibri" w:eastAsia="Calibri" w:hAnsi="Calibri" w:cs="Calibri"/>
          <w:lang w:val="fr-BE"/>
        </w:rPr>
        <w:t>Des formations permanentes sont organisées en fonction de l'actualité ou sur certains thèmes. En 2015, une journée de formation sur la traite et le trafic des êtres humains a été organisée, ainsi qu'une formation sur les procédures de séjour</w:t>
      </w:r>
      <w:r w:rsidRPr="00C27636">
        <w:rPr>
          <w:rFonts w:ascii="Calibri" w:eastAsia="Calibri" w:hAnsi="Calibri" w:cs="Calibri"/>
          <w:lang w:val="fr-BE"/>
        </w:rPr>
        <w:t xml:space="preserve"> pour les ressortissants de l'UE (en particulier les mineurs) et une présentation sur la politique d'accueil de Fedasil. En 2014 ont eu lieu des formations/séances d'information sur les mutilations sexuelles, sur les MENA afghans (journée d’étude organisée</w:t>
      </w:r>
      <w:r w:rsidRPr="00C27636">
        <w:rPr>
          <w:rFonts w:ascii="Calibri" w:eastAsia="Calibri" w:hAnsi="Calibri" w:cs="Calibri"/>
          <w:lang w:val="fr-BE"/>
        </w:rPr>
        <w:t xml:space="preserve"> par Solentra), sur l'extension du régime de tutelle aux mineurs européens non accompagnés (par l'IOM), sur le projet 'My future' pour demandeurs d’asile déboutés (par Fedasil), sur les childnotices (country reports) UNICEF, ainsi qu'une rencontre avec un </w:t>
      </w:r>
      <w:r w:rsidRPr="00C27636">
        <w:rPr>
          <w:rFonts w:ascii="Calibri" w:eastAsia="Calibri" w:hAnsi="Calibri" w:cs="Calibri"/>
          <w:lang w:val="fr-BE"/>
        </w:rPr>
        <w:t>collaborateur de l'UNICEF d'Afghanistan à propos de la situation dans ce pays.</w:t>
      </w:r>
    </w:p>
    <w:p w:rsidR="00AC12B4" w:rsidRPr="00C27636" w:rsidRDefault="00AC12B4">
      <w:pPr>
        <w:spacing w:line="390" w:lineRule="exact"/>
        <w:rPr>
          <w:sz w:val="20"/>
          <w:szCs w:val="20"/>
          <w:lang w:val="fr-BE"/>
        </w:rPr>
      </w:pPr>
    </w:p>
    <w:p w:rsidR="00AC12B4" w:rsidRPr="00C27636" w:rsidRDefault="00C27636">
      <w:pPr>
        <w:spacing w:line="231" w:lineRule="auto"/>
        <w:ind w:left="560" w:right="520"/>
        <w:jc w:val="both"/>
        <w:rPr>
          <w:sz w:val="20"/>
          <w:szCs w:val="20"/>
          <w:lang w:val="fr-BE"/>
        </w:rPr>
      </w:pPr>
      <w:r w:rsidRPr="00C27636">
        <w:rPr>
          <w:rFonts w:ascii="Calibri" w:eastAsia="Calibri" w:hAnsi="Calibri" w:cs="Calibri"/>
          <w:lang w:val="fr-BE"/>
        </w:rPr>
        <w:t>En outre, une formation en traite des enfants a été donnée aux tuteurs en 2015, en collaboration avec la Cellule Interdépartementale. 30% des tuteurs y ont participé.</w:t>
      </w:r>
    </w:p>
    <w:p w:rsidR="00AC12B4" w:rsidRPr="00C27636" w:rsidRDefault="00AC12B4">
      <w:pPr>
        <w:spacing w:line="172" w:lineRule="exact"/>
        <w:rPr>
          <w:sz w:val="20"/>
          <w:szCs w:val="20"/>
          <w:lang w:val="fr-BE"/>
        </w:rPr>
      </w:pPr>
    </w:p>
    <w:p w:rsidR="00AC12B4" w:rsidRPr="00C27636" w:rsidRDefault="00C27636">
      <w:pPr>
        <w:spacing w:line="230" w:lineRule="auto"/>
        <w:ind w:left="560" w:right="520"/>
        <w:jc w:val="both"/>
        <w:rPr>
          <w:sz w:val="20"/>
          <w:szCs w:val="20"/>
          <w:lang w:val="fr-BE"/>
        </w:rPr>
      </w:pPr>
      <w:r w:rsidRPr="00C27636">
        <w:rPr>
          <w:rFonts w:ascii="Calibri" w:eastAsia="Calibri" w:hAnsi="Calibri" w:cs="Calibri"/>
          <w:lang w:val="fr-BE"/>
        </w:rPr>
        <w:t xml:space="preserve">Le </w:t>
      </w:r>
      <w:r w:rsidRPr="00C27636">
        <w:rPr>
          <w:rFonts w:ascii="Calibri" w:eastAsia="Calibri" w:hAnsi="Calibri" w:cs="Calibri"/>
          <w:lang w:val="fr-BE"/>
        </w:rPr>
        <w:t>programme de coaching pour tuteurs (d'avril 2015 à avril 2016, l'intention étant de le faire suivre d’un nouveau programme de coaching et d’intervision pour au moins trois ans) comporte trois volets :</w:t>
      </w:r>
    </w:p>
    <w:p w:rsidR="00AC12B4" w:rsidRPr="00C27636" w:rsidRDefault="00AC12B4">
      <w:pPr>
        <w:spacing w:line="126" w:lineRule="exact"/>
        <w:rPr>
          <w:sz w:val="20"/>
          <w:szCs w:val="20"/>
          <w:lang w:val="fr-BE"/>
        </w:rPr>
      </w:pPr>
    </w:p>
    <w:p w:rsidR="00AC12B4" w:rsidRPr="00C27636" w:rsidRDefault="00C27636">
      <w:pPr>
        <w:numPr>
          <w:ilvl w:val="0"/>
          <w:numId w:val="346"/>
        </w:numPr>
        <w:tabs>
          <w:tab w:val="left" w:pos="820"/>
        </w:tabs>
        <w:ind w:left="820" w:hanging="253"/>
        <w:rPr>
          <w:rFonts w:ascii="Calibri" w:eastAsia="Calibri" w:hAnsi="Calibri" w:cs="Calibri"/>
          <w:lang w:val="nl-NL"/>
        </w:rPr>
      </w:pPr>
      <w:r w:rsidRPr="00C27636">
        <w:rPr>
          <w:rFonts w:ascii="Calibri" w:eastAsia="Calibri" w:hAnsi="Calibri" w:cs="Calibri"/>
          <w:lang w:val="nl-NL"/>
        </w:rPr>
        <w:t>Un helpdesk pour tuteurs : Rode Kruis</w:t>
      </w:r>
    </w:p>
    <w:p w:rsidR="00AC12B4" w:rsidRPr="00C27636" w:rsidRDefault="00AC12B4">
      <w:pPr>
        <w:spacing w:line="49" w:lineRule="exact"/>
        <w:rPr>
          <w:rFonts w:ascii="Calibri" w:eastAsia="Calibri" w:hAnsi="Calibri" w:cs="Calibri"/>
          <w:lang w:val="nl-NL"/>
        </w:rPr>
      </w:pPr>
    </w:p>
    <w:p w:rsidR="00AC12B4" w:rsidRPr="00C27636" w:rsidRDefault="00C27636">
      <w:pPr>
        <w:spacing w:line="236" w:lineRule="auto"/>
        <w:ind w:left="560" w:right="520"/>
        <w:jc w:val="both"/>
        <w:rPr>
          <w:rFonts w:ascii="Calibri" w:eastAsia="Calibri" w:hAnsi="Calibri" w:cs="Calibri"/>
          <w:lang w:val="fr-BE"/>
        </w:rPr>
      </w:pPr>
      <w:r w:rsidRPr="00C27636">
        <w:rPr>
          <w:rFonts w:ascii="Calibri" w:eastAsia="Calibri" w:hAnsi="Calibri" w:cs="Calibri"/>
          <w:lang w:val="fr-BE"/>
        </w:rPr>
        <w:t>Vlaanderen pour</w:t>
      </w:r>
      <w:r w:rsidRPr="00C27636">
        <w:rPr>
          <w:rFonts w:ascii="Calibri" w:eastAsia="Calibri" w:hAnsi="Calibri" w:cs="Calibri"/>
          <w:lang w:val="fr-BE"/>
        </w:rPr>
        <w:t xml:space="preserve"> les tuteurs néerlandophones et Caritas International pour les tuteurs francophones sont joignables de manière flexible par téléphone ou par e-mail. Les tuteurs peuvent s'adresser au helpdesk pour poser des questions pratiques et spécifiques sur l'exécutio</w:t>
      </w:r>
      <w:r w:rsidRPr="00C27636">
        <w:rPr>
          <w:rFonts w:ascii="Calibri" w:eastAsia="Calibri" w:hAnsi="Calibri" w:cs="Calibri"/>
          <w:lang w:val="fr-BE"/>
        </w:rPr>
        <w:t>n de la tutelle, pour obtenir des conseils concrets et des informations sur des procédures ou pour prendre rendez-vous en vue d'examiner en détail une situation particulière. Le helpdesk donne des conseils ou fournit des pistes concrètes</w:t>
      </w:r>
    </w:p>
    <w:p w:rsidR="00AC12B4" w:rsidRPr="00C27636" w:rsidRDefault="00AC12B4">
      <w:pPr>
        <w:spacing w:line="186"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179</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left="8" w:right="93"/>
        <w:rPr>
          <w:sz w:val="20"/>
          <w:szCs w:val="20"/>
          <w:lang w:val="fr-BE"/>
        </w:rPr>
      </w:pPr>
      <w:r w:rsidRPr="00C27636">
        <w:rPr>
          <w:rFonts w:ascii="Calibri" w:eastAsia="Calibri" w:hAnsi="Calibri" w:cs="Calibri"/>
          <w:lang w:val="fr-BE"/>
        </w:rPr>
        <w:t>de solutio</w:t>
      </w:r>
      <w:r w:rsidRPr="00C27636">
        <w:rPr>
          <w:rFonts w:ascii="Calibri" w:eastAsia="Calibri" w:hAnsi="Calibri" w:cs="Calibri"/>
          <w:lang w:val="fr-BE"/>
        </w:rPr>
        <w:t>ns et communique les coordonnées d'organisations.</w:t>
      </w:r>
    </w:p>
    <w:p w:rsidR="00AC12B4" w:rsidRPr="00C27636" w:rsidRDefault="00AC12B4">
      <w:pPr>
        <w:spacing w:line="170" w:lineRule="exact"/>
        <w:rPr>
          <w:sz w:val="20"/>
          <w:szCs w:val="20"/>
          <w:lang w:val="fr-BE"/>
        </w:rPr>
      </w:pPr>
    </w:p>
    <w:p w:rsidR="00AC12B4" w:rsidRPr="00C27636" w:rsidRDefault="00C27636">
      <w:pPr>
        <w:numPr>
          <w:ilvl w:val="0"/>
          <w:numId w:val="347"/>
        </w:numPr>
        <w:tabs>
          <w:tab w:val="left" w:pos="243"/>
        </w:tabs>
        <w:spacing w:line="237" w:lineRule="auto"/>
        <w:ind w:left="8" w:right="73" w:hanging="8"/>
        <w:jc w:val="both"/>
        <w:rPr>
          <w:rFonts w:ascii="Calibri" w:eastAsia="Calibri" w:hAnsi="Calibri" w:cs="Calibri"/>
          <w:lang w:val="fr-BE"/>
        </w:rPr>
      </w:pPr>
      <w:r w:rsidRPr="00C27636">
        <w:rPr>
          <w:rFonts w:ascii="Calibri" w:eastAsia="Calibri" w:hAnsi="Calibri" w:cs="Calibri"/>
          <w:lang w:val="fr-BE"/>
        </w:rPr>
        <w:t>Le soutien individuel au tuteur : chaque tuteur peut demander à l'organisation un soutien individuel dans le cadre d'une tutelle en cours, en particulier dans des situations complexes qui nécessitent une c</w:t>
      </w:r>
      <w:r w:rsidRPr="00C27636">
        <w:rPr>
          <w:rFonts w:ascii="Calibri" w:eastAsia="Calibri" w:hAnsi="Calibri" w:cs="Calibri"/>
          <w:lang w:val="fr-BE"/>
        </w:rPr>
        <w:t>oncertation, par exemple pour des mineurs en danger, à la frontière, dans des centres fermés, sous mandat d'arrêt, des mineurs nécessitant des soins médicaux urgents, des victimes potentielles de traite des êtres humains, des mineurs connaissant des problè</w:t>
      </w:r>
      <w:r w:rsidRPr="00C27636">
        <w:rPr>
          <w:rFonts w:ascii="Calibri" w:eastAsia="Calibri" w:hAnsi="Calibri" w:cs="Calibri"/>
          <w:lang w:val="fr-BE"/>
        </w:rPr>
        <w:t>mes psychologiques graves ou sans place d'accueil, des mineurs pour lesquels la recherche d'une solution durable s'avère problématique ou se déroule difficilement ou encore des mineurs qui veulent retourner dans leur pays. L'accompagnement individuel est a</w:t>
      </w:r>
      <w:r w:rsidRPr="00C27636">
        <w:rPr>
          <w:rFonts w:ascii="Calibri" w:eastAsia="Calibri" w:hAnsi="Calibri" w:cs="Calibri"/>
          <w:lang w:val="fr-BE"/>
        </w:rPr>
        <w:t>dapté à la nature et à la nécessité de la situation (à apprécier au cas par cas) et peut s'étendre sur toute une période.</w:t>
      </w:r>
    </w:p>
    <w:p w:rsidR="00AC12B4" w:rsidRPr="00C27636" w:rsidRDefault="00AC12B4">
      <w:pPr>
        <w:spacing w:line="189" w:lineRule="exact"/>
        <w:rPr>
          <w:rFonts w:ascii="Calibri" w:eastAsia="Calibri" w:hAnsi="Calibri" w:cs="Calibri"/>
          <w:lang w:val="fr-BE"/>
        </w:rPr>
      </w:pPr>
    </w:p>
    <w:p w:rsidR="00AC12B4" w:rsidRPr="00C27636" w:rsidRDefault="00C27636">
      <w:pPr>
        <w:numPr>
          <w:ilvl w:val="0"/>
          <w:numId w:val="347"/>
        </w:numPr>
        <w:tabs>
          <w:tab w:val="left" w:pos="502"/>
        </w:tabs>
        <w:spacing w:line="236" w:lineRule="auto"/>
        <w:ind w:left="8" w:right="73" w:hanging="8"/>
        <w:jc w:val="both"/>
        <w:rPr>
          <w:rFonts w:ascii="Calibri" w:eastAsia="Calibri" w:hAnsi="Calibri" w:cs="Calibri"/>
          <w:lang w:val="fr-BE"/>
        </w:rPr>
      </w:pPr>
      <w:r w:rsidRPr="00C27636">
        <w:rPr>
          <w:rFonts w:ascii="Calibri" w:eastAsia="Calibri" w:hAnsi="Calibri" w:cs="Calibri"/>
          <w:lang w:val="fr-BE"/>
        </w:rPr>
        <w:t xml:space="preserve">Un stage et des moments d'information : les nouveaux tuteurs inexpérimentés reçoivent un stage individuel de 8 heures minimum. Ce </w:t>
      </w:r>
      <w:r w:rsidRPr="00C27636">
        <w:rPr>
          <w:rFonts w:ascii="Calibri" w:eastAsia="Calibri" w:hAnsi="Calibri" w:cs="Calibri"/>
          <w:lang w:val="fr-BE"/>
        </w:rPr>
        <w:t>stage consiste à accompagner un tuteur-coach dans ses visites à son pupille et à différentes instances. Enfin, l'organisation organisera à intervalles réguliers des réunions pour les tuteurs dans lesquelles des astuces et des informations concrètes leur se</w:t>
      </w:r>
      <w:r w:rsidRPr="00C27636">
        <w:rPr>
          <w:rFonts w:ascii="Calibri" w:eastAsia="Calibri" w:hAnsi="Calibri" w:cs="Calibri"/>
          <w:lang w:val="fr-BE"/>
        </w:rPr>
        <w:t>ront fournies.</w:t>
      </w:r>
    </w:p>
    <w:p w:rsidR="00AC12B4" w:rsidRPr="00C27636" w:rsidRDefault="00AC12B4">
      <w:pPr>
        <w:spacing w:line="207" w:lineRule="exact"/>
        <w:rPr>
          <w:sz w:val="20"/>
          <w:szCs w:val="20"/>
          <w:lang w:val="fr-BE"/>
        </w:rPr>
      </w:pPr>
    </w:p>
    <w:p w:rsidR="00AC12B4" w:rsidRPr="00C27636" w:rsidRDefault="00C27636">
      <w:pPr>
        <w:ind w:left="8"/>
        <w:rPr>
          <w:sz w:val="20"/>
          <w:szCs w:val="20"/>
          <w:lang w:val="fr-BE"/>
        </w:rPr>
      </w:pPr>
      <w:r w:rsidRPr="00C27636">
        <w:rPr>
          <w:rFonts w:ascii="Cambria" w:eastAsia="Cambria" w:hAnsi="Cambria" w:cs="Cambria"/>
          <w:b/>
          <w:bCs/>
          <w:i/>
          <w:iCs/>
          <w:color w:val="CF9901"/>
          <w:sz w:val="26"/>
          <w:szCs w:val="26"/>
          <w:lang w:val="fr-BE"/>
        </w:rPr>
        <w:t>D’où viennent ces données ?</w:t>
      </w:r>
    </w:p>
    <w:p w:rsidR="00AC12B4" w:rsidRPr="00C27636" w:rsidRDefault="00AC12B4">
      <w:pPr>
        <w:spacing w:line="210" w:lineRule="exact"/>
        <w:rPr>
          <w:sz w:val="20"/>
          <w:szCs w:val="20"/>
          <w:lang w:val="fr-BE"/>
        </w:rPr>
      </w:pPr>
    </w:p>
    <w:p w:rsidR="00AC12B4" w:rsidRPr="00C27636" w:rsidRDefault="00C27636">
      <w:pPr>
        <w:spacing w:line="218" w:lineRule="auto"/>
        <w:ind w:left="8" w:right="93"/>
        <w:jc w:val="both"/>
        <w:rPr>
          <w:sz w:val="20"/>
          <w:szCs w:val="20"/>
          <w:lang w:val="fr-BE"/>
        </w:rPr>
      </w:pPr>
      <w:r w:rsidRPr="00C27636">
        <w:rPr>
          <w:rFonts w:ascii="Calibri" w:eastAsia="Calibri" w:hAnsi="Calibri" w:cs="Calibri"/>
          <w:lang w:val="fr-BE"/>
        </w:rPr>
        <w:t>Les données précitées proviennent des institutions mêmes.</w:t>
      </w:r>
    </w:p>
    <w:p w:rsidR="00AC12B4" w:rsidRPr="00C27636" w:rsidRDefault="00AC12B4">
      <w:pPr>
        <w:spacing w:line="170" w:lineRule="exact"/>
        <w:rPr>
          <w:sz w:val="20"/>
          <w:szCs w:val="20"/>
          <w:lang w:val="fr-BE"/>
        </w:rPr>
      </w:pPr>
    </w:p>
    <w:p w:rsidR="00AC12B4" w:rsidRPr="00C27636" w:rsidRDefault="00C27636">
      <w:pPr>
        <w:spacing w:line="232" w:lineRule="auto"/>
        <w:ind w:left="8" w:right="93"/>
        <w:jc w:val="both"/>
        <w:rPr>
          <w:sz w:val="20"/>
          <w:szCs w:val="20"/>
          <w:lang w:val="fr-BE"/>
        </w:rPr>
      </w:pPr>
      <w:r w:rsidRPr="00C27636">
        <w:rPr>
          <w:rFonts w:ascii="Calibri" w:eastAsia="Calibri" w:hAnsi="Calibri" w:cs="Calibri"/>
          <w:lang w:val="fr-BE"/>
        </w:rPr>
        <w:t xml:space="preserve">Il est souvent difficile d’en tirer des informations sur le nombre ou pourcentage de professionnels formés car les données sont plutôt reprises sous la </w:t>
      </w:r>
      <w:r w:rsidRPr="00C27636">
        <w:rPr>
          <w:rFonts w:ascii="Calibri" w:eastAsia="Calibri" w:hAnsi="Calibri" w:cs="Calibri"/>
          <w:lang w:val="fr-BE"/>
        </w:rPr>
        <w:t>forme du nombre de personnes ayant participé à telle formation.</w:t>
      </w:r>
    </w:p>
    <w:p w:rsidR="00AC12B4" w:rsidRPr="00C27636" w:rsidRDefault="00AC12B4">
      <w:pPr>
        <w:spacing w:line="173" w:lineRule="exact"/>
        <w:rPr>
          <w:sz w:val="20"/>
          <w:szCs w:val="20"/>
          <w:lang w:val="fr-BE"/>
        </w:rPr>
      </w:pPr>
    </w:p>
    <w:p w:rsidR="00AC12B4" w:rsidRPr="00C27636" w:rsidRDefault="00C27636">
      <w:pPr>
        <w:spacing w:line="229" w:lineRule="auto"/>
        <w:ind w:left="8" w:right="93"/>
        <w:jc w:val="both"/>
        <w:rPr>
          <w:sz w:val="20"/>
          <w:szCs w:val="20"/>
          <w:lang w:val="fr-BE"/>
        </w:rPr>
      </w:pPr>
      <w:r w:rsidRPr="00C27636">
        <w:rPr>
          <w:rFonts w:ascii="Calibri" w:eastAsia="Calibri" w:hAnsi="Calibri" w:cs="Calibri"/>
          <w:lang w:val="fr-BE"/>
        </w:rPr>
        <w:t>De plus, aucune information n’est disponible sur la qualité de ces formations ni sur ce que les professionnels en retirent réellement pour leur pratique.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9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61504" behindDoc="1" locked="0" layoutInCell="0" allowOverlap="1">
                <wp:simplePos x="0" y="0"/>
                <wp:positionH relativeFrom="column">
                  <wp:posOffset>-196215</wp:posOffset>
                </wp:positionH>
                <wp:positionV relativeFrom="paragraph">
                  <wp:posOffset>-9968865</wp:posOffset>
                </wp:positionV>
                <wp:extent cx="701040" cy="10908665"/>
                <wp:effectExtent l="0" t="0" r="0" b="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33" o:spid="_x0000_s1558" style="position:absolute;margin-left:-15.4499pt;margin-top:-784.9499pt;width:55.2pt;height:85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p>
    <w:p w:rsidR="00AC12B4" w:rsidRPr="00C27636" w:rsidRDefault="00AC12B4">
      <w:pPr>
        <w:rPr>
          <w:lang w:val="fr-BE"/>
        </w:rPr>
        <w:sectPr w:rsidR="00AC12B4" w:rsidRPr="00C27636">
          <w:pgSz w:w="12080" w:h="17179"/>
          <w:pgMar w:top="1440" w:right="474" w:bottom="659" w:left="1440" w:header="0" w:footer="0" w:gutter="0"/>
          <w:cols w:num="3" w:space="720" w:equalWidth="0">
            <w:col w:w="4960" w:space="192"/>
            <w:col w:w="3961" w:space="720"/>
            <w:col w:w="330"/>
          </w:cols>
        </w:sectPr>
      </w:pPr>
    </w:p>
    <w:bookmarkStart w:id="179" w:name="page180"/>
    <w:bookmarkEnd w:id="179"/>
    <w:p w:rsidR="00AC12B4" w:rsidRPr="00C27636" w:rsidRDefault="00C27636">
      <w:pPr>
        <w:spacing w:line="169" w:lineRule="exact"/>
        <w:rPr>
          <w:sz w:val="20"/>
          <w:szCs w:val="20"/>
          <w:lang w:val="fr-BE"/>
        </w:rPr>
      </w:pPr>
      <w:r>
        <w:rPr>
          <w:noProof/>
          <w:sz w:val="20"/>
          <w:szCs w:val="20"/>
        </w:rPr>
        <w:lastRenderedPageBreak/>
        <mc:AlternateContent>
          <mc:Choice Requires="wps">
            <w:drawing>
              <wp:anchor distT="0" distB="0" distL="114300" distR="114300" simplePos="0" relativeHeight="251862528" behindDoc="1" locked="0" layoutInCell="0" allowOverlap="1">
                <wp:simplePos x="0" y="0"/>
                <wp:positionH relativeFrom="page">
                  <wp:posOffset>0</wp:posOffset>
                </wp:positionH>
                <wp:positionV relativeFrom="page">
                  <wp:posOffset>0</wp:posOffset>
                </wp:positionV>
                <wp:extent cx="699135" cy="10908665"/>
                <wp:effectExtent l="0" t="0" r="0" b="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34" o:spid="_x0000_s1559"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Default="00C27636">
      <w:pPr>
        <w:ind w:left="1013"/>
        <w:rPr>
          <w:sz w:val="20"/>
          <w:szCs w:val="20"/>
        </w:rPr>
      </w:pPr>
      <w:r>
        <w:rPr>
          <w:rFonts w:ascii="Cambria" w:eastAsia="Cambria" w:hAnsi="Cambria" w:cs="Cambria"/>
          <w:b/>
          <w:bCs/>
          <w:i/>
          <w:iCs/>
          <w:color w:val="CF9901"/>
          <w:sz w:val="26"/>
          <w:szCs w:val="26"/>
        </w:rPr>
        <w:t>Pour aller plus loin</w:t>
      </w:r>
    </w:p>
    <w:p w:rsidR="00AC12B4" w:rsidRDefault="00AC12B4">
      <w:pPr>
        <w:spacing w:line="162" w:lineRule="exact"/>
        <w:rPr>
          <w:sz w:val="20"/>
          <w:szCs w:val="20"/>
        </w:rPr>
      </w:pPr>
    </w:p>
    <w:p w:rsidR="00AC12B4" w:rsidRDefault="00C27636">
      <w:pPr>
        <w:numPr>
          <w:ilvl w:val="0"/>
          <w:numId w:val="348"/>
        </w:numPr>
        <w:tabs>
          <w:tab w:val="left" w:pos="1733"/>
        </w:tabs>
        <w:ind w:left="1733" w:hanging="360"/>
        <w:rPr>
          <w:rFonts w:ascii="Symbol" w:eastAsia="Symbol" w:hAnsi="Symbol" w:cs="Symbol"/>
          <w:sz w:val="20"/>
          <w:szCs w:val="20"/>
        </w:rPr>
      </w:pPr>
      <w:r>
        <w:rPr>
          <w:rFonts w:ascii="Calibri" w:eastAsia="Calibri" w:hAnsi="Calibri" w:cs="Calibri"/>
          <w:b/>
          <w:bCs/>
          <w:i/>
          <w:iCs/>
          <w:color w:val="CF9901"/>
          <w:sz w:val="20"/>
          <w:szCs w:val="20"/>
        </w:rPr>
        <w:t>Bonnes pratiques</w:t>
      </w:r>
    </w:p>
    <w:p w:rsidR="00AC12B4" w:rsidRDefault="00AC12B4">
      <w:pPr>
        <w:spacing w:line="28" w:lineRule="exact"/>
        <w:rPr>
          <w:sz w:val="20"/>
          <w:szCs w:val="20"/>
        </w:rPr>
      </w:pPr>
    </w:p>
    <w:p w:rsidR="00AC12B4" w:rsidRDefault="00C27636">
      <w:pPr>
        <w:numPr>
          <w:ilvl w:val="1"/>
          <w:numId w:val="349"/>
        </w:numPr>
        <w:tabs>
          <w:tab w:val="left" w:pos="2013"/>
        </w:tabs>
        <w:ind w:left="2013" w:hanging="366"/>
        <w:rPr>
          <w:rFonts w:ascii="Courier New" w:eastAsia="Courier New" w:hAnsi="Courier New" w:cs="Courier New"/>
          <w:sz w:val="20"/>
          <w:szCs w:val="20"/>
        </w:rPr>
      </w:pPr>
      <w:r>
        <w:rPr>
          <w:rFonts w:ascii="Calibri" w:eastAsia="Calibri" w:hAnsi="Calibri" w:cs="Calibri"/>
          <w:color w:val="FEC930"/>
          <w:sz w:val="20"/>
          <w:szCs w:val="20"/>
        </w:rPr>
        <w:t>Site web “ PLOT Genk</w:t>
      </w:r>
      <w:r>
        <w:rPr>
          <w:rFonts w:ascii="Calibri" w:eastAsia="Calibri" w:hAnsi="Calibri" w:cs="Calibri"/>
          <w:b/>
          <w:bCs/>
          <w:i/>
          <w:iCs/>
          <w:color w:val="C0504D"/>
          <w:sz w:val="20"/>
          <w:szCs w:val="20"/>
        </w:rPr>
        <w:t>”</w:t>
      </w:r>
      <w:r>
        <w:rPr>
          <w:rFonts w:ascii="Calibri" w:eastAsia="Calibri" w:hAnsi="Calibri" w:cs="Calibri"/>
          <w:color w:val="C0504D"/>
          <w:sz w:val="20"/>
          <w:szCs w:val="20"/>
        </w:rPr>
        <w:t>:</w:t>
      </w:r>
      <w:r>
        <w:rPr>
          <w:rFonts w:ascii="Calibri" w:eastAsia="Calibri" w:hAnsi="Calibri" w:cs="Calibri"/>
          <w:color w:val="FEC930"/>
          <w:sz w:val="20"/>
          <w:szCs w:val="20"/>
        </w:rPr>
        <w:t xml:space="preserve"> </w:t>
      </w:r>
      <w:r>
        <w:rPr>
          <w:rFonts w:ascii="Calibri" w:eastAsia="Calibri" w:hAnsi="Calibri" w:cs="Calibri"/>
          <w:color w:val="000000"/>
          <w:sz w:val="20"/>
          <w:szCs w:val="20"/>
        </w:rPr>
        <w:t>formations</w:t>
      </w:r>
    </w:p>
    <w:p w:rsidR="00AC12B4" w:rsidRDefault="00AC12B4">
      <w:pPr>
        <w:spacing w:line="83" w:lineRule="exact"/>
        <w:rPr>
          <w:rFonts w:ascii="Courier New" w:eastAsia="Courier New" w:hAnsi="Courier New" w:cs="Courier New"/>
          <w:sz w:val="20"/>
          <w:szCs w:val="20"/>
        </w:rPr>
      </w:pPr>
    </w:p>
    <w:p w:rsidR="00AC12B4" w:rsidRDefault="00C27636">
      <w:pPr>
        <w:spacing w:line="235" w:lineRule="auto"/>
        <w:ind w:left="2013" w:right="5317"/>
        <w:rPr>
          <w:rFonts w:ascii="Courier New" w:eastAsia="Courier New" w:hAnsi="Courier New" w:cs="Courier New"/>
          <w:sz w:val="20"/>
          <w:szCs w:val="20"/>
        </w:rPr>
      </w:pPr>
      <w:r>
        <w:rPr>
          <w:rFonts w:ascii="Calibri" w:eastAsia="Calibri" w:hAnsi="Calibri" w:cs="Calibri"/>
          <w:sz w:val="20"/>
          <w:szCs w:val="20"/>
        </w:rPr>
        <w:t>‘integrale jeugdzorg’, ‘hangjongeren’,</w:t>
      </w:r>
    </w:p>
    <w:p w:rsidR="00AC12B4" w:rsidRDefault="00AC12B4">
      <w:pPr>
        <w:spacing w:line="83" w:lineRule="exact"/>
        <w:rPr>
          <w:rFonts w:ascii="Courier New" w:eastAsia="Courier New" w:hAnsi="Courier New" w:cs="Courier New"/>
          <w:sz w:val="20"/>
          <w:szCs w:val="20"/>
        </w:rPr>
      </w:pPr>
    </w:p>
    <w:p w:rsidR="00AC12B4" w:rsidRPr="00C27636" w:rsidRDefault="00C27636">
      <w:pPr>
        <w:spacing w:line="260" w:lineRule="auto"/>
        <w:ind w:left="2013" w:right="5317"/>
        <w:jc w:val="both"/>
        <w:rPr>
          <w:rFonts w:ascii="Courier New" w:eastAsia="Courier New" w:hAnsi="Courier New" w:cs="Courier New"/>
          <w:sz w:val="20"/>
          <w:szCs w:val="20"/>
          <w:lang w:val="nl-NL"/>
        </w:rPr>
      </w:pPr>
      <w:r w:rsidRPr="00C27636">
        <w:rPr>
          <w:rFonts w:ascii="Calibri" w:eastAsia="Calibri" w:hAnsi="Calibri" w:cs="Calibri"/>
          <w:sz w:val="20"/>
          <w:szCs w:val="20"/>
          <w:lang w:val="nl-NL"/>
        </w:rPr>
        <w:t xml:space="preserve">‘kindermishandeling en audiovisueel verhoor’, </w:t>
      </w:r>
      <w:r w:rsidRPr="00C27636">
        <w:rPr>
          <w:rFonts w:ascii="Calibri" w:eastAsia="Calibri" w:hAnsi="Calibri" w:cs="Calibri"/>
          <w:sz w:val="20"/>
          <w:szCs w:val="20"/>
          <w:lang w:val="nl-NL"/>
        </w:rPr>
        <w:t>‘aanpak van mensenhandel’, ‘communicatie met het slachtoffer’</w:t>
      </w:r>
    </w:p>
    <w:p w:rsidR="00AC12B4" w:rsidRPr="00C27636" w:rsidRDefault="00AC12B4">
      <w:pPr>
        <w:spacing w:line="358" w:lineRule="exact"/>
        <w:rPr>
          <w:rFonts w:ascii="Courier New" w:eastAsia="Courier New" w:hAnsi="Courier New" w:cs="Courier New"/>
          <w:sz w:val="20"/>
          <w:szCs w:val="20"/>
          <w:lang w:val="nl-NL"/>
        </w:rPr>
      </w:pPr>
    </w:p>
    <w:p w:rsidR="00AC12B4" w:rsidRPr="00C27636" w:rsidRDefault="00C27636">
      <w:pPr>
        <w:numPr>
          <w:ilvl w:val="0"/>
          <w:numId w:val="349"/>
        </w:numPr>
        <w:tabs>
          <w:tab w:val="left" w:pos="1733"/>
        </w:tabs>
        <w:spacing w:line="257" w:lineRule="auto"/>
        <w:ind w:left="1733" w:right="5317" w:hanging="360"/>
        <w:rPr>
          <w:rFonts w:ascii="Calibri" w:eastAsia="Calibri" w:hAnsi="Calibri" w:cs="Calibri"/>
          <w:color w:val="0000FF"/>
          <w:sz w:val="20"/>
          <w:szCs w:val="20"/>
          <w:lang w:val="fr-BE"/>
        </w:rPr>
      </w:pPr>
      <w:r w:rsidRPr="00C27636">
        <w:rPr>
          <w:rFonts w:ascii="Calibri" w:eastAsia="Calibri" w:hAnsi="Calibri" w:cs="Calibri"/>
          <w:b/>
          <w:bCs/>
          <w:i/>
          <w:iCs/>
          <w:color w:val="CF9901"/>
          <w:sz w:val="20"/>
          <w:szCs w:val="20"/>
          <w:lang w:val="fr-BE"/>
        </w:rPr>
        <w:t xml:space="preserve">Toolkit du Conseil de l’Europe </w:t>
      </w:r>
      <w:hyperlink r:id="rId334">
        <w:r w:rsidRPr="00C27636">
          <w:rPr>
            <w:rFonts w:ascii="Calibri" w:eastAsia="Calibri" w:hAnsi="Calibri" w:cs="Calibri"/>
            <w:color w:val="000000"/>
            <w:sz w:val="20"/>
            <w:szCs w:val="20"/>
            <w:lang w:val="fr-BE"/>
          </w:rPr>
          <w:t>(</w:t>
        </w:r>
        <w:r w:rsidRPr="00C27636">
          <w:rPr>
            <w:rFonts w:ascii="Calibri" w:eastAsia="Calibri" w:hAnsi="Calibri" w:cs="Calibri"/>
            <w:color w:val="0000FF"/>
            <w:sz w:val="20"/>
            <w:szCs w:val="20"/>
            <w:u w:val="single"/>
            <w:lang w:val="fr-BE"/>
          </w:rPr>
          <w:t>http://www.coe.int/en/web</w:t>
        </w:r>
      </w:hyperlink>
      <w:r w:rsidRPr="00C27636">
        <w:rPr>
          <w:rFonts w:ascii="Calibri" w:eastAsia="Calibri" w:hAnsi="Calibri" w:cs="Calibri"/>
          <w:b/>
          <w:bCs/>
          <w:i/>
          <w:iCs/>
          <w:color w:val="CF9901"/>
          <w:sz w:val="20"/>
          <w:szCs w:val="20"/>
          <w:lang w:val="fr-BE"/>
        </w:rPr>
        <w:t xml:space="preserve"> </w:t>
      </w:r>
      <w:hyperlink r:id="rId335">
        <w:r w:rsidRPr="00C27636">
          <w:rPr>
            <w:rFonts w:ascii="Calibri" w:eastAsia="Calibri" w:hAnsi="Calibri" w:cs="Calibri"/>
            <w:color w:val="0000FF"/>
            <w:sz w:val="20"/>
            <w:szCs w:val="20"/>
            <w:u w:val="single"/>
            <w:lang w:val="fr-BE"/>
          </w:rPr>
          <w:t>/echr-toolkit/home</w:t>
        </w:r>
        <w:r w:rsidRPr="00C27636">
          <w:rPr>
            <w:rFonts w:ascii="Calibri" w:eastAsia="Calibri" w:hAnsi="Calibri" w:cs="Calibri"/>
            <w:color w:val="000000"/>
            <w:sz w:val="20"/>
            <w:szCs w:val="20"/>
            <w:lang w:val="fr-BE"/>
          </w:rPr>
          <w:t xml:space="preserve">) </w:t>
        </w:r>
      </w:hyperlink>
      <w:r w:rsidRPr="00C27636">
        <w:rPr>
          <w:rFonts w:ascii="Calibri" w:eastAsia="Calibri" w:hAnsi="Calibri" w:cs="Calibri"/>
          <w:color w:val="0000FF"/>
          <w:sz w:val="20"/>
          <w:szCs w:val="20"/>
          <w:lang w:val="fr-BE"/>
        </w:rPr>
        <w:t xml:space="preserve">aide </w:t>
      </w:r>
      <w:r w:rsidRPr="00C27636">
        <w:rPr>
          <w:rFonts w:ascii="Calibri" w:eastAsia="Calibri" w:hAnsi="Calibri" w:cs="Calibri"/>
          <w:color w:val="000000"/>
          <w:sz w:val="20"/>
          <w:szCs w:val="20"/>
          <w:lang w:val="fr-BE"/>
        </w:rPr>
        <w:t>les agents de</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première ligne (policiers, agents</w:t>
      </w:r>
    </w:p>
    <w:p w:rsidR="00AC12B4" w:rsidRPr="00C27636" w:rsidRDefault="00AC12B4">
      <w:pPr>
        <w:spacing w:line="19" w:lineRule="exact"/>
        <w:rPr>
          <w:rFonts w:ascii="Calibri" w:eastAsia="Calibri" w:hAnsi="Calibri" w:cs="Calibri"/>
          <w:color w:val="0000FF"/>
          <w:sz w:val="20"/>
          <w:szCs w:val="20"/>
          <w:lang w:val="fr-BE"/>
        </w:rPr>
      </w:pPr>
    </w:p>
    <w:p w:rsidR="00AC12B4" w:rsidRPr="00C27636" w:rsidRDefault="00C27636">
      <w:pPr>
        <w:ind w:left="1733"/>
        <w:rPr>
          <w:rFonts w:ascii="Calibri" w:eastAsia="Calibri" w:hAnsi="Calibri" w:cs="Calibri"/>
          <w:color w:val="0000FF"/>
          <w:sz w:val="20"/>
          <w:szCs w:val="20"/>
          <w:lang w:val="fr-BE"/>
        </w:rPr>
      </w:pPr>
      <w:r w:rsidRPr="00C27636">
        <w:rPr>
          <w:rFonts w:ascii="Calibri" w:eastAsia="Calibri" w:hAnsi="Calibri" w:cs="Calibri"/>
          <w:sz w:val="20"/>
          <w:szCs w:val="20"/>
          <w:lang w:val="fr-BE"/>
        </w:rPr>
        <w:t>pénitentiaires,agents</w:t>
      </w:r>
      <w:r w:rsidRPr="00C27636">
        <w:rPr>
          <w:rFonts w:ascii="Calibri" w:eastAsia="Calibri" w:hAnsi="Calibri" w:cs="Calibri"/>
          <w:sz w:val="19"/>
          <w:szCs w:val="19"/>
          <w:lang w:val="fr-BE"/>
        </w:rPr>
        <w:t>de</w:t>
      </w:r>
    </w:p>
    <w:p w:rsidR="00AC12B4" w:rsidRPr="00C27636" w:rsidRDefault="00AC12B4">
      <w:pPr>
        <w:spacing w:line="36" w:lineRule="exact"/>
        <w:rPr>
          <w:rFonts w:ascii="Calibri" w:eastAsia="Calibri" w:hAnsi="Calibri" w:cs="Calibri"/>
          <w:color w:val="0000FF"/>
          <w:sz w:val="20"/>
          <w:szCs w:val="20"/>
          <w:lang w:val="fr-BE"/>
        </w:rPr>
      </w:pPr>
    </w:p>
    <w:p w:rsidR="00AC12B4" w:rsidRPr="00C27636" w:rsidRDefault="00C27636">
      <w:pPr>
        <w:ind w:left="1733"/>
        <w:rPr>
          <w:rFonts w:ascii="Calibri" w:eastAsia="Calibri" w:hAnsi="Calibri" w:cs="Calibri"/>
          <w:color w:val="0000FF"/>
          <w:sz w:val="20"/>
          <w:szCs w:val="20"/>
          <w:lang w:val="fr-BE"/>
        </w:rPr>
      </w:pPr>
      <w:r w:rsidRPr="00C27636">
        <w:rPr>
          <w:rFonts w:ascii="Calibri" w:eastAsia="Calibri" w:hAnsi="Calibri" w:cs="Calibri"/>
          <w:sz w:val="20"/>
          <w:szCs w:val="20"/>
          <w:lang w:val="fr-BE"/>
        </w:rPr>
        <w:t>l’immigration,personnel</w:t>
      </w:r>
      <w:r w:rsidRPr="00C27636">
        <w:rPr>
          <w:rFonts w:ascii="Calibri" w:eastAsia="Calibri" w:hAnsi="Calibri" w:cs="Calibri"/>
          <w:sz w:val="19"/>
          <w:szCs w:val="19"/>
          <w:lang w:val="fr-BE"/>
        </w:rPr>
        <w:t>des</w:t>
      </w:r>
    </w:p>
    <w:p w:rsidR="00AC12B4" w:rsidRPr="00C27636" w:rsidRDefault="00AC12B4">
      <w:pPr>
        <w:spacing w:line="83" w:lineRule="exact"/>
        <w:rPr>
          <w:rFonts w:ascii="Calibri" w:eastAsia="Calibri" w:hAnsi="Calibri" w:cs="Calibri"/>
          <w:color w:val="0000FF"/>
          <w:sz w:val="20"/>
          <w:szCs w:val="20"/>
          <w:lang w:val="fr-BE"/>
        </w:rPr>
      </w:pPr>
    </w:p>
    <w:p w:rsidR="00AC12B4" w:rsidRPr="00C27636" w:rsidRDefault="00C27636">
      <w:pPr>
        <w:spacing w:line="259" w:lineRule="auto"/>
        <w:ind w:left="1733" w:right="5317"/>
        <w:jc w:val="both"/>
        <w:rPr>
          <w:rFonts w:ascii="Calibri" w:eastAsia="Calibri" w:hAnsi="Calibri" w:cs="Calibri"/>
          <w:color w:val="0000FF"/>
          <w:sz w:val="20"/>
          <w:szCs w:val="20"/>
          <w:lang w:val="fr-BE"/>
        </w:rPr>
      </w:pPr>
      <w:r w:rsidRPr="00C27636">
        <w:rPr>
          <w:rFonts w:ascii="Calibri" w:eastAsia="Calibri" w:hAnsi="Calibri" w:cs="Calibri"/>
          <w:sz w:val="20"/>
          <w:szCs w:val="20"/>
          <w:lang w:val="fr-BE"/>
        </w:rPr>
        <w:t>établissements psychiatriques, etc.) confrontés à des situations qui pourraient concerner les droits de l’homme.</w:t>
      </w: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350" w:lineRule="exact"/>
        <w:rPr>
          <w:rFonts w:ascii="Symbol" w:eastAsia="Symbol" w:hAnsi="Symbol" w:cs="Symbol"/>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w:t>
            </w:r>
            <w:r w:rsidRPr="00C27636">
              <w:rPr>
                <w:rFonts w:ascii="Calibri" w:eastAsia="Calibri" w:hAnsi="Calibri" w:cs="Calibri"/>
                <w:b/>
                <w:bCs/>
                <w:i/>
                <w:iCs/>
                <w:color w:val="F2F2F2"/>
                <w:sz w:val="27"/>
                <w:szCs w:val="27"/>
                <w:lang w:val="fr-BE"/>
              </w:rPr>
              <w:t xml:space="preserve"> droits des mineurs en contact avec la Justice</w:t>
            </w:r>
          </w:p>
        </w:tc>
      </w:tr>
    </w:tbl>
    <w:p w:rsidR="00AC12B4" w:rsidRPr="00C27636" w:rsidRDefault="00C27636">
      <w:pPr>
        <w:spacing w:line="229" w:lineRule="auto"/>
        <w:ind w:right="-275"/>
        <w:jc w:val="center"/>
        <w:rPr>
          <w:sz w:val="20"/>
          <w:szCs w:val="20"/>
          <w:lang w:val="fr-BE"/>
        </w:rPr>
      </w:pPr>
      <w:r w:rsidRPr="00C27636">
        <w:rPr>
          <w:rFonts w:ascii="Calibri" w:eastAsia="Calibri" w:hAnsi="Calibri" w:cs="Calibri"/>
          <w:lang w:val="fr-BE"/>
        </w:rPr>
        <w:t>180</w:t>
      </w:r>
    </w:p>
    <w:p w:rsidR="00AC12B4" w:rsidRPr="00C27636" w:rsidRDefault="00AC12B4">
      <w:pPr>
        <w:rPr>
          <w:lang w:val="fr-BE"/>
        </w:rPr>
        <w:sectPr w:rsidR="00AC12B4" w:rsidRPr="00C27636">
          <w:pgSz w:w="12080" w:h="17179"/>
          <w:pgMar w:top="1440" w:right="1440" w:bottom="659" w:left="427" w:header="0" w:footer="0" w:gutter="0"/>
          <w:cols w:space="720" w:equalWidth="0">
            <w:col w:w="10209"/>
          </w:cols>
        </w:sectPr>
      </w:pPr>
    </w:p>
    <w:p w:rsidR="00AC12B4" w:rsidRPr="00C27636" w:rsidRDefault="00AC12B4">
      <w:pPr>
        <w:framePr w:w="2767" w:h="1921" w:wrap="auto" w:vAnchor="page" w:hAnchor="page" w:x="8375" w:y="7877"/>
        <w:spacing w:line="229" w:lineRule="auto"/>
        <w:jc w:val="center"/>
        <w:rPr>
          <w:sz w:val="20"/>
          <w:szCs w:val="20"/>
          <w:lang w:val="fr-BE"/>
        </w:rPr>
      </w:pPr>
      <w:bookmarkStart w:id="180" w:name="page181"/>
      <w:bookmarkEnd w:id="180"/>
    </w:p>
    <w:p w:rsidR="00AC12B4" w:rsidRPr="00C27636" w:rsidRDefault="00C27636">
      <w:pPr>
        <w:framePr w:w="2300" w:h="1331" w:wrap="auto" w:vAnchor="page" w:hAnchor="page" w:x="8880" w:y="8109"/>
        <w:spacing w:line="229" w:lineRule="auto"/>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t>Aucunes données sur l’effectivité du droit à la participation ne sont disponibles actuellement</w:t>
      </w:r>
    </w:p>
    <w:p w:rsidR="00AC12B4" w:rsidRPr="00C27636" w:rsidRDefault="00C27636">
      <w:pPr>
        <w:spacing w:line="168" w:lineRule="exact"/>
        <w:rPr>
          <w:rFonts w:ascii="Comic Sans MS" w:eastAsia="Comic Sans MS" w:hAnsi="Comic Sans MS" w:cs="Comic Sans MS"/>
          <w:color w:val="0D0D0D"/>
          <w:sz w:val="20"/>
          <w:szCs w:val="20"/>
          <w:lang w:val="fr-BE"/>
        </w:rPr>
      </w:pPr>
      <w:r>
        <w:rPr>
          <w:rFonts w:ascii="Comic Sans MS" w:eastAsia="Comic Sans MS" w:hAnsi="Comic Sans MS" w:cs="Comic Sans MS"/>
          <w:noProof/>
          <w:color w:val="0D0D0D"/>
          <w:sz w:val="20"/>
          <w:szCs w:val="20"/>
        </w:rPr>
        <w:lastRenderedPageBreak/>
        <mc:AlternateContent>
          <mc:Choice Requires="wps">
            <w:drawing>
              <wp:anchor distT="0" distB="0" distL="114300" distR="114300" simplePos="0" relativeHeight="251863552" behindDoc="1" locked="0" layoutInCell="0" allowOverlap="1">
                <wp:simplePos x="0" y="0"/>
                <wp:positionH relativeFrom="page">
                  <wp:posOffset>6962140</wp:posOffset>
                </wp:positionH>
                <wp:positionV relativeFrom="page">
                  <wp:posOffset>0</wp:posOffset>
                </wp:positionV>
                <wp:extent cx="701040" cy="10908665"/>
                <wp:effectExtent l="0" t="0" r="0" b="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35" o:spid="_x0000_s1560" style="position:absolute;margin-left:548.2pt;margin-top:0pt;width:55.2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Pr="00C27636" w:rsidRDefault="00C27636">
      <w:pPr>
        <w:spacing w:line="276" w:lineRule="auto"/>
        <w:ind w:left="880" w:right="1143"/>
        <w:rPr>
          <w:sz w:val="20"/>
          <w:szCs w:val="20"/>
          <w:lang w:val="fr-BE"/>
        </w:rPr>
      </w:pPr>
      <w:r w:rsidRPr="00C27636">
        <w:rPr>
          <w:rFonts w:ascii="Comic Sans MS" w:eastAsia="Comic Sans MS" w:hAnsi="Comic Sans MS" w:cs="Comic Sans MS"/>
          <w:color w:val="FEC930"/>
          <w:sz w:val="40"/>
          <w:szCs w:val="40"/>
          <w:lang w:val="fr-BE"/>
        </w:rPr>
        <w:t>MJ4. Participation dans des procédures judiciaires</w:t>
      </w:r>
    </w:p>
    <w:p w:rsidR="00AC12B4" w:rsidRPr="00C27636" w:rsidRDefault="00C27636">
      <w:pPr>
        <w:spacing w:line="20" w:lineRule="exact"/>
        <w:rPr>
          <w:rFonts w:ascii="Comic Sans MS" w:eastAsia="Comic Sans MS" w:hAnsi="Comic Sans MS" w:cs="Comic Sans MS"/>
          <w:color w:val="0D0D0D"/>
          <w:sz w:val="20"/>
          <w:szCs w:val="20"/>
          <w:lang w:val="fr-BE"/>
        </w:rPr>
      </w:pPr>
      <w:r>
        <w:rPr>
          <w:rFonts w:ascii="Comic Sans MS" w:eastAsia="Comic Sans MS" w:hAnsi="Comic Sans MS" w:cs="Comic Sans MS"/>
          <w:noProof/>
          <w:color w:val="0D0D0D"/>
          <w:sz w:val="20"/>
          <w:szCs w:val="20"/>
        </w:rPr>
        <mc:AlternateContent>
          <mc:Choice Requires="wps">
            <w:drawing>
              <wp:anchor distT="0" distB="0" distL="114300" distR="114300" simplePos="0" relativeHeight="251864576" behindDoc="1" locked="0" layoutInCell="0" allowOverlap="1">
                <wp:simplePos x="0" y="0"/>
                <wp:positionH relativeFrom="column">
                  <wp:posOffset>-351155</wp:posOffset>
                </wp:positionH>
                <wp:positionV relativeFrom="paragraph">
                  <wp:posOffset>137160</wp:posOffset>
                </wp:positionV>
                <wp:extent cx="3559810" cy="3221990"/>
                <wp:effectExtent l="0" t="0" r="0" b="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3221990"/>
                        </a:xfrm>
                        <a:prstGeom prst="rect">
                          <a:avLst/>
                        </a:prstGeom>
                        <a:solidFill>
                          <a:srgbClr val="FEC930"/>
                        </a:solidFill>
                      </wps:spPr>
                      <wps:bodyPr/>
                    </wps:wsp>
                  </a:graphicData>
                </a:graphic>
              </wp:anchor>
            </w:drawing>
          </mc:Choice>
          <mc:Fallback>
            <w:pict>
              <v:rect id="Shape 536" o:spid="_x0000_s1561" style="position:absolute;margin-left:-27.6499pt;margin-top:10.8pt;width:280.3pt;height:25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65600" behindDoc="1" locked="0" layoutInCell="0" allowOverlap="1">
                <wp:simplePos x="0" y="0"/>
                <wp:positionH relativeFrom="column">
                  <wp:posOffset>3208655</wp:posOffset>
                </wp:positionH>
                <wp:positionV relativeFrom="paragraph">
                  <wp:posOffset>124460</wp:posOffset>
                </wp:positionV>
                <wp:extent cx="0" cy="3247390"/>
                <wp:effectExtent l="0" t="0" r="0" b="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247390"/>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9.8pt" to="252.65pt,265.5pt" o:allowincell="f" strokecolor="#CF9901" strokeweight="2pt"/>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66624" behindDoc="1" locked="0" layoutInCell="0" allowOverlap="1">
                <wp:simplePos x="0" y="0"/>
                <wp:positionH relativeFrom="column">
                  <wp:posOffset>-363855</wp:posOffset>
                </wp:positionH>
                <wp:positionV relativeFrom="paragraph">
                  <wp:posOffset>137160</wp:posOffset>
                </wp:positionV>
                <wp:extent cx="3585210" cy="0"/>
                <wp:effectExtent l="0" t="0" r="0" b="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0.8pt" to="253.65pt,10.8pt" o:allowincell="f" strokecolor="#CF9901" strokeweight="2pt"/>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67648" behindDoc="1" locked="0" layoutInCell="0" allowOverlap="1">
                <wp:simplePos x="0" y="0"/>
                <wp:positionH relativeFrom="column">
                  <wp:posOffset>-351155</wp:posOffset>
                </wp:positionH>
                <wp:positionV relativeFrom="paragraph">
                  <wp:posOffset>124460</wp:posOffset>
                </wp:positionV>
                <wp:extent cx="0" cy="3247390"/>
                <wp:effectExtent l="0" t="0" r="0" b="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247390"/>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9.8pt" to="-27.6499pt,265.5pt" o:allowincell="f" strokecolor="#CF9901" strokeweight="2pt"/>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68672" behindDoc="1" locked="0" layoutInCell="0" allowOverlap="1">
                <wp:simplePos x="0" y="0"/>
                <wp:positionH relativeFrom="column">
                  <wp:posOffset>-363855</wp:posOffset>
                </wp:positionH>
                <wp:positionV relativeFrom="paragraph">
                  <wp:posOffset>3359150</wp:posOffset>
                </wp:positionV>
                <wp:extent cx="3585210" cy="0"/>
                <wp:effectExtent l="0" t="0" r="0" b="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64.5pt" to="253.65pt,264.5pt" o:allowincell="f" strokecolor="#CF9901" strokeweight="2pt"/>
            </w:pict>
          </mc:Fallback>
        </mc:AlternateContent>
      </w:r>
    </w:p>
    <w:p w:rsidR="00AC12B4" w:rsidRPr="00C27636" w:rsidRDefault="00AC12B4">
      <w:pPr>
        <w:rPr>
          <w:lang w:val="fr-BE"/>
        </w:rPr>
        <w:sectPr w:rsidR="00AC12B4" w:rsidRPr="00C27636">
          <w:pgSz w:w="12080" w:h="17179"/>
          <w:pgMar w:top="1440" w:right="474" w:bottom="659" w:left="1120" w:header="0" w:footer="0" w:gutter="0"/>
          <w:cols w:space="720" w:equalWidth="0">
            <w:col w:w="10483"/>
          </w:cols>
        </w:sect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85" w:lineRule="exact"/>
        <w:rPr>
          <w:rFonts w:ascii="Comic Sans MS" w:eastAsia="Comic Sans MS" w:hAnsi="Comic Sans MS" w:cs="Comic Sans MS"/>
          <w:color w:val="0D0D0D"/>
          <w:sz w:val="20"/>
          <w:szCs w:val="20"/>
          <w:lang w:val="fr-BE"/>
        </w:rPr>
      </w:pPr>
    </w:p>
    <w:p w:rsidR="00AC12B4" w:rsidRDefault="00C27636">
      <w:pPr>
        <w:rPr>
          <w:sz w:val="20"/>
          <w:szCs w:val="20"/>
        </w:rPr>
      </w:pPr>
      <w:r>
        <w:rPr>
          <w:rFonts w:ascii="Calibri" w:eastAsia="Calibri" w:hAnsi="Calibri" w:cs="Calibri"/>
          <w:i/>
          <w:iCs/>
          <w:color w:val="FFFFFF"/>
        </w:rPr>
        <w:t xml:space="preserve">Article </w:t>
      </w:r>
      <w:r>
        <w:rPr>
          <w:rFonts w:ascii="Calibri" w:eastAsia="Calibri" w:hAnsi="Calibri" w:cs="Calibri"/>
          <w:i/>
          <w:iCs/>
          <w:color w:val="FFFFFF"/>
        </w:rPr>
        <w:t>12 CIDE</w:t>
      </w:r>
    </w:p>
    <w:p w:rsidR="00AC12B4" w:rsidRDefault="00AC12B4">
      <w:pPr>
        <w:spacing w:line="169" w:lineRule="exact"/>
        <w:rPr>
          <w:rFonts w:ascii="Comic Sans MS" w:eastAsia="Comic Sans MS" w:hAnsi="Comic Sans MS" w:cs="Comic Sans MS"/>
          <w:color w:val="0D0D0D"/>
          <w:sz w:val="20"/>
          <w:szCs w:val="20"/>
        </w:rPr>
      </w:pPr>
    </w:p>
    <w:p w:rsidR="00AC12B4" w:rsidRPr="00C27636" w:rsidRDefault="00C27636">
      <w:pPr>
        <w:numPr>
          <w:ilvl w:val="0"/>
          <w:numId w:val="350"/>
        </w:numPr>
        <w:tabs>
          <w:tab w:val="left" w:pos="280"/>
        </w:tabs>
        <w:spacing w:line="232" w:lineRule="auto"/>
        <w:ind w:firstLine="8"/>
        <w:jc w:val="both"/>
        <w:rPr>
          <w:rFonts w:ascii="Calibri" w:eastAsia="Calibri" w:hAnsi="Calibri" w:cs="Calibri"/>
          <w:i/>
          <w:iCs/>
          <w:color w:val="FFFFFF"/>
          <w:lang w:val="fr-BE"/>
        </w:rPr>
      </w:pPr>
      <w:r w:rsidRPr="00C27636">
        <w:rPr>
          <w:rFonts w:ascii="Calibri" w:eastAsia="Calibri" w:hAnsi="Calibri" w:cs="Calibri"/>
          <w:i/>
          <w:iCs/>
          <w:color w:val="FFFFFF"/>
          <w:lang w:val="fr-BE"/>
        </w:rPr>
        <w:t>Les Etats parties garantissent à l’enfant qui est capable de discernement le droit d’exprimer librement son opinion sur toute question l’intéressant, les opinions de l’enfant étant dûment prises en considération eu égard à son âge et à son degré d</w:t>
      </w:r>
      <w:r w:rsidRPr="00C27636">
        <w:rPr>
          <w:rFonts w:ascii="Calibri" w:eastAsia="Calibri" w:hAnsi="Calibri" w:cs="Calibri"/>
          <w:i/>
          <w:iCs/>
          <w:color w:val="FFFFFF"/>
          <w:lang w:val="fr-BE"/>
        </w:rPr>
        <w:t>e maturité.</w:t>
      </w:r>
    </w:p>
    <w:p w:rsidR="00AC12B4" w:rsidRPr="00C27636" w:rsidRDefault="00AC12B4">
      <w:pPr>
        <w:spacing w:line="173" w:lineRule="exact"/>
        <w:rPr>
          <w:rFonts w:ascii="Calibri" w:eastAsia="Calibri" w:hAnsi="Calibri" w:cs="Calibri"/>
          <w:i/>
          <w:iCs/>
          <w:color w:val="FFFFFF"/>
          <w:lang w:val="fr-BE"/>
        </w:rPr>
      </w:pPr>
    </w:p>
    <w:p w:rsidR="00AC12B4" w:rsidRPr="00C27636" w:rsidRDefault="00C27636">
      <w:pPr>
        <w:numPr>
          <w:ilvl w:val="0"/>
          <w:numId w:val="350"/>
        </w:numPr>
        <w:tabs>
          <w:tab w:val="left" w:pos="264"/>
        </w:tabs>
        <w:spacing w:line="234" w:lineRule="auto"/>
        <w:ind w:firstLine="8"/>
        <w:jc w:val="both"/>
        <w:rPr>
          <w:rFonts w:ascii="Calibri" w:eastAsia="Calibri" w:hAnsi="Calibri" w:cs="Calibri"/>
          <w:i/>
          <w:iCs/>
          <w:color w:val="FFFFFF"/>
          <w:lang w:val="fr-BE"/>
        </w:rPr>
      </w:pPr>
      <w:r w:rsidRPr="00C27636">
        <w:rPr>
          <w:rFonts w:ascii="Calibri" w:eastAsia="Calibri" w:hAnsi="Calibri" w:cs="Calibri"/>
          <w:i/>
          <w:iCs/>
          <w:color w:val="FFFFFF"/>
          <w:lang w:val="fr-BE"/>
        </w:rPr>
        <w:t xml:space="preserve">A cette fin, on donnera notamment à l’enfant la possibilité d’être entendu dans toute procédure judiciaire ou administrative l’intéressant, soit directement, soit par l’intermédiaire d’un représentant ou d’une organisation approprié, de façon </w:t>
      </w:r>
      <w:r w:rsidRPr="00C27636">
        <w:rPr>
          <w:rFonts w:ascii="Calibri" w:eastAsia="Calibri" w:hAnsi="Calibri" w:cs="Calibri"/>
          <w:i/>
          <w:iCs/>
          <w:color w:val="FFFFFF"/>
          <w:lang w:val="fr-BE"/>
        </w:rPr>
        <w:t>compatible avec les règles de procédure de la législation nationale.</w:t>
      </w: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98" w:lineRule="exact"/>
        <w:rPr>
          <w:rFonts w:ascii="Comic Sans MS" w:eastAsia="Comic Sans MS" w:hAnsi="Comic Sans MS" w:cs="Comic Sans MS"/>
          <w:color w:val="0D0D0D"/>
          <w:sz w:val="20"/>
          <w:szCs w:val="20"/>
          <w:lang w:val="fr-BE"/>
        </w:rPr>
      </w:pPr>
    </w:p>
    <w:p w:rsidR="00AC12B4" w:rsidRPr="00C27636" w:rsidRDefault="00C27636">
      <w:pPr>
        <w:spacing w:line="229" w:lineRule="auto"/>
        <w:ind w:left="880" w:right="140"/>
        <w:jc w:val="both"/>
        <w:rPr>
          <w:sz w:val="20"/>
          <w:szCs w:val="20"/>
          <w:lang w:val="fr-BE"/>
        </w:rPr>
      </w:pPr>
      <w:r w:rsidRPr="00C27636">
        <w:rPr>
          <w:rFonts w:ascii="Calibri" w:eastAsia="Calibri" w:hAnsi="Calibri" w:cs="Calibri"/>
          <w:lang w:val="fr-BE"/>
        </w:rPr>
        <w:t>Conformément aux articles 12 et suivants de l'observation générale n° 12 du Comité des droits de l'enfant (2009), chaque enfant a le droit d'avoir sa propre opinion,</w:t>
      </w:r>
    </w:p>
    <w:p w:rsidR="00AC12B4" w:rsidRPr="00C27636" w:rsidRDefault="00AC12B4">
      <w:pPr>
        <w:spacing w:line="51" w:lineRule="exact"/>
        <w:rPr>
          <w:rFonts w:ascii="Comic Sans MS" w:eastAsia="Comic Sans MS" w:hAnsi="Comic Sans MS" w:cs="Comic Sans MS"/>
          <w:color w:val="0D0D0D"/>
          <w:sz w:val="20"/>
          <w:szCs w:val="20"/>
          <w:lang w:val="fr-BE"/>
        </w:rPr>
      </w:pPr>
    </w:p>
    <w:p w:rsidR="00AC12B4" w:rsidRPr="00C27636" w:rsidRDefault="00C27636">
      <w:pPr>
        <w:numPr>
          <w:ilvl w:val="0"/>
          <w:numId w:val="351"/>
        </w:numPr>
        <w:tabs>
          <w:tab w:val="left" w:pos="1048"/>
        </w:tabs>
        <w:spacing w:line="238" w:lineRule="auto"/>
        <w:ind w:left="880" w:right="140" w:firstLine="7"/>
        <w:jc w:val="both"/>
        <w:rPr>
          <w:rFonts w:ascii="Calibri" w:eastAsia="Calibri" w:hAnsi="Calibri" w:cs="Calibri"/>
          <w:lang w:val="fr-BE"/>
        </w:rPr>
      </w:pPr>
      <w:r w:rsidRPr="00C27636">
        <w:rPr>
          <w:rFonts w:ascii="Calibri" w:eastAsia="Calibri" w:hAnsi="Calibri" w:cs="Calibri"/>
          <w:lang w:val="fr-BE"/>
        </w:rPr>
        <w:t xml:space="preserve">laquelle on </w:t>
      </w:r>
      <w:r w:rsidRPr="00C27636">
        <w:rPr>
          <w:rFonts w:ascii="Calibri" w:eastAsia="Calibri" w:hAnsi="Calibri" w:cs="Calibri"/>
          <w:lang w:val="fr-BE"/>
        </w:rPr>
        <w:t>accorde un intérêt adapté en fonction de son âge ou de sa maturité. Dans le cadre de ses observations finales de 2010, le Comité des droits de l'enfant de l'ONU a encouragé la Belgique à promouvoir la participation de tous les enfants à tous les niveaux du</w:t>
      </w:r>
      <w:r w:rsidRPr="00C27636">
        <w:rPr>
          <w:rFonts w:ascii="Calibri" w:eastAsia="Calibri" w:hAnsi="Calibri" w:cs="Calibri"/>
          <w:lang w:val="fr-BE"/>
        </w:rPr>
        <w:t xml:space="preserve"> gouvernement ainsi qu’au sein de la famille, de l’école et de la communauté, en apportant une attention particulière aux enfants en situation de vulnérabilité. Spécifiquement pour les enfants qui ont commis un fait qualifié infraction, l'importance de la </w:t>
      </w:r>
      <w:r w:rsidRPr="00C27636">
        <w:rPr>
          <w:rFonts w:ascii="Calibri" w:eastAsia="Calibri" w:hAnsi="Calibri" w:cs="Calibri"/>
          <w:lang w:val="fr-BE"/>
        </w:rPr>
        <w:t>participation est soulignée par les articles 40.1 et 40.2 et suiv. de la CIDE, l'observation générale n°10 du Comité des droits de l'enfant (§ 44 et 89), les Règles de la Havane (Règles des Nations Unies pour la protection des mineurs privés de liberté, §2</w:t>
      </w:r>
      <w:r w:rsidRPr="00C27636">
        <w:rPr>
          <w:rFonts w:ascii="Calibri" w:eastAsia="Calibri" w:hAnsi="Calibri" w:cs="Calibri"/>
          <w:lang w:val="fr-BE"/>
        </w:rPr>
        <w:t>5 et 75-78), les ERJ (Règles européennes pour les délinquants mineurs faisant l’objet de</w:t>
      </w:r>
    </w:p>
    <w:p w:rsidR="00AC12B4" w:rsidRPr="00C27636" w:rsidRDefault="00C27636">
      <w:pPr>
        <w:spacing w:line="20" w:lineRule="exact"/>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br w:type="column"/>
      </w:r>
    </w:p>
    <w:p w:rsidR="00AC12B4" w:rsidRPr="00C27636" w:rsidRDefault="00AC12B4">
      <w:pPr>
        <w:spacing w:line="173" w:lineRule="exact"/>
        <w:rPr>
          <w:rFonts w:ascii="Comic Sans MS" w:eastAsia="Comic Sans MS" w:hAnsi="Comic Sans MS" w:cs="Comic Sans MS"/>
          <w:color w:val="0D0D0D"/>
          <w:sz w:val="20"/>
          <w:szCs w:val="20"/>
          <w:lang w:val="fr-BE"/>
        </w:rPr>
      </w:pPr>
    </w:p>
    <w:p w:rsidR="00AC12B4" w:rsidRPr="00C27636" w:rsidRDefault="00C27636">
      <w:pPr>
        <w:ind w:left="8"/>
        <w:rPr>
          <w:sz w:val="20"/>
          <w:szCs w:val="20"/>
          <w:lang w:val="fr-BE"/>
        </w:rPr>
      </w:pPr>
      <w:r w:rsidRPr="00C27636">
        <w:rPr>
          <w:rFonts w:ascii="Calibri" w:eastAsia="Calibri" w:hAnsi="Calibri" w:cs="Calibri"/>
          <w:lang w:val="fr-BE"/>
        </w:rPr>
        <w:t>sanctions ou de mesures, §13, 50 et 121-</w:t>
      </w:r>
    </w:p>
    <w:p w:rsidR="00AC12B4" w:rsidRPr="00C27636" w:rsidRDefault="00AC12B4">
      <w:pPr>
        <w:spacing w:line="49" w:lineRule="exact"/>
        <w:rPr>
          <w:rFonts w:ascii="Comic Sans MS" w:eastAsia="Comic Sans MS" w:hAnsi="Comic Sans MS" w:cs="Comic Sans MS"/>
          <w:color w:val="0D0D0D"/>
          <w:sz w:val="20"/>
          <w:szCs w:val="20"/>
          <w:lang w:val="fr-BE"/>
        </w:rPr>
      </w:pPr>
    </w:p>
    <w:p w:rsidR="00AC12B4" w:rsidRPr="00C27636" w:rsidRDefault="00C27636">
      <w:pPr>
        <w:numPr>
          <w:ilvl w:val="0"/>
          <w:numId w:val="352"/>
        </w:numPr>
        <w:tabs>
          <w:tab w:val="left" w:pos="509"/>
        </w:tabs>
        <w:spacing w:line="236" w:lineRule="auto"/>
        <w:ind w:left="8" w:right="540" w:hanging="8"/>
        <w:jc w:val="both"/>
        <w:rPr>
          <w:rFonts w:ascii="Calibri" w:eastAsia="Calibri" w:hAnsi="Calibri" w:cs="Calibri"/>
          <w:lang w:val="fr-BE"/>
        </w:rPr>
      </w:pPr>
      <w:r w:rsidRPr="00C27636">
        <w:rPr>
          <w:rFonts w:ascii="Calibri" w:eastAsia="Calibri" w:hAnsi="Calibri" w:cs="Calibri"/>
          <w:lang w:val="fr-BE"/>
        </w:rPr>
        <w:t>et norme CPT 36. Pour les mineurs placés sous contrainte, nous renvoyons à l'art. 37 de la CIDE, aux § 47 et 59 des observ</w:t>
      </w:r>
      <w:r w:rsidRPr="00C27636">
        <w:rPr>
          <w:rFonts w:ascii="Calibri" w:eastAsia="Calibri" w:hAnsi="Calibri" w:cs="Calibri"/>
          <w:lang w:val="fr-BE"/>
        </w:rPr>
        <w:t>ations finales de 2010 du Comité des droits de l'enfant des Nations Unies et au standard 10 de Q4C (quality for children). Pour les mineurs en situation inquiétante, nous renvoyons au § 57 des observations finales du Comité des droits de l'enfant des Natio</w:t>
      </w:r>
      <w:r w:rsidRPr="00C27636">
        <w:rPr>
          <w:rFonts w:ascii="Calibri" w:eastAsia="Calibri" w:hAnsi="Calibri" w:cs="Calibri"/>
          <w:lang w:val="fr-BE"/>
        </w:rPr>
        <w:t>ns Unies. Dans le cadre de l’aide acceptée, il s'agit d'une condition formelle</w:t>
      </w:r>
    </w:p>
    <w:p w:rsidR="00AC12B4" w:rsidRPr="00C27636" w:rsidRDefault="00AC12B4">
      <w:pPr>
        <w:spacing w:line="54" w:lineRule="exact"/>
        <w:rPr>
          <w:rFonts w:ascii="Calibri" w:eastAsia="Calibri" w:hAnsi="Calibri" w:cs="Calibri"/>
          <w:lang w:val="fr-BE"/>
        </w:rPr>
      </w:pPr>
    </w:p>
    <w:p w:rsidR="00AC12B4" w:rsidRPr="00C27636" w:rsidRDefault="00C27636">
      <w:pPr>
        <w:ind w:left="8"/>
        <w:rPr>
          <w:rFonts w:ascii="Calibri" w:eastAsia="Calibri" w:hAnsi="Calibri" w:cs="Calibri"/>
          <w:lang w:val="fr-BE"/>
        </w:rPr>
      </w:pPr>
      <w:r w:rsidRPr="00C27636">
        <w:rPr>
          <w:rFonts w:ascii="Calibri" w:eastAsia="Calibri" w:hAnsi="Calibri" w:cs="Calibri"/>
          <w:color w:val="000000"/>
          <w:sz w:val="7"/>
          <w:szCs w:val="7"/>
          <w:vertAlign w:val="superscript"/>
          <w:lang w:val="fr-BE"/>
        </w:rPr>
        <w:t>(art.  6  du  décret</w:t>
      </w:r>
      <w:r w:rsidRPr="00C27636">
        <w:rPr>
          <w:rFonts w:ascii="Comic Sans MS" w:eastAsia="Comic Sans MS" w:hAnsi="Comic Sans MS" w:cs="Comic Sans MS"/>
          <w:color w:val="FEC930"/>
          <w:sz w:val="16"/>
          <w:szCs w:val="16"/>
          <w:lang w:val="fr-BE"/>
        </w:rPr>
        <w:t xml:space="preserve">      N/A</w:t>
      </w:r>
      <w:r w:rsidRPr="00C27636">
        <w:rPr>
          <w:rFonts w:ascii="Calibri" w:eastAsia="Calibri" w:hAnsi="Calibri" w:cs="Calibri"/>
          <w:color w:val="000000"/>
          <w:sz w:val="7"/>
          <w:szCs w:val="7"/>
          <w:vertAlign w:val="superscript"/>
          <w:lang w:val="fr-BE"/>
        </w:rPr>
        <w:t>flamandrelatifà</w:t>
      </w:r>
      <w:r w:rsidRPr="00C27636">
        <w:rPr>
          <w:rFonts w:ascii="Calibri" w:eastAsia="Calibri" w:hAnsi="Calibri" w:cs="Calibri"/>
          <w:color w:val="000000"/>
          <w:sz w:val="3"/>
          <w:szCs w:val="3"/>
          <w:lang w:val="fr-BE"/>
        </w:rPr>
        <w:t>l'aideintégraleàla</w:t>
      </w:r>
      <w:r w:rsidRPr="00C27636">
        <w:rPr>
          <w:rFonts w:ascii="Calibri" w:eastAsia="Calibri" w:hAnsi="Calibri" w:cs="Calibri"/>
          <w:color w:val="000000"/>
          <w:sz w:val="7"/>
          <w:szCs w:val="7"/>
          <w:vertAlign w:val="subscript"/>
          <w:lang w:val="fr-BE"/>
        </w:rPr>
        <w:t>jeunesseetl’art.16duDécretposition</w:t>
      </w:r>
    </w:p>
    <w:p w:rsidR="00AC12B4" w:rsidRPr="00C27636" w:rsidRDefault="00C27636">
      <w:pPr>
        <w:spacing w:line="20" w:lineRule="exact"/>
        <w:rPr>
          <w:rFonts w:ascii="Comic Sans MS" w:eastAsia="Comic Sans MS" w:hAnsi="Comic Sans MS" w:cs="Comic Sans MS"/>
          <w:color w:val="0D0D0D"/>
          <w:sz w:val="20"/>
          <w:szCs w:val="20"/>
          <w:lang w:val="fr-BE"/>
        </w:rPr>
      </w:pPr>
      <w:r>
        <w:rPr>
          <w:rFonts w:ascii="Comic Sans MS" w:eastAsia="Comic Sans MS" w:hAnsi="Comic Sans MS" w:cs="Comic Sans MS"/>
          <w:noProof/>
          <w:color w:val="0D0D0D"/>
          <w:sz w:val="20"/>
          <w:szCs w:val="20"/>
        </w:rPr>
        <mc:AlternateContent>
          <mc:Choice Requires="wps">
            <w:drawing>
              <wp:anchor distT="0" distB="0" distL="114300" distR="114300" simplePos="0" relativeHeight="251869696" behindDoc="1" locked="0" layoutInCell="0" allowOverlap="1">
                <wp:simplePos x="0" y="0"/>
                <wp:positionH relativeFrom="column">
                  <wp:posOffset>1377315</wp:posOffset>
                </wp:positionH>
                <wp:positionV relativeFrom="paragraph">
                  <wp:posOffset>-161290</wp:posOffset>
                </wp:positionV>
                <wp:extent cx="1616075" cy="1958340"/>
                <wp:effectExtent l="0" t="0" r="0" b="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6075" cy="1958340"/>
                        </a:xfrm>
                        <a:prstGeom prst="rect">
                          <a:avLst/>
                        </a:prstGeom>
                        <a:solidFill>
                          <a:srgbClr val="FFFFFF"/>
                        </a:solidFill>
                      </wps:spPr>
                      <wps:bodyPr/>
                    </wps:wsp>
                  </a:graphicData>
                </a:graphic>
              </wp:anchor>
            </w:drawing>
          </mc:Choice>
          <mc:Fallback>
            <w:pict>
              <v:rect id="Shape 541" o:spid="_x0000_s1566" style="position:absolute;margin-left:108.45pt;margin-top:-12.6999pt;width:127.25pt;height:15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70720" behindDoc="1" locked="0" layoutInCell="0" allowOverlap="1">
                <wp:simplePos x="0" y="0"/>
                <wp:positionH relativeFrom="column">
                  <wp:posOffset>1364615</wp:posOffset>
                </wp:positionH>
                <wp:positionV relativeFrom="paragraph">
                  <wp:posOffset>1797050</wp:posOffset>
                </wp:positionV>
                <wp:extent cx="1641475" cy="0"/>
                <wp:effectExtent l="0" t="0" r="0" b="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45pt,141.5pt" to="236.7pt,141.5pt" o:allowincell="f" strokecolor="#FEC930" strokeweight="2pt"/>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71744" behindDoc="1" locked="0" layoutInCell="0" allowOverlap="1">
                <wp:simplePos x="0" y="0"/>
                <wp:positionH relativeFrom="column">
                  <wp:posOffset>2993390</wp:posOffset>
                </wp:positionH>
                <wp:positionV relativeFrom="paragraph">
                  <wp:posOffset>-173990</wp:posOffset>
                </wp:positionV>
                <wp:extent cx="0" cy="1983740"/>
                <wp:effectExtent l="0" t="0" r="0" b="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8374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7pt,-13.6999pt" to="235.7pt,142.5pt" o:allowincell="f" strokecolor="#FEC930" strokeweight="2pt"/>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72768" behindDoc="1" locked="0" layoutInCell="0" allowOverlap="1">
                <wp:simplePos x="0" y="0"/>
                <wp:positionH relativeFrom="column">
                  <wp:posOffset>1364615</wp:posOffset>
                </wp:positionH>
                <wp:positionV relativeFrom="paragraph">
                  <wp:posOffset>-161290</wp:posOffset>
                </wp:positionV>
                <wp:extent cx="1641475" cy="0"/>
                <wp:effectExtent l="0" t="0" r="0" b="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45pt,-12.6999pt" to="236.7pt,-12.6999pt" o:allowincell="f" strokecolor="#FEC930" strokeweight="2pt"/>
            </w:pict>
          </mc:Fallback>
        </mc:AlternateContent>
      </w:r>
      <w:r>
        <w:rPr>
          <w:rFonts w:ascii="Comic Sans MS" w:eastAsia="Comic Sans MS" w:hAnsi="Comic Sans MS" w:cs="Comic Sans MS"/>
          <w:noProof/>
          <w:color w:val="0D0D0D"/>
          <w:sz w:val="20"/>
          <w:szCs w:val="20"/>
        </w:rPr>
        <mc:AlternateContent>
          <mc:Choice Requires="wps">
            <w:drawing>
              <wp:anchor distT="0" distB="0" distL="114300" distR="114300" simplePos="0" relativeHeight="251873792" behindDoc="1" locked="0" layoutInCell="0" allowOverlap="1">
                <wp:simplePos x="0" y="0"/>
                <wp:positionH relativeFrom="column">
                  <wp:posOffset>1377315</wp:posOffset>
                </wp:positionH>
                <wp:positionV relativeFrom="paragraph">
                  <wp:posOffset>-173990</wp:posOffset>
                </wp:positionV>
                <wp:extent cx="0" cy="1983740"/>
                <wp:effectExtent l="0" t="0" r="0" b="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8374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45pt,-13.6999pt" to="108.45pt,142.5pt" o:allowincell="f" strokecolor="#FEC930" strokeweight="2pt"/>
            </w:pict>
          </mc:Fallback>
        </mc:AlternateContent>
      </w: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301" w:lineRule="exact"/>
        <w:rPr>
          <w:rFonts w:ascii="Comic Sans MS" w:eastAsia="Comic Sans MS" w:hAnsi="Comic Sans MS" w:cs="Comic Sans MS"/>
          <w:color w:val="0D0D0D"/>
          <w:sz w:val="20"/>
          <w:szCs w:val="20"/>
          <w:lang w:val="fr-BE"/>
        </w:rPr>
      </w:pPr>
    </w:p>
    <w:p w:rsidR="00AC12B4" w:rsidRPr="00C27636" w:rsidRDefault="00C27636">
      <w:pPr>
        <w:spacing w:line="233" w:lineRule="auto"/>
        <w:ind w:left="8" w:right="2660"/>
        <w:jc w:val="both"/>
        <w:rPr>
          <w:sz w:val="20"/>
          <w:szCs w:val="20"/>
          <w:lang w:val="fr-BE"/>
        </w:rPr>
      </w:pPr>
      <w:r w:rsidRPr="00C27636">
        <w:rPr>
          <w:rFonts w:ascii="Calibri" w:eastAsia="Calibri" w:hAnsi="Calibri" w:cs="Calibri"/>
          <w:lang w:val="fr-BE"/>
        </w:rPr>
        <w:t>juridique du mineur dans l’aide à la jeunesse intégrale; art. 6, 7 e</w:t>
      </w:r>
      <w:r w:rsidRPr="00C27636">
        <w:rPr>
          <w:rFonts w:ascii="Calibri" w:eastAsia="Calibri" w:hAnsi="Calibri" w:cs="Calibri"/>
          <w:lang w:val="fr-BE"/>
        </w:rPr>
        <w:t>t 36 Décret FWB relatif à l’aide à la jeunesse 1991). Au</w:t>
      </w:r>
    </w:p>
    <w:p w:rsidR="00AC12B4" w:rsidRPr="00C27636" w:rsidRDefault="00AC12B4">
      <w:pPr>
        <w:spacing w:line="55" w:lineRule="exact"/>
        <w:rPr>
          <w:rFonts w:ascii="Comic Sans MS" w:eastAsia="Comic Sans MS" w:hAnsi="Comic Sans MS" w:cs="Comic Sans MS"/>
          <w:color w:val="0D0D0D"/>
          <w:sz w:val="20"/>
          <w:szCs w:val="20"/>
          <w:lang w:val="fr-BE"/>
        </w:rPr>
      </w:pPr>
    </w:p>
    <w:p w:rsidR="00AC12B4" w:rsidRPr="00C27636" w:rsidRDefault="00C27636">
      <w:pPr>
        <w:spacing w:line="225" w:lineRule="auto"/>
        <w:ind w:left="8" w:right="560"/>
        <w:jc w:val="both"/>
        <w:rPr>
          <w:sz w:val="20"/>
          <w:szCs w:val="20"/>
          <w:lang w:val="fr-BE"/>
        </w:rPr>
      </w:pPr>
      <w:r w:rsidRPr="00C27636">
        <w:rPr>
          <w:rFonts w:ascii="Calibri" w:eastAsia="Calibri" w:hAnsi="Calibri" w:cs="Calibri"/>
          <w:lang w:val="fr-BE"/>
        </w:rPr>
        <w:t>niveau de l'aide judiciaire, c'est poursuivi (mais pas garanti vu le pouvoir décisionnel du juge).</w:t>
      </w:r>
    </w:p>
    <w:p w:rsidR="00AC12B4" w:rsidRPr="00C27636" w:rsidRDefault="00AC12B4">
      <w:pPr>
        <w:spacing w:line="171" w:lineRule="exact"/>
        <w:rPr>
          <w:rFonts w:ascii="Comic Sans MS" w:eastAsia="Comic Sans MS" w:hAnsi="Comic Sans MS" w:cs="Comic Sans MS"/>
          <w:color w:val="0D0D0D"/>
          <w:sz w:val="20"/>
          <w:szCs w:val="20"/>
          <w:lang w:val="fr-BE"/>
        </w:rPr>
      </w:pPr>
    </w:p>
    <w:p w:rsidR="00AC12B4" w:rsidRPr="00C27636" w:rsidRDefault="00C27636">
      <w:pPr>
        <w:spacing w:line="232" w:lineRule="auto"/>
        <w:ind w:left="8" w:right="540"/>
        <w:jc w:val="both"/>
        <w:rPr>
          <w:sz w:val="20"/>
          <w:szCs w:val="20"/>
          <w:lang w:val="fr-BE"/>
        </w:rPr>
      </w:pPr>
      <w:r w:rsidRPr="00C27636">
        <w:rPr>
          <w:rFonts w:ascii="Calibri" w:eastAsia="Calibri" w:hAnsi="Calibri" w:cs="Calibri"/>
          <w:lang w:val="fr-BE"/>
        </w:rPr>
        <w:t xml:space="preserve">La participation sera vue ici sous deux angles. Premièrement, le vécu des enfants de leur droit </w:t>
      </w:r>
      <w:r w:rsidRPr="00C27636">
        <w:rPr>
          <w:rFonts w:ascii="Calibri" w:eastAsia="Calibri" w:hAnsi="Calibri" w:cs="Calibri"/>
          <w:lang w:val="fr-BE"/>
        </w:rPr>
        <w:t>d’être entendu sera analysé. Dans un deuxième temps, nous nous pencherons sur le degré de compréhension de la procédure par les enfants.</w:t>
      </w:r>
    </w:p>
    <w:p w:rsidR="00AC12B4" w:rsidRPr="00C27636" w:rsidRDefault="00AC12B4">
      <w:pPr>
        <w:spacing w:line="173" w:lineRule="exact"/>
        <w:rPr>
          <w:rFonts w:ascii="Comic Sans MS" w:eastAsia="Comic Sans MS" w:hAnsi="Comic Sans MS" w:cs="Comic Sans MS"/>
          <w:color w:val="0D0D0D"/>
          <w:sz w:val="20"/>
          <w:szCs w:val="20"/>
          <w:lang w:val="fr-BE"/>
        </w:rPr>
      </w:pPr>
    </w:p>
    <w:p w:rsidR="00AC12B4" w:rsidRPr="00C27636" w:rsidRDefault="00C27636">
      <w:pPr>
        <w:spacing w:line="232" w:lineRule="auto"/>
        <w:ind w:left="8" w:right="540"/>
        <w:jc w:val="both"/>
        <w:rPr>
          <w:sz w:val="20"/>
          <w:szCs w:val="20"/>
          <w:lang w:val="fr-BE"/>
        </w:rPr>
      </w:pPr>
      <w:r w:rsidRPr="00C27636">
        <w:rPr>
          <w:rFonts w:ascii="Calibri" w:eastAsia="Calibri" w:hAnsi="Calibri" w:cs="Calibri"/>
          <w:lang w:val="fr-BE"/>
        </w:rPr>
        <w:t>Les enfants pris en compte ici sont les enfants ayant personnellement eu affaire à la justice (fait qualifié infractio</w:t>
      </w:r>
      <w:r w:rsidRPr="00C27636">
        <w:rPr>
          <w:rFonts w:ascii="Calibri" w:eastAsia="Calibri" w:hAnsi="Calibri" w:cs="Calibri"/>
          <w:lang w:val="fr-BE"/>
        </w:rPr>
        <w:t>n, mineur en danger) ou ayant été en contact avec la justice pour une autre raison (divorce des parents,…).</w:t>
      </w:r>
    </w:p>
    <w:p w:rsidR="00AC12B4" w:rsidRPr="00C27636" w:rsidRDefault="00AC12B4">
      <w:pPr>
        <w:spacing w:line="173" w:lineRule="exact"/>
        <w:rPr>
          <w:rFonts w:ascii="Comic Sans MS" w:eastAsia="Comic Sans MS" w:hAnsi="Comic Sans MS" w:cs="Comic Sans MS"/>
          <w:color w:val="0D0D0D"/>
          <w:sz w:val="20"/>
          <w:szCs w:val="20"/>
          <w:lang w:val="fr-BE"/>
        </w:rPr>
      </w:pPr>
    </w:p>
    <w:p w:rsidR="00AC12B4" w:rsidRPr="00C27636" w:rsidRDefault="00C27636">
      <w:pPr>
        <w:spacing w:line="229" w:lineRule="auto"/>
        <w:ind w:left="8" w:right="540"/>
        <w:jc w:val="both"/>
        <w:rPr>
          <w:sz w:val="20"/>
          <w:szCs w:val="20"/>
          <w:lang w:val="fr-BE"/>
        </w:rPr>
      </w:pPr>
      <w:r w:rsidRPr="00C27636">
        <w:rPr>
          <w:rFonts w:ascii="Calibri" w:eastAsia="Calibri" w:hAnsi="Calibri" w:cs="Calibri"/>
          <w:lang w:val="fr-BE"/>
        </w:rPr>
        <w:t>L’approche utilisée est celle du « self-report ». Les enfants eux-mêmes évalueront l’effectivité de leur droit d’être entendu ainsi que leur compré</w:t>
      </w:r>
      <w:r w:rsidRPr="00C27636">
        <w:rPr>
          <w:rFonts w:ascii="Calibri" w:eastAsia="Calibri" w:hAnsi="Calibri" w:cs="Calibri"/>
          <w:lang w:val="fr-BE"/>
        </w:rPr>
        <w:t>hension de</w:t>
      </w:r>
    </w:p>
    <w:p w:rsidR="00AC12B4" w:rsidRPr="00C27636" w:rsidRDefault="00C27636">
      <w:pPr>
        <w:spacing w:line="20" w:lineRule="exact"/>
        <w:rPr>
          <w:rFonts w:ascii="Comic Sans MS" w:eastAsia="Comic Sans MS" w:hAnsi="Comic Sans MS" w:cs="Comic Sans MS"/>
          <w:color w:val="0D0D0D"/>
          <w:sz w:val="20"/>
          <w:szCs w:val="20"/>
          <w:lang w:val="fr-BE"/>
        </w:rPr>
      </w:pPr>
      <w:r w:rsidRPr="00C27636">
        <w:rPr>
          <w:rFonts w:ascii="Comic Sans MS" w:eastAsia="Comic Sans MS" w:hAnsi="Comic Sans MS" w:cs="Comic Sans MS"/>
          <w:color w:val="0D0D0D"/>
          <w:sz w:val="20"/>
          <w:szCs w:val="20"/>
          <w:lang w:val="fr-BE"/>
        </w:rPr>
        <w:br w:type="column"/>
      </w: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00" w:lineRule="exact"/>
        <w:rPr>
          <w:rFonts w:ascii="Comic Sans MS" w:eastAsia="Comic Sans MS" w:hAnsi="Comic Sans MS" w:cs="Comic Sans MS"/>
          <w:color w:val="0D0D0D"/>
          <w:sz w:val="20"/>
          <w:szCs w:val="20"/>
          <w:lang w:val="fr-BE"/>
        </w:rPr>
      </w:pPr>
    </w:p>
    <w:p w:rsidR="00AC12B4" w:rsidRPr="00C27636" w:rsidRDefault="00AC12B4">
      <w:pPr>
        <w:spacing w:line="249" w:lineRule="exact"/>
        <w:rPr>
          <w:rFonts w:ascii="Comic Sans MS" w:eastAsia="Comic Sans MS" w:hAnsi="Comic Sans MS" w:cs="Comic Sans MS"/>
          <w:color w:val="0D0D0D"/>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Les droits des mineurs en contact avec la Justice</w:t>
            </w:r>
          </w:p>
        </w:tc>
      </w:tr>
    </w:tbl>
    <w:p w:rsidR="00AC12B4" w:rsidRPr="00C27636" w:rsidRDefault="00AC12B4">
      <w:pPr>
        <w:spacing w:line="1" w:lineRule="exact"/>
        <w:rPr>
          <w:rFonts w:ascii="Comic Sans MS" w:eastAsia="Comic Sans MS" w:hAnsi="Comic Sans MS" w:cs="Comic Sans MS"/>
          <w:color w:val="0D0D0D"/>
          <w:sz w:val="20"/>
          <w:szCs w:val="20"/>
          <w:lang w:val="fr-BE"/>
        </w:rPr>
      </w:pPr>
    </w:p>
    <w:p w:rsidR="00AC12B4" w:rsidRPr="00C27636" w:rsidRDefault="00AC12B4">
      <w:pPr>
        <w:rPr>
          <w:lang w:val="fr-BE"/>
        </w:rPr>
        <w:sectPr w:rsidR="00AC12B4" w:rsidRPr="00C27636">
          <w:type w:val="continuous"/>
          <w:pgSz w:w="12080" w:h="17179"/>
          <w:pgMar w:top="1440" w:right="474" w:bottom="659" w:left="1120" w:header="0" w:footer="0" w:gutter="0"/>
          <w:cols w:num="3" w:space="720" w:equalWidth="0">
            <w:col w:w="4900" w:space="572"/>
            <w:col w:w="4428" w:space="253"/>
            <w:col w:w="330"/>
          </w:cols>
        </w:sectPr>
      </w:pPr>
    </w:p>
    <w:p w:rsidR="00AC12B4" w:rsidRDefault="00C27636">
      <w:pPr>
        <w:ind w:right="243"/>
        <w:jc w:val="center"/>
        <w:rPr>
          <w:sz w:val="20"/>
          <w:szCs w:val="20"/>
        </w:rPr>
      </w:pPr>
      <w:r>
        <w:rPr>
          <w:rFonts w:ascii="Calibri" w:eastAsia="Calibri" w:hAnsi="Calibri" w:cs="Calibri"/>
          <w:sz w:val="21"/>
          <w:szCs w:val="21"/>
        </w:rPr>
        <w:lastRenderedPageBreak/>
        <w:t>181</w:t>
      </w:r>
    </w:p>
    <w:p w:rsidR="00AC12B4" w:rsidRDefault="00AC12B4">
      <w:pPr>
        <w:sectPr w:rsidR="00AC12B4">
          <w:type w:val="continuous"/>
          <w:pgSz w:w="12080" w:h="17179"/>
          <w:pgMar w:top="1440" w:right="474" w:bottom="659" w:left="1120" w:header="0" w:footer="0" w:gutter="0"/>
          <w:cols w:space="720" w:equalWidth="0">
            <w:col w:w="10483"/>
          </w:cols>
        </w:sectPr>
      </w:pPr>
    </w:p>
    <w:bookmarkStart w:id="181" w:name="page182"/>
    <w:bookmarkEnd w:id="181"/>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874816" behindDoc="1" locked="0" layoutInCell="0" allowOverlap="1">
                <wp:simplePos x="0" y="0"/>
                <wp:positionH relativeFrom="page">
                  <wp:posOffset>0</wp:posOffset>
                </wp:positionH>
                <wp:positionV relativeFrom="page">
                  <wp:posOffset>0</wp:posOffset>
                </wp:positionV>
                <wp:extent cx="699135" cy="10908665"/>
                <wp:effectExtent l="0" t="0" r="0" b="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46" o:spid="_x0000_s1571"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r>
        <w:rPr>
          <w:noProof/>
          <w:sz w:val="20"/>
          <w:szCs w:val="20"/>
        </w:rPr>
        <mc:AlternateContent>
          <mc:Choice Requires="wps">
            <w:drawing>
              <wp:anchor distT="0" distB="0" distL="114300" distR="114300" simplePos="0" relativeHeight="251875840" behindDoc="1" locked="0" layoutInCell="0" allowOverlap="1">
                <wp:simplePos x="0" y="0"/>
                <wp:positionH relativeFrom="page">
                  <wp:posOffset>379095</wp:posOffset>
                </wp:positionH>
                <wp:positionV relativeFrom="page">
                  <wp:posOffset>2150745</wp:posOffset>
                </wp:positionV>
                <wp:extent cx="3009265" cy="2026920"/>
                <wp:effectExtent l="0" t="0" r="0" b="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9265" cy="2026920"/>
                        </a:xfrm>
                        <a:prstGeom prst="rect">
                          <a:avLst/>
                        </a:prstGeom>
                        <a:solidFill>
                          <a:srgbClr val="FFFFFF"/>
                        </a:solidFill>
                      </wps:spPr>
                      <wps:bodyPr/>
                    </wps:wsp>
                  </a:graphicData>
                </a:graphic>
              </wp:anchor>
            </w:drawing>
          </mc:Choice>
          <mc:Fallback>
            <w:pict>
              <v:rect id="Shape 547" o:spid="_x0000_s1572" style="position:absolute;margin-left:29.85pt;margin-top:169.35pt;width:236.95pt;height:159.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r>
        <w:rPr>
          <w:noProof/>
          <w:sz w:val="20"/>
          <w:szCs w:val="20"/>
        </w:rPr>
        <mc:AlternateContent>
          <mc:Choice Requires="wps">
            <w:drawing>
              <wp:anchor distT="0" distB="0" distL="114300" distR="114300" simplePos="0" relativeHeight="251876864" behindDoc="1" locked="0" layoutInCell="0" allowOverlap="1">
                <wp:simplePos x="0" y="0"/>
                <wp:positionH relativeFrom="page">
                  <wp:posOffset>379095</wp:posOffset>
                </wp:positionH>
                <wp:positionV relativeFrom="page">
                  <wp:posOffset>2138045</wp:posOffset>
                </wp:positionV>
                <wp:extent cx="0" cy="2052320"/>
                <wp:effectExtent l="0" t="0" r="0" b="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05232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85pt,168.35pt" to="29.85pt,329.95pt" o:allowincell="f" strokecolor="#FEC930" strokeweight="2pt">
                <w10:wrap anchorx="page" anchory="page"/>
              </v:line>
            </w:pict>
          </mc:Fallback>
        </mc:AlternateContent>
      </w:r>
      <w:r>
        <w:rPr>
          <w:noProof/>
          <w:sz w:val="20"/>
          <w:szCs w:val="20"/>
        </w:rPr>
        <mc:AlternateContent>
          <mc:Choice Requires="wps">
            <w:drawing>
              <wp:anchor distT="0" distB="0" distL="114300" distR="114300" simplePos="0" relativeHeight="251877888" behindDoc="1" locked="0" layoutInCell="0" allowOverlap="1">
                <wp:simplePos x="0" y="0"/>
                <wp:positionH relativeFrom="page">
                  <wp:posOffset>366395</wp:posOffset>
                </wp:positionH>
                <wp:positionV relativeFrom="page">
                  <wp:posOffset>4177665</wp:posOffset>
                </wp:positionV>
                <wp:extent cx="3034665" cy="0"/>
                <wp:effectExtent l="0" t="0" r="0" b="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85pt,328.95pt" to="267.8pt,328.95pt" o:allowincell="f" strokecolor="#FEC930" strokeweight="2pt">
                <w10:wrap anchorx="page" anchory="page"/>
              </v:line>
            </w:pict>
          </mc:Fallback>
        </mc:AlternateContent>
      </w:r>
      <w:r>
        <w:rPr>
          <w:noProof/>
          <w:sz w:val="20"/>
          <w:szCs w:val="20"/>
        </w:rPr>
        <mc:AlternateContent>
          <mc:Choice Requires="wps">
            <w:drawing>
              <wp:anchor distT="0" distB="0" distL="114300" distR="114300" simplePos="0" relativeHeight="251878912" behindDoc="1" locked="0" layoutInCell="0" allowOverlap="1">
                <wp:simplePos x="0" y="0"/>
                <wp:positionH relativeFrom="page">
                  <wp:posOffset>366395</wp:posOffset>
                </wp:positionH>
                <wp:positionV relativeFrom="page">
                  <wp:posOffset>2150745</wp:posOffset>
                </wp:positionV>
                <wp:extent cx="3034665" cy="0"/>
                <wp:effectExtent l="0" t="0" r="0" b="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466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85pt,169.35pt" to="267.8pt,169.35pt" o:allowincell="f" strokecolor="#FEC930" strokeweight="2pt">
                <w10:wrap anchorx="page" anchory="page"/>
              </v:line>
            </w:pict>
          </mc:Fallback>
        </mc:AlternateContent>
      </w:r>
      <w:r>
        <w:rPr>
          <w:noProof/>
          <w:sz w:val="20"/>
          <w:szCs w:val="20"/>
        </w:rPr>
        <mc:AlternateContent>
          <mc:Choice Requires="wps">
            <w:drawing>
              <wp:anchor distT="0" distB="0" distL="114300" distR="114300" simplePos="0" relativeHeight="251879936" behindDoc="1" locked="0" layoutInCell="0" allowOverlap="1">
                <wp:simplePos x="0" y="0"/>
                <wp:positionH relativeFrom="page">
                  <wp:posOffset>3388360</wp:posOffset>
                </wp:positionH>
                <wp:positionV relativeFrom="page">
                  <wp:posOffset>2138045</wp:posOffset>
                </wp:positionV>
                <wp:extent cx="0" cy="2052320"/>
                <wp:effectExtent l="0" t="0" r="0" b="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05232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6.8pt,168.35pt" to="266.8pt,329.95pt" o:allowincell="f" strokecolor="#FEC930" strokeweight="2pt">
                <w10:wrap anchorx="page" anchory="page"/>
              </v:line>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1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 xml:space="preserve">Les droits des mineurs en contact avec la </w:t>
            </w:r>
            <w:r w:rsidRPr="00C27636">
              <w:rPr>
                <w:rFonts w:ascii="Calibri" w:eastAsia="Calibri" w:hAnsi="Calibri" w:cs="Calibri"/>
                <w:b/>
                <w:bCs/>
                <w:i/>
                <w:iCs/>
                <w:color w:val="F2F2F2"/>
                <w:sz w:val="27"/>
                <w:szCs w:val="27"/>
                <w:lang w:val="fr-BE"/>
              </w:rPr>
              <w:t>Justice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left="680" w:right="520"/>
        <w:jc w:val="both"/>
        <w:rPr>
          <w:sz w:val="20"/>
          <w:szCs w:val="20"/>
          <w:lang w:val="fr-BE"/>
        </w:rPr>
      </w:pPr>
      <w:r w:rsidRPr="00C27636">
        <w:rPr>
          <w:rFonts w:ascii="Calibri" w:eastAsia="Calibri" w:hAnsi="Calibri" w:cs="Calibri"/>
          <w:lang w:val="fr-BE"/>
        </w:rPr>
        <w:t>la procédure dans laquelle ils sont impliqués.</w:t>
      </w:r>
    </w:p>
    <w:p w:rsidR="00AC12B4" w:rsidRPr="00C27636" w:rsidRDefault="00AC12B4">
      <w:pPr>
        <w:spacing w:line="170" w:lineRule="exact"/>
        <w:rPr>
          <w:sz w:val="20"/>
          <w:szCs w:val="20"/>
          <w:lang w:val="fr-BE"/>
        </w:rPr>
      </w:pPr>
    </w:p>
    <w:p w:rsidR="00AC12B4" w:rsidRPr="00C27636" w:rsidRDefault="00C27636">
      <w:pPr>
        <w:spacing w:line="224" w:lineRule="auto"/>
        <w:ind w:left="680" w:right="520"/>
        <w:jc w:val="both"/>
        <w:rPr>
          <w:sz w:val="20"/>
          <w:szCs w:val="20"/>
          <w:lang w:val="fr-BE"/>
        </w:rPr>
      </w:pPr>
      <w:r w:rsidRPr="00C27636">
        <w:rPr>
          <w:rFonts w:ascii="Calibri" w:eastAsia="Calibri" w:hAnsi="Calibri" w:cs="Calibri"/>
          <w:lang w:val="fr-BE"/>
        </w:rPr>
        <w:t>Pour ce faire, la CNDE envisage de réaliser une enquête spéciale via les avocats des mineurs.</w:t>
      </w:r>
    </w:p>
    <w:p w:rsidR="00AC12B4" w:rsidRPr="00C27636" w:rsidRDefault="00AC12B4">
      <w:pPr>
        <w:spacing w:line="200" w:lineRule="exact"/>
        <w:rPr>
          <w:sz w:val="20"/>
          <w:szCs w:val="20"/>
          <w:lang w:val="fr-BE"/>
        </w:rPr>
      </w:pPr>
    </w:p>
    <w:p w:rsidR="00AC12B4" w:rsidRPr="00C27636" w:rsidRDefault="00AC12B4">
      <w:pPr>
        <w:spacing w:line="226" w:lineRule="exact"/>
        <w:rPr>
          <w:sz w:val="20"/>
          <w:szCs w:val="20"/>
          <w:lang w:val="fr-BE"/>
        </w:rPr>
      </w:pPr>
    </w:p>
    <w:p w:rsidR="00AC12B4" w:rsidRPr="00C27636" w:rsidRDefault="00C27636">
      <w:pPr>
        <w:spacing w:line="234" w:lineRule="auto"/>
        <w:ind w:right="1480" w:firstLine="341"/>
        <w:rPr>
          <w:sz w:val="20"/>
          <w:szCs w:val="20"/>
          <w:lang w:val="fr-BE"/>
        </w:rPr>
      </w:pPr>
      <w:r w:rsidRPr="00C27636">
        <w:rPr>
          <w:rFonts w:eastAsia="Times New Roman"/>
          <w:b/>
          <w:bCs/>
          <w:color w:val="CF9901"/>
          <w:sz w:val="24"/>
          <w:szCs w:val="24"/>
          <w:lang w:val="fr-BE"/>
        </w:rPr>
        <w:t>Questions à reprendre dans une enquête spécifique:</w:t>
      </w:r>
    </w:p>
    <w:p w:rsidR="00AC12B4" w:rsidRPr="00C27636" w:rsidRDefault="00AC12B4">
      <w:pPr>
        <w:spacing w:line="227" w:lineRule="exact"/>
        <w:rPr>
          <w:sz w:val="20"/>
          <w:szCs w:val="20"/>
          <w:lang w:val="fr-BE"/>
        </w:rPr>
      </w:pPr>
    </w:p>
    <w:p w:rsidR="00AC12B4" w:rsidRDefault="00C27636">
      <w:pPr>
        <w:numPr>
          <w:ilvl w:val="0"/>
          <w:numId w:val="353"/>
        </w:numPr>
        <w:tabs>
          <w:tab w:val="left" w:pos="120"/>
        </w:tabs>
        <w:ind w:left="120" w:hanging="119"/>
        <w:rPr>
          <w:rFonts w:ascii="Calibri" w:eastAsia="Calibri" w:hAnsi="Calibri" w:cs="Calibri"/>
        </w:rPr>
      </w:pPr>
      <w:r>
        <w:rPr>
          <w:rFonts w:ascii="Calibri" w:eastAsia="Calibri" w:hAnsi="Calibri" w:cs="Calibri"/>
        </w:rPr>
        <w:t>sentiment d’être suffisamment informé</w:t>
      </w:r>
    </w:p>
    <w:p w:rsidR="00AC12B4" w:rsidRDefault="00AC12B4">
      <w:pPr>
        <w:spacing w:line="120" w:lineRule="exact"/>
        <w:rPr>
          <w:sz w:val="20"/>
          <w:szCs w:val="20"/>
        </w:rPr>
      </w:pPr>
    </w:p>
    <w:p w:rsidR="00AC12B4" w:rsidRDefault="00C27636">
      <w:pPr>
        <w:rPr>
          <w:sz w:val="20"/>
          <w:szCs w:val="20"/>
        </w:rPr>
      </w:pPr>
      <w:r>
        <w:rPr>
          <w:rFonts w:ascii="Calibri" w:eastAsia="Calibri" w:hAnsi="Calibri" w:cs="Calibri"/>
        </w:rPr>
        <w:t>-Sentiment d’être réellement entendu</w:t>
      </w:r>
    </w:p>
    <w:p w:rsidR="00AC12B4" w:rsidRDefault="00AC12B4">
      <w:pPr>
        <w:spacing w:line="169" w:lineRule="exact"/>
        <w:rPr>
          <w:sz w:val="20"/>
          <w:szCs w:val="20"/>
        </w:rPr>
      </w:pPr>
    </w:p>
    <w:p w:rsidR="00AC12B4" w:rsidRPr="00C27636" w:rsidRDefault="00C27636">
      <w:pPr>
        <w:spacing w:line="229" w:lineRule="auto"/>
        <w:ind w:right="660"/>
        <w:jc w:val="both"/>
        <w:rPr>
          <w:sz w:val="20"/>
          <w:szCs w:val="20"/>
          <w:lang w:val="fr-BE"/>
        </w:rPr>
      </w:pPr>
      <w:r w:rsidRPr="00C27636">
        <w:rPr>
          <w:rFonts w:ascii="Calibri" w:eastAsia="Calibri" w:hAnsi="Calibri" w:cs="Calibri"/>
          <w:lang w:val="fr-BE"/>
        </w:rPr>
        <w:t>-&gt; par la police, par son avocat, par le magistrat (parquet et siège), par les services et instances de l’aide à la jeunesse (avoir été permis de déclarer tout ce qu'on voulait déclarer)</w:t>
      </w:r>
    </w:p>
    <w:p w:rsidR="00AC12B4" w:rsidRPr="00C27636" w:rsidRDefault="00AC12B4">
      <w:pPr>
        <w:spacing w:line="200" w:lineRule="exact"/>
        <w:rPr>
          <w:sz w:val="20"/>
          <w:szCs w:val="20"/>
          <w:lang w:val="fr-BE"/>
        </w:rPr>
      </w:pPr>
    </w:p>
    <w:p w:rsidR="00AC12B4" w:rsidRPr="00C27636" w:rsidRDefault="00AC12B4">
      <w:pPr>
        <w:spacing w:line="373" w:lineRule="exact"/>
        <w:rPr>
          <w:sz w:val="20"/>
          <w:szCs w:val="20"/>
          <w:lang w:val="fr-BE"/>
        </w:rPr>
      </w:pPr>
    </w:p>
    <w:p w:rsidR="00AC12B4" w:rsidRPr="00C27636" w:rsidRDefault="00C27636">
      <w:pPr>
        <w:ind w:left="680"/>
        <w:rPr>
          <w:sz w:val="20"/>
          <w:szCs w:val="20"/>
          <w:lang w:val="fr-BE"/>
        </w:rPr>
      </w:pPr>
      <w:r w:rsidRPr="00C27636">
        <w:rPr>
          <w:rFonts w:ascii="Calibri" w:eastAsia="Calibri" w:hAnsi="Calibri" w:cs="Calibri"/>
          <w:lang w:val="fr-BE"/>
        </w:rPr>
        <w:t>Pour plus d’information, voir</w:t>
      </w:r>
      <w:r w:rsidRPr="00C27636">
        <w:rPr>
          <w:rFonts w:ascii="Calibri" w:eastAsia="Calibri" w:hAnsi="Calibri" w:cs="Calibri"/>
          <w:lang w:val="fr-BE"/>
        </w:rPr>
        <w:t xml:space="preserve"> la section</w:t>
      </w:r>
    </w:p>
    <w:p w:rsidR="00AC12B4" w:rsidRPr="00C27636" w:rsidRDefault="00AC12B4">
      <w:pPr>
        <w:spacing w:line="49" w:lineRule="exact"/>
        <w:rPr>
          <w:sz w:val="20"/>
          <w:szCs w:val="20"/>
          <w:lang w:val="fr-BE"/>
        </w:rPr>
      </w:pPr>
    </w:p>
    <w:p w:rsidR="00AC12B4" w:rsidRPr="00C27636" w:rsidRDefault="00C27636">
      <w:pPr>
        <w:numPr>
          <w:ilvl w:val="0"/>
          <w:numId w:val="354"/>
        </w:numPr>
        <w:tabs>
          <w:tab w:val="left" w:pos="843"/>
        </w:tabs>
        <w:spacing w:line="218" w:lineRule="auto"/>
        <w:ind w:left="680" w:right="520"/>
        <w:rPr>
          <w:rFonts w:ascii="Calibri" w:eastAsia="Calibri" w:hAnsi="Calibri" w:cs="Calibri"/>
          <w:lang w:val="fr-BE"/>
        </w:rPr>
      </w:pPr>
      <w:r w:rsidRPr="00C27636">
        <w:rPr>
          <w:rFonts w:ascii="Calibri" w:eastAsia="Calibri" w:hAnsi="Calibri" w:cs="Calibri"/>
          <w:lang w:val="fr-BE"/>
        </w:rPr>
        <w:t>atteindre les plus vulnérables » dans la Partie I de cette publication.</w:t>
      </w:r>
    </w:p>
    <w:p w:rsidR="00AC12B4" w:rsidRPr="00C27636" w:rsidRDefault="00AC12B4">
      <w:pPr>
        <w:spacing w:line="207" w:lineRule="exact"/>
        <w:rPr>
          <w:sz w:val="20"/>
          <w:szCs w:val="20"/>
          <w:lang w:val="fr-BE"/>
        </w:rPr>
      </w:pPr>
    </w:p>
    <w:p w:rsidR="00AC12B4" w:rsidRPr="00C27636" w:rsidRDefault="00C27636">
      <w:pPr>
        <w:ind w:left="680"/>
        <w:rPr>
          <w:sz w:val="20"/>
          <w:szCs w:val="20"/>
          <w:lang w:val="fr-BE"/>
        </w:rPr>
      </w:pPr>
      <w:r w:rsidRPr="00C27636">
        <w:rPr>
          <w:rFonts w:ascii="Cambria" w:eastAsia="Cambria" w:hAnsi="Cambria" w:cs="Cambria"/>
          <w:b/>
          <w:bCs/>
          <w:i/>
          <w:iCs/>
          <w:color w:val="CF9901"/>
          <w:sz w:val="26"/>
          <w:szCs w:val="26"/>
          <w:lang w:val="fr-BE"/>
        </w:rPr>
        <w:t>Recommandation</w:t>
      </w:r>
    </w:p>
    <w:p w:rsidR="00AC12B4" w:rsidRPr="00C27636" w:rsidRDefault="00AC12B4">
      <w:pPr>
        <w:spacing w:line="208" w:lineRule="exact"/>
        <w:rPr>
          <w:sz w:val="20"/>
          <w:szCs w:val="20"/>
          <w:lang w:val="fr-BE"/>
        </w:rPr>
      </w:pPr>
    </w:p>
    <w:p w:rsidR="00AC12B4" w:rsidRPr="00C27636" w:rsidRDefault="00C27636">
      <w:pPr>
        <w:spacing w:line="229" w:lineRule="auto"/>
        <w:ind w:left="680" w:right="520"/>
        <w:jc w:val="both"/>
        <w:rPr>
          <w:sz w:val="20"/>
          <w:szCs w:val="20"/>
          <w:lang w:val="fr-BE"/>
        </w:rPr>
      </w:pPr>
      <w:r w:rsidRPr="00C27636">
        <w:rPr>
          <w:rFonts w:ascii="Calibri" w:eastAsia="Calibri" w:hAnsi="Calibri" w:cs="Calibri"/>
          <w:lang w:val="fr-BE"/>
        </w:rPr>
        <w:t>Il serait intéressant de procéder, au niveau de la Justice, à un enregistrement objectif obligatoire de l’application du droit d’être entendu.</w:t>
      </w:r>
    </w:p>
    <w:p w:rsidR="00AC12B4" w:rsidRPr="00C27636" w:rsidRDefault="00AC12B4">
      <w:pPr>
        <w:spacing w:line="171" w:lineRule="exact"/>
        <w:rPr>
          <w:sz w:val="20"/>
          <w:szCs w:val="20"/>
          <w:lang w:val="fr-BE"/>
        </w:rPr>
      </w:pPr>
    </w:p>
    <w:p w:rsidR="00AC12B4" w:rsidRPr="00C27636" w:rsidRDefault="00C27636">
      <w:pPr>
        <w:spacing w:line="227" w:lineRule="auto"/>
        <w:ind w:left="680" w:right="520"/>
        <w:jc w:val="both"/>
        <w:rPr>
          <w:sz w:val="20"/>
          <w:szCs w:val="20"/>
          <w:lang w:val="fr-BE"/>
        </w:rPr>
      </w:pPr>
      <w:r w:rsidRPr="00C27636">
        <w:rPr>
          <w:rFonts w:ascii="Calibri" w:eastAsia="Calibri" w:hAnsi="Calibri" w:cs="Calibri"/>
          <w:lang w:val="fr-BE"/>
        </w:rPr>
        <w:t xml:space="preserve">Le SPF </w:t>
      </w:r>
      <w:r w:rsidRPr="00C27636">
        <w:rPr>
          <w:rFonts w:ascii="Calibri" w:eastAsia="Calibri" w:hAnsi="Calibri" w:cs="Calibri"/>
          <w:lang w:val="fr-BE"/>
        </w:rPr>
        <w:t>Justice pourrait reprendre ce point d’attention en vue de l’évaluation prévue en 2020 de la loi du 30 juillet 2013 portant création d'un tribunal de la famille et de la jeunesse</w:t>
      </w:r>
      <w:r w:rsidRPr="00C27636">
        <w:rPr>
          <w:rFonts w:ascii="Calibri" w:eastAsia="Calibri" w:hAnsi="Calibri" w:cs="Calibri"/>
          <w:b/>
          <w:bCs/>
          <w:sz w:val="27"/>
          <w:szCs w:val="27"/>
          <w:vertAlign w:val="superscript"/>
          <w:lang w:val="fr-BE"/>
        </w:rPr>
        <w:t>1</w:t>
      </w:r>
      <w:r w:rsidRPr="00C27636">
        <w:rPr>
          <w:rFonts w:ascii="Calibri" w:eastAsia="Calibri" w:hAnsi="Calibri" w:cs="Calibri"/>
          <w:lang w:val="fr-BE"/>
        </w:rPr>
        <w:t>.</w:t>
      </w:r>
    </w:p>
    <w:p w:rsidR="00AC12B4" w:rsidRPr="00C27636" w:rsidRDefault="00AC12B4">
      <w:pPr>
        <w:spacing w:line="171" w:lineRule="exact"/>
        <w:rPr>
          <w:sz w:val="20"/>
          <w:szCs w:val="20"/>
          <w:lang w:val="fr-BE"/>
        </w:rPr>
      </w:pPr>
    </w:p>
    <w:p w:rsidR="00AC12B4" w:rsidRDefault="00C27636">
      <w:pPr>
        <w:ind w:left="680"/>
        <w:rPr>
          <w:sz w:val="20"/>
          <w:szCs w:val="20"/>
        </w:rPr>
      </w:pPr>
      <w:r>
        <w:rPr>
          <w:rFonts w:ascii="Cambria" w:eastAsia="Cambria" w:hAnsi="Cambria" w:cs="Cambria"/>
          <w:b/>
          <w:bCs/>
          <w:i/>
          <w:iCs/>
          <w:color w:val="CF9901"/>
          <w:sz w:val="26"/>
          <w:szCs w:val="26"/>
        </w:rPr>
        <w:t>Pour aller plus loin</w:t>
      </w:r>
    </w:p>
    <w:p w:rsidR="00AC12B4" w:rsidRDefault="00AC12B4">
      <w:pPr>
        <w:spacing w:line="222" w:lineRule="exact"/>
        <w:rPr>
          <w:sz w:val="20"/>
          <w:szCs w:val="20"/>
        </w:rPr>
      </w:pPr>
    </w:p>
    <w:p w:rsidR="00AC12B4" w:rsidRPr="00C27636" w:rsidRDefault="00C27636">
      <w:pPr>
        <w:numPr>
          <w:ilvl w:val="0"/>
          <w:numId w:val="355"/>
        </w:numPr>
        <w:tabs>
          <w:tab w:val="left" w:pos="1100"/>
        </w:tabs>
        <w:spacing w:line="267" w:lineRule="auto"/>
        <w:ind w:left="1100" w:right="520" w:hanging="352"/>
        <w:jc w:val="both"/>
        <w:rPr>
          <w:rFonts w:ascii="Symbol" w:eastAsia="Symbol" w:hAnsi="Symbol" w:cs="Symbol"/>
          <w:sz w:val="20"/>
          <w:szCs w:val="20"/>
          <w:lang w:val="fr-BE"/>
        </w:rPr>
      </w:pPr>
      <w:r w:rsidRPr="00C27636">
        <w:rPr>
          <w:rFonts w:ascii="Calibri" w:eastAsia="Calibri" w:hAnsi="Calibri" w:cs="Calibri"/>
          <w:b/>
          <w:bCs/>
          <w:i/>
          <w:iCs/>
          <w:color w:val="FEC930"/>
          <w:sz w:val="20"/>
          <w:szCs w:val="20"/>
          <w:lang w:val="fr-BE"/>
        </w:rPr>
        <w:t xml:space="preserve">Baromètre de la justice 2014: </w:t>
      </w:r>
      <w:r w:rsidRPr="00C27636">
        <w:rPr>
          <w:rFonts w:ascii="Calibri" w:eastAsia="Calibri" w:hAnsi="Calibri" w:cs="Calibri"/>
          <w:color w:val="000000"/>
          <w:sz w:val="20"/>
          <w:szCs w:val="20"/>
          <w:lang w:val="fr-BE"/>
        </w:rPr>
        <w:t>Le Conseil</w:t>
      </w:r>
      <w:r w:rsidRPr="00C27636">
        <w:rPr>
          <w:rFonts w:ascii="Calibri" w:eastAsia="Calibri" w:hAnsi="Calibri" w:cs="Calibri"/>
          <w:b/>
          <w:bCs/>
          <w:i/>
          <w:iCs/>
          <w:color w:val="FEC930"/>
          <w:sz w:val="20"/>
          <w:szCs w:val="20"/>
          <w:lang w:val="fr-BE"/>
        </w:rPr>
        <w:t xml:space="preserve"> </w:t>
      </w:r>
      <w:r w:rsidRPr="00C27636">
        <w:rPr>
          <w:rFonts w:ascii="Calibri" w:eastAsia="Calibri" w:hAnsi="Calibri" w:cs="Calibri"/>
          <w:color w:val="000000"/>
          <w:sz w:val="20"/>
          <w:szCs w:val="20"/>
          <w:lang w:val="fr-BE"/>
        </w:rPr>
        <w:t>Supérieur de</w:t>
      </w:r>
      <w:r w:rsidRPr="00C27636">
        <w:rPr>
          <w:rFonts w:ascii="Calibri" w:eastAsia="Calibri" w:hAnsi="Calibri" w:cs="Calibri"/>
          <w:color w:val="000000"/>
          <w:sz w:val="20"/>
          <w:szCs w:val="20"/>
          <w:lang w:val="fr-BE"/>
        </w:rPr>
        <w:t xml:space="preserve"> la Justice a sorti en 2014 son quatrième Baromètre de la Justice. Il s’agit d’une enquête téléphonique auprès de plus de 1500 personnes de plus de 15 ans portant sur différents aspects de la justice et notamment sur le sentiment d’avoir été entendu.</w:t>
      </w:r>
    </w:p>
    <w:p w:rsidR="00AC12B4" w:rsidRPr="00C27636" w:rsidRDefault="00AC12B4">
      <w:pPr>
        <w:spacing w:line="43" w:lineRule="exact"/>
        <w:rPr>
          <w:rFonts w:ascii="Symbol" w:eastAsia="Symbol" w:hAnsi="Symbol" w:cs="Symbol"/>
          <w:sz w:val="20"/>
          <w:szCs w:val="20"/>
          <w:lang w:val="fr-BE"/>
        </w:rPr>
      </w:pPr>
    </w:p>
    <w:p w:rsidR="00AC12B4" w:rsidRDefault="00C27636">
      <w:pPr>
        <w:spacing w:line="260" w:lineRule="auto"/>
        <w:ind w:left="1540" w:right="520" w:hanging="360"/>
        <w:rPr>
          <w:rFonts w:ascii="Calibri" w:eastAsia="Calibri" w:hAnsi="Calibri" w:cs="Calibri"/>
          <w:color w:val="0000FF"/>
          <w:sz w:val="20"/>
          <w:szCs w:val="20"/>
          <w:u w:val="single"/>
        </w:rPr>
      </w:pPr>
      <w:r>
        <w:rPr>
          <w:rFonts w:ascii="Courier New" w:eastAsia="Courier New" w:hAnsi="Courier New" w:cs="Courier New"/>
          <w:sz w:val="20"/>
          <w:szCs w:val="20"/>
        </w:rPr>
        <w:t xml:space="preserve">o </w:t>
      </w:r>
      <w:r>
        <w:rPr>
          <w:rFonts w:ascii="Calibri" w:eastAsia="Calibri" w:hAnsi="Calibri" w:cs="Calibri"/>
          <w:sz w:val="20"/>
          <w:szCs w:val="20"/>
        </w:rPr>
        <w:t>Ba</w:t>
      </w:r>
      <w:r>
        <w:rPr>
          <w:rFonts w:ascii="Calibri" w:eastAsia="Calibri" w:hAnsi="Calibri" w:cs="Calibri"/>
          <w:sz w:val="20"/>
          <w:szCs w:val="20"/>
        </w:rPr>
        <w:t xml:space="preserve">romètredisponible via </w:t>
      </w:r>
      <w:hyperlink r:id="rId336">
        <w:r>
          <w:rPr>
            <w:rFonts w:ascii="Calibri" w:eastAsia="Calibri" w:hAnsi="Calibri" w:cs="Calibri"/>
            <w:color w:val="0000FF"/>
            <w:sz w:val="20"/>
            <w:szCs w:val="20"/>
            <w:u w:val="single"/>
          </w:rPr>
          <w:t>http://www.csj.be/sites/5023.b.fedi</w:t>
        </w:r>
      </w:hyperlink>
      <w:r>
        <w:rPr>
          <w:rFonts w:ascii="Calibri" w:eastAsia="Calibri" w:hAnsi="Calibri" w:cs="Calibri"/>
          <w:color w:val="0000FF"/>
          <w:sz w:val="20"/>
          <w:szCs w:val="20"/>
          <w:u w:val="single"/>
        </w:rPr>
        <w:t xml:space="preserve"> </w:t>
      </w:r>
      <w:hyperlink r:id="rId337">
        <w:r>
          <w:rPr>
            <w:rFonts w:ascii="Calibri" w:eastAsia="Calibri" w:hAnsi="Calibri" w:cs="Calibri"/>
            <w:color w:val="0000FF"/>
            <w:sz w:val="20"/>
            <w:szCs w:val="20"/>
            <w:u w:val="single"/>
          </w:rPr>
          <w:t>mbo.belgium.be/files/press_publicat</w:t>
        </w:r>
      </w:hyperlink>
      <w:r>
        <w:rPr>
          <w:rFonts w:ascii="Calibri" w:eastAsia="Calibri" w:hAnsi="Calibri" w:cs="Calibri"/>
          <w:color w:val="0000FF"/>
          <w:sz w:val="20"/>
          <w:szCs w:val="20"/>
          <w:u w:val="single"/>
        </w:rPr>
        <w:t xml:space="preserve"> </w:t>
      </w:r>
      <w:hyperlink r:id="rId338">
        <w:r>
          <w:rPr>
            <w:rFonts w:ascii="Calibri" w:eastAsia="Calibri" w:hAnsi="Calibri" w:cs="Calibri"/>
            <w:color w:val="0000FF"/>
            <w:sz w:val="20"/>
            <w:szCs w:val="20"/>
            <w:u w:val="single"/>
          </w:rPr>
          <w:t>ions/barometre_justice_2014.pdf</w:t>
        </w:r>
      </w:hyperlink>
    </w:p>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noProof/>
          <w:color w:val="0000FF"/>
          <w:sz w:val="20"/>
          <w:szCs w:val="20"/>
          <w:u w:val="single"/>
        </w:rPr>
        <mc:AlternateContent>
          <mc:Choice Requires="wps">
            <w:drawing>
              <wp:anchor distT="0" distB="0" distL="114300" distR="114300" simplePos="0" relativeHeight="251880960" behindDoc="1" locked="0" layoutInCell="0" allowOverlap="1">
                <wp:simplePos x="0" y="0"/>
                <wp:positionH relativeFrom="column">
                  <wp:posOffset>431800</wp:posOffset>
                </wp:positionH>
                <wp:positionV relativeFrom="paragraph">
                  <wp:posOffset>186055</wp:posOffset>
                </wp:positionV>
                <wp:extent cx="1828800" cy="0"/>
                <wp:effectExtent l="0" t="0" r="0" b="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pt,14.65pt" to="178pt,14.65pt" o:allowincell="f" strokecolor="#000000" strokeweight="0.7199pt"/>
            </w:pict>
          </mc:Fallback>
        </mc:AlternateContent>
      </w: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25" w:lineRule="exact"/>
        <w:rPr>
          <w:rFonts w:ascii="Calibri" w:eastAsia="Calibri" w:hAnsi="Calibri" w:cs="Calibri"/>
          <w:color w:val="0000FF"/>
          <w:sz w:val="20"/>
          <w:szCs w:val="20"/>
          <w:u w:val="single"/>
        </w:rPr>
      </w:pPr>
    </w:p>
    <w:p w:rsidR="00AC12B4" w:rsidRDefault="00C27636">
      <w:pPr>
        <w:numPr>
          <w:ilvl w:val="0"/>
          <w:numId w:val="356"/>
        </w:numPr>
        <w:tabs>
          <w:tab w:val="left" w:pos="780"/>
        </w:tabs>
        <w:ind w:left="780" w:hanging="100"/>
        <w:rPr>
          <w:rFonts w:ascii="Calibri" w:eastAsia="Calibri" w:hAnsi="Calibri" w:cs="Calibri"/>
          <w:sz w:val="24"/>
          <w:szCs w:val="24"/>
          <w:vertAlign w:val="superscript"/>
        </w:rPr>
      </w:pPr>
      <w:r>
        <w:rPr>
          <w:rFonts w:ascii="Calibri" w:eastAsia="Calibri" w:hAnsi="Calibri" w:cs="Calibri"/>
          <w:sz w:val="18"/>
          <w:szCs w:val="18"/>
        </w:rPr>
        <w:lastRenderedPageBreak/>
        <w:t>Art. 273 de cette loi.</w:t>
      </w:r>
    </w:p>
    <w:p w:rsidR="00AC12B4" w:rsidRDefault="00AC12B4">
      <w:pPr>
        <w:spacing w:line="241" w:lineRule="exact"/>
        <w:rPr>
          <w:rFonts w:ascii="Calibri" w:eastAsia="Calibri" w:hAnsi="Calibri" w:cs="Calibri"/>
          <w:color w:val="0000FF"/>
          <w:sz w:val="20"/>
          <w:szCs w:val="20"/>
          <w:u w:val="single"/>
        </w:rPr>
      </w:pPr>
    </w:p>
    <w:p w:rsidR="00AC12B4" w:rsidRDefault="00C27636">
      <w:pPr>
        <w:jc w:val="right"/>
        <w:rPr>
          <w:sz w:val="20"/>
          <w:szCs w:val="20"/>
        </w:rPr>
      </w:pPr>
      <w:r>
        <w:rPr>
          <w:rFonts w:ascii="Calibri" w:eastAsia="Calibri" w:hAnsi="Calibri" w:cs="Calibri"/>
        </w:rPr>
        <w:t>182</w:t>
      </w:r>
    </w:p>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color w:val="0000FF"/>
          <w:sz w:val="20"/>
          <w:szCs w:val="20"/>
          <w:u w:val="single"/>
        </w:rPr>
        <w:br w:type="column"/>
      </w:r>
    </w:p>
    <w:p w:rsidR="00AC12B4" w:rsidRDefault="00AC12B4">
      <w:pPr>
        <w:spacing w:line="146" w:lineRule="exact"/>
        <w:rPr>
          <w:rFonts w:ascii="Calibri" w:eastAsia="Calibri" w:hAnsi="Calibri" w:cs="Calibri"/>
          <w:color w:val="0000FF"/>
          <w:sz w:val="20"/>
          <w:szCs w:val="20"/>
          <w:u w:val="single"/>
        </w:rPr>
      </w:pPr>
    </w:p>
    <w:p w:rsidR="00AC12B4" w:rsidRDefault="00C27636">
      <w:pPr>
        <w:numPr>
          <w:ilvl w:val="0"/>
          <w:numId w:val="357"/>
        </w:numPr>
        <w:tabs>
          <w:tab w:val="left" w:pos="355"/>
        </w:tabs>
        <w:ind w:left="355" w:hanging="355"/>
        <w:rPr>
          <w:rFonts w:ascii="Symbol" w:eastAsia="Symbol" w:hAnsi="Symbol" w:cs="Symbol"/>
          <w:sz w:val="20"/>
          <w:szCs w:val="20"/>
        </w:rPr>
      </w:pPr>
      <w:r>
        <w:rPr>
          <w:rFonts w:ascii="Calibri" w:eastAsia="Calibri" w:hAnsi="Calibri" w:cs="Calibri"/>
          <w:sz w:val="20"/>
          <w:szCs w:val="20"/>
        </w:rPr>
        <w:t xml:space="preserve">Données analysées dans </w:t>
      </w:r>
      <w:r>
        <w:rPr>
          <w:rFonts w:ascii="Calibri" w:eastAsia="Calibri" w:hAnsi="Calibri" w:cs="Calibri"/>
          <w:b/>
          <w:bCs/>
          <w:i/>
          <w:iCs/>
          <w:color w:val="FEC930"/>
          <w:sz w:val="20"/>
          <w:szCs w:val="20"/>
        </w:rPr>
        <w:t>l’indicateur</w:t>
      </w:r>
    </w:p>
    <w:p w:rsidR="00AC12B4" w:rsidRDefault="00AC12B4">
      <w:pPr>
        <w:spacing w:line="80" w:lineRule="exact"/>
        <w:rPr>
          <w:rFonts w:ascii="Symbol" w:eastAsia="Symbol" w:hAnsi="Symbol" w:cs="Symbol"/>
          <w:sz w:val="20"/>
          <w:szCs w:val="20"/>
        </w:rPr>
      </w:pPr>
    </w:p>
    <w:p w:rsidR="00AC12B4" w:rsidRPr="00C27636" w:rsidRDefault="00C27636">
      <w:pPr>
        <w:spacing w:line="235" w:lineRule="auto"/>
        <w:ind w:left="355" w:right="737"/>
        <w:rPr>
          <w:rFonts w:ascii="Symbol" w:eastAsia="Symbol" w:hAnsi="Symbol" w:cs="Symbol"/>
          <w:sz w:val="20"/>
          <w:szCs w:val="20"/>
          <w:lang w:val="fr-BE"/>
        </w:rPr>
      </w:pPr>
      <w:r w:rsidRPr="00C27636">
        <w:rPr>
          <w:rFonts w:ascii="Calibri" w:eastAsia="Calibri" w:hAnsi="Calibri" w:cs="Calibri"/>
          <w:b/>
          <w:bCs/>
          <w:i/>
          <w:iCs/>
          <w:color w:val="FEC930"/>
          <w:sz w:val="20"/>
          <w:szCs w:val="20"/>
          <w:lang w:val="fr-BE"/>
        </w:rPr>
        <w:t>« image que le jeune a du système de la justice juvénile »</w:t>
      </w:r>
    </w:p>
    <w:p w:rsidR="00AC12B4" w:rsidRPr="00C27636" w:rsidRDefault="00AC12B4">
      <w:pPr>
        <w:spacing w:line="95" w:lineRule="exact"/>
        <w:rPr>
          <w:rFonts w:ascii="Symbol" w:eastAsia="Symbol" w:hAnsi="Symbol" w:cs="Symbol"/>
          <w:sz w:val="20"/>
          <w:szCs w:val="20"/>
          <w:lang w:val="fr-BE"/>
        </w:rPr>
      </w:pPr>
    </w:p>
    <w:p w:rsidR="00AC12B4" w:rsidRDefault="00C27636">
      <w:pPr>
        <w:numPr>
          <w:ilvl w:val="0"/>
          <w:numId w:val="357"/>
        </w:numPr>
        <w:tabs>
          <w:tab w:val="left" w:pos="355"/>
        </w:tabs>
        <w:spacing w:line="230" w:lineRule="auto"/>
        <w:ind w:left="355" w:right="737" w:hanging="355"/>
        <w:rPr>
          <w:rFonts w:ascii="Symbol" w:eastAsia="Symbol" w:hAnsi="Symbol" w:cs="Symbol"/>
          <w:sz w:val="20"/>
          <w:szCs w:val="20"/>
        </w:rPr>
      </w:pPr>
      <w:r>
        <w:rPr>
          <w:rFonts w:ascii="Calibri" w:eastAsia="Calibri" w:hAnsi="Calibri" w:cs="Calibri"/>
          <w:b/>
          <w:bCs/>
          <w:i/>
          <w:iCs/>
          <w:color w:val="FEC930"/>
          <w:sz w:val="20"/>
          <w:szCs w:val="20"/>
        </w:rPr>
        <w:t>Résultats de recherches non-récurrentes</w:t>
      </w:r>
    </w:p>
    <w:p w:rsidR="00AC12B4" w:rsidRDefault="00AC12B4">
      <w:pPr>
        <w:spacing w:line="83" w:lineRule="exact"/>
        <w:rPr>
          <w:rFonts w:ascii="Calibri" w:eastAsia="Calibri" w:hAnsi="Calibri" w:cs="Calibri"/>
          <w:color w:val="0000FF"/>
          <w:sz w:val="20"/>
          <w:szCs w:val="20"/>
          <w:u w:val="single"/>
        </w:rPr>
      </w:pPr>
    </w:p>
    <w:p w:rsidR="00AC12B4" w:rsidRDefault="00C27636">
      <w:pPr>
        <w:numPr>
          <w:ilvl w:val="0"/>
          <w:numId w:val="358"/>
        </w:numPr>
        <w:tabs>
          <w:tab w:val="left" w:pos="497"/>
        </w:tabs>
        <w:spacing w:line="271" w:lineRule="auto"/>
        <w:ind w:left="495" w:right="737" w:hanging="363"/>
        <w:jc w:val="both"/>
        <w:rPr>
          <w:rFonts w:ascii="Courier New" w:eastAsia="Courier New" w:hAnsi="Courier New" w:cs="Courier New"/>
          <w:sz w:val="20"/>
          <w:szCs w:val="20"/>
        </w:rPr>
      </w:pPr>
      <w:r w:rsidRPr="00C27636">
        <w:rPr>
          <w:rFonts w:ascii="Calibri" w:eastAsia="Calibri" w:hAnsi="Calibri" w:cs="Calibri"/>
          <w:sz w:val="20"/>
          <w:szCs w:val="20"/>
          <w:lang w:val="fr-BE"/>
        </w:rPr>
        <w:t xml:space="preserve">Clémence, F., </w:t>
      </w:r>
      <w:r w:rsidRPr="00C27636">
        <w:rPr>
          <w:rFonts w:ascii="Calibri" w:eastAsia="Calibri" w:hAnsi="Calibri" w:cs="Calibri"/>
          <w:i/>
          <w:iCs/>
          <w:sz w:val="20"/>
          <w:szCs w:val="20"/>
          <w:lang w:val="fr-BE"/>
        </w:rPr>
        <w:t xml:space="preserve">Comparaître </w:t>
      </w:r>
      <w:r w:rsidRPr="00C27636">
        <w:rPr>
          <w:rFonts w:ascii="Calibri" w:eastAsia="Calibri" w:hAnsi="Calibri" w:cs="Calibri"/>
          <w:i/>
          <w:iCs/>
          <w:sz w:val="20"/>
          <w:szCs w:val="20"/>
          <w:lang w:val="fr-BE"/>
        </w:rPr>
        <w:t>devant le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juge de la jeunesse. Etude de l’interaction entre le juge et le mineur</w:t>
      </w:r>
      <w:r w:rsidRPr="00C27636">
        <w:rPr>
          <w:rFonts w:ascii="Calibri" w:eastAsia="Calibri" w:hAnsi="Calibri" w:cs="Calibri"/>
          <w:sz w:val="20"/>
          <w:szCs w:val="20"/>
          <w:lang w:val="fr-BE"/>
        </w:rPr>
        <w:t>, doct. VUB, 2012-2013 :</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évoque le paradoxe entre, d’une part, le modèle paternaliste et tutélaire (largement critiqué par les mineurs) et, d’autre part, le besoin de respecter</w:t>
      </w:r>
      <w:r w:rsidRPr="00C27636">
        <w:rPr>
          <w:rFonts w:ascii="Calibri" w:eastAsia="Calibri" w:hAnsi="Calibri" w:cs="Calibri"/>
          <w:sz w:val="20"/>
          <w:szCs w:val="20"/>
          <w:lang w:val="fr-BE"/>
        </w:rPr>
        <w:t xml:space="preserve"> les principes de la présomption d’innocence et du procès équitable. </w:t>
      </w:r>
      <w:r>
        <w:rPr>
          <w:rFonts w:ascii="Calibri" w:eastAsia="Calibri" w:hAnsi="Calibri" w:cs="Calibri"/>
          <w:sz w:val="20"/>
          <w:szCs w:val="20"/>
        </w:rPr>
        <w:t>Témoignages très divers de la part des jeunes. P. 470 :</w:t>
      </w:r>
    </w:p>
    <w:p w:rsidR="00AC12B4" w:rsidRDefault="00AC12B4">
      <w:pPr>
        <w:spacing w:line="52" w:lineRule="exact"/>
        <w:rPr>
          <w:rFonts w:ascii="Courier New" w:eastAsia="Courier New" w:hAnsi="Courier New" w:cs="Courier New"/>
          <w:sz w:val="20"/>
          <w:szCs w:val="20"/>
        </w:rPr>
      </w:pPr>
    </w:p>
    <w:p w:rsidR="00AC12B4" w:rsidRPr="00C27636" w:rsidRDefault="00C27636">
      <w:pPr>
        <w:spacing w:line="260" w:lineRule="auto"/>
        <w:ind w:left="495" w:right="737"/>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 Sans pouvoir l’affirmer, nous ne pouvons pas non plus exclure l’hypothèse selon laquelle les mineurs lient leur sentiment d’être</w:t>
      </w:r>
    </w:p>
    <w:p w:rsidR="00AC12B4" w:rsidRPr="00C27636" w:rsidRDefault="00AC12B4">
      <w:pPr>
        <w:spacing w:line="65" w:lineRule="exact"/>
        <w:rPr>
          <w:rFonts w:ascii="Calibri" w:eastAsia="Calibri" w:hAnsi="Calibri" w:cs="Calibri"/>
          <w:color w:val="0000FF"/>
          <w:sz w:val="20"/>
          <w:szCs w:val="20"/>
          <w:u w:val="single"/>
          <w:lang w:val="fr-BE"/>
        </w:rPr>
      </w:pPr>
    </w:p>
    <w:p w:rsidR="00AC12B4" w:rsidRPr="00C27636" w:rsidRDefault="00C27636">
      <w:pPr>
        <w:spacing w:line="235" w:lineRule="auto"/>
        <w:ind w:left="495" w:right="737"/>
        <w:rPr>
          <w:sz w:val="20"/>
          <w:szCs w:val="20"/>
          <w:lang w:val="fr-BE"/>
        </w:rPr>
      </w:pPr>
      <w:r w:rsidRPr="00C27636">
        <w:rPr>
          <w:rFonts w:ascii="Calibri" w:eastAsia="Calibri" w:hAnsi="Calibri" w:cs="Calibri"/>
          <w:sz w:val="20"/>
          <w:szCs w:val="20"/>
          <w:lang w:val="fr-BE"/>
        </w:rPr>
        <w:t>entendus avec la conformité de la décision avec leur(s) demande(s). »</w:t>
      </w:r>
    </w:p>
    <w:p w:rsidR="00AC12B4" w:rsidRPr="00C27636" w:rsidRDefault="00AC12B4">
      <w:pPr>
        <w:spacing w:line="84" w:lineRule="exact"/>
        <w:rPr>
          <w:rFonts w:ascii="Calibri" w:eastAsia="Calibri" w:hAnsi="Calibri" w:cs="Calibri"/>
          <w:color w:val="0000FF"/>
          <w:sz w:val="20"/>
          <w:szCs w:val="20"/>
          <w:u w:val="single"/>
          <w:lang w:val="fr-BE"/>
        </w:rPr>
      </w:pPr>
    </w:p>
    <w:p w:rsidR="00AC12B4" w:rsidRPr="00C27636" w:rsidRDefault="00C27636">
      <w:pPr>
        <w:numPr>
          <w:ilvl w:val="0"/>
          <w:numId w:val="359"/>
        </w:numPr>
        <w:tabs>
          <w:tab w:val="left" w:pos="495"/>
        </w:tabs>
        <w:spacing w:line="265" w:lineRule="auto"/>
        <w:ind w:left="495" w:right="737" w:hanging="363"/>
        <w:jc w:val="both"/>
        <w:rPr>
          <w:rFonts w:ascii="Courier New" w:eastAsia="Courier New" w:hAnsi="Courier New" w:cs="Courier New"/>
          <w:sz w:val="20"/>
          <w:szCs w:val="20"/>
          <w:lang w:val="nl-NL"/>
        </w:rPr>
      </w:pPr>
      <w:r w:rsidRPr="00C27636">
        <w:rPr>
          <w:rFonts w:ascii="Calibri" w:eastAsia="Calibri" w:hAnsi="Calibri" w:cs="Calibri"/>
          <w:sz w:val="20"/>
          <w:szCs w:val="20"/>
          <w:lang w:val="nl-NL"/>
        </w:rPr>
        <w:t xml:space="preserve">Étude en cours à suivre : Jaspers, Y., </w:t>
      </w:r>
      <w:r w:rsidRPr="00C27636">
        <w:rPr>
          <w:rFonts w:ascii="Calibri" w:eastAsia="Calibri" w:hAnsi="Calibri" w:cs="Calibri"/>
          <w:i/>
          <w:iCs/>
          <w:sz w:val="20"/>
          <w:szCs w:val="20"/>
          <w:lang w:val="nl-NL"/>
        </w:rPr>
        <w:t>Trajecten van uithandengegeven jeugddelinquenten: een kwalitatief onderzoek naar de gevolgen van de uithandengeving op de justitiële trajecten i</w:t>
      </w:r>
      <w:r w:rsidRPr="00C27636">
        <w:rPr>
          <w:rFonts w:ascii="Calibri" w:eastAsia="Calibri" w:hAnsi="Calibri" w:cs="Calibri"/>
          <w:i/>
          <w:iCs/>
          <w:sz w:val="20"/>
          <w:szCs w:val="20"/>
          <w:lang w:val="nl-NL"/>
        </w:rPr>
        <w:t>n de jongvolwassenheid</w:t>
      </w:r>
      <w:r w:rsidRPr="00C27636">
        <w:rPr>
          <w:rFonts w:ascii="Calibri" w:eastAsia="Calibri" w:hAnsi="Calibri" w:cs="Calibri"/>
          <w:sz w:val="20"/>
          <w:szCs w:val="20"/>
          <w:lang w:val="nl-NL"/>
        </w:rPr>
        <w:t>,</w:t>
      </w:r>
    </w:p>
    <w:p w:rsidR="00AC12B4" w:rsidRPr="00C27636" w:rsidRDefault="00AC12B4">
      <w:pPr>
        <w:spacing w:line="14" w:lineRule="exact"/>
        <w:rPr>
          <w:rFonts w:ascii="Calibri" w:eastAsia="Calibri" w:hAnsi="Calibri" w:cs="Calibri"/>
          <w:color w:val="0000FF"/>
          <w:sz w:val="20"/>
          <w:szCs w:val="20"/>
          <w:u w:val="single"/>
          <w:lang w:val="nl-NL"/>
        </w:rPr>
      </w:pPr>
    </w:p>
    <w:p w:rsidR="00AC12B4" w:rsidRDefault="00C27636">
      <w:pPr>
        <w:ind w:left="495"/>
        <w:rPr>
          <w:sz w:val="20"/>
          <w:szCs w:val="20"/>
        </w:rPr>
      </w:pPr>
      <w:r>
        <w:rPr>
          <w:rFonts w:ascii="Calibri" w:eastAsia="Calibri" w:hAnsi="Calibri" w:cs="Calibri"/>
          <w:sz w:val="20"/>
          <w:szCs w:val="20"/>
        </w:rPr>
        <w:t>VUB (2017).</w:t>
      </w:r>
    </w:p>
    <w:p w:rsidR="00AC12B4" w:rsidRDefault="00AC12B4">
      <w:pPr>
        <w:spacing w:line="83" w:lineRule="exact"/>
        <w:rPr>
          <w:rFonts w:ascii="Calibri" w:eastAsia="Calibri" w:hAnsi="Calibri" w:cs="Calibri"/>
          <w:color w:val="0000FF"/>
          <w:sz w:val="20"/>
          <w:szCs w:val="20"/>
          <w:u w:val="single"/>
        </w:rPr>
      </w:pPr>
    </w:p>
    <w:p w:rsidR="00AC12B4" w:rsidRPr="00C27636" w:rsidRDefault="00C27636">
      <w:pPr>
        <w:numPr>
          <w:ilvl w:val="0"/>
          <w:numId w:val="360"/>
        </w:numPr>
        <w:tabs>
          <w:tab w:val="left" w:pos="495"/>
        </w:tabs>
        <w:spacing w:line="272" w:lineRule="auto"/>
        <w:ind w:left="495" w:right="737" w:hanging="363"/>
        <w:jc w:val="both"/>
        <w:rPr>
          <w:rFonts w:ascii="Courier New" w:eastAsia="Courier New" w:hAnsi="Courier New" w:cs="Courier New"/>
          <w:sz w:val="20"/>
          <w:szCs w:val="20"/>
          <w:lang w:val="fr-BE"/>
        </w:rPr>
      </w:pPr>
      <w:r w:rsidRPr="00C27636">
        <w:rPr>
          <w:rFonts w:ascii="Calibri" w:eastAsia="Calibri" w:hAnsi="Calibri" w:cs="Calibri"/>
          <w:sz w:val="20"/>
          <w:szCs w:val="20"/>
          <w:lang w:val="fr-BE"/>
        </w:rPr>
        <w:t xml:space="preserve">Étude en cours à suivre : Christiaens, J. en Dumortier, E., </w:t>
      </w:r>
      <w:r w:rsidRPr="00C27636">
        <w:rPr>
          <w:rFonts w:ascii="Calibri" w:eastAsia="Calibri" w:hAnsi="Calibri" w:cs="Calibri"/>
          <w:i/>
          <w:iCs/>
          <w:sz w:val="20"/>
          <w:szCs w:val="20"/>
          <w:lang w:val="fr-BE"/>
        </w:rPr>
        <w:t>Pathways of</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transferred juvenile delinquents: A qualitative study about the consequences of transfer on criminal justice pathways into (young) adulthood</w:t>
      </w:r>
      <w:r w:rsidRPr="00C27636">
        <w:rPr>
          <w:rFonts w:ascii="Calibri" w:eastAsia="Calibri" w:hAnsi="Calibri" w:cs="Calibri"/>
          <w:sz w:val="20"/>
          <w:szCs w:val="20"/>
          <w:lang w:val="fr-BE"/>
        </w:rPr>
        <w:t xml:space="preserve">, </w:t>
      </w:r>
      <w:r w:rsidRPr="00C27636">
        <w:rPr>
          <w:rFonts w:ascii="Calibri" w:eastAsia="Calibri" w:hAnsi="Calibri" w:cs="Calibri"/>
          <w:sz w:val="20"/>
          <w:szCs w:val="20"/>
          <w:lang w:val="fr-BE"/>
        </w:rPr>
        <w:t>2013-2016 : est élaborée</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sur la base d'une étude précédente auprès de 210 jeunes qui avaient été dessaisis auparavant et dont il est ressorti que dans un délai de 4 à 6 ans, plus de la moitié avait récidivé, et ce pour des faits plus graves que les délinqu</w:t>
      </w:r>
      <w:r w:rsidRPr="00C27636">
        <w:rPr>
          <w:rFonts w:ascii="Calibri" w:eastAsia="Calibri" w:hAnsi="Calibri" w:cs="Calibri"/>
          <w:sz w:val="20"/>
          <w:szCs w:val="20"/>
          <w:lang w:val="fr-BE"/>
        </w:rPr>
        <w:t>ants mineurs qui n'avaient pas été dessaisis.</w:t>
      </w:r>
    </w:p>
    <w:p w:rsidR="00AC12B4" w:rsidRPr="00C27636" w:rsidRDefault="00AC12B4">
      <w:pPr>
        <w:rPr>
          <w:lang w:val="fr-BE"/>
        </w:rPr>
        <w:sectPr w:rsidR="00AC12B4" w:rsidRPr="00C27636">
          <w:pgSz w:w="12080" w:h="17179"/>
          <w:pgMar w:top="1440" w:right="1440" w:bottom="659" w:left="427" w:header="0" w:footer="0" w:gutter="0"/>
          <w:cols w:num="3" w:space="720" w:equalWidth="0">
            <w:col w:w="330" w:space="3"/>
            <w:col w:w="5080" w:space="545"/>
            <w:col w:w="4251"/>
          </w:cols>
        </w:sectPr>
      </w:pPr>
    </w:p>
    <w:bookmarkStart w:id="182" w:name="page183"/>
    <w:bookmarkEnd w:id="182"/>
    <w:p w:rsidR="00AC12B4" w:rsidRPr="00C27636" w:rsidRDefault="00C27636">
      <w:pPr>
        <w:spacing w:line="164" w:lineRule="exact"/>
        <w:rPr>
          <w:sz w:val="20"/>
          <w:szCs w:val="20"/>
          <w:lang w:val="fr-BE"/>
        </w:rPr>
      </w:pPr>
      <w:r>
        <w:rPr>
          <w:noProof/>
          <w:sz w:val="20"/>
          <w:szCs w:val="20"/>
        </w:rPr>
        <w:lastRenderedPageBreak/>
        <mc:AlternateContent>
          <mc:Choice Requires="wps">
            <w:drawing>
              <wp:anchor distT="0" distB="0" distL="114300" distR="114300" simplePos="0" relativeHeight="251881984" behindDoc="1" locked="0" layoutInCell="0" allowOverlap="1">
                <wp:simplePos x="0" y="0"/>
                <wp:positionH relativeFrom="page">
                  <wp:posOffset>6962140</wp:posOffset>
                </wp:positionH>
                <wp:positionV relativeFrom="page">
                  <wp:posOffset>0</wp:posOffset>
                </wp:positionV>
                <wp:extent cx="701040" cy="10908665"/>
                <wp:effectExtent l="0" t="0" r="0" b="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53" o:spid="_x0000_s1578" style="position:absolute;margin-left:548.2pt;margin-top:0pt;width:55.2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tbl>
      <w:tblPr>
        <w:tblW w:w="0" w:type="auto"/>
        <w:tblInd w:w="640" w:type="dxa"/>
        <w:tblLayout w:type="fixed"/>
        <w:tblCellMar>
          <w:left w:w="0" w:type="dxa"/>
          <w:right w:w="0" w:type="dxa"/>
        </w:tblCellMar>
        <w:tblLook w:val="04A0" w:firstRow="1" w:lastRow="0" w:firstColumn="1" w:lastColumn="0" w:noHBand="0" w:noVBand="1"/>
      </w:tblPr>
      <w:tblGrid>
        <w:gridCol w:w="4940"/>
        <w:gridCol w:w="2600"/>
        <w:gridCol w:w="800"/>
      </w:tblGrid>
      <w:tr w:rsidR="00AC12B4" w:rsidRPr="00C27636">
        <w:trPr>
          <w:trHeight w:val="256"/>
        </w:trPr>
        <w:tc>
          <w:tcPr>
            <w:tcW w:w="4940" w:type="dxa"/>
            <w:vAlign w:val="bottom"/>
          </w:tcPr>
          <w:p w:rsidR="00AC12B4" w:rsidRDefault="00C27636">
            <w:pPr>
              <w:rPr>
                <w:sz w:val="20"/>
                <w:szCs w:val="20"/>
              </w:rPr>
            </w:pPr>
            <w:r>
              <w:rPr>
                <w:rFonts w:ascii="Symbol" w:eastAsia="Symbol" w:hAnsi="Symbol" w:cs="Symbol"/>
                <w:color w:val="000000"/>
                <w:sz w:val="20"/>
                <w:szCs w:val="20"/>
              </w:rPr>
              <w:t></w:t>
            </w:r>
            <w:r>
              <w:rPr>
                <w:rFonts w:ascii="Calibri" w:eastAsia="Calibri" w:hAnsi="Calibri" w:cs="Calibri"/>
                <w:b/>
                <w:bCs/>
                <w:i/>
                <w:iCs/>
                <w:color w:val="CF9901"/>
                <w:sz w:val="20"/>
                <w:szCs w:val="20"/>
              </w:rPr>
              <w:t xml:space="preserve">  Children’s rights behind bars </w:t>
            </w:r>
            <w:r>
              <w:rPr>
                <w:rFonts w:ascii="Calibri" w:eastAsia="Calibri" w:hAnsi="Calibri" w:cs="Calibri"/>
                <w:b/>
                <w:bCs/>
                <w:i/>
                <w:iCs/>
                <w:color w:val="D99594"/>
                <w:sz w:val="20"/>
                <w:szCs w:val="20"/>
              </w:rPr>
              <w:t>:</w:t>
            </w:r>
            <w:r>
              <w:rPr>
                <w:rFonts w:ascii="Calibri" w:eastAsia="Calibri" w:hAnsi="Calibri" w:cs="Calibri"/>
                <w:b/>
                <w:bCs/>
                <w:i/>
                <w:iCs/>
                <w:color w:val="CF9901"/>
                <w:sz w:val="20"/>
                <w:szCs w:val="20"/>
              </w:rPr>
              <w:t xml:space="preserve"> </w:t>
            </w:r>
            <w:r>
              <w:rPr>
                <w:rFonts w:ascii="Calibri" w:eastAsia="Calibri" w:hAnsi="Calibri" w:cs="Calibri"/>
                <w:color w:val="000000"/>
                <w:sz w:val="20"/>
                <w:szCs w:val="20"/>
              </w:rPr>
              <w:t>étude de</w:t>
            </w:r>
          </w:p>
        </w:tc>
        <w:tc>
          <w:tcPr>
            <w:tcW w:w="3400" w:type="dxa"/>
            <w:gridSpan w:val="2"/>
            <w:vAlign w:val="bottom"/>
          </w:tcPr>
          <w:p w:rsidR="00AC12B4" w:rsidRPr="00C27636" w:rsidRDefault="00C27636">
            <w:pPr>
              <w:rPr>
                <w:sz w:val="20"/>
                <w:szCs w:val="20"/>
                <w:lang w:val="fr-BE"/>
              </w:rPr>
            </w:pPr>
            <w:r w:rsidRPr="00C27636">
              <w:rPr>
                <w:rFonts w:ascii="Calibri" w:eastAsia="Calibri" w:hAnsi="Calibri" w:cs="Calibri"/>
                <w:sz w:val="20"/>
                <w:szCs w:val="20"/>
                <w:lang w:val="fr-BE"/>
              </w:rPr>
              <w:t>privation de liberté pour mineurs.</w:t>
            </w:r>
          </w:p>
        </w:tc>
      </w:tr>
      <w:tr w:rsidR="00AC12B4">
        <w:trPr>
          <w:trHeight w:val="242"/>
        </w:trPr>
        <w:tc>
          <w:tcPr>
            <w:tcW w:w="4940" w:type="dxa"/>
            <w:vAlign w:val="bottom"/>
          </w:tcPr>
          <w:p w:rsidR="00AC12B4" w:rsidRPr="00C27636" w:rsidRDefault="00C27636">
            <w:pPr>
              <w:spacing w:line="243" w:lineRule="exact"/>
              <w:ind w:left="360"/>
              <w:rPr>
                <w:sz w:val="20"/>
                <w:szCs w:val="20"/>
                <w:lang w:val="fr-BE"/>
              </w:rPr>
            </w:pPr>
            <w:r w:rsidRPr="00C27636">
              <w:rPr>
                <w:rFonts w:ascii="Calibri" w:eastAsia="Calibri" w:hAnsi="Calibri" w:cs="Calibri"/>
                <w:sz w:val="20"/>
                <w:szCs w:val="20"/>
                <w:lang w:val="fr-BE"/>
              </w:rPr>
              <w:t>DEI Belgique sur les mécanismes de</w:t>
            </w:r>
          </w:p>
        </w:tc>
        <w:tc>
          <w:tcPr>
            <w:tcW w:w="3400" w:type="dxa"/>
            <w:gridSpan w:val="2"/>
            <w:tcBorders>
              <w:bottom w:val="single" w:sz="8" w:space="0" w:color="0000FF"/>
            </w:tcBorders>
            <w:vAlign w:val="bottom"/>
          </w:tcPr>
          <w:p w:rsidR="00AC12B4" w:rsidRDefault="00C27636">
            <w:pPr>
              <w:spacing w:line="243" w:lineRule="exact"/>
              <w:rPr>
                <w:rFonts w:ascii="Calibri" w:eastAsia="Calibri" w:hAnsi="Calibri" w:cs="Calibri"/>
                <w:color w:val="0000FF"/>
                <w:w w:val="99"/>
                <w:sz w:val="20"/>
                <w:szCs w:val="20"/>
              </w:rPr>
            </w:pPr>
            <w:hyperlink r:id="rId339">
              <w:r>
                <w:rPr>
                  <w:rFonts w:ascii="Calibri" w:eastAsia="Calibri" w:hAnsi="Calibri" w:cs="Calibri"/>
                  <w:color w:val="0000FF"/>
                  <w:w w:val="99"/>
                  <w:sz w:val="20"/>
                  <w:szCs w:val="20"/>
                </w:rPr>
                <w:t>http://www.childrensrightsbehindbars.eu</w:t>
              </w:r>
            </w:hyperlink>
          </w:p>
        </w:tc>
      </w:tr>
      <w:tr w:rsidR="00AC12B4">
        <w:trPr>
          <w:trHeight w:val="261"/>
        </w:trPr>
        <w:tc>
          <w:tcPr>
            <w:tcW w:w="4940" w:type="dxa"/>
            <w:vAlign w:val="bottom"/>
          </w:tcPr>
          <w:p w:rsidR="00AC12B4" w:rsidRPr="00C27636" w:rsidRDefault="00C27636">
            <w:pPr>
              <w:ind w:left="360"/>
              <w:rPr>
                <w:sz w:val="20"/>
                <w:szCs w:val="20"/>
                <w:lang w:val="fr-BE"/>
              </w:rPr>
            </w:pPr>
            <w:r w:rsidRPr="00C27636">
              <w:rPr>
                <w:rFonts w:ascii="Calibri" w:eastAsia="Calibri" w:hAnsi="Calibri" w:cs="Calibri"/>
                <w:sz w:val="20"/>
                <w:szCs w:val="20"/>
                <w:lang w:val="fr-BE"/>
              </w:rPr>
              <w:t>contrôle et de plaintes pour les lieux de</w:t>
            </w:r>
          </w:p>
        </w:tc>
        <w:tc>
          <w:tcPr>
            <w:tcW w:w="2600" w:type="dxa"/>
            <w:tcBorders>
              <w:bottom w:val="single" w:sz="8" w:space="0" w:color="0000FF"/>
            </w:tcBorders>
            <w:vAlign w:val="bottom"/>
          </w:tcPr>
          <w:p w:rsidR="00AC12B4" w:rsidRDefault="00C27636">
            <w:pPr>
              <w:rPr>
                <w:rFonts w:ascii="Calibri" w:eastAsia="Calibri" w:hAnsi="Calibri" w:cs="Calibri"/>
                <w:color w:val="0000FF"/>
                <w:w w:val="99"/>
                <w:sz w:val="20"/>
                <w:szCs w:val="20"/>
              </w:rPr>
            </w:pPr>
            <w:hyperlink r:id="rId340">
              <w:r>
                <w:rPr>
                  <w:rFonts w:ascii="Calibri" w:eastAsia="Calibri" w:hAnsi="Calibri" w:cs="Calibri"/>
                  <w:color w:val="0000FF"/>
                  <w:w w:val="99"/>
                  <w:sz w:val="20"/>
                  <w:szCs w:val="20"/>
                </w:rPr>
                <w:t>/images/national-reports-2014/</w:t>
              </w:r>
            </w:hyperlink>
          </w:p>
        </w:tc>
        <w:tc>
          <w:tcPr>
            <w:tcW w:w="800" w:type="dxa"/>
            <w:vAlign w:val="bottom"/>
          </w:tcPr>
          <w:p w:rsidR="00AC12B4" w:rsidRDefault="00AC12B4"/>
        </w:tc>
      </w:tr>
    </w:tbl>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64" w:lineRule="exact"/>
        <w:rPr>
          <w:sz w:val="20"/>
          <w:szCs w:val="20"/>
        </w:rPr>
      </w:pPr>
    </w:p>
    <w:tbl>
      <w:tblPr>
        <w:tblW w:w="0" w:type="auto"/>
        <w:tblInd w:w="9833" w:type="dxa"/>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29" w:lineRule="auto"/>
        <w:ind w:left="4640"/>
        <w:rPr>
          <w:sz w:val="20"/>
          <w:szCs w:val="20"/>
          <w:lang w:val="fr-BE"/>
        </w:rPr>
      </w:pPr>
      <w:r w:rsidRPr="00C27636">
        <w:rPr>
          <w:rFonts w:ascii="Calibri" w:eastAsia="Calibri" w:hAnsi="Calibri" w:cs="Calibri"/>
          <w:lang w:val="fr-BE"/>
        </w:rPr>
        <w:t>183</w:t>
      </w:r>
    </w:p>
    <w:p w:rsidR="00AC12B4" w:rsidRPr="00C27636" w:rsidRDefault="00AC12B4">
      <w:pPr>
        <w:rPr>
          <w:lang w:val="fr-BE"/>
        </w:rPr>
        <w:sectPr w:rsidR="00AC12B4" w:rsidRPr="00C27636">
          <w:pgSz w:w="12080" w:h="17179"/>
          <w:pgMar w:top="1440" w:right="474" w:bottom="659" w:left="1440" w:header="0" w:footer="0" w:gutter="0"/>
          <w:cols w:space="720" w:equalWidth="0">
            <w:col w:w="10163"/>
          </w:cols>
        </w:sectPr>
      </w:pPr>
    </w:p>
    <w:p w:rsidR="00AC12B4" w:rsidRPr="00C27636" w:rsidRDefault="00AC12B4">
      <w:pPr>
        <w:spacing w:line="229" w:lineRule="auto"/>
        <w:rPr>
          <w:sz w:val="20"/>
          <w:szCs w:val="20"/>
          <w:lang w:val="fr-BE"/>
        </w:rPr>
      </w:pPr>
      <w:bookmarkStart w:id="183" w:name="page184"/>
      <w:bookmarkEnd w:id="183"/>
    </w:p>
    <w:p w:rsidR="00AC12B4" w:rsidRPr="00C27636" w:rsidRDefault="00AC12B4">
      <w:pPr>
        <w:rPr>
          <w:lang w:val="fr-BE"/>
        </w:rPr>
        <w:sectPr w:rsidR="00AC12B4" w:rsidRPr="00C27636">
          <w:pgSz w:w="12080" w:h="17179"/>
          <w:pgMar w:top="1440" w:right="1440" w:bottom="875" w:left="1440" w:header="0" w:footer="0" w:gutter="0"/>
          <w:cols w:space="0"/>
        </w:sectPr>
      </w:pPr>
    </w:p>
    <w:bookmarkStart w:id="184" w:name="page185"/>
    <w:bookmarkEnd w:id="184"/>
    <w:p w:rsidR="00AC12B4" w:rsidRPr="00C27636" w:rsidRDefault="00C27636">
      <w:pPr>
        <w:spacing w:line="168" w:lineRule="exact"/>
        <w:rPr>
          <w:sz w:val="20"/>
          <w:szCs w:val="20"/>
          <w:lang w:val="fr-BE"/>
        </w:rPr>
      </w:pPr>
      <w:r>
        <w:rPr>
          <w:noProof/>
          <w:sz w:val="20"/>
          <w:szCs w:val="20"/>
        </w:rPr>
        <w:lastRenderedPageBreak/>
        <mc:AlternateContent>
          <mc:Choice Requires="wps">
            <w:drawing>
              <wp:anchor distT="0" distB="0" distL="114300" distR="114300" simplePos="0" relativeHeight="251883008" behindDoc="1" locked="0" layoutInCell="0" allowOverlap="1">
                <wp:simplePos x="0" y="0"/>
                <wp:positionH relativeFrom="page">
                  <wp:posOffset>6962140</wp:posOffset>
                </wp:positionH>
                <wp:positionV relativeFrom="page">
                  <wp:posOffset>0</wp:posOffset>
                </wp:positionV>
                <wp:extent cx="701040" cy="10908665"/>
                <wp:effectExtent l="0" t="0" r="0" b="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54" o:spid="_x0000_s1579" style="position:absolute;margin-left:548.2pt;margin-top:0pt;width:55.2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Pr="00C27636" w:rsidRDefault="00C27636">
      <w:pPr>
        <w:spacing w:line="276" w:lineRule="auto"/>
        <w:ind w:left="880" w:right="1190"/>
        <w:rPr>
          <w:sz w:val="20"/>
          <w:szCs w:val="20"/>
          <w:lang w:val="fr-BE"/>
        </w:rPr>
      </w:pPr>
      <w:r w:rsidRPr="00C27636">
        <w:rPr>
          <w:rFonts w:ascii="Comic Sans MS" w:eastAsia="Comic Sans MS" w:hAnsi="Comic Sans MS" w:cs="Comic Sans MS"/>
          <w:color w:val="FEC930"/>
          <w:sz w:val="40"/>
          <w:szCs w:val="40"/>
          <w:lang w:val="fr-BE"/>
        </w:rPr>
        <w:t xml:space="preserve">MJ5. </w:t>
      </w:r>
      <w:r w:rsidRPr="00C27636">
        <w:rPr>
          <w:rFonts w:ascii="Comic Sans MS" w:eastAsia="Comic Sans MS" w:hAnsi="Comic Sans MS" w:cs="Comic Sans MS"/>
          <w:color w:val="FEC930"/>
          <w:sz w:val="40"/>
          <w:szCs w:val="40"/>
          <w:lang w:val="fr-BE"/>
        </w:rPr>
        <w:t>Participation dans le cadre d'un placement en régime ouvert ou fermé</w:t>
      </w:r>
    </w:p>
    <w:p w:rsidR="00AC12B4" w:rsidRPr="00C27636" w:rsidRDefault="00AC12B4">
      <w:pPr>
        <w:rPr>
          <w:lang w:val="fr-BE"/>
        </w:rPr>
        <w:sectPr w:rsidR="00AC12B4" w:rsidRPr="00C27636">
          <w:pgSz w:w="12080" w:h="17179"/>
          <w:pgMar w:top="1440" w:right="427" w:bottom="659" w:left="1120" w:header="0" w:footer="0" w:gutter="0"/>
          <w:cols w:space="720" w:equalWidth="0">
            <w:col w:w="10530"/>
          </w:cols>
        </w:sectPr>
      </w:pPr>
    </w:p>
    <w:p w:rsidR="00AC12B4" w:rsidRPr="00C27636" w:rsidRDefault="00AC12B4">
      <w:pPr>
        <w:spacing w:line="200" w:lineRule="exact"/>
        <w:rPr>
          <w:sz w:val="20"/>
          <w:szCs w:val="20"/>
          <w:lang w:val="fr-BE"/>
        </w:rPr>
      </w:pPr>
    </w:p>
    <w:p w:rsidR="00AC12B4" w:rsidRPr="00C27636" w:rsidRDefault="00AC12B4">
      <w:pPr>
        <w:spacing w:line="238" w:lineRule="exact"/>
        <w:rPr>
          <w:sz w:val="20"/>
          <w:szCs w:val="20"/>
          <w:lang w:val="fr-BE"/>
        </w:rPr>
      </w:pPr>
    </w:p>
    <w:p w:rsidR="00AC12B4" w:rsidRDefault="00C27636">
      <w:pPr>
        <w:rPr>
          <w:sz w:val="20"/>
          <w:szCs w:val="20"/>
        </w:rPr>
      </w:pPr>
      <w:r>
        <w:rPr>
          <w:rFonts w:ascii="Calibri" w:eastAsia="Calibri" w:hAnsi="Calibri" w:cs="Calibri"/>
          <w:i/>
          <w:iCs/>
          <w:color w:val="FFFFFF"/>
        </w:rPr>
        <w:t>Article 12 CIDE</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884032" behindDoc="1" locked="0" layoutInCell="0" allowOverlap="1">
                <wp:simplePos x="0" y="0"/>
                <wp:positionH relativeFrom="column">
                  <wp:posOffset>-351155</wp:posOffset>
                </wp:positionH>
                <wp:positionV relativeFrom="paragraph">
                  <wp:posOffset>-224155</wp:posOffset>
                </wp:positionV>
                <wp:extent cx="3559810" cy="1647825"/>
                <wp:effectExtent l="0" t="0" r="0" b="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647825"/>
                        </a:xfrm>
                        <a:prstGeom prst="rect">
                          <a:avLst/>
                        </a:prstGeom>
                        <a:solidFill>
                          <a:srgbClr val="FEC930"/>
                        </a:solidFill>
                      </wps:spPr>
                      <wps:bodyPr/>
                    </wps:wsp>
                  </a:graphicData>
                </a:graphic>
              </wp:anchor>
            </w:drawing>
          </mc:Choice>
          <mc:Fallback>
            <w:pict>
              <v:rect id="Shape 555" o:spid="_x0000_s1580" style="position:absolute;margin-left:-27.6499pt;margin-top:-17.6499pt;width:280.3pt;height:12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r>
        <w:rPr>
          <w:noProof/>
          <w:sz w:val="20"/>
          <w:szCs w:val="20"/>
        </w:rPr>
        <mc:AlternateContent>
          <mc:Choice Requires="wps">
            <w:drawing>
              <wp:anchor distT="0" distB="0" distL="114300" distR="114300" simplePos="0" relativeHeight="251885056" behindDoc="1" locked="0" layoutInCell="0" allowOverlap="1">
                <wp:simplePos x="0" y="0"/>
                <wp:positionH relativeFrom="column">
                  <wp:posOffset>3208655</wp:posOffset>
                </wp:positionH>
                <wp:positionV relativeFrom="paragraph">
                  <wp:posOffset>-236855</wp:posOffset>
                </wp:positionV>
                <wp:extent cx="0" cy="1673225"/>
                <wp:effectExtent l="0" t="0" r="0" b="0"/>
                <wp:wrapNone/>
                <wp:docPr id="556" name="Shape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73225"/>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56" o:spid="_x0000_s15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18.6499pt" to="252.65pt,113.1pt" o:allowincell="f" strokecolor="#CF9901" strokeweight="2pt"/>
            </w:pict>
          </mc:Fallback>
        </mc:AlternateContent>
      </w:r>
      <w:r>
        <w:rPr>
          <w:noProof/>
          <w:sz w:val="20"/>
          <w:szCs w:val="20"/>
        </w:rPr>
        <mc:AlternateContent>
          <mc:Choice Requires="wps">
            <w:drawing>
              <wp:anchor distT="0" distB="0" distL="114300" distR="114300" simplePos="0" relativeHeight="251886080" behindDoc="1" locked="0" layoutInCell="0" allowOverlap="1">
                <wp:simplePos x="0" y="0"/>
                <wp:positionH relativeFrom="column">
                  <wp:posOffset>-363855</wp:posOffset>
                </wp:positionH>
                <wp:positionV relativeFrom="paragraph">
                  <wp:posOffset>-224155</wp:posOffset>
                </wp:positionV>
                <wp:extent cx="3585210" cy="0"/>
                <wp:effectExtent l="0" t="0" r="0" b="0"/>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57" o:spid="_x0000_s1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7.6499pt" to="253.65pt,-17.6499pt" o:allowincell="f" strokecolor="#CF9901" strokeweight="2pt"/>
            </w:pict>
          </mc:Fallback>
        </mc:AlternateContent>
      </w:r>
      <w:r>
        <w:rPr>
          <w:noProof/>
          <w:sz w:val="20"/>
          <w:szCs w:val="20"/>
        </w:rPr>
        <mc:AlternateContent>
          <mc:Choice Requires="wps">
            <w:drawing>
              <wp:anchor distT="0" distB="0" distL="114300" distR="114300" simplePos="0" relativeHeight="251887104" behindDoc="1" locked="0" layoutInCell="0" allowOverlap="1">
                <wp:simplePos x="0" y="0"/>
                <wp:positionH relativeFrom="column">
                  <wp:posOffset>-351155</wp:posOffset>
                </wp:positionH>
                <wp:positionV relativeFrom="paragraph">
                  <wp:posOffset>-236855</wp:posOffset>
                </wp:positionV>
                <wp:extent cx="0" cy="1673225"/>
                <wp:effectExtent l="0" t="0" r="0" b="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73225"/>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8.6499pt" to="-27.6499pt,113.1pt" o:allowincell="f" strokecolor="#CF9901" strokeweight="2pt"/>
            </w:pict>
          </mc:Fallback>
        </mc:AlternateContent>
      </w:r>
      <w:r>
        <w:rPr>
          <w:noProof/>
          <w:sz w:val="20"/>
          <w:szCs w:val="20"/>
        </w:rPr>
        <mc:AlternateContent>
          <mc:Choice Requires="wps">
            <w:drawing>
              <wp:anchor distT="0" distB="0" distL="114300" distR="114300" simplePos="0" relativeHeight="251888128" behindDoc="1" locked="0" layoutInCell="0" allowOverlap="1">
                <wp:simplePos x="0" y="0"/>
                <wp:positionH relativeFrom="column">
                  <wp:posOffset>-363855</wp:posOffset>
                </wp:positionH>
                <wp:positionV relativeFrom="paragraph">
                  <wp:posOffset>1423670</wp:posOffset>
                </wp:positionV>
                <wp:extent cx="3585210" cy="0"/>
                <wp:effectExtent l="0" t="0" r="0" b="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CF9901"/>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12.1pt" to="253.65pt,112.1pt" o:allowincell="f" strokecolor="#CF9901" strokeweight="2pt"/>
            </w:pict>
          </mc:Fallback>
        </mc:AlternateContent>
      </w:r>
    </w:p>
    <w:p w:rsidR="00AC12B4" w:rsidRDefault="00AC12B4">
      <w:pPr>
        <w:spacing w:line="147" w:lineRule="exact"/>
        <w:rPr>
          <w:sz w:val="20"/>
          <w:szCs w:val="20"/>
        </w:rPr>
      </w:pPr>
    </w:p>
    <w:p w:rsidR="00AC12B4" w:rsidRPr="00C27636" w:rsidRDefault="00C27636">
      <w:pPr>
        <w:numPr>
          <w:ilvl w:val="0"/>
          <w:numId w:val="361"/>
        </w:numPr>
        <w:tabs>
          <w:tab w:val="left" w:pos="280"/>
        </w:tabs>
        <w:spacing w:line="232" w:lineRule="auto"/>
        <w:ind w:firstLine="8"/>
        <w:jc w:val="both"/>
        <w:rPr>
          <w:rFonts w:ascii="Calibri" w:eastAsia="Calibri" w:hAnsi="Calibri" w:cs="Calibri"/>
          <w:i/>
          <w:iCs/>
          <w:color w:val="FFFFFF"/>
          <w:lang w:val="fr-BE"/>
        </w:rPr>
      </w:pPr>
      <w:r w:rsidRPr="00C27636">
        <w:rPr>
          <w:rFonts w:ascii="Calibri" w:eastAsia="Calibri" w:hAnsi="Calibri" w:cs="Calibri"/>
          <w:i/>
          <w:iCs/>
          <w:color w:val="FFFFFF"/>
          <w:lang w:val="fr-BE"/>
        </w:rPr>
        <w:t xml:space="preserve">Les Etats parties garantissent à l’enfant qui est capable de discernement le droit d’exprimer librement son opinion sur toute question </w:t>
      </w:r>
      <w:r w:rsidRPr="00C27636">
        <w:rPr>
          <w:rFonts w:ascii="Calibri" w:eastAsia="Calibri" w:hAnsi="Calibri" w:cs="Calibri"/>
          <w:i/>
          <w:iCs/>
          <w:color w:val="FFFFFF"/>
          <w:lang w:val="fr-BE"/>
        </w:rPr>
        <w:t>l’intéressant, les opinions de l’enfant étant dûment prises en considération eu égard à son âge et à son degré de maturité.</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1" w:lineRule="exact"/>
        <w:rPr>
          <w:sz w:val="20"/>
          <w:szCs w:val="20"/>
          <w:lang w:val="fr-BE"/>
        </w:rPr>
      </w:pPr>
    </w:p>
    <w:p w:rsidR="00AC12B4" w:rsidRPr="00C27636" w:rsidRDefault="00C27636">
      <w:pPr>
        <w:spacing w:line="229" w:lineRule="auto"/>
        <w:ind w:left="880" w:right="140"/>
        <w:jc w:val="both"/>
        <w:rPr>
          <w:sz w:val="20"/>
          <w:szCs w:val="20"/>
          <w:lang w:val="fr-BE"/>
        </w:rPr>
      </w:pPr>
      <w:r w:rsidRPr="00C27636">
        <w:rPr>
          <w:rFonts w:ascii="Calibri" w:eastAsia="Calibri" w:hAnsi="Calibri" w:cs="Calibri"/>
          <w:lang w:val="fr-BE"/>
        </w:rPr>
        <w:t xml:space="preserve">Conformément aux articles 12 et suivants de l'observation générale n° 12 du Comité des droits de l'enfant (2009), chaque enfant </w:t>
      </w:r>
      <w:r w:rsidRPr="00C27636">
        <w:rPr>
          <w:rFonts w:ascii="Calibri" w:eastAsia="Calibri" w:hAnsi="Calibri" w:cs="Calibri"/>
          <w:lang w:val="fr-BE"/>
        </w:rPr>
        <w:t>a le droit d'avoir sa propre opinion,</w:t>
      </w:r>
    </w:p>
    <w:p w:rsidR="00AC12B4" w:rsidRPr="00C27636" w:rsidRDefault="00AC12B4">
      <w:pPr>
        <w:spacing w:line="48" w:lineRule="exact"/>
        <w:rPr>
          <w:sz w:val="20"/>
          <w:szCs w:val="20"/>
          <w:lang w:val="fr-BE"/>
        </w:rPr>
      </w:pPr>
    </w:p>
    <w:p w:rsidR="00AC12B4" w:rsidRPr="00C27636" w:rsidRDefault="00C27636">
      <w:pPr>
        <w:numPr>
          <w:ilvl w:val="0"/>
          <w:numId w:val="362"/>
        </w:numPr>
        <w:tabs>
          <w:tab w:val="left" w:pos="1048"/>
        </w:tabs>
        <w:spacing w:line="236" w:lineRule="auto"/>
        <w:ind w:left="880" w:right="140" w:firstLine="7"/>
        <w:jc w:val="both"/>
        <w:rPr>
          <w:rFonts w:ascii="Calibri" w:eastAsia="Calibri" w:hAnsi="Calibri" w:cs="Calibri"/>
          <w:lang w:val="fr-BE"/>
        </w:rPr>
      </w:pPr>
      <w:r w:rsidRPr="00C27636">
        <w:rPr>
          <w:rFonts w:ascii="Calibri" w:eastAsia="Calibri" w:hAnsi="Calibri" w:cs="Calibri"/>
          <w:lang w:val="fr-BE"/>
        </w:rPr>
        <w:t>laquelle on accorde un intérêt adapté en fonction de son âge ou de sa maturité. Dans le cadre de ses observations finales de 2010, le Comité des droits de l'enfant de l'ONU a encouragé la Belgique à promouvoir la part</w:t>
      </w:r>
      <w:r w:rsidRPr="00C27636">
        <w:rPr>
          <w:rFonts w:ascii="Calibri" w:eastAsia="Calibri" w:hAnsi="Calibri" w:cs="Calibri"/>
          <w:lang w:val="fr-BE"/>
        </w:rPr>
        <w:t>icipation de tous les enfants à tous les niveaux du gouvernement ainsi qu’au sein de la famille, de l’école et de la communauté, en apportant une attention particulière aux enfants en situation de vulnérabilité.</w:t>
      </w:r>
    </w:p>
    <w:p w:rsidR="00AC12B4" w:rsidRPr="00C27636" w:rsidRDefault="00AC12B4">
      <w:pPr>
        <w:spacing w:line="170" w:lineRule="exact"/>
        <w:rPr>
          <w:sz w:val="20"/>
          <w:szCs w:val="20"/>
          <w:lang w:val="fr-BE"/>
        </w:rPr>
      </w:pPr>
    </w:p>
    <w:p w:rsidR="00AC12B4" w:rsidRPr="00C27636" w:rsidRDefault="00C27636">
      <w:pPr>
        <w:spacing w:line="232" w:lineRule="auto"/>
        <w:ind w:left="880" w:right="140"/>
        <w:jc w:val="both"/>
        <w:rPr>
          <w:sz w:val="20"/>
          <w:szCs w:val="20"/>
          <w:lang w:val="fr-BE"/>
        </w:rPr>
      </w:pPr>
      <w:r w:rsidRPr="00C27636">
        <w:rPr>
          <w:rFonts w:ascii="Calibri" w:eastAsia="Calibri" w:hAnsi="Calibri" w:cs="Calibri"/>
          <w:lang w:val="fr-BE"/>
        </w:rPr>
        <w:t>Pour les mineurs placés sous contrainte, no</w:t>
      </w:r>
      <w:r w:rsidRPr="00C27636">
        <w:rPr>
          <w:rFonts w:ascii="Calibri" w:eastAsia="Calibri" w:hAnsi="Calibri" w:cs="Calibri"/>
          <w:lang w:val="fr-BE"/>
        </w:rPr>
        <w:t>us renvoyons à l'art. 37 de la CIDE, aux § 47 et 59 des observations finales de 2010 du Comité des droits de l'enfant des Nations Unies et au standard 10 de Q4C (quality for children).</w:t>
      </w:r>
    </w:p>
    <w:p w:rsidR="00AC12B4" w:rsidRPr="00C27636" w:rsidRDefault="00AC12B4">
      <w:pPr>
        <w:spacing w:line="175" w:lineRule="exact"/>
        <w:rPr>
          <w:sz w:val="20"/>
          <w:szCs w:val="20"/>
          <w:lang w:val="fr-BE"/>
        </w:rPr>
      </w:pPr>
    </w:p>
    <w:p w:rsidR="00AC12B4" w:rsidRPr="00C27636" w:rsidRDefault="00C27636">
      <w:pPr>
        <w:spacing w:line="228" w:lineRule="auto"/>
        <w:ind w:left="880" w:right="140"/>
        <w:jc w:val="both"/>
        <w:rPr>
          <w:sz w:val="20"/>
          <w:szCs w:val="20"/>
          <w:lang w:val="fr-BE"/>
        </w:rPr>
      </w:pPr>
      <w:r w:rsidRPr="00C27636">
        <w:rPr>
          <w:rFonts w:ascii="Calibri" w:eastAsia="Calibri" w:hAnsi="Calibri" w:cs="Calibri"/>
          <w:lang w:val="fr-BE"/>
        </w:rPr>
        <w:t>Dans ce cadre, un mécanisme de plaintes accessible et des mécanismes d</w:t>
      </w:r>
      <w:r w:rsidRPr="00C27636">
        <w:rPr>
          <w:rFonts w:ascii="Calibri" w:eastAsia="Calibri" w:hAnsi="Calibri" w:cs="Calibri"/>
          <w:lang w:val="fr-BE"/>
        </w:rPr>
        <w:t>e contrôle internes et externes (indépendants) s'imposent de manière générale.</w:t>
      </w:r>
    </w:p>
    <w:p w:rsidR="00AC12B4" w:rsidRPr="00C27636" w:rsidRDefault="00AC12B4">
      <w:pPr>
        <w:spacing w:line="212" w:lineRule="exact"/>
        <w:rPr>
          <w:sz w:val="20"/>
          <w:szCs w:val="20"/>
          <w:lang w:val="fr-BE"/>
        </w:rPr>
      </w:pPr>
    </w:p>
    <w:p w:rsidR="00AC12B4" w:rsidRPr="00C27636" w:rsidRDefault="00C27636">
      <w:pPr>
        <w:spacing w:line="275" w:lineRule="auto"/>
        <w:ind w:left="880" w:right="140"/>
        <w:jc w:val="both"/>
        <w:rPr>
          <w:sz w:val="20"/>
          <w:szCs w:val="20"/>
          <w:lang w:val="fr-BE"/>
        </w:rPr>
      </w:pPr>
      <w:r w:rsidRPr="00C27636">
        <w:rPr>
          <w:rFonts w:ascii="Cambria" w:eastAsia="Cambria" w:hAnsi="Cambria" w:cs="Cambria"/>
          <w:b/>
          <w:bCs/>
          <w:i/>
          <w:iCs/>
          <w:color w:val="CF9901"/>
          <w:sz w:val="26"/>
          <w:szCs w:val="26"/>
          <w:lang w:val="fr-BE"/>
        </w:rPr>
        <w:t>Les mécanismes de plaintes : état des lieux</w:t>
      </w:r>
    </w:p>
    <w:p w:rsidR="00AC12B4" w:rsidRPr="00C27636" w:rsidRDefault="00AC12B4">
      <w:pPr>
        <w:spacing w:line="164" w:lineRule="exact"/>
        <w:rPr>
          <w:sz w:val="20"/>
          <w:szCs w:val="20"/>
          <w:lang w:val="fr-BE"/>
        </w:rPr>
      </w:pPr>
    </w:p>
    <w:p w:rsidR="00AC12B4" w:rsidRPr="00C27636" w:rsidRDefault="00C27636">
      <w:pPr>
        <w:spacing w:line="228" w:lineRule="auto"/>
        <w:ind w:left="880" w:right="140"/>
        <w:jc w:val="both"/>
        <w:rPr>
          <w:sz w:val="20"/>
          <w:szCs w:val="20"/>
          <w:lang w:val="fr-BE"/>
        </w:rPr>
      </w:pPr>
      <w:r w:rsidRPr="00C27636">
        <w:rPr>
          <w:rFonts w:ascii="Calibri" w:eastAsia="Calibri" w:hAnsi="Calibri" w:cs="Calibri"/>
          <w:lang w:val="fr-BE"/>
        </w:rPr>
        <w:t xml:space="preserve">La revendication de mécanismes de contrôle externe et de plainte pour tout lieu de placement de mineurs reste d’actualité comme </w:t>
      </w:r>
      <w:r w:rsidRPr="00C27636">
        <w:rPr>
          <w:rFonts w:ascii="Calibri" w:eastAsia="Calibri" w:hAnsi="Calibri" w:cs="Calibri"/>
          <w:lang w:val="fr-BE"/>
        </w:rPr>
        <w:t>condition nécessaire à</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22" w:lineRule="exact"/>
        <w:rPr>
          <w:sz w:val="20"/>
          <w:szCs w:val="20"/>
          <w:lang w:val="fr-BE"/>
        </w:rPr>
      </w:pPr>
    </w:p>
    <w:p w:rsidR="00AC12B4" w:rsidRPr="00C27636" w:rsidRDefault="00C27636">
      <w:pPr>
        <w:spacing w:line="218" w:lineRule="auto"/>
        <w:ind w:left="8" w:right="860"/>
        <w:jc w:val="both"/>
        <w:rPr>
          <w:sz w:val="20"/>
          <w:szCs w:val="20"/>
          <w:lang w:val="fr-BE"/>
        </w:rPr>
      </w:pPr>
      <w:r w:rsidRPr="00C27636">
        <w:rPr>
          <w:rFonts w:ascii="Calibri" w:eastAsia="Calibri" w:hAnsi="Calibri" w:cs="Calibri"/>
          <w:lang w:val="fr-BE"/>
        </w:rPr>
        <w:t>un bon respect du droit de l’enfant à la participation et à être entendu.</w:t>
      </w:r>
    </w:p>
    <w:p w:rsidR="00AC12B4" w:rsidRPr="00C27636" w:rsidRDefault="00AC12B4">
      <w:pPr>
        <w:spacing w:line="121" w:lineRule="exact"/>
        <w:rPr>
          <w:sz w:val="20"/>
          <w:szCs w:val="20"/>
          <w:lang w:val="fr-BE"/>
        </w:rPr>
      </w:pPr>
    </w:p>
    <w:p w:rsidR="00AC12B4" w:rsidRDefault="00C27636">
      <w:pPr>
        <w:ind w:left="8"/>
        <w:rPr>
          <w:sz w:val="20"/>
          <w:szCs w:val="20"/>
        </w:rPr>
      </w:pPr>
      <w:r>
        <w:rPr>
          <w:rFonts w:ascii="Calibri" w:eastAsia="Calibri" w:hAnsi="Calibri" w:cs="Calibri"/>
          <w:b/>
          <w:bCs/>
        </w:rPr>
        <w:t>Quant aux jeunes en IPPJ</w:t>
      </w:r>
    </w:p>
    <w:p w:rsidR="00AC12B4" w:rsidRDefault="00AC12B4">
      <w:pPr>
        <w:spacing w:line="120" w:lineRule="exact"/>
        <w:rPr>
          <w:sz w:val="20"/>
          <w:szCs w:val="20"/>
        </w:rPr>
      </w:pPr>
    </w:p>
    <w:tbl>
      <w:tblPr>
        <w:tblW w:w="0" w:type="auto"/>
        <w:tblInd w:w="8" w:type="dxa"/>
        <w:tblLayout w:type="fixed"/>
        <w:tblCellMar>
          <w:left w:w="0" w:type="dxa"/>
          <w:right w:w="0" w:type="dxa"/>
        </w:tblCellMar>
        <w:tblLook w:val="04A0" w:firstRow="1" w:lastRow="0" w:firstColumn="1" w:lastColumn="0" w:noHBand="0" w:noVBand="1"/>
      </w:tblPr>
      <w:tblGrid>
        <w:gridCol w:w="420"/>
        <w:gridCol w:w="320"/>
        <w:gridCol w:w="240"/>
        <w:gridCol w:w="420"/>
        <w:gridCol w:w="120"/>
        <w:gridCol w:w="740"/>
        <w:gridCol w:w="360"/>
        <w:gridCol w:w="720"/>
        <w:gridCol w:w="820"/>
        <w:gridCol w:w="560"/>
        <w:gridCol w:w="30"/>
      </w:tblGrid>
      <w:tr w:rsidR="00AC12B4">
        <w:trPr>
          <w:trHeight w:val="294"/>
        </w:trPr>
        <w:tc>
          <w:tcPr>
            <w:tcW w:w="420" w:type="dxa"/>
            <w:vAlign w:val="bottom"/>
          </w:tcPr>
          <w:p w:rsidR="00AC12B4" w:rsidRDefault="00C27636">
            <w:pPr>
              <w:rPr>
                <w:sz w:val="20"/>
                <w:szCs w:val="20"/>
              </w:rPr>
            </w:pPr>
            <w:r>
              <w:rPr>
                <w:rFonts w:ascii="Calibri" w:eastAsia="Calibri" w:hAnsi="Calibri" w:cs="Calibri"/>
              </w:rPr>
              <w:t>La</w:t>
            </w:r>
          </w:p>
        </w:tc>
        <w:tc>
          <w:tcPr>
            <w:tcW w:w="1840" w:type="dxa"/>
            <w:gridSpan w:val="5"/>
            <w:vAlign w:val="bottom"/>
          </w:tcPr>
          <w:p w:rsidR="00AC12B4" w:rsidRDefault="00C27636">
            <w:pPr>
              <w:ind w:right="230"/>
              <w:jc w:val="center"/>
              <w:rPr>
                <w:sz w:val="20"/>
                <w:szCs w:val="20"/>
              </w:rPr>
            </w:pPr>
            <w:r>
              <w:rPr>
                <w:rFonts w:ascii="Calibri" w:eastAsia="Calibri" w:hAnsi="Calibri" w:cs="Calibri"/>
                <w:w w:val="99"/>
              </w:rPr>
              <w:t>réglementation</w:t>
            </w:r>
          </w:p>
        </w:tc>
        <w:tc>
          <w:tcPr>
            <w:tcW w:w="360" w:type="dxa"/>
            <w:tcBorders>
              <w:bottom w:val="single" w:sz="8" w:space="0" w:color="FEC930"/>
            </w:tcBorders>
            <w:vAlign w:val="bottom"/>
          </w:tcPr>
          <w:p w:rsidR="00AC12B4" w:rsidRDefault="00AC12B4">
            <w:pPr>
              <w:rPr>
                <w:sz w:val="24"/>
                <w:szCs w:val="24"/>
              </w:rPr>
            </w:pPr>
          </w:p>
        </w:tc>
        <w:tc>
          <w:tcPr>
            <w:tcW w:w="720" w:type="dxa"/>
            <w:tcBorders>
              <w:bottom w:val="single" w:sz="8" w:space="0" w:color="FEC930"/>
            </w:tcBorders>
            <w:vAlign w:val="bottom"/>
          </w:tcPr>
          <w:p w:rsidR="00AC12B4" w:rsidRDefault="00AC12B4">
            <w:pPr>
              <w:rPr>
                <w:sz w:val="24"/>
                <w:szCs w:val="24"/>
              </w:rPr>
            </w:pPr>
          </w:p>
        </w:tc>
        <w:tc>
          <w:tcPr>
            <w:tcW w:w="820" w:type="dxa"/>
            <w:tcBorders>
              <w:bottom w:val="single" w:sz="8" w:space="0" w:color="FEC930"/>
            </w:tcBorders>
            <w:vAlign w:val="bottom"/>
          </w:tcPr>
          <w:p w:rsidR="00AC12B4" w:rsidRDefault="00AC12B4">
            <w:pPr>
              <w:rPr>
                <w:sz w:val="24"/>
                <w:szCs w:val="24"/>
              </w:rPr>
            </w:pPr>
          </w:p>
        </w:tc>
        <w:tc>
          <w:tcPr>
            <w:tcW w:w="560" w:type="dxa"/>
            <w:tcBorders>
              <w:bottom w:val="single" w:sz="8" w:space="0" w:color="FEC93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3"/>
        </w:trPr>
        <w:tc>
          <w:tcPr>
            <w:tcW w:w="420" w:type="dxa"/>
            <w:vAlign w:val="bottom"/>
          </w:tcPr>
          <w:p w:rsidR="00AC12B4" w:rsidRDefault="00C27636">
            <w:pPr>
              <w:spacing w:line="223" w:lineRule="exact"/>
              <w:rPr>
                <w:sz w:val="20"/>
                <w:szCs w:val="20"/>
              </w:rPr>
            </w:pPr>
            <w:r>
              <w:rPr>
                <w:rFonts w:ascii="Calibri" w:eastAsia="Calibri" w:hAnsi="Calibri" w:cs="Calibri"/>
              </w:rPr>
              <w:t>des</w:t>
            </w:r>
          </w:p>
        </w:tc>
        <w:tc>
          <w:tcPr>
            <w:tcW w:w="32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420" w:type="dxa"/>
            <w:vAlign w:val="bottom"/>
          </w:tcPr>
          <w:p w:rsidR="00AC12B4" w:rsidRDefault="00AC12B4">
            <w:pPr>
              <w:rPr>
                <w:sz w:val="19"/>
                <w:szCs w:val="19"/>
              </w:rPr>
            </w:pPr>
          </w:p>
        </w:tc>
        <w:tc>
          <w:tcPr>
            <w:tcW w:w="860" w:type="dxa"/>
            <w:gridSpan w:val="2"/>
            <w:tcBorders>
              <w:right w:val="single" w:sz="8" w:space="0" w:color="FEC930"/>
            </w:tcBorders>
            <w:vAlign w:val="bottom"/>
          </w:tcPr>
          <w:p w:rsidR="00AC12B4" w:rsidRDefault="00C27636">
            <w:pPr>
              <w:spacing w:line="223" w:lineRule="exact"/>
              <w:ind w:right="290"/>
              <w:jc w:val="right"/>
              <w:rPr>
                <w:sz w:val="20"/>
                <w:szCs w:val="20"/>
              </w:rPr>
            </w:pPr>
            <w:r>
              <w:rPr>
                <w:rFonts w:ascii="Calibri" w:eastAsia="Calibri" w:hAnsi="Calibri" w:cs="Calibri"/>
              </w:rPr>
              <w:t>deux</w:t>
            </w:r>
          </w:p>
        </w:tc>
        <w:tc>
          <w:tcPr>
            <w:tcW w:w="360" w:type="dxa"/>
            <w:vAlign w:val="bottom"/>
          </w:tcPr>
          <w:p w:rsidR="00AC12B4" w:rsidRDefault="00AC12B4">
            <w:pPr>
              <w:rPr>
                <w:sz w:val="19"/>
                <w:szCs w:val="19"/>
              </w:rPr>
            </w:pPr>
          </w:p>
        </w:tc>
        <w:tc>
          <w:tcPr>
            <w:tcW w:w="720" w:type="dxa"/>
            <w:vAlign w:val="bottom"/>
          </w:tcPr>
          <w:p w:rsidR="00AC12B4" w:rsidRDefault="00AC12B4">
            <w:pPr>
              <w:rPr>
                <w:sz w:val="19"/>
                <w:szCs w:val="19"/>
              </w:rPr>
            </w:pPr>
          </w:p>
        </w:tc>
        <w:tc>
          <w:tcPr>
            <w:tcW w:w="820" w:type="dxa"/>
            <w:vAlign w:val="bottom"/>
          </w:tcPr>
          <w:p w:rsidR="00AC12B4" w:rsidRDefault="00AC12B4">
            <w:pPr>
              <w:rPr>
                <w:sz w:val="19"/>
                <w:szCs w:val="19"/>
              </w:rPr>
            </w:pPr>
          </w:p>
        </w:tc>
        <w:tc>
          <w:tcPr>
            <w:tcW w:w="560" w:type="dxa"/>
            <w:tcBorders>
              <w:right w:val="single" w:sz="8" w:space="0" w:color="FEC930"/>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69"/>
        </w:trPr>
        <w:tc>
          <w:tcPr>
            <w:tcW w:w="1400" w:type="dxa"/>
            <w:gridSpan w:val="4"/>
            <w:vAlign w:val="bottom"/>
          </w:tcPr>
          <w:p w:rsidR="00AC12B4" w:rsidRDefault="00C27636">
            <w:pPr>
              <w:rPr>
                <w:sz w:val="20"/>
                <w:szCs w:val="20"/>
              </w:rPr>
            </w:pPr>
            <w:r>
              <w:rPr>
                <w:rFonts w:ascii="Calibri" w:eastAsia="Calibri" w:hAnsi="Calibri" w:cs="Calibri"/>
              </w:rPr>
              <w:t>Communautés</w:t>
            </w:r>
          </w:p>
        </w:tc>
        <w:tc>
          <w:tcPr>
            <w:tcW w:w="120" w:type="dxa"/>
            <w:vAlign w:val="bottom"/>
          </w:tcPr>
          <w:p w:rsidR="00AC12B4" w:rsidRDefault="00AC12B4">
            <w:pPr>
              <w:rPr>
                <w:sz w:val="23"/>
                <w:szCs w:val="23"/>
              </w:rPr>
            </w:pPr>
          </w:p>
        </w:tc>
        <w:tc>
          <w:tcPr>
            <w:tcW w:w="740" w:type="dxa"/>
            <w:tcBorders>
              <w:right w:val="single" w:sz="8" w:space="0" w:color="FEC930"/>
            </w:tcBorders>
            <w:vAlign w:val="bottom"/>
          </w:tcPr>
          <w:p w:rsidR="00AC12B4" w:rsidRDefault="00AC12B4">
            <w:pPr>
              <w:rPr>
                <w:sz w:val="23"/>
                <w:szCs w:val="23"/>
              </w:rPr>
            </w:pPr>
          </w:p>
        </w:tc>
        <w:tc>
          <w:tcPr>
            <w:tcW w:w="2460" w:type="dxa"/>
            <w:gridSpan w:val="4"/>
            <w:vMerge w:val="restart"/>
            <w:tcBorders>
              <w:right w:val="single" w:sz="8" w:space="0" w:color="FEC930"/>
            </w:tcBorders>
            <w:vAlign w:val="bottom"/>
          </w:tcPr>
          <w:p w:rsidR="00AC12B4" w:rsidRDefault="00C27636">
            <w:pPr>
              <w:ind w:left="240"/>
              <w:rPr>
                <w:sz w:val="20"/>
                <w:szCs w:val="20"/>
              </w:rPr>
            </w:pPr>
            <w:r>
              <w:rPr>
                <w:rFonts w:ascii="Comic Sans MS" w:eastAsia="Comic Sans MS" w:hAnsi="Comic Sans MS" w:cs="Comic Sans MS"/>
                <w:color w:val="FEC930"/>
                <w:sz w:val="96"/>
                <w:szCs w:val="96"/>
              </w:rPr>
              <w:t>N/A</w:t>
            </w:r>
          </w:p>
        </w:tc>
        <w:tc>
          <w:tcPr>
            <w:tcW w:w="0" w:type="dxa"/>
            <w:vAlign w:val="bottom"/>
          </w:tcPr>
          <w:p w:rsidR="00AC12B4" w:rsidRDefault="00AC12B4">
            <w:pPr>
              <w:rPr>
                <w:sz w:val="1"/>
                <w:szCs w:val="1"/>
              </w:rPr>
            </w:pPr>
          </w:p>
        </w:tc>
      </w:tr>
      <w:tr w:rsidR="00AC12B4">
        <w:trPr>
          <w:trHeight w:val="269"/>
        </w:trPr>
        <w:tc>
          <w:tcPr>
            <w:tcW w:w="740" w:type="dxa"/>
            <w:gridSpan w:val="2"/>
            <w:vAlign w:val="bottom"/>
          </w:tcPr>
          <w:p w:rsidR="00AC12B4" w:rsidRDefault="00C27636">
            <w:pPr>
              <w:rPr>
                <w:sz w:val="20"/>
                <w:szCs w:val="20"/>
              </w:rPr>
            </w:pPr>
            <w:r>
              <w:rPr>
                <w:rFonts w:ascii="Calibri" w:eastAsia="Calibri" w:hAnsi="Calibri" w:cs="Calibri"/>
              </w:rPr>
              <w:t>prévoit</w:t>
            </w:r>
          </w:p>
        </w:tc>
        <w:tc>
          <w:tcPr>
            <w:tcW w:w="240" w:type="dxa"/>
            <w:vAlign w:val="bottom"/>
          </w:tcPr>
          <w:p w:rsidR="00AC12B4" w:rsidRDefault="00C27636">
            <w:pPr>
              <w:jc w:val="right"/>
              <w:rPr>
                <w:sz w:val="20"/>
                <w:szCs w:val="20"/>
              </w:rPr>
            </w:pPr>
            <w:r>
              <w:rPr>
                <w:rFonts w:ascii="Calibri" w:eastAsia="Calibri" w:hAnsi="Calibri" w:cs="Calibri"/>
                <w:w w:val="99"/>
              </w:rPr>
              <w:t>le</w:t>
            </w:r>
          </w:p>
        </w:tc>
        <w:tc>
          <w:tcPr>
            <w:tcW w:w="540" w:type="dxa"/>
            <w:gridSpan w:val="2"/>
            <w:vAlign w:val="bottom"/>
          </w:tcPr>
          <w:p w:rsidR="00AC12B4" w:rsidRDefault="00C27636">
            <w:pPr>
              <w:ind w:left="80"/>
              <w:rPr>
                <w:sz w:val="20"/>
                <w:szCs w:val="20"/>
              </w:rPr>
            </w:pPr>
            <w:r>
              <w:rPr>
                <w:rFonts w:ascii="Calibri" w:eastAsia="Calibri" w:hAnsi="Calibri" w:cs="Calibri"/>
              </w:rPr>
              <w:t>droit</w:t>
            </w:r>
          </w:p>
        </w:tc>
        <w:tc>
          <w:tcPr>
            <w:tcW w:w="740" w:type="dxa"/>
            <w:tcBorders>
              <w:right w:val="single" w:sz="8" w:space="0" w:color="FEC930"/>
            </w:tcBorders>
            <w:vAlign w:val="bottom"/>
          </w:tcPr>
          <w:p w:rsidR="00AC12B4" w:rsidRDefault="00C27636">
            <w:pPr>
              <w:ind w:right="290"/>
              <w:jc w:val="right"/>
              <w:rPr>
                <w:sz w:val="20"/>
                <w:szCs w:val="20"/>
              </w:rPr>
            </w:pPr>
            <w:r>
              <w:rPr>
                <w:rFonts w:ascii="Calibri" w:eastAsia="Calibri" w:hAnsi="Calibri" w:cs="Calibri"/>
              </w:rPr>
              <w:t>de</w:t>
            </w:r>
          </w:p>
        </w:tc>
        <w:tc>
          <w:tcPr>
            <w:tcW w:w="2460" w:type="dxa"/>
            <w:gridSpan w:val="4"/>
            <w:vMerge/>
            <w:tcBorders>
              <w:right w:val="single" w:sz="8" w:space="0" w:color="FEC930"/>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400" w:type="dxa"/>
            <w:gridSpan w:val="4"/>
            <w:vAlign w:val="bottom"/>
          </w:tcPr>
          <w:p w:rsidR="00AC12B4" w:rsidRDefault="00C27636">
            <w:pPr>
              <w:rPr>
                <w:sz w:val="20"/>
                <w:szCs w:val="20"/>
              </w:rPr>
            </w:pPr>
            <w:r>
              <w:rPr>
                <w:rFonts w:ascii="Calibri" w:eastAsia="Calibri" w:hAnsi="Calibri" w:cs="Calibri"/>
              </w:rPr>
              <w:t>participation</w:t>
            </w:r>
          </w:p>
        </w:tc>
        <w:tc>
          <w:tcPr>
            <w:tcW w:w="120" w:type="dxa"/>
            <w:vAlign w:val="bottom"/>
          </w:tcPr>
          <w:p w:rsidR="00AC12B4" w:rsidRDefault="00AC12B4">
            <w:pPr>
              <w:rPr>
                <w:sz w:val="23"/>
                <w:szCs w:val="23"/>
              </w:rPr>
            </w:pPr>
          </w:p>
        </w:tc>
        <w:tc>
          <w:tcPr>
            <w:tcW w:w="740" w:type="dxa"/>
            <w:tcBorders>
              <w:right w:val="single" w:sz="8" w:space="0" w:color="FEC930"/>
            </w:tcBorders>
            <w:vAlign w:val="bottom"/>
          </w:tcPr>
          <w:p w:rsidR="00AC12B4" w:rsidRDefault="00C27636">
            <w:pPr>
              <w:ind w:right="290"/>
              <w:jc w:val="right"/>
              <w:rPr>
                <w:sz w:val="20"/>
                <w:szCs w:val="20"/>
              </w:rPr>
            </w:pPr>
            <w:r>
              <w:rPr>
                <w:rFonts w:ascii="Calibri" w:eastAsia="Calibri" w:hAnsi="Calibri" w:cs="Calibri"/>
              </w:rPr>
              <w:t>des</w:t>
            </w:r>
          </w:p>
        </w:tc>
        <w:tc>
          <w:tcPr>
            <w:tcW w:w="2460" w:type="dxa"/>
            <w:gridSpan w:val="4"/>
            <w:vMerge/>
            <w:tcBorders>
              <w:right w:val="single" w:sz="8" w:space="0" w:color="FEC930"/>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740" w:type="dxa"/>
            <w:gridSpan w:val="2"/>
            <w:vAlign w:val="bottom"/>
          </w:tcPr>
          <w:p w:rsidR="00AC12B4" w:rsidRDefault="00C27636">
            <w:pPr>
              <w:rPr>
                <w:sz w:val="20"/>
                <w:szCs w:val="20"/>
              </w:rPr>
            </w:pPr>
            <w:r>
              <w:rPr>
                <w:rFonts w:ascii="Calibri" w:eastAsia="Calibri" w:hAnsi="Calibri" w:cs="Calibri"/>
              </w:rPr>
              <w:t>jeunes</w:t>
            </w:r>
          </w:p>
        </w:tc>
        <w:tc>
          <w:tcPr>
            <w:tcW w:w="240" w:type="dxa"/>
            <w:vAlign w:val="bottom"/>
          </w:tcPr>
          <w:p w:rsidR="00AC12B4" w:rsidRDefault="00C27636">
            <w:pPr>
              <w:jc w:val="right"/>
              <w:rPr>
                <w:sz w:val="20"/>
                <w:szCs w:val="20"/>
              </w:rPr>
            </w:pPr>
            <w:r>
              <w:rPr>
                <w:rFonts w:ascii="Calibri" w:eastAsia="Calibri" w:hAnsi="Calibri" w:cs="Calibri"/>
                <w:w w:val="87"/>
              </w:rPr>
              <w:t>et</w:t>
            </w:r>
          </w:p>
        </w:tc>
        <w:tc>
          <w:tcPr>
            <w:tcW w:w="420" w:type="dxa"/>
            <w:vAlign w:val="bottom"/>
          </w:tcPr>
          <w:p w:rsidR="00AC12B4" w:rsidRDefault="00C27636">
            <w:pPr>
              <w:jc w:val="center"/>
              <w:rPr>
                <w:sz w:val="20"/>
                <w:szCs w:val="20"/>
              </w:rPr>
            </w:pPr>
            <w:r>
              <w:rPr>
                <w:rFonts w:ascii="Calibri" w:eastAsia="Calibri" w:hAnsi="Calibri" w:cs="Calibri"/>
                <w:w w:val="99"/>
              </w:rPr>
              <w:t>le</w:t>
            </w:r>
          </w:p>
        </w:tc>
        <w:tc>
          <w:tcPr>
            <w:tcW w:w="860" w:type="dxa"/>
            <w:gridSpan w:val="2"/>
            <w:tcBorders>
              <w:right w:val="single" w:sz="8" w:space="0" w:color="FEC930"/>
            </w:tcBorders>
            <w:vAlign w:val="bottom"/>
          </w:tcPr>
          <w:p w:rsidR="00AC12B4" w:rsidRDefault="00C27636">
            <w:pPr>
              <w:ind w:right="290"/>
              <w:jc w:val="right"/>
              <w:rPr>
                <w:sz w:val="20"/>
                <w:szCs w:val="20"/>
              </w:rPr>
            </w:pPr>
            <w:r>
              <w:rPr>
                <w:rFonts w:ascii="Calibri" w:eastAsia="Calibri" w:hAnsi="Calibri" w:cs="Calibri"/>
              </w:rPr>
              <w:t>droit</w:t>
            </w:r>
          </w:p>
        </w:tc>
        <w:tc>
          <w:tcPr>
            <w:tcW w:w="2460" w:type="dxa"/>
            <w:gridSpan w:val="4"/>
            <w:vMerge/>
            <w:tcBorders>
              <w:right w:val="single" w:sz="8" w:space="0" w:color="FEC930"/>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6"/>
        </w:trPr>
        <w:tc>
          <w:tcPr>
            <w:tcW w:w="1520" w:type="dxa"/>
            <w:gridSpan w:val="5"/>
            <w:vAlign w:val="bottom"/>
          </w:tcPr>
          <w:p w:rsidR="00AC12B4" w:rsidRDefault="00C27636">
            <w:pPr>
              <w:spacing w:line="267" w:lineRule="exact"/>
              <w:rPr>
                <w:sz w:val="20"/>
                <w:szCs w:val="20"/>
              </w:rPr>
            </w:pPr>
            <w:r>
              <w:rPr>
                <w:rFonts w:ascii="Calibri" w:eastAsia="Calibri" w:hAnsi="Calibri" w:cs="Calibri"/>
              </w:rPr>
              <w:t>d’interpellation,</w:t>
            </w:r>
          </w:p>
        </w:tc>
        <w:tc>
          <w:tcPr>
            <w:tcW w:w="740" w:type="dxa"/>
            <w:tcBorders>
              <w:right w:val="single" w:sz="8" w:space="0" w:color="FEC930"/>
            </w:tcBorders>
            <w:vAlign w:val="bottom"/>
          </w:tcPr>
          <w:p w:rsidR="00AC12B4" w:rsidRDefault="00C27636">
            <w:pPr>
              <w:spacing w:line="267" w:lineRule="exact"/>
              <w:ind w:right="290"/>
              <w:jc w:val="right"/>
              <w:rPr>
                <w:sz w:val="20"/>
                <w:szCs w:val="20"/>
              </w:rPr>
            </w:pPr>
            <w:r>
              <w:rPr>
                <w:rFonts w:ascii="Calibri" w:eastAsia="Calibri" w:hAnsi="Calibri" w:cs="Calibri"/>
              </w:rPr>
              <w:t>de</w:t>
            </w:r>
          </w:p>
        </w:tc>
        <w:tc>
          <w:tcPr>
            <w:tcW w:w="2460" w:type="dxa"/>
            <w:gridSpan w:val="4"/>
            <w:vMerge/>
            <w:tcBorders>
              <w:right w:val="single" w:sz="8" w:space="0" w:color="FEC93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740" w:type="dxa"/>
            <w:gridSpan w:val="2"/>
            <w:vAlign w:val="bottom"/>
          </w:tcPr>
          <w:p w:rsidR="00AC12B4" w:rsidRDefault="00C27636">
            <w:pPr>
              <w:spacing w:line="220" w:lineRule="exact"/>
              <w:rPr>
                <w:sz w:val="20"/>
                <w:szCs w:val="20"/>
              </w:rPr>
            </w:pPr>
            <w:r>
              <w:rPr>
                <w:rFonts w:ascii="Calibri" w:eastAsia="Calibri" w:hAnsi="Calibri" w:cs="Calibri"/>
              </w:rPr>
              <w:t>recours</w:t>
            </w:r>
          </w:p>
        </w:tc>
        <w:tc>
          <w:tcPr>
            <w:tcW w:w="240" w:type="dxa"/>
            <w:vAlign w:val="bottom"/>
          </w:tcPr>
          <w:p w:rsidR="00AC12B4" w:rsidRDefault="00AC12B4">
            <w:pPr>
              <w:rPr>
                <w:sz w:val="23"/>
                <w:szCs w:val="23"/>
              </w:rPr>
            </w:pPr>
          </w:p>
        </w:tc>
        <w:tc>
          <w:tcPr>
            <w:tcW w:w="420" w:type="dxa"/>
            <w:vAlign w:val="bottom"/>
          </w:tcPr>
          <w:p w:rsidR="00AC12B4" w:rsidRDefault="00C27636">
            <w:pPr>
              <w:spacing w:line="220" w:lineRule="exact"/>
              <w:jc w:val="center"/>
              <w:rPr>
                <w:sz w:val="20"/>
                <w:szCs w:val="20"/>
              </w:rPr>
            </w:pPr>
            <w:r>
              <w:rPr>
                <w:rFonts w:ascii="Calibri" w:eastAsia="Calibri" w:hAnsi="Calibri" w:cs="Calibri"/>
              </w:rPr>
              <w:t>ou</w:t>
            </w:r>
          </w:p>
        </w:tc>
        <w:tc>
          <w:tcPr>
            <w:tcW w:w="120" w:type="dxa"/>
            <w:vAlign w:val="bottom"/>
          </w:tcPr>
          <w:p w:rsidR="00AC12B4" w:rsidRDefault="00AC12B4">
            <w:pPr>
              <w:rPr>
                <w:sz w:val="23"/>
                <w:szCs w:val="23"/>
              </w:rPr>
            </w:pPr>
          </w:p>
        </w:tc>
        <w:tc>
          <w:tcPr>
            <w:tcW w:w="740" w:type="dxa"/>
            <w:tcBorders>
              <w:right w:val="single" w:sz="8" w:space="0" w:color="FEC930"/>
            </w:tcBorders>
            <w:vAlign w:val="bottom"/>
          </w:tcPr>
          <w:p w:rsidR="00AC12B4" w:rsidRDefault="00C27636">
            <w:pPr>
              <w:spacing w:line="220" w:lineRule="exact"/>
              <w:ind w:right="310"/>
              <w:jc w:val="right"/>
              <w:rPr>
                <w:sz w:val="20"/>
                <w:szCs w:val="20"/>
              </w:rPr>
            </w:pPr>
            <w:r>
              <w:rPr>
                <w:rFonts w:ascii="Calibri" w:eastAsia="Calibri" w:hAnsi="Calibri" w:cs="Calibri"/>
              </w:rPr>
              <w:t>de</w:t>
            </w:r>
          </w:p>
        </w:tc>
        <w:tc>
          <w:tcPr>
            <w:tcW w:w="1080" w:type="dxa"/>
            <w:gridSpan w:val="2"/>
            <w:vAlign w:val="bottom"/>
          </w:tcPr>
          <w:p w:rsidR="00AC12B4" w:rsidRDefault="00C27636">
            <w:pPr>
              <w:spacing w:line="269" w:lineRule="exact"/>
              <w:ind w:left="160"/>
              <w:rPr>
                <w:sz w:val="20"/>
                <w:szCs w:val="20"/>
              </w:rPr>
            </w:pPr>
            <w:r>
              <w:rPr>
                <w:rFonts w:ascii="Comic Sans MS" w:eastAsia="Comic Sans MS" w:hAnsi="Comic Sans MS" w:cs="Comic Sans MS"/>
                <w:color w:val="0D0D0D"/>
                <w:sz w:val="20"/>
                <w:szCs w:val="20"/>
              </w:rPr>
              <w:t>Aucunes</w:t>
            </w:r>
          </w:p>
        </w:tc>
        <w:tc>
          <w:tcPr>
            <w:tcW w:w="820" w:type="dxa"/>
            <w:vAlign w:val="bottom"/>
          </w:tcPr>
          <w:p w:rsidR="00AC12B4" w:rsidRDefault="00C27636">
            <w:pPr>
              <w:spacing w:line="269" w:lineRule="exact"/>
              <w:jc w:val="right"/>
              <w:rPr>
                <w:sz w:val="20"/>
                <w:szCs w:val="20"/>
              </w:rPr>
            </w:pPr>
            <w:r>
              <w:rPr>
                <w:rFonts w:ascii="Comic Sans MS" w:eastAsia="Comic Sans MS" w:hAnsi="Comic Sans MS" w:cs="Comic Sans MS"/>
                <w:color w:val="0D0D0D"/>
                <w:w w:val="96"/>
                <w:sz w:val="20"/>
                <w:szCs w:val="20"/>
              </w:rPr>
              <w:t>données</w:t>
            </w:r>
          </w:p>
        </w:tc>
        <w:tc>
          <w:tcPr>
            <w:tcW w:w="560" w:type="dxa"/>
            <w:tcBorders>
              <w:right w:val="single" w:sz="8" w:space="0" w:color="FEC930"/>
            </w:tcBorders>
            <w:vAlign w:val="bottom"/>
          </w:tcPr>
          <w:p w:rsidR="00AC12B4" w:rsidRDefault="00C27636">
            <w:pPr>
              <w:spacing w:line="269" w:lineRule="exact"/>
              <w:ind w:right="80"/>
              <w:jc w:val="right"/>
              <w:rPr>
                <w:sz w:val="20"/>
                <w:szCs w:val="20"/>
              </w:rPr>
            </w:pPr>
            <w:r>
              <w:rPr>
                <w:rFonts w:ascii="Comic Sans MS" w:eastAsia="Comic Sans MS" w:hAnsi="Comic Sans MS" w:cs="Comic Sans MS"/>
                <w:color w:val="0D0D0D"/>
                <w:sz w:val="20"/>
                <w:szCs w:val="20"/>
              </w:rPr>
              <w:t>sur</w:t>
            </w:r>
          </w:p>
        </w:tc>
        <w:tc>
          <w:tcPr>
            <w:tcW w:w="0" w:type="dxa"/>
            <w:vAlign w:val="bottom"/>
          </w:tcPr>
          <w:p w:rsidR="00AC12B4" w:rsidRDefault="00AC12B4">
            <w:pPr>
              <w:rPr>
                <w:sz w:val="1"/>
                <w:szCs w:val="1"/>
              </w:rPr>
            </w:pPr>
          </w:p>
        </w:tc>
      </w:tr>
      <w:tr w:rsidR="00AC12B4">
        <w:trPr>
          <w:trHeight w:val="281"/>
        </w:trPr>
        <w:tc>
          <w:tcPr>
            <w:tcW w:w="740" w:type="dxa"/>
            <w:gridSpan w:val="2"/>
            <w:vAlign w:val="bottom"/>
          </w:tcPr>
          <w:p w:rsidR="00AC12B4" w:rsidRDefault="00C27636">
            <w:pPr>
              <w:spacing w:line="281" w:lineRule="exact"/>
              <w:rPr>
                <w:sz w:val="20"/>
                <w:szCs w:val="20"/>
              </w:rPr>
            </w:pPr>
            <w:r>
              <w:rPr>
                <w:rFonts w:ascii="Calibri" w:eastAsia="Calibri" w:hAnsi="Calibri" w:cs="Calibri"/>
                <w:w w:val="93"/>
              </w:rPr>
              <w:t>plainte</w:t>
            </w:r>
            <w:r>
              <w:rPr>
                <w:rFonts w:ascii="Calibri" w:eastAsia="Calibri" w:hAnsi="Calibri" w:cs="Calibri"/>
                <w:w w:val="93"/>
                <w:sz w:val="27"/>
                <w:szCs w:val="27"/>
                <w:vertAlign w:val="superscript"/>
              </w:rPr>
              <w:t>1</w:t>
            </w:r>
            <w:r>
              <w:rPr>
                <w:rFonts w:ascii="Calibri" w:eastAsia="Calibri" w:hAnsi="Calibri" w:cs="Calibri"/>
                <w:w w:val="93"/>
              </w:rPr>
              <w:t>.</w:t>
            </w:r>
          </w:p>
        </w:tc>
        <w:tc>
          <w:tcPr>
            <w:tcW w:w="240" w:type="dxa"/>
            <w:vAlign w:val="bottom"/>
          </w:tcPr>
          <w:p w:rsidR="00AC12B4" w:rsidRDefault="00AC12B4">
            <w:pPr>
              <w:rPr>
                <w:sz w:val="24"/>
                <w:szCs w:val="24"/>
              </w:rPr>
            </w:pPr>
          </w:p>
        </w:tc>
        <w:tc>
          <w:tcPr>
            <w:tcW w:w="4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740" w:type="dxa"/>
            <w:tcBorders>
              <w:right w:val="single" w:sz="8" w:space="0" w:color="FEC930"/>
            </w:tcBorders>
            <w:vAlign w:val="bottom"/>
          </w:tcPr>
          <w:p w:rsidR="00AC12B4" w:rsidRDefault="00AC12B4">
            <w:pPr>
              <w:rPr>
                <w:sz w:val="24"/>
                <w:szCs w:val="24"/>
              </w:rPr>
            </w:pPr>
          </w:p>
        </w:tc>
        <w:tc>
          <w:tcPr>
            <w:tcW w:w="2460" w:type="dxa"/>
            <w:gridSpan w:val="4"/>
            <w:vMerge w:val="restart"/>
            <w:tcBorders>
              <w:right w:val="single" w:sz="8" w:space="0" w:color="FEC930"/>
            </w:tcBorders>
            <w:vAlign w:val="bottom"/>
          </w:tcPr>
          <w:p w:rsidR="00AC12B4" w:rsidRDefault="00C27636">
            <w:pPr>
              <w:ind w:left="160"/>
              <w:rPr>
                <w:sz w:val="20"/>
                <w:szCs w:val="20"/>
              </w:rPr>
            </w:pPr>
            <w:r>
              <w:rPr>
                <w:rFonts w:ascii="Comic Sans MS" w:eastAsia="Comic Sans MS" w:hAnsi="Comic Sans MS" w:cs="Comic Sans MS"/>
                <w:color w:val="0D0D0D"/>
                <w:sz w:val="20"/>
                <w:szCs w:val="20"/>
              </w:rPr>
              <w:t>l’effectivité du droit à</w:t>
            </w:r>
          </w:p>
        </w:tc>
        <w:tc>
          <w:tcPr>
            <w:tcW w:w="0" w:type="dxa"/>
            <w:vAlign w:val="bottom"/>
          </w:tcPr>
          <w:p w:rsidR="00AC12B4" w:rsidRDefault="00AC12B4">
            <w:pPr>
              <w:rPr>
                <w:sz w:val="1"/>
                <w:szCs w:val="1"/>
              </w:rPr>
            </w:pPr>
          </w:p>
        </w:tc>
      </w:tr>
      <w:tr w:rsidR="00AC12B4">
        <w:trPr>
          <w:trHeight w:val="58"/>
        </w:trPr>
        <w:tc>
          <w:tcPr>
            <w:tcW w:w="420" w:type="dxa"/>
            <w:vAlign w:val="bottom"/>
          </w:tcPr>
          <w:p w:rsidR="00AC12B4" w:rsidRDefault="00AC12B4">
            <w:pPr>
              <w:rPr>
                <w:sz w:val="5"/>
                <w:szCs w:val="5"/>
              </w:rPr>
            </w:pPr>
          </w:p>
        </w:tc>
        <w:tc>
          <w:tcPr>
            <w:tcW w:w="320" w:type="dxa"/>
            <w:vAlign w:val="bottom"/>
          </w:tcPr>
          <w:p w:rsidR="00AC12B4" w:rsidRDefault="00AC12B4">
            <w:pPr>
              <w:rPr>
                <w:sz w:val="5"/>
                <w:szCs w:val="5"/>
              </w:rPr>
            </w:pPr>
          </w:p>
        </w:tc>
        <w:tc>
          <w:tcPr>
            <w:tcW w:w="240" w:type="dxa"/>
            <w:vAlign w:val="bottom"/>
          </w:tcPr>
          <w:p w:rsidR="00AC12B4" w:rsidRDefault="00AC12B4">
            <w:pPr>
              <w:rPr>
                <w:sz w:val="5"/>
                <w:szCs w:val="5"/>
              </w:rPr>
            </w:pPr>
          </w:p>
        </w:tc>
        <w:tc>
          <w:tcPr>
            <w:tcW w:w="420" w:type="dxa"/>
            <w:vAlign w:val="bottom"/>
          </w:tcPr>
          <w:p w:rsidR="00AC12B4" w:rsidRDefault="00AC12B4">
            <w:pPr>
              <w:rPr>
                <w:sz w:val="5"/>
                <w:szCs w:val="5"/>
              </w:rPr>
            </w:pPr>
          </w:p>
        </w:tc>
        <w:tc>
          <w:tcPr>
            <w:tcW w:w="120" w:type="dxa"/>
            <w:vAlign w:val="bottom"/>
          </w:tcPr>
          <w:p w:rsidR="00AC12B4" w:rsidRDefault="00AC12B4">
            <w:pPr>
              <w:rPr>
                <w:sz w:val="5"/>
                <w:szCs w:val="5"/>
              </w:rPr>
            </w:pPr>
          </w:p>
        </w:tc>
        <w:tc>
          <w:tcPr>
            <w:tcW w:w="740" w:type="dxa"/>
            <w:tcBorders>
              <w:right w:val="single" w:sz="8" w:space="0" w:color="FEC930"/>
            </w:tcBorders>
            <w:vAlign w:val="bottom"/>
          </w:tcPr>
          <w:p w:rsidR="00AC12B4" w:rsidRDefault="00AC12B4">
            <w:pPr>
              <w:rPr>
                <w:sz w:val="5"/>
                <w:szCs w:val="5"/>
              </w:rPr>
            </w:pPr>
          </w:p>
        </w:tc>
        <w:tc>
          <w:tcPr>
            <w:tcW w:w="2460" w:type="dxa"/>
            <w:gridSpan w:val="4"/>
            <w:vMerge/>
            <w:tcBorders>
              <w:right w:val="single" w:sz="8" w:space="0" w:color="FEC930"/>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278"/>
        </w:trPr>
        <w:tc>
          <w:tcPr>
            <w:tcW w:w="2260" w:type="dxa"/>
            <w:gridSpan w:val="6"/>
            <w:tcBorders>
              <w:right w:val="single" w:sz="8" w:space="0" w:color="FEC930"/>
            </w:tcBorders>
            <w:vAlign w:val="bottom"/>
          </w:tcPr>
          <w:p w:rsidR="00AC12B4" w:rsidRDefault="00C27636">
            <w:pPr>
              <w:rPr>
                <w:sz w:val="20"/>
                <w:szCs w:val="20"/>
              </w:rPr>
            </w:pPr>
            <w:r>
              <w:rPr>
                <w:rFonts w:ascii="Calibri" w:eastAsia="Calibri" w:hAnsi="Calibri" w:cs="Calibri"/>
              </w:rPr>
              <w:t>Un contrôle externe</w:t>
            </w:r>
          </w:p>
        </w:tc>
        <w:tc>
          <w:tcPr>
            <w:tcW w:w="360" w:type="dxa"/>
            <w:vAlign w:val="bottom"/>
          </w:tcPr>
          <w:p w:rsidR="00AC12B4" w:rsidRDefault="00C27636">
            <w:pPr>
              <w:ind w:left="160"/>
              <w:rPr>
                <w:sz w:val="20"/>
                <w:szCs w:val="20"/>
              </w:rPr>
            </w:pPr>
            <w:r>
              <w:rPr>
                <w:rFonts w:ascii="Comic Sans MS" w:eastAsia="Comic Sans MS" w:hAnsi="Comic Sans MS" w:cs="Comic Sans MS"/>
                <w:color w:val="0D0D0D"/>
                <w:sz w:val="20"/>
                <w:szCs w:val="20"/>
              </w:rPr>
              <w:t>la</w:t>
            </w:r>
          </w:p>
        </w:tc>
        <w:tc>
          <w:tcPr>
            <w:tcW w:w="1540" w:type="dxa"/>
            <w:gridSpan w:val="2"/>
            <w:vAlign w:val="bottom"/>
          </w:tcPr>
          <w:p w:rsidR="00AC12B4" w:rsidRDefault="00C27636">
            <w:pPr>
              <w:ind w:right="17"/>
              <w:jc w:val="right"/>
              <w:rPr>
                <w:sz w:val="20"/>
                <w:szCs w:val="20"/>
              </w:rPr>
            </w:pPr>
            <w:r>
              <w:rPr>
                <w:rFonts w:ascii="Comic Sans MS" w:eastAsia="Comic Sans MS" w:hAnsi="Comic Sans MS" w:cs="Comic Sans MS"/>
                <w:color w:val="0D0D0D"/>
                <w:sz w:val="20"/>
                <w:szCs w:val="20"/>
              </w:rPr>
              <w:t>participation</w:t>
            </w:r>
          </w:p>
        </w:tc>
        <w:tc>
          <w:tcPr>
            <w:tcW w:w="560" w:type="dxa"/>
            <w:tcBorders>
              <w:right w:val="single" w:sz="8" w:space="0" w:color="FEC930"/>
            </w:tcBorders>
            <w:vAlign w:val="bottom"/>
          </w:tcPr>
          <w:p w:rsidR="00AC12B4" w:rsidRDefault="00C27636">
            <w:pPr>
              <w:ind w:right="80"/>
              <w:jc w:val="right"/>
              <w:rPr>
                <w:sz w:val="20"/>
                <w:szCs w:val="20"/>
              </w:rPr>
            </w:pPr>
            <w:r>
              <w:rPr>
                <w:rFonts w:ascii="Comic Sans MS" w:eastAsia="Comic Sans MS" w:hAnsi="Comic Sans MS" w:cs="Comic Sans MS"/>
                <w:color w:val="0D0D0D"/>
                <w:sz w:val="20"/>
                <w:szCs w:val="20"/>
              </w:rPr>
              <w:t>ne</w:t>
            </w:r>
          </w:p>
        </w:tc>
        <w:tc>
          <w:tcPr>
            <w:tcW w:w="0" w:type="dxa"/>
            <w:vAlign w:val="bottom"/>
          </w:tcPr>
          <w:p w:rsidR="00AC12B4" w:rsidRDefault="00AC12B4">
            <w:pPr>
              <w:rPr>
                <w:sz w:val="1"/>
                <w:szCs w:val="1"/>
              </w:rPr>
            </w:pPr>
          </w:p>
        </w:tc>
      </w:tr>
      <w:tr w:rsidR="00AC12B4">
        <w:trPr>
          <w:trHeight w:val="277"/>
        </w:trPr>
        <w:tc>
          <w:tcPr>
            <w:tcW w:w="2260" w:type="dxa"/>
            <w:gridSpan w:val="6"/>
            <w:tcBorders>
              <w:right w:val="single" w:sz="8" w:space="0" w:color="FEC930"/>
            </w:tcBorders>
            <w:vAlign w:val="bottom"/>
          </w:tcPr>
          <w:p w:rsidR="00AC12B4" w:rsidRDefault="00C27636">
            <w:pPr>
              <w:spacing w:line="260" w:lineRule="exact"/>
              <w:rPr>
                <w:sz w:val="20"/>
                <w:szCs w:val="20"/>
              </w:rPr>
            </w:pPr>
            <w:r>
              <w:rPr>
                <w:rFonts w:ascii="Calibri" w:eastAsia="Calibri" w:hAnsi="Calibri" w:cs="Calibri"/>
              </w:rPr>
              <w:t>des IPPJ n’est prévu</w:t>
            </w:r>
          </w:p>
        </w:tc>
        <w:tc>
          <w:tcPr>
            <w:tcW w:w="1080" w:type="dxa"/>
            <w:gridSpan w:val="2"/>
            <w:vAlign w:val="bottom"/>
          </w:tcPr>
          <w:p w:rsidR="00AC12B4" w:rsidRDefault="00C27636">
            <w:pPr>
              <w:spacing w:line="277" w:lineRule="exact"/>
              <w:ind w:left="160"/>
              <w:rPr>
                <w:sz w:val="20"/>
                <w:szCs w:val="20"/>
              </w:rPr>
            </w:pPr>
            <w:r>
              <w:rPr>
                <w:rFonts w:ascii="Comic Sans MS" w:eastAsia="Comic Sans MS" w:hAnsi="Comic Sans MS" w:cs="Comic Sans MS"/>
                <w:color w:val="0D0D0D"/>
                <w:sz w:val="20"/>
                <w:szCs w:val="20"/>
              </w:rPr>
              <w:t>sont</w:t>
            </w:r>
          </w:p>
        </w:tc>
        <w:tc>
          <w:tcPr>
            <w:tcW w:w="1380" w:type="dxa"/>
            <w:gridSpan w:val="2"/>
            <w:tcBorders>
              <w:right w:val="single" w:sz="8" w:space="0" w:color="FEC930"/>
            </w:tcBorders>
            <w:vAlign w:val="bottom"/>
          </w:tcPr>
          <w:p w:rsidR="00AC12B4" w:rsidRDefault="00C27636">
            <w:pPr>
              <w:spacing w:line="277" w:lineRule="exact"/>
              <w:ind w:right="80"/>
              <w:jc w:val="right"/>
              <w:rPr>
                <w:sz w:val="20"/>
                <w:szCs w:val="20"/>
              </w:rPr>
            </w:pPr>
            <w:r>
              <w:rPr>
                <w:rFonts w:ascii="Comic Sans MS" w:eastAsia="Comic Sans MS" w:hAnsi="Comic Sans MS" w:cs="Comic Sans MS"/>
                <w:color w:val="0D0D0D"/>
                <w:sz w:val="20"/>
                <w:szCs w:val="20"/>
              </w:rPr>
              <w:t>disponibles</w:t>
            </w:r>
          </w:p>
        </w:tc>
        <w:tc>
          <w:tcPr>
            <w:tcW w:w="0" w:type="dxa"/>
            <w:vAlign w:val="bottom"/>
          </w:tcPr>
          <w:p w:rsidR="00AC12B4" w:rsidRDefault="00AC12B4">
            <w:pPr>
              <w:rPr>
                <w:sz w:val="1"/>
                <w:szCs w:val="1"/>
              </w:rPr>
            </w:pPr>
          </w:p>
        </w:tc>
      </w:tr>
      <w:tr w:rsidR="00AC12B4">
        <w:trPr>
          <w:trHeight w:val="278"/>
        </w:trPr>
        <w:tc>
          <w:tcPr>
            <w:tcW w:w="2260" w:type="dxa"/>
            <w:gridSpan w:val="6"/>
            <w:tcBorders>
              <w:right w:val="single" w:sz="8" w:space="0" w:color="FEC930"/>
            </w:tcBorders>
            <w:vAlign w:val="bottom"/>
          </w:tcPr>
          <w:p w:rsidR="00AC12B4" w:rsidRDefault="00C27636">
            <w:pPr>
              <w:spacing w:line="252" w:lineRule="exact"/>
              <w:rPr>
                <w:sz w:val="20"/>
                <w:szCs w:val="20"/>
              </w:rPr>
            </w:pPr>
            <w:r>
              <w:rPr>
                <w:rFonts w:ascii="Calibri" w:eastAsia="Calibri" w:hAnsi="Calibri" w:cs="Calibri"/>
              </w:rPr>
              <w:t>nulle part jusqu’ici.</w:t>
            </w:r>
          </w:p>
        </w:tc>
        <w:tc>
          <w:tcPr>
            <w:tcW w:w="1900" w:type="dxa"/>
            <w:gridSpan w:val="3"/>
            <w:vAlign w:val="bottom"/>
          </w:tcPr>
          <w:p w:rsidR="00AC12B4" w:rsidRDefault="00C27636">
            <w:pPr>
              <w:spacing w:line="277" w:lineRule="exact"/>
              <w:ind w:left="160"/>
              <w:rPr>
                <w:sz w:val="20"/>
                <w:szCs w:val="20"/>
              </w:rPr>
            </w:pPr>
            <w:r>
              <w:rPr>
                <w:rFonts w:ascii="Comic Sans MS" w:eastAsia="Comic Sans MS" w:hAnsi="Comic Sans MS" w:cs="Comic Sans MS"/>
                <w:color w:val="0D0D0D"/>
                <w:sz w:val="20"/>
                <w:szCs w:val="20"/>
              </w:rPr>
              <w:t>actuellement</w:t>
            </w:r>
          </w:p>
        </w:tc>
        <w:tc>
          <w:tcPr>
            <w:tcW w:w="560" w:type="dxa"/>
            <w:tcBorders>
              <w:right w:val="single" w:sz="8" w:space="0" w:color="FEC93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47"/>
        </w:trPr>
        <w:tc>
          <w:tcPr>
            <w:tcW w:w="420" w:type="dxa"/>
            <w:vAlign w:val="bottom"/>
          </w:tcPr>
          <w:p w:rsidR="00AC12B4" w:rsidRDefault="00C27636">
            <w:pPr>
              <w:rPr>
                <w:sz w:val="20"/>
                <w:szCs w:val="20"/>
              </w:rPr>
            </w:pPr>
            <w:r>
              <w:rPr>
                <w:rFonts w:ascii="Calibri" w:eastAsia="Calibri" w:hAnsi="Calibri" w:cs="Calibri"/>
              </w:rPr>
              <w:t>Une</w:t>
            </w:r>
          </w:p>
        </w:tc>
        <w:tc>
          <w:tcPr>
            <w:tcW w:w="980" w:type="dxa"/>
            <w:gridSpan w:val="3"/>
            <w:vAlign w:val="bottom"/>
          </w:tcPr>
          <w:p w:rsidR="00AC12B4" w:rsidRDefault="00C27636">
            <w:pPr>
              <w:ind w:left="180"/>
              <w:rPr>
                <w:sz w:val="20"/>
                <w:szCs w:val="20"/>
              </w:rPr>
            </w:pPr>
            <w:r>
              <w:rPr>
                <w:rFonts w:ascii="Calibri" w:eastAsia="Calibri" w:hAnsi="Calibri" w:cs="Calibri"/>
                <w:w w:val="98"/>
              </w:rPr>
              <w:t>réflexion</w:t>
            </w:r>
          </w:p>
        </w:tc>
        <w:tc>
          <w:tcPr>
            <w:tcW w:w="120" w:type="dxa"/>
            <w:vAlign w:val="bottom"/>
          </w:tcPr>
          <w:p w:rsidR="00AC12B4" w:rsidRDefault="00AC12B4">
            <w:pPr>
              <w:rPr>
                <w:sz w:val="24"/>
                <w:szCs w:val="24"/>
              </w:rPr>
            </w:pPr>
          </w:p>
        </w:tc>
        <w:tc>
          <w:tcPr>
            <w:tcW w:w="740" w:type="dxa"/>
            <w:tcBorders>
              <w:right w:val="single" w:sz="8" w:space="0" w:color="FEC930"/>
            </w:tcBorders>
            <w:vAlign w:val="bottom"/>
          </w:tcPr>
          <w:p w:rsidR="00AC12B4" w:rsidRDefault="00C27636">
            <w:pPr>
              <w:ind w:right="310"/>
              <w:jc w:val="right"/>
              <w:rPr>
                <w:sz w:val="20"/>
                <w:szCs w:val="20"/>
              </w:rPr>
            </w:pPr>
            <w:r>
              <w:rPr>
                <w:rFonts w:ascii="Calibri" w:eastAsia="Calibri" w:hAnsi="Calibri" w:cs="Calibri"/>
              </w:rPr>
              <w:t>au</w:t>
            </w:r>
          </w:p>
        </w:tc>
        <w:tc>
          <w:tcPr>
            <w:tcW w:w="360" w:type="dxa"/>
            <w:tcBorders>
              <w:bottom w:val="single" w:sz="8" w:space="0" w:color="FEC930"/>
            </w:tcBorders>
            <w:vAlign w:val="bottom"/>
          </w:tcPr>
          <w:p w:rsidR="00AC12B4" w:rsidRDefault="00AC12B4">
            <w:pPr>
              <w:rPr>
                <w:sz w:val="24"/>
                <w:szCs w:val="24"/>
              </w:rPr>
            </w:pPr>
          </w:p>
        </w:tc>
        <w:tc>
          <w:tcPr>
            <w:tcW w:w="720" w:type="dxa"/>
            <w:tcBorders>
              <w:bottom w:val="single" w:sz="8" w:space="0" w:color="FEC930"/>
            </w:tcBorders>
            <w:vAlign w:val="bottom"/>
          </w:tcPr>
          <w:p w:rsidR="00AC12B4" w:rsidRDefault="00AC12B4">
            <w:pPr>
              <w:rPr>
                <w:sz w:val="24"/>
                <w:szCs w:val="24"/>
              </w:rPr>
            </w:pPr>
          </w:p>
        </w:tc>
        <w:tc>
          <w:tcPr>
            <w:tcW w:w="820" w:type="dxa"/>
            <w:tcBorders>
              <w:bottom w:val="single" w:sz="8" w:space="0" w:color="FEC930"/>
            </w:tcBorders>
            <w:vAlign w:val="bottom"/>
          </w:tcPr>
          <w:p w:rsidR="00AC12B4" w:rsidRDefault="00AC12B4">
            <w:pPr>
              <w:rPr>
                <w:sz w:val="24"/>
                <w:szCs w:val="24"/>
              </w:rPr>
            </w:pPr>
          </w:p>
        </w:tc>
        <w:tc>
          <w:tcPr>
            <w:tcW w:w="560" w:type="dxa"/>
            <w:tcBorders>
              <w:bottom w:val="single" w:sz="8" w:space="0" w:color="FEC930"/>
              <w:right w:val="single" w:sz="8" w:space="0" w:color="FEC930"/>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65"/>
        </w:trPr>
        <w:tc>
          <w:tcPr>
            <w:tcW w:w="4160" w:type="dxa"/>
            <w:gridSpan w:val="9"/>
            <w:vAlign w:val="bottom"/>
          </w:tcPr>
          <w:p w:rsidR="00AC12B4" w:rsidRPr="00C27636" w:rsidRDefault="00C27636">
            <w:pPr>
              <w:spacing w:line="265" w:lineRule="exact"/>
              <w:rPr>
                <w:sz w:val="20"/>
                <w:szCs w:val="20"/>
                <w:lang w:val="fr-BE"/>
              </w:rPr>
            </w:pPr>
            <w:r w:rsidRPr="00C27636">
              <w:rPr>
                <w:rFonts w:ascii="Calibri" w:eastAsia="Calibri" w:hAnsi="Calibri" w:cs="Calibri"/>
                <w:lang w:val="fr-BE"/>
              </w:rPr>
              <w:t>Parlement flamand est en cours en vue de</w:t>
            </w: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9"/>
        </w:trPr>
        <w:tc>
          <w:tcPr>
            <w:tcW w:w="1400" w:type="dxa"/>
            <w:gridSpan w:val="4"/>
            <w:vAlign w:val="bottom"/>
          </w:tcPr>
          <w:p w:rsidR="00AC12B4" w:rsidRDefault="00C27636">
            <w:pPr>
              <w:rPr>
                <w:sz w:val="20"/>
                <w:szCs w:val="20"/>
              </w:rPr>
            </w:pPr>
            <w:r>
              <w:rPr>
                <w:rFonts w:ascii="Calibri" w:eastAsia="Calibri" w:hAnsi="Calibri" w:cs="Calibri"/>
              </w:rPr>
              <w:t>l’installation</w:t>
            </w:r>
          </w:p>
        </w:tc>
        <w:tc>
          <w:tcPr>
            <w:tcW w:w="860" w:type="dxa"/>
            <w:gridSpan w:val="2"/>
            <w:vAlign w:val="bottom"/>
          </w:tcPr>
          <w:p w:rsidR="00AC12B4" w:rsidRDefault="00C27636">
            <w:pPr>
              <w:ind w:right="230"/>
              <w:jc w:val="right"/>
              <w:rPr>
                <w:sz w:val="20"/>
                <w:szCs w:val="20"/>
              </w:rPr>
            </w:pPr>
            <w:r>
              <w:rPr>
                <w:rFonts w:ascii="Calibri" w:eastAsia="Calibri" w:hAnsi="Calibri" w:cs="Calibri"/>
                <w:w w:val="97"/>
              </w:rPr>
              <w:t>d’une</w:t>
            </w:r>
          </w:p>
        </w:tc>
        <w:tc>
          <w:tcPr>
            <w:tcW w:w="1080" w:type="dxa"/>
            <w:gridSpan w:val="2"/>
            <w:vAlign w:val="bottom"/>
          </w:tcPr>
          <w:p w:rsidR="00AC12B4" w:rsidRDefault="00C27636">
            <w:pPr>
              <w:rPr>
                <w:sz w:val="20"/>
                <w:szCs w:val="20"/>
              </w:rPr>
            </w:pPr>
            <w:r>
              <w:rPr>
                <w:rFonts w:ascii="Calibri" w:eastAsia="Calibri" w:hAnsi="Calibri" w:cs="Calibri"/>
                <w:w w:val="97"/>
              </w:rPr>
              <w:t>Commission</w:t>
            </w:r>
          </w:p>
        </w:tc>
        <w:tc>
          <w:tcPr>
            <w:tcW w:w="820" w:type="dxa"/>
            <w:vAlign w:val="bottom"/>
          </w:tcPr>
          <w:p w:rsidR="00AC12B4" w:rsidRDefault="00C27636">
            <w:pPr>
              <w:ind w:right="197"/>
              <w:jc w:val="right"/>
              <w:rPr>
                <w:sz w:val="20"/>
                <w:szCs w:val="20"/>
              </w:rPr>
            </w:pPr>
            <w:r>
              <w:rPr>
                <w:rFonts w:ascii="Calibri" w:eastAsia="Calibri" w:hAnsi="Calibri" w:cs="Calibri"/>
              </w:rPr>
              <w:t>de</w:t>
            </w:r>
          </w:p>
        </w:tc>
        <w:tc>
          <w:tcPr>
            <w:tcW w:w="5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4160" w:type="dxa"/>
            <w:gridSpan w:val="9"/>
            <w:vAlign w:val="bottom"/>
          </w:tcPr>
          <w:p w:rsidR="00AC12B4" w:rsidRPr="00C27636" w:rsidRDefault="00C27636">
            <w:pPr>
              <w:rPr>
                <w:sz w:val="20"/>
                <w:szCs w:val="20"/>
                <w:lang w:val="fr-BE"/>
              </w:rPr>
            </w:pPr>
            <w:r w:rsidRPr="00C27636">
              <w:rPr>
                <w:rFonts w:ascii="Calibri" w:eastAsia="Calibri" w:hAnsi="Calibri" w:cs="Calibri"/>
                <w:lang w:val="fr-BE"/>
              </w:rPr>
              <w:t>surveillance particulière, présidée par le</w:t>
            </w:r>
          </w:p>
        </w:tc>
        <w:tc>
          <w:tcPr>
            <w:tcW w:w="5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6"/>
        </w:trPr>
        <w:tc>
          <w:tcPr>
            <w:tcW w:w="2620" w:type="dxa"/>
            <w:gridSpan w:val="7"/>
            <w:vAlign w:val="bottom"/>
          </w:tcPr>
          <w:p w:rsidR="00AC12B4" w:rsidRDefault="00C27636">
            <w:pPr>
              <w:spacing w:line="267" w:lineRule="exact"/>
              <w:rPr>
                <w:sz w:val="20"/>
                <w:szCs w:val="20"/>
              </w:rPr>
            </w:pPr>
            <w:r>
              <w:rPr>
                <w:rFonts w:ascii="Calibri" w:eastAsia="Calibri" w:hAnsi="Calibri" w:cs="Calibri"/>
              </w:rPr>
              <w:t>Kinderrechtencommissaris</w:t>
            </w:r>
          </w:p>
        </w:tc>
        <w:tc>
          <w:tcPr>
            <w:tcW w:w="1540" w:type="dxa"/>
            <w:gridSpan w:val="2"/>
            <w:vAlign w:val="bottom"/>
          </w:tcPr>
          <w:p w:rsidR="00AC12B4" w:rsidRDefault="00C27636">
            <w:pPr>
              <w:spacing w:line="267" w:lineRule="exact"/>
              <w:ind w:right="197"/>
              <w:jc w:val="right"/>
              <w:rPr>
                <w:sz w:val="20"/>
                <w:szCs w:val="20"/>
              </w:rPr>
            </w:pPr>
            <w:r>
              <w:rPr>
                <w:rFonts w:ascii="Calibri" w:eastAsia="Calibri" w:hAnsi="Calibri" w:cs="Calibri"/>
              </w:rPr>
              <w:t>(Commissaire</w:t>
            </w:r>
          </w:p>
        </w:tc>
        <w:tc>
          <w:tcPr>
            <w:tcW w:w="5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2260" w:type="dxa"/>
            <w:gridSpan w:val="6"/>
            <w:vAlign w:val="bottom"/>
          </w:tcPr>
          <w:p w:rsidR="00AC12B4" w:rsidRDefault="00C27636">
            <w:pPr>
              <w:rPr>
                <w:sz w:val="20"/>
                <w:szCs w:val="20"/>
              </w:rPr>
            </w:pPr>
            <w:r>
              <w:rPr>
                <w:rFonts w:ascii="Calibri" w:eastAsia="Calibri" w:hAnsi="Calibri" w:cs="Calibri"/>
              </w:rPr>
              <w:t>aux Droits de l'Enfant)</w:t>
            </w:r>
          </w:p>
        </w:tc>
        <w:tc>
          <w:tcPr>
            <w:tcW w:w="360" w:type="dxa"/>
            <w:vAlign w:val="bottom"/>
          </w:tcPr>
          <w:p w:rsidR="00AC12B4" w:rsidRDefault="00AC12B4">
            <w:pPr>
              <w:rPr>
                <w:sz w:val="23"/>
                <w:szCs w:val="23"/>
              </w:rPr>
            </w:pPr>
          </w:p>
        </w:tc>
        <w:tc>
          <w:tcPr>
            <w:tcW w:w="720" w:type="dxa"/>
            <w:vAlign w:val="bottom"/>
          </w:tcPr>
          <w:p w:rsidR="00AC12B4" w:rsidRDefault="00AC12B4">
            <w:pPr>
              <w:rPr>
                <w:sz w:val="23"/>
                <w:szCs w:val="23"/>
              </w:rPr>
            </w:pPr>
          </w:p>
        </w:tc>
        <w:tc>
          <w:tcPr>
            <w:tcW w:w="820" w:type="dxa"/>
            <w:vAlign w:val="bottom"/>
          </w:tcPr>
          <w:p w:rsidR="00AC12B4" w:rsidRDefault="00AC12B4">
            <w:pPr>
              <w:rPr>
                <w:sz w:val="23"/>
                <w:szCs w:val="23"/>
              </w:rPr>
            </w:pPr>
          </w:p>
        </w:tc>
        <w:tc>
          <w:tcPr>
            <w:tcW w:w="560" w:type="dxa"/>
            <w:vAlign w:val="bottom"/>
          </w:tcPr>
          <w:p w:rsidR="00AC12B4" w:rsidRDefault="00AC12B4">
            <w:pPr>
              <w:rPr>
                <w:sz w:val="23"/>
                <w:szCs w:val="23"/>
              </w:rPr>
            </w:pPr>
          </w:p>
        </w:tc>
        <w:tc>
          <w:tcPr>
            <w:tcW w:w="0" w:type="dxa"/>
            <w:vAlign w:val="bottom"/>
          </w:tcPr>
          <w:p w:rsidR="00AC12B4" w:rsidRDefault="00AC12B4">
            <w:pPr>
              <w:rPr>
                <w:sz w:val="1"/>
                <w:szCs w:val="1"/>
              </w:rPr>
            </w:pPr>
          </w:p>
        </w:tc>
      </w:tr>
    </w:tbl>
    <w:p w:rsidR="00AC12B4" w:rsidRDefault="00AC12B4">
      <w:pPr>
        <w:spacing w:line="169" w:lineRule="exact"/>
        <w:rPr>
          <w:sz w:val="20"/>
          <w:szCs w:val="20"/>
        </w:rPr>
      </w:pPr>
    </w:p>
    <w:p w:rsidR="00AC12B4" w:rsidRPr="00C27636" w:rsidRDefault="00C27636">
      <w:pPr>
        <w:spacing w:line="218" w:lineRule="auto"/>
        <w:ind w:left="8" w:right="860"/>
        <w:jc w:val="both"/>
        <w:rPr>
          <w:sz w:val="20"/>
          <w:szCs w:val="20"/>
          <w:lang w:val="fr-BE"/>
        </w:rPr>
      </w:pPr>
      <w:r w:rsidRPr="00C27636">
        <w:rPr>
          <w:rFonts w:ascii="Calibri" w:eastAsia="Calibri" w:hAnsi="Calibri" w:cs="Calibri"/>
          <w:lang w:val="fr-BE"/>
        </w:rPr>
        <w:t xml:space="preserve">La tenue d’un registre des plaintes est envisagée en </w:t>
      </w:r>
      <w:r w:rsidRPr="00C27636">
        <w:rPr>
          <w:rFonts w:ascii="Calibri" w:eastAsia="Calibri" w:hAnsi="Calibri" w:cs="Calibri"/>
          <w:lang w:val="fr-BE"/>
        </w:rPr>
        <w:t>FWB.</w:t>
      </w:r>
    </w:p>
    <w:p w:rsidR="00AC12B4" w:rsidRPr="00C27636" w:rsidRDefault="00AC12B4">
      <w:pPr>
        <w:spacing w:line="130" w:lineRule="exact"/>
        <w:rPr>
          <w:sz w:val="20"/>
          <w:szCs w:val="20"/>
          <w:lang w:val="fr-BE"/>
        </w:rPr>
      </w:pPr>
    </w:p>
    <w:p w:rsidR="00AC12B4" w:rsidRPr="00C27636" w:rsidRDefault="00C27636">
      <w:pPr>
        <w:spacing w:line="231" w:lineRule="auto"/>
        <w:ind w:left="8" w:right="860"/>
        <w:jc w:val="both"/>
        <w:rPr>
          <w:sz w:val="20"/>
          <w:szCs w:val="20"/>
          <w:lang w:val="fr-BE"/>
        </w:rPr>
      </w:pPr>
      <w:r w:rsidRPr="00C27636">
        <w:rPr>
          <w:rFonts w:ascii="Calibri" w:eastAsia="Calibri" w:hAnsi="Calibri" w:cs="Calibri"/>
          <w:b/>
          <w:bCs/>
          <w:lang w:val="fr-BE"/>
        </w:rPr>
        <w:lastRenderedPageBreak/>
        <w:t>Pour les jeunes dessaisis</w:t>
      </w:r>
      <w:r w:rsidRPr="00C27636">
        <w:rPr>
          <w:rFonts w:ascii="Calibri" w:eastAsia="Calibri" w:hAnsi="Calibri" w:cs="Calibri"/>
          <w:lang w:val="fr-BE"/>
        </w:rPr>
        <w:t>, avant la 6</w:t>
      </w:r>
      <w:r w:rsidRPr="00C27636">
        <w:rPr>
          <w:rFonts w:ascii="Calibri" w:eastAsia="Calibri" w:hAnsi="Calibri" w:cs="Calibri"/>
          <w:sz w:val="27"/>
          <w:szCs w:val="27"/>
          <w:vertAlign w:val="superscript"/>
          <w:lang w:val="fr-BE"/>
        </w:rPr>
        <w:t>ième</w:t>
      </w:r>
      <w:r w:rsidRPr="00C27636">
        <w:rPr>
          <w:rFonts w:ascii="Calibri" w:eastAsia="Calibri" w:hAnsi="Calibri" w:cs="Calibri"/>
          <w:b/>
          <w:bCs/>
          <w:lang w:val="fr-BE"/>
        </w:rPr>
        <w:t xml:space="preserve"> </w:t>
      </w:r>
      <w:r w:rsidRPr="00C27636">
        <w:rPr>
          <w:rFonts w:ascii="Calibri" w:eastAsia="Calibri" w:hAnsi="Calibri" w:cs="Calibri"/>
          <w:lang w:val="fr-BE"/>
        </w:rPr>
        <w:t xml:space="preserve">réforme de l’Etat, les plaintes étaient traitées par les Commissions de surveillance pénitentiaire. La réforme étant en cours, le nouveau système n’est pas encore connu et les Commissions poursuivent leur </w:t>
      </w:r>
      <w:r w:rsidRPr="00C27636">
        <w:rPr>
          <w:rFonts w:ascii="Calibri" w:eastAsia="Calibri" w:hAnsi="Calibri" w:cs="Calibri"/>
          <w:lang w:val="fr-BE"/>
        </w:rPr>
        <w:t>travail.</w:t>
      </w:r>
    </w:p>
    <w:p w:rsidR="00AC12B4" w:rsidRPr="00C27636" w:rsidRDefault="00AC12B4">
      <w:pPr>
        <w:spacing w:line="171" w:lineRule="exact"/>
        <w:rPr>
          <w:sz w:val="20"/>
          <w:szCs w:val="20"/>
          <w:lang w:val="fr-BE"/>
        </w:rPr>
      </w:pPr>
    </w:p>
    <w:p w:rsidR="00AC12B4" w:rsidRPr="00C27636" w:rsidRDefault="00C27636">
      <w:pPr>
        <w:spacing w:line="218" w:lineRule="auto"/>
        <w:ind w:left="8" w:right="860"/>
        <w:jc w:val="both"/>
        <w:rPr>
          <w:sz w:val="20"/>
          <w:szCs w:val="20"/>
          <w:lang w:val="fr-BE"/>
        </w:rPr>
      </w:pPr>
      <w:r w:rsidRPr="00C27636">
        <w:rPr>
          <w:rFonts w:ascii="Calibri" w:eastAsia="Calibri" w:hAnsi="Calibri" w:cs="Calibri"/>
          <w:b/>
          <w:bCs/>
          <w:lang w:val="fr-BE"/>
        </w:rPr>
        <w:t xml:space="preserve">Pour les mineurs en unité de traitement intensif </w:t>
      </w:r>
      <w:r w:rsidRPr="00C27636">
        <w:rPr>
          <w:rFonts w:ascii="Calibri" w:eastAsia="Calibri" w:hAnsi="Calibri" w:cs="Calibri"/>
          <w:lang w:val="fr-BE"/>
        </w:rPr>
        <w:t>(les anciens FOR K)</w:t>
      </w:r>
    </w:p>
    <w:p w:rsidR="00AC12B4" w:rsidRPr="00C27636" w:rsidRDefault="00AC12B4">
      <w:pPr>
        <w:spacing w:line="170" w:lineRule="exact"/>
        <w:rPr>
          <w:sz w:val="20"/>
          <w:szCs w:val="20"/>
          <w:lang w:val="fr-BE"/>
        </w:rPr>
      </w:pPr>
    </w:p>
    <w:p w:rsidR="00AC12B4" w:rsidRPr="00C27636" w:rsidRDefault="00C27636">
      <w:pPr>
        <w:spacing w:line="225" w:lineRule="auto"/>
        <w:ind w:left="8" w:right="840"/>
        <w:jc w:val="both"/>
        <w:rPr>
          <w:sz w:val="20"/>
          <w:szCs w:val="20"/>
          <w:lang w:val="fr-BE"/>
        </w:rPr>
      </w:pPr>
      <w:r w:rsidRPr="00C27636">
        <w:rPr>
          <w:rFonts w:ascii="Calibri" w:eastAsia="Calibri" w:hAnsi="Calibri" w:cs="Calibri"/>
          <w:lang w:val="fr-BE"/>
        </w:rPr>
        <w:t>En FWB, une « Charte des droits spécifiques des patients mineurs d’âge faisant l’objet d’une mesure de soins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89152" behindDoc="1" locked="0" layoutInCell="0" allowOverlap="1">
                <wp:simplePos x="0" y="0"/>
                <wp:positionH relativeFrom="column">
                  <wp:posOffset>0</wp:posOffset>
                </wp:positionH>
                <wp:positionV relativeFrom="paragraph">
                  <wp:posOffset>198120</wp:posOffset>
                </wp:positionV>
                <wp:extent cx="1828800" cy="0"/>
                <wp:effectExtent l="0" t="0" r="0" b="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6pt" to="144pt,15.6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363" w:lineRule="exact"/>
        <w:rPr>
          <w:sz w:val="20"/>
          <w:szCs w:val="20"/>
          <w:lang w:val="fr-BE"/>
        </w:rPr>
      </w:pPr>
    </w:p>
    <w:p w:rsidR="00AC12B4" w:rsidRPr="00C27636" w:rsidRDefault="00C27636">
      <w:pPr>
        <w:numPr>
          <w:ilvl w:val="0"/>
          <w:numId w:val="363"/>
        </w:numPr>
        <w:tabs>
          <w:tab w:val="left" w:pos="143"/>
        </w:tabs>
        <w:spacing w:line="221" w:lineRule="auto"/>
        <w:ind w:left="8" w:right="860" w:hanging="8"/>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Voir entre autres art. 6, 7 et 36 Décret FWB relatif à l’aide à</w:t>
      </w:r>
      <w:r w:rsidRPr="00C27636">
        <w:rPr>
          <w:rFonts w:ascii="Calibri" w:eastAsia="Calibri" w:hAnsi="Calibri" w:cs="Calibri"/>
          <w:sz w:val="20"/>
          <w:szCs w:val="20"/>
          <w:lang w:val="fr-BE"/>
        </w:rPr>
        <w:t xml:space="preserve"> la jeunesse 1991 ; art. 6 et 45 du décret flamand relatif à l'aide intégrale à la jeunesse; art. 16 jusque 19 du Décret flamand sur la position juridique du mineur dans l’aide à la jeunesse intégrale.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4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 xml:space="preserve">Les droits des </w:t>
            </w:r>
            <w:r w:rsidRPr="00C27636">
              <w:rPr>
                <w:rFonts w:ascii="Calibri" w:eastAsia="Calibri" w:hAnsi="Calibri" w:cs="Calibri"/>
                <w:b/>
                <w:bCs/>
                <w:i/>
                <w:iCs/>
                <w:color w:val="F2F2F2"/>
                <w:sz w:val="27"/>
                <w:szCs w:val="27"/>
                <w:lang w:val="fr-BE"/>
              </w:rPr>
              <w:t>mineurs en contact avec la Justice</w:t>
            </w:r>
          </w:p>
        </w:tc>
      </w:tr>
    </w:tbl>
    <w:p w:rsidR="00AC12B4" w:rsidRPr="00C27636" w:rsidRDefault="00AC12B4">
      <w:pPr>
        <w:spacing w:line="1" w:lineRule="exact"/>
        <w:rPr>
          <w:sz w:val="20"/>
          <w:szCs w:val="20"/>
          <w:lang w:val="fr-BE"/>
        </w:rPr>
      </w:pPr>
    </w:p>
    <w:p w:rsidR="00AC12B4" w:rsidRPr="00C27636" w:rsidRDefault="00AC12B4">
      <w:pPr>
        <w:rPr>
          <w:lang w:val="fr-BE"/>
        </w:rPr>
        <w:sectPr w:rsidR="00AC12B4" w:rsidRPr="00C27636">
          <w:type w:val="continuous"/>
          <w:pgSz w:w="12080" w:h="17179"/>
          <w:pgMar w:top="1440" w:right="427" w:bottom="659" w:left="1120" w:header="0" w:footer="0" w:gutter="0"/>
          <w:cols w:num="3" w:space="720" w:equalWidth="0">
            <w:col w:w="4900" w:space="572"/>
            <w:col w:w="4728" w:space="0"/>
            <w:col w:w="330"/>
          </w:cols>
        </w:sectPr>
      </w:pPr>
    </w:p>
    <w:p w:rsidR="00AC12B4" w:rsidRDefault="00C27636">
      <w:pPr>
        <w:ind w:right="290"/>
        <w:jc w:val="center"/>
        <w:rPr>
          <w:sz w:val="20"/>
          <w:szCs w:val="20"/>
        </w:rPr>
      </w:pPr>
      <w:r>
        <w:rPr>
          <w:rFonts w:ascii="Calibri" w:eastAsia="Calibri" w:hAnsi="Calibri" w:cs="Calibri"/>
          <w:sz w:val="21"/>
          <w:szCs w:val="21"/>
        </w:rPr>
        <w:lastRenderedPageBreak/>
        <w:t>185</w:t>
      </w:r>
    </w:p>
    <w:p w:rsidR="00AC12B4" w:rsidRDefault="00AC12B4">
      <w:pPr>
        <w:sectPr w:rsidR="00AC12B4">
          <w:type w:val="continuous"/>
          <w:pgSz w:w="12080" w:h="17179"/>
          <w:pgMar w:top="1440" w:right="427" w:bottom="659" w:left="1120" w:header="0" w:footer="0" w:gutter="0"/>
          <w:cols w:space="720" w:equalWidth="0">
            <w:col w:w="10530"/>
          </w:cols>
        </w:sectPr>
      </w:pPr>
    </w:p>
    <w:bookmarkStart w:id="185" w:name="page186"/>
    <w:bookmarkEnd w:id="185"/>
    <w:p w:rsidR="00AC12B4" w:rsidRDefault="00C27636">
      <w:pPr>
        <w:spacing w:line="200" w:lineRule="exact"/>
        <w:rPr>
          <w:sz w:val="20"/>
          <w:szCs w:val="20"/>
        </w:rPr>
      </w:pPr>
      <w:r>
        <w:rPr>
          <w:noProof/>
          <w:sz w:val="20"/>
          <w:szCs w:val="20"/>
        </w:rPr>
        <w:lastRenderedPageBreak/>
        <mc:AlternateContent>
          <mc:Choice Requires="wps">
            <w:drawing>
              <wp:anchor distT="0" distB="0" distL="114300" distR="114300" simplePos="0" relativeHeight="251890176" behindDoc="1" locked="0" layoutInCell="0" allowOverlap="1">
                <wp:simplePos x="0" y="0"/>
                <wp:positionH relativeFrom="page">
                  <wp:posOffset>0</wp:posOffset>
                </wp:positionH>
                <wp:positionV relativeFrom="page">
                  <wp:posOffset>0</wp:posOffset>
                </wp:positionV>
                <wp:extent cx="699135" cy="10908665"/>
                <wp:effectExtent l="0" t="0" r="0" b="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61" o:spid="_x0000_s1586"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r>
        <w:rPr>
          <w:noProof/>
          <w:sz w:val="20"/>
          <w:szCs w:val="20"/>
        </w:rPr>
        <mc:AlternateContent>
          <mc:Choice Requires="wps">
            <w:drawing>
              <wp:anchor distT="0" distB="0" distL="114300" distR="114300" simplePos="0" relativeHeight="251891200" behindDoc="1" locked="0" layoutInCell="0" allowOverlap="1">
                <wp:simplePos x="0" y="0"/>
                <wp:positionH relativeFrom="page">
                  <wp:posOffset>403860</wp:posOffset>
                </wp:positionH>
                <wp:positionV relativeFrom="page">
                  <wp:posOffset>2243455</wp:posOffset>
                </wp:positionV>
                <wp:extent cx="2754630" cy="1211580"/>
                <wp:effectExtent l="0" t="0" r="0" b="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4630" cy="1211580"/>
                        </a:xfrm>
                        <a:prstGeom prst="rect">
                          <a:avLst/>
                        </a:prstGeom>
                        <a:solidFill>
                          <a:srgbClr val="FFFFFF"/>
                        </a:solidFill>
                      </wps:spPr>
                      <wps:bodyPr/>
                    </wps:wsp>
                  </a:graphicData>
                </a:graphic>
              </wp:anchor>
            </w:drawing>
          </mc:Choice>
          <mc:Fallback>
            <w:pict>
              <v:rect id="Shape 562" o:spid="_x0000_s1587" style="position:absolute;margin-left:31.8pt;margin-top:176.65pt;width:216.9pt;height:95.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r>
        <w:rPr>
          <w:noProof/>
          <w:sz w:val="20"/>
          <w:szCs w:val="20"/>
        </w:rPr>
        <mc:AlternateContent>
          <mc:Choice Requires="wps">
            <w:drawing>
              <wp:anchor distT="0" distB="0" distL="114300" distR="114300" simplePos="0" relativeHeight="251892224" behindDoc="1" locked="0" layoutInCell="0" allowOverlap="1">
                <wp:simplePos x="0" y="0"/>
                <wp:positionH relativeFrom="page">
                  <wp:posOffset>403860</wp:posOffset>
                </wp:positionH>
                <wp:positionV relativeFrom="page">
                  <wp:posOffset>2230755</wp:posOffset>
                </wp:positionV>
                <wp:extent cx="0" cy="1236980"/>
                <wp:effectExtent l="0" t="0" r="0" b="0"/>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3698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8pt,175.65pt" to="31.8pt,273.05pt" o:allowincell="f" strokecolor="#FEC930" strokeweight="2pt">
                <w10:wrap anchorx="page" anchory="page"/>
              </v:line>
            </w:pict>
          </mc:Fallback>
        </mc:AlternateContent>
      </w:r>
      <w:r>
        <w:rPr>
          <w:noProof/>
          <w:sz w:val="20"/>
          <w:szCs w:val="20"/>
        </w:rPr>
        <mc:AlternateContent>
          <mc:Choice Requires="wps">
            <w:drawing>
              <wp:anchor distT="0" distB="0" distL="114300" distR="114300" simplePos="0" relativeHeight="251893248" behindDoc="1" locked="0" layoutInCell="0" allowOverlap="1">
                <wp:simplePos x="0" y="0"/>
                <wp:positionH relativeFrom="page">
                  <wp:posOffset>391160</wp:posOffset>
                </wp:positionH>
                <wp:positionV relativeFrom="page">
                  <wp:posOffset>3455035</wp:posOffset>
                </wp:positionV>
                <wp:extent cx="2780030" cy="0"/>
                <wp:effectExtent l="0" t="0" r="0" b="0"/>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80030"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64" o:spid="_x0000_s15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8pt,272.05pt" to="249.7pt,272.05pt" o:allowincell="f" strokecolor="#FEC930" strokeweight="2pt">
                <w10:wrap anchorx="page" anchory="page"/>
              </v:line>
            </w:pict>
          </mc:Fallback>
        </mc:AlternateContent>
      </w:r>
      <w:r>
        <w:rPr>
          <w:noProof/>
          <w:sz w:val="20"/>
          <w:szCs w:val="20"/>
        </w:rPr>
        <mc:AlternateContent>
          <mc:Choice Requires="wps">
            <w:drawing>
              <wp:anchor distT="0" distB="0" distL="114300" distR="114300" simplePos="0" relativeHeight="251894272" behindDoc="1" locked="0" layoutInCell="0" allowOverlap="1">
                <wp:simplePos x="0" y="0"/>
                <wp:positionH relativeFrom="page">
                  <wp:posOffset>391160</wp:posOffset>
                </wp:positionH>
                <wp:positionV relativeFrom="page">
                  <wp:posOffset>2243455</wp:posOffset>
                </wp:positionV>
                <wp:extent cx="2780030" cy="0"/>
                <wp:effectExtent l="0" t="0" r="0" b="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80030"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8pt,176.65pt" to="249.7pt,176.65pt" o:allowincell="f" strokecolor="#FEC930" strokeweight="2pt">
                <w10:wrap anchorx="page" anchory="page"/>
              </v:line>
            </w:pict>
          </mc:Fallback>
        </mc:AlternateContent>
      </w:r>
      <w:r>
        <w:rPr>
          <w:noProof/>
          <w:sz w:val="20"/>
          <w:szCs w:val="20"/>
        </w:rPr>
        <mc:AlternateContent>
          <mc:Choice Requires="wps">
            <w:drawing>
              <wp:anchor distT="0" distB="0" distL="114300" distR="114300" simplePos="0" relativeHeight="251895296" behindDoc="1" locked="0" layoutInCell="0" allowOverlap="1">
                <wp:simplePos x="0" y="0"/>
                <wp:positionH relativeFrom="page">
                  <wp:posOffset>3158490</wp:posOffset>
                </wp:positionH>
                <wp:positionV relativeFrom="page">
                  <wp:posOffset>2230755</wp:posOffset>
                </wp:positionV>
                <wp:extent cx="0" cy="1236980"/>
                <wp:effectExtent l="0" t="0" r="0" b="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3698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8.7pt,175.65pt" to="248.7pt,273.05pt" o:allowincell="f" strokecolor="#FEC930" strokeweight="2pt">
                <w10:wrap anchorx="page" anchory="page"/>
              </v:line>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1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left="641" w:right="520"/>
        <w:rPr>
          <w:sz w:val="20"/>
          <w:szCs w:val="20"/>
          <w:lang w:val="fr-BE"/>
        </w:rPr>
      </w:pPr>
      <w:r w:rsidRPr="00C27636">
        <w:rPr>
          <w:rFonts w:ascii="Calibri" w:eastAsia="Calibri" w:hAnsi="Calibri" w:cs="Calibri"/>
          <w:lang w:val="fr-BE"/>
        </w:rPr>
        <w:t>médico-psychologiques obligés » s’applique.</w:t>
      </w:r>
    </w:p>
    <w:p w:rsidR="00AC12B4" w:rsidRPr="00C27636" w:rsidRDefault="00AC12B4">
      <w:pPr>
        <w:spacing w:line="170" w:lineRule="exact"/>
        <w:rPr>
          <w:sz w:val="20"/>
          <w:szCs w:val="20"/>
          <w:lang w:val="fr-BE"/>
        </w:rPr>
      </w:pPr>
    </w:p>
    <w:p w:rsidR="00AC12B4" w:rsidRPr="00C27636" w:rsidRDefault="00C27636">
      <w:pPr>
        <w:spacing w:line="218" w:lineRule="auto"/>
        <w:ind w:left="641" w:right="520"/>
        <w:rPr>
          <w:sz w:val="20"/>
          <w:szCs w:val="20"/>
          <w:lang w:val="fr-BE"/>
        </w:rPr>
      </w:pPr>
      <w:r w:rsidRPr="00C27636">
        <w:rPr>
          <w:rFonts w:ascii="Calibri" w:eastAsia="Calibri" w:hAnsi="Calibri" w:cs="Calibri"/>
          <w:lang w:val="fr-BE"/>
        </w:rPr>
        <w:t xml:space="preserve">En </w:t>
      </w:r>
      <w:r w:rsidRPr="00C27636">
        <w:rPr>
          <w:rFonts w:ascii="Calibri" w:eastAsia="Calibri" w:hAnsi="Calibri" w:cs="Calibri"/>
          <w:lang w:val="fr-BE"/>
        </w:rPr>
        <w:t>Communauté flamande, le décret relatif à l'aide intégrale à la jeunesse s’applique.</w:t>
      </w:r>
    </w:p>
    <w:p w:rsidR="00AC12B4" w:rsidRPr="00C27636" w:rsidRDefault="00AC12B4">
      <w:pPr>
        <w:spacing w:line="167" w:lineRule="exact"/>
        <w:rPr>
          <w:sz w:val="20"/>
          <w:szCs w:val="20"/>
          <w:lang w:val="fr-BE"/>
        </w:rPr>
      </w:pPr>
    </w:p>
    <w:p w:rsidR="00AC12B4" w:rsidRPr="00C27636" w:rsidRDefault="00C27636">
      <w:pPr>
        <w:spacing w:line="218" w:lineRule="auto"/>
        <w:ind w:left="641" w:right="520"/>
        <w:rPr>
          <w:sz w:val="20"/>
          <w:szCs w:val="20"/>
          <w:lang w:val="fr-BE"/>
        </w:rPr>
      </w:pPr>
      <w:r w:rsidRPr="00C27636">
        <w:rPr>
          <w:rFonts w:ascii="Calibri" w:eastAsia="Calibri" w:hAnsi="Calibri" w:cs="Calibri"/>
          <w:lang w:val="fr-BE"/>
        </w:rPr>
        <w:t>En termes de contrôle externe, le DGDE et le KRC n’ont pas de mandat clair vu la</w:t>
      </w:r>
    </w:p>
    <w:p w:rsidR="00AC12B4" w:rsidRPr="00C27636" w:rsidRDefault="00AC12B4">
      <w:pPr>
        <w:spacing w:line="180" w:lineRule="exact"/>
        <w:rPr>
          <w:sz w:val="20"/>
          <w:szCs w:val="20"/>
          <w:lang w:val="fr-BE"/>
        </w:rPr>
      </w:pPr>
    </w:p>
    <w:p w:rsidR="00AC12B4" w:rsidRPr="00C27636" w:rsidRDefault="00C27636">
      <w:pPr>
        <w:spacing w:line="234" w:lineRule="auto"/>
        <w:ind w:left="1" w:right="1400" w:firstLine="341"/>
        <w:rPr>
          <w:sz w:val="20"/>
          <w:szCs w:val="20"/>
          <w:lang w:val="fr-BE"/>
        </w:rPr>
      </w:pPr>
      <w:r w:rsidRPr="00C27636">
        <w:rPr>
          <w:rFonts w:eastAsia="Times New Roman"/>
          <w:b/>
          <w:bCs/>
          <w:color w:val="CF9901"/>
          <w:sz w:val="20"/>
          <w:szCs w:val="20"/>
          <w:lang w:val="fr-BE"/>
        </w:rPr>
        <w:t>Questionnement proposé dans le cadre d’une enquête spécifique:</w:t>
      </w:r>
    </w:p>
    <w:p w:rsidR="00AC12B4" w:rsidRPr="00C27636" w:rsidRDefault="00AC12B4">
      <w:pPr>
        <w:spacing w:line="227" w:lineRule="exact"/>
        <w:rPr>
          <w:sz w:val="20"/>
          <w:szCs w:val="20"/>
          <w:lang w:val="fr-BE"/>
        </w:rPr>
      </w:pPr>
    </w:p>
    <w:p w:rsidR="00AC12B4" w:rsidRDefault="00C27636">
      <w:pPr>
        <w:ind w:left="1"/>
        <w:rPr>
          <w:sz w:val="20"/>
          <w:szCs w:val="20"/>
        </w:rPr>
      </w:pPr>
      <w:r>
        <w:rPr>
          <w:rFonts w:ascii="Calibri" w:eastAsia="Calibri" w:hAnsi="Calibri" w:cs="Calibri"/>
        </w:rPr>
        <w:t>-Sentiment d’être réellem</w:t>
      </w:r>
      <w:r>
        <w:rPr>
          <w:rFonts w:ascii="Calibri" w:eastAsia="Calibri" w:hAnsi="Calibri" w:cs="Calibri"/>
        </w:rPr>
        <w:t>ent entendu</w:t>
      </w:r>
    </w:p>
    <w:p w:rsidR="00AC12B4" w:rsidRDefault="00AC12B4">
      <w:pPr>
        <w:spacing w:line="169" w:lineRule="exact"/>
        <w:rPr>
          <w:sz w:val="20"/>
          <w:szCs w:val="20"/>
        </w:rPr>
      </w:pPr>
    </w:p>
    <w:p w:rsidR="00AC12B4" w:rsidRPr="00C27636" w:rsidRDefault="00C27636">
      <w:pPr>
        <w:numPr>
          <w:ilvl w:val="0"/>
          <w:numId w:val="364"/>
        </w:numPr>
        <w:tabs>
          <w:tab w:val="left" w:pos="118"/>
        </w:tabs>
        <w:spacing w:line="218" w:lineRule="auto"/>
        <w:ind w:left="1" w:right="1040" w:hanging="1"/>
        <w:rPr>
          <w:rFonts w:ascii="Calibri" w:eastAsia="Calibri" w:hAnsi="Calibri" w:cs="Calibri"/>
          <w:lang w:val="fr-BE"/>
        </w:rPr>
      </w:pPr>
      <w:r w:rsidRPr="00C27636">
        <w:rPr>
          <w:rFonts w:ascii="Calibri" w:eastAsia="Calibri" w:hAnsi="Calibri" w:cs="Calibri"/>
          <w:lang w:val="fr-BE"/>
        </w:rPr>
        <w:t>Sentiment d’avoir son mot à dire dans le cadre de son placement</w:t>
      </w:r>
    </w:p>
    <w:p w:rsidR="00AC12B4" w:rsidRPr="00C27636" w:rsidRDefault="00AC12B4">
      <w:pPr>
        <w:spacing w:line="200" w:lineRule="exact"/>
        <w:rPr>
          <w:sz w:val="20"/>
          <w:szCs w:val="20"/>
          <w:lang w:val="fr-BE"/>
        </w:rPr>
      </w:pPr>
    </w:p>
    <w:p w:rsidR="00AC12B4" w:rsidRPr="00C27636" w:rsidRDefault="00AC12B4">
      <w:pPr>
        <w:spacing w:line="218" w:lineRule="exact"/>
        <w:rPr>
          <w:sz w:val="20"/>
          <w:szCs w:val="20"/>
          <w:lang w:val="fr-BE"/>
        </w:rPr>
      </w:pPr>
    </w:p>
    <w:p w:rsidR="00AC12B4" w:rsidRPr="00C27636" w:rsidRDefault="00C27636">
      <w:pPr>
        <w:spacing w:line="229" w:lineRule="auto"/>
        <w:ind w:left="641" w:right="520"/>
        <w:jc w:val="both"/>
        <w:rPr>
          <w:sz w:val="20"/>
          <w:szCs w:val="20"/>
          <w:lang w:val="fr-BE"/>
        </w:rPr>
      </w:pPr>
      <w:r w:rsidRPr="00C27636">
        <w:rPr>
          <w:rFonts w:ascii="Calibri" w:eastAsia="Calibri" w:hAnsi="Calibri" w:cs="Calibri"/>
          <w:lang w:val="fr-BE"/>
        </w:rPr>
        <w:t>compétence mixte (fédérale/Cté-Région). La loi relative aux droits des patients s’applique, mais son champ d’application est limité au personnel médical.</w:t>
      </w:r>
    </w:p>
    <w:p w:rsidR="00AC12B4" w:rsidRPr="00C27636" w:rsidRDefault="00AC12B4">
      <w:pPr>
        <w:spacing w:line="207" w:lineRule="exact"/>
        <w:rPr>
          <w:sz w:val="20"/>
          <w:szCs w:val="20"/>
          <w:lang w:val="fr-BE"/>
        </w:rPr>
      </w:pPr>
    </w:p>
    <w:p w:rsidR="00AC12B4" w:rsidRPr="00C27636" w:rsidRDefault="00C27636">
      <w:pPr>
        <w:ind w:left="641"/>
        <w:rPr>
          <w:sz w:val="20"/>
          <w:szCs w:val="20"/>
          <w:lang w:val="fr-BE"/>
        </w:rPr>
      </w:pPr>
      <w:r w:rsidRPr="00C27636">
        <w:rPr>
          <w:rFonts w:ascii="Cambria" w:eastAsia="Cambria" w:hAnsi="Cambria" w:cs="Cambria"/>
          <w:b/>
          <w:bCs/>
          <w:i/>
          <w:iCs/>
          <w:color w:val="CF9901"/>
          <w:sz w:val="26"/>
          <w:szCs w:val="26"/>
          <w:lang w:val="fr-BE"/>
        </w:rPr>
        <w:t>Self-report</w:t>
      </w:r>
    </w:p>
    <w:p w:rsidR="00AC12B4" w:rsidRPr="00C27636" w:rsidRDefault="00AC12B4">
      <w:pPr>
        <w:spacing w:line="159" w:lineRule="exact"/>
        <w:rPr>
          <w:sz w:val="20"/>
          <w:szCs w:val="20"/>
          <w:lang w:val="fr-BE"/>
        </w:rPr>
      </w:pPr>
    </w:p>
    <w:p w:rsidR="00AC12B4" w:rsidRPr="00C27636" w:rsidRDefault="00C27636">
      <w:pPr>
        <w:ind w:left="-120"/>
        <w:jc w:val="center"/>
        <w:rPr>
          <w:sz w:val="20"/>
          <w:szCs w:val="20"/>
          <w:lang w:val="fr-BE"/>
        </w:rPr>
      </w:pPr>
      <w:r w:rsidRPr="00C27636">
        <w:rPr>
          <w:rFonts w:ascii="Calibri" w:eastAsia="Calibri" w:hAnsi="Calibri" w:cs="Calibri"/>
          <w:lang w:val="fr-BE"/>
        </w:rPr>
        <w:t>L’approche la plus pertinente est celle du</w:t>
      </w:r>
    </w:p>
    <w:p w:rsidR="00AC12B4" w:rsidRPr="00C27636" w:rsidRDefault="00AC12B4">
      <w:pPr>
        <w:spacing w:line="49" w:lineRule="exact"/>
        <w:rPr>
          <w:sz w:val="20"/>
          <w:szCs w:val="20"/>
          <w:lang w:val="fr-BE"/>
        </w:rPr>
      </w:pPr>
    </w:p>
    <w:p w:rsidR="00AC12B4" w:rsidRPr="00C27636" w:rsidRDefault="00C27636">
      <w:pPr>
        <w:numPr>
          <w:ilvl w:val="0"/>
          <w:numId w:val="365"/>
        </w:numPr>
        <w:tabs>
          <w:tab w:val="left" w:pos="804"/>
        </w:tabs>
        <w:spacing w:line="229" w:lineRule="auto"/>
        <w:ind w:left="641" w:right="520"/>
        <w:jc w:val="both"/>
        <w:rPr>
          <w:rFonts w:ascii="Calibri" w:eastAsia="Calibri" w:hAnsi="Calibri" w:cs="Calibri"/>
          <w:lang w:val="fr-BE"/>
        </w:rPr>
      </w:pPr>
      <w:r w:rsidRPr="00C27636">
        <w:rPr>
          <w:rFonts w:ascii="Calibri" w:eastAsia="Calibri" w:hAnsi="Calibri" w:cs="Calibri"/>
          <w:lang w:val="fr-BE"/>
        </w:rPr>
        <w:t>self-report ». Les enfants eux-mêmes évalueront l’effectivité de leur droit d’être entendu et leur participation dans le cadre de leur placement.</w:t>
      </w:r>
    </w:p>
    <w:p w:rsidR="00AC12B4" w:rsidRPr="00C27636" w:rsidRDefault="00AC12B4">
      <w:pPr>
        <w:spacing w:line="171" w:lineRule="exact"/>
        <w:rPr>
          <w:sz w:val="20"/>
          <w:szCs w:val="20"/>
          <w:lang w:val="fr-BE"/>
        </w:rPr>
      </w:pPr>
    </w:p>
    <w:p w:rsidR="00AC12B4" w:rsidRPr="00C27636" w:rsidRDefault="00C27636">
      <w:pPr>
        <w:spacing w:line="210" w:lineRule="auto"/>
        <w:ind w:left="641" w:right="520"/>
        <w:rPr>
          <w:sz w:val="20"/>
          <w:szCs w:val="20"/>
          <w:lang w:val="fr-BE"/>
        </w:rPr>
      </w:pPr>
      <w:r w:rsidRPr="00C27636">
        <w:rPr>
          <w:rFonts w:ascii="Calibri" w:eastAsia="Calibri" w:hAnsi="Calibri" w:cs="Calibri"/>
          <w:lang w:val="fr-BE"/>
        </w:rPr>
        <w:t>Actuellement, aucun self-report de ce type n’existe</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AC12B4">
      <w:pPr>
        <w:spacing w:line="171" w:lineRule="exact"/>
        <w:rPr>
          <w:sz w:val="20"/>
          <w:szCs w:val="20"/>
          <w:lang w:val="fr-BE"/>
        </w:rPr>
      </w:pPr>
    </w:p>
    <w:p w:rsidR="00AC12B4" w:rsidRPr="00C27636" w:rsidRDefault="00C27636">
      <w:pPr>
        <w:ind w:left="641"/>
        <w:rPr>
          <w:sz w:val="20"/>
          <w:szCs w:val="20"/>
          <w:lang w:val="fr-BE"/>
        </w:rPr>
      </w:pPr>
      <w:r w:rsidRPr="00C27636">
        <w:rPr>
          <w:rFonts w:ascii="Cambria" w:eastAsia="Cambria" w:hAnsi="Cambria" w:cs="Cambria"/>
          <w:b/>
          <w:bCs/>
          <w:i/>
          <w:iCs/>
          <w:color w:val="CF9901"/>
          <w:sz w:val="26"/>
          <w:szCs w:val="26"/>
          <w:lang w:val="fr-BE"/>
        </w:rPr>
        <w:t>Recommanda</w:t>
      </w:r>
      <w:r w:rsidRPr="00C27636">
        <w:rPr>
          <w:rFonts w:ascii="Cambria" w:eastAsia="Cambria" w:hAnsi="Cambria" w:cs="Cambria"/>
          <w:b/>
          <w:bCs/>
          <w:i/>
          <w:iCs/>
          <w:color w:val="CF9901"/>
          <w:sz w:val="26"/>
          <w:szCs w:val="26"/>
          <w:lang w:val="fr-BE"/>
        </w:rPr>
        <w:t>tions</w:t>
      </w:r>
    </w:p>
    <w:p w:rsidR="00AC12B4" w:rsidRPr="00C27636" w:rsidRDefault="00AC12B4">
      <w:pPr>
        <w:spacing w:line="208" w:lineRule="exact"/>
        <w:rPr>
          <w:sz w:val="20"/>
          <w:szCs w:val="20"/>
          <w:lang w:val="fr-BE"/>
        </w:rPr>
      </w:pPr>
    </w:p>
    <w:p w:rsidR="00AC12B4" w:rsidRPr="00C27636" w:rsidRDefault="00C27636">
      <w:pPr>
        <w:spacing w:line="231" w:lineRule="auto"/>
        <w:ind w:left="641" w:right="520"/>
        <w:jc w:val="both"/>
        <w:rPr>
          <w:sz w:val="20"/>
          <w:szCs w:val="20"/>
          <w:lang w:val="fr-BE"/>
        </w:rPr>
      </w:pPr>
      <w:r w:rsidRPr="00C27636">
        <w:rPr>
          <w:rFonts w:ascii="Calibri" w:eastAsia="Calibri" w:hAnsi="Calibri" w:cs="Calibri"/>
          <w:lang w:val="fr-BE"/>
        </w:rPr>
        <w:t>Une enquête spéciale via les avocats des mineurs et via les tuteurs pour mineurs étrangers devrait être réalisée et questionner le vécu du droit à la participation (Cf. encadré).</w:t>
      </w:r>
    </w:p>
    <w:p w:rsidR="00AC12B4" w:rsidRPr="00C27636" w:rsidRDefault="00AC12B4">
      <w:pPr>
        <w:spacing w:line="172" w:lineRule="exact"/>
        <w:rPr>
          <w:sz w:val="20"/>
          <w:szCs w:val="20"/>
          <w:lang w:val="fr-BE"/>
        </w:rPr>
      </w:pPr>
    </w:p>
    <w:p w:rsidR="00AC12B4" w:rsidRPr="00C27636" w:rsidRDefault="00C27636">
      <w:pPr>
        <w:spacing w:line="217" w:lineRule="auto"/>
        <w:ind w:left="641" w:right="520"/>
        <w:jc w:val="both"/>
        <w:rPr>
          <w:sz w:val="20"/>
          <w:szCs w:val="20"/>
          <w:lang w:val="fr-BE"/>
        </w:rPr>
      </w:pPr>
      <w:r w:rsidRPr="00C27636">
        <w:rPr>
          <w:rFonts w:ascii="Calibri" w:eastAsia="Calibri" w:hAnsi="Calibri" w:cs="Calibri"/>
          <w:lang w:val="fr-BE"/>
        </w:rPr>
        <w:t>Les contours d’une telle enquête spéciale sont décrits dans la sectio</w:t>
      </w:r>
      <w:r w:rsidRPr="00C27636">
        <w:rPr>
          <w:rFonts w:ascii="Calibri" w:eastAsia="Calibri" w:hAnsi="Calibri" w:cs="Calibri"/>
          <w:lang w:val="fr-BE"/>
        </w:rPr>
        <w:t>n « Atteindre les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896320" behindDoc="1" locked="0" layoutInCell="0" allowOverlap="1">
                <wp:simplePos x="0" y="0"/>
                <wp:positionH relativeFrom="column">
                  <wp:posOffset>407035</wp:posOffset>
                </wp:positionH>
                <wp:positionV relativeFrom="paragraph">
                  <wp:posOffset>174625</wp:posOffset>
                </wp:positionV>
                <wp:extent cx="1828800" cy="0"/>
                <wp:effectExtent l="0" t="0" r="0" b="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5pt,13.75pt" to="176.05pt,13.7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78" w:lineRule="exact"/>
        <w:rPr>
          <w:sz w:val="20"/>
          <w:szCs w:val="20"/>
          <w:lang w:val="fr-BE"/>
        </w:rPr>
      </w:pPr>
    </w:p>
    <w:p w:rsidR="00AC12B4" w:rsidRPr="00C27636" w:rsidRDefault="00C27636">
      <w:pPr>
        <w:spacing w:line="235" w:lineRule="auto"/>
        <w:ind w:left="641" w:right="520"/>
        <w:jc w:val="both"/>
        <w:rPr>
          <w:sz w:val="20"/>
          <w:szCs w:val="20"/>
          <w:lang w:val="fr-BE"/>
        </w:rPr>
      </w:pPr>
      <w:r w:rsidRPr="00C27636">
        <w:rPr>
          <w:rFonts w:ascii="Calibri" w:eastAsia="Calibri" w:hAnsi="Calibri" w:cs="Calibri"/>
          <w:sz w:val="25"/>
          <w:szCs w:val="25"/>
          <w:vertAlign w:val="superscript"/>
          <w:lang w:val="fr-BE"/>
        </w:rPr>
        <w:t>2</w:t>
      </w:r>
      <w:r w:rsidRPr="00C27636">
        <w:rPr>
          <w:rFonts w:ascii="Calibri" w:eastAsia="Calibri" w:hAnsi="Calibri" w:cs="Calibri"/>
          <w:sz w:val="20"/>
          <w:szCs w:val="20"/>
          <w:lang w:val="fr-BE"/>
        </w:rPr>
        <w:t xml:space="preserve"> Notons qu’en FWB, un questionnaire anonymisé est prévu sur tous les aspects du placement après un mois. Selon les directions interviewées par les chercheurs de DEI, le questionnaire n’est souvent pas rempli. Les jeunes interviewés doutent du suivi qui y s</w:t>
      </w:r>
      <w:r w:rsidRPr="00C27636">
        <w:rPr>
          <w:rFonts w:ascii="Calibri" w:eastAsia="Calibri" w:hAnsi="Calibri" w:cs="Calibri"/>
          <w:sz w:val="20"/>
          <w:szCs w:val="20"/>
          <w:lang w:val="fr-BE"/>
        </w:rPr>
        <w:t>era donné. Ce suivi est prévu par art. 79 Code IPPJ. Les chercheurs de DEI Belgique (</w:t>
      </w:r>
      <w:r w:rsidRPr="00C27636">
        <w:rPr>
          <w:rFonts w:ascii="Calibri" w:eastAsia="Calibri" w:hAnsi="Calibri" w:cs="Calibri"/>
          <w:i/>
          <w:iCs/>
          <w:sz w:val="20"/>
          <w:szCs w:val="20"/>
          <w:lang w:val="fr-BE"/>
        </w:rPr>
        <w:t>cf infra</w:t>
      </w:r>
      <w:r w:rsidRPr="00C27636">
        <w:rPr>
          <w:rFonts w:ascii="Calibri" w:eastAsia="Calibri" w:hAnsi="Calibri" w:cs="Calibri"/>
          <w:sz w:val="20"/>
          <w:szCs w:val="20"/>
          <w:lang w:val="fr-BE"/>
        </w:rPr>
        <w:t xml:space="preserve">) proposent de leur soumettre le questionnaire plus tôt pendant leur séjour, pour que les jeunes aient confiance en ce que cela puisse avoir un effet sur leur </w:t>
      </w:r>
      <w:r w:rsidRPr="00C27636">
        <w:rPr>
          <w:rFonts w:ascii="Calibri" w:eastAsia="Calibri" w:hAnsi="Calibri" w:cs="Calibri"/>
          <w:sz w:val="20"/>
          <w:szCs w:val="20"/>
          <w:lang w:val="fr-BE"/>
        </w:rPr>
        <w:t>situation concrète.</w:t>
      </w:r>
    </w:p>
    <w:p w:rsidR="00AC12B4" w:rsidRPr="00C27636" w:rsidRDefault="00AC12B4">
      <w:pPr>
        <w:spacing w:line="245"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lastRenderedPageBreak/>
        <w:t>186</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18" w:lineRule="auto"/>
        <w:ind w:right="737"/>
        <w:rPr>
          <w:sz w:val="20"/>
          <w:szCs w:val="20"/>
          <w:lang w:val="fr-BE"/>
        </w:rPr>
      </w:pPr>
      <w:r w:rsidRPr="00C27636">
        <w:rPr>
          <w:rFonts w:ascii="Calibri" w:eastAsia="Calibri" w:hAnsi="Calibri" w:cs="Calibri"/>
          <w:lang w:val="fr-BE"/>
        </w:rPr>
        <w:t>plus vulnérables » (Partie I de cette publication)</w:t>
      </w:r>
    </w:p>
    <w:p w:rsidR="00AC12B4" w:rsidRPr="00C27636" w:rsidRDefault="00AC12B4">
      <w:pPr>
        <w:spacing w:line="207" w:lineRule="exact"/>
        <w:rPr>
          <w:sz w:val="20"/>
          <w:szCs w:val="20"/>
          <w:lang w:val="fr-BE"/>
        </w:rPr>
      </w:pPr>
    </w:p>
    <w:p w:rsidR="00AC12B4" w:rsidRDefault="00C27636">
      <w:pPr>
        <w:rPr>
          <w:sz w:val="20"/>
          <w:szCs w:val="20"/>
        </w:rPr>
      </w:pPr>
      <w:r>
        <w:rPr>
          <w:rFonts w:ascii="Cambria" w:eastAsia="Cambria" w:hAnsi="Cambria" w:cs="Cambria"/>
          <w:b/>
          <w:bCs/>
          <w:i/>
          <w:iCs/>
          <w:color w:val="CF9901"/>
          <w:sz w:val="26"/>
          <w:szCs w:val="26"/>
        </w:rPr>
        <w:t>Pour aller plus loin</w:t>
      </w:r>
    </w:p>
    <w:p w:rsidR="00AC12B4" w:rsidRDefault="00AC12B4">
      <w:pPr>
        <w:spacing w:line="299" w:lineRule="exact"/>
        <w:rPr>
          <w:sz w:val="20"/>
          <w:szCs w:val="20"/>
        </w:rPr>
      </w:pPr>
    </w:p>
    <w:p w:rsidR="00AC12B4" w:rsidRPr="00C27636" w:rsidRDefault="00C27636">
      <w:pPr>
        <w:numPr>
          <w:ilvl w:val="0"/>
          <w:numId w:val="366"/>
        </w:numPr>
        <w:tabs>
          <w:tab w:val="left" w:pos="440"/>
        </w:tabs>
        <w:spacing w:line="244" w:lineRule="auto"/>
        <w:ind w:left="440" w:right="737" w:hanging="367"/>
        <w:rPr>
          <w:rFonts w:ascii="Symbol" w:eastAsia="Symbol" w:hAnsi="Symbol" w:cs="Symbol"/>
          <w:sz w:val="19"/>
          <w:szCs w:val="19"/>
          <w:lang w:val="fr-BE"/>
        </w:rPr>
      </w:pPr>
      <w:r w:rsidRPr="00C27636">
        <w:rPr>
          <w:rFonts w:ascii="Calibri" w:eastAsia="Calibri" w:hAnsi="Calibri" w:cs="Calibri"/>
          <w:b/>
          <w:bCs/>
          <w:i/>
          <w:iCs/>
          <w:color w:val="FEC930"/>
          <w:sz w:val="19"/>
          <w:szCs w:val="19"/>
          <w:lang w:val="fr-BE"/>
        </w:rPr>
        <w:t>Autre indicateur pertinent</w:t>
      </w:r>
      <w:r w:rsidRPr="00C27636">
        <w:rPr>
          <w:rFonts w:ascii="Calibri" w:eastAsia="Calibri" w:hAnsi="Calibri" w:cs="Calibri"/>
          <w:color w:val="FEC930"/>
          <w:sz w:val="19"/>
          <w:szCs w:val="19"/>
          <w:lang w:val="fr-BE"/>
        </w:rPr>
        <w:t>:</w:t>
      </w:r>
      <w:r w:rsidRPr="00C27636">
        <w:rPr>
          <w:rFonts w:ascii="Calibri" w:eastAsia="Calibri" w:hAnsi="Calibri" w:cs="Calibri"/>
          <w:b/>
          <w:bCs/>
          <w:i/>
          <w:iCs/>
          <w:color w:val="FEC930"/>
          <w:sz w:val="19"/>
          <w:szCs w:val="19"/>
          <w:lang w:val="fr-BE"/>
        </w:rPr>
        <w:t xml:space="preserve"> </w:t>
      </w:r>
      <w:r w:rsidRPr="00C27636">
        <w:rPr>
          <w:rFonts w:ascii="Calibri" w:eastAsia="Calibri" w:hAnsi="Calibri" w:cs="Calibri"/>
          <w:color w:val="000000"/>
          <w:sz w:val="19"/>
          <w:szCs w:val="19"/>
          <w:lang w:val="fr-BE"/>
        </w:rPr>
        <w:t>« Participation</w:t>
      </w:r>
      <w:r w:rsidRPr="00C27636">
        <w:rPr>
          <w:rFonts w:ascii="Calibri" w:eastAsia="Calibri" w:hAnsi="Calibri" w:cs="Calibri"/>
          <w:b/>
          <w:bCs/>
          <w:i/>
          <w:iCs/>
          <w:color w:val="FEC930"/>
          <w:sz w:val="19"/>
          <w:szCs w:val="19"/>
          <w:lang w:val="fr-BE"/>
        </w:rPr>
        <w:t xml:space="preserve"> </w:t>
      </w:r>
      <w:r w:rsidRPr="00C27636">
        <w:rPr>
          <w:rFonts w:ascii="Calibri" w:eastAsia="Calibri" w:hAnsi="Calibri" w:cs="Calibri"/>
          <w:color w:val="000000"/>
          <w:sz w:val="19"/>
          <w:szCs w:val="19"/>
          <w:lang w:val="fr-BE"/>
        </w:rPr>
        <w:t>dans des procédures judiciaires »</w:t>
      </w:r>
    </w:p>
    <w:p w:rsidR="00AC12B4" w:rsidRPr="00C27636" w:rsidRDefault="00AC12B4">
      <w:pPr>
        <w:spacing w:line="251" w:lineRule="exact"/>
        <w:rPr>
          <w:rFonts w:ascii="Symbol" w:eastAsia="Symbol" w:hAnsi="Symbol" w:cs="Symbol"/>
          <w:sz w:val="19"/>
          <w:szCs w:val="19"/>
          <w:lang w:val="fr-BE"/>
        </w:rPr>
      </w:pPr>
    </w:p>
    <w:p w:rsidR="00AC12B4" w:rsidRPr="00C27636" w:rsidRDefault="00C27636">
      <w:pPr>
        <w:numPr>
          <w:ilvl w:val="0"/>
          <w:numId w:val="366"/>
        </w:numPr>
        <w:tabs>
          <w:tab w:val="left" w:pos="440"/>
        </w:tabs>
        <w:spacing w:line="285" w:lineRule="auto"/>
        <w:ind w:left="440" w:right="957" w:hanging="367"/>
        <w:jc w:val="both"/>
        <w:rPr>
          <w:rFonts w:ascii="Symbol" w:eastAsia="Symbol" w:hAnsi="Symbol" w:cs="Symbol"/>
          <w:sz w:val="19"/>
          <w:szCs w:val="19"/>
          <w:lang w:val="fr-BE"/>
        </w:rPr>
      </w:pPr>
      <w:r w:rsidRPr="00C27636">
        <w:rPr>
          <w:rFonts w:ascii="Calibri" w:eastAsia="Calibri" w:hAnsi="Calibri" w:cs="Calibri"/>
          <w:b/>
          <w:bCs/>
          <w:i/>
          <w:iCs/>
          <w:color w:val="FEC930"/>
          <w:sz w:val="19"/>
          <w:szCs w:val="19"/>
          <w:lang w:val="fr-BE"/>
        </w:rPr>
        <w:t>CPT</w:t>
      </w:r>
      <w:r w:rsidRPr="00C27636">
        <w:rPr>
          <w:rFonts w:ascii="Cambria" w:eastAsia="Cambria" w:hAnsi="Cambria" w:cs="Cambria"/>
          <w:b/>
          <w:bCs/>
          <w:color w:val="FEC930"/>
          <w:sz w:val="19"/>
          <w:szCs w:val="19"/>
          <w:lang w:val="fr-BE"/>
        </w:rPr>
        <w:t>:</w:t>
      </w:r>
      <w:r w:rsidRPr="00C27636">
        <w:rPr>
          <w:rFonts w:ascii="Calibri" w:eastAsia="Calibri" w:hAnsi="Calibri" w:cs="Calibri"/>
          <w:b/>
          <w:bCs/>
          <w:i/>
          <w:iCs/>
          <w:color w:val="FEC930"/>
          <w:sz w:val="19"/>
          <w:szCs w:val="19"/>
          <w:lang w:val="fr-BE"/>
        </w:rPr>
        <w:t xml:space="preserve"> </w:t>
      </w:r>
      <w:r w:rsidRPr="00C27636">
        <w:rPr>
          <w:rFonts w:ascii="Calibri" w:eastAsia="Calibri" w:hAnsi="Calibri" w:cs="Calibri"/>
          <w:color w:val="000000"/>
          <w:sz w:val="19"/>
          <w:szCs w:val="19"/>
          <w:lang w:val="fr-BE"/>
        </w:rPr>
        <w:t>visite 24/09</w:t>
      </w:r>
      <w:r w:rsidRPr="00C27636">
        <w:rPr>
          <w:rFonts w:ascii="Calibri" w:eastAsia="Calibri" w:hAnsi="Calibri" w:cs="Calibri"/>
          <w:b/>
          <w:bCs/>
          <w:i/>
          <w:iCs/>
          <w:color w:val="FEC930"/>
          <w:sz w:val="19"/>
          <w:szCs w:val="19"/>
          <w:lang w:val="fr-BE"/>
        </w:rPr>
        <w:t xml:space="preserve"> </w:t>
      </w:r>
      <w:r w:rsidRPr="00C27636">
        <w:rPr>
          <w:rFonts w:ascii="Calibri" w:eastAsia="Calibri" w:hAnsi="Calibri" w:cs="Calibri"/>
          <w:color w:val="000000"/>
          <w:sz w:val="19"/>
          <w:szCs w:val="19"/>
          <w:lang w:val="fr-BE"/>
        </w:rPr>
        <w:t>–</w:t>
      </w:r>
      <w:r w:rsidRPr="00C27636">
        <w:rPr>
          <w:rFonts w:ascii="Calibri" w:eastAsia="Calibri" w:hAnsi="Calibri" w:cs="Calibri"/>
          <w:b/>
          <w:bCs/>
          <w:i/>
          <w:iCs/>
          <w:color w:val="FEC930"/>
          <w:sz w:val="19"/>
          <w:szCs w:val="19"/>
          <w:lang w:val="fr-BE"/>
        </w:rPr>
        <w:t xml:space="preserve"> </w:t>
      </w:r>
      <w:r w:rsidRPr="00C27636">
        <w:rPr>
          <w:rFonts w:ascii="Calibri" w:eastAsia="Calibri" w:hAnsi="Calibri" w:cs="Calibri"/>
          <w:color w:val="000000"/>
          <w:sz w:val="19"/>
          <w:szCs w:val="19"/>
          <w:lang w:val="fr-BE"/>
        </w:rPr>
        <w:t>04/10/2013 à Saint-Hubert (rapport pas encore disponibl</w:t>
      </w:r>
      <w:r w:rsidRPr="00C27636">
        <w:rPr>
          <w:rFonts w:ascii="Calibri" w:eastAsia="Calibri" w:hAnsi="Calibri" w:cs="Calibri"/>
          <w:color w:val="000000"/>
          <w:sz w:val="19"/>
          <w:szCs w:val="19"/>
          <w:lang w:val="fr-BE"/>
        </w:rPr>
        <w:t>e).</w:t>
      </w:r>
    </w:p>
    <w:p w:rsidR="00AC12B4" w:rsidRPr="00C27636" w:rsidRDefault="00AC12B4">
      <w:pPr>
        <w:spacing w:line="247" w:lineRule="exact"/>
        <w:rPr>
          <w:rFonts w:ascii="Symbol" w:eastAsia="Symbol" w:hAnsi="Symbol" w:cs="Symbol"/>
          <w:sz w:val="19"/>
          <w:szCs w:val="19"/>
          <w:lang w:val="fr-BE"/>
        </w:rPr>
      </w:pPr>
    </w:p>
    <w:p w:rsidR="00AC12B4" w:rsidRDefault="00C27636">
      <w:pPr>
        <w:numPr>
          <w:ilvl w:val="0"/>
          <w:numId w:val="366"/>
        </w:numPr>
        <w:tabs>
          <w:tab w:val="left" w:pos="440"/>
        </w:tabs>
        <w:spacing w:line="281" w:lineRule="auto"/>
        <w:ind w:left="440" w:right="797" w:hanging="367"/>
        <w:rPr>
          <w:rFonts w:ascii="Calibri" w:eastAsia="Calibri" w:hAnsi="Calibri" w:cs="Calibri"/>
          <w:color w:val="0000FF"/>
          <w:sz w:val="19"/>
          <w:szCs w:val="19"/>
          <w:u w:val="single"/>
        </w:rPr>
      </w:pPr>
      <w:r w:rsidRPr="00C27636">
        <w:rPr>
          <w:rFonts w:ascii="Calibri" w:eastAsia="Calibri" w:hAnsi="Calibri" w:cs="Calibri"/>
          <w:b/>
          <w:bCs/>
          <w:i/>
          <w:iCs/>
          <w:color w:val="FEC930"/>
          <w:sz w:val="19"/>
          <w:szCs w:val="19"/>
          <w:lang w:val="fr-BE"/>
        </w:rPr>
        <w:t xml:space="preserve">Children’s rights behind bars : </w:t>
      </w:r>
      <w:r w:rsidRPr="00C27636">
        <w:rPr>
          <w:rFonts w:ascii="Calibri" w:eastAsia="Calibri" w:hAnsi="Calibri" w:cs="Calibri"/>
          <w:color w:val="000000"/>
          <w:sz w:val="19"/>
          <w:szCs w:val="19"/>
          <w:lang w:val="fr-BE"/>
        </w:rPr>
        <w:t>étude de</w:t>
      </w:r>
      <w:r w:rsidRPr="00C27636">
        <w:rPr>
          <w:rFonts w:ascii="Calibri" w:eastAsia="Calibri" w:hAnsi="Calibri" w:cs="Calibri"/>
          <w:b/>
          <w:bCs/>
          <w:i/>
          <w:iCs/>
          <w:color w:val="FEC930"/>
          <w:sz w:val="19"/>
          <w:szCs w:val="19"/>
          <w:lang w:val="fr-BE"/>
        </w:rPr>
        <w:t xml:space="preserve"> </w:t>
      </w:r>
      <w:r w:rsidRPr="00C27636">
        <w:rPr>
          <w:rFonts w:ascii="Calibri" w:eastAsia="Calibri" w:hAnsi="Calibri" w:cs="Calibri"/>
          <w:color w:val="000000"/>
          <w:sz w:val="19"/>
          <w:szCs w:val="19"/>
          <w:lang w:val="fr-BE"/>
        </w:rPr>
        <w:t xml:space="preserve">DEI Belgique sur les mécanismes de contrôle et de plaintes pour les lieux de privation de liberté pour mineurs. </w:t>
      </w:r>
      <w:hyperlink r:id="rId341">
        <w:r>
          <w:rPr>
            <w:rFonts w:ascii="Calibri" w:eastAsia="Calibri" w:hAnsi="Calibri" w:cs="Calibri"/>
            <w:color w:val="0000FF"/>
            <w:sz w:val="19"/>
            <w:szCs w:val="19"/>
            <w:u w:val="single"/>
          </w:rPr>
          <w:t>http://www.childrensrightsbehindbars.eu</w:t>
        </w:r>
      </w:hyperlink>
      <w:r>
        <w:rPr>
          <w:rFonts w:ascii="Calibri" w:eastAsia="Calibri" w:hAnsi="Calibri" w:cs="Calibri"/>
          <w:color w:val="0000FF"/>
          <w:sz w:val="19"/>
          <w:szCs w:val="19"/>
          <w:u w:val="single"/>
        </w:rPr>
        <w:t xml:space="preserve"> </w:t>
      </w:r>
      <w:hyperlink r:id="rId342">
        <w:r>
          <w:rPr>
            <w:rFonts w:ascii="Calibri" w:eastAsia="Calibri" w:hAnsi="Calibri" w:cs="Calibri"/>
            <w:color w:val="0000FF"/>
            <w:sz w:val="19"/>
            <w:szCs w:val="19"/>
            <w:u w:val="single"/>
          </w:rPr>
          <w:t>/images/national-reports-2014/</w:t>
        </w:r>
      </w:hyperlink>
    </w:p>
    <w:p w:rsidR="00AC12B4" w:rsidRDefault="00AC12B4">
      <w:pPr>
        <w:spacing w:line="176" w:lineRule="exact"/>
        <w:rPr>
          <w:rFonts w:ascii="Calibri" w:eastAsia="Calibri" w:hAnsi="Calibri" w:cs="Calibri"/>
          <w:color w:val="0000FF"/>
          <w:sz w:val="19"/>
          <w:szCs w:val="19"/>
          <w:u w:val="single"/>
        </w:rPr>
      </w:pPr>
    </w:p>
    <w:p w:rsidR="00AC12B4" w:rsidRPr="00C27636" w:rsidRDefault="00C27636">
      <w:pPr>
        <w:numPr>
          <w:ilvl w:val="0"/>
          <w:numId w:val="366"/>
        </w:numPr>
        <w:tabs>
          <w:tab w:val="left" w:pos="440"/>
        </w:tabs>
        <w:spacing w:line="261" w:lineRule="auto"/>
        <w:ind w:left="440" w:right="737" w:hanging="367"/>
        <w:jc w:val="both"/>
        <w:rPr>
          <w:rFonts w:ascii="Symbol" w:eastAsia="Symbol" w:hAnsi="Symbol" w:cs="Symbol"/>
          <w:sz w:val="20"/>
          <w:szCs w:val="20"/>
          <w:lang w:val="fr-BE"/>
        </w:rPr>
      </w:pPr>
      <w:r w:rsidRPr="00C27636">
        <w:rPr>
          <w:rFonts w:ascii="Calibri" w:eastAsia="Calibri" w:hAnsi="Calibri" w:cs="Calibri"/>
          <w:b/>
          <w:bCs/>
          <w:i/>
          <w:iCs/>
          <w:color w:val="FEC930"/>
          <w:sz w:val="20"/>
          <w:szCs w:val="20"/>
          <w:lang w:val="fr-BE"/>
        </w:rPr>
        <w:t>Résultats processus de participation dans l’Integrale Jeugdhulp</w:t>
      </w:r>
      <w:r w:rsidRPr="00C27636">
        <w:rPr>
          <w:rFonts w:ascii="Calibri" w:eastAsia="Calibri" w:hAnsi="Calibri" w:cs="Calibri"/>
          <w:color w:val="FEC930"/>
          <w:sz w:val="20"/>
          <w:szCs w:val="20"/>
          <w:lang w:val="fr-BE"/>
        </w:rPr>
        <w:t>:</w:t>
      </w:r>
      <w:r w:rsidRPr="00C27636">
        <w:rPr>
          <w:rFonts w:ascii="Calibri" w:eastAsia="Calibri" w:hAnsi="Calibri" w:cs="Calibri"/>
          <w:b/>
          <w:bCs/>
          <w:i/>
          <w:iCs/>
          <w:color w:val="FEC930"/>
          <w:sz w:val="20"/>
          <w:szCs w:val="20"/>
          <w:lang w:val="fr-BE"/>
        </w:rPr>
        <w:t xml:space="preserve"> </w:t>
      </w:r>
      <w:r w:rsidRPr="00C27636">
        <w:rPr>
          <w:rFonts w:ascii="Calibri" w:eastAsia="Calibri" w:hAnsi="Calibri" w:cs="Calibri"/>
          <w:color w:val="000000"/>
          <w:sz w:val="20"/>
          <w:szCs w:val="20"/>
          <w:lang w:val="fr-BE"/>
        </w:rPr>
        <w:t>enquête par</w:t>
      </w:r>
      <w:r w:rsidRPr="00C27636">
        <w:rPr>
          <w:rFonts w:ascii="Calibri" w:eastAsia="Calibri" w:hAnsi="Calibri" w:cs="Calibri"/>
          <w:b/>
          <w:bCs/>
          <w:i/>
          <w:iCs/>
          <w:color w:val="FEC930"/>
          <w:sz w:val="20"/>
          <w:szCs w:val="20"/>
          <w:lang w:val="fr-BE"/>
        </w:rPr>
        <w:t xml:space="preserve"> </w:t>
      </w:r>
      <w:r w:rsidRPr="00C27636">
        <w:rPr>
          <w:rFonts w:ascii="Calibri" w:eastAsia="Calibri" w:hAnsi="Calibri" w:cs="Calibri"/>
          <w:color w:val="000000"/>
          <w:sz w:val="20"/>
          <w:szCs w:val="20"/>
          <w:lang w:val="fr-BE"/>
        </w:rPr>
        <w:t>interview menée pa</w:t>
      </w:r>
      <w:r w:rsidRPr="00C27636">
        <w:rPr>
          <w:rFonts w:ascii="Calibri" w:eastAsia="Calibri" w:hAnsi="Calibri" w:cs="Calibri"/>
          <w:color w:val="000000"/>
          <w:sz w:val="20"/>
          <w:szCs w:val="20"/>
          <w:lang w:val="fr-BE"/>
        </w:rPr>
        <w:t>r le Zorginspectie (Inspection des soins) lors de l’inspection des institutions de l’aide à la jeunesse</w:t>
      </w:r>
    </w:p>
    <w:p w:rsidR="00AC12B4" w:rsidRPr="00C27636" w:rsidRDefault="00AC12B4">
      <w:pPr>
        <w:spacing w:line="64" w:lineRule="exact"/>
        <w:rPr>
          <w:rFonts w:ascii="Symbol" w:eastAsia="Symbol" w:hAnsi="Symbol" w:cs="Symbol"/>
          <w:sz w:val="20"/>
          <w:szCs w:val="20"/>
          <w:lang w:val="fr-BE"/>
        </w:rPr>
      </w:pPr>
    </w:p>
    <w:p w:rsidR="00AC12B4" w:rsidRDefault="00C27636">
      <w:pPr>
        <w:spacing w:line="260" w:lineRule="auto"/>
        <w:ind w:left="440" w:right="737"/>
        <w:rPr>
          <w:rFonts w:ascii="Calibri" w:eastAsia="Calibri" w:hAnsi="Calibri" w:cs="Calibri"/>
          <w:color w:val="0000FF"/>
          <w:sz w:val="20"/>
          <w:szCs w:val="20"/>
          <w:u w:val="single"/>
        </w:rPr>
      </w:pPr>
      <w:r>
        <w:rPr>
          <w:rFonts w:ascii="Calibri" w:eastAsia="Calibri" w:hAnsi="Calibri" w:cs="Calibri"/>
          <w:sz w:val="20"/>
          <w:szCs w:val="20"/>
        </w:rPr>
        <w:t xml:space="preserve">flamande en 2014. </w:t>
      </w:r>
      <w:hyperlink r:id="rId343">
        <w:r>
          <w:rPr>
            <w:rFonts w:ascii="Calibri" w:eastAsia="Calibri" w:hAnsi="Calibri" w:cs="Calibri"/>
            <w:color w:val="0000FF"/>
            <w:sz w:val="20"/>
            <w:szCs w:val="20"/>
            <w:u w:val="single"/>
          </w:rPr>
          <w:t>http://www4wvg.vlaanderen.be/wvg/zor</w:t>
        </w:r>
      </w:hyperlink>
      <w:r>
        <w:rPr>
          <w:rFonts w:ascii="Calibri" w:eastAsia="Calibri" w:hAnsi="Calibri" w:cs="Calibri"/>
          <w:color w:val="0000FF"/>
          <w:sz w:val="20"/>
          <w:szCs w:val="20"/>
          <w:u w:val="single"/>
        </w:rPr>
        <w:t xml:space="preserve"> </w:t>
      </w:r>
      <w:hyperlink r:id="rId344">
        <w:r>
          <w:rPr>
            <w:rFonts w:ascii="Calibri" w:eastAsia="Calibri" w:hAnsi="Calibri" w:cs="Calibri"/>
            <w:color w:val="0000FF"/>
            <w:sz w:val="20"/>
            <w:szCs w:val="20"/>
            <w:u w:val="single"/>
          </w:rPr>
          <w:t>ginspectie/publicaties/Documents/jonger</w:t>
        </w:r>
      </w:hyperlink>
      <w:r>
        <w:rPr>
          <w:rFonts w:ascii="Calibri" w:eastAsia="Calibri" w:hAnsi="Calibri" w:cs="Calibri"/>
          <w:color w:val="0000FF"/>
          <w:sz w:val="20"/>
          <w:szCs w:val="20"/>
          <w:u w:val="single"/>
        </w:rPr>
        <w:t xml:space="preserve"> </w:t>
      </w:r>
      <w:hyperlink r:id="rId345">
        <w:r>
          <w:rPr>
            <w:rFonts w:ascii="Calibri" w:eastAsia="Calibri" w:hAnsi="Calibri" w:cs="Calibri"/>
            <w:color w:val="0000FF"/>
            <w:sz w:val="20"/>
            <w:szCs w:val="20"/>
            <w:u w:val="single"/>
          </w:rPr>
          <w:t>e_context_10maart.pdf</w:t>
        </w:r>
      </w:hyperlink>
    </w:p>
    <w:p w:rsidR="00AC12B4" w:rsidRDefault="00AC12B4">
      <w:pPr>
        <w:spacing w:line="276" w:lineRule="exact"/>
        <w:rPr>
          <w:rFonts w:ascii="Calibri" w:eastAsia="Calibri" w:hAnsi="Calibri" w:cs="Calibri"/>
          <w:color w:val="0000FF"/>
          <w:sz w:val="20"/>
          <w:szCs w:val="20"/>
          <w:u w:val="single"/>
        </w:rPr>
      </w:pPr>
    </w:p>
    <w:p w:rsidR="00AC12B4" w:rsidRPr="00C27636" w:rsidRDefault="00C27636">
      <w:pPr>
        <w:numPr>
          <w:ilvl w:val="0"/>
          <w:numId w:val="366"/>
        </w:numPr>
        <w:tabs>
          <w:tab w:val="left" w:pos="440"/>
        </w:tabs>
        <w:spacing w:line="211" w:lineRule="auto"/>
        <w:ind w:left="440" w:right="737" w:hanging="367"/>
        <w:jc w:val="both"/>
        <w:rPr>
          <w:rFonts w:ascii="Symbol" w:eastAsia="Symbol" w:hAnsi="Symbol" w:cs="Symbol"/>
          <w:sz w:val="20"/>
          <w:szCs w:val="20"/>
          <w:lang w:val="fr-BE"/>
        </w:rPr>
      </w:pPr>
      <w:r w:rsidRPr="00C27636">
        <w:rPr>
          <w:rFonts w:ascii="Calibri" w:eastAsia="Calibri" w:hAnsi="Calibri" w:cs="Calibri"/>
          <w:b/>
          <w:bCs/>
          <w:i/>
          <w:iCs/>
          <w:color w:val="FEC930"/>
          <w:sz w:val="20"/>
          <w:szCs w:val="20"/>
          <w:lang w:val="fr-BE"/>
        </w:rPr>
        <w:t xml:space="preserve">Le Vlaamse Kinderrechtenmonitor </w:t>
      </w:r>
      <w:r w:rsidRPr="00C27636">
        <w:rPr>
          <w:rFonts w:ascii="Calibri" w:eastAsia="Calibri" w:hAnsi="Calibri" w:cs="Calibri"/>
          <w:color w:val="000000"/>
          <w:sz w:val="20"/>
          <w:szCs w:val="20"/>
          <w:lang w:val="fr-BE"/>
        </w:rPr>
        <w:t>envisage de développer un indicateur</w:t>
      </w:r>
    </w:p>
    <w:p w:rsidR="00AC12B4" w:rsidRPr="00C27636" w:rsidRDefault="00AC12B4">
      <w:pPr>
        <w:spacing w:line="48" w:lineRule="exact"/>
        <w:rPr>
          <w:rFonts w:ascii="Symbol" w:eastAsia="Symbol" w:hAnsi="Symbol" w:cs="Symbol"/>
          <w:sz w:val="20"/>
          <w:szCs w:val="20"/>
          <w:lang w:val="fr-BE"/>
        </w:rPr>
      </w:pPr>
    </w:p>
    <w:p w:rsidR="00AC12B4" w:rsidRPr="00C27636" w:rsidRDefault="00C27636">
      <w:pPr>
        <w:spacing w:line="236" w:lineRule="auto"/>
        <w:ind w:left="440" w:right="737"/>
        <w:jc w:val="both"/>
        <w:rPr>
          <w:rFonts w:ascii="Symbol" w:eastAsia="Symbol" w:hAnsi="Symbol" w:cs="Symbol"/>
          <w:sz w:val="20"/>
          <w:szCs w:val="20"/>
          <w:lang w:val="nl-NL"/>
        </w:rPr>
      </w:pPr>
      <w:r w:rsidRPr="00C27636">
        <w:rPr>
          <w:rFonts w:ascii="Calibri" w:eastAsia="Calibri" w:hAnsi="Calibri" w:cs="Calibri"/>
          <w:sz w:val="19"/>
          <w:szCs w:val="19"/>
          <w:lang w:val="nl-NL"/>
        </w:rPr>
        <w:t>‘Inspraak minderjarige bij beslissing tot plaatsing’, en 2015, via la Banque de Données INSISTO de l’Integrale</w:t>
      </w:r>
      <w:r w:rsidRPr="00C27636">
        <w:rPr>
          <w:rFonts w:ascii="Calibri" w:eastAsia="Calibri" w:hAnsi="Calibri" w:cs="Calibri"/>
          <w:sz w:val="19"/>
          <w:szCs w:val="19"/>
          <w:lang w:val="nl-NL"/>
        </w:rPr>
        <w:t xml:space="preserve"> Jeugdhulp.</w:t>
      </w:r>
    </w:p>
    <w:p w:rsidR="00AC12B4" w:rsidRPr="00C27636" w:rsidRDefault="00AC12B4">
      <w:pPr>
        <w:spacing w:line="258" w:lineRule="exact"/>
        <w:rPr>
          <w:rFonts w:ascii="Symbol" w:eastAsia="Symbol" w:hAnsi="Symbol" w:cs="Symbol"/>
          <w:sz w:val="20"/>
          <w:szCs w:val="20"/>
          <w:lang w:val="nl-NL"/>
        </w:rPr>
      </w:pPr>
    </w:p>
    <w:p w:rsidR="00AC12B4" w:rsidRPr="00C27636" w:rsidRDefault="00C27636">
      <w:pPr>
        <w:numPr>
          <w:ilvl w:val="0"/>
          <w:numId w:val="366"/>
        </w:numPr>
        <w:tabs>
          <w:tab w:val="left" w:pos="440"/>
        </w:tabs>
        <w:spacing w:line="266" w:lineRule="auto"/>
        <w:ind w:left="440" w:right="737" w:hanging="367"/>
        <w:jc w:val="both"/>
        <w:rPr>
          <w:rFonts w:ascii="Symbol" w:eastAsia="Symbol" w:hAnsi="Symbol" w:cs="Symbol"/>
          <w:sz w:val="19"/>
          <w:szCs w:val="19"/>
          <w:lang w:val="fr-BE"/>
        </w:rPr>
      </w:pPr>
      <w:r w:rsidRPr="00C27636">
        <w:rPr>
          <w:rFonts w:ascii="Calibri" w:eastAsia="Calibri" w:hAnsi="Calibri" w:cs="Calibri"/>
          <w:b/>
          <w:bCs/>
          <w:i/>
          <w:iCs/>
          <w:color w:val="FEC930"/>
          <w:sz w:val="19"/>
          <w:szCs w:val="19"/>
          <w:lang w:val="fr-BE"/>
        </w:rPr>
        <w:t xml:space="preserve">Résultats processus de participation de FWB : </w:t>
      </w:r>
      <w:r w:rsidRPr="00C27636">
        <w:rPr>
          <w:rFonts w:ascii="Calibri" w:eastAsia="Calibri" w:hAnsi="Calibri" w:cs="Calibri"/>
          <w:color w:val="000000"/>
          <w:sz w:val="19"/>
          <w:szCs w:val="19"/>
          <w:lang w:val="fr-BE"/>
        </w:rPr>
        <w:t>le conseil pédagogique de chaque</w:t>
      </w:r>
      <w:r w:rsidRPr="00C27636">
        <w:rPr>
          <w:rFonts w:ascii="Calibri" w:eastAsia="Calibri" w:hAnsi="Calibri" w:cs="Calibri"/>
          <w:b/>
          <w:bCs/>
          <w:i/>
          <w:iCs/>
          <w:color w:val="FEC930"/>
          <w:sz w:val="19"/>
          <w:szCs w:val="19"/>
          <w:lang w:val="fr-BE"/>
        </w:rPr>
        <w:t xml:space="preserve"> </w:t>
      </w:r>
      <w:r w:rsidRPr="00C27636">
        <w:rPr>
          <w:rFonts w:ascii="Calibri" w:eastAsia="Calibri" w:hAnsi="Calibri" w:cs="Calibri"/>
          <w:color w:val="000000"/>
          <w:sz w:val="19"/>
          <w:szCs w:val="19"/>
          <w:lang w:val="fr-BE"/>
        </w:rPr>
        <w:t>service agréé de l’Aide à la Jeunesse et SPJ</w:t>
      </w:r>
    </w:p>
    <w:p w:rsidR="00AC12B4" w:rsidRPr="00C27636" w:rsidRDefault="00AC12B4">
      <w:pPr>
        <w:spacing w:line="59" w:lineRule="exact"/>
        <w:rPr>
          <w:rFonts w:ascii="Symbol" w:eastAsia="Symbol" w:hAnsi="Symbol" w:cs="Symbol"/>
          <w:sz w:val="19"/>
          <w:szCs w:val="19"/>
          <w:lang w:val="fr-BE"/>
        </w:rPr>
      </w:pPr>
    </w:p>
    <w:p w:rsidR="00AC12B4" w:rsidRPr="00C27636" w:rsidRDefault="00C27636">
      <w:pPr>
        <w:spacing w:line="278" w:lineRule="auto"/>
        <w:ind w:left="440" w:right="737"/>
        <w:jc w:val="both"/>
        <w:rPr>
          <w:rFonts w:ascii="Symbol" w:eastAsia="Symbol" w:hAnsi="Symbol" w:cs="Symbol"/>
          <w:sz w:val="19"/>
          <w:szCs w:val="19"/>
          <w:lang w:val="fr-BE"/>
        </w:rPr>
      </w:pPr>
      <w:r w:rsidRPr="00C27636">
        <w:rPr>
          <w:rFonts w:ascii="Calibri" w:eastAsia="Calibri" w:hAnsi="Calibri" w:cs="Calibri"/>
          <w:sz w:val="19"/>
          <w:szCs w:val="19"/>
          <w:lang w:val="fr-BE"/>
        </w:rPr>
        <w:t xml:space="preserve">(service de protection judiciaire) examine au moins une fois par an le processus de participation visé par l’article </w:t>
      </w:r>
      <w:r w:rsidRPr="00C27636">
        <w:rPr>
          <w:rFonts w:ascii="Calibri" w:eastAsia="Calibri" w:hAnsi="Calibri" w:cs="Calibri"/>
          <w:sz w:val="19"/>
          <w:szCs w:val="19"/>
          <w:lang w:val="fr-BE"/>
        </w:rPr>
        <w:t>50 quinquies du décret de l’aide à la jeunesse</w:t>
      </w:r>
    </w:p>
    <w:p w:rsidR="00AC12B4" w:rsidRPr="00C27636" w:rsidRDefault="00AC12B4">
      <w:pPr>
        <w:spacing w:line="49" w:lineRule="exact"/>
        <w:rPr>
          <w:rFonts w:ascii="Symbol" w:eastAsia="Symbol" w:hAnsi="Symbol" w:cs="Symbol"/>
          <w:sz w:val="19"/>
          <w:szCs w:val="19"/>
          <w:lang w:val="fr-BE"/>
        </w:rPr>
      </w:pPr>
    </w:p>
    <w:p w:rsidR="00AC12B4" w:rsidRPr="00C27636" w:rsidRDefault="00C27636">
      <w:pPr>
        <w:spacing w:line="263" w:lineRule="auto"/>
        <w:ind w:left="440" w:right="737"/>
        <w:jc w:val="both"/>
        <w:rPr>
          <w:rFonts w:ascii="Symbol" w:eastAsia="Symbol" w:hAnsi="Symbol" w:cs="Symbol"/>
          <w:sz w:val="19"/>
          <w:szCs w:val="19"/>
          <w:lang w:val="fr-BE"/>
        </w:rPr>
      </w:pPr>
      <w:r w:rsidRPr="00C27636">
        <w:rPr>
          <w:rFonts w:ascii="Calibri" w:eastAsia="Calibri" w:hAnsi="Calibri" w:cs="Calibri"/>
          <w:sz w:val="20"/>
          <w:szCs w:val="20"/>
          <w:lang w:val="fr-BE"/>
        </w:rPr>
        <w:t>(art. 6 arrêté relatif aux conditions générales d’agrément et d’octroi de subvention pour les services visés à l’article 43 du décret du 4 mars 91 relatif à l’aide à la jeunesse).</w:t>
      </w:r>
    </w:p>
    <w:p w:rsidR="00AC12B4" w:rsidRPr="00C27636" w:rsidRDefault="00AC12B4">
      <w:pPr>
        <w:spacing w:line="95" w:lineRule="exact"/>
        <w:rPr>
          <w:rFonts w:ascii="Symbol" w:eastAsia="Symbol" w:hAnsi="Symbol" w:cs="Symbol"/>
          <w:sz w:val="19"/>
          <w:szCs w:val="19"/>
          <w:lang w:val="fr-BE"/>
        </w:rPr>
      </w:pPr>
    </w:p>
    <w:p w:rsidR="00AC12B4" w:rsidRPr="00C27636" w:rsidRDefault="00C27636">
      <w:pPr>
        <w:numPr>
          <w:ilvl w:val="0"/>
          <w:numId w:val="366"/>
        </w:numPr>
        <w:tabs>
          <w:tab w:val="left" w:pos="440"/>
        </w:tabs>
        <w:spacing w:line="256" w:lineRule="auto"/>
        <w:ind w:left="440" w:right="737" w:hanging="367"/>
        <w:jc w:val="both"/>
        <w:rPr>
          <w:rFonts w:ascii="Symbol" w:eastAsia="Symbol" w:hAnsi="Symbol" w:cs="Symbol"/>
          <w:lang w:val="fr-BE"/>
        </w:rPr>
      </w:pPr>
      <w:r w:rsidRPr="00C27636">
        <w:rPr>
          <w:rFonts w:ascii="Calibri" w:eastAsia="Calibri" w:hAnsi="Calibri" w:cs="Calibri"/>
          <w:sz w:val="20"/>
          <w:szCs w:val="20"/>
          <w:lang w:val="fr-BE"/>
        </w:rPr>
        <w:t>Notons que le placement peu</w:t>
      </w:r>
      <w:r w:rsidRPr="00C27636">
        <w:rPr>
          <w:rFonts w:ascii="Calibri" w:eastAsia="Calibri" w:hAnsi="Calibri" w:cs="Calibri"/>
          <w:sz w:val="20"/>
          <w:szCs w:val="20"/>
          <w:lang w:val="fr-BE"/>
        </w:rPr>
        <w:t>t-être vu de manière beaucoup plus large : internat scolaire (si dans cadre de l’aide à la jeunesse), centre pour mineurs porteurs d’un handicap,…</w:t>
      </w:r>
    </w:p>
    <w:p w:rsidR="00AC12B4" w:rsidRPr="00C27636" w:rsidRDefault="00AC12B4">
      <w:pPr>
        <w:rPr>
          <w:lang w:val="fr-BE"/>
        </w:rPr>
        <w:sectPr w:rsidR="00AC12B4" w:rsidRPr="00C27636">
          <w:pgSz w:w="12080" w:h="17179"/>
          <w:pgMar w:top="1440" w:right="1440" w:bottom="659" w:left="427" w:header="0" w:footer="0" w:gutter="0"/>
          <w:cols w:num="3" w:space="720" w:equalWidth="0">
            <w:col w:w="330" w:space="42"/>
            <w:col w:w="5041" w:space="180"/>
            <w:col w:w="4617"/>
          </w:cols>
        </w:sectPr>
      </w:pPr>
    </w:p>
    <w:p w:rsidR="00AC12B4" w:rsidRPr="00C27636" w:rsidRDefault="00AC12B4">
      <w:pPr>
        <w:spacing w:line="168" w:lineRule="exact"/>
        <w:rPr>
          <w:sz w:val="20"/>
          <w:szCs w:val="20"/>
          <w:lang w:val="fr-BE"/>
        </w:rPr>
      </w:pPr>
      <w:bookmarkStart w:id="186" w:name="page187"/>
      <w:bookmarkEnd w:id="186"/>
    </w:p>
    <w:p w:rsidR="00AC12B4" w:rsidRDefault="00C27636">
      <w:pPr>
        <w:ind w:left="1460"/>
        <w:rPr>
          <w:sz w:val="20"/>
          <w:szCs w:val="20"/>
        </w:rPr>
      </w:pPr>
      <w:r>
        <w:rPr>
          <w:rFonts w:ascii="Comic Sans MS" w:eastAsia="Comic Sans MS" w:hAnsi="Comic Sans MS" w:cs="Comic Sans MS"/>
          <w:color w:val="FEC930"/>
          <w:sz w:val="40"/>
          <w:szCs w:val="40"/>
        </w:rPr>
        <w:t>MJ6. Placement de longue durée</w:t>
      </w:r>
    </w:p>
    <w:p w:rsidR="00AC12B4" w:rsidRDefault="00AC12B4">
      <w:pPr>
        <w:spacing w:line="281"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460"/>
        <w:gridCol w:w="680"/>
        <w:gridCol w:w="640"/>
        <w:gridCol w:w="480"/>
        <w:gridCol w:w="360"/>
        <w:gridCol w:w="280"/>
        <w:gridCol w:w="440"/>
        <w:gridCol w:w="200"/>
        <w:gridCol w:w="80"/>
        <w:gridCol w:w="1440"/>
        <w:gridCol w:w="120"/>
        <w:gridCol w:w="500"/>
        <w:gridCol w:w="300"/>
        <w:gridCol w:w="240"/>
        <w:gridCol w:w="240"/>
        <w:gridCol w:w="280"/>
        <w:gridCol w:w="500"/>
        <w:gridCol w:w="140"/>
        <w:gridCol w:w="120"/>
        <w:gridCol w:w="360"/>
        <w:gridCol w:w="80"/>
        <w:gridCol w:w="200"/>
        <w:gridCol w:w="120"/>
        <w:gridCol w:w="120"/>
        <w:gridCol w:w="220"/>
        <w:gridCol w:w="280"/>
        <w:gridCol w:w="860"/>
        <w:gridCol w:w="20"/>
      </w:tblGrid>
      <w:tr w:rsidR="00AC12B4" w:rsidRPr="00C27636">
        <w:trPr>
          <w:trHeight w:val="244"/>
        </w:trPr>
        <w:tc>
          <w:tcPr>
            <w:tcW w:w="1460" w:type="dxa"/>
            <w:tcBorders>
              <w:top w:val="single" w:sz="8" w:space="0" w:color="CF9901"/>
              <w:left w:val="single" w:sz="8" w:space="0" w:color="CF9901"/>
            </w:tcBorders>
            <w:shd w:val="clear" w:color="auto" w:fill="FEC930"/>
            <w:vAlign w:val="bottom"/>
          </w:tcPr>
          <w:p w:rsidR="00AC12B4" w:rsidRDefault="00AC12B4">
            <w:pPr>
              <w:rPr>
                <w:sz w:val="21"/>
                <w:szCs w:val="21"/>
              </w:rPr>
            </w:pPr>
          </w:p>
        </w:tc>
        <w:tc>
          <w:tcPr>
            <w:tcW w:w="680" w:type="dxa"/>
            <w:tcBorders>
              <w:top w:val="single" w:sz="8" w:space="0" w:color="CF9901"/>
            </w:tcBorders>
            <w:shd w:val="clear" w:color="auto" w:fill="FEC930"/>
            <w:vAlign w:val="bottom"/>
          </w:tcPr>
          <w:p w:rsidR="00AC12B4" w:rsidRDefault="00AC12B4">
            <w:pPr>
              <w:rPr>
                <w:sz w:val="21"/>
                <w:szCs w:val="21"/>
              </w:rPr>
            </w:pPr>
          </w:p>
        </w:tc>
        <w:tc>
          <w:tcPr>
            <w:tcW w:w="640" w:type="dxa"/>
            <w:tcBorders>
              <w:top w:val="single" w:sz="8" w:space="0" w:color="CF9901"/>
            </w:tcBorders>
            <w:shd w:val="clear" w:color="auto" w:fill="FEC930"/>
            <w:vAlign w:val="bottom"/>
          </w:tcPr>
          <w:p w:rsidR="00AC12B4" w:rsidRDefault="00AC12B4">
            <w:pPr>
              <w:rPr>
                <w:sz w:val="21"/>
                <w:szCs w:val="21"/>
              </w:rPr>
            </w:pPr>
          </w:p>
        </w:tc>
        <w:tc>
          <w:tcPr>
            <w:tcW w:w="480" w:type="dxa"/>
            <w:tcBorders>
              <w:top w:val="single" w:sz="8" w:space="0" w:color="CF9901"/>
            </w:tcBorders>
            <w:shd w:val="clear" w:color="auto" w:fill="FEC930"/>
            <w:vAlign w:val="bottom"/>
          </w:tcPr>
          <w:p w:rsidR="00AC12B4" w:rsidRDefault="00AC12B4">
            <w:pPr>
              <w:rPr>
                <w:sz w:val="21"/>
                <w:szCs w:val="21"/>
              </w:rPr>
            </w:pPr>
          </w:p>
        </w:tc>
        <w:tc>
          <w:tcPr>
            <w:tcW w:w="360" w:type="dxa"/>
            <w:tcBorders>
              <w:top w:val="single" w:sz="8" w:space="0" w:color="CF9901"/>
            </w:tcBorders>
            <w:shd w:val="clear" w:color="auto" w:fill="FEC930"/>
            <w:vAlign w:val="bottom"/>
          </w:tcPr>
          <w:p w:rsidR="00AC12B4" w:rsidRDefault="00AC12B4">
            <w:pPr>
              <w:rPr>
                <w:sz w:val="21"/>
                <w:szCs w:val="21"/>
              </w:rPr>
            </w:pPr>
          </w:p>
        </w:tc>
        <w:tc>
          <w:tcPr>
            <w:tcW w:w="280" w:type="dxa"/>
            <w:tcBorders>
              <w:top w:val="single" w:sz="8" w:space="0" w:color="CF9901"/>
            </w:tcBorders>
            <w:shd w:val="clear" w:color="auto" w:fill="FEC930"/>
            <w:vAlign w:val="bottom"/>
          </w:tcPr>
          <w:p w:rsidR="00AC12B4" w:rsidRDefault="00AC12B4">
            <w:pPr>
              <w:rPr>
                <w:sz w:val="21"/>
                <w:szCs w:val="21"/>
              </w:rPr>
            </w:pPr>
          </w:p>
        </w:tc>
        <w:tc>
          <w:tcPr>
            <w:tcW w:w="440" w:type="dxa"/>
            <w:tcBorders>
              <w:top w:val="single" w:sz="8" w:space="0" w:color="CF9901"/>
            </w:tcBorders>
            <w:shd w:val="clear" w:color="auto" w:fill="FEC930"/>
            <w:vAlign w:val="bottom"/>
          </w:tcPr>
          <w:p w:rsidR="00AC12B4" w:rsidRDefault="00AC12B4">
            <w:pPr>
              <w:rPr>
                <w:sz w:val="21"/>
                <w:szCs w:val="21"/>
              </w:rPr>
            </w:pPr>
          </w:p>
        </w:tc>
        <w:tc>
          <w:tcPr>
            <w:tcW w:w="200" w:type="dxa"/>
            <w:tcBorders>
              <w:top w:val="single" w:sz="8" w:space="0" w:color="CF9901"/>
            </w:tcBorders>
            <w:shd w:val="clear" w:color="auto" w:fill="FEC930"/>
            <w:vAlign w:val="bottom"/>
          </w:tcPr>
          <w:p w:rsidR="00AC12B4" w:rsidRDefault="00AC12B4">
            <w:pPr>
              <w:rPr>
                <w:sz w:val="21"/>
                <w:szCs w:val="21"/>
              </w:rPr>
            </w:pPr>
          </w:p>
        </w:tc>
        <w:tc>
          <w:tcPr>
            <w:tcW w:w="80" w:type="dxa"/>
            <w:tcBorders>
              <w:top w:val="single" w:sz="8" w:space="0" w:color="CF9901"/>
            </w:tcBorders>
            <w:shd w:val="clear" w:color="auto" w:fill="FEC930"/>
            <w:vAlign w:val="bottom"/>
          </w:tcPr>
          <w:p w:rsidR="00AC12B4" w:rsidRDefault="00AC12B4">
            <w:pPr>
              <w:rPr>
                <w:sz w:val="21"/>
                <w:szCs w:val="21"/>
              </w:rPr>
            </w:pPr>
          </w:p>
        </w:tc>
        <w:tc>
          <w:tcPr>
            <w:tcW w:w="1440" w:type="dxa"/>
            <w:tcBorders>
              <w:top w:val="single" w:sz="8" w:space="0" w:color="CF9901"/>
            </w:tcBorders>
            <w:shd w:val="clear" w:color="auto" w:fill="FEC930"/>
            <w:vAlign w:val="bottom"/>
          </w:tcPr>
          <w:p w:rsidR="00AC12B4" w:rsidRDefault="00AC12B4">
            <w:pPr>
              <w:rPr>
                <w:sz w:val="21"/>
                <w:szCs w:val="21"/>
              </w:rPr>
            </w:pPr>
          </w:p>
        </w:tc>
        <w:tc>
          <w:tcPr>
            <w:tcW w:w="120" w:type="dxa"/>
            <w:tcBorders>
              <w:top w:val="single" w:sz="8" w:space="0" w:color="CF9901"/>
              <w:right w:val="single" w:sz="8" w:space="0" w:color="CF9901"/>
            </w:tcBorders>
            <w:shd w:val="clear" w:color="auto" w:fill="FEC930"/>
            <w:vAlign w:val="bottom"/>
          </w:tcPr>
          <w:p w:rsidR="00AC12B4" w:rsidRDefault="00AC12B4">
            <w:pPr>
              <w:rPr>
                <w:sz w:val="21"/>
                <w:szCs w:val="21"/>
              </w:rPr>
            </w:pPr>
          </w:p>
        </w:tc>
        <w:tc>
          <w:tcPr>
            <w:tcW w:w="4560" w:type="dxa"/>
            <w:gridSpan w:val="16"/>
            <w:vAlign w:val="bottom"/>
          </w:tcPr>
          <w:p w:rsidR="00AC12B4" w:rsidRPr="00C27636" w:rsidRDefault="00C27636">
            <w:pPr>
              <w:spacing w:line="244" w:lineRule="exact"/>
              <w:ind w:left="180"/>
              <w:rPr>
                <w:sz w:val="20"/>
                <w:szCs w:val="20"/>
                <w:lang w:val="fr-BE"/>
              </w:rPr>
            </w:pPr>
            <w:r w:rsidRPr="00C27636">
              <w:rPr>
                <w:rFonts w:ascii="Calibri" w:eastAsia="Calibri" w:hAnsi="Calibri" w:cs="Calibri"/>
                <w:lang w:val="fr-BE"/>
              </w:rPr>
              <w:t>Le placement d’un mineur en danger</w:t>
            </w:r>
          </w:p>
        </w:tc>
        <w:tc>
          <w:tcPr>
            <w:tcW w:w="0" w:type="dxa"/>
            <w:vAlign w:val="bottom"/>
          </w:tcPr>
          <w:p w:rsidR="00AC12B4" w:rsidRPr="00C27636" w:rsidRDefault="00AC12B4">
            <w:pPr>
              <w:rPr>
                <w:sz w:val="1"/>
                <w:szCs w:val="1"/>
                <w:lang w:val="fr-BE"/>
              </w:rPr>
            </w:pPr>
          </w:p>
        </w:tc>
      </w:tr>
      <w:tr w:rsidR="00AC12B4" w:rsidRPr="00C27636">
        <w:trPr>
          <w:trHeight w:val="283"/>
        </w:trPr>
        <w:tc>
          <w:tcPr>
            <w:tcW w:w="2140" w:type="dxa"/>
            <w:gridSpan w:val="2"/>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Article CIDE</w:t>
            </w:r>
          </w:p>
        </w:tc>
        <w:tc>
          <w:tcPr>
            <w:tcW w:w="640" w:type="dxa"/>
            <w:shd w:val="clear" w:color="auto" w:fill="FEC930"/>
            <w:vAlign w:val="bottom"/>
          </w:tcPr>
          <w:p w:rsidR="00AC12B4" w:rsidRDefault="00AC12B4">
            <w:pPr>
              <w:rPr>
                <w:sz w:val="24"/>
                <w:szCs w:val="24"/>
              </w:rPr>
            </w:pPr>
          </w:p>
        </w:tc>
        <w:tc>
          <w:tcPr>
            <w:tcW w:w="480" w:type="dxa"/>
            <w:shd w:val="clear" w:color="auto" w:fill="FEC930"/>
            <w:vAlign w:val="bottom"/>
          </w:tcPr>
          <w:p w:rsidR="00AC12B4" w:rsidRDefault="00AC12B4">
            <w:pPr>
              <w:rPr>
                <w:sz w:val="24"/>
                <w:szCs w:val="24"/>
              </w:rPr>
            </w:pPr>
          </w:p>
        </w:tc>
        <w:tc>
          <w:tcPr>
            <w:tcW w:w="360" w:type="dxa"/>
            <w:shd w:val="clear" w:color="auto" w:fill="FEC930"/>
            <w:vAlign w:val="bottom"/>
          </w:tcPr>
          <w:p w:rsidR="00AC12B4" w:rsidRDefault="00AC12B4">
            <w:pPr>
              <w:rPr>
                <w:sz w:val="24"/>
                <w:szCs w:val="24"/>
              </w:rPr>
            </w:pPr>
          </w:p>
        </w:tc>
        <w:tc>
          <w:tcPr>
            <w:tcW w:w="280" w:type="dxa"/>
            <w:shd w:val="clear" w:color="auto" w:fill="FEC930"/>
            <w:vAlign w:val="bottom"/>
          </w:tcPr>
          <w:p w:rsidR="00AC12B4" w:rsidRDefault="00AC12B4">
            <w:pPr>
              <w:rPr>
                <w:sz w:val="24"/>
                <w:szCs w:val="24"/>
              </w:rPr>
            </w:pPr>
          </w:p>
        </w:tc>
        <w:tc>
          <w:tcPr>
            <w:tcW w:w="440" w:type="dxa"/>
            <w:shd w:val="clear" w:color="auto" w:fill="FEC930"/>
            <w:vAlign w:val="bottom"/>
          </w:tcPr>
          <w:p w:rsidR="00AC12B4" w:rsidRDefault="00AC12B4">
            <w:pPr>
              <w:rPr>
                <w:sz w:val="24"/>
                <w:szCs w:val="24"/>
              </w:rPr>
            </w:pPr>
          </w:p>
        </w:tc>
        <w:tc>
          <w:tcPr>
            <w:tcW w:w="200" w:type="dxa"/>
            <w:shd w:val="clear" w:color="auto" w:fill="FEC930"/>
            <w:vAlign w:val="bottom"/>
          </w:tcPr>
          <w:p w:rsidR="00AC12B4" w:rsidRDefault="00AC12B4">
            <w:pPr>
              <w:rPr>
                <w:sz w:val="24"/>
                <w:szCs w:val="24"/>
              </w:rPr>
            </w:pPr>
          </w:p>
        </w:tc>
        <w:tc>
          <w:tcPr>
            <w:tcW w:w="80" w:type="dxa"/>
            <w:shd w:val="clear" w:color="auto" w:fill="FEC930"/>
            <w:vAlign w:val="bottom"/>
          </w:tcPr>
          <w:p w:rsidR="00AC12B4" w:rsidRDefault="00AC12B4">
            <w:pPr>
              <w:rPr>
                <w:sz w:val="24"/>
                <w:szCs w:val="24"/>
              </w:rPr>
            </w:pPr>
          </w:p>
        </w:tc>
        <w:tc>
          <w:tcPr>
            <w:tcW w:w="1440" w:type="dxa"/>
            <w:shd w:val="clear" w:color="auto" w:fill="FEC930"/>
            <w:vAlign w:val="bottom"/>
          </w:tcPr>
          <w:p w:rsidR="00AC12B4" w:rsidRDefault="00AC12B4">
            <w:pPr>
              <w:rPr>
                <w:sz w:val="24"/>
                <w:szCs w:val="24"/>
              </w:rPr>
            </w:pPr>
          </w:p>
        </w:tc>
        <w:tc>
          <w:tcPr>
            <w:tcW w:w="120" w:type="dxa"/>
            <w:tcBorders>
              <w:right w:val="single" w:sz="8" w:space="0" w:color="CF9901"/>
            </w:tcBorders>
            <w:shd w:val="clear" w:color="auto" w:fill="FEC930"/>
            <w:vAlign w:val="bottom"/>
          </w:tcPr>
          <w:p w:rsidR="00AC12B4" w:rsidRDefault="00AC12B4">
            <w:pPr>
              <w:rPr>
                <w:sz w:val="24"/>
                <w:szCs w:val="24"/>
              </w:rPr>
            </w:pPr>
          </w:p>
        </w:tc>
        <w:tc>
          <w:tcPr>
            <w:tcW w:w="4560" w:type="dxa"/>
            <w:gridSpan w:val="16"/>
            <w:vAlign w:val="bottom"/>
          </w:tcPr>
          <w:p w:rsidR="00AC12B4" w:rsidRPr="00C27636" w:rsidRDefault="00C27636">
            <w:pPr>
              <w:ind w:left="180"/>
              <w:rPr>
                <w:sz w:val="20"/>
                <w:szCs w:val="20"/>
                <w:lang w:val="fr-BE"/>
              </w:rPr>
            </w:pPr>
            <w:r w:rsidRPr="00C27636">
              <w:rPr>
                <w:rFonts w:ascii="Calibri" w:eastAsia="Calibri" w:hAnsi="Calibri" w:cs="Calibri"/>
                <w:lang w:val="fr-BE"/>
              </w:rPr>
              <w:t>est parfois nécessaire. Il va de soi que la</w:t>
            </w:r>
          </w:p>
        </w:tc>
        <w:tc>
          <w:tcPr>
            <w:tcW w:w="0" w:type="dxa"/>
            <w:vAlign w:val="bottom"/>
          </w:tcPr>
          <w:p w:rsidR="00AC12B4" w:rsidRPr="00C27636" w:rsidRDefault="00AC12B4">
            <w:pPr>
              <w:rPr>
                <w:sz w:val="1"/>
                <w:szCs w:val="1"/>
                <w:lang w:val="fr-BE"/>
              </w:rPr>
            </w:pPr>
          </w:p>
        </w:tc>
      </w:tr>
      <w:tr w:rsidR="00AC12B4" w:rsidRPr="00C27636">
        <w:trPr>
          <w:trHeight w:val="254"/>
        </w:trPr>
        <w:tc>
          <w:tcPr>
            <w:tcW w:w="2140" w:type="dxa"/>
            <w:gridSpan w:val="2"/>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Article 9</w:t>
            </w:r>
          </w:p>
        </w:tc>
        <w:tc>
          <w:tcPr>
            <w:tcW w:w="640" w:type="dxa"/>
            <w:shd w:val="clear" w:color="auto" w:fill="FEC930"/>
            <w:vAlign w:val="bottom"/>
          </w:tcPr>
          <w:p w:rsidR="00AC12B4" w:rsidRDefault="00AC12B4"/>
        </w:tc>
        <w:tc>
          <w:tcPr>
            <w:tcW w:w="480" w:type="dxa"/>
            <w:shd w:val="clear" w:color="auto" w:fill="FEC930"/>
            <w:vAlign w:val="bottom"/>
          </w:tcPr>
          <w:p w:rsidR="00AC12B4" w:rsidRDefault="00AC12B4"/>
        </w:tc>
        <w:tc>
          <w:tcPr>
            <w:tcW w:w="360" w:type="dxa"/>
            <w:shd w:val="clear" w:color="auto" w:fill="FEC930"/>
            <w:vAlign w:val="bottom"/>
          </w:tcPr>
          <w:p w:rsidR="00AC12B4" w:rsidRDefault="00AC12B4"/>
        </w:tc>
        <w:tc>
          <w:tcPr>
            <w:tcW w:w="280" w:type="dxa"/>
            <w:shd w:val="clear" w:color="auto" w:fill="FEC930"/>
            <w:vAlign w:val="bottom"/>
          </w:tcPr>
          <w:p w:rsidR="00AC12B4" w:rsidRDefault="00AC12B4"/>
        </w:tc>
        <w:tc>
          <w:tcPr>
            <w:tcW w:w="440" w:type="dxa"/>
            <w:shd w:val="clear" w:color="auto" w:fill="FEC930"/>
            <w:vAlign w:val="bottom"/>
          </w:tcPr>
          <w:p w:rsidR="00AC12B4" w:rsidRDefault="00AC12B4"/>
        </w:tc>
        <w:tc>
          <w:tcPr>
            <w:tcW w:w="200" w:type="dxa"/>
            <w:shd w:val="clear" w:color="auto" w:fill="FEC930"/>
            <w:vAlign w:val="bottom"/>
          </w:tcPr>
          <w:p w:rsidR="00AC12B4" w:rsidRDefault="00AC12B4"/>
        </w:tc>
        <w:tc>
          <w:tcPr>
            <w:tcW w:w="80" w:type="dxa"/>
            <w:shd w:val="clear" w:color="auto" w:fill="FEC930"/>
            <w:vAlign w:val="bottom"/>
          </w:tcPr>
          <w:p w:rsidR="00AC12B4" w:rsidRDefault="00AC12B4"/>
        </w:tc>
        <w:tc>
          <w:tcPr>
            <w:tcW w:w="1440" w:type="dxa"/>
            <w:shd w:val="clear" w:color="auto" w:fill="FEC930"/>
            <w:vAlign w:val="bottom"/>
          </w:tcPr>
          <w:p w:rsidR="00AC12B4" w:rsidRDefault="00AC12B4"/>
        </w:tc>
        <w:tc>
          <w:tcPr>
            <w:tcW w:w="120" w:type="dxa"/>
            <w:tcBorders>
              <w:right w:val="single" w:sz="8" w:space="0" w:color="CF9901"/>
            </w:tcBorders>
            <w:shd w:val="clear" w:color="auto" w:fill="FEC930"/>
            <w:vAlign w:val="bottom"/>
          </w:tcPr>
          <w:p w:rsidR="00AC12B4" w:rsidRDefault="00AC12B4"/>
        </w:tc>
        <w:tc>
          <w:tcPr>
            <w:tcW w:w="4560" w:type="dxa"/>
            <w:gridSpan w:val="16"/>
            <w:vAlign w:val="bottom"/>
          </w:tcPr>
          <w:p w:rsidR="00AC12B4" w:rsidRPr="00C27636" w:rsidRDefault="00C27636">
            <w:pPr>
              <w:spacing w:line="255" w:lineRule="exact"/>
              <w:ind w:left="180"/>
              <w:rPr>
                <w:sz w:val="20"/>
                <w:szCs w:val="20"/>
                <w:lang w:val="fr-BE"/>
              </w:rPr>
            </w:pPr>
            <w:r w:rsidRPr="00C27636">
              <w:rPr>
                <w:rFonts w:ascii="Calibri" w:eastAsia="Calibri" w:hAnsi="Calibri" w:cs="Calibri"/>
                <w:lang w:val="fr-BE"/>
              </w:rPr>
              <w:t>qualité du placement et la mesure dans</w:t>
            </w:r>
          </w:p>
        </w:tc>
        <w:tc>
          <w:tcPr>
            <w:tcW w:w="0" w:type="dxa"/>
            <w:vAlign w:val="bottom"/>
          </w:tcPr>
          <w:p w:rsidR="00AC12B4" w:rsidRPr="00C27636" w:rsidRDefault="00AC12B4">
            <w:pPr>
              <w:rPr>
                <w:sz w:val="1"/>
                <w:szCs w:val="1"/>
                <w:lang w:val="fr-BE"/>
              </w:rPr>
            </w:pPr>
          </w:p>
        </w:tc>
      </w:tr>
      <w:tr w:rsidR="00AC12B4" w:rsidRPr="00C27636">
        <w:trPr>
          <w:trHeight w:val="132"/>
        </w:trPr>
        <w:tc>
          <w:tcPr>
            <w:tcW w:w="2140" w:type="dxa"/>
            <w:gridSpan w:val="2"/>
            <w:vMerge/>
            <w:tcBorders>
              <w:left w:val="single" w:sz="8" w:space="0" w:color="CF9901"/>
            </w:tcBorders>
            <w:shd w:val="clear" w:color="auto" w:fill="FEC930"/>
            <w:vAlign w:val="bottom"/>
          </w:tcPr>
          <w:p w:rsidR="00AC12B4" w:rsidRPr="00C27636" w:rsidRDefault="00AC12B4">
            <w:pPr>
              <w:rPr>
                <w:sz w:val="11"/>
                <w:szCs w:val="11"/>
                <w:lang w:val="fr-BE"/>
              </w:rPr>
            </w:pPr>
          </w:p>
        </w:tc>
        <w:tc>
          <w:tcPr>
            <w:tcW w:w="640" w:type="dxa"/>
            <w:shd w:val="clear" w:color="auto" w:fill="FEC930"/>
            <w:vAlign w:val="bottom"/>
          </w:tcPr>
          <w:p w:rsidR="00AC12B4" w:rsidRPr="00C27636" w:rsidRDefault="00AC12B4">
            <w:pPr>
              <w:rPr>
                <w:sz w:val="11"/>
                <w:szCs w:val="11"/>
                <w:lang w:val="fr-BE"/>
              </w:rPr>
            </w:pPr>
          </w:p>
        </w:tc>
        <w:tc>
          <w:tcPr>
            <w:tcW w:w="480" w:type="dxa"/>
            <w:shd w:val="clear" w:color="auto" w:fill="FEC930"/>
            <w:vAlign w:val="bottom"/>
          </w:tcPr>
          <w:p w:rsidR="00AC12B4" w:rsidRPr="00C27636" w:rsidRDefault="00AC12B4">
            <w:pPr>
              <w:rPr>
                <w:sz w:val="11"/>
                <w:szCs w:val="11"/>
                <w:lang w:val="fr-BE"/>
              </w:rPr>
            </w:pPr>
          </w:p>
        </w:tc>
        <w:tc>
          <w:tcPr>
            <w:tcW w:w="360" w:type="dxa"/>
            <w:shd w:val="clear" w:color="auto" w:fill="FEC930"/>
            <w:vAlign w:val="bottom"/>
          </w:tcPr>
          <w:p w:rsidR="00AC12B4" w:rsidRPr="00C27636" w:rsidRDefault="00AC12B4">
            <w:pPr>
              <w:rPr>
                <w:sz w:val="11"/>
                <w:szCs w:val="11"/>
                <w:lang w:val="fr-BE"/>
              </w:rPr>
            </w:pPr>
          </w:p>
        </w:tc>
        <w:tc>
          <w:tcPr>
            <w:tcW w:w="280" w:type="dxa"/>
            <w:shd w:val="clear" w:color="auto" w:fill="FEC930"/>
            <w:vAlign w:val="bottom"/>
          </w:tcPr>
          <w:p w:rsidR="00AC12B4" w:rsidRPr="00C27636" w:rsidRDefault="00AC12B4">
            <w:pPr>
              <w:rPr>
                <w:sz w:val="11"/>
                <w:szCs w:val="11"/>
                <w:lang w:val="fr-BE"/>
              </w:rPr>
            </w:pPr>
          </w:p>
        </w:tc>
        <w:tc>
          <w:tcPr>
            <w:tcW w:w="440" w:type="dxa"/>
            <w:shd w:val="clear" w:color="auto" w:fill="FEC930"/>
            <w:vAlign w:val="bottom"/>
          </w:tcPr>
          <w:p w:rsidR="00AC12B4" w:rsidRPr="00C27636" w:rsidRDefault="00AC12B4">
            <w:pPr>
              <w:rPr>
                <w:sz w:val="11"/>
                <w:szCs w:val="11"/>
                <w:lang w:val="fr-BE"/>
              </w:rPr>
            </w:pPr>
          </w:p>
        </w:tc>
        <w:tc>
          <w:tcPr>
            <w:tcW w:w="200" w:type="dxa"/>
            <w:shd w:val="clear" w:color="auto" w:fill="FEC930"/>
            <w:vAlign w:val="bottom"/>
          </w:tcPr>
          <w:p w:rsidR="00AC12B4" w:rsidRPr="00C27636" w:rsidRDefault="00AC12B4">
            <w:pPr>
              <w:rPr>
                <w:sz w:val="11"/>
                <w:szCs w:val="11"/>
                <w:lang w:val="fr-BE"/>
              </w:rPr>
            </w:pPr>
          </w:p>
        </w:tc>
        <w:tc>
          <w:tcPr>
            <w:tcW w:w="80" w:type="dxa"/>
            <w:shd w:val="clear" w:color="auto" w:fill="FEC930"/>
            <w:vAlign w:val="bottom"/>
          </w:tcPr>
          <w:p w:rsidR="00AC12B4" w:rsidRPr="00C27636" w:rsidRDefault="00AC12B4">
            <w:pPr>
              <w:rPr>
                <w:sz w:val="11"/>
                <w:szCs w:val="11"/>
                <w:lang w:val="fr-BE"/>
              </w:rPr>
            </w:pPr>
          </w:p>
        </w:tc>
        <w:tc>
          <w:tcPr>
            <w:tcW w:w="1440" w:type="dxa"/>
            <w:shd w:val="clear" w:color="auto" w:fill="FEC930"/>
            <w:vAlign w:val="bottom"/>
          </w:tcPr>
          <w:p w:rsidR="00AC12B4" w:rsidRPr="00C27636" w:rsidRDefault="00AC12B4">
            <w:pPr>
              <w:rPr>
                <w:sz w:val="11"/>
                <w:szCs w:val="11"/>
                <w:lang w:val="fr-BE"/>
              </w:rPr>
            </w:pPr>
          </w:p>
        </w:tc>
        <w:tc>
          <w:tcPr>
            <w:tcW w:w="120" w:type="dxa"/>
            <w:tcBorders>
              <w:right w:val="single" w:sz="8" w:space="0" w:color="CF9901"/>
            </w:tcBorders>
            <w:shd w:val="clear" w:color="auto" w:fill="FEC930"/>
            <w:vAlign w:val="bottom"/>
          </w:tcPr>
          <w:p w:rsidR="00AC12B4" w:rsidRPr="00C27636" w:rsidRDefault="00AC12B4">
            <w:pPr>
              <w:rPr>
                <w:sz w:val="11"/>
                <w:szCs w:val="11"/>
                <w:lang w:val="fr-BE"/>
              </w:rPr>
            </w:pPr>
          </w:p>
        </w:tc>
        <w:tc>
          <w:tcPr>
            <w:tcW w:w="4560" w:type="dxa"/>
            <w:gridSpan w:val="16"/>
            <w:vMerge w:val="restart"/>
            <w:vAlign w:val="bottom"/>
          </w:tcPr>
          <w:p w:rsidR="00AC12B4" w:rsidRPr="00C27636" w:rsidRDefault="00C27636">
            <w:pPr>
              <w:ind w:left="180"/>
              <w:rPr>
                <w:sz w:val="20"/>
                <w:szCs w:val="20"/>
                <w:lang w:val="fr-BE"/>
              </w:rPr>
            </w:pPr>
            <w:r w:rsidRPr="00C27636">
              <w:rPr>
                <w:rFonts w:ascii="Calibri" w:eastAsia="Calibri" w:hAnsi="Calibri" w:cs="Calibri"/>
                <w:lang w:val="fr-BE"/>
              </w:rPr>
              <w:t>laquelle le jeune et sa famille ont leur</w:t>
            </w:r>
          </w:p>
        </w:tc>
        <w:tc>
          <w:tcPr>
            <w:tcW w:w="0" w:type="dxa"/>
            <w:vAlign w:val="bottom"/>
          </w:tcPr>
          <w:p w:rsidR="00AC12B4" w:rsidRPr="00C27636" w:rsidRDefault="00AC12B4">
            <w:pPr>
              <w:rPr>
                <w:sz w:val="1"/>
                <w:szCs w:val="1"/>
                <w:lang w:val="fr-BE"/>
              </w:rPr>
            </w:pPr>
          </w:p>
        </w:tc>
      </w:tr>
      <w:tr w:rsidR="00AC12B4" w:rsidRPr="00C27636">
        <w:trPr>
          <w:trHeight w:val="137"/>
        </w:trPr>
        <w:tc>
          <w:tcPr>
            <w:tcW w:w="1460" w:type="dxa"/>
            <w:tcBorders>
              <w:left w:val="single" w:sz="8" w:space="0" w:color="CF9901"/>
            </w:tcBorders>
            <w:shd w:val="clear" w:color="auto" w:fill="FEC930"/>
            <w:vAlign w:val="bottom"/>
          </w:tcPr>
          <w:p w:rsidR="00AC12B4" w:rsidRPr="00C27636" w:rsidRDefault="00AC12B4">
            <w:pPr>
              <w:rPr>
                <w:sz w:val="11"/>
                <w:szCs w:val="11"/>
                <w:lang w:val="fr-BE"/>
              </w:rPr>
            </w:pPr>
          </w:p>
        </w:tc>
        <w:tc>
          <w:tcPr>
            <w:tcW w:w="680" w:type="dxa"/>
            <w:shd w:val="clear" w:color="auto" w:fill="FEC930"/>
            <w:vAlign w:val="bottom"/>
          </w:tcPr>
          <w:p w:rsidR="00AC12B4" w:rsidRPr="00C27636" w:rsidRDefault="00AC12B4">
            <w:pPr>
              <w:rPr>
                <w:sz w:val="11"/>
                <w:szCs w:val="11"/>
                <w:lang w:val="fr-BE"/>
              </w:rPr>
            </w:pPr>
          </w:p>
        </w:tc>
        <w:tc>
          <w:tcPr>
            <w:tcW w:w="640" w:type="dxa"/>
            <w:shd w:val="clear" w:color="auto" w:fill="FEC930"/>
            <w:vAlign w:val="bottom"/>
          </w:tcPr>
          <w:p w:rsidR="00AC12B4" w:rsidRPr="00C27636" w:rsidRDefault="00AC12B4">
            <w:pPr>
              <w:rPr>
                <w:sz w:val="11"/>
                <w:szCs w:val="11"/>
                <w:lang w:val="fr-BE"/>
              </w:rPr>
            </w:pPr>
          </w:p>
        </w:tc>
        <w:tc>
          <w:tcPr>
            <w:tcW w:w="480" w:type="dxa"/>
            <w:shd w:val="clear" w:color="auto" w:fill="FEC930"/>
            <w:vAlign w:val="bottom"/>
          </w:tcPr>
          <w:p w:rsidR="00AC12B4" w:rsidRPr="00C27636" w:rsidRDefault="00AC12B4">
            <w:pPr>
              <w:rPr>
                <w:sz w:val="11"/>
                <w:szCs w:val="11"/>
                <w:lang w:val="fr-BE"/>
              </w:rPr>
            </w:pPr>
          </w:p>
        </w:tc>
        <w:tc>
          <w:tcPr>
            <w:tcW w:w="360" w:type="dxa"/>
            <w:shd w:val="clear" w:color="auto" w:fill="FEC930"/>
            <w:vAlign w:val="bottom"/>
          </w:tcPr>
          <w:p w:rsidR="00AC12B4" w:rsidRPr="00C27636" w:rsidRDefault="00AC12B4">
            <w:pPr>
              <w:rPr>
                <w:sz w:val="11"/>
                <w:szCs w:val="11"/>
                <w:lang w:val="fr-BE"/>
              </w:rPr>
            </w:pPr>
          </w:p>
        </w:tc>
        <w:tc>
          <w:tcPr>
            <w:tcW w:w="280" w:type="dxa"/>
            <w:shd w:val="clear" w:color="auto" w:fill="FEC930"/>
            <w:vAlign w:val="bottom"/>
          </w:tcPr>
          <w:p w:rsidR="00AC12B4" w:rsidRPr="00C27636" w:rsidRDefault="00AC12B4">
            <w:pPr>
              <w:rPr>
                <w:sz w:val="11"/>
                <w:szCs w:val="11"/>
                <w:lang w:val="fr-BE"/>
              </w:rPr>
            </w:pPr>
          </w:p>
        </w:tc>
        <w:tc>
          <w:tcPr>
            <w:tcW w:w="440" w:type="dxa"/>
            <w:shd w:val="clear" w:color="auto" w:fill="FEC930"/>
            <w:vAlign w:val="bottom"/>
          </w:tcPr>
          <w:p w:rsidR="00AC12B4" w:rsidRPr="00C27636" w:rsidRDefault="00AC12B4">
            <w:pPr>
              <w:rPr>
                <w:sz w:val="11"/>
                <w:szCs w:val="11"/>
                <w:lang w:val="fr-BE"/>
              </w:rPr>
            </w:pPr>
          </w:p>
        </w:tc>
        <w:tc>
          <w:tcPr>
            <w:tcW w:w="200" w:type="dxa"/>
            <w:shd w:val="clear" w:color="auto" w:fill="FEC930"/>
            <w:vAlign w:val="bottom"/>
          </w:tcPr>
          <w:p w:rsidR="00AC12B4" w:rsidRPr="00C27636" w:rsidRDefault="00AC12B4">
            <w:pPr>
              <w:rPr>
                <w:sz w:val="11"/>
                <w:szCs w:val="11"/>
                <w:lang w:val="fr-BE"/>
              </w:rPr>
            </w:pPr>
          </w:p>
        </w:tc>
        <w:tc>
          <w:tcPr>
            <w:tcW w:w="80" w:type="dxa"/>
            <w:shd w:val="clear" w:color="auto" w:fill="FEC930"/>
            <w:vAlign w:val="bottom"/>
          </w:tcPr>
          <w:p w:rsidR="00AC12B4" w:rsidRPr="00C27636" w:rsidRDefault="00AC12B4">
            <w:pPr>
              <w:rPr>
                <w:sz w:val="11"/>
                <w:szCs w:val="11"/>
                <w:lang w:val="fr-BE"/>
              </w:rPr>
            </w:pPr>
          </w:p>
        </w:tc>
        <w:tc>
          <w:tcPr>
            <w:tcW w:w="1440" w:type="dxa"/>
            <w:shd w:val="clear" w:color="auto" w:fill="FEC930"/>
            <w:vAlign w:val="bottom"/>
          </w:tcPr>
          <w:p w:rsidR="00AC12B4" w:rsidRPr="00C27636" w:rsidRDefault="00AC12B4">
            <w:pPr>
              <w:rPr>
                <w:sz w:val="11"/>
                <w:szCs w:val="11"/>
                <w:lang w:val="fr-BE"/>
              </w:rPr>
            </w:pPr>
          </w:p>
        </w:tc>
        <w:tc>
          <w:tcPr>
            <w:tcW w:w="120" w:type="dxa"/>
            <w:tcBorders>
              <w:right w:val="single" w:sz="8" w:space="0" w:color="CF9901"/>
            </w:tcBorders>
            <w:shd w:val="clear" w:color="auto" w:fill="FEC930"/>
            <w:vAlign w:val="bottom"/>
          </w:tcPr>
          <w:p w:rsidR="00AC12B4" w:rsidRPr="00C27636" w:rsidRDefault="00AC12B4">
            <w:pPr>
              <w:rPr>
                <w:sz w:val="11"/>
                <w:szCs w:val="11"/>
                <w:lang w:val="fr-BE"/>
              </w:rPr>
            </w:pPr>
          </w:p>
        </w:tc>
        <w:tc>
          <w:tcPr>
            <w:tcW w:w="4560" w:type="dxa"/>
            <w:gridSpan w:val="16"/>
            <w:vMerge/>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6060" w:type="dxa"/>
            <w:gridSpan w:val="10"/>
            <w:tcBorders>
              <w:left w:val="single" w:sz="8" w:space="0" w:color="CF9901"/>
            </w:tcBorders>
            <w:shd w:val="clear" w:color="auto" w:fill="FEC930"/>
            <w:vAlign w:val="bottom"/>
          </w:tcPr>
          <w:p w:rsidR="00AC12B4" w:rsidRPr="00C27636" w:rsidRDefault="00C27636">
            <w:pPr>
              <w:spacing w:line="252" w:lineRule="exact"/>
              <w:ind w:left="580"/>
              <w:rPr>
                <w:sz w:val="20"/>
                <w:szCs w:val="20"/>
                <w:lang w:val="fr-BE"/>
              </w:rPr>
            </w:pPr>
            <w:r w:rsidRPr="00C27636">
              <w:rPr>
                <w:rFonts w:ascii="Calibri" w:eastAsia="Calibri" w:hAnsi="Calibri" w:cs="Calibri"/>
                <w:i/>
                <w:iCs/>
                <w:color w:val="FFFFFF"/>
                <w:lang w:val="fr-BE"/>
              </w:rPr>
              <w:t>1. Les Etats parties veillent à ce que l’enfant ne soit pas</w:t>
            </w:r>
          </w:p>
        </w:tc>
        <w:tc>
          <w:tcPr>
            <w:tcW w:w="12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4560" w:type="dxa"/>
            <w:gridSpan w:val="16"/>
            <w:vAlign w:val="bottom"/>
          </w:tcPr>
          <w:p w:rsidR="00AC12B4" w:rsidRPr="00C27636" w:rsidRDefault="00C27636">
            <w:pPr>
              <w:ind w:left="180"/>
              <w:rPr>
                <w:sz w:val="20"/>
                <w:szCs w:val="20"/>
                <w:lang w:val="fr-BE"/>
              </w:rPr>
            </w:pPr>
            <w:r w:rsidRPr="00C27636">
              <w:rPr>
                <w:rFonts w:ascii="Calibri" w:eastAsia="Calibri" w:hAnsi="Calibri" w:cs="Calibri"/>
                <w:lang w:val="fr-BE"/>
              </w:rPr>
              <w:t>mot à dire sont des points d’attention</w:t>
            </w:r>
          </w:p>
        </w:tc>
        <w:tc>
          <w:tcPr>
            <w:tcW w:w="0" w:type="dxa"/>
            <w:vAlign w:val="bottom"/>
          </w:tcPr>
          <w:p w:rsidR="00AC12B4" w:rsidRPr="00C27636" w:rsidRDefault="00AC12B4">
            <w:pPr>
              <w:rPr>
                <w:sz w:val="1"/>
                <w:szCs w:val="1"/>
                <w:lang w:val="fr-BE"/>
              </w:rPr>
            </w:pPr>
          </w:p>
        </w:tc>
      </w:tr>
      <w:tr w:rsidR="00AC12B4">
        <w:trPr>
          <w:trHeight w:val="269"/>
        </w:trPr>
        <w:tc>
          <w:tcPr>
            <w:tcW w:w="6060" w:type="dxa"/>
            <w:gridSpan w:val="10"/>
            <w:tcBorders>
              <w:left w:val="single" w:sz="8" w:space="0" w:color="CF9901"/>
            </w:tcBorders>
            <w:shd w:val="clear" w:color="auto" w:fill="FEC930"/>
            <w:vAlign w:val="bottom"/>
          </w:tcPr>
          <w:p w:rsidR="00AC12B4" w:rsidRPr="00C27636" w:rsidRDefault="00C27636">
            <w:pPr>
              <w:spacing w:line="252" w:lineRule="exact"/>
              <w:ind w:left="580"/>
              <w:rPr>
                <w:sz w:val="20"/>
                <w:szCs w:val="20"/>
                <w:lang w:val="fr-BE"/>
              </w:rPr>
            </w:pPr>
            <w:r w:rsidRPr="00C27636">
              <w:rPr>
                <w:rFonts w:ascii="Calibri" w:eastAsia="Calibri" w:hAnsi="Calibri" w:cs="Calibri"/>
                <w:i/>
                <w:iCs/>
                <w:color w:val="FFFFFF"/>
                <w:lang w:val="fr-BE"/>
              </w:rPr>
              <w:t>séparé de ses parents contre leur gré, à moins que les</w:t>
            </w:r>
          </w:p>
        </w:tc>
        <w:tc>
          <w:tcPr>
            <w:tcW w:w="12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1040" w:type="dxa"/>
            <w:gridSpan w:val="3"/>
            <w:vAlign w:val="bottom"/>
          </w:tcPr>
          <w:p w:rsidR="00AC12B4" w:rsidRDefault="00C27636">
            <w:pPr>
              <w:ind w:left="180"/>
              <w:rPr>
                <w:sz w:val="20"/>
                <w:szCs w:val="20"/>
              </w:rPr>
            </w:pPr>
            <w:r>
              <w:rPr>
                <w:rFonts w:ascii="Calibri" w:eastAsia="Calibri" w:hAnsi="Calibri" w:cs="Calibri"/>
              </w:rPr>
              <w:t>centrale</w:t>
            </w:r>
          </w:p>
        </w:tc>
        <w:tc>
          <w:tcPr>
            <w:tcW w:w="240" w:type="dxa"/>
            <w:vAlign w:val="bottom"/>
          </w:tcPr>
          <w:p w:rsidR="00AC12B4" w:rsidRDefault="00C27636">
            <w:pPr>
              <w:rPr>
                <w:sz w:val="20"/>
                <w:szCs w:val="20"/>
              </w:rPr>
            </w:pPr>
            <w:r>
              <w:rPr>
                <w:rFonts w:ascii="Calibri" w:eastAsia="Calibri" w:hAnsi="Calibri" w:cs="Calibri"/>
                <w:w w:val="96"/>
              </w:rPr>
              <w:t>(cf</w:t>
            </w:r>
          </w:p>
        </w:tc>
        <w:tc>
          <w:tcPr>
            <w:tcW w:w="1040" w:type="dxa"/>
            <w:gridSpan w:val="4"/>
            <w:vAlign w:val="bottom"/>
          </w:tcPr>
          <w:p w:rsidR="00AC12B4" w:rsidRDefault="00C27636">
            <w:pPr>
              <w:jc w:val="right"/>
              <w:rPr>
                <w:sz w:val="20"/>
                <w:szCs w:val="20"/>
              </w:rPr>
            </w:pPr>
            <w:r>
              <w:rPr>
                <w:rFonts w:ascii="Calibri" w:eastAsia="Calibri" w:hAnsi="Calibri" w:cs="Calibri"/>
              </w:rPr>
              <w:t>indicateur</w:t>
            </w:r>
          </w:p>
        </w:tc>
        <w:tc>
          <w:tcPr>
            <w:tcW w:w="2240" w:type="dxa"/>
            <w:gridSpan w:val="8"/>
            <w:vAlign w:val="bottom"/>
          </w:tcPr>
          <w:p w:rsidR="00AC12B4" w:rsidRDefault="00C27636">
            <w:pPr>
              <w:ind w:right="700"/>
              <w:jc w:val="right"/>
              <w:rPr>
                <w:sz w:val="20"/>
                <w:szCs w:val="20"/>
              </w:rPr>
            </w:pPr>
            <w:r>
              <w:rPr>
                <w:rFonts w:ascii="Calibri" w:eastAsia="Calibri" w:hAnsi="Calibri" w:cs="Calibri"/>
              </w:rPr>
              <w:t>« participation</w:t>
            </w:r>
          </w:p>
        </w:tc>
        <w:tc>
          <w:tcPr>
            <w:tcW w:w="0" w:type="dxa"/>
            <w:vAlign w:val="bottom"/>
          </w:tcPr>
          <w:p w:rsidR="00AC12B4" w:rsidRDefault="00AC12B4">
            <w:pPr>
              <w:rPr>
                <w:sz w:val="1"/>
                <w:szCs w:val="1"/>
              </w:rPr>
            </w:pPr>
          </w:p>
        </w:tc>
      </w:tr>
      <w:tr w:rsidR="00AC12B4">
        <w:trPr>
          <w:trHeight w:val="269"/>
        </w:trPr>
        <w:tc>
          <w:tcPr>
            <w:tcW w:w="6060" w:type="dxa"/>
            <w:gridSpan w:val="10"/>
            <w:tcBorders>
              <w:left w:val="single" w:sz="8" w:space="0" w:color="CF9901"/>
            </w:tcBorders>
            <w:shd w:val="clear" w:color="auto" w:fill="FEC930"/>
            <w:vAlign w:val="bottom"/>
          </w:tcPr>
          <w:p w:rsidR="00AC12B4" w:rsidRPr="00C27636" w:rsidRDefault="00C27636">
            <w:pPr>
              <w:spacing w:line="252" w:lineRule="exact"/>
              <w:ind w:left="580"/>
              <w:rPr>
                <w:sz w:val="20"/>
                <w:szCs w:val="20"/>
                <w:lang w:val="fr-BE"/>
              </w:rPr>
            </w:pPr>
            <w:r w:rsidRPr="00C27636">
              <w:rPr>
                <w:rFonts w:ascii="Calibri" w:eastAsia="Calibri" w:hAnsi="Calibri" w:cs="Calibri"/>
                <w:i/>
                <w:iCs/>
                <w:color w:val="FFFFFF"/>
                <w:lang w:val="fr-BE"/>
              </w:rPr>
              <w:t>autorités compétentes ne décident, sous réserve de révision</w:t>
            </w:r>
          </w:p>
        </w:tc>
        <w:tc>
          <w:tcPr>
            <w:tcW w:w="12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1040" w:type="dxa"/>
            <w:gridSpan w:val="3"/>
            <w:vAlign w:val="bottom"/>
          </w:tcPr>
          <w:p w:rsidR="00AC12B4" w:rsidRDefault="00C27636">
            <w:pPr>
              <w:ind w:left="180"/>
              <w:rPr>
                <w:sz w:val="20"/>
                <w:szCs w:val="20"/>
              </w:rPr>
            </w:pPr>
            <w:r>
              <w:rPr>
                <w:rFonts w:ascii="Calibri" w:eastAsia="Calibri" w:hAnsi="Calibri" w:cs="Calibri"/>
              </w:rPr>
              <w:t>dans  le</w:t>
            </w:r>
          </w:p>
        </w:tc>
        <w:tc>
          <w:tcPr>
            <w:tcW w:w="520" w:type="dxa"/>
            <w:gridSpan w:val="2"/>
            <w:vAlign w:val="bottom"/>
          </w:tcPr>
          <w:p w:rsidR="00AC12B4" w:rsidRDefault="00C27636">
            <w:pPr>
              <w:jc w:val="right"/>
              <w:rPr>
                <w:sz w:val="20"/>
                <w:szCs w:val="20"/>
              </w:rPr>
            </w:pPr>
            <w:r>
              <w:rPr>
                <w:rFonts w:ascii="Calibri" w:eastAsia="Calibri" w:hAnsi="Calibri" w:cs="Calibri"/>
                <w:w w:val="99"/>
              </w:rPr>
              <w:t>cadre</w:t>
            </w:r>
          </w:p>
        </w:tc>
        <w:tc>
          <w:tcPr>
            <w:tcW w:w="500" w:type="dxa"/>
            <w:vAlign w:val="bottom"/>
          </w:tcPr>
          <w:p w:rsidR="00AC12B4" w:rsidRDefault="00C27636">
            <w:pPr>
              <w:ind w:left="140"/>
              <w:rPr>
                <w:sz w:val="20"/>
                <w:szCs w:val="20"/>
              </w:rPr>
            </w:pPr>
            <w:r>
              <w:rPr>
                <w:rFonts w:ascii="Calibri" w:eastAsia="Calibri" w:hAnsi="Calibri" w:cs="Calibri"/>
              </w:rPr>
              <w:t>du</w:t>
            </w:r>
          </w:p>
        </w:tc>
        <w:tc>
          <w:tcPr>
            <w:tcW w:w="2500" w:type="dxa"/>
            <w:gridSpan w:val="10"/>
            <w:vAlign w:val="bottom"/>
          </w:tcPr>
          <w:p w:rsidR="00AC12B4" w:rsidRDefault="00C27636">
            <w:pPr>
              <w:ind w:right="700"/>
              <w:jc w:val="right"/>
              <w:rPr>
                <w:sz w:val="20"/>
                <w:szCs w:val="20"/>
              </w:rPr>
            </w:pPr>
            <w:r>
              <w:rPr>
                <w:rFonts w:ascii="Calibri" w:eastAsia="Calibri" w:hAnsi="Calibri" w:cs="Calibri"/>
              </w:rPr>
              <w:t>placement »). Cet</w:t>
            </w:r>
          </w:p>
        </w:tc>
        <w:tc>
          <w:tcPr>
            <w:tcW w:w="0" w:type="dxa"/>
            <w:vAlign w:val="bottom"/>
          </w:tcPr>
          <w:p w:rsidR="00AC12B4" w:rsidRDefault="00AC12B4">
            <w:pPr>
              <w:rPr>
                <w:sz w:val="1"/>
                <w:szCs w:val="1"/>
              </w:rPr>
            </w:pPr>
          </w:p>
        </w:tc>
      </w:tr>
      <w:tr w:rsidR="00AC12B4" w:rsidRPr="00C27636">
        <w:trPr>
          <w:trHeight w:val="269"/>
        </w:trPr>
        <w:tc>
          <w:tcPr>
            <w:tcW w:w="6060" w:type="dxa"/>
            <w:gridSpan w:val="10"/>
            <w:tcBorders>
              <w:left w:val="single" w:sz="8" w:space="0" w:color="CF9901"/>
            </w:tcBorders>
            <w:shd w:val="clear" w:color="auto" w:fill="FEC930"/>
            <w:vAlign w:val="bottom"/>
          </w:tcPr>
          <w:p w:rsidR="00AC12B4" w:rsidRPr="00C27636" w:rsidRDefault="00C27636">
            <w:pPr>
              <w:spacing w:line="252" w:lineRule="exact"/>
              <w:ind w:left="580"/>
              <w:rPr>
                <w:sz w:val="20"/>
                <w:szCs w:val="20"/>
                <w:lang w:val="fr-BE"/>
              </w:rPr>
            </w:pPr>
            <w:r w:rsidRPr="00C27636">
              <w:rPr>
                <w:rFonts w:ascii="Calibri" w:eastAsia="Calibri" w:hAnsi="Calibri" w:cs="Calibri"/>
                <w:i/>
                <w:iCs/>
                <w:color w:val="FFFFFF"/>
                <w:lang w:val="fr-BE"/>
              </w:rPr>
              <w:t xml:space="preserve">judiciaire  et  </w:t>
            </w:r>
            <w:r w:rsidRPr="00C27636">
              <w:rPr>
                <w:rFonts w:ascii="Calibri" w:eastAsia="Calibri" w:hAnsi="Calibri" w:cs="Calibri"/>
                <w:i/>
                <w:iCs/>
                <w:color w:val="FFFFFF"/>
                <w:lang w:val="fr-BE"/>
              </w:rPr>
              <w:t>conformément  aux  lois  et  procédures</w:t>
            </w:r>
          </w:p>
        </w:tc>
        <w:tc>
          <w:tcPr>
            <w:tcW w:w="12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4560" w:type="dxa"/>
            <w:gridSpan w:val="16"/>
            <w:vAlign w:val="bottom"/>
          </w:tcPr>
          <w:p w:rsidR="00AC12B4" w:rsidRPr="00C27636" w:rsidRDefault="00C27636">
            <w:pPr>
              <w:ind w:left="180"/>
              <w:rPr>
                <w:sz w:val="20"/>
                <w:szCs w:val="20"/>
                <w:lang w:val="fr-BE"/>
              </w:rPr>
            </w:pPr>
            <w:r w:rsidRPr="00C27636">
              <w:rPr>
                <w:rFonts w:ascii="Calibri" w:eastAsia="Calibri" w:hAnsi="Calibri" w:cs="Calibri"/>
                <w:lang w:val="fr-BE"/>
              </w:rPr>
              <w:t>indicateur-ci se concentre sur la durée</w:t>
            </w:r>
          </w:p>
        </w:tc>
        <w:tc>
          <w:tcPr>
            <w:tcW w:w="0" w:type="dxa"/>
            <w:vAlign w:val="bottom"/>
          </w:tcPr>
          <w:p w:rsidR="00AC12B4" w:rsidRPr="00C27636" w:rsidRDefault="00AC12B4">
            <w:pPr>
              <w:rPr>
                <w:sz w:val="1"/>
                <w:szCs w:val="1"/>
                <w:lang w:val="fr-BE"/>
              </w:rPr>
            </w:pPr>
          </w:p>
        </w:tc>
      </w:tr>
      <w:tr w:rsidR="00AC12B4">
        <w:trPr>
          <w:trHeight w:val="254"/>
        </w:trPr>
        <w:tc>
          <w:tcPr>
            <w:tcW w:w="6060" w:type="dxa"/>
            <w:gridSpan w:val="10"/>
            <w:tcBorders>
              <w:left w:val="single" w:sz="8" w:space="0" w:color="CF9901"/>
            </w:tcBorders>
            <w:shd w:val="clear" w:color="auto" w:fill="FEC930"/>
            <w:vAlign w:val="bottom"/>
          </w:tcPr>
          <w:p w:rsidR="00AC12B4" w:rsidRPr="00C27636" w:rsidRDefault="00C27636">
            <w:pPr>
              <w:spacing w:line="252" w:lineRule="exact"/>
              <w:ind w:left="580"/>
              <w:rPr>
                <w:sz w:val="20"/>
                <w:szCs w:val="20"/>
                <w:lang w:val="fr-BE"/>
              </w:rPr>
            </w:pPr>
            <w:r w:rsidRPr="00C27636">
              <w:rPr>
                <w:rFonts w:ascii="Calibri" w:eastAsia="Calibri" w:hAnsi="Calibri" w:cs="Calibri"/>
                <w:i/>
                <w:iCs/>
                <w:color w:val="FFFFFF"/>
                <w:lang w:val="fr-BE"/>
              </w:rPr>
              <w:t xml:space="preserve">applicables,  que  cette  séparation  est  nécessaire  </w:t>
            </w:r>
            <w:r w:rsidRPr="00C27636">
              <w:rPr>
                <w:rFonts w:ascii="Calibri" w:eastAsia="Calibri" w:hAnsi="Calibri" w:cs="Calibri"/>
                <w:i/>
                <w:iCs/>
                <w:color w:val="FFFFFF"/>
                <w:lang w:val="fr-BE"/>
              </w:rPr>
              <w:lastRenderedPageBreak/>
              <w:t>dans</w:t>
            </w:r>
          </w:p>
        </w:tc>
        <w:tc>
          <w:tcPr>
            <w:tcW w:w="120" w:type="dxa"/>
            <w:tcBorders>
              <w:right w:val="single" w:sz="8" w:space="0" w:color="CF9901"/>
            </w:tcBorders>
            <w:shd w:val="clear" w:color="auto" w:fill="FEC930"/>
            <w:vAlign w:val="bottom"/>
          </w:tcPr>
          <w:p w:rsidR="00AC12B4" w:rsidRPr="00C27636" w:rsidRDefault="00AC12B4">
            <w:pPr>
              <w:rPr>
                <w:lang w:val="fr-BE"/>
              </w:rPr>
            </w:pPr>
          </w:p>
        </w:tc>
        <w:tc>
          <w:tcPr>
            <w:tcW w:w="1560" w:type="dxa"/>
            <w:gridSpan w:val="5"/>
            <w:vAlign w:val="bottom"/>
          </w:tcPr>
          <w:p w:rsidR="00AC12B4" w:rsidRDefault="00C27636">
            <w:pPr>
              <w:spacing w:line="255" w:lineRule="exact"/>
              <w:ind w:left="180"/>
              <w:rPr>
                <w:sz w:val="20"/>
                <w:szCs w:val="20"/>
              </w:rPr>
            </w:pPr>
            <w:r>
              <w:rPr>
                <w:rFonts w:ascii="Calibri" w:eastAsia="Calibri" w:hAnsi="Calibri" w:cs="Calibri"/>
              </w:rPr>
              <w:t>du placeme</w:t>
            </w:r>
            <w:r>
              <w:rPr>
                <w:rFonts w:ascii="Calibri" w:eastAsia="Calibri" w:hAnsi="Calibri" w:cs="Calibri"/>
              </w:rPr>
              <w:lastRenderedPageBreak/>
              <w:t>nt.</w:t>
            </w:r>
          </w:p>
        </w:tc>
        <w:tc>
          <w:tcPr>
            <w:tcW w:w="500" w:type="dxa"/>
            <w:vAlign w:val="bottom"/>
          </w:tcPr>
          <w:p w:rsidR="00AC12B4" w:rsidRDefault="00AC12B4"/>
        </w:tc>
        <w:tc>
          <w:tcPr>
            <w:tcW w:w="140" w:type="dxa"/>
            <w:vAlign w:val="bottom"/>
          </w:tcPr>
          <w:p w:rsidR="00AC12B4" w:rsidRDefault="00AC12B4"/>
        </w:tc>
        <w:tc>
          <w:tcPr>
            <w:tcW w:w="120" w:type="dxa"/>
            <w:vAlign w:val="bottom"/>
          </w:tcPr>
          <w:p w:rsidR="00AC12B4" w:rsidRDefault="00AC12B4"/>
        </w:tc>
        <w:tc>
          <w:tcPr>
            <w:tcW w:w="360" w:type="dxa"/>
            <w:vAlign w:val="bottom"/>
          </w:tcPr>
          <w:p w:rsidR="00AC12B4" w:rsidRDefault="00AC12B4"/>
        </w:tc>
        <w:tc>
          <w:tcPr>
            <w:tcW w:w="80" w:type="dxa"/>
            <w:vAlign w:val="bottom"/>
          </w:tcPr>
          <w:p w:rsidR="00AC12B4" w:rsidRDefault="00AC12B4"/>
        </w:tc>
        <w:tc>
          <w:tcPr>
            <w:tcW w:w="200" w:type="dxa"/>
            <w:vAlign w:val="bottom"/>
          </w:tcPr>
          <w:p w:rsidR="00AC12B4" w:rsidRDefault="00AC12B4"/>
        </w:tc>
        <w:tc>
          <w:tcPr>
            <w:tcW w:w="120" w:type="dxa"/>
            <w:vAlign w:val="bottom"/>
          </w:tcPr>
          <w:p w:rsidR="00AC12B4" w:rsidRDefault="00AC12B4"/>
        </w:tc>
        <w:tc>
          <w:tcPr>
            <w:tcW w:w="120" w:type="dxa"/>
            <w:vAlign w:val="bottom"/>
          </w:tcPr>
          <w:p w:rsidR="00AC12B4" w:rsidRDefault="00AC12B4"/>
        </w:tc>
        <w:tc>
          <w:tcPr>
            <w:tcW w:w="220" w:type="dxa"/>
            <w:vAlign w:val="bottom"/>
          </w:tcPr>
          <w:p w:rsidR="00AC12B4" w:rsidRDefault="00AC12B4"/>
        </w:tc>
        <w:tc>
          <w:tcPr>
            <w:tcW w:w="280" w:type="dxa"/>
            <w:vAlign w:val="bottom"/>
          </w:tcPr>
          <w:p w:rsidR="00AC12B4" w:rsidRDefault="00AC12B4"/>
        </w:tc>
        <w:tc>
          <w:tcPr>
            <w:tcW w:w="860" w:type="dxa"/>
            <w:vAlign w:val="bottom"/>
          </w:tcPr>
          <w:p w:rsidR="00AC12B4" w:rsidRDefault="00AC12B4"/>
        </w:tc>
        <w:tc>
          <w:tcPr>
            <w:tcW w:w="0" w:type="dxa"/>
            <w:vAlign w:val="bottom"/>
          </w:tcPr>
          <w:p w:rsidR="00AC12B4" w:rsidRDefault="00AC12B4">
            <w:pPr>
              <w:rPr>
                <w:sz w:val="1"/>
                <w:szCs w:val="1"/>
              </w:rPr>
            </w:pPr>
          </w:p>
        </w:tc>
      </w:tr>
      <w:tr w:rsidR="00AC12B4">
        <w:trPr>
          <w:trHeight w:val="267"/>
        </w:trPr>
        <w:tc>
          <w:tcPr>
            <w:tcW w:w="6060" w:type="dxa"/>
            <w:gridSpan w:val="10"/>
            <w:tcBorders>
              <w:left w:val="single" w:sz="8" w:space="0" w:color="CF9901"/>
            </w:tcBorders>
            <w:shd w:val="clear" w:color="auto" w:fill="FEC930"/>
            <w:vAlign w:val="bottom"/>
          </w:tcPr>
          <w:p w:rsidR="00AC12B4" w:rsidRPr="00C27636" w:rsidRDefault="00C27636">
            <w:pPr>
              <w:spacing w:line="267" w:lineRule="exact"/>
              <w:ind w:left="580"/>
              <w:rPr>
                <w:sz w:val="20"/>
                <w:szCs w:val="20"/>
                <w:lang w:val="fr-BE"/>
              </w:rPr>
            </w:pPr>
            <w:r w:rsidRPr="00C27636">
              <w:rPr>
                <w:rFonts w:ascii="Calibri" w:eastAsia="Calibri" w:hAnsi="Calibri" w:cs="Calibri"/>
                <w:i/>
                <w:iCs/>
                <w:color w:val="FFFFFF"/>
                <w:lang w:val="fr-BE"/>
              </w:rPr>
              <w:lastRenderedPageBreak/>
              <w:t>l’intérêt supérieur de l’enfant. Une décision en ce sens peut</w:t>
            </w:r>
          </w:p>
        </w:tc>
        <w:tc>
          <w:tcPr>
            <w:tcW w:w="12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500" w:type="dxa"/>
            <w:vMerge w:val="restart"/>
            <w:vAlign w:val="bottom"/>
          </w:tcPr>
          <w:p w:rsidR="00AC12B4" w:rsidRDefault="00C27636">
            <w:pPr>
              <w:ind w:left="180"/>
              <w:rPr>
                <w:sz w:val="20"/>
                <w:szCs w:val="20"/>
              </w:rPr>
            </w:pPr>
            <w:r>
              <w:rPr>
                <w:rFonts w:ascii="Calibri" w:eastAsia="Calibri" w:hAnsi="Calibri" w:cs="Calibri"/>
              </w:rPr>
              <w:t>Il</w:t>
            </w:r>
          </w:p>
        </w:tc>
        <w:tc>
          <w:tcPr>
            <w:tcW w:w="780" w:type="dxa"/>
            <w:gridSpan w:val="3"/>
            <w:vMerge w:val="restart"/>
            <w:vAlign w:val="bottom"/>
          </w:tcPr>
          <w:p w:rsidR="00AC12B4" w:rsidRDefault="00C27636">
            <w:pPr>
              <w:ind w:left="160"/>
              <w:rPr>
                <w:sz w:val="20"/>
                <w:szCs w:val="20"/>
              </w:rPr>
            </w:pPr>
            <w:r>
              <w:rPr>
                <w:rFonts w:ascii="Calibri" w:eastAsia="Calibri" w:hAnsi="Calibri" w:cs="Calibri"/>
              </w:rPr>
              <w:t>existe</w:t>
            </w:r>
          </w:p>
        </w:tc>
        <w:tc>
          <w:tcPr>
            <w:tcW w:w="780" w:type="dxa"/>
            <w:gridSpan w:val="2"/>
            <w:vMerge w:val="restart"/>
            <w:vAlign w:val="bottom"/>
          </w:tcPr>
          <w:p w:rsidR="00AC12B4" w:rsidRDefault="00C27636">
            <w:pPr>
              <w:ind w:right="173"/>
              <w:jc w:val="right"/>
              <w:rPr>
                <w:sz w:val="20"/>
                <w:szCs w:val="20"/>
              </w:rPr>
            </w:pPr>
            <w:r>
              <w:rPr>
                <w:rFonts w:ascii="Calibri" w:eastAsia="Calibri" w:hAnsi="Calibri" w:cs="Calibri"/>
              </w:rPr>
              <w:t>un</w:t>
            </w:r>
          </w:p>
        </w:tc>
        <w:tc>
          <w:tcPr>
            <w:tcW w:w="140" w:type="dxa"/>
            <w:tcBorders>
              <w:right w:val="single" w:sz="8" w:space="0" w:color="FEC930"/>
            </w:tcBorders>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360" w:type="dxa"/>
            <w:vAlign w:val="bottom"/>
          </w:tcPr>
          <w:p w:rsidR="00AC12B4" w:rsidRDefault="00AC12B4">
            <w:pPr>
              <w:rPr>
                <w:sz w:val="23"/>
                <w:szCs w:val="23"/>
              </w:rPr>
            </w:pPr>
          </w:p>
        </w:tc>
        <w:tc>
          <w:tcPr>
            <w:tcW w:w="80" w:type="dxa"/>
            <w:vAlign w:val="bottom"/>
          </w:tcPr>
          <w:p w:rsidR="00AC12B4" w:rsidRDefault="00AC12B4">
            <w:pPr>
              <w:rPr>
                <w:sz w:val="23"/>
                <w:szCs w:val="23"/>
              </w:rPr>
            </w:pPr>
          </w:p>
        </w:tc>
        <w:tc>
          <w:tcPr>
            <w:tcW w:w="20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120" w:type="dxa"/>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280" w:type="dxa"/>
            <w:vAlign w:val="bottom"/>
          </w:tcPr>
          <w:p w:rsidR="00AC12B4" w:rsidRDefault="00AC12B4">
            <w:pPr>
              <w:rPr>
                <w:sz w:val="23"/>
                <w:szCs w:val="23"/>
              </w:rPr>
            </w:pPr>
          </w:p>
        </w:tc>
        <w:tc>
          <w:tcPr>
            <w:tcW w:w="860" w:type="dxa"/>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34"/>
        </w:trPr>
        <w:tc>
          <w:tcPr>
            <w:tcW w:w="606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i/>
                <w:iCs/>
                <w:color w:val="FFFFFF"/>
                <w:lang w:val="fr-BE"/>
              </w:rPr>
              <w:t>être nécessaire dans certains cas particuliers, par exemple</w:t>
            </w:r>
          </w:p>
        </w:tc>
        <w:tc>
          <w:tcPr>
            <w:tcW w:w="120" w:type="dxa"/>
            <w:tcBorders>
              <w:right w:val="single" w:sz="8" w:space="0" w:color="CF9901"/>
            </w:tcBorders>
            <w:shd w:val="clear" w:color="auto" w:fill="FEC930"/>
            <w:vAlign w:val="bottom"/>
          </w:tcPr>
          <w:p w:rsidR="00AC12B4" w:rsidRPr="00C27636" w:rsidRDefault="00AC12B4">
            <w:pPr>
              <w:rPr>
                <w:sz w:val="11"/>
                <w:szCs w:val="11"/>
                <w:lang w:val="fr-BE"/>
              </w:rPr>
            </w:pPr>
          </w:p>
        </w:tc>
        <w:tc>
          <w:tcPr>
            <w:tcW w:w="500" w:type="dxa"/>
            <w:vMerge/>
            <w:vAlign w:val="bottom"/>
          </w:tcPr>
          <w:p w:rsidR="00AC12B4" w:rsidRPr="00C27636" w:rsidRDefault="00AC12B4">
            <w:pPr>
              <w:rPr>
                <w:sz w:val="11"/>
                <w:szCs w:val="11"/>
                <w:lang w:val="fr-BE"/>
              </w:rPr>
            </w:pPr>
          </w:p>
        </w:tc>
        <w:tc>
          <w:tcPr>
            <w:tcW w:w="780" w:type="dxa"/>
            <w:gridSpan w:val="3"/>
            <w:vMerge/>
            <w:vAlign w:val="bottom"/>
          </w:tcPr>
          <w:p w:rsidR="00AC12B4" w:rsidRPr="00C27636" w:rsidRDefault="00AC12B4">
            <w:pPr>
              <w:rPr>
                <w:sz w:val="11"/>
                <w:szCs w:val="11"/>
                <w:lang w:val="fr-BE"/>
              </w:rPr>
            </w:pPr>
          </w:p>
        </w:tc>
        <w:tc>
          <w:tcPr>
            <w:tcW w:w="780" w:type="dxa"/>
            <w:gridSpan w:val="2"/>
            <w:vMerge/>
            <w:vAlign w:val="bottom"/>
          </w:tcPr>
          <w:p w:rsidR="00AC12B4" w:rsidRPr="00C27636" w:rsidRDefault="00AC12B4">
            <w:pPr>
              <w:rPr>
                <w:sz w:val="11"/>
                <w:szCs w:val="11"/>
                <w:lang w:val="fr-BE"/>
              </w:rPr>
            </w:pPr>
          </w:p>
        </w:tc>
        <w:tc>
          <w:tcPr>
            <w:tcW w:w="140" w:type="dxa"/>
            <w:tcBorders>
              <w:right w:val="single" w:sz="8" w:space="0" w:color="FEC930"/>
            </w:tcBorders>
            <w:vAlign w:val="bottom"/>
          </w:tcPr>
          <w:p w:rsidR="00AC12B4" w:rsidRPr="00C27636" w:rsidRDefault="00AC12B4">
            <w:pPr>
              <w:rPr>
                <w:sz w:val="11"/>
                <w:szCs w:val="11"/>
                <w:lang w:val="fr-BE"/>
              </w:rPr>
            </w:pPr>
          </w:p>
        </w:tc>
        <w:tc>
          <w:tcPr>
            <w:tcW w:w="120" w:type="dxa"/>
            <w:vAlign w:val="bottom"/>
          </w:tcPr>
          <w:p w:rsidR="00AC12B4" w:rsidRPr="00C27636" w:rsidRDefault="00AC12B4">
            <w:pPr>
              <w:rPr>
                <w:sz w:val="11"/>
                <w:szCs w:val="11"/>
                <w:lang w:val="fr-BE"/>
              </w:rPr>
            </w:pPr>
          </w:p>
        </w:tc>
        <w:tc>
          <w:tcPr>
            <w:tcW w:w="2240" w:type="dxa"/>
            <w:gridSpan w:val="8"/>
            <w:vMerge w:val="restart"/>
            <w:vAlign w:val="bottom"/>
          </w:tcPr>
          <w:p w:rsidR="00AC12B4" w:rsidRDefault="00C27636">
            <w:pPr>
              <w:spacing w:line="1255" w:lineRule="exact"/>
              <w:ind w:right="20"/>
              <w:jc w:val="right"/>
              <w:rPr>
                <w:sz w:val="20"/>
                <w:szCs w:val="20"/>
              </w:rPr>
            </w:pPr>
            <w:r>
              <w:rPr>
                <w:rFonts w:ascii="Comic Sans MS" w:eastAsia="Comic Sans MS" w:hAnsi="Comic Sans MS" w:cs="Comic Sans MS"/>
                <w:color w:val="FEC930"/>
                <w:sz w:val="96"/>
                <w:szCs w:val="96"/>
              </w:rPr>
              <w:t>N/A</w:t>
            </w:r>
          </w:p>
        </w:tc>
        <w:tc>
          <w:tcPr>
            <w:tcW w:w="0" w:type="dxa"/>
            <w:vAlign w:val="bottom"/>
          </w:tcPr>
          <w:p w:rsidR="00AC12B4" w:rsidRDefault="00AC12B4">
            <w:pPr>
              <w:rPr>
                <w:sz w:val="1"/>
                <w:szCs w:val="1"/>
              </w:rPr>
            </w:pPr>
          </w:p>
        </w:tc>
      </w:tr>
      <w:tr w:rsidR="00AC12B4">
        <w:trPr>
          <w:trHeight w:val="134"/>
        </w:trPr>
        <w:tc>
          <w:tcPr>
            <w:tcW w:w="6060" w:type="dxa"/>
            <w:gridSpan w:val="10"/>
            <w:vMerge/>
            <w:tcBorders>
              <w:left w:val="single" w:sz="8" w:space="0" w:color="CF9901"/>
            </w:tcBorders>
            <w:shd w:val="clear" w:color="auto" w:fill="FEC930"/>
            <w:vAlign w:val="bottom"/>
          </w:tcPr>
          <w:p w:rsidR="00AC12B4" w:rsidRDefault="00AC12B4">
            <w:pPr>
              <w:rPr>
                <w:sz w:val="11"/>
                <w:szCs w:val="11"/>
              </w:rPr>
            </w:pPr>
          </w:p>
        </w:tc>
        <w:tc>
          <w:tcPr>
            <w:tcW w:w="120" w:type="dxa"/>
            <w:tcBorders>
              <w:right w:val="single" w:sz="8" w:space="0" w:color="CF9901"/>
            </w:tcBorders>
            <w:shd w:val="clear" w:color="auto" w:fill="FEC930"/>
            <w:vAlign w:val="bottom"/>
          </w:tcPr>
          <w:p w:rsidR="00AC12B4" w:rsidRDefault="00AC12B4">
            <w:pPr>
              <w:rPr>
                <w:sz w:val="11"/>
                <w:szCs w:val="11"/>
              </w:rPr>
            </w:pPr>
          </w:p>
        </w:tc>
        <w:tc>
          <w:tcPr>
            <w:tcW w:w="2060" w:type="dxa"/>
            <w:gridSpan w:val="6"/>
            <w:vMerge w:val="restart"/>
            <w:vAlign w:val="bottom"/>
          </w:tcPr>
          <w:p w:rsidR="00AC12B4" w:rsidRDefault="00C27636">
            <w:pPr>
              <w:ind w:left="180"/>
              <w:rPr>
                <w:sz w:val="20"/>
                <w:szCs w:val="20"/>
              </w:rPr>
            </w:pPr>
            <w:r>
              <w:rPr>
                <w:rFonts w:ascii="Calibri" w:eastAsia="Calibri" w:hAnsi="Calibri" w:cs="Calibri"/>
              </w:rPr>
              <w:t>consensus contre</w:t>
            </w:r>
          </w:p>
        </w:tc>
        <w:tc>
          <w:tcPr>
            <w:tcW w:w="140" w:type="dxa"/>
            <w:tcBorders>
              <w:right w:val="single" w:sz="8" w:space="0" w:color="FEC930"/>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240" w:type="dxa"/>
            <w:gridSpan w:val="8"/>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5"/>
        </w:trPr>
        <w:tc>
          <w:tcPr>
            <w:tcW w:w="3620" w:type="dxa"/>
            <w:gridSpan w:val="5"/>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lorsque les parents maltraitent</w:t>
            </w:r>
          </w:p>
        </w:tc>
        <w:tc>
          <w:tcPr>
            <w:tcW w:w="280" w:type="dxa"/>
            <w:vMerge w:val="restart"/>
            <w:shd w:val="clear" w:color="auto" w:fill="FEC930"/>
            <w:vAlign w:val="bottom"/>
          </w:tcPr>
          <w:p w:rsidR="00AC12B4" w:rsidRDefault="00C27636">
            <w:pPr>
              <w:rPr>
                <w:sz w:val="20"/>
                <w:szCs w:val="20"/>
              </w:rPr>
            </w:pPr>
            <w:r>
              <w:rPr>
                <w:rFonts w:ascii="Calibri" w:eastAsia="Calibri" w:hAnsi="Calibri" w:cs="Calibri"/>
                <w:i/>
                <w:iCs/>
                <w:color w:val="FFFFFF"/>
              </w:rPr>
              <w:t>ou</w:t>
            </w:r>
          </w:p>
        </w:tc>
        <w:tc>
          <w:tcPr>
            <w:tcW w:w="2160" w:type="dxa"/>
            <w:gridSpan w:val="4"/>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négligent l’enfant, ou</w:t>
            </w:r>
          </w:p>
        </w:tc>
        <w:tc>
          <w:tcPr>
            <w:tcW w:w="120" w:type="dxa"/>
            <w:tcBorders>
              <w:right w:val="single" w:sz="8" w:space="0" w:color="CF9901"/>
            </w:tcBorders>
            <w:shd w:val="clear" w:color="auto" w:fill="FEC930"/>
            <w:vAlign w:val="bottom"/>
          </w:tcPr>
          <w:p w:rsidR="00AC12B4" w:rsidRDefault="00AC12B4">
            <w:pPr>
              <w:rPr>
                <w:sz w:val="11"/>
                <w:szCs w:val="11"/>
              </w:rPr>
            </w:pPr>
          </w:p>
        </w:tc>
        <w:tc>
          <w:tcPr>
            <w:tcW w:w="2060" w:type="dxa"/>
            <w:gridSpan w:val="6"/>
            <w:vMerge/>
            <w:vAlign w:val="bottom"/>
          </w:tcPr>
          <w:p w:rsidR="00AC12B4" w:rsidRDefault="00AC12B4">
            <w:pPr>
              <w:rPr>
                <w:sz w:val="11"/>
                <w:szCs w:val="11"/>
              </w:rPr>
            </w:pPr>
          </w:p>
        </w:tc>
        <w:tc>
          <w:tcPr>
            <w:tcW w:w="140" w:type="dxa"/>
            <w:tcBorders>
              <w:right w:val="single" w:sz="8" w:space="0" w:color="FEC930"/>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240" w:type="dxa"/>
            <w:gridSpan w:val="8"/>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4"/>
        </w:trPr>
        <w:tc>
          <w:tcPr>
            <w:tcW w:w="3620" w:type="dxa"/>
            <w:gridSpan w:val="5"/>
            <w:vMerge/>
            <w:tcBorders>
              <w:left w:val="single" w:sz="8" w:space="0" w:color="CF9901"/>
            </w:tcBorders>
            <w:shd w:val="clear" w:color="auto" w:fill="FEC930"/>
            <w:vAlign w:val="bottom"/>
          </w:tcPr>
          <w:p w:rsidR="00AC12B4" w:rsidRDefault="00AC12B4">
            <w:pPr>
              <w:rPr>
                <w:sz w:val="11"/>
                <w:szCs w:val="11"/>
              </w:rPr>
            </w:pPr>
          </w:p>
        </w:tc>
        <w:tc>
          <w:tcPr>
            <w:tcW w:w="280" w:type="dxa"/>
            <w:vMerge/>
            <w:shd w:val="clear" w:color="auto" w:fill="FEC930"/>
            <w:vAlign w:val="bottom"/>
          </w:tcPr>
          <w:p w:rsidR="00AC12B4" w:rsidRDefault="00AC12B4">
            <w:pPr>
              <w:rPr>
                <w:sz w:val="11"/>
                <w:szCs w:val="11"/>
              </w:rPr>
            </w:pPr>
          </w:p>
        </w:tc>
        <w:tc>
          <w:tcPr>
            <w:tcW w:w="2160" w:type="dxa"/>
            <w:gridSpan w:val="4"/>
            <w:vMerge/>
            <w:shd w:val="clear" w:color="auto" w:fill="FEC930"/>
            <w:vAlign w:val="bottom"/>
          </w:tcPr>
          <w:p w:rsidR="00AC12B4" w:rsidRDefault="00AC12B4">
            <w:pPr>
              <w:rPr>
                <w:sz w:val="11"/>
                <w:szCs w:val="11"/>
              </w:rPr>
            </w:pPr>
          </w:p>
        </w:tc>
        <w:tc>
          <w:tcPr>
            <w:tcW w:w="120" w:type="dxa"/>
            <w:tcBorders>
              <w:right w:val="single" w:sz="8" w:space="0" w:color="CF9901"/>
            </w:tcBorders>
            <w:shd w:val="clear" w:color="auto" w:fill="FEC930"/>
            <w:vAlign w:val="bottom"/>
          </w:tcPr>
          <w:p w:rsidR="00AC12B4" w:rsidRDefault="00AC12B4">
            <w:pPr>
              <w:rPr>
                <w:sz w:val="11"/>
                <w:szCs w:val="11"/>
              </w:rPr>
            </w:pPr>
          </w:p>
        </w:tc>
        <w:tc>
          <w:tcPr>
            <w:tcW w:w="500" w:type="dxa"/>
            <w:vMerge w:val="restart"/>
            <w:vAlign w:val="bottom"/>
          </w:tcPr>
          <w:p w:rsidR="00AC12B4" w:rsidRDefault="00C27636">
            <w:pPr>
              <w:ind w:left="180"/>
              <w:rPr>
                <w:sz w:val="20"/>
                <w:szCs w:val="20"/>
              </w:rPr>
            </w:pPr>
            <w:r>
              <w:rPr>
                <w:rFonts w:ascii="Calibri" w:eastAsia="Calibri" w:hAnsi="Calibri" w:cs="Calibri"/>
              </w:rPr>
              <w:t>le</w:t>
            </w:r>
          </w:p>
        </w:tc>
        <w:tc>
          <w:tcPr>
            <w:tcW w:w="300" w:type="dxa"/>
            <w:vAlign w:val="bottom"/>
          </w:tcPr>
          <w:p w:rsidR="00AC12B4" w:rsidRDefault="00AC12B4">
            <w:pPr>
              <w:rPr>
                <w:sz w:val="11"/>
                <w:szCs w:val="11"/>
              </w:rPr>
            </w:pPr>
          </w:p>
        </w:tc>
        <w:tc>
          <w:tcPr>
            <w:tcW w:w="1260" w:type="dxa"/>
            <w:gridSpan w:val="4"/>
            <w:vMerge w:val="restart"/>
            <w:vAlign w:val="bottom"/>
          </w:tcPr>
          <w:p w:rsidR="00AC12B4" w:rsidRDefault="00C27636">
            <w:pPr>
              <w:ind w:left="20"/>
              <w:rPr>
                <w:sz w:val="20"/>
                <w:szCs w:val="20"/>
              </w:rPr>
            </w:pPr>
            <w:r>
              <w:rPr>
                <w:rFonts w:ascii="Calibri" w:eastAsia="Calibri" w:hAnsi="Calibri" w:cs="Calibri"/>
              </w:rPr>
              <w:t>placement</w:t>
            </w:r>
          </w:p>
        </w:tc>
        <w:tc>
          <w:tcPr>
            <w:tcW w:w="140" w:type="dxa"/>
            <w:tcBorders>
              <w:right w:val="single" w:sz="8" w:space="0" w:color="FEC930"/>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240" w:type="dxa"/>
            <w:gridSpan w:val="8"/>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4"/>
        </w:trPr>
        <w:tc>
          <w:tcPr>
            <w:tcW w:w="2140" w:type="dxa"/>
            <w:gridSpan w:val="2"/>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i/>
                <w:iCs/>
                <w:color w:val="FFFFFF"/>
              </w:rPr>
              <w:t>lorsqu’ils vivent</w:t>
            </w:r>
          </w:p>
        </w:tc>
        <w:tc>
          <w:tcPr>
            <w:tcW w:w="1120" w:type="dxa"/>
            <w:gridSpan w:val="2"/>
            <w:vMerge w:val="restart"/>
            <w:shd w:val="clear" w:color="auto" w:fill="FEC930"/>
            <w:vAlign w:val="bottom"/>
          </w:tcPr>
          <w:p w:rsidR="00AC12B4" w:rsidRDefault="00C27636">
            <w:pPr>
              <w:rPr>
                <w:sz w:val="20"/>
                <w:szCs w:val="20"/>
              </w:rPr>
            </w:pPr>
            <w:r>
              <w:rPr>
                <w:rFonts w:ascii="Calibri" w:eastAsia="Calibri" w:hAnsi="Calibri" w:cs="Calibri"/>
                <w:i/>
                <w:iCs/>
                <w:color w:val="FFFFFF"/>
              </w:rPr>
              <w:t>séparément</w:t>
            </w:r>
          </w:p>
        </w:tc>
        <w:tc>
          <w:tcPr>
            <w:tcW w:w="360" w:type="dxa"/>
            <w:vMerge w:val="restart"/>
            <w:shd w:val="clear" w:color="auto" w:fill="FEC930"/>
            <w:vAlign w:val="bottom"/>
          </w:tcPr>
          <w:p w:rsidR="00AC12B4" w:rsidRDefault="00C27636">
            <w:pPr>
              <w:ind w:left="60"/>
              <w:rPr>
                <w:sz w:val="20"/>
                <w:szCs w:val="20"/>
              </w:rPr>
            </w:pPr>
            <w:r>
              <w:rPr>
                <w:rFonts w:ascii="Calibri" w:eastAsia="Calibri" w:hAnsi="Calibri" w:cs="Calibri"/>
                <w:i/>
                <w:iCs/>
                <w:color w:val="FFFFFF"/>
              </w:rPr>
              <w:t>et</w:t>
            </w:r>
          </w:p>
        </w:tc>
        <w:tc>
          <w:tcPr>
            <w:tcW w:w="2440" w:type="dxa"/>
            <w:gridSpan w:val="5"/>
            <w:vMerge w:val="restart"/>
            <w:shd w:val="clear" w:color="auto" w:fill="FEC930"/>
            <w:vAlign w:val="bottom"/>
          </w:tcPr>
          <w:p w:rsidR="00AC12B4" w:rsidRDefault="00C27636">
            <w:pPr>
              <w:jc w:val="right"/>
              <w:rPr>
                <w:sz w:val="20"/>
                <w:szCs w:val="20"/>
              </w:rPr>
            </w:pPr>
            <w:r>
              <w:rPr>
                <w:rFonts w:ascii="Calibri" w:eastAsia="Calibri" w:hAnsi="Calibri" w:cs="Calibri"/>
                <w:i/>
                <w:iCs/>
                <w:color w:val="FFFFFF"/>
              </w:rPr>
              <w:t>qu’une décision doit être</w:t>
            </w:r>
          </w:p>
        </w:tc>
        <w:tc>
          <w:tcPr>
            <w:tcW w:w="120" w:type="dxa"/>
            <w:tcBorders>
              <w:right w:val="single" w:sz="8" w:space="0" w:color="CF9901"/>
            </w:tcBorders>
            <w:shd w:val="clear" w:color="auto" w:fill="FEC930"/>
            <w:vAlign w:val="bottom"/>
          </w:tcPr>
          <w:p w:rsidR="00AC12B4" w:rsidRDefault="00AC12B4">
            <w:pPr>
              <w:rPr>
                <w:sz w:val="11"/>
                <w:szCs w:val="11"/>
              </w:rPr>
            </w:pPr>
          </w:p>
        </w:tc>
        <w:tc>
          <w:tcPr>
            <w:tcW w:w="500" w:type="dxa"/>
            <w:vMerge/>
            <w:vAlign w:val="bottom"/>
          </w:tcPr>
          <w:p w:rsidR="00AC12B4" w:rsidRDefault="00AC12B4">
            <w:pPr>
              <w:rPr>
                <w:sz w:val="11"/>
                <w:szCs w:val="11"/>
              </w:rPr>
            </w:pPr>
          </w:p>
        </w:tc>
        <w:tc>
          <w:tcPr>
            <w:tcW w:w="300" w:type="dxa"/>
            <w:vAlign w:val="bottom"/>
          </w:tcPr>
          <w:p w:rsidR="00AC12B4" w:rsidRDefault="00AC12B4">
            <w:pPr>
              <w:rPr>
                <w:sz w:val="11"/>
                <w:szCs w:val="11"/>
              </w:rPr>
            </w:pPr>
          </w:p>
        </w:tc>
        <w:tc>
          <w:tcPr>
            <w:tcW w:w="1260" w:type="dxa"/>
            <w:gridSpan w:val="4"/>
            <w:vMerge/>
            <w:vAlign w:val="bottom"/>
          </w:tcPr>
          <w:p w:rsidR="00AC12B4" w:rsidRDefault="00AC12B4">
            <w:pPr>
              <w:rPr>
                <w:sz w:val="11"/>
                <w:szCs w:val="11"/>
              </w:rPr>
            </w:pPr>
          </w:p>
        </w:tc>
        <w:tc>
          <w:tcPr>
            <w:tcW w:w="140" w:type="dxa"/>
            <w:tcBorders>
              <w:right w:val="single" w:sz="8" w:space="0" w:color="FEC930"/>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240" w:type="dxa"/>
            <w:gridSpan w:val="8"/>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34"/>
        </w:trPr>
        <w:tc>
          <w:tcPr>
            <w:tcW w:w="2140" w:type="dxa"/>
            <w:gridSpan w:val="2"/>
            <w:vMerge/>
            <w:tcBorders>
              <w:left w:val="single" w:sz="8" w:space="0" w:color="CF9901"/>
            </w:tcBorders>
            <w:shd w:val="clear" w:color="auto" w:fill="FEC930"/>
            <w:vAlign w:val="bottom"/>
          </w:tcPr>
          <w:p w:rsidR="00AC12B4" w:rsidRDefault="00AC12B4">
            <w:pPr>
              <w:rPr>
                <w:sz w:val="11"/>
                <w:szCs w:val="11"/>
              </w:rPr>
            </w:pPr>
          </w:p>
        </w:tc>
        <w:tc>
          <w:tcPr>
            <w:tcW w:w="1120" w:type="dxa"/>
            <w:gridSpan w:val="2"/>
            <w:vMerge/>
            <w:shd w:val="clear" w:color="auto" w:fill="FEC930"/>
            <w:vAlign w:val="bottom"/>
          </w:tcPr>
          <w:p w:rsidR="00AC12B4" w:rsidRDefault="00AC12B4">
            <w:pPr>
              <w:rPr>
                <w:sz w:val="11"/>
                <w:szCs w:val="11"/>
              </w:rPr>
            </w:pPr>
          </w:p>
        </w:tc>
        <w:tc>
          <w:tcPr>
            <w:tcW w:w="360" w:type="dxa"/>
            <w:vMerge/>
            <w:shd w:val="clear" w:color="auto" w:fill="FEC930"/>
            <w:vAlign w:val="bottom"/>
          </w:tcPr>
          <w:p w:rsidR="00AC12B4" w:rsidRDefault="00AC12B4">
            <w:pPr>
              <w:rPr>
                <w:sz w:val="11"/>
                <w:szCs w:val="11"/>
              </w:rPr>
            </w:pPr>
          </w:p>
        </w:tc>
        <w:tc>
          <w:tcPr>
            <w:tcW w:w="2440" w:type="dxa"/>
            <w:gridSpan w:val="5"/>
            <w:vMerge/>
            <w:shd w:val="clear" w:color="auto" w:fill="FEC930"/>
            <w:vAlign w:val="bottom"/>
          </w:tcPr>
          <w:p w:rsidR="00AC12B4" w:rsidRDefault="00AC12B4">
            <w:pPr>
              <w:rPr>
                <w:sz w:val="11"/>
                <w:szCs w:val="11"/>
              </w:rPr>
            </w:pPr>
          </w:p>
        </w:tc>
        <w:tc>
          <w:tcPr>
            <w:tcW w:w="120" w:type="dxa"/>
            <w:tcBorders>
              <w:right w:val="single" w:sz="8" w:space="0" w:color="CF9901"/>
            </w:tcBorders>
            <w:shd w:val="clear" w:color="auto" w:fill="FEC930"/>
            <w:vAlign w:val="bottom"/>
          </w:tcPr>
          <w:p w:rsidR="00AC12B4" w:rsidRDefault="00AC12B4">
            <w:pPr>
              <w:rPr>
                <w:sz w:val="11"/>
                <w:szCs w:val="11"/>
              </w:rPr>
            </w:pPr>
          </w:p>
        </w:tc>
        <w:tc>
          <w:tcPr>
            <w:tcW w:w="1560" w:type="dxa"/>
            <w:gridSpan w:val="5"/>
            <w:vMerge w:val="restart"/>
            <w:vAlign w:val="bottom"/>
          </w:tcPr>
          <w:p w:rsidR="00AC12B4" w:rsidRDefault="00C27636">
            <w:pPr>
              <w:ind w:left="180"/>
              <w:rPr>
                <w:sz w:val="20"/>
                <w:szCs w:val="20"/>
              </w:rPr>
            </w:pPr>
            <w:r>
              <w:rPr>
                <w:rFonts w:ascii="Calibri" w:eastAsia="Calibri" w:hAnsi="Calibri" w:cs="Calibri"/>
              </w:rPr>
              <w:t>institutionnel</w:t>
            </w:r>
          </w:p>
        </w:tc>
        <w:tc>
          <w:tcPr>
            <w:tcW w:w="500" w:type="dxa"/>
            <w:vAlign w:val="bottom"/>
          </w:tcPr>
          <w:p w:rsidR="00AC12B4" w:rsidRDefault="00AC12B4">
            <w:pPr>
              <w:rPr>
                <w:sz w:val="11"/>
                <w:szCs w:val="11"/>
              </w:rPr>
            </w:pPr>
          </w:p>
        </w:tc>
        <w:tc>
          <w:tcPr>
            <w:tcW w:w="140" w:type="dxa"/>
            <w:tcBorders>
              <w:right w:val="single" w:sz="8" w:space="0" w:color="FEC930"/>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240" w:type="dxa"/>
            <w:gridSpan w:val="8"/>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134"/>
        </w:trPr>
        <w:tc>
          <w:tcPr>
            <w:tcW w:w="6060" w:type="dxa"/>
            <w:gridSpan w:val="10"/>
            <w:vMerge w:val="restart"/>
            <w:tcBorders>
              <w:left w:val="single" w:sz="8" w:space="0" w:color="CF9901"/>
            </w:tcBorders>
            <w:shd w:val="clear" w:color="auto" w:fill="FEC930"/>
            <w:vAlign w:val="bottom"/>
          </w:tcPr>
          <w:p w:rsidR="00AC12B4" w:rsidRPr="00C27636" w:rsidRDefault="00C27636">
            <w:pPr>
              <w:spacing w:line="267" w:lineRule="exact"/>
              <w:ind w:left="580"/>
              <w:rPr>
                <w:sz w:val="20"/>
                <w:szCs w:val="20"/>
                <w:lang w:val="fr-BE"/>
              </w:rPr>
            </w:pPr>
            <w:r w:rsidRPr="00C27636">
              <w:rPr>
                <w:rFonts w:ascii="Calibri" w:eastAsia="Calibri" w:hAnsi="Calibri" w:cs="Calibri"/>
                <w:i/>
                <w:iCs/>
                <w:color w:val="FFFFFF"/>
                <w:lang w:val="fr-BE"/>
              </w:rPr>
              <w:t>prise au sujet du lieu de résidence de l’enfant.</w:t>
            </w:r>
          </w:p>
        </w:tc>
        <w:tc>
          <w:tcPr>
            <w:tcW w:w="120" w:type="dxa"/>
            <w:tcBorders>
              <w:right w:val="single" w:sz="8" w:space="0" w:color="CF9901"/>
            </w:tcBorders>
            <w:shd w:val="clear" w:color="auto" w:fill="FEC930"/>
            <w:vAlign w:val="bottom"/>
          </w:tcPr>
          <w:p w:rsidR="00AC12B4" w:rsidRPr="00C27636" w:rsidRDefault="00AC12B4">
            <w:pPr>
              <w:rPr>
                <w:sz w:val="11"/>
                <w:szCs w:val="11"/>
                <w:lang w:val="fr-BE"/>
              </w:rPr>
            </w:pPr>
          </w:p>
        </w:tc>
        <w:tc>
          <w:tcPr>
            <w:tcW w:w="1560" w:type="dxa"/>
            <w:gridSpan w:val="5"/>
            <w:vMerge/>
            <w:vAlign w:val="bottom"/>
          </w:tcPr>
          <w:p w:rsidR="00AC12B4" w:rsidRPr="00C27636" w:rsidRDefault="00AC12B4">
            <w:pPr>
              <w:rPr>
                <w:sz w:val="11"/>
                <w:szCs w:val="11"/>
                <w:lang w:val="fr-BE"/>
              </w:rPr>
            </w:pPr>
          </w:p>
        </w:tc>
        <w:tc>
          <w:tcPr>
            <w:tcW w:w="500" w:type="dxa"/>
            <w:vAlign w:val="bottom"/>
          </w:tcPr>
          <w:p w:rsidR="00AC12B4" w:rsidRPr="00C27636" w:rsidRDefault="00AC12B4">
            <w:pPr>
              <w:rPr>
                <w:sz w:val="11"/>
                <w:szCs w:val="11"/>
                <w:lang w:val="fr-BE"/>
              </w:rPr>
            </w:pPr>
          </w:p>
        </w:tc>
        <w:tc>
          <w:tcPr>
            <w:tcW w:w="140" w:type="dxa"/>
            <w:tcBorders>
              <w:right w:val="single" w:sz="8" w:space="0" w:color="FEC930"/>
            </w:tcBorders>
            <w:vAlign w:val="bottom"/>
          </w:tcPr>
          <w:p w:rsidR="00AC12B4" w:rsidRPr="00C27636" w:rsidRDefault="00AC12B4">
            <w:pPr>
              <w:rPr>
                <w:sz w:val="11"/>
                <w:szCs w:val="11"/>
                <w:lang w:val="fr-BE"/>
              </w:rPr>
            </w:pPr>
          </w:p>
        </w:tc>
        <w:tc>
          <w:tcPr>
            <w:tcW w:w="120" w:type="dxa"/>
            <w:vAlign w:val="bottom"/>
          </w:tcPr>
          <w:p w:rsidR="00AC12B4" w:rsidRPr="00C27636" w:rsidRDefault="00AC12B4">
            <w:pPr>
              <w:rPr>
                <w:sz w:val="11"/>
                <w:szCs w:val="11"/>
                <w:lang w:val="fr-BE"/>
              </w:rPr>
            </w:pPr>
          </w:p>
        </w:tc>
        <w:tc>
          <w:tcPr>
            <w:tcW w:w="2240" w:type="dxa"/>
            <w:gridSpan w:val="8"/>
            <w:vMerge/>
            <w:vAlign w:val="bottom"/>
          </w:tcPr>
          <w:p w:rsidR="00AC12B4" w:rsidRPr="00C27636" w:rsidRDefault="00AC12B4">
            <w:pPr>
              <w:rPr>
                <w:sz w:val="11"/>
                <w:szCs w:val="11"/>
                <w:lang w:val="fr-BE"/>
              </w:rPr>
            </w:pPr>
          </w:p>
        </w:tc>
        <w:tc>
          <w:tcPr>
            <w:tcW w:w="0" w:type="dxa"/>
            <w:vAlign w:val="bottom"/>
          </w:tcPr>
          <w:p w:rsidR="00AC12B4" w:rsidRPr="00C27636" w:rsidRDefault="00AC12B4">
            <w:pPr>
              <w:rPr>
                <w:sz w:val="1"/>
                <w:szCs w:val="1"/>
                <w:lang w:val="fr-BE"/>
              </w:rPr>
            </w:pPr>
          </w:p>
        </w:tc>
      </w:tr>
      <w:tr w:rsidR="00AC12B4">
        <w:trPr>
          <w:trHeight w:val="132"/>
        </w:trPr>
        <w:tc>
          <w:tcPr>
            <w:tcW w:w="6060" w:type="dxa"/>
            <w:gridSpan w:val="10"/>
            <w:vMerge/>
            <w:tcBorders>
              <w:left w:val="single" w:sz="8" w:space="0" w:color="CF9901"/>
            </w:tcBorders>
            <w:shd w:val="clear" w:color="auto" w:fill="FEC930"/>
            <w:vAlign w:val="bottom"/>
          </w:tcPr>
          <w:p w:rsidR="00AC12B4" w:rsidRPr="00C27636" w:rsidRDefault="00AC12B4">
            <w:pPr>
              <w:rPr>
                <w:sz w:val="11"/>
                <w:szCs w:val="11"/>
                <w:lang w:val="fr-BE"/>
              </w:rPr>
            </w:pPr>
          </w:p>
        </w:tc>
        <w:tc>
          <w:tcPr>
            <w:tcW w:w="120" w:type="dxa"/>
            <w:tcBorders>
              <w:right w:val="single" w:sz="8" w:space="0" w:color="CF9901"/>
            </w:tcBorders>
            <w:shd w:val="clear" w:color="auto" w:fill="FEC930"/>
            <w:vAlign w:val="bottom"/>
          </w:tcPr>
          <w:p w:rsidR="00AC12B4" w:rsidRPr="00C27636" w:rsidRDefault="00AC12B4">
            <w:pPr>
              <w:rPr>
                <w:sz w:val="11"/>
                <w:szCs w:val="11"/>
                <w:lang w:val="fr-BE"/>
              </w:rPr>
            </w:pPr>
          </w:p>
        </w:tc>
        <w:tc>
          <w:tcPr>
            <w:tcW w:w="800" w:type="dxa"/>
            <w:gridSpan w:val="2"/>
            <w:vMerge w:val="restart"/>
            <w:vAlign w:val="bottom"/>
          </w:tcPr>
          <w:p w:rsidR="00AC12B4" w:rsidRDefault="00C27636">
            <w:pPr>
              <w:ind w:left="180"/>
              <w:rPr>
                <w:sz w:val="20"/>
                <w:szCs w:val="20"/>
              </w:rPr>
            </w:pPr>
            <w:r>
              <w:rPr>
                <w:rFonts w:ascii="Calibri" w:eastAsia="Calibri" w:hAnsi="Calibri" w:cs="Calibri"/>
              </w:rPr>
              <w:t>trop</w:t>
            </w:r>
          </w:p>
        </w:tc>
        <w:tc>
          <w:tcPr>
            <w:tcW w:w="240" w:type="dxa"/>
            <w:vAlign w:val="bottom"/>
          </w:tcPr>
          <w:p w:rsidR="00AC12B4" w:rsidRDefault="00AC12B4">
            <w:pPr>
              <w:rPr>
                <w:sz w:val="11"/>
                <w:szCs w:val="11"/>
              </w:rPr>
            </w:pPr>
          </w:p>
        </w:tc>
        <w:tc>
          <w:tcPr>
            <w:tcW w:w="240" w:type="dxa"/>
            <w:vAlign w:val="bottom"/>
          </w:tcPr>
          <w:p w:rsidR="00AC12B4" w:rsidRDefault="00AC12B4">
            <w:pPr>
              <w:rPr>
                <w:sz w:val="11"/>
                <w:szCs w:val="11"/>
              </w:rPr>
            </w:pPr>
          </w:p>
        </w:tc>
        <w:tc>
          <w:tcPr>
            <w:tcW w:w="780" w:type="dxa"/>
            <w:gridSpan w:val="2"/>
            <w:vMerge w:val="restart"/>
            <w:vAlign w:val="bottom"/>
          </w:tcPr>
          <w:p w:rsidR="00AC12B4" w:rsidRDefault="00C27636">
            <w:pPr>
              <w:ind w:right="173"/>
              <w:jc w:val="right"/>
              <w:rPr>
                <w:sz w:val="20"/>
                <w:szCs w:val="20"/>
              </w:rPr>
            </w:pPr>
            <w:r>
              <w:rPr>
                <w:rFonts w:ascii="Calibri" w:eastAsia="Calibri" w:hAnsi="Calibri" w:cs="Calibri"/>
              </w:rPr>
              <w:t>long.</w:t>
            </w:r>
          </w:p>
        </w:tc>
        <w:tc>
          <w:tcPr>
            <w:tcW w:w="140" w:type="dxa"/>
            <w:tcBorders>
              <w:right w:val="single" w:sz="8" w:space="0" w:color="FEC930"/>
            </w:tcBorders>
            <w:vAlign w:val="bottom"/>
          </w:tcPr>
          <w:p w:rsidR="00AC12B4" w:rsidRDefault="00AC12B4">
            <w:pPr>
              <w:rPr>
                <w:sz w:val="11"/>
                <w:szCs w:val="11"/>
              </w:rPr>
            </w:pPr>
          </w:p>
        </w:tc>
        <w:tc>
          <w:tcPr>
            <w:tcW w:w="120" w:type="dxa"/>
            <w:vAlign w:val="bottom"/>
          </w:tcPr>
          <w:p w:rsidR="00AC12B4" w:rsidRDefault="00AC12B4">
            <w:pPr>
              <w:rPr>
                <w:sz w:val="11"/>
                <w:szCs w:val="11"/>
              </w:rPr>
            </w:pPr>
          </w:p>
        </w:tc>
        <w:tc>
          <w:tcPr>
            <w:tcW w:w="2240" w:type="dxa"/>
            <w:gridSpan w:val="8"/>
            <w:vMerge/>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86"/>
        </w:trPr>
        <w:tc>
          <w:tcPr>
            <w:tcW w:w="2140" w:type="dxa"/>
            <w:gridSpan w:val="2"/>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color w:val="FFFFFF"/>
              </w:rPr>
              <w:t>Article 18</w:t>
            </w:r>
          </w:p>
        </w:tc>
        <w:tc>
          <w:tcPr>
            <w:tcW w:w="640" w:type="dxa"/>
            <w:shd w:val="clear" w:color="auto" w:fill="FEC930"/>
            <w:vAlign w:val="bottom"/>
          </w:tcPr>
          <w:p w:rsidR="00AC12B4" w:rsidRDefault="00AC12B4">
            <w:pPr>
              <w:rPr>
                <w:sz w:val="16"/>
                <w:szCs w:val="16"/>
              </w:rPr>
            </w:pPr>
          </w:p>
        </w:tc>
        <w:tc>
          <w:tcPr>
            <w:tcW w:w="480" w:type="dxa"/>
            <w:shd w:val="clear" w:color="auto" w:fill="FEC930"/>
            <w:vAlign w:val="bottom"/>
          </w:tcPr>
          <w:p w:rsidR="00AC12B4" w:rsidRDefault="00AC12B4">
            <w:pPr>
              <w:rPr>
                <w:sz w:val="16"/>
                <w:szCs w:val="16"/>
              </w:rPr>
            </w:pPr>
          </w:p>
        </w:tc>
        <w:tc>
          <w:tcPr>
            <w:tcW w:w="360" w:type="dxa"/>
            <w:shd w:val="clear" w:color="auto" w:fill="FEC930"/>
            <w:vAlign w:val="bottom"/>
          </w:tcPr>
          <w:p w:rsidR="00AC12B4" w:rsidRDefault="00AC12B4">
            <w:pPr>
              <w:rPr>
                <w:sz w:val="16"/>
                <w:szCs w:val="16"/>
              </w:rPr>
            </w:pPr>
          </w:p>
        </w:tc>
        <w:tc>
          <w:tcPr>
            <w:tcW w:w="280" w:type="dxa"/>
            <w:shd w:val="clear" w:color="auto" w:fill="FEC930"/>
            <w:vAlign w:val="bottom"/>
          </w:tcPr>
          <w:p w:rsidR="00AC12B4" w:rsidRDefault="00AC12B4">
            <w:pPr>
              <w:rPr>
                <w:sz w:val="16"/>
                <w:szCs w:val="16"/>
              </w:rPr>
            </w:pPr>
          </w:p>
        </w:tc>
        <w:tc>
          <w:tcPr>
            <w:tcW w:w="440" w:type="dxa"/>
            <w:shd w:val="clear" w:color="auto" w:fill="FEC930"/>
            <w:vAlign w:val="bottom"/>
          </w:tcPr>
          <w:p w:rsidR="00AC12B4" w:rsidRDefault="00AC12B4">
            <w:pPr>
              <w:rPr>
                <w:sz w:val="16"/>
                <w:szCs w:val="16"/>
              </w:rPr>
            </w:pPr>
          </w:p>
        </w:tc>
        <w:tc>
          <w:tcPr>
            <w:tcW w:w="200" w:type="dxa"/>
            <w:shd w:val="clear" w:color="auto" w:fill="FEC930"/>
            <w:vAlign w:val="bottom"/>
          </w:tcPr>
          <w:p w:rsidR="00AC12B4" w:rsidRDefault="00AC12B4">
            <w:pPr>
              <w:rPr>
                <w:sz w:val="16"/>
                <w:szCs w:val="16"/>
              </w:rPr>
            </w:pPr>
          </w:p>
        </w:tc>
        <w:tc>
          <w:tcPr>
            <w:tcW w:w="80" w:type="dxa"/>
            <w:shd w:val="clear" w:color="auto" w:fill="FEC930"/>
            <w:vAlign w:val="bottom"/>
          </w:tcPr>
          <w:p w:rsidR="00AC12B4" w:rsidRDefault="00AC12B4">
            <w:pPr>
              <w:rPr>
                <w:sz w:val="16"/>
                <w:szCs w:val="16"/>
              </w:rPr>
            </w:pPr>
          </w:p>
        </w:tc>
        <w:tc>
          <w:tcPr>
            <w:tcW w:w="1440" w:type="dxa"/>
            <w:shd w:val="clear" w:color="auto" w:fill="FEC930"/>
            <w:vAlign w:val="bottom"/>
          </w:tcPr>
          <w:p w:rsidR="00AC12B4" w:rsidRDefault="00AC12B4">
            <w:pPr>
              <w:rPr>
                <w:sz w:val="16"/>
                <w:szCs w:val="16"/>
              </w:rPr>
            </w:pPr>
          </w:p>
        </w:tc>
        <w:tc>
          <w:tcPr>
            <w:tcW w:w="120" w:type="dxa"/>
            <w:tcBorders>
              <w:right w:val="single" w:sz="8" w:space="0" w:color="CF9901"/>
            </w:tcBorders>
            <w:shd w:val="clear" w:color="auto" w:fill="FEC930"/>
            <w:vAlign w:val="bottom"/>
          </w:tcPr>
          <w:p w:rsidR="00AC12B4" w:rsidRDefault="00AC12B4">
            <w:pPr>
              <w:rPr>
                <w:sz w:val="16"/>
                <w:szCs w:val="16"/>
              </w:rPr>
            </w:pPr>
          </w:p>
        </w:tc>
        <w:tc>
          <w:tcPr>
            <w:tcW w:w="800" w:type="dxa"/>
            <w:gridSpan w:val="2"/>
            <w:vMerge/>
            <w:vAlign w:val="bottom"/>
          </w:tcPr>
          <w:p w:rsidR="00AC12B4" w:rsidRDefault="00AC12B4">
            <w:pPr>
              <w:rPr>
                <w:sz w:val="16"/>
                <w:szCs w:val="16"/>
              </w:rPr>
            </w:pPr>
          </w:p>
        </w:tc>
        <w:tc>
          <w:tcPr>
            <w:tcW w:w="240" w:type="dxa"/>
            <w:vAlign w:val="bottom"/>
          </w:tcPr>
          <w:p w:rsidR="00AC12B4" w:rsidRDefault="00AC12B4">
            <w:pPr>
              <w:rPr>
                <w:sz w:val="16"/>
                <w:szCs w:val="16"/>
              </w:rPr>
            </w:pPr>
          </w:p>
        </w:tc>
        <w:tc>
          <w:tcPr>
            <w:tcW w:w="240" w:type="dxa"/>
            <w:vAlign w:val="bottom"/>
          </w:tcPr>
          <w:p w:rsidR="00AC12B4" w:rsidRDefault="00AC12B4">
            <w:pPr>
              <w:rPr>
                <w:sz w:val="16"/>
                <w:szCs w:val="16"/>
              </w:rPr>
            </w:pPr>
          </w:p>
        </w:tc>
        <w:tc>
          <w:tcPr>
            <w:tcW w:w="780" w:type="dxa"/>
            <w:gridSpan w:val="2"/>
            <w:vMerge/>
            <w:vAlign w:val="bottom"/>
          </w:tcPr>
          <w:p w:rsidR="00AC12B4" w:rsidRDefault="00AC12B4">
            <w:pPr>
              <w:rPr>
                <w:sz w:val="16"/>
                <w:szCs w:val="16"/>
              </w:rPr>
            </w:pPr>
          </w:p>
        </w:tc>
        <w:tc>
          <w:tcPr>
            <w:tcW w:w="140" w:type="dxa"/>
            <w:tcBorders>
              <w:right w:val="single" w:sz="8" w:space="0" w:color="FEC930"/>
            </w:tcBorders>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2240" w:type="dxa"/>
            <w:gridSpan w:val="8"/>
            <w:vMerge/>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220"/>
        </w:trPr>
        <w:tc>
          <w:tcPr>
            <w:tcW w:w="2140" w:type="dxa"/>
            <w:gridSpan w:val="2"/>
            <w:vMerge/>
            <w:tcBorders>
              <w:left w:val="single" w:sz="8" w:space="0" w:color="CF9901"/>
            </w:tcBorders>
            <w:shd w:val="clear" w:color="auto" w:fill="FEC930"/>
            <w:vAlign w:val="bottom"/>
          </w:tcPr>
          <w:p w:rsidR="00AC12B4" w:rsidRDefault="00AC12B4">
            <w:pPr>
              <w:rPr>
                <w:sz w:val="19"/>
                <w:szCs w:val="19"/>
              </w:rPr>
            </w:pPr>
          </w:p>
        </w:tc>
        <w:tc>
          <w:tcPr>
            <w:tcW w:w="640" w:type="dxa"/>
            <w:shd w:val="clear" w:color="auto" w:fill="FEC930"/>
            <w:vAlign w:val="bottom"/>
          </w:tcPr>
          <w:p w:rsidR="00AC12B4" w:rsidRDefault="00AC12B4">
            <w:pPr>
              <w:rPr>
                <w:sz w:val="19"/>
                <w:szCs w:val="19"/>
              </w:rPr>
            </w:pPr>
          </w:p>
        </w:tc>
        <w:tc>
          <w:tcPr>
            <w:tcW w:w="480" w:type="dxa"/>
            <w:shd w:val="clear" w:color="auto" w:fill="FEC930"/>
            <w:vAlign w:val="bottom"/>
          </w:tcPr>
          <w:p w:rsidR="00AC12B4" w:rsidRDefault="00AC12B4">
            <w:pPr>
              <w:rPr>
                <w:sz w:val="19"/>
                <w:szCs w:val="19"/>
              </w:rPr>
            </w:pPr>
          </w:p>
        </w:tc>
        <w:tc>
          <w:tcPr>
            <w:tcW w:w="360" w:type="dxa"/>
            <w:shd w:val="clear" w:color="auto" w:fill="FEC930"/>
            <w:vAlign w:val="bottom"/>
          </w:tcPr>
          <w:p w:rsidR="00AC12B4" w:rsidRDefault="00AC12B4">
            <w:pPr>
              <w:rPr>
                <w:sz w:val="19"/>
                <w:szCs w:val="19"/>
              </w:rPr>
            </w:pPr>
          </w:p>
        </w:tc>
        <w:tc>
          <w:tcPr>
            <w:tcW w:w="280" w:type="dxa"/>
            <w:shd w:val="clear" w:color="auto" w:fill="FEC930"/>
            <w:vAlign w:val="bottom"/>
          </w:tcPr>
          <w:p w:rsidR="00AC12B4" w:rsidRDefault="00AC12B4">
            <w:pPr>
              <w:rPr>
                <w:sz w:val="19"/>
                <w:szCs w:val="19"/>
              </w:rPr>
            </w:pPr>
          </w:p>
        </w:tc>
        <w:tc>
          <w:tcPr>
            <w:tcW w:w="440" w:type="dxa"/>
            <w:shd w:val="clear" w:color="auto" w:fill="FEC930"/>
            <w:vAlign w:val="bottom"/>
          </w:tcPr>
          <w:p w:rsidR="00AC12B4" w:rsidRDefault="00AC12B4">
            <w:pPr>
              <w:rPr>
                <w:sz w:val="19"/>
                <w:szCs w:val="19"/>
              </w:rPr>
            </w:pPr>
          </w:p>
        </w:tc>
        <w:tc>
          <w:tcPr>
            <w:tcW w:w="200" w:type="dxa"/>
            <w:shd w:val="clear" w:color="auto" w:fill="FEC930"/>
            <w:vAlign w:val="bottom"/>
          </w:tcPr>
          <w:p w:rsidR="00AC12B4" w:rsidRDefault="00AC12B4">
            <w:pPr>
              <w:rPr>
                <w:sz w:val="19"/>
                <w:szCs w:val="19"/>
              </w:rPr>
            </w:pPr>
          </w:p>
        </w:tc>
        <w:tc>
          <w:tcPr>
            <w:tcW w:w="80" w:type="dxa"/>
            <w:shd w:val="clear" w:color="auto" w:fill="FEC930"/>
            <w:vAlign w:val="bottom"/>
          </w:tcPr>
          <w:p w:rsidR="00AC12B4" w:rsidRDefault="00AC12B4">
            <w:pPr>
              <w:rPr>
                <w:sz w:val="19"/>
                <w:szCs w:val="19"/>
              </w:rPr>
            </w:pPr>
          </w:p>
        </w:tc>
        <w:tc>
          <w:tcPr>
            <w:tcW w:w="1440" w:type="dxa"/>
            <w:shd w:val="clear" w:color="auto" w:fill="FEC930"/>
            <w:vAlign w:val="bottom"/>
          </w:tcPr>
          <w:p w:rsidR="00AC12B4" w:rsidRDefault="00AC12B4">
            <w:pPr>
              <w:rPr>
                <w:sz w:val="19"/>
                <w:szCs w:val="19"/>
              </w:rPr>
            </w:pPr>
          </w:p>
        </w:tc>
        <w:tc>
          <w:tcPr>
            <w:tcW w:w="120" w:type="dxa"/>
            <w:tcBorders>
              <w:right w:val="single" w:sz="8" w:space="0" w:color="CF9901"/>
            </w:tcBorders>
            <w:shd w:val="clear" w:color="auto" w:fill="FEC930"/>
            <w:vAlign w:val="bottom"/>
          </w:tcPr>
          <w:p w:rsidR="00AC12B4" w:rsidRDefault="00AC12B4">
            <w:pPr>
              <w:rPr>
                <w:sz w:val="19"/>
                <w:szCs w:val="19"/>
              </w:rPr>
            </w:pPr>
          </w:p>
        </w:tc>
        <w:tc>
          <w:tcPr>
            <w:tcW w:w="1280" w:type="dxa"/>
            <w:gridSpan w:val="4"/>
            <w:vAlign w:val="bottom"/>
          </w:tcPr>
          <w:p w:rsidR="00AC12B4" w:rsidRDefault="00C27636">
            <w:pPr>
              <w:spacing w:line="220" w:lineRule="exact"/>
              <w:ind w:left="180"/>
              <w:rPr>
                <w:sz w:val="20"/>
                <w:szCs w:val="20"/>
              </w:rPr>
            </w:pPr>
            <w:r>
              <w:rPr>
                <w:rFonts w:ascii="Calibri" w:eastAsia="Calibri" w:hAnsi="Calibri" w:cs="Calibri"/>
              </w:rPr>
              <w:t>Toutefois,</w:t>
            </w:r>
          </w:p>
        </w:tc>
        <w:tc>
          <w:tcPr>
            <w:tcW w:w="280" w:type="dxa"/>
            <w:vAlign w:val="bottom"/>
          </w:tcPr>
          <w:p w:rsidR="00AC12B4" w:rsidRDefault="00AC12B4">
            <w:pPr>
              <w:rPr>
                <w:sz w:val="19"/>
                <w:szCs w:val="19"/>
              </w:rPr>
            </w:pPr>
          </w:p>
        </w:tc>
        <w:tc>
          <w:tcPr>
            <w:tcW w:w="500" w:type="dxa"/>
            <w:vAlign w:val="bottom"/>
          </w:tcPr>
          <w:p w:rsidR="00AC12B4" w:rsidRDefault="00C27636">
            <w:pPr>
              <w:spacing w:line="220" w:lineRule="exact"/>
              <w:ind w:right="173"/>
              <w:jc w:val="right"/>
              <w:rPr>
                <w:sz w:val="20"/>
                <w:szCs w:val="20"/>
              </w:rPr>
            </w:pPr>
            <w:r>
              <w:rPr>
                <w:rFonts w:ascii="Calibri" w:eastAsia="Calibri" w:hAnsi="Calibri" w:cs="Calibri"/>
              </w:rPr>
              <w:t>le</w:t>
            </w:r>
          </w:p>
        </w:tc>
        <w:tc>
          <w:tcPr>
            <w:tcW w:w="140" w:type="dxa"/>
            <w:tcBorders>
              <w:right w:val="single" w:sz="8" w:space="0" w:color="FEC930"/>
            </w:tcBorders>
            <w:vAlign w:val="bottom"/>
          </w:tcPr>
          <w:p w:rsidR="00AC12B4" w:rsidRDefault="00AC12B4">
            <w:pPr>
              <w:rPr>
                <w:sz w:val="19"/>
                <w:szCs w:val="19"/>
              </w:rPr>
            </w:pPr>
          </w:p>
        </w:tc>
        <w:tc>
          <w:tcPr>
            <w:tcW w:w="120" w:type="dxa"/>
            <w:vAlign w:val="bottom"/>
          </w:tcPr>
          <w:p w:rsidR="00AC12B4" w:rsidRDefault="00AC12B4">
            <w:pPr>
              <w:rPr>
                <w:sz w:val="19"/>
                <w:szCs w:val="19"/>
              </w:rPr>
            </w:pPr>
          </w:p>
        </w:tc>
        <w:tc>
          <w:tcPr>
            <w:tcW w:w="360" w:type="dxa"/>
            <w:vMerge w:val="restart"/>
            <w:vAlign w:val="bottom"/>
          </w:tcPr>
          <w:p w:rsidR="00AC12B4" w:rsidRDefault="00C27636">
            <w:pPr>
              <w:ind w:left="20"/>
              <w:rPr>
                <w:sz w:val="20"/>
                <w:szCs w:val="20"/>
              </w:rPr>
            </w:pPr>
            <w:r>
              <w:rPr>
                <w:rFonts w:ascii="Comic Sans MS" w:eastAsia="Comic Sans MS" w:hAnsi="Comic Sans MS" w:cs="Comic Sans MS"/>
                <w:color w:val="0D0D0D"/>
                <w:sz w:val="20"/>
                <w:szCs w:val="20"/>
              </w:rPr>
              <w:t>Il</w:t>
            </w:r>
          </w:p>
        </w:tc>
        <w:tc>
          <w:tcPr>
            <w:tcW w:w="520" w:type="dxa"/>
            <w:gridSpan w:val="4"/>
            <w:vMerge w:val="restart"/>
            <w:vAlign w:val="bottom"/>
          </w:tcPr>
          <w:p w:rsidR="00AC12B4" w:rsidRDefault="00C27636">
            <w:pPr>
              <w:ind w:left="60"/>
              <w:rPr>
                <w:sz w:val="20"/>
                <w:szCs w:val="20"/>
              </w:rPr>
            </w:pPr>
            <w:r>
              <w:rPr>
                <w:rFonts w:ascii="Comic Sans MS" w:eastAsia="Comic Sans MS" w:hAnsi="Comic Sans MS" w:cs="Comic Sans MS"/>
                <w:color w:val="0D0D0D"/>
                <w:w w:val="99"/>
                <w:sz w:val="20"/>
                <w:szCs w:val="20"/>
              </w:rPr>
              <w:t>n’est</w:t>
            </w:r>
          </w:p>
        </w:tc>
        <w:tc>
          <w:tcPr>
            <w:tcW w:w="1360" w:type="dxa"/>
            <w:gridSpan w:val="3"/>
            <w:vMerge w:val="restart"/>
            <w:vAlign w:val="bottom"/>
          </w:tcPr>
          <w:p w:rsidR="00AC12B4" w:rsidRDefault="00C27636">
            <w:pPr>
              <w:jc w:val="right"/>
              <w:rPr>
                <w:sz w:val="20"/>
                <w:szCs w:val="20"/>
              </w:rPr>
            </w:pPr>
            <w:r>
              <w:rPr>
                <w:rFonts w:ascii="Comic Sans MS" w:eastAsia="Comic Sans MS" w:hAnsi="Comic Sans MS" w:cs="Comic Sans MS"/>
                <w:color w:val="0D0D0D"/>
                <w:sz w:val="20"/>
                <w:szCs w:val="20"/>
              </w:rPr>
              <w:t>pas   encore</w:t>
            </w:r>
          </w:p>
        </w:tc>
        <w:tc>
          <w:tcPr>
            <w:tcW w:w="0" w:type="dxa"/>
            <w:vAlign w:val="bottom"/>
          </w:tcPr>
          <w:p w:rsidR="00AC12B4" w:rsidRDefault="00AC12B4">
            <w:pPr>
              <w:rPr>
                <w:sz w:val="1"/>
                <w:szCs w:val="1"/>
              </w:rPr>
            </w:pPr>
          </w:p>
        </w:tc>
      </w:tr>
      <w:tr w:rsidR="00AC12B4">
        <w:trPr>
          <w:trHeight w:val="184"/>
        </w:trPr>
        <w:tc>
          <w:tcPr>
            <w:tcW w:w="606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color w:val="FFFFFF"/>
                <w:lang w:val="fr-BE"/>
              </w:rPr>
              <w:t>1. Les Etats parties s’emploient de leur mieux à assurer la</w:t>
            </w:r>
          </w:p>
        </w:tc>
        <w:tc>
          <w:tcPr>
            <w:tcW w:w="120" w:type="dxa"/>
            <w:tcBorders>
              <w:right w:val="single" w:sz="8" w:space="0" w:color="CF9901"/>
            </w:tcBorders>
            <w:shd w:val="clear" w:color="auto" w:fill="FEC930"/>
            <w:vAlign w:val="bottom"/>
          </w:tcPr>
          <w:p w:rsidR="00AC12B4" w:rsidRPr="00C27636" w:rsidRDefault="00AC12B4">
            <w:pPr>
              <w:rPr>
                <w:sz w:val="16"/>
                <w:szCs w:val="16"/>
                <w:lang w:val="fr-BE"/>
              </w:rPr>
            </w:pPr>
          </w:p>
        </w:tc>
        <w:tc>
          <w:tcPr>
            <w:tcW w:w="1280" w:type="dxa"/>
            <w:gridSpan w:val="4"/>
            <w:vMerge w:val="restart"/>
            <w:vAlign w:val="bottom"/>
          </w:tcPr>
          <w:p w:rsidR="00AC12B4" w:rsidRDefault="00C27636">
            <w:pPr>
              <w:ind w:left="180"/>
              <w:rPr>
                <w:sz w:val="20"/>
                <w:szCs w:val="20"/>
              </w:rPr>
            </w:pPr>
            <w:r>
              <w:rPr>
                <w:rFonts w:ascii="Calibri" w:eastAsia="Calibri" w:hAnsi="Calibri" w:cs="Calibri"/>
              </w:rPr>
              <w:t>placement</w:t>
            </w:r>
          </w:p>
        </w:tc>
        <w:tc>
          <w:tcPr>
            <w:tcW w:w="280" w:type="dxa"/>
            <w:vAlign w:val="bottom"/>
          </w:tcPr>
          <w:p w:rsidR="00AC12B4" w:rsidRDefault="00AC12B4">
            <w:pPr>
              <w:rPr>
                <w:sz w:val="16"/>
                <w:szCs w:val="16"/>
              </w:rPr>
            </w:pPr>
          </w:p>
        </w:tc>
        <w:tc>
          <w:tcPr>
            <w:tcW w:w="500" w:type="dxa"/>
            <w:vAlign w:val="bottom"/>
          </w:tcPr>
          <w:p w:rsidR="00AC12B4" w:rsidRDefault="00AC12B4">
            <w:pPr>
              <w:rPr>
                <w:sz w:val="16"/>
                <w:szCs w:val="16"/>
              </w:rPr>
            </w:pPr>
          </w:p>
        </w:tc>
        <w:tc>
          <w:tcPr>
            <w:tcW w:w="140" w:type="dxa"/>
            <w:tcBorders>
              <w:right w:val="single" w:sz="8" w:space="0" w:color="FEC930"/>
            </w:tcBorders>
            <w:vAlign w:val="bottom"/>
          </w:tcPr>
          <w:p w:rsidR="00AC12B4" w:rsidRDefault="00AC12B4">
            <w:pPr>
              <w:rPr>
                <w:sz w:val="16"/>
                <w:szCs w:val="16"/>
              </w:rPr>
            </w:pPr>
          </w:p>
        </w:tc>
        <w:tc>
          <w:tcPr>
            <w:tcW w:w="120" w:type="dxa"/>
            <w:vAlign w:val="bottom"/>
          </w:tcPr>
          <w:p w:rsidR="00AC12B4" w:rsidRDefault="00AC12B4">
            <w:pPr>
              <w:rPr>
                <w:sz w:val="16"/>
                <w:szCs w:val="16"/>
              </w:rPr>
            </w:pPr>
          </w:p>
        </w:tc>
        <w:tc>
          <w:tcPr>
            <w:tcW w:w="360" w:type="dxa"/>
            <w:vMerge/>
            <w:vAlign w:val="bottom"/>
          </w:tcPr>
          <w:p w:rsidR="00AC12B4" w:rsidRDefault="00AC12B4">
            <w:pPr>
              <w:rPr>
                <w:sz w:val="16"/>
                <w:szCs w:val="16"/>
              </w:rPr>
            </w:pPr>
          </w:p>
        </w:tc>
        <w:tc>
          <w:tcPr>
            <w:tcW w:w="520" w:type="dxa"/>
            <w:gridSpan w:val="4"/>
            <w:vMerge/>
            <w:vAlign w:val="bottom"/>
          </w:tcPr>
          <w:p w:rsidR="00AC12B4" w:rsidRDefault="00AC12B4">
            <w:pPr>
              <w:rPr>
                <w:sz w:val="16"/>
                <w:szCs w:val="16"/>
              </w:rPr>
            </w:pPr>
          </w:p>
        </w:tc>
        <w:tc>
          <w:tcPr>
            <w:tcW w:w="1360" w:type="dxa"/>
            <w:gridSpan w:val="3"/>
            <w:vMerge/>
            <w:vAlign w:val="bottom"/>
          </w:tcPr>
          <w:p w:rsidR="00AC12B4" w:rsidRDefault="00AC12B4">
            <w:pPr>
              <w:rPr>
                <w:sz w:val="16"/>
                <w:szCs w:val="16"/>
              </w:rPr>
            </w:pPr>
          </w:p>
        </w:tc>
        <w:tc>
          <w:tcPr>
            <w:tcW w:w="0" w:type="dxa"/>
            <w:vAlign w:val="bottom"/>
          </w:tcPr>
          <w:p w:rsidR="00AC12B4" w:rsidRDefault="00AC12B4">
            <w:pPr>
              <w:rPr>
                <w:sz w:val="1"/>
                <w:szCs w:val="1"/>
              </w:rPr>
            </w:pPr>
          </w:p>
        </w:tc>
      </w:tr>
      <w:tr w:rsidR="00AC12B4">
        <w:trPr>
          <w:trHeight w:val="85"/>
        </w:trPr>
        <w:tc>
          <w:tcPr>
            <w:tcW w:w="6060" w:type="dxa"/>
            <w:gridSpan w:val="10"/>
            <w:vMerge/>
            <w:tcBorders>
              <w:left w:val="single" w:sz="8" w:space="0" w:color="CF9901"/>
            </w:tcBorders>
            <w:shd w:val="clear" w:color="auto" w:fill="FEC930"/>
            <w:vAlign w:val="bottom"/>
          </w:tcPr>
          <w:p w:rsidR="00AC12B4" w:rsidRDefault="00AC12B4">
            <w:pPr>
              <w:rPr>
                <w:sz w:val="7"/>
                <w:szCs w:val="7"/>
              </w:rPr>
            </w:pPr>
          </w:p>
        </w:tc>
        <w:tc>
          <w:tcPr>
            <w:tcW w:w="120" w:type="dxa"/>
            <w:tcBorders>
              <w:right w:val="single" w:sz="8" w:space="0" w:color="CF9901"/>
            </w:tcBorders>
            <w:shd w:val="clear" w:color="auto" w:fill="FEC930"/>
            <w:vAlign w:val="bottom"/>
          </w:tcPr>
          <w:p w:rsidR="00AC12B4" w:rsidRDefault="00AC12B4">
            <w:pPr>
              <w:rPr>
                <w:sz w:val="7"/>
                <w:szCs w:val="7"/>
              </w:rPr>
            </w:pPr>
          </w:p>
        </w:tc>
        <w:tc>
          <w:tcPr>
            <w:tcW w:w="1280" w:type="dxa"/>
            <w:gridSpan w:val="4"/>
            <w:vMerge/>
            <w:vAlign w:val="bottom"/>
          </w:tcPr>
          <w:p w:rsidR="00AC12B4" w:rsidRDefault="00AC12B4">
            <w:pPr>
              <w:rPr>
                <w:sz w:val="7"/>
                <w:szCs w:val="7"/>
              </w:rPr>
            </w:pPr>
          </w:p>
        </w:tc>
        <w:tc>
          <w:tcPr>
            <w:tcW w:w="280" w:type="dxa"/>
            <w:vAlign w:val="bottom"/>
          </w:tcPr>
          <w:p w:rsidR="00AC12B4" w:rsidRDefault="00AC12B4">
            <w:pPr>
              <w:rPr>
                <w:sz w:val="7"/>
                <w:szCs w:val="7"/>
              </w:rPr>
            </w:pPr>
          </w:p>
        </w:tc>
        <w:tc>
          <w:tcPr>
            <w:tcW w:w="500" w:type="dxa"/>
            <w:vAlign w:val="bottom"/>
          </w:tcPr>
          <w:p w:rsidR="00AC12B4" w:rsidRDefault="00AC12B4">
            <w:pPr>
              <w:rPr>
                <w:sz w:val="7"/>
                <w:szCs w:val="7"/>
              </w:rPr>
            </w:pPr>
          </w:p>
        </w:tc>
        <w:tc>
          <w:tcPr>
            <w:tcW w:w="140" w:type="dxa"/>
            <w:tcBorders>
              <w:right w:val="single" w:sz="8" w:space="0" w:color="FEC930"/>
            </w:tcBorders>
            <w:vAlign w:val="bottom"/>
          </w:tcPr>
          <w:p w:rsidR="00AC12B4" w:rsidRDefault="00AC12B4">
            <w:pPr>
              <w:rPr>
                <w:sz w:val="7"/>
                <w:szCs w:val="7"/>
              </w:rPr>
            </w:pPr>
          </w:p>
        </w:tc>
        <w:tc>
          <w:tcPr>
            <w:tcW w:w="120" w:type="dxa"/>
            <w:vAlign w:val="bottom"/>
          </w:tcPr>
          <w:p w:rsidR="00AC12B4" w:rsidRDefault="00AC12B4">
            <w:pPr>
              <w:rPr>
                <w:sz w:val="7"/>
                <w:szCs w:val="7"/>
              </w:rPr>
            </w:pPr>
          </w:p>
        </w:tc>
        <w:tc>
          <w:tcPr>
            <w:tcW w:w="880" w:type="dxa"/>
            <w:gridSpan w:val="5"/>
            <w:vMerge w:val="restart"/>
            <w:vAlign w:val="bottom"/>
          </w:tcPr>
          <w:p w:rsidR="00AC12B4" w:rsidRDefault="00C27636">
            <w:pPr>
              <w:spacing w:line="237" w:lineRule="exact"/>
              <w:ind w:left="20"/>
              <w:rPr>
                <w:sz w:val="20"/>
                <w:szCs w:val="20"/>
              </w:rPr>
            </w:pPr>
            <w:r>
              <w:rPr>
                <w:rFonts w:ascii="Comic Sans MS" w:eastAsia="Comic Sans MS" w:hAnsi="Comic Sans MS" w:cs="Comic Sans MS"/>
                <w:color w:val="0D0D0D"/>
                <w:sz w:val="20"/>
                <w:szCs w:val="20"/>
              </w:rPr>
              <w:t>possible</w:t>
            </w:r>
          </w:p>
        </w:tc>
        <w:tc>
          <w:tcPr>
            <w:tcW w:w="1360" w:type="dxa"/>
            <w:gridSpan w:val="3"/>
            <w:vMerge w:val="restart"/>
            <w:vAlign w:val="bottom"/>
          </w:tcPr>
          <w:p w:rsidR="00AC12B4" w:rsidRDefault="00C27636">
            <w:pPr>
              <w:spacing w:line="237" w:lineRule="exact"/>
              <w:jc w:val="right"/>
              <w:rPr>
                <w:sz w:val="20"/>
                <w:szCs w:val="20"/>
              </w:rPr>
            </w:pPr>
            <w:r>
              <w:rPr>
                <w:rFonts w:ascii="Comic Sans MS" w:eastAsia="Comic Sans MS" w:hAnsi="Comic Sans MS" w:cs="Comic Sans MS"/>
                <w:color w:val="0D0D0D"/>
                <w:sz w:val="20"/>
                <w:szCs w:val="20"/>
              </w:rPr>
              <w:t>d’obtenir  des</w:t>
            </w:r>
          </w:p>
        </w:tc>
        <w:tc>
          <w:tcPr>
            <w:tcW w:w="0" w:type="dxa"/>
            <w:vAlign w:val="bottom"/>
          </w:tcPr>
          <w:p w:rsidR="00AC12B4" w:rsidRDefault="00AC12B4">
            <w:pPr>
              <w:rPr>
                <w:sz w:val="1"/>
                <w:szCs w:val="1"/>
              </w:rPr>
            </w:pPr>
          </w:p>
        </w:tc>
      </w:tr>
      <w:tr w:rsidR="00AC12B4">
        <w:trPr>
          <w:trHeight w:val="152"/>
        </w:trPr>
        <w:tc>
          <w:tcPr>
            <w:tcW w:w="6060" w:type="dxa"/>
            <w:gridSpan w:val="10"/>
            <w:vMerge/>
            <w:tcBorders>
              <w:left w:val="single" w:sz="8" w:space="0" w:color="CF9901"/>
            </w:tcBorders>
            <w:shd w:val="clear" w:color="auto" w:fill="FEC930"/>
            <w:vAlign w:val="bottom"/>
          </w:tcPr>
          <w:p w:rsidR="00AC12B4" w:rsidRDefault="00AC12B4">
            <w:pPr>
              <w:rPr>
                <w:sz w:val="13"/>
                <w:szCs w:val="13"/>
              </w:rPr>
            </w:pPr>
          </w:p>
        </w:tc>
        <w:tc>
          <w:tcPr>
            <w:tcW w:w="120" w:type="dxa"/>
            <w:tcBorders>
              <w:right w:val="single" w:sz="8" w:space="0" w:color="CF9901"/>
            </w:tcBorders>
            <w:shd w:val="clear" w:color="auto" w:fill="FEC930"/>
            <w:vAlign w:val="bottom"/>
          </w:tcPr>
          <w:p w:rsidR="00AC12B4" w:rsidRDefault="00AC12B4">
            <w:pPr>
              <w:rPr>
                <w:sz w:val="13"/>
                <w:szCs w:val="13"/>
              </w:rPr>
            </w:pPr>
          </w:p>
        </w:tc>
        <w:tc>
          <w:tcPr>
            <w:tcW w:w="1040" w:type="dxa"/>
            <w:gridSpan w:val="3"/>
            <w:vMerge w:val="restart"/>
            <w:vAlign w:val="bottom"/>
          </w:tcPr>
          <w:p w:rsidR="00AC12B4" w:rsidRDefault="00C27636">
            <w:pPr>
              <w:ind w:left="180"/>
              <w:rPr>
                <w:sz w:val="20"/>
                <w:szCs w:val="20"/>
              </w:rPr>
            </w:pPr>
            <w:r>
              <w:rPr>
                <w:rFonts w:ascii="Calibri" w:eastAsia="Calibri" w:hAnsi="Calibri" w:cs="Calibri"/>
              </w:rPr>
              <w:t>familial</w:t>
            </w:r>
          </w:p>
        </w:tc>
        <w:tc>
          <w:tcPr>
            <w:tcW w:w="240" w:type="dxa"/>
            <w:vAlign w:val="bottom"/>
          </w:tcPr>
          <w:p w:rsidR="00AC12B4" w:rsidRDefault="00AC12B4">
            <w:pPr>
              <w:rPr>
                <w:sz w:val="13"/>
                <w:szCs w:val="13"/>
              </w:rPr>
            </w:pPr>
          </w:p>
        </w:tc>
        <w:tc>
          <w:tcPr>
            <w:tcW w:w="780" w:type="dxa"/>
            <w:gridSpan w:val="2"/>
            <w:vMerge w:val="restart"/>
            <w:vAlign w:val="bottom"/>
          </w:tcPr>
          <w:p w:rsidR="00AC12B4" w:rsidRDefault="00C27636">
            <w:pPr>
              <w:ind w:right="173"/>
              <w:jc w:val="right"/>
              <w:rPr>
                <w:sz w:val="20"/>
                <w:szCs w:val="20"/>
              </w:rPr>
            </w:pPr>
            <w:r>
              <w:rPr>
                <w:rFonts w:ascii="Calibri" w:eastAsia="Calibri" w:hAnsi="Calibri" w:cs="Calibri"/>
              </w:rPr>
              <w:t>de</w:t>
            </w:r>
          </w:p>
        </w:tc>
        <w:tc>
          <w:tcPr>
            <w:tcW w:w="140" w:type="dxa"/>
            <w:tcBorders>
              <w:right w:val="single" w:sz="8" w:space="0" w:color="FEC930"/>
            </w:tcBorders>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880" w:type="dxa"/>
            <w:gridSpan w:val="5"/>
            <w:vMerge/>
            <w:vAlign w:val="bottom"/>
          </w:tcPr>
          <w:p w:rsidR="00AC12B4" w:rsidRDefault="00AC12B4">
            <w:pPr>
              <w:rPr>
                <w:sz w:val="13"/>
                <w:szCs w:val="13"/>
              </w:rPr>
            </w:pPr>
          </w:p>
        </w:tc>
        <w:tc>
          <w:tcPr>
            <w:tcW w:w="1360" w:type="dxa"/>
            <w:gridSpan w:val="3"/>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6"/>
        </w:trPr>
        <w:tc>
          <w:tcPr>
            <w:tcW w:w="6060" w:type="dxa"/>
            <w:gridSpan w:val="10"/>
            <w:vMerge w:val="restart"/>
            <w:tcBorders>
              <w:left w:val="single" w:sz="8" w:space="0" w:color="CF9901"/>
            </w:tcBorders>
            <w:shd w:val="clear" w:color="auto" w:fill="FEC930"/>
            <w:vAlign w:val="bottom"/>
          </w:tcPr>
          <w:p w:rsidR="00AC12B4" w:rsidRPr="00C27636" w:rsidRDefault="00C27636">
            <w:pPr>
              <w:spacing w:line="220" w:lineRule="exact"/>
              <w:ind w:left="580"/>
              <w:rPr>
                <w:sz w:val="20"/>
                <w:szCs w:val="20"/>
                <w:lang w:val="fr-BE"/>
              </w:rPr>
            </w:pPr>
            <w:r w:rsidRPr="00C27636">
              <w:rPr>
                <w:rFonts w:ascii="Calibri" w:eastAsia="Calibri" w:hAnsi="Calibri" w:cs="Calibri"/>
                <w:color w:val="FFFFFF"/>
                <w:lang w:val="fr-BE"/>
              </w:rPr>
              <w:t>reconnaissance du principe selon lequel les deux parents</w:t>
            </w:r>
          </w:p>
        </w:tc>
        <w:tc>
          <w:tcPr>
            <w:tcW w:w="120" w:type="dxa"/>
            <w:tcBorders>
              <w:right w:val="single" w:sz="8" w:space="0" w:color="CF9901"/>
            </w:tcBorders>
            <w:shd w:val="clear" w:color="auto" w:fill="FEC930"/>
            <w:vAlign w:val="bottom"/>
          </w:tcPr>
          <w:p w:rsidR="00AC12B4" w:rsidRPr="00C27636" w:rsidRDefault="00AC12B4">
            <w:pPr>
              <w:rPr>
                <w:sz w:val="10"/>
                <w:szCs w:val="10"/>
                <w:lang w:val="fr-BE"/>
              </w:rPr>
            </w:pPr>
          </w:p>
        </w:tc>
        <w:tc>
          <w:tcPr>
            <w:tcW w:w="1040" w:type="dxa"/>
            <w:gridSpan w:val="3"/>
            <w:vMerge/>
            <w:vAlign w:val="bottom"/>
          </w:tcPr>
          <w:p w:rsidR="00AC12B4" w:rsidRPr="00C27636" w:rsidRDefault="00AC12B4">
            <w:pPr>
              <w:rPr>
                <w:sz w:val="10"/>
                <w:szCs w:val="10"/>
                <w:lang w:val="fr-BE"/>
              </w:rPr>
            </w:pPr>
          </w:p>
        </w:tc>
        <w:tc>
          <w:tcPr>
            <w:tcW w:w="240" w:type="dxa"/>
            <w:vAlign w:val="bottom"/>
          </w:tcPr>
          <w:p w:rsidR="00AC12B4" w:rsidRPr="00C27636" w:rsidRDefault="00AC12B4">
            <w:pPr>
              <w:rPr>
                <w:sz w:val="10"/>
                <w:szCs w:val="10"/>
                <w:lang w:val="fr-BE"/>
              </w:rPr>
            </w:pPr>
          </w:p>
        </w:tc>
        <w:tc>
          <w:tcPr>
            <w:tcW w:w="780" w:type="dxa"/>
            <w:gridSpan w:val="2"/>
            <w:vMerge/>
            <w:vAlign w:val="bottom"/>
          </w:tcPr>
          <w:p w:rsidR="00AC12B4" w:rsidRPr="00C27636" w:rsidRDefault="00AC12B4">
            <w:pPr>
              <w:rPr>
                <w:sz w:val="10"/>
                <w:szCs w:val="10"/>
                <w:lang w:val="fr-BE"/>
              </w:rPr>
            </w:pPr>
          </w:p>
        </w:tc>
        <w:tc>
          <w:tcPr>
            <w:tcW w:w="140" w:type="dxa"/>
            <w:tcBorders>
              <w:right w:val="single" w:sz="8" w:space="0" w:color="FEC930"/>
            </w:tcBorders>
            <w:vAlign w:val="bottom"/>
          </w:tcPr>
          <w:p w:rsidR="00AC12B4" w:rsidRPr="00C27636" w:rsidRDefault="00AC12B4">
            <w:pPr>
              <w:rPr>
                <w:sz w:val="10"/>
                <w:szCs w:val="10"/>
                <w:lang w:val="fr-BE"/>
              </w:rPr>
            </w:pPr>
          </w:p>
        </w:tc>
        <w:tc>
          <w:tcPr>
            <w:tcW w:w="120" w:type="dxa"/>
            <w:vAlign w:val="bottom"/>
          </w:tcPr>
          <w:p w:rsidR="00AC12B4" w:rsidRPr="00C27636" w:rsidRDefault="00AC12B4">
            <w:pPr>
              <w:rPr>
                <w:sz w:val="10"/>
                <w:szCs w:val="10"/>
                <w:lang w:val="fr-BE"/>
              </w:rPr>
            </w:pPr>
          </w:p>
        </w:tc>
        <w:tc>
          <w:tcPr>
            <w:tcW w:w="880" w:type="dxa"/>
            <w:gridSpan w:val="5"/>
            <w:vMerge w:val="restart"/>
            <w:vAlign w:val="bottom"/>
          </w:tcPr>
          <w:p w:rsidR="00AC12B4" w:rsidRDefault="00C27636">
            <w:pPr>
              <w:spacing w:line="269" w:lineRule="exact"/>
              <w:ind w:left="20"/>
              <w:rPr>
                <w:sz w:val="20"/>
                <w:szCs w:val="20"/>
              </w:rPr>
            </w:pPr>
            <w:r>
              <w:rPr>
                <w:rFonts w:ascii="Comic Sans MS" w:eastAsia="Comic Sans MS" w:hAnsi="Comic Sans MS" w:cs="Comic Sans MS"/>
                <w:color w:val="0D0D0D"/>
                <w:sz w:val="20"/>
                <w:szCs w:val="20"/>
              </w:rPr>
              <w:t>données</w:t>
            </w:r>
          </w:p>
        </w:tc>
        <w:tc>
          <w:tcPr>
            <w:tcW w:w="220" w:type="dxa"/>
            <w:vAlign w:val="bottom"/>
          </w:tcPr>
          <w:p w:rsidR="00AC12B4" w:rsidRDefault="00AC12B4">
            <w:pPr>
              <w:rPr>
                <w:sz w:val="10"/>
                <w:szCs w:val="10"/>
              </w:rPr>
            </w:pPr>
          </w:p>
        </w:tc>
        <w:tc>
          <w:tcPr>
            <w:tcW w:w="280" w:type="dxa"/>
            <w:vAlign w:val="bottom"/>
          </w:tcPr>
          <w:p w:rsidR="00AC12B4" w:rsidRDefault="00AC12B4">
            <w:pPr>
              <w:rPr>
                <w:sz w:val="10"/>
                <w:szCs w:val="10"/>
              </w:rPr>
            </w:pPr>
          </w:p>
        </w:tc>
        <w:tc>
          <w:tcPr>
            <w:tcW w:w="860" w:type="dxa"/>
            <w:vMerge w:val="restart"/>
            <w:vAlign w:val="bottom"/>
          </w:tcPr>
          <w:p w:rsidR="00AC12B4" w:rsidRDefault="00C27636">
            <w:pPr>
              <w:spacing w:line="269" w:lineRule="exact"/>
              <w:jc w:val="right"/>
              <w:rPr>
                <w:sz w:val="20"/>
                <w:szCs w:val="20"/>
              </w:rPr>
            </w:pPr>
            <w:r>
              <w:rPr>
                <w:rFonts w:ascii="Comic Sans MS" w:eastAsia="Comic Sans MS" w:hAnsi="Comic Sans MS" w:cs="Comic Sans MS"/>
                <w:color w:val="0D0D0D"/>
                <w:sz w:val="20"/>
                <w:szCs w:val="20"/>
              </w:rPr>
              <w:t>pour</w:t>
            </w:r>
          </w:p>
        </w:tc>
        <w:tc>
          <w:tcPr>
            <w:tcW w:w="0" w:type="dxa"/>
            <w:vAlign w:val="bottom"/>
          </w:tcPr>
          <w:p w:rsidR="00AC12B4" w:rsidRDefault="00AC12B4">
            <w:pPr>
              <w:rPr>
                <w:sz w:val="1"/>
                <w:szCs w:val="1"/>
              </w:rPr>
            </w:pPr>
          </w:p>
        </w:tc>
      </w:tr>
      <w:tr w:rsidR="00AC12B4">
        <w:trPr>
          <w:trHeight w:val="152"/>
        </w:trPr>
        <w:tc>
          <w:tcPr>
            <w:tcW w:w="6060" w:type="dxa"/>
            <w:gridSpan w:val="10"/>
            <w:vMerge/>
            <w:tcBorders>
              <w:left w:val="single" w:sz="8" w:space="0" w:color="CF9901"/>
            </w:tcBorders>
            <w:shd w:val="clear" w:color="auto" w:fill="FEC930"/>
            <w:vAlign w:val="bottom"/>
          </w:tcPr>
          <w:p w:rsidR="00AC12B4" w:rsidRDefault="00AC12B4">
            <w:pPr>
              <w:rPr>
                <w:sz w:val="13"/>
                <w:szCs w:val="13"/>
              </w:rPr>
            </w:pPr>
          </w:p>
        </w:tc>
        <w:tc>
          <w:tcPr>
            <w:tcW w:w="120" w:type="dxa"/>
            <w:tcBorders>
              <w:right w:val="single" w:sz="8" w:space="0" w:color="CF9901"/>
            </w:tcBorders>
            <w:shd w:val="clear" w:color="auto" w:fill="FEC930"/>
            <w:vAlign w:val="bottom"/>
          </w:tcPr>
          <w:p w:rsidR="00AC12B4" w:rsidRDefault="00AC12B4">
            <w:pPr>
              <w:rPr>
                <w:sz w:val="13"/>
                <w:szCs w:val="13"/>
              </w:rPr>
            </w:pPr>
          </w:p>
        </w:tc>
        <w:tc>
          <w:tcPr>
            <w:tcW w:w="800" w:type="dxa"/>
            <w:gridSpan w:val="2"/>
            <w:vMerge w:val="restart"/>
            <w:vAlign w:val="bottom"/>
          </w:tcPr>
          <w:p w:rsidR="00AC12B4" w:rsidRDefault="00C27636">
            <w:pPr>
              <w:ind w:left="180"/>
              <w:rPr>
                <w:sz w:val="20"/>
                <w:szCs w:val="20"/>
              </w:rPr>
            </w:pPr>
            <w:r>
              <w:rPr>
                <w:rFonts w:ascii="Calibri" w:eastAsia="Calibri" w:hAnsi="Calibri" w:cs="Calibri"/>
                <w:w w:val="98"/>
              </w:rPr>
              <w:t>longue</w:t>
            </w:r>
          </w:p>
        </w:tc>
        <w:tc>
          <w:tcPr>
            <w:tcW w:w="240" w:type="dxa"/>
            <w:vAlign w:val="bottom"/>
          </w:tcPr>
          <w:p w:rsidR="00AC12B4" w:rsidRDefault="00AC12B4">
            <w:pPr>
              <w:rPr>
                <w:sz w:val="13"/>
                <w:szCs w:val="13"/>
              </w:rPr>
            </w:pPr>
          </w:p>
        </w:tc>
        <w:tc>
          <w:tcPr>
            <w:tcW w:w="1020" w:type="dxa"/>
            <w:gridSpan w:val="3"/>
            <w:vMerge w:val="restart"/>
            <w:vAlign w:val="bottom"/>
          </w:tcPr>
          <w:p w:rsidR="00AC12B4" w:rsidRDefault="00C27636">
            <w:pPr>
              <w:ind w:right="193"/>
              <w:jc w:val="right"/>
              <w:rPr>
                <w:sz w:val="20"/>
                <w:szCs w:val="20"/>
              </w:rPr>
            </w:pPr>
            <w:r>
              <w:rPr>
                <w:rFonts w:ascii="Calibri" w:eastAsia="Calibri" w:hAnsi="Calibri" w:cs="Calibri"/>
              </w:rPr>
              <w:t>durée</w:t>
            </w:r>
          </w:p>
        </w:tc>
        <w:tc>
          <w:tcPr>
            <w:tcW w:w="140" w:type="dxa"/>
            <w:tcBorders>
              <w:right w:val="single" w:sz="8" w:space="0" w:color="FEC930"/>
            </w:tcBorders>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880" w:type="dxa"/>
            <w:gridSpan w:val="5"/>
            <w:vMerge/>
            <w:vAlign w:val="bottom"/>
          </w:tcPr>
          <w:p w:rsidR="00AC12B4" w:rsidRDefault="00AC12B4">
            <w:pPr>
              <w:rPr>
                <w:sz w:val="13"/>
                <w:szCs w:val="13"/>
              </w:rPr>
            </w:pPr>
          </w:p>
        </w:tc>
        <w:tc>
          <w:tcPr>
            <w:tcW w:w="22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860" w:type="dxa"/>
            <w:vMerge/>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6"/>
        </w:trPr>
        <w:tc>
          <w:tcPr>
            <w:tcW w:w="6060" w:type="dxa"/>
            <w:gridSpan w:val="10"/>
            <w:vMerge w:val="restart"/>
            <w:tcBorders>
              <w:left w:val="single" w:sz="8" w:space="0" w:color="CF9901"/>
            </w:tcBorders>
            <w:shd w:val="clear" w:color="auto" w:fill="FEC930"/>
            <w:vAlign w:val="bottom"/>
          </w:tcPr>
          <w:p w:rsidR="00AC12B4" w:rsidRPr="00C27636" w:rsidRDefault="00C27636">
            <w:pPr>
              <w:spacing w:line="220" w:lineRule="exact"/>
              <w:ind w:left="580"/>
              <w:rPr>
                <w:sz w:val="20"/>
                <w:szCs w:val="20"/>
                <w:lang w:val="fr-BE"/>
              </w:rPr>
            </w:pPr>
            <w:r w:rsidRPr="00C27636">
              <w:rPr>
                <w:rFonts w:ascii="Calibri" w:eastAsia="Calibri" w:hAnsi="Calibri" w:cs="Calibri"/>
                <w:color w:val="FFFFFF"/>
                <w:lang w:val="fr-BE"/>
              </w:rPr>
              <w:t xml:space="preserve">ont une responsabilité </w:t>
            </w:r>
            <w:r w:rsidRPr="00C27636">
              <w:rPr>
                <w:rFonts w:ascii="Calibri" w:eastAsia="Calibri" w:hAnsi="Calibri" w:cs="Calibri"/>
                <w:color w:val="FFFFFF"/>
                <w:lang w:val="fr-BE"/>
              </w:rPr>
              <w:lastRenderedPageBreak/>
              <w:t>commune pour ce qui est d’élever</w:t>
            </w:r>
          </w:p>
        </w:tc>
        <w:tc>
          <w:tcPr>
            <w:tcW w:w="120" w:type="dxa"/>
            <w:tcBorders>
              <w:right w:val="single" w:sz="8" w:space="0" w:color="CF9901"/>
            </w:tcBorders>
            <w:shd w:val="clear" w:color="auto" w:fill="FEC930"/>
            <w:vAlign w:val="bottom"/>
          </w:tcPr>
          <w:p w:rsidR="00AC12B4" w:rsidRPr="00C27636" w:rsidRDefault="00AC12B4">
            <w:pPr>
              <w:rPr>
                <w:sz w:val="10"/>
                <w:szCs w:val="10"/>
                <w:lang w:val="fr-BE"/>
              </w:rPr>
            </w:pPr>
          </w:p>
        </w:tc>
        <w:tc>
          <w:tcPr>
            <w:tcW w:w="800" w:type="dxa"/>
            <w:gridSpan w:val="2"/>
            <w:vMerge/>
            <w:vAlign w:val="bottom"/>
          </w:tcPr>
          <w:p w:rsidR="00AC12B4" w:rsidRPr="00C27636" w:rsidRDefault="00AC12B4">
            <w:pPr>
              <w:rPr>
                <w:sz w:val="10"/>
                <w:szCs w:val="10"/>
                <w:lang w:val="fr-BE"/>
              </w:rPr>
            </w:pPr>
          </w:p>
        </w:tc>
        <w:tc>
          <w:tcPr>
            <w:tcW w:w="240" w:type="dxa"/>
            <w:vAlign w:val="bottom"/>
          </w:tcPr>
          <w:p w:rsidR="00AC12B4" w:rsidRPr="00C27636" w:rsidRDefault="00AC12B4">
            <w:pPr>
              <w:rPr>
                <w:sz w:val="10"/>
                <w:szCs w:val="10"/>
                <w:lang w:val="fr-BE"/>
              </w:rPr>
            </w:pPr>
          </w:p>
        </w:tc>
        <w:tc>
          <w:tcPr>
            <w:tcW w:w="1020" w:type="dxa"/>
            <w:gridSpan w:val="3"/>
            <w:vMerge/>
            <w:vAlign w:val="bottom"/>
          </w:tcPr>
          <w:p w:rsidR="00AC12B4" w:rsidRPr="00C27636" w:rsidRDefault="00AC12B4">
            <w:pPr>
              <w:rPr>
                <w:sz w:val="10"/>
                <w:szCs w:val="10"/>
                <w:lang w:val="fr-BE"/>
              </w:rPr>
            </w:pPr>
          </w:p>
        </w:tc>
        <w:tc>
          <w:tcPr>
            <w:tcW w:w="140" w:type="dxa"/>
            <w:tcBorders>
              <w:right w:val="single" w:sz="8" w:space="0" w:color="FEC930"/>
            </w:tcBorders>
            <w:vAlign w:val="bottom"/>
          </w:tcPr>
          <w:p w:rsidR="00AC12B4" w:rsidRPr="00C27636" w:rsidRDefault="00AC12B4">
            <w:pPr>
              <w:rPr>
                <w:sz w:val="10"/>
                <w:szCs w:val="10"/>
                <w:lang w:val="fr-BE"/>
              </w:rPr>
            </w:pPr>
          </w:p>
        </w:tc>
        <w:tc>
          <w:tcPr>
            <w:tcW w:w="120" w:type="dxa"/>
            <w:vAlign w:val="bottom"/>
          </w:tcPr>
          <w:p w:rsidR="00AC12B4" w:rsidRPr="00C27636" w:rsidRDefault="00AC12B4">
            <w:pPr>
              <w:rPr>
                <w:sz w:val="10"/>
                <w:szCs w:val="10"/>
                <w:lang w:val="fr-BE"/>
              </w:rPr>
            </w:pPr>
          </w:p>
        </w:tc>
        <w:tc>
          <w:tcPr>
            <w:tcW w:w="2240" w:type="dxa"/>
            <w:gridSpan w:val="8"/>
            <w:vMerge w:val="restart"/>
            <w:vAlign w:val="bottom"/>
          </w:tcPr>
          <w:p w:rsidR="00AC12B4" w:rsidRDefault="00C27636">
            <w:pPr>
              <w:ind w:left="20"/>
              <w:rPr>
                <w:sz w:val="20"/>
                <w:szCs w:val="20"/>
              </w:rPr>
            </w:pPr>
            <w:r>
              <w:rPr>
                <w:rFonts w:ascii="Comic Sans MS" w:eastAsia="Comic Sans MS" w:hAnsi="Comic Sans MS" w:cs="Comic Sans MS"/>
                <w:color w:val="0D0D0D"/>
                <w:w w:val="99"/>
                <w:sz w:val="20"/>
                <w:szCs w:val="20"/>
              </w:rPr>
              <w:t xml:space="preserve">l’ensemble du </w:t>
            </w:r>
            <w:r>
              <w:rPr>
                <w:rFonts w:ascii="Comic Sans MS" w:eastAsia="Comic Sans MS" w:hAnsi="Comic Sans MS" w:cs="Comic Sans MS"/>
                <w:color w:val="0D0D0D"/>
                <w:w w:val="99"/>
                <w:sz w:val="20"/>
                <w:szCs w:val="20"/>
              </w:rPr>
              <w:lastRenderedPageBreak/>
              <w:t>territoire</w:t>
            </w:r>
          </w:p>
        </w:tc>
        <w:tc>
          <w:tcPr>
            <w:tcW w:w="0" w:type="dxa"/>
            <w:vAlign w:val="bottom"/>
          </w:tcPr>
          <w:p w:rsidR="00AC12B4" w:rsidRDefault="00AC12B4">
            <w:pPr>
              <w:rPr>
                <w:sz w:val="1"/>
                <w:szCs w:val="1"/>
              </w:rPr>
            </w:pPr>
          </w:p>
        </w:tc>
      </w:tr>
      <w:tr w:rsidR="00AC12B4">
        <w:trPr>
          <w:trHeight w:val="103"/>
        </w:trPr>
        <w:tc>
          <w:tcPr>
            <w:tcW w:w="6060" w:type="dxa"/>
            <w:gridSpan w:val="10"/>
            <w:vMerge/>
            <w:tcBorders>
              <w:left w:val="single" w:sz="8" w:space="0" w:color="CF9901"/>
            </w:tcBorders>
            <w:shd w:val="clear" w:color="auto" w:fill="FEC930"/>
            <w:vAlign w:val="bottom"/>
          </w:tcPr>
          <w:p w:rsidR="00AC12B4" w:rsidRDefault="00AC12B4">
            <w:pPr>
              <w:rPr>
                <w:sz w:val="8"/>
                <w:szCs w:val="8"/>
              </w:rPr>
            </w:pPr>
          </w:p>
        </w:tc>
        <w:tc>
          <w:tcPr>
            <w:tcW w:w="120" w:type="dxa"/>
            <w:tcBorders>
              <w:right w:val="single" w:sz="8" w:space="0" w:color="CF9901"/>
            </w:tcBorders>
            <w:shd w:val="clear" w:color="auto" w:fill="FEC930"/>
            <w:vAlign w:val="bottom"/>
          </w:tcPr>
          <w:p w:rsidR="00AC12B4" w:rsidRDefault="00AC12B4">
            <w:pPr>
              <w:rPr>
                <w:sz w:val="8"/>
                <w:szCs w:val="8"/>
              </w:rPr>
            </w:pPr>
          </w:p>
        </w:tc>
        <w:tc>
          <w:tcPr>
            <w:tcW w:w="800" w:type="dxa"/>
            <w:gridSpan w:val="2"/>
            <w:vMerge w:val="restart"/>
            <w:vAlign w:val="bottom"/>
          </w:tcPr>
          <w:p w:rsidR="00AC12B4" w:rsidRDefault="00C27636">
            <w:pPr>
              <w:spacing w:line="212" w:lineRule="exact"/>
              <w:ind w:left="180"/>
              <w:rPr>
                <w:sz w:val="20"/>
                <w:szCs w:val="20"/>
              </w:rPr>
            </w:pPr>
            <w:r>
              <w:rPr>
                <w:rFonts w:ascii="Calibri" w:eastAsia="Calibri" w:hAnsi="Calibri" w:cs="Calibri"/>
              </w:rPr>
              <w:t>pe</w:t>
            </w:r>
            <w:r>
              <w:rPr>
                <w:rFonts w:ascii="Calibri" w:eastAsia="Calibri" w:hAnsi="Calibri" w:cs="Calibri"/>
              </w:rPr>
              <w:lastRenderedPageBreak/>
              <w:t>ut</w:t>
            </w:r>
          </w:p>
        </w:tc>
        <w:tc>
          <w:tcPr>
            <w:tcW w:w="480" w:type="dxa"/>
            <w:gridSpan w:val="2"/>
            <w:vMerge w:val="restart"/>
            <w:vAlign w:val="bottom"/>
          </w:tcPr>
          <w:p w:rsidR="00AC12B4" w:rsidRDefault="00C27636">
            <w:pPr>
              <w:spacing w:line="212" w:lineRule="exact"/>
              <w:jc w:val="center"/>
              <w:rPr>
                <w:sz w:val="20"/>
                <w:szCs w:val="20"/>
              </w:rPr>
            </w:pPr>
            <w:r>
              <w:rPr>
                <w:rFonts w:ascii="Calibri" w:eastAsia="Calibri" w:hAnsi="Calibri" w:cs="Calibri"/>
                <w:w w:val="98"/>
              </w:rPr>
              <w:lastRenderedPageBreak/>
              <w:t>avo</w:t>
            </w:r>
            <w:r>
              <w:rPr>
                <w:rFonts w:ascii="Calibri" w:eastAsia="Calibri" w:hAnsi="Calibri" w:cs="Calibri"/>
                <w:w w:val="98"/>
              </w:rPr>
              <w:lastRenderedPageBreak/>
              <w:t>ir</w:t>
            </w:r>
          </w:p>
        </w:tc>
        <w:tc>
          <w:tcPr>
            <w:tcW w:w="780" w:type="dxa"/>
            <w:gridSpan w:val="2"/>
            <w:vMerge w:val="restart"/>
            <w:vAlign w:val="bottom"/>
          </w:tcPr>
          <w:p w:rsidR="00AC12B4" w:rsidRDefault="00C27636">
            <w:pPr>
              <w:spacing w:line="212" w:lineRule="exact"/>
              <w:ind w:right="193"/>
              <w:jc w:val="right"/>
              <w:rPr>
                <w:sz w:val="20"/>
                <w:szCs w:val="20"/>
              </w:rPr>
            </w:pPr>
            <w:r>
              <w:rPr>
                <w:rFonts w:ascii="Calibri" w:eastAsia="Calibri" w:hAnsi="Calibri" w:cs="Calibri"/>
              </w:rPr>
              <w:lastRenderedPageBreak/>
              <w:t>de</w:t>
            </w:r>
            <w:r>
              <w:rPr>
                <w:rFonts w:ascii="Calibri" w:eastAsia="Calibri" w:hAnsi="Calibri" w:cs="Calibri"/>
              </w:rPr>
              <w:lastRenderedPageBreak/>
              <w:t>s</w:t>
            </w:r>
          </w:p>
        </w:tc>
        <w:tc>
          <w:tcPr>
            <w:tcW w:w="140" w:type="dxa"/>
            <w:tcBorders>
              <w:right w:val="single" w:sz="8" w:space="0" w:color="FEC930"/>
            </w:tcBorders>
            <w:vAlign w:val="bottom"/>
          </w:tcPr>
          <w:p w:rsidR="00AC12B4" w:rsidRDefault="00AC12B4">
            <w:pPr>
              <w:rPr>
                <w:sz w:val="8"/>
                <w:szCs w:val="8"/>
              </w:rPr>
            </w:pPr>
          </w:p>
        </w:tc>
        <w:tc>
          <w:tcPr>
            <w:tcW w:w="120" w:type="dxa"/>
            <w:vAlign w:val="bottom"/>
          </w:tcPr>
          <w:p w:rsidR="00AC12B4" w:rsidRDefault="00AC12B4">
            <w:pPr>
              <w:rPr>
                <w:sz w:val="8"/>
                <w:szCs w:val="8"/>
              </w:rPr>
            </w:pPr>
          </w:p>
        </w:tc>
        <w:tc>
          <w:tcPr>
            <w:tcW w:w="2240" w:type="dxa"/>
            <w:gridSpan w:val="8"/>
            <w:vMerge/>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109"/>
        </w:trPr>
        <w:tc>
          <w:tcPr>
            <w:tcW w:w="6060" w:type="dxa"/>
            <w:gridSpan w:val="10"/>
            <w:vMerge w:val="restart"/>
            <w:tcBorders>
              <w:left w:val="single" w:sz="8" w:space="0" w:color="CF9901"/>
            </w:tcBorders>
            <w:shd w:val="clear" w:color="auto" w:fill="FEC930"/>
            <w:vAlign w:val="bottom"/>
          </w:tcPr>
          <w:p w:rsidR="00AC12B4" w:rsidRDefault="00C27636">
            <w:pPr>
              <w:ind w:left="580"/>
              <w:rPr>
                <w:sz w:val="20"/>
                <w:szCs w:val="20"/>
              </w:rPr>
            </w:pPr>
            <w:r w:rsidRPr="00C27636">
              <w:rPr>
                <w:rFonts w:ascii="Calibri" w:eastAsia="Calibri" w:hAnsi="Calibri" w:cs="Calibri"/>
                <w:color w:val="FFFFFF"/>
                <w:lang w:val="fr-BE"/>
              </w:rPr>
              <w:lastRenderedPageBreak/>
              <w:t xml:space="preserve">l’enfant et d’assurer son développement. </w:t>
            </w:r>
            <w:r>
              <w:rPr>
                <w:rFonts w:ascii="Calibri" w:eastAsia="Calibri" w:hAnsi="Calibri" w:cs="Calibri"/>
                <w:color w:val="FFFFFF"/>
              </w:rPr>
              <w:t>La responsabilité</w:t>
            </w:r>
          </w:p>
        </w:tc>
        <w:tc>
          <w:tcPr>
            <w:tcW w:w="120" w:type="dxa"/>
            <w:tcBorders>
              <w:right w:val="single" w:sz="8" w:space="0" w:color="CF9901"/>
            </w:tcBorders>
            <w:shd w:val="clear" w:color="auto" w:fill="FEC930"/>
            <w:vAlign w:val="bottom"/>
          </w:tcPr>
          <w:p w:rsidR="00AC12B4" w:rsidRDefault="00AC12B4">
            <w:pPr>
              <w:rPr>
                <w:sz w:val="9"/>
                <w:szCs w:val="9"/>
              </w:rPr>
            </w:pPr>
          </w:p>
        </w:tc>
        <w:tc>
          <w:tcPr>
            <w:tcW w:w="800" w:type="dxa"/>
            <w:gridSpan w:val="2"/>
            <w:vMerge/>
            <w:vAlign w:val="bottom"/>
          </w:tcPr>
          <w:p w:rsidR="00AC12B4" w:rsidRDefault="00AC12B4">
            <w:pPr>
              <w:rPr>
                <w:sz w:val="9"/>
                <w:szCs w:val="9"/>
              </w:rPr>
            </w:pPr>
          </w:p>
        </w:tc>
        <w:tc>
          <w:tcPr>
            <w:tcW w:w="480" w:type="dxa"/>
            <w:gridSpan w:val="2"/>
            <w:vMerge/>
            <w:vAlign w:val="bottom"/>
          </w:tcPr>
          <w:p w:rsidR="00AC12B4" w:rsidRDefault="00AC12B4">
            <w:pPr>
              <w:rPr>
                <w:sz w:val="9"/>
                <w:szCs w:val="9"/>
              </w:rPr>
            </w:pPr>
          </w:p>
        </w:tc>
        <w:tc>
          <w:tcPr>
            <w:tcW w:w="780" w:type="dxa"/>
            <w:gridSpan w:val="2"/>
            <w:vMerge/>
            <w:vAlign w:val="bottom"/>
          </w:tcPr>
          <w:p w:rsidR="00AC12B4" w:rsidRDefault="00AC12B4">
            <w:pPr>
              <w:rPr>
                <w:sz w:val="9"/>
                <w:szCs w:val="9"/>
              </w:rPr>
            </w:pPr>
          </w:p>
        </w:tc>
        <w:tc>
          <w:tcPr>
            <w:tcW w:w="140" w:type="dxa"/>
            <w:tcBorders>
              <w:right w:val="single" w:sz="8" w:space="0" w:color="FEC930"/>
            </w:tcBorders>
            <w:vAlign w:val="bottom"/>
          </w:tcPr>
          <w:p w:rsidR="00AC12B4" w:rsidRDefault="00AC12B4">
            <w:pPr>
              <w:rPr>
                <w:sz w:val="9"/>
                <w:szCs w:val="9"/>
              </w:rPr>
            </w:pPr>
          </w:p>
        </w:tc>
        <w:tc>
          <w:tcPr>
            <w:tcW w:w="120" w:type="dxa"/>
            <w:vAlign w:val="bottom"/>
          </w:tcPr>
          <w:p w:rsidR="00AC12B4" w:rsidRDefault="00AC12B4">
            <w:pPr>
              <w:rPr>
                <w:sz w:val="9"/>
                <w:szCs w:val="9"/>
              </w:rPr>
            </w:pPr>
          </w:p>
        </w:tc>
        <w:tc>
          <w:tcPr>
            <w:tcW w:w="2240" w:type="dxa"/>
            <w:gridSpan w:val="8"/>
            <w:vMerge/>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0"/>
        </w:trPr>
        <w:tc>
          <w:tcPr>
            <w:tcW w:w="6060" w:type="dxa"/>
            <w:gridSpan w:val="10"/>
            <w:vMerge/>
            <w:tcBorders>
              <w:left w:val="single" w:sz="8" w:space="0" w:color="CF9901"/>
            </w:tcBorders>
            <w:shd w:val="clear" w:color="auto" w:fill="FEC930"/>
            <w:vAlign w:val="bottom"/>
          </w:tcPr>
          <w:p w:rsidR="00AC12B4" w:rsidRDefault="00AC12B4">
            <w:pPr>
              <w:rPr>
                <w:sz w:val="13"/>
                <w:szCs w:val="13"/>
              </w:rPr>
            </w:pPr>
          </w:p>
        </w:tc>
        <w:tc>
          <w:tcPr>
            <w:tcW w:w="120" w:type="dxa"/>
            <w:tcBorders>
              <w:right w:val="single" w:sz="8" w:space="0" w:color="CF9901"/>
            </w:tcBorders>
            <w:shd w:val="clear" w:color="auto" w:fill="FEC930"/>
            <w:vAlign w:val="bottom"/>
          </w:tcPr>
          <w:p w:rsidR="00AC12B4" w:rsidRDefault="00AC12B4">
            <w:pPr>
              <w:rPr>
                <w:sz w:val="13"/>
                <w:szCs w:val="13"/>
              </w:rPr>
            </w:pPr>
          </w:p>
        </w:tc>
        <w:tc>
          <w:tcPr>
            <w:tcW w:w="1560" w:type="dxa"/>
            <w:gridSpan w:val="5"/>
            <w:vMerge w:val="restart"/>
            <w:vAlign w:val="bottom"/>
          </w:tcPr>
          <w:p w:rsidR="00AC12B4" w:rsidRDefault="00C27636">
            <w:pPr>
              <w:ind w:left="180"/>
              <w:rPr>
                <w:sz w:val="20"/>
                <w:szCs w:val="20"/>
              </w:rPr>
            </w:pPr>
            <w:r>
              <w:rPr>
                <w:rFonts w:ascii="Calibri" w:eastAsia="Calibri" w:hAnsi="Calibri" w:cs="Calibri"/>
              </w:rPr>
              <w:t>désavantages,</w:t>
            </w:r>
          </w:p>
        </w:tc>
        <w:tc>
          <w:tcPr>
            <w:tcW w:w="500" w:type="dxa"/>
            <w:vAlign w:val="bottom"/>
          </w:tcPr>
          <w:p w:rsidR="00AC12B4" w:rsidRDefault="00AC12B4">
            <w:pPr>
              <w:rPr>
                <w:sz w:val="13"/>
                <w:szCs w:val="13"/>
              </w:rPr>
            </w:pPr>
          </w:p>
        </w:tc>
        <w:tc>
          <w:tcPr>
            <w:tcW w:w="140" w:type="dxa"/>
            <w:tcBorders>
              <w:right w:val="single" w:sz="8" w:space="0" w:color="FEC930"/>
            </w:tcBorders>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640" w:type="dxa"/>
            <w:gridSpan w:val="3"/>
            <w:vMerge w:val="restart"/>
            <w:vAlign w:val="bottom"/>
          </w:tcPr>
          <w:p w:rsidR="00AC12B4" w:rsidRDefault="00C27636">
            <w:pPr>
              <w:spacing w:line="277" w:lineRule="exact"/>
              <w:ind w:left="20"/>
              <w:rPr>
                <w:sz w:val="20"/>
                <w:szCs w:val="20"/>
              </w:rPr>
            </w:pPr>
            <w:r>
              <w:rPr>
                <w:rFonts w:ascii="Comic Sans MS" w:eastAsia="Comic Sans MS" w:hAnsi="Comic Sans MS" w:cs="Comic Sans MS"/>
                <w:color w:val="0D0D0D"/>
                <w:sz w:val="20"/>
                <w:szCs w:val="20"/>
              </w:rPr>
              <w:t>belge</w:t>
            </w:r>
          </w:p>
        </w:tc>
        <w:tc>
          <w:tcPr>
            <w:tcW w:w="12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22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8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rsidRPr="00C27636">
        <w:trPr>
          <w:trHeight w:val="163"/>
        </w:trPr>
        <w:tc>
          <w:tcPr>
            <w:tcW w:w="606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color w:val="FFFFFF"/>
                <w:lang w:val="fr-BE"/>
              </w:rPr>
              <w:t>d’élever l’enfant et d’assurer son développement incombe</w:t>
            </w:r>
          </w:p>
        </w:tc>
        <w:tc>
          <w:tcPr>
            <w:tcW w:w="12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1560" w:type="dxa"/>
            <w:gridSpan w:val="5"/>
            <w:vMerge/>
            <w:vAlign w:val="bottom"/>
          </w:tcPr>
          <w:p w:rsidR="00AC12B4" w:rsidRPr="00C27636" w:rsidRDefault="00AC12B4">
            <w:pPr>
              <w:rPr>
                <w:sz w:val="14"/>
                <w:szCs w:val="14"/>
                <w:lang w:val="fr-BE"/>
              </w:rPr>
            </w:pPr>
          </w:p>
        </w:tc>
        <w:tc>
          <w:tcPr>
            <w:tcW w:w="500" w:type="dxa"/>
            <w:vAlign w:val="bottom"/>
          </w:tcPr>
          <w:p w:rsidR="00AC12B4" w:rsidRPr="00C27636" w:rsidRDefault="00AC12B4">
            <w:pPr>
              <w:rPr>
                <w:sz w:val="14"/>
                <w:szCs w:val="14"/>
                <w:lang w:val="fr-BE"/>
              </w:rPr>
            </w:pPr>
          </w:p>
        </w:tc>
        <w:tc>
          <w:tcPr>
            <w:tcW w:w="140" w:type="dxa"/>
            <w:tcBorders>
              <w:right w:val="single" w:sz="8" w:space="0" w:color="FEC930"/>
            </w:tcBorders>
            <w:vAlign w:val="bottom"/>
          </w:tcPr>
          <w:p w:rsidR="00AC12B4" w:rsidRPr="00C27636" w:rsidRDefault="00AC12B4">
            <w:pPr>
              <w:rPr>
                <w:sz w:val="14"/>
                <w:szCs w:val="14"/>
                <w:lang w:val="fr-BE"/>
              </w:rPr>
            </w:pPr>
          </w:p>
        </w:tc>
        <w:tc>
          <w:tcPr>
            <w:tcW w:w="120" w:type="dxa"/>
            <w:vAlign w:val="bottom"/>
          </w:tcPr>
          <w:p w:rsidR="00AC12B4" w:rsidRPr="00C27636" w:rsidRDefault="00AC12B4">
            <w:pPr>
              <w:rPr>
                <w:sz w:val="14"/>
                <w:szCs w:val="14"/>
                <w:lang w:val="fr-BE"/>
              </w:rPr>
            </w:pPr>
          </w:p>
        </w:tc>
        <w:tc>
          <w:tcPr>
            <w:tcW w:w="640" w:type="dxa"/>
            <w:gridSpan w:val="3"/>
            <w:vMerge/>
            <w:vAlign w:val="bottom"/>
          </w:tcPr>
          <w:p w:rsidR="00AC12B4" w:rsidRPr="00C27636" w:rsidRDefault="00AC12B4">
            <w:pPr>
              <w:rPr>
                <w:sz w:val="14"/>
                <w:szCs w:val="14"/>
                <w:lang w:val="fr-BE"/>
              </w:rPr>
            </w:pPr>
          </w:p>
        </w:tc>
        <w:tc>
          <w:tcPr>
            <w:tcW w:w="120" w:type="dxa"/>
            <w:vAlign w:val="bottom"/>
          </w:tcPr>
          <w:p w:rsidR="00AC12B4" w:rsidRPr="00C27636" w:rsidRDefault="00AC12B4">
            <w:pPr>
              <w:rPr>
                <w:sz w:val="14"/>
                <w:szCs w:val="14"/>
                <w:lang w:val="fr-BE"/>
              </w:rPr>
            </w:pPr>
          </w:p>
        </w:tc>
        <w:tc>
          <w:tcPr>
            <w:tcW w:w="120" w:type="dxa"/>
            <w:vAlign w:val="bottom"/>
          </w:tcPr>
          <w:p w:rsidR="00AC12B4" w:rsidRPr="00C27636" w:rsidRDefault="00AC12B4">
            <w:pPr>
              <w:rPr>
                <w:sz w:val="14"/>
                <w:szCs w:val="14"/>
                <w:lang w:val="fr-BE"/>
              </w:rPr>
            </w:pPr>
          </w:p>
        </w:tc>
        <w:tc>
          <w:tcPr>
            <w:tcW w:w="220" w:type="dxa"/>
            <w:vAlign w:val="bottom"/>
          </w:tcPr>
          <w:p w:rsidR="00AC12B4" w:rsidRPr="00C27636" w:rsidRDefault="00AC12B4">
            <w:pPr>
              <w:rPr>
                <w:sz w:val="14"/>
                <w:szCs w:val="14"/>
                <w:lang w:val="fr-BE"/>
              </w:rPr>
            </w:pPr>
          </w:p>
        </w:tc>
        <w:tc>
          <w:tcPr>
            <w:tcW w:w="280" w:type="dxa"/>
            <w:vAlign w:val="bottom"/>
          </w:tcPr>
          <w:p w:rsidR="00AC12B4" w:rsidRPr="00C27636" w:rsidRDefault="00AC12B4">
            <w:pPr>
              <w:rPr>
                <w:sz w:val="14"/>
                <w:szCs w:val="14"/>
                <w:lang w:val="fr-BE"/>
              </w:rPr>
            </w:pPr>
          </w:p>
        </w:tc>
        <w:tc>
          <w:tcPr>
            <w:tcW w:w="860" w:type="dxa"/>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6"/>
        </w:trPr>
        <w:tc>
          <w:tcPr>
            <w:tcW w:w="6060" w:type="dxa"/>
            <w:gridSpan w:val="10"/>
            <w:vMerge/>
            <w:tcBorders>
              <w:left w:val="single" w:sz="8" w:space="0" w:color="CF9901"/>
            </w:tcBorders>
            <w:shd w:val="clear" w:color="auto" w:fill="FEC930"/>
            <w:vAlign w:val="bottom"/>
          </w:tcPr>
          <w:p w:rsidR="00AC12B4" w:rsidRPr="00C27636" w:rsidRDefault="00AC12B4">
            <w:pPr>
              <w:rPr>
                <w:sz w:val="9"/>
                <w:szCs w:val="9"/>
                <w:lang w:val="fr-BE"/>
              </w:rPr>
            </w:pPr>
          </w:p>
        </w:tc>
        <w:tc>
          <w:tcPr>
            <w:tcW w:w="120" w:type="dxa"/>
            <w:tcBorders>
              <w:right w:val="single" w:sz="8" w:space="0" w:color="CF9901"/>
            </w:tcBorders>
            <w:shd w:val="clear" w:color="auto" w:fill="FEC930"/>
            <w:vAlign w:val="bottom"/>
          </w:tcPr>
          <w:p w:rsidR="00AC12B4" w:rsidRPr="00C27636" w:rsidRDefault="00AC12B4">
            <w:pPr>
              <w:rPr>
                <w:sz w:val="9"/>
                <w:szCs w:val="9"/>
                <w:lang w:val="fr-BE"/>
              </w:rPr>
            </w:pPr>
          </w:p>
        </w:tc>
        <w:tc>
          <w:tcPr>
            <w:tcW w:w="1280" w:type="dxa"/>
            <w:gridSpan w:val="4"/>
            <w:vMerge w:val="restart"/>
            <w:vAlign w:val="bottom"/>
          </w:tcPr>
          <w:p w:rsidR="00AC12B4" w:rsidRDefault="00C27636">
            <w:pPr>
              <w:ind w:left="180"/>
              <w:rPr>
                <w:sz w:val="20"/>
                <w:szCs w:val="20"/>
              </w:rPr>
            </w:pPr>
            <w:r>
              <w:rPr>
                <w:rFonts w:ascii="Calibri" w:eastAsia="Calibri" w:hAnsi="Calibri" w:cs="Calibri"/>
              </w:rPr>
              <w:t>notamment</w:t>
            </w:r>
          </w:p>
        </w:tc>
        <w:tc>
          <w:tcPr>
            <w:tcW w:w="780" w:type="dxa"/>
            <w:gridSpan w:val="2"/>
            <w:vMerge w:val="restart"/>
            <w:vAlign w:val="bottom"/>
          </w:tcPr>
          <w:p w:rsidR="00AC12B4" w:rsidRDefault="00C27636">
            <w:pPr>
              <w:ind w:right="193"/>
              <w:jc w:val="right"/>
              <w:rPr>
                <w:sz w:val="20"/>
                <w:szCs w:val="20"/>
              </w:rPr>
            </w:pPr>
            <w:r>
              <w:rPr>
                <w:rFonts w:ascii="Calibri" w:eastAsia="Calibri" w:hAnsi="Calibri" w:cs="Calibri"/>
              </w:rPr>
              <w:t>en</w:t>
            </w:r>
          </w:p>
        </w:tc>
        <w:tc>
          <w:tcPr>
            <w:tcW w:w="140" w:type="dxa"/>
            <w:tcBorders>
              <w:right w:val="single" w:sz="8" w:space="0" w:color="FEC930"/>
            </w:tcBorders>
            <w:vAlign w:val="bottom"/>
          </w:tcPr>
          <w:p w:rsidR="00AC12B4" w:rsidRDefault="00AC12B4">
            <w:pPr>
              <w:rPr>
                <w:sz w:val="9"/>
                <w:szCs w:val="9"/>
              </w:rPr>
            </w:pPr>
          </w:p>
        </w:tc>
        <w:tc>
          <w:tcPr>
            <w:tcW w:w="120" w:type="dxa"/>
            <w:vAlign w:val="bottom"/>
          </w:tcPr>
          <w:p w:rsidR="00AC12B4" w:rsidRDefault="00AC12B4">
            <w:pPr>
              <w:rPr>
                <w:sz w:val="9"/>
                <w:szCs w:val="9"/>
              </w:rPr>
            </w:pPr>
          </w:p>
        </w:tc>
        <w:tc>
          <w:tcPr>
            <w:tcW w:w="36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22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8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63"/>
        </w:trPr>
        <w:tc>
          <w:tcPr>
            <w:tcW w:w="2140" w:type="dxa"/>
            <w:gridSpan w:val="2"/>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color w:val="FFFFFF"/>
              </w:rPr>
              <w:t>au premier chef</w:t>
            </w:r>
          </w:p>
        </w:tc>
        <w:tc>
          <w:tcPr>
            <w:tcW w:w="1760" w:type="dxa"/>
            <w:gridSpan w:val="4"/>
            <w:vMerge w:val="restart"/>
            <w:shd w:val="clear" w:color="auto" w:fill="FEC930"/>
            <w:vAlign w:val="bottom"/>
          </w:tcPr>
          <w:p w:rsidR="00AC12B4" w:rsidRDefault="00C27636">
            <w:pPr>
              <w:ind w:left="120"/>
              <w:rPr>
                <w:sz w:val="20"/>
                <w:szCs w:val="20"/>
              </w:rPr>
            </w:pPr>
            <w:r>
              <w:rPr>
                <w:rFonts w:ascii="Calibri" w:eastAsia="Calibri" w:hAnsi="Calibri" w:cs="Calibri"/>
                <w:color w:val="FFFFFF"/>
              </w:rPr>
              <w:t>aux parents ou,</w:t>
            </w:r>
          </w:p>
        </w:tc>
        <w:tc>
          <w:tcPr>
            <w:tcW w:w="640" w:type="dxa"/>
            <w:gridSpan w:val="2"/>
            <w:vMerge w:val="restart"/>
            <w:shd w:val="clear" w:color="auto" w:fill="FEC930"/>
            <w:vAlign w:val="bottom"/>
          </w:tcPr>
          <w:p w:rsidR="00AC12B4" w:rsidRDefault="00C27636">
            <w:pPr>
              <w:rPr>
                <w:sz w:val="20"/>
                <w:szCs w:val="20"/>
              </w:rPr>
            </w:pPr>
            <w:r>
              <w:rPr>
                <w:rFonts w:ascii="Calibri" w:eastAsia="Calibri" w:hAnsi="Calibri" w:cs="Calibri"/>
                <w:color w:val="FFFFFF"/>
              </w:rPr>
              <w:t>le cas</w:t>
            </w:r>
          </w:p>
        </w:tc>
        <w:tc>
          <w:tcPr>
            <w:tcW w:w="1520" w:type="dxa"/>
            <w:gridSpan w:val="2"/>
            <w:vMerge w:val="restart"/>
            <w:shd w:val="clear" w:color="auto" w:fill="FEC930"/>
            <w:vAlign w:val="bottom"/>
          </w:tcPr>
          <w:p w:rsidR="00AC12B4" w:rsidRDefault="00C27636">
            <w:pPr>
              <w:jc w:val="right"/>
              <w:rPr>
                <w:sz w:val="20"/>
                <w:szCs w:val="20"/>
              </w:rPr>
            </w:pPr>
            <w:r>
              <w:rPr>
                <w:rFonts w:ascii="Calibri" w:eastAsia="Calibri" w:hAnsi="Calibri" w:cs="Calibri"/>
                <w:color w:val="FFFFFF"/>
              </w:rPr>
              <w:t>échéant, à ses</w:t>
            </w:r>
          </w:p>
        </w:tc>
        <w:tc>
          <w:tcPr>
            <w:tcW w:w="120" w:type="dxa"/>
            <w:tcBorders>
              <w:right w:val="single" w:sz="8" w:space="0" w:color="CF9901"/>
            </w:tcBorders>
            <w:shd w:val="clear" w:color="auto" w:fill="FEC930"/>
            <w:vAlign w:val="bottom"/>
          </w:tcPr>
          <w:p w:rsidR="00AC12B4" w:rsidRDefault="00AC12B4">
            <w:pPr>
              <w:rPr>
                <w:sz w:val="14"/>
                <w:szCs w:val="14"/>
              </w:rPr>
            </w:pPr>
          </w:p>
        </w:tc>
        <w:tc>
          <w:tcPr>
            <w:tcW w:w="1280" w:type="dxa"/>
            <w:gridSpan w:val="4"/>
            <w:vMerge/>
            <w:vAlign w:val="bottom"/>
          </w:tcPr>
          <w:p w:rsidR="00AC12B4" w:rsidRDefault="00AC12B4">
            <w:pPr>
              <w:rPr>
                <w:sz w:val="14"/>
                <w:szCs w:val="14"/>
              </w:rPr>
            </w:pPr>
          </w:p>
        </w:tc>
        <w:tc>
          <w:tcPr>
            <w:tcW w:w="780" w:type="dxa"/>
            <w:gridSpan w:val="2"/>
            <w:vMerge/>
            <w:vAlign w:val="bottom"/>
          </w:tcPr>
          <w:p w:rsidR="00AC12B4" w:rsidRDefault="00AC12B4">
            <w:pPr>
              <w:rPr>
                <w:sz w:val="14"/>
                <w:szCs w:val="14"/>
              </w:rPr>
            </w:pPr>
          </w:p>
        </w:tc>
        <w:tc>
          <w:tcPr>
            <w:tcW w:w="140" w:type="dxa"/>
            <w:tcBorders>
              <w:right w:val="single" w:sz="8" w:space="0" w:color="FEC930"/>
            </w:tcBorders>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360" w:type="dxa"/>
            <w:vAlign w:val="bottom"/>
          </w:tcPr>
          <w:p w:rsidR="00AC12B4" w:rsidRDefault="00AC12B4">
            <w:pPr>
              <w:rPr>
                <w:sz w:val="14"/>
                <w:szCs w:val="14"/>
              </w:rPr>
            </w:pPr>
          </w:p>
        </w:tc>
        <w:tc>
          <w:tcPr>
            <w:tcW w:w="80" w:type="dxa"/>
            <w:vAlign w:val="bottom"/>
          </w:tcPr>
          <w:p w:rsidR="00AC12B4" w:rsidRDefault="00AC12B4">
            <w:pPr>
              <w:rPr>
                <w:sz w:val="14"/>
                <w:szCs w:val="14"/>
              </w:rPr>
            </w:pPr>
          </w:p>
        </w:tc>
        <w:tc>
          <w:tcPr>
            <w:tcW w:w="20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120" w:type="dxa"/>
            <w:vAlign w:val="bottom"/>
          </w:tcPr>
          <w:p w:rsidR="00AC12B4" w:rsidRDefault="00AC12B4">
            <w:pPr>
              <w:rPr>
                <w:sz w:val="14"/>
                <w:szCs w:val="14"/>
              </w:rPr>
            </w:pPr>
          </w:p>
        </w:tc>
        <w:tc>
          <w:tcPr>
            <w:tcW w:w="220" w:type="dxa"/>
            <w:vAlign w:val="bottom"/>
          </w:tcPr>
          <w:p w:rsidR="00AC12B4" w:rsidRDefault="00AC12B4">
            <w:pPr>
              <w:rPr>
                <w:sz w:val="14"/>
                <w:szCs w:val="14"/>
              </w:rPr>
            </w:pPr>
          </w:p>
        </w:tc>
        <w:tc>
          <w:tcPr>
            <w:tcW w:w="280" w:type="dxa"/>
            <w:vAlign w:val="bottom"/>
          </w:tcPr>
          <w:p w:rsidR="00AC12B4" w:rsidRDefault="00AC12B4">
            <w:pPr>
              <w:rPr>
                <w:sz w:val="14"/>
                <w:szCs w:val="14"/>
              </w:rPr>
            </w:pPr>
          </w:p>
        </w:tc>
        <w:tc>
          <w:tcPr>
            <w:tcW w:w="860" w:type="dxa"/>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6"/>
        </w:trPr>
        <w:tc>
          <w:tcPr>
            <w:tcW w:w="2140" w:type="dxa"/>
            <w:gridSpan w:val="2"/>
            <w:vMerge/>
            <w:tcBorders>
              <w:left w:val="single" w:sz="8" w:space="0" w:color="CF9901"/>
            </w:tcBorders>
            <w:shd w:val="clear" w:color="auto" w:fill="FEC930"/>
            <w:vAlign w:val="bottom"/>
          </w:tcPr>
          <w:p w:rsidR="00AC12B4" w:rsidRDefault="00AC12B4">
            <w:pPr>
              <w:rPr>
                <w:sz w:val="9"/>
                <w:szCs w:val="9"/>
              </w:rPr>
            </w:pPr>
          </w:p>
        </w:tc>
        <w:tc>
          <w:tcPr>
            <w:tcW w:w="1760" w:type="dxa"/>
            <w:gridSpan w:val="4"/>
            <w:vMerge/>
            <w:shd w:val="clear" w:color="auto" w:fill="FEC930"/>
            <w:vAlign w:val="bottom"/>
          </w:tcPr>
          <w:p w:rsidR="00AC12B4" w:rsidRDefault="00AC12B4">
            <w:pPr>
              <w:rPr>
                <w:sz w:val="9"/>
                <w:szCs w:val="9"/>
              </w:rPr>
            </w:pPr>
          </w:p>
        </w:tc>
        <w:tc>
          <w:tcPr>
            <w:tcW w:w="640" w:type="dxa"/>
            <w:gridSpan w:val="2"/>
            <w:vMerge/>
            <w:shd w:val="clear" w:color="auto" w:fill="FEC930"/>
            <w:vAlign w:val="bottom"/>
          </w:tcPr>
          <w:p w:rsidR="00AC12B4" w:rsidRDefault="00AC12B4">
            <w:pPr>
              <w:rPr>
                <w:sz w:val="9"/>
                <w:szCs w:val="9"/>
              </w:rPr>
            </w:pPr>
          </w:p>
        </w:tc>
        <w:tc>
          <w:tcPr>
            <w:tcW w:w="1520" w:type="dxa"/>
            <w:gridSpan w:val="2"/>
            <w:vMerge/>
            <w:shd w:val="clear" w:color="auto" w:fill="FEC930"/>
            <w:vAlign w:val="bottom"/>
          </w:tcPr>
          <w:p w:rsidR="00AC12B4" w:rsidRDefault="00AC12B4">
            <w:pPr>
              <w:rPr>
                <w:sz w:val="9"/>
                <w:szCs w:val="9"/>
              </w:rPr>
            </w:pPr>
          </w:p>
        </w:tc>
        <w:tc>
          <w:tcPr>
            <w:tcW w:w="120" w:type="dxa"/>
            <w:tcBorders>
              <w:right w:val="single" w:sz="8" w:space="0" w:color="CF9901"/>
            </w:tcBorders>
            <w:shd w:val="clear" w:color="auto" w:fill="FEC930"/>
            <w:vAlign w:val="bottom"/>
          </w:tcPr>
          <w:p w:rsidR="00AC12B4" w:rsidRDefault="00AC12B4">
            <w:pPr>
              <w:rPr>
                <w:sz w:val="9"/>
                <w:szCs w:val="9"/>
              </w:rPr>
            </w:pPr>
          </w:p>
        </w:tc>
        <w:tc>
          <w:tcPr>
            <w:tcW w:w="500" w:type="dxa"/>
            <w:vMerge w:val="restart"/>
            <w:vAlign w:val="bottom"/>
          </w:tcPr>
          <w:p w:rsidR="00AC12B4" w:rsidRDefault="00C27636">
            <w:pPr>
              <w:ind w:left="180"/>
              <w:rPr>
                <w:sz w:val="20"/>
                <w:szCs w:val="20"/>
              </w:rPr>
            </w:pPr>
            <w:r>
              <w:rPr>
                <w:rFonts w:ascii="Calibri" w:eastAsia="Calibri" w:hAnsi="Calibri" w:cs="Calibri"/>
              </w:rPr>
              <w:t>ce</w:t>
            </w:r>
          </w:p>
        </w:tc>
        <w:tc>
          <w:tcPr>
            <w:tcW w:w="300" w:type="dxa"/>
            <w:vMerge w:val="restart"/>
            <w:vAlign w:val="bottom"/>
          </w:tcPr>
          <w:p w:rsidR="00AC12B4" w:rsidRDefault="00C27636">
            <w:pPr>
              <w:rPr>
                <w:sz w:val="20"/>
                <w:szCs w:val="20"/>
              </w:rPr>
            </w:pPr>
            <w:r>
              <w:rPr>
                <w:rFonts w:ascii="Calibri" w:eastAsia="Calibri" w:hAnsi="Calibri" w:cs="Calibri"/>
                <w:w w:val="99"/>
              </w:rPr>
              <w:t>qui</w:t>
            </w:r>
          </w:p>
        </w:tc>
        <w:tc>
          <w:tcPr>
            <w:tcW w:w="1260" w:type="dxa"/>
            <w:gridSpan w:val="4"/>
            <w:vMerge w:val="restart"/>
            <w:vAlign w:val="bottom"/>
          </w:tcPr>
          <w:p w:rsidR="00AC12B4" w:rsidRDefault="00C27636">
            <w:pPr>
              <w:jc w:val="right"/>
              <w:rPr>
                <w:sz w:val="20"/>
                <w:szCs w:val="20"/>
              </w:rPr>
            </w:pPr>
            <w:r>
              <w:rPr>
                <w:rFonts w:ascii="Calibri" w:eastAsia="Calibri" w:hAnsi="Calibri" w:cs="Calibri"/>
              </w:rPr>
              <w:t>concerne le</w:t>
            </w:r>
          </w:p>
        </w:tc>
        <w:tc>
          <w:tcPr>
            <w:tcW w:w="900" w:type="dxa"/>
            <w:gridSpan w:val="5"/>
            <w:vMerge w:val="restart"/>
            <w:vAlign w:val="bottom"/>
          </w:tcPr>
          <w:p w:rsidR="00AC12B4" w:rsidRDefault="00C27636">
            <w:pPr>
              <w:jc w:val="center"/>
              <w:rPr>
                <w:sz w:val="20"/>
                <w:szCs w:val="20"/>
              </w:rPr>
            </w:pPr>
            <w:r>
              <w:rPr>
                <w:rFonts w:ascii="Calibri" w:eastAsia="Calibri" w:hAnsi="Calibri" w:cs="Calibri"/>
              </w:rPr>
              <w:t>maintien</w:t>
            </w:r>
          </w:p>
        </w:tc>
        <w:tc>
          <w:tcPr>
            <w:tcW w:w="460" w:type="dxa"/>
            <w:gridSpan w:val="3"/>
            <w:vMerge w:val="restart"/>
            <w:vAlign w:val="bottom"/>
          </w:tcPr>
          <w:p w:rsidR="00AC12B4" w:rsidRDefault="00C27636">
            <w:pPr>
              <w:ind w:left="100"/>
              <w:rPr>
                <w:sz w:val="20"/>
                <w:szCs w:val="20"/>
              </w:rPr>
            </w:pPr>
            <w:r>
              <w:rPr>
                <w:rFonts w:ascii="Calibri" w:eastAsia="Calibri" w:hAnsi="Calibri" w:cs="Calibri"/>
              </w:rPr>
              <w:t>du</w:t>
            </w:r>
          </w:p>
        </w:tc>
        <w:tc>
          <w:tcPr>
            <w:tcW w:w="1140" w:type="dxa"/>
            <w:gridSpan w:val="2"/>
            <w:vMerge w:val="restart"/>
            <w:vAlign w:val="bottom"/>
          </w:tcPr>
          <w:p w:rsidR="00AC12B4" w:rsidRDefault="00C27636">
            <w:pPr>
              <w:ind w:right="700"/>
              <w:jc w:val="right"/>
              <w:rPr>
                <w:sz w:val="20"/>
                <w:szCs w:val="20"/>
              </w:rPr>
            </w:pPr>
            <w:r>
              <w:rPr>
                <w:rFonts w:ascii="Calibri" w:eastAsia="Calibri" w:hAnsi="Calibri" w:cs="Calibri"/>
                <w:w w:val="98"/>
              </w:rPr>
              <w:t>lien</w:t>
            </w:r>
          </w:p>
        </w:tc>
        <w:tc>
          <w:tcPr>
            <w:tcW w:w="0" w:type="dxa"/>
            <w:vAlign w:val="bottom"/>
          </w:tcPr>
          <w:p w:rsidR="00AC12B4" w:rsidRDefault="00AC12B4">
            <w:pPr>
              <w:rPr>
                <w:sz w:val="1"/>
                <w:szCs w:val="1"/>
              </w:rPr>
            </w:pPr>
          </w:p>
        </w:tc>
      </w:tr>
      <w:tr w:rsidR="00AC12B4" w:rsidRPr="00C27636">
        <w:trPr>
          <w:trHeight w:val="163"/>
        </w:trPr>
        <w:tc>
          <w:tcPr>
            <w:tcW w:w="606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color w:val="FFFFFF"/>
                <w:lang w:val="fr-BE"/>
              </w:rPr>
              <w:t>représentants légaux. Ceux-ci doivent être guidés avant tout</w:t>
            </w:r>
          </w:p>
        </w:tc>
        <w:tc>
          <w:tcPr>
            <w:tcW w:w="12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500" w:type="dxa"/>
            <w:vMerge/>
            <w:vAlign w:val="bottom"/>
          </w:tcPr>
          <w:p w:rsidR="00AC12B4" w:rsidRPr="00C27636" w:rsidRDefault="00AC12B4">
            <w:pPr>
              <w:rPr>
                <w:sz w:val="14"/>
                <w:szCs w:val="14"/>
                <w:lang w:val="fr-BE"/>
              </w:rPr>
            </w:pPr>
          </w:p>
        </w:tc>
        <w:tc>
          <w:tcPr>
            <w:tcW w:w="300" w:type="dxa"/>
            <w:vMerge/>
            <w:vAlign w:val="bottom"/>
          </w:tcPr>
          <w:p w:rsidR="00AC12B4" w:rsidRPr="00C27636" w:rsidRDefault="00AC12B4">
            <w:pPr>
              <w:rPr>
                <w:sz w:val="14"/>
                <w:szCs w:val="14"/>
                <w:lang w:val="fr-BE"/>
              </w:rPr>
            </w:pPr>
          </w:p>
        </w:tc>
        <w:tc>
          <w:tcPr>
            <w:tcW w:w="1260" w:type="dxa"/>
            <w:gridSpan w:val="4"/>
            <w:vMerge/>
            <w:vAlign w:val="bottom"/>
          </w:tcPr>
          <w:p w:rsidR="00AC12B4" w:rsidRPr="00C27636" w:rsidRDefault="00AC12B4">
            <w:pPr>
              <w:rPr>
                <w:sz w:val="14"/>
                <w:szCs w:val="14"/>
                <w:lang w:val="fr-BE"/>
              </w:rPr>
            </w:pPr>
          </w:p>
        </w:tc>
        <w:tc>
          <w:tcPr>
            <w:tcW w:w="900" w:type="dxa"/>
            <w:gridSpan w:val="5"/>
            <w:vMerge/>
            <w:vAlign w:val="bottom"/>
          </w:tcPr>
          <w:p w:rsidR="00AC12B4" w:rsidRPr="00C27636" w:rsidRDefault="00AC12B4">
            <w:pPr>
              <w:rPr>
                <w:sz w:val="14"/>
                <w:szCs w:val="14"/>
                <w:lang w:val="fr-BE"/>
              </w:rPr>
            </w:pPr>
          </w:p>
        </w:tc>
        <w:tc>
          <w:tcPr>
            <w:tcW w:w="460" w:type="dxa"/>
            <w:gridSpan w:val="3"/>
            <w:vMerge/>
            <w:vAlign w:val="bottom"/>
          </w:tcPr>
          <w:p w:rsidR="00AC12B4" w:rsidRPr="00C27636" w:rsidRDefault="00AC12B4">
            <w:pPr>
              <w:rPr>
                <w:sz w:val="14"/>
                <w:szCs w:val="14"/>
                <w:lang w:val="fr-BE"/>
              </w:rPr>
            </w:pPr>
          </w:p>
        </w:tc>
        <w:tc>
          <w:tcPr>
            <w:tcW w:w="1140" w:type="dxa"/>
            <w:gridSpan w:val="2"/>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6"/>
        </w:trPr>
        <w:tc>
          <w:tcPr>
            <w:tcW w:w="6060" w:type="dxa"/>
            <w:gridSpan w:val="10"/>
            <w:vMerge/>
            <w:tcBorders>
              <w:left w:val="single" w:sz="8" w:space="0" w:color="CF9901"/>
            </w:tcBorders>
            <w:shd w:val="clear" w:color="auto" w:fill="FEC930"/>
            <w:vAlign w:val="bottom"/>
          </w:tcPr>
          <w:p w:rsidR="00AC12B4" w:rsidRPr="00C27636" w:rsidRDefault="00AC12B4">
            <w:pPr>
              <w:rPr>
                <w:sz w:val="9"/>
                <w:szCs w:val="9"/>
                <w:lang w:val="fr-BE"/>
              </w:rPr>
            </w:pPr>
          </w:p>
        </w:tc>
        <w:tc>
          <w:tcPr>
            <w:tcW w:w="120" w:type="dxa"/>
            <w:tcBorders>
              <w:right w:val="single" w:sz="8" w:space="0" w:color="CF9901"/>
            </w:tcBorders>
            <w:shd w:val="clear" w:color="auto" w:fill="FEC930"/>
            <w:vAlign w:val="bottom"/>
          </w:tcPr>
          <w:p w:rsidR="00AC12B4" w:rsidRPr="00C27636" w:rsidRDefault="00AC12B4">
            <w:pPr>
              <w:rPr>
                <w:sz w:val="9"/>
                <w:szCs w:val="9"/>
                <w:lang w:val="fr-BE"/>
              </w:rPr>
            </w:pPr>
          </w:p>
        </w:tc>
        <w:tc>
          <w:tcPr>
            <w:tcW w:w="1040" w:type="dxa"/>
            <w:gridSpan w:val="3"/>
            <w:vMerge w:val="restart"/>
            <w:vAlign w:val="bottom"/>
          </w:tcPr>
          <w:p w:rsidR="00AC12B4" w:rsidRDefault="00C27636">
            <w:pPr>
              <w:spacing w:line="304" w:lineRule="exact"/>
              <w:ind w:left="180"/>
              <w:rPr>
                <w:sz w:val="20"/>
                <w:szCs w:val="20"/>
              </w:rPr>
            </w:pPr>
            <w:r>
              <w:rPr>
                <w:rFonts w:ascii="Calibri" w:eastAsia="Calibri" w:hAnsi="Calibri" w:cs="Calibri"/>
              </w:rPr>
              <w:t>familial</w:t>
            </w:r>
            <w:r>
              <w:rPr>
                <w:rFonts w:ascii="Calibri" w:eastAsia="Calibri" w:hAnsi="Calibri" w:cs="Calibri"/>
                <w:sz w:val="27"/>
                <w:szCs w:val="27"/>
                <w:vertAlign w:val="superscript"/>
              </w:rPr>
              <w:t>2</w:t>
            </w:r>
            <w:r>
              <w:rPr>
                <w:rFonts w:ascii="Calibri" w:eastAsia="Calibri" w:hAnsi="Calibri" w:cs="Calibri"/>
              </w:rPr>
              <w:t>.</w:t>
            </w:r>
          </w:p>
        </w:tc>
        <w:tc>
          <w:tcPr>
            <w:tcW w:w="24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500" w:type="dxa"/>
            <w:vAlign w:val="bottom"/>
          </w:tcPr>
          <w:p w:rsidR="00AC12B4" w:rsidRDefault="00AC12B4">
            <w:pPr>
              <w:rPr>
                <w:sz w:val="9"/>
                <w:szCs w:val="9"/>
              </w:rPr>
            </w:pPr>
          </w:p>
        </w:tc>
        <w:tc>
          <w:tcPr>
            <w:tcW w:w="14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360" w:type="dxa"/>
            <w:vAlign w:val="bottom"/>
          </w:tcPr>
          <w:p w:rsidR="00AC12B4" w:rsidRDefault="00AC12B4">
            <w:pPr>
              <w:rPr>
                <w:sz w:val="9"/>
                <w:szCs w:val="9"/>
              </w:rPr>
            </w:pPr>
          </w:p>
        </w:tc>
        <w:tc>
          <w:tcPr>
            <w:tcW w:w="80" w:type="dxa"/>
            <w:vAlign w:val="bottom"/>
          </w:tcPr>
          <w:p w:rsidR="00AC12B4" w:rsidRDefault="00AC12B4">
            <w:pPr>
              <w:rPr>
                <w:sz w:val="9"/>
                <w:szCs w:val="9"/>
              </w:rPr>
            </w:pPr>
          </w:p>
        </w:tc>
        <w:tc>
          <w:tcPr>
            <w:tcW w:w="20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120" w:type="dxa"/>
            <w:vAlign w:val="bottom"/>
          </w:tcPr>
          <w:p w:rsidR="00AC12B4" w:rsidRDefault="00AC12B4">
            <w:pPr>
              <w:rPr>
                <w:sz w:val="9"/>
                <w:szCs w:val="9"/>
              </w:rPr>
            </w:pPr>
          </w:p>
        </w:tc>
        <w:tc>
          <w:tcPr>
            <w:tcW w:w="220" w:type="dxa"/>
            <w:vAlign w:val="bottom"/>
          </w:tcPr>
          <w:p w:rsidR="00AC12B4" w:rsidRDefault="00AC12B4">
            <w:pPr>
              <w:rPr>
                <w:sz w:val="9"/>
                <w:szCs w:val="9"/>
              </w:rPr>
            </w:pPr>
          </w:p>
        </w:tc>
        <w:tc>
          <w:tcPr>
            <w:tcW w:w="280" w:type="dxa"/>
            <w:vAlign w:val="bottom"/>
          </w:tcPr>
          <w:p w:rsidR="00AC12B4" w:rsidRDefault="00AC12B4">
            <w:pPr>
              <w:rPr>
                <w:sz w:val="9"/>
                <w:szCs w:val="9"/>
              </w:rPr>
            </w:pPr>
          </w:p>
        </w:tc>
        <w:tc>
          <w:tcPr>
            <w:tcW w:w="860" w:type="dxa"/>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rsidRPr="00C27636">
        <w:trPr>
          <w:trHeight w:val="199"/>
        </w:trPr>
        <w:tc>
          <w:tcPr>
            <w:tcW w:w="3900" w:type="dxa"/>
            <w:gridSpan w:val="6"/>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color w:val="FFFFFF"/>
                <w:lang w:val="fr-BE"/>
              </w:rPr>
              <w:t>par l’intérêt supérieur de l’enfant.</w:t>
            </w:r>
          </w:p>
        </w:tc>
        <w:tc>
          <w:tcPr>
            <w:tcW w:w="440" w:type="dxa"/>
            <w:shd w:val="clear" w:color="auto" w:fill="FEC930"/>
            <w:vAlign w:val="bottom"/>
          </w:tcPr>
          <w:p w:rsidR="00AC12B4" w:rsidRPr="00C27636" w:rsidRDefault="00AC12B4">
            <w:pPr>
              <w:rPr>
                <w:sz w:val="17"/>
                <w:szCs w:val="17"/>
                <w:lang w:val="fr-BE"/>
              </w:rPr>
            </w:pPr>
          </w:p>
        </w:tc>
        <w:tc>
          <w:tcPr>
            <w:tcW w:w="200" w:type="dxa"/>
            <w:shd w:val="clear" w:color="auto" w:fill="FEC930"/>
            <w:vAlign w:val="bottom"/>
          </w:tcPr>
          <w:p w:rsidR="00AC12B4" w:rsidRPr="00C27636" w:rsidRDefault="00AC12B4">
            <w:pPr>
              <w:rPr>
                <w:sz w:val="17"/>
                <w:szCs w:val="17"/>
                <w:lang w:val="fr-BE"/>
              </w:rPr>
            </w:pPr>
          </w:p>
        </w:tc>
        <w:tc>
          <w:tcPr>
            <w:tcW w:w="80" w:type="dxa"/>
            <w:shd w:val="clear" w:color="auto" w:fill="FEC930"/>
            <w:vAlign w:val="bottom"/>
          </w:tcPr>
          <w:p w:rsidR="00AC12B4" w:rsidRPr="00C27636" w:rsidRDefault="00AC12B4">
            <w:pPr>
              <w:rPr>
                <w:sz w:val="17"/>
                <w:szCs w:val="17"/>
                <w:lang w:val="fr-BE"/>
              </w:rPr>
            </w:pPr>
          </w:p>
        </w:tc>
        <w:tc>
          <w:tcPr>
            <w:tcW w:w="1440" w:type="dxa"/>
            <w:shd w:val="clear" w:color="auto" w:fill="FEC930"/>
            <w:vAlign w:val="bottom"/>
          </w:tcPr>
          <w:p w:rsidR="00AC12B4" w:rsidRPr="00C27636" w:rsidRDefault="00AC12B4">
            <w:pPr>
              <w:rPr>
                <w:sz w:val="17"/>
                <w:szCs w:val="17"/>
                <w:lang w:val="fr-BE"/>
              </w:rPr>
            </w:pPr>
          </w:p>
        </w:tc>
        <w:tc>
          <w:tcPr>
            <w:tcW w:w="120" w:type="dxa"/>
            <w:tcBorders>
              <w:right w:val="single" w:sz="8" w:space="0" w:color="CF9901"/>
            </w:tcBorders>
            <w:shd w:val="clear" w:color="auto" w:fill="FEC930"/>
            <w:vAlign w:val="bottom"/>
          </w:tcPr>
          <w:p w:rsidR="00AC12B4" w:rsidRPr="00C27636" w:rsidRDefault="00AC12B4">
            <w:pPr>
              <w:rPr>
                <w:sz w:val="17"/>
                <w:szCs w:val="17"/>
                <w:lang w:val="fr-BE"/>
              </w:rPr>
            </w:pPr>
          </w:p>
        </w:tc>
        <w:tc>
          <w:tcPr>
            <w:tcW w:w="1040" w:type="dxa"/>
            <w:gridSpan w:val="3"/>
            <w:vMerge/>
            <w:vAlign w:val="bottom"/>
          </w:tcPr>
          <w:p w:rsidR="00AC12B4" w:rsidRPr="00C27636" w:rsidRDefault="00AC12B4">
            <w:pPr>
              <w:rPr>
                <w:sz w:val="17"/>
                <w:szCs w:val="17"/>
                <w:lang w:val="fr-BE"/>
              </w:rPr>
            </w:pPr>
          </w:p>
        </w:tc>
        <w:tc>
          <w:tcPr>
            <w:tcW w:w="240" w:type="dxa"/>
            <w:vAlign w:val="bottom"/>
          </w:tcPr>
          <w:p w:rsidR="00AC12B4" w:rsidRPr="00C27636" w:rsidRDefault="00AC12B4">
            <w:pPr>
              <w:rPr>
                <w:sz w:val="17"/>
                <w:szCs w:val="17"/>
                <w:lang w:val="fr-BE"/>
              </w:rPr>
            </w:pPr>
          </w:p>
        </w:tc>
        <w:tc>
          <w:tcPr>
            <w:tcW w:w="280" w:type="dxa"/>
            <w:vAlign w:val="bottom"/>
          </w:tcPr>
          <w:p w:rsidR="00AC12B4" w:rsidRPr="00C27636" w:rsidRDefault="00AC12B4">
            <w:pPr>
              <w:rPr>
                <w:sz w:val="17"/>
                <w:szCs w:val="17"/>
                <w:lang w:val="fr-BE"/>
              </w:rPr>
            </w:pPr>
          </w:p>
        </w:tc>
        <w:tc>
          <w:tcPr>
            <w:tcW w:w="500" w:type="dxa"/>
            <w:vAlign w:val="bottom"/>
          </w:tcPr>
          <w:p w:rsidR="00AC12B4" w:rsidRPr="00C27636" w:rsidRDefault="00AC12B4">
            <w:pPr>
              <w:rPr>
                <w:sz w:val="17"/>
                <w:szCs w:val="17"/>
                <w:lang w:val="fr-BE"/>
              </w:rPr>
            </w:pPr>
          </w:p>
        </w:tc>
        <w:tc>
          <w:tcPr>
            <w:tcW w:w="140" w:type="dxa"/>
            <w:vAlign w:val="bottom"/>
          </w:tcPr>
          <w:p w:rsidR="00AC12B4" w:rsidRPr="00C27636" w:rsidRDefault="00AC12B4">
            <w:pPr>
              <w:rPr>
                <w:sz w:val="17"/>
                <w:szCs w:val="17"/>
                <w:lang w:val="fr-BE"/>
              </w:rPr>
            </w:pPr>
          </w:p>
        </w:tc>
        <w:tc>
          <w:tcPr>
            <w:tcW w:w="120" w:type="dxa"/>
            <w:vAlign w:val="bottom"/>
          </w:tcPr>
          <w:p w:rsidR="00AC12B4" w:rsidRPr="00C27636" w:rsidRDefault="00AC12B4">
            <w:pPr>
              <w:rPr>
                <w:sz w:val="17"/>
                <w:szCs w:val="17"/>
                <w:lang w:val="fr-BE"/>
              </w:rPr>
            </w:pPr>
          </w:p>
        </w:tc>
        <w:tc>
          <w:tcPr>
            <w:tcW w:w="360" w:type="dxa"/>
            <w:vAlign w:val="bottom"/>
          </w:tcPr>
          <w:p w:rsidR="00AC12B4" w:rsidRPr="00C27636" w:rsidRDefault="00AC12B4">
            <w:pPr>
              <w:rPr>
                <w:sz w:val="17"/>
                <w:szCs w:val="17"/>
                <w:lang w:val="fr-BE"/>
              </w:rPr>
            </w:pPr>
          </w:p>
        </w:tc>
        <w:tc>
          <w:tcPr>
            <w:tcW w:w="80" w:type="dxa"/>
            <w:vAlign w:val="bottom"/>
          </w:tcPr>
          <w:p w:rsidR="00AC12B4" w:rsidRPr="00C27636" w:rsidRDefault="00AC12B4">
            <w:pPr>
              <w:rPr>
                <w:sz w:val="17"/>
                <w:szCs w:val="17"/>
                <w:lang w:val="fr-BE"/>
              </w:rPr>
            </w:pPr>
          </w:p>
        </w:tc>
        <w:tc>
          <w:tcPr>
            <w:tcW w:w="200" w:type="dxa"/>
            <w:vAlign w:val="bottom"/>
          </w:tcPr>
          <w:p w:rsidR="00AC12B4" w:rsidRPr="00C27636" w:rsidRDefault="00AC12B4">
            <w:pPr>
              <w:rPr>
                <w:sz w:val="17"/>
                <w:szCs w:val="17"/>
                <w:lang w:val="fr-BE"/>
              </w:rPr>
            </w:pPr>
          </w:p>
        </w:tc>
        <w:tc>
          <w:tcPr>
            <w:tcW w:w="120" w:type="dxa"/>
            <w:vAlign w:val="bottom"/>
          </w:tcPr>
          <w:p w:rsidR="00AC12B4" w:rsidRPr="00C27636" w:rsidRDefault="00AC12B4">
            <w:pPr>
              <w:rPr>
                <w:sz w:val="17"/>
                <w:szCs w:val="17"/>
                <w:lang w:val="fr-BE"/>
              </w:rPr>
            </w:pPr>
          </w:p>
        </w:tc>
        <w:tc>
          <w:tcPr>
            <w:tcW w:w="120" w:type="dxa"/>
            <w:vAlign w:val="bottom"/>
          </w:tcPr>
          <w:p w:rsidR="00AC12B4" w:rsidRPr="00C27636" w:rsidRDefault="00AC12B4">
            <w:pPr>
              <w:rPr>
                <w:sz w:val="17"/>
                <w:szCs w:val="17"/>
                <w:lang w:val="fr-BE"/>
              </w:rPr>
            </w:pPr>
          </w:p>
        </w:tc>
        <w:tc>
          <w:tcPr>
            <w:tcW w:w="220" w:type="dxa"/>
            <w:vAlign w:val="bottom"/>
          </w:tcPr>
          <w:p w:rsidR="00AC12B4" w:rsidRPr="00C27636" w:rsidRDefault="00AC12B4">
            <w:pPr>
              <w:rPr>
                <w:sz w:val="17"/>
                <w:szCs w:val="17"/>
                <w:lang w:val="fr-BE"/>
              </w:rPr>
            </w:pPr>
          </w:p>
        </w:tc>
        <w:tc>
          <w:tcPr>
            <w:tcW w:w="280" w:type="dxa"/>
            <w:vAlign w:val="bottom"/>
          </w:tcPr>
          <w:p w:rsidR="00AC12B4" w:rsidRPr="00C27636" w:rsidRDefault="00AC12B4">
            <w:pPr>
              <w:rPr>
                <w:sz w:val="17"/>
                <w:szCs w:val="17"/>
                <w:lang w:val="fr-BE"/>
              </w:rPr>
            </w:pPr>
          </w:p>
        </w:tc>
        <w:tc>
          <w:tcPr>
            <w:tcW w:w="860" w:type="dxa"/>
            <w:vAlign w:val="bottom"/>
          </w:tcPr>
          <w:p w:rsidR="00AC12B4" w:rsidRPr="00C27636" w:rsidRDefault="00AC12B4">
            <w:pPr>
              <w:rPr>
                <w:sz w:val="17"/>
                <w:szCs w:val="17"/>
                <w:lang w:val="fr-BE"/>
              </w:rPr>
            </w:pPr>
          </w:p>
        </w:tc>
        <w:tc>
          <w:tcPr>
            <w:tcW w:w="0" w:type="dxa"/>
            <w:vAlign w:val="bottom"/>
          </w:tcPr>
          <w:p w:rsidR="00AC12B4" w:rsidRPr="00C27636" w:rsidRDefault="00AC12B4">
            <w:pPr>
              <w:rPr>
                <w:sz w:val="1"/>
                <w:szCs w:val="1"/>
                <w:lang w:val="fr-BE"/>
              </w:rPr>
            </w:pPr>
          </w:p>
        </w:tc>
      </w:tr>
      <w:tr w:rsidR="00AC12B4" w:rsidRPr="00C27636">
        <w:trPr>
          <w:trHeight w:val="70"/>
        </w:trPr>
        <w:tc>
          <w:tcPr>
            <w:tcW w:w="3900" w:type="dxa"/>
            <w:gridSpan w:val="6"/>
            <w:vMerge/>
            <w:tcBorders>
              <w:left w:val="single" w:sz="8" w:space="0" w:color="CF9901"/>
            </w:tcBorders>
            <w:shd w:val="clear" w:color="auto" w:fill="FEC930"/>
            <w:vAlign w:val="bottom"/>
          </w:tcPr>
          <w:p w:rsidR="00AC12B4" w:rsidRPr="00C27636" w:rsidRDefault="00AC12B4">
            <w:pPr>
              <w:rPr>
                <w:sz w:val="6"/>
                <w:szCs w:val="6"/>
                <w:lang w:val="fr-BE"/>
              </w:rPr>
            </w:pPr>
          </w:p>
        </w:tc>
        <w:tc>
          <w:tcPr>
            <w:tcW w:w="440" w:type="dxa"/>
            <w:shd w:val="clear" w:color="auto" w:fill="FEC930"/>
            <w:vAlign w:val="bottom"/>
          </w:tcPr>
          <w:p w:rsidR="00AC12B4" w:rsidRPr="00C27636" w:rsidRDefault="00AC12B4">
            <w:pPr>
              <w:rPr>
                <w:sz w:val="6"/>
                <w:szCs w:val="6"/>
                <w:lang w:val="fr-BE"/>
              </w:rPr>
            </w:pPr>
          </w:p>
        </w:tc>
        <w:tc>
          <w:tcPr>
            <w:tcW w:w="200" w:type="dxa"/>
            <w:shd w:val="clear" w:color="auto" w:fill="FEC930"/>
            <w:vAlign w:val="bottom"/>
          </w:tcPr>
          <w:p w:rsidR="00AC12B4" w:rsidRPr="00C27636" w:rsidRDefault="00AC12B4">
            <w:pPr>
              <w:rPr>
                <w:sz w:val="6"/>
                <w:szCs w:val="6"/>
                <w:lang w:val="fr-BE"/>
              </w:rPr>
            </w:pPr>
          </w:p>
        </w:tc>
        <w:tc>
          <w:tcPr>
            <w:tcW w:w="80" w:type="dxa"/>
            <w:shd w:val="clear" w:color="auto" w:fill="FEC930"/>
            <w:vAlign w:val="bottom"/>
          </w:tcPr>
          <w:p w:rsidR="00AC12B4" w:rsidRPr="00C27636" w:rsidRDefault="00AC12B4">
            <w:pPr>
              <w:rPr>
                <w:sz w:val="6"/>
                <w:szCs w:val="6"/>
                <w:lang w:val="fr-BE"/>
              </w:rPr>
            </w:pPr>
          </w:p>
        </w:tc>
        <w:tc>
          <w:tcPr>
            <w:tcW w:w="1440" w:type="dxa"/>
            <w:shd w:val="clear" w:color="auto" w:fill="FEC930"/>
            <w:vAlign w:val="bottom"/>
          </w:tcPr>
          <w:p w:rsidR="00AC12B4" w:rsidRPr="00C27636" w:rsidRDefault="00AC12B4">
            <w:pPr>
              <w:rPr>
                <w:sz w:val="6"/>
                <w:szCs w:val="6"/>
                <w:lang w:val="fr-BE"/>
              </w:rPr>
            </w:pPr>
          </w:p>
        </w:tc>
        <w:tc>
          <w:tcPr>
            <w:tcW w:w="120" w:type="dxa"/>
            <w:tcBorders>
              <w:right w:val="single" w:sz="8" w:space="0" w:color="CF9901"/>
            </w:tcBorders>
            <w:shd w:val="clear" w:color="auto" w:fill="FEC930"/>
            <w:vAlign w:val="bottom"/>
          </w:tcPr>
          <w:p w:rsidR="00AC12B4" w:rsidRPr="00C27636" w:rsidRDefault="00AC12B4">
            <w:pPr>
              <w:rPr>
                <w:sz w:val="6"/>
                <w:szCs w:val="6"/>
                <w:lang w:val="fr-BE"/>
              </w:rPr>
            </w:pPr>
          </w:p>
        </w:tc>
        <w:tc>
          <w:tcPr>
            <w:tcW w:w="500" w:type="dxa"/>
            <w:vAlign w:val="bottom"/>
          </w:tcPr>
          <w:p w:rsidR="00AC12B4" w:rsidRPr="00C27636" w:rsidRDefault="00AC12B4">
            <w:pPr>
              <w:rPr>
                <w:sz w:val="6"/>
                <w:szCs w:val="6"/>
                <w:lang w:val="fr-BE"/>
              </w:rPr>
            </w:pPr>
          </w:p>
        </w:tc>
        <w:tc>
          <w:tcPr>
            <w:tcW w:w="300" w:type="dxa"/>
            <w:vAlign w:val="bottom"/>
          </w:tcPr>
          <w:p w:rsidR="00AC12B4" w:rsidRPr="00C27636" w:rsidRDefault="00AC12B4">
            <w:pPr>
              <w:rPr>
                <w:sz w:val="6"/>
                <w:szCs w:val="6"/>
                <w:lang w:val="fr-BE"/>
              </w:rPr>
            </w:pPr>
          </w:p>
        </w:tc>
        <w:tc>
          <w:tcPr>
            <w:tcW w:w="240" w:type="dxa"/>
            <w:vAlign w:val="bottom"/>
          </w:tcPr>
          <w:p w:rsidR="00AC12B4" w:rsidRPr="00C27636" w:rsidRDefault="00AC12B4">
            <w:pPr>
              <w:rPr>
                <w:sz w:val="6"/>
                <w:szCs w:val="6"/>
                <w:lang w:val="fr-BE"/>
              </w:rPr>
            </w:pPr>
          </w:p>
        </w:tc>
        <w:tc>
          <w:tcPr>
            <w:tcW w:w="240" w:type="dxa"/>
            <w:vAlign w:val="bottom"/>
          </w:tcPr>
          <w:p w:rsidR="00AC12B4" w:rsidRPr="00C27636" w:rsidRDefault="00AC12B4">
            <w:pPr>
              <w:rPr>
                <w:sz w:val="6"/>
                <w:szCs w:val="6"/>
                <w:lang w:val="fr-BE"/>
              </w:rPr>
            </w:pPr>
          </w:p>
        </w:tc>
        <w:tc>
          <w:tcPr>
            <w:tcW w:w="280" w:type="dxa"/>
            <w:vAlign w:val="bottom"/>
          </w:tcPr>
          <w:p w:rsidR="00AC12B4" w:rsidRPr="00C27636" w:rsidRDefault="00AC12B4">
            <w:pPr>
              <w:rPr>
                <w:sz w:val="6"/>
                <w:szCs w:val="6"/>
                <w:lang w:val="fr-BE"/>
              </w:rPr>
            </w:pPr>
          </w:p>
        </w:tc>
        <w:tc>
          <w:tcPr>
            <w:tcW w:w="500" w:type="dxa"/>
            <w:vAlign w:val="bottom"/>
          </w:tcPr>
          <w:p w:rsidR="00AC12B4" w:rsidRPr="00C27636" w:rsidRDefault="00AC12B4">
            <w:pPr>
              <w:rPr>
                <w:sz w:val="6"/>
                <w:szCs w:val="6"/>
                <w:lang w:val="fr-BE"/>
              </w:rPr>
            </w:pPr>
          </w:p>
        </w:tc>
        <w:tc>
          <w:tcPr>
            <w:tcW w:w="14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360" w:type="dxa"/>
            <w:vAlign w:val="bottom"/>
          </w:tcPr>
          <w:p w:rsidR="00AC12B4" w:rsidRPr="00C27636" w:rsidRDefault="00AC12B4">
            <w:pPr>
              <w:rPr>
                <w:sz w:val="6"/>
                <w:szCs w:val="6"/>
                <w:lang w:val="fr-BE"/>
              </w:rPr>
            </w:pPr>
          </w:p>
        </w:tc>
        <w:tc>
          <w:tcPr>
            <w:tcW w:w="80" w:type="dxa"/>
            <w:vAlign w:val="bottom"/>
          </w:tcPr>
          <w:p w:rsidR="00AC12B4" w:rsidRPr="00C27636" w:rsidRDefault="00AC12B4">
            <w:pPr>
              <w:rPr>
                <w:sz w:val="6"/>
                <w:szCs w:val="6"/>
                <w:lang w:val="fr-BE"/>
              </w:rPr>
            </w:pPr>
          </w:p>
        </w:tc>
        <w:tc>
          <w:tcPr>
            <w:tcW w:w="20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120" w:type="dxa"/>
            <w:vAlign w:val="bottom"/>
          </w:tcPr>
          <w:p w:rsidR="00AC12B4" w:rsidRPr="00C27636" w:rsidRDefault="00AC12B4">
            <w:pPr>
              <w:rPr>
                <w:sz w:val="6"/>
                <w:szCs w:val="6"/>
                <w:lang w:val="fr-BE"/>
              </w:rPr>
            </w:pPr>
          </w:p>
        </w:tc>
        <w:tc>
          <w:tcPr>
            <w:tcW w:w="220" w:type="dxa"/>
            <w:vAlign w:val="bottom"/>
          </w:tcPr>
          <w:p w:rsidR="00AC12B4" w:rsidRPr="00C27636" w:rsidRDefault="00AC12B4">
            <w:pPr>
              <w:rPr>
                <w:sz w:val="6"/>
                <w:szCs w:val="6"/>
                <w:lang w:val="fr-BE"/>
              </w:rPr>
            </w:pPr>
          </w:p>
        </w:tc>
        <w:tc>
          <w:tcPr>
            <w:tcW w:w="280" w:type="dxa"/>
            <w:vAlign w:val="bottom"/>
          </w:tcPr>
          <w:p w:rsidR="00AC12B4" w:rsidRPr="00C27636" w:rsidRDefault="00AC12B4">
            <w:pPr>
              <w:rPr>
                <w:sz w:val="6"/>
                <w:szCs w:val="6"/>
                <w:lang w:val="fr-BE"/>
              </w:rPr>
            </w:pPr>
          </w:p>
        </w:tc>
        <w:tc>
          <w:tcPr>
            <w:tcW w:w="860" w:type="dxa"/>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trPr>
          <w:trHeight w:val="284"/>
        </w:trPr>
        <w:tc>
          <w:tcPr>
            <w:tcW w:w="2140" w:type="dxa"/>
            <w:gridSpan w:val="2"/>
            <w:vMerge w:val="restart"/>
            <w:tcBorders>
              <w:left w:val="single" w:sz="8" w:space="0" w:color="CF9901"/>
            </w:tcBorders>
            <w:shd w:val="clear" w:color="auto" w:fill="FEC930"/>
            <w:vAlign w:val="bottom"/>
          </w:tcPr>
          <w:p w:rsidR="00AC12B4" w:rsidRDefault="00C27636">
            <w:pPr>
              <w:ind w:left="580"/>
              <w:rPr>
                <w:sz w:val="20"/>
                <w:szCs w:val="20"/>
              </w:rPr>
            </w:pPr>
            <w:r>
              <w:rPr>
                <w:rFonts w:ascii="Calibri" w:eastAsia="Calibri" w:hAnsi="Calibri" w:cs="Calibri"/>
                <w:color w:val="FFFFFF"/>
              </w:rPr>
              <w:t>Article 25</w:t>
            </w:r>
          </w:p>
        </w:tc>
        <w:tc>
          <w:tcPr>
            <w:tcW w:w="640" w:type="dxa"/>
            <w:shd w:val="clear" w:color="auto" w:fill="FEC930"/>
            <w:vAlign w:val="bottom"/>
          </w:tcPr>
          <w:p w:rsidR="00AC12B4" w:rsidRDefault="00AC12B4">
            <w:pPr>
              <w:rPr>
                <w:sz w:val="24"/>
                <w:szCs w:val="24"/>
              </w:rPr>
            </w:pPr>
          </w:p>
        </w:tc>
        <w:tc>
          <w:tcPr>
            <w:tcW w:w="480" w:type="dxa"/>
            <w:shd w:val="clear" w:color="auto" w:fill="FEC930"/>
            <w:vAlign w:val="bottom"/>
          </w:tcPr>
          <w:p w:rsidR="00AC12B4" w:rsidRDefault="00AC12B4">
            <w:pPr>
              <w:rPr>
                <w:sz w:val="24"/>
                <w:szCs w:val="24"/>
              </w:rPr>
            </w:pPr>
          </w:p>
        </w:tc>
        <w:tc>
          <w:tcPr>
            <w:tcW w:w="360" w:type="dxa"/>
            <w:shd w:val="clear" w:color="auto" w:fill="FEC930"/>
            <w:vAlign w:val="bottom"/>
          </w:tcPr>
          <w:p w:rsidR="00AC12B4" w:rsidRDefault="00AC12B4">
            <w:pPr>
              <w:rPr>
                <w:sz w:val="24"/>
                <w:szCs w:val="24"/>
              </w:rPr>
            </w:pPr>
          </w:p>
        </w:tc>
        <w:tc>
          <w:tcPr>
            <w:tcW w:w="280" w:type="dxa"/>
            <w:shd w:val="clear" w:color="auto" w:fill="FEC930"/>
            <w:vAlign w:val="bottom"/>
          </w:tcPr>
          <w:p w:rsidR="00AC12B4" w:rsidRDefault="00AC12B4">
            <w:pPr>
              <w:rPr>
                <w:sz w:val="24"/>
                <w:szCs w:val="24"/>
              </w:rPr>
            </w:pPr>
          </w:p>
        </w:tc>
        <w:tc>
          <w:tcPr>
            <w:tcW w:w="440" w:type="dxa"/>
            <w:shd w:val="clear" w:color="auto" w:fill="FEC930"/>
            <w:vAlign w:val="bottom"/>
          </w:tcPr>
          <w:p w:rsidR="00AC12B4" w:rsidRDefault="00AC12B4">
            <w:pPr>
              <w:rPr>
                <w:sz w:val="24"/>
                <w:szCs w:val="24"/>
              </w:rPr>
            </w:pPr>
          </w:p>
        </w:tc>
        <w:tc>
          <w:tcPr>
            <w:tcW w:w="200" w:type="dxa"/>
            <w:shd w:val="clear" w:color="auto" w:fill="FEC930"/>
            <w:vAlign w:val="bottom"/>
          </w:tcPr>
          <w:p w:rsidR="00AC12B4" w:rsidRDefault="00AC12B4">
            <w:pPr>
              <w:rPr>
                <w:sz w:val="24"/>
                <w:szCs w:val="24"/>
              </w:rPr>
            </w:pPr>
          </w:p>
        </w:tc>
        <w:tc>
          <w:tcPr>
            <w:tcW w:w="80" w:type="dxa"/>
            <w:shd w:val="clear" w:color="auto" w:fill="FEC930"/>
            <w:vAlign w:val="bottom"/>
          </w:tcPr>
          <w:p w:rsidR="00AC12B4" w:rsidRDefault="00AC12B4">
            <w:pPr>
              <w:rPr>
                <w:sz w:val="24"/>
                <w:szCs w:val="24"/>
              </w:rPr>
            </w:pPr>
          </w:p>
        </w:tc>
        <w:tc>
          <w:tcPr>
            <w:tcW w:w="1440" w:type="dxa"/>
            <w:shd w:val="clear" w:color="auto" w:fill="FEC930"/>
            <w:vAlign w:val="bottom"/>
          </w:tcPr>
          <w:p w:rsidR="00AC12B4" w:rsidRDefault="00AC12B4">
            <w:pPr>
              <w:rPr>
                <w:sz w:val="24"/>
                <w:szCs w:val="24"/>
              </w:rPr>
            </w:pPr>
          </w:p>
        </w:tc>
        <w:tc>
          <w:tcPr>
            <w:tcW w:w="120" w:type="dxa"/>
            <w:tcBorders>
              <w:right w:val="single" w:sz="8" w:space="0" w:color="CF9901"/>
            </w:tcBorders>
            <w:shd w:val="clear" w:color="auto" w:fill="FEC930"/>
            <w:vAlign w:val="bottom"/>
          </w:tcPr>
          <w:p w:rsidR="00AC12B4" w:rsidRDefault="00AC12B4">
            <w:pPr>
              <w:rPr>
                <w:sz w:val="24"/>
                <w:szCs w:val="24"/>
              </w:rPr>
            </w:pPr>
          </w:p>
        </w:tc>
        <w:tc>
          <w:tcPr>
            <w:tcW w:w="500" w:type="dxa"/>
            <w:vAlign w:val="bottom"/>
          </w:tcPr>
          <w:p w:rsidR="00AC12B4" w:rsidRDefault="00C27636">
            <w:pPr>
              <w:ind w:left="180"/>
              <w:rPr>
                <w:sz w:val="20"/>
                <w:szCs w:val="20"/>
              </w:rPr>
            </w:pPr>
            <w:r>
              <w:rPr>
                <w:rFonts w:ascii="Calibri" w:eastAsia="Calibri" w:hAnsi="Calibri" w:cs="Calibri"/>
                <w:w w:val="99"/>
              </w:rPr>
              <w:t>Cet</w:t>
            </w:r>
          </w:p>
        </w:tc>
        <w:tc>
          <w:tcPr>
            <w:tcW w:w="3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1280" w:type="dxa"/>
            <w:gridSpan w:val="5"/>
            <w:vAlign w:val="bottom"/>
          </w:tcPr>
          <w:p w:rsidR="00AC12B4" w:rsidRDefault="00C27636">
            <w:pPr>
              <w:ind w:right="140"/>
              <w:jc w:val="right"/>
              <w:rPr>
                <w:sz w:val="20"/>
                <w:szCs w:val="20"/>
              </w:rPr>
            </w:pPr>
            <w:r>
              <w:rPr>
                <w:rFonts w:ascii="Calibri" w:eastAsia="Calibri" w:hAnsi="Calibri" w:cs="Calibri"/>
              </w:rPr>
              <w:t>indicateur</w:t>
            </w:r>
          </w:p>
        </w:tc>
        <w:tc>
          <w:tcPr>
            <w:tcW w:w="36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1800" w:type="dxa"/>
            <w:gridSpan w:val="6"/>
            <w:vAlign w:val="bottom"/>
          </w:tcPr>
          <w:p w:rsidR="00AC12B4" w:rsidRDefault="00C27636">
            <w:pPr>
              <w:ind w:right="700"/>
              <w:jc w:val="right"/>
              <w:rPr>
                <w:sz w:val="20"/>
                <w:szCs w:val="20"/>
              </w:rPr>
            </w:pPr>
            <w:r>
              <w:rPr>
                <w:rFonts w:ascii="Calibri" w:eastAsia="Calibri" w:hAnsi="Calibri" w:cs="Calibri"/>
              </w:rPr>
              <w:t>s’intéresse</w:t>
            </w:r>
          </w:p>
        </w:tc>
        <w:tc>
          <w:tcPr>
            <w:tcW w:w="0" w:type="dxa"/>
            <w:vAlign w:val="bottom"/>
          </w:tcPr>
          <w:p w:rsidR="00AC12B4" w:rsidRDefault="00AC12B4">
            <w:pPr>
              <w:rPr>
                <w:sz w:val="1"/>
                <w:szCs w:val="1"/>
              </w:rPr>
            </w:pPr>
          </w:p>
        </w:tc>
      </w:tr>
      <w:tr w:rsidR="00AC12B4">
        <w:trPr>
          <w:trHeight w:val="103"/>
        </w:trPr>
        <w:tc>
          <w:tcPr>
            <w:tcW w:w="2140" w:type="dxa"/>
            <w:gridSpan w:val="2"/>
            <w:vMerge/>
            <w:tcBorders>
              <w:left w:val="single" w:sz="8" w:space="0" w:color="CF9901"/>
            </w:tcBorders>
            <w:shd w:val="clear" w:color="auto" w:fill="FEC930"/>
            <w:vAlign w:val="bottom"/>
          </w:tcPr>
          <w:p w:rsidR="00AC12B4" w:rsidRDefault="00AC12B4">
            <w:pPr>
              <w:rPr>
                <w:sz w:val="8"/>
                <w:szCs w:val="8"/>
              </w:rPr>
            </w:pPr>
          </w:p>
        </w:tc>
        <w:tc>
          <w:tcPr>
            <w:tcW w:w="640" w:type="dxa"/>
            <w:shd w:val="clear" w:color="auto" w:fill="FEC930"/>
            <w:vAlign w:val="bottom"/>
          </w:tcPr>
          <w:p w:rsidR="00AC12B4" w:rsidRDefault="00AC12B4">
            <w:pPr>
              <w:rPr>
                <w:sz w:val="8"/>
                <w:szCs w:val="8"/>
              </w:rPr>
            </w:pPr>
          </w:p>
        </w:tc>
        <w:tc>
          <w:tcPr>
            <w:tcW w:w="480" w:type="dxa"/>
            <w:shd w:val="clear" w:color="auto" w:fill="FEC930"/>
            <w:vAlign w:val="bottom"/>
          </w:tcPr>
          <w:p w:rsidR="00AC12B4" w:rsidRDefault="00AC12B4">
            <w:pPr>
              <w:rPr>
                <w:sz w:val="8"/>
                <w:szCs w:val="8"/>
              </w:rPr>
            </w:pPr>
          </w:p>
        </w:tc>
        <w:tc>
          <w:tcPr>
            <w:tcW w:w="360" w:type="dxa"/>
            <w:shd w:val="clear" w:color="auto" w:fill="FEC930"/>
            <w:vAlign w:val="bottom"/>
          </w:tcPr>
          <w:p w:rsidR="00AC12B4" w:rsidRDefault="00AC12B4">
            <w:pPr>
              <w:rPr>
                <w:sz w:val="8"/>
                <w:szCs w:val="8"/>
              </w:rPr>
            </w:pPr>
          </w:p>
        </w:tc>
        <w:tc>
          <w:tcPr>
            <w:tcW w:w="280" w:type="dxa"/>
            <w:shd w:val="clear" w:color="auto" w:fill="FEC930"/>
            <w:vAlign w:val="bottom"/>
          </w:tcPr>
          <w:p w:rsidR="00AC12B4" w:rsidRDefault="00AC12B4">
            <w:pPr>
              <w:rPr>
                <w:sz w:val="8"/>
                <w:szCs w:val="8"/>
              </w:rPr>
            </w:pPr>
          </w:p>
        </w:tc>
        <w:tc>
          <w:tcPr>
            <w:tcW w:w="440" w:type="dxa"/>
            <w:shd w:val="clear" w:color="auto" w:fill="FEC930"/>
            <w:vAlign w:val="bottom"/>
          </w:tcPr>
          <w:p w:rsidR="00AC12B4" w:rsidRDefault="00AC12B4">
            <w:pPr>
              <w:rPr>
                <w:sz w:val="8"/>
                <w:szCs w:val="8"/>
              </w:rPr>
            </w:pPr>
          </w:p>
        </w:tc>
        <w:tc>
          <w:tcPr>
            <w:tcW w:w="200" w:type="dxa"/>
            <w:shd w:val="clear" w:color="auto" w:fill="FEC930"/>
            <w:vAlign w:val="bottom"/>
          </w:tcPr>
          <w:p w:rsidR="00AC12B4" w:rsidRDefault="00AC12B4">
            <w:pPr>
              <w:rPr>
                <w:sz w:val="8"/>
                <w:szCs w:val="8"/>
              </w:rPr>
            </w:pPr>
          </w:p>
        </w:tc>
        <w:tc>
          <w:tcPr>
            <w:tcW w:w="80" w:type="dxa"/>
            <w:shd w:val="clear" w:color="auto" w:fill="FEC930"/>
            <w:vAlign w:val="bottom"/>
          </w:tcPr>
          <w:p w:rsidR="00AC12B4" w:rsidRDefault="00AC12B4">
            <w:pPr>
              <w:rPr>
                <w:sz w:val="8"/>
                <w:szCs w:val="8"/>
              </w:rPr>
            </w:pPr>
          </w:p>
        </w:tc>
        <w:tc>
          <w:tcPr>
            <w:tcW w:w="1440" w:type="dxa"/>
            <w:shd w:val="clear" w:color="auto" w:fill="FEC930"/>
            <w:vAlign w:val="bottom"/>
          </w:tcPr>
          <w:p w:rsidR="00AC12B4" w:rsidRDefault="00AC12B4">
            <w:pPr>
              <w:rPr>
                <w:sz w:val="8"/>
                <w:szCs w:val="8"/>
              </w:rPr>
            </w:pPr>
          </w:p>
        </w:tc>
        <w:tc>
          <w:tcPr>
            <w:tcW w:w="120" w:type="dxa"/>
            <w:tcBorders>
              <w:right w:val="single" w:sz="8" w:space="0" w:color="CF9901"/>
            </w:tcBorders>
            <w:shd w:val="clear" w:color="auto" w:fill="FEC930"/>
            <w:vAlign w:val="bottom"/>
          </w:tcPr>
          <w:p w:rsidR="00AC12B4" w:rsidRDefault="00AC12B4">
            <w:pPr>
              <w:rPr>
                <w:sz w:val="8"/>
                <w:szCs w:val="8"/>
              </w:rPr>
            </w:pPr>
          </w:p>
        </w:tc>
        <w:tc>
          <w:tcPr>
            <w:tcW w:w="3420" w:type="dxa"/>
            <w:gridSpan w:val="14"/>
            <w:vMerge w:val="restart"/>
            <w:vAlign w:val="bottom"/>
          </w:tcPr>
          <w:p w:rsidR="00AC12B4" w:rsidRDefault="00C27636">
            <w:pPr>
              <w:ind w:left="180"/>
              <w:rPr>
                <w:sz w:val="20"/>
                <w:szCs w:val="20"/>
              </w:rPr>
            </w:pPr>
            <w:r>
              <w:rPr>
                <w:rFonts w:ascii="Calibri" w:eastAsia="Calibri" w:hAnsi="Calibri" w:cs="Calibri"/>
              </w:rPr>
              <w:t>particulièrement aux placements</w:t>
            </w:r>
          </w:p>
        </w:tc>
        <w:tc>
          <w:tcPr>
            <w:tcW w:w="1140" w:type="dxa"/>
            <w:gridSpan w:val="2"/>
            <w:vMerge w:val="restart"/>
            <w:vAlign w:val="bottom"/>
          </w:tcPr>
          <w:p w:rsidR="00AC12B4" w:rsidRDefault="00C27636">
            <w:pPr>
              <w:ind w:right="700"/>
              <w:jc w:val="right"/>
              <w:rPr>
                <w:sz w:val="20"/>
                <w:szCs w:val="20"/>
              </w:rPr>
            </w:pPr>
            <w:r>
              <w:rPr>
                <w:rFonts w:ascii="Calibri" w:eastAsia="Calibri" w:hAnsi="Calibri" w:cs="Calibri"/>
                <w:w w:val="98"/>
              </w:rPr>
              <w:t>di</w:t>
            </w:r>
            <w:r>
              <w:rPr>
                <w:rFonts w:ascii="Calibri" w:eastAsia="Calibri" w:hAnsi="Calibri" w:cs="Calibri"/>
                <w:w w:val="98"/>
              </w:rPr>
              <w:lastRenderedPageBreak/>
              <w:t>ts</w:t>
            </w:r>
          </w:p>
        </w:tc>
        <w:tc>
          <w:tcPr>
            <w:tcW w:w="0" w:type="dxa"/>
            <w:vAlign w:val="bottom"/>
          </w:tcPr>
          <w:p w:rsidR="00AC12B4" w:rsidRDefault="00AC12B4">
            <w:pPr>
              <w:rPr>
                <w:sz w:val="1"/>
                <w:szCs w:val="1"/>
              </w:rPr>
            </w:pPr>
          </w:p>
        </w:tc>
      </w:tr>
      <w:tr w:rsidR="00AC12B4">
        <w:trPr>
          <w:trHeight w:val="166"/>
        </w:trPr>
        <w:tc>
          <w:tcPr>
            <w:tcW w:w="1460" w:type="dxa"/>
            <w:tcBorders>
              <w:left w:val="single" w:sz="8" w:space="0" w:color="CF9901"/>
            </w:tcBorders>
            <w:shd w:val="clear" w:color="auto" w:fill="FEC930"/>
            <w:vAlign w:val="bottom"/>
          </w:tcPr>
          <w:p w:rsidR="00AC12B4" w:rsidRDefault="00AC12B4">
            <w:pPr>
              <w:rPr>
                <w:sz w:val="14"/>
                <w:szCs w:val="14"/>
              </w:rPr>
            </w:pPr>
          </w:p>
        </w:tc>
        <w:tc>
          <w:tcPr>
            <w:tcW w:w="680" w:type="dxa"/>
            <w:shd w:val="clear" w:color="auto" w:fill="FEC930"/>
            <w:vAlign w:val="bottom"/>
          </w:tcPr>
          <w:p w:rsidR="00AC12B4" w:rsidRDefault="00AC12B4">
            <w:pPr>
              <w:rPr>
                <w:sz w:val="14"/>
                <w:szCs w:val="14"/>
              </w:rPr>
            </w:pPr>
          </w:p>
        </w:tc>
        <w:tc>
          <w:tcPr>
            <w:tcW w:w="640" w:type="dxa"/>
            <w:shd w:val="clear" w:color="auto" w:fill="FEC930"/>
            <w:vAlign w:val="bottom"/>
          </w:tcPr>
          <w:p w:rsidR="00AC12B4" w:rsidRDefault="00AC12B4">
            <w:pPr>
              <w:rPr>
                <w:sz w:val="14"/>
                <w:szCs w:val="14"/>
              </w:rPr>
            </w:pPr>
          </w:p>
        </w:tc>
        <w:tc>
          <w:tcPr>
            <w:tcW w:w="480" w:type="dxa"/>
            <w:shd w:val="clear" w:color="auto" w:fill="FEC930"/>
            <w:vAlign w:val="bottom"/>
          </w:tcPr>
          <w:p w:rsidR="00AC12B4" w:rsidRDefault="00AC12B4">
            <w:pPr>
              <w:rPr>
                <w:sz w:val="14"/>
                <w:szCs w:val="14"/>
              </w:rPr>
            </w:pPr>
          </w:p>
        </w:tc>
        <w:tc>
          <w:tcPr>
            <w:tcW w:w="360" w:type="dxa"/>
            <w:shd w:val="clear" w:color="auto" w:fill="FEC930"/>
            <w:vAlign w:val="bottom"/>
          </w:tcPr>
          <w:p w:rsidR="00AC12B4" w:rsidRDefault="00AC12B4">
            <w:pPr>
              <w:rPr>
                <w:sz w:val="14"/>
                <w:szCs w:val="14"/>
              </w:rPr>
            </w:pPr>
          </w:p>
        </w:tc>
        <w:tc>
          <w:tcPr>
            <w:tcW w:w="280" w:type="dxa"/>
            <w:shd w:val="clear" w:color="auto" w:fill="FEC930"/>
            <w:vAlign w:val="bottom"/>
          </w:tcPr>
          <w:p w:rsidR="00AC12B4" w:rsidRDefault="00AC12B4">
            <w:pPr>
              <w:rPr>
                <w:sz w:val="14"/>
                <w:szCs w:val="14"/>
              </w:rPr>
            </w:pPr>
          </w:p>
        </w:tc>
        <w:tc>
          <w:tcPr>
            <w:tcW w:w="440" w:type="dxa"/>
            <w:shd w:val="clear" w:color="auto" w:fill="FEC930"/>
            <w:vAlign w:val="bottom"/>
          </w:tcPr>
          <w:p w:rsidR="00AC12B4" w:rsidRDefault="00AC12B4">
            <w:pPr>
              <w:rPr>
                <w:sz w:val="14"/>
                <w:szCs w:val="14"/>
              </w:rPr>
            </w:pPr>
          </w:p>
        </w:tc>
        <w:tc>
          <w:tcPr>
            <w:tcW w:w="200" w:type="dxa"/>
            <w:shd w:val="clear" w:color="auto" w:fill="FEC930"/>
            <w:vAlign w:val="bottom"/>
          </w:tcPr>
          <w:p w:rsidR="00AC12B4" w:rsidRDefault="00AC12B4">
            <w:pPr>
              <w:rPr>
                <w:sz w:val="14"/>
                <w:szCs w:val="14"/>
              </w:rPr>
            </w:pPr>
          </w:p>
        </w:tc>
        <w:tc>
          <w:tcPr>
            <w:tcW w:w="80" w:type="dxa"/>
            <w:shd w:val="clear" w:color="auto" w:fill="FEC930"/>
            <w:vAlign w:val="bottom"/>
          </w:tcPr>
          <w:p w:rsidR="00AC12B4" w:rsidRDefault="00AC12B4">
            <w:pPr>
              <w:rPr>
                <w:sz w:val="14"/>
                <w:szCs w:val="14"/>
              </w:rPr>
            </w:pPr>
          </w:p>
        </w:tc>
        <w:tc>
          <w:tcPr>
            <w:tcW w:w="1440" w:type="dxa"/>
            <w:shd w:val="clear" w:color="auto" w:fill="FEC930"/>
            <w:vAlign w:val="bottom"/>
          </w:tcPr>
          <w:p w:rsidR="00AC12B4" w:rsidRDefault="00AC12B4">
            <w:pPr>
              <w:rPr>
                <w:sz w:val="14"/>
                <w:szCs w:val="14"/>
              </w:rPr>
            </w:pPr>
          </w:p>
        </w:tc>
        <w:tc>
          <w:tcPr>
            <w:tcW w:w="120" w:type="dxa"/>
            <w:tcBorders>
              <w:right w:val="single" w:sz="8" w:space="0" w:color="CF9901"/>
            </w:tcBorders>
            <w:shd w:val="clear" w:color="auto" w:fill="FEC930"/>
            <w:vAlign w:val="bottom"/>
          </w:tcPr>
          <w:p w:rsidR="00AC12B4" w:rsidRDefault="00AC12B4">
            <w:pPr>
              <w:rPr>
                <w:sz w:val="14"/>
                <w:szCs w:val="14"/>
              </w:rPr>
            </w:pPr>
          </w:p>
        </w:tc>
        <w:tc>
          <w:tcPr>
            <w:tcW w:w="3420" w:type="dxa"/>
            <w:gridSpan w:val="14"/>
            <w:vMerge/>
            <w:vAlign w:val="bottom"/>
          </w:tcPr>
          <w:p w:rsidR="00AC12B4" w:rsidRDefault="00AC12B4">
            <w:pPr>
              <w:rPr>
                <w:sz w:val="14"/>
                <w:szCs w:val="14"/>
              </w:rPr>
            </w:pPr>
          </w:p>
        </w:tc>
        <w:tc>
          <w:tcPr>
            <w:tcW w:w="1140" w:type="dxa"/>
            <w:gridSpan w:val="2"/>
            <w:vMerge/>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rsidRPr="00C27636">
        <w:trPr>
          <w:trHeight w:val="269"/>
        </w:trPr>
        <w:tc>
          <w:tcPr>
            <w:tcW w:w="6060" w:type="dxa"/>
            <w:gridSpan w:val="10"/>
            <w:tcBorders>
              <w:left w:val="single" w:sz="8" w:space="0" w:color="CF9901"/>
            </w:tcBorders>
            <w:shd w:val="clear" w:color="auto" w:fill="FEC930"/>
            <w:vAlign w:val="bottom"/>
          </w:tcPr>
          <w:p w:rsidR="00AC12B4" w:rsidRPr="00C27636" w:rsidRDefault="00C27636">
            <w:pPr>
              <w:spacing w:line="223" w:lineRule="exact"/>
              <w:ind w:left="580"/>
              <w:rPr>
                <w:sz w:val="20"/>
                <w:szCs w:val="20"/>
                <w:lang w:val="fr-BE"/>
              </w:rPr>
            </w:pPr>
            <w:r w:rsidRPr="00C27636">
              <w:rPr>
                <w:rFonts w:ascii="Calibri" w:eastAsia="Calibri" w:hAnsi="Calibri" w:cs="Calibri"/>
                <w:color w:val="FFFFFF"/>
                <w:lang w:val="fr-BE"/>
              </w:rPr>
              <w:lastRenderedPageBreak/>
              <w:t>Les Etats parties reconnaissent à l’enfant qui a été placé par</w:t>
            </w:r>
          </w:p>
        </w:tc>
        <w:tc>
          <w:tcPr>
            <w:tcW w:w="120" w:type="dxa"/>
            <w:tcBorders>
              <w:right w:val="single" w:sz="8" w:space="0" w:color="CF9901"/>
            </w:tcBorders>
            <w:shd w:val="clear" w:color="auto" w:fill="FEC930"/>
            <w:vAlign w:val="bottom"/>
          </w:tcPr>
          <w:p w:rsidR="00AC12B4" w:rsidRPr="00C27636" w:rsidRDefault="00AC12B4">
            <w:pPr>
              <w:rPr>
                <w:sz w:val="23"/>
                <w:szCs w:val="23"/>
                <w:lang w:val="fr-BE"/>
              </w:rPr>
            </w:pPr>
          </w:p>
        </w:tc>
        <w:tc>
          <w:tcPr>
            <w:tcW w:w="2960" w:type="dxa"/>
            <w:gridSpan w:val="11"/>
            <w:vAlign w:val="bottom"/>
          </w:tcPr>
          <w:p w:rsidR="00AC12B4" w:rsidRPr="00C27636" w:rsidRDefault="00C27636">
            <w:pPr>
              <w:ind w:left="180"/>
              <w:rPr>
                <w:sz w:val="20"/>
                <w:szCs w:val="20"/>
                <w:lang w:val="fr-BE"/>
              </w:rPr>
            </w:pPr>
            <w:r w:rsidRPr="00C27636">
              <w:rPr>
                <w:rFonts w:ascii="Calibri" w:eastAsia="Calibri" w:hAnsi="Calibri" w:cs="Calibri"/>
                <w:w w:val="99"/>
                <w:lang w:val="fr-BE"/>
              </w:rPr>
              <w:t>de longue durée (plus de 1 an).</w:t>
            </w:r>
          </w:p>
        </w:tc>
        <w:tc>
          <w:tcPr>
            <w:tcW w:w="1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8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23"/>
        </w:trPr>
        <w:tc>
          <w:tcPr>
            <w:tcW w:w="3620" w:type="dxa"/>
            <w:gridSpan w:val="5"/>
            <w:tcBorders>
              <w:left w:val="single" w:sz="8" w:space="0" w:color="CF9901"/>
            </w:tcBorders>
            <w:shd w:val="clear" w:color="auto" w:fill="FEC930"/>
            <w:vAlign w:val="bottom"/>
          </w:tcPr>
          <w:p w:rsidR="00AC12B4" w:rsidRDefault="00C27636">
            <w:pPr>
              <w:spacing w:line="223" w:lineRule="exact"/>
              <w:ind w:left="580"/>
              <w:rPr>
                <w:sz w:val="20"/>
                <w:szCs w:val="20"/>
              </w:rPr>
            </w:pPr>
            <w:r>
              <w:rPr>
                <w:rFonts w:ascii="Calibri" w:eastAsia="Calibri" w:hAnsi="Calibri" w:cs="Calibri"/>
                <w:color w:val="FFFFFF"/>
              </w:rPr>
              <w:t>les autorités compétentes pour</w:t>
            </w:r>
          </w:p>
        </w:tc>
        <w:tc>
          <w:tcPr>
            <w:tcW w:w="920" w:type="dxa"/>
            <w:gridSpan w:val="3"/>
            <w:shd w:val="clear" w:color="auto" w:fill="FEC930"/>
            <w:vAlign w:val="bottom"/>
          </w:tcPr>
          <w:p w:rsidR="00AC12B4" w:rsidRDefault="00C27636">
            <w:pPr>
              <w:spacing w:line="223" w:lineRule="exact"/>
              <w:ind w:left="120"/>
              <w:rPr>
                <w:sz w:val="20"/>
                <w:szCs w:val="20"/>
              </w:rPr>
            </w:pPr>
            <w:r>
              <w:rPr>
                <w:rFonts w:ascii="Calibri" w:eastAsia="Calibri" w:hAnsi="Calibri" w:cs="Calibri"/>
                <w:color w:val="FFFFFF"/>
              </w:rPr>
              <w:t>recevoir</w:t>
            </w:r>
          </w:p>
        </w:tc>
        <w:tc>
          <w:tcPr>
            <w:tcW w:w="1520" w:type="dxa"/>
            <w:gridSpan w:val="2"/>
            <w:shd w:val="clear" w:color="auto" w:fill="FEC930"/>
            <w:vAlign w:val="bottom"/>
          </w:tcPr>
          <w:p w:rsidR="00AC12B4" w:rsidRDefault="00C27636">
            <w:pPr>
              <w:spacing w:line="223" w:lineRule="exact"/>
              <w:jc w:val="right"/>
              <w:rPr>
                <w:sz w:val="20"/>
                <w:szCs w:val="20"/>
              </w:rPr>
            </w:pPr>
            <w:r>
              <w:rPr>
                <w:rFonts w:ascii="Calibri" w:eastAsia="Calibri" w:hAnsi="Calibri" w:cs="Calibri"/>
                <w:color w:val="FFFFFF"/>
              </w:rPr>
              <w:t>des soins, une</w:t>
            </w:r>
          </w:p>
        </w:tc>
        <w:tc>
          <w:tcPr>
            <w:tcW w:w="120" w:type="dxa"/>
            <w:tcBorders>
              <w:right w:val="single" w:sz="8" w:space="0" w:color="CF9901"/>
            </w:tcBorders>
            <w:shd w:val="clear" w:color="auto" w:fill="FEC930"/>
            <w:vAlign w:val="bottom"/>
          </w:tcPr>
          <w:p w:rsidR="00AC12B4" w:rsidRDefault="00AC12B4">
            <w:pPr>
              <w:rPr>
                <w:sz w:val="19"/>
                <w:szCs w:val="19"/>
              </w:rPr>
            </w:pPr>
          </w:p>
        </w:tc>
        <w:tc>
          <w:tcPr>
            <w:tcW w:w="500" w:type="dxa"/>
            <w:vMerge w:val="restart"/>
            <w:vAlign w:val="bottom"/>
          </w:tcPr>
          <w:p w:rsidR="00AC12B4" w:rsidRDefault="00C27636">
            <w:pPr>
              <w:ind w:left="180"/>
              <w:rPr>
                <w:sz w:val="20"/>
                <w:szCs w:val="20"/>
              </w:rPr>
            </w:pPr>
            <w:r>
              <w:rPr>
                <w:rFonts w:ascii="Calibri" w:eastAsia="Calibri" w:hAnsi="Calibri" w:cs="Calibri"/>
              </w:rPr>
              <w:t>En</w:t>
            </w:r>
          </w:p>
        </w:tc>
        <w:tc>
          <w:tcPr>
            <w:tcW w:w="540" w:type="dxa"/>
            <w:gridSpan w:val="2"/>
            <w:vMerge w:val="restart"/>
            <w:vAlign w:val="bottom"/>
          </w:tcPr>
          <w:p w:rsidR="00AC12B4" w:rsidRDefault="00C27636">
            <w:pPr>
              <w:ind w:left="20"/>
              <w:rPr>
                <w:sz w:val="20"/>
                <w:szCs w:val="20"/>
              </w:rPr>
            </w:pPr>
            <w:r>
              <w:rPr>
                <w:rFonts w:ascii="Calibri" w:eastAsia="Calibri" w:hAnsi="Calibri" w:cs="Calibri"/>
              </w:rPr>
              <w:t>FWB,</w:t>
            </w:r>
          </w:p>
        </w:tc>
        <w:tc>
          <w:tcPr>
            <w:tcW w:w="1020" w:type="dxa"/>
            <w:gridSpan w:val="3"/>
            <w:vMerge w:val="restart"/>
            <w:vAlign w:val="bottom"/>
          </w:tcPr>
          <w:p w:rsidR="00AC12B4" w:rsidRDefault="00C27636">
            <w:pPr>
              <w:jc w:val="right"/>
              <w:rPr>
                <w:sz w:val="20"/>
                <w:szCs w:val="20"/>
              </w:rPr>
            </w:pPr>
            <w:r>
              <w:rPr>
                <w:rFonts w:ascii="Calibri" w:eastAsia="Calibri" w:hAnsi="Calibri" w:cs="Calibri"/>
              </w:rPr>
              <w:t>un jeune</w:t>
            </w:r>
          </w:p>
        </w:tc>
        <w:tc>
          <w:tcPr>
            <w:tcW w:w="900" w:type="dxa"/>
            <w:gridSpan w:val="5"/>
            <w:vMerge w:val="restart"/>
            <w:vAlign w:val="bottom"/>
          </w:tcPr>
          <w:p w:rsidR="00AC12B4" w:rsidRDefault="00C27636">
            <w:pPr>
              <w:jc w:val="center"/>
              <w:rPr>
                <w:sz w:val="20"/>
                <w:szCs w:val="20"/>
              </w:rPr>
            </w:pPr>
            <w:r>
              <w:rPr>
                <w:rFonts w:ascii="Calibri" w:eastAsia="Calibri" w:hAnsi="Calibri" w:cs="Calibri"/>
              </w:rPr>
              <w:t>sur deux</w:t>
            </w:r>
          </w:p>
        </w:tc>
        <w:tc>
          <w:tcPr>
            <w:tcW w:w="460" w:type="dxa"/>
            <w:gridSpan w:val="3"/>
            <w:vMerge w:val="restart"/>
            <w:vAlign w:val="bottom"/>
          </w:tcPr>
          <w:p w:rsidR="00AC12B4" w:rsidRDefault="00C27636">
            <w:pPr>
              <w:ind w:left="120"/>
              <w:rPr>
                <w:sz w:val="20"/>
                <w:szCs w:val="20"/>
              </w:rPr>
            </w:pPr>
            <w:r>
              <w:rPr>
                <w:rFonts w:ascii="Calibri" w:eastAsia="Calibri" w:hAnsi="Calibri" w:cs="Calibri"/>
                <w:w w:val="97"/>
              </w:rPr>
              <w:t>pris</w:t>
            </w:r>
          </w:p>
        </w:tc>
        <w:tc>
          <w:tcPr>
            <w:tcW w:w="1140" w:type="dxa"/>
            <w:gridSpan w:val="2"/>
            <w:vMerge w:val="restart"/>
            <w:vAlign w:val="bottom"/>
          </w:tcPr>
          <w:p w:rsidR="00AC12B4" w:rsidRDefault="00C27636">
            <w:pPr>
              <w:ind w:right="720"/>
              <w:jc w:val="right"/>
              <w:rPr>
                <w:sz w:val="20"/>
                <w:szCs w:val="20"/>
              </w:rPr>
            </w:pPr>
            <w:r>
              <w:rPr>
                <w:rFonts w:ascii="Calibri" w:eastAsia="Calibri" w:hAnsi="Calibri" w:cs="Calibri"/>
              </w:rPr>
              <w:t>en</w:t>
            </w:r>
          </w:p>
        </w:tc>
        <w:tc>
          <w:tcPr>
            <w:tcW w:w="0" w:type="dxa"/>
            <w:vAlign w:val="bottom"/>
          </w:tcPr>
          <w:p w:rsidR="00AC12B4" w:rsidRDefault="00AC12B4">
            <w:pPr>
              <w:rPr>
                <w:sz w:val="1"/>
                <w:szCs w:val="1"/>
              </w:rPr>
            </w:pPr>
          </w:p>
        </w:tc>
      </w:tr>
      <w:tr w:rsidR="00AC12B4" w:rsidRPr="00C27636">
        <w:trPr>
          <w:trHeight w:val="166"/>
        </w:trPr>
        <w:tc>
          <w:tcPr>
            <w:tcW w:w="606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color w:val="FFFFFF"/>
                <w:lang w:val="fr-BE"/>
              </w:rPr>
              <w:t>protection ou un traitement physique ou mental, le droit à</w:t>
            </w:r>
          </w:p>
        </w:tc>
        <w:tc>
          <w:tcPr>
            <w:tcW w:w="12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500" w:type="dxa"/>
            <w:vMerge/>
            <w:vAlign w:val="bottom"/>
          </w:tcPr>
          <w:p w:rsidR="00AC12B4" w:rsidRPr="00C27636" w:rsidRDefault="00AC12B4">
            <w:pPr>
              <w:rPr>
                <w:sz w:val="14"/>
                <w:szCs w:val="14"/>
                <w:lang w:val="fr-BE"/>
              </w:rPr>
            </w:pPr>
          </w:p>
        </w:tc>
        <w:tc>
          <w:tcPr>
            <w:tcW w:w="540" w:type="dxa"/>
            <w:gridSpan w:val="2"/>
            <w:vMerge/>
            <w:vAlign w:val="bottom"/>
          </w:tcPr>
          <w:p w:rsidR="00AC12B4" w:rsidRPr="00C27636" w:rsidRDefault="00AC12B4">
            <w:pPr>
              <w:rPr>
                <w:sz w:val="14"/>
                <w:szCs w:val="14"/>
                <w:lang w:val="fr-BE"/>
              </w:rPr>
            </w:pPr>
          </w:p>
        </w:tc>
        <w:tc>
          <w:tcPr>
            <w:tcW w:w="1020" w:type="dxa"/>
            <w:gridSpan w:val="3"/>
            <w:vMerge/>
            <w:vAlign w:val="bottom"/>
          </w:tcPr>
          <w:p w:rsidR="00AC12B4" w:rsidRPr="00C27636" w:rsidRDefault="00AC12B4">
            <w:pPr>
              <w:rPr>
                <w:sz w:val="14"/>
                <w:szCs w:val="14"/>
                <w:lang w:val="fr-BE"/>
              </w:rPr>
            </w:pPr>
          </w:p>
        </w:tc>
        <w:tc>
          <w:tcPr>
            <w:tcW w:w="900" w:type="dxa"/>
            <w:gridSpan w:val="5"/>
            <w:vMerge/>
            <w:vAlign w:val="bottom"/>
          </w:tcPr>
          <w:p w:rsidR="00AC12B4" w:rsidRPr="00C27636" w:rsidRDefault="00AC12B4">
            <w:pPr>
              <w:rPr>
                <w:sz w:val="14"/>
                <w:szCs w:val="14"/>
                <w:lang w:val="fr-BE"/>
              </w:rPr>
            </w:pPr>
          </w:p>
        </w:tc>
        <w:tc>
          <w:tcPr>
            <w:tcW w:w="460" w:type="dxa"/>
            <w:gridSpan w:val="3"/>
            <w:vMerge/>
            <w:vAlign w:val="bottom"/>
          </w:tcPr>
          <w:p w:rsidR="00AC12B4" w:rsidRPr="00C27636" w:rsidRDefault="00AC12B4">
            <w:pPr>
              <w:rPr>
                <w:sz w:val="14"/>
                <w:szCs w:val="14"/>
                <w:lang w:val="fr-BE"/>
              </w:rPr>
            </w:pPr>
          </w:p>
        </w:tc>
        <w:tc>
          <w:tcPr>
            <w:tcW w:w="1140" w:type="dxa"/>
            <w:gridSpan w:val="2"/>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3"/>
        </w:trPr>
        <w:tc>
          <w:tcPr>
            <w:tcW w:w="6060" w:type="dxa"/>
            <w:gridSpan w:val="10"/>
            <w:vMerge/>
            <w:tcBorders>
              <w:left w:val="single" w:sz="8" w:space="0" w:color="CF9901"/>
            </w:tcBorders>
            <w:shd w:val="clear" w:color="auto" w:fill="FEC930"/>
            <w:vAlign w:val="bottom"/>
          </w:tcPr>
          <w:p w:rsidR="00AC12B4" w:rsidRPr="00C27636" w:rsidRDefault="00AC12B4">
            <w:pPr>
              <w:rPr>
                <w:sz w:val="8"/>
                <w:szCs w:val="8"/>
                <w:lang w:val="fr-BE"/>
              </w:rPr>
            </w:pPr>
          </w:p>
        </w:tc>
        <w:tc>
          <w:tcPr>
            <w:tcW w:w="120" w:type="dxa"/>
            <w:tcBorders>
              <w:right w:val="single" w:sz="8" w:space="0" w:color="CF9901"/>
            </w:tcBorders>
            <w:shd w:val="clear" w:color="auto" w:fill="FEC930"/>
            <w:vAlign w:val="bottom"/>
          </w:tcPr>
          <w:p w:rsidR="00AC12B4" w:rsidRPr="00C27636" w:rsidRDefault="00AC12B4">
            <w:pPr>
              <w:rPr>
                <w:sz w:val="8"/>
                <w:szCs w:val="8"/>
                <w:lang w:val="fr-BE"/>
              </w:rPr>
            </w:pPr>
          </w:p>
        </w:tc>
        <w:tc>
          <w:tcPr>
            <w:tcW w:w="800" w:type="dxa"/>
            <w:gridSpan w:val="2"/>
            <w:vMerge w:val="restart"/>
            <w:vAlign w:val="bottom"/>
          </w:tcPr>
          <w:p w:rsidR="00AC12B4" w:rsidRDefault="00C27636">
            <w:pPr>
              <w:ind w:left="180"/>
              <w:rPr>
                <w:sz w:val="20"/>
                <w:szCs w:val="20"/>
              </w:rPr>
            </w:pPr>
            <w:r>
              <w:rPr>
                <w:rFonts w:ascii="Calibri" w:eastAsia="Calibri" w:hAnsi="Calibri" w:cs="Calibri"/>
                <w:w w:val="99"/>
              </w:rPr>
              <w:t>charge</w:t>
            </w:r>
          </w:p>
        </w:tc>
        <w:tc>
          <w:tcPr>
            <w:tcW w:w="760" w:type="dxa"/>
            <w:gridSpan w:val="3"/>
            <w:vMerge w:val="restart"/>
            <w:vAlign w:val="bottom"/>
          </w:tcPr>
          <w:p w:rsidR="00AC12B4" w:rsidRDefault="00C27636">
            <w:pPr>
              <w:ind w:right="50"/>
              <w:jc w:val="right"/>
              <w:rPr>
                <w:sz w:val="20"/>
                <w:szCs w:val="20"/>
              </w:rPr>
            </w:pPr>
            <w:r>
              <w:rPr>
                <w:rFonts w:ascii="Calibri" w:eastAsia="Calibri" w:hAnsi="Calibri" w:cs="Calibri"/>
              </w:rPr>
              <w:t>dans</w:t>
            </w:r>
          </w:p>
        </w:tc>
        <w:tc>
          <w:tcPr>
            <w:tcW w:w="500" w:type="dxa"/>
            <w:vMerge w:val="restart"/>
            <w:vAlign w:val="bottom"/>
          </w:tcPr>
          <w:p w:rsidR="00AC12B4" w:rsidRDefault="00C27636">
            <w:pPr>
              <w:ind w:right="13"/>
              <w:jc w:val="right"/>
              <w:rPr>
                <w:sz w:val="20"/>
                <w:szCs w:val="20"/>
              </w:rPr>
            </w:pPr>
            <w:r>
              <w:rPr>
                <w:rFonts w:ascii="Calibri" w:eastAsia="Calibri" w:hAnsi="Calibri" w:cs="Calibri"/>
              </w:rPr>
              <w:t>une</w:t>
            </w:r>
          </w:p>
        </w:tc>
        <w:tc>
          <w:tcPr>
            <w:tcW w:w="900" w:type="dxa"/>
            <w:gridSpan w:val="5"/>
            <w:vMerge w:val="restart"/>
            <w:vAlign w:val="bottom"/>
          </w:tcPr>
          <w:p w:rsidR="00AC12B4" w:rsidRDefault="00C27636">
            <w:pPr>
              <w:ind w:left="100"/>
              <w:rPr>
                <w:sz w:val="20"/>
                <w:szCs w:val="20"/>
              </w:rPr>
            </w:pPr>
            <w:r>
              <w:rPr>
                <w:rFonts w:ascii="Calibri" w:eastAsia="Calibri" w:hAnsi="Calibri" w:cs="Calibri"/>
              </w:rPr>
              <w:t>famille</w:t>
            </w:r>
          </w:p>
        </w:tc>
        <w:tc>
          <w:tcPr>
            <w:tcW w:w="1600" w:type="dxa"/>
            <w:gridSpan w:val="5"/>
            <w:vMerge w:val="restart"/>
            <w:vAlign w:val="bottom"/>
          </w:tcPr>
          <w:p w:rsidR="00AC12B4" w:rsidRDefault="00C27636">
            <w:pPr>
              <w:ind w:right="700"/>
              <w:jc w:val="right"/>
              <w:rPr>
                <w:sz w:val="20"/>
                <w:szCs w:val="20"/>
              </w:rPr>
            </w:pPr>
            <w:r>
              <w:rPr>
                <w:rFonts w:ascii="Calibri" w:eastAsia="Calibri" w:hAnsi="Calibri" w:cs="Calibri"/>
                <w:w w:val="98"/>
              </w:rPr>
              <w:t>d’accueil</w:t>
            </w:r>
          </w:p>
        </w:tc>
        <w:tc>
          <w:tcPr>
            <w:tcW w:w="0" w:type="dxa"/>
            <w:vAlign w:val="bottom"/>
          </w:tcPr>
          <w:p w:rsidR="00AC12B4" w:rsidRDefault="00AC12B4">
            <w:pPr>
              <w:rPr>
                <w:sz w:val="1"/>
                <w:szCs w:val="1"/>
              </w:rPr>
            </w:pPr>
          </w:p>
        </w:tc>
      </w:tr>
      <w:tr w:rsidR="00AC12B4" w:rsidRPr="00C27636">
        <w:trPr>
          <w:trHeight w:val="166"/>
        </w:trPr>
        <w:tc>
          <w:tcPr>
            <w:tcW w:w="6060" w:type="dxa"/>
            <w:gridSpan w:val="10"/>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color w:val="FFFFFF"/>
                <w:lang w:val="fr-BE"/>
              </w:rPr>
              <w:t>un examen périodique dudit traitement et de toute autre</w:t>
            </w:r>
          </w:p>
        </w:tc>
        <w:tc>
          <w:tcPr>
            <w:tcW w:w="12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800" w:type="dxa"/>
            <w:gridSpan w:val="2"/>
            <w:vMerge/>
            <w:vAlign w:val="bottom"/>
          </w:tcPr>
          <w:p w:rsidR="00AC12B4" w:rsidRPr="00C27636" w:rsidRDefault="00AC12B4">
            <w:pPr>
              <w:rPr>
                <w:sz w:val="14"/>
                <w:szCs w:val="14"/>
                <w:lang w:val="fr-BE"/>
              </w:rPr>
            </w:pPr>
          </w:p>
        </w:tc>
        <w:tc>
          <w:tcPr>
            <w:tcW w:w="760" w:type="dxa"/>
            <w:gridSpan w:val="3"/>
            <w:vMerge/>
            <w:vAlign w:val="bottom"/>
          </w:tcPr>
          <w:p w:rsidR="00AC12B4" w:rsidRPr="00C27636" w:rsidRDefault="00AC12B4">
            <w:pPr>
              <w:rPr>
                <w:sz w:val="14"/>
                <w:szCs w:val="14"/>
                <w:lang w:val="fr-BE"/>
              </w:rPr>
            </w:pPr>
          </w:p>
        </w:tc>
        <w:tc>
          <w:tcPr>
            <w:tcW w:w="500" w:type="dxa"/>
            <w:vMerge/>
            <w:vAlign w:val="bottom"/>
          </w:tcPr>
          <w:p w:rsidR="00AC12B4" w:rsidRPr="00C27636" w:rsidRDefault="00AC12B4">
            <w:pPr>
              <w:rPr>
                <w:sz w:val="14"/>
                <w:szCs w:val="14"/>
                <w:lang w:val="fr-BE"/>
              </w:rPr>
            </w:pPr>
          </w:p>
        </w:tc>
        <w:tc>
          <w:tcPr>
            <w:tcW w:w="900" w:type="dxa"/>
            <w:gridSpan w:val="5"/>
            <w:vMerge/>
            <w:vAlign w:val="bottom"/>
          </w:tcPr>
          <w:p w:rsidR="00AC12B4" w:rsidRPr="00C27636" w:rsidRDefault="00AC12B4">
            <w:pPr>
              <w:rPr>
                <w:sz w:val="14"/>
                <w:szCs w:val="14"/>
                <w:lang w:val="fr-BE"/>
              </w:rPr>
            </w:pPr>
          </w:p>
        </w:tc>
        <w:tc>
          <w:tcPr>
            <w:tcW w:w="1600" w:type="dxa"/>
            <w:gridSpan w:val="5"/>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103"/>
        </w:trPr>
        <w:tc>
          <w:tcPr>
            <w:tcW w:w="6060" w:type="dxa"/>
            <w:gridSpan w:val="10"/>
            <w:vMerge/>
            <w:tcBorders>
              <w:left w:val="single" w:sz="8" w:space="0" w:color="CF9901"/>
            </w:tcBorders>
            <w:shd w:val="clear" w:color="auto" w:fill="FEC930"/>
            <w:vAlign w:val="bottom"/>
          </w:tcPr>
          <w:p w:rsidR="00AC12B4" w:rsidRPr="00C27636" w:rsidRDefault="00AC12B4">
            <w:pPr>
              <w:rPr>
                <w:sz w:val="8"/>
                <w:szCs w:val="8"/>
                <w:lang w:val="fr-BE"/>
              </w:rPr>
            </w:pPr>
          </w:p>
        </w:tc>
        <w:tc>
          <w:tcPr>
            <w:tcW w:w="120" w:type="dxa"/>
            <w:tcBorders>
              <w:right w:val="single" w:sz="8" w:space="0" w:color="CF9901"/>
            </w:tcBorders>
            <w:shd w:val="clear" w:color="auto" w:fill="FEC930"/>
            <w:vAlign w:val="bottom"/>
          </w:tcPr>
          <w:p w:rsidR="00AC12B4" w:rsidRPr="00C27636" w:rsidRDefault="00AC12B4">
            <w:pPr>
              <w:rPr>
                <w:sz w:val="8"/>
                <w:szCs w:val="8"/>
                <w:lang w:val="fr-BE"/>
              </w:rPr>
            </w:pPr>
          </w:p>
        </w:tc>
        <w:tc>
          <w:tcPr>
            <w:tcW w:w="800" w:type="dxa"/>
            <w:gridSpan w:val="2"/>
            <w:vMerge w:val="restart"/>
            <w:vAlign w:val="bottom"/>
          </w:tcPr>
          <w:p w:rsidR="00AC12B4" w:rsidRDefault="00C27636">
            <w:pPr>
              <w:spacing w:line="267" w:lineRule="exact"/>
              <w:ind w:left="180"/>
              <w:rPr>
                <w:sz w:val="20"/>
                <w:szCs w:val="20"/>
              </w:rPr>
            </w:pPr>
            <w:r>
              <w:rPr>
                <w:rFonts w:ascii="Calibri" w:eastAsia="Calibri" w:hAnsi="Calibri" w:cs="Calibri"/>
              </w:rPr>
              <w:t>(suivie</w:t>
            </w:r>
          </w:p>
        </w:tc>
        <w:tc>
          <w:tcPr>
            <w:tcW w:w="480" w:type="dxa"/>
            <w:gridSpan w:val="2"/>
            <w:vMerge w:val="restart"/>
            <w:vAlign w:val="bottom"/>
          </w:tcPr>
          <w:p w:rsidR="00AC12B4" w:rsidRDefault="00C27636">
            <w:pPr>
              <w:spacing w:line="267" w:lineRule="exact"/>
              <w:jc w:val="center"/>
              <w:rPr>
                <w:sz w:val="20"/>
                <w:szCs w:val="20"/>
              </w:rPr>
            </w:pPr>
            <w:r>
              <w:rPr>
                <w:rFonts w:ascii="Calibri" w:eastAsia="Calibri" w:hAnsi="Calibri" w:cs="Calibri"/>
              </w:rPr>
              <w:t>par</w:t>
            </w:r>
          </w:p>
        </w:tc>
        <w:tc>
          <w:tcPr>
            <w:tcW w:w="280" w:type="dxa"/>
            <w:vMerge w:val="restart"/>
            <w:vAlign w:val="bottom"/>
          </w:tcPr>
          <w:p w:rsidR="00AC12B4" w:rsidRDefault="00C27636">
            <w:pPr>
              <w:spacing w:line="267" w:lineRule="exact"/>
              <w:jc w:val="right"/>
              <w:rPr>
                <w:sz w:val="20"/>
                <w:szCs w:val="20"/>
              </w:rPr>
            </w:pPr>
            <w:r>
              <w:rPr>
                <w:rFonts w:ascii="Calibri" w:eastAsia="Calibri" w:hAnsi="Calibri" w:cs="Calibri"/>
              </w:rPr>
              <w:t>un</w:t>
            </w:r>
          </w:p>
        </w:tc>
        <w:tc>
          <w:tcPr>
            <w:tcW w:w="760" w:type="dxa"/>
            <w:gridSpan w:val="3"/>
            <w:vMerge w:val="restart"/>
            <w:vAlign w:val="bottom"/>
          </w:tcPr>
          <w:p w:rsidR="00AC12B4" w:rsidRDefault="00C27636">
            <w:pPr>
              <w:spacing w:line="267" w:lineRule="exact"/>
              <w:ind w:left="120"/>
              <w:rPr>
                <w:sz w:val="20"/>
                <w:szCs w:val="20"/>
              </w:rPr>
            </w:pPr>
            <w:r>
              <w:rPr>
                <w:rFonts w:ascii="Calibri" w:eastAsia="Calibri" w:hAnsi="Calibri" w:cs="Calibri"/>
                <w:w w:val="96"/>
              </w:rPr>
              <w:t>Service</w:t>
            </w:r>
          </w:p>
        </w:tc>
        <w:tc>
          <w:tcPr>
            <w:tcW w:w="360" w:type="dxa"/>
            <w:vMerge w:val="restart"/>
            <w:vAlign w:val="bottom"/>
          </w:tcPr>
          <w:p w:rsidR="00AC12B4" w:rsidRDefault="00C27636">
            <w:pPr>
              <w:spacing w:line="267" w:lineRule="exact"/>
              <w:jc w:val="center"/>
              <w:rPr>
                <w:sz w:val="20"/>
                <w:szCs w:val="20"/>
              </w:rPr>
            </w:pPr>
            <w:r>
              <w:rPr>
                <w:rFonts w:ascii="Calibri" w:eastAsia="Calibri" w:hAnsi="Calibri" w:cs="Calibri"/>
              </w:rPr>
              <w:t>de</w:t>
            </w:r>
          </w:p>
        </w:tc>
        <w:tc>
          <w:tcPr>
            <w:tcW w:w="80" w:type="dxa"/>
            <w:vAlign w:val="bottom"/>
          </w:tcPr>
          <w:p w:rsidR="00AC12B4" w:rsidRDefault="00AC12B4">
            <w:pPr>
              <w:rPr>
                <w:sz w:val="8"/>
                <w:szCs w:val="8"/>
              </w:rPr>
            </w:pPr>
          </w:p>
        </w:tc>
        <w:tc>
          <w:tcPr>
            <w:tcW w:w="1800" w:type="dxa"/>
            <w:gridSpan w:val="6"/>
            <w:vMerge w:val="restart"/>
            <w:vAlign w:val="bottom"/>
          </w:tcPr>
          <w:p w:rsidR="00AC12B4" w:rsidRDefault="00C27636">
            <w:pPr>
              <w:spacing w:line="267" w:lineRule="exact"/>
              <w:ind w:right="700"/>
              <w:jc w:val="right"/>
              <w:rPr>
                <w:sz w:val="20"/>
                <w:szCs w:val="20"/>
              </w:rPr>
            </w:pPr>
            <w:r>
              <w:rPr>
                <w:rFonts w:ascii="Calibri" w:eastAsia="Calibri" w:hAnsi="Calibri" w:cs="Calibri"/>
              </w:rPr>
              <w:t>placement</w:t>
            </w:r>
          </w:p>
        </w:tc>
        <w:tc>
          <w:tcPr>
            <w:tcW w:w="0" w:type="dxa"/>
            <w:vAlign w:val="bottom"/>
          </w:tcPr>
          <w:p w:rsidR="00AC12B4" w:rsidRDefault="00AC12B4">
            <w:pPr>
              <w:rPr>
                <w:sz w:val="1"/>
                <w:szCs w:val="1"/>
              </w:rPr>
            </w:pPr>
          </w:p>
        </w:tc>
      </w:tr>
      <w:tr w:rsidR="00AC12B4" w:rsidRPr="00C27636">
        <w:trPr>
          <w:trHeight w:val="163"/>
        </w:trPr>
        <w:tc>
          <w:tcPr>
            <w:tcW w:w="4540" w:type="dxa"/>
            <w:gridSpan w:val="8"/>
            <w:vMerge w:val="restart"/>
            <w:tcBorders>
              <w:left w:val="single" w:sz="8" w:space="0" w:color="CF9901"/>
            </w:tcBorders>
            <w:shd w:val="clear" w:color="auto" w:fill="FEC930"/>
            <w:vAlign w:val="bottom"/>
          </w:tcPr>
          <w:p w:rsidR="00AC12B4" w:rsidRPr="00C27636" w:rsidRDefault="00C27636">
            <w:pPr>
              <w:ind w:left="580"/>
              <w:rPr>
                <w:sz w:val="20"/>
                <w:szCs w:val="20"/>
                <w:lang w:val="fr-BE"/>
              </w:rPr>
            </w:pPr>
            <w:r w:rsidRPr="00C27636">
              <w:rPr>
                <w:rFonts w:ascii="Calibri" w:eastAsia="Calibri" w:hAnsi="Calibri" w:cs="Calibri"/>
                <w:color w:val="FFFFFF"/>
                <w:lang w:val="fr-BE"/>
              </w:rPr>
              <w:t>circonstance relative à son placement.</w:t>
            </w:r>
          </w:p>
        </w:tc>
        <w:tc>
          <w:tcPr>
            <w:tcW w:w="80" w:type="dxa"/>
            <w:shd w:val="clear" w:color="auto" w:fill="FEC930"/>
            <w:vAlign w:val="bottom"/>
          </w:tcPr>
          <w:p w:rsidR="00AC12B4" w:rsidRPr="00C27636" w:rsidRDefault="00AC12B4">
            <w:pPr>
              <w:rPr>
                <w:sz w:val="14"/>
                <w:szCs w:val="14"/>
                <w:lang w:val="fr-BE"/>
              </w:rPr>
            </w:pPr>
          </w:p>
        </w:tc>
        <w:tc>
          <w:tcPr>
            <w:tcW w:w="1440" w:type="dxa"/>
            <w:shd w:val="clear" w:color="auto" w:fill="FEC930"/>
            <w:vAlign w:val="bottom"/>
          </w:tcPr>
          <w:p w:rsidR="00AC12B4" w:rsidRPr="00C27636" w:rsidRDefault="00AC12B4">
            <w:pPr>
              <w:rPr>
                <w:sz w:val="14"/>
                <w:szCs w:val="14"/>
                <w:lang w:val="fr-BE"/>
              </w:rPr>
            </w:pPr>
          </w:p>
        </w:tc>
        <w:tc>
          <w:tcPr>
            <w:tcW w:w="120" w:type="dxa"/>
            <w:tcBorders>
              <w:right w:val="single" w:sz="8" w:space="0" w:color="CF9901"/>
            </w:tcBorders>
            <w:shd w:val="clear" w:color="auto" w:fill="FEC930"/>
            <w:vAlign w:val="bottom"/>
          </w:tcPr>
          <w:p w:rsidR="00AC12B4" w:rsidRPr="00C27636" w:rsidRDefault="00AC12B4">
            <w:pPr>
              <w:rPr>
                <w:sz w:val="14"/>
                <w:szCs w:val="14"/>
                <w:lang w:val="fr-BE"/>
              </w:rPr>
            </w:pPr>
          </w:p>
        </w:tc>
        <w:tc>
          <w:tcPr>
            <w:tcW w:w="800" w:type="dxa"/>
            <w:gridSpan w:val="2"/>
            <w:vMerge/>
            <w:vAlign w:val="bottom"/>
          </w:tcPr>
          <w:p w:rsidR="00AC12B4" w:rsidRPr="00C27636" w:rsidRDefault="00AC12B4">
            <w:pPr>
              <w:rPr>
                <w:sz w:val="14"/>
                <w:szCs w:val="14"/>
                <w:lang w:val="fr-BE"/>
              </w:rPr>
            </w:pPr>
          </w:p>
        </w:tc>
        <w:tc>
          <w:tcPr>
            <w:tcW w:w="480" w:type="dxa"/>
            <w:gridSpan w:val="2"/>
            <w:vMerge/>
            <w:vAlign w:val="bottom"/>
          </w:tcPr>
          <w:p w:rsidR="00AC12B4" w:rsidRPr="00C27636" w:rsidRDefault="00AC12B4">
            <w:pPr>
              <w:rPr>
                <w:sz w:val="14"/>
                <w:szCs w:val="14"/>
                <w:lang w:val="fr-BE"/>
              </w:rPr>
            </w:pPr>
          </w:p>
        </w:tc>
        <w:tc>
          <w:tcPr>
            <w:tcW w:w="280" w:type="dxa"/>
            <w:vMerge/>
            <w:vAlign w:val="bottom"/>
          </w:tcPr>
          <w:p w:rsidR="00AC12B4" w:rsidRPr="00C27636" w:rsidRDefault="00AC12B4">
            <w:pPr>
              <w:rPr>
                <w:sz w:val="14"/>
                <w:szCs w:val="14"/>
                <w:lang w:val="fr-BE"/>
              </w:rPr>
            </w:pPr>
          </w:p>
        </w:tc>
        <w:tc>
          <w:tcPr>
            <w:tcW w:w="760" w:type="dxa"/>
            <w:gridSpan w:val="3"/>
            <w:vMerge/>
            <w:vAlign w:val="bottom"/>
          </w:tcPr>
          <w:p w:rsidR="00AC12B4" w:rsidRPr="00C27636" w:rsidRDefault="00AC12B4">
            <w:pPr>
              <w:rPr>
                <w:sz w:val="14"/>
                <w:szCs w:val="14"/>
                <w:lang w:val="fr-BE"/>
              </w:rPr>
            </w:pPr>
          </w:p>
        </w:tc>
        <w:tc>
          <w:tcPr>
            <w:tcW w:w="360" w:type="dxa"/>
            <w:vMerge/>
            <w:vAlign w:val="bottom"/>
          </w:tcPr>
          <w:p w:rsidR="00AC12B4" w:rsidRPr="00C27636" w:rsidRDefault="00AC12B4">
            <w:pPr>
              <w:rPr>
                <w:sz w:val="14"/>
                <w:szCs w:val="14"/>
                <w:lang w:val="fr-BE"/>
              </w:rPr>
            </w:pPr>
          </w:p>
        </w:tc>
        <w:tc>
          <w:tcPr>
            <w:tcW w:w="80" w:type="dxa"/>
            <w:vAlign w:val="bottom"/>
          </w:tcPr>
          <w:p w:rsidR="00AC12B4" w:rsidRPr="00C27636" w:rsidRDefault="00AC12B4">
            <w:pPr>
              <w:rPr>
                <w:sz w:val="14"/>
                <w:szCs w:val="14"/>
                <w:lang w:val="fr-BE"/>
              </w:rPr>
            </w:pPr>
          </w:p>
        </w:tc>
        <w:tc>
          <w:tcPr>
            <w:tcW w:w="1800" w:type="dxa"/>
            <w:gridSpan w:val="6"/>
            <w:vMerge/>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rsidRPr="00C27636">
        <w:trPr>
          <w:trHeight w:val="108"/>
        </w:trPr>
        <w:tc>
          <w:tcPr>
            <w:tcW w:w="4540" w:type="dxa"/>
            <w:gridSpan w:val="8"/>
            <w:vMerge/>
            <w:tcBorders>
              <w:left w:val="single" w:sz="8" w:space="0" w:color="CF9901"/>
            </w:tcBorders>
            <w:shd w:val="clear" w:color="auto" w:fill="FEC930"/>
            <w:vAlign w:val="bottom"/>
          </w:tcPr>
          <w:p w:rsidR="00AC12B4" w:rsidRPr="00C27636" w:rsidRDefault="00AC12B4">
            <w:pPr>
              <w:rPr>
                <w:sz w:val="9"/>
                <w:szCs w:val="9"/>
                <w:lang w:val="fr-BE"/>
              </w:rPr>
            </w:pPr>
          </w:p>
        </w:tc>
        <w:tc>
          <w:tcPr>
            <w:tcW w:w="80" w:type="dxa"/>
            <w:shd w:val="clear" w:color="auto" w:fill="FEC930"/>
            <w:vAlign w:val="bottom"/>
          </w:tcPr>
          <w:p w:rsidR="00AC12B4" w:rsidRPr="00C27636" w:rsidRDefault="00AC12B4">
            <w:pPr>
              <w:rPr>
                <w:sz w:val="9"/>
                <w:szCs w:val="9"/>
                <w:lang w:val="fr-BE"/>
              </w:rPr>
            </w:pPr>
          </w:p>
        </w:tc>
        <w:tc>
          <w:tcPr>
            <w:tcW w:w="1440" w:type="dxa"/>
            <w:shd w:val="clear" w:color="auto" w:fill="FEC930"/>
            <w:vAlign w:val="bottom"/>
          </w:tcPr>
          <w:p w:rsidR="00AC12B4" w:rsidRPr="00C27636" w:rsidRDefault="00AC12B4">
            <w:pPr>
              <w:rPr>
                <w:sz w:val="9"/>
                <w:szCs w:val="9"/>
                <w:lang w:val="fr-BE"/>
              </w:rPr>
            </w:pPr>
          </w:p>
        </w:tc>
        <w:tc>
          <w:tcPr>
            <w:tcW w:w="120" w:type="dxa"/>
            <w:tcBorders>
              <w:right w:val="single" w:sz="8" w:space="0" w:color="CF9901"/>
            </w:tcBorders>
            <w:shd w:val="clear" w:color="auto" w:fill="FEC930"/>
            <w:vAlign w:val="bottom"/>
          </w:tcPr>
          <w:p w:rsidR="00AC12B4" w:rsidRPr="00C27636" w:rsidRDefault="00AC12B4">
            <w:pPr>
              <w:rPr>
                <w:sz w:val="9"/>
                <w:szCs w:val="9"/>
                <w:lang w:val="fr-BE"/>
              </w:rPr>
            </w:pPr>
          </w:p>
        </w:tc>
        <w:tc>
          <w:tcPr>
            <w:tcW w:w="4560" w:type="dxa"/>
            <w:gridSpan w:val="16"/>
            <w:vMerge w:val="restart"/>
            <w:vAlign w:val="bottom"/>
          </w:tcPr>
          <w:p w:rsidR="00AC12B4" w:rsidRPr="00C27636" w:rsidRDefault="00C27636">
            <w:pPr>
              <w:ind w:left="180"/>
              <w:rPr>
                <w:sz w:val="20"/>
                <w:szCs w:val="20"/>
                <w:lang w:val="fr-BE"/>
              </w:rPr>
            </w:pPr>
            <w:r w:rsidRPr="00C27636">
              <w:rPr>
                <w:rFonts w:ascii="Calibri" w:eastAsia="Calibri" w:hAnsi="Calibri" w:cs="Calibri"/>
                <w:lang w:val="fr-BE"/>
              </w:rPr>
              <w:t>familial (SPF)) l’est pour plus de trois</w:t>
            </w:r>
          </w:p>
        </w:tc>
        <w:tc>
          <w:tcPr>
            <w:tcW w:w="0" w:type="dxa"/>
            <w:vAlign w:val="bottom"/>
          </w:tcPr>
          <w:p w:rsidR="00AC12B4" w:rsidRPr="00C27636" w:rsidRDefault="00AC12B4">
            <w:pPr>
              <w:rPr>
                <w:sz w:val="1"/>
                <w:szCs w:val="1"/>
                <w:lang w:val="fr-BE"/>
              </w:rPr>
            </w:pPr>
          </w:p>
        </w:tc>
      </w:tr>
      <w:tr w:rsidR="00AC12B4" w:rsidRPr="00C27636">
        <w:trPr>
          <w:trHeight w:val="161"/>
        </w:trPr>
        <w:tc>
          <w:tcPr>
            <w:tcW w:w="1460" w:type="dxa"/>
            <w:tcBorders>
              <w:left w:val="single" w:sz="8" w:space="0" w:color="CF9901"/>
            </w:tcBorders>
            <w:shd w:val="clear" w:color="auto" w:fill="FEC930"/>
            <w:vAlign w:val="bottom"/>
          </w:tcPr>
          <w:p w:rsidR="00AC12B4" w:rsidRPr="00C27636" w:rsidRDefault="00AC12B4">
            <w:pPr>
              <w:rPr>
                <w:sz w:val="13"/>
                <w:szCs w:val="13"/>
                <w:lang w:val="fr-BE"/>
              </w:rPr>
            </w:pPr>
          </w:p>
        </w:tc>
        <w:tc>
          <w:tcPr>
            <w:tcW w:w="680" w:type="dxa"/>
            <w:shd w:val="clear" w:color="auto" w:fill="FEC930"/>
            <w:vAlign w:val="bottom"/>
          </w:tcPr>
          <w:p w:rsidR="00AC12B4" w:rsidRPr="00C27636" w:rsidRDefault="00AC12B4">
            <w:pPr>
              <w:rPr>
                <w:sz w:val="13"/>
                <w:szCs w:val="13"/>
                <w:lang w:val="fr-BE"/>
              </w:rPr>
            </w:pPr>
          </w:p>
        </w:tc>
        <w:tc>
          <w:tcPr>
            <w:tcW w:w="640" w:type="dxa"/>
            <w:shd w:val="clear" w:color="auto" w:fill="FEC930"/>
            <w:vAlign w:val="bottom"/>
          </w:tcPr>
          <w:p w:rsidR="00AC12B4" w:rsidRPr="00C27636" w:rsidRDefault="00AC12B4">
            <w:pPr>
              <w:rPr>
                <w:sz w:val="13"/>
                <w:szCs w:val="13"/>
                <w:lang w:val="fr-BE"/>
              </w:rPr>
            </w:pPr>
          </w:p>
        </w:tc>
        <w:tc>
          <w:tcPr>
            <w:tcW w:w="480" w:type="dxa"/>
            <w:shd w:val="clear" w:color="auto" w:fill="FEC930"/>
            <w:vAlign w:val="bottom"/>
          </w:tcPr>
          <w:p w:rsidR="00AC12B4" w:rsidRPr="00C27636" w:rsidRDefault="00AC12B4">
            <w:pPr>
              <w:rPr>
                <w:sz w:val="13"/>
                <w:szCs w:val="13"/>
                <w:lang w:val="fr-BE"/>
              </w:rPr>
            </w:pPr>
          </w:p>
        </w:tc>
        <w:tc>
          <w:tcPr>
            <w:tcW w:w="360" w:type="dxa"/>
            <w:shd w:val="clear" w:color="auto" w:fill="FEC930"/>
            <w:vAlign w:val="bottom"/>
          </w:tcPr>
          <w:p w:rsidR="00AC12B4" w:rsidRPr="00C27636" w:rsidRDefault="00AC12B4">
            <w:pPr>
              <w:rPr>
                <w:sz w:val="13"/>
                <w:szCs w:val="13"/>
                <w:lang w:val="fr-BE"/>
              </w:rPr>
            </w:pPr>
          </w:p>
        </w:tc>
        <w:tc>
          <w:tcPr>
            <w:tcW w:w="280" w:type="dxa"/>
            <w:shd w:val="clear" w:color="auto" w:fill="FEC930"/>
            <w:vAlign w:val="bottom"/>
          </w:tcPr>
          <w:p w:rsidR="00AC12B4" w:rsidRPr="00C27636" w:rsidRDefault="00AC12B4">
            <w:pPr>
              <w:rPr>
                <w:sz w:val="13"/>
                <w:szCs w:val="13"/>
                <w:lang w:val="fr-BE"/>
              </w:rPr>
            </w:pPr>
          </w:p>
        </w:tc>
        <w:tc>
          <w:tcPr>
            <w:tcW w:w="440" w:type="dxa"/>
            <w:shd w:val="clear" w:color="auto" w:fill="FEC930"/>
            <w:vAlign w:val="bottom"/>
          </w:tcPr>
          <w:p w:rsidR="00AC12B4" w:rsidRPr="00C27636" w:rsidRDefault="00AC12B4">
            <w:pPr>
              <w:rPr>
                <w:sz w:val="13"/>
                <w:szCs w:val="13"/>
                <w:lang w:val="fr-BE"/>
              </w:rPr>
            </w:pPr>
          </w:p>
        </w:tc>
        <w:tc>
          <w:tcPr>
            <w:tcW w:w="200" w:type="dxa"/>
            <w:shd w:val="clear" w:color="auto" w:fill="FEC930"/>
            <w:vAlign w:val="bottom"/>
          </w:tcPr>
          <w:p w:rsidR="00AC12B4" w:rsidRPr="00C27636" w:rsidRDefault="00AC12B4">
            <w:pPr>
              <w:rPr>
                <w:sz w:val="13"/>
                <w:szCs w:val="13"/>
                <w:lang w:val="fr-BE"/>
              </w:rPr>
            </w:pPr>
          </w:p>
        </w:tc>
        <w:tc>
          <w:tcPr>
            <w:tcW w:w="80" w:type="dxa"/>
            <w:shd w:val="clear" w:color="auto" w:fill="FEC930"/>
            <w:vAlign w:val="bottom"/>
          </w:tcPr>
          <w:p w:rsidR="00AC12B4" w:rsidRPr="00C27636" w:rsidRDefault="00AC12B4">
            <w:pPr>
              <w:rPr>
                <w:sz w:val="13"/>
                <w:szCs w:val="13"/>
                <w:lang w:val="fr-BE"/>
              </w:rPr>
            </w:pPr>
          </w:p>
        </w:tc>
        <w:tc>
          <w:tcPr>
            <w:tcW w:w="1440" w:type="dxa"/>
            <w:shd w:val="clear" w:color="auto" w:fill="FEC930"/>
            <w:vAlign w:val="bottom"/>
          </w:tcPr>
          <w:p w:rsidR="00AC12B4" w:rsidRPr="00C27636" w:rsidRDefault="00AC12B4">
            <w:pPr>
              <w:rPr>
                <w:sz w:val="13"/>
                <w:szCs w:val="13"/>
                <w:lang w:val="fr-BE"/>
              </w:rPr>
            </w:pPr>
          </w:p>
        </w:tc>
        <w:tc>
          <w:tcPr>
            <w:tcW w:w="120" w:type="dxa"/>
            <w:tcBorders>
              <w:right w:val="single" w:sz="8" w:space="0" w:color="CF9901"/>
            </w:tcBorders>
            <w:shd w:val="clear" w:color="auto" w:fill="FEC930"/>
            <w:vAlign w:val="bottom"/>
          </w:tcPr>
          <w:p w:rsidR="00AC12B4" w:rsidRPr="00C27636" w:rsidRDefault="00AC12B4">
            <w:pPr>
              <w:rPr>
                <w:sz w:val="13"/>
                <w:szCs w:val="13"/>
                <w:lang w:val="fr-BE"/>
              </w:rPr>
            </w:pPr>
          </w:p>
        </w:tc>
        <w:tc>
          <w:tcPr>
            <w:tcW w:w="4560" w:type="dxa"/>
            <w:gridSpan w:val="16"/>
            <w:vMerge/>
            <w:vAlign w:val="bottom"/>
          </w:tcPr>
          <w:p w:rsidR="00AC12B4" w:rsidRPr="00C27636" w:rsidRDefault="00AC12B4">
            <w:pPr>
              <w:rPr>
                <w:sz w:val="13"/>
                <w:szCs w:val="13"/>
                <w:lang w:val="fr-BE"/>
              </w:rPr>
            </w:pPr>
          </w:p>
        </w:tc>
        <w:tc>
          <w:tcPr>
            <w:tcW w:w="0" w:type="dxa"/>
            <w:vAlign w:val="bottom"/>
          </w:tcPr>
          <w:p w:rsidR="00AC12B4" w:rsidRPr="00C27636" w:rsidRDefault="00AC12B4">
            <w:pPr>
              <w:rPr>
                <w:sz w:val="1"/>
                <w:szCs w:val="1"/>
                <w:lang w:val="fr-BE"/>
              </w:rPr>
            </w:pPr>
          </w:p>
        </w:tc>
      </w:tr>
      <w:tr w:rsidR="00AC12B4" w:rsidRPr="00C27636">
        <w:trPr>
          <w:trHeight w:val="210"/>
        </w:trPr>
        <w:tc>
          <w:tcPr>
            <w:tcW w:w="1460" w:type="dxa"/>
            <w:tcBorders>
              <w:left w:val="single" w:sz="8" w:space="0" w:color="CF9901"/>
              <w:bottom w:val="single" w:sz="8" w:space="0" w:color="CF9901"/>
            </w:tcBorders>
            <w:shd w:val="clear" w:color="auto" w:fill="FEC930"/>
            <w:vAlign w:val="bottom"/>
          </w:tcPr>
          <w:p w:rsidR="00AC12B4" w:rsidRPr="00C27636" w:rsidRDefault="00AC12B4">
            <w:pPr>
              <w:rPr>
                <w:sz w:val="18"/>
                <w:szCs w:val="18"/>
                <w:lang w:val="fr-BE"/>
              </w:rPr>
            </w:pPr>
          </w:p>
        </w:tc>
        <w:tc>
          <w:tcPr>
            <w:tcW w:w="68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64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48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36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28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44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20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8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1440" w:type="dxa"/>
            <w:tcBorders>
              <w:bottom w:val="single" w:sz="8" w:space="0" w:color="CF9901"/>
            </w:tcBorders>
            <w:shd w:val="clear" w:color="auto" w:fill="FEC930"/>
            <w:vAlign w:val="bottom"/>
          </w:tcPr>
          <w:p w:rsidR="00AC12B4" w:rsidRPr="00C27636" w:rsidRDefault="00AC12B4">
            <w:pPr>
              <w:rPr>
                <w:sz w:val="18"/>
                <w:szCs w:val="18"/>
                <w:lang w:val="fr-BE"/>
              </w:rPr>
            </w:pPr>
          </w:p>
        </w:tc>
        <w:tc>
          <w:tcPr>
            <w:tcW w:w="120" w:type="dxa"/>
            <w:tcBorders>
              <w:bottom w:val="single" w:sz="8" w:space="0" w:color="CF9901"/>
              <w:right w:val="single" w:sz="8" w:space="0" w:color="CF9901"/>
            </w:tcBorders>
            <w:shd w:val="clear" w:color="auto" w:fill="FEC930"/>
            <w:vAlign w:val="bottom"/>
          </w:tcPr>
          <w:p w:rsidR="00AC12B4" w:rsidRPr="00C27636" w:rsidRDefault="00AC12B4">
            <w:pPr>
              <w:rPr>
                <w:sz w:val="18"/>
                <w:szCs w:val="18"/>
                <w:lang w:val="fr-BE"/>
              </w:rPr>
            </w:pPr>
          </w:p>
        </w:tc>
        <w:tc>
          <w:tcPr>
            <w:tcW w:w="4560" w:type="dxa"/>
            <w:gridSpan w:val="16"/>
            <w:vAlign w:val="bottom"/>
          </w:tcPr>
          <w:p w:rsidR="00AC12B4" w:rsidRPr="00C27636" w:rsidRDefault="00C27636">
            <w:pPr>
              <w:spacing w:line="210" w:lineRule="exact"/>
              <w:ind w:left="180"/>
              <w:rPr>
                <w:sz w:val="20"/>
                <w:szCs w:val="20"/>
                <w:lang w:val="fr-BE"/>
              </w:rPr>
            </w:pPr>
            <w:r w:rsidRPr="00C27636">
              <w:rPr>
                <w:rFonts w:ascii="Calibri" w:eastAsia="Calibri" w:hAnsi="Calibri" w:cs="Calibri"/>
                <w:lang w:val="fr-BE"/>
              </w:rPr>
              <w:t>ans et demi. Un sur dix y restera plus</w:t>
            </w:r>
          </w:p>
        </w:tc>
        <w:tc>
          <w:tcPr>
            <w:tcW w:w="0" w:type="dxa"/>
            <w:vAlign w:val="bottom"/>
          </w:tcPr>
          <w:p w:rsidR="00AC12B4" w:rsidRPr="00C27636" w:rsidRDefault="00AC12B4">
            <w:pPr>
              <w:rPr>
                <w:sz w:val="1"/>
                <w:szCs w:val="1"/>
                <w:lang w:val="fr-BE"/>
              </w:rPr>
            </w:pPr>
          </w:p>
        </w:tc>
      </w:tr>
      <w:tr w:rsidR="00AC12B4">
        <w:trPr>
          <w:trHeight w:val="344"/>
        </w:trPr>
        <w:tc>
          <w:tcPr>
            <w:tcW w:w="1460" w:type="dxa"/>
            <w:vAlign w:val="bottom"/>
          </w:tcPr>
          <w:p w:rsidR="00AC12B4" w:rsidRPr="00C27636" w:rsidRDefault="00AC12B4">
            <w:pPr>
              <w:rPr>
                <w:sz w:val="24"/>
                <w:szCs w:val="24"/>
                <w:lang w:val="fr-BE"/>
              </w:rPr>
            </w:pPr>
          </w:p>
        </w:tc>
        <w:tc>
          <w:tcPr>
            <w:tcW w:w="460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La CIDE décrit le placement comme étant</w:t>
            </w:r>
          </w:p>
        </w:tc>
        <w:tc>
          <w:tcPr>
            <w:tcW w:w="120" w:type="dxa"/>
            <w:vAlign w:val="bottom"/>
          </w:tcPr>
          <w:p w:rsidR="00AC12B4" w:rsidRPr="00C27636" w:rsidRDefault="00AC12B4">
            <w:pPr>
              <w:rPr>
                <w:sz w:val="24"/>
                <w:szCs w:val="24"/>
                <w:lang w:val="fr-BE"/>
              </w:rPr>
            </w:pPr>
          </w:p>
        </w:tc>
        <w:tc>
          <w:tcPr>
            <w:tcW w:w="500" w:type="dxa"/>
            <w:vAlign w:val="bottom"/>
          </w:tcPr>
          <w:p w:rsidR="00AC12B4" w:rsidRDefault="00C27636">
            <w:pPr>
              <w:ind w:left="180"/>
              <w:rPr>
                <w:sz w:val="20"/>
                <w:szCs w:val="20"/>
              </w:rPr>
            </w:pPr>
            <w:r>
              <w:rPr>
                <w:rFonts w:ascii="Calibri" w:eastAsia="Calibri" w:hAnsi="Calibri" w:cs="Calibri"/>
              </w:rPr>
              <w:t>de</w:t>
            </w:r>
          </w:p>
        </w:tc>
        <w:tc>
          <w:tcPr>
            <w:tcW w:w="300" w:type="dxa"/>
            <w:vAlign w:val="bottom"/>
          </w:tcPr>
          <w:p w:rsidR="00AC12B4" w:rsidRDefault="00C27636">
            <w:pPr>
              <w:ind w:left="20"/>
              <w:rPr>
                <w:sz w:val="20"/>
                <w:szCs w:val="20"/>
              </w:rPr>
            </w:pPr>
            <w:r>
              <w:rPr>
                <w:rFonts w:ascii="Calibri" w:eastAsia="Calibri" w:hAnsi="Calibri" w:cs="Calibri"/>
              </w:rPr>
              <w:t>11</w:t>
            </w:r>
          </w:p>
        </w:tc>
        <w:tc>
          <w:tcPr>
            <w:tcW w:w="480" w:type="dxa"/>
            <w:gridSpan w:val="2"/>
            <w:vAlign w:val="bottom"/>
          </w:tcPr>
          <w:p w:rsidR="00AC12B4" w:rsidRDefault="00C27636">
            <w:pPr>
              <w:jc w:val="center"/>
              <w:rPr>
                <w:sz w:val="20"/>
                <w:szCs w:val="20"/>
              </w:rPr>
            </w:pPr>
            <w:r>
              <w:rPr>
                <w:rFonts w:ascii="Calibri" w:eastAsia="Calibri" w:hAnsi="Calibri" w:cs="Calibri"/>
                <w:w w:val="97"/>
              </w:rPr>
              <w:t>ans</w:t>
            </w:r>
          </w:p>
        </w:tc>
        <w:tc>
          <w:tcPr>
            <w:tcW w:w="280" w:type="dxa"/>
            <w:vAlign w:val="bottom"/>
          </w:tcPr>
          <w:p w:rsidR="00AC12B4" w:rsidRDefault="00C27636">
            <w:pPr>
              <w:jc w:val="right"/>
              <w:rPr>
                <w:sz w:val="20"/>
                <w:szCs w:val="20"/>
              </w:rPr>
            </w:pPr>
            <w:r>
              <w:rPr>
                <w:rFonts w:ascii="Calibri" w:eastAsia="Calibri" w:hAnsi="Calibri" w:cs="Calibri"/>
                <w:w w:val="87"/>
              </w:rPr>
              <w:t>et</w:t>
            </w:r>
          </w:p>
        </w:tc>
        <w:tc>
          <w:tcPr>
            <w:tcW w:w="1860" w:type="dxa"/>
            <w:gridSpan w:val="9"/>
            <w:vAlign w:val="bottom"/>
          </w:tcPr>
          <w:p w:rsidR="00AC12B4" w:rsidRDefault="00C27636">
            <w:pPr>
              <w:ind w:left="20"/>
              <w:rPr>
                <w:sz w:val="20"/>
                <w:szCs w:val="20"/>
              </w:rPr>
            </w:pPr>
            <w:r>
              <w:rPr>
                <w:rFonts w:ascii="Calibri" w:eastAsia="Calibri" w:hAnsi="Calibri" w:cs="Calibri"/>
              </w:rPr>
              <w:t>4 mois</w:t>
            </w:r>
            <w:r>
              <w:rPr>
                <w:rFonts w:ascii="Calibri" w:eastAsia="Calibri" w:hAnsi="Calibri" w:cs="Calibri"/>
                <w:sz w:val="27"/>
                <w:szCs w:val="27"/>
                <w:vertAlign w:val="superscript"/>
              </w:rPr>
              <w:t>3</w:t>
            </w:r>
            <w:r>
              <w:rPr>
                <w:rFonts w:ascii="Calibri" w:eastAsia="Calibri" w:hAnsi="Calibri" w:cs="Calibri"/>
              </w:rPr>
              <w:t>. Les prises</w:t>
            </w:r>
          </w:p>
        </w:tc>
        <w:tc>
          <w:tcPr>
            <w:tcW w:w="1140" w:type="dxa"/>
            <w:gridSpan w:val="2"/>
            <w:vAlign w:val="bottom"/>
          </w:tcPr>
          <w:p w:rsidR="00AC12B4" w:rsidRDefault="00C27636">
            <w:pPr>
              <w:ind w:right="720"/>
              <w:jc w:val="right"/>
              <w:rPr>
                <w:sz w:val="20"/>
                <w:szCs w:val="20"/>
              </w:rPr>
            </w:pPr>
            <w:r>
              <w:rPr>
                <w:rFonts w:ascii="Calibri" w:eastAsia="Calibri" w:hAnsi="Calibri" w:cs="Calibri"/>
              </w:rPr>
              <w:t>en</w:t>
            </w:r>
          </w:p>
        </w:tc>
        <w:tc>
          <w:tcPr>
            <w:tcW w:w="0" w:type="dxa"/>
            <w:vAlign w:val="bottom"/>
          </w:tcPr>
          <w:p w:rsidR="00AC12B4" w:rsidRDefault="00AC12B4">
            <w:pPr>
              <w:rPr>
                <w:sz w:val="1"/>
                <w:szCs w:val="1"/>
              </w:rPr>
            </w:pPr>
          </w:p>
        </w:tc>
      </w:tr>
      <w:tr w:rsidR="00AC12B4">
        <w:trPr>
          <w:trHeight w:val="151"/>
        </w:trPr>
        <w:tc>
          <w:tcPr>
            <w:tcW w:w="1460" w:type="dxa"/>
            <w:vAlign w:val="bottom"/>
          </w:tcPr>
          <w:p w:rsidR="00AC12B4" w:rsidRDefault="00AC12B4">
            <w:pPr>
              <w:rPr>
                <w:sz w:val="13"/>
                <w:szCs w:val="13"/>
              </w:rPr>
            </w:pPr>
          </w:p>
        </w:tc>
        <w:tc>
          <w:tcPr>
            <w:tcW w:w="4600" w:type="dxa"/>
            <w:gridSpan w:val="9"/>
            <w:vMerge/>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30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24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500" w:type="dxa"/>
            <w:vAlign w:val="bottom"/>
          </w:tcPr>
          <w:p w:rsidR="00AC12B4" w:rsidRDefault="00AC12B4">
            <w:pPr>
              <w:rPr>
                <w:sz w:val="13"/>
                <w:szCs w:val="13"/>
              </w:rPr>
            </w:pPr>
          </w:p>
        </w:tc>
        <w:tc>
          <w:tcPr>
            <w:tcW w:w="14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360" w:type="dxa"/>
            <w:vAlign w:val="bottom"/>
          </w:tcPr>
          <w:p w:rsidR="00AC12B4" w:rsidRDefault="00AC12B4">
            <w:pPr>
              <w:rPr>
                <w:sz w:val="13"/>
                <w:szCs w:val="13"/>
              </w:rPr>
            </w:pPr>
          </w:p>
        </w:tc>
        <w:tc>
          <w:tcPr>
            <w:tcW w:w="80" w:type="dxa"/>
            <w:vAlign w:val="bottom"/>
          </w:tcPr>
          <w:p w:rsidR="00AC12B4" w:rsidRDefault="00AC12B4">
            <w:pPr>
              <w:rPr>
                <w:sz w:val="13"/>
                <w:szCs w:val="13"/>
              </w:rPr>
            </w:pPr>
          </w:p>
        </w:tc>
        <w:tc>
          <w:tcPr>
            <w:tcW w:w="20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120" w:type="dxa"/>
            <w:vAlign w:val="bottom"/>
          </w:tcPr>
          <w:p w:rsidR="00AC12B4" w:rsidRDefault="00AC12B4">
            <w:pPr>
              <w:rPr>
                <w:sz w:val="13"/>
                <w:szCs w:val="13"/>
              </w:rPr>
            </w:pPr>
          </w:p>
        </w:tc>
        <w:tc>
          <w:tcPr>
            <w:tcW w:w="220" w:type="dxa"/>
            <w:vAlign w:val="bottom"/>
          </w:tcPr>
          <w:p w:rsidR="00AC12B4" w:rsidRDefault="00AC12B4">
            <w:pPr>
              <w:rPr>
                <w:sz w:val="13"/>
                <w:szCs w:val="13"/>
              </w:rPr>
            </w:pPr>
          </w:p>
        </w:tc>
        <w:tc>
          <w:tcPr>
            <w:tcW w:w="280" w:type="dxa"/>
            <w:vAlign w:val="bottom"/>
          </w:tcPr>
          <w:p w:rsidR="00AC12B4" w:rsidRDefault="00AC12B4">
            <w:pPr>
              <w:rPr>
                <w:sz w:val="13"/>
                <w:szCs w:val="13"/>
              </w:rPr>
            </w:pPr>
          </w:p>
        </w:tc>
        <w:tc>
          <w:tcPr>
            <w:tcW w:w="860" w:type="dxa"/>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rsidRPr="00C27636">
        <w:trPr>
          <w:trHeight w:val="269"/>
        </w:trPr>
        <w:tc>
          <w:tcPr>
            <w:tcW w:w="1460" w:type="dxa"/>
            <w:vAlign w:val="bottom"/>
          </w:tcPr>
          <w:p w:rsidR="00AC12B4" w:rsidRDefault="00AC12B4">
            <w:pPr>
              <w:rPr>
                <w:sz w:val="23"/>
                <w:szCs w:val="23"/>
              </w:rPr>
            </w:pPr>
          </w:p>
        </w:tc>
        <w:tc>
          <w:tcPr>
            <w:tcW w:w="4600" w:type="dxa"/>
            <w:gridSpan w:val="9"/>
            <w:vAlign w:val="bottom"/>
          </w:tcPr>
          <w:p w:rsidR="00AC12B4" w:rsidRPr="00C27636" w:rsidRDefault="00C27636">
            <w:pPr>
              <w:rPr>
                <w:sz w:val="20"/>
                <w:szCs w:val="20"/>
                <w:lang w:val="fr-BE"/>
              </w:rPr>
            </w:pPr>
            <w:r w:rsidRPr="00C27636">
              <w:rPr>
                <w:rFonts w:ascii="Calibri" w:eastAsia="Calibri" w:hAnsi="Calibri" w:cs="Calibri"/>
                <w:lang w:val="fr-BE"/>
              </w:rPr>
              <w:t>une mesure ultime, après que toutes les</w:t>
            </w:r>
          </w:p>
        </w:tc>
        <w:tc>
          <w:tcPr>
            <w:tcW w:w="120" w:type="dxa"/>
            <w:vAlign w:val="bottom"/>
          </w:tcPr>
          <w:p w:rsidR="00AC12B4" w:rsidRPr="00C27636" w:rsidRDefault="00AC12B4">
            <w:pPr>
              <w:rPr>
                <w:sz w:val="23"/>
                <w:szCs w:val="23"/>
                <w:lang w:val="fr-BE"/>
              </w:rPr>
            </w:pPr>
          </w:p>
        </w:tc>
        <w:tc>
          <w:tcPr>
            <w:tcW w:w="500" w:type="dxa"/>
            <w:vAlign w:val="bottom"/>
          </w:tcPr>
          <w:p w:rsidR="00AC12B4" w:rsidRPr="00C27636" w:rsidRDefault="00AC12B4">
            <w:pPr>
              <w:rPr>
                <w:sz w:val="23"/>
                <w:szCs w:val="23"/>
                <w:lang w:val="fr-BE"/>
              </w:rPr>
            </w:pPr>
          </w:p>
        </w:tc>
        <w:tc>
          <w:tcPr>
            <w:tcW w:w="30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24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500" w:type="dxa"/>
            <w:vAlign w:val="bottom"/>
          </w:tcPr>
          <w:p w:rsidR="00AC12B4" w:rsidRPr="00C27636" w:rsidRDefault="00AC12B4">
            <w:pPr>
              <w:rPr>
                <w:sz w:val="23"/>
                <w:szCs w:val="23"/>
                <w:lang w:val="fr-BE"/>
              </w:rPr>
            </w:pPr>
          </w:p>
        </w:tc>
        <w:tc>
          <w:tcPr>
            <w:tcW w:w="14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360" w:type="dxa"/>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20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120" w:type="dxa"/>
            <w:vAlign w:val="bottom"/>
          </w:tcPr>
          <w:p w:rsidR="00AC12B4" w:rsidRPr="00C27636" w:rsidRDefault="00AC12B4">
            <w:pPr>
              <w:rPr>
                <w:sz w:val="23"/>
                <w:szCs w:val="23"/>
                <w:lang w:val="fr-BE"/>
              </w:rPr>
            </w:pPr>
          </w:p>
        </w:tc>
        <w:tc>
          <w:tcPr>
            <w:tcW w:w="220" w:type="dxa"/>
            <w:vAlign w:val="bottom"/>
          </w:tcPr>
          <w:p w:rsidR="00AC12B4" w:rsidRPr="00C27636" w:rsidRDefault="00AC12B4">
            <w:pPr>
              <w:rPr>
                <w:sz w:val="23"/>
                <w:szCs w:val="23"/>
                <w:lang w:val="fr-BE"/>
              </w:rPr>
            </w:pPr>
          </w:p>
        </w:tc>
        <w:tc>
          <w:tcPr>
            <w:tcW w:w="280" w:type="dxa"/>
            <w:vAlign w:val="bottom"/>
          </w:tcPr>
          <w:p w:rsidR="00AC12B4" w:rsidRPr="00C27636" w:rsidRDefault="00AC12B4">
            <w:pPr>
              <w:rPr>
                <w:sz w:val="23"/>
                <w:szCs w:val="23"/>
                <w:lang w:val="fr-BE"/>
              </w:rPr>
            </w:pPr>
          </w:p>
        </w:tc>
        <w:tc>
          <w:tcPr>
            <w:tcW w:w="86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186"/>
        </w:trPr>
        <w:tc>
          <w:tcPr>
            <w:tcW w:w="1460" w:type="dxa"/>
            <w:vAlign w:val="bottom"/>
          </w:tcPr>
          <w:p w:rsidR="00AC12B4" w:rsidRPr="00C27636" w:rsidRDefault="00AC12B4">
            <w:pPr>
              <w:rPr>
                <w:sz w:val="16"/>
                <w:szCs w:val="16"/>
                <w:lang w:val="fr-BE"/>
              </w:rPr>
            </w:pPr>
          </w:p>
        </w:tc>
        <w:tc>
          <w:tcPr>
            <w:tcW w:w="460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 xml:space="preserve">alternatives ont été exclues, </w:t>
            </w:r>
            <w:r w:rsidRPr="00C27636">
              <w:rPr>
                <w:rFonts w:ascii="Calibri" w:eastAsia="Calibri" w:hAnsi="Calibri" w:cs="Calibri"/>
                <w:lang w:val="fr-BE"/>
              </w:rPr>
              <w:lastRenderedPageBreak/>
              <w:t>et pour la</w:t>
            </w:r>
          </w:p>
        </w:tc>
        <w:tc>
          <w:tcPr>
            <w:tcW w:w="120" w:type="dxa"/>
            <w:tcBorders>
              <w:bottom w:val="single" w:sz="8" w:space="0" w:color="auto"/>
            </w:tcBorders>
            <w:vAlign w:val="bottom"/>
          </w:tcPr>
          <w:p w:rsidR="00AC12B4" w:rsidRPr="00C27636" w:rsidRDefault="00AC12B4">
            <w:pPr>
              <w:rPr>
                <w:sz w:val="16"/>
                <w:szCs w:val="16"/>
                <w:lang w:val="fr-BE"/>
              </w:rPr>
            </w:pPr>
          </w:p>
        </w:tc>
        <w:tc>
          <w:tcPr>
            <w:tcW w:w="500" w:type="dxa"/>
            <w:tcBorders>
              <w:bottom w:val="single" w:sz="8" w:space="0" w:color="auto"/>
            </w:tcBorders>
            <w:vAlign w:val="bottom"/>
          </w:tcPr>
          <w:p w:rsidR="00AC12B4" w:rsidRPr="00C27636" w:rsidRDefault="00AC12B4">
            <w:pPr>
              <w:rPr>
                <w:sz w:val="16"/>
                <w:szCs w:val="16"/>
                <w:lang w:val="fr-BE"/>
              </w:rPr>
            </w:pPr>
          </w:p>
        </w:tc>
        <w:tc>
          <w:tcPr>
            <w:tcW w:w="300" w:type="dxa"/>
            <w:tcBorders>
              <w:bottom w:val="single" w:sz="8" w:space="0" w:color="auto"/>
            </w:tcBorders>
            <w:vAlign w:val="bottom"/>
          </w:tcPr>
          <w:p w:rsidR="00AC12B4" w:rsidRPr="00C27636" w:rsidRDefault="00AC12B4">
            <w:pPr>
              <w:rPr>
                <w:sz w:val="16"/>
                <w:szCs w:val="16"/>
                <w:lang w:val="fr-BE"/>
              </w:rPr>
            </w:pPr>
          </w:p>
        </w:tc>
        <w:tc>
          <w:tcPr>
            <w:tcW w:w="240" w:type="dxa"/>
            <w:tcBorders>
              <w:bottom w:val="single" w:sz="8" w:space="0" w:color="auto"/>
            </w:tcBorders>
            <w:vAlign w:val="bottom"/>
          </w:tcPr>
          <w:p w:rsidR="00AC12B4" w:rsidRPr="00C27636" w:rsidRDefault="00AC12B4">
            <w:pPr>
              <w:rPr>
                <w:sz w:val="16"/>
                <w:szCs w:val="16"/>
                <w:lang w:val="fr-BE"/>
              </w:rPr>
            </w:pPr>
          </w:p>
        </w:tc>
        <w:tc>
          <w:tcPr>
            <w:tcW w:w="240" w:type="dxa"/>
            <w:tcBorders>
              <w:bottom w:val="single" w:sz="8" w:space="0" w:color="auto"/>
            </w:tcBorders>
            <w:vAlign w:val="bottom"/>
          </w:tcPr>
          <w:p w:rsidR="00AC12B4" w:rsidRPr="00C27636" w:rsidRDefault="00AC12B4">
            <w:pPr>
              <w:rPr>
                <w:sz w:val="16"/>
                <w:szCs w:val="16"/>
                <w:lang w:val="fr-BE"/>
              </w:rPr>
            </w:pPr>
          </w:p>
        </w:tc>
        <w:tc>
          <w:tcPr>
            <w:tcW w:w="280" w:type="dxa"/>
            <w:tcBorders>
              <w:bottom w:val="single" w:sz="8" w:space="0" w:color="auto"/>
            </w:tcBorders>
            <w:vAlign w:val="bottom"/>
          </w:tcPr>
          <w:p w:rsidR="00AC12B4" w:rsidRPr="00C27636" w:rsidRDefault="00AC12B4">
            <w:pPr>
              <w:rPr>
                <w:sz w:val="16"/>
                <w:szCs w:val="16"/>
                <w:lang w:val="fr-BE"/>
              </w:rPr>
            </w:pPr>
          </w:p>
        </w:tc>
        <w:tc>
          <w:tcPr>
            <w:tcW w:w="500" w:type="dxa"/>
            <w:tcBorders>
              <w:bottom w:val="single" w:sz="8" w:space="0" w:color="auto"/>
            </w:tcBorders>
            <w:vAlign w:val="bottom"/>
          </w:tcPr>
          <w:p w:rsidR="00AC12B4" w:rsidRPr="00C27636" w:rsidRDefault="00AC12B4">
            <w:pPr>
              <w:rPr>
                <w:sz w:val="16"/>
                <w:szCs w:val="16"/>
                <w:lang w:val="fr-BE"/>
              </w:rPr>
            </w:pPr>
          </w:p>
        </w:tc>
        <w:tc>
          <w:tcPr>
            <w:tcW w:w="140" w:type="dxa"/>
            <w:tcBorders>
              <w:bottom w:val="single" w:sz="8" w:space="0" w:color="auto"/>
            </w:tcBorders>
            <w:vAlign w:val="bottom"/>
          </w:tcPr>
          <w:p w:rsidR="00AC12B4" w:rsidRPr="00C27636" w:rsidRDefault="00AC12B4">
            <w:pPr>
              <w:rPr>
                <w:sz w:val="16"/>
                <w:szCs w:val="16"/>
                <w:lang w:val="fr-BE"/>
              </w:rPr>
            </w:pPr>
          </w:p>
        </w:tc>
        <w:tc>
          <w:tcPr>
            <w:tcW w:w="120" w:type="dxa"/>
            <w:tcBorders>
              <w:bottom w:val="single" w:sz="8" w:space="0" w:color="auto"/>
            </w:tcBorders>
            <w:vAlign w:val="bottom"/>
          </w:tcPr>
          <w:p w:rsidR="00AC12B4" w:rsidRPr="00C27636" w:rsidRDefault="00AC12B4">
            <w:pPr>
              <w:rPr>
                <w:sz w:val="16"/>
                <w:szCs w:val="16"/>
                <w:lang w:val="fr-BE"/>
              </w:rPr>
            </w:pPr>
          </w:p>
        </w:tc>
        <w:tc>
          <w:tcPr>
            <w:tcW w:w="360" w:type="dxa"/>
            <w:tcBorders>
              <w:bottom w:val="single" w:sz="8" w:space="0" w:color="auto"/>
            </w:tcBorders>
            <w:vAlign w:val="bottom"/>
          </w:tcPr>
          <w:p w:rsidR="00AC12B4" w:rsidRPr="00C27636" w:rsidRDefault="00AC12B4">
            <w:pPr>
              <w:rPr>
                <w:sz w:val="16"/>
                <w:szCs w:val="16"/>
                <w:lang w:val="fr-BE"/>
              </w:rPr>
            </w:pPr>
          </w:p>
        </w:tc>
        <w:tc>
          <w:tcPr>
            <w:tcW w:w="80" w:type="dxa"/>
            <w:tcBorders>
              <w:bottom w:val="single" w:sz="8" w:space="0" w:color="auto"/>
            </w:tcBorders>
            <w:vAlign w:val="bottom"/>
          </w:tcPr>
          <w:p w:rsidR="00AC12B4" w:rsidRPr="00C27636" w:rsidRDefault="00AC12B4">
            <w:pPr>
              <w:rPr>
                <w:sz w:val="16"/>
                <w:szCs w:val="16"/>
                <w:lang w:val="fr-BE"/>
              </w:rPr>
            </w:pPr>
          </w:p>
        </w:tc>
        <w:tc>
          <w:tcPr>
            <w:tcW w:w="200" w:type="dxa"/>
            <w:vAlign w:val="bottom"/>
          </w:tcPr>
          <w:p w:rsidR="00AC12B4" w:rsidRPr="00C27636" w:rsidRDefault="00AC12B4">
            <w:pPr>
              <w:rPr>
                <w:sz w:val="16"/>
                <w:szCs w:val="16"/>
                <w:lang w:val="fr-BE"/>
              </w:rPr>
            </w:pPr>
          </w:p>
        </w:tc>
        <w:tc>
          <w:tcPr>
            <w:tcW w:w="120" w:type="dxa"/>
            <w:vAlign w:val="bottom"/>
          </w:tcPr>
          <w:p w:rsidR="00AC12B4" w:rsidRPr="00C27636" w:rsidRDefault="00AC12B4">
            <w:pPr>
              <w:rPr>
                <w:sz w:val="16"/>
                <w:szCs w:val="16"/>
                <w:lang w:val="fr-BE"/>
              </w:rPr>
            </w:pPr>
          </w:p>
        </w:tc>
        <w:tc>
          <w:tcPr>
            <w:tcW w:w="120" w:type="dxa"/>
            <w:vAlign w:val="bottom"/>
          </w:tcPr>
          <w:p w:rsidR="00AC12B4" w:rsidRPr="00C27636" w:rsidRDefault="00AC12B4">
            <w:pPr>
              <w:rPr>
                <w:sz w:val="16"/>
                <w:szCs w:val="16"/>
                <w:lang w:val="fr-BE"/>
              </w:rPr>
            </w:pPr>
          </w:p>
        </w:tc>
        <w:tc>
          <w:tcPr>
            <w:tcW w:w="220" w:type="dxa"/>
            <w:vAlign w:val="bottom"/>
          </w:tcPr>
          <w:p w:rsidR="00AC12B4" w:rsidRPr="00C27636" w:rsidRDefault="00AC12B4">
            <w:pPr>
              <w:rPr>
                <w:sz w:val="16"/>
                <w:szCs w:val="16"/>
                <w:lang w:val="fr-BE"/>
              </w:rPr>
            </w:pPr>
          </w:p>
        </w:tc>
        <w:tc>
          <w:tcPr>
            <w:tcW w:w="280" w:type="dxa"/>
            <w:vAlign w:val="bottom"/>
          </w:tcPr>
          <w:p w:rsidR="00AC12B4" w:rsidRPr="00C27636" w:rsidRDefault="00AC12B4">
            <w:pPr>
              <w:rPr>
                <w:sz w:val="16"/>
                <w:szCs w:val="16"/>
                <w:lang w:val="fr-BE"/>
              </w:rPr>
            </w:pPr>
          </w:p>
        </w:tc>
        <w:tc>
          <w:tcPr>
            <w:tcW w:w="860" w:type="dxa"/>
            <w:vAlign w:val="bottom"/>
          </w:tcPr>
          <w:p w:rsidR="00AC12B4" w:rsidRPr="00C27636" w:rsidRDefault="00AC12B4">
            <w:pPr>
              <w:rPr>
                <w:sz w:val="16"/>
                <w:szCs w:val="16"/>
                <w:lang w:val="fr-BE"/>
              </w:rPr>
            </w:pPr>
          </w:p>
        </w:tc>
        <w:tc>
          <w:tcPr>
            <w:tcW w:w="0" w:type="dxa"/>
            <w:vAlign w:val="bottom"/>
          </w:tcPr>
          <w:p w:rsidR="00AC12B4" w:rsidRPr="00C27636" w:rsidRDefault="00AC12B4">
            <w:pPr>
              <w:rPr>
                <w:sz w:val="1"/>
                <w:szCs w:val="1"/>
                <w:lang w:val="fr-BE"/>
              </w:rPr>
            </w:pPr>
          </w:p>
        </w:tc>
      </w:tr>
      <w:tr w:rsidR="00AC12B4" w:rsidRPr="00C27636">
        <w:trPr>
          <w:trHeight w:val="63"/>
        </w:trPr>
        <w:tc>
          <w:tcPr>
            <w:tcW w:w="1460" w:type="dxa"/>
            <w:vAlign w:val="bottom"/>
          </w:tcPr>
          <w:p w:rsidR="00AC12B4" w:rsidRPr="00C27636" w:rsidRDefault="00AC12B4">
            <w:pPr>
              <w:rPr>
                <w:sz w:val="5"/>
                <w:szCs w:val="5"/>
                <w:lang w:val="fr-BE"/>
              </w:rPr>
            </w:pPr>
          </w:p>
        </w:tc>
        <w:tc>
          <w:tcPr>
            <w:tcW w:w="4600" w:type="dxa"/>
            <w:gridSpan w:val="9"/>
            <w:vMerge/>
            <w:vAlign w:val="bottom"/>
          </w:tcPr>
          <w:p w:rsidR="00AC12B4" w:rsidRPr="00C27636" w:rsidRDefault="00AC12B4">
            <w:pPr>
              <w:rPr>
                <w:sz w:val="5"/>
                <w:szCs w:val="5"/>
                <w:lang w:val="fr-BE"/>
              </w:rPr>
            </w:pPr>
          </w:p>
        </w:tc>
        <w:tc>
          <w:tcPr>
            <w:tcW w:w="120" w:type="dxa"/>
            <w:vAlign w:val="bottom"/>
          </w:tcPr>
          <w:p w:rsidR="00AC12B4" w:rsidRPr="00C27636" w:rsidRDefault="00AC12B4">
            <w:pPr>
              <w:rPr>
                <w:sz w:val="5"/>
                <w:szCs w:val="5"/>
                <w:lang w:val="fr-BE"/>
              </w:rPr>
            </w:pPr>
          </w:p>
        </w:tc>
        <w:tc>
          <w:tcPr>
            <w:tcW w:w="500" w:type="dxa"/>
            <w:vAlign w:val="bottom"/>
          </w:tcPr>
          <w:p w:rsidR="00AC12B4" w:rsidRPr="00C27636" w:rsidRDefault="00AC12B4">
            <w:pPr>
              <w:rPr>
                <w:sz w:val="5"/>
                <w:szCs w:val="5"/>
                <w:lang w:val="fr-BE"/>
              </w:rPr>
            </w:pPr>
          </w:p>
        </w:tc>
        <w:tc>
          <w:tcPr>
            <w:tcW w:w="300" w:type="dxa"/>
            <w:vAlign w:val="bottom"/>
          </w:tcPr>
          <w:p w:rsidR="00AC12B4" w:rsidRPr="00C27636" w:rsidRDefault="00AC12B4">
            <w:pPr>
              <w:rPr>
                <w:sz w:val="5"/>
                <w:szCs w:val="5"/>
                <w:lang w:val="fr-BE"/>
              </w:rPr>
            </w:pPr>
          </w:p>
        </w:tc>
        <w:tc>
          <w:tcPr>
            <w:tcW w:w="240" w:type="dxa"/>
            <w:vAlign w:val="bottom"/>
          </w:tcPr>
          <w:p w:rsidR="00AC12B4" w:rsidRPr="00C27636" w:rsidRDefault="00AC12B4">
            <w:pPr>
              <w:rPr>
                <w:sz w:val="5"/>
                <w:szCs w:val="5"/>
                <w:lang w:val="fr-BE"/>
              </w:rPr>
            </w:pPr>
          </w:p>
        </w:tc>
        <w:tc>
          <w:tcPr>
            <w:tcW w:w="240" w:type="dxa"/>
            <w:vAlign w:val="bottom"/>
          </w:tcPr>
          <w:p w:rsidR="00AC12B4" w:rsidRPr="00C27636" w:rsidRDefault="00AC12B4">
            <w:pPr>
              <w:rPr>
                <w:sz w:val="5"/>
                <w:szCs w:val="5"/>
                <w:lang w:val="fr-BE"/>
              </w:rPr>
            </w:pPr>
          </w:p>
        </w:tc>
        <w:tc>
          <w:tcPr>
            <w:tcW w:w="280" w:type="dxa"/>
            <w:vAlign w:val="bottom"/>
          </w:tcPr>
          <w:p w:rsidR="00AC12B4" w:rsidRPr="00C27636" w:rsidRDefault="00AC12B4">
            <w:pPr>
              <w:rPr>
                <w:sz w:val="5"/>
                <w:szCs w:val="5"/>
                <w:lang w:val="fr-BE"/>
              </w:rPr>
            </w:pPr>
          </w:p>
        </w:tc>
        <w:tc>
          <w:tcPr>
            <w:tcW w:w="500" w:type="dxa"/>
            <w:vAlign w:val="bottom"/>
          </w:tcPr>
          <w:p w:rsidR="00AC12B4" w:rsidRPr="00C27636" w:rsidRDefault="00AC12B4">
            <w:pPr>
              <w:rPr>
                <w:sz w:val="5"/>
                <w:szCs w:val="5"/>
                <w:lang w:val="fr-BE"/>
              </w:rPr>
            </w:pPr>
          </w:p>
        </w:tc>
        <w:tc>
          <w:tcPr>
            <w:tcW w:w="140" w:type="dxa"/>
            <w:vAlign w:val="bottom"/>
          </w:tcPr>
          <w:p w:rsidR="00AC12B4" w:rsidRPr="00C27636" w:rsidRDefault="00AC12B4">
            <w:pPr>
              <w:rPr>
                <w:sz w:val="5"/>
                <w:szCs w:val="5"/>
                <w:lang w:val="fr-BE"/>
              </w:rPr>
            </w:pPr>
          </w:p>
        </w:tc>
        <w:tc>
          <w:tcPr>
            <w:tcW w:w="120" w:type="dxa"/>
            <w:vAlign w:val="bottom"/>
          </w:tcPr>
          <w:p w:rsidR="00AC12B4" w:rsidRPr="00C27636" w:rsidRDefault="00AC12B4">
            <w:pPr>
              <w:rPr>
                <w:sz w:val="5"/>
                <w:szCs w:val="5"/>
                <w:lang w:val="fr-BE"/>
              </w:rPr>
            </w:pPr>
          </w:p>
        </w:tc>
        <w:tc>
          <w:tcPr>
            <w:tcW w:w="360" w:type="dxa"/>
            <w:vAlign w:val="bottom"/>
          </w:tcPr>
          <w:p w:rsidR="00AC12B4" w:rsidRPr="00C27636" w:rsidRDefault="00AC12B4">
            <w:pPr>
              <w:rPr>
                <w:sz w:val="5"/>
                <w:szCs w:val="5"/>
                <w:lang w:val="fr-BE"/>
              </w:rPr>
            </w:pPr>
          </w:p>
        </w:tc>
        <w:tc>
          <w:tcPr>
            <w:tcW w:w="80" w:type="dxa"/>
            <w:vAlign w:val="bottom"/>
          </w:tcPr>
          <w:p w:rsidR="00AC12B4" w:rsidRPr="00C27636" w:rsidRDefault="00AC12B4">
            <w:pPr>
              <w:rPr>
                <w:sz w:val="5"/>
                <w:szCs w:val="5"/>
                <w:lang w:val="fr-BE"/>
              </w:rPr>
            </w:pPr>
          </w:p>
        </w:tc>
        <w:tc>
          <w:tcPr>
            <w:tcW w:w="200" w:type="dxa"/>
            <w:vAlign w:val="bottom"/>
          </w:tcPr>
          <w:p w:rsidR="00AC12B4" w:rsidRPr="00C27636" w:rsidRDefault="00AC12B4">
            <w:pPr>
              <w:rPr>
                <w:sz w:val="5"/>
                <w:szCs w:val="5"/>
                <w:lang w:val="fr-BE"/>
              </w:rPr>
            </w:pPr>
          </w:p>
        </w:tc>
        <w:tc>
          <w:tcPr>
            <w:tcW w:w="120" w:type="dxa"/>
            <w:vAlign w:val="bottom"/>
          </w:tcPr>
          <w:p w:rsidR="00AC12B4" w:rsidRPr="00C27636" w:rsidRDefault="00AC12B4">
            <w:pPr>
              <w:rPr>
                <w:sz w:val="5"/>
                <w:szCs w:val="5"/>
                <w:lang w:val="fr-BE"/>
              </w:rPr>
            </w:pPr>
          </w:p>
        </w:tc>
        <w:tc>
          <w:tcPr>
            <w:tcW w:w="120" w:type="dxa"/>
            <w:vAlign w:val="bottom"/>
          </w:tcPr>
          <w:p w:rsidR="00AC12B4" w:rsidRPr="00C27636" w:rsidRDefault="00AC12B4">
            <w:pPr>
              <w:rPr>
                <w:sz w:val="5"/>
                <w:szCs w:val="5"/>
                <w:lang w:val="fr-BE"/>
              </w:rPr>
            </w:pPr>
          </w:p>
        </w:tc>
        <w:tc>
          <w:tcPr>
            <w:tcW w:w="220" w:type="dxa"/>
            <w:vAlign w:val="bottom"/>
          </w:tcPr>
          <w:p w:rsidR="00AC12B4" w:rsidRPr="00C27636" w:rsidRDefault="00AC12B4">
            <w:pPr>
              <w:rPr>
                <w:sz w:val="5"/>
                <w:szCs w:val="5"/>
                <w:lang w:val="fr-BE"/>
              </w:rPr>
            </w:pPr>
          </w:p>
        </w:tc>
        <w:tc>
          <w:tcPr>
            <w:tcW w:w="280" w:type="dxa"/>
            <w:vAlign w:val="bottom"/>
          </w:tcPr>
          <w:p w:rsidR="00AC12B4" w:rsidRPr="00C27636" w:rsidRDefault="00AC12B4">
            <w:pPr>
              <w:rPr>
                <w:sz w:val="5"/>
                <w:szCs w:val="5"/>
                <w:lang w:val="fr-BE"/>
              </w:rPr>
            </w:pPr>
          </w:p>
        </w:tc>
        <w:tc>
          <w:tcPr>
            <w:tcW w:w="860" w:type="dxa"/>
            <w:vAlign w:val="bottom"/>
          </w:tcPr>
          <w:p w:rsidR="00AC12B4" w:rsidRPr="00C27636" w:rsidRDefault="00AC12B4">
            <w:pPr>
              <w:rPr>
                <w:sz w:val="5"/>
                <w:szCs w:val="5"/>
                <w:lang w:val="fr-BE"/>
              </w:rPr>
            </w:pPr>
          </w:p>
        </w:tc>
        <w:tc>
          <w:tcPr>
            <w:tcW w:w="0" w:type="dxa"/>
            <w:vAlign w:val="bottom"/>
          </w:tcPr>
          <w:p w:rsidR="00AC12B4" w:rsidRPr="00C27636" w:rsidRDefault="00AC12B4">
            <w:pPr>
              <w:rPr>
                <w:sz w:val="1"/>
                <w:szCs w:val="1"/>
                <w:lang w:val="fr-BE"/>
              </w:rPr>
            </w:pPr>
          </w:p>
        </w:tc>
      </w:tr>
      <w:tr w:rsidR="00AC12B4">
        <w:trPr>
          <w:trHeight w:val="344"/>
        </w:trPr>
        <w:tc>
          <w:tcPr>
            <w:tcW w:w="1460" w:type="dxa"/>
            <w:vAlign w:val="bottom"/>
          </w:tcPr>
          <w:p w:rsidR="00AC12B4" w:rsidRPr="00C27636" w:rsidRDefault="00AC12B4">
            <w:pPr>
              <w:rPr>
                <w:sz w:val="24"/>
                <w:szCs w:val="24"/>
                <w:lang w:val="fr-BE"/>
              </w:rPr>
            </w:pPr>
          </w:p>
        </w:tc>
        <w:tc>
          <w:tcPr>
            <w:tcW w:w="680" w:type="dxa"/>
            <w:vAlign w:val="bottom"/>
          </w:tcPr>
          <w:p w:rsidR="00AC12B4" w:rsidRDefault="00C27636">
            <w:pPr>
              <w:rPr>
                <w:sz w:val="20"/>
                <w:szCs w:val="20"/>
              </w:rPr>
            </w:pPr>
            <w:r>
              <w:rPr>
                <w:rFonts w:ascii="Calibri" w:eastAsia="Calibri" w:hAnsi="Calibri" w:cs="Calibri"/>
              </w:rPr>
              <w:t>durée</w:t>
            </w:r>
          </w:p>
        </w:tc>
        <w:tc>
          <w:tcPr>
            <w:tcW w:w="640" w:type="dxa"/>
            <w:vAlign w:val="bottom"/>
          </w:tcPr>
          <w:p w:rsidR="00AC12B4" w:rsidRDefault="00C27636">
            <w:pPr>
              <w:ind w:left="200"/>
              <w:rPr>
                <w:sz w:val="20"/>
                <w:szCs w:val="20"/>
              </w:rPr>
            </w:pPr>
            <w:r>
              <w:rPr>
                <w:rFonts w:ascii="Calibri" w:eastAsia="Calibri" w:hAnsi="Calibri" w:cs="Calibri"/>
              </w:rPr>
              <w:t>la</w:t>
            </w:r>
          </w:p>
        </w:tc>
        <w:tc>
          <w:tcPr>
            <w:tcW w:w="480" w:type="dxa"/>
            <w:vAlign w:val="bottom"/>
          </w:tcPr>
          <w:p w:rsidR="00AC12B4" w:rsidRDefault="00C27636">
            <w:pPr>
              <w:ind w:left="60"/>
              <w:rPr>
                <w:sz w:val="20"/>
                <w:szCs w:val="20"/>
              </w:rPr>
            </w:pPr>
            <w:r>
              <w:rPr>
                <w:rFonts w:ascii="Calibri" w:eastAsia="Calibri" w:hAnsi="Calibri" w:cs="Calibri"/>
              </w:rPr>
              <w:t>plus</w:t>
            </w:r>
          </w:p>
        </w:tc>
        <w:tc>
          <w:tcPr>
            <w:tcW w:w="1280" w:type="dxa"/>
            <w:gridSpan w:val="4"/>
            <w:vAlign w:val="bottom"/>
          </w:tcPr>
          <w:p w:rsidR="00AC12B4" w:rsidRDefault="00C27636">
            <w:pPr>
              <w:ind w:left="300"/>
              <w:rPr>
                <w:sz w:val="20"/>
                <w:szCs w:val="20"/>
              </w:rPr>
            </w:pPr>
            <w:r>
              <w:rPr>
                <w:rFonts w:ascii="Calibri" w:eastAsia="Calibri" w:hAnsi="Calibri" w:cs="Calibri"/>
              </w:rPr>
              <w:t>réduite</w:t>
            </w:r>
          </w:p>
        </w:tc>
        <w:tc>
          <w:tcPr>
            <w:tcW w:w="1520" w:type="dxa"/>
            <w:gridSpan w:val="2"/>
            <w:vAlign w:val="bottom"/>
          </w:tcPr>
          <w:p w:rsidR="00AC12B4" w:rsidRDefault="00C27636">
            <w:pPr>
              <w:ind w:right="610"/>
              <w:jc w:val="right"/>
              <w:rPr>
                <w:sz w:val="20"/>
                <w:szCs w:val="20"/>
              </w:rPr>
            </w:pPr>
            <w:r>
              <w:rPr>
                <w:rFonts w:ascii="Calibri" w:eastAsia="Calibri" w:hAnsi="Calibri" w:cs="Calibri"/>
                <w:w w:val="99"/>
              </w:rPr>
              <w:t>possible.</w:t>
            </w:r>
          </w:p>
        </w:tc>
        <w:tc>
          <w:tcPr>
            <w:tcW w:w="920" w:type="dxa"/>
            <w:gridSpan w:val="3"/>
            <w:vAlign w:val="bottom"/>
          </w:tcPr>
          <w:p w:rsidR="00AC12B4" w:rsidRDefault="00C27636">
            <w:pPr>
              <w:rPr>
                <w:sz w:val="20"/>
                <w:szCs w:val="20"/>
              </w:rPr>
            </w:pPr>
            <w:r>
              <w:rPr>
                <w:rFonts w:ascii="Calibri" w:eastAsia="Calibri" w:hAnsi="Calibri" w:cs="Calibri"/>
                <w:sz w:val="25"/>
                <w:szCs w:val="25"/>
                <w:vertAlign w:val="superscript"/>
              </w:rPr>
              <w:t>2</w:t>
            </w:r>
            <w:r>
              <w:rPr>
                <w:rFonts w:ascii="Calibri" w:eastAsia="Calibri" w:hAnsi="Calibri" w:cs="Calibri"/>
                <w:sz w:val="20"/>
                <w:szCs w:val="20"/>
              </w:rPr>
              <w:t xml:space="preserve">  Service</w:t>
            </w:r>
          </w:p>
        </w:tc>
        <w:tc>
          <w:tcPr>
            <w:tcW w:w="240" w:type="dxa"/>
            <w:vAlign w:val="bottom"/>
          </w:tcPr>
          <w:p w:rsidR="00AC12B4" w:rsidRDefault="00C27636">
            <w:pPr>
              <w:ind w:left="20"/>
              <w:rPr>
                <w:sz w:val="20"/>
                <w:szCs w:val="20"/>
              </w:rPr>
            </w:pPr>
            <w:r>
              <w:rPr>
                <w:rFonts w:ascii="Calibri" w:eastAsia="Calibri" w:hAnsi="Calibri" w:cs="Calibri"/>
                <w:w w:val="97"/>
                <w:sz w:val="20"/>
                <w:szCs w:val="20"/>
              </w:rPr>
              <w:t>de</w:t>
            </w:r>
          </w:p>
        </w:tc>
        <w:tc>
          <w:tcPr>
            <w:tcW w:w="520" w:type="dxa"/>
            <w:gridSpan w:val="2"/>
            <w:vAlign w:val="bottom"/>
          </w:tcPr>
          <w:p w:rsidR="00AC12B4" w:rsidRDefault="00C27636">
            <w:pPr>
              <w:jc w:val="right"/>
              <w:rPr>
                <w:sz w:val="20"/>
                <w:szCs w:val="20"/>
              </w:rPr>
            </w:pPr>
            <w:r>
              <w:rPr>
                <w:rFonts w:ascii="Calibri" w:eastAsia="Calibri" w:hAnsi="Calibri" w:cs="Calibri"/>
                <w:sz w:val="20"/>
                <w:szCs w:val="20"/>
              </w:rPr>
              <w:t>lutte</w:t>
            </w:r>
          </w:p>
        </w:tc>
        <w:tc>
          <w:tcPr>
            <w:tcW w:w="760" w:type="dxa"/>
            <w:gridSpan w:val="3"/>
            <w:vAlign w:val="bottom"/>
          </w:tcPr>
          <w:p w:rsidR="00AC12B4" w:rsidRDefault="00C27636">
            <w:pPr>
              <w:ind w:left="140"/>
              <w:rPr>
                <w:sz w:val="20"/>
                <w:szCs w:val="20"/>
              </w:rPr>
            </w:pPr>
            <w:r>
              <w:rPr>
                <w:rFonts w:ascii="Calibri" w:eastAsia="Calibri" w:hAnsi="Calibri" w:cs="Calibri"/>
                <w:sz w:val="20"/>
                <w:szCs w:val="20"/>
              </w:rPr>
              <w:t>contre</w:t>
            </w:r>
          </w:p>
        </w:tc>
        <w:tc>
          <w:tcPr>
            <w:tcW w:w="360" w:type="dxa"/>
            <w:vAlign w:val="bottom"/>
          </w:tcPr>
          <w:p w:rsidR="00AC12B4" w:rsidRDefault="00C27636">
            <w:pPr>
              <w:ind w:left="60"/>
              <w:rPr>
                <w:sz w:val="20"/>
                <w:szCs w:val="20"/>
              </w:rPr>
            </w:pPr>
            <w:r>
              <w:rPr>
                <w:rFonts w:ascii="Calibri" w:eastAsia="Calibri" w:hAnsi="Calibri" w:cs="Calibri"/>
                <w:sz w:val="20"/>
                <w:szCs w:val="20"/>
              </w:rPr>
              <w:t>la</w:t>
            </w:r>
          </w:p>
        </w:tc>
        <w:tc>
          <w:tcPr>
            <w:tcW w:w="1880" w:type="dxa"/>
            <w:gridSpan w:val="7"/>
            <w:vAlign w:val="bottom"/>
          </w:tcPr>
          <w:p w:rsidR="00AC12B4" w:rsidRDefault="00C27636">
            <w:pPr>
              <w:ind w:right="720"/>
              <w:jc w:val="right"/>
              <w:rPr>
                <w:sz w:val="20"/>
                <w:szCs w:val="20"/>
              </w:rPr>
            </w:pPr>
            <w:r>
              <w:rPr>
                <w:rFonts w:ascii="Calibri" w:eastAsia="Calibri" w:hAnsi="Calibri" w:cs="Calibri"/>
                <w:sz w:val="20"/>
                <w:szCs w:val="20"/>
              </w:rPr>
              <w:t>pauvreté,  la</w:t>
            </w:r>
          </w:p>
        </w:tc>
        <w:tc>
          <w:tcPr>
            <w:tcW w:w="0" w:type="dxa"/>
            <w:vAlign w:val="bottom"/>
          </w:tcPr>
          <w:p w:rsidR="00AC12B4" w:rsidRDefault="00AC12B4">
            <w:pPr>
              <w:rPr>
                <w:sz w:val="1"/>
                <w:szCs w:val="1"/>
              </w:rPr>
            </w:pPr>
          </w:p>
        </w:tc>
      </w:tr>
      <w:tr w:rsidR="00AC12B4">
        <w:trPr>
          <w:trHeight w:val="220"/>
        </w:trPr>
        <w:tc>
          <w:tcPr>
            <w:tcW w:w="1460" w:type="dxa"/>
            <w:vAlign w:val="bottom"/>
          </w:tcPr>
          <w:p w:rsidR="00AC12B4" w:rsidRDefault="00AC12B4">
            <w:pPr>
              <w:rPr>
                <w:sz w:val="19"/>
                <w:szCs w:val="19"/>
              </w:rPr>
            </w:pPr>
          </w:p>
        </w:tc>
        <w:tc>
          <w:tcPr>
            <w:tcW w:w="1320" w:type="dxa"/>
            <w:gridSpan w:val="2"/>
            <w:vAlign w:val="bottom"/>
          </w:tcPr>
          <w:p w:rsidR="00AC12B4" w:rsidRDefault="00C27636">
            <w:pPr>
              <w:spacing w:line="220" w:lineRule="exact"/>
              <w:rPr>
                <w:sz w:val="20"/>
                <w:szCs w:val="20"/>
              </w:rPr>
            </w:pPr>
            <w:r>
              <w:rPr>
                <w:rFonts w:ascii="Calibri" w:eastAsia="Calibri" w:hAnsi="Calibri" w:cs="Calibri"/>
              </w:rPr>
              <w:t>L'observation</w:t>
            </w:r>
          </w:p>
        </w:tc>
        <w:tc>
          <w:tcPr>
            <w:tcW w:w="840" w:type="dxa"/>
            <w:gridSpan w:val="2"/>
            <w:vAlign w:val="bottom"/>
          </w:tcPr>
          <w:p w:rsidR="00AC12B4" w:rsidRDefault="00C27636">
            <w:pPr>
              <w:spacing w:line="220" w:lineRule="exact"/>
              <w:ind w:left="40"/>
              <w:rPr>
                <w:sz w:val="20"/>
                <w:szCs w:val="20"/>
              </w:rPr>
            </w:pPr>
            <w:r>
              <w:rPr>
                <w:rFonts w:ascii="Calibri" w:eastAsia="Calibri" w:hAnsi="Calibri" w:cs="Calibri"/>
                <w:w w:val="99"/>
              </w:rPr>
              <w:t>générale</w:t>
            </w:r>
          </w:p>
        </w:tc>
        <w:tc>
          <w:tcPr>
            <w:tcW w:w="1000" w:type="dxa"/>
            <w:gridSpan w:val="4"/>
            <w:vAlign w:val="bottom"/>
          </w:tcPr>
          <w:p w:rsidR="00AC12B4" w:rsidRDefault="00C27636">
            <w:pPr>
              <w:spacing w:line="220" w:lineRule="exact"/>
              <w:ind w:left="120"/>
              <w:rPr>
                <w:sz w:val="20"/>
                <w:szCs w:val="20"/>
              </w:rPr>
            </w:pPr>
            <w:r>
              <w:rPr>
                <w:rFonts w:ascii="Calibri" w:eastAsia="Calibri" w:hAnsi="Calibri" w:cs="Calibri"/>
              </w:rPr>
              <w:t>n° 14 du</w:t>
            </w:r>
          </w:p>
        </w:tc>
        <w:tc>
          <w:tcPr>
            <w:tcW w:w="1440" w:type="dxa"/>
            <w:vAlign w:val="bottom"/>
          </w:tcPr>
          <w:p w:rsidR="00AC12B4" w:rsidRDefault="00C27636">
            <w:pPr>
              <w:spacing w:line="220" w:lineRule="exact"/>
              <w:ind w:right="610"/>
              <w:jc w:val="right"/>
              <w:rPr>
                <w:sz w:val="20"/>
                <w:szCs w:val="20"/>
              </w:rPr>
            </w:pPr>
            <w:r>
              <w:rPr>
                <w:rFonts w:ascii="Calibri" w:eastAsia="Calibri" w:hAnsi="Calibri" w:cs="Calibri"/>
              </w:rPr>
              <w:t>Comité</w:t>
            </w:r>
          </w:p>
        </w:tc>
        <w:tc>
          <w:tcPr>
            <w:tcW w:w="920" w:type="dxa"/>
            <w:gridSpan w:val="3"/>
            <w:vMerge w:val="restart"/>
            <w:vAlign w:val="bottom"/>
          </w:tcPr>
          <w:p w:rsidR="00AC12B4" w:rsidRDefault="00C27636">
            <w:pPr>
              <w:rPr>
                <w:sz w:val="20"/>
                <w:szCs w:val="20"/>
              </w:rPr>
            </w:pPr>
            <w:r>
              <w:rPr>
                <w:rFonts w:ascii="Calibri" w:eastAsia="Calibri" w:hAnsi="Calibri" w:cs="Calibri"/>
                <w:sz w:val="20"/>
                <w:szCs w:val="20"/>
              </w:rPr>
              <w:t>précarité</w:t>
            </w:r>
          </w:p>
        </w:tc>
        <w:tc>
          <w:tcPr>
            <w:tcW w:w="240" w:type="dxa"/>
            <w:vMerge w:val="restart"/>
            <w:vAlign w:val="bottom"/>
          </w:tcPr>
          <w:p w:rsidR="00AC12B4" w:rsidRDefault="00C27636">
            <w:pPr>
              <w:ind w:left="20"/>
              <w:rPr>
                <w:sz w:val="20"/>
                <w:szCs w:val="20"/>
              </w:rPr>
            </w:pPr>
            <w:r>
              <w:rPr>
                <w:rFonts w:ascii="Calibri" w:eastAsia="Calibri" w:hAnsi="Calibri" w:cs="Calibri"/>
                <w:sz w:val="20"/>
                <w:szCs w:val="20"/>
              </w:rPr>
              <w:t>et</w:t>
            </w:r>
          </w:p>
        </w:tc>
        <w:tc>
          <w:tcPr>
            <w:tcW w:w="1020" w:type="dxa"/>
            <w:gridSpan w:val="3"/>
            <w:vMerge w:val="restart"/>
            <w:vAlign w:val="bottom"/>
          </w:tcPr>
          <w:p w:rsidR="00AC12B4" w:rsidRDefault="00C27636">
            <w:pPr>
              <w:jc w:val="right"/>
              <w:rPr>
                <w:sz w:val="20"/>
                <w:szCs w:val="20"/>
              </w:rPr>
            </w:pPr>
            <w:r>
              <w:rPr>
                <w:rFonts w:ascii="Calibri" w:eastAsia="Calibri" w:hAnsi="Calibri" w:cs="Calibri"/>
                <w:sz w:val="20"/>
                <w:szCs w:val="20"/>
              </w:rPr>
              <w:t>l'exclusion</w:t>
            </w:r>
          </w:p>
        </w:tc>
        <w:tc>
          <w:tcPr>
            <w:tcW w:w="140" w:type="dxa"/>
            <w:vAlign w:val="bottom"/>
          </w:tcPr>
          <w:p w:rsidR="00AC12B4" w:rsidRDefault="00AC12B4">
            <w:pPr>
              <w:rPr>
                <w:sz w:val="19"/>
                <w:szCs w:val="19"/>
              </w:rPr>
            </w:pPr>
          </w:p>
        </w:tc>
        <w:tc>
          <w:tcPr>
            <w:tcW w:w="760" w:type="dxa"/>
            <w:gridSpan w:val="4"/>
            <w:vMerge w:val="restart"/>
            <w:vAlign w:val="bottom"/>
          </w:tcPr>
          <w:p w:rsidR="00AC12B4" w:rsidRDefault="00C27636">
            <w:pPr>
              <w:jc w:val="center"/>
              <w:rPr>
                <w:sz w:val="20"/>
                <w:szCs w:val="20"/>
              </w:rPr>
            </w:pPr>
            <w:r>
              <w:rPr>
                <w:rFonts w:ascii="Calibri" w:eastAsia="Calibri" w:hAnsi="Calibri" w:cs="Calibri"/>
                <w:w w:val="99"/>
                <w:sz w:val="20"/>
                <w:szCs w:val="20"/>
              </w:rPr>
              <w:t>sociale,</w:t>
            </w:r>
          </w:p>
        </w:tc>
        <w:tc>
          <w:tcPr>
            <w:tcW w:w="120" w:type="dxa"/>
            <w:vAlign w:val="bottom"/>
          </w:tcPr>
          <w:p w:rsidR="00AC12B4" w:rsidRDefault="00AC12B4">
            <w:pPr>
              <w:rPr>
                <w:sz w:val="19"/>
                <w:szCs w:val="19"/>
              </w:rPr>
            </w:pPr>
          </w:p>
        </w:tc>
        <w:tc>
          <w:tcPr>
            <w:tcW w:w="1480" w:type="dxa"/>
            <w:gridSpan w:val="4"/>
            <w:vMerge w:val="restart"/>
            <w:vAlign w:val="bottom"/>
          </w:tcPr>
          <w:p w:rsidR="00AC12B4" w:rsidRDefault="00C27636">
            <w:pPr>
              <w:ind w:right="720"/>
              <w:jc w:val="right"/>
              <w:rPr>
                <w:rFonts w:ascii="Calibri" w:eastAsia="Calibri" w:hAnsi="Calibri" w:cs="Calibri"/>
                <w:i/>
                <w:iCs/>
                <w:color w:val="0000FF"/>
                <w:w w:val="96"/>
                <w:sz w:val="20"/>
                <w:szCs w:val="20"/>
              </w:rPr>
            </w:pPr>
            <w:hyperlink r:id="rId346">
              <w:r>
                <w:rPr>
                  <w:rFonts w:ascii="Calibri" w:eastAsia="Calibri" w:hAnsi="Calibri" w:cs="Calibri"/>
                  <w:i/>
                  <w:iCs/>
                  <w:color w:val="0000FF"/>
                  <w:w w:val="96"/>
                  <w:sz w:val="20"/>
                  <w:szCs w:val="20"/>
                </w:rPr>
                <w:t>Familles</w:t>
              </w:r>
            </w:hyperlink>
          </w:p>
        </w:tc>
        <w:tc>
          <w:tcPr>
            <w:tcW w:w="0" w:type="dxa"/>
            <w:vAlign w:val="bottom"/>
          </w:tcPr>
          <w:p w:rsidR="00AC12B4" w:rsidRDefault="00AC12B4">
            <w:pPr>
              <w:rPr>
                <w:sz w:val="1"/>
                <w:szCs w:val="1"/>
              </w:rPr>
            </w:pPr>
          </w:p>
        </w:tc>
      </w:tr>
      <w:tr w:rsidR="00AC12B4">
        <w:trPr>
          <w:trHeight w:val="47"/>
        </w:trPr>
        <w:tc>
          <w:tcPr>
            <w:tcW w:w="1460" w:type="dxa"/>
            <w:vAlign w:val="bottom"/>
          </w:tcPr>
          <w:p w:rsidR="00AC12B4" w:rsidRDefault="00AC12B4">
            <w:pPr>
              <w:rPr>
                <w:sz w:val="4"/>
                <w:szCs w:val="4"/>
              </w:rPr>
            </w:pPr>
          </w:p>
        </w:tc>
        <w:tc>
          <w:tcPr>
            <w:tcW w:w="1320" w:type="dxa"/>
            <w:gridSpan w:val="2"/>
            <w:vMerge w:val="restart"/>
            <w:vAlign w:val="bottom"/>
          </w:tcPr>
          <w:p w:rsidR="00AC12B4" w:rsidRDefault="00C27636">
            <w:pPr>
              <w:spacing w:line="243" w:lineRule="exact"/>
              <w:rPr>
                <w:sz w:val="20"/>
                <w:szCs w:val="20"/>
              </w:rPr>
            </w:pPr>
            <w:r>
              <w:rPr>
                <w:rFonts w:ascii="Calibri" w:eastAsia="Calibri" w:hAnsi="Calibri" w:cs="Calibri"/>
              </w:rPr>
              <w:t>des droits de</w:t>
            </w:r>
          </w:p>
        </w:tc>
        <w:tc>
          <w:tcPr>
            <w:tcW w:w="840" w:type="dxa"/>
            <w:gridSpan w:val="2"/>
            <w:vMerge w:val="restart"/>
            <w:vAlign w:val="bottom"/>
          </w:tcPr>
          <w:p w:rsidR="00AC12B4" w:rsidRDefault="00C27636">
            <w:pPr>
              <w:spacing w:line="243" w:lineRule="exact"/>
              <w:ind w:left="80"/>
              <w:rPr>
                <w:sz w:val="20"/>
                <w:szCs w:val="20"/>
              </w:rPr>
            </w:pPr>
            <w:r>
              <w:rPr>
                <w:rFonts w:ascii="Calibri" w:eastAsia="Calibri" w:hAnsi="Calibri" w:cs="Calibri"/>
              </w:rPr>
              <w:t>l'enfant</w:t>
            </w:r>
          </w:p>
        </w:tc>
        <w:tc>
          <w:tcPr>
            <w:tcW w:w="280" w:type="dxa"/>
            <w:vMerge w:val="restart"/>
            <w:vAlign w:val="bottom"/>
          </w:tcPr>
          <w:p w:rsidR="00AC12B4" w:rsidRDefault="00C27636">
            <w:pPr>
              <w:spacing w:line="243" w:lineRule="exact"/>
              <w:ind w:left="40"/>
              <w:rPr>
                <w:sz w:val="20"/>
                <w:szCs w:val="20"/>
              </w:rPr>
            </w:pPr>
            <w:r>
              <w:rPr>
                <w:rFonts w:ascii="Calibri" w:eastAsia="Calibri" w:hAnsi="Calibri" w:cs="Calibri"/>
                <w:w w:val="97"/>
              </w:rPr>
              <w:t>de</w:t>
            </w:r>
          </w:p>
        </w:tc>
        <w:tc>
          <w:tcPr>
            <w:tcW w:w="640" w:type="dxa"/>
            <w:gridSpan w:val="2"/>
            <w:vMerge w:val="restart"/>
            <w:vAlign w:val="bottom"/>
          </w:tcPr>
          <w:p w:rsidR="00AC12B4" w:rsidRDefault="00C27636">
            <w:pPr>
              <w:spacing w:line="243" w:lineRule="exact"/>
              <w:ind w:left="100"/>
              <w:rPr>
                <w:sz w:val="20"/>
                <w:szCs w:val="20"/>
              </w:rPr>
            </w:pPr>
            <w:r>
              <w:rPr>
                <w:rFonts w:ascii="Calibri" w:eastAsia="Calibri" w:hAnsi="Calibri" w:cs="Calibri"/>
                <w:w w:val="98"/>
              </w:rPr>
              <w:t>l'ONU</w:t>
            </w:r>
          </w:p>
        </w:tc>
        <w:tc>
          <w:tcPr>
            <w:tcW w:w="80" w:type="dxa"/>
            <w:vAlign w:val="bottom"/>
          </w:tcPr>
          <w:p w:rsidR="00AC12B4" w:rsidRDefault="00AC12B4">
            <w:pPr>
              <w:rPr>
                <w:sz w:val="4"/>
                <w:szCs w:val="4"/>
              </w:rPr>
            </w:pPr>
          </w:p>
        </w:tc>
        <w:tc>
          <w:tcPr>
            <w:tcW w:w="1440" w:type="dxa"/>
            <w:vMerge w:val="restart"/>
            <w:vAlign w:val="bottom"/>
          </w:tcPr>
          <w:p w:rsidR="00AC12B4" w:rsidRDefault="00C27636">
            <w:pPr>
              <w:spacing w:line="243" w:lineRule="exact"/>
              <w:ind w:right="610"/>
              <w:jc w:val="right"/>
              <w:rPr>
                <w:sz w:val="20"/>
                <w:szCs w:val="20"/>
              </w:rPr>
            </w:pPr>
            <w:r>
              <w:rPr>
                <w:rFonts w:ascii="Calibri" w:eastAsia="Calibri" w:hAnsi="Calibri" w:cs="Calibri"/>
              </w:rPr>
              <w:t>met en</w:t>
            </w:r>
          </w:p>
        </w:tc>
        <w:tc>
          <w:tcPr>
            <w:tcW w:w="920" w:type="dxa"/>
            <w:gridSpan w:val="3"/>
            <w:vMerge/>
            <w:vAlign w:val="bottom"/>
          </w:tcPr>
          <w:p w:rsidR="00AC12B4" w:rsidRDefault="00AC12B4">
            <w:pPr>
              <w:rPr>
                <w:sz w:val="4"/>
                <w:szCs w:val="4"/>
              </w:rPr>
            </w:pPr>
          </w:p>
        </w:tc>
        <w:tc>
          <w:tcPr>
            <w:tcW w:w="240" w:type="dxa"/>
            <w:vMerge/>
            <w:vAlign w:val="bottom"/>
          </w:tcPr>
          <w:p w:rsidR="00AC12B4" w:rsidRDefault="00AC12B4">
            <w:pPr>
              <w:rPr>
                <w:sz w:val="4"/>
                <w:szCs w:val="4"/>
              </w:rPr>
            </w:pPr>
          </w:p>
        </w:tc>
        <w:tc>
          <w:tcPr>
            <w:tcW w:w="1020" w:type="dxa"/>
            <w:gridSpan w:val="3"/>
            <w:vMerge/>
            <w:vAlign w:val="bottom"/>
          </w:tcPr>
          <w:p w:rsidR="00AC12B4" w:rsidRDefault="00AC12B4">
            <w:pPr>
              <w:rPr>
                <w:sz w:val="4"/>
                <w:szCs w:val="4"/>
              </w:rPr>
            </w:pPr>
          </w:p>
        </w:tc>
        <w:tc>
          <w:tcPr>
            <w:tcW w:w="140" w:type="dxa"/>
            <w:vAlign w:val="bottom"/>
          </w:tcPr>
          <w:p w:rsidR="00AC12B4" w:rsidRDefault="00AC12B4">
            <w:pPr>
              <w:rPr>
                <w:sz w:val="4"/>
                <w:szCs w:val="4"/>
              </w:rPr>
            </w:pPr>
          </w:p>
        </w:tc>
        <w:tc>
          <w:tcPr>
            <w:tcW w:w="760" w:type="dxa"/>
            <w:gridSpan w:val="4"/>
            <w:vMerge/>
            <w:vAlign w:val="bottom"/>
          </w:tcPr>
          <w:p w:rsidR="00AC12B4" w:rsidRDefault="00AC12B4">
            <w:pPr>
              <w:rPr>
                <w:sz w:val="4"/>
                <w:szCs w:val="4"/>
              </w:rPr>
            </w:pPr>
          </w:p>
        </w:tc>
        <w:tc>
          <w:tcPr>
            <w:tcW w:w="120" w:type="dxa"/>
            <w:vAlign w:val="bottom"/>
          </w:tcPr>
          <w:p w:rsidR="00AC12B4" w:rsidRDefault="00AC12B4">
            <w:pPr>
              <w:rPr>
                <w:sz w:val="4"/>
                <w:szCs w:val="4"/>
              </w:rPr>
            </w:pPr>
          </w:p>
        </w:tc>
        <w:tc>
          <w:tcPr>
            <w:tcW w:w="1480" w:type="dxa"/>
            <w:gridSpan w:val="4"/>
            <w:vMerge/>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0"/>
        </w:trPr>
        <w:tc>
          <w:tcPr>
            <w:tcW w:w="1460" w:type="dxa"/>
            <w:vAlign w:val="bottom"/>
          </w:tcPr>
          <w:p w:rsidR="00AC12B4" w:rsidRDefault="00AC12B4">
            <w:pPr>
              <w:spacing w:line="20" w:lineRule="exact"/>
              <w:rPr>
                <w:sz w:val="1"/>
                <w:szCs w:val="1"/>
              </w:rPr>
            </w:pPr>
          </w:p>
        </w:tc>
        <w:tc>
          <w:tcPr>
            <w:tcW w:w="1320" w:type="dxa"/>
            <w:gridSpan w:val="2"/>
            <w:vMerge/>
            <w:vAlign w:val="bottom"/>
          </w:tcPr>
          <w:p w:rsidR="00AC12B4" w:rsidRDefault="00AC12B4">
            <w:pPr>
              <w:spacing w:line="20" w:lineRule="exact"/>
              <w:rPr>
                <w:sz w:val="1"/>
                <w:szCs w:val="1"/>
              </w:rPr>
            </w:pPr>
          </w:p>
        </w:tc>
        <w:tc>
          <w:tcPr>
            <w:tcW w:w="840" w:type="dxa"/>
            <w:gridSpan w:val="2"/>
            <w:vMerge/>
            <w:vAlign w:val="bottom"/>
          </w:tcPr>
          <w:p w:rsidR="00AC12B4" w:rsidRDefault="00AC12B4">
            <w:pPr>
              <w:spacing w:line="20" w:lineRule="exact"/>
              <w:rPr>
                <w:sz w:val="1"/>
                <w:szCs w:val="1"/>
              </w:rPr>
            </w:pPr>
          </w:p>
        </w:tc>
        <w:tc>
          <w:tcPr>
            <w:tcW w:w="280" w:type="dxa"/>
            <w:vMerge/>
            <w:vAlign w:val="bottom"/>
          </w:tcPr>
          <w:p w:rsidR="00AC12B4" w:rsidRDefault="00AC12B4">
            <w:pPr>
              <w:spacing w:line="20" w:lineRule="exact"/>
              <w:rPr>
                <w:sz w:val="1"/>
                <w:szCs w:val="1"/>
              </w:rPr>
            </w:pPr>
          </w:p>
        </w:tc>
        <w:tc>
          <w:tcPr>
            <w:tcW w:w="640" w:type="dxa"/>
            <w:gridSpan w:val="2"/>
            <w:vMerge/>
            <w:vAlign w:val="bottom"/>
          </w:tcPr>
          <w:p w:rsidR="00AC12B4" w:rsidRDefault="00AC12B4">
            <w:pPr>
              <w:spacing w:line="20" w:lineRule="exact"/>
              <w:rPr>
                <w:sz w:val="1"/>
                <w:szCs w:val="1"/>
              </w:rPr>
            </w:pPr>
          </w:p>
        </w:tc>
        <w:tc>
          <w:tcPr>
            <w:tcW w:w="80" w:type="dxa"/>
            <w:vAlign w:val="bottom"/>
          </w:tcPr>
          <w:p w:rsidR="00AC12B4" w:rsidRDefault="00AC12B4">
            <w:pPr>
              <w:spacing w:line="20" w:lineRule="exact"/>
              <w:rPr>
                <w:sz w:val="1"/>
                <w:szCs w:val="1"/>
              </w:rPr>
            </w:pPr>
          </w:p>
        </w:tc>
        <w:tc>
          <w:tcPr>
            <w:tcW w:w="1440" w:type="dxa"/>
            <w:vMerge/>
            <w:vAlign w:val="bottom"/>
          </w:tcPr>
          <w:p w:rsidR="00AC12B4" w:rsidRDefault="00AC12B4">
            <w:pPr>
              <w:spacing w:line="20" w:lineRule="exact"/>
              <w:rPr>
                <w:sz w:val="1"/>
                <w:szCs w:val="1"/>
              </w:rPr>
            </w:pPr>
          </w:p>
        </w:tc>
        <w:tc>
          <w:tcPr>
            <w:tcW w:w="120" w:type="dxa"/>
            <w:vAlign w:val="bottom"/>
          </w:tcPr>
          <w:p w:rsidR="00AC12B4" w:rsidRDefault="00AC12B4">
            <w:pPr>
              <w:spacing w:line="20" w:lineRule="exact"/>
              <w:rPr>
                <w:sz w:val="1"/>
                <w:szCs w:val="1"/>
              </w:rPr>
            </w:pPr>
          </w:p>
        </w:tc>
        <w:tc>
          <w:tcPr>
            <w:tcW w:w="500" w:type="dxa"/>
            <w:vAlign w:val="bottom"/>
          </w:tcPr>
          <w:p w:rsidR="00AC12B4" w:rsidRDefault="00AC12B4">
            <w:pPr>
              <w:spacing w:line="20" w:lineRule="exact"/>
              <w:rPr>
                <w:sz w:val="1"/>
                <w:szCs w:val="1"/>
              </w:rPr>
            </w:pPr>
          </w:p>
        </w:tc>
        <w:tc>
          <w:tcPr>
            <w:tcW w:w="300" w:type="dxa"/>
            <w:vAlign w:val="bottom"/>
          </w:tcPr>
          <w:p w:rsidR="00AC12B4" w:rsidRDefault="00AC12B4">
            <w:pPr>
              <w:spacing w:line="20" w:lineRule="exact"/>
              <w:rPr>
                <w:sz w:val="1"/>
                <w:szCs w:val="1"/>
              </w:rPr>
            </w:pPr>
          </w:p>
        </w:tc>
        <w:tc>
          <w:tcPr>
            <w:tcW w:w="240" w:type="dxa"/>
            <w:vAlign w:val="bottom"/>
          </w:tcPr>
          <w:p w:rsidR="00AC12B4" w:rsidRDefault="00AC12B4">
            <w:pPr>
              <w:spacing w:line="20" w:lineRule="exact"/>
              <w:rPr>
                <w:sz w:val="1"/>
                <w:szCs w:val="1"/>
              </w:rPr>
            </w:pPr>
          </w:p>
        </w:tc>
        <w:tc>
          <w:tcPr>
            <w:tcW w:w="240" w:type="dxa"/>
            <w:vAlign w:val="bottom"/>
          </w:tcPr>
          <w:p w:rsidR="00AC12B4" w:rsidRDefault="00AC12B4">
            <w:pPr>
              <w:spacing w:line="20" w:lineRule="exact"/>
              <w:rPr>
                <w:sz w:val="1"/>
                <w:szCs w:val="1"/>
              </w:rPr>
            </w:pPr>
          </w:p>
        </w:tc>
        <w:tc>
          <w:tcPr>
            <w:tcW w:w="280" w:type="dxa"/>
            <w:vAlign w:val="bottom"/>
          </w:tcPr>
          <w:p w:rsidR="00AC12B4" w:rsidRDefault="00AC12B4">
            <w:pPr>
              <w:spacing w:line="20" w:lineRule="exact"/>
              <w:rPr>
                <w:sz w:val="1"/>
                <w:szCs w:val="1"/>
              </w:rPr>
            </w:pPr>
          </w:p>
        </w:tc>
        <w:tc>
          <w:tcPr>
            <w:tcW w:w="500" w:type="dxa"/>
            <w:vAlign w:val="bottom"/>
          </w:tcPr>
          <w:p w:rsidR="00AC12B4" w:rsidRDefault="00AC12B4">
            <w:pPr>
              <w:spacing w:line="20" w:lineRule="exact"/>
              <w:rPr>
                <w:sz w:val="1"/>
                <w:szCs w:val="1"/>
              </w:rPr>
            </w:pPr>
          </w:p>
        </w:tc>
        <w:tc>
          <w:tcPr>
            <w:tcW w:w="140" w:type="dxa"/>
            <w:vAlign w:val="bottom"/>
          </w:tcPr>
          <w:p w:rsidR="00AC12B4" w:rsidRDefault="00AC12B4">
            <w:pPr>
              <w:spacing w:line="20" w:lineRule="exact"/>
              <w:rPr>
                <w:sz w:val="1"/>
                <w:szCs w:val="1"/>
              </w:rPr>
            </w:pPr>
          </w:p>
        </w:tc>
        <w:tc>
          <w:tcPr>
            <w:tcW w:w="120" w:type="dxa"/>
            <w:vAlign w:val="bottom"/>
          </w:tcPr>
          <w:p w:rsidR="00AC12B4" w:rsidRDefault="00AC12B4">
            <w:pPr>
              <w:spacing w:line="20" w:lineRule="exact"/>
              <w:rPr>
                <w:sz w:val="1"/>
                <w:szCs w:val="1"/>
              </w:rPr>
            </w:pPr>
          </w:p>
        </w:tc>
        <w:tc>
          <w:tcPr>
            <w:tcW w:w="360" w:type="dxa"/>
            <w:vAlign w:val="bottom"/>
          </w:tcPr>
          <w:p w:rsidR="00AC12B4" w:rsidRDefault="00AC12B4">
            <w:pPr>
              <w:spacing w:line="20" w:lineRule="exact"/>
              <w:rPr>
                <w:sz w:val="1"/>
                <w:szCs w:val="1"/>
              </w:rPr>
            </w:pPr>
          </w:p>
        </w:tc>
        <w:tc>
          <w:tcPr>
            <w:tcW w:w="80" w:type="dxa"/>
            <w:vAlign w:val="bottom"/>
          </w:tcPr>
          <w:p w:rsidR="00AC12B4" w:rsidRDefault="00AC12B4">
            <w:pPr>
              <w:spacing w:line="20" w:lineRule="exact"/>
              <w:rPr>
                <w:sz w:val="1"/>
                <w:szCs w:val="1"/>
              </w:rPr>
            </w:pPr>
          </w:p>
        </w:tc>
        <w:tc>
          <w:tcPr>
            <w:tcW w:w="200" w:type="dxa"/>
            <w:vAlign w:val="bottom"/>
          </w:tcPr>
          <w:p w:rsidR="00AC12B4" w:rsidRDefault="00AC12B4">
            <w:pPr>
              <w:spacing w:line="20" w:lineRule="exact"/>
              <w:rPr>
                <w:sz w:val="1"/>
                <w:szCs w:val="1"/>
              </w:rPr>
            </w:pPr>
          </w:p>
        </w:tc>
        <w:tc>
          <w:tcPr>
            <w:tcW w:w="120" w:type="dxa"/>
            <w:vAlign w:val="bottom"/>
          </w:tcPr>
          <w:p w:rsidR="00AC12B4" w:rsidRDefault="00AC12B4">
            <w:pPr>
              <w:spacing w:line="20" w:lineRule="exact"/>
              <w:rPr>
                <w:sz w:val="1"/>
                <w:szCs w:val="1"/>
              </w:rPr>
            </w:pPr>
          </w:p>
        </w:tc>
        <w:tc>
          <w:tcPr>
            <w:tcW w:w="120" w:type="dxa"/>
            <w:shd w:val="clear" w:color="auto" w:fill="0000FF"/>
            <w:vAlign w:val="bottom"/>
          </w:tcPr>
          <w:p w:rsidR="00AC12B4" w:rsidRDefault="00AC12B4">
            <w:pPr>
              <w:spacing w:line="20" w:lineRule="exact"/>
              <w:rPr>
                <w:sz w:val="1"/>
                <w:szCs w:val="1"/>
              </w:rPr>
            </w:pPr>
          </w:p>
        </w:tc>
        <w:tc>
          <w:tcPr>
            <w:tcW w:w="220" w:type="dxa"/>
            <w:shd w:val="clear" w:color="auto" w:fill="0000FF"/>
            <w:vAlign w:val="bottom"/>
          </w:tcPr>
          <w:p w:rsidR="00AC12B4" w:rsidRDefault="00AC12B4">
            <w:pPr>
              <w:spacing w:line="20" w:lineRule="exact"/>
              <w:rPr>
                <w:sz w:val="1"/>
                <w:szCs w:val="1"/>
              </w:rPr>
            </w:pPr>
          </w:p>
        </w:tc>
        <w:tc>
          <w:tcPr>
            <w:tcW w:w="280" w:type="dxa"/>
            <w:shd w:val="clear" w:color="auto" w:fill="0000FF"/>
            <w:vAlign w:val="bottom"/>
          </w:tcPr>
          <w:p w:rsidR="00AC12B4" w:rsidRDefault="00AC12B4">
            <w:pPr>
              <w:spacing w:line="20" w:lineRule="exact"/>
              <w:rPr>
                <w:sz w:val="1"/>
                <w:szCs w:val="1"/>
              </w:rPr>
            </w:pPr>
          </w:p>
        </w:tc>
        <w:tc>
          <w:tcPr>
            <w:tcW w:w="860" w:type="dxa"/>
            <w:tcBorders>
              <w:left w:val="single" w:sz="8" w:space="0" w:color="0000FF"/>
            </w:tcBorders>
            <w:vAlign w:val="bottom"/>
          </w:tcPr>
          <w:p w:rsidR="00AC12B4" w:rsidRDefault="00AC12B4">
            <w:pPr>
              <w:spacing w:line="20" w:lineRule="exact"/>
              <w:rPr>
                <w:sz w:val="1"/>
                <w:szCs w:val="1"/>
              </w:rPr>
            </w:pPr>
          </w:p>
        </w:tc>
        <w:tc>
          <w:tcPr>
            <w:tcW w:w="0" w:type="dxa"/>
            <w:vAlign w:val="bottom"/>
          </w:tcPr>
          <w:p w:rsidR="00AC12B4" w:rsidRDefault="00AC12B4">
            <w:pPr>
              <w:spacing w:line="20" w:lineRule="exact"/>
              <w:rPr>
                <w:sz w:val="1"/>
                <w:szCs w:val="1"/>
              </w:rPr>
            </w:pPr>
          </w:p>
        </w:tc>
      </w:tr>
      <w:tr w:rsidR="00AC12B4" w:rsidRPr="00C27636">
        <w:trPr>
          <w:trHeight w:val="176"/>
        </w:trPr>
        <w:tc>
          <w:tcPr>
            <w:tcW w:w="1460" w:type="dxa"/>
            <w:vAlign w:val="bottom"/>
          </w:tcPr>
          <w:p w:rsidR="00AC12B4" w:rsidRDefault="00AC12B4">
            <w:pPr>
              <w:rPr>
                <w:sz w:val="15"/>
                <w:szCs w:val="15"/>
              </w:rPr>
            </w:pPr>
          </w:p>
        </w:tc>
        <w:tc>
          <w:tcPr>
            <w:tcW w:w="1320" w:type="dxa"/>
            <w:gridSpan w:val="2"/>
            <w:vMerge/>
            <w:vAlign w:val="bottom"/>
          </w:tcPr>
          <w:p w:rsidR="00AC12B4" w:rsidRDefault="00AC12B4">
            <w:pPr>
              <w:rPr>
                <w:sz w:val="15"/>
                <w:szCs w:val="15"/>
              </w:rPr>
            </w:pPr>
          </w:p>
        </w:tc>
        <w:tc>
          <w:tcPr>
            <w:tcW w:w="840" w:type="dxa"/>
            <w:gridSpan w:val="2"/>
            <w:vMerge/>
            <w:vAlign w:val="bottom"/>
          </w:tcPr>
          <w:p w:rsidR="00AC12B4" w:rsidRDefault="00AC12B4">
            <w:pPr>
              <w:rPr>
                <w:sz w:val="15"/>
                <w:szCs w:val="15"/>
              </w:rPr>
            </w:pPr>
          </w:p>
        </w:tc>
        <w:tc>
          <w:tcPr>
            <w:tcW w:w="280" w:type="dxa"/>
            <w:vMerge/>
            <w:vAlign w:val="bottom"/>
          </w:tcPr>
          <w:p w:rsidR="00AC12B4" w:rsidRDefault="00AC12B4">
            <w:pPr>
              <w:rPr>
                <w:sz w:val="15"/>
                <w:szCs w:val="15"/>
              </w:rPr>
            </w:pPr>
          </w:p>
        </w:tc>
        <w:tc>
          <w:tcPr>
            <w:tcW w:w="640" w:type="dxa"/>
            <w:gridSpan w:val="2"/>
            <w:vMerge/>
            <w:vAlign w:val="bottom"/>
          </w:tcPr>
          <w:p w:rsidR="00AC12B4" w:rsidRDefault="00AC12B4">
            <w:pPr>
              <w:rPr>
                <w:sz w:val="15"/>
                <w:szCs w:val="15"/>
              </w:rPr>
            </w:pPr>
          </w:p>
        </w:tc>
        <w:tc>
          <w:tcPr>
            <w:tcW w:w="80" w:type="dxa"/>
            <w:vAlign w:val="bottom"/>
          </w:tcPr>
          <w:p w:rsidR="00AC12B4" w:rsidRDefault="00AC12B4">
            <w:pPr>
              <w:rPr>
                <w:sz w:val="15"/>
                <w:szCs w:val="15"/>
              </w:rPr>
            </w:pPr>
          </w:p>
        </w:tc>
        <w:tc>
          <w:tcPr>
            <w:tcW w:w="1440" w:type="dxa"/>
            <w:vMerge/>
            <w:vAlign w:val="bottom"/>
          </w:tcPr>
          <w:p w:rsidR="00AC12B4" w:rsidRDefault="00AC12B4">
            <w:pPr>
              <w:rPr>
                <w:sz w:val="15"/>
                <w:szCs w:val="15"/>
              </w:rPr>
            </w:pPr>
          </w:p>
        </w:tc>
        <w:tc>
          <w:tcPr>
            <w:tcW w:w="4680" w:type="dxa"/>
            <w:gridSpan w:val="17"/>
            <w:vMerge w:val="restart"/>
            <w:vAlign w:val="bottom"/>
          </w:tcPr>
          <w:p w:rsidR="00AC12B4" w:rsidRPr="00C27636" w:rsidRDefault="00C27636">
            <w:pPr>
              <w:spacing w:line="224" w:lineRule="exact"/>
              <w:rPr>
                <w:rFonts w:ascii="Calibri" w:eastAsia="Calibri" w:hAnsi="Calibri" w:cs="Calibri"/>
                <w:i/>
                <w:iCs/>
                <w:color w:val="0000FF"/>
                <w:sz w:val="20"/>
                <w:szCs w:val="20"/>
                <w:lang w:val="fr-BE"/>
              </w:rPr>
            </w:pPr>
            <w:hyperlink r:id="rId347">
              <w:r w:rsidRPr="00C27636">
                <w:rPr>
                  <w:rFonts w:ascii="Calibri" w:eastAsia="Calibri" w:hAnsi="Calibri" w:cs="Calibri"/>
                  <w:i/>
                  <w:iCs/>
                  <w:color w:val="0000FF"/>
                  <w:sz w:val="20"/>
                  <w:szCs w:val="20"/>
                  <w:lang w:val="fr-BE"/>
                </w:rPr>
                <w:t>pauvres: soutenir le lien dans la séparatio</w:t>
              </w:r>
              <w:r w:rsidRPr="00C27636">
                <w:rPr>
                  <w:rFonts w:ascii="Calibri" w:eastAsia="Calibri" w:hAnsi="Calibri" w:cs="Calibri"/>
                  <w:color w:val="0000FF"/>
                  <w:sz w:val="20"/>
                  <w:szCs w:val="20"/>
                  <w:lang w:val="fr-BE"/>
                </w:rPr>
                <w:t>n</w:t>
              </w:r>
              <w:r w:rsidRPr="00C27636">
                <w:rPr>
                  <w:rFonts w:ascii="Calibri" w:eastAsia="Calibri" w:hAnsi="Calibri" w:cs="Calibri"/>
                  <w:color w:val="000000"/>
                  <w:sz w:val="20"/>
                  <w:szCs w:val="20"/>
                  <w:lang w:val="fr-BE"/>
                </w:rPr>
                <w:t>,</w:t>
              </w:r>
            </w:hyperlink>
          </w:p>
        </w:tc>
        <w:tc>
          <w:tcPr>
            <w:tcW w:w="0" w:type="dxa"/>
            <w:vAlign w:val="bottom"/>
          </w:tcPr>
          <w:p w:rsidR="00AC12B4" w:rsidRPr="00C27636" w:rsidRDefault="00AC12B4">
            <w:pPr>
              <w:rPr>
                <w:sz w:val="1"/>
                <w:szCs w:val="1"/>
                <w:lang w:val="fr-BE"/>
              </w:rPr>
            </w:pPr>
          </w:p>
        </w:tc>
      </w:tr>
      <w:tr w:rsidR="00AC12B4" w:rsidRPr="00C27636">
        <w:trPr>
          <w:trHeight w:val="49"/>
        </w:trPr>
        <w:tc>
          <w:tcPr>
            <w:tcW w:w="1460" w:type="dxa"/>
            <w:vAlign w:val="bottom"/>
          </w:tcPr>
          <w:p w:rsidR="00AC12B4" w:rsidRPr="00C27636" w:rsidRDefault="00AC12B4">
            <w:pPr>
              <w:rPr>
                <w:sz w:val="4"/>
                <w:szCs w:val="4"/>
                <w:lang w:val="fr-BE"/>
              </w:rPr>
            </w:pPr>
          </w:p>
        </w:tc>
        <w:tc>
          <w:tcPr>
            <w:tcW w:w="460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garde contre les placements inspirés par la</w:t>
            </w:r>
          </w:p>
        </w:tc>
        <w:tc>
          <w:tcPr>
            <w:tcW w:w="4680" w:type="dxa"/>
            <w:gridSpan w:val="17"/>
            <w:vMerge/>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rsidRPr="00C27636">
        <w:trPr>
          <w:trHeight w:val="20"/>
        </w:trPr>
        <w:tc>
          <w:tcPr>
            <w:tcW w:w="1460" w:type="dxa"/>
            <w:vAlign w:val="bottom"/>
          </w:tcPr>
          <w:p w:rsidR="00AC12B4" w:rsidRPr="00C27636" w:rsidRDefault="00AC12B4">
            <w:pPr>
              <w:spacing w:line="20" w:lineRule="exact"/>
              <w:rPr>
                <w:sz w:val="1"/>
                <w:szCs w:val="1"/>
                <w:lang w:val="fr-BE"/>
              </w:rPr>
            </w:pPr>
          </w:p>
        </w:tc>
        <w:tc>
          <w:tcPr>
            <w:tcW w:w="4600" w:type="dxa"/>
            <w:gridSpan w:val="9"/>
            <w:vMerge/>
            <w:vAlign w:val="bottom"/>
          </w:tcPr>
          <w:p w:rsidR="00AC12B4" w:rsidRPr="00C27636" w:rsidRDefault="00AC12B4">
            <w:pPr>
              <w:spacing w:line="20" w:lineRule="exact"/>
              <w:rPr>
                <w:sz w:val="1"/>
                <w:szCs w:val="1"/>
                <w:lang w:val="fr-BE"/>
              </w:rPr>
            </w:pPr>
          </w:p>
        </w:tc>
        <w:tc>
          <w:tcPr>
            <w:tcW w:w="120" w:type="dxa"/>
            <w:tcBorders>
              <w:right w:val="single" w:sz="8" w:space="0" w:color="0000FF"/>
            </w:tcBorders>
            <w:shd w:val="clear" w:color="auto" w:fill="0000FF"/>
            <w:vAlign w:val="bottom"/>
          </w:tcPr>
          <w:p w:rsidR="00AC12B4" w:rsidRPr="00C27636" w:rsidRDefault="00AC12B4">
            <w:pPr>
              <w:spacing w:line="20" w:lineRule="exact"/>
              <w:rPr>
                <w:sz w:val="1"/>
                <w:szCs w:val="1"/>
                <w:lang w:val="fr-BE"/>
              </w:rPr>
            </w:pPr>
          </w:p>
        </w:tc>
        <w:tc>
          <w:tcPr>
            <w:tcW w:w="500" w:type="dxa"/>
            <w:shd w:val="clear" w:color="auto" w:fill="0000FF"/>
            <w:vAlign w:val="bottom"/>
          </w:tcPr>
          <w:p w:rsidR="00AC12B4" w:rsidRPr="00C27636" w:rsidRDefault="00AC12B4">
            <w:pPr>
              <w:spacing w:line="20" w:lineRule="exact"/>
              <w:rPr>
                <w:sz w:val="1"/>
                <w:szCs w:val="1"/>
                <w:lang w:val="fr-BE"/>
              </w:rPr>
            </w:pPr>
          </w:p>
        </w:tc>
        <w:tc>
          <w:tcPr>
            <w:tcW w:w="300" w:type="dxa"/>
            <w:shd w:val="clear" w:color="auto" w:fill="0000FF"/>
            <w:vAlign w:val="bottom"/>
          </w:tcPr>
          <w:p w:rsidR="00AC12B4" w:rsidRPr="00C27636" w:rsidRDefault="00AC12B4">
            <w:pPr>
              <w:spacing w:line="20" w:lineRule="exact"/>
              <w:rPr>
                <w:sz w:val="1"/>
                <w:szCs w:val="1"/>
                <w:lang w:val="fr-BE"/>
              </w:rPr>
            </w:pPr>
          </w:p>
        </w:tc>
        <w:tc>
          <w:tcPr>
            <w:tcW w:w="240" w:type="dxa"/>
            <w:shd w:val="clear" w:color="auto" w:fill="0000FF"/>
            <w:vAlign w:val="bottom"/>
          </w:tcPr>
          <w:p w:rsidR="00AC12B4" w:rsidRPr="00C27636" w:rsidRDefault="00AC12B4">
            <w:pPr>
              <w:spacing w:line="20" w:lineRule="exact"/>
              <w:rPr>
                <w:sz w:val="1"/>
                <w:szCs w:val="1"/>
                <w:lang w:val="fr-BE"/>
              </w:rPr>
            </w:pPr>
          </w:p>
        </w:tc>
        <w:tc>
          <w:tcPr>
            <w:tcW w:w="240" w:type="dxa"/>
            <w:shd w:val="clear" w:color="auto" w:fill="0000FF"/>
            <w:vAlign w:val="bottom"/>
          </w:tcPr>
          <w:p w:rsidR="00AC12B4" w:rsidRPr="00C27636" w:rsidRDefault="00AC12B4">
            <w:pPr>
              <w:spacing w:line="20" w:lineRule="exact"/>
              <w:rPr>
                <w:sz w:val="1"/>
                <w:szCs w:val="1"/>
                <w:lang w:val="fr-BE"/>
              </w:rPr>
            </w:pPr>
          </w:p>
        </w:tc>
        <w:tc>
          <w:tcPr>
            <w:tcW w:w="280" w:type="dxa"/>
            <w:shd w:val="clear" w:color="auto" w:fill="0000FF"/>
            <w:vAlign w:val="bottom"/>
          </w:tcPr>
          <w:p w:rsidR="00AC12B4" w:rsidRPr="00C27636" w:rsidRDefault="00AC12B4">
            <w:pPr>
              <w:spacing w:line="20" w:lineRule="exact"/>
              <w:rPr>
                <w:sz w:val="1"/>
                <w:szCs w:val="1"/>
                <w:lang w:val="fr-BE"/>
              </w:rPr>
            </w:pPr>
          </w:p>
        </w:tc>
        <w:tc>
          <w:tcPr>
            <w:tcW w:w="760" w:type="dxa"/>
            <w:gridSpan w:val="3"/>
            <w:shd w:val="clear" w:color="auto" w:fill="0000FF"/>
            <w:vAlign w:val="bottom"/>
          </w:tcPr>
          <w:p w:rsidR="00AC12B4" w:rsidRPr="00C27636" w:rsidRDefault="00AC12B4">
            <w:pPr>
              <w:spacing w:line="20" w:lineRule="exact"/>
              <w:rPr>
                <w:sz w:val="1"/>
                <w:szCs w:val="1"/>
                <w:lang w:val="fr-BE"/>
              </w:rPr>
            </w:pPr>
          </w:p>
        </w:tc>
        <w:tc>
          <w:tcPr>
            <w:tcW w:w="360" w:type="dxa"/>
            <w:shd w:val="clear" w:color="auto" w:fill="0000FF"/>
            <w:vAlign w:val="bottom"/>
          </w:tcPr>
          <w:p w:rsidR="00AC12B4" w:rsidRPr="00C27636" w:rsidRDefault="00AC12B4">
            <w:pPr>
              <w:spacing w:line="20" w:lineRule="exact"/>
              <w:rPr>
                <w:sz w:val="1"/>
                <w:szCs w:val="1"/>
                <w:lang w:val="fr-BE"/>
              </w:rPr>
            </w:pPr>
          </w:p>
        </w:tc>
        <w:tc>
          <w:tcPr>
            <w:tcW w:w="80" w:type="dxa"/>
            <w:shd w:val="clear" w:color="auto" w:fill="0000FF"/>
            <w:vAlign w:val="bottom"/>
          </w:tcPr>
          <w:p w:rsidR="00AC12B4" w:rsidRPr="00C27636" w:rsidRDefault="00AC12B4">
            <w:pPr>
              <w:spacing w:line="20" w:lineRule="exact"/>
              <w:rPr>
                <w:sz w:val="1"/>
                <w:szCs w:val="1"/>
                <w:lang w:val="fr-BE"/>
              </w:rPr>
            </w:pPr>
          </w:p>
        </w:tc>
        <w:tc>
          <w:tcPr>
            <w:tcW w:w="200" w:type="dxa"/>
            <w:shd w:val="clear" w:color="auto" w:fill="0000FF"/>
            <w:vAlign w:val="bottom"/>
          </w:tcPr>
          <w:p w:rsidR="00AC12B4" w:rsidRPr="00C27636" w:rsidRDefault="00AC12B4">
            <w:pPr>
              <w:spacing w:line="20" w:lineRule="exact"/>
              <w:rPr>
                <w:sz w:val="1"/>
                <w:szCs w:val="1"/>
                <w:lang w:val="fr-BE"/>
              </w:rPr>
            </w:pPr>
          </w:p>
        </w:tc>
        <w:tc>
          <w:tcPr>
            <w:tcW w:w="120" w:type="dxa"/>
            <w:shd w:val="clear" w:color="auto" w:fill="0000FF"/>
            <w:vAlign w:val="bottom"/>
          </w:tcPr>
          <w:p w:rsidR="00AC12B4" w:rsidRPr="00C27636" w:rsidRDefault="00AC12B4">
            <w:pPr>
              <w:spacing w:line="20" w:lineRule="exact"/>
              <w:rPr>
                <w:sz w:val="1"/>
                <w:szCs w:val="1"/>
                <w:lang w:val="fr-BE"/>
              </w:rPr>
            </w:pPr>
          </w:p>
        </w:tc>
        <w:tc>
          <w:tcPr>
            <w:tcW w:w="120" w:type="dxa"/>
            <w:shd w:val="clear" w:color="auto" w:fill="0000FF"/>
            <w:vAlign w:val="bottom"/>
          </w:tcPr>
          <w:p w:rsidR="00AC12B4" w:rsidRPr="00C27636" w:rsidRDefault="00AC12B4">
            <w:pPr>
              <w:spacing w:line="20" w:lineRule="exact"/>
              <w:rPr>
                <w:sz w:val="1"/>
                <w:szCs w:val="1"/>
                <w:lang w:val="fr-BE"/>
              </w:rPr>
            </w:pPr>
          </w:p>
        </w:tc>
        <w:tc>
          <w:tcPr>
            <w:tcW w:w="220" w:type="dxa"/>
            <w:shd w:val="clear" w:color="auto" w:fill="0000FF"/>
            <w:vAlign w:val="bottom"/>
          </w:tcPr>
          <w:p w:rsidR="00AC12B4" w:rsidRPr="00C27636" w:rsidRDefault="00AC12B4">
            <w:pPr>
              <w:spacing w:line="20" w:lineRule="exact"/>
              <w:rPr>
                <w:sz w:val="1"/>
                <w:szCs w:val="1"/>
                <w:lang w:val="fr-BE"/>
              </w:rPr>
            </w:pPr>
          </w:p>
        </w:tc>
        <w:tc>
          <w:tcPr>
            <w:tcW w:w="280" w:type="dxa"/>
            <w:shd w:val="clear" w:color="auto" w:fill="0000FF"/>
            <w:vAlign w:val="bottom"/>
          </w:tcPr>
          <w:p w:rsidR="00AC12B4" w:rsidRPr="00C27636" w:rsidRDefault="00AC12B4">
            <w:pPr>
              <w:spacing w:line="20" w:lineRule="exact"/>
              <w:rPr>
                <w:sz w:val="1"/>
                <w:szCs w:val="1"/>
                <w:lang w:val="fr-BE"/>
              </w:rPr>
            </w:pPr>
          </w:p>
        </w:tc>
        <w:tc>
          <w:tcPr>
            <w:tcW w:w="860" w:type="dxa"/>
            <w:vAlign w:val="bottom"/>
          </w:tcPr>
          <w:p w:rsidR="00AC12B4" w:rsidRPr="00C27636" w:rsidRDefault="00AC12B4">
            <w:pPr>
              <w:spacing w:line="20" w:lineRule="exact"/>
              <w:rPr>
                <w:sz w:val="1"/>
                <w:szCs w:val="1"/>
                <w:lang w:val="fr-BE"/>
              </w:rPr>
            </w:pPr>
          </w:p>
        </w:tc>
        <w:tc>
          <w:tcPr>
            <w:tcW w:w="0" w:type="dxa"/>
            <w:vAlign w:val="bottom"/>
          </w:tcPr>
          <w:p w:rsidR="00AC12B4" w:rsidRPr="00C27636" w:rsidRDefault="00AC12B4">
            <w:pPr>
              <w:spacing w:line="20" w:lineRule="exact"/>
              <w:rPr>
                <w:sz w:val="1"/>
                <w:szCs w:val="1"/>
                <w:lang w:val="fr-BE"/>
              </w:rPr>
            </w:pPr>
          </w:p>
        </w:tc>
      </w:tr>
      <w:tr w:rsidR="00AC12B4">
        <w:trPr>
          <w:trHeight w:val="249"/>
        </w:trPr>
        <w:tc>
          <w:tcPr>
            <w:tcW w:w="1460" w:type="dxa"/>
            <w:vAlign w:val="bottom"/>
          </w:tcPr>
          <w:p w:rsidR="00AC12B4" w:rsidRPr="00C27636" w:rsidRDefault="00AC12B4">
            <w:pPr>
              <w:rPr>
                <w:sz w:val="21"/>
                <w:szCs w:val="21"/>
                <w:lang w:val="fr-BE"/>
              </w:rPr>
            </w:pPr>
          </w:p>
        </w:tc>
        <w:tc>
          <w:tcPr>
            <w:tcW w:w="4600" w:type="dxa"/>
            <w:gridSpan w:val="9"/>
            <w:vMerge/>
            <w:vAlign w:val="bottom"/>
          </w:tcPr>
          <w:p w:rsidR="00AC12B4" w:rsidRPr="00C27636" w:rsidRDefault="00AC12B4">
            <w:pPr>
              <w:rPr>
                <w:sz w:val="21"/>
                <w:szCs w:val="21"/>
                <w:lang w:val="fr-BE"/>
              </w:rPr>
            </w:pPr>
          </w:p>
        </w:tc>
        <w:tc>
          <w:tcPr>
            <w:tcW w:w="620" w:type="dxa"/>
            <w:gridSpan w:val="2"/>
            <w:vAlign w:val="bottom"/>
          </w:tcPr>
          <w:p w:rsidR="00AC12B4" w:rsidRDefault="00C27636">
            <w:pPr>
              <w:rPr>
                <w:sz w:val="20"/>
                <w:szCs w:val="20"/>
              </w:rPr>
            </w:pPr>
            <w:r>
              <w:rPr>
                <w:rFonts w:ascii="Calibri" w:eastAsia="Calibri" w:hAnsi="Calibri" w:cs="Calibri"/>
                <w:w w:val="94"/>
                <w:sz w:val="20"/>
                <w:szCs w:val="20"/>
              </w:rPr>
              <w:t>octobre</w:t>
            </w:r>
          </w:p>
        </w:tc>
        <w:tc>
          <w:tcPr>
            <w:tcW w:w="300" w:type="dxa"/>
            <w:vAlign w:val="bottom"/>
          </w:tcPr>
          <w:p w:rsidR="00AC12B4" w:rsidRDefault="00AC12B4">
            <w:pPr>
              <w:rPr>
                <w:sz w:val="21"/>
                <w:szCs w:val="21"/>
              </w:rPr>
            </w:pPr>
          </w:p>
        </w:tc>
        <w:tc>
          <w:tcPr>
            <w:tcW w:w="240" w:type="dxa"/>
            <w:vAlign w:val="bottom"/>
          </w:tcPr>
          <w:p w:rsidR="00AC12B4" w:rsidRDefault="00AC12B4">
            <w:pPr>
              <w:rPr>
                <w:sz w:val="21"/>
                <w:szCs w:val="21"/>
              </w:rPr>
            </w:pPr>
          </w:p>
        </w:tc>
        <w:tc>
          <w:tcPr>
            <w:tcW w:w="240" w:type="dxa"/>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760" w:type="dxa"/>
            <w:gridSpan w:val="3"/>
            <w:vAlign w:val="bottom"/>
          </w:tcPr>
          <w:p w:rsidR="00AC12B4" w:rsidRDefault="00C27636">
            <w:pPr>
              <w:jc w:val="right"/>
              <w:rPr>
                <w:sz w:val="20"/>
                <w:szCs w:val="20"/>
              </w:rPr>
            </w:pPr>
            <w:r>
              <w:rPr>
                <w:rFonts w:ascii="Calibri" w:eastAsia="Calibri" w:hAnsi="Calibri" w:cs="Calibri"/>
                <w:sz w:val="20"/>
                <w:szCs w:val="20"/>
              </w:rPr>
              <w:t>2013,</w:t>
            </w:r>
          </w:p>
        </w:tc>
        <w:tc>
          <w:tcPr>
            <w:tcW w:w="36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220" w:type="dxa"/>
            <w:vAlign w:val="bottom"/>
          </w:tcPr>
          <w:p w:rsidR="00AC12B4" w:rsidRDefault="00AC12B4">
            <w:pPr>
              <w:rPr>
                <w:sz w:val="21"/>
                <w:szCs w:val="21"/>
              </w:rPr>
            </w:pPr>
          </w:p>
        </w:tc>
        <w:tc>
          <w:tcPr>
            <w:tcW w:w="280" w:type="dxa"/>
            <w:vAlign w:val="bottom"/>
          </w:tcPr>
          <w:p w:rsidR="00AC12B4" w:rsidRDefault="00C27636">
            <w:pPr>
              <w:jc w:val="right"/>
              <w:rPr>
                <w:sz w:val="20"/>
                <w:szCs w:val="20"/>
              </w:rPr>
            </w:pPr>
            <w:r>
              <w:rPr>
                <w:rFonts w:ascii="Calibri" w:eastAsia="Calibri" w:hAnsi="Calibri" w:cs="Calibri"/>
                <w:sz w:val="20"/>
                <w:szCs w:val="20"/>
              </w:rPr>
              <w:t>16,</w:t>
            </w:r>
          </w:p>
        </w:tc>
        <w:tc>
          <w:tcPr>
            <w:tcW w:w="86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rsidRPr="00C27636">
        <w:trPr>
          <w:trHeight w:val="245"/>
        </w:trPr>
        <w:tc>
          <w:tcPr>
            <w:tcW w:w="1460" w:type="dxa"/>
            <w:vAlign w:val="bottom"/>
          </w:tcPr>
          <w:p w:rsidR="00AC12B4" w:rsidRDefault="00AC12B4">
            <w:pPr>
              <w:rPr>
                <w:sz w:val="21"/>
                <w:szCs w:val="21"/>
              </w:rPr>
            </w:pPr>
          </w:p>
        </w:tc>
        <w:tc>
          <w:tcPr>
            <w:tcW w:w="4600" w:type="dxa"/>
            <w:gridSpan w:val="9"/>
            <w:vAlign w:val="bottom"/>
          </w:tcPr>
          <w:p w:rsidR="00AC12B4" w:rsidRPr="00C27636" w:rsidRDefault="00C27636">
            <w:pPr>
              <w:spacing w:line="220" w:lineRule="exact"/>
              <w:rPr>
                <w:sz w:val="20"/>
                <w:szCs w:val="20"/>
                <w:lang w:val="fr-BE"/>
              </w:rPr>
            </w:pPr>
            <w:r w:rsidRPr="00C27636">
              <w:rPr>
                <w:rFonts w:ascii="Calibri" w:eastAsia="Calibri" w:hAnsi="Calibri" w:cs="Calibri"/>
                <w:lang w:val="fr-BE"/>
              </w:rPr>
              <w:t>situation socio-économique de la famille et</w:t>
            </w:r>
          </w:p>
        </w:tc>
        <w:tc>
          <w:tcPr>
            <w:tcW w:w="4680" w:type="dxa"/>
            <w:gridSpan w:val="17"/>
            <w:vAlign w:val="bottom"/>
          </w:tcPr>
          <w:p w:rsidR="00AC12B4" w:rsidRPr="00C27636" w:rsidRDefault="00C27636">
            <w:pPr>
              <w:rPr>
                <w:sz w:val="20"/>
                <w:szCs w:val="20"/>
                <w:lang w:val="fr-BE"/>
              </w:rPr>
            </w:pPr>
            <w:r w:rsidRPr="00C27636">
              <w:rPr>
                <w:rFonts w:ascii="Calibri" w:eastAsia="Calibri" w:hAnsi="Calibri" w:cs="Calibri"/>
                <w:sz w:val="20"/>
                <w:szCs w:val="20"/>
                <w:lang w:val="fr-BE"/>
              </w:rPr>
              <w:t>http://www.armoedebestrijding.be/publication</w:t>
            </w:r>
          </w:p>
        </w:tc>
        <w:tc>
          <w:tcPr>
            <w:tcW w:w="0" w:type="dxa"/>
            <w:vAlign w:val="bottom"/>
          </w:tcPr>
          <w:p w:rsidR="00AC12B4" w:rsidRPr="00C27636" w:rsidRDefault="00AC12B4">
            <w:pPr>
              <w:rPr>
                <w:sz w:val="1"/>
                <w:szCs w:val="1"/>
                <w:lang w:val="fr-BE"/>
              </w:rPr>
            </w:pPr>
          </w:p>
        </w:tc>
      </w:tr>
      <w:tr w:rsidR="00AC12B4">
        <w:trPr>
          <w:trHeight w:val="245"/>
        </w:trPr>
        <w:tc>
          <w:tcPr>
            <w:tcW w:w="1460" w:type="dxa"/>
            <w:vAlign w:val="bottom"/>
          </w:tcPr>
          <w:p w:rsidR="00AC12B4" w:rsidRPr="00C27636" w:rsidRDefault="00AC12B4">
            <w:pPr>
              <w:rPr>
                <w:sz w:val="21"/>
                <w:szCs w:val="21"/>
                <w:lang w:val="fr-BE"/>
              </w:rPr>
            </w:pPr>
          </w:p>
        </w:tc>
        <w:tc>
          <w:tcPr>
            <w:tcW w:w="4600" w:type="dxa"/>
            <w:gridSpan w:val="9"/>
            <w:vAlign w:val="bottom"/>
          </w:tcPr>
          <w:p w:rsidR="00AC12B4" w:rsidRPr="00C27636" w:rsidRDefault="00C27636">
            <w:pPr>
              <w:spacing w:line="243" w:lineRule="exact"/>
              <w:rPr>
                <w:sz w:val="20"/>
                <w:szCs w:val="20"/>
                <w:lang w:val="fr-BE"/>
              </w:rPr>
            </w:pPr>
            <w:r w:rsidRPr="00C27636">
              <w:rPr>
                <w:rFonts w:ascii="Calibri" w:eastAsia="Calibri" w:hAnsi="Calibri" w:cs="Calibri"/>
                <w:lang w:val="fr-BE"/>
              </w:rPr>
              <w:t>renvoie à la Résolution 64/142, § 15 de</w:t>
            </w:r>
          </w:p>
        </w:tc>
        <w:tc>
          <w:tcPr>
            <w:tcW w:w="2180" w:type="dxa"/>
            <w:gridSpan w:val="7"/>
            <w:vAlign w:val="bottom"/>
          </w:tcPr>
          <w:p w:rsidR="00AC12B4" w:rsidRDefault="00C27636">
            <w:pPr>
              <w:rPr>
                <w:sz w:val="20"/>
                <w:szCs w:val="20"/>
              </w:rPr>
            </w:pPr>
            <w:r>
              <w:rPr>
                <w:rFonts w:ascii="Calibri" w:eastAsia="Calibri" w:hAnsi="Calibri" w:cs="Calibri"/>
                <w:sz w:val="20"/>
                <w:szCs w:val="20"/>
              </w:rPr>
              <w:t>s/rapport_lien_2013.pdf.</w:t>
            </w:r>
          </w:p>
        </w:tc>
        <w:tc>
          <w:tcPr>
            <w:tcW w:w="14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360" w:type="dxa"/>
            <w:vAlign w:val="bottom"/>
          </w:tcPr>
          <w:p w:rsidR="00AC12B4" w:rsidRDefault="00AC12B4">
            <w:pPr>
              <w:rPr>
                <w:sz w:val="21"/>
                <w:szCs w:val="21"/>
              </w:rPr>
            </w:pPr>
          </w:p>
        </w:tc>
        <w:tc>
          <w:tcPr>
            <w:tcW w:w="80" w:type="dxa"/>
            <w:vAlign w:val="bottom"/>
          </w:tcPr>
          <w:p w:rsidR="00AC12B4" w:rsidRDefault="00AC12B4">
            <w:pPr>
              <w:rPr>
                <w:sz w:val="21"/>
                <w:szCs w:val="21"/>
              </w:rPr>
            </w:pPr>
          </w:p>
        </w:tc>
        <w:tc>
          <w:tcPr>
            <w:tcW w:w="20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120" w:type="dxa"/>
            <w:vAlign w:val="bottom"/>
          </w:tcPr>
          <w:p w:rsidR="00AC12B4" w:rsidRDefault="00AC12B4">
            <w:pPr>
              <w:rPr>
                <w:sz w:val="21"/>
                <w:szCs w:val="21"/>
              </w:rPr>
            </w:pPr>
          </w:p>
        </w:tc>
        <w:tc>
          <w:tcPr>
            <w:tcW w:w="220" w:type="dxa"/>
            <w:vAlign w:val="bottom"/>
          </w:tcPr>
          <w:p w:rsidR="00AC12B4" w:rsidRDefault="00AC12B4">
            <w:pPr>
              <w:rPr>
                <w:sz w:val="21"/>
                <w:szCs w:val="21"/>
              </w:rPr>
            </w:pPr>
          </w:p>
        </w:tc>
        <w:tc>
          <w:tcPr>
            <w:tcW w:w="280" w:type="dxa"/>
            <w:vAlign w:val="bottom"/>
          </w:tcPr>
          <w:p w:rsidR="00AC12B4" w:rsidRDefault="00AC12B4">
            <w:pPr>
              <w:rPr>
                <w:sz w:val="21"/>
                <w:szCs w:val="21"/>
              </w:rPr>
            </w:pPr>
          </w:p>
        </w:tc>
        <w:tc>
          <w:tcPr>
            <w:tcW w:w="860" w:type="dxa"/>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rsidRPr="00C27636">
        <w:trPr>
          <w:trHeight w:val="314"/>
        </w:trPr>
        <w:tc>
          <w:tcPr>
            <w:tcW w:w="1460" w:type="dxa"/>
            <w:vAlign w:val="bottom"/>
          </w:tcPr>
          <w:p w:rsidR="00AC12B4" w:rsidRDefault="00AC12B4">
            <w:pPr>
              <w:rPr>
                <w:sz w:val="24"/>
                <w:szCs w:val="24"/>
              </w:rPr>
            </w:pPr>
          </w:p>
        </w:tc>
        <w:tc>
          <w:tcPr>
            <w:tcW w:w="680" w:type="dxa"/>
            <w:vAlign w:val="bottom"/>
          </w:tcPr>
          <w:p w:rsidR="00AC12B4" w:rsidRDefault="00C27636">
            <w:pPr>
              <w:spacing w:line="266" w:lineRule="exact"/>
              <w:rPr>
                <w:sz w:val="20"/>
                <w:szCs w:val="20"/>
              </w:rPr>
            </w:pPr>
            <w:r>
              <w:rPr>
                <w:rFonts w:ascii="Calibri" w:eastAsia="Calibri" w:hAnsi="Calibri" w:cs="Calibri"/>
              </w:rPr>
              <w:t>l’ONU.</w:t>
            </w:r>
          </w:p>
        </w:tc>
        <w:tc>
          <w:tcPr>
            <w:tcW w:w="640" w:type="dxa"/>
            <w:vAlign w:val="bottom"/>
          </w:tcPr>
          <w:p w:rsidR="00AC12B4" w:rsidRDefault="00C27636">
            <w:pPr>
              <w:spacing w:line="266" w:lineRule="exact"/>
              <w:ind w:left="80"/>
              <w:rPr>
                <w:sz w:val="20"/>
                <w:szCs w:val="20"/>
              </w:rPr>
            </w:pPr>
            <w:r>
              <w:rPr>
                <w:rFonts w:ascii="Calibri" w:eastAsia="Calibri" w:hAnsi="Calibri" w:cs="Calibri"/>
              </w:rPr>
              <w:t>Nous</w:t>
            </w:r>
          </w:p>
        </w:tc>
        <w:tc>
          <w:tcPr>
            <w:tcW w:w="3280" w:type="dxa"/>
            <w:gridSpan w:val="7"/>
            <w:vAlign w:val="bottom"/>
          </w:tcPr>
          <w:p w:rsidR="00AC12B4" w:rsidRDefault="00C27636">
            <w:pPr>
              <w:spacing w:line="266" w:lineRule="exact"/>
              <w:ind w:right="610"/>
              <w:jc w:val="right"/>
              <w:rPr>
                <w:sz w:val="20"/>
                <w:szCs w:val="20"/>
              </w:rPr>
            </w:pPr>
            <w:r>
              <w:rPr>
                <w:rFonts w:ascii="Calibri" w:eastAsia="Calibri" w:hAnsi="Calibri" w:cs="Calibri"/>
              </w:rPr>
              <w:t>renvoyons  également  aux</w:t>
            </w:r>
          </w:p>
        </w:tc>
        <w:tc>
          <w:tcPr>
            <w:tcW w:w="4680" w:type="dxa"/>
            <w:gridSpan w:val="17"/>
            <w:vAlign w:val="bottom"/>
          </w:tcPr>
          <w:p w:rsidR="00AC12B4" w:rsidRPr="00C27636" w:rsidRDefault="00C27636">
            <w:pPr>
              <w:rPr>
                <w:sz w:val="20"/>
                <w:szCs w:val="20"/>
                <w:lang w:val="fr-BE"/>
              </w:rPr>
            </w:pPr>
            <w:r w:rsidRPr="00C27636">
              <w:rPr>
                <w:rFonts w:ascii="Calibri" w:eastAsia="Calibri" w:hAnsi="Calibri" w:cs="Calibri"/>
                <w:sz w:val="25"/>
                <w:szCs w:val="25"/>
                <w:vertAlign w:val="superscript"/>
                <w:lang w:val="fr-BE"/>
              </w:rPr>
              <w:t>3</w:t>
            </w:r>
            <w:r w:rsidRPr="00C27636">
              <w:rPr>
                <w:rFonts w:ascii="Calibri" w:eastAsia="Calibri" w:hAnsi="Calibri" w:cs="Calibri"/>
                <w:sz w:val="20"/>
                <w:szCs w:val="20"/>
                <w:lang w:val="fr-BE"/>
              </w:rPr>
              <w:t xml:space="preserve">  La durée moyenne du placement dans une</w:t>
            </w:r>
          </w:p>
        </w:tc>
        <w:tc>
          <w:tcPr>
            <w:tcW w:w="0" w:type="dxa"/>
            <w:vAlign w:val="bottom"/>
          </w:tcPr>
          <w:p w:rsidR="00AC12B4" w:rsidRPr="00C27636" w:rsidRDefault="00AC12B4">
            <w:pPr>
              <w:rPr>
                <w:sz w:val="1"/>
                <w:szCs w:val="1"/>
                <w:lang w:val="fr-BE"/>
              </w:rPr>
            </w:pPr>
          </w:p>
        </w:tc>
      </w:tr>
      <w:tr w:rsidR="00AC12B4" w:rsidRPr="00C27636">
        <w:trPr>
          <w:trHeight w:val="220"/>
        </w:trPr>
        <w:tc>
          <w:tcPr>
            <w:tcW w:w="1460" w:type="dxa"/>
            <w:vAlign w:val="bottom"/>
          </w:tcPr>
          <w:p w:rsidR="00AC12B4" w:rsidRPr="00C27636" w:rsidRDefault="00AC12B4">
            <w:pPr>
              <w:rPr>
                <w:sz w:val="19"/>
                <w:szCs w:val="19"/>
                <w:lang w:val="fr-BE"/>
              </w:rPr>
            </w:pPr>
          </w:p>
        </w:tc>
        <w:tc>
          <w:tcPr>
            <w:tcW w:w="680" w:type="dxa"/>
            <w:vAlign w:val="bottom"/>
          </w:tcPr>
          <w:p w:rsidR="00AC12B4" w:rsidRDefault="00C27636">
            <w:pPr>
              <w:spacing w:line="220" w:lineRule="exact"/>
              <w:rPr>
                <w:sz w:val="20"/>
                <w:szCs w:val="20"/>
              </w:rPr>
            </w:pPr>
            <w:r>
              <w:rPr>
                <w:rFonts w:ascii="Calibri" w:eastAsia="Calibri" w:hAnsi="Calibri" w:cs="Calibri"/>
              </w:rPr>
              <w:t>lignes</w:t>
            </w:r>
          </w:p>
        </w:tc>
        <w:tc>
          <w:tcPr>
            <w:tcW w:w="1120" w:type="dxa"/>
            <w:gridSpan w:val="2"/>
            <w:vAlign w:val="bottom"/>
          </w:tcPr>
          <w:p w:rsidR="00AC12B4" w:rsidRDefault="00C27636">
            <w:pPr>
              <w:spacing w:line="220" w:lineRule="exact"/>
              <w:ind w:left="80"/>
              <w:rPr>
                <w:sz w:val="20"/>
                <w:szCs w:val="20"/>
              </w:rPr>
            </w:pPr>
            <w:r>
              <w:rPr>
                <w:rFonts w:ascii="Calibri" w:eastAsia="Calibri" w:hAnsi="Calibri" w:cs="Calibri"/>
              </w:rPr>
              <w:t>directrices</w:t>
            </w:r>
          </w:p>
        </w:tc>
        <w:tc>
          <w:tcPr>
            <w:tcW w:w="640" w:type="dxa"/>
            <w:gridSpan w:val="2"/>
            <w:vAlign w:val="bottom"/>
          </w:tcPr>
          <w:p w:rsidR="00AC12B4" w:rsidRDefault="00C27636">
            <w:pPr>
              <w:spacing w:line="220" w:lineRule="exact"/>
              <w:ind w:left="120"/>
              <w:rPr>
                <w:sz w:val="20"/>
                <w:szCs w:val="20"/>
              </w:rPr>
            </w:pPr>
            <w:r>
              <w:rPr>
                <w:rFonts w:ascii="Calibri" w:eastAsia="Calibri" w:hAnsi="Calibri" w:cs="Calibri"/>
              </w:rPr>
              <w:t>des</w:t>
            </w:r>
          </w:p>
        </w:tc>
        <w:tc>
          <w:tcPr>
            <w:tcW w:w="720" w:type="dxa"/>
            <w:gridSpan w:val="3"/>
            <w:vAlign w:val="bottom"/>
          </w:tcPr>
          <w:p w:rsidR="00AC12B4" w:rsidRDefault="00C27636">
            <w:pPr>
              <w:spacing w:line="220" w:lineRule="exact"/>
              <w:ind w:left="20"/>
              <w:rPr>
                <w:sz w:val="20"/>
                <w:szCs w:val="20"/>
              </w:rPr>
            </w:pPr>
            <w:r>
              <w:rPr>
                <w:rFonts w:ascii="Calibri" w:eastAsia="Calibri" w:hAnsi="Calibri" w:cs="Calibri"/>
                <w:w w:val="98"/>
              </w:rPr>
              <w:t>Nations</w:t>
            </w:r>
          </w:p>
        </w:tc>
        <w:tc>
          <w:tcPr>
            <w:tcW w:w="1440" w:type="dxa"/>
            <w:vAlign w:val="bottom"/>
          </w:tcPr>
          <w:p w:rsidR="00AC12B4" w:rsidRDefault="00C27636">
            <w:pPr>
              <w:spacing w:line="220" w:lineRule="exact"/>
              <w:ind w:right="610"/>
              <w:jc w:val="right"/>
              <w:rPr>
                <w:sz w:val="20"/>
                <w:szCs w:val="20"/>
              </w:rPr>
            </w:pPr>
            <w:r>
              <w:rPr>
                <w:rFonts w:ascii="Calibri" w:eastAsia="Calibri" w:hAnsi="Calibri" w:cs="Calibri"/>
              </w:rPr>
              <w:t>Unies</w:t>
            </w:r>
          </w:p>
        </w:tc>
        <w:tc>
          <w:tcPr>
            <w:tcW w:w="4680" w:type="dxa"/>
            <w:gridSpan w:val="17"/>
            <w:vMerge w:val="restart"/>
            <w:vAlign w:val="bottom"/>
          </w:tcPr>
          <w:p w:rsidR="00AC12B4" w:rsidRPr="00C27636" w:rsidRDefault="00C27636">
            <w:pPr>
              <w:rPr>
                <w:sz w:val="20"/>
                <w:szCs w:val="20"/>
                <w:lang w:val="fr-BE"/>
              </w:rPr>
            </w:pPr>
            <w:r w:rsidRPr="00C27636">
              <w:rPr>
                <w:rFonts w:ascii="Calibri" w:eastAsia="Calibri" w:hAnsi="Calibri" w:cs="Calibri"/>
                <w:sz w:val="20"/>
                <w:szCs w:val="20"/>
                <w:lang w:val="fr-BE"/>
              </w:rPr>
              <w:t>famille d’accueil encadrée peut aller jusqu’au</w:t>
            </w:r>
          </w:p>
        </w:tc>
        <w:tc>
          <w:tcPr>
            <w:tcW w:w="0" w:type="dxa"/>
            <w:vAlign w:val="bottom"/>
          </w:tcPr>
          <w:p w:rsidR="00AC12B4" w:rsidRPr="00C27636" w:rsidRDefault="00AC12B4">
            <w:pPr>
              <w:rPr>
                <w:sz w:val="1"/>
                <w:szCs w:val="1"/>
                <w:lang w:val="fr-BE"/>
              </w:rPr>
            </w:pPr>
          </w:p>
        </w:tc>
      </w:tr>
      <w:tr w:rsidR="00AC12B4" w:rsidRPr="00C27636">
        <w:trPr>
          <w:trHeight w:val="73"/>
        </w:trPr>
        <w:tc>
          <w:tcPr>
            <w:tcW w:w="1460" w:type="dxa"/>
            <w:vAlign w:val="bottom"/>
          </w:tcPr>
          <w:p w:rsidR="00AC12B4" w:rsidRPr="00C27636" w:rsidRDefault="00AC12B4">
            <w:pPr>
              <w:rPr>
                <w:sz w:val="6"/>
                <w:szCs w:val="6"/>
                <w:lang w:val="fr-BE"/>
              </w:rPr>
            </w:pPr>
          </w:p>
        </w:tc>
        <w:tc>
          <w:tcPr>
            <w:tcW w:w="4600" w:type="dxa"/>
            <w:gridSpan w:val="9"/>
            <w:vMerge w:val="restart"/>
            <w:vAlign w:val="bottom"/>
          </w:tcPr>
          <w:p w:rsidR="00AC12B4" w:rsidRPr="00C27636" w:rsidRDefault="00C27636">
            <w:pPr>
              <w:rPr>
                <w:sz w:val="20"/>
                <w:szCs w:val="20"/>
                <w:lang w:val="fr-BE"/>
              </w:rPr>
            </w:pPr>
            <w:r w:rsidRPr="00C27636">
              <w:rPr>
                <w:rFonts w:ascii="Calibri" w:eastAsia="Calibri" w:hAnsi="Calibri" w:cs="Calibri"/>
                <w:lang w:val="fr-BE"/>
              </w:rPr>
              <w:t xml:space="preserve">relatives à la protection de </w:t>
            </w:r>
            <w:r w:rsidRPr="00C27636">
              <w:rPr>
                <w:rFonts w:ascii="Calibri" w:eastAsia="Calibri" w:hAnsi="Calibri" w:cs="Calibri"/>
                <w:lang w:val="fr-BE"/>
              </w:rPr>
              <w:lastRenderedPageBreak/>
              <w:t>remplacement</w:t>
            </w:r>
          </w:p>
        </w:tc>
        <w:tc>
          <w:tcPr>
            <w:tcW w:w="4680" w:type="dxa"/>
            <w:gridSpan w:val="17"/>
            <w:vMerge/>
            <w:vAlign w:val="bottom"/>
          </w:tcPr>
          <w:p w:rsidR="00AC12B4" w:rsidRPr="00C27636" w:rsidRDefault="00AC12B4">
            <w:pPr>
              <w:rPr>
                <w:sz w:val="6"/>
                <w:szCs w:val="6"/>
                <w:lang w:val="fr-BE"/>
              </w:rPr>
            </w:pPr>
          </w:p>
        </w:tc>
        <w:tc>
          <w:tcPr>
            <w:tcW w:w="0" w:type="dxa"/>
            <w:vAlign w:val="bottom"/>
          </w:tcPr>
          <w:p w:rsidR="00AC12B4" w:rsidRPr="00C27636" w:rsidRDefault="00AC12B4">
            <w:pPr>
              <w:rPr>
                <w:sz w:val="1"/>
                <w:szCs w:val="1"/>
                <w:lang w:val="fr-BE"/>
              </w:rPr>
            </w:pPr>
          </w:p>
        </w:tc>
      </w:tr>
      <w:tr w:rsidR="00AC12B4" w:rsidRPr="00C27636">
        <w:trPr>
          <w:trHeight w:val="205"/>
        </w:trPr>
        <w:tc>
          <w:tcPr>
            <w:tcW w:w="1460" w:type="dxa"/>
            <w:vAlign w:val="bottom"/>
          </w:tcPr>
          <w:p w:rsidR="00AC12B4" w:rsidRPr="00C27636" w:rsidRDefault="00AC12B4">
            <w:pPr>
              <w:rPr>
                <w:sz w:val="17"/>
                <w:szCs w:val="17"/>
                <w:lang w:val="fr-BE"/>
              </w:rPr>
            </w:pPr>
          </w:p>
        </w:tc>
        <w:tc>
          <w:tcPr>
            <w:tcW w:w="4600" w:type="dxa"/>
            <w:gridSpan w:val="9"/>
            <w:vMerge/>
            <w:vAlign w:val="bottom"/>
          </w:tcPr>
          <w:p w:rsidR="00AC12B4" w:rsidRPr="00C27636" w:rsidRDefault="00AC12B4">
            <w:pPr>
              <w:rPr>
                <w:sz w:val="17"/>
                <w:szCs w:val="17"/>
                <w:lang w:val="fr-BE"/>
              </w:rPr>
            </w:pPr>
          </w:p>
        </w:tc>
        <w:tc>
          <w:tcPr>
            <w:tcW w:w="4680" w:type="dxa"/>
            <w:gridSpan w:val="17"/>
            <w:vAlign w:val="bottom"/>
          </w:tcPr>
          <w:p w:rsidR="00AC12B4" w:rsidRPr="00C27636" w:rsidRDefault="00C27636">
            <w:pPr>
              <w:spacing w:line="205" w:lineRule="exact"/>
              <w:rPr>
                <w:sz w:val="20"/>
                <w:szCs w:val="20"/>
                <w:lang w:val="fr-BE"/>
              </w:rPr>
            </w:pPr>
            <w:r w:rsidRPr="00C27636">
              <w:rPr>
                <w:rFonts w:ascii="Calibri" w:eastAsia="Calibri" w:hAnsi="Calibri" w:cs="Calibri"/>
                <w:sz w:val="20"/>
                <w:szCs w:val="20"/>
                <w:lang w:val="fr-BE"/>
              </w:rPr>
              <w:t xml:space="preserve">double (plus long pour les familles </w:t>
            </w:r>
            <w:r w:rsidRPr="00C27636">
              <w:rPr>
                <w:rFonts w:ascii="Calibri" w:eastAsia="Calibri" w:hAnsi="Calibri" w:cs="Calibri"/>
                <w:sz w:val="20"/>
                <w:szCs w:val="20"/>
                <w:lang w:val="fr-BE"/>
              </w:rPr>
              <w:lastRenderedPageBreak/>
              <w:t>encadrées).</w:t>
            </w:r>
          </w:p>
        </w:tc>
        <w:tc>
          <w:tcPr>
            <w:tcW w:w="0" w:type="dxa"/>
            <w:vAlign w:val="bottom"/>
          </w:tcPr>
          <w:p w:rsidR="00AC12B4" w:rsidRPr="00C27636" w:rsidRDefault="00AC12B4">
            <w:pPr>
              <w:rPr>
                <w:sz w:val="1"/>
                <w:szCs w:val="1"/>
                <w:lang w:val="fr-BE"/>
              </w:rPr>
            </w:pPr>
          </w:p>
        </w:tc>
      </w:tr>
      <w:tr w:rsidR="00AC12B4" w:rsidRPr="00C27636">
        <w:trPr>
          <w:trHeight w:val="295"/>
        </w:trPr>
        <w:tc>
          <w:tcPr>
            <w:tcW w:w="1460" w:type="dxa"/>
            <w:vAlign w:val="bottom"/>
          </w:tcPr>
          <w:p w:rsidR="00AC12B4" w:rsidRPr="00C27636" w:rsidRDefault="00AC12B4">
            <w:pPr>
              <w:rPr>
                <w:sz w:val="24"/>
                <w:szCs w:val="24"/>
                <w:lang w:val="fr-BE"/>
              </w:rPr>
            </w:pPr>
          </w:p>
        </w:tc>
        <w:tc>
          <w:tcPr>
            <w:tcW w:w="1800" w:type="dxa"/>
            <w:gridSpan w:val="3"/>
            <w:vAlign w:val="bottom"/>
          </w:tcPr>
          <w:p w:rsidR="00AC12B4" w:rsidRDefault="00C27636">
            <w:pPr>
              <w:spacing w:line="294" w:lineRule="exact"/>
              <w:rPr>
                <w:sz w:val="20"/>
                <w:szCs w:val="20"/>
              </w:rPr>
            </w:pPr>
            <w:r>
              <w:rPr>
                <w:rFonts w:ascii="Calibri" w:eastAsia="Calibri" w:hAnsi="Calibri" w:cs="Calibri"/>
              </w:rPr>
              <w:t>pour les enfants</w:t>
            </w:r>
            <w:r>
              <w:rPr>
                <w:rFonts w:ascii="Calibri" w:eastAsia="Calibri" w:hAnsi="Calibri" w:cs="Calibri"/>
                <w:sz w:val="27"/>
                <w:szCs w:val="27"/>
                <w:vertAlign w:val="superscript"/>
              </w:rPr>
              <w:t>1</w:t>
            </w:r>
            <w:r>
              <w:rPr>
                <w:rFonts w:ascii="Calibri" w:eastAsia="Calibri" w:hAnsi="Calibri" w:cs="Calibri"/>
              </w:rPr>
              <w:t>.</w:t>
            </w:r>
          </w:p>
        </w:tc>
        <w:tc>
          <w:tcPr>
            <w:tcW w:w="36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44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1440" w:type="dxa"/>
            <w:vAlign w:val="bottom"/>
          </w:tcPr>
          <w:p w:rsidR="00AC12B4" w:rsidRDefault="00AC12B4">
            <w:pPr>
              <w:rPr>
                <w:sz w:val="24"/>
                <w:szCs w:val="24"/>
              </w:rPr>
            </w:pPr>
          </w:p>
        </w:tc>
        <w:tc>
          <w:tcPr>
            <w:tcW w:w="4680" w:type="dxa"/>
            <w:gridSpan w:val="17"/>
            <w:vAlign w:val="bottom"/>
          </w:tcPr>
          <w:p w:rsidR="00AC12B4" w:rsidRPr="00C27636" w:rsidRDefault="00C27636">
            <w:pPr>
              <w:rPr>
                <w:sz w:val="20"/>
                <w:szCs w:val="20"/>
                <w:lang w:val="fr-BE"/>
              </w:rPr>
            </w:pPr>
            <w:r w:rsidRPr="00C27636">
              <w:rPr>
                <w:rFonts w:ascii="Calibri" w:eastAsia="Calibri" w:hAnsi="Calibri" w:cs="Calibri"/>
                <w:sz w:val="20"/>
                <w:szCs w:val="20"/>
                <w:lang w:val="fr-BE"/>
              </w:rPr>
              <w:t>Ceci peut être dû à l’existence de problèmes</w:t>
            </w:r>
          </w:p>
        </w:tc>
        <w:tc>
          <w:tcPr>
            <w:tcW w:w="0" w:type="dxa"/>
            <w:vAlign w:val="bottom"/>
          </w:tcPr>
          <w:p w:rsidR="00AC12B4" w:rsidRPr="00C27636" w:rsidRDefault="00AC12B4">
            <w:pPr>
              <w:rPr>
                <w:sz w:val="1"/>
                <w:szCs w:val="1"/>
                <w:lang w:val="fr-BE"/>
              </w:rPr>
            </w:pPr>
          </w:p>
        </w:tc>
      </w:tr>
      <w:tr w:rsidR="00AC12B4" w:rsidRPr="00C27636">
        <w:trPr>
          <w:trHeight w:val="238"/>
        </w:trPr>
        <w:tc>
          <w:tcPr>
            <w:tcW w:w="1460" w:type="dxa"/>
            <w:vAlign w:val="bottom"/>
          </w:tcPr>
          <w:p w:rsidR="00AC12B4" w:rsidRPr="00C27636" w:rsidRDefault="00AC12B4">
            <w:pPr>
              <w:rPr>
                <w:sz w:val="20"/>
                <w:szCs w:val="20"/>
                <w:lang w:val="fr-BE"/>
              </w:rPr>
            </w:pPr>
          </w:p>
        </w:tc>
        <w:tc>
          <w:tcPr>
            <w:tcW w:w="680" w:type="dxa"/>
            <w:tcBorders>
              <w:bottom w:val="single" w:sz="8" w:space="0" w:color="auto"/>
            </w:tcBorders>
            <w:vAlign w:val="bottom"/>
          </w:tcPr>
          <w:p w:rsidR="00AC12B4" w:rsidRPr="00C27636" w:rsidRDefault="00AC12B4">
            <w:pPr>
              <w:rPr>
                <w:sz w:val="20"/>
                <w:szCs w:val="20"/>
                <w:lang w:val="fr-BE"/>
              </w:rPr>
            </w:pPr>
          </w:p>
        </w:tc>
        <w:tc>
          <w:tcPr>
            <w:tcW w:w="640" w:type="dxa"/>
            <w:tcBorders>
              <w:bottom w:val="single" w:sz="8" w:space="0" w:color="auto"/>
            </w:tcBorders>
            <w:vAlign w:val="bottom"/>
          </w:tcPr>
          <w:p w:rsidR="00AC12B4" w:rsidRPr="00C27636" w:rsidRDefault="00AC12B4">
            <w:pPr>
              <w:rPr>
                <w:sz w:val="20"/>
                <w:szCs w:val="20"/>
                <w:lang w:val="fr-BE"/>
              </w:rPr>
            </w:pPr>
          </w:p>
        </w:tc>
        <w:tc>
          <w:tcPr>
            <w:tcW w:w="480" w:type="dxa"/>
            <w:tcBorders>
              <w:bottom w:val="single" w:sz="8" w:space="0" w:color="auto"/>
            </w:tcBorders>
            <w:vAlign w:val="bottom"/>
          </w:tcPr>
          <w:p w:rsidR="00AC12B4" w:rsidRPr="00C27636" w:rsidRDefault="00AC12B4">
            <w:pPr>
              <w:rPr>
                <w:sz w:val="20"/>
                <w:szCs w:val="20"/>
                <w:lang w:val="fr-BE"/>
              </w:rPr>
            </w:pPr>
          </w:p>
        </w:tc>
        <w:tc>
          <w:tcPr>
            <w:tcW w:w="360" w:type="dxa"/>
            <w:tcBorders>
              <w:bottom w:val="single" w:sz="8" w:space="0" w:color="auto"/>
            </w:tcBorders>
            <w:vAlign w:val="bottom"/>
          </w:tcPr>
          <w:p w:rsidR="00AC12B4" w:rsidRPr="00C27636" w:rsidRDefault="00AC12B4">
            <w:pPr>
              <w:rPr>
                <w:sz w:val="20"/>
                <w:szCs w:val="20"/>
                <w:lang w:val="fr-BE"/>
              </w:rPr>
            </w:pPr>
          </w:p>
        </w:tc>
        <w:tc>
          <w:tcPr>
            <w:tcW w:w="280" w:type="dxa"/>
            <w:tcBorders>
              <w:bottom w:val="single" w:sz="8" w:space="0" w:color="auto"/>
            </w:tcBorders>
            <w:vAlign w:val="bottom"/>
          </w:tcPr>
          <w:p w:rsidR="00AC12B4" w:rsidRPr="00C27636" w:rsidRDefault="00AC12B4">
            <w:pPr>
              <w:rPr>
                <w:sz w:val="20"/>
                <w:szCs w:val="20"/>
                <w:lang w:val="fr-BE"/>
              </w:rPr>
            </w:pPr>
          </w:p>
        </w:tc>
        <w:tc>
          <w:tcPr>
            <w:tcW w:w="440" w:type="dxa"/>
            <w:tcBorders>
              <w:bottom w:val="single" w:sz="8" w:space="0" w:color="auto"/>
            </w:tcBorders>
            <w:vAlign w:val="bottom"/>
          </w:tcPr>
          <w:p w:rsidR="00AC12B4" w:rsidRPr="00C27636" w:rsidRDefault="00AC12B4">
            <w:pPr>
              <w:rPr>
                <w:sz w:val="20"/>
                <w:szCs w:val="20"/>
                <w:lang w:val="fr-BE"/>
              </w:rPr>
            </w:pPr>
          </w:p>
        </w:tc>
        <w:tc>
          <w:tcPr>
            <w:tcW w:w="200" w:type="dxa"/>
            <w:vAlign w:val="bottom"/>
          </w:tcPr>
          <w:p w:rsidR="00AC12B4" w:rsidRPr="00C27636" w:rsidRDefault="00AC12B4">
            <w:pPr>
              <w:rPr>
                <w:sz w:val="20"/>
                <w:szCs w:val="20"/>
                <w:lang w:val="fr-BE"/>
              </w:rPr>
            </w:pPr>
          </w:p>
        </w:tc>
        <w:tc>
          <w:tcPr>
            <w:tcW w:w="80" w:type="dxa"/>
            <w:vAlign w:val="bottom"/>
          </w:tcPr>
          <w:p w:rsidR="00AC12B4" w:rsidRPr="00C27636" w:rsidRDefault="00AC12B4">
            <w:pPr>
              <w:rPr>
                <w:sz w:val="20"/>
                <w:szCs w:val="20"/>
                <w:lang w:val="fr-BE"/>
              </w:rPr>
            </w:pPr>
          </w:p>
        </w:tc>
        <w:tc>
          <w:tcPr>
            <w:tcW w:w="1440" w:type="dxa"/>
            <w:vAlign w:val="bottom"/>
          </w:tcPr>
          <w:p w:rsidR="00AC12B4" w:rsidRPr="00C27636" w:rsidRDefault="00AC12B4">
            <w:pPr>
              <w:rPr>
                <w:sz w:val="20"/>
                <w:szCs w:val="20"/>
                <w:lang w:val="fr-BE"/>
              </w:rPr>
            </w:pPr>
          </w:p>
        </w:tc>
        <w:tc>
          <w:tcPr>
            <w:tcW w:w="4680" w:type="dxa"/>
            <w:gridSpan w:val="17"/>
            <w:vAlign w:val="bottom"/>
          </w:tcPr>
          <w:p w:rsidR="00AC12B4" w:rsidRPr="00C27636" w:rsidRDefault="00C27636">
            <w:pPr>
              <w:spacing w:line="231" w:lineRule="exact"/>
              <w:rPr>
                <w:sz w:val="20"/>
                <w:szCs w:val="20"/>
                <w:lang w:val="fr-BE"/>
              </w:rPr>
            </w:pPr>
            <w:r w:rsidRPr="00C27636">
              <w:rPr>
                <w:rFonts w:ascii="Calibri" w:eastAsia="Calibri" w:hAnsi="Calibri" w:cs="Calibri"/>
                <w:sz w:val="20"/>
                <w:szCs w:val="20"/>
                <w:lang w:val="fr-BE"/>
              </w:rPr>
              <w:t>plus  lourds  ou  au  fait  qu’il  s’agisse  plus</w:t>
            </w:r>
          </w:p>
        </w:tc>
        <w:tc>
          <w:tcPr>
            <w:tcW w:w="0" w:type="dxa"/>
            <w:vAlign w:val="bottom"/>
          </w:tcPr>
          <w:p w:rsidR="00AC12B4" w:rsidRPr="00C27636" w:rsidRDefault="00AC12B4">
            <w:pPr>
              <w:rPr>
                <w:sz w:val="1"/>
                <w:szCs w:val="1"/>
                <w:lang w:val="fr-BE"/>
              </w:rPr>
            </w:pPr>
          </w:p>
        </w:tc>
      </w:tr>
      <w:tr w:rsidR="00AC12B4" w:rsidRPr="00C27636">
        <w:trPr>
          <w:trHeight w:val="218"/>
        </w:trPr>
        <w:tc>
          <w:tcPr>
            <w:tcW w:w="1460" w:type="dxa"/>
            <w:vAlign w:val="bottom"/>
          </w:tcPr>
          <w:p w:rsidR="00AC12B4" w:rsidRPr="00C27636" w:rsidRDefault="00AC12B4">
            <w:pPr>
              <w:rPr>
                <w:sz w:val="18"/>
                <w:szCs w:val="18"/>
                <w:lang w:val="fr-BE"/>
              </w:rPr>
            </w:pPr>
          </w:p>
        </w:tc>
        <w:tc>
          <w:tcPr>
            <w:tcW w:w="3080" w:type="dxa"/>
            <w:gridSpan w:val="7"/>
            <w:vMerge w:val="restart"/>
            <w:vAlign w:val="bottom"/>
          </w:tcPr>
          <w:p w:rsidR="00AC12B4" w:rsidRDefault="00C27636">
            <w:pPr>
              <w:rPr>
                <w:sz w:val="20"/>
                <w:szCs w:val="20"/>
              </w:rPr>
            </w:pPr>
            <w:r>
              <w:rPr>
                <w:rFonts w:ascii="Calibri" w:eastAsia="Calibri" w:hAnsi="Calibri" w:cs="Calibri"/>
                <w:sz w:val="25"/>
                <w:szCs w:val="25"/>
                <w:vertAlign w:val="superscript"/>
              </w:rPr>
              <w:t>1</w:t>
            </w:r>
            <w:r>
              <w:rPr>
                <w:rFonts w:ascii="Calibri" w:eastAsia="Calibri" w:hAnsi="Calibri" w:cs="Calibri"/>
                <w:sz w:val="20"/>
                <w:szCs w:val="20"/>
              </w:rPr>
              <w:t xml:space="preserve"> A/res/64/142, 24 février 2010.</w:t>
            </w:r>
          </w:p>
        </w:tc>
        <w:tc>
          <w:tcPr>
            <w:tcW w:w="80" w:type="dxa"/>
            <w:vAlign w:val="bottom"/>
          </w:tcPr>
          <w:p w:rsidR="00AC12B4" w:rsidRDefault="00AC12B4">
            <w:pPr>
              <w:rPr>
                <w:sz w:val="18"/>
                <w:szCs w:val="18"/>
              </w:rPr>
            </w:pPr>
          </w:p>
        </w:tc>
        <w:tc>
          <w:tcPr>
            <w:tcW w:w="1440" w:type="dxa"/>
            <w:vAlign w:val="bottom"/>
          </w:tcPr>
          <w:p w:rsidR="00AC12B4" w:rsidRDefault="00AC12B4">
            <w:pPr>
              <w:rPr>
                <w:sz w:val="18"/>
                <w:szCs w:val="18"/>
              </w:rPr>
            </w:pPr>
          </w:p>
        </w:tc>
        <w:tc>
          <w:tcPr>
            <w:tcW w:w="4680" w:type="dxa"/>
            <w:gridSpan w:val="17"/>
            <w:vAlign w:val="bottom"/>
          </w:tcPr>
          <w:p w:rsidR="00AC12B4" w:rsidRPr="00C27636" w:rsidRDefault="00C27636">
            <w:pPr>
              <w:spacing w:line="218" w:lineRule="exact"/>
              <w:rPr>
                <w:sz w:val="20"/>
                <w:szCs w:val="20"/>
                <w:lang w:val="fr-BE"/>
              </w:rPr>
            </w:pPr>
            <w:r w:rsidRPr="00C27636">
              <w:rPr>
                <w:rFonts w:ascii="Calibri" w:eastAsia="Calibri" w:hAnsi="Calibri" w:cs="Calibri"/>
                <w:sz w:val="20"/>
                <w:szCs w:val="20"/>
                <w:lang w:val="fr-BE"/>
              </w:rPr>
              <w:t>régulièrement  d’aide  contrainte  dans  les</w:t>
            </w:r>
          </w:p>
        </w:tc>
        <w:tc>
          <w:tcPr>
            <w:tcW w:w="0" w:type="dxa"/>
            <w:vAlign w:val="bottom"/>
          </w:tcPr>
          <w:p w:rsidR="00AC12B4" w:rsidRPr="00C27636" w:rsidRDefault="00AC12B4">
            <w:pPr>
              <w:rPr>
                <w:sz w:val="1"/>
                <w:szCs w:val="1"/>
                <w:lang w:val="fr-BE"/>
              </w:rPr>
            </w:pPr>
          </w:p>
        </w:tc>
      </w:tr>
      <w:tr w:rsidR="00AC12B4" w:rsidRPr="00C27636">
        <w:trPr>
          <w:trHeight w:val="271"/>
        </w:trPr>
        <w:tc>
          <w:tcPr>
            <w:tcW w:w="1460" w:type="dxa"/>
            <w:vAlign w:val="bottom"/>
          </w:tcPr>
          <w:p w:rsidR="00AC12B4" w:rsidRPr="00C27636" w:rsidRDefault="00AC12B4">
            <w:pPr>
              <w:rPr>
                <w:sz w:val="23"/>
                <w:szCs w:val="23"/>
                <w:lang w:val="fr-BE"/>
              </w:rPr>
            </w:pPr>
          </w:p>
        </w:tc>
        <w:tc>
          <w:tcPr>
            <w:tcW w:w="3080" w:type="dxa"/>
            <w:gridSpan w:val="7"/>
            <w:vMerge/>
            <w:vAlign w:val="bottom"/>
          </w:tcPr>
          <w:p w:rsidR="00AC12B4" w:rsidRPr="00C27636" w:rsidRDefault="00AC12B4">
            <w:pPr>
              <w:rPr>
                <w:sz w:val="23"/>
                <w:szCs w:val="23"/>
                <w:lang w:val="fr-BE"/>
              </w:rPr>
            </w:pPr>
          </w:p>
        </w:tc>
        <w:tc>
          <w:tcPr>
            <w:tcW w:w="80" w:type="dxa"/>
            <w:vAlign w:val="bottom"/>
          </w:tcPr>
          <w:p w:rsidR="00AC12B4" w:rsidRPr="00C27636" w:rsidRDefault="00AC12B4">
            <w:pPr>
              <w:rPr>
                <w:sz w:val="23"/>
                <w:szCs w:val="23"/>
                <w:lang w:val="fr-BE"/>
              </w:rPr>
            </w:pPr>
          </w:p>
        </w:tc>
        <w:tc>
          <w:tcPr>
            <w:tcW w:w="1440" w:type="dxa"/>
            <w:vAlign w:val="bottom"/>
          </w:tcPr>
          <w:p w:rsidR="00AC12B4" w:rsidRPr="00C27636" w:rsidRDefault="00AC12B4">
            <w:pPr>
              <w:rPr>
                <w:sz w:val="23"/>
                <w:szCs w:val="23"/>
                <w:lang w:val="fr-BE"/>
              </w:rPr>
            </w:pPr>
          </w:p>
        </w:tc>
        <w:tc>
          <w:tcPr>
            <w:tcW w:w="4680" w:type="dxa"/>
            <w:gridSpan w:val="17"/>
            <w:vAlign w:val="bottom"/>
          </w:tcPr>
          <w:p w:rsidR="00AC12B4" w:rsidRPr="00C27636" w:rsidRDefault="00C27636">
            <w:pPr>
              <w:rPr>
                <w:sz w:val="20"/>
                <w:szCs w:val="20"/>
                <w:lang w:val="fr-BE"/>
              </w:rPr>
            </w:pPr>
            <w:r w:rsidRPr="00C27636">
              <w:rPr>
                <w:rFonts w:ascii="Calibri" w:eastAsia="Calibri" w:hAnsi="Calibri" w:cs="Calibri"/>
                <w:sz w:val="20"/>
                <w:szCs w:val="20"/>
                <w:lang w:val="fr-BE"/>
              </w:rPr>
              <w:t>familles encadrées. Cf. Mulkay, F., Frippiat, D.,</w:t>
            </w:r>
          </w:p>
        </w:tc>
        <w:tc>
          <w:tcPr>
            <w:tcW w:w="0" w:type="dxa"/>
            <w:vAlign w:val="bottom"/>
          </w:tcPr>
          <w:p w:rsidR="00AC12B4" w:rsidRPr="00C27636" w:rsidRDefault="00AC12B4">
            <w:pPr>
              <w:rPr>
                <w:sz w:val="1"/>
                <w:szCs w:val="1"/>
                <w:lang w:val="fr-BE"/>
              </w:rPr>
            </w:pPr>
          </w:p>
        </w:tc>
      </w:tr>
      <w:tr w:rsidR="00AC12B4">
        <w:trPr>
          <w:trHeight w:val="363"/>
        </w:trPr>
        <w:tc>
          <w:tcPr>
            <w:tcW w:w="1460" w:type="dxa"/>
            <w:vAlign w:val="bottom"/>
          </w:tcPr>
          <w:p w:rsidR="00AC12B4" w:rsidRPr="00C27636" w:rsidRDefault="00AC12B4">
            <w:pPr>
              <w:rPr>
                <w:sz w:val="24"/>
                <w:szCs w:val="24"/>
                <w:lang w:val="fr-BE"/>
              </w:rPr>
            </w:pPr>
          </w:p>
        </w:tc>
        <w:tc>
          <w:tcPr>
            <w:tcW w:w="680" w:type="dxa"/>
            <w:vAlign w:val="bottom"/>
          </w:tcPr>
          <w:p w:rsidR="00AC12B4" w:rsidRPr="00C27636" w:rsidRDefault="00AC12B4">
            <w:pPr>
              <w:rPr>
                <w:sz w:val="24"/>
                <w:szCs w:val="24"/>
                <w:lang w:val="fr-BE"/>
              </w:rPr>
            </w:pPr>
          </w:p>
        </w:tc>
        <w:tc>
          <w:tcPr>
            <w:tcW w:w="640" w:type="dxa"/>
            <w:vAlign w:val="bottom"/>
          </w:tcPr>
          <w:p w:rsidR="00AC12B4" w:rsidRPr="00C27636" w:rsidRDefault="00AC12B4">
            <w:pPr>
              <w:rPr>
                <w:sz w:val="24"/>
                <w:szCs w:val="24"/>
                <w:lang w:val="fr-BE"/>
              </w:rPr>
            </w:pPr>
          </w:p>
        </w:tc>
        <w:tc>
          <w:tcPr>
            <w:tcW w:w="480" w:type="dxa"/>
            <w:vAlign w:val="bottom"/>
          </w:tcPr>
          <w:p w:rsidR="00AC12B4" w:rsidRPr="00C27636" w:rsidRDefault="00AC12B4">
            <w:pPr>
              <w:rPr>
                <w:sz w:val="24"/>
                <w:szCs w:val="24"/>
                <w:lang w:val="fr-BE"/>
              </w:rPr>
            </w:pPr>
          </w:p>
        </w:tc>
        <w:tc>
          <w:tcPr>
            <w:tcW w:w="360" w:type="dxa"/>
            <w:vAlign w:val="bottom"/>
          </w:tcPr>
          <w:p w:rsidR="00AC12B4" w:rsidRPr="00C27636" w:rsidRDefault="00AC12B4">
            <w:pPr>
              <w:rPr>
                <w:sz w:val="24"/>
                <w:szCs w:val="24"/>
                <w:lang w:val="fr-BE"/>
              </w:rPr>
            </w:pPr>
          </w:p>
        </w:tc>
        <w:tc>
          <w:tcPr>
            <w:tcW w:w="280" w:type="dxa"/>
            <w:vAlign w:val="bottom"/>
          </w:tcPr>
          <w:p w:rsidR="00AC12B4" w:rsidRPr="00C27636" w:rsidRDefault="00AC12B4">
            <w:pPr>
              <w:rPr>
                <w:sz w:val="24"/>
                <w:szCs w:val="24"/>
                <w:lang w:val="fr-BE"/>
              </w:rPr>
            </w:pPr>
          </w:p>
        </w:tc>
        <w:tc>
          <w:tcPr>
            <w:tcW w:w="440" w:type="dxa"/>
            <w:vAlign w:val="bottom"/>
          </w:tcPr>
          <w:p w:rsidR="00AC12B4" w:rsidRPr="00C27636" w:rsidRDefault="00AC12B4">
            <w:pPr>
              <w:rPr>
                <w:sz w:val="24"/>
                <w:szCs w:val="24"/>
                <w:lang w:val="fr-BE"/>
              </w:rPr>
            </w:pPr>
          </w:p>
        </w:tc>
        <w:tc>
          <w:tcPr>
            <w:tcW w:w="200" w:type="dxa"/>
            <w:vAlign w:val="bottom"/>
          </w:tcPr>
          <w:p w:rsidR="00AC12B4" w:rsidRPr="00C27636" w:rsidRDefault="00AC12B4">
            <w:pPr>
              <w:rPr>
                <w:sz w:val="24"/>
                <w:szCs w:val="24"/>
                <w:lang w:val="fr-BE"/>
              </w:rPr>
            </w:pPr>
          </w:p>
        </w:tc>
        <w:tc>
          <w:tcPr>
            <w:tcW w:w="80" w:type="dxa"/>
            <w:vAlign w:val="bottom"/>
          </w:tcPr>
          <w:p w:rsidR="00AC12B4" w:rsidRPr="00C27636" w:rsidRDefault="00AC12B4">
            <w:pPr>
              <w:rPr>
                <w:sz w:val="24"/>
                <w:szCs w:val="24"/>
                <w:lang w:val="fr-BE"/>
              </w:rPr>
            </w:pPr>
          </w:p>
        </w:tc>
        <w:tc>
          <w:tcPr>
            <w:tcW w:w="1440" w:type="dxa"/>
            <w:vAlign w:val="bottom"/>
          </w:tcPr>
          <w:p w:rsidR="00AC12B4" w:rsidRDefault="00C27636">
            <w:pPr>
              <w:ind w:right="90"/>
              <w:jc w:val="right"/>
              <w:rPr>
                <w:sz w:val="20"/>
                <w:szCs w:val="20"/>
              </w:rPr>
            </w:pPr>
            <w:r>
              <w:rPr>
                <w:rFonts w:ascii="Calibri" w:eastAsia="Calibri" w:hAnsi="Calibri" w:cs="Calibri"/>
              </w:rPr>
              <w:t>187</w:t>
            </w:r>
          </w:p>
        </w:tc>
        <w:tc>
          <w:tcPr>
            <w:tcW w:w="12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30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4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500" w:type="dxa"/>
            <w:vAlign w:val="bottom"/>
          </w:tcPr>
          <w:p w:rsidR="00AC12B4" w:rsidRDefault="00AC12B4">
            <w:pPr>
              <w:rPr>
                <w:sz w:val="24"/>
                <w:szCs w:val="24"/>
              </w:rPr>
            </w:pPr>
          </w:p>
        </w:tc>
        <w:tc>
          <w:tcPr>
            <w:tcW w:w="14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360" w:type="dxa"/>
            <w:vAlign w:val="bottom"/>
          </w:tcPr>
          <w:p w:rsidR="00AC12B4" w:rsidRDefault="00AC12B4">
            <w:pPr>
              <w:rPr>
                <w:sz w:val="24"/>
                <w:szCs w:val="24"/>
              </w:rPr>
            </w:pPr>
          </w:p>
        </w:tc>
        <w:tc>
          <w:tcPr>
            <w:tcW w:w="80" w:type="dxa"/>
            <w:vAlign w:val="bottom"/>
          </w:tcPr>
          <w:p w:rsidR="00AC12B4" w:rsidRDefault="00AC12B4">
            <w:pPr>
              <w:rPr>
                <w:sz w:val="24"/>
                <w:szCs w:val="24"/>
              </w:rPr>
            </w:pPr>
          </w:p>
        </w:tc>
        <w:tc>
          <w:tcPr>
            <w:tcW w:w="20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220" w:type="dxa"/>
            <w:vAlign w:val="bottom"/>
          </w:tcPr>
          <w:p w:rsidR="00AC12B4" w:rsidRDefault="00AC12B4">
            <w:pPr>
              <w:rPr>
                <w:sz w:val="24"/>
                <w:szCs w:val="24"/>
              </w:rPr>
            </w:pPr>
          </w:p>
        </w:tc>
        <w:tc>
          <w:tcPr>
            <w:tcW w:w="280" w:type="dxa"/>
            <w:vAlign w:val="bottom"/>
          </w:tcPr>
          <w:p w:rsidR="00AC12B4" w:rsidRDefault="00AC12B4">
            <w:pPr>
              <w:rPr>
                <w:sz w:val="24"/>
                <w:szCs w:val="24"/>
              </w:rPr>
            </w:pPr>
          </w:p>
        </w:tc>
        <w:tc>
          <w:tcPr>
            <w:tcW w:w="860" w:type="dxa"/>
            <w:vAlign w:val="bottom"/>
          </w:tcPr>
          <w:p w:rsidR="00AC12B4" w:rsidRDefault="00AC12B4">
            <w:pPr>
              <w:rPr>
                <w:sz w:val="24"/>
                <w:szCs w:val="24"/>
              </w:rPr>
            </w:pPr>
          </w:p>
        </w:tc>
        <w:tc>
          <w:tcPr>
            <w:tcW w:w="0" w:type="dxa"/>
            <w:vAlign w:val="bottom"/>
          </w:tcPr>
          <w:p w:rsidR="00AC12B4" w:rsidRDefault="00AC12B4">
            <w:pPr>
              <w:rPr>
                <w:sz w:val="1"/>
                <w:szCs w:val="1"/>
              </w:rPr>
            </w:pPr>
          </w:p>
        </w:tc>
      </w:tr>
    </w:tbl>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897344" behindDoc="1" locked="0" layoutInCell="0" allowOverlap="1">
                <wp:simplePos x="0" y="0"/>
                <wp:positionH relativeFrom="column">
                  <wp:posOffset>6619240</wp:posOffset>
                </wp:positionH>
                <wp:positionV relativeFrom="paragraph">
                  <wp:posOffset>-10131425</wp:posOffset>
                </wp:positionV>
                <wp:extent cx="701040" cy="10908030"/>
                <wp:effectExtent l="0" t="0" r="0" b="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030"/>
                        </a:xfrm>
                        <a:prstGeom prst="rect">
                          <a:avLst/>
                        </a:prstGeom>
                        <a:solidFill>
                          <a:srgbClr val="FEC930"/>
                        </a:solidFill>
                      </wps:spPr>
                      <wps:bodyPr/>
                    </wps:wsp>
                  </a:graphicData>
                </a:graphic>
              </wp:anchor>
            </w:drawing>
          </mc:Choice>
          <mc:Fallback>
            <w:pict>
              <v:rect id="Shape 568" o:spid="_x0000_s1593" style="position:absolute;margin-left:521.2pt;margin-top:-797.7499pt;width:55.2pt;height:85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r>
        <w:rPr>
          <w:noProof/>
          <w:sz w:val="20"/>
          <w:szCs w:val="20"/>
        </w:rPr>
        <mc:AlternateContent>
          <mc:Choice Requires="wps">
            <w:drawing>
              <wp:anchor distT="0" distB="0" distL="114300" distR="114300" simplePos="0" relativeHeight="251898368" behindDoc="1" locked="0" layoutInCell="0" allowOverlap="1">
                <wp:simplePos x="0" y="0"/>
                <wp:positionH relativeFrom="column">
                  <wp:posOffset>5306060</wp:posOffset>
                </wp:positionH>
                <wp:positionV relativeFrom="paragraph">
                  <wp:posOffset>-7040880</wp:posOffset>
                </wp:positionV>
                <wp:extent cx="1616075" cy="2105660"/>
                <wp:effectExtent l="0" t="0" r="0" b="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6075" cy="2105660"/>
                        </a:xfrm>
                        <a:prstGeom prst="rect">
                          <a:avLst/>
                        </a:prstGeom>
                        <a:solidFill>
                          <a:srgbClr val="FFFFFF"/>
                        </a:solidFill>
                      </wps:spPr>
                      <wps:bodyPr/>
                    </wps:wsp>
                  </a:graphicData>
                </a:graphic>
              </wp:anchor>
            </w:drawing>
          </mc:Choice>
          <mc:Fallback>
            <w:pict>
              <v:rect id="Shape 569" o:spid="_x0000_s1594" style="position:absolute;margin-left:417.8pt;margin-top:-554.3999pt;width:127.25pt;height:165.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r>
        <w:rPr>
          <w:noProof/>
          <w:sz w:val="20"/>
          <w:szCs w:val="20"/>
        </w:rPr>
        <mc:AlternateContent>
          <mc:Choice Requires="wps">
            <w:drawing>
              <wp:anchor distT="0" distB="0" distL="114300" distR="114300" simplePos="0" relativeHeight="251899392" behindDoc="1" locked="0" layoutInCell="0" allowOverlap="1">
                <wp:simplePos x="0" y="0"/>
                <wp:positionH relativeFrom="column">
                  <wp:posOffset>5293360</wp:posOffset>
                </wp:positionH>
                <wp:positionV relativeFrom="paragraph">
                  <wp:posOffset>-4935220</wp:posOffset>
                </wp:positionV>
                <wp:extent cx="1641475" cy="0"/>
                <wp:effectExtent l="0" t="0" r="0" b="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8pt,-388.5999pt" to="546.05pt,-388.5999pt" o:allowincell="f" strokecolor="#FEC930" strokeweight="2pt"/>
            </w:pict>
          </mc:Fallback>
        </mc:AlternateContent>
      </w:r>
      <w:r>
        <w:rPr>
          <w:noProof/>
          <w:sz w:val="20"/>
          <w:szCs w:val="20"/>
        </w:rPr>
        <mc:AlternateContent>
          <mc:Choice Requires="wps">
            <w:drawing>
              <wp:anchor distT="0" distB="0" distL="114300" distR="114300" simplePos="0" relativeHeight="251900416" behindDoc="1" locked="0" layoutInCell="0" allowOverlap="1">
                <wp:simplePos x="0" y="0"/>
                <wp:positionH relativeFrom="column">
                  <wp:posOffset>6922135</wp:posOffset>
                </wp:positionH>
                <wp:positionV relativeFrom="paragraph">
                  <wp:posOffset>-7053580</wp:posOffset>
                </wp:positionV>
                <wp:extent cx="0" cy="2131060"/>
                <wp:effectExtent l="0" t="0" r="0" b="0"/>
                <wp:wrapNone/>
                <wp:docPr id="571" name="Shape 5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1060"/>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71" o:spid="_x0000_s15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5.05pt,-555.3999pt" to="545.05pt,-387.5999pt" o:allowincell="f" strokecolor="#FEC930" strokeweight="2pt"/>
            </w:pict>
          </mc:Fallback>
        </mc:AlternateContent>
      </w:r>
      <w:r>
        <w:rPr>
          <w:noProof/>
          <w:sz w:val="20"/>
          <w:szCs w:val="20"/>
        </w:rPr>
        <mc:AlternateContent>
          <mc:Choice Requires="wps">
            <w:drawing>
              <wp:anchor distT="0" distB="0" distL="114300" distR="114300" simplePos="0" relativeHeight="251901440" behindDoc="1" locked="0" layoutInCell="0" allowOverlap="1">
                <wp:simplePos x="0" y="0"/>
                <wp:positionH relativeFrom="column">
                  <wp:posOffset>5293360</wp:posOffset>
                </wp:positionH>
                <wp:positionV relativeFrom="paragraph">
                  <wp:posOffset>-7040880</wp:posOffset>
                </wp:positionV>
                <wp:extent cx="1641475" cy="0"/>
                <wp:effectExtent l="0" t="0" r="0" b="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1475" cy="4763"/>
                        </a:xfrm>
                        <a:prstGeom prst="line">
                          <a:avLst/>
                        </a:prstGeom>
                        <a:solidFill>
                          <a:srgbClr val="FFFFFF"/>
                        </a:solidFill>
                        <a:ln w="25400">
                          <a:solidFill>
                            <a:srgbClr val="FEC93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8pt,-554.3999pt" to="546.05pt,-554.3999pt" o:allowincell="f" strokecolor="#FEC930" strokeweight="2pt"/>
            </w:pict>
          </mc:Fallback>
        </mc:AlternateConten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AC12B4">
      <w:pPr>
        <w:rPr>
          <w:lang w:val="fr-BE"/>
        </w:rPr>
        <w:sectPr w:rsidR="00AC12B4" w:rsidRPr="00C27636">
          <w:pgSz w:w="12080" w:h="17179"/>
          <w:pgMar w:top="1440" w:right="467" w:bottom="659" w:left="540" w:header="0" w:footer="0" w:gutter="0"/>
          <w:cols w:num="2" w:space="720" w:equalWidth="0">
            <w:col w:w="10740" w:space="0"/>
            <w:col w:w="330"/>
          </w:cols>
        </w:sectPr>
      </w:pPr>
    </w:p>
    <w:bookmarkStart w:id="187" w:name="page188"/>
    <w:bookmarkEnd w:id="187"/>
    <w:p w:rsidR="00AC12B4" w:rsidRPr="00C27636" w:rsidRDefault="00C27636">
      <w:pPr>
        <w:spacing w:line="200" w:lineRule="exact"/>
        <w:rPr>
          <w:sz w:val="20"/>
          <w:szCs w:val="20"/>
          <w:lang w:val="fr-BE"/>
        </w:rPr>
      </w:pPr>
      <w:r>
        <w:rPr>
          <w:noProof/>
          <w:sz w:val="20"/>
          <w:szCs w:val="20"/>
        </w:rPr>
        <w:lastRenderedPageBreak/>
        <mc:AlternateContent>
          <mc:Choice Requires="wps">
            <w:drawing>
              <wp:anchor distT="0" distB="0" distL="114300" distR="114300" simplePos="0" relativeHeight="251902464" behindDoc="1" locked="0" layoutInCell="0" allowOverlap="1">
                <wp:simplePos x="0" y="0"/>
                <wp:positionH relativeFrom="page">
                  <wp:posOffset>0</wp:posOffset>
                </wp:positionH>
                <wp:positionV relativeFrom="page">
                  <wp:posOffset>0</wp:posOffset>
                </wp:positionV>
                <wp:extent cx="699135" cy="10908665"/>
                <wp:effectExtent l="0" t="0" r="0" b="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135" cy="10908665"/>
                        </a:xfrm>
                        <a:prstGeom prst="rect">
                          <a:avLst/>
                        </a:prstGeom>
                        <a:solidFill>
                          <a:srgbClr val="FEC930"/>
                        </a:solidFill>
                      </wps:spPr>
                      <wps:bodyPr/>
                    </wps:wsp>
                  </a:graphicData>
                </a:graphic>
              </wp:anchor>
            </w:drawing>
          </mc:Choice>
          <mc:Fallback>
            <w:pict>
              <v:rect id="Shape 573" o:spid="_x0000_s1598" style="position:absolute;margin-left:0pt;margin-top:0pt;width:55.05pt;height:85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C930" stroked="f">
                <w10:wrap anchorx="page" anchory="page"/>
              </v:rec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52" w:lineRule="exact"/>
        <w:rPr>
          <w:sz w:val="20"/>
          <w:szCs w:val="20"/>
          <w:lang w:val="fr-BE"/>
        </w:rPr>
      </w:pPr>
    </w:p>
    <w:p w:rsidR="00AC12B4" w:rsidRPr="00C27636" w:rsidRDefault="00C27636">
      <w:pPr>
        <w:spacing w:line="227" w:lineRule="auto"/>
        <w:ind w:right="520"/>
        <w:jc w:val="both"/>
        <w:rPr>
          <w:sz w:val="20"/>
          <w:szCs w:val="20"/>
          <w:lang w:val="fr-BE"/>
        </w:rPr>
      </w:pPr>
      <w:r w:rsidRPr="00C27636">
        <w:rPr>
          <w:rFonts w:ascii="Calibri" w:eastAsia="Calibri" w:hAnsi="Calibri" w:cs="Calibri"/>
          <w:lang w:val="fr-BE"/>
        </w:rPr>
        <w:t>charge par les SAAE</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 xml:space="preserve"> sont en moyenne plus courtes que pour les familles encadrées : un jeune sur deux est pris en charge pour plus de deux ans, un sur dix pour plus de 7 ans.</w:t>
      </w:r>
    </w:p>
    <w:p w:rsidR="00AC12B4" w:rsidRPr="00C27636" w:rsidRDefault="00AC12B4">
      <w:pPr>
        <w:spacing w:line="174" w:lineRule="exact"/>
        <w:rPr>
          <w:sz w:val="20"/>
          <w:szCs w:val="20"/>
          <w:lang w:val="fr-BE"/>
        </w:rPr>
      </w:pPr>
    </w:p>
    <w:p w:rsidR="00AC12B4" w:rsidRPr="00C27636" w:rsidRDefault="00C27636">
      <w:pPr>
        <w:spacing w:line="224" w:lineRule="auto"/>
        <w:ind w:right="520"/>
        <w:jc w:val="both"/>
        <w:rPr>
          <w:sz w:val="20"/>
          <w:szCs w:val="20"/>
          <w:lang w:val="fr-BE"/>
        </w:rPr>
      </w:pPr>
      <w:r w:rsidRPr="00C27636">
        <w:rPr>
          <w:rFonts w:ascii="Calibri" w:eastAsia="Calibri" w:hAnsi="Calibri" w:cs="Calibri"/>
          <w:lang w:val="fr-BE"/>
        </w:rPr>
        <w:t>Notons que les jeunes confiés à un SAAE sont en moyenne plus âgés que ceux confiés en famille d’accu</w:t>
      </w:r>
      <w:r w:rsidRPr="00C27636">
        <w:rPr>
          <w:rFonts w:ascii="Calibri" w:eastAsia="Calibri" w:hAnsi="Calibri" w:cs="Calibri"/>
          <w:lang w:val="fr-BE"/>
        </w:rPr>
        <w:t>eil (près d’un an en plus en moyenne)</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w:t>
      </w:r>
    </w:p>
    <w:p w:rsidR="00AC12B4" w:rsidRPr="00C27636" w:rsidRDefault="00AC12B4">
      <w:pPr>
        <w:spacing w:line="136" w:lineRule="exact"/>
        <w:rPr>
          <w:sz w:val="20"/>
          <w:szCs w:val="20"/>
          <w:lang w:val="fr-BE"/>
        </w:rPr>
      </w:pPr>
    </w:p>
    <w:p w:rsidR="00AC12B4" w:rsidRPr="00C27636" w:rsidRDefault="00C27636">
      <w:pPr>
        <w:spacing w:line="225" w:lineRule="auto"/>
        <w:ind w:right="520"/>
        <w:jc w:val="both"/>
        <w:rPr>
          <w:sz w:val="20"/>
          <w:szCs w:val="20"/>
          <w:lang w:val="fr-BE"/>
        </w:rPr>
      </w:pPr>
      <w:r w:rsidRPr="00C27636">
        <w:rPr>
          <w:rFonts w:ascii="Calibri" w:eastAsia="Calibri" w:hAnsi="Calibri" w:cs="Calibri"/>
          <w:lang w:val="fr-BE"/>
        </w:rPr>
        <w:t>Les Services d’Accueil Spécialisé de la Petite Enfance (SASPE) de la FWB accueillent les enfants de moins de 7 ans.</w:t>
      </w:r>
    </w:p>
    <w:p w:rsidR="00AC12B4" w:rsidRPr="00C27636" w:rsidRDefault="00AC12B4">
      <w:pPr>
        <w:spacing w:line="172" w:lineRule="exact"/>
        <w:rPr>
          <w:sz w:val="20"/>
          <w:szCs w:val="20"/>
          <w:lang w:val="fr-BE"/>
        </w:rPr>
      </w:pPr>
    </w:p>
    <w:p w:rsidR="00AC12B4" w:rsidRPr="00C27636" w:rsidRDefault="00C27636">
      <w:pPr>
        <w:spacing w:line="218" w:lineRule="auto"/>
        <w:ind w:right="520"/>
        <w:jc w:val="both"/>
        <w:rPr>
          <w:sz w:val="20"/>
          <w:szCs w:val="20"/>
          <w:lang w:val="fr-BE"/>
        </w:rPr>
      </w:pPr>
      <w:r w:rsidRPr="00C27636">
        <w:rPr>
          <w:rFonts w:ascii="Calibri" w:eastAsia="Calibri" w:hAnsi="Calibri" w:cs="Calibri"/>
          <w:lang w:val="fr-BE"/>
        </w:rPr>
        <w:t>Entre 40 et 50% des enfants placés dans un SASPE le sont pour plus de un an.</w:t>
      </w:r>
    </w:p>
    <w:p w:rsidR="00AC12B4" w:rsidRPr="00C27636" w:rsidRDefault="00AC12B4">
      <w:pPr>
        <w:spacing w:line="204"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CF9901"/>
          <w:sz w:val="26"/>
          <w:szCs w:val="26"/>
          <w:lang w:val="fr-BE"/>
        </w:rPr>
        <w:t>Evolution :</w:t>
      </w:r>
    </w:p>
    <w:p w:rsidR="00AC12B4" w:rsidRPr="00C27636" w:rsidRDefault="00AC12B4">
      <w:pPr>
        <w:spacing w:line="210" w:lineRule="exact"/>
        <w:rPr>
          <w:sz w:val="20"/>
          <w:szCs w:val="20"/>
          <w:lang w:val="fr-BE"/>
        </w:rPr>
      </w:pPr>
    </w:p>
    <w:p w:rsidR="00AC12B4" w:rsidRPr="00C27636" w:rsidRDefault="00C27636">
      <w:pPr>
        <w:spacing w:line="233" w:lineRule="auto"/>
        <w:ind w:right="520"/>
        <w:jc w:val="both"/>
        <w:rPr>
          <w:sz w:val="20"/>
          <w:szCs w:val="20"/>
          <w:lang w:val="fr-BE"/>
        </w:rPr>
      </w:pPr>
      <w:r w:rsidRPr="00C27636">
        <w:rPr>
          <w:rFonts w:ascii="Calibri" w:eastAsia="Calibri" w:hAnsi="Calibri" w:cs="Calibri"/>
          <w:lang w:val="fr-BE"/>
        </w:rPr>
        <w:t xml:space="preserve">Une </w:t>
      </w:r>
      <w:r w:rsidRPr="00C27636">
        <w:rPr>
          <w:rFonts w:ascii="Calibri" w:eastAsia="Calibri" w:hAnsi="Calibri" w:cs="Calibri"/>
          <w:lang w:val="fr-BE"/>
        </w:rPr>
        <w:t>photographie à un instant donné ne nous éclaire pas sur le phénomène de placement. Par contre, l’étude de l’évolution dans le temps permet de déceler certaines tendances et de tirer des conclusions sur les évolutions d’une pratique.</w:t>
      </w:r>
    </w:p>
    <w:p w:rsidR="00AC12B4" w:rsidRPr="00C27636" w:rsidRDefault="00AC12B4">
      <w:pPr>
        <w:spacing w:line="174" w:lineRule="exact"/>
        <w:rPr>
          <w:sz w:val="20"/>
          <w:szCs w:val="20"/>
          <w:lang w:val="fr-BE"/>
        </w:rPr>
      </w:pPr>
    </w:p>
    <w:p w:rsidR="00AC12B4" w:rsidRPr="00C27636" w:rsidRDefault="00C27636">
      <w:pPr>
        <w:spacing w:line="218" w:lineRule="auto"/>
        <w:ind w:right="520"/>
        <w:jc w:val="both"/>
        <w:rPr>
          <w:sz w:val="20"/>
          <w:szCs w:val="20"/>
          <w:lang w:val="fr-BE"/>
        </w:rPr>
      </w:pPr>
      <w:r w:rsidRPr="00C27636">
        <w:rPr>
          <w:rFonts w:ascii="Calibri" w:eastAsia="Calibri" w:hAnsi="Calibri" w:cs="Calibri"/>
          <w:lang w:val="fr-BE"/>
        </w:rPr>
        <w:t>Nous n’avons pu obteni</w:t>
      </w:r>
      <w:r w:rsidRPr="00C27636">
        <w:rPr>
          <w:rFonts w:ascii="Calibri" w:eastAsia="Calibri" w:hAnsi="Calibri" w:cs="Calibri"/>
          <w:lang w:val="fr-BE"/>
        </w:rPr>
        <w:t>r au moment de la publication de données sur l’évolution.</w:t>
      </w:r>
    </w:p>
    <w:p w:rsidR="00AC12B4" w:rsidRPr="00C27636" w:rsidRDefault="00AC12B4">
      <w:pPr>
        <w:spacing w:line="207"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CF9901"/>
          <w:sz w:val="26"/>
          <w:szCs w:val="26"/>
          <w:lang w:val="fr-BE"/>
        </w:rPr>
        <w:t>Iniquité</w:t>
      </w:r>
    </w:p>
    <w:p w:rsidR="00AC12B4" w:rsidRPr="00C27636" w:rsidRDefault="00AC12B4">
      <w:pPr>
        <w:spacing w:line="208" w:lineRule="exact"/>
        <w:rPr>
          <w:sz w:val="20"/>
          <w:szCs w:val="20"/>
          <w:lang w:val="fr-BE"/>
        </w:rPr>
      </w:pPr>
    </w:p>
    <w:p w:rsidR="00AC12B4" w:rsidRPr="00C27636" w:rsidRDefault="00C27636">
      <w:pPr>
        <w:spacing w:line="225" w:lineRule="auto"/>
        <w:ind w:right="520"/>
        <w:jc w:val="both"/>
        <w:rPr>
          <w:sz w:val="20"/>
          <w:szCs w:val="20"/>
          <w:lang w:val="fr-BE"/>
        </w:rPr>
      </w:pPr>
      <w:r w:rsidRPr="00C27636">
        <w:rPr>
          <w:rFonts w:ascii="Calibri" w:eastAsia="Calibri" w:hAnsi="Calibri" w:cs="Calibri"/>
          <w:lang w:val="fr-BE"/>
        </w:rPr>
        <w:t>Le statut socioéconomique du jeune n’est pas enregistré par les deux services d’aide à la jeunesse (AGAJ et Jongerenwelzijn).</w:t>
      </w:r>
    </w:p>
    <w:p w:rsidR="00AC12B4" w:rsidRPr="00C27636" w:rsidRDefault="00AC12B4">
      <w:pPr>
        <w:spacing w:line="208" w:lineRule="exact"/>
        <w:rPr>
          <w:sz w:val="20"/>
          <w:szCs w:val="20"/>
          <w:lang w:val="fr-BE"/>
        </w:rPr>
      </w:pPr>
    </w:p>
    <w:p w:rsidR="00AC12B4" w:rsidRDefault="00C27636">
      <w:pPr>
        <w:rPr>
          <w:sz w:val="20"/>
          <w:szCs w:val="20"/>
        </w:rPr>
      </w:pPr>
      <w:r>
        <w:rPr>
          <w:rFonts w:ascii="Cambria" w:eastAsia="Cambria" w:hAnsi="Cambria" w:cs="Cambria"/>
          <w:b/>
          <w:bCs/>
          <w:i/>
          <w:iCs/>
          <w:color w:val="CF9901"/>
          <w:sz w:val="26"/>
          <w:szCs w:val="26"/>
        </w:rPr>
        <w:t>D’où viennent ces chiffres ?</w:t>
      </w:r>
    </w:p>
    <w:p w:rsidR="00AC12B4" w:rsidRDefault="00AC12B4">
      <w:pPr>
        <w:spacing w:line="166" w:lineRule="exact"/>
        <w:rPr>
          <w:sz w:val="20"/>
          <w:szCs w:val="20"/>
        </w:rPr>
      </w:pPr>
    </w:p>
    <w:p w:rsidR="00AC12B4" w:rsidRDefault="00C27636">
      <w:pPr>
        <w:numPr>
          <w:ilvl w:val="0"/>
          <w:numId w:val="367"/>
        </w:numPr>
        <w:tabs>
          <w:tab w:val="left" w:pos="720"/>
        </w:tabs>
        <w:ind w:left="720" w:hanging="360"/>
        <w:rPr>
          <w:rFonts w:ascii="Wingdings" w:eastAsia="Wingdings" w:hAnsi="Wingdings" w:cs="Wingdings"/>
          <w:color w:val="FEC930"/>
        </w:rPr>
      </w:pPr>
      <w:r>
        <w:rPr>
          <w:rFonts w:ascii="Cambria" w:eastAsia="Cambria" w:hAnsi="Cambria" w:cs="Cambria"/>
          <w:i/>
          <w:iCs/>
          <w:color w:val="FEC930"/>
        </w:rPr>
        <w:t>Données administratives</w:t>
      </w:r>
    </w:p>
    <w:p w:rsidR="00AC12B4" w:rsidRDefault="00AC12B4">
      <w:pPr>
        <w:spacing w:line="202" w:lineRule="exact"/>
        <w:rPr>
          <w:sz w:val="20"/>
          <w:szCs w:val="20"/>
        </w:rPr>
      </w:pPr>
    </w:p>
    <w:p w:rsidR="00AC12B4" w:rsidRPr="00C27636" w:rsidRDefault="00C27636">
      <w:pPr>
        <w:spacing w:line="218" w:lineRule="auto"/>
        <w:ind w:right="520"/>
        <w:rPr>
          <w:sz w:val="20"/>
          <w:szCs w:val="20"/>
          <w:lang w:val="fr-BE"/>
        </w:rPr>
      </w:pPr>
      <w:r w:rsidRPr="00C27636">
        <w:rPr>
          <w:rFonts w:ascii="Calibri" w:eastAsia="Calibri" w:hAnsi="Calibri" w:cs="Calibri"/>
          <w:lang w:val="fr-BE"/>
        </w:rPr>
        <w:t>En Co</w:t>
      </w:r>
      <w:r w:rsidRPr="00C27636">
        <w:rPr>
          <w:rFonts w:ascii="Calibri" w:eastAsia="Calibri" w:hAnsi="Calibri" w:cs="Calibri"/>
          <w:lang w:val="fr-BE"/>
        </w:rPr>
        <w:t>mmunauté flamande, Jongerenwelzijn n’a pas été en mesure de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03488" behindDoc="1" locked="0" layoutInCell="0" allowOverlap="1">
                <wp:simplePos x="0" y="0"/>
                <wp:positionH relativeFrom="column">
                  <wp:posOffset>0</wp:posOffset>
                </wp:positionH>
                <wp:positionV relativeFrom="paragraph">
                  <wp:posOffset>168275</wp:posOffset>
                </wp:positionV>
                <wp:extent cx="2461260" cy="0"/>
                <wp:effectExtent l="0" t="0" r="0" b="0"/>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612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5pt" to="193.8pt,13.25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317" w:lineRule="exact"/>
        <w:rPr>
          <w:sz w:val="20"/>
          <w:szCs w:val="20"/>
          <w:lang w:val="fr-BE"/>
        </w:rPr>
      </w:pPr>
    </w:p>
    <w:p w:rsidR="00AC12B4" w:rsidRPr="00C27636" w:rsidRDefault="00C27636">
      <w:pPr>
        <w:spacing w:line="216" w:lineRule="auto"/>
        <w:ind w:right="520"/>
        <w:rPr>
          <w:sz w:val="20"/>
          <w:szCs w:val="20"/>
          <w:lang w:val="fr-BE"/>
        </w:rPr>
      </w:pPr>
      <w:r w:rsidRPr="00C27636">
        <w:rPr>
          <w:rFonts w:ascii="Calibri" w:eastAsia="Calibri" w:hAnsi="Calibri" w:cs="Calibri"/>
          <w:i/>
          <w:iCs/>
          <w:sz w:val="20"/>
          <w:szCs w:val="20"/>
          <w:lang w:val="fr-BE"/>
        </w:rPr>
        <w:t>Aide à la jeunesse, les chiffres de 2010</w:t>
      </w:r>
      <w:r w:rsidRPr="00C27636">
        <w:rPr>
          <w:rFonts w:ascii="Calibri" w:eastAsia="Calibri" w:hAnsi="Calibri" w:cs="Calibri"/>
          <w:sz w:val="20"/>
          <w:szCs w:val="20"/>
          <w:lang w:val="fr-BE"/>
        </w:rPr>
        <w:t>,</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Communauté française, 2011.</w:t>
      </w:r>
    </w:p>
    <w:p w:rsidR="00AC12B4" w:rsidRPr="00C27636" w:rsidRDefault="00AC12B4">
      <w:pPr>
        <w:spacing w:line="48" w:lineRule="exact"/>
        <w:rPr>
          <w:sz w:val="20"/>
          <w:szCs w:val="20"/>
          <w:lang w:val="fr-BE"/>
        </w:rPr>
      </w:pPr>
    </w:p>
    <w:p w:rsidR="00AC12B4" w:rsidRPr="00C27636" w:rsidRDefault="00C27636">
      <w:pPr>
        <w:numPr>
          <w:ilvl w:val="0"/>
          <w:numId w:val="368"/>
        </w:numPr>
        <w:tabs>
          <w:tab w:val="left" w:pos="120"/>
        </w:tabs>
        <w:ind w:left="120" w:hanging="12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Service d’accueil et d’aide éducative.</w:t>
      </w:r>
    </w:p>
    <w:p w:rsidR="00AC12B4" w:rsidRPr="00C27636" w:rsidRDefault="00AC12B4">
      <w:pPr>
        <w:spacing w:line="167" w:lineRule="exact"/>
        <w:rPr>
          <w:rFonts w:ascii="Calibri" w:eastAsia="Calibri" w:hAnsi="Calibri" w:cs="Calibri"/>
          <w:sz w:val="26"/>
          <w:szCs w:val="26"/>
          <w:vertAlign w:val="superscript"/>
          <w:lang w:val="fr-BE"/>
        </w:rPr>
      </w:pPr>
    </w:p>
    <w:p w:rsidR="00AC12B4" w:rsidRPr="00C27636" w:rsidRDefault="00C27636">
      <w:pPr>
        <w:numPr>
          <w:ilvl w:val="0"/>
          <w:numId w:val="368"/>
        </w:numPr>
        <w:tabs>
          <w:tab w:val="left" w:pos="1010"/>
        </w:tabs>
        <w:spacing w:line="221" w:lineRule="auto"/>
        <w:ind w:right="520"/>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 xml:space="preserve">AGAJ – 2010, </w:t>
      </w:r>
      <w:hyperlink r:id="rId348">
        <w:r w:rsidRPr="00C27636">
          <w:rPr>
            <w:rFonts w:ascii="Calibri" w:eastAsia="Calibri" w:hAnsi="Calibri" w:cs="Calibri"/>
            <w:color w:val="0000FF"/>
            <w:sz w:val="20"/>
            <w:szCs w:val="20"/>
            <w:u w:val="single"/>
            <w:lang w:val="fr-BE"/>
          </w:rPr>
          <w:t>http:/</w:t>
        </w:r>
        <w:r w:rsidRPr="00C27636">
          <w:rPr>
            <w:rFonts w:ascii="Calibri" w:eastAsia="Calibri" w:hAnsi="Calibri" w:cs="Calibri"/>
            <w:color w:val="0000FF"/>
            <w:sz w:val="20"/>
            <w:szCs w:val="20"/>
            <w:u w:val="single"/>
            <w:lang w:val="fr-BE"/>
          </w:rPr>
          <w:t>/www.aidealajeunesse.cfwb.be/index.ph</w:t>
        </w:r>
      </w:hyperlink>
      <w:r w:rsidRPr="00C27636">
        <w:rPr>
          <w:rFonts w:ascii="Calibri" w:eastAsia="Calibri" w:hAnsi="Calibri" w:cs="Calibri"/>
          <w:color w:val="0000FF"/>
          <w:sz w:val="20"/>
          <w:szCs w:val="20"/>
          <w:u w:val="single"/>
          <w:lang w:val="fr-BE"/>
        </w:rPr>
        <w:t xml:space="preserve"> </w:t>
      </w:r>
      <w:hyperlink r:id="rId349">
        <w:r w:rsidRPr="00C27636">
          <w:rPr>
            <w:rFonts w:ascii="Calibri" w:eastAsia="Calibri" w:hAnsi="Calibri" w:cs="Calibri"/>
            <w:color w:val="0000FF"/>
            <w:sz w:val="20"/>
            <w:szCs w:val="20"/>
            <w:u w:val="single"/>
            <w:lang w:val="fr-BE"/>
          </w:rPr>
          <w:t>p?eID=tx_nawsecuredl&amp;u=0&amp;g=0&amp;hash=41bc3</w:t>
        </w:r>
      </w:hyperlink>
      <w:r w:rsidRPr="00C27636">
        <w:rPr>
          <w:rFonts w:ascii="Calibri" w:eastAsia="Calibri" w:hAnsi="Calibri" w:cs="Calibri"/>
          <w:color w:val="0000FF"/>
          <w:sz w:val="20"/>
          <w:szCs w:val="20"/>
          <w:u w:val="single"/>
          <w:lang w:val="fr-BE"/>
        </w:rPr>
        <w:t xml:space="preserve"> </w:t>
      </w:r>
      <w:hyperlink r:id="rId350">
        <w:r w:rsidRPr="00C27636">
          <w:rPr>
            <w:rFonts w:ascii="Calibri" w:eastAsia="Calibri" w:hAnsi="Calibri" w:cs="Calibri"/>
            <w:color w:val="0000FF"/>
            <w:sz w:val="20"/>
            <w:szCs w:val="20"/>
            <w:u w:val="single"/>
            <w:lang w:val="fr-BE"/>
          </w:rPr>
          <w:t>2b4ce3e668985aec97a7a4936f75ae6a77d&amp;file</w:t>
        </w:r>
      </w:hyperlink>
      <w:r w:rsidRPr="00C27636">
        <w:rPr>
          <w:rFonts w:ascii="Calibri" w:eastAsia="Calibri" w:hAnsi="Calibri" w:cs="Calibri"/>
          <w:color w:val="0000FF"/>
          <w:sz w:val="20"/>
          <w:szCs w:val="20"/>
          <w:u w:val="single"/>
          <w:lang w:val="fr-BE"/>
        </w:rPr>
        <w:t xml:space="preserve"> </w:t>
      </w:r>
      <w:hyperlink r:id="rId351">
        <w:r w:rsidRPr="00C27636">
          <w:rPr>
            <w:rFonts w:ascii="Calibri" w:eastAsia="Calibri" w:hAnsi="Calibri" w:cs="Calibri"/>
            <w:color w:val="0000FF"/>
            <w:sz w:val="20"/>
            <w:szCs w:val="20"/>
            <w:u w:val="single"/>
            <w:lang w:val="fr-BE"/>
          </w:rPr>
          <w:t>=fileadmin/sites/ajss/upload/ajss_super_editor</w:t>
        </w:r>
      </w:hyperlink>
      <w:r w:rsidRPr="00C27636">
        <w:rPr>
          <w:rFonts w:ascii="Calibri" w:eastAsia="Calibri" w:hAnsi="Calibri" w:cs="Calibri"/>
          <w:color w:val="0000FF"/>
          <w:sz w:val="20"/>
          <w:szCs w:val="20"/>
          <w:u w:val="single"/>
          <w:lang w:val="fr-BE"/>
        </w:rPr>
        <w:t xml:space="preserve"> </w:t>
      </w:r>
      <w:hyperlink r:id="rId352">
        <w:r w:rsidRPr="00C27636">
          <w:rPr>
            <w:rFonts w:ascii="Calibri" w:eastAsia="Calibri" w:hAnsi="Calibri" w:cs="Calibri"/>
            <w:color w:val="0000FF"/>
            <w:sz w:val="20"/>
            <w:szCs w:val="20"/>
            <w:u w:val="single"/>
            <w:lang w:val="fr-BE"/>
          </w:rPr>
          <w:t>/DGAJ/Documents/Brochures_et_documentati</w:t>
        </w:r>
      </w:hyperlink>
    </w:p>
    <w:p w:rsidR="00AC12B4" w:rsidRPr="00C27636" w:rsidRDefault="00AC12B4">
      <w:pPr>
        <w:spacing w:line="47" w:lineRule="exact"/>
        <w:rPr>
          <w:rFonts w:ascii="Calibri" w:eastAsia="Calibri" w:hAnsi="Calibri" w:cs="Calibri"/>
          <w:color w:val="0000FF"/>
          <w:sz w:val="20"/>
          <w:szCs w:val="20"/>
          <w:u w:val="single"/>
          <w:lang w:val="fr-BE"/>
        </w:rPr>
      </w:pPr>
    </w:p>
    <w:p w:rsidR="00AC12B4" w:rsidRPr="00C27636" w:rsidRDefault="00C27636">
      <w:pPr>
        <w:spacing w:line="217" w:lineRule="auto"/>
        <w:ind w:right="520"/>
        <w:rPr>
          <w:rFonts w:ascii="Calibri" w:eastAsia="Calibri" w:hAnsi="Calibri" w:cs="Calibri"/>
          <w:color w:val="0000FF"/>
          <w:sz w:val="20"/>
          <w:szCs w:val="20"/>
          <w:lang w:val="fr-BE"/>
        </w:rPr>
      </w:pPr>
      <w:hyperlink r:id="rId353">
        <w:r w:rsidRPr="00C27636">
          <w:rPr>
            <w:rFonts w:ascii="Calibri" w:eastAsia="Calibri" w:hAnsi="Calibri" w:cs="Calibri"/>
            <w:color w:val="0000FF"/>
            <w:sz w:val="20"/>
            <w:szCs w:val="20"/>
            <w:u w:val="single"/>
            <w:lang w:val="fr-BE"/>
          </w:rPr>
          <w:t>ons/AI</w:t>
        </w:r>
        <w:r w:rsidRPr="00C27636">
          <w:rPr>
            <w:rFonts w:ascii="Calibri" w:eastAsia="Calibri" w:hAnsi="Calibri" w:cs="Calibri"/>
            <w:color w:val="0000FF"/>
            <w:sz w:val="20"/>
            <w:szCs w:val="20"/>
            <w:u w:val="single"/>
            <w:lang w:val="fr-BE"/>
          </w:rPr>
          <w:t>J-Rapport-2010.pdf</w:t>
        </w:r>
        <w:r w:rsidRPr="00C27636">
          <w:rPr>
            <w:rFonts w:ascii="Calibri" w:eastAsia="Calibri" w:hAnsi="Calibri" w:cs="Calibri"/>
            <w:color w:val="0000FF"/>
            <w:sz w:val="20"/>
            <w:szCs w:val="20"/>
            <w:lang w:val="fr-BE"/>
          </w:rPr>
          <w:t xml:space="preserve"> </w:t>
        </w:r>
      </w:hyperlink>
      <w:r w:rsidRPr="00C27636">
        <w:rPr>
          <w:rFonts w:ascii="Calibri" w:eastAsia="Calibri" w:hAnsi="Calibri" w:cs="Calibri"/>
          <w:color w:val="000000"/>
          <w:sz w:val="20"/>
          <w:szCs w:val="20"/>
          <w:lang w:val="fr-BE"/>
        </w:rPr>
        <w:t>(uniquement</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données de 2010).</w:t>
      </w:r>
    </w:p>
    <w:p w:rsidR="00AC12B4" w:rsidRPr="00C27636" w:rsidRDefault="00AC12B4">
      <w:pPr>
        <w:spacing w:line="242" w:lineRule="exact"/>
        <w:rPr>
          <w:rFonts w:ascii="Calibri" w:eastAsia="Calibri" w:hAnsi="Calibri" w:cs="Calibri"/>
          <w:color w:val="0000FF"/>
          <w:sz w:val="20"/>
          <w:szCs w:val="20"/>
          <w:u w:val="single"/>
          <w:lang w:val="fr-BE"/>
        </w:rPr>
      </w:pPr>
    </w:p>
    <w:p w:rsidR="00AC12B4" w:rsidRPr="00C27636" w:rsidRDefault="00C27636">
      <w:pPr>
        <w:jc w:val="right"/>
        <w:rPr>
          <w:sz w:val="20"/>
          <w:szCs w:val="20"/>
          <w:lang w:val="fr-BE"/>
        </w:rPr>
      </w:pPr>
      <w:r w:rsidRPr="00C27636">
        <w:rPr>
          <w:rFonts w:ascii="Calibri" w:eastAsia="Calibri" w:hAnsi="Calibri" w:cs="Calibri"/>
          <w:lang w:val="fr-BE"/>
        </w:rPr>
        <w:t>188</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192" w:lineRule="exact"/>
        <w:rPr>
          <w:rFonts w:ascii="Calibri" w:eastAsia="Calibri" w:hAnsi="Calibri" w:cs="Calibri"/>
          <w:color w:val="0000FF"/>
          <w:sz w:val="20"/>
          <w:szCs w:val="20"/>
          <w:u w:val="single"/>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communiquer de données récentes pour la date de la publication.</w:t>
      </w:r>
    </w:p>
    <w:p w:rsidR="00AC12B4" w:rsidRPr="00C27636" w:rsidRDefault="00AC12B4">
      <w:pPr>
        <w:spacing w:line="170" w:lineRule="exact"/>
        <w:rPr>
          <w:rFonts w:ascii="Calibri" w:eastAsia="Calibri" w:hAnsi="Calibri" w:cs="Calibri"/>
          <w:color w:val="0000FF"/>
          <w:sz w:val="20"/>
          <w:szCs w:val="20"/>
          <w:u w:val="single"/>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lang w:val="fr-BE"/>
        </w:rPr>
        <w:t>Suite à une réorganisation majeure de l’integrale jeugdhulp (aide à la jeunesse flamand) et du système d’enregistrement des données, I</w:t>
      </w:r>
      <w:r w:rsidRPr="00C27636">
        <w:rPr>
          <w:rFonts w:ascii="Calibri" w:eastAsia="Calibri" w:hAnsi="Calibri" w:cs="Calibri"/>
          <w:lang w:val="fr-BE"/>
        </w:rPr>
        <w:t>ntegrale Jeugdhulp étudie actuellement quelles données peuvent être communiquées.</w:t>
      </w:r>
    </w:p>
    <w:p w:rsidR="00AC12B4" w:rsidRPr="00C27636" w:rsidRDefault="00AC12B4">
      <w:pPr>
        <w:spacing w:line="173" w:lineRule="exact"/>
        <w:rPr>
          <w:rFonts w:ascii="Calibri" w:eastAsia="Calibri" w:hAnsi="Calibri" w:cs="Calibri"/>
          <w:color w:val="0000FF"/>
          <w:sz w:val="20"/>
          <w:szCs w:val="20"/>
          <w:u w:val="single"/>
          <w:lang w:val="fr-BE"/>
        </w:rPr>
      </w:pPr>
    </w:p>
    <w:p w:rsidR="00AC12B4" w:rsidRPr="00C27636" w:rsidRDefault="00C27636">
      <w:pPr>
        <w:spacing w:line="231" w:lineRule="auto"/>
        <w:ind w:right="757"/>
        <w:rPr>
          <w:sz w:val="20"/>
          <w:szCs w:val="20"/>
          <w:lang w:val="fr-BE"/>
        </w:rPr>
      </w:pPr>
      <w:r w:rsidRPr="00C27636">
        <w:rPr>
          <w:rFonts w:ascii="Calibri" w:eastAsia="Calibri" w:hAnsi="Calibri" w:cs="Calibri"/>
          <w:lang w:val="fr-BE"/>
        </w:rPr>
        <w:t xml:space="preserve">En FWB, l’AGAJ procède à l’enregistrement (cf supra pour les chiffres). Celle-ci n’était pas en mesure de nous fournir des données actualisées pour la date de la </w:t>
      </w:r>
      <w:r w:rsidRPr="00C27636">
        <w:rPr>
          <w:rFonts w:ascii="Calibri" w:eastAsia="Calibri" w:hAnsi="Calibri" w:cs="Calibri"/>
          <w:lang w:val="fr-BE"/>
        </w:rPr>
        <w:t>publication.</w:t>
      </w:r>
    </w:p>
    <w:p w:rsidR="00AC12B4" w:rsidRPr="00C27636" w:rsidRDefault="00AC12B4">
      <w:pPr>
        <w:spacing w:line="123" w:lineRule="exact"/>
        <w:rPr>
          <w:rFonts w:ascii="Calibri" w:eastAsia="Calibri" w:hAnsi="Calibri" w:cs="Calibri"/>
          <w:color w:val="0000FF"/>
          <w:sz w:val="20"/>
          <w:szCs w:val="20"/>
          <w:u w:val="single"/>
          <w:lang w:val="fr-BE"/>
        </w:rPr>
      </w:pPr>
    </w:p>
    <w:p w:rsidR="00AC12B4" w:rsidRPr="00C27636" w:rsidRDefault="00C27636">
      <w:pPr>
        <w:tabs>
          <w:tab w:val="left" w:pos="560"/>
          <w:tab w:val="left" w:pos="1560"/>
          <w:tab w:val="left" w:pos="3280"/>
        </w:tabs>
        <w:rPr>
          <w:sz w:val="20"/>
          <w:szCs w:val="20"/>
          <w:lang w:val="fr-BE"/>
        </w:rPr>
      </w:pPr>
      <w:r w:rsidRPr="00C27636">
        <w:rPr>
          <w:rFonts w:ascii="Calibri" w:eastAsia="Calibri" w:hAnsi="Calibri" w:cs="Calibri"/>
          <w:lang w:val="fr-BE"/>
        </w:rPr>
        <w:t>Des</w:t>
      </w:r>
      <w:r w:rsidRPr="00C27636">
        <w:rPr>
          <w:rFonts w:ascii="Calibri" w:eastAsia="Calibri" w:hAnsi="Calibri" w:cs="Calibri"/>
          <w:lang w:val="fr-BE"/>
        </w:rPr>
        <w:tab/>
        <w:t>données</w:t>
      </w:r>
      <w:r w:rsidRPr="00C27636">
        <w:rPr>
          <w:rFonts w:ascii="Calibri" w:eastAsia="Calibri" w:hAnsi="Calibri" w:cs="Calibri"/>
          <w:lang w:val="fr-BE"/>
        </w:rPr>
        <w:tab/>
        <w:t>supplémentaires</w:t>
      </w:r>
      <w:r w:rsidRPr="00C27636">
        <w:rPr>
          <w:rFonts w:ascii="Calibri" w:eastAsia="Calibri" w:hAnsi="Calibri" w:cs="Calibri"/>
          <w:lang w:val="fr-BE"/>
        </w:rPr>
        <w:tab/>
        <w:t>seront</w:t>
      </w:r>
    </w:p>
    <w:p w:rsidR="00AC12B4" w:rsidRPr="00C27636" w:rsidRDefault="00C27636">
      <w:pPr>
        <w:tabs>
          <w:tab w:val="left" w:pos="3580"/>
        </w:tabs>
        <w:spacing w:line="238" w:lineRule="auto"/>
        <w:rPr>
          <w:sz w:val="20"/>
          <w:szCs w:val="20"/>
          <w:lang w:val="fr-BE"/>
        </w:rPr>
      </w:pPr>
      <w:r w:rsidRPr="00C27636">
        <w:rPr>
          <w:rFonts w:ascii="Calibri" w:eastAsia="Calibri" w:hAnsi="Calibri" w:cs="Calibri"/>
          <w:lang w:val="fr-BE"/>
        </w:rPr>
        <w:t>publiées</w:t>
      </w:r>
      <w:r w:rsidRPr="00C27636">
        <w:rPr>
          <w:sz w:val="20"/>
          <w:szCs w:val="20"/>
          <w:lang w:val="fr-BE"/>
        </w:rPr>
        <w:tab/>
      </w:r>
      <w:r w:rsidRPr="00C27636">
        <w:rPr>
          <w:rFonts w:ascii="Calibri" w:eastAsia="Calibri" w:hAnsi="Calibri" w:cs="Calibri"/>
          <w:lang w:val="fr-BE"/>
        </w:rPr>
        <w:t>sur</w:t>
      </w:r>
    </w:p>
    <w:p w:rsidR="00AC12B4" w:rsidRPr="00C27636" w:rsidRDefault="00AC12B4">
      <w:pPr>
        <w:spacing w:line="49" w:lineRule="exact"/>
        <w:rPr>
          <w:rFonts w:ascii="Calibri" w:eastAsia="Calibri" w:hAnsi="Calibri" w:cs="Calibri"/>
          <w:color w:val="0000FF"/>
          <w:sz w:val="20"/>
          <w:szCs w:val="20"/>
          <w:u w:val="single"/>
          <w:lang w:val="fr-BE"/>
        </w:rPr>
      </w:pPr>
    </w:p>
    <w:p w:rsidR="00AC12B4" w:rsidRPr="00C27636" w:rsidRDefault="00C27636">
      <w:pPr>
        <w:spacing w:line="218" w:lineRule="auto"/>
        <w:ind w:right="737"/>
        <w:jc w:val="both"/>
        <w:rPr>
          <w:rFonts w:ascii="Calibri" w:eastAsia="Calibri" w:hAnsi="Calibri" w:cs="Calibri"/>
          <w:color w:val="0000FF"/>
          <w:lang w:val="fr-BE"/>
        </w:rPr>
      </w:pPr>
      <w:hyperlink r:id="rId354">
        <w:r w:rsidRPr="00C27636">
          <w:rPr>
            <w:rFonts w:ascii="Calibri" w:eastAsia="Calibri" w:hAnsi="Calibri" w:cs="Calibri"/>
            <w:color w:val="0000FF"/>
            <w:u w:val="single"/>
            <w:lang w:val="fr-BE"/>
          </w:rPr>
          <w:t>www.cnde.be/content/indicateurs</w:t>
        </w:r>
        <w:r w:rsidRPr="00C27636">
          <w:rPr>
            <w:rFonts w:ascii="Calibri" w:eastAsia="Calibri" w:hAnsi="Calibri" w:cs="Calibri"/>
            <w:color w:val="0000FF"/>
            <w:lang w:val="fr-BE"/>
          </w:rPr>
          <w:t xml:space="preserve"> </w:t>
        </w:r>
      </w:hyperlink>
      <w:r w:rsidRPr="00C27636">
        <w:rPr>
          <w:rFonts w:ascii="Calibri" w:eastAsia="Calibri" w:hAnsi="Calibri" w:cs="Calibri"/>
          <w:color w:val="000000"/>
          <w:lang w:val="fr-BE"/>
        </w:rPr>
        <w:t>dès</w:t>
      </w:r>
      <w:r w:rsidRPr="00C27636">
        <w:rPr>
          <w:rFonts w:ascii="Calibri" w:eastAsia="Calibri" w:hAnsi="Calibri" w:cs="Calibri"/>
          <w:color w:val="0000FF"/>
          <w:lang w:val="fr-BE"/>
        </w:rPr>
        <w:t xml:space="preserve"> </w:t>
      </w:r>
      <w:r w:rsidRPr="00C27636">
        <w:rPr>
          <w:rFonts w:ascii="Calibri" w:eastAsia="Calibri" w:hAnsi="Calibri" w:cs="Calibri"/>
          <w:color w:val="000000"/>
          <w:lang w:val="fr-BE"/>
        </w:rPr>
        <w:t>qu’elles seront disponibles.</w:t>
      </w:r>
    </w:p>
    <w:p w:rsidR="00AC12B4" w:rsidRPr="00C27636" w:rsidRDefault="00AC12B4">
      <w:pPr>
        <w:spacing w:line="170" w:lineRule="exact"/>
        <w:rPr>
          <w:rFonts w:ascii="Calibri" w:eastAsia="Calibri" w:hAnsi="Calibri" w:cs="Calibri"/>
          <w:color w:val="0000FF"/>
          <w:sz w:val="20"/>
          <w:szCs w:val="20"/>
          <w:u w:val="single"/>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Ce qui précède concerne des placements par l’aide à la jeunesse. Il y</w:t>
      </w:r>
      <w:r w:rsidRPr="00C27636">
        <w:rPr>
          <w:rFonts w:ascii="Calibri" w:eastAsia="Calibri" w:hAnsi="Calibri" w:cs="Calibri"/>
          <w:lang w:val="fr-BE"/>
        </w:rPr>
        <w:t xml:space="preserve"> a lieu de procéder dans l’avenir à une ventilation entre l’aide volontaire et l’aide judiciaire, entre le placement en institution (les SASPE</w:t>
      </w:r>
      <w:r w:rsidRPr="00C27636">
        <w:rPr>
          <w:rFonts w:ascii="Calibri" w:eastAsia="Calibri" w:hAnsi="Calibri" w:cs="Calibri"/>
          <w:sz w:val="27"/>
          <w:szCs w:val="27"/>
          <w:vertAlign w:val="superscript"/>
          <w:lang w:val="fr-BE"/>
        </w:rPr>
        <w:t>6</w:t>
      </w:r>
      <w:r w:rsidRPr="00C27636">
        <w:rPr>
          <w:rFonts w:ascii="Calibri" w:eastAsia="Calibri" w:hAnsi="Calibri" w:cs="Calibri"/>
          <w:lang w:val="fr-BE"/>
        </w:rPr>
        <w:t xml:space="preserve"> de l’ONE et les institutions de l’aide</w:t>
      </w:r>
    </w:p>
    <w:p w:rsidR="00AC12B4" w:rsidRPr="00C27636" w:rsidRDefault="00AC12B4">
      <w:pPr>
        <w:spacing w:line="15" w:lineRule="exact"/>
        <w:rPr>
          <w:rFonts w:ascii="Calibri" w:eastAsia="Calibri" w:hAnsi="Calibri" w:cs="Calibri"/>
          <w:color w:val="0000FF"/>
          <w:sz w:val="20"/>
          <w:szCs w:val="20"/>
          <w:u w:val="single"/>
          <w:lang w:val="fr-BE"/>
        </w:rPr>
      </w:pPr>
    </w:p>
    <w:p w:rsidR="00AC12B4" w:rsidRPr="00C27636" w:rsidRDefault="00C27636">
      <w:pPr>
        <w:numPr>
          <w:ilvl w:val="0"/>
          <w:numId w:val="369"/>
        </w:numPr>
        <w:tabs>
          <w:tab w:val="left" w:pos="197"/>
        </w:tabs>
        <w:spacing w:line="218" w:lineRule="auto"/>
        <w:ind w:right="737" w:firstLine="5"/>
        <w:rPr>
          <w:rFonts w:ascii="Calibri" w:eastAsia="Calibri" w:hAnsi="Calibri" w:cs="Calibri"/>
          <w:lang w:val="fr-BE"/>
        </w:rPr>
      </w:pPr>
      <w:r w:rsidRPr="00C27636">
        <w:rPr>
          <w:rFonts w:ascii="Calibri" w:eastAsia="Calibri" w:hAnsi="Calibri" w:cs="Calibri"/>
          <w:lang w:val="fr-BE"/>
        </w:rPr>
        <w:t>la jeunesse) et le placement en famille d’accueil.</w:t>
      </w:r>
    </w:p>
    <w:p w:rsidR="00AC12B4" w:rsidRPr="00C27636" w:rsidRDefault="00AC12B4">
      <w:pPr>
        <w:spacing w:line="170" w:lineRule="exact"/>
        <w:rPr>
          <w:rFonts w:ascii="Calibri" w:eastAsia="Calibri" w:hAnsi="Calibri" w:cs="Calibri"/>
          <w:color w:val="0000FF"/>
          <w:sz w:val="20"/>
          <w:szCs w:val="20"/>
          <w:u w:val="single"/>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Pour ce qui concerne</w:t>
      </w:r>
      <w:r w:rsidRPr="00C27636">
        <w:rPr>
          <w:rFonts w:ascii="Calibri" w:eastAsia="Calibri" w:hAnsi="Calibri" w:cs="Calibri"/>
          <w:lang w:val="fr-BE"/>
        </w:rPr>
        <w:t xml:space="preserve"> l’accueil de l’AWIPH/VAPH, de l’ONE (SASPE)</w:t>
      </w:r>
      <w:r w:rsidRPr="00C27636">
        <w:rPr>
          <w:rFonts w:ascii="Calibri" w:eastAsia="Calibri" w:hAnsi="Calibri" w:cs="Calibri"/>
          <w:sz w:val="27"/>
          <w:szCs w:val="27"/>
          <w:vertAlign w:val="superscript"/>
          <w:lang w:val="fr-BE"/>
        </w:rPr>
        <w:t>7</w:t>
      </w:r>
      <w:r w:rsidRPr="00C27636">
        <w:rPr>
          <w:rFonts w:ascii="Calibri" w:eastAsia="Calibri" w:hAnsi="Calibri" w:cs="Calibri"/>
          <w:lang w:val="fr-BE"/>
        </w:rPr>
        <w:t>/ Kind en Gezin (CKG : centra voor kinderzorg en gezinsondersteuning), par les familles d’accueil et la santé mentale</w:t>
      </w:r>
      <w:r w:rsidRPr="00C27636">
        <w:rPr>
          <w:rFonts w:ascii="Calibri" w:eastAsia="Calibri" w:hAnsi="Calibri" w:cs="Calibri"/>
          <w:sz w:val="16"/>
          <w:szCs w:val="16"/>
          <w:lang w:val="fr-BE"/>
        </w:rPr>
        <w:t>,</w:t>
      </w:r>
      <w:r w:rsidRPr="00C27636">
        <w:rPr>
          <w:rFonts w:ascii="Calibri" w:eastAsia="Calibri" w:hAnsi="Calibri" w:cs="Calibri"/>
          <w:lang w:val="fr-BE"/>
        </w:rPr>
        <w:t xml:space="preserve"> d’autres sources doivent être consultées. Il était toutefois impossible d’obtenir une vue gl</w:t>
      </w:r>
      <w:r w:rsidRPr="00C27636">
        <w:rPr>
          <w:rFonts w:ascii="Calibri" w:eastAsia="Calibri" w:hAnsi="Calibri" w:cs="Calibri"/>
          <w:lang w:val="fr-BE"/>
        </w:rPr>
        <w:t>obale sur le phénomène sur base des données disponibles.</w:t>
      </w:r>
    </w:p>
    <w:p w:rsidR="00AC12B4" w:rsidRPr="00C27636" w:rsidRDefault="00AC12B4">
      <w:pPr>
        <w:spacing w:line="130" w:lineRule="exact"/>
        <w:rPr>
          <w:rFonts w:ascii="Calibri" w:eastAsia="Calibri" w:hAnsi="Calibri" w:cs="Calibri"/>
          <w:color w:val="0000FF"/>
          <w:sz w:val="20"/>
          <w:szCs w:val="20"/>
          <w:u w:val="single"/>
          <w:lang w:val="fr-BE"/>
        </w:rPr>
      </w:pPr>
    </w:p>
    <w:p w:rsidR="00AC12B4" w:rsidRDefault="00C27636">
      <w:pPr>
        <w:numPr>
          <w:ilvl w:val="0"/>
          <w:numId w:val="370"/>
        </w:numPr>
        <w:tabs>
          <w:tab w:val="left" w:pos="720"/>
        </w:tabs>
        <w:ind w:left="720" w:hanging="355"/>
        <w:rPr>
          <w:rFonts w:ascii="Wingdings" w:eastAsia="Wingdings" w:hAnsi="Wingdings" w:cs="Wingdings"/>
          <w:color w:val="FEC930"/>
        </w:rPr>
      </w:pPr>
      <w:r>
        <w:rPr>
          <w:rFonts w:ascii="Cambria" w:eastAsia="Cambria" w:hAnsi="Cambria" w:cs="Cambria"/>
          <w:i/>
          <w:iCs/>
          <w:color w:val="FEC930"/>
        </w:rPr>
        <w:t>Limite de la mesure</w:t>
      </w:r>
    </w:p>
    <w:p w:rsidR="00AC12B4" w:rsidRDefault="00AC12B4">
      <w:pPr>
        <w:spacing w:line="153" w:lineRule="exact"/>
        <w:rPr>
          <w:rFonts w:ascii="Calibri" w:eastAsia="Calibri" w:hAnsi="Calibri" w:cs="Calibri"/>
          <w:color w:val="0000FF"/>
          <w:sz w:val="20"/>
          <w:szCs w:val="20"/>
          <w:u w:val="single"/>
        </w:rPr>
      </w:pPr>
    </w:p>
    <w:p w:rsidR="00AC12B4" w:rsidRDefault="00C27636">
      <w:pPr>
        <w:rPr>
          <w:sz w:val="20"/>
          <w:szCs w:val="20"/>
        </w:rPr>
      </w:pPr>
      <w:r>
        <w:rPr>
          <w:rFonts w:ascii="Calibri" w:eastAsia="Calibri" w:hAnsi="Calibri" w:cs="Calibri"/>
        </w:rPr>
        <w:t>Voir supra</w:t>
      </w:r>
    </w:p>
    <w:p w:rsidR="00AC12B4" w:rsidRDefault="00AC12B4">
      <w:pPr>
        <w:spacing w:line="127" w:lineRule="exact"/>
        <w:rPr>
          <w:rFonts w:ascii="Calibri" w:eastAsia="Calibri" w:hAnsi="Calibri" w:cs="Calibri"/>
          <w:color w:val="0000FF"/>
          <w:sz w:val="20"/>
          <w:szCs w:val="20"/>
          <w:u w:val="single"/>
        </w:rPr>
      </w:pPr>
    </w:p>
    <w:p w:rsidR="00AC12B4" w:rsidRDefault="00C27636">
      <w:pPr>
        <w:numPr>
          <w:ilvl w:val="0"/>
          <w:numId w:val="371"/>
        </w:numPr>
        <w:tabs>
          <w:tab w:val="left" w:pos="720"/>
        </w:tabs>
        <w:ind w:left="720" w:hanging="355"/>
        <w:rPr>
          <w:rFonts w:ascii="Wingdings" w:eastAsia="Wingdings" w:hAnsi="Wingdings" w:cs="Wingdings"/>
          <w:color w:val="FEC930"/>
        </w:rPr>
      </w:pPr>
      <w:r>
        <w:rPr>
          <w:rFonts w:ascii="Cambria" w:eastAsia="Cambria" w:hAnsi="Cambria" w:cs="Cambria"/>
          <w:i/>
          <w:iCs/>
          <w:color w:val="FEC930"/>
        </w:rPr>
        <w:t>Recommandations</w:t>
      </w:r>
    </w:p>
    <w:p w:rsidR="00AC12B4" w:rsidRDefault="00AC12B4">
      <w:pPr>
        <w:spacing w:line="200" w:lineRule="exact"/>
        <w:rPr>
          <w:rFonts w:ascii="Calibri" w:eastAsia="Calibri" w:hAnsi="Calibri" w:cs="Calibri"/>
          <w:color w:val="0000FF"/>
          <w:sz w:val="20"/>
          <w:szCs w:val="20"/>
          <w:u w:val="single"/>
        </w:rPr>
      </w:pPr>
    </w:p>
    <w:p w:rsidR="00AC12B4" w:rsidRDefault="00C27636">
      <w:pPr>
        <w:spacing w:line="231" w:lineRule="auto"/>
        <w:ind w:right="737"/>
        <w:jc w:val="both"/>
        <w:rPr>
          <w:sz w:val="20"/>
          <w:szCs w:val="20"/>
        </w:rPr>
      </w:pPr>
      <w:r w:rsidRPr="00C27636">
        <w:rPr>
          <w:rFonts w:ascii="Calibri" w:eastAsia="Calibri" w:hAnsi="Calibri" w:cs="Calibri"/>
          <w:lang w:val="fr-BE"/>
        </w:rPr>
        <w:t>Il y a lieu de procéder à un enregistrement fiable des données nécessaires pour mesurer cet indicateur au niveau de toutes les instances concernées.</w:t>
      </w:r>
      <w:r w:rsidRPr="00C27636">
        <w:rPr>
          <w:rFonts w:ascii="Calibri" w:eastAsia="Calibri" w:hAnsi="Calibri" w:cs="Calibri"/>
          <w:lang w:val="fr-BE"/>
        </w:rPr>
        <w:t xml:space="preserve"> </w:t>
      </w:r>
      <w:r>
        <w:rPr>
          <w:rFonts w:ascii="Calibri" w:eastAsia="Calibri" w:hAnsi="Calibri" w:cs="Calibri"/>
        </w:rPr>
        <w:t>Les carences actuelles en termes d’enregistrement sont</w:t>
      </w:r>
    </w:p>
    <w:p w:rsidR="00AC12B4" w:rsidRDefault="00C27636">
      <w:pPr>
        <w:spacing w:line="20" w:lineRule="exact"/>
        <w:rPr>
          <w:rFonts w:ascii="Calibri" w:eastAsia="Calibri" w:hAnsi="Calibri" w:cs="Calibri"/>
          <w:color w:val="0000FF"/>
          <w:sz w:val="20"/>
          <w:szCs w:val="20"/>
          <w:u w:val="single"/>
        </w:rPr>
      </w:pPr>
      <w:r>
        <w:rPr>
          <w:rFonts w:ascii="Calibri" w:eastAsia="Calibri" w:hAnsi="Calibri" w:cs="Calibri"/>
          <w:noProof/>
          <w:color w:val="0000FF"/>
          <w:sz w:val="20"/>
          <w:szCs w:val="20"/>
          <w:u w:val="single"/>
        </w:rPr>
        <mc:AlternateContent>
          <mc:Choice Requires="wps">
            <w:drawing>
              <wp:anchor distT="0" distB="0" distL="114300" distR="114300" simplePos="0" relativeHeight="251904512" behindDoc="1" locked="0" layoutInCell="0" allowOverlap="1">
                <wp:simplePos x="0" y="0"/>
                <wp:positionH relativeFrom="column">
                  <wp:posOffset>3175</wp:posOffset>
                </wp:positionH>
                <wp:positionV relativeFrom="paragraph">
                  <wp:posOffset>222885</wp:posOffset>
                </wp:positionV>
                <wp:extent cx="1828800" cy="0"/>
                <wp:effectExtent l="0" t="0" r="0" b="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55pt" to="144.25pt,17.55pt" o:allowincell="f" strokecolor="#000000" strokeweight="0.7199pt"/>
            </w:pict>
          </mc:Fallback>
        </mc:AlternateContent>
      </w:r>
    </w:p>
    <w:p w:rsidR="00AC12B4" w:rsidRDefault="00AC12B4">
      <w:pPr>
        <w:spacing w:line="200" w:lineRule="exact"/>
        <w:rPr>
          <w:rFonts w:ascii="Calibri" w:eastAsia="Calibri" w:hAnsi="Calibri" w:cs="Calibri"/>
          <w:color w:val="0000FF"/>
          <w:sz w:val="20"/>
          <w:szCs w:val="20"/>
          <w:u w:val="single"/>
        </w:rPr>
      </w:pPr>
    </w:p>
    <w:p w:rsidR="00AC12B4" w:rsidRDefault="00AC12B4">
      <w:pPr>
        <w:spacing w:line="282" w:lineRule="exact"/>
        <w:rPr>
          <w:rFonts w:ascii="Calibri" w:eastAsia="Calibri" w:hAnsi="Calibri" w:cs="Calibri"/>
          <w:color w:val="0000FF"/>
          <w:sz w:val="20"/>
          <w:szCs w:val="20"/>
          <w:u w:val="single"/>
        </w:rPr>
      </w:pPr>
    </w:p>
    <w:p w:rsidR="00AC12B4" w:rsidRDefault="00C27636">
      <w:pPr>
        <w:numPr>
          <w:ilvl w:val="0"/>
          <w:numId w:val="372"/>
        </w:numPr>
        <w:tabs>
          <w:tab w:val="left" w:pos="120"/>
        </w:tabs>
        <w:ind w:left="120" w:hanging="115"/>
        <w:rPr>
          <w:rFonts w:ascii="Calibri" w:eastAsia="Calibri" w:hAnsi="Calibri" w:cs="Calibri"/>
          <w:sz w:val="26"/>
          <w:szCs w:val="26"/>
          <w:vertAlign w:val="superscript"/>
        </w:rPr>
      </w:pPr>
      <w:r>
        <w:rPr>
          <w:rFonts w:ascii="Calibri" w:eastAsia="Calibri" w:hAnsi="Calibri" w:cs="Calibri"/>
          <w:sz w:val="20"/>
          <w:szCs w:val="20"/>
        </w:rPr>
        <w:t>Concernant les SASPES.</w:t>
      </w:r>
    </w:p>
    <w:p w:rsidR="00AC12B4" w:rsidRDefault="00AC12B4">
      <w:pPr>
        <w:spacing w:line="47" w:lineRule="exact"/>
        <w:rPr>
          <w:rFonts w:ascii="Calibri" w:eastAsia="Calibri" w:hAnsi="Calibri" w:cs="Calibri"/>
          <w:sz w:val="26"/>
          <w:szCs w:val="26"/>
          <w:vertAlign w:val="superscript"/>
        </w:rPr>
      </w:pPr>
    </w:p>
    <w:p w:rsidR="00AC12B4" w:rsidRPr="00C27636" w:rsidRDefault="00C27636">
      <w:pPr>
        <w:numPr>
          <w:ilvl w:val="0"/>
          <w:numId w:val="372"/>
        </w:numPr>
        <w:tabs>
          <w:tab w:val="left" w:pos="160"/>
        </w:tabs>
        <w:ind w:left="160" w:hanging="155"/>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voir supra pour les données concernant les</w:t>
      </w:r>
    </w:p>
    <w:p w:rsidR="00AC12B4" w:rsidRPr="00C27636" w:rsidRDefault="00AC12B4">
      <w:pPr>
        <w:spacing w:line="29" w:lineRule="exact"/>
        <w:rPr>
          <w:rFonts w:ascii="Calibri" w:eastAsia="Calibri" w:hAnsi="Calibri" w:cs="Calibri"/>
          <w:sz w:val="26"/>
          <w:szCs w:val="26"/>
          <w:vertAlign w:val="superscript"/>
          <w:lang w:val="fr-BE"/>
        </w:rPr>
      </w:pPr>
    </w:p>
    <w:p w:rsidR="00AC12B4" w:rsidRPr="00C27636" w:rsidRDefault="00C27636">
      <w:pPr>
        <w:spacing w:line="212" w:lineRule="auto"/>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SASPE.</w:t>
      </w:r>
    </w:p>
    <w:p w:rsidR="00AC12B4" w:rsidRPr="00C27636" w:rsidRDefault="00AC12B4">
      <w:pPr>
        <w:rPr>
          <w:lang w:val="fr-BE"/>
        </w:rPr>
        <w:sectPr w:rsidR="00AC12B4" w:rsidRPr="00C27636">
          <w:pgSz w:w="12080" w:h="17179"/>
          <w:pgMar w:top="1440" w:right="1440" w:bottom="659" w:left="427" w:header="0" w:footer="0" w:gutter="0"/>
          <w:cols w:num="3" w:space="720" w:equalWidth="0">
            <w:col w:w="330" w:space="683"/>
            <w:col w:w="4400" w:space="180"/>
            <w:col w:w="4617"/>
          </w:cols>
        </w:sectPr>
      </w:pPr>
    </w:p>
    <w:p w:rsidR="00AC12B4" w:rsidRPr="00C27636" w:rsidRDefault="00AC12B4">
      <w:pPr>
        <w:spacing w:line="163" w:lineRule="exact"/>
        <w:rPr>
          <w:sz w:val="20"/>
          <w:szCs w:val="20"/>
          <w:lang w:val="fr-BE"/>
        </w:rPr>
      </w:pPr>
      <w:bookmarkStart w:id="188" w:name="page189"/>
      <w:bookmarkEnd w:id="188"/>
    </w:p>
    <w:p w:rsidR="00AC12B4" w:rsidRPr="00C27636" w:rsidRDefault="00C27636">
      <w:pPr>
        <w:tabs>
          <w:tab w:val="left" w:pos="2320"/>
          <w:tab w:val="left" w:pos="4020"/>
        </w:tabs>
        <w:ind w:left="560"/>
        <w:rPr>
          <w:sz w:val="20"/>
          <w:szCs w:val="20"/>
          <w:lang w:val="fr-BE"/>
        </w:rPr>
      </w:pPr>
      <w:r w:rsidRPr="00C27636">
        <w:rPr>
          <w:rFonts w:ascii="Calibri" w:eastAsia="Calibri" w:hAnsi="Calibri" w:cs="Calibri"/>
          <w:lang w:val="fr-BE"/>
        </w:rPr>
        <w:t>difficilement</w:t>
      </w:r>
      <w:r w:rsidRPr="00C27636">
        <w:rPr>
          <w:sz w:val="20"/>
          <w:szCs w:val="20"/>
          <w:lang w:val="fr-BE"/>
        </w:rPr>
        <w:tab/>
      </w:r>
      <w:r w:rsidRPr="00C27636">
        <w:rPr>
          <w:rFonts w:ascii="Calibri" w:eastAsia="Calibri" w:hAnsi="Calibri" w:cs="Calibri"/>
          <w:lang w:val="fr-BE"/>
        </w:rPr>
        <w:t>conciliables</w:t>
      </w:r>
      <w:r w:rsidRPr="00C27636">
        <w:rPr>
          <w:sz w:val="20"/>
          <w:szCs w:val="20"/>
          <w:lang w:val="fr-BE"/>
        </w:rPr>
        <w:tab/>
      </w:r>
      <w:r w:rsidRPr="00C27636">
        <w:rPr>
          <w:rFonts w:ascii="Calibri" w:eastAsia="Calibri" w:hAnsi="Calibri" w:cs="Calibri"/>
          <w:sz w:val="21"/>
          <w:szCs w:val="21"/>
          <w:lang w:val="fr-BE"/>
        </w:rPr>
        <w:t>avec</w:t>
      </w:r>
    </w:p>
    <w:p w:rsidR="00AC12B4" w:rsidRPr="00C27636" w:rsidRDefault="00C27636">
      <w:pPr>
        <w:tabs>
          <w:tab w:val="left" w:pos="1980"/>
          <w:tab w:val="left" w:pos="2400"/>
          <w:tab w:val="left" w:pos="3080"/>
          <w:tab w:val="left" w:pos="3760"/>
          <w:tab w:val="left" w:pos="4200"/>
        </w:tabs>
        <w:ind w:left="560"/>
        <w:rPr>
          <w:sz w:val="20"/>
          <w:szCs w:val="20"/>
          <w:lang w:val="fr-BE"/>
        </w:rPr>
      </w:pPr>
      <w:r w:rsidRPr="00C27636">
        <w:rPr>
          <w:rFonts w:ascii="Calibri" w:eastAsia="Calibri" w:hAnsi="Calibri" w:cs="Calibri"/>
          <w:lang w:val="fr-BE"/>
        </w:rPr>
        <w:t>l’engagement</w:t>
      </w:r>
      <w:r w:rsidRPr="00C27636">
        <w:rPr>
          <w:rFonts w:ascii="Calibri" w:eastAsia="Calibri" w:hAnsi="Calibri" w:cs="Calibri"/>
          <w:lang w:val="fr-BE"/>
        </w:rPr>
        <w:tab/>
        <w:t>de</w:t>
      </w:r>
      <w:r w:rsidRPr="00C27636">
        <w:rPr>
          <w:rFonts w:ascii="Calibri" w:eastAsia="Calibri" w:hAnsi="Calibri" w:cs="Calibri"/>
          <w:lang w:val="fr-BE"/>
        </w:rPr>
        <w:tab/>
        <w:t>l’Etat</w:t>
      </w:r>
      <w:r w:rsidRPr="00C27636">
        <w:rPr>
          <w:rFonts w:ascii="Calibri" w:eastAsia="Calibri" w:hAnsi="Calibri" w:cs="Calibri"/>
          <w:lang w:val="fr-BE"/>
        </w:rPr>
        <w:tab/>
        <w:t>belge</w:t>
      </w:r>
      <w:r w:rsidRPr="00C27636">
        <w:rPr>
          <w:rFonts w:ascii="Calibri" w:eastAsia="Calibri" w:hAnsi="Calibri" w:cs="Calibri"/>
          <w:lang w:val="fr-BE"/>
        </w:rPr>
        <w:tab/>
        <w:t>de</w:t>
      </w:r>
      <w:r w:rsidRPr="00C27636">
        <w:rPr>
          <w:sz w:val="20"/>
          <w:szCs w:val="20"/>
          <w:lang w:val="fr-BE"/>
        </w:rPr>
        <w:tab/>
      </w:r>
      <w:r w:rsidRPr="00C27636">
        <w:rPr>
          <w:rFonts w:ascii="Calibri" w:eastAsia="Calibri" w:hAnsi="Calibri" w:cs="Calibri"/>
          <w:sz w:val="21"/>
          <w:szCs w:val="21"/>
          <w:lang w:val="fr-BE"/>
        </w:rPr>
        <w:t>ne</w:t>
      </w:r>
    </w:p>
    <w:p w:rsidR="00AC12B4" w:rsidRPr="00C27636" w:rsidRDefault="00C27636">
      <w:pPr>
        <w:tabs>
          <w:tab w:val="left" w:pos="1540"/>
          <w:tab w:val="left" w:pos="1940"/>
          <w:tab w:val="left" w:pos="3080"/>
          <w:tab w:val="left" w:pos="3760"/>
        </w:tabs>
        <w:ind w:left="560"/>
        <w:rPr>
          <w:sz w:val="20"/>
          <w:szCs w:val="20"/>
          <w:lang w:val="fr-BE"/>
        </w:rPr>
      </w:pPr>
      <w:r w:rsidRPr="00C27636">
        <w:rPr>
          <w:rFonts w:ascii="Calibri" w:eastAsia="Calibri" w:hAnsi="Calibri" w:cs="Calibri"/>
          <w:lang w:val="fr-BE"/>
        </w:rPr>
        <w:t>procéder</w:t>
      </w:r>
      <w:r w:rsidRPr="00C27636">
        <w:rPr>
          <w:rFonts w:ascii="Calibri" w:eastAsia="Calibri" w:hAnsi="Calibri" w:cs="Calibri"/>
          <w:lang w:val="fr-BE"/>
        </w:rPr>
        <w:tab/>
        <w:t>au</w:t>
      </w:r>
      <w:r w:rsidRPr="00C27636">
        <w:rPr>
          <w:rFonts w:ascii="Calibri" w:eastAsia="Calibri" w:hAnsi="Calibri" w:cs="Calibri"/>
          <w:lang w:val="fr-BE"/>
        </w:rPr>
        <w:tab/>
        <w:t>placement</w:t>
      </w:r>
      <w:r w:rsidRPr="00C27636">
        <w:rPr>
          <w:rFonts w:ascii="Calibri" w:eastAsia="Calibri" w:hAnsi="Calibri" w:cs="Calibri"/>
          <w:lang w:val="fr-BE"/>
        </w:rPr>
        <w:tab/>
      </w:r>
      <w:r w:rsidRPr="00C27636">
        <w:rPr>
          <w:rFonts w:ascii="Calibri" w:eastAsia="Calibri" w:hAnsi="Calibri" w:cs="Calibri"/>
          <w:lang w:val="fr-BE"/>
        </w:rPr>
        <w:t>qu’en</w:t>
      </w:r>
      <w:r w:rsidRPr="00C27636">
        <w:rPr>
          <w:rFonts w:ascii="Calibri" w:eastAsia="Calibri" w:hAnsi="Calibri" w:cs="Calibri"/>
          <w:lang w:val="fr-BE"/>
        </w:rPr>
        <w:tab/>
        <w:t>dernier</w:t>
      </w:r>
    </w:p>
    <w:p w:rsidR="00AC12B4" w:rsidRPr="00C27636" w:rsidRDefault="00C27636">
      <w:pPr>
        <w:ind w:left="560"/>
        <w:rPr>
          <w:sz w:val="20"/>
          <w:szCs w:val="20"/>
          <w:lang w:val="fr-BE"/>
        </w:rPr>
      </w:pPr>
      <w:r w:rsidRPr="00C27636">
        <w:rPr>
          <w:rFonts w:ascii="Calibri" w:eastAsia="Calibri" w:hAnsi="Calibri" w:cs="Calibri"/>
          <w:lang w:val="fr-BE"/>
        </w:rPr>
        <w:t>ressort  et  pour  la  plus  courte  durée</w:t>
      </w:r>
    </w:p>
    <w:p w:rsidR="00AC12B4" w:rsidRDefault="00C27636">
      <w:pPr>
        <w:spacing w:line="238" w:lineRule="auto"/>
        <w:ind w:left="560"/>
        <w:rPr>
          <w:sz w:val="20"/>
          <w:szCs w:val="20"/>
        </w:rPr>
      </w:pPr>
      <w:r>
        <w:rPr>
          <w:rFonts w:ascii="Calibri" w:eastAsia="Calibri" w:hAnsi="Calibri" w:cs="Calibri"/>
        </w:rPr>
        <w:t>possible.</w:t>
      </w:r>
    </w:p>
    <w:p w:rsidR="00AC12B4" w:rsidRDefault="00AC12B4">
      <w:pPr>
        <w:spacing w:line="127" w:lineRule="exact"/>
        <w:rPr>
          <w:sz w:val="20"/>
          <w:szCs w:val="20"/>
        </w:rPr>
      </w:pPr>
    </w:p>
    <w:p w:rsidR="00AC12B4" w:rsidRDefault="00C27636">
      <w:pPr>
        <w:ind w:left="640"/>
        <w:rPr>
          <w:sz w:val="20"/>
          <w:szCs w:val="20"/>
        </w:rPr>
      </w:pPr>
      <w:r>
        <w:rPr>
          <w:rFonts w:ascii="Cambria" w:eastAsia="Cambria" w:hAnsi="Cambria" w:cs="Cambria"/>
          <w:b/>
          <w:bCs/>
          <w:i/>
          <w:iCs/>
          <w:color w:val="CF9901"/>
          <w:sz w:val="26"/>
          <w:szCs w:val="26"/>
        </w:rPr>
        <w:t>Pour aller plus loin</w:t>
      </w:r>
    </w:p>
    <w:p w:rsidR="00AC12B4" w:rsidRDefault="00AC12B4">
      <w:pPr>
        <w:spacing w:line="174" w:lineRule="exact"/>
        <w:rPr>
          <w:sz w:val="20"/>
          <w:szCs w:val="20"/>
        </w:rPr>
      </w:pPr>
    </w:p>
    <w:p w:rsidR="00AC12B4" w:rsidRPr="00C27636" w:rsidRDefault="00C27636">
      <w:pPr>
        <w:numPr>
          <w:ilvl w:val="0"/>
          <w:numId w:val="373"/>
        </w:numPr>
        <w:tabs>
          <w:tab w:val="left" w:pos="1280"/>
        </w:tabs>
        <w:spacing w:line="270" w:lineRule="auto"/>
        <w:ind w:left="1280" w:right="4673" w:hanging="353"/>
        <w:jc w:val="both"/>
        <w:rPr>
          <w:rFonts w:ascii="Symbol" w:eastAsia="Symbol" w:hAnsi="Symbol" w:cs="Symbol"/>
          <w:sz w:val="20"/>
          <w:szCs w:val="20"/>
          <w:lang w:val="fr-BE"/>
        </w:rPr>
      </w:pPr>
      <w:r w:rsidRPr="00C27636">
        <w:rPr>
          <w:rFonts w:ascii="Calibri" w:eastAsia="Calibri" w:hAnsi="Calibri" w:cs="Calibri"/>
          <w:sz w:val="20"/>
          <w:szCs w:val="20"/>
          <w:lang w:val="fr-BE"/>
        </w:rPr>
        <w:t>Le placement de longue durée n’est qu’une indication d’un besoin de suivre de plus près la situation du jeune concerné. Il ne constitue pas en soi un manque de respec</w:t>
      </w:r>
      <w:r w:rsidRPr="00C27636">
        <w:rPr>
          <w:rFonts w:ascii="Calibri" w:eastAsia="Calibri" w:hAnsi="Calibri" w:cs="Calibri"/>
          <w:sz w:val="20"/>
          <w:szCs w:val="20"/>
          <w:lang w:val="fr-BE"/>
        </w:rPr>
        <w:t>t des droits de l’enfant. Il est important de rappeler que le respect de la vie familiale dans le cadre du placement, par le biais d’un accompagnement du jeune dans son contexte, est primordial.</w:t>
      </w:r>
    </w:p>
    <w:p w:rsidR="00AC12B4" w:rsidRPr="00C27636" w:rsidRDefault="00AC12B4">
      <w:pPr>
        <w:spacing w:line="68" w:lineRule="exact"/>
        <w:rPr>
          <w:rFonts w:ascii="Symbol" w:eastAsia="Symbol" w:hAnsi="Symbol" w:cs="Symbol"/>
          <w:sz w:val="20"/>
          <w:szCs w:val="20"/>
          <w:lang w:val="fr-BE"/>
        </w:rPr>
      </w:pPr>
    </w:p>
    <w:p w:rsidR="00AC12B4" w:rsidRPr="00C27636" w:rsidRDefault="00C27636">
      <w:pPr>
        <w:numPr>
          <w:ilvl w:val="0"/>
          <w:numId w:val="373"/>
        </w:numPr>
        <w:tabs>
          <w:tab w:val="left" w:pos="1280"/>
        </w:tabs>
        <w:spacing w:line="261" w:lineRule="auto"/>
        <w:ind w:left="1280" w:right="4673" w:hanging="353"/>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En cas de manque de place dans les institutions de l’aide à </w:t>
      </w:r>
      <w:r w:rsidRPr="00C27636">
        <w:rPr>
          <w:rFonts w:ascii="Calibri" w:eastAsia="Calibri" w:hAnsi="Calibri" w:cs="Calibri"/>
          <w:sz w:val="20"/>
          <w:szCs w:val="20"/>
          <w:lang w:val="fr-BE"/>
        </w:rPr>
        <w:t>la jeunesse, un placement en internat scolaire peut être appliqué. Des chiffres ne sont pas disponibles en la matière. L’étude de</w:t>
      </w:r>
    </w:p>
    <w:p w:rsidR="00AC12B4" w:rsidRPr="00C27636" w:rsidRDefault="00AC12B4">
      <w:pPr>
        <w:spacing w:line="62" w:lineRule="exact"/>
        <w:rPr>
          <w:rFonts w:ascii="Symbol" w:eastAsia="Symbol" w:hAnsi="Symbol" w:cs="Symbol"/>
          <w:sz w:val="20"/>
          <w:szCs w:val="20"/>
          <w:lang w:val="fr-BE"/>
        </w:rPr>
      </w:pPr>
    </w:p>
    <w:p w:rsidR="00AC12B4" w:rsidRPr="00C27636" w:rsidRDefault="00C27636">
      <w:pPr>
        <w:spacing w:line="235" w:lineRule="auto"/>
        <w:ind w:left="1280" w:right="4673"/>
        <w:jc w:val="both"/>
        <w:rPr>
          <w:rFonts w:ascii="Symbol" w:eastAsia="Symbol" w:hAnsi="Symbol" w:cs="Symbol"/>
          <w:sz w:val="20"/>
          <w:szCs w:val="20"/>
          <w:lang w:val="fr-BE"/>
        </w:rPr>
      </w:pPr>
      <w:r w:rsidRPr="00C27636">
        <w:rPr>
          <w:rFonts w:ascii="Calibri" w:eastAsia="Calibri" w:hAnsi="Calibri" w:cs="Calibri"/>
          <w:sz w:val="20"/>
          <w:szCs w:val="20"/>
          <w:lang w:val="fr-BE"/>
        </w:rPr>
        <w:t>A. Swaluë renvoie pour 2010 à 1127 enfants dont la prise en charge en</w:t>
      </w:r>
    </w:p>
    <w:p w:rsidR="00AC12B4" w:rsidRPr="00C27636" w:rsidRDefault="00AC12B4">
      <w:pPr>
        <w:spacing w:line="83" w:lineRule="exact"/>
        <w:rPr>
          <w:rFonts w:ascii="Symbol" w:eastAsia="Symbol" w:hAnsi="Symbol" w:cs="Symbol"/>
          <w:sz w:val="20"/>
          <w:szCs w:val="20"/>
          <w:lang w:val="fr-BE"/>
        </w:rPr>
      </w:pPr>
    </w:p>
    <w:p w:rsidR="00AC12B4" w:rsidRPr="00C27636" w:rsidRDefault="00C27636">
      <w:pPr>
        <w:spacing w:line="222" w:lineRule="auto"/>
        <w:ind w:left="1280" w:right="4673"/>
        <w:rPr>
          <w:rFonts w:ascii="Symbol" w:eastAsia="Symbol" w:hAnsi="Symbol" w:cs="Symbol"/>
          <w:sz w:val="20"/>
          <w:szCs w:val="20"/>
          <w:lang w:val="fr-BE"/>
        </w:rPr>
      </w:pPr>
      <w:r w:rsidRPr="00C27636">
        <w:rPr>
          <w:rFonts w:ascii="Calibri" w:eastAsia="Calibri" w:hAnsi="Calibri" w:cs="Calibri"/>
          <w:sz w:val="20"/>
          <w:szCs w:val="20"/>
          <w:lang w:val="fr-BE"/>
        </w:rPr>
        <w:t xml:space="preserve">internat à été financée par l’aide à la jeunesse en </w:t>
      </w:r>
      <w:r w:rsidRPr="00C27636">
        <w:rPr>
          <w:rFonts w:ascii="Calibri" w:eastAsia="Calibri" w:hAnsi="Calibri" w:cs="Calibri"/>
          <w:sz w:val="20"/>
          <w:szCs w:val="20"/>
          <w:lang w:val="fr-BE"/>
        </w:rPr>
        <w:t>FWB</w:t>
      </w:r>
      <w:r w:rsidRPr="00C27636">
        <w:rPr>
          <w:rFonts w:ascii="Calibri" w:eastAsia="Calibri" w:hAnsi="Calibri" w:cs="Calibri"/>
          <w:sz w:val="25"/>
          <w:szCs w:val="25"/>
          <w:vertAlign w:val="superscript"/>
          <w:lang w:val="fr-BE"/>
        </w:rPr>
        <w:t>8</w:t>
      </w:r>
      <w:r w:rsidRPr="00C27636">
        <w:rPr>
          <w:rFonts w:ascii="Calibri" w:eastAsia="Calibri" w:hAnsi="Calibri" w:cs="Calibri"/>
          <w:sz w:val="20"/>
          <w:szCs w:val="20"/>
          <w:lang w:val="fr-BE"/>
        </w:rPr>
        <w:t xml:space="preserve"> .</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05536" behindDoc="1" locked="0" layoutInCell="0" allowOverlap="1">
                <wp:simplePos x="0" y="0"/>
                <wp:positionH relativeFrom="column">
                  <wp:posOffset>359410</wp:posOffset>
                </wp:positionH>
                <wp:positionV relativeFrom="paragraph">
                  <wp:posOffset>3407410</wp:posOffset>
                </wp:positionV>
                <wp:extent cx="1829435" cy="0"/>
                <wp:effectExtent l="0" t="0" r="0" b="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268.3pt" to="172.35pt,268.3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7" w:lineRule="exact"/>
        <w:rPr>
          <w:sz w:val="20"/>
          <w:szCs w:val="20"/>
          <w:lang w:val="fr-BE"/>
        </w:rPr>
      </w:pPr>
    </w:p>
    <w:p w:rsidR="00AC12B4" w:rsidRPr="00C27636" w:rsidRDefault="00C27636">
      <w:pPr>
        <w:numPr>
          <w:ilvl w:val="0"/>
          <w:numId w:val="374"/>
        </w:numPr>
        <w:tabs>
          <w:tab w:val="left" w:pos="687"/>
        </w:tabs>
        <w:spacing w:line="204" w:lineRule="auto"/>
        <w:ind w:left="560" w:right="4673" w:firstLine="7"/>
        <w:jc w:val="both"/>
        <w:rPr>
          <w:rFonts w:ascii="Calibri" w:eastAsia="Calibri" w:hAnsi="Calibri" w:cs="Calibri"/>
          <w:i/>
          <w:iCs/>
          <w:sz w:val="20"/>
          <w:szCs w:val="20"/>
          <w:lang w:val="fr-BE"/>
        </w:rPr>
      </w:pPr>
      <w:r w:rsidRPr="00C27636">
        <w:rPr>
          <w:rFonts w:ascii="Calibri" w:eastAsia="Calibri" w:hAnsi="Calibri" w:cs="Calibri"/>
          <w:sz w:val="20"/>
          <w:szCs w:val="20"/>
          <w:lang w:val="fr-BE"/>
        </w:rPr>
        <w:t xml:space="preserve">SWALUE, A., </w:t>
      </w:r>
      <w:r w:rsidRPr="00C27636">
        <w:rPr>
          <w:rFonts w:ascii="Calibri" w:eastAsia="Calibri" w:hAnsi="Calibri" w:cs="Calibri"/>
          <w:i/>
          <w:iCs/>
          <w:sz w:val="20"/>
          <w:szCs w:val="20"/>
          <w:lang w:val="fr-BE"/>
        </w:rPr>
        <w:t>Du placement d’enfants : définir</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et quantifier pour réaliser les droits des enfants placés</w:t>
      </w:r>
      <w:r w:rsidRPr="00C27636">
        <w:rPr>
          <w:rFonts w:ascii="Calibri" w:eastAsia="Calibri" w:hAnsi="Calibri" w:cs="Calibri"/>
          <w:sz w:val="20"/>
          <w:szCs w:val="20"/>
          <w:lang w:val="fr-BE"/>
        </w:rPr>
        <w:t>, septembre 201,2</w:t>
      </w:r>
      <w:r w:rsidRPr="00C27636">
        <w:rPr>
          <w:rFonts w:ascii="Calibri" w:eastAsia="Calibri" w:hAnsi="Calibri" w:cs="Calibri"/>
          <w:i/>
          <w:iCs/>
          <w:sz w:val="20"/>
          <w:szCs w:val="20"/>
          <w:lang w:val="fr-BE"/>
        </w:rPr>
        <w:t xml:space="preserve"> </w:t>
      </w:r>
      <w:hyperlink r:id="rId355">
        <w:r w:rsidRPr="00C27636">
          <w:rPr>
            <w:rFonts w:ascii="Calibri" w:eastAsia="Calibri" w:hAnsi="Calibri" w:cs="Calibri"/>
            <w:color w:val="0000FF"/>
            <w:sz w:val="20"/>
            <w:szCs w:val="20"/>
            <w:u w:val="single"/>
            <w:lang w:val="fr-BE"/>
          </w:rPr>
          <w:t>www.oejaj.cfwb.be</w:t>
        </w:r>
        <w:r w:rsidRPr="00C27636">
          <w:rPr>
            <w:rFonts w:ascii="Calibri" w:eastAsia="Calibri" w:hAnsi="Calibri" w:cs="Calibri"/>
            <w:sz w:val="20"/>
            <w:szCs w:val="20"/>
            <w:u w:val="single"/>
            <w:lang w:val="fr-BE"/>
          </w:rPr>
          <w:t>.</w:t>
        </w:r>
      </w:hyperlink>
    </w:p>
    <w:p w:rsidR="00AC12B4" w:rsidRPr="00C27636" w:rsidRDefault="00AC12B4">
      <w:pPr>
        <w:spacing w:line="256" w:lineRule="exact"/>
        <w:rPr>
          <w:sz w:val="20"/>
          <w:szCs w:val="20"/>
          <w:lang w:val="fr-BE"/>
        </w:rPr>
      </w:pPr>
    </w:p>
    <w:p w:rsidR="00AC12B4" w:rsidRDefault="00C27636">
      <w:pPr>
        <w:ind w:left="487"/>
        <w:jc w:val="center"/>
        <w:rPr>
          <w:sz w:val="20"/>
          <w:szCs w:val="20"/>
        </w:rPr>
      </w:pPr>
      <w:r>
        <w:rPr>
          <w:rFonts w:ascii="Calibri" w:eastAsia="Calibri" w:hAnsi="Calibri" w:cs="Calibri"/>
          <w:sz w:val="21"/>
          <w:szCs w:val="21"/>
        </w:rPr>
        <w:t>189</w:t>
      </w:r>
    </w:p>
    <w:p w:rsidR="00AC12B4" w:rsidRDefault="00C27636">
      <w:pPr>
        <w:spacing w:line="20" w:lineRule="exact"/>
        <w:rPr>
          <w:sz w:val="20"/>
          <w:szCs w:val="20"/>
        </w:rPr>
      </w:pPr>
      <w:r>
        <w:rPr>
          <w:sz w:val="20"/>
          <w:szCs w:val="20"/>
        </w:rPr>
        <w:br w:type="column"/>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55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en contact avec la Justice</w:t>
            </w:r>
          </w:p>
        </w:tc>
      </w:tr>
    </w:tbl>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06560" behindDoc="1" locked="0" layoutInCell="0" allowOverlap="1">
                <wp:simplePos x="0" y="0"/>
                <wp:positionH relativeFrom="column">
                  <wp:posOffset>-196215</wp:posOffset>
                </wp:positionH>
                <wp:positionV relativeFrom="paragraph">
                  <wp:posOffset>-9968865</wp:posOffset>
                </wp:positionV>
                <wp:extent cx="701040" cy="10908665"/>
                <wp:effectExtent l="0" t="0" r="0" b="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 cy="10908665"/>
                        </a:xfrm>
                        <a:prstGeom prst="rect">
                          <a:avLst/>
                        </a:prstGeom>
                        <a:solidFill>
                          <a:srgbClr val="FEC930"/>
                        </a:solidFill>
                      </wps:spPr>
                      <wps:bodyPr/>
                    </wps:wsp>
                  </a:graphicData>
                </a:graphic>
              </wp:anchor>
            </w:drawing>
          </mc:Choice>
          <mc:Fallback>
            <w:pict>
              <v:rect id="Shape 577" o:spid="_x0000_s1602" style="position:absolute;margin-left:-15.4499pt;margin-top:-784.9499pt;width:55.2pt;height:85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C930" stroked="f"/>
            </w:pict>
          </mc:Fallback>
        </mc:AlternateContent>
      </w:r>
    </w:p>
    <w:p w:rsidR="00AC12B4" w:rsidRPr="00C27636" w:rsidRDefault="00AC12B4">
      <w:pPr>
        <w:rPr>
          <w:lang w:val="fr-BE"/>
        </w:rPr>
        <w:sectPr w:rsidR="00AC12B4" w:rsidRPr="00C27636">
          <w:pgSz w:w="12080" w:h="17179"/>
          <w:pgMar w:top="1440" w:right="474" w:bottom="659" w:left="1440" w:header="0" w:footer="0" w:gutter="0"/>
          <w:cols w:num="2" w:space="720" w:equalWidth="0">
            <w:col w:w="9113" w:space="720"/>
            <w:col w:w="330"/>
          </w:cols>
        </w:sectPr>
      </w:pPr>
    </w:p>
    <w:p w:rsidR="00AC12B4" w:rsidRPr="00C27636" w:rsidRDefault="00AC12B4">
      <w:pPr>
        <w:spacing w:line="20" w:lineRule="exact"/>
        <w:rPr>
          <w:sz w:val="20"/>
          <w:szCs w:val="20"/>
          <w:lang w:val="fr-BE"/>
        </w:rPr>
      </w:pPr>
      <w:bookmarkStart w:id="189" w:name="page190"/>
      <w:bookmarkEnd w:id="189"/>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spacing w:line="200" w:lineRule="exact"/>
        <w:rPr>
          <w:sz w:val="20"/>
          <w:szCs w:val="20"/>
          <w:lang w:val="fr-BE"/>
        </w:rPr>
      </w:pPr>
      <w:bookmarkStart w:id="190" w:name="page191"/>
      <w:bookmarkEnd w:id="190"/>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66" w:lineRule="exact"/>
        <w:rPr>
          <w:sz w:val="20"/>
          <w:szCs w:val="20"/>
          <w:lang w:val="fr-BE"/>
        </w:rPr>
      </w:pPr>
    </w:p>
    <w:p w:rsidR="00AC12B4" w:rsidRPr="00C27636" w:rsidRDefault="00C27636">
      <w:pPr>
        <w:spacing w:line="220" w:lineRule="auto"/>
        <w:ind w:left="1240" w:right="177" w:firstLine="2477"/>
        <w:rPr>
          <w:sz w:val="20"/>
          <w:szCs w:val="20"/>
          <w:lang w:val="fr-BE"/>
        </w:rPr>
      </w:pPr>
      <w:r w:rsidRPr="00C27636">
        <w:rPr>
          <w:rFonts w:ascii="Calibri" w:eastAsia="Calibri" w:hAnsi="Calibri" w:cs="Calibri"/>
          <w:color w:val="159DCF"/>
          <w:sz w:val="95"/>
          <w:szCs w:val="95"/>
          <w:lang w:val="fr-BE"/>
        </w:rPr>
        <w:t>Les droits des mineurs étrangers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99" w:lineRule="exact"/>
        <w:rPr>
          <w:sz w:val="20"/>
          <w:szCs w:val="20"/>
          <w:lang w:val="fr-BE"/>
        </w:rPr>
      </w:pPr>
    </w:p>
    <w:p w:rsidR="00AC12B4" w:rsidRPr="00C27636" w:rsidRDefault="00C27636">
      <w:pPr>
        <w:ind w:left="1560"/>
        <w:rPr>
          <w:sz w:val="20"/>
          <w:szCs w:val="20"/>
          <w:lang w:val="fr-BE"/>
        </w:rPr>
      </w:pPr>
      <w:r w:rsidRPr="00C27636">
        <w:rPr>
          <w:rFonts w:ascii="Calibri" w:eastAsia="Calibri" w:hAnsi="Calibri" w:cs="Calibri"/>
          <w:b/>
          <w:bCs/>
          <w:color w:val="159DCF"/>
          <w:sz w:val="32"/>
          <w:szCs w:val="32"/>
          <w:lang w:val="fr-BE"/>
        </w:rPr>
        <w:t xml:space="preserve">ME1 </w:t>
      </w:r>
      <w:r w:rsidRPr="00C27636">
        <w:rPr>
          <w:rFonts w:ascii="Calibri" w:eastAsia="Calibri" w:hAnsi="Calibri" w:cs="Calibri"/>
          <w:color w:val="000000"/>
          <w:sz w:val="32"/>
          <w:szCs w:val="32"/>
          <w:lang w:val="fr-BE"/>
        </w:rPr>
        <w:t>Accueil résidentiel dans un lieu adapté</w:t>
      </w:r>
    </w:p>
    <w:p w:rsidR="00AC12B4" w:rsidRPr="00C27636" w:rsidRDefault="00AC12B4">
      <w:pPr>
        <w:spacing w:line="3" w:lineRule="exact"/>
        <w:rPr>
          <w:sz w:val="20"/>
          <w:szCs w:val="20"/>
          <w:lang w:val="fr-BE"/>
        </w:rPr>
      </w:pPr>
    </w:p>
    <w:p w:rsidR="00AC12B4" w:rsidRPr="00C27636" w:rsidRDefault="00C27636">
      <w:pPr>
        <w:ind w:left="1560"/>
        <w:rPr>
          <w:rFonts w:ascii="Calibri" w:eastAsia="Calibri" w:hAnsi="Calibri" w:cs="Calibri"/>
          <w:sz w:val="32"/>
          <w:szCs w:val="32"/>
          <w:lang w:val="fr-BE"/>
        </w:rPr>
      </w:pPr>
      <w:r w:rsidRPr="00C27636">
        <w:rPr>
          <w:rFonts w:ascii="Calibri" w:eastAsia="Calibri" w:hAnsi="Calibri" w:cs="Calibri"/>
          <w:sz w:val="32"/>
          <w:szCs w:val="32"/>
          <w:lang w:val="fr-BE"/>
        </w:rPr>
        <w:t xml:space="preserve">aux enfants……………………………………………………………. </w:t>
      </w:r>
      <w:hyperlink w:anchor="page193">
        <w:r w:rsidRPr="00C27636">
          <w:rPr>
            <w:rFonts w:ascii="Calibri" w:eastAsia="Calibri" w:hAnsi="Calibri" w:cs="Calibri"/>
            <w:sz w:val="32"/>
            <w:szCs w:val="32"/>
            <w:lang w:val="fr-BE"/>
          </w:rPr>
          <w:t>193</w:t>
        </w:r>
      </w:hyperlink>
    </w:p>
    <w:p w:rsidR="00AC12B4" w:rsidRPr="00C27636" w:rsidRDefault="00AC12B4">
      <w:pPr>
        <w:spacing w:line="313" w:lineRule="exact"/>
        <w:rPr>
          <w:sz w:val="20"/>
          <w:szCs w:val="20"/>
          <w:lang w:val="fr-BE"/>
        </w:rPr>
      </w:pPr>
    </w:p>
    <w:p w:rsidR="00AC12B4" w:rsidRPr="00C27636" w:rsidRDefault="00C27636">
      <w:pPr>
        <w:ind w:left="1560"/>
        <w:rPr>
          <w:sz w:val="20"/>
          <w:szCs w:val="20"/>
          <w:lang w:val="fr-BE"/>
        </w:rPr>
      </w:pPr>
      <w:r w:rsidRPr="00C27636">
        <w:rPr>
          <w:rFonts w:ascii="Calibri" w:eastAsia="Calibri" w:hAnsi="Calibri" w:cs="Calibri"/>
          <w:b/>
          <w:bCs/>
          <w:color w:val="159DCF"/>
          <w:sz w:val="32"/>
          <w:szCs w:val="32"/>
          <w:lang w:val="fr-BE"/>
        </w:rPr>
        <w:t xml:space="preserve">ME2 </w:t>
      </w:r>
      <w:r w:rsidRPr="00C27636">
        <w:rPr>
          <w:rFonts w:ascii="Calibri" w:eastAsia="Calibri" w:hAnsi="Calibri" w:cs="Calibri"/>
          <w:color w:val="000000"/>
          <w:sz w:val="32"/>
          <w:szCs w:val="32"/>
          <w:lang w:val="fr-BE"/>
        </w:rPr>
        <w:t>Mineurs victimes de la traite des êtres</w:t>
      </w:r>
    </w:p>
    <w:p w:rsidR="00AC12B4" w:rsidRPr="00C27636" w:rsidRDefault="00AC12B4">
      <w:pPr>
        <w:spacing w:line="3" w:lineRule="exact"/>
        <w:rPr>
          <w:sz w:val="20"/>
          <w:szCs w:val="20"/>
          <w:lang w:val="fr-BE"/>
        </w:rPr>
      </w:pPr>
    </w:p>
    <w:p w:rsidR="00AC12B4" w:rsidRPr="00C27636" w:rsidRDefault="00C27636">
      <w:pPr>
        <w:ind w:left="1560"/>
        <w:rPr>
          <w:rFonts w:ascii="Calibri" w:eastAsia="Calibri" w:hAnsi="Calibri" w:cs="Calibri"/>
          <w:sz w:val="32"/>
          <w:szCs w:val="32"/>
          <w:lang w:val="fr-BE"/>
        </w:rPr>
      </w:pPr>
      <w:r w:rsidRPr="00C27636">
        <w:rPr>
          <w:rFonts w:ascii="Calibri" w:eastAsia="Calibri" w:hAnsi="Calibri" w:cs="Calibri"/>
          <w:sz w:val="32"/>
          <w:szCs w:val="32"/>
          <w:lang w:val="fr-BE"/>
        </w:rPr>
        <w:lastRenderedPageBreak/>
        <w:t xml:space="preserve">Humains………………………………………………………………… </w:t>
      </w:r>
      <w:hyperlink w:anchor="page197">
        <w:r w:rsidRPr="00C27636">
          <w:rPr>
            <w:rFonts w:ascii="Calibri" w:eastAsia="Calibri" w:hAnsi="Calibri" w:cs="Calibri"/>
            <w:sz w:val="32"/>
            <w:szCs w:val="32"/>
            <w:lang w:val="fr-BE"/>
          </w:rPr>
          <w:t>197</w:t>
        </w:r>
      </w:hyperlink>
    </w:p>
    <w:p w:rsidR="00AC12B4" w:rsidRPr="00C27636" w:rsidRDefault="00AC12B4">
      <w:pPr>
        <w:spacing w:line="388" w:lineRule="exact"/>
        <w:rPr>
          <w:sz w:val="20"/>
          <w:szCs w:val="20"/>
          <w:lang w:val="fr-BE"/>
        </w:rPr>
      </w:pPr>
    </w:p>
    <w:p w:rsidR="00AC12B4" w:rsidRPr="00C27636" w:rsidRDefault="00C27636">
      <w:pPr>
        <w:spacing w:line="388" w:lineRule="auto"/>
        <w:ind w:left="1560" w:right="357"/>
        <w:rPr>
          <w:rFonts w:ascii="Calibri" w:eastAsia="Calibri" w:hAnsi="Calibri" w:cs="Calibri"/>
          <w:b/>
          <w:bCs/>
          <w:color w:val="159DCF"/>
          <w:sz w:val="32"/>
          <w:szCs w:val="32"/>
          <w:lang w:val="fr-BE"/>
        </w:rPr>
      </w:pPr>
      <w:r w:rsidRPr="00C27636">
        <w:rPr>
          <w:rFonts w:ascii="Calibri" w:eastAsia="Calibri" w:hAnsi="Calibri" w:cs="Calibri"/>
          <w:b/>
          <w:bCs/>
          <w:color w:val="159DCF"/>
          <w:sz w:val="32"/>
          <w:szCs w:val="32"/>
          <w:lang w:val="fr-BE"/>
        </w:rPr>
        <w:t xml:space="preserve">ME3 </w:t>
      </w:r>
      <w:r w:rsidRPr="00C27636">
        <w:rPr>
          <w:rFonts w:ascii="Calibri" w:eastAsia="Calibri" w:hAnsi="Calibri" w:cs="Calibri"/>
          <w:color w:val="000000"/>
          <w:sz w:val="32"/>
          <w:szCs w:val="32"/>
          <w:lang w:val="fr-BE"/>
        </w:rPr>
        <w:t>Participation dans des procédures de séjour…</w:t>
      </w:r>
      <w:r w:rsidRPr="00C27636">
        <w:rPr>
          <w:rFonts w:ascii="Calibri" w:eastAsia="Calibri" w:hAnsi="Calibri" w:cs="Calibri"/>
          <w:b/>
          <w:bCs/>
          <w:color w:val="159DCF"/>
          <w:sz w:val="32"/>
          <w:szCs w:val="32"/>
          <w:lang w:val="fr-BE"/>
        </w:rPr>
        <w:t xml:space="preserve"> </w:t>
      </w:r>
      <w:hyperlink w:anchor="page201">
        <w:r w:rsidRPr="00C27636">
          <w:rPr>
            <w:rFonts w:ascii="Calibri" w:eastAsia="Calibri" w:hAnsi="Calibri" w:cs="Calibri"/>
            <w:color w:val="000000"/>
            <w:sz w:val="32"/>
            <w:szCs w:val="32"/>
            <w:lang w:val="fr-BE"/>
          </w:rPr>
          <w:t>201</w:t>
        </w:r>
      </w:hyperlink>
      <w:r w:rsidRPr="00C27636">
        <w:rPr>
          <w:rFonts w:ascii="Calibri" w:eastAsia="Calibri" w:hAnsi="Calibri" w:cs="Calibri"/>
          <w:b/>
          <w:bCs/>
          <w:color w:val="159DCF"/>
          <w:sz w:val="32"/>
          <w:szCs w:val="32"/>
          <w:lang w:val="fr-BE"/>
        </w:rPr>
        <w:t xml:space="preserve"> ME4 </w:t>
      </w:r>
      <w:r w:rsidRPr="00C27636">
        <w:rPr>
          <w:rFonts w:ascii="Calibri" w:eastAsia="Calibri" w:hAnsi="Calibri" w:cs="Calibri"/>
          <w:color w:val="000000"/>
          <w:sz w:val="32"/>
          <w:szCs w:val="32"/>
          <w:lang w:val="fr-BE"/>
        </w:rPr>
        <w:t xml:space="preserve">Solution </w:t>
      </w:r>
      <w:r w:rsidRPr="00C27636">
        <w:rPr>
          <w:rFonts w:ascii="Calibri" w:eastAsia="Calibri" w:hAnsi="Calibri" w:cs="Calibri"/>
          <w:color w:val="000000"/>
          <w:sz w:val="32"/>
          <w:szCs w:val="32"/>
          <w:lang w:val="fr-BE"/>
        </w:rPr>
        <w:t>durable…………………………………….………</w:t>
      </w:r>
      <w:r w:rsidRPr="00C27636">
        <w:rPr>
          <w:rFonts w:ascii="Calibri" w:eastAsia="Calibri" w:hAnsi="Calibri" w:cs="Calibri"/>
          <w:b/>
          <w:bCs/>
          <w:color w:val="159DCF"/>
          <w:sz w:val="32"/>
          <w:szCs w:val="32"/>
          <w:lang w:val="fr-BE"/>
        </w:rPr>
        <w:t xml:space="preserve"> </w:t>
      </w:r>
      <w:hyperlink w:anchor="page203">
        <w:r w:rsidRPr="00C27636">
          <w:rPr>
            <w:rFonts w:ascii="Calibri" w:eastAsia="Calibri" w:hAnsi="Calibri" w:cs="Calibri"/>
            <w:color w:val="000000"/>
            <w:sz w:val="32"/>
            <w:szCs w:val="32"/>
            <w:lang w:val="fr-BE"/>
          </w:rPr>
          <w:t>203</w:t>
        </w:r>
      </w:hyperlink>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4"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191</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191" w:name="page192"/>
      <w:bookmarkEnd w:id="191"/>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AC12B4">
      <w:pPr>
        <w:framePr w:w="2755" w:h="2970" w:wrap="auto" w:vAnchor="page" w:hAnchor="page" w:x="4693" w:y="13321"/>
        <w:jc w:val="center"/>
        <w:rPr>
          <w:sz w:val="20"/>
          <w:szCs w:val="20"/>
          <w:lang w:val="fr-BE"/>
        </w:rPr>
      </w:pPr>
      <w:bookmarkStart w:id="192" w:name="page193"/>
      <w:bookmarkEnd w:id="192"/>
    </w:p>
    <w:p w:rsidR="00AC12B4" w:rsidRPr="00C27636" w:rsidRDefault="00C27636">
      <w:pPr>
        <w:framePr w:w="1980" w:h="498" w:wrap="auto" w:vAnchor="page" w:hAnchor="page" w:x="5180" w:y="13321"/>
        <w:spacing w:line="214" w:lineRule="auto"/>
        <w:rPr>
          <w:rFonts w:ascii="Comic Sans MS" w:eastAsia="Comic Sans MS" w:hAnsi="Comic Sans MS" w:cs="Comic Sans MS"/>
          <w:color w:val="000000"/>
          <w:sz w:val="20"/>
          <w:szCs w:val="20"/>
          <w:lang w:val="fr-BE"/>
        </w:rPr>
      </w:pPr>
      <w:r w:rsidRPr="00C27636">
        <w:rPr>
          <w:rFonts w:ascii="Comic Sans MS" w:eastAsia="Comic Sans MS" w:hAnsi="Comic Sans MS" w:cs="Comic Sans MS"/>
          <w:color w:val="00B0F0"/>
          <w:sz w:val="20"/>
          <w:szCs w:val="20"/>
          <w:lang w:val="fr-BE"/>
        </w:rPr>
        <w:t xml:space="preserve">MENA </w:t>
      </w:r>
      <w:r w:rsidRPr="00C27636">
        <w:rPr>
          <w:rFonts w:ascii="Comic Sans MS" w:eastAsia="Comic Sans MS" w:hAnsi="Comic Sans MS" w:cs="Comic Sans MS"/>
          <w:color w:val="000000"/>
          <w:sz w:val="20"/>
          <w:szCs w:val="20"/>
          <w:lang w:val="fr-BE"/>
        </w:rPr>
        <w:t>ont été</w:t>
      </w:r>
      <w:r w:rsidRPr="00C27636">
        <w:rPr>
          <w:rFonts w:ascii="Comic Sans MS" w:eastAsia="Comic Sans MS" w:hAnsi="Comic Sans MS" w:cs="Comic Sans MS"/>
          <w:color w:val="00B0F0"/>
          <w:sz w:val="20"/>
          <w:szCs w:val="20"/>
          <w:lang w:val="fr-BE"/>
        </w:rPr>
        <w:t xml:space="preserve"> </w:t>
      </w:r>
      <w:r w:rsidRPr="00C27636">
        <w:rPr>
          <w:rFonts w:ascii="Comic Sans MS" w:eastAsia="Comic Sans MS" w:hAnsi="Comic Sans MS" w:cs="Comic Sans MS"/>
          <w:color w:val="000000"/>
          <w:sz w:val="20"/>
          <w:szCs w:val="20"/>
          <w:lang w:val="fr-BE"/>
        </w:rPr>
        <w:t xml:space="preserve">placés, en 2015, </w:t>
      </w:r>
      <w:r w:rsidRPr="00C27636">
        <w:rPr>
          <w:rFonts w:ascii="Comic Sans MS" w:eastAsia="Comic Sans MS" w:hAnsi="Comic Sans MS" w:cs="Comic Sans MS"/>
          <w:color w:val="00B0F0"/>
          <w:sz w:val="20"/>
          <w:szCs w:val="20"/>
          <w:lang w:val="fr-BE"/>
        </w:rPr>
        <w:t>en</w:t>
      </w:r>
    </w:p>
    <w:p w:rsidR="00AC12B4" w:rsidRPr="00C27636" w:rsidRDefault="00C27636">
      <w:pPr>
        <w:framePr w:w="1980" w:h="776" w:wrap="auto" w:vAnchor="page" w:hAnchor="page" w:x="5180" w:y="13880"/>
        <w:spacing w:line="222" w:lineRule="auto"/>
        <w:rPr>
          <w:rFonts w:ascii="Comic Sans MS" w:eastAsia="Comic Sans MS" w:hAnsi="Comic Sans MS" w:cs="Comic Sans MS"/>
          <w:color w:val="000000"/>
          <w:sz w:val="20"/>
          <w:szCs w:val="20"/>
          <w:lang w:val="fr-BE"/>
        </w:rPr>
      </w:pPr>
      <w:r w:rsidRPr="00C27636">
        <w:rPr>
          <w:rFonts w:ascii="Comic Sans MS" w:eastAsia="Comic Sans MS" w:hAnsi="Comic Sans MS" w:cs="Comic Sans MS"/>
          <w:color w:val="00B0F0"/>
          <w:sz w:val="20"/>
          <w:szCs w:val="20"/>
          <w:lang w:val="fr-BE"/>
        </w:rPr>
        <w:t xml:space="preserve">hôtel </w:t>
      </w:r>
      <w:r w:rsidRPr="00C27636">
        <w:rPr>
          <w:rFonts w:ascii="Comic Sans MS" w:eastAsia="Comic Sans MS" w:hAnsi="Comic Sans MS" w:cs="Comic Sans MS"/>
          <w:color w:val="000000"/>
          <w:sz w:val="20"/>
          <w:szCs w:val="20"/>
          <w:lang w:val="fr-BE"/>
        </w:rPr>
        <w:t>sans</w:t>
      </w:r>
      <w:r w:rsidRPr="00C27636">
        <w:rPr>
          <w:rFonts w:ascii="Comic Sans MS" w:eastAsia="Comic Sans MS" w:hAnsi="Comic Sans MS" w:cs="Comic Sans MS"/>
          <w:color w:val="00B0F0"/>
          <w:sz w:val="20"/>
          <w:szCs w:val="20"/>
          <w:lang w:val="fr-BE"/>
        </w:rPr>
        <w:t xml:space="preserve"> </w:t>
      </w:r>
      <w:r w:rsidRPr="00C27636">
        <w:rPr>
          <w:rFonts w:ascii="Comic Sans MS" w:eastAsia="Comic Sans MS" w:hAnsi="Comic Sans MS" w:cs="Comic Sans MS"/>
          <w:color w:val="000000"/>
          <w:sz w:val="20"/>
          <w:szCs w:val="20"/>
          <w:lang w:val="fr-BE"/>
        </w:rPr>
        <w:t>accompagnement adéquat (Fedasil)</w:t>
      </w:r>
    </w:p>
    <w:p w:rsidR="00AC12B4" w:rsidRPr="00C27636" w:rsidRDefault="00C27636">
      <w:pPr>
        <w:framePr w:w="400" w:h="166" w:wrap="auto" w:vAnchor="page" w:hAnchor="page" w:x="6040" w:y="15736"/>
        <w:spacing w:line="180" w:lineRule="auto"/>
        <w:rPr>
          <w:rFonts w:ascii="Calibri" w:eastAsia="Calibri" w:hAnsi="Calibri" w:cs="Calibri"/>
          <w:color w:val="000000"/>
          <w:sz w:val="18"/>
          <w:szCs w:val="18"/>
          <w:lang w:val="fr-BE"/>
        </w:rPr>
      </w:pPr>
      <w:r w:rsidRPr="00C27636">
        <w:rPr>
          <w:rFonts w:ascii="Calibri" w:eastAsia="Calibri" w:hAnsi="Calibri" w:cs="Calibri"/>
          <w:color w:val="000000"/>
          <w:sz w:val="18"/>
          <w:szCs w:val="18"/>
          <w:lang w:val="fr-BE"/>
        </w:rPr>
        <w:t>193</w:t>
      </w:r>
    </w:p>
    <w:p w:rsidR="00AC12B4" w:rsidRPr="00C27636" w:rsidRDefault="00AC12B4">
      <w:pPr>
        <w:framePr w:w="2750" w:h="4512" w:wrap="auto" w:vAnchor="page" w:hAnchor="page" w:x="4696" w:y="11779"/>
        <w:spacing w:line="180" w:lineRule="auto"/>
        <w:rPr>
          <w:rFonts w:ascii="Calibri" w:eastAsia="Calibri" w:hAnsi="Calibri" w:cs="Calibri"/>
          <w:color w:val="000000"/>
          <w:sz w:val="18"/>
          <w:szCs w:val="18"/>
          <w:lang w:val="fr-BE"/>
        </w:rPr>
      </w:pPr>
    </w:p>
    <w:p w:rsidR="00AC12B4" w:rsidRPr="00C27636" w:rsidRDefault="00C27636">
      <w:pPr>
        <w:framePr w:w="660" w:h="1058" w:wrap="auto" w:vAnchor="page" w:hAnchor="page" w:x="5840" w:y="11779"/>
        <w:spacing w:line="191" w:lineRule="auto"/>
        <w:rPr>
          <w:rFonts w:ascii="Comic Sans MS" w:eastAsia="Comic Sans MS" w:hAnsi="Comic Sans MS" w:cs="Comic Sans MS"/>
          <w:color w:val="159DCF"/>
          <w:sz w:val="95"/>
          <w:szCs w:val="95"/>
          <w:lang w:val="fr-BE"/>
        </w:rPr>
      </w:pPr>
      <w:r w:rsidRPr="00C27636">
        <w:rPr>
          <w:rFonts w:ascii="Comic Sans MS" w:eastAsia="Comic Sans MS" w:hAnsi="Comic Sans MS" w:cs="Comic Sans MS"/>
          <w:color w:val="159DCF"/>
          <w:sz w:val="95"/>
          <w:szCs w:val="95"/>
          <w:lang w:val="fr-BE"/>
        </w:rPr>
        <w:t>0</w:t>
      </w:r>
    </w:p>
    <w:p w:rsidR="00AC12B4" w:rsidRPr="00C27636" w:rsidRDefault="00AC12B4">
      <w:pPr>
        <w:framePr w:w="4736" w:h="8272" w:wrap="auto" w:vAnchor="page" w:hAnchor="page" w:x="1150" w:y="2100"/>
        <w:spacing w:line="191" w:lineRule="auto"/>
        <w:rPr>
          <w:rFonts w:ascii="Comic Sans MS" w:eastAsia="Comic Sans MS" w:hAnsi="Comic Sans MS" w:cs="Comic Sans MS"/>
          <w:color w:val="159DCF"/>
          <w:sz w:val="95"/>
          <w:szCs w:val="95"/>
          <w:lang w:val="fr-BE"/>
        </w:rPr>
      </w:pPr>
    </w:p>
    <w:p w:rsidR="00AC12B4" w:rsidRPr="00C27636" w:rsidRDefault="00C27636">
      <w:pPr>
        <w:framePr w:w="3140" w:h="166" w:wrap="auto" w:vAnchor="page" w:hAnchor="page" w:x="1120" w:y="9097"/>
        <w:spacing w:line="180" w:lineRule="auto"/>
        <w:rPr>
          <w:rFonts w:ascii="Calibri" w:eastAsia="Calibri" w:hAnsi="Calibri" w:cs="Calibri"/>
          <w:i/>
          <w:iCs/>
          <w:color w:val="DAEEF3"/>
          <w:sz w:val="18"/>
          <w:szCs w:val="18"/>
          <w:lang w:val="fr-BE"/>
        </w:rPr>
      </w:pPr>
      <w:r w:rsidRPr="00C27636">
        <w:rPr>
          <w:rFonts w:ascii="Calibri" w:eastAsia="Calibri" w:hAnsi="Calibri" w:cs="Calibri"/>
          <w:i/>
          <w:iCs/>
          <w:color w:val="DAEEF3"/>
          <w:sz w:val="18"/>
          <w:szCs w:val="18"/>
          <w:lang w:val="fr-BE"/>
        </w:rPr>
        <w:t>auxquels lesdits Etats sont parties.</w:t>
      </w:r>
    </w:p>
    <w:p w:rsidR="00AC12B4" w:rsidRPr="00C27636" w:rsidRDefault="00AC12B4">
      <w:pPr>
        <w:framePr w:w="6199" w:h="8071" w:wrap="auto" w:vAnchor="page" w:hAnchor="page" w:x="1150" w:y="2100"/>
        <w:spacing w:line="180" w:lineRule="auto"/>
        <w:rPr>
          <w:rFonts w:ascii="Calibri" w:eastAsia="Calibri" w:hAnsi="Calibri" w:cs="Calibri"/>
          <w:i/>
          <w:iCs/>
          <w:color w:val="DAEEF3"/>
          <w:sz w:val="18"/>
          <w:szCs w:val="18"/>
          <w:lang w:val="fr-BE"/>
        </w:rPr>
      </w:pPr>
    </w:p>
    <w:p w:rsidR="00AC12B4" w:rsidRPr="00C27636" w:rsidRDefault="00C27636">
      <w:pPr>
        <w:framePr w:w="5920" w:h="2314" w:wrap="auto" w:vAnchor="page" w:hAnchor="page" w:x="1120" w:y="6678"/>
        <w:spacing w:line="229" w:lineRule="auto"/>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1. Les Etats </w:t>
      </w:r>
      <w:r w:rsidRPr="00C27636">
        <w:rPr>
          <w:rFonts w:ascii="Calibri" w:eastAsia="Calibri" w:hAnsi="Calibri" w:cs="Calibri"/>
          <w:i/>
          <w:iCs/>
          <w:color w:val="DAEEF3"/>
          <w:lang w:val="fr-BE"/>
        </w:rPr>
        <w:t>parties prennent les mesures appropriées pour qu’un enfant qui cherche à obtenir le statut de réfugié ou qui est considéré comme réfugié en vertu des règles et procédures du droit international ou national applicable, qu’il soit seul ou accompagné de ses p</w:t>
      </w:r>
      <w:r w:rsidRPr="00C27636">
        <w:rPr>
          <w:rFonts w:ascii="Calibri" w:eastAsia="Calibri" w:hAnsi="Calibri" w:cs="Calibri"/>
          <w:i/>
          <w:iCs/>
          <w:color w:val="DAEEF3"/>
          <w:lang w:val="fr-BE"/>
        </w:rPr>
        <w:t>ère et mère ou de toute autre personne, bénéficie de la protection et de l’assistance humanitaire voulues pour lui permettre de jouir des droits que lui reconnaissent la présente Convention et les autres instruments internationaux relatifs aux droits de l’</w:t>
      </w:r>
      <w:r w:rsidRPr="00C27636">
        <w:rPr>
          <w:rFonts w:ascii="Calibri" w:eastAsia="Calibri" w:hAnsi="Calibri" w:cs="Calibri"/>
          <w:i/>
          <w:iCs/>
          <w:color w:val="DAEEF3"/>
          <w:lang w:val="fr-BE"/>
        </w:rPr>
        <w:t>homme ou de caractère humanitaire</w:t>
      </w:r>
    </w:p>
    <w:p w:rsidR="00AC12B4" w:rsidRPr="00C27636" w:rsidRDefault="00AC12B4">
      <w:pPr>
        <w:framePr w:w="6199" w:h="8071" w:wrap="auto" w:vAnchor="page" w:hAnchor="page" w:x="1150" w:y="2100"/>
        <w:spacing w:line="229" w:lineRule="auto"/>
        <w:jc w:val="both"/>
        <w:rPr>
          <w:rFonts w:ascii="Calibri" w:eastAsia="Calibri" w:hAnsi="Calibri" w:cs="Calibri"/>
          <w:i/>
          <w:iCs/>
          <w:color w:val="DAEEF3"/>
          <w:lang w:val="fr-BE"/>
        </w:rPr>
      </w:pPr>
    </w:p>
    <w:p w:rsidR="00AC12B4" w:rsidRPr="00C27636" w:rsidRDefault="00C27636">
      <w:pPr>
        <w:framePr w:w="1220" w:h="554" w:wrap="auto" w:vAnchor="page" w:hAnchor="page" w:x="1120" w:y="3363"/>
        <w:spacing w:line="259" w:lineRule="auto"/>
        <w:rPr>
          <w:rFonts w:ascii="Calibri" w:eastAsia="Calibri" w:hAnsi="Calibri" w:cs="Calibri"/>
          <w:color w:val="FFFFFF"/>
          <w:sz w:val="21"/>
          <w:szCs w:val="21"/>
          <w:lang w:val="fr-BE"/>
        </w:rPr>
      </w:pPr>
      <w:r w:rsidRPr="00C27636">
        <w:rPr>
          <w:rFonts w:ascii="Calibri" w:eastAsia="Calibri" w:hAnsi="Calibri" w:cs="Calibri"/>
          <w:i/>
          <w:iCs/>
          <w:color w:val="DAEEF3"/>
          <w:sz w:val="21"/>
          <w:szCs w:val="21"/>
          <w:lang w:val="fr-BE"/>
        </w:rPr>
        <w:t xml:space="preserve">Article CIDE : </w:t>
      </w:r>
      <w:r w:rsidRPr="00C27636">
        <w:rPr>
          <w:rFonts w:ascii="Calibri" w:eastAsia="Calibri" w:hAnsi="Calibri" w:cs="Calibri"/>
          <w:color w:val="FFFFFF"/>
          <w:sz w:val="21"/>
          <w:szCs w:val="21"/>
          <w:lang w:val="fr-BE"/>
        </w:rPr>
        <w:t>Article 10</w:t>
      </w:r>
    </w:p>
    <w:p w:rsidR="00AC12B4" w:rsidRPr="00C27636" w:rsidRDefault="00C27636">
      <w:pPr>
        <w:framePr w:w="5920" w:h="2045" w:wrap="auto" w:vAnchor="page" w:hAnchor="page" w:x="1120" w:y="4080"/>
        <w:spacing w:line="228" w:lineRule="auto"/>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1. Conformément à l’obligation incombant aux Etats parties en vertu du paragraphe 1 de l’article 9, toute demande faite par un enfant ou ses parents en vue d’entrer dans un Etat partie ou de le </w:t>
      </w:r>
      <w:r w:rsidRPr="00C27636">
        <w:rPr>
          <w:rFonts w:ascii="Calibri" w:eastAsia="Calibri" w:hAnsi="Calibri" w:cs="Calibri"/>
          <w:i/>
          <w:iCs/>
          <w:color w:val="DAEEF3"/>
          <w:lang w:val="fr-BE"/>
        </w:rPr>
        <w:t>quitter aux fins de réunification familiale est considérée par les Etats parties dans un esprit positif, avec humanité et diligence. Les Etats parties veillent en outre à ce que la présentation d’une telle demande n’entraîne pas de conséquences fâcheuses p</w:t>
      </w:r>
      <w:r w:rsidRPr="00C27636">
        <w:rPr>
          <w:rFonts w:ascii="Calibri" w:eastAsia="Calibri" w:hAnsi="Calibri" w:cs="Calibri"/>
          <w:i/>
          <w:iCs/>
          <w:color w:val="DAEEF3"/>
          <w:lang w:val="fr-BE"/>
        </w:rPr>
        <w:t>our les auteurs de la demande et les membres de leur famille.</w:t>
      </w:r>
    </w:p>
    <w:p w:rsidR="00AC12B4" w:rsidRPr="00C27636" w:rsidRDefault="00C27636">
      <w:pPr>
        <w:framePr w:w="920" w:h="166" w:wrap="auto" w:vAnchor="page" w:hAnchor="page" w:x="1120" w:y="6349"/>
        <w:spacing w:line="180" w:lineRule="auto"/>
        <w:rPr>
          <w:rFonts w:ascii="Calibri" w:eastAsia="Calibri" w:hAnsi="Calibri" w:cs="Calibri"/>
          <w:i/>
          <w:iCs/>
          <w:color w:val="FFFFFF"/>
          <w:sz w:val="18"/>
          <w:szCs w:val="18"/>
          <w:lang w:val="fr-BE"/>
        </w:rPr>
      </w:pPr>
      <w:r w:rsidRPr="00C27636">
        <w:rPr>
          <w:rFonts w:ascii="Calibri" w:eastAsia="Calibri" w:hAnsi="Calibri" w:cs="Calibri"/>
          <w:i/>
          <w:iCs/>
          <w:color w:val="FFFFFF"/>
          <w:sz w:val="18"/>
          <w:szCs w:val="18"/>
          <w:lang w:val="fr-BE"/>
        </w:rPr>
        <w:t>Article 21</w:t>
      </w:r>
    </w:p>
    <w:p w:rsidR="00AC12B4" w:rsidRPr="00C27636" w:rsidRDefault="00C27636">
      <w:pPr>
        <w:spacing w:line="152" w:lineRule="exact"/>
        <w:rPr>
          <w:rFonts w:ascii="Calibri" w:eastAsia="Calibri" w:hAnsi="Calibri" w:cs="Calibri"/>
          <w:i/>
          <w:iCs/>
          <w:color w:val="FFFFFF"/>
          <w:sz w:val="18"/>
          <w:szCs w:val="18"/>
          <w:lang w:val="fr-BE"/>
        </w:rPr>
      </w:pPr>
      <w:r>
        <w:rPr>
          <w:rFonts w:ascii="Calibri" w:eastAsia="Calibri" w:hAnsi="Calibri" w:cs="Calibri"/>
          <w:i/>
          <w:iCs/>
          <w:noProof/>
          <w:color w:val="FFFFFF"/>
          <w:sz w:val="18"/>
          <w:szCs w:val="18"/>
        </w:rPr>
        <w:lastRenderedPageBreak/>
        <mc:AlternateContent>
          <mc:Choice Requires="wps">
            <w:drawing>
              <wp:anchor distT="0" distB="0" distL="114300" distR="114300" simplePos="0" relativeHeight="251907584" behindDoc="1" locked="0" layoutInCell="0" allowOverlap="1">
                <wp:simplePos x="0" y="0"/>
                <wp:positionH relativeFrom="page">
                  <wp:posOffset>6934200</wp:posOffset>
                </wp:positionH>
                <wp:positionV relativeFrom="page">
                  <wp:posOffset>0</wp:posOffset>
                </wp:positionV>
                <wp:extent cx="734060" cy="10905490"/>
                <wp:effectExtent l="0" t="0" r="0" b="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5490"/>
                        </a:xfrm>
                        <a:prstGeom prst="rect">
                          <a:avLst/>
                        </a:prstGeom>
                        <a:solidFill>
                          <a:srgbClr val="159DCF"/>
                        </a:solidFill>
                      </wps:spPr>
                      <wps:bodyPr/>
                    </wps:wsp>
                  </a:graphicData>
                </a:graphic>
              </wp:anchor>
            </w:drawing>
          </mc:Choice>
          <mc:Fallback>
            <w:pict>
              <v:rect id="Shape 578" o:spid="_x0000_s1603" style="position:absolute;margin-left:546pt;margin-top:0pt;width:57.8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Pr="00C27636" w:rsidRDefault="00C27636" w:rsidP="00C27636">
      <w:pPr>
        <w:rPr>
          <w:sz w:val="20"/>
          <w:szCs w:val="20"/>
          <w:lang w:val="fr-BE"/>
        </w:rPr>
      </w:pPr>
      <w:r w:rsidRPr="00C27636">
        <w:rPr>
          <w:rFonts w:ascii="Comic Sans MS" w:eastAsia="Comic Sans MS" w:hAnsi="Comic Sans MS" w:cs="Comic Sans MS"/>
          <w:color w:val="159DCF"/>
          <w:sz w:val="35"/>
          <w:szCs w:val="35"/>
          <w:lang w:val="fr-BE"/>
        </w:rPr>
        <w:t>ME1. Accueil résidentiel dans un lieu adapté</w:t>
      </w:r>
      <w:r>
        <w:rPr>
          <w:rFonts w:ascii="Comic Sans MS" w:eastAsia="Comic Sans MS" w:hAnsi="Comic Sans MS" w:cs="Comic Sans MS"/>
          <w:color w:val="159DCF"/>
          <w:sz w:val="35"/>
          <w:szCs w:val="35"/>
          <w:lang w:val="fr-BE"/>
        </w:rPr>
        <w:t xml:space="preserve"> aux enfants</w:t>
      </w:r>
    </w:p>
    <w:p w:rsidR="00AC12B4" w:rsidRPr="00C27636" w:rsidRDefault="00AC12B4">
      <w:pPr>
        <w:spacing w:line="169" w:lineRule="exact"/>
        <w:rPr>
          <w:rFonts w:ascii="Calibri" w:eastAsia="Calibri" w:hAnsi="Calibri" w:cs="Calibri"/>
          <w:i/>
          <w:iCs/>
          <w:color w:val="FFFFFF"/>
          <w:sz w:val="18"/>
          <w:szCs w:val="18"/>
          <w:lang w:val="fr-BE"/>
        </w:rPr>
      </w:pPr>
    </w:p>
    <w:p w:rsidR="00AC12B4" w:rsidRDefault="00C27636">
      <w:pPr>
        <w:ind w:left="5920"/>
        <w:rPr>
          <w:sz w:val="20"/>
          <w:szCs w:val="20"/>
          <w:lang w:val="fr-BE"/>
        </w:rPr>
      </w:pPr>
      <w:r>
        <w:rPr>
          <w:rFonts w:ascii="Calibri" w:eastAsia="Calibri" w:hAnsi="Calibri" w:cs="Calibri"/>
          <w:i/>
          <w:iCs/>
          <w:noProof/>
          <w:color w:val="FFFFFF"/>
          <w:sz w:val="18"/>
          <w:szCs w:val="18"/>
        </w:rPr>
        <mc:AlternateContent>
          <mc:Choice Requires="wps">
            <w:drawing>
              <wp:anchor distT="0" distB="0" distL="114300" distR="114300" simplePos="0" relativeHeight="251908608" behindDoc="1" locked="0" layoutInCell="0" allowOverlap="1" wp14:anchorId="5FACE7AE" wp14:editId="0740E7B7">
                <wp:simplePos x="0" y="0"/>
                <wp:positionH relativeFrom="column">
                  <wp:posOffset>-4330065</wp:posOffset>
                </wp:positionH>
                <wp:positionV relativeFrom="paragraph">
                  <wp:posOffset>334645</wp:posOffset>
                </wp:positionV>
                <wp:extent cx="4167505" cy="4560570"/>
                <wp:effectExtent l="0" t="0" r="4445" b="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67505" cy="4560570"/>
                        </a:xfrm>
                        <a:prstGeom prst="rect">
                          <a:avLst/>
                        </a:prstGeom>
                        <a:solidFill>
                          <a:srgbClr val="159DCF"/>
                        </a:solidFill>
                      </wps:spPr>
                      <wps:bodyPr/>
                    </wps:wsp>
                  </a:graphicData>
                </a:graphic>
              </wp:anchor>
            </w:drawing>
          </mc:Choice>
          <mc:Fallback>
            <w:pict>
              <v:rect id="Shape 579" o:spid="_x0000_s1026" style="position:absolute;margin-left:-340.95pt;margin-top:26.35pt;width:328.15pt;height:359.1pt;z-index:-25140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" o:allowincell="f" fillcolor="#159dcf" stroked="f">
                <v:path arrowok="t"/>
              </v:rect>
            </w:pict>
          </mc:Fallback>
        </mc:AlternateContent>
      </w:r>
    </w:p>
    <w:p w:rsidR="00C27636" w:rsidRPr="00C27636" w:rsidRDefault="00C27636">
      <w:pPr>
        <w:ind w:left="5920"/>
        <w:rPr>
          <w:sz w:val="20"/>
          <w:szCs w:val="20"/>
          <w:lang w:val="fr-BE"/>
        </w:rPr>
      </w:pPr>
    </w:p>
    <w:p w:rsidR="00AC12B4" w:rsidRPr="00C27636" w:rsidRDefault="00C27636">
      <w:pPr>
        <w:spacing w:line="20" w:lineRule="exact"/>
        <w:rPr>
          <w:rFonts w:ascii="Calibri" w:eastAsia="Calibri" w:hAnsi="Calibri" w:cs="Calibri"/>
          <w:i/>
          <w:iCs/>
          <w:color w:val="FFFFFF"/>
          <w:sz w:val="18"/>
          <w:szCs w:val="18"/>
          <w:lang w:val="fr-BE"/>
        </w:rPr>
      </w:pPr>
      <w:r>
        <w:rPr>
          <w:rFonts w:ascii="Calibri" w:eastAsia="Calibri" w:hAnsi="Calibri" w:cs="Calibri"/>
          <w:i/>
          <w:iCs/>
          <w:noProof/>
          <w:color w:val="FFFFFF"/>
          <w:sz w:val="18"/>
          <w:szCs w:val="18"/>
        </w:rPr>
        <mc:AlternateContent>
          <mc:Choice Requires="wps">
            <w:drawing>
              <wp:anchor distT="0" distB="0" distL="114300" distR="114300" simplePos="0" relativeHeight="251909632" behindDoc="1" locked="0" layoutInCell="0" allowOverlap="1" wp14:anchorId="6006015D" wp14:editId="616F3B3A">
                <wp:simplePos x="0" y="0"/>
                <wp:positionH relativeFrom="column">
                  <wp:posOffset>3627120</wp:posOffset>
                </wp:positionH>
                <wp:positionV relativeFrom="paragraph">
                  <wp:posOffset>-22225</wp:posOffset>
                </wp:positionV>
                <wp:extent cx="0" cy="4585970"/>
                <wp:effectExtent l="0" t="0" r="0" b="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585970"/>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6pt,-1.7499pt" to="285.6pt,359.35pt" o:allowincell="f" strokecolor="#0F6D8F" strokeweight="2pt"/>
            </w:pict>
          </mc:Fallback>
        </mc:AlternateContent>
      </w:r>
      <w:r>
        <w:rPr>
          <w:rFonts w:ascii="Calibri" w:eastAsia="Calibri" w:hAnsi="Calibri" w:cs="Calibri"/>
          <w:i/>
          <w:iCs/>
          <w:noProof/>
          <w:color w:val="FFFFFF"/>
          <w:sz w:val="18"/>
          <w:szCs w:val="18"/>
        </w:rPr>
        <mc:AlternateContent>
          <mc:Choice Requires="wps">
            <w:drawing>
              <wp:anchor distT="0" distB="0" distL="114300" distR="114300" simplePos="0" relativeHeight="251910656" behindDoc="1" locked="0" layoutInCell="0" allowOverlap="1" wp14:anchorId="7ECE8514" wp14:editId="53D45CD5">
                <wp:simplePos x="0" y="0"/>
                <wp:positionH relativeFrom="column">
                  <wp:posOffset>-553085</wp:posOffset>
                </wp:positionH>
                <wp:positionV relativeFrom="paragraph">
                  <wp:posOffset>-9525</wp:posOffset>
                </wp:positionV>
                <wp:extent cx="4192905" cy="0"/>
                <wp:effectExtent l="0" t="0" r="0" b="0"/>
                <wp:wrapNone/>
                <wp:docPr id="581" name="Shap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92905" cy="0"/>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581" o:spid="_x0000_s1026" style="position:absolute;z-index:-251405824;visibility:visible;mso-wrap-style:square;mso-wrap-distance-left:9pt;mso-wrap-distance-top:0;mso-wrap-distance-right:9pt;mso-wrap-distance-bottom:0;mso-position-horizontal:absolute;mso-position-horizontal-relative:text;mso-position-vertical:absolute;mso-position-vertical-relative:text" from="-43.55pt,-.75pt" to="286.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" o:allowincell="f" filled="t" strokecolor="#0f6d8f" strokeweight="2pt">
                <v:stroke joinstyle="miter"/>
                <o:lock v:ext="edit" shapetype="f"/>
              </v:line>
            </w:pict>
          </mc:Fallback>
        </mc:AlternateContent>
      </w:r>
      <w:r>
        <w:rPr>
          <w:rFonts w:ascii="Calibri" w:eastAsia="Calibri" w:hAnsi="Calibri" w:cs="Calibri"/>
          <w:i/>
          <w:iCs/>
          <w:noProof/>
          <w:color w:val="FFFFFF"/>
          <w:sz w:val="18"/>
          <w:szCs w:val="18"/>
        </w:rPr>
        <mc:AlternateContent>
          <mc:Choice Requires="wps">
            <w:drawing>
              <wp:anchor distT="0" distB="0" distL="114300" distR="114300" simplePos="0" relativeHeight="251911680" behindDoc="1" locked="0" layoutInCell="0" allowOverlap="1">
                <wp:simplePos x="0" y="0"/>
                <wp:positionH relativeFrom="column">
                  <wp:posOffset>-540385</wp:posOffset>
                </wp:positionH>
                <wp:positionV relativeFrom="paragraph">
                  <wp:posOffset>-22225</wp:posOffset>
                </wp:positionV>
                <wp:extent cx="0" cy="4585970"/>
                <wp:effectExtent l="0" t="0" r="0" b="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585970"/>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499pt,-1.7499pt" to="-42.5499pt,359.35pt" o:allowincell="f" strokecolor="#0F6D8F" strokeweight="2pt"/>
            </w:pict>
          </mc:Fallback>
        </mc:AlternateContent>
      </w:r>
      <w:r>
        <w:rPr>
          <w:rFonts w:ascii="Calibri" w:eastAsia="Calibri" w:hAnsi="Calibri" w:cs="Calibri"/>
          <w:i/>
          <w:iCs/>
          <w:noProof/>
          <w:color w:val="FFFFFF"/>
          <w:sz w:val="18"/>
          <w:szCs w:val="18"/>
        </w:rPr>
        <mc:AlternateContent>
          <mc:Choice Requires="wps">
            <w:drawing>
              <wp:anchor distT="0" distB="0" distL="114300" distR="114300" simplePos="0" relativeHeight="251912704" behindDoc="1" locked="0" layoutInCell="0" allowOverlap="1" wp14:anchorId="1FA83D74" wp14:editId="144A4391">
                <wp:simplePos x="0" y="0"/>
                <wp:positionH relativeFrom="column">
                  <wp:posOffset>-553085</wp:posOffset>
                </wp:positionH>
                <wp:positionV relativeFrom="paragraph">
                  <wp:posOffset>4551045</wp:posOffset>
                </wp:positionV>
                <wp:extent cx="4192905" cy="0"/>
                <wp:effectExtent l="0" t="0" r="0" b="0"/>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92905" cy="4763"/>
                        </a:xfrm>
                        <a:prstGeom prst="line">
                          <a:avLst/>
                        </a:prstGeom>
                        <a:solidFill>
                          <a:srgbClr val="FFFFFF"/>
                        </a:solidFill>
                        <a:ln w="25400">
                          <a:solidFill>
                            <a:srgbClr val="0F6D8F"/>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line id="Shape 583" o:spid="_x0000_s1026" style="position:absolute;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5pt,358.35pt" to="286.6pt,3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" o:allowincell="f" filled="t" strokecolor="#0f6d8f" strokeweight="2pt">
                <v:stroke joinstyle="miter"/>
                <o:lock v:ext="edit" shapetype="f"/>
              </v:line>
            </w:pict>
          </mc:Fallback>
        </mc:AlternateContent>
      </w:r>
    </w:p>
    <w:p w:rsidR="00AC12B4" w:rsidRPr="00C27636" w:rsidRDefault="00AC12B4">
      <w:pPr>
        <w:rPr>
          <w:lang w:val="fr-BE"/>
        </w:rPr>
        <w:sectPr w:rsidR="00AC12B4" w:rsidRPr="00C27636">
          <w:pgSz w:w="12080" w:h="17179"/>
          <w:pgMar w:top="1440" w:right="530" w:bottom="955" w:left="1440" w:header="0" w:footer="0" w:gutter="0"/>
          <w:cols w:space="720" w:equalWidth="0">
            <w:col w:w="10106"/>
          </w:cols>
        </w:sectPr>
      </w:pPr>
    </w:p>
    <w:p w:rsidR="00AC12B4" w:rsidRPr="00C27636" w:rsidRDefault="00AC12B4">
      <w:pPr>
        <w:spacing w:line="50" w:lineRule="exact"/>
        <w:rPr>
          <w:rFonts w:ascii="Calibri" w:eastAsia="Calibri" w:hAnsi="Calibri" w:cs="Calibri"/>
          <w:i/>
          <w:iCs/>
          <w:color w:val="FFFFFF"/>
          <w:sz w:val="18"/>
          <w:szCs w:val="18"/>
          <w:lang w:val="fr-BE"/>
        </w:rPr>
      </w:pPr>
    </w:p>
    <w:p w:rsidR="00AC12B4" w:rsidRPr="00C27636" w:rsidRDefault="00C27636">
      <w:pPr>
        <w:spacing w:line="199" w:lineRule="auto"/>
        <w:ind w:left="560"/>
        <w:rPr>
          <w:sz w:val="20"/>
          <w:szCs w:val="20"/>
          <w:lang w:val="fr-BE"/>
        </w:rPr>
      </w:pPr>
      <w:r w:rsidRPr="00C27636">
        <w:rPr>
          <w:rFonts w:ascii="Calibri" w:eastAsia="Calibri" w:hAnsi="Calibri" w:cs="Calibri"/>
          <w:lang w:val="fr-BE"/>
        </w:rPr>
        <w:t>En plus des dispositions conventionnelles, le Comité des droits de l'enfant garantit les droits de</w:t>
      </w:r>
      <w:r w:rsidRPr="00C27636">
        <w:rPr>
          <w:rFonts w:ascii="Calibri" w:eastAsia="Calibri" w:hAnsi="Calibri" w:cs="Calibri"/>
          <w:lang w:val="fr-BE"/>
        </w:rPr>
        <w:t xml:space="preserve"> tous les mineurs étrangers, y compris les non-demandeurs d'asile (voir tous ses commentaires généraux ; voir §32, 75, 77 et</w:t>
      </w:r>
    </w:p>
    <w:p w:rsidR="00AC12B4" w:rsidRPr="00C27636" w:rsidRDefault="00C27636">
      <w:pPr>
        <w:spacing w:line="20" w:lineRule="exact"/>
        <w:rPr>
          <w:rFonts w:ascii="Calibri" w:eastAsia="Calibri" w:hAnsi="Calibri" w:cs="Calibri"/>
          <w:i/>
          <w:iCs/>
          <w:color w:val="FFFFFF"/>
          <w:sz w:val="18"/>
          <w:szCs w:val="18"/>
          <w:lang w:val="fr-BE"/>
        </w:rPr>
      </w:pPr>
      <w:r>
        <w:rPr>
          <w:rFonts w:ascii="Calibri" w:eastAsia="Calibri" w:hAnsi="Calibri" w:cs="Calibri"/>
          <w:i/>
          <w:iCs/>
          <w:noProof/>
          <w:color w:val="FFFFFF"/>
          <w:sz w:val="18"/>
          <w:szCs w:val="18"/>
        </w:rPr>
        <mc:AlternateContent>
          <mc:Choice Requires="wps">
            <w:drawing>
              <wp:anchor distT="0" distB="0" distL="114300" distR="114300" simplePos="0" relativeHeight="251913728" behindDoc="1" locked="0" layoutInCell="0" allowOverlap="1" wp14:anchorId="53F3ABAC" wp14:editId="460DC17F">
                <wp:simplePos x="0" y="0"/>
                <wp:positionH relativeFrom="column">
                  <wp:posOffset>2279015</wp:posOffset>
                </wp:positionH>
                <wp:positionV relativeFrom="paragraph">
                  <wp:posOffset>2068195</wp:posOffset>
                </wp:positionV>
                <wp:extent cx="1444625" cy="0"/>
                <wp:effectExtent l="0" t="0" r="0" b="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44625" cy="4763"/>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45pt,162.85pt" to="293.2pt,162.85pt" o:allowincell="f" strokecolor="#159DCF" strokeweight="2pt"/>
            </w:pict>
          </mc:Fallback>
        </mc:AlternateContent>
      </w:r>
      <w:r>
        <w:rPr>
          <w:rFonts w:ascii="Calibri" w:eastAsia="Calibri" w:hAnsi="Calibri" w:cs="Calibri"/>
          <w:i/>
          <w:iCs/>
          <w:noProof/>
          <w:color w:val="FFFFFF"/>
          <w:sz w:val="18"/>
          <w:szCs w:val="18"/>
        </w:rPr>
        <mc:AlternateContent>
          <mc:Choice Requires="wps">
            <w:drawing>
              <wp:anchor distT="0" distB="0" distL="114300" distR="114300" simplePos="0" relativeHeight="251914752" behindDoc="1" locked="0" layoutInCell="0" allowOverlap="1" wp14:anchorId="18C50114" wp14:editId="58C70ADF">
                <wp:simplePos x="0" y="0"/>
                <wp:positionH relativeFrom="column">
                  <wp:posOffset>3710940</wp:posOffset>
                </wp:positionH>
                <wp:positionV relativeFrom="paragraph">
                  <wp:posOffset>-57150</wp:posOffset>
                </wp:positionV>
                <wp:extent cx="0" cy="2138045"/>
                <wp:effectExtent l="0" t="0" r="0" b="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8045"/>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2pt,-4.4999pt" to="292.2pt,163.85pt" o:allowincell="f" strokecolor="#159DCF" strokeweight="2pt"/>
            </w:pict>
          </mc:Fallback>
        </mc:AlternateContent>
      </w:r>
      <w:r>
        <w:rPr>
          <w:rFonts w:ascii="Calibri" w:eastAsia="Calibri" w:hAnsi="Calibri" w:cs="Calibri"/>
          <w:i/>
          <w:iCs/>
          <w:noProof/>
          <w:color w:val="FFFFFF"/>
          <w:sz w:val="18"/>
          <w:szCs w:val="18"/>
        </w:rPr>
        <mc:AlternateContent>
          <mc:Choice Requires="wps">
            <w:drawing>
              <wp:anchor distT="0" distB="0" distL="114300" distR="114300" simplePos="0" relativeHeight="251915776" behindDoc="1" locked="0" layoutInCell="0" allowOverlap="1" wp14:anchorId="66F8E619" wp14:editId="75A04C28">
                <wp:simplePos x="0" y="0"/>
                <wp:positionH relativeFrom="column">
                  <wp:posOffset>2279015</wp:posOffset>
                </wp:positionH>
                <wp:positionV relativeFrom="paragraph">
                  <wp:posOffset>-44450</wp:posOffset>
                </wp:positionV>
                <wp:extent cx="1444625" cy="0"/>
                <wp:effectExtent l="0" t="0" r="0" b="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44625" cy="4763"/>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45pt,-3.4999pt" to="293.2pt,-3.4999pt" o:allowincell="f" strokecolor="#159DCF" strokeweight="2pt"/>
            </w:pict>
          </mc:Fallback>
        </mc:AlternateContent>
      </w:r>
      <w:r>
        <w:rPr>
          <w:rFonts w:ascii="Calibri" w:eastAsia="Calibri" w:hAnsi="Calibri" w:cs="Calibri"/>
          <w:i/>
          <w:iCs/>
          <w:noProof/>
          <w:color w:val="FFFFFF"/>
          <w:sz w:val="18"/>
          <w:szCs w:val="18"/>
        </w:rPr>
        <mc:AlternateContent>
          <mc:Choice Requires="wps">
            <w:drawing>
              <wp:anchor distT="0" distB="0" distL="114300" distR="114300" simplePos="0" relativeHeight="251916800" behindDoc="1" locked="0" layoutInCell="0" allowOverlap="1" wp14:anchorId="21969D22" wp14:editId="2A16EBE8">
                <wp:simplePos x="0" y="0"/>
                <wp:positionH relativeFrom="column">
                  <wp:posOffset>2291715</wp:posOffset>
                </wp:positionH>
                <wp:positionV relativeFrom="paragraph">
                  <wp:posOffset>-57150</wp:posOffset>
                </wp:positionV>
                <wp:extent cx="0" cy="2138045"/>
                <wp:effectExtent l="0" t="0" r="0" b="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38045"/>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45pt,-4.4999pt" to="180.45pt,163.85pt" o:allowincell="f" strokecolor="#159DCF" strokeweight="2pt"/>
            </w:pict>
          </mc:Fallback>
        </mc:AlternateContent>
      </w:r>
    </w:p>
    <w:p w:rsidR="00AC12B4" w:rsidRPr="00C27636" w:rsidRDefault="00AC12B4">
      <w:pPr>
        <w:spacing w:line="254" w:lineRule="exact"/>
        <w:rPr>
          <w:rFonts w:ascii="Calibri" w:eastAsia="Calibri" w:hAnsi="Calibri" w:cs="Calibri"/>
          <w:i/>
          <w:iCs/>
          <w:color w:val="FFFFFF"/>
          <w:sz w:val="18"/>
          <w:szCs w:val="18"/>
          <w:lang w:val="fr-BE"/>
        </w:rPr>
      </w:pPr>
    </w:p>
    <w:p w:rsidR="00AC12B4" w:rsidRPr="00C27636" w:rsidRDefault="00C27636">
      <w:pPr>
        <w:numPr>
          <w:ilvl w:val="0"/>
          <w:numId w:val="375"/>
        </w:numPr>
        <w:tabs>
          <w:tab w:val="left" w:pos="1008"/>
        </w:tabs>
        <w:spacing w:line="234" w:lineRule="auto"/>
        <w:ind w:left="560" w:right="1200" w:firstLine="7"/>
        <w:jc w:val="both"/>
        <w:rPr>
          <w:rFonts w:ascii="Calibri" w:eastAsia="Calibri" w:hAnsi="Calibri" w:cs="Calibri"/>
          <w:lang w:val="fr-BE"/>
        </w:rPr>
      </w:pPr>
      <w:r w:rsidRPr="00C27636">
        <w:rPr>
          <w:rFonts w:ascii="Calibri" w:eastAsia="Calibri" w:hAnsi="Calibri" w:cs="Calibri"/>
          <w:lang w:val="fr-BE"/>
        </w:rPr>
        <w:t>CO 2010). Dans ses observations finales (art. 27), le Comité des droits de l'enfant a demandé d'être attentif aux femmes et a</w:t>
      </w:r>
      <w:r w:rsidRPr="00C27636">
        <w:rPr>
          <w:rFonts w:ascii="Calibri" w:eastAsia="Calibri" w:hAnsi="Calibri" w:cs="Calibri"/>
          <w:lang w:val="fr-BE"/>
        </w:rPr>
        <w:t>ux enfants sans-abri de même qu'aux mineurs étrangers</w:t>
      </w:r>
    </w:p>
    <w:p w:rsidR="00AC12B4" w:rsidRPr="00C27636" w:rsidRDefault="00AC12B4">
      <w:pPr>
        <w:spacing w:line="46" w:lineRule="exact"/>
        <w:rPr>
          <w:rFonts w:ascii="Calibri" w:eastAsia="Calibri" w:hAnsi="Calibri" w:cs="Calibri"/>
          <w:lang w:val="fr-BE"/>
        </w:rPr>
      </w:pPr>
    </w:p>
    <w:p w:rsidR="00AC12B4" w:rsidRPr="00C27636" w:rsidRDefault="00C27636">
      <w:pPr>
        <w:spacing w:line="231" w:lineRule="auto"/>
        <w:ind w:left="560" w:right="1220"/>
        <w:jc w:val="both"/>
        <w:rPr>
          <w:rFonts w:ascii="Calibri" w:eastAsia="Calibri" w:hAnsi="Calibri" w:cs="Calibri"/>
          <w:lang w:val="fr-BE"/>
        </w:rPr>
      </w:pPr>
      <w:r w:rsidRPr="00C27636">
        <w:rPr>
          <w:rFonts w:ascii="Calibri" w:eastAsia="Calibri" w:hAnsi="Calibri" w:cs="Calibri"/>
          <w:lang w:val="fr-BE"/>
        </w:rPr>
        <w:t>non-accompagnés pour lesquels des mesures urgentes et durables doivent être prises afin qu'ils disposent d'un hébergement</w:t>
      </w:r>
    </w:p>
    <w:p w:rsidR="00AC12B4" w:rsidRPr="00C27636" w:rsidRDefault="00C27636">
      <w:pPr>
        <w:spacing w:line="20" w:lineRule="exact"/>
        <w:rPr>
          <w:rFonts w:ascii="Calibri" w:eastAsia="Calibri" w:hAnsi="Calibri" w:cs="Calibri"/>
          <w:i/>
          <w:iCs/>
          <w:color w:val="FFFFFF"/>
          <w:sz w:val="18"/>
          <w:szCs w:val="18"/>
          <w:lang w:val="fr-BE"/>
        </w:rPr>
      </w:pPr>
      <w:r w:rsidRPr="00C27636">
        <w:rPr>
          <w:rFonts w:ascii="Calibri" w:eastAsia="Calibri" w:hAnsi="Calibri" w:cs="Calibri"/>
          <w:i/>
          <w:iCs/>
          <w:color w:val="FFFFFF"/>
          <w:sz w:val="18"/>
          <w:szCs w:val="18"/>
          <w:lang w:val="fr-BE"/>
        </w:rPr>
        <w:br w:type="column"/>
      </w:r>
    </w:p>
    <w:p w:rsidR="00AC12B4" w:rsidRPr="00C27636" w:rsidRDefault="00AC12B4">
      <w:pPr>
        <w:spacing w:line="306" w:lineRule="exact"/>
        <w:rPr>
          <w:rFonts w:ascii="Calibri" w:eastAsia="Calibri" w:hAnsi="Calibri" w:cs="Calibri"/>
          <w:i/>
          <w:iCs/>
          <w:color w:val="FFFFFF"/>
          <w:sz w:val="18"/>
          <w:szCs w:val="18"/>
          <w:lang w:val="fr-BE"/>
        </w:rPr>
      </w:pPr>
    </w:p>
    <w:p w:rsidR="00AC12B4" w:rsidRPr="00C27636" w:rsidRDefault="00C27636">
      <w:pPr>
        <w:spacing w:line="232" w:lineRule="auto"/>
        <w:ind w:left="11" w:right="305"/>
        <w:jc w:val="both"/>
        <w:rPr>
          <w:sz w:val="20"/>
          <w:szCs w:val="20"/>
          <w:lang w:val="fr-BE"/>
        </w:rPr>
      </w:pPr>
      <w:r w:rsidRPr="00C27636">
        <w:rPr>
          <w:rFonts w:ascii="Calibri" w:eastAsia="Calibri" w:hAnsi="Calibri" w:cs="Calibri"/>
          <w:lang w:val="fr-BE"/>
        </w:rPr>
        <w:t xml:space="preserve">approprié. Il faut également trouver un logement temporaire pour les </w:t>
      </w:r>
      <w:r w:rsidRPr="00C27636">
        <w:rPr>
          <w:rFonts w:ascii="Calibri" w:eastAsia="Calibri" w:hAnsi="Calibri" w:cs="Calibri"/>
          <w:lang w:val="fr-BE"/>
        </w:rPr>
        <w:t>familles dont la demande d'asile a été refusée et qui se trouvent à la rue, leur offrir un toit.</w:t>
      </w:r>
    </w:p>
    <w:p w:rsidR="00AC12B4" w:rsidRPr="00C27636" w:rsidRDefault="00AC12B4">
      <w:pPr>
        <w:spacing w:line="126" w:lineRule="exact"/>
        <w:rPr>
          <w:rFonts w:ascii="Calibri" w:eastAsia="Calibri" w:hAnsi="Calibri" w:cs="Calibri"/>
          <w:i/>
          <w:iCs/>
          <w:color w:val="FFFFFF"/>
          <w:sz w:val="18"/>
          <w:szCs w:val="18"/>
          <w:lang w:val="fr-BE"/>
        </w:rPr>
      </w:pPr>
    </w:p>
    <w:p w:rsidR="00AC12B4" w:rsidRPr="00C27636" w:rsidRDefault="00C27636">
      <w:pPr>
        <w:ind w:left="11"/>
        <w:rPr>
          <w:sz w:val="20"/>
          <w:szCs w:val="20"/>
          <w:lang w:val="fr-BE"/>
        </w:rPr>
      </w:pPr>
      <w:r w:rsidRPr="00C27636">
        <w:rPr>
          <w:rFonts w:ascii="Calibri" w:eastAsia="Calibri" w:hAnsi="Calibri" w:cs="Calibri"/>
          <w:lang w:val="fr-BE"/>
        </w:rPr>
        <w:t>Le tableau ci-après synthétise les</w:t>
      </w:r>
    </w:p>
    <w:p w:rsidR="00AC12B4" w:rsidRPr="00C27636" w:rsidRDefault="00AC12B4">
      <w:pPr>
        <w:spacing w:line="49" w:lineRule="exact"/>
        <w:rPr>
          <w:rFonts w:ascii="Calibri" w:eastAsia="Calibri" w:hAnsi="Calibri" w:cs="Calibri"/>
          <w:i/>
          <w:iCs/>
          <w:color w:val="FFFFFF"/>
          <w:sz w:val="18"/>
          <w:szCs w:val="18"/>
          <w:lang w:val="fr-BE"/>
        </w:rPr>
      </w:pPr>
    </w:p>
    <w:p w:rsidR="00AC12B4" w:rsidRPr="00C27636" w:rsidRDefault="00C27636">
      <w:pPr>
        <w:spacing w:line="225" w:lineRule="auto"/>
        <w:ind w:left="11" w:right="305"/>
        <w:jc w:val="both"/>
        <w:rPr>
          <w:sz w:val="20"/>
          <w:szCs w:val="20"/>
          <w:lang w:val="fr-BE"/>
        </w:rPr>
      </w:pPr>
      <w:r w:rsidRPr="00C27636">
        <w:rPr>
          <w:rFonts w:ascii="Calibri" w:eastAsia="Calibri" w:hAnsi="Calibri" w:cs="Calibri"/>
          <w:lang w:val="fr-BE"/>
        </w:rPr>
        <w:t>données relatives à l’hébergement des mineurs étrangers non adapté aux enfants.</w:t>
      </w:r>
    </w:p>
    <w:p w:rsidR="00AC12B4" w:rsidRPr="00C27636" w:rsidRDefault="00AC12B4">
      <w:pPr>
        <w:spacing w:line="206" w:lineRule="exact"/>
        <w:rPr>
          <w:rFonts w:ascii="Calibri" w:eastAsia="Calibri" w:hAnsi="Calibri" w:cs="Calibri"/>
          <w:i/>
          <w:iCs/>
          <w:color w:val="FFFFFF"/>
          <w:sz w:val="18"/>
          <w:szCs w:val="18"/>
          <w:lang w:val="fr-BE"/>
        </w:rPr>
      </w:pPr>
    </w:p>
    <w:p w:rsidR="00AC12B4" w:rsidRPr="00C27636" w:rsidRDefault="00C27636">
      <w:pPr>
        <w:ind w:left="11"/>
        <w:rPr>
          <w:sz w:val="20"/>
          <w:szCs w:val="20"/>
          <w:lang w:val="fr-BE"/>
        </w:rPr>
      </w:pPr>
      <w:r w:rsidRPr="00C27636">
        <w:rPr>
          <w:rFonts w:ascii="Cambria" w:eastAsia="Cambria" w:hAnsi="Cambria" w:cs="Cambria"/>
          <w:b/>
          <w:bCs/>
          <w:i/>
          <w:iCs/>
          <w:color w:val="0F6D8F"/>
          <w:sz w:val="26"/>
          <w:szCs w:val="26"/>
          <w:lang w:val="fr-BE"/>
        </w:rPr>
        <w:t>Evolution</w:t>
      </w:r>
    </w:p>
    <w:p w:rsidR="00AC12B4" w:rsidRPr="00C27636" w:rsidRDefault="00AC12B4">
      <w:pPr>
        <w:spacing w:line="210" w:lineRule="exact"/>
        <w:rPr>
          <w:rFonts w:ascii="Calibri" w:eastAsia="Calibri" w:hAnsi="Calibri" w:cs="Calibri"/>
          <w:i/>
          <w:iCs/>
          <w:color w:val="FFFFFF"/>
          <w:sz w:val="18"/>
          <w:szCs w:val="18"/>
          <w:lang w:val="fr-BE"/>
        </w:rPr>
      </w:pPr>
    </w:p>
    <w:p w:rsidR="00AC12B4" w:rsidRPr="00C27636" w:rsidRDefault="00C27636">
      <w:pPr>
        <w:spacing w:line="218" w:lineRule="auto"/>
        <w:ind w:left="11" w:right="305"/>
        <w:jc w:val="both"/>
        <w:rPr>
          <w:sz w:val="20"/>
          <w:szCs w:val="20"/>
          <w:lang w:val="fr-BE"/>
        </w:rPr>
      </w:pPr>
      <w:r w:rsidRPr="00C27636">
        <w:rPr>
          <w:rFonts w:ascii="Calibri" w:eastAsia="Calibri" w:hAnsi="Calibri" w:cs="Calibri"/>
          <w:lang w:val="fr-BE"/>
        </w:rPr>
        <w:t xml:space="preserve">L’évolution de la situation </w:t>
      </w:r>
      <w:r w:rsidRPr="00C27636">
        <w:rPr>
          <w:rFonts w:ascii="Calibri" w:eastAsia="Calibri" w:hAnsi="Calibri" w:cs="Calibri"/>
          <w:lang w:val="fr-BE"/>
        </w:rPr>
        <w:t>est plutôt encourageante.</w:t>
      </w:r>
    </w:p>
    <w:p w:rsidR="00AC12B4" w:rsidRPr="00C27636" w:rsidRDefault="00AC12B4">
      <w:pPr>
        <w:spacing w:line="121" w:lineRule="exact"/>
        <w:rPr>
          <w:rFonts w:ascii="Calibri" w:eastAsia="Calibri" w:hAnsi="Calibri" w:cs="Calibri"/>
          <w:i/>
          <w:iCs/>
          <w:color w:val="FFFFFF"/>
          <w:sz w:val="18"/>
          <w:szCs w:val="18"/>
          <w:lang w:val="fr-BE"/>
        </w:rPr>
      </w:pPr>
    </w:p>
    <w:p w:rsidR="00AC12B4" w:rsidRPr="00C27636" w:rsidRDefault="00C27636">
      <w:pPr>
        <w:tabs>
          <w:tab w:val="left" w:pos="1010"/>
          <w:tab w:val="left" w:pos="1470"/>
          <w:tab w:val="left" w:pos="2190"/>
          <w:tab w:val="left" w:pos="2850"/>
        </w:tabs>
        <w:ind w:left="11"/>
        <w:rPr>
          <w:sz w:val="20"/>
          <w:szCs w:val="20"/>
          <w:lang w:val="fr-BE"/>
        </w:rPr>
      </w:pPr>
      <w:r w:rsidRPr="00C27636">
        <w:rPr>
          <w:rFonts w:ascii="Calibri" w:eastAsia="Calibri" w:hAnsi="Calibri" w:cs="Calibri"/>
          <w:lang w:val="fr-BE"/>
        </w:rPr>
        <w:t>L’accueil</w:t>
      </w:r>
      <w:r w:rsidRPr="00C27636">
        <w:rPr>
          <w:rFonts w:ascii="Calibri" w:eastAsia="Calibri" w:hAnsi="Calibri" w:cs="Calibri"/>
          <w:lang w:val="fr-BE"/>
        </w:rPr>
        <w:tab/>
        <w:t>en</w:t>
      </w:r>
      <w:r w:rsidRPr="00C27636">
        <w:rPr>
          <w:rFonts w:ascii="Calibri" w:eastAsia="Calibri" w:hAnsi="Calibri" w:cs="Calibri"/>
          <w:lang w:val="fr-BE"/>
        </w:rPr>
        <w:tab/>
        <w:t>hôtel</w:t>
      </w:r>
      <w:r w:rsidRPr="00C27636">
        <w:rPr>
          <w:rFonts w:ascii="Calibri" w:eastAsia="Calibri" w:hAnsi="Calibri" w:cs="Calibri"/>
          <w:lang w:val="fr-BE"/>
        </w:rPr>
        <w:tab/>
        <w:t>pour</w:t>
      </w:r>
      <w:r w:rsidRPr="00C27636">
        <w:rPr>
          <w:sz w:val="20"/>
          <w:szCs w:val="20"/>
          <w:lang w:val="fr-BE"/>
        </w:rPr>
        <w:tab/>
      </w:r>
      <w:r w:rsidRPr="00C27636">
        <w:rPr>
          <w:rFonts w:ascii="Calibri" w:eastAsia="Calibri" w:hAnsi="Calibri" w:cs="Calibri"/>
          <w:sz w:val="21"/>
          <w:szCs w:val="21"/>
          <w:lang w:val="fr-BE"/>
        </w:rPr>
        <w:t>les</w:t>
      </w:r>
    </w:p>
    <w:p w:rsidR="00AC12B4" w:rsidRPr="00C27636" w:rsidRDefault="00AC12B4">
      <w:pPr>
        <w:spacing w:line="47" w:lineRule="exact"/>
        <w:rPr>
          <w:rFonts w:ascii="Calibri" w:eastAsia="Calibri" w:hAnsi="Calibri" w:cs="Calibri"/>
          <w:i/>
          <w:iCs/>
          <w:color w:val="FFFFFF"/>
          <w:sz w:val="18"/>
          <w:szCs w:val="18"/>
          <w:lang w:val="fr-BE"/>
        </w:rPr>
      </w:pPr>
    </w:p>
    <w:p w:rsidR="00AC12B4" w:rsidRPr="00C27636" w:rsidRDefault="00C27636">
      <w:pPr>
        <w:spacing w:line="235" w:lineRule="auto"/>
        <w:ind w:left="11" w:right="285"/>
        <w:jc w:val="both"/>
        <w:rPr>
          <w:sz w:val="20"/>
          <w:szCs w:val="20"/>
          <w:lang w:val="fr-BE"/>
        </w:rPr>
      </w:pPr>
      <w:r w:rsidRPr="00C27636">
        <w:rPr>
          <w:rFonts w:ascii="Calibri" w:eastAsia="Calibri" w:hAnsi="Calibri" w:cs="Calibri"/>
          <w:lang w:val="fr-BE"/>
        </w:rPr>
        <w:t xml:space="preserve">demandeurs d’asile (potentiellement accompagnés d’enfants) et pour les MENA n’est plus pratiqué depuis 2012 (mi-2011 pour les demandeurs d’asile). De même, il n’y avait entre 2011 et fin 2014 plus de </w:t>
      </w:r>
      <w:r w:rsidRPr="00C27636">
        <w:rPr>
          <w:rFonts w:ascii="Calibri" w:eastAsia="Calibri" w:hAnsi="Calibri" w:cs="Calibri"/>
          <w:lang w:val="fr-BE"/>
        </w:rPr>
        <w:t>MENA en centres pour adultes Fedasil. La crise d’asile actuelle mène toutefois à une réapparition</w:t>
      </w:r>
    </w:p>
    <w:p w:rsidR="00AC12B4" w:rsidRPr="00C27636" w:rsidRDefault="00AC12B4">
      <w:pPr>
        <w:spacing w:line="56" w:lineRule="exact"/>
        <w:rPr>
          <w:rFonts w:ascii="Calibri" w:eastAsia="Calibri" w:hAnsi="Calibri" w:cs="Calibri"/>
          <w:i/>
          <w:iCs/>
          <w:color w:val="FFFFFF"/>
          <w:sz w:val="18"/>
          <w:szCs w:val="18"/>
          <w:lang w:val="fr-BE"/>
        </w:rPr>
      </w:pPr>
    </w:p>
    <w:p w:rsidR="00AC12B4" w:rsidRPr="00C27636" w:rsidRDefault="00C27636">
      <w:pPr>
        <w:spacing w:line="218" w:lineRule="auto"/>
        <w:ind w:right="305"/>
        <w:rPr>
          <w:sz w:val="20"/>
          <w:szCs w:val="20"/>
          <w:lang w:val="fr-BE"/>
        </w:rPr>
      </w:pPr>
      <w:r w:rsidRPr="00C27636">
        <w:rPr>
          <w:rFonts w:ascii="Calibri" w:eastAsia="Calibri" w:hAnsi="Calibri" w:cs="Calibri"/>
          <w:lang w:val="fr-BE"/>
        </w:rPr>
        <w:t>de ce problème. Cette mesure reste dès lors très pertinente.</w:t>
      </w:r>
    </w:p>
    <w:p w:rsidR="00AC12B4" w:rsidRPr="00C27636" w:rsidRDefault="00AC12B4">
      <w:pPr>
        <w:spacing w:line="170" w:lineRule="exact"/>
        <w:rPr>
          <w:rFonts w:ascii="Calibri" w:eastAsia="Calibri" w:hAnsi="Calibri" w:cs="Calibri"/>
          <w:i/>
          <w:iCs/>
          <w:color w:val="FFFFFF"/>
          <w:sz w:val="18"/>
          <w:szCs w:val="18"/>
          <w:lang w:val="fr-BE"/>
        </w:rPr>
      </w:pPr>
    </w:p>
    <w:p w:rsidR="00AC12B4" w:rsidRPr="00C27636" w:rsidRDefault="00C27636">
      <w:pPr>
        <w:spacing w:line="225" w:lineRule="auto"/>
        <w:ind w:right="305"/>
        <w:jc w:val="right"/>
        <w:rPr>
          <w:sz w:val="20"/>
          <w:szCs w:val="20"/>
          <w:lang w:val="fr-BE"/>
        </w:rPr>
      </w:pPr>
      <w:r w:rsidRPr="00C27636">
        <w:rPr>
          <w:rFonts w:ascii="Calibri" w:eastAsia="Calibri" w:hAnsi="Calibri" w:cs="Calibri"/>
          <w:lang w:val="fr-BE"/>
        </w:rPr>
        <w:t>En attente de la détermination de l’âge, entre 2010 et 2014, sur base annuelle, un peu moins de</w:t>
      </w:r>
      <w:r w:rsidRPr="00C27636">
        <w:rPr>
          <w:rFonts w:ascii="Calibri" w:eastAsia="Calibri" w:hAnsi="Calibri" w:cs="Calibri"/>
          <w:lang w:val="fr-BE"/>
        </w:rPr>
        <w:t xml:space="preserve"> 10 jeunes dont la</w:t>
      </w:r>
    </w:p>
    <w:p w:rsidR="00AC12B4" w:rsidRPr="00C27636" w:rsidRDefault="00AC12B4">
      <w:pPr>
        <w:spacing w:line="51" w:lineRule="exact"/>
        <w:rPr>
          <w:rFonts w:ascii="Calibri" w:eastAsia="Calibri" w:hAnsi="Calibri" w:cs="Calibri"/>
          <w:i/>
          <w:iCs/>
          <w:color w:val="FFFFFF"/>
          <w:sz w:val="18"/>
          <w:szCs w:val="18"/>
          <w:lang w:val="fr-BE"/>
        </w:rPr>
      </w:pPr>
    </w:p>
    <w:p w:rsidR="00AC12B4" w:rsidRPr="00C27636" w:rsidRDefault="00C27636">
      <w:pPr>
        <w:spacing w:line="229" w:lineRule="auto"/>
        <w:ind w:left="860" w:right="305"/>
        <w:jc w:val="both"/>
        <w:rPr>
          <w:sz w:val="20"/>
          <w:szCs w:val="20"/>
          <w:lang w:val="fr-BE"/>
        </w:rPr>
      </w:pPr>
      <w:r w:rsidRPr="00C27636">
        <w:rPr>
          <w:rFonts w:ascii="Calibri" w:eastAsia="Calibri" w:hAnsi="Calibri" w:cs="Calibri"/>
          <w:lang w:val="fr-BE"/>
        </w:rPr>
        <w:t>minorité est par la suite acceptée, sont placés pendant quelques jours dans un centre fermé.</w:t>
      </w:r>
    </w:p>
    <w:p w:rsidR="00AC12B4" w:rsidRPr="00C27636" w:rsidRDefault="00AC12B4">
      <w:pPr>
        <w:spacing w:line="168" w:lineRule="exact"/>
        <w:rPr>
          <w:rFonts w:ascii="Calibri" w:eastAsia="Calibri" w:hAnsi="Calibri" w:cs="Calibri"/>
          <w:i/>
          <w:iCs/>
          <w:color w:val="FFFFFF"/>
          <w:sz w:val="18"/>
          <w:szCs w:val="18"/>
          <w:lang w:val="fr-BE"/>
        </w:rPr>
      </w:pPr>
    </w:p>
    <w:p w:rsidR="00AC12B4" w:rsidRPr="00C27636" w:rsidRDefault="00C27636">
      <w:pPr>
        <w:ind w:left="15" w:right="285"/>
        <w:jc w:val="both"/>
        <w:rPr>
          <w:sz w:val="20"/>
          <w:szCs w:val="20"/>
          <w:lang w:val="fr-BE"/>
        </w:rPr>
      </w:pPr>
      <w:r w:rsidRPr="00C27636">
        <w:rPr>
          <w:rFonts w:ascii="Calibri" w:eastAsia="Calibri" w:hAnsi="Calibri" w:cs="Calibri"/>
          <w:lang w:val="fr-BE"/>
        </w:rPr>
        <w:t>Chaque année, plus de 60 familles sans papiers sont placées pendant au moins un jour dans un centre fermé au moment de leur arrivée en Belgiqu</w:t>
      </w:r>
      <w:r w:rsidRPr="00C27636">
        <w:rPr>
          <w:rFonts w:ascii="Calibri" w:eastAsia="Calibri" w:hAnsi="Calibri" w:cs="Calibri"/>
          <w:lang w:val="fr-BE"/>
        </w:rPr>
        <w:t>e ou en attente de leur retour.</w:t>
      </w:r>
    </w:p>
    <w:p w:rsidR="00AC12B4" w:rsidRPr="00C27636" w:rsidRDefault="00C27636">
      <w:pPr>
        <w:spacing w:line="20" w:lineRule="exact"/>
        <w:rPr>
          <w:rFonts w:ascii="Calibri" w:eastAsia="Calibri" w:hAnsi="Calibri" w:cs="Calibri"/>
          <w:i/>
          <w:iCs/>
          <w:color w:val="FFFFFF"/>
          <w:sz w:val="18"/>
          <w:szCs w:val="18"/>
          <w:lang w:val="fr-BE"/>
        </w:rPr>
      </w:pPr>
      <w:r w:rsidRPr="00C27636">
        <w:rPr>
          <w:rFonts w:ascii="Calibri" w:eastAsia="Calibri" w:hAnsi="Calibri" w:cs="Calibri"/>
          <w:i/>
          <w:iCs/>
          <w:color w:val="FFFFFF"/>
          <w:sz w:val="18"/>
          <w:szCs w:val="18"/>
          <w:lang w:val="fr-BE"/>
        </w:rPr>
        <w:br w:type="column"/>
      </w: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00" w:lineRule="exact"/>
        <w:rPr>
          <w:rFonts w:ascii="Calibri" w:eastAsia="Calibri" w:hAnsi="Calibri" w:cs="Calibri"/>
          <w:i/>
          <w:iCs/>
          <w:color w:val="FFFFFF"/>
          <w:sz w:val="18"/>
          <w:szCs w:val="18"/>
          <w:lang w:val="fr-BE"/>
        </w:rPr>
      </w:pPr>
    </w:p>
    <w:p w:rsidR="00AC12B4" w:rsidRPr="00C27636" w:rsidRDefault="00AC12B4">
      <w:pPr>
        <w:spacing w:line="293" w:lineRule="exact"/>
        <w:rPr>
          <w:rFonts w:ascii="Calibri" w:eastAsia="Calibri" w:hAnsi="Calibri" w:cs="Calibri"/>
          <w:i/>
          <w:iCs/>
          <w:color w:val="FFFFFF"/>
          <w:sz w:val="18"/>
          <w:szCs w:val="18"/>
          <w:lang w:val="fr-BE"/>
        </w:rPr>
      </w:pPr>
    </w:p>
    <w:tbl>
      <w:tblPr>
        <w:tblW w:w="0" w:type="auto"/>
        <w:tblLayout w:type="fixed"/>
        <w:tblCellMar>
          <w:left w:w="0" w:type="dxa"/>
          <w:right w:w="0" w:type="dxa"/>
        </w:tblCellMar>
        <w:tblLook w:val="04A0" w:firstRow="1" w:lastRow="0" w:firstColumn="1" w:lastColumn="0" w:noHBand="0" w:noVBand="1"/>
      </w:tblPr>
      <w:tblGrid>
        <w:gridCol w:w="61"/>
      </w:tblGrid>
      <w:tr w:rsidR="00AC12B4" w:rsidRPr="00C27636">
        <w:trPr>
          <w:trHeight w:val="3740"/>
        </w:trPr>
        <w:tc>
          <w:tcPr>
            <w:tcW w:w="61"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1"/>
                <w:szCs w:val="1"/>
                <w:lang w:val="fr-BE"/>
              </w:rPr>
              <w:t>Les droits des mineurs étrangers</w:t>
            </w:r>
          </w:p>
        </w:tc>
      </w:tr>
    </w:tbl>
    <w:p w:rsidR="00AC12B4" w:rsidRPr="00C27636" w:rsidRDefault="00AC12B4">
      <w:pPr>
        <w:rPr>
          <w:lang w:val="fr-BE"/>
        </w:rPr>
        <w:sectPr w:rsidR="00AC12B4" w:rsidRPr="00C27636">
          <w:type w:val="continuous"/>
          <w:pgSz w:w="12080" w:h="17179"/>
          <w:pgMar w:top="1440" w:right="530" w:bottom="955" w:left="1440" w:header="0" w:footer="0" w:gutter="0"/>
          <w:cols w:num="3" w:space="720" w:equalWidth="0">
            <w:col w:w="4440" w:space="720"/>
            <w:col w:w="4165" w:space="720"/>
            <w:col w:w="61"/>
          </w:cols>
        </w:sectPr>
      </w:pPr>
    </w:p>
    <w:bookmarkStart w:id="193" w:name="page194"/>
    <w:bookmarkEnd w:id="193"/>
    <w:p w:rsidR="00AC12B4" w:rsidRPr="00C27636" w:rsidRDefault="00C27636">
      <w:pPr>
        <w:spacing w:line="200" w:lineRule="exact"/>
        <w:rPr>
          <w:sz w:val="20"/>
          <w:szCs w:val="20"/>
          <w:lang w:val="fr-BE"/>
        </w:rPr>
      </w:pPr>
      <w:r>
        <w:rPr>
          <w:noProof/>
          <w:sz w:val="20"/>
          <w:szCs w:val="20"/>
        </w:rPr>
        <w:lastRenderedPageBreak/>
        <mc:AlternateContent>
          <mc:Choice Requires="wps">
            <w:drawing>
              <wp:anchor distT="0" distB="0" distL="114300" distR="114300" simplePos="0" relativeHeight="251917824" behindDoc="1" locked="0" layoutInCell="0" allowOverlap="1">
                <wp:simplePos x="0" y="0"/>
                <wp:positionH relativeFrom="page">
                  <wp:posOffset>0</wp:posOffset>
                </wp:positionH>
                <wp:positionV relativeFrom="page">
                  <wp:posOffset>8890</wp:posOffset>
                </wp:positionV>
                <wp:extent cx="742950" cy="10896600"/>
                <wp:effectExtent l="0" t="0" r="0" b="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2950" cy="10896600"/>
                        </a:xfrm>
                        <a:prstGeom prst="rect">
                          <a:avLst/>
                        </a:prstGeom>
                        <a:solidFill>
                          <a:srgbClr val="159DCF"/>
                        </a:solidFill>
                      </wps:spPr>
                      <wps:bodyPr/>
                    </wps:wsp>
                  </a:graphicData>
                </a:graphic>
              </wp:anchor>
            </w:drawing>
          </mc:Choice>
          <mc:Fallback>
            <w:pict>
              <v:rect id="Shape 588" o:spid="_x0000_s1613" style="position:absolute;margin-left:0pt;margin-top:0.7pt;width:58.5pt;height:85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48"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lastRenderedPageBreak/>
              <w:t>Les droits des mineurs étrangers</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 w:lineRule="exact"/>
        <w:rPr>
          <w:sz w:val="1"/>
          <w:szCs w:val="1"/>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120"/>
        <w:gridCol w:w="1880"/>
        <w:gridCol w:w="120"/>
        <w:gridCol w:w="100"/>
        <w:gridCol w:w="1020"/>
        <w:gridCol w:w="120"/>
        <w:gridCol w:w="100"/>
        <w:gridCol w:w="1160"/>
        <w:gridCol w:w="120"/>
        <w:gridCol w:w="80"/>
        <w:gridCol w:w="1160"/>
        <w:gridCol w:w="120"/>
        <w:gridCol w:w="80"/>
        <w:gridCol w:w="1160"/>
        <w:gridCol w:w="120"/>
        <w:gridCol w:w="80"/>
        <w:gridCol w:w="1160"/>
        <w:gridCol w:w="120"/>
        <w:gridCol w:w="80"/>
        <w:gridCol w:w="1160"/>
        <w:gridCol w:w="120"/>
        <w:gridCol w:w="30"/>
      </w:tblGrid>
      <w:tr w:rsidR="00AC12B4">
        <w:trPr>
          <w:trHeight w:val="277"/>
        </w:trPr>
        <w:tc>
          <w:tcPr>
            <w:tcW w:w="120" w:type="dxa"/>
            <w:tcBorders>
              <w:top w:val="single" w:sz="8" w:space="0" w:color="1F497D"/>
              <w:left w:val="single" w:sz="8" w:space="0" w:color="1F497D"/>
            </w:tcBorders>
            <w:shd w:val="clear" w:color="auto" w:fill="159DCF"/>
            <w:vAlign w:val="bottom"/>
          </w:tcPr>
          <w:p w:rsidR="00AC12B4" w:rsidRPr="00C27636" w:rsidRDefault="00AC12B4">
            <w:pPr>
              <w:rPr>
                <w:sz w:val="24"/>
                <w:szCs w:val="24"/>
                <w:lang w:val="fr-BE"/>
              </w:rPr>
            </w:pPr>
          </w:p>
        </w:tc>
        <w:tc>
          <w:tcPr>
            <w:tcW w:w="1880" w:type="dxa"/>
            <w:tcBorders>
              <w:top w:val="single" w:sz="8" w:space="0" w:color="1F497D"/>
            </w:tcBorders>
            <w:shd w:val="clear" w:color="auto" w:fill="159DCF"/>
            <w:vAlign w:val="bottom"/>
          </w:tcPr>
          <w:p w:rsidR="00AC12B4" w:rsidRDefault="00C27636">
            <w:pPr>
              <w:jc w:val="center"/>
              <w:rPr>
                <w:sz w:val="20"/>
                <w:szCs w:val="20"/>
              </w:rPr>
            </w:pPr>
            <w:r>
              <w:rPr>
                <w:rFonts w:ascii="Calibri" w:eastAsia="Calibri" w:hAnsi="Calibri" w:cs="Calibri"/>
                <w:b/>
                <w:bCs/>
                <w:w w:val="99"/>
                <w:shd w:val="clear" w:color="auto" w:fill="159DCF"/>
              </w:rPr>
              <w:t xml:space="preserve">Lieu non adapté </w:t>
            </w:r>
            <w:r>
              <w:rPr>
                <w:rFonts w:ascii="Calibri" w:eastAsia="Calibri" w:hAnsi="Calibri" w:cs="Calibri"/>
                <w:b/>
                <w:bCs/>
                <w:w w:val="99"/>
                <w:shd w:val="clear" w:color="auto" w:fill="159DCF"/>
              </w:rPr>
              <w:t>aux</w:t>
            </w:r>
          </w:p>
        </w:tc>
        <w:tc>
          <w:tcPr>
            <w:tcW w:w="120" w:type="dxa"/>
            <w:tcBorders>
              <w:top w:val="single" w:sz="8" w:space="0" w:color="1F497D"/>
              <w:right w:val="single" w:sz="8" w:space="0" w:color="1F497D"/>
            </w:tcBorders>
            <w:shd w:val="clear" w:color="auto" w:fill="159DCF"/>
            <w:vAlign w:val="bottom"/>
          </w:tcPr>
          <w:p w:rsidR="00AC12B4" w:rsidRDefault="00AC12B4">
            <w:pPr>
              <w:rPr>
                <w:sz w:val="24"/>
                <w:szCs w:val="24"/>
              </w:rPr>
            </w:pPr>
          </w:p>
        </w:tc>
        <w:tc>
          <w:tcPr>
            <w:tcW w:w="100" w:type="dxa"/>
            <w:tcBorders>
              <w:top w:val="single" w:sz="8" w:space="0" w:color="1F497D"/>
            </w:tcBorders>
            <w:shd w:val="clear" w:color="auto" w:fill="159DCF"/>
            <w:vAlign w:val="bottom"/>
          </w:tcPr>
          <w:p w:rsidR="00AC12B4" w:rsidRDefault="00AC12B4">
            <w:pPr>
              <w:rPr>
                <w:sz w:val="24"/>
                <w:szCs w:val="24"/>
              </w:rPr>
            </w:pPr>
          </w:p>
        </w:tc>
        <w:tc>
          <w:tcPr>
            <w:tcW w:w="1020" w:type="dxa"/>
            <w:vMerge w:val="restart"/>
            <w:tcBorders>
              <w:top w:val="single" w:sz="8" w:space="0" w:color="1F497D"/>
            </w:tcBorders>
            <w:shd w:val="clear" w:color="auto" w:fill="159DCF"/>
            <w:vAlign w:val="bottom"/>
          </w:tcPr>
          <w:p w:rsidR="00AC12B4" w:rsidRDefault="00C27636">
            <w:pPr>
              <w:jc w:val="center"/>
              <w:rPr>
                <w:sz w:val="20"/>
                <w:szCs w:val="20"/>
              </w:rPr>
            </w:pPr>
            <w:r>
              <w:rPr>
                <w:rFonts w:ascii="Calibri" w:eastAsia="Calibri" w:hAnsi="Calibri" w:cs="Calibri"/>
                <w:b/>
                <w:bCs/>
              </w:rPr>
              <w:t>2010</w:t>
            </w:r>
          </w:p>
        </w:tc>
        <w:tc>
          <w:tcPr>
            <w:tcW w:w="120" w:type="dxa"/>
            <w:tcBorders>
              <w:top w:val="single" w:sz="8" w:space="0" w:color="1F497D"/>
              <w:right w:val="single" w:sz="8" w:space="0" w:color="1F497D"/>
            </w:tcBorders>
            <w:shd w:val="clear" w:color="auto" w:fill="159DCF"/>
            <w:vAlign w:val="bottom"/>
          </w:tcPr>
          <w:p w:rsidR="00AC12B4" w:rsidRDefault="00AC12B4">
            <w:pPr>
              <w:rPr>
                <w:sz w:val="24"/>
                <w:szCs w:val="24"/>
              </w:rPr>
            </w:pPr>
          </w:p>
        </w:tc>
        <w:tc>
          <w:tcPr>
            <w:tcW w:w="100" w:type="dxa"/>
            <w:tcBorders>
              <w:top w:val="single" w:sz="8" w:space="0" w:color="1F497D"/>
            </w:tcBorders>
            <w:shd w:val="clear" w:color="auto" w:fill="159DCF"/>
            <w:vAlign w:val="bottom"/>
          </w:tcPr>
          <w:p w:rsidR="00AC12B4" w:rsidRDefault="00AC12B4">
            <w:pPr>
              <w:rPr>
                <w:sz w:val="24"/>
                <w:szCs w:val="24"/>
              </w:rPr>
            </w:pPr>
          </w:p>
        </w:tc>
        <w:tc>
          <w:tcPr>
            <w:tcW w:w="1160" w:type="dxa"/>
            <w:vMerge w:val="restart"/>
            <w:tcBorders>
              <w:top w:val="single" w:sz="8" w:space="0" w:color="1F497D"/>
            </w:tcBorders>
            <w:shd w:val="clear" w:color="auto" w:fill="159DCF"/>
            <w:vAlign w:val="bottom"/>
          </w:tcPr>
          <w:p w:rsidR="00AC12B4" w:rsidRDefault="00C27636">
            <w:pPr>
              <w:jc w:val="center"/>
              <w:rPr>
                <w:sz w:val="20"/>
                <w:szCs w:val="20"/>
              </w:rPr>
            </w:pPr>
            <w:r>
              <w:rPr>
                <w:rFonts w:ascii="Calibri" w:eastAsia="Calibri" w:hAnsi="Calibri" w:cs="Calibri"/>
                <w:b/>
                <w:bCs/>
                <w:w w:val="98"/>
              </w:rPr>
              <w:t>2011</w:t>
            </w:r>
          </w:p>
        </w:tc>
        <w:tc>
          <w:tcPr>
            <w:tcW w:w="120" w:type="dxa"/>
            <w:tcBorders>
              <w:top w:val="single" w:sz="8" w:space="0" w:color="1F497D"/>
              <w:right w:val="single" w:sz="8" w:space="0" w:color="1F497D"/>
            </w:tcBorders>
            <w:shd w:val="clear" w:color="auto" w:fill="159DCF"/>
            <w:vAlign w:val="bottom"/>
          </w:tcPr>
          <w:p w:rsidR="00AC12B4" w:rsidRDefault="00AC12B4">
            <w:pPr>
              <w:rPr>
                <w:sz w:val="24"/>
                <w:szCs w:val="24"/>
              </w:rPr>
            </w:pPr>
          </w:p>
        </w:tc>
        <w:tc>
          <w:tcPr>
            <w:tcW w:w="80" w:type="dxa"/>
            <w:tcBorders>
              <w:top w:val="single" w:sz="8" w:space="0" w:color="1F497D"/>
            </w:tcBorders>
            <w:shd w:val="clear" w:color="auto" w:fill="159DCF"/>
            <w:vAlign w:val="bottom"/>
          </w:tcPr>
          <w:p w:rsidR="00AC12B4" w:rsidRDefault="00AC12B4">
            <w:pPr>
              <w:rPr>
                <w:sz w:val="24"/>
                <w:szCs w:val="24"/>
              </w:rPr>
            </w:pPr>
          </w:p>
        </w:tc>
        <w:tc>
          <w:tcPr>
            <w:tcW w:w="1160" w:type="dxa"/>
            <w:vMerge w:val="restart"/>
            <w:tcBorders>
              <w:top w:val="single" w:sz="8" w:space="0" w:color="1F497D"/>
            </w:tcBorders>
            <w:shd w:val="clear" w:color="auto" w:fill="159DCF"/>
            <w:vAlign w:val="bottom"/>
          </w:tcPr>
          <w:p w:rsidR="00AC12B4" w:rsidRDefault="00C27636">
            <w:pPr>
              <w:jc w:val="center"/>
              <w:rPr>
                <w:sz w:val="20"/>
                <w:szCs w:val="20"/>
              </w:rPr>
            </w:pPr>
            <w:r>
              <w:rPr>
                <w:rFonts w:ascii="Calibri" w:eastAsia="Calibri" w:hAnsi="Calibri" w:cs="Calibri"/>
                <w:b/>
                <w:bCs/>
                <w:w w:val="98"/>
              </w:rPr>
              <w:t>2012</w:t>
            </w:r>
          </w:p>
        </w:tc>
        <w:tc>
          <w:tcPr>
            <w:tcW w:w="120" w:type="dxa"/>
            <w:tcBorders>
              <w:top w:val="single" w:sz="8" w:space="0" w:color="1F497D"/>
              <w:right w:val="single" w:sz="8" w:space="0" w:color="1F497D"/>
            </w:tcBorders>
            <w:shd w:val="clear" w:color="auto" w:fill="159DCF"/>
            <w:vAlign w:val="bottom"/>
          </w:tcPr>
          <w:p w:rsidR="00AC12B4" w:rsidRDefault="00AC12B4">
            <w:pPr>
              <w:rPr>
                <w:sz w:val="24"/>
                <w:szCs w:val="24"/>
              </w:rPr>
            </w:pPr>
          </w:p>
        </w:tc>
        <w:tc>
          <w:tcPr>
            <w:tcW w:w="80" w:type="dxa"/>
            <w:tcBorders>
              <w:top w:val="single" w:sz="8" w:space="0" w:color="1F497D"/>
            </w:tcBorders>
            <w:shd w:val="clear" w:color="auto" w:fill="159DCF"/>
            <w:vAlign w:val="bottom"/>
          </w:tcPr>
          <w:p w:rsidR="00AC12B4" w:rsidRDefault="00AC12B4">
            <w:pPr>
              <w:rPr>
                <w:sz w:val="24"/>
                <w:szCs w:val="24"/>
              </w:rPr>
            </w:pPr>
          </w:p>
        </w:tc>
        <w:tc>
          <w:tcPr>
            <w:tcW w:w="1160" w:type="dxa"/>
            <w:vMerge w:val="restart"/>
            <w:tcBorders>
              <w:top w:val="single" w:sz="8" w:space="0" w:color="1F497D"/>
            </w:tcBorders>
            <w:shd w:val="clear" w:color="auto" w:fill="159DCF"/>
            <w:vAlign w:val="bottom"/>
          </w:tcPr>
          <w:p w:rsidR="00AC12B4" w:rsidRDefault="00C27636">
            <w:pPr>
              <w:jc w:val="center"/>
              <w:rPr>
                <w:sz w:val="20"/>
                <w:szCs w:val="20"/>
              </w:rPr>
            </w:pPr>
            <w:r>
              <w:rPr>
                <w:rFonts w:ascii="Calibri" w:eastAsia="Calibri" w:hAnsi="Calibri" w:cs="Calibri"/>
                <w:b/>
                <w:bCs/>
                <w:w w:val="98"/>
              </w:rPr>
              <w:t>2013</w:t>
            </w:r>
          </w:p>
        </w:tc>
        <w:tc>
          <w:tcPr>
            <w:tcW w:w="120" w:type="dxa"/>
            <w:tcBorders>
              <w:top w:val="single" w:sz="8" w:space="0" w:color="1F497D"/>
              <w:right w:val="single" w:sz="8" w:space="0" w:color="1F497D"/>
            </w:tcBorders>
            <w:shd w:val="clear" w:color="auto" w:fill="159DCF"/>
            <w:vAlign w:val="bottom"/>
          </w:tcPr>
          <w:p w:rsidR="00AC12B4" w:rsidRDefault="00AC12B4">
            <w:pPr>
              <w:rPr>
                <w:sz w:val="24"/>
                <w:szCs w:val="24"/>
              </w:rPr>
            </w:pPr>
          </w:p>
        </w:tc>
        <w:tc>
          <w:tcPr>
            <w:tcW w:w="80" w:type="dxa"/>
            <w:tcBorders>
              <w:top w:val="single" w:sz="8" w:space="0" w:color="1F497D"/>
            </w:tcBorders>
            <w:shd w:val="clear" w:color="auto" w:fill="159DCF"/>
            <w:vAlign w:val="bottom"/>
          </w:tcPr>
          <w:p w:rsidR="00AC12B4" w:rsidRDefault="00AC12B4">
            <w:pPr>
              <w:rPr>
                <w:sz w:val="24"/>
                <w:szCs w:val="24"/>
              </w:rPr>
            </w:pPr>
          </w:p>
        </w:tc>
        <w:tc>
          <w:tcPr>
            <w:tcW w:w="1160" w:type="dxa"/>
            <w:vMerge w:val="restart"/>
            <w:tcBorders>
              <w:top w:val="single" w:sz="8" w:space="0" w:color="1F497D"/>
            </w:tcBorders>
            <w:shd w:val="clear" w:color="auto" w:fill="159DCF"/>
            <w:vAlign w:val="bottom"/>
          </w:tcPr>
          <w:p w:rsidR="00AC12B4" w:rsidRDefault="00C27636">
            <w:pPr>
              <w:jc w:val="center"/>
              <w:rPr>
                <w:sz w:val="20"/>
                <w:szCs w:val="20"/>
              </w:rPr>
            </w:pPr>
            <w:r>
              <w:rPr>
                <w:rFonts w:ascii="Calibri" w:eastAsia="Calibri" w:hAnsi="Calibri" w:cs="Calibri"/>
                <w:b/>
                <w:bCs/>
                <w:w w:val="98"/>
              </w:rPr>
              <w:t>2014</w:t>
            </w:r>
          </w:p>
        </w:tc>
        <w:tc>
          <w:tcPr>
            <w:tcW w:w="120" w:type="dxa"/>
            <w:tcBorders>
              <w:top w:val="single" w:sz="8" w:space="0" w:color="1F497D"/>
              <w:right w:val="single" w:sz="8" w:space="0" w:color="1F497D"/>
            </w:tcBorders>
            <w:shd w:val="clear" w:color="auto" w:fill="159DCF"/>
            <w:vAlign w:val="bottom"/>
          </w:tcPr>
          <w:p w:rsidR="00AC12B4" w:rsidRDefault="00AC12B4">
            <w:pPr>
              <w:rPr>
                <w:sz w:val="24"/>
                <w:szCs w:val="24"/>
              </w:rPr>
            </w:pPr>
          </w:p>
        </w:tc>
        <w:tc>
          <w:tcPr>
            <w:tcW w:w="80" w:type="dxa"/>
            <w:tcBorders>
              <w:top w:val="single" w:sz="8" w:space="0" w:color="1F497D"/>
            </w:tcBorders>
            <w:shd w:val="clear" w:color="auto" w:fill="159DCF"/>
            <w:vAlign w:val="bottom"/>
          </w:tcPr>
          <w:p w:rsidR="00AC12B4" w:rsidRDefault="00AC12B4">
            <w:pPr>
              <w:rPr>
                <w:sz w:val="24"/>
                <w:szCs w:val="24"/>
              </w:rPr>
            </w:pPr>
          </w:p>
        </w:tc>
        <w:tc>
          <w:tcPr>
            <w:tcW w:w="1160" w:type="dxa"/>
            <w:vMerge w:val="restart"/>
            <w:tcBorders>
              <w:top w:val="single" w:sz="8" w:space="0" w:color="1F497D"/>
            </w:tcBorders>
            <w:shd w:val="clear" w:color="auto" w:fill="159DCF"/>
            <w:vAlign w:val="bottom"/>
          </w:tcPr>
          <w:p w:rsidR="00AC12B4" w:rsidRDefault="00C27636">
            <w:pPr>
              <w:jc w:val="center"/>
              <w:rPr>
                <w:sz w:val="20"/>
                <w:szCs w:val="20"/>
              </w:rPr>
            </w:pPr>
            <w:r>
              <w:rPr>
                <w:rFonts w:ascii="Calibri" w:eastAsia="Calibri" w:hAnsi="Calibri" w:cs="Calibri"/>
                <w:b/>
                <w:bCs/>
                <w:w w:val="98"/>
              </w:rPr>
              <w:t>2015</w:t>
            </w:r>
          </w:p>
        </w:tc>
        <w:tc>
          <w:tcPr>
            <w:tcW w:w="120" w:type="dxa"/>
            <w:tcBorders>
              <w:top w:val="single" w:sz="8" w:space="0" w:color="1F497D"/>
              <w:right w:val="single" w:sz="8" w:space="0" w:color="1F497D"/>
            </w:tcBorders>
            <w:shd w:val="clear" w:color="auto" w:fill="159DCF"/>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134"/>
        </w:trPr>
        <w:tc>
          <w:tcPr>
            <w:tcW w:w="120" w:type="dxa"/>
            <w:tcBorders>
              <w:left w:val="single" w:sz="8" w:space="0" w:color="1F497D"/>
            </w:tcBorders>
            <w:shd w:val="clear" w:color="auto" w:fill="159DCF"/>
            <w:vAlign w:val="bottom"/>
          </w:tcPr>
          <w:p w:rsidR="00AC12B4" w:rsidRDefault="00AC12B4">
            <w:pPr>
              <w:rPr>
                <w:sz w:val="11"/>
                <w:szCs w:val="11"/>
              </w:rPr>
            </w:pPr>
          </w:p>
        </w:tc>
        <w:tc>
          <w:tcPr>
            <w:tcW w:w="1880" w:type="dxa"/>
            <w:vMerge w:val="restart"/>
            <w:shd w:val="clear" w:color="auto" w:fill="159DCF"/>
            <w:vAlign w:val="bottom"/>
          </w:tcPr>
          <w:p w:rsidR="00AC12B4" w:rsidRDefault="00C27636">
            <w:pPr>
              <w:spacing w:line="260" w:lineRule="exact"/>
              <w:jc w:val="center"/>
              <w:rPr>
                <w:sz w:val="20"/>
                <w:szCs w:val="20"/>
              </w:rPr>
            </w:pPr>
            <w:r>
              <w:rPr>
                <w:rFonts w:ascii="Calibri" w:eastAsia="Calibri" w:hAnsi="Calibri" w:cs="Calibri"/>
                <w:b/>
                <w:bCs/>
                <w:w w:val="98"/>
              </w:rPr>
              <w:t>enfants</w:t>
            </w:r>
          </w:p>
        </w:tc>
        <w:tc>
          <w:tcPr>
            <w:tcW w:w="120" w:type="dxa"/>
            <w:tcBorders>
              <w:right w:val="single" w:sz="8" w:space="0" w:color="1F497D"/>
            </w:tcBorders>
            <w:shd w:val="clear" w:color="auto" w:fill="159DCF"/>
            <w:vAlign w:val="bottom"/>
          </w:tcPr>
          <w:p w:rsidR="00AC12B4" w:rsidRDefault="00AC12B4">
            <w:pPr>
              <w:rPr>
                <w:sz w:val="11"/>
                <w:szCs w:val="11"/>
              </w:rPr>
            </w:pPr>
          </w:p>
        </w:tc>
        <w:tc>
          <w:tcPr>
            <w:tcW w:w="100" w:type="dxa"/>
            <w:shd w:val="clear" w:color="auto" w:fill="159DCF"/>
            <w:vAlign w:val="bottom"/>
          </w:tcPr>
          <w:p w:rsidR="00AC12B4" w:rsidRDefault="00AC12B4">
            <w:pPr>
              <w:rPr>
                <w:sz w:val="11"/>
                <w:szCs w:val="11"/>
              </w:rPr>
            </w:pPr>
          </w:p>
        </w:tc>
        <w:tc>
          <w:tcPr>
            <w:tcW w:w="1020" w:type="dxa"/>
            <w:vMerge/>
            <w:shd w:val="clear" w:color="auto" w:fill="159DCF"/>
            <w:vAlign w:val="bottom"/>
          </w:tcPr>
          <w:p w:rsidR="00AC12B4" w:rsidRDefault="00AC12B4">
            <w:pPr>
              <w:rPr>
                <w:sz w:val="11"/>
                <w:szCs w:val="11"/>
              </w:rPr>
            </w:pPr>
          </w:p>
        </w:tc>
        <w:tc>
          <w:tcPr>
            <w:tcW w:w="120" w:type="dxa"/>
            <w:tcBorders>
              <w:right w:val="single" w:sz="8" w:space="0" w:color="1F497D"/>
            </w:tcBorders>
            <w:shd w:val="clear" w:color="auto" w:fill="159DCF"/>
            <w:vAlign w:val="bottom"/>
          </w:tcPr>
          <w:p w:rsidR="00AC12B4" w:rsidRDefault="00AC12B4">
            <w:pPr>
              <w:rPr>
                <w:sz w:val="11"/>
                <w:szCs w:val="11"/>
              </w:rPr>
            </w:pPr>
          </w:p>
        </w:tc>
        <w:tc>
          <w:tcPr>
            <w:tcW w:w="100" w:type="dxa"/>
            <w:shd w:val="clear" w:color="auto" w:fill="159DCF"/>
            <w:vAlign w:val="bottom"/>
          </w:tcPr>
          <w:p w:rsidR="00AC12B4" w:rsidRDefault="00AC12B4">
            <w:pPr>
              <w:rPr>
                <w:sz w:val="11"/>
                <w:szCs w:val="11"/>
              </w:rPr>
            </w:pPr>
          </w:p>
        </w:tc>
        <w:tc>
          <w:tcPr>
            <w:tcW w:w="1160" w:type="dxa"/>
            <w:vMerge/>
            <w:shd w:val="clear" w:color="auto" w:fill="159DCF"/>
            <w:vAlign w:val="bottom"/>
          </w:tcPr>
          <w:p w:rsidR="00AC12B4" w:rsidRDefault="00AC12B4">
            <w:pPr>
              <w:rPr>
                <w:sz w:val="11"/>
                <w:szCs w:val="11"/>
              </w:rPr>
            </w:pPr>
          </w:p>
        </w:tc>
        <w:tc>
          <w:tcPr>
            <w:tcW w:w="120" w:type="dxa"/>
            <w:tcBorders>
              <w:right w:val="single" w:sz="8" w:space="0" w:color="1F497D"/>
            </w:tcBorders>
            <w:shd w:val="clear" w:color="auto" w:fill="159DCF"/>
            <w:vAlign w:val="bottom"/>
          </w:tcPr>
          <w:p w:rsidR="00AC12B4" w:rsidRDefault="00AC12B4">
            <w:pPr>
              <w:rPr>
                <w:sz w:val="11"/>
                <w:szCs w:val="11"/>
              </w:rPr>
            </w:pPr>
          </w:p>
        </w:tc>
        <w:tc>
          <w:tcPr>
            <w:tcW w:w="80" w:type="dxa"/>
            <w:shd w:val="clear" w:color="auto" w:fill="159DCF"/>
            <w:vAlign w:val="bottom"/>
          </w:tcPr>
          <w:p w:rsidR="00AC12B4" w:rsidRDefault="00AC12B4">
            <w:pPr>
              <w:rPr>
                <w:sz w:val="11"/>
                <w:szCs w:val="11"/>
              </w:rPr>
            </w:pPr>
          </w:p>
        </w:tc>
        <w:tc>
          <w:tcPr>
            <w:tcW w:w="1160" w:type="dxa"/>
            <w:vMerge/>
            <w:shd w:val="clear" w:color="auto" w:fill="159DCF"/>
            <w:vAlign w:val="bottom"/>
          </w:tcPr>
          <w:p w:rsidR="00AC12B4" w:rsidRDefault="00AC12B4">
            <w:pPr>
              <w:rPr>
                <w:sz w:val="11"/>
                <w:szCs w:val="11"/>
              </w:rPr>
            </w:pPr>
          </w:p>
        </w:tc>
        <w:tc>
          <w:tcPr>
            <w:tcW w:w="120" w:type="dxa"/>
            <w:tcBorders>
              <w:right w:val="single" w:sz="8" w:space="0" w:color="1F497D"/>
            </w:tcBorders>
            <w:shd w:val="clear" w:color="auto" w:fill="159DCF"/>
            <w:vAlign w:val="bottom"/>
          </w:tcPr>
          <w:p w:rsidR="00AC12B4" w:rsidRDefault="00AC12B4">
            <w:pPr>
              <w:rPr>
                <w:sz w:val="11"/>
                <w:szCs w:val="11"/>
              </w:rPr>
            </w:pPr>
          </w:p>
        </w:tc>
        <w:tc>
          <w:tcPr>
            <w:tcW w:w="80" w:type="dxa"/>
            <w:shd w:val="clear" w:color="auto" w:fill="159DCF"/>
            <w:vAlign w:val="bottom"/>
          </w:tcPr>
          <w:p w:rsidR="00AC12B4" w:rsidRDefault="00AC12B4">
            <w:pPr>
              <w:rPr>
                <w:sz w:val="11"/>
                <w:szCs w:val="11"/>
              </w:rPr>
            </w:pPr>
          </w:p>
        </w:tc>
        <w:tc>
          <w:tcPr>
            <w:tcW w:w="1160" w:type="dxa"/>
            <w:vMerge/>
            <w:shd w:val="clear" w:color="auto" w:fill="159DCF"/>
            <w:vAlign w:val="bottom"/>
          </w:tcPr>
          <w:p w:rsidR="00AC12B4" w:rsidRDefault="00AC12B4">
            <w:pPr>
              <w:rPr>
                <w:sz w:val="11"/>
                <w:szCs w:val="11"/>
              </w:rPr>
            </w:pPr>
          </w:p>
        </w:tc>
        <w:tc>
          <w:tcPr>
            <w:tcW w:w="120" w:type="dxa"/>
            <w:tcBorders>
              <w:right w:val="single" w:sz="8" w:space="0" w:color="1F497D"/>
            </w:tcBorders>
            <w:shd w:val="clear" w:color="auto" w:fill="159DCF"/>
            <w:vAlign w:val="bottom"/>
          </w:tcPr>
          <w:p w:rsidR="00AC12B4" w:rsidRDefault="00AC12B4">
            <w:pPr>
              <w:rPr>
                <w:sz w:val="11"/>
                <w:szCs w:val="11"/>
              </w:rPr>
            </w:pPr>
          </w:p>
        </w:tc>
        <w:tc>
          <w:tcPr>
            <w:tcW w:w="80" w:type="dxa"/>
            <w:shd w:val="clear" w:color="auto" w:fill="159DCF"/>
            <w:vAlign w:val="bottom"/>
          </w:tcPr>
          <w:p w:rsidR="00AC12B4" w:rsidRDefault="00AC12B4">
            <w:pPr>
              <w:rPr>
                <w:sz w:val="11"/>
                <w:szCs w:val="11"/>
              </w:rPr>
            </w:pPr>
          </w:p>
        </w:tc>
        <w:tc>
          <w:tcPr>
            <w:tcW w:w="1160" w:type="dxa"/>
            <w:vMerge/>
            <w:shd w:val="clear" w:color="auto" w:fill="159DCF"/>
            <w:vAlign w:val="bottom"/>
          </w:tcPr>
          <w:p w:rsidR="00AC12B4" w:rsidRDefault="00AC12B4">
            <w:pPr>
              <w:rPr>
                <w:sz w:val="11"/>
                <w:szCs w:val="11"/>
              </w:rPr>
            </w:pPr>
          </w:p>
        </w:tc>
        <w:tc>
          <w:tcPr>
            <w:tcW w:w="120" w:type="dxa"/>
            <w:tcBorders>
              <w:right w:val="single" w:sz="8" w:space="0" w:color="1F497D"/>
            </w:tcBorders>
            <w:shd w:val="clear" w:color="auto" w:fill="159DCF"/>
            <w:vAlign w:val="bottom"/>
          </w:tcPr>
          <w:p w:rsidR="00AC12B4" w:rsidRDefault="00AC12B4">
            <w:pPr>
              <w:rPr>
                <w:sz w:val="11"/>
                <w:szCs w:val="11"/>
              </w:rPr>
            </w:pPr>
          </w:p>
        </w:tc>
        <w:tc>
          <w:tcPr>
            <w:tcW w:w="80" w:type="dxa"/>
            <w:shd w:val="clear" w:color="auto" w:fill="159DCF"/>
            <w:vAlign w:val="bottom"/>
          </w:tcPr>
          <w:p w:rsidR="00AC12B4" w:rsidRDefault="00AC12B4">
            <w:pPr>
              <w:rPr>
                <w:sz w:val="11"/>
                <w:szCs w:val="11"/>
              </w:rPr>
            </w:pPr>
          </w:p>
        </w:tc>
        <w:tc>
          <w:tcPr>
            <w:tcW w:w="1160" w:type="dxa"/>
            <w:vMerge/>
            <w:shd w:val="clear" w:color="auto" w:fill="159DCF"/>
            <w:vAlign w:val="bottom"/>
          </w:tcPr>
          <w:p w:rsidR="00AC12B4" w:rsidRDefault="00AC12B4">
            <w:pPr>
              <w:rPr>
                <w:sz w:val="11"/>
                <w:szCs w:val="11"/>
              </w:rPr>
            </w:pPr>
          </w:p>
        </w:tc>
        <w:tc>
          <w:tcPr>
            <w:tcW w:w="120" w:type="dxa"/>
            <w:tcBorders>
              <w:right w:val="single" w:sz="8" w:space="0" w:color="1F497D"/>
            </w:tcBorders>
            <w:shd w:val="clear" w:color="auto" w:fill="159DCF"/>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126"/>
        </w:trPr>
        <w:tc>
          <w:tcPr>
            <w:tcW w:w="120" w:type="dxa"/>
            <w:tcBorders>
              <w:left w:val="single" w:sz="8" w:space="0" w:color="1F497D"/>
            </w:tcBorders>
            <w:shd w:val="clear" w:color="auto" w:fill="159DCF"/>
            <w:vAlign w:val="bottom"/>
          </w:tcPr>
          <w:p w:rsidR="00AC12B4" w:rsidRDefault="00AC12B4">
            <w:pPr>
              <w:rPr>
                <w:sz w:val="10"/>
                <w:szCs w:val="10"/>
              </w:rPr>
            </w:pPr>
          </w:p>
        </w:tc>
        <w:tc>
          <w:tcPr>
            <w:tcW w:w="1880" w:type="dxa"/>
            <w:vMerge/>
            <w:shd w:val="clear" w:color="auto" w:fill="159DCF"/>
            <w:vAlign w:val="bottom"/>
          </w:tcPr>
          <w:p w:rsidR="00AC12B4" w:rsidRDefault="00AC12B4">
            <w:pPr>
              <w:rPr>
                <w:sz w:val="10"/>
                <w:szCs w:val="10"/>
              </w:rPr>
            </w:pPr>
          </w:p>
        </w:tc>
        <w:tc>
          <w:tcPr>
            <w:tcW w:w="120" w:type="dxa"/>
            <w:tcBorders>
              <w:right w:val="single" w:sz="8" w:space="0" w:color="1F497D"/>
            </w:tcBorders>
            <w:shd w:val="clear" w:color="auto" w:fill="159DCF"/>
            <w:vAlign w:val="bottom"/>
          </w:tcPr>
          <w:p w:rsidR="00AC12B4" w:rsidRDefault="00AC12B4">
            <w:pPr>
              <w:rPr>
                <w:sz w:val="10"/>
                <w:szCs w:val="10"/>
              </w:rPr>
            </w:pPr>
          </w:p>
        </w:tc>
        <w:tc>
          <w:tcPr>
            <w:tcW w:w="100" w:type="dxa"/>
            <w:shd w:val="clear" w:color="auto" w:fill="159DCF"/>
            <w:vAlign w:val="bottom"/>
          </w:tcPr>
          <w:p w:rsidR="00AC12B4" w:rsidRDefault="00AC12B4">
            <w:pPr>
              <w:rPr>
                <w:sz w:val="10"/>
                <w:szCs w:val="10"/>
              </w:rPr>
            </w:pPr>
          </w:p>
        </w:tc>
        <w:tc>
          <w:tcPr>
            <w:tcW w:w="1020" w:type="dxa"/>
            <w:shd w:val="clear" w:color="auto" w:fill="159DCF"/>
            <w:vAlign w:val="bottom"/>
          </w:tcPr>
          <w:p w:rsidR="00AC12B4" w:rsidRDefault="00AC12B4">
            <w:pPr>
              <w:rPr>
                <w:sz w:val="10"/>
                <w:szCs w:val="10"/>
              </w:rPr>
            </w:pPr>
          </w:p>
        </w:tc>
        <w:tc>
          <w:tcPr>
            <w:tcW w:w="120" w:type="dxa"/>
            <w:tcBorders>
              <w:right w:val="single" w:sz="8" w:space="0" w:color="1F497D"/>
            </w:tcBorders>
            <w:shd w:val="clear" w:color="auto" w:fill="159DCF"/>
            <w:vAlign w:val="bottom"/>
          </w:tcPr>
          <w:p w:rsidR="00AC12B4" w:rsidRDefault="00AC12B4">
            <w:pPr>
              <w:rPr>
                <w:sz w:val="10"/>
                <w:szCs w:val="10"/>
              </w:rPr>
            </w:pPr>
          </w:p>
        </w:tc>
        <w:tc>
          <w:tcPr>
            <w:tcW w:w="100" w:type="dxa"/>
            <w:shd w:val="clear" w:color="auto" w:fill="159DCF"/>
            <w:vAlign w:val="bottom"/>
          </w:tcPr>
          <w:p w:rsidR="00AC12B4" w:rsidRDefault="00AC12B4">
            <w:pPr>
              <w:rPr>
                <w:sz w:val="10"/>
                <w:szCs w:val="10"/>
              </w:rPr>
            </w:pPr>
          </w:p>
        </w:tc>
        <w:tc>
          <w:tcPr>
            <w:tcW w:w="1160" w:type="dxa"/>
            <w:shd w:val="clear" w:color="auto" w:fill="159DCF"/>
            <w:vAlign w:val="bottom"/>
          </w:tcPr>
          <w:p w:rsidR="00AC12B4" w:rsidRDefault="00AC12B4">
            <w:pPr>
              <w:rPr>
                <w:sz w:val="10"/>
                <w:szCs w:val="10"/>
              </w:rPr>
            </w:pPr>
          </w:p>
        </w:tc>
        <w:tc>
          <w:tcPr>
            <w:tcW w:w="120" w:type="dxa"/>
            <w:tcBorders>
              <w:right w:val="single" w:sz="8" w:space="0" w:color="1F497D"/>
            </w:tcBorders>
            <w:shd w:val="clear" w:color="auto" w:fill="159DCF"/>
            <w:vAlign w:val="bottom"/>
          </w:tcPr>
          <w:p w:rsidR="00AC12B4" w:rsidRDefault="00AC12B4">
            <w:pPr>
              <w:rPr>
                <w:sz w:val="10"/>
                <w:szCs w:val="10"/>
              </w:rPr>
            </w:pPr>
          </w:p>
        </w:tc>
        <w:tc>
          <w:tcPr>
            <w:tcW w:w="80" w:type="dxa"/>
            <w:shd w:val="clear" w:color="auto" w:fill="159DCF"/>
            <w:vAlign w:val="bottom"/>
          </w:tcPr>
          <w:p w:rsidR="00AC12B4" w:rsidRDefault="00AC12B4">
            <w:pPr>
              <w:rPr>
                <w:sz w:val="10"/>
                <w:szCs w:val="10"/>
              </w:rPr>
            </w:pPr>
          </w:p>
        </w:tc>
        <w:tc>
          <w:tcPr>
            <w:tcW w:w="1160" w:type="dxa"/>
            <w:shd w:val="clear" w:color="auto" w:fill="159DCF"/>
            <w:vAlign w:val="bottom"/>
          </w:tcPr>
          <w:p w:rsidR="00AC12B4" w:rsidRDefault="00AC12B4">
            <w:pPr>
              <w:rPr>
                <w:sz w:val="10"/>
                <w:szCs w:val="10"/>
              </w:rPr>
            </w:pPr>
          </w:p>
        </w:tc>
        <w:tc>
          <w:tcPr>
            <w:tcW w:w="120" w:type="dxa"/>
            <w:tcBorders>
              <w:right w:val="single" w:sz="8" w:space="0" w:color="1F497D"/>
            </w:tcBorders>
            <w:shd w:val="clear" w:color="auto" w:fill="159DCF"/>
            <w:vAlign w:val="bottom"/>
          </w:tcPr>
          <w:p w:rsidR="00AC12B4" w:rsidRDefault="00AC12B4">
            <w:pPr>
              <w:rPr>
                <w:sz w:val="10"/>
                <w:szCs w:val="10"/>
              </w:rPr>
            </w:pPr>
          </w:p>
        </w:tc>
        <w:tc>
          <w:tcPr>
            <w:tcW w:w="80" w:type="dxa"/>
            <w:shd w:val="clear" w:color="auto" w:fill="159DCF"/>
            <w:vAlign w:val="bottom"/>
          </w:tcPr>
          <w:p w:rsidR="00AC12B4" w:rsidRDefault="00AC12B4">
            <w:pPr>
              <w:rPr>
                <w:sz w:val="10"/>
                <w:szCs w:val="10"/>
              </w:rPr>
            </w:pPr>
          </w:p>
        </w:tc>
        <w:tc>
          <w:tcPr>
            <w:tcW w:w="1160" w:type="dxa"/>
            <w:shd w:val="clear" w:color="auto" w:fill="159DCF"/>
            <w:vAlign w:val="bottom"/>
          </w:tcPr>
          <w:p w:rsidR="00AC12B4" w:rsidRDefault="00AC12B4">
            <w:pPr>
              <w:rPr>
                <w:sz w:val="10"/>
                <w:szCs w:val="10"/>
              </w:rPr>
            </w:pPr>
          </w:p>
        </w:tc>
        <w:tc>
          <w:tcPr>
            <w:tcW w:w="120" w:type="dxa"/>
            <w:tcBorders>
              <w:right w:val="single" w:sz="8" w:space="0" w:color="1F497D"/>
            </w:tcBorders>
            <w:shd w:val="clear" w:color="auto" w:fill="159DCF"/>
            <w:vAlign w:val="bottom"/>
          </w:tcPr>
          <w:p w:rsidR="00AC12B4" w:rsidRDefault="00AC12B4">
            <w:pPr>
              <w:rPr>
                <w:sz w:val="10"/>
                <w:szCs w:val="10"/>
              </w:rPr>
            </w:pPr>
          </w:p>
        </w:tc>
        <w:tc>
          <w:tcPr>
            <w:tcW w:w="80" w:type="dxa"/>
            <w:shd w:val="clear" w:color="auto" w:fill="159DCF"/>
            <w:vAlign w:val="bottom"/>
          </w:tcPr>
          <w:p w:rsidR="00AC12B4" w:rsidRDefault="00AC12B4">
            <w:pPr>
              <w:rPr>
                <w:sz w:val="10"/>
                <w:szCs w:val="10"/>
              </w:rPr>
            </w:pPr>
          </w:p>
        </w:tc>
        <w:tc>
          <w:tcPr>
            <w:tcW w:w="1160" w:type="dxa"/>
            <w:shd w:val="clear" w:color="auto" w:fill="159DCF"/>
            <w:vAlign w:val="bottom"/>
          </w:tcPr>
          <w:p w:rsidR="00AC12B4" w:rsidRDefault="00AC12B4">
            <w:pPr>
              <w:rPr>
                <w:sz w:val="10"/>
                <w:szCs w:val="10"/>
              </w:rPr>
            </w:pPr>
          </w:p>
        </w:tc>
        <w:tc>
          <w:tcPr>
            <w:tcW w:w="120" w:type="dxa"/>
            <w:tcBorders>
              <w:right w:val="single" w:sz="8" w:space="0" w:color="1F497D"/>
            </w:tcBorders>
            <w:shd w:val="clear" w:color="auto" w:fill="159DCF"/>
            <w:vAlign w:val="bottom"/>
          </w:tcPr>
          <w:p w:rsidR="00AC12B4" w:rsidRDefault="00AC12B4">
            <w:pPr>
              <w:rPr>
                <w:sz w:val="10"/>
                <w:szCs w:val="10"/>
              </w:rPr>
            </w:pPr>
          </w:p>
        </w:tc>
        <w:tc>
          <w:tcPr>
            <w:tcW w:w="80" w:type="dxa"/>
            <w:shd w:val="clear" w:color="auto" w:fill="159DCF"/>
            <w:vAlign w:val="bottom"/>
          </w:tcPr>
          <w:p w:rsidR="00AC12B4" w:rsidRDefault="00AC12B4">
            <w:pPr>
              <w:rPr>
                <w:sz w:val="10"/>
                <w:szCs w:val="10"/>
              </w:rPr>
            </w:pPr>
          </w:p>
        </w:tc>
        <w:tc>
          <w:tcPr>
            <w:tcW w:w="1160" w:type="dxa"/>
            <w:shd w:val="clear" w:color="auto" w:fill="159DCF"/>
            <w:vAlign w:val="bottom"/>
          </w:tcPr>
          <w:p w:rsidR="00AC12B4" w:rsidRDefault="00AC12B4">
            <w:pPr>
              <w:rPr>
                <w:sz w:val="10"/>
                <w:szCs w:val="10"/>
              </w:rPr>
            </w:pPr>
          </w:p>
        </w:tc>
        <w:tc>
          <w:tcPr>
            <w:tcW w:w="120" w:type="dxa"/>
            <w:tcBorders>
              <w:right w:val="single" w:sz="8" w:space="0" w:color="1F497D"/>
            </w:tcBorders>
            <w:shd w:val="clear" w:color="auto" w:fill="159DCF"/>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134"/>
        </w:trPr>
        <w:tc>
          <w:tcPr>
            <w:tcW w:w="120" w:type="dxa"/>
            <w:tcBorders>
              <w:left w:val="single" w:sz="8" w:space="0" w:color="1F497D"/>
              <w:bottom w:val="single" w:sz="8" w:space="0" w:color="1F497D"/>
            </w:tcBorders>
            <w:shd w:val="clear" w:color="auto" w:fill="159DCF"/>
            <w:vAlign w:val="bottom"/>
          </w:tcPr>
          <w:p w:rsidR="00AC12B4" w:rsidRDefault="00AC12B4">
            <w:pPr>
              <w:rPr>
                <w:sz w:val="11"/>
                <w:szCs w:val="11"/>
              </w:rPr>
            </w:pPr>
          </w:p>
        </w:tc>
        <w:tc>
          <w:tcPr>
            <w:tcW w:w="1880" w:type="dxa"/>
            <w:tcBorders>
              <w:bottom w:val="single" w:sz="8" w:space="0" w:color="1F497D"/>
            </w:tcBorders>
            <w:shd w:val="clear" w:color="auto" w:fill="159DCF"/>
            <w:vAlign w:val="bottom"/>
          </w:tcPr>
          <w:p w:rsidR="00AC12B4" w:rsidRDefault="00AC12B4">
            <w:pPr>
              <w:rPr>
                <w:sz w:val="11"/>
                <w:szCs w:val="11"/>
              </w:rPr>
            </w:pPr>
          </w:p>
        </w:tc>
        <w:tc>
          <w:tcPr>
            <w:tcW w:w="120" w:type="dxa"/>
            <w:tcBorders>
              <w:bottom w:val="single" w:sz="8" w:space="0" w:color="1F497D"/>
              <w:right w:val="single" w:sz="8" w:space="0" w:color="1F497D"/>
            </w:tcBorders>
            <w:shd w:val="clear" w:color="auto" w:fill="159DCF"/>
            <w:vAlign w:val="bottom"/>
          </w:tcPr>
          <w:p w:rsidR="00AC12B4" w:rsidRDefault="00AC12B4">
            <w:pPr>
              <w:rPr>
                <w:sz w:val="11"/>
                <w:szCs w:val="11"/>
              </w:rPr>
            </w:pPr>
          </w:p>
        </w:tc>
        <w:tc>
          <w:tcPr>
            <w:tcW w:w="100" w:type="dxa"/>
            <w:tcBorders>
              <w:bottom w:val="single" w:sz="8" w:space="0" w:color="1F497D"/>
            </w:tcBorders>
            <w:shd w:val="clear" w:color="auto" w:fill="159DCF"/>
            <w:vAlign w:val="bottom"/>
          </w:tcPr>
          <w:p w:rsidR="00AC12B4" w:rsidRDefault="00AC12B4">
            <w:pPr>
              <w:rPr>
                <w:sz w:val="11"/>
                <w:szCs w:val="11"/>
              </w:rPr>
            </w:pPr>
          </w:p>
        </w:tc>
        <w:tc>
          <w:tcPr>
            <w:tcW w:w="1020" w:type="dxa"/>
            <w:tcBorders>
              <w:bottom w:val="single" w:sz="8" w:space="0" w:color="1F497D"/>
            </w:tcBorders>
            <w:shd w:val="clear" w:color="auto" w:fill="159DCF"/>
            <w:vAlign w:val="bottom"/>
          </w:tcPr>
          <w:p w:rsidR="00AC12B4" w:rsidRDefault="00AC12B4">
            <w:pPr>
              <w:rPr>
                <w:sz w:val="11"/>
                <w:szCs w:val="11"/>
              </w:rPr>
            </w:pPr>
          </w:p>
        </w:tc>
        <w:tc>
          <w:tcPr>
            <w:tcW w:w="120" w:type="dxa"/>
            <w:tcBorders>
              <w:bottom w:val="single" w:sz="8" w:space="0" w:color="1F497D"/>
              <w:right w:val="single" w:sz="8" w:space="0" w:color="1F497D"/>
            </w:tcBorders>
            <w:shd w:val="clear" w:color="auto" w:fill="159DCF"/>
            <w:vAlign w:val="bottom"/>
          </w:tcPr>
          <w:p w:rsidR="00AC12B4" w:rsidRDefault="00AC12B4">
            <w:pPr>
              <w:rPr>
                <w:sz w:val="11"/>
                <w:szCs w:val="11"/>
              </w:rPr>
            </w:pPr>
          </w:p>
        </w:tc>
        <w:tc>
          <w:tcPr>
            <w:tcW w:w="100" w:type="dxa"/>
            <w:tcBorders>
              <w:bottom w:val="single" w:sz="8" w:space="0" w:color="1F497D"/>
            </w:tcBorders>
            <w:shd w:val="clear" w:color="auto" w:fill="159DCF"/>
            <w:vAlign w:val="bottom"/>
          </w:tcPr>
          <w:p w:rsidR="00AC12B4" w:rsidRDefault="00AC12B4">
            <w:pPr>
              <w:rPr>
                <w:sz w:val="11"/>
                <w:szCs w:val="11"/>
              </w:rPr>
            </w:pPr>
          </w:p>
        </w:tc>
        <w:tc>
          <w:tcPr>
            <w:tcW w:w="1160" w:type="dxa"/>
            <w:tcBorders>
              <w:bottom w:val="single" w:sz="8" w:space="0" w:color="1F497D"/>
            </w:tcBorders>
            <w:shd w:val="clear" w:color="auto" w:fill="159DCF"/>
            <w:vAlign w:val="bottom"/>
          </w:tcPr>
          <w:p w:rsidR="00AC12B4" w:rsidRDefault="00AC12B4">
            <w:pPr>
              <w:rPr>
                <w:sz w:val="11"/>
                <w:szCs w:val="11"/>
              </w:rPr>
            </w:pPr>
          </w:p>
        </w:tc>
        <w:tc>
          <w:tcPr>
            <w:tcW w:w="120" w:type="dxa"/>
            <w:tcBorders>
              <w:bottom w:val="single" w:sz="8" w:space="0" w:color="1F497D"/>
              <w:right w:val="single" w:sz="8" w:space="0" w:color="1F497D"/>
            </w:tcBorders>
            <w:shd w:val="clear" w:color="auto" w:fill="159DCF"/>
            <w:vAlign w:val="bottom"/>
          </w:tcPr>
          <w:p w:rsidR="00AC12B4" w:rsidRDefault="00AC12B4">
            <w:pPr>
              <w:rPr>
                <w:sz w:val="11"/>
                <w:szCs w:val="11"/>
              </w:rPr>
            </w:pPr>
          </w:p>
        </w:tc>
        <w:tc>
          <w:tcPr>
            <w:tcW w:w="80" w:type="dxa"/>
            <w:tcBorders>
              <w:bottom w:val="single" w:sz="8" w:space="0" w:color="1F497D"/>
            </w:tcBorders>
            <w:shd w:val="clear" w:color="auto" w:fill="159DCF"/>
            <w:vAlign w:val="bottom"/>
          </w:tcPr>
          <w:p w:rsidR="00AC12B4" w:rsidRDefault="00AC12B4">
            <w:pPr>
              <w:rPr>
                <w:sz w:val="11"/>
                <w:szCs w:val="11"/>
              </w:rPr>
            </w:pPr>
          </w:p>
        </w:tc>
        <w:tc>
          <w:tcPr>
            <w:tcW w:w="1160" w:type="dxa"/>
            <w:tcBorders>
              <w:bottom w:val="single" w:sz="8" w:space="0" w:color="1F497D"/>
            </w:tcBorders>
            <w:shd w:val="clear" w:color="auto" w:fill="159DCF"/>
            <w:vAlign w:val="bottom"/>
          </w:tcPr>
          <w:p w:rsidR="00AC12B4" w:rsidRDefault="00AC12B4">
            <w:pPr>
              <w:rPr>
                <w:sz w:val="11"/>
                <w:szCs w:val="11"/>
              </w:rPr>
            </w:pPr>
          </w:p>
        </w:tc>
        <w:tc>
          <w:tcPr>
            <w:tcW w:w="120" w:type="dxa"/>
            <w:tcBorders>
              <w:bottom w:val="single" w:sz="8" w:space="0" w:color="1F497D"/>
              <w:right w:val="single" w:sz="8" w:space="0" w:color="1F497D"/>
            </w:tcBorders>
            <w:shd w:val="clear" w:color="auto" w:fill="159DCF"/>
            <w:vAlign w:val="bottom"/>
          </w:tcPr>
          <w:p w:rsidR="00AC12B4" w:rsidRDefault="00AC12B4">
            <w:pPr>
              <w:rPr>
                <w:sz w:val="11"/>
                <w:szCs w:val="11"/>
              </w:rPr>
            </w:pPr>
          </w:p>
        </w:tc>
        <w:tc>
          <w:tcPr>
            <w:tcW w:w="80" w:type="dxa"/>
            <w:tcBorders>
              <w:bottom w:val="single" w:sz="8" w:space="0" w:color="1F497D"/>
            </w:tcBorders>
            <w:shd w:val="clear" w:color="auto" w:fill="159DCF"/>
            <w:vAlign w:val="bottom"/>
          </w:tcPr>
          <w:p w:rsidR="00AC12B4" w:rsidRDefault="00AC12B4">
            <w:pPr>
              <w:rPr>
                <w:sz w:val="11"/>
                <w:szCs w:val="11"/>
              </w:rPr>
            </w:pPr>
          </w:p>
        </w:tc>
        <w:tc>
          <w:tcPr>
            <w:tcW w:w="1160" w:type="dxa"/>
            <w:tcBorders>
              <w:bottom w:val="single" w:sz="8" w:space="0" w:color="1F497D"/>
            </w:tcBorders>
            <w:shd w:val="clear" w:color="auto" w:fill="159DCF"/>
            <w:vAlign w:val="bottom"/>
          </w:tcPr>
          <w:p w:rsidR="00AC12B4" w:rsidRDefault="00AC12B4">
            <w:pPr>
              <w:rPr>
                <w:sz w:val="11"/>
                <w:szCs w:val="11"/>
              </w:rPr>
            </w:pPr>
          </w:p>
        </w:tc>
        <w:tc>
          <w:tcPr>
            <w:tcW w:w="120" w:type="dxa"/>
            <w:tcBorders>
              <w:bottom w:val="single" w:sz="8" w:space="0" w:color="1F497D"/>
              <w:right w:val="single" w:sz="8" w:space="0" w:color="1F497D"/>
            </w:tcBorders>
            <w:shd w:val="clear" w:color="auto" w:fill="159DCF"/>
            <w:vAlign w:val="bottom"/>
          </w:tcPr>
          <w:p w:rsidR="00AC12B4" w:rsidRDefault="00AC12B4">
            <w:pPr>
              <w:rPr>
                <w:sz w:val="11"/>
                <w:szCs w:val="11"/>
              </w:rPr>
            </w:pPr>
          </w:p>
        </w:tc>
        <w:tc>
          <w:tcPr>
            <w:tcW w:w="80" w:type="dxa"/>
            <w:tcBorders>
              <w:bottom w:val="single" w:sz="8" w:space="0" w:color="1F497D"/>
            </w:tcBorders>
            <w:shd w:val="clear" w:color="auto" w:fill="159DCF"/>
            <w:vAlign w:val="bottom"/>
          </w:tcPr>
          <w:p w:rsidR="00AC12B4" w:rsidRDefault="00AC12B4">
            <w:pPr>
              <w:rPr>
                <w:sz w:val="11"/>
                <w:szCs w:val="11"/>
              </w:rPr>
            </w:pPr>
          </w:p>
        </w:tc>
        <w:tc>
          <w:tcPr>
            <w:tcW w:w="1160" w:type="dxa"/>
            <w:tcBorders>
              <w:bottom w:val="single" w:sz="8" w:space="0" w:color="1F497D"/>
            </w:tcBorders>
            <w:shd w:val="clear" w:color="auto" w:fill="159DCF"/>
            <w:vAlign w:val="bottom"/>
          </w:tcPr>
          <w:p w:rsidR="00AC12B4" w:rsidRDefault="00AC12B4">
            <w:pPr>
              <w:rPr>
                <w:sz w:val="11"/>
                <w:szCs w:val="11"/>
              </w:rPr>
            </w:pPr>
          </w:p>
        </w:tc>
        <w:tc>
          <w:tcPr>
            <w:tcW w:w="120" w:type="dxa"/>
            <w:tcBorders>
              <w:bottom w:val="single" w:sz="8" w:space="0" w:color="1F497D"/>
              <w:right w:val="single" w:sz="8" w:space="0" w:color="1F497D"/>
            </w:tcBorders>
            <w:shd w:val="clear" w:color="auto" w:fill="159DCF"/>
            <w:vAlign w:val="bottom"/>
          </w:tcPr>
          <w:p w:rsidR="00AC12B4" w:rsidRDefault="00AC12B4">
            <w:pPr>
              <w:rPr>
                <w:sz w:val="11"/>
                <w:szCs w:val="11"/>
              </w:rPr>
            </w:pPr>
          </w:p>
        </w:tc>
        <w:tc>
          <w:tcPr>
            <w:tcW w:w="80" w:type="dxa"/>
            <w:tcBorders>
              <w:bottom w:val="single" w:sz="8" w:space="0" w:color="1F497D"/>
            </w:tcBorders>
            <w:shd w:val="clear" w:color="auto" w:fill="159DCF"/>
            <w:vAlign w:val="bottom"/>
          </w:tcPr>
          <w:p w:rsidR="00AC12B4" w:rsidRDefault="00AC12B4">
            <w:pPr>
              <w:rPr>
                <w:sz w:val="11"/>
                <w:szCs w:val="11"/>
              </w:rPr>
            </w:pPr>
          </w:p>
        </w:tc>
        <w:tc>
          <w:tcPr>
            <w:tcW w:w="1160" w:type="dxa"/>
            <w:tcBorders>
              <w:bottom w:val="single" w:sz="8" w:space="0" w:color="1F497D"/>
            </w:tcBorders>
            <w:shd w:val="clear" w:color="auto" w:fill="159DCF"/>
            <w:vAlign w:val="bottom"/>
          </w:tcPr>
          <w:p w:rsidR="00AC12B4" w:rsidRDefault="00AC12B4">
            <w:pPr>
              <w:rPr>
                <w:sz w:val="11"/>
                <w:szCs w:val="11"/>
              </w:rPr>
            </w:pPr>
          </w:p>
        </w:tc>
        <w:tc>
          <w:tcPr>
            <w:tcW w:w="120" w:type="dxa"/>
            <w:tcBorders>
              <w:bottom w:val="single" w:sz="8" w:space="0" w:color="1F497D"/>
              <w:right w:val="single" w:sz="8" w:space="0" w:color="1F497D"/>
            </w:tcBorders>
            <w:shd w:val="clear" w:color="auto" w:fill="159DCF"/>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188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02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Presque 1200</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18"/>
        </w:trPr>
        <w:tc>
          <w:tcPr>
            <w:tcW w:w="120" w:type="dxa"/>
            <w:tcBorders>
              <w:left w:val="single" w:sz="8" w:space="0" w:color="1F497D"/>
            </w:tcBorders>
            <w:vAlign w:val="bottom"/>
          </w:tcPr>
          <w:p w:rsidR="00AC12B4" w:rsidRDefault="00AC12B4">
            <w:pPr>
              <w:rPr>
                <w:sz w:val="18"/>
                <w:szCs w:val="18"/>
              </w:rPr>
            </w:pPr>
          </w:p>
        </w:tc>
        <w:tc>
          <w:tcPr>
            <w:tcW w:w="188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début 2011,</w:t>
            </w: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188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02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9"/>
                <w:sz w:val="18"/>
                <w:szCs w:val="18"/>
              </w:rPr>
              <w:t>mais transfert</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Accueil en hôtel pour</w:t>
            </w:r>
          </w:p>
        </w:tc>
        <w:tc>
          <w:tcPr>
            <w:tcW w:w="100" w:type="dxa"/>
            <w:vAlign w:val="bottom"/>
          </w:tcPr>
          <w:p w:rsidR="00AC12B4" w:rsidRDefault="00AC12B4">
            <w:pPr>
              <w:rPr>
                <w:sz w:val="19"/>
                <w:szCs w:val="19"/>
              </w:rPr>
            </w:pPr>
          </w:p>
        </w:tc>
        <w:tc>
          <w:tcPr>
            <w:tcW w:w="102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9"/>
                <w:sz w:val="18"/>
                <w:szCs w:val="18"/>
              </w:rPr>
              <w:t>systématique</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vers l’accueil</w:t>
            </w: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00"/>
              <w:jc w:val="center"/>
              <w:rPr>
                <w:sz w:val="20"/>
                <w:szCs w:val="20"/>
              </w:rPr>
            </w:pPr>
            <w:r>
              <w:rPr>
                <w:rFonts w:ascii="Calibri" w:eastAsia="Calibri" w:hAnsi="Calibri" w:cs="Calibri"/>
                <w:w w:val="99"/>
                <w:sz w:val="18"/>
                <w:szCs w:val="18"/>
              </w:rPr>
              <w:t>demandeurs d’asile et</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avant fin mars.</w:t>
            </w: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famille en séjour illégal</w:t>
            </w:r>
          </w:p>
        </w:tc>
        <w:tc>
          <w:tcPr>
            <w:tcW w:w="1120" w:type="dxa"/>
            <w:gridSpan w:val="2"/>
            <w:vMerge w:val="restart"/>
            <w:vAlign w:val="bottom"/>
          </w:tcPr>
          <w:p w:rsidR="00AC12B4" w:rsidRDefault="00C27636">
            <w:pPr>
              <w:spacing w:line="218" w:lineRule="exact"/>
              <w:ind w:left="30"/>
              <w:jc w:val="center"/>
              <w:rPr>
                <w:sz w:val="20"/>
                <w:szCs w:val="20"/>
              </w:rPr>
            </w:pPr>
            <w:r>
              <w:rPr>
                <w:rFonts w:ascii="Calibri" w:eastAsia="Calibri" w:hAnsi="Calibri" w:cs="Calibri"/>
                <w:w w:val="98"/>
                <w:sz w:val="18"/>
                <w:szCs w:val="18"/>
              </w:rPr>
              <w:t>1209</w:t>
            </w: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1240" w:type="dxa"/>
            <w:gridSpan w:val="2"/>
            <w:vMerge w:val="restart"/>
            <w:vAlign w:val="bottom"/>
          </w:tcPr>
          <w:p w:rsidR="00AC12B4" w:rsidRDefault="00C27636">
            <w:pPr>
              <w:spacing w:line="218" w:lineRule="exact"/>
              <w:jc w:val="center"/>
              <w:rPr>
                <w:sz w:val="20"/>
                <w:szCs w:val="20"/>
              </w:rPr>
            </w:pPr>
            <w:r>
              <w:rPr>
                <w:rFonts w:ascii="Calibri" w:eastAsia="Calibri" w:hAnsi="Calibri" w:cs="Calibri"/>
                <w:sz w:val="18"/>
                <w:szCs w:val="18"/>
              </w:rPr>
              <w:t>295</w:t>
            </w:r>
          </w:p>
        </w:tc>
        <w:tc>
          <w:tcPr>
            <w:tcW w:w="120" w:type="dxa"/>
            <w:tcBorders>
              <w:right w:val="single" w:sz="8" w:space="0" w:color="1F497D"/>
            </w:tcBorders>
            <w:vAlign w:val="bottom"/>
          </w:tcPr>
          <w:p w:rsidR="00AC12B4" w:rsidRDefault="00AC12B4">
            <w:pPr>
              <w:rPr>
                <w:sz w:val="9"/>
                <w:szCs w:val="9"/>
              </w:rPr>
            </w:pPr>
          </w:p>
        </w:tc>
        <w:tc>
          <w:tcPr>
            <w:tcW w:w="1240" w:type="dxa"/>
            <w:gridSpan w:val="2"/>
            <w:vMerge w:val="restart"/>
            <w:vAlign w:val="bottom"/>
          </w:tcPr>
          <w:p w:rsidR="00AC12B4" w:rsidRDefault="00C27636">
            <w:pPr>
              <w:spacing w:line="218" w:lineRule="exact"/>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9"/>
                <w:szCs w:val="9"/>
              </w:rPr>
            </w:pPr>
          </w:p>
        </w:tc>
        <w:tc>
          <w:tcPr>
            <w:tcW w:w="1240" w:type="dxa"/>
            <w:gridSpan w:val="2"/>
            <w:vMerge w:val="restart"/>
            <w:vAlign w:val="bottom"/>
          </w:tcPr>
          <w:p w:rsidR="00AC12B4" w:rsidRDefault="00C27636">
            <w:pPr>
              <w:spacing w:line="218" w:lineRule="exact"/>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9"/>
                <w:szCs w:val="9"/>
              </w:rPr>
            </w:pPr>
          </w:p>
        </w:tc>
        <w:tc>
          <w:tcPr>
            <w:tcW w:w="1240" w:type="dxa"/>
            <w:gridSpan w:val="2"/>
            <w:vMerge w:val="restart"/>
            <w:vAlign w:val="bottom"/>
          </w:tcPr>
          <w:p w:rsidR="00AC12B4" w:rsidRDefault="00C27636">
            <w:pPr>
              <w:spacing w:line="218" w:lineRule="exact"/>
              <w:ind w:left="80"/>
              <w:rPr>
                <w:sz w:val="20"/>
                <w:szCs w:val="20"/>
              </w:rPr>
            </w:pPr>
            <w:r>
              <w:rPr>
                <w:rFonts w:ascii="Calibri" w:eastAsia="Calibri" w:hAnsi="Calibri" w:cs="Calibri"/>
                <w:sz w:val="18"/>
                <w:szCs w:val="18"/>
              </w:rPr>
              <w:t>0</w:t>
            </w: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12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Depuis cette</w:t>
            </w: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(nombre d’enfants</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9"/>
                <w:sz w:val="18"/>
                <w:szCs w:val="18"/>
              </w:rPr>
              <w:t>date :</w:t>
            </w: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inconnu)</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utilisation</w:t>
            </w: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188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188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02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limitée aux</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18"/>
        </w:trPr>
        <w:tc>
          <w:tcPr>
            <w:tcW w:w="120" w:type="dxa"/>
            <w:tcBorders>
              <w:left w:val="single" w:sz="8" w:space="0" w:color="1F497D"/>
            </w:tcBorders>
            <w:vAlign w:val="bottom"/>
          </w:tcPr>
          <w:p w:rsidR="00AC12B4" w:rsidRDefault="00AC12B4">
            <w:pPr>
              <w:rPr>
                <w:sz w:val="18"/>
                <w:szCs w:val="18"/>
              </w:rPr>
            </w:pPr>
          </w:p>
        </w:tc>
        <w:tc>
          <w:tcPr>
            <w:tcW w:w="188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nouveaux-</w:t>
            </w: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188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02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ind w:right="140"/>
              <w:jc w:val="center"/>
              <w:rPr>
                <w:sz w:val="20"/>
                <w:szCs w:val="20"/>
              </w:rPr>
            </w:pPr>
            <w:r>
              <w:rPr>
                <w:rFonts w:ascii="Calibri" w:eastAsia="Calibri" w:hAnsi="Calibri" w:cs="Calibri"/>
                <w:sz w:val="18"/>
                <w:szCs w:val="18"/>
              </w:rPr>
              <w:t>arrivés</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36"/>
        </w:trPr>
        <w:tc>
          <w:tcPr>
            <w:tcW w:w="120" w:type="dxa"/>
            <w:tcBorders>
              <w:left w:val="single" w:sz="8" w:space="0" w:color="1F497D"/>
              <w:bottom w:val="single" w:sz="8" w:space="0" w:color="1F497D"/>
            </w:tcBorders>
            <w:vAlign w:val="bottom"/>
          </w:tcPr>
          <w:p w:rsidR="00AC12B4" w:rsidRDefault="00AC12B4">
            <w:pPr>
              <w:rPr>
                <w:sz w:val="11"/>
                <w:szCs w:val="11"/>
              </w:rPr>
            </w:pPr>
          </w:p>
        </w:tc>
        <w:tc>
          <w:tcPr>
            <w:tcW w:w="1880" w:type="dxa"/>
            <w:tcBorders>
              <w:bottom w:val="single" w:sz="8" w:space="0" w:color="1F497D"/>
            </w:tcBorders>
            <w:vAlign w:val="bottom"/>
          </w:tcPr>
          <w:p w:rsidR="00AC12B4" w:rsidRDefault="00AC12B4">
            <w:pPr>
              <w:rPr>
                <w:sz w:val="11"/>
                <w:szCs w:val="11"/>
              </w:rPr>
            </w:pPr>
          </w:p>
        </w:tc>
        <w:tc>
          <w:tcPr>
            <w:tcW w:w="120" w:type="dxa"/>
            <w:tcBorders>
              <w:bottom w:val="single" w:sz="8" w:space="0" w:color="1F497D"/>
              <w:right w:val="single" w:sz="8" w:space="0" w:color="1F497D"/>
            </w:tcBorders>
            <w:vAlign w:val="bottom"/>
          </w:tcPr>
          <w:p w:rsidR="00AC12B4" w:rsidRDefault="00AC12B4">
            <w:pPr>
              <w:rPr>
                <w:sz w:val="11"/>
                <w:szCs w:val="11"/>
              </w:rPr>
            </w:pPr>
          </w:p>
        </w:tc>
        <w:tc>
          <w:tcPr>
            <w:tcW w:w="100" w:type="dxa"/>
            <w:tcBorders>
              <w:bottom w:val="single" w:sz="8" w:space="0" w:color="1F497D"/>
            </w:tcBorders>
            <w:vAlign w:val="bottom"/>
          </w:tcPr>
          <w:p w:rsidR="00AC12B4" w:rsidRDefault="00AC12B4">
            <w:pPr>
              <w:rPr>
                <w:sz w:val="11"/>
                <w:szCs w:val="11"/>
              </w:rPr>
            </w:pPr>
          </w:p>
        </w:tc>
        <w:tc>
          <w:tcPr>
            <w:tcW w:w="1020" w:type="dxa"/>
            <w:tcBorders>
              <w:bottom w:val="single" w:sz="8" w:space="0" w:color="1F497D"/>
            </w:tcBorders>
            <w:vAlign w:val="bottom"/>
          </w:tcPr>
          <w:p w:rsidR="00AC12B4" w:rsidRDefault="00AC12B4">
            <w:pPr>
              <w:rPr>
                <w:sz w:val="11"/>
                <w:szCs w:val="11"/>
              </w:rPr>
            </w:pPr>
          </w:p>
        </w:tc>
        <w:tc>
          <w:tcPr>
            <w:tcW w:w="120" w:type="dxa"/>
            <w:tcBorders>
              <w:bottom w:val="single" w:sz="8" w:space="0" w:color="1F497D"/>
              <w:right w:val="single" w:sz="8" w:space="0" w:color="1F497D"/>
            </w:tcBorders>
            <w:vAlign w:val="bottom"/>
          </w:tcPr>
          <w:p w:rsidR="00AC12B4" w:rsidRDefault="00AC12B4">
            <w:pPr>
              <w:rPr>
                <w:sz w:val="11"/>
                <w:szCs w:val="11"/>
              </w:rPr>
            </w:pPr>
          </w:p>
        </w:tc>
        <w:tc>
          <w:tcPr>
            <w:tcW w:w="100" w:type="dxa"/>
            <w:tcBorders>
              <w:bottom w:val="single" w:sz="8" w:space="0" w:color="1F497D"/>
            </w:tcBorders>
            <w:vAlign w:val="bottom"/>
          </w:tcPr>
          <w:p w:rsidR="00AC12B4" w:rsidRDefault="00AC12B4">
            <w:pPr>
              <w:rPr>
                <w:sz w:val="11"/>
                <w:szCs w:val="11"/>
              </w:rPr>
            </w:pPr>
          </w:p>
        </w:tc>
        <w:tc>
          <w:tcPr>
            <w:tcW w:w="1280" w:type="dxa"/>
            <w:gridSpan w:val="2"/>
            <w:tcBorders>
              <w:bottom w:val="single" w:sz="8" w:space="0" w:color="1F497D"/>
              <w:right w:val="single" w:sz="8" w:space="0" w:color="1F497D"/>
            </w:tcBorders>
            <w:vAlign w:val="bottom"/>
          </w:tcPr>
          <w:p w:rsidR="00AC12B4" w:rsidRDefault="00AC12B4">
            <w:pPr>
              <w:rPr>
                <w:sz w:val="11"/>
                <w:szCs w:val="11"/>
              </w:rPr>
            </w:pPr>
          </w:p>
        </w:tc>
        <w:tc>
          <w:tcPr>
            <w:tcW w:w="80" w:type="dxa"/>
            <w:tcBorders>
              <w:bottom w:val="single" w:sz="8" w:space="0" w:color="1F497D"/>
            </w:tcBorders>
            <w:vAlign w:val="bottom"/>
          </w:tcPr>
          <w:p w:rsidR="00AC12B4" w:rsidRDefault="00AC12B4">
            <w:pPr>
              <w:rPr>
                <w:sz w:val="11"/>
                <w:szCs w:val="11"/>
              </w:rPr>
            </w:pPr>
          </w:p>
        </w:tc>
        <w:tc>
          <w:tcPr>
            <w:tcW w:w="1160" w:type="dxa"/>
            <w:tcBorders>
              <w:bottom w:val="single" w:sz="8" w:space="0" w:color="1F497D"/>
            </w:tcBorders>
            <w:vAlign w:val="bottom"/>
          </w:tcPr>
          <w:p w:rsidR="00AC12B4" w:rsidRDefault="00AC12B4">
            <w:pPr>
              <w:rPr>
                <w:sz w:val="11"/>
                <w:szCs w:val="11"/>
              </w:rPr>
            </w:pPr>
          </w:p>
        </w:tc>
        <w:tc>
          <w:tcPr>
            <w:tcW w:w="120" w:type="dxa"/>
            <w:tcBorders>
              <w:bottom w:val="single" w:sz="8" w:space="0" w:color="1F497D"/>
              <w:right w:val="single" w:sz="8" w:space="0" w:color="1F497D"/>
            </w:tcBorders>
            <w:vAlign w:val="bottom"/>
          </w:tcPr>
          <w:p w:rsidR="00AC12B4" w:rsidRDefault="00AC12B4">
            <w:pPr>
              <w:rPr>
                <w:sz w:val="11"/>
                <w:szCs w:val="11"/>
              </w:rPr>
            </w:pPr>
          </w:p>
        </w:tc>
        <w:tc>
          <w:tcPr>
            <w:tcW w:w="80" w:type="dxa"/>
            <w:tcBorders>
              <w:bottom w:val="single" w:sz="8" w:space="0" w:color="1F497D"/>
            </w:tcBorders>
            <w:vAlign w:val="bottom"/>
          </w:tcPr>
          <w:p w:rsidR="00AC12B4" w:rsidRDefault="00AC12B4">
            <w:pPr>
              <w:rPr>
                <w:sz w:val="11"/>
                <w:szCs w:val="11"/>
              </w:rPr>
            </w:pPr>
          </w:p>
        </w:tc>
        <w:tc>
          <w:tcPr>
            <w:tcW w:w="1160" w:type="dxa"/>
            <w:tcBorders>
              <w:bottom w:val="single" w:sz="8" w:space="0" w:color="1F497D"/>
            </w:tcBorders>
            <w:vAlign w:val="bottom"/>
          </w:tcPr>
          <w:p w:rsidR="00AC12B4" w:rsidRDefault="00AC12B4">
            <w:pPr>
              <w:rPr>
                <w:sz w:val="11"/>
                <w:szCs w:val="11"/>
              </w:rPr>
            </w:pPr>
          </w:p>
        </w:tc>
        <w:tc>
          <w:tcPr>
            <w:tcW w:w="120" w:type="dxa"/>
            <w:tcBorders>
              <w:bottom w:val="single" w:sz="8" w:space="0" w:color="1F497D"/>
              <w:right w:val="single" w:sz="8" w:space="0" w:color="1F497D"/>
            </w:tcBorders>
            <w:vAlign w:val="bottom"/>
          </w:tcPr>
          <w:p w:rsidR="00AC12B4" w:rsidRDefault="00AC12B4">
            <w:pPr>
              <w:rPr>
                <w:sz w:val="11"/>
                <w:szCs w:val="11"/>
              </w:rPr>
            </w:pPr>
          </w:p>
        </w:tc>
        <w:tc>
          <w:tcPr>
            <w:tcW w:w="80" w:type="dxa"/>
            <w:tcBorders>
              <w:bottom w:val="single" w:sz="8" w:space="0" w:color="1F497D"/>
            </w:tcBorders>
            <w:vAlign w:val="bottom"/>
          </w:tcPr>
          <w:p w:rsidR="00AC12B4" w:rsidRDefault="00AC12B4">
            <w:pPr>
              <w:rPr>
                <w:sz w:val="11"/>
                <w:szCs w:val="11"/>
              </w:rPr>
            </w:pPr>
          </w:p>
        </w:tc>
        <w:tc>
          <w:tcPr>
            <w:tcW w:w="1160" w:type="dxa"/>
            <w:tcBorders>
              <w:bottom w:val="single" w:sz="8" w:space="0" w:color="1F497D"/>
            </w:tcBorders>
            <w:vAlign w:val="bottom"/>
          </w:tcPr>
          <w:p w:rsidR="00AC12B4" w:rsidRDefault="00AC12B4">
            <w:pPr>
              <w:rPr>
                <w:sz w:val="11"/>
                <w:szCs w:val="11"/>
              </w:rPr>
            </w:pPr>
          </w:p>
        </w:tc>
        <w:tc>
          <w:tcPr>
            <w:tcW w:w="120" w:type="dxa"/>
            <w:tcBorders>
              <w:bottom w:val="single" w:sz="8" w:space="0" w:color="1F497D"/>
              <w:right w:val="single" w:sz="8" w:space="0" w:color="1F497D"/>
            </w:tcBorders>
            <w:vAlign w:val="bottom"/>
          </w:tcPr>
          <w:p w:rsidR="00AC12B4" w:rsidRDefault="00AC12B4">
            <w:pPr>
              <w:rPr>
                <w:sz w:val="11"/>
                <w:szCs w:val="11"/>
              </w:rPr>
            </w:pPr>
          </w:p>
        </w:tc>
        <w:tc>
          <w:tcPr>
            <w:tcW w:w="80" w:type="dxa"/>
            <w:tcBorders>
              <w:bottom w:val="single" w:sz="8" w:space="0" w:color="1F497D"/>
            </w:tcBorders>
            <w:vAlign w:val="bottom"/>
          </w:tcPr>
          <w:p w:rsidR="00AC12B4" w:rsidRDefault="00AC12B4">
            <w:pPr>
              <w:rPr>
                <w:sz w:val="11"/>
                <w:szCs w:val="11"/>
              </w:rPr>
            </w:pPr>
          </w:p>
        </w:tc>
        <w:tc>
          <w:tcPr>
            <w:tcW w:w="1160" w:type="dxa"/>
            <w:tcBorders>
              <w:bottom w:val="single" w:sz="8" w:space="0" w:color="1F497D"/>
            </w:tcBorders>
            <w:vAlign w:val="bottom"/>
          </w:tcPr>
          <w:p w:rsidR="00AC12B4" w:rsidRDefault="00AC12B4">
            <w:pPr>
              <w:rPr>
                <w:sz w:val="11"/>
                <w:szCs w:val="11"/>
              </w:rPr>
            </w:pPr>
          </w:p>
        </w:tc>
        <w:tc>
          <w:tcPr>
            <w:tcW w:w="120" w:type="dxa"/>
            <w:tcBorders>
              <w:bottom w:val="single" w:sz="8" w:space="0" w:color="1F497D"/>
              <w:right w:val="single" w:sz="8" w:space="0" w:color="1F497D"/>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09"/>
        </w:trPr>
        <w:tc>
          <w:tcPr>
            <w:tcW w:w="120" w:type="dxa"/>
            <w:tcBorders>
              <w:left w:val="single" w:sz="8" w:space="0" w:color="1F497D"/>
            </w:tcBorders>
            <w:vAlign w:val="bottom"/>
          </w:tcPr>
          <w:p w:rsidR="00AC12B4" w:rsidRDefault="00AC12B4">
            <w:pPr>
              <w:rPr>
                <w:sz w:val="18"/>
                <w:szCs w:val="18"/>
              </w:rPr>
            </w:pPr>
          </w:p>
        </w:tc>
        <w:tc>
          <w:tcPr>
            <w:tcW w:w="188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09" w:lineRule="exact"/>
              <w:ind w:right="140"/>
              <w:jc w:val="center"/>
              <w:rPr>
                <w:sz w:val="20"/>
                <w:szCs w:val="20"/>
              </w:rPr>
            </w:pPr>
            <w:r>
              <w:rPr>
                <w:rFonts w:ascii="Calibri" w:eastAsia="Calibri" w:hAnsi="Calibri" w:cs="Calibri"/>
                <w:sz w:val="18"/>
                <w:szCs w:val="18"/>
              </w:rPr>
              <w:t>135 (en attente</w:t>
            </w: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2000" w:type="dxa"/>
            <w:gridSpan w:val="2"/>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MENA orienté vers un</w:t>
            </w:r>
          </w:p>
        </w:tc>
        <w:tc>
          <w:tcPr>
            <w:tcW w:w="1120" w:type="dxa"/>
            <w:gridSpan w:val="2"/>
            <w:vMerge w:val="restart"/>
            <w:vAlign w:val="bottom"/>
          </w:tcPr>
          <w:p w:rsidR="00AC12B4" w:rsidRDefault="00C27636">
            <w:pPr>
              <w:ind w:left="10"/>
              <w:jc w:val="center"/>
              <w:rPr>
                <w:sz w:val="20"/>
                <w:szCs w:val="20"/>
              </w:rPr>
            </w:pPr>
            <w:r>
              <w:rPr>
                <w:rFonts w:ascii="Calibri" w:eastAsia="Calibri" w:hAnsi="Calibri" w:cs="Calibri"/>
                <w:w w:val="94"/>
                <w:sz w:val="18"/>
                <w:szCs w:val="18"/>
              </w:rPr>
              <w:t>127</w:t>
            </w: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de la</w:t>
            </w:r>
          </w:p>
        </w:tc>
        <w:tc>
          <w:tcPr>
            <w:tcW w:w="1240" w:type="dxa"/>
            <w:gridSpan w:val="2"/>
            <w:vMerge w:val="restart"/>
            <w:vAlign w:val="bottom"/>
          </w:tcPr>
          <w:p w:rsidR="00AC12B4" w:rsidRDefault="00C27636">
            <w:pPr>
              <w:jc w:val="center"/>
              <w:rPr>
                <w:sz w:val="20"/>
                <w:szCs w:val="20"/>
              </w:rPr>
            </w:pPr>
            <w:r>
              <w:rPr>
                <w:rFonts w:ascii="Calibri" w:eastAsia="Calibri" w:hAnsi="Calibri" w:cs="Calibri"/>
                <w:sz w:val="18"/>
                <w:szCs w:val="18"/>
              </w:rPr>
              <w:t>618</w:t>
            </w:r>
          </w:p>
        </w:tc>
        <w:tc>
          <w:tcPr>
            <w:tcW w:w="120" w:type="dxa"/>
            <w:tcBorders>
              <w:right w:val="single" w:sz="8" w:space="0" w:color="1F497D"/>
            </w:tcBorders>
            <w:vAlign w:val="bottom"/>
          </w:tcPr>
          <w:p w:rsidR="00AC12B4" w:rsidRDefault="00AC12B4">
            <w:pPr>
              <w:rPr>
                <w:sz w:val="19"/>
                <w:szCs w:val="19"/>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19"/>
                <w:szCs w:val="19"/>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19"/>
                <w:szCs w:val="19"/>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accueil en hôtel</w:t>
            </w:r>
          </w:p>
        </w:tc>
        <w:tc>
          <w:tcPr>
            <w:tcW w:w="112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détermination</w:t>
            </w: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188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02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8"/>
                <w:sz w:val="18"/>
                <w:szCs w:val="18"/>
              </w:rPr>
              <w:t>de l’âge)</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25"/>
        </w:trPr>
        <w:tc>
          <w:tcPr>
            <w:tcW w:w="120" w:type="dxa"/>
            <w:tcBorders>
              <w:left w:val="single" w:sz="8" w:space="0" w:color="1F497D"/>
              <w:bottom w:val="single" w:sz="8" w:space="0" w:color="1F497D"/>
            </w:tcBorders>
            <w:vAlign w:val="bottom"/>
          </w:tcPr>
          <w:p w:rsidR="00AC12B4" w:rsidRDefault="00AC12B4">
            <w:pPr>
              <w:rPr>
                <w:sz w:val="10"/>
                <w:szCs w:val="10"/>
              </w:rPr>
            </w:pPr>
          </w:p>
        </w:tc>
        <w:tc>
          <w:tcPr>
            <w:tcW w:w="2000" w:type="dxa"/>
            <w:gridSpan w:val="2"/>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02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09"/>
        </w:trPr>
        <w:tc>
          <w:tcPr>
            <w:tcW w:w="120" w:type="dxa"/>
            <w:tcBorders>
              <w:left w:val="single" w:sz="8" w:space="0" w:color="1F497D"/>
            </w:tcBorders>
            <w:vAlign w:val="bottom"/>
          </w:tcPr>
          <w:p w:rsidR="00AC12B4" w:rsidRDefault="00AC12B4">
            <w:pPr>
              <w:rPr>
                <w:sz w:val="18"/>
                <w:szCs w:val="18"/>
              </w:rPr>
            </w:pPr>
          </w:p>
        </w:tc>
        <w:tc>
          <w:tcPr>
            <w:tcW w:w="200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MENA en centre pour</w:t>
            </w:r>
          </w:p>
        </w:tc>
        <w:tc>
          <w:tcPr>
            <w:tcW w:w="1120" w:type="dxa"/>
            <w:gridSpan w:val="2"/>
            <w:vMerge w:val="restart"/>
            <w:vAlign w:val="bottom"/>
          </w:tcPr>
          <w:p w:rsidR="00AC12B4" w:rsidRDefault="00C27636">
            <w:pPr>
              <w:ind w:left="10"/>
              <w:jc w:val="center"/>
              <w:rPr>
                <w:sz w:val="20"/>
                <w:szCs w:val="20"/>
              </w:rPr>
            </w:pPr>
            <w:r>
              <w:rPr>
                <w:rFonts w:ascii="Calibri" w:eastAsia="Calibri" w:hAnsi="Calibri" w:cs="Calibri"/>
                <w:w w:val="98"/>
                <w:sz w:val="18"/>
                <w:szCs w:val="18"/>
              </w:rPr>
              <w:t>60</w:t>
            </w:r>
          </w:p>
        </w:tc>
        <w:tc>
          <w:tcPr>
            <w:tcW w:w="120" w:type="dxa"/>
            <w:tcBorders>
              <w:right w:val="single" w:sz="8" w:space="0" w:color="1F497D"/>
            </w:tcBorders>
            <w:vAlign w:val="bottom"/>
          </w:tcPr>
          <w:p w:rsidR="00AC12B4" w:rsidRDefault="00AC12B4">
            <w:pPr>
              <w:rPr>
                <w:sz w:val="18"/>
                <w:szCs w:val="18"/>
              </w:rPr>
            </w:pPr>
          </w:p>
        </w:tc>
        <w:tc>
          <w:tcPr>
            <w:tcW w:w="1260" w:type="dxa"/>
            <w:gridSpan w:val="2"/>
            <w:vMerge w:val="restart"/>
            <w:vAlign w:val="bottom"/>
          </w:tcPr>
          <w:p w:rsidR="00AC12B4" w:rsidRDefault="00C27636">
            <w:pPr>
              <w:ind w:left="10"/>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18"/>
                <w:szCs w:val="18"/>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18"/>
                <w:szCs w:val="18"/>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18"/>
                <w:szCs w:val="18"/>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87"/>
                <w:sz w:val="18"/>
                <w:szCs w:val="18"/>
              </w:rPr>
              <w:t>0</w:t>
            </w:r>
          </w:p>
        </w:tc>
        <w:tc>
          <w:tcPr>
            <w:tcW w:w="120" w:type="dxa"/>
            <w:tcBorders>
              <w:right w:val="single" w:sz="8" w:space="0" w:color="1F497D"/>
            </w:tcBorders>
            <w:vAlign w:val="bottom"/>
          </w:tcPr>
          <w:p w:rsidR="00AC12B4" w:rsidRDefault="00AC12B4">
            <w:pPr>
              <w:rPr>
                <w:sz w:val="18"/>
                <w:szCs w:val="18"/>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95"/>
                <w:sz w:val="18"/>
                <w:szCs w:val="18"/>
              </w:rPr>
              <w:t>?</w:t>
            </w: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adultes Fedasil</w:t>
            </w:r>
          </w:p>
        </w:tc>
        <w:tc>
          <w:tcPr>
            <w:tcW w:w="112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6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26"/>
        </w:trPr>
        <w:tc>
          <w:tcPr>
            <w:tcW w:w="120" w:type="dxa"/>
            <w:tcBorders>
              <w:left w:val="single" w:sz="8" w:space="0" w:color="1F497D"/>
              <w:bottom w:val="single" w:sz="8" w:space="0" w:color="1F497D"/>
            </w:tcBorders>
            <w:vAlign w:val="bottom"/>
          </w:tcPr>
          <w:p w:rsidR="00AC12B4" w:rsidRDefault="00AC12B4">
            <w:pPr>
              <w:rPr>
                <w:sz w:val="10"/>
                <w:szCs w:val="10"/>
              </w:rPr>
            </w:pPr>
          </w:p>
        </w:tc>
        <w:tc>
          <w:tcPr>
            <w:tcW w:w="188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02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280" w:type="dxa"/>
            <w:gridSpan w:val="2"/>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280" w:type="dxa"/>
            <w:gridSpan w:val="2"/>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09"/>
        </w:trPr>
        <w:tc>
          <w:tcPr>
            <w:tcW w:w="120" w:type="dxa"/>
            <w:tcBorders>
              <w:left w:val="single" w:sz="8" w:space="0" w:color="1F497D"/>
            </w:tcBorders>
            <w:vAlign w:val="bottom"/>
          </w:tcPr>
          <w:p w:rsidR="00AC12B4" w:rsidRDefault="00AC12B4">
            <w:pPr>
              <w:rPr>
                <w:sz w:val="18"/>
                <w:szCs w:val="18"/>
              </w:rPr>
            </w:pPr>
          </w:p>
        </w:tc>
        <w:tc>
          <w:tcPr>
            <w:tcW w:w="188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22</w:t>
            </w:r>
            <w:r>
              <w:rPr>
                <w:rFonts w:ascii="Calibri" w:eastAsia="Calibri" w:hAnsi="Calibri" w:cs="Calibri"/>
                <w:sz w:val="18"/>
                <w:szCs w:val="18"/>
              </w:rPr>
              <w:t xml:space="preserve"> (dont 7</w:t>
            </w:r>
          </w:p>
        </w:tc>
        <w:tc>
          <w:tcPr>
            <w:tcW w:w="8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22 (dont 9</w:t>
            </w: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18"/>
        </w:trPr>
        <w:tc>
          <w:tcPr>
            <w:tcW w:w="120" w:type="dxa"/>
            <w:tcBorders>
              <w:left w:val="single" w:sz="8" w:space="0" w:color="1F497D"/>
            </w:tcBorders>
            <w:vAlign w:val="bottom"/>
          </w:tcPr>
          <w:p w:rsidR="00AC12B4" w:rsidRDefault="00AC12B4">
            <w:pPr>
              <w:rPr>
                <w:sz w:val="18"/>
                <w:szCs w:val="18"/>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jeune se déclarant MENA</w:t>
            </w: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w w:val="99"/>
                <w:sz w:val="18"/>
                <w:szCs w:val="18"/>
              </w:rPr>
              <w:t>effectivement</w:t>
            </w:r>
          </w:p>
        </w:tc>
        <w:tc>
          <w:tcPr>
            <w:tcW w:w="8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effectivement</w:t>
            </w: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70"/>
        </w:trPr>
        <w:tc>
          <w:tcPr>
            <w:tcW w:w="120" w:type="dxa"/>
            <w:tcBorders>
              <w:left w:val="single" w:sz="8" w:space="0" w:color="1F497D"/>
            </w:tcBorders>
            <w:vAlign w:val="bottom"/>
          </w:tcPr>
          <w:p w:rsidR="00AC12B4" w:rsidRDefault="00AC12B4">
            <w:pPr>
              <w:rPr>
                <w:sz w:val="14"/>
                <w:szCs w:val="14"/>
              </w:rPr>
            </w:pPr>
          </w:p>
        </w:tc>
        <w:tc>
          <w:tcPr>
            <w:tcW w:w="200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02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8"/>
                <w:sz w:val="18"/>
                <w:szCs w:val="18"/>
              </w:rPr>
              <w:t>déclarés</w:t>
            </w:r>
          </w:p>
        </w:tc>
        <w:tc>
          <w:tcPr>
            <w:tcW w:w="80" w:type="dxa"/>
            <w:vAlign w:val="bottom"/>
          </w:tcPr>
          <w:p w:rsidR="00AC12B4" w:rsidRDefault="00AC12B4">
            <w:pPr>
              <w:rPr>
                <w:sz w:val="14"/>
                <w:szCs w:val="14"/>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8"/>
                <w:sz w:val="18"/>
                <w:szCs w:val="18"/>
              </w:rPr>
              <w:t>déclarés</w:t>
            </w: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50"/>
        </w:trPr>
        <w:tc>
          <w:tcPr>
            <w:tcW w:w="120" w:type="dxa"/>
            <w:tcBorders>
              <w:left w:val="single" w:sz="8" w:space="0" w:color="1F497D"/>
            </w:tcBorders>
            <w:vAlign w:val="bottom"/>
          </w:tcPr>
          <w:p w:rsidR="00AC12B4" w:rsidRDefault="00AC12B4">
            <w:pPr>
              <w:rPr>
                <w:sz w:val="4"/>
                <w:szCs w:val="4"/>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en centre fermé de</w:t>
            </w:r>
          </w:p>
        </w:tc>
        <w:tc>
          <w:tcPr>
            <w:tcW w:w="100" w:type="dxa"/>
            <w:vAlign w:val="bottom"/>
          </w:tcPr>
          <w:p w:rsidR="00AC12B4" w:rsidRDefault="00AC12B4">
            <w:pPr>
              <w:rPr>
                <w:sz w:val="4"/>
                <w:szCs w:val="4"/>
              </w:rPr>
            </w:pPr>
          </w:p>
        </w:tc>
        <w:tc>
          <w:tcPr>
            <w:tcW w:w="102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10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280" w:type="dxa"/>
            <w:gridSpan w:val="2"/>
            <w:vMerge/>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280" w:type="dxa"/>
            <w:gridSpan w:val="2"/>
            <w:vMerge/>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70"/>
        </w:trPr>
        <w:tc>
          <w:tcPr>
            <w:tcW w:w="120" w:type="dxa"/>
            <w:tcBorders>
              <w:left w:val="single" w:sz="8" w:space="0" w:color="1F497D"/>
            </w:tcBorders>
            <w:vAlign w:val="bottom"/>
          </w:tcPr>
          <w:p w:rsidR="00AC12B4" w:rsidRDefault="00AC12B4">
            <w:pPr>
              <w:rPr>
                <w:sz w:val="14"/>
                <w:szCs w:val="14"/>
              </w:rPr>
            </w:pPr>
          </w:p>
        </w:tc>
        <w:tc>
          <w:tcPr>
            <w:tcW w:w="200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02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mineurs)</w:t>
            </w:r>
          </w:p>
        </w:tc>
        <w:tc>
          <w:tcPr>
            <w:tcW w:w="80" w:type="dxa"/>
            <w:vAlign w:val="bottom"/>
          </w:tcPr>
          <w:p w:rsidR="00AC12B4" w:rsidRDefault="00AC12B4">
            <w:pPr>
              <w:rPr>
                <w:sz w:val="14"/>
                <w:szCs w:val="14"/>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mineurs)</w:t>
            </w: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48"/>
        </w:trPr>
        <w:tc>
          <w:tcPr>
            <w:tcW w:w="120" w:type="dxa"/>
            <w:tcBorders>
              <w:left w:val="single" w:sz="8" w:space="0" w:color="1F497D"/>
            </w:tcBorders>
            <w:vAlign w:val="bottom"/>
          </w:tcPr>
          <w:p w:rsidR="00AC12B4" w:rsidRDefault="00AC12B4">
            <w:pPr>
              <w:rPr>
                <w:sz w:val="4"/>
                <w:szCs w:val="4"/>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l’Office des Etrangers,</w:t>
            </w:r>
          </w:p>
        </w:tc>
        <w:tc>
          <w:tcPr>
            <w:tcW w:w="100" w:type="dxa"/>
            <w:vAlign w:val="bottom"/>
          </w:tcPr>
          <w:p w:rsidR="00AC12B4" w:rsidRDefault="00AC12B4">
            <w:pPr>
              <w:rPr>
                <w:sz w:val="4"/>
                <w:szCs w:val="4"/>
              </w:rPr>
            </w:pPr>
          </w:p>
        </w:tc>
        <w:tc>
          <w:tcPr>
            <w:tcW w:w="114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chiffres</w:t>
            </w:r>
          </w:p>
        </w:tc>
        <w:tc>
          <w:tcPr>
            <w:tcW w:w="10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w w:val="99"/>
                <w:sz w:val="18"/>
                <w:szCs w:val="18"/>
              </w:rPr>
              <w:t>chiffres</w:t>
            </w: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w w:val="99"/>
                <w:sz w:val="18"/>
                <w:szCs w:val="18"/>
              </w:rPr>
              <w:t>chiffres</w:t>
            </w:r>
          </w:p>
        </w:tc>
        <w:tc>
          <w:tcPr>
            <w:tcW w:w="80" w:type="dxa"/>
            <w:vAlign w:val="bottom"/>
          </w:tcPr>
          <w:p w:rsidR="00AC12B4" w:rsidRDefault="00AC12B4">
            <w:pPr>
              <w:rPr>
                <w:sz w:val="4"/>
                <w:szCs w:val="4"/>
              </w:rPr>
            </w:pPr>
          </w:p>
        </w:tc>
        <w:tc>
          <w:tcPr>
            <w:tcW w:w="1280" w:type="dxa"/>
            <w:gridSpan w:val="2"/>
            <w:vMerge/>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280" w:type="dxa"/>
            <w:gridSpan w:val="2"/>
            <w:vMerge/>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70"/>
        </w:trPr>
        <w:tc>
          <w:tcPr>
            <w:tcW w:w="120" w:type="dxa"/>
            <w:tcBorders>
              <w:left w:val="single" w:sz="8" w:space="0" w:color="1F497D"/>
            </w:tcBorders>
            <w:vAlign w:val="bottom"/>
          </w:tcPr>
          <w:p w:rsidR="00AC12B4" w:rsidRDefault="00AC12B4">
            <w:pPr>
              <w:rPr>
                <w:sz w:val="14"/>
                <w:szCs w:val="14"/>
              </w:rPr>
            </w:pPr>
          </w:p>
        </w:tc>
        <w:tc>
          <w:tcPr>
            <w:tcW w:w="200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14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Attention : les</w:t>
            </w:r>
          </w:p>
        </w:tc>
        <w:tc>
          <w:tcPr>
            <w:tcW w:w="80" w:type="dxa"/>
            <w:vAlign w:val="bottom"/>
          </w:tcPr>
          <w:p w:rsidR="00AC12B4" w:rsidRDefault="00AC12B4">
            <w:pPr>
              <w:rPr>
                <w:sz w:val="14"/>
                <w:szCs w:val="14"/>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Attention : les</w:t>
            </w:r>
          </w:p>
        </w:tc>
        <w:tc>
          <w:tcPr>
            <w:tcW w:w="1240" w:type="dxa"/>
            <w:gridSpan w:val="2"/>
            <w:vMerge w:val="restart"/>
            <w:vAlign w:val="bottom"/>
          </w:tcPr>
          <w:p w:rsidR="00AC12B4" w:rsidRDefault="00C27636">
            <w:pPr>
              <w:jc w:val="center"/>
              <w:rPr>
                <w:sz w:val="20"/>
                <w:szCs w:val="20"/>
              </w:rPr>
            </w:pPr>
            <w:r>
              <w:rPr>
                <w:rFonts w:ascii="Calibri" w:eastAsia="Calibri" w:hAnsi="Calibri" w:cs="Calibri"/>
                <w:w w:val="95"/>
                <w:sz w:val="18"/>
                <w:szCs w:val="18"/>
              </w:rPr>
              <w:t>?</w:t>
            </w:r>
          </w:p>
        </w:tc>
        <w:tc>
          <w:tcPr>
            <w:tcW w:w="120" w:type="dxa"/>
            <w:tcBorders>
              <w:right w:val="single" w:sz="8" w:space="0" w:color="1F497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lors de la détermination</w:t>
            </w:r>
          </w:p>
        </w:tc>
        <w:tc>
          <w:tcPr>
            <w:tcW w:w="100" w:type="dxa"/>
            <w:vAlign w:val="bottom"/>
          </w:tcPr>
          <w:p w:rsidR="00AC12B4" w:rsidRDefault="00AC12B4">
            <w:pPr>
              <w:rPr>
                <w:sz w:val="9"/>
                <w:szCs w:val="9"/>
              </w:rPr>
            </w:pPr>
          </w:p>
        </w:tc>
        <w:tc>
          <w:tcPr>
            <w:tcW w:w="1140" w:type="dxa"/>
            <w:gridSpan w:val="2"/>
            <w:vMerge w:val="restart"/>
            <w:tcBorders>
              <w:right w:val="single" w:sz="8" w:space="0" w:color="1F497D"/>
            </w:tcBorders>
            <w:vAlign w:val="bottom"/>
          </w:tcPr>
          <w:p w:rsidR="00AC12B4" w:rsidRDefault="00C27636">
            <w:pPr>
              <w:ind w:right="100"/>
              <w:jc w:val="center"/>
              <w:rPr>
                <w:sz w:val="20"/>
                <w:szCs w:val="20"/>
              </w:rPr>
            </w:pPr>
            <w:r>
              <w:rPr>
                <w:rFonts w:ascii="Calibri" w:eastAsia="Calibri" w:hAnsi="Calibri" w:cs="Calibri"/>
                <w:w w:val="99"/>
                <w:sz w:val="18"/>
                <w:szCs w:val="18"/>
              </w:rPr>
              <w:t>indisponibles</w:t>
            </w: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indisponibles</w:t>
            </w: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indisponibles</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60"/>
        </w:trPr>
        <w:tc>
          <w:tcPr>
            <w:tcW w:w="120" w:type="dxa"/>
            <w:tcBorders>
              <w:left w:val="single" w:sz="8" w:space="0" w:color="1F497D"/>
            </w:tcBorders>
            <w:vAlign w:val="bottom"/>
          </w:tcPr>
          <w:p w:rsidR="00AC12B4" w:rsidRDefault="00AC12B4">
            <w:pPr>
              <w:rPr>
                <w:sz w:val="5"/>
                <w:szCs w:val="5"/>
              </w:rPr>
            </w:pPr>
          </w:p>
        </w:tc>
        <w:tc>
          <w:tcPr>
            <w:tcW w:w="2000" w:type="dxa"/>
            <w:gridSpan w:val="2"/>
            <w:vMerge/>
            <w:tcBorders>
              <w:right w:val="single" w:sz="8" w:space="0" w:color="1F497D"/>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1140" w:type="dxa"/>
            <w:gridSpan w:val="2"/>
            <w:vMerge/>
            <w:tcBorders>
              <w:right w:val="single" w:sz="8" w:space="0" w:color="1F497D"/>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50"/>
        </w:trPr>
        <w:tc>
          <w:tcPr>
            <w:tcW w:w="120" w:type="dxa"/>
            <w:tcBorders>
              <w:left w:val="single" w:sz="8" w:space="0" w:color="1F497D"/>
            </w:tcBorders>
            <w:vAlign w:val="bottom"/>
          </w:tcPr>
          <w:p w:rsidR="00AC12B4" w:rsidRDefault="00AC12B4">
            <w:pPr>
              <w:rPr>
                <w:sz w:val="4"/>
                <w:szCs w:val="4"/>
              </w:rPr>
            </w:pPr>
          </w:p>
        </w:tc>
        <w:tc>
          <w:tcPr>
            <w:tcW w:w="2000" w:type="dxa"/>
            <w:gridSpan w:val="2"/>
            <w:vMerge/>
            <w:tcBorders>
              <w:right w:val="single" w:sz="8" w:space="0" w:color="1F497D"/>
            </w:tcBorders>
            <w:vAlign w:val="bottom"/>
          </w:tcPr>
          <w:p w:rsidR="00AC12B4" w:rsidRDefault="00AC12B4">
            <w:pPr>
              <w:rPr>
                <w:sz w:val="4"/>
                <w:szCs w:val="4"/>
              </w:rPr>
            </w:pPr>
          </w:p>
        </w:tc>
        <w:tc>
          <w:tcPr>
            <w:tcW w:w="100" w:type="dxa"/>
            <w:vAlign w:val="bottom"/>
          </w:tcPr>
          <w:p w:rsidR="00AC12B4" w:rsidRDefault="00AC12B4">
            <w:pPr>
              <w:rPr>
                <w:sz w:val="4"/>
                <w:szCs w:val="4"/>
              </w:rPr>
            </w:pPr>
          </w:p>
        </w:tc>
        <w:tc>
          <w:tcPr>
            <w:tcW w:w="1140" w:type="dxa"/>
            <w:gridSpan w:val="2"/>
            <w:vMerge/>
            <w:tcBorders>
              <w:right w:val="single" w:sz="8" w:space="0" w:color="1F497D"/>
            </w:tcBorders>
            <w:vAlign w:val="bottom"/>
          </w:tcPr>
          <w:p w:rsidR="00AC12B4" w:rsidRDefault="00AC12B4">
            <w:pPr>
              <w:rPr>
                <w:sz w:val="4"/>
                <w:szCs w:val="4"/>
              </w:rPr>
            </w:pPr>
          </w:p>
        </w:tc>
        <w:tc>
          <w:tcPr>
            <w:tcW w:w="100" w:type="dxa"/>
            <w:vAlign w:val="bottom"/>
          </w:tcPr>
          <w:p w:rsidR="00AC12B4" w:rsidRDefault="00AC12B4">
            <w:pPr>
              <w:rPr>
                <w:sz w:val="4"/>
                <w:szCs w:val="4"/>
              </w:rPr>
            </w:pPr>
          </w:p>
        </w:tc>
        <w:tc>
          <w:tcPr>
            <w:tcW w:w="1280" w:type="dxa"/>
            <w:gridSpan w:val="2"/>
            <w:vMerge/>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280" w:type="dxa"/>
            <w:gridSpan w:val="2"/>
            <w:vMerge/>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9"/>
                <w:sz w:val="18"/>
                <w:szCs w:val="18"/>
              </w:rPr>
              <w:t>chiffres de 3</w:t>
            </w: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8"/>
                <w:sz w:val="18"/>
                <w:szCs w:val="18"/>
              </w:rPr>
              <w:t>chiffres du</w:t>
            </w: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rsidRPr="00C27636">
        <w:trPr>
          <w:trHeight w:val="170"/>
        </w:trPr>
        <w:tc>
          <w:tcPr>
            <w:tcW w:w="120" w:type="dxa"/>
            <w:tcBorders>
              <w:left w:val="single" w:sz="8" w:space="0" w:color="1F497D"/>
            </w:tcBorders>
            <w:vAlign w:val="bottom"/>
          </w:tcPr>
          <w:p w:rsidR="00AC12B4" w:rsidRDefault="00AC12B4">
            <w:pPr>
              <w:rPr>
                <w:sz w:val="14"/>
                <w:szCs w:val="14"/>
              </w:rPr>
            </w:pPr>
          </w:p>
        </w:tc>
        <w:tc>
          <w:tcPr>
            <w:tcW w:w="2000" w:type="dxa"/>
            <w:gridSpan w:val="2"/>
            <w:vMerge w:val="restart"/>
            <w:tcBorders>
              <w:right w:val="single" w:sz="8" w:space="0" w:color="1F497D"/>
            </w:tcBorders>
            <w:vAlign w:val="bottom"/>
          </w:tcPr>
          <w:p w:rsidR="00AC12B4" w:rsidRPr="00C27636" w:rsidRDefault="00C27636">
            <w:pPr>
              <w:spacing w:line="218" w:lineRule="exact"/>
              <w:ind w:right="120"/>
              <w:jc w:val="center"/>
              <w:rPr>
                <w:sz w:val="20"/>
                <w:szCs w:val="20"/>
                <w:lang w:val="fr-BE"/>
              </w:rPr>
            </w:pPr>
            <w:r w:rsidRPr="00C27636">
              <w:rPr>
                <w:rFonts w:ascii="Calibri" w:eastAsia="Calibri" w:hAnsi="Calibri" w:cs="Calibri"/>
                <w:w w:val="99"/>
                <w:sz w:val="18"/>
                <w:szCs w:val="18"/>
                <w:lang w:val="fr-BE"/>
              </w:rPr>
              <w:t>de l‘âge (max. 3 jours,</w:t>
            </w:r>
          </w:p>
        </w:tc>
        <w:tc>
          <w:tcPr>
            <w:tcW w:w="100" w:type="dxa"/>
            <w:vAlign w:val="bottom"/>
          </w:tcPr>
          <w:p w:rsidR="00AC12B4" w:rsidRPr="00C27636" w:rsidRDefault="00AC12B4">
            <w:pPr>
              <w:rPr>
                <w:sz w:val="14"/>
                <w:szCs w:val="14"/>
                <w:lang w:val="fr-BE"/>
              </w:rPr>
            </w:pPr>
          </w:p>
        </w:tc>
        <w:tc>
          <w:tcPr>
            <w:tcW w:w="1020" w:type="dxa"/>
            <w:vAlign w:val="bottom"/>
          </w:tcPr>
          <w:p w:rsidR="00AC12B4" w:rsidRPr="00C27636" w:rsidRDefault="00AC12B4">
            <w:pPr>
              <w:rPr>
                <w:sz w:val="14"/>
                <w:szCs w:val="14"/>
                <w:lang w:val="fr-BE"/>
              </w:rPr>
            </w:pPr>
          </w:p>
        </w:tc>
        <w:tc>
          <w:tcPr>
            <w:tcW w:w="120" w:type="dxa"/>
            <w:tcBorders>
              <w:right w:val="single" w:sz="8" w:space="0" w:color="1F497D"/>
            </w:tcBorders>
            <w:vAlign w:val="bottom"/>
          </w:tcPr>
          <w:p w:rsidR="00AC12B4" w:rsidRPr="00C27636" w:rsidRDefault="00AC12B4">
            <w:pPr>
              <w:rPr>
                <w:sz w:val="14"/>
                <w:szCs w:val="14"/>
                <w:lang w:val="fr-BE"/>
              </w:rPr>
            </w:pPr>
          </w:p>
        </w:tc>
        <w:tc>
          <w:tcPr>
            <w:tcW w:w="100" w:type="dxa"/>
            <w:vAlign w:val="bottom"/>
          </w:tcPr>
          <w:p w:rsidR="00AC12B4" w:rsidRPr="00C27636" w:rsidRDefault="00AC12B4">
            <w:pPr>
              <w:rPr>
                <w:sz w:val="14"/>
                <w:szCs w:val="14"/>
                <w:lang w:val="fr-BE"/>
              </w:rPr>
            </w:pPr>
          </w:p>
        </w:tc>
        <w:tc>
          <w:tcPr>
            <w:tcW w:w="1160" w:type="dxa"/>
            <w:vAlign w:val="bottom"/>
          </w:tcPr>
          <w:p w:rsidR="00AC12B4" w:rsidRPr="00C27636" w:rsidRDefault="00AC12B4">
            <w:pPr>
              <w:rPr>
                <w:sz w:val="14"/>
                <w:szCs w:val="14"/>
                <w:lang w:val="fr-BE"/>
              </w:rPr>
            </w:pPr>
          </w:p>
        </w:tc>
        <w:tc>
          <w:tcPr>
            <w:tcW w:w="120" w:type="dxa"/>
            <w:tcBorders>
              <w:right w:val="single" w:sz="8" w:space="0" w:color="1F497D"/>
            </w:tcBorders>
            <w:vAlign w:val="bottom"/>
          </w:tcPr>
          <w:p w:rsidR="00AC12B4" w:rsidRPr="00C27636" w:rsidRDefault="00AC12B4">
            <w:pPr>
              <w:rPr>
                <w:sz w:val="14"/>
                <w:szCs w:val="14"/>
                <w:lang w:val="fr-BE"/>
              </w:rPr>
            </w:pPr>
          </w:p>
        </w:tc>
        <w:tc>
          <w:tcPr>
            <w:tcW w:w="80" w:type="dxa"/>
            <w:vAlign w:val="bottom"/>
          </w:tcPr>
          <w:p w:rsidR="00AC12B4" w:rsidRPr="00C27636" w:rsidRDefault="00AC12B4">
            <w:pPr>
              <w:rPr>
                <w:sz w:val="14"/>
                <w:szCs w:val="14"/>
                <w:lang w:val="fr-BE"/>
              </w:rPr>
            </w:pPr>
          </w:p>
        </w:tc>
        <w:tc>
          <w:tcPr>
            <w:tcW w:w="1160" w:type="dxa"/>
            <w:vAlign w:val="bottom"/>
          </w:tcPr>
          <w:p w:rsidR="00AC12B4" w:rsidRPr="00C27636" w:rsidRDefault="00AC12B4">
            <w:pPr>
              <w:rPr>
                <w:sz w:val="14"/>
                <w:szCs w:val="14"/>
                <w:lang w:val="fr-BE"/>
              </w:rPr>
            </w:pPr>
          </w:p>
        </w:tc>
        <w:tc>
          <w:tcPr>
            <w:tcW w:w="120" w:type="dxa"/>
            <w:tcBorders>
              <w:right w:val="single" w:sz="8" w:space="0" w:color="1F497D"/>
            </w:tcBorders>
            <w:vAlign w:val="bottom"/>
          </w:tcPr>
          <w:p w:rsidR="00AC12B4" w:rsidRPr="00C27636" w:rsidRDefault="00AC12B4">
            <w:pPr>
              <w:rPr>
                <w:sz w:val="14"/>
                <w:szCs w:val="14"/>
                <w:lang w:val="fr-BE"/>
              </w:rPr>
            </w:pPr>
          </w:p>
        </w:tc>
        <w:tc>
          <w:tcPr>
            <w:tcW w:w="80" w:type="dxa"/>
            <w:vAlign w:val="bottom"/>
          </w:tcPr>
          <w:p w:rsidR="00AC12B4" w:rsidRPr="00C27636" w:rsidRDefault="00AC12B4">
            <w:pPr>
              <w:rPr>
                <w:sz w:val="14"/>
                <w:szCs w:val="14"/>
                <w:lang w:val="fr-BE"/>
              </w:rPr>
            </w:pPr>
          </w:p>
        </w:tc>
        <w:tc>
          <w:tcPr>
            <w:tcW w:w="1280" w:type="dxa"/>
            <w:gridSpan w:val="2"/>
            <w:vMerge/>
            <w:tcBorders>
              <w:right w:val="single" w:sz="8" w:space="0" w:color="1F497D"/>
            </w:tcBorders>
            <w:vAlign w:val="bottom"/>
          </w:tcPr>
          <w:p w:rsidR="00AC12B4" w:rsidRPr="00C27636" w:rsidRDefault="00AC12B4">
            <w:pPr>
              <w:rPr>
                <w:sz w:val="14"/>
                <w:szCs w:val="14"/>
                <w:lang w:val="fr-BE"/>
              </w:rPr>
            </w:pPr>
          </w:p>
        </w:tc>
        <w:tc>
          <w:tcPr>
            <w:tcW w:w="80" w:type="dxa"/>
            <w:vAlign w:val="bottom"/>
          </w:tcPr>
          <w:p w:rsidR="00AC12B4" w:rsidRPr="00C27636" w:rsidRDefault="00AC12B4">
            <w:pPr>
              <w:rPr>
                <w:sz w:val="14"/>
                <w:szCs w:val="14"/>
                <w:lang w:val="fr-BE"/>
              </w:rPr>
            </w:pPr>
          </w:p>
        </w:tc>
        <w:tc>
          <w:tcPr>
            <w:tcW w:w="1280" w:type="dxa"/>
            <w:gridSpan w:val="2"/>
            <w:vMerge/>
            <w:tcBorders>
              <w:right w:val="single" w:sz="8" w:space="0" w:color="1F497D"/>
            </w:tcBorders>
            <w:vAlign w:val="bottom"/>
          </w:tcPr>
          <w:p w:rsidR="00AC12B4" w:rsidRPr="00C27636" w:rsidRDefault="00AC12B4">
            <w:pPr>
              <w:rPr>
                <w:sz w:val="14"/>
                <w:szCs w:val="14"/>
                <w:lang w:val="fr-BE"/>
              </w:rPr>
            </w:pPr>
          </w:p>
        </w:tc>
        <w:tc>
          <w:tcPr>
            <w:tcW w:w="80" w:type="dxa"/>
            <w:vAlign w:val="bottom"/>
          </w:tcPr>
          <w:p w:rsidR="00AC12B4" w:rsidRPr="00C27636" w:rsidRDefault="00AC12B4">
            <w:pPr>
              <w:rPr>
                <w:sz w:val="14"/>
                <w:szCs w:val="14"/>
                <w:lang w:val="fr-BE"/>
              </w:rPr>
            </w:pPr>
          </w:p>
        </w:tc>
        <w:tc>
          <w:tcPr>
            <w:tcW w:w="1160" w:type="dxa"/>
            <w:vAlign w:val="bottom"/>
          </w:tcPr>
          <w:p w:rsidR="00AC12B4" w:rsidRPr="00C27636" w:rsidRDefault="00AC12B4">
            <w:pPr>
              <w:rPr>
                <w:sz w:val="14"/>
                <w:szCs w:val="14"/>
                <w:lang w:val="fr-BE"/>
              </w:rPr>
            </w:pPr>
          </w:p>
        </w:tc>
        <w:tc>
          <w:tcPr>
            <w:tcW w:w="120" w:type="dxa"/>
            <w:tcBorders>
              <w:right w:val="single" w:sz="8" w:space="0" w:color="1F497D"/>
            </w:tcBorders>
            <w:vAlign w:val="bottom"/>
          </w:tcPr>
          <w:p w:rsidR="00AC12B4" w:rsidRPr="00C27636" w:rsidRDefault="00AC12B4">
            <w:pPr>
              <w:rPr>
                <w:sz w:val="14"/>
                <w:szCs w:val="14"/>
                <w:lang w:val="fr-BE"/>
              </w:rPr>
            </w:pPr>
          </w:p>
        </w:tc>
        <w:tc>
          <w:tcPr>
            <w:tcW w:w="0" w:type="dxa"/>
            <w:vAlign w:val="bottom"/>
          </w:tcPr>
          <w:p w:rsidR="00AC12B4" w:rsidRPr="00C27636" w:rsidRDefault="00AC12B4">
            <w:pPr>
              <w:rPr>
                <w:sz w:val="1"/>
                <w:szCs w:val="1"/>
                <w:lang w:val="fr-BE"/>
              </w:rPr>
            </w:pPr>
          </w:p>
        </w:tc>
      </w:tr>
      <w:tr w:rsidR="00AC12B4">
        <w:trPr>
          <w:trHeight w:val="48"/>
        </w:trPr>
        <w:tc>
          <w:tcPr>
            <w:tcW w:w="120" w:type="dxa"/>
            <w:tcBorders>
              <w:left w:val="single" w:sz="8" w:space="0" w:color="1F497D"/>
            </w:tcBorders>
            <w:vAlign w:val="bottom"/>
          </w:tcPr>
          <w:p w:rsidR="00AC12B4" w:rsidRPr="00C27636" w:rsidRDefault="00AC12B4">
            <w:pPr>
              <w:rPr>
                <w:sz w:val="4"/>
                <w:szCs w:val="4"/>
                <w:lang w:val="fr-BE"/>
              </w:rPr>
            </w:pPr>
          </w:p>
        </w:tc>
        <w:tc>
          <w:tcPr>
            <w:tcW w:w="2000" w:type="dxa"/>
            <w:gridSpan w:val="2"/>
            <w:vMerge/>
            <w:tcBorders>
              <w:right w:val="single" w:sz="8" w:space="0" w:color="1F497D"/>
            </w:tcBorders>
            <w:vAlign w:val="bottom"/>
          </w:tcPr>
          <w:p w:rsidR="00AC12B4" w:rsidRPr="00C27636" w:rsidRDefault="00AC12B4">
            <w:pPr>
              <w:rPr>
                <w:sz w:val="4"/>
                <w:szCs w:val="4"/>
                <w:lang w:val="fr-BE"/>
              </w:rPr>
            </w:pPr>
          </w:p>
        </w:tc>
        <w:tc>
          <w:tcPr>
            <w:tcW w:w="100" w:type="dxa"/>
            <w:vAlign w:val="bottom"/>
          </w:tcPr>
          <w:p w:rsidR="00AC12B4" w:rsidRPr="00C27636" w:rsidRDefault="00AC12B4">
            <w:pPr>
              <w:rPr>
                <w:sz w:val="4"/>
                <w:szCs w:val="4"/>
                <w:lang w:val="fr-BE"/>
              </w:rPr>
            </w:pPr>
          </w:p>
        </w:tc>
        <w:tc>
          <w:tcPr>
            <w:tcW w:w="1020" w:type="dxa"/>
            <w:vAlign w:val="bottom"/>
          </w:tcPr>
          <w:p w:rsidR="00AC12B4" w:rsidRPr="00C27636" w:rsidRDefault="00AC12B4">
            <w:pPr>
              <w:rPr>
                <w:sz w:val="4"/>
                <w:szCs w:val="4"/>
                <w:lang w:val="fr-BE"/>
              </w:rPr>
            </w:pPr>
          </w:p>
        </w:tc>
        <w:tc>
          <w:tcPr>
            <w:tcW w:w="120" w:type="dxa"/>
            <w:tcBorders>
              <w:right w:val="single" w:sz="8" w:space="0" w:color="1F497D"/>
            </w:tcBorders>
            <w:vAlign w:val="bottom"/>
          </w:tcPr>
          <w:p w:rsidR="00AC12B4" w:rsidRPr="00C27636" w:rsidRDefault="00AC12B4">
            <w:pPr>
              <w:rPr>
                <w:sz w:val="4"/>
                <w:szCs w:val="4"/>
                <w:lang w:val="fr-BE"/>
              </w:rPr>
            </w:pPr>
          </w:p>
        </w:tc>
        <w:tc>
          <w:tcPr>
            <w:tcW w:w="100" w:type="dxa"/>
            <w:vAlign w:val="bottom"/>
          </w:tcPr>
          <w:p w:rsidR="00AC12B4" w:rsidRPr="00C27636" w:rsidRDefault="00AC12B4">
            <w:pPr>
              <w:rPr>
                <w:sz w:val="4"/>
                <w:szCs w:val="4"/>
                <w:lang w:val="fr-BE"/>
              </w:rPr>
            </w:pPr>
          </w:p>
        </w:tc>
        <w:tc>
          <w:tcPr>
            <w:tcW w:w="1160" w:type="dxa"/>
            <w:vAlign w:val="bottom"/>
          </w:tcPr>
          <w:p w:rsidR="00AC12B4" w:rsidRPr="00C27636" w:rsidRDefault="00AC12B4">
            <w:pPr>
              <w:rPr>
                <w:sz w:val="4"/>
                <w:szCs w:val="4"/>
                <w:lang w:val="fr-BE"/>
              </w:rPr>
            </w:pPr>
          </w:p>
        </w:tc>
        <w:tc>
          <w:tcPr>
            <w:tcW w:w="120" w:type="dxa"/>
            <w:tcBorders>
              <w:right w:val="single" w:sz="8" w:space="0" w:color="1F497D"/>
            </w:tcBorders>
            <w:vAlign w:val="bottom"/>
          </w:tcPr>
          <w:p w:rsidR="00AC12B4" w:rsidRPr="00C27636" w:rsidRDefault="00AC12B4">
            <w:pPr>
              <w:rPr>
                <w:sz w:val="4"/>
                <w:szCs w:val="4"/>
                <w:lang w:val="fr-BE"/>
              </w:rPr>
            </w:pPr>
          </w:p>
        </w:tc>
        <w:tc>
          <w:tcPr>
            <w:tcW w:w="80" w:type="dxa"/>
            <w:vAlign w:val="bottom"/>
          </w:tcPr>
          <w:p w:rsidR="00AC12B4" w:rsidRPr="00C27636" w:rsidRDefault="00AC12B4">
            <w:pPr>
              <w:rPr>
                <w:sz w:val="4"/>
                <w:szCs w:val="4"/>
                <w:lang w:val="fr-BE"/>
              </w:rPr>
            </w:pPr>
          </w:p>
        </w:tc>
        <w:tc>
          <w:tcPr>
            <w:tcW w:w="1160" w:type="dxa"/>
            <w:vAlign w:val="bottom"/>
          </w:tcPr>
          <w:p w:rsidR="00AC12B4" w:rsidRPr="00C27636" w:rsidRDefault="00AC12B4">
            <w:pPr>
              <w:rPr>
                <w:sz w:val="4"/>
                <w:szCs w:val="4"/>
                <w:lang w:val="fr-BE"/>
              </w:rPr>
            </w:pPr>
          </w:p>
        </w:tc>
        <w:tc>
          <w:tcPr>
            <w:tcW w:w="120" w:type="dxa"/>
            <w:tcBorders>
              <w:right w:val="single" w:sz="8" w:space="0" w:color="1F497D"/>
            </w:tcBorders>
            <w:vAlign w:val="bottom"/>
          </w:tcPr>
          <w:p w:rsidR="00AC12B4" w:rsidRPr="00C27636" w:rsidRDefault="00AC12B4">
            <w:pPr>
              <w:rPr>
                <w:sz w:val="4"/>
                <w:szCs w:val="4"/>
                <w:lang w:val="fr-BE"/>
              </w:rPr>
            </w:pPr>
          </w:p>
        </w:tc>
        <w:tc>
          <w:tcPr>
            <w:tcW w:w="80" w:type="dxa"/>
            <w:vAlign w:val="bottom"/>
          </w:tcPr>
          <w:p w:rsidR="00AC12B4" w:rsidRPr="00C27636" w:rsidRDefault="00AC12B4">
            <w:pPr>
              <w:rPr>
                <w:sz w:val="4"/>
                <w:szCs w:val="4"/>
                <w:lang w:val="fr-BE"/>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centres fermés</w:t>
            </w: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centre fermé</w:t>
            </w: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70"/>
        </w:trPr>
        <w:tc>
          <w:tcPr>
            <w:tcW w:w="120" w:type="dxa"/>
            <w:tcBorders>
              <w:left w:val="single" w:sz="8" w:space="0" w:color="1F497D"/>
            </w:tcBorders>
            <w:vAlign w:val="bottom"/>
          </w:tcPr>
          <w:p w:rsidR="00AC12B4" w:rsidRDefault="00AC12B4">
            <w:pPr>
              <w:rPr>
                <w:sz w:val="14"/>
                <w:szCs w:val="14"/>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prolongeable de 3 jours)</w:t>
            </w:r>
          </w:p>
        </w:tc>
        <w:tc>
          <w:tcPr>
            <w:tcW w:w="100" w:type="dxa"/>
            <w:vAlign w:val="bottom"/>
          </w:tcPr>
          <w:p w:rsidR="00AC12B4" w:rsidRDefault="00AC12B4">
            <w:pPr>
              <w:rPr>
                <w:sz w:val="14"/>
                <w:szCs w:val="14"/>
              </w:rPr>
            </w:pPr>
          </w:p>
        </w:tc>
        <w:tc>
          <w:tcPr>
            <w:tcW w:w="102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50"/>
        </w:trPr>
        <w:tc>
          <w:tcPr>
            <w:tcW w:w="120" w:type="dxa"/>
            <w:tcBorders>
              <w:left w:val="single" w:sz="8" w:space="0" w:color="1F497D"/>
            </w:tcBorders>
            <w:vAlign w:val="bottom"/>
          </w:tcPr>
          <w:p w:rsidR="00AC12B4" w:rsidRDefault="00AC12B4">
            <w:pPr>
              <w:rPr>
                <w:sz w:val="4"/>
                <w:szCs w:val="4"/>
              </w:rPr>
            </w:pPr>
          </w:p>
        </w:tc>
        <w:tc>
          <w:tcPr>
            <w:tcW w:w="2000" w:type="dxa"/>
            <w:gridSpan w:val="2"/>
            <w:vMerge/>
            <w:tcBorders>
              <w:right w:val="single" w:sz="8" w:space="0" w:color="1F497D"/>
            </w:tcBorders>
            <w:vAlign w:val="bottom"/>
          </w:tcPr>
          <w:p w:rsidR="00AC12B4" w:rsidRDefault="00AC12B4">
            <w:pPr>
              <w:rPr>
                <w:sz w:val="4"/>
                <w:szCs w:val="4"/>
              </w:rPr>
            </w:pPr>
          </w:p>
        </w:tc>
        <w:tc>
          <w:tcPr>
            <w:tcW w:w="100" w:type="dxa"/>
            <w:vAlign w:val="bottom"/>
          </w:tcPr>
          <w:p w:rsidR="00AC12B4" w:rsidRDefault="00AC12B4">
            <w:pPr>
              <w:rPr>
                <w:sz w:val="4"/>
                <w:szCs w:val="4"/>
              </w:rPr>
            </w:pPr>
          </w:p>
        </w:tc>
        <w:tc>
          <w:tcPr>
            <w:tcW w:w="102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10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ne sont pas</w:t>
            </w: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127bis ne sont</w:t>
            </w: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70"/>
        </w:trPr>
        <w:tc>
          <w:tcPr>
            <w:tcW w:w="120" w:type="dxa"/>
            <w:tcBorders>
              <w:left w:val="single" w:sz="8" w:space="0" w:color="1F497D"/>
            </w:tcBorders>
            <w:vAlign w:val="bottom"/>
          </w:tcPr>
          <w:p w:rsidR="00AC12B4" w:rsidRDefault="00AC12B4">
            <w:pPr>
              <w:rPr>
                <w:sz w:val="14"/>
                <w:szCs w:val="14"/>
              </w:rPr>
            </w:pPr>
          </w:p>
        </w:tc>
        <w:tc>
          <w:tcPr>
            <w:tcW w:w="188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02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218"/>
        </w:trPr>
        <w:tc>
          <w:tcPr>
            <w:tcW w:w="120" w:type="dxa"/>
            <w:tcBorders>
              <w:left w:val="single" w:sz="8" w:space="0" w:color="1F497D"/>
            </w:tcBorders>
            <w:vAlign w:val="bottom"/>
          </w:tcPr>
          <w:p w:rsidR="00AC12B4" w:rsidRDefault="00AC12B4">
            <w:pPr>
              <w:rPr>
                <w:sz w:val="18"/>
                <w:szCs w:val="18"/>
              </w:rPr>
            </w:pPr>
          </w:p>
        </w:tc>
        <w:tc>
          <w:tcPr>
            <w:tcW w:w="188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connus</w:t>
            </w:r>
          </w:p>
        </w:tc>
        <w:tc>
          <w:tcPr>
            <w:tcW w:w="80" w:type="dxa"/>
            <w:vAlign w:val="bottom"/>
          </w:tcPr>
          <w:p w:rsidR="00AC12B4" w:rsidRDefault="00AC12B4">
            <w:pPr>
              <w:rPr>
                <w:sz w:val="18"/>
                <w:szCs w:val="18"/>
              </w:rPr>
            </w:pPr>
          </w:p>
        </w:tc>
        <w:tc>
          <w:tcPr>
            <w:tcW w:w="1280" w:type="dxa"/>
            <w:gridSpan w:val="2"/>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7"/>
                <w:sz w:val="18"/>
                <w:szCs w:val="18"/>
              </w:rPr>
              <w:t>pas connus</w:t>
            </w: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26"/>
        </w:trPr>
        <w:tc>
          <w:tcPr>
            <w:tcW w:w="120" w:type="dxa"/>
            <w:tcBorders>
              <w:left w:val="single" w:sz="8" w:space="0" w:color="1F497D"/>
              <w:bottom w:val="single" w:sz="8" w:space="0" w:color="1F497D"/>
            </w:tcBorders>
            <w:vAlign w:val="bottom"/>
          </w:tcPr>
          <w:p w:rsidR="00AC12B4" w:rsidRDefault="00AC12B4">
            <w:pPr>
              <w:rPr>
                <w:sz w:val="10"/>
                <w:szCs w:val="10"/>
              </w:rPr>
            </w:pPr>
          </w:p>
        </w:tc>
        <w:tc>
          <w:tcPr>
            <w:tcW w:w="2000" w:type="dxa"/>
            <w:gridSpan w:val="2"/>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02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09"/>
        </w:trPr>
        <w:tc>
          <w:tcPr>
            <w:tcW w:w="120" w:type="dxa"/>
            <w:tcBorders>
              <w:left w:val="single" w:sz="8" w:space="0" w:color="1F497D"/>
            </w:tcBorders>
            <w:vAlign w:val="bottom"/>
          </w:tcPr>
          <w:p w:rsidR="00AC12B4" w:rsidRDefault="00AC12B4">
            <w:pPr>
              <w:rPr>
                <w:sz w:val="18"/>
                <w:szCs w:val="18"/>
              </w:rPr>
            </w:pPr>
          </w:p>
        </w:tc>
        <w:tc>
          <w:tcPr>
            <w:tcW w:w="200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w w:val="99"/>
                <w:sz w:val="18"/>
                <w:szCs w:val="18"/>
              </w:rPr>
              <w:t>Familles en centre fermé</w:t>
            </w: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65 (dont 6</w:t>
            </w: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pendant max. 48h (limite</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familles pour</w:t>
            </w: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respectée depuis 2014</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73 (dont 9</w:t>
            </w: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rPr>
                <w:sz w:val="20"/>
                <w:szCs w:val="20"/>
              </w:rPr>
            </w:pPr>
            <w:r>
              <w:rPr>
                <w:rFonts w:ascii="Calibri" w:eastAsia="Calibri" w:hAnsi="Calibri" w:cs="Calibri"/>
                <w:sz w:val="18"/>
                <w:szCs w:val="18"/>
              </w:rPr>
              <w:t>54 (dont 16</w:t>
            </w:r>
          </w:p>
        </w:tc>
        <w:tc>
          <w:tcPr>
            <w:tcW w:w="0" w:type="dxa"/>
            <w:vAlign w:val="bottom"/>
          </w:tcPr>
          <w:p w:rsidR="00AC12B4" w:rsidRDefault="00AC12B4">
            <w:pPr>
              <w:rPr>
                <w:sz w:val="1"/>
                <w:szCs w:val="1"/>
              </w:rPr>
            </w:pPr>
          </w:p>
        </w:tc>
      </w:tr>
      <w:tr w:rsidR="00AC12B4">
        <w:trPr>
          <w:trHeight w:val="123"/>
        </w:trPr>
        <w:tc>
          <w:tcPr>
            <w:tcW w:w="120" w:type="dxa"/>
            <w:tcBorders>
              <w:left w:val="single" w:sz="8" w:space="0" w:color="1F497D"/>
            </w:tcBorders>
            <w:vAlign w:val="bottom"/>
          </w:tcPr>
          <w:p w:rsidR="00AC12B4" w:rsidRDefault="00AC12B4">
            <w:pPr>
              <w:rPr>
                <w:sz w:val="10"/>
                <w:szCs w:val="10"/>
              </w:rPr>
            </w:pPr>
          </w:p>
        </w:tc>
        <w:tc>
          <w:tcPr>
            <w:tcW w:w="2000" w:type="dxa"/>
            <w:gridSpan w:val="2"/>
            <w:vMerge/>
            <w:tcBorders>
              <w:right w:val="single" w:sz="8" w:space="0" w:color="1F497D"/>
            </w:tcBorders>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1020" w:type="dxa"/>
            <w:vAlign w:val="bottom"/>
          </w:tcPr>
          <w:p w:rsidR="00AC12B4" w:rsidRDefault="00AC12B4">
            <w:pPr>
              <w:rPr>
                <w:sz w:val="10"/>
                <w:szCs w:val="10"/>
              </w:rPr>
            </w:pPr>
          </w:p>
        </w:tc>
        <w:tc>
          <w:tcPr>
            <w:tcW w:w="120" w:type="dxa"/>
            <w:tcBorders>
              <w:right w:val="single" w:sz="8" w:space="0" w:color="1F497D"/>
            </w:tcBorders>
            <w:vAlign w:val="bottom"/>
          </w:tcPr>
          <w:p w:rsidR="00AC12B4" w:rsidRDefault="00AC12B4">
            <w:pPr>
              <w:rPr>
                <w:sz w:val="10"/>
                <w:szCs w:val="10"/>
              </w:rPr>
            </w:pPr>
          </w:p>
        </w:tc>
        <w:tc>
          <w:tcPr>
            <w:tcW w:w="100" w:type="dxa"/>
            <w:vAlign w:val="bottom"/>
          </w:tcPr>
          <w:p w:rsidR="00AC12B4" w:rsidRDefault="00AC12B4">
            <w:pPr>
              <w:rPr>
                <w:sz w:val="10"/>
                <w:szCs w:val="10"/>
              </w:rPr>
            </w:pPr>
          </w:p>
        </w:tc>
        <w:tc>
          <w:tcPr>
            <w:tcW w:w="1160" w:type="dxa"/>
            <w:vAlign w:val="bottom"/>
          </w:tcPr>
          <w:p w:rsidR="00AC12B4" w:rsidRDefault="00AC12B4">
            <w:pPr>
              <w:rPr>
                <w:sz w:val="10"/>
                <w:szCs w:val="10"/>
              </w:rPr>
            </w:pPr>
          </w:p>
        </w:tc>
        <w:tc>
          <w:tcPr>
            <w:tcW w:w="120" w:type="dxa"/>
            <w:tcBorders>
              <w:right w:val="single" w:sz="8" w:space="0" w:color="1F497D"/>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quelques</w:t>
            </w:r>
          </w:p>
        </w:tc>
        <w:tc>
          <w:tcPr>
            <w:tcW w:w="80" w:type="dxa"/>
            <w:vAlign w:val="bottom"/>
          </w:tcPr>
          <w:p w:rsidR="00AC12B4" w:rsidRDefault="00AC12B4">
            <w:pPr>
              <w:rPr>
                <w:sz w:val="10"/>
                <w:szCs w:val="10"/>
              </w:rPr>
            </w:pPr>
          </w:p>
        </w:tc>
        <w:tc>
          <w:tcPr>
            <w:tcW w:w="1280" w:type="dxa"/>
            <w:gridSpan w:val="2"/>
            <w:vMerge/>
            <w:tcBorders>
              <w:right w:val="single" w:sz="8" w:space="0" w:color="1F497D"/>
            </w:tcBorders>
            <w:vAlign w:val="bottom"/>
          </w:tcPr>
          <w:p w:rsidR="00AC12B4" w:rsidRDefault="00AC12B4">
            <w:pPr>
              <w:rPr>
                <w:sz w:val="10"/>
                <w:szCs w:val="10"/>
              </w:rPr>
            </w:pPr>
          </w:p>
        </w:tc>
        <w:tc>
          <w:tcPr>
            <w:tcW w:w="80" w:type="dxa"/>
            <w:vAlign w:val="bottom"/>
          </w:tcPr>
          <w:p w:rsidR="00AC12B4" w:rsidRDefault="00AC12B4">
            <w:pPr>
              <w:rPr>
                <w:sz w:val="10"/>
                <w:szCs w:val="10"/>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75 (dont 12</w:t>
            </w:r>
          </w:p>
        </w:tc>
        <w:tc>
          <w:tcPr>
            <w:tcW w:w="80" w:type="dxa"/>
            <w:vAlign w:val="bottom"/>
          </w:tcPr>
          <w:p w:rsidR="00AC12B4" w:rsidRDefault="00AC12B4">
            <w:pPr>
              <w:rPr>
                <w:sz w:val="10"/>
                <w:szCs w:val="10"/>
              </w:rPr>
            </w:pPr>
          </w:p>
        </w:tc>
        <w:tc>
          <w:tcPr>
            <w:tcW w:w="1280" w:type="dxa"/>
            <w:gridSpan w:val="2"/>
            <w:vMerge/>
            <w:tcBorders>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98"/>
        </w:trPr>
        <w:tc>
          <w:tcPr>
            <w:tcW w:w="120" w:type="dxa"/>
            <w:tcBorders>
              <w:left w:val="single" w:sz="8" w:space="0" w:color="1F497D"/>
            </w:tcBorders>
            <w:vAlign w:val="bottom"/>
          </w:tcPr>
          <w:p w:rsidR="00AC12B4" w:rsidRDefault="00AC12B4">
            <w:pPr>
              <w:rPr>
                <w:sz w:val="8"/>
                <w:szCs w:val="8"/>
              </w:rPr>
            </w:pPr>
          </w:p>
        </w:tc>
        <w:tc>
          <w:tcPr>
            <w:tcW w:w="2000" w:type="dxa"/>
            <w:gridSpan w:val="2"/>
            <w:vMerge w:val="restart"/>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w w:val="99"/>
                <w:sz w:val="18"/>
                <w:szCs w:val="18"/>
              </w:rPr>
              <w:t>seulement), au moment</w:t>
            </w:r>
          </w:p>
        </w:tc>
        <w:tc>
          <w:tcPr>
            <w:tcW w:w="100" w:type="dxa"/>
            <w:vAlign w:val="bottom"/>
          </w:tcPr>
          <w:p w:rsidR="00AC12B4" w:rsidRDefault="00AC12B4">
            <w:pPr>
              <w:rPr>
                <w:sz w:val="8"/>
                <w:szCs w:val="8"/>
              </w:rPr>
            </w:pPr>
          </w:p>
        </w:tc>
        <w:tc>
          <w:tcPr>
            <w:tcW w:w="1020" w:type="dxa"/>
            <w:vAlign w:val="bottom"/>
          </w:tcPr>
          <w:p w:rsidR="00AC12B4" w:rsidRDefault="00AC12B4">
            <w:pPr>
              <w:rPr>
                <w:sz w:val="8"/>
                <w:szCs w:val="8"/>
              </w:rPr>
            </w:pPr>
          </w:p>
        </w:tc>
        <w:tc>
          <w:tcPr>
            <w:tcW w:w="120" w:type="dxa"/>
            <w:tcBorders>
              <w:right w:val="single" w:sz="8" w:space="0" w:color="1F497D"/>
            </w:tcBorders>
            <w:vAlign w:val="bottom"/>
          </w:tcPr>
          <w:p w:rsidR="00AC12B4" w:rsidRDefault="00AC12B4">
            <w:pPr>
              <w:rPr>
                <w:sz w:val="8"/>
                <w:szCs w:val="8"/>
              </w:rPr>
            </w:pPr>
          </w:p>
        </w:tc>
        <w:tc>
          <w:tcPr>
            <w:tcW w:w="100" w:type="dxa"/>
            <w:vAlign w:val="bottom"/>
          </w:tcPr>
          <w:p w:rsidR="00AC12B4" w:rsidRDefault="00AC12B4">
            <w:pPr>
              <w:rPr>
                <w:sz w:val="8"/>
                <w:szCs w:val="8"/>
              </w:rPr>
            </w:pPr>
          </w:p>
        </w:tc>
        <w:tc>
          <w:tcPr>
            <w:tcW w:w="1160" w:type="dxa"/>
            <w:vAlign w:val="bottom"/>
          </w:tcPr>
          <w:p w:rsidR="00AC12B4" w:rsidRDefault="00AC12B4">
            <w:pPr>
              <w:rPr>
                <w:sz w:val="8"/>
                <w:szCs w:val="8"/>
              </w:rPr>
            </w:pPr>
          </w:p>
        </w:tc>
        <w:tc>
          <w:tcPr>
            <w:tcW w:w="120" w:type="dxa"/>
            <w:tcBorders>
              <w:right w:val="single" w:sz="8" w:space="0" w:color="1F497D"/>
            </w:tcBorders>
            <w:vAlign w:val="bottom"/>
          </w:tcPr>
          <w:p w:rsidR="00AC12B4" w:rsidRDefault="00AC12B4">
            <w:pPr>
              <w:rPr>
                <w:sz w:val="8"/>
                <w:szCs w:val="8"/>
              </w:rPr>
            </w:pPr>
          </w:p>
        </w:tc>
        <w:tc>
          <w:tcPr>
            <w:tcW w:w="80" w:type="dxa"/>
            <w:vAlign w:val="bottom"/>
          </w:tcPr>
          <w:p w:rsidR="00AC12B4" w:rsidRDefault="00AC12B4">
            <w:pPr>
              <w:rPr>
                <w:sz w:val="8"/>
                <w:szCs w:val="8"/>
              </w:rPr>
            </w:pPr>
          </w:p>
        </w:tc>
        <w:tc>
          <w:tcPr>
            <w:tcW w:w="1280" w:type="dxa"/>
            <w:gridSpan w:val="2"/>
            <w:vMerge/>
            <w:tcBorders>
              <w:right w:val="single" w:sz="8" w:space="0" w:color="1F497D"/>
            </w:tcBorders>
            <w:vAlign w:val="bottom"/>
          </w:tcPr>
          <w:p w:rsidR="00AC12B4" w:rsidRDefault="00AC12B4">
            <w:pPr>
              <w:rPr>
                <w:sz w:val="8"/>
                <w:szCs w:val="8"/>
              </w:rPr>
            </w:pPr>
          </w:p>
        </w:tc>
        <w:tc>
          <w:tcPr>
            <w:tcW w:w="80" w:type="dxa"/>
            <w:vAlign w:val="bottom"/>
          </w:tcPr>
          <w:p w:rsidR="00AC12B4" w:rsidRDefault="00AC12B4">
            <w:pPr>
              <w:rPr>
                <w:sz w:val="8"/>
                <w:szCs w:val="8"/>
              </w:rPr>
            </w:pPr>
          </w:p>
        </w:tc>
        <w:tc>
          <w:tcPr>
            <w:tcW w:w="1280" w:type="dxa"/>
            <w:gridSpan w:val="2"/>
            <w:vMerge w:val="restart"/>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familles pour</w:t>
            </w:r>
          </w:p>
        </w:tc>
        <w:tc>
          <w:tcPr>
            <w:tcW w:w="80" w:type="dxa"/>
            <w:vAlign w:val="bottom"/>
          </w:tcPr>
          <w:p w:rsidR="00AC12B4" w:rsidRDefault="00AC12B4">
            <w:pPr>
              <w:rPr>
                <w:sz w:val="8"/>
                <w:szCs w:val="8"/>
              </w:rPr>
            </w:pPr>
          </w:p>
        </w:tc>
        <w:tc>
          <w:tcPr>
            <w:tcW w:w="1280" w:type="dxa"/>
            <w:gridSpan w:val="2"/>
            <w:vMerge/>
            <w:tcBorders>
              <w:right w:val="single" w:sz="8" w:space="0" w:color="1F497D"/>
            </w:tcBorders>
            <w:vAlign w:val="bottom"/>
          </w:tcPr>
          <w:p w:rsidR="00AC12B4" w:rsidRDefault="00AC12B4">
            <w:pPr>
              <w:rPr>
                <w:sz w:val="8"/>
                <w:szCs w:val="8"/>
              </w:rPr>
            </w:pPr>
          </w:p>
        </w:tc>
        <w:tc>
          <w:tcPr>
            <w:tcW w:w="80" w:type="dxa"/>
            <w:vAlign w:val="bottom"/>
          </w:tcPr>
          <w:p w:rsidR="00AC12B4" w:rsidRDefault="00AC12B4">
            <w:pPr>
              <w:rPr>
                <w:sz w:val="8"/>
                <w:szCs w:val="8"/>
              </w:rPr>
            </w:pPr>
          </w:p>
        </w:tc>
        <w:tc>
          <w:tcPr>
            <w:tcW w:w="1280" w:type="dxa"/>
            <w:gridSpan w:val="2"/>
            <w:vMerge w:val="restart"/>
            <w:tcBorders>
              <w:right w:val="single" w:sz="8" w:space="0" w:color="1F497D"/>
            </w:tcBorders>
            <w:vAlign w:val="bottom"/>
          </w:tcPr>
          <w:p w:rsidR="00AC12B4" w:rsidRDefault="00C27636">
            <w:pPr>
              <w:rPr>
                <w:sz w:val="20"/>
                <w:szCs w:val="20"/>
              </w:rPr>
            </w:pPr>
            <w:r>
              <w:rPr>
                <w:rFonts w:ascii="Calibri" w:eastAsia="Calibri" w:hAnsi="Calibri" w:cs="Calibri"/>
                <w:sz w:val="18"/>
                <w:szCs w:val="18"/>
              </w:rPr>
              <w:t>pour max.</w:t>
            </w:r>
          </w:p>
        </w:tc>
        <w:tc>
          <w:tcPr>
            <w:tcW w:w="0" w:type="dxa"/>
            <w:vAlign w:val="bottom"/>
          </w:tcPr>
          <w:p w:rsidR="00AC12B4" w:rsidRDefault="00AC12B4">
            <w:pPr>
              <w:rPr>
                <w:sz w:val="1"/>
                <w:szCs w:val="1"/>
              </w:rPr>
            </w:pPr>
          </w:p>
        </w:tc>
      </w:tr>
      <w:tr w:rsidR="00AC12B4">
        <w:trPr>
          <w:trHeight w:val="150"/>
        </w:trPr>
        <w:tc>
          <w:tcPr>
            <w:tcW w:w="120" w:type="dxa"/>
            <w:tcBorders>
              <w:left w:val="single" w:sz="8" w:space="0" w:color="1F497D"/>
            </w:tcBorders>
            <w:vAlign w:val="bottom"/>
          </w:tcPr>
          <w:p w:rsidR="00AC12B4" w:rsidRDefault="00AC12B4">
            <w:pPr>
              <w:rPr>
                <w:sz w:val="13"/>
                <w:szCs w:val="13"/>
              </w:rPr>
            </w:pPr>
          </w:p>
        </w:tc>
        <w:tc>
          <w:tcPr>
            <w:tcW w:w="2000" w:type="dxa"/>
            <w:gridSpan w:val="2"/>
            <w:vMerge/>
            <w:tcBorders>
              <w:right w:val="single" w:sz="8" w:space="0" w:color="1F497D"/>
            </w:tcBorders>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1020" w:type="dxa"/>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1160" w:type="dxa"/>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heures, 45</w:t>
            </w:r>
          </w:p>
        </w:tc>
        <w:tc>
          <w:tcPr>
            <w:tcW w:w="80" w:type="dxa"/>
            <w:vAlign w:val="bottom"/>
          </w:tcPr>
          <w:p w:rsidR="00AC12B4" w:rsidRDefault="00AC12B4">
            <w:pPr>
              <w:rPr>
                <w:sz w:val="13"/>
                <w:szCs w:val="13"/>
              </w:rPr>
            </w:pPr>
          </w:p>
        </w:tc>
        <w:tc>
          <w:tcPr>
            <w:tcW w:w="1280" w:type="dxa"/>
            <w:gridSpan w:val="2"/>
            <w:vMerge/>
            <w:tcBorders>
              <w:right w:val="single" w:sz="8" w:space="0" w:color="1F497D"/>
            </w:tcBorders>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familles pour</w:t>
            </w:r>
          </w:p>
        </w:tc>
        <w:tc>
          <w:tcPr>
            <w:tcW w:w="80" w:type="dxa"/>
            <w:vAlign w:val="bottom"/>
          </w:tcPr>
          <w:p w:rsidR="00AC12B4" w:rsidRDefault="00AC12B4">
            <w:pPr>
              <w:rPr>
                <w:sz w:val="13"/>
                <w:szCs w:val="13"/>
              </w:rPr>
            </w:pPr>
          </w:p>
        </w:tc>
        <w:tc>
          <w:tcPr>
            <w:tcW w:w="1280" w:type="dxa"/>
            <w:gridSpan w:val="2"/>
            <w:vMerge/>
            <w:tcBorders>
              <w:right w:val="single" w:sz="8" w:space="0" w:color="1F497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69"/>
        </w:trPr>
        <w:tc>
          <w:tcPr>
            <w:tcW w:w="120" w:type="dxa"/>
            <w:tcBorders>
              <w:left w:val="single" w:sz="8" w:space="0" w:color="1F497D"/>
            </w:tcBorders>
            <w:vAlign w:val="bottom"/>
          </w:tcPr>
          <w:p w:rsidR="00AC12B4" w:rsidRDefault="00AC12B4">
            <w:pPr>
              <w:rPr>
                <w:sz w:val="5"/>
                <w:szCs w:val="5"/>
              </w:rPr>
            </w:pPr>
          </w:p>
        </w:tc>
        <w:tc>
          <w:tcPr>
            <w:tcW w:w="2000" w:type="dxa"/>
            <w:gridSpan w:val="2"/>
            <w:vMerge w:val="restart"/>
            <w:tcBorders>
              <w:right w:val="single" w:sz="8" w:space="0" w:color="1F497D"/>
            </w:tcBorders>
            <w:vAlign w:val="bottom"/>
          </w:tcPr>
          <w:p w:rsidR="00AC12B4" w:rsidRDefault="00C27636">
            <w:pPr>
              <w:spacing w:line="179" w:lineRule="exact"/>
              <w:ind w:right="120"/>
              <w:jc w:val="center"/>
              <w:rPr>
                <w:sz w:val="20"/>
                <w:szCs w:val="20"/>
              </w:rPr>
            </w:pPr>
            <w:r>
              <w:rPr>
                <w:rFonts w:ascii="Calibri" w:eastAsia="Calibri" w:hAnsi="Calibri" w:cs="Calibri"/>
                <w:sz w:val="18"/>
                <w:szCs w:val="18"/>
              </w:rPr>
              <w:t>de l’arrivée sans</w:t>
            </w:r>
          </w:p>
        </w:tc>
        <w:tc>
          <w:tcPr>
            <w:tcW w:w="100" w:type="dxa"/>
            <w:vAlign w:val="bottom"/>
          </w:tcPr>
          <w:p w:rsidR="00AC12B4" w:rsidRDefault="00AC12B4">
            <w:pPr>
              <w:rPr>
                <w:sz w:val="5"/>
                <w:szCs w:val="5"/>
              </w:rPr>
            </w:pPr>
          </w:p>
        </w:tc>
        <w:tc>
          <w:tcPr>
            <w:tcW w:w="102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val="restart"/>
            <w:tcBorders>
              <w:right w:val="single" w:sz="8" w:space="0" w:color="1F497D"/>
            </w:tcBorders>
            <w:vAlign w:val="bottom"/>
          </w:tcPr>
          <w:p w:rsidR="00AC12B4" w:rsidRDefault="00C27636">
            <w:pPr>
              <w:spacing w:line="179" w:lineRule="exact"/>
              <w:ind w:right="120"/>
              <w:jc w:val="center"/>
              <w:rPr>
                <w:sz w:val="20"/>
                <w:szCs w:val="20"/>
              </w:rPr>
            </w:pPr>
            <w:r>
              <w:rPr>
                <w:rFonts w:ascii="Calibri" w:eastAsia="Calibri" w:hAnsi="Calibri" w:cs="Calibri"/>
                <w:sz w:val="18"/>
                <w:szCs w:val="18"/>
              </w:rPr>
              <w:t>quelques</w:t>
            </w: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4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chiffres</w:t>
            </w: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9"/>
                <w:sz w:val="18"/>
                <w:szCs w:val="18"/>
              </w:rPr>
              <w:t>chiffres</w:t>
            </w: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pour 1 nuit, 11</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quelques</w:t>
            </w: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187" w:lineRule="exact"/>
              <w:rPr>
                <w:sz w:val="20"/>
                <w:szCs w:val="20"/>
              </w:rPr>
            </w:pPr>
            <w:r>
              <w:rPr>
                <w:rFonts w:ascii="Calibri" w:eastAsia="Calibri" w:hAnsi="Calibri" w:cs="Calibri"/>
                <w:sz w:val="18"/>
                <w:szCs w:val="18"/>
              </w:rPr>
              <w:t>12h., 33 pour</w:t>
            </w: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documents en Belgique</w:t>
            </w:r>
          </w:p>
        </w:tc>
        <w:tc>
          <w:tcPr>
            <w:tcW w:w="100" w:type="dxa"/>
            <w:vAlign w:val="bottom"/>
          </w:tcPr>
          <w:p w:rsidR="00AC12B4" w:rsidRDefault="00AC12B4">
            <w:pPr>
              <w:rPr>
                <w:sz w:val="9"/>
                <w:szCs w:val="9"/>
              </w:rPr>
            </w:pPr>
          </w:p>
        </w:tc>
        <w:tc>
          <w:tcPr>
            <w:tcW w:w="114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8"/>
                <w:sz w:val="18"/>
                <w:szCs w:val="18"/>
              </w:rPr>
              <w:t>heures, 57</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40" w:type="dxa"/>
            <w:gridSpan w:val="2"/>
            <w:vMerge w:val="restart"/>
            <w:tcBorders>
              <w:right w:val="single" w:sz="8" w:space="0" w:color="1F497D"/>
            </w:tcBorders>
            <w:vAlign w:val="bottom"/>
          </w:tcPr>
          <w:p w:rsidR="00AC12B4" w:rsidRDefault="00C27636">
            <w:pPr>
              <w:ind w:right="100"/>
              <w:jc w:val="center"/>
              <w:rPr>
                <w:sz w:val="20"/>
                <w:szCs w:val="20"/>
              </w:rPr>
            </w:pPr>
            <w:r>
              <w:rPr>
                <w:rFonts w:ascii="Calibri" w:eastAsia="Calibri" w:hAnsi="Calibri" w:cs="Calibri"/>
                <w:w w:val="99"/>
                <w:sz w:val="18"/>
                <w:szCs w:val="18"/>
              </w:rPr>
              <w:t>indisponibles</w:t>
            </w:r>
          </w:p>
        </w:tc>
        <w:tc>
          <w:tcPr>
            <w:tcW w:w="10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indisponibles</w:t>
            </w: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40"/>
              <w:jc w:val="center"/>
              <w:rPr>
                <w:sz w:val="20"/>
                <w:szCs w:val="20"/>
              </w:rPr>
            </w:pPr>
            <w:r>
              <w:rPr>
                <w:rFonts w:ascii="Calibri" w:eastAsia="Calibri" w:hAnsi="Calibri" w:cs="Calibri"/>
                <w:sz w:val="18"/>
                <w:szCs w:val="18"/>
              </w:rPr>
              <w:t>pour 2 nuits, 1</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8"/>
                <w:sz w:val="18"/>
                <w:szCs w:val="18"/>
              </w:rPr>
              <w:t>heures, 55</w:t>
            </w: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rPr>
                <w:sz w:val="20"/>
                <w:szCs w:val="20"/>
              </w:rPr>
            </w:pPr>
            <w:r>
              <w:rPr>
                <w:rFonts w:ascii="Calibri" w:eastAsia="Calibri" w:hAnsi="Calibri" w:cs="Calibri"/>
                <w:sz w:val="18"/>
                <w:szCs w:val="18"/>
              </w:rPr>
              <w:t>max. 24h., 5</w:t>
            </w: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Pr="00C27636" w:rsidRDefault="00C27636">
            <w:pPr>
              <w:spacing w:line="218" w:lineRule="exact"/>
              <w:ind w:right="120"/>
              <w:jc w:val="center"/>
              <w:rPr>
                <w:sz w:val="20"/>
                <w:szCs w:val="20"/>
                <w:lang w:val="fr-BE"/>
              </w:rPr>
            </w:pPr>
            <w:r w:rsidRPr="00C27636">
              <w:rPr>
                <w:rFonts w:ascii="Calibri" w:eastAsia="Calibri" w:hAnsi="Calibri" w:cs="Calibri"/>
                <w:sz w:val="18"/>
                <w:szCs w:val="18"/>
                <w:lang w:val="fr-BE"/>
              </w:rPr>
              <w:t>ou en attendant le vol de</w:t>
            </w:r>
          </w:p>
        </w:tc>
        <w:tc>
          <w:tcPr>
            <w:tcW w:w="100" w:type="dxa"/>
            <w:vAlign w:val="bottom"/>
          </w:tcPr>
          <w:p w:rsidR="00AC12B4" w:rsidRPr="00C27636" w:rsidRDefault="00AC12B4">
            <w:pPr>
              <w:rPr>
                <w:sz w:val="9"/>
                <w:szCs w:val="9"/>
                <w:lang w:val="fr-BE"/>
              </w:rPr>
            </w:pPr>
          </w:p>
        </w:tc>
        <w:tc>
          <w:tcPr>
            <w:tcW w:w="1140" w:type="dxa"/>
            <w:gridSpan w:val="2"/>
            <w:vMerge/>
            <w:tcBorders>
              <w:right w:val="single" w:sz="8" w:space="0" w:color="1F497D"/>
            </w:tcBorders>
            <w:vAlign w:val="bottom"/>
          </w:tcPr>
          <w:p w:rsidR="00AC12B4" w:rsidRPr="00C27636" w:rsidRDefault="00AC12B4">
            <w:pPr>
              <w:rPr>
                <w:sz w:val="9"/>
                <w:szCs w:val="9"/>
                <w:lang w:val="fr-BE"/>
              </w:rPr>
            </w:pPr>
          </w:p>
        </w:tc>
        <w:tc>
          <w:tcPr>
            <w:tcW w:w="100" w:type="dxa"/>
            <w:vAlign w:val="bottom"/>
          </w:tcPr>
          <w:p w:rsidR="00AC12B4" w:rsidRPr="00C27636" w:rsidRDefault="00AC12B4">
            <w:pPr>
              <w:rPr>
                <w:sz w:val="9"/>
                <w:szCs w:val="9"/>
                <w:lang w:val="fr-BE"/>
              </w:rPr>
            </w:pPr>
          </w:p>
        </w:tc>
        <w:tc>
          <w:tcPr>
            <w:tcW w:w="1280" w:type="dxa"/>
            <w:gridSpan w:val="2"/>
            <w:vMerge/>
            <w:tcBorders>
              <w:right w:val="single" w:sz="8" w:space="0" w:color="1F497D"/>
            </w:tcBorders>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1280" w:type="dxa"/>
            <w:gridSpan w:val="2"/>
            <w:vMerge/>
            <w:tcBorders>
              <w:right w:val="single" w:sz="8" w:space="0" w:color="1F497D"/>
            </w:tcBorders>
            <w:vAlign w:val="bottom"/>
          </w:tcPr>
          <w:p w:rsidR="00AC12B4" w:rsidRPr="00C27636" w:rsidRDefault="00AC12B4">
            <w:pPr>
              <w:rPr>
                <w:sz w:val="9"/>
                <w:szCs w:val="9"/>
                <w:lang w:val="fr-BE"/>
              </w:rPr>
            </w:pPr>
          </w:p>
        </w:tc>
        <w:tc>
          <w:tcPr>
            <w:tcW w:w="80" w:type="dxa"/>
            <w:vAlign w:val="bottom"/>
          </w:tcPr>
          <w:p w:rsidR="00AC12B4" w:rsidRPr="00C27636" w:rsidRDefault="00AC12B4">
            <w:pPr>
              <w:rPr>
                <w:sz w:val="9"/>
                <w:szCs w:val="9"/>
                <w:lang w:val="fr-BE"/>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pour 1 nuit, 4</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sz w:val="18"/>
                <w:szCs w:val="18"/>
              </w:rPr>
              <w:t>pour 3 nuits, 1</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pour 1 nuit, 8</w:t>
            </w: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rPr>
                <w:sz w:val="20"/>
                <w:szCs w:val="20"/>
              </w:rPr>
            </w:pPr>
            <w:r>
              <w:rPr>
                <w:rFonts w:ascii="Calibri" w:eastAsia="Calibri" w:hAnsi="Calibri" w:cs="Calibri"/>
                <w:sz w:val="18"/>
                <w:szCs w:val="18"/>
              </w:rPr>
              <w:t>pendant max.</w:t>
            </w:r>
          </w:p>
        </w:tc>
        <w:tc>
          <w:tcPr>
            <w:tcW w:w="0" w:type="dxa"/>
            <w:vAlign w:val="bottom"/>
          </w:tcPr>
          <w:p w:rsidR="00AC12B4" w:rsidRDefault="00AC12B4">
            <w:pPr>
              <w:rPr>
                <w:sz w:val="1"/>
                <w:szCs w:val="1"/>
              </w:rPr>
            </w:pPr>
          </w:p>
        </w:tc>
      </w:tr>
      <w:tr w:rsidR="00AC12B4">
        <w:trPr>
          <w:trHeight w:val="144"/>
        </w:trPr>
        <w:tc>
          <w:tcPr>
            <w:tcW w:w="120" w:type="dxa"/>
            <w:tcBorders>
              <w:left w:val="single" w:sz="8" w:space="0" w:color="1F497D"/>
            </w:tcBorders>
            <w:vAlign w:val="bottom"/>
          </w:tcPr>
          <w:p w:rsidR="00AC12B4" w:rsidRDefault="00AC12B4">
            <w:pPr>
              <w:rPr>
                <w:sz w:val="12"/>
                <w:szCs w:val="12"/>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retour (depuis 2012</w:t>
            </w:r>
          </w:p>
        </w:tc>
        <w:tc>
          <w:tcPr>
            <w:tcW w:w="100" w:type="dxa"/>
            <w:vAlign w:val="bottom"/>
          </w:tcPr>
          <w:p w:rsidR="00AC12B4" w:rsidRDefault="00AC12B4">
            <w:pPr>
              <w:rPr>
                <w:sz w:val="12"/>
                <w:szCs w:val="12"/>
              </w:rPr>
            </w:pPr>
          </w:p>
        </w:tc>
        <w:tc>
          <w:tcPr>
            <w:tcW w:w="1020" w:type="dxa"/>
            <w:vAlign w:val="bottom"/>
          </w:tcPr>
          <w:p w:rsidR="00AC12B4" w:rsidRDefault="00AC12B4">
            <w:pPr>
              <w:rPr>
                <w:sz w:val="12"/>
                <w:szCs w:val="12"/>
              </w:rPr>
            </w:pPr>
          </w:p>
        </w:tc>
        <w:tc>
          <w:tcPr>
            <w:tcW w:w="120" w:type="dxa"/>
            <w:tcBorders>
              <w:right w:val="single" w:sz="8" w:space="0" w:color="1F497D"/>
            </w:tcBorders>
            <w:vAlign w:val="bottom"/>
          </w:tcPr>
          <w:p w:rsidR="00AC12B4" w:rsidRDefault="00AC12B4">
            <w:pPr>
              <w:rPr>
                <w:sz w:val="12"/>
                <w:szCs w:val="12"/>
              </w:rPr>
            </w:pPr>
          </w:p>
        </w:tc>
        <w:tc>
          <w:tcPr>
            <w:tcW w:w="100" w:type="dxa"/>
            <w:vAlign w:val="bottom"/>
          </w:tcPr>
          <w:p w:rsidR="00AC12B4" w:rsidRDefault="00AC12B4">
            <w:pPr>
              <w:rPr>
                <w:sz w:val="12"/>
                <w:szCs w:val="12"/>
              </w:rPr>
            </w:pPr>
          </w:p>
        </w:tc>
        <w:tc>
          <w:tcPr>
            <w:tcW w:w="1160" w:type="dxa"/>
            <w:vAlign w:val="bottom"/>
          </w:tcPr>
          <w:p w:rsidR="00AC12B4" w:rsidRDefault="00AC12B4">
            <w:pPr>
              <w:rPr>
                <w:sz w:val="12"/>
                <w:szCs w:val="12"/>
              </w:rPr>
            </w:pPr>
          </w:p>
        </w:tc>
        <w:tc>
          <w:tcPr>
            <w:tcW w:w="120" w:type="dxa"/>
            <w:tcBorders>
              <w:right w:val="single" w:sz="8" w:space="0" w:color="1F497D"/>
            </w:tcBorders>
            <w:vAlign w:val="bottom"/>
          </w:tcPr>
          <w:p w:rsidR="00AC12B4" w:rsidRDefault="00AC12B4">
            <w:pPr>
              <w:rPr>
                <w:sz w:val="12"/>
                <w:szCs w:val="12"/>
              </w:rPr>
            </w:pPr>
          </w:p>
        </w:tc>
        <w:tc>
          <w:tcPr>
            <w:tcW w:w="80" w:type="dxa"/>
            <w:vAlign w:val="bottom"/>
          </w:tcPr>
          <w:p w:rsidR="00AC12B4" w:rsidRDefault="00AC12B4">
            <w:pPr>
              <w:rPr>
                <w:sz w:val="12"/>
                <w:szCs w:val="12"/>
              </w:rPr>
            </w:pPr>
          </w:p>
        </w:tc>
        <w:tc>
          <w:tcPr>
            <w:tcW w:w="1280" w:type="dxa"/>
            <w:gridSpan w:val="2"/>
            <w:vMerge/>
            <w:tcBorders>
              <w:right w:val="single" w:sz="8" w:space="0" w:color="1F497D"/>
            </w:tcBorders>
            <w:vAlign w:val="bottom"/>
          </w:tcPr>
          <w:p w:rsidR="00AC12B4" w:rsidRDefault="00AC12B4">
            <w:pPr>
              <w:rPr>
                <w:sz w:val="12"/>
                <w:szCs w:val="12"/>
              </w:rPr>
            </w:pPr>
          </w:p>
        </w:tc>
        <w:tc>
          <w:tcPr>
            <w:tcW w:w="80" w:type="dxa"/>
            <w:vAlign w:val="bottom"/>
          </w:tcPr>
          <w:p w:rsidR="00AC12B4" w:rsidRDefault="00AC12B4">
            <w:pPr>
              <w:rPr>
                <w:sz w:val="12"/>
                <w:szCs w:val="12"/>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8"/>
                <w:sz w:val="18"/>
                <w:szCs w:val="18"/>
              </w:rPr>
              <w:t>pour 2 nuits, 3</w:t>
            </w:r>
          </w:p>
        </w:tc>
        <w:tc>
          <w:tcPr>
            <w:tcW w:w="80" w:type="dxa"/>
            <w:vAlign w:val="bottom"/>
          </w:tcPr>
          <w:p w:rsidR="00AC12B4" w:rsidRDefault="00AC12B4">
            <w:pPr>
              <w:rPr>
                <w:sz w:val="12"/>
                <w:szCs w:val="12"/>
              </w:rPr>
            </w:pPr>
          </w:p>
        </w:tc>
        <w:tc>
          <w:tcPr>
            <w:tcW w:w="1280" w:type="dxa"/>
            <w:gridSpan w:val="2"/>
            <w:vMerge/>
            <w:tcBorders>
              <w:right w:val="single" w:sz="8" w:space="0" w:color="1F497D"/>
            </w:tcBorders>
            <w:vAlign w:val="bottom"/>
          </w:tcPr>
          <w:p w:rsidR="00AC12B4" w:rsidRDefault="00AC12B4">
            <w:pPr>
              <w:rPr>
                <w:sz w:val="12"/>
                <w:szCs w:val="12"/>
              </w:rPr>
            </w:pPr>
          </w:p>
        </w:tc>
        <w:tc>
          <w:tcPr>
            <w:tcW w:w="80" w:type="dxa"/>
            <w:vAlign w:val="bottom"/>
          </w:tcPr>
          <w:p w:rsidR="00AC12B4" w:rsidRDefault="00AC12B4">
            <w:pPr>
              <w:rPr>
                <w:sz w:val="12"/>
                <w:szCs w:val="12"/>
              </w:rPr>
            </w:pPr>
          </w:p>
        </w:tc>
        <w:tc>
          <w:tcPr>
            <w:tcW w:w="1280" w:type="dxa"/>
            <w:gridSpan w:val="2"/>
            <w:vMerge/>
            <w:tcBorders>
              <w:right w:val="single" w:sz="8" w:space="0" w:color="1F497D"/>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77"/>
        </w:trPr>
        <w:tc>
          <w:tcPr>
            <w:tcW w:w="120" w:type="dxa"/>
            <w:tcBorders>
              <w:left w:val="single" w:sz="8" w:space="0" w:color="1F497D"/>
            </w:tcBorders>
            <w:vAlign w:val="bottom"/>
          </w:tcPr>
          <w:p w:rsidR="00AC12B4" w:rsidRDefault="00AC12B4">
            <w:pPr>
              <w:rPr>
                <w:sz w:val="6"/>
                <w:szCs w:val="6"/>
              </w:rPr>
            </w:pPr>
          </w:p>
        </w:tc>
        <w:tc>
          <w:tcPr>
            <w:tcW w:w="2000" w:type="dxa"/>
            <w:gridSpan w:val="2"/>
            <w:vMerge/>
            <w:tcBorders>
              <w:right w:val="single" w:sz="8" w:space="0" w:color="1F497D"/>
            </w:tcBorders>
            <w:vAlign w:val="bottom"/>
          </w:tcPr>
          <w:p w:rsidR="00AC12B4" w:rsidRDefault="00AC12B4">
            <w:pPr>
              <w:rPr>
                <w:sz w:val="6"/>
                <w:szCs w:val="6"/>
              </w:rPr>
            </w:pPr>
          </w:p>
        </w:tc>
        <w:tc>
          <w:tcPr>
            <w:tcW w:w="100" w:type="dxa"/>
            <w:vAlign w:val="bottom"/>
          </w:tcPr>
          <w:p w:rsidR="00AC12B4" w:rsidRDefault="00AC12B4">
            <w:pPr>
              <w:rPr>
                <w:sz w:val="6"/>
                <w:szCs w:val="6"/>
              </w:rPr>
            </w:pPr>
          </w:p>
        </w:tc>
        <w:tc>
          <w:tcPr>
            <w:tcW w:w="1020" w:type="dxa"/>
            <w:vAlign w:val="bottom"/>
          </w:tcPr>
          <w:p w:rsidR="00AC12B4" w:rsidRDefault="00AC12B4">
            <w:pPr>
              <w:rPr>
                <w:sz w:val="6"/>
                <w:szCs w:val="6"/>
              </w:rPr>
            </w:pPr>
          </w:p>
        </w:tc>
        <w:tc>
          <w:tcPr>
            <w:tcW w:w="120" w:type="dxa"/>
            <w:tcBorders>
              <w:right w:val="single" w:sz="8" w:space="0" w:color="1F497D"/>
            </w:tcBorders>
            <w:vAlign w:val="bottom"/>
          </w:tcPr>
          <w:p w:rsidR="00AC12B4" w:rsidRDefault="00AC12B4">
            <w:pPr>
              <w:rPr>
                <w:sz w:val="6"/>
                <w:szCs w:val="6"/>
              </w:rPr>
            </w:pPr>
          </w:p>
        </w:tc>
        <w:tc>
          <w:tcPr>
            <w:tcW w:w="100" w:type="dxa"/>
            <w:vAlign w:val="bottom"/>
          </w:tcPr>
          <w:p w:rsidR="00AC12B4" w:rsidRDefault="00AC12B4">
            <w:pPr>
              <w:rPr>
                <w:sz w:val="6"/>
                <w:szCs w:val="6"/>
              </w:rPr>
            </w:pPr>
          </w:p>
        </w:tc>
        <w:tc>
          <w:tcPr>
            <w:tcW w:w="1160" w:type="dxa"/>
            <w:vAlign w:val="bottom"/>
          </w:tcPr>
          <w:p w:rsidR="00AC12B4" w:rsidRDefault="00AC12B4">
            <w:pPr>
              <w:rPr>
                <w:sz w:val="6"/>
                <w:szCs w:val="6"/>
              </w:rPr>
            </w:pPr>
          </w:p>
        </w:tc>
        <w:tc>
          <w:tcPr>
            <w:tcW w:w="120" w:type="dxa"/>
            <w:tcBorders>
              <w:right w:val="single" w:sz="8" w:space="0" w:color="1F497D"/>
            </w:tcBorders>
            <w:vAlign w:val="bottom"/>
          </w:tcPr>
          <w:p w:rsidR="00AC12B4" w:rsidRDefault="00AC12B4">
            <w:pPr>
              <w:rPr>
                <w:sz w:val="6"/>
                <w:szCs w:val="6"/>
              </w:rPr>
            </w:pPr>
          </w:p>
        </w:tc>
        <w:tc>
          <w:tcPr>
            <w:tcW w:w="80" w:type="dxa"/>
            <w:vAlign w:val="bottom"/>
          </w:tcPr>
          <w:p w:rsidR="00AC12B4" w:rsidRDefault="00AC12B4">
            <w:pPr>
              <w:rPr>
                <w:sz w:val="6"/>
                <w:szCs w:val="6"/>
              </w:rPr>
            </w:pPr>
          </w:p>
        </w:tc>
        <w:tc>
          <w:tcPr>
            <w:tcW w:w="1280" w:type="dxa"/>
            <w:gridSpan w:val="2"/>
            <w:vMerge w:val="restart"/>
            <w:tcBorders>
              <w:right w:val="single" w:sz="8" w:space="0" w:color="1F497D"/>
            </w:tcBorders>
            <w:vAlign w:val="bottom"/>
          </w:tcPr>
          <w:p w:rsidR="00AC12B4" w:rsidRDefault="00C27636">
            <w:pPr>
              <w:spacing w:line="187" w:lineRule="exact"/>
              <w:ind w:right="120"/>
              <w:jc w:val="center"/>
              <w:rPr>
                <w:sz w:val="20"/>
                <w:szCs w:val="20"/>
              </w:rPr>
            </w:pPr>
            <w:r>
              <w:rPr>
                <w:rFonts w:ascii="Calibri" w:eastAsia="Calibri" w:hAnsi="Calibri" w:cs="Calibri"/>
                <w:sz w:val="18"/>
                <w:szCs w:val="18"/>
              </w:rPr>
              <w:t>pour 4 nuits et</w:t>
            </w:r>
          </w:p>
        </w:tc>
        <w:tc>
          <w:tcPr>
            <w:tcW w:w="80" w:type="dxa"/>
            <w:vAlign w:val="bottom"/>
          </w:tcPr>
          <w:p w:rsidR="00AC12B4" w:rsidRDefault="00AC12B4">
            <w:pPr>
              <w:rPr>
                <w:sz w:val="6"/>
                <w:szCs w:val="6"/>
              </w:rPr>
            </w:pPr>
          </w:p>
        </w:tc>
        <w:tc>
          <w:tcPr>
            <w:tcW w:w="1280" w:type="dxa"/>
            <w:gridSpan w:val="2"/>
            <w:vMerge/>
            <w:tcBorders>
              <w:right w:val="single" w:sz="8" w:space="0" w:color="1F497D"/>
            </w:tcBorders>
            <w:vAlign w:val="bottom"/>
          </w:tcPr>
          <w:p w:rsidR="00AC12B4" w:rsidRDefault="00AC12B4">
            <w:pPr>
              <w:rPr>
                <w:sz w:val="6"/>
                <w:szCs w:val="6"/>
              </w:rPr>
            </w:pPr>
          </w:p>
        </w:tc>
        <w:tc>
          <w:tcPr>
            <w:tcW w:w="80" w:type="dxa"/>
            <w:vAlign w:val="bottom"/>
          </w:tcPr>
          <w:p w:rsidR="00AC12B4" w:rsidRDefault="00AC12B4">
            <w:pPr>
              <w:rPr>
                <w:sz w:val="6"/>
                <w:szCs w:val="6"/>
              </w:rPr>
            </w:pPr>
          </w:p>
        </w:tc>
        <w:tc>
          <w:tcPr>
            <w:tcW w:w="1280" w:type="dxa"/>
            <w:gridSpan w:val="2"/>
            <w:vMerge w:val="restart"/>
            <w:tcBorders>
              <w:right w:val="single" w:sz="8" w:space="0" w:color="1F497D"/>
            </w:tcBorders>
            <w:vAlign w:val="bottom"/>
          </w:tcPr>
          <w:p w:rsidR="00AC12B4" w:rsidRDefault="00C27636">
            <w:pPr>
              <w:spacing w:line="187" w:lineRule="exact"/>
              <w:ind w:right="120"/>
              <w:jc w:val="center"/>
              <w:rPr>
                <w:sz w:val="20"/>
                <w:szCs w:val="20"/>
              </w:rPr>
            </w:pPr>
            <w:r>
              <w:rPr>
                <w:rFonts w:ascii="Calibri" w:eastAsia="Calibri" w:hAnsi="Calibri" w:cs="Calibri"/>
                <w:w w:val="98"/>
                <w:sz w:val="18"/>
                <w:szCs w:val="18"/>
              </w:rPr>
              <w:t>pour 2 nuits)</w:t>
            </w:r>
          </w:p>
        </w:tc>
        <w:tc>
          <w:tcPr>
            <w:tcW w:w="80" w:type="dxa"/>
            <w:vAlign w:val="bottom"/>
          </w:tcPr>
          <w:p w:rsidR="00AC12B4" w:rsidRDefault="00AC12B4">
            <w:pPr>
              <w:rPr>
                <w:sz w:val="6"/>
                <w:szCs w:val="6"/>
              </w:rPr>
            </w:pPr>
          </w:p>
        </w:tc>
        <w:tc>
          <w:tcPr>
            <w:tcW w:w="1280" w:type="dxa"/>
            <w:gridSpan w:val="2"/>
            <w:vMerge w:val="restart"/>
            <w:tcBorders>
              <w:right w:val="single" w:sz="8" w:space="0" w:color="1F497D"/>
            </w:tcBorders>
            <w:vAlign w:val="bottom"/>
          </w:tcPr>
          <w:p w:rsidR="00AC12B4" w:rsidRDefault="00C27636">
            <w:pPr>
              <w:rPr>
                <w:sz w:val="20"/>
                <w:szCs w:val="20"/>
              </w:rPr>
            </w:pPr>
            <w:r>
              <w:rPr>
                <w:rFonts w:ascii="Calibri" w:eastAsia="Calibri" w:hAnsi="Calibri" w:cs="Calibri"/>
                <w:sz w:val="18"/>
                <w:szCs w:val="18"/>
              </w:rPr>
              <w:t>48h.)</w:t>
            </w: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 xml:space="preserve">limité au centre </w:t>
            </w:r>
            <w:r>
              <w:rPr>
                <w:rFonts w:ascii="Calibri" w:eastAsia="Calibri" w:hAnsi="Calibri" w:cs="Calibri"/>
                <w:sz w:val="18"/>
                <w:szCs w:val="18"/>
              </w:rPr>
              <w:t>Caricole,</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8"/>
                <w:sz w:val="18"/>
                <w:szCs w:val="18"/>
              </w:rPr>
              <w:t>pour 3 nuits)</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w w:val="99"/>
                <w:sz w:val="18"/>
                <w:szCs w:val="18"/>
              </w:rPr>
              <w:t>1 pour 11</w:t>
            </w: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avec espace adapté aux</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6"/>
                <w:sz w:val="18"/>
                <w:szCs w:val="18"/>
              </w:rPr>
              <w:t>nuits)</w:t>
            </w: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9"/>
                <w:sz w:val="18"/>
                <w:szCs w:val="18"/>
              </w:rPr>
              <w:t>mineurs/familles)</w:t>
            </w: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280" w:type="dxa"/>
            <w:gridSpan w:val="2"/>
            <w:vMerge/>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24"/>
        </w:trPr>
        <w:tc>
          <w:tcPr>
            <w:tcW w:w="120" w:type="dxa"/>
            <w:tcBorders>
              <w:left w:val="single" w:sz="8" w:space="0" w:color="1F497D"/>
              <w:bottom w:val="single" w:sz="8" w:space="0" w:color="1F497D"/>
            </w:tcBorders>
            <w:vAlign w:val="bottom"/>
          </w:tcPr>
          <w:p w:rsidR="00AC12B4" w:rsidRDefault="00AC12B4">
            <w:pPr>
              <w:rPr>
                <w:sz w:val="10"/>
                <w:szCs w:val="10"/>
              </w:rPr>
            </w:pPr>
          </w:p>
        </w:tc>
        <w:tc>
          <w:tcPr>
            <w:tcW w:w="2000" w:type="dxa"/>
            <w:gridSpan w:val="2"/>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02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09"/>
        </w:trPr>
        <w:tc>
          <w:tcPr>
            <w:tcW w:w="120" w:type="dxa"/>
            <w:tcBorders>
              <w:left w:val="single" w:sz="8" w:space="0" w:color="1F497D"/>
            </w:tcBorders>
            <w:vAlign w:val="bottom"/>
          </w:tcPr>
          <w:p w:rsidR="00AC12B4" w:rsidRDefault="00AC12B4">
            <w:pPr>
              <w:rPr>
                <w:sz w:val="18"/>
                <w:szCs w:val="18"/>
              </w:rPr>
            </w:pPr>
          </w:p>
        </w:tc>
        <w:tc>
          <w:tcPr>
            <w:tcW w:w="200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Mineur étrangers</w:t>
            </w: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2000" w:type="dxa"/>
            <w:gridSpan w:val="2"/>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accompagnés dans le</w:t>
            </w:r>
          </w:p>
        </w:tc>
        <w:tc>
          <w:tcPr>
            <w:tcW w:w="1120" w:type="dxa"/>
            <w:gridSpan w:val="2"/>
            <w:vMerge w:val="restart"/>
            <w:vAlign w:val="bottom"/>
          </w:tcPr>
          <w:p w:rsidR="00AC12B4" w:rsidRDefault="00C27636">
            <w:pPr>
              <w:ind w:left="10"/>
              <w:jc w:val="center"/>
              <w:rPr>
                <w:sz w:val="20"/>
                <w:szCs w:val="20"/>
              </w:rPr>
            </w:pPr>
            <w:r>
              <w:rPr>
                <w:rFonts w:ascii="Calibri" w:eastAsia="Calibri" w:hAnsi="Calibri" w:cs="Calibri"/>
                <w:sz w:val="18"/>
                <w:szCs w:val="18"/>
              </w:rPr>
              <w:t>3.775</w:t>
            </w:r>
          </w:p>
        </w:tc>
        <w:tc>
          <w:tcPr>
            <w:tcW w:w="120" w:type="dxa"/>
            <w:tcBorders>
              <w:right w:val="single" w:sz="8" w:space="0" w:color="1F497D"/>
            </w:tcBorders>
            <w:vAlign w:val="bottom"/>
          </w:tcPr>
          <w:p w:rsidR="00AC12B4" w:rsidRDefault="00AC12B4">
            <w:pPr>
              <w:rPr>
                <w:sz w:val="19"/>
                <w:szCs w:val="19"/>
              </w:rPr>
            </w:pPr>
          </w:p>
        </w:tc>
        <w:tc>
          <w:tcPr>
            <w:tcW w:w="1260" w:type="dxa"/>
            <w:gridSpan w:val="2"/>
            <w:vMerge w:val="restart"/>
            <w:vAlign w:val="bottom"/>
          </w:tcPr>
          <w:p w:rsidR="00AC12B4" w:rsidRDefault="00C27636">
            <w:pPr>
              <w:ind w:left="10"/>
              <w:jc w:val="center"/>
              <w:rPr>
                <w:sz w:val="20"/>
                <w:szCs w:val="20"/>
              </w:rPr>
            </w:pPr>
            <w:r>
              <w:rPr>
                <w:rFonts w:ascii="Calibri" w:eastAsia="Calibri" w:hAnsi="Calibri" w:cs="Calibri"/>
                <w:w w:val="97"/>
                <w:sz w:val="18"/>
                <w:szCs w:val="18"/>
              </w:rPr>
              <w:t>4.786</w:t>
            </w:r>
          </w:p>
        </w:tc>
        <w:tc>
          <w:tcPr>
            <w:tcW w:w="120" w:type="dxa"/>
            <w:tcBorders>
              <w:right w:val="single" w:sz="8" w:space="0" w:color="1F497D"/>
            </w:tcBorders>
            <w:vAlign w:val="bottom"/>
          </w:tcPr>
          <w:p w:rsidR="00AC12B4" w:rsidRDefault="00AC12B4">
            <w:pPr>
              <w:rPr>
                <w:sz w:val="19"/>
                <w:szCs w:val="19"/>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97"/>
                <w:sz w:val="18"/>
                <w:szCs w:val="18"/>
              </w:rPr>
              <w:t>3.645</w:t>
            </w:r>
          </w:p>
        </w:tc>
        <w:tc>
          <w:tcPr>
            <w:tcW w:w="120" w:type="dxa"/>
            <w:tcBorders>
              <w:right w:val="single" w:sz="8" w:space="0" w:color="1F497D"/>
            </w:tcBorders>
            <w:vAlign w:val="bottom"/>
          </w:tcPr>
          <w:p w:rsidR="00AC12B4" w:rsidRDefault="00AC12B4">
            <w:pPr>
              <w:rPr>
                <w:sz w:val="19"/>
                <w:szCs w:val="19"/>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97"/>
                <w:sz w:val="18"/>
                <w:szCs w:val="18"/>
              </w:rPr>
              <w:t>2.338</w:t>
            </w:r>
          </w:p>
        </w:tc>
        <w:tc>
          <w:tcPr>
            <w:tcW w:w="120" w:type="dxa"/>
            <w:tcBorders>
              <w:right w:val="single" w:sz="8" w:space="0" w:color="1F497D"/>
            </w:tcBorders>
            <w:vAlign w:val="bottom"/>
          </w:tcPr>
          <w:p w:rsidR="00AC12B4" w:rsidRDefault="00AC12B4">
            <w:pPr>
              <w:rPr>
                <w:sz w:val="19"/>
                <w:szCs w:val="19"/>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97"/>
                <w:sz w:val="18"/>
                <w:szCs w:val="18"/>
              </w:rPr>
              <w:t>2.364</w:t>
            </w:r>
          </w:p>
        </w:tc>
        <w:tc>
          <w:tcPr>
            <w:tcW w:w="120" w:type="dxa"/>
            <w:tcBorders>
              <w:right w:val="single" w:sz="8" w:space="0" w:color="1F497D"/>
            </w:tcBorders>
            <w:vAlign w:val="bottom"/>
          </w:tcPr>
          <w:p w:rsidR="00AC12B4" w:rsidRDefault="00AC12B4">
            <w:pPr>
              <w:rPr>
                <w:sz w:val="19"/>
                <w:szCs w:val="19"/>
              </w:rPr>
            </w:pPr>
          </w:p>
        </w:tc>
        <w:tc>
          <w:tcPr>
            <w:tcW w:w="1240" w:type="dxa"/>
            <w:gridSpan w:val="2"/>
            <w:vMerge w:val="restart"/>
            <w:vAlign w:val="bottom"/>
          </w:tcPr>
          <w:p w:rsidR="00AC12B4" w:rsidRDefault="00C27636">
            <w:pPr>
              <w:jc w:val="center"/>
              <w:rPr>
                <w:sz w:val="20"/>
                <w:szCs w:val="20"/>
              </w:rPr>
            </w:pPr>
            <w:r>
              <w:rPr>
                <w:rFonts w:ascii="Calibri" w:eastAsia="Calibri" w:hAnsi="Calibri" w:cs="Calibri"/>
                <w:w w:val="97"/>
                <w:sz w:val="18"/>
                <w:szCs w:val="18"/>
              </w:rPr>
              <w:t>2.148</w:t>
            </w: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10"/>
        </w:trPr>
        <w:tc>
          <w:tcPr>
            <w:tcW w:w="120" w:type="dxa"/>
            <w:tcBorders>
              <w:left w:val="single" w:sz="8" w:space="0" w:color="1F497D"/>
            </w:tcBorders>
            <w:vAlign w:val="bottom"/>
          </w:tcPr>
          <w:p w:rsidR="00AC12B4" w:rsidRDefault="00AC12B4">
            <w:pPr>
              <w:rPr>
                <w:sz w:val="9"/>
                <w:szCs w:val="9"/>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réseau d’accueil de</w:t>
            </w:r>
          </w:p>
        </w:tc>
        <w:tc>
          <w:tcPr>
            <w:tcW w:w="112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6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240" w:type="dxa"/>
            <w:gridSpan w:val="2"/>
            <w:vMerge/>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08"/>
        </w:trPr>
        <w:tc>
          <w:tcPr>
            <w:tcW w:w="120" w:type="dxa"/>
            <w:tcBorders>
              <w:left w:val="single" w:sz="8" w:space="0" w:color="1F497D"/>
            </w:tcBorders>
            <w:vAlign w:val="bottom"/>
          </w:tcPr>
          <w:p w:rsidR="00AC12B4" w:rsidRDefault="00AC12B4">
            <w:pPr>
              <w:rPr>
                <w:sz w:val="9"/>
                <w:szCs w:val="9"/>
              </w:rPr>
            </w:pPr>
          </w:p>
        </w:tc>
        <w:tc>
          <w:tcPr>
            <w:tcW w:w="2000" w:type="dxa"/>
            <w:gridSpan w:val="2"/>
            <w:vMerge/>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02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10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80" w:type="dxa"/>
            <w:vAlign w:val="bottom"/>
          </w:tcPr>
          <w:p w:rsidR="00AC12B4" w:rsidRDefault="00AC12B4">
            <w:pPr>
              <w:rPr>
                <w:sz w:val="9"/>
                <w:szCs w:val="9"/>
              </w:rPr>
            </w:pPr>
          </w:p>
        </w:tc>
        <w:tc>
          <w:tcPr>
            <w:tcW w:w="1160" w:type="dxa"/>
            <w:vAlign w:val="bottom"/>
          </w:tcPr>
          <w:p w:rsidR="00AC12B4" w:rsidRDefault="00AC12B4">
            <w:pPr>
              <w:rPr>
                <w:sz w:val="9"/>
                <w:szCs w:val="9"/>
              </w:rPr>
            </w:pPr>
          </w:p>
        </w:tc>
        <w:tc>
          <w:tcPr>
            <w:tcW w:w="120" w:type="dxa"/>
            <w:tcBorders>
              <w:right w:val="single" w:sz="8" w:space="0" w:color="1F497D"/>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2000" w:type="dxa"/>
            <w:gridSpan w:val="2"/>
            <w:tcBorders>
              <w:right w:val="single" w:sz="8" w:space="0" w:color="1F497D"/>
            </w:tcBorders>
            <w:vAlign w:val="bottom"/>
          </w:tcPr>
          <w:p w:rsidR="00AC12B4" w:rsidRDefault="00C27636">
            <w:pPr>
              <w:ind w:right="100"/>
              <w:jc w:val="center"/>
              <w:rPr>
                <w:sz w:val="20"/>
                <w:szCs w:val="20"/>
              </w:rPr>
            </w:pPr>
            <w:r>
              <w:rPr>
                <w:rFonts w:ascii="Calibri" w:eastAsia="Calibri" w:hAnsi="Calibri" w:cs="Calibri"/>
                <w:w w:val="98"/>
                <w:sz w:val="18"/>
                <w:szCs w:val="18"/>
              </w:rPr>
              <w:t>Fedasil</w:t>
            </w:r>
          </w:p>
        </w:tc>
        <w:tc>
          <w:tcPr>
            <w:tcW w:w="100" w:type="dxa"/>
            <w:vAlign w:val="bottom"/>
          </w:tcPr>
          <w:p w:rsidR="00AC12B4" w:rsidRDefault="00AC12B4">
            <w:pPr>
              <w:rPr>
                <w:sz w:val="19"/>
                <w:szCs w:val="19"/>
              </w:rPr>
            </w:pPr>
          </w:p>
        </w:tc>
        <w:tc>
          <w:tcPr>
            <w:tcW w:w="102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10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26"/>
        </w:trPr>
        <w:tc>
          <w:tcPr>
            <w:tcW w:w="120" w:type="dxa"/>
            <w:tcBorders>
              <w:left w:val="single" w:sz="8" w:space="0" w:color="1F497D"/>
              <w:bottom w:val="single" w:sz="8" w:space="0" w:color="1F497D"/>
            </w:tcBorders>
            <w:vAlign w:val="bottom"/>
          </w:tcPr>
          <w:p w:rsidR="00AC12B4" w:rsidRDefault="00AC12B4">
            <w:pPr>
              <w:rPr>
                <w:sz w:val="10"/>
                <w:szCs w:val="10"/>
              </w:rPr>
            </w:pPr>
          </w:p>
        </w:tc>
        <w:tc>
          <w:tcPr>
            <w:tcW w:w="2000" w:type="dxa"/>
            <w:gridSpan w:val="2"/>
            <w:tcBorders>
              <w:bottom w:val="single" w:sz="8" w:space="0" w:color="1F497D"/>
              <w:right w:val="single" w:sz="8" w:space="0" w:color="1F497D"/>
            </w:tcBorders>
            <w:vAlign w:val="bottom"/>
          </w:tcPr>
          <w:p w:rsidR="00AC12B4" w:rsidRDefault="00AC12B4">
            <w:pPr>
              <w:rPr>
                <w:sz w:val="10"/>
                <w:szCs w:val="10"/>
              </w:rPr>
            </w:pPr>
          </w:p>
        </w:tc>
        <w:tc>
          <w:tcPr>
            <w:tcW w:w="1120" w:type="dxa"/>
            <w:gridSpan w:val="2"/>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260" w:type="dxa"/>
            <w:gridSpan w:val="2"/>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240" w:type="dxa"/>
            <w:gridSpan w:val="2"/>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240" w:type="dxa"/>
            <w:gridSpan w:val="2"/>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240" w:type="dxa"/>
            <w:gridSpan w:val="2"/>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240" w:type="dxa"/>
            <w:gridSpan w:val="2"/>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09"/>
        </w:trPr>
        <w:tc>
          <w:tcPr>
            <w:tcW w:w="120" w:type="dxa"/>
            <w:tcBorders>
              <w:left w:val="single" w:sz="8" w:space="0" w:color="1F497D"/>
            </w:tcBorders>
            <w:vAlign w:val="bottom"/>
          </w:tcPr>
          <w:p w:rsidR="00AC12B4" w:rsidRDefault="00AC12B4">
            <w:pPr>
              <w:rPr>
                <w:sz w:val="18"/>
                <w:szCs w:val="18"/>
              </w:rPr>
            </w:pPr>
          </w:p>
        </w:tc>
        <w:tc>
          <w:tcPr>
            <w:tcW w:w="2000" w:type="dxa"/>
            <w:gridSpan w:val="2"/>
            <w:tcBorders>
              <w:right w:val="single" w:sz="8" w:space="0" w:color="1F497D"/>
            </w:tcBorders>
            <w:vAlign w:val="bottom"/>
          </w:tcPr>
          <w:p w:rsidR="00AC12B4" w:rsidRDefault="00C27636">
            <w:pPr>
              <w:spacing w:line="209" w:lineRule="exact"/>
              <w:ind w:right="140"/>
              <w:jc w:val="center"/>
              <w:rPr>
                <w:sz w:val="20"/>
                <w:szCs w:val="20"/>
              </w:rPr>
            </w:pPr>
            <w:r>
              <w:rPr>
                <w:rFonts w:ascii="Calibri" w:eastAsia="Calibri" w:hAnsi="Calibri" w:cs="Calibri"/>
                <w:w w:val="99"/>
                <w:sz w:val="18"/>
                <w:szCs w:val="18"/>
              </w:rPr>
              <w:t>MENA en COO</w:t>
            </w:r>
          </w:p>
        </w:tc>
        <w:tc>
          <w:tcPr>
            <w:tcW w:w="1120" w:type="dxa"/>
            <w:gridSpan w:val="2"/>
            <w:vAlign w:val="bottom"/>
          </w:tcPr>
          <w:p w:rsidR="00AC12B4" w:rsidRDefault="00C27636">
            <w:pPr>
              <w:spacing w:line="209" w:lineRule="exact"/>
              <w:ind w:left="10"/>
              <w:jc w:val="center"/>
              <w:rPr>
                <w:sz w:val="20"/>
                <w:szCs w:val="20"/>
              </w:rPr>
            </w:pPr>
            <w:r>
              <w:rPr>
                <w:rFonts w:ascii="Calibri" w:eastAsia="Calibri" w:hAnsi="Calibri" w:cs="Calibri"/>
                <w:w w:val="94"/>
                <w:sz w:val="18"/>
                <w:szCs w:val="18"/>
              </w:rPr>
              <w:t>800</w:t>
            </w:r>
          </w:p>
        </w:tc>
        <w:tc>
          <w:tcPr>
            <w:tcW w:w="120" w:type="dxa"/>
            <w:tcBorders>
              <w:right w:val="single" w:sz="8" w:space="0" w:color="1F497D"/>
            </w:tcBorders>
            <w:vAlign w:val="bottom"/>
          </w:tcPr>
          <w:p w:rsidR="00AC12B4" w:rsidRDefault="00AC12B4">
            <w:pPr>
              <w:rPr>
                <w:sz w:val="18"/>
                <w:szCs w:val="18"/>
              </w:rPr>
            </w:pPr>
          </w:p>
        </w:tc>
        <w:tc>
          <w:tcPr>
            <w:tcW w:w="1260" w:type="dxa"/>
            <w:gridSpan w:val="2"/>
            <w:vAlign w:val="bottom"/>
          </w:tcPr>
          <w:p w:rsidR="00AC12B4" w:rsidRDefault="00C27636">
            <w:pPr>
              <w:spacing w:line="209" w:lineRule="exact"/>
              <w:ind w:right="789"/>
              <w:jc w:val="right"/>
              <w:rPr>
                <w:sz w:val="20"/>
                <w:szCs w:val="20"/>
              </w:rPr>
            </w:pPr>
            <w:r>
              <w:rPr>
                <w:rFonts w:ascii="Calibri" w:eastAsia="Calibri" w:hAnsi="Calibri" w:cs="Calibri"/>
                <w:sz w:val="18"/>
                <w:szCs w:val="18"/>
              </w:rPr>
              <w:t>854</w:t>
            </w:r>
          </w:p>
        </w:tc>
        <w:tc>
          <w:tcPr>
            <w:tcW w:w="120" w:type="dxa"/>
            <w:tcBorders>
              <w:right w:val="single" w:sz="8" w:space="0" w:color="1F497D"/>
            </w:tcBorders>
            <w:vAlign w:val="bottom"/>
          </w:tcPr>
          <w:p w:rsidR="00AC12B4" w:rsidRDefault="00AC12B4">
            <w:pPr>
              <w:rPr>
                <w:sz w:val="18"/>
                <w:szCs w:val="18"/>
              </w:rPr>
            </w:pPr>
          </w:p>
        </w:tc>
        <w:tc>
          <w:tcPr>
            <w:tcW w:w="1240" w:type="dxa"/>
            <w:gridSpan w:val="2"/>
            <w:vAlign w:val="bottom"/>
          </w:tcPr>
          <w:p w:rsidR="00AC12B4" w:rsidRDefault="00C27636">
            <w:pPr>
              <w:spacing w:line="209" w:lineRule="exact"/>
              <w:jc w:val="center"/>
              <w:rPr>
                <w:sz w:val="20"/>
                <w:szCs w:val="20"/>
              </w:rPr>
            </w:pPr>
            <w:r>
              <w:rPr>
                <w:rFonts w:ascii="Calibri" w:eastAsia="Calibri" w:hAnsi="Calibri" w:cs="Calibri"/>
                <w:sz w:val="18"/>
                <w:szCs w:val="18"/>
              </w:rPr>
              <w:t>813</w:t>
            </w:r>
          </w:p>
        </w:tc>
        <w:tc>
          <w:tcPr>
            <w:tcW w:w="120" w:type="dxa"/>
            <w:tcBorders>
              <w:right w:val="single" w:sz="8" w:space="0" w:color="1F497D"/>
            </w:tcBorders>
            <w:vAlign w:val="bottom"/>
          </w:tcPr>
          <w:p w:rsidR="00AC12B4" w:rsidRDefault="00AC12B4">
            <w:pPr>
              <w:rPr>
                <w:sz w:val="18"/>
                <w:szCs w:val="18"/>
              </w:rPr>
            </w:pPr>
          </w:p>
        </w:tc>
        <w:tc>
          <w:tcPr>
            <w:tcW w:w="1240" w:type="dxa"/>
            <w:gridSpan w:val="2"/>
            <w:vAlign w:val="bottom"/>
          </w:tcPr>
          <w:p w:rsidR="00AC12B4" w:rsidRDefault="00C27636">
            <w:pPr>
              <w:spacing w:line="209" w:lineRule="exact"/>
              <w:jc w:val="center"/>
              <w:rPr>
                <w:sz w:val="20"/>
                <w:szCs w:val="20"/>
              </w:rPr>
            </w:pPr>
            <w:r>
              <w:rPr>
                <w:rFonts w:ascii="Calibri" w:eastAsia="Calibri" w:hAnsi="Calibri" w:cs="Calibri"/>
                <w:sz w:val="18"/>
                <w:szCs w:val="18"/>
              </w:rPr>
              <w:t>826</w:t>
            </w:r>
          </w:p>
        </w:tc>
        <w:tc>
          <w:tcPr>
            <w:tcW w:w="120" w:type="dxa"/>
            <w:tcBorders>
              <w:right w:val="single" w:sz="8" w:space="0" w:color="1F497D"/>
            </w:tcBorders>
            <w:vAlign w:val="bottom"/>
          </w:tcPr>
          <w:p w:rsidR="00AC12B4" w:rsidRDefault="00AC12B4">
            <w:pPr>
              <w:rPr>
                <w:sz w:val="18"/>
                <w:szCs w:val="18"/>
              </w:rPr>
            </w:pPr>
          </w:p>
        </w:tc>
        <w:tc>
          <w:tcPr>
            <w:tcW w:w="1240" w:type="dxa"/>
            <w:gridSpan w:val="2"/>
            <w:vAlign w:val="bottom"/>
          </w:tcPr>
          <w:p w:rsidR="00AC12B4" w:rsidRDefault="00C27636">
            <w:pPr>
              <w:spacing w:line="209" w:lineRule="exact"/>
              <w:jc w:val="center"/>
              <w:rPr>
                <w:sz w:val="20"/>
                <w:szCs w:val="20"/>
              </w:rPr>
            </w:pPr>
            <w:r>
              <w:rPr>
                <w:rFonts w:ascii="Calibri" w:eastAsia="Calibri" w:hAnsi="Calibri" w:cs="Calibri"/>
                <w:sz w:val="18"/>
                <w:szCs w:val="18"/>
              </w:rPr>
              <w:t>866</w:t>
            </w:r>
          </w:p>
        </w:tc>
        <w:tc>
          <w:tcPr>
            <w:tcW w:w="120" w:type="dxa"/>
            <w:tcBorders>
              <w:right w:val="single" w:sz="8" w:space="0" w:color="1F497D"/>
            </w:tcBorders>
            <w:vAlign w:val="bottom"/>
          </w:tcPr>
          <w:p w:rsidR="00AC12B4" w:rsidRDefault="00AC12B4">
            <w:pPr>
              <w:rPr>
                <w:sz w:val="18"/>
                <w:szCs w:val="18"/>
              </w:rPr>
            </w:pPr>
          </w:p>
        </w:tc>
        <w:tc>
          <w:tcPr>
            <w:tcW w:w="1240" w:type="dxa"/>
            <w:gridSpan w:val="2"/>
            <w:vAlign w:val="bottom"/>
          </w:tcPr>
          <w:p w:rsidR="00AC12B4" w:rsidRDefault="00C27636">
            <w:pPr>
              <w:spacing w:line="209" w:lineRule="exact"/>
              <w:jc w:val="center"/>
              <w:rPr>
                <w:sz w:val="20"/>
                <w:szCs w:val="20"/>
              </w:rPr>
            </w:pPr>
            <w:r>
              <w:rPr>
                <w:rFonts w:ascii="Calibri" w:eastAsia="Calibri" w:hAnsi="Calibri" w:cs="Calibri"/>
                <w:w w:val="97"/>
                <w:sz w:val="18"/>
                <w:szCs w:val="18"/>
              </w:rPr>
              <w:t>3.404</w:t>
            </w: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24"/>
        </w:trPr>
        <w:tc>
          <w:tcPr>
            <w:tcW w:w="120" w:type="dxa"/>
            <w:tcBorders>
              <w:left w:val="single" w:sz="8" w:space="0" w:color="1F497D"/>
              <w:bottom w:val="single" w:sz="8" w:space="0" w:color="1F497D"/>
            </w:tcBorders>
            <w:vAlign w:val="bottom"/>
          </w:tcPr>
          <w:p w:rsidR="00AC12B4" w:rsidRDefault="00AC12B4">
            <w:pPr>
              <w:rPr>
                <w:sz w:val="10"/>
                <w:szCs w:val="10"/>
              </w:rPr>
            </w:pPr>
          </w:p>
        </w:tc>
        <w:tc>
          <w:tcPr>
            <w:tcW w:w="2000" w:type="dxa"/>
            <w:gridSpan w:val="2"/>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02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trPr>
          <w:trHeight w:val="211"/>
        </w:trPr>
        <w:tc>
          <w:tcPr>
            <w:tcW w:w="120" w:type="dxa"/>
            <w:tcBorders>
              <w:left w:val="single" w:sz="8" w:space="0" w:color="1F497D"/>
            </w:tcBorders>
            <w:vAlign w:val="bottom"/>
          </w:tcPr>
          <w:p w:rsidR="00AC12B4" w:rsidRDefault="00AC12B4">
            <w:pPr>
              <w:rPr>
                <w:sz w:val="18"/>
                <w:szCs w:val="18"/>
              </w:rPr>
            </w:pPr>
          </w:p>
        </w:tc>
        <w:tc>
          <w:tcPr>
            <w:tcW w:w="2000" w:type="dxa"/>
            <w:gridSpan w:val="2"/>
            <w:tcBorders>
              <w:right w:val="single" w:sz="8" w:space="0" w:color="1F497D"/>
            </w:tcBorders>
            <w:vAlign w:val="bottom"/>
          </w:tcPr>
          <w:p w:rsidR="00AC12B4" w:rsidRDefault="00C27636">
            <w:pPr>
              <w:spacing w:line="211" w:lineRule="exact"/>
              <w:ind w:right="120"/>
              <w:jc w:val="center"/>
              <w:rPr>
                <w:sz w:val="20"/>
                <w:szCs w:val="20"/>
              </w:rPr>
            </w:pPr>
            <w:r>
              <w:rPr>
                <w:rFonts w:ascii="Calibri" w:eastAsia="Calibri" w:hAnsi="Calibri" w:cs="Calibri"/>
                <w:w w:val="99"/>
                <w:sz w:val="18"/>
                <w:szCs w:val="18"/>
              </w:rPr>
              <w:t xml:space="preserve">MENA dans </w:t>
            </w:r>
            <w:r>
              <w:rPr>
                <w:rFonts w:ascii="Calibri" w:eastAsia="Calibri" w:hAnsi="Calibri" w:cs="Calibri"/>
                <w:w w:val="99"/>
                <w:sz w:val="18"/>
                <w:szCs w:val="18"/>
              </w:rPr>
              <w:t>l’accueil</w:t>
            </w: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219"/>
        </w:trPr>
        <w:tc>
          <w:tcPr>
            <w:tcW w:w="120" w:type="dxa"/>
            <w:tcBorders>
              <w:left w:val="single" w:sz="8" w:space="0" w:color="1F497D"/>
            </w:tcBorders>
            <w:vAlign w:val="bottom"/>
          </w:tcPr>
          <w:p w:rsidR="00AC12B4" w:rsidRDefault="00AC12B4">
            <w:pPr>
              <w:rPr>
                <w:sz w:val="19"/>
                <w:szCs w:val="19"/>
              </w:rPr>
            </w:pPr>
          </w:p>
        </w:tc>
        <w:tc>
          <w:tcPr>
            <w:tcW w:w="2000" w:type="dxa"/>
            <w:gridSpan w:val="2"/>
            <w:tcBorders>
              <w:right w:val="single" w:sz="8" w:space="0" w:color="1F497D"/>
            </w:tcBorders>
            <w:vAlign w:val="bottom"/>
          </w:tcPr>
          <w:p w:rsidR="00AC12B4" w:rsidRDefault="00C27636">
            <w:pPr>
              <w:ind w:right="100"/>
              <w:jc w:val="center"/>
              <w:rPr>
                <w:sz w:val="20"/>
                <w:szCs w:val="20"/>
              </w:rPr>
            </w:pPr>
            <w:r>
              <w:rPr>
                <w:rFonts w:ascii="Calibri" w:eastAsia="Calibri" w:hAnsi="Calibri" w:cs="Calibri"/>
                <w:w w:val="99"/>
                <w:sz w:val="18"/>
                <w:szCs w:val="18"/>
              </w:rPr>
              <w:t>spécialisé (Esperanto,</w:t>
            </w:r>
          </w:p>
        </w:tc>
        <w:tc>
          <w:tcPr>
            <w:tcW w:w="100" w:type="dxa"/>
            <w:vAlign w:val="bottom"/>
          </w:tcPr>
          <w:p w:rsidR="00AC12B4" w:rsidRDefault="00AC12B4">
            <w:pPr>
              <w:rPr>
                <w:sz w:val="19"/>
                <w:szCs w:val="19"/>
              </w:rPr>
            </w:pPr>
          </w:p>
        </w:tc>
        <w:tc>
          <w:tcPr>
            <w:tcW w:w="114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84 par Minor-</w:t>
            </w:r>
          </w:p>
        </w:tc>
        <w:tc>
          <w:tcPr>
            <w:tcW w:w="10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spacing w:line="209" w:lineRule="exact"/>
              <w:ind w:right="140"/>
              <w:jc w:val="center"/>
              <w:rPr>
                <w:sz w:val="20"/>
                <w:szCs w:val="20"/>
              </w:rPr>
            </w:pPr>
            <w:r>
              <w:rPr>
                <w:rFonts w:ascii="Calibri" w:eastAsia="Calibri" w:hAnsi="Calibri" w:cs="Calibri"/>
                <w:w w:val="99"/>
                <w:sz w:val="18"/>
                <w:szCs w:val="18"/>
              </w:rPr>
              <w:t>100 par Minor-</w:t>
            </w:r>
          </w:p>
        </w:tc>
        <w:tc>
          <w:tcPr>
            <w:tcW w:w="80" w:type="dxa"/>
            <w:vAlign w:val="bottom"/>
          </w:tcPr>
          <w:p w:rsidR="00AC12B4" w:rsidRDefault="00AC12B4">
            <w:pPr>
              <w:rPr>
                <w:sz w:val="19"/>
                <w:szCs w:val="19"/>
              </w:rPr>
            </w:pPr>
          </w:p>
        </w:tc>
        <w:tc>
          <w:tcPr>
            <w:tcW w:w="1280" w:type="dxa"/>
            <w:gridSpan w:val="2"/>
            <w:vMerge w:val="restart"/>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9"/>
                <w:sz w:val="18"/>
                <w:szCs w:val="18"/>
              </w:rPr>
              <w:t>104 par Minor-</w:t>
            </w:r>
          </w:p>
        </w:tc>
        <w:tc>
          <w:tcPr>
            <w:tcW w:w="8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spacing w:line="209" w:lineRule="exact"/>
              <w:ind w:right="140"/>
              <w:jc w:val="center"/>
              <w:rPr>
                <w:sz w:val="20"/>
                <w:szCs w:val="20"/>
              </w:rPr>
            </w:pPr>
            <w:r>
              <w:rPr>
                <w:rFonts w:ascii="Calibri" w:eastAsia="Calibri" w:hAnsi="Calibri" w:cs="Calibri"/>
                <w:w w:val="99"/>
                <w:sz w:val="18"/>
                <w:szCs w:val="18"/>
              </w:rPr>
              <w:t>135 par Minor-</w:t>
            </w:r>
          </w:p>
        </w:tc>
        <w:tc>
          <w:tcPr>
            <w:tcW w:w="80" w:type="dxa"/>
            <w:vAlign w:val="bottom"/>
          </w:tcPr>
          <w:p w:rsidR="00AC12B4" w:rsidRDefault="00AC12B4">
            <w:pPr>
              <w:rPr>
                <w:sz w:val="19"/>
                <w:szCs w:val="19"/>
              </w:rPr>
            </w:pPr>
          </w:p>
        </w:tc>
        <w:tc>
          <w:tcPr>
            <w:tcW w:w="128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w w:val="98"/>
                <w:sz w:val="18"/>
                <w:szCs w:val="18"/>
              </w:rPr>
              <w:t>104 par Minor-</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161"/>
        </w:trPr>
        <w:tc>
          <w:tcPr>
            <w:tcW w:w="120" w:type="dxa"/>
            <w:tcBorders>
              <w:left w:val="single" w:sz="8" w:space="0" w:color="1F497D"/>
            </w:tcBorders>
            <w:vAlign w:val="bottom"/>
          </w:tcPr>
          <w:p w:rsidR="00AC12B4" w:rsidRDefault="00AC12B4">
            <w:pPr>
              <w:rPr>
                <w:sz w:val="13"/>
                <w:szCs w:val="13"/>
              </w:rPr>
            </w:pPr>
          </w:p>
        </w:tc>
        <w:tc>
          <w:tcPr>
            <w:tcW w:w="200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Minor N’Dako, …) (Note :</w:t>
            </w:r>
          </w:p>
        </w:tc>
        <w:tc>
          <w:tcPr>
            <w:tcW w:w="100" w:type="dxa"/>
            <w:vAlign w:val="bottom"/>
          </w:tcPr>
          <w:p w:rsidR="00AC12B4" w:rsidRDefault="00AC12B4">
            <w:pPr>
              <w:rPr>
                <w:sz w:val="13"/>
                <w:szCs w:val="13"/>
              </w:rPr>
            </w:pPr>
          </w:p>
        </w:tc>
        <w:tc>
          <w:tcPr>
            <w:tcW w:w="1140" w:type="dxa"/>
            <w:gridSpan w:val="2"/>
            <w:vMerge w:val="restart"/>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w w:val="96"/>
                <w:sz w:val="18"/>
                <w:szCs w:val="18"/>
              </w:rPr>
              <w:t>Ndako</w:t>
            </w:r>
          </w:p>
        </w:tc>
        <w:tc>
          <w:tcPr>
            <w:tcW w:w="100" w:type="dxa"/>
            <w:vAlign w:val="bottom"/>
          </w:tcPr>
          <w:p w:rsidR="00AC12B4" w:rsidRDefault="00AC12B4">
            <w:pPr>
              <w:rPr>
                <w:sz w:val="13"/>
                <w:szCs w:val="13"/>
              </w:rPr>
            </w:pPr>
          </w:p>
        </w:tc>
        <w:tc>
          <w:tcPr>
            <w:tcW w:w="1280" w:type="dxa"/>
            <w:gridSpan w:val="2"/>
            <w:vMerge w:val="restart"/>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Ndako</w:t>
            </w:r>
          </w:p>
        </w:tc>
        <w:tc>
          <w:tcPr>
            <w:tcW w:w="80" w:type="dxa"/>
            <w:vAlign w:val="bottom"/>
          </w:tcPr>
          <w:p w:rsidR="00AC12B4" w:rsidRDefault="00AC12B4">
            <w:pPr>
              <w:rPr>
                <w:sz w:val="13"/>
                <w:szCs w:val="13"/>
              </w:rPr>
            </w:pPr>
          </w:p>
        </w:tc>
        <w:tc>
          <w:tcPr>
            <w:tcW w:w="1280" w:type="dxa"/>
            <w:gridSpan w:val="2"/>
            <w:vMerge/>
            <w:tcBorders>
              <w:right w:val="single" w:sz="8" w:space="0" w:color="1F497D"/>
            </w:tcBorders>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280" w:type="dxa"/>
            <w:gridSpan w:val="2"/>
            <w:vMerge w:val="restart"/>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Ndako</w:t>
            </w:r>
          </w:p>
        </w:tc>
        <w:tc>
          <w:tcPr>
            <w:tcW w:w="80" w:type="dxa"/>
            <w:vAlign w:val="bottom"/>
          </w:tcPr>
          <w:p w:rsidR="00AC12B4" w:rsidRDefault="00AC12B4">
            <w:pPr>
              <w:rPr>
                <w:sz w:val="13"/>
                <w:szCs w:val="13"/>
              </w:rPr>
            </w:pPr>
          </w:p>
        </w:tc>
        <w:tc>
          <w:tcPr>
            <w:tcW w:w="1280" w:type="dxa"/>
            <w:gridSpan w:val="2"/>
            <w:vMerge w:val="restart"/>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Ndako</w:t>
            </w:r>
          </w:p>
        </w:tc>
        <w:tc>
          <w:tcPr>
            <w:tcW w:w="80" w:type="dxa"/>
            <w:vAlign w:val="bottom"/>
          </w:tcPr>
          <w:p w:rsidR="00AC12B4" w:rsidRDefault="00AC12B4">
            <w:pPr>
              <w:rPr>
                <w:sz w:val="13"/>
                <w:szCs w:val="13"/>
              </w:rPr>
            </w:pPr>
          </w:p>
        </w:tc>
        <w:tc>
          <w:tcPr>
            <w:tcW w:w="1160" w:type="dxa"/>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60"/>
        </w:trPr>
        <w:tc>
          <w:tcPr>
            <w:tcW w:w="120" w:type="dxa"/>
            <w:tcBorders>
              <w:left w:val="single" w:sz="8" w:space="0" w:color="1F497D"/>
            </w:tcBorders>
            <w:vAlign w:val="bottom"/>
          </w:tcPr>
          <w:p w:rsidR="00AC12B4" w:rsidRDefault="00AC12B4">
            <w:pPr>
              <w:rPr>
                <w:sz w:val="5"/>
                <w:szCs w:val="5"/>
              </w:rPr>
            </w:pPr>
          </w:p>
        </w:tc>
        <w:tc>
          <w:tcPr>
            <w:tcW w:w="2000" w:type="dxa"/>
            <w:gridSpan w:val="2"/>
            <w:vMerge/>
            <w:tcBorders>
              <w:right w:val="single" w:sz="8" w:space="0" w:color="1F497D"/>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1140" w:type="dxa"/>
            <w:gridSpan w:val="2"/>
            <w:vMerge/>
            <w:tcBorders>
              <w:right w:val="single" w:sz="8" w:space="0" w:color="1F497D"/>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Ndako</w:t>
            </w: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1240" w:type="dxa"/>
            <w:gridSpan w:val="2"/>
            <w:vMerge w:val="restart"/>
            <w:vAlign w:val="bottom"/>
          </w:tcPr>
          <w:p w:rsidR="00AC12B4" w:rsidRDefault="00C27636">
            <w:pPr>
              <w:spacing w:line="218" w:lineRule="exact"/>
              <w:jc w:val="center"/>
              <w:rPr>
                <w:sz w:val="20"/>
                <w:szCs w:val="20"/>
              </w:rPr>
            </w:pPr>
            <w:r>
              <w:rPr>
                <w:rFonts w:ascii="Calibri" w:eastAsia="Calibri" w:hAnsi="Calibri" w:cs="Calibri"/>
                <w:w w:val="95"/>
                <w:sz w:val="18"/>
                <w:szCs w:val="18"/>
              </w:rPr>
              <w:t>?</w:t>
            </w:r>
          </w:p>
        </w:tc>
        <w:tc>
          <w:tcPr>
            <w:tcW w:w="120" w:type="dxa"/>
            <w:tcBorders>
              <w:right w:val="single" w:sz="8" w:space="0" w:color="1F497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58"/>
        </w:trPr>
        <w:tc>
          <w:tcPr>
            <w:tcW w:w="120" w:type="dxa"/>
            <w:tcBorders>
              <w:left w:val="single" w:sz="8" w:space="0" w:color="1F497D"/>
            </w:tcBorders>
            <w:vAlign w:val="bottom"/>
          </w:tcPr>
          <w:p w:rsidR="00AC12B4" w:rsidRDefault="00AC12B4">
            <w:pPr>
              <w:rPr>
                <w:sz w:val="13"/>
                <w:szCs w:val="13"/>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sz w:val="18"/>
                <w:szCs w:val="18"/>
              </w:rPr>
              <w:t>le nombre de MENA</w:t>
            </w:r>
          </w:p>
        </w:tc>
        <w:tc>
          <w:tcPr>
            <w:tcW w:w="100" w:type="dxa"/>
            <w:vAlign w:val="bottom"/>
          </w:tcPr>
          <w:p w:rsidR="00AC12B4" w:rsidRDefault="00AC12B4">
            <w:pPr>
              <w:rPr>
                <w:sz w:val="13"/>
                <w:szCs w:val="13"/>
              </w:rPr>
            </w:pPr>
          </w:p>
        </w:tc>
        <w:tc>
          <w:tcPr>
            <w:tcW w:w="1020" w:type="dxa"/>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100" w:type="dxa"/>
            <w:vAlign w:val="bottom"/>
          </w:tcPr>
          <w:p w:rsidR="00AC12B4" w:rsidRDefault="00AC12B4">
            <w:pPr>
              <w:rPr>
                <w:sz w:val="13"/>
                <w:szCs w:val="13"/>
              </w:rPr>
            </w:pPr>
          </w:p>
        </w:tc>
        <w:tc>
          <w:tcPr>
            <w:tcW w:w="1160" w:type="dxa"/>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280" w:type="dxa"/>
            <w:gridSpan w:val="2"/>
            <w:vMerge/>
            <w:tcBorders>
              <w:right w:val="single" w:sz="8" w:space="0" w:color="1F497D"/>
            </w:tcBorders>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160" w:type="dxa"/>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80" w:type="dxa"/>
            <w:vAlign w:val="bottom"/>
          </w:tcPr>
          <w:p w:rsidR="00AC12B4" w:rsidRDefault="00AC12B4">
            <w:pPr>
              <w:rPr>
                <w:sz w:val="13"/>
                <w:szCs w:val="13"/>
              </w:rPr>
            </w:pPr>
          </w:p>
        </w:tc>
        <w:tc>
          <w:tcPr>
            <w:tcW w:w="1160" w:type="dxa"/>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1240" w:type="dxa"/>
            <w:gridSpan w:val="2"/>
            <w:vMerge/>
            <w:vAlign w:val="bottom"/>
          </w:tcPr>
          <w:p w:rsidR="00AC12B4" w:rsidRDefault="00AC12B4">
            <w:pPr>
              <w:rPr>
                <w:sz w:val="13"/>
                <w:szCs w:val="13"/>
              </w:rPr>
            </w:pPr>
          </w:p>
        </w:tc>
        <w:tc>
          <w:tcPr>
            <w:tcW w:w="120" w:type="dxa"/>
            <w:tcBorders>
              <w:right w:val="single" w:sz="8" w:space="0" w:color="1F497D"/>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60"/>
        </w:trPr>
        <w:tc>
          <w:tcPr>
            <w:tcW w:w="120" w:type="dxa"/>
            <w:tcBorders>
              <w:left w:val="single" w:sz="8" w:space="0" w:color="1F497D"/>
            </w:tcBorders>
            <w:vAlign w:val="bottom"/>
          </w:tcPr>
          <w:p w:rsidR="00AC12B4" w:rsidRDefault="00AC12B4">
            <w:pPr>
              <w:rPr>
                <w:sz w:val="5"/>
                <w:szCs w:val="5"/>
              </w:rPr>
            </w:pPr>
          </w:p>
        </w:tc>
        <w:tc>
          <w:tcPr>
            <w:tcW w:w="2000" w:type="dxa"/>
            <w:gridSpan w:val="2"/>
            <w:vMerge/>
            <w:tcBorders>
              <w:right w:val="single" w:sz="8" w:space="0" w:color="1F497D"/>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102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10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221"/>
        </w:trPr>
        <w:tc>
          <w:tcPr>
            <w:tcW w:w="120" w:type="dxa"/>
            <w:tcBorders>
              <w:left w:val="single" w:sz="8" w:space="0" w:color="1F497D"/>
            </w:tcBorders>
            <w:vAlign w:val="bottom"/>
          </w:tcPr>
          <w:p w:rsidR="00AC12B4" w:rsidRDefault="00AC12B4">
            <w:pPr>
              <w:rPr>
                <w:sz w:val="19"/>
                <w:szCs w:val="19"/>
              </w:rPr>
            </w:pPr>
          </w:p>
        </w:tc>
        <w:tc>
          <w:tcPr>
            <w:tcW w:w="2000" w:type="dxa"/>
            <w:gridSpan w:val="2"/>
            <w:tcBorders>
              <w:right w:val="single" w:sz="8" w:space="0" w:color="1F497D"/>
            </w:tcBorders>
            <w:vAlign w:val="bottom"/>
          </w:tcPr>
          <w:p w:rsidR="00AC12B4" w:rsidRPr="00C27636" w:rsidRDefault="00C27636">
            <w:pPr>
              <w:ind w:right="120"/>
              <w:jc w:val="center"/>
              <w:rPr>
                <w:sz w:val="20"/>
                <w:szCs w:val="20"/>
                <w:lang w:val="fr-BE"/>
              </w:rPr>
            </w:pPr>
            <w:r w:rsidRPr="00C27636">
              <w:rPr>
                <w:rFonts w:ascii="Calibri" w:eastAsia="Calibri" w:hAnsi="Calibri" w:cs="Calibri"/>
                <w:sz w:val="18"/>
                <w:szCs w:val="18"/>
                <w:lang w:val="fr-BE"/>
              </w:rPr>
              <w:t>accueillis par l’aide à la</w:t>
            </w:r>
          </w:p>
        </w:tc>
        <w:tc>
          <w:tcPr>
            <w:tcW w:w="100" w:type="dxa"/>
            <w:vAlign w:val="bottom"/>
          </w:tcPr>
          <w:p w:rsidR="00AC12B4" w:rsidRPr="00C27636" w:rsidRDefault="00AC12B4">
            <w:pPr>
              <w:rPr>
                <w:sz w:val="19"/>
                <w:szCs w:val="19"/>
                <w:lang w:val="fr-BE"/>
              </w:rPr>
            </w:pPr>
          </w:p>
        </w:tc>
        <w:tc>
          <w:tcPr>
            <w:tcW w:w="1020" w:type="dxa"/>
            <w:vAlign w:val="bottom"/>
          </w:tcPr>
          <w:p w:rsidR="00AC12B4" w:rsidRPr="00C27636" w:rsidRDefault="00AC12B4">
            <w:pPr>
              <w:rPr>
                <w:sz w:val="19"/>
                <w:szCs w:val="19"/>
                <w:lang w:val="fr-BE"/>
              </w:rPr>
            </w:pPr>
          </w:p>
        </w:tc>
        <w:tc>
          <w:tcPr>
            <w:tcW w:w="120" w:type="dxa"/>
            <w:tcBorders>
              <w:right w:val="single" w:sz="8" w:space="0" w:color="1F497D"/>
            </w:tcBorders>
            <w:vAlign w:val="bottom"/>
          </w:tcPr>
          <w:p w:rsidR="00AC12B4" w:rsidRPr="00C27636" w:rsidRDefault="00AC12B4">
            <w:pPr>
              <w:rPr>
                <w:sz w:val="19"/>
                <w:szCs w:val="19"/>
                <w:lang w:val="fr-BE"/>
              </w:rPr>
            </w:pPr>
          </w:p>
        </w:tc>
        <w:tc>
          <w:tcPr>
            <w:tcW w:w="100" w:type="dxa"/>
            <w:vAlign w:val="bottom"/>
          </w:tcPr>
          <w:p w:rsidR="00AC12B4" w:rsidRPr="00C27636" w:rsidRDefault="00AC12B4">
            <w:pPr>
              <w:rPr>
                <w:sz w:val="19"/>
                <w:szCs w:val="19"/>
                <w:lang w:val="fr-BE"/>
              </w:rPr>
            </w:pPr>
          </w:p>
        </w:tc>
        <w:tc>
          <w:tcPr>
            <w:tcW w:w="1160" w:type="dxa"/>
            <w:vAlign w:val="bottom"/>
          </w:tcPr>
          <w:p w:rsidR="00AC12B4" w:rsidRPr="00C27636" w:rsidRDefault="00AC12B4">
            <w:pPr>
              <w:rPr>
                <w:sz w:val="19"/>
                <w:szCs w:val="19"/>
                <w:lang w:val="fr-BE"/>
              </w:rPr>
            </w:pPr>
          </w:p>
        </w:tc>
        <w:tc>
          <w:tcPr>
            <w:tcW w:w="120" w:type="dxa"/>
            <w:tcBorders>
              <w:right w:val="single" w:sz="8" w:space="0" w:color="1F497D"/>
            </w:tcBorders>
            <w:vAlign w:val="bottom"/>
          </w:tcPr>
          <w:p w:rsidR="00AC12B4" w:rsidRPr="00C27636" w:rsidRDefault="00AC12B4">
            <w:pPr>
              <w:rPr>
                <w:sz w:val="19"/>
                <w:szCs w:val="19"/>
                <w:lang w:val="fr-BE"/>
              </w:rPr>
            </w:pPr>
          </w:p>
        </w:tc>
        <w:tc>
          <w:tcPr>
            <w:tcW w:w="80" w:type="dxa"/>
            <w:vAlign w:val="bottom"/>
          </w:tcPr>
          <w:p w:rsidR="00AC12B4" w:rsidRPr="00C27636" w:rsidRDefault="00AC12B4">
            <w:pPr>
              <w:rPr>
                <w:sz w:val="19"/>
                <w:szCs w:val="19"/>
                <w:lang w:val="fr-BE"/>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11 par</w:t>
            </w: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80" w:type="dxa"/>
            <w:vAlign w:val="bottom"/>
          </w:tcPr>
          <w:p w:rsidR="00AC12B4" w:rsidRDefault="00AC12B4">
            <w:pPr>
              <w:rPr>
                <w:sz w:val="19"/>
                <w:szCs w:val="19"/>
              </w:rPr>
            </w:pPr>
          </w:p>
        </w:tc>
        <w:tc>
          <w:tcPr>
            <w:tcW w:w="1160" w:type="dxa"/>
            <w:vAlign w:val="bottom"/>
          </w:tcPr>
          <w:p w:rsidR="00AC12B4" w:rsidRDefault="00AC12B4">
            <w:pPr>
              <w:rPr>
                <w:sz w:val="19"/>
                <w:szCs w:val="19"/>
              </w:rPr>
            </w:pPr>
          </w:p>
        </w:tc>
        <w:tc>
          <w:tcPr>
            <w:tcW w:w="120" w:type="dxa"/>
            <w:tcBorders>
              <w:right w:val="single" w:sz="8" w:space="0" w:color="1F497D"/>
            </w:tcBorders>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60"/>
        </w:trPr>
        <w:tc>
          <w:tcPr>
            <w:tcW w:w="120" w:type="dxa"/>
            <w:tcBorders>
              <w:left w:val="single" w:sz="8" w:space="0" w:color="1F497D"/>
            </w:tcBorders>
            <w:vAlign w:val="bottom"/>
          </w:tcPr>
          <w:p w:rsidR="00AC12B4" w:rsidRDefault="00AC12B4">
            <w:pPr>
              <w:rPr>
                <w:sz w:val="5"/>
                <w:szCs w:val="5"/>
              </w:rPr>
            </w:pPr>
          </w:p>
        </w:tc>
        <w:tc>
          <w:tcPr>
            <w:tcW w:w="200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jeunesse générale n’est</w:t>
            </w:r>
          </w:p>
        </w:tc>
        <w:tc>
          <w:tcPr>
            <w:tcW w:w="100" w:type="dxa"/>
            <w:vAlign w:val="bottom"/>
          </w:tcPr>
          <w:p w:rsidR="00AC12B4" w:rsidRDefault="00AC12B4">
            <w:pPr>
              <w:rPr>
                <w:sz w:val="5"/>
                <w:szCs w:val="5"/>
              </w:rPr>
            </w:pPr>
          </w:p>
        </w:tc>
        <w:tc>
          <w:tcPr>
            <w:tcW w:w="114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w w:val="98"/>
                <w:sz w:val="18"/>
                <w:szCs w:val="18"/>
              </w:rPr>
              <w:t>21 par</w:t>
            </w:r>
          </w:p>
        </w:tc>
        <w:tc>
          <w:tcPr>
            <w:tcW w:w="100" w:type="dxa"/>
            <w:vAlign w:val="bottom"/>
          </w:tcPr>
          <w:p w:rsidR="00AC12B4" w:rsidRDefault="00AC12B4">
            <w:pPr>
              <w:rPr>
                <w:sz w:val="5"/>
                <w:szCs w:val="5"/>
              </w:rPr>
            </w:pPr>
          </w:p>
        </w:tc>
        <w:tc>
          <w:tcPr>
            <w:tcW w:w="1280" w:type="dxa"/>
            <w:gridSpan w:val="2"/>
            <w:vMerge w:val="restart"/>
            <w:tcBorders>
              <w:right w:val="single" w:sz="8" w:space="0" w:color="1F497D"/>
            </w:tcBorders>
            <w:vAlign w:val="bottom"/>
          </w:tcPr>
          <w:p w:rsidR="00AC12B4" w:rsidRDefault="00C27636">
            <w:pPr>
              <w:ind w:right="140"/>
              <w:jc w:val="center"/>
              <w:rPr>
                <w:sz w:val="20"/>
                <w:szCs w:val="20"/>
              </w:rPr>
            </w:pPr>
            <w:r>
              <w:rPr>
                <w:rFonts w:ascii="Calibri" w:eastAsia="Calibri" w:hAnsi="Calibri" w:cs="Calibri"/>
                <w:w w:val="98"/>
                <w:sz w:val="18"/>
                <w:szCs w:val="18"/>
              </w:rPr>
              <w:t>21 par</w:t>
            </w:r>
          </w:p>
        </w:tc>
        <w:tc>
          <w:tcPr>
            <w:tcW w:w="80" w:type="dxa"/>
            <w:vAlign w:val="bottom"/>
          </w:tcPr>
          <w:p w:rsidR="00AC12B4" w:rsidRDefault="00AC12B4">
            <w:pPr>
              <w:rPr>
                <w:sz w:val="5"/>
                <w:szCs w:val="5"/>
              </w:rPr>
            </w:pPr>
          </w:p>
        </w:tc>
        <w:tc>
          <w:tcPr>
            <w:tcW w:w="1280" w:type="dxa"/>
            <w:gridSpan w:val="2"/>
            <w:vMerge/>
            <w:tcBorders>
              <w:right w:val="single" w:sz="8" w:space="0" w:color="1F497D"/>
            </w:tcBorders>
            <w:vAlign w:val="bottom"/>
          </w:tcPr>
          <w:p w:rsidR="00AC12B4" w:rsidRDefault="00AC12B4">
            <w:pPr>
              <w:rPr>
                <w:sz w:val="5"/>
                <w:szCs w:val="5"/>
              </w:rPr>
            </w:pPr>
          </w:p>
        </w:tc>
        <w:tc>
          <w:tcPr>
            <w:tcW w:w="80" w:type="dxa"/>
            <w:vAlign w:val="bottom"/>
          </w:tcPr>
          <w:p w:rsidR="00AC12B4" w:rsidRDefault="00AC12B4">
            <w:pPr>
              <w:rPr>
                <w:sz w:val="5"/>
                <w:szCs w:val="5"/>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17 par</w:t>
            </w:r>
          </w:p>
        </w:tc>
        <w:tc>
          <w:tcPr>
            <w:tcW w:w="80" w:type="dxa"/>
            <w:vAlign w:val="bottom"/>
          </w:tcPr>
          <w:p w:rsidR="00AC12B4" w:rsidRDefault="00AC12B4">
            <w:pPr>
              <w:rPr>
                <w:sz w:val="5"/>
                <w:szCs w:val="5"/>
              </w:rPr>
            </w:pPr>
          </w:p>
        </w:tc>
        <w:tc>
          <w:tcPr>
            <w:tcW w:w="1280" w:type="dxa"/>
            <w:gridSpan w:val="2"/>
            <w:vMerge w:val="restart"/>
            <w:tcBorders>
              <w:right w:val="single" w:sz="8" w:space="0" w:color="1F497D"/>
            </w:tcBorders>
            <w:vAlign w:val="bottom"/>
          </w:tcPr>
          <w:p w:rsidR="00AC12B4" w:rsidRDefault="00C27636">
            <w:pPr>
              <w:ind w:right="120"/>
              <w:jc w:val="center"/>
              <w:rPr>
                <w:sz w:val="20"/>
                <w:szCs w:val="20"/>
              </w:rPr>
            </w:pPr>
            <w:r>
              <w:rPr>
                <w:rFonts w:ascii="Calibri" w:eastAsia="Calibri" w:hAnsi="Calibri" w:cs="Calibri"/>
                <w:sz w:val="18"/>
                <w:szCs w:val="18"/>
              </w:rPr>
              <w:t>22 par</w:t>
            </w:r>
          </w:p>
        </w:tc>
        <w:tc>
          <w:tcPr>
            <w:tcW w:w="80" w:type="dxa"/>
            <w:vAlign w:val="bottom"/>
          </w:tcPr>
          <w:p w:rsidR="00AC12B4" w:rsidRDefault="00AC12B4">
            <w:pPr>
              <w:rPr>
                <w:sz w:val="5"/>
                <w:szCs w:val="5"/>
              </w:rPr>
            </w:pPr>
          </w:p>
        </w:tc>
        <w:tc>
          <w:tcPr>
            <w:tcW w:w="1160" w:type="dxa"/>
            <w:vAlign w:val="bottom"/>
          </w:tcPr>
          <w:p w:rsidR="00AC12B4" w:rsidRDefault="00AC12B4">
            <w:pPr>
              <w:rPr>
                <w:sz w:val="5"/>
                <w:szCs w:val="5"/>
              </w:rPr>
            </w:pPr>
          </w:p>
        </w:tc>
        <w:tc>
          <w:tcPr>
            <w:tcW w:w="120" w:type="dxa"/>
            <w:tcBorders>
              <w:right w:val="single" w:sz="8" w:space="0" w:color="1F497D"/>
            </w:tcBorders>
            <w:vAlign w:val="bottom"/>
          </w:tcPr>
          <w:p w:rsidR="00AC12B4" w:rsidRDefault="00AC12B4">
            <w:pPr>
              <w:rPr>
                <w:sz w:val="5"/>
                <w:szCs w:val="5"/>
              </w:rPr>
            </w:pPr>
          </w:p>
        </w:tc>
        <w:tc>
          <w:tcPr>
            <w:tcW w:w="0" w:type="dxa"/>
            <w:vAlign w:val="bottom"/>
          </w:tcPr>
          <w:p w:rsidR="00AC12B4" w:rsidRDefault="00AC12B4">
            <w:pPr>
              <w:rPr>
                <w:sz w:val="1"/>
                <w:szCs w:val="1"/>
              </w:rPr>
            </w:pPr>
          </w:p>
        </w:tc>
      </w:tr>
      <w:tr w:rsidR="00AC12B4">
        <w:trPr>
          <w:trHeight w:val="170"/>
        </w:trPr>
        <w:tc>
          <w:tcPr>
            <w:tcW w:w="120" w:type="dxa"/>
            <w:tcBorders>
              <w:left w:val="single" w:sz="8" w:space="0" w:color="1F497D"/>
            </w:tcBorders>
            <w:vAlign w:val="bottom"/>
          </w:tcPr>
          <w:p w:rsidR="00AC12B4" w:rsidRDefault="00AC12B4">
            <w:pPr>
              <w:rPr>
                <w:sz w:val="14"/>
                <w:szCs w:val="14"/>
              </w:rPr>
            </w:pPr>
          </w:p>
        </w:tc>
        <w:tc>
          <w:tcPr>
            <w:tcW w:w="200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14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val="restart"/>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w w:val="99"/>
                <w:sz w:val="18"/>
                <w:szCs w:val="18"/>
              </w:rPr>
              <w:t>Espéranto</w:t>
            </w: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48"/>
        </w:trPr>
        <w:tc>
          <w:tcPr>
            <w:tcW w:w="120" w:type="dxa"/>
            <w:tcBorders>
              <w:left w:val="single" w:sz="8" w:space="0" w:color="1F497D"/>
            </w:tcBorders>
            <w:vAlign w:val="bottom"/>
          </w:tcPr>
          <w:p w:rsidR="00AC12B4" w:rsidRDefault="00AC12B4">
            <w:pPr>
              <w:rPr>
                <w:sz w:val="4"/>
                <w:szCs w:val="4"/>
              </w:rPr>
            </w:pPr>
          </w:p>
        </w:tc>
        <w:tc>
          <w:tcPr>
            <w:tcW w:w="2000" w:type="dxa"/>
            <w:gridSpan w:val="2"/>
            <w:vMerge w:val="restart"/>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w w:val="99"/>
                <w:sz w:val="18"/>
                <w:szCs w:val="18"/>
              </w:rPr>
              <w:t>pas connu, faute de</w:t>
            </w:r>
          </w:p>
        </w:tc>
        <w:tc>
          <w:tcPr>
            <w:tcW w:w="100" w:type="dxa"/>
            <w:vAlign w:val="bottom"/>
          </w:tcPr>
          <w:p w:rsidR="00AC12B4" w:rsidRDefault="00AC12B4">
            <w:pPr>
              <w:rPr>
                <w:sz w:val="4"/>
                <w:szCs w:val="4"/>
              </w:rPr>
            </w:pPr>
          </w:p>
        </w:tc>
        <w:tc>
          <w:tcPr>
            <w:tcW w:w="114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9"/>
                <w:sz w:val="18"/>
                <w:szCs w:val="18"/>
              </w:rPr>
              <w:t>Espéranto</w:t>
            </w:r>
          </w:p>
        </w:tc>
        <w:tc>
          <w:tcPr>
            <w:tcW w:w="10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w w:val="99"/>
                <w:sz w:val="18"/>
                <w:szCs w:val="18"/>
              </w:rPr>
              <w:t>Espéranto</w:t>
            </w:r>
          </w:p>
        </w:tc>
        <w:tc>
          <w:tcPr>
            <w:tcW w:w="80" w:type="dxa"/>
            <w:vAlign w:val="bottom"/>
          </w:tcPr>
          <w:p w:rsidR="00AC12B4" w:rsidRDefault="00AC12B4">
            <w:pPr>
              <w:rPr>
                <w:sz w:val="4"/>
                <w:szCs w:val="4"/>
              </w:rPr>
            </w:pPr>
          </w:p>
        </w:tc>
        <w:tc>
          <w:tcPr>
            <w:tcW w:w="1280" w:type="dxa"/>
            <w:gridSpan w:val="2"/>
            <w:vMerge/>
            <w:tcBorders>
              <w:right w:val="single" w:sz="8" w:space="0" w:color="1F497D"/>
            </w:tcBorders>
            <w:vAlign w:val="bottom"/>
          </w:tcPr>
          <w:p w:rsidR="00AC12B4" w:rsidRDefault="00AC12B4">
            <w:pPr>
              <w:rPr>
                <w:sz w:val="4"/>
                <w:szCs w:val="4"/>
              </w:rPr>
            </w:pP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spacing w:line="218" w:lineRule="exact"/>
              <w:ind w:right="140"/>
              <w:jc w:val="center"/>
              <w:rPr>
                <w:sz w:val="20"/>
                <w:szCs w:val="20"/>
              </w:rPr>
            </w:pPr>
            <w:r>
              <w:rPr>
                <w:rFonts w:ascii="Calibri" w:eastAsia="Calibri" w:hAnsi="Calibri" w:cs="Calibri"/>
                <w:w w:val="99"/>
                <w:sz w:val="18"/>
                <w:szCs w:val="18"/>
              </w:rPr>
              <w:t>Espéranto</w:t>
            </w:r>
          </w:p>
        </w:tc>
        <w:tc>
          <w:tcPr>
            <w:tcW w:w="80" w:type="dxa"/>
            <w:vAlign w:val="bottom"/>
          </w:tcPr>
          <w:p w:rsidR="00AC12B4" w:rsidRDefault="00AC12B4">
            <w:pPr>
              <w:rPr>
                <w:sz w:val="4"/>
                <w:szCs w:val="4"/>
              </w:rPr>
            </w:pPr>
          </w:p>
        </w:tc>
        <w:tc>
          <w:tcPr>
            <w:tcW w:w="1280" w:type="dxa"/>
            <w:gridSpan w:val="2"/>
            <w:vMerge w:val="restart"/>
            <w:tcBorders>
              <w:right w:val="single" w:sz="8" w:space="0" w:color="1F497D"/>
            </w:tcBorders>
            <w:vAlign w:val="bottom"/>
          </w:tcPr>
          <w:p w:rsidR="00AC12B4" w:rsidRDefault="00C27636">
            <w:pPr>
              <w:spacing w:line="218" w:lineRule="exact"/>
              <w:ind w:right="120"/>
              <w:jc w:val="center"/>
              <w:rPr>
                <w:sz w:val="20"/>
                <w:szCs w:val="20"/>
              </w:rPr>
            </w:pPr>
            <w:r>
              <w:rPr>
                <w:rFonts w:ascii="Calibri" w:eastAsia="Calibri" w:hAnsi="Calibri" w:cs="Calibri"/>
                <w:w w:val="97"/>
                <w:sz w:val="18"/>
                <w:szCs w:val="18"/>
              </w:rPr>
              <w:t>Espéranto</w:t>
            </w:r>
          </w:p>
        </w:tc>
        <w:tc>
          <w:tcPr>
            <w:tcW w:w="80" w:type="dxa"/>
            <w:vAlign w:val="bottom"/>
          </w:tcPr>
          <w:p w:rsidR="00AC12B4" w:rsidRDefault="00AC12B4">
            <w:pPr>
              <w:rPr>
                <w:sz w:val="4"/>
                <w:szCs w:val="4"/>
              </w:rPr>
            </w:pPr>
          </w:p>
        </w:tc>
        <w:tc>
          <w:tcPr>
            <w:tcW w:w="1160" w:type="dxa"/>
            <w:vAlign w:val="bottom"/>
          </w:tcPr>
          <w:p w:rsidR="00AC12B4" w:rsidRDefault="00AC12B4">
            <w:pPr>
              <w:rPr>
                <w:sz w:val="4"/>
                <w:szCs w:val="4"/>
              </w:rPr>
            </w:pPr>
          </w:p>
        </w:tc>
        <w:tc>
          <w:tcPr>
            <w:tcW w:w="120" w:type="dxa"/>
            <w:tcBorders>
              <w:right w:val="single" w:sz="8" w:space="0" w:color="1F497D"/>
            </w:tcBorders>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170"/>
        </w:trPr>
        <w:tc>
          <w:tcPr>
            <w:tcW w:w="120" w:type="dxa"/>
            <w:tcBorders>
              <w:left w:val="single" w:sz="8" w:space="0" w:color="1F497D"/>
            </w:tcBorders>
            <w:vAlign w:val="bottom"/>
          </w:tcPr>
          <w:p w:rsidR="00AC12B4" w:rsidRDefault="00AC12B4">
            <w:pPr>
              <w:rPr>
                <w:sz w:val="14"/>
                <w:szCs w:val="14"/>
              </w:rPr>
            </w:pPr>
          </w:p>
        </w:tc>
        <w:tc>
          <w:tcPr>
            <w:tcW w:w="200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140" w:type="dxa"/>
            <w:gridSpan w:val="2"/>
            <w:vMerge/>
            <w:tcBorders>
              <w:right w:val="single" w:sz="8" w:space="0" w:color="1F497D"/>
            </w:tcBorders>
            <w:vAlign w:val="bottom"/>
          </w:tcPr>
          <w:p w:rsidR="00AC12B4" w:rsidRDefault="00AC12B4">
            <w:pPr>
              <w:rPr>
                <w:sz w:val="14"/>
                <w:szCs w:val="14"/>
              </w:rPr>
            </w:pPr>
          </w:p>
        </w:tc>
        <w:tc>
          <w:tcPr>
            <w:tcW w:w="10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280" w:type="dxa"/>
            <w:gridSpan w:val="2"/>
            <w:vMerge/>
            <w:tcBorders>
              <w:right w:val="single" w:sz="8" w:space="0" w:color="1F497D"/>
            </w:tcBorders>
            <w:vAlign w:val="bottom"/>
          </w:tcPr>
          <w:p w:rsidR="00AC12B4" w:rsidRDefault="00AC12B4">
            <w:pPr>
              <w:rPr>
                <w:sz w:val="14"/>
                <w:szCs w:val="14"/>
              </w:rPr>
            </w:pPr>
          </w:p>
        </w:tc>
        <w:tc>
          <w:tcPr>
            <w:tcW w:w="80" w:type="dxa"/>
            <w:vAlign w:val="bottom"/>
          </w:tcPr>
          <w:p w:rsidR="00AC12B4" w:rsidRDefault="00AC12B4">
            <w:pPr>
              <w:rPr>
                <w:sz w:val="14"/>
                <w:szCs w:val="14"/>
              </w:rPr>
            </w:pPr>
          </w:p>
        </w:tc>
        <w:tc>
          <w:tcPr>
            <w:tcW w:w="1160" w:type="dxa"/>
            <w:vAlign w:val="bottom"/>
          </w:tcPr>
          <w:p w:rsidR="00AC12B4" w:rsidRDefault="00AC12B4">
            <w:pPr>
              <w:rPr>
                <w:sz w:val="14"/>
                <w:szCs w:val="14"/>
              </w:rPr>
            </w:pPr>
          </w:p>
        </w:tc>
        <w:tc>
          <w:tcPr>
            <w:tcW w:w="120" w:type="dxa"/>
            <w:tcBorders>
              <w:right w:val="single" w:sz="8" w:space="0" w:color="1F497D"/>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209"/>
        </w:trPr>
        <w:tc>
          <w:tcPr>
            <w:tcW w:w="120" w:type="dxa"/>
            <w:tcBorders>
              <w:left w:val="single" w:sz="8" w:space="0" w:color="1F497D"/>
            </w:tcBorders>
            <w:vAlign w:val="bottom"/>
          </w:tcPr>
          <w:p w:rsidR="00AC12B4" w:rsidRDefault="00AC12B4">
            <w:pPr>
              <w:rPr>
                <w:sz w:val="18"/>
                <w:szCs w:val="18"/>
              </w:rPr>
            </w:pPr>
          </w:p>
        </w:tc>
        <w:tc>
          <w:tcPr>
            <w:tcW w:w="2000" w:type="dxa"/>
            <w:gridSpan w:val="2"/>
            <w:tcBorders>
              <w:right w:val="single" w:sz="8" w:space="0" w:color="1F497D"/>
            </w:tcBorders>
            <w:vAlign w:val="bottom"/>
          </w:tcPr>
          <w:p w:rsidR="00AC12B4" w:rsidRDefault="00C27636">
            <w:pPr>
              <w:spacing w:line="209" w:lineRule="exact"/>
              <w:ind w:right="120"/>
              <w:jc w:val="center"/>
              <w:rPr>
                <w:sz w:val="20"/>
                <w:szCs w:val="20"/>
              </w:rPr>
            </w:pPr>
            <w:r>
              <w:rPr>
                <w:rFonts w:ascii="Calibri" w:eastAsia="Calibri" w:hAnsi="Calibri" w:cs="Calibri"/>
                <w:sz w:val="18"/>
                <w:szCs w:val="18"/>
              </w:rPr>
              <w:t>ventilation spécifique)</w:t>
            </w:r>
          </w:p>
        </w:tc>
        <w:tc>
          <w:tcPr>
            <w:tcW w:w="100" w:type="dxa"/>
            <w:vAlign w:val="bottom"/>
          </w:tcPr>
          <w:p w:rsidR="00AC12B4" w:rsidRDefault="00AC12B4">
            <w:pPr>
              <w:rPr>
                <w:sz w:val="18"/>
                <w:szCs w:val="18"/>
              </w:rPr>
            </w:pPr>
          </w:p>
        </w:tc>
        <w:tc>
          <w:tcPr>
            <w:tcW w:w="102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10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80" w:type="dxa"/>
            <w:vAlign w:val="bottom"/>
          </w:tcPr>
          <w:p w:rsidR="00AC12B4" w:rsidRDefault="00AC12B4">
            <w:pPr>
              <w:rPr>
                <w:sz w:val="18"/>
                <w:szCs w:val="18"/>
              </w:rPr>
            </w:pPr>
          </w:p>
        </w:tc>
        <w:tc>
          <w:tcPr>
            <w:tcW w:w="1160" w:type="dxa"/>
            <w:vAlign w:val="bottom"/>
          </w:tcPr>
          <w:p w:rsidR="00AC12B4" w:rsidRDefault="00AC12B4">
            <w:pPr>
              <w:rPr>
                <w:sz w:val="18"/>
                <w:szCs w:val="18"/>
              </w:rPr>
            </w:pPr>
          </w:p>
        </w:tc>
        <w:tc>
          <w:tcPr>
            <w:tcW w:w="120" w:type="dxa"/>
            <w:tcBorders>
              <w:right w:val="single" w:sz="8" w:space="0" w:color="1F497D"/>
            </w:tcBorders>
            <w:vAlign w:val="bottom"/>
          </w:tcPr>
          <w:p w:rsidR="00AC12B4" w:rsidRDefault="00AC12B4">
            <w:pPr>
              <w:rPr>
                <w:sz w:val="18"/>
                <w:szCs w:val="18"/>
              </w:rPr>
            </w:pPr>
          </w:p>
        </w:tc>
        <w:tc>
          <w:tcPr>
            <w:tcW w:w="0" w:type="dxa"/>
            <w:vAlign w:val="bottom"/>
          </w:tcPr>
          <w:p w:rsidR="00AC12B4" w:rsidRDefault="00AC12B4">
            <w:pPr>
              <w:rPr>
                <w:sz w:val="1"/>
                <w:szCs w:val="1"/>
              </w:rPr>
            </w:pPr>
          </w:p>
        </w:tc>
      </w:tr>
      <w:tr w:rsidR="00AC12B4">
        <w:trPr>
          <w:trHeight w:val="126"/>
        </w:trPr>
        <w:tc>
          <w:tcPr>
            <w:tcW w:w="120" w:type="dxa"/>
            <w:tcBorders>
              <w:left w:val="single" w:sz="8" w:space="0" w:color="1F497D"/>
              <w:bottom w:val="single" w:sz="8" w:space="0" w:color="1F497D"/>
            </w:tcBorders>
            <w:vAlign w:val="bottom"/>
          </w:tcPr>
          <w:p w:rsidR="00AC12B4" w:rsidRDefault="00AC12B4">
            <w:pPr>
              <w:rPr>
                <w:sz w:val="10"/>
                <w:szCs w:val="10"/>
              </w:rPr>
            </w:pPr>
          </w:p>
        </w:tc>
        <w:tc>
          <w:tcPr>
            <w:tcW w:w="188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02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10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80" w:type="dxa"/>
            <w:tcBorders>
              <w:bottom w:val="single" w:sz="8" w:space="0" w:color="1F497D"/>
            </w:tcBorders>
            <w:vAlign w:val="bottom"/>
          </w:tcPr>
          <w:p w:rsidR="00AC12B4" w:rsidRDefault="00AC12B4">
            <w:pPr>
              <w:rPr>
                <w:sz w:val="10"/>
                <w:szCs w:val="10"/>
              </w:rPr>
            </w:pPr>
          </w:p>
        </w:tc>
        <w:tc>
          <w:tcPr>
            <w:tcW w:w="1160" w:type="dxa"/>
            <w:tcBorders>
              <w:bottom w:val="single" w:sz="8" w:space="0" w:color="1F497D"/>
            </w:tcBorders>
            <w:vAlign w:val="bottom"/>
          </w:tcPr>
          <w:p w:rsidR="00AC12B4" w:rsidRDefault="00AC12B4">
            <w:pPr>
              <w:rPr>
                <w:sz w:val="10"/>
                <w:szCs w:val="10"/>
              </w:rPr>
            </w:pPr>
          </w:p>
        </w:tc>
        <w:tc>
          <w:tcPr>
            <w:tcW w:w="120" w:type="dxa"/>
            <w:tcBorders>
              <w:bottom w:val="single" w:sz="8" w:space="0" w:color="1F497D"/>
              <w:right w:val="single" w:sz="8" w:space="0" w:color="1F497D"/>
            </w:tcBorders>
            <w:vAlign w:val="bottom"/>
          </w:tcPr>
          <w:p w:rsidR="00AC12B4" w:rsidRDefault="00AC12B4">
            <w:pPr>
              <w:rPr>
                <w:sz w:val="10"/>
                <w:szCs w:val="10"/>
              </w:rPr>
            </w:pPr>
          </w:p>
        </w:tc>
        <w:tc>
          <w:tcPr>
            <w:tcW w:w="0" w:type="dxa"/>
            <w:vAlign w:val="bottom"/>
          </w:tcPr>
          <w:p w:rsidR="00AC12B4" w:rsidRDefault="00AC12B4">
            <w:pPr>
              <w:rPr>
                <w:sz w:val="1"/>
                <w:szCs w:val="1"/>
              </w:rPr>
            </w:pPr>
          </w:p>
        </w:tc>
      </w:tr>
    </w:tbl>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381" w:lineRule="exact"/>
        <w:rPr>
          <w:sz w:val="20"/>
          <w:szCs w:val="20"/>
        </w:rPr>
      </w:pPr>
    </w:p>
    <w:p w:rsidR="00AC12B4" w:rsidRDefault="00C27636">
      <w:pPr>
        <w:ind w:left="4200"/>
        <w:rPr>
          <w:sz w:val="20"/>
          <w:szCs w:val="20"/>
        </w:rPr>
      </w:pPr>
      <w:r>
        <w:rPr>
          <w:rFonts w:ascii="Calibri" w:eastAsia="Calibri" w:hAnsi="Calibri" w:cs="Calibri"/>
        </w:rPr>
        <w:t>194</w:t>
      </w:r>
    </w:p>
    <w:p w:rsidR="00AC12B4" w:rsidRDefault="00AC12B4">
      <w:pPr>
        <w:sectPr w:rsidR="00AC12B4">
          <w:pgSz w:w="12080" w:h="17179"/>
          <w:pgMar w:top="971" w:right="617" w:bottom="659" w:left="451" w:header="0" w:footer="0" w:gutter="0"/>
          <w:cols w:num="2" w:space="720" w:equalWidth="0">
            <w:col w:w="330" w:space="519"/>
            <w:col w:w="10160"/>
          </w:cols>
        </w:sectPr>
      </w:pPr>
    </w:p>
    <w:p w:rsidR="00AC12B4" w:rsidRDefault="00AC12B4">
      <w:pPr>
        <w:spacing w:line="169" w:lineRule="exact"/>
        <w:rPr>
          <w:sz w:val="20"/>
          <w:szCs w:val="20"/>
        </w:rPr>
      </w:pPr>
      <w:bookmarkStart w:id="194" w:name="page195"/>
      <w:bookmarkEnd w:id="194"/>
    </w:p>
    <w:p w:rsidR="00AC12B4" w:rsidRDefault="00C27636">
      <w:pPr>
        <w:ind w:left="560"/>
        <w:rPr>
          <w:sz w:val="20"/>
          <w:szCs w:val="20"/>
        </w:rPr>
      </w:pPr>
      <w:r>
        <w:rPr>
          <w:rFonts w:ascii="Cambria" w:eastAsia="Cambria" w:hAnsi="Cambria" w:cs="Cambria"/>
          <w:b/>
          <w:bCs/>
          <w:i/>
          <w:iCs/>
          <w:color w:val="0F6D8F"/>
          <w:sz w:val="26"/>
          <w:szCs w:val="26"/>
        </w:rPr>
        <w:t>D’où viennent ces chiffres ?</w:t>
      </w:r>
    </w:p>
    <w:p w:rsidR="00AC12B4" w:rsidRDefault="00AC12B4">
      <w:pPr>
        <w:spacing w:line="208" w:lineRule="exact"/>
        <w:rPr>
          <w:sz w:val="20"/>
          <w:szCs w:val="20"/>
        </w:rPr>
      </w:pPr>
    </w:p>
    <w:p w:rsidR="00AC12B4" w:rsidRPr="00C27636" w:rsidRDefault="00C27636">
      <w:pPr>
        <w:spacing w:line="229" w:lineRule="auto"/>
        <w:ind w:left="560"/>
        <w:jc w:val="both"/>
        <w:rPr>
          <w:sz w:val="20"/>
          <w:szCs w:val="20"/>
          <w:lang w:val="fr-BE"/>
        </w:rPr>
      </w:pPr>
      <w:r w:rsidRPr="00C27636">
        <w:rPr>
          <w:rFonts w:ascii="Calibri" w:eastAsia="Calibri" w:hAnsi="Calibri" w:cs="Calibri"/>
          <w:lang w:val="fr-BE"/>
        </w:rPr>
        <w:t xml:space="preserve">Il s’agit de données administratives provenant de Fedasil, de l’Office des Etrangers et des centres d’accueil </w:t>
      </w:r>
      <w:r w:rsidRPr="00C27636">
        <w:rPr>
          <w:rFonts w:ascii="Calibri" w:eastAsia="Calibri" w:hAnsi="Calibri" w:cs="Calibri"/>
          <w:lang w:val="fr-BE"/>
        </w:rPr>
        <w:t>spécialisés.</w:t>
      </w:r>
    </w:p>
    <w:p w:rsidR="00AC12B4" w:rsidRPr="00C27636" w:rsidRDefault="00AC12B4">
      <w:pPr>
        <w:spacing w:line="126" w:lineRule="exact"/>
        <w:rPr>
          <w:sz w:val="20"/>
          <w:szCs w:val="20"/>
          <w:lang w:val="fr-BE"/>
        </w:rPr>
      </w:pPr>
    </w:p>
    <w:p w:rsidR="00AC12B4" w:rsidRDefault="00C27636">
      <w:pPr>
        <w:numPr>
          <w:ilvl w:val="0"/>
          <w:numId w:val="376"/>
        </w:numPr>
        <w:tabs>
          <w:tab w:val="left" w:pos="1280"/>
        </w:tabs>
        <w:ind w:left="1280" w:hanging="353"/>
        <w:rPr>
          <w:rFonts w:ascii="Wingdings" w:eastAsia="Wingdings" w:hAnsi="Wingdings" w:cs="Wingdings"/>
          <w:color w:val="4F81BD"/>
        </w:rPr>
      </w:pPr>
      <w:r>
        <w:rPr>
          <w:rFonts w:ascii="Cambria" w:eastAsia="Cambria" w:hAnsi="Cambria" w:cs="Cambria"/>
          <w:i/>
          <w:iCs/>
          <w:color w:val="4F81BD"/>
        </w:rPr>
        <w:t>Limite de la mesure</w:t>
      </w:r>
    </w:p>
    <w:p w:rsidR="00AC12B4" w:rsidRDefault="00AC12B4">
      <w:pPr>
        <w:spacing w:line="202" w:lineRule="exact"/>
        <w:rPr>
          <w:sz w:val="20"/>
          <w:szCs w:val="20"/>
        </w:rPr>
      </w:pPr>
    </w:p>
    <w:p w:rsidR="00AC12B4" w:rsidRPr="00C27636" w:rsidRDefault="00C27636">
      <w:pPr>
        <w:spacing w:line="232" w:lineRule="auto"/>
        <w:ind w:left="560"/>
        <w:jc w:val="both"/>
        <w:rPr>
          <w:sz w:val="20"/>
          <w:szCs w:val="20"/>
          <w:lang w:val="fr-BE"/>
        </w:rPr>
      </w:pPr>
      <w:r w:rsidRPr="00C27636">
        <w:rPr>
          <w:rFonts w:ascii="Calibri" w:eastAsia="Calibri" w:hAnsi="Calibri" w:cs="Calibri"/>
          <w:lang w:val="fr-BE"/>
        </w:rPr>
        <w:t>Les personnes en séjour illégal, y inclus ceux vivant dans la rue, ne sont pas reprises dans ces données. Or ces personnes parfois accompagnées d’enfants sont très susceptibles de ne pas fréquenter un lieu d’hébergement a</w:t>
      </w:r>
      <w:r w:rsidRPr="00C27636">
        <w:rPr>
          <w:rFonts w:ascii="Calibri" w:eastAsia="Calibri" w:hAnsi="Calibri" w:cs="Calibri"/>
          <w:lang w:val="fr-BE"/>
        </w:rPr>
        <w:t>dapté aux enfants.</w:t>
      </w:r>
    </w:p>
    <w:p w:rsidR="00AC12B4" w:rsidRPr="00C27636" w:rsidRDefault="00AC12B4">
      <w:pPr>
        <w:spacing w:line="173" w:lineRule="exact"/>
        <w:rPr>
          <w:sz w:val="20"/>
          <w:szCs w:val="20"/>
          <w:lang w:val="fr-BE"/>
        </w:rPr>
      </w:pPr>
    </w:p>
    <w:p w:rsidR="00AC12B4" w:rsidRPr="00C27636" w:rsidRDefault="00C27636">
      <w:pPr>
        <w:spacing w:line="235" w:lineRule="auto"/>
        <w:ind w:left="560"/>
        <w:jc w:val="both"/>
        <w:rPr>
          <w:sz w:val="20"/>
          <w:szCs w:val="20"/>
          <w:lang w:val="fr-BE"/>
        </w:rPr>
      </w:pPr>
      <w:r w:rsidRPr="00C27636">
        <w:rPr>
          <w:rFonts w:ascii="Calibri" w:eastAsia="Calibri" w:hAnsi="Calibri" w:cs="Calibri"/>
          <w:lang w:val="fr-BE"/>
        </w:rPr>
        <w:t xml:space="preserve">Environ un tiers des très jeunes MENA sont quant à eux pris en charge par un membre de famille avec qui ils ont voyagé. Le tuteur est censé exercer un contrôle sur la qualité de cet accueil. L’aide à la jeunesse ne procède pas </w:t>
      </w:r>
      <w:r w:rsidRPr="00C27636">
        <w:rPr>
          <w:rFonts w:ascii="Calibri" w:eastAsia="Calibri" w:hAnsi="Calibri" w:cs="Calibri"/>
          <w:lang w:val="fr-BE"/>
        </w:rPr>
        <w:t>systématiquement à un encadrement. Les CPAS ont toutefois la bonne pratique de suivre le mineur en cas de séjour chez un majeur recevant une allocation.</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5" w:lineRule="auto"/>
        <w:ind w:right="1066"/>
        <w:jc w:val="both"/>
        <w:rPr>
          <w:sz w:val="20"/>
          <w:szCs w:val="20"/>
          <w:lang w:val="fr-BE"/>
        </w:rPr>
      </w:pPr>
      <w:r w:rsidRPr="00C27636">
        <w:rPr>
          <w:rFonts w:ascii="Calibri" w:eastAsia="Calibri" w:hAnsi="Calibri" w:cs="Calibri"/>
          <w:lang w:val="fr-BE"/>
        </w:rPr>
        <w:t xml:space="preserve">L'Office des Étrangers ne tient pas de statistiques sur le séjour en centre fermé 'Caricole'. Selon </w:t>
      </w:r>
      <w:r w:rsidRPr="00C27636">
        <w:rPr>
          <w:rFonts w:ascii="Calibri" w:eastAsia="Calibri" w:hAnsi="Calibri" w:cs="Calibri"/>
          <w:lang w:val="fr-BE"/>
        </w:rPr>
        <w:t xml:space="preserve">ses informations, des familles avec enfants y séjournent au maximum 48 heures, et en principe juste quelques heures en attendant leur transfert vers un lieu d’hébergement. En cas de retour, si un vol a lieu tôt le matin, il se peut que la famille passe la </w:t>
      </w:r>
      <w:r w:rsidRPr="00C27636">
        <w:rPr>
          <w:rFonts w:ascii="Calibri" w:eastAsia="Calibri" w:hAnsi="Calibri" w:cs="Calibri"/>
          <w:lang w:val="fr-BE"/>
        </w:rPr>
        <w:t>nuit dans le centre Caricole.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18848" behindDoc="1" locked="0" layoutInCell="0" allowOverlap="1">
                <wp:simplePos x="0" y="0"/>
                <wp:positionH relativeFrom="column">
                  <wp:posOffset>2743200</wp:posOffset>
                </wp:positionH>
                <wp:positionV relativeFrom="paragraph">
                  <wp:posOffset>-2718435</wp:posOffset>
                </wp:positionV>
                <wp:extent cx="734060" cy="10905490"/>
                <wp:effectExtent l="0" t="0" r="0" b="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5490"/>
                        </a:xfrm>
                        <a:prstGeom prst="rect">
                          <a:avLst/>
                        </a:prstGeom>
                        <a:solidFill>
                          <a:srgbClr val="159DCF"/>
                        </a:solidFill>
                      </wps:spPr>
                      <wps:bodyPr/>
                    </wps:wsp>
                  </a:graphicData>
                </a:graphic>
              </wp:anchor>
            </w:drawing>
          </mc:Choice>
          <mc:Fallback>
            <w:pict>
              <v:rect id="Shape 589" o:spid="_x0000_s1614" style="position:absolute;margin-left:216pt;margin-top:-214.0499pt;width:57.8pt;height:85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59DCF" stroked="f"/>
            </w:pict>
          </mc:Fallback>
        </mc:AlternateContent>
      </w:r>
    </w:p>
    <w:p w:rsidR="00AC12B4" w:rsidRPr="00C27636" w:rsidRDefault="00AC12B4">
      <w:pPr>
        <w:spacing w:line="193" w:lineRule="exact"/>
        <w:rPr>
          <w:sz w:val="20"/>
          <w:szCs w:val="20"/>
          <w:lang w:val="fr-BE"/>
        </w:rPr>
      </w:pPr>
    </w:p>
    <w:p w:rsidR="00AC12B4" w:rsidRDefault="00C27636">
      <w:pPr>
        <w:rPr>
          <w:sz w:val="20"/>
          <w:szCs w:val="20"/>
        </w:rPr>
      </w:pPr>
      <w:r>
        <w:rPr>
          <w:rFonts w:ascii="Cambria" w:eastAsia="Cambria" w:hAnsi="Cambria" w:cs="Cambria"/>
          <w:b/>
          <w:bCs/>
          <w:i/>
          <w:iCs/>
          <w:color w:val="0F6D8F"/>
          <w:sz w:val="26"/>
          <w:szCs w:val="26"/>
        </w:rPr>
        <w:t>Pour aller plus loin</w:t>
      </w:r>
    </w:p>
    <w:p w:rsidR="00AC12B4" w:rsidRDefault="00AC12B4">
      <w:pPr>
        <w:spacing w:line="219" w:lineRule="exact"/>
        <w:rPr>
          <w:sz w:val="20"/>
          <w:szCs w:val="20"/>
        </w:rPr>
      </w:pPr>
    </w:p>
    <w:p w:rsidR="00AC12B4" w:rsidRPr="00C27636" w:rsidRDefault="00C27636">
      <w:pPr>
        <w:numPr>
          <w:ilvl w:val="0"/>
          <w:numId w:val="377"/>
        </w:numPr>
        <w:tabs>
          <w:tab w:val="left" w:pos="420"/>
        </w:tabs>
        <w:spacing w:line="266" w:lineRule="auto"/>
        <w:ind w:left="420" w:right="1086" w:hanging="361"/>
        <w:rPr>
          <w:rFonts w:ascii="Calibri" w:eastAsia="Calibri" w:hAnsi="Calibri" w:cs="Calibri"/>
          <w:color w:val="0000FF"/>
          <w:sz w:val="20"/>
          <w:szCs w:val="20"/>
          <w:u w:val="single"/>
          <w:lang w:val="fr-BE"/>
        </w:rPr>
      </w:pPr>
      <w:r w:rsidRPr="00C27636">
        <w:rPr>
          <w:rFonts w:ascii="Calibri" w:eastAsia="Calibri" w:hAnsi="Calibri" w:cs="Calibri"/>
          <w:b/>
          <w:bCs/>
          <w:color w:val="0F6D8F"/>
          <w:sz w:val="20"/>
          <w:szCs w:val="20"/>
          <w:lang w:val="fr-BE"/>
        </w:rPr>
        <w:t xml:space="preserve">Plate-forme Mineurs en Exil, </w:t>
      </w:r>
      <w:r w:rsidRPr="00C27636">
        <w:rPr>
          <w:rFonts w:ascii="Calibri" w:eastAsia="Calibri" w:hAnsi="Calibri" w:cs="Calibri"/>
          <w:color w:val="000000"/>
          <w:sz w:val="20"/>
          <w:szCs w:val="20"/>
          <w:lang w:val="fr-BE"/>
        </w:rPr>
        <w:t>Détention</w:t>
      </w:r>
      <w:r w:rsidRPr="00C27636">
        <w:rPr>
          <w:rFonts w:ascii="Calibri" w:eastAsia="Calibri" w:hAnsi="Calibri" w:cs="Calibri"/>
          <w:b/>
          <w:bCs/>
          <w:color w:val="0F6D8F"/>
          <w:sz w:val="20"/>
          <w:szCs w:val="20"/>
          <w:lang w:val="fr-BE"/>
        </w:rPr>
        <w:t xml:space="preserve"> </w:t>
      </w:r>
      <w:r w:rsidRPr="00C27636">
        <w:rPr>
          <w:rFonts w:ascii="Calibri" w:eastAsia="Calibri" w:hAnsi="Calibri" w:cs="Calibri"/>
          <w:color w:val="000000"/>
          <w:sz w:val="20"/>
          <w:szCs w:val="20"/>
          <w:lang w:val="fr-BE"/>
        </w:rPr>
        <w:t xml:space="preserve">de mineurs en famille en Belgique: analyse de la théorie et de la pratique, 2015, </w:t>
      </w:r>
      <w:hyperlink r:id="rId356">
        <w:r w:rsidRPr="00C27636">
          <w:rPr>
            <w:rFonts w:ascii="Calibri" w:eastAsia="Calibri" w:hAnsi="Calibri" w:cs="Calibri"/>
            <w:color w:val="0000FF"/>
            <w:sz w:val="20"/>
            <w:szCs w:val="20"/>
            <w:u w:val="single"/>
            <w:lang w:val="fr-BE"/>
          </w:rPr>
          <w:t>http://www.kinderenopdevlucht.be/fr/la-</w:t>
        </w:r>
      </w:hyperlink>
      <w:hyperlink r:id="rId357">
        <w:r w:rsidRPr="00C27636">
          <w:rPr>
            <w:rFonts w:ascii="Calibri" w:eastAsia="Calibri" w:hAnsi="Calibri" w:cs="Calibri"/>
            <w:color w:val="0000FF"/>
            <w:sz w:val="20"/>
            <w:szCs w:val="20"/>
            <w:u w:val="single"/>
            <w:lang w:val="fr-BE"/>
          </w:rPr>
          <w:t>plate-forme/nos-actualites/rapport-</w:t>
        </w:r>
      </w:hyperlink>
      <w:hyperlink r:id="rId358">
        <w:r w:rsidRPr="00C27636">
          <w:rPr>
            <w:rFonts w:ascii="Calibri" w:eastAsia="Calibri" w:hAnsi="Calibri" w:cs="Calibri"/>
            <w:color w:val="0000FF"/>
            <w:sz w:val="20"/>
            <w:szCs w:val="20"/>
            <w:u w:val="single"/>
            <w:lang w:val="fr-BE"/>
          </w:rPr>
          <w:t>detention-2015.html</w:t>
        </w:r>
      </w:hyperlink>
    </w:p>
    <w:p w:rsidR="00AC12B4" w:rsidRPr="00C27636" w:rsidRDefault="00AC12B4">
      <w:pPr>
        <w:spacing w:line="1368" w:lineRule="exact"/>
        <w:rPr>
          <w:rFonts w:ascii="Calibri" w:eastAsia="Calibri" w:hAnsi="Calibri" w:cs="Calibri"/>
          <w:color w:val="0000FF"/>
          <w:sz w:val="20"/>
          <w:szCs w:val="20"/>
          <w:u w:val="single"/>
          <w:lang w:val="fr-BE"/>
        </w:rPr>
      </w:pPr>
    </w:p>
    <w:p w:rsidR="00AC12B4" w:rsidRPr="00C27636" w:rsidRDefault="00AC12B4">
      <w:pPr>
        <w:rPr>
          <w:lang w:val="fr-BE"/>
        </w:rPr>
        <w:sectPr w:rsidR="00AC12B4" w:rsidRPr="00C27636">
          <w:pgSz w:w="12080" w:h="17179"/>
          <w:pgMar w:top="1440" w:right="530" w:bottom="659" w:left="1440" w:header="0" w:footer="0" w:gutter="0"/>
          <w:cols w:num="2" w:space="720" w:equalWidth="0">
            <w:col w:w="4440" w:space="720"/>
            <w:col w:w="4946"/>
          </w:cols>
        </w:sect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00" w:lineRule="exact"/>
        <w:rPr>
          <w:rFonts w:ascii="Calibri" w:eastAsia="Calibri" w:hAnsi="Calibri" w:cs="Calibri"/>
          <w:color w:val="0000FF"/>
          <w:sz w:val="20"/>
          <w:szCs w:val="20"/>
          <w:u w:val="single"/>
          <w:lang w:val="fr-BE"/>
        </w:rPr>
      </w:pPr>
    </w:p>
    <w:p w:rsidR="00AC12B4" w:rsidRPr="00C27636" w:rsidRDefault="00AC12B4">
      <w:pPr>
        <w:spacing w:line="226" w:lineRule="exact"/>
        <w:rPr>
          <w:rFonts w:ascii="Calibri" w:eastAsia="Calibri" w:hAnsi="Calibri" w:cs="Calibri"/>
          <w:color w:val="0000FF"/>
          <w:sz w:val="20"/>
          <w:szCs w:val="20"/>
          <w:u w:val="single"/>
          <w:lang w:val="fr-BE"/>
        </w:rPr>
      </w:pPr>
    </w:p>
    <w:tbl>
      <w:tblPr>
        <w:tblW w:w="0" w:type="auto"/>
        <w:tblInd w:w="9826" w:type="dxa"/>
        <w:tblLayout w:type="fixed"/>
        <w:tblCellMar>
          <w:left w:w="0" w:type="dxa"/>
          <w:right w:w="0" w:type="dxa"/>
        </w:tblCellMar>
        <w:tblLook w:val="04A0" w:firstRow="1" w:lastRow="0" w:firstColumn="1" w:lastColumn="0" w:noHBand="0" w:noVBand="1"/>
      </w:tblPr>
      <w:tblGrid>
        <w:gridCol w:w="280"/>
      </w:tblGrid>
      <w:tr w:rsidR="00AC12B4" w:rsidRPr="00C27636">
        <w:trPr>
          <w:trHeight w:val="3740"/>
        </w:trPr>
        <w:tc>
          <w:tcPr>
            <w:tcW w:w="280" w:type="dxa"/>
            <w:textDirection w:val="btLr"/>
            <w:vAlign w:val="bottom"/>
          </w:tcPr>
          <w:p w:rsidR="00AC12B4" w:rsidRPr="00C27636" w:rsidRDefault="00C27636">
            <w:pPr>
              <w:spacing w:line="204" w:lineRule="auto"/>
              <w:rPr>
                <w:sz w:val="20"/>
                <w:szCs w:val="20"/>
                <w:lang w:val="fr-BE"/>
              </w:rPr>
            </w:pPr>
            <w:r w:rsidRPr="00C27636">
              <w:rPr>
                <w:rFonts w:ascii="Calibri" w:eastAsia="Calibri" w:hAnsi="Calibri" w:cs="Calibri"/>
                <w:b/>
                <w:bCs/>
                <w:i/>
                <w:iCs/>
                <w:color w:val="F2F2F2"/>
                <w:sz w:val="27"/>
                <w:szCs w:val="27"/>
                <w:lang w:val="fr-BE"/>
              </w:rPr>
              <w:t>Les droits des mineurs étrangers</w:t>
            </w:r>
          </w:p>
        </w:tc>
      </w:tr>
    </w:tbl>
    <w:p w:rsidR="00AC12B4" w:rsidRPr="00C27636" w:rsidRDefault="00AC12B4">
      <w:pPr>
        <w:spacing w:line="40" w:lineRule="exact"/>
        <w:rPr>
          <w:rFonts w:ascii="Calibri" w:eastAsia="Calibri" w:hAnsi="Calibri" w:cs="Calibri"/>
          <w:color w:val="0000FF"/>
          <w:sz w:val="20"/>
          <w:szCs w:val="20"/>
          <w:u w:val="single"/>
          <w:lang w:val="fr-BE"/>
        </w:rPr>
      </w:pPr>
    </w:p>
    <w:p w:rsidR="00AC12B4" w:rsidRPr="00C27636" w:rsidRDefault="00C27636">
      <w:pPr>
        <w:ind w:right="506"/>
        <w:jc w:val="center"/>
        <w:rPr>
          <w:sz w:val="20"/>
          <w:szCs w:val="20"/>
          <w:lang w:val="fr-BE"/>
        </w:rPr>
      </w:pPr>
      <w:r w:rsidRPr="00C27636">
        <w:rPr>
          <w:rFonts w:ascii="Calibri" w:eastAsia="Calibri" w:hAnsi="Calibri" w:cs="Calibri"/>
          <w:sz w:val="21"/>
          <w:szCs w:val="21"/>
          <w:lang w:val="fr-BE"/>
        </w:rPr>
        <w:t>195</w:t>
      </w:r>
    </w:p>
    <w:p w:rsidR="00AC12B4" w:rsidRPr="00C27636" w:rsidRDefault="00AC12B4">
      <w:pPr>
        <w:rPr>
          <w:lang w:val="fr-BE"/>
        </w:rPr>
        <w:sectPr w:rsidR="00AC12B4" w:rsidRPr="00C27636">
          <w:type w:val="continuous"/>
          <w:pgSz w:w="12080" w:h="17179"/>
          <w:pgMar w:top="1440" w:right="530" w:bottom="659" w:left="1440" w:header="0" w:footer="0" w:gutter="0"/>
          <w:cols w:space="720" w:equalWidth="0">
            <w:col w:w="10106"/>
          </w:cols>
        </w:sectPr>
      </w:pPr>
    </w:p>
    <w:p w:rsidR="00AC12B4" w:rsidRPr="00C27636" w:rsidRDefault="00AC12B4">
      <w:pPr>
        <w:jc w:val="center"/>
        <w:rPr>
          <w:sz w:val="20"/>
          <w:szCs w:val="20"/>
          <w:lang w:val="fr-BE"/>
        </w:rPr>
      </w:pPr>
      <w:bookmarkStart w:id="195" w:name="page196"/>
      <w:bookmarkEnd w:id="195"/>
    </w:p>
    <w:p w:rsidR="00AC12B4" w:rsidRPr="00C27636" w:rsidRDefault="00AC12B4">
      <w:pPr>
        <w:rPr>
          <w:lang w:val="fr-BE"/>
        </w:rPr>
        <w:sectPr w:rsidR="00AC12B4" w:rsidRPr="00C27636">
          <w:pgSz w:w="12080" w:h="17179"/>
          <w:pgMar w:top="1440" w:right="1440" w:bottom="875" w:left="1440" w:header="0" w:footer="0" w:gutter="0"/>
          <w:cols w:space="0"/>
        </w:sectPr>
      </w:pPr>
    </w:p>
    <w:bookmarkStart w:id="196" w:name="page197"/>
    <w:bookmarkEnd w:id="196"/>
    <w:p w:rsidR="00AC12B4" w:rsidRPr="00C27636" w:rsidRDefault="00C27636">
      <w:pPr>
        <w:spacing w:line="168" w:lineRule="exact"/>
        <w:rPr>
          <w:sz w:val="20"/>
          <w:szCs w:val="20"/>
          <w:lang w:val="fr-BE"/>
        </w:rPr>
      </w:pPr>
      <w:r>
        <w:rPr>
          <w:noProof/>
          <w:sz w:val="20"/>
          <w:szCs w:val="20"/>
        </w:rPr>
        <mc:AlternateContent>
          <mc:Choice Requires="wps">
            <w:drawing>
              <wp:anchor distT="0" distB="0" distL="114300" distR="114300" simplePos="0" relativeHeight="251919872" behindDoc="1" locked="0" layoutInCell="0" allowOverlap="1">
                <wp:simplePos x="0" y="0"/>
                <wp:positionH relativeFrom="page">
                  <wp:posOffset>6934200</wp:posOffset>
                </wp:positionH>
                <wp:positionV relativeFrom="page">
                  <wp:posOffset>0</wp:posOffset>
                </wp:positionV>
                <wp:extent cx="734060" cy="10905490"/>
                <wp:effectExtent l="0" t="0" r="0" b="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5490"/>
                        </a:xfrm>
                        <a:prstGeom prst="rect">
                          <a:avLst/>
                        </a:prstGeom>
                        <a:solidFill>
                          <a:srgbClr val="159DCF"/>
                        </a:solidFill>
                      </wps:spPr>
                      <wps:bodyPr/>
                    </wps:wsp>
                  </a:graphicData>
                </a:graphic>
              </wp:anchor>
            </w:drawing>
          </mc:Choice>
          <mc:Fallback>
            <w:pict>
              <v:rect id="Shape 590" o:spid="_x0000_s1615" style="position:absolute;margin-left:546pt;margin-top:0pt;width:57.8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Pr="00C27636" w:rsidRDefault="00C27636">
      <w:pPr>
        <w:spacing w:line="276" w:lineRule="auto"/>
        <w:ind w:left="880" w:right="1086"/>
        <w:rPr>
          <w:sz w:val="20"/>
          <w:szCs w:val="20"/>
          <w:lang w:val="fr-BE"/>
        </w:rPr>
      </w:pPr>
      <w:r w:rsidRPr="00C27636">
        <w:rPr>
          <w:rFonts w:ascii="Comic Sans MS" w:eastAsia="Comic Sans MS" w:hAnsi="Comic Sans MS" w:cs="Comic Sans MS"/>
          <w:color w:val="159DCF"/>
          <w:sz w:val="40"/>
          <w:szCs w:val="40"/>
          <w:lang w:val="fr-BE"/>
        </w:rPr>
        <w:t xml:space="preserve">ME2. Mineurs victimes de la traite des </w:t>
      </w:r>
      <w:r w:rsidRPr="00C27636">
        <w:rPr>
          <w:rFonts w:ascii="Comic Sans MS" w:eastAsia="Comic Sans MS" w:hAnsi="Comic Sans MS" w:cs="Comic Sans MS"/>
          <w:color w:val="159DCF"/>
          <w:sz w:val="40"/>
          <w:szCs w:val="40"/>
          <w:lang w:val="fr-BE"/>
        </w:rPr>
        <w:t>êtres humains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20896" behindDoc="1" locked="0" layoutInCell="0" allowOverlap="1">
                <wp:simplePos x="0" y="0"/>
                <wp:positionH relativeFrom="column">
                  <wp:posOffset>-351155</wp:posOffset>
                </wp:positionH>
                <wp:positionV relativeFrom="paragraph">
                  <wp:posOffset>147955</wp:posOffset>
                </wp:positionV>
                <wp:extent cx="3837305" cy="4528185"/>
                <wp:effectExtent l="0" t="0" r="0" b="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37305" cy="4528185"/>
                        </a:xfrm>
                        <a:prstGeom prst="rect">
                          <a:avLst/>
                        </a:prstGeom>
                        <a:solidFill>
                          <a:srgbClr val="159DCF"/>
                        </a:solidFill>
                      </wps:spPr>
                      <wps:bodyPr/>
                    </wps:wsp>
                  </a:graphicData>
                </a:graphic>
              </wp:anchor>
            </w:drawing>
          </mc:Choice>
          <mc:Fallback>
            <w:pict>
              <v:rect id="Shape 591" o:spid="_x0000_s1616" style="position:absolute;margin-left:-27.6499pt;margin-top:11.65pt;width:302.15pt;height:356.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59DCF" stroked="f"/>
            </w:pict>
          </mc:Fallback>
        </mc:AlternateContent>
      </w:r>
      <w:r>
        <w:rPr>
          <w:noProof/>
          <w:sz w:val="20"/>
          <w:szCs w:val="20"/>
        </w:rPr>
        <mc:AlternateContent>
          <mc:Choice Requires="wps">
            <w:drawing>
              <wp:anchor distT="0" distB="0" distL="114300" distR="114300" simplePos="0" relativeHeight="251921920" behindDoc="1" locked="0" layoutInCell="0" allowOverlap="1">
                <wp:simplePos x="0" y="0"/>
                <wp:positionH relativeFrom="column">
                  <wp:posOffset>3486150</wp:posOffset>
                </wp:positionH>
                <wp:positionV relativeFrom="paragraph">
                  <wp:posOffset>135255</wp:posOffset>
                </wp:positionV>
                <wp:extent cx="0" cy="4553585"/>
                <wp:effectExtent l="0" t="0" r="0" b="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553585"/>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5pt,10.65pt" to="274.5pt,369.2pt" o:allowincell="f" strokecolor="#0F6D8F" strokeweight="2pt"/>
            </w:pict>
          </mc:Fallback>
        </mc:AlternateContent>
      </w:r>
      <w:r>
        <w:rPr>
          <w:noProof/>
          <w:sz w:val="20"/>
          <w:szCs w:val="20"/>
        </w:rPr>
        <mc:AlternateContent>
          <mc:Choice Requires="wps">
            <w:drawing>
              <wp:anchor distT="0" distB="0" distL="114300" distR="114300" simplePos="0" relativeHeight="251922944" behindDoc="1" locked="0" layoutInCell="0" allowOverlap="1">
                <wp:simplePos x="0" y="0"/>
                <wp:positionH relativeFrom="column">
                  <wp:posOffset>-363855</wp:posOffset>
                </wp:positionH>
                <wp:positionV relativeFrom="paragraph">
                  <wp:posOffset>147955</wp:posOffset>
                </wp:positionV>
                <wp:extent cx="3862705" cy="0"/>
                <wp:effectExtent l="0" t="0" r="0" b="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62705" cy="4763"/>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1.65pt" to="275.5pt,11.65pt" o:allowincell="f" strokecolor="#0F6D8F" strokeweight="2pt"/>
            </w:pict>
          </mc:Fallback>
        </mc:AlternateContent>
      </w:r>
      <w:r>
        <w:rPr>
          <w:noProof/>
          <w:sz w:val="20"/>
          <w:szCs w:val="20"/>
        </w:rPr>
        <mc:AlternateContent>
          <mc:Choice Requires="wps">
            <w:drawing>
              <wp:anchor distT="0" distB="0" distL="114300" distR="114300" simplePos="0" relativeHeight="251923968" behindDoc="1" locked="0" layoutInCell="0" allowOverlap="1">
                <wp:simplePos x="0" y="0"/>
                <wp:positionH relativeFrom="column">
                  <wp:posOffset>-351155</wp:posOffset>
                </wp:positionH>
                <wp:positionV relativeFrom="paragraph">
                  <wp:posOffset>135255</wp:posOffset>
                </wp:positionV>
                <wp:extent cx="0" cy="4553585"/>
                <wp:effectExtent l="0" t="0" r="0" b="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553585"/>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0.65pt" to="-27.6499pt,369.2pt" o:allowincell="f" strokecolor="#0F6D8F" strokeweight="2pt"/>
            </w:pict>
          </mc:Fallback>
        </mc:AlternateContent>
      </w:r>
      <w:r>
        <w:rPr>
          <w:noProof/>
          <w:sz w:val="20"/>
          <w:szCs w:val="20"/>
        </w:rPr>
        <mc:AlternateContent>
          <mc:Choice Requires="wps">
            <w:drawing>
              <wp:anchor distT="0" distB="0" distL="114300" distR="114300" simplePos="0" relativeHeight="251924992" behindDoc="1" locked="0" layoutInCell="0" allowOverlap="1">
                <wp:simplePos x="0" y="0"/>
                <wp:positionH relativeFrom="column">
                  <wp:posOffset>-363855</wp:posOffset>
                </wp:positionH>
                <wp:positionV relativeFrom="paragraph">
                  <wp:posOffset>4676140</wp:posOffset>
                </wp:positionV>
                <wp:extent cx="3862705" cy="0"/>
                <wp:effectExtent l="0" t="0" r="0" b="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62705" cy="4763"/>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368.2pt" to="275.5pt,368.2pt" o:allowincell="f" strokecolor="#0F6D8F" strokeweight="2pt"/>
            </w:pict>
          </mc:Fallback>
        </mc:AlternateContent>
      </w:r>
    </w:p>
    <w:p w:rsidR="00AC12B4" w:rsidRPr="00C27636" w:rsidRDefault="00AC12B4">
      <w:pPr>
        <w:rPr>
          <w:lang w:val="fr-BE"/>
        </w:rPr>
        <w:sectPr w:rsidR="00AC12B4" w:rsidRPr="00C27636">
          <w:pgSz w:w="12080" w:h="17179"/>
          <w:pgMar w:top="1440" w:right="530" w:bottom="659" w:left="1120" w:header="0" w:footer="0" w:gutter="0"/>
          <w:cols w:space="720" w:equalWidth="0">
            <w:col w:w="10426"/>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5" w:lineRule="exact"/>
        <w:rPr>
          <w:sz w:val="20"/>
          <w:szCs w:val="20"/>
          <w:lang w:val="fr-BE"/>
        </w:rPr>
      </w:pPr>
    </w:p>
    <w:p w:rsidR="00AC12B4" w:rsidRDefault="00C27636">
      <w:pPr>
        <w:rPr>
          <w:sz w:val="20"/>
          <w:szCs w:val="20"/>
        </w:rPr>
      </w:pPr>
      <w:r>
        <w:rPr>
          <w:rFonts w:ascii="Calibri" w:eastAsia="Calibri" w:hAnsi="Calibri" w:cs="Calibri"/>
          <w:i/>
          <w:iCs/>
          <w:color w:val="DAEEF3"/>
        </w:rPr>
        <w:t>CIDE</w:t>
      </w:r>
    </w:p>
    <w:p w:rsidR="00AC12B4" w:rsidRDefault="00AC12B4">
      <w:pPr>
        <w:spacing w:line="120" w:lineRule="exact"/>
        <w:rPr>
          <w:sz w:val="20"/>
          <w:szCs w:val="20"/>
        </w:rPr>
      </w:pPr>
    </w:p>
    <w:p w:rsidR="00AC12B4" w:rsidRDefault="00C27636">
      <w:pPr>
        <w:rPr>
          <w:sz w:val="20"/>
          <w:szCs w:val="20"/>
        </w:rPr>
      </w:pPr>
      <w:r>
        <w:rPr>
          <w:rFonts w:ascii="Calibri" w:eastAsia="Calibri" w:hAnsi="Calibri" w:cs="Calibri"/>
          <w:i/>
          <w:iCs/>
          <w:color w:val="DAEEF3"/>
        </w:rPr>
        <w:t>Article 19</w:t>
      </w:r>
    </w:p>
    <w:p w:rsidR="00AC12B4" w:rsidRDefault="00AC12B4">
      <w:pPr>
        <w:spacing w:line="109" w:lineRule="exact"/>
        <w:rPr>
          <w:sz w:val="20"/>
          <w:szCs w:val="20"/>
        </w:rPr>
      </w:pPr>
    </w:p>
    <w:p w:rsidR="00AC12B4" w:rsidRPr="00C27636" w:rsidRDefault="00C27636">
      <w:pPr>
        <w:numPr>
          <w:ilvl w:val="0"/>
          <w:numId w:val="378"/>
        </w:numPr>
        <w:tabs>
          <w:tab w:val="left" w:pos="218"/>
        </w:tabs>
        <w:spacing w:line="234" w:lineRule="auto"/>
        <w:ind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Les Etats parties prennent toutes les mesures législatives, administratives, sociales et éducatives appropriées pour protéger l’enfant contre toute forme de violence, d’atteinte ou de brutalités</w:t>
      </w:r>
      <w:r w:rsidRPr="00C27636">
        <w:rPr>
          <w:rFonts w:ascii="Calibri" w:eastAsia="Calibri" w:hAnsi="Calibri" w:cs="Calibri"/>
          <w:i/>
          <w:iCs/>
          <w:color w:val="DAEEF3"/>
          <w:lang w:val="fr-BE"/>
        </w:rPr>
        <w:t xml:space="preserve"> physiques ou mentales, d’abandon ou de négligence, de mauvais traitements ou d’exploitation, y compris la violence sexuelle, pendant qu’il est sous la garde de ses parents ou de l’un d’eux, de son ou ses représentants légaux ou de toute autre personne à q</w:t>
      </w:r>
      <w:r w:rsidRPr="00C27636">
        <w:rPr>
          <w:rFonts w:ascii="Calibri" w:eastAsia="Calibri" w:hAnsi="Calibri" w:cs="Calibri"/>
          <w:i/>
          <w:iCs/>
          <w:color w:val="DAEEF3"/>
          <w:lang w:val="fr-BE"/>
        </w:rPr>
        <w:t>ui il est confié.</w:t>
      </w:r>
    </w:p>
    <w:p w:rsidR="00AC12B4" w:rsidRPr="00C27636" w:rsidRDefault="00AC12B4">
      <w:pPr>
        <w:spacing w:line="125" w:lineRule="exact"/>
        <w:rPr>
          <w:sz w:val="20"/>
          <w:szCs w:val="20"/>
          <w:lang w:val="fr-BE"/>
        </w:rPr>
      </w:pPr>
    </w:p>
    <w:p w:rsidR="00AC12B4" w:rsidRPr="00C27636" w:rsidRDefault="00C27636">
      <w:pPr>
        <w:rPr>
          <w:sz w:val="20"/>
          <w:szCs w:val="20"/>
          <w:lang w:val="fr-BE"/>
        </w:rPr>
      </w:pPr>
      <w:r w:rsidRPr="00C27636">
        <w:rPr>
          <w:rFonts w:ascii="Calibri" w:eastAsia="Calibri" w:hAnsi="Calibri" w:cs="Calibri"/>
          <w:color w:val="FFFFFF"/>
          <w:lang w:val="fr-BE"/>
        </w:rPr>
        <w:t>Article 39</w:t>
      </w:r>
    </w:p>
    <w:p w:rsidR="00AC12B4" w:rsidRPr="00C27636" w:rsidRDefault="00AC12B4">
      <w:pPr>
        <w:spacing w:line="109" w:lineRule="exact"/>
        <w:rPr>
          <w:sz w:val="20"/>
          <w:szCs w:val="20"/>
          <w:lang w:val="fr-BE"/>
        </w:rPr>
      </w:pPr>
    </w:p>
    <w:p w:rsidR="00AC12B4" w:rsidRPr="00C27636" w:rsidRDefault="00C27636">
      <w:pPr>
        <w:spacing w:line="200" w:lineRule="auto"/>
        <w:jc w:val="both"/>
        <w:rPr>
          <w:sz w:val="20"/>
          <w:szCs w:val="20"/>
          <w:lang w:val="fr-BE"/>
        </w:rPr>
      </w:pPr>
      <w:r w:rsidRPr="00C27636">
        <w:rPr>
          <w:rFonts w:ascii="Calibri" w:eastAsia="Calibri" w:hAnsi="Calibri" w:cs="Calibri"/>
          <w:color w:val="FFFFFF"/>
          <w:lang w:val="fr-BE"/>
        </w:rPr>
        <w:t>Les Etats parties prennent toutes les mesures appropriées pour faciliter la réadaptation physique et psychologique et la réinsertion sociale de tout enfant victime de toute forme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22" w:lineRule="exact"/>
        <w:rPr>
          <w:sz w:val="20"/>
          <w:szCs w:val="20"/>
          <w:lang w:val="fr-BE"/>
        </w:rPr>
      </w:pPr>
    </w:p>
    <w:p w:rsidR="00AC12B4" w:rsidRPr="00C27636" w:rsidRDefault="00C27636">
      <w:pPr>
        <w:spacing w:line="232" w:lineRule="auto"/>
        <w:ind w:right="1066"/>
        <w:jc w:val="both"/>
        <w:rPr>
          <w:sz w:val="20"/>
          <w:szCs w:val="20"/>
          <w:lang w:val="fr-BE"/>
        </w:rPr>
      </w:pPr>
      <w:r w:rsidRPr="00C27636">
        <w:rPr>
          <w:rFonts w:ascii="Calibri" w:eastAsia="Calibri" w:hAnsi="Calibri" w:cs="Calibri"/>
          <w:lang w:val="fr-BE"/>
        </w:rPr>
        <w:t>et de recherche de données nationales. Il e</w:t>
      </w:r>
      <w:r w:rsidRPr="00C27636">
        <w:rPr>
          <w:rFonts w:ascii="Calibri" w:eastAsia="Calibri" w:hAnsi="Calibri" w:cs="Calibri"/>
          <w:lang w:val="fr-BE"/>
        </w:rPr>
        <w:t>st également demandé de développer une stratégie nationale globale et coordonnée pour lutter contre toutes les formes de violence à l’égard des femmes et des filles.</w:t>
      </w:r>
    </w:p>
    <w:p w:rsidR="00AC12B4" w:rsidRPr="00C27636" w:rsidRDefault="00AC12B4">
      <w:pPr>
        <w:spacing w:line="175" w:lineRule="exact"/>
        <w:rPr>
          <w:sz w:val="20"/>
          <w:szCs w:val="20"/>
          <w:lang w:val="fr-BE"/>
        </w:rPr>
      </w:pPr>
    </w:p>
    <w:p w:rsidR="00AC12B4" w:rsidRPr="00C27636" w:rsidRDefault="00C27636">
      <w:pPr>
        <w:spacing w:line="233" w:lineRule="auto"/>
        <w:ind w:right="1066"/>
        <w:jc w:val="both"/>
        <w:rPr>
          <w:sz w:val="20"/>
          <w:szCs w:val="20"/>
          <w:lang w:val="fr-BE"/>
        </w:rPr>
      </w:pPr>
      <w:r w:rsidRPr="00C27636">
        <w:rPr>
          <w:rFonts w:ascii="Calibri" w:eastAsia="Calibri" w:hAnsi="Calibri" w:cs="Calibri"/>
          <w:lang w:val="fr-BE"/>
        </w:rPr>
        <w:t xml:space="preserve">Il était originalement prévu de mettre en avant tous les types d’exploitation. Ceci </w:t>
      </w:r>
      <w:r w:rsidRPr="00C27636">
        <w:rPr>
          <w:rFonts w:ascii="Calibri" w:eastAsia="Calibri" w:hAnsi="Calibri" w:cs="Calibri"/>
          <w:lang w:val="fr-BE"/>
        </w:rPr>
        <w:t>englobe les phénomènes de la traite des enfants, de l’exploitation d’enfants dans la commission d’actes criminels, de l’exploitation sexuelle d’enfants, de leur prostitution et de la pédopornographie.</w:t>
      </w:r>
    </w:p>
    <w:p w:rsidR="00AC12B4" w:rsidRPr="00C27636" w:rsidRDefault="00AC12B4">
      <w:pPr>
        <w:spacing w:line="175" w:lineRule="exact"/>
        <w:rPr>
          <w:sz w:val="20"/>
          <w:szCs w:val="20"/>
          <w:lang w:val="fr-BE"/>
        </w:rPr>
      </w:pPr>
    </w:p>
    <w:p w:rsidR="00AC12B4" w:rsidRPr="00C27636" w:rsidRDefault="00C27636">
      <w:pPr>
        <w:spacing w:line="219" w:lineRule="auto"/>
        <w:ind w:right="1066"/>
        <w:jc w:val="both"/>
        <w:rPr>
          <w:sz w:val="20"/>
          <w:szCs w:val="20"/>
          <w:lang w:val="fr-BE"/>
        </w:rPr>
      </w:pPr>
      <w:r w:rsidRPr="00C27636">
        <w:rPr>
          <w:rFonts w:ascii="Calibri" w:eastAsia="Calibri" w:hAnsi="Calibri" w:cs="Calibri"/>
          <w:lang w:val="fr-BE"/>
        </w:rPr>
        <w:t>Ce premier exercice a finalement été limité au phénomè</w:t>
      </w:r>
      <w:r w:rsidRPr="00C27636">
        <w:rPr>
          <w:rFonts w:ascii="Calibri" w:eastAsia="Calibri" w:hAnsi="Calibri" w:cs="Calibri"/>
          <w:lang w:val="fr-BE"/>
        </w:rPr>
        <w:t>ne de la traite des enfants</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AC12B4">
      <w:pPr>
        <w:spacing w:line="135" w:lineRule="exact"/>
        <w:rPr>
          <w:sz w:val="20"/>
          <w:szCs w:val="20"/>
          <w:lang w:val="fr-BE"/>
        </w:rPr>
      </w:pPr>
    </w:p>
    <w:p w:rsidR="00AC12B4" w:rsidRPr="00C27636" w:rsidRDefault="00AC12B4">
      <w:pPr>
        <w:rPr>
          <w:lang w:val="fr-BE"/>
        </w:rPr>
        <w:sectPr w:rsidR="00AC12B4" w:rsidRPr="00C27636">
          <w:type w:val="continuous"/>
          <w:pgSz w:w="12080" w:h="17179"/>
          <w:pgMar w:top="1440" w:right="530" w:bottom="659" w:left="1120" w:header="0" w:footer="0" w:gutter="0"/>
          <w:cols w:num="2" w:space="720" w:equalWidth="0">
            <w:col w:w="5320" w:space="360"/>
            <w:col w:w="4746"/>
          </w:cols>
        </w:sectPr>
      </w:pPr>
    </w:p>
    <w:p w:rsidR="00AC12B4" w:rsidRPr="00C27636" w:rsidRDefault="00AC12B4">
      <w:pPr>
        <w:spacing w:line="134" w:lineRule="exact"/>
        <w:rPr>
          <w:sz w:val="20"/>
          <w:szCs w:val="20"/>
          <w:lang w:val="fr-BE"/>
        </w:rPr>
      </w:pPr>
    </w:p>
    <w:p w:rsidR="00AC12B4" w:rsidRPr="00C27636" w:rsidRDefault="00C27636">
      <w:pPr>
        <w:spacing w:line="233" w:lineRule="auto"/>
        <w:jc w:val="both"/>
        <w:rPr>
          <w:sz w:val="20"/>
          <w:szCs w:val="20"/>
          <w:lang w:val="fr-BE"/>
        </w:rPr>
      </w:pPr>
      <w:r w:rsidRPr="00C27636">
        <w:rPr>
          <w:rFonts w:ascii="Calibri" w:eastAsia="Calibri" w:hAnsi="Calibri" w:cs="Calibri"/>
          <w:color w:val="FFFFFF"/>
          <w:lang w:val="fr-BE"/>
        </w:rPr>
        <w:t>de négligence, d’exploitation ou de sévices, de torture ou de toute autre forme de peines ou traitements cruels, inhumains ou dégradants, ou de conflit armé. Cette réadaptation et cette réinserti</w:t>
      </w:r>
      <w:r w:rsidRPr="00C27636">
        <w:rPr>
          <w:rFonts w:ascii="Calibri" w:eastAsia="Calibri" w:hAnsi="Calibri" w:cs="Calibri"/>
          <w:color w:val="FFFFFF"/>
          <w:lang w:val="fr-BE"/>
        </w:rPr>
        <w:t>on se déroulent dans des conditions qui favorisent la santé, le respect de soi et la dignité de l’enfant.</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4" w:lineRule="exact"/>
        <w:rPr>
          <w:sz w:val="20"/>
          <w:szCs w:val="20"/>
          <w:lang w:val="fr-BE"/>
        </w:rPr>
      </w:pPr>
    </w:p>
    <w:p w:rsidR="00AC12B4" w:rsidRPr="00C27636" w:rsidRDefault="00C27636">
      <w:pPr>
        <w:spacing w:line="230" w:lineRule="auto"/>
        <w:ind w:left="880" w:right="580"/>
        <w:jc w:val="both"/>
        <w:rPr>
          <w:sz w:val="20"/>
          <w:szCs w:val="20"/>
          <w:lang w:val="fr-BE"/>
        </w:rPr>
      </w:pPr>
      <w:r w:rsidRPr="00C27636">
        <w:rPr>
          <w:rFonts w:ascii="Calibri" w:eastAsia="Calibri" w:hAnsi="Calibri" w:cs="Calibri"/>
          <w:lang w:val="fr-BE"/>
        </w:rPr>
        <w:t xml:space="preserve">Le droit de l'enfant à être protégé contre la violence physique ou mentale, ainsi que le droit à la réadaptation physique et psychologique et à </w:t>
      </w:r>
      <w:r w:rsidRPr="00C27636">
        <w:rPr>
          <w:rFonts w:ascii="Calibri" w:eastAsia="Calibri" w:hAnsi="Calibri" w:cs="Calibri"/>
          <w:lang w:val="fr-BE"/>
        </w:rPr>
        <w:t>la réinsertion sociale sont repris dans les articles 19 et 39 de la Convention relative aux droits de l'enfant, dans l'observation générale n° 13 du Comité des droits de l'enfant et dans l'étude des Nations Unies sur la violence à</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236" w:lineRule="auto"/>
        <w:ind w:left="200"/>
        <w:rPr>
          <w:sz w:val="20"/>
          <w:szCs w:val="20"/>
          <w:lang w:val="fr-BE"/>
        </w:rPr>
      </w:pPr>
      <w:r w:rsidRPr="00C27636">
        <w:rPr>
          <w:rFonts w:ascii="Calibri" w:eastAsia="Calibri" w:hAnsi="Calibri" w:cs="Calibri"/>
          <w:lang w:val="fr-BE"/>
        </w:rPr>
        <w:t>L’Office des base annue</w:t>
      </w:r>
      <w:r w:rsidRPr="00C27636">
        <w:rPr>
          <w:rFonts w:ascii="Calibri" w:eastAsia="Calibri" w:hAnsi="Calibri" w:cs="Calibri"/>
          <w:lang w:val="fr-BE"/>
        </w:rPr>
        <w:t>lle le nombre suivant de mineurs victimes de la traite: 9 en 2010 (dont 3 MENA), 20 en 2011 (dont 8 MENA), 19 en</w:t>
      </w:r>
    </w:p>
    <w:p w:rsidR="00AC12B4" w:rsidRPr="00C27636" w:rsidRDefault="00AC12B4">
      <w:pPr>
        <w:spacing w:line="50" w:lineRule="exact"/>
        <w:rPr>
          <w:sz w:val="20"/>
          <w:szCs w:val="20"/>
          <w:lang w:val="fr-BE"/>
        </w:rPr>
      </w:pPr>
    </w:p>
    <w:p w:rsidR="00AC12B4" w:rsidRPr="00C27636" w:rsidRDefault="00C27636">
      <w:pPr>
        <w:spacing w:line="229" w:lineRule="auto"/>
        <w:jc w:val="both"/>
        <w:rPr>
          <w:sz w:val="20"/>
          <w:szCs w:val="20"/>
          <w:lang w:val="fr-BE"/>
        </w:rPr>
      </w:pPr>
      <w:r w:rsidRPr="00C27636">
        <w:rPr>
          <w:rFonts w:ascii="Calibri" w:eastAsia="Calibri" w:hAnsi="Calibri" w:cs="Calibri"/>
          <w:lang w:val="fr-BE"/>
        </w:rPr>
        <w:t>2012 (dont 8 MENA), 5 en 2013 (dont 2 MENA) et 10 en 2014 (dont 4 MENA)</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26016" behindDoc="1" locked="0" layoutInCell="0" allowOverlap="1" wp14:anchorId="30713AEC" wp14:editId="02EE3246">
                <wp:simplePos x="0" y="0"/>
                <wp:positionH relativeFrom="column">
                  <wp:posOffset>-5080</wp:posOffset>
                </wp:positionH>
                <wp:positionV relativeFrom="paragraph">
                  <wp:posOffset>201295</wp:posOffset>
                </wp:positionV>
                <wp:extent cx="1828800" cy="0"/>
                <wp:effectExtent l="0" t="0" r="0" b="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5.85pt" to="143.6pt,15.85pt" o:allowincell="f" strokecolor="#000000" strokeweight="0.7199pt"/>
            </w:pict>
          </mc:Fallback>
        </mc:AlternateConten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spacing w:line="196" w:lineRule="auto"/>
        <w:rPr>
          <w:sz w:val="20"/>
          <w:szCs w:val="20"/>
          <w:lang w:val="fr-BE"/>
        </w:rPr>
      </w:pPr>
      <w:r w:rsidRPr="00C27636">
        <w:rPr>
          <w:rFonts w:ascii="Calibri" w:eastAsia="Calibri" w:hAnsi="Calibri" w:cs="Calibri"/>
          <w:lang w:val="fr-BE"/>
        </w:rPr>
        <w:t>Etrangers  enregistre  sur</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28064" behindDoc="1" locked="0" layoutInCell="0" allowOverlap="1" wp14:anchorId="070B664C" wp14:editId="5B60344C">
                <wp:simplePos x="0" y="0"/>
                <wp:positionH relativeFrom="column">
                  <wp:posOffset>222250</wp:posOffset>
                </wp:positionH>
                <wp:positionV relativeFrom="paragraph">
                  <wp:posOffset>2437130</wp:posOffset>
                </wp:positionV>
                <wp:extent cx="1736090" cy="0"/>
                <wp:effectExtent l="0" t="0" r="0" b="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36090" cy="4763"/>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598" o:spid="_x0000_s1026" style="position:absolute;z-index:-251388416;visibility:visible;mso-wrap-style:square;mso-wrap-distance-left:9pt;mso-wrap-distance-top:0;mso-wrap-distance-right:9pt;mso-wrap-distance-bottom:0;mso-position-horizontal:absolute;mso-position-horizontal-relative:text;mso-position-vertical:absolute;mso-position-vertical-relative:text" from="17.5pt,191.9pt" to="154.2pt,1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" o:allowincell="f" filled="t" strokecolor="#159dcf" strokeweight="2pt">
                <v:stroke joinstyle="miter"/>
                <o:lock v:ext="edit" shapetype="f"/>
              </v:line>
            </w:pict>
          </mc:Fallback>
        </mc:AlternateContent>
      </w:r>
      <w:r>
        <w:rPr>
          <w:noProof/>
          <w:sz w:val="20"/>
          <w:szCs w:val="20"/>
        </w:rPr>
        <mc:AlternateContent>
          <mc:Choice Requires="wps">
            <w:drawing>
              <wp:anchor distT="0" distB="0" distL="114300" distR="114300" simplePos="0" relativeHeight="251929088" behindDoc="1" locked="0" layoutInCell="0" allowOverlap="1" wp14:anchorId="14C32B68" wp14:editId="1E64FD3D">
                <wp:simplePos x="0" y="0"/>
                <wp:positionH relativeFrom="column">
                  <wp:posOffset>1945640</wp:posOffset>
                </wp:positionH>
                <wp:positionV relativeFrom="paragraph">
                  <wp:posOffset>156845</wp:posOffset>
                </wp:positionV>
                <wp:extent cx="0" cy="2292985"/>
                <wp:effectExtent l="0" t="0" r="0" b="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292985"/>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2pt,12.35pt" to="153.2pt,192.9pt" o:allowincell="f" strokecolor="#159DCF" strokeweight="2pt"/>
            </w:pict>
          </mc:Fallback>
        </mc:AlternateContent>
      </w:r>
      <w:r>
        <w:rPr>
          <w:noProof/>
          <w:sz w:val="20"/>
          <w:szCs w:val="20"/>
        </w:rPr>
        <mc:AlternateContent>
          <mc:Choice Requires="wps">
            <w:drawing>
              <wp:anchor distT="0" distB="0" distL="114300" distR="114300" simplePos="0" relativeHeight="251930112" behindDoc="1" locked="0" layoutInCell="0" allowOverlap="1" wp14:anchorId="2353D970" wp14:editId="62C97414">
                <wp:simplePos x="0" y="0"/>
                <wp:positionH relativeFrom="column">
                  <wp:posOffset>222250</wp:posOffset>
                </wp:positionH>
                <wp:positionV relativeFrom="paragraph">
                  <wp:posOffset>169545</wp:posOffset>
                </wp:positionV>
                <wp:extent cx="1736090" cy="0"/>
                <wp:effectExtent l="0" t="0" r="0" b="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36090" cy="4763"/>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3.35pt" to="154.2pt,13.35pt" o:allowincell="f" strokecolor="#159DCF" strokeweight="2pt"/>
            </w:pict>
          </mc:Fallback>
        </mc:AlternateContent>
      </w:r>
      <w:r>
        <w:rPr>
          <w:noProof/>
          <w:sz w:val="20"/>
          <w:szCs w:val="20"/>
        </w:rPr>
        <mc:AlternateContent>
          <mc:Choice Requires="wps">
            <w:drawing>
              <wp:anchor distT="0" distB="0" distL="114300" distR="114300" simplePos="0" relativeHeight="251931136" behindDoc="1" locked="0" layoutInCell="0" allowOverlap="1" wp14:anchorId="65770DA9" wp14:editId="235409E7">
                <wp:simplePos x="0" y="0"/>
                <wp:positionH relativeFrom="column">
                  <wp:posOffset>234950</wp:posOffset>
                </wp:positionH>
                <wp:positionV relativeFrom="paragraph">
                  <wp:posOffset>156845</wp:posOffset>
                </wp:positionV>
                <wp:extent cx="0" cy="2292985"/>
                <wp:effectExtent l="0" t="0" r="0" b="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292985"/>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12.35pt" to="18.5pt,192.9pt" o:allowincell="f" strokecolor="#159DCF" strokeweight="2pt"/>
            </w:pict>
          </mc:Fallback>
        </mc:AlternateContent>
      </w:r>
    </w:p>
    <w:p w:rsidR="00AC12B4" w:rsidRPr="00C27636" w:rsidRDefault="00AC12B4">
      <w:pPr>
        <w:spacing w:line="200" w:lineRule="exact"/>
        <w:rPr>
          <w:sz w:val="20"/>
          <w:szCs w:val="20"/>
          <w:lang w:val="fr-BE"/>
        </w:rPr>
      </w:pPr>
    </w:p>
    <w:p w:rsidR="00AC12B4" w:rsidRPr="00C27636" w:rsidRDefault="00C27636">
      <w:pPr>
        <w:spacing w:line="328" w:lineRule="exact"/>
        <w:rPr>
          <w:sz w:val="20"/>
          <w:szCs w:val="20"/>
          <w:lang w:val="fr-BE"/>
        </w:rPr>
      </w:pPr>
      <w:r>
        <w:rPr>
          <w:noProof/>
          <w:sz w:val="20"/>
          <w:szCs w:val="20"/>
        </w:rPr>
        <mc:AlternateContent>
          <mc:Choice Requires="wps">
            <w:drawing>
              <wp:anchor distT="0" distB="0" distL="114300" distR="114300" simplePos="0" relativeHeight="251927040" behindDoc="1" locked="0" layoutInCell="0" allowOverlap="1" wp14:anchorId="246669FE" wp14:editId="07FCF198">
                <wp:simplePos x="0" y="0"/>
                <wp:positionH relativeFrom="column">
                  <wp:posOffset>67310</wp:posOffset>
                </wp:positionH>
                <wp:positionV relativeFrom="paragraph">
                  <wp:posOffset>45720</wp:posOffset>
                </wp:positionV>
                <wp:extent cx="1710690" cy="2267585"/>
                <wp:effectExtent l="0" t="0" r="3810" b="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0690" cy="2267585"/>
                        </a:xfrm>
                        <a:prstGeom prst="rect">
                          <a:avLst/>
                        </a:prstGeom>
                        <a:solidFill>
                          <a:srgbClr val="FFFFFF"/>
                        </a:solidFill>
                      </wps:spPr>
                      <wps:bodyPr/>
                    </wps:wsp>
                  </a:graphicData>
                </a:graphic>
              </wp:anchor>
            </w:drawing>
          </mc:Choice>
          <mc:Fallback>
            <w:pict>
              <v:rect id="Shape 597" o:spid="_x0000_s1026" style="position:absolute;margin-left:5.3pt;margin-top:3.6pt;width:134.7pt;height:178.55pt;z-index:-25138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" o:allowincell="f" stroked="f">
                <v:path arrowok="t"/>
              </v:rect>
            </w:pict>
          </mc:Fallback>
        </mc:AlternateContent>
      </w:r>
    </w:p>
    <w:p w:rsidR="00AC12B4" w:rsidRPr="00C27636" w:rsidRDefault="00C27636" w:rsidP="00C27636">
      <w:pPr>
        <w:ind w:left="-539" w:firstLine="539"/>
        <w:jc w:val="center"/>
        <w:rPr>
          <w:sz w:val="20"/>
          <w:szCs w:val="20"/>
          <w:lang w:val="fr-BE"/>
        </w:rPr>
      </w:pPr>
      <w:r w:rsidRPr="00C27636">
        <w:rPr>
          <w:rFonts w:ascii="Comic Sans MS" w:eastAsia="Comic Sans MS" w:hAnsi="Comic Sans MS" w:cs="Comic Sans MS"/>
          <w:color w:val="159DCF"/>
          <w:sz w:val="96"/>
          <w:szCs w:val="96"/>
          <w:lang w:val="fr-BE"/>
        </w:rPr>
        <w:t>N/A</w:t>
      </w:r>
    </w:p>
    <w:p w:rsidR="00AC12B4" w:rsidRPr="00C27636" w:rsidRDefault="00AC12B4">
      <w:pPr>
        <w:spacing w:line="2" w:lineRule="exact"/>
        <w:rPr>
          <w:sz w:val="20"/>
          <w:szCs w:val="20"/>
          <w:lang w:val="fr-BE"/>
        </w:rPr>
      </w:pPr>
    </w:p>
    <w:p w:rsidR="00AC12B4" w:rsidRPr="00C27636" w:rsidRDefault="00C27636">
      <w:pPr>
        <w:spacing w:line="239" w:lineRule="auto"/>
        <w:ind w:left="540"/>
        <w:jc w:val="both"/>
        <w:rPr>
          <w:sz w:val="20"/>
          <w:szCs w:val="20"/>
          <w:lang w:val="fr-BE"/>
        </w:rPr>
      </w:pPr>
      <w:r w:rsidRPr="00C27636">
        <w:rPr>
          <w:rFonts w:ascii="Comic Sans MS" w:eastAsia="Comic Sans MS" w:hAnsi="Comic Sans MS" w:cs="Comic Sans MS"/>
          <w:color w:val="0D0D0D"/>
          <w:sz w:val="20"/>
          <w:szCs w:val="20"/>
          <w:lang w:val="fr-BE"/>
        </w:rPr>
        <w:t xml:space="preserve">Il n’est actuellement </w:t>
      </w:r>
      <w:r w:rsidRPr="00C27636">
        <w:rPr>
          <w:rFonts w:ascii="Comic Sans MS" w:eastAsia="Comic Sans MS" w:hAnsi="Comic Sans MS" w:cs="Comic Sans MS"/>
          <w:color w:val="0D0D0D"/>
          <w:sz w:val="20"/>
          <w:szCs w:val="20"/>
          <w:lang w:val="fr-BE"/>
        </w:rPr>
        <w:t>pas possible de mesurer ou</w:t>
      </w:r>
    </w:p>
    <w:p w:rsidR="00AC12B4" w:rsidRPr="00C27636" w:rsidRDefault="00AC12B4">
      <w:pPr>
        <w:spacing w:line="2" w:lineRule="exact"/>
        <w:rPr>
          <w:sz w:val="20"/>
          <w:szCs w:val="20"/>
          <w:lang w:val="fr-BE"/>
        </w:rPr>
      </w:pPr>
    </w:p>
    <w:p w:rsidR="00AC12B4" w:rsidRPr="00C27636" w:rsidRDefault="00C27636">
      <w:pPr>
        <w:spacing w:line="239" w:lineRule="auto"/>
        <w:ind w:left="540"/>
        <w:jc w:val="both"/>
        <w:rPr>
          <w:sz w:val="20"/>
          <w:szCs w:val="20"/>
          <w:lang w:val="fr-BE"/>
        </w:rPr>
      </w:pPr>
      <w:r w:rsidRPr="00C27636">
        <w:rPr>
          <w:rFonts w:ascii="Comic Sans MS" w:eastAsia="Comic Sans MS" w:hAnsi="Comic Sans MS" w:cs="Comic Sans MS"/>
          <w:color w:val="0D0D0D"/>
          <w:sz w:val="20"/>
          <w:szCs w:val="20"/>
          <w:lang w:val="fr-BE"/>
        </w:rPr>
        <w:t>même d’estimer le nombre réel d’enfants victimes de la traite des êtres humains</w:t>
      </w:r>
    </w:p>
    <w:p w:rsidR="00AC12B4" w:rsidRPr="00C27636" w:rsidRDefault="00C27636">
      <w:pPr>
        <w:spacing w:line="20" w:lineRule="exact"/>
        <w:rPr>
          <w:sz w:val="20"/>
          <w:szCs w:val="20"/>
          <w:lang w:val="fr-BE"/>
        </w:rPr>
      </w:pPr>
      <w:bookmarkStart w:id="197" w:name="_GoBack"/>
      <w:bookmarkEnd w:id="197"/>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07"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281"/>
      </w:tblGrid>
      <w:tr w:rsidR="00AC12B4">
        <w:trPr>
          <w:trHeight w:val="960"/>
        </w:trPr>
        <w:tc>
          <w:tcPr>
            <w:tcW w:w="281" w:type="dxa"/>
            <w:textDirection w:val="btLr"/>
            <w:vAlign w:val="bottom"/>
          </w:tcPr>
          <w:p w:rsidR="00AC12B4" w:rsidRDefault="00C27636">
            <w:pPr>
              <w:rPr>
                <w:sz w:val="20"/>
                <w:szCs w:val="20"/>
              </w:rPr>
            </w:pPr>
            <w:r>
              <w:rPr>
                <w:rFonts w:ascii="Calibri" w:eastAsia="Calibri" w:hAnsi="Calibri" w:cs="Calibri"/>
                <w:b/>
                <w:bCs/>
                <w:i/>
                <w:iCs/>
                <w:color w:val="F2F2F2"/>
                <w:sz w:val="23"/>
                <w:szCs w:val="23"/>
              </w:rPr>
              <w:t>étrangers</w:t>
            </w:r>
          </w:p>
        </w:tc>
      </w:tr>
    </w:tbl>
    <w:p w:rsidR="00AC12B4" w:rsidRDefault="00AC12B4">
      <w:pPr>
        <w:spacing w:line="50" w:lineRule="exact"/>
        <w:rPr>
          <w:sz w:val="20"/>
          <w:szCs w:val="20"/>
        </w:rPr>
      </w:pPr>
    </w:p>
    <w:p w:rsidR="00AC12B4" w:rsidRDefault="00AC12B4">
      <w:pPr>
        <w:sectPr w:rsidR="00AC12B4">
          <w:type w:val="continuous"/>
          <w:pgSz w:w="12080" w:h="17179"/>
          <w:pgMar w:top="1440" w:right="530" w:bottom="659" w:left="1120" w:header="0" w:footer="0" w:gutter="0"/>
          <w:cols w:num="4" w:space="720" w:equalWidth="0">
            <w:col w:w="5340" w:space="140"/>
            <w:col w:w="1480" w:space="40"/>
            <w:col w:w="2900" w:space="246"/>
            <w:col w:w="281"/>
          </w:cols>
        </w:sectPr>
      </w:pPr>
    </w:p>
    <w:p w:rsidR="00AC12B4" w:rsidRDefault="00AC12B4">
      <w:pPr>
        <w:spacing w:line="51" w:lineRule="exact"/>
        <w:rPr>
          <w:sz w:val="20"/>
          <w:szCs w:val="20"/>
        </w:rPr>
      </w:pPr>
    </w:p>
    <w:p w:rsidR="00AC12B4" w:rsidRPr="00C27636" w:rsidRDefault="00C27636">
      <w:pPr>
        <w:spacing w:line="235" w:lineRule="auto"/>
        <w:ind w:left="880"/>
        <w:jc w:val="both"/>
        <w:rPr>
          <w:sz w:val="20"/>
          <w:szCs w:val="20"/>
          <w:lang w:val="fr-BE"/>
        </w:rPr>
      </w:pPr>
      <w:r w:rsidRPr="00C27636">
        <w:rPr>
          <w:rFonts w:ascii="Calibri" w:eastAsia="Calibri" w:hAnsi="Calibri" w:cs="Calibri"/>
          <w:lang w:val="fr-BE"/>
        </w:rPr>
        <w:t xml:space="preserve">l'encontre des enfants. Dans le cadre de ses observations finales (2010), </w:t>
      </w:r>
      <w:r w:rsidRPr="00C27636">
        <w:rPr>
          <w:rFonts w:ascii="Calibri" w:eastAsia="Calibri" w:hAnsi="Calibri" w:cs="Calibri"/>
          <w:lang w:val="fr-BE"/>
        </w:rPr>
        <w:t>le Comité des droits de l'enfant de l'ONU a recommandé à la Belgique d'interdire toute forme de violence à l’encontre des enfants, de promouvoir des valeurs non violentes, d'offrir des services de réadaptation et de réinsertion sociale et de mettre en œuvr</w:t>
      </w:r>
      <w:r w:rsidRPr="00C27636">
        <w:rPr>
          <w:rFonts w:ascii="Calibri" w:eastAsia="Calibri" w:hAnsi="Calibri" w:cs="Calibri"/>
          <w:lang w:val="fr-BE"/>
        </w:rPr>
        <w:t>e des dispositifs de collecte</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C27636">
      <w:pPr>
        <w:numPr>
          <w:ilvl w:val="0"/>
          <w:numId w:val="379"/>
        </w:numPr>
        <w:tabs>
          <w:tab w:val="left" w:pos="135"/>
        </w:tabs>
        <w:spacing w:line="224" w:lineRule="auto"/>
        <w:ind w:left="8" w:right="86" w:hanging="8"/>
        <w:rPr>
          <w:rFonts w:ascii="Calibri" w:eastAsia="Calibri" w:hAnsi="Calibri" w:cs="Calibri"/>
          <w:color w:val="0000FF"/>
          <w:sz w:val="20"/>
          <w:szCs w:val="20"/>
          <w:lang w:val="nl-NL"/>
        </w:rPr>
      </w:pPr>
      <w:r w:rsidRPr="00C27636">
        <w:rPr>
          <w:rFonts w:ascii="Calibri" w:eastAsia="Calibri" w:hAnsi="Calibri" w:cs="Calibri"/>
          <w:sz w:val="20"/>
          <w:szCs w:val="20"/>
          <w:lang w:val="nl-NL"/>
        </w:rPr>
        <w:t xml:space="preserve">Nous renvoyons, pour une étude récente sur la prostitution enfantine en Flandre, à CHILD FOCUS, </w:t>
      </w:r>
      <w:r w:rsidRPr="00C27636">
        <w:rPr>
          <w:rFonts w:ascii="Calibri" w:eastAsia="Calibri" w:hAnsi="Calibri" w:cs="Calibri"/>
          <w:i/>
          <w:iCs/>
          <w:sz w:val="20"/>
          <w:szCs w:val="20"/>
          <w:lang w:val="nl-NL"/>
        </w:rPr>
        <w:t>Exploratief onderzoek naar slachtoffers</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 xml:space="preserve">van tienerpooiers in Vlaanderen, </w:t>
      </w:r>
      <w:r w:rsidRPr="00C27636">
        <w:rPr>
          <w:rFonts w:ascii="Calibri" w:eastAsia="Calibri" w:hAnsi="Calibri" w:cs="Calibri"/>
          <w:sz w:val="20"/>
          <w:szCs w:val="20"/>
          <w:lang w:val="nl-NL"/>
        </w:rPr>
        <w:t>2016,</w:t>
      </w:r>
      <w:r w:rsidRPr="00C27636">
        <w:rPr>
          <w:rFonts w:ascii="Calibri" w:eastAsia="Calibri" w:hAnsi="Calibri" w:cs="Calibri"/>
          <w:i/>
          <w:iCs/>
          <w:sz w:val="20"/>
          <w:szCs w:val="20"/>
          <w:lang w:val="nl-NL"/>
        </w:rPr>
        <w:t xml:space="preserve"> </w:t>
      </w:r>
      <w:hyperlink r:id="rId359">
        <w:r w:rsidRPr="00C27636">
          <w:rPr>
            <w:rFonts w:ascii="Calibri" w:eastAsia="Calibri" w:hAnsi="Calibri" w:cs="Calibri"/>
            <w:color w:val="0000FF"/>
            <w:sz w:val="20"/>
            <w:szCs w:val="20"/>
            <w:u w:val="single"/>
            <w:lang w:val="nl-NL"/>
          </w:rPr>
          <w:t>http://www.childfocus.be/nl/nieuws/explorati</w:t>
        </w:r>
      </w:hyperlink>
      <w:r w:rsidRPr="00C27636">
        <w:rPr>
          <w:rFonts w:ascii="Calibri" w:eastAsia="Calibri" w:hAnsi="Calibri" w:cs="Calibri"/>
          <w:color w:val="0000FF"/>
          <w:sz w:val="20"/>
          <w:szCs w:val="20"/>
          <w:u w:val="single"/>
          <w:lang w:val="nl-NL"/>
        </w:rPr>
        <w:t xml:space="preserve"> </w:t>
      </w:r>
      <w:hyperlink r:id="rId360">
        <w:r w:rsidRPr="00C27636">
          <w:rPr>
            <w:rFonts w:ascii="Calibri" w:eastAsia="Calibri" w:hAnsi="Calibri" w:cs="Calibri"/>
            <w:color w:val="0000FF"/>
            <w:sz w:val="20"/>
            <w:szCs w:val="20"/>
            <w:u w:val="single"/>
            <w:lang w:val="nl-NL"/>
          </w:rPr>
          <w:t>ef-onderzoek-naar-slachtoffers-van-</w:t>
        </w:r>
      </w:hyperlink>
      <w:hyperlink r:id="rId361">
        <w:r w:rsidRPr="00C27636">
          <w:rPr>
            <w:rFonts w:ascii="Calibri" w:eastAsia="Calibri" w:hAnsi="Calibri" w:cs="Calibri"/>
            <w:color w:val="0000FF"/>
            <w:sz w:val="20"/>
            <w:szCs w:val="20"/>
            <w:u w:val="single"/>
            <w:lang w:val="nl-NL"/>
          </w:rPr>
          <w:t>tienerpooiers-in-vlaanderen</w:t>
        </w:r>
        <w:r w:rsidRPr="00C27636">
          <w:rPr>
            <w:rFonts w:ascii="Calibri" w:eastAsia="Calibri" w:hAnsi="Calibri" w:cs="Calibri"/>
            <w:color w:val="000000"/>
            <w:sz w:val="20"/>
            <w:szCs w:val="20"/>
            <w:lang w:val="nl-NL"/>
          </w:rPr>
          <w:t>.</w:t>
        </w:r>
      </w:hyperlink>
    </w:p>
    <w:p w:rsidR="00AC12B4" w:rsidRPr="00C27636" w:rsidRDefault="00AC12B4">
      <w:pPr>
        <w:spacing w:line="70" w:lineRule="exact"/>
        <w:rPr>
          <w:rFonts w:ascii="Calibri" w:eastAsia="Calibri" w:hAnsi="Calibri" w:cs="Calibri"/>
          <w:color w:val="0000FF"/>
          <w:sz w:val="20"/>
          <w:szCs w:val="20"/>
          <w:u w:val="single"/>
          <w:lang w:val="nl-NL"/>
        </w:rPr>
      </w:pPr>
    </w:p>
    <w:p w:rsidR="00AC12B4" w:rsidRPr="00C27636" w:rsidRDefault="00C27636">
      <w:pPr>
        <w:numPr>
          <w:ilvl w:val="0"/>
          <w:numId w:val="380"/>
        </w:numPr>
        <w:tabs>
          <w:tab w:val="left" w:pos="168"/>
        </w:tabs>
        <w:ind w:left="168" w:hanging="168"/>
        <w:rPr>
          <w:rFonts w:ascii="Calibri" w:eastAsia="Calibri" w:hAnsi="Calibri" w:cs="Calibri"/>
          <w:sz w:val="24"/>
          <w:szCs w:val="24"/>
          <w:vertAlign w:val="superscript"/>
          <w:lang w:val="fr-BE"/>
        </w:rPr>
      </w:pPr>
      <w:r w:rsidRPr="00C27636">
        <w:rPr>
          <w:rFonts w:ascii="Calibri" w:eastAsia="Calibri" w:hAnsi="Calibri" w:cs="Calibri"/>
          <w:sz w:val="18"/>
          <w:szCs w:val="18"/>
          <w:lang w:val="fr-BE"/>
        </w:rPr>
        <w:t>Source: Office des Etrange</w:t>
      </w:r>
      <w:r w:rsidRPr="00C27636">
        <w:rPr>
          <w:rFonts w:ascii="Calibri" w:eastAsia="Calibri" w:hAnsi="Calibri" w:cs="Calibri"/>
          <w:sz w:val="18"/>
          <w:szCs w:val="18"/>
          <w:lang w:val="fr-BE"/>
        </w:rPr>
        <w:t>rs, cellule MINTEH.</w:t>
      </w:r>
    </w:p>
    <w:p w:rsidR="00AC12B4" w:rsidRPr="00C27636" w:rsidRDefault="00AC12B4">
      <w:pPr>
        <w:spacing w:line="47" w:lineRule="exact"/>
        <w:rPr>
          <w:rFonts w:ascii="Calibri" w:eastAsia="Calibri" w:hAnsi="Calibri" w:cs="Calibri"/>
          <w:sz w:val="24"/>
          <w:szCs w:val="24"/>
          <w:vertAlign w:val="superscript"/>
          <w:lang w:val="fr-BE"/>
        </w:rPr>
      </w:pPr>
    </w:p>
    <w:p w:rsidR="00AC12B4" w:rsidRPr="00C27636" w:rsidRDefault="00C27636">
      <w:pPr>
        <w:spacing w:line="217" w:lineRule="auto"/>
        <w:ind w:left="8" w:right="86"/>
        <w:rPr>
          <w:rFonts w:ascii="Calibri" w:eastAsia="Calibri" w:hAnsi="Calibri" w:cs="Calibri"/>
          <w:sz w:val="24"/>
          <w:szCs w:val="24"/>
          <w:vertAlign w:val="superscript"/>
          <w:lang w:val="fr-BE"/>
        </w:rPr>
      </w:pPr>
      <w:r w:rsidRPr="00C27636">
        <w:rPr>
          <w:rFonts w:ascii="Calibri" w:eastAsia="Calibri" w:hAnsi="Calibri" w:cs="Calibri"/>
          <w:sz w:val="20"/>
          <w:szCs w:val="20"/>
          <w:lang w:val="fr-BE"/>
        </w:rPr>
        <w:t>L’enregistrement se fait au moment de l’obtention de leur premier titre de séjour.</w:t>
      </w:r>
    </w:p>
    <w:p w:rsidR="00AC12B4" w:rsidRPr="00C27636" w:rsidRDefault="00C27636">
      <w:pPr>
        <w:spacing w:line="20" w:lineRule="exact"/>
        <w:rPr>
          <w:rFonts w:ascii="Calibri" w:eastAsia="Calibri" w:hAnsi="Calibri" w:cs="Calibri"/>
          <w:color w:val="0000FF"/>
          <w:sz w:val="20"/>
          <w:szCs w:val="20"/>
          <w:u w:val="single"/>
          <w:lang w:val="fr-BE"/>
        </w:rPr>
      </w:pPr>
      <w:r w:rsidRPr="00C27636">
        <w:rPr>
          <w:rFonts w:ascii="Calibri" w:eastAsia="Calibri" w:hAnsi="Calibri" w:cs="Calibri"/>
          <w:color w:val="0000FF"/>
          <w:sz w:val="20"/>
          <w:szCs w:val="20"/>
          <w:u w:val="single"/>
          <w:lang w:val="fr-BE"/>
        </w:rPr>
        <w:br w:type="column"/>
      </w:r>
    </w:p>
    <w:p w:rsidR="00AC12B4" w:rsidRPr="00C27636" w:rsidRDefault="00AC12B4">
      <w:pPr>
        <w:spacing w:line="169" w:lineRule="exact"/>
        <w:rPr>
          <w:rFonts w:ascii="Calibri" w:eastAsia="Calibri" w:hAnsi="Calibri" w:cs="Calibri"/>
          <w:color w:val="0000FF"/>
          <w:sz w:val="20"/>
          <w:szCs w:val="20"/>
          <w:u w:val="single"/>
          <w:lang w:val="fr-BE"/>
        </w:rPr>
      </w:pPr>
    </w:p>
    <w:tbl>
      <w:tblPr>
        <w:tblW w:w="0" w:type="auto"/>
        <w:tblLayout w:type="fixed"/>
        <w:tblCellMar>
          <w:left w:w="0" w:type="dxa"/>
          <w:right w:w="0" w:type="dxa"/>
        </w:tblCellMar>
        <w:tblLook w:val="04A0" w:firstRow="1" w:lastRow="0" w:firstColumn="1" w:lastColumn="0" w:noHBand="0" w:noVBand="1"/>
      </w:tblPr>
      <w:tblGrid>
        <w:gridCol w:w="280"/>
      </w:tblGrid>
      <w:tr w:rsidR="00AC12B4">
        <w:trPr>
          <w:trHeight w:val="2540"/>
        </w:trPr>
        <w:tc>
          <w:tcPr>
            <w:tcW w:w="280" w:type="dxa"/>
            <w:textDirection w:val="btLr"/>
            <w:vAlign w:val="bottom"/>
          </w:tcPr>
          <w:p w:rsidR="00AC12B4" w:rsidRDefault="00C27636">
            <w:pPr>
              <w:spacing w:line="204" w:lineRule="auto"/>
              <w:rPr>
                <w:sz w:val="20"/>
                <w:szCs w:val="20"/>
              </w:rPr>
            </w:pPr>
            <w:r>
              <w:rPr>
                <w:rFonts w:ascii="Calibri" w:eastAsia="Calibri" w:hAnsi="Calibri" w:cs="Calibri"/>
                <w:b/>
                <w:bCs/>
                <w:i/>
                <w:iCs/>
                <w:color w:val="F2F2F2"/>
                <w:sz w:val="27"/>
                <w:szCs w:val="27"/>
              </w:rPr>
              <w:t>Les droits des mineurs</w:t>
            </w:r>
          </w:p>
        </w:tc>
      </w:tr>
    </w:tbl>
    <w:p w:rsidR="00AC12B4" w:rsidRDefault="00AC12B4">
      <w:pPr>
        <w:spacing w:line="40" w:lineRule="exact"/>
        <w:rPr>
          <w:rFonts w:ascii="Calibri" w:eastAsia="Calibri" w:hAnsi="Calibri" w:cs="Calibri"/>
          <w:color w:val="0000FF"/>
          <w:sz w:val="20"/>
          <w:szCs w:val="20"/>
          <w:u w:val="single"/>
        </w:rPr>
      </w:pPr>
    </w:p>
    <w:p w:rsidR="00AC12B4" w:rsidRDefault="00AC12B4">
      <w:pPr>
        <w:sectPr w:rsidR="00AC12B4">
          <w:type w:val="continuous"/>
          <w:pgSz w:w="12080" w:h="17179"/>
          <w:pgMar w:top="1440" w:right="530" w:bottom="659" w:left="1120" w:header="0" w:footer="0" w:gutter="0"/>
          <w:cols w:num="3" w:space="720" w:equalWidth="0">
            <w:col w:w="4760" w:space="712"/>
            <w:col w:w="3954" w:space="720"/>
            <w:col w:w="280"/>
          </w:cols>
        </w:sectPr>
      </w:pPr>
    </w:p>
    <w:p w:rsidR="00AC12B4" w:rsidRDefault="00C27636">
      <w:pPr>
        <w:ind w:right="186"/>
        <w:jc w:val="center"/>
        <w:rPr>
          <w:sz w:val="20"/>
          <w:szCs w:val="20"/>
        </w:rPr>
      </w:pPr>
      <w:r>
        <w:rPr>
          <w:rFonts w:ascii="Calibri" w:eastAsia="Calibri" w:hAnsi="Calibri" w:cs="Calibri"/>
          <w:sz w:val="21"/>
          <w:szCs w:val="21"/>
        </w:rPr>
        <w:t>197</w:t>
      </w:r>
    </w:p>
    <w:p w:rsidR="00AC12B4" w:rsidRDefault="00AC12B4">
      <w:pPr>
        <w:sectPr w:rsidR="00AC12B4">
          <w:type w:val="continuous"/>
          <w:pgSz w:w="12080" w:h="17179"/>
          <w:pgMar w:top="1440" w:right="530" w:bottom="659" w:left="1120" w:header="0" w:footer="0" w:gutter="0"/>
          <w:cols w:space="720" w:equalWidth="0">
            <w:col w:w="10426"/>
          </w:cols>
        </w:sectPr>
      </w:pPr>
    </w:p>
    <w:bookmarkStart w:id="198" w:name="page198"/>
    <w:bookmarkEnd w:id="198"/>
    <w:p w:rsidR="00AC12B4" w:rsidRDefault="00C27636">
      <w:pPr>
        <w:spacing w:line="200" w:lineRule="exact"/>
        <w:rPr>
          <w:sz w:val="20"/>
          <w:szCs w:val="20"/>
        </w:rPr>
      </w:pPr>
      <w:r>
        <w:rPr>
          <w:noProof/>
          <w:sz w:val="20"/>
          <w:szCs w:val="20"/>
        </w:rPr>
        <mc:AlternateContent>
          <mc:Choice Requires="wps">
            <w:drawing>
              <wp:anchor distT="0" distB="0" distL="114300" distR="114300" simplePos="0" relativeHeight="251932160" behindDoc="1" locked="0" layoutInCell="0" allowOverlap="1">
                <wp:simplePos x="0" y="0"/>
                <wp:positionH relativeFrom="page">
                  <wp:posOffset>0</wp:posOffset>
                </wp:positionH>
                <wp:positionV relativeFrom="page">
                  <wp:posOffset>8890</wp:posOffset>
                </wp:positionV>
                <wp:extent cx="742950" cy="10896600"/>
                <wp:effectExtent l="0" t="0" r="0" b="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2950" cy="10896600"/>
                        </a:xfrm>
                        <a:prstGeom prst="rect">
                          <a:avLst/>
                        </a:prstGeom>
                        <a:solidFill>
                          <a:srgbClr val="159DCF"/>
                        </a:solidFill>
                      </wps:spPr>
                      <wps:bodyPr/>
                    </wps:wsp>
                  </a:graphicData>
                </a:graphic>
              </wp:anchor>
            </w:drawing>
          </mc:Choice>
          <mc:Fallback>
            <w:pict>
              <v:rect id="Shape 602" o:spid="_x0000_s1627" style="position:absolute;margin-left:0pt;margin-top:0.7pt;width:58.5pt;height:85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7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 xml:space="preserve">Les droits </w:t>
            </w:r>
            <w:r w:rsidRPr="00C27636">
              <w:rPr>
                <w:rFonts w:ascii="Calibri" w:eastAsia="Calibri" w:hAnsi="Calibri" w:cs="Calibri"/>
                <w:b/>
                <w:bCs/>
                <w:i/>
                <w:iCs/>
                <w:color w:val="F2F2F2"/>
                <w:sz w:val="27"/>
                <w:szCs w:val="27"/>
                <w:lang w:val="fr-BE"/>
              </w:rPr>
              <w:t>des mineurs étrangers</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29" w:lineRule="auto"/>
        <w:ind w:right="520"/>
        <w:jc w:val="both"/>
        <w:rPr>
          <w:sz w:val="20"/>
          <w:szCs w:val="20"/>
          <w:lang w:val="fr-BE"/>
        </w:rPr>
      </w:pPr>
      <w:r w:rsidRPr="00C27636">
        <w:rPr>
          <w:rFonts w:ascii="Calibri" w:eastAsia="Calibri" w:hAnsi="Calibri" w:cs="Calibri"/>
          <w:lang w:val="fr-BE"/>
        </w:rPr>
        <w:t>En 2014, les centres spécialisés d’accueil de victimes de la traite des êtres humains ont mis en route un nouvel accompagnement pour 7 mineurs.</w:t>
      </w:r>
    </w:p>
    <w:p w:rsidR="00AC12B4" w:rsidRPr="00C27636" w:rsidRDefault="00AC12B4">
      <w:pPr>
        <w:spacing w:line="205"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0F6D8F"/>
          <w:sz w:val="26"/>
          <w:szCs w:val="26"/>
          <w:lang w:val="fr-BE"/>
        </w:rPr>
        <w:t>Evolution</w:t>
      </w:r>
    </w:p>
    <w:p w:rsidR="00AC12B4" w:rsidRPr="00C27636" w:rsidRDefault="00AC12B4">
      <w:pPr>
        <w:spacing w:line="210" w:lineRule="exact"/>
        <w:rPr>
          <w:sz w:val="20"/>
          <w:szCs w:val="20"/>
          <w:lang w:val="fr-BE"/>
        </w:rPr>
      </w:pPr>
    </w:p>
    <w:p w:rsidR="00AC12B4" w:rsidRPr="00C27636" w:rsidRDefault="00C27636">
      <w:pPr>
        <w:spacing w:line="229" w:lineRule="auto"/>
        <w:ind w:right="520"/>
        <w:jc w:val="both"/>
        <w:rPr>
          <w:sz w:val="20"/>
          <w:szCs w:val="20"/>
          <w:lang w:val="fr-BE"/>
        </w:rPr>
      </w:pPr>
      <w:r w:rsidRPr="00C27636">
        <w:rPr>
          <w:rFonts w:ascii="Calibri" w:eastAsia="Calibri" w:hAnsi="Calibri" w:cs="Calibri"/>
          <w:lang w:val="fr-BE"/>
        </w:rPr>
        <w:t xml:space="preserve">Vu qu’il s’agit d’un nombre très restreint de mineurs, il n’est pas </w:t>
      </w:r>
      <w:r w:rsidRPr="00C27636">
        <w:rPr>
          <w:rFonts w:ascii="Calibri" w:eastAsia="Calibri" w:hAnsi="Calibri" w:cs="Calibri"/>
          <w:lang w:val="fr-BE"/>
        </w:rPr>
        <w:t>possible de se prononcer sur une évolution dans le temps.</w:t>
      </w:r>
    </w:p>
    <w:p w:rsidR="00AC12B4" w:rsidRPr="00C27636" w:rsidRDefault="00AC12B4">
      <w:pPr>
        <w:spacing w:line="168" w:lineRule="exact"/>
        <w:rPr>
          <w:sz w:val="20"/>
          <w:szCs w:val="20"/>
          <w:lang w:val="fr-BE"/>
        </w:rPr>
      </w:pPr>
    </w:p>
    <w:p w:rsidR="00AC12B4" w:rsidRPr="00C27636" w:rsidRDefault="00C27636">
      <w:pPr>
        <w:spacing w:line="231" w:lineRule="auto"/>
        <w:ind w:right="520"/>
        <w:jc w:val="both"/>
        <w:rPr>
          <w:sz w:val="20"/>
          <w:szCs w:val="20"/>
          <w:lang w:val="fr-BE"/>
        </w:rPr>
      </w:pPr>
      <w:r w:rsidRPr="00C27636">
        <w:rPr>
          <w:rFonts w:ascii="Calibri" w:eastAsia="Calibri" w:hAnsi="Calibri" w:cs="Calibri"/>
          <w:lang w:val="fr-BE"/>
        </w:rPr>
        <w:t xml:space="preserve">L’analyse de l’évolution du nombre d’enfants exploités doit de toute façon être prudente. En effet, connaissant les problèmes de détection de ce phénomène (Cf. infra), une augmentation de cas peut </w:t>
      </w:r>
      <w:r w:rsidRPr="00C27636">
        <w:rPr>
          <w:rFonts w:ascii="Calibri" w:eastAsia="Calibri" w:hAnsi="Calibri" w:cs="Calibri"/>
          <w:lang w:val="fr-BE"/>
        </w:rPr>
        <w:t>résulter à la fois d’une meilleure détection comme d’une aggravation de la situation</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w:t>
      </w:r>
    </w:p>
    <w:p w:rsidR="00AC12B4" w:rsidRPr="00C27636" w:rsidRDefault="00AC12B4">
      <w:pPr>
        <w:spacing w:line="171" w:lineRule="exact"/>
        <w:rPr>
          <w:sz w:val="20"/>
          <w:szCs w:val="20"/>
          <w:lang w:val="fr-BE"/>
        </w:rPr>
      </w:pPr>
    </w:p>
    <w:p w:rsidR="00AC12B4" w:rsidRDefault="00C27636">
      <w:pPr>
        <w:rPr>
          <w:sz w:val="20"/>
          <w:szCs w:val="20"/>
        </w:rPr>
      </w:pPr>
      <w:r>
        <w:rPr>
          <w:rFonts w:ascii="Cambria" w:eastAsia="Cambria" w:hAnsi="Cambria" w:cs="Cambria"/>
          <w:b/>
          <w:bCs/>
          <w:i/>
          <w:iCs/>
          <w:color w:val="0F6D8F"/>
          <w:sz w:val="26"/>
          <w:szCs w:val="26"/>
        </w:rPr>
        <w:t>D’où viennent ces chiffres ?</w:t>
      </w:r>
    </w:p>
    <w:p w:rsidR="00AC12B4" w:rsidRDefault="00AC12B4">
      <w:pPr>
        <w:spacing w:line="166" w:lineRule="exact"/>
        <w:rPr>
          <w:sz w:val="20"/>
          <w:szCs w:val="20"/>
        </w:rPr>
      </w:pPr>
    </w:p>
    <w:p w:rsidR="00AC12B4" w:rsidRDefault="00C27636">
      <w:pPr>
        <w:numPr>
          <w:ilvl w:val="0"/>
          <w:numId w:val="381"/>
        </w:numPr>
        <w:tabs>
          <w:tab w:val="left" w:pos="720"/>
        </w:tabs>
        <w:ind w:left="720" w:hanging="360"/>
        <w:rPr>
          <w:rFonts w:ascii="Wingdings" w:eastAsia="Wingdings" w:hAnsi="Wingdings" w:cs="Wingdings"/>
          <w:color w:val="4BACC6"/>
        </w:rPr>
      </w:pPr>
      <w:r>
        <w:rPr>
          <w:rFonts w:ascii="Cambria" w:eastAsia="Cambria" w:hAnsi="Cambria" w:cs="Cambria"/>
          <w:i/>
          <w:iCs/>
          <w:color w:val="4F81BD"/>
        </w:rPr>
        <w:t>Données administratives</w:t>
      </w:r>
    </w:p>
    <w:p w:rsidR="00AC12B4" w:rsidRDefault="00AC12B4">
      <w:pPr>
        <w:spacing w:line="202" w:lineRule="exact"/>
        <w:rPr>
          <w:sz w:val="20"/>
          <w:szCs w:val="20"/>
        </w:rPr>
      </w:pPr>
    </w:p>
    <w:p w:rsidR="00AC12B4" w:rsidRPr="00C27636" w:rsidRDefault="00C27636">
      <w:pPr>
        <w:spacing w:line="233" w:lineRule="auto"/>
        <w:ind w:right="520"/>
        <w:jc w:val="both"/>
        <w:rPr>
          <w:sz w:val="20"/>
          <w:szCs w:val="20"/>
          <w:lang w:val="fr-BE"/>
        </w:rPr>
      </w:pPr>
      <w:r w:rsidRPr="00C27636">
        <w:rPr>
          <w:rFonts w:ascii="Calibri" w:eastAsia="Calibri" w:hAnsi="Calibri" w:cs="Calibri"/>
          <w:lang w:val="fr-BE"/>
        </w:rPr>
        <w:t xml:space="preserve">Plusieurs sources peuvent être utilisées pour le dénombrement des cas d’exploitation infantile. Nous nous basons </w:t>
      </w:r>
      <w:r w:rsidRPr="00C27636">
        <w:rPr>
          <w:rFonts w:ascii="Calibri" w:eastAsia="Calibri" w:hAnsi="Calibri" w:cs="Calibri"/>
          <w:lang w:val="fr-BE"/>
        </w:rPr>
        <w:t>particulièrement sur ceux de l’Office des étrangers et des centres spécialisés d’accueil de victimes de la traite des êtres humains.</w:t>
      </w:r>
    </w:p>
    <w:p w:rsidR="00AC12B4" w:rsidRPr="00C27636" w:rsidRDefault="00AC12B4">
      <w:pPr>
        <w:spacing w:line="133" w:lineRule="exact"/>
        <w:rPr>
          <w:sz w:val="20"/>
          <w:szCs w:val="20"/>
          <w:lang w:val="fr-BE"/>
        </w:rPr>
      </w:pPr>
    </w:p>
    <w:p w:rsidR="00AC12B4" w:rsidRDefault="00C27636">
      <w:pPr>
        <w:numPr>
          <w:ilvl w:val="0"/>
          <w:numId w:val="382"/>
        </w:numPr>
        <w:tabs>
          <w:tab w:val="left" w:pos="720"/>
        </w:tabs>
        <w:ind w:left="720" w:hanging="360"/>
        <w:rPr>
          <w:rFonts w:ascii="Wingdings" w:eastAsia="Wingdings" w:hAnsi="Wingdings" w:cs="Wingdings"/>
          <w:color w:val="4F81BD"/>
        </w:rPr>
      </w:pPr>
      <w:r>
        <w:rPr>
          <w:rFonts w:ascii="Cambria" w:eastAsia="Cambria" w:hAnsi="Cambria" w:cs="Cambria"/>
          <w:i/>
          <w:iCs/>
          <w:color w:val="4F81BD"/>
        </w:rPr>
        <w:t>Limite de la mesure</w:t>
      </w:r>
    </w:p>
    <w:p w:rsidR="00AC12B4" w:rsidRDefault="00AC12B4">
      <w:pPr>
        <w:spacing w:line="202" w:lineRule="exact"/>
        <w:rPr>
          <w:sz w:val="20"/>
          <w:szCs w:val="20"/>
        </w:rPr>
      </w:pPr>
    </w:p>
    <w:p w:rsidR="00AC12B4" w:rsidRPr="00C27636" w:rsidRDefault="00C27636">
      <w:pPr>
        <w:spacing w:line="217" w:lineRule="auto"/>
        <w:ind w:right="520"/>
        <w:jc w:val="both"/>
        <w:rPr>
          <w:sz w:val="20"/>
          <w:szCs w:val="20"/>
          <w:lang w:val="fr-BE"/>
        </w:rPr>
      </w:pPr>
      <w:r w:rsidRPr="00C27636">
        <w:rPr>
          <w:rFonts w:ascii="Calibri" w:eastAsia="Calibri" w:hAnsi="Calibri" w:cs="Calibri"/>
          <w:lang w:val="fr-BE"/>
        </w:rPr>
        <w:t>Nous avons déjà indiqué que les chiffres ne sont pas conciliables.</w:t>
      </w:r>
    </w:p>
    <w:p w:rsidR="00AC12B4" w:rsidRPr="00C27636" w:rsidRDefault="00AC12B4">
      <w:pPr>
        <w:spacing w:line="170" w:lineRule="exact"/>
        <w:rPr>
          <w:sz w:val="20"/>
          <w:szCs w:val="20"/>
          <w:lang w:val="fr-BE"/>
        </w:rPr>
      </w:pPr>
    </w:p>
    <w:p w:rsidR="00AC12B4" w:rsidRPr="00C27636" w:rsidRDefault="00C27636">
      <w:pPr>
        <w:spacing w:line="236" w:lineRule="auto"/>
        <w:ind w:right="520"/>
        <w:jc w:val="both"/>
        <w:rPr>
          <w:sz w:val="20"/>
          <w:szCs w:val="20"/>
          <w:lang w:val="fr-BE"/>
        </w:rPr>
      </w:pPr>
      <w:r w:rsidRPr="00C27636">
        <w:rPr>
          <w:rFonts w:ascii="Calibri" w:eastAsia="Calibri" w:hAnsi="Calibri" w:cs="Calibri"/>
          <w:lang w:val="fr-BE"/>
        </w:rPr>
        <w:t>La différence entre les données d</w:t>
      </w:r>
      <w:r w:rsidRPr="00C27636">
        <w:rPr>
          <w:rFonts w:ascii="Calibri" w:eastAsia="Calibri" w:hAnsi="Calibri" w:cs="Calibri"/>
          <w:lang w:val="fr-BE"/>
        </w:rPr>
        <w:t>e l’Office des Etrangers (OE) et des centres peut être due à un mode d’enregistrement différent. L’OE procède à cet enregistrement au moment où une personne, sans titre de séjour légal, introduit sa demande. Les centres, eux, accueillent également des mine</w:t>
      </w:r>
      <w:r w:rsidRPr="00C27636">
        <w:rPr>
          <w:rFonts w:ascii="Calibri" w:eastAsia="Calibri" w:hAnsi="Calibri" w:cs="Calibri"/>
          <w:lang w:val="fr-BE"/>
        </w:rPr>
        <w:t>urs résidant en Belgique depuis un certain temps, parfois même en séjour légal, ou qui ne sont pas intéressés de rester en Belgique, qui ont été exploités par leur famille et préféraient mettre en route une procédure moins confrontante,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33184" behindDoc="1" locked="0" layoutInCell="0" allowOverlap="1">
                <wp:simplePos x="0" y="0"/>
                <wp:positionH relativeFrom="column">
                  <wp:posOffset>0</wp:posOffset>
                </wp:positionH>
                <wp:positionV relativeFrom="paragraph">
                  <wp:posOffset>114935</wp:posOffset>
                </wp:positionV>
                <wp:extent cx="1828800" cy="0"/>
                <wp:effectExtent l="0" t="0" r="0" b="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5pt" to="144pt,9.05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33" w:lineRule="exact"/>
        <w:rPr>
          <w:sz w:val="20"/>
          <w:szCs w:val="20"/>
          <w:lang w:val="fr-BE"/>
        </w:rPr>
      </w:pPr>
    </w:p>
    <w:p w:rsidR="00AC12B4" w:rsidRPr="00C27636" w:rsidRDefault="00C27636">
      <w:pPr>
        <w:numPr>
          <w:ilvl w:val="0"/>
          <w:numId w:val="383"/>
        </w:numPr>
        <w:tabs>
          <w:tab w:val="left" w:pos="158"/>
        </w:tabs>
        <w:spacing w:line="212" w:lineRule="auto"/>
        <w:ind w:right="520"/>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Voir en la mati</w:t>
      </w:r>
      <w:r w:rsidRPr="00C27636">
        <w:rPr>
          <w:rFonts w:ascii="Calibri" w:eastAsia="Calibri" w:hAnsi="Calibri" w:cs="Calibri"/>
          <w:sz w:val="20"/>
          <w:szCs w:val="20"/>
          <w:lang w:val="fr-BE"/>
        </w:rPr>
        <w:t>ère le rapport de la Cellule Interdépartementale contre la traite et le trafic des êtres humains concernant l’évaluation de la circulaire du 26 septembre 2008.</w:t>
      </w:r>
    </w:p>
    <w:p w:rsidR="00AC12B4" w:rsidRPr="00C27636" w:rsidRDefault="00AC12B4">
      <w:pPr>
        <w:spacing w:line="243"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198</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1" w:lineRule="auto"/>
        <w:ind w:right="737"/>
        <w:jc w:val="both"/>
        <w:rPr>
          <w:sz w:val="20"/>
          <w:szCs w:val="20"/>
          <w:lang w:val="fr-BE"/>
        </w:rPr>
      </w:pPr>
      <w:r w:rsidRPr="00C27636">
        <w:rPr>
          <w:rFonts w:ascii="Calibri" w:eastAsia="Calibri" w:hAnsi="Calibri" w:cs="Calibri"/>
          <w:lang w:val="fr-BE"/>
        </w:rPr>
        <w:t>ou qui étaient exploités dans un autre pays européen que la Belgique</w:t>
      </w:r>
      <w:r w:rsidRPr="00C27636">
        <w:rPr>
          <w:rFonts w:ascii="Calibri" w:eastAsia="Calibri" w:hAnsi="Calibri" w:cs="Calibri"/>
          <w:sz w:val="27"/>
          <w:szCs w:val="27"/>
          <w:vertAlign w:val="superscript"/>
          <w:lang w:val="fr-BE"/>
        </w:rPr>
        <w:t>4</w:t>
      </w:r>
      <w:r w:rsidRPr="00C27636">
        <w:rPr>
          <w:rFonts w:ascii="Calibri" w:eastAsia="Calibri" w:hAnsi="Calibri" w:cs="Calibri"/>
          <w:lang w:val="fr-BE"/>
        </w:rPr>
        <w:t xml:space="preserve">. Toutefois, </w:t>
      </w:r>
      <w:r w:rsidRPr="00C27636">
        <w:rPr>
          <w:rFonts w:ascii="Calibri" w:eastAsia="Calibri" w:hAnsi="Calibri" w:cs="Calibri"/>
          <w:lang w:val="fr-BE"/>
        </w:rPr>
        <w:t>l’enregistrement des mineurs victimes par l’OE ne concerne que les mineurs bénéficiant du statut de victime de la traite des êtres humains (TEH), soit parce que leur parent a obtenu ce statut, soit parce qu’ils ont eux-mêmes collaboré à l’enquête. Une séri</w:t>
      </w:r>
      <w:r w:rsidRPr="00C27636">
        <w:rPr>
          <w:rFonts w:ascii="Calibri" w:eastAsia="Calibri" w:hAnsi="Calibri" w:cs="Calibri"/>
          <w:lang w:val="fr-BE"/>
        </w:rPr>
        <w:t>e de mineurs probablement victimes ne seront jamais enregistrés comme tels via cette procédure.</w:t>
      </w:r>
    </w:p>
    <w:p w:rsidR="00AC12B4" w:rsidRPr="00C27636" w:rsidRDefault="00AC12B4">
      <w:pPr>
        <w:spacing w:line="183" w:lineRule="exact"/>
        <w:rPr>
          <w:sz w:val="20"/>
          <w:szCs w:val="20"/>
          <w:lang w:val="fr-BE"/>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 xml:space="preserve">La question se pose si l’OE n’est pas confronté, dans le cadre des autres procédures (les procédures ‘MENA’), à des victimes potentielles qui préfèrent ne pas </w:t>
      </w:r>
      <w:r w:rsidRPr="00C27636">
        <w:rPr>
          <w:rFonts w:ascii="Calibri" w:eastAsia="Calibri" w:hAnsi="Calibri" w:cs="Calibri"/>
          <w:lang w:val="fr-BE"/>
        </w:rPr>
        <w:t>entamer la procédure TEH. Si tel est le cas, il pourrait être envisagé de rajouter une rubrique ou mention de victime dans les enregistrements. Ceci pourrait compléter les statistiques en matière de traite des enfants. .</w:t>
      </w:r>
    </w:p>
    <w:p w:rsidR="00AC12B4" w:rsidRPr="00C27636" w:rsidRDefault="00AC12B4">
      <w:pPr>
        <w:spacing w:line="177"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lang w:val="fr-BE"/>
        </w:rPr>
        <w:t>Les données d’autres services publ</w:t>
      </w:r>
      <w:r w:rsidRPr="00C27636">
        <w:rPr>
          <w:rFonts w:ascii="Calibri" w:eastAsia="Calibri" w:hAnsi="Calibri" w:cs="Calibri"/>
          <w:lang w:val="fr-BE"/>
        </w:rPr>
        <w:t>ics vont encore dans un autre sens. Ce constat rend difficile la tâche de construire une cartographie fiable du phénomène.</w:t>
      </w:r>
    </w:p>
    <w:p w:rsidR="00AC12B4" w:rsidRPr="00C27636" w:rsidRDefault="00AC12B4">
      <w:pPr>
        <w:spacing w:line="173" w:lineRule="exact"/>
        <w:rPr>
          <w:sz w:val="20"/>
          <w:szCs w:val="20"/>
          <w:lang w:val="fr-BE"/>
        </w:rPr>
      </w:pPr>
    </w:p>
    <w:p w:rsidR="00AC12B4" w:rsidRPr="00C27636" w:rsidRDefault="00C27636">
      <w:pPr>
        <w:spacing w:line="234" w:lineRule="auto"/>
        <w:ind w:right="737"/>
        <w:jc w:val="both"/>
        <w:rPr>
          <w:sz w:val="20"/>
          <w:szCs w:val="20"/>
          <w:lang w:val="fr-BE"/>
        </w:rPr>
      </w:pPr>
      <w:r w:rsidRPr="00C27636">
        <w:rPr>
          <w:rFonts w:ascii="Calibri" w:eastAsia="Calibri" w:hAnsi="Calibri" w:cs="Calibri"/>
          <w:lang w:val="fr-BE"/>
        </w:rPr>
        <w:t>Les statistiques des condamnations prononcées en 2014</w:t>
      </w:r>
      <w:r w:rsidRPr="00C27636">
        <w:rPr>
          <w:rFonts w:ascii="Calibri" w:eastAsia="Calibri" w:hAnsi="Calibri" w:cs="Calibri"/>
          <w:sz w:val="27"/>
          <w:szCs w:val="27"/>
          <w:vertAlign w:val="superscript"/>
          <w:lang w:val="fr-BE"/>
        </w:rPr>
        <w:t>5</w:t>
      </w:r>
      <w:r w:rsidRPr="00C27636">
        <w:rPr>
          <w:rFonts w:ascii="Calibri" w:eastAsia="Calibri" w:hAnsi="Calibri" w:cs="Calibri"/>
          <w:lang w:val="fr-BE"/>
        </w:rPr>
        <w:t xml:space="preserve"> indiquent que, dans des affaires de traite des êtres humains, la circonstance</w:t>
      </w:r>
      <w:r w:rsidRPr="00C27636">
        <w:rPr>
          <w:rFonts w:ascii="Calibri" w:eastAsia="Calibri" w:hAnsi="Calibri" w:cs="Calibri"/>
          <w:lang w:val="fr-BE"/>
        </w:rPr>
        <w:t xml:space="preserve"> aggravante de victime mineure a été prononcée 12 fois. En outre, le parquet n’est pas toujours informé de la présence de mineurs lors d’une action contre la traite des êtres humains (bien qu’il s’agisse d‘une circonstance aggravante). Aucune offre d’accue</w:t>
      </w:r>
      <w:r w:rsidRPr="00C27636">
        <w:rPr>
          <w:rFonts w:ascii="Calibri" w:eastAsia="Calibri" w:hAnsi="Calibri" w:cs="Calibri"/>
          <w:lang w:val="fr-BE"/>
        </w:rPr>
        <w:t xml:space="preserve">il n’est alors prévue pour ces mineurs. Il existe des témoignages comparables en matière d’exploitation d’enfants: celui p.ex. de jeunes mineurs étrangers pris en flagrant délit, dont la situation est simplement qualifiée comme du vol, sans se méfier d’un </w:t>
      </w:r>
      <w:r w:rsidRPr="00C27636">
        <w:rPr>
          <w:rFonts w:ascii="Calibri" w:eastAsia="Calibri" w:hAnsi="Calibri" w:cs="Calibri"/>
          <w:lang w:val="fr-BE"/>
        </w:rPr>
        <w:t>réseau d’exploiteurs qui les amène</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34208" behindDoc="1" locked="0" layoutInCell="0" allowOverlap="1">
                <wp:simplePos x="0" y="0"/>
                <wp:positionH relativeFrom="column">
                  <wp:posOffset>3175</wp:posOffset>
                </wp:positionH>
                <wp:positionV relativeFrom="paragraph">
                  <wp:posOffset>238760</wp:posOffset>
                </wp:positionV>
                <wp:extent cx="1828800" cy="0"/>
                <wp:effectExtent l="0" t="0" r="0" b="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8pt" to="144.25pt,18.8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378" w:lineRule="exact"/>
        <w:rPr>
          <w:sz w:val="20"/>
          <w:szCs w:val="20"/>
          <w:lang w:val="fr-BE"/>
        </w:rPr>
      </w:pPr>
    </w:p>
    <w:p w:rsidR="00AC12B4" w:rsidRPr="00C27636" w:rsidRDefault="00C27636">
      <w:pPr>
        <w:spacing w:line="221" w:lineRule="auto"/>
        <w:ind w:right="737"/>
        <w:jc w:val="both"/>
        <w:rPr>
          <w:sz w:val="20"/>
          <w:szCs w:val="20"/>
          <w:lang w:val="fr-BE"/>
        </w:rPr>
      </w:pPr>
      <w:r w:rsidRPr="00C27636">
        <w:rPr>
          <w:rFonts w:ascii="Calibri" w:eastAsia="Calibri" w:hAnsi="Calibri" w:cs="Calibri"/>
          <w:sz w:val="25"/>
          <w:szCs w:val="25"/>
          <w:vertAlign w:val="superscript"/>
          <w:lang w:val="fr-BE"/>
        </w:rPr>
        <w:t>4</w:t>
      </w:r>
      <w:r w:rsidRPr="00C27636">
        <w:rPr>
          <w:rFonts w:ascii="Calibri" w:eastAsia="Calibri" w:hAnsi="Calibri" w:cs="Calibri"/>
          <w:sz w:val="20"/>
          <w:szCs w:val="20"/>
          <w:lang w:val="fr-BE"/>
        </w:rPr>
        <w:t xml:space="preserve"> Esperanto, </w:t>
      </w:r>
      <w:r w:rsidRPr="00C27636">
        <w:rPr>
          <w:rFonts w:ascii="Calibri" w:eastAsia="Calibri" w:hAnsi="Calibri" w:cs="Calibri"/>
          <w:i/>
          <w:iCs/>
          <w:sz w:val="20"/>
          <w:szCs w:val="20"/>
          <w:lang w:val="fr-BE"/>
        </w:rPr>
        <w:t>Rapport d’activités 2010</w:t>
      </w:r>
      <w:r w:rsidRPr="00C27636">
        <w:rPr>
          <w:rFonts w:ascii="Calibri" w:eastAsia="Calibri" w:hAnsi="Calibri" w:cs="Calibri"/>
          <w:sz w:val="20"/>
          <w:szCs w:val="20"/>
          <w:lang w:val="fr-BE"/>
        </w:rPr>
        <w:t>, 13. Aucun des 21 mineurs accueillis en 2010 n’avait lancé une procédure TEH.</w:t>
      </w:r>
    </w:p>
    <w:p w:rsidR="00AC12B4" w:rsidRPr="00C27636" w:rsidRDefault="00AC12B4">
      <w:pPr>
        <w:spacing w:line="170" w:lineRule="exact"/>
        <w:rPr>
          <w:sz w:val="20"/>
          <w:szCs w:val="20"/>
          <w:lang w:val="fr-BE"/>
        </w:rPr>
      </w:pPr>
    </w:p>
    <w:p w:rsidR="00AC12B4" w:rsidRPr="00C27636" w:rsidRDefault="00C27636">
      <w:pPr>
        <w:numPr>
          <w:ilvl w:val="0"/>
          <w:numId w:val="384"/>
        </w:numPr>
        <w:tabs>
          <w:tab w:val="left" w:pos="113"/>
        </w:tabs>
        <w:spacing w:line="188" w:lineRule="auto"/>
        <w:ind w:right="737" w:firstLine="5"/>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Source : Service de la Politique Criminelle, SPF Justice.</w:t>
      </w:r>
    </w:p>
    <w:p w:rsidR="00AC12B4" w:rsidRPr="00C27636" w:rsidRDefault="00AC12B4">
      <w:pPr>
        <w:rPr>
          <w:lang w:val="fr-BE"/>
        </w:rPr>
        <w:sectPr w:rsidR="00AC12B4" w:rsidRPr="00C27636">
          <w:pgSz w:w="12080" w:h="17179"/>
          <w:pgMar w:top="1440" w:right="1440" w:bottom="659" w:left="451" w:header="0" w:footer="0" w:gutter="0"/>
          <w:cols w:num="3" w:space="720" w:equalWidth="0">
            <w:col w:w="330" w:space="659"/>
            <w:col w:w="4400" w:space="180"/>
            <w:col w:w="4617"/>
          </w:cols>
        </w:sectPr>
      </w:pPr>
    </w:p>
    <w:p w:rsidR="00AC12B4" w:rsidRPr="00C27636" w:rsidRDefault="00AC12B4">
      <w:pPr>
        <w:spacing w:line="163" w:lineRule="exact"/>
        <w:rPr>
          <w:sz w:val="20"/>
          <w:szCs w:val="20"/>
          <w:lang w:val="fr-BE"/>
        </w:rPr>
      </w:pPr>
      <w:bookmarkStart w:id="199" w:name="page199"/>
      <w:bookmarkEnd w:id="199"/>
    </w:p>
    <w:p w:rsidR="00AC12B4" w:rsidRPr="00C27636" w:rsidRDefault="00C27636">
      <w:pPr>
        <w:tabs>
          <w:tab w:val="left" w:pos="1180"/>
          <w:tab w:val="left" w:pos="1680"/>
          <w:tab w:val="left" w:pos="2740"/>
          <w:tab w:val="left" w:pos="3740"/>
          <w:tab w:val="left" w:pos="4240"/>
        </w:tabs>
        <w:ind w:left="560"/>
        <w:rPr>
          <w:sz w:val="20"/>
          <w:szCs w:val="20"/>
          <w:lang w:val="fr-BE"/>
        </w:rPr>
      </w:pPr>
      <w:r w:rsidRPr="00C27636">
        <w:rPr>
          <w:rFonts w:ascii="Calibri" w:eastAsia="Calibri" w:hAnsi="Calibri" w:cs="Calibri"/>
          <w:lang w:val="fr-BE"/>
        </w:rPr>
        <w:t>vers</w:t>
      </w:r>
      <w:r w:rsidRPr="00C27636">
        <w:rPr>
          <w:rFonts w:ascii="Calibri" w:eastAsia="Calibri" w:hAnsi="Calibri" w:cs="Calibri"/>
          <w:lang w:val="fr-BE"/>
        </w:rPr>
        <w:tab/>
        <w:t>les</w:t>
      </w:r>
      <w:r w:rsidRPr="00C27636">
        <w:rPr>
          <w:rFonts w:ascii="Calibri" w:eastAsia="Calibri" w:hAnsi="Calibri" w:cs="Calibri"/>
          <w:lang w:val="fr-BE"/>
        </w:rPr>
        <w:tab/>
      </w:r>
      <w:r w:rsidRPr="00C27636">
        <w:rPr>
          <w:rFonts w:ascii="Calibri" w:eastAsia="Calibri" w:hAnsi="Calibri" w:cs="Calibri"/>
          <w:lang w:val="fr-BE"/>
        </w:rPr>
        <w:t>quartiers</w:t>
      </w:r>
      <w:r w:rsidRPr="00C27636">
        <w:rPr>
          <w:rFonts w:ascii="Calibri" w:eastAsia="Calibri" w:hAnsi="Calibri" w:cs="Calibri"/>
          <w:lang w:val="fr-BE"/>
        </w:rPr>
        <w:tab/>
        <w:t>éloignés</w:t>
      </w:r>
      <w:r w:rsidRPr="00C27636">
        <w:rPr>
          <w:rFonts w:ascii="Calibri" w:eastAsia="Calibri" w:hAnsi="Calibri" w:cs="Calibri"/>
          <w:lang w:val="fr-BE"/>
        </w:rPr>
        <w:tab/>
        <w:t>où</w:t>
      </w:r>
      <w:r w:rsidRPr="00C27636">
        <w:rPr>
          <w:sz w:val="20"/>
          <w:szCs w:val="20"/>
          <w:lang w:val="fr-BE"/>
        </w:rPr>
        <w:tab/>
      </w:r>
      <w:r w:rsidRPr="00C27636">
        <w:rPr>
          <w:rFonts w:ascii="Calibri" w:eastAsia="Calibri" w:hAnsi="Calibri" w:cs="Calibri"/>
          <w:sz w:val="21"/>
          <w:szCs w:val="21"/>
          <w:lang w:val="fr-BE"/>
        </w:rPr>
        <w:t>ils</w:t>
      </w:r>
    </w:p>
    <w:p w:rsidR="00AC12B4" w:rsidRPr="00C27636" w:rsidRDefault="00C27636">
      <w:pPr>
        <w:ind w:left="560"/>
        <w:rPr>
          <w:sz w:val="20"/>
          <w:szCs w:val="20"/>
          <w:lang w:val="fr-BE"/>
        </w:rPr>
      </w:pPr>
      <w:r w:rsidRPr="00C27636">
        <w:rPr>
          <w:rFonts w:ascii="Calibri" w:eastAsia="Calibri" w:hAnsi="Calibri" w:cs="Calibri"/>
          <w:lang w:val="fr-BE"/>
        </w:rPr>
        <w:t>commettent les faits (témoignage fin 2014</w:t>
      </w:r>
    </w:p>
    <w:p w:rsidR="00AC12B4" w:rsidRPr="00C27636" w:rsidRDefault="00C27636">
      <w:pPr>
        <w:ind w:left="560"/>
        <w:rPr>
          <w:sz w:val="20"/>
          <w:szCs w:val="20"/>
          <w:lang w:val="fr-BE"/>
        </w:rPr>
      </w:pPr>
      <w:r w:rsidRPr="00C27636">
        <w:rPr>
          <w:rFonts w:ascii="Calibri" w:eastAsia="Calibri" w:hAnsi="Calibri" w:cs="Calibri"/>
          <w:lang w:val="fr-BE"/>
        </w:rPr>
        <w:t>d’un centre d’accueil de mineurs victimes</w:t>
      </w:r>
    </w:p>
    <w:p w:rsidR="00AC12B4" w:rsidRPr="00C27636" w:rsidRDefault="00C27636">
      <w:pPr>
        <w:ind w:left="560"/>
        <w:rPr>
          <w:sz w:val="20"/>
          <w:szCs w:val="20"/>
          <w:lang w:val="fr-BE"/>
        </w:rPr>
      </w:pPr>
      <w:r w:rsidRPr="00C27636">
        <w:rPr>
          <w:rFonts w:ascii="Calibri" w:eastAsia="Calibri" w:hAnsi="Calibri" w:cs="Calibri"/>
          <w:lang w:val="fr-BE"/>
        </w:rPr>
        <w:t>de la traite des êtres humains).</w:t>
      </w:r>
    </w:p>
    <w:p w:rsidR="00AC12B4" w:rsidRPr="00C27636" w:rsidRDefault="00AC12B4">
      <w:pPr>
        <w:spacing w:line="118" w:lineRule="exact"/>
        <w:rPr>
          <w:sz w:val="20"/>
          <w:szCs w:val="20"/>
          <w:lang w:val="fr-BE"/>
        </w:rPr>
      </w:pPr>
    </w:p>
    <w:p w:rsidR="00AC12B4" w:rsidRPr="00C27636" w:rsidRDefault="00C27636">
      <w:pPr>
        <w:ind w:left="560"/>
        <w:rPr>
          <w:sz w:val="20"/>
          <w:szCs w:val="20"/>
          <w:lang w:val="fr-BE"/>
        </w:rPr>
      </w:pPr>
      <w:r w:rsidRPr="00C27636">
        <w:rPr>
          <w:rFonts w:ascii="Calibri" w:eastAsia="Calibri" w:hAnsi="Calibri" w:cs="Calibri"/>
          <w:lang w:val="fr-BE"/>
        </w:rPr>
        <w:t>Les enfants en séjour illégal sont souvent</w:t>
      </w:r>
    </w:p>
    <w:p w:rsidR="00AC12B4" w:rsidRPr="00C27636" w:rsidRDefault="00C27636">
      <w:pPr>
        <w:ind w:left="560"/>
        <w:rPr>
          <w:sz w:val="20"/>
          <w:szCs w:val="20"/>
          <w:lang w:val="fr-BE"/>
        </w:rPr>
      </w:pPr>
      <w:r w:rsidRPr="00C27636">
        <w:rPr>
          <w:rFonts w:ascii="Calibri" w:eastAsia="Calibri" w:hAnsi="Calibri" w:cs="Calibri"/>
          <w:lang w:val="fr-BE"/>
        </w:rPr>
        <w:t>absents des statistiques.</w:t>
      </w:r>
    </w:p>
    <w:p w:rsidR="00AC12B4" w:rsidRPr="00C27636" w:rsidRDefault="00AC12B4">
      <w:pPr>
        <w:spacing w:line="206" w:lineRule="exact"/>
        <w:rPr>
          <w:sz w:val="20"/>
          <w:szCs w:val="20"/>
          <w:lang w:val="fr-BE"/>
        </w:rPr>
      </w:pPr>
    </w:p>
    <w:p w:rsidR="00AC12B4" w:rsidRPr="00C27636" w:rsidRDefault="00C27636">
      <w:pPr>
        <w:ind w:left="560"/>
        <w:rPr>
          <w:sz w:val="20"/>
          <w:szCs w:val="20"/>
          <w:lang w:val="fr-BE"/>
        </w:rPr>
      </w:pPr>
      <w:r w:rsidRPr="00C27636">
        <w:rPr>
          <w:rFonts w:ascii="Cambria" w:eastAsia="Cambria" w:hAnsi="Cambria" w:cs="Cambria"/>
          <w:b/>
          <w:bCs/>
          <w:i/>
          <w:iCs/>
          <w:color w:val="0F6D8F"/>
          <w:sz w:val="26"/>
          <w:szCs w:val="26"/>
          <w:lang w:val="fr-BE"/>
        </w:rPr>
        <w:t>Pour aller plus loin</w:t>
      </w:r>
    </w:p>
    <w:p w:rsidR="00AC12B4" w:rsidRPr="00C27636" w:rsidRDefault="00AC12B4">
      <w:pPr>
        <w:spacing w:line="222" w:lineRule="exact"/>
        <w:rPr>
          <w:sz w:val="20"/>
          <w:szCs w:val="20"/>
          <w:lang w:val="fr-BE"/>
        </w:rPr>
      </w:pPr>
    </w:p>
    <w:p w:rsidR="00AC12B4" w:rsidRPr="00C27636" w:rsidRDefault="00C27636">
      <w:pPr>
        <w:numPr>
          <w:ilvl w:val="0"/>
          <w:numId w:val="385"/>
        </w:numPr>
        <w:tabs>
          <w:tab w:val="left" w:pos="1280"/>
        </w:tabs>
        <w:spacing w:line="256" w:lineRule="auto"/>
        <w:ind w:left="1280" w:right="4666" w:hanging="353"/>
        <w:jc w:val="both"/>
        <w:rPr>
          <w:rFonts w:ascii="Symbol" w:eastAsia="Symbol" w:hAnsi="Symbol" w:cs="Symbol"/>
          <w:sz w:val="20"/>
          <w:szCs w:val="20"/>
          <w:lang w:val="fr-BE"/>
        </w:rPr>
      </w:pPr>
      <w:r w:rsidRPr="00C27636">
        <w:rPr>
          <w:rFonts w:ascii="Calibri" w:eastAsia="Calibri" w:hAnsi="Calibri" w:cs="Calibri"/>
          <w:b/>
          <w:bCs/>
          <w:i/>
          <w:iCs/>
          <w:color w:val="4F81BD"/>
          <w:sz w:val="20"/>
          <w:szCs w:val="20"/>
          <w:lang w:val="fr-BE"/>
        </w:rPr>
        <w:t>Rapport annuel Trait</w:t>
      </w:r>
      <w:r w:rsidRPr="00C27636">
        <w:rPr>
          <w:rFonts w:ascii="Calibri" w:eastAsia="Calibri" w:hAnsi="Calibri" w:cs="Calibri"/>
          <w:b/>
          <w:bCs/>
          <w:i/>
          <w:iCs/>
          <w:color w:val="4F81BD"/>
          <w:sz w:val="20"/>
          <w:szCs w:val="20"/>
          <w:lang w:val="fr-BE"/>
        </w:rPr>
        <w:t xml:space="preserve">e des êtres humains 2015 : </w:t>
      </w:r>
      <w:r w:rsidRPr="00C27636">
        <w:rPr>
          <w:rFonts w:ascii="Calibri" w:eastAsia="Calibri" w:hAnsi="Calibri" w:cs="Calibri"/>
          <w:color w:val="000000"/>
          <w:sz w:val="20"/>
          <w:szCs w:val="20"/>
          <w:lang w:val="fr-BE"/>
        </w:rPr>
        <w:t>réalisé par le</w:t>
      </w:r>
      <w:r w:rsidRPr="00C27636">
        <w:rPr>
          <w:rFonts w:ascii="Calibri" w:eastAsia="Calibri" w:hAnsi="Calibri" w:cs="Calibri"/>
          <w:b/>
          <w:bCs/>
          <w:i/>
          <w:iCs/>
          <w:color w:val="4F81BD"/>
          <w:sz w:val="20"/>
          <w:szCs w:val="20"/>
          <w:lang w:val="fr-BE"/>
        </w:rPr>
        <w:t xml:space="preserve"> </w:t>
      </w:r>
      <w:r w:rsidRPr="00C27636">
        <w:rPr>
          <w:rFonts w:ascii="Calibri" w:eastAsia="Calibri" w:hAnsi="Calibri" w:cs="Calibri"/>
          <w:color w:val="000000"/>
          <w:sz w:val="20"/>
          <w:szCs w:val="20"/>
          <w:lang w:val="fr-BE"/>
        </w:rPr>
        <w:t>rapporteur indépendant sur la traite des êtres humains pour la Belgique, le</w:t>
      </w:r>
    </w:p>
    <w:p w:rsidR="00AC12B4" w:rsidRPr="00C27636" w:rsidRDefault="00AC12B4">
      <w:pPr>
        <w:spacing w:line="67" w:lineRule="exact"/>
        <w:rPr>
          <w:rFonts w:ascii="Symbol" w:eastAsia="Symbol" w:hAnsi="Symbol" w:cs="Symbol"/>
          <w:sz w:val="20"/>
          <w:szCs w:val="20"/>
          <w:lang w:val="fr-BE"/>
        </w:rPr>
      </w:pPr>
    </w:p>
    <w:p w:rsidR="00AC12B4" w:rsidRPr="00C27636" w:rsidRDefault="00C27636">
      <w:pPr>
        <w:spacing w:line="260" w:lineRule="auto"/>
        <w:ind w:left="1280" w:right="4666"/>
        <w:jc w:val="both"/>
        <w:rPr>
          <w:rFonts w:ascii="Symbol" w:eastAsia="Symbol" w:hAnsi="Symbol" w:cs="Symbol"/>
          <w:sz w:val="20"/>
          <w:szCs w:val="20"/>
          <w:lang w:val="fr-BE"/>
        </w:rPr>
      </w:pPr>
      <w:r w:rsidRPr="00C27636">
        <w:rPr>
          <w:rFonts w:ascii="Calibri" w:eastAsia="Calibri" w:hAnsi="Calibri" w:cs="Calibri"/>
          <w:sz w:val="20"/>
          <w:szCs w:val="20"/>
          <w:lang w:val="fr-BE"/>
        </w:rPr>
        <w:t xml:space="preserve">Centre fédéral pour l’analyse des flux migratoires, la protection des droits fondamentaux des étrangers et la lutte contre la traite des </w:t>
      </w:r>
      <w:r w:rsidRPr="00C27636">
        <w:rPr>
          <w:rFonts w:ascii="Calibri" w:eastAsia="Calibri" w:hAnsi="Calibri" w:cs="Calibri"/>
          <w:sz w:val="20"/>
          <w:szCs w:val="20"/>
          <w:lang w:val="fr-BE"/>
        </w:rPr>
        <w:t>êtres</w:t>
      </w:r>
    </w:p>
    <w:p w:rsidR="00AC12B4" w:rsidRPr="00C27636" w:rsidRDefault="00AC12B4">
      <w:pPr>
        <w:spacing w:line="65" w:lineRule="exact"/>
        <w:rPr>
          <w:rFonts w:ascii="Symbol" w:eastAsia="Symbol" w:hAnsi="Symbol" w:cs="Symbol"/>
          <w:sz w:val="20"/>
          <w:szCs w:val="20"/>
          <w:lang w:val="fr-BE"/>
        </w:rPr>
      </w:pPr>
    </w:p>
    <w:p w:rsidR="00AC12B4" w:rsidRPr="00C27636" w:rsidRDefault="00C27636">
      <w:pPr>
        <w:spacing w:line="268" w:lineRule="auto"/>
        <w:ind w:left="1280" w:right="4666"/>
        <w:rPr>
          <w:rFonts w:ascii="Calibri" w:eastAsia="Calibri" w:hAnsi="Calibri" w:cs="Calibri"/>
          <w:color w:val="0000FF"/>
          <w:sz w:val="20"/>
          <w:szCs w:val="20"/>
          <w:lang w:val="fr-BE"/>
        </w:rPr>
      </w:pPr>
      <w:r w:rsidRPr="00C27636">
        <w:rPr>
          <w:rFonts w:ascii="Calibri" w:eastAsia="Calibri" w:hAnsi="Calibri" w:cs="Calibri"/>
          <w:sz w:val="20"/>
          <w:szCs w:val="20"/>
          <w:lang w:val="fr-BE"/>
        </w:rPr>
        <w:t xml:space="preserve">humains (Myria), </w:t>
      </w:r>
      <w:hyperlink r:id="rId362">
        <w:r w:rsidRPr="00C27636">
          <w:rPr>
            <w:rFonts w:ascii="Calibri" w:eastAsia="Calibri" w:hAnsi="Calibri" w:cs="Calibri"/>
            <w:color w:val="0000FF"/>
            <w:sz w:val="20"/>
            <w:szCs w:val="20"/>
            <w:u w:val="single"/>
            <w:lang w:val="fr-BE"/>
          </w:rPr>
          <w:t>http://www.myria.be/files/Traite-</w:t>
        </w:r>
      </w:hyperlink>
      <w:hyperlink r:id="rId363">
        <w:r w:rsidRPr="00C27636">
          <w:rPr>
            <w:rFonts w:ascii="Calibri" w:eastAsia="Calibri" w:hAnsi="Calibri" w:cs="Calibri"/>
            <w:color w:val="0000FF"/>
            <w:sz w:val="20"/>
            <w:szCs w:val="20"/>
            <w:u w:val="single"/>
            <w:lang w:val="fr-BE"/>
          </w:rPr>
          <w:t>rapport-2015-LR.pdf</w:t>
        </w:r>
        <w:r w:rsidRPr="00C27636">
          <w:rPr>
            <w:rFonts w:ascii="Calibri" w:eastAsia="Calibri" w:hAnsi="Calibri" w:cs="Calibri"/>
            <w:color w:val="0000FF"/>
            <w:sz w:val="20"/>
            <w:szCs w:val="20"/>
            <w:lang w:val="fr-BE"/>
          </w:rPr>
          <w:t xml:space="preserve"> </w:t>
        </w:r>
      </w:hyperlink>
      <w:r w:rsidRPr="00C27636">
        <w:rPr>
          <w:rFonts w:ascii="Calibri" w:eastAsia="Calibri" w:hAnsi="Calibri" w:cs="Calibri"/>
          <w:color w:val="000000"/>
          <w:sz w:val="20"/>
          <w:szCs w:val="20"/>
          <w:lang w:val="fr-BE"/>
        </w:rPr>
        <w:t>:</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Myria a</w:t>
      </w:r>
      <w:r w:rsidRPr="00C27636">
        <w:rPr>
          <w:rFonts w:ascii="Calibri" w:eastAsia="Calibri" w:hAnsi="Calibri" w:cs="Calibri"/>
          <w:color w:val="0000FF"/>
          <w:sz w:val="20"/>
          <w:szCs w:val="20"/>
          <w:lang w:val="fr-BE"/>
        </w:rPr>
        <w:t xml:space="preserve"> </w:t>
      </w:r>
      <w:r w:rsidRPr="00C27636">
        <w:rPr>
          <w:rFonts w:ascii="Calibri" w:eastAsia="Calibri" w:hAnsi="Calibri" w:cs="Calibri"/>
          <w:color w:val="000000"/>
          <w:sz w:val="20"/>
          <w:szCs w:val="20"/>
          <w:lang w:val="fr-BE"/>
        </w:rPr>
        <w:t>demandé à la cellule MINT</w:t>
      </w:r>
      <w:r w:rsidRPr="00C27636">
        <w:rPr>
          <w:rFonts w:ascii="Calibri" w:eastAsia="Calibri" w:hAnsi="Calibri" w:cs="Calibri"/>
          <w:color w:val="000000"/>
          <w:sz w:val="20"/>
          <w:szCs w:val="20"/>
          <w:lang w:val="fr-BE"/>
        </w:rPr>
        <w:t>EH de vérifier le sort administratif (séjour) des 171 victimes de la traite pour qui l’OE a délivré un premier titre de</w:t>
      </w:r>
    </w:p>
    <w:p w:rsidR="00AC12B4" w:rsidRPr="00C27636" w:rsidRDefault="00AC12B4">
      <w:pPr>
        <w:spacing w:line="57" w:lineRule="exact"/>
        <w:rPr>
          <w:rFonts w:ascii="Calibri" w:eastAsia="Calibri" w:hAnsi="Calibri" w:cs="Calibri"/>
          <w:color w:val="0000FF"/>
          <w:sz w:val="20"/>
          <w:szCs w:val="20"/>
          <w:lang w:val="fr-BE"/>
        </w:rPr>
      </w:pPr>
    </w:p>
    <w:p w:rsidR="00AC12B4" w:rsidRPr="00C27636" w:rsidRDefault="00C27636">
      <w:pPr>
        <w:spacing w:line="258" w:lineRule="auto"/>
        <w:ind w:left="1280" w:right="4666"/>
        <w:jc w:val="both"/>
        <w:rPr>
          <w:rFonts w:ascii="Calibri" w:eastAsia="Calibri" w:hAnsi="Calibri" w:cs="Calibri"/>
          <w:color w:val="0000FF"/>
          <w:sz w:val="20"/>
          <w:szCs w:val="20"/>
          <w:lang w:val="fr-BE"/>
        </w:rPr>
      </w:pPr>
      <w:r w:rsidRPr="00C27636">
        <w:rPr>
          <w:rFonts w:ascii="Calibri" w:eastAsia="Calibri" w:hAnsi="Calibri" w:cs="Calibri"/>
          <w:sz w:val="20"/>
          <w:szCs w:val="20"/>
          <w:lang w:val="fr-BE"/>
        </w:rPr>
        <w:t>séjour en 2008. Il s’agissait d’entre autres 6 mineurs.</w:t>
      </w:r>
      <w:r w:rsidRPr="00C27636">
        <w:rPr>
          <w:rFonts w:ascii="Calibri" w:eastAsia="Calibri" w:hAnsi="Calibri" w:cs="Calibri"/>
          <w:sz w:val="25"/>
          <w:szCs w:val="25"/>
          <w:vertAlign w:val="superscript"/>
          <w:lang w:val="fr-BE"/>
        </w:rPr>
        <w:t>6</w:t>
      </w:r>
      <w:r w:rsidRPr="00C27636">
        <w:rPr>
          <w:rFonts w:ascii="Calibri" w:eastAsia="Calibri" w:hAnsi="Calibri" w:cs="Calibri"/>
          <w:sz w:val="20"/>
          <w:szCs w:val="20"/>
          <w:lang w:val="fr-BE"/>
        </w:rPr>
        <w:t xml:space="preserve"> L’étude n’a toutefois pas mené à une ventilation mineurs/majeurs. L’OE n’a pas pu communiquer plus d‘informations vu que cela nécessiterait une étude de dossiers intensive.</w:t>
      </w:r>
    </w:p>
    <w:p w:rsidR="00AC12B4" w:rsidRPr="00C27636" w:rsidRDefault="00C27636">
      <w:pPr>
        <w:spacing w:line="20" w:lineRule="exact"/>
        <w:rPr>
          <w:rFonts w:ascii="Symbol" w:eastAsia="Symbol" w:hAnsi="Symbol" w:cs="Symbol"/>
          <w:sz w:val="20"/>
          <w:szCs w:val="20"/>
          <w:lang w:val="fr-BE"/>
        </w:rPr>
      </w:pPr>
      <w:r>
        <w:rPr>
          <w:rFonts w:ascii="Symbol" w:eastAsia="Symbol" w:hAnsi="Symbol" w:cs="Symbol"/>
          <w:noProof/>
          <w:sz w:val="20"/>
          <w:szCs w:val="20"/>
        </w:rPr>
        <mc:AlternateContent>
          <mc:Choice Requires="wps">
            <w:drawing>
              <wp:anchor distT="0" distB="0" distL="114300" distR="114300" simplePos="0" relativeHeight="251935232" behindDoc="1" locked="0" layoutInCell="0" allowOverlap="1">
                <wp:simplePos x="0" y="0"/>
                <wp:positionH relativeFrom="column">
                  <wp:posOffset>359410</wp:posOffset>
                </wp:positionH>
                <wp:positionV relativeFrom="paragraph">
                  <wp:posOffset>2891790</wp:posOffset>
                </wp:positionV>
                <wp:extent cx="1829435" cy="0"/>
                <wp:effectExtent l="0" t="0" r="0" b="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227.7pt" to="172.35pt,227.7pt" o:allowincell="f" strokecolor="#000000" strokeweight="0.7199pt"/>
            </w:pict>
          </mc:Fallback>
        </mc:AlternateContent>
      </w: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00" w:lineRule="exact"/>
        <w:rPr>
          <w:rFonts w:ascii="Symbol" w:eastAsia="Symbol" w:hAnsi="Symbol" w:cs="Symbol"/>
          <w:sz w:val="20"/>
          <w:szCs w:val="20"/>
          <w:lang w:val="fr-BE"/>
        </w:rPr>
      </w:pPr>
    </w:p>
    <w:p w:rsidR="00AC12B4" w:rsidRPr="00C27636" w:rsidRDefault="00AC12B4">
      <w:pPr>
        <w:spacing w:line="237" w:lineRule="exact"/>
        <w:rPr>
          <w:rFonts w:ascii="Symbol" w:eastAsia="Symbol" w:hAnsi="Symbol" w:cs="Symbol"/>
          <w:sz w:val="20"/>
          <w:szCs w:val="20"/>
          <w:lang w:val="fr-BE"/>
        </w:rPr>
      </w:pPr>
    </w:p>
    <w:p w:rsidR="00AC12B4" w:rsidRPr="00C27636" w:rsidRDefault="00C27636">
      <w:pPr>
        <w:tabs>
          <w:tab w:val="left" w:pos="760"/>
        </w:tabs>
        <w:ind w:left="560"/>
        <w:rPr>
          <w:sz w:val="20"/>
          <w:szCs w:val="20"/>
          <w:lang w:val="fr-BE"/>
        </w:rPr>
      </w:pPr>
      <w:r w:rsidRPr="00C27636">
        <w:rPr>
          <w:rFonts w:ascii="Calibri" w:eastAsia="Calibri" w:hAnsi="Calibri" w:cs="Calibri"/>
          <w:sz w:val="26"/>
          <w:szCs w:val="26"/>
          <w:vertAlign w:val="superscript"/>
          <w:lang w:val="fr-BE"/>
        </w:rPr>
        <w:t>6</w:t>
      </w:r>
      <w:r w:rsidRPr="00C27636">
        <w:rPr>
          <w:sz w:val="20"/>
          <w:szCs w:val="20"/>
          <w:lang w:val="fr-BE"/>
        </w:rPr>
        <w:tab/>
      </w:r>
      <w:r w:rsidRPr="00C27636">
        <w:rPr>
          <w:rFonts w:ascii="Calibri" w:eastAsia="Calibri" w:hAnsi="Calibri" w:cs="Calibri"/>
          <w:sz w:val="20"/>
          <w:szCs w:val="20"/>
          <w:lang w:val="fr-BE"/>
        </w:rPr>
        <w:t xml:space="preserve">Myria,  </w:t>
      </w:r>
      <w:r w:rsidRPr="00C27636">
        <w:rPr>
          <w:rFonts w:ascii="Calibri" w:eastAsia="Calibri" w:hAnsi="Calibri" w:cs="Calibri"/>
          <w:i/>
          <w:iCs/>
          <w:sz w:val="20"/>
          <w:szCs w:val="20"/>
          <w:lang w:val="fr-BE"/>
        </w:rPr>
        <w:t>Rapport  annuel  Traite  des  êtres</w:t>
      </w:r>
    </w:p>
    <w:p w:rsidR="00AC12B4" w:rsidRPr="00C27636" w:rsidRDefault="00AC12B4">
      <w:pPr>
        <w:spacing w:line="49" w:lineRule="exact"/>
        <w:rPr>
          <w:rFonts w:ascii="Symbol" w:eastAsia="Symbol" w:hAnsi="Symbol" w:cs="Symbol"/>
          <w:sz w:val="20"/>
          <w:szCs w:val="20"/>
          <w:lang w:val="fr-BE"/>
        </w:rPr>
      </w:pPr>
    </w:p>
    <w:p w:rsidR="00AC12B4" w:rsidRDefault="00C27636">
      <w:pPr>
        <w:ind w:left="560"/>
        <w:rPr>
          <w:sz w:val="20"/>
          <w:szCs w:val="20"/>
        </w:rPr>
      </w:pPr>
      <w:r>
        <w:rPr>
          <w:rFonts w:ascii="Calibri" w:eastAsia="Calibri" w:hAnsi="Calibri" w:cs="Calibri"/>
          <w:i/>
          <w:iCs/>
          <w:sz w:val="20"/>
          <w:szCs w:val="20"/>
        </w:rPr>
        <w:t xml:space="preserve">humains </w:t>
      </w:r>
      <w:r>
        <w:rPr>
          <w:rFonts w:ascii="Calibri" w:eastAsia="Calibri" w:hAnsi="Calibri" w:cs="Calibri"/>
          <w:i/>
          <w:iCs/>
          <w:sz w:val="20"/>
          <w:szCs w:val="20"/>
        </w:rPr>
        <w:t>2015</w:t>
      </w:r>
      <w:r>
        <w:rPr>
          <w:rFonts w:ascii="Calibri" w:eastAsia="Calibri" w:hAnsi="Calibri" w:cs="Calibri"/>
          <w:sz w:val="20"/>
          <w:szCs w:val="20"/>
        </w:rPr>
        <w:t>, p. 150, tableau 20.</w:t>
      </w:r>
    </w:p>
    <w:p w:rsidR="00AC12B4" w:rsidRDefault="00AC12B4">
      <w:pPr>
        <w:spacing w:line="254" w:lineRule="exact"/>
        <w:rPr>
          <w:rFonts w:ascii="Symbol" w:eastAsia="Symbol" w:hAnsi="Symbol" w:cs="Symbol"/>
          <w:sz w:val="20"/>
          <w:szCs w:val="20"/>
        </w:rPr>
      </w:pPr>
    </w:p>
    <w:p w:rsidR="00AC12B4" w:rsidRDefault="00C27636">
      <w:pPr>
        <w:ind w:left="494"/>
        <w:jc w:val="center"/>
        <w:rPr>
          <w:sz w:val="20"/>
          <w:szCs w:val="20"/>
        </w:rPr>
      </w:pPr>
      <w:r>
        <w:rPr>
          <w:rFonts w:ascii="Calibri" w:eastAsia="Calibri" w:hAnsi="Calibri" w:cs="Calibri"/>
          <w:sz w:val="21"/>
          <w:szCs w:val="21"/>
        </w:rPr>
        <w:t>199</w:t>
      </w:r>
    </w:p>
    <w:p w:rsidR="00AC12B4" w:rsidRDefault="00C27636">
      <w:pPr>
        <w:spacing w:line="20" w:lineRule="exact"/>
        <w:rPr>
          <w:rFonts w:ascii="Symbol" w:eastAsia="Symbol" w:hAnsi="Symbol" w:cs="Symbol"/>
          <w:sz w:val="20"/>
          <w:szCs w:val="20"/>
        </w:rPr>
      </w:pPr>
      <w:r>
        <w:rPr>
          <w:rFonts w:ascii="Symbol" w:eastAsia="Symbol" w:hAnsi="Symbol" w:cs="Symbol"/>
          <w:sz w:val="20"/>
          <w:szCs w:val="20"/>
        </w:rPr>
        <w:br w:type="column"/>
      </w: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00" w:lineRule="exact"/>
        <w:rPr>
          <w:rFonts w:ascii="Symbol" w:eastAsia="Symbol" w:hAnsi="Symbol" w:cs="Symbol"/>
          <w:sz w:val="20"/>
          <w:szCs w:val="20"/>
        </w:rPr>
      </w:pPr>
    </w:p>
    <w:p w:rsidR="00AC12B4" w:rsidRDefault="00AC12B4">
      <w:pPr>
        <w:spacing w:line="259" w:lineRule="exact"/>
        <w:rPr>
          <w:rFonts w:ascii="Symbol" w:eastAsia="Symbol" w:hAnsi="Symbol" w:cs="Symbol"/>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Les droits des mineurs étrangers</w:t>
            </w:r>
          </w:p>
        </w:tc>
      </w:tr>
    </w:tbl>
    <w:p w:rsidR="00AC12B4" w:rsidRPr="00C27636" w:rsidRDefault="00C27636">
      <w:pPr>
        <w:spacing w:line="20" w:lineRule="exact"/>
        <w:rPr>
          <w:rFonts w:ascii="Symbol" w:eastAsia="Symbol" w:hAnsi="Symbol" w:cs="Symbol"/>
          <w:sz w:val="20"/>
          <w:szCs w:val="20"/>
          <w:lang w:val="fr-BE"/>
        </w:rPr>
      </w:pPr>
      <w:r>
        <w:rPr>
          <w:rFonts w:ascii="Symbol" w:eastAsia="Symbol" w:hAnsi="Symbol" w:cs="Symbol"/>
          <w:noProof/>
          <w:sz w:val="20"/>
          <w:szCs w:val="20"/>
        </w:rPr>
        <mc:AlternateContent>
          <mc:Choice Requires="wps">
            <w:drawing>
              <wp:anchor distT="0" distB="0" distL="114300" distR="114300" simplePos="0" relativeHeight="251936256" behindDoc="1" locked="0" layoutInCell="0" allowOverlap="1">
                <wp:simplePos x="0" y="0"/>
                <wp:positionH relativeFrom="column">
                  <wp:posOffset>-219075</wp:posOffset>
                </wp:positionH>
                <wp:positionV relativeFrom="paragraph">
                  <wp:posOffset>-9943465</wp:posOffset>
                </wp:positionV>
                <wp:extent cx="734060" cy="10905490"/>
                <wp:effectExtent l="0" t="0" r="0" b="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5490"/>
                        </a:xfrm>
                        <a:prstGeom prst="rect">
                          <a:avLst/>
                        </a:prstGeom>
                        <a:solidFill>
                          <a:srgbClr val="159DCF"/>
                        </a:solidFill>
                      </wps:spPr>
                      <wps:bodyPr/>
                    </wps:wsp>
                  </a:graphicData>
                </a:graphic>
              </wp:anchor>
            </w:drawing>
          </mc:Choice>
          <mc:Fallback>
            <w:pict>
              <v:rect id="Shape 606" o:spid="_x0000_s1631" style="position:absolute;margin-left:-17.2499pt;margin-top:-782.9499pt;width:57.8pt;height:85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59DCF" stroked="f"/>
            </w:pict>
          </mc:Fallback>
        </mc:AlternateContent>
      </w:r>
    </w:p>
    <w:p w:rsidR="00AC12B4" w:rsidRPr="00C27636" w:rsidRDefault="00AC12B4">
      <w:pPr>
        <w:rPr>
          <w:lang w:val="fr-BE"/>
        </w:rPr>
        <w:sectPr w:rsidR="00AC12B4" w:rsidRPr="00C27636">
          <w:pgSz w:w="12080" w:h="17179"/>
          <w:pgMar w:top="1440" w:right="481" w:bottom="659" w:left="1440" w:header="0" w:footer="0" w:gutter="0"/>
          <w:cols w:num="2" w:space="720" w:equalWidth="0">
            <w:col w:w="9106" w:space="720"/>
            <w:col w:w="330"/>
          </w:cols>
        </w:sectPr>
      </w:pPr>
    </w:p>
    <w:p w:rsidR="00AC12B4" w:rsidRPr="00C27636" w:rsidRDefault="00AC12B4">
      <w:pPr>
        <w:spacing w:line="20" w:lineRule="exact"/>
        <w:rPr>
          <w:sz w:val="20"/>
          <w:szCs w:val="20"/>
          <w:lang w:val="fr-BE"/>
        </w:rPr>
      </w:pPr>
      <w:bookmarkStart w:id="200" w:name="page200"/>
      <w:bookmarkEnd w:id="200"/>
    </w:p>
    <w:p w:rsidR="00AC12B4" w:rsidRPr="00C27636" w:rsidRDefault="00AC12B4">
      <w:pPr>
        <w:rPr>
          <w:lang w:val="fr-BE"/>
        </w:rPr>
        <w:sectPr w:rsidR="00AC12B4" w:rsidRPr="00C27636">
          <w:pgSz w:w="12080" w:h="17179"/>
          <w:pgMar w:top="1440" w:right="1440" w:bottom="875" w:left="1440" w:header="0" w:footer="0" w:gutter="0"/>
          <w:cols w:space="0"/>
        </w:sectPr>
      </w:pPr>
    </w:p>
    <w:bookmarkStart w:id="201" w:name="page201"/>
    <w:bookmarkEnd w:id="201"/>
    <w:p w:rsidR="00AC12B4" w:rsidRPr="00C27636" w:rsidRDefault="00C27636">
      <w:pPr>
        <w:spacing w:line="168" w:lineRule="exact"/>
        <w:rPr>
          <w:sz w:val="20"/>
          <w:szCs w:val="20"/>
          <w:lang w:val="fr-BE"/>
        </w:rPr>
      </w:pPr>
      <w:r>
        <w:rPr>
          <w:noProof/>
          <w:sz w:val="20"/>
          <w:szCs w:val="20"/>
        </w:rPr>
        <mc:AlternateContent>
          <mc:Choice Requires="wps">
            <w:drawing>
              <wp:anchor distT="0" distB="0" distL="114300" distR="114300" simplePos="0" relativeHeight="251937280" behindDoc="1" locked="0" layoutInCell="0" allowOverlap="1">
                <wp:simplePos x="0" y="0"/>
                <wp:positionH relativeFrom="page">
                  <wp:posOffset>6934200</wp:posOffset>
                </wp:positionH>
                <wp:positionV relativeFrom="page">
                  <wp:posOffset>0</wp:posOffset>
                </wp:positionV>
                <wp:extent cx="734060" cy="10905490"/>
                <wp:effectExtent l="0" t="0" r="0" b="0"/>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5490"/>
                        </a:xfrm>
                        <a:prstGeom prst="rect">
                          <a:avLst/>
                        </a:prstGeom>
                        <a:solidFill>
                          <a:srgbClr val="159DCF"/>
                        </a:solidFill>
                      </wps:spPr>
                      <wps:bodyPr/>
                    </wps:wsp>
                  </a:graphicData>
                </a:graphic>
              </wp:anchor>
            </w:drawing>
          </mc:Choice>
          <mc:Fallback>
            <w:pict>
              <v:rect id="Shape 607" o:spid="_x0000_s1632" style="position:absolute;margin-left:546pt;margin-top:0pt;width:57.8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Pr="00C27636" w:rsidRDefault="00C27636">
      <w:pPr>
        <w:spacing w:line="276" w:lineRule="auto"/>
        <w:ind w:left="880" w:right="1135"/>
        <w:rPr>
          <w:sz w:val="20"/>
          <w:szCs w:val="20"/>
          <w:lang w:val="fr-BE"/>
        </w:rPr>
      </w:pPr>
      <w:r w:rsidRPr="00C27636">
        <w:rPr>
          <w:rFonts w:ascii="Comic Sans MS" w:eastAsia="Comic Sans MS" w:hAnsi="Comic Sans MS" w:cs="Comic Sans MS"/>
          <w:color w:val="159DCF"/>
          <w:sz w:val="40"/>
          <w:szCs w:val="40"/>
          <w:lang w:val="fr-BE"/>
        </w:rPr>
        <w:t>ME3. Participation dans des procédures de séjour</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38304" behindDoc="1" locked="0" layoutInCell="0" allowOverlap="1">
                <wp:simplePos x="0" y="0"/>
                <wp:positionH relativeFrom="column">
                  <wp:posOffset>-351155</wp:posOffset>
                </wp:positionH>
                <wp:positionV relativeFrom="paragraph">
                  <wp:posOffset>142875</wp:posOffset>
                </wp:positionV>
                <wp:extent cx="3559810" cy="3221355"/>
                <wp:effectExtent l="0" t="0" r="0" b="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3221355"/>
                        </a:xfrm>
                        <a:prstGeom prst="rect">
                          <a:avLst/>
                        </a:prstGeom>
                        <a:solidFill>
                          <a:srgbClr val="159DCF"/>
                        </a:solidFill>
                      </wps:spPr>
                      <wps:bodyPr/>
                    </wps:wsp>
                  </a:graphicData>
                </a:graphic>
              </wp:anchor>
            </w:drawing>
          </mc:Choice>
          <mc:Fallback>
            <w:pict>
              <v:rect id="Shape 608" o:spid="_x0000_s1633" style="position:absolute;margin-left:-27.6499pt;margin-top:11.25pt;width:280.3pt;height:25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59DCF" stroked="f"/>
            </w:pict>
          </mc:Fallback>
        </mc:AlternateContent>
      </w:r>
      <w:r>
        <w:rPr>
          <w:noProof/>
          <w:sz w:val="20"/>
          <w:szCs w:val="20"/>
        </w:rPr>
        <mc:AlternateContent>
          <mc:Choice Requires="wps">
            <w:drawing>
              <wp:anchor distT="0" distB="0" distL="114300" distR="114300" simplePos="0" relativeHeight="251939328" behindDoc="1" locked="0" layoutInCell="0" allowOverlap="1">
                <wp:simplePos x="0" y="0"/>
                <wp:positionH relativeFrom="column">
                  <wp:posOffset>3208655</wp:posOffset>
                </wp:positionH>
                <wp:positionV relativeFrom="paragraph">
                  <wp:posOffset>130175</wp:posOffset>
                </wp:positionV>
                <wp:extent cx="0" cy="3246755"/>
                <wp:effectExtent l="0" t="0" r="0" b="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246755"/>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10.25pt" to="252.65pt,265.9pt" o:allowincell="f" strokecolor="#0F6D8F" strokeweight="2pt"/>
            </w:pict>
          </mc:Fallback>
        </mc:AlternateContent>
      </w:r>
      <w:r>
        <w:rPr>
          <w:noProof/>
          <w:sz w:val="20"/>
          <w:szCs w:val="20"/>
        </w:rPr>
        <mc:AlternateContent>
          <mc:Choice Requires="wps">
            <w:drawing>
              <wp:anchor distT="0" distB="0" distL="114300" distR="114300" simplePos="0" relativeHeight="251940352" behindDoc="1" locked="0" layoutInCell="0" allowOverlap="1">
                <wp:simplePos x="0" y="0"/>
                <wp:positionH relativeFrom="column">
                  <wp:posOffset>-363855</wp:posOffset>
                </wp:positionH>
                <wp:positionV relativeFrom="paragraph">
                  <wp:posOffset>142875</wp:posOffset>
                </wp:positionV>
                <wp:extent cx="3585210" cy="0"/>
                <wp:effectExtent l="0" t="0" r="0" b="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1.25pt" to="253.65pt,11.25pt" o:allowincell="f" strokecolor="#0F6D8F" strokeweight="2pt"/>
            </w:pict>
          </mc:Fallback>
        </mc:AlternateContent>
      </w:r>
      <w:r>
        <w:rPr>
          <w:noProof/>
          <w:sz w:val="20"/>
          <w:szCs w:val="20"/>
        </w:rPr>
        <mc:AlternateContent>
          <mc:Choice Requires="wps">
            <w:drawing>
              <wp:anchor distT="0" distB="0" distL="114300" distR="114300" simplePos="0" relativeHeight="251941376" behindDoc="1" locked="0" layoutInCell="0" allowOverlap="1">
                <wp:simplePos x="0" y="0"/>
                <wp:positionH relativeFrom="column">
                  <wp:posOffset>-351155</wp:posOffset>
                </wp:positionH>
                <wp:positionV relativeFrom="paragraph">
                  <wp:posOffset>130175</wp:posOffset>
                </wp:positionV>
                <wp:extent cx="0" cy="3246755"/>
                <wp:effectExtent l="0" t="0" r="0" b="0"/>
                <wp:wrapNone/>
                <wp:docPr id="611" name="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246755"/>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11" o:spid="_x0000_s16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0.25pt" to="-27.6499pt,265.9pt" o:allowincell="f" strokecolor="#0F6D8F" strokeweight="2pt"/>
            </w:pict>
          </mc:Fallback>
        </mc:AlternateContent>
      </w:r>
      <w:r>
        <w:rPr>
          <w:noProof/>
          <w:sz w:val="20"/>
          <w:szCs w:val="20"/>
        </w:rPr>
        <mc:AlternateContent>
          <mc:Choice Requires="wps">
            <w:drawing>
              <wp:anchor distT="0" distB="0" distL="114300" distR="114300" simplePos="0" relativeHeight="251942400" behindDoc="1" locked="0" layoutInCell="0" allowOverlap="1">
                <wp:simplePos x="0" y="0"/>
                <wp:positionH relativeFrom="column">
                  <wp:posOffset>-363855</wp:posOffset>
                </wp:positionH>
                <wp:positionV relativeFrom="paragraph">
                  <wp:posOffset>3364230</wp:posOffset>
                </wp:positionV>
                <wp:extent cx="3585210" cy="0"/>
                <wp:effectExtent l="0" t="0" r="0" b="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264.9pt" to="253.65pt,264.9pt" o:allowincell="f" strokecolor="#0F6D8F" strokeweight="2pt"/>
            </w:pict>
          </mc:Fallback>
        </mc:AlternateContent>
      </w:r>
    </w:p>
    <w:p w:rsidR="00AC12B4" w:rsidRPr="00C27636" w:rsidRDefault="00AC12B4">
      <w:pPr>
        <w:rPr>
          <w:lang w:val="fr-BE"/>
        </w:rPr>
        <w:sectPr w:rsidR="00AC12B4" w:rsidRPr="00C27636">
          <w:pgSz w:w="12080" w:h="17179"/>
          <w:pgMar w:top="1440" w:right="481" w:bottom="659" w:left="1120" w:header="0" w:footer="0" w:gutter="0"/>
          <w:cols w:space="720" w:equalWidth="0">
            <w:col w:w="10475"/>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95" w:lineRule="exact"/>
        <w:rPr>
          <w:sz w:val="20"/>
          <w:szCs w:val="20"/>
          <w:lang w:val="fr-BE"/>
        </w:rPr>
      </w:pPr>
    </w:p>
    <w:p w:rsidR="00AC12B4" w:rsidRDefault="00C27636">
      <w:pPr>
        <w:rPr>
          <w:sz w:val="20"/>
          <w:szCs w:val="20"/>
        </w:rPr>
      </w:pPr>
      <w:r>
        <w:rPr>
          <w:rFonts w:ascii="Calibri" w:eastAsia="Calibri" w:hAnsi="Calibri" w:cs="Calibri"/>
          <w:i/>
          <w:iCs/>
          <w:color w:val="DAEEF3"/>
        </w:rPr>
        <w:t>Article 12 CIDE</w:t>
      </w:r>
    </w:p>
    <w:p w:rsidR="00AC12B4" w:rsidRDefault="00AC12B4">
      <w:pPr>
        <w:spacing w:line="169" w:lineRule="exact"/>
        <w:rPr>
          <w:sz w:val="20"/>
          <w:szCs w:val="20"/>
        </w:rPr>
      </w:pPr>
    </w:p>
    <w:p w:rsidR="00AC12B4" w:rsidRPr="00C27636" w:rsidRDefault="00C27636">
      <w:pPr>
        <w:numPr>
          <w:ilvl w:val="0"/>
          <w:numId w:val="386"/>
        </w:numPr>
        <w:tabs>
          <w:tab w:val="left" w:pos="280"/>
        </w:tabs>
        <w:spacing w:line="232" w:lineRule="auto"/>
        <w:ind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Les Etats parties garantissent à l’enfant qui est capable de discernement le droit d’exprimer librement son opinion sur toute question l’intéressant, les opinions de l’enfant étant dûment prises en considération eu égard à son âge et à son degré de </w:t>
      </w:r>
      <w:r w:rsidRPr="00C27636">
        <w:rPr>
          <w:rFonts w:ascii="Calibri" w:eastAsia="Calibri" w:hAnsi="Calibri" w:cs="Calibri"/>
          <w:i/>
          <w:iCs/>
          <w:color w:val="DAEEF3"/>
          <w:lang w:val="fr-BE"/>
        </w:rPr>
        <w:t>maturité.</w:t>
      </w:r>
    </w:p>
    <w:p w:rsidR="00AC12B4" w:rsidRPr="00C27636" w:rsidRDefault="00AC12B4">
      <w:pPr>
        <w:spacing w:line="173" w:lineRule="exact"/>
        <w:rPr>
          <w:rFonts w:ascii="Calibri" w:eastAsia="Calibri" w:hAnsi="Calibri" w:cs="Calibri"/>
          <w:i/>
          <w:iCs/>
          <w:color w:val="DAEEF3"/>
          <w:lang w:val="fr-BE"/>
        </w:rPr>
      </w:pPr>
    </w:p>
    <w:p w:rsidR="00AC12B4" w:rsidRPr="00C27636" w:rsidRDefault="00C27636">
      <w:pPr>
        <w:numPr>
          <w:ilvl w:val="0"/>
          <w:numId w:val="386"/>
        </w:numPr>
        <w:tabs>
          <w:tab w:val="left" w:pos="264"/>
        </w:tabs>
        <w:spacing w:line="233" w:lineRule="auto"/>
        <w:ind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A cette fin, on donnera notamment à l’enfant la possibilité d’être entendu dans toute procédure judiciaire ou administrative l’intéressant, soit directement, soit par l’intermédiaire d’un représentant ou d’une organisation approprié, de façon co</w:t>
      </w:r>
      <w:r w:rsidRPr="00C27636">
        <w:rPr>
          <w:rFonts w:ascii="Calibri" w:eastAsia="Calibri" w:hAnsi="Calibri" w:cs="Calibri"/>
          <w:i/>
          <w:iCs/>
          <w:color w:val="DAEEF3"/>
          <w:lang w:val="fr-BE"/>
        </w:rPr>
        <w:t>mpatible avec les règles de procédure de la législation nationale.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7" w:lineRule="exact"/>
        <w:rPr>
          <w:sz w:val="20"/>
          <w:szCs w:val="20"/>
          <w:lang w:val="fr-BE"/>
        </w:rPr>
      </w:pPr>
    </w:p>
    <w:p w:rsidR="00AC12B4" w:rsidRPr="00C27636" w:rsidRDefault="00C27636">
      <w:pPr>
        <w:spacing w:line="229" w:lineRule="auto"/>
        <w:ind w:left="880" w:right="140"/>
        <w:jc w:val="both"/>
        <w:rPr>
          <w:sz w:val="20"/>
          <w:szCs w:val="20"/>
          <w:lang w:val="fr-BE"/>
        </w:rPr>
      </w:pPr>
      <w:r w:rsidRPr="00C27636">
        <w:rPr>
          <w:rFonts w:ascii="Calibri" w:eastAsia="Calibri" w:hAnsi="Calibri" w:cs="Calibri"/>
          <w:lang w:val="fr-BE"/>
        </w:rPr>
        <w:t>Conformément aux articles 12 et suivants de l'observation générale n° 12 du Comité des droits de l'enfant (2009), chaque enfant a le droit d'avoir sa propre opinion,</w:t>
      </w:r>
    </w:p>
    <w:p w:rsidR="00AC12B4" w:rsidRPr="00C27636" w:rsidRDefault="00AC12B4">
      <w:pPr>
        <w:spacing w:line="51" w:lineRule="exact"/>
        <w:rPr>
          <w:sz w:val="20"/>
          <w:szCs w:val="20"/>
          <w:lang w:val="fr-BE"/>
        </w:rPr>
      </w:pPr>
    </w:p>
    <w:p w:rsidR="00AC12B4" w:rsidRPr="00C27636" w:rsidRDefault="00C27636">
      <w:pPr>
        <w:numPr>
          <w:ilvl w:val="0"/>
          <w:numId w:val="387"/>
        </w:numPr>
        <w:tabs>
          <w:tab w:val="left" w:pos="1048"/>
        </w:tabs>
        <w:spacing w:line="235" w:lineRule="auto"/>
        <w:ind w:left="880" w:right="140" w:firstLine="7"/>
        <w:jc w:val="both"/>
        <w:rPr>
          <w:rFonts w:ascii="Calibri" w:eastAsia="Calibri" w:hAnsi="Calibri" w:cs="Calibri"/>
          <w:lang w:val="fr-BE"/>
        </w:rPr>
      </w:pPr>
      <w:r w:rsidRPr="00C27636">
        <w:rPr>
          <w:rFonts w:ascii="Calibri" w:eastAsia="Calibri" w:hAnsi="Calibri" w:cs="Calibri"/>
          <w:lang w:val="fr-BE"/>
        </w:rPr>
        <w:t>laquelle on accor</w:t>
      </w:r>
      <w:r w:rsidRPr="00C27636">
        <w:rPr>
          <w:rFonts w:ascii="Calibri" w:eastAsia="Calibri" w:hAnsi="Calibri" w:cs="Calibri"/>
          <w:lang w:val="fr-BE"/>
        </w:rPr>
        <w:t>de un intérêt adapté en fonction de son âge ou de sa maturité. Dans le cadre de ses observations finales de 2010, le Comité des droits de l'enfant de l'ONU a encouragé la Belgique à promouvoir la participation de tous les enfants à tous les niveaux du gouv</w:t>
      </w:r>
      <w:r w:rsidRPr="00C27636">
        <w:rPr>
          <w:rFonts w:ascii="Calibri" w:eastAsia="Calibri" w:hAnsi="Calibri" w:cs="Calibri"/>
          <w:lang w:val="fr-BE"/>
        </w:rPr>
        <w:t>ernement ainsi qu’au sein de la famille, de l’école et de la communauté, en</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43424" behindDoc="1" locked="0" layoutInCell="0" allowOverlap="1">
                <wp:simplePos x="0" y="0"/>
                <wp:positionH relativeFrom="column">
                  <wp:posOffset>3057525</wp:posOffset>
                </wp:positionH>
                <wp:positionV relativeFrom="paragraph">
                  <wp:posOffset>147955</wp:posOffset>
                </wp:positionV>
                <wp:extent cx="0" cy="2115185"/>
                <wp:effectExtent l="0" t="0" r="0" b="0"/>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15185"/>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613" o:spid="_x0000_s16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75pt,11.65pt" to="240.75pt,178.2pt" o:allowincell="f" strokecolor="#159DCF" strokeweight="2pt"/>
            </w:pict>
          </mc:Fallback>
        </mc:AlternateContent>
      </w:r>
      <w:r>
        <w:rPr>
          <w:noProof/>
          <w:sz w:val="20"/>
          <w:szCs w:val="20"/>
        </w:rPr>
        <mc:AlternateContent>
          <mc:Choice Requires="wps">
            <w:drawing>
              <wp:anchor distT="0" distB="0" distL="114300" distR="114300" simplePos="0" relativeHeight="251944448" behindDoc="1" locked="0" layoutInCell="0" allowOverlap="1">
                <wp:simplePos x="0" y="0"/>
                <wp:positionH relativeFrom="column">
                  <wp:posOffset>34925</wp:posOffset>
                </wp:positionH>
                <wp:positionV relativeFrom="paragraph">
                  <wp:posOffset>160655</wp:posOffset>
                </wp:positionV>
                <wp:extent cx="3035300" cy="0"/>
                <wp:effectExtent l="0" t="0" r="0" b="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5300" cy="4763"/>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12.65pt" to="241.75pt,12.65pt" o:allowincell="f" strokecolor="#159DCF" strokeweight="2pt"/>
            </w:pict>
          </mc:Fallback>
        </mc:AlternateContent>
      </w:r>
      <w:r>
        <w:rPr>
          <w:noProof/>
          <w:sz w:val="20"/>
          <w:szCs w:val="20"/>
        </w:rPr>
        <mc:AlternateContent>
          <mc:Choice Requires="wps">
            <w:drawing>
              <wp:anchor distT="0" distB="0" distL="114300" distR="114300" simplePos="0" relativeHeight="251945472" behindDoc="1" locked="0" layoutInCell="0" allowOverlap="1">
                <wp:simplePos x="0" y="0"/>
                <wp:positionH relativeFrom="column">
                  <wp:posOffset>47625</wp:posOffset>
                </wp:positionH>
                <wp:positionV relativeFrom="paragraph">
                  <wp:posOffset>147955</wp:posOffset>
                </wp:positionV>
                <wp:extent cx="0" cy="2115185"/>
                <wp:effectExtent l="0" t="0" r="0" b="0"/>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15185"/>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1.65pt" to="3.75pt,178.2pt" o:allowincell="f" strokecolor="#159DCF" strokeweight="2pt"/>
            </w:pict>
          </mc:Fallback>
        </mc:AlternateContent>
      </w:r>
      <w:r>
        <w:rPr>
          <w:noProof/>
          <w:sz w:val="20"/>
          <w:szCs w:val="20"/>
        </w:rPr>
        <mc:AlternateContent>
          <mc:Choice Requires="wps">
            <w:drawing>
              <wp:anchor distT="0" distB="0" distL="114300" distR="114300" simplePos="0" relativeHeight="251946496" behindDoc="1" locked="0" layoutInCell="0" allowOverlap="1">
                <wp:simplePos x="0" y="0"/>
                <wp:positionH relativeFrom="column">
                  <wp:posOffset>34925</wp:posOffset>
                </wp:positionH>
                <wp:positionV relativeFrom="paragraph">
                  <wp:posOffset>2250440</wp:posOffset>
                </wp:positionV>
                <wp:extent cx="3035300" cy="0"/>
                <wp:effectExtent l="0" t="0" r="0" b="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5300" cy="4763"/>
                        </a:xfrm>
                        <a:prstGeom prst="line">
                          <a:avLst/>
                        </a:prstGeom>
                        <a:solidFill>
                          <a:srgbClr val="FFFFFF"/>
                        </a:solidFill>
                        <a:ln w="25400">
                          <a:solidFill>
                            <a:srgbClr val="159DCF"/>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177.2pt" to="241.75pt,177.2pt" o:allowincell="f" strokecolor="#159DCF" strokeweight="2pt"/>
            </w:pict>
          </mc:Fallback>
        </mc:AlternateContent>
      </w:r>
    </w:p>
    <w:p w:rsidR="00AC12B4" w:rsidRPr="00C27636" w:rsidRDefault="00AC12B4">
      <w:pPr>
        <w:spacing w:line="325" w:lineRule="exact"/>
        <w:rPr>
          <w:sz w:val="20"/>
          <w:szCs w:val="20"/>
          <w:lang w:val="fr-BE"/>
        </w:rPr>
      </w:pPr>
    </w:p>
    <w:p w:rsidR="00AC12B4" w:rsidRPr="00C27636" w:rsidRDefault="00C27636">
      <w:pPr>
        <w:ind w:left="580"/>
        <w:rPr>
          <w:sz w:val="20"/>
          <w:szCs w:val="20"/>
          <w:lang w:val="fr-BE"/>
        </w:rPr>
      </w:pPr>
      <w:r w:rsidRPr="00C27636">
        <w:rPr>
          <w:rFonts w:eastAsia="Times New Roman"/>
          <w:b/>
          <w:bCs/>
          <w:color w:val="159DCF"/>
          <w:lang w:val="fr-BE"/>
        </w:rPr>
        <w:t>Items à reprendre dans l’enquête CNDE:</w:t>
      </w:r>
    </w:p>
    <w:p w:rsidR="00AC12B4" w:rsidRPr="00C27636" w:rsidRDefault="00AC12B4">
      <w:pPr>
        <w:spacing w:line="273" w:lineRule="exact"/>
        <w:rPr>
          <w:sz w:val="20"/>
          <w:szCs w:val="20"/>
          <w:lang w:val="fr-BE"/>
        </w:rPr>
      </w:pPr>
    </w:p>
    <w:p w:rsidR="00AC12B4" w:rsidRPr="00C27636" w:rsidRDefault="00C27636">
      <w:pPr>
        <w:numPr>
          <w:ilvl w:val="0"/>
          <w:numId w:val="388"/>
        </w:numPr>
        <w:tabs>
          <w:tab w:val="left" w:pos="358"/>
        </w:tabs>
        <w:spacing w:line="303" w:lineRule="auto"/>
        <w:ind w:left="240" w:right="1000" w:firstLine="1"/>
        <w:rPr>
          <w:rFonts w:ascii="Calibri" w:eastAsia="Calibri" w:hAnsi="Calibri" w:cs="Calibri"/>
          <w:lang w:val="fr-BE"/>
        </w:rPr>
      </w:pPr>
      <w:r w:rsidRPr="00C27636">
        <w:rPr>
          <w:rFonts w:ascii="Calibri" w:eastAsia="Calibri" w:hAnsi="Calibri" w:cs="Calibri"/>
          <w:lang w:val="fr-BE"/>
        </w:rPr>
        <w:t>sentiment d’être suffisamment informé -Sentiment d’être réellement entendu</w:t>
      </w:r>
    </w:p>
    <w:p w:rsidR="00AC12B4" w:rsidRPr="00C27636" w:rsidRDefault="00AC12B4">
      <w:pPr>
        <w:spacing w:line="100" w:lineRule="exact"/>
        <w:rPr>
          <w:sz w:val="20"/>
          <w:szCs w:val="20"/>
          <w:lang w:val="fr-BE"/>
        </w:rPr>
      </w:pPr>
    </w:p>
    <w:p w:rsidR="00AC12B4" w:rsidRPr="00C27636" w:rsidRDefault="00C27636">
      <w:pPr>
        <w:spacing w:line="232" w:lineRule="auto"/>
        <w:ind w:left="240" w:right="240"/>
        <w:jc w:val="both"/>
        <w:rPr>
          <w:sz w:val="20"/>
          <w:szCs w:val="20"/>
          <w:lang w:val="fr-BE"/>
        </w:rPr>
      </w:pPr>
      <w:r w:rsidRPr="00C27636">
        <w:rPr>
          <w:rFonts w:ascii="Calibri" w:eastAsia="Calibri" w:hAnsi="Calibri" w:cs="Calibri"/>
          <w:lang w:val="fr-BE"/>
        </w:rPr>
        <w:t xml:space="preserve">-&gt; par la police, par son avocat, par le magistrat </w:t>
      </w:r>
      <w:r w:rsidRPr="00C27636">
        <w:rPr>
          <w:rFonts w:ascii="Calibri" w:eastAsia="Calibri" w:hAnsi="Calibri" w:cs="Calibri"/>
          <w:lang w:val="fr-BE"/>
        </w:rPr>
        <w:t>(parquet et siège), par les services et instances de l’aide à la jeunesse (avoir été permis de déclarer tout ce qu'on voulait déclarer), par les instances compétentes en matière de migration et d’accueil</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22" w:lineRule="exact"/>
        <w:rPr>
          <w:sz w:val="20"/>
          <w:szCs w:val="20"/>
          <w:lang w:val="fr-BE"/>
        </w:rPr>
      </w:pPr>
    </w:p>
    <w:p w:rsidR="00AC12B4" w:rsidRPr="00C27636" w:rsidRDefault="00C27636">
      <w:pPr>
        <w:spacing w:line="218" w:lineRule="auto"/>
        <w:ind w:left="8" w:right="680"/>
        <w:jc w:val="both"/>
        <w:rPr>
          <w:sz w:val="20"/>
          <w:szCs w:val="20"/>
          <w:lang w:val="fr-BE"/>
        </w:rPr>
      </w:pPr>
      <w:r w:rsidRPr="00C27636">
        <w:rPr>
          <w:rFonts w:ascii="Calibri" w:eastAsia="Calibri" w:hAnsi="Calibri" w:cs="Calibri"/>
          <w:lang w:val="fr-BE"/>
        </w:rPr>
        <w:t xml:space="preserve">apportant une attention particulière aux enfants </w:t>
      </w:r>
      <w:r w:rsidRPr="00C27636">
        <w:rPr>
          <w:rFonts w:ascii="Calibri" w:eastAsia="Calibri" w:hAnsi="Calibri" w:cs="Calibri"/>
          <w:lang w:val="fr-BE"/>
        </w:rPr>
        <w:t>en situation de vulnérabilité.</w:t>
      </w:r>
    </w:p>
    <w:p w:rsidR="00AC12B4" w:rsidRPr="00C27636" w:rsidRDefault="00AC12B4">
      <w:pPr>
        <w:spacing w:line="170" w:lineRule="exact"/>
        <w:rPr>
          <w:sz w:val="20"/>
          <w:szCs w:val="20"/>
          <w:lang w:val="fr-BE"/>
        </w:rPr>
      </w:pPr>
    </w:p>
    <w:p w:rsidR="00AC12B4" w:rsidRPr="00C27636" w:rsidRDefault="00C27636">
      <w:pPr>
        <w:spacing w:line="229" w:lineRule="auto"/>
        <w:ind w:left="8" w:right="680"/>
        <w:jc w:val="both"/>
        <w:rPr>
          <w:sz w:val="20"/>
          <w:szCs w:val="20"/>
          <w:lang w:val="fr-BE"/>
        </w:rPr>
      </w:pPr>
      <w:r w:rsidRPr="00C27636">
        <w:rPr>
          <w:rFonts w:ascii="Calibri" w:eastAsia="Calibri" w:hAnsi="Calibri" w:cs="Calibri"/>
          <w:lang w:val="fr-BE"/>
        </w:rPr>
        <w:t>La participation sera vue ici sous deux angles : le droit d’être entendu et le degré de compréhension de la procédure par les enfants.</w:t>
      </w:r>
    </w:p>
    <w:p w:rsidR="00AC12B4" w:rsidRPr="00C27636" w:rsidRDefault="00AC12B4">
      <w:pPr>
        <w:spacing w:line="121" w:lineRule="exact"/>
        <w:rPr>
          <w:sz w:val="20"/>
          <w:szCs w:val="20"/>
          <w:lang w:val="fr-BE"/>
        </w:rPr>
      </w:pPr>
    </w:p>
    <w:tbl>
      <w:tblPr>
        <w:tblW w:w="0" w:type="auto"/>
        <w:tblInd w:w="8" w:type="dxa"/>
        <w:tblLayout w:type="fixed"/>
        <w:tblCellMar>
          <w:left w:w="0" w:type="dxa"/>
          <w:right w:w="0" w:type="dxa"/>
        </w:tblCellMar>
        <w:tblLook w:val="04A0" w:firstRow="1" w:lastRow="0" w:firstColumn="1" w:lastColumn="0" w:noHBand="0" w:noVBand="1"/>
      </w:tblPr>
      <w:tblGrid>
        <w:gridCol w:w="440"/>
        <w:gridCol w:w="320"/>
        <w:gridCol w:w="560"/>
        <w:gridCol w:w="680"/>
        <w:gridCol w:w="2540"/>
        <w:gridCol w:w="30"/>
      </w:tblGrid>
      <w:tr w:rsidR="00AC12B4" w:rsidRPr="00C27636">
        <w:trPr>
          <w:trHeight w:val="269"/>
        </w:trPr>
        <w:tc>
          <w:tcPr>
            <w:tcW w:w="4540" w:type="dxa"/>
            <w:gridSpan w:val="5"/>
            <w:vAlign w:val="bottom"/>
          </w:tcPr>
          <w:p w:rsidR="00AC12B4" w:rsidRPr="00C27636" w:rsidRDefault="00C27636">
            <w:pPr>
              <w:rPr>
                <w:sz w:val="20"/>
                <w:szCs w:val="20"/>
                <w:lang w:val="fr-BE"/>
              </w:rPr>
            </w:pPr>
            <w:r w:rsidRPr="00C27636">
              <w:rPr>
                <w:rFonts w:ascii="Calibri" w:eastAsia="Calibri" w:hAnsi="Calibri" w:cs="Calibri"/>
                <w:lang w:val="fr-BE"/>
              </w:rPr>
              <w:t>Les enfants pris en compte ici sont les</w:t>
            </w:r>
          </w:p>
        </w:tc>
        <w:tc>
          <w:tcPr>
            <w:tcW w:w="0" w:type="dxa"/>
            <w:vAlign w:val="bottom"/>
          </w:tcPr>
          <w:p w:rsidR="00AC12B4" w:rsidRPr="00C27636" w:rsidRDefault="00AC12B4">
            <w:pPr>
              <w:rPr>
                <w:sz w:val="1"/>
                <w:szCs w:val="1"/>
                <w:lang w:val="fr-BE"/>
              </w:rPr>
            </w:pPr>
          </w:p>
        </w:tc>
      </w:tr>
      <w:tr w:rsidR="00AC12B4">
        <w:trPr>
          <w:trHeight w:val="236"/>
        </w:trPr>
        <w:tc>
          <w:tcPr>
            <w:tcW w:w="760" w:type="dxa"/>
            <w:gridSpan w:val="2"/>
            <w:vAlign w:val="bottom"/>
          </w:tcPr>
          <w:p w:rsidR="00AC12B4" w:rsidRDefault="00C27636">
            <w:pPr>
              <w:spacing w:line="216" w:lineRule="exact"/>
              <w:rPr>
                <w:sz w:val="20"/>
                <w:szCs w:val="20"/>
              </w:rPr>
            </w:pPr>
            <w:r>
              <w:rPr>
                <w:rFonts w:ascii="Calibri" w:eastAsia="Calibri" w:hAnsi="Calibri" w:cs="Calibri"/>
              </w:rPr>
              <w:t>mineurs</w:t>
            </w:r>
          </w:p>
        </w:tc>
        <w:tc>
          <w:tcPr>
            <w:tcW w:w="560" w:type="dxa"/>
            <w:vAlign w:val="bottom"/>
          </w:tcPr>
          <w:p w:rsidR="00AC12B4" w:rsidRDefault="00AC12B4">
            <w:pPr>
              <w:rPr>
                <w:sz w:val="20"/>
                <w:szCs w:val="20"/>
              </w:rPr>
            </w:pPr>
          </w:p>
        </w:tc>
        <w:tc>
          <w:tcPr>
            <w:tcW w:w="680" w:type="dxa"/>
            <w:vAlign w:val="bottom"/>
          </w:tcPr>
          <w:p w:rsidR="00AC12B4" w:rsidRDefault="00AC12B4">
            <w:pPr>
              <w:rPr>
                <w:sz w:val="20"/>
                <w:szCs w:val="20"/>
              </w:rPr>
            </w:pPr>
          </w:p>
        </w:tc>
        <w:tc>
          <w:tcPr>
            <w:tcW w:w="2540" w:type="dxa"/>
            <w:tcBorders>
              <w:bottom w:val="single" w:sz="8" w:space="0" w:color="159DCF"/>
            </w:tcBorders>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82"/>
        </w:trPr>
        <w:tc>
          <w:tcPr>
            <w:tcW w:w="1320" w:type="dxa"/>
            <w:gridSpan w:val="3"/>
            <w:vAlign w:val="bottom"/>
          </w:tcPr>
          <w:p w:rsidR="00AC12B4" w:rsidRDefault="00C27636">
            <w:pPr>
              <w:rPr>
                <w:sz w:val="20"/>
                <w:szCs w:val="20"/>
              </w:rPr>
            </w:pPr>
            <w:r>
              <w:rPr>
                <w:rFonts w:ascii="Calibri" w:eastAsia="Calibri" w:hAnsi="Calibri" w:cs="Calibri"/>
              </w:rPr>
              <w:t>étrangers.</w:t>
            </w:r>
          </w:p>
        </w:tc>
        <w:tc>
          <w:tcPr>
            <w:tcW w:w="680" w:type="dxa"/>
            <w:tcBorders>
              <w:right w:val="single" w:sz="8" w:space="0" w:color="159DCF"/>
            </w:tcBorders>
            <w:vAlign w:val="bottom"/>
          </w:tcPr>
          <w:p w:rsidR="00AC12B4" w:rsidRDefault="00AC12B4">
            <w:pPr>
              <w:rPr>
                <w:sz w:val="24"/>
                <w:szCs w:val="24"/>
              </w:rPr>
            </w:pPr>
          </w:p>
        </w:tc>
        <w:tc>
          <w:tcPr>
            <w:tcW w:w="2540" w:type="dxa"/>
            <w:vMerge w:val="restart"/>
            <w:tcBorders>
              <w:right w:val="single" w:sz="8" w:space="0" w:color="159DCF"/>
            </w:tcBorders>
            <w:vAlign w:val="bottom"/>
          </w:tcPr>
          <w:p w:rsidR="00AC12B4" w:rsidRDefault="00C27636">
            <w:pPr>
              <w:jc w:val="center"/>
              <w:rPr>
                <w:sz w:val="20"/>
                <w:szCs w:val="20"/>
              </w:rPr>
            </w:pPr>
            <w:r>
              <w:rPr>
                <w:rFonts w:ascii="Comic Sans MS" w:eastAsia="Comic Sans MS" w:hAnsi="Comic Sans MS" w:cs="Comic Sans MS"/>
                <w:color w:val="159DCF"/>
                <w:sz w:val="96"/>
                <w:szCs w:val="96"/>
              </w:rPr>
              <w:t>N/A</w:t>
            </w:r>
          </w:p>
        </w:tc>
        <w:tc>
          <w:tcPr>
            <w:tcW w:w="0" w:type="dxa"/>
            <w:vAlign w:val="bottom"/>
          </w:tcPr>
          <w:p w:rsidR="00AC12B4" w:rsidRDefault="00AC12B4">
            <w:pPr>
              <w:rPr>
                <w:sz w:val="1"/>
                <w:szCs w:val="1"/>
              </w:rPr>
            </w:pPr>
          </w:p>
        </w:tc>
      </w:tr>
      <w:tr w:rsidR="00AC12B4">
        <w:trPr>
          <w:trHeight w:val="386"/>
        </w:trPr>
        <w:tc>
          <w:tcPr>
            <w:tcW w:w="440" w:type="dxa"/>
            <w:vAlign w:val="bottom"/>
          </w:tcPr>
          <w:p w:rsidR="00AC12B4" w:rsidRDefault="00C27636">
            <w:pPr>
              <w:rPr>
                <w:sz w:val="20"/>
                <w:szCs w:val="20"/>
              </w:rPr>
            </w:pPr>
            <w:r>
              <w:rPr>
                <w:rFonts w:ascii="Calibri" w:eastAsia="Calibri" w:hAnsi="Calibri" w:cs="Calibri"/>
                <w:w w:val="99"/>
              </w:rPr>
              <w:t>Pour</w:t>
            </w:r>
          </w:p>
        </w:tc>
        <w:tc>
          <w:tcPr>
            <w:tcW w:w="320" w:type="dxa"/>
            <w:vAlign w:val="bottom"/>
          </w:tcPr>
          <w:p w:rsidR="00AC12B4" w:rsidRDefault="00C27636">
            <w:pPr>
              <w:ind w:left="80"/>
              <w:rPr>
                <w:sz w:val="20"/>
                <w:szCs w:val="20"/>
              </w:rPr>
            </w:pPr>
            <w:r>
              <w:rPr>
                <w:rFonts w:ascii="Calibri" w:eastAsia="Calibri" w:hAnsi="Calibri" w:cs="Calibri"/>
              </w:rPr>
              <w:t>ce</w:t>
            </w:r>
          </w:p>
        </w:tc>
        <w:tc>
          <w:tcPr>
            <w:tcW w:w="560" w:type="dxa"/>
            <w:vAlign w:val="bottom"/>
          </w:tcPr>
          <w:p w:rsidR="00AC12B4" w:rsidRDefault="00C27636">
            <w:pPr>
              <w:ind w:left="80"/>
              <w:rPr>
                <w:sz w:val="20"/>
                <w:szCs w:val="20"/>
              </w:rPr>
            </w:pPr>
            <w:r>
              <w:rPr>
                <w:rFonts w:ascii="Calibri" w:eastAsia="Calibri" w:hAnsi="Calibri" w:cs="Calibri"/>
                <w:w w:val="98"/>
              </w:rPr>
              <w:t>faire,</w:t>
            </w:r>
          </w:p>
        </w:tc>
        <w:tc>
          <w:tcPr>
            <w:tcW w:w="680" w:type="dxa"/>
            <w:tcBorders>
              <w:right w:val="single" w:sz="8" w:space="0" w:color="159DCF"/>
            </w:tcBorders>
            <w:vAlign w:val="bottom"/>
          </w:tcPr>
          <w:p w:rsidR="00AC12B4" w:rsidRDefault="00C27636">
            <w:pPr>
              <w:ind w:right="310"/>
              <w:jc w:val="right"/>
              <w:rPr>
                <w:sz w:val="20"/>
                <w:szCs w:val="20"/>
              </w:rPr>
            </w:pPr>
            <w:r>
              <w:rPr>
                <w:rFonts w:ascii="Calibri" w:eastAsia="Calibri" w:hAnsi="Calibri" w:cs="Calibri"/>
              </w:rPr>
              <w:t>la</w:t>
            </w:r>
          </w:p>
        </w:tc>
        <w:tc>
          <w:tcPr>
            <w:tcW w:w="2540" w:type="dxa"/>
            <w:vMerge/>
            <w:tcBorders>
              <w:right w:val="single" w:sz="8" w:space="0" w:color="159DCF"/>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760" w:type="dxa"/>
            <w:gridSpan w:val="2"/>
            <w:vAlign w:val="bottom"/>
          </w:tcPr>
          <w:p w:rsidR="00AC12B4" w:rsidRDefault="00C27636">
            <w:pPr>
              <w:rPr>
                <w:sz w:val="20"/>
                <w:szCs w:val="20"/>
              </w:rPr>
            </w:pPr>
            <w:r>
              <w:rPr>
                <w:rFonts w:ascii="Calibri" w:eastAsia="Calibri" w:hAnsi="Calibri" w:cs="Calibri"/>
              </w:rPr>
              <w:t>CNDE</w:t>
            </w:r>
          </w:p>
        </w:tc>
        <w:tc>
          <w:tcPr>
            <w:tcW w:w="1240" w:type="dxa"/>
            <w:gridSpan w:val="2"/>
            <w:tcBorders>
              <w:right w:val="single" w:sz="8" w:space="0" w:color="159DCF"/>
            </w:tcBorders>
            <w:vAlign w:val="bottom"/>
          </w:tcPr>
          <w:p w:rsidR="00AC12B4" w:rsidRDefault="00C27636">
            <w:pPr>
              <w:ind w:right="310"/>
              <w:jc w:val="right"/>
              <w:rPr>
                <w:sz w:val="20"/>
                <w:szCs w:val="20"/>
              </w:rPr>
            </w:pPr>
            <w:r>
              <w:rPr>
                <w:rFonts w:ascii="Calibri" w:eastAsia="Calibri" w:hAnsi="Calibri" w:cs="Calibri"/>
              </w:rPr>
              <w:t>envisage</w:t>
            </w:r>
          </w:p>
        </w:tc>
        <w:tc>
          <w:tcPr>
            <w:tcW w:w="2540" w:type="dxa"/>
            <w:vMerge/>
            <w:tcBorders>
              <w:right w:val="single" w:sz="8" w:space="0" w:color="159DCF"/>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440" w:type="dxa"/>
            <w:vAlign w:val="bottom"/>
          </w:tcPr>
          <w:p w:rsidR="00AC12B4" w:rsidRDefault="00C27636">
            <w:pPr>
              <w:rPr>
                <w:sz w:val="20"/>
                <w:szCs w:val="20"/>
              </w:rPr>
            </w:pPr>
            <w:r>
              <w:rPr>
                <w:rFonts w:ascii="Calibri" w:eastAsia="Calibri" w:hAnsi="Calibri" w:cs="Calibri"/>
              </w:rPr>
              <w:t>de</w:t>
            </w:r>
          </w:p>
        </w:tc>
        <w:tc>
          <w:tcPr>
            <w:tcW w:w="880" w:type="dxa"/>
            <w:gridSpan w:val="2"/>
            <w:vAlign w:val="bottom"/>
          </w:tcPr>
          <w:p w:rsidR="00AC12B4" w:rsidRDefault="00C27636">
            <w:pPr>
              <w:rPr>
                <w:sz w:val="20"/>
                <w:szCs w:val="20"/>
              </w:rPr>
            </w:pPr>
            <w:r>
              <w:rPr>
                <w:rFonts w:ascii="Calibri" w:eastAsia="Calibri" w:hAnsi="Calibri" w:cs="Calibri"/>
              </w:rPr>
              <w:t>réaliser</w:t>
            </w:r>
          </w:p>
        </w:tc>
        <w:tc>
          <w:tcPr>
            <w:tcW w:w="680" w:type="dxa"/>
            <w:tcBorders>
              <w:right w:val="single" w:sz="8" w:space="0" w:color="159DCF"/>
            </w:tcBorders>
            <w:vAlign w:val="bottom"/>
          </w:tcPr>
          <w:p w:rsidR="00AC12B4" w:rsidRDefault="00C27636">
            <w:pPr>
              <w:ind w:right="330"/>
              <w:jc w:val="right"/>
              <w:rPr>
                <w:sz w:val="20"/>
                <w:szCs w:val="20"/>
              </w:rPr>
            </w:pPr>
            <w:r>
              <w:rPr>
                <w:rFonts w:ascii="Calibri" w:eastAsia="Calibri" w:hAnsi="Calibri" w:cs="Calibri"/>
                <w:w w:val="97"/>
              </w:rPr>
              <w:t>en</w:t>
            </w:r>
          </w:p>
        </w:tc>
        <w:tc>
          <w:tcPr>
            <w:tcW w:w="2540" w:type="dxa"/>
            <w:vMerge/>
            <w:tcBorders>
              <w:right w:val="single" w:sz="8" w:space="0" w:color="159DCF"/>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98"/>
        </w:trPr>
        <w:tc>
          <w:tcPr>
            <w:tcW w:w="440" w:type="dxa"/>
            <w:vAlign w:val="bottom"/>
          </w:tcPr>
          <w:p w:rsidR="00AC12B4" w:rsidRDefault="00C27636">
            <w:pPr>
              <w:rPr>
                <w:sz w:val="20"/>
                <w:szCs w:val="20"/>
              </w:rPr>
            </w:pPr>
            <w:r>
              <w:rPr>
                <w:rFonts w:ascii="Calibri" w:eastAsia="Calibri" w:hAnsi="Calibri" w:cs="Calibri"/>
                <w:w w:val="94"/>
              </w:rPr>
              <w:t>2016</w:t>
            </w:r>
          </w:p>
        </w:tc>
        <w:tc>
          <w:tcPr>
            <w:tcW w:w="320" w:type="dxa"/>
            <w:vAlign w:val="bottom"/>
          </w:tcPr>
          <w:p w:rsidR="00AC12B4" w:rsidRDefault="00AC12B4">
            <w:pPr>
              <w:rPr>
                <w:sz w:val="24"/>
                <w:szCs w:val="24"/>
              </w:rPr>
            </w:pPr>
          </w:p>
        </w:tc>
        <w:tc>
          <w:tcPr>
            <w:tcW w:w="1240" w:type="dxa"/>
            <w:gridSpan w:val="2"/>
            <w:tcBorders>
              <w:right w:val="single" w:sz="8" w:space="0" w:color="159DCF"/>
            </w:tcBorders>
            <w:vAlign w:val="bottom"/>
          </w:tcPr>
          <w:p w:rsidR="00AC12B4" w:rsidRDefault="00C27636">
            <w:pPr>
              <w:ind w:right="330"/>
              <w:jc w:val="right"/>
              <w:rPr>
                <w:sz w:val="20"/>
                <w:szCs w:val="20"/>
              </w:rPr>
            </w:pPr>
            <w:r>
              <w:rPr>
                <w:rFonts w:ascii="Calibri" w:eastAsia="Calibri" w:hAnsi="Calibri" w:cs="Calibri"/>
              </w:rPr>
              <w:t>une</w:t>
            </w:r>
          </w:p>
        </w:tc>
        <w:tc>
          <w:tcPr>
            <w:tcW w:w="2540" w:type="dxa"/>
            <w:vMerge/>
            <w:tcBorders>
              <w:right w:val="single" w:sz="8" w:space="0" w:color="159DCF"/>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82"/>
        </w:trPr>
        <w:tc>
          <w:tcPr>
            <w:tcW w:w="760" w:type="dxa"/>
            <w:gridSpan w:val="2"/>
            <w:vAlign w:val="bottom"/>
          </w:tcPr>
          <w:p w:rsidR="00AC12B4" w:rsidRDefault="00C27636">
            <w:pPr>
              <w:spacing w:line="240" w:lineRule="exact"/>
              <w:rPr>
                <w:sz w:val="20"/>
                <w:szCs w:val="20"/>
              </w:rPr>
            </w:pPr>
            <w:r>
              <w:rPr>
                <w:rFonts w:ascii="Calibri" w:eastAsia="Calibri" w:hAnsi="Calibri" w:cs="Calibri"/>
                <w:w w:val="98"/>
              </w:rPr>
              <w:t>enquête</w:t>
            </w:r>
          </w:p>
        </w:tc>
        <w:tc>
          <w:tcPr>
            <w:tcW w:w="560" w:type="dxa"/>
            <w:vAlign w:val="bottom"/>
          </w:tcPr>
          <w:p w:rsidR="00AC12B4" w:rsidRDefault="00C27636">
            <w:pPr>
              <w:spacing w:line="240" w:lineRule="exact"/>
              <w:ind w:left="140"/>
              <w:rPr>
                <w:sz w:val="20"/>
                <w:szCs w:val="20"/>
              </w:rPr>
            </w:pPr>
            <w:r>
              <w:rPr>
                <w:rFonts w:ascii="Calibri" w:eastAsia="Calibri" w:hAnsi="Calibri" w:cs="Calibri"/>
              </w:rPr>
              <w:t>via</w:t>
            </w:r>
          </w:p>
        </w:tc>
        <w:tc>
          <w:tcPr>
            <w:tcW w:w="680" w:type="dxa"/>
            <w:tcBorders>
              <w:right w:val="single" w:sz="8" w:space="0" w:color="159DCF"/>
            </w:tcBorders>
            <w:vAlign w:val="bottom"/>
          </w:tcPr>
          <w:p w:rsidR="00AC12B4" w:rsidRDefault="00C27636">
            <w:pPr>
              <w:spacing w:line="240" w:lineRule="exact"/>
              <w:ind w:right="330"/>
              <w:jc w:val="right"/>
              <w:rPr>
                <w:sz w:val="20"/>
                <w:szCs w:val="20"/>
              </w:rPr>
            </w:pPr>
            <w:r>
              <w:rPr>
                <w:rFonts w:ascii="Calibri" w:eastAsia="Calibri" w:hAnsi="Calibri" w:cs="Calibri"/>
                <w:w w:val="89"/>
              </w:rPr>
              <w:t>les</w:t>
            </w:r>
          </w:p>
        </w:tc>
        <w:tc>
          <w:tcPr>
            <w:tcW w:w="2540" w:type="dxa"/>
            <w:tcBorders>
              <w:right w:val="single" w:sz="8" w:space="0" w:color="159DCF"/>
            </w:tcBorders>
            <w:vAlign w:val="bottom"/>
          </w:tcPr>
          <w:p w:rsidR="00AC12B4" w:rsidRDefault="00C27636">
            <w:pPr>
              <w:jc w:val="center"/>
              <w:rPr>
                <w:sz w:val="20"/>
                <w:szCs w:val="20"/>
              </w:rPr>
            </w:pPr>
            <w:r>
              <w:rPr>
                <w:rFonts w:ascii="Comic Sans MS" w:eastAsia="Comic Sans MS" w:hAnsi="Comic Sans MS" w:cs="Comic Sans MS"/>
                <w:color w:val="0D0D0D"/>
                <w:w w:val="99"/>
                <w:sz w:val="20"/>
                <w:szCs w:val="20"/>
              </w:rPr>
              <w:t>Aucunes données sur</w:t>
            </w:r>
          </w:p>
        </w:tc>
        <w:tc>
          <w:tcPr>
            <w:tcW w:w="0" w:type="dxa"/>
            <w:vAlign w:val="bottom"/>
          </w:tcPr>
          <w:p w:rsidR="00AC12B4" w:rsidRDefault="00AC12B4">
            <w:pPr>
              <w:rPr>
                <w:sz w:val="1"/>
                <w:szCs w:val="1"/>
              </w:rPr>
            </w:pPr>
          </w:p>
        </w:tc>
      </w:tr>
      <w:tr w:rsidR="00AC12B4">
        <w:trPr>
          <w:trHeight w:val="276"/>
        </w:trPr>
        <w:tc>
          <w:tcPr>
            <w:tcW w:w="760" w:type="dxa"/>
            <w:gridSpan w:val="2"/>
            <w:vAlign w:val="bottom"/>
          </w:tcPr>
          <w:p w:rsidR="00AC12B4" w:rsidRDefault="00C27636">
            <w:pPr>
              <w:spacing w:line="227" w:lineRule="exact"/>
              <w:rPr>
                <w:sz w:val="20"/>
                <w:szCs w:val="20"/>
              </w:rPr>
            </w:pPr>
            <w:r>
              <w:rPr>
                <w:rFonts w:ascii="Calibri" w:eastAsia="Calibri" w:hAnsi="Calibri" w:cs="Calibri"/>
              </w:rPr>
              <w:t>tuteurs</w:t>
            </w:r>
          </w:p>
        </w:tc>
        <w:tc>
          <w:tcPr>
            <w:tcW w:w="560" w:type="dxa"/>
            <w:vAlign w:val="bottom"/>
          </w:tcPr>
          <w:p w:rsidR="00AC12B4" w:rsidRDefault="00AC12B4">
            <w:pPr>
              <w:rPr>
                <w:sz w:val="23"/>
                <w:szCs w:val="23"/>
              </w:rPr>
            </w:pPr>
          </w:p>
        </w:tc>
        <w:tc>
          <w:tcPr>
            <w:tcW w:w="680" w:type="dxa"/>
            <w:tcBorders>
              <w:right w:val="single" w:sz="8" w:space="0" w:color="159DCF"/>
            </w:tcBorders>
            <w:vAlign w:val="bottom"/>
          </w:tcPr>
          <w:p w:rsidR="00AC12B4" w:rsidRDefault="00C27636">
            <w:pPr>
              <w:spacing w:line="227" w:lineRule="exact"/>
              <w:ind w:right="330"/>
              <w:jc w:val="right"/>
              <w:rPr>
                <w:sz w:val="20"/>
                <w:szCs w:val="20"/>
              </w:rPr>
            </w:pPr>
            <w:r>
              <w:rPr>
                <w:rFonts w:ascii="Calibri" w:eastAsia="Calibri" w:hAnsi="Calibri" w:cs="Calibri"/>
                <w:w w:val="97"/>
              </w:rPr>
              <w:t>de</w:t>
            </w:r>
          </w:p>
        </w:tc>
        <w:tc>
          <w:tcPr>
            <w:tcW w:w="2540" w:type="dxa"/>
            <w:tcBorders>
              <w:right w:val="single" w:sz="8" w:space="0" w:color="159DCF"/>
            </w:tcBorders>
            <w:vAlign w:val="bottom"/>
          </w:tcPr>
          <w:p w:rsidR="00AC12B4" w:rsidRDefault="00C27636">
            <w:pPr>
              <w:spacing w:line="276" w:lineRule="exact"/>
              <w:jc w:val="center"/>
              <w:rPr>
                <w:sz w:val="20"/>
                <w:szCs w:val="20"/>
              </w:rPr>
            </w:pPr>
            <w:r>
              <w:rPr>
                <w:rFonts w:ascii="Comic Sans MS" w:eastAsia="Comic Sans MS" w:hAnsi="Comic Sans MS" w:cs="Comic Sans MS"/>
                <w:color w:val="0D0D0D"/>
                <w:w w:val="99"/>
                <w:sz w:val="20"/>
                <w:szCs w:val="20"/>
              </w:rPr>
              <w:t>l’effectivité du droit à</w:t>
            </w:r>
          </w:p>
        </w:tc>
        <w:tc>
          <w:tcPr>
            <w:tcW w:w="0" w:type="dxa"/>
            <w:vAlign w:val="bottom"/>
          </w:tcPr>
          <w:p w:rsidR="00AC12B4" w:rsidRDefault="00AC12B4">
            <w:pPr>
              <w:rPr>
                <w:sz w:val="1"/>
                <w:szCs w:val="1"/>
              </w:rPr>
            </w:pPr>
          </w:p>
        </w:tc>
      </w:tr>
      <w:tr w:rsidR="00AC12B4">
        <w:trPr>
          <w:trHeight w:val="220"/>
        </w:trPr>
        <w:tc>
          <w:tcPr>
            <w:tcW w:w="760" w:type="dxa"/>
            <w:gridSpan w:val="2"/>
            <w:vAlign w:val="bottom"/>
          </w:tcPr>
          <w:p w:rsidR="00AC12B4" w:rsidRDefault="00C27636">
            <w:pPr>
              <w:spacing w:line="220" w:lineRule="exact"/>
              <w:rPr>
                <w:sz w:val="20"/>
                <w:szCs w:val="20"/>
              </w:rPr>
            </w:pPr>
            <w:r>
              <w:rPr>
                <w:rFonts w:ascii="Calibri" w:eastAsia="Calibri" w:hAnsi="Calibri" w:cs="Calibri"/>
              </w:rPr>
              <w:t>mineurs</w:t>
            </w:r>
          </w:p>
        </w:tc>
        <w:tc>
          <w:tcPr>
            <w:tcW w:w="560" w:type="dxa"/>
            <w:vAlign w:val="bottom"/>
          </w:tcPr>
          <w:p w:rsidR="00AC12B4" w:rsidRDefault="00AC12B4">
            <w:pPr>
              <w:rPr>
                <w:sz w:val="19"/>
                <w:szCs w:val="19"/>
              </w:rPr>
            </w:pPr>
          </w:p>
        </w:tc>
        <w:tc>
          <w:tcPr>
            <w:tcW w:w="680" w:type="dxa"/>
            <w:tcBorders>
              <w:right w:val="single" w:sz="8" w:space="0" w:color="159DCF"/>
            </w:tcBorders>
            <w:vAlign w:val="bottom"/>
          </w:tcPr>
          <w:p w:rsidR="00AC12B4" w:rsidRDefault="00AC12B4">
            <w:pPr>
              <w:rPr>
                <w:sz w:val="19"/>
                <w:szCs w:val="19"/>
              </w:rPr>
            </w:pPr>
          </w:p>
        </w:tc>
        <w:tc>
          <w:tcPr>
            <w:tcW w:w="2540" w:type="dxa"/>
            <w:vMerge w:val="restart"/>
            <w:tcBorders>
              <w:right w:val="single" w:sz="8" w:space="0" w:color="159DCF"/>
            </w:tcBorders>
            <w:vAlign w:val="bottom"/>
          </w:tcPr>
          <w:p w:rsidR="00AC12B4" w:rsidRDefault="00C27636">
            <w:pPr>
              <w:jc w:val="center"/>
              <w:rPr>
                <w:sz w:val="20"/>
                <w:szCs w:val="20"/>
              </w:rPr>
            </w:pPr>
            <w:r>
              <w:rPr>
                <w:rFonts w:ascii="Comic Sans MS" w:eastAsia="Comic Sans MS" w:hAnsi="Comic Sans MS" w:cs="Comic Sans MS"/>
                <w:color w:val="0D0D0D"/>
                <w:w w:val="99"/>
                <w:sz w:val="20"/>
                <w:szCs w:val="20"/>
              </w:rPr>
              <w:t>la participation ne sont</w:t>
            </w:r>
          </w:p>
        </w:tc>
        <w:tc>
          <w:tcPr>
            <w:tcW w:w="0" w:type="dxa"/>
            <w:vAlign w:val="bottom"/>
          </w:tcPr>
          <w:p w:rsidR="00AC12B4" w:rsidRDefault="00AC12B4">
            <w:pPr>
              <w:rPr>
                <w:sz w:val="1"/>
                <w:szCs w:val="1"/>
              </w:rPr>
            </w:pPr>
          </w:p>
        </w:tc>
      </w:tr>
      <w:tr w:rsidR="00AC12B4">
        <w:trPr>
          <w:trHeight w:val="146"/>
        </w:trPr>
        <w:tc>
          <w:tcPr>
            <w:tcW w:w="2000" w:type="dxa"/>
            <w:gridSpan w:val="4"/>
            <w:vMerge w:val="restart"/>
            <w:tcBorders>
              <w:right w:val="single" w:sz="8" w:space="0" w:color="159DCF"/>
            </w:tcBorders>
            <w:vAlign w:val="bottom"/>
          </w:tcPr>
          <w:p w:rsidR="00AC12B4" w:rsidRDefault="00C27636">
            <w:pPr>
              <w:rPr>
                <w:sz w:val="20"/>
                <w:szCs w:val="20"/>
              </w:rPr>
            </w:pPr>
            <w:r>
              <w:rPr>
                <w:rFonts w:ascii="Calibri" w:eastAsia="Calibri" w:hAnsi="Calibri" w:cs="Calibri"/>
              </w:rPr>
              <w:t>étrangers   non-</w:t>
            </w:r>
          </w:p>
        </w:tc>
        <w:tc>
          <w:tcPr>
            <w:tcW w:w="2540" w:type="dxa"/>
            <w:vMerge/>
            <w:tcBorders>
              <w:right w:val="single" w:sz="8" w:space="0" w:color="159DCF"/>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3"/>
        </w:trPr>
        <w:tc>
          <w:tcPr>
            <w:tcW w:w="2000" w:type="dxa"/>
            <w:gridSpan w:val="4"/>
            <w:vMerge/>
            <w:tcBorders>
              <w:right w:val="single" w:sz="8" w:space="0" w:color="159DCF"/>
            </w:tcBorders>
            <w:vAlign w:val="bottom"/>
          </w:tcPr>
          <w:p w:rsidR="00AC12B4" w:rsidRDefault="00AC12B4">
            <w:pPr>
              <w:rPr>
                <w:sz w:val="10"/>
                <w:szCs w:val="10"/>
              </w:rPr>
            </w:pPr>
          </w:p>
        </w:tc>
        <w:tc>
          <w:tcPr>
            <w:tcW w:w="2540" w:type="dxa"/>
            <w:vMerge w:val="restart"/>
            <w:tcBorders>
              <w:right w:val="single" w:sz="8" w:space="0" w:color="159DCF"/>
            </w:tcBorders>
            <w:vAlign w:val="bottom"/>
          </w:tcPr>
          <w:p w:rsidR="00AC12B4" w:rsidRDefault="00C27636">
            <w:pPr>
              <w:jc w:val="center"/>
              <w:rPr>
                <w:sz w:val="20"/>
                <w:szCs w:val="20"/>
              </w:rPr>
            </w:pPr>
            <w:r>
              <w:rPr>
                <w:rFonts w:ascii="Comic Sans MS" w:eastAsia="Comic Sans MS" w:hAnsi="Comic Sans MS" w:cs="Comic Sans MS"/>
                <w:color w:val="0D0D0D"/>
                <w:w w:val="99"/>
                <w:sz w:val="20"/>
                <w:szCs w:val="20"/>
              </w:rPr>
              <w:t>disponibles</w:t>
            </w:r>
          </w:p>
        </w:tc>
        <w:tc>
          <w:tcPr>
            <w:tcW w:w="0" w:type="dxa"/>
            <w:vAlign w:val="bottom"/>
          </w:tcPr>
          <w:p w:rsidR="00AC12B4" w:rsidRDefault="00AC12B4">
            <w:pPr>
              <w:rPr>
                <w:sz w:val="1"/>
                <w:szCs w:val="1"/>
              </w:rPr>
            </w:pPr>
          </w:p>
        </w:tc>
      </w:tr>
      <w:tr w:rsidR="00AC12B4">
        <w:trPr>
          <w:trHeight w:val="196"/>
        </w:trPr>
        <w:tc>
          <w:tcPr>
            <w:tcW w:w="1320" w:type="dxa"/>
            <w:gridSpan w:val="3"/>
            <w:vMerge w:val="restart"/>
            <w:vAlign w:val="bottom"/>
          </w:tcPr>
          <w:p w:rsidR="00AC12B4" w:rsidRDefault="00C27636">
            <w:pPr>
              <w:rPr>
                <w:sz w:val="20"/>
                <w:szCs w:val="20"/>
              </w:rPr>
            </w:pPr>
            <w:r>
              <w:rPr>
                <w:rFonts w:ascii="Calibri" w:eastAsia="Calibri" w:hAnsi="Calibri" w:cs="Calibri"/>
              </w:rPr>
              <w:t>accompagnés.</w:t>
            </w:r>
          </w:p>
        </w:tc>
        <w:tc>
          <w:tcPr>
            <w:tcW w:w="680" w:type="dxa"/>
            <w:tcBorders>
              <w:right w:val="single" w:sz="8" w:space="0" w:color="159DCF"/>
            </w:tcBorders>
            <w:vAlign w:val="bottom"/>
          </w:tcPr>
          <w:p w:rsidR="00AC12B4" w:rsidRDefault="00AC12B4">
            <w:pPr>
              <w:rPr>
                <w:sz w:val="17"/>
                <w:szCs w:val="17"/>
              </w:rPr>
            </w:pPr>
          </w:p>
        </w:tc>
        <w:tc>
          <w:tcPr>
            <w:tcW w:w="2540" w:type="dxa"/>
            <w:vMerge/>
            <w:tcBorders>
              <w:right w:val="single" w:sz="8" w:space="0" w:color="159DCF"/>
            </w:tcBorders>
            <w:vAlign w:val="bottom"/>
          </w:tcPr>
          <w:p w:rsidR="00AC12B4" w:rsidRDefault="00AC12B4">
            <w:pPr>
              <w:rPr>
                <w:sz w:val="17"/>
                <w:szCs w:val="17"/>
              </w:rPr>
            </w:pPr>
          </w:p>
        </w:tc>
        <w:tc>
          <w:tcPr>
            <w:tcW w:w="0" w:type="dxa"/>
            <w:vAlign w:val="bottom"/>
          </w:tcPr>
          <w:p w:rsidR="00AC12B4" w:rsidRDefault="00AC12B4">
            <w:pPr>
              <w:rPr>
                <w:sz w:val="1"/>
                <w:szCs w:val="1"/>
              </w:rPr>
            </w:pPr>
          </w:p>
        </w:tc>
      </w:tr>
      <w:tr w:rsidR="00AC12B4">
        <w:trPr>
          <w:trHeight w:val="73"/>
        </w:trPr>
        <w:tc>
          <w:tcPr>
            <w:tcW w:w="1320" w:type="dxa"/>
            <w:gridSpan w:val="3"/>
            <w:vMerge/>
            <w:vAlign w:val="bottom"/>
          </w:tcPr>
          <w:p w:rsidR="00AC12B4" w:rsidRDefault="00AC12B4">
            <w:pPr>
              <w:rPr>
                <w:sz w:val="6"/>
                <w:szCs w:val="6"/>
              </w:rPr>
            </w:pPr>
          </w:p>
        </w:tc>
        <w:tc>
          <w:tcPr>
            <w:tcW w:w="680" w:type="dxa"/>
            <w:tcBorders>
              <w:right w:val="single" w:sz="8" w:space="0" w:color="159DCF"/>
            </w:tcBorders>
            <w:vAlign w:val="bottom"/>
          </w:tcPr>
          <w:p w:rsidR="00AC12B4" w:rsidRDefault="00AC12B4">
            <w:pPr>
              <w:rPr>
                <w:sz w:val="6"/>
                <w:szCs w:val="6"/>
              </w:rPr>
            </w:pPr>
          </w:p>
        </w:tc>
        <w:tc>
          <w:tcPr>
            <w:tcW w:w="2540" w:type="dxa"/>
            <w:vMerge w:val="restart"/>
            <w:tcBorders>
              <w:right w:val="single" w:sz="8" w:space="0" w:color="159DCF"/>
            </w:tcBorders>
            <w:vAlign w:val="bottom"/>
          </w:tcPr>
          <w:p w:rsidR="00AC12B4" w:rsidRDefault="00C27636">
            <w:pPr>
              <w:jc w:val="center"/>
              <w:rPr>
                <w:sz w:val="20"/>
                <w:szCs w:val="20"/>
              </w:rPr>
            </w:pPr>
            <w:r>
              <w:rPr>
                <w:rFonts w:ascii="Comic Sans MS" w:eastAsia="Comic Sans MS" w:hAnsi="Comic Sans MS" w:cs="Comic Sans MS"/>
                <w:color w:val="0D0D0D"/>
                <w:sz w:val="20"/>
                <w:szCs w:val="20"/>
              </w:rPr>
              <w:t>actuellement</w:t>
            </w:r>
          </w:p>
        </w:tc>
        <w:tc>
          <w:tcPr>
            <w:tcW w:w="0" w:type="dxa"/>
            <w:vAlign w:val="bottom"/>
          </w:tcPr>
          <w:p w:rsidR="00AC12B4" w:rsidRDefault="00AC12B4">
            <w:pPr>
              <w:rPr>
                <w:sz w:val="1"/>
                <w:szCs w:val="1"/>
              </w:rPr>
            </w:pPr>
          </w:p>
        </w:tc>
      </w:tr>
      <w:tr w:rsidR="00AC12B4">
        <w:trPr>
          <w:trHeight w:val="269"/>
        </w:trPr>
        <w:tc>
          <w:tcPr>
            <w:tcW w:w="440" w:type="dxa"/>
            <w:vAlign w:val="bottom"/>
          </w:tcPr>
          <w:p w:rsidR="00AC12B4" w:rsidRDefault="00C27636">
            <w:pPr>
              <w:rPr>
                <w:sz w:val="20"/>
                <w:szCs w:val="20"/>
              </w:rPr>
            </w:pPr>
            <w:r>
              <w:rPr>
                <w:rFonts w:ascii="Calibri" w:eastAsia="Calibri" w:hAnsi="Calibri" w:cs="Calibri"/>
                <w:w w:val="94"/>
              </w:rPr>
              <w:t>Dans</w:t>
            </w:r>
          </w:p>
        </w:tc>
        <w:tc>
          <w:tcPr>
            <w:tcW w:w="320" w:type="dxa"/>
            <w:vAlign w:val="bottom"/>
          </w:tcPr>
          <w:p w:rsidR="00AC12B4" w:rsidRDefault="00AC12B4">
            <w:pPr>
              <w:rPr>
                <w:sz w:val="23"/>
                <w:szCs w:val="23"/>
              </w:rPr>
            </w:pPr>
          </w:p>
        </w:tc>
        <w:tc>
          <w:tcPr>
            <w:tcW w:w="560" w:type="dxa"/>
            <w:vAlign w:val="bottom"/>
          </w:tcPr>
          <w:p w:rsidR="00AC12B4" w:rsidRDefault="00AC12B4">
            <w:pPr>
              <w:rPr>
                <w:sz w:val="23"/>
                <w:szCs w:val="23"/>
              </w:rPr>
            </w:pPr>
          </w:p>
        </w:tc>
        <w:tc>
          <w:tcPr>
            <w:tcW w:w="680" w:type="dxa"/>
            <w:tcBorders>
              <w:right w:val="single" w:sz="8" w:space="0" w:color="159DCF"/>
            </w:tcBorders>
            <w:vAlign w:val="bottom"/>
          </w:tcPr>
          <w:p w:rsidR="00AC12B4" w:rsidRDefault="00C27636">
            <w:pPr>
              <w:ind w:right="330"/>
              <w:jc w:val="right"/>
              <w:rPr>
                <w:sz w:val="20"/>
                <w:szCs w:val="20"/>
              </w:rPr>
            </w:pPr>
            <w:r>
              <w:rPr>
                <w:rFonts w:ascii="Calibri" w:eastAsia="Calibri" w:hAnsi="Calibri" w:cs="Calibri"/>
                <w:w w:val="95"/>
              </w:rPr>
              <w:t>un</w:t>
            </w:r>
          </w:p>
        </w:tc>
        <w:tc>
          <w:tcPr>
            <w:tcW w:w="2540" w:type="dxa"/>
            <w:vMerge/>
            <w:tcBorders>
              <w:right w:val="single" w:sz="8" w:space="0" w:color="159DCF"/>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08"/>
        </w:trPr>
        <w:tc>
          <w:tcPr>
            <w:tcW w:w="2000" w:type="dxa"/>
            <w:gridSpan w:val="4"/>
            <w:tcBorders>
              <w:right w:val="single" w:sz="8" w:space="0" w:color="159DCF"/>
            </w:tcBorders>
            <w:vAlign w:val="bottom"/>
          </w:tcPr>
          <w:p w:rsidR="00AC12B4" w:rsidRDefault="00C27636">
            <w:pPr>
              <w:spacing w:line="209" w:lineRule="exact"/>
              <w:rPr>
                <w:sz w:val="20"/>
                <w:szCs w:val="20"/>
              </w:rPr>
            </w:pPr>
            <w:r>
              <w:rPr>
                <w:rFonts w:ascii="Calibri" w:eastAsia="Calibri" w:hAnsi="Calibri" w:cs="Calibri"/>
              </w:rPr>
              <w:t>deuxième temps,</w:t>
            </w:r>
          </w:p>
        </w:tc>
        <w:tc>
          <w:tcPr>
            <w:tcW w:w="2540" w:type="dxa"/>
            <w:tcBorders>
              <w:bottom w:val="single" w:sz="8" w:space="0" w:color="159DCF"/>
              <w:right w:val="single" w:sz="8" w:space="0" w:color="159DCF"/>
            </w:tcBorders>
            <w:vAlign w:val="bottom"/>
          </w:tcPr>
          <w:p w:rsidR="00AC12B4" w:rsidRDefault="00AC12B4">
            <w:pPr>
              <w:rPr>
                <w:sz w:val="18"/>
                <w:szCs w:val="18"/>
              </w:rPr>
            </w:pPr>
          </w:p>
        </w:tc>
        <w:tc>
          <w:tcPr>
            <w:tcW w:w="0" w:type="dxa"/>
            <w:vAlign w:val="bottom"/>
          </w:tcPr>
          <w:p w:rsidR="00AC12B4" w:rsidRDefault="00AC12B4">
            <w:pPr>
              <w:rPr>
                <w:sz w:val="1"/>
                <w:szCs w:val="1"/>
              </w:rPr>
            </w:pPr>
          </w:p>
        </w:tc>
      </w:tr>
    </w:tbl>
    <w:p w:rsidR="00AC12B4" w:rsidRDefault="00AC12B4">
      <w:pPr>
        <w:spacing w:line="88" w:lineRule="exact"/>
        <w:rPr>
          <w:sz w:val="20"/>
          <w:szCs w:val="20"/>
        </w:rPr>
      </w:pPr>
    </w:p>
    <w:p w:rsidR="00AC12B4" w:rsidRPr="00C27636" w:rsidRDefault="00C27636">
      <w:pPr>
        <w:spacing w:line="225" w:lineRule="auto"/>
        <w:ind w:left="8" w:right="680"/>
        <w:jc w:val="both"/>
        <w:rPr>
          <w:sz w:val="20"/>
          <w:szCs w:val="20"/>
          <w:lang w:val="fr-BE"/>
        </w:rPr>
      </w:pPr>
      <w:r w:rsidRPr="00C27636">
        <w:rPr>
          <w:rFonts w:ascii="Calibri" w:eastAsia="Calibri" w:hAnsi="Calibri" w:cs="Calibri"/>
          <w:lang w:val="fr-BE"/>
        </w:rPr>
        <w:t>une collaboration avec Fedasil pourrait être envisagée en vue d’atteindre les enfants de parents demandeurs d’asile.</w:t>
      </w:r>
    </w:p>
    <w:p w:rsidR="00AC12B4" w:rsidRPr="00C27636" w:rsidRDefault="00AC12B4">
      <w:pPr>
        <w:spacing w:line="122" w:lineRule="exact"/>
        <w:rPr>
          <w:sz w:val="20"/>
          <w:szCs w:val="20"/>
          <w:lang w:val="fr-BE"/>
        </w:rPr>
      </w:pPr>
    </w:p>
    <w:p w:rsidR="00AC12B4" w:rsidRPr="00C27636" w:rsidRDefault="00C27636">
      <w:pPr>
        <w:ind w:left="8"/>
        <w:rPr>
          <w:sz w:val="20"/>
          <w:szCs w:val="20"/>
          <w:lang w:val="fr-BE"/>
        </w:rPr>
      </w:pPr>
      <w:r w:rsidRPr="00C27636">
        <w:rPr>
          <w:rFonts w:ascii="Calibri" w:eastAsia="Calibri" w:hAnsi="Calibri" w:cs="Calibri"/>
          <w:lang w:val="fr-BE"/>
        </w:rPr>
        <w:t>L’approche qui sera utilisée est celle du</w:t>
      </w:r>
    </w:p>
    <w:p w:rsidR="00AC12B4" w:rsidRPr="00C27636" w:rsidRDefault="00AC12B4">
      <w:pPr>
        <w:spacing w:line="49" w:lineRule="exact"/>
        <w:rPr>
          <w:sz w:val="20"/>
          <w:szCs w:val="20"/>
          <w:lang w:val="fr-BE"/>
        </w:rPr>
      </w:pPr>
    </w:p>
    <w:p w:rsidR="00AC12B4" w:rsidRPr="00C27636" w:rsidRDefault="00C27636">
      <w:pPr>
        <w:numPr>
          <w:ilvl w:val="0"/>
          <w:numId w:val="389"/>
        </w:numPr>
        <w:tabs>
          <w:tab w:val="left" w:pos="171"/>
        </w:tabs>
        <w:spacing w:line="229" w:lineRule="auto"/>
        <w:ind w:left="8" w:right="660" w:hanging="8"/>
        <w:jc w:val="both"/>
        <w:rPr>
          <w:rFonts w:ascii="Calibri" w:eastAsia="Calibri" w:hAnsi="Calibri" w:cs="Calibri"/>
          <w:lang w:val="fr-BE"/>
        </w:rPr>
      </w:pPr>
      <w:r w:rsidRPr="00C27636">
        <w:rPr>
          <w:rFonts w:ascii="Calibri" w:eastAsia="Calibri" w:hAnsi="Calibri" w:cs="Calibri"/>
          <w:lang w:val="fr-BE"/>
        </w:rPr>
        <w:t>self-report ». Les enfants évalueront eux-mêmes l’effectivité de leur droit</w:t>
      </w:r>
      <w:r w:rsidRPr="00C27636">
        <w:rPr>
          <w:rFonts w:ascii="Calibri" w:eastAsia="Calibri" w:hAnsi="Calibri" w:cs="Calibri"/>
          <w:lang w:val="fr-BE"/>
        </w:rPr>
        <w:t xml:space="preserve"> d’être entendu ainsi que leur compréhension de la procédure dans laquelle ils sont</w:t>
      </w:r>
    </w:p>
    <w:p w:rsidR="00AC12B4" w:rsidRPr="00C27636" w:rsidRDefault="00AC12B4">
      <w:pPr>
        <w:spacing w:line="1" w:lineRule="exact"/>
        <w:rPr>
          <w:sz w:val="20"/>
          <w:szCs w:val="20"/>
          <w:lang w:val="fr-BE"/>
        </w:rPr>
      </w:pPr>
    </w:p>
    <w:p w:rsidR="00AC12B4" w:rsidRPr="00C27636" w:rsidRDefault="00C27636">
      <w:pPr>
        <w:tabs>
          <w:tab w:val="left" w:pos="1088"/>
          <w:tab w:val="left" w:pos="2268"/>
          <w:tab w:val="left" w:pos="2888"/>
        </w:tabs>
        <w:ind w:left="8"/>
        <w:rPr>
          <w:sz w:val="20"/>
          <w:szCs w:val="20"/>
          <w:lang w:val="fr-BE"/>
        </w:rPr>
      </w:pPr>
      <w:r w:rsidRPr="00C27636">
        <w:rPr>
          <w:rFonts w:ascii="Calibri" w:eastAsia="Calibri" w:hAnsi="Calibri" w:cs="Calibri"/>
          <w:lang w:val="fr-BE"/>
        </w:rPr>
        <w:t>impliqués.</w:t>
      </w:r>
      <w:r w:rsidRPr="00C27636">
        <w:rPr>
          <w:rFonts w:ascii="Calibri" w:eastAsia="Calibri" w:hAnsi="Calibri" w:cs="Calibri"/>
          <w:lang w:val="fr-BE"/>
        </w:rPr>
        <w:tab/>
        <w:t>Voir  à  ce</w:t>
      </w:r>
      <w:r w:rsidRPr="00C27636">
        <w:rPr>
          <w:rFonts w:ascii="Calibri" w:eastAsia="Calibri" w:hAnsi="Calibri" w:cs="Calibri"/>
          <w:lang w:val="fr-BE"/>
        </w:rPr>
        <w:tab/>
        <w:t>sujet</w:t>
      </w:r>
      <w:r w:rsidRPr="00C27636">
        <w:rPr>
          <w:rFonts w:ascii="Calibri" w:eastAsia="Calibri" w:hAnsi="Calibri" w:cs="Calibri"/>
          <w:lang w:val="fr-BE"/>
        </w:rPr>
        <w:tab/>
        <w:t>la  section</w:t>
      </w:r>
    </w:p>
    <w:p w:rsidR="00AC12B4" w:rsidRPr="00C27636" w:rsidRDefault="00AC12B4">
      <w:pPr>
        <w:spacing w:line="47" w:lineRule="exact"/>
        <w:rPr>
          <w:sz w:val="20"/>
          <w:szCs w:val="20"/>
          <w:lang w:val="fr-BE"/>
        </w:rPr>
      </w:pPr>
    </w:p>
    <w:p w:rsidR="00AC12B4" w:rsidRPr="00C27636" w:rsidRDefault="00C27636">
      <w:pPr>
        <w:numPr>
          <w:ilvl w:val="0"/>
          <w:numId w:val="390"/>
        </w:numPr>
        <w:tabs>
          <w:tab w:val="left" w:pos="171"/>
        </w:tabs>
        <w:spacing w:line="218" w:lineRule="auto"/>
        <w:ind w:left="8" w:right="680" w:hanging="8"/>
        <w:rPr>
          <w:rFonts w:ascii="Calibri" w:eastAsia="Calibri" w:hAnsi="Calibri" w:cs="Calibri"/>
          <w:lang w:val="fr-BE"/>
        </w:rPr>
      </w:pPr>
      <w:r w:rsidRPr="00C27636">
        <w:rPr>
          <w:rFonts w:ascii="Calibri" w:eastAsia="Calibri" w:hAnsi="Calibri" w:cs="Calibri"/>
          <w:lang w:val="fr-BE"/>
        </w:rPr>
        <w:t>atteindre les plus vulnérables » dans la Partie I de cette publication.</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Les droits</w:t>
            </w:r>
            <w:r w:rsidRPr="00C27636">
              <w:rPr>
                <w:rFonts w:ascii="Calibri" w:eastAsia="Calibri" w:hAnsi="Calibri" w:cs="Calibri"/>
                <w:b/>
                <w:bCs/>
                <w:i/>
                <w:iCs/>
                <w:color w:val="F2F2F2"/>
                <w:sz w:val="27"/>
                <w:szCs w:val="27"/>
                <w:lang w:val="fr-BE"/>
              </w:rPr>
              <w:t xml:space="preserve"> des mineurs étrangers</w:t>
            </w:r>
          </w:p>
        </w:tc>
      </w:tr>
    </w:tbl>
    <w:p w:rsidR="00AC12B4" w:rsidRPr="00C27636" w:rsidRDefault="00AC12B4">
      <w:pPr>
        <w:spacing w:line="40" w:lineRule="exact"/>
        <w:rPr>
          <w:sz w:val="20"/>
          <w:szCs w:val="20"/>
          <w:lang w:val="fr-BE"/>
        </w:rPr>
      </w:pPr>
    </w:p>
    <w:p w:rsidR="00AC12B4" w:rsidRPr="00C27636" w:rsidRDefault="00AC12B4">
      <w:pPr>
        <w:rPr>
          <w:lang w:val="fr-BE"/>
        </w:rPr>
        <w:sectPr w:rsidR="00AC12B4" w:rsidRPr="00C27636">
          <w:type w:val="continuous"/>
          <w:pgSz w:w="12080" w:h="17179"/>
          <w:pgMar w:top="1440" w:right="481" w:bottom="659" w:left="1120" w:header="0" w:footer="0" w:gutter="0"/>
          <w:cols w:num="3" w:space="720" w:equalWidth="0">
            <w:col w:w="4900" w:space="572"/>
            <w:col w:w="4548" w:space="126"/>
            <w:col w:w="330"/>
          </w:cols>
        </w:sectPr>
      </w:pPr>
    </w:p>
    <w:p w:rsidR="00AC12B4" w:rsidRDefault="00C27636">
      <w:pPr>
        <w:ind w:right="235"/>
        <w:jc w:val="center"/>
        <w:rPr>
          <w:sz w:val="20"/>
          <w:szCs w:val="20"/>
        </w:rPr>
      </w:pPr>
      <w:r>
        <w:rPr>
          <w:rFonts w:ascii="Calibri" w:eastAsia="Calibri" w:hAnsi="Calibri" w:cs="Calibri"/>
          <w:sz w:val="21"/>
          <w:szCs w:val="21"/>
        </w:rPr>
        <w:t>201</w:t>
      </w:r>
    </w:p>
    <w:p w:rsidR="00AC12B4" w:rsidRDefault="00AC12B4">
      <w:pPr>
        <w:sectPr w:rsidR="00AC12B4">
          <w:type w:val="continuous"/>
          <w:pgSz w:w="12080" w:h="17179"/>
          <w:pgMar w:top="1440" w:right="481" w:bottom="659" w:left="1120" w:header="0" w:footer="0" w:gutter="0"/>
          <w:cols w:space="720" w:equalWidth="0">
            <w:col w:w="10475"/>
          </w:cols>
        </w:sectPr>
      </w:pPr>
    </w:p>
    <w:bookmarkStart w:id="202" w:name="page202"/>
    <w:bookmarkEnd w:id="202"/>
    <w:p w:rsidR="00AC12B4" w:rsidRDefault="00C27636">
      <w:pPr>
        <w:spacing w:line="284" w:lineRule="exact"/>
        <w:rPr>
          <w:sz w:val="20"/>
          <w:szCs w:val="20"/>
        </w:rPr>
      </w:pPr>
      <w:r>
        <w:rPr>
          <w:noProof/>
          <w:sz w:val="20"/>
          <w:szCs w:val="20"/>
        </w:rPr>
        <mc:AlternateContent>
          <mc:Choice Requires="wps">
            <w:drawing>
              <wp:anchor distT="0" distB="0" distL="114300" distR="114300" simplePos="0" relativeHeight="251947520" behindDoc="1" locked="0" layoutInCell="0" allowOverlap="1">
                <wp:simplePos x="0" y="0"/>
                <wp:positionH relativeFrom="page">
                  <wp:posOffset>0</wp:posOffset>
                </wp:positionH>
                <wp:positionV relativeFrom="page">
                  <wp:posOffset>8890</wp:posOffset>
                </wp:positionV>
                <wp:extent cx="742950" cy="10896600"/>
                <wp:effectExtent l="0" t="0" r="0" b="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2950" cy="10896600"/>
                        </a:xfrm>
                        <a:prstGeom prst="rect">
                          <a:avLst/>
                        </a:prstGeom>
                        <a:solidFill>
                          <a:srgbClr val="159DCF"/>
                        </a:solidFill>
                      </wps:spPr>
                      <wps:bodyPr/>
                    </wps:wsp>
                  </a:graphicData>
                </a:graphic>
              </wp:anchor>
            </w:drawing>
          </mc:Choice>
          <mc:Fallback>
            <w:pict>
              <v:rect id="Shape 617" o:spid="_x0000_s1642" style="position:absolute;margin-left:0pt;margin-top:0.7pt;width:58.5pt;height:85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Default="00C27636">
      <w:pPr>
        <w:ind w:left="989"/>
        <w:rPr>
          <w:sz w:val="20"/>
          <w:szCs w:val="20"/>
        </w:rPr>
      </w:pPr>
      <w:r>
        <w:rPr>
          <w:rFonts w:ascii="Cambria" w:eastAsia="Cambria" w:hAnsi="Cambria" w:cs="Cambria"/>
          <w:b/>
          <w:bCs/>
          <w:i/>
          <w:iCs/>
          <w:color w:val="0F6D8F"/>
          <w:sz w:val="26"/>
          <w:szCs w:val="26"/>
        </w:rPr>
        <w:t>Pour aller plus loin</w:t>
      </w:r>
    </w:p>
    <w:p w:rsidR="00AC12B4" w:rsidRDefault="00AC12B4">
      <w:pPr>
        <w:spacing w:line="207" w:lineRule="exact"/>
        <w:rPr>
          <w:sz w:val="20"/>
          <w:szCs w:val="20"/>
        </w:rPr>
      </w:pPr>
    </w:p>
    <w:p w:rsidR="00AC12B4" w:rsidRPr="00C27636" w:rsidRDefault="00C27636">
      <w:pPr>
        <w:numPr>
          <w:ilvl w:val="0"/>
          <w:numId w:val="391"/>
        </w:numPr>
        <w:tabs>
          <w:tab w:val="left" w:pos="1269"/>
        </w:tabs>
        <w:spacing w:line="234" w:lineRule="auto"/>
        <w:ind w:left="1269" w:right="520" w:hanging="356"/>
        <w:jc w:val="both"/>
        <w:rPr>
          <w:rFonts w:ascii="Calibri" w:eastAsia="Calibri" w:hAnsi="Calibri" w:cs="Calibri"/>
          <w:color w:val="4F81BD"/>
          <w:sz w:val="20"/>
          <w:szCs w:val="20"/>
          <w:lang w:val="fr-BE"/>
        </w:rPr>
      </w:pPr>
      <w:r w:rsidRPr="00C27636">
        <w:rPr>
          <w:rFonts w:ascii="Calibri" w:eastAsia="Calibri" w:hAnsi="Calibri" w:cs="Calibri"/>
          <w:b/>
          <w:bCs/>
          <w:i/>
          <w:iCs/>
          <w:color w:val="0F6D8F"/>
          <w:sz w:val="20"/>
          <w:szCs w:val="20"/>
          <w:lang w:val="fr-BE"/>
        </w:rPr>
        <w:t xml:space="preserve">Droit de plainte, contrôles externes </w:t>
      </w:r>
      <w:r w:rsidRPr="00C27636">
        <w:rPr>
          <w:rFonts w:ascii="Calibri" w:eastAsia="Calibri" w:hAnsi="Calibri" w:cs="Calibri"/>
          <w:b/>
          <w:bCs/>
          <w:i/>
          <w:iCs/>
          <w:color w:val="4F81BD"/>
          <w:sz w:val="20"/>
          <w:szCs w:val="20"/>
          <w:lang w:val="fr-BE"/>
        </w:rPr>
        <w:t>:</w:t>
      </w:r>
      <w:r w:rsidRPr="00C27636">
        <w:rPr>
          <w:rFonts w:ascii="Calibri" w:eastAsia="Calibri" w:hAnsi="Calibri" w:cs="Calibri"/>
          <w:b/>
          <w:bCs/>
          <w:i/>
          <w:iCs/>
          <w:color w:val="0F6D8F"/>
          <w:sz w:val="20"/>
          <w:szCs w:val="20"/>
          <w:lang w:val="fr-BE"/>
        </w:rPr>
        <w:t xml:space="preserve"> </w:t>
      </w:r>
      <w:r w:rsidRPr="00C27636">
        <w:rPr>
          <w:rFonts w:ascii="Calibri" w:eastAsia="Calibri" w:hAnsi="Calibri" w:cs="Calibri"/>
          <w:color w:val="000000"/>
          <w:sz w:val="20"/>
          <w:szCs w:val="20"/>
          <w:lang w:val="fr-BE"/>
        </w:rPr>
        <w:t>voir</w:t>
      </w:r>
      <w:r w:rsidRPr="00C27636">
        <w:rPr>
          <w:rFonts w:ascii="Calibri" w:eastAsia="Calibri" w:hAnsi="Calibri" w:cs="Calibri"/>
          <w:b/>
          <w:bCs/>
          <w:i/>
          <w:iCs/>
          <w:color w:val="0F6D8F"/>
          <w:sz w:val="20"/>
          <w:szCs w:val="20"/>
          <w:lang w:val="fr-BE"/>
        </w:rPr>
        <w:t xml:space="preserve"> </w:t>
      </w:r>
      <w:r w:rsidRPr="00C27636">
        <w:rPr>
          <w:rFonts w:ascii="Calibri" w:eastAsia="Calibri" w:hAnsi="Calibri" w:cs="Calibri"/>
          <w:color w:val="000000"/>
          <w:sz w:val="20"/>
          <w:szCs w:val="20"/>
          <w:lang w:val="fr-BE"/>
        </w:rPr>
        <w:t xml:space="preserve">l’indicateur ‘participation dans le cadre du placement’. Egalement hors le placement, à part les </w:t>
      </w:r>
      <w:r w:rsidRPr="00C27636">
        <w:rPr>
          <w:rFonts w:ascii="Calibri" w:eastAsia="Calibri" w:hAnsi="Calibri" w:cs="Calibri"/>
          <w:color w:val="000000"/>
          <w:sz w:val="20"/>
          <w:szCs w:val="20"/>
          <w:lang w:val="fr-BE"/>
        </w:rPr>
        <w:t>contrôles réguliers effectués en Communauté flamande, dans le cadre du Décret position juridique du mineur dans l’aide à la jeunesse intégrale, la réalisation de ce droit est peu encadrée par les instances.</w:t>
      </w:r>
    </w:p>
    <w:p w:rsidR="00AC12B4" w:rsidRPr="00C27636" w:rsidRDefault="00AC12B4">
      <w:pPr>
        <w:spacing w:line="9" w:lineRule="exact"/>
        <w:rPr>
          <w:rFonts w:ascii="Calibri" w:eastAsia="Calibri" w:hAnsi="Calibri" w:cs="Calibri"/>
          <w:color w:val="4F81BD"/>
          <w:sz w:val="20"/>
          <w:szCs w:val="20"/>
          <w:lang w:val="fr-BE"/>
        </w:rPr>
      </w:pPr>
    </w:p>
    <w:p w:rsidR="00AC12B4" w:rsidRDefault="00C27636">
      <w:pPr>
        <w:numPr>
          <w:ilvl w:val="0"/>
          <w:numId w:val="391"/>
        </w:numPr>
        <w:tabs>
          <w:tab w:val="left" w:pos="1269"/>
        </w:tabs>
        <w:ind w:left="1269" w:hanging="356"/>
        <w:rPr>
          <w:rFonts w:ascii="Calibri" w:eastAsia="Calibri" w:hAnsi="Calibri" w:cs="Calibri"/>
          <w:color w:val="0F6D8F"/>
          <w:sz w:val="20"/>
          <w:szCs w:val="20"/>
        </w:rPr>
      </w:pPr>
      <w:r>
        <w:rPr>
          <w:rFonts w:ascii="Calibri" w:eastAsia="Calibri" w:hAnsi="Calibri" w:cs="Calibri"/>
          <w:b/>
          <w:bCs/>
          <w:i/>
          <w:iCs/>
          <w:color w:val="0F6D8F"/>
          <w:sz w:val="20"/>
          <w:szCs w:val="20"/>
        </w:rPr>
        <w:t>Lectures recommandées</w:t>
      </w:r>
    </w:p>
    <w:p w:rsidR="00AC12B4" w:rsidRPr="00C27636" w:rsidRDefault="00C27636">
      <w:pPr>
        <w:numPr>
          <w:ilvl w:val="0"/>
          <w:numId w:val="392"/>
        </w:numPr>
        <w:tabs>
          <w:tab w:val="left" w:pos="1849"/>
        </w:tabs>
        <w:spacing w:line="232" w:lineRule="auto"/>
        <w:ind w:left="1849" w:hanging="368"/>
        <w:rPr>
          <w:rFonts w:ascii="Courier New" w:eastAsia="Courier New" w:hAnsi="Courier New" w:cs="Courier New"/>
          <w:sz w:val="20"/>
          <w:szCs w:val="20"/>
          <w:lang w:val="fr-BE"/>
        </w:rPr>
      </w:pPr>
      <w:r w:rsidRPr="00C27636">
        <w:rPr>
          <w:rFonts w:ascii="Calibri" w:eastAsia="Calibri" w:hAnsi="Calibri" w:cs="Calibri"/>
          <w:sz w:val="20"/>
          <w:szCs w:val="20"/>
          <w:lang w:val="fr-BE"/>
        </w:rPr>
        <w:t>Plate-forme Mineurs en exi</w:t>
      </w:r>
      <w:r w:rsidRPr="00C27636">
        <w:rPr>
          <w:rFonts w:ascii="Calibri" w:eastAsia="Calibri" w:hAnsi="Calibri" w:cs="Calibri"/>
          <w:sz w:val="20"/>
          <w:szCs w:val="20"/>
          <w:lang w:val="fr-BE"/>
        </w:rPr>
        <w:t>l:</w:t>
      </w:r>
    </w:p>
    <w:p w:rsidR="00AC12B4" w:rsidRPr="00C27636" w:rsidRDefault="00AC12B4">
      <w:pPr>
        <w:spacing w:line="47" w:lineRule="exact"/>
        <w:rPr>
          <w:rFonts w:ascii="Courier New" w:eastAsia="Courier New" w:hAnsi="Courier New" w:cs="Courier New"/>
          <w:sz w:val="20"/>
          <w:szCs w:val="20"/>
          <w:lang w:val="fr-BE"/>
        </w:rPr>
      </w:pPr>
    </w:p>
    <w:p w:rsidR="00AC12B4" w:rsidRPr="00C27636" w:rsidRDefault="00C27636">
      <w:pPr>
        <w:numPr>
          <w:ilvl w:val="1"/>
          <w:numId w:val="392"/>
        </w:numPr>
        <w:tabs>
          <w:tab w:val="left" w:pos="2549"/>
        </w:tabs>
        <w:spacing w:line="186" w:lineRule="auto"/>
        <w:ind w:left="2549" w:right="520" w:hanging="360"/>
        <w:jc w:val="both"/>
        <w:rPr>
          <w:rFonts w:ascii="Wingdings" w:eastAsia="Wingdings" w:hAnsi="Wingdings" w:cs="Wingdings"/>
          <w:sz w:val="38"/>
          <w:szCs w:val="38"/>
          <w:vertAlign w:val="superscript"/>
          <w:lang w:val="fr-BE"/>
        </w:rPr>
      </w:pPr>
      <w:r w:rsidRPr="00C27636">
        <w:rPr>
          <w:rFonts w:ascii="Calibri" w:eastAsia="Calibri" w:hAnsi="Calibri" w:cs="Calibri"/>
          <w:sz w:val="19"/>
          <w:szCs w:val="19"/>
          <w:lang w:val="fr-BE"/>
        </w:rPr>
        <w:t>Closing a protection gap - Standards de qualité pour les tuteurs des mineurs</w:t>
      </w:r>
    </w:p>
    <w:p w:rsidR="00AC12B4" w:rsidRPr="00C27636" w:rsidRDefault="00AC12B4">
      <w:pPr>
        <w:spacing w:line="46" w:lineRule="exact"/>
        <w:rPr>
          <w:rFonts w:ascii="Wingdings" w:eastAsia="Wingdings" w:hAnsi="Wingdings" w:cs="Wingdings"/>
          <w:sz w:val="38"/>
          <w:szCs w:val="38"/>
          <w:vertAlign w:val="superscript"/>
          <w:lang w:val="fr-BE"/>
        </w:rPr>
      </w:pPr>
    </w:p>
    <w:p w:rsidR="00AC12B4" w:rsidRPr="00C27636" w:rsidRDefault="00C27636">
      <w:pPr>
        <w:spacing w:line="225" w:lineRule="auto"/>
        <w:ind w:left="2549" w:right="520"/>
        <w:rPr>
          <w:rFonts w:ascii="Wingdings" w:eastAsia="Wingdings" w:hAnsi="Wingdings" w:cs="Wingdings"/>
          <w:sz w:val="38"/>
          <w:szCs w:val="38"/>
          <w:vertAlign w:val="superscript"/>
          <w:lang w:val="fr-BE"/>
        </w:rPr>
      </w:pPr>
      <w:r w:rsidRPr="00C27636">
        <w:rPr>
          <w:rFonts w:ascii="Calibri" w:eastAsia="Calibri" w:hAnsi="Calibri" w:cs="Calibri"/>
          <w:sz w:val="20"/>
          <w:szCs w:val="20"/>
          <w:lang w:val="fr-BE"/>
        </w:rPr>
        <w:t>étrangers non accompagnés, www.mineursenexil.be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4"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Les droits des mineurs étrangers</w:t>
            </w:r>
          </w:p>
        </w:tc>
      </w:tr>
    </w:tbl>
    <w:p w:rsidR="00AC12B4" w:rsidRPr="00C27636" w:rsidRDefault="00AC12B4">
      <w:pPr>
        <w:spacing w:line="28" w:lineRule="exact"/>
        <w:rPr>
          <w:sz w:val="20"/>
          <w:szCs w:val="20"/>
          <w:lang w:val="fr-BE"/>
        </w:rPr>
      </w:pPr>
    </w:p>
    <w:p w:rsidR="00AC12B4" w:rsidRDefault="00C27636">
      <w:pPr>
        <w:jc w:val="right"/>
        <w:rPr>
          <w:sz w:val="20"/>
          <w:szCs w:val="20"/>
        </w:rPr>
      </w:pPr>
      <w:r>
        <w:rPr>
          <w:rFonts w:ascii="Calibri" w:eastAsia="Calibri" w:hAnsi="Calibri" w:cs="Calibri"/>
        </w:rPr>
        <w:t>202</w:t>
      </w:r>
    </w:p>
    <w:p w:rsidR="00AC12B4" w:rsidRDefault="00C27636">
      <w:pPr>
        <w:spacing w:line="20" w:lineRule="exact"/>
        <w:rPr>
          <w:sz w:val="20"/>
          <w:szCs w:val="20"/>
        </w:rPr>
      </w:pPr>
      <w:r>
        <w:rPr>
          <w:sz w:val="20"/>
          <w:szCs w:val="20"/>
        </w:rPr>
        <w:br w:type="column"/>
      </w:r>
    </w:p>
    <w:p w:rsidR="00AC12B4" w:rsidRDefault="00C27636">
      <w:pPr>
        <w:numPr>
          <w:ilvl w:val="0"/>
          <w:numId w:val="393"/>
        </w:numPr>
        <w:tabs>
          <w:tab w:val="left" w:pos="1063"/>
        </w:tabs>
        <w:ind w:left="1063" w:hanging="355"/>
        <w:rPr>
          <w:rFonts w:ascii="Wingdings" w:eastAsia="Wingdings" w:hAnsi="Wingdings" w:cs="Wingdings"/>
          <w:sz w:val="40"/>
          <w:szCs w:val="40"/>
          <w:vertAlign w:val="superscript"/>
        </w:rPr>
      </w:pPr>
      <w:r>
        <w:rPr>
          <w:rFonts w:ascii="Calibri" w:eastAsia="Calibri" w:hAnsi="Calibri" w:cs="Calibri"/>
          <w:sz w:val="20"/>
          <w:szCs w:val="20"/>
        </w:rPr>
        <w:t>Etude “ Solutions durables</w:t>
      </w:r>
    </w:p>
    <w:p w:rsidR="00AC12B4" w:rsidRDefault="00AC12B4">
      <w:pPr>
        <w:spacing w:line="1" w:lineRule="exact"/>
        <w:rPr>
          <w:sz w:val="20"/>
          <w:szCs w:val="20"/>
        </w:rPr>
      </w:pPr>
    </w:p>
    <w:p w:rsidR="00AC12B4" w:rsidRDefault="00C27636">
      <w:pPr>
        <w:ind w:left="1063"/>
        <w:rPr>
          <w:sz w:val="20"/>
          <w:szCs w:val="20"/>
        </w:rPr>
      </w:pPr>
      <w:r>
        <w:rPr>
          <w:rFonts w:ascii="Calibri" w:eastAsia="Calibri" w:hAnsi="Calibri" w:cs="Calibri"/>
          <w:sz w:val="20"/>
          <w:szCs w:val="20"/>
        </w:rPr>
        <w:t>pour les mineurs étrangers</w:t>
      </w:r>
    </w:p>
    <w:p w:rsidR="00AC12B4" w:rsidRDefault="00C27636">
      <w:pPr>
        <w:tabs>
          <w:tab w:val="left" w:pos="3162"/>
        </w:tabs>
        <w:ind w:left="1063"/>
        <w:rPr>
          <w:sz w:val="20"/>
          <w:szCs w:val="20"/>
        </w:rPr>
      </w:pPr>
      <w:r>
        <w:rPr>
          <w:rFonts w:ascii="Calibri" w:eastAsia="Calibri" w:hAnsi="Calibri" w:cs="Calibri"/>
          <w:sz w:val="20"/>
          <w:szCs w:val="20"/>
        </w:rPr>
        <w:t>non-accompagnés</w:t>
      </w:r>
      <w:r>
        <w:rPr>
          <w:sz w:val="20"/>
          <w:szCs w:val="20"/>
        </w:rPr>
        <w:tab/>
      </w:r>
      <w:r>
        <w:rPr>
          <w:rFonts w:ascii="Calibri" w:eastAsia="Calibri" w:hAnsi="Calibri" w:cs="Calibri"/>
          <w:sz w:val="19"/>
          <w:szCs w:val="19"/>
        </w:rPr>
        <w:t>en</w:t>
      </w:r>
    </w:p>
    <w:p w:rsidR="00AC12B4" w:rsidRDefault="00AC12B4">
      <w:pPr>
        <w:spacing w:line="1" w:lineRule="exact"/>
        <w:rPr>
          <w:sz w:val="20"/>
          <w:szCs w:val="20"/>
        </w:rPr>
      </w:pPr>
    </w:p>
    <w:p w:rsidR="00AC12B4" w:rsidRDefault="00C27636">
      <w:pPr>
        <w:tabs>
          <w:tab w:val="left" w:pos="2262"/>
        </w:tabs>
        <w:ind w:left="1063"/>
        <w:rPr>
          <w:sz w:val="20"/>
          <w:szCs w:val="20"/>
        </w:rPr>
      </w:pPr>
      <w:r>
        <w:rPr>
          <w:rFonts w:ascii="Calibri" w:eastAsia="Calibri" w:hAnsi="Calibri" w:cs="Calibri"/>
          <w:sz w:val="20"/>
          <w:szCs w:val="20"/>
        </w:rPr>
        <w:t>Europe »,</w:t>
      </w:r>
      <w:r>
        <w:rPr>
          <w:sz w:val="20"/>
          <w:szCs w:val="20"/>
        </w:rPr>
        <w:tab/>
      </w:r>
      <w:r>
        <w:rPr>
          <w:rFonts w:ascii="Calibri" w:eastAsia="Calibri" w:hAnsi="Calibri" w:cs="Calibri"/>
          <w:sz w:val="19"/>
          <w:szCs w:val="19"/>
        </w:rPr>
        <w:t>Financement:</w:t>
      </w:r>
    </w:p>
    <w:p w:rsidR="00AC12B4" w:rsidRDefault="00AC12B4">
      <w:pPr>
        <w:spacing w:line="1" w:lineRule="exact"/>
        <w:rPr>
          <w:sz w:val="20"/>
          <w:szCs w:val="20"/>
        </w:rPr>
      </w:pPr>
    </w:p>
    <w:p w:rsidR="00AC12B4" w:rsidRDefault="00C27636">
      <w:pPr>
        <w:tabs>
          <w:tab w:val="left" w:pos="2002"/>
          <w:tab w:val="left" w:pos="3142"/>
        </w:tabs>
        <w:ind w:left="1063"/>
        <w:rPr>
          <w:sz w:val="20"/>
          <w:szCs w:val="20"/>
        </w:rPr>
      </w:pPr>
      <w:r>
        <w:rPr>
          <w:rFonts w:ascii="Calibri" w:eastAsia="Calibri" w:hAnsi="Calibri" w:cs="Calibri"/>
          <w:sz w:val="20"/>
          <w:szCs w:val="20"/>
        </w:rPr>
        <w:t>Pilot</w:t>
      </w:r>
      <w:r>
        <w:rPr>
          <w:sz w:val="20"/>
          <w:szCs w:val="20"/>
        </w:rPr>
        <w:tab/>
      </w:r>
      <w:r>
        <w:rPr>
          <w:rFonts w:ascii="Calibri" w:eastAsia="Calibri" w:hAnsi="Calibri" w:cs="Calibri"/>
          <w:sz w:val="20"/>
          <w:szCs w:val="20"/>
        </w:rPr>
        <w:t>Project</w:t>
      </w:r>
      <w:r>
        <w:rPr>
          <w:sz w:val="20"/>
          <w:szCs w:val="20"/>
        </w:rPr>
        <w:tab/>
      </w:r>
      <w:r>
        <w:rPr>
          <w:rFonts w:ascii="Calibri" w:eastAsia="Calibri" w:hAnsi="Calibri" w:cs="Calibri"/>
          <w:sz w:val="20"/>
          <w:szCs w:val="20"/>
        </w:rPr>
        <w:t>on</w:t>
      </w:r>
    </w:p>
    <w:p w:rsidR="00AC12B4" w:rsidRDefault="00C27636">
      <w:pPr>
        <w:tabs>
          <w:tab w:val="left" w:pos="2782"/>
        </w:tabs>
        <w:spacing w:line="238" w:lineRule="auto"/>
        <w:ind w:left="1063"/>
        <w:rPr>
          <w:sz w:val="20"/>
          <w:szCs w:val="20"/>
        </w:rPr>
      </w:pPr>
      <w:r>
        <w:rPr>
          <w:rFonts w:ascii="Calibri" w:eastAsia="Calibri" w:hAnsi="Calibri" w:cs="Calibri"/>
          <w:sz w:val="20"/>
          <w:szCs w:val="20"/>
        </w:rPr>
        <w:t>Unaccompanied</w:t>
      </w:r>
      <w:r>
        <w:rPr>
          <w:sz w:val="20"/>
          <w:szCs w:val="20"/>
        </w:rPr>
        <w:tab/>
      </w:r>
      <w:r>
        <w:rPr>
          <w:rFonts w:ascii="Calibri" w:eastAsia="Calibri" w:hAnsi="Calibri" w:cs="Calibri"/>
          <w:sz w:val="20"/>
          <w:szCs w:val="20"/>
        </w:rPr>
        <w:t>Minors</w:t>
      </w:r>
    </w:p>
    <w:p w:rsidR="00AC12B4" w:rsidRDefault="00AC12B4">
      <w:pPr>
        <w:spacing w:line="13" w:lineRule="exact"/>
        <w:rPr>
          <w:sz w:val="20"/>
          <w:szCs w:val="20"/>
        </w:rPr>
      </w:pPr>
    </w:p>
    <w:p w:rsidR="00AC12B4" w:rsidRDefault="00C27636">
      <w:pPr>
        <w:tabs>
          <w:tab w:val="left" w:pos="2582"/>
        </w:tabs>
        <w:ind w:left="1063"/>
        <w:rPr>
          <w:sz w:val="20"/>
          <w:szCs w:val="20"/>
        </w:rPr>
      </w:pPr>
      <w:r>
        <w:rPr>
          <w:rFonts w:ascii="Calibri" w:eastAsia="Calibri" w:hAnsi="Calibri" w:cs="Calibri"/>
          <w:sz w:val="19"/>
          <w:szCs w:val="19"/>
        </w:rPr>
        <w:t>2013,</w:t>
      </w:r>
      <w:r>
        <w:rPr>
          <w:sz w:val="20"/>
          <w:szCs w:val="20"/>
        </w:rPr>
        <w:tab/>
      </w:r>
      <w:r>
        <w:rPr>
          <w:rFonts w:ascii="Calibri" w:eastAsia="Calibri" w:hAnsi="Calibri" w:cs="Calibri"/>
          <w:sz w:val="19"/>
          <w:szCs w:val="19"/>
        </w:rPr>
        <w:t>European</w:t>
      </w:r>
    </w:p>
    <w:p w:rsidR="00AC12B4" w:rsidRDefault="00AC12B4">
      <w:pPr>
        <w:spacing w:line="1" w:lineRule="exact"/>
        <w:rPr>
          <w:sz w:val="20"/>
          <w:szCs w:val="20"/>
        </w:rPr>
      </w:pPr>
    </w:p>
    <w:p w:rsidR="00AC12B4" w:rsidRDefault="00C27636">
      <w:pPr>
        <w:ind w:left="1063"/>
        <w:rPr>
          <w:sz w:val="20"/>
          <w:szCs w:val="20"/>
        </w:rPr>
      </w:pPr>
      <w:r>
        <w:rPr>
          <w:rFonts w:ascii="Calibri" w:eastAsia="Calibri" w:hAnsi="Calibri" w:cs="Calibri"/>
          <w:sz w:val="20"/>
          <w:szCs w:val="20"/>
        </w:rPr>
        <w:t>Commission  Directorate  –</w:t>
      </w:r>
    </w:p>
    <w:p w:rsidR="00AC12B4" w:rsidRDefault="00AC12B4">
      <w:pPr>
        <w:spacing w:line="1" w:lineRule="exact"/>
        <w:rPr>
          <w:sz w:val="20"/>
          <w:szCs w:val="20"/>
        </w:rPr>
      </w:pPr>
    </w:p>
    <w:p w:rsidR="00AC12B4" w:rsidRDefault="00C27636">
      <w:pPr>
        <w:tabs>
          <w:tab w:val="left" w:pos="1982"/>
          <w:tab w:val="left" w:pos="2782"/>
        </w:tabs>
        <w:ind w:left="1063"/>
        <w:rPr>
          <w:sz w:val="20"/>
          <w:szCs w:val="20"/>
        </w:rPr>
      </w:pPr>
      <w:r>
        <w:rPr>
          <w:rFonts w:ascii="Calibri" w:eastAsia="Calibri" w:hAnsi="Calibri" w:cs="Calibri"/>
          <w:sz w:val="20"/>
          <w:szCs w:val="20"/>
        </w:rPr>
        <w:t>General</w:t>
      </w:r>
      <w:r>
        <w:rPr>
          <w:rFonts w:ascii="Calibri" w:eastAsia="Calibri" w:hAnsi="Calibri" w:cs="Calibri"/>
          <w:sz w:val="20"/>
          <w:szCs w:val="20"/>
        </w:rPr>
        <w:tab/>
        <w:t>Home</w:t>
      </w:r>
      <w:r>
        <w:rPr>
          <w:rFonts w:ascii="Calibri" w:eastAsia="Calibri" w:hAnsi="Calibri" w:cs="Calibri"/>
          <w:sz w:val="20"/>
          <w:szCs w:val="20"/>
        </w:rPr>
        <w:tab/>
        <w:t>Affairs,</w:t>
      </w:r>
    </w:p>
    <w:p w:rsidR="00AC12B4" w:rsidRDefault="00C27636">
      <w:pPr>
        <w:spacing w:line="238" w:lineRule="auto"/>
        <w:ind w:left="1063"/>
        <w:rPr>
          <w:sz w:val="20"/>
          <w:szCs w:val="20"/>
        </w:rPr>
      </w:pPr>
      <w:r>
        <w:rPr>
          <w:rFonts w:ascii="Calibri" w:eastAsia="Calibri" w:hAnsi="Calibri" w:cs="Calibri"/>
          <w:sz w:val="20"/>
          <w:szCs w:val="20"/>
        </w:rPr>
        <w:t>Asylum and Migration Fund</w:t>
      </w:r>
    </w:p>
    <w:p w:rsidR="00AC12B4" w:rsidRDefault="00AC12B4">
      <w:pPr>
        <w:spacing w:line="48" w:lineRule="exact"/>
        <w:rPr>
          <w:sz w:val="20"/>
          <w:szCs w:val="20"/>
        </w:rPr>
      </w:pPr>
    </w:p>
    <w:p w:rsidR="00AC12B4" w:rsidRDefault="00C27636">
      <w:pPr>
        <w:numPr>
          <w:ilvl w:val="0"/>
          <w:numId w:val="394"/>
        </w:numPr>
        <w:tabs>
          <w:tab w:val="left" w:pos="363"/>
        </w:tabs>
        <w:spacing w:line="223" w:lineRule="auto"/>
        <w:ind w:left="363" w:right="737" w:hanging="363"/>
        <w:jc w:val="both"/>
        <w:rPr>
          <w:rFonts w:ascii="Courier New" w:eastAsia="Courier New" w:hAnsi="Courier New" w:cs="Courier New"/>
          <w:sz w:val="20"/>
          <w:szCs w:val="20"/>
        </w:rPr>
      </w:pPr>
      <w:r>
        <w:rPr>
          <w:rFonts w:ascii="Calibri" w:eastAsia="Calibri" w:hAnsi="Calibri" w:cs="Calibri"/>
          <w:sz w:val="20"/>
          <w:szCs w:val="20"/>
        </w:rPr>
        <w:t xml:space="preserve">FRA, </w:t>
      </w:r>
      <w:r>
        <w:rPr>
          <w:rFonts w:ascii="Calibri" w:eastAsia="Calibri" w:hAnsi="Calibri" w:cs="Calibri"/>
          <w:i/>
          <w:iCs/>
          <w:sz w:val="20"/>
          <w:szCs w:val="20"/>
        </w:rPr>
        <w:t>Handbook "Guardianship for</w:t>
      </w:r>
      <w:r>
        <w:rPr>
          <w:rFonts w:ascii="Calibri" w:eastAsia="Calibri" w:hAnsi="Calibri" w:cs="Calibri"/>
          <w:sz w:val="20"/>
          <w:szCs w:val="20"/>
        </w:rPr>
        <w:t xml:space="preserve"> </w:t>
      </w:r>
      <w:r>
        <w:rPr>
          <w:rFonts w:ascii="Calibri" w:eastAsia="Calibri" w:hAnsi="Calibri" w:cs="Calibri"/>
          <w:i/>
          <w:iCs/>
          <w:sz w:val="20"/>
          <w:szCs w:val="20"/>
        </w:rPr>
        <w:t>children deprived of parental care"</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2014.</w:t>
      </w:r>
    </w:p>
    <w:p w:rsidR="00AC12B4" w:rsidRDefault="00AC12B4">
      <w:pPr>
        <w:sectPr w:rsidR="00AC12B4">
          <w:pgSz w:w="12080" w:h="17179"/>
          <w:pgMar w:top="1404" w:right="1440" w:bottom="659" w:left="451" w:header="0" w:footer="0" w:gutter="0"/>
          <w:cols w:num="2" w:space="720" w:equalWidth="0">
            <w:col w:w="5389" w:space="677"/>
            <w:col w:w="4119"/>
          </w:cols>
        </w:sectPr>
      </w:pPr>
    </w:p>
    <w:bookmarkStart w:id="203" w:name="page203"/>
    <w:bookmarkEnd w:id="203"/>
    <w:p w:rsidR="00AC12B4" w:rsidRDefault="00C27636">
      <w:pPr>
        <w:spacing w:line="168" w:lineRule="exact"/>
        <w:rPr>
          <w:sz w:val="20"/>
          <w:szCs w:val="20"/>
        </w:rPr>
      </w:pPr>
      <w:r>
        <w:rPr>
          <w:noProof/>
          <w:sz w:val="20"/>
          <w:szCs w:val="20"/>
        </w:rPr>
        <mc:AlternateContent>
          <mc:Choice Requires="wps">
            <w:drawing>
              <wp:anchor distT="0" distB="0" distL="114300" distR="114300" simplePos="0" relativeHeight="251948544" behindDoc="1" locked="0" layoutInCell="0" allowOverlap="1">
                <wp:simplePos x="0" y="0"/>
                <wp:positionH relativeFrom="page">
                  <wp:posOffset>6934200</wp:posOffset>
                </wp:positionH>
                <wp:positionV relativeFrom="page">
                  <wp:posOffset>0</wp:posOffset>
                </wp:positionV>
                <wp:extent cx="734060" cy="10905490"/>
                <wp:effectExtent l="0" t="0" r="0" b="0"/>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5490"/>
                        </a:xfrm>
                        <a:prstGeom prst="rect">
                          <a:avLst/>
                        </a:prstGeom>
                        <a:solidFill>
                          <a:srgbClr val="159DCF"/>
                        </a:solidFill>
                      </wps:spPr>
                      <wps:bodyPr/>
                    </wps:wsp>
                  </a:graphicData>
                </a:graphic>
              </wp:anchor>
            </w:drawing>
          </mc:Choice>
          <mc:Fallback>
            <w:pict>
              <v:rect id="Shape 618" o:spid="_x0000_s1643" style="position:absolute;margin-left:546pt;margin-top:0pt;width:57.8pt;height:858.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Pr="00C27636" w:rsidRDefault="00C27636">
      <w:pPr>
        <w:spacing w:line="276" w:lineRule="auto"/>
        <w:ind w:left="880" w:right="1260"/>
        <w:rPr>
          <w:sz w:val="20"/>
          <w:szCs w:val="20"/>
          <w:lang w:val="fr-BE"/>
        </w:rPr>
      </w:pPr>
      <w:r w:rsidRPr="00C27636">
        <w:rPr>
          <w:rFonts w:ascii="Comic Sans MS" w:eastAsia="Comic Sans MS" w:hAnsi="Comic Sans MS" w:cs="Comic Sans MS"/>
          <w:color w:val="159DCF"/>
          <w:sz w:val="40"/>
          <w:szCs w:val="40"/>
          <w:lang w:val="fr-BE"/>
        </w:rPr>
        <w:t>ME4. Solution durable pour les mineurs étrangers</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49568" behindDoc="1" locked="0" layoutInCell="0" allowOverlap="1">
                <wp:simplePos x="0" y="0"/>
                <wp:positionH relativeFrom="column">
                  <wp:posOffset>-351155</wp:posOffset>
                </wp:positionH>
                <wp:positionV relativeFrom="paragraph">
                  <wp:posOffset>142240</wp:posOffset>
                </wp:positionV>
                <wp:extent cx="3559810" cy="1709420"/>
                <wp:effectExtent l="0" t="0" r="0" b="0"/>
                <wp:wrapNone/>
                <wp:docPr id="619" name="Shape 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810" cy="1709420"/>
                        </a:xfrm>
                        <a:prstGeom prst="rect">
                          <a:avLst/>
                        </a:prstGeom>
                        <a:solidFill>
                          <a:srgbClr val="159DCF"/>
                        </a:solidFill>
                      </wps:spPr>
                      <wps:bodyPr/>
                    </wps:wsp>
                  </a:graphicData>
                </a:graphic>
              </wp:anchor>
            </w:drawing>
          </mc:Choice>
          <mc:Fallback>
            <w:pict>
              <v:rect id="Shape 619" o:spid="_x0000_s1644" style="position:absolute;margin-left:-27.6499pt;margin-top:11.2pt;width:280.3pt;height:13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59DCF" stroked="f"/>
            </w:pict>
          </mc:Fallback>
        </mc:AlternateContent>
      </w:r>
      <w:r>
        <w:rPr>
          <w:noProof/>
          <w:sz w:val="20"/>
          <w:szCs w:val="20"/>
        </w:rPr>
        <mc:AlternateContent>
          <mc:Choice Requires="wps">
            <w:drawing>
              <wp:anchor distT="0" distB="0" distL="114300" distR="114300" simplePos="0" relativeHeight="251950592" behindDoc="1" locked="0" layoutInCell="0" allowOverlap="1">
                <wp:simplePos x="0" y="0"/>
                <wp:positionH relativeFrom="column">
                  <wp:posOffset>3208655</wp:posOffset>
                </wp:positionH>
                <wp:positionV relativeFrom="paragraph">
                  <wp:posOffset>129540</wp:posOffset>
                </wp:positionV>
                <wp:extent cx="0" cy="1734820"/>
                <wp:effectExtent l="0" t="0" r="0" b="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34820"/>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20" o:spid="_x0000_s16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5pt,10.2pt" to="252.65pt,146.8pt" o:allowincell="f" strokecolor="#0F6D8F" strokeweight="2pt"/>
            </w:pict>
          </mc:Fallback>
        </mc:AlternateContent>
      </w:r>
      <w:r>
        <w:rPr>
          <w:noProof/>
          <w:sz w:val="20"/>
          <w:szCs w:val="20"/>
        </w:rPr>
        <mc:AlternateContent>
          <mc:Choice Requires="wps">
            <w:drawing>
              <wp:anchor distT="0" distB="0" distL="114300" distR="114300" simplePos="0" relativeHeight="251951616" behindDoc="1" locked="0" layoutInCell="0" allowOverlap="1">
                <wp:simplePos x="0" y="0"/>
                <wp:positionH relativeFrom="column">
                  <wp:posOffset>-363855</wp:posOffset>
                </wp:positionH>
                <wp:positionV relativeFrom="paragraph">
                  <wp:posOffset>142240</wp:posOffset>
                </wp:positionV>
                <wp:extent cx="3585210" cy="0"/>
                <wp:effectExtent l="0" t="0" r="0" b="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1.2pt" to="253.65pt,11.2pt" o:allowincell="f" strokecolor="#0F6D8F" strokeweight="2pt"/>
            </w:pict>
          </mc:Fallback>
        </mc:AlternateContent>
      </w:r>
      <w:r>
        <w:rPr>
          <w:noProof/>
          <w:sz w:val="20"/>
          <w:szCs w:val="20"/>
        </w:rPr>
        <mc:AlternateContent>
          <mc:Choice Requires="wps">
            <w:drawing>
              <wp:anchor distT="0" distB="0" distL="114300" distR="114300" simplePos="0" relativeHeight="251952640" behindDoc="1" locked="0" layoutInCell="0" allowOverlap="1">
                <wp:simplePos x="0" y="0"/>
                <wp:positionH relativeFrom="column">
                  <wp:posOffset>-351155</wp:posOffset>
                </wp:positionH>
                <wp:positionV relativeFrom="paragraph">
                  <wp:posOffset>129540</wp:posOffset>
                </wp:positionV>
                <wp:extent cx="0" cy="1734820"/>
                <wp:effectExtent l="0" t="0" r="0" b="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34820"/>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10.2pt" to="-27.6499pt,146.8pt" o:allowincell="f" strokecolor="#0F6D8F" strokeweight="2pt"/>
            </w:pict>
          </mc:Fallback>
        </mc:AlternateContent>
      </w:r>
      <w:r>
        <w:rPr>
          <w:noProof/>
          <w:sz w:val="20"/>
          <w:szCs w:val="20"/>
        </w:rPr>
        <mc:AlternateContent>
          <mc:Choice Requires="wps">
            <w:drawing>
              <wp:anchor distT="0" distB="0" distL="114300" distR="114300" simplePos="0" relativeHeight="251953664" behindDoc="1" locked="0" layoutInCell="0" allowOverlap="1">
                <wp:simplePos x="0" y="0"/>
                <wp:positionH relativeFrom="column">
                  <wp:posOffset>-363855</wp:posOffset>
                </wp:positionH>
                <wp:positionV relativeFrom="paragraph">
                  <wp:posOffset>1851660</wp:posOffset>
                </wp:positionV>
                <wp:extent cx="3585210" cy="0"/>
                <wp:effectExtent l="0" t="0" r="0" b="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85210" cy="4763"/>
                        </a:xfrm>
                        <a:prstGeom prst="line">
                          <a:avLst/>
                        </a:prstGeom>
                        <a:solidFill>
                          <a:srgbClr val="FFFFFF"/>
                        </a:solidFill>
                        <a:ln w="25400">
                          <a:solidFill>
                            <a:srgbClr val="0F6D8F"/>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45.8pt" to="253.65pt,145.8pt" o:allowincell="f" strokecolor="#0F6D8F" strokeweight="2pt"/>
            </w:pict>
          </mc:Fallback>
        </mc:AlternateContent>
      </w:r>
    </w:p>
    <w:p w:rsidR="00AC12B4" w:rsidRPr="00C27636" w:rsidRDefault="00AC12B4">
      <w:pPr>
        <w:rPr>
          <w:lang w:val="fr-BE"/>
        </w:rPr>
        <w:sectPr w:rsidR="00AC12B4" w:rsidRPr="00C27636">
          <w:pgSz w:w="12080" w:h="17179"/>
          <w:pgMar w:top="1440" w:right="357" w:bottom="659" w:left="1120" w:header="0" w:footer="0" w:gutter="0"/>
          <w:cols w:space="720" w:equalWidth="0">
            <w:col w:w="10600"/>
          </w:cols>
        </w:sectPr>
      </w:pPr>
    </w:p>
    <w:p w:rsidR="00AC12B4" w:rsidRPr="00C27636" w:rsidRDefault="00AC12B4">
      <w:pPr>
        <w:spacing w:line="200" w:lineRule="exact"/>
        <w:rPr>
          <w:sz w:val="20"/>
          <w:szCs w:val="20"/>
          <w:lang w:val="fr-BE"/>
        </w:rPr>
      </w:pPr>
    </w:p>
    <w:p w:rsidR="00AC12B4" w:rsidRPr="00C27636" w:rsidRDefault="00AC12B4">
      <w:pPr>
        <w:spacing w:line="303" w:lineRule="exact"/>
        <w:rPr>
          <w:sz w:val="20"/>
          <w:szCs w:val="20"/>
          <w:lang w:val="fr-BE"/>
        </w:rPr>
      </w:pPr>
    </w:p>
    <w:p w:rsidR="00AC12B4" w:rsidRDefault="00C27636">
      <w:pPr>
        <w:rPr>
          <w:sz w:val="20"/>
          <w:szCs w:val="20"/>
        </w:rPr>
      </w:pPr>
      <w:r>
        <w:rPr>
          <w:rFonts w:ascii="Calibri" w:eastAsia="Calibri" w:hAnsi="Calibri" w:cs="Calibri"/>
          <w:i/>
          <w:iCs/>
          <w:color w:val="DAEEF3"/>
        </w:rPr>
        <w:t>CIDE Article 3</w:t>
      </w:r>
    </w:p>
    <w:p w:rsidR="00AC12B4" w:rsidRDefault="00AC12B4">
      <w:pPr>
        <w:spacing w:line="169" w:lineRule="exact"/>
        <w:rPr>
          <w:sz w:val="20"/>
          <w:szCs w:val="20"/>
        </w:rPr>
      </w:pPr>
    </w:p>
    <w:p w:rsidR="00AC12B4" w:rsidRPr="00C27636" w:rsidRDefault="00C27636">
      <w:pPr>
        <w:numPr>
          <w:ilvl w:val="0"/>
          <w:numId w:val="395"/>
        </w:numPr>
        <w:tabs>
          <w:tab w:val="left" w:pos="220"/>
        </w:tabs>
        <w:spacing w:line="233" w:lineRule="auto"/>
        <w:ind w:right="380" w:firstLine="8"/>
        <w:jc w:val="both"/>
        <w:rPr>
          <w:rFonts w:ascii="Calibri" w:eastAsia="Calibri" w:hAnsi="Calibri" w:cs="Calibri"/>
          <w:i/>
          <w:iCs/>
          <w:color w:val="DAEEF3"/>
          <w:lang w:val="fr-BE"/>
        </w:rPr>
      </w:pPr>
      <w:r w:rsidRPr="00C27636">
        <w:rPr>
          <w:rFonts w:ascii="Calibri" w:eastAsia="Calibri" w:hAnsi="Calibri" w:cs="Calibri"/>
          <w:i/>
          <w:iCs/>
          <w:color w:val="DAEEF3"/>
          <w:lang w:val="fr-BE"/>
        </w:rPr>
        <w:t xml:space="preserve">Dans toutes les décisions qui concernent les enfants, qu’elles soient le fait des institutions publiques ou privées de protection </w:t>
      </w:r>
      <w:r w:rsidRPr="00C27636">
        <w:rPr>
          <w:rFonts w:ascii="Calibri" w:eastAsia="Calibri" w:hAnsi="Calibri" w:cs="Calibri"/>
          <w:i/>
          <w:iCs/>
          <w:color w:val="DAEEF3"/>
          <w:lang w:val="fr-BE"/>
        </w:rPr>
        <w:t>sociale, des tribunaux, des autorités administratives ou des organes législatifs, l’intérêt supérieur de l’enfant doit être une considération primordiale.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19" w:lineRule="exact"/>
        <w:rPr>
          <w:sz w:val="20"/>
          <w:szCs w:val="20"/>
          <w:lang w:val="fr-BE"/>
        </w:rPr>
      </w:pPr>
    </w:p>
    <w:p w:rsidR="00AC12B4" w:rsidRPr="00C27636" w:rsidRDefault="00C27636">
      <w:pPr>
        <w:spacing w:line="233" w:lineRule="auto"/>
        <w:ind w:left="880" w:right="520"/>
        <w:jc w:val="both"/>
        <w:rPr>
          <w:sz w:val="20"/>
          <w:szCs w:val="20"/>
          <w:lang w:val="fr-BE"/>
        </w:rPr>
      </w:pPr>
      <w:r w:rsidRPr="00C27636">
        <w:rPr>
          <w:rFonts w:ascii="Calibri" w:eastAsia="Calibri" w:hAnsi="Calibri" w:cs="Calibri"/>
          <w:lang w:val="fr-BE"/>
        </w:rPr>
        <w:t>Dans les décisions qui ont des conséquences pour les enfants, l’intérêt supérieur de l’enfant doit</w:t>
      </w:r>
      <w:r w:rsidRPr="00C27636">
        <w:rPr>
          <w:rFonts w:ascii="Calibri" w:eastAsia="Calibri" w:hAnsi="Calibri" w:cs="Calibri"/>
          <w:lang w:val="fr-BE"/>
        </w:rPr>
        <w:t xml:space="preserve"> être une considération primordiale et les États parties s’engagent à assurer à l’enfant toute la protection et tous les soins nécessaires à son bien-être (art. 3 CIDE).</w:t>
      </w:r>
    </w:p>
    <w:p w:rsidR="00AC12B4" w:rsidRPr="00C27636" w:rsidRDefault="00AC12B4">
      <w:pPr>
        <w:spacing w:line="174" w:lineRule="exact"/>
        <w:rPr>
          <w:sz w:val="20"/>
          <w:szCs w:val="20"/>
          <w:lang w:val="fr-BE"/>
        </w:rPr>
      </w:pPr>
    </w:p>
    <w:p w:rsidR="00AC12B4" w:rsidRPr="00C27636" w:rsidRDefault="00C27636">
      <w:pPr>
        <w:spacing w:line="235" w:lineRule="auto"/>
        <w:ind w:left="880" w:right="520"/>
        <w:jc w:val="both"/>
        <w:rPr>
          <w:sz w:val="20"/>
          <w:szCs w:val="20"/>
          <w:lang w:val="fr-BE"/>
        </w:rPr>
      </w:pPr>
      <w:r w:rsidRPr="00C27636">
        <w:rPr>
          <w:rFonts w:ascii="Calibri" w:eastAsia="Calibri" w:hAnsi="Calibri" w:cs="Calibri"/>
          <w:lang w:val="fr-BE"/>
        </w:rPr>
        <w:t>Trouver une solution durable pour un mineur étranger ne peut se résumer à l’obtention</w:t>
      </w:r>
      <w:r w:rsidRPr="00C27636">
        <w:rPr>
          <w:rFonts w:ascii="Calibri" w:eastAsia="Calibri" w:hAnsi="Calibri" w:cs="Calibri"/>
          <w:lang w:val="fr-BE"/>
        </w:rPr>
        <w:t xml:space="preserve"> d’un titre de séjour. C’est pourquoi, en plus des données administratives portant sur l’obtention d’un statut (pt. 1), la CNDE envisage de lancer une enquête spéciale demandant, via leurs tuteurs, à ces jeunes, d’évaluer la mesure dans laquelle ils ont év</w:t>
      </w:r>
      <w:r w:rsidRPr="00C27636">
        <w:rPr>
          <w:rFonts w:ascii="Calibri" w:eastAsia="Calibri" w:hAnsi="Calibri" w:cs="Calibri"/>
          <w:lang w:val="fr-BE"/>
        </w:rPr>
        <w:t>olué vers un</w:t>
      </w:r>
    </w:p>
    <w:p w:rsidR="00AC12B4" w:rsidRPr="00C27636" w:rsidRDefault="00AC12B4">
      <w:pPr>
        <w:spacing w:line="51" w:lineRule="exact"/>
        <w:rPr>
          <w:sz w:val="20"/>
          <w:szCs w:val="20"/>
          <w:lang w:val="fr-BE"/>
        </w:rPr>
      </w:pPr>
    </w:p>
    <w:p w:rsidR="00AC12B4" w:rsidRPr="00C27636" w:rsidRDefault="00C27636">
      <w:pPr>
        <w:numPr>
          <w:ilvl w:val="0"/>
          <w:numId w:val="396"/>
        </w:numPr>
        <w:tabs>
          <w:tab w:val="left" w:pos="1043"/>
        </w:tabs>
        <w:spacing w:line="233" w:lineRule="auto"/>
        <w:ind w:left="880" w:right="520" w:firstLine="7"/>
        <w:jc w:val="both"/>
        <w:rPr>
          <w:rFonts w:ascii="Calibri" w:eastAsia="Calibri" w:hAnsi="Calibri" w:cs="Calibri"/>
          <w:lang w:val="fr-BE"/>
        </w:rPr>
      </w:pPr>
      <w:r w:rsidRPr="00C27636">
        <w:rPr>
          <w:rFonts w:ascii="Calibri" w:eastAsia="Calibri" w:hAnsi="Calibri" w:cs="Calibri"/>
          <w:lang w:val="fr-BE"/>
        </w:rPr>
        <w:t xml:space="preserve">projet de vie cohérent » (pt. 2). Ceci comprenant la réalisation pertinente de leur droit à l’enseignement (en fonction de leurs perspectives d’avenir) et au bien-être psycho-social (offre d’aide psychologique si besoin, logement décent, </w:t>
      </w:r>
      <w:r w:rsidRPr="00C27636">
        <w:rPr>
          <w:rFonts w:ascii="Calibri" w:eastAsia="Calibri" w:hAnsi="Calibri" w:cs="Calibri"/>
          <w:lang w:val="fr-BE"/>
        </w:rPr>
        <w:t>possibilité d’avoir une vie sociale,…)</w:t>
      </w:r>
    </w:p>
    <w:p w:rsidR="00AC12B4" w:rsidRPr="00C27636" w:rsidRDefault="00AC12B4">
      <w:pPr>
        <w:spacing w:line="217" w:lineRule="exact"/>
        <w:rPr>
          <w:sz w:val="20"/>
          <w:szCs w:val="20"/>
          <w:lang w:val="fr-BE"/>
        </w:rPr>
      </w:pPr>
    </w:p>
    <w:p w:rsidR="00AC12B4" w:rsidRPr="00C27636" w:rsidRDefault="00C27636">
      <w:pPr>
        <w:spacing w:line="294" w:lineRule="auto"/>
        <w:ind w:left="880" w:right="660"/>
        <w:rPr>
          <w:sz w:val="20"/>
          <w:szCs w:val="20"/>
          <w:lang w:val="fr-BE"/>
        </w:rPr>
      </w:pPr>
      <w:r w:rsidRPr="00C27636">
        <w:rPr>
          <w:rFonts w:ascii="Cambria" w:eastAsia="Cambria" w:hAnsi="Cambria" w:cs="Cambria"/>
          <w:b/>
          <w:bCs/>
          <w:i/>
          <w:iCs/>
          <w:color w:val="0F6D8F"/>
          <w:sz w:val="25"/>
          <w:szCs w:val="25"/>
          <w:lang w:val="fr-BE"/>
        </w:rPr>
        <w:t>Solution durable administrative avant l’âge de la majorité</w:t>
      </w:r>
    </w:p>
    <w:p w:rsidR="00AC12B4" w:rsidRPr="00C27636" w:rsidRDefault="00AC12B4">
      <w:pPr>
        <w:spacing w:line="143" w:lineRule="exact"/>
        <w:rPr>
          <w:sz w:val="20"/>
          <w:szCs w:val="20"/>
          <w:lang w:val="fr-BE"/>
        </w:rPr>
      </w:pPr>
    </w:p>
    <w:p w:rsidR="00AC12B4" w:rsidRPr="00C27636" w:rsidRDefault="00C27636">
      <w:pPr>
        <w:spacing w:line="229" w:lineRule="auto"/>
        <w:ind w:left="880" w:right="520"/>
        <w:jc w:val="both"/>
        <w:rPr>
          <w:sz w:val="20"/>
          <w:szCs w:val="20"/>
          <w:lang w:val="fr-BE"/>
        </w:rPr>
      </w:pPr>
      <w:r w:rsidRPr="00C27636">
        <w:rPr>
          <w:rFonts w:ascii="Calibri" w:eastAsia="Calibri" w:hAnsi="Calibri" w:cs="Calibri"/>
          <w:lang w:val="fr-BE"/>
        </w:rPr>
        <w:t>Plus de la moitié des MENA arrivant sur le territoire sont proches de la majorité (16-17 ans). La plupart d’entre eux demandent l’asile (278 de 16 et 17 ans</w:t>
      </w:r>
      <w:r w:rsidRPr="00C27636">
        <w:rPr>
          <w:rFonts w:ascii="Calibri" w:eastAsia="Calibri" w:hAnsi="Calibri" w:cs="Calibri"/>
          <w:lang w:val="fr-BE"/>
        </w:rPr>
        <w:t xml:space="preserve"> en 2014).</w:t>
      </w:r>
    </w:p>
    <w:p w:rsidR="00AC12B4" w:rsidRPr="00C27636" w:rsidRDefault="00AC12B4">
      <w:pPr>
        <w:spacing w:line="170" w:lineRule="exact"/>
        <w:rPr>
          <w:sz w:val="20"/>
          <w:szCs w:val="20"/>
          <w:lang w:val="fr-BE"/>
        </w:rPr>
      </w:pPr>
    </w:p>
    <w:p w:rsidR="00AC12B4" w:rsidRPr="00C27636" w:rsidRDefault="00C27636">
      <w:pPr>
        <w:spacing w:line="224" w:lineRule="auto"/>
        <w:ind w:left="880" w:right="520"/>
        <w:jc w:val="both"/>
        <w:rPr>
          <w:sz w:val="20"/>
          <w:szCs w:val="20"/>
          <w:lang w:val="fr-BE"/>
        </w:rPr>
      </w:pPr>
      <w:r w:rsidRPr="00C27636">
        <w:rPr>
          <w:rFonts w:ascii="Calibri" w:eastAsia="Calibri" w:hAnsi="Calibri" w:cs="Calibri"/>
          <w:lang w:val="fr-BE"/>
        </w:rPr>
        <w:t>Un bon respect de la CIDE implique que l’Etat fasse tout son possible pour qu’une solution durable soit trouvée pour chaque</w:t>
      </w:r>
    </w:p>
    <w:p w:rsidR="00AC12B4" w:rsidRPr="00C27636" w:rsidRDefault="00AC12B4">
      <w:pPr>
        <w:spacing w:line="308"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203</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222" w:lineRule="exact"/>
        <w:rPr>
          <w:sz w:val="20"/>
          <w:szCs w:val="20"/>
          <w:lang w:val="fr-BE"/>
        </w:rPr>
      </w:pPr>
    </w:p>
    <w:p w:rsidR="00AC12B4" w:rsidRPr="00C27636" w:rsidRDefault="00C27636">
      <w:pPr>
        <w:spacing w:line="225" w:lineRule="auto"/>
        <w:ind w:right="1240"/>
        <w:jc w:val="both"/>
        <w:rPr>
          <w:sz w:val="20"/>
          <w:szCs w:val="20"/>
          <w:lang w:val="fr-BE"/>
        </w:rPr>
      </w:pPr>
      <w:r w:rsidRPr="00C27636">
        <w:rPr>
          <w:rFonts w:ascii="Calibri" w:eastAsia="Calibri" w:hAnsi="Calibri" w:cs="Calibri"/>
          <w:lang w:val="fr-BE"/>
        </w:rPr>
        <w:t>mineur, avant l’âge de la majorité ou, lorsque aucune solution n’est trouvée, de prévoir une période de transiti</w:t>
      </w:r>
      <w:r w:rsidRPr="00C27636">
        <w:rPr>
          <w:rFonts w:ascii="Calibri" w:eastAsia="Calibri" w:hAnsi="Calibri" w:cs="Calibri"/>
          <w:lang w:val="fr-BE"/>
        </w:rPr>
        <w:t>on.</w:t>
      </w:r>
    </w:p>
    <w:p w:rsidR="00AC12B4" w:rsidRPr="00C27636" w:rsidRDefault="00AC12B4">
      <w:pPr>
        <w:spacing w:line="122"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60"/>
        <w:gridCol w:w="400"/>
        <w:gridCol w:w="180"/>
        <w:gridCol w:w="460"/>
        <w:gridCol w:w="180"/>
        <w:gridCol w:w="300"/>
        <w:gridCol w:w="400"/>
        <w:gridCol w:w="160"/>
        <w:gridCol w:w="740"/>
        <w:gridCol w:w="220"/>
        <w:gridCol w:w="420"/>
        <w:gridCol w:w="300"/>
        <w:gridCol w:w="240"/>
        <w:gridCol w:w="540"/>
        <w:gridCol w:w="520"/>
        <w:gridCol w:w="30"/>
      </w:tblGrid>
      <w:tr w:rsidR="00AC12B4" w:rsidRPr="00C27636">
        <w:trPr>
          <w:trHeight w:val="269"/>
        </w:trPr>
        <w:tc>
          <w:tcPr>
            <w:tcW w:w="406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L‘indicateur tend à visualiser l’évolution du</w:t>
            </w:r>
          </w:p>
        </w:tc>
        <w:tc>
          <w:tcPr>
            <w:tcW w:w="5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06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nombre  de  MENA  pour  lesquels  la</w:t>
            </w:r>
          </w:p>
        </w:tc>
        <w:tc>
          <w:tcPr>
            <w:tcW w:w="5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rsidRPr="00C27636">
        <w:trPr>
          <w:trHeight w:val="269"/>
        </w:trPr>
        <w:tc>
          <w:tcPr>
            <w:tcW w:w="4060" w:type="dxa"/>
            <w:gridSpan w:val="13"/>
            <w:vAlign w:val="bottom"/>
          </w:tcPr>
          <w:p w:rsidR="00AC12B4" w:rsidRPr="00C27636" w:rsidRDefault="00C27636">
            <w:pPr>
              <w:rPr>
                <w:sz w:val="20"/>
                <w:szCs w:val="20"/>
                <w:lang w:val="fr-BE"/>
              </w:rPr>
            </w:pPr>
            <w:r w:rsidRPr="00C27636">
              <w:rPr>
                <w:rFonts w:ascii="Calibri" w:eastAsia="Calibri" w:hAnsi="Calibri" w:cs="Calibri"/>
                <w:lang w:val="fr-BE"/>
              </w:rPr>
              <w:t>recherche  d’une  solution  durable  s’est</w:t>
            </w:r>
          </w:p>
        </w:tc>
        <w:tc>
          <w:tcPr>
            <w:tcW w:w="540" w:type="dxa"/>
            <w:vAlign w:val="bottom"/>
          </w:tcPr>
          <w:p w:rsidR="00AC12B4" w:rsidRPr="00C27636" w:rsidRDefault="00AC12B4">
            <w:pPr>
              <w:rPr>
                <w:sz w:val="23"/>
                <w:szCs w:val="23"/>
                <w:lang w:val="fr-BE"/>
              </w:rPr>
            </w:pPr>
          </w:p>
        </w:tc>
        <w:tc>
          <w:tcPr>
            <w:tcW w:w="520" w:type="dxa"/>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77"/>
        </w:trPr>
        <w:tc>
          <w:tcPr>
            <w:tcW w:w="1280" w:type="dxa"/>
            <w:gridSpan w:val="5"/>
            <w:vAlign w:val="bottom"/>
          </w:tcPr>
          <w:p w:rsidR="00AC12B4" w:rsidRDefault="00C27636">
            <w:pPr>
              <w:spacing w:line="257" w:lineRule="exact"/>
              <w:rPr>
                <w:sz w:val="20"/>
                <w:szCs w:val="20"/>
              </w:rPr>
            </w:pPr>
            <w:r>
              <w:rPr>
                <w:rFonts w:ascii="Calibri" w:eastAsia="Calibri" w:hAnsi="Calibri" w:cs="Calibri"/>
              </w:rPr>
              <w:t>achevée</w:t>
            </w:r>
          </w:p>
        </w:tc>
        <w:tc>
          <w:tcPr>
            <w:tcW w:w="700" w:type="dxa"/>
            <w:gridSpan w:val="2"/>
            <w:vAlign w:val="bottom"/>
          </w:tcPr>
          <w:p w:rsidR="00AC12B4" w:rsidRDefault="00C27636">
            <w:pPr>
              <w:spacing w:line="257" w:lineRule="exact"/>
              <w:ind w:right="170"/>
              <w:jc w:val="right"/>
              <w:rPr>
                <w:sz w:val="20"/>
                <w:szCs w:val="20"/>
              </w:rPr>
            </w:pPr>
            <w:r>
              <w:rPr>
                <w:rFonts w:ascii="Calibri" w:eastAsia="Calibri" w:hAnsi="Calibri" w:cs="Calibri"/>
              </w:rPr>
              <w:t>sans</w:t>
            </w:r>
          </w:p>
        </w:tc>
        <w:tc>
          <w:tcPr>
            <w:tcW w:w="160" w:type="dxa"/>
            <w:vAlign w:val="bottom"/>
          </w:tcPr>
          <w:p w:rsidR="00AC12B4" w:rsidRDefault="00AC12B4">
            <w:pPr>
              <w:rPr>
                <w:sz w:val="24"/>
                <w:szCs w:val="24"/>
              </w:rPr>
            </w:pPr>
          </w:p>
        </w:tc>
        <w:tc>
          <w:tcPr>
            <w:tcW w:w="740" w:type="dxa"/>
            <w:tcBorders>
              <w:bottom w:val="single" w:sz="8" w:space="0" w:color="159DCF"/>
            </w:tcBorders>
            <w:vAlign w:val="bottom"/>
          </w:tcPr>
          <w:p w:rsidR="00AC12B4" w:rsidRDefault="00AC12B4">
            <w:pPr>
              <w:rPr>
                <w:sz w:val="24"/>
                <w:szCs w:val="24"/>
              </w:rPr>
            </w:pPr>
          </w:p>
        </w:tc>
        <w:tc>
          <w:tcPr>
            <w:tcW w:w="220" w:type="dxa"/>
            <w:tcBorders>
              <w:bottom w:val="single" w:sz="8" w:space="0" w:color="159DCF"/>
            </w:tcBorders>
            <w:vAlign w:val="bottom"/>
          </w:tcPr>
          <w:p w:rsidR="00AC12B4" w:rsidRDefault="00AC12B4">
            <w:pPr>
              <w:rPr>
                <w:sz w:val="24"/>
                <w:szCs w:val="24"/>
              </w:rPr>
            </w:pPr>
          </w:p>
        </w:tc>
        <w:tc>
          <w:tcPr>
            <w:tcW w:w="420" w:type="dxa"/>
            <w:tcBorders>
              <w:bottom w:val="single" w:sz="8" w:space="0" w:color="159DCF"/>
            </w:tcBorders>
            <w:vAlign w:val="bottom"/>
          </w:tcPr>
          <w:p w:rsidR="00AC12B4" w:rsidRDefault="00AC12B4">
            <w:pPr>
              <w:rPr>
                <w:sz w:val="24"/>
                <w:szCs w:val="24"/>
              </w:rPr>
            </w:pPr>
          </w:p>
        </w:tc>
        <w:tc>
          <w:tcPr>
            <w:tcW w:w="300" w:type="dxa"/>
            <w:tcBorders>
              <w:bottom w:val="single" w:sz="8" w:space="0" w:color="159DCF"/>
            </w:tcBorders>
            <w:vAlign w:val="bottom"/>
          </w:tcPr>
          <w:p w:rsidR="00AC12B4" w:rsidRDefault="00AC12B4">
            <w:pPr>
              <w:rPr>
                <w:sz w:val="24"/>
                <w:szCs w:val="24"/>
              </w:rPr>
            </w:pPr>
          </w:p>
        </w:tc>
        <w:tc>
          <w:tcPr>
            <w:tcW w:w="240" w:type="dxa"/>
            <w:tcBorders>
              <w:bottom w:val="single" w:sz="8" w:space="0" w:color="159DCF"/>
            </w:tcBorders>
            <w:vAlign w:val="bottom"/>
          </w:tcPr>
          <w:p w:rsidR="00AC12B4" w:rsidRDefault="00AC12B4">
            <w:pPr>
              <w:rPr>
                <w:sz w:val="24"/>
                <w:szCs w:val="24"/>
              </w:rPr>
            </w:pPr>
          </w:p>
        </w:tc>
        <w:tc>
          <w:tcPr>
            <w:tcW w:w="540" w:type="dxa"/>
            <w:tcBorders>
              <w:bottom w:val="single" w:sz="8" w:space="0" w:color="159DCF"/>
            </w:tcBorders>
            <w:vAlign w:val="bottom"/>
          </w:tcPr>
          <w:p w:rsidR="00AC12B4" w:rsidRDefault="00AC12B4">
            <w:pPr>
              <w:rPr>
                <w:sz w:val="24"/>
                <w:szCs w:val="24"/>
              </w:rPr>
            </w:pPr>
          </w:p>
        </w:tc>
        <w:tc>
          <w:tcPr>
            <w:tcW w:w="520" w:type="dxa"/>
            <w:tcBorders>
              <w:bottom w:val="single" w:sz="8" w:space="0" w:color="159DCF"/>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41"/>
        </w:trPr>
        <w:tc>
          <w:tcPr>
            <w:tcW w:w="1980" w:type="dxa"/>
            <w:gridSpan w:val="7"/>
            <w:vAlign w:val="bottom"/>
          </w:tcPr>
          <w:p w:rsidR="00AC12B4" w:rsidRDefault="00C27636">
            <w:pPr>
              <w:spacing w:line="241" w:lineRule="exact"/>
              <w:rPr>
                <w:sz w:val="20"/>
                <w:szCs w:val="20"/>
              </w:rPr>
            </w:pPr>
            <w:r>
              <w:rPr>
                <w:rFonts w:ascii="Calibri" w:eastAsia="Calibri" w:hAnsi="Calibri" w:cs="Calibri"/>
              </w:rPr>
              <w:t>résultat à l’âge de</w:t>
            </w:r>
          </w:p>
        </w:tc>
        <w:tc>
          <w:tcPr>
            <w:tcW w:w="160" w:type="dxa"/>
            <w:tcBorders>
              <w:right w:val="single" w:sz="8" w:space="0" w:color="159DCF"/>
            </w:tcBorders>
            <w:vAlign w:val="bottom"/>
          </w:tcPr>
          <w:p w:rsidR="00AC12B4" w:rsidRDefault="00AC12B4">
            <w:pPr>
              <w:rPr>
                <w:sz w:val="20"/>
                <w:szCs w:val="20"/>
              </w:rPr>
            </w:pPr>
          </w:p>
        </w:tc>
        <w:tc>
          <w:tcPr>
            <w:tcW w:w="740" w:type="dxa"/>
            <w:vAlign w:val="bottom"/>
          </w:tcPr>
          <w:p w:rsidR="00AC12B4" w:rsidRDefault="00AC12B4">
            <w:pPr>
              <w:rPr>
                <w:sz w:val="20"/>
                <w:szCs w:val="20"/>
              </w:rPr>
            </w:pPr>
          </w:p>
        </w:tc>
        <w:tc>
          <w:tcPr>
            <w:tcW w:w="220" w:type="dxa"/>
            <w:vAlign w:val="bottom"/>
          </w:tcPr>
          <w:p w:rsidR="00AC12B4" w:rsidRDefault="00AC12B4">
            <w:pPr>
              <w:rPr>
                <w:sz w:val="20"/>
                <w:szCs w:val="20"/>
              </w:rPr>
            </w:pPr>
          </w:p>
        </w:tc>
        <w:tc>
          <w:tcPr>
            <w:tcW w:w="420" w:type="dxa"/>
            <w:vAlign w:val="bottom"/>
          </w:tcPr>
          <w:p w:rsidR="00AC12B4" w:rsidRDefault="00AC12B4">
            <w:pPr>
              <w:rPr>
                <w:sz w:val="20"/>
                <w:szCs w:val="20"/>
              </w:rPr>
            </w:pPr>
          </w:p>
        </w:tc>
        <w:tc>
          <w:tcPr>
            <w:tcW w:w="300" w:type="dxa"/>
            <w:vAlign w:val="bottom"/>
          </w:tcPr>
          <w:p w:rsidR="00AC12B4" w:rsidRDefault="00AC12B4">
            <w:pPr>
              <w:rPr>
                <w:sz w:val="20"/>
                <w:szCs w:val="20"/>
              </w:rPr>
            </w:pPr>
          </w:p>
        </w:tc>
        <w:tc>
          <w:tcPr>
            <w:tcW w:w="240" w:type="dxa"/>
            <w:vAlign w:val="bottom"/>
          </w:tcPr>
          <w:p w:rsidR="00AC12B4" w:rsidRDefault="00AC12B4">
            <w:pPr>
              <w:rPr>
                <w:sz w:val="20"/>
                <w:szCs w:val="20"/>
              </w:rPr>
            </w:pPr>
          </w:p>
        </w:tc>
        <w:tc>
          <w:tcPr>
            <w:tcW w:w="540" w:type="dxa"/>
            <w:vAlign w:val="bottom"/>
          </w:tcPr>
          <w:p w:rsidR="00AC12B4" w:rsidRDefault="00AC12B4">
            <w:pPr>
              <w:rPr>
                <w:sz w:val="20"/>
                <w:szCs w:val="20"/>
              </w:rPr>
            </w:pPr>
          </w:p>
        </w:tc>
        <w:tc>
          <w:tcPr>
            <w:tcW w:w="520" w:type="dxa"/>
            <w:tcBorders>
              <w:right w:val="single" w:sz="8" w:space="0" w:color="159DCF"/>
            </w:tcBorders>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69"/>
        </w:trPr>
        <w:tc>
          <w:tcPr>
            <w:tcW w:w="640" w:type="dxa"/>
            <w:gridSpan w:val="3"/>
            <w:vAlign w:val="bottom"/>
          </w:tcPr>
          <w:p w:rsidR="00AC12B4" w:rsidRDefault="00C27636">
            <w:pPr>
              <w:rPr>
                <w:sz w:val="20"/>
                <w:szCs w:val="20"/>
              </w:rPr>
            </w:pPr>
            <w:r>
              <w:rPr>
                <w:rFonts w:ascii="Calibri" w:eastAsia="Calibri" w:hAnsi="Calibri" w:cs="Calibri"/>
                <w:w w:val="97"/>
              </w:rPr>
              <w:t>18 ans.</w:t>
            </w:r>
          </w:p>
        </w:tc>
        <w:tc>
          <w:tcPr>
            <w:tcW w:w="460" w:type="dxa"/>
            <w:vAlign w:val="bottom"/>
          </w:tcPr>
          <w:p w:rsidR="00AC12B4" w:rsidRDefault="00AC12B4">
            <w:pPr>
              <w:rPr>
                <w:sz w:val="23"/>
                <w:szCs w:val="23"/>
              </w:rPr>
            </w:pPr>
          </w:p>
        </w:tc>
        <w:tc>
          <w:tcPr>
            <w:tcW w:w="18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400" w:type="dxa"/>
            <w:vAlign w:val="bottom"/>
          </w:tcPr>
          <w:p w:rsidR="00AC12B4" w:rsidRDefault="00AC12B4">
            <w:pPr>
              <w:rPr>
                <w:sz w:val="23"/>
                <w:szCs w:val="23"/>
              </w:rPr>
            </w:pPr>
          </w:p>
        </w:tc>
        <w:tc>
          <w:tcPr>
            <w:tcW w:w="160" w:type="dxa"/>
            <w:tcBorders>
              <w:right w:val="single" w:sz="8" w:space="0" w:color="159DCF"/>
            </w:tcBorders>
            <w:vAlign w:val="bottom"/>
          </w:tcPr>
          <w:p w:rsidR="00AC12B4" w:rsidRDefault="00AC12B4">
            <w:pPr>
              <w:rPr>
                <w:sz w:val="23"/>
                <w:szCs w:val="23"/>
              </w:rPr>
            </w:pPr>
          </w:p>
        </w:tc>
        <w:tc>
          <w:tcPr>
            <w:tcW w:w="2460" w:type="dxa"/>
            <w:gridSpan w:val="6"/>
            <w:vMerge w:val="restart"/>
            <w:vAlign w:val="bottom"/>
          </w:tcPr>
          <w:p w:rsidR="00AC12B4" w:rsidRDefault="00C27636">
            <w:pPr>
              <w:spacing w:line="1238" w:lineRule="exact"/>
              <w:ind w:left="880"/>
              <w:rPr>
                <w:sz w:val="20"/>
                <w:szCs w:val="20"/>
              </w:rPr>
            </w:pPr>
            <w:r>
              <w:rPr>
                <w:rFonts w:ascii="Comic Sans MS" w:eastAsia="Comic Sans MS" w:hAnsi="Comic Sans MS" w:cs="Comic Sans MS"/>
                <w:color w:val="159DCF"/>
                <w:sz w:val="96"/>
                <w:szCs w:val="96"/>
              </w:rPr>
              <w:t>64</w:t>
            </w:r>
          </w:p>
        </w:tc>
        <w:tc>
          <w:tcPr>
            <w:tcW w:w="520" w:type="dxa"/>
            <w:tcBorders>
              <w:right w:val="single" w:sz="8" w:space="0" w:color="159DCF"/>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86"/>
        </w:trPr>
        <w:tc>
          <w:tcPr>
            <w:tcW w:w="460" w:type="dxa"/>
            <w:gridSpan w:val="2"/>
            <w:vAlign w:val="bottom"/>
          </w:tcPr>
          <w:p w:rsidR="00AC12B4" w:rsidRDefault="00C27636">
            <w:pPr>
              <w:rPr>
                <w:sz w:val="20"/>
                <w:szCs w:val="20"/>
              </w:rPr>
            </w:pPr>
            <w:r>
              <w:rPr>
                <w:rFonts w:ascii="Calibri" w:eastAsia="Calibri" w:hAnsi="Calibri" w:cs="Calibri"/>
              </w:rPr>
              <w:t>Les</w:t>
            </w:r>
          </w:p>
        </w:tc>
        <w:tc>
          <w:tcPr>
            <w:tcW w:w="820" w:type="dxa"/>
            <w:gridSpan w:val="3"/>
            <w:vAlign w:val="bottom"/>
          </w:tcPr>
          <w:p w:rsidR="00AC12B4" w:rsidRDefault="00C27636">
            <w:pPr>
              <w:jc w:val="center"/>
              <w:rPr>
                <w:sz w:val="20"/>
                <w:szCs w:val="20"/>
              </w:rPr>
            </w:pPr>
            <w:r>
              <w:rPr>
                <w:rFonts w:ascii="Calibri" w:eastAsia="Calibri" w:hAnsi="Calibri" w:cs="Calibri"/>
                <w:w w:val="98"/>
              </w:rPr>
              <w:t>données</w:t>
            </w:r>
          </w:p>
        </w:tc>
        <w:tc>
          <w:tcPr>
            <w:tcW w:w="700" w:type="dxa"/>
            <w:gridSpan w:val="2"/>
            <w:vAlign w:val="bottom"/>
          </w:tcPr>
          <w:p w:rsidR="00AC12B4" w:rsidRDefault="00C27636">
            <w:pPr>
              <w:ind w:right="190"/>
              <w:jc w:val="right"/>
              <w:rPr>
                <w:sz w:val="20"/>
                <w:szCs w:val="20"/>
              </w:rPr>
            </w:pPr>
            <w:r>
              <w:rPr>
                <w:rFonts w:ascii="Calibri" w:eastAsia="Calibri" w:hAnsi="Calibri" w:cs="Calibri"/>
              </w:rPr>
              <w:t>ci-</w:t>
            </w:r>
          </w:p>
        </w:tc>
        <w:tc>
          <w:tcPr>
            <w:tcW w:w="160" w:type="dxa"/>
            <w:tcBorders>
              <w:right w:val="single" w:sz="8" w:space="0" w:color="159DCF"/>
            </w:tcBorders>
            <w:vAlign w:val="bottom"/>
          </w:tcPr>
          <w:p w:rsidR="00AC12B4" w:rsidRDefault="00AC12B4">
            <w:pPr>
              <w:rPr>
                <w:sz w:val="24"/>
                <w:szCs w:val="24"/>
              </w:rPr>
            </w:pPr>
          </w:p>
        </w:tc>
        <w:tc>
          <w:tcPr>
            <w:tcW w:w="2460" w:type="dxa"/>
            <w:gridSpan w:val="6"/>
            <w:vMerge/>
            <w:vAlign w:val="bottom"/>
          </w:tcPr>
          <w:p w:rsidR="00AC12B4" w:rsidRDefault="00AC12B4">
            <w:pPr>
              <w:rPr>
                <w:sz w:val="24"/>
                <w:szCs w:val="24"/>
              </w:rPr>
            </w:pPr>
          </w:p>
        </w:tc>
        <w:tc>
          <w:tcPr>
            <w:tcW w:w="520" w:type="dxa"/>
            <w:tcBorders>
              <w:right w:val="single" w:sz="8" w:space="0" w:color="159DCF"/>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69"/>
        </w:trPr>
        <w:tc>
          <w:tcPr>
            <w:tcW w:w="1280" w:type="dxa"/>
            <w:gridSpan w:val="5"/>
            <w:vAlign w:val="bottom"/>
          </w:tcPr>
          <w:p w:rsidR="00AC12B4" w:rsidRDefault="00C27636">
            <w:pPr>
              <w:rPr>
                <w:sz w:val="20"/>
                <w:szCs w:val="20"/>
              </w:rPr>
            </w:pPr>
            <w:r>
              <w:rPr>
                <w:rFonts w:ascii="Calibri" w:eastAsia="Calibri" w:hAnsi="Calibri" w:cs="Calibri"/>
              </w:rPr>
              <w:t>dessous</w:t>
            </w:r>
          </w:p>
        </w:tc>
        <w:tc>
          <w:tcPr>
            <w:tcW w:w="700" w:type="dxa"/>
            <w:gridSpan w:val="2"/>
            <w:vAlign w:val="bottom"/>
          </w:tcPr>
          <w:p w:rsidR="00AC12B4" w:rsidRDefault="00C27636">
            <w:pPr>
              <w:ind w:right="190"/>
              <w:jc w:val="right"/>
              <w:rPr>
                <w:sz w:val="20"/>
                <w:szCs w:val="20"/>
              </w:rPr>
            </w:pPr>
            <w:r>
              <w:rPr>
                <w:rFonts w:ascii="Calibri" w:eastAsia="Calibri" w:hAnsi="Calibri" w:cs="Calibri"/>
                <w:w w:val="97"/>
              </w:rPr>
              <w:t>sont</w:t>
            </w:r>
          </w:p>
        </w:tc>
        <w:tc>
          <w:tcPr>
            <w:tcW w:w="160" w:type="dxa"/>
            <w:tcBorders>
              <w:right w:val="single" w:sz="8" w:space="0" w:color="159DCF"/>
            </w:tcBorders>
            <w:vAlign w:val="bottom"/>
          </w:tcPr>
          <w:p w:rsidR="00AC12B4" w:rsidRDefault="00AC12B4">
            <w:pPr>
              <w:rPr>
                <w:sz w:val="23"/>
                <w:szCs w:val="23"/>
              </w:rPr>
            </w:pPr>
          </w:p>
        </w:tc>
        <w:tc>
          <w:tcPr>
            <w:tcW w:w="2460" w:type="dxa"/>
            <w:gridSpan w:val="6"/>
            <w:vMerge/>
            <w:vAlign w:val="bottom"/>
          </w:tcPr>
          <w:p w:rsidR="00AC12B4" w:rsidRDefault="00AC12B4">
            <w:pPr>
              <w:rPr>
                <w:sz w:val="23"/>
                <w:szCs w:val="23"/>
              </w:rPr>
            </w:pPr>
          </w:p>
        </w:tc>
        <w:tc>
          <w:tcPr>
            <w:tcW w:w="520" w:type="dxa"/>
            <w:tcBorders>
              <w:right w:val="single" w:sz="8" w:space="0" w:color="159DCF"/>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318"/>
        </w:trPr>
        <w:tc>
          <w:tcPr>
            <w:tcW w:w="640" w:type="dxa"/>
            <w:gridSpan w:val="3"/>
            <w:vAlign w:val="bottom"/>
          </w:tcPr>
          <w:p w:rsidR="00AC12B4" w:rsidRDefault="00C27636">
            <w:pPr>
              <w:rPr>
                <w:sz w:val="20"/>
                <w:szCs w:val="20"/>
              </w:rPr>
            </w:pPr>
            <w:r>
              <w:rPr>
                <w:rFonts w:ascii="Calibri" w:eastAsia="Calibri" w:hAnsi="Calibri" w:cs="Calibri"/>
              </w:rPr>
              <w:t>issues</w:t>
            </w:r>
          </w:p>
        </w:tc>
        <w:tc>
          <w:tcPr>
            <w:tcW w:w="1340" w:type="dxa"/>
            <w:gridSpan w:val="4"/>
            <w:vAlign w:val="bottom"/>
          </w:tcPr>
          <w:p w:rsidR="00AC12B4" w:rsidRDefault="00C27636">
            <w:pPr>
              <w:ind w:right="190"/>
              <w:jc w:val="right"/>
              <w:rPr>
                <w:sz w:val="20"/>
                <w:szCs w:val="20"/>
              </w:rPr>
            </w:pPr>
            <w:r>
              <w:rPr>
                <w:rFonts w:ascii="Calibri" w:eastAsia="Calibri" w:hAnsi="Calibri" w:cs="Calibri"/>
              </w:rPr>
              <w:t>du rapport</w:t>
            </w:r>
          </w:p>
        </w:tc>
        <w:tc>
          <w:tcPr>
            <w:tcW w:w="160" w:type="dxa"/>
            <w:tcBorders>
              <w:right w:val="single" w:sz="8" w:space="0" w:color="159DCF"/>
            </w:tcBorders>
            <w:vAlign w:val="bottom"/>
          </w:tcPr>
          <w:p w:rsidR="00AC12B4" w:rsidRDefault="00AC12B4">
            <w:pPr>
              <w:rPr>
                <w:sz w:val="24"/>
                <w:szCs w:val="24"/>
              </w:rPr>
            </w:pPr>
          </w:p>
        </w:tc>
        <w:tc>
          <w:tcPr>
            <w:tcW w:w="2460" w:type="dxa"/>
            <w:gridSpan w:val="6"/>
            <w:vMerge/>
            <w:vAlign w:val="bottom"/>
          </w:tcPr>
          <w:p w:rsidR="00AC12B4" w:rsidRDefault="00AC12B4">
            <w:pPr>
              <w:rPr>
                <w:sz w:val="24"/>
                <w:szCs w:val="24"/>
              </w:rPr>
            </w:pPr>
          </w:p>
        </w:tc>
        <w:tc>
          <w:tcPr>
            <w:tcW w:w="520" w:type="dxa"/>
            <w:tcBorders>
              <w:right w:val="single" w:sz="8" w:space="0" w:color="159DCF"/>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220"/>
        </w:trPr>
        <w:tc>
          <w:tcPr>
            <w:tcW w:w="1980" w:type="dxa"/>
            <w:gridSpan w:val="7"/>
            <w:vAlign w:val="bottom"/>
          </w:tcPr>
          <w:p w:rsidR="00AC12B4" w:rsidRDefault="00C27636">
            <w:pPr>
              <w:spacing w:line="220" w:lineRule="exact"/>
              <w:rPr>
                <w:sz w:val="20"/>
                <w:szCs w:val="20"/>
              </w:rPr>
            </w:pPr>
            <w:r>
              <w:rPr>
                <w:rFonts w:ascii="Calibri" w:eastAsia="Calibri" w:hAnsi="Calibri" w:cs="Calibri"/>
              </w:rPr>
              <w:t>d’activités 2013 de</w:t>
            </w:r>
          </w:p>
        </w:tc>
        <w:tc>
          <w:tcPr>
            <w:tcW w:w="160" w:type="dxa"/>
            <w:tcBorders>
              <w:right w:val="single" w:sz="8" w:space="0" w:color="159DCF"/>
            </w:tcBorders>
            <w:vAlign w:val="bottom"/>
          </w:tcPr>
          <w:p w:rsidR="00AC12B4" w:rsidRDefault="00AC12B4">
            <w:pPr>
              <w:rPr>
                <w:sz w:val="19"/>
                <w:szCs w:val="19"/>
              </w:rPr>
            </w:pPr>
          </w:p>
        </w:tc>
        <w:tc>
          <w:tcPr>
            <w:tcW w:w="2980" w:type="dxa"/>
            <w:gridSpan w:val="7"/>
            <w:vMerge w:val="restart"/>
            <w:tcBorders>
              <w:right w:val="single" w:sz="8" w:space="0" w:color="159DCF"/>
            </w:tcBorders>
            <w:vAlign w:val="bottom"/>
          </w:tcPr>
          <w:p w:rsidR="00AC12B4" w:rsidRPr="00C27636" w:rsidRDefault="00C27636">
            <w:pPr>
              <w:ind w:left="140"/>
              <w:rPr>
                <w:sz w:val="20"/>
                <w:szCs w:val="20"/>
                <w:lang w:val="fr-BE"/>
              </w:rPr>
            </w:pPr>
            <w:r w:rsidRPr="00C27636">
              <w:rPr>
                <w:rFonts w:ascii="Comic Sans MS" w:eastAsia="Comic Sans MS" w:hAnsi="Comic Sans MS" w:cs="Comic Sans MS"/>
                <w:color w:val="0D0D0D"/>
                <w:sz w:val="20"/>
                <w:szCs w:val="20"/>
                <w:lang w:val="fr-BE"/>
              </w:rPr>
              <w:t>C’est le nombre d’ex-MENA</w:t>
            </w:r>
          </w:p>
        </w:tc>
        <w:tc>
          <w:tcPr>
            <w:tcW w:w="0" w:type="dxa"/>
            <w:vAlign w:val="bottom"/>
          </w:tcPr>
          <w:p w:rsidR="00AC12B4" w:rsidRPr="00C27636" w:rsidRDefault="00AC12B4">
            <w:pPr>
              <w:rPr>
                <w:sz w:val="1"/>
                <w:szCs w:val="1"/>
                <w:lang w:val="fr-BE"/>
              </w:rPr>
            </w:pPr>
          </w:p>
        </w:tc>
      </w:tr>
      <w:tr w:rsidR="00AC12B4">
        <w:trPr>
          <w:trHeight w:val="235"/>
        </w:trPr>
        <w:tc>
          <w:tcPr>
            <w:tcW w:w="640" w:type="dxa"/>
            <w:gridSpan w:val="3"/>
            <w:vAlign w:val="bottom"/>
          </w:tcPr>
          <w:p w:rsidR="00AC12B4" w:rsidRDefault="00C27636">
            <w:pPr>
              <w:spacing w:line="235" w:lineRule="exact"/>
              <w:rPr>
                <w:sz w:val="20"/>
                <w:szCs w:val="20"/>
              </w:rPr>
            </w:pPr>
            <w:r>
              <w:rPr>
                <w:rFonts w:ascii="Calibri" w:eastAsia="Calibri" w:hAnsi="Calibri" w:cs="Calibri"/>
                <w:w w:val="97"/>
              </w:rPr>
              <w:t>l’Office</w:t>
            </w:r>
          </w:p>
        </w:tc>
        <w:tc>
          <w:tcPr>
            <w:tcW w:w="460" w:type="dxa"/>
            <w:vAlign w:val="bottom"/>
          </w:tcPr>
          <w:p w:rsidR="00AC12B4" w:rsidRDefault="00AC12B4">
            <w:pPr>
              <w:rPr>
                <w:sz w:val="20"/>
                <w:szCs w:val="20"/>
              </w:rPr>
            </w:pPr>
          </w:p>
        </w:tc>
        <w:tc>
          <w:tcPr>
            <w:tcW w:w="180" w:type="dxa"/>
            <w:vAlign w:val="bottom"/>
          </w:tcPr>
          <w:p w:rsidR="00AC12B4" w:rsidRDefault="00AC12B4">
            <w:pPr>
              <w:rPr>
                <w:sz w:val="20"/>
                <w:szCs w:val="20"/>
              </w:rPr>
            </w:pPr>
          </w:p>
        </w:tc>
        <w:tc>
          <w:tcPr>
            <w:tcW w:w="700" w:type="dxa"/>
            <w:gridSpan w:val="2"/>
            <w:vAlign w:val="bottom"/>
          </w:tcPr>
          <w:p w:rsidR="00AC12B4" w:rsidRDefault="00C27636">
            <w:pPr>
              <w:spacing w:line="235" w:lineRule="exact"/>
              <w:ind w:right="190"/>
              <w:jc w:val="right"/>
              <w:rPr>
                <w:sz w:val="20"/>
                <w:szCs w:val="20"/>
              </w:rPr>
            </w:pPr>
            <w:r>
              <w:rPr>
                <w:rFonts w:ascii="Calibri" w:eastAsia="Calibri" w:hAnsi="Calibri" w:cs="Calibri"/>
              </w:rPr>
              <w:t>des</w:t>
            </w:r>
          </w:p>
        </w:tc>
        <w:tc>
          <w:tcPr>
            <w:tcW w:w="160" w:type="dxa"/>
            <w:tcBorders>
              <w:right w:val="single" w:sz="8" w:space="0" w:color="159DCF"/>
            </w:tcBorders>
            <w:vAlign w:val="bottom"/>
          </w:tcPr>
          <w:p w:rsidR="00AC12B4" w:rsidRDefault="00AC12B4">
            <w:pPr>
              <w:rPr>
                <w:sz w:val="20"/>
                <w:szCs w:val="20"/>
              </w:rPr>
            </w:pPr>
          </w:p>
        </w:tc>
        <w:tc>
          <w:tcPr>
            <w:tcW w:w="2980" w:type="dxa"/>
            <w:gridSpan w:val="7"/>
            <w:vMerge/>
            <w:tcBorders>
              <w:right w:val="single" w:sz="8" w:space="0" w:color="159DCF"/>
            </w:tcBorders>
            <w:vAlign w:val="bottom"/>
          </w:tcPr>
          <w:p w:rsidR="00AC12B4" w:rsidRDefault="00AC12B4">
            <w:pPr>
              <w:rPr>
                <w:sz w:val="20"/>
                <w:szCs w:val="20"/>
              </w:rPr>
            </w:pPr>
          </w:p>
        </w:tc>
        <w:tc>
          <w:tcPr>
            <w:tcW w:w="0" w:type="dxa"/>
            <w:vAlign w:val="bottom"/>
          </w:tcPr>
          <w:p w:rsidR="00AC12B4" w:rsidRDefault="00AC12B4">
            <w:pPr>
              <w:rPr>
                <w:sz w:val="1"/>
                <w:szCs w:val="1"/>
              </w:rPr>
            </w:pPr>
          </w:p>
        </w:tc>
      </w:tr>
      <w:tr w:rsidR="00AC12B4">
        <w:trPr>
          <w:trHeight w:val="278"/>
        </w:trPr>
        <w:tc>
          <w:tcPr>
            <w:tcW w:w="1280" w:type="dxa"/>
            <w:gridSpan w:val="5"/>
            <w:vAlign w:val="bottom"/>
          </w:tcPr>
          <w:p w:rsidR="00AC12B4" w:rsidRDefault="00C27636">
            <w:pPr>
              <w:spacing w:line="278" w:lineRule="exact"/>
              <w:rPr>
                <w:sz w:val="20"/>
                <w:szCs w:val="20"/>
              </w:rPr>
            </w:pPr>
            <w:r>
              <w:rPr>
                <w:rFonts w:ascii="Calibri" w:eastAsia="Calibri" w:hAnsi="Calibri" w:cs="Calibri"/>
              </w:rPr>
              <w:t>Etrangers</w:t>
            </w:r>
            <w:r>
              <w:rPr>
                <w:rFonts w:ascii="Calibri" w:eastAsia="Calibri" w:hAnsi="Calibri" w:cs="Calibri"/>
                <w:sz w:val="27"/>
                <w:szCs w:val="27"/>
                <w:vertAlign w:val="superscript"/>
              </w:rPr>
              <w:t>1</w:t>
            </w:r>
            <w:r>
              <w:rPr>
                <w:rFonts w:ascii="Calibri" w:eastAsia="Calibri" w:hAnsi="Calibri" w:cs="Calibri"/>
              </w:rPr>
              <w:t>.</w:t>
            </w:r>
          </w:p>
        </w:tc>
        <w:tc>
          <w:tcPr>
            <w:tcW w:w="30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60" w:type="dxa"/>
            <w:tcBorders>
              <w:right w:val="single" w:sz="8" w:space="0" w:color="159DCF"/>
            </w:tcBorders>
            <w:vAlign w:val="bottom"/>
          </w:tcPr>
          <w:p w:rsidR="00AC12B4" w:rsidRDefault="00AC12B4">
            <w:pPr>
              <w:rPr>
                <w:sz w:val="24"/>
                <w:szCs w:val="24"/>
              </w:rPr>
            </w:pPr>
          </w:p>
        </w:tc>
        <w:tc>
          <w:tcPr>
            <w:tcW w:w="960" w:type="dxa"/>
            <w:gridSpan w:val="2"/>
            <w:vAlign w:val="bottom"/>
          </w:tcPr>
          <w:p w:rsidR="00AC12B4" w:rsidRDefault="00C27636">
            <w:pPr>
              <w:spacing w:line="277" w:lineRule="exact"/>
              <w:ind w:left="140"/>
              <w:rPr>
                <w:sz w:val="20"/>
                <w:szCs w:val="20"/>
              </w:rPr>
            </w:pPr>
            <w:r>
              <w:rPr>
                <w:rFonts w:ascii="Comic Sans MS" w:eastAsia="Comic Sans MS" w:hAnsi="Comic Sans MS" w:cs="Comic Sans MS"/>
                <w:color w:val="0D0D0D"/>
                <w:sz w:val="20"/>
                <w:szCs w:val="20"/>
              </w:rPr>
              <w:t>pour</w:t>
            </w:r>
          </w:p>
        </w:tc>
        <w:tc>
          <w:tcPr>
            <w:tcW w:w="960" w:type="dxa"/>
            <w:gridSpan w:val="3"/>
            <w:vAlign w:val="bottom"/>
          </w:tcPr>
          <w:p w:rsidR="00AC12B4" w:rsidRDefault="00C27636">
            <w:pPr>
              <w:spacing w:line="277" w:lineRule="exact"/>
              <w:ind w:right="180"/>
              <w:jc w:val="right"/>
              <w:rPr>
                <w:sz w:val="20"/>
                <w:szCs w:val="20"/>
              </w:rPr>
            </w:pPr>
            <w:r>
              <w:rPr>
                <w:rFonts w:ascii="Comic Sans MS" w:eastAsia="Comic Sans MS" w:hAnsi="Comic Sans MS" w:cs="Comic Sans MS"/>
                <w:color w:val="0D0D0D"/>
                <w:sz w:val="20"/>
                <w:szCs w:val="20"/>
              </w:rPr>
              <w:t>lesquels</w:t>
            </w:r>
          </w:p>
        </w:tc>
        <w:tc>
          <w:tcPr>
            <w:tcW w:w="1060" w:type="dxa"/>
            <w:gridSpan w:val="2"/>
            <w:tcBorders>
              <w:right w:val="single" w:sz="8" w:space="0" w:color="159DCF"/>
            </w:tcBorders>
            <w:vAlign w:val="bottom"/>
          </w:tcPr>
          <w:p w:rsidR="00AC12B4" w:rsidRDefault="00C27636">
            <w:pPr>
              <w:spacing w:line="277" w:lineRule="exact"/>
              <w:ind w:right="64"/>
              <w:jc w:val="right"/>
              <w:rPr>
                <w:sz w:val="20"/>
                <w:szCs w:val="20"/>
              </w:rPr>
            </w:pPr>
            <w:r>
              <w:rPr>
                <w:rFonts w:ascii="Comic Sans MS" w:eastAsia="Comic Sans MS" w:hAnsi="Comic Sans MS" w:cs="Comic Sans MS"/>
                <w:color w:val="00B0F0"/>
                <w:sz w:val="20"/>
                <w:szCs w:val="20"/>
              </w:rPr>
              <w:t>aucune</w:t>
            </w:r>
          </w:p>
        </w:tc>
        <w:tc>
          <w:tcPr>
            <w:tcW w:w="0" w:type="dxa"/>
            <w:vAlign w:val="bottom"/>
          </w:tcPr>
          <w:p w:rsidR="00AC12B4" w:rsidRDefault="00AC12B4">
            <w:pPr>
              <w:rPr>
                <w:sz w:val="1"/>
                <w:szCs w:val="1"/>
              </w:rPr>
            </w:pPr>
          </w:p>
        </w:tc>
      </w:tr>
      <w:tr w:rsidR="00AC12B4">
        <w:trPr>
          <w:trHeight w:val="278"/>
        </w:trPr>
        <w:tc>
          <w:tcPr>
            <w:tcW w:w="460" w:type="dxa"/>
            <w:gridSpan w:val="2"/>
            <w:vMerge w:val="restart"/>
            <w:vAlign w:val="bottom"/>
          </w:tcPr>
          <w:p w:rsidR="00AC12B4" w:rsidRDefault="00C27636">
            <w:pPr>
              <w:rPr>
                <w:sz w:val="20"/>
                <w:szCs w:val="20"/>
              </w:rPr>
            </w:pPr>
            <w:r>
              <w:rPr>
                <w:rFonts w:ascii="Calibri" w:eastAsia="Calibri" w:hAnsi="Calibri" w:cs="Calibri"/>
              </w:rPr>
              <w:t>Les</w:t>
            </w:r>
          </w:p>
        </w:tc>
        <w:tc>
          <w:tcPr>
            <w:tcW w:w="180" w:type="dxa"/>
            <w:vAlign w:val="bottom"/>
          </w:tcPr>
          <w:p w:rsidR="00AC12B4" w:rsidRDefault="00AC12B4">
            <w:pPr>
              <w:rPr>
                <w:sz w:val="24"/>
                <w:szCs w:val="24"/>
              </w:rPr>
            </w:pPr>
          </w:p>
        </w:tc>
        <w:tc>
          <w:tcPr>
            <w:tcW w:w="1340" w:type="dxa"/>
            <w:gridSpan w:val="4"/>
            <w:vMerge w:val="restart"/>
            <w:vAlign w:val="bottom"/>
          </w:tcPr>
          <w:p w:rsidR="00AC12B4" w:rsidRDefault="00C27636">
            <w:pPr>
              <w:ind w:right="190"/>
              <w:jc w:val="right"/>
              <w:rPr>
                <w:sz w:val="20"/>
                <w:szCs w:val="20"/>
              </w:rPr>
            </w:pPr>
            <w:r>
              <w:rPr>
                <w:rFonts w:ascii="Calibri" w:eastAsia="Calibri" w:hAnsi="Calibri" w:cs="Calibri"/>
              </w:rPr>
              <w:t>décisions</w:t>
            </w:r>
          </w:p>
        </w:tc>
        <w:tc>
          <w:tcPr>
            <w:tcW w:w="160" w:type="dxa"/>
            <w:tcBorders>
              <w:right w:val="single" w:sz="8" w:space="0" w:color="159DCF"/>
            </w:tcBorders>
            <w:vAlign w:val="bottom"/>
          </w:tcPr>
          <w:p w:rsidR="00AC12B4" w:rsidRDefault="00AC12B4">
            <w:pPr>
              <w:rPr>
                <w:sz w:val="24"/>
                <w:szCs w:val="24"/>
              </w:rPr>
            </w:pPr>
          </w:p>
        </w:tc>
        <w:tc>
          <w:tcPr>
            <w:tcW w:w="960" w:type="dxa"/>
            <w:gridSpan w:val="2"/>
            <w:vAlign w:val="bottom"/>
          </w:tcPr>
          <w:p w:rsidR="00AC12B4" w:rsidRDefault="00C27636">
            <w:pPr>
              <w:spacing w:line="277" w:lineRule="exact"/>
              <w:ind w:left="140"/>
              <w:rPr>
                <w:sz w:val="20"/>
                <w:szCs w:val="20"/>
              </w:rPr>
            </w:pPr>
            <w:r>
              <w:rPr>
                <w:rFonts w:ascii="Comic Sans MS" w:eastAsia="Comic Sans MS" w:hAnsi="Comic Sans MS" w:cs="Comic Sans MS"/>
                <w:color w:val="00B0F0"/>
                <w:sz w:val="20"/>
                <w:szCs w:val="20"/>
              </w:rPr>
              <w:t>solution</w:t>
            </w:r>
          </w:p>
        </w:tc>
        <w:tc>
          <w:tcPr>
            <w:tcW w:w="960" w:type="dxa"/>
            <w:gridSpan w:val="3"/>
            <w:vAlign w:val="bottom"/>
          </w:tcPr>
          <w:p w:rsidR="00AC12B4" w:rsidRDefault="00C27636">
            <w:pPr>
              <w:spacing w:line="277" w:lineRule="exact"/>
              <w:ind w:left="140"/>
              <w:rPr>
                <w:sz w:val="20"/>
                <w:szCs w:val="20"/>
              </w:rPr>
            </w:pPr>
            <w:r>
              <w:rPr>
                <w:rFonts w:ascii="Comic Sans MS" w:eastAsia="Comic Sans MS" w:hAnsi="Comic Sans MS" w:cs="Comic Sans MS"/>
                <w:color w:val="00B0F0"/>
                <w:sz w:val="20"/>
                <w:szCs w:val="20"/>
              </w:rPr>
              <w:t>durable</w:t>
            </w:r>
          </w:p>
        </w:tc>
        <w:tc>
          <w:tcPr>
            <w:tcW w:w="540" w:type="dxa"/>
            <w:vAlign w:val="bottom"/>
          </w:tcPr>
          <w:p w:rsidR="00AC12B4" w:rsidRDefault="00C27636">
            <w:pPr>
              <w:spacing w:line="277" w:lineRule="exact"/>
              <w:ind w:left="100"/>
              <w:rPr>
                <w:sz w:val="20"/>
                <w:szCs w:val="20"/>
              </w:rPr>
            </w:pPr>
            <w:r>
              <w:rPr>
                <w:rFonts w:ascii="Comic Sans MS" w:eastAsia="Comic Sans MS" w:hAnsi="Comic Sans MS" w:cs="Comic Sans MS"/>
                <w:color w:val="00B0F0"/>
                <w:sz w:val="20"/>
                <w:szCs w:val="20"/>
              </w:rPr>
              <w:t>n’a</w:t>
            </w:r>
          </w:p>
        </w:tc>
        <w:tc>
          <w:tcPr>
            <w:tcW w:w="520" w:type="dxa"/>
            <w:tcBorders>
              <w:right w:val="single" w:sz="8" w:space="0" w:color="159DCF"/>
            </w:tcBorders>
            <w:vAlign w:val="bottom"/>
          </w:tcPr>
          <w:p w:rsidR="00AC12B4" w:rsidRDefault="00C27636">
            <w:pPr>
              <w:spacing w:line="277" w:lineRule="exact"/>
              <w:ind w:right="64"/>
              <w:jc w:val="right"/>
              <w:rPr>
                <w:sz w:val="20"/>
                <w:szCs w:val="20"/>
              </w:rPr>
            </w:pPr>
            <w:r>
              <w:rPr>
                <w:rFonts w:ascii="Comic Sans MS" w:eastAsia="Comic Sans MS" w:hAnsi="Comic Sans MS" w:cs="Comic Sans MS"/>
                <w:color w:val="00B0F0"/>
                <w:sz w:val="20"/>
                <w:szCs w:val="20"/>
              </w:rPr>
              <w:t>été</w:t>
            </w:r>
          </w:p>
        </w:tc>
        <w:tc>
          <w:tcPr>
            <w:tcW w:w="0" w:type="dxa"/>
            <w:vAlign w:val="bottom"/>
          </w:tcPr>
          <w:p w:rsidR="00AC12B4" w:rsidRDefault="00AC12B4">
            <w:pPr>
              <w:rPr>
                <w:sz w:val="1"/>
                <w:szCs w:val="1"/>
              </w:rPr>
            </w:pPr>
          </w:p>
        </w:tc>
      </w:tr>
      <w:tr w:rsidR="00AC12B4">
        <w:trPr>
          <w:trHeight w:val="135"/>
        </w:trPr>
        <w:tc>
          <w:tcPr>
            <w:tcW w:w="460" w:type="dxa"/>
            <w:gridSpan w:val="2"/>
            <w:vMerge/>
            <w:vAlign w:val="bottom"/>
          </w:tcPr>
          <w:p w:rsidR="00AC12B4" w:rsidRDefault="00AC12B4">
            <w:pPr>
              <w:rPr>
                <w:sz w:val="11"/>
                <w:szCs w:val="11"/>
              </w:rPr>
            </w:pPr>
          </w:p>
        </w:tc>
        <w:tc>
          <w:tcPr>
            <w:tcW w:w="180" w:type="dxa"/>
            <w:vAlign w:val="bottom"/>
          </w:tcPr>
          <w:p w:rsidR="00AC12B4" w:rsidRDefault="00AC12B4">
            <w:pPr>
              <w:rPr>
                <w:sz w:val="11"/>
                <w:szCs w:val="11"/>
              </w:rPr>
            </w:pPr>
          </w:p>
        </w:tc>
        <w:tc>
          <w:tcPr>
            <w:tcW w:w="1340" w:type="dxa"/>
            <w:gridSpan w:val="4"/>
            <w:vMerge/>
            <w:vAlign w:val="bottom"/>
          </w:tcPr>
          <w:p w:rsidR="00AC12B4" w:rsidRDefault="00AC12B4">
            <w:pPr>
              <w:rPr>
                <w:sz w:val="11"/>
                <w:szCs w:val="11"/>
              </w:rPr>
            </w:pPr>
          </w:p>
        </w:tc>
        <w:tc>
          <w:tcPr>
            <w:tcW w:w="160" w:type="dxa"/>
            <w:tcBorders>
              <w:right w:val="single" w:sz="8" w:space="0" w:color="159DCF"/>
            </w:tcBorders>
            <w:vAlign w:val="bottom"/>
          </w:tcPr>
          <w:p w:rsidR="00AC12B4" w:rsidRDefault="00AC12B4">
            <w:pPr>
              <w:rPr>
                <w:sz w:val="11"/>
                <w:szCs w:val="11"/>
              </w:rPr>
            </w:pPr>
          </w:p>
        </w:tc>
        <w:tc>
          <w:tcPr>
            <w:tcW w:w="960" w:type="dxa"/>
            <w:gridSpan w:val="2"/>
            <w:vMerge w:val="restart"/>
            <w:vAlign w:val="bottom"/>
          </w:tcPr>
          <w:p w:rsidR="00AC12B4" w:rsidRDefault="00C27636">
            <w:pPr>
              <w:ind w:left="140"/>
              <w:rPr>
                <w:sz w:val="20"/>
                <w:szCs w:val="20"/>
              </w:rPr>
            </w:pPr>
            <w:r>
              <w:rPr>
                <w:rFonts w:ascii="Comic Sans MS" w:eastAsia="Comic Sans MS" w:hAnsi="Comic Sans MS" w:cs="Comic Sans MS"/>
                <w:color w:val="00B0F0"/>
                <w:sz w:val="20"/>
                <w:szCs w:val="20"/>
              </w:rPr>
              <w:t>trouvée</w:t>
            </w:r>
            <w:r>
              <w:rPr>
                <w:rFonts w:ascii="Comic Sans MS" w:eastAsia="Comic Sans MS" w:hAnsi="Comic Sans MS" w:cs="Comic Sans MS"/>
                <w:color w:val="0D0D0D"/>
                <w:sz w:val="20"/>
                <w:szCs w:val="20"/>
              </w:rPr>
              <w:t>.</w:t>
            </w:r>
          </w:p>
        </w:tc>
        <w:tc>
          <w:tcPr>
            <w:tcW w:w="420" w:type="dxa"/>
            <w:vMerge w:val="restart"/>
            <w:vAlign w:val="bottom"/>
          </w:tcPr>
          <w:p w:rsidR="00AC12B4" w:rsidRDefault="00C27636">
            <w:pPr>
              <w:ind w:left="120"/>
              <w:rPr>
                <w:sz w:val="20"/>
                <w:szCs w:val="20"/>
              </w:rPr>
            </w:pPr>
            <w:r>
              <w:rPr>
                <w:rFonts w:ascii="Comic Sans MS" w:eastAsia="Comic Sans MS" w:hAnsi="Comic Sans MS" w:cs="Comic Sans MS"/>
                <w:color w:val="0D0D0D"/>
                <w:sz w:val="20"/>
                <w:szCs w:val="20"/>
              </w:rPr>
              <w:t>Ils</w:t>
            </w:r>
          </w:p>
        </w:tc>
        <w:tc>
          <w:tcPr>
            <w:tcW w:w="540" w:type="dxa"/>
            <w:gridSpan w:val="2"/>
            <w:vMerge w:val="restart"/>
            <w:vAlign w:val="bottom"/>
          </w:tcPr>
          <w:p w:rsidR="00AC12B4" w:rsidRDefault="00C27636">
            <w:pPr>
              <w:ind w:right="100"/>
              <w:jc w:val="right"/>
              <w:rPr>
                <w:sz w:val="20"/>
                <w:szCs w:val="20"/>
              </w:rPr>
            </w:pPr>
            <w:r>
              <w:rPr>
                <w:rFonts w:ascii="Comic Sans MS" w:eastAsia="Comic Sans MS" w:hAnsi="Comic Sans MS" w:cs="Comic Sans MS"/>
                <w:color w:val="0D0D0D"/>
                <w:sz w:val="20"/>
                <w:szCs w:val="20"/>
              </w:rPr>
              <w:t>ont</w:t>
            </w:r>
          </w:p>
        </w:tc>
        <w:tc>
          <w:tcPr>
            <w:tcW w:w="540" w:type="dxa"/>
            <w:vMerge w:val="restart"/>
            <w:vAlign w:val="bottom"/>
          </w:tcPr>
          <w:p w:rsidR="00AC12B4" w:rsidRDefault="00C27636">
            <w:pPr>
              <w:ind w:left="80"/>
              <w:rPr>
                <w:sz w:val="20"/>
                <w:szCs w:val="20"/>
              </w:rPr>
            </w:pPr>
            <w:r>
              <w:rPr>
                <w:rFonts w:ascii="Comic Sans MS" w:eastAsia="Comic Sans MS" w:hAnsi="Comic Sans MS" w:cs="Comic Sans MS"/>
                <w:color w:val="0D0D0D"/>
                <w:sz w:val="20"/>
                <w:szCs w:val="20"/>
              </w:rPr>
              <w:t>reçu</w:t>
            </w:r>
          </w:p>
        </w:tc>
        <w:tc>
          <w:tcPr>
            <w:tcW w:w="520" w:type="dxa"/>
            <w:vMerge w:val="restart"/>
            <w:tcBorders>
              <w:right w:val="single" w:sz="8" w:space="0" w:color="159DCF"/>
            </w:tcBorders>
            <w:vAlign w:val="bottom"/>
          </w:tcPr>
          <w:p w:rsidR="00AC12B4" w:rsidRDefault="00C27636">
            <w:pPr>
              <w:ind w:left="140"/>
              <w:rPr>
                <w:sz w:val="20"/>
                <w:szCs w:val="20"/>
              </w:rPr>
            </w:pPr>
            <w:r>
              <w:rPr>
                <w:rFonts w:ascii="Comic Sans MS" w:eastAsia="Comic Sans MS" w:hAnsi="Comic Sans MS" w:cs="Comic Sans MS"/>
                <w:color w:val="0D0D0D"/>
                <w:sz w:val="20"/>
                <w:szCs w:val="20"/>
              </w:rPr>
              <w:t>un</w:t>
            </w:r>
          </w:p>
        </w:tc>
        <w:tc>
          <w:tcPr>
            <w:tcW w:w="0" w:type="dxa"/>
            <w:vAlign w:val="bottom"/>
          </w:tcPr>
          <w:p w:rsidR="00AC12B4" w:rsidRDefault="00AC12B4">
            <w:pPr>
              <w:rPr>
                <w:sz w:val="1"/>
                <w:szCs w:val="1"/>
              </w:rPr>
            </w:pPr>
          </w:p>
        </w:tc>
      </w:tr>
      <w:tr w:rsidR="00AC12B4">
        <w:trPr>
          <w:trHeight w:val="143"/>
        </w:trPr>
        <w:tc>
          <w:tcPr>
            <w:tcW w:w="1980" w:type="dxa"/>
            <w:gridSpan w:val="7"/>
            <w:vMerge w:val="restart"/>
            <w:vAlign w:val="bottom"/>
          </w:tcPr>
          <w:p w:rsidR="00AC12B4" w:rsidRDefault="00C27636">
            <w:pPr>
              <w:rPr>
                <w:sz w:val="20"/>
                <w:szCs w:val="20"/>
              </w:rPr>
            </w:pPr>
            <w:r>
              <w:rPr>
                <w:rFonts w:ascii="Calibri" w:eastAsia="Calibri" w:hAnsi="Calibri" w:cs="Calibri"/>
              </w:rPr>
              <w:t>suivantes peuvent</w:t>
            </w:r>
          </w:p>
        </w:tc>
        <w:tc>
          <w:tcPr>
            <w:tcW w:w="160" w:type="dxa"/>
            <w:tcBorders>
              <w:right w:val="single" w:sz="8" w:space="0" w:color="159DCF"/>
            </w:tcBorders>
            <w:vAlign w:val="bottom"/>
          </w:tcPr>
          <w:p w:rsidR="00AC12B4" w:rsidRDefault="00AC12B4">
            <w:pPr>
              <w:rPr>
                <w:sz w:val="12"/>
                <w:szCs w:val="12"/>
              </w:rPr>
            </w:pPr>
          </w:p>
        </w:tc>
        <w:tc>
          <w:tcPr>
            <w:tcW w:w="960" w:type="dxa"/>
            <w:gridSpan w:val="2"/>
            <w:vMerge/>
            <w:vAlign w:val="bottom"/>
          </w:tcPr>
          <w:p w:rsidR="00AC12B4" w:rsidRDefault="00AC12B4">
            <w:pPr>
              <w:rPr>
                <w:sz w:val="12"/>
                <w:szCs w:val="12"/>
              </w:rPr>
            </w:pPr>
          </w:p>
        </w:tc>
        <w:tc>
          <w:tcPr>
            <w:tcW w:w="420" w:type="dxa"/>
            <w:vMerge/>
            <w:vAlign w:val="bottom"/>
          </w:tcPr>
          <w:p w:rsidR="00AC12B4" w:rsidRDefault="00AC12B4">
            <w:pPr>
              <w:rPr>
                <w:sz w:val="12"/>
                <w:szCs w:val="12"/>
              </w:rPr>
            </w:pPr>
          </w:p>
        </w:tc>
        <w:tc>
          <w:tcPr>
            <w:tcW w:w="540" w:type="dxa"/>
            <w:gridSpan w:val="2"/>
            <w:vMerge/>
            <w:vAlign w:val="bottom"/>
          </w:tcPr>
          <w:p w:rsidR="00AC12B4" w:rsidRDefault="00AC12B4">
            <w:pPr>
              <w:rPr>
                <w:sz w:val="12"/>
                <w:szCs w:val="12"/>
              </w:rPr>
            </w:pPr>
          </w:p>
        </w:tc>
        <w:tc>
          <w:tcPr>
            <w:tcW w:w="540" w:type="dxa"/>
            <w:vMerge/>
            <w:vAlign w:val="bottom"/>
          </w:tcPr>
          <w:p w:rsidR="00AC12B4" w:rsidRDefault="00AC12B4">
            <w:pPr>
              <w:rPr>
                <w:sz w:val="12"/>
                <w:szCs w:val="12"/>
              </w:rPr>
            </w:pPr>
          </w:p>
        </w:tc>
        <w:tc>
          <w:tcPr>
            <w:tcW w:w="520" w:type="dxa"/>
            <w:vMerge/>
            <w:tcBorders>
              <w:right w:val="single" w:sz="8" w:space="0" w:color="159DCF"/>
            </w:tcBorders>
            <w:vAlign w:val="bottom"/>
          </w:tcPr>
          <w:p w:rsidR="00AC12B4" w:rsidRDefault="00AC12B4">
            <w:pPr>
              <w:rPr>
                <w:sz w:val="12"/>
                <w:szCs w:val="12"/>
              </w:rPr>
            </w:pPr>
          </w:p>
        </w:tc>
        <w:tc>
          <w:tcPr>
            <w:tcW w:w="0" w:type="dxa"/>
            <w:vAlign w:val="bottom"/>
          </w:tcPr>
          <w:p w:rsidR="00AC12B4" w:rsidRDefault="00AC12B4">
            <w:pPr>
              <w:rPr>
                <w:sz w:val="1"/>
                <w:szCs w:val="1"/>
              </w:rPr>
            </w:pPr>
          </w:p>
        </w:tc>
      </w:tr>
      <w:tr w:rsidR="00AC12B4">
        <w:trPr>
          <w:trHeight w:val="126"/>
        </w:trPr>
        <w:tc>
          <w:tcPr>
            <w:tcW w:w="1980" w:type="dxa"/>
            <w:gridSpan w:val="7"/>
            <w:vMerge/>
            <w:vAlign w:val="bottom"/>
          </w:tcPr>
          <w:p w:rsidR="00AC12B4" w:rsidRDefault="00AC12B4">
            <w:pPr>
              <w:rPr>
                <w:sz w:val="10"/>
                <w:szCs w:val="10"/>
              </w:rPr>
            </w:pPr>
          </w:p>
        </w:tc>
        <w:tc>
          <w:tcPr>
            <w:tcW w:w="160" w:type="dxa"/>
            <w:tcBorders>
              <w:right w:val="single" w:sz="8" w:space="0" w:color="159DCF"/>
            </w:tcBorders>
            <w:vAlign w:val="bottom"/>
          </w:tcPr>
          <w:p w:rsidR="00AC12B4" w:rsidRDefault="00AC12B4">
            <w:pPr>
              <w:rPr>
                <w:sz w:val="10"/>
                <w:szCs w:val="10"/>
              </w:rPr>
            </w:pPr>
          </w:p>
        </w:tc>
        <w:tc>
          <w:tcPr>
            <w:tcW w:w="960" w:type="dxa"/>
            <w:gridSpan w:val="2"/>
            <w:vMerge w:val="restart"/>
            <w:vAlign w:val="bottom"/>
          </w:tcPr>
          <w:p w:rsidR="00AC12B4" w:rsidRDefault="00C27636">
            <w:pPr>
              <w:ind w:left="140"/>
              <w:rPr>
                <w:sz w:val="20"/>
                <w:szCs w:val="20"/>
              </w:rPr>
            </w:pPr>
            <w:r>
              <w:rPr>
                <w:rFonts w:ascii="Comic Sans MS" w:eastAsia="Comic Sans MS" w:hAnsi="Comic Sans MS" w:cs="Comic Sans MS"/>
                <w:color w:val="0D0D0D"/>
                <w:sz w:val="20"/>
                <w:szCs w:val="20"/>
              </w:rPr>
              <w:t>ordre</w:t>
            </w:r>
          </w:p>
        </w:tc>
        <w:tc>
          <w:tcPr>
            <w:tcW w:w="420" w:type="dxa"/>
            <w:vMerge w:val="restart"/>
            <w:vAlign w:val="bottom"/>
          </w:tcPr>
          <w:p w:rsidR="00AC12B4" w:rsidRDefault="00C27636">
            <w:pPr>
              <w:ind w:right="20"/>
              <w:jc w:val="right"/>
              <w:rPr>
                <w:sz w:val="20"/>
                <w:szCs w:val="20"/>
              </w:rPr>
            </w:pPr>
            <w:r>
              <w:rPr>
                <w:rFonts w:ascii="Comic Sans MS" w:eastAsia="Comic Sans MS" w:hAnsi="Comic Sans MS" w:cs="Comic Sans MS"/>
                <w:color w:val="0D0D0D"/>
                <w:sz w:val="20"/>
                <w:szCs w:val="20"/>
              </w:rPr>
              <w:t>de</w:t>
            </w:r>
          </w:p>
        </w:tc>
        <w:tc>
          <w:tcPr>
            <w:tcW w:w="1080" w:type="dxa"/>
            <w:gridSpan w:val="3"/>
            <w:vMerge w:val="restart"/>
            <w:vAlign w:val="bottom"/>
          </w:tcPr>
          <w:p w:rsidR="00AC12B4" w:rsidRDefault="00C27636">
            <w:pPr>
              <w:ind w:left="240"/>
              <w:rPr>
                <w:sz w:val="20"/>
                <w:szCs w:val="20"/>
              </w:rPr>
            </w:pPr>
            <w:r>
              <w:rPr>
                <w:rFonts w:ascii="Comic Sans MS" w:eastAsia="Comic Sans MS" w:hAnsi="Comic Sans MS" w:cs="Comic Sans MS"/>
                <w:color w:val="0D0D0D"/>
                <w:sz w:val="20"/>
                <w:szCs w:val="20"/>
              </w:rPr>
              <w:t>quitter</w:t>
            </w:r>
          </w:p>
        </w:tc>
        <w:tc>
          <w:tcPr>
            <w:tcW w:w="520" w:type="dxa"/>
            <w:vMerge w:val="restart"/>
            <w:tcBorders>
              <w:right w:val="single" w:sz="8" w:space="0" w:color="159DCF"/>
            </w:tcBorders>
            <w:vAlign w:val="bottom"/>
          </w:tcPr>
          <w:p w:rsidR="00AC12B4" w:rsidRDefault="00C27636">
            <w:pPr>
              <w:ind w:right="64"/>
              <w:jc w:val="right"/>
              <w:rPr>
                <w:sz w:val="20"/>
                <w:szCs w:val="20"/>
              </w:rPr>
            </w:pPr>
            <w:r>
              <w:rPr>
                <w:rFonts w:ascii="Comic Sans MS" w:eastAsia="Comic Sans MS" w:hAnsi="Comic Sans MS" w:cs="Comic Sans MS"/>
                <w:color w:val="0D0D0D"/>
                <w:sz w:val="20"/>
                <w:szCs w:val="20"/>
              </w:rPr>
              <w:t>le</w:t>
            </w:r>
          </w:p>
        </w:tc>
        <w:tc>
          <w:tcPr>
            <w:tcW w:w="0" w:type="dxa"/>
            <w:vAlign w:val="bottom"/>
          </w:tcPr>
          <w:p w:rsidR="00AC12B4" w:rsidRDefault="00AC12B4">
            <w:pPr>
              <w:rPr>
                <w:sz w:val="1"/>
                <w:szCs w:val="1"/>
              </w:rPr>
            </w:pPr>
          </w:p>
        </w:tc>
      </w:tr>
      <w:tr w:rsidR="00AC12B4">
        <w:trPr>
          <w:trHeight w:val="153"/>
        </w:trPr>
        <w:tc>
          <w:tcPr>
            <w:tcW w:w="460" w:type="dxa"/>
            <w:gridSpan w:val="2"/>
            <w:vMerge w:val="restart"/>
            <w:vAlign w:val="bottom"/>
          </w:tcPr>
          <w:p w:rsidR="00AC12B4" w:rsidRDefault="00C27636">
            <w:pPr>
              <w:rPr>
                <w:sz w:val="20"/>
                <w:szCs w:val="20"/>
              </w:rPr>
            </w:pPr>
            <w:r>
              <w:rPr>
                <w:rFonts w:ascii="Calibri" w:eastAsia="Calibri" w:hAnsi="Calibri" w:cs="Calibri"/>
              </w:rPr>
              <w:t>être</w:t>
            </w:r>
          </w:p>
        </w:tc>
        <w:tc>
          <w:tcPr>
            <w:tcW w:w="820" w:type="dxa"/>
            <w:gridSpan w:val="3"/>
            <w:vMerge w:val="restart"/>
            <w:vAlign w:val="bottom"/>
          </w:tcPr>
          <w:p w:rsidR="00AC12B4" w:rsidRDefault="00C27636">
            <w:pPr>
              <w:jc w:val="center"/>
              <w:rPr>
                <w:sz w:val="20"/>
                <w:szCs w:val="20"/>
              </w:rPr>
            </w:pPr>
            <w:r>
              <w:rPr>
                <w:rFonts w:ascii="Calibri" w:eastAsia="Calibri" w:hAnsi="Calibri" w:cs="Calibri"/>
              </w:rPr>
              <w:t>prises</w:t>
            </w:r>
          </w:p>
        </w:tc>
        <w:tc>
          <w:tcPr>
            <w:tcW w:w="700" w:type="dxa"/>
            <w:gridSpan w:val="2"/>
            <w:vMerge w:val="restart"/>
            <w:vAlign w:val="bottom"/>
          </w:tcPr>
          <w:p w:rsidR="00AC12B4" w:rsidRDefault="00C27636">
            <w:pPr>
              <w:ind w:right="190"/>
              <w:jc w:val="right"/>
              <w:rPr>
                <w:sz w:val="20"/>
                <w:szCs w:val="20"/>
              </w:rPr>
            </w:pPr>
            <w:r>
              <w:rPr>
                <w:rFonts w:ascii="Calibri" w:eastAsia="Calibri" w:hAnsi="Calibri" w:cs="Calibri"/>
              </w:rPr>
              <w:t>par</w:t>
            </w:r>
          </w:p>
        </w:tc>
        <w:tc>
          <w:tcPr>
            <w:tcW w:w="160" w:type="dxa"/>
            <w:tcBorders>
              <w:right w:val="single" w:sz="8" w:space="0" w:color="159DCF"/>
            </w:tcBorders>
            <w:vAlign w:val="bottom"/>
          </w:tcPr>
          <w:p w:rsidR="00AC12B4" w:rsidRDefault="00AC12B4">
            <w:pPr>
              <w:rPr>
                <w:sz w:val="13"/>
                <w:szCs w:val="13"/>
              </w:rPr>
            </w:pPr>
          </w:p>
        </w:tc>
        <w:tc>
          <w:tcPr>
            <w:tcW w:w="960" w:type="dxa"/>
            <w:gridSpan w:val="2"/>
            <w:vMerge/>
            <w:vAlign w:val="bottom"/>
          </w:tcPr>
          <w:p w:rsidR="00AC12B4" w:rsidRDefault="00AC12B4">
            <w:pPr>
              <w:rPr>
                <w:sz w:val="13"/>
                <w:szCs w:val="13"/>
              </w:rPr>
            </w:pPr>
          </w:p>
        </w:tc>
        <w:tc>
          <w:tcPr>
            <w:tcW w:w="420" w:type="dxa"/>
            <w:vMerge/>
            <w:vAlign w:val="bottom"/>
          </w:tcPr>
          <w:p w:rsidR="00AC12B4" w:rsidRDefault="00AC12B4">
            <w:pPr>
              <w:rPr>
                <w:sz w:val="13"/>
                <w:szCs w:val="13"/>
              </w:rPr>
            </w:pPr>
          </w:p>
        </w:tc>
        <w:tc>
          <w:tcPr>
            <w:tcW w:w="1080" w:type="dxa"/>
            <w:gridSpan w:val="3"/>
            <w:vMerge/>
            <w:vAlign w:val="bottom"/>
          </w:tcPr>
          <w:p w:rsidR="00AC12B4" w:rsidRDefault="00AC12B4">
            <w:pPr>
              <w:rPr>
                <w:sz w:val="13"/>
                <w:szCs w:val="13"/>
              </w:rPr>
            </w:pPr>
          </w:p>
        </w:tc>
        <w:tc>
          <w:tcPr>
            <w:tcW w:w="520" w:type="dxa"/>
            <w:vMerge/>
            <w:tcBorders>
              <w:right w:val="single" w:sz="8" w:space="0" w:color="159DCF"/>
            </w:tcBorders>
            <w:vAlign w:val="bottom"/>
          </w:tcPr>
          <w:p w:rsidR="00AC12B4" w:rsidRDefault="00AC12B4">
            <w:pPr>
              <w:rPr>
                <w:sz w:val="13"/>
                <w:szCs w:val="13"/>
              </w:rPr>
            </w:pPr>
          </w:p>
        </w:tc>
        <w:tc>
          <w:tcPr>
            <w:tcW w:w="0" w:type="dxa"/>
            <w:vAlign w:val="bottom"/>
          </w:tcPr>
          <w:p w:rsidR="00AC12B4" w:rsidRDefault="00AC12B4">
            <w:pPr>
              <w:rPr>
                <w:sz w:val="1"/>
                <w:szCs w:val="1"/>
              </w:rPr>
            </w:pPr>
          </w:p>
        </w:tc>
      </w:tr>
      <w:tr w:rsidR="00AC12B4">
        <w:trPr>
          <w:trHeight w:val="116"/>
        </w:trPr>
        <w:tc>
          <w:tcPr>
            <w:tcW w:w="460" w:type="dxa"/>
            <w:gridSpan w:val="2"/>
            <w:vMerge/>
            <w:vAlign w:val="bottom"/>
          </w:tcPr>
          <w:p w:rsidR="00AC12B4" w:rsidRDefault="00AC12B4">
            <w:pPr>
              <w:rPr>
                <w:sz w:val="10"/>
                <w:szCs w:val="10"/>
              </w:rPr>
            </w:pPr>
          </w:p>
        </w:tc>
        <w:tc>
          <w:tcPr>
            <w:tcW w:w="820" w:type="dxa"/>
            <w:gridSpan w:val="3"/>
            <w:vMerge/>
            <w:vAlign w:val="bottom"/>
          </w:tcPr>
          <w:p w:rsidR="00AC12B4" w:rsidRDefault="00AC12B4">
            <w:pPr>
              <w:rPr>
                <w:sz w:val="10"/>
                <w:szCs w:val="10"/>
              </w:rPr>
            </w:pPr>
          </w:p>
        </w:tc>
        <w:tc>
          <w:tcPr>
            <w:tcW w:w="700" w:type="dxa"/>
            <w:gridSpan w:val="2"/>
            <w:vMerge/>
            <w:vAlign w:val="bottom"/>
          </w:tcPr>
          <w:p w:rsidR="00AC12B4" w:rsidRDefault="00AC12B4">
            <w:pPr>
              <w:rPr>
                <w:sz w:val="10"/>
                <w:szCs w:val="10"/>
              </w:rPr>
            </w:pPr>
          </w:p>
        </w:tc>
        <w:tc>
          <w:tcPr>
            <w:tcW w:w="160" w:type="dxa"/>
            <w:tcBorders>
              <w:right w:val="single" w:sz="8" w:space="0" w:color="159DCF"/>
            </w:tcBorders>
            <w:vAlign w:val="bottom"/>
          </w:tcPr>
          <w:p w:rsidR="00AC12B4" w:rsidRDefault="00AC12B4">
            <w:pPr>
              <w:rPr>
                <w:sz w:val="10"/>
                <w:szCs w:val="10"/>
              </w:rPr>
            </w:pPr>
          </w:p>
        </w:tc>
        <w:tc>
          <w:tcPr>
            <w:tcW w:w="1380" w:type="dxa"/>
            <w:gridSpan w:val="3"/>
            <w:vMerge w:val="restart"/>
            <w:vAlign w:val="bottom"/>
          </w:tcPr>
          <w:p w:rsidR="00AC12B4" w:rsidRDefault="00C27636">
            <w:pPr>
              <w:ind w:left="140"/>
              <w:rPr>
                <w:sz w:val="20"/>
                <w:szCs w:val="20"/>
              </w:rPr>
            </w:pPr>
            <w:r>
              <w:rPr>
                <w:rFonts w:ascii="Comic Sans MS" w:eastAsia="Comic Sans MS" w:hAnsi="Comic Sans MS" w:cs="Comic Sans MS"/>
                <w:color w:val="0D0D0D"/>
                <w:sz w:val="20"/>
                <w:szCs w:val="20"/>
              </w:rPr>
              <w:t>territoire  le</w:t>
            </w:r>
          </w:p>
        </w:tc>
        <w:tc>
          <w:tcPr>
            <w:tcW w:w="540" w:type="dxa"/>
            <w:gridSpan w:val="2"/>
            <w:vMerge w:val="restart"/>
            <w:vAlign w:val="bottom"/>
          </w:tcPr>
          <w:p w:rsidR="00AC12B4" w:rsidRDefault="00C27636">
            <w:pPr>
              <w:ind w:right="60"/>
              <w:jc w:val="right"/>
              <w:rPr>
                <w:sz w:val="20"/>
                <w:szCs w:val="20"/>
              </w:rPr>
            </w:pPr>
            <w:r>
              <w:rPr>
                <w:rFonts w:ascii="Comic Sans MS" w:eastAsia="Comic Sans MS" w:hAnsi="Comic Sans MS" w:cs="Comic Sans MS"/>
                <w:color w:val="0D0D0D"/>
                <w:sz w:val="20"/>
                <w:szCs w:val="20"/>
              </w:rPr>
              <w:t>jour</w:t>
            </w:r>
          </w:p>
        </w:tc>
        <w:tc>
          <w:tcPr>
            <w:tcW w:w="1060" w:type="dxa"/>
            <w:gridSpan w:val="2"/>
            <w:vMerge w:val="restart"/>
            <w:tcBorders>
              <w:right w:val="single" w:sz="8" w:space="0" w:color="159DCF"/>
            </w:tcBorders>
            <w:vAlign w:val="bottom"/>
          </w:tcPr>
          <w:p w:rsidR="00AC12B4" w:rsidRDefault="00C27636">
            <w:pPr>
              <w:ind w:right="64"/>
              <w:jc w:val="right"/>
              <w:rPr>
                <w:sz w:val="20"/>
                <w:szCs w:val="20"/>
              </w:rPr>
            </w:pPr>
            <w:r>
              <w:rPr>
                <w:rFonts w:ascii="Comic Sans MS" w:eastAsia="Comic Sans MS" w:hAnsi="Comic Sans MS" w:cs="Comic Sans MS"/>
                <w:color w:val="0D0D0D"/>
                <w:sz w:val="20"/>
                <w:szCs w:val="20"/>
              </w:rPr>
              <w:t>de  leurs</w:t>
            </w:r>
          </w:p>
        </w:tc>
        <w:tc>
          <w:tcPr>
            <w:tcW w:w="0" w:type="dxa"/>
            <w:vAlign w:val="bottom"/>
          </w:tcPr>
          <w:p w:rsidR="00AC12B4" w:rsidRDefault="00AC12B4">
            <w:pPr>
              <w:rPr>
                <w:sz w:val="1"/>
                <w:szCs w:val="1"/>
              </w:rPr>
            </w:pPr>
          </w:p>
        </w:tc>
      </w:tr>
      <w:tr w:rsidR="00AC12B4">
        <w:trPr>
          <w:trHeight w:val="162"/>
        </w:trPr>
        <w:tc>
          <w:tcPr>
            <w:tcW w:w="640" w:type="dxa"/>
            <w:gridSpan w:val="3"/>
            <w:vMerge w:val="restart"/>
            <w:vAlign w:val="bottom"/>
          </w:tcPr>
          <w:p w:rsidR="00AC12B4" w:rsidRDefault="00C27636">
            <w:pPr>
              <w:rPr>
                <w:sz w:val="20"/>
                <w:szCs w:val="20"/>
              </w:rPr>
            </w:pPr>
            <w:r>
              <w:rPr>
                <w:rFonts w:ascii="Calibri" w:eastAsia="Calibri" w:hAnsi="Calibri" w:cs="Calibri"/>
                <w:w w:val="97"/>
              </w:rPr>
              <w:t>l’Office</w:t>
            </w:r>
          </w:p>
        </w:tc>
        <w:tc>
          <w:tcPr>
            <w:tcW w:w="460" w:type="dxa"/>
            <w:vAlign w:val="bottom"/>
          </w:tcPr>
          <w:p w:rsidR="00AC12B4" w:rsidRDefault="00AC12B4">
            <w:pPr>
              <w:rPr>
                <w:sz w:val="14"/>
                <w:szCs w:val="14"/>
              </w:rPr>
            </w:pPr>
          </w:p>
        </w:tc>
        <w:tc>
          <w:tcPr>
            <w:tcW w:w="180" w:type="dxa"/>
            <w:vAlign w:val="bottom"/>
          </w:tcPr>
          <w:p w:rsidR="00AC12B4" w:rsidRDefault="00AC12B4">
            <w:pPr>
              <w:rPr>
                <w:sz w:val="14"/>
                <w:szCs w:val="14"/>
              </w:rPr>
            </w:pPr>
          </w:p>
        </w:tc>
        <w:tc>
          <w:tcPr>
            <w:tcW w:w="700" w:type="dxa"/>
            <w:gridSpan w:val="2"/>
            <w:vMerge w:val="restart"/>
            <w:vAlign w:val="bottom"/>
          </w:tcPr>
          <w:p w:rsidR="00AC12B4" w:rsidRDefault="00C27636">
            <w:pPr>
              <w:ind w:right="190"/>
              <w:jc w:val="right"/>
              <w:rPr>
                <w:sz w:val="20"/>
                <w:szCs w:val="20"/>
              </w:rPr>
            </w:pPr>
            <w:r>
              <w:rPr>
                <w:rFonts w:ascii="Calibri" w:eastAsia="Calibri" w:hAnsi="Calibri" w:cs="Calibri"/>
              </w:rPr>
              <w:t>des</w:t>
            </w:r>
          </w:p>
        </w:tc>
        <w:tc>
          <w:tcPr>
            <w:tcW w:w="160" w:type="dxa"/>
            <w:tcBorders>
              <w:right w:val="single" w:sz="8" w:space="0" w:color="159DCF"/>
            </w:tcBorders>
            <w:vAlign w:val="bottom"/>
          </w:tcPr>
          <w:p w:rsidR="00AC12B4" w:rsidRDefault="00AC12B4">
            <w:pPr>
              <w:rPr>
                <w:sz w:val="14"/>
                <w:szCs w:val="14"/>
              </w:rPr>
            </w:pPr>
          </w:p>
        </w:tc>
        <w:tc>
          <w:tcPr>
            <w:tcW w:w="1380" w:type="dxa"/>
            <w:gridSpan w:val="3"/>
            <w:vMerge/>
            <w:vAlign w:val="bottom"/>
          </w:tcPr>
          <w:p w:rsidR="00AC12B4" w:rsidRDefault="00AC12B4">
            <w:pPr>
              <w:rPr>
                <w:sz w:val="14"/>
                <w:szCs w:val="14"/>
              </w:rPr>
            </w:pPr>
          </w:p>
        </w:tc>
        <w:tc>
          <w:tcPr>
            <w:tcW w:w="540" w:type="dxa"/>
            <w:gridSpan w:val="2"/>
            <w:vMerge/>
            <w:vAlign w:val="bottom"/>
          </w:tcPr>
          <w:p w:rsidR="00AC12B4" w:rsidRDefault="00AC12B4">
            <w:pPr>
              <w:rPr>
                <w:sz w:val="14"/>
                <w:szCs w:val="14"/>
              </w:rPr>
            </w:pPr>
          </w:p>
        </w:tc>
        <w:tc>
          <w:tcPr>
            <w:tcW w:w="1060" w:type="dxa"/>
            <w:gridSpan w:val="2"/>
            <w:vMerge/>
            <w:tcBorders>
              <w:right w:val="single" w:sz="8" w:space="0" w:color="159DCF"/>
            </w:tcBorders>
            <w:vAlign w:val="bottom"/>
          </w:tcPr>
          <w:p w:rsidR="00AC12B4" w:rsidRDefault="00AC12B4">
            <w:pPr>
              <w:rPr>
                <w:sz w:val="14"/>
                <w:szCs w:val="14"/>
              </w:rPr>
            </w:pPr>
          </w:p>
        </w:tc>
        <w:tc>
          <w:tcPr>
            <w:tcW w:w="0" w:type="dxa"/>
            <w:vAlign w:val="bottom"/>
          </w:tcPr>
          <w:p w:rsidR="00AC12B4" w:rsidRDefault="00AC12B4">
            <w:pPr>
              <w:rPr>
                <w:sz w:val="1"/>
                <w:szCs w:val="1"/>
              </w:rPr>
            </w:pPr>
          </w:p>
        </w:tc>
      </w:tr>
      <w:tr w:rsidR="00AC12B4">
        <w:trPr>
          <w:trHeight w:val="106"/>
        </w:trPr>
        <w:tc>
          <w:tcPr>
            <w:tcW w:w="640" w:type="dxa"/>
            <w:gridSpan w:val="3"/>
            <w:vMerge/>
            <w:vAlign w:val="bottom"/>
          </w:tcPr>
          <w:p w:rsidR="00AC12B4" w:rsidRDefault="00AC12B4">
            <w:pPr>
              <w:rPr>
                <w:sz w:val="9"/>
                <w:szCs w:val="9"/>
              </w:rPr>
            </w:pPr>
          </w:p>
        </w:tc>
        <w:tc>
          <w:tcPr>
            <w:tcW w:w="460" w:type="dxa"/>
            <w:vAlign w:val="bottom"/>
          </w:tcPr>
          <w:p w:rsidR="00AC12B4" w:rsidRDefault="00AC12B4">
            <w:pPr>
              <w:rPr>
                <w:sz w:val="9"/>
                <w:szCs w:val="9"/>
              </w:rPr>
            </w:pPr>
          </w:p>
        </w:tc>
        <w:tc>
          <w:tcPr>
            <w:tcW w:w="180" w:type="dxa"/>
            <w:vAlign w:val="bottom"/>
          </w:tcPr>
          <w:p w:rsidR="00AC12B4" w:rsidRDefault="00AC12B4">
            <w:pPr>
              <w:rPr>
                <w:sz w:val="9"/>
                <w:szCs w:val="9"/>
              </w:rPr>
            </w:pPr>
          </w:p>
        </w:tc>
        <w:tc>
          <w:tcPr>
            <w:tcW w:w="700" w:type="dxa"/>
            <w:gridSpan w:val="2"/>
            <w:vMerge/>
            <w:vAlign w:val="bottom"/>
          </w:tcPr>
          <w:p w:rsidR="00AC12B4" w:rsidRDefault="00AC12B4">
            <w:pPr>
              <w:rPr>
                <w:sz w:val="9"/>
                <w:szCs w:val="9"/>
              </w:rPr>
            </w:pPr>
          </w:p>
        </w:tc>
        <w:tc>
          <w:tcPr>
            <w:tcW w:w="160" w:type="dxa"/>
            <w:tcBorders>
              <w:right w:val="single" w:sz="8" w:space="0" w:color="159DCF"/>
            </w:tcBorders>
            <w:vAlign w:val="bottom"/>
          </w:tcPr>
          <w:p w:rsidR="00AC12B4" w:rsidRDefault="00AC12B4">
            <w:pPr>
              <w:rPr>
                <w:sz w:val="9"/>
                <w:szCs w:val="9"/>
              </w:rPr>
            </w:pPr>
          </w:p>
        </w:tc>
        <w:tc>
          <w:tcPr>
            <w:tcW w:w="1920" w:type="dxa"/>
            <w:gridSpan w:val="5"/>
            <w:vMerge w:val="restart"/>
            <w:vAlign w:val="bottom"/>
          </w:tcPr>
          <w:p w:rsidR="00AC12B4" w:rsidRDefault="00C27636">
            <w:pPr>
              <w:ind w:left="140"/>
              <w:rPr>
                <w:sz w:val="20"/>
                <w:szCs w:val="20"/>
              </w:rPr>
            </w:pPr>
            <w:r>
              <w:rPr>
                <w:rFonts w:ascii="Comic Sans MS" w:eastAsia="Comic Sans MS" w:hAnsi="Comic Sans MS" w:cs="Comic Sans MS"/>
                <w:color w:val="0D0D0D"/>
                <w:sz w:val="20"/>
                <w:szCs w:val="20"/>
              </w:rPr>
              <w:t>18 ans (OE 2013).</w:t>
            </w:r>
          </w:p>
        </w:tc>
        <w:tc>
          <w:tcPr>
            <w:tcW w:w="540" w:type="dxa"/>
            <w:vAlign w:val="bottom"/>
          </w:tcPr>
          <w:p w:rsidR="00AC12B4" w:rsidRDefault="00AC12B4">
            <w:pPr>
              <w:rPr>
                <w:sz w:val="9"/>
                <w:szCs w:val="9"/>
              </w:rPr>
            </w:pPr>
          </w:p>
        </w:tc>
        <w:tc>
          <w:tcPr>
            <w:tcW w:w="520" w:type="dxa"/>
            <w:tcBorders>
              <w:right w:val="single" w:sz="8" w:space="0" w:color="159DCF"/>
            </w:tcBorders>
            <w:vAlign w:val="bottom"/>
          </w:tcPr>
          <w:p w:rsidR="00AC12B4" w:rsidRDefault="00AC12B4">
            <w:pPr>
              <w:rPr>
                <w:sz w:val="9"/>
                <w:szCs w:val="9"/>
              </w:rPr>
            </w:pPr>
          </w:p>
        </w:tc>
        <w:tc>
          <w:tcPr>
            <w:tcW w:w="0" w:type="dxa"/>
            <w:vAlign w:val="bottom"/>
          </w:tcPr>
          <w:p w:rsidR="00AC12B4" w:rsidRDefault="00AC12B4">
            <w:pPr>
              <w:rPr>
                <w:sz w:val="1"/>
                <w:szCs w:val="1"/>
              </w:rPr>
            </w:pPr>
          </w:p>
        </w:tc>
      </w:tr>
      <w:tr w:rsidR="00AC12B4">
        <w:trPr>
          <w:trHeight w:val="174"/>
        </w:trPr>
        <w:tc>
          <w:tcPr>
            <w:tcW w:w="1580" w:type="dxa"/>
            <w:gridSpan w:val="6"/>
            <w:vMerge w:val="restart"/>
            <w:vAlign w:val="bottom"/>
          </w:tcPr>
          <w:p w:rsidR="00AC12B4" w:rsidRDefault="00C27636">
            <w:pPr>
              <w:spacing w:line="267" w:lineRule="exact"/>
              <w:rPr>
                <w:sz w:val="20"/>
                <w:szCs w:val="20"/>
              </w:rPr>
            </w:pPr>
            <w:r>
              <w:rPr>
                <w:rFonts w:ascii="Calibri" w:eastAsia="Calibri" w:hAnsi="Calibri" w:cs="Calibri"/>
              </w:rPr>
              <w:t>Etrangers (OE) :</w:t>
            </w:r>
          </w:p>
        </w:tc>
        <w:tc>
          <w:tcPr>
            <w:tcW w:w="400" w:type="dxa"/>
            <w:vAlign w:val="bottom"/>
          </w:tcPr>
          <w:p w:rsidR="00AC12B4" w:rsidRDefault="00AC12B4">
            <w:pPr>
              <w:rPr>
                <w:sz w:val="15"/>
                <w:szCs w:val="15"/>
              </w:rPr>
            </w:pPr>
          </w:p>
        </w:tc>
        <w:tc>
          <w:tcPr>
            <w:tcW w:w="160" w:type="dxa"/>
            <w:tcBorders>
              <w:right w:val="single" w:sz="8" w:space="0" w:color="159DCF"/>
            </w:tcBorders>
            <w:vAlign w:val="bottom"/>
          </w:tcPr>
          <w:p w:rsidR="00AC12B4" w:rsidRDefault="00AC12B4">
            <w:pPr>
              <w:rPr>
                <w:sz w:val="15"/>
                <w:szCs w:val="15"/>
              </w:rPr>
            </w:pPr>
          </w:p>
        </w:tc>
        <w:tc>
          <w:tcPr>
            <w:tcW w:w="1920" w:type="dxa"/>
            <w:gridSpan w:val="5"/>
            <w:vMerge/>
            <w:vAlign w:val="bottom"/>
          </w:tcPr>
          <w:p w:rsidR="00AC12B4" w:rsidRDefault="00AC12B4">
            <w:pPr>
              <w:rPr>
                <w:sz w:val="15"/>
                <w:szCs w:val="15"/>
              </w:rPr>
            </w:pPr>
          </w:p>
        </w:tc>
        <w:tc>
          <w:tcPr>
            <w:tcW w:w="540" w:type="dxa"/>
            <w:vAlign w:val="bottom"/>
          </w:tcPr>
          <w:p w:rsidR="00AC12B4" w:rsidRDefault="00AC12B4">
            <w:pPr>
              <w:rPr>
                <w:sz w:val="15"/>
                <w:szCs w:val="15"/>
              </w:rPr>
            </w:pPr>
          </w:p>
        </w:tc>
        <w:tc>
          <w:tcPr>
            <w:tcW w:w="520" w:type="dxa"/>
            <w:tcBorders>
              <w:right w:val="single" w:sz="8" w:space="0" w:color="159DCF"/>
            </w:tcBorders>
            <w:vAlign w:val="bottom"/>
          </w:tcPr>
          <w:p w:rsidR="00AC12B4" w:rsidRDefault="00AC12B4">
            <w:pPr>
              <w:rPr>
                <w:sz w:val="15"/>
                <w:szCs w:val="15"/>
              </w:rPr>
            </w:pPr>
          </w:p>
        </w:tc>
        <w:tc>
          <w:tcPr>
            <w:tcW w:w="0" w:type="dxa"/>
            <w:vAlign w:val="bottom"/>
          </w:tcPr>
          <w:p w:rsidR="00AC12B4" w:rsidRDefault="00AC12B4">
            <w:pPr>
              <w:rPr>
                <w:sz w:val="1"/>
                <w:szCs w:val="1"/>
              </w:rPr>
            </w:pPr>
          </w:p>
        </w:tc>
      </w:tr>
      <w:tr w:rsidR="00AC12B4">
        <w:trPr>
          <w:trHeight w:val="92"/>
        </w:trPr>
        <w:tc>
          <w:tcPr>
            <w:tcW w:w="1580" w:type="dxa"/>
            <w:gridSpan w:val="6"/>
            <w:vMerge/>
            <w:vAlign w:val="bottom"/>
          </w:tcPr>
          <w:p w:rsidR="00AC12B4" w:rsidRDefault="00AC12B4">
            <w:pPr>
              <w:rPr>
                <w:sz w:val="8"/>
                <w:szCs w:val="8"/>
              </w:rPr>
            </w:pPr>
          </w:p>
        </w:tc>
        <w:tc>
          <w:tcPr>
            <w:tcW w:w="400" w:type="dxa"/>
            <w:vAlign w:val="bottom"/>
          </w:tcPr>
          <w:p w:rsidR="00AC12B4" w:rsidRDefault="00AC12B4">
            <w:pPr>
              <w:rPr>
                <w:sz w:val="8"/>
                <w:szCs w:val="8"/>
              </w:rPr>
            </w:pPr>
          </w:p>
        </w:tc>
        <w:tc>
          <w:tcPr>
            <w:tcW w:w="160" w:type="dxa"/>
            <w:tcBorders>
              <w:right w:val="single" w:sz="8" w:space="0" w:color="159DCF"/>
            </w:tcBorders>
            <w:vAlign w:val="bottom"/>
          </w:tcPr>
          <w:p w:rsidR="00AC12B4" w:rsidRDefault="00AC12B4">
            <w:pPr>
              <w:rPr>
                <w:sz w:val="8"/>
                <w:szCs w:val="8"/>
              </w:rPr>
            </w:pPr>
          </w:p>
        </w:tc>
        <w:tc>
          <w:tcPr>
            <w:tcW w:w="740" w:type="dxa"/>
            <w:vAlign w:val="bottom"/>
          </w:tcPr>
          <w:p w:rsidR="00AC12B4" w:rsidRDefault="00AC12B4">
            <w:pPr>
              <w:rPr>
                <w:sz w:val="8"/>
                <w:szCs w:val="8"/>
              </w:rPr>
            </w:pPr>
          </w:p>
        </w:tc>
        <w:tc>
          <w:tcPr>
            <w:tcW w:w="220" w:type="dxa"/>
            <w:vAlign w:val="bottom"/>
          </w:tcPr>
          <w:p w:rsidR="00AC12B4" w:rsidRDefault="00AC12B4">
            <w:pPr>
              <w:rPr>
                <w:sz w:val="8"/>
                <w:szCs w:val="8"/>
              </w:rPr>
            </w:pPr>
          </w:p>
        </w:tc>
        <w:tc>
          <w:tcPr>
            <w:tcW w:w="420" w:type="dxa"/>
            <w:vAlign w:val="bottom"/>
          </w:tcPr>
          <w:p w:rsidR="00AC12B4" w:rsidRDefault="00AC12B4">
            <w:pPr>
              <w:rPr>
                <w:sz w:val="8"/>
                <w:szCs w:val="8"/>
              </w:rPr>
            </w:pPr>
          </w:p>
        </w:tc>
        <w:tc>
          <w:tcPr>
            <w:tcW w:w="300" w:type="dxa"/>
            <w:vAlign w:val="bottom"/>
          </w:tcPr>
          <w:p w:rsidR="00AC12B4" w:rsidRDefault="00AC12B4">
            <w:pPr>
              <w:rPr>
                <w:sz w:val="8"/>
                <w:szCs w:val="8"/>
              </w:rPr>
            </w:pPr>
          </w:p>
        </w:tc>
        <w:tc>
          <w:tcPr>
            <w:tcW w:w="240" w:type="dxa"/>
            <w:vAlign w:val="bottom"/>
          </w:tcPr>
          <w:p w:rsidR="00AC12B4" w:rsidRDefault="00AC12B4">
            <w:pPr>
              <w:rPr>
                <w:sz w:val="8"/>
                <w:szCs w:val="8"/>
              </w:rPr>
            </w:pPr>
          </w:p>
        </w:tc>
        <w:tc>
          <w:tcPr>
            <w:tcW w:w="540" w:type="dxa"/>
            <w:vAlign w:val="bottom"/>
          </w:tcPr>
          <w:p w:rsidR="00AC12B4" w:rsidRDefault="00AC12B4">
            <w:pPr>
              <w:rPr>
                <w:sz w:val="8"/>
                <w:szCs w:val="8"/>
              </w:rPr>
            </w:pPr>
          </w:p>
        </w:tc>
        <w:tc>
          <w:tcPr>
            <w:tcW w:w="520" w:type="dxa"/>
            <w:tcBorders>
              <w:right w:val="single" w:sz="8" w:space="0" w:color="159DCF"/>
            </w:tcBorders>
            <w:vAlign w:val="bottom"/>
          </w:tcPr>
          <w:p w:rsidR="00AC12B4" w:rsidRDefault="00AC12B4">
            <w:pPr>
              <w:rPr>
                <w:sz w:val="8"/>
                <w:szCs w:val="8"/>
              </w:rPr>
            </w:pPr>
          </w:p>
        </w:tc>
        <w:tc>
          <w:tcPr>
            <w:tcW w:w="0" w:type="dxa"/>
            <w:vAlign w:val="bottom"/>
          </w:tcPr>
          <w:p w:rsidR="00AC12B4" w:rsidRDefault="00AC12B4">
            <w:pPr>
              <w:rPr>
                <w:sz w:val="1"/>
                <w:szCs w:val="1"/>
              </w:rPr>
            </w:pPr>
          </w:p>
        </w:tc>
      </w:tr>
      <w:tr w:rsidR="00AC12B4">
        <w:trPr>
          <w:trHeight w:val="246"/>
        </w:trPr>
        <w:tc>
          <w:tcPr>
            <w:tcW w:w="460" w:type="dxa"/>
            <w:gridSpan w:val="2"/>
            <w:vMerge w:val="restart"/>
            <w:vAlign w:val="bottom"/>
          </w:tcPr>
          <w:p w:rsidR="00AC12B4" w:rsidRDefault="00C27636">
            <w:pPr>
              <w:ind w:left="360"/>
              <w:rPr>
                <w:sz w:val="20"/>
                <w:szCs w:val="20"/>
              </w:rPr>
            </w:pPr>
            <w:r>
              <w:rPr>
                <w:rFonts w:ascii="Calibri" w:eastAsia="Calibri" w:hAnsi="Calibri" w:cs="Calibri"/>
              </w:rPr>
              <w:t>-</w:t>
            </w:r>
          </w:p>
        </w:tc>
        <w:tc>
          <w:tcPr>
            <w:tcW w:w="180" w:type="dxa"/>
            <w:vAlign w:val="bottom"/>
          </w:tcPr>
          <w:p w:rsidR="00AC12B4" w:rsidRDefault="00AC12B4">
            <w:pPr>
              <w:rPr>
                <w:sz w:val="21"/>
                <w:szCs w:val="21"/>
              </w:rPr>
            </w:pPr>
          </w:p>
        </w:tc>
        <w:tc>
          <w:tcPr>
            <w:tcW w:w="640" w:type="dxa"/>
            <w:gridSpan w:val="2"/>
            <w:vMerge w:val="restart"/>
            <w:vAlign w:val="bottom"/>
          </w:tcPr>
          <w:p w:rsidR="00AC12B4" w:rsidRDefault="00C27636">
            <w:pPr>
              <w:ind w:left="80"/>
              <w:rPr>
                <w:sz w:val="20"/>
                <w:szCs w:val="20"/>
              </w:rPr>
            </w:pPr>
            <w:r>
              <w:rPr>
                <w:rFonts w:ascii="Calibri" w:eastAsia="Calibri" w:hAnsi="Calibri" w:cs="Calibri"/>
              </w:rPr>
              <w:t>L’OE</w:t>
            </w:r>
          </w:p>
        </w:tc>
        <w:tc>
          <w:tcPr>
            <w:tcW w:w="300" w:type="dxa"/>
            <w:vAlign w:val="bottom"/>
          </w:tcPr>
          <w:p w:rsidR="00AC12B4" w:rsidRDefault="00AC12B4">
            <w:pPr>
              <w:rPr>
                <w:sz w:val="21"/>
                <w:szCs w:val="21"/>
              </w:rPr>
            </w:pPr>
          </w:p>
        </w:tc>
        <w:tc>
          <w:tcPr>
            <w:tcW w:w="400" w:type="dxa"/>
            <w:vAlign w:val="bottom"/>
          </w:tcPr>
          <w:p w:rsidR="00AC12B4" w:rsidRDefault="00AC12B4">
            <w:pPr>
              <w:rPr>
                <w:sz w:val="21"/>
                <w:szCs w:val="21"/>
              </w:rPr>
            </w:pPr>
          </w:p>
        </w:tc>
        <w:tc>
          <w:tcPr>
            <w:tcW w:w="160" w:type="dxa"/>
            <w:tcBorders>
              <w:right w:val="single" w:sz="8" w:space="0" w:color="159DCF"/>
            </w:tcBorders>
            <w:vAlign w:val="bottom"/>
          </w:tcPr>
          <w:p w:rsidR="00AC12B4" w:rsidRDefault="00AC12B4">
            <w:pPr>
              <w:rPr>
                <w:sz w:val="21"/>
                <w:szCs w:val="21"/>
              </w:rPr>
            </w:pPr>
          </w:p>
        </w:tc>
        <w:tc>
          <w:tcPr>
            <w:tcW w:w="740" w:type="dxa"/>
            <w:tcBorders>
              <w:bottom w:val="single" w:sz="8" w:space="0" w:color="159DCF"/>
            </w:tcBorders>
            <w:vAlign w:val="bottom"/>
          </w:tcPr>
          <w:p w:rsidR="00AC12B4" w:rsidRDefault="00AC12B4">
            <w:pPr>
              <w:rPr>
                <w:sz w:val="21"/>
                <w:szCs w:val="21"/>
              </w:rPr>
            </w:pPr>
          </w:p>
        </w:tc>
        <w:tc>
          <w:tcPr>
            <w:tcW w:w="220" w:type="dxa"/>
            <w:tcBorders>
              <w:bottom w:val="single" w:sz="8" w:space="0" w:color="159DCF"/>
            </w:tcBorders>
            <w:vAlign w:val="bottom"/>
          </w:tcPr>
          <w:p w:rsidR="00AC12B4" w:rsidRDefault="00AC12B4">
            <w:pPr>
              <w:rPr>
                <w:sz w:val="21"/>
                <w:szCs w:val="21"/>
              </w:rPr>
            </w:pPr>
          </w:p>
        </w:tc>
        <w:tc>
          <w:tcPr>
            <w:tcW w:w="420" w:type="dxa"/>
            <w:tcBorders>
              <w:bottom w:val="single" w:sz="8" w:space="0" w:color="159DCF"/>
            </w:tcBorders>
            <w:vAlign w:val="bottom"/>
          </w:tcPr>
          <w:p w:rsidR="00AC12B4" w:rsidRDefault="00AC12B4">
            <w:pPr>
              <w:rPr>
                <w:sz w:val="21"/>
                <w:szCs w:val="21"/>
              </w:rPr>
            </w:pPr>
          </w:p>
        </w:tc>
        <w:tc>
          <w:tcPr>
            <w:tcW w:w="300" w:type="dxa"/>
            <w:tcBorders>
              <w:bottom w:val="single" w:sz="8" w:space="0" w:color="159DCF"/>
            </w:tcBorders>
            <w:vAlign w:val="bottom"/>
          </w:tcPr>
          <w:p w:rsidR="00AC12B4" w:rsidRDefault="00AC12B4">
            <w:pPr>
              <w:rPr>
                <w:sz w:val="21"/>
                <w:szCs w:val="21"/>
              </w:rPr>
            </w:pPr>
          </w:p>
        </w:tc>
        <w:tc>
          <w:tcPr>
            <w:tcW w:w="240" w:type="dxa"/>
            <w:tcBorders>
              <w:bottom w:val="single" w:sz="8" w:space="0" w:color="159DCF"/>
            </w:tcBorders>
            <w:vAlign w:val="bottom"/>
          </w:tcPr>
          <w:p w:rsidR="00AC12B4" w:rsidRDefault="00AC12B4">
            <w:pPr>
              <w:rPr>
                <w:sz w:val="21"/>
                <w:szCs w:val="21"/>
              </w:rPr>
            </w:pPr>
          </w:p>
        </w:tc>
        <w:tc>
          <w:tcPr>
            <w:tcW w:w="540" w:type="dxa"/>
            <w:tcBorders>
              <w:bottom w:val="single" w:sz="8" w:space="0" w:color="159DCF"/>
            </w:tcBorders>
            <w:vAlign w:val="bottom"/>
          </w:tcPr>
          <w:p w:rsidR="00AC12B4" w:rsidRDefault="00AC12B4">
            <w:pPr>
              <w:rPr>
                <w:sz w:val="21"/>
                <w:szCs w:val="21"/>
              </w:rPr>
            </w:pPr>
          </w:p>
        </w:tc>
        <w:tc>
          <w:tcPr>
            <w:tcW w:w="520" w:type="dxa"/>
            <w:tcBorders>
              <w:bottom w:val="single" w:sz="8" w:space="0" w:color="159DCF"/>
              <w:right w:val="single" w:sz="8" w:space="0" w:color="159DCF"/>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23"/>
        </w:trPr>
        <w:tc>
          <w:tcPr>
            <w:tcW w:w="460" w:type="dxa"/>
            <w:gridSpan w:val="2"/>
            <w:vMerge/>
            <w:vAlign w:val="bottom"/>
          </w:tcPr>
          <w:p w:rsidR="00AC12B4" w:rsidRDefault="00AC12B4">
            <w:pPr>
              <w:rPr>
                <w:sz w:val="10"/>
                <w:szCs w:val="10"/>
              </w:rPr>
            </w:pPr>
          </w:p>
        </w:tc>
        <w:tc>
          <w:tcPr>
            <w:tcW w:w="180" w:type="dxa"/>
            <w:vAlign w:val="bottom"/>
          </w:tcPr>
          <w:p w:rsidR="00AC12B4" w:rsidRDefault="00AC12B4">
            <w:pPr>
              <w:rPr>
                <w:sz w:val="10"/>
                <w:szCs w:val="10"/>
              </w:rPr>
            </w:pPr>
          </w:p>
        </w:tc>
        <w:tc>
          <w:tcPr>
            <w:tcW w:w="640" w:type="dxa"/>
            <w:gridSpan w:val="2"/>
            <w:vMerge/>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400" w:type="dxa"/>
            <w:vAlign w:val="bottom"/>
          </w:tcPr>
          <w:p w:rsidR="00AC12B4" w:rsidRDefault="00AC12B4">
            <w:pPr>
              <w:rPr>
                <w:sz w:val="10"/>
                <w:szCs w:val="10"/>
              </w:rPr>
            </w:pPr>
          </w:p>
        </w:tc>
        <w:tc>
          <w:tcPr>
            <w:tcW w:w="160" w:type="dxa"/>
            <w:vAlign w:val="bottom"/>
          </w:tcPr>
          <w:p w:rsidR="00AC12B4" w:rsidRDefault="00AC12B4">
            <w:pPr>
              <w:rPr>
                <w:sz w:val="10"/>
                <w:szCs w:val="10"/>
              </w:rPr>
            </w:pPr>
          </w:p>
        </w:tc>
        <w:tc>
          <w:tcPr>
            <w:tcW w:w="740" w:type="dxa"/>
            <w:vAlign w:val="bottom"/>
          </w:tcPr>
          <w:p w:rsidR="00AC12B4" w:rsidRDefault="00AC12B4">
            <w:pPr>
              <w:rPr>
                <w:sz w:val="10"/>
                <w:szCs w:val="10"/>
              </w:rPr>
            </w:pPr>
          </w:p>
        </w:tc>
        <w:tc>
          <w:tcPr>
            <w:tcW w:w="220" w:type="dxa"/>
            <w:vAlign w:val="bottom"/>
          </w:tcPr>
          <w:p w:rsidR="00AC12B4" w:rsidRDefault="00AC12B4">
            <w:pPr>
              <w:rPr>
                <w:sz w:val="10"/>
                <w:szCs w:val="10"/>
              </w:rPr>
            </w:pPr>
          </w:p>
        </w:tc>
        <w:tc>
          <w:tcPr>
            <w:tcW w:w="420" w:type="dxa"/>
            <w:vAlign w:val="bottom"/>
          </w:tcPr>
          <w:p w:rsidR="00AC12B4" w:rsidRDefault="00AC12B4">
            <w:pPr>
              <w:rPr>
                <w:sz w:val="10"/>
                <w:szCs w:val="10"/>
              </w:rPr>
            </w:pPr>
          </w:p>
        </w:tc>
        <w:tc>
          <w:tcPr>
            <w:tcW w:w="300" w:type="dxa"/>
            <w:vAlign w:val="bottom"/>
          </w:tcPr>
          <w:p w:rsidR="00AC12B4" w:rsidRDefault="00AC12B4">
            <w:pPr>
              <w:rPr>
                <w:sz w:val="10"/>
                <w:szCs w:val="10"/>
              </w:rPr>
            </w:pPr>
          </w:p>
        </w:tc>
        <w:tc>
          <w:tcPr>
            <w:tcW w:w="240" w:type="dxa"/>
            <w:vAlign w:val="bottom"/>
          </w:tcPr>
          <w:p w:rsidR="00AC12B4" w:rsidRDefault="00AC12B4">
            <w:pPr>
              <w:rPr>
                <w:sz w:val="10"/>
                <w:szCs w:val="10"/>
              </w:rPr>
            </w:pPr>
          </w:p>
        </w:tc>
        <w:tc>
          <w:tcPr>
            <w:tcW w:w="540" w:type="dxa"/>
            <w:vAlign w:val="bottom"/>
          </w:tcPr>
          <w:p w:rsidR="00AC12B4" w:rsidRDefault="00AC12B4">
            <w:pPr>
              <w:rPr>
                <w:sz w:val="10"/>
                <w:szCs w:val="10"/>
              </w:rPr>
            </w:pPr>
          </w:p>
        </w:tc>
        <w:tc>
          <w:tcPr>
            <w:tcW w:w="520" w:type="dxa"/>
            <w:vAlign w:val="bottom"/>
          </w:tcPr>
          <w:p w:rsidR="00AC12B4" w:rsidRDefault="00AC12B4">
            <w:pPr>
              <w:rPr>
                <w:sz w:val="10"/>
                <w:szCs w:val="10"/>
              </w:rPr>
            </w:pPr>
          </w:p>
        </w:tc>
        <w:tc>
          <w:tcPr>
            <w:tcW w:w="0" w:type="dxa"/>
            <w:vAlign w:val="bottom"/>
          </w:tcPr>
          <w:p w:rsidR="00AC12B4" w:rsidRDefault="00AC12B4">
            <w:pPr>
              <w:rPr>
                <w:sz w:val="1"/>
                <w:szCs w:val="1"/>
              </w:rPr>
            </w:pPr>
          </w:p>
        </w:tc>
      </w:tr>
      <w:tr w:rsidR="00AC12B4" w:rsidRPr="00C27636">
        <w:trPr>
          <w:trHeight w:val="310"/>
        </w:trPr>
        <w:tc>
          <w:tcPr>
            <w:tcW w:w="6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délivre  au  tuteur  un  ordre  de</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310"/>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 xml:space="preserve">reconduire, si la solution </w:t>
            </w:r>
            <w:r w:rsidRPr="00C27636">
              <w:rPr>
                <w:rFonts w:ascii="Calibri" w:eastAsia="Calibri" w:hAnsi="Calibri" w:cs="Calibri"/>
                <w:lang w:val="fr-BE"/>
              </w:rPr>
              <w:t>durable</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307"/>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consiste  en  un  retour  dans  un</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310"/>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autre  pays  ou le regroupement</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310"/>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2880" w:type="dxa"/>
            <w:gridSpan w:val="8"/>
            <w:vAlign w:val="bottom"/>
          </w:tcPr>
          <w:p w:rsidR="00AC12B4" w:rsidRPr="00C27636" w:rsidRDefault="00C27636">
            <w:pPr>
              <w:ind w:left="80"/>
              <w:rPr>
                <w:sz w:val="20"/>
                <w:szCs w:val="20"/>
                <w:lang w:val="fr-BE"/>
              </w:rPr>
            </w:pPr>
            <w:r w:rsidRPr="00C27636">
              <w:rPr>
                <w:rFonts w:ascii="Calibri" w:eastAsia="Calibri" w:hAnsi="Calibri" w:cs="Calibri"/>
                <w:lang w:val="fr-BE"/>
              </w:rPr>
              <w:t>familial dans un autre pays.</w:t>
            </w:r>
          </w:p>
        </w:tc>
        <w:tc>
          <w:tcPr>
            <w:tcW w:w="300" w:type="dxa"/>
            <w:vAlign w:val="bottom"/>
          </w:tcPr>
          <w:p w:rsidR="00AC12B4" w:rsidRPr="00C27636" w:rsidRDefault="00AC12B4">
            <w:pPr>
              <w:rPr>
                <w:sz w:val="24"/>
                <w:szCs w:val="24"/>
                <w:lang w:val="fr-BE"/>
              </w:rPr>
            </w:pPr>
          </w:p>
        </w:tc>
        <w:tc>
          <w:tcPr>
            <w:tcW w:w="240" w:type="dxa"/>
            <w:vAlign w:val="bottom"/>
          </w:tcPr>
          <w:p w:rsidR="00AC12B4" w:rsidRPr="00C27636" w:rsidRDefault="00AC12B4">
            <w:pPr>
              <w:rPr>
                <w:sz w:val="24"/>
                <w:szCs w:val="24"/>
                <w:lang w:val="fr-BE"/>
              </w:rPr>
            </w:pP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rsidRPr="00C27636">
        <w:trPr>
          <w:trHeight w:val="307"/>
        </w:trPr>
        <w:tc>
          <w:tcPr>
            <w:tcW w:w="640" w:type="dxa"/>
            <w:gridSpan w:val="3"/>
            <w:vAlign w:val="bottom"/>
          </w:tcPr>
          <w:p w:rsidR="00AC12B4" w:rsidRDefault="00C27636">
            <w:pPr>
              <w:ind w:left="360"/>
              <w:rPr>
                <w:sz w:val="20"/>
                <w:szCs w:val="20"/>
              </w:rPr>
            </w:pPr>
            <w:r>
              <w:rPr>
                <w:rFonts w:ascii="Calibri" w:eastAsia="Calibri" w:hAnsi="Calibri" w:cs="Calibri"/>
              </w:rPr>
              <w:t>-</w:t>
            </w: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Il délivre un document de séjour</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310"/>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3420" w:type="dxa"/>
            <w:gridSpan w:val="10"/>
            <w:vAlign w:val="bottom"/>
          </w:tcPr>
          <w:p w:rsidR="00AC12B4" w:rsidRDefault="00C27636">
            <w:pPr>
              <w:ind w:left="80"/>
              <w:rPr>
                <w:sz w:val="20"/>
                <w:szCs w:val="20"/>
              </w:rPr>
            </w:pPr>
            <w:r>
              <w:rPr>
                <w:rFonts w:ascii="Calibri" w:eastAsia="Calibri" w:hAnsi="Calibri" w:cs="Calibri"/>
              </w:rPr>
              <w:t>(Attestation d’Immatriculation (AI)</w:t>
            </w:r>
          </w:p>
        </w:tc>
        <w:tc>
          <w:tcPr>
            <w:tcW w:w="54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rsidRPr="00C27636">
        <w:trPr>
          <w:trHeight w:val="310"/>
        </w:trPr>
        <w:tc>
          <w:tcPr>
            <w:tcW w:w="6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d’une durée de validité de 6 mois),</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307"/>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si une solution durable n’a pas été</w:t>
            </w:r>
          </w:p>
        </w:tc>
        <w:tc>
          <w:tcPr>
            <w:tcW w:w="540" w:type="dxa"/>
            <w:vAlign w:val="bottom"/>
          </w:tcPr>
          <w:p w:rsidR="00AC12B4" w:rsidRPr="00C27636" w:rsidRDefault="00AC12B4">
            <w:pPr>
              <w:rPr>
                <w:sz w:val="24"/>
                <w:szCs w:val="24"/>
                <w:lang w:val="fr-BE"/>
              </w:rPr>
            </w:pPr>
          </w:p>
        </w:tc>
        <w:tc>
          <w:tcPr>
            <w:tcW w:w="520" w:type="dxa"/>
            <w:vMerge w:val="restart"/>
            <w:textDirection w:val="btLr"/>
            <w:vAlign w:val="bottom"/>
          </w:tcPr>
          <w:p w:rsidR="00AC12B4" w:rsidRDefault="00C27636">
            <w:pPr>
              <w:ind w:left="184"/>
              <w:rPr>
                <w:sz w:val="20"/>
                <w:szCs w:val="20"/>
              </w:rPr>
            </w:pPr>
            <w:r>
              <w:rPr>
                <w:rFonts w:ascii="Calibri" w:eastAsia="Calibri" w:hAnsi="Calibri" w:cs="Calibri"/>
                <w:b/>
                <w:bCs/>
                <w:i/>
                <w:iCs/>
                <w:color w:val="F2F2F2"/>
                <w:w w:val="73"/>
                <w:sz w:val="19"/>
                <w:szCs w:val="19"/>
              </w:rPr>
              <w:t>étrangers</w:t>
            </w:r>
          </w:p>
        </w:tc>
        <w:tc>
          <w:tcPr>
            <w:tcW w:w="0" w:type="dxa"/>
            <w:vAlign w:val="bottom"/>
          </w:tcPr>
          <w:p w:rsidR="00AC12B4" w:rsidRDefault="00AC12B4">
            <w:pPr>
              <w:rPr>
                <w:sz w:val="1"/>
                <w:szCs w:val="1"/>
              </w:rPr>
            </w:pPr>
          </w:p>
        </w:tc>
      </w:tr>
      <w:tr w:rsidR="00AC12B4" w:rsidRPr="00C27636">
        <w:trPr>
          <w:trHeight w:val="256"/>
        </w:trPr>
        <w:tc>
          <w:tcPr>
            <w:tcW w:w="60" w:type="dxa"/>
            <w:vAlign w:val="bottom"/>
          </w:tcPr>
          <w:p w:rsidR="00AC12B4" w:rsidRDefault="00AC12B4"/>
        </w:tc>
        <w:tc>
          <w:tcPr>
            <w:tcW w:w="400" w:type="dxa"/>
            <w:vAlign w:val="bottom"/>
          </w:tcPr>
          <w:p w:rsidR="00AC12B4" w:rsidRDefault="00AC12B4"/>
        </w:tc>
        <w:tc>
          <w:tcPr>
            <w:tcW w:w="180" w:type="dxa"/>
            <w:vAlign w:val="bottom"/>
          </w:tcPr>
          <w:p w:rsidR="00AC12B4" w:rsidRDefault="00AC12B4"/>
        </w:tc>
        <w:tc>
          <w:tcPr>
            <w:tcW w:w="3420" w:type="dxa"/>
            <w:gridSpan w:val="10"/>
            <w:vMerge w:val="restart"/>
            <w:vAlign w:val="bottom"/>
          </w:tcPr>
          <w:p w:rsidR="00AC12B4" w:rsidRPr="00C27636" w:rsidRDefault="00C27636">
            <w:pPr>
              <w:ind w:left="80"/>
              <w:rPr>
                <w:sz w:val="20"/>
                <w:szCs w:val="20"/>
                <w:lang w:val="fr-BE"/>
              </w:rPr>
            </w:pPr>
            <w:r w:rsidRPr="00C27636">
              <w:rPr>
                <w:rFonts w:ascii="Calibri" w:eastAsia="Calibri" w:hAnsi="Calibri" w:cs="Calibri"/>
                <w:lang w:val="fr-BE"/>
              </w:rPr>
              <w:t>trouvée. Pour autant que le jeune</w:t>
            </w:r>
          </w:p>
        </w:tc>
        <w:tc>
          <w:tcPr>
            <w:tcW w:w="540" w:type="dxa"/>
            <w:vAlign w:val="bottom"/>
          </w:tcPr>
          <w:p w:rsidR="00AC12B4" w:rsidRPr="00C27636" w:rsidRDefault="00AC12B4">
            <w:pPr>
              <w:rPr>
                <w:lang w:val="fr-BE"/>
              </w:rPr>
            </w:pPr>
          </w:p>
        </w:tc>
        <w:tc>
          <w:tcPr>
            <w:tcW w:w="520" w:type="dxa"/>
            <w:vMerge/>
            <w:vAlign w:val="bottom"/>
          </w:tcPr>
          <w:p w:rsidR="00AC12B4" w:rsidRPr="00C27636" w:rsidRDefault="00AC12B4">
            <w:pPr>
              <w:rPr>
                <w:lang w:val="fr-BE"/>
              </w:rPr>
            </w:pPr>
          </w:p>
        </w:tc>
        <w:tc>
          <w:tcPr>
            <w:tcW w:w="0" w:type="dxa"/>
            <w:vAlign w:val="bottom"/>
          </w:tcPr>
          <w:p w:rsidR="00AC12B4" w:rsidRPr="00C27636" w:rsidRDefault="00AC12B4">
            <w:pPr>
              <w:rPr>
                <w:sz w:val="1"/>
                <w:szCs w:val="1"/>
                <w:lang w:val="fr-BE"/>
              </w:rPr>
            </w:pPr>
          </w:p>
        </w:tc>
      </w:tr>
      <w:tr w:rsidR="00AC12B4" w:rsidRPr="00C27636">
        <w:trPr>
          <w:trHeight w:val="54"/>
        </w:trPr>
        <w:tc>
          <w:tcPr>
            <w:tcW w:w="60" w:type="dxa"/>
            <w:vAlign w:val="bottom"/>
          </w:tcPr>
          <w:p w:rsidR="00AC12B4" w:rsidRPr="00C27636" w:rsidRDefault="00AC12B4">
            <w:pPr>
              <w:rPr>
                <w:sz w:val="4"/>
                <w:szCs w:val="4"/>
                <w:lang w:val="fr-BE"/>
              </w:rPr>
            </w:pPr>
          </w:p>
        </w:tc>
        <w:tc>
          <w:tcPr>
            <w:tcW w:w="400" w:type="dxa"/>
            <w:vAlign w:val="bottom"/>
          </w:tcPr>
          <w:p w:rsidR="00AC12B4" w:rsidRPr="00C27636" w:rsidRDefault="00AC12B4">
            <w:pPr>
              <w:rPr>
                <w:sz w:val="4"/>
                <w:szCs w:val="4"/>
                <w:lang w:val="fr-BE"/>
              </w:rPr>
            </w:pPr>
          </w:p>
        </w:tc>
        <w:tc>
          <w:tcPr>
            <w:tcW w:w="180" w:type="dxa"/>
            <w:vAlign w:val="bottom"/>
          </w:tcPr>
          <w:p w:rsidR="00AC12B4" w:rsidRPr="00C27636" w:rsidRDefault="00AC12B4">
            <w:pPr>
              <w:rPr>
                <w:sz w:val="4"/>
                <w:szCs w:val="4"/>
                <w:lang w:val="fr-BE"/>
              </w:rPr>
            </w:pPr>
          </w:p>
        </w:tc>
        <w:tc>
          <w:tcPr>
            <w:tcW w:w="3420" w:type="dxa"/>
            <w:gridSpan w:val="10"/>
            <w:vMerge/>
            <w:vAlign w:val="bottom"/>
          </w:tcPr>
          <w:p w:rsidR="00AC12B4" w:rsidRPr="00C27636" w:rsidRDefault="00AC12B4">
            <w:pPr>
              <w:rPr>
                <w:sz w:val="4"/>
                <w:szCs w:val="4"/>
                <w:lang w:val="fr-BE"/>
              </w:rPr>
            </w:pPr>
          </w:p>
        </w:tc>
        <w:tc>
          <w:tcPr>
            <w:tcW w:w="540" w:type="dxa"/>
            <w:vAlign w:val="bottom"/>
          </w:tcPr>
          <w:p w:rsidR="00AC12B4" w:rsidRPr="00C27636" w:rsidRDefault="00AC12B4">
            <w:pPr>
              <w:rPr>
                <w:sz w:val="4"/>
                <w:szCs w:val="4"/>
                <w:lang w:val="fr-BE"/>
              </w:rPr>
            </w:pPr>
          </w:p>
        </w:tc>
        <w:tc>
          <w:tcPr>
            <w:tcW w:w="520" w:type="dxa"/>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rsidRPr="00C27636">
        <w:trPr>
          <w:trHeight w:val="310"/>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n’est pas majeur, cette solution</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310"/>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940" w:type="dxa"/>
            <w:gridSpan w:val="3"/>
            <w:vAlign w:val="bottom"/>
          </w:tcPr>
          <w:p w:rsidR="00AC12B4" w:rsidRDefault="00C27636">
            <w:pPr>
              <w:ind w:left="80"/>
              <w:rPr>
                <w:sz w:val="20"/>
                <w:szCs w:val="20"/>
              </w:rPr>
            </w:pPr>
            <w:r>
              <w:rPr>
                <w:rFonts w:ascii="Calibri" w:eastAsia="Calibri" w:hAnsi="Calibri" w:cs="Calibri"/>
              </w:rPr>
              <w:t>durable</w:t>
            </w:r>
          </w:p>
        </w:tc>
        <w:tc>
          <w:tcPr>
            <w:tcW w:w="400" w:type="dxa"/>
            <w:vAlign w:val="bottom"/>
          </w:tcPr>
          <w:p w:rsidR="00AC12B4" w:rsidRDefault="00C27636">
            <w:pPr>
              <w:jc w:val="right"/>
              <w:rPr>
                <w:sz w:val="20"/>
                <w:szCs w:val="20"/>
              </w:rPr>
            </w:pPr>
            <w:r>
              <w:rPr>
                <w:rFonts w:ascii="Calibri" w:eastAsia="Calibri" w:hAnsi="Calibri" w:cs="Calibri"/>
              </w:rPr>
              <w:t>est</w:t>
            </w:r>
          </w:p>
        </w:tc>
        <w:tc>
          <w:tcPr>
            <w:tcW w:w="160" w:type="dxa"/>
            <w:vAlign w:val="bottom"/>
          </w:tcPr>
          <w:p w:rsidR="00AC12B4" w:rsidRDefault="00AC12B4">
            <w:pPr>
              <w:rPr>
                <w:sz w:val="24"/>
                <w:szCs w:val="24"/>
              </w:rPr>
            </w:pPr>
          </w:p>
        </w:tc>
        <w:tc>
          <w:tcPr>
            <w:tcW w:w="1380" w:type="dxa"/>
            <w:gridSpan w:val="3"/>
            <w:vAlign w:val="bottom"/>
          </w:tcPr>
          <w:p w:rsidR="00AC12B4" w:rsidRDefault="00C27636">
            <w:pPr>
              <w:ind w:left="140"/>
              <w:rPr>
                <w:sz w:val="20"/>
                <w:szCs w:val="20"/>
              </w:rPr>
            </w:pPr>
            <w:r>
              <w:rPr>
                <w:rFonts w:ascii="Calibri" w:eastAsia="Calibri" w:hAnsi="Calibri" w:cs="Calibri"/>
              </w:rPr>
              <w:t>recherchée.</w:t>
            </w:r>
          </w:p>
        </w:tc>
        <w:tc>
          <w:tcPr>
            <w:tcW w:w="540" w:type="dxa"/>
            <w:gridSpan w:val="2"/>
            <w:vAlign w:val="bottom"/>
          </w:tcPr>
          <w:p w:rsidR="00AC12B4" w:rsidRDefault="00C27636">
            <w:pPr>
              <w:ind w:right="180"/>
              <w:jc w:val="right"/>
              <w:rPr>
                <w:sz w:val="20"/>
                <w:szCs w:val="20"/>
              </w:rPr>
            </w:pPr>
            <w:r>
              <w:rPr>
                <w:rFonts w:ascii="Calibri" w:eastAsia="Calibri" w:hAnsi="Calibri" w:cs="Calibri"/>
              </w:rPr>
              <w:t>En</w:t>
            </w:r>
          </w:p>
        </w:tc>
        <w:tc>
          <w:tcPr>
            <w:tcW w:w="54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307"/>
        </w:trPr>
        <w:tc>
          <w:tcPr>
            <w:tcW w:w="60" w:type="dxa"/>
            <w:vAlign w:val="bottom"/>
          </w:tcPr>
          <w:p w:rsidR="00AC12B4" w:rsidRDefault="00AC12B4">
            <w:pPr>
              <w:rPr>
                <w:sz w:val="24"/>
                <w:szCs w:val="24"/>
              </w:rPr>
            </w:pPr>
          </w:p>
        </w:tc>
        <w:tc>
          <w:tcPr>
            <w:tcW w:w="400" w:type="dxa"/>
            <w:vAlign w:val="bottom"/>
          </w:tcPr>
          <w:p w:rsidR="00AC12B4" w:rsidRDefault="00AC12B4">
            <w:pPr>
              <w:rPr>
                <w:sz w:val="24"/>
                <w:szCs w:val="24"/>
              </w:rPr>
            </w:pPr>
          </w:p>
        </w:tc>
        <w:tc>
          <w:tcPr>
            <w:tcW w:w="180" w:type="dxa"/>
            <w:vAlign w:val="bottom"/>
          </w:tcPr>
          <w:p w:rsidR="00AC12B4" w:rsidRDefault="00AC12B4">
            <w:pPr>
              <w:rPr>
                <w:sz w:val="24"/>
                <w:szCs w:val="24"/>
              </w:rPr>
            </w:pPr>
          </w:p>
        </w:tc>
        <w:tc>
          <w:tcPr>
            <w:tcW w:w="3420" w:type="dxa"/>
            <w:gridSpan w:val="10"/>
            <w:vAlign w:val="bottom"/>
          </w:tcPr>
          <w:p w:rsidR="00AC12B4" w:rsidRPr="00C27636" w:rsidRDefault="00C27636">
            <w:pPr>
              <w:ind w:left="80"/>
              <w:rPr>
                <w:sz w:val="20"/>
                <w:szCs w:val="20"/>
                <w:lang w:val="fr-BE"/>
              </w:rPr>
            </w:pPr>
            <w:r w:rsidRPr="00C27636">
              <w:rPr>
                <w:rFonts w:ascii="Calibri" w:eastAsia="Calibri" w:hAnsi="Calibri" w:cs="Calibri"/>
                <w:lang w:val="fr-BE"/>
              </w:rPr>
              <w:t>attendant, le jeune reçoit tous les</w:t>
            </w:r>
          </w:p>
        </w:tc>
        <w:tc>
          <w:tcPr>
            <w:tcW w:w="540" w:type="dxa"/>
            <w:vAlign w:val="bottom"/>
          </w:tcPr>
          <w:p w:rsidR="00AC12B4" w:rsidRPr="00C27636" w:rsidRDefault="00AC12B4">
            <w:pPr>
              <w:rPr>
                <w:sz w:val="24"/>
                <w:szCs w:val="24"/>
                <w:lang w:val="fr-BE"/>
              </w:rPr>
            </w:pPr>
          </w:p>
        </w:tc>
        <w:tc>
          <w:tcPr>
            <w:tcW w:w="520" w:type="dxa"/>
            <w:vMerge w:val="restart"/>
            <w:textDirection w:val="btLr"/>
            <w:vAlign w:val="bottom"/>
          </w:tcPr>
          <w:p w:rsidR="00AC12B4" w:rsidRDefault="00C27636">
            <w:pPr>
              <w:ind w:left="136"/>
              <w:rPr>
                <w:sz w:val="20"/>
                <w:szCs w:val="20"/>
              </w:rPr>
            </w:pPr>
            <w:r>
              <w:rPr>
                <w:rFonts w:ascii="Calibri" w:eastAsia="Calibri" w:hAnsi="Calibri" w:cs="Calibri"/>
                <w:b/>
                <w:bCs/>
                <w:i/>
                <w:iCs/>
                <w:color w:val="F2F2F2"/>
                <w:w w:val="72"/>
                <w:sz w:val="23"/>
                <w:szCs w:val="23"/>
              </w:rPr>
              <w:t>mineurs</w:t>
            </w:r>
          </w:p>
        </w:tc>
        <w:tc>
          <w:tcPr>
            <w:tcW w:w="0" w:type="dxa"/>
            <w:vAlign w:val="bottom"/>
          </w:tcPr>
          <w:p w:rsidR="00AC12B4" w:rsidRDefault="00AC12B4">
            <w:pPr>
              <w:rPr>
                <w:sz w:val="1"/>
                <w:szCs w:val="1"/>
              </w:rPr>
            </w:pPr>
          </w:p>
        </w:tc>
      </w:tr>
      <w:tr w:rsidR="00AC12B4" w:rsidRPr="00C27636">
        <w:trPr>
          <w:trHeight w:val="256"/>
        </w:trPr>
        <w:tc>
          <w:tcPr>
            <w:tcW w:w="60" w:type="dxa"/>
            <w:vAlign w:val="bottom"/>
          </w:tcPr>
          <w:p w:rsidR="00AC12B4" w:rsidRDefault="00AC12B4"/>
        </w:tc>
        <w:tc>
          <w:tcPr>
            <w:tcW w:w="400" w:type="dxa"/>
            <w:vAlign w:val="bottom"/>
          </w:tcPr>
          <w:p w:rsidR="00AC12B4" w:rsidRDefault="00AC12B4"/>
        </w:tc>
        <w:tc>
          <w:tcPr>
            <w:tcW w:w="180" w:type="dxa"/>
            <w:vAlign w:val="bottom"/>
          </w:tcPr>
          <w:p w:rsidR="00AC12B4" w:rsidRDefault="00AC12B4"/>
        </w:tc>
        <w:tc>
          <w:tcPr>
            <w:tcW w:w="3420" w:type="dxa"/>
            <w:gridSpan w:val="10"/>
            <w:vMerge w:val="restart"/>
            <w:vAlign w:val="bottom"/>
          </w:tcPr>
          <w:p w:rsidR="00AC12B4" w:rsidRPr="00C27636" w:rsidRDefault="00C27636">
            <w:pPr>
              <w:ind w:left="80"/>
              <w:rPr>
                <w:sz w:val="20"/>
                <w:szCs w:val="20"/>
                <w:lang w:val="fr-BE"/>
              </w:rPr>
            </w:pPr>
            <w:r w:rsidRPr="00C27636">
              <w:rPr>
                <w:rFonts w:ascii="Calibri" w:eastAsia="Calibri" w:hAnsi="Calibri" w:cs="Calibri"/>
                <w:lang w:val="fr-BE"/>
              </w:rPr>
              <w:t xml:space="preserve">6 mois une prolongation de </w:t>
            </w:r>
            <w:r w:rsidRPr="00C27636">
              <w:rPr>
                <w:rFonts w:ascii="Calibri" w:eastAsia="Calibri" w:hAnsi="Calibri" w:cs="Calibri"/>
                <w:lang w:val="fr-BE"/>
              </w:rPr>
              <w:t>son AI.</w:t>
            </w:r>
          </w:p>
        </w:tc>
        <w:tc>
          <w:tcPr>
            <w:tcW w:w="540" w:type="dxa"/>
            <w:vAlign w:val="bottom"/>
          </w:tcPr>
          <w:p w:rsidR="00AC12B4" w:rsidRPr="00C27636" w:rsidRDefault="00AC12B4">
            <w:pPr>
              <w:rPr>
                <w:lang w:val="fr-BE"/>
              </w:rPr>
            </w:pPr>
          </w:p>
        </w:tc>
        <w:tc>
          <w:tcPr>
            <w:tcW w:w="520" w:type="dxa"/>
            <w:vMerge/>
            <w:vAlign w:val="bottom"/>
          </w:tcPr>
          <w:p w:rsidR="00AC12B4" w:rsidRPr="00C27636" w:rsidRDefault="00AC12B4">
            <w:pPr>
              <w:rPr>
                <w:lang w:val="fr-BE"/>
              </w:rPr>
            </w:pPr>
          </w:p>
        </w:tc>
        <w:tc>
          <w:tcPr>
            <w:tcW w:w="0" w:type="dxa"/>
            <w:vAlign w:val="bottom"/>
          </w:tcPr>
          <w:p w:rsidR="00AC12B4" w:rsidRPr="00C27636" w:rsidRDefault="00AC12B4">
            <w:pPr>
              <w:rPr>
                <w:sz w:val="1"/>
                <w:szCs w:val="1"/>
                <w:lang w:val="fr-BE"/>
              </w:rPr>
            </w:pPr>
          </w:p>
        </w:tc>
      </w:tr>
      <w:tr w:rsidR="00AC12B4" w:rsidRPr="00C27636">
        <w:trPr>
          <w:trHeight w:val="54"/>
        </w:trPr>
        <w:tc>
          <w:tcPr>
            <w:tcW w:w="60" w:type="dxa"/>
            <w:vAlign w:val="bottom"/>
          </w:tcPr>
          <w:p w:rsidR="00AC12B4" w:rsidRPr="00C27636" w:rsidRDefault="00AC12B4">
            <w:pPr>
              <w:rPr>
                <w:sz w:val="4"/>
                <w:szCs w:val="4"/>
                <w:lang w:val="fr-BE"/>
              </w:rPr>
            </w:pPr>
          </w:p>
        </w:tc>
        <w:tc>
          <w:tcPr>
            <w:tcW w:w="400" w:type="dxa"/>
            <w:vAlign w:val="bottom"/>
          </w:tcPr>
          <w:p w:rsidR="00AC12B4" w:rsidRPr="00C27636" w:rsidRDefault="00AC12B4">
            <w:pPr>
              <w:rPr>
                <w:sz w:val="4"/>
                <w:szCs w:val="4"/>
                <w:lang w:val="fr-BE"/>
              </w:rPr>
            </w:pPr>
          </w:p>
        </w:tc>
        <w:tc>
          <w:tcPr>
            <w:tcW w:w="180" w:type="dxa"/>
            <w:vAlign w:val="bottom"/>
          </w:tcPr>
          <w:p w:rsidR="00AC12B4" w:rsidRPr="00C27636" w:rsidRDefault="00AC12B4">
            <w:pPr>
              <w:rPr>
                <w:sz w:val="4"/>
                <w:szCs w:val="4"/>
                <w:lang w:val="fr-BE"/>
              </w:rPr>
            </w:pPr>
          </w:p>
        </w:tc>
        <w:tc>
          <w:tcPr>
            <w:tcW w:w="3420" w:type="dxa"/>
            <w:gridSpan w:val="10"/>
            <w:vMerge/>
            <w:vAlign w:val="bottom"/>
          </w:tcPr>
          <w:p w:rsidR="00AC12B4" w:rsidRPr="00C27636" w:rsidRDefault="00AC12B4">
            <w:pPr>
              <w:rPr>
                <w:sz w:val="4"/>
                <w:szCs w:val="4"/>
                <w:lang w:val="fr-BE"/>
              </w:rPr>
            </w:pPr>
          </w:p>
        </w:tc>
        <w:tc>
          <w:tcPr>
            <w:tcW w:w="540" w:type="dxa"/>
            <w:vAlign w:val="bottom"/>
          </w:tcPr>
          <w:p w:rsidR="00AC12B4" w:rsidRPr="00C27636" w:rsidRDefault="00AC12B4">
            <w:pPr>
              <w:rPr>
                <w:sz w:val="4"/>
                <w:szCs w:val="4"/>
                <w:lang w:val="fr-BE"/>
              </w:rPr>
            </w:pPr>
          </w:p>
        </w:tc>
        <w:tc>
          <w:tcPr>
            <w:tcW w:w="520" w:type="dxa"/>
            <w:vAlign w:val="bottom"/>
          </w:tcPr>
          <w:p w:rsidR="00AC12B4" w:rsidRPr="00C27636" w:rsidRDefault="00AC12B4">
            <w:pPr>
              <w:rPr>
                <w:sz w:val="4"/>
                <w:szCs w:val="4"/>
                <w:lang w:val="fr-BE"/>
              </w:rPr>
            </w:pPr>
          </w:p>
        </w:tc>
        <w:tc>
          <w:tcPr>
            <w:tcW w:w="0" w:type="dxa"/>
            <w:vAlign w:val="bottom"/>
          </w:tcPr>
          <w:p w:rsidR="00AC12B4" w:rsidRPr="00C27636" w:rsidRDefault="00AC12B4">
            <w:pPr>
              <w:rPr>
                <w:sz w:val="1"/>
                <w:szCs w:val="1"/>
                <w:lang w:val="fr-BE"/>
              </w:rPr>
            </w:pPr>
          </w:p>
        </w:tc>
      </w:tr>
      <w:tr w:rsidR="00AC12B4" w:rsidRPr="00C27636">
        <w:trPr>
          <w:trHeight w:val="310"/>
        </w:trPr>
        <w:tc>
          <w:tcPr>
            <w:tcW w:w="60" w:type="dxa"/>
            <w:vAlign w:val="bottom"/>
          </w:tcPr>
          <w:p w:rsidR="00AC12B4" w:rsidRPr="00C27636" w:rsidRDefault="00AC12B4">
            <w:pPr>
              <w:rPr>
                <w:sz w:val="24"/>
                <w:szCs w:val="24"/>
                <w:lang w:val="fr-BE"/>
              </w:rPr>
            </w:pPr>
          </w:p>
        </w:tc>
        <w:tc>
          <w:tcPr>
            <w:tcW w:w="4000" w:type="dxa"/>
            <w:gridSpan w:val="12"/>
            <w:vAlign w:val="bottom"/>
          </w:tcPr>
          <w:p w:rsidR="00AC12B4" w:rsidRPr="00C27636" w:rsidRDefault="00C27636">
            <w:pPr>
              <w:ind w:right="200"/>
              <w:jc w:val="right"/>
              <w:rPr>
                <w:sz w:val="20"/>
                <w:szCs w:val="20"/>
                <w:lang w:val="fr-BE"/>
              </w:rPr>
            </w:pPr>
            <w:r w:rsidRPr="00C27636">
              <w:rPr>
                <w:rFonts w:ascii="Calibri" w:eastAsia="Calibri" w:hAnsi="Calibri" w:cs="Calibri"/>
                <w:lang w:val="fr-BE"/>
              </w:rPr>
              <w:t>-   Si la solution consiste en un séjour</w:t>
            </w:r>
          </w:p>
        </w:tc>
        <w:tc>
          <w:tcPr>
            <w:tcW w:w="540" w:type="dxa"/>
            <w:vAlign w:val="bottom"/>
          </w:tcPr>
          <w:p w:rsidR="00AC12B4" w:rsidRPr="00C27636" w:rsidRDefault="00AC12B4">
            <w:pPr>
              <w:rPr>
                <w:sz w:val="24"/>
                <w:szCs w:val="24"/>
                <w:lang w:val="fr-BE"/>
              </w:rPr>
            </w:pPr>
          </w:p>
        </w:tc>
        <w:tc>
          <w:tcPr>
            <w:tcW w:w="520" w:type="dxa"/>
            <w:vAlign w:val="bottom"/>
          </w:tcPr>
          <w:p w:rsidR="00AC12B4" w:rsidRPr="00C27636" w:rsidRDefault="00AC12B4">
            <w:pPr>
              <w:rPr>
                <w:sz w:val="24"/>
                <w:szCs w:val="24"/>
                <w:lang w:val="fr-BE"/>
              </w:rPr>
            </w:pPr>
          </w:p>
        </w:tc>
        <w:tc>
          <w:tcPr>
            <w:tcW w:w="0" w:type="dxa"/>
            <w:vAlign w:val="bottom"/>
          </w:tcPr>
          <w:p w:rsidR="00AC12B4" w:rsidRPr="00C27636" w:rsidRDefault="00AC12B4">
            <w:pPr>
              <w:rPr>
                <w:sz w:val="1"/>
                <w:szCs w:val="1"/>
                <w:lang w:val="fr-BE"/>
              </w:rPr>
            </w:pPr>
          </w:p>
        </w:tc>
      </w:tr>
      <w:tr w:rsidR="00AC12B4">
        <w:trPr>
          <w:trHeight w:val="307"/>
        </w:trPr>
        <w:tc>
          <w:tcPr>
            <w:tcW w:w="60" w:type="dxa"/>
            <w:vAlign w:val="bottom"/>
          </w:tcPr>
          <w:p w:rsidR="00AC12B4" w:rsidRPr="00C27636" w:rsidRDefault="00AC12B4">
            <w:pPr>
              <w:rPr>
                <w:sz w:val="24"/>
                <w:szCs w:val="24"/>
                <w:lang w:val="fr-BE"/>
              </w:rPr>
            </w:pPr>
          </w:p>
        </w:tc>
        <w:tc>
          <w:tcPr>
            <w:tcW w:w="400" w:type="dxa"/>
            <w:vAlign w:val="bottom"/>
          </w:tcPr>
          <w:p w:rsidR="00AC12B4" w:rsidRPr="00C27636" w:rsidRDefault="00AC12B4">
            <w:pPr>
              <w:rPr>
                <w:sz w:val="24"/>
                <w:szCs w:val="24"/>
                <w:lang w:val="fr-BE"/>
              </w:rPr>
            </w:pPr>
          </w:p>
        </w:tc>
        <w:tc>
          <w:tcPr>
            <w:tcW w:w="180" w:type="dxa"/>
            <w:vAlign w:val="bottom"/>
          </w:tcPr>
          <w:p w:rsidR="00AC12B4" w:rsidRPr="00C27636" w:rsidRDefault="00AC12B4">
            <w:pPr>
              <w:rPr>
                <w:sz w:val="24"/>
                <w:szCs w:val="24"/>
                <w:lang w:val="fr-BE"/>
              </w:rPr>
            </w:pPr>
          </w:p>
        </w:tc>
        <w:tc>
          <w:tcPr>
            <w:tcW w:w="1340" w:type="dxa"/>
            <w:gridSpan w:val="4"/>
            <w:vAlign w:val="bottom"/>
          </w:tcPr>
          <w:p w:rsidR="00AC12B4" w:rsidRDefault="00C27636">
            <w:pPr>
              <w:ind w:left="80"/>
              <w:rPr>
                <w:sz w:val="20"/>
                <w:szCs w:val="20"/>
              </w:rPr>
            </w:pPr>
            <w:r>
              <w:rPr>
                <w:rFonts w:ascii="Calibri" w:eastAsia="Calibri" w:hAnsi="Calibri" w:cs="Calibri"/>
              </w:rPr>
              <w:t>en Belgique,</w:t>
            </w:r>
          </w:p>
        </w:tc>
        <w:tc>
          <w:tcPr>
            <w:tcW w:w="1540" w:type="dxa"/>
            <w:gridSpan w:val="4"/>
            <w:vAlign w:val="bottom"/>
          </w:tcPr>
          <w:p w:rsidR="00AC12B4" w:rsidRDefault="00C27636">
            <w:pPr>
              <w:jc w:val="right"/>
              <w:rPr>
                <w:sz w:val="20"/>
                <w:szCs w:val="20"/>
              </w:rPr>
            </w:pPr>
            <w:r>
              <w:rPr>
                <w:rFonts w:ascii="Calibri" w:eastAsia="Calibri" w:hAnsi="Calibri" w:cs="Calibri"/>
              </w:rPr>
              <w:t>le jeune reçoit</w:t>
            </w:r>
          </w:p>
        </w:tc>
        <w:tc>
          <w:tcPr>
            <w:tcW w:w="540" w:type="dxa"/>
            <w:gridSpan w:val="2"/>
            <w:vAlign w:val="bottom"/>
          </w:tcPr>
          <w:p w:rsidR="00AC12B4" w:rsidRDefault="00C27636">
            <w:pPr>
              <w:ind w:right="200"/>
              <w:jc w:val="right"/>
              <w:rPr>
                <w:sz w:val="20"/>
                <w:szCs w:val="20"/>
              </w:rPr>
            </w:pPr>
            <w:r>
              <w:rPr>
                <w:rFonts w:ascii="Calibri" w:eastAsia="Calibri" w:hAnsi="Calibri" w:cs="Calibri"/>
                <w:w w:val="93"/>
              </w:rPr>
              <w:t>une</w:t>
            </w:r>
          </w:p>
        </w:tc>
        <w:tc>
          <w:tcPr>
            <w:tcW w:w="540" w:type="dxa"/>
            <w:vAlign w:val="bottom"/>
          </w:tcPr>
          <w:p w:rsidR="00AC12B4" w:rsidRDefault="00AC12B4">
            <w:pPr>
              <w:rPr>
                <w:sz w:val="24"/>
                <w:szCs w:val="24"/>
              </w:rPr>
            </w:pPr>
          </w:p>
        </w:tc>
        <w:tc>
          <w:tcPr>
            <w:tcW w:w="520" w:type="dxa"/>
            <w:vMerge w:val="restart"/>
            <w:textDirection w:val="btLr"/>
            <w:vAlign w:val="bottom"/>
          </w:tcPr>
          <w:p w:rsidR="00AC12B4" w:rsidRDefault="00C27636">
            <w:pPr>
              <w:spacing w:line="197" w:lineRule="auto"/>
              <w:ind w:left="136"/>
              <w:rPr>
                <w:sz w:val="20"/>
                <w:szCs w:val="20"/>
              </w:rPr>
            </w:pPr>
            <w:r>
              <w:rPr>
                <w:rFonts w:ascii="Calibri" w:eastAsia="Calibri" w:hAnsi="Calibri" w:cs="Calibri"/>
                <w:b/>
                <w:bCs/>
                <w:i/>
                <w:iCs/>
                <w:color w:val="F2F2F2"/>
                <w:sz w:val="28"/>
                <w:szCs w:val="28"/>
              </w:rPr>
              <w:t>des</w:t>
            </w:r>
          </w:p>
        </w:tc>
        <w:tc>
          <w:tcPr>
            <w:tcW w:w="0" w:type="dxa"/>
            <w:vAlign w:val="bottom"/>
          </w:tcPr>
          <w:p w:rsidR="00AC12B4" w:rsidRDefault="00AC12B4">
            <w:pPr>
              <w:rPr>
                <w:sz w:val="1"/>
                <w:szCs w:val="1"/>
              </w:rPr>
            </w:pPr>
          </w:p>
        </w:tc>
      </w:tr>
      <w:tr w:rsidR="00AC12B4">
        <w:trPr>
          <w:trHeight w:val="256"/>
        </w:trPr>
        <w:tc>
          <w:tcPr>
            <w:tcW w:w="60" w:type="dxa"/>
            <w:vAlign w:val="bottom"/>
          </w:tcPr>
          <w:p w:rsidR="00AC12B4" w:rsidRDefault="00AC12B4"/>
        </w:tc>
        <w:tc>
          <w:tcPr>
            <w:tcW w:w="400" w:type="dxa"/>
            <w:vAlign w:val="bottom"/>
          </w:tcPr>
          <w:p w:rsidR="00AC12B4" w:rsidRDefault="00AC12B4"/>
        </w:tc>
        <w:tc>
          <w:tcPr>
            <w:tcW w:w="180" w:type="dxa"/>
            <w:vAlign w:val="bottom"/>
          </w:tcPr>
          <w:p w:rsidR="00AC12B4" w:rsidRDefault="00AC12B4"/>
        </w:tc>
        <w:tc>
          <w:tcPr>
            <w:tcW w:w="640" w:type="dxa"/>
            <w:gridSpan w:val="2"/>
            <w:vMerge w:val="restart"/>
            <w:vAlign w:val="bottom"/>
          </w:tcPr>
          <w:p w:rsidR="00AC12B4" w:rsidRDefault="00C27636">
            <w:pPr>
              <w:ind w:left="80"/>
              <w:rPr>
                <w:sz w:val="20"/>
                <w:szCs w:val="20"/>
              </w:rPr>
            </w:pPr>
            <w:r>
              <w:rPr>
                <w:rFonts w:ascii="Calibri" w:eastAsia="Calibri" w:hAnsi="Calibri" w:cs="Calibri"/>
              </w:rPr>
              <w:t>carte</w:t>
            </w:r>
          </w:p>
        </w:tc>
        <w:tc>
          <w:tcPr>
            <w:tcW w:w="300" w:type="dxa"/>
            <w:vMerge w:val="restart"/>
            <w:vAlign w:val="bottom"/>
          </w:tcPr>
          <w:p w:rsidR="00AC12B4" w:rsidRDefault="00C27636">
            <w:pPr>
              <w:ind w:left="40"/>
              <w:rPr>
                <w:sz w:val="20"/>
                <w:szCs w:val="20"/>
              </w:rPr>
            </w:pPr>
            <w:r>
              <w:rPr>
                <w:rFonts w:ascii="Calibri" w:eastAsia="Calibri" w:hAnsi="Calibri" w:cs="Calibri"/>
              </w:rPr>
              <w:t>A,</w:t>
            </w:r>
          </w:p>
        </w:tc>
        <w:tc>
          <w:tcPr>
            <w:tcW w:w="400" w:type="dxa"/>
            <w:vMerge w:val="restart"/>
            <w:vAlign w:val="bottom"/>
          </w:tcPr>
          <w:p w:rsidR="00AC12B4" w:rsidRDefault="00C27636">
            <w:pPr>
              <w:jc w:val="right"/>
              <w:rPr>
                <w:sz w:val="20"/>
                <w:szCs w:val="20"/>
              </w:rPr>
            </w:pPr>
            <w:r>
              <w:rPr>
                <w:rFonts w:ascii="Calibri" w:eastAsia="Calibri" w:hAnsi="Calibri" w:cs="Calibri"/>
              </w:rPr>
              <w:t>qui</w:t>
            </w:r>
          </w:p>
        </w:tc>
        <w:tc>
          <w:tcPr>
            <w:tcW w:w="1540" w:type="dxa"/>
            <w:gridSpan w:val="4"/>
            <w:vMerge w:val="restart"/>
            <w:vAlign w:val="bottom"/>
          </w:tcPr>
          <w:p w:rsidR="00AC12B4" w:rsidRDefault="00C27636">
            <w:pPr>
              <w:jc w:val="right"/>
              <w:rPr>
                <w:sz w:val="20"/>
                <w:szCs w:val="20"/>
              </w:rPr>
            </w:pPr>
            <w:r>
              <w:rPr>
                <w:rFonts w:ascii="Calibri" w:eastAsia="Calibri" w:hAnsi="Calibri" w:cs="Calibri"/>
              </w:rPr>
              <w:t>est  prolongée</w:t>
            </w:r>
          </w:p>
        </w:tc>
        <w:tc>
          <w:tcPr>
            <w:tcW w:w="540" w:type="dxa"/>
            <w:gridSpan w:val="2"/>
            <w:vMerge w:val="restart"/>
            <w:vAlign w:val="bottom"/>
          </w:tcPr>
          <w:p w:rsidR="00AC12B4" w:rsidRDefault="00C27636">
            <w:pPr>
              <w:ind w:right="200"/>
              <w:jc w:val="right"/>
              <w:rPr>
                <w:sz w:val="20"/>
                <w:szCs w:val="20"/>
              </w:rPr>
            </w:pPr>
            <w:r>
              <w:rPr>
                <w:rFonts w:ascii="Calibri" w:eastAsia="Calibri" w:hAnsi="Calibri" w:cs="Calibri"/>
              </w:rPr>
              <w:t>par</w:t>
            </w:r>
          </w:p>
        </w:tc>
        <w:tc>
          <w:tcPr>
            <w:tcW w:w="540" w:type="dxa"/>
            <w:vAlign w:val="bottom"/>
          </w:tcPr>
          <w:p w:rsidR="00AC12B4" w:rsidRDefault="00AC12B4"/>
        </w:tc>
        <w:tc>
          <w:tcPr>
            <w:tcW w:w="520" w:type="dxa"/>
            <w:vMerge/>
            <w:vAlign w:val="bottom"/>
          </w:tcPr>
          <w:p w:rsidR="00AC12B4" w:rsidRDefault="00AC12B4"/>
        </w:tc>
        <w:tc>
          <w:tcPr>
            <w:tcW w:w="0" w:type="dxa"/>
            <w:vAlign w:val="bottom"/>
          </w:tcPr>
          <w:p w:rsidR="00AC12B4" w:rsidRDefault="00AC12B4">
            <w:pPr>
              <w:rPr>
                <w:sz w:val="1"/>
                <w:szCs w:val="1"/>
              </w:rPr>
            </w:pPr>
          </w:p>
        </w:tc>
      </w:tr>
      <w:tr w:rsidR="00AC12B4">
        <w:trPr>
          <w:trHeight w:val="54"/>
        </w:trPr>
        <w:tc>
          <w:tcPr>
            <w:tcW w:w="60" w:type="dxa"/>
            <w:vAlign w:val="bottom"/>
          </w:tcPr>
          <w:p w:rsidR="00AC12B4" w:rsidRDefault="00AC12B4">
            <w:pPr>
              <w:rPr>
                <w:sz w:val="4"/>
                <w:szCs w:val="4"/>
              </w:rPr>
            </w:pPr>
          </w:p>
        </w:tc>
        <w:tc>
          <w:tcPr>
            <w:tcW w:w="400" w:type="dxa"/>
            <w:vAlign w:val="bottom"/>
          </w:tcPr>
          <w:p w:rsidR="00AC12B4" w:rsidRDefault="00AC12B4">
            <w:pPr>
              <w:rPr>
                <w:sz w:val="4"/>
                <w:szCs w:val="4"/>
              </w:rPr>
            </w:pPr>
          </w:p>
        </w:tc>
        <w:tc>
          <w:tcPr>
            <w:tcW w:w="180" w:type="dxa"/>
            <w:vAlign w:val="bottom"/>
          </w:tcPr>
          <w:p w:rsidR="00AC12B4" w:rsidRDefault="00AC12B4">
            <w:pPr>
              <w:rPr>
                <w:sz w:val="4"/>
                <w:szCs w:val="4"/>
              </w:rPr>
            </w:pPr>
          </w:p>
        </w:tc>
        <w:tc>
          <w:tcPr>
            <w:tcW w:w="640" w:type="dxa"/>
            <w:gridSpan w:val="2"/>
            <w:vMerge/>
            <w:vAlign w:val="bottom"/>
          </w:tcPr>
          <w:p w:rsidR="00AC12B4" w:rsidRDefault="00AC12B4">
            <w:pPr>
              <w:rPr>
                <w:sz w:val="4"/>
                <w:szCs w:val="4"/>
              </w:rPr>
            </w:pPr>
          </w:p>
        </w:tc>
        <w:tc>
          <w:tcPr>
            <w:tcW w:w="300" w:type="dxa"/>
            <w:vMerge/>
            <w:vAlign w:val="bottom"/>
          </w:tcPr>
          <w:p w:rsidR="00AC12B4" w:rsidRDefault="00AC12B4">
            <w:pPr>
              <w:rPr>
                <w:sz w:val="4"/>
                <w:szCs w:val="4"/>
              </w:rPr>
            </w:pPr>
          </w:p>
        </w:tc>
        <w:tc>
          <w:tcPr>
            <w:tcW w:w="400" w:type="dxa"/>
            <w:vMerge/>
            <w:vAlign w:val="bottom"/>
          </w:tcPr>
          <w:p w:rsidR="00AC12B4" w:rsidRDefault="00AC12B4">
            <w:pPr>
              <w:rPr>
                <w:sz w:val="4"/>
                <w:szCs w:val="4"/>
              </w:rPr>
            </w:pPr>
          </w:p>
        </w:tc>
        <w:tc>
          <w:tcPr>
            <w:tcW w:w="1540" w:type="dxa"/>
            <w:gridSpan w:val="4"/>
            <w:vMerge/>
            <w:vAlign w:val="bottom"/>
          </w:tcPr>
          <w:p w:rsidR="00AC12B4" w:rsidRDefault="00AC12B4">
            <w:pPr>
              <w:rPr>
                <w:sz w:val="4"/>
                <w:szCs w:val="4"/>
              </w:rPr>
            </w:pPr>
          </w:p>
        </w:tc>
        <w:tc>
          <w:tcPr>
            <w:tcW w:w="540" w:type="dxa"/>
            <w:gridSpan w:val="2"/>
            <w:vMerge/>
            <w:vAlign w:val="bottom"/>
          </w:tcPr>
          <w:p w:rsidR="00AC12B4" w:rsidRDefault="00AC12B4">
            <w:pPr>
              <w:rPr>
                <w:sz w:val="4"/>
                <w:szCs w:val="4"/>
              </w:rPr>
            </w:pPr>
          </w:p>
        </w:tc>
        <w:tc>
          <w:tcPr>
            <w:tcW w:w="540" w:type="dxa"/>
            <w:vAlign w:val="bottom"/>
          </w:tcPr>
          <w:p w:rsidR="00AC12B4" w:rsidRDefault="00AC12B4">
            <w:pPr>
              <w:rPr>
                <w:sz w:val="4"/>
                <w:szCs w:val="4"/>
              </w:rPr>
            </w:pPr>
          </w:p>
        </w:tc>
        <w:tc>
          <w:tcPr>
            <w:tcW w:w="520" w:type="dxa"/>
            <w:vAlign w:val="bottom"/>
          </w:tcPr>
          <w:p w:rsidR="00AC12B4" w:rsidRDefault="00AC12B4">
            <w:pPr>
              <w:rPr>
                <w:sz w:val="4"/>
                <w:szCs w:val="4"/>
              </w:rPr>
            </w:pPr>
          </w:p>
        </w:tc>
        <w:tc>
          <w:tcPr>
            <w:tcW w:w="0" w:type="dxa"/>
            <w:vAlign w:val="bottom"/>
          </w:tcPr>
          <w:p w:rsidR="00AC12B4" w:rsidRDefault="00AC12B4">
            <w:pPr>
              <w:rPr>
                <w:sz w:val="1"/>
                <w:szCs w:val="1"/>
              </w:rPr>
            </w:pPr>
          </w:p>
        </w:tc>
      </w:tr>
      <w:tr w:rsidR="00AC12B4">
        <w:trPr>
          <w:trHeight w:val="270"/>
        </w:trPr>
        <w:tc>
          <w:tcPr>
            <w:tcW w:w="60" w:type="dxa"/>
            <w:tcBorders>
              <w:bottom w:val="single" w:sz="8" w:space="0" w:color="auto"/>
            </w:tcBorders>
            <w:vAlign w:val="bottom"/>
          </w:tcPr>
          <w:p w:rsidR="00AC12B4" w:rsidRDefault="00AC12B4">
            <w:pPr>
              <w:rPr>
                <w:sz w:val="23"/>
                <w:szCs w:val="23"/>
              </w:rPr>
            </w:pPr>
          </w:p>
        </w:tc>
        <w:tc>
          <w:tcPr>
            <w:tcW w:w="400" w:type="dxa"/>
            <w:tcBorders>
              <w:bottom w:val="single" w:sz="8" w:space="0" w:color="auto"/>
            </w:tcBorders>
            <w:vAlign w:val="bottom"/>
          </w:tcPr>
          <w:p w:rsidR="00AC12B4" w:rsidRDefault="00AC12B4">
            <w:pPr>
              <w:rPr>
                <w:sz w:val="23"/>
                <w:szCs w:val="23"/>
              </w:rPr>
            </w:pPr>
          </w:p>
        </w:tc>
        <w:tc>
          <w:tcPr>
            <w:tcW w:w="180" w:type="dxa"/>
            <w:tcBorders>
              <w:bottom w:val="single" w:sz="8" w:space="0" w:color="auto"/>
            </w:tcBorders>
            <w:vAlign w:val="bottom"/>
          </w:tcPr>
          <w:p w:rsidR="00AC12B4" w:rsidRDefault="00AC12B4">
            <w:pPr>
              <w:rPr>
                <w:sz w:val="23"/>
                <w:szCs w:val="23"/>
              </w:rPr>
            </w:pPr>
          </w:p>
        </w:tc>
        <w:tc>
          <w:tcPr>
            <w:tcW w:w="460" w:type="dxa"/>
            <w:tcBorders>
              <w:bottom w:val="single" w:sz="8" w:space="0" w:color="auto"/>
            </w:tcBorders>
            <w:vAlign w:val="bottom"/>
          </w:tcPr>
          <w:p w:rsidR="00AC12B4" w:rsidRDefault="00AC12B4">
            <w:pPr>
              <w:rPr>
                <w:sz w:val="23"/>
                <w:szCs w:val="23"/>
              </w:rPr>
            </w:pPr>
          </w:p>
        </w:tc>
        <w:tc>
          <w:tcPr>
            <w:tcW w:w="180" w:type="dxa"/>
            <w:tcBorders>
              <w:bottom w:val="single" w:sz="8" w:space="0" w:color="auto"/>
            </w:tcBorders>
            <w:vAlign w:val="bottom"/>
          </w:tcPr>
          <w:p w:rsidR="00AC12B4" w:rsidRDefault="00AC12B4">
            <w:pPr>
              <w:rPr>
                <w:sz w:val="23"/>
                <w:szCs w:val="23"/>
              </w:rPr>
            </w:pPr>
          </w:p>
        </w:tc>
        <w:tc>
          <w:tcPr>
            <w:tcW w:w="300" w:type="dxa"/>
            <w:tcBorders>
              <w:bottom w:val="single" w:sz="8" w:space="0" w:color="auto"/>
            </w:tcBorders>
            <w:vAlign w:val="bottom"/>
          </w:tcPr>
          <w:p w:rsidR="00AC12B4" w:rsidRDefault="00AC12B4">
            <w:pPr>
              <w:rPr>
                <w:sz w:val="23"/>
                <w:szCs w:val="23"/>
              </w:rPr>
            </w:pPr>
          </w:p>
        </w:tc>
        <w:tc>
          <w:tcPr>
            <w:tcW w:w="400" w:type="dxa"/>
            <w:tcBorders>
              <w:bottom w:val="single" w:sz="8" w:space="0" w:color="auto"/>
            </w:tcBorders>
            <w:vAlign w:val="bottom"/>
          </w:tcPr>
          <w:p w:rsidR="00AC12B4" w:rsidRDefault="00AC12B4">
            <w:pPr>
              <w:rPr>
                <w:sz w:val="23"/>
                <w:szCs w:val="23"/>
              </w:rPr>
            </w:pPr>
          </w:p>
        </w:tc>
        <w:tc>
          <w:tcPr>
            <w:tcW w:w="160" w:type="dxa"/>
            <w:tcBorders>
              <w:bottom w:val="single" w:sz="8" w:space="0" w:color="auto"/>
            </w:tcBorders>
            <w:vAlign w:val="bottom"/>
          </w:tcPr>
          <w:p w:rsidR="00AC12B4" w:rsidRDefault="00AC12B4">
            <w:pPr>
              <w:rPr>
                <w:sz w:val="23"/>
                <w:szCs w:val="23"/>
              </w:rPr>
            </w:pPr>
          </w:p>
        </w:tc>
        <w:tc>
          <w:tcPr>
            <w:tcW w:w="740" w:type="dxa"/>
            <w:tcBorders>
              <w:bottom w:val="single" w:sz="8" w:space="0" w:color="auto"/>
            </w:tcBorders>
            <w:vAlign w:val="bottom"/>
          </w:tcPr>
          <w:p w:rsidR="00AC12B4" w:rsidRDefault="00AC12B4">
            <w:pPr>
              <w:rPr>
                <w:sz w:val="23"/>
                <w:szCs w:val="23"/>
              </w:rPr>
            </w:pPr>
          </w:p>
        </w:tc>
        <w:tc>
          <w:tcPr>
            <w:tcW w:w="220" w:type="dxa"/>
            <w:vAlign w:val="bottom"/>
          </w:tcPr>
          <w:p w:rsidR="00AC12B4" w:rsidRDefault="00AC12B4">
            <w:pPr>
              <w:rPr>
                <w:sz w:val="23"/>
                <w:szCs w:val="23"/>
              </w:rPr>
            </w:pPr>
          </w:p>
        </w:tc>
        <w:tc>
          <w:tcPr>
            <w:tcW w:w="420" w:type="dxa"/>
            <w:vAlign w:val="bottom"/>
          </w:tcPr>
          <w:p w:rsidR="00AC12B4" w:rsidRDefault="00AC12B4">
            <w:pPr>
              <w:rPr>
                <w:sz w:val="23"/>
                <w:szCs w:val="23"/>
              </w:rPr>
            </w:pPr>
          </w:p>
        </w:tc>
        <w:tc>
          <w:tcPr>
            <w:tcW w:w="300" w:type="dxa"/>
            <w:vAlign w:val="bottom"/>
          </w:tcPr>
          <w:p w:rsidR="00AC12B4" w:rsidRDefault="00AC12B4">
            <w:pPr>
              <w:rPr>
                <w:sz w:val="23"/>
                <w:szCs w:val="23"/>
              </w:rPr>
            </w:pPr>
          </w:p>
        </w:tc>
        <w:tc>
          <w:tcPr>
            <w:tcW w:w="240" w:type="dxa"/>
            <w:vAlign w:val="bottom"/>
          </w:tcPr>
          <w:p w:rsidR="00AC12B4" w:rsidRDefault="00AC12B4">
            <w:pPr>
              <w:rPr>
                <w:sz w:val="23"/>
                <w:szCs w:val="23"/>
              </w:rPr>
            </w:pPr>
          </w:p>
        </w:tc>
        <w:tc>
          <w:tcPr>
            <w:tcW w:w="540" w:type="dxa"/>
            <w:vAlign w:val="bottom"/>
          </w:tcPr>
          <w:p w:rsidR="00AC12B4" w:rsidRDefault="00AC12B4">
            <w:pPr>
              <w:rPr>
                <w:sz w:val="23"/>
                <w:szCs w:val="23"/>
              </w:rPr>
            </w:pPr>
          </w:p>
        </w:tc>
        <w:tc>
          <w:tcPr>
            <w:tcW w:w="520" w:type="dxa"/>
            <w:vMerge w:val="restart"/>
            <w:textDirection w:val="btLr"/>
            <w:vAlign w:val="bottom"/>
          </w:tcPr>
          <w:p w:rsidR="00AC12B4" w:rsidRDefault="00C27636">
            <w:pPr>
              <w:spacing w:line="197" w:lineRule="auto"/>
              <w:ind w:left="136"/>
              <w:rPr>
                <w:sz w:val="20"/>
                <w:szCs w:val="20"/>
              </w:rPr>
            </w:pPr>
            <w:r>
              <w:rPr>
                <w:rFonts w:ascii="Calibri" w:eastAsia="Calibri" w:hAnsi="Calibri" w:cs="Calibri"/>
                <w:b/>
                <w:bCs/>
                <w:i/>
                <w:iCs/>
                <w:color w:val="F2F2F2"/>
                <w:sz w:val="28"/>
                <w:szCs w:val="28"/>
              </w:rPr>
              <w:t>droits</w:t>
            </w:r>
          </w:p>
        </w:tc>
        <w:tc>
          <w:tcPr>
            <w:tcW w:w="0" w:type="dxa"/>
            <w:vAlign w:val="bottom"/>
          </w:tcPr>
          <w:p w:rsidR="00AC12B4" w:rsidRDefault="00AC12B4">
            <w:pPr>
              <w:rPr>
                <w:sz w:val="1"/>
                <w:szCs w:val="1"/>
              </w:rPr>
            </w:pPr>
          </w:p>
        </w:tc>
      </w:tr>
      <w:tr w:rsidR="00AC12B4">
        <w:trPr>
          <w:trHeight w:val="407"/>
        </w:trPr>
        <w:tc>
          <w:tcPr>
            <w:tcW w:w="4060" w:type="dxa"/>
            <w:gridSpan w:val="13"/>
            <w:vMerge w:val="restart"/>
            <w:vAlign w:val="bottom"/>
          </w:tcPr>
          <w:p w:rsidR="00AC12B4" w:rsidRDefault="00C27636">
            <w:pPr>
              <w:rPr>
                <w:rFonts w:ascii="Calibri" w:eastAsia="Calibri" w:hAnsi="Calibri" w:cs="Calibri"/>
                <w:color w:val="0000FF"/>
                <w:sz w:val="20"/>
                <w:szCs w:val="20"/>
              </w:rPr>
            </w:pPr>
            <w:hyperlink r:id="rId364">
              <w:r>
                <w:rPr>
                  <w:rFonts w:ascii="Calibri" w:eastAsia="Calibri" w:hAnsi="Calibri" w:cs="Calibri"/>
                  <w:color w:val="000000"/>
                  <w:sz w:val="25"/>
                  <w:szCs w:val="25"/>
                  <w:vertAlign w:val="superscript"/>
                </w:rPr>
                <w:t>1</w:t>
              </w:r>
              <w:r>
                <w:rPr>
                  <w:rFonts w:ascii="Calibri" w:eastAsia="Calibri" w:hAnsi="Calibri" w:cs="Calibri"/>
                  <w:color w:val="0000FF"/>
                  <w:sz w:val="20"/>
                  <w:szCs w:val="20"/>
                </w:rPr>
                <w:t>https://dofi.ibz.be/sites/dvzoe/FR/Documents</w:t>
              </w:r>
            </w:hyperlink>
          </w:p>
        </w:tc>
        <w:tc>
          <w:tcPr>
            <w:tcW w:w="540" w:type="dxa"/>
            <w:vAlign w:val="bottom"/>
          </w:tcPr>
          <w:p w:rsidR="00AC12B4" w:rsidRDefault="00AC12B4">
            <w:pPr>
              <w:rPr>
                <w:sz w:val="24"/>
                <w:szCs w:val="24"/>
              </w:rPr>
            </w:pPr>
          </w:p>
        </w:tc>
        <w:tc>
          <w:tcPr>
            <w:tcW w:w="520" w:type="dxa"/>
            <w:vMerge/>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2"/>
        </w:trPr>
        <w:tc>
          <w:tcPr>
            <w:tcW w:w="4060" w:type="dxa"/>
            <w:gridSpan w:val="13"/>
            <w:vMerge/>
            <w:vAlign w:val="bottom"/>
          </w:tcPr>
          <w:p w:rsidR="00AC12B4" w:rsidRDefault="00AC12B4">
            <w:pPr>
              <w:spacing w:line="20" w:lineRule="exact"/>
              <w:rPr>
                <w:sz w:val="1"/>
                <w:szCs w:val="1"/>
              </w:rPr>
            </w:pPr>
          </w:p>
        </w:tc>
        <w:tc>
          <w:tcPr>
            <w:tcW w:w="540" w:type="dxa"/>
            <w:vAlign w:val="bottom"/>
          </w:tcPr>
          <w:p w:rsidR="00AC12B4" w:rsidRDefault="00AC12B4">
            <w:pPr>
              <w:spacing w:line="20" w:lineRule="exact"/>
              <w:rPr>
                <w:sz w:val="1"/>
                <w:szCs w:val="1"/>
              </w:rPr>
            </w:pPr>
          </w:p>
        </w:tc>
        <w:tc>
          <w:tcPr>
            <w:tcW w:w="520" w:type="dxa"/>
            <w:vAlign w:val="bottom"/>
          </w:tcPr>
          <w:p w:rsidR="00AC12B4" w:rsidRDefault="00AC12B4">
            <w:pPr>
              <w:spacing w:line="20" w:lineRule="exact"/>
              <w:rPr>
                <w:sz w:val="1"/>
                <w:szCs w:val="1"/>
              </w:rPr>
            </w:pPr>
          </w:p>
        </w:tc>
        <w:tc>
          <w:tcPr>
            <w:tcW w:w="0" w:type="dxa"/>
            <w:vAlign w:val="bottom"/>
          </w:tcPr>
          <w:p w:rsidR="00AC12B4" w:rsidRDefault="00AC12B4">
            <w:pPr>
              <w:spacing w:line="20" w:lineRule="exact"/>
              <w:rPr>
                <w:sz w:val="1"/>
                <w:szCs w:val="1"/>
              </w:rPr>
            </w:pPr>
          </w:p>
        </w:tc>
      </w:tr>
      <w:tr w:rsidR="00AC12B4">
        <w:trPr>
          <w:trHeight w:val="20"/>
        </w:trPr>
        <w:tc>
          <w:tcPr>
            <w:tcW w:w="60" w:type="dxa"/>
            <w:vAlign w:val="bottom"/>
          </w:tcPr>
          <w:p w:rsidR="00AC12B4" w:rsidRDefault="00AC12B4">
            <w:pPr>
              <w:spacing w:line="20" w:lineRule="exact"/>
              <w:rPr>
                <w:sz w:val="1"/>
                <w:szCs w:val="1"/>
              </w:rPr>
            </w:pPr>
          </w:p>
        </w:tc>
        <w:tc>
          <w:tcPr>
            <w:tcW w:w="1040" w:type="dxa"/>
            <w:gridSpan w:val="3"/>
            <w:shd w:val="clear" w:color="auto" w:fill="0000FF"/>
            <w:vAlign w:val="bottom"/>
          </w:tcPr>
          <w:p w:rsidR="00AC12B4" w:rsidRDefault="00AC12B4">
            <w:pPr>
              <w:spacing w:line="20" w:lineRule="exact"/>
              <w:rPr>
                <w:sz w:val="1"/>
                <w:szCs w:val="1"/>
              </w:rPr>
            </w:pPr>
          </w:p>
        </w:tc>
        <w:tc>
          <w:tcPr>
            <w:tcW w:w="180" w:type="dxa"/>
            <w:shd w:val="clear" w:color="auto" w:fill="0000FF"/>
            <w:vAlign w:val="bottom"/>
          </w:tcPr>
          <w:p w:rsidR="00AC12B4" w:rsidRDefault="00AC12B4">
            <w:pPr>
              <w:spacing w:line="20" w:lineRule="exact"/>
              <w:rPr>
                <w:sz w:val="1"/>
                <w:szCs w:val="1"/>
              </w:rPr>
            </w:pPr>
          </w:p>
        </w:tc>
        <w:tc>
          <w:tcPr>
            <w:tcW w:w="300" w:type="dxa"/>
            <w:shd w:val="clear" w:color="auto" w:fill="0000FF"/>
            <w:vAlign w:val="bottom"/>
          </w:tcPr>
          <w:p w:rsidR="00AC12B4" w:rsidRDefault="00AC12B4">
            <w:pPr>
              <w:spacing w:line="20" w:lineRule="exact"/>
              <w:rPr>
                <w:sz w:val="1"/>
                <w:szCs w:val="1"/>
              </w:rPr>
            </w:pPr>
          </w:p>
        </w:tc>
        <w:tc>
          <w:tcPr>
            <w:tcW w:w="400" w:type="dxa"/>
            <w:shd w:val="clear" w:color="auto" w:fill="0000FF"/>
            <w:vAlign w:val="bottom"/>
          </w:tcPr>
          <w:p w:rsidR="00AC12B4" w:rsidRDefault="00AC12B4">
            <w:pPr>
              <w:spacing w:line="20" w:lineRule="exact"/>
              <w:rPr>
                <w:sz w:val="1"/>
                <w:szCs w:val="1"/>
              </w:rPr>
            </w:pPr>
          </w:p>
        </w:tc>
        <w:tc>
          <w:tcPr>
            <w:tcW w:w="160" w:type="dxa"/>
            <w:tcBorders>
              <w:right w:val="single" w:sz="8" w:space="0" w:color="0000FF"/>
            </w:tcBorders>
            <w:shd w:val="clear" w:color="auto" w:fill="0000FF"/>
            <w:vAlign w:val="bottom"/>
          </w:tcPr>
          <w:p w:rsidR="00AC12B4" w:rsidRDefault="00AC12B4">
            <w:pPr>
              <w:spacing w:line="20" w:lineRule="exact"/>
              <w:rPr>
                <w:sz w:val="1"/>
                <w:szCs w:val="1"/>
              </w:rPr>
            </w:pPr>
          </w:p>
        </w:tc>
        <w:tc>
          <w:tcPr>
            <w:tcW w:w="740" w:type="dxa"/>
            <w:shd w:val="clear" w:color="auto" w:fill="0000FF"/>
            <w:vAlign w:val="bottom"/>
          </w:tcPr>
          <w:p w:rsidR="00AC12B4" w:rsidRDefault="00AC12B4">
            <w:pPr>
              <w:spacing w:line="20" w:lineRule="exact"/>
              <w:rPr>
                <w:sz w:val="1"/>
                <w:szCs w:val="1"/>
              </w:rPr>
            </w:pPr>
          </w:p>
        </w:tc>
        <w:tc>
          <w:tcPr>
            <w:tcW w:w="220" w:type="dxa"/>
            <w:shd w:val="clear" w:color="auto" w:fill="0000FF"/>
            <w:vAlign w:val="bottom"/>
          </w:tcPr>
          <w:p w:rsidR="00AC12B4" w:rsidRDefault="00AC12B4">
            <w:pPr>
              <w:spacing w:line="20" w:lineRule="exact"/>
              <w:rPr>
                <w:sz w:val="1"/>
                <w:szCs w:val="1"/>
              </w:rPr>
            </w:pPr>
          </w:p>
        </w:tc>
        <w:tc>
          <w:tcPr>
            <w:tcW w:w="420" w:type="dxa"/>
            <w:shd w:val="clear" w:color="auto" w:fill="0000FF"/>
            <w:vAlign w:val="bottom"/>
          </w:tcPr>
          <w:p w:rsidR="00AC12B4" w:rsidRDefault="00AC12B4">
            <w:pPr>
              <w:spacing w:line="20" w:lineRule="exact"/>
              <w:rPr>
                <w:sz w:val="1"/>
                <w:szCs w:val="1"/>
              </w:rPr>
            </w:pPr>
          </w:p>
        </w:tc>
        <w:tc>
          <w:tcPr>
            <w:tcW w:w="300" w:type="dxa"/>
            <w:shd w:val="clear" w:color="auto" w:fill="0000FF"/>
            <w:vAlign w:val="bottom"/>
          </w:tcPr>
          <w:p w:rsidR="00AC12B4" w:rsidRDefault="00AC12B4">
            <w:pPr>
              <w:spacing w:line="20" w:lineRule="exact"/>
              <w:rPr>
                <w:sz w:val="1"/>
                <w:szCs w:val="1"/>
              </w:rPr>
            </w:pPr>
          </w:p>
        </w:tc>
        <w:tc>
          <w:tcPr>
            <w:tcW w:w="240" w:type="dxa"/>
            <w:vAlign w:val="bottom"/>
          </w:tcPr>
          <w:p w:rsidR="00AC12B4" w:rsidRDefault="00AC12B4">
            <w:pPr>
              <w:spacing w:line="20" w:lineRule="exact"/>
              <w:rPr>
                <w:sz w:val="1"/>
                <w:szCs w:val="1"/>
              </w:rPr>
            </w:pPr>
          </w:p>
        </w:tc>
        <w:tc>
          <w:tcPr>
            <w:tcW w:w="540" w:type="dxa"/>
            <w:vAlign w:val="bottom"/>
          </w:tcPr>
          <w:p w:rsidR="00AC12B4" w:rsidRDefault="00AC12B4">
            <w:pPr>
              <w:spacing w:line="20" w:lineRule="exact"/>
              <w:rPr>
                <w:sz w:val="1"/>
                <w:szCs w:val="1"/>
              </w:rPr>
            </w:pPr>
          </w:p>
        </w:tc>
        <w:tc>
          <w:tcPr>
            <w:tcW w:w="520" w:type="dxa"/>
            <w:vMerge w:val="restart"/>
            <w:textDirection w:val="btLr"/>
            <w:vAlign w:val="bottom"/>
          </w:tcPr>
          <w:p w:rsidR="00AC12B4" w:rsidRDefault="00C27636">
            <w:pPr>
              <w:spacing w:line="197" w:lineRule="auto"/>
              <w:ind w:left="136"/>
              <w:rPr>
                <w:sz w:val="20"/>
                <w:szCs w:val="20"/>
              </w:rPr>
            </w:pPr>
            <w:r>
              <w:rPr>
                <w:rFonts w:ascii="Calibri" w:eastAsia="Calibri" w:hAnsi="Calibri" w:cs="Calibri"/>
                <w:b/>
                <w:bCs/>
                <w:i/>
                <w:iCs/>
                <w:color w:val="F2F2F2"/>
                <w:w w:val="98"/>
                <w:sz w:val="28"/>
                <w:szCs w:val="28"/>
              </w:rPr>
              <w:t>Les</w:t>
            </w:r>
          </w:p>
        </w:tc>
        <w:tc>
          <w:tcPr>
            <w:tcW w:w="0" w:type="dxa"/>
            <w:vAlign w:val="bottom"/>
          </w:tcPr>
          <w:p w:rsidR="00AC12B4" w:rsidRDefault="00AC12B4">
            <w:pPr>
              <w:spacing w:line="20" w:lineRule="exact"/>
              <w:rPr>
                <w:sz w:val="1"/>
                <w:szCs w:val="1"/>
              </w:rPr>
            </w:pPr>
          </w:p>
        </w:tc>
      </w:tr>
      <w:tr w:rsidR="00AC12B4">
        <w:trPr>
          <w:trHeight w:val="225"/>
        </w:trPr>
        <w:tc>
          <w:tcPr>
            <w:tcW w:w="1280" w:type="dxa"/>
            <w:gridSpan w:val="5"/>
            <w:vAlign w:val="bottom"/>
          </w:tcPr>
          <w:p w:rsidR="00AC12B4" w:rsidRDefault="00C27636">
            <w:pPr>
              <w:spacing w:line="224" w:lineRule="exact"/>
              <w:rPr>
                <w:rFonts w:ascii="Calibri" w:eastAsia="Calibri" w:hAnsi="Calibri" w:cs="Calibri"/>
                <w:color w:val="0000FF"/>
                <w:sz w:val="20"/>
                <w:szCs w:val="20"/>
              </w:rPr>
            </w:pPr>
            <w:hyperlink r:id="rId365">
              <w:r>
                <w:rPr>
                  <w:rFonts w:ascii="Calibri" w:eastAsia="Calibri" w:hAnsi="Calibri" w:cs="Calibri"/>
                  <w:color w:val="0000FF"/>
                  <w:sz w:val="20"/>
                  <w:szCs w:val="20"/>
                </w:rPr>
                <w:t>/2013_FR.pdf</w:t>
              </w:r>
            </w:hyperlink>
          </w:p>
        </w:tc>
        <w:tc>
          <w:tcPr>
            <w:tcW w:w="300" w:type="dxa"/>
            <w:vAlign w:val="bottom"/>
          </w:tcPr>
          <w:p w:rsidR="00AC12B4" w:rsidRDefault="00AC12B4">
            <w:pPr>
              <w:rPr>
                <w:sz w:val="19"/>
                <w:szCs w:val="19"/>
              </w:rPr>
            </w:pPr>
          </w:p>
        </w:tc>
        <w:tc>
          <w:tcPr>
            <w:tcW w:w="400" w:type="dxa"/>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7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42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540" w:type="dxa"/>
            <w:vAlign w:val="bottom"/>
          </w:tcPr>
          <w:p w:rsidR="00AC12B4" w:rsidRDefault="00AC12B4">
            <w:pPr>
              <w:rPr>
                <w:sz w:val="19"/>
                <w:szCs w:val="19"/>
              </w:rPr>
            </w:pPr>
          </w:p>
        </w:tc>
        <w:tc>
          <w:tcPr>
            <w:tcW w:w="520" w:type="dxa"/>
            <w:vMerge/>
            <w:vAlign w:val="bottom"/>
          </w:tcPr>
          <w:p w:rsidR="00AC12B4" w:rsidRDefault="00AC12B4">
            <w:pPr>
              <w:rPr>
                <w:sz w:val="19"/>
                <w:szCs w:val="19"/>
              </w:rPr>
            </w:pPr>
          </w:p>
        </w:tc>
        <w:tc>
          <w:tcPr>
            <w:tcW w:w="0" w:type="dxa"/>
            <w:vAlign w:val="bottom"/>
          </w:tcPr>
          <w:p w:rsidR="00AC12B4" w:rsidRDefault="00AC12B4">
            <w:pPr>
              <w:rPr>
                <w:sz w:val="1"/>
                <w:szCs w:val="1"/>
              </w:rPr>
            </w:pPr>
          </w:p>
        </w:tc>
      </w:tr>
      <w:tr w:rsidR="00AC12B4">
        <w:trPr>
          <w:trHeight w:val="230"/>
        </w:trPr>
        <w:tc>
          <w:tcPr>
            <w:tcW w:w="60" w:type="dxa"/>
            <w:tcBorders>
              <w:top w:val="single" w:sz="8" w:space="0" w:color="0000FF"/>
            </w:tcBorders>
            <w:vAlign w:val="bottom"/>
          </w:tcPr>
          <w:p w:rsidR="00AC12B4" w:rsidRDefault="00AC12B4">
            <w:pPr>
              <w:rPr>
                <w:sz w:val="19"/>
                <w:szCs w:val="19"/>
              </w:rPr>
            </w:pPr>
          </w:p>
        </w:tc>
        <w:tc>
          <w:tcPr>
            <w:tcW w:w="400" w:type="dxa"/>
            <w:tcBorders>
              <w:top w:val="single" w:sz="8" w:space="0" w:color="0000FF"/>
            </w:tcBorders>
            <w:vAlign w:val="bottom"/>
          </w:tcPr>
          <w:p w:rsidR="00AC12B4" w:rsidRDefault="00AC12B4">
            <w:pPr>
              <w:rPr>
                <w:sz w:val="19"/>
                <w:szCs w:val="19"/>
              </w:rPr>
            </w:pPr>
          </w:p>
        </w:tc>
        <w:tc>
          <w:tcPr>
            <w:tcW w:w="180" w:type="dxa"/>
            <w:tcBorders>
              <w:top w:val="single" w:sz="8" w:space="0" w:color="0000FF"/>
            </w:tcBorders>
            <w:vAlign w:val="bottom"/>
          </w:tcPr>
          <w:p w:rsidR="00AC12B4" w:rsidRDefault="00AC12B4">
            <w:pPr>
              <w:rPr>
                <w:sz w:val="19"/>
                <w:szCs w:val="19"/>
              </w:rPr>
            </w:pPr>
          </w:p>
        </w:tc>
        <w:tc>
          <w:tcPr>
            <w:tcW w:w="460" w:type="dxa"/>
            <w:tcBorders>
              <w:top w:val="single" w:sz="8" w:space="0" w:color="0000FF"/>
            </w:tcBorders>
            <w:vAlign w:val="bottom"/>
          </w:tcPr>
          <w:p w:rsidR="00AC12B4" w:rsidRDefault="00AC12B4">
            <w:pPr>
              <w:rPr>
                <w:sz w:val="19"/>
                <w:szCs w:val="19"/>
              </w:rPr>
            </w:pPr>
          </w:p>
        </w:tc>
        <w:tc>
          <w:tcPr>
            <w:tcW w:w="18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400" w:type="dxa"/>
            <w:vAlign w:val="bottom"/>
          </w:tcPr>
          <w:p w:rsidR="00AC12B4" w:rsidRDefault="00AC12B4">
            <w:pPr>
              <w:rPr>
                <w:sz w:val="19"/>
                <w:szCs w:val="19"/>
              </w:rPr>
            </w:pPr>
          </w:p>
        </w:tc>
        <w:tc>
          <w:tcPr>
            <w:tcW w:w="160" w:type="dxa"/>
            <w:vAlign w:val="bottom"/>
          </w:tcPr>
          <w:p w:rsidR="00AC12B4" w:rsidRDefault="00AC12B4">
            <w:pPr>
              <w:rPr>
                <w:sz w:val="19"/>
                <w:szCs w:val="19"/>
              </w:rPr>
            </w:pPr>
          </w:p>
        </w:tc>
        <w:tc>
          <w:tcPr>
            <w:tcW w:w="740" w:type="dxa"/>
            <w:vAlign w:val="bottom"/>
          </w:tcPr>
          <w:p w:rsidR="00AC12B4" w:rsidRDefault="00AC12B4">
            <w:pPr>
              <w:rPr>
                <w:sz w:val="19"/>
                <w:szCs w:val="19"/>
              </w:rPr>
            </w:pPr>
          </w:p>
        </w:tc>
        <w:tc>
          <w:tcPr>
            <w:tcW w:w="220" w:type="dxa"/>
            <w:vAlign w:val="bottom"/>
          </w:tcPr>
          <w:p w:rsidR="00AC12B4" w:rsidRDefault="00AC12B4">
            <w:pPr>
              <w:rPr>
                <w:sz w:val="19"/>
                <w:szCs w:val="19"/>
              </w:rPr>
            </w:pPr>
          </w:p>
        </w:tc>
        <w:tc>
          <w:tcPr>
            <w:tcW w:w="420" w:type="dxa"/>
            <w:vAlign w:val="bottom"/>
          </w:tcPr>
          <w:p w:rsidR="00AC12B4" w:rsidRDefault="00AC12B4">
            <w:pPr>
              <w:rPr>
                <w:sz w:val="19"/>
                <w:szCs w:val="19"/>
              </w:rPr>
            </w:pPr>
          </w:p>
        </w:tc>
        <w:tc>
          <w:tcPr>
            <w:tcW w:w="300" w:type="dxa"/>
            <w:vAlign w:val="bottom"/>
          </w:tcPr>
          <w:p w:rsidR="00AC12B4" w:rsidRDefault="00AC12B4">
            <w:pPr>
              <w:rPr>
                <w:sz w:val="19"/>
                <w:szCs w:val="19"/>
              </w:rPr>
            </w:pPr>
          </w:p>
        </w:tc>
        <w:tc>
          <w:tcPr>
            <w:tcW w:w="240" w:type="dxa"/>
            <w:vAlign w:val="bottom"/>
          </w:tcPr>
          <w:p w:rsidR="00AC12B4" w:rsidRDefault="00AC12B4">
            <w:pPr>
              <w:rPr>
                <w:sz w:val="19"/>
                <w:szCs w:val="19"/>
              </w:rPr>
            </w:pPr>
          </w:p>
        </w:tc>
        <w:tc>
          <w:tcPr>
            <w:tcW w:w="540" w:type="dxa"/>
            <w:vAlign w:val="bottom"/>
          </w:tcPr>
          <w:p w:rsidR="00AC12B4" w:rsidRDefault="00AC12B4">
            <w:pPr>
              <w:rPr>
                <w:sz w:val="19"/>
                <w:szCs w:val="19"/>
              </w:rPr>
            </w:pPr>
          </w:p>
        </w:tc>
        <w:tc>
          <w:tcPr>
            <w:tcW w:w="520" w:type="dxa"/>
            <w:vMerge/>
            <w:vAlign w:val="bottom"/>
          </w:tcPr>
          <w:p w:rsidR="00AC12B4" w:rsidRDefault="00AC12B4">
            <w:pPr>
              <w:rPr>
                <w:sz w:val="19"/>
                <w:szCs w:val="19"/>
              </w:rPr>
            </w:pPr>
          </w:p>
        </w:tc>
        <w:tc>
          <w:tcPr>
            <w:tcW w:w="0" w:type="dxa"/>
            <w:vAlign w:val="bottom"/>
          </w:tcPr>
          <w:p w:rsidR="00AC12B4" w:rsidRDefault="00AC12B4">
            <w:pPr>
              <w:rPr>
                <w:sz w:val="1"/>
                <w:szCs w:val="1"/>
              </w:rPr>
            </w:pPr>
          </w:p>
        </w:tc>
      </w:tr>
    </w:tbl>
    <w:p w:rsidR="00AC12B4" w:rsidRDefault="00AC12B4">
      <w:pPr>
        <w:sectPr w:rsidR="00AC12B4">
          <w:type w:val="continuous"/>
          <w:pgSz w:w="12080" w:h="17179"/>
          <w:pgMar w:top="1440" w:right="357" w:bottom="659" w:left="1120" w:header="0" w:footer="0" w:gutter="0"/>
          <w:cols w:num="2" w:space="720" w:equalWidth="0">
            <w:col w:w="5280" w:space="200"/>
            <w:col w:w="5120"/>
          </w:cols>
        </w:sectPr>
      </w:pPr>
    </w:p>
    <w:bookmarkStart w:id="204" w:name="page204"/>
    <w:bookmarkEnd w:id="204"/>
    <w:p w:rsidR="00AC12B4" w:rsidRDefault="00C27636">
      <w:pPr>
        <w:spacing w:line="200" w:lineRule="exact"/>
        <w:rPr>
          <w:sz w:val="20"/>
          <w:szCs w:val="20"/>
        </w:rPr>
      </w:pPr>
      <w:r>
        <w:rPr>
          <w:noProof/>
          <w:sz w:val="20"/>
          <w:szCs w:val="20"/>
        </w:rPr>
        <mc:AlternateContent>
          <mc:Choice Requires="wps">
            <w:drawing>
              <wp:anchor distT="0" distB="0" distL="114300" distR="114300" simplePos="0" relativeHeight="251954688" behindDoc="1" locked="0" layoutInCell="0" allowOverlap="1">
                <wp:simplePos x="0" y="0"/>
                <wp:positionH relativeFrom="page">
                  <wp:posOffset>0</wp:posOffset>
                </wp:positionH>
                <wp:positionV relativeFrom="page">
                  <wp:posOffset>8890</wp:posOffset>
                </wp:positionV>
                <wp:extent cx="742950" cy="10896600"/>
                <wp:effectExtent l="0" t="0" r="0" b="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2950" cy="10896600"/>
                        </a:xfrm>
                        <a:prstGeom prst="rect">
                          <a:avLst/>
                        </a:prstGeom>
                        <a:solidFill>
                          <a:srgbClr val="159DCF"/>
                        </a:solidFill>
                      </wps:spPr>
                      <wps:bodyPr/>
                    </wps:wsp>
                  </a:graphicData>
                </a:graphic>
              </wp:anchor>
            </w:drawing>
          </mc:Choice>
          <mc:Fallback>
            <w:pict>
              <v:rect id="Shape 624" o:spid="_x0000_s1649" style="position:absolute;margin-left:0pt;margin-top:0.7pt;width:58.5pt;height:85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7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Les droits des mineurs étrangers</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3" w:lineRule="exact"/>
        <w:rPr>
          <w:sz w:val="20"/>
          <w:szCs w:val="20"/>
          <w:lang w:val="fr-BE"/>
        </w:rPr>
      </w:pPr>
    </w:p>
    <w:p w:rsidR="00AC12B4" w:rsidRPr="00C27636" w:rsidRDefault="00AC12B4">
      <w:pPr>
        <w:spacing w:line="1" w:lineRule="exact"/>
        <w:rPr>
          <w:sz w:val="1"/>
          <w:szCs w:val="1"/>
          <w:lang w:val="fr-BE"/>
        </w:rPr>
      </w:pPr>
    </w:p>
    <w:tbl>
      <w:tblPr>
        <w:tblW w:w="0" w:type="auto"/>
        <w:tblInd w:w="10" w:type="dxa"/>
        <w:tblLayout w:type="fixed"/>
        <w:tblCellMar>
          <w:left w:w="0" w:type="dxa"/>
          <w:right w:w="0" w:type="dxa"/>
        </w:tblCellMar>
        <w:tblLook w:val="04A0" w:firstRow="1" w:lastRow="0" w:firstColumn="1" w:lastColumn="0" w:noHBand="0" w:noVBand="1"/>
      </w:tblPr>
      <w:tblGrid>
        <w:gridCol w:w="1720"/>
        <w:gridCol w:w="180"/>
        <w:gridCol w:w="340"/>
        <w:gridCol w:w="1060"/>
        <w:gridCol w:w="380"/>
        <w:gridCol w:w="520"/>
        <w:gridCol w:w="120"/>
        <w:gridCol w:w="30"/>
      </w:tblGrid>
      <w:tr w:rsidR="00AC12B4">
        <w:trPr>
          <w:trHeight w:val="269"/>
        </w:trPr>
        <w:tc>
          <w:tcPr>
            <w:tcW w:w="1720" w:type="dxa"/>
            <w:vAlign w:val="bottom"/>
          </w:tcPr>
          <w:p w:rsidR="00AC12B4" w:rsidRDefault="00C27636">
            <w:pPr>
              <w:ind w:left="840"/>
              <w:rPr>
                <w:sz w:val="20"/>
                <w:szCs w:val="20"/>
              </w:rPr>
            </w:pPr>
            <w:r>
              <w:rPr>
                <w:rFonts w:ascii="Calibri" w:eastAsia="Calibri" w:hAnsi="Calibri" w:cs="Calibri"/>
              </w:rPr>
              <w:t>après</w:t>
            </w:r>
          </w:p>
        </w:tc>
        <w:tc>
          <w:tcPr>
            <w:tcW w:w="1580" w:type="dxa"/>
            <w:gridSpan w:val="3"/>
            <w:vAlign w:val="bottom"/>
          </w:tcPr>
          <w:p w:rsidR="00AC12B4" w:rsidRDefault="00C27636">
            <w:pPr>
              <w:rPr>
                <w:sz w:val="20"/>
                <w:szCs w:val="20"/>
              </w:rPr>
            </w:pPr>
            <w:r>
              <w:rPr>
                <w:rFonts w:ascii="Calibri" w:eastAsia="Calibri" w:hAnsi="Calibri" w:cs="Calibri"/>
              </w:rPr>
              <w:t>(annuellement)</w:t>
            </w:r>
          </w:p>
        </w:tc>
        <w:tc>
          <w:tcPr>
            <w:tcW w:w="1020" w:type="dxa"/>
            <w:gridSpan w:val="3"/>
            <w:vAlign w:val="bottom"/>
          </w:tcPr>
          <w:p w:rsidR="00AC12B4" w:rsidRDefault="00C27636">
            <w:pPr>
              <w:ind w:left="200"/>
              <w:rPr>
                <w:sz w:val="20"/>
                <w:szCs w:val="20"/>
              </w:rPr>
            </w:pPr>
            <w:r>
              <w:rPr>
                <w:rFonts w:ascii="Calibri" w:eastAsia="Calibri" w:hAnsi="Calibri" w:cs="Calibri"/>
              </w:rPr>
              <w:t>et/ou</w:t>
            </w:r>
          </w:p>
        </w:tc>
        <w:tc>
          <w:tcPr>
            <w:tcW w:w="0" w:type="dxa"/>
            <w:vAlign w:val="bottom"/>
          </w:tcPr>
          <w:p w:rsidR="00AC12B4" w:rsidRDefault="00AC12B4">
            <w:pPr>
              <w:rPr>
                <w:sz w:val="1"/>
                <w:szCs w:val="1"/>
              </w:rPr>
            </w:pPr>
          </w:p>
        </w:tc>
      </w:tr>
      <w:tr w:rsidR="00AC12B4" w:rsidRPr="00C27636">
        <w:trPr>
          <w:trHeight w:val="310"/>
        </w:trPr>
        <w:tc>
          <w:tcPr>
            <w:tcW w:w="4320" w:type="dxa"/>
            <w:gridSpan w:val="7"/>
            <w:vAlign w:val="bottom"/>
          </w:tcPr>
          <w:p w:rsidR="00AC12B4" w:rsidRPr="00C27636" w:rsidRDefault="00C27636">
            <w:pPr>
              <w:ind w:left="840"/>
              <w:rPr>
                <w:sz w:val="20"/>
                <w:szCs w:val="20"/>
                <w:lang w:val="fr-BE"/>
              </w:rPr>
            </w:pPr>
            <w:r w:rsidRPr="00C27636">
              <w:rPr>
                <w:rFonts w:ascii="Calibri" w:eastAsia="Calibri" w:hAnsi="Calibri" w:cs="Calibri"/>
                <w:lang w:val="fr-BE"/>
              </w:rPr>
              <w:t>modifiée  en  carte  B  (séjour</w:t>
            </w:r>
          </w:p>
        </w:tc>
        <w:tc>
          <w:tcPr>
            <w:tcW w:w="0" w:type="dxa"/>
            <w:vAlign w:val="bottom"/>
          </w:tcPr>
          <w:p w:rsidR="00AC12B4" w:rsidRPr="00C27636" w:rsidRDefault="00AC12B4">
            <w:pPr>
              <w:rPr>
                <w:sz w:val="1"/>
                <w:szCs w:val="1"/>
                <w:lang w:val="fr-BE"/>
              </w:rPr>
            </w:pPr>
          </w:p>
        </w:tc>
      </w:tr>
      <w:tr w:rsidR="00AC12B4">
        <w:trPr>
          <w:trHeight w:val="310"/>
        </w:trPr>
        <w:tc>
          <w:tcPr>
            <w:tcW w:w="1720" w:type="dxa"/>
            <w:vAlign w:val="bottom"/>
          </w:tcPr>
          <w:p w:rsidR="00AC12B4" w:rsidRDefault="00C27636">
            <w:pPr>
              <w:ind w:left="840"/>
              <w:rPr>
                <w:sz w:val="20"/>
                <w:szCs w:val="20"/>
              </w:rPr>
            </w:pPr>
            <w:r>
              <w:rPr>
                <w:rFonts w:ascii="Calibri" w:eastAsia="Calibri" w:hAnsi="Calibri" w:cs="Calibri"/>
              </w:rPr>
              <w:t>illimité).</w:t>
            </w:r>
          </w:p>
        </w:tc>
        <w:tc>
          <w:tcPr>
            <w:tcW w:w="180" w:type="dxa"/>
            <w:vAlign w:val="bottom"/>
          </w:tcPr>
          <w:p w:rsidR="00AC12B4" w:rsidRDefault="00AC12B4">
            <w:pPr>
              <w:rPr>
                <w:sz w:val="24"/>
                <w:szCs w:val="24"/>
              </w:rPr>
            </w:pPr>
          </w:p>
        </w:tc>
        <w:tc>
          <w:tcPr>
            <w:tcW w:w="340" w:type="dxa"/>
            <w:vAlign w:val="bottom"/>
          </w:tcPr>
          <w:p w:rsidR="00AC12B4" w:rsidRDefault="00AC12B4">
            <w:pPr>
              <w:rPr>
                <w:sz w:val="24"/>
                <w:szCs w:val="24"/>
              </w:rPr>
            </w:pPr>
          </w:p>
        </w:tc>
        <w:tc>
          <w:tcPr>
            <w:tcW w:w="1060" w:type="dxa"/>
            <w:vAlign w:val="bottom"/>
          </w:tcPr>
          <w:p w:rsidR="00AC12B4" w:rsidRDefault="00AC12B4">
            <w:pPr>
              <w:rPr>
                <w:sz w:val="24"/>
                <w:szCs w:val="24"/>
              </w:rPr>
            </w:pPr>
          </w:p>
        </w:tc>
        <w:tc>
          <w:tcPr>
            <w:tcW w:w="380" w:type="dxa"/>
            <w:vAlign w:val="bottom"/>
          </w:tcPr>
          <w:p w:rsidR="00AC12B4" w:rsidRDefault="00AC12B4">
            <w:pPr>
              <w:rPr>
                <w:sz w:val="24"/>
                <w:szCs w:val="24"/>
              </w:rPr>
            </w:pPr>
          </w:p>
        </w:tc>
        <w:tc>
          <w:tcPr>
            <w:tcW w:w="520" w:type="dxa"/>
            <w:vAlign w:val="bottom"/>
          </w:tcPr>
          <w:p w:rsidR="00AC12B4" w:rsidRDefault="00AC12B4">
            <w:pPr>
              <w:rPr>
                <w:sz w:val="24"/>
                <w:szCs w:val="24"/>
              </w:rPr>
            </w:pPr>
          </w:p>
        </w:tc>
        <w:tc>
          <w:tcPr>
            <w:tcW w:w="120" w:type="dxa"/>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565"/>
        </w:trPr>
        <w:tc>
          <w:tcPr>
            <w:tcW w:w="1720" w:type="dxa"/>
            <w:tcBorders>
              <w:bottom w:val="single" w:sz="8" w:space="0" w:color="auto"/>
            </w:tcBorders>
            <w:vAlign w:val="bottom"/>
          </w:tcPr>
          <w:p w:rsidR="00AC12B4" w:rsidRDefault="00AC12B4">
            <w:pPr>
              <w:rPr>
                <w:sz w:val="24"/>
                <w:szCs w:val="24"/>
              </w:rPr>
            </w:pPr>
          </w:p>
        </w:tc>
        <w:tc>
          <w:tcPr>
            <w:tcW w:w="180" w:type="dxa"/>
            <w:tcBorders>
              <w:bottom w:val="single" w:sz="8" w:space="0" w:color="auto"/>
            </w:tcBorders>
            <w:vAlign w:val="bottom"/>
          </w:tcPr>
          <w:p w:rsidR="00AC12B4" w:rsidRDefault="00AC12B4">
            <w:pPr>
              <w:rPr>
                <w:sz w:val="24"/>
                <w:szCs w:val="24"/>
              </w:rPr>
            </w:pPr>
          </w:p>
        </w:tc>
        <w:tc>
          <w:tcPr>
            <w:tcW w:w="340" w:type="dxa"/>
            <w:tcBorders>
              <w:bottom w:val="single" w:sz="8" w:space="0" w:color="auto"/>
            </w:tcBorders>
            <w:vAlign w:val="bottom"/>
          </w:tcPr>
          <w:p w:rsidR="00AC12B4" w:rsidRDefault="00AC12B4">
            <w:pPr>
              <w:rPr>
                <w:sz w:val="24"/>
                <w:szCs w:val="24"/>
              </w:rPr>
            </w:pPr>
          </w:p>
        </w:tc>
        <w:tc>
          <w:tcPr>
            <w:tcW w:w="1060" w:type="dxa"/>
            <w:tcBorders>
              <w:bottom w:val="single" w:sz="8" w:space="0" w:color="auto"/>
            </w:tcBorders>
            <w:vAlign w:val="bottom"/>
          </w:tcPr>
          <w:p w:rsidR="00AC12B4" w:rsidRDefault="00AC12B4">
            <w:pPr>
              <w:rPr>
                <w:sz w:val="24"/>
                <w:szCs w:val="24"/>
              </w:rPr>
            </w:pPr>
          </w:p>
        </w:tc>
        <w:tc>
          <w:tcPr>
            <w:tcW w:w="380" w:type="dxa"/>
            <w:tcBorders>
              <w:bottom w:val="single" w:sz="8" w:space="0" w:color="auto"/>
            </w:tcBorders>
            <w:vAlign w:val="bottom"/>
          </w:tcPr>
          <w:p w:rsidR="00AC12B4" w:rsidRDefault="00AC12B4">
            <w:pPr>
              <w:rPr>
                <w:sz w:val="24"/>
                <w:szCs w:val="24"/>
              </w:rPr>
            </w:pPr>
          </w:p>
        </w:tc>
        <w:tc>
          <w:tcPr>
            <w:tcW w:w="520" w:type="dxa"/>
            <w:tcBorders>
              <w:bottom w:val="single" w:sz="8" w:space="0" w:color="auto"/>
            </w:tcBorders>
            <w:vAlign w:val="bottom"/>
          </w:tcPr>
          <w:p w:rsidR="00AC12B4" w:rsidRDefault="00AC12B4">
            <w:pPr>
              <w:rPr>
                <w:sz w:val="24"/>
                <w:szCs w:val="24"/>
              </w:rPr>
            </w:pPr>
          </w:p>
        </w:tc>
        <w:tc>
          <w:tcPr>
            <w:tcW w:w="120" w:type="dxa"/>
            <w:tcBorders>
              <w:bottom w:val="single" w:sz="8" w:space="0" w:color="auto"/>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50"/>
        </w:trPr>
        <w:tc>
          <w:tcPr>
            <w:tcW w:w="1720" w:type="dxa"/>
            <w:tcBorders>
              <w:left w:val="single" w:sz="8" w:space="0" w:color="auto"/>
            </w:tcBorders>
            <w:shd w:val="clear" w:color="auto" w:fill="159DCF"/>
            <w:vAlign w:val="bottom"/>
          </w:tcPr>
          <w:p w:rsidR="00AC12B4" w:rsidRDefault="00C27636">
            <w:pPr>
              <w:spacing w:line="250" w:lineRule="exact"/>
              <w:ind w:left="120"/>
              <w:rPr>
                <w:sz w:val="20"/>
                <w:szCs w:val="20"/>
              </w:rPr>
            </w:pPr>
            <w:r>
              <w:rPr>
                <w:rFonts w:ascii="Calibri" w:eastAsia="Calibri" w:hAnsi="Calibri" w:cs="Calibri"/>
              </w:rPr>
              <w:t>Solution</w:t>
            </w:r>
          </w:p>
        </w:tc>
        <w:tc>
          <w:tcPr>
            <w:tcW w:w="180" w:type="dxa"/>
            <w:shd w:val="clear" w:color="auto" w:fill="159DCF"/>
            <w:vAlign w:val="bottom"/>
          </w:tcPr>
          <w:p w:rsidR="00AC12B4" w:rsidRDefault="00AC12B4">
            <w:pPr>
              <w:rPr>
                <w:sz w:val="21"/>
                <w:szCs w:val="21"/>
              </w:rPr>
            </w:pPr>
          </w:p>
        </w:tc>
        <w:tc>
          <w:tcPr>
            <w:tcW w:w="340" w:type="dxa"/>
            <w:shd w:val="clear" w:color="auto" w:fill="159DCF"/>
            <w:vAlign w:val="bottom"/>
          </w:tcPr>
          <w:p w:rsidR="00AC12B4" w:rsidRDefault="00AC12B4">
            <w:pPr>
              <w:rPr>
                <w:sz w:val="21"/>
                <w:szCs w:val="21"/>
              </w:rPr>
            </w:pPr>
          </w:p>
        </w:tc>
        <w:tc>
          <w:tcPr>
            <w:tcW w:w="1060" w:type="dxa"/>
            <w:shd w:val="clear" w:color="auto" w:fill="159DCF"/>
            <w:vAlign w:val="bottom"/>
          </w:tcPr>
          <w:p w:rsidR="00AC12B4" w:rsidRDefault="00AC12B4">
            <w:pPr>
              <w:rPr>
                <w:sz w:val="21"/>
                <w:szCs w:val="21"/>
              </w:rPr>
            </w:pPr>
          </w:p>
        </w:tc>
        <w:tc>
          <w:tcPr>
            <w:tcW w:w="380" w:type="dxa"/>
            <w:tcBorders>
              <w:right w:val="single" w:sz="8" w:space="0" w:color="auto"/>
            </w:tcBorders>
            <w:shd w:val="clear" w:color="auto" w:fill="159DCF"/>
            <w:vAlign w:val="bottom"/>
          </w:tcPr>
          <w:p w:rsidR="00AC12B4" w:rsidRDefault="00AC12B4">
            <w:pPr>
              <w:rPr>
                <w:sz w:val="21"/>
                <w:szCs w:val="21"/>
              </w:rPr>
            </w:pPr>
          </w:p>
        </w:tc>
        <w:tc>
          <w:tcPr>
            <w:tcW w:w="520" w:type="dxa"/>
            <w:shd w:val="clear" w:color="auto" w:fill="159DCF"/>
            <w:vAlign w:val="bottom"/>
          </w:tcPr>
          <w:p w:rsidR="00AC12B4" w:rsidRDefault="00C27636">
            <w:pPr>
              <w:spacing w:line="250" w:lineRule="exact"/>
              <w:ind w:left="100"/>
              <w:rPr>
                <w:sz w:val="20"/>
                <w:szCs w:val="20"/>
              </w:rPr>
            </w:pPr>
            <w:r>
              <w:rPr>
                <w:rFonts w:ascii="Calibri" w:eastAsia="Calibri" w:hAnsi="Calibri" w:cs="Calibri"/>
                <w:w w:val="95"/>
              </w:rPr>
              <w:t>nbre</w:t>
            </w:r>
          </w:p>
        </w:tc>
        <w:tc>
          <w:tcPr>
            <w:tcW w:w="120" w:type="dxa"/>
            <w:tcBorders>
              <w:right w:val="single" w:sz="8" w:space="0" w:color="auto"/>
            </w:tcBorders>
            <w:shd w:val="clear" w:color="auto" w:fill="159DCF"/>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128"/>
        </w:trPr>
        <w:tc>
          <w:tcPr>
            <w:tcW w:w="1900" w:type="dxa"/>
            <w:gridSpan w:val="2"/>
            <w:tcBorders>
              <w:left w:val="single" w:sz="8" w:space="0" w:color="auto"/>
              <w:bottom w:val="single" w:sz="8" w:space="0" w:color="auto"/>
            </w:tcBorders>
            <w:shd w:val="clear" w:color="auto" w:fill="159DCF"/>
            <w:vAlign w:val="bottom"/>
          </w:tcPr>
          <w:p w:rsidR="00AC12B4" w:rsidRDefault="00AC12B4">
            <w:pPr>
              <w:rPr>
                <w:sz w:val="11"/>
                <w:szCs w:val="11"/>
              </w:rPr>
            </w:pPr>
          </w:p>
        </w:tc>
        <w:tc>
          <w:tcPr>
            <w:tcW w:w="340" w:type="dxa"/>
            <w:tcBorders>
              <w:bottom w:val="single" w:sz="8" w:space="0" w:color="auto"/>
            </w:tcBorders>
            <w:shd w:val="clear" w:color="auto" w:fill="159DCF"/>
            <w:vAlign w:val="bottom"/>
          </w:tcPr>
          <w:p w:rsidR="00AC12B4" w:rsidRDefault="00AC12B4">
            <w:pPr>
              <w:rPr>
                <w:sz w:val="11"/>
                <w:szCs w:val="11"/>
              </w:rPr>
            </w:pPr>
          </w:p>
        </w:tc>
        <w:tc>
          <w:tcPr>
            <w:tcW w:w="1060" w:type="dxa"/>
            <w:tcBorders>
              <w:bottom w:val="single" w:sz="8" w:space="0" w:color="auto"/>
            </w:tcBorders>
            <w:shd w:val="clear" w:color="auto" w:fill="159DCF"/>
            <w:vAlign w:val="bottom"/>
          </w:tcPr>
          <w:p w:rsidR="00AC12B4" w:rsidRDefault="00AC12B4">
            <w:pPr>
              <w:rPr>
                <w:sz w:val="11"/>
                <w:szCs w:val="11"/>
              </w:rPr>
            </w:pPr>
          </w:p>
        </w:tc>
        <w:tc>
          <w:tcPr>
            <w:tcW w:w="380" w:type="dxa"/>
            <w:tcBorders>
              <w:bottom w:val="single" w:sz="8" w:space="0" w:color="auto"/>
              <w:right w:val="single" w:sz="8" w:space="0" w:color="auto"/>
            </w:tcBorders>
            <w:shd w:val="clear" w:color="auto" w:fill="159DCF"/>
            <w:vAlign w:val="bottom"/>
          </w:tcPr>
          <w:p w:rsidR="00AC12B4" w:rsidRDefault="00AC12B4">
            <w:pPr>
              <w:rPr>
                <w:sz w:val="11"/>
                <w:szCs w:val="11"/>
              </w:rPr>
            </w:pPr>
          </w:p>
        </w:tc>
        <w:tc>
          <w:tcPr>
            <w:tcW w:w="520" w:type="dxa"/>
            <w:tcBorders>
              <w:bottom w:val="single" w:sz="8" w:space="0" w:color="auto"/>
            </w:tcBorders>
            <w:shd w:val="clear" w:color="auto" w:fill="159DCF"/>
            <w:vAlign w:val="bottom"/>
          </w:tcPr>
          <w:p w:rsidR="00AC12B4" w:rsidRDefault="00AC12B4">
            <w:pPr>
              <w:rPr>
                <w:sz w:val="11"/>
                <w:szCs w:val="11"/>
              </w:rPr>
            </w:pPr>
          </w:p>
        </w:tc>
        <w:tc>
          <w:tcPr>
            <w:tcW w:w="120" w:type="dxa"/>
            <w:tcBorders>
              <w:bottom w:val="single" w:sz="8" w:space="0" w:color="auto"/>
              <w:right w:val="single" w:sz="8" w:space="0" w:color="auto"/>
            </w:tcBorders>
            <w:shd w:val="clear" w:color="auto" w:fill="159DCF"/>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trPr>
          <w:trHeight w:val="250"/>
        </w:trPr>
        <w:tc>
          <w:tcPr>
            <w:tcW w:w="1900" w:type="dxa"/>
            <w:gridSpan w:val="2"/>
            <w:tcBorders>
              <w:left w:val="single" w:sz="8" w:space="0" w:color="auto"/>
            </w:tcBorders>
            <w:vAlign w:val="bottom"/>
          </w:tcPr>
          <w:p w:rsidR="00AC12B4" w:rsidRDefault="00C27636">
            <w:pPr>
              <w:spacing w:line="250" w:lineRule="exact"/>
              <w:ind w:left="120"/>
              <w:rPr>
                <w:sz w:val="20"/>
                <w:szCs w:val="20"/>
              </w:rPr>
            </w:pPr>
            <w:r>
              <w:rPr>
                <w:rFonts w:ascii="Calibri" w:eastAsia="Calibri" w:hAnsi="Calibri" w:cs="Calibri"/>
                <w:b/>
                <w:bCs/>
              </w:rPr>
              <w:t>Solution  durable</w:t>
            </w:r>
          </w:p>
        </w:tc>
        <w:tc>
          <w:tcPr>
            <w:tcW w:w="340" w:type="dxa"/>
            <w:vAlign w:val="bottom"/>
          </w:tcPr>
          <w:p w:rsidR="00AC12B4" w:rsidRDefault="00C27636">
            <w:pPr>
              <w:spacing w:line="250" w:lineRule="exact"/>
              <w:ind w:right="70"/>
              <w:jc w:val="right"/>
              <w:rPr>
                <w:sz w:val="20"/>
                <w:szCs w:val="20"/>
              </w:rPr>
            </w:pPr>
            <w:r>
              <w:rPr>
                <w:rFonts w:ascii="Calibri" w:eastAsia="Calibri" w:hAnsi="Calibri" w:cs="Calibri"/>
                <w:b/>
                <w:bCs/>
              </w:rPr>
              <w:t>«</w:t>
            </w:r>
          </w:p>
        </w:tc>
        <w:tc>
          <w:tcPr>
            <w:tcW w:w="1440" w:type="dxa"/>
            <w:gridSpan w:val="2"/>
            <w:tcBorders>
              <w:right w:val="single" w:sz="8" w:space="0" w:color="auto"/>
            </w:tcBorders>
            <w:vAlign w:val="bottom"/>
          </w:tcPr>
          <w:p w:rsidR="00AC12B4" w:rsidRDefault="00C27636">
            <w:pPr>
              <w:spacing w:line="250" w:lineRule="exact"/>
              <w:ind w:right="10"/>
              <w:jc w:val="right"/>
              <w:rPr>
                <w:sz w:val="20"/>
                <w:szCs w:val="20"/>
              </w:rPr>
            </w:pPr>
            <w:r>
              <w:rPr>
                <w:rFonts w:ascii="Calibri" w:eastAsia="Calibri" w:hAnsi="Calibri" w:cs="Calibri"/>
                <w:b/>
                <w:bCs/>
                <w:w w:val="98"/>
              </w:rPr>
              <w:t>regroupement</w:t>
            </w:r>
          </w:p>
        </w:tc>
        <w:tc>
          <w:tcPr>
            <w:tcW w:w="520" w:type="dxa"/>
            <w:vAlign w:val="bottom"/>
          </w:tcPr>
          <w:p w:rsidR="00AC12B4" w:rsidRDefault="00AC12B4">
            <w:pPr>
              <w:rPr>
                <w:sz w:val="21"/>
                <w:szCs w:val="21"/>
              </w:rPr>
            </w:pPr>
          </w:p>
        </w:tc>
        <w:tc>
          <w:tcPr>
            <w:tcW w:w="120" w:type="dxa"/>
            <w:tcBorders>
              <w:right w:val="single" w:sz="8" w:space="0" w:color="auto"/>
            </w:tcBorders>
            <w:vAlign w:val="bottom"/>
          </w:tcPr>
          <w:p w:rsidR="00AC12B4" w:rsidRDefault="00AC12B4">
            <w:pPr>
              <w:rPr>
                <w:sz w:val="21"/>
                <w:szCs w:val="21"/>
              </w:rPr>
            </w:pPr>
          </w:p>
        </w:tc>
        <w:tc>
          <w:tcPr>
            <w:tcW w:w="0" w:type="dxa"/>
            <w:vAlign w:val="bottom"/>
          </w:tcPr>
          <w:p w:rsidR="00AC12B4" w:rsidRDefault="00AC12B4">
            <w:pPr>
              <w:rPr>
                <w:sz w:val="1"/>
                <w:szCs w:val="1"/>
              </w:rPr>
            </w:pPr>
          </w:p>
        </w:tc>
      </w:tr>
      <w:tr w:rsidR="00AC12B4">
        <w:trPr>
          <w:trHeight w:val="269"/>
        </w:trPr>
        <w:tc>
          <w:tcPr>
            <w:tcW w:w="3680" w:type="dxa"/>
            <w:gridSpan w:val="5"/>
            <w:tcBorders>
              <w:left w:val="single" w:sz="8" w:space="0" w:color="auto"/>
              <w:right w:val="single" w:sz="8" w:space="0" w:color="auto"/>
            </w:tcBorders>
            <w:vAlign w:val="bottom"/>
          </w:tcPr>
          <w:p w:rsidR="00AC12B4" w:rsidRPr="00C27636" w:rsidRDefault="00C27636">
            <w:pPr>
              <w:ind w:left="120"/>
              <w:rPr>
                <w:sz w:val="20"/>
                <w:szCs w:val="20"/>
                <w:lang w:val="fr-BE"/>
              </w:rPr>
            </w:pPr>
            <w:r w:rsidRPr="00C27636">
              <w:rPr>
                <w:rFonts w:ascii="Calibri" w:eastAsia="Calibri" w:hAnsi="Calibri" w:cs="Calibri"/>
                <w:b/>
                <w:bCs/>
                <w:lang w:val="fr-BE"/>
              </w:rPr>
              <w:t xml:space="preserve">familial </w:t>
            </w:r>
            <w:r w:rsidRPr="00C27636">
              <w:rPr>
                <w:rFonts w:ascii="Calibri" w:eastAsia="Calibri" w:hAnsi="Calibri" w:cs="Calibri"/>
                <w:lang w:val="fr-BE"/>
              </w:rPr>
              <w:t>» ou retour au pays d’origine</w:t>
            </w:r>
          </w:p>
        </w:tc>
        <w:tc>
          <w:tcPr>
            <w:tcW w:w="520" w:type="dxa"/>
            <w:vMerge w:val="restart"/>
            <w:vAlign w:val="bottom"/>
          </w:tcPr>
          <w:p w:rsidR="00AC12B4" w:rsidRDefault="00C27636">
            <w:pPr>
              <w:ind w:left="100"/>
              <w:rPr>
                <w:sz w:val="20"/>
                <w:szCs w:val="20"/>
              </w:rPr>
            </w:pPr>
            <w:r>
              <w:rPr>
                <w:rFonts w:ascii="Calibri" w:eastAsia="Calibri" w:hAnsi="Calibri" w:cs="Calibri"/>
                <w:sz w:val="24"/>
                <w:szCs w:val="24"/>
              </w:rPr>
              <w:t>89</w:t>
            </w:r>
          </w:p>
        </w:tc>
        <w:tc>
          <w:tcPr>
            <w:tcW w:w="120" w:type="dxa"/>
            <w:tcBorders>
              <w:right w:val="single" w:sz="8" w:space="0" w:color="auto"/>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rsidRPr="00C27636">
        <w:trPr>
          <w:trHeight w:val="269"/>
        </w:trPr>
        <w:tc>
          <w:tcPr>
            <w:tcW w:w="3680" w:type="dxa"/>
            <w:gridSpan w:val="5"/>
            <w:tcBorders>
              <w:left w:val="single" w:sz="8" w:space="0" w:color="auto"/>
              <w:right w:val="single" w:sz="8" w:space="0" w:color="auto"/>
            </w:tcBorders>
            <w:vAlign w:val="bottom"/>
          </w:tcPr>
          <w:p w:rsidR="00AC12B4" w:rsidRPr="00C27636" w:rsidRDefault="00C27636">
            <w:pPr>
              <w:ind w:left="120"/>
              <w:rPr>
                <w:sz w:val="20"/>
                <w:szCs w:val="20"/>
                <w:lang w:val="fr-BE"/>
              </w:rPr>
            </w:pPr>
            <w:r w:rsidRPr="00C27636">
              <w:rPr>
                <w:rFonts w:ascii="Calibri" w:eastAsia="Calibri" w:hAnsi="Calibri" w:cs="Calibri"/>
                <w:lang w:val="fr-BE"/>
              </w:rPr>
              <w:t>à la suite d’une décision d’ordre de</w:t>
            </w:r>
          </w:p>
        </w:tc>
        <w:tc>
          <w:tcPr>
            <w:tcW w:w="520" w:type="dxa"/>
            <w:vMerge/>
            <w:vAlign w:val="bottom"/>
          </w:tcPr>
          <w:p w:rsidR="00AC12B4" w:rsidRPr="00C27636" w:rsidRDefault="00AC12B4">
            <w:pPr>
              <w:rPr>
                <w:sz w:val="23"/>
                <w:szCs w:val="23"/>
                <w:lang w:val="fr-BE"/>
              </w:rPr>
            </w:pPr>
          </w:p>
        </w:tc>
        <w:tc>
          <w:tcPr>
            <w:tcW w:w="120" w:type="dxa"/>
            <w:tcBorders>
              <w:right w:val="single" w:sz="8" w:space="0" w:color="auto"/>
            </w:tcBorders>
            <w:vAlign w:val="bottom"/>
          </w:tcPr>
          <w:p w:rsidR="00AC12B4" w:rsidRPr="00C27636" w:rsidRDefault="00AC12B4">
            <w:pPr>
              <w:rPr>
                <w:sz w:val="23"/>
                <w:szCs w:val="23"/>
                <w:lang w:val="fr-BE"/>
              </w:rPr>
            </w:pPr>
          </w:p>
        </w:tc>
        <w:tc>
          <w:tcPr>
            <w:tcW w:w="0" w:type="dxa"/>
            <w:vAlign w:val="bottom"/>
          </w:tcPr>
          <w:p w:rsidR="00AC12B4" w:rsidRPr="00C27636" w:rsidRDefault="00AC12B4">
            <w:pPr>
              <w:rPr>
                <w:sz w:val="1"/>
                <w:szCs w:val="1"/>
                <w:lang w:val="fr-BE"/>
              </w:rPr>
            </w:pPr>
          </w:p>
        </w:tc>
      </w:tr>
      <w:tr w:rsidR="00AC12B4">
        <w:trPr>
          <w:trHeight w:val="266"/>
        </w:trPr>
        <w:tc>
          <w:tcPr>
            <w:tcW w:w="1900" w:type="dxa"/>
            <w:gridSpan w:val="2"/>
            <w:tcBorders>
              <w:left w:val="single" w:sz="8" w:space="0" w:color="auto"/>
            </w:tcBorders>
            <w:vAlign w:val="bottom"/>
          </w:tcPr>
          <w:p w:rsidR="00AC12B4" w:rsidRDefault="00C27636">
            <w:pPr>
              <w:spacing w:line="267" w:lineRule="exact"/>
              <w:ind w:left="120"/>
              <w:rPr>
                <w:sz w:val="20"/>
                <w:szCs w:val="20"/>
              </w:rPr>
            </w:pPr>
            <w:r>
              <w:rPr>
                <w:rFonts w:ascii="Calibri" w:eastAsia="Calibri" w:hAnsi="Calibri" w:cs="Calibri"/>
              </w:rPr>
              <w:t>reconduire l’enfant</w:t>
            </w:r>
          </w:p>
        </w:tc>
        <w:tc>
          <w:tcPr>
            <w:tcW w:w="340" w:type="dxa"/>
            <w:vAlign w:val="bottom"/>
          </w:tcPr>
          <w:p w:rsidR="00AC12B4" w:rsidRDefault="00AC12B4">
            <w:pPr>
              <w:rPr>
                <w:sz w:val="23"/>
                <w:szCs w:val="23"/>
              </w:rPr>
            </w:pPr>
          </w:p>
        </w:tc>
        <w:tc>
          <w:tcPr>
            <w:tcW w:w="1060" w:type="dxa"/>
            <w:vAlign w:val="bottom"/>
          </w:tcPr>
          <w:p w:rsidR="00AC12B4" w:rsidRDefault="00AC12B4">
            <w:pPr>
              <w:rPr>
                <w:sz w:val="23"/>
                <w:szCs w:val="23"/>
              </w:rPr>
            </w:pPr>
          </w:p>
        </w:tc>
        <w:tc>
          <w:tcPr>
            <w:tcW w:w="380" w:type="dxa"/>
            <w:tcBorders>
              <w:right w:val="single" w:sz="8" w:space="0" w:color="auto"/>
            </w:tcBorders>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120" w:type="dxa"/>
            <w:tcBorders>
              <w:right w:val="single" w:sz="8" w:space="0" w:color="auto"/>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28"/>
        </w:trPr>
        <w:tc>
          <w:tcPr>
            <w:tcW w:w="3680" w:type="dxa"/>
            <w:gridSpan w:val="5"/>
            <w:tcBorders>
              <w:left w:val="single" w:sz="8" w:space="0" w:color="auto"/>
              <w:bottom w:val="single" w:sz="8" w:space="0" w:color="auto"/>
              <w:right w:val="single" w:sz="8" w:space="0" w:color="auto"/>
            </w:tcBorders>
            <w:vAlign w:val="bottom"/>
          </w:tcPr>
          <w:p w:rsidR="00AC12B4" w:rsidRDefault="00AC12B4">
            <w:pPr>
              <w:rPr>
                <w:sz w:val="11"/>
                <w:szCs w:val="11"/>
              </w:rPr>
            </w:pPr>
          </w:p>
        </w:tc>
        <w:tc>
          <w:tcPr>
            <w:tcW w:w="520" w:type="dxa"/>
            <w:tcBorders>
              <w:bottom w:val="single" w:sz="8" w:space="0" w:color="auto"/>
            </w:tcBorders>
            <w:vAlign w:val="bottom"/>
          </w:tcPr>
          <w:p w:rsidR="00AC12B4" w:rsidRDefault="00AC12B4">
            <w:pPr>
              <w:rPr>
                <w:sz w:val="11"/>
                <w:szCs w:val="11"/>
              </w:rPr>
            </w:pPr>
          </w:p>
        </w:tc>
        <w:tc>
          <w:tcPr>
            <w:tcW w:w="120" w:type="dxa"/>
            <w:tcBorders>
              <w:bottom w:val="single" w:sz="8" w:space="0" w:color="auto"/>
              <w:right w:val="single" w:sz="8" w:space="0" w:color="auto"/>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252"/>
        </w:trPr>
        <w:tc>
          <w:tcPr>
            <w:tcW w:w="3680" w:type="dxa"/>
            <w:gridSpan w:val="5"/>
            <w:tcBorders>
              <w:left w:val="single" w:sz="8" w:space="0" w:color="auto"/>
              <w:right w:val="single" w:sz="8" w:space="0" w:color="auto"/>
            </w:tcBorders>
            <w:vAlign w:val="bottom"/>
          </w:tcPr>
          <w:p w:rsidR="00AC12B4" w:rsidRPr="00C27636" w:rsidRDefault="00C27636">
            <w:pPr>
              <w:spacing w:line="252" w:lineRule="exact"/>
              <w:ind w:left="120"/>
              <w:rPr>
                <w:sz w:val="20"/>
                <w:szCs w:val="20"/>
                <w:lang w:val="fr-BE"/>
              </w:rPr>
            </w:pPr>
            <w:r w:rsidRPr="00C27636">
              <w:rPr>
                <w:rFonts w:ascii="Calibri" w:eastAsia="Calibri" w:hAnsi="Calibri" w:cs="Calibri"/>
                <w:b/>
                <w:bCs/>
                <w:lang w:val="fr-BE"/>
              </w:rPr>
              <w:t xml:space="preserve">Solution  durable  à  l’examen  </w:t>
            </w:r>
            <w:r w:rsidRPr="00C27636">
              <w:rPr>
                <w:rFonts w:ascii="Calibri" w:eastAsia="Calibri" w:hAnsi="Calibri" w:cs="Calibri"/>
                <w:lang w:val="fr-BE"/>
              </w:rPr>
              <w:t>ou</w:t>
            </w:r>
          </w:p>
        </w:tc>
        <w:tc>
          <w:tcPr>
            <w:tcW w:w="520" w:type="dxa"/>
            <w:vAlign w:val="bottom"/>
          </w:tcPr>
          <w:p w:rsidR="00AC12B4" w:rsidRPr="00C27636" w:rsidRDefault="00AC12B4">
            <w:pPr>
              <w:rPr>
                <w:sz w:val="21"/>
                <w:szCs w:val="21"/>
                <w:lang w:val="fr-BE"/>
              </w:rPr>
            </w:pPr>
          </w:p>
        </w:tc>
        <w:tc>
          <w:tcPr>
            <w:tcW w:w="120" w:type="dxa"/>
            <w:tcBorders>
              <w:right w:val="single" w:sz="8" w:space="0" w:color="auto"/>
            </w:tcBorders>
            <w:vAlign w:val="bottom"/>
          </w:tcPr>
          <w:p w:rsidR="00AC12B4" w:rsidRPr="00C27636" w:rsidRDefault="00AC12B4">
            <w:pPr>
              <w:rPr>
                <w:sz w:val="21"/>
                <w:szCs w:val="21"/>
                <w:lang w:val="fr-BE"/>
              </w:rPr>
            </w:pPr>
          </w:p>
        </w:tc>
        <w:tc>
          <w:tcPr>
            <w:tcW w:w="0" w:type="dxa"/>
            <w:vAlign w:val="bottom"/>
          </w:tcPr>
          <w:p w:rsidR="00AC12B4" w:rsidRPr="00C27636" w:rsidRDefault="00AC12B4">
            <w:pPr>
              <w:rPr>
                <w:sz w:val="1"/>
                <w:szCs w:val="1"/>
                <w:lang w:val="fr-BE"/>
              </w:rPr>
            </w:pPr>
          </w:p>
        </w:tc>
      </w:tr>
      <w:tr w:rsidR="00AC12B4">
        <w:trPr>
          <w:trHeight w:val="266"/>
        </w:trPr>
        <w:tc>
          <w:tcPr>
            <w:tcW w:w="1900" w:type="dxa"/>
            <w:gridSpan w:val="2"/>
            <w:tcBorders>
              <w:left w:val="single" w:sz="8" w:space="0" w:color="auto"/>
            </w:tcBorders>
            <w:vAlign w:val="bottom"/>
          </w:tcPr>
          <w:p w:rsidR="00AC12B4" w:rsidRDefault="00C27636">
            <w:pPr>
              <w:spacing w:line="267" w:lineRule="exact"/>
              <w:ind w:left="120"/>
              <w:rPr>
                <w:sz w:val="20"/>
                <w:szCs w:val="20"/>
              </w:rPr>
            </w:pPr>
            <w:r>
              <w:rPr>
                <w:rFonts w:ascii="Calibri" w:eastAsia="Calibri" w:hAnsi="Calibri" w:cs="Calibri"/>
              </w:rPr>
              <w:t>accord attestation</w:t>
            </w:r>
          </w:p>
        </w:tc>
        <w:tc>
          <w:tcPr>
            <w:tcW w:w="1780" w:type="dxa"/>
            <w:gridSpan w:val="3"/>
            <w:tcBorders>
              <w:right w:val="single" w:sz="8" w:space="0" w:color="auto"/>
            </w:tcBorders>
            <w:vAlign w:val="bottom"/>
          </w:tcPr>
          <w:p w:rsidR="00AC12B4" w:rsidRDefault="00C27636">
            <w:pPr>
              <w:spacing w:line="267" w:lineRule="exact"/>
              <w:ind w:right="10"/>
              <w:jc w:val="right"/>
              <w:rPr>
                <w:sz w:val="20"/>
                <w:szCs w:val="20"/>
              </w:rPr>
            </w:pPr>
            <w:r>
              <w:rPr>
                <w:rFonts w:ascii="Calibri" w:eastAsia="Calibri" w:hAnsi="Calibri" w:cs="Calibri"/>
              </w:rPr>
              <w:t>d’immatriculation</w:t>
            </w:r>
          </w:p>
        </w:tc>
        <w:tc>
          <w:tcPr>
            <w:tcW w:w="520" w:type="dxa"/>
            <w:vMerge w:val="restart"/>
            <w:vAlign w:val="bottom"/>
          </w:tcPr>
          <w:p w:rsidR="00AC12B4" w:rsidRDefault="00C27636">
            <w:pPr>
              <w:ind w:left="100"/>
              <w:rPr>
                <w:sz w:val="20"/>
                <w:szCs w:val="20"/>
              </w:rPr>
            </w:pPr>
            <w:r>
              <w:rPr>
                <w:rFonts w:ascii="Calibri" w:eastAsia="Calibri" w:hAnsi="Calibri" w:cs="Calibri"/>
                <w:sz w:val="24"/>
                <w:szCs w:val="24"/>
              </w:rPr>
              <w:t>258</w:t>
            </w:r>
          </w:p>
        </w:tc>
        <w:tc>
          <w:tcPr>
            <w:tcW w:w="120" w:type="dxa"/>
            <w:tcBorders>
              <w:right w:val="single" w:sz="8" w:space="0" w:color="auto"/>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900" w:type="dxa"/>
            <w:gridSpan w:val="2"/>
            <w:tcBorders>
              <w:left w:val="single" w:sz="8" w:space="0" w:color="auto"/>
            </w:tcBorders>
            <w:vAlign w:val="bottom"/>
          </w:tcPr>
          <w:p w:rsidR="00AC12B4" w:rsidRDefault="00C27636">
            <w:pPr>
              <w:ind w:left="120"/>
              <w:rPr>
                <w:sz w:val="20"/>
                <w:szCs w:val="20"/>
              </w:rPr>
            </w:pPr>
            <w:r>
              <w:rPr>
                <w:rFonts w:ascii="Calibri" w:eastAsia="Calibri" w:hAnsi="Calibri" w:cs="Calibri"/>
              </w:rPr>
              <w:t>ou  prolongation</w:t>
            </w:r>
          </w:p>
        </w:tc>
        <w:tc>
          <w:tcPr>
            <w:tcW w:w="340" w:type="dxa"/>
            <w:vAlign w:val="bottom"/>
          </w:tcPr>
          <w:p w:rsidR="00AC12B4" w:rsidRDefault="00C27636">
            <w:pPr>
              <w:jc w:val="right"/>
              <w:rPr>
                <w:sz w:val="20"/>
                <w:szCs w:val="20"/>
              </w:rPr>
            </w:pPr>
            <w:r>
              <w:rPr>
                <w:rFonts w:ascii="Calibri" w:eastAsia="Calibri" w:hAnsi="Calibri" w:cs="Calibri"/>
              </w:rPr>
              <w:t>de</w:t>
            </w:r>
          </w:p>
        </w:tc>
        <w:tc>
          <w:tcPr>
            <w:tcW w:w="1440" w:type="dxa"/>
            <w:gridSpan w:val="2"/>
            <w:tcBorders>
              <w:right w:val="single" w:sz="8" w:space="0" w:color="auto"/>
            </w:tcBorders>
            <w:vAlign w:val="bottom"/>
          </w:tcPr>
          <w:p w:rsidR="00AC12B4" w:rsidRDefault="00C27636">
            <w:pPr>
              <w:ind w:right="10"/>
              <w:jc w:val="right"/>
              <w:rPr>
                <w:sz w:val="20"/>
                <w:szCs w:val="20"/>
              </w:rPr>
            </w:pPr>
            <w:r>
              <w:rPr>
                <w:rFonts w:ascii="Calibri" w:eastAsia="Calibri" w:hAnsi="Calibri" w:cs="Calibri"/>
              </w:rPr>
              <w:t>l’attestation</w:t>
            </w:r>
          </w:p>
        </w:tc>
        <w:tc>
          <w:tcPr>
            <w:tcW w:w="520" w:type="dxa"/>
            <w:vMerge/>
            <w:vAlign w:val="bottom"/>
          </w:tcPr>
          <w:p w:rsidR="00AC12B4" w:rsidRDefault="00AC12B4">
            <w:pPr>
              <w:rPr>
                <w:sz w:val="23"/>
                <w:szCs w:val="23"/>
              </w:rPr>
            </w:pPr>
          </w:p>
        </w:tc>
        <w:tc>
          <w:tcPr>
            <w:tcW w:w="120" w:type="dxa"/>
            <w:tcBorders>
              <w:right w:val="single" w:sz="8" w:space="0" w:color="auto"/>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269"/>
        </w:trPr>
        <w:tc>
          <w:tcPr>
            <w:tcW w:w="1720" w:type="dxa"/>
            <w:tcBorders>
              <w:left w:val="single" w:sz="8" w:space="0" w:color="auto"/>
            </w:tcBorders>
            <w:vAlign w:val="bottom"/>
          </w:tcPr>
          <w:p w:rsidR="00AC12B4" w:rsidRDefault="00C27636">
            <w:pPr>
              <w:ind w:left="120"/>
              <w:rPr>
                <w:sz w:val="20"/>
                <w:szCs w:val="20"/>
              </w:rPr>
            </w:pPr>
            <w:r>
              <w:rPr>
                <w:rFonts w:ascii="Calibri" w:eastAsia="Calibri" w:hAnsi="Calibri" w:cs="Calibri"/>
                <w:w w:val="98"/>
              </w:rPr>
              <w:t>d’immatriculation</w:t>
            </w:r>
          </w:p>
        </w:tc>
        <w:tc>
          <w:tcPr>
            <w:tcW w:w="180" w:type="dxa"/>
            <w:vAlign w:val="bottom"/>
          </w:tcPr>
          <w:p w:rsidR="00AC12B4" w:rsidRDefault="00AC12B4">
            <w:pPr>
              <w:rPr>
                <w:sz w:val="23"/>
                <w:szCs w:val="23"/>
              </w:rPr>
            </w:pPr>
          </w:p>
        </w:tc>
        <w:tc>
          <w:tcPr>
            <w:tcW w:w="340" w:type="dxa"/>
            <w:vAlign w:val="bottom"/>
          </w:tcPr>
          <w:p w:rsidR="00AC12B4" w:rsidRDefault="00AC12B4">
            <w:pPr>
              <w:rPr>
                <w:sz w:val="23"/>
                <w:szCs w:val="23"/>
              </w:rPr>
            </w:pPr>
          </w:p>
        </w:tc>
        <w:tc>
          <w:tcPr>
            <w:tcW w:w="1060" w:type="dxa"/>
            <w:vAlign w:val="bottom"/>
          </w:tcPr>
          <w:p w:rsidR="00AC12B4" w:rsidRDefault="00AC12B4">
            <w:pPr>
              <w:rPr>
                <w:sz w:val="23"/>
                <w:szCs w:val="23"/>
              </w:rPr>
            </w:pPr>
          </w:p>
        </w:tc>
        <w:tc>
          <w:tcPr>
            <w:tcW w:w="380" w:type="dxa"/>
            <w:tcBorders>
              <w:right w:val="single" w:sz="8" w:space="0" w:color="auto"/>
            </w:tcBorders>
            <w:vAlign w:val="bottom"/>
          </w:tcPr>
          <w:p w:rsidR="00AC12B4" w:rsidRDefault="00AC12B4">
            <w:pPr>
              <w:rPr>
                <w:sz w:val="23"/>
                <w:szCs w:val="23"/>
              </w:rPr>
            </w:pPr>
          </w:p>
        </w:tc>
        <w:tc>
          <w:tcPr>
            <w:tcW w:w="520" w:type="dxa"/>
            <w:vAlign w:val="bottom"/>
          </w:tcPr>
          <w:p w:rsidR="00AC12B4" w:rsidRDefault="00AC12B4">
            <w:pPr>
              <w:rPr>
                <w:sz w:val="23"/>
                <w:szCs w:val="23"/>
              </w:rPr>
            </w:pPr>
          </w:p>
        </w:tc>
        <w:tc>
          <w:tcPr>
            <w:tcW w:w="120" w:type="dxa"/>
            <w:tcBorders>
              <w:right w:val="single" w:sz="8" w:space="0" w:color="auto"/>
            </w:tcBorders>
            <w:vAlign w:val="bottom"/>
          </w:tcPr>
          <w:p w:rsidR="00AC12B4" w:rsidRDefault="00AC12B4">
            <w:pPr>
              <w:rPr>
                <w:sz w:val="23"/>
                <w:szCs w:val="23"/>
              </w:rPr>
            </w:pPr>
          </w:p>
        </w:tc>
        <w:tc>
          <w:tcPr>
            <w:tcW w:w="0" w:type="dxa"/>
            <w:vAlign w:val="bottom"/>
          </w:tcPr>
          <w:p w:rsidR="00AC12B4" w:rsidRDefault="00AC12B4">
            <w:pPr>
              <w:rPr>
                <w:sz w:val="1"/>
                <w:szCs w:val="1"/>
              </w:rPr>
            </w:pPr>
          </w:p>
        </w:tc>
      </w:tr>
      <w:tr w:rsidR="00AC12B4">
        <w:trPr>
          <w:trHeight w:val="128"/>
        </w:trPr>
        <w:tc>
          <w:tcPr>
            <w:tcW w:w="3680" w:type="dxa"/>
            <w:gridSpan w:val="5"/>
            <w:tcBorders>
              <w:left w:val="single" w:sz="8" w:space="0" w:color="auto"/>
              <w:bottom w:val="single" w:sz="8" w:space="0" w:color="auto"/>
              <w:right w:val="single" w:sz="8" w:space="0" w:color="auto"/>
            </w:tcBorders>
            <w:vAlign w:val="bottom"/>
          </w:tcPr>
          <w:p w:rsidR="00AC12B4" w:rsidRDefault="00AC12B4">
            <w:pPr>
              <w:rPr>
                <w:sz w:val="11"/>
                <w:szCs w:val="11"/>
              </w:rPr>
            </w:pPr>
          </w:p>
        </w:tc>
        <w:tc>
          <w:tcPr>
            <w:tcW w:w="520" w:type="dxa"/>
            <w:tcBorders>
              <w:bottom w:val="single" w:sz="8" w:space="0" w:color="auto"/>
            </w:tcBorders>
            <w:vAlign w:val="bottom"/>
          </w:tcPr>
          <w:p w:rsidR="00AC12B4" w:rsidRDefault="00AC12B4">
            <w:pPr>
              <w:rPr>
                <w:sz w:val="11"/>
                <w:szCs w:val="11"/>
              </w:rPr>
            </w:pPr>
          </w:p>
        </w:tc>
        <w:tc>
          <w:tcPr>
            <w:tcW w:w="120" w:type="dxa"/>
            <w:tcBorders>
              <w:bottom w:val="single" w:sz="8" w:space="0" w:color="auto"/>
              <w:right w:val="single" w:sz="8" w:space="0" w:color="auto"/>
            </w:tcBorders>
            <w:vAlign w:val="bottom"/>
          </w:tcPr>
          <w:p w:rsidR="00AC12B4" w:rsidRDefault="00AC12B4">
            <w:pPr>
              <w:rPr>
                <w:sz w:val="11"/>
                <w:szCs w:val="11"/>
              </w:rPr>
            </w:pPr>
          </w:p>
        </w:tc>
        <w:tc>
          <w:tcPr>
            <w:tcW w:w="0" w:type="dxa"/>
            <w:vAlign w:val="bottom"/>
          </w:tcPr>
          <w:p w:rsidR="00AC12B4" w:rsidRDefault="00AC12B4">
            <w:pPr>
              <w:rPr>
                <w:sz w:val="1"/>
                <w:szCs w:val="1"/>
              </w:rPr>
            </w:pPr>
          </w:p>
        </w:tc>
      </w:tr>
      <w:tr w:rsidR="00AC12B4" w:rsidRPr="00C27636">
        <w:trPr>
          <w:trHeight w:val="250"/>
        </w:trPr>
        <w:tc>
          <w:tcPr>
            <w:tcW w:w="3680" w:type="dxa"/>
            <w:gridSpan w:val="5"/>
            <w:tcBorders>
              <w:left w:val="single" w:sz="8" w:space="0" w:color="auto"/>
              <w:right w:val="single" w:sz="8" w:space="0" w:color="auto"/>
            </w:tcBorders>
            <w:vAlign w:val="bottom"/>
          </w:tcPr>
          <w:p w:rsidR="00AC12B4" w:rsidRPr="00C27636" w:rsidRDefault="00C27636">
            <w:pPr>
              <w:spacing w:line="250" w:lineRule="exact"/>
              <w:ind w:left="120"/>
              <w:rPr>
                <w:sz w:val="20"/>
                <w:szCs w:val="20"/>
                <w:lang w:val="fr-BE"/>
              </w:rPr>
            </w:pPr>
            <w:r w:rsidRPr="00C27636">
              <w:rPr>
                <w:rFonts w:ascii="Calibri" w:eastAsia="Calibri" w:hAnsi="Calibri" w:cs="Calibri"/>
                <w:b/>
                <w:bCs/>
                <w:lang w:val="fr-BE"/>
              </w:rPr>
              <w:t>Solution durable « séjour en Belgique</w:t>
            </w:r>
          </w:p>
        </w:tc>
        <w:tc>
          <w:tcPr>
            <w:tcW w:w="520" w:type="dxa"/>
            <w:vAlign w:val="bottom"/>
          </w:tcPr>
          <w:p w:rsidR="00AC12B4" w:rsidRPr="00C27636" w:rsidRDefault="00AC12B4">
            <w:pPr>
              <w:rPr>
                <w:sz w:val="21"/>
                <w:szCs w:val="21"/>
                <w:lang w:val="fr-BE"/>
              </w:rPr>
            </w:pPr>
          </w:p>
        </w:tc>
        <w:tc>
          <w:tcPr>
            <w:tcW w:w="120" w:type="dxa"/>
            <w:tcBorders>
              <w:right w:val="single" w:sz="8" w:space="0" w:color="auto"/>
            </w:tcBorders>
            <w:vAlign w:val="bottom"/>
          </w:tcPr>
          <w:p w:rsidR="00AC12B4" w:rsidRPr="00C27636" w:rsidRDefault="00AC12B4">
            <w:pPr>
              <w:rPr>
                <w:sz w:val="21"/>
                <w:szCs w:val="21"/>
                <w:lang w:val="fr-BE"/>
              </w:rPr>
            </w:pPr>
          </w:p>
        </w:tc>
        <w:tc>
          <w:tcPr>
            <w:tcW w:w="0" w:type="dxa"/>
            <w:vAlign w:val="bottom"/>
          </w:tcPr>
          <w:p w:rsidR="00AC12B4" w:rsidRPr="00C27636" w:rsidRDefault="00AC12B4">
            <w:pPr>
              <w:rPr>
                <w:sz w:val="1"/>
                <w:szCs w:val="1"/>
                <w:lang w:val="fr-BE"/>
              </w:rPr>
            </w:pPr>
          </w:p>
        </w:tc>
      </w:tr>
      <w:tr w:rsidR="00AC12B4">
        <w:trPr>
          <w:trHeight w:val="284"/>
        </w:trPr>
        <w:tc>
          <w:tcPr>
            <w:tcW w:w="3680" w:type="dxa"/>
            <w:gridSpan w:val="5"/>
            <w:tcBorders>
              <w:left w:val="single" w:sz="8" w:space="0" w:color="auto"/>
              <w:right w:val="single" w:sz="8" w:space="0" w:color="auto"/>
            </w:tcBorders>
            <w:vAlign w:val="bottom"/>
          </w:tcPr>
          <w:p w:rsidR="00AC12B4" w:rsidRPr="00C27636" w:rsidRDefault="00C27636">
            <w:pPr>
              <w:ind w:left="120"/>
              <w:rPr>
                <w:sz w:val="20"/>
                <w:szCs w:val="20"/>
                <w:lang w:val="fr-BE"/>
              </w:rPr>
            </w:pPr>
            <w:r w:rsidRPr="00C27636">
              <w:rPr>
                <w:rFonts w:ascii="Calibri" w:eastAsia="Calibri" w:hAnsi="Calibri" w:cs="Calibri"/>
                <w:b/>
                <w:bCs/>
                <w:lang w:val="fr-BE"/>
              </w:rPr>
              <w:t xml:space="preserve">»  </w:t>
            </w:r>
            <w:r w:rsidRPr="00C27636">
              <w:rPr>
                <w:rFonts w:ascii="Calibri" w:eastAsia="Calibri" w:hAnsi="Calibri" w:cs="Calibri"/>
                <w:lang w:val="fr-BE"/>
              </w:rPr>
              <w:t>ou  accord  carte  A/prolongation</w:t>
            </w:r>
          </w:p>
        </w:tc>
        <w:tc>
          <w:tcPr>
            <w:tcW w:w="520" w:type="dxa"/>
            <w:vAlign w:val="bottom"/>
          </w:tcPr>
          <w:p w:rsidR="00AC12B4" w:rsidRDefault="00C27636">
            <w:pPr>
              <w:spacing w:line="284" w:lineRule="exact"/>
              <w:ind w:left="100"/>
              <w:rPr>
                <w:sz w:val="20"/>
                <w:szCs w:val="20"/>
              </w:rPr>
            </w:pPr>
            <w:r>
              <w:rPr>
                <w:rFonts w:ascii="Calibri" w:eastAsia="Calibri" w:hAnsi="Calibri" w:cs="Calibri"/>
                <w:sz w:val="24"/>
                <w:szCs w:val="24"/>
              </w:rPr>
              <w:t>152</w:t>
            </w:r>
          </w:p>
        </w:tc>
        <w:tc>
          <w:tcPr>
            <w:tcW w:w="120" w:type="dxa"/>
            <w:tcBorders>
              <w:right w:val="single" w:sz="8" w:space="0" w:color="auto"/>
            </w:tcBorders>
            <w:vAlign w:val="bottom"/>
          </w:tcPr>
          <w:p w:rsidR="00AC12B4" w:rsidRDefault="00AC12B4">
            <w:pPr>
              <w:rPr>
                <w:sz w:val="24"/>
                <w:szCs w:val="24"/>
              </w:rPr>
            </w:pPr>
          </w:p>
        </w:tc>
        <w:tc>
          <w:tcPr>
            <w:tcW w:w="0" w:type="dxa"/>
            <w:vAlign w:val="bottom"/>
          </w:tcPr>
          <w:p w:rsidR="00AC12B4" w:rsidRDefault="00AC12B4">
            <w:pPr>
              <w:rPr>
                <w:sz w:val="1"/>
                <w:szCs w:val="1"/>
              </w:rPr>
            </w:pPr>
          </w:p>
        </w:tc>
      </w:tr>
      <w:tr w:rsidR="00AC12B4">
        <w:trPr>
          <w:trHeight w:val="253"/>
        </w:trPr>
        <w:tc>
          <w:tcPr>
            <w:tcW w:w="1720" w:type="dxa"/>
            <w:tcBorders>
              <w:left w:val="single" w:sz="8" w:space="0" w:color="auto"/>
            </w:tcBorders>
            <w:vAlign w:val="bottom"/>
          </w:tcPr>
          <w:p w:rsidR="00AC12B4" w:rsidRDefault="00C27636">
            <w:pPr>
              <w:spacing w:line="253" w:lineRule="exact"/>
              <w:ind w:left="120"/>
              <w:rPr>
                <w:sz w:val="20"/>
                <w:szCs w:val="20"/>
              </w:rPr>
            </w:pPr>
            <w:r>
              <w:rPr>
                <w:rFonts w:ascii="Calibri" w:eastAsia="Calibri" w:hAnsi="Calibri" w:cs="Calibri"/>
              </w:rPr>
              <w:t>carte A / carte B</w:t>
            </w:r>
          </w:p>
        </w:tc>
        <w:tc>
          <w:tcPr>
            <w:tcW w:w="180" w:type="dxa"/>
            <w:vAlign w:val="bottom"/>
          </w:tcPr>
          <w:p w:rsidR="00AC12B4" w:rsidRDefault="00AC12B4"/>
        </w:tc>
        <w:tc>
          <w:tcPr>
            <w:tcW w:w="340" w:type="dxa"/>
            <w:vAlign w:val="bottom"/>
          </w:tcPr>
          <w:p w:rsidR="00AC12B4" w:rsidRDefault="00AC12B4"/>
        </w:tc>
        <w:tc>
          <w:tcPr>
            <w:tcW w:w="1060" w:type="dxa"/>
            <w:vAlign w:val="bottom"/>
          </w:tcPr>
          <w:p w:rsidR="00AC12B4" w:rsidRDefault="00AC12B4"/>
        </w:tc>
        <w:tc>
          <w:tcPr>
            <w:tcW w:w="380" w:type="dxa"/>
            <w:tcBorders>
              <w:right w:val="single" w:sz="8" w:space="0" w:color="auto"/>
            </w:tcBorders>
            <w:vAlign w:val="bottom"/>
          </w:tcPr>
          <w:p w:rsidR="00AC12B4" w:rsidRDefault="00AC12B4"/>
        </w:tc>
        <w:tc>
          <w:tcPr>
            <w:tcW w:w="520" w:type="dxa"/>
            <w:vAlign w:val="bottom"/>
          </w:tcPr>
          <w:p w:rsidR="00AC12B4" w:rsidRDefault="00AC12B4"/>
        </w:tc>
        <w:tc>
          <w:tcPr>
            <w:tcW w:w="120" w:type="dxa"/>
            <w:tcBorders>
              <w:right w:val="single" w:sz="8" w:space="0" w:color="auto"/>
            </w:tcBorders>
            <w:vAlign w:val="bottom"/>
          </w:tcPr>
          <w:p w:rsidR="00AC12B4" w:rsidRDefault="00AC12B4"/>
        </w:tc>
        <w:tc>
          <w:tcPr>
            <w:tcW w:w="0" w:type="dxa"/>
            <w:vAlign w:val="bottom"/>
          </w:tcPr>
          <w:p w:rsidR="00AC12B4" w:rsidRDefault="00AC12B4">
            <w:pPr>
              <w:rPr>
                <w:sz w:val="1"/>
                <w:szCs w:val="1"/>
              </w:rPr>
            </w:pPr>
          </w:p>
        </w:tc>
      </w:tr>
      <w:tr w:rsidR="00AC12B4">
        <w:trPr>
          <w:trHeight w:val="128"/>
        </w:trPr>
        <w:tc>
          <w:tcPr>
            <w:tcW w:w="1720" w:type="dxa"/>
            <w:tcBorders>
              <w:left w:val="single" w:sz="8" w:space="0" w:color="auto"/>
              <w:bottom w:val="single" w:sz="8" w:space="0" w:color="auto"/>
            </w:tcBorders>
            <w:vAlign w:val="bottom"/>
          </w:tcPr>
          <w:p w:rsidR="00AC12B4" w:rsidRDefault="00AC12B4">
            <w:pPr>
              <w:rPr>
                <w:sz w:val="11"/>
                <w:szCs w:val="11"/>
              </w:rPr>
            </w:pPr>
          </w:p>
        </w:tc>
        <w:tc>
          <w:tcPr>
            <w:tcW w:w="180" w:type="dxa"/>
            <w:tcBorders>
              <w:bottom w:val="single" w:sz="8" w:space="0" w:color="auto"/>
            </w:tcBorders>
            <w:vAlign w:val="bottom"/>
          </w:tcPr>
          <w:p w:rsidR="00AC12B4" w:rsidRDefault="00AC12B4">
            <w:pPr>
              <w:rPr>
                <w:sz w:val="11"/>
                <w:szCs w:val="11"/>
              </w:rPr>
            </w:pPr>
          </w:p>
        </w:tc>
        <w:tc>
          <w:tcPr>
            <w:tcW w:w="340" w:type="dxa"/>
            <w:tcBorders>
              <w:bottom w:val="single" w:sz="8" w:space="0" w:color="auto"/>
            </w:tcBorders>
            <w:vAlign w:val="bottom"/>
          </w:tcPr>
          <w:p w:rsidR="00AC12B4" w:rsidRDefault="00AC12B4">
            <w:pPr>
              <w:rPr>
                <w:sz w:val="11"/>
                <w:szCs w:val="11"/>
              </w:rPr>
            </w:pPr>
          </w:p>
        </w:tc>
        <w:tc>
          <w:tcPr>
            <w:tcW w:w="1060" w:type="dxa"/>
            <w:tcBorders>
              <w:bottom w:val="single" w:sz="8" w:space="0" w:color="auto"/>
            </w:tcBorders>
            <w:vAlign w:val="bottom"/>
          </w:tcPr>
          <w:p w:rsidR="00AC12B4" w:rsidRDefault="00AC12B4">
            <w:pPr>
              <w:rPr>
                <w:sz w:val="11"/>
                <w:szCs w:val="11"/>
              </w:rPr>
            </w:pPr>
          </w:p>
        </w:tc>
        <w:tc>
          <w:tcPr>
            <w:tcW w:w="380" w:type="dxa"/>
            <w:tcBorders>
              <w:bottom w:val="single" w:sz="8" w:space="0" w:color="auto"/>
              <w:right w:val="single" w:sz="8" w:space="0" w:color="auto"/>
            </w:tcBorders>
            <w:vAlign w:val="bottom"/>
          </w:tcPr>
          <w:p w:rsidR="00AC12B4" w:rsidRDefault="00AC12B4">
            <w:pPr>
              <w:rPr>
                <w:sz w:val="11"/>
                <w:szCs w:val="11"/>
              </w:rPr>
            </w:pPr>
          </w:p>
        </w:tc>
        <w:tc>
          <w:tcPr>
            <w:tcW w:w="520" w:type="dxa"/>
            <w:tcBorders>
              <w:bottom w:val="single" w:sz="8" w:space="0" w:color="auto"/>
            </w:tcBorders>
            <w:vAlign w:val="bottom"/>
          </w:tcPr>
          <w:p w:rsidR="00AC12B4" w:rsidRDefault="00AC12B4">
            <w:pPr>
              <w:rPr>
                <w:sz w:val="11"/>
                <w:szCs w:val="11"/>
              </w:rPr>
            </w:pPr>
          </w:p>
        </w:tc>
        <w:tc>
          <w:tcPr>
            <w:tcW w:w="120" w:type="dxa"/>
            <w:tcBorders>
              <w:bottom w:val="single" w:sz="8" w:space="0" w:color="auto"/>
              <w:right w:val="single" w:sz="8" w:space="0" w:color="auto"/>
            </w:tcBorders>
            <w:vAlign w:val="bottom"/>
          </w:tcPr>
          <w:p w:rsidR="00AC12B4" w:rsidRDefault="00AC12B4">
            <w:pPr>
              <w:rPr>
                <w:sz w:val="11"/>
                <w:szCs w:val="11"/>
              </w:rPr>
            </w:pPr>
          </w:p>
        </w:tc>
        <w:tc>
          <w:tcPr>
            <w:tcW w:w="0" w:type="dxa"/>
            <w:vAlign w:val="bottom"/>
          </w:tcPr>
          <w:p w:rsidR="00AC12B4" w:rsidRDefault="00AC12B4">
            <w:pPr>
              <w:rPr>
                <w:sz w:val="1"/>
                <w:szCs w:val="1"/>
              </w:rPr>
            </w:pPr>
          </w:p>
        </w:tc>
      </w:tr>
    </w:tbl>
    <w:p w:rsidR="00AC12B4" w:rsidRDefault="00C27636">
      <w:pPr>
        <w:spacing w:line="232" w:lineRule="auto"/>
        <w:ind w:left="120"/>
        <w:rPr>
          <w:sz w:val="20"/>
          <w:szCs w:val="20"/>
        </w:rPr>
      </w:pPr>
      <w:r>
        <w:rPr>
          <w:rFonts w:ascii="Calibri" w:eastAsia="Calibri" w:hAnsi="Calibri" w:cs="Calibri"/>
          <w:color w:val="4F81BD"/>
        </w:rPr>
        <w:t>Tableau 1. Décisions prises en 2013, OE</w:t>
      </w:r>
    </w:p>
    <w:p w:rsidR="00AC12B4" w:rsidRDefault="00AC12B4">
      <w:pPr>
        <w:spacing w:line="170" w:lineRule="exact"/>
        <w:rPr>
          <w:sz w:val="20"/>
          <w:szCs w:val="20"/>
        </w:rPr>
      </w:pPr>
    </w:p>
    <w:p w:rsidR="00AC12B4" w:rsidRPr="00C27636" w:rsidRDefault="00C27636">
      <w:pPr>
        <w:spacing w:line="233" w:lineRule="auto"/>
        <w:ind w:left="120" w:right="520"/>
        <w:jc w:val="both"/>
        <w:rPr>
          <w:sz w:val="20"/>
          <w:szCs w:val="20"/>
          <w:lang w:val="fr-BE"/>
        </w:rPr>
      </w:pPr>
      <w:r w:rsidRPr="00C27636">
        <w:rPr>
          <w:rFonts w:ascii="Calibri" w:eastAsia="Calibri" w:hAnsi="Calibri" w:cs="Calibri"/>
          <w:lang w:val="fr-BE"/>
        </w:rPr>
        <w:t>Depuis 2013, l’OE délivre systématiquement</w:t>
      </w:r>
      <w:r w:rsidRPr="00C27636">
        <w:rPr>
          <w:rFonts w:ascii="Calibri" w:eastAsia="Calibri" w:hAnsi="Calibri" w:cs="Calibri"/>
          <w:lang w:val="fr-BE"/>
        </w:rPr>
        <w:t xml:space="preserve"> des ordres de quitter le territoire (OQT) aux ex-MENA au moment où ils atteignent la majorité quand aucune solution durable n’a pu être trouvée. En 2013, ce fut le cas pour 64 ex-MENA (dont 51 garçons) sur un total de 563 décisions concernant des (ex-)MEN</w:t>
      </w:r>
      <w:r w:rsidRPr="00C27636">
        <w:rPr>
          <w:rFonts w:ascii="Calibri" w:eastAsia="Calibri" w:hAnsi="Calibri" w:cs="Calibri"/>
          <w:lang w:val="fr-BE"/>
        </w:rPr>
        <w:t>A (11,4%)</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Cette pratique systématique a été abandonnée en 2014. ‘Seuls’ 13 ex-MENA recevaient un OQT en 2014. En 2015 (chiffres janvier jusque novembre inclus), il s’agissait de 6 jeunes. Dans la pratique, ceci ne change guère la situation d’ex-MENA pour</w:t>
      </w:r>
      <w:r w:rsidRPr="00C27636">
        <w:rPr>
          <w:rFonts w:ascii="Calibri" w:eastAsia="Calibri" w:hAnsi="Calibri" w:cs="Calibri"/>
          <w:lang w:val="fr-BE"/>
        </w:rPr>
        <w:t xml:space="preserve"> qui aucune solution durable n’a été déterminée avant l’âge de la majorité.</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55712" behindDoc="1" locked="0" layoutInCell="0" allowOverlap="1">
                <wp:simplePos x="0" y="0"/>
                <wp:positionH relativeFrom="column">
                  <wp:posOffset>76200</wp:posOffset>
                </wp:positionH>
                <wp:positionV relativeFrom="paragraph">
                  <wp:posOffset>212090</wp:posOffset>
                </wp:positionV>
                <wp:extent cx="1828800" cy="0"/>
                <wp:effectExtent l="0" t="0" r="0" b="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6.7pt" to="150pt,16.7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385" w:lineRule="exact"/>
        <w:rPr>
          <w:sz w:val="20"/>
          <w:szCs w:val="20"/>
          <w:lang w:val="fr-BE"/>
        </w:rPr>
      </w:pPr>
    </w:p>
    <w:p w:rsidR="00AC12B4" w:rsidRPr="00C27636" w:rsidRDefault="00C27636">
      <w:pPr>
        <w:numPr>
          <w:ilvl w:val="0"/>
          <w:numId w:val="397"/>
        </w:numPr>
        <w:tabs>
          <w:tab w:val="left" w:pos="235"/>
        </w:tabs>
        <w:spacing w:line="230" w:lineRule="auto"/>
        <w:ind w:left="120" w:right="520"/>
        <w:jc w:val="both"/>
        <w:rPr>
          <w:rFonts w:ascii="Calibri" w:eastAsia="Calibri" w:hAnsi="Calibri" w:cs="Calibri"/>
          <w:sz w:val="26"/>
          <w:szCs w:val="26"/>
          <w:vertAlign w:val="superscript"/>
          <w:lang w:val="fr-BE"/>
        </w:rPr>
      </w:pPr>
      <w:r w:rsidRPr="00C27636">
        <w:rPr>
          <w:rFonts w:ascii="Calibri" w:eastAsia="Calibri" w:hAnsi="Calibri" w:cs="Calibri"/>
          <w:i/>
          <w:iCs/>
          <w:sz w:val="20"/>
          <w:szCs w:val="20"/>
          <w:lang w:val="fr-BE"/>
        </w:rPr>
        <w:t xml:space="preserve">O.c., </w:t>
      </w:r>
      <w:r w:rsidRPr="00C27636">
        <w:rPr>
          <w:rFonts w:ascii="Calibri" w:eastAsia="Calibri" w:hAnsi="Calibri" w:cs="Calibri"/>
          <w:sz w:val="20"/>
          <w:szCs w:val="20"/>
          <w:lang w:val="fr-BE"/>
        </w:rPr>
        <w:t>126. Nous avons calculé la somme totale</w:t>
      </w:r>
      <w:r w:rsidRPr="00C27636">
        <w:rPr>
          <w:rFonts w:ascii="Calibri" w:eastAsia="Calibri" w:hAnsi="Calibri" w:cs="Calibri"/>
          <w:i/>
          <w:iCs/>
          <w:sz w:val="20"/>
          <w:szCs w:val="20"/>
          <w:lang w:val="fr-BE"/>
        </w:rPr>
        <w:t xml:space="preserve"> </w:t>
      </w:r>
      <w:r w:rsidRPr="00C27636">
        <w:rPr>
          <w:rFonts w:ascii="Calibri" w:eastAsia="Calibri" w:hAnsi="Calibri" w:cs="Calibri"/>
          <w:sz w:val="20"/>
          <w:szCs w:val="20"/>
          <w:lang w:val="fr-BE"/>
        </w:rPr>
        <w:t>de 563 comme suit : toutes les décisions prises en 2013 dans le cadre de la solution durable pour MENA + le nombre de OQT délivrés</w:t>
      </w:r>
      <w:r w:rsidRPr="00C27636">
        <w:rPr>
          <w:rFonts w:ascii="Calibri" w:eastAsia="Calibri" w:hAnsi="Calibri" w:cs="Calibri"/>
          <w:sz w:val="20"/>
          <w:szCs w:val="20"/>
          <w:lang w:val="fr-BE"/>
        </w:rPr>
        <w:t xml:space="preserve"> à des jeunes devenus majeurs en 2013 (sachant qu’ils recevaient tous un OQT et que toutes les décisions sont donc comptées). Notons que l’OE invoque que parfois le délai est trop court entre la demande initiale et l’âge de la majorité, ou qu’il est confro</w:t>
      </w:r>
      <w:r w:rsidRPr="00C27636">
        <w:rPr>
          <w:rFonts w:ascii="Calibri" w:eastAsia="Calibri" w:hAnsi="Calibri" w:cs="Calibri"/>
          <w:sz w:val="20"/>
          <w:szCs w:val="20"/>
          <w:lang w:val="fr-BE"/>
        </w:rPr>
        <w:t>nté au manque d’information (p.ex. en vue d’identifier le jeune) ou à des informations contradictoires.</w:t>
      </w:r>
    </w:p>
    <w:p w:rsidR="00AC12B4" w:rsidRPr="00C27636" w:rsidRDefault="00AC12B4">
      <w:pPr>
        <w:spacing w:line="53" w:lineRule="exact"/>
        <w:rPr>
          <w:rFonts w:ascii="Calibri" w:eastAsia="Calibri" w:hAnsi="Calibri" w:cs="Calibri"/>
          <w:sz w:val="26"/>
          <w:szCs w:val="26"/>
          <w:vertAlign w:val="superscript"/>
          <w:lang w:val="fr-BE"/>
        </w:rPr>
      </w:pPr>
    </w:p>
    <w:p w:rsidR="00AC12B4" w:rsidRPr="00C27636" w:rsidRDefault="00C27636">
      <w:pPr>
        <w:spacing w:line="217" w:lineRule="auto"/>
        <w:ind w:left="120" w:right="540"/>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L’OE compte sur le tuteur et sa collaboration à l’enquête.</w:t>
      </w:r>
    </w:p>
    <w:p w:rsidR="00AC12B4" w:rsidRPr="00C27636" w:rsidRDefault="00AC12B4">
      <w:pPr>
        <w:spacing w:line="242" w:lineRule="exact"/>
        <w:rPr>
          <w:sz w:val="20"/>
          <w:szCs w:val="20"/>
          <w:lang w:val="fr-BE"/>
        </w:rPr>
      </w:pPr>
    </w:p>
    <w:p w:rsidR="00AC12B4" w:rsidRPr="00C27636" w:rsidRDefault="00C27636">
      <w:pPr>
        <w:jc w:val="right"/>
        <w:rPr>
          <w:sz w:val="20"/>
          <w:szCs w:val="20"/>
          <w:lang w:val="fr-BE"/>
        </w:rPr>
      </w:pPr>
      <w:r w:rsidRPr="00C27636">
        <w:rPr>
          <w:rFonts w:ascii="Calibri" w:eastAsia="Calibri" w:hAnsi="Calibri" w:cs="Calibri"/>
          <w:lang w:val="fr-BE"/>
        </w:rPr>
        <w:t>204</w:t>
      </w:r>
    </w:p>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92" w:lineRule="exact"/>
        <w:rPr>
          <w:sz w:val="20"/>
          <w:szCs w:val="20"/>
          <w:lang w:val="fr-BE"/>
        </w:rPr>
      </w:pPr>
    </w:p>
    <w:p w:rsidR="00AC12B4" w:rsidRPr="00C27636" w:rsidRDefault="00C27636">
      <w:pPr>
        <w:spacing w:line="233" w:lineRule="auto"/>
        <w:ind w:right="737"/>
        <w:jc w:val="both"/>
        <w:rPr>
          <w:sz w:val="20"/>
          <w:szCs w:val="20"/>
          <w:lang w:val="fr-BE"/>
        </w:rPr>
      </w:pPr>
      <w:r w:rsidRPr="00C27636">
        <w:rPr>
          <w:rFonts w:ascii="Calibri" w:eastAsia="Calibri" w:hAnsi="Calibri" w:cs="Calibri"/>
          <w:lang w:val="fr-BE"/>
        </w:rPr>
        <w:t>Ceux-ci doivent soit s’orienter vers le retour volontaire ou entamer eux-mêmes une n</w:t>
      </w:r>
      <w:r w:rsidRPr="00C27636">
        <w:rPr>
          <w:rFonts w:ascii="Calibri" w:eastAsia="Calibri" w:hAnsi="Calibri" w:cs="Calibri"/>
          <w:lang w:val="fr-BE"/>
        </w:rPr>
        <w:t>ouvelle procédure de séjour. Celle-ci risque d’aboutir à la délivrance d’un OQT, sauf si le jeune répond aux conditions légales, p.ex. en vue d’un regroupement familial.</w:t>
      </w:r>
    </w:p>
    <w:p w:rsidR="00AC12B4" w:rsidRPr="00C27636" w:rsidRDefault="00AC12B4">
      <w:pPr>
        <w:spacing w:line="174" w:lineRule="exact"/>
        <w:rPr>
          <w:sz w:val="20"/>
          <w:szCs w:val="20"/>
          <w:lang w:val="fr-BE"/>
        </w:rPr>
      </w:pPr>
    </w:p>
    <w:p w:rsidR="00AC12B4" w:rsidRPr="00C27636" w:rsidRDefault="00C27636">
      <w:pPr>
        <w:spacing w:line="235" w:lineRule="auto"/>
        <w:ind w:right="737"/>
        <w:jc w:val="both"/>
        <w:rPr>
          <w:sz w:val="20"/>
          <w:szCs w:val="20"/>
          <w:lang w:val="fr-BE"/>
        </w:rPr>
      </w:pPr>
      <w:r w:rsidRPr="00C27636">
        <w:rPr>
          <w:rFonts w:ascii="Calibri" w:eastAsia="Calibri" w:hAnsi="Calibri" w:cs="Calibri"/>
          <w:lang w:val="fr-BE"/>
        </w:rPr>
        <w:t>Le nombre de disparitions est un élément à prendre en compte lors de l’étude des solu</w:t>
      </w:r>
      <w:r w:rsidRPr="00C27636">
        <w:rPr>
          <w:rFonts w:ascii="Calibri" w:eastAsia="Calibri" w:hAnsi="Calibri" w:cs="Calibri"/>
          <w:lang w:val="fr-BE"/>
        </w:rPr>
        <w:t>tions durables en Belgique. Il s’agit donc de MENA qui sont de passage en Belgique. Ils sont signalés, mais disparaissent par la suite, alors qu’ils se trouvent dans une situation vulnérable, ne fut-ce que par leur âge et leur non-connaissance des services</w:t>
      </w:r>
      <w:r w:rsidRPr="00C27636">
        <w:rPr>
          <w:rFonts w:ascii="Calibri" w:eastAsia="Calibri" w:hAnsi="Calibri" w:cs="Calibri"/>
          <w:lang w:val="fr-BE"/>
        </w:rPr>
        <w:t xml:space="preserve"> d’aide de notre pays.</w:t>
      </w:r>
    </w:p>
    <w:p w:rsidR="00AC12B4" w:rsidRPr="00C27636" w:rsidRDefault="00AC12B4">
      <w:pPr>
        <w:spacing w:line="177"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lang w:val="fr-BE"/>
        </w:rPr>
        <w:t>L’évolution dans le temps de ce phénomène (ventilée selon le moment de la procédure et le type de prise en charge), est donc également un indicateur important. L’OE ne tient toutefois pas de données en la matière.</w:t>
      </w:r>
    </w:p>
    <w:p w:rsidR="00AC12B4" w:rsidRPr="00C27636" w:rsidRDefault="00AC12B4">
      <w:pPr>
        <w:spacing w:line="173"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lang w:val="fr-BE"/>
        </w:rPr>
        <w:t>Le Service des Tu</w:t>
      </w:r>
      <w:r w:rsidRPr="00C27636">
        <w:rPr>
          <w:rFonts w:ascii="Calibri" w:eastAsia="Calibri" w:hAnsi="Calibri" w:cs="Calibri"/>
          <w:lang w:val="fr-BE"/>
        </w:rPr>
        <w:t>telles enregistre le nombre de disparitions. Il constate toutefois des problèmes de fiabilité au niveau de ses statistiques en la matière et n’a dès lors pas pu communiquer des chiffres.</w:t>
      </w:r>
    </w:p>
    <w:p w:rsidR="00AC12B4" w:rsidRPr="00C27636" w:rsidRDefault="00AC12B4">
      <w:pPr>
        <w:spacing w:line="212" w:lineRule="exact"/>
        <w:rPr>
          <w:sz w:val="20"/>
          <w:szCs w:val="20"/>
          <w:lang w:val="fr-BE"/>
        </w:rPr>
      </w:pPr>
    </w:p>
    <w:p w:rsidR="00AC12B4" w:rsidRPr="00C27636" w:rsidRDefault="00C27636">
      <w:pPr>
        <w:rPr>
          <w:sz w:val="20"/>
          <w:szCs w:val="20"/>
          <w:lang w:val="fr-BE"/>
        </w:rPr>
      </w:pPr>
      <w:r w:rsidRPr="00C27636">
        <w:rPr>
          <w:rFonts w:ascii="Cambria" w:eastAsia="Cambria" w:hAnsi="Cambria" w:cs="Cambria"/>
          <w:b/>
          <w:bCs/>
          <w:i/>
          <w:iCs/>
          <w:color w:val="0F6D8F"/>
          <w:sz w:val="26"/>
          <w:szCs w:val="26"/>
          <w:lang w:val="fr-BE"/>
        </w:rPr>
        <w:t>Self-report</w:t>
      </w:r>
    </w:p>
    <w:p w:rsidR="00AC12B4" w:rsidRPr="00C27636" w:rsidRDefault="00AC12B4">
      <w:pPr>
        <w:spacing w:line="208" w:lineRule="exact"/>
        <w:rPr>
          <w:sz w:val="20"/>
          <w:szCs w:val="20"/>
          <w:lang w:val="fr-BE"/>
        </w:rPr>
      </w:pPr>
    </w:p>
    <w:p w:rsidR="00AC12B4" w:rsidRPr="00C27636" w:rsidRDefault="00C27636">
      <w:pPr>
        <w:ind w:right="737"/>
        <w:jc w:val="both"/>
        <w:rPr>
          <w:sz w:val="20"/>
          <w:szCs w:val="20"/>
          <w:lang w:val="fr-BE"/>
        </w:rPr>
      </w:pPr>
      <w:r w:rsidRPr="00C27636">
        <w:rPr>
          <w:rFonts w:ascii="Calibri" w:eastAsia="Calibri" w:hAnsi="Calibri" w:cs="Calibri"/>
          <w:lang w:val="fr-BE"/>
        </w:rPr>
        <w:t xml:space="preserve">L’enquête proposée à destination des MENA, qui leur </w:t>
      </w:r>
      <w:r w:rsidRPr="00C27636">
        <w:rPr>
          <w:rFonts w:ascii="Calibri" w:eastAsia="Calibri" w:hAnsi="Calibri" w:cs="Calibri"/>
          <w:lang w:val="fr-BE"/>
        </w:rPr>
        <w:t>serait transmise via les tuteurs, comprendrait un self-report quant à la réalisation pertinente de leur droit à l’enseignement (en fonction de leurs perspectives d’avenir) et au bien-être psycho-social. En effet, la continuité d’une aide adaptée est partic</w:t>
      </w:r>
      <w:r w:rsidRPr="00C27636">
        <w:rPr>
          <w:rFonts w:ascii="Calibri" w:eastAsia="Calibri" w:hAnsi="Calibri" w:cs="Calibri"/>
          <w:lang w:val="fr-BE"/>
        </w:rPr>
        <w:t>ulièrement mise en cause pour ce groupe, vu qu’un changement de statut de séjour implique souvent un changement de type d’accueil, ce qui implique à son tour un changement d’école, d’accompagnement etc.</w:t>
      </w:r>
    </w:p>
    <w:p w:rsidR="00AC12B4" w:rsidRPr="00C27636" w:rsidRDefault="00AC12B4">
      <w:pPr>
        <w:spacing w:line="390" w:lineRule="exact"/>
        <w:rPr>
          <w:sz w:val="20"/>
          <w:szCs w:val="20"/>
          <w:lang w:val="fr-BE"/>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Les mineurs non-accompagnés reconnus réfugiés ou sou</w:t>
      </w:r>
      <w:r w:rsidRPr="00C27636">
        <w:rPr>
          <w:rFonts w:ascii="Calibri" w:eastAsia="Calibri" w:hAnsi="Calibri" w:cs="Calibri"/>
          <w:lang w:val="fr-BE"/>
        </w:rPr>
        <w:t>s statut de protection subsidiaire doivent quitter le réseau de Fedasil. Ils ne sont pas facilement pris en</w:t>
      </w:r>
    </w:p>
    <w:p w:rsidR="00AC12B4" w:rsidRPr="00C27636" w:rsidRDefault="00AC12B4">
      <w:pPr>
        <w:rPr>
          <w:lang w:val="fr-BE"/>
        </w:rPr>
        <w:sectPr w:rsidR="00AC12B4" w:rsidRPr="00C27636">
          <w:pgSz w:w="12080" w:h="17179"/>
          <w:pgMar w:top="1440" w:right="1440" w:bottom="659" w:left="451" w:header="0" w:footer="0" w:gutter="0"/>
          <w:cols w:num="3" w:space="720" w:equalWidth="0">
            <w:col w:w="330" w:space="539"/>
            <w:col w:w="4520" w:space="180"/>
            <w:col w:w="4617"/>
          </w:cols>
        </w:sectPr>
      </w:pPr>
    </w:p>
    <w:p w:rsidR="00AC12B4" w:rsidRPr="00C27636" w:rsidRDefault="00AC12B4">
      <w:pPr>
        <w:spacing w:line="212" w:lineRule="exact"/>
        <w:rPr>
          <w:sz w:val="20"/>
          <w:szCs w:val="20"/>
          <w:lang w:val="fr-BE"/>
        </w:rPr>
      </w:pPr>
      <w:bookmarkStart w:id="205" w:name="page205"/>
      <w:bookmarkEnd w:id="205"/>
    </w:p>
    <w:p w:rsidR="00AC12B4" w:rsidRPr="00C27636" w:rsidRDefault="00C27636">
      <w:pPr>
        <w:spacing w:line="229" w:lineRule="auto"/>
        <w:ind w:left="560"/>
        <w:jc w:val="both"/>
        <w:rPr>
          <w:sz w:val="20"/>
          <w:szCs w:val="20"/>
          <w:lang w:val="fr-BE"/>
        </w:rPr>
      </w:pPr>
      <w:r w:rsidRPr="00C27636">
        <w:rPr>
          <w:rFonts w:ascii="Calibri" w:eastAsia="Calibri" w:hAnsi="Calibri" w:cs="Calibri"/>
          <w:lang w:val="fr-BE"/>
        </w:rPr>
        <w:t xml:space="preserve">charge par l’aide à la jeunesse, qui se concentre sur les jeunes les plus vulnérables. Il est toutefois clair qu’ils </w:t>
      </w:r>
      <w:r w:rsidRPr="00C27636">
        <w:rPr>
          <w:rFonts w:ascii="Calibri" w:eastAsia="Calibri" w:hAnsi="Calibri" w:cs="Calibri"/>
          <w:lang w:val="fr-BE"/>
        </w:rPr>
        <w:t>ont toujours besoin d’accompagnement.</w:t>
      </w:r>
    </w:p>
    <w:p w:rsidR="00AC12B4" w:rsidRPr="00C27636" w:rsidRDefault="00AC12B4">
      <w:pPr>
        <w:spacing w:line="168" w:lineRule="exact"/>
        <w:rPr>
          <w:sz w:val="20"/>
          <w:szCs w:val="20"/>
          <w:lang w:val="fr-BE"/>
        </w:rPr>
      </w:pPr>
    </w:p>
    <w:p w:rsidR="00AC12B4" w:rsidRPr="00C27636" w:rsidRDefault="00C27636">
      <w:pPr>
        <w:spacing w:line="234" w:lineRule="auto"/>
        <w:ind w:left="560"/>
        <w:jc w:val="both"/>
        <w:rPr>
          <w:sz w:val="20"/>
          <w:szCs w:val="20"/>
          <w:lang w:val="fr-BE"/>
        </w:rPr>
      </w:pPr>
      <w:r w:rsidRPr="00C27636">
        <w:rPr>
          <w:rFonts w:ascii="Calibri" w:eastAsia="Calibri" w:hAnsi="Calibri" w:cs="Calibri"/>
          <w:lang w:val="fr-BE"/>
        </w:rPr>
        <w:t>Aussi la transition vers la majorité mérite un accompagnement. Si avant l’âge de 18 ans, le jeune recevait déjà de l’aide par les services d’aide à la jeunesse, cette aide peut être poursuivie au-delà de la majorité (</w:t>
      </w:r>
      <w:r w:rsidRPr="00C27636">
        <w:rPr>
          <w:rFonts w:ascii="Calibri" w:eastAsia="Calibri" w:hAnsi="Calibri" w:cs="Calibri"/>
          <w:lang w:val="fr-BE"/>
        </w:rPr>
        <w:t>jusque 20 ans). Une fois majeur, une nouvelle entrée n’est toutefois pas possible.</w:t>
      </w:r>
    </w:p>
    <w:p w:rsidR="00AC12B4" w:rsidRPr="00C27636" w:rsidRDefault="00AC12B4">
      <w:pPr>
        <w:spacing w:line="213" w:lineRule="exact"/>
        <w:rPr>
          <w:sz w:val="20"/>
          <w:szCs w:val="20"/>
          <w:lang w:val="fr-BE"/>
        </w:rPr>
      </w:pPr>
    </w:p>
    <w:p w:rsidR="00AC12B4" w:rsidRDefault="00C27636">
      <w:pPr>
        <w:ind w:left="560"/>
        <w:rPr>
          <w:sz w:val="20"/>
          <w:szCs w:val="20"/>
        </w:rPr>
      </w:pPr>
      <w:r>
        <w:rPr>
          <w:rFonts w:ascii="Cambria" w:eastAsia="Cambria" w:hAnsi="Cambria" w:cs="Cambria"/>
          <w:b/>
          <w:bCs/>
          <w:i/>
          <w:iCs/>
          <w:color w:val="0F6D8F"/>
          <w:sz w:val="26"/>
          <w:szCs w:val="26"/>
        </w:rPr>
        <w:t>Pour aller plus loin</w:t>
      </w:r>
    </w:p>
    <w:p w:rsidR="00AC12B4" w:rsidRDefault="00AC12B4">
      <w:pPr>
        <w:spacing w:line="207" w:lineRule="exact"/>
        <w:rPr>
          <w:sz w:val="20"/>
          <w:szCs w:val="20"/>
        </w:rPr>
      </w:pPr>
    </w:p>
    <w:p w:rsidR="00AC12B4" w:rsidRPr="00C27636" w:rsidRDefault="00C27636">
      <w:pPr>
        <w:numPr>
          <w:ilvl w:val="0"/>
          <w:numId w:val="398"/>
        </w:numPr>
        <w:tabs>
          <w:tab w:val="left" w:pos="860"/>
        </w:tabs>
        <w:spacing w:line="217" w:lineRule="auto"/>
        <w:ind w:left="860" w:hanging="370"/>
        <w:rPr>
          <w:rFonts w:ascii="Calibri" w:eastAsia="Calibri" w:hAnsi="Calibri" w:cs="Calibri"/>
          <w:sz w:val="20"/>
          <w:szCs w:val="20"/>
          <w:lang w:val="fr-BE"/>
        </w:rPr>
      </w:pPr>
      <w:r w:rsidRPr="00C27636">
        <w:rPr>
          <w:rFonts w:ascii="Calibri" w:eastAsia="Calibri" w:hAnsi="Calibri" w:cs="Calibri"/>
          <w:b/>
          <w:bCs/>
          <w:i/>
          <w:iCs/>
          <w:color w:val="0F6D8F"/>
          <w:sz w:val="20"/>
          <w:szCs w:val="20"/>
          <w:lang w:val="fr-BE"/>
        </w:rPr>
        <w:t xml:space="preserve">Enseignement: </w:t>
      </w:r>
      <w:r w:rsidRPr="00C27636">
        <w:rPr>
          <w:rFonts w:ascii="Calibri" w:eastAsia="Calibri" w:hAnsi="Calibri" w:cs="Calibri"/>
          <w:color w:val="000000"/>
          <w:sz w:val="20"/>
          <w:szCs w:val="20"/>
          <w:lang w:val="fr-BE"/>
        </w:rPr>
        <w:t>données objectives :</w:t>
      </w:r>
      <w:r w:rsidRPr="00C27636">
        <w:rPr>
          <w:rFonts w:ascii="Calibri" w:eastAsia="Calibri" w:hAnsi="Calibri" w:cs="Calibri"/>
          <w:b/>
          <w:bCs/>
          <w:i/>
          <w:iCs/>
          <w:color w:val="0F6D8F"/>
          <w:sz w:val="20"/>
          <w:szCs w:val="20"/>
          <w:lang w:val="fr-BE"/>
        </w:rPr>
        <w:t xml:space="preserve"> </w:t>
      </w:r>
      <w:r w:rsidRPr="00C27636">
        <w:rPr>
          <w:rFonts w:ascii="Calibri" w:eastAsia="Calibri" w:hAnsi="Calibri" w:cs="Calibri"/>
          <w:color w:val="000000"/>
          <w:sz w:val="20"/>
          <w:szCs w:val="20"/>
          <w:lang w:val="fr-BE"/>
        </w:rPr>
        <w:t>statistiques passage après DASPA.</w:t>
      </w:r>
    </w:p>
    <w:p w:rsidR="00AC12B4" w:rsidRPr="00C27636" w:rsidRDefault="00AC12B4">
      <w:pPr>
        <w:spacing w:line="45" w:lineRule="exact"/>
        <w:rPr>
          <w:rFonts w:ascii="Calibri" w:eastAsia="Calibri" w:hAnsi="Calibri" w:cs="Calibri"/>
          <w:sz w:val="20"/>
          <w:szCs w:val="20"/>
          <w:lang w:val="fr-BE"/>
        </w:rPr>
      </w:pPr>
    </w:p>
    <w:p w:rsidR="00AC12B4" w:rsidRPr="00C27636" w:rsidRDefault="00C27636">
      <w:pPr>
        <w:spacing w:line="217" w:lineRule="auto"/>
        <w:ind w:left="860"/>
        <w:rPr>
          <w:rFonts w:ascii="Calibri" w:eastAsia="Calibri" w:hAnsi="Calibri" w:cs="Calibri"/>
          <w:sz w:val="20"/>
          <w:szCs w:val="20"/>
          <w:lang w:val="fr-BE"/>
        </w:rPr>
      </w:pPr>
      <w:r w:rsidRPr="00C27636">
        <w:rPr>
          <w:rFonts w:ascii="Calibri" w:eastAsia="Calibri" w:hAnsi="Calibri" w:cs="Calibri"/>
          <w:sz w:val="20"/>
          <w:szCs w:val="20"/>
          <w:lang w:val="fr-BE"/>
        </w:rPr>
        <w:t>Ces données ne sont actuellement pas encore disponibles en FWB.</w:t>
      </w:r>
    </w:p>
    <w:p w:rsidR="00AC12B4" w:rsidRPr="00C27636" w:rsidRDefault="00AC12B4">
      <w:pPr>
        <w:spacing w:line="48" w:lineRule="exact"/>
        <w:rPr>
          <w:rFonts w:ascii="Calibri" w:eastAsia="Calibri" w:hAnsi="Calibri" w:cs="Calibri"/>
          <w:sz w:val="20"/>
          <w:szCs w:val="20"/>
          <w:lang w:val="fr-BE"/>
        </w:rPr>
      </w:pPr>
    </w:p>
    <w:p w:rsidR="00AC12B4" w:rsidRPr="00C27636" w:rsidRDefault="00C27636">
      <w:pPr>
        <w:spacing w:line="232" w:lineRule="auto"/>
        <w:ind w:left="860"/>
        <w:jc w:val="both"/>
        <w:rPr>
          <w:rFonts w:ascii="Calibri" w:eastAsia="Calibri" w:hAnsi="Calibri" w:cs="Calibri"/>
          <w:sz w:val="20"/>
          <w:szCs w:val="20"/>
          <w:lang w:val="fr-BE"/>
        </w:rPr>
      </w:pPr>
      <w:r w:rsidRPr="00C27636">
        <w:rPr>
          <w:rFonts w:ascii="Calibri" w:eastAsia="Calibri" w:hAnsi="Calibri" w:cs="Calibri"/>
          <w:sz w:val="20"/>
          <w:szCs w:val="20"/>
          <w:lang w:val="fr-BE"/>
        </w:rPr>
        <w:t xml:space="preserve">En Communauté </w:t>
      </w:r>
      <w:r w:rsidRPr="00C27636">
        <w:rPr>
          <w:rFonts w:ascii="Calibri" w:eastAsia="Calibri" w:hAnsi="Calibri" w:cs="Calibri"/>
          <w:sz w:val="20"/>
          <w:szCs w:val="20"/>
          <w:lang w:val="fr-BE"/>
        </w:rPr>
        <w:t>flamande, en 2010-2011, un nombre plus important d’élèves sortant de classes passerelles que la moyenne de la population scolaire a été orienté vers l’enseignement secondaire en alternance (8,9% (en 2011-2012 même 11,2%) contre</w:t>
      </w:r>
    </w:p>
    <w:p w:rsidR="00AC12B4" w:rsidRPr="00C27636" w:rsidRDefault="00AC12B4">
      <w:pPr>
        <w:spacing w:line="48" w:lineRule="exact"/>
        <w:rPr>
          <w:rFonts w:ascii="Calibri" w:eastAsia="Calibri" w:hAnsi="Calibri" w:cs="Calibri"/>
          <w:sz w:val="20"/>
          <w:szCs w:val="20"/>
          <w:lang w:val="fr-BE"/>
        </w:rPr>
      </w:pPr>
    </w:p>
    <w:p w:rsidR="00AC12B4" w:rsidRPr="00C27636" w:rsidRDefault="00C27636">
      <w:pPr>
        <w:spacing w:line="228" w:lineRule="auto"/>
        <w:ind w:left="860"/>
        <w:jc w:val="both"/>
        <w:rPr>
          <w:rFonts w:ascii="Calibri" w:eastAsia="Calibri" w:hAnsi="Calibri" w:cs="Calibri"/>
          <w:sz w:val="20"/>
          <w:szCs w:val="20"/>
          <w:lang w:val="fr-BE"/>
        </w:rPr>
      </w:pPr>
      <w:r w:rsidRPr="00C27636">
        <w:rPr>
          <w:rFonts w:ascii="Calibri" w:eastAsia="Calibri" w:hAnsi="Calibri" w:cs="Calibri"/>
          <w:sz w:val="20"/>
          <w:szCs w:val="20"/>
          <w:lang w:val="fr-BE"/>
        </w:rPr>
        <w:t>1,8%). L’orientation vers l</w:t>
      </w:r>
      <w:r w:rsidRPr="00C27636">
        <w:rPr>
          <w:rFonts w:ascii="Calibri" w:eastAsia="Calibri" w:hAnsi="Calibri" w:cs="Calibri"/>
          <w:sz w:val="20"/>
          <w:szCs w:val="20"/>
          <w:lang w:val="fr-BE"/>
        </w:rPr>
        <w:t>’enseignement spécialisé est toutefois inférieur à la moyenne générale (3,3% (en 2011-2012 que 2,6%) versus 4,4%). 26,3% des élèves</w:t>
      </w:r>
    </w:p>
    <w:p w:rsidR="00AC12B4" w:rsidRPr="00C27636" w:rsidRDefault="00AC12B4">
      <w:pPr>
        <w:spacing w:line="49" w:lineRule="exact"/>
        <w:rPr>
          <w:rFonts w:ascii="Calibri" w:eastAsia="Calibri" w:hAnsi="Calibri" w:cs="Calibri"/>
          <w:sz w:val="20"/>
          <w:szCs w:val="20"/>
          <w:lang w:val="fr-BE"/>
        </w:rPr>
      </w:pPr>
    </w:p>
    <w:p w:rsidR="00AC12B4" w:rsidRPr="00C27636" w:rsidRDefault="00C27636">
      <w:pPr>
        <w:spacing w:line="205" w:lineRule="auto"/>
        <w:ind w:left="860"/>
        <w:rPr>
          <w:rFonts w:ascii="Calibri" w:eastAsia="Calibri" w:hAnsi="Calibri" w:cs="Calibri"/>
          <w:sz w:val="20"/>
          <w:szCs w:val="20"/>
          <w:lang w:val="fr-BE"/>
        </w:rPr>
      </w:pPr>
      <w:r w:rsidRPr="00C27636">
        <w:rPr>
          <w:rFonts w:ascii="Calibri" w:eastAsia="Calibri" w:hAnsi="Calibri" w:cs="Calibri"/>
          <w:sz w:val="20"/>
          <w:szCs w:val="20"/>
          <w:lang w:val="fr-BE"/>
        </w:rPr>
        <w:t>sortant d’une classe passerelle ont disparu des statistiques</w:t>
      </w:r>
      <w:r w:rsidRPr="00C27636">
        <w:rPr>
          <w:rFonts w:ascii="Calibri" w:eastAsia="Calibri" w:hAnsi="Calibri" w:cs="Calibri"/>
          <w:sz w:val="25"/>
          <w:szCs w:val="25"/>
          <w:vertAlign w:val="superscript"/>
          <w:lang w:val="fr-BE"/>
        </w:rPr>
        <w:t>3</w:t>
      </w:r>
      <w:r w:rsidRPr="00C27636">
        <w:rPr>
          <w:rFonts w:ascii="Calibri" w:eastAsia="Calibri" w:hAnsi="Calibri" w:cs="Calibri"/>
          <w:sz w:val="20"/>
          <w:szCs w:val="20"/>
          <w:lang w:val="fr-BE"/>
        </w:rPr>
        <w:t>.</w:t>
      </w:r>
    </w:p>
    <w:p w:rsidR="00AC12B4" w:rsidRPr="00C27636" w:rsidRDefault="00AC12B4">
      <w:pPr>
        <w:spacing w:line="20" w:lineRule="exact"/>
        <w:rPr>
          <w:rFonts w:ascii="Calibri" w:eastAsia="Calibri" w:hAnsi="Calibri" w:cs="Calibri"/>
          <w:sz w:val="20"/>
          <w:szCs w:val="20"/>
          <w:lang w:val="fr-BE"/>
        </w:rPr>
      </w:pPr>
    </w:p>
    <w:p w:rsidR="00AC12B4" w:rsidRPr="00C27636" w:rsidRDefault="00C27636">
      <w:pPr>
        <w:spacing w:line="216" w:lineRule="auto"/>
        <w:ind w:left="860"/>
        <w:rPr>
          <w:rFonts w:ascii="Calibri" w:eastAsia="Calibri" w:hAnsi="Calibri" w:cs="Calibri"/>
          <w:sz w:val="20"/>
          <w:szCs w:val="20"/>
          <w:lang w:val="fr-BE"/>
        </w:rPr>
      </w:pPr>
      <w:r w:rsidRPr="00C27636">
        <w:rPr>
          <w:rFonts w:ascii="Calibri" w:eastAsia="Calibri" w:hAnsi="Calibri" w:cs="Calibri"/>
          <w:sz w:val="20"/>
          <w:szCs w:val="20"/>
          <w:lang w:val="fr-BE"/>
        </w:rPr>
        <w:t>Jusqu’ici, des données en la matière ne sont pas disponible</w:t>
      </w:r>
      <w:r w:rsidRPr="00C27636">
        <w:rPr>
          <w:rFonts w:ascii="Calibri" w:eastAsia="Calibri" w:hAnsi="Calibri" w:cs="Calibri"/>
          <w:sz w:val="20"/>
          <w:szCs w:val="20"/>
          <w:lang w:val="fr-BE"/>
        </w:rPr>
        <w:t>s au niveau de la FWB.</w:t>
      </w:r>
    </w:p>
    <w:p w:rsidR="00AC12B4" w:rsidRPr="00C27636" w:rsidRDefault="00AC12B4">
      <w:pPr>
        <w:spacing w:line="47" w:lineRule="exact"/>
        <w:rPr>
          <w:rFonts w:ascii="Calibri" w:eastAsia="Calibri" w:hAnsi="Calibri" w:cs="Calibri"/>
          <w:sz w:val="20"/>
          <w:szCs w:val="20"/>
          <w:lang w:val="fr-BE"/>
        </w:rPr>
      </w:pPr>
    </w:p>
    <w:p w:rsidR="00AC12B4" w:rsidRPr="00C27636" w:rsidRDefault="00C27636">
      <w:pPr>
        <w:spacing w:line="230" w:lineRule="auto"/>
        <w:ind w:left="860"/>
        <w:jc w:val="both"/>
        <w:rPr>
          <w:rFonts w:ascii="Calibri" w:eastAsia="Calibri" w:hAnsi="Calibri" w:cs="Calibri"/>
          <w:sz w:val="20"/>
          <w:szCs w:val="20"/>
          <w:lang w:val="fr-BE"/>
        </w:rPr>
      </w:pPr>
      <w:r w:rsidRPr="00C27636">
        <w:rPr>
          <w:rFonts w:ascii="Calibri" w:eastAsia="Calibri" w:hAnsi="Calibri" w:cs="Calibri"/>
          <w:sz w:val="20"/>
          <w:szCs w:val="20"/>
          <w:lang w:val="fr-BE"/>
        </w:rPr>
        <w:t>La Communauté germanophone ne dispose d’aucune statistique significative en la matière vu le nombre limité de primo-arrivants par année (entre 0 et 11 pour la période 2011-2015)</w:t>
      </w:r>
    </w:p>
    <w:p w:rsidR="00AC12B4" w:rsidRPr="00C27636" w:rsidRDefault="00AC12B4">
      <w:pPr>
        <w:spacing w:line="5" w:lineRule="exact"/>
        <w:rPr>
          <w:rFonts w:ascii="Calibri" w:eastAsia="Calibri" w:hAnsi="Calibri" w:cs="Calibri"/>
          <w:sz w:val="20"/>
          <w:szCs w:val="20"/>
          <w:lang w:val="fr-BE"/>
        </w:rPr>
      </w:pPr>
    </w:p>
    <w:p w:rsidR="00AC12B4" w:rsidRDefault="00C27636">
      <w:pPr>
        <w:numPr>
          <w:ilvl w:val="0"/>
          <w:numId w:val="398"/>
        </w:numPr>
        <w:tabs>
          <w:tab w:val="left" w:pos="860"/>
        </w:tabs>
        <w:ind w:left="860" w:hanging="370"/>
        <w:rPr>
          <w:rFonts w:ascii="Calibri" w:eastAsia="Calibri" w:hAnsi="Calibri" w:cs="Calibri"/>
          <w:color w:val="0F6D8F"/>
          <w:sz w:val="20"/>
          <w:szCs w:val="20"/>
        </w:rPr>
      </w:pPr>
      <w:r>
        <w:rPr>
          <w:rFonts w:ascii="Calibri" w:eastAsia="Calibri" w:hAnsi="Calibri" w:cs="Calibri"/>
          <w:b/>
          <w:bCs/>
          <w:i/>
          <w:iCs/>
          <w:color w:val="0F6D8F"/>
          <w:sz w:val="20"/>
          <w:szCs w:val="20"/>
        </w:rPr>
        <w:t xml:space="preserve">Lectures recommandées </w:t>
      </w:r>
      <w:r>
        <w:rPr>
          <w:rFonts w:ascii="Calibri" w:eastAsia="Calibri" w:hAnsi="Calibri" w:cs="Calibri"/>
          <w:color w:val="0F6D8F"/>
          <w:sz w:val="20"/>
          <w:szCs w:val="20"/>
        </w:rPr>
        <w:t>:</w:t>
      </w:r>
    </w:p>
    <w:p w:rsidR="00AC12B4" w:rsidRPr="00C27636" w:rsidRDefault="00C27636">
      <w:pPr>
        <w:numPr>
          <w:ilvl w:val="0"/>
          <w:numId w:val="399"/>
        </w:numPr>
        <w:tabs>
          <w:tab w:val="left" w:pos="1420"/>
        </w:tabs>
        <w:spacing w:line="232" w:lineRule="auto"/>
        <w:ind w:left="1420" w:hanging="361"/>
        <w:rPr>
          <w:rFonts w:ascii="Courier New" w:eastAsia="Courier New" w:hAnsi="Courier New" w:cs="Courier New"/>
          <w:sz w:val="20"/>
          <w:szCs w:val="20"/>
          <w:lang w:val="fr-BE"/>
        </w:rPr>
      </w:pPr>
      <w:r w:rsidRPr="00C27636">
        <w:rPr>
          <w:rFonts w:ascii="Calibri" w:eastAsia="Calibri" w:hAnsi="Calibri" w:cs="Calibri"/>
          <w:sz w:val="20"/>
          <w:szCs w:val="20"/>
          <w:lang w:val="fr-BE"/>
        </w:rPr>
        <w:t>Plate-forme Mineurs en exil:</w:t>
      </w:r>
    </w:p>
    <w:p w:rsidR="00AC12B4" w:rsidRDefault="00C27636">
      <w:pPr>
        <w:numPr>
          <w:ilvl w:val="1"/>
          <w:numId w:val="399"/>
        </w:numPr>
        <w:tabs>
          <w:tab w:val="left" w:pos="1840"/>
        </w:tabs>
        <w:spacing w:line="182" w:lineRule="auto"/>
        <w:ind w:left="1840" w:hanging="356"/>
        <w:rPr>
          <w:rFonts w:ascii="Wingdings" w:eastAsia="Wingdings" w:hAnsi="Wingdings" w:cs="Wingdings"/>
          <w:sz w:val="29"/>
          <w:szCs w:val="29"/>
          <w:vertAlign w:val="superscript"/>
        </w:rPr>
      </w:pPr>
      <w:r>
        <w:rPr>
          <w:rFonts w:ascii="Calibri" w:eastAsia="Calibri" w:hAnsi="Calibri" w:cs="Calibri"/>
          <w:i/>
          <w:iCs/>
          <w:sz w:val="16"/>
          <w:szCs w:val="16"/>
        </w:rPr>
        <w:t>Core standards for guardians</w:t>
      </w:r>
    </w:p>
    <w:p w:rsidR="00AC12B4" w:rsidRDefault="00C27636">
      <w:pPr>
        <w:spacing w:line="20" w:lineRule="exact"/>
        <w:rPr>
          <w:sz w:val="20"/>
          <w:szCs w:val="20"/>
        </w:rPr>
      </w:pPr>
      <w:r>
        <w:rPr>
          <w:noProof/>
          <w:sz w:val="20"/>
          <w:szCs w:val="20"/>
        </w:rPr>
        <mc:AlternateContent>
          <mc:Choice Requires="wps">
            <w:drawing>
              <wp:anchor distT="0" distB="0" distL="114300" distR="114300" simplePos="0" relativeHeight="251956736" behindDoc="1" locked="0" layoutInCell="0" allowOverlap="1">
                <wp:simplePos x="0" y="0"/>
                <wp:positionH relativeFrom="column">
                  <wp:posOffset>359410</wp:posOffset>
                </wp:positionH>
                <wp:positionV relativeFrom="paragraph">
                  <wp:posOffset>253365</wp:posOffset>
                </wp:positionV>
                <wp:extent cx="1829435" cy="0"/>
                <wp:effectExtent l="0" t="0" r="0" b="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9.95pt" to="172.35pt,19.95pt" o:allowincell="f" strokecolor="#000000" strokeweight="0.7199pt"/>
            </w:pict>
          </mc:Fallback>
        </mc:AlternateContent>
      </w:r>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86" w:lineRule="exact"/>
        <w:rPr>
          <w:sz w:val="20"/>
          <w:szCs w:val="20"/>
        </w:rPr>
      </w:pPr>
    </w:p>
    <w:p w:rsidR="00AC12B4" w:rsidRDefault="00C27636">
      <w:pPr>
        <w:numPr>
          <w:ilvl w:val="0"/>
          <w:numId w:val="400"/>
        </w:numPr>
        <w:tabs>
          <w:tab w:val="left" w:pos="697"/>
        </w:tabs>
        <w:spacing w:line="237" w:lineRule="auto"/>
        <w:ind w:left="560" w:right="60" w:firstLine="7"/>
        <w:rPr>
          <w:rFonts w:ascii="Calibri" w:eastAsia="Calibri" w:hAnsi="Calibri" w:cs="Calibri"/>
          <w:sz w:val="31"/>
          <w:szCs w:val="31"/>
          <w:vertAlign w:val="superscript"/>
        </w:rPr>
      </w:pPr>
      <w:r w:rsidRPr="00C27636">
        <w:rPr>
          <w:rFonts w:ascii="Calibri" w:eastAsia="Calibri" w:hAnsi="Calibri" w:cs="Calibri"/>
          <w:color w:val="0000FF"/>
          <w:sz w:val="19"/>
          <w:szCs w:val="19"/>
          <w:u w:val="single"/>
          <w:lang w:val="nl-NL"/>
        </w:rPr>
        <w:t>Source: Vla</w:t>
      </w:r>
      <w:r w:rsidRPr="00C27636">
        <w:rPr>
          <w:rFonts w:ascii="Calibri" w:eastAsia="Calibri" w:hAnsi="Calibri" w:cs="Calibri"/>
          <w:color w:val="000000"/>
          <w:sz w:val="19"/>
          <w:szCs w:val="19"/>
          <w:u w:val="single"/>
          <w:lang w:val="nl-NL"/>
        </w:rPr>
        <w:t>amse Overheid, Ministerie van</w:t>
      </w:r>
      <w:r w:rsidRPr="00C27636">
        <w:rPr>
          <w:rFonts w:ascii="Calibri" w:eastAsia="Calibri" w:hAnsi="Calibri" w:cs="Calibri"/>
          <w:color w:val="0000FF"/>
          <w:sz w:val="19"/>
          <w:szCs w:val="19"/>
          <w:u w:val="single"/>
          <w:lang w:val="nl-NL"/>
        </w:rPr>
        <w:t xml:space="preserve"> </w:t>
      </w:r>
      <w:r w:rsidRPr="00C27636">
        <w:rPr>
          <w:rFonts w:ascii="Calibri" w:eastAsia="Calibri" w:hAnsi="Calibri" w:cs="Calibri"/>
          <w:color w:val="000000"/>
          <w:sz w:val="19"/>
          <w:szCs w:val="19"/>
          <w:u w:val="single"/>
          <w:lang w:val="nl-NL"/>
        </w:rPr>
        <w:t xml:space="preserve">Onderwijs &amp; Vorming, Agentschap voor Onderwijsdiensten (AgODi), Afdeling Scholen Basis en CLB, Afdeling Scholen Secundair et DKO, </w:t>
      </w:r>
      <w:r w:rsidRPr="00C27636">
        <w:rPr>
          <w:rFonts w:ascii="Calibri" w:eastAsia="Calibri" w:hAnsi="Calibri" w:cs="Calibri"/>
          <w:i/>
          <w:iCs/>
          <w:color w:val="000000"/>
          <w:sz w:val="19"/>
          <w:szCs w:val="19"/>
          <w:u w:val="single"/>
          <w:lang w:val="nl-NL"/>
        </w:rPr>
        <w:t>Rapport Onthaalonderwijs 2010-2011 en</w:t>
      </w:r>
      <w:r w:rsidRPr="00C27636">
        <w:rPr>
          <w:rFonts w:ascii="Calibri" w:eastAsia="Calibri" w:hAnsi="Calibri" w:cs="Calibri"/>
          <w:color w:val="000000"/>
          <w:sz w:val="19"/>
          <w:szCs w:val="19"/>
          <w:u w:val="single"/>
          <w:lang w:val="nl-NL"/>
        </w:rPr>
        <w:t xml:space="preserve"> </w:t>
      </w:r>
      <w:r w:rsidRPr="00C27636">
        <w:rPr>
          <w:rFonts w:ascii="Calibri" w:eastAsia="Calibri" w:hAnsi="Calibri" w:cs="Calibri"/>
          <w:i/>
          <w:iCs/>
          <w:color w:val="000000"/>
          <w:sz w:val="19"/>
          <w:szCs w:val="19"/>
          <w:u w:val="single"/>
          <w:lang w:val="nl-NL"/>
        </w:rPr>
        <w:t>2011-2012</w:t>
      </w:r>
      <w:r w:rsidRPr="00C27636">
        <w:rPr>
          <w:rFonts w:ascii="Calibri" w:eastAsia="Calibri" w:hAnsi="Calibri" w:cs="Calibri"/>
          <w:color w:val="000000"/>
          <w:sz w:val="19"/>
          <w:szCs w:val="19"/>
          <w:u w:val="single"/>
          <w:lang w:val="nl-NL"/>
        </w:rPr>
        <w:t>,</w:t>
      </w:r>
      <w:r w:rsidRPr="00C27636">
        <w:rPr>
          <w:rFonts w:ascii="Calibri" w:eastAsia="Calibri" w:hAnsi="Calibri" w:cs="Calibri"/>
          <w:i/>
          <w:iCs/>
          <w:color w:val="000000"/>
          <w:sz w:val="19"/>
          <w:szCs w:val="19"/>
          <w:u w:val="single"/>
          <w:lang w:val="nl-NL"/>
        </w:rPr>
        <w:t xml:space="preserve"> </w:t>
      </w:r>
      <w:r w:rsidRPr="00C27636">
        <w:rPr>
          <w:rFonts w:ascii="Calibri" w:eastAsia="Calibri" w:hAnsi="Calibri" w:cs="Calibri"/>
          <w:color w:val="0000FF"/>
          <w:sz w:val="19"/>
          <w:szCs w:val="19"/>
          <w:u w:val="single"/>
          <w:lang w:val="nl-NL"/>
        </w:rPr>
        <w:t xml:space="preserve">www.vlaanderen.be/nl/publicaties/detail/onth aalonderwijs-2020-2011-2011-2012. </w:t>
      </w:r>
      <w:r w:rsidRPr="00C27636">
        <w:rPr>
          <w:rFonts w:ascii="Calibri" w:eastAsia="Calibri" w:hAnsi="Calibri" w:cs="Calibri"/>
          <w:color w:val="000000"/>
          <w:sz w:val="19"/>
          <w:szCs w:val="19"/>
          <w:u w:val="single"/>
          <w:lang w:val="fr-BE"/>
        </w:rPr>
        <w:t xml:space="preserve">Publication sur 2012-2013 en 2013-2014 </w:t>
      </w:r>
      <w:r w:rsidRPr="00C27636">
        <w:rPr>
          <w:rFonts w:ascii="Calibri" w:eastAsia="Calibri" w:hAnsi="Calibri" w:cs="Calibri"/>
          <w:color w:val="0000FF"/>
          <w:sz w:val="19"/>
          <w:szCs w:val="19"/>
          <w:u w:val="single"/>
          <w:lang w:val="fr-BE"/>
        </w:rPr>
        <w:t>en</w:t>
      </w:r>
      <w:r w:rsidRPr="00C27636">
        <w:rPr>
          <w:rFonts w:ascii="Calibri" w:eastAsia="Calibri" w:hAnsi="Calibri" w:cs="Calibri"/>
          <w:color w:val="000000"/>
          <w:sz w:val="19"/>
          <w:szCs w:val="19"/>
          <w:u w:val="single"/>
          <w:lang w:val="fr-BE"/>
        </w:rPr>
        <w:t xml:space="preserve"> </w:t>
      </w:r>
      <w:r w:rsidRPr="00C27636">
        <w:rPr>
          <w:rFonts w:ascii="Calibri" w:eastAsia="Calibri" w:hAnsi="Calibri" w:cs="Calibri"/>
          <w:color w:val="0000FF"/>
          <w:sz w:val="19"/>
          <w:szCs w:val="19"/>
          <w:u w:val="single"/>
          <w:lang w:val="fr-BE"/>
        </w:rPr>
        <w:t xml:space="preserve">préparation (portera aussi sur les performances). </w:t>
      </w:r>
      <w:r>
        <w:rPr>
          <w:rFonts w:ascii="Calibri" w:eastAsia="Calibri" w:hAnsi="Calibri" w:cs="Calibri"/>
          <w:color w:val="0000FF"/>
          <w:sz w:val="19"/>
          <w:szCs w:val="19"/>
          <w:u w:val="single"/>
        </w:rPr>
        <w:t>Egalement à suivre: recherche OBPWO (attendu pour septembre 2016).</w:t>
      </w:r>
    </w:p>
    <w:p w:rsidR="00AC12B4" w:rsidRDefault="00C27636">
      <w:pPr>
        <w:spacing w:line="20" w:lineRule="exact"/>
        <w:rPr>
          <w:sz w:val="20"/>
          <w:szCs w:val="20"/>
        </w:rPr>
      </w:pPr>
      <w:r>
        <w:rPr>
          <w:sz w:val="20"/>
          <w:szCs w:val="20"/>
        </w:rPr>
        <w:br w:type="column"/>
      </w:r>
    </w:p>
    <w:p w:rsidR="00AC12B4" w:rsidRDefault="00AC12B4">
      <w:pPr>
        <w:spacing w:line="191" w:lineRule="exact"/>
        <w:rPr>
          <w:sz w:val="20"/>
          <w:szCs w:val="20"/>
        </w:rPr>
      </w:pPr>
    </w:p>
    <w:p w:rsidR="00AC12B4" w:rsidRPr="00C27636" w:rsidRDefault="00C27636">
      <w:pPr>
        <w:numPr>
          <w:ilvl w:val="0"/>
          <w:numId w:val="401"/>
        </w:numPr>
        <w:tabs>
          <w:tab w:val="left" w:pos="1780"/>
        </w:tabs>
        <w:spacing w:line="198" w:lineRule="auto"/>
        <w:ind w:left="1780" w:right="66" w:hanging="351"/>
        <w:jc w:val="both"/>
        <w:rPr>
          <w:rFonts w:ascii="Wingdings" w:eastAsia="Wingdings" w:hAnsi="Wingdings" w:cs="Wingdings"/>
          <w:sz w:val="40"/>
          <w:szCs w:val="40"/>
          <w:vertAlign w:val="superscript"/>
          <w:lang w:val="fr-BE"/>
        </w:rPr>
      </w:pPr>
      <w:r w:rsidRPr="00C27636">
        <w:rPr>
          <w:rFonts w:ascii="Calibri" w:eastAsia="Calibri" w:hAnsi="Calibri" w:cs="Calibri"/>
          <w:sz w:val="20"/>
          <w:szCs w:val="20"/>
          <w:lang w:val="fr-BE"/>
        </w:rPr>
        <w:t>Etude “ Solutio</w:t>
      </w:r>
      <w:r w:rsidRPr="00C27636">
        <w:rPr>
          <w:rFonts w:ascii="Calibri" w:eastAsia="Calibri" w:hAnsi="Calibri" w:cs="Calibri"/>
          <w:sz w:val="20"/>
          <w:szCs w:val="20"/>
          <w:lang w:val="fr-BE"/>
        </w:rPr>
        <w:t>ns durables pour les mineurs étrangers non accompagnés en Europe », Funding: Pilot Project on Unaccompanied Minors 2013,</w:t>
      </w:r>
    </w:p>
    <w:p w:rsidR="00AC12B4" w:rsidRPr="00C27636" w:rsidRDefault="00AC12B4">
      <w:pPr>
        <w:spacing w:line="47" w:lineRule="exact"/>
        <w:rPr>
          <w:rFonts w:ascii="Wingdings" w:eastAsia="Wingdings" w:hAnsi="Wingdings" w:cs="Wingdings"/>
          <w:sz w:val="40"/>
          <w:szCs w:val="40"/>
          <w:vertAlign w:val="superscript"/>
          <w:lang w:val="fr-BE"/>
        </w:rPr>
      </w:pPr>
    </w:p>
    <w:p w:rsidR="00AC12B4" w:rsidRDefault="00C27636">
      <w:pPr>
        <w:spacing w:line="225" w:lineRule="auto"/>
        <w:ind w:left="1780" w:right="86"/>
        <w:jc w:val="both"/>
        <w:rPr>
          <w:rFonts w:ascii="Wingdings" w:eastAsia="Wingdings" w:hAnsi="Wingdings" w:cs="Wingdings"/>
          <w:sz w:val="40"/>
          <w:szCs w:val="40"/>
          <w:vertAlign w:val="superscript"/>
        </w:rPr>
      </w:pPr>
      <w:r>
        <w:rPr>
          <w:rFonts w:ascii="Calibri" w:eastAsia="Calibri" w:hAnsi="Calibri" w:cs="Calibri"/>
          <w:sz w:val="20"/>
          <w:szCs w:val="20"/>
        </w:rPr>
        <w:t>European Commission Directorate –General Home Affairs, Asylum and Migration</w:t>
      </w:r>
    </w:p>
    <w:p w:rsidR="00AC12B4" w:rsidRDefault="00AC12B4">
      <w:pPr>
        <w:spacing w:line="1" w:lineRule="exact"/>
        <w:rPr>
          <w:sz w:val="20"/>
          <w:szCs w:val="20"/>
        </w:rPr>
      </w:pPr>
    </w:p>
    <w:p w:rsidR="00AC12B4" w:rsidRDefault="00C27636">
      <w:pPr>
        <w:ind w:left="1780"/>
        <w:rPr>
          <w:sz w:val="20"/>
          <w:szCs w:val="20"/>
        </w:rPr>
      </w:pPr>
      <w:r>
        <w:rPr>
          <w:rFonts w:ascii="Calibri" w:eastAsia="Calibri" w:hAnsi="Calibri" w:cs="Calibri"/>
          <w:sz w:val="20"/>
          <w:szCs w:val="20"/>
        </w:rPr>
        <w:t>Fund</w:t>
      </w:r>
    </w:p>
    <w:p w:rsidR="00AC12B4" w:rsidRDefault="00AC12B4">
      <w:pPr>
        <w:spacing w:line="45" w:lineRule="exact"/>
        <w:rPr>
          <w:sz w:val="20"/>
          <w:szCs w:val="20"/>
        </w:rPr>
      </w:pPr>
    </w:p>
    <w:p w:rsidR="00AC12B4" w:rsidRDefault="00C27636">
      <w:pPr>
        <w:numPr>
          <w:ilvl w:val="1"/>
          <w:numId w:val="402"/>
        </w:numPr>
        <w:tabs>
          <w:tab w:val="left" w:pos="1360"/>
        </w:tabs>
        <w:spacing w:line="223" w:lineRule="auto"/>
        <w:ind w:left="1360" w:right="86" w:hanging="356"/>
        <w:jc w:val="both"/>
        <w:rPr>
          <w:rFonts w:ascii="Courier New" w:eastAsia="Courier New" w:hAnsi="Courier New" w:cs="Courier New"/>
          <w:sz w:val="20"/>
          <w:szCs w:val="20"/>
        </w:rPr>
      </w:pPr>
      <w:r>
        <w:rPr>
          <w:rFonts w:ascii="Calibri" w:eastAsia="Calibri" w:hAnsi="Calibri" w:cs="Calibri"/>
          <w:sz w:val="20"/>
          <w:szCs w:val="20"/>
        </w:rPr>
        <w:t xml:space="preserve">FRA, </w:t>
      </w:r>
      <w:r>
        <w:rPr>
          <w:rFonts w:ascii="Calibri" w:eastAsia="Calibri" w:hAnsi="Calibri" w:cs="Calibri"/>
          <w:i/>
          <w:iCs/>
          <w:sz w:val="20"/>
          <w:szCs w:val="20"/>
        </w:rPr>
        <w:t>Handbook "Guardianship for</w:t>
      </w:r>
      <w:r>
        <w:rPr>
          <w:rFonts w:ascii="Calibri" w:eastAsia="Calibri" w:hAnsi="Calibri" w:cs="Calibri"/>
          <w:sz w:val="20"/>
          <w:szCs w:val="20"/>
        </w:rPr>
        <w:t xml:space="preserve"> </w:t>
      </w:r>
      <w:r>
        <w:rPr>
          <w:rFonts w:ascii="Calibri" w:eastAsia="Calibri" w:hAnsi="Calibri" w:cs="Calibri"/>
          <w:i/>
          <w:iCs/>
          <w:sz w:val="20"/>
          <w:szCs w:val="20"/>
        </w:rPr>
        <w:t xml:space="preserve">children deprived of parental care", </w:t>
      </w:r>
      <w:r>
        <w:rPr>
          <w:rFonts w:ascii="Calibri" w:eastAsia="Calibri" w:hAnsi="Calibri" w:cs="Calibri"/>
          <w:sz w:val="20"/>
          <w:szCs w:val="20"/>
        </w:rPr>
        <w:t>2014.</w:t>
      </w:r>
    </w:p>
    <w:p w:rsidR="00AC12B4" w:rsidRDefault="00AC12B4">
      <w:pPr>
        <w:spacing w:line="47" w:lineRule="exact"/>
        <w:rPr>
          <w:rFonts w:ascii="Courier New" w:eastAsia="Courier New" w:hAnsi="Courier New" w:cs="Courier New"/>
          <w:sz w:val="20"/>
          <w:szCs w:val="20"/>
        </w:rPr>
      </w:pPr>
    </w:p>
    <w:p w:rsidR="00AC12B4" w:rsidRPr="00C27636" w:rsidRDefault="00C27636">
      <w:pPr>
        <w:numPr>
          <w:ilvl w:val="0"/>
          <w:numId w:val="402"/>
        </w:numPr>
        <w:tabs>
          <w:tab w:val="left" w:pos="800"/>
        </w:tabs>
        <w:spacing w:line="236" w:lineRule="auto"/>
        <w:ind w:left="800" w:right="86" w:hanging="365"/>
        <w:jc w:val="both"/>
        <w:rPr>
          <w:rFonts w:ascii="Calibri" w:eastAsia="Calibri" w:hAnsi="Calibri" w:cs="Calibri"/>
          <w:sz w:val="20"/>
          <w:szCs w:val="20"/>
          <w:lang w:val="fr-BE"/>
        </w:rPr>
      </w:pPr>
      <w:r w:rsidRPr="00C27636">
        <w:rPr>
          <w:rFonts w:ascii="Calibri" w:eastAsia="Calibri" w:hAnsi="Calibri" w:cs="Calibri"/>
          <w:b/>
          <w:bCs/>
          <w:i/>
          <w:iCs/>
          <w:color w:val="0F6D8F"/>
          <w:sz w:val="20"/>
          <w:szCs w:val="20"/>
          <w:lang w:val="nl-NL"/>
        </w:rPr>
        <w:t xml:space="preserve">Etudes sur le stress chez les MENA </w:t>
      </w:r>
      <w:r w:rsidRPr="00C27636">
        <w:rPr>
          <w:rFonts w:ascii="Calibri" w:eastAsia="Calibri" w:hAnsi="Calibri" w:cs="Calibri"/>
          <w:color w:val="000000"/>
          <w:sz w:val="20"/>
          <w:szCs w:val="20"/>
          <w:lang w:val="nl-NL"/>
        </w:rPr>
        <w:t>:</w:t>
      </w:r>
      <w:r w:rsidRPr="00C27636">
        <w:rPr>
          <w:rFonts w:ascii="Calibri" w:eastAsia="Calibri" w:hAnsi="Calibri" w:cs="Calibri"/>
          <w:b/>
          <w:bCs/>
          <w:i/>
          <w:iCs/>
          <w:color w:val="0F6D8F"/>
          <w:sz w:val="20"/>
          <w:szCs w:val="20"/>
          <w:lang w:val="nl-NL"/>
        </w:rPr>
        <w:t xml:space="preserve"> </w:t>
      </w:r>
      <w:r w:rsidRPr="00C27636">
        <w:rPr>
          <w:rFonts w:ascii="Calibri" w:eastAsia="Calibri" w:hAnsi="Calibri" w:cs="Calibri"/>
          <w:color w:val="000000"/>
          <w:sz w:val="20"/>
          <w:szCs w:val="20"/>
          <w:lang w:val="nl-NL"/>
        </w:rPr>
        <w:t xml:space="preserve">Vervliet, M. en Derluyn, I., </w:t>
      </w:r>
      <w:r w:rsidRPr="00C27636">
        <w:rPr>
          <w:rFonts w:ascii="Calibri" w:eastAsia="Calibri" w:hAnsi="Calibri" w:cs="Calibri"/>
          <w:i/>
          <w:iCs/>
          <w:color w:val="000000"/>
          <w:sz w:val="20"/>
          <w:szCs w:val="20"/>
          <w:lang w:val="nl-NL"/>
        </w:rPr>
        <w:t>De trajecten van</w:t>
      </w:r>
      <w:r w:rsidRPr="00C27636">
        <w:rPr>
          <w:rFonts w:ascii="Calibri" w:eastAsia="Calibri" w:hAnsi="Calibri" w:cs="Calibri"/>
          <w:color w:val="000000"/>
          <w:sz w:val="20"/>
          <w:szCs w:val="20"/>
          <w:lang w:val="nl-NL"/>
        </w:rPr>
        <w:t xml:space="preserve"> </w:t>
      </w:r>
      <w:r w:rsidRPr="00C27636">
        <w:rPr>
          <w:rFonts w:ascii="Calibri" w:eastAsia="Calibri" w:hAnsi="Calibri" w:cs="Calibri"/>
          <w:i/>
          <w:iCs/>
          <w:color w:val="000000"/>
          <w:sz w:val="20"/>
          <w:szCs w:val="20"/>
          <w:lang w:val="nl-NL"/>
        </w:rPr>
        <w:t xml:space="preserve">niet-begeleide buitenlandse minderjarigen. </w:t>
      </w:r>
      <w:r w:rsidRPr="00C27636">
        <w:rPr>
          <w:rFonts w:ascii="Calibri" w:eastAsia="Calibri" w:hAnsi="Calibri" w:cs="Calibri"/>
          <w:i/>
          <w:iCs/>
          <w:color w:val="000000"/>
          <w:sz w:val="20"/>
          <w:szCs w:val="20"/>
          <w:lang w:val="fr-BE"/>
        </w:rPr>
        <w:t>Verwachtingen, agency en psycho-sociaal welzijn</w:t>
      </w:r>
      <w:r w:rsidRPr="00C27636">
        <w:rPr>
          <w:rFonts w:ascii="Calibri" w:eastAsia="Calibri" w:hAnsi="Calibri" w:cs="Calibri"/>
          <w:color w:val="000000"/>
          <w:sz w:val="20"/>
          <w:szCs w:val="20"/>
          <w:lang w:val="fr-BE"/>
        </w:rPr>
        <w:t>, Gent, Academia Press, 2013: A leur</w:t>
      </w:r>
      <w:r w:rsidRPr="00C27636">
        <w:rPr>
          <w:rFonts w:ascii="Calibri" w:eastAsia="Calibri" w:hAnsi="Calibri" w:cs="Calibri"/>
          <w:i/>
          <w:iCs/>
          <w:color w:val="000000"/>
          <w:sz w:val="20"/>
          <w:szCs w:val="20"/>
          <w:lang w:val="fr-BE"/>
        </w:rPr>
        <w:t xml:space="preserve"> </w:t>
      </w:r>
      <w:r w:rsidRPr="00C27636">
        <w:rPr>
          <w:rFonts w:ascii="Calibri" w:eastAsia="Calibri" w:hAnsi="Calibri" w:cs="Calibri"/>
          <w:color w:val="000000"/>
          <w:sz w:val="20"/>
          <w:szCs w:val="20"/>
          <w:lang w:val="fr-BE"/>
        </w:rPr>
        <w:t>ar</w:t>
      </w:r>
      <w:r w:rsidRPr="00C27636">
        <w:rPr>
          <w:rFonts w:ascii="Calibri" w:eastAsia="Calibri" w:hAnsi="Calibri" w:cs="Calibri"/>
          <w:color w:val="000000"/>
          <w:sz w:val="20"/>
          <w:szCs w:val="20"/>
          <w:lang w:val="fr-BE"/>
        </w:rPr>
        <w:t>rivée en Belgique, plus d’1/4 des jeunes ont des symptômes sérieux d’angoisses et de dépression. La moitié a des symptômes sérieux de stress post-traumatique. Ces problèmes émotionnels subsistent après 18 mois. Plus encore, les facteurs de stress s’intensi</w:t>
      </w:r>
      <w:r w:rsidRPr="00C27636">
        <w:rPr>
          <w:rFonts w:ascii="Calibri" w:eastAsia="Calibri" w:hAnsi="Calibri" w:cs="Calibri"/>
          <w:color w:val="000000"/>
          <w:sz w:val="20"/>
          <w:szCs w:val="20"/>
          <w:lang w:val="fr-BE"/>
        </w:rPr>
        <w:t>fient avec le temps, conclut la recherche.</w:t>
      </w:r>
    </w:p>
    <w:p w:rsidR="00AC12B4" w:rsidRPr="00C27636" w:rsidRDefault="00AC12B4">
      <w:pPr>
        <w:spacing w:line="333" w:lineRule="exact"/>
        <w:rPr>
          <w:rFonts w:ascii="Calibri" w:eastAsia="Calibri" w:hAnsi="Calibri" w:cs="Calibri"/>
          <w:sz w:val="20"/>
          <w:szCs w:val="20"/>
          <w:lang w:val="fr-BE"/>
        </w:rPr>
      </w:pPr>
    </w:p>
    <w:p w:rsidR="00AC12B4" w:rsidRPr="00C27636" w:rsidRDefault="00C27636">
      <w:pPr>
        <w:numPr>
          <w:ilvl w:val="0"/>
          <w:numId w:val="402"/>
        </w:numPr>
        <w:tabs>
          <w:tab w:val="left" w:pos="800"/>
        </w:tabs>
        <w:spacing w:line="217" w:lineRule="auto"/>
        <w:ind w:left="800" w:right="86" w:hanging="365"/>
        <w:rPr>
          <w:rFonts w:ascii="Calibri" w:eastAsia="Calibri" w:hAnsi="Calibri" w:cs="Calibri"/>
          <w:color w:val="0F6D8F"/>
          <w:sz w:val="20"/>
          <w:szCs w:val="20"/>
          <w:lang w:val="fr-BE"/>
        </w:rPr>
      </w:pPr>
      <w:r w:rsidRPr="00C27636">
        <w:rPr>
          <w:rFonts w:ascii="Calibri" w:eastAsia="Calibri" w:hAnsi="Calibri" w:cs="Calibri"/>
          <w:b/>
          <w:bCs/>
          <w:i/>
          <w:iCs/>
          <w:color w:val="0F6D8F"/>
          <w:sz w:val="20"/>
          <w:szCs w:val="20"/>
          <w:lang w:val="fr-BE"/>
        </w:rPr>
        <w:t>Recherches sur l’impact d’un retour sur les enfants</w:t>
      </w:r>
      <w:r w:rsidRPr="00C27636">
        <w:rPr>
          <w:rFonts w:ascii="Calibri" w:eastAsia="Calibri" w:hAnsi="Calibri" w:cs="Calibri"/>
          <w:color w:val="0F6D8F"/>
          <w:sz w:val="20"/>
          <w:szCs w:val="20"/>
          <w:lang w:val="fr-BE"/>
        </w:rPr>
        <w:t>:</w:t>
      </w:r>
    </w:p>
    <w:p w:rsidR="00AC12B4" w:rsidRPr="00C27636" w:rsidRDefault="00AC12B4">
      <w:pPr>
        <w:spacing w:line="45" w:lineRule="exact"/>
        <w:rPr>
          <w:rFonts w:ascii="Calibri" w:eastAsia="Calibri" w:hAnsi="Calibri" w:cs="Calibri"/>
          <w:color w:val="0F6D8F"/>
          <w:sz w:val="20"/>
          <w:szCs w:val="20"/>
          <w:lang w:val="fr-BE"/>
        </w:rPr>
      </w:pPr>
    </w:p>
    <w:p w:rsidR="00AC12B4" w:rsidRDefault="00C27636">
      <w:pPr>
        <w:numPr>
          <w:ilvl w:val="1"/>
          <w:numId w:val="402"/>
        </w:numPr>
        <w:tabs>
          <w:tab w:val="left" w:pos="1360"/>
        </w:tabs>
        <w:spacing w:line="231" w:lineRule="auto"/>
        <w:ind w:left="1360" w:right="66" w:hanging="356"/>
        <w:jc w:val="both"/>
        <w:rPr>
          <w:rFonts w:ascii="Courier New" w:eastAsia="Courier New" w:hAnsi="Courier New" w:cs="Courier New"/>
          <w:sz w:val="20"/>
          <w:szCs w:val="20"/>
        </w:rPr>
      </w:pPr>
      <w:r>
        <w:rPr>
          <w:rFonts w:ascii="Calibri" w:eastAsia="Calibri" w:hAnsi="Calibri" w:cs="Calibri"/>
          <w:sz w:val="20"/>
          <w:szCs w:val="20"/>
        </w:rPr>
        <w:t xml:space="preserve">UNICEF (Verena KNAUS e.a.), </w:t>
      </w:r>
      <w:r>
        <w:rPr>
          <w:rFonts w:ascii="Calibri" w:eastAsia="Calibri" w:hAnsi="Calibri" w:cs="Calibri"/>
          <w:i/>
          <w:iCs/>
          <w:sz w:val="20"/>
          <w:szCs w:val="20"/>
        </w:rPr>
        <w:t>No</w:t>
      </w:r>
      <w:r>
        <w:rPr>
          <w:rFonts w:ascii="Calibri" w:eastAsia="Calibri" w:hAnsi="Calibri" w:cs="Calibri"/>
          <w:sz w:val="20"/>
          <w:szCs w:val="20"/>
        </w:rPr>
        <w:t xml:space="preserve"> </w:t>
      </w:r>
      <w:r>
        <w:rPr>
          <w:rFonts w:ascii="Calibri" w:eastAsia="Calibri" w:hAnsi="Calibri" w:cs="Calibri"/>
          <w:i/>
          <w:iCs/>
          <w:sz w:val="20"/>
          <w:szCs w:val="20"/>
        </w:rPr>
        <w:t>place to call home, Repatriation from Germany to Kosovo as seen and experienced by Roma, Ashkali and Egyptian children</w:t>
      </w:r>
      <w:r>
        <w:rPr>
          <w:rFonts w:ascii="Calibri" w:eastAsia="Calibri" w:hAnsi="Calibri" w:cs="Calibri"/>
          <w:sz w:val="20"/>
          <w:szCs w:val="20"/>
        </w:rPr>
        <w:t xml:space="preserve">, UNICEF </w:t>
      </w:r>
      <w:r>
        <w:rPr>
          <w:rFonts w:ascii="Calibri" w:eastAsia="Calibri" w:hAnsi="Calibri" w:cs="Calibri"/>
          <w:sz w:val="20"/>
          <w:szCs w:val="20"/>
        </w:rPr>
        <w:t>Kosovo</w:t>
      </w:r>
      <w:r>
        <w:rPr>
          <w:rFonts w:ascii="Calibri" w:eastAsia="Calibri" w:hAnsi="Calibri" w:cs="Calibri"/>
          <w:i/>
          <w:iCs/>
          <w:sz w:val="20"/>
          <w:szCs w:val="20"/>
        </w:rPr>
        <w:t xml:space="preserve"> </w:t>
      </w:r>
      <w:r>
        <w:rPr>
          <w:rFonts w:ascii="Calibri" w:eastAsia="Calibri" w:hAnsi="Calibri" w:cs="Calibri"/>
          <w:sz w:val="20"/>
          <w:szCs w:val="20"/>
        </w:rPr>
        <w:t>and the German Committee for</w:t>
      </w:r>
    </w:p>
    <w:p w:rsidR="00AC12B4" w:rsidRDefault="00AC12B4">
      <w:pPr>
        <w:spacing w:line="50" w:lineRule="exact"/>
        <w:rPr>
          <w:rFonts w:ascii="Courier New" w:eastAsia="Courier New" w:hAnsi="Courier New" w:cs="Courier New"/>
          <w:sz w:val="20"/>
          <w:szCs w:val="20"/>
        </w:rPr>
      </w:pPr>
    </w:p>
    <w:p w:rsidR="00AC12B4" w:rsidRDefault="00C27636">
      <w:pPr>
        <w:spacing w:line="216" w:lineRule="auto"/>
        <w:ind w:left="1360" w:right="86"/>
        <w:rPr>
          <w:rFonts w:ascii="Calibri" w:eastAsia="Calibri" w:hAnsi="Calibri" w:cs="Calibri"/>
          <w:color w:val="0000FF"/>
          <w:sz w:val="20"/>
          <w:szCs w:val="20"/>
          <w:u w:val="single"/>
        </w:rPr>
      </w:pPr>
      <w:r>
        <w:rPr>
          <w:rFonts w:ascii="Calibri" w:eastAsia="Calibri" w:hAnsi="Calibri" w:cs="Calibri"/>
          <w:sz w:val="20"/>
          <w:szCs w:val="20"/>
        </w:rPr>
        <w:t xml:space="preserve">UNICEF, augustus 2011, </w:t>
      </w:r>
      <w:hyperlink r:id="rId366">
        <w:r>
          <w:rPr>
            <w:rFonts w:ascii="Calibri" w:eastAsia="Calibri" w:hAnsi="Calibri" w:cs="Calibri"/>
            <w:color w:val="0000FF"/>
            <w:sz w:val="20"/>
            <w:szCs w:val="20"/>
            <w:u w:val="single"/>
          </w:rPr>
          <w:t>http://www.refworld.org/pdfid/4e6</w:t>
        </w:r>
      </w:hyperlink>
    </w:p>
    <w:p w:rsidR="00AC12B4" w:rsidRDefault="00AC12B4">
      <w:pPr>
        <w:spacing w:line="1" w:lineRule="exact"/>
        <w:rPr>
          <w:sz w:val="20"/>
          <w:szCs w:val="20"/>
        </w:rPr>
      </w:pPr>
    </w:p>
    <w:p w:rsidR="00AC12B4" w:rsidRDefault="00C27636">
      <w:pPr>
        <w:ind w:left="1360"/>
        <w:rPr>
          <w:rFonts w:ascii="Calibri" w:eastAsia="Calibri" w:hAnsi="Calibri" w:cs="Calibri"/>
          <w:color w:val="0000FF"/>
          <w:sz w:val="20"/>
          <w:szCs w:val="20"/>
          <w:u w:val="single"/>
        </w:rPr>
      </w:pPr>
      <w:hyperlink r:id="rId367">
        <w:r>
          <w:rPr>
            <w:rFonts w:ascii="Calibri" w:eastAsia="Calibri" w:hAnsi="Calibri" w:cs="Calibri"/>
            <w:color w:val="0000FF"/>
            <w:sz w:val="20"/>
            <w:szCs w:val="20"/>
            <w:u w:val="single"/>
          </w:rPr>
          <w:t>067632.pdf</w:t>
        </w:r>
      </w:hyperlink>
    </w:p>
    <w:p w:rsidR="00AC12B4" w:rsidRDefault="00AC12B4">
      <w:pPr>
        <w:spacing w:line="47" w:lineRule="exact"/>
        <w:rPr>
          <w:sz w:val="20"/>
          <w:szCs w:val="20"/>
        </w:rPr>
      </w:pPr>
    </w:p>
    <w:p w:rsidR="00AC12B4" w:rsidRDefault="00C27636">
      <w:pPr>
        <w:numPr>
          <w:ilvl w:val="0"/>
          <w:numId w:val="403"/>
        </w:numPr>
        <w:tabs>
          <w:tab w:val="left" w:pos="1360"/>
        </w:tabs>
        <w:spacing w:line="229" w:lineRule="auto"/>
        <w:ind w:left="1360" w:right="66" w:hanging="356"/>
        <w:jc w:val="both"/>
        <w:rPr>
          <w:rFonts w:ascii="Courier New" w:eastAsia="Courier New" w:hAnsi="Courier New" w:cs="Courier New"/>
          <w:sz w:val="20"/>
          <w:szCs w:val="20"/>
        </w:rPr>
      </w:pPr>
      <w:r>
        <w:rPr>
          <w:rFonts w:ascii="Calibri" w:eastAsia="Calibri" w:hAnsi="Calibri" w:cs="Calibri"/>
          <w:sz w:val="20"/>
          <w:szCs w:val="20"/>
        </w:rPr>
        <w:t xml:space="preserve">UNICEF (Verena KNAUS e.a.), </w:t>
      </w:r>
      <w:r>
        <w:rPr>
          <w:rFonts w:ascii="Calibri" w:eastAsia="Calibri" w:hAnsi="Calibri" w:cs="Calibri"/>
          <w:i/>
          <w:iCs/>
          <w:sz w:val="20"/>
          <w:szCs w:val="20"/>
        </w:rPr>
        <w:t>Silent</w:t>
      </w:r>
      <w:r>
        <w:rPr>
          <w:rFonts w:ascii="Calibri" w:eastAsia="Calibri" w:hAnsi="Calibri" w:cs="Calibri"/>
          <w:sz w:val="20"/>
          <w:szCs w:val="20"/>
        </w:rPr>
        <w:t xml:space="preserve"> </w:t>
      </w:r>
      <w:r>
        <w:rPr>
          <w:rFonts w:ascii="Calibri" w:eastAsia="Calibri" w:hAnsi="Calibri" w:cs="Calibri"/>
          <w:i/>
          <w:iCs/>
          <w:sz w:val="20"/>
          <w:szCs w:val="20"/>
        </w:rPr>
        <w:t>harm, A report assessing the situation of repatriated children’s psycho-social health</w:t>
      </w:r>
      <w:r>
        <w:rPr>
          <w:rFonts w:ascii="Calibri" w:eastAsia="Calibri" w:hAnsi="Calibri" w:cs="Calibri"/>
          <w:sz w:val="20"/>
          <w:szCs w:val="20"/>
        </w:rPr>
        <w:t>, UNICEF Kosovo</w:t>
      </w:r>
      <w:r>
        <w:rPr>
          <w:rFonts w:ascii="Calibri" w:eastAsia="Calibri" w:hAnsi="Calibri" w:cs="Calibri"/>
          <w:i/>
          <w:iCs/>
          <w:sz w:val="20"/>
          <w:szCs w:val="20"/>
        </w:rPr>
        <w:t xml:space="preserve"> </w:t>
      </w:r>
      <w:r>
        <w:rPr>
          <w:rFonts w:ascii="Calibri" w:eastAsia="Calibri" w:hAnsi="Calibri" w:cs="Calibri"/>
          <w:sz w:val="20"/>
          <w:szCs w:val="20"/>
        </w:rPr>
        <w:t>in cooperation with Kosovo Health</w:t>
      </w:r>
    </w:p>
    <w:p w:rsidR="00AC12B4" w:rsidRDefault="00AC12B4">
      <w:pPr>
        <w:spacing w:line="50" w:lineRule="exact"/>
        <w:rPr>
          <w:rFonts w:ascii="Courier New" w:eastAsia="Courier New" w:hAnsi="Courier New" w:cs="Courier New"/>
          <w:sz w:val="20"/>
          <w:szCs w:val="20"/>
        </w:rPr>
      </w:pPr>
    </w:p>
    <w:p w:rsidR="00AC12B4" w:rsidRPr="00C27636" w:rsidRDefault="00C27636">
      <w:pPr>
        <w:spacing w:line="228" w:lineRule="auto"/>
        <w:ind w:left="1360" w:right="86"/>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 xml:space="preserve">Foundation, mars 2012, </w:t>
      </w:r>
      <w:hyperlink r:id="rId368">
        <w:r w:rsidRPr="00C27636">
          <w:rPr>
            <w:rFonts w:ascii="Calibri" w:eastAsia="Calibri" w:hAnsi="Calibri" w:cs="Calibri"/>
            <w:color w:val="0000FF"/>
            <w:sz w:val="20"/>
            <w:szCs w:val="20"/>
            <w:u w:val="single"/>
            <w:lang w:val="fr-BE"/>
          </w:rPr>
          <w:t>http://www.unicef.org/kosovoprogr</w:t>
        </w:r>
      </w:hyperlink>
      <w:r w:rsidRPr="00C27636">
        <w:rPr>
          <w:rFonts w:ascii="Calibri" w:eastAsia="Calibri" w:hAnsi="Calibri" w:cs="Calibri"/>
          <w:color w:val="0000FF"/>
          <w:sz w:val="20"/>
          <w:szCs w:val="20"/>
          <w:u w:val="single"/>
          <w:lang w:val="fr-BE"/>
        </w:rPr>
        <w:t xml:space="preserve"> </w:t>
      </w:r>
      <w:hyperlink r:id="rId369">
        <w:r w:rsidRPr="00C27636">
          <w:rPr>
            <w:rFonts w:ascii="Calibri" w:eastAsia="Calibri" w:hAnsi="Calibri" w:cs="Calibri"/>
            <w:color w:val="0000FF"/>
            <w:sz w:val="20"/>
            <w:szCs w:val="20"/>
            <w:u w:val="single"/>
            <w:lang w:val="fr-BE"/>
          </w:rPr>
          <w:t>amme/SILENT_HARM_Eng_Web.pdf</w:t>
        </w:r>
      </w:hyperlink>
      <w:r w:rsidRPr="00C27636">
        <w:rPr>
          <w:rFonts w:ascii="Calibri" w:eastAsia="Calibri" w:hAnsi="Calibri" w:cs="Calibri"/>
          <w:color w:val="0000FF"/>
          <w:sz w:val="20"/>
          <w:szCs w:val="20"/>
          <w:u w:val="single"/>
          <w:lang w:val="fr-BE"/>
        </w:rPr>
        <w:t xml:space="preserve"> </w:t>
      </w:r>
      <w:r w:rsidRPr="00C27636">
        <w:rPr>
          <w:rFonts w:ascii="Calibri" w:eastAsia="Calibri" w:hAnsi="Calibri" w:cs="Calibri"/>
          <w:b/>
          <w:bCs/>
          <w:i/>
          <w:iCs/>
          <w:color w:val="000000"/>
          <w:sz w:val="20"/>
          <w:szCs w:val="20"/>
          <w:lang w:val="fr-BE"/>
        </w:rPr>
        <w:t xml:space="preserve">Quelques données </w:t>
      </w:r>
      <w:r w:rsidRPr="00C27636">
        <w:rPr>
          <w:rFonts w:ascii="Calibri" w:eastAsia="Calibri" w:hAnsi="Calibri" w:cs="Calibri"/>
          <w:color w:val="000000"/>
          <w:sz w:val="20"/>
          <w:szCs w:val="20"/>
          <w:lang w:val="fr-BE"/>
        </w:rPr>
        <w:t>:</w:t>
      </w:r>
    </w:p>
    <w:p w:rsidR="00AC12B4" w:rsidRPr="00C27636" w:rsidRDefault="00AC12B4">
      <w:pPr>
        <w:spacing w:line="47" w:lineRule="exact"/>
        <w:rPr>
          <w:rFonts w:ascii="Calibri" w:eastAsia="Calibri" w:hAnsi="Calibri" w:cs="Calibri"/>
          <w:color w:val="0000FF"/>
          <w:sz w:val="20"/>
          <w:szCs w:val="20"/>
          <w:u w:val="single"/>
          <w:lang w:val="fr-BE"/>
        </w:rPr>
      </w:pPr>
    </w:p>
    <w:p w:rsidR="00AC12B4" w:rsidRPr="00C27636" w:rsidRDefault="00C27636">
      <w:pPr>
        <w:spacing w:line="225" w:lineRule="auto"/>
        <w:ind w:left="1360" w:right="86"/>
        <w:jc w:val="both"/>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3/4 des enfants interrogés n'étaient plus scolarisés après leur retour et</w:t>
      </w:r>
      <w:r w:rsidRPr="00C27636">
        <w:rPr>
          <w:rFonts w:ascii="Calibri" w:eastAsia="Calibri" w:hAnsi="Calibri" w:cs="Calibri"/>
          <w:sz w:val="20"/>
          <w:szCs w:val="20"/>
          <w:lang w:val="fr-BE"/>
        </w:rPr>
        <w:t xml:space="preserve"> vivaient en situation de pauvreté.</w:t>
      </w:r>
    </w:p>
    <w:p w:rsidR="00AC12B4" w:rsidRPr="00C27636" w:rsidRDefault="00AC12B4">
      <w:pPr>
        <w:spacing w:line="47" w:lineRule="exact"/>
        <w:rPr>
          <w:rFonts w:ascii="Calibri" w:eastAsia="Calibri" w:hAnsi="Calibri" w:cs="Calibri"/>
          <w:color w:val="0000FF"/>
          <w:sz w:val="20"/>
          <w:szCs w:val="20"/>
          <w:u w:val="single"/>
          <w:lang w:val="fr-BE"/>
        </w:rPr>
      </w:pPr>
    </w:p>
    <w:p w:rsidR="00AC12B4" w:rsidRPr="00C27636" w:rsidRDefault="00C27636">
      <w:pPr>
        <w:spacing w:line="224" w:lineRule="auto"/>
        <w:ind w:left="1360" w:right="86"/>
        <w:jc w:val="both"/>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40 % d'entre eux étaient apatrides et ne possédaient pas de document d’identité.</w:t>
      </w:r>
    </w:p>
    <w:p w:rsidR="00AC12B4" w:rsidRPr="00C27636" w:rsidRDefault="00AC12B4">
      <w:pPr>
        <w:spacing w:line="1" w:lineRule="exact"/>
        <w:rPr>
          <w:rFonts w:ascii="Calibri" w:eastAsia="Calibri" w:hAnsi="Calibri" w:cs="Calibri"/>
          <w:color w:val="0000FF"/>
          <w:sz w:val="20"/>
          <w:szCs w:val="20"/>
          <w:u w:val="single"/>
          <w:lang w:val="fr-BE"/>
        </w:rPr>
      </w:pPr>
    </w:p>
    <w:p w:rsidR="00AC12B4" w:rsidRPr="00C27636" w:rsidRDefault="00C27636">
      <w:pPr>
        <w:ind w:left="1360"/>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Le problème du décrochage scolaire</w:t>
      </w:r>
    </w:p>
    <w:p w:rsidR="00AC12B4" w:rsidRPr="00C27636" w:rsidRDefault="00AC12B4">
      <w:pPr>
        <w:spacing w:line="47" w:lineRule="exact"/>
        <w:rPr>
          <w:rFonts w:ascii="Calibri" w:eastAsia="Calibri" w:hAnsi="Calibri" w:cs="Calibri"/>
          <w:color w:val="0000FF"/>
          <w:sz w:val="20"/>
          <w:szCs w:val="20"/>
          <w:u w:val="single"/>
          <w:lang w:val="fr-BE"/>
        </w:rPr>
      </w:pPr>
    </w:p>
    <w:p w:rsidR="00AC12B4" w:rsidRPr="00C27636" w:rsidRDefault="00C27636">
      <w:pPr>
        <w:spacing w:line="224" w:lineRule="auto"/>
        <w:ind w:left="1360" w:right="86"/>
        <w:jc w:val="both"/>
        <w:rPr>
          <w:rFonts w:ascii="Calibri" w:eastAsia="Calibri" w:hAnsi="Calibri" w:cs="Calibri"/>
          <w:color w:val="0000FF"/>
          <w:sz w:val="20"/>
          <w:szCs w:val="20"/>
          <w:u w:val="single"/>
          <w:lang w:val="fr-BE"/>
        </w:rPr>
      </w:pPr>
      <w:r w:rsidRPr="00C27636">
        <w:rPr>
          <w:rFonts w:ascii="Calibri" w:eastAsia="Calibri" w:hAnsi="Calibri" w:cs="Calibri"/>
          <w:sz w:val="20"/>
          <w:szCs w:val="20"/>
          <w:lang w:val="fr-BE"/>
        </w:rPr>
        <w:t>subsistait également après l'évaluation de la situation à la suite de l'enquête (contrôle été 2011).</w:t>
      </w:r>
    </w:p>
    <w:p w:rsidR="00AC12B4" w:rsidRPr="00C27636" w:rsidRDefault="00AC12B4">
      <w:pPr>
        <w:spacing w:line="374" w:lineRule="exact"/>
        <w:rPr>
          <w:rFonts w:ascii="Courier New" w:eastAsia="Courier New" w:hAnsi="Courier New" w:cs="Courier New"/>
          <w:sz w:val="20"/>
          <w:szCs w:val="20"/>
          <w:lang w:val="fr-BE"/>
        </w:rPr>
      </w:pPr>
    </w:p>
    <w:p w:rsidR="00AC12B4" w:rsidRDefault="00C27636">
      <w:pPr>
        <w:rPr>
          <w:sz w:val="20"/>
          <w:szCs w:val="20"/>
        </w:rPr>
      </w:pPr>
      <w:r>
        <w:rPr>
          <w:rFonts w:ascii="Calibri" w:eastAsia="Calibri" w:hAnsi="Calibri" w:cs="Calibri"/>
        </w:rPr>
        <w:t>205</w:t>
      </w:r>
    </w:p>
    <w:p w:rsidR="00AC12B4" w:rsidRDefault="00C27636">
      <w:pPr>
        <w:spacing w:line="20" w:lineRule="exact"/>
        <w:rPr>
          <w:rFonts w:ascii="Courier New" w:eastAsia="Courier New" w:hAnsi="Courier New" w:cs="Courier New"/>
          <w:sz w:val="20"/>
          <w:szCs w:val="20"/>
        </w:rPr>
      </w:pPr>
      <w:r>
        <w:rPr>
          <w:rFonts w:ascii="Courier New" w:eastAsia="Courier New" w:hAnsi="Courier New" w:cs="Courier New"/>
          <w:sz w:val="20"/>
          <w:szCs w:val="20"/>
        </w:rPr>
        <w:br w:type="column"/>
      </w: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00" w:lineRule="exact"/>
        <w:rPr>
          <w:rFonts w:ascii="Courier New" w:eastAsia="Courier New" w:hAnsi="Courier New" w:cs="Courier New"/>
          <w:sz w:val="20"/>
          <w:szCs w:val="20"/>
        </w:rPr>
      </w:pPr>
    </w:p>
    <w:p w:rsidR="00AC12B4" w:rsidRDefault="00AC12B4">
      <w:pPr>
        <w:spacing w:line="259" w:lineRule="exact"/>
        <w:rPr>
          <w:rFonts w:ascii="Courier New" w:eastAsia="Courier New" w:hAnsi="Courier New" w:cs="Courier New"/>
          <w:sz w:val="20"/>
          <w:szCs w:val="20"/>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Les droits des mineurs étrangers</w:t>
            </w:r>
          </w:p>
        </w:tc>
      </w:tr>
    </w:tbl>
    <w:p w:rsidR="00AC12B4" w:rsidRPr="00C27636" w:rsidRDefault="00C27636">
      <w:pPr>
        <w:spacing w:line="20" w:lineRule="exact"/>
        <w:rPr>
          <w:rFonts w:ascii="Courier New" w:eastAsia="Courier New" w:hAnsi="Courier New" w:cs="Courier New"/>
          <w:sz w:val="20"/>
          <w:szCs w:val="20"/>
          <w:lang w:val="fr-BE"/>
        </w:rPr>
      </w:pPr>
      <w:r>
        <w:rPr>
          <w:rFonts w:ascii="Courier New" w:eastAsia="Courier New" w:hAnsi="Courier New" w:cs="Courier New"/>
          <w:noProof/>
          <w:sz w:val="20"/>
          <w:szCs w:val="20"/>
        </w:rPr>
        <mc:AlternateContent>
          <mc:Choice Requires="wps">
            <w:drawing>
              <wp:anchor distT="0" distB="0" distL="114300" distR="114300" simplePos="0" relativeHeight="251957760" behindDoc="1" locked="0" layoutInCell="0" allowOverlap="1">
                <wp:simplePos x="0" y="0"/>
                <wp:positionH relativeFrom="column">
                  <wp:posOffset>-219075</wp:posOffset>
                </wp:positionH>
                <wp:positionV relativeFrom="paragraph">
                  <wp:posOffset>-9943465</wp:posOffset>
                </wp:positionV>
                <wp:extent cx="734060" cy="10905490"/>
                <wp:effectExtent l="0" t="0" r="0" b="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060" cy="10905490"/>
                        </a:xfrm>
                        <a:prstGeom prst="rect">
                          <a:avLst/>
                        </a:prstGeom>
                        <a:solidFill>
                          <a:srgbClr val="159DCF"/>
                        </a:solidFill>
                      </wps:spPr>
                      <wps:bodyPr/>
                    </wps:wsp>
                  </a:graphicData>
                </a:graphic>
              </wp:anchor>
            </w:drawing>
          </mc:Choice>
          <mc:Fallback>
            <w:pict>
              <v:rect id="Shape 627" o:spid="_x0000_s1652" style="position:absolute;margin-left:-17.2499pt;margin-top:-782.9499pt;width:57.8pt;height:85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59DCF" stroked="f"/>
            </w:pict>
          </mc:Fallback>
        </mc:AlternateContent>
      </w:r>
    </w:p>
    <w:p w:rsidR="00AC12B4" w:rsidRPr="00C27636" w:rsidRDefault="00AC12B4">
      <w:pPr>
        <w:rPr>
          <w:lang w:val="fr-BE"/>
        </w:rPr>
        <w:sectPr w:rsidR="00AC12B4" w:rsidRPr="00C27636">
          <w:pgSz w:w="12080" w:h="17179"/>
          <w:pgMar w:top="1440" w:right="481" w:bottom="659" w:left="1440" w:header="0" w:footer="0" w:gutter="0"/>
          <w:cols w:num="3" w:space="720" w:equalWidth="0">
            <w:col w:w="4440" w:space="200"/>
            <w:col w:w="4466" w:space="720"/>
            <w:col w:w="330"/>
          </w:cols>
        </w:sectPr>
      </w:pPr>
    </w:p>
    <w:bookmarkStart w:id="206" w:name="page206"/>
    <w:bookmarkEnd w:id="206"/>
    <w:p w:rsidR="00AC12B4" w:rsidRPr="00C27636" w:rsidRDefault="00C27636">
      <w:pPr>
        <w:spacing w:line="200" w:lineRule="exact"/>
        <w:rPr>
          <w:sz w:val="20"/>
          <w:szCs w:val="20"/>
          <w:lang w:val="fr-BE"/>
        </w:rPr>
      </w:pPr>
      <w:r>
        <w:rPr>
          <w:noProof/>
          <w:sz w:val="20"/>
          <w:szCs w:val="20"/>
        </w:rPr>
        <mc:AlternateContent>
          <mc:Choice Requires="wps">
            <w:drawing>
              <wp:anchor distT="0" distB="0" distL="114300" distR="114300" simplePos="0" relativeHeight="251958784" behindDoc="1" locked="0" layoutInCell="0" allowOverlap="1">
                <wp:simplePos x="0" y="0"/>
                <wp:positionH relativeFrom="page">
                  <wp:posOffset>0</wp:posOffset>
                </wp:positionH>
                <wp:positionV relativeFrom="page">
                  <wp:posOffset>8890</wp:posOffset>
                </wp:positionV>
                <wp:extent cx="742950" cy="10896600"/>
                <wp:effectExtent l="0" t="0" r="0" b="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2950" cy="10896600"/>
                        </a:xfrm>
                        <a:prstGeom prst="rect">
                          <a:avLst/>
                        </a:prstGeom>
                        <a:solidFill>
                          <a:srgbClr val="159DCF"/>
                        </a:solidFill>
                      </wps:spPr>
                      <wps:bodyPr/>
                    </wps:wsp>
                  </a:graphicData>
                </a:graphic>
              </wp:anchor>
            </w:drawing>
          </mc:Choice>
          <mc:Fallback>
            <w:pict>
              <v:rect id="Shape 628" o:spid="_x0000_s1653" style="position:absolute;margin-left:0pt;margin-top:0.7pt;width:58.5pt;height:85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59DCF" stroked="f">
                <w10:wrap anchorx="page" anchory="page"/>
              </v:rec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9" w:lineRule="exact"/>
        <w:rPr>
          <w:sz w:val="20"/>
          <w:szCs w:val="20"/>
          <w:lang w:val="fr-BE"/>
        </w:rPr>
      </w:pPr>
    </w:p>
    <w:tbl>
      <w:tblPr>
        <w:tblW w:w="0" w:type="auto"/>
        <w:tblLayout w:type="fixed"/>
        <w:tblCellMar>
          <w:left w:w="0" w:type="dxa"/>
          <w:right w:w="0" w:type="dxa"/>
        </w:tblCellMar>
        <w:tblLook w:val="04A0" w:firstRow="1" w:lastRow="0" w:firstColumn="1" w:lastColumn="0" w:noHBand="0" w:noVBand="1"/>
      </w:tblPr>
      <w:tblGrid>
        <w:gridCol w:w="330"/>
      </w:tblGrid>
      <w:tr w:rsidR="00AC12B4" w:rsidRPr="00C27636">
        <w:trPr>
          <w:trHeight w:val="3740"/>
        </w:trPr>
        <w:tc>
          <w:tcPr>
            <w:tcW w:w="330" w:type="dxa"/>
            <w:textDirection w:val="btLr"/>
            <w:vAlign w:val="bottom"/>
          </w:tcPr>
          <w:p w:rsidR="00AC12B4" w:rsidRPr="00C27636" w:rsidRDefault="00C27636">
            <w:pPr>
              <w:rPr>
                <w:sz w:val="20"/>
                <w:szCs w:val="20"/>
                <w:lang w:val="fr-BE"/>
              </w:rPr>
            </w:pPr>
            <w:r w:rsidRPr="00C27636">
              <w:rPr>
                <w:rFonts w:ascii="Calibri" w:eastAsia="Calibri" w:hAnsi="Calibri" w:cs="Calibri"/>
                <w:b/>
                <w:bCs/>
                <w:i/>
                <w:iCs/>
                <w:color w:val="F2F2F2"/>
                <w:sz w:val="27"/>
                <w:szCs w:val="27"/>
                <w:lang w:val="fr-BE"/>
              </w:rPr>
              <w:t>Les droits des mineurs étrangers</w:t>
            </w:r>
          </w:p>
        </w:tc>
      </w:tr>
    </w:tbl>
    <w:p w:rsidR="00AC12B4" w:rsidRPr="00C27636" w:rsidRDefault="00C27636">
      <w:pPr>
        <w:spacing w:line="20" w:lineRule="exact"/>
        <w:rPr>
          <w:sz w:val="20"/>
          <w:szCs w:val="20"/>
          <w:lang w:val="fr-BE"/>
        </w:rPr>
      </w:pPr>
      <w:r w:rsidRPr="00C27636">
        <w:rPr>
          <w:sz w:val="20"/>
          <w:szCs w:val="20"/>
          <w:lang w:val="fr-BE"/>
        </w:rPr>
        <w:br w:type="column"/>
      </w:r>
    </w:p>
    <w:p w:rsidR="00AC12B4" w:rsidRPr="00C27636" w:rsidRDefault="00AC12B4">
      <w:pPr>
        <w:spacing w:line="144" w:lineRule="exact"/>
        <w:rPr>
          <w:sz w:val="20"/>
          <w:szCs w:val="20"/>
          <w:lang w:val="fr-BE"/>
        </w:rPr>
      </w:pPr>
    </w:p>
    <w:p w:rsidR="00AC12B4" w:rsidRPr="00C27636" w:rsidRDefault="00C27636">
      <w:pPr>
        <w:ind w:left="936"/>
        <w:rPr>
          <w:sz w:val="20"/>
          <w:szCs w:val="20"/>
          <w:lang w:val="fr-BE"/>
        </w:rPr>
      </w:pPr>
      <w:r w:rsidRPr="00C27636">
        <w:rPr>
          <w:rFonts w:ascii="Calibri" w:eastAsia="Calibri" w:hAnsi="Calibri" w:cs="Calibri"/>
          <w:sz w:val="20"/>
          <w:szCs w:val="20"/>
          <w:lang w:val="fr-BE"/>
        </w:rPr>
        <w:t>1/3  des  enfants  souffraient  d'un</w:t>
      </w:r>
    </w:p>
    <w:p w:rsidR="00AC12B4" w:rsidRPr="00C27636" w:rsidRDefault="00AC12B4">
      <w:pPr>
        <w:spacing w:line="1" w:lineRule="exact"/>
        <w:rPr>
          <w:sz w:val="20"/>
          <w:szCs w:val="20"/>
          <w:lang w:val="fr-BE"/>
        </w:rPr>
      </w:pPr>
    </w:p>
    <w:p w:rsidR="00AC12B4" w:rsidRPr="00C27636" w:rsidRDefault="00C27636">
      <w:pPr>
        <w:tabs>
          <w:tab w:val="left" w:pos="2096"/>
          <w:tab w:val="left" w:pos="2676"/>
          <w:tab w:val="left" w:pos="3516"/>
        </w:tabs>
        <w:ind w:left="936"/>
        <w:rPr>
          <w:sz w:val="20"/>
          <w:szCs w:val="20"/>
          <w:lang w:val="fr-BE"/>
        </w:rPr>
      </w:pPr>
      <w:r w:rsidRPr="00C27636">
        <w:rPr>
          <w:rFonts w:ascii="Calibri" w:eastAsia="Calibri" w:hAnsi="Calibri" w:cs="Calibri"/>
          <w:sz w:val="20"/>
          <w:szCs w:val="20"/>
          <w:lang w:val="fr-BE"/>
        </w:rPr>
        <w:t>syndrome</w:t>
      </w:r>
      <w:r w:rsidRPr="00C27636">
        <w:rPr>
          <w:sz w:val="20"/>
          <w:szCs w:val="20"/>
          <w:lang w:val="fr-BE"/>
        </w:rPr>
        <w:tab/>
      </w:r>
      <w:r w:rsidRPr="00C27636">
        <w:rPr>
          <w:rFonts w:ascii="Calibri" w:eastAsia="Calibri" w:hAnsi="Calibri" w:cs="Calibri"/>
          <w:sz w:val="20"/>
          <w:szCs w:val="20"/>
          <w:lang w:val="fr-BE"/>
        </w:rPr>
        <w:t>de</w:t>
      </w:r>
      <w:r w:rsidRPr="00C27636">
        <w:rPr>
          <w:sz w:val="20"/>
          <w:szCs w:val="20"/>
          <w:lang w:val="fr-BE"/>
        </w:rPr>
        <w:tab/>
      </w:r>
      <w:r w:rsidRPr="00C27636">
        <w:rPr>
          <w:rFonts w:ascii="Calibri" w:eastAsia="Calibri" w:hAnsi="Calibri" w:cs="Calibri"/>
          <w:sz w:val="20"/>
          <w:szCs w:val="20"/>
          <w:lang w:val="fr-BE"/>
        </w:rPr>
        <w:t>stress</w:t>
      </w:r>
      <w:r w:rsidRPr="00C27636">
        <w:rPr>
          <w:sz w:val="20"/>
          <w:szCs w:val="20"/>
          <w:lang w:val="fr-BE"/>
        </w:rPr>
        <w:tab/>
      </w:r>
      <w:r w:rsidRPr="00C27636">
        <w:rPr>
          <w:rFonts w:ascii="Calibri" w:eastAsia="Calibri" w:hAnsi="Calibri" w:cs="Calibri"/>
          <w:sz w:val="20"/>
          <w:szCs w:val="20"/>
          <w:lang w:val="fr-BE"/>
        </w:rPr>
        <w:t>post-</w:t>
      </w:r>
    </w:p>
    <w:p w:rsidR="00AC12B4" w:rsidRPr="00C27636" w:rsidRDefault="00C27636">
      <w:pPr>
        <w:spacing w:line="238" w:lineRule="auto"/>
        <w:ind w:left="936"/>
        <w:rPr>
          <w:sz w:val="20"/>
          <w:szCs w:val="20"/>
          <w:lang w:val="fr-BE"/>
        </w:rPr>
      </w:pPr>
      <w:r w:rsidRPr="00C27636">
        <w:rPr>
          <w:rFonts w:ascii="Calibri" w:eastAsia="Calibri" w:hAnsi="Calibri" w:cs="Calibri"/>
          <w:sz w:val="20"/>
          <w:szCs w:val="20"/>
          <w:lang w:val="fr-BE"/>
        </w:rPr>
        <w:t>traumatique. 44 % souffraient d'une</w:t>
      </w:r>
    </w:p>
    <w:p w:rsidR="00AC12B4" w:rsidRPr="00C27636" w:rsidRDefault="00AC12B4">
      <w:pPr>
        <w:spacing w:line="1" w:lineRule="exact"/>
        <w:rPr>
          <w:sz w:val="20"/>
          <w:szCs w:val="20"/>
          <w:lang w:val="fr-BE"/>
        </w:rPr>
      </w:pPr>
    </w:p>
    <w:p w:rsidR="00AC12B4" w:rsidRPr="00C27636" w:rsidRDefault="00C27636">
      <w:pPr>
        <w:ind w:left="936"/>
        <w:rPr>
          <w:sz w:val="20"/>
          <w:szCs w:val="20"/>
          <w:lang w:val="fr-BE"/>
        </w:rPr>
      </w:pPr>
      <w:r w:rsidRPr="00C27636">
        <w:rPr>
          <w:rFonts w:ascii="Calibri" w:eastAsia="Calibri" w:hAnsi="Calibri" w:cs="Calibri"/>
          <w:sz w:val="20"/>
          <w:szCs w:val="20"/>
          <w:lang w:val="fr-BE"/>
        </w:rPr>
        <w:t>dépression  clinique.  26 %  avaient</w:t>
      </w:r>
    </w:p>
    <w:p w:rsidR="00AC12B4" w:rsidRPr="00C27636" w:rsidRDefault="00AC12B4">
      <w:pPr>
        <w:spacing w:line="1" w:lineRule="exact"/>
        <w:rPr>
          <w:sz w:val="20"/>
          <w:szCs w:val="20"/>
          <w:lang w:val="fr-BE"/>
        </w:rPr>
      </w:pPr>
    </w:p>
    <w:p w:rsidR="00AC12B4" w:rsidRPr="00C27636" w:rsidRDefault="00C27636">
      <w:pPr>
        <w:tabs>
          <w:tab w:val="left" w:pos="1376"/>
          <w:tab w:val="left" w:pos="2096"/>
          <w:tab w:val="left" w:pos="3176"/>
          <w:tab w:val="left" w:pos="3656"/>
        </w:tabs>
        <w:ind w:left="936"/>
        <w:rPr>
          <w:sz w:val="20"/>
          <w:szCs w:val="20"/>
          <w:lang w:val="fr-BE"/>
        </w:rPr>
      </w:pPr>
      <w:r w:rsidRPr="00C27636">
        <w:rPr>
          <w:rFonts w:ascii="Calibri" w:eastAsia="Calibri" w:hAnsi="Calibri" w:cs="Calibri"/>
          <w:sz w:val="20"/>
          <w:szCs w:val="20"/>
          <w:lang w:val="fr-BE"/>
        </w:rPr>
        <w:t>des</w:t>
      </w:r>
      <w:r w:rsidRPr="00C27636">
        <w:rPr>
          <w:rFonts w:ascii="Calibri" w:eastAsia="Calibri" w:hAnsi="Calibri" w:cs="Calibri"/>
          <w:sz w:val="20"/>
          <w:szCs w:val="20"/>
          <w:lang w:val="fr-BE"/>
        </w:rPr>
        <w:tab/>
        <w:t>envies</w:t>
      </w:r>
      <w:r w:rsidRPr="00C27636">
        <w:rPr>
          <w:rFonts w:ascii="Calibri" w:eastAsia="Calibri" w:hAnsi="Calibri" w:cs="Calibri"/>
          <w:sz w:val="20"/>
          <w:szCs w:val="20"/>
          <w:lang w:val="fr-BE"/>
        </w:rPr>
        <w:tab/>
        <w:t>suicidaires.</w:t>
      </w:r>
      <w:r w:rsidRPr="00C27636">
        <w:rPr>
          <w:rFonts w:ascii="Calibri" w:eastAsia="Calibri" w:hAnsi="Calibri" w:cs="Calibri"/>
          <w:sz w:val="20"/>
          <w:szCs w:val="20"/>
          <w:lang w:val="fr-BE"/>
        </w:rPr>
        <w:tab/>
        <w:t>2/3</w:t>
      </w:r>
      <w:r w:rsidRPr="00C27636">
        <w:rPr>
          <w:sz w:val="20"/>
          <w:szCs w:val="20"/>
          <w:lang w:val="fr-BE"/>
        </w:rPr>
        <w:tab/>
      </w:r>
      <w:r w:rsidRPr="00C27636">
        <w:rPr>
          <w:rFonts w:ascii="Calibri" w:eastAsia="Calibri" w:hAnsi="Calibri" w:cs="Calibri"/>
          <w:sz w:val="19"/>
          <w:szCs w:val="19"/>
          <w:lang w:val="fr-BE"/>
        </w:rPr>
        <w:t>des</w:t>
      </w:r>
    </w:p>
    <w:p w:rsidR="00AC12B4" w:rsidRPr="00C27636" w:rsidRDefault="00C27636">
      <w:pPr>
        <w:spacing w:line="238" w:lineRule="auto"/>
        <w:ind w:left="936"/>
        <w:rPr>
          <w:sz w:val="20"/>
          <w:szCs w:val="20"/>
          <w:lang w:val="fr-BE"/>
        </w:rPr>
      </w:pPr>
      <w:r w:rsidRPr="00C27636">
        <w:rPr>
          <w:rFonts w:ascii="Calibri" w:eastAsia="Calibri" w:hAnsi="Calibri" w:cs="Calibri"/>
          <w:sz w:val="20"/>
          <w:szCs w:val="20"/>
          <w:lang w:val="fr-BE"/>
        </w:rPr>
        <w:t>adolescents  avaient  besoin  d'être</w:t>
      </w:r>
    </w:p>
    <w:p w:rsidR="00AC12B4" w:rsidRPr="00C27636" w:rsidRDefault="00AC12B4">
      <w:pPr>
        <w:spacing w:line="1" w:lineRule="exact"/>
        <w:rPr>
          <w:sz w:val="20"/>
          <w:szCs w:val="20"/>
          <w:lang w:val="fr-BE"/>
        </w:rPr>
      </w:pPr>
    </w:p>
    <w:p w:rsidR="00AC12B4" w:rsidRPr="00C27636" w:rsidRDefault="00C27636">
      <w:pPr>
        <w:ind w:left="936"/>
        <w:rPr>
          <w:sz w:val="20"/>
          <w:szCs w:val="20"/>
          <w:lang w:val="fr-BE"/>
        </w:rPr>
      </w:pPr>
      <w:r w:rsidRPr="00C27636">
        <w:rPr>
          <w:rFonts w:ascii="Calibri" w:eastAsia="Calibri" w:hAnsi="Calibri" w:cs="Calibri"/>
          <w:sz w:val="20"/>
          <w:szCs w:val="20"/>
          <w:lang w:val="fr-BE"/>
        </w:rPr>
        <w:t>aidés.</w:t>
      </w:r>
    </w:p>
    <w:p w:rsidR="00AC12B4" w:rsidRPr="00C27636" w:rsidRDefault="00AC12B4">
      <w:pPr>
        <w:spacing w:line="1" w:lineRule="exact"/>
        <w:rPr>
          <w:sz w:val="20"/>
          <w:szCs w:val="20"/>
          <w:lang w:val="fr-BE"/>
        </w:rPr>
      </w:pPr>
    </w:p>
    <w:p w:rsidR="00AC12B4" w:rsidRPr="00C27636" w:rsidRDefault="00C27636">
      <w:pPr>
        <w:ind w:left="936"/>
        <w:rPr>
          <w:sz w:val="20"/>
          <w:szCs w:val="20"/>
          <w:lang w:val="fr-BE"/>
        </w:rPr>
      </w:pPr>
      <w:r w:rsidRPr="00C27636">
        <w:rPr>
          <w:rFonts w:ascii="Calibri" w:eastAsia="Calibri" w:hAnsi="Calibri" w:cs="Calibri"/>
          <w:sz w:val="20"/>
          <w:szCs w:val="20"/>
          <w:lang w:val="fr-BE"/>
        </w:rPr>
        <w:t>Pour ce qui regarde les parents, 2/3</w:t>
      </w:r>
    </w:p>
    <w:p w:rsidR="00AC12B4" w:rsidRPr="00C27636" w:rsidRDefault="00AC12B4">
      <w:pPr>
        <w:spacing w:line="1" w:lineRule="exact"/>
        <w:rPr>
          <w:sz w:val="20"/>
          <w:szCs w:val="20"/>
          <w:lang w:val="fr-BE"/>
        </w:rPr>
      </w:pPr>
    </w:p>
    <w:p w:rsidR="00AC12B4" w:rsidRPr="00C27636" w:rsidRDefault="00C27636">
      <w:pPr>
        <w:tabs>
          <w:tab w:val="left" w:pos="1796"/>
          <w:tab w:val="left" w:pos="2376"/>
          <w:tab w:val="left" w:pos="3576"/>
        </w:tabs>
        <w:ind w:left="936"/>
        <w:rPr>
          <w:sz w:val="20"/>
          <w:szCs w:val="20"/>
          <w:lang w:val="fr-BE"/>
        </w:rPr>
      </w:pPr>
      <w:r w:rsidRPr="00C27636">
        <w:rPr>
          <w:rFonts w:ascii="Calibri" w:eastAsia="Calibri" w:hAnsi="Calibri" w:cs="Calibri"/>
          <w:sz w:val="20"/>
          <w:szCs w:val="20"/>
          <w:lang w:val="fr-BE"/>
        </w:rPr>
        <w:t>d'entre</w:t>
      </w:r>
      <w:r w:rsidRPr="00C27636">
        <w:rPr>
          <w:rFonts w:ascii="Calibri" w:eastAsia="Calibri" w:hAnsi="Calibri" w:cs="Calibri"/>
          <w:sz w:val="20"/>
          <w:szCs w:val="20"/>
          <w:lang w:val="fr-BE"/>
        </w:rPr>
        <w:tab/>
        <w:t>eux</w:t>
      </w:r>
      <w:r w:rsidRPr="00C27636">
        <w:rPr>
          <w:rFonts w:ascii="Calibri" w:eastAsia="Calibri" w:hAnsi="Calibri" w:cs="Calibri"/>
          <w:sz w:val="20"/>
          <w:szCs w:val="20"/>
          <w:lang w:val="fr-BE"/>
        </w:rPr>
        <w:tab/>
        <w:t>souffraient</w:t>
      </w:r>
      <w:r w:rsidRPr="00C27636">
        <w:rPr>
          <w:rFonts w:ascii="Calibri" w:eastAsia="Calibri" w:hAnsi="Calibri" w:cs="Calibri"/>
          <w:sz w:val="20"/>
          <w:szCs w:val="20"/>
          <w:lang w:val="fr-BE"/>
        </w:rPr>
        <w:tab/>
        <w:t>d'un</w:t>
      </w:r>
    </w:p>
    <w:p w:rsidR="00AC12B4" w:rsidRPr="00C27636" w:rsidRDefault="00C27636">
      <w:pPr>
        <w:tabs>
          <w:tab w:val="left" w:pos="2096"/>
          <w:tab w:val="left" w:pos="2676"/>
          <w:tab w:val="left" w:pos="3516"/>
        </w:tabs>
        <w:spacing w:line="238" w:lineRule="auto"/>
        <w:ind w:left="936"/>
        <w:rPr>
          <w:sz w:val="20"/>
          <w:szCs w:val="20"/>
          <w:lang w:val="fr-BE"/>
        </w:rPr>
      </w:pPr>
      <w:r w:rsidRPr="00C27636">
        <w:rPr>
          <w:rFonts w:ascii="Calibri" w:eastAsia="Calibri" w:hAnsi="Calibri" w:cs="Calibri"/>
          <w:sz w:val="20"/>
          <w:szCs w:val="20"/>
          <w:lang w:val="fr-BE"/>
        </w:rPr>
        <w:t>syndrome</w:t>
      </w:r>
      <w:r w:rsidRPr="00C27636">
        <w:rPr>
          <w:sz w:val="20"/>
          <w:szCs w:val="20"/>
          <w:lang w:val="fr-BE"/>
        </w:rPr>
        <w:tab/>
      </w:r>
      <w:r w:rsidRPr="00C27636">
        <w:rPr>
          <w:rFonts w:ascii="Calibri" w:eastAsia="Calibri" w:hAnsi="Calibri" w:cs="Calibri"/>
          <w:sz w:val="20"/>
          <w:szCs w:val="20"/>
          <w:lang w:val="fr-BE"/>
        </w:rPr>
        <w:t>de</w:t>
      </w:r>
      <w:r w:rsidRPr="00C27636">
        <w:rPr>
          <w:sz w:val="20"/>
          <w:szCs w:val="20"/>
          <w:lang w:val="fr-BE"/>
        </w:rPr>
        <w:tab/>
      </w:r>
      <w:r w:rsidRPr="00C27636">
        <w:rPr>
          <w:rFonts w:ascii="Calibri" w:eastAsia="Calibri" w:hAnsi="Calibri" w:cs="Calibri"/>
          <w:sz w:val="20"/>
          <w:szCs w:val="20"/>
          <w:lang w:val="fr-BE"/>
        </w:rPr>
        <w:t>stress</w:t>
      </w:r>
      <w:r w:rsidRPr="00C27636">
        <w:rPr>
          <w:sz w:val="20"/>
          <w:szCs w:val="20"/>
          <w:lang w:val="fr-BE"/>
        </w:rPr>
        <w:tab/>
      </w:r>
      <w:r w:rsidRPr="00C27636">
        <w:rPr>
          <w:rFonts w:ascii="Calibri" w:eastAsia="Calibri" w:hAnsi="Calibri" w:cs="Calibri"/>
          <w:sz w:val="20"/>
          <w:szCs w:val="20"/>
          <w:lang w:val="fr-BE"/>
        </w:rPr>
        <w:t>post-</w:t>
      </w:r>
    </w:p>
    <w:p w:rsidR="00AC12B4" w:rsidRPr="00C27636" w:rsidRDefault="00AC12B4">
      <w:pPr>
        <w:spacing w:line="1" w:lineRule="exact"/>
        <w:rPr>
          <w:sz w:val="20"/>
          <w:szCs w:val="20"/>
          <w:lang w:val="fr-BE"/>
        </w:rPr>
      </w:pPr>
    </w:p>
    <w:p w:rsidR="00AC12B4" w:rsidRPr="00C27636" w:rsidRDefault="00C27636">
      <w:pPr>
        <w:tabs>
          <w:tab w:val="left" w:pos="2096"/>
          <w:tab w:val="left" w:pos="2456"/>
          <w:tab w:val="left" w:pos="3016"/>
          <w:tab w:val="left" w:pos="3476"/>
        </w:tabs>
        <w:ind w:left="936"/>
        <w:rPr>
          <w:sz w:val="20"/>
          <w:szCs w:val="20"/>
          <w:lang w:val="fr-BE"/>
        </w:rPr>
      </w:pPr>
      <w:r w:rsidRPr="00C27636">
        <w:rPr>
          <w:rFonts w:ascii="Calibri" w:eastAsia="Calibri" w:hAnsi="Calibri" w:cs="Calibri"/>
          <w:sz w:val="20"/>
          <w:szCs w:val="20"/>
          <w:lang w:val="fr-BE"/>
        </w:rPr>
        <w:t>traumatique</w:t>
      </w:r>
      <w:r w:rsidRPr="00C27636">
        <w:rPr>
          <w:rFonts w:ascii="Calibri" w:eastAsia="Calibri" w:hAnsi="Calibri" w:cs="Calibri"/>
          <w:sz w:val="20"/>
          <w:szCs w:val="20"/>
          <w:lang w:val="fr-BE"/>
        </w:rPr>
        <w:tab/>
        <w:t>et</w:t>
      </w:r>
      <w:r w:rsidRPr="00C27636">
        <w:rPr>
          <w:rFonts w:ascii="Calibri" w:eastAsia="Calibri" w:hAnsi="Calibri" w:cs="Calibri"/>
          <w:sz w:val="20"/>
          <w:szCs w:val="20"/>
          <w:lang w:val="fr-BE"/>
        </w:rPr>
        <w:tab/>
        <w:t>72 %</w:t>
      </w:r>
      <w:r w:rsidRPr="00C27636">
        <w:rPr>
          <w:rFonts w:ascii="Calibri" w:eastAsia="Calibri" w:hAnsi="Calibri" w:cs="Calibri"/>
          <w:sz w:val="20"/>
          <w:szCs w:val="20"/>
          <w:lang w:val="fr-BE"/>
        </w:rPr>
        <w:tab/>
        <w:t>des</w:t>
      </w:r>
      <w:r w:rsidRPr="00C27636">
        <w:rPr>
          <w:rFonts w:ascii="Calibri" w:eastAsia="Calibri" w:hAnsi="Calibri" w:cs="Calibri"/>
          <w:sz w:val="20"/>
          <w:szCs w:val="20"/>
          <w:lang w:val="fr-BE"/>
        </w:rPr>
        <w:tab/>
        <w:t>pères</w:t>
      </w:r>
    </w:p>
    <w:p w:rsidR="00AC12B4" w:rsidRPr="00C27636" w:rsidRDefault="00AC12B4">
      <w:pPr>
        <w:spacing w:line="1" w:lineRule="exact"/>
        <w:rPr>
          <w:sz w:val="20"/>
          <w:szCs w:val="20"/>
          <w:lang w:val="fr-BE"/>
        </w:rPr>
      </w:pPr>
    </w:p>
    <w:p w:rsidR="00AC12B4" w:rsidRPr="00C27636" w:rsidRDefault="00C27636">
      <w:pPr>
        <w:tabs>
          <w:tab w:val="left" w:pos="1836"/>
          <w:tab w:val="left" w:pos="2276"/>
          <w:tab w:val="left" w:pos="3016"/>
          <w:tab w:val="left" w:pos="3716"/>
        </w:tabs>
        <w:ind w:left="936"/>
        <w:rPr>
          <w:sz w:val="20"/>
          <w:szCs w:val="20"/>
          <w:lang w:val="fr-BE"/>
        </w:rPr>
      </w:pPr>
      <w:r w:rsidRPr="00C27636">
        <w:rPr>
          <w:rFonts w:ascii="Calibri" w:eastAsia="Calibri" w:hAnsi="Calibri" w:cs="Calibri"/>
          <w:sz w:val="20"/>
          <w:szCs w:val="20"/>
          <w:lang w:val="fr-BE"/>
        </w:rPr>
        <w:t>n'avaient</w:t>
      </w:r>
      <w:r w:rsidRPr="00C27636">
        <w:rPr>
          <w:rFonts w:ascii="Calibri" w:eastAsia="Calibri" w:hAnsi="Calibri" w:cs="Calibri"/>
          <w:sz w:val="20"/>
          <w:szCs w:val="20"/>
          <w:lang w:val="fr-BE"/>
        </w:rPr>
        <w:tab/>
        <w:t>pas</w:t>
      </w:r>
      <w:r w:rsidRPr="00C27636">
        <w:rPr>
          <w:rFonts w:ascii="Calibri" w:eastAsia="Calibri" w:hAnsi="Calibri" w:cs="Calibri"/>
          <w:sz w:val="20"/>
          <w:szCs w:val="20"/>
          <w:lang w:val="fr-BE"/>
        </w:rPr>
        <w:tab/>
        <w:t>encore</w:t>
      </w:r>
      <w:r w:rsidRPr="00C27636">
        <w:rPr>
          <w:rFonts w:ascii="Calibri" w:eastAsia="Calibri" w:hAnsi="Calibri" w:cs="Calibri"/>
          <w:sz w:val="20"/>
          <w:szCs w:val="20"/>
          <w:lang w:val="fr-BE"/>
        </w:rPr>
        <w:tab/>
        <w:t>trouvé</w:t>
      </w:r>
      <w:r w:rsidRPr="00C27636">
        <w:rPr>
          <w:rFonts w:ascii="Calibri" w:eastAsia="Calibri" w:hAnsi="Calibri" w:cs="Calibri"/>
          <w:sz w:val="20"/>
          <w:szCs w:val="20"/>
          <w:lang w:val="fr-BE"/>
        </w:rPr>
        <w:tab/>
        <w:t>de</w:t>
      </w:r>
    </w:p>
    <w:p w:rsidR="00AC12B4" w:rsidRPr="00C27636" w:rsidRDefault="00AC12B4">
      <w:pPr>
        <w:spacing w:line="1" w:lineRule="exact"/>
        <w:rPr>
          <w:sz w:val="20"/>
          <w:szCs w:val="20"/>
          <w:lang w:val="fr-BE"/>
        </w:rPr>
      </w:pPr>
    </w:p>
    <w:p w:rsidR="00AC12B4" w:rsidRDefault="00C27636">
      <w:pPr>
        <w:ind w:left="936"/>
        <w:rPr>
          <w:sz w:val="20"/>
          <w:szCs w:val="20"/>
        </w:rPr>
      </w:pPr>
      <w:r>
        <w:rPr>
          <w:rFonts w:ascii="Calibri" w:eastAsia="Calibri" w:hAnsi="Calibri" w:cs="Calibri"/>
          <w:sz w:val="20"/>
          <w:szCs w:val="20"/>
        </w:rPr>
        <w:t>travail.</w:t>
      </w:r>
    </w:p>
    <w:p w:rsidR="00AC12B4" w:rsidRDefault="00AC12B4">
      <w:pPr>
        <w:spacing w:line="45" w:lineRule="exact"/>
        <w:rPr>
          <w:sz w:val="20"/>
          <w:szCs w:val="20"/>
        </w:rPr>
      </w:pPr>
    </w:p>
    <w:p w:rsidR="00AC12B4" w:rsidRPr="00C27636" w:rsidRDefault="00C27636">
      <w:pPr>
        <w:numPr>
          <w:ilvl w:val="1"/>
          <w:numId w:val="404"/>
        </w:numPr>
        <w:tabs>
          <w:tab w:val="left" w:pos="936"/>
        </w:tabs>
        <w:spacing w:line="230" w:lineRule="auto"/>
        <w:ind w:left="936" w:right="5317" w:hanging="368"/>
        <w:jc w:val="both"/>
        <w:rPr>
          <w:rFonts w:ascii="Courier New" w:eastAsia="Courier New" w:hAnsi="Courier New" w:cs="Courier New"/>
          <w:lang w:val="nl-NL"/>
        </w:rPr>
      </w:pPr>
      <w:r w:rsidRPr="00C27636">
        <w:rPr>
          <w:rFonts w:ascii="Calibri" w:eastAsia="Calibri" w:hAnsi="Calibri" w:cs="Calibri"/>
          <w:sz w:val="20"/>
          <w:szCs w:val="20"/>
          <w:lang w:val="nl-NL"/>
        </w:rPr>
        <w:t xml:space="preserve">M.E. Kalverboer et A.E. Zijlstra, </w:t>
      </w:r>
      <w:r w:rsidRPr="00C27636">
        <w:rPr>
          <w:rFonts w:ascii="Calibri" w:eastAsia="Calibri" w:hAnsi="Calibri" w:cs="Calibri"/>
          <w:i/>
          <w:iCs/>
          <w:sz w:val="20"/>
          <w:szCs w:val="20"/>
          <w:lang w:val="nl-NL"/>
        </w:rPr>
        <w:t>De</w:t>
      </w:r>
      <w:r w:rsidRPr="00C27636">
        <w:rPr>
          <w:rFonts w:ascii="Calibri" w:eastAsia="Calibri" w:hAnsi="Calibri" w:cs="Calibri"/>
          <w:sz w:val="20"/>
          <w:szCs w:val="20"/>
          <w:lang w:val="nl-NL"/>
        </w:rPr>
        <w:t xml:space="preserve"> </w:t>
      </w:r>
      <w:r w:rsidRPr="00C27636">
        <w:rPr>
          <w:rFonts w:ascii="Calibri" w:eastAsia="Calibri" w:hAnsi="Calibri" w:cs="Calibri"/>
          <w:i/>
          <w:iCs/>
          <w:sz w:val="20"/>
          <w:szCs w:val="20"/>
          <w:lang w:val="nl-NL"/>
        </w:rPr>
        <w:t>schade die kinderen oplopen als zij na langdurig verblijf in Nederland gedwongen worden uitgezet</w:t>
      </w:r>
      <w:r w:rsidRPr="00C27636">
        <w:rPr>
          <w:rFonts w:ascii="Calibri" w:eastAsia="Calibri" w:hAnsi="Calibri" w:cs="Calibri"/>
          <w:sz w:val="20"/>
          <w:szCs w:val="20"/>
          <w:lang w:val="nl-NL"/>
        </w:rPr>
        <w:t>,</w:t>
      </w:r>
      <w:r w:rsidRPr="00C27636">
        <w:rPr>
          <w:rFonts w:ascii="Calibri" w:eastAsia="Calibri" w:hAnsi="Calibri" w:cs="Calibri"/>
          <w:i/>
          <w:iCs/>
          <w:sz w:val="20"/>
          <w:szCs w:val="20"/>
          <w:lang w:val="nl-NL"/>
        </w:rPr>
        <w:t xml:space="preserve"> </w:t>
      </w:r>
      <w:r w:rsidRPr="00C27636">
        <w:rPr>
          <w:rFonts w:ascii="Calibri" w:eastAsia="Calibri" w:hAnsi="Calibri" w:cs="Calibri"/>
          <w:sz w:val="20"/>
          <w:szCs w:val="20"/>
          <w:lang w:val="nl-NL"/>
        </w:rPr>
        <w:t>Rijksuniversiteit Groningen, 2006</w:t>
      </w:r>
      <w:r w:rsidRPr="00C27636">
        <w:rPr>
          <w:rFonts w:ascii="Calibri" w:eastAsia="Calibri" w:hAnsi="Calibri" w:cs="Calibri"/>
          <w:sz w:val="20"/>
          <w:szCs w:val="20"/>
          <w:lang w:val="nl-NL"/>
        </w:rPr>
        <w:t xml:space="preserve"> (soutenu par 23 chercheurs</w:t>
      </w:r>
    </w:p>
    <w:p w:rsidR="00AC12B4" w:rsidRPr="00C27636" w:rsidRDefault="00AC12B4">
      <w:pPr>
        <w:spacing w:line="4" w:lineRule="exact"/>
        <w:rPr>
          <w:rFonts w:ascii="Courier New" w:eastAsia="Courier New" w:hAnsi="Courier New" w:cs="Courier New"/>
          <w:lang w:val="nl-NL"/>
        </w:rPr>
      </w:pPr>
    </w:p>
    <w:p w:rsidR="00AC12B4" w:rsidRPr="00C27636" w:rsidRDefault="00C27636">
      <w:pPr>
        <w:ind w:left="936"/>
        <w:rPr>
          <w:rFonts w:ascii="Courier New" w:eastAsia="Courier New" w:hAnsi="Courier New" w:cs="Courier New"/>
          <w:lang w:val="fr-BE"/>
        </w:rPr>
      </w:pPr>
      <w:r w:rsidRPr="00C27636">
        <w:rPr>
          <w:rFonts w:ascii="Calibri" w:eastAsia="Calibri" w:hAnsi="Calibri" w:cs="Calibri"/>
          <w:sz w:val="20"/>
          <w:szCs w:val="20"/>
          <w:lang w:val="fr-BE"/>
        </w:rPr>
        <w:t>universitaireshollandais</w:t>
      </w:r>
      <w:r w:rsidRPr="00C27636">
        <w:rPr>
          <w:rFonts w:ascii="Calibri" w:eastAsia="Calibri" w:hAnsi="Calibri" w:cs="Calibri"/>
          <w:sz w:val="19"/>
          <w:szCs w:val="19"/>
          <w:lang w:val="fr-BE"/>
        </w:rPr>
        <w:t>en</w:t>
      </w:r>
    </w:p>
    <w:p w:rsidR="00AC12B4" w:rsidRPr="00C27636" w:rsidRDefault="00AC12B4">
      <w:pPr>
        <w:spacing w:line="45" w:lineRule="exact"/>
        <w:rPr>
          <w:rFonts w:ascii="Courier New" w:eastAsia="Courier New" w:hAnsi="Courier New" w:cs="Courier New"/>
          <w:lang w:val="fr-BE"/>
        </w:rPr>
      </w:pPr>
    </w:p>
    <w:p w:rsidR="00AC12B4" w:rsidRPr="00C27636" w:rsidRDefault="00C27636">
      <w:pPr>
        <w:spacing w:line="237" w:lineRule="auto"/>
        <w:ind w:left="936" w:right="5317"/>
        <w:jc w:val="both"/>
        <w:rPr>
          <w:rFonts w:ascii="Courier New" w:eastAsia="Courier New" w:hAnsi="Courier New" w:cs="Courier New"/>
          <w:lang w:val="fr-BE"/>
        </w:rPr>
      </w:pPr>
      <w:r w:rsidRPr="00C27636">
        <w:rPr>
          <w:rFonts w:ascii="Calibri" w:eastAsia="Calibri" w:hAnsi="Calibri" w:cs="Calibri"/>
          <w:sz w:val="20"/>
          <w:szCs w:val="20"/>
          <w:lang w:val="fr-BE"/>
        </w:rPr>
        <w:t>psychologie, psychiatrie et orthopédagogie): Conclusion finale : un retour forcé dans le pays d’origine est préjudiciable pour le développement des enfants qui résident aux Pays-Bas depuis plus de ci</w:t>
      </w:r>
      <w:r w:rsidRPr="00C27636">
        <w:rPr>
          <w:rFonts w:ascii="Calibri" w:eastAsia="Calibri" w:hAnsi="Calibri" w:cs="Calibri"/>
          <w:sz w:val="20"/>
          <w:szCs w:val="20"/>
          <w:lang w:val="fr-BE"/>
        </w:rPr>
        <w:t xml:space="preserve">nq ans (...). Un retour forcé n'est pas dans l'intérêt des enfants demandeurs d'asile qui résident aux Pays-Bas depuis plus de cinq ans et est préjudiciable pour leur développement. Seul un droit de séjour met fin à leur précarité et leur offre une chance </w:t>
      </w:r>
      <w:r w:rsidRPr="00C27636">
        <w:rPr>
          <w:rFonts w:ascii="Calibri" w:eastAsia="Calibri" w:hAnsi="Calibri" w:cs="Calibri"/>
          <w:sz w:val="20"/>
          <w:szCs w:val="20"/>
          <w:lang w:val="fr-BE"/>
        </w:rPr>
        <w:t>de développement positif. Ce n'est que si un tel droit existe que ces enfants peuvent à nouveau évoluer favorablement dans tous les domaines de la vie. »</w:t>
      </w:r>
    </w:p>
    <w:p w:rsidR="00AC12B4" w:rsidRPr="00C27636" w:rsidRDefault="00AC12B4">
      <w:pPr>
        <w:spacing w:line="364" w:lineRule="exact"/>
        <w:rPr>
          <w:rFonts w:ascii="Courier New" w:eastAsia="Courier New" w:hAnsi="Courier New" w:cs="Courier New"/>
          <w:lang w:val="fr-BE"/>
        </w:rPr>
      </w:pPr>
    </w:p>
    <w:p w:rsidR="00AC12B4" w:rsidRPr="00C27636" w:rsidRDefault="00C27636">
      <w:pPr>
        <w:numPr>
          <w:ilvl w:val="0"/>
          <w:numId w:val="404"/>
        </w:numPr>
        <w:tabs>
          <w:tab w:val="left" w:pos="402"/>
        </w:tabs>
        <w:spacing w:line="228" w:lineRule="auto"/>
        <w:ind w:left="356" w:right="5317" w:hanging="356"/>
        <w:rPr>
          <w:rFonts w:ascii="Calibri" w:eastAsia="Calibri" w:hAnsi="Calibri" w:cs="Calibri"/>
          <w:color w:val="0000FF"/>
          <w:sz w:val="20"/>
          <w:szCs w:val="20"/>
          <w:u w:val="single"/>
          <w:lang w:val="fr-BE"/>
        </w:rPr>
      </w:pPr>
      <w:r w:rsidRPr="00C27636">
        <w:rPr>
          <w:rFonts w:ascii="Calibri" w:eastAsia="Calibri" w:hAnsi="Calibri" w:cs="Calibri"/>
          <w:b/>
          <w:bCs/>
          <w:i/>
          <w:iCs/>
          <w:color w:val="0F6D8F"/>
          <w:sz w:val="20"/>
          <w:szCs w:val="20"/>
          <w:lang w:val="fr-BE"/>
        </w:rPr>
        <w:t xml:space="preserve">Brochure kruispunt Migratie-Integratie </w:t>
      </w:r>
      <w:r w:rsidRPr="00C27636">
        <w:rPr>
          <w:rFonts w:ascii="Calibri" w:eastAsia="Calibri" w:hAnsi="Calibri" w:cs="Calibri"/>
          <w:color w:val="000000"/>
          <w:sz w:val="20"/>
          <w:szCs w:val="20"/>
          <w:lang w:val="fr-BE"/>
        </w:rPr>
        <w:t xml:space="preserve">avec méthodologie pour une orientation d’avenir: </w:t>
      </w:r>
      <w:hyperlink r:id="rId370">
        <w:r w:rsidRPr="00C27636">
          <w:rPr>
            <w:rFonts w:ascii="Calibri" w:eastAsia="Calibri" w:hAnsi="Calibri" w:cs="Calibri"/>
            <w:color w:val="0000FF"/>
            <w:sz w:val="20"/>
            <w:szCs w:val="20"/>
            <w:u w:val="single"/>
            <w:lang w:val="fr-BE"/>
          </w:rPr>
          <w:t>www.kruispuntmi.be/toekomstorientering</w:t>
        </w:r>
      </w:hyperlink>
    </w:p>
    <w:p w:rsidR="00AC12B4" w:rsidRPr="00C27636" w:rsidRDefault="00AC12B4">
      <w:pPr>
        <w:spacing w:line="330" w:lineRule="exact"/>
        <w:rPr>
          <w:rFonts w:ascii="Calibri" w:eastAsia="Calibri" w:hAnsi="Calibri" w:cs="Calibri"/>
          <w:color w:val="0000FF"/>
          <w:sz w:val="20"/>
          <w:szCs w:val="20"/>
          <w:u w:val="single"/>
          <w:lang w:val="fr-BE"/>
        </w:rPr>
      </w:pPr>
    </w:p>
    <w:p w:rsidR="00AC12B4" w:rsidRPr="00C27636" w:rsidRDefault="00C27636">
      <w:pPr>
        <w:numPr>
          <w:ilvl w:val="0"/>
          <w:numId w:val="404"/>
        </w:numPr>
        <w:tabs>
          <w:tab w:val="left" w:pos="356"/>
        </w:tabs>
        <w:spacing w:line="230" w:lineRule="auto"/>
        <w:ind w:left="356" w:right="5317" w:hanging="356"/>
        <w:jc w:val="both"/>
        <w:rPr>
          <w:rFonts w:ascii="Calibri" w:eastAsia="Calibri" w:hAnsi="Calibri" w:cs="Calibri"/>
          <w:sz w:val="20"/>
          <w:szCs w:val="20"/>
          <w:lang w:val="fr-BE"/>
        </w:rPr>
      </w:pPr>
      <w:r w:rsidRPr="00C27636">
        <w:rPr>
          <w:rFonts w:ascii="Calibri" w:eastAsia="Calibri" w:hAnsi="Calibri" w:cs="Calibri"/>
          <w:b/>
          <w:bCs/>
          <w:i/>
          <w:iCs/>
          <w:color w:val="0F6D8F"/>
          <w:sz w:val="20"/>
          <w:szCs w:val="20"/>
          <w:lang w:val="fr-BE"/>
        </w:rPr>
        <w:t xml:space="preserve">ECRE </w:t>
      </w:r>
      <w:r w:rsidRPr="00C27636">
        <w:rPr>
          <w:rFonts w:ascii="Calibri" w:eastAsia="Calibri" w:hAnsi="Calibri" w:cs="Calibri"/>
          <w:color w:val="000000"/>
          <w:sz w:val="20"/>
          <w:szCs w:val="20"/>
          <w:lang w:val="fr-BE"/>
        </w:rPr>
        <w:t>(Conseil européen pour les réfugiés et</w:t>
      </w:r>
      <w:r w:rsidRPr="00C27636">
        <w:rPr>
          <w:rFonts w:ascii="Calibri" w:eastAsia="Calibri" w:hAnsi="Calibri" w:cs="Calibri"/>
          <w:b/>
          <w:bCs/>
          <w:i/>
          <w:iCs/>
          <w:color w:val="0F6D8F"/>
          <w:sz w:val="20"/>
          <w:szCs w:val="20"/>
          <w:lang w:val="fr-BE"/>
        </w:rPr>
        <w:t xml:space="preserve"> </w:t>
      </w:r>
      <w:r w:rsidRPr="00C27636">
        <w:rPr>
          <w:rFonts w:ascii="Calibri" w:eastAsia="Calibri" w:hAnsi="Calibri" w:cs="Calibri"/>
          <w:color w:val="000000"/>
          <w:sz w:val="20"/>
          <w:szCs w:val="20"/>
          <w:lang w:val="fr-BE"/>
        </w:rPr>
        <w:t xml:space="preserve">les exilés) et Save the children (Bureau UE), </w:t>
      </w:r>
      <w:r w:rsidRPr="00C27636">
        <w:rPr>
          <w:rFonts w:ascii="Calibri" w:eastAsia="Calibri" w:hAnsi="Calibri" w:cs="Calibri"/>
          <w:i/>
          <w:iCs/>
          <w:color w:val="000000"/>
          <w:sz w:val="20"/>
          <w:szCs w:val="20"/>
          <w:lang w:val="fr-BE"/>
        </w:rPr>
        <w:t xml:space="preserve">Etude comparative sur les meilleures pratiques dans le domaine </w:t>
      </w:r>
      <w:r w:rsidRPr="00C27636">
        <w:rPr>
          <w:rFonts w:ascii="Calibri" w:eastAsia="Calibri" w:hAnsi="Calibri" w:cs="Calibri"/>
          <w:i/>
          <w:iCs/>
          <w:color w:val="000000"/>
          <w:sz w:val="20"/>
          <w:szCs w:val="20"/>
          <w:lang w:val="fr-BE"/>
        </w:rPr>
        <w:t>du retour des mineurs</w:t>
      </w:r>
      <w:r w:rsidRPr="00C27636">
        <w:rPr>
          <w:rFonts w:ascii="Calibri" w:eastAsia="Calibri" w:hAnsi="Calibri" w:cs="Calibri"/>
          <w:color w:val="000000"/>
          <w:sz w:val="20"/>
          <w:szCs w:val="20"/>
          <w:lang w:val="fr-BE"/>
        </w:rPr>
        <w:t>, décembre 2011, www.ecre.org</w:t>
      </w:r>
    </w:p>
    <w:p w:rsidR="00AC12B4" w:rsidRPr="00C27636" w:rsidRDefault="00AC12B4">
      <w:pPr>
        <w:spacing w:line="285" w:lineRule="exact"/>
        <w:rPr>
          <w:rFonts w:ascii="Calibri" w:eastAsia="Calibri" w:hAnsi="Calibri" w:cs="Calibri"/>
          <w:sz w:val="20"/>
          <w:szCs w:val="20"/>
          <w:lang w:val="fr-BE"/>
        </w:rPr>
      </w:pPr>
    </w:p>
    <w:p w:rsidR="00AC12B4" w:rsidRPr="00C27636" w:rsidRDefault="00C27636">
      <w:pPr>
        <w:numPr>
          <w:ilvl w:val="0"/>
          <w:numId w:val="404"/>
        </w:numPr>
        <w:tabs>
          <w:tab w:val="left" w:pos="356"/>
        </w:tabs>
        <w:ind w:left="356" w:hanging="356"/>
        <w:rPr>
          <w:rFonts w:ascii="Calibri" w:eastAsia="Calibri" w:hAnsi="Calibri" w:cs="Calibri"/>
          <w:b/>
          <w:bCs/>
          <w:i/>
          <w:iCs/>
          <w:color w:val="4F81BD"/>
          <w:sz w:val="20"/>
          <w:szCs w:val="20"/>
          <w:lang w:val="fr-BE"/>
        </w:rPr>
      </w:pPr>
      <w:r w:rsidRPr="00C27636">
        <w:rPr>
          <w:rFonts w:ascii="Calibri" w:eastAsia="Calibri" w:hAnsi="Calibri" w:cs="Calibri"/>
          <w:b/>
          <w:bCs/>
          <w:i/>
          <w:iCs/>
          <w:color w:val="4F81BD"/>
          <w:sz w:val="20"/>
          <w:szCs w:val="20"/>
          <w:lang w:val="fr-BE"/>
        </w:rPr>
        <w:t>Ulysse</w:t>
      </w:r>
      <w:r w:rsidRPr="00C27636">
        <w:rPr>
          <w:rFonts w:ascii="Calibri" w:eastAsia="Calibri" w:hAnsi="Calibri" w:cs="Calibri"/>
          <w:color w:val="000000"/>
          <w:sz w:val="20"/>
          <w:szCs w:val="20"/>
          <w:lang w:val="fr-BE"/>
        </w:rPr>
        <w:t>:</w:t>
      </w:r>
      <w:r w:rsidRPr="00C27636">
        <w:rPr>
          <w:rFonts w:ascii="Calibri" w:eastAsia="Calibri" w:hAnsi="Calibri" w:cs="Calibri"/>
          <w:b/>
          <w:bCs/>
          <w:i/>
          <w:iCs/>
          <w:color w:val="4F81BD"/>
          <w:sz w:val="20"/>
          <w:szCs w:val="20"/>
          <w:lang w:val="fr-BE"/>
        </w:rPr>
        <w:t xml:space="preserve">  </w:t>
      </w:r>
      <w:hyperlink r:id="rId371">
        <w:r w:rsidRPr="00C27636">
          <w:rPr>
            <w:rFonts w:ascii="Calibri" w:eastAsia="Calibri" w:hAnsi="Calibri" w:cs="Calibri"/>
            <w:color w:val="0000FF"/>
            <w:sz w:val="20"/>
            <w:szCs w:val="20"/>
            <w:u w:val="single"/>
            <w:lang w:val="fr-BE"/>
          </w:rPr>
          <w:t>www.ulysse-ssm.be</w:t>
        </w:r>
        <w:r w:rsidRPr="00C27636">
          <w:rPr>
            <w:rFonts w:ascii="Calibri" w:eastAsia="Calibri" w:hAnsi="Calibri" w:cs="Calibri"/>
            <w:b/>
            <w:bCs/>
            <w:i/>
            <w:iCs/>
            <w:color w:val="4F81BD"/>
            <w:sz w:val="20"/>
            <w:szCs w:val="20"/>
            <w:u w:val="single"/>
            <w:lang w:val="fr-BE"/>
          </w:rPr>
          <w:t xml:space="preserve">  </w:t>
        </w:r>
      </w:hyperlink>
      <w:r w:rsidRPr="00C27636">
        <w:rPr>
          <w:rFonts w:ascii="Calibri" w:eastAsia="Calibri" w:hAnsi="Calibri" w:cs="Calibri"/>
          <w:color w:val="000000"/>
          <w:sz w:val="20"/>
          <w:szCs w:val="20"/>
          <w:lang w:val="fr-BE"/>
        </w:rPr>
        <w:t>(service</w:t>
      </w:r>
      <w:r w:rsidRPr="00C27636">
        <w:rPr>
          <w:rFonts w:ascii="Calibri" w:eastAsia="Calibri" w:hAnsi="Calibri" w:cs="Calibri"/>
          <w:b/>
          <w:bCs/>
          <w:i/>
          <w:iCs/>
          <w:color w:val="4F81BD"/>
          <w:sz w:val="20"/>
          <w:szCs w:val="20"/>
          <w:lang w:val="fr-BE"/>
        </w:rPr>
        <w:t xml:space="preserve">  </w:t>
      </w:r>
      <w:r w:rsidRPr="00C27636">
        <w:rPr>
          <w:rFonts w:ascii="Calibri" w:eastAsia="Calibri" w:hAnsi="Calibri" w:cs="Calibri"/>
          <w:color w:val="000000"/>
          <w:sz w:val="20"/>
          <w:szCs w:val="20"/>
          <w:lang w:val="fr-BE"/>
        </w:rPr>
        <w:t>de</w:t>
      </w:r>
    </w:p>
    <w:p w:rsidR="00AC12B4" w:rsidRPr="00C27636" w:rsidRDefault="00AC12B4">
      <w:pPr>
        <w:spacing w:line="45" w:lineRule="exact"/>
        <w:rPr>
          <w:rFonts w:ascii="Calibri" w:eastAsia="Calibri" w:hAnsi="Calibri" w:cs="Calibri"/>
          <w:b/>
          <w:bCs/>
          <w:i/>
          <w:iCs/>
          <w:color w:val="4F81BD"/>
          <w:sz w:val="20"/>
          <w:szCs w:val="20"/>
          <w:lang w:val="fr-BE"/>
        </w:rPr>
      </w:pPr>
    </w:p>
    <w:p w:rsidR="00AC12B4" w:rsidRPr="00C27636" w:rsidRDefault="00C27636">
      <w:pPr>
        <w:spacing w:line="217" w:lineRule="auto"/>
        <w:ind w:left="356" w:right="5317"/>
        <w:rPr>
          <w:rFonts w:ascii="Calibri" w:eastAsia="Calibri" w:hAnsi="Calibri" w:cs="Calibri"/>
          <w:b/>
          <w:bCs/>
          <w:i/>
          <w:iCs/>
          <w:color w:val="4F81BD"/>
          <w:sz w:val="20"/>
          <w:szCs w:val="20"/>
          <w:lang w:val="fr-BE"/>
        </w:rPr>
      </w:pPr>
      <w:r w:rsidRPr="00C27636">
        <w:rPr>
          <w:rFonts w:ascii="Calibri" w:eastAsia="Calibri" w:hAnsi="Calibri" w:cs="Calibri"/>
          <w:sz w:val="20"/>
          <w:szCs w:val="20"/>
          <w:lang w:val="fr-BE"/>
        </w:rPr>
        <w:t>santé mentale spécialisé dans l’accompagnement de personnes exilées)</w:t>
      </w:r>
    </w:p>
    <w:p w:rsidR="00AC12B4" w:rsidRPr="00C27636" w:rsidRDefault="00AC12B4">
      <w:pPr>
        <w:spacing w:line="200" w:lineRule="exact"/>
        <w:rPr>
          <w:rFonts w:ascii="Calibri" w:eastAsia="Calibri" w:hAnsi="Calibri" w:cs="Calibri"/>
          <w:color w:val="0000FF"/>
          <w:sz w:val="20"/>
          <w:szCs w:val="20"/>
          <w:lang w:val="fr-BE"/>
        </w:rPr>
      </w:pPr>
    </w:p>
    <w:p w:rsidR="00AC12B4" w:rsidRPr="00C27636" w:rsidRDefault="00AC12B4">
      <w:pPr>
        <w:spacing w:line="200" w:lineRule="exact"/>
        <w:rPr>
          <w:rFonts w:ascii="Calibri" w:eastAsia="Calibri" w:hAnsi="Calibri" w:cs="Calibri"/>
          <w:color w:val="0000FF"/>
          <w:sz w:val="20"/>
          <w:szCs w:val="20"/>
          <w:lang w:val="fr-BE"/>
        </w:rPr>
      </w:pPr>
    </w:p>
    <w:p w:rsidR="00AC12B4" w:rsidRPr="00C27636" w:rsidRDefault="00AC12B4">
      <w:pPr>
        <w:spacing w:line="200" w:lineRule="exact"/>
        <w:rPr>
          <w:rFonts w:ascii="Calibri" w:eastAsia="Calibri" w:hAnsi="Calibri" w:cs="Calibri"/>
          <w:color w:val="0000FF"/>
          <w:sz w:val="20"/>
          <w:szCs w:val="20"/>
          <w:lang w:val="fr-BE"/>
        </w:rPr>
      </w:pPr>
    </w:p>
    <w:p w:rsidR="00AC12B4" w:rsidRPr="00C27636" w:rsidRDefault="00AC12B4">
      <w:pPr>
        <w:spacing w:line="200" w:lineRule="exact"/>
        <w:rPr>
          <w:rFonts w:ascii="Calibri" w:eastAsia="Calibri" w:hAnsi="Calibri" w:cs="Calibri"/>
          <w:color w:val="0000FF"/>
          <w:sz w:val="20"/>
          <w:szCs w:val="20"/>
          <w:lang w:val="fr-BE"/>
        </w:rPr>
      </w:pPr>
    </w:p>
    <w:p w:rsidR="00AC12B4" w:rsidRPr="00C27636" w:rsidRDefault="00AC12B4">
      <w:pPr>
        <w:spacing w:line="205" w:lineRule="exact"/>
        <w:rPr>
          <w:rFonts w:ascii="Calibri" w:eastAsia="Calibri" w:hAnsi="Calibri" w:cs="Calibri"/>
          <w:color w:val="0000FF"/>
          <w:sz w:val="20"/>
          <w:szCs w:val="20"/>
          <w:lang w:val="fr-BE"/>
        </w:rPr>
      </w:pPr>
    </w:p>
    <w:p w:rsidR="00AC12B4" w:rsidRPr="00C27636" w:rsidRDefault="00C27636">
      <w:pPr>
        <w:ind w:right="660"/>
        <w:jc w:val="center"/>
        <w:rPr>
          <w:sz w:val="20"/>
          <w:szCs w:val="20"/>
          <w:lang w:val="fr-BE"/>
        </w:rPr>
      </w:pPr>
      <w:r w:rsidRPr="00C27636">
        <w:rPr>
          <w:rFonts w:ascii="Calibri" w:eastAsia="Calibri" w:hAnsi="Calibri" w:cs="Calibri"/>
          <w:lang w:val="fr-BE"/>
        </w:rPr>
        <w:t>206</w:t>
      </w:r>
    </w:p>
    <w:p w:rsidR="00AC12B4" w:rsidRPr="00C27636" w:rsidRDefault="00AC12B4">
      <w:pPr>
        <w:rPr>
          <w:lang w:val="fr-BE"/>
        </w:rPr>
        <w:sectPr w:rsidR="00AC12B4" w:rsidRPr="00C27636">
          <w:pgSz w:w="12080" w:h="17179"/>
          <w:pgMar w:top="1440" w:right="1440" w:bottom="659" w:left="451" w:header="0" w:footer="0" w:gutter="0"/>
          <w:cols w:num="2" w:space="720" w:equalWidth="0">
            <w:col w:w="330" w:space="583"/>
            <w:col w:w="9273"/>
          </w:cols>
        </w:sectPr>
      </w:pPr>
    </w:p>
    <w:p w:rsidR="00AC12B4" w:rsidRPr="00C27636" w:rsidRDefault="00C27636">
      <w:pPr>
        <w:spacing w:line="200" w:lineRule="exact"/>
        <w:rPr>
          <w:sz w:val="20"/>
          <w:szCs w:val="20"/>
          <w:lang w:val="fr-BE"/>
        </w:rPr>
      </w:pPr>
      <w:bookmarkStart w:id="207" w:name="page207"/>
      <w:bookmarkEnd w:id="207"/>
      <w:r>
        <w:rPr>
          <w:noProof/>
          <w:sz w:val="20"/>
          <w:szCs w:val="20"/>
        </w:rPr>
        <w:drawing>
          <wp:anchor distT="0" distB="0" distL="114300" distR="114300" simplePos="0" relativeHeight="251959808" behindDoc="1" locked="0" layoutInCell="0" allowOverlap="1">
            <wp:simplePos x="0" y="0"/>
            <wp:positionH relativeFrom="page">
              <wp:posOffset>635</wp:posOffset>
            </wp:positionH>
            <wp:positionV relativeFrom="page">
              <wp:posOffset>10160</wp:posOffset>
            </wp:positionV>
            <wp:extent cx="7667625" cy="10893425"/>
            <wp:effectExtent l="0" t="0" r="0" b="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372">
                      <a:clrChange>
                        <a:clrFrom>
                          <a:srgbClr val="FFFFFF"/>
                        </a:clrFrom>
                        <a:clrTo>
                          <a:srgbClr val="FFFFFF">
                            <a:alpha val="0"/>
                          </a:srgbClr>
                        </a:clrTo>
                      </a:clrChange>
                      <a:extLst/>
                    </a:blip>
                    <a:srcRect/>
                    <a:stretch>
                      <a:fillRect/>
                    </a:stretch>
                  </pic:blipFill>
                  <pic:spPr bwMode="auto">
                    <a:xfrm>
                      <a:off x="0" y="0"/>
                      <a:ext cx="7667625" cy="10893425"/>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9" w:lineRule="exact"/>
        <w:rPr>
          <w:sz w:val="20"/>
          <w:szCs w:val="20"/>
          <w:lang w:val="fr-BE"/>
        </w:rPr>
      </w:pPr>
    </w:p>
    <w:p w:rsidR="00AC12B4" w:rsidRPr="00C27636" w:rsidRDefault="00C27636">
      <w:pPr>
        <w:ind w:left="5200"/>
        <w:rPr>
          <w:sz w:val="20"/>
          <w:szCs w:val="20"/>
          <w:lang w:val="fr-BE"/>
        </w:rPr>
      </w:pPr>
      <w:r w:rsidRPr="00C27636">
        <w:rPr>
          <w:rFonts w:ascii="Calibri" w:eastAsia="Calibri" w:hAnsi="Calibri" w:cs="Calibri"/>
          <w:b/>
          <w:bCs/>
          <w:color w:val="FFFFFF"/>
          <w:sz w:val="96"/>
          <w:szCs w:val="96"/>
          <w:lang w:val="fr-BE"/>
        </w:rPr>
        <w:t>PARTIE III</w:t>
      </w:r>
    </w:p>
    <w:p w:rsidR="00AC12B4" w:rsidRPr="00C27636" w:rsidRDefault="00AC12B4">
      <w:pPr>
        <w:spacing w:line="134" w:lineRule="exact"/>
        <w:rPr>
          <w:sz w:val="20"/>
          <w:szCs w:val="20"/>
          <w:lang w:val="fr-BE"/>
        </w:rPr>
      </w:pPr>
    </w:p>
    <w:p w:rsidR="00AC12B4" w:rsidRPr="00C27636" w:rsidRDefault="00C27636">
      <w:pPr>
        <w:ind w:left="5040"/>
        <w:rPr>
          <w:sz w:val="20"/>
          <w:szCs w:val="20"/>
          <w:lang w:val="fr-BE"/>
        </w:rPr>
      </w:pPr>
      <w:r w:rsidRPr="00C27636">
        <w:rPr>
          <w:rFonts w:ascii="Calibri" w:eastAsia="Calibri" w:hAnsi="Calibri" w:cs="Calibri"/>
          <w:b/>
          <w:bCs/>
          <w:color w:val="FFFFFF"/>
          <w:sz w:val="71"/>
          <w:szCs w:val="71"/>
          <w:lang w:val="fr-BE"/>
        </w:rPr>
        <w:t>CONCLUSION</w:t>
      </w:r>
    </w:p>
    <w:p w:rsidR="00AC12B4" w:rsidRPr="00C27636" w:rsidRDefault="00AC12B4">
      <w:pPr>
        <w:spacing w:line="200" w:lineRule="exact"/>
        <w:rPr>
          <w:sz w:val="20"/>
          <w:szCs w:val="20"/>
          <w:lang w:val="fr-BE"/>
        </w:rPr>
      </w:pPr>
    </w:p>
    <w:p w:rsidR="00AC12B4" w:rsidRPr="00C27636" w:rsidRDefault="00AC12B4">
      <w:pPr>
        <w:spacing w:line="358"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sz w:val="21"/>
          <w:szCs w:val="21"/>
          <w:lang w:val="fr-BE"/>
        </w:rPr>
        <w:t>207</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208" w:name="page208"/>
      <w:bookmarkEnd w:id="208"/>
    </w:p>
    <w:p w:rsidR="00AC12B4" w:rsidRPr="00C27636" w:rsidRDefault="00AC12B4">
      <w:pPr>
        <w:rPr>
          <w:lang w:val="fr-BE"/>
        </w:rPr>
        <w:sectPr w:rsidR="00AC12B4" w:rsidRPr="00C27636">
          <w:pgSz w:w="12080" w:h="17179"/>
          <w:pgMar w:top="1440" w:right="1440" w:bottom="875" w:left="1440" w:header="0" w:footer="0" w:gutter="0"/>
          <w:cols w:space="0"/>
        </w:sectPr>
      </w:pPr>
    </w:p>
    <w:bookmarkStart w:id="209" w:name="page209"/>
    <w:bookmarkEnd w:id="209"/>
    <w:p w:rsidR="00AC12B4" w:rsidRPr="00C27636" w:rsidRDefault="00C27636">
      <w:pPr>
        <w:ind w:left="3060"/>
        <w:rPr>
          <w:sz w:val="20"/>
          <w:szCs w:val="20"/>
          <w:lang w:val="fr-BE"/>
        </w:rPr>
      </w:pPr>
      <w:r>
        <w:rPr>
          <w:rFonts w:ascii="Calibri" w:eastAsia="Calibri" w:hAnsi="Calibri" w:cs="Calibri"/>
          <w:noProof/>
          <w:color w:val="FFFFFF"/>
          <w:sz w:val="96"/>
          <w:szCs w:val="96"/>
        </w:rPr>
        <mc:AlternateContent>
          <mc:Choice Requires="wps">
            <w:drawing>
              <wp:anchor distT="0" distB="0" distL="114300" distR="114300" simplePos="0" relativeHeight="251960832" behindDoc="1" locked="0" layoutInCell="0" allowOverlap="1">
                <wp:simplePos x="0" y="0"/>
                <wp:positionH relativeFrom="page">
                  <wp:posOffset>0</wp:posOffset>
                </wp:positionH>
                <wp:positionV relativeFrom="page">
                  <wp:posOffset>9525</wp:posOffset>
                </wp:positionV>
                <wp:extent cx="7667625" cy="1148080"/>
                <wp:effectExtent l="0" t="0" r="0" b="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630" o:spid="_x0000_s1655" style="position:absolute;margin-left:0pt;margin-top:0.75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6"/>
          <w:szCs w:val="96"/>
          <w:lang w:val="fr-BE"/>
        </w:rPr>
        <w:t>Conclusion</w:t>
      </w:r>
    </w:p>
    <w:p w:rsidR="00AC12B4" w:rsidRPr="00C27636" w:rsidRDefault="00AC12B4">
      <w:pPr>
        <w:rPr>
          <w:lang w:val="fr-BE"/>
        </w:rPr>
        <w:sectPr w:rsidR="00AC12B4" w:rsidRPr="00C27636">
          <w:pgSz w:w="12080" w:h="17179"/>
          <w:pgMar w:top="596" w:right="1440" w:bottom="659" w:left="1440" w:header="0" w:footer="0" w:gutter="0"/>
          <w:cols w:space="720" w:equalWidth="0">
            <w:col w:w="919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9" w:lineRule="exact"/>
        <w:rPr>
          <w:sz w:val="20"/>
          <w:szCs w:val="20"/>
          <w:lang w:val="fr-BE"/>
        </w:rPr>
      </w:pPr>
    </w:p>
    <w:p w:rsidR="00AC12B4" w:rsidRPr="00C27636" w:rsidRDefault="00C27636">
      <w:pPr>
        <w:spacing w:line="229" w:lineRule="auto"/>
        <w:ind w:left="560" w:right="177"/>
        <w:jc w:val="both"/>
        <w:rPr>
          <w:sz w:val="20"/>
          <w:szCs w:val="20"/>
          <w:lang w:val="fr-BE"/>
        </w:rPr>
      </w:pPr>
      <w:r w:rsidRPr="00C27636">
        <w:rPr>
          <w:rFonts w:ascii="Calibri" w:eastAsia="Calibri" w:hAnsi="Calibri" w:cs="Calibri"/>
          <w:lang w:val="fr-BE"/>
        </w:rPr>
        <w:t>Cette sélection d’indicateurs nationaux des droits de l’enfant a pour objectif de fournir une meilleure vision de la</w:t>
      </w:r>
      <w:r w:rsidRPr="00C27636">
        <w:rPr>
          <w:rFonts w:ascii="Calibri" w:eastAsia="Calibri" w:hAnsi="Calibri" w:cs="Calibri"/>
          <w:lang w:val="fr-BE"/>
        </w:rPr>
        <w:t xml:space="preserve"> mesure dans laquelle les droits de l'enfant sont ou non de mieux en mieux réalisés, du point de vue de l'enfant lui-même. Ce n'est pas les politiques qui sont évaluées, mais l'évolution concrète de la situation des enfants.</w:t>
      </w:r>
    </w:p>
    <w:p w:rsidR="00AC12B4" w:rsidRPr="00C27636" w:rsidRDefault="00AC12B4">
      <w:pPr>
        <w:spacing w:line="170" w:lineRule="exact"/>
        <w:rPr>
          <w:sz w:val="20"/>
          <w:szCs w:val="20"/>
          <w:lang w:val="fr-BE"/>
        </w:rPr>
      </w:pPr>
    </w:p>
    <w:p w:rsidR="00AC12B4" w:rsidRPr="00C27636" w:rsidRDefault="00C27636">
      <w:pPr>
        <w:spacing w:line="224" w:lineRule="auto"/>
        <w:ind w:left="560" w:right="157"/>
        <w:jc w:val="both"/>
        <w:rPr>
          <w:sz w:val="20"/>
          <w:szCs w:val="20"/>
          <w:lang w:val="fr-BE"/>
        </w:rPr>
      </w:pPr>
      <w:r w:rsidRPr="00C27636">
        <w:rPr>
          <w:rFonts w:ascii="Calibri" w:eastAsia="Calibri" w:hAnsi="Calibri" w:cs="Calibri"/>
          <w:lang w:val="fr-BE"/>
        </w:rPr>
        <w:t xml:space="preserve">La sélection n’est pas </w:t>
      </w:r>
      <w:r w:rsidRPr="00C27636">
        <w:rPr>
          <w:rFonts w:ascii="Calibri" w:eastAsia="Calibri" w:hAnsi="Calibri" w:cs="Calibri"/>
          <w:lang w:val="fr-BE"/>
        </w:rPr>
        <w:t>exhaustive. Tous les droits de l’enfant ne sont pas passés en revue. Il a été décidé d’élaborer un set d’indicateurs limité selon une méthodologie participative assurant une représentation maximale des acteurs de terrain et politiques concernés.</w:t>
      </w:r>
    </w:p>
    <w:p w:rsidR="00AC12B4" w:rsidRPr="00C27636" w:rsidRDefault="00AC12B4">
      <w:pPr>
        <w:spacing w:line="172" w:lineRule="exact"/>
        <w:rPr>
          <w:sz w:val="20"/>
          <w:szCs w:val="20"/>
          <w:lang w:val="fr-BE"/>
        </w:rPr>
      </w:pPr>
    </w:p>
    <w:p w:rsidR="00AC12B4" w:rsidRPr="00C27636" w:rsidRDefault="00C27636">
      <w:pPr>
        <w:spacing w:line="231" w:lineRule="auto"/>
        <w:ind w:left="560" w:right="177"/>
        <w:jc w:val="both"/>
        <w:rPr>
          <w:sz w:val="20"/>
          <w:szCs w:val="20"/>
          <w:lang w:val="fr-BE"/>
        </w:rPr>
      </w:pPr>
      <w:r w:rsidRPr="00C27636">
        <w:rPr>
          <w:rFonts w:ascii="Calibri" w:eastAsia="Calibri" w:hAnsi="Calibri" w:cs="Calibri"/>
          <w:lang w:val="fr-BE"/>
        </w:rPr>
        <w:t>Une atten</w:t>
      </w:r>
      <w:r w:rsidRPr="00C27636">
        <w:rPr>
          <w:rFonts w:ascii="Calibri" w:eastAsia="Calibri" w:hAnsi="Calibri" w:cs="Calibri"/>
          <w:lang w:val="fr-BE"/>
        </w:rPr>
        <w:t xml:space="preserve">tion particulière a été consacrée aux groupes particulièrement vulnérables. Force est de constater que la plupart du temps les mesures disponibles ne les incluent pas. Si elles le font, souvent, l’échantillon trop restreint ne permet pas de procéder à des </w:t>
      </w:r>
      <w:r w:rsidRPr="00C27636">
        <w:rPr>
          <w:rFonts w:ascii="Calibri" w:eastAsia="Calibri" w:hAnsi="Calibri" w:cs="Calibri"/>
          <w:lang w:val="fr-BE"/>
        </w:rPr>
        <w:t>ventilations statistiquement fiables mettant en avant la situation d’un groupe particulier. Et pourtant, celles-ci mènent généralement à un constat d’existence d’inégalités sociales.</w:t>
      </w:r>
    </w:p>
    <w:p w:rsidR="00AC12B4" w:rsidRPr="00C27636" w:rsidRDefault="00AC12B4">
      <w:pPr>
        <w:spacing w:line="172" w:lineRule="exact"/>
        <w:rPr>
          <w:sz w:val="20"/>
          <w:szCs w:val="20"/>
          <w:lang w:val="fr-BE"/>
        </w:rPr>
      </w:pPr>
    </w:p>
    <w:p w:rsidR="00AC12B4" w:rsidRPr="00C27636" w:rsidRDefault="00C27636">
      <w:pPr>
        <w:spacing w:line="230" w:lineRule="auto"/>
        <w:ind w:left="560" w:right="157"/>
        <w:jc w:val="both"/>
        <w:rPr>
          <w:sz w:val="20"/>
          <w:szCs w:val="20"/>
          <w:lang w:val="fr-BE"/>
        </w:rPr>
      </w:pPr>
      <w:r w:rsidRPr="00C27636">
        <w:rPr>
          <w:rFonts w:ascii="Calibri" w:eastAsia="Calibri" w:hAnsi="Calibri" w:cs="Calibri"/>
          <w:lang w:val="fr-BE"/>
        </w:rPr>
        <w:t xml:space="preserve">Mettre en lumière ce manque de données pour les plus vulnérables occupe </w:t>
      </w:r>
      <w:r w:rsidRPr="00C27636">
        <w:rPr>
          <w:rFonts w:ascii="Calibri" w:eastAsia="Calibri" w:hAnsi="Calibri" w:cs="Calibri"/>
          <w:lang w:val="fr-BE"/>
        </w:rPr>
        <w:t>une place centrale dans cette publication. Des propositions ont été formulées devant permettre d'atteindre à terme dans les enquêtes nationales et internationales tous les groupes vulnérables, ou de donner au moins une indication sur leur situation, par le</w:t>
      </w:r>
      <w:r w:rsidRPr="00C27636">
        <w:rPr>
          <w:rFonts w:ascii="Calibri" w:eastAsia="Calibri" w:hAnsi="Calibri" w:cs="Calibri"/>
          <w:lang w:val="fr-BE"/>
        </w:rPr>
        <w:t xml:space="preserve"> biais d’une enquête spécifique ‘droits de l’enfant’.</w:t>
      </w:r>
    </w:p>
    <w:p w:rsidR="00AC12B4" w:rsidRPr="00C27636" w:rsidRDefault="00AC12B4">
      <w:pPr>
        <w:spacing w:line="175" w:lineRule="exact"/>
        <w:rPr>
          <w:sz w:val="20"/>
          <w:szCs w:val="20"/>
          <w:lang w:val="fr-BE"/>
        </w:rPr>
      </w:pPr>
    </w:p>
    <w:p w:rsidR="00AC12B4" w:rsidRPr="00C27636" w:rsidRDefault="00C27636">
      <w:pPr>
        <w:spacing w:line="218" w:lineRule="auto"/>
        <w:ind w:left="560" w:right="177"/>
        <w:jc w:val="both"/>
        <w:rPr>
          <w:sz w:val="20"/>
          <w:szCs w:val="20"/>
          <w:lang w:val="fr-BE"/>
        </w:rPr>
      </w:pPr>
      <w:r w:rsidRPr="00C27636">
        <w:rPr>
          <w:rFonts w:ascii="Calibri" w:eastAsia="Calibri" w:hAnsi="Calibri" w:cs="Calibri"/>
          <w:lang w:val="fr-BE"/>
        </w:rPr>
        <w:t>Cette première publication d’indicateurs vise avant tout à inciter une recherche supplémentaire et des enregistrements de données et consultations supplémentaires.</w:t>
      </w:r>
    </w:p>
    <w:p w:rsidR="00AC12B4" w:rsidRPr="00C27636" w:rsidRDefault="00AC12B4">
      <w:pPr>
        <w:spacing w:line="170" w:lineRule="exact"/>
        <w:rPr>
          <w:sz w:val="20"/>
          <w:szCs w:val="20"/>
          <w:lang w:val="fr-BE"/>
        </w:rPr>
      </w:pPr>
    </w:p>
    <w:p w:rsidR="00AC12B4" w:rsidRPr="00C27636" w:rsidRDefault="00C27636">
      <w:pPr>
        <w:spacing w:line="225" w:lineRule="auto"/>
        <w:ind w:left="560" w:right="177"/>
        <w:jc w:val="both"/>
        <w:rPr>
          <w:sz w:val="20"/>
          <w:szCs w:val="20"/>
          <w:lang w:val="fr-BE"/>
        </w:rPr>
      </w:pPr>
      <w:r w:rsidRPr="00C27636">
        <w:rPr>
          <w:rFonts w:ascii="Calibri" w:eastAsia="Calibri" w:hAnsi="Calibri" w:cs="Calibri"/>
          <w:lang w:val="fr-BE"/>
        </w:rPr>
        <w:t>Il est vrai que mesurer, ce n’est pa</w:t>
      </w:r>
      <w:r w:rsidRPr="00C27636">
        <w:rPr>
          <w:rFonts w:ascii="Calibri" w:eastAsia="Calibri" w:hAnsi="Calibri" w:cs="Calibri"/>
          <w:lang w:val="fr-BE"/>
        </w:rPr>
        <w:t>s nécessairement savoir. Des mesures qualitatives et quantitatives pertinentes peuvent cependant inspirer les autorités à adapter la politique là où cela s’avère nécessaire.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1"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209</w:t>
      </w:r>
    </w:p>
    <w:p w:rsidR="00AC12B4" w:rsidRPr="00C27636" w:rsidRDefault="00AC12B4">
      <w:pPr>
        <w:rPr>
          <w:lang w:val="fr-BE"/>
        </w:rPr>
        <w:sectPr w:rsidR="00AC12B4" w:rsidRPr="00C27636">
          <w:type w:val="continuous"/>
          <w:pgSz w:w="12080" w:h="17179"/>
          <w:pgMar w:top="596" w:right="1440" w:bottom="659" w:left="1440" w:header="0" w:footer="0" w:gutter="0"/>
          <w:cols w:space="720" w:equalWidth="0">
            <w:col w:w="9197"/>
          </w:cols>
        </w:sectPr>
      </w:pPr>
    </w:p>
    <w:p w:rsidR="00AC12B4" w:rsidRPr="00C27636" w:rsidRDefault="00AC12B4">
      <w:pPr>
        <w:jc w:val="center"/>
        <w:rPr>
          <w:sz w:val="20"/>
          <w:szCs w:val="20"/>
          <w:lang w:val="fr-BE"/>
        </w:rPr>
      </w:pPr>
      <w:bookmarkStart w:id="210" w:name="page210"/>
      <w:bookmarkEnd w:id="210"/>
    </w:p>
    <w:p w:rsidR="00AC12B4" w:rsidRPr="00C27636" w:rsidRDefault="00AC12B4">
      <w:pPr>
        <w:rPr>
          <w:lang w:val="fr-BE"/>
        </w:rPr>
        <w:sectPr w:rsidR="00AC12B4" w:rsidRPr="00C27636">
          <w:pgSz w:w="12080" w:h="17179"/>
          <w:pgMar w:top="1440" w:right="1440" w:bottom="875" w:left="1440" w:header="0" w:footer="0" w:gutter="0"/>
          <w:cols w:space="0"/>
        </w:sectPr>
      </w:pPr>
    </w:p>
    <w:bookmarkStart w:id="211" w:name="page211"/>
    <w:bookmarkEnd w:id="211"/>
    <w:p w:rsidR="00AC12B4" w:rsidRPr="00C27636" w:rsidRDefault="00C27636">
      <w:pPr>
        <w:rPr>
          <w:sz w:val="20"/>
          <w:szCs w:val="20"/>
          <w:lang w:val="fr-BE"/>
        </w:rPr>
      </w:pPr>
      <w:r>
        <w:rPr>
          <w:rFonts w:ascii="Calibri" w:eastAsia="Calibri" w:hAnsi="Calibri" w:cs="Calibri"/>
          <w:noProof/>
          <w:color w:val="FFFFFF"/>
          <w:sz w:val="79"/>
          <w:szCs w:val="79"/>
        </w:rPr>
        <mc:AlternateContent>
          <mc:Choice Requires="wps">
            <w:drawing>
              <wp:anchor distT="0" distB="0" distL="114300" distR="114300" simplePos="0" relativeHeight="251961856" behindDoc="1" locked="0" layoutInCell="0" allowOverlap="1">
                <wp:simplePos x="0" y="0"/>
                <wp:positionH relativeFrom="page">
                  <wp:posOffset>0</wp:posOffset>
                </wp:positionH>
                <wp:positionV relativeFrom="page">
                  <wp:posOffset>10795</wp:posOffset>
                </wp:positionV>
                <wp:extent cx="7667625" cy="1148080"/>
                <wp:effectExtent l="0" t="0" r="0" b="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631" o:spid="_x0000_s1656" style="position:absolute;margin-left:0pt;margin-top:0.85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79"/>
          <w:szCs w:val="79"/>
          <w:lang w:val="fr-BE"/>
        </w:rPr>
        <w:t>Recommandations principales</w:t>
      </w:r>
    </w:p>
    <w:p w:rsidR="00AC12B4" w:rsidRPr="00C27636" w:rsidRDefault="00AC12B4">
      <w:pPr>
        <w:rPr>
          <w:lang w:val="fr-BE"/>
        </w:rPr>
        <w:sectPr w:rsidR="00AC12B4" w:rsidRPr="00C27636">
          <w:pgSz w:w="12080" w:h="17179"/>
          <w:pgMar w:top="613" w:right="997" w:bottom="659" w:left="1300" w:header="0" w:footer="0" w:gutter="0"/>
          <w:cols w:space="720" w:equalWidth="0">
            <w:col w:w="9780"/>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16"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b/>
          <w:bCs/>
          <w:i/>
          <w:iCs/>
          <w:color w:val="0E73BE"/>
          <w:sz w:val="28"/>
          <w:szCs w:val="28"/>
          <w:lang w:val="fr-BE"/>
        </w:rPr>
        <w:t>Atteindre tous les enfants</w:t>
      </w:r>
    </w:p>
    <w:p w:rsidR="00AC12B4" w:rsidRPr="00C27636" w:rsidRDefault="00AC12B4">
      <w:pPr>
        <w:spacing w:line="285" w:lineRule="exact"/>
        <w:rPr>
          <w:sz w:val="20"/>
          <w:szCs w:val="20"/>
          <w:lang w:val="fr-BE"/>
        </w:rPr>
      </w:pPr>
    </w:p>
    <w:p w:rsidR="00AC12B4" w:rsidRPr="00C27636" w:rsidRDefault="00C27636">
      <w:pPr>
        <w:spacing w:line="254" w:lineRule="auto"/>
        <w:ind w:left="700" w:right="600"/>
        <w:jc w:val="both"/>
        <w:rPr>
          <w:sz w:val="20"/>
          <w:szCs w:val="20"/>
          <w:lang w:val="fr-BE"/>
        </w:rPr>
      </w:pPr>
      <w:r w:rsidRPr="00C27636">
        <w:rPr>
          <w:rFonts w:ascii="Calibri" w:eastAsia="Calibri" w:hAnsi="Calibri" w:cs="Calibri"/>
          <w:lang w:val="fr-BE"/>
        </w:rPr>
        <w:t>En vue d’atteindre tous les enfants scolarisés, les enquêtes PISA et HBSC devraient être élargies aux dispositifs d'accueil et de scolarisation des élèves primo-arrivants</w:t>
      </w:r>
      <w:r w:rsidRPr="00C27636">
        <w:rPr>
          <w:rFonts w:ascii="Calibri" w:eastAsia="Calibri" w:hAnsi="Calibri" w:cs="Calibri"/>
          <w:lang w:val="fr-BE"/>
        </w:rPr>
        <w:t xml:space="preserve"> (DASPA) et à l’enseignement spécialisé, via des questionnaires adaptés, sauf en cas de contre-indication</w:t>
      </w:r>
    </w:p>
    <w:p w:rsidR="00AC12B4" w:rsidRPr="00C27636" w:rsidRDefault="00C27636">
      <w:pPr>
        <w:ind w:left="700"/>
        <w:rPr>
          <w:sz w:val="20"/>
          <w:szCs w:val="20"/>
          <w:lang w:val="fr-BE"/>
        </w:rPr>
      </w:pPr>
      <w:r w:rsidRPr="00C27636">
        <w:rPr>
          <w:rFonts w:ascii="Calibri" w:eastAsia="Calibri" w:hAnsi="Calibri" w:cs="Calibri"/>
          <w:lang w:val="fr-BE"/>
        </w:rPr>
        <w:t>inspirée par l’intérêt supérieur de l’enfant</w:t>
      </w:r>
      <w:r w:rsidRPr="00C27636">
        <w:rPr>
          <w:rFonts w:ascii="Calibri" w:eastAsia="Calibri" w:hAnsi="Calibri" w:cs="Calibri"/>
          <w:sz w:val="27"/>
          <w:szCs w:val="27"/>
          <w:vertAlign w:val="superscript"/>
          <w:lang w:val="fr-BE"/>
        </w:rPr>
        <w:t>1</w:t>
      </w:r>
      <w:r w:rsidRPr="00C27636">
        <w:rPr>
          <w:rFonts w:ascii="Calibri" w:eastAsia="Calibri" w:hAnsi="Calibri" w:cs="Calibri"/>
          <w:lang w:val="fr-BE"/>
        </w:rPr>
        <w:t>.</w:t>
      </w:r>
    </w:p>
    <w:p w:rsidR="00AC12B4" w:rsidRPr="00C27636" w:rsidRDefault="00AC12B4">
      <w:pPr>
        <w:spacing w:line="207"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lang w:val="fr-BE"/>
        </w:rPr>
        <w:t>La Communauté germanophone devrait également participer à l’enquête HBSC.</w:t>
      </w:r>
    </w:p>
    <w:p w:rsidR="00AC12B4" w:rsidRPr="00C27636" w:rsidRDefault="00AC12B4">
      <w:pPr>
        <w:spacing w:line="289" w:lineRule="exact"/>
        <w:rPr>
          <w:sz w:val="20"/>
          <w:szCs w:val="20"/>
          <w:lang w:val="fr-BE"/>
        </w:rPr>
      </w:pPr>
    </w:p>
    <w:p w:rsidR="00AC12B4" w:rsidRPr="00C27636" w:rsidRDefault="00C27636">
      <w:pPr>
        <w:spacing w:line="235" w:lineRule="auto"/>
        <w:ind w:left="700" w:right="620"/>
        <w:jc w:val="both"/>
        <w:rPr>
          <w:sz w:val="20"/>
          <w:szCs w:val="20"/>
          <w:lang w:val="fr-BE"/>
        </w:rPr>
      </w:pPr>
      <w:r w:rsidRPr="00C27636">
        <w:rPr>
          <w:rFonts w:ascii="Calibri" w:eastAsia="Calibri" w:hAnsi="Calibri" w:cs="Calibri"/>
          <w:lang w:val="fr-BE"/>
        </w:rPr>
        <w:t>L’enquête nationale de sant</w:t>
      </w:r>
      <w:r w:rsidRPr="00C27636">
        <w:rPr>
          <w:rFonts w:ascii="Calibri" w:eastAsia="Calibri" w:hAnsi="Calibri" w:cs="Calibri"/>
          <w:lang w:val="fr-BE"/>
        </w:rPr>
        <w:t>é s’enrichirait particulièrement si elle se dotait en outre d’une analyse axée sur l’enfant.</w:t>
      </w:r>
    </w:p>
    <w:p w:rsidR="00AC12B4" w:rsidRPr="00C27636" w:rsidRDefault="00AC12B4">
      <w:pPr>
        <w:spacing w:line="292" w:lineRule="exact"/>
        <w:rPr>
          <w:sz w:val="20"/>
          <w:szCs w:val="20"/>
          <w:lang w:val="fr-BE"/>
        </w:rPr>
      </w:pPr>
    </w:p>
    <w:p w:rsidR="00AC12B4" w:rsidRPr="00C27636" w:rsidRDefault="00C27636">
      <w:pPr>
        <w:spacing w:line="235" w:lineRule="auto"/>
        <w:ind w:left="700" w:right="620"/>
        <w:jc w:val="both"/>
        <w:rPr>
          <w:sz w:val="20"/>
          <w:szCs w:val="20"/>
          <w:lang w:val="fr-BE"/>
        </w:rPr>
      </w:pPr>
      <w:r w:rsidRPr="00C27636">
        <w:rPr>
          <w:rFonts w:ascii="Calibri" w:eastAsia="Calibri" w:hAnsi="Calibri" w:cs="Calibri"/>
          <w:lang w:val="fr-BE"/>
        </w:rPr>
        <w:t xml:space="preserve">Il est recommandé de procéder systématiquement à une ventilation selon que les membres de familles soient mineurs ou majeurs (S5 et S10) et selon qu’il s’agit de </w:t>
      </w:r>
      <w:r w:rsidRPr="00C27636">
        <w:rPr>
          <w:rFonts w:ascii="Calibri" w:eastAsia="Calibri" w:hAnsi="Calibri" w:cs="Calibri"/>
          <w:lang w:val="fr-BE"/>
        </w:rPr>
        <w:t>soins de santé</w:t>
      </w:r>
    </w:p>
    <w:p w:rsidR="00AC12B4" w:rsidRPr="00C27636" w:rsidRDefault="00AC12B4">
      <w:pPr>
        <w:spacing w:line="88" w:lineRule="exact"/>
        <w:rPr>
          <w:sz w:val="20"/>
          <w:szCs w:val="20"/>
          <w:lang w:val="fr-BE"/>
        </w:rPr>
      </w:pPr>
    </w:p>
    <w:p w:rsidR="00AC12B4" w:rsidRPr="00C27636" w:rsidRDefault="00C27636">
      <w:pPr>
        <w:spacing w:line="236" w:lineRule="auto"/>
        <w:ind w:left="700" w:right="620"/>
        <w:rPr>
          <w:sz w:val="20"/>
          <w:szCs w:val="20"/>
          <w:lang w:val="fr-BE"/>
        </w:rPr>
      </w:pPr>
      <w:r w:rsidRPr="00C27636">
        <w:rPr>
          <w:rFonts w:ascii="Calibri" w:eastAsia="Calibri" w:hAnsi="Calibri" w:cs="Calibri"/>
          <w:lang w:val="fr-BE"/>
        </w:rPr>
        <w:t>mentales ou physiques. Il s’est également à plusieurs reprises avéré utile d’étendre les questions aux enfants de moins de 15 ans.</w:t>
      </w:r>
    </w:p>
    <w:p w:rsidR="00AC12B4" w:rsidRPr="00C27636" w:rsidRDefault="00AC12B4">
      <w:pPr>
        <w:spacing w:line="211" w:lineRule="exact"/>
        <w:rPr>
          <w:sz w:val="20"/>
          <w:szCs w:val="20"/>
          <w:lang w:val="fr-BE"/>
        </w:rPr>
      </w:pPr>
    </w:p>
    <w:p w:rsidR="00AC12B4" w:rsidRPr="00C27636" w:rsidRDefault="00C27636">
      <w:pPr>
        <w:spacing w:line="229" w:lineRule="auto"/>
        <w:ind w:left="700" w:right="600"/>
        <w:jc w:val="both"/>
        <w:rPr>
          <w:sz w:val="20"/>
          <w:szCs w:val="20"/>
          <w:lang w:val="fr-BE"/>
        </w:rPr>
      </w:pPr>
      <w:r w:rsidRPr="00C27636">
        <w:rPr>
          <w:rFonts w:ascii="Calibri" w:eastAsia="Calibri" w:hAnsi="Calibri" w:cs="Calibri"/>
          <w:lang w:val="fr-BE"/>
        </w:rPr>
        <w:t xml:space="preserve">Une enquête spécifique devrait atteindre les autres groupes pertinents non-atteints (cf section ‘Atteindre </w:t>
      </w:r>
      <w:r w:rsidRPr="00C27636">
        <w:rPr>
          <w:rFonts w:ascii="Calibri" w:eastAsia="Calibri" w:hAnsi="Calibri" w:cs="Calibri"/>
          <w:lang w:val="fr-BE"/>
        </w:rPr>
        <w:t>les plus vulnérables’). En effet, la moitié des indicateurs n’atteint pas les groupes les plus vulnérables. Il s’agit des indicateurs E1, E2, E4, E5, E6, E7, E8, E9, L1, L2, L3, B2, B4, B5, ME3, ME4, MJ2, MJ4 et MJ5.</w:t>
      </w:r>
    </w:p>
    <w:p w:rsidR="00AC12B4" w:rsidRPr="00C27636" w:rsidRDefault="00AC12B4">
      <w:pPr>
        <w:spacing w:line="362"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b/>
          <w:bCs/>
          <w:i/>
          <w:iCs/>
          <w:color w:val="0E73BE"/>
          <w:sz w:val="28"/>
          <w:szCs w:val="28"/>
          <w:lang w:val="fr-BE"/>
        </w:rPr>
        <w:t>Affiner les enregistrements</w:t>
      </w:r>
    </w:p>
    <w:p w:rsidR="00AC12B4" w:rsidRPr="00C27636" w:rsidRDefault="00AC12B4">
      <w:pPr>
        <w:spacing w:line="239" w:lineRule="exact"/>
        <w:rPr>
          <w:sz w:val="20"/>
          <w:szCs w:val="20"/>
          <w:lang w:val="fr-BE"/>
        </w:rPr>
      </w:pPr>
    </w:p>
    <w:p w:rsidR="00AC12B4" w:rsidRPr="00C27636" w:rsidRDefault="00C27636">
      <w:pPr>
        <w:ind w:left="700"/>
        <w:rPr>
          <w:sz w:val="20"/>
          <w:szCs w:val="20"/>
          <w:lang w:val="fr-BE"/>
        </w:rPr>
      </w:pPr>
      <w:r w:rsidRPr="00C27636">
        <w:rPr>
          <w:rFonts w:ascii="Calibri" w:eastAsia="Calibri" w:hAnsi="Calibri" w:cs="Calibri"/>
          <w:lang w:val="fr-BE"/>
        </w:rPr>
        <w:t>Il est re</w:t>
      </w:r>
      <w:r w:rsidRPr="00C27636">
        <w:rPr>
          <w:rFonts w:ascii="Calibri" w:eastAsia="Calibri" w:hAnsi="Calibri" w:cs="Calibri"/>
          <w:lang w:val="fr-BE"/>
        </w:rPr>
        <w:t>commandé de développer une mesure plus pertinente des frais scolaires (E1).</w:t>
      </w:r>
    </w:p>
    <w:p w:rsidR="00AC12B4" w:rsidRPr="00C27636" w:rsidRDefault="00AC12B4">
      <w:pPr>
        <w:spacing w:line="169" w:lineRule="exact"/>
        <w:rPr>
          <w:sz w:val="20"/>
          <w:szCs w:val="20"/>
          <w:lang w:val="fr-BE"/>
        </w:rPr>
      </w:pPr>
    </w:p>
    <w:p w:rsidR="00AC12B4" w:rsidRPr="00C27636" w:rsidRDefault="00C27636">
      <w:pPr>
        <w:spacing w:line="225" w:lineRule="auto"/>
        <w:ind w:left="700" w:right="620"/>
        <w:jc w:val="both"/>
        <w:rPr>
          <w:sz w:val="20"/>
          <w:szCs w:val="20"/>
          <w:lang w:val="fr-BE"/>
        </w:rPr>
      </w:pPr>
      <w:r w:rsidRPr="00C27636">
        <w:rPr>
          <w:rFonts w:ascii="Calibri" w:eastAsia="Calibri" w:hAnsi="Calibri" w:cs="Calibri"/>
          <w:lang w:val="fr-BE"/>
        </w:rPr>
        <w:t>Le Baromètre de la Justice devrait interroger un échantillon plus important de mineurs et permettre des ventilations entre mineurs et majeurs et entre mineurs ayant ou non déjà eu</w:t>
      </w:r>
      <w:r w:rsidRPr="00C27636">
        <w:rPr>
          <w:rFonts w:ascii="Calibri" w:eastAsia="Calibri" w:hAnsi="Calibri" w:cs="Calibri"/>
          <w:lang w:val="fr-BE"/>
        </w:rPr>
        <w:t xml:space="preserve"> des contacts avec la Justice (MJ2).</w:t>
      </w:r>
    </w:p>
    <w:p w:rsidR="00AC12B4" w:rsidRPr="00C27636" w:rsidRDefault="00AC12B4">
      <w:pPr>
        <w:spacing w:line="169" w:lineRule="exact"/>
        <w:rPr>
          <w:sz w:val="20"/>
          <w:szCs w:val="20"/>
          <w:lang w:val="fr-BE"/>
        </w:rPr>
      </w:pPr>
    </w:p>
    <w:p w:rsidR="00AC12B4" w:rsidRPr="00C27636" w:rsidRDefault="00C27636">
      <w:pPr>
        <w:spacing w:line="231" w:lineRule="auto"/>
        <w:ind w:left="700" w:right="620"/>
        <w:jc w:val="both"/>
        <w:rPr>
          <w:sz w:val="20"/>
          <w:szCs w:val="20"/>
          <w:lang w:val="fr-BE"/>
        </w:rPr>
      </w:pPr>
      <w:r w:rsidRPr="00C27636">
        <w:rPr>
          <w:rFonts w:ascii="Calibri" w:eastAsia="Calibri" w:hAnsi="Calibri" w:cs="Calibri"/>
          <w:lang w:val="fr-BE"/>
        </w:rPr>
        <w:t>Les enregistrements permettant de mettre en avant l’accueil résidentiel dans un milieu adapté aux enfants (ME 1) devraient être affinés de plusieurs points de vue. Les recommandations en la matière concernent le Servic</w:t>
      </w:r>
      <w:r w:rsidRPr="00C27636">
        <w:rPr>
          <w:rFonts w:ascii="Calibri" w:eastAsia="Calibri" w:hAnsi="Calibri" w:cs="Calibri"/>
          <w:lang w:val="fr-BE"/>
        </w:rPr>
        <w:t>e des Tutelles et l’Office des Etrangers. En outre, quelques questions se posent quant au suivi assuré par les Communautés (familles d’accueil et aide à la jeunesse).</w:t>
      </w:r>
    </w:p>
    <w:p w:rsidR="00AC12B4" w:rsidRPr="00C27636" w:rsidRDefault="00AC12B4">
      <w:pPr>
        <w:spacing w:line="172" w:lineRule="exact"/>
        <w:rPr>
          <w:sz w:val="20"/>
          <w:szCs w:val="20"/>
          <w:lang w:val="fr-BE"/>
        </w:rPr>
      </w:pPr>
    </w:p>
    <w:p w:rsidR="00AC12B4" w:rsidRPr="00C27636" w:rsidRDefault="00C27636">
      <w:pPr>
        <w:spacing w:line="218" w:lineRule="auto"/>
        <w:ind w:left="700" w:right="620"/>
        <w:jc w:val="both"/>
        <w:rPr>
          <w:sz w:val="20"/>
          <w:szCs w:val="20"/>
          <w:lang w:val="fr-BE"/>
        </w:rPr>
      </w:pPr>
      <w:r w:rsidRPr="00C27636">
        <w:rPr>
          <w:rFonts w:ascii="Calibri" w:eastAsia="Calibri" w:hAnsi="Calibri" w:cs="Calibri"/>
          <w:lang w:val="fr-BE"/>
        </w:rPr>
        <w:t>Il est conseillé à l’Office des Etrangers de renforcer l’enregistrement du nombre de vic</w:t>
      </w:r>
      <w:r w:rsidRPr="00C27636">
        <w:rPr>
          <w:rFonts w:ascii="Calibri" w:eastAsia="Calibri" w:hAnsi="Calibri" w:cs="Calibri"/>
          <w:lang w:val="fr-BE"/>
        </w:rPr>
        <w:t>times de la traite des enfants (ME 2).</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62880" behindDoc="1" locked="0" layoutInCell="0" allowOverlap="1">
                <wp:simplePos x="0" y="0"/>
                <wp:positionH relativeFrom="column">
                  <wp:posOffset>448310</wp:posOffset>
                </wp:positionH>
                <wp:positionV relativeFrom="paragraph">
                  <wp:posOffset>650240</wp:posOffset>
                </wp:positionV>
                <wp:extent cx="1829435" cy="0"/>
                <wp:effectExtent l="0" t="0" r="0" b="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pt,51.2pt" to="179.35pt,51.2pt" o:allowincell="f" strokecolor="#000000" strokeweight="0.7199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75" w:lineRule="exact"/>
        <w:rPr>
          <w:sz w:val="20"/>
          <w:szCs w:val="20"/>
          <w:lang w:val="fr-BE"/>
        </w:rPr>
      </w:pPr>
    </w:p>
    <w:p w:rsidR="00AC12B4" w:rsidRPr="00C27636" w:rsidRDefault="00C27636">
      <w:pPr>
        <w:numPr>
          <w:ilvl w:val="0"/>
          <w:numId w:val="405"/>
        </w:numPr>
        <w:tabs>
          <w:tab w:val="left" w:pos="813"/>
        </w:tabs>
        <w:spacing w:line="212" w:lineRule="auto"/>
        <w:ind w:left="700" w:right="620" w:firstLine="7"/>
        <w:jc w:val="both"/>
        <w:rPr>
          <w:rFonts w:ascii="Calibri" w:eastAsia="Calibri" w:hAnsi="Calibri" w:cs="Calibri"/>
          <w:sz w:val="26"/>
          <w:szCs w:val="26"/>
          <w:vertAlign w:val="superscript"/>
          <w:lang w:val="fr-BE"/>
        </w:rPr>
      </w:pPr>
      <w:r w:rsidRPr="00C27636">
        <w:rPr>
          <w:rFonts w:ascii="Calibri" w:eastAsia="Calibri" w:hAnsi="Calibri" w:cs="Calibri"/>
          <w:sz w:val="20"/>
          <w:szCs w:val="20"/>
          <w:lang w:val="fr-BE"/>
        </w:rPr>
        <w:t xml:space="preserve">Pour l’administration de l’enseignement flamande, la forme actuelle de PISA ne permet pas de réaliser l’enquête dans une autre langue que la langue d’instruction, ce qui est problématique pour les DASPA. En </w:t>
      </w:r>
      <w:r w:rsidRPr="00C27636">
        <w:rPr>
          <w:rFonts w:ascii="Calibri" w:eastAsia="Calibri" w:hAnsi="Calibri" w:cs="Calibri"/>
          <w:sz w:val="20"/>
          <w:szCs w:val="20"/>
          <w:lang w:val="fr-BE"/>
        </w:rPr>
        <w:t>outre, des arguments budgétaires et comparabilités se heurtent à l’introduction d’enquêtes adaptées. HBSC international fait pourtant déjà des démarches dans ce sens.</w:t>
      </w:r>
    </w:p>
    <w:p w:rsidR="00AC12B4" w:rsidRPr="00C27636" w:rsidRDefault="00AC12B4">
      <w:pPr>
        <w:spacing w:line="243" w:lineRule="exact"/>
        <w:rPr>
          <w:sz w:val="20"/>
          <w:szCs w:val="20"/>
          <w:lang w:val="fr-BE"/>
        </w:rPr>
      </w:pPr>
    </w:p>
    <w:p w:rsidR="00AC12B4" w:rsidRPr="00C27636" w:rsidRDefault="00C27636">
      <w:pPr>
        <w:ind w:right="-99"/>
        <w:jc w:val="center"/>
        <w:rPr>
          <w:sz w:val="20"/>
          <w:szCs w:val="20"/>
          <w:lang w:val="fr-BE"/>
        </w:rPr>
      </w:pPr>
      <w:r w:rsidRPr="00C27636">
        <w:rPr>
          <w:rFonts w:ascii="Calibri" w:eastAsia="Calibri" w:hAnsi="Calibri" w:cs="Calibri"/>
          <w:lang w:val="fr-BE"/>
        </w:rPr>
        <w:t>211</w:t>
      </w:r>
    </w:p>
    <w:p w:rsidR="00AC12B4" w:rsidRPr="00C27636" w:rsidRDefault="00AC12B4">
      <w:pPr>
        <w:rPr>
          <w:lang w:val="fr-BE"/>
        </w:rPr>
        <w:sectPr w:rsidR="00AC12B4" w:rsidRPr="00C27636">
          <w:type w:val="continuous"/>
          <w:pgSz w:w="12080" w:h="17179"/>
          <w:pgMar w:top="613" w:right="997" w:bottom="659" w:left="1300" w:header="0" w:footer="0" w:gutter="0"/>
          <w:cols w:space="720" w:equalWidth="0">
            <w:col w:w="9780"/>
          </w:cols>
        </w:sectPr>
      </w:pPr>
    </w:p>
    <w:p w:rsidR="00AC12B4" w:rsidRPr="00C27636" w:rsidRDefault="00AC12B4">
      <w:pPr>
        <w:spacing w:line="165" w:lineRule="exact"/>
        <w:rPr>
          <w:sz w:val="20"/>
          <w:szCs w:val="20"/>
          <w:lang w:val="fr-BE"/>
        </w:rPr>
      </w:pPr>
      <w:bookmarkStart w:id="212" w:name="page212"/>
      <w:bookmarkEnd w:id="212"/>
    </w:p>
    <w:p w:rsidR="00AC12B4" w:rsidRPr="00C27636" w:rsidRDefault="00C27636">
      <w:pPr>
        <w:rPr>
          <w:sz w:val="20"/>
          <w:szCs w:val="20"/>
          <w:lang w:val="fr-BE"/>
        </w:rPr>
      </w:pPr>
      <w:r w:rsidRPr="00C27636">
        <w:rPr>
          <w:rFonts w:ascii="Calibri" w:eastAsia="Calibri" w:hAnsi="Calibri" w:cs="Calibri"/>
          <w:b/>
          <w:bCs/>
          <w:i/>
          <w:iCs/>
          <w:color w:val="0E73BE"/>
          <w:sz w:val="28"/>
          <w:szCs w:val="28"/>
          <w:lang w:val="fr-BE"/>
        </w:rPr>
        <w:t>Procéder à des enregistrements systématiques</w:t>
      </w:r>
    </w:p>
    <w:p w:rsidR="00AC12B4" w:rsidRPr="00C27636" w:rsidRDefault="00AC12B4">
      <w:pPr>
        <w:spacing w:line="285" w:lineRule="exact"/>
        <w:rPr>
          <w:sz w:val="20"/>
          <w:szCs w:val="20"/>
          <w:lang w:val="fr-BE"/>
        </w:rPr>
      </w:pPr>
    </w:p>
    <w:p w:rsidR="00AC12B4" w:rsidRPr="00C27636" w:rsidRDefault="00C27636">
      <w:pPr>
        <w:spacing w:line="216" w:lineRule="auto"/>
        <w:ind w:right="737"/>
        <w:jc w:val="both"/>
        <w:rPr>
          <w:sz w:val="20"/>
          <w:szCs w:val="20"/>
          <w:lang w:val="fr-BE"/>
        </w:rPr>
      </w:pPr>
      <w:r w:rsidRPr="00C27636">
        <w:rPr>
          <w:rFonts w:ascii="Calibri" w:eastAsia="Calibri" w:hAnsi="Calibri" w:cs="Calibri"/>
          <w:lang w:val="fr-BE"/>
        </w:rPr>
        <w:t>De façon géné</w:t>
      </w:r>
      <w:r w:rsidRPr="00C27636">
        <w:rPr>
          <w:rFonts w:ascii="Calibri" w:eastAsia="Calibri" w:hAnsi="Calibri" w:cs="Calibri"/>
          <w:lang w:val="fr-BE"/>
        </w:rPr>
        <w:t>rale, les données disponibles au niveau des centres PMS et de leur pendant flamand, les CLB, sont très riches et devraient être centralisées</w:t>
      </w:r>
      <w:r w:rsidRPr="00C27636">
        <w:rPr>
          <w:rFonts w:ascii="Calibri" w:eastAsia="Calibri" w:hAnsi="Calibri" w:cs="Calibri"/>
          <w:sz w:val="27"/>
          <w:szCs w:val="27"/>
          <w:vertAlign w:val="superscript"/>
          <w:lang w:val="fr-BE"/>
        </w:rPr>
        <w:t>2</w:t>
      </w:r>
      <w:r w:rsidRPr="00C27636">
        <w:rPr>
          <w:rFonts w:ascii="Calibri" w:eastAsia="Calibri" w:hAnsi="Calibri" w:cs="Calibri"/>
          <w:lang w:val="fr-BE"/>
        </w:rPr>
        <w:t>. Une recherche scientifique sur base de ces données permettrait d’avoir une vue presque complète de l’ensemble des</w:t>
      </w:r>
      <w:r w:rsidRPr="00C27636">
        <w:rPr>
          <w:rFonts w:ascii="Calibri" w:eastAsia="Calibri" w:hAnsi="Calibri" w:cs="Calibri"/>
          <w:lang w:val="fr-BE"/>
        </w:rPr>
        <w:t xml:space="preserve"> enfants scolarisés en Belgique.</w:t>
      </w:r>
    </w:p>
    <w:p w:rsidR="00AC12B4" w:rsidRPr="00C27636" w:rsidRDefault="00AC12B4">
      <w:pPr>
        <w:spacing w:line="173"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Plus encore, cette recommandation pourrait s’élargir à l’ensemble des bases de données administratives, en vue d’élargir leur utilisation purement administrative à une utilisation statistique permettant d’élaborer des indi</w:t>
      </w:r>
      <w:r w:rsidRPr="00C27636">
        <w:rPr>
          <w:rFonts w:ascii="Calibri" w:eastAsia="Calibri" w:hAnsi="Calibri" w:cs="Calibri"/>
          <w:lang w:val="fr-BE"/>
        </w:rPr>
        <w:t>cateurs pouvant inspirer les politiques.</w:t>
      </w:r>
    </w:p>
    <w:p w:rsidR="00AC12B4" w:rsidRPr="00C27636" w:rsidRDefault="00AC12B4">
      <w:pPr>
        <w:spacing w:line="171" w:lineRule="exact"/>
        <w:rPr>
          <w:sz w:val="20"/>
          <w:szCs w:val="20"/>
          <w:lang w:val="fr-BE"/>
        </w:rPr>
      </w:pPr>
    </w:p>
    <w:p w:rsidR="00AC12B4" w:rsidRPr="00C27636" w:rsidRDefault="00C27636">
      <w:pPr>
        <w:spacing w:line="228" w:lineRule="auto"/>
        <w:ind w:right="737"/>
        <w:jc w:val="both"/>
        <w:rPr>
          <w:sz w:val="20"/>
          <w:szCs w:val="20"/>
          <w:lang w:val="fr-BE"/>
        </w:rPr>
      </w:pPr>
      <w:r w:rsidRPr="00C27636">
        <w:rPr>
          <w:rFonts w:ascii="Calibri" w:eastAsia="Calibri" w:hAnsi="Calibri" w:cs="Calibri"/>
          <w:lang w:val="fr-BE"/>
        </w:rPr>
        <w:t xml:space="preserve">Jusqu’ici il n’y a presque pas voire aucune données disponibles pour Bruxelles et la Communauté germanophone. Vu par exemple le rôle central que joue l’enseignement dans le cadre de la lutte contre les inégalités </w:t>
      </w:r>
      <w:r w:rsidRPr="00C27636">
        <w:rPr>
          <w:rFonts w:ascii="Calibri" w:eastAsia="Calibri" w:hAnsi="Calibri" w:cs="Calibri"/>
          <w:lang w:val="fr-BE"/>
        </w:rPr>
        <w:t>sociales entre enfants, des avancées en la matière s’imposent.</w:t>
      </w:r>
    </w:p>
    <w:p w:rsidR="00AC12B4" w:rsidRPr="00C27636" w:rsidRDefault="00AC12B4">
      <w:pPr>
        <w:spacing w:line="173" w:lineRule="exact"/>
        <w:rPr>
          <w:sz w:val="20"/>
          <w:szCs w:val="20"/>
          <w:lang w:val="fr-BE"/>
        </w:rPr>
      </w:pPr>
    </w:p>
    <w:p w:rsidR="00AC12B4" w:rsidRPr="00C27636" w:rsidRDefault="00C27636">
      <w:pPr>
        <w:spacing w:line="225" w:lineRule="auto"/>
        <w:ind w:right="737"/>
        <w:jc w:val="both"/>
        <w:rPr>
          <w:sz w:val="20"/>
          <w:szCs w:val="20"/>
          <w:lang w:val="fr-BE"/>
        </w:rPr>
      </w:pPr>
      <w:r w:rsidRPr="00C27636">
        <w:rPr>
          <w:rFonts w:ascii="Calibri" w:eastAsia="Calibri" w:hAnsi="Calibri" w:cs="Calibri"/>
          <w:lang w:val="fr-BE"/>
        </w:rPr>
        <w:t>En vue de pouvoir suivre l’impact de facteurs environnementaux sur la santé, les recherches basées sur un biomonitoring humain devraient être réalisées sur l’ensemble du territoire belge (S10)</w:t>
      </w:r>
      <w:r w:rsidRPr="00C27636">
        <w:rPr>
          <w:rFonts w:ascii="Calibri" w:eastAsia="Calibri" w:hAnsi="Calibri" w:cs="Calibri"/>
          <w:lang w:val="fr-BE"/>
        </w:rPr>
        <w:t>.</w:t>
      </w:r>
    </w:p>
    <w:p w:rsidR="00AC12B4" w:rsidRPr="00C27636" w:rsidRDefault="00AC12B4">
      <w:pPr>
        <w:spacing w:line="171"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L’enregistrement des disparitions de MENA est actuellement insuffisant(ME4), son suivi devrait être amélioré.</w:t>
      </w:r>
    </w:p>
    <w:p w:rsidR="00AC12B4" w:rsidRPr="00C27636" w:rsidRDefault="00AC12B4">
      <w:pPr>
        <w:spacing w:line="170" w:lineRule="exact"/>
        <w:rPr>
          <w:sz w:val="20"/>
          <w:szCs w:val="20"/>
          <w:lang w:val="fr-BE"/>
        </w:rPr>
      </w:pPr>
    </w:p>
    <w:p w:rsidR="00AC12B4" w:rsidRPr="00C27636" w:rsidRDefault="00C27636">
      <w:pPr>
        <w:spacing w:line="218" w:lineRule="auto"/>
        <w:ind w:right="737"/>
        <w:jc w:val="both"/>
        <w:rPr>
          <w:sz w:val="20"/>
          <w:szCs w:val="20"/>
          <w:lang w:val="fr-BE"/>
        </w:rPr>
      </w:pPr>
      <w:r w:rsidRPr="00C27636">
        <w:rPr>
          <w:rFonts w:ascii="Calibri" w:eastAsia="Calibri" w:hAnsi="Calibri" w:cs="Calibri"/>
          <w:lang w:val="fr-BE"/>
        </w:rPr>
        <w:t>Les données nécessaires en vue de mesurer le placement de longue durée (MJ6), au niveau de l’ensemble des instances concernées doivent être en</w:t>
      </w:r>
      <w:r w:rsidRPr="00C27636">
        <w:rPr>
          <w:rFonts w:ascii="Calibri" w:eastAsia="Calibri" w:hAnsi="Calibri" w:cs="Calibri"/>
          <w:lang w:val="fr-BE"/>
        </w:rPr>
        <w:t>registrées de manière fiable.</w:t>
      </w:r>
    </w:p>
    <w:p w:rsidR="00AC12B4" w:rsidRPr="00C27636" w:rsidRDefault="00AC12B4">
      <w:pPr>
        <w:spacing w:line="167" w:lineRule="exact"/>
        <w:rPr>
          <w:sz w:val="20"/>
          <w:szCs w:val="20"/>
          <w:lang w:val="fr-BE"/>
        </w:rPr>
      </w:pPr>
    </w:p>
    <w:p w:rsidR="00AC12B4" w:rsidRPr="00C27636" w:rsidRDefault="00C27636">
      <w:pPr>
        <w:spacing w:line="232" w:lineRule="auto"/>
        <w:ind w:right="737"/>
        <w:jc w:val="both"/>
        <w:rPr>
          <w:sz w:val="20"/>
          <w:szCs w:val="20"/>
          <w:lang w:val="fr-BE"/>
        </w:rPr>
      </w:pPr>
      <w:r w:rsidRPr="00C27636">
        <w:rPr>
          <w:rFonts w:ascii="Calibri" w:eastAsia="Calibri" w:hAnsi="Calibri" w:cs="Calibri"/>
          <w:lang w:val="fr-BE"/>
        </w:rPr>
        <w:t>La loi sur la protection de la jeunesse met au centre de son attention le principe de la hiérarchie des mesures (MJ1) qui donne priorité à l’approche restauratrice avant toute mesure, et à une mesure ambulatoire avant tout pl</w:t>
      </w:r>
      <w:r w:rsidRPr="00C27636">
        <w:rPr>
          <w:rFonts w:ascii="Calibri" w:eastAsia="Calibri" w:hAnsi="Calibri" w:cs="Calibri"/>
          <w:lang w:val="fr-BE"/>
        </w:rPr>
        <w:t>acement. La loi impose dans ce cadre une obligation de motivation au parquet et au juge. Aucun enregistrement au niveau de la Justice ne permet toutefois de vérifier le respect de ce principe. Au niveau des Communautés, il est en principe possible d’examin</w:t>
      </w:r>
      <w:r w:rsidRPr="00C27636">
        <w:rPr>
          <w:rFonts w:ascii="Calibri" w:eastAsia="Calibri" w:hAnsi="Calibri" w:cs="Calibri"/>
          <w:lang w:val="fr-BE"/>
        </w:rPr>
        <w:t>er la fréquence des mesures prononcées après consultation du SPJ (pratique estimée en Flandre à 95% des affaires comparaissant devant le juge ; pratique moins systématique en FWB</w:t>
      </w:r>
      <w:r w:rsidRPr="00C27636">
        <w:rPr>
          <w:rFonts w:ascii="Calibri" w:eastAsia="Calibri" w:hAnsi="Calibri" w:cs="Calibri"/>
          <w:sz w:val="27"/>
          <w:szCs w:val="27"/>
          <w:vertAlign w:val="superscript"/>
          <w:lang w:val="fr-BE"/>
        </w:rPr>
        <w:t>3</w:t>
      </w:r>
      <w:r w:rsidRPr="00C27636">
        <w:rPr>
          <w:rFonts w:ascii="Calibri" w:eastAsia="Calibri" w:hAnsi="Calibri" w:cs="Calibri"/>
          <w:lang w:val="fr-BE"/>
        </w:rPr>
        <w:t xml:space="preserve">). Ainsi, il serait possible d’apprendre indirectement quelles mesures sont </w:t>
      </w:r>
      <w:r w:rsidRPr="00C27636">
        <w:rPr>
          <w:rFonts w:ascii="Calibri" w:eastAsia="Calibri" w:hAnsi="Calibri" w:cs="Calibri"/>
          <w:lang w:val="fr-BE"/>
        </w:rPr>
        <w:t xml:space="preserve">prononcées en majorité, et si cette pratique est en ligne avec le principe de la hiérarchie des mesures. Le système d’enregistrement des Communautés fait toutefois l’objet d’une réforme substantielle. Malheureusement, les données ne seront pas disponibles </w:t>
      </w:r>
      <w:r w:rsidRPr="00C27636">
        <w:rPr>
          <w:rFonts w:ascii="Calibri" w:eastAsia="Calibri" w:hAnsi="Calibri" w:cs="Calibri"/>
          <w:lang w:val="fr-BE"/>
        </w:rPr>
        <w:t>avant 2017.</w:t>
      </w:r>
    </w:p>
    <w:p w:rsidR="00AC12B4" w:rsidRPr="00C27636" w:rsidRDefault="00AC12B4">
      <w:pPr>
        <w:spacing w:line="169" w:lineRule="exact"/>
        <w:rPr>
          <w:sz w:val="20"/>
          <w:szCs w:val="20"/>
          <w:lang w:val="fr-BE"/>
        </w:rPr>
      </w:pPr>
    </w:p>
    <w:p w:rsidR="00AC12B4" w:rsidRPr="00C27636" w:rsidRDefault="00C27636">
      <w:pPr>
        <w:spacing w:line="227" w:lineRule="auto"/>
        <w:ind w:right="737"/>
        <w:jc w:val="both"/>
        <w:rPr>
          <w:sz w:val="20"/>
          <w:szCs w:val="20"/>
          <w:lang w:val="fr-BE"/>
        </w:rPr>
      </w:pPr>
      <w:r w:rsidRPr="00C27636">
        <w:rPr>
          <w:rFonts w:ascii="Calibri" w:eastAsia="Calibri" w:hAnsi="Calibri" w:cs="Calibri"/>
          <w:lang w:val="fr-BE"/>
        </w:rPr>
        <w:t>Il existe actuellement peu de mesures du respect du droit de l’enfant à la participation. A titre d’exemple, il est recommandé à la Justice de faire procéder à un enregistrement objectif obligatoire de l’application du droit d’être entendu. Le</w:t>
      </w:r>
      <w:r w:rsidRPr="00C27636">
        <w:rPr>
          <w:rFonts w:ascii="Calibri" w:eastAsia="Calibri" w:hAnsi="Calibri" w:cs="Calibri"/>
          <w:lang w:val="fr-BE"/>
        </w:rPr>
        <w:t xml:space="preserve"> SPF Justice pourrait reprendre ce point d’attention en vue de l’évaluation prévue en 2020 de la loi du 30 juillet 2013 portant création d'un tribunal de la famille et de la jeunesse</w:t>
      </w:r>
      <w:r w:rsidRPr="00C27636">
        <w:rPr>
          <w:rFonts w:ascii="Calibri" w:eastAsia="Calibri" w:hAnsi="Calibri" w:cs="Calibri"/>
          <w:b/>
          <w:bCs/>
          <w:sz w:val="27"/>
          <w:szCs w:val="27"/>
          <w:vertAlign w:val="superscript"/>
          <w:lang w:val="fr-BE"/>
        </w:rPr>
        <w:t>4</w:t>
      </w:r>
      <w:r w:rsidRPr="00C27636">
        <w:rPr>
          <w:rFonts w:ascii="Calibri" w:eastAsia="Calibri" w:hAnsi="Calibri" w:cs="Calibri"/>
          <w:lang w:val="fr-BE"/>
        </w:rPr>
        <w:t>.</w:t>
      </w:r>
    </w:p>
    <w:p w:rsidR="00AC12B4" w:rsidRPr="00C27636" w:rsidRDefault="00C27636">
      <w:pPr>
        <w:spacing w:line="20" w:lineRule="exact"/>
        <w:rPr>
          <w:sz w:val="20"/>
          <w:szCs w:val="20"/>
          <w:lang w:val="fr-BE"/>
        </w:rPr>
      </w:pPr>
      <w:r>
        <w:rPr>
          <w:noProof/>
          <w:sz w:val="20"/>
          <w:szCs w:val="20"/>
        </w:rPr>
        <mc:AlternateContent>
          <mc:Choice Requires="wps">
            <w:drawing>
              <wp:anchor distT="0" distB="0" distL="114300" distR="114300" simplePos="0" relativeHeight="251963904" behindDoc="1" locked="0" layoutInCell="0" allowOverlap="1">
                <wp:simplePos x="0" y="0"/>
                <wp:positionH relativeFrom="column">
                  <wp:posOffset>0</wp:posOffset>
                </wp:positionH>
                <wp:positionV relativeFrom="paragraph">
                  <wp:posOffset>671830</wp:posOffset>
                </wp:positionV>
                <wp:extent cx="1828800" cy="0"/>
                <wp:effectExtent l="0" t="0" r="0" b="0"/>
                <wp:wrapNone/>
                <wp:docPr id="633" name="Shape 6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33" o:spid="_x0000_s16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9pt" to="144pt,52.9pt" o:allowincell="f" strokecolor="#000000" strokeweight="0.72pt"/>
            </w:pict>
          </mc:Fallback>
        </mc:AlternateConten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60" w:lineRule="exact"/>
        <w:rPr>
          <w:sz w:val="20"/>
          <w:szCs w:val="20"/>
          <w:lang w:val="fr-BE"/>
        </w:rPr>
      </w:pPr>
    </w:p>
    <w:p w:rsidR="00AC12B4" w:rsidRPr="00C27636" w:rsidRDefault="00C27636">
      <w:pPr>
        <w:spacing w:line="214" w:lineRule="auto"/>
        <w:ind w:right="737"/>
        <w:jc w:val="both"/>
        <w:rPr>
          <w:rFonts w:ascii="Calibri" w:eastAsia="Calibri" w:hAnsi="Calibri" w:cs="Calibri"/>
          <w:sz w:val="20"/>
          <w:szCs w:val="20"/>
          <w:lang w:val="fr-BE"/>
        </w:rPr>
      </w:pPr>
      <w:r w:rsidRPr="00C27636">
        <w:rPr>
          <w:rFonts w:ascii="Calibri" w:eastAsia="Calibri" w:hAnsi="Calibri" w:cs="Calibri"/>
          <w:sz w:val="25"/>
          <w:szCs w:val="25"/>
          <w:vertAlign w:val="superscript"/>
          <w:lang w:val="fr-BE"/>
        </w:rPr>
        <w:t>2</w:t>
      </w:r>
      <w:r w:rsidRPr="00C27636">
        <w:rPr>
          <w:rFonts w:ascii="Calibri" w:eastAsia="Calibri" w:hAnsi="Calibri" w:cs="Calibri"/>
          <w:sz w:val="20"/>
          <w:szCs w:val="20"/>
          <w:lang w:val="fr-BE"/>
        </w:rPr>
        <w:t xml:space="preserve"> P.ex. via l’Association francophone des agents PMS (AFAPMS), </w:t>
      </w:r>
      <w:hyperlink r:id="rId373">
        <w:r w:rsidRPr="00C27636">
          <w:rPr>
            <w:rFonts w:ascii="Calibri" w:eastAsia="Calibri" w:hAnsi="Calibri" w:cs="Calibri"/>
            <w:color w:val="0000FF"/>
            <w:sz w:val="20"/>
            <w:szCs w:val="20"/>
            <w:u w:val="single"/>
            <w:lang w:val="fr-BE"/>
          </w:rPr>
          <w:t>www.afapms.be</w:t>
        </w:r>
        <w:r w:rsidRPr="00C27636">
          <w:rPr>
            <w:rFonts w:ascii="Calibri" w:eastAsia="Calibri" w:hAnsi="Calibri" w:cs="Calibri"/>
            <w:sz w:val="20"/>
            <w:szCs w:val="20"/>
            <w:u w:val="single"/>
            <w:lang w:val="fr-BE"/>
          </w:rPr>
          <w:t xml:space="preserve"> </w:t>
        </w:r>
      </w:hyperlink>
      <w:r w:rsidRPr="00C27636">
        <w:rPr>
          <w:rFonts w:ascii="Calibri" w:eastAsia="Calibri" w:hAnsi="Calibri" w:cs="Calibri"/>
          <w:sz w:val="20"/>
          <w:szCs w:val="20"/>
          <w:lang w:val="fr-BE"/>
        </w:rPr>
        <w:t xml:space="preserve">et la Vlaamse Vereniging voor Jeugdgezondheidszorg (VWVJ), </w:t>
      </w:r>
      <w:hyperlink r:id="rId374">
        <w:r w:rsidRPr="00C27636">
          <w:rPr>
            <w:rFonts w:ascii="Calibri" w:eastAsia="Calibri" w:hAnsi="Calibri" w:cs="Calibri"/>
            <w:color w:val="0000FF"/>
            <w:sz w:val="20"/>
            <w:szCs w:val="20"/>
            <w:u w:val="single"/>
            <w:lang w:val="fr-BE"/>
          </w:rPr>
          <w:t>www.vwvj.be</w:t>
        </w:r>
        <w:r w:rsidRPr="00C27636">
          <w:rPr>
            <w:rFonts w:ascii="Calibri" w:eastAsia="Calibri" w:hAnsi="Calibri" w:cs="Calibri"/>
            <w:sz w:val="20"/>
            <w:szCs w:val="20"/>
            <w:u w:val="single"/>
            <w:lang w:val="fr-BE"/>
          </w:rPr>
          <w:t>.</w:t>
        </w:r>
      </w:hyperlink>
    </w:p>
    <w:p w:rsidR="00AC12B4" w:rsidRPr="00C27636" w:rsidRDefault="00AC12B4">
      <w:pPr>
        <w:spacing w:line="168" w:lineRule="exact"/>
        <w:rPr>
          <w:sz w:val="20"/>
          <w:szCs w:val="20"/>
          <w:lang w:val="fr-BE"/>
        </w:rPr>
      </w:pPr>
    </w:p>
    <w:p w:rsidR="00AC12B4" w:rsidRPr="00C27636" w:rsidRDefault="00C27636">
      <w:pPr>
        <w:numPr>
          <w:ilvl w:val="0"/>
          <w:numId w:val="406"/>
        </w:numPr>
        <w:tabs>
          <w:tab w:val="left" w:pos="118"/>
        </w:tabs>
        <w:spacing w:line="203" w:lineRule="auto"/>
        <w:ind w:right="737"/>
        <w:jc w:val="both"/>
        <w:rPr>
          <w:rFonts w:ascii="Calibri" w:eastAsia="Calibri" w:hAnsi="Calibri" w:cs="Calibri"/>
          <w:sz w:val="20"/>
          <w:szCs w:val="20"/>
          <w:lang w:val="fr-BE"/>
        </w:rPr>
      </w:pPr>
      <w:r w:rsidRPr="00C27636">
        <w:rPr>
          <w:rFonts w:ascii="Calibri" w:eastAsia="Calibri" w:hAnsi="Calibri" w:cs="Calibri"/>
          <w:sz w:val="20"/>
          <w:szCs w:val="20"/>
          <w:lang w:val="fr-BE"/>
        </w:rPr>
        <w:t xml:space="preserve">INCC (Ravier I., Goedseels E. e.a.), </w:t>
      </w:r>
      <w:r w:rsidRPr="00C27636">
        <w:rPr>
          <w:rFonts w:ascii="Calibri" w:eastAsia="Calibri" w:hAnsi="Calibri" w:cs="Calibri"/>
          <w:i/>
          <w:iCs/>
          <w:sz w:val="20"/>
          <w:szCs w:val="20"/>
          <w:lang w:val="fr-BE"/>
        </w:rPr>
        <w:t>Recherche relative aux décisions des juges/tribunaux</w:t>
      </w:r>
      <w:r w:rsidRPr="00C27636">
        <w:rPr>
          <w:rFonts w:ascii="Calibri" w:eastAsia="Calibri" w:hAnsi="Calibri" w:cs="Calibri"/>
          <w:i/>
          <w:iCs/>
          <w:sz w:val="20"/>
          <w:szCs w:val="20"/>
          <w:lang w:val="fr-BE"/>
        </w:rPr>
        <w:t xml:space="preserve"> de la jeunesse</w:t>
      </w:r>
      <w:r w:rsidRPr="00C27636">
        <w:rPr>
          <w:rFonts w:ascii="Calibri" w:eastAsia="Calibri" w:hAnsi="Calibri" w:cs="Calibri"/>
          <w:sz w:val="20"/>
          <w:szCs w:val="20"/>
          <w:lang w:val="fr-BE"/>
        </w:rPr>
        <w:t xml:space="preserve"> </w:t>
      </w:r>
      <w:r w:rsidRPr="00C27636">
        <w:rPr>
          <w:rFonts w:ascii="Calibri" w:eastAsia="Calibri" w:hAnsi="Calibri" w:cs="Calibri"/>
          <w:i/>
          <w:iCs/>
          <w:sz w:val="20"/>
          <w:szCs w:val="20"/>
          <w:lang w:val="fr-BE"/>
        </w:rPr>
        <w:t>dans les affaires de faits qualifiés infraction, Résumé exécutif</w:t>
      </w:r>
      <w:r w:rsidRPr="00C27636">
        <w:rPr>
          <w:rFonts w:ascii="Calibri" w:eastAsia="Calibri" w:hAnsi="Calibri" w:cs="Calibri"/>
          <w:sz w:val="20"/>
          <w:szCs w:val="20"/>
          <w:lang w:val="fr-BE"/>
        </w:rPr>
        <w:t>, Brussel, NICC, 2012, 7</w:t>
      </w:r>
      <w:r w:rsidRPr="00C27636">
        <w:rPr>
          <w:rFonts w:ascii="Calibri" w:eastAsia="Calibri" w:hAnsi="Calibri" w:cs="Calibri"/>
          <w:i/>
          <w:iCs/>
          <w:sz w:val="20"/>
          <w:szCs w:val="20"/>
          <w:lang w:val="fr-BE"/>
        </w:rPr>
        <w:t xml:space="preserve"> </w:t>
      </w:r>
      <w:hyperlink r:id="rId375">
        <w:r w:rsidRPr="00C27636">
          <w:rPr>
            <w:rFonts w:ascii="Calibri" w:eastAsia="Calibri" w:hAnsi="Calibri" w:cs="Calibri"/>
            <w:sz w:val="20"/>
            <w:szCs w:val="20"/>
            <w:lang w:val="fr-BE"/>
          </w:rPr>
          <w:t>(https://nicc.fgov.be/upload/publicaties/rapport_32a_2.pdf)</w:t>
        </w:r>
      </w:hyperlink>
      <w:r w:rsidRPr="00C27636">
        <w:rPr>
          <w:rFonts w:ascii="Calibri" w:eastAsia="Calibri" w:hAnsi="Calibri" w:cs="Calibri"/>
          <w:sz w:val="20"/>
          <w:szCs w:val="20"/>
          <w:lang w:val="fr-BE"/>
        </w:rPr>
        <w:t>.</w:t>
      </w:r>
    </w:p>
    <w:p w:rsidR="00AC12B4" w:rsidRPr="00C27636" w:rsidRDefault="00AC12B4">
      <w:pPr>
        <w:spacing w:line="74" w:lineRule="exact"/>
        <w:rPr>
          <w:rFonts w:ascii="Calibri" w:eastAsia="Calibri" w:hAnsi="Calibri" w:cs="Calibri"/>
          <w:sz w:val="20"/>
          <w:szCs w:val="20"/>
          <w:lang w:val="fr-BE"/>
        </w:rPr>
      </w:pPr>
    </w:p>
    <w:p w:rsidR="00AC12B4" w:rsidRDefault="00C27636">
      <w:pPr>
        <w:numPr>
          <w:ilvl w:val="0"/>
          <w:numId w:val="406"/>
        </w:numPr>
        <w:tabs>
          <w:tab w:val="left" w:pos="100"/>
        </w:tabs>
        <w:ind w:left="100" w:hanging="100"/>
        <w:rPr>
          <w:rFonts w:ascii="Calibri" w:eastAsia="Calibri" w:hAnsi="Calibri" w:cs="Calibri"/>
          <w:sz w:val="24"/>
          <w:szCs w:val="24"/>
          <w:vertAlign w:val="superscript"/>
        </w:rPr>
      </w:pPr>
      <w:r>
        <w:rPr>
          <w:rFonts w:ascii="Calibri" w:eastAsia="Calibri" w:hAnsi="Calibri" w:cs="Calibri"/>
          <w:sz w:val="20"/>
          <w:szCs w:val="20"/>
        </w:rPr>
        <w:t xml:space="preserve">Art. 273 de </w:t>
      </w:r>
      <w:r>
        <w:rPr>
          <w:rFonts w:ascii="Calibri" w:eastAsia="Calibri" w:hAnsi="Calibri" w:cs="Calibri"/>
          <w:sz w:val="20"/>
          <w:szCs w:val="20"/>
        </w:rPr>
        <w:t>cette loi.</w:t>
      </w:r>
    </w:p>
    <w:p w:rsidR="00AC12B4" w:rsidRDefault="00AC12B4">
      <w:pPr>
        <w:spacing w:line="241" w:lineRule="exact"/>
        <w:rPr>
          <w:sz w:val="20"/>
          <w:szCs w:val="20"/>
        </w:rPr>
      </w:pPr>
    </w:p>
    <w:p w:rsidR="00AC12B4" w:rsidRDefault="00C27636">
      <w:pPr>
        <w:ind w:left="4060"/>
        <w:rPr>
          <w:sz w:val="20"/>
          <w:szCs w:val="20"/>
        </w:rPr>
      </w:pPr>
      <w:r>
        <w:rPr>
          <w:rFonts w:ascii="Calibri" w:eastAsia="Calibri" w:hAnsi="Calibri" w:cs="Calibri"/>
        </w:rPr>
        <w:t>212</w:t>
      </w:r>
    </w:p>
    <w:p w:rsidR="00AC12B4" w:rsidRDefault="00AC12B4">
      <w:pPr>
        <w:sectPr w:rsidR="00AC12B4">
          <w:pgSz w:w="12080" w:h="17179"/>
          <w:pgMar w:top="1440" w:right="1440" w:bottom="659" w:left="1440" w:header="0" w:footer="0" w:gutter="0"/>
          <w:cols w:space="720" w:equalWidth="0">
            <w:col w:w="9197"/>
          </w:cols>
        </w:sectPr>
      </w:pPr>
    </w:p>
    <w:p w:rsidR="00AC12B4" w:rsidRDefault="00AC12B4">
      <w:pPr>
        <w:spacing w:line="200" w:lineRule="exact"/>
        <w:rPr>
          <w:sz w:val="20"/>
          <w:szCs w:val="20"/>
        </w:rPr>
      </w:pPr>
      <w:bookmarkStart w:id="213" w:name="page213"/>
      <w:bookmarkEnd w:id="213"/>
    </w:p>
    <w:p w:rsidR="00AC12B4" w:rsidRDefault="00AC12B4">
      <w:pPr>
        <w:spacing w:line="200" w:lineRule="exact"/>
        <w:rPr>
          <w:sz w:val="20"/>
          <w:szCs w:val="20"/>
        </w:rPr>
      </w:pPr>
    </w:p>
    <w:p w:rsidR="00AC12B4" w:rsidRDefault="00AC12B4">
      <w:pPr>
        <w:spacing w:line="200" w:lineRule="exact"/>
        <w:rPr>
          <w:sz w:val="20"/>
          <w:szCs w:val="20"/>
        </w:rPr>
      </w:pPr>
    </w:p>
    <w:p w:rsidR="00AC12B4" w:rsidRDefault="00AC12B4">
      <w:pPr>
        <w:spacing w:line="266" w:lineRule="exact"/>
        <w:rPr>
          <w:sz w:val="20"/>
          <w:szCs w:val="20"/>
        </w:rPr>
      </w:pPr>
    </w:p>
    <w:p w:rsidR="00AC12B4" w:rsidRDefault="00C27636">
      <w:pPr>
        <w:ind w:left="560"/>
        <w:rPr>
          <w:sz w:val="20"/>
          <w:szCs w:val="20"/>
        </w:rPr>
      </w:pPr>
      <w:r>
        <w:rPr>
          <w:rFonts w:ascii="Calibri" w:eastAsia="Calibri" w:hAnsi="Calibri" w:cs="Calibri"/>
          <w:b/>
          <w:bCs/>
          <w:i/>
          <w:iCs/>
          <w:color w:val="0E73BE"/>
          <w:sz w:val="28"/>
          <w:szCs w:val="28"/>
        </w:rPr>
        <w:t>Recommandation générale</w:t>
      </w:r>
    </w:p>
    <w:p w:rsidR="00AC12B4" w:rsidRDefault="00AC12B4">
      <w:pPr>
        <w:spacing w:line="288" w:lineRule="exact"/>
        <w:rPr>
          <w:sz w:val="20"/>
          <w:szCs w:val="20"/>
        </w:rPr>
      </w:pPr>
    </w:p>
    <w:p w:rsidR="00AC12B4" w:rsidRPr="00C27636" w:rsidRDefault="00C27636">
      <w:pPr>
        <w:spacing w:line="218" w:lineRule="auto"/>
        <w:ind w:left="560" w:right="157"/>
        <w:rPr>
          <w:sz w:val="20"/>
          <w:szCs w:val="20"/>
          <w:lang w:val="fr-BE"/>
        </w:rPr>
      </w:pPr>
      <w:r w:rsidRPr="00C27636">
        <w:rPr>
          <w:rFonts w:ascii="Calibri" w:eastAsia="Calibri" w:hAnsi="Calibri" w:cs="Calibri"/>
          <w:lang w:val="fr-BE"/>
        </w:rPr>
        <w:t>Les indicateurs évoluent avec le temps, aussi bien au niveau de leur sélection, que des points d’attention qu’ils dressent et de leur interprétation.</w:t>
      </w:r>
    </w:p>
    <w:p w:rsidR="00AC12B4" w:rsidRPr="00C27636" w:rsidRDefault="00AC12B4">
      <w:pPr>
        <w:spacing w:line="167" w:lineRule="exact"/>
        <w:rPr>
          <w:sz w:val="20"/>
          <w:szCs w:val="20"/>
          <w:lang w:val="fr-BE"/>
        </w:rPr>
      </w:pPr>
    </w:p>
    <w:p w:rsidR="00AC12B4" w:rsidRPr="00C27636" w:rsidRDefault="00C27636">
      <w:pPr>
        <w:spacing w:line="218" w:lineRule="auto"/>
        <w:ind w:left="560" w:right="177"/>
        <w:rPr>
          <w:sz w:val="20"/>
          <w:szCs w:val="20"/>
          <w:lang w:val="fr-BE"/>
        </w:rPr>
      </w:pPr>
      <w:r w:rsidRPr="00C27636">
        <w:rPr>
          <w:rFonts w:ascii="Calibri" w:eastAsia="Calibri" w:hAnsi="Calibri" w:cs="Calibri"/>
          <w:lang w:val="fr-BE"/>
        </w:rPr>
        <w:t xml:space="preserve">A tout moment de mise à jour – la suivante </w:t>
      </w:r>
      <w:r w:rsidRPr="00C27636">
        <w:rPr>
          <w:rFonts w:ascii="Calibri" w:eastAsia="Calibri" w:hAnsi="Calibri" w:cs="Calibri"/>
          <w:lang w:val="fr-BE"/>
        </w:rPr>
        <w:t>est prévue pour mi-2018 – il y a lieu de réévaluer la pertinence du set d’indicateurs et le choix des mesures les plus pertinentes.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9" w:lineRule="exact"/>
        <w:rPr>
          <w:sz w:val="20"/>
          <w:szCs w:val="20"/>
          <w:lang w:val="fr-BE"/>
        </w:rPr>
      </w:pPr>
    </w:p>
    <w:p w:rsidR="00AC12B4" w:rsidRPr="00C27636" w:rsidRDefault="00C27636">
      <w:pPr>
        <w:ind w:right="-402"/>
        <w:jc w:val="center"/>
        <w:rPr>
          <w:sz w:val="20"/>
          <w:szCs w:val="20"/>
          <w:lang w:val="fr-BE"/>
        </w:rPr>
      </w:pPr>
      <w:r w:rsidRPr="00C27636">
        <w:rPr>
          <w:rFonts w:ascii="Calibri" w:eastAsia="Calibri" w:hAnsi="Calibri" w:cs="Calibri"/>
          <w:lang w:val="fr-BE"/>
        </w:rPr>
        <w:t>213</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jc w:val="center"/>
        <w:rPr>
          <w:sz w:val="20"/>
          <w:szCs w:val="20"/>
          <w:lang w:val="fr-BE"/>
        </w:rPr>
      </w:pPr>
      <w:bookmarkStart w:id="214" w:name="page214"/>
      <w:bookmarkEnd w:id="214"/>
    </w:p>
    <w:p w:rsidR="00AC12B4" w:rsidRPr="00C27636" w:rsidRDefault="00AC12B4">
      <w:pPr>
        <w:rPr>
          <w:lang w:val="fr-BE"/>
        </w:rPr>
        <w:sectPr w:rsidR="00AC12B4" w:rsidRPr="00C27636">
          <w:pgSz w:w="12080" w:h="17179"/>
          <w:pgMar w:top="1440" w:right="1440" w:bottom="875" w:left="1440" w:header="0" w:footer="0" w:gutter="0"/>
          <w:cols w:space="0"/>
        </w:sectPr>
      </w:pPr>
    </w:p>
    <w:bookmarkStart w:id="215" w:name="page215"/>
    <w:bookmarkEnd w:id="215"/>
    <w:p w:rsidR="00AC12B4" w:rsidRPr="00C27636" w:rsidRDefault="00C27636">
      <w:pPr>
        <w:ind w:left="2120"/>
        <w:rPr>
          <w:sz w:val="20"/>
          <w:szCs w:val="20"/>
          <w:lang w:val="fr-BE"/>
        </w:rPr>
      </w:pPr>
      <w:r>
        <w:rPr>
          <w:rFonts w:ascii="Calibri" w:eastAsia="Calibri" w:hAnsi="Calibri" w:cs="Calibri"/>
          <w:noProof/>
          <w:color w:val="FFFFFF"/>
          <w:sz w:val="95"/>
          <w:szCs w:val="95"/>
        </w:rPr>
        <mc:AlternateContent>
          <mc:Choice Requires="wps">
            <w:drawing>
              <wp:anchor distT="0" distB="0" distL="114300" distR="114300" simplePos="0" relativeHeight="251964928" behindDoc="1" locked="0" layoutInCell="0" allowOverlap="1">
                <wp:simplePos x="0" y="0"/>
                <wp:positionH relativeFrom="page">
                  <wp:posOffset>0</wp:posOffset>
                </wp:positionH>
                <wp:positionV relativeFrom="page">
                  <wp:posOffset>13335</wp:posOffset>
                </wp:positionV>
                <wp:extent cx="7667625" cy="1148080"/>
                <wp:effectExtent l="0" t="0" r="0" b="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7625" cy="1148080"/>
                        </a:xfrm>
                        <a:prstGeom prst="rect">
                          <a:avLst/>
                        </a:prstGeom>
                        <a:solidFill>
                          <a:srgbClr val="ACD8F9"/>
                        </a:solidFill>
                      </wps:spPr>
                      <wps:bodyPr/>
                    </wps:wsp>
                  </a:graphicData>
                </a:graphic>
              </wp:anchor>
            </w:drawing>
          </mc:Choice>
          <mc:Fallback>
            <w:pict>
              <v:rect id="Shape 634" o:spid="_x0000_s1659" style="position:absolute;margin-left:0pt;margin-top:1.05pt;width:603.75pt;height:90.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CD8F9" stroked="f">
                <w10:wrap anchorx="page" anchory="page"/>
              </v:rect>
            </w:pict>
          </mc:Fallback>
        </mc:AlternateContent>
      </w:r>
      <w:r w:rsidRPr="00C27636">
        <w:rPr>
          <w:rFonts w:ascii="Calibri" w:eastAsia="Calibri" w:hAnsi="Calibri" w:cs="Calibri"/>
          <w:color w:val="FFFFFF"/>
          <w:sz w:val="95"/>
          <w:szCs w:val="95"/>
          <w:lang w:val="fr-BE"/>
        </w:rPr>
        <w:t>Remerciements</w:t>
      </w:r>
    </w:p>
    <w:p w:rsidR="00AC12B4" w:rsidRPr="00C27636" w:rsidRDefault="00AC12B4">
      <w:pPr>
        <w:rPr>
          <w:lang w:val="fr-BE"/>
        </w:rPr>
        <w:sectPr w:rsidR="00AC12B4" w:rsidRPr="00C27636">
          <w:pgSz w:w="12080" w:h="17179"/>
          <w:pgMar w:top="609" w:right="1440" w:bottom="1440" w:left="1440" w:header="0" w:footer="0" w:gutter="0"/>
          <w:cols w:space="720" w:equalWidth="0">
            <w:col w:w="9197"/>
          </w:cols>
        </w:sect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36" w:lineRule="exact"/>
        <w:rPr>
          <w:sz w:val="20"/>
          <w:szCs w:val="20"/>
          <w:lang w:val="fr-BE"/>
        </w:rPr>
      </w:pPr>
    </w:p>
    <w:p w:rsidR="00AC12B4" w:rsidRPr="00C27636" w:rsidRDefault="00C27636">
      <w:pPr>
        <w:spacing w:line="224" w:lineRule="auto"/>
        <w:ind w:left="560" w:right="157"/>
        <w:jc w:val="both"/>
        <w:rPr>
          <w:sz w:val="20"/>
          <w:szCs w:val="20"/>
          <w:lang w:val="fr-BE"/>
        </w:rPr>
      </w:pPr>
      <w:r w:rsidRPr="00C27636">
        <w:rPr>
          <w:rFonts w:ascii="Calibri" w:eastAsia="Calibri" w:hAnsi="Calibri" w:cs="Calibri"/>
          <w:lang w:val="fr-BE"/>
        </w:rPr>
        <w:t>Les indicateurs et leurs instruments de mesure sont basés sur les suggestions et les informations fournies par les personnes suivantes. Sans leur collaboration enthousiaste cette publication n’aurait pu voir le jour.</w:t>
      </w:r>
    </w:p>
    <w:p w:rsidR="00AC12B4" w:rsidRPr="00C27636" w:rsidRDefault="00AC12B4">
      <w:pPr>
        <w:spacing w:line="172" w:lineRule="exact"/>
        <w:rPr>
          <w:sz w:val="20"/>
          <w:szCs w:val="20"/>
          <w:lang w:val="fr-BE"/>
        </w:rPr>
      </w:pPr>
    </w:p>
    <w:p w:rsidR="00AC12B4" w:rsidRPr="00C27636" w:rsidRDefault="00C27636">
      <w:pPr>
        <w:spacing w:line="239" w:lineRule="auto"/>
        <w:ind w:left="560" w:right="157"/>
        <w:jc w:val="both"/>
        <w:rPr>
          <w:sz w:val="20"/>
          <w:szCs w:val="20"/>
          <w:lang w:val="fr-BE"/>
        </w:rPr>
      </w:pPr>
      <w:r w:rsidRPr="00C27636">
        <w:rPr>
          <w:rFonts w:ascii="Calibri" w:eastAsia="Calibri" w:hAnsi="Calibri" w:cs="Calibri"/>
          <w:lang w:val="fr-BE"/>
        </w:rPr>
        <w:t>Mme Séverine Acerbis, asbl Badje</w:t>
      </w:r>
      <w:r w:rsidRPr="00C27636">
        <w:rPr>
          <w:rFonts w:ascii="Calibri" w:eastAsia="Calibri" w:hAnsi="Calibri" w:cs="Calibri"/>
          <w:lang w:val="fr-BE"/>
        </w:rPr>
        <w:t xml:space="preserve"> ; Mme Leen Ackaert, Kinderrechtencommissariaat; Mme Elsa Albarello, FWB, adm. de l’enseignement ; M. Stéphane Aujean, Observatoire de l'enfant COCOF ; Mme Liliane Baudart, AGAJ ; Mme Geneviève Bazier, ONE ; Mme Sherazade Bekir, FWB, adm. de l’enseignement</w:t>
      </w:r>
      <w:r w:rsidRPr="00C27636">
        <w:rPr>
          <w:rFonts w:ascii="Calibri" w:eastAsia="Calibri" w:hAnsi="Calibri" w:cs="Calibri"/>
          <w:lang w:val="fr-BE"/>
        </w:rPr>
        <w:t xml:space="preserve"> ; Mme Anouck Billiet, Observatoire wallon de la santé ; M. Antoine Borighem, ONE ; Mme Lieve Bradt, UGent; M. Duncan Braeckevelt, membre CNDE avec voix délibérative ; M. Seppe Brantegem, Service des Tutelles ; Mme Nicole Bruhwyler, FWB, Direction générale</w:t>
      </w:r>
      <w:r w:rsidRPr="00C27636">
        <w:rPr>
          <w:rFonts w:ascii="Calibri" w:eastAsia="Calibri" w:hAnsi="Calibri" w:cs="Calibri"/>
          <w:lang w:val="fr-BE"/>
        </w:rPr>
        <w:t xml:space="preserve"> de la santé; M. Bruno Buytaert, Vigez ; M. Peter Casteur, membre CNDE avec voix délibérative ; Mme Delphine Chabbert, Ligue des familles ; Mme Camille Claeys, VUB ; Mme Ariane Couvreur, ECPAT ; Mme Trees De Bruycker, Vlaams Agentschap Sociaal-Cultureel We</w:t>
      </w:r>
      <w:r w:rsidRPr="00C27636">
        <w:rPr>
          <w:rFonts w:ascii="Calibri" w:eastAsia="Calibri" w:hAnsi="Calibri" w:cs="Calibri"/>
          <w:lang w:val="fr-BE"/>
        </w:rPr>
        <w:t>rk voor Jeugd en Volwassenen, Afdeling Jeugd ; M. Michel Dechamps, Comité d'Avis Enfance Maltraitée FWB ; Mme Helene De Clerck, Fedasil ; M. Bart De Clercq, UGent ; M. Rudy De Cock, Kind en Gezin ; Mme Christel De Craim, Service de Politique Criminelle, SP</w:t>
      </w:r>
      <w:r w:rsidRPr="00C27636">
        <w:rPr>
          <w:rFonts w:ascii="Calibri" w:eastAsia="Calibri" w:hAnsi="Calibri" w:cs="Calibri"/>
          <w:lang w:val="fr-BE"/>
        </w:rPr>
        <w:t xml:space="preserve">F Justice; Mme Hannelore De Grande, VUB ; M. Marc Demeuse, Univ. Mons ; Mme Ilse Derluyn, UGent ; Mme Ruth Desy, DG, Fachbereich Unterrichtsorganisation und Ausbildung ; Mme Isabelle Détry, INCC ; M. Jos Devos, Institut de Formation Judiciaire ; Mme Julie </w:t>
      </w:r>
      <w:r w:rsidRPr="00C27636">
        <w:rPr>
          <w:rFonts w:ascii="Calibri" w:eastAsia="Calibri" w:hAnsi="Calibri" w:cs="Calibri"/>
          <w:lang w:val="fr-BE"/>
        </w:rPr>
        <w:t xml:space="preserve">Dewilde, OEJAJ ; Mme Maud Dominicy, Unicef Belgique ; Mme Sabine Drieskens, WIV-ISP ; Mme Fabienne Druant, Parquet général de Bruxelles ; M. Stephan Durviaux, DGDE, Cabinet Ministre Madrane; Mme Isabelle Erauw, Vlaamse Gemeenschap, Depart. Onderwijs ; Mme </w:t>
      </w:r>
      <w:r w:rsidRPr="00C27636">
        <w:rPr>
          <w:rFonts w:ascii="Calibri" w:eastAsia="Calibri" w:hAnsi="Calibri" w:cs="Calibri"/>
          <w:lang w:val="fr-BE"/>
        </w:rPr>
        <w:t>Erika Frans, Sensoa ; M. Nathanaël Friant, Université de Mons; M. Jef Geboers, Kinderrechtencoalitie ; Gezinsbond; Mme Margareta Haelterman, SPF Santé publique, Sécurité de la chaîne alimentaire et environnement ; M. Marc Hamel, membre CNDE avec voix délib</w:t>
      </w:r>
      <w:r w:rsidRPr="00C27636">
        <w:rPr>
          <w:rFonts w:ascii="Calibri" w:eastAsia="Calibri" w:hAnsi="Calibri" w:cs="Calibri"/>
          <w:lang w:val="fr-BE"/>
        </w:rPr>
        <w:t>érative; M. Riki Heps, Orde van Vlaamse Balies ; Mme Geneviève Hindryckx, ULG;; Mme Dorothée Klein, membre CNDE avec voix délibérative ; Mme Alice Kooij, Ambrassade ; Mme Lieve Krobea, Kind en Gezin ; M. Jean-Louis Laboureur, FWB, Service du Contrôle de l’</w:t>
      </w:r>
      <w:r w:rsidRPr="00C27636">
        <w:rPr>
          <w:rFonts w:ascii="Calibri" w:eastAsia="Calibri" w:hAnsi="Calibri" w:cs="Calibri"/>
          <w:lang w:val="fr-BE"/>
        </w:rPr>
        <w:t>Obligation Scolaire ; Mme Nathalie Lambrechts,Vito ; Mme Ruth Lamotte, Vlaamse Gemeenschap, Depart. Onderwijs ; Mme Farah Laporte, Kinderrechtencoalitie ; Mme Anne Leblanc, Segec ; Mme Patricia Le Cocq, Myria ; Mme Julie Lejeune, Myria ; Mme Sara Lembrecht</w:t>
      </w:r>
      <w:r w:rsidRPr="00C27636">
        <w:rPr>
          <w:rFonts w:ascii="Calibri" w:eastAsia="Calibri" w:hAnsi="Calibri" w:cs="Calibri"/>
          <w:lang w:val="fr-BE"/>
        </w:rPr>
        <w:t>s, Keki ; M. Benoît Lenoble, Conseil de la Jeunesse ; Mme Jole Louwagie, WVG, Vlaamse Overheid ; M. David Lowyck , Minor Ndako ; Mme Maja Mampaey, Departement Leefmilieu, Natuur en Energie, Vlaanderen ; Mme Chris Massez, BLOSO ; Mme Magda Massoels, G.I. De</w:t>
      </w:r>
      <w:r w:rsidRPr="00C27636">
        <w:rPr>
          <w:rFonts w:ascii="Calibri" w:eastAsia="Calibri" w:hAnsi="Calibri" w:cs="Calibri"/>
          <w:lang w:val="fr-BE"/>
        </w:rPr>
        <w:t xml:space="preserve"> Kempen ; Mme Marie-Christine Mauroy, ONE ; M. Pascal Meeus, INAMI ; M. Filip Michiels, membre CNDE avec voix délibérative ; Mme Marie-Christine Miermans, APES-Ulg ; M. Olaf Moens, Vigez ;; M. Ides Nicaise , KU Leuven ; Mme Marie-Pierre Nicolas, Conseil de</w:t>
      </w:r>
      <w:r w:rsidRPr="00C27636">
        <w:rPr>
          <w:rFonts w:ascii="Calibri" w:eastAsia="Calibri" w:hAnsi="Calibri" w:cs="Calibri"/>
          <w:lang w:val="fr-BE"/>
        </w:rPr>
        <w:t xml:space="preserve"> la Jeunesse ; Mme Hanne Op de Beeck, KeKi ; M. Benoît Parmentier, membre CNDE avec voix délibérative ; M. Nicolas Perrin, Office des Etrangers ; M. Lander Piccart, membre CNDE avec voix délibérative ; Mme An Piessens, Kind en Samenleving ; M. Patrick Poel</w:t>
      </w:r>
      <w:r w:rsidRPr="00C27636">
        <w:rPr>
          <w:rFonts w:ascii="Calibri" w:eastAsia="Calibri" w:hAnsi="Calibri" w:cs="Calibri"/>
          <w:lang w:val="fr-BE"/>
        </w:rPr>
        <w:t>mans, AGODI ; M. Johan Put, KU Leuven ;; Mme Isabelle Ravier, INCC ; Mme Renée Raymaekers, Office des Etrangers ; Mme Nicole Roland, ONE ; M. Rudy Roose, UGent ; M. Pierre-Yves Rosset , OEJAJ ; Mme Virna Saenen, Jongerenwelzijn ; M. Andres Saavedra, AGAJ ;</w:t>
      </w:r>
      <w:r w:rsidRPr="00C27636">
        <w:rPr>
          <w:rFonts w:ascii="Calibri" w:eastAsia="Calibri" w:hAnsi="Calibri" w:cs="Calibri"/>
          <w:lang w:val="fr-BE"/>
        </w:rPr>
        <w:t xml:space="preserve"> Mme Sylvia Schrouben, DG, Fachbereich Unterrichtsorganisation und Ausbildung ; Mme Jessy Siongers, VUB ; Mme Sandra Stainier, membre CNDE avec voix délibérative ; Mme Mathilde Steenbergen, membre CNDE avec voix délibérative ; Mme Veerle Stroobants, Servic</w:t>
      </w:r>
      <w:r w:rsidRPr="00C27636">
        <w:rPr>
          <w:rFonts w:ascii="Calibri" w:eastAsia="Calibri" w:hAnsi="Calibri" w:cs="Calibri"/>
          <w:lang w:val="fr-BE"/>
        </w:rPr>
        <w:t>e de lutte contre la pauvreté, la précarité et l’exclusion sociale ; Mme Janina Suprun, secrétaire CNDE ;</w:t>
      </w:r>
    </w:p>
    <w:p w:rsidR="00AC12B4" w:rsidRPr="00C27636" w:rsidRDefault="00AC12B4">
      <w:pPr>
        <w:rPr>
          <w:lang w:val="fr-BE"/>
        </w:rPr>
        <w:sectPr w:rsidR="00AC12B4" w:rsidRPr="00C27636">
          <w:type w:val="continuous"/>
          <w:pgSz w:w="12080" w:h="17179"/>
          <w:pgMar w:top="609" w:right="1440" w:bottom="1440" w:left="1440" w:header="0" w:footer="0" w:gutter="0"/>
          <w:cols w:space="720" w:equalWidth="0">
            <w:col w:w="9197"/>
          </w:cols>
        </w:sectPr>
      </w:pPr>
    </w:p>
    <w:p w:rsidR="00AC12B4" w:rsidRPr="00C27636" w:rsidRDefault="00AC12B4">
      <w:pPr>
        <w:spacing w:line="212" w:lineRule="exact"/>
        <w:rPr>
          <w:sz w:val="20"/>
          <w:szCs w:val="20"/>
          <w:lang w:val="fr-BE"/>
        </w:rPr>
      </w:pPr>
      <w:bookmarkStart w:id="216" w:name="page216"/>
      <w:bookmarkEnd w:id="216"/>
    </w:p>
    <w:p w:rsidR="00AC12B4" w:rsidRDefault="00C27636">
      <w:pPr>
        <w:spacing w:line="237" w:lineRule="auto"/>
        <w:ind w:right="737"/>
        <w:jc w:val="both"/>
        <w:rPr>
          <w:rFonts w:ascii="Calibri" w:eastAsia="Calibri" w:hAnsi="Calibri" w:cs="Calibri"/>
        </w:rPr>
      </w:pPr>
      <w:r w:rsidRPr="00C27636">
        <w:rPr>
          <w:rFonts w:ascii="Calibri" w:eastAsia="Calibri" w:hAnsi="Calibri" w:cs="Calibri"/>
          <w:lang w:val="fr-BE"/>
        </w:rPr>
        <w:t>Mme Anne Swaluë, OEJAJ ; Mme Annalisa Tancredi,FWB, adm. de la santé; Mme Anja Termote, SPF Economie ; Mme Anne Tréfois, membre CNDE avec voix délibérative ; M. Alain Uyttendaele, Collège des Procureurs généraux ; Mme Ellen Van Dael, Analyste statistique C</w:t>
      </w:r>
      <w:r w:rsidRPr="00C27636">
        <w:rPr>
          <w:rFonts w:ascii="Calibri" w:eastAsia="Calibri" w:hAnsi="Calibri" w:cs="Calibri"/>
          <w:lang w:val="fr-BE"/>
        </w:rPr>
        <w:t>ollège des Procureurs Généraux ; M. Rudi Van Dam, SPF Sécurité sociale; M. Paul Vandenberghe, Administrateur Conseil Supérieur de la Justice ; M. Michel Vandekeere, Observatoire de l’enfance, de la jeunesse et de l’aide à la jeunesse, FWB; M. Peter Vandenb</w:t>
      </w:r>
      <w:r w:rsidRPr="00C27636">
        <w:rPr>
          <w:rFonts w:ascii="Calibri" w:eastAsia="Calibri" w:hAnsi="Calibri" w:cs="Calibri"/>
          <w:lang w:val="fr-BE"/>
        </w:rPr>
        <w:t>osch, VMSW; M. Wouter Vandenhole, Universiteit Antwerpen ; Dhr Johan Vangenechten, Jongerenwelzijn ; Mme Annick Vandenhooft, IWEPS, Région wallonne ; Mme Ann Vandriessche, Vlaamse Gemeenschap, Depart. Onderwijs ; M. Jan Van Gils, Kinderperspectief vzw ; M.</w:t>
      </w:r>
      <w:r w:rsidRPr="00C27636">
        <w:rPr>
          <w:rFonts w:ascii="Calibri" w:eastAsia="Calibri" w:hAnsi="Calibri" w:cs="Calibri"/>
          <w:lang w:val="fr-BE"/>
        </w:rPr>
        <w:t xml:space="preserve"> Joost Van Haelst, Vlaams Agentschap Sociaal-Cultureel Werk voor Jeugd en Volwassenen, Afdeling Jeugd ; M. Alfons Vanheusden, membre CNDE avec voix délibérative ; M. Benoît Van Keirsbilck, DEI Belgique ; Mme Colette Van Lul, Office des Etrangers ; M. Geert</w:t>
      </w:r>
      <w:r w:rsidRPr="00C27636">
        <w:rPr>
          <w:rFonts w:ascii="Calibri" w:eastAsia="Calibri" w:hAnsi="Calibri" w:cs="Calibri"/>
          <w:lang w:val="fr-BE"/>
        </w:rPr>
        <w:t xml:space="preserve"> Verbauwhede, Office des Etrangers ; M. Peter Verduyckt, Observatoire de la Santé et du Social, COCOM ; Mme Christel Verhas , Gezinsbond ; Mme Lynn Verrydt, membre CNDE avec voix délibérative ; M. </w:t>
      </w:r>
      <w:hyperlink r:id="rId376">
        <w:r>
          <w:rPr>
            <w:rFonts w:ascii="Calibri" w:eastAsia="Calibri" w:hAnsi="Calibri" w:cs="Calibri"/>
          </w:rPr>
          <w:t>Joerg Vombe</w:t>
        </w:r>
        <w:r>
          <w:rPr>
            <w:rFonts w:ascii="Calibri" w:eastAsia="Calibri" w:hAnsi="Calibri" w:cs="Calibri"/>
          </w:rPr>
          <w:t xml:space="preserve">rg, </w:t>
        </w:r>
      </w:hyperlink>
      <w:r>
        <w:rPr>
          <w:rFonts w:ascii="Calibri" w:eastAsia="Calibri" w:hAnsi="Calibri" w:cs="Calibri"/>
        </w:rPr>
        <w:t>DG, Fachbereich Unterrichtsorganisation und Ausbildung; Mme Anne-Michèle Wauthier, membre CNDE avec voix délibérative ; M. Michel Willems, SPF Economie</w:t>
      </w:r>
    </w:p>
    <w:p w:rsidR="00AC12B4" w:rsidRDefault="00AC12B4">
      <w:pPr>
        <w:spacing w:line="200" w:lineRule="exact"/>
        <w:rPr>
          <w:sz w:val="20"/>
          <w:szCs w:val="20"/>
        </w:rPr>
      </w:pPr>
    </w:p>
    <w:p w:rsidR="00AC12B4" w:rsidRDefault="00AC12B4">
      <w:pPr>
        <w:spacing w:line="366" w:lineRule="exact"/>
        <w:rPr>
          <w:sz w:val="20"/>
          <w:szCs w:val="20"/>
        </w:rPr>
      </w:pPr>
    </w:p>
    <w:p w:rsidR="00AC12B4" w:rsidRPr="00C27636" w:rsidRDefault="00C27636">
      <w:pPr>
        <w:spacing w:line="229" w:lineRule="auto"/>
        <w:ind w:right="737"/>
        <w:jc w:val="both"/>
        <w:rPr>
          <w:sz w:val="20"/>
          <w:szCs w:val="20"/>
          <w:lang w:val="fr-BE"/>
        </w:rPr>
      </w:pPr>
      <w:r w:rsidRPr="00C27636">
        <w:rPr>
          <w:rFonts w:ascii="Calibri" w:eastAsia="Calibri" w:hAnsi="Calibri" w:cs="Calibri"/>
          <w:lang w:val="fr-BE"/>
        </w:rPr>
        <w:t>Un remerciement particulier aux chercheurs de l’enquête HBSC : Mmes Nathalie Moreau, Maud Dujeu et</w:t>
      </w:r>
      <w:r w:rsidRPr="00C27636">
        <w:rPr>
          <w:rFonts w:ascii="Calibri" w:eastAsia="Calibri" w:hAnsi="Calibri" w:cs="Calibri"/>
          <w:lang w:val="fr-BE"/>
        </w:rPr>
        <w:t xml:space="preserve"> Isabelle Godin (SIPES, ULB), Mme Anne Hublet et M. Thomas Buijs (UGent) ainsi qu’à Mme Valérie Quittre (ULg) en charge de l’enquête PISA, pour le travail accompli en terme d’extraction et d’analyse des données.</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37" w:lineRule="exact"/>
        <w:rPr>
          <w:sz w:val="20"/>
          <w:szCs w:val="20"/>
          <w:lang w:val="fr-BE"/>
        </w:rPr>
      </w:pPr>
    </w:p>
    <w:p w:rsidR="00AC12B4" w:rsidRPr="00C27636" w:rsidRDefault="00C27636">
      <w:pPr>
        <w:ind w:left="4060"/>
        <w:rPr>
          <w:sz w:val="20"/>
          <w:szCs w:val="20"/>
          <w:lang w:val="fr-BE"/>
        </w:rPr>
      </w:pPr>
      <w:r w:rsidRPr="00C27636">
        <w:rPr>
          <w:rFonts w:ascii="Calibri" w:eastAsia="Calibri" w:hAnsi="Calibri" w:cs="Calibri"/>
          <w:lang w:val="fr-BE"/>
        </w:rPr>
        <w:t>216</w:t>
      </w:r>
    </w:p>
    <w:p w:rsidR="00AC12B4" w:rsidRPr="00C27636" w:rsidRDefault="00AC12B4">
      <w:pPr>
        <w:rPr>
          <w:lang w:val="fr-BE"/>
        </w:rPr>
        <w:sectPr w:rsidR="00AC12B4" w:rsidRPr="00C27636">
          <w:pgSz w:w="12080" w:h="17179"/>
          <w:pgMar w:top="1440" w:right="1440" w:bottom="659" w:left="1440" w:header="0" w:footer="0" w:gutter="0"/>
          <w:cols w:space="720" w:equalWidth="0">
            <w:col w:w="9197"/>
          </w:cols>
        </w:sectPr>
      </w:pPr>
    </w:p>
    <w:p w:rsidR="00AC12B4" w:rsidRPr="00C27636" w:rsidRDefault="00AC12B4">
      <w:pPr>
        <w:rPr>
          <w:sz w:val="20"/>
          <w:szCs w:val="20"/>
          <w:lang w:val="fr-BE"/>
        </w:rPr>
      </w:pPr>
      <w:bookmarkStart w:id="217" w:name="page217"/>
      <w:bookmarkEnd w:id="217"/>
    </w:p>
    <w:p w:rsidR="00AC12B4" w:rsidRPr="00C27636" w:rsidRDefault="00AC12B4">
      <w:pPr>
        <w:rPr>
          <w:lang w:val="fr-BE"/>
        </w:rPr>
        <w:sectPr w:rsidR="00AC12B4" w:rsidRPr="00C27636">
          <w:pgSz w:w="12080" w:h="17179"/>
          <w:pgMar w:top="1440" w:right="1440" w:bottom="875" w:left="1440" w:header="0" w:footer="0" w:gutter="0"/>
          <w:cols w:space="0"/>
        </w:sectPr>
      </w:pPr>
    </w:p>
    <w:p w:rsidR="00AC12B4" w:rsidRPr="00C27636" w:rsidRDefault="00C27636">
      <w:pPr>
        <w:spacing w:line="200" w:lineRule="exact"/>
        <w:rPr>
          <w:sz w:val="20"/>
          <w:szCs w:val="20"/>
          <w:lang w:val="fr-BE"/>
        </w:rPr>
      </w:pPr>
      <w:bookmarkStart w:id="218" w:name="page218"/>
      <w:bookmarkEnd w:id="218"/>
      <w:r>
        <w:rPr>
          <w:noProof/>
          <w:sz w:val="20"/>
          <w:szCs w:val="20"/>
        </w:rPr>
        <w:drawing>
          <wp:anchor distT="0" distB="0" distL="114300" distR="114300" simplePos="0" relativeHeight="251965952" behindDoc="1" locked="0" layoutInCell="0" allowOverlap="1">
            <wp:simplePos x="0" y="0"/>
            <wp:positionH relativeFrom="page">
              <wp:posOffset>0</wp:posOffset>
            </wp:positionH>
            <wp:positionV relativeFrom="page">
              <wp:posOffset>1905</wp:posOffset>
            </wp:positionV>
            <wp:extent cx="7668895" cy="10906760"/>
            <wp:effectExtent l="0" t="0" r="0" b="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377">
                      <a:clrChange>
                        <a:clrFrom>
                          <a:srgbClr val="FFFFFF"/>
                        </a:clrFrom>
                        <a:clrTo>
                          <a:srgbClr val="FFFFFF">
                            <a:alpha val="0"/>
                          </a:srgbClr>
                        </a:clrTo>
                      </a:clrChange>
                      <a:extLst/>
                    </a:blip>
                    <a:srcRect/>
                    <a:stretch>
                      <a:fillRect/>
                    </a:stretch>
                  </pic:blipFill>
                  <pic:spPr bwMode="auto">
                    <a:xfrm>
                      <a:off x="0" y="0"/>
                      <a:ext cx="7668895" cy="10906760"/>
                    </a:xfrm>
                    <a:prstGeom prst="rect">
                      <a:avLst/>
                    </a:prstGeom>
                    <a:noFill/>
                  </pic:spPr>
                </pic:pic>
              </a:graphicData>
            </a:graphic>
          </wp:anchor>
        </w:drawing>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52" w:lineRule="exact"/>
        <w:rPr>
          <w:sz w:val="20"/>
          <w:szCs w:val="20"/>
          <w:lang w:val="fr-BE"/>
        </w:rPr>
      </w:pPr>
    </w:p>
    <w:p w:rsidR="00AC12B4" w:rsidRPr="00C27636" w:rsidRDefault="00C27636">
      <w:pPr>
        <w:ind w:left="5760"/>
        <w:jc w:val="center"/>
        <w:rPr>
          <w:sz w:val="20"/>
          <w:szCs w:val="20"/>
          <w:lang w:val="fr-BE"/>
        </w:rPr>
      </w:pPr>
      <w:r w:rsidRPr="00C27636">
        <w:rPr>
          <w:rFonts w:ascii="Calibri" w:eastAsia="Calibri" w:hAnsi="Calibri" w:cs="Calibri"/>
          <w:b/>
          <w:bCs/>
          <w:color w:val="ACD8F9"/>
          <w:sz w:val="28"/>
          <w:szCs w:val="28"/>
          <w:lang w:val="fr-BE"/>
        </w:rPr>
        <w:t>Commission nationale pour les</w:t>
      </w:r>
    </w:p>
    <w:p w:rsidR="00AC12B4" w:rsidRPr="00C27636" w:rsidRDefault="00C27636">
      <w:pPr>
        <w:ind w:left="5760"/>
        <w:jc w:val="center"/>
        <w:rPr>
          <w:sz w:val="20"/>
          <w:szCs w:val="20"/>
          <w:lang w:val="fr-BE"/>
        </w:rPr>
      </w:pPr>
      <w:r w:rsidRPr="00C27636">
        <w:rPr>
          <w:rFonts w:ascii="Calibri" w:eastAsia="Calibri" w:hAnsi="Calibri" w:cs="Calibri"/>
          <w:b/>
          <w:bCs/>
          <w:color w:val="ACD8F9"/>
          <w:sz w:val="28"/>
          <w:szCs w:val="28"/>
          <w:lang w:val="fr-BE"/>
        </w:rPr>
        <w:t>droits de l’Enfant</w:t>
      </w:r>
    </w:p>
    <w:p w:rsidR="00AC12B4" w:rsidRPr="00C27636" w:rsidRDefault="00AC12B4">
      <w:pPr>
        <w:spacing w:line="115" w:lineRule="exact"/>
        <w:rPr>
          <w:sz w:val="20"/>
          <w:szCs w:val="20"/>
          <w:lang w:val="fr-BE"/>
        </w:rPr>
      </w:pPr>
    </w:p>
    <w:p w:rsidR="00AC12B4" w:rsidRPr="00C27636" w:rsidRDefault="00C27636">
      <w:pPr>
        <w:ind w:left="5440"/>
        <w:rPr>
          <w:sz w:val="20"/>
          <w:szCs w:val="20"/>
          <w:lang w:val="fr-BE"/>
        </w:rPr>
      </w:pPr>
      <w:r w:rsidRPr="00C27636">
        <w:rPr>
          <w:rFonts w:ascii="Calibri" w:eastAsia="Calibri" w:hAnsi="Calibri" w:cs="Calibri"/>
          <w:color w:val="ACD8F9"/>
          <w:lang w:val="fr-BE"/>
        </w:rPr>
        <w:t>La Commission nationale pour les droits de</w:t>
      </w:r>
    </w:p>
    <w:p w:rsidR="00AC12B4" w:rsidRPr="00C27636" w:rsidRDefault="00C27636">
      <w:pPr>
        <w:ind w:left="5440"/>
        <w:rPr>
          <w:sz w:val="20"/>
          <w:szCs w:val="20"/>
          <w:lang w:val="fr-BE"/>
        </w:rPr>
      </w:pPr>
      <w:r w:rsidRPr="00C27636">
        <w:rPr>
          <w:rFonts w:ascii="Calibri" w:eastAsia="Calibri" w:hAnsi="Calibri" w:cs="Calibri"/>
          <w:color w:val="ACD8F9"/>
          <w:lang w:val="fr-BE"/>
        </w:rPr>
        <w:t>l'enfant (CNDE) est une institution d'intérêt</w:t>
      </w:r>
    </w:p>
    <w:p w:rsidR="00AC12B4" w:rsidRPr="00C27636" w:rsidRDefault="00C27636">
      <w:pPr>
        <w:ind w:left="5440"/>
        <w:rPr>
          <w:sz w:val="20"/>
          <w:szCs w:val="20"/>
          <w:lang w:val="fr-BE"/>
        </w:rPr>
      </w:pPr>
      <w:r w:rsidRPr="00C27636">
        <w:rPr>
          <w:rFonts w:ascii="Calibri" w:eastAsia="Calibri" w:hAnsi="Calibri" w:cs="Calibri"/>
          <w:color w:val="ACD8F9"/>
          <w:lang w:val="fr-BE"/>
        </w:rPr>
        <w:t>public,  mise  en  place  en  2007  par  les</w:t>
      </w:r>
    </w:p>
    <w:p w:rsidR="00AC12B4" w:rsidRPr="00C27636" w:rsidRDefault="00C27636">
      <w:pPr>
        <w:tabs>
          <w:tab w:val="left" w:pos="7080"/>
          <w:tab w:val="left" w:pos="8180"/>
          <w:tab w:val="left" w:pos="8720"/>
        </w:tabs>
        <w:ind w:left="5440"/>
        <w:rPr>
          <w:sz w:val="20"/>
          <w:szCs w:val="20"/>
          <w:lang w:val="fr-BE"/>
        </w:rPr>
      </w:pPr>
      <w:r w:rsidRPr="00C27636">
        <w:rPr>
          <w:rFonts w:ascii="Calibri" w:eastAsia="Calibri" w:hAnsi="Calibri" w:cs="Calibri"/>
          <w:color w:val="ACD8F9"/>
          <w:lang w:val="fr-BE"/>
        </w:rPr>
        <w:t>gouvernements</w:t>
      </w:r>
      <w:r w:rsidRPr="00C27636">
        <w:rPr>
          <w:rFonts w:ascii="Calibri" w:eastAsia="Calibri" w:hAnsi="Calibri" w:cs="Calibri"/>
          <w:color w:val="ACD8F9"/>
          <w:lang w:val="fr-BE"/>
        </w:rPr>
        <w:tab/>
      </w:r>
      <w:r w:rsidRPr="00C27636">
        <w:rPr>
          <w:rFonts w:ascii="Calibri" w:eastAsia="Calibri" w:hAnsi="Calibri" w:cs="Calibri"/>
          <w:color w:val="ACD8F9"/>
          <w:lang w:val="fr-BE"/>
        </w:rPr>
        <w:t>belges.</w:t>
      </w:r>
      <w:r w:rsidRPr="00C27636">
        <w:rPr>
          <w:sz w:val="20"/>
          <w:szCs w:val="20"/>
          <w:lang w:val="fr-BE"/>
        </w:rPr>
        <w:tab/>
      </w:r>
      <w:r w:rsidRPr="00C27636">
        <w:rPr>
          <w:rFonts w:ascii="Calibri" w:eastAsia="Calibri" w:hAnsi="Calibri" w:cs="Calibri"/>
          <w:color w:val="ACD8F9"/>
          <w:lang w:val="fr-BE"/>
        </w:rPr>
        <w:t>Elle</w:t>
      </w:r>
      <w:r w:rsidRPr="00C27636">
        <w:rPr>
          <w:rFonts w:ascii="Calibri" w:eastAsia="Calibri" w:hAnsi="Calibri" w:cs="Calibri"/>
          <w:color w:val="ACD8F9"/>
          <w:lang w:val="fr-BE"/>
        </w:rPr>
        <w:tab/>
        <w:t>s'occupe</w:t>
      </w:r>
    </w:p>
    <w:p w:rsidR="00AC12B4" w:rsidRPr="00C27636" w:rsidRDefault="00C27636">
      <w:pPr>
        <w:tabs>
          <w:tab w:val="left" w:pos="7080"/>
          <w:tab w:val="left" w:pos="7520"/>
          <w:tab w:val="left" w:pos="7900"/>
          <w:tab w:val="left" w:pos="9280"/>
        </w:tabs>
        <w:ind w:left="5440"/>
        <w:rPr>
          <w:sz w:val="20"/>
          <w:szCs w:val="20"/>
          <w:lang w:val="fr-BE"/>
        </w:rPr>
      </w:pPr>
      <w:r w:rsidRPr="00C27636">
        <w:rPr>
          <w:rFonts w:ascii="Calibri" w:eastAsia="Calibri" w:hAnsi="Calibri" w:cs="Calibri"/>
          <w:color w:val="ACD8F9"/>
          <w:lang w:val="fr-BE"/>
        </w:rPr>
        <w:t>essentiellement</w:t>
      </w:r>
      <w:r w:rsidRPr="00C27636">
        <w:rPr>
          <w:rFonts w:ascii="Calibri" w:eastAsia="Calibri" w:hAnsi="Calibri" w:cs="Calibri"/>
          <w:color w:val="ACD8F9"/>
          <w:lang w:val="fr-BE"/>
        </w:rPr>
        <w:tab/>
        <w:t>de</w:t>
      </w:r>
      <w:r w:rsidRPr="00C27636">
        <w:rPr>
          <w:rFonts w:ascii="Calibri" w:eastAsia="Calibri" w:hAnsi="Calibri" w:cs="Calibri"/>
          <w:color w:val="ACD8F9"/>
          <w:lang w:val="fr-BE"/>
        </w:rPr>
        <w:tab/>
        <w:t>la</w:t>
      </w:r>
      <w:r w:rsidRPr="00C27636">
        <w:rPr>
          <w:rFonts w:ascii="Calibri" w:eastAsia="Calibri" w:hAnsi="Calibri" w:cs="Calibri"/>
          <w:color w:val="ACD8F9"/>
          <w:lang w:val="fr-BE"/>
        </w:rPr>
        <w:tab/>
        <w:t>coordination</w:t>
      </w:r>
      <w:r w:rsidRPr="00C27636">
        <w:rPr>
          <w:sz w:val="20"/>
          <w:szCs w:val="20"/>
          <w:lang w:val="fr-BE"/>
        </w:rPr>
        <w:tab/>
      </w:r>
      <w:r w:rsidRPr="00C27636">
        <w:rPr>
          <w:rFonts w:ascii="Calibri" w:eastAsia="Calibri" w:hAnsi="Calibri" w:cs="Calibri"/>
          <w:color w:val="ACD8F9"/>
          <w:sz w:val="20"/>
          <w:szCs w:val="20"/>
          <w:lang w:val="fr-BE"/>
        </w:rPr>
        <w:t>du</w:t>
      </w:r>
    </w:p>
    <w:p w:rsidR="00AC12B4" w:rsidRPr="00C27636" w:rsidRDefault="00C27636">
      <w:pPr>
        <w:ind w:left="5440"/>
        <w:rPr>
          <w:sz w:val="20"/>
          <w:szCs w:val="20"/>
          <w:lang w:val="fr-BE"/>
        </w:rPr>
      </w:pPr>
      <w:r w:rsidRPr="00C27636">
        <w:rPr>
          <w:rFonts w:ascii="Calibri" w:eastAsia="Calibri" w:hAnsi="Calibri" w:cs="Calibri"/>
          <w:color w:val="ACD8F9"/>
          <w:lang w:val="fr-BE"/>
        </w:rPr>
        <w:t>rapport périodique de la Belgique sur les</w:t>
      </w:r>
    </w:p>
    <w:p w:rsidR="00AC12B4" w:rsidRPr="00C27636" w:rsidRDefault="00AC12B4">
      <w:pPr>
        <w:spacing w:line="1" w:lineRule="exact"/>
        <w:rPr>
          <w:sz w:val="20"/>
          <w:szCs w:val="20"/>
          <w:lang w:val="fr-BE"/>
        </w:rPr>
      </w:pPr>
    </w:p>
    <w:p w:rsidR="00AC12B4" w:rsidRPr="00C27636" w:rsidRDefault="00C27636">
      <w:pPr>
        <w:ind w:left="5440"/>
        <w:rPr>
          <w:sz w:val="20"/>
          <w:szCs w:val="20"/>
          <w:lang w:val="fr-BE"/>
        </w:rPr>
      </w:pPr>
      <w:r w:rsidRPr="00C27636">
        <w:rPr>
          <w:rFonts w:ascii="Calibri" w:eastAsia="Calibri" w:hAnsi="Calibri" w:cs="Calibri"/>
          <w:color w:val="ACD8F9"/>
          <w:lang w:val="fr-BE"/>
        </w:rPr>
        <w:t>droits de l'enfant, à destination du Comité</w:t>
      </w:r>
    </w:p>
    <w:p w:rsidR="00AC12B4" w:rsidRPr="00C27636" w:rsidRDefault="00C27636">
      <w:pPr>
        <w:ind w:left="5440"/>
        <w:rPr>
          <w:sz w:val="20"/>
          <w:szCs w:val="20"/>
          <w:lang w:val="fr-BE"/>
        </w:rPr>
      </w:pPr>
      <w:r w:rsidRPr="00C27636">
        <w:rPr>
          <w:rFonts w:ascii="Calibri" w:eastAsia="Calibri" w:hAnsi="Calibri" w:cs="Calibri"/>
          <w:color w:val="ACD8F9"/>
          <w:lang w:val="fr-BE"/>
        </w:rPr>
        <w:t>des droits de l'enfant de l'ONU et du suivi des</w:t>
      </w:r>
    </w:p>
    <w:p w:rsidR="00AC12B4" w:rsidRPr="00C27636" w:rsidRDefault="00C27636">
      <w:pPr>
        <w:ind w:left="5440"/>
        <w:rPr>
          <w:sz w:val="20"/>
          <w:szCs w:val="20"/>
          <w:lang w:val="fr-BE"/>
        </w:rPr>
      </w:pPr>
      <w:r w:rsidRPr="00C27636">
        <w:rPr>
          <w:rFonts w:ascii="Calibri" w:eastAsia="Calibri" w:hAnsi="Calibri" w:cs="Calibri"/>
          <w:color w:val="ACD8F9"/>
          <w:lang w:val="fr-BE"/>
        </w:rPr>
        <w:t>recommandations du Comité.</w:t>
      </w:r>
    </w:p>
    <w:p w:rsidR="00AC12B4" w:rsidRPr="00C27636" w:rsidRDefault="00AC12B4">
      <w:pPr>
        <w:spacing w:line="120" w:lineRule="exact"/>
        <w:rPr>
          <w:sz w:val="20"/>
          <w:szCs w:val="20"/>
          <w:lang w:val="fr-BE"/>
        </w:rPr>
      </w:pPr>
    </w:p>
    <w:p w:rsidR="00AC12B4" w:rsidRPr="00C27636" w:rsidRDefault="00C27636">
      <w:pPr>
        <w:ind w:left="5440"/>
        <w:rPr>
          <w:sz w:val="20"/>
          <w:szCs w:val="20"/>
          <w:lang w:val="fr-BE"/>
        </w:rPr>
      </w:pPr>
      <w:r w:rsidRPr="00C27636">
        <w:rPr>
          <w:rFonts w:ascii="Calibri" w:eastAsia="Calibri" w:hAnsi="Calibri" w:cs="Calibri"/>
          <w:color w:val="ACD8F9"/>
          <w:lang w:val="fr-BE"/>
        </w:rPr>
        <w:t xml:space="preserve">Les  indicateurs  nationaux  des </w:t>
      </w:r>
      <w:r w:rsidRPr="00C27636">
        <w:rPr>
          <w:rFonts w:ascii="Calibri" w:eastAsia="Calibri" w:hAnsi="Calibri" w:cs="Calibri"/>
          <w:color w:val="ACD8F9"/>
          <w:lang w:val="fr-BE"/>
        </w:rPr>
        <w:t xml:space="preserve"> droits  de</w:t>
      </w:r>
    </w:p>
    <w:p w:rsidR="00AC12B4" w:rsidRPr="00C27636" w:rsidRDefault="00C27636">
      <w:pPr>
        <w:spacing w:line="238" w:lineRule="auto"/>
        <w:ind w:left="5440"/>
        <w:rPr>
          <w:sz w:val="20"/>
          <w:szCs w:val="20"/>
          <w:lang w:val="fr-BE"/>
        </w:rPr>
      </w:pPr>
      <w:r w:rsidRPr="00C27636">
        <w:rPr>
          <w:rFonts w:ascii="Calibri" w:eastAsia="Calibri" w:hAnsi="Calibri" w:cs="Calibri"/>
          <w:color w:val="ACD8F9"/>
          <w:lang w:val="fr-BE"/>
        </w:rPr>
        <w:t>l’enfant ont pour objectif de fournir une</w:t>
      </w:r>
    </w:p>
    <w:p w:rsidR="00AC12B4" w:rsidRPr="00C27636" w:rsidRDefault="00C27636">
      <w:pPr>
        <w:ind w:left="5440"/>
        <w:rPr>
          <w:sz w:val="20"/>
          <w:szCs w:val="20"/>
          <w:lang w:val="fr-BE"/>
        </w:rPr>
      </w:pPr>
      <w:r w:rsidRPr="00C27636">
        <w:rPr>
          <w:rFonts w:ascii="Calibri" w:eastAsia="Calibri" w:hAnsi="Calibri" w:cs="Calibri"/>
          <w:color w:val="ACD8F9"/>
          <w:lang w:val="fr-BE"/>
        </w:rPr>
        <w:t>meilleure vision de la mesure dans laquelle</w:t>
      </w:r>
    </w:p>
    <w:p w:rsidR="00AC12B4" w:rsidRPr="00C27636" w:rsidRDefault="00C27636">
      <w:pPr>
        <w:ind w:left="5440"/>
        <w:rPr>
          <w:sz w:val="20"/>
          <w:szCs w:val="20"/>
          <w:lang w:val="fr-BE"/>
        </w:rPr>
      </w:pPr>
      <w:r w:rsidRPr="00C27636">
        <w:rPr>
          <w:rFonts w:ascii="Calibri" w:eastAsia="Calibri" w:hAnsi="Calibri" w:cs="Calibri"/>
          <w:color w:val="ACD8F9"/>
          <w:lang w:val="fr-BE"/>
        </w:rPr>
        <w:t>les droits de l'enfant sont ou non de mieux</w:t>
      </w:r>
    </w:p>
    <w:p w:rsidR="00AC12B4" w:rsidRPr="00C27636" w:rsidRDefault="00C27636">
      <w:pPr>
        <w:ind w:left="5440"/>
        <w:rPr>
          <w:sz w:val="20"/>
          <w:szCs w:val="20"/>
          <w:lang w:val="fr-BE"/>
        </w:rPr>
      </w:pPr>
      <w:r w:rsidRPr="00C27636">
        <w:rPr>
          <w:rFonts w:ascii="Calibri" w:eastAsia="Calibri" w:hAnsi="Calibri" w:cs="Calibri"/>
          <w:color w:val="ACD8F9"/>
          <w:lang w:val="fr-BE"/>
        </w:rPr>
        <w:t>en mieux réalisés, du point de vue de l'enfant</w:t>
      </w:r>
    </w:p>
    <w:p w:rsidR="00AC12B4" w:rsidRPr="00C27636" w:rsidRDefault="00C27636">
      <w:pPr>
        <w:ind w:left="5440"/>
        <w:rPr>
          <w:sz w:val="20"/>
          <w:szCs w:val="20"/>
          <w:lang w:val="fr-BE"/>
        </w:rPr>
      </w:pPr>
      <w:r w:rsidRPr="00C27636">
        <w:rPr>
          <w:rFonts w:ascii="Calibri" w:eastAsia="Calibri" w:hAnsi="Calibri" w:cs="Calibri"/>
          <w:color w:val="ACD8F9"/>
          <w:lang w:val="fr-BE"/>
        </w:rPr>
        <w:t>lui-même.</w:t>
      </w: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327" w:lineRule="exact"/>
        <w:rPr>
          <w:sz w:val="20"/>
          <w:szCs w:val="20"/>
          <w:lang w:val="fr-BE"/>
        </w:rPr>
      </w:pPr>
    </w:p>
    <w:p w:rsidR="00AC12B4" w:rsidRPr="00C27636" w:rsidRDefault="00C27636">
      <w:pPr>
        <w:ind w:left="5760"/>
        <w:jc w:val="center"/>
        <w:rPr>
          <w:sz w:val="20"/>
          <w:szCs w:val="20"/>
          <w:lang w:val="fr-BE"/>
        </w:rPr>
      </w:pPr>
      <w:r w:rsidRPr="00C27636">
        <w:rPr>
          <w:rFonts w:ascii="Calibri" w:eastAsia="Calibri" w:hAnsi="Calibri" w:cs="Calibri"/>
          <w:color w:val="ACD8F9"/>
          <w:sz w:val="20"/>
          <w:szCs w:val="20"/>
          <w:lang w:val="fr-BE"/>
        </w:rPr>
        <w:t>Quai de Willebroeck, 33 - 1000 Bruxelles</w:t>
      </w:r>
    </w:p>
    <w:p w:rsidR="00AC12B4" w:rsidRPr="00C27636" w:rsidRDefault="00AC12B4">
      <w:pPr>
        <w:spacing w:line="118" w:lineRule="exact"/>
        <w:rPr>
          <w:sz w:val="20"/>
          <w:szCs w:val="20"/>
          <w:lang w:val="fr-BE"/>
        </w:rPr>
      </w:pPr>
    </w:p>
    <w:p w:rsidR="00AC12B4" w:rsidRPr="00C27636" w:rsidRDefault="00C27636">
      <w:pPr>
        <w:ind w:left="5760"/>
        <w:jc w:val="center"/>
        <w:rPr>
          <w:sz w:val="20"/>
          <w:szCs w:val="20"/>
          <w:lang w:val="fr-BE"/>
        </w:rPr>
      </w:pPr>
      <w:r w:rsidRPr="00C27636">
        <w:rPr>
          <w:rFonts w:ascii="Calibri" w:eastAsia="Calibri" w:hAnsi="Calibri" w:cs="Calibri"/>
          <w:i/>
          <w:iCs/>
          <w:color w:val="ACD8F9"/>
          <w:sz w:val="20"/>
          <w:szCs w:val="20"/>
          <w:lang w:val="fr-BE"/>
        </w:rPr>
        <w:t>info@ncrk-cnde</w:t>
      </w:r>
    </w:p>
    <w:p w:rsidR="00AC12B4" w:rsidRPr="00C27636" w:rsidRDefault="00AC12B4">
      <w:pPr>
        <w:spacing w:line="119" w:lineRule="exact"/>
        <w:rPr>
          <w:sz w:val="20"/>
          <w:szCs w:val="20"/>
          <w:lang w:val="fr-BE"/>
        </w:rPr>
      </w:pPr>
    </w:p>
    <w:p w:rsidR="00AC12B4" w:rsidRPr="00C27636" w:rsidRDefault="00C27636">
      <w:pPr>
        <w:ind w:left="6860"/>
        <w:rPr>
          <w:rFonts w:ascii="Calibri" w:eastAsia="Calibri" w:hAnsi="Calibri" w:cs="Calibri"/>
          <w:color w:val="ACD8F9"/>
          <w:lang w:val="fr-BE"/>
        </w:rPr>
      </w:pPr>
      <w:hyperlink r:id="rId378">
        <w:r w:rsidRPr="00C27636">
          <w:rPr>
            <w:rFonts w:ascii="Calibri" w:eastAsia="Calibri" w:hAnsi="Calibri" w:cs="Calibri"/>
            <w:color w:val="ACD8F9"/>
            <w:lang w:val="fr-BE"/>
          </w:rPr>
          <w:t>www.cnde.be</w:t>
        </w:r>
      </w:hyperlink>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00" w:lineRule="exact"/>
        <w:rPr>
          <w:sz w:val="20"/>
          <w:szCs w:val="20"/>
          <w:lang w:val="fr-BE"/>
        </w:rPr>
      </w:pPr>
    </w:p>
    <w:p w:rsidR="00AC12B4" w:rsidRPr="00C27636" w:rsidRDefault="00AC12B4">
      <w:pPr>
        <w:spacing w:line="225" w:lineRule="exact"/>
        <w:rPr>
          <w:sz w:val="20"/>
          <w:szCs w:val="20"/>
          <w:lang w:val="fr-BE"/>
        </w:rPr>
      </w:pPr>
    </w:p>
    <w:p w:rsidR="00AC12B4" w:rsidRDefault="00C27636">
      <w:pPr>
        <w:ind w:left="4060"/>
        <w:rPr>
          <w:sz w:val="20"/>
          <w:szCs w:val="20"/>
        </w:rPr>
      </w:pPr>
      <w:r>
        <w:rPr>
          <w:rFonts w:ascii="Calibri" w:eastAsia="Calibri" w:hAnsi="Calibri" w:cs="Calibri"/>
        </w:rPr>
        <w:t>218</w:t>
      </w:r>
    </w:p>
    <w:sectPr w:rsidR="00AC12B4">
      <w:pgSz w:w="12080" w:h="17179"/>
      <w:pgMar w:top="1440" w:right="1117" w:bottom="659" w:left="1440" w:header="0" w:footer="0" w:gutter="0"/>
      <w:cols w:space="720" w:equalWidth="0">
        <w:col w:w="952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636" w:rsidRDefault="00C27636" w:rsidP="00C27636">
      <w:r>
        <w:separator/>
      </w:r>
    </w:p>
  </w:endnote>
  <w:endnote w:type="continuationSeparator" w:id="0">
    <w:p w:rsidR="00C27636" w:rsidRDefault="00C27636" w:rsidP="00C27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36" w:rsidRDefault="00C276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36" w:rsidRDefault="00C276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36" w:rsidRDefault="00C276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636" w:rsidRDefault="00C27636" w:rsidP="00C27636">
      <w:r>
        <w:separator/>
      </w:r>
    </w:p>
  </w:footnote>
  <w:footnote w:type="continuationSeparator" w:id="0">
    <w:p w:rsidR="00C27636" w:rsidRDefault="00C27636" w:rsidP="00C27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36" w:rsidRDefault="00C276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36" w:rsidRDefault="00C276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36" w:rsidRDefault="00C276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E135"/>
    <w:multiLevelType w:val="hybridMultilevel"/>
    <w:tmpl w:val="2A62768A"/>
    <w:lvl w:ilvl="0" w:tplc="11121B10">
      <w:start w:val="1"/>
      <w:numFmt w:val="decimal"/>
      <w:lvlText w:val="%1"/>
      <w:lvlJc w:val="left"/>
    </w:lvl>
    <w:lvl w:ilvl="1" w:tplc="858A8F3A">
      <w:numFmt w:val="decimal"/>
      <w:lvlText w:val=""/>
      <w:lvlJc w:val="left"/>
    </w:lvl>
    <w:lvl w:ilvl="2" w:tplc="288614C6">
      <w:numFmt w:val="decimal"/>
      <w:lvlText w:val=""/>
      <w:lvlJc w:val="left"/>
    </w:lvl>
    <w:lvl w:ilvl="3" w:tplc="4C1AF2EA">
      <w:numFmt w:val="decimal"/>
      <w:lvlText w:val=""/>
      <w:lvlJc w:val="left"/>
    </w:lvl>
    <w:lvl w:ilvl="4" w:tplc="ADEE16E4">
      <w:numFmt w:val="decimal"/>
      <w:lvlText w:val=""/>
      <w:lvlJc w:val="left"/>
    </w:lvl>
    <w:lvl w:ilvl="5" w:tplc="6B4CA652">
      <w:numFmt w:val="decimal"/>
      <w:lvlText w:val=""/>
      <w:lvlJc w:val="left"/>
    </w:lvl>
    <w:lvl w:ilvl="6" w:tplc="17A2F248">
      <w:numFmt w:val="decimal"/>
      <w:lvlText w:val=""/>
      <w:lvlJc w:val="left"/>
    </w:lvl>
    <w:lvl w:ilvl="7" w:tplc="6EA63518">
      <w:numFmt w:val="decimal"/>
      <w:lvlText w:val=""/>
      <w:lvlJc w:val="left"/>
    </w:lvl>
    <w:lvl w:ilvl="8" w:tplc="64A8019C">
      <w:numFmt w:val="decimal"/>
      <w:lvlText w:val=""/>
      <w:lvlJc w:val="left"/>
    </w:lvl>
  </w:abstractNum>
  <w:abstractNum w:abstractNumId="1">
    <w:nsid w:val="00A65647"/>
    <w:multiLevelType w:val="hybridMultilevel"/>
    <w:tmpl w:val="314C78A0"/>
    <w:lvl w:ilvl="0" w:tplc="3152899A">
      <w:start w:val="1"/>
      <w:numFmt w:val="bullet"/>
      <w:lvlText w:val=""/>
      <w:lvlJc w:val="left"/>
    </w:lvl>
    <w:lvl w:ilvl="1" w:tplc="5E4C15AA">
      <w:numFmt w:val="decimal"/>
      <w:lvlText w:val=""/>
      <w:lvlJc w:val="left"/>
    </w:lvl>
    <w:lvl w:ilvl="2" w:tplc="8ED4BCB6">
      <w:numFmt w:val="decimal"/>
      <w:lvlText w:val=""/>
      <w:lvlJc w:val="left"/>
    </w:lvl>
    <w:lvl w:ilvl="3" w:tplc="3490DE1A">
      <w:numFmt w:val="decimal"/>
      <w:lvlText w:val=""/>
      <w:lvlJc w:val="left"/>
    </w:lvl>
    <w:lvl w:ilvl="4" w:tplc="3960830C">
      <w:numFmt w:val="decimal"/>
      <w:lvlText w:val=""/>
      <w:lvlJc w:val="left"/>
    </w:lvl>
    <w:lvl w:ilvl="5" w:tplc="E47864C4">
      <w:numFmt w:val="decimal"/>
      <w:lvlText w:val=""/>
      <w:lvlJc w:val="left"/>
    </w:lvl>
    <w:lvl w:ilvl="6" w:tplc="281288BE">
      <w:numFmt w:val="decimal"/>
      <w:lvlText w:val=""/>
      <w:lvlJc w:val="left"/>
    </w:lvl>
    <w:lvl w:ilvl="7" w:tplc="4ADAF384">
      <w:numFmt w:val="decimal"/>
      <w:lvlText w:val=""/>
      <w:lvlJc w:val="left"/>
    </w:lvl>
    <w:lvl w:ilvl="8" w:tplc="C878480C">
      <w:numFmt w:val="decimal"/>
      <w:lvlText w:val=""/>
      <w:lvlJc w:val="left"/>
    </w:lvl>
  </w:abstractNum>
  <w:abstractNum w:abstractNumId="2">
    <w:nsid w:val="00BB13C1"/>
    <w:multiLevelType w:val="hybridMultilevel"/>
    <w:tmpl w:val="055E348C"/>
    <w:lvl w:ilvl="0" w:tplc="503469C0">
      <w:start w:val="1"/>
      <w:numFmt w:val="bullet"/>
      <w:lvlText w:val="«"/>
      <w:lvlJc w:val="left"/>
    </w:lvl>
    <w:lvl w:ilvl="1" w:tplc="6CE6278E">
      <w:numFmt w:val="decimal"/>
      <w:lvlText w:val=""/>
      <w:lvlJc w:val="left"/>
    </w:lvl>
    <w:lvl w:ilvl="2" w:tplc="B79A30C2">
      <w:numFmt w:val="decimal"/>
      <w:lvlText w:val=""/>
      <w:lvlJc w:val="left"/>
    </w:lvl>
    <w:lvl w:ilvl="3" w:tplc="F33E1D9A">
      <w:numFmt w:val="decimal"/>
      <w:lvlText w:val=""/>
      <w:lvlJc w:val="left"/>
    </w:lvl>
    <w:lvl w:ilvl="4" w:tplc="F40619DA">
      <w:numFmt w:val="decimal"/>
      <w:lvlText w:val=""/>
      <w:lvlJc w:val="left"/>
    </w:lvl>
    <w:lvl w:ilvl="5" w:tplc="037867C8">
      <w:numFmt w:val="decimal"/>
      <w:lvlText w:val=""/>
      <w:lvlJc w:val="left"/>
    </w:lvl>
    <w:lvl w:ilvl="6" w:tplc="CA801F48">
      <w:numFmt w:val="decimal"/>
      <w:lvlText w:val=""/>
      <w:lvlJc w:val="left"/>
    </w:lvl>
    <w:lvl w:ilvl="7" w:tplc="7AB881EC">
      <w:numFmt w:val="decimal"/>
      <w:lvlText w:val=""/>
      <w:lvlJc w:val="left"/>
    </w:lvl>
    <w:lvl w:ilvl="8" w:tplc="B08C8766">
      <w:numFmt w:val="decimal"/>
      <w:lvlText w:val=""/>
      <w:lvlJc w:val="left"/>
    </w:lvl>
  </w:abstractNum>
  <w:abstractNum w:abstractNumId="3">
    <w:nsid w:val="00C4C3AF"/>
    <w:multiLevelType w:val="hybridMultilevel"/>
    <w:tmpl w:val="E8D84A6C"/>
    <w:lvl w:ilvl="0" w:tplc="98A6A002">
      <w:start w:val="1"/>
      <w:numFmt w:val="bullet"/>
      <w:lvlText w:val=""/>
      <w:lvlJc w:val="left"/>
    </w:lvl>
    <w:lvl w:ilvl="1" w:tplc="1EF28098">
      <w:start w:val="1"/>
      <w:numFmt w:val="bullet"/>
      <w:lvlText w:val=""/>
      <w:lvlJc w:val="left"/>
    </w:lvl>
    <w:lvl w:ilvl="2" w:tplc="B644E904">
      <w:numFmt w:val="decimal"/>
      <w:lvlText w:val=""/>
      <w:lvlJc w:val="left"/>
    </w:lvl>
    <w:lvl w:ilvl="3" w:tplc="C74C5A6E">
      <w:numFmt w:val="decimal"/>
      <w:lvlText w:val=""/>
      <w:lvlJc w:val="left"/>
    </w:lvl>
    <w:lvl w:ilvl="4" w:tplc="C0028F50">
      <w:numFmt w:val="decimal"/>
      <w:lvlText w:val=""/>
      <w:lvlJc w:val="left"/>
    </w:lvl>
    <w:lvl w:ilvl="5" w:tplc="750E10F0">
      <w:numFmt w:val="decimal"/>
      <w:lvlText w:val=""/>
      <w:lvlJc w:val="left"/>
    </w:lvl>
    <w:lvl w:ilvl="6" w:tplc="0B24C0B0">
      <w:numFmt w:val="decimal"/>
      <w:lvlText w:val=""/>
      <w:lvlJc w:val="left"/>
    </w:lvl>
    <w:lvl w:ilvl="7" w:tplc="C3E021BE">
      <w:numFmt w:val="decimal"/>
      <w:lvlText w:val=""/>
      <w:lvlJc w:val="left"/>
    </w:lvl>
    <w:lvl w:ilvl="8" w:tplc="D3C49FDC">
      <w:numFmt w:val="decimal"/>
      <w:lvlText w:val=""/>
      <w:lvlJc w:val="left"/>
    </w:lvl>
  </w:abstractNum>
  <w:abstractNum w:abstractNumId="4">
    <w:nsid w:val="00E4B973"/>
    <w:multiLevelType w:val="hybridMultilevel"/>
    <w:tmpl w:val="61A2E97C"/>
    <w:lvl w:ilvl="0" w:tplc="F54AB0BC">
      <w:start w:val="1"/>
      <w:numFmt w:val="bullet"/>
      <w:lvlText w:val="«"/>
      <w:lvlJc w:val="left"/>
    </w:lvl>
    <w:lvl w:ilvl="1" w:tplc="8A5C7008">
      <w:numFmt w:val="decimal"/>
      <w:lvlText w:val=""/>
      <w:lvlJc w:val="left"/>
    </w:lvl>
    <w:lvl w:ilvl="2" w:tplc="7C24059A">
      <w:numFmt w:val="decimal"/>
      <w:lvlText w:val=""/>
      <w:lvlJc w:val="left"/>
    </w:lvl>
    <w:lvl w:ilvl="3" w:tplc="5B0A0B3A">
      <w:numFmt w:val="decimal"/>
      <w:lvlText w:val=""/>
      <w:lvlJc w:val="left"/>
    </w:lvl>
    <w:lvl w:ilvl="4" w:tplc="17FEDED6">
      <w:numFmt w:val="decimal"/>
      <w:lvlText w:val=""/>
      <w:lvlJc w:val="left"/>
    </w:lvl>
    <w:lvl w:ilvl="5" w:tplc="489AB850">
      <w:numFmt w:val="decimal"/>
      <w:lvlText w:val=""/>
      <w:lvlJc w:val="left"/>
    </w:lvl>
    <w:lvl w:ilvl="6" w:tplc="7FBCC990">
      <w:numFmt w:val="decimal"/>
      <w:lvlText w:val=""/>
      <w:lvlJc w:val="left"/>
    </w:lvl>
    <w:lvl w:ilvl="7" w:tplc="4C54A1AA">
      <w:numFmt w:val="decimal"/>
      <w:lvlText w:val=""/>
      <w:lvlJc w:val="left"/>
    </w:lvl>
    <w:lvl w:ilvl="8" w:tplc="8DEE767E">
      <w:numFmt w:val="decimal"/>
      <w:lvlText w:val=""/>
      <w:lvlJc w:val="left"/>
    </w:lvl>
  </w:abstractNum>
  <w:abstractNum w:abstractNumId="5">
    <w:nsid w:val="0129517E"/>
    <w:multiLevelType w:val="hybridMultilevel"/>
    <w:tmpl w:val="A782D482"/>
    <w:lvl w:ilvl="0" w:tplc="07D2615E">
      <w:start w:val="1"/>
      <w:numFmt w:val="bullet"/>
      <w:lvlText w:val=""/>
      <w:lvlJc w:val="left"/>
    </w:lvl>
    <w:lvl w:ilvl="1" w:tplc="ED4861B8">
      <w:numFmt w:val="decimal"/>
      <w:lvlText w:val=""/>
      <w:lvlJc w:val="left"/>
    </w:lvl>
    <w:lvl w:ilvl="2" w:tplc="298652C8">
      <w:numFmt w:val="decimal"/>
      <w:lvlText w:val=""/>
      <w:lvlJc w:val="left"/>
    </w:lvl>
    <w:lvl w:ilvl="3" w:tplc="16E4A034">
      <w:numFmt w:val="decimal"/>
      <w:lvlText w:val=""/>
      <w:lvlJc w:val="left"/>
    </w:lvl>
    <w:lvl w:ilvl="4" w:tplc="929046E2">
      <w:numFmt w:val="decimal"/>
      <w:lvlText w:val=""/>
      <w:lvlJc w:val="left"/>
    </w:lvl>
    <w:lvl w:ilvl="5" w:tplc="A816F1D2">
      <w:numFmt w:val="decimal"/>
      <w:lvlText w:val=""/>
      <w:lvlJc w:val="left"/>
    </w:lvl>
    <w:lvl w:ilvl="6" w:tplc="CF4E5C3A">
      <w:numFmt w:val="decimal"/>
      <w:lvlText w:val=""/>
      <w:lvlJc w:val="left"/>
    </w:lvl>
    <w:lvl w:ilvl="7" w:tplc="80887BE2">
      <w:numFmt w:val="decimal"/>
      <w:lvlText w:val=""/>
      <w:lvlJc w:val="left"/>
    </w:lvl>
    <w:lvl w:ilvl="8" w:tplc="17AC612A">
      <w:numFmt w:val="decimal"/>
      <w:lvlText w:val=""/>
      <w:lvlJc w:val="left"/>
    </w:lvl>
  </w:abstractNum>
  <w:abstractNum w:abstractNumId="6">
    <w:nsid w:val="01C65E98"/>
    <w:multiLevelType w:val="hybridMultilevel"/>
    <w:tmpl w:val="72DA8EDC"/>
    <w:lvl w:ilvl="0" w:tplc="F6E666A0">
      <w:start w:val="1"/>
      <w:numFmt w:val="bullet"/>
      <w:lvlText w:val=""/>
      <w:lvlJc w:val="left"/>
    </w:lvl>
    <w:lvl w:ilvl="1" w:tplc="954ABDC0">
      <w:numFmt w:val="decimal"/>
      <w:lvlText w:val=""/>
      <w:lvlJc w:val="left"/>
    </w:lvl>
    <w:lvl w:ilvl="2" w:tplc="0AA0FB5A">
      <w:numFmt w:val="decimal"/>
      <w:lvlText w:val=""/>
      <w:lvlJc w:val="left"/>
    </w:lvl>
    <w:lvl w:ilvl="3" w:tplc="734CB334">
      <w:numFmt w:val="decimal"/>
      <w:lvlText w:val=""/>
      <w:lvlJc w:val="left"/>
    </w:lvl>
    <w:lvl w:ilvl="4" w:tplc="6D4EA990">
      <w:numFmt w:val="decimal"/>
      <w:lvlText w:val=""/>
      <w:lvlJc w:val="left"/>
    </w:lvl>
    <w:lvl w:ilvl="5" w:tplc="A8D8EE3A">
      <w:numFmt w:val="decimal"/>
      <w:lvlText w:val=""/>
      <w:lvlJc w:val="left"/>
    </w:lvl>
    <w:lvl w:ilvl="6" w:tplc="AA52A3A4">
      <w:numFmt w:val="decimal"/>
      <w:lvlText w:val=""/>
      <w:lvlJc w:val="left"/>
    </w:lvl>
    <w:lvl w:ilvl="7" w:tplc="671ACC00">
      <w:numFmt w:val="decimal"/>
      <w:lvlText w:val=""/>
      <w:lvlJc w:val="left"/>
    </w:lvl>
    <w:lvl w:ilvl="8" w:tplc="A88A64AC">
      <w:numFmt w:val="decimal"/>
      <w:lvlText w:val=""/>
      <w:lvlJc w:val="left"/>
    </w:lvl>
  </w:abstractNum>
  <w:abstractNum w:abstractNumId="7">
    <w:nsid w:val="01DDBC66"/>
    <w:multiLevelType w:val="hybridMultilevel"/>
    <w:tmpl w:val="090C7104"/>
    <w:lvl w:ilvl="0" w:tplc="0450A908">
      <w:start w:val="1"/>
      <w:numFmt w:val="decimal"/>
      <w:lvlText w:val="%1."/>
      <w:lvlJc w:val="left"/>
    </w:lvl>
    <w:lvl w:ilvl="1" w:tplc="193C981E">
      <w:numFmt w:val="decimal"/>
      <w:lvlText w:val=""/>
      <w:lvlJc w:val="left"/>
    </w:lvl>
    <w:lvl w:ilvl="2" w:tplc="3E722CAA">
      <w:numFmt w:val="decimal"/>
      <w:lvlText w:val=""/>
      <w:lvlJc w:val="left"/>
    </w:lvl>
    <w:lvl w:ilvl="3" w:tplc="E08010A6">
      <w:numFmt w:val="decimal"/>
      <w:lvlText w:val=""/>
      <w:lvlJc w:val="left"/>
    </w:lvl>
    <w:lvl w:ilvl="4" w:tplc="0E5AE5A6">
      <w:numFmt w:val="decimal"/>
      <w:lvlText w:val=""/>
      <w:lvlJc w:val="left"/>
    </w:lvl>
    <w:lvl w:ilvl="5" w:tplc="9042DD04">
      <w:numFmt w:val="decimal"/>
      <w:lvlText w:val=""/>
      <w:lvlJc w:val="left"/>
    </w:lvl>
    <w:lvl w:ilvl="6" w:tplc="5B646908">
      <w:numFmt w:val="decimal"/>
      <w:lvlText w:val=""/>
      <w:lvlJc w:val="left"/>
    </w:lvl>
    <w:lvl w:ilvl="7" w:tplc="C43E1A14">
      <w:numFmt w:val="decimal"/>
      <w:lvlText w:val=""/>
      <w:lvlJc w:val="left"/>
    </w:lvl>
    <w:lvl w:ilvl="8" w:tplc="FB72FCA2">
      <w:numFmt w:val="decimal"/>
      <w:lvlText w:val=""/>
      <w:lvlJc w:val="left"/>
    </w:lvl>
  </w:abstractNum>
  <w:abstractNum w:abstractNumId="8">
    <w:nsid w:val="02121A81"/>
    <w:multiLevelType w:val="hybridMultilevel"/>
    <w:tmpl w:val="86803F02"/>
    <w:lvl w:ilvl="0" w:tplc="7DFEE9D0">
      <w:start w:val="4"/>
      <w:numFmt w:val="decimal"/>
      <w:lvlText w:val="%1"/>
      <w:lvlJc w:val="left"/>
    </w:lvl>
    <w:lvl w:ilvl="1" w:tplc="86C00C8C">
      <w:numFmt w:val="decimal"/>
      <w:lvlText w:val=""/>
      <w:lvlJc w:val="left"/>
    </w:lvl>
    <w:lvl w:ilvl="2" w:tplc="A5D8E99E">
      <w:numFmt w:val="decimal"/>
      <w:lvlText w:val=""/>
      <w:lvlJc w:val="left"/>
    </w:lvl>
    <w:lvl w:ilvl="3" w:tplc="F72031F6">
      <w:numFmt w:val="decimal"/>
      <w:lvlText w:val=""/>
      <w:lvlJc w:val="left"/>
    </w:lvl>
    <w:lvl w:ilvl="4" w:tplc="2DB615A4">
      <w:numFmt w:val="decimal"/>
      <w:lvlText w:val=""/>
      <w:lvlJc w:val="left"/>
    </w:lvl>
    <w:lvl w:ilvl="5" w:tplc="B73AE53A">
      <w:numFmt w:val="decimal"/>
      <w:lvlText w:val=""/>
      <w:lvlJc w:val="left"/>
    </w:lvl>
    <w:lvl w:ilvl="6" w:tplc="A70E433C">
      <w:numFmt w:val="decimal"/>
      <w:lvlText w:val=""/>
      <w:lvlJc w:val="left"/>
    </w:lvl>
    <w:lvl w:ilvl="7" w:tplc="B09AA9EE">
      <w:numFmt w:val="decimal"/>
      <w:lvlText w:val=""/>
      <w:lvlJc w:val="left"/>
    </w:lvl>
    <w:lvl w:ilvl="8" w:tplc="84482BBA">
      <w:numFmt w:val="decimal"/>
      <w:lvlText w:val=""/>
      <w:lvlJc w:val="left"/>
    </w:lvl>
  </w:abstractNum>
  <w:abstractNum w:abstractNumId="9">
    <w:nsid w:val="02219B33"/>
    <w:multiLevelType w:val="hybridMultilevel"/>
    <w:tmpl w:val="FACE33FA"/>
    <w:lvl w:ilvl="0" w:tplc="7A3E1512">
      <w:start w:val="1"/>
      <w:numFmt w:val="bullet"/>
      <w:lvlText w:val="à"/>
      <w:lvlJc w:val="left"/>
    </w:lvl>
    <w:lvl w:ilvl="1" w:tplc="AAF4CDA6">
      <w:numFmt w:val="decimal"/>
      <w:lvlText w:val=""/>
      <w:lvlJc w:val="left"/>
    </w:lvl>
    <w:lvl w:ilvl="2" w:tplc="E90E7604">
      <w:numFmt w:val="decimal"/>
      <w:lvlText w:val=""/>
      <w:lvlJc w:val="left"/>
    </w:lvl>
    <w:lvl w:ilvl="3" w:tplc="18A60710">
      <w:numFmt w:val="decimal"/>
      <w:lvlText w:val=""/>
      <w:lvlJc w:val="left"/>
    </w:lvl>
    <w:lvl w:ilvl="4" w:tplc="585C1A9E">
      <w:numFmt w:val="decimal"/>
      <w:lvlText w:val=""/>
      <w:lvlJc w:val="left"/>
    </w:lvl>
    <w:lvl w:ilvl="5" w:tplc="A2228F7A">
      <w:numFmt w:val="decimal"/>
      <w:lvlText w:val=""/>
      <w:lvlJc w:val="left"/>
    </w:lvl>
    <w:lvl w:ilvl="6" w:tplc="AB821B94">
      <w:numFmt w:val="decimal"/>
      <w:lvlText w:val=""/>
      <w:lvlJc w:val="left"/>
    </w:lvl>
    <w:lvl w:ilvl="7" w:tplc="6456ADA2">
      <w:numFmt w:val="decimal"/>
      <w:lvlText w:val=""/>
      <w:lvlJc w:val="left"/>
    </w:lvl>
    <w:lvl w:ilvl="8" w:tplc="C2720554">
      <w:numFmt w:val="decimal"/>
      <w:lvlText w:val=""/>
      <w:lvlJc w:val="left"/>
    </w:lvl>
  </w:abstractNum>
  <w:abstractNum w:abstractNumId="10">
    <w:nsid w:val="023C049A"/>
    <w:multiLevelType w:val="hybridMultilevel"/>
    <w:tmpl w:val="BFBC204A"/>
    <w:lvl w:ilvl="0" w:tplc="1B0605F4">
      <w:start w:val="2"/>
      <w:numFmt w:val="decimal"/>
      <w:lvlText w:val="%1."/>
      <w:lvlJc w:val="left"/>
    </w:lvl>
    <w:lvl w:ilvl="1" w:tplc="B26439AA">
      <w:numFmt w:val="decimal"/>
      <w:lvlText w:val=""/>
      <w:lvlJc w:val="left"/>
    </w:lvl>
    <w:lvl w:ilvl="2" w:tplc="8CC86CAE">
      <w:numFmt w:val="decimal"/>
      <w:lvlText w:val=""/>
      <w:lvlJc w:val="left"/>
    </w:lvl>
    <w:lvl w:ilvl="3" w:tplc="EAE01C2A">
      <w:numFmt w:val="decimal"/>
      <w:lvlText w:val=""/>
      <w:lvlJc w:val="left"/>
    </w:lvl>
    <w:lvl w:ilvl="4" w:tplc="C56A0A72">
      <w:numFmt w:val="decimal"/>
      <w:lvlText w:val=""/>
      <w:lvlJc w:val="left"/>
    </w:lvl>
    <w:lvl w:ilvl="5" w:tplc="07FA45C8">
      <w:numFmt w:val="decimal"/>
      <w:lvlText w:val=""/>
      <w:lvlJc w:val="left"/>
    </w:lvl>
    <w:lvl w:ilvl="6" w:tplc="5AFCE216">
      <w:numFmt w:val="decimal"/>
      <w:lvlText w:val=""/>
      <w:lvlJc w:val="left"/>
    </w:lvl>
    <w:lvl w:ilvl="7" w:tplc="EC38C5AE">
      <w:numFmt w:val="decimal"/>
      <w:lvlText w:val=""/>
      <w:lvlJc w:val="left"/>
    </w:lvl>
    <w:lvl w:ilvl="8" w:tplc="17E87C38">
      <w:numFmt w:val="decimal"/>
      <w:lvlText w:val=""/>
      <w:lvlJc w:val="left"/>
    </w:lvl>
  </w:abstractNum>
  <w:abstractNum w:abstractNumId="11">
    <w:nsid w:val="026BAAE9"/>
    <w:multiLevelType w:val="hybridMultilevel"/>
    <w:tmpl w:val="023ACD36"/>
    <w:lvl w:ilvl="0" w:tplc="1FD6AB40">
      <w:start w:val="3"/>
      <w:numFmt w:val="lowerRoman"/>
      <w:lvlText w:val="%1)"/>
      <w:lvlJc w:val="left"/>
    </w:lvl>
    <w:lvl w:ilvl="1" w:tplc="55D65D7E">
      <w:numFmt w:val="decimal"/>
      <w:lvlText w:val=""/>
      <w:lvlJc w:val="left"/>
    </w:lvl>
    <w:lvl w:ilvl="2" w:tplc="30A236B0">
      <w:numFmt w:val="decimal"/>
      <w:lvlText w:val=""/>
      <w:lvlJc w:val="left"/>
    </w:lvl>
    <w:lvl w:ilvl="3" w:tplc="82209E7C">
      <w:numFmt w:val="decimal"/>
      <w:lvlText w:val=""/>
      <w:lvlJc w:val="left"/>
    </w:lvl>
    <w:lvl w:ilvl="4" w:tplc="A9709B68">
      <w:numFmt w:val="decimal"/>
      <w:lvlText w:val=""/>
      <w:lvlJc w:val="left"/>
    </w:lvl>
    <w:lvl w:ilvl="5" w:tplc="8B06C9A6">
      <w:numFmt w:val="decimal"/>
      <w:lvlText w:val=""/>
      <w:lvlJc w:val="left"/>
    </w:lvl>
    <w:lvl w:ilvl="6" w:tplc="98AEB238">
      <w:numFmt w:val="decimal"/>
      <w:lvlText w:val=""/>
      <w:lvlJc w:val="left"/>
    </w:lvl>
    <w:lvl w:ilvl="7" w:tplc="8B9E94D4">
      <w:numFmt w:val="decimal"/>
      <w:lvlText w:val=""/>
      <w:lvlJc w:val="left"/>
    </w:lvl>
    <w:lvl w:ilvl="8" w:tplc="185CFA24">
      <w:numFmt w:val="decimal"/>
      <w:lvlText w:val=""/>
      <w:lvlJc w:val="left"/>
    </w:lvl>
  </w:abstractNum>
  <w:abstractNum w:abstractNumId="12">
    <w:nsid w:val="030DF306"/>
    <w:multiLevelType w:val="hybridMultilevel"/>
    <w:tmpl w:val="C93ED6F0"/>
    <w:lvl w:ilvl="0" w:tplc="6D4A3E86">
      <w:start w:val="1"/>
      <w:numFmt w:val="bullet"/>
      <w:lvlText w:val=""/>
      <w:lvlJc w:val="left"/>
    </w:lvl>
    <w:lvl w:ilvl="1" w:tplc="0EDECB24">
      <w:numFmt w:val="decimal"/>
      <w:lvlText w:val=""/>
      <w:lvlJc w:val="left"/>
    </w:lvl>
    <w:lvl w:ilvl="2" w:tplc="DBC83924">
      <w:numFmt w:val="decimal"/>
      <w:lvlText w:val=""/>
      <w:lvlJc w:val="left"/>
    </w:lvl>
    <w:lvl w:ilvl="3" w:tplc="97367EBA">
      <w:numFmt w:val="decimal"/>
      <w:lvlText w:val=""/>
      <w:lvlJc w:val="left"/>
    </w:lvl>
    <w:lvl w:ilvl="4" w:tplc="36166A9E">
      <w:numFmt w:val="decimal"/>
      <w:lvlText w:val=""/>
      <w:lvlJc w:val="left"/>
    </w:lvl>
    <w:lvl w:ilvl="5" w:tplc="B1A47702">
      <w:numFmt w:val="decimal"/>
      <w:lvlText w:val=""/>
      <w:lvlJc w:val="left"/>
    </w:lvl>
    <w:lvl w:ilvl="6" w:tplc="EF58A0C2">
      <w:numFmt w:val="decimal"/>
      <w:lvlText w:val=""/>
      <w:lvlJc w:val="left"/>
    </w:lvl>
    <w:lvl w:ilvl="7" w:tplc="D5AA53E8">
      <w:numFmt w:val="decimal"/>
      <w:lvlText w:val=""/>
      <w:lvlJc w:val="left"/>
    </w:lvl>
    <w:lvl w:ilvl="8" w:tplc="83BAE8CA">
      <w:numFmt w:val="decimal"/>
      <w:lvlText w:val=""/>
      <w:lvlJc w:val="left"/>
    </w:lvl>
  </w:abstractNum>
  <w:abstractNum w:abstractNumId="13">
    <w:nsid w:val="0435D38D"/>
    <w:multiLevelType w:val="hybridMultilevel"/>
    <w:tmpl w:val="31D06042"/>
    <w:lvl w:ilvl="0" w:tplc="31BC71F2">
      <w:start w:val="1"/>
      <w:numFmt w:val="bullet"/>
      <w:lvlText w:val="-"/>
      <w:lvlJc w:val="left"/>
    </w:lvl>
    <w:lvl w:ilvl="1" w:tplc="F08234B0">
      <w:numFmt w:val="decimal"/>
      <w:lvlText w:val=""/>
      <w:lvlJc w:val="left"/>
    </w:lvl>
    <w:lvl w:ilvl="2" w:tplc="A9D25038">
      <w:numFmt w:val="decimal"/>
      <w:lvlText w:val=""/>
      <w:lvlJc w:val="left"/>
    </w:lvl>
    <w:lvl w:ilvl="3" w:tplc="E85C93E4">
      <w:numFmt w:val="decimal"/>
      <w:lvlText w:val=""/>
      <w:lvlJc w:val="left"/>
    </w:lvl>
    <w:lvl w:ilvl="4" w:tplc="0B982B3A">
      <w:numFmt w:val="decimal"/>
      <w:lvlText w:val=""/>
      <w:lvlJc w:val="left"/>
    </w:lvl>
    <w:lvl w:ilvl="5" w:tplc="CFFC75A4">
      <w:numFmt w:val="decimal"/>
      <w:lvlText w:val=""/>
      <w:lvlJc w:val="left"/>
    </w:lvl>
    <w:lvl w:ilvl="6" w:tplc="8586E3E0">
      <w:numFmt w:val="decimal"/>
      <w:lvlText w:val=""/>
      <w:lvlJc w:val="left"/>
    </w:lvl>
    <w:lvl w:ilvl="7" w:tplc="B4F21E4E">
      <w:numFmt w:val="decimal"/>
      <w:lvlText w:val=""/>
      <w:lvlJc w:val="left"/>
    </w:lvl>
    <w:lvl w:ilvl="8" w:tplc="0024AD26">
      <w:numFmt w:val="decimal"/>
      <w:lvlText w:val=""/>
      <w:lvlJc w:val="left"/>
    </w:lvl>
  </w:abstractNum>
  <w:abstractNum w:abstractNumId="14">
    <w:nsid w:val="04382503"/>
    <w:multiLevelType w:val="hybridMultilevel"/>
    <w:tmpl w:val="45E4A17E"/>
    <w:lvl w:ilvl="0" w:tplc="D7EAD4D0">
      <w:start w:val="1"/>
      <w:numFmt w:val="bullet"/>
      <w:lvlText w:val=""/>
      <w:lvlJc w:val="left"/>
    </w:lvl>
    <w:lvl w:ilvl="1" w:tplc="BD3EA2D0">
      <w:numFmt w:val="decimal"/>
      <w:lvlText w:val=""/>
      <w:lvlJc w:val="left"/>
    </w:lvl>
    <w:lvl w:ilvl="2" w:tplc="86C6FC1A">
      <w:numFmt w:val="decimal"/>
      <w:lvlText w:val=""/>
      <w:lvlJc w:val="left"/>
    </w:lvl>
    <w:lvl w:ilvl="3" w:tplc="2AF0AFA4">
      <w:numFmt w:val="decimal"/>
      <w:lvlText w:val=""/>
      <w:lvlJc w:val="left"/>
    </w:lvl>
    <w:lvl w:ilvl="4" w:tplc="C6403EE2">
      <w:numFmt w:val="decimal"/>
      <w:lvlText w:val=""/>
      <w:lvlJc w:val="left"/>
    </w:lvl>
    <w:lvl w:ilvl="5" w:tplc="B936E710">
      <w:numFmt w:val="decimal"/>
      <w:lvlText w:val=""/>
      <w:lvlJc w:val="left"/>
    </w:lvl>
    <w:lvl w:ilvl="6" w:tplc="0D8E7BBE">
      <w:numFmt w:val="decimal"/>
      <w:lvlText w:val=""/>
      <w:lvlJc w:val="left"/>
    </w:lvl>
    <w:lvl w:ilvl="7" w:tplc="A1B880FC">
      <w:numFmt w:val="decimal"/>
      <w:lvlText w:val=""/>
      <w:lvlJc w:val="left"/>
    </w:lvl>
    <w:lvl w:ilvl="8" w:tplc="E1121416">
      <w:numFmt w:val="decimal"/>
      <w:lvlText w:val=""/>
      <w:lvlJc w:val="left"/>
    </w:lvl>
  </w:abstractNum>
  <w:abstractNum w:abstractNumId="15">
    <w:nsid w:val="047195E5"/>
    <w:multiLevelType w:val="hybridMultilevel"/>
    <w:tmpl w:val="112E98B0"/>
    <w:lvl w:ilvl="0" w:tplc="45C612EE">
      <w:start w:val="1"/>
      <w:numFmt w:val="bullet"/>
      <w:lvlText w:val=""/>
      <w:lvlJc w:val="left"/>
    </w:lvl>
    <w:lvl w:ilvl="1" w:tplc="B0D46182">
      <w:start w:val="1"/>
      <w:numFmt w:val="bullet"/>
      <w:lvlText w:val="-"/>
      <w:lvlJc w:val="left"/>
    </w:lvl>
    <w:lvl w:ilvl="2" w:tplc="25C45D32">
      <w:numFmt w:val="decimal"/>
      <w:lvlText w:val=""/>
      <w:lvlJc w:val="left"/>
    </w:lvl>
    <w:lvl w:ilvl="3" w:tplc="D33660DA">
      <w:numFmt w:val="decimal"/>
      <w:lvlText w:val=""/>
      <w:lvlJc w:val="left"/>
    </w:lvl>
    <w:lvl w:ilvl="4" w:tplc="DE82C6E8">
      <w:numFmt w:val="decimal"/>
      <w:lvlText w:val=""/>
      <w:lvlJc w:val="left"/>
    </w:lvl>
    <w:lvl w:ilvl="5" w:tplc="46D82E88">
      <w:numFmt w:val="decimal"/>
      <w:lvlText w:val=""/>
      <w:lvlJc w:val="left"/>
    </w:lvl>
    <w:lvl w:ilvl="6" w:tplc="8FD42D0C">
      <w:numFmt w:val="decimal"/>
      <w:lvlText w:val=""/>
      <w:lvlJc w:val="left"/>
    </w:lvl>
    <w:lvl w:ilvl="7" w:tplc="6C905020">
      <w:numFmt w:val="decimal"/>
      <w:lvlText w:val=""/>
      <w:lvlJc w:val="left"/>
    </w:lvl>
    <w:lvl w:ilvl="8" w:tplc="3828A80E">
      <w:numFmt w:val="decimal"/>
      <w:lvlText w:val=""/>
      <w:lvlJc w:val="left"/>
    </w:lvl>
  </w:abstractNum>
  <w:abstractNum w:abstractNumId="16">
    <w:nsid w:val="0490B7C5"/>
    <w:multiLevelType w:val="hybridMultilevel"/>
    <w:tmpl w:val="C9045AB2"/>
    <w:lvl w:ilvl="0" w:tplc="BA18CECA">
      <w:start w:val="1"/>
      <w:numFmt w:val="bullet"/>
      <w:lvlText w:val="«"/>
      <w:lvlJc w:val="left"/>
    </w:lvl>
    <w:lvl w:ilvl="1" w:tplc="9B00FFC2">
      <w:numFmt w:val="decimal"/>
      <w:lvlText w:val=""/>
      <w:lvlJc w:val="left"/>
    </w:lvl>
    <w:lvl w:ilvl="2" w:tplc="674A144E">
      <w:numFmt w:val="decimal"/>
      <w:lvlText w:val=""/>
      <w:lvlJc w:val="left"/>
    </w:lvl>
    <w:lvl w:ilvl="3" w:tplc="52BA2266">
      <w:numFmt w:val="decimal"/>
      <w:lvlText w:val=""/>
      <w:lvlJc w:val="left"/>
    </w:lvl>
    <w:lvl w:ilvl="4" w:tplc="28165F58">
      <w:numFmt w:val="decimal"/>
      <w:lvlText w:val=""/>
      <w:lvlJc w:val="left"/>
    </w:lvl>
    <w:lvl w:ilvl="5" w:tplc="164A60D4">
      <w:numFmt w:val="decimal"/>
      <w:lvlText w:val=""/>
      <w:lvlJc w:val="left"/>
    </w:lvl>
    <w:lvl w:ilvl="6" w:tplc="FC864832">
      <w:numFmt w:val="decimal"/>
      <w:lvlText w:val=""/>
      <w:lvlJc w:val="left"/>
    </w:lvl>
    <w:lvl w:ilvl="7" w:tplc="1BFCD498">
      <w:numFmt w:val="decimal"/>
      <w:lvlText w:val=""/>
      <w:lvlJc w:val="left"/>
    </w:lvl>
    <w:lvl w:ilvl="8" w:tplc="448C05DA">
      <w:numFmt w:val="decimal"/>
      <w:lvlText w:val=""/>
      <w:lvlJc w:val="left"/>
    </w:lvl>
  </w:abstractNum>
  <w:abstractNum w:abstractNumId="17">
    <w:nsid w:val="04A66051"/>
    <w:multiLevelType w:val="hybridMultilevel"/>
    <w:tmpl w:val="2F66ECB2"/>
    <w:lvl w:ilvl="0" w:tplc="2206CAB2">
      <w:start w:val="1"/>
      <w:numFmt w:val="bullet"/>
      <w:lvlText w:val="-"/>
      <w:lvlJc w:val="left"/>
    </w:lvl>
    <w:lvl w:ilvl="1" w:tplc="8928687A">
      <w:numFmt w:val="decimal"/>
      <w:lvlText w:val=""/>
      <w:lvlJc w:val="left"/>
    </w:lvl>
    <w:lvl w:ilvl="2" w:tplc="9D368F66">
      <w:numFmt w:val="decimal"/>
      <w:lvlText w:val=""/>
      <w:lvlJc w:val="left"/>
    </w:lvl>
    <w:lvl w:ilvl="3" w:tplc="DC148B8A">
      <w:numFmt w:val="decimal"/>
      <w:lvlText w:val=""/>
      <w:lvlJc w:val="left"/>
    </w:lvl>
    <w:lvl w:ilvl="4" w:tplc="B4280CF6">
      <w:numFmt w:val="decimal"/>
      <w:lvlText w:val=""/>
      <w:lvlJc w:val="left"/>
    </w:lvl>
    <w:lvl w:ilvl="5" w:tplc="A04AE55E">
      <w:numFmt w:val="decimal"/>
      <w:lvlText w:val=""/>
      <w:lvlJc w:val="left"/>
    </w:lvl>
    <w:lvl w:ilvl="6" w:tplc="E96A191E">
      <w:numFmt w:val="decimal"/>
      <w:lvlText w:val=""/>
      <w:lvlJc w:val="left"/>
    </w:lvl>
    <w:lvl w:ilvl="7" w:tplc="D576A78E">
      <w:numFmt w:val="decimal"/>
      <w:lvlText w:val=""/>
      <w:lvlJc w:val="left"/>
    </w:lvl>
    <w:lvl w:ilvl="8" w:tplc="92BCDB3A">
      <w:numFmt w:val="decimal"/>
      <w:lvlText w:val=""/>
      <w:lvlJc w:val="left"/>
    </w:lvl>
  </w:abstractNum>
  <w:abstractNum w:abstractNumId="18">
    <w:nsid w:val="058DF53B"/>
    <w:multiLevelType w:val="hybridMultilevel"/>
    <w:tmpl w:val="FAF65444"/>
    <w:lvl w:ilvl="0" w:tplc="4426B1FA">
      <w:start w:val="1"/>
      <w:numFmt w:val="decimal"/>
      <w:lvlText w:val="%1."/>
      <w:lvlJc w:val="left"/>
    </w:lvl>
    <w:lvl w:ilvl="1" w:tplc="3DBA8D5C">
      <w:numFmt w:val="decimal"/>
      <w:lvlText w:val=""/>
      <w:lvlJc w:val="left"/>
    </w:lvl>
    <w:lvl w:ilvl="2" w:tplc="7FD0F0C6">
      <w:numFmt w:val="decimal"/>
      <w:lvlText w:val=""/>
      <w:lvlJc w:val="left"/>
    </w:lvl>
    <w:lvl w:ilvl="3" w:tplc="6FE62B16">
      <w:numFmt w:val="decimal"/>
      <w:lvlText w:val=""/>
      <w:lvlJc w:val="left"/>
    </w:lvl>
    <w:lvl w:ilvl="4" w:tplc="3A043B70">
      <w:numFmt w:val="decimal"/>
      <w:lvlText w:val=""/>
      <w:lvlJc w:val="left"/>
    </w:lvl>
    <w:lvl w:ilvl="5" w:tplc="84182564">
      <w:numFmt w:val="decimal"/>
      <w:lvlText w:val=""/>
      <w:lvlJc w:val="left"/>
    </w:lvl>
    <w:lvl w:ilvl="6" w:tplc="F4447714">
      <w:numFmt w:val="decimal"/>
      <w:lvlText w:val=""/>
      <w:lvlJc w:val="left"/>
    </w:lvl>
    <w:lvl w:ilvl="7" w:tplc="DDF49C0A">
      <w:numFmt w:val="decimal"/>
      <w:lvlText w:val=""/>
      <w:lvlJc w:val="left"/>
    </w:lvl>
    <w:lvl w:ilvl="8" w:tplc="952A0E4C">
      <w:numFmt w:val="decimal"/>
      <w:lvlText w:val=""/>
      <w:lvlJc w:val="left"/>
    </w:lvl>
  </w:abstractNum>
  <w:abstractNum w:abstractNumId="19">
    <w:nsid w:val="059F0446"/>
    <w:multiLevelType w:val="hybridMultilevel"/>
    <w:tmpl w:val="CCCA0F7A"/>
    <w:lvl w:ilvl="0" w:tplc="15C0D51E">
      <w:start w:val="1"/>
      <w:numFmt w:val="bullet"/>
      <w:lvlText w:val="«"/>
      <w:lvlJc w:val="left"/>
    </w:lvl>
    <w:lvl w:ilvl="1" w:tplc="9044296C">
      <w:numFmt w:val="decimal"/>
      <w:lvlText w:val=""/>
      <w:lvlJc w:val="left"/>
    </w:lvl>
    <w:lvl w:ilvl="2" w:tplc="9D66BB52">
      <w:numFmt w:val="decimal"/>
      <w:lvlText w:val=""/>
      <w:lvlJc w:val="left"/>
    </w:lvl>
    <w:lvl w:ilvl="3" w:tplc="D2F82280">
      <w:numFmt w:val="decimal"/>
      <w:lvlText w:val=""/>
      <w:lvlJc w:val="left"/>
    </w:lvl>
    <w:lvl w:ilvl="4" w:tplc="D43206EA">
      <w:numFmt w:val="decimal"/>
      <w:lvlText w:val=""/>
      <w:lvlJc w:val="left"/>
    </w:lvl>
    <w:lvl w:ilvl="5" w:tplc="8D78A1EC">
      <w:numFmt w:val="decimal"/>
      <w:lvlText w:val=""/>
      <w:lvlJc w:val="left"/>
    </w:lvl>
    <w:lvl w:ilvl="6" w:tplc="8AF8BFE8">
      <w:numFmt w:val="decimal"/>
      <w:lvlText w:val=""/>
      <w:lvlJc w:val="left"/>
    </w:lvl>
    <w:lvl w:ilvl="7" w:tplc="C6148C84">
      <w:numFmt w:val="decimal"/>
      <w:lvlText w:val=""/>
      <w:lvlJc w:val="left"/>
    </w:lvl>
    <w:lvl w:ilvl="8" w:tplc="04F485AE">
      <w:numFmt w:val="decimal"/>
      <w:lvlText w:val=""/>
      <w:lvlJc w:val="left"/>
    </w:lvl>
  </w:abstractNum>
  <w:abstractNum w:abstractNumId="20">
    <w:nsid w:val="06353CD2"/>
    <w:multiLevelType w:val="hybridMultilevel"/>
    <w:tmpl w:val="6F4E7D58"/>
    <w:lvl w:ilvl="0" w:tplc="1C6A92FC">
      <w:start w:val="2"/>
      <w:numFmt w:val="decimal"/>
      <w:lvlText w:val="%1"/>
      <w:lvlJc w:val="left"/>
    </w:lvl>
    <w:lvl w:ilvl="1" w:tplc="334C4F32">
      <w:numFmt w:val="decimal"/>
      <w:lvlText w:val=""/>
      <w:lvlJc w:val="left"/>
    </w:lvl>
    <w:lvl w:ilvl="2" w:tplc="950A1C9E">
      <w:numFmt w:val="decimal"/>
      <w:lvlText w:val=""/>
      <w:lvlJc w:val="left"/>
    </w:lvl>
    <w:lvl w:ilvl="3" w:tplc="60C24F74">
      <w:numFmt w:val="decimal"/>
      <w:lvlText w:val=""/>
      <w:lvlJc w:val="left"/>
    </w:lvl>
    <w:lvl w:ilvl="4" w:tplc="9AB8F62E">
      <w:numFmt w:val="decimal"/>
      <w:lvlText w:val=""/>
      <w:lvlJc w:val="left"/>
    </w:lvl>
    <w:lvl w:ilvl="5" w:tplc="071E4CAA">
      <w:numFmt w:val="decimal"/>
      <w:lvlText w:val=""/>
      <w:lvlJc w:val="left"/>
    </w:lvl>
    <w:lvl w:ilvl="6" w:tplc="A7C80FF6">
      <w:numFmt w:val="decimal"/>
      <w:lvlText w:val=""/>
      <w:lvlJc w:val="left"/>
    </w:lvl>
    <w:lvl w:ilvl="7" w:tplc="CFEC4D76">
      <w:numFmt w:val="decimal"/>
      <w:lvlText w:val=""/>
      <w:lvlJc w:val="left"/>
    </w:lvl>
    <w:lvl w:ilvl="8" w:tplc="364C7320">
      <w:numFmt w:val="decimal"/>
      <w:lvlText w:val=""/>
      <w:lvlJc w:val="left"/>
    </w:lvl>
  </w:abstractNum>
  <w:abstractNum w:abstractNumId="21">
    <w:nsid w:val="066BE6B9"/>
    <w:multiLevelType w:val="hybridMultilevel"/>
    <w:tmpl w:val="832A80B0"/>
    <w:lvl w:ilvl="0" w:tplc="433CA05A">
      <w:start w:val="1"/>
      <w:numFmt w:val="bullet"/>
      <w:lvlText w:val=""/>
      <w:lvlJc w:val="left"/>
    </w:lvl>
    <w:lvl w:ilvl="1" w:tplc="1F4E5DE0">
      <w:numFmt w:val="decimal"/>
      <w:lvlText w:val=""/>
      <w:lvlJc w:val="left"/>
    </w:lvl>
    <w:lvl w:ilvl="2" w:tplc="F1365BB0">
      <w:numFmt w:val="decimal"/>
      <w:lvlText w:val=""/>
      <w:lvlJc w:val="left"/>
    </w:lvl>
    <w:lvl w:ilvl="3" w:tplc="D9C87C40">
      <w:numFmt w:val="decimal"/>
      <w:lvlText w:val=""/>
      <w:lvlJc w:val="left"/>
    </w:lvl>
    <w:lvl w:ilvl="4" w:tplc="0FA8221E">
      <w:numFmt w:val="decimal"/>
      <w:lvlText w:val=""/>
      <w:lvlJc w:val="left"/>
    </w:lvl>
    <w:lvl w:ilvl="5" w:tplc="22F447C0">
      <w:numFmt w:val="decimal"/>
      <w:lvlText w:val=""/>
      <w:lvlJc w:val="left"/>
    </w:lvl>
    <w:lvl w:ilvl="6" w:tplc="16E26234">
      <w:numFmt w:val="decimal"/>
      <w:lvlText w:val=""/>
      <w:lvlJc w:val="left"/>
    </w:lvl>
    <w:lvl w:ilvl="7" w:tplc="E52EC89C">
      <w:numFmt w:val="decimal"/>
      <w:lvlText w:val=""/>
      <w:lvlJc w:val="left"/>
    </w:lvl>
    <w:lvl w:ilvl="8" w:tplc="C5526A06">
      <w:numFmt w:val="decimal"/>
      <w:lvlText w:val=""/>
      <w:lvlJc w:val="left"/>
    </w:lvl>
  </w:abstractNum>
  <w:abstractNum w:abstractNumId="22">
    <w:nsid w:val="06D71A2B"/>
    <w:multiLevelType w:val="hybridMultilevel"/>
    <w:tmpl w:val="A08CC802"/>
    <w:lvl w:ilvl="0" w:tplc="8794D356">
      <w:start w:val="2"/>
      <w:numFmt w:val="decimal"/>
      <w:lvlText w:val="%1"/>
      <w:lvlJc w:val="left"/>
    </w:lvl>
    <w:lvl w:ilvl="1" w:tplc="30720B66">
      <w:numFmt w:val="decimal"/>
      <w:lvlText w:val=""/>
      <w:lvlJc w:val="left"/>
    </w:lvl>
    <w:lvl w:ilvl="2" w:tplc="9B9E6434">
      <w:numFmt w:val="decimal"/>
      <w:lvlText w:val=""/>
      <w:lvlJc w:val="left"/>
    </w:lvl>
    <w:lvl w:ilvl="3" w:tplc="BFBAD328">
      <w:numFmt w:val="decimal"/>
      <w:lvlText w:val=""/>
      <w:lvlJc w:val="left"/>
    </w:lvl>
    <w:lvl w:ilvl="4" w:tplc="475C277A">
      <w:numFmt w:val="decimal"/>
      <w:lvlText w:val=""/>
      <w:lvlJc w:val="left"/>
    </w:lvl>
    <w:lvl w:ilvl="5" w:tplc="EE42FD2A">
      <w:numFmt w:val="decimal"/>
      <w:lvlText w:val=""/>
      <w:lvlJc w:val="left"/>
    </w:lvl>
    <w:lvl w:ilvl="6" w:tplc="CD40AB4C">
      <w:numFmt w:val="decimal"/>
      <w:lvlText w:val=""/>
      <w:lvlJc w:val="left"/>
    </w:lvl>
    <w:lvl w:ilvl="7" w:tplc="144641C2">
      <w:numFmt w:val="decimal"/>
      <w:lvlText w:val=""/>
      <w:lvlJc w:val="left"/>
    </w:lvl>
    <w:lvl w:ilvl="8" w:tplc="2AD82CBC">
      <w:numFmt w:val="decimal"/>
      <w:lvlText w:val=""/>
      <w:lvlJc w:val="left"/>
    </w:lvl>
  </w:abstractNum>
  <w:abstractNum w:abstractNumId="23">
    <w:nsid w:val="072BBC16"/>
    <w:multiLevelType w:val="hybridMultilevel"/>
    <w:tmpl w:val="06346B9C"/>
    <w:lvl w:ilvl="0" w:tplc="9D58E038">
      <w:start w:val="1"/>
      <w:numFmt w:val="bullet"/>
      <w:lvlText w:val=""/>
      <w:lvlJc w:val="left"/>
    </w:lvl>
    <w:lvl w:ilvl="1" w:tplc="633EB43E">
      <w:numFmt w:val="decimal"/>
      <w:lvlText w:val=""/>
      <w:lvlJc w:val="left"/>
    </w:lvl>
    <w:lvl w:ilvl="2" w:tplc="31364BFE">
      <w:numFmt w:val="decimal"/>
      <w:lvlText w:val=""/>
      <w:lvlJc w:val="left"/>
    </w:lvl>
    <w:lvl w:ilvl="3" w:tplc="CE0A0874">
      <w:numFmt w:val="decimal"/>
      <w:lvlText w:val=""/>
      <w:lvlJc w:val="left"/>
    </w:lvl>
    <w:lvl w:ilvl="4" w:tplc="A2BEECA8">
      <w:numFmt w:val="decimal"/>
      <w:lvlText w:val=""/>
      <w:lvlJc w:val="left"/>
    </w:lvl>
    <w:lvl w:ilvl="5" w:tplc="7F4AD15C">
      <w:numFmt w:val="decimal"/>
      <w:lvlText w:val=""/>
      <w:lvlJc w:val="left"/>
    </w:lvl>
    <w:lvl w:ilvl="6" w:tplc="5F5CCD3C">
      <w:numFmt w:val="decimal"/>
      <w:lvlText w:val=""/>
      <w:lvlJc w:val="left"/>
    </w:lvl>
    <w:lvl w:ilvl="7" w:tplc="F216FB06">
      <w:numFmt w:val="decimal"/>
      <w:lvlText w:val=""/>
      <w:lvlJc w:val="left"/>
    </w:lvl>
    <w:lvl w:ilvl="8" w:tplc="A04862BE">
      <w:numFmt w:val="decimal"/>
      <w:lvlText w:val=""/>
      <w:lvlJc w:val="left"/>
    </w:lvl>
  </w:abstractNum>
  <w:abstractNum w:abstractNumId="24">
    <w:nsid w:val="076E41D8"/>
    <w:multiLevelType w:val="hybridMultilevel"/>
    <w:tmpl w:val="447CBC2E"/>
    <w:lvl w:ilvl="0" w:tplc="C31EF090">
      <w:start w:val="1"/>
      <w:numFmt w:val="bullet"/>
      <w:lvlText w:val=""/>
      <w:lvlJc w:val="left"/>
    </w:lvl>
    <w:lvl w:ilvl="1" w:tplc="74764A9A">
      <w:numFmt w:val="decimal"/>
      <w:lvlText w:val=""/>
      <w:lvlJc w:val="left"/>
    </w:lvl>
    <w:lvl w:ilvl="2" w:tplc="8CE6DDD8">
      <w:numFmt w:val="decimal"/>
      <w:lvlText w:val=""/>
      <w:lvlJc w:val="left"/>
    </w:lvl>
    <w:lvl w:ilvl="3" w:tplc="24ECB5D0">
      <w:numFmt w:val="decimal"/>
      <w:lvlText w:val=""/>
      <w:lvlJc w:val="left"/>
    </w:lvl>
    <w:lvl w:ilvl="4" w:tplc="685606EE">
      <w:numFmt w:val="decimal"/>
      <w:lvlText w:val=""/>
      <w:lvlJc w:val="left"/>
    </w:lvl>
    <w:lvl w:ilvl="5" w:tplc="1F2402BA">
      <w:numFmt w:val="decimal"/>
      <w:lvlText w:val=""/>
      <w:lvlJc w:val="left"/>
    </w:lvl>
    <w:lvl w:ilvl="6" w:tplc="11289612">
      <w:numFmt w:val="decimal"/>
      <w:lvlText w:val=""/>
      <w:lvlJc w:val="left"/>
    </w:lvl>
    <w:lvl w:ilvl="7" w:tplc="DAE41270">
      <w:numFmt w:val="decimal"/>
      <w:lvlText w:val=""/>
      <w:lvlJc w:val="left"/>
    </w:lvl>
    <w:lvl w:ilvl="8" w:tplc="A5505DD8">
      <w:numFmt w:val="decimal"/>
      <w:lvlText w:val=""/>
      <w:lvlJc w:val="left"/>
    </w:lvl>
  </w:abstractNum>
  <w:abstractNum w:abstractNumId="25">
    <w:nsid w:val="07843E45"/>
    <w:multiLevelType w:val="hybridMultilevel"/>
    <w:tmpl w:val="4078C5C8"/>
    <w:lvl w:ilvl="0" w:tplc="2C8AFF28">
      <w:start w:val="15"/>
      <w:numFmt w:val="lowerLetter"/>
      <w:lvlText w:val="%1"/>
      <w:lvlJc w:val="left"/>
    </w:lvl>
    <w:lvl w:ilvl="1" w:tplc="43AECBDE">
      <w:numFmt w:val="decimal"/>
      <w:lvlText w:val=""/>
      <w:lvlJc w:val="left"/>
    </w:lvl>
    <w:lvl w:ilvl="2" w:tplc="8F86780A">
      <w:numFmt w:val="decimal"/>
      <w:lvlText w:val=""/>
      <w:lvlJc w:val="left"/>
    </w:lvl>
    <w:lvl w:ilvl="3" w:tplc="85545FFC">
      <w:numFmt w:val="decimal"/>
      <w:lvlText w:val=""/>
      <w:lvlJc w:val="left"/>
    </w:lvl>
    <w:lvl w:ilvl="4" w:tplc="BAF49C54">
      <w:numFmt w:val="decimal"/>
      <w:lvlText w:val=""/>
      <w:lvlJc w:val="left"/>
    </w:lvl>
    <w:lvl w:ilvl="5" w:tplc="BE067F90">
      <w:numFmt w:val="decimal"/>
      <w:lvlText w:val=""/>
      <w:lvlJc w:val="left"/>
    </w:lvl>
    <w:lvl w:ilvl="6" w:tplc="4568165E">
      <w:numFmt w:val="decimal"/>
      <w:lvlText w:val=""/>
      <w:lvlJc w:val="left"/>
    </w:lvl>
    <w:lvl w:ilvl="7" w:tplc="752A50E8">
      <w:numFmt w:val="decimal"/>
      <w:lvlText w:val=""/>
      <w:lvlJc w:val="left"/>
    </w:lvl>
    <w:lvl w:ilvl="8" w:tplc="49F24DBA">
      <w:numFmt w:val="decimal"/>
      <w:lvlText w:val=""/>
      <w:lvlJc w:val="left"/>
    </w:lvl>
  </w:abstractNum>
  <w:abstractNum w:abstractNumId="26">
    <w:nsid w:val="0788BD9B"/>
    <w:multiLevelType w:val="hybridMultilevel"/>
    <w:tmpl w:val="674EAC9C"/>
    <w:lvl w:ilvl="0" w:tplc="693ECFFE">
      <w:start w:val="1"/>
      <w:numFmt w:val="decimal"/>
      <w:lvlText w:val="%1"/>
      <w:lvlJc w:val="left"/>
    </w:lvl>
    <w:lvl w:ilvl="1" w:tplc="D6DA0D92">
      <w:numFmt w:val="decimal"/>
      <w:lvlText w:val=""/>
      <w:lvlJc w:val="left"/>
    </w:lvl>
    <w:lvl w:ilvl="2" w:tplc="E1424E4E">
      <w:numFmt w:val="decimal"/>
      <w:lvlText w:val=""/>
      <w:lvlJc w:val="left"/>
    </w:lvl>
    <w:lvl w:ilvl="3" w:tplc="64B629C4">
      <w:numFmt w:val="decimal"/>
      <w:lvlText w:val=""/>
      <w:lvlJc w:val="left"/>
    </w:lvl>
    <w:lvl w:ilvl="4" w:tplc="CE1ED742">
      <w:numFmt w:val="decimal"/>
      <w:lvlText w:val=""/>
      <w:lvlJc w:val="left"/>
    </w:lvl>
    <w:lvl w:ilvl="5" w:tplc="8ECCD386">
      <w:numFmt w:val="decimal"/>
      <w:lvlText w:val=""/>
      <w:lvlJc w:val="left"/>
    </w:lvl>
    <w:lvl w:ilvl="6" w:tplc="4988705E">
      <w:numFmt w:val="decimal"/>
      <w:lvlText w:val=""/>
      <w:lvlJc w:val="left"/>
    </w:lvl>
    <w:lvl w:ilvl="7" w:tplc="46D01102">
      <w:numFmt w:val="decimal"/>
      <w:lvlText w:val=""/>
      <w:lvlJc w:val="left"/>
    </w:lvl>
    <w:lvl w:ilvl="8" w:tplc="DF464234">
      <w:numFmt w:val="decimal"/>
      <w:lvlText w:val=""/>
      <w:lvlJc w:val="left"/>
    </w:lvl>
  </w:abstractNum>
  <w:abstractNum w:abstractNumId="27">
    <w:nsid w:val="0822C0EF"/>
    <w:multiLevelType w:val="hybridMultilevel"/>
    <w:tmpl w:val="1CB48282"/>
    <w:lvl w:ilvl="0" w:tplc="2272CC0C">
      <w:start w:val="1"/>
      <w:numFmt w:val="bullet"/>
      <w:lvlText w:val=""/>
      <w:lvlJc w:val="left"/>
    </w:lvl>
    <w:lvl w:ilvl="1" w:tplc="7C5C7648">
      <w:numFmt w:val="decimal"/>
      <w:lvlText w:val=""/>
      <w:lvlJc w:val="left"/>
    </w:lvl>
    <w:lvl w:ilvl="2" w:tplc="0C2E7EC6">
      <w:numFmt w:val="decimal"/>
      <w:lvlText w:val=""/>
      <w:lvlJc w:val="left"/>
    </w:lvl>
    <w:lvl w:ilvl="3" w:tplc="EDB4A8DC">
      <w:numFmt w:val="decimal"/>
      <w:lvlText w:val=""/>
      <w:lvlJc w:val="left"/>
    </w:lvl>
    <w:lvl w:ilvl="4" w:tplc="B41E826E">
      <w:numFmt w:val="decimal"/>
      <w:lvlText w:val=""/>
      <w:lvlJc w:val="left"/>
    </w:lvl>
    <w:lvl w:ilvl="5" w:tplc="3328E842">
      <w:numFmt w:val="decimal"/>
      <w:lvlText w:val=""/>
      <w:lvlJc w:val="left"/>
    </w:lvl>
    <w:lvl w:ilvl="6" w:tplc="B2BECF1A">
      <w:numFmt w:val="decimal"/>
      <w:lvlText w:val=""/>
      <w:lvlJc w:val="left"/>
    </w:lvl>
    <w:lvl w:ilvl="7" w:tplc="D934482C">
      <w:numFmt w:val="decimal"/>
      <w:lvlText w:val=""/>
      <w:lvlJc w:val="left"/>
    </w:lvl>
    <w:lvl w:ilvl="8" w:tplc="3F4EF334">
      <w:numFmt w:val="decimal"/>
      <w:lvlText w:val=""/>
      <w:lvlJc w:val="left"/>
    </w:lvl>
  </w:abstractNum>
  <w:abstractNum w:abstractNumId="28">
    <w:nsid w:val="08F8B73F"/>
    <w:multiLevelType w:val="hybridMultilevel"/>
    <w:tmpl w:val="EEC6B676"/>
    <w:lvl w:ilvl="0" w:tplc="51C66AA0">
      <w:start w:val="1"/>
      <w:numFmt w:val="bullet"/>
      <w:lvlText w:val=""/>
      <w:lvlJc w:val="left"/>
    </w:lvl>
    <w:lvl w:ilvl="1" w:tplc="E25801B6">
      <w:numFmt w:val="decimal"/>
      <w:lvlText w:val=""/>
      <w:lvlJc w:val="left"/>
    </w:lvl>
    <w:lvl w:ilvl="2" w:tplc="15EE915A">
      <w:numFmt w:val="decimal"/>
      <w:lvlText w:val=""/>
      <w:lvlJc w:val="left"/>
    </w:lvl>
    <w:lvl w:ilvl="3" w:tplc="9D041F10">
      <w:numFmt w:val="decimal"/>
      <w:lvlText w:val=""/>
      <w:lvlJc w:val="left"/>
    </w:lvl>
    <w:lvl w:ilvl="4" w:tplc="00AC3F62">
      <w:numFmt w:val="decimal"/>
      <w:lvlText w:val=""/>
      <w:lvlJc w:val="left"/>
    </w:lvl>
    <w:lvl w:ilvl="5" w:tplc="E25A4B72">
      <w:numFmt w:val="decimal"/>
      <w:lvlText w:val=""/>
      <w:lvlJc w:val="left"/>
    </w:lvl>
    <w:lvl w:ilvl="6" w:tplc="A776013E">
      <w:numFmt w:val="decimal"/>
      <w:lvlText w:val=""/>
      <w:lvlJc w:val="left"/>
    </w:lvl>
    <w:lvl w:ilvl="7" w:tplc="2A7EAA9E">
      <w:numFmt w:val="decimal"/>
      <w:lvlText w:val=""/>
      <w:lvlJc w:val="left"/>
    </w:lvl>
    <w:lvl w:ilvl="8" w:tplc="03C03948">
      <w:numFmt w:val="decimal"/>
      <w:lvlText w:val=""/>
      <w:lvlJc w:val="left"/>
    </w:lvl>
  </w:abstractNum>
  <w:abstractNum w:abstractNumId="29">
    <w:nsid w:val="090802BE"/>
    <w:multiLevelType w:val="hybridMultilevel"/>
    <w:tmpl w:val="97A2CBAC"/>
    <w:lvl w:ilvl="0" w:tplc="34A28342">
      <w:start w:val="2"/>
      <w:numFmt w:val="decimal"/>
      <w:lvlText w:val="%1"/>
      <w:lvlJc w:val="left"/>
    </w:lvl>
    <w:lvl w:ilvl="1" w:tplc="F5B6C7E4">
      <w:numFmt w:val="decimal"/>
      <w:lvlText w:val=""/>
      <w:lvlJc w:val="left"/>
    </w:lvl>
    <w:lvl w:ilvl="2" w:tplc="1A56B6C8">
      <w:numFmt w:val="decimal"/>
      <w:lvlText w:val=""/>
      <w:lvlJc w:val="left"/>
    </w:lvl>
    <w:lvl w:ilvl="3" w:tplc="8F7C1A6C">
      <w:numFmt w:val="decimal"/>
      <w:lvlText w:val=""/>
      <w:lvlJc w:val="left"/>
    </w:lvl>
    <w:lvl w:ilvl="4" w:tplc="0262B5DA">
      <w:numFmt w:val="decimal"/>
      <w:lvlText w:val=""/>
      <w:lvlJc w:val="left"/>
    </w:lvl>
    <w:lvl w:ilvl="5" w:tplc="0C321C74">
      <w:numFmt w:val="decimal"/>
      <w:lvlText w:val=""/>
      <w:lvlJc w:val="left"/>
    </w:lvl>
    <w:lvl w:ilvl="6" w:tplc="FF12FDB0">
      <w:numFmt w:val="decimal"/>
      <w:lvlText w:val=""/>
      <w:lvlJc w:val="left"/>
    </w:lvl>
    <w:lvl w:ilvl="7" w:tplc="FFBA1004">
      <w:numFmt w:val="decimal"/>
      <w:lvlText w:val=""/>
      <w:lvlJc w:val="left"/>
    </w:lvl>
    <w:lvl w:ilvl="8" w:tplc="F05CAF76">
      <w:numFmt w:val="decimal"/>
      <w:lvlText w:val=""/>
      <w:lvlJc w:val="left"/>
    </w:lvl>
  </w:abstractNum>
  <w:abstractNum w:abstractNumId="30">
    <w:nsid w:val="095FC93B"/>
    <w:multiLevelType w:val="hybridMultilevel"/>
    <w:tmpl w:val="CC743CB8"/>
    <w:lvl w:ilvl="0" w:tplc="E56C1DC2">
      <w:start w:val="1"/>
      <w:numFmt w:val="bullet"/>
      <w:lvlText w:val=""/>
      <w:lvlJc w:val="left"/>
    </w:lvl>
    <w:lvl w:ilvl="1" w:tplc="FEBC0D9A">
      <w:numFmt w:val="decimal"/>
      <w:lvlText w:val=""/>
      <w:lvlJc w:val="left"/>
    </w:lvl>
    <w:lvl w:ilvl="2" w:tplc="1C9E2BD4">
      <w:numFmt w:val="decimal"/>
      <w:lvlText w:val=""/>
      <w:lvlJc w:val="left"/>
    </w:lvl>
    <w:lvl w:ilvl="3" w:tplc="D6F05780">
      <w:numFmt w:val="decimal"/>
      <w:lvlText w:val=""/>
      <w:lvlJc w:val="left"/>
    </w:lvl>
    <w:lvl w:ilvl="4" w:tplc="508A1362">
      <w:numFmt w:val="decimal"/>
      <w:lvlText w:val=""/>
      <w:lvlJc w:val="left"/>
    </w:lvl>
    <w:lvl w:ilvl="5" w:tplc="D46CB7A6">
      <w:numFmt w:val="decimal"/>
      <w:lvlText w:val=""/>
      <w:lvlJc w:val="left"/>
    </w:lvl>
    <w:lvl w:ilvl="6" w:tplc="D02260D8">
      <w:numFmt w:val="decimal"/>
      <w:lvlText w:val=""/>
      <w:lvlJc w:val="left"/>
    </w:lvl>
    <w:lvl w:ilvl="7" w:tplc="A77254FE">
      <w:numFmt w:val="decimal"/>
      <w:lvlText w:val=""/>
      <w:lvlJc w:val="left"/>
    </w:lvl>
    <w:lvl w:ilvl="8" w:tplc="F506957E">
      <w:numFmt w:val="decimal"/>
      <w:lvlText w:val=""/>
      <w:lvlJc w:val="left"/>
    </w:lvl>
  </w:abstractNum>
  <w:abstractNum w:abstractNumId="31">
    <w:nsid w:val="09815DA3"/>
    <w:multiLevelType w:val="hybridMultilevel"/>
    <w:tmpl w:val="49B04B8E"/>
    <w:lvl w:ilvl="0" w:tplc="F4840F74">
      <w:start w:val="1"/>
      <w:numFmt w:val="bullet"/>
      <w:lvlText w:val=""/>
      <w:lvlJc w:val="left"/>
    </w:lvl>
    <w:lvl w:ilvl="1" w:tplc="235CC67E">
      <w:start w:val="15"/>
      <w:numFmt w:val="lowerLetter"/>
      <w:lvlText w:val="%2"/>
      <w:lvlJc w:val="left"/>
    </w:lvl>
    <w:lvl w:ilvl="2" w:tplc="478C2828">
      <w:numFmt w:val="decimal"/>
      <w:lvlText w:val=""/>
      <w:lvlJc w:val="left"/>
    </w:lvl>
    <w:lvl w:ilvl="3" w:tplc="DB781436">
      <w:numFmt w:val="decimal"/>
      <w:lvlText w:val=""/>
      <w:lvlJc w:val="left"/>
    </w:lvl>
    <w:lvl w:ilvl="4" w:tplc="B696098E">
      <w:numFmt w:val="decimal"/>
      <w:lvlText w:val=""/>
      <w:lvlJc w:val="left"/>
    </w:lvl>
    <w:lvl w:ilvl="5" w:tplc="DAD00F0E">
      <w:numFmt w:val="decimal"/>
      <w:lvlText w:val=""/>
      <w:lvlJc w:val="left"/>
    </w:lvl>
    <w:lvl w:ilvl="6" w:tplc="F8EC1634">
      <w:numFmt w:val="decimal"/>
      <w:lvlText w:val=""/>
      <w:lvlJc w:val="left"/>
    </w:lvl>
    <w:lvl w:ilvl="7" w:tplc="1D70B7DC">
      <w:numFmt w:val="decimal"/>
      <w:lvlText w:val=""/>
      <w:lvlJc w:val="left"/>
    </w:lvl>
    <w:lvl w:ilvl="8" w:tplc="220EE01C">
      <w:numFmt w:val="decimal"/>
      <w:lvlText w:val=""/>
      <w:lvlJc w:val="left"/>
    </w:lvl>
  </w:abstractNum>
  <w:abstractNum w:abstractNumId="32">
    <w:nsid w:val="0A045AB2"/>
    <w:multiLevelType w:val="hybridMultilevel"/>
    <w:tmpl w:val="DC60F5C6"/>
    <w:lvl w:ilvl="0" w:tplc="326E1800">
      <w:start w:val="8"/>
      <w:numFmt w:val="decimal"/>
      <w:lvlText w:val="%1"/>
      <w:lvlJc w:val="left"/>
    </w:lvl>
    <w:lvl w:ilvl="1" w:tplc="38DA66F4">
      <w:numFmt w:val="decimal"/>
      <w:lvlText w:val=""/>
      <w:lvlJc w:val="left"/>
    </w:lvl>
    <w:lvl w:ilvl="2" w:tplc="3F308432">
      <w:numFmt w:val="decimal"/>
      <w:lvlText w:val=""/>
      <w:lvlJc w:val="left"/>
    </w:lvl>
    <w:lvl w:ilvl="3" w:tplc="1BB2BEDC">
      <w:numFmt w:val="decimal"/>
      <w:lvlText w:val=""/>
      <w:lvlJc w:val="left"/>
    </w:lvl>
    <w:lvl w:ilvl="4" w:tplc="9C8AEFA0">
      <w:numFmt w:val="decimal"/>
      <w:lvlText w:val=""/>
      <w:lvlJc w:val="left"/>
    </w:lvl>
    <w:lvl w:ilvl="5" w:tplc="7480E1BA">
      <w:numFmt w:val="decimal"/>
      <w:lvlText w:val=""/>
      <w:lvlJc w:val="left"/>
    </w:lvl>
    <w:lvl w:ilvl="6" w:tplc="47CCE58E">
      <w:numFmt w:val="decimal"/>
      <w:lvlText w:val=""/>
      <w:lvlJc w:val="left"/>
    </w:lvl>
    <w:lvl w:ilvl="7" w:tplc="22CEBC6C">
      <w:numFmt w:val="decimal"/>
      <w:lvlText w:val=""/>
      <w:lvlJc w:val="left"/>
    </w:lvl>
    <w:lvl w:ilvl="8" w:tplc="00144268">
      <w:numFmt w:val="decimal"/>
      <w:lvlText w:val=""/>
      <w:lvlJc w:val="left"/>
    </w:lvl>
  </w:abstractNum>
  <w:abstractNum w:abstractNumId="33">
    <w:nsid w:val="0ACDFAC0"/>
    <w:multiLevelType w:val="hybridMultilevel"/>
    <w:tmpl w:val="D2CED974"/>
    <w:lvl w:ilvl="0" w:tplc="B508687A">
      <w:start w:val="1"/>
      <w:numFmt w:val="decimal"/>
      <w:lvlText w:val="%1"/>
      <w:lvlJc w:val="left"/>
    </w:lvl>
    <w:lvl w:ilvl="1" w:tplc="95F69582">
      <w:numFmt w:val="decimal"/>
      <w:lvlText w:val=""/>
      <w:lvlJc w:val="left"/>
    </w:lvl>
    <w:lvl w:ilvl="2" w:tplc="2E20C7D4">
      <w:numFmt w:val="decimal"/>
      <w:lvlText w:val=""/>
      <w:lvlJc w:val="left"/>
    </w:lvl>
    <w:lvl w:ilvl="3" w:tplc="C70A6EEA">
      <w:numFmt w:val="decimal"/>
      <w:lvlText w:val=""/>
      <w:lvlJc w:val="left"/>
    </w:lvl>
    <w:lvl w:ilvl="4" w:tplc="A7528BAC">
      <w:numFmt w:val="decimal"/>
      <w:lvlText w:val=""/>
      <w:lvlJc w:val="left"/>
    </w:lvl>
    <w:lvl w:ilvl="5" w:tplc="C0F61A38">
      <w:numFmt w:val="decimal"/>
      <w:lvlText w:val=""/>
      <w:lvlJc w:val="left"/>
    </w:lvl>
    <w:lvl w:ilvl="6" w:tplc="2410E6FC">
      <w:numFmt w:val="decimal"/>
      <w:lvlText w:val=""/>
      <w:lvlJc w:val="left"/>
    </w:lvl>
    <w:lvl w:ilvl="7" w:tplc="FFB68864">
      <w:numFmt w:val="decimal"/>
      <w:lvlText w:val=""/>
      <w:lvlJc w:val="left"/>
    </w:lvl>
    <w:lvl w:ilvl="8" w:tplc="D5F25B88">
      <w:numFmt w:val="decimal"/>
      <w:lvlText w:val=""/>
      <w:lvlJc w:val="left"/>
    </w:lvl>
  </w:abstractNum>
  <w:abstractNum w:abstractNumId="34">
    <w:nsid w:val="0BE2C8BA"/>
    <w:multiLevelType w:val="hybridMultilevel"/>
    <w:tmpl w:val="273C9E62"/>
    <w:lvl w:ilvl="0" w:tplc="AE4E95C8">
      <w:start w:val="3"/>
      <w:numFmt w:val="decimal"/>
      <w:lvlText w:val="%1"/>
      <w:lvlJc w:val="left"/>
    </w:lvl>
    <w:lvl w:ilvl="1" w:tplc="90ACB58C">
      <w:numFmt w:val="decimal"/>
      <w:lvlText w:val=""/>
      <w:lvlJc w:val="left"/>
    </w:lvl>
    <w:lvl w:ilvl="2" w:tplc="61B49116">
      <w:numFmt w:val="decimal"/>
      <w:lvlText w:val=""/>
      <w:lvlJc w:val="left"/>
    </w:lvl>
    <w:lvl w:ilvl="3" w:tplc="85AC989E">
      <w:numFmt w:val="decimal"/>
      <w:lvlText w:val=""/>
      <w:lvlJc w:val="left"/>
    </w:lvl>
    <w:lvl w:ilvl="4" w:tplc="8A569DF4">
      <w:numFmt w:val="decimal"/>
      <w:lvlText w:val=""/>
      <w:lvlJc w:val="left"/>
    </w:lvl>
    <w:lvl w:ilvl="5" w:tplc="3EE67E68">
      <w:numFmt w:val="decimal"/>
      <w:lvlText w:val=""/>
      <w:lvlJc w:val="left"/>
    </w:lvl>
    <w:lvl w:ilvl="6" w:tplc="DC4871D0">
      <w:numFmt w:val="decimal"/>
      <w:lvlText w:val=""/>
      <w:lvlJc w:val="left"/>
    </w:lvl>
    <w:lvl w:ilvl="7" w:tplc="CB1A4F08">
      <w:numFmt w:val="decimal"/>
      <w:lvlText w:val=""/>
      <w:lvlJc w:val="left"/>
    </w:lvl>
    <w:lvl w:ilvl="8" w:tplc="69F096EA">
      <w:numFmt w:val="decimal"/>
      <w:lvlText w:val=""/>
      <w:lvlJc w:val="left"/>
    </w:lvl>
  </w:abstractNum>
  <w:abstractNum w:abstractNumId="35">
    <w:nsid w:val="0C2A5C5B"/>
    <w:multiLevelType w:val="hybridMultilevel"/>
    <w:tmpl w:val="A91651CE"/>
    <w:lvl w:ilvl="0" w:tplc="C01452F4">
      <w:start w:val="1"/>
      <w:numFmt w:val="bullet"/>
      <w:lvlText w:val="-"/>
      <w:lvlJc w:val="left"/>
    </w:lvl>
    <w:lvl w:ilvl="1" w:tplc="B28E89D4">
      <w:start w:val="15"/>
      <w:numFmt w:val="lowerLetter"/>
      <w:lvlText w:val="%2"/>
      <w:lvlJc w:val="left"/>
    </w:lvl>
    <w:lvl w:ilvl="2" w:tplc="EA1A9788">
      <w:numFmt w:val="decimal"/>
      <w:lvlText w:val=""/>
      <w:lvlJc w:val="left"/>
    </w:lvl>
    <w:lvl w:ilvl="3" w:tplc="DB98E712">
      <w:numFmt w:val="decimal"/>
      <w:lvlText w:val=""/>
      <w:lvlJc w:val="left"/>
    </w:lvl>
    <w:lvl w:ilvl="4" w:tplc="1D2A1794">
      <w:numFmt w:val="decimal"/>
      <w:lvlText w:val=""/>
      <w:lvlJc w:val="left"/>
    </w:lvl>
    <w:lvl w:ilvl="5" w:tplc="E33630FA">
      <w:numFmt w:val="decimal"/>
      <w:lvlText w:val=""/>
      <w:lvlJc w:val="left"/>
    </w:lvl>
    <w:lvl w:ilvl="6" w:tplc="4128F2B0">
      <w:numFmt w:val="decimal"/>
      <w:lvlText w:val=""/>
      <w:lvlJc w:val="left"/>
    </w:lvl>
    <w:lvl w:ilvl="7" w:tplc="C924F8F2">
      <w:numFmt w:val="decimal"/>
      <w:lvlText w:val=""/>
      <w:lvlJc w:val="left"/>
    </w:lvl>
    <w:lvl w:ilvl="8" w:tplc="03682082">
      <w:numFmt w:val="decimal"/>
      <w:lvlText w:val=""/>
      <w:lvlJc w:val="left"/>
    </w:lvl>
  </w:abstractNum>
  <w:abstractNum w:abstractNumId="36">
    <w:nsid w:val="0C56F860"/>
    <w:multiLevelType w:val="hybridMultilevel"/>
    <w:tmpl w:val="3EEE9E4A"/>
    <w:lvl w:ilvl="0" w:tplc="11543A20">
      <w:start w:val="1"/>
      <w:numFmt w:val="decimal"/>
      <w:lvlText w:val="%1."/>
      <w:lvlJc w:val="left"/>
    </w:lvl>
    <w:lvl w:ilvl="1" w:tplc="63AE850A">
      <w:numFmt w:val="decimal"/>
      <w:lvlText w:val=""/>
      <w:lvlJc w:val="left"/>
    </w:lvl>
    <w:lvl w:ilvl="2" w:tplc="51F80404">
      <w:numFmt w:val="decimal"/>
      <w:lvlText w:val=""/>
      <w:lvlJc w:val="left"/>
    </w:lvl>
    <w:lvl w:ilvl="3" w:tplc="6D58248E">
      <w:numFmt w:val="decimal"/>
      <w:lvlText w:val=""/>
      <w:lvlJc w:val="left"/>
    </w:lvl>
    <w:lvl w:ilvl="4" w:tplc="C5223372">
      <w:numFmt w:val="decimal"/>
      <w:lvlText w:val=""/>
      <w:lvlJc w:val="left"/>
    </w:lvl>
    <w:lvl w:ilvl="5" w:tplc="05DC017E">
      <w:numFmt w:val="decimal"/>
      <w:lvlText w:val=""/>
      <w:lvlJc w:val="left"/>
    </w:lvl>
    <w:lvl w:ilvl="6" w:tplc="A9E2ECB8">
      <w:numFmt w:val="decimal"/>
      <w:lvlText w:val=""/>
      <w:lvlJc w:val="left"/>
    </w:lvl>
    <w:lvl w:ilvl="7" w:tplc="EC923BE4">
      <w:numFmt w:val="decimal"/>
      <w:lvlText w:val=""/>
      <w:lvlJc w:val="left"/>
    </w:lvl>
    <w:lvl w:ilvl="8" w:tplc="F88CC030">
      <w:numFmt w:val="decimal"/>
      <w:lvlText w:val=""/>
      <w:lvlJc w:val="left"/>
    </w:lvl>
  </w:abstractNum>
  <w:abstractNum w:abstractNumId="37">
    <w:nsid w:val="0CA6B462"/>
    <w:multiLevelType w:val="hybridMultilevel"/>
    <w:tmpl w:val="FA90FCE6"/>
    <w:lvl w:ilvl="0" w:tplc="BE322104">
      <w:start w:val="10"/>
      <w:numFmt w:val="decimal"/>
      <w:lvlText w:val="%1"/>
      <w:lvlJc w:val="left"/>
    </w:lvl>
    <w:lvl w:ilvl="1" w:tplc="1C6EF332">
      <w:numFmt w:val="decimal"/>
      <w:lvlText w:val=""/>
      <w:lvlJc w:val="left"/>
    </w:lvl>
    <w:lvl w:ilvl="2" w:tplc="8FCE5120">
      <w:numFmt w:val="decimal"/>
      <w:lvlText w:val=""/>
      <w:lvlJc w:val="left"/>
    </w:lvl>
    <w:lvl w:ilvl="3" w:tplc="A7AE6420">
      <w:numFmt w:val="decimal"/>
      <w:lvlText w:val=""/>
      <w:lvlJc w:val="left"/>
    </w:lvl>
    <w:lvl w:ilvl="4" w:tplc="7986A84E">
      <w:numFmt w:val="decimal"/>
      <w:lvlText w:val=""/>
      <w:lvlJc w:val="left"/>
    </w:lvl>
    <w:lvl w:ilvl="5" w:tplc="57FE2630">
      <w:numFmt w:val="decimal"/>
      <w:lvlText w:val=""/>
      <w:lvlJc w:val="left"/>
    </w:lvl>
    <w:lvl w:ilvl="6" w:tplc="5D3648DC">
      <w:numFmt w:val="decimal"/>
      <w:lvlText w:val=""/>
      <w:lvlJc w:val="left"/>
    </w:lvl>
    <w:lvl w:ilvl="7" w:tplc="A32C39F8">
      <w:numFmt w:val="decimal"/>
      <w:lvlText w:val=""/>
      <w:lvlJc w:val="left"/>
    </w:lvl>
    <w:lvl w:ilvl="8" w:tplc="69287D0E">
      <w:numFmt w:val="decimal"/>
      <w:lvlText w:val=""/>
      <w:lvlJc w:val="left"/>
    </w:lvl>
  </w:abstractNum>
  <w:abstractNum w:abstractNumId="38">
    <w:nsid w:val="0CE8E1A7"/>
    <w:multiLevelType w:val="hybridMultilevel"/>
    <w:tmpl w:val="13586B10"/>
    <w:lvl w:ilvl="0" w:tplc="AC82A266">
      <w:start w:val="1"/>
      <w:numFmt w:val="decimal"/>
      <w:lvlText w:val="%1."/>
      <w:lvlJc w:val="left"/>
    </w:lvl>
    <w:lvl w:ilvl="1" w:tplc="D4BCE65C">
      <w:numFmt w:val="decimal"/>
      <w:lvlText w:val=""/>
      <w:lvlJc w:val="left"/>
    </w:lvl>
    <w:lvl w:ilvl="2" w:tplc="D5A83A1C">
      <w:numFmt w:val="decimal"/>
      <w:lvlText w:val=""/>
      <w:lvlJc w:val="left"/>
    </w:lvl>
    <w:lvl w:ilvl="3" w:tplc="A7DE9F20">
      <w:numFmt w:val="decimal"/>
      <w:lvlText w:val=""/>
      <w:lvlJc w:val="left"/>
    </w:lvl>
    <w:lvl w:ilvl="4" w:tplc="FC3E8D2C">
      <w:numFmt w:val="decimal"/>
      <w:lvlText w:val=""/>
      <w:lvlJc w:val="left"/>
    </w:lvl>
    <w:lvl w:ilvl="5" w:tplc="6AB0627A">
      <w:numFmt w:val="decimal"/>
      <w:lvlText w:val=""/>
      <w:lvlJc w:val="left"/>
    </w:lvl>
    <w:lvl w:ilvl="6" w:tplc="3CCA6520">
      <w:numFmt w:val="decimal"/>
      <w:lvlText w:val=""/>
      <w:lvlJc w:val="left"/>
    </w:lvl>
    <w:lvl w:ilvl="7" w:tplc="D450882C">
      <w:numFmt w:val="decimal"/>
      <w:lvlText w:val=""/>
      <w:lvlJc w:val="left"/>
    </w:lvl>
    <w:lvl w:ilvl="8" w:tplc="A82082B4">
      <w:numFmt w:val="decimal"/>
      <w:lvlText w:val=""/>
      <w:lvlJc w:val="left"/>
    </w:lvl>
  </w:abstractNum>
  <w:abstractNum w:abstractNumId="39">
    <w:nsid w:val="0CFC7321"/>
    <w:multiLevelType w:val="hybridMultilevel"/>
    <w:tmpl w:val="7B2AA09E"/>
    <w:lvl w:ilvl="0" w:tplc="57B66ECE">
      <w:start w:val="4"/>
      <w:numFmt w:val="decimal"/>
      <w:lvlText w:val="%1"/>
      <w:lvlJc w:val="left"/>
    </w:lvl>
    <w:lvl w:ilvl="1" w:tplc="58BA45A0">
      <w:numFmt w:val="decimal"/>
      <w:lvlText w:val=""/>
      <w:lvlJc w:val="left"/>
    </w:lvl>
    <w:lvl w:ilvl="2" w:tplc="A0A41AA0">
      <w:numFmt w:val="decimal"/>
      <w:lvlText w:val=""/>
      <w:lvlJc w:val="left"/>
    </w:lvl>
    <w:lvl w:ilvl="3" w:tplc="B9B275AE">
      <w:numFmt w:val="decimal"/>
      <w:lvlText w:val=""/>
      <w:lvlJc w:val="left"/>
    </w:lvl>
    <w:lvl w:ilvl="4" w:tplc="02B8A1F4">
      <w:numFmt w:val="decimal"/>
      <w:lvlText w:val=""/>
      <w:lvlJc w:val="left"/>
    </w:lvl>
    <w:lvl w:ilvl="5" w:tplc="98709550">
      <w:numFmt w:val="decimal"/>
      <w:lvlText w:val=""/>
      <w:lvlJc w:val="left"/>
    </w:lvl>
    <w:lvl w:ilvl="6" w:tplc="8556CF2A">
      <w:numFmt w:val="decimal"/>
      <w:lvlText w:val=""/>
      <w:lvlJc w:val="left"/>
    </w:lvl>
    <w:lvl w:ilvl="7" w:tplc="3542B0E4">
      <w:numFmt w:val="decimal"/>
      <w:lvlText w:val=""/>
      <w:lvlJc w:val="left"/>
    </w:lvl>
    <w:lvl w:ilvl="8" w:tplc="9C8C12FC">
      <w:numFmt w:val="decimal"/>
      <w:lvlText w:val=""/>
      <w:lvlJc w:val="left"/>
    </w:lvl>
  </w:abstractNum>
  <w:abstractNum w:abstractNumId="40">
    <w:nsid w:val="0CFD4EA7"/>
    <w:multiLevelType w:val="hybridMultilevel"/>
    <w:tmpl w:val="26B44774"/>
    <w:lvl w:ilvl="0" w:tplc="B4103D10">
      <w:start w:val="1"/>
      <w:numFmt w:val="bullet"/>
      <w:lvlText w:val="-"/>
      <w:lvlJc w:val="left"/>
    </w:lvl>
    <w:lvl w:ilvl="1" w:tplc="E6B8B5D6">
      <w:numFmt w:val="decimal"/>
      <w:lvlText w:val=""/>
      <w:lvlJc w:val="left"/>
    </w:lvl>
    <w:lvl w:ilvl="2" w:tplc="79BA3B5C">
      <w:numFmt w:val="decimal"/>
      <w:lvlText w:val=""/>
      <w:lvlJc w:val="left"/>
    </w:lvl>
    <w:lvl w:ilvl="3" w:tplc="9D6A5D76">
      <w:numFmt w:val="decimal"/>
      <w:lvlText w:val=""/>
      <w:lvlJc w:val="left"/>
    </w:lvl>
    <w:lvl w:ilvl="4" w:tplc="DB6C49E4">
      <w:numFmt w:val="decimal"/>
      <w:lvlText w:val=""/>
      <w:lvlJc w:val="left"/>
    </w:lvl>
    <w:lvl w:ilvl="5" w:tplc="0096EB28">
      <w:numFmt w:val="decimal"/>
      <w:lvlText w:val=""/>
      <w:lvlJc w:val="left"/>
    </w:lvl>
    <w:lvl w:ilvl="6" w:tplc="02D2AF68">
      <w:numFmt w:val="decimal"/>
      <w:lvlText w:val=""/>
      <w:lvlJc w:val="left"/>
    </w:lvl>
    <w:lvl w:ilvl="7" w:tplc="9508CB00">
      <w:numFmt w:val="decimal"/>
      <w:lvlText w:val=""/>
      <w:lvlJc w:val="left"/>
    </w:lvl>
    <w:lvl w:ilvl="8" w:tplc="774AAEA8">
      <w:numFmt w:val="decimal"/>
      <w:lvlText w:val=""/>
      <w:lvlJc w:val="left"/>
    </w:lvl>
  </w:abstractNum>
  <w:abstractNum w:abstractNumId="41">
    <w:nsid w:val="0E0BB885"/>
    <w:multiLevelType w:val="hybridMultilevel"/>
    <w:tmpl w:val="89E220B6"/>
    <w:lvl w:ilvl="0" w:tplc="6C7C7252">
      <w:start w:val="1"/>
      <w:numFmt w:val="bullet"/>
      <w:lvlText w:val=""/>
      <w:lvlJc w:val="left"/>
    </w:lvl>
    <w:lvl w:ilvl="1" w:tplc="3C7011EA">
      <w:numFmt w:val="decimal"/>
      <w:lvlText w:val=""/>
      <w:lvlJc w:val="left"/>
    </w:lvl>
    <w:lvl w:ilvl="2" w:tplc="A5B0E01C">
      <w:numFmt w:val="decimal"/>
      <w:lvlText w:val=""/>
      <w:lvlJc w:val="left"/>
    </w:lvl>
    <w:lvl w:ilvl="3" w:tplc="4A24A30E">
      <w:numFmt w:val="decimal"/>
      <w:lvlText w:val=""/>
      <w:lvlJc w:val="left"/>
    </w:lvl>
    <w:lvl w:ilvl="4" w:tplc="FC644AB2">
      <w:numFmt w:val="decimal"/>
      <w:lvlText w:val=""/>
      <w:lvlJc w:val="left"/>
    </w:lvl>
    <w:lvl w:ilvl="5" w:tplc="2672716A">
      <w:numFmt w:val="decimal"/>
      <w:lvlText w:val=""/>
      <w:lvlJc w:val="left"/>
    </w:lvl>
    <w:lvl w:ilvl="6" w:tplc="86BC40B4">
      <w:numFmt w:val="decimal"/>
      <w:lvlText w:val=""/>
      <w:lvlJc w:val="left"/>
    </w:lvl>
    <w:lvl w:ilvl="7" w:tplc="923214CE">
      <w:numFmt w:val="decimal"/>
      <w:lvlText w:val=""/>
      <w:lvlJc w:val="left"/>
    </w:lvl>
    <w:lvl w:ilvl="8" w:tplc="A91873D8">
      <w:numFmt w:val="decimal"/>
      <w:lvlText w:val=""/>
      <w:lvlJc w:val="left"/>
    </w:lvl>
  </w:abstractNum>
  <w:abstractNum w:abstractNumId="42">
    <w:nsid w:val="0E0D31FF"/>
    <w:multiLevelType w:val="hybridMultilevel"/>
    <w:tmpl w:val="1EF298BA"/>
    <w:lvl w:ilvl="0" w:tplc="9F040828">
      <w:start w:val="1"/>
      <w:numFmt w:val="bullet"/>
      <w:lvlText w:val=""/>
      <w:lvlJc w:val="left"/>
    </w:lvl>
    <w:lvl w:ilvl="1" w:tplc="320C3D9E">
      <w:numFmt w:val="decimal"/>
      <w:lvlText w:val=""/>
      <w:lvlJc w:val="left"/>
    </w:lvl>
    <w:lvl w:ilvl="2" w:tplc="2B16654C">
      <w:numFmt w:val="decimal"/>
      <w:lvlText w:val=""/>
      <w:lvlJc w:val="left"/>
    </w:lvl>
    <w:lvl w:ilvl="3" w:tplc="7F066566">
      <w:numFmt w:val="decimal"/>
      <w:lvlText w:val=""/>
      <w:lvlJc w:val="left"/>
    </w:lvl>
    <w:lvl w:ilvl="4" w:tplc="85BE6458">
      <w:numFmt w:val="decimal"/>
      <w:lvlText w:val=""/>
      <w:lvlJc w:val="left"/>
    </w:lvl>
    <w:lvl w:ilvl="5" w:tplc="DCF2C6B2">
      <w:numFmt w:val="decimal"/>
      <w:lvlText w:val=""/>
      <w:lvlJc w:val="left"/>
    </w:lvl>
    <w:lvl w:ilvl="6" w:tplc="54B4E96C">
      <w:numFmt w:val="decimal"/>
      <w:lvlText w:val=""/>
      <w:lvlJc w:val="left"/>
    </w:lvl>
    <w:lvl w:ilvl="7" w:tplc="80885398">
      <w:numFmt w:val="decimal"/>
      <w:lvlText w:val=""/>
      <w:lvlJc w:val="left"/>
    </w:lvl>
    <w:lvl w:ilvl="8" w:tplc="7EB68B0E">
      <w:numFmt w:val="decimal"/>
      <w:lvlText w:val=""/>
      <w:lvlJc w:val="left"/>
    </w:lvl>
  </w:abstractNum>
  <w:abstractNum w:abstractNumId="43">
    <w:nsid w:val="0E6B3F6A"/>
    <w:multiLevelType w:val="hybridMultilevel"/>
    <w:tmpl w:val="C1AECEFA"/>
    <w:lvl w:ilvl="0" w:tplc="F02417A4">
      <w:start w:val="1"/>
      <w:numFmt w:val="bullet"/>
      <w:lvlText w:val=""/>
      <w:lvlJc w:val="left"/>
    </w:lvl>
    <w:lvl w:ilvl="1" w:tplc="2C9A88B0">
      <w:start w:val="1"/>
      <w:numFmt w:val="bullet"/>
      <w:lvlText w:val=""/>
      <w:lvlJc w:val="left"/>
    </w:lvl>
    <w:lvl w:ilvl="2" w:tplc="5A70E420">
      <w:numFmt w:val="decimal"/>
      <w:lvlText w:val=""/>
      <w:lvlJc w:val="left"/>
    </w:lvl>
    <w:lvl w:ilvl="3" w:tplc="2AFC7960">
      <w:numFmt w:val="decimal"/>
      <w:lvlText w:val=""/>
      <w:lvlJc w:val="left"/>
    </w:lvl>
    <w:lvl w:ilvl="4" w:tplc="E9145EA8">
      <w:numFmt w:val="decimal"/>
      <w:lvlText w:val=""/>
      <w:lvlJc w:val="left"/>
    </w:lvl>
    <w:lvl w:ilvl="5" w:tplc="BD561B56">
      <w:numFmt w:val="decimal"/>
      <w:lvlText w:val=""/>
      <w:lvlJc w:val="left"/>
    </w:lvl>
    <w:lvl w:ilvl="6" w:tplc="35D6E382">
      <w:numFmt w:val="decimal"/>
      <w:lvlText w:val=""/>
      <w:lvlJc w:val="left"/>
    </w:lvl>
    <w:lvl w:ilvl="7" w:tplc="A8E03C72">
      <w:numFmt w:val="decimal"/>
      <w:lvlText w:val=""/>
      <w:lvlJc w:val="left"/>
    </w:lvl>
    <w:lvl w:ilvl="8" w:tplc="48380278">
      <w:numFmt w:val="decimal"/>
      <w:lvlText w:val=""/>
      <w:lvlJc w:val="left"/>
    </w:lvl>
  </w:abstractNum>
  <w:abstractNum w:abstractNumId="44">
    <w:nsid w:val="0F5BCF61"/>
    <w:multiLevelType w:val="hybridMultilevel"/>
    <w:tmpl w:val="CA4C7C3C"/>
    <w:lvl w:ilvl="0" w:tplc="7164AADE">
      <w:start w:val="3"/>
      <w:numFmt w:val="decimal"/>
      <w:lvlText w:val="%1"/>
      <w:lvlJc w:val="left"/>
    </w:lvl>
    <w:lvl w:ilvl="1" w:tplc="811220CE">
      <w:numFmt w:val="decimal"/>
      <w:lvlText w:val=""/>
      <w:lvlJc w:val="left"/>
    </w:lvl>
    <w:lvl w:ilvl="2" w:tplc="D06663FA">
      <w:numFmt w:val="decimal"/>
      <w:lvlText w:val=""/>
      <w:lvlJc w:val="left"/>
    </w:lvl>
    <w:lvl w:ilvl="3" w:tplc="0074DD4A">
      <w:numFmt w:val="decimal"/>
      <w:lvlText w:val=""/>
      <w:lvlJc w:val="left"/>
    </w:lvl>
    <w:lvl w:ilvl="4" w:tplc="08C02B8A">
      <w:numFmt w:val="decimal"/>
      <w:lvlText w:val=""/>
      <w:lvlJc w:val="left"/>
    </w:lvl>
    <w:lvl w:ilvl="5" w:tplc="D4901EFC">
      <w:numFmt w:val="decimal"/>
      <w:lvlText w:val=""/>
      <w:lvlJc w:val="left"/>
    </w:lvl>
    <w:lvl w:ilvl="6" w:tplc="1E1A3C7A">
      <w:numFmt w:val="decimal"/>
      <w:lvlText w:val=""/>
      <w:lvlJc w:val="left"/>
    </w:lvl>
    <w:lvl w:ilvl="7" w:tplc="9B662332">
      <w:numFmt w:val="decimal"/>
      <w:lvlText w:val=""/>
      <w:lvlJc w:val="left"/>
    </w:lvl>
    <w:lvl w:ilvl="8" w:tplc="AF083F78">
      <w:numFmt w:val="decimal"/>
      <w:lvlText w:val=""/>
      <w:lvlJc w:val="left"/>
    </w:lvl>
  </w:abstractNum>
  <w:abstractNum w:abstractNumId="45">
    <w:nsid w:val="0FA85F4D"/>
    <w:multiLevelType w:val="hybridMultilevel"/>
    <w:tmpl w:val="BA5617CE"/>
    <w:lvl w:ilvl="0" w:tplc="9E0E1B68">
      <w:start w:val="1"/>
      <w:numFmt w:val="bullet"/>
      <w:lvlText w:val=""/>
      <w:lvlJc w:val="left"/>
    </w:lvl>
    <w:lvl w:ilvl="1" w:tplc="A5786BB8">
      <w:start w:val="1"/>
      <w:numFmt w:val="bullet"/>
      <w:lvlText w:val=""/>
      <w:lvlJc w:val="left"/>
    </w:lvl>
    <w:lvl w:ilvl="2" w:tplc="11289106">
      <w:numFmt w:val="decimal"/>
      <w:lvlText w:val=""/>
      <w:lvlJc w:val="left"/>
    </w:lvl>
    <w:lvl w:ilvl="3" w:tplc="37F86D3E">
      <w:numFmt w:val="decimal"/>
      <w:lvlText w:val=""/>
      <w:lvlJc w:val="left"/>
    </w:lvl>
    <w:lvl w:ilvl="4" w:tplc="60FC0FFE">
      <w:numFmt w:val="decimal"/>
      <w:lvlText w:val=""/>
      <w:lvlJc w:val="left"/>
    </w:lvl>
    <w:lvl w:ilvl="5" w:tplc="E1947BC6">
      <w:numFmt w:val="decimal"/>
      <w:lvlText w:val=""/>
      <w:lvlJc w:val="left"/>
    </w:lvl>
    <w:lvl w:ilvl="6" w:tplc="C8560944">
      <w:numFmt w:val="decimal"/>
      <w:lvlText w:val=""/>
      <w:lvlJc w:val="left"/>
    </w:lvl>
    <w:lvl w:ilvl="7" w:tplc="CC546E5A">
      <w:numFmt w:val="decimal"/>
      <w:lvlText w:val=""/>
      <w:lvlJc w:val="left"/>
    </w:lvl>
    <w:lvl w:ilvl="8" w:tplc="E514EFFC">
      <w:numFmt w:val="decimal"/>
      <w:lvlText w:val=""/>
      <w:lvlJc w:val="left"/>
    </w:lvl>
  </w:abstractNum>
  <w:abstractNum w:abstractNumId="46">
    <w:nsid w:val="1036B29F"/>
    <w:multiLevelType w:val="hybridMultilevel"/>
    <w:tmpl w:val="6054D7DA"/>
    <w:lvl w:ilvl="0" w:tplc="502C399A">
      <w:start w:val="15"/>
      <w:numFmt w:val="lowerLetter"/>
      <w:lvlText w:val="%1"/>
      <w:lvlJc w:val="left"/>
    </w:lvl>
    <w:lvl w:ilvl="1" w:tplc="26D86EBA">
      <w:numFmt w:val="decimal"/>
      <w:lvlText w:val=""/>
      <w:lvlJc w:val="left"/>
    </w:lvl>
    <w:lvl w:ilvl="2" w:tplc="3196AC7A">
      <w:numFmt w:val="decimal"/>
      <w:lvlText w:val=""/>
      <w:lvlJc w:val="left"/>
    </w:lvl>
    <w:lvl w:ilvl="3" w:tplc="67F6B43A">
      <w:numFmt w:val="decimal"/>
      <w:lvlText w:val=""/>
      <w:lvlJc w:val="left"/>
    </w:lvl>
    <w:lvl w:ilvl="4" w:tplc="9F6A335E">
      <w:numFmt w:val="decimal"/>
      <w:lvlText w:val=""/>
      <w:lvlJc w:val="left"/>
    </w:lvl>
    <w:lvl w:ilvl="5" w:tplc="14EE6064">
      <w:numFmt w:val="decimal"/>
      <w:lvlText w:val=""/>
      <w:lvlJc w:val="left"/>
    </w:lvl>
    <w:lvl w:ilvl="6" w:tplc="6E6E113E">
      <w:numFmt w:val="decimal"/>
      <w:lvlText w:val=""/>
      <w:lvlJc w:val="left"/>
    </w:lvl>
    <w:lvl w:ilvl="7" w:tplc="FE3C1160">
      <w:numFmt w:val="decimal"/>
      <w:lvlText w:val=""/>
      <w:lvlJc w:val="left"/>
    </w:lvl>
    <w:lvl w:ilvl="8" w:tplc="D9F675A6">
      <w:numFmt w:val="decimal"/>
      <w:lvlText w:val=""/>
      <w:lvlJc w:val="left"/>
    </w:lvl>
  </w:abstractNum>
  <w:abstractNum w:abstractNumId="47">
    <w:nsid w:val="116E0907"/>
    <w:multiLevelType w:val="hybridMultilevel"/>
    <w:tmpl w:val="227A023C"/>
    <w:lvl w:ilvl="0" w:tplc="28744808">
      <w:start w:val="21"/>
      <w:numFmt w:val="decimal"/>
      <w:lvlText w:val="%1"/>
      <w:lvlJc w:val="left"/>
    </w:lvl>
    <w:lvl w:ilvl="1" w:tplc="CB24C230">
      <w:numFmt w:val="decimal"/>
      <w:lvlText w:val=""/>
      <w:lvlJc w:val="left"/>
    </w:lvl>
    <w:lvl w:ilvl="2" w:tplc="5AB43010">
      <w:numFmt w:val="decimal"/>
      <w:lvlText w:val=""/>
      <w:lvlJc w:val="left"/>
    </w:lvl>
    <w:lvl w:ilvl="3" w:tplc="32F66F4C">
      <w:numFmt w:val="decimal"/>
      <w:lvlText w:val=""/>
      <w:lvlJc w:val="left"/>
    </w:lvl>
    <w:lvl w:ilvl="4" w:tplc="2D546000">
      <w:numFmt w:val="decimal"/>
      <w:lvlText w:val=""/>
      <w:lvlJc w:val="left"/>
    </w:lvl>
    <w:lvl w:ilvl="5" w:tplc="737A8A68">
      <w:numFmt w:val="decimal"/>
      <w:lvlText w:val=""/>
      <w:lvlJc w:val="left"/>
    </w:lvl>
    <w:lvl w:ilvl="6" w:tplc="54ACE162">
      <w:numFmt w:val="decimal"/>
      <w:lvlText w:val=""/>
      <w:lvlJc w:val="left"/>
    </w:lvl>
    <w:lvl w:ilvl="7" w:tplc="20829A44">
      <w:numFmt w:val="decimal"/>
      <w:lvlText w:val=""/>
      <w:lvlJc w:val="left"/>
    </w:lvl>
    <w:lvl w:ilvl="8" w:tplc="B09A733C">
      <w:numFmt w:val="decimal"/>
      <w:lvlText w:val=""/>
      <w:lvlJc w:val="left"/>
    </w:lvl>
  </w:abstractNum>
  <w:abstractNum w:abstractNumId="48">
    <w:nsid w:val="126E008B"/>
    <w:multiLevelType w:val="hybridMultilevel"/>
    <w:tmpl w:val="C1F44F7A"/>
    <w:lvl w:ilvl="0" w:tplc="7F6E0598">
      <w:start w:val="15"/>
      <w:numFmt w:val="lowerLetter"/>
      <w:lvlText w:val="%1"/>
      <w:lvlJc w:val="left"/>
    </w:lvl>
    <w:lvl w:ilvl="1" w:tplc="E7DA24F2">
      <w:numFmt w:val="decimal"/>
      <w:lvlText w:val=""/>
      <w:lvlJc w:val="left"/>
    </w:lvl>
    <w:lvl w:ilvl="2" w:tplc="C304114E">
      <w:numFmt w:val="decimal"/>
      <w:lvlText w:val=""/>
      <w:lvlJc w:val="left"/>
    </w:lvl>
    <w:lvl w:ilvl="3" w:tplc="64B25636">
      <w:numFmt w:val="decimal"/>
      <w:lvlText w:val=""/>
      <w:lvlJc w:val="left"/>
    </w:lvl>
    <w:lvl w:ilvl="4" w:tplc="B812028A">
      <w:numFmt w:val="decimal"/>
      <w:lvlText w:val=""/>
      <w:lvlJc w:val="left"/>
    </w:lvl>
    <w:lvl w:ilvl="5" w:tplc="AA20F968">
      <w:numFmt w:val="decimal"/>
      <w:lvlText w:val=""/>
      <w:lvlJc w:val="left"/>
    </w:lvl>
    <w:lvl w:ilvl="6" w:tplc="C28E5B8C">
      <w:numFmt w:val="decimal"/>
      <w:lvlText w:val=""/>
      <w:lvlJc w:val="left"/>
    </w:lvl>
    <w:lvl w:ilvl="7" w:tplc="99CEF07A">
      <w:numFmt w:val="decimal"/>
      <w:lvlText w:val=""/>
      <w:lvlJc w:val="left"/>
    </w:lvl>
    <w:lvl w:ilvl="8" w:tplc="31363A18">
      <w:numFmt w:val="decimal"/>
      <w:lvlText w:val=""/>
      <w:lvlJc w:val="left"/>
    </w:lvl>
  </w:abstractNum>
  <w:abstractNum w:abstractNumId="49">
    <w:nsid w:val="12FCDE5E"/>
    <w:multiLevelType w:val="hybridMultilevel"/>
    <w:tmpl w:val="A9A0E9FE"/>
    <w:lvl w:ilvl="0" w:tplc="538C7C08">
      <w:start w:val="1"/>
      <w:numFmt w:val="bullet"/>
      <w:lvlText w:val="«"/>
      <w:lvlJc w:val="left"/>
    </w:lvl>
    <w:lvl w:ilvl="1" w:tplc="D5443CF4">
      <w:start w:val="1"/>
      <w:numFmt w:val="bullet"/>
      <w:lvlText w:val=""/>
      <w:lvlJc w:val="left"/>
    </w:lvl>
    <w:lvl w:ilvl="2" w:tplc="C1DC97FA">
      <w:numFmt w:val="decimal"/>
      <w:lvlText w:val=""/>
      <w:lvlJc w:val="left"/>
    </w:lvl>
    <w:lvl w:ilvl="3" w:tplc="C3AC5724">
      <w:numFmt w:val="decimal"/>
      <w:lvlText w:val=""/>
      <w:lvlJc w:val="left"/>
    </w:lvl>
    <w:lvl w:ilvl="4" w:tplc="5246D940">
      <w:numFmt w:val="decimal"/>
      <w:lvlText w:val=""/>
      <w:lvlJc w:val="left"/>
    </w:lvl>
    <w:lvl w:ilvl="5" w:tplc="2840753E">
      <w:numFmt w:val="decimal"/>
      <w:lvlText w:val=""/>
      <w:lvlJc w:val="left"/>
    </w:lvl>
    <w:lvl w:ilvl="6" w:tplc="364EB770">
      <w:numFmt w:val="decimal"/>
      <w:lvlText w:val=""/>
      <w:lvlJc w:val="left"/>
    </w:lvl>
    <w:lvl w:ilvl="7" w:tplc="E956228A">
      <w:numFmt w:val="decimal"/>
      <w:lvlText w:val=""/>
      <w:lvlJc w:val="left"/>
    </w:lvl>
    <w:lvl w:ilvl="8" w:tplc="75AE0200">
      <w:numFmt w:val="decimal"/>
      <w:lvlText w:val=""/>
      <w:lvlJc w:val="left"/>
    </w:lvl>
  </w:abstractNum>
  <w:abstractNum w:abstractNumId="50">
    <w:nsid w:val="13916F2D"/>
    <w:multiLevelType w:val="hybridMultilevel"/>
    <w:tmpl w:val="1A04667E"/>
    <w:lvl w:ilvl="0" w:tplc="6106AB76">
      <w:start w:val="1"/>
      <w:numFmt w:val="decimal"/>
      <w:lvlText w:val="%1"/>
      <w:lvlJc w:val="left"/>
    </w:lvl>
    <w:lvl w:ilvl="1" w:tplc="7284D6CE">
      <w:numFmt w:val="decimal"/>
      <w:lvlText w:val=""/>
      <w:lvlJc w:val="left"/>
    </w:lvl>
    <w:lvl w:ilvl="2" w:tplc="574C688C">
      <w:numFmt w:val="decimal"/>
      <w:lvlText w:val=""/>
      <w:lvlJc w:val="left"/>
    </w:lvl>
    <w:lvl w:ilvl="3" w:tplc="46602516">
      <w:numFmt w:val="decimal"/>
      <w:lvlText w:val=""/>
      <w:lvlJc w:val="left"/>
    </w:lvl>
    <w:lvl w:ilvl="4" w:tplc="005C2BE6">
      <w:numFmt w:val="decimal"/>
      <w:lvlText w:val=""/>
      <w:lvlJc w:val="left"/>
    </w:lvl>
    <w:lvl w:ilvl="5" w:tplc="862815B8">
      <w:numFmt w:val="decimal"/>
      <w:lvlText w:val=""/>
      <w:lvlJc w:val="left"/>
    </w:lvl>
    <w:lvl w:ilvl="6" w:tplc="A8CACC22">
      <w:numFmt w:val="decimal"/>
      <w:lvlText w:val=""/>
      <w:lvlJc w:val="left"/>
    </w:lvl>
    <w:lvl w:ilvl="7" w:tplc="CFE2A164">
      <w:numFmt w:val="decimal"/>
      <w:lvlText w:val=""/>
      <w:lvlJc w:val="left"/>
    </w:lvl>
    <w:lvl w:ilvl="8" w:tplc="FB20AEEC">
      <w:numFmt w:val="decimal"/>
      <w:lvlText w:val=""/>
      <w:lvlJc w:val="left"/>
    </w:lvl>
  </w:abstractNum>
  <w:abstractNum w:abstractNumId="51">
    <w:nsid w:val="13CDFCFC"/>
    <w:multiLevelType w:val="hybridMultilevel"/>
    <w:tmpl w:val="19C29096"/>
    <w:lvl w:ilvl="0" w:tplc="5C64E36C">
      <w:start w:val="15"/>
      <w:numFmt w:val="lowerLetter"/>
      <w:lvlText w:val="%1"/>
      <w:lvlJc w:val="left"/>
    </w:lvl>
    <w:lvl w:ilvl="1" w:tplc="31F0244C">
      <w:numFmt w:val="decimal"/>
      <w:lvlText w:val=""/>
      <w:lvlJc w:val="left"/>
    </w:lvl>
    <w:lvl w:ilvl="2" w:tplc="BC1636A0">
      <w:numFmt w:val="decimal"/>
      <w:lvlText w:val=""/>
      <w:lvlJc w:val="left"/>
    </w:lvl>
    <w:lvl w:ilvl="3" w:tplc="0BFAF172">
      <w:numFmt w:val="decimal"/>
      <w:lvlText w:val=""/>
      <w:lvlJc w:val="left"/>
    </w:lvl>
    <w:lvl w:ilvl="4" w:tplc="6ACC924E">
      <w:numFmt w:val="decimal"/>
      <w:lvlText w:val=""/>
      <w:lvlJc w:val="left"/>
    </w:lvl>
    <w:lvl w:ilvl="5" w:tplc="5672C970">
      <w:numFmt w:val="decimal"/>
      <w:lvlText w:val=""/>
      <w:lvlJc w:val="left"/>
    </w:lvl>
    <w:lvl w:ilvl="6" w:tplc="75408556">
      <w:numFmt w:val="decimal"/>
      <w:lvlText w:val=""/>
      <w:lvlJc w:val="left"/>
    </w:lvl>
    <w:lvl w:ilvl="7" w:tplc="C054092A">
      <w:numFmt w:val="decimal"/>
      <w:lvlText w:val=""/>
      <w:lvlJc w:val="left"/>
    </w:lvl>
    <w:lvl w:ilvl="8" w:tplc="F6CE08F8">
      <w:numFmt w:val="decimal"/>
      <w:lvlText w:val=""/>
      <w:lvlJc w:val="left"/>
    </w:lvl>
  </w:abstractNum>
  <w:abstractNum w:abstractNumId="52">
    <w:nsid w:val="13E21002"/>
    <w:multiLevelType w:val="hybridMultilevel"/>
    <w:tmpl w:val="AF889740"/>
    <w:lvl w:ilvl="0" w:tplc="0936DA12">
      <w:start w:val="1"/>
      <w:numFmt w:val="bullet"/>
      <w:lvlText w:val="-"/>
      <w:lvlJc w:val="left"/>
    </w:lvl>
    <w:lvl w:ilvl="1" w:tplc="5D366184">
      <w:numFmt w:val="decimal"/>
      <w:lvlText w:val=""/>
      <w:lvlJc w:val="left"/>
    </w:lvl>
    <w:lvl w:ilvl="2" w:tplc="98FC709A">
      <w:numFmt w:val="decimal"/>
      <w:lvlText w:val=""/>
      <w:lvlJc w:val="left"/>
    </w:lvl>
    <w:lvl w:ilvl="3" w:tplc="5490AECA">
      <w:numFmt w:val="decimal"/>
      <w:lvlText w:val=""/>
      <w:lvlJc w:val="left"/>
    </w:lvl>
    <w:lvl w:ilvl="4" w:tplc="1FCE91B2">
      <w:numFmt w:val="decimal"/>
      <w:lvlText w:val=""/>
      <w:lvlJc w:val="left"/>
    </w:lvl>
    <w:lvl w:ilvl="5" w:tplc="C24A35AC">
      <w:numFmt w:val="decimal"/>
      <w:lvlText w:val=""/>
      <w:lvlJc w:val="left"/>
    </w:lvl>
    <w:lvl w:ilvl="6" w:tplc="893C4656">
      <w:numFmt w:val="decimal"/>
      <w:lvlText w:val=""/>
      <w:lvlJc w:val="left"/>
    </w:lvl>
    <w:lvl w:ilvl="7" w:tplc="BBC040A4">
      <w:numFmt w:val="decimal"/>
      <w:lvlText w:val=""/>
      <w:lvlJc w:val="left"/>
    </w:lvl>
    <w:lvl w:ilvl="8" w:tplc="5CA23CBC">
      <w:numFmt w:val="decimal"/>
      <w:lvlText w:val=""/>
      <w:lvlJc w:val="left"/>
    </w:lvl>
  </w:abstractNum>
  <w:abstractNum w:abstractNumId="53">
    <w:nsid w:val="141D2302"/>
    <w:multiLevelType w:val="hybridMultilevel"/>
    <w:tmpl w:val="13C4A762"/>
    <w:lvl w:ilvl="0" w:tplc="0E72764E">
      <w:start w:val="1"/>
      <w:numFmt w:val="bullet"/>
      <w:lvlText w:val=""/>
      <w:lvlJc w:val="left"/>
    </w:lvl>
    <w:lvl w:ilvl="1" w:tplc="1132FEFE">
      <w:numFmt w:val="decimal"/>
      <w:lvlText w:val=""/>
      <w:lvlJc w:val="left"/>
    </w:lvl>
    <w:lvl w:ilvl="2" w:tplc="02863804">
      <w:numFmt w:val="decimal"/>
      <w:lvlText w:val=""/>
      <w:lvlJc w:val="left"/>
    </w:lvl>
    <w:lvl w:ilvl="3" w:tplc="4CA4884C">
      <w:numFmt w:val="decimal"/>
      <w:lvlText w:val=""/>
      <w:lvlJc w:val="left"/>
    </w:lvl>
    <w:lvl w:ilvl="4" w:tplc="4AEA6DA4">
      <w:numFmt w:val="decimal"/>
      <w:lvlText w:val=""/>
      <w:lvlJc w:val="left"/>
    </w:lvl>
    <w:lvl w:ilvl="5" w:tplc="970C50D4">
      <w:numFmt w:val="decimal"/>
      <w:lvlText w:val=""/>
      <w:lvlJc w:val="left"/>
    </w:lvl>
    <w:lvl w:ilvl="6" w:tplc="482E79C4">
      <w:numFmt w:val="decimal"/>
      <w:lvlText w:val=""/>
      <w:lvlJc w:val="left"/>
    </w:lvl>
    <w:lvl w:ilvl="7" w:tplc="CD363678">
      <w:numFmt w:val="decimal"/>
      <w:lvlText w:val=""/>
      <w:lvlJc w:val="left"/>
    </w:lvl>
    <w:lvl w:ilvl="8" w:tplc="E6B666E4">
      <w:numFmt w:val="decimal"/>
      <w:lvlText w:val=""/>
      <w:lvlJc w:val="left"/>
    </w:lvl>
  </w:abstractNum>
  <w:abstractNum w:abstractNumId="54">
    <w:nsid w:val="1421971B"/>
    <w:multiLevelType w:val="hybridMultilevel"/>
    <w:tmpl w:val="BC5461E4"/>
    <w:lvl w:ilvl="0" w:tplc="E08C0DF0">
      <w:start w:val="5"/>
      <w:numFmt w:val="decimal"/>
      <w:lvlText w:val="%1"/>
      <w:lvlJc w:val="left"/>
    </w:lvl>
    <w:lvl w:ilvl="1" w:tplc="3230BA74">
      <w:numFmt w:val="decimal"/>
      <w:lvlText w:val=""/>
      <w:lvlJc w:val="left"/>
    </w:lvl>
    <w:lvl w:ilvl="2" w:tplc="824E579E">
      <w:numFmt w:val="decimal"/>
      <w:lvlText w:val=""/>
      <w:lvlJc w:val="left"/>
    </w:lvl>
    <w:lvl w:ilvl="3" w:tplc="DABACAB6">
      <w:numFmt w:val="decimal"/>
      <w:lvlText w:val=""/>
      <w:lvlJc w:val="left"/>
    </w:lvl>
    <w:lvl w:ilvl="4" w:tplc="4134E264">
      <w:numFmt w:val="decimal"/>
      <w:lvlText w:val=""/>
      <w:lvlJc w:val="left"/>
    </w:lvl>
    <w:lvl w:ilvl="5" w:tplc="BCB2981E">
      <w:numFmt w:val="decimal"/>
      <w:lvlText w:val=""/>
      <w:lvlJc w:val="left"/>
    </w:lvl>
    <w:lvl w:ilvl="6" w:tplc="48541BDC">
      <w:numFmt w:val="decimal"/>
      <w:lvlText w:val=""/>
      <w:lvlJc w:val="left"/>
    </w:lvl>
    <w:lvl w:ilvl="7" w:tplc="2110DC3C">
      <w:numFmt w:val="decimal"/>
      <w:lvlText w:val=""/>
      <w:lvlJc w:val="left"/>
    </w:lvl>
    <w:lvl w:ilvl="8" w:tplc="8FAC250A">
      <w:numFmt w:val="decimal"/>
      <w:lvlText w:val=""/>
      <w:lvlJc w:val="left"/>
    </w:lvl>
  </w:abstractNum>
  <w:abstractNum w:abstractNumId="55">
    <w:nsid w:val="1495E50A"/>
    <w:multiLevelType w:val="hybridMultilevel"/>
    <w:tmpl w:val="A6385AF4"/>
    <w:lvl w:ilvl="0" w:tplc="B45EF214">
      <w:start w:val="1"/>
      <w:numFmt w:val="bullet"/>
      <w:lvlText w:val=""/>
      <w:lvlJc w:val="left"/>
    </w:lvl>
    <w:lvl w:ilvl="1" w:tplc="8F6CAD24">
      <w:start w:val="1"/>
      <w:numFmt w:val="bullet"/>
      <w:lvlText w:val=""/>
      <w:lvlJc w:val="left"/>
    </w:lvl>
    <w:lvl w:ilvl="2" w:tplc="F12A6470">
      <w:numFmt w:val="decimal"/>
      <w:lvlText w:val=""/>
      <w:lvlJc w:val="left"/>
    </w:lvl>
    <w:lvl w:ilvl="3" w:tplc="925669B4">
      <w:numFmt w:val="decimal"/>
      <w:lvlText w:val=""/>
      <w:lvlJc w:val="left"/>
    </w:lvl>
    <w:lvl w:ilvl="4" w:tplc="A3D24FFC">
      <w:numFmt w:val="decimal"/>
      <w:lvlText w:val=""/>
      <w:lvlJc w:val="left"/>
    </w:lvl>
    <w:lvl w:ilvl="5" w:tplc="CFD22B8A">
      <w:numFmt w:val="decimal"/>
      <w:lvlText w:val=""/>
      <w:lvlJc w:val="left"/>
    </w:lvl>
    <w:lvl w:ilvl="6" w:tplc="977AAEA4">
      <w:numFmt w:val="decimal"/>
      <w:lvlText w:val=""/>
      <w:lvlJc w:val="left"/>
    </w:lvl>
    <w:lvl w:ilvl="7" w:tplc="5748CA12">
      <w:numFmt w:val="decimal"/>
      <w:lvlText w:val=""/>
      <w:lvlJc w:val="left"/>
    </w:lvl>
    <w:lvl w:ilvl="8" w:tplc="A88EE29A">
      <w:numFmt w:val="decimal"/>
      <w:lvlText w:val=""/>
      <w:lvlJc w:val="left"/>
    </w:lvl>
  </w:abstractNum>
  <w:abstractNum w:abstractNumId="56">
    <w:nsid w:val="154291F6"/>
    <w:multiLevelType w:val="hybridMultilevel"/>
    <w:tmpl w:val="D5DA8A70"/>
    <w:lvl w:ilvl="0" w:tplc="53ECD760">
      <w:start w:val="1"/>
      <w:numFmt w:val="decimal"/>
      <w:lvlText w:val="%1."/>
      <w:lvlJc w:val="left"/>
    </w:lvl>
    <w:lvl w:ilvl="1" w:tplc="2D4C283E">
      <w:numFmt w:val="decimal"/>
      <w:lvlText w:val=""/>
      <w:lvlJc w:val="left"/>
    </w:lvl>
    <w:lvl w:ilvl="2" w:tplc="296ED8A4">
      <w:numFmt w:val="decimal"/>
      <w:lvlText w:val=""/>
      <w:lvlJc w:val="left"/>
    </w:lvl>
    <w:lvl w:ilvl="3" w:tplc="CC64D3BC">
      <w:numFmt w:val="decimal"/>
      <w:lvlText w:val=""/>
      <w:lvlJc w:val="left"/>
    </w:lvl>
    <w:lvl w:ilvl="4" w:tplc="78087178">
      <w:numFmt w:val="decimal"/>
      <w:lvlText w:val=""/>
      <w:lvlJc w:val="left"/>
    </w:lvl>
    <w:lvl w:ilvl="5" w:tplc="82D6D854">
      <w:numFmt w:val="decimal"/>
      <w:lvlText w:val=""/>
      <w:lvlJc w:val="left"/>
    </w:lvl>
    <w:lvl w:ilvl="6" w:tplc="8A845B4C">
      <w:numFmt w:val="decimal"/>
      <w:lvlText w:val=""/>
      <w:lvlJc w:val="left"/>
    </w:lvl>
    <w:lvl w:ilvl="7" w:tplc="EFAC1FAE">
      <w:numFmt w:val="decimal"/>
      <w:lvlText w:val=""/>
      <w:lvlJc w:val="left"/>
    </w:lvl>
    <w:lvl w:ilvl="8" w:tplc="B06A4D6C">
      <w:numFmt w:val="decimal"/>
      <w:lvlText w:val=""/>
      <w:lvlJc w:val="left"/>
    </w:lvl>
  </w:abstractNum>
  <w:abstractNum w:abstractNumId="57">
    <w:nsid w:val="155EC4C2"/>
    <w:multiLevelType w:val="hybridMultilevel"/>
    <w:tmpl w:val="81A8B1BC"/>
    <w:lvl w:ilvl="0" w:tplc="ECF6619C">
      <w:start w:val="1"/>
      <w:numFmt w:val="bullet"/>
      <w:lvlText w:val="«"/>
      <w:lvlJc w:val="left"/>
    </w:lvl>
    <w:lvl w:ilvl="1" w:tplc="1F2070CA">
      <w:numFmt w:val="decimal"/>
      <w:lvlText w:val=""/>
      <w:lvlJc w:val="left"/>
    </w:lvl>
    <w:lvl w:ilvl="2" w:tplc="5D1A1EB4">
      <w:numFmt w:val="decimal"/>
      <w:lvlText w:val=""/>
      <w:lvlJc w:val="left"/>
    </w:lvl>
    <w:lvl w:ilvl="3" w:tplc="3C7CE7D0">
      <w:numFmt w:val="decimal"/>
      <w:lvlText w:val=""/>
      <w:lvlJc w:val="left"/>
    </w:lvl>
    <w:lvl w:ilvl="4" w:tplc="A17A55D0">
      <w:numFmt w:val="decimal"/>
      <w:lvlText w:val=""/>
      <w:lvlJc w:val="left"/>
    </w:lvl>
    <w:lvl w:ilvl="5" w:tplc="766A2AFE">
      <w:numFmt w:val="decimal"/>
      <w:lvlText w:val=""/>
      <w:lvlJc w:val="left"/>
    </w:lvl>
    <w:lvl w:ilvl="6" w:tplc="DA2ED110">
      <w:numFmt w:val="decimal"/>
      <w:lvlText w:val=""/>
      <w:lvlJc w:val="left"/>
    </w:lvl>
    <w:lvl w:ilvl="7" w:tplc="DE82CD62">
      <w:numFmt w:val="decimal"/>
      <w:lvlText w:val=""/>
      <w:lvlJc w:val="left"/>
    </w:lvl>
    <w:lvl w:ilvl="8" w:tplc="A7C49314">
      <w:numFmt w:val="decimal"/>
      <w:lvlText w:val=""/>
      <w:lvlJc w:val="left"/>
    </w:lvl>
  </w:abstractNum>
  <w:abstractNum w:abstractNumId="58">
    <w:nsid w:val="1565AC99"/>
    <w:multiLevelType w:val="hybridMultilevel"/>
    <w:tmpl w:val="2D160EA4"/>
    <w:lvl w:ilvl="0" w:tplc="0B52B980">
      <w:start w:val="1"/>
      <w:numFmt w:val="bullet"/>
      <w:lvlText w:val=""/>
      <w:lvlJc w:val="left"/>
    </w:lvl>
    <w:lvl w:ilvl="1" w:tplc="D3DE65A8">
      <w:numFmt w:val="decimal"/>
      <w:lvlText w:val=""/>
      <w:lvlJc w:val="left"/>
    </w:lvl>
    <w:lvl w:ilvl="2" w:tplc="730ABFFA">
      <w:numFmt w:val="decimal"/>
      <w:lvlText w:val=""/>
      <w:lvlJc w:val="left"/>
    </w:lvl>
    <w:lvl w:ilvl="3" w:tplc="6316A724">
      <w:numFmt w:val="decimal"/>
      <w:lvlText w:val=""/>
      <w:lvlJc w:val="left"/>
    </w:lvl>
    <w:lvl w:ilvl="4" w:tplc="B7DABF34">
      <w:numFmt w:val="decimal"/>
      <w:lvlText w:val=""/>
      <w:lvlJc w:val="left"/>
    </w:lvl>
    <w:lvl w:ilvl="5" w:tplc="B316C150">
      <w:numFmt w:val="decimal"/>
      <w:lvlText w:val=""/>
      <w:lvlJc w:val="left"/>
    </w:lvl>
    <w:lvl w:ilvl="6" w:tplc="9C9CACB4">
      <w:numFmt w:val="decimal"/>
      <w:lvlText w:val=""/>
      <w:lvlJc w:val="left"/>
    </w:lvl>
    <w:lvl w:ilvl="7" w:tplc="E45058CC">
      <w:numFmt w:val="decimal"/>
      <w:lvlText w:val=""/>
      <w:lvlJc w:val="left"/>
    </w:lvl>
    <w:lvl w:ilvl="8" w:tplc="F8C8C684">
      <w:numFmt w:val="decimal"/>
      <w:lvlText w:val=""/>
      <w:lvlJc w:val="left"/>
    </w:lvl>
  </w:abstractNum>
  <w:abstractNum w:abstractNumId="59">
    <w:nsid w:val="159C74CF"/>
    <w:multiLevelType w:val="hybridMultilevel"/>
    <w:tmpl w:val="71844982"/>
    <w:lvl w:ilvl="0" w:tplc="7980A5F2">
      <w:start w:val="1"/>
      <w:numFmt w:val="decimal"/>
      <w:lvlText w:val="%1."/>
      <w:lvlJc w:val="left"/>
    </w:lvl>
    <w:lvl w:ilvl="1" w:tplc="B108F818">
      <w:numFmt w:val="decimal"/>
      <w:lvlText w:val=""/>
      <w:lvlJc w:val="left"/>
    </w:lvl>
    <w:lvl w:ilvl="2" w:tplc="63F4EC0A">
      <w:numFmt w:val="decimal"/>
      <w:lvlText w:val=""/>
      <w:lvlJc w:val="left"/>
    </w:lvl>
    <w:lvl w:ilvl="3" w:tplc="B906C52E">
      <w:numFmt w:val="decimal"/>
      <w:lvlText w:val=""/>
      <w:lvlJc w:val="left"/>
    </w:lvl>
    <w:lvl w:ilvl="4" w:tplc="2C2E6A04">
      <w:numFmt w:val="decimal"/>
      <w:lvlText w:val=""/>
      <w:lvlJc w:val="left"/>
    </w:lvl>
    <w:lvl w:ilvl="5" w:tplc="A11C431A">
      <w:numFmt w:val="decimal"/>
      <w:lvlText w:val=""/>
      <w:lvlJc w:val="left"/>
    </w:lvl>
    <w:lvl w:ilvl="6" w:tplc="9E06F00E">
      <w:numFmt w:val="decimal"/>
      <w:lvlText w:val=""/>
      <w:lvlJc w:val="left"/>
    </w:lvl>
    <w:lvl w:ilvl="7" w:tplc="FA44B626">
      <w:numFmt w:val="decimal"/>
      <w:lvlText w:val=""/>
      <w:lvlJc w:val="left"/>
    </w:lvl>
    <w:lvl w:ilvl="8" w:tplc="463012C6">
      <w:numFmt w:val="decimal"/>
      <w:lvlText w:val=""/>
      <w:lvlJc w:val="left"/>
    </w:lvl>
  </w:abstractNum>
  <w:abstractNum w:abstractNumId="60">
    <w:nsid w:val="15B71329"/>
    <w:multiLevelType w:val="hybridMultilevel"/>
    <w:tmpl w:val="04C2F9BA"/>
    <w:lvl w:ilvl="0" w:tplc="FA285C22">
      <w:start w:val="1"/>
      <w:numFmt w:val="bullet"/>
      <w:lvlText w:val=""/>
      <w:lvlJc w:val="left"/>
    </w:lvl>
    <w:lvl w:ilvl="1" w:tplc="20304384">
      <w:numFmt w:val="decimal"/>
      <w:lvlText w:val=""/>
      <w:lvlJc w:val="left"/>
    </w:lvl>
    <w:lvl w:ilvl="2" w:tplc="8348E294">
      <w:numFmt w:val="decimal"/>
      <w:lvlText w:val=""/>
      <w:lvlJc w:val="left"/>
    </w:lvl>
    <w:lvl w:ilvl="3" w:tplc="DA3CF2FA">
      <w:numFmt w:val="decimal"/>
      <w:lvlText w:val=""/>
      <w:lvlJc w:val="left"/>
    </w:lvl>
    <w:lvl w:ilvl="4" w:tplc="1CEE4BDC">
      <w:numFmt w:val="decimal"/>
      <w:lvlText w:val=""/>
      <w:lvlJc w:val="left"/>
    </w:lvl>
    <w:lvl w:ilvl="5" w:tplc="B540EC3E">
      <w:numFmt w:val="decimal"/>
      <w:lvlText w:val=""/>
      <w:lvlJc w:val="left"/>
    </w:lvl>
    <w:lvl w:ilvl="6" w:tplc="B374E66E">
      <w:numFmt w:val="decimal"/>
      <w:lvlText w:val=""/>
      <w:lvlJc w:val="left"/>
    </w:lvl>
    <w:lvl w:ilvl="7" w:tplc="9FC6ED2C">
      <w:numFmt w:val="decimal"/>
      <w:lvlText w:val=""/>
      <w:lvlJc w:val="left"/>
    </w:lvl>
    <w:lvl w:ilvl="8" w:tplc="42DC84A8">
      <w:numFmt w:val="decimal"/>
      <w:lvlText w:val=""/>
      <w:lvlJc w:val="left"/>
    </w:lvl>
  </w:abstractNum>
  <w:abstractNum w:abstractNumId="61">
    <w:nsid w:val="15BCABA8"/>
    <w:multiLevelType w:val="hybridMultilevel"/>
    <w:tmpl w:val="7310C5CE"/>
    <w:lvl w:ilvl="0" w:tplc="1532823E">
      <w:start w:val="1"/>
      <w:numFmt w:val="bullet"/>
      <w:lvlText w:val="-"/>
      <w:lvlJc w:val="left"/>
    </w:lvl>
    <w:lvl w:ilvl="1" w:tplc="03A4F6F0">
      <w:numFmt w:val="decimal"/>
      <w:lvlText w:val=""/>
      <w:lvlJc w:val="left"/>
    </w:lvl>
    <w:lvl w:ilvl="2" w:tplc="21A4ECA4">
      <w:numFmt w:val="decimal"/>
      <w:lvlText w:val=""/>
      <w:lvlJc w:val="left"/>
    </w:lvl>
    <w:lvl w:ilvl="3" w:tplc="1136BCE6">
      <w:numFmt w:val="decimal"/>
      <w:lvlText w:val=""/>
      <w:lvlJc w:val="left"/>
    </w:lvl>
    <w:lvl w:ilvl="4" w:tplc="6AA24526">
      <w:numFmt w:val="decimal"/>
      <w:lvlText w:val=""/>
      <w:lvlJc w:val="left"/>
    </w:lvl>
    <w:lvl w:ilvl="5" w:tplc="358CA62E">
      <w:numFmt w:val="decimal"/>
      <w:lvlText w:val=""/>
      <w:lvlJc w:val="left"/>
    </w:lvl>
    <w:lvl w:ilvl="6" w:tplc="D340BA9A">
      <w:numFmt w:val="decimal"/>
      <w:lvlText w:val=""/>
      <w:lvlJc w:val="left"/>
    </w:lvl>
    <w:lvl w:ilvl="7" w:tplc="24B81C7A">
      <w:numFmt w:val="decimal"/>
      <w:lvlText w:val=""/>
      <w:lvlJc w:val="left"/>
    </w:lvl>
    <w:lvl w:ilvl="8" w:tplc="D876D296">
      <w:numFmt w:val="decimal"/>
      <w:lvlText w:val=""/>
      <w:lvlJc w:val="left"/>
    </w:lvl>
  </w:abstractNum>
  <w:abstractNum w:abstractNumId="62">
    <w:nsid w:val="1626FB8C"/>
    <w:multiLevelType w:val="hybridMultilevel"/>
    <w:tmpl w:val="76365C1A"/>
    <w:lvl w:ilvl="0" w:tplc="BBB8291C">
      <w:start w:val="1"/>
      <w:numFmt w:val="bullet"/>
      <w:lvlText w:val=""/>
      <w:lvlJc w:val="left"/>
    </w:lvl>
    <w:lvl w:ilvl="1" w:tplc="A3384576">
      <w:numFmt w:val="decimal"/>
      <w:lvlText w:val=""/>
      <w:lvlJc w:val="left"/>
    </w:lvl>
    <w:lvl w:ilvl="2" w:tplc="0F2C7236">
      <w:numFmt w:val="decimal"/>
      <w:lvlText w:val=""/>
      <w:lvlJc w:val="left"/>
    </w:lvl>
    <w:lvl w:ilvl="3" w:tplc="1388C0C6">
      <w:numFmt w:val="decimal"/>
      <w:lvlText w:val=""/>
      <w:lvlJc w:val="left"/>
    </w:lvl>
    <w:lvl w:ilvl="4" w:tplc="2660A998">
      <w:numFmt w:val="decimal"/>
      <w:lvlText w:val=""/>
      <w:lvlJc w:val="left"/>
    </w:lvl>
    <w:lvl w:ilvl="5" w:tplc="AF4ED506">
      <w:numFmt w:val="decimal"/>
      <w:lvlText w:val=""/>
      <w:lvlJc w:val="left"/>
    </w:lvl>
    <w:lvl w:ilvl="6" w:tplc="F79CCFCE">
      <w:numFmt w:val="decimal"/>
      <w:lvlText w:val=""/>
      <w:lvlJc w:val="left"/>
    </w:lvl>
    <w:lvl w:ilvl="7" w:tplc="8C725C78">
      <w:numFmt w:val="decimal"/>
      <w:lvlText w:val=""/>
      <w:lvlJc w:val="left"/>
    </w:lvl>
    <w:lvl w:ilvl="8" w:tplc="D0FC12CC">
      <w:numFmt w:val="decimal"/>
      <w:lvlText w:val=""/>
      <w:lvlJc w:val="left"/>
    </w:lvl>
  </w:abstractNum>
  <w:abstractNum w:abstractNumId="63">
    <w:nsid w:val="162EB70D"/>
    <w:multiLevelType w:val="hybridMultilevel"/>
    <w:tmpl w:val="6142BB7E"/>
    <w:lvl w:ilvl="0" w:tplc="74C89988">
      <w:start w:val="1"/>
      <w:numFmt w:val="decimal"/>
      <w:lvlText w:val="%1"/>
      <w:lvlJc w:val="left"/>
    </w:lvl>
    <w:lvl w:ilvl="1" w:tplc="93942AF6">
      <w:numFmt w:val="decimal"/>
      <w:lvlText w:val=""/>
      <w:lvlJc w:val="left"/>
    </w:lvl>
    <w:lvl w:ilvl="2" w:tplc="9088376E">
      <w:numFmt w:val="decimal"/>
      <w:lvlText w:val=""/>
      <w:lvlJc w:val="left"/>
    </w:lvl>
    <w:lvl w:ilvl="3" w:tplc="CCEC0CF8">
      <w:numFmt w:val="decimal"/>
      <w:lvlText w:val=""/>
      <w:lvlJc w:val="left"/>
    </w:lvl>
    <w:lvl w:ilvl="4" w:tplc="F8521804">
      <w:numFmt w:val="decimal"/>
      <w:lvlText w:val=""/>
      <w:lvlJc w:val="left"/>
    </w:lvl>
    <w:lvl w:ilvl="5" w:tplc="8EE43A0C">
      <w:numFmt w:val="decimal"/>
      <w:lvlText w:val=""/>
      <w:lvlJc w:val="left"/>
    </w:lvl>
    <w:lvl w:ilvl="6" w:tplc="45D2DA5E">
      <w:numFmt w:val="decimal"/>
      <w:lvlText w:val=""/>
      <w:lvlJc w:val="left"/>
    </w:lvl>
    <w:lvl w:ilvl="7" w:tplc="D7D0E516">
      <w:numFmt w:val="decimal"/>
      <w:lvlText w:val=""/>
      <w:lvlJc w:val="left"/>
    </w:lvl>
    <w:lvl w:ilvl="8" w:tplc="0F72C8A8">
      <w:numFmt w:val="decimal"/>
      <w:lvlText w:val=""/>
      <w:lvlJc w:val="left"/>
    </w:lvl>
  </w:abstractNum>
  <w:abstractNum w:abstractNumId="64">
    <w:nsid w:val="168EFE17"/>
    <w:multiLevelType w:val="hybridMultilevel"/>
    <w:tmpl w:val="F3E42796"/>
    <w:lvl w:ilvl="0" w:tplc="30D00608">
      <w:start w:val="1"/>
      <w:numFmt w:val="bullet"/>
      <w:lvlText w:val=""/>
      <w:lvlJc w:val="left"/>
    </w:lvl>
    <w:lvl w:ilvl="1" w:tplc="BF8025FC">
      <w:start w:val="15"/>
      <w:numFmt w:val="lowerLetter"/>
      <w:lvlText w:val="%2"/>
      <w:lvlJc w:val="left"/>
    </w:lvl>
    <w:lvl w:ilvl="2" w:tplc="9CF62E6E">
      <w:numFmt w:val="decimal"/>
      <w:lvlText w:val=""/>
      <w:lvlJc w:val="left"/>
    </w:lvl>
    <w:lvl w:ilvl="3" w:tplc="BB0E85DE">
      <w:numFmt w:val="decimal"/>
      <w:lvlText w:val=""/>
      <w:lvlJc w:val="left"/>
    </w:lvl>
    <w:lvl w:ilvl="4" w:tplc="0F0A42FA">
      <w:numFmt w:val="decimal"/>
      <w:lvlText w:val=""/>
      <w:lvlJc w:val="left"/>
    </w:lvl>
    <w:lvl w:ilvl="5" w:tplc="EBF247A0">
      <w:numFmt w:val="decimal"/>
      <w:lvlText w:val=""/>
      <w:lvlJc w:val="left"/>
    </w:lvl>
    <w:lvl w:ilvl="6" w:tplc="27CC2A5A">
      <w:numFmt w:val="decimal"/>
      <w:lvlText w:val=""/>
      <w:lvlJc w:val="left"/>
    </w:lvl>
    <w:lvl w:ilvl="7" w:tplc="33A2509E">
      <w:numFmt w:val="decimal"/>
      <w:lvlText w:val=""/>
      <w:lvlJc w:val="left"/>
    </w:lvl>
    <w:lvl w:ilvl="8" w:tplc="29CE392A">
      <w:numFmt w:val="decimal"/>
      <w:lvlText w:val=""/>
      <w:lvlJc w:val="left"/>
    </w:lvl>
  </w:abstractNum>
  <w:abstractNum w:abstractNumId="65">
    <w:nsid w:val="17304A67"/>
    <w:multiLevelType w:val="hybridMultilevel"/>
    <w:tmpl w:val="0FF0C412"/>
    <w:lvl w:ilvl="0" w:tplc="7FC8A426">
      <w:start w:val="1"/>
      <w:numFmt w:val="bullet"/>
      <w:lvlText w:val=""/>
      <w:lvlJc w:val="left"/>
    </w:lvl>
    <w:lvl w:ilvl="1" w:tplc="DC16E908">
      <w:numFmt w:val="decimal"/>
      <w:lvlText w:val=""/>
      <w:lvlJc w:val="left"/>
    </w:lvl>
    <w:lvl w:ilvl="2" w:tplc="6D70BA9E">
      <w:numFmt w:val="decimal"/>
      <w:lvlText w:val=""/>
      <w:lvlJc w:val="left"/>
    </w:lvl>
    <w:lvl w:ilvl="3" w:tplc="EC28738A">
      <w:numFmt w:val="decimal"/>
      <w:lvlText w:val=""/>
      <w:lvlJc w:val="left"/>
    </w:lvl>
    <w:lvl w:ilvl="4" w:tplc="01A0D1AA">
      <w:numFmt w:val="decimal"/>
      <w:lvlText w:val=""/>
      <w:lvlJc w:val="left"/>
    </w:lvl>
    <w:lvl w:ilvl="5" w:tplc="113ECC5E">
      <w:numFmt w:val="decimal"/>
      <w:lvlText w:val=""/>
      <w:lvlJc w:val="left"/>
    </w:lvl>
    <w:lvl w:ilvl="6" w:tplc="B9DC9B70">
      <w:numFmt w:val="decimal"/>
      <w:lvlText w:val=""/>
      <w:lvlJc w:val="left"/>
    </w:lvl>
    <w:lvl w:ilvl="7" w:tplc="98545328">
      <w:numFmt w:val="decimal"/>
      <w:lvlText w:val=""/>
      <w:lvlJc w:val="left"/>
    </w:lvl>
    <w:lvl w:ilvl="8" w:tplc="BB80B56E">
      <w:numFmt w:val="decimal"/>
      <w:lvlText w:val=""/>
      <w:lvlJc w:val="left"/>
    </w:lvl>
  </w:abstractNum>
  <w:abstractNum w:abstractNumId="66">
    <w:nsid w:val="17859F72"/>
    <w:multiLevelType w:val="hybridMultilevel"/>
    <w:tmpl w:val="36CA3E38"/>
    <w:lvl w:ilvl="0" w:tplc="4A4CA53E">
      <w:start w:val="1"/>
      <w:numFmt w:val="bullet"/>
      <w:lvlText w:val=""/>
      <w:lvlJc w:val="left"/>
    </w:lvl>
    <w:lvl w:ilvl="1" w:tplc="A33A8630">
      <w:numFmt w:val="decimal"/>
      <w:lvlText w:val=""/>
      <w:lvlJc w:val="left"/>
    </w:lvl>
    <w:lvl w:ilvl="2" w:tplc="5330F422">
      <w:numFmt w:val="decimal"/>
      <w:lvlText w:val=""/>
      <w:lvlJc w:val="left"/>
    </w:lvl>
    <w:lvl w:ilvl="3" w:tplc="48A2D186">
      <w:numFmt w:val="decimal"/>
      <w:lvlText w:val=""/>
      <w:lvlJc w:val="left"/>
    </w:lvl>
    <w:lvl w:ilvl="4" w:tplc="AD36A6AA">
      <w:numFmt w:val="decimal"/>
      <w:lvlText w:val=""/>
      <w:lvlJc w:val="left"/>
    </w:lvl>
    <w:lvl w:ilvl="5" w:tplc="6B1A3664">
      <w:numFmt w:val="decimal"/>
      <w:lvlText w:val=""/>
      <w:lvlJc w:val="left"/>
    </w:lvl>
    <w:lvl w:ilvl="6" w:tplc="FA8C7932">
      <w:numFmt w:val="decimal"/>
      <w:lvlText w:val=""/>
      <w:lvlJc w:val="left"/>
    </w:lvl>
    <w:lvl w:ilvl="7" w:tplc="E1D2FB70">
      <w:numFmt w:val="decimal"/>
      <w:lvlText w:val=""/>
      <w:lvlJc w:val="left"/>
    </w:lvl>
    <w:lvl w:ilvl="8" w:tplc="856CE580">
      <w:numFmt w:val="decimal"/>
      <w:lvlText w:val=""/>
      <w:lvlJc w:val="left"/>
    </w:lvl>
  </w:abstractNum>
  <w:abstractNum w:abstractNumId="67">
    <w:nsid w:val="178F7B67"/>
    <w:multiLevelType w:val="hybridMultilevel"/>
    <w:tmpl w:val="45706128"/>
    <w:lvl w:ilvl="0" w:tplc="B2921A30">
      <w:start w:val="1"/>
      <w:numFmt w:val="bullet"/>
      <w:lvlText w:val=""/>
      <w:lvlJc w:val="left"/>
    </w:lvl>
    <w:lvl w:ilvl="1" w:tplc="272410CA">
      <w:numFmt w:val="decimal"/>
      <w:lvlText w:val=""/>
      <w:lvlJc w:val="left"/>
    </w:lvl>
    <w:lvl w:ilvl="2" w:tplc="5E820B76">
      <w:numFmt w:val="decimal"/>
      <w:lvlText w:val=""/>
      <w:lvlJc w:val="left"/>
    </w:lvl>
    <w:lvl w:ilvl="3" w:tplc="31F283C4">
      <w:numFmt w:val="decimal"/>
      <w:lvlText w:val=""/>
      <w:lvlJc w:val="left"/>
    </w:lvl>
    <w:lvl w:ilvl="4" w:tplc="8946E65E">
      <w:numFmt w:val="decimal"/>
      <w:lvlText w:val=""/>
      <w:lvlJc w:val="left"/>
    </w:lvl>
    <w:lvl w:ilvl="5" w:tplc="5A9212A4">
      <w:numFmt w:val="decimal"/>
      <w:lvlText w:val=""/>
      <w:lvlJc w:val="left"/>
    </w:lvl>
    <w:lvl w:ilvl="6" w:tplc="5C3853AE">
      <w:numFmt w:val="decimal"/>
      <w:lvlText w:val=""/>
      <w:lvlJc w:val="left"/>
    </w:lvl>
    <w:lvl w:ilvl="7" w:tplc="A8E29AD2">
      <w:numFmt w:val="decimal"/>
      <w:lvlText w:val=""/>
      <w:lvlJc w:val="left"/>
    </w:lvl>
    <w:lvl w:ilvl="8" w:tplc="E9D639E8">
      <w:numFmt w:val="decimal"/>
      <w:lvlText w:val=""/>
      <w:lvlJc w:val="left"/>
    </w:lvl>
  </w:abstractNum>
  <w:abstractNum w:abstractNumId="68">
    <w:nsid w:val="17D78639"/>
    <w:multiLevelType w:val="hybridMultilevel"/>
    <w:tmpl w:val="73CA877A"/>
    <w:lvl w:ilvl="0" w:tplc="D026F51C">
      <w:start w:val="1"/>
      <w:numFmt w:val="bullet"/>
      <w:lvlText w:val=""/>
      <w:lvlJc w:val="left"/>
    </w:lvl>
    <w:lvl w:ilvl="1" w:tplc="D1A8A3A6">
      <w:numFmt w:val="decimal"/>
      <w:lvlText w:val=""/>
      <w:lvlJc w:val="left"/>
    </w:lvl>
    <w:lvl w:ilvl="2" w:tplc="BD7A96CA">
      <w:numFmt w:val="decimal"/>
      <w:lvlText w:val=""/>
      <w:lvlJc w:val="left"/>
    </w:lvl>
    <w:lvl w:ilvl="3" w:tplc="72ACA5C0">
      <w:numFmt w:val="decimal"/>
      <w:lvlText w:val=""/>
      <w:lvlJc w:val="left"/>
    </w:lvl>
    <w:lvl w:ilvl="4" w:tplc="4730650E">
      <w:numFmt w:val="decimal"/>
      <w:lvlText w:val=""/>
      <w:lvlJc w:val="left"/>
    </w:lvl>
    <w:lvl w:ilvl="5" w:tplc="59C2DBE0">
      <w:numFmt w:val="decimal"/>
      <w:lvlText w:val=""/>
      <w:lvlJc w:val="left"/>
    </w:lvl>
    <w:lvl w:ilvl="6" w:tplc="E090AA82">
      <w:numFmt w:val="decimal"/>
      <w:lvlText w:val=""/>
      <w:lvlJc w:val="left"/>
    </w:lvl>
    <w:lvl w:ilvl="7" w:tplc="F11091AA">
      <w:numFmt w:val="decimal"/>
      <w:lvlText w:val=""/>
      <w:lvlJc w:val="left"/>
    </w:lvl>
    <w:lvl w:ilvl="8" w:tplc="89F4B818">
      <w:numFmt w:val="decimal"/>
      <w:lvlText w:val=""/>
      <w:lvlJc w:val="left"/>
    </w:lvl>
  </w:abstractNum>
  <w:abstractNum w:abstractNumId="69">
    <w:nsid w:val="1803D089"/>
    <w:multiLevelType w:val="hybridMultilevel"/>
    <w:tmpl w:val="C50CFD94"/>
    <w:lvl w:ilvl="0" w:tplc="BDD2ADE2">
      <w:start w:val="1"/>
      <w:numFmt w:val="bullet"/>
      <w:lvlText w:val=""/>
      <w:lvlJc w:val="left"/>
    </w:lvl>
    <w:lvl w:ilvl="1" w:tplc="41BA100E">
      <w:numFmt w:val="decimal"/>
      <w:lvlText w:val=""/>
      <w:lvlJc w:val="left"/>
    </w:lvl>
    <w:lvl w:ilvl="2" w:tplc="4CBE72B6">
      <w:numFmt w:val="decimal"/>
      <w:lvlText w:val=""/>
      <w:lvlJc w:val="left"/>
    </w:lvl>
    <w:lvl w:ilvl="3" w:tplc="2504938C">
      <w:numFmt w:val="decimal"/>
      <w:lvlText w:val=""/>
      <w:lvlJc w:val="left"/>
    </w:lvl>
    <w:lvl w:ilvl="4" w:tplc="FD42698E">
      <w:numFmt w:val="decimal"/>
      <w:lvlText w:val=""/>
      <w:lvlJc w:val="left"/>
    </w:lvl>
    <w:lvl w:ilvl="5" w:tplc="E9D2AA42">
      <w:numFmt w:val="decimal"/>
      <w:lvlText w:val=""/>
      <w:lvlJc w:val="left"/>
    </w:lvl>
    <w:lvl w:ilvl="6" w:tplc="26980288">
      <w:numFmt w:val="decimal"/>
      <w:lvlText w:val=""/>
      <w:lvlJc w:val="left"/>
    </w:lvl>
    <w:lvl w:ilvl="7" w:tplc="57746C68">
      <w:numFmt w:val="decimal"/>
      <w:lvlText w:val=""/>
      <w:lvlJc w:val="left"/>
    </w:lvl>
    <w:lvl w:ilvl="8" w:tplc="48AA0EEC">
      <w:numFmt w:val="decimal"/>
      <w:lvlText w:val=""/>
      <w:lvlJc w:val="left"/>
    </w:lvl>
  </w:abstractNum>
  <w:abstractNum w:abstractNumId="70">
    <w:nsid w:val="18333C89"/>
    <w:multiLevelType w:val="hybridMultilevel"/>
    <w:tmpl w:val="82C086DC"/>
    <w:lvl w:ilvl="0" w:tplc="18FCC670">
      <w:start w:val="1"/>
      <w:numFmt w:val="decimal"/>
      <w:lvlText w:val="%1"/>
      <w:lvlJc w:val="left"/>
    </w:lvl>
    <w:lvl w:ilvl="1" w:tplc="4922E976">
      <w:numFmt w:val="decimal"/>
      <w:lvlText w:val=""/>
      <w:lvlJc w:val="left"/>
    </w:lvl>
    <w:lvl w:ilvl="2" w:tplc="04F441D6">
      <w:numFmt w:val="decimal"/>
      <w:lvlText w:val=""/>
      <w:lvlJc w:val="left"/>
    </w:lvl>
    <w:lvl w:ilvl="3" w:tplc="FE8E5020">
      <w:numFmt w:val="decimal"/>
      <w:lvlText w:val=""/>
      <w:lvlJc w:val="left"/>
    </w:lvl>
    <w:lvl w:ilvl="4" w:tplc="5824D924">
      <w:numFmt w:val="decimal"/>
      <w:lvlText w:val=""/>
      <w:lvlJc w:val="left"/>
    </w:lvl>
    <w:lvl w:ilvl="5" w:tplc="C7E083C8">
      <w:numFmt w:val="decimal"/>
      <w:lvlText w:val=""/>
      <w:lvlJc w:val="left"/>
    </w:lvl>
    <w:lvl w:ilvl="6" w:tplc="13C4A280">
      <w:numFmt w:val="decimal"/>
      <w:lvlText w:val=""/>
      <w:lvlJc w:val="left"/>
    </w:lvl>
    <w:lvl w:ilvl="7" w:tplc="90546060">
      <w:numFmt w:val="decimal"/>
      <w:lvlText w:val=""/>
      <w:lvlJc w:val="left"/>
    </w:lvl>
    <w:lvl w:ilvl="8" w:tplc="A5345688">
      <w:numFmt w:val="decimal"/>
      <w:lvlText w:val=""/>
      <w:lvlJc w:val="left"/>
    </w:lvl>
  </w:abstractNum>
  <w:abstractNum w:abstractNumId="71">
    <w:nsid w:val="186928D6"/>
    <w:multiLevelType w:val="hybridMultilevel"/>
    <w:tmpl w:val="6DF01B6A"/>
    <w:lvl w:ilvl="0" w:tplc="011A92F6">
      <w:start w:val="1"/>
      <w:numFmt w:val="bullet"/>
      <w:lvlText w:val=""/>
      <w:lvlJc w:val="left"/>
    </w:lvl>
    <w:lvl w:ilvl="1" w:tplc="8E4EC7F2">
      <w:numFmt w:val="decimal"/>
      <w:lvlText w:val=""/>
      <w:lvlJc w:val="left"/>
    </w:lvl>
    <w:lvl w:ilvl="2" w:tplc="3AAC2928">
      <w:numFmt w:val="decimal"/>
      <w:lvlText w:val=""/>
      <w:lvlJc w:val="left"/>
    </w:lvl>
    <w:lvl w:ilvl="3" w:tplc="55227F2E">
      <w:numFmt w:val="decimal"/>
      <w:lvlText w:val=""/>
      <w:lvlJc w:val="left"/>
    </w:lvl>
    <w:lvl w:ilvl="4" w:tplc="6ED458E8">
      <w:numFmt w:val="decimal"/>
      <w:lvlText w:val=""/>
      <w:lvlJc w:val="left"/>
    </w:lvl>
    <w:lvl w:ilvl="5" w:tplc="4954AC74">
      <w:numFmt w:val="decimal"/>
      <w:lvlText w:val=""/>
      <w:lvlJc w:val="left"/>
    </w:lvl>
    <w:lvl w:ilvl="6" w:tplc="84D2F388">
      <w:numFmt w:val="decimal"/>
      <w:lvlText w:val=""/>
      <w:lvlJc w:val="left"/>
    </w:lvl>
    <w:lvl w:ilvl="7" w:tplc="4D5C366A">
      <w:numFmt w:val="decimal"/>
      <w:lvlText w:val=""/>
      <w:lvlJc w:val="left"/>
    </w:lvl>
    <w:lvl w:ilvl="8" w:tplc="08F2A908">
      <w:numFmt w:val="decimal"/>
      <w:lvlText w:val=""/>
      <w:lvlJc w:val="left"/>
    </w:lvl>
  </w:abstractNum>
  <w:abstractNum w:abstractNumId="72">
    <w:nsid w:val="1872261F"/>
    <w:multiLevelType w:val="hybridMultilevel"/>
    <w:tmpl w:val="E39EE156"/>
    <w:lvl w:ilvl="0" w:tplc="529A3006">
      <w:start w:val="81"/>
      <w:numFmt w:val="decimal"/>
      <w:lvlText w:val="%1"/>
      <w:lvlJc w:val="left"/>
    </w:lvl>
    <w:lvl w:ilvl="1" w:tplc="DB283A7C">
      <w:numFmt w:val="decimal"/>
      <w:lvlText w:val=""/>
      <w:lvlJc w:val="left"/>
    </w:lvl>
    <w:lvl w:ilvl="2" w:tplc="FD0431BA">
      <w:numFmt w:val="decimal"/>
      <w:lvlText w:val=""/>
      <w:lvlJc w:val="left"/>
    </w:lvl>
    <w:lvl w:ilvl="3" w:tplc="F9D86BB4">
      <w:numFmt w:val="decimal"/>
      <w:lvlText w:val=""/>
      <w:lvlJc w:val="left"/>
    </w:lvl>
    <w:lvl w:ilvl="4" w:tplc="3CC48556">
      <w:numFmt w:val="decimal"/>
      <w:lvlText w:val=""/>
      <w:lvlJc w:val="left"/>
    </w:lvl>
    <w:lvl w:ilvl="5" w:tplc="B5AC30E0">
      <w:numFmt w:val="decimal"/>
      <w:lvlText w:val=""/>
      <w:lvlJc w:val="left"/>
    </w:lvl>
    <w:lvl w:ilvl="6" w:tplc="8214BFAA">
      <w:numFmt w:val="decimal"/>
      <w:lvlText w:val=""/>
      <w:lvlJc w:val="left"/>
    </w:lvl>
    <w:lvl w:ilvl="7" w:tplc="61AA0E40">
      <w:numFmt w:val="decimal"/>
      <w:lvlText w:val=""/>
      <w:lvlJc w:val="left"/>
    </w:lvl>
    <w:lvl w:ilvl="8" w:tplc="F64A16FC">
      <w:numFmt w:val="decimal"/>
      <w:lvlText w:val=""/>
      <w:lvlJc w:val="left"/>
    </w:lvl>
  </w:abstractNum>
  <w:abstractNum w:abstractNumId="73">
    <w:nsid w:val="1873983A"/>
    <w:multiLevelType w:val="hybridMultilevel"/>
    <w:tmpl w:val="05B8D8CC"/>
    <w:lvl w:ilvl="0" w:tplc="91B2E7CA">
      <w:start w:val="2"/>
      <w:numFmt w:val="decimal"/>
      <w:lvlText w:val="%1"/>
      <w:lvlJc w:val="left"/>
    </w:lvl>
    <w:lvl w:ilvl="1" w:tplc="C3C61702">
      <w:numFmt w:val="decimal"/>
      <w:lvlText w:val=""/>
      <w:lvlJc w:val="left"/>
    </w:lvl>
    <w:lvl w:ilvl="2" w:tplc="053C4FFA">
      <w:numFmt w:val="decimal"/>
      <w:lvlText w:val=""/>
      <w:lvlJc w:val="left"/>
    </w:lvl>
    <w:lvl w:ilvl="3" w:tplc="A350CC7E">
      <w:numFmt w:val="decimal"/>
      <w:lvlText w:val=""/>
      <w:lvlJc w:val="left"/>
    </w:lvl>
    <w:lvl w:ilvl="4" w:tplc="B4C42FE0">
      <w:numFmt w:val="decimal"/>
      <w:lvlText w:val=""/>
      <w:lvlJc w:val="left"/>
    </w:lvl>
    <w:lvl w:ilvl="5" w:tplc="FA44CE0A">
      <w:numFmt w:val="decimal"/>
      <w:lvlText w:val=""/>
      <w:lvlJc w:val="left"/>
    </w:lvl>
    <w:lvl w:ilvl="6" w:tplc="F97EDDE6">
      <w:numFmt w:val="decimal"/>
      <w:lvlText w:val=""/>
      <w:lvlJc w:val="left"/>
    </w:lvl>
    <w:lvl w:ilvl="7" w:tplc="5900C2F4">
      <w:numFmt w:val="decimal"/>
      <w:lvlText w:val=""/>
      <w:lvlJc w:val="left"/>
    </w:lvl>
    <w:lvl w:ilvl="8" w:tplc="A2C04A44">
      <w:numFmt w:val="decimal"/>
      <w:lvlText w:val=""/>
      <w:lvlJc w:val="left"/>
    </w:lvl>
  </w:abstractNum>
  <w:abstractNum w:abstractNumId="74">
    <w:nsid w:val="1876589D"/>
    <w:multiLevelType w:val="hybridMultilevel"/>
    <w:tmpl w:val="DFB81D1E"/>
    <w:lvl w:ilvl="0" w:tplc="7E282704">
      <w:start w:val="15"/>
      <w:numFmt w:val="lowerLetter"/>
      <w:lvlText w:val="%1"/>
      <w:lvlJc w:val="left"/>
    </w:lvl>
    <w:lvl w:ilvl="1" w:tplc="3364E5E8">
      <w:numFmt w:val="decimal"/>
      <w:lvlText w:val=""/>
      <w:lvlJc w:val="left"/>
    </w:lvl>
    <w:lvl w:ilvl="2" w:tplc="B15A4384">
      <w:numFmt w:val="decimal"/>
      <w:lvlText w:val=""/>
      <w:lvlJc w:val="left"/>
    </w:lvl>
    <w:lvl w:ilvl="3" w:tplc="B2CCEB28">
      <w:numFmt w:val="decimal"/>
      <w:lvlText w:val=""/>
      <w:lvlJc w:val="left"/>
    </w:lvl>
    <w:lvl w:ilvl="4" w:tplc="F74EED2A">
      <w:numFmt w:val="decimal"/>
      <w:lvlText w:val=""/>
      <w:lvlJc w:val="left"/>
    </w:lvl>
    <w:lvl w:ilvl="5" w:tplc="E9D64CF0">
      <w:numFmt w:val="decimal"/>
      <w:lvlText w:val=""/>
      <w:lvlJc w:val="left"/>
    </w:lvl>
    <w:lvl w:ilvl="6" w:tplc="0E6A6D30">
      <w:numFmt w:val="decimal"/>
      <w:lvlText w:val=""/>
      <w:lvlJc w:val="left"/>
    </w:lvl>
    <w:lvl w:ilvl="7" w:tplc="2E74999C">
      <w:numFmt w:val="decimal"/>
      <w:lvlText w:val=""/>
      <w:lvlJc w:val="left"/>
    </w:lvl>
    <w:lvl w:ilvl="8" w:tplc="77F2E2D8">
      <w:numFmt w:val="decimal"/>
      <w:lvlText w:val=""/>
      <w:lvlJc w:val="left"/>
    </w:lvl>
  </w:abstractNum>
  <w:abstractNum w:abstractNumId="75">
    <w:nsid w:val="1958BD17"/>
    <w:multiLevelType w:val="hybridMultilevel"/>
    <w:tmpl w:val="41A4B474"/>
    <w:lvl w:ilvl="0" w:tplc="43F21192">
      <w:start w:val="1"/>
      <w:numFmt w:val="bullet"/>
      <w:lvlText w:val=""/>
      <w:lvlJc w:val="left"/>
    </w:lvl>
    <w:lvl w:ilvl="1" w:tplc="55728882">
      <w:numFmt w:val="decimal"/>
      <w:lvlText w:val=""/>
      <w:lvlJc w:val="left"/>
    </w:lvl>
    <w:lvl w:ilvl="2" w:tplc="899EFE2E">
      <w:numFmt w:val="decimal"/>
      <w:lvlText w:val=""/>
      <w:lvlJc w:val="left"/>
    </w:lvl>
    <w:lvl w:ilvl="3" w:tplc="E396788E">
      <w:numFmt w:val="decimal"/>
      <w:lvlText w:val=""/>
      <w:lvlJc w:val="left"/>
    </w:lvl>
    <w:lvl w:ilvl="4" w:tplc="57606588">
      <w:numFmt w:val="decimal"/>
      <w:lvlText w:val=""/>
      <w:lvlJc w:val="left"/>
    </w:lvl>
    <w:lvl w:ilvl="5" w:tplc="88221B94">
      <w:numFmt w:val="decimal"/>
      <w:lvlText w:val=""/>
      <w:lvlJc w:val="left"/>
    </w:lvl>
    <w:lvl w:ilvl="6" w:tplc="85E07F0E">
      <w:numFmt w:val="decimal"/>
      <w:lvlText w:val=""/>
      <w:lvlJc w:val="left"/>
    </w:lvl>
    <w:lvl w:ilvl="7" w:tplc="A09AAD30">
      <w:numFmt w:val="decimal"/>
      <w:lvlText w:val=""/>
      <w:lvlJc w:val="left"/>
    </w:lvl>
    <w:lvl w:ilvl="8" w:tplc="77567EA4">
      <w:numFmt w:val="decimal"/>
      <w:lvlText w:val=""/>
      <w:lvlJc w:val="left"/>
    </w:lvl>
  </w:abstractNum>
  <w:abstractNum w:abstractNumId="76">
    <w:nsid w:val="1978EBEB"/>
    <w:multiLevelType w:val="hybridMultilevel"/>
    <w:tmpl w:val="A0B6DEEE"/>
    <w:lvl w:ilvl="0" w:tplc="D0666982">
      <w:start w:val="15"/>
      <w:numFmt w:val="lowerLetter"/>
      <w:lvlText w:val="%1"/>
      <w:lvlJc w:val="left"/>
    </w:lvl>
    <w:lvl w:ilvl="1" w:tplc="3BDE0BB8">
      <w:numFmt w:val="decimal"/>
      <w:lvlText w:val=""/>
      <w:lvlJc w:val="left"/>
    </w:lvl>
    <w:lvl w:ilvl="2" w:tplc="11CAC156">
      <w:numFmt w:val="decimal"/>
      <w:lvlText w:val=""/>
      <w:lvlJc w:val="left"/>
    </w:lvl>
    <w:lvl w:ilvl="3" w:tplc="AEDCC4BA">
      <w:numFmt w:val="decimal"/>
      <w:lvlText w:val=""/>
      <w:lvlJc w:val="left"/>
    </w:lvl>
    <w:lvl w:ilvl="4" w:tplc="C5141088">
      <w:numFmt w:val="decimal"/>
      <w:lvlText w:val=""/>
      <w:lvlJc w:val="left"/>
    </w:lvl>
    <w:lvl w:ilvl="5" w:tplc="7A7E9500">
      <w:numFmt w:val="decimal"/>
      <w:lvlText w:val=""/>
      <w:lvlJc w:val="left"/>
    </w:lvl>
    <w:lvl w:ilvl="6" w:tplc="BE983FF8">
      <w:numFmt w:val="decimal"/>
      <w:lvlText w:val=""/>
      <w:lvlJc w:val="left"/>
    </w:lvl>
    <w:lvl w:ilvl="7" w:tplc="7242EFAA">
      <w:numFmt w:val="decimal"/>
      <w:lvlText w:val=""/>
      <w:lvlJc w:val="left"/>
    </w:lvl>
    <w:lvl w:ilvl="8" w:tplc="DCC053F4">
      <w:numFmt w:val="decimal"/>
      <w:lvlText w:val=""/>
      <w:lvlJc w:val="left"/>
    </w:lvl>
  </w:abstractNum>
  <w:abstractNum w:abstractNumId="77">
    <w:nsid w:val="19A52566"/>
    <w:multiLevelType w:val="hybridMultilevel"/>
    <w:tmpl w:val="43C8DFFC"/>
    <w:lvl w:ilvl="0" w:tplc="5BCC2048">
      <w:start w:val="1"/>
      <w:numFmt w:val="bullet"/>
      <w:lvlText w:val="«"/>
      <w:lvlJc w:val="left"/>
    </w:lvl>
    <w:lvl w:ilvl="1" w:tplc="D5BC0A68">
      <w:numFmt w:val="decimal"/>
      <w:lvlText w:val=""/>
      <w:lvlJc w:val="left"/>
    </w:lvl>
    <w:lvl w:ilvl="2" w:tplc="B6F429A0">
      <w:numFmt w:val="decimal"/>
      <w:lvlText w:val=""/>
      <w:lvlJc w:val="left"/>
    </w:lvl>
    <w:lvl w:ilvl="3" w:tplc="54D4B54E">
      <w:numFmt w:val="decimal"/>
      <w:lvlText w:val=""/>
      <w:lvlJc w:val="left"/>
    </w:lvl>
    <w:lvl w:ilvl="4" w:tplc="E6084992">
      <w:numFmt w:val="decimal"/>
      <w:lvlText w:val=""/>
      <w:lvlJc w:val="left"/>
    </w:lvl>
    <w:lvl w:ilvl="5" w:tplc="C8B690E6">
      <w:numFmt w:val="decimal"/>
      <w:lvlText w:val=""/>
      <w:lvlJc w:val="left"/>
    </w:lvl>
    <w:lvl w:ilvl="6" w:tplc="2CD0B284">
      <w:numFmt w:val="decimal"/>
      <w:lvlText w:val=""/>
      <w:lvlJc w:val="left"/>
    </w:lvl>
    <w:lvl w:ilvl="7" w:tplc="22847A6A">
      <w:numFmt w:val="decimal"/>
      <w:lvlText w:val=""/>
      <w:lvlJc w:val="left"/>
    </w:lvl>
    <w:lvl w:ilvl="8" w:tplc="99A84502">
      <w:numFmt w:val="decimal"/>
      <w:lvlText w:val=""/>
      <w:lvlJc w:val="left"/>
    </w:lvl>
  </w:abstractNum>
  <w:abstractNum w:abstractNumId="78">
    <w:nsid w:val="19B8A08E"/>
    <w:multiLevelType w:val="hybridMultilevel"/>
    <w:tmpl w:val="AACE4254"/>
    <w:lvl w:ilvl="0" w:tplc="FAB0F0F4">
      <w:start w:val="1"/>
      <w:numFmt w:val="bullet"/>
      <w:lvlText w:val=""/>
      <w:lvlJc w:val="left"/>
    </w:lvl>
    <w:lvl w:ilvl="1" w:tplc="7ED662E0">
      <w:numFmt w:val="decimal"/>
      <w:lvlText w:val=""/>
      <w:lvlJc w:val="left"/>
    </w:lvl>
    <w:lvl w:ilvl="2" w:tplc="906ABAFE">
      <w:numFmt w:val="decimal"/>
      <w:lvlText w:val=""/>
      <w:lvlJc w:val="left"/>
    </w:lvl>
    <w:lvl w:ilvl="3" w:tplc="19F2B6B0">
      <w:numFmt w:val="decimal"/>
      <w:lvlText w:val=""/>
      <w:lvlJc w:val="left"/>
    </w:lvl>
    <w:lvl w:ilvl="4" w:tplc="05DE9228">
      <w:numFmt w:val="decimal"/>
      <w:lvlText w:val=""/>
      <w:lvlJc w:val="left"/>
    </w:lvl>
    <w:lvl w:ilvl="5" w:tplc="A4969CC6">
      <w:numFmt w:val="decimal"/>
      <w:lvlText w:val=""/>
      <w:lvlJc w:val="left"/>
    </w:lvl>
    <w:lvl w:ilvl="6" w:tplc="092C326E">
      <w:numFmt w:val="decimal"/>
      <w:lvlText w:val=""/>
      <w:lvlJc w:val="left"/>
    </w:lvl>
    <w:lvl w:ilvl="7" w:tplc="171A8728">
      <w:numFmt w:val="decimal"/>
      <w:lvlText w:val=""/>
      <w:lvlJc w:val="left"/>
    </w:lvl>
    <w:lvl w:ilvl="8" w:tplc="70ECB03A">
      <w:numFmt w:val="decimal"/>
      <w:lvlText w:val=""/>
      <w:lvlJc w:val="left"/>
    </w:lvl>
  </w:abstractNum>
  <w:abstractNum w:abstractNumId="79">
    <w:nsid w:val="19FB2650"/>
    <w:multiLevelType w:val="hybridMultilevel"/>
    <w:tmpl w:val="637AC9CC"/>
    <w:lvl w:ilvl="0" w:tplc="4BD0F826">
      <w:start w:val="15"/>
      <w:numFmt w:val="lowerLetter"/>
      <w:lvlText w:val="%1"/>
      <w:lvlJc w:val="left"/>
    </w:lvl>
    <w:lvl w:ilvl="1" w:tplc="576AF2CC">
      <w:numFmt w:val="decimal"/>
      <w:lvlText w:val=""/>
      <w:lvlJc w:val="left"/>
    </w:lvl>
    <w:lvl w:ilvl="2" w:tplc="1754736A">
      <w:numFmt w:val="decimal"/>
      <w:lvlText w:val=""/>
      <w:lvlJc w:val="left"/>
    </w:lvl>
    <w:lvl w:ilvl="3" w:tplc="0414CACC">
      <w:numFmt w:val="decimal"/>
      <w:lvlText w:val=""/>
      <w:lvlJc w:val="left"/>
    </w:lvl>
    <w:lvl w:ilvl="4" w:tplc="B380B794">
      <w:numFmt w:val="decimal"/>
      <w:lvlText w:val=""/>
      <w:lvlJc w:val="left"/>
    </w:lvl>
    <w:lvl w:ilvl="5" w:tplc="6180DABA">
      <w:numFmt w:val="decimal"/>
      <w:lvlText w:val=""/>
      <w:lvlJc w:val="left"/>
    </w:lvl>
    <w:lvl w:ilvl="6" w:tplc="B7AEFD1C">
      <w:numFmt w:val="decimal"/>
      <w:lvlText w:val=""/>
      <w:lvlJc w:val="left"/>
    </w:lvl>
    <w:lvl w:ilvl="7" w:tplc="9D44A300">
      <w:numFmt w:val="decimal"/>
      <w:lvlText w:val=""/>
      <w:lvlJc w:val="left"/>
    </w:lvl>
    <w:lvl w:ilvl="8" w:tplc="BFEE811A">
      <w:numFmt w:val="decimal"/>
      <w:lvlText w:val=""/>
      <w:lvlJc w:val="left"/>
    </w:lvl>
  </w:abstractNum>
  <w:abstractNum w:abstractNumId="80">
    <w:nsid w:val="1A54D7BC"/>
    <w:multiLevelType w:val="hybridMultilevel"/>
    <w:tmpl w:val="9C2CDDE6"/>
    <w:lvl w:ilvl="0" w:tplc="6310DE52">
      <w:start w:val="1"/>
      <w:numFmt w:val="bullet"/>
      <w:lvlText w:val="à"/>
      <w:lvlJc w:val="left"/>
    </w:lvl>
    <w:lvl w:ilvl="1" w:tplc="863AD95C">
      <w:numFmt w:val="decimal"/>
      <w:lvlText w:val=""/>
      <w:lvlJc w:val="left"/>
    </w:lvl>
    <w:lvl w:ilvl="2" w:tplc="3104C65C">
      <w:numFmt w:val="decimal"/>
      <w:lvlText w:val=""/>
      <w:lvlJc w:val="left"/>
    </w:lvl>
    <w:lvl w:ilvl="3" w:tplc="72EA0286">
      <w:numFmt w:val="decimal"/>
      <w:lvlText w:val=""/>
      <w:lvlJc w:val="left"/>
    </w:lvl>
    <w:lvl w:ilvl="4" w:tplc="05BA32F4">
      <w:numFmt w:val="decimal"/>
      <w:lvlText w:val=""/>
      <w:lvlJc w:val="left"/>
    </w:lvl>
    <w:lvl w:ilvl="5" w:tplc="24A2C0AE">
      <w:numFmt w:val="decimal"/>
      <w:lvlText w:val=""/>
      <w:lvlJc w:val="left"/>
    </w:lvl>
    <w:lvl w:ilvl="6" w:tplc="5BDA1D6C">
      <w:numFmt w:val="decimal"/>
      <w:lvlText w:val=""/>
      <w:lvlJc w:val="left"/>
    </w:lvl>
    <w:lvl w:ilvl="7" w:tplc="030AED30">
      <w:numFmt w:val="decimal"/>
      <w:lvlText w:val=""/>
      <w:lvlJc w:val="left"/>
    </w:lvl>
    <w:lvl w:ilvl="8" w:tplc="066CA206">
      <w:numFmt w:val="decimal"/>
      <w:lvlText w:val=""/>
      <w:lvlJc w:val="left"/>
    </w:lvl>
  </w:abstractNum>
  <w:abstractNum w:abstractNumId="81">
    <w:nsid w:val="1AF7F0EA"/>
    <w:multiLevelType w:val="hybridMultilevel"/>
    <w:tmpl w:val="EA72AF3E"/>
    <w:lvl w:ilvl="0" w:tplc="51102618">
      <w:start w:val="1"/>
      <w:numFmt w:val="bullet"/>
      <w:lvlText w:val=""/>
      <w:lvlJc w:val="left"/>
    </w:lvl>
    <w:lvl w:ilvl="1" w:tplc="C194F92E">
      <w:numFmt w:val="decimal"/>
      <w:lvlText w:val=""/>
      <w:lvlJc w:val="left"/>
    </w:lvl>
    <w:lvl w:ilvl="2" w:tplc="0A6E860C">
      <w:numFmt w:val="decimal"/>
      <w:lvlText w:val=""/>
      <w:lvlJc w:val="left"/>
    </w:lvl>
    <w:lvl w:ilvl="3" w:tplc="0FC2D2AA">
      <w:numFmt w:val="decimal"/>
      <w:lvlText w:val=""/>
      <w:lvlJc w:val="left"/>
    </w:lvl>
    <w:lvl w:ilvl="4" w:tplc="823A5918">
      <w:numFmt w:val="decimal"/>
      <w:lvlText w:val=""/>
      <w:lvlJc w:val="left"/>
    </w:lvl>
    <w:lvl w:ilvl="5" w:tplc="824C2544">
      <w:numFmt w:val="decimal"/>
      <w:lvlText w:val=""/>
      <w:lvlJc w:val="left"/>
    </w:lvl>
    <w:lvl w:ilvl="6" w:tplc="E6840816">
      <w:numFmt w:val="decimal"/>
      <w:lvlText w:val=""/>
      <w:lvlJc w:val="left"/>
    </w:lvl>
    <w:lvl w:ilvl="7" w:tplc="88AA5338">
      <w:numFmt w:val="decimal"/>
      <w:lvlText w:val=""/>
      <w:lvlJc w:val="left"/>
    </w:lvl>
    <w:lvl w:ilvl="8" w:tplc="F7BEC2A6">
      <w:numFmt w:val="decimal"/>
      <w:lvlText w:val=""/>
      <w:lvlJc w:val="left"/>
    </w:lvl>
  </w:abstractNum>
  <w:abstractNum w:abstractNumId="82">
    <w:nsid w:val="1B7585AB"/>
    <w:multiLevelType w:val="hybridMultilevel"/>
    <w:tmpl w:val="087A909A"/>
    <w:lvl w:ilvl="0" w:tplc="E14808F2">
      <w:start w:val="1"/>
      <w:numFmt w:val="bullet"/>
      <w:lvlText w:val=""/>
      <w:lvlJc w:val="left"/>
    </w:lvl>
    <w:lvl w:ilvl="1" w:tplc="B1685320">
      <w:numFmt w:val="decimal"/>
      <w:lvlText w:val=""/>
      <w:lvlJc w:val="left"/>
    </w:lvl>
    <w:lvl w:ilvl="2" w:tplc="87B6EB68">
      <w:numFmt w:val="decimal"/>
      <w:lvlText w:val=""/>
      <w:lvlJc w:val="left"/>
    </w:lvl>
    <w:lvl w:ilvl="3" w:tplc="7460F06C">
      <w:numFmt w:val="decimal"/>
      <w:lvlText w:val=""/>
      <w:lvlJc w:val="left"/>
    </w:lvl>
    <w:lvl w:ilvl="4" w:tplc="E36A1048">
      <w:numFmt w:val="decimal"/>
      <w:lvlText w:val=""/>
      <w:lvlJc w:val="left"/>
    </w:lvl>
    <w:lvl w:ilvl="5" w:tplc="E32228D8">
      <w:numFmt w:val="decimal"/>
      <w:lvlText w:val=""/>
      <w:lvlJc w:val="left"/>
    </w:lvl>
    <w:lvl w:ilvl="6" w:tplc="72AA61DE">
      <w:numFmt w:val="decimal"/>
      <w:lvlText w:val=""/>
      <w:lvlJc w:val="left"/>
    </w:lvl>
    <w:lvl w:ilvl="7" w:tplc="065A04EA">
      <w:numFmt w:val="decimal"/>
      <w:lvlText w:val=""/>
      <w:lvlJc w:val="left"/>
    </w:lvl>
    <w:lvl w:ilvl="8" w:tplc="F95AB2BE">
      <w:numFmt w:val="decimal"/>
      <w:lvlText w:val=""/>
      <w:lvlJc w:val="left"/>
    </w:lvl>
  </w:abstractNum>
  <w:abstractNum w:abstractNumId="83">
    <w:nsid w:val="1C0CA67C"/>
    <w:multiLevelType w:val="hybridMultilevel"/>
    <w:tmpl w:val="3AD209EA"/>
    <w:lvl w:ilvl="0" w:tplc="9FCAA460">
      <w:start w:val="2"/>
      <w:numFmt w:val="decimal"/>
      <w:lvlText w:val="%1"/>
      <w:lvlJc w:val="left"/>
    </w:lvl>
    <w:lvl w:ilvl="1" w:tplc="5FE0AD32">
      <w:numFmt w:val="decimal"/>
      <w:lvlText w:val=""/>
      <w:lvlJc w:val="left"/>
    </w:lvl>
    <w:lvl w:ilvl="2" w:tplc="F93E693C">
      <w:numFmt w:val="decimal"/>
      <w:lvlText w:val=""/>
      <w:lvlJc w:val="left"/>
    </w:lvl>
    <w:lvl w:ilvl="3" w:tplc="8B3615CC">
      <w:numFmt w:val="decimal"/>
      <w:lvlText w:val=""/>
      <w:lvlJc w:val="left"/>
    </w:lvl>
    <w:lvl w:ilvl="4" w:tplc="A746B554">
      <w:numFmt w:val="decimal"/>
      <w:lvlText w:val=""/>
      <w:lvlJc w:val="left"/>
    </w:lvl>
    <w:lvl w:ilvl="5" w:tplc="F572A074">
      <w:numFmt w:val="decimal"/>
      <w:lvlText w:val=""/>
      <w:lvlJc w:val="left"/>
    </w:lvl>
    <w:lvl w:ilvl="6" w:tplc="04B84A46">
      <w:numFmt w:val="decimal"/>
      <w:lvlText w:val=""/>
      <w:lvlJc w:val="left"/>
    </w:lvl>
    <w:lvl w:ilvl="7" w:tplc="E5AEE4B2">
      <w:numFmt w:val="decimal"/>
      <w:lvlText w:val=""/>
      <w:lvlJc w:val="left"/>
    </w:lvl>
    <w:lvl w:ilvl="8" w:tplc="2F7C05FC">
      <w:numFmt w:val="decimal"/>
      <w:lvlText w:val=""/>
      <w:lvlJc w:val="left"/>
    </w:lvl>
  </w:abstractNum>
  <w:abstractNum w:abstractNumId="84">
    <w:nsid w:val="1C2201FF"/>
    <w:multiLevelType w:val="hybridMultilevel"/>
    <w:tmpl w:val="F230BFAC"/>
    <w:lvl w:ilvl="0" w:tplc="C3CACF5A">
      <w:start w:val="3"/>
      <w:numFmt w:val="decimal"/>
      <w:lvlText w:val="%1"/>
      <w:lvlJc w:val="left"/>
    </w:lvl>
    <w:lvl w:ilvl="1" w:tplc="2DC09126">
      <w:numFmt w:val="decimal"/>
      <w:lvlText w:val=""/>
      <w:lvlJc w:val="left"/>
    </w:lvl>
    <w:lvl w:ilvl="2" w:tplc="FBAA3A7C">
      <w:numFmt w:val="decimal"/>
      <w:lvlText w:val=""/>
      <w:lvlJc w:val="left"/>
    </w:lvl>
    <w:lvl w:ilvl="3" w:tplc="19647A06">
      <w:numFmt w:val="decimal"/>
      <w:lvlText w:val=""/>
      <w:lvlJc w:val="left"/>
    </w:lvl>
    <w:lvl w:ilvl="4" w:tplc="D3E80D40">
      <w:numFmt w:val="decimal"/>
      <w:lvlText w:val=""/>
      <w:lvlJc w:val="left"/>
    </w:lvl>
    <w:lvl w:ilvl="5" w:tplc="94DE7F7E">
      <w:numFmt w:val="decimal"/>
      <w:lvlText w:val=""/>
      <w:lvlJc w:val="left"/>
    </w:lvl>
    <w:lvl w:ilvl="6" w:tplc="74F43FC0">
      <w:numFmt w:val="decimal"/>
      <w:lvlText w:val=""/>
      <w:lvlJc w:val="left"/>
    </w:lvl>
    <w:lvl w:ilvl="7" w:tplc="2400670A">
      <w:numFmt w:val="decimal"/>
      <w:lvlText w:val=""/>
      <w:lvlJc w:val="left"/>
    </w:lvl>
    <w:lvl w:ilvl="8" w:tplc="7B0C0758">
      <w:numFmt w:val="decimal"/>
      <w:lvlText w:val=""/>
      <w:lvlJc w:val="left"/>
    </w:lvl>
  </w:abstractNum>
  <w:abstractNum w:abstractNumId="85">
    <w:nsid w:val="1C4A08EC"/>
    <w:multiLevelType w:val="hybridMultilevel"/>
    <w:tmpl w:val="54BC2EEE"/>
    <w:lvl w:ilvl="0" w:tplc="A532068C">
      <w:start w:val="2"/>
      <w:numFmt w:val="decimal"/>
      <w:lvlText w:val="%1"/>
      <w:lvlJc w:val="left"/>
    </w:lvl>
    <w:lvl w:ilvl="1" w:tplc="A2DE973A">
      <w:numFmt w:val="decimal"/>
      <w:lvlText w:val=""/>
      <w:lvlJc w:val="left"/>
    </w:lvl>
    <w:lvl w:ilvl="2" w:tplc="FCF02D40">
      <w:numFmt w:val="decimal"/>
      <w:lvlText w:val=""/>
      <w:lvlJc w:val="left"/>
    </w:lvl>
    <w:lvl w:ilvl="3" w:tplc="484CE078">
      <w:numFmt w:val="decimal"/>
      <w:lvlText w:val=""/>
      <w:lvlJc w:val="left"/>
    </w:lvl>
    <w:lvl w:ilvl="4" w:tplc="0290A756">
      <w:numFmt w:val="decimal"/>
      <w:lvlText w:val=""/>
      <w:lvlJc w:val="left"/>
    </w:lvl>
    <w:lvl w:ilvl="5" w:tplc="1A825AFA">
      <w:numFmt w:val="decimal"/>
      <w:lvlText w:val=""/>
      <w:lvlJc w:val="left"/>
    </w:lvl>
    <w:lvl w:ilvl="6" w:tplc="C0FE5466">
      <w:numFmt w:val="decimal"/>
      <w:lvlText w:val=""/>
      <w:lvlJc w:val="left"/>
    </w:lvl>
    <w:lvl w:ilvl="7" w:tplc="24CAD996">
      <w:numFmt w:val="decimal"/>
      <w:lvlText w:val=""/>
      <w:lvlJc w:val="left"/>
    </w:lvl>
    <w:lvl w:ilvl="8" w:tplc="E83E4B46">
      <w:numFmt w:val="decimal"/>
      <w:lvlText w:val=""/>
      <w:lvlJc w:val="left"/>
    </w:lvl>
  </w:abstractNum>
  <w:abstractNum w:abstractNumId="86">
    <w:nsid w:val="1C7E3C01"/>
    <w:multiLevelType w:val="hybridMultilevel"/>
    <w:tmpl w:val="AEC68CF2"/>
    <w:lvl w:ilvl="0" w:tplc="B0DA51C2">
      <w:start w:val="1"/>
      <w:numFmt w:val="bullet"/>
      <w:lvlText w:val="%"/>
      <w:lvlJc w:val="left"/>
    </w:lvl>
    <w:lvl w:ilvl="1" w:tplc="CE8C4ADE">
      <w:start w:val="1"/>
      <w:numFmt w:val="bullet"/>
      <w:lvlText w:val=""/>
      <w:lvlJc w:val="left"/>
    </w:lvl>
    <w:lvl w:ilvl="2" w:tplc="7416E82E">
      <w:numFmt w:val="decimal"/>
      <w:lvlText w:val=""/>
      <w:lvlJc w:val="left"/>
    </w:lvl>
    <w:lvl w:ilvl="3" w:tplc="EF0E7988">
      <w:numFmt w:val="decimal"/>
      <w:lvlText w:val=""/>
      <w:lvlJc w:val="left"/>
    </w:lvl>
    <w:lvl w:ilvl="4" w:tplc="F0B85764">
      <w:numFmt w:val="decimal"/>
      <w:lvlText w:val=""/>
      <w:lvlJc w:val="left"/>
    </w:lvl>
    <w:lvl w:ilvl="5" w:tplc="255EF31E">
      <w:numFmt w:val="decimal"/>
      <w:lvlText w:val=""/>
      <w:lvlJc w:val="left"/>
    </w:lvl>
    <w:lvl w:ilvl="6" w:tplc="63647056">
      <w:numFmt w:val="decimal"/>
      <w:lvlText w:val=""/>
      <w:lvlJc w:val="left"/>
    </w:lvl>
    <w:lvl w:ilvl="7" w:tplc="FEBC0A76">
      <w:numFmt w:val="decimal"/>
      <w:lvlText w:val=""/>
      <w:lvlJc w:val="left"/>
    </w:lvl>
    <w:lvl w:ilvl="8" w:tplc="B372D294">
      <w:numFmt w:val="decimal"/>
      <w:lvlText w:val=""/>
      <w:lvlJc w:val="left"/>
    </w:lvl>
  </w:abstractNum>
  <w:abstractNum w:abstractNumId="87">
    <w:nsid w:val="1CD484D5"/>
    <w:multiLevelType w:val="hybridMultilevel"/>
    <w:tmpl w:val="2CAA005A"/>
    <w:lvl w:ilvl="0" w:tplc="FE70D64E">
      <w:start w:val="3"/>
      <w:numFmt w:val="decimal"/>
      <w:lvlText w:val="%1"/>
      <w:lvlJc w:val="left"/>
    </w:lvl>
    <w:lvl w:ilvl="1" w:tplc="F15AD378">
      <w:numFmt w:val="decimal"/>
      <w:lvlText w:val=""/>
      <w:lvlJc w:val="left"/>
    </w:lvl>
    <w:lvl w:ilvl="2" w:tplc="41967330">
      <w:numFmt w:val="decimal"/>
      <w:lvlText w:val=""/>
      <w:lvlJc w:val="left"/>
    </w:lvl>
    <w:lvl w:ilvl="3" w:tplc="7F64C318">
      <w:numFmt w:val="decimal"/>
      <w:lvlText w:val=""/>
      <w:lvlJc w:val="left"/>
    </w:lvl>
    <w:lvl w:ilvl="4" w:tplc="F7ECDC58">
      <w:numFmt w:val="decimal"/>
      <w:lvlText w:val=""/>
      <w:lvlJc w:val="left"/>
    </w:lvl>
    <w:lvl w:ilvl="5" w:tplc="9A8C5526">
      <w:numFmt w:val="decimal"/>
      <w:lvlText w:val=""/>
      <w:lvlJc w:val="left"/>
    </w:lvl>
    <w:lvl w:ilvl="6" w:tplc="231688E4">
      <w:numFmt w:val="decimal"/>
      <w:lvlText w:val=""/>
      <w:lvlJc w:val="left"/>
    </w:lvl>
    <w:lvl w:ilvl="7" w:tplc="3E36063A">
      <w:numFmt w:val="decimal"/>
      <w:lvlText w:val=""/>
      <w:lvlJc w:val="left"/>
    </w:lvl>
    <w:lvl w:ilvl="8" w:tplc="38743DAE">
      <w:numFmt w:val="decimal"/>
      <w:lvlText w:val=""/>
      <w:lvlJc w:val="left"/>
    </w:lvl>
  </w:abstractNum>
  <w:abstractNum w:abstractNumId="88">
    <w:nsid w:val="1CDCE2DE"/>
    <w:multiLevelType w:val="hybridMultilevel"/>
    <w:tmpl w:val="4BDEF4DE"/>
    <w:lvl w:ilvl="0" w:tplc="A456F08E">
      <w:start w:val="1"/>
      <w:numFmt w:val="bullet"/>
      <w:lvlText w:val="-"/>
      <w:lvlJc w:val="left"/>
    </w:lvl>
    <w:lvl w:ilvl="1" w:tplc="11FAE30E">
      <w:numFmt w:val="decimal"/>
      <w:lvlText w:val=""/>
      <w:lvlJc w:val="left"/>
    </w:lvl>
    <w:lvl w:ilvl="2" w:tplc="0D92FBC0">
      <w:numFmt w:val="decimal"/>
      <w:lvlText w:val=""/>
      <w:lvlJc w:val="left"/>
    </w:lvl>
    <w:lvl w:ilvl="3" w:tplc="7E4824A2">
      <w:numFmt w:val="decimal"/>
      <w:lvlText w:val=""/>
      <w:lvlJc w:val="left"/>
    </w:lvl>
    <w:lvl w:ilvl="4" w:tplc="A120C990">
      <w:numFmt w:val="decimal"/>
      <w:lvlText w:val=""/>
      <w:lvlJc w:val="left"/>
    </w:lvl>
    <w:lvl w:ilvl="5" w:tplc="4206744A">
      <w:numFmt w:val="decimal"/>
      <w:lvlText w:val=""/>
      <w:lvlJc w:val="left"/>
    </w:lvl>
    <w:lvl w:ilvl="6" w:tplc="D28AB5C2">
      <w:numFmt w:val="decimal"/>
      <w:lvlText w:val=""/>
      <w:lvlJc w:val="left"/>
    </w:lvl>
    <w:lvl w:ilvl="7" w:tplc="515A7898">
      <w:numFmt w:val="decimal"/>
      <w:lvlText w:val=""/>
      <w:lvlJc w:val="left"/>
    </w:lvl>
    <w:lvl w:ilvl="8" w:tplc="BD501992">
      <w:numFmt w:val="decimal"/>
      <w:lvlText w:val=""/>
      <w:lvlJc w:val="left"/>
    </w:lvl>
  </w:abstractNum>
  <w:abstractNum w:abstractNumId="89">
    <w:nsid w:val="1D206B8E"/>
    <w:multiLevelType w:val="hybridMultilevel"/>
    <w:tmpl w:val="D7E8A16C"/>
    <w:lvl w:ilvl="0" w:tplc="27041F22">
      <w:start w:val="15"/>
      <w:numFmt w:val="lowerLetter"/>
      <w:lvlText w:val="%1"/>
      <w:lvlJc w:val="left"/>
    </w:lvl>
    <w:lvl w:ilvl="1" w:tplc="BCCEB95A">
      <w:numFmt w:val="decimal"/>
      <w:lvlText w:val=""/>
      <w:lvlJc w:val="left"/>
    </w:lvl>
    <w:lvl w:ilvl="2" w:tplc="272883F4">
      <w:numFmt w:val="decimal"/>
      <w:lvlText w:val=""/>
      <w:lvlJc w:val="left"/>
    </w:lvl>
    <w:lvl w:ilvl="3" w:tplc="CECCEE2C">
      <w:numFmt w:val="decimal"/>
      <w:lvlText w:val=""/>
      <w:lvlJc w:val="left"/>
    </w:lvl>
    <w:lvl w:ilvl="4" w:tplc="9F0E55A6">
      <w:numFmt w:val="decimal"/>
      <w:lvlText w:val=""/>
      <w:lvlJc w:val="left"/>
    </w:lvl>
    <w:lvl w:ilvl="5" w:tplc="25E672D6">
      <w:numFmt w:val="decimal"/>
      <w:lvlText w:val=""/>
      <w:lvlJc w:val="left"/>
    </w:lvl>
    <w:lvl w:ilvl="6" w:tplc="20C6BCF0">
      <w:numFmt w:val="decimal"/>
      <w:lvlText w:val=""/>
      <w:lvlJc w:val="left"/>
    </w:lvl>
    <w:lvl w:ilvl="7" w:tplc="B338058E">
      <w:numFmt w:val="decimal"/>
      <w:lvlText w:val=""/>
      <w:lvlJc w:val="left"/>
    </w:lvl>
    <w:lvl w:ilvl="8" w:tplc="86BA1F98">
      <w:numFmt w:val="decimal"/>
      <w:lvlText w:val=""/>
      <w:lvlJc w:val="left"/>
    </w:lvl>
  </w:abstractNum>
  <w:abstractNum w:abstractNumId="90">
    <w:nsid w:val="1D91467C"/>
    <w:multiLevelType w:val="hybridMultilevel"/>
    <w:tmpl w:val="5BCE65D8"/>
    <w:lvl w:ilvl="0" w:tplc="AC4203E2">
      <w:start w:val="15"/>
      <w:numFmt w:val="lowerLetter"/>
      <w:lvlText w:val="%1"/>
      <w:lvlJc w:val="left"/>
    </w:lvl>
    <w:lvl w:ilvl="1" w:tplc="4AAE4B32">
      <w:numFmt w:val="decimal"/>
      <w:lvlText w:val=""/>
      <w:lvlJc w:val="left"/>
    </w:lvl>
    <w:lvl w:ilvl="2" w:tplc="0EECC9F2">
      <w:numFmt w:val="decimal"/>
      <w:lvlText w:val=""/>
      <w:lvlJc w:val="left"/>
    </w:lvl>
    <w:lvl w:ilvl="3" w:tplc="04A811E0">
      <w:numFmt w:val="decimal"/>
      <w:lvlText w:val=""/>
      <w:lvlJc w:val="left"/>
    </w:lvl>
    <w:lvl w:ilvl="4" w:tplc="444C8BBA">
      <w:numFmt w:val="decimal"/>
      <w:lvlText w:val=""/>
      <w:lvlJc w:val="left"/>
    </w:lvl>
    <w:lvl w:ilvl="5" w:tplc="EFD68478">
      <w:numFmt w:val="decimal"/>
      <w:lvlText w:val=""/>
      <w:lvlJc w:val="left"/>
    </w:lvl>
    <w:lvl w:ilvl="6" w:tplc="61EAE7F8">
      <w:numFmt w:val="decimal"/>
      <w:lvlText w:val=""/>
      <w:lvlJc w:val="left"/>
    </w:lvl>
    <w:lvl w:ilvl="7" w:tplc="B62C4504">
      <w:numFmt w:val="decimal"/>
      <w:lvlText w:val=""/>
      <w:lvlJc w:val="left"/>
    </w:lvl>
    <w:lvl w:ilvl="8" w:tplc="F83CB194">
      <w:numFmt w:val="decimal"/>
      <w:lvlText w:val=""/>
      <w:lvlJc w:val="left"/>
    </w:lvl>
  </w:abstractNum>
  <w:abstractNum w:abstractNumId="91">
    <w:nsid w:val="1DD6D6F4"/>
    <w:multiLevelType w:val="hybridMultilevel"/>
    <w:tmpl w:val="911A2CAC"/>
    <w:lvl w:ilvl="0" w:tplc="4462F3F8">
      <w:start w:val="1"/>
      <w:numFmt w:val="bullet"/>
      <w:lvlText w:val=""/>
      <w:lvlJc w:val="left"/>
    </w:lvl>
    <w:lvl w:ilvl="1" w:tplc="2B9444D6">
      <w:numFmt w:val="decimal"/>
      <w:lvlText w:val=""/>
      <w:lvlJc w:val="left"/>
    </w:lvl>
    <w:lvl w:ilvl="2" w:tplc="2CD406F4">
      <w:numFmt w:val="decimal"/>
      <w:lvlText w:val=""/>
      <w:lvlJc w:val="left"/>
    </w:lvl>
    <w:lvl w:ilvl="3" w:tplc="391895AC">
      <w:numFmt w:val="decimal"/>
      <w:lvlText w:val=""/>
      <w:lvlJc w:val="left"/>
    </w:lvl>
    <w:lvl w:ilvl="4" w:tplc="5F0A7196">
      <w:numFmt w:val="decimal"/>
      <w:lvlText w:val=""/>
      <w:lvlJc w:val="left"/>
    </w:lvl>
    <w:lvl w:ilvl="5" w:tplc="0FB051C6">
      <w:numFmt w:val="decimal"/>
      <w:lvlText w:val=""/>
      <w:lvlJc w:val="left"/>
    </w:lvl>
    <w:lvl w:ilvl="6" w:tplc="A2DE8B40">
      <w:numFmt w:val="decimal"/>
      <w:lvlText w:val=""/>
      <w:lvlJc w:val="left"/>
    </w:lvl>
    <w:lvl w:ilvl="7" w:tplc="B4606E78">
      <w:numFmt w:val="decimal"/>
      <w:lvlText w:val=""/>
      <w:lvlJc w:val="left"/>
    </w:lvl>
    <w:lvl w:ilvl="8" w:tplc="659CA2C2">
      <w:numFmt w:val="decimal"/>
      <w:lvlText w:val=""/>
      <w:lvlJc w:val="left"/>
    </w:lvl>
  </w:abstractNum>
  <w:abstractNum w:abstractNumId="92">
    <w:nsid w:val="1DE8725A"/>
    <w:multiLevelType w:val="hybridMultilevel"/>
    <w:tmpl w:val="91E6BE3E"/>
    <w:lvl w:ilvl="0" w:tplc="0BC4DF84">
      <w:start w:val="6"/>
      <w:numFmt w:val="decimal"/>
      <w:lvlText w:val="%1"/>
      <w:lvlJc w:val="left"/>
    </w:lvl>
    <w:lvl w:ilvl="1" w:tplc="619E5308">
      <w:numFmt w:val="decimal"/>
      <w:lvlText w:val=""/>
      <w:lvlJc w:val="left"/>
    </w:lvl>
    <w:lvl w:ilvl="2" w:tplc="C3BA6FFA">
      <w:numFmt w:val="decimal"/>
      <w:lvlText w:val=""/>
      <w:lvlJc w:val="left"/>
    </w:lvl>
    <w:lvl w:ilvl="3" w:tplc="5B9A7F30">
      <w:numFmt w:val="decimal"/>
      <w:lvlText w:val=""/>
      <w:lvlJc w:val="left"/>
    </w:lvl>
    <w:lvl w:ilvl="4" w:tplc="B6A2D938">
      <w:numFmt w:val="decimal"/>
      <w:lvlText w:val=""/>
      <w:lvlJc w:val="left"/>
    </w:lvl>
    <w:lvl w:ilvl="5" w:tplc="FB06C170">
      <w:numFmt w:val="decimal"/>
      <w:lvlText w:val=""/>
      <w:lvlJc w:val="left"/>
    </w:lvl>
    <w:lvl w:ilvl="6" w:tplc="77A8CBA6">
      <w:numFmt w:val="decimal"/>
      <w:lvlText w:val=""/>
      <w:lvlJc w:val="left"/>
    </w:lvl>
    <w:lvl w:ilvl="7" w:tplc="2A9019BA">
      <w:numFmt w:val="decimal"/>
      <w:lvlText w:val=""/>
      <w:lvlJc w:val="left"/>
    </w:lvl>
    <w:lvl w:ilvl="8" w:tplc="3B1E7264">
      <w:numFmt w:val="decimal"/>
      <w:lvlText w:val=""/>
      <w:lvlJc w:val="left"/>
    </w:lvl>
  </w:abstractNum>
  <w:abstractNum w:abstractNumId="93">
    <w:nsid w:val="1EA21031"/>
    <w:multiLevelType w:val="hybridMultilevel"/>
    <w:tmpl w:val="E6F011B8"/>
    <w:lvl w:ilvl="0" w:tplc="24A09AAA">
      <w:start w:val="3"/>
      <w:numFmt w:val="decimal"/>
      <w:lvlText w:val="%1"/>
      <w:lvlJc w:val="left"/>
    </w:lvl>
    <w:lvl w:ilvl="1" w:tplc="1C52EADA">
      <w:numFmt w:val="decimal"/>
      <w:lvlText w:val=""/>
      <w:lvlJc w:val="left"/>
    </w:lvl>
    <w:lvl w:ilvl="2" w:tplc="673CE994">
      <w:numFmt w:val="decimal"/>
      <w:lvlText w:val=""/>
      <w:lvlJc w:val="left"/>
    </w:lvl>
    <w:lvl w:ilvl="3" w:tplc="81A29BB0">
      <w:numFmt w:val="decimal"/>
      <w:lvlText w:val=""/>
      <w:lvlJc w:val="left"/>
    </w:lvl>
    <w:lvl w:ilvl="4" w:tplc="376465DE">
      <w:numFmt w:val="decimal"/>
      <w:lvlText w:val=""/>
      <w:lvlJc w:val="left"/>
    </w:lvl>
    <w:lvl w:ilvl="5" w:tplc="6568C7BA">
      <w:numFmt w:val="decimal"/>
      <w:lvlText w:val=""/>
      <w:lvlJc w:val="left"/>
    </w:lvl>
    <w:lvl w:ilvl="6" w:tplc="AA38A344">
      <w:numFmt w:val="decimal"/>
      <w:lvlText w:val=""/>
      <w:lvlJc w:val="left"/>
    </w:lvl>
    <w:lvl w:ilvl="7" w:tplc="F41687DA">
      <w:numFmt w:val="decimal"/>
      <w:lvlText w:val=""/>
      <w:lvlJc w:val="left"/>
    </w:lvl>
    <w:lvl w:ilvl="8" w:tplc="3110C3F4">
      <w:numFmt w:val="decimal"/>
      <w:lvlText w:val=""/>
      <w:lvlJc w:val="left"/>
    </w:lvl>
  </w:abstractNum>
  <w:abstractNum w:abstractNumId="94">
    <w:nsid w:val="1F0E5D0D"/>
    <w:multiLevelType w:val="hybridMultilevel"/>
    <w:tmpl w:val="3C364720"/>
    <w:lvl w:ilvl="0" w:tplc="EC6A2E00">
      <w:start w:val="2"/>
      <w:numFmt w:val="decimal"/>
      <w:lvlText w:val="%1"/>
      <w:lvlJc w:val="left"/>
    </w:lvl>
    <w:lvl w:ilvl="1" w:tplc="062E7D98">
      <w:numFmt w:val="decimal"/>
      <w:lvlText w:val=""/>
      <w:lvlJc w:val="left"/>
    </w:lvl>
    <w:lvl w:ilvl="2" w:tplc="B71A1100">
      <w:numFmt w:val="decimal"/>
      <w:lvlText w:val=""/>
      <w:lvlJc w:val="left"/>
    </w:lvl>
    <w:lvl w:ilvl="3" w:tplc="A8A40EE4">
      <w:numFmt w:val="decimal"/>
      <w:lvlText w:val=""/>
      <w:lvlJc w:val="left"/>
    </w:lvl>
    <w:lvl w:ilvl="4" w:tplc="B2804FC4">
      <w:numFmt w:val="decimal"/>
      <w:lvlText w:val=""/>
      <w:lvlJc w:val="left"/>
    </w:lvl>
    <w:lvl w:ilvl="5" w:tplc="8642238A">
      <w:numFmt w:val="decimal"/>
      <w:lvlText w:val=""/>
      <w:lvlJc w:val="left"/>
    </w:lvl>
    <w:lvl w:ilvl="6" w:tplc="C4769C02">
      <w:numFmt w:val="decimal"/>
      <w:lvlText w:val=""/>
      <w:lvlJc w:val="left"/>
    </w:lvl>
    <w:lvl w:ilvl="7" w:tplc="9F0AC314">
      <w:numFmt w:val="decimal"/>
      <w:lvlText w:val=""/>
      <w:lvlJc w:val="left"/>
    </w:lvl>
    <w:lvl w:ilvl="8" w:tplc="60588B4A">
      <w:numFmt w:val="decimal"/>
      <w:lvlText w:val=""/>
      <w:lvlJc w:val="left"/>
    </w:lvl>
  </w:abstractNum>
  <w:abstractNum w:abstractNumId="95">
    <w:nsid w:val="1F3DA4D5"/>
    <w:multiLevelType w:val="hybridMultilevel"/>
    <w:tmpl w:val="BC1E7CAA"/>
    <w:lvl w:ilvl="0" w:tplc="FC5635C2">
      <w:start w:val="1"/>
      <w:numFmt w:val="decimal"/>
      <w:lvlText w:val="%1."/>
      <w:lvlJc w:val="left"/>
    </w:lvl>
    <w:lvl w:ilvl="1" w:tplc="CAC460A6">
      <w:numFmt w:val="decimal"/>
      <w:lvlText w:val=""/>
      <w:lvlJc w:val="left"/>
    </w:lvl>
    <w:lvl w:ilvl="2" w:tplc="593A5E3A">
      <w:numFmt w:val="decimal"/>
      <w:lvlText w:val=""/>
      <w:lvlJc w:val="left"/>
    </w:lvl>
    <w:lvl w:ilvl="3" w:tplc="6BAE74E4">
      <w:numFmt w:val="decimal"/>
      <w:lvlText w:val=""/>
      <w:lvlJc w:val="left"/>
    </w:lvl>
    <w:lvl w:ilvl="4" w:tplc="C05E54B8">
      <w:numFmt w:val="decimal"/>
      <w:lvlText w:val=""/>
      <w:lvlJc w:val="left"/>
    </w:lvl>
    <w:lvl w:ilvl="5" w:tplc="7BC238F4">
      <w:numFmt w:val="decimal"/>
      <w:lvlText w:val=""/>
      <w:lvlJc w:val="left"/>
    </w:lvl>
    <w:lvl w:ilvl="6" w:tplc="569C02FA">
      <w:numFmt w:val="decimal"/>
      <w:lvlText w:val=""/>
      <w:lvlJc w:val="left"/>
    </w:lvl>
    <w:lvl w:ilvl="7" w:tplc="8BD049E4">
      <w:numFmt w:val="decimal"/>
      <w:lvlText w:val=""/>
      <w:lvlJc w:val="left"/>
    </w:lvl>
    <w:lvl w:ilvl="8" w:tplc="00760BB4">
      <w:numFmt w:val="decimal"/>
      <w:lvlText w:val=""/>
      <w:lvlJc w:val="left"/>
    </w:lvl>
  </w:abstractNum>
  <w:abstractNum w:abstractNumId="96">
    <w:nsid w:val="1F404301"/>
    <w:multiLevelType w:val="hybridMultilevel"/>
    <w:tmpl w:val="5DFE77B0"/>
    <w:lvl w:ilvl="0" w:tplc="2B48F320">
      <w:start w:val="7"/>
      <w:numFmt w:val="decimal"/>
      <w:lvlText w:val="%1"/>
      <w:lvlJc w:val="left"/>
    </w:lvl>
    <w:lvl w:ilvl="1" w:tplc="B288AEAA">
      <w:numFmt w:val="decimal"/>
      <w:lvlText w:val=""/>
      <w:lvlJc w:val="left"/>
    </w:lvl>
    <w:lvl w:ilvl="2" w:tplc="4F8C3A8E">
      <w:numFmt w:val="decimal"/>
      <w:lvlText w:val=""/>
      <w:lvlJc w:val="left"/>
    </w:lvl>
    <w:lvl w:ilvl="3" w:tplc="B7FA7682">
      <w:numFmt w:val="decimal"/>
      <w:lvlText w:val=""/>
      <w:lvlJc w:val="left"/>
    </w:lvl>
    <w:lvl w:ilvl="4" w:tplc="C9CAF462">
      <w:numFmt w:val="decimal"/>
      <w:lvlText w:val=""/>
      <w:lvlJc w:val="left"/>
    </w:lvl>
    <w:lvl w:ilvl="5" w:tplc="D700C2E6">
      <w:numFmt w:val="decimal"/>
      <w:lvlText w:val=""/>
      <w:lvlJc w:val="left"/>
    </w:lvl>
    <w:lvl w:ilvl="6" w:tplc="9560F720">
      <w:numFmt w:val="decimal"/>
      <w:lvlText w:val=""/>
      <w:lvlJc w:val="left"/>
    </w:lvl>
    <w:lvl w:ilvl="7" w:tplc="24FC3616">
      <w:numFmt w:val="decimal"/>
      <w:lvlText w:val=""/>
      <w:lvlJc w:val="left"/>
    </w:lvl>
    <w:lvl w:ilvl="8" w:tplc="7054E0D0">
      <w:numFmt w:val="decimal"/>
      <w:lvlText w:val=""/>
      <w:lvlJc w:val="left"/>
    </w:lvl>
  </w:abstractNum>
  <w:abstractNum w:abstractNumId="97">
    <w:nsid w:val="1F578454"/>
    <w:multiLevelType w:val="hybridMultilevel"/>
    <w:tmpl w:val="0D444A40"/>
    <w:lvl w:ilvl="0" w:tplc="E090B45C">
      <w:start w:val="22"/>
      <w:numFmt w:val="decimal"/>
      <w:lvlText w:val="%1"/>
      <w:lvlJc w:val="left"/>
    </w:lvl>
    <w:lvl w:ilvl="1" w:tplc="C0BEBB30">
      <w:numFmt w:val="decimal"/>
      <w:lvlText w:val=""/>
      <w:lvlJc w:val="left"/>
    </w:lvl>
    <w:lvl w:ilvl="2" w:tplc="95E036EE">
      <w:numFmt w:val="decimal"/>
      <w:lvlText w:val=""/>
      <w:lvlJc w:val="left"/>
    </w:lvl>
    <w:lvl w:ilvl="3" w:tplc="A162C352">
      <w:numFmt w:val="decimal"/>
      <w:lvlText w:val=""/>
      <w:lvlJc w:val="left"/>
    </w:lvl>
    <w:lvl w:ilvl="4" w:tplc="D7A2E16A">
      <w:numFmt w:val="decimal"/>
      <w:lvlText w:val=""/>
      <w:lvlJc w:val="left"/>
    </w:lvl>
    <w:lvl w:ilvl="5" w:tplc="24E4A85A">
      <w:numFmt w:val="decimal"/>
      <w:lvlText w:val=""/>
      <w:lvlJc w:val="left"/>
    </w:lvl>
    <w:lvl w:ilvl="6" w:tplc="32287F5C">
      <w:numFmt w:val="decimal"/>
      <w:lvlText w:val=""/>
      <w:lvlJc w:val="left"/>
    </w:lvl>
    <w:lvl w:ilvl="7" w:tplc="5BB0E8BC">
      <w:numFmt w:val="decimal"/>
      <w:lvlText w:val=""/>
      <w:lvlJc w:val="left"/>
    </w:lvl>
    <w:lvl w:ilvl="8" w:tplc="1284D664">
      <w:numFmt w:val="decimal"/>
      <w:lvlText w:val=""/>
      <w:lvlJc w:val="left"/>
    </w:lvl>
  </w:abstractNum>
  <w:abstractNum w:abstractNumId="98">
    <w:nsid w:val="1F9EC322"/>
    <w:multiLevelType w:val="hybridMultilevel"/>
    <w:tmpl w:val="520CECB0"/>
    <w:lvl w:ilvl="0" w:tplc="B352CF48">
      <w:start w:val="1"/>
      <w:numFmt w:val="bullet"/>
      <w:lvlText w:val=""/>
      <w:lvlJc w:val="left"/>
    </w:lvl>
    <w:lvl w:ilvl="1" w:tplc="BAB4340C">
      <w:start w:val="15"/>
      <w:numFmt w:val="lowerLetter"/>
      <w:lvlText w:val="%2"/>
      <w:lvlJc w:val="left"/>
    </w:lvl>
    <w:lvl w:ilvl="2" w:tplc="39524680">
      <w:numFmt w:val="decimal"/>
      <w:lvlText w:val=""/>
      <w:lvlJc w:val="left"/>
    </w:lvl>
    <w:lvl w:ilvl="3" w:tplc="072ECEFA">
      <w:numFmt w:val="decimal"/>
      <w:lvlText w:val=""/>
      <w:lvlJc w:val="left"/>
    </w:lvl>
    <w:lvl w:ilvl="4" w:tplc="C526CD92">
      <w:numFmt w:val="decimal"/>
      <w:lvlText w:val=""/>
      <w:lvlJc w:val="left"/>
    </w:lvl>
    <w:lvl w:ilvl="5" w:tplc="F578B6CE">
      <w:numFmt w:val="decimal"/>
      <w:lvlText w:val=""/>
      <w:lvlJc w:val="left"/>
    </w:lvl>
    <w:lvl w:ilvl="6" w:tplc="87D695C6">
      <w:numFmt w:val="decimal"/>
      <w:lvlText w:val=""/>
      <w:lvlJc w:val="left"/>
    </w:lvl>
    <w:lvl w:ilvl="7" w:tplc="4D24F1AC">
      <w:numFmt w:val="decimal"/>
      <w:lvlText w:val=""/>
      <w:lvlJc w:val="left"/>
    </w:lvl>
    <w:lvl w:ilvl="8" w:tplc="0D640170">
      <w:numFmt w:val="decimal"/>
      <w:lvlText w:val=""/>
      <w:lvlJc w:val="left"/>
    </w:lvl>
  </w:abstractNum>
  <w:abstractNum w:abstractNumId="99">
    <w:nsid w:val="2006E424"/>
    <w:multiLevelType w:val="hybridMultilevel"/>
    <w:tmpl w:val="59C8E9F2"/>
    <w:lvl w:ilvl="0" w:tplc="71FE8198">
      <w:start w:val="1"/>
      <w:numFmt w:val="bullet"/>
      <w:lvlText w:val="-"/>
      <w:lvlJc w:val="left"/>
    </w:lvl>
    <w:lvl w:ilvl="1" w:tplc="15F00A64">
      <w:numFmt w:val="decimal"/>
      <w:lvlText w:val=""/>
      <w:lvlJc w:val="left"/>
    </w:lvl>
    <w:lvl w:ilvl="2" w:tplc="ECA297CC">
      <w:numFmt w:val="decimal"/>
      <w:lvlText w:val=""/>
      <w:lvlJc w:val="left"/>
    </w:lvl>
    <w:lvl w:ilvl="3" w:tplc="00DC74DA">
      <w:numFmt w:val="decimal"/>
      <w:lvlText w:val=""/>
      <w:lvlJc w:val="left"/>
    </w:lvl>
    <w:lvl w:ilvl="4" w:tplc="530ECBBA">
      <w:numFmt w:val="decimal"/>
      <w:lvlText w:val=""/>
      <w:lvlJc w:val="left"/>
    </w:lvl>
    <w:lvl w:ilvl="5" w:tplc="2D0C7E24">
      <w:numFmt w:val="decimal"/>
      <w:lvlText w:val=""/>
      <w:lvlJc w:val="left"/>
    </w:lvl>
    <w:lvl w:ilvl="6" w:tplc="9A9CDF48">
      <w:numFmt w:val="decimal"/>
      <w:lvlText w:val=""/>
      <w:lvlJc w:val="left"/>
    </w:lvl>
    <w:lvl w:ilvl="7" w:tplc="4FFC07FE">
      <w:numFmt w:val="decimal"/>
      <w:lvlText w:val=""/>
      <w:lvlJc w:val="left"/>
    </w:lvl>
    <w:lvl w:ilvl="8" w:tplc="F2960FDA">
      <w:numFmt w:val="decimal"/>
      <w:lvlText w:val=""/>
      <w:lvlJc w:val="left"/>
    </w:lvl>
  </w:abstractNum>
  <w:abstractNum w:abstractNumId="100">
    <w:nsid w:val="20CC134C"/>
    <w:multiLevelType w:val="hybridMultilevel"/>
    <w:tmpl w:val="7284C59C"/>
    <w:lvl w:ilvl="0" w:tplc="A328B214">
      <w:start w:val="1"/>
      <w:numFmt w:val="bullet"/>
      <w:lvlText w:val="«"/>
      <w:lvlJc w:val="left"/>
    </w:lvl>
    <w:lvl w:ilvl="1" w:tplc="498CE01C">
      <w:numFmt w:val="decimal"/>
      <w:lvlText w:val=""/>
      <w:lvlJc w:val="left"/>
    </w:lvl>
    <w:lvl w:ilvl="2" w:tplc="349E0552">
      <w:numFmt w:val="decimal"/>
      <w:lvlText w:val=""/>
      <w:lvlJc w:val="left"/>
    </w:lvl>
    <w:lvl w:ilvl="3" w:tplc="806884E0">
      <w:numFmt w:val="decimal"/>
      <w:lvlText w:val=""/>
      <w:lvlJc w:val="left"/>
    </w:lvl>
    <w:lvl w:ilvl="4" w:tplc="2AE29464">
      <w:numFmt w:val="decimal"/>
      <w:lvlText w:val=""/>
      <w:lvlJc w:val="left"/>
    </w:lvl>
    <w:lvl w:ilvl="5" w:tplc="6B169618">
      <w:numFmt w:val="decimal"/>
      <w:lvlText w:val=""/>
      <w:lvlJc w:val="left"/>
    </w:lvl>
    <w:lvl w:ilvl="6" w:tplc="7B804FDC">
      <w:numFmt w:val="decimal"/>
      <w:lvlText w:val=""/>
      <w:lvlJc w:val="left"/>
    </w:lvl>
    <w:lvl w:ilvl="7" w:tplc="28C69210">
      <w:numFmt w:val="decimal"/>
      <w:lvlText w:val=""/>
      <w:lvlJc w:val="left"/>
    </w:lvl>
    <w:lvl w:ilvl="8" w:tplc="12F2536C">
      <w:numFmt w:val="decimal"/>
      <w:lvlText w:val=""/>
      <w:lvlJc w:val="left"/>
    </w:lvl>
  </w:abstractNum>
  <w:abstractNum w:abstractNumId="101">
    <w:nsid w:val="20E45CA4"/>
    <w:multiLevelType w:val="hybridMultilevel"/>
    <w:tmpl w:val="488A4CE8"/>
    <w:lvl w:ilvl="0" w:tplc="E4C4F42C">
      <w:start w:val="1"/>
      <w:numFmt w:val="bullet"/>
      <w:lvlText w:val=""/>
      <w:lvlJc w:val="left"/>
    </w:lvl>
    <w:lvl w:ilvl="1" w:tplc="07E892E4">
      <w:start w:val="1"/>
      <w:numFmt w:val="bullet"/>
      <w:lvlText w:val=""/>
      <w:lvlJc w:val="left"/>
    </w:lvl>
    <w:lvl w:ilvl="2" w:tplc="AFBEA74E">
      <w:start w:val="1"/>
      <w:numFmt w:val="bullet"/>
      <w:lvlText w:val=""/>
      <w:lvlJc w:val="left"/>
    </w:lvl>
    <w:lvl w:ilvl="3" w:tplc="D618D5EC">
      <w:numFmt w:val="decimal"/>
      <w:lvlText w:val=""/>
      <w:lvlJc w:val="left"/>
    </w:lvl>
    <w:lvl w:ilvl="4" w:tplc="7EA645DE">
      <w:numFmt w:val="decimal"/>
      <w:lvlText w:val=""/>
      <w:lvlJc w:val="left"/>
    </w:lvl>
    <w:lvl w:ilvl="5" w:tplc="E686411E">
      <w:numFmt w:val="decimal"/>
      <w:lvlText w:val=""/>
      <w:lvlJc w:val="left"/>
    </w:lvl>
    <w:lvl w:ilvl="6" w:tplc="7C484560">
      <w:numFmt w:val="decimal"/>
      <w:lvlText w:val=""/>
      <w:lvlJc w:val="left"/>
    </w:lvl>
    <w:lvl w:ilvl="7" w:tplc="CFAA2700">
      <w:numFmt w:val="decimal"/>
      <w:lvlText w:val=""/>
      <w:lvlJc w:val="left"/>
    </w:lvl>
    <w:lvl w:ilvl="8" w:tplc="A47E25E8">
      <w:numFmt w:val="decimal"/>
      <w:lvlText w:val=""/>
      <w:lvlJc w:val="left"/>
    </w:lvl>
  </w:abstractNum>
  <w:abstractNum w:abstractNumId="102">
    <w:nsid w:val="20F4BDAD"/>
    <w:multiLevelType w:val="hybridMultilevel"/>
    <w:tmpl w:val="D2F0BEBE"/>
    <w:lvl w:ilvl="0" w:tplc="04B4E630">
      <w:start w:val="4"/>
      <w:numFmt w:val="decimal"/>
      <w:lvlText w:val="%1"/>
      <w:lvlJc w:val="left"/>
    </w:lvl>
    <w:lvl w:ilvl="1" w:tplc="7BBAECBA">
      <w:numFmt w:val="decimal"/>
      <w:lvlText w:val=""/>
      <w:lvlJc w:val="left"/>
    </w:lvl>
    <w:lvl w:ilvl="2" w:tplc="43441474">
      <w:numFmt w:val="decimal"/>
      <w:lvlText w:val=""/>
      <w:lvlJc w:val="left"/>
    </w:lvl>
    <w:lvl w:ilvl="3" w:tplc="07B88390">
      <w:numFmt w:val="decimal"/>
      <w:lvlText w:val=""/>
      <w:lvlJc w:val="left"/>
    </w:lvl>
    <w:lvl w:ilvl="4" w:tplc="AE56845A">
      <w:numFmt w:val="decimal"/>
      <w:lvlText w:val=""/>
      <w:lvlJc w:val="left"/>
    </w:lvl>
    <w:lvl w:ilvl="5" w:tplc="D8500124">
      <w:numFmt w:val="decimal"/>
      <w:lvlText w:val=""/>
      <w:lvlJc w:val="left"/>
    </w:lvl>
    <w:lvl w:ilvl="6" w:tplc="1A5A4C60">
      <w:numFmt w:val="decimal"/>
      <w:lvlText w:val=""/>
      <w:lvlJc w:val="left"/>
    </w:lvl>
    <w:lvl w:ilvl="7" w:tplc="7F4E7A16">
      <w:numFmt w:val="decimal"/>
      <w:lvlText w:val=""/>
      <w:lvlJc w:val="left"/>
    </w:lvl>
    <w:lvl w:ilvl="8" w:tplc="0F4E73AC">
      <w:numFmt w:val="decimal"/>
      <w:lvlText w:val=""/>
      <w:lvlJc w:val="left"/>
    </w:lvl>
  </w:abstractNum>
  <w:abstractNum w:abstractNumId="103">
    <w:nsid w:val="20F88EA6"/>
    <w:multiLevelType w:val="hybridMultilevel"/>
    <w:tmpl w:val="1E7E3A42"/>
    <w:lvl w:ilvl="0" w:tplc="4BE87710">
      <w:start w:val="6"/>
      <w:numFmt w:val="decimal"/>
      <w:lvlText w:val="%1"/>
      <w:lvlJc w:val="left"/>
    </w:lvl>
    <w:lvl w:ilvl="1" w:tplc="12047A2E">
      <w:numFmt w:val="decimal"/>
      <w:lvlText w:val=""/>
      <w:lvlJc w:val="left"/>
    </w:lvl>
    <w:lvl w:ilvl="2" w:tplc="A4608B72">
      <w:numFmt w:val="decimal"/>
      <w:lvlText w:val=""/>
      <w:lvlJc w:val="left"/>
    </w:lvl>
    <w:lvl w:ilvl="3" w:tplc="1416F3EC">
      <w:numFmt w:val="decimal"/>
      <w:lvlText w:val=""/>
      <w:lvlJc w:val="left"/>
    </w:lvl>
    <w:lvl w:ilvl="4" w:tplc="4502C686">
      <w:numFmt w:val="decimal"/>
      <w:lvlText w:val=""/>
      <w:lvlJc w:val="left"/>
    </w:lvl>
    <w:lvl w:ilvl="5" w:tplc="A7BC5128">
      <w:numFmt w:val="decimal"/>
      <w:lvlText w:val=""/>
      <w:lvlJc w:val="left"/>
    </w:lvl>
    <w:lvl w:ilvl="6" w:tplc="E4FE6A2A">
      <w:numFmt w:val="decimal"/>
      <w:lvlText w:val=""/>
      <w:lvlJc w:val="left"/>
    </w:lvl>
    <w:lvl w:ilvl="7" w:tplc="6FA0C378">
      <w:numFmt w:val="decimal"/>
      <w:lvlText w:val=""/>
      <w:lvlJc w:val="left"/>
    </w:lvl>
    <w:lvl w:ilvl="8" w:tplc="5B207276">
      <w:numFmt w:val="decimal"/>
      <w:lvlText w:val=""/>
      <w:lvlJc w:val="left"/>
    </w:lvl>
  </w:abstractNum>
  <w:abstractNum w:abstractNumId="104">
    <w:nsid w:val="2109CDA4"/>
    <w:multiLevelType w:val="hybridMultilevel"/>
    <w:tmpl w:val="5832D8C8"/>
    <w:lvl w:ilvl="0" w:tplc="F48EA932">
      <w:start w:val="1"/>
      <w:numFmt w:val="bullet"/>
      <w:lvlText w:val=""/>
      <w:lvlJc w:val="left"/>
    </w:lvl>
    <w:lvl w:ilvl="1" w:tplc="5ABC613C">
      <w:numFmt w:val="decimal"/>
      <w:lvlText w:val=""/>
      <w:lvlJc w:val="left"/>
    </w:lvl>
    <w:lvl w:ilvl="2" w:tplc="ADC62A9C">
      <w:numFmt w:val="decimal"/>
      <w:lvlText w:val=""/>
      <w:lvlJc w:val="left"/>
    </w:lvl>
    <w:lvl w:ilvl="3" w:tplc="0A6E9D60">
      <w:numFmt w:val="decimal"/>
      <w:lvlText w:val=""/>
      <w:lvlJc w:val="left"/>
    </w:lvl>
    <w:lvl w:ilvl="4" w:tplc="DE60A988">
      <w:numFmt w:val="decimal"/>
      <w:lvlText w:val=""/>
      <w:lvlJc w:val="left"/>
    </w:lvl>
    <w:lvl w:ilvl="5" w:tplc="731C667C">
      <w:numFmt w:val="decimal"/>
      <w:lvlText w:val=""/>
      <w:lvlJc w:val="left"/>
    </w:lvl>
    <w:lvl w:ilvl="6" w:tplc="1570EE3C">
      <w:numFmt w:val="decimal"/>
      <w:lvlText w:val=""/>
      <w:lvlJc w:val="left"/>
    </w:lvl>
    <w:lvl w:ilvl="7" w:tplc="373A2296">
      <w:numFmt w:val="decimal"/>
      <w:lvlText w:val=""/>
      <w:lvlJc w:val="left"/>
    </w:lvl>
    <w:lvl w:ilvl="8" w:tplc="16C8407E">
      <w:numFmt w:val="decimal"/>
      <w:lvlText w:val=""/>
      <w:lvlJc w:val="left"/>
    </w:lvl>
  </w:abstractNum>
  <w:abstractNum w:abstractNumId="105">
    <w:nsid w:val="215641AF"/>
    <w:multiLevelType w:val="hybridMultilevel"/>
    <w:tmpl w:val="8F900646"/>
    <w:lvl w:ilvl="0" w:tplc="EF8EA078">
      <w:start w:val="1"/>
      <w:numFmt w:val="bullet"/>
      <w:lvlText w:val=""/>
      <w:lvlJc w:val="left"/>
    </w:lvl>
    <w:lvl w:ilvl="1" w:tplc="AA6A24D4">
      <w:numFmt w:val="decimal"/>
      <w:lvlText w:val=""/>
      <w:lvlJc w:val="left"/>
    </w:lvl>
    <w:lvl w:ilvl="2" w:tplc="3894D6B0">
      <w:numFmt w:val="decimal"/>
      <w:lvlText w:val=""/>
      <w:lvlJc w:val="left"/>
    </w:lvl>
    <w:lvl w:ilvl="3" w:tplc="9942029A">
      <w:numFmt w:val="decimal"/>
      <w:lvlText w:val=""/>
      <w:lvlJc w:val="left"/>
    </w:lvl>
    <w:lvl w:ilvl="4" w:tplc="4A4C9BAA">
      <w:numFmt w:val="decimal"/>
      <w:lvlText w:val=""/>
      <w:lvlJc w:val="left"/>
    </w:lvl>
    <w:lvl w:ilvl="5" w:tplc="67E4037C">
      <w:numFmt w:val="decimal"/>
      <w:lvlText w:val=""/>
      <w:lvlJc w:val="left"/>
    </w:lvl>
    <w:lvl w:ilvl="6" w:tplc="1D327568">
      <w:numFmt w:val="decimal"/>
      <w:lvlText w:val=""/>
      <w:lvlJc w:val="left"/>
    </w:lvl>
    <w:lvl w:ilvl="7" w:tplc="921A6A12">
      <w:numFmt w:val="decimal"/>
      <w:lvlText w:val=""/>
      <w:lvlJc w:val="left"/>
    </w:lvl>
    <w:lvl w:ilvl="8" w:tplc="A4642514">
      <w:numFmt w:val="decimal"/>
      <w:lvlText w:val=""/>
      <w:lvlJc w:val="left"/>
    </w:lvl>
  </w:abstractNum>
  <w:abstractNum w:abstractNumId="106">
    <w:nsid w:val="217B22E4"/>
    <w:multiLevelType w:val="hybridMultilevel"/>
    <w:tmpl w:val="5AB2D5A0"/>
    <w:lvl w:ilvl="0" w:tplc="F1EECB7A">
      <w:start w:val="1"/>
      <w:numFmt w:val="bullet"/>
      <w:lvlText w:val=""/>
      <w:lvlJc w:val="left"/>
    </w:lvl>
    <w:lvl w:ilvl="1" w:tplc="C41027B8">
      <w:numFmt w:val="decimal"/>
      <w:lvlText w:val=""/>
      <w:lvlJc w:val="left"/>
    </w:lvl>
    <w:lvl w:ilvl="2" w:tplc="4720255A">
      <w:numFmt w:val="decimal"/>
      <w:lvlText w:val=""/>
      <w:lvlJc w:val="left"/>
    </w:lvl>
    <w:lvl w:ilvl="3" w:tplc="6C72CD86">
      <w:numFmt w:val="decimal"/>
      <w:lvlText w:val=""/>
      <w:lvlJc w:val="left"/>
    </w:lvl>
    <w:lvl w:ilvl="4" w:tplc="4A9C909C">
      <w:numFmt w:val="decimal"/>
      <w:lvlText w:val=""/>
      <w:lvlJc w:val="left"/>
    </w:lvl>
    <w:lvl w:ilvl="5" w:tplc="4E4C0E30">
      <w:numFmt w:val="decimal"/>
      <w:lvlText w:val=""/>
      <w:lvlJc w:val="left"/>
    </w:lvl>
    <w:lvl w:ilvl="6" w:tplc="CB44A2F8">
      <w:numFmt w:val="decimal"/>
      <w:lvlText w:val=""/>
      <w:lvlJc w:val="left"/>
    </w:lvl>
    <w:lvl w:ilvl="7" w:tplc="7CECCB3C">
      <w:numFmt w:val="decimal"/>
      <w:lvlText w:val=""/>
      <w:lvlJc w:val="left"/>
    </w:lvl>
    <w:lvl w:ilvl="8" w:tplc="7248C7B6">
      <w:numFmt w:val="decimal"/>
      <w:lvlText w:val=""/>
      <w:lvlJc w:val="left"/>
    </w:lvl>
  </w:abstractNum>
  <w:abstractNum w:abstractNumId="107">
    <w:nsid w:val="21A2ECCA"/>
    <w:multiLevelType w:val="hybridMultilevel"/>
    <w:tmpl w:val="ED2C6B62"/>
    <w:lvl w:ilvl="0" w:tplc="08D2B8F8">
      <w:start w:val="1"/>
      <w:numFmt w:val="bullet"/>
      <w:lvlText w:val=""/>
      <w:lvlJc w:val="left"/>
    </w:lvl>
    <w:lvl w:ilvl="1" w:tplc="A232E27E">
      <w:numFmt w:val="decimal"/>
      <w:lvlText w:val=""/>
      <w:lvlJc w:val="left"/>
    </w:lvl>
    <w:lvl w:ilvl="2" w:tplc="B17EE454">
      <w:numFmt w:val="decimal"/>
      <w:lvlText w:val=""/>
      <w:lvlJc w:val="left"/>
    </w:lvl>
    <w:lvl w:ilvl="3" w:tplc="1C52CDD4">
      <w:numFmt w:val="decimal"/>
      <w:lvlText w:val=""/>
      <w:lvlJc w:val="left"/>
    </w:lvl>
    <w:lvl w:ilvl="4" w:tplc="EC2278DE">
      <w:numFmt w:val="decimal"/>
      <w:lvlText w:val=""/>
      <w:lvlJc w:val="left"/>
    </w:lvl>
    <w:lvl w:ilvl="5" w:tplc="73B68B56">
      <w:numFmt w:val="decimal"/>
      <w:lvlText w:val=""/>
      <w:lvlJc w:val="left"/>
    </w:lvl>
    <w:lvl w:ilvl="6" w:tplc="F188767E">
      <w:numFmt w:val="decimal"/>
      <w:lvlText w:val=""/>
      <w:lvlJc w:val="left"/>
    </w:lvl>
    <w:lvl w:ilvl="7" w:tplc="46E2D456">
      <w:numFmt w:val="decimal"/>
      <w:lvlText w:val=""/>
      <w:lvlJc w:val="left"/>
    </w:lvl>
    <w:lvl w:ilvl="8" w:tplc="63E60576">
      <w:numFmt w:val="decimal"/>
      <w:lvlText w:val=""/>
      <w:lvlJc w:val="left"/>
    </w:lvl>
  </w:abstractNum>
  <w:abstractNum w:abstractNumId="108">
    <w:nsid w:val="21D06255"/>
    <w:multiLevelType w:val="hybridMultilevel"/>
    <w:tmpl w:val="A440AF1E"/>
    <w:lvl w:ilvl="0" w:tplc="98A8CA64">
      <w:start w:val="1"/>
      <w:numFmt w:val="decimal"/>
      <w:lvlText w:val="%1"/>
      <w:lvlJc w:val="left"/>
    </w:lvl>
    <w:lvl w:ilvl="1" w:tplc="D77A1A9A">
      <w:numFmt w:val="decimal"/>
      <w:lvlText w:val=""/>
      <w:lvlJc w:val="left"/>
    </w:lvl>
    <w:lvl w:ilvl="2" w:tplc="DFB833BA">
      <w:numFmt w:val="decimal"/>
      <w:lvlText w:val=""/>
      <w:lvlJc w:val="left"/>
    </w:lvl>
    <w:lvl w:ilvl="3" w:tplc="BA18D05E">
      <w:numFmt w:val="decimal"/>
      <w:lvlText w:val=""/>
      <w:lvlJc w:val="left"/>
    </w:lvl>
    <w:lvl w:ilvl="4" w:tplc="62E456D2">
      <w:numFmt w:val="decimal"/>
      <w:lvlText w:val=""/>
      <w:lvlJc w:val="left"/>
    </w:lvl>
    <w:lvl w:ilvl="5" w:tplc="4BB49000">
      <w:numFmt w:val="decimal"/>
      <w:lvlText w:val=""/>
      <w:lvlJc w:val="left"/>
    </w:lvl>
    <w:lvl w:ilvl="6" w:tplc="D0387932">
      <w:numFmt w:val="decimal"/>
      <w:lvlText w:val=""/>
      <w:lvlJc w:val="left"/>
    </w:lvl>
    <w:lvl w:ilvl="7" w:tplc="0ED0BE4A">
      <w:numFmt w:val="decimal"/>
      <w:lvlText w:val=""/>
      <w:lvlJc w:val="left"/>
    </w:lvl>
    <w:lvl w:ilvl="8" w:tplc="B5B6783A">
      <w:numFmt w:val="decimal"/>
      <w:lvlText w:val=""/>
      <w:lvlJc w:val="left"/>
    </w:lvl>
  </w:abstractNum>
  <w:abstractNum w:abstractNumId="109">
    <w:nsid w:val="226F5320"/>
    <w:multiLevelType w:val="hybridMultilevel"/>
    <w:tmpl w:val="F64A408A"/>
    <w:lvl w:ilvl="0" w:tplc="49A6C512">
      <w:start w:val="1"/>
      <w:numFmt w:val="bullet"/>
      <w:lvlText w:val="à"/>
      <w:lvlJc w:val="left"/>
    </w:lvl>
    <w:lvl w:ilvl="1" w:tplc="BD748C5E">
      <w:numFmt w:val="decimal"/>
      <w:lvlText w:val=""/>
      <w:lvlJc w:val="left"/>
    </w:lvl>
    <w:lvl w:ilvl="2" w:tplc="778821C8">
      <w:numFmt w:val="decimal"/>
      <w:lvlText w:val=""/>
      <w:lvlJc w:val="left"/>
    </w:lvl>
    <w:lvl w:ilvl="3" w:tplc="7308534C">
      <w:numFmt w:val="decimal"/>
      <w:lvlText w:val=""/>
      <w:lvlJc w:val="left"/>
    </w:lvl>
    <w:lvl w:ilvl="4" w:tplc="FF202BF8">
      <w:numFmt w:val="decimal"/>
      <w:lvlText w:val=""/>
      <w:lvlJc w:val="left"/>
    </w:lvl>
    <w:lvl w:ilvl="5" w:tplc="2CC26B8C">
      <w:numFmt w:val="decimal"/>
      <w:lvlText w:val=""/>
      <w:lvlJc w:val="left"/>
    </w:lvl>
    <w:lvl w:ilvl="6" w:tplc="34E6D61A">
      <w:numFmt w:val="decimal"/>
      <w:lvlText w:val=""/>
      <w:lvlJc w:val="left"/>
    </w:lvl>
    <w:lvl w:ilvl="7" w:tplc="2B6C26F0">
      <w:numFmt w:val="decimal"/>
      <w:lvlText w:val=""/>
      <w:lvlJc w:val="left"/>
    </w:lvl>
    <w:lvl w:ilvl="8" w:tplc="2D72E1FA">
      <w:numFmt w:val="decimal"/>
      <w:lvlText w:val=""/>
      <w:lvlJc w:val="left"/>
    </w:lvl>
  </w:abstractNum>
  <w:abstractNum w:abstractNumId="110">
    <w:nsid w:val="22F13DF3"/>
    <w:multiLevelType w:val="hybridMultilevel"/>
    <w:tmpl w:val="9AF4E908"/>
    <w:lvl w:ilvl="0" w:tplc="7ADE2F7A">
      <w:start w:val="1"/>
      <w:numFmt w:val="bullet"/>
      <w:lvlText w:val=""/>
      <w:lvlJc w:val="left"/>
    </w:lvl>
    <w:lvl w:ilvl="1" w:tplc="B7A272BA">
      <w:numFmt w:val="decimal"/>
      <w:lvlText w:val=""/>
      <w:lvlJc w:val="left"/>
    </w:lvl>
    <w:lvl w:ilvl="2" w:tplc="C366A876">
      <w:numFmt w:val="decimal"/>
      <w:lvlText w:val=""/>
      <w:lvlJc w:val="left"/>
    </w:lvl>
    <w:lvl w:ilvl="3" w:tplc="25325DD4">
      <w:numFmt w:val="decimal"/>
      <w:lvlText w:val=""/>
      <w:lvlJc w:val="left"/>
    </w:lvl>
    <w:lvl w:ilvl="4" w:tplc="FBE40EAA">
      <w:numFmt w:val="decimal"/>
      <w:lvlText w:val=""/>
      <w:lvlJc w:val="left"/>
    </w:lvl>
    <w:lvl w:ilvl="5" w:tplc="130E853E">
      <w:numFmt w:val="decimal"/>
      <w:lvlText w:val=""/>
      <w:lvlJc w:val="left"/>
    </w:lvl>
    <w:lvl w:ilvl="6" w:tplc="203C16DC">
      <w:numFmt w:val="decimal"/>
      <w:lvlText w:val=""/>
      <w:lvlJc w:val="left"/>
    </w:lvl>
    <w:lvl w:ilvl="7" w:tplc="5D3E9FE8">
      <w:numFmt w:val="decimal"/>
      <w:lvlText w:val=""/>
      <w:lvlJc w:val="left"/>
    </w:lvl>
    <w:lvl w:ilvl="8" w:tplc="15B64BE8">
      <w:numFmt w:val="decimal"/>
      <w:lvlText w:val=""/>
      <w:lvlJc w:val="left"/>
    </w:lvl>
  </w:abstractNum>
  <w:abstractNum w:abstractNumId="111">
    <w:nsid w:val="232FCF4D"/>
    <w:multiLevelType w:val="hybridMultilevel"/>
    <w:tmpl w:val="F98C371C"/>
    <w:lvl w:ilvl="0" w:tplc="B6D81970">
      <w:start w:val="15"/>
      <w:numFmt w:val="lowerLetter"/>
      <w:lvlText w:val="%1"/>
      <w:lvlJc w:val="left"/>
    </w:lvl>
    <w:lvl w:ilvl="1" w:tplc="2CDE9C98">
      <w:start w:val="1"/>
      <w:numFmt w:val="bullet"/>
      <w:lvlText w:val=""/>
      <w:lvlJc w:val="left"/>
    </w:lvl>
    <w:lvl w:ilvl="2" w:tplc="FB22EADA">
      <w:numFmt w:val="decimal"/>
      <w:lvlText w:val=""/>
      <w:lvlJc w:val="left"/>
    </w:lvl>
    <w:lvl w:ilvl="3" w:tplc="323A525E">
      <w:numFmt w:val="decimal"/>
      <w:lvlText w:val=""/>
      <w:lvlJc w:val="left"/>
    </w:lvl>
    <w:lvl w:ilvl="4" w:tplc="49548DAC">
      <w:numFmt w:val="decimal"/>
      <w:lvlText w:val=""/>
      <w:lvlJc w:val="left"/>
    </w:lvl>
    <w:lvl w:ilvl="5" w:tplc="88640F5A">
      <w:numFmt w:val="decimal"/>
      <w:lvlText w:val=""/>
      <w:lvlJc w:val="left"/>
    </w:lvl>
    <w:lvl w:ilvl="6" w:tplc="3B861054">
      <w:numFmt w:val="decimal"/>
      <w:lvlText w:val=""/>
      <w:lvlJc w:val="left"/>
    </w:lvl>
    <w:lvl w:ilvl="7" w:tplc="C6A6581E">
      <w:numFmt w:val="decimal"/>
      <w:lvlText w:val=""/>
      <w:lvlJc w:val="left"/>
    </w:lvl>
    <w:lvl w:ilvl="8" w:tplc="D3587D1A">
      <w:numFmt w:val="decimal"/>
      <w:lvlText w:val=""/>
      <w:lvlJc w:val="left"/>
    </w:lvl>
  </w:abstractNum>
  <w:abstractNum w:abstractNumId="112">
    <w:nsid w:val="237BBCA0"/>
    <w:multiLevelType w:val="hybridMultilevel"/>
    <w:tmpl w:val="FD22B1BE"/>
    <w:lvl w:ilvl="0" w:tplc="4AC01E46">
      <w:start w:val="1"/>
      <w:numFmt w:val="bullet"/>
      <w:lvlText w:val="-"/>
      <w:lvlJc w:val="left"/>
    </w:lvl>
    <w:lvl w:ilvl="1" w:tplc="AC769ADA">
      <w:start w:val="15"/>
      <w:numFmt w:val="lowerLetter"/>
      <w:lvlText w:val="%2"/>
      <w:lvlJc w:val="left"/>
    </w:lvl>
    <w:lvl w:ilvl="2" w:tplc="44609D20">
      <w:numFmt w:val="decimal"/>
      <w:lvlText w:val=""/>
      <w:lvlJc w:val="left"/>
    </w:lvl>
    <w:lvl w:ilvl="3" w:tplc="448AE136">
      <w:numFmt w:val="decimal"/>
      <w:lvlText w:val=""/>
      <w:lvlJc w:val="left"/>
    </w:lvl>
    <w:lvl w:ilvl="4" w:tplc="72BAD60A">
      <w:numFmt w:val="decimal"/>
      <w:lvlText w:val=""/>
      <w:lvlJc w:val="left"/>
    </w:lvl>
    <w:lvl w:ilvl="5" w:tplc="C008771E">
      <w:numFmt w:val="decimal"/>
      <w:lvlText w:val=""/>
      <w:lvlJc w:val="left"/>
    </w:lvl>
    <w:lvl w:ilvl="6" w:tplc="5C348DCA">
      <w:numFmt w:val="decimal"/>
      <w:lvlText w:val=""/>
      <w:lvlJc w:val="left"/>
    </w:lvl>
    <w:lvl w:ilvl="7" w:tplc="11B0D91E">
      <w:numFmt w:val="decimal"/>
      <w:lvlText w:val=""/>
      <w:lvlJc w:val="left"/>
    </w:lvl>
    <w:lvl w:ilvl="8" w:tplc="DFB0FAA6">
      <w:numFmt w:val="decimal"/>
      <w:lvlText w:val=""/>
      <w:lvlJc w:val="left"/>
    </w:lvl>
  </w:abstractNum>
  <w:abstractNum w:abstractNumId="113">
    <w:nsid w:val="2421DFCF"/>
    <w:multiLevelType w:val="hybridMultilevel"/>
    <w:tmpl w:val="E2F43F80"/>
    <w:lvl w:ilvl="0" w:tplc="7C3C8948">
      <w:start w:val="1"/>
      <w:numFmt w:val="bullet"/>
      <w:lvlText w:val=""/>
      <w:lvlJc w:val="left"/>
    </w:lvl>
    <w:lvl w:ilvl="1" w:tplc="1FE84AC8">
      <w:numFmt w:val="decimal"/>
      <w:lvlText w:val=""/>
      <w:lvlJc w:val="left"/>
    </w:lvl>
    <w:lvl w:ilvl="2" w:tplc="3DD81526">
      <w:numFmt w:val="decimal"/>
      <w:lvlText w:val=""/>
      <w:lvlJc w:val="left"/>
    </w:lvl>
    <w:lvl w:ilvl="3" w:tplc="BC96695A">
      <w:numFmt w:val="decimal"/>
      <w:lvlText w:val=""/>
      <w:lvlJc w:val="left"/>
    </w:lvl>
    <w:lvl w:ilvl="4" w:tplc="34680242">
      <w:numFmt w:val="decimal"/>
      <w:lvlText w:val=""/>
      <w:lvlJc w:val="left"/>
    </w:lvl>
    <w:lvl w:ilvl="5" w:tplc="D8C6CC24">
      <w:numFmt w:val="decimal"/>
      <w:lvlText w:val=""/>
      <w:lvlJc w:val="left"/>
    </w:lvl>
    <w:lvl w:ilvl="6" w:tplc="3B56A8BE">
      <w:numFmt w:val="decimal"/>
      <w:lvlText w:val=""/>
      <w:lvlJc w:val="left"/>
    </w:lvl>
    <w:lvl w:ilvl="7" w:tplc="2626DF26">
      <w:numFmt w:val="decimal"/>
      <w:lvlText w:val=""/>
      <w:lvlJc w:val="left"/>
    </w:lvl>
    <w:lvl w:ilvl="8" w:tplc="763084DA">
      <w:numFmt w:val="decimal"/>
      <w:lvlText w:val=""/>
      <w:lvlJc w:val="left"/>
    </w:lvl>
  </w:abstractNum>
  <w:abstractNum w:abstractNumId="114">
    <w:nsid w:val="2539DFA5"/>
    <w:multiLevelType w:val="hybridMultilevel"/>
    <w:tmpl w:val="03FC5BE8"/>
    <w:lvl w:ilvl="0" w:tplc="67D82D9A">
      <w:start w:val="1"/>
      <w:numFmt w:val="bullet"/>
      <w:lvlText w:val="-"/>
      <w:lvlJc w:val="left"/>
    </w:lvl>
    <w:lvl w:ilvl="1" w:tplc="C254ADC6">
      <w:numFmt w:val="decimal"/>
      <w:lvlText w:val=""/>
      <w:lvlJc w:val="left"/>
    </w:lvl>
    <w:lvl w:ilvl="2" w:tplc="0A34CC64">
      <w:numFmt w:val="decimal"/>
      <w:lvlText w:val=""/>
      <w:lvlJc w:val="left"/>
    </w:lvl>
    <w:lvl w:ilvl="3" w:tplc="8D568418">
      <w:numFmt w:val="decimal"/>
      <w:lvlText w:val=""/>
      <w:lvlJc w:val="left"/>
    </w:lvl>
    <w:lvl w:ilvl="4" w:tplc="0834F58E">
      <w:numFmt w:val="decimal"/>
      <w:lvlText w:val=""/>
      <w:lvlJc w:val="left"/>
    </w:lvl>
    <w:lvl w:ilvl="5" w:tplc="FC8E739E">
      <w:numFmt w:val="decimal"/>
      <w:lvlText w:val=""/>
      <w:lvlJc w:val="left"/>
    </w:lvl>
    <w:lvl w:ilvl="6" w:tplc="11A2BEDC">
      <w:numFmt w:val="decimal"/>
      <w:lvlText w:val=""/>
      <w:lvlJc w:val="left"/>
    </w:lvl>
    <w:lvl w:ilvl="7" w:tplc="A9441F30">
      <w:numFmt w:val="decimal"/>
      <w:lvlText w:val=""/>
      <w:lvlJc w:val="left"/>
    </w:lvl>
    <w:lvl w:ilvl="8" w:tplc="E22EA322">
      <w:numFmt w:val="decimal"/>
      <w:lvlText w:val=""/>
      <w:lvlJc w:val="left"/>
    </w:lvl>
  </w:abstractNum>
  <w:abstractNum w:abstractNumId="115">
    <w:nsid w:val="257D4626"/>
    <w:multiLevelType w:val="hybridMultilevel"/>
    <w:tmpl w:val="C4AC7B92"/>
    <w:lvl w:ilvl="0" w:tplc="037ACF56">
      <w:start w:val="1"/>
      <w:numFmt w:val="bullet"/>
      <w:lvlText w:val="à"/>
      <w:lvlJc w:val="left"/>
    </w:lvl>
    <w:lvl w:ilvl="1" w:tplc="ADD42030">
      <w:numFmt w:val="decimal"/>
      <w:lvlText w:val=""/>
      <w:lvlJc w:val="left"/>
    </w:lvl>
    <w:lvl w:ilvl="2" w:tplc="2F94990E">
      <w:numFmt w:val="decimal"/>
      <w:lvlText w:val=""/>
      <w:lvlJc w:val="left"/>
    </w:lvl>
    <w:lvl w:ilvl="3" w:tplc="56B49A14">
      <w:numFmt w:val="decimal"/>
      <w:lvlText w:val=""/>
      <w:lvlJc w:val="left"/>
    </w:lvl>
    <w:lvl w:ilvl="4" w:tplc="7B68B1E4">
      <w:numFmt w:val="decimal"/>
      <w:lvlText w:val=""/>
      <w:lvlJc w:val="left"/>
    </w:lvl>
    <w:lvl w:ilvl="5" w:tplc="E5104AB0">
      <w:numFmt w:val="decimal"/>
      <w:lvlText w:val=""/>
      <w:lvlJc w:val="left"/>
    </w:lvl>
    <w:lvl w:ilvl="6" w:tplc="C950BD5A">
      <w:numFmt w:val="decimal"/>
      <w:lvlText w:val=""/>
      <w:lvlJc w:val="left"/>
    </w:lvl>
    <w:lvl w:ilvl="7" w:tplc="C26418BC">
      <w:numFmt w:val="decimal"/>
      <w:lvlText w:val=""/>
      <w:lvlJc w:val="left"/>
    </w:lvl>
    <w:lvl w:ilvl="8" w:tplc="398AEADE">
      <w:numFmt w:val="decimal"/>
      <w:lvlText w:val=""/>
      <w:lvlJc w:val="left"/>
    </w:lvl>
  </w:abstractNum>
  <w:abstractNum w:abstractNumId="116">
    <w:nsid w:val="257D63F4"/>
    <w:multiLevelType w:val="hybridMultilevel"/>
    <w:tmpl w:val="8D209392"/>
    <w:lvl w:ilvl="0" w:tplc="BB344D9E">
      <w:start w:val="2"/>
      <w:numFmt w:val="decimal"/>
      <w:lvlText w:val="%1."/>
      <w:lvlJc w:val="left"/>
    </w:lvl>
    <w:lvl w:ilvl="1" w:tplc="1636843C">
      <w:numFmt w:val="decimal"/>
      <w:lvlText w:val=""/>
      <w:lvlJc w:val="left"/>
    </w:lvl>
    <w:lvl w:ilvl="2" w:tplc="646E4B2E">
      <w:numFmt w:val="decimal"/>
      <w:lvlText w:val=""/>
      <w:lvlJc w:val="left"/>
    </w:lvl>
    <w:lvl w:ilvl="3" w:tplc="B3AA0096">
      <w:numFmt w:val="decimal"/>
      <w:lvlText w:val=""/>
      <w:lvlJc w:val="left"/>
    </w:lvl>
    <w:lvl w:ilvl="4" w:tplc="BCA6B89E">
      <w:numFmt w:val="decimal"/>
      <w:lvlText w:val=""/>
      <w:lvlJc w:val="left"/>
    </w:lvl>
    <w:lvl w:ilvl="5" w:tplc="0EF29E18">
      <w:numFmt w:val="decimal"/>
      <w:lvlText w:val=""/>
      <w:lvlJc w:val="left"/>
    </w:lvl>
    <w:lvl w:ilvl="6" w:tplc="99B43F38">
      <w:numFmt w:val="decimal"/>
      <w:lvlText w:val=""/>
      <w:lvlJc w:val="left"/>
    </w:lvl>
    <w:lvl w:ilvl="7" w:tplc="D97610D8">
      <w:numFmt w:val="decimal"/>
      <w:lvlText w:val=""/>
      <w:lvlJc w:val="left"/>
    </w:lvl>
    <w:lvl w:ilvl="8" w:tplc="9EEC5864">
      <w:numFmt w:val="decimal"/>
      <w:lvlText w:val=""/>
      <w:lvlJc w:val="left"/>
    </w:lvl>
  </w:abstractNum>
  <w:abstractNum w:abstractNumId="117">
    <w:nsid w:val="2586D60E"/>
    <w:multiLevelType w:val="hybridMultilevel"/>
    <w:tmpl w:val="F11674EA"/>
    <w:lvl w:ilvl="0" w:tplc="A3B49BA8">
      <w:start w:val="1"/>
      <w:numFmt w:val="bullet"/>
      <w:lvlText w:val=""/>
      <w:lvlJc w:val="left"/>
    </w:lvl>
    <w:lvl w:ilvl="1" w:tplc="033452C0">
      <w:numFmt w:val="decimal"/>
      <w:lvlText w:val=""/>
      <w:lvlJc w:val="left"/>
    </w:lvl>
    <w:lvl w:ilvl="2" w:tplc="1D20B5FA">
      <w:numFmt w:val="decimal"/>
      <w:lvlText w:val=""/>
      <w:lvlJc w:val="left"/>
    </w:lvl>
    <w:lvl w:ilvl="3" w:tplc="AE72E08A">
      <w:numFmt w:val="decimal"/>
      <w:lvlText w:val=""/>
      <w:lvlJc w:val="left"/>
    </w:lvl>
    <w:lvl w:ilvl="4" w:tplc="BA90D2EE">
      <w:numFmt w:val="decimal"/>
      <w:lvlText w:val=""/>
      <w:lvlJc w:val="left"/>
    </w:lvl>
    <w:lvl w:ilvl="5" w:tplc="78F6F832">
      <w:numFmt w:val="decimal"/>
      <w:lvlText w:val=""/>
      <w:lvlJc w:val="left"/>
    </w:lvl>
    <w:lvl w:ilvl="6" w:tplc="4AC02BE8">
      <w:numFmt w:val="decimal"/>
      <w:lvlText w:val=""/>
      <w:lvlJc w:val="left"/>
    </w:lvl>
    <w:lvl w:ilvl="7" w:tplc="DBF28B24">
      <w:numFmt w:val="decimal"/>
      <w:lvlText w:val=""/>
      <w:lvlJc w:val="left"/>
    </w:lvl>
    <w:lvl w:ilvl="8" w:tplc="59E4EF9C">
      <w:numFmt w:val="decimal"/>
      <w:lvlText w:val=""/>
      <w:lvlJc w:val="left"/>
    </w:lvl>
  </w:abstractNum>
  <w:abstractNum w:abstractNumId="118">
    <w:nsid w:val="2622AD0C"/>
    <w:multiLevelType w:val="hybridMultilevel"/>
    <w:tmpl w:val="B4942790"/>
    <w:lvl w:ilvl="0" w:tplc="344482FC">
      <w:start w:val="1"/>
      <w:numFmt w:val="bullet"/>
      <w:lvlText w:val=""/>
      <w:lvlJc w:val="left"/>
    </w:lvl>
    <w:lvl w:ilvl="1" w:tplc="610A3C56">
      <w:start w:val="1"/>
      <w:numFmt w:val="bullet"/>
      <w:lvlText w:val=""/>
      <w:lvlJc w:val="left"/>
    </w:lvl>
    <w:lvl w:ilvl="2" w:tplc="0F7C7C84">
      <w:numFmt w:val="decimal"/>
      <w:lvlText w:val=""/>
      <w:lvlJc w:val="left"/>
    </w:lvl>
    <w:lvl w:ilvl="3" w:tplc="357C33AC">
      <w:numFmt w:val="decimal"/>
      <w:lvlText w:val=""/>
      <w:lvlJc w:val="left"/>
    </w:lvl>
    <w:lvl w:ilvl="4" w:tplc="D36C6CBA">
      <w:numFmt w:val="decimal"/>
      <w:lvlText w:val=""/>
      <w:lvlJc w:val="left"/>
    </w:lvl>
    <w:lvl w:ilvl="5" w:tplc="BB06514C">
      <w:numFmt w:val="decimal"/>
      <w:lvlText w:val=""/>
      <w:lvlJc w:val="left"/>
    </w:lvl>
    <w:lvl w:ilvl="6" w:tplc="35F69BCC">
      <w:numFmt w:val="decimal"/>
      <w:lvlText w:val=""/>
      <w:lvlJc w:val="left"/>
    </w:lvl>
    <w:lvl w:ilvl="7" w:tplc="8F287A48">
      <w:numFmt w:val="decimal"/>
      <w:lvlText w:val=""/>
      <w:lvlJc w:val="left"/>
    </w:lvl>
    <w:lvl w:ilvl="8" w:tplc="85D850D0">
      <w:numFmt w:val="decimal"/>
      <w:lvlText w:val=""/>
      <w:lvlJc w:val="left"/>
    </w:lvl>
  </w:abstractNum>
  <w:abstractNum w:abstractNumId="119">
    <w:nsid w:val="26F2D364"/>
    <w:multiLevelType w:val="hybridMultilevel"/>
    <w:tmpl w:val="1FFC4C44"/>
    <w:lvl w:ilvl="0" w:tplc="22CA18E4">
      <w:start w:val="1"/>
      <w:numFmt w:val="decimal"/>
      <w:lvlText w:val="%1"/>
      <w:lvlJc w:val="left"/>
    </w:lvl>
    <w:lvl w:ilvl="1" w:tplc="52363938">
      <w:numFmt w:val="decimal"/>
      <w:lvlText w:val=""/>
      <w:lvlJc w:val="left"/>
    </w:lvl>
    <w:lvl w:ilvl="2" w:tplc="74C428F4">
      <w:numFmt w:val="decimal"/>
      <w:lvlText w:val=""/>
      <w:lvlJc w:val="left"/>
    </w:lvl>
    <w:lvl w:ilvl="3" w:tplc="6D2A78AC">
      <w:numFmt w:val="decimal"/>
      <w:lvlText w:val=""/>
      <w:lvlJc w:val="left"/>
    </w:lvl>
    <w:lvl w:ilvl="4" w:tplc="C1E06168">
      <w:numFmt w:val="decimal"/>
      <w:lvlText w:val=""/>
      <w:lvlJc w:val="left"/>
    </w:lvl>
    <w:lvl w:ilvl="5" w:tplc="5BEE5766">
      <w:numFmt w:val="decimal"/>
      <w:lvlText w:val=""/>
      <w:lvlJc w:val="left"/>
    </w:lvl>
    <w:lvl w:ilvl="6" w:tplc="4604977E">
      <w:numFmt w:val="decimal"/>
      <w:lvlText w:val=""/>
      <w:lvlJc w:val="left"/>
    </w:lvl>
    <w:lvl w:ilvl="7" w:tplc="5100BCFA">
      <w:numFmt w:val="decimal"/>
      <w:lvlText w:val=""/>
      <w:lvlJc w:val="left"/>
    </w:lvl>
    <w:lvl w:ilvl="8" w:tplc="6192A1CA">
      <w:numFmt w:val="decimal"/>
      <w:lvlText w:val=""/>
      <w:lvlJc w:val="left"/>
    </w:lvl>
  </w:abstractNum>
  <w:abstractNum w:abstractNumId="120">
    <w:nsid w:val="271210C7"/>
    <w:multiLevelType w:val="hybridMultilevel"/>
    <w:tmpl w:val="D264C82A"/>
    <w:lvl w:ilvl="0" w:tplc="87D43AFC">
      <w:start w:val="1"/>
      <w:numFmt w:val="bullet"/>
      <w:lvlText w:val=""/>
      <w:lvlJc w:val="left"/>
    </w:lvl>
    <w:lvl w:ilvl="1" w:tplc="23AC013A">
      <w:numFmt w:val="decimal"/>
      <w:lvlText w:val=""/>
      <w:lvlJc w:val="left"/>
    </w:lvl>
    <w:lvl w:ilvl="2" w:tplc="81FAC5D6">
      <w:numFmt w:val="decimal"/>
      <w:lvlText w:val=""/>
      <w:lvlJc w:val="left"/>
    </w:lvl>
    <w:lvl w:ilvl="3" w:tplc="28B626F6">
      <w:numFmt w:val="decimal"/>
      <w:lvlText w:val=""/>
      <w:lvlJc w:val="left"/>
    </w:lvl>
    <w:lvl w:ilvl="4" w:tplc="1990F0A8">
      <w:numFmt w:val="decimal"/>
      <w:lvlText w:val=""/>
      <w:lvlJc w:val="left"/>
    </w:lvl>
    <w:lvl w:ilvl="5" w:tplc="E5DE26E0">
      <w:numFmt w:val="decimal"/>
      <w:lvlText w:val=""/>
      <w:lvlJc w:val="left"/>
    </w:lvl>
    <w:lvl w:ilvl="6" w:tplc="D312F2B2">
      <w:numFmt w:val="decimal"/>
      <w:lvlText w:val=""/>
      <w:lvlJc w:val="left"/>
    </w:lvl>
    <w:lvl w:ilvl="7" w:tplc="5D8EAD2E">
      <w:numFmt w:val="decimal"/>
      <w:lvlText w:val=""/>
      <w:lvlJc w:val="left"/>
    </w:lvl>
    <w:lvl w:ilvl="8" w:tplc="61FEE73A">
      <w:numFmt w:val="decimal"/>
      <w:lvlText w:val=""/>
      <w:lvlJc w:val="left"/>
    </w:lvl>
  </w:abstractNum>
  <w:abstractNum w:abstractNumId="121">
    <w:nsid w:val="27179C0B"/>
    <w:multiLevelType w:val="hybridMultilevel"/>
    <w:tmpl w:val="48B00092"/>
    <w:lvl w:ilvl="0" w:tplc="4CE0AC94">
      <w:start w:val="1"/>
      <w:numFmt w:val="bullet"/>
      <w:lvlText w:val=""/>
      <w:lvlJc w:val="left"/>
    </w:lvl>
    <w:lvl w:ilvl="1" w:tplc="1EF891DC">
      <w:numFmt w:val="decimal"/>
      <w:lvlText w:val=""/>
      <w:lvlJc w:val="left"/>
    </w:lvl>
    <w:lvl w:ilvl="2" w:tplc="2B4EDEFA">
      <w:numFmt w:val="decimal"/>
      <w:lvlText w:val=""/>
      <w:lvlJc w:val="left"/>
    </w:lvl>
    <w:lvl w:ilvl="3" w:tplc="A13891BC">
      <w:numFmt w:val="decimal"/>
      <w:lvlText w:val=""/>
      <w:lvlJc w:val="left"/>
    </w:lvl>
    <w:lvl w:ilvl="4" w:tplc="7DA4893A">
      <w:numFmt w:val="decimal"/>
      <w:lvlText w:val=""/>
      <w:lvlJc w:val="left"/>
    </w:lvl>
    <w:lvl w:ilvl="5" w:tplc="E7508DE2">
      <w:numFmt w:val="decimal"/>
      <w:lvlText w:val=""/>
      <w:lvlJc w:val="left"/>
    </w:lvl>
    <w:lvl w:ilvl="6" w:tplc="8224306A">
      <w:numFmt w:val="decimal"/>
      <w:lvlText w:val=""/>
      <w:lvlJc w:val="left"/>
    </w:lvl>
    <w:lvl w:ilvl="7" w:tplc="99327E4E">
      <w:numFmt w:val="decimal"/>
      <w:lvlText w:val=""/>
      <w:lvlJc w:val="left"/>
    </w:lvl>
    <w:lvl w:ilvl="8" w:tplc="F0104D20">
      <w:numFmt w:val="decimal"/>
      <w:lvlText w:val=""/>
      <w:lvlJc w:val="left"/>
    </w:lvl>
  </w:abstractNum>
  <w:abstractNum w:abstractNumId="122">
    <w:nsid w:val="27514ADE"/>
    <w:multiLevelType w:val="hybridMultilevel"/>
    <w:tmpl w:val="145A0C14"/>
    <w:lvl w:ilvl="0" w:tplc="D8C2054A">
      <w:start w:val="10"/>
      <w:numFmt w:val="decimal"/>
      <w:lvlText w:val="%1"/>
      <w:lvlJc w:val="left"/>
    </w:lvl>
    <w:lvl w:ilvl="1" w:tplc="2196DFB4">
      <w:numFmt w:val="decimal"/>
      <w:lvlText w:val=""/>
      <w:lvlJc w:val="left"/>
    </w:lvl>
    <w:lvl w:ilvl="2" w:tplc="A9883EF0">
      <w:numFmt w:val="decimal"/>
      <w:lvlText w:val=""/>
      <w:lvlJc w:val="left"/>
    </w:lvl>
    <w:lvl w:ilvl="3" w:tplc="C6AE9A26">
      <w:numFmt w:val="decimal"/>
      <w:lvlText w:val=""/>
      <w:lvlJc w:val="left"/>
    </w:lvl>
    <w:lvl w:ilvl="4" w:tplc="4104A44A">
      <w:numFmt w:val="decimal"/>
      <w:lvlText w:val=""/>
      <w:lvlJc w:val="left"/>
    </w:lvl>
    <w:lvl w:ilvl="5" w:tplc="448C27E6">
      <w:numFmt w:val="decimal"/>
      <w:lvlText w:val=""/>
      <w:lvlJc w:val="left"/>
    </w:lvl>
    <w:lvl w:ilvl="6" w:tplc="F72A90A4">
      <w:numFmt w:val="decimal"/>
      <w:lvlText w:val=""/>
      <w:lvlJc w:val="left"/>
    </w:lvl>
    <w:lvl w:ilvl="7" w:tplc="595EBF64">
      <w:numFmt w:val="decimal"/>
      <w:lvlText w:val=""/>
      <w:lvlJc w:val="left"/>
    </w:lvl>
    <w:lvl w:ilvl="8" w:tplc="FE98C832">
      <w:numFmt w:val="decimal"/>
      <w:lvlText w:val=""/>
      <w:lvlJc w:val="left"/>
    </w:lvl>
  </w:abstractNum>
  <w:abstractNum w:abstractNumId="123">
    <w:nsid w:val="2771AC80"/>
    <w:multiLevelType w:val="hybridMultilevel"/>
    <w:tmpl w:val="9CA4E9BE"/>
    <w:lvl w:ilvl="0" w:tplc="D16CBE54">
      <w:start w:val="1"/>
      <w:numFmt w:val="bullet"/>
      <w:lvlText w:val="«"/>
      <w:lvlJc w:val="left"/>
    </w:lvl>
    <w:lvl w:ilvl="1" w:tplc="3602560C">
      <w:numFmt w:val="decimal"/>
      <w:lvlText w:val=""/>
      <w:lvlJc w:val="left"/>
    </w:lvl>
    <w:lvl w:ilvl="2" w:tplc="747E5F56">
      <w:numFmt w:val="decimal"/>
      <w:lvlText w:val=""/>
      <w:lvlJc w:val="left"/>
    </w:lvl>
    <w:lvl w:ilvl="3" w:tplc="DA94EFA0">
      <w:numFmt w:val="decimal"/>
      <w:lvlText w:val=""/>
      <w:lvlJc w:val="left"/>
    </w:lvl>
    <w:lvl w:ilvl="4" w:tplc="5E845208">
      <w:numFmt w:val="decimal"/>
      <w:lvlText w:val=""/>
      <w:lvlJc w:val="left"/>
    </w:lvl>
    <w:lvl w:ilvl="5" w:tplc="723007F0">
      <w:numFmt w:val="decimal"/>
      <w:lvlText w:val=""/>
      <w:lvlJc w:val="left"/>
    </w:lvl>
    <w:lvl w:ilvl="6" w:tplc="FC8E8DC4">
      <w:numFmt w:val="decimal"/>
      <w:lvlText w:val=""/>
      <w:lvlJc w:val="left"/>
    </w:lvl>
    <w:lvl w:ilvl="7" w:tplc="2FB4554E">
      <w:numFmt w:val="decimal"/>
      <w:lvlText w:val=""/>
      <w:lvlJc w:val="left"/>
    </w:lvl>
    <w:lvl w:ilvl="8" w:tplc="23F4C760">
      <w:numFmt w:val="decimal"/>
      <w:lvlText w:val=""/>
      <w:lvlJc w:val="left"/>
    </w:lvl>
  </w:abstractNum>
  <w:abstractNum w:abstractNumId="124">
    <w:nsid w:val="27EDFE3A"/>
    <w:multiLevelType w:val="hybridMultilevel"/>
    <w:tmpl w:val="E8F22D56"/>
    <w:lvl w:ilvl="0" w:tplc="C60095E8">
      <w:start w:val="1"/>
      <w:numFmt w:val="bullet"/>
      <w:lvlText w:val=""/>
      <w:lvlJc w:val="left"/>
    </w:lvl>
    <w:lvl w:ilvl="1" w:tplc="828EE530">
      <w:numFmt w:val="decimal"/>
      <w:lvlText w:val=""/>
      <w:lvlJc w:val="left"/>
    </w:lvl>
    <w:lvl w:ilvl="2" w:tplc="EC8C4548">
      <w:numFmt w:val="decimal"/>
      <w:lvlText w:val=""/>
      <w:lvlJc w:val="left"/>
    </w:lvl>
    <w:lvl w:ilvl="3" w:tplc="4AB0D3A4">
      <w:numFmt w:val="decimal"/>
      <w:lvlText w:val=""/>
      <w:lvlJc w:val="left"/>
    </w:lvl>
    <w:lvl w:ilvl="4" w:tplc="E490F1B6">
      <w:numFmt w:val="decimal"/>
      <w:lvlText w:val=""/>
      <w:lvlJc w:val="left"/>
    </w:lvl>
    <w:lvl w:ilvl="5" w:tplc="802827B8">
      <w:numFmt w:val="decimal"/>
      <w:lvlText w:val=""/>
      <w:lvlJc w:val="left"/>
    </w:lvl>
    <w:lvl w:ilvl="6" w:tplc="2B4C5D96">
      <w:numFmt w:val="decimal"/>
      <w:lvlText w:val=""/>
      <w:lvlJc w:val="left"/>
    </w:lvl>
    <w:lvl w:ilvl="7" w:tplc="9E862A50">
      <w:numFmt w:val="decimal"/>
      <w:lvlText w:val=""/>
      <w:lvlJc w:val="left"/>
    </w:lvl>
    <w:lvl w:ilvl="8" w:tplc="865AA54E">
      <w:numFmt w:val="decimal"/>
      <w:lvlText w:val=""/>
      <w:lvlJc w:val="left"/>
    </w:lvl>
  </w:abstractNum>
  <w:abstractNum w:abstractNumId="125">
    <w:nsid w:val="280E6897"/>
    <w:multiLevelType w:val="hybridMultilevel"/>
    <w:tmpl w:val="DC6A6456"/>
    <w:lvl w:ilvl="0" w:tplc="A732CDD0">
      <w:start w:val="1"/>
      <w:numFmt w:val="decimal"/>
      <w:lvlText w:val="%1"/>
      <w:lvlJc w:val="left"/>
    </w:lvl>
    <w:lvl w:ilvl="1" w:tplc="44967968">
      <w:numFmt w:val="decimal"/>
      <w:lvlText w:val=""/>
      <w:lvlJc w:val="left"/>
    </w:lvl>
    <w:lvl w:ilvl="2" w:tplc="1548B754">
      <w:numFmt w:val="decimal"/>
      <w:lvlText w:val=""/>
      <w:lvlJc w:val="left"/>
    </w:lvl>
    <w:lvl w:ilvl="3" w:tplc="8FA42A72">
      <w:numFmt w:val="decimal"/>
      <w:lvlText w:val=""/>
      <w:lvlJc w:val="left"/>
    </w:lvl>
    <w:lvl w:ilvl="4" w:tplc="C2A8417E">
      <w:numFmt w:val="decimal"/>
      <w:lvlText w:val=""/>
      <w:lvlJc w:val="left"/>
    </w:lvl>
    <w:lvl w:ilvl="5" w:tplc="D2689758">
      <w:numFmt w:val="decimal"/>
      <w:lvlText w:val=""/>
      <w:lvlJc w:val="left"/>
    </w:lvl>
    <w:lvl w:ilvl="6" w:tplc="AF6674EE">
      <w:numFmt w:val="decimal"/>
      <w:lvlText w:val=""/>
      <w:lvlJc w:val="left"/>
    </w:lvl>
    <w:lvl w:ilvl="7" w:tplc="35464B78">
      <w:numFmt w:val="decimal"/>
      <w:lvlText w:val=""/>
      <w:lvlJc w:val="left"/>
    </w:lvl>
    <w:lvl w:ilvl="8" w:tplc="9CE8E8EC">
      <w:numFmt w:val="decimal"/>
      <w:lvlText w:val=""/>
      <w:lvlJc w:val="left"/>
    </w:lvl>
  </w:abstractNum>
  <w:abstractNum w:abstractNumId="126">
    <w:nsid w:val="2817E7EC"/>
    <w:multiLevelType w:val="hybridMultilevel"/>
    <w:tmpl w:val="E67CEAE2"/>
    <w:lvl w:ilvl="0" w:tplc="A1B299F4">
      <w:start w:val="2"/>
      <w:numFmt w:val="decimal"/>
      <w:lvlText w:val="%1"/>
      <w:lvlJc w:val="left"/>
    </w:lvl>
    <w:lvl w:ilvl="1" w:tplc="B48E4D3A">
      <w:numFmt w:val="decimal"/>
      <w:lvlText w:val=""/>
      <w:lvlJc w:val="left"/>
    </w:lvl>
    <w:lvl w:ilvl="2" w:tplc="162C0B30">
      <w:numFmt w:val="decimal"/>
      <w:lvlText w:val=""/>
      <w:lvlJc w:val="left"/>
    </w:lvl>
    <w:lvl w:ilvl="3" w:tplc="8C066418">
      <w:numFmt w:val="decimal"/>
      <w:lvlText w:val=""/>
      <w:lvlJc w:val="left"/>
    </w:lvl>
    <w:lvl w:ilvl="4" w:tplc="6E88FAC4">
      <w:numFmt w:val="decimal"/>
      <w:lvlText w:val=""/>
      <w:lvlJc w:val="left"/>
    </w:lvl>
    <w:lvl w:ilvl="5" w:tplc="D36C637E">
      <w:numFmt w:val="decimal"/>
      <w:lvlText w:val=""/>
      <w:lvlJc w:val="left"/>
    </w:lvl>
    <w:lvl w:ilvl="6" w:tplc="6D141E26">
      <w:numFmt w:val="decimal"/>
      <w:lvlText w:val=""/>
      <w:lvlJc w:val="left"/>
    </w:lvl>
    <w:lvl w:ilvl="7" w:tplc="D8C45A5A">
      <w:numFmt w:val="decimal"/>
      <w:lvlText w:val=""/>
      <w:lvlJc w:val="left"/>
    </w:lvl>
    <w:lvl w:ilvl="8" w:tplc="A79E08CC">
      <w:numFmt w:val="decimal"/>
      <w:lvlText w:val=""/>
      <w:lvlJc w:val="left"/>
    </w:lvl>
  </w:abstractNum>
  <w:abstractNum w:abstractNumId="127">
    <w:nsid w:val="28677B7C"/>
    <w:multiLevelType w:val="hybridMultilevel"/>
    <w:tmpl w:val="EFD43FAA"/>
    <w:lvl w:ilvl="0" w:tplc="C5EC82AC">
      <w:start w:val="15"/>
      <w:numFmt w:val="lowerLetter"/>
      <w:lvlText w:val="%1"/>
      <w:lvlJc w:val="left"/>
    </w:lvl>
    <w:lvl w:ilvl="1" w:tplc="7B5C0F42">
      <w:numFmt w:val="decimal"/>
      <w:lvlText w:val=""/>
      <w:lvlJc w:val="left"/>
    </w:lvl>
    <w:lvl w:ilvl="2" w:tplc="C69CCB52">
      <w:numFmt w:val="decimal"/>
      <w:lvlText w:val=""/>
      <w:lvlJc w:val="left"/>
    </w:lvl>
    <w:lvl w:ilvl="3" w:tplc="7BFAB24C">
      <w:numFmt w:val="decimal"/>
      <w:lvlText w:val=""/>
      <w:lvlJc w:val="left"/>
    </w:lvl>
    <w:lvl w:ilvl="4" w:tplc="85DE1070">
      <w:numFmt w:val="decimal"/>
      <w:lvlText w:val=""/>
      <w:lvlJc w:val="left"/>
    </w:lvl>
    <w:lvl w:ilvl="5" w:tplc="0F2EA7C6">
      <w:numFmt w:val="decimal"/>
      <w:lvlText w:val=""/>
      <w:lvlJc w:val="left"/>
    </w:lvl>
    <w:lvl w:ilvl="6" w:tplc="09BA6A0A">
      <w:numFmt w:val="decimal"/>
      <w:lvlText w:val=""/>
      <w:lvlJc w:val="left"/>
    </w:lvl>
    <w:lvl w:ilvl="7" w:tplc="6A0CD6CA">
      <w:numFmt w:val="decimal"/>
      <w:lvlText w:val=""/>
      <w:lvlJc w:val="left"/>
    </w:lvl>
    <w:lvl w:ilvl="8" w:tplc="8DF0DD24">
      <w:numFmt w:val="decimal"/>
      <w:lvlText w:val=""/>
      <w:lvlJc w:val="left"/>
    </w:lvl>
  </w:abstractNum>
  <w:abstractNum w:abstractNumId="128">
    <w:nsid w:val="29262D1A"/>
    <w:multiLevelType w:val="hybridMultilevel"/>
    <w:tmpl w:val="9198111E"/>
    <w:lvl w:ilvl="0" w:tplc="ECE84400">
      <w:start w:val="1"/>
      <w:numFmt w:val="bullet"/>
      <w:lvlText w:val=""/>
      <w:lvlJc w:val="left"/>
    </w:lvl>
    <w:lvl w:ilvl="1" w:tplc="4536775C">
      <w:start w:val="15"/>
      <w:numFmt w:val="lowerLetter"/>
      <w:lvlText w:val="%2"/>
      <w:lvlJc w:val="left"/>
    </w:lvl>
    <w:lvl w:ilvl="2" w:tplc="60F86CFA">
      <w:numFmt w:val="decimal"/>
      <w:lvlText w:val=""/>
      <w:lvlJc w:val="left"/>
    </w:lvl>
    <w:lvl w:ilvl="3" w:tplc="211ECA6E">
      <w:numFmt w:val="decimal"/>
      <w:lvlText w:val=""/>
      <w:lvlJc w:val="left"/>
    </w:lvl>
    <w:lvl w:ilvl="4" w:tplc="85849BA2">
      <w:numFmt w:val="decimal"/>
      <w:lvlText w:val=""/>
      <w:lvlJc w:val="left"/>
    </w:lvl>
    <w:lvl w:ilvl="5" w:tplc="2AC8C8DC">
      <w:numFmt w:val="decimal"/>
      <w:lvlText w:val=""/>
      <w:lvlJc w:val="left"/>
    </w:lvl>
    <w:lvl w:ilvl="6" w:tplc="4914E86C">
      <w:numFmt w:val="decimal"/>
      <w:lvlText w:val=""/>
      <w:lvlJc w:val="left"/>
    </w:lvl>
    <w:lvl w:ilvl="7" w:tplc="279A9B04">
      <w:numFmt w:val="decimal"/>
      <w:lvlText w:val=""/>
      <w:lvlJc w:val="left"/>
    </w:lvl>
    <w:lvl w:ilvl="8" w:tplc="8C6ECBBA">
      <w:numFmt w:val="decimal"/>
      <w:lvlText w:val=""/>
      <w:lvlJc w:val="left"/>
    </w:lvl>
  </w:abstractNum>
  <w:abstractNum w:abstractNumId="129">
    <w:nsid w:val="298A92BA"/>
    <w:multiLevelType w:val="hybridMultilevel"/>
    <w:tmpl w:val="A7C606FA"/>
    <w:lvl w:ilvl="0" w:tplc="1F2ACF3C">
      <w:start w:val="1"/>
      <w:numFmt w:val="decimal"/>
      <w:lvlText w:val="%1"/>
      <w:lvlJc w:val="left"/>
    </w:lvl>
    <w:lvl w:ilvl="1" w:tplc="B76067BE">
      <w:numFmt w:val="decimal"/>
      <w:lvlText w:val=""/>
      <w:lvlJc w:val="left"/>
    </w:lvl>
    <w:lvl w:ilvl="2" w:tplc="7A12841C">
      <w:numFmt w:val="decimal"/>
      <w:lvlText w:val=""/>
      <w:lvlJc w:val="left"/>
    </w:lvl>
    <w:lvl w:ilvl="3" w:tplc="96B2CD34">
      <w:numFmt w:val="decimal"/>
      <w:lvlText w:val=""/>
      <w:lvlJc w:val="left"/>
    </w:lvl>
    <w:lvl w:ilvl="4" w:tplc="FAE81ADA">
      <w:numFmt w:val="decimal"/>
      <w:lvlText w:val=""/>
      <w:lvlJc w:val="left"/>
    </w:lvl>
    <w:lvl w:ilvl="5" w:tplc="75BC2202">
      <w:numFmt w:val="decimal"/>
      <w:lvlText w:val=""/>
      <w:lvlJc w:val="left"/>
    </w:lvl>
    <w:lvl w:ilvl="6" w:tplc="2ADA3E9E">
      <w:numFmt w:val="decimal"/>
      <w:lvlText w:val=""/>
      <w:lvlJc w:val="left"/>
    </w:lvl>
    <w:lvl w:ilvl="7" w:tplc="C8167AFC">
      <w:numFmt w:val="decimal"/>
      <w:lvlText w:val=""/>
      <w:lvlJc w:val="left"/>
    </w:lvl>
    <w:lvl w:ilvl="8" w:tplc="7EE20A84">
      <w:numFmt w:val="decimal"/>
      <w:lvlText w:val=""/>
      <w:lvlJc w:val="left"/>
    </w:lvl>
  </w:abstractNum>
  <w:abstractNum w:abstractNumId="130">
    <w:nsid w:val="29EF532D"/>
    <w:multiLevelType w:val="hybridMultilevel"/>
    <w:tmpl w:val="7776852E"/>
    <w:lvl w:ilvl="0" w:tplc="B1441616">
      <w:start w:val="1"/>
      <w:numFmt w:val="bullet"/>
      <w:lvlText w:val="à"/>
      <w:lvlJc w:val="left"/>
    </w:lvl>
    <w:lvl w:ilvl="1" w:tplc="A0F8D4BE">
      <w:start w:val="1"/>
      <w:numFmt w:val="bullet"/>
      <w:lvlText w:val=""/>
      <w:lvlJc w:val="left"/>
    </w:lvl>
    <w:lvl w:ilvl="2" w:tplc="2DAEF958">
      <w:numFmt w:val="decimal"/>
      <w:lvlText w:val=""/>
      <w:lvlJc w:val="left"/>
    </w:lvl>
    <w:lvl w:ilvl="3" w:tplc="5528648A">
      <w:numFmt w:val="decimal"/>
      <w:lvlText w:val=""/>
      <w:lvlJc w:val="left"/>
    </w:lvl>
    <w:lvl w:ilvl="4" w:tplc="8B64E652">
      <w:numFmt w:val="decimal"/>
      <w:lvlText w:val=""/>
      <w:lvlJc w:val="left"/>
    </w:lvl>
    <w:lvl w:ilvl="5" w:tplc="5EBCD966">
      <w:numFmt w:val="decimal"/>
      <w:lvlText w:val=""/>
      <w:lvlJc w:val="left"/>
    </w:lvl>
    <w:lvl w:ilvl="6" w:tplc="A5F29D26">
      <w:numFmt w:val="decimal"/>
      <w:lvlText w:val=""/>
      <w:lvlJc w:val="left"/>
    </w:lvl>
    <w:lvl w:ilvl="7" w:tplc="23EEBE26">
      <w:numFmt w:val="decimal"/>
      <w:lvlText w:val=""/>
      <w:lvlJc w:val="left"/>
    </w:lvl>
    <w:lvl w:ilvl="8" w:tplc="6C0EB800">
      <w:numFmt w:val="decimal"/>
      <w:lvlText w:val=""/>
      <w:lvlJc w:val="left"/>
    </w:lvl>
  </w:abstractNum>
  <w:abstractNum w:abstractNumId="131">
    <w:nsid w:val="2A79EC49"/>
    <w:multiLevelType w:val="hybridMultilevel"/>
    <w:tmpl w:val="31725BF4"/>
    <w:lvl w:ilvl="0" w:tplc="2984F160">
      <w:start w:val="1"/>
      <w:numFmt w:val="bullet"/>
      <w:lvlText w:val=""/>
      <w:lvlJc w:val="left"/>
    </w:lvl>
    <w:lvl w:ilvl="1" w:tplc="8B14E18E">
      <w:numFmt w:val="decimal"/>
      <w:lvlText w:val=""/>
      <w:lvlJc w:val="left"/>
    </w:lvl>
    <w:lvl w:ilvl="2" w:tplc="904AFF32">
      <w:numFmt w:val="decimal"/>
      <w:lvlText w:val=""/>
      <w:lvlJc w:val="left"/>
    </w:lvl>
    <w:lvl w:ilvl="3" w:tplc="A7A6001E">
      <w:numFmt w:val="decimal"/>
      <w:lvlText w:val=""/>
      <w:lvlJc w:val="left"/>
    </w:lvl>
    <w:lvl w:ilvl="4" w:tplc="E00E1536">
      <w:numFmt w:val="decimal"/>
      <w:lvlText w:val=""/>
      <w:lvlJc w:val="left"/>
    </w:lvl>
    <w:lvl w:ilvl="5" w:tplc="0090F02A">
      <w:numFmt w:val="decimal"/>
      <w:lvlText w:val=""/>
      <w:lvlJc w:val="left"/>
    </w:lvl>
    <w:lvl w:ilvl="6" w:tplc="182E05DE">
      <w:numFmt w:val="decimal"/>
      <w:lvlText w:val=""/>
      <w:lvlJc w:val="left"/>
    </w:lvl>
    <w:lvl w:ilvl="7" w:tplc="5AC6EBE6">
      <w:numFmt w:val="decimal"/>
      <w:lvlText w:val=""/>
      <w:lvlJc w:val="left"/>
    </w:lvl>
    <w:lvl w:ilvl="8" w:tplc="79C288B0">
      <w:numFmt w:val="decimal"/>
      <w:lvlText w:val=""/>
      <w:lvlJc w:val="left"/>
    </w:lvl>
  </w:abstractNum>
  <w:abstractNum w:abstractNumId="132">
    <w:nsid w:val="2A9C34E2"/>
    <w:multiLevelType w:val="hybridMultilevel"/>
    <w:tmpl w:val="4F3AC734"/>
    <w:lvl w:ilvl="0" w:tplc="BB88ED6E">
      <w:start w:val="3"/>
      <w:numFmt w:val="decimal"/>
      <w:lvlText w:val="%1"/>
      <w:lvlJc w:val="left"/>
    </w:lvl>
    <w:lvl w:ilvl="1" w:tplc="2BE8D684">
      <w:numFmt w:val="decimal"/>
      <w:lvlText w:val=""/>
      <w:lvlJc w:val="left"/>
    </w:lvl>
    <w:lvl w:ilvl="2" w:tplc="32F6528A">
      <w:numFmt w:val="decimal"/>
      <w:lvlText w:val=""/>
      <w:lvlJc w:val="left"/>
    </w:lvl>
    <w:lvl w:ilvl="3" w:tplc="CA3E2D4C">
      <w:numFmt w:val="decimal"/>
      <w:lvlText w:val=""/>
      <w:lvlJc w:val="left"/>
    </w:lvl>
    <w:lvl w:ilvl="4" w:tplc="350ECE1A">
      <w:numFmt w:val="decimal"/>
      <w:lvlText w:val=""/>
      <w:lvlJc w:val="left"/>
    </w:lvl>
    <w:lvl w:ilvl="5" w:tplc="603A1C56">
      <w:numFmt w:val="decimal"/>
      <w:lvlText w:val=""/>
      <w:lvlJc w:val="left"/>
    </w:lvl>
    <w:lvl w:ilvl="6" w:tplc="76EEF224">
      <w:numFmt w:val="decimal"/>
      <w:lvlText w:val=""/>
      <w:lvlJc w:val="left"/>
    </w:lvl>
    <w:lvl w:ilvl="7" w:tplc="F3489CCA">
      <w:numFmt w:val="decimal"/>
      <w:lvlText w:val=""/>
      <w:lvlJc w:val="left"/>
    </w:lvl>
    <w:lvl w:ilvl="8" w:tplc="6998566C">
      <w:numFmt w:val="decimal"/>
      <w:lvlText w:val=""/>
      <w:lvlJc w:val="left"/>
    </w:lvl>
  </w:abstractNum>
  <w:abstractNum w:abstractNumId="133">
    <w:nsid w:val="2AB26587"/>
    <w:multiLevelType w:val="hybridMultilevel"/>
    <w:tmpl w:val="2F9CE210"/>
    <w:lvl w:ilvl="0" w:tplc="2D7AEABE">
      <w:start w:val="1"/>
      <w:numFmt w:val="bullet"/>
      <w:lvlText w:val=""/>
      <w:lvlJc w:val="left"/>
    </w:lvl>
    <w:lvl w:ilvl="1" w:tplc="3AEA9C5E">
      <w:numFmt w:val="decimal"/>
      <w:lvlText w:val=""/>
      <w:lvlJc w:val="left"/>
    </w:lvl>
    <w:lvl w:ilvl="2" w:tplc="4C48F2DA">
      <w:numFmt w:val="decimal"/>
      <w:lvlText w:val=""/>
      <w:lvlJc w:val="left"/>
    </w:lvl>
    <w:lvl w:ilvl="3" w:tplc="16CE24C0">
      <w:numFmt w:val="decimal"/>
      <w:lvlText w:val=""/>
      <w:lvlJc w:val="left"/>
    </w:lvl>
    <w:lvl w:ilvl="4" w:tplc="2A1E30BC">
      <w:numFmt w:val="decimal"/>
      <w:lvlText w:val=""/>
      <w:lvlJc w:val="left"/>
    </w:lvl>
    <w:lvl w:ilvl="5" w:tplc="2A124086">
      <w:numFmt w:val="decimal"/>
      <w:lvlText w:val=""/>
      <w:lvlJc w:val="left"/>
    </w:lvl>
    <w:lvl w:ilvl="6" w:tplc="A7A270E6">
      <w:numFmt w:val="decimal"/>
      <w:lvlText w:val=""/>
      <w:lvlJc w:val="left"/>
    </w:lvl>
    <w:lvl w:ilvl="7" w:tplc="AA121FAC">
      <w:numFmt w:val="decimal"/>
      <w:lvlText w:val=""/>
      <w:lvlJc w:val="left"/>
    </w:lvl>
    <w:lvl w:ilvl="8" w:tplc="843EA724">
      <w:numFmt w:val="decimal"/>
      <w:lvlText w:val=""/>
      <w:lvlJc w:val="left"/>
    </w:lvl>
  </w:abstractNum>
  <w:abstractNum w:abstractNumId="134">
    <w:nsid w:val="2BB180D8"/>
    <w:multiLevelType w:val="hybridMultilevel"/>
    <w:tmpl w:val="EDB243F0"/>
    <w:lvl w:ilvl="0" w:tplc="B75CEB40">
      <w:start w:val="1"/>
      <w:numFmt w:val="bullet"/>
      <w:lvlText w:val="à"/>
      <w:lvlJc w:val="left"/>
    </w:lvl>
    <w:lvl w:ilvl="1" w:tplc="9F146D04">
      <w:numFmt w:val="decimal"/>
      <w:lvlText w:val=""/>
      <w:lvlJc w:val="left"/>
    </w:lvl>
    <w:lvl w:ilvl="2" w:tplc="A1EC5C7E">
      <w:numFmt w:val="decimal"/>
      <w:lvlText w:val=""/>
      <w:lvlJc w:val="left"/>
    </w:lvl>
    <w:lvl w:ilvl="3" w:tplc="D4987508">
      <w:numFmt w:val="decimal"/>
      <w:lvlText w:val=""/>
      <w:lvlJc w:val="left"/>
    </w:lvl>
    <w:lvl w:ilvl="4" w:tplc="2F26150E">
      <w:numFmt w:val="decimal"/>
      <w:lvlText w:val=""/>
      <w:lvlJc w:val="left"/>
    </w:lvl>
    <w:lvl w:ilvl="5" w:tplc="1D8841FE">
      <w:numFmt w:val="decimal"/>
      <w:lvlText w:val=""/>
      <w:lvlJc w:val="left"/>
    </w:lvl>
    <w:lvl w:ilvl="6" w:tplc="0E2AC058">
      <w:numFmt w:val="decimal"/>
      <w:lvlText w:val=""/>
      <w:lvlJc w:val="left"/>
    </w:lvl>
    <w:lvl w:ilvl="7" w:tplc="9C2CAAC4">
      <w:numFmt w:val="decimal"/>
      <w:lvlText w:val=""/>
      <w:lvlJc w:val="left"/>
    </w:lvl>
    <w:lvl w:ilvl="8" w:tplc="CC069CCC">
      <w:numFmt w:val="decimal"/>
      <w:lvlText w:val=""/>
      <w:lvlJc w:val="left"/>
    </w:lvl>
  </w:abstractNum>
  <w:abstractNum w:abstractNumId="135">
    <w:nsid w:val="2BB5B1C6"/>
    <w:multiLevelType w:val="hybridMultilevel"/>
    <w:tmpl w:val="903E383A"/>
    <w:lvl w:ilvl="0" w:tplc="6D5860E6">
      <w:start w:val="1"/>
      <w:numFmt w:val="bullet"/>
      <w:lvlText w:val=""/>
      <w:lvlJc w:val="left"/>
    </w:lvl>
    <w:lvl w:ilvl="1" w:tplc="DCA68C4C">
      <w:numFmt w:val="decimal"/>
      <w:lvlText w:val=""/>
      <w:lvlJc w:val="left"/>
    </w:lvl>
    <w:lvl w:ilvl="2" w:tplc="C04A92AE">
      <w:numFmt w:val="decimal"/>
      <w:lvlText w:val=""/>
      <w:lvlJc w:val="left"/>
    </w:lvl>
    <w:lvl w:ilvl="3" w:tplc="A0545026">
      <w:numFmt w:val="decimal"/>
      <w:lvlText w:val=""/>
      <w:lvlJc w:val="left"/>
    </w:lvl>
    <w:lvl w:ilvl="4" w:tplc="458A3376">
      <w:numFmt w:val="decimal"/>
      <w:lvlText w:val=""/>
      <w:lvlJc w:val="left"/>
    </w:lvl>
    <w:lvl w:ilvl="5" w:tplc="7EF6006E">
      <w:numFmt w:val="decimal"/>
      <w:lvlText w:val=""/>
      <w:lvlJc w:val="left"/>
    </w:lvl>
    <w:lvl w:ilvl="6" w:tplc="F2A2C696">
      <w:numFmt w:val="decimal"/>
      <w:lvlText w:val=""/>
      <w:lvlJc w:val="left"/>
    </w:lvl>
    <w:lvl w:ilvl="7" w:tplc="E0944286">
      <w:numFmt w:val="decimal"/>
      <w:lvlText w:val=""/>
      <w:lvlJc w:val="left"/>
    </w:lvl>
    <w:lvl w:ilvl="8" w:tplc="6BB0C3C8">
      <w:numFmt w:val="decimal"/>
      <w:lvlText w:val=""/>
      <w:lvlJc w:val="left"/>
    </w:lvl>
  </w:abstractNum>
  <w:abstractNum w:abstractNumId="136">
    <w:nsid w:val="2C02FE8C"/>
    <w:multiLevelType w:val="hybridMultilevel"/>
    <w:tmpl w:val="D26AE110"/>
    <w:lvl w:ilvl="0" w:tplc="BE44AFC0">
      <w:start w:val="1"/>
      <w:numFmt w:val="bullet"/>
      <w:lvlText w:val=""/>
      <w:lvlJc w:val="left"/>
    </w:lvl>
    <w:lvl w:ilvl="1" w:tplc="D37A867A">
      <w:numFmt w:val="decimal"/>
      <w:lvlText w:val=""/>
      <w:lvlJc w:val="left"/>
    </w:lvl>
    <w:lvl w:ilvl="2" w:tplc="858A60D4">
      <w:numFmt w:val="decimal"/>
      <w:lvlText w:val=""/>
      <w:lvlJc w:val="left"/>
    </w:lvl>
    <w:lvl w:ilvl="3" w:tplc="1AAEFEBE">
      <w:numFmt w:val="decimal"/>
      <w:lvlText w:val=""/>
      <w:lvlJc w:val="left"/>
    </w:lvl>
    <w:lvl w:ilvl="4" w:tplc="7D244FF0">
      <w:numFmt w:val="decimal"/>
      <w:lvlText w:val=""/>
      <w:lvlJc w:val="left"/>
    </w:lvl>
    <w:lvl w:ilvl="5" w:tplc="03366C70">
      <w:numFmt w:val="decimal"/>
      <w:lvlText w:val=""/>
      <w:lvlJc w:val="left"/>
    </w:lvl>
    <w:lvl w:ilvl="6" w:tplc="9054886A">
      <w:numFmt w:val="decimal"/>
      <w:lvlText w:val=""/>
      <w:lvlJc w:val="left"/>
    </w:lvl>
    <w:lvl w:ilvl="7" w:tplc="C854DB7E">
      <w:numFmt w:val="decimal"/>
      <w:lvlText w:val=""/>
      <w:lvlJc w:val="left"/>
    </w:lvl>
    <w:lvl w:ilvl="8" w:tplc="132A99E0">
      <w:numFmt w:val="decimal"/>
      <w:lvlText w:val=""/>
      <w:lvlJc w:val="left"/>
    </w:lvl>
  </w:abstractNum>
  <w:abstractNum w:abstractNumId="137">
    <w:nsid w:val="2C06DCF3"/>
    <w:multiLevelType w:val="hybridMultilevel"/>
    <w:tmpl w:val="5ADE926C"/>
    <w:lvl w:ilvl="0" w:tplc="B14C5BC6">
      <w:start w:val="1"/>
      <w:numFmt w:val="decimal"/>
      <w:lvlText w:val="%1"/>
      <w:lvlJc w:val="left"/>
    </w:lvl>
    <w:lvl w:ilvl="1" w:tplc="19622BE6">
      <w:numFmt w:val="decimal"/>
      <w:lvlText w:val=""/>
      <w:lvlJc w:val="left"/>
    </w:lvl>
    <w:lvl w:ilvl="2" w:tplc="7BDC268C">
      <w:numFmt w:val="decimal"/>
      <w:lvlText w:val=""/>
      <w:lvlJc w:val="left"/>
    </w:lvl>
    <w:lvl w:ilvl="3" w:tplc="54E43862">
      <w:numFmt w:val="decimal"/>
      <w:lvlText w:val=""/>
      <w:lvlJc w:val="left"/>
    </w:lvl>
    <w:lvl w:ilvl="4" w:tplc="81D2FE58">
      <w:numFmt w:val="decimal"/>
      <w:lvlText w:val=""/>
      <w:lvlJc w:val="left"/>
    </w:lvl>
    <w:lvl w:ilvl="5" w:tplc="0808774A">
      <w:numFmt w:val="decimal"/>
      <w:lvlText w:val=""/>
      <w:lvlJc w:val="left"/>
    </w:lvl>
    <w:lvl w:ilvl="6" w:tplc="CFC444A8">
      <w:numFmt w:val="decimal"/>
      <w:lvlText w:val=""/>
      <w:lvlJc w:val="left"/>
    </w:lvl>
    <w:lvl w:ilvl="7" w:tplc="6380A696">
      <w:numFmt w:val="decimal"/>
      <w:lvlText w:val=""/>
      <w:lvlJc w:val="left"/>
    </w:lvl>
    <w:lvl w:ilvl="8" w:tplc="340C2464">
      <w:numFmt w:val="decimal"/>
      <w:lvlText w:val=""/>
      <w:lvlJc w:val="left"/>
    </w:lvl>
  </w:abstractNum>
  <w:abstractNum w:abstractNumId="138">
    <w:nsid w:val="2C106A57"/>
    <w:multiLevelType w:val="hybridMultilevel"/>
    <w:tmpl w:val="C03AFA5E"/>
    <w:lvl w:ilvl="0" w:tplc="8AF8D234">
      <w:start w:val="2"/>
      <w:numFmt w:val="decimal"/>
      <w:lvlText w:val="%1"/>
      <w:lvlJc w:val="left"/>
    </w:lvl>
    <w:lvl w:ilvl="1" w:tplc="BD1421C0">
      <w:numFmt w:val="decimal"/>
      <w:lvlText w:val=""/>
      <w:lvlJc w:val="left"/>
    </w:lvl>
    <w:lvl w:ilvl="2" w:tplc="3356F3C6">
      <w:numFmt w:val="decimal"/>
      <w:lvlText w:val=""/>
      <w:lvlJc w:val="left"/>
    </w:lvl>
    <w:lvl w:ilvl="3" w:tplc="7A5A5B72">
      <w:numFmt w:val="decimal"/>
      <w:lvlText w:val=""/>
      <w:lvlJc w:val="left"/>
    </w:lvl>
    <w:lvl w:ilvl="4" w:tplc="8CA2C9D2">
      <w:numFmt w:val="decimal"/>
      <w:lvlText w:val=""/>
      <w:lvlJc w:val="left"/>
    </w:lvl>
    <w:lvl w:ilvl="5" w:tplc="21C6FFA8">
      <w:numFmt w:val="decimal"/>
      <w:lvlText w:val=""/>
      <w:lvlJc w:val="left"/>
    </w:lvl>
    <w:lvl w:ilvl="6" w:tplc="85F0EFEC">
      <w:numFmt w:val="decimal"/>
      <w:lvlText w:val=""/>
      <w:lvlJc w:val="left"/>
    </w:lvl>
    <w:lvl w:ilvl="7" w:tplc="E36E98EC">
      <w:numFmt w:val="decimal"/>
      <w:lvlText w:val=""/>
      <w:lvlJc w:val="left"/>
    </w:lvl>
    <w:lvl w:ilvl="8" w:tplc="09124EFC">
      <w:numFmt w:val="decimal"/>
      <w:lvlText w:val=""/>
      <w:lvlJc w:val="left"/>
    </w:lvl>
  </w:abstractNum>
  <w:abstractNum w:abstractNumId="139">
    <w:nsid w:val="2C7C62C2"/>
    <w:multiLevelType w:val="hybridMultilevel"/>
    <w:tmpl w:val="C6CAB79C"/>
    <w:lvl w:ilvl="0" w:tplc="52EC7FE8">
      <w:start w:val="4"/>
      <w:numFmt w:val="decimal"/>
      <w:lvlText w:val="%1"/>
      <w:lvlJc w:val="left"/>
    </w:lvl>
    <w:lvl w:ilvl="1" w:tplc="4EFA2408">
      <w:numFmt w:val="decimal"/>
      <w:lvlText w:val=""/>
      <w:lvlJc w:val="left"/>
    </w:lvl>
    <w:lvl w:ilvl="2" w:tplc="C01C7B86">
      <w:numFmt w:val="decimal"/>
      <w:lvlText w:val=""/>
      <w:lvlJc w:val="left"/>
    </w:lvl>
    <w:lvl w:ilvl="3" w:tplc="234EE80C">
      <w:numFmt w:val="decimal"/>
      <w:lvlText w:val=""/>
      <w:lvlJc w:val="left"/>
    </w:lvl>
    <w:lvl w:ilvl="4" w:tplc="B56C8280">
      <w:numFmt w:val="decimal"/>
      <w:lvlText w:val=""/>
      <w:lvlJc w:val="left"/>
    </w:lvl>
    <w:lvl w:ilvl="5" w:tplc="DCF09764">
      <w:numFmt w:val="decimal"/>
      <w:lvlText w:val=""/>
      <w:lvlJc w:val="left"/>
    </w:lvl>
    <w:lvl w:ilvl="6" w:tplc="41F00EAE">
      <w:numFmt w:val="decimal"/>
      <w:lvlText w:val=""/>
      <w:lvlJc w:val="left"/>
    </w:lvl>
    <w:lvl w:ilvl="7" w:tplc="A51A83D4">
      <w:numFmt w:val="decimal"/>
      <w:lvlText w:val=""/>
      <w:lvlJc w:val="left"/>
    </w:lvl>
    <w:lvl w:ilvl="8" w:tplc="C12A1F78">
      <w:numFmt w:val="decimal"/>
      <w:lvlText w:val=""/>
      <w:lvlJc w:val="left"/>
    </w:lvl>
  </w:abstractNum>
  <w:abstractNum w:abstractNumId="140">
    <w:nsid w:val="2D9DF57D"/>
    <w:multiLevelType w:val="hybridMultilevel"/>
    <w:tmpl w:val="3474C670"/>
    <w:lvl w:ilvl="0" w:tplc="6916E3A2">
      <w:start w:val="1"/>
      <w:numFmt w:val="bullet"/>
      <w:lvlText w:val=""/>
      <w:lvlJc w:val="left"/>
    </w:lvl>
    <w:lvl w:ilvl="1" w:tplc="43C6657C">
      <w:numFmt w:val="decimal"/>
      <w:lvlText w:val=""/>
      <w:lvlJc w:val="left"/>
    </w:lvl>
    <w:lvl w:ilvl="2" w:tplc="DB8C4A4E">
      <w:numFmt w:val="decimal"/>
      <w:lvlText w:val=""/>
      <w:lvlJc w:val="left"/>
    </w:lvl>
    <w:lvl w:ilvl="3" w:tplc="28187FF4">
      <w:numFmt w:val="decimal"/>
      <w:lvlText w:val=""/>
      <w:lvlJc w:val="left"/>
    </w:lvl>
    <w:lvl w:ilvl="4" w:tplc="3E325E86">
      <w:numFmt w:val="decimal"/>
      <w:lvlText w:val=""/>
      <w:lvlJc w:val="left"/>
    </w:lvl>
    <w:lvl w:ilvl="5" w:tplc="C0645A34">
      <w:numFmt w:val="decimal"/>
      <w:lvlText w:val=""/>
      <w:lvlJc w:val="left"/>
    </w:lvl>
    <w:lvl w:ilvl="6" w:tplc="D09C80F8">
      <w:numFmt w:val="decimal"/>
      <w:lvlText w:val=""/>
      <w:lvlJc w:val="left"/>
    </w:lvl>
    <w:lvl w:ilvl="7" w:tplc="337A2BA8">
      <w:numFmt w:val="decimal"/>
      <w:lvlText w:val=""/>
      <w:lvlJc w:val="left"/>
    </w:lvl>
    <w:lvl w:ilvl="8" w:tplc="59CA09A0">
      <w:numFmt w:val="decimal"/>
      <w:lvlText w:val=""/>
      <w:lvlJc w:val="left"/>
    </w:lvl>
  </w:abstractNum>
  <w:abstractNum w:abstractNumId="141">
    <w:nsid w:val="2DB88089"/>
    <w:multiLevelType w:val="hybridMultilevel"/>
    <w:tmpl w:val="EC6EFF28"/>
    <w:lvl w:ilvl="0" w:tplc="4B0ED78C">
      <w:start w:val="3"/>
      <w:numFmt w:val="upperLetter"/>
      <w:lvlText w:val="%1."/>
      <w:lvlJc w:val="left"/>
    </w:lvl>
    <w:lvl w:ilvl="1" w:tplc="B4244600">
      <w:numFmt w:val="decimal"/>
      <w:lvlText w:val=""/>
      <w:lvlJc w:val="left"/>
    </w:lvl>
    <w:lvl w:ilvl="2" w:tplc="03C63768">
      <w:numFmt w:val="decimal"/>
      <w:lvlText w:val=""/>
      <w:lvlJc w:val="left"/>
    </w:lvl>
    <w:lvl w:ilvl="3" w:tplc="03F4E8AA">
      <w:numFmt w:val="decimal"/>
      <w:lvlText w:val=""/>
      <w:lvlJc w:val="left"/>
    </w:lvl>
    <w:lvl w:ilvl="4" w:tplc="55F4023E">
      <w:numFmt w:val="decimal"/>
      <w:lvlText w:val=""/>
      <w:lvlJc w:val="left"/>
    </w:lvl>
    <w:lvl w:ilvl="5" w:tplc="633A1938">
      <w:numFmt w:val="decimal"/>
      <w:lvlText w:val=""/>
      <w:lvlJc w:val="left"/>
    </w:lvl>
    <w:lvl w:ilvl="6" w:tplc="F564BA92">
      <w:numFmt w:val="decimal"/>
      <w:lvlText w:val=""/>
      <w:lvlJc w:val="left"/>
    </w:lvl>
    <w:lvl w:ilvl="7" w:tplc="16669FB4">
      <w:numFmt w:val="decimal"/>
      <w:lvlText w:val=""/>
      <w:lvlJc w:val="left"/>
    </w:lvl>
    <w:lvl w:ilvl="8" w:tplc="558A1E1A">
      <w:numFmt w:val="decimal"/>
      <w:lvlText w:val=""/>
      <w:lvlJc w:val="left"/>
    </w:lvl>
  </w:abstractNum>
  <w:abstractNum w:abstractNumId="142">
    <w:nsid w:val="2E129658"/>
    <w:multiLevelType w:val="hybridMultilevel"/>
    <w:tmpl w:val="99A4AD64"/>
    <w:lvl w:ilvl="0" w:tplc="62F60CAA">
      <w:start w:val="1"/>
      <w:numFmt w:val="bullet"/>
      <w:lvlText w:val="-"/>
      <w:lvlJc w:val="left"/>
    </w:lvl>
    <w:lvl w:ilvl="1" w:tplc="5C025316">
      <w:numFmt w:val="decimal"/>
      <w:lvlText w:val=""/>
      <w:lvlJc w:val="left"/>
    </w:lvl>
    <w:lvl w:ilvl="2" w:tplc="E25C6FF4">
      <w:numFmt w:val="decimal"/>
      <w:lvlText w:val=""/>
      <w:lvlJc w:val="left"/>
    </w:lvl>
    <w:lvl w:ilvl="3" w:tplc="79787536">
      <w:numFmt w:val="decimal"/>
      <w:lvlText w:val=""/>
      <w:lvlJc w:val="left"/>
    </w:lvl>
    <w:lvl w:ilvl="4" w:tplc="19961632">
      <w:numFmt w:val="decimal"/>
      <w:lvlText w:val=""/>
      <w:lvlJc w:val="left"/>
    </w:lvl>
    <w:lvl w:ilvl="5" w:tplc="059EEF7E">
      <w:numFmt w:val="decimal"/>
      <w:lvlText w:val=""/>
      <w:lvlJc w:val="left"/>
    </w:lvl>
    <w:lvl w:ilvl="6" w:tplc="7BFE53F0">
      <w:numFmt w:val="decimal"/>
      <w:lvlText w:val=""/>
      <w:lvlJc w:val="left"/>
    </w:lvl>
    <w:lvl w:ilvl="7" w:tplc="B14C4C38">
      <w:numFmt w:val="decimal"/>
      <w:lvlText w:val=""/>
      <w:lvlJc w:val="left"/>
    </w:lvl>
    <w:lvl w:ilvl="8" w:tplc="94D05636">
      <w:numFmt w:val="decimal"/>
      <w:lvlText w:val=""/>
      <w:lvlJc w:val="left"/>
    </w:lvl>
  </w:abstractNum>
  <w:abstractNum w:abstractNumId="143">
    <w:nsid w:val="2E17ECA7"/>
    <w:multiLevelType w:val="hybridMultilevel"/>
    <w:tmpl w:val="47785064"/>
    <w:lvl w:ilvl="0" w:tplc="77383C0C">
      <w:start w:val="1"/>
      <w:numFmt w:val="bullet"/>
      <w:lvlText w:val=""/>
      <w:lvlJc w:val="left"/>
    </w:lvl>
    <w:lvl w:ilvl="1" w:tplc="11EC01F4">
      <w:numFmt w:val="decimal"/>
      <w:lvlText w:val=""/>
      <w:lvlJc w:val="left"/>
    </w:lvl>
    <w:lvl w:ilvl="2" w:tplc="27D8DA62">
      <w:numFmt w:val="decimal"/>
      <w:lvlText w:val=""/>
      <w:lvlJc w:val="left"/>
    </w:lvl>
    <w:lvl w:ilvl="3" w:tplc="89C851C6">
      <w:numFmt w:val="decimal"/>
      <w:lvlText w:val=""/>
      <w:lvlJc w:val="left"/>
    </w:lvl>
    <w:lvl w:ilvl="4" w:tplc="AB3C98C8">
      <w:numFmt w:val="decimal"/>
      <w:lvlText w:val=""/>
      <w:lvlJc w:val="left"/>
    </w:lvl>
    <w:lvl w:ilvl="5" w:tplc="D772F094">
      <w:numFmt w:val="decimal"/>
      <w:lvlText w:val=""/>
      <w:lvlJc w:val="left"/>
    </w:lvl>
    <w:lvl w:ilvl="6" w:tplc="EA36B9B2">
      <w:numFmt w:val="decimal"/>
      <w:lvlText w:val=""/>
      <w:lvlJc w:val="left"/>
    </w:lvl>
    <w:lvl w:ilvl="7" w:tplc="8D0CA2E6">
      <w:numFmt w:val="decimal"/>
      <w:lvlText w:val=""/>
      <w:lvlJc w:val="left"/>
    </w:lvl>
    <w:lvl w:ilvl="8" w:tplc="B914B318">
      <w:numFmt w:val="decimal"/>
      <w:lvlText w:val=""/>
      <w:lvlJc w:val="left"/>
    </w:lvl>
  </w:abstractNum>
  <w:abstractNum w:abstractNumId="144">
    <w:nsid w:val="2E5B12B8"/>
    <w:multiLevelType w:val="hybridMultilevel"/>
    <w:tmpl w:val="36F24AFE"/>
    <w:lvl w:ilvl="0" w:tplc="897AB16E">
      <w:start w:val="1"/>
      <w:numFmt w:val="bullet"/>
      <w:lvlText w:val="«"/>
      <w:lvlJc w:val="left"/>
    </w:lvl>
    <w:lvl w:ilvl="1" w:tplc="4B30F5F4">
      <w:numFmt w:val="decimal"/>
      <w:lvlText w:val=""/>
      <w:lvlJc w:val="left"/>
    </w:lvl>
    <w:lvl w:ilvl="2" w:tplc="4C4EA9D2">
      <w:numFmt w:val="decimal"/>
      <w:lvlText w:val=""/>
      <w:lvlJc w:val="left"/>
    </w:lvl>
    <w:lvl w:ilvl="3" w:tplc="4FE44E30">
      <w:numFmt w:val="decimal"/>
      <w:lvlText w:val=""/>
      <w:lvlJc w:val="left"/>
    </w:lvl>
    <w:lvl w:ilvl="4" w:tplc="0F9671D8">
      <w:numFmt w:val="decimal"/>
      <w:lvlText w:val=""/>
      <w:lvlJc w:val="left"/>
    </w:lvl>
    <w:lvl w:ilvl="5" w:tplc="F402BB98">
      <w:numFmt w:val="decimal"/>
      <w:lvlText w:val=""/>
      <w:lvlJc w:val="left"/>
    </w:lvl>
    <w:lvl w:ilvl="6" w:tplc="34540446">
      <w:numFmt w:val="decimal"/>
      <w:lvlText w:val=""/>
      <w:lvlJc w:val="left"/>
    </w:lvl>
    <w:lvl w:ilvl="7" w:tplc="395611D0">
      <w:numFmt w:val="decimal"/>
      <w:lvlText w:val=""/>
      <w:lvlJc w:val="left"/>
    </w:lvl>
    <w:lvl w:ilvl="8" w:tplc="A5D094BE">
      <w:numFmt w:val="decimal"/>
      <w:lvlText w:val=""/>
      <w:lvlJc w:val="left"/>
    </w:lvl>
  </w:abstractNum>
  <w:abstractNum w:abstractNumId="145">
    <w:nsid w:val="2EDA00ED"/>
    <w:multiLevelType w:val="hybridMultilevel"/>
    <w:tmpl w:val="8C6C9B90"/>
    <w:lvl w:ilvl="0" w:tplc="7A44254A">
      <w:start w:val="1"/>
      <w:numFmt w:val="bullet"/>
      <w:lvlText w:val="«"/>
      <w:lvlJc w:val="left"/>
    </w:lvl>
    <w:lvl w:ilvl="1" w:tplc="14F0A9BC">
      <w:numFmt w:val="decimal"/>
      <w:lvlText w:val=""/>
      <w:lvlJc w:val="left"/>
    </w:lvl>
    <w:lvl w:ilvl="2" w:tplc="0BB0CF60">
      <w:numFmt w:val="decimal"/>
      <w:lvlText w:val=""/>
      <w:lvlJc w:val="left"/>
    </w:lvl>
    <w:lvl w:ilvl="3" w:tplc="18BAFDF0">
      <w:numFmt w:val="decimal"/>
      <w:lvlText w:val=""/>
      <w:lvlJc w:val="left"/>
    </w:lvl>
    <w:lvl w:ilvl="4" w:tplc="9A8C6AF6">
      <w:numFmt w:val="decimal"/>
      <w:lvlText w:val=""/>
      <w:lvlJc w:val="left"/>
    </w:lvl>
    <w:lvl w:ilvl="5" w:tplc="CE807882">
      <w:numFmt w:val="decimal"/>
      <w:lvlText w:val=""/>
      <w:lvlJc w:val="left"/>
    </w:lvl>
    <w:lvl w:ilvl="6" w:tplc="AF4EEEF4">
      <w:numFmt w:val="decimal"/>
      <w:lvlText w:val=""/>
      <w:lvlJc w:val="left"/>
    </w:lvl>
    <w:lvl w:ilvl="7" w:tplc="9710BCAE">
      <w:numFmt w:val="decimal"/>
      <w:lvlText w:val=""/>
      <w:lvlJc w:val="left"/>
    </w:lvl>
    <w:lvl w:ilvl="8" w:tplc="F0549076">
      <w:numFmt w:val="decimal"/>
      <w:lvlText w:val=""/>
      <w:lvlJc w:val="left"/>
    </w:lvl>
  </w:abstractNum>
  <w:abstractNum w:abstractNumId="146">
    <w:nsid w:val="2FD0AD81"/>
    <w:multiLevelType w:val="hybridMultilevel"/>
    <w:tmpl w:val="0E228882"/>
    <w:lvl w:ilvl="0" w:tplc="5EC2C1A0">
      <w:start w:val="15"/>
      <w:numFmt w:val="lowerLetter"/>
      <w:lvlText w:val="%1"/>
      <w:lvlJc w:val="left"/>
    </w:lvl>
    <w:lvl w:ilvl="1" w:tplc="960CC514">
      <w:numFmt w:val="decimal"/>
      <w:lvlText w:val=""/>
      <w:lvlJc w:val="left"/>
    </w:lvl>
    <w:lvl w:ilvl="2" w:tplc="0EA071FE">
      <w:numFmt w:val="decimal"/>
      <w:lvlText w:val=""/>
      <w:lvlJc w:val="left"/>
    </w:lvl>
    <w:lvl w:ilvl="3" w:tplc="7B760214">
      <w:numFmt w:val="decimal"/>
      <w:lvlText w:val=""/>
      <w:lvlJc w:val="left"/>
    </w:lvl>
    <w:lvl w:ilvl="4" w:tplc="10469274">
      <w:numFmt w:val="decimal"/>
      <w:lvlText w:val=""/>
      <w:lvlJc w:val="left"/>
    </w:lvl>
    <w:lvl w:ilvl="5" w:tplc="16121896">
      <w:numFmt w:val="decimal"/>
      <w:lvlText w:val=""/>
      <w:lvlJc w:val="left"/>
    </w:lvl>
    <w:lvl w:ilvl="6" w:tplc="BAB40C7E">
      <w:numFmt w:val="decimal"/>
      <w:lvlText w:val=""/>
      <w:lvlJc w:val="left"/>
    </w:lvl>
    <w:lvl w:ilvl="7" w:tplc="B44E8C4A">
      <w:numFmt w:val="decimal"/>
      <w:lvlText w:val=""/>
      <w:lvlJc w:val="left"/>
    </w:lvl>
    <w:lvl w:ilvl="8" w:tplc="6074C128">
      <w:numFmt w:val="decimal"/>
      <w:lvlText w:val=""/>
      <w:lvlJc w:val="left"/>
    </w:lvl>
  </w:abstractNum>
  <w:abstractNum w:abstractNumId="147">
    <w:nsid w:val="30AADFDA"/>
    <w:multiLevelType w:val="hybridMultilevel"/>
    <w:tmpl w:val="9AA425D6"/>
    <w:lvl w:ilvl="0" w:tplc="FB26A0C0">
      <w:start w:val="3"/>
      <w:numFmt w:val="decimal"/>
      <w:lvlText w:val="%1."/>
      <w:lvlJc w:val="left"/>
    </w:lvl>
    <w:lvl w:ilvl="1" w:tplc="715E7DEC">
      <w:numFmt w:val="decimal"/>
      <w:lvlText w:val=""/>
      <w:lvlJc w:val="left"/>
    </w:lvl>
    <w:lvl w:ilvl="2" w:tplc="39AE3B76">
      <w:numFmt w:val="decimal"/>
      <w:lvlText w:val=""/>
      <w:lvlJc w:val="left"/>
    </w:lvl>
    <w:lvl w:ilvl="3" w:tplc="8892DA5C">
      <w:numFmt w:val="decimal"/>
      <w:lvlText w:val=""/>
      <w:lvlJc w:val="left"/>
    </w:lvl>
    <w:lvl w:ilvl="4" w:tplc="B2BC4E5C">
      <w:numFmt w:val="decimal"/>
      <w:lvlText w:val=""/>
      <w:lvlJc w:val="left"/>
    </w:lvl>
    <w:lvl w:ilvl="5" w:tplc="9A02C110">
      <w:numFmt w:val="decimal"/>
      <w:lvlText w:val=""/>
      <w:lvlJc w:val="left"/>
    </w:lvl>
    <w:lvl w:ilvl="6" w:tplc="01A223F6">
      <w:numFmt w:val="decimal"/>
      <w:lvlText w:val=""/>
      <w:lvlJc w:val="left"/>
    </w:lvl>
    <w:lvl w:ilvl="7" w:tplc="DE4CCACC">
      <w:numFmt w:val="decimal"/>
      <w:lvlText w:val=""/>
      <w:lvlJc w:val="left"/>
    </w:lvl>
    <w:lvl w:ilvl="8" w:tplc="A340557E">
      <w:numFmt w:val="decimal"/>
      <w:lvlText w:val=""/>
      <w:lvlJc w:val="left"/>
    </w:lvl>
  </w:abstractNum>
  <w:abstractNum w:abstractNumId="148">
    <w:nsid w:val="30EADA61"/>
    <w:multiLevelType w:val="hybridMultilevel"/>
    <w:tmpl w:val="4126A57A"/>
    <w:lvl w:ilvl="0" w:tplc="DE74C986">
      <w:start w:val="1"/>
      <w:numFmt w:val="bullet"/>
      <w:lvlText w:val=""/>
      <w:lvlJc w:val="left"/>
    </w:lvl>
    <w:lvl w:ilvl="1" w:tplc="A6CA01F4">
      <w:numFmt w:val="decimal"/>
      <w:lvlText w:val=""/>
      <w:lvlJc w:val="left"/>
    </w:lvl>
    <w:lvl w:ilvl="2" w:tplc="31C2499E">
      <w:numFmt w:val="decimal"/>
      <w:lvlText w:val=""/>
      <w:lvlJc w:val="left"/>
    </w:lvl>
    <w:lvl w:ilvl="3" w:tplc="B5B6BEF0">
      <w:numFmt w:val="decimal"/>
      <w:lvlText w:val=""/>
      <w:lvlJc w:val="left"/>
    </w:lvl>
    <w:lvl w:ilvl="4" w:tplc="B9301836">
      <w:numFmt w:val="decimal"/>
      <w:lvlText w:val=""/>
      <w:lvlJc w:val="left"/>
    </w:lvl>
    <w:lvl w:ilvl="5" w:tplc="3F065ACA">
      <w:numFmt w:val="decimal"/>
      <w:lvlText w:val=""/>
      <w:lvlJc w:val="left"/>
    </w:lvl>
    <w:lvl w:ilvl="6" w:tplc="70E441E6">
      <w:numFmt w:val="decimal"/>
      <w:lvlText w:val=""/>
      <w:lvlJc w:val="left"/>
    </w:lvl>
    <w:lvl w:ilvl="7" w:tplc="8DACA42C">
      <w:numFmt w:val="decimal"/>
      <w:lvlText w:val=""/>
      <w:lvlJc w:val="left"/>
    </w:lvl>
    <w:lvl w:ilvl="8" w:tplc="D8049D90">
      <w:numFmt w:val="decimal"/>
      <w:lvlText w:val=""/>
      <w:lvlJc w:val="left"/>
    </w:lvl>
  </w:abstractNum>
  <w:abstractNum w:abstractNumId="149">
    <w:nsid w:val="313C7C99"/>
    <w:multiLevelType w:val="hybridMultilevel"/>
    <w:tmpl w:val="B9709014"/>
    <w:lvl w:ilvl="0" w:tplc="E18AF620">
      <w:start w:val="1"/>
      <w:numFmt w:val="bullet"/>
      <w:lvlText w:val="**"/>
      <w:lvlJc w:val="left"/>
    </w:lvl>
    <w:lvl w:ilvl="1" w:tplc="E8B046E8">
      <w:numFmt w:val="decimal"/>
      <w:lvlText w:val=""/>
      <w:lvlJc w:val="left"/>
    </w:lvl>
    <w:lvl w:ilvl="2" w:tplc="A8102226">
      <w:numFmt w:val="decimal"/>
      <w:lvlText w:val=""/>
      <w:lvlJc w:val="left"/>
    </w:lvl>
    <w:lvl w:ilvl="3" w:tplc="501E27A4">
      <w:numFmt w:val="decimal"/>
      <w:lvlText w:val=""/>
      <w:lvlJc w:val="left"/>
    </w:lvl>
    <w:lvl w:ilvl="4" w:tplc="1F846FA4">
      <w:numFmt w:val="decimal"/>
      <w:lvlText w:val=""/>
      <w:lvlJc w:val="left"/>
    </w:lvl>
    <w:lvl w:ilvl="5" w:tplc="8A9291CC">
      <w:numFmt w:val="decimal"/>
      <w:lvlText w:val=""/>
      <w:lvlJc w:val="left"/>
    </w:lvl>
    <w:lvl w:ilvl="6" w:tplc="C354FABC">
      <w:numFmt w:val="decimal"/>
      <w:lvlText w:val=""/>
      <w:lvlJc w:val="left"/>
    </w:lvl>
    <w:lvl w:ilvl="7" w:tplc="A1C80814">
      <w:numFmt w:val="decimal"/>
      <w:lvlText w:val=""/>
      <w:lvlJc w:val="left"/>
    </w:lvl>
    <w:lvl w:ilvl="8" w:tplc="4D62141A">
      <w:numFmt w:val="decimal"/>
      <w:lvlText w:val=""/>
      <w:lvlJc w:val="left"/>
    </w:lvl>
  </w:abstractNum>
  <w:abstractNum w:abstractNumId="150">
    <w:nsid w:val="316032BB"/>
    <w:multiLevelType w:val="hybridMultilevel"/>
    <w:tmpl w:val="E73A49F0"/>
    <w:lvl w:ilvl="0" w:tplc="FAA41694">
      <w:start w:val="15"/>
      <w:numFmt w:val="lowerLetter"/>
      <w:lvlText w:val="%1"/>
      <w:lvlJc w:val="left"/>
    </w:lvl>
    <w:lvl w:ilvl="1" w:tplc="94283030">
      <w:numFmt w:val="decimal"/>
      <w:lvlText w:val=""/>
      <w:lvlJc w:val="left"/>
    </w:lvl>
    <w:lvl w:ilvl="2" w:tplc="2E526E1E">
      <w:numFmt w:val="decimal"/>
      <w:lvlText w:val=""/>
      <w:lvlJc w:val="left"/>
    </w:lvl>
    <w:lvl w:ilvl="3" w:tplc="E3EA4200">
      <w:numFmt w:val="decimal"/>
      <w:lvlText w:val=""/>
      <w:lvlJc w:val="left"/>
    </w:lvl>
    <w:lvl w:ilvl="4" w:tplc="44D063D6">
      <w:numFmt w:val="decimal"/>
      <w:lvlText w:val=""/>
      <w:lvlJc w:val="left"/>
    </w:lvl>
    <w:lvl w:ilvl="5" w:tplc="647C8552">
      <w:numFmt w:val="decimal"/>
      <w:lvlText w:val=""/>
      <w:lvlJc w:val="left"/>
    </w:lvl>
    <w:lvl w:ilvl="6" w:tplc="41945806">
      <w:numFmt w:val="decimal"/>
      <w:lvlText w:val=""/>
      <w:lvlJc w:val="left"/>
    </w:lvl>
    <w:lvl w:ilvl="7" w:tplc="45D2F2C2">
      <w:numFmt w:val="decimal"/>
      <w:lvlText w:val=""/>
      <w:lvlJc w:val="left"/>
    </w:lvl>
    <w:lvl w:ilvl="8" w:tplc="9F96B60E">
      <w:numFmt w:val="decimal"/>
      <w:lvlText w:val=""/>
      <w:lvlJc w:val="left"/>
    </w:lvl>
  </w:abstractNum>
  <w:abstractNum w:abstractNumId="151">
    <w:nsid w:val="3266459B"/>
    <w:multiLevelType w:val="hybridMultilevel"/>
    <w:tmpl w:val="B2ACF4AC"/>
    <w:lvl w:ilvl="0" w:tplc="11EE1662">
      <w:start w:val="1"/>
      <w:numFmt w:val="bullet"/>
      <w:lvlText w:val=""/>
      <w:lvlJc w:val="left"/>
    </w:lvl>
    <w:lvl w:ilvl="1" w:tplc="F118DB62">
      <w:numFmt w:val="decimal"/>
      <w:lvlText w:val=""/>
      <w:lvlJc w:val="left"/>
    </w:lvl>
    <w:lvl w:ilvl="2" w:tplc="C25AA4D6">
      <w:numFmt w:val="decimal"/>
      <w:lvlText w:val=""/>
      <w:lvlJc w:val="left"/>
    </w:lvl>
    <w:lvl w:ilvl="3" w:tplc="4E8E15FE">
      <w:numFmt w:val="decimal"/>
      <w:lvlText w:val=""/>
      <w:lvlJc w:val="left"/>
    </w:lvl>
    <w:lvl w:ilvl="4" w:tplc="1D9E88E8">
      <w:numFmt w:val="decimal"/>
      <w:lvlText w:val=""/>
      <w:lvlJc w:val="left"/>
    </w:lvl>
    <w:lvl w:ilvl="5" w:tplc="D6786540">
      <w:numFmt w:val="decimal"/>
      <w:lvlText w:val=""/>
      <w:lvlJc w:val="left"/>
    </w:lvl>
    <w:lvl w:ilvl="6" w:tplc="E076ACE2">
      <w:numFmt w:val="decimal"/>
      <w:lvlText w:val=""/>
      <w:lvlJc w:val="left"/>
    </w:lvl>
    <w:lvl w:ilvl="7" w:tplc="C7E64700">
      <w:numFmt w:val="decimal"/>
      <w:lvlText w:val=""/>
      <w:lvlJc w:val="left"/>
    </w:lvl>
    <w:lvl w:ilvl="8" w:tplc="25EAD528">
      <w:numFmt w:val="decimal"/>
      <w:lvlText w:val=""/>
      <w:lvlJc w:val="left"/>
    </w:lvl>
  </w:abstractNum>
  <w:abstractNum w:abstractNumId="152">
    <w:nsid w:val="327FAC77"/>
    <w:multiLevelType w:val="hybridMultilevel"/>
    <w:tmpl w:val="2B6E6384"/>
    <w:lvl w:ilvl="0" w:tplc="2262694C">
      <w:start w:val="1"/>
      <w:numFmt w:val="bullet"/>
      <w:lvlText w:val=""/>
      <w:lvlJc w:val="left"/>
    </w:lvl>
    <w:lvl w:ilvl="1" w:tplc="FE2C8618">
      <w:start w:val="15"/>
      <w:numFmt w:val="lowerLetter"/>
      <w:lvlText w:val="%2"/>
      <w:lvlJc w:val="left"/>
    </w:lvl>
    <w:lvl w:ilvl="2" w:tplc="C2E081BA">
      <w:numFmt w:val="decimal"/>
      <w:lvlText w:val=""/>
      <w:lvlJc w:val="left"/>
    </w:lvl>
    <w:lvl w:ilvl="3" w:tplc="390E4304">
      <w:numFmt w:val="decimal"/>
      <w:lvlText w:val=""/>
      <w:lvlJc w:val="left"/>
    </w:lvl>
    <w:lvl w:ilvl="4" w:tplc="8332A748">
      <w:numFmt w:val="decimal"/>
      <w:lvlText w:val=""/>
      <w:lvlJc w:val="left"/>
    </w:lvl>
    <w:lvl w:ilvl="5" w:tplc="F36619F0">
      <w:numFmt w:val="decimal"/>
      <w:lvlText w:val=""/>
      <w:lvlJc w:val="left"/>
    </w:lvl>
    <w:lvl w:ilvl="6" w:tplc="865C046C">
      <w:numFmt w:val="decimal"/>
      <w:lvlText w:val=""/>
      <w:lvlJc w:val="left"/>
    </w:lvl>
    <w:lvl w:ilvl="7" w:tplc="178A5984">
      <w:numFmt w:val="decimal"/>
      <w:lvlText w:val=""/>
      <w:lvlJc w:val="left"/>
    </w:lvl>
    <w:lvl w:ilvl="8" w:tplc="AB0802C6">
      <w:numFmt w:val="decimal"/>
      <w:lvlText w:val=""/>
      <w:lvlJc w:val="left"/>
    </w:lvl>
  </w:abstractNum>
  <w:abstractNum w:abstractNumId="153">
    <w:nsid w:val="334A6F1F"/>
    <w:multiLevelType w:val="hybridMultilevel"/>
    <w:tmpl w:val="ADBEE422"/>
    <w:lvl w:ilvl="0" w:tplc="A3DA5DBA">
      <w:start w:val="1"/>
      <w:numFmt w:val="bullet"/>
      <w:lvlText w:val=""/>
      <w:lvlJc w:val="left"/>
    </w:lvl>
    <w:lvl w:ilvl="1" w:tplc="3FC25296">
      <w:numFmt w:val="decimal"/>
      <w:lvlText w:val=""/>
      <w:lvlJc w:val="left"/>
    </w:lvl>
    <w:lvl w:ilvl="2" w:tplc="9A8C5C74">
      <w:numFmt w:val="decimal"/>
      <w:lvlText w:val=""/>
      <w:lvlJc w:val="left"/>
    </w:lvl>
    <w:lvl w:ilvl="3" w:tplc="20E8DD00">
      <w:numFmt w:val="decimal"/>
      <w:lvlText w:val=""/>
      <w:lvlJc w:val="left"/>
    </w:lvl>
    <w:lvl w:ilvl="4" w:tplc="F6F49FD6">
      <w:numFmt w:val="decimal"/>
      <w:lvlText w:val=""/>
      <w:lvlJc w:val="left"/>
    </w:lvl>
    <w:lvl w:ilvl="5" w:tplc="68CA7A88">
      <w:numFmt w:val="decimal"/>
      <w:lvlText w:val=""/>
      <w:lvlJc w:val="left"/>
    </w:lvl>
    <w:lvl w:ilvl="6" w:tplc="25688BB2">
      <w:numFmt w:val="decimal"/>
      <w:lvlText w:val=""/>
      <w:lvlJc w:val="left"/>
    </w:lvl>
    <w:lvl w:ilvl="7" w:tplc="A590117C">
      <w:numFmt w:val="decimal"/>
      <w:lvlText w:val=""/>
      <w:lvlJc w:val="left"/>
    </w:lvl>
    <w:lvl w:ilvl="8" w:tplc="1DAE26F0">
      <w:numFmt w:val="decimal"/>
      <w:lvlText w:val=""/>
      <w:lvlJc w:val="left"/>
    </w:lvl>
  </w:abstractNum>
  <w:abstractNum w:abstractNumId="154">
    <w:nsid w:val="33537CED"/>
    <w:multiLevelType w:val="hybridMultilevel"/>
    <w:tmpl w:val="7D12850C"/>
    <w:lvl w:ilvl="0" w:tplc="9C782DF6">
      <w:start w:val="1"/>
      <w:numFmt w:val="bullet"/>
      <w:lvlText w:val=""/>
      <w:lvlJc w:val="left"/>
    </w:lvl>
    <w:lvl w:ilvl="1" w:tplc="9CDE9B98">
      <w:numFmt w:val="decimal"/>
      <w:lvlText w:val=""/>
      <w:lvlJc w:val="left"/>
    </w:lvl>
    <w:lvl w:ilvl="2" w:tplc="BB0C2BD8">
      <w:numFmt w:val="decimal"/>
      <w:lvlText w:val=""/>
      <w:lvlJc w:val="left"/>
    </w:lvl>
    <w:lvl w:ilvl="3" w:tplc="5B4CE0CC">
      <w:numFmt w:val="decimal"/>
      <w:lvlText w:val=""/>
      <w:lvlJc w:val="left"/>
    </w:lvl>
    <w:lvl w:ilvl="4" w:tplc="81947EC8">
      <w:numFmt w:val="decimal"/>
      <w:lvlText w:val=""/>
      <w:lvlJc w:val="left"/>
    </w:lvl>
    <w:lvl w:ilvl="5" w:tplc="32E4AD9E">
      <w:numFmt w:val="decimal"/>
      <w:lvlText w:val=""/>
      <w:lvlJc w:val="left"/>
    </w:lvl>
    <w:lvl w:ilvl="6" w:tplc="255A3D7E">
      <w:numFmt w:val="decimal"/>
      <w:lvlText w:val=""/>
      <w:lvlJc w:val="left"/>
    </w:lvl>
    <w:lvl w:ilvl="7" w:tplc="6D1C534A">
      <w:numFmt w:val="decimal"/>
      <w:lvlText w:val=""/>
      <w:lvlJc w:val="left"/>
    </w:lvl>
    <w:lvl w:ilvl="8" w:tplc="C518C2BA">
      <w:numFmt w:val="decimal"/>
      <w:lvlText w:val=""/>
      <w:lvlJc w:val="left"/>
    </w:lvl>
  </w:abstractNum>
  <w:abstractNum w:abstractNumId="155">
    <w:nsid w:val="335A1DF1"/>
    <w:multiLevelType w:val="hybridMultilevel"/>
    <w:tmpl w:val="B58E999C"/>
    <w:lvl w:ilvl="0" w:tplc="612430B2">
      <w:start w:val="1"/>
      <w:numFmt w:val="bullet"/>
      <w:lvlText w:val=""/>
      <w:lvlJc w:val="left"/>
    </w:lvl>
    <w:lvl w:ilvl="1" w:tplc="6D6EA04A">
      <w:numFmt w:val="decimal"/>
      <w:lvlText w:val=""/>
      <w:lvlJc w:val="left"/>
    </w:lvl>
    <w:lvl w:ilvl="2" w:tplc="E988A07A">
      <w:numFmt w:val="decimal"/>
      <w:lvlText w:val=""/>
      <w:lvlJc w:val="left"/>
    </w:lvl>
    <w:lvl w:ilvl="3" w:tplc="EEB64644">
      <w:numFmt w:val="decimal"/>
      <w:lvlText w:val=""/>
      <w:lvlJc w:val="left"/>
    </w:lvl>
    <w:lvl w:ilvl="4" w:tplc="1B40CDDE">
      <w:numFmt w:val="decimal"/>
      <w:lvlText w:val=""/>
      <w:lvlJc w:val="left"/>
    </w:lvl>
    <w:lvl w:ilvl="5" w:tplc="4FBEA044">
      <w:numFmt w:val="decimal"/>
      <w:lvlText w:val=""/>
      <w:lvlJc w:val="left"/>
    </w:lvl>
    <w:lvl w:ilvl="6" w:tplc="EFE81E74">
      <w:numFmt w:val="decimal"/>
      <w:lvlText w:val=""/>
      <w:lvlJc w:val="left"/>
    </w:lvl>
    <w:lvl w:ilvl="7" w:tplc="A29CD1EA">
      <w:numFmt w:val="decimal"/>
      <w:lvlText w:val=""/>
      <w:lvlJc w:val="left"/>
    </w:lvl>
    <w:lvl w:ilvl="8" w:tplc="8DD00974">
      <w:numFmt w:val="decimal"/>
      <w:lvlText w:val=""/>
      <w:lvlJc w:val="left"/>
    </w:lvl>
  </w:abstractNum>
  <w:abstractNum w:abstractNumId="156">
    <w:nsid w:val="338125CF"/>
    <w:multiLevelType w:val="hybridMultilevel"/>
    <w:tmpl w:val="2FD2E996"/>
    <w:lvl w:ilvl="0" w:tplc="A57C0E36">
      <w:start w:val="1"/>
      <w:numFmt w:val="bullet"/>
      <w:lvlText w:val=""/>
      <w:lvlJc w:val="left"/>
    </w:lvl>
    <w:lvl w:ilvl="1" w:tplc="A5F8C59E">
      <w:numFmt w:val="decimal"/>
      <w:lvlText w:val=""/>
      <w:lvlJc w:val="left"/>
    </w:lvl>
    <w:lvl w:ilvl="2" w:tplc="E21604D8">
      <w:numFmt w:val="decimal"/>
      <w:lvlText w:val=""/>
      <w:lvlJc w:val="left"/>
    </w:lvl>
    <w:lvl w:ilvl="3" w:tplc="230CE932">
      <w:numFmt w:val="decimal"/>
      <w:lvlText w:val=""/>
      <w:lvlJc w:val="left"/>
    </w:lvl>
    <w:lvl w:ilvl="4" w:tplc="C3F651BC">
      <w:numFmt w:val="decimal"/>
      <w:lvlText w:val=""/>
      <w:lvlJc w:val="left"/>
    </w:lvl>
    <w:lvl w:ilvl="5" w:tplc="1BDE6B3C">
      <w:numFmt w:val="decimal"/>
      <w:lvlText w:val=""/>
      <w:lvlJc w:val="left"/>
    </w:lvl>
    <w:lvl w:ilvl="6" w:tplc="6E60B0A8">
      <w:numFmt w:val="decimal"/>
      <w:lvlText w:val=""/>
      <w:lvlJc w:val="left"/>
    </w:lvl>
    <w:lvl w:ilvl="7" w:tplc="B6F08CA2">
      <w:numFmt w:val="decimal"/>
      <w:lvlText w:val=""/>
      <w:lvlJc w:val="left"/>
    </w:lvl>
    <w:lvl w:ilvl="8" w:tplc="C67AB352">
      <w:numFmt w:val="decimal"/>
      <w:lvlText w:val=""/>
      <w:lvlJc w:val="left"/>
    </w:lvl>
  </w:abstractNum>
  <w:abstractNum w:abstractNumId="157">
    <w:nsid w:val="3410ED56"/>
    <w:multiLevelType w:val="hybridMultilevel"/>
    <w:tmpl w:val="89E6A81A"/>
    <w:lvl w:ilvl="0" w:tplc="93A45EDE">
      <w:start w:val="4"/>
      <w:numFmt w:val="decimal"/>
      <w:lvlText w:val="%1"/>
      <w:lvlJc w:val="left"/>
    </w:lvl>
    <w:lvl w:ilvl="1" w:tplc="C69242B8">
      <w:numFmt w:val="decimal"/>
      <w:lvlText w:val=""/>
      <w:lvlJc w:val="left"/>
    </w:lvl>
    <w:lvl w:ilvl="2" w:tplc="0A9EB206">
      <w:numFmt w:val="decimal"/>
      <w:lvlText w:val=""/>
      <w:lvlJc w:val="left"/>
    </w:lvl>
    <w:lvl w:ilvl="3" w:tplc="2C54EE94">
      <w:numFmt w:val="decimal"/>
      <w:lvlText w:val=""/>
      <w:lvlJc w:val="left"/>
    </w:lvl>
    <w:lvl w:ilvl="4" w:tplc="5164D432">
      <w:numFmt w:val="decimal"/>
      <w:lvlText w:val=""/>
      <w:lvlJc w:val="left"/>
    </w:lvl>
    <w:lvl w:ilvl="5" w:tplc="FF202308">
      <w:numFmt w:val="decimal"/>
      <w:lvlText w:val=""/>
      <w:lvlJc w:val="left"/>
    </w:lvl>
    <w:lvl w:ilvl="6" w:tplc="4F7E2176">
      <w:numFmt w:val="decimal"/>
      <w:lvlText w:val=""/>
      <w:lvlJc w:val="left"/>
    </w:lvl>
    <w:lvl w:ilvl="7" w:tplc="FA2AD8A4">
      <w:numFmt w:val="decimal"/>
      <w:lvlText w:val=""/>
      <w:lvlJc w:val="left"/>
    </w:lvl>
    <w:lvl w:ilvl="8" w:tplc="9E489A02">
      <w:numFmt w:val="decimal"/>
      <w:lvlText w:val=""/>
      <w:lvlJc w:val="left"/>
    </w:lvl>
  </w:abstractNum>
  <w:abstractNum w:abstractNumId="158">
    <w:nsid w:val="34CC3ACF"/>
    <w:multiLevelType w:val="hybridMultilevel"/>
    <w:tmpl w:val="19705F78"/>
    <w:lvl w:ilvl="0" w:tplc="00E48214">
      <w:start w:val="1"/>
      <w:numFmt w:val="bullet"/>
      <w:lvlText w:val=""/>
      <w:lvlJc w:val="left"/>
    </w:lvl>
    <w:lvl w:ilvl="1" w:tplc="C480FC4A">
      <w:numFmt w:val="decimal"/>
      <w:lvlText w:val=""/>
      <w:lvlJc w:val="left"/>
    </w:lvl>
    <w:lvl w:ilvl="2" w:tplc="685E78E8">
      <w:numFmt w:val="decimal"/>
      <w:lvlText w:val=""/>
      <w:lvlJc w:val="left"/>
    </w:lvl>
    <w:lvl w:ilvl="3" w:tplc="D7F0C112">
      <w:numFmt w:val="decimal"/>
      <w:lvlText w:val=""/>
      <w:lvlJc w:val="left"/>
    </w:lvl>
    <w:lvl w:ilvl="4" w:tplc="6458E7B8">
      <w:numFmt w:val="decimal"/>
      <w:lvlText w:val=""/>
      <w:lvlJc w:val="left"/>
    </w:lvl>
    <w:lvl w:ilvl="5" w:tplc="2C704A50">
      <w:numFmt w:val="decimal"/>
      <w:lvlText w:val=""/>
      <w:lvlJc w:val="left"/>
    </w:lvl>
    <w:lvl w:ilvl="6" w:tplc="6598DFF6">
      <w:numFmt w:val="decimal"/>
      <w:lvlText w:val=""/>
      <w:lvlJc w:val="left"/>
    </w:lvl>
    <w:lvl w:ilvl="7" w:tplc="9CAAB1C2">
      <w:numFmt w:val="decimal"/>
      <w:lvlText w:val=""/>
      <w:lvlJc w:val="left"/>
    </w:lvl>
    <w:lvl w:ilvl="8" w:tplc="FFBEAAD0">
      <w:numFmt w:val="decimal"/>
      <w:lvlText w:val=""/>
      <w:lvlJc w:val="left"/>
    </w:lvl>
  </w:abstractNum>
  <w:abstractNum w:abstractNumId="159">
    <w:nsid w:val="34DFBC00"/>
    <w:multiLevelType w:val="hybridMultilevel"/>
    <w:tmpl w:val="FF12186C"/>
    <w:lvl w:ilvl="0" w:tplc="4500702A">
      <w:start w:val="15"/>
      <w:numFmt w:val="lowerLetter"/>
      <w:lvlText w:val="%1"/>
      <w:lvlJc w:val="left"/>
    </w:lvl>
    <w:lvl w:ilvl="1" w:tplc="5C62ACE2">
      <w:numFmt w:val="decimal"/>
      <w:lvlText w:val=""/>
      <w:lvlJc w:val="left"/>
    </w:lvl>
    <w:lvl w:ilvl="2" w:tplc="DD56A840">
      <w:numFmt w:val="decimal"/>
      <w:lvlText w:val=""/>
      <w:lvlJc w:val="left"/>
    </w:lvl>
    <w:lvl w:ilvl="3" w:tplc="4B60080E">
      <w:numFmt w:val="decimal"/>
      <w:lvlText w:val=""/>
      <w:lvlJc w:val="left"/>
    </w:lvl>
    <w:lvl w:ilvl="4" w:tplc="7DC4416C">
      <w:numFmt w:val="decimal"/>
      <w:lvlText w:val=""/>
      <w:lvlJc w:val="left"/>
    </w:lvl>
    <w:lvl w:ilvl="5" w:tplc="5F42DFF2">
      <w:numFmt w:val="decimal"/>
      <w:lvlText w:val=""/>
      <w:lvlJc w:val="left"/>
    </w:lvl>
    <w:lvl w:ilvl="6" w:tplc="F9500038">
      <w:numFmt w:val="decimal"/>
      <w:lvlText w:val=""/>
      <w:lvlJc w:val="left"/>
    </w:lvl>
    <w:lvl w:ilvl="7" w:tplc="B136F388">
      <w:numFmt w:val="decimal"/>
      <w:lvlText w:val=""/>
      <w:lvlJc w:val="left"/>
    </w:lvl>
    <w:lvl w:ilvl="8" w:tplc="435A62D8">
      <w:numFmt w:val="decimal"/>
      <w:lvlText w:val=""/>
      <w:lvlJc w:val="left"/>
    </w:lvl>
  </w:abstractNum>
  <w:abstractNum w:abstractNumId="160">
    <w:nsid w:val="3746A5F2"/>
    <w:multiLevelType w:val="hybridMultilevel"/>
    <w:tmpl w:val="BCD4A3C4"/>
    <w:lvl w:ilvl="0" w:tplc="457AEA36">
      <w:start w:val="1"/>
      <w:numFmt w:val="bullet"/>
      <w:lvlText w:val=""/>
      <w:lvlJc w:val="left"/>
    </w:lvl>
    <w:lvl w:ilvl="1" w:tplc="B9D234AA">
      <w:numFmt w:val="decimal"/>
      <w:lvlText w:val=""/>
      <w:lvlJc w:val="left"/>
    </w:lvl>
    <w:lvl w:ilvl="2" w:tplc="D0A6F082">
      <w:numFmt w:val="decimal"/>
      <w:lvlText w:val=""/>
      <w:lvlJc w:val="left"/>
    </w:lvl>
    <w:lvl w:ilvl="3" w:tplc="6F5820D4">
      <w:numFmt w:val="decimal"/>
      <w:lvlText w:val=""/>
      <w:lvlJc w:val="left"/>
    </w:lvl>
    <w:lvl w:ilvl="4" w:tplc="D57C80FE">
      <w:numFmt w:val="decimal"/>
      <w:lvlText w:val=""/>
      <w:lvlJc w:val="left"/>
    </w:lvl>
    <w:lvl w:ilvl="5" w:tplc="1FFEC5CC">
      <w:numFmt w:val="decimal"/>
      <w:lvlText w:val=""/>
      <w:lvlJc w:val="left"/>
    </w:lvl>
    <w:lvl w:ilvl="6" w:tplc="CB3A156C">
      <w:numFmt w:val="decimal"/>
      <w:lvlText w:val=""/>
      <w:lvlJc w:val="left"/>
    </w:lvl>
    <w:lvl w:ilvl="7" w:tplc="447002C4">
      <w:numFmt w:val="decimal"/>
      <w:lvlText w:val=""/>
      <w:lvlJc w:val="left"/>
    </w:lvl>
    <w:lvl w:ilvl="8" w:tplc="75D007AE">
      <w:numFmt w:val="decimal"/>
      <w:lvlText w:val=""/>
      <w:lvlJc w:val="left"/>
    </w:lvl>
  </w:abstractNum>
  <w:abstractNum w:abstractNumId="161">
    <w:nsid w:val="378D97C0"/>
    <w:multiLevelType w:val="hybridMultilevel"/>
    <w:tmpl w:val="51E4FA46"/>
    <w:lvl w:ilvl="0" w:tplc="D8FE438A">
      <w:start w:val="15"/>
      <w:numFmt w:val="lowerLetter"/>
      <w:lvlText w:val="%1"/>
      <w:lvlJc w:val="left"/>
    </w:lvl>
    <w:lvl w:ilvl="1" w:tplc="961424DC">
      <w:numFmt w:val="decimal"/>
      <w:lvlText w:val=""/>
      <w:lvlJc w:val="left"/>
    </w:lvl>
    <w:lvl w:ilvl="2" w:tplc="50506080">
      <w:numFmt w:val="decimal"/>
      <w:lvlText w:val=""/>
      <w:lvlJc w:val="left"/>
    </w:lvl>
    <w:lvl w:ilvl="3" w:tplc="8660B20C">
      <w:numFmt w:val="decimal"/>
      <w:lvlText w:val=""/>
      <w:lvlJc w:val="left"/>
    </w:lvl>
    <w:lvl w:ilvl="4" w:tplc="235833E8">
      <w:numFmt w:val="decimal"/>
      <w:lvlText w:val=""/>
      <w:lvlJc w:val="left"/>
    </w:lvl>
    <w:lvl w:ilvl="5" w:tplc="C4C40D68">
      <w:numFmt w:val="decimal"/>
      <w:lvlText w:val=""/>
      <w:lvlJc w:val="left"/>
    </w:lvl>
    <w:lvl w:ilvl="6" w:tplc="A15CD09A">
      <w:numFmt w:val="decimal"/>
      <w:lvlText w:val=""/>
      <w:lvlJc w:val="left"/>
    </w:lvl>
    <w:lvl w:ilvl="7" w:tplc="37867D46">
      <w:numFmt w:val="decimal"/>
      <w:lvlText w:val=""/>
      <w:lvlJc w:val="left"/>
    </w:lvl>
    <w:lvl w:ilvl="8" w:tplc="829AB982">
      <w:numFmt w:val="decimal"/>
      <w:lvlText w:val=""/>
      <w:lvlJc w:val="left"/>
    </w:lvl>
  </w:abstractNum>
  <w:abstractNum w:abstractNumId="162">
    <w:nsid w:val="37E203AB"/>
    <w:multiLevelType w:val="hybridMultilevel"/>
    <w:tmpl w:val="6108D488"/>
    <w:lvl w:ilvl="0" w:tplc="25C8E8A6">
      <w:start w:val="1"/>
      <w:numFmt w:val="bullet"/>
      <w:lvlText w:val=""/>
      <w:lvlJc w:val="left"/>
    </w:lvl>
    <w:lvl w:ilvl="1" w:tplc="A7D2A05A">
      <w:numFmt w:val="decimal"/>
      <w:lvlText w:val=""/>
      <w:lvlJc w:val="left"/>
    </w:lvl>
    <w:lvl w:ilvl="2" w:tplc="1CB6F3C0">
      <w:numFmt w:val="decimal"/>
      <w:lvlText w:val=""/>
      <w:lvlJc w:val="left"/>
    </w:lvl>
    <w:lvl w:ilvl="3" w:tplc="9AD8BD16">
      <w:numFmt w:val="decimal"/>
      <w:lvlText w:val=""/>
      <w:lvlJc w:val="left"/>
    </w:lvl>
    <w:lvl w:ilvl="4" w:tplc="817C1566">
      <w:numFmt w:val="decimal"/>
      <w:lvlText w:val=""/>
      <w:lvlJc w:val="left"/>
    </w:lvl>
    <w:lvl w:ilvl="5" w:tplc="4484FCF4">
      <w:numFmt w:val="decimal"/>
      <w:lvlText w:val=""/>
      <w:lvlJc w:val="left"/>
    </w:lvl>
    <w:lvl w:ilvl="6" w:tplc="B4387594">
      <w:numFmt w:val="decimal"/>
      <w:lvlText w:val=""/>
      <w:lvlJc w:val="left"/>
    </w:lvl>
    <w:lvl w:ilvl="7" w:tplc="10284C78">
      <w:numFmt w:val="decimal"/>
      <w:lvlText w:val=""/>
      <w:lvlJc w:val="left"/>
    </w:lvl>
    <w:lvl w:ilvl="8" w:tplc="1158AB2A">
      <w:numFmt w:val="decimal"/>
      <w:lvlText w:val=""/>
      <w:lvlJc w:val="left"/>
    </w:lvl>
  </w:abstractNum>
  <w:abstractNum w:abstractNumId="163">
    <w:nsid w:val="3822CB01"/>
    <w:multiLevelType w:val="hybridMultilevel"/>
    <w:tmpl w:val="61A2ECAC"/>
    <w:lvl w:ilvl="0" w:tplc="0DC4775A">
      <w:start w:val="1"/>
      <w:numFmt w:val="bullet"/>
      <w:lvlText w:val=""/>
      <w:lvlJc w:val="left"/>
    </w:lvl>
    <w:lvl w:ilvl="1" w:tplc="2A36BF9E">
      <w:numFmt w:val="decimal"/>
      <w:lvlText w:val=""/>
      <w:lvlJc w:val="left"/>
    </w:lvl>
    <w:lvl w:ilvl="2" w:tplc="82FEB422">
      <w:numFmt w:val="decimal"/>
      <w:lvlText w:val=""/>
      <w:lvlJc w:val="left"/>
    </w:lvl>
    <w:lvl w:ilvl="3" w:tplc="0DE2D3E2">
      <w:numFmt w:val="decimal"/>
      <w:lvlText w:val=""/>
      <w:lvlJc w:val="left"/>
    </w:lvl>
    <w:lvl w:ilvl="4" w:tplc="09066BBA">
      <w:numFmt w:val="decimal"/>
      <w:lvlText w:val=""/>
      <w:lvlJc w:val="left"/>
    </w:lvl>
    <w:lvl w:ilvl="5" w:tplc="5D4497B0">
      <w:numFmt w:val="decimal"/>
      <w:lvlText w:val=""/>
      <w:lvlJc w:val="left"/>
    </w:lvl>
    <w:lvl w:ilvl="6" w:tplc="BFB86806">
      <w:numFmt w:val="decimal"/>
      <w:lvlText w:val=""/>
      <w:lvlJc w:val="left"/>
    </w:lvl>
    <w:lvl w:ilvl="7" w:tplc="285EF504">
      <w:numFmt w:val="decimal"/>
      <w:lvlText w:val=""/>
      <w:lvlJc w:val="left"/>
    </w:lvl>
    <w:lvl w:ilvl="8" w:tplc="5316EA74">
      <w:numFmt w:val="decimal"/>
      <w:lvlText w:val=""/>
      <w:lvlJc w:val="left"/>
    </w:lvl>
  </w:abstractNum>
  <w:abstractNum w:abstractNumId="164">
    <w:nsid w:val="38BF53E5"/>
    <w:multiLevelType w:val="hybridMultilevel"/>
    <w:tmpl w:val="AB2EAD44"/>
    <w:lvl w:ilvl="0" w:tplc="B48013B4">
      <w:start w:val="1"/>
      <w:numFmt w:val="bullet"/>
      <w:lvlText w:val=""/>
      <w:lvlJc w:val="left"/>
    </w:lvl>
    <w:lvl w:ilvl="1" w:tplc="1EA6443C">
      <w:start w:val="1"/>
      <w:numFmt w:val="bullet"/>
      <w:lvlText w:val=""/>
      <w:lvlJc w:val="left"/>
    </w:lvl>
    <w:lvl w:ilvl="2" w:tplc="42A411FA">
      <w:numFmt w:val="decimal"/>
      <w:lvlText w:val=""/>
      <w:lvlJc w:val="left"/>
    </w:lvl>
    <w:lvl w:ilvl="3" w:tplc="F03CBEDE">
      <w:numFmt w:val="decimal"/>
      <w:lvlText w:val=""/>
      <w:lvlJc w:val="left"/>
    </w:lvl>
    <w:lvl w:ilvl="4" w:tplc="BA3072DE">
      <w:numFmt w:val="decimal"/>
      <w:lvlText w:val=""/>
      <w:lvlJc w:val="left"/>
    </w:lvl>
    <w:lvl w:ilvl="5" w:tplc="1400B126">
      <w:numFmt w:val="decimal"/>
      <w:lvlText w:val=""/>
      <w:lvlJc w:val="left"/>
    </w:lvl>
    <w:lvl w:ilvl="6" w:tplc="AC2EF23A">
      <w:numFmt w:val="decimal"/>
      <w:lvlText w:val=""/>
      <w:lvlJc w:val="left"/>
    </w:lvl>
    <w:lvl w:ilvl="7" w:tplc="470024DA">
      <w:numFmt w:val="decimal"/>
      <w:lvlText w:val=""/>
      <w:lvlJc w:val="left"/>
    </w:lvl>
    <w:lvl w:ilvl="8" w:tplc="36501D8C">
      <w:numFmt w:val="decimal"/>
      <w:lvlText w:val=""/>
      <w:lvlJc w:val="left"/>
    </w:lvl>
  </w:abstractNum>
  <w:abstractNum w:abstractNumId="165">
    <w:nsid w:val="392EDBE4"/>
    <w:multiLevelType w:val="hybridMultilevel"/>
    <w:tmpl w:val="CDDAAC26"/>
    <w:lvl w:ilvl="0" w:tplc="CD4EC810">
      <w:start w:val="1"/>
      <w:numFmt w:val="bullet"/>
      <w:lvlText w:val=""/>
      <w:lvlJc w:val="left"/>
    </w:lvl>
    <w:lvl w:ilvl="1" w:tplc="ABF8C1C4">
      <w:numFmt w:val="decimal"/>
      <w:lvlText w:val=""/>
      <w:lvlJc w:val="left"/>
    </w:lvl>
    <w:lvl w:ilvl="2" w:tplc="F24044C0">
      <w:numFmt w:val="decimal"/>
      <w:lvlText w:val=""/>
      <w:lvlJc w:val="left"/>
    </w:lvl>
    <w:lvl w:ilvl="3" w:tplc="08DE84FA">
      <w:numFmt w:val="decimal"/>
      <w:lvlText w:val=""/>
      <w:lvlJc w:val="left"/>
    </w:lvl>
    <w:lvl w:ilvl="4" w:tplc="CF1E5092">
      <w:numFmt w:val="decimal"/>
      <w:lvlText w:val=""/>
      <w:lvlJc w:val="left"/>
    </w:lvl>
    <w:lvl w:ilvl="5" w:tplc="70084AEE">
      <w:numFmt w:val="decimal"/>
      <w:lvlText w:val=""/>
      <w:lvlJc w:val="left"/>
    </w:lvl>
    <w:lvl w:ilvl="6" w:tplc="1EE45E00">
      <w:numFmt w:val="decimal"/>
      <w:lvlText w:val=""/>
      <w:lvlJc w:val="left"/>
    </w:lvl>
    <w:lvl w:ilvl="7" w:tplc="BE6244E8">
      <w:numFmt w:val="decimal"/>
      <w:lvlText w:val=""/>
      <w:lvlJc w:val="left"/>
    </w:lvl>
    <w:lvl w:ilvl="8" w:tplc="C816766E">
      <w:numFmt w:val="decimal"/>
      <w:lvlText w:val=""/>
      <w:lvlJc w:val="left"/>
    </w:lvl>
  </w:abstractNum>
  <w:abstractNum w:abstractNumId="166">
    <w:nsid w:val="3957756A"/>
    <w:multiLevelType w:val="hybridMultilevel"/>
    <w:tmpl w:val="81A61F5C"/>
    <w:lvl w:ilvl="0" w:tplc="5FB65606">
      <w:start w:val="1"/>
      <w:numFmt w:val="bullet"/>
      <w:lvlText w:val=""/>
      <w:lvlJc w:val="left"/>
    </w:lvl>
    <w:lvl w:ilvl="1" w:tplc="AE047E02">
      <w:numFmt w:val="decimal"/>
      <w:lvlText w:val=""/>
      <w:lvlJc w:val="left"/>
    </w:lvl>
    <w:lvl w:ilvl="2" w:tplc="A3C2E308">
      <w:numFmt w:val="decimal"/>
      <w:lvlText w:val=""/>
      <w:lvlJc w:val="left"/>
    </w:lvl>
    <w:lvl w:ilvl="3" w:tplc="677EAABC">
      <w:numFmt w:val="decimal"/>
      <w:lvlText w:val=""/>
      <w:lvlJc w:val="left"/>
    </w:lvl>
    <w:lvl w:ilvl="4" w:tplc="97E6FAB0">
      <w:numFmt w:val="decimal"/>
      <w:lvlText w:val=""/>
      <w:lvlJc w:val="left"/>
    </w:lvl>
    <w:lvl w:ilvl="5" w:tplc="B93008B0">
      <w:numFmt w:val="decimal"/>
      <w:lvlText w:val=""/>
      <w:lvlJc w:val="left"/>
    </w:lvl>
    <w:lvl w:ilvl="6" w:tplc="88E6823C">
      <w:numFmt w:val="decimal"/>
      <w:lvlText w:val=""/>
      <w:lvlJc w:val="left"/>
    </w:lvl>
    <w:lvl w:ilvl="7" w:tplc="A0AA367E">
      <w:numFmt w:val="decimal"/>
      <w:lvlText w:val=""/>
      <w:lvlJc w:val="left"/>
    </w:lvl>
    <w:lvl w:ilvl="8" w:tplc="0EFAF93A">
      <w:numFmt w:val="decimal"/>
      <w:lvlText w:val=""/>
      <w:lvlJc w:val="left"/>
    </w:lvl>
  </w:abstractNum>
  <w:abstractNum w:abstractNumId="167">
    <w:nsid w:val="39DF2579"/>
    <w:multiLevelType w:val="hybridMultilevel"/>
    <w:tmpl w:val="B34C1524"/>
    <w:lvl w:ilvl="0" w:tplc="80748700">
      <w:start w:val="15"/>
      <w:numFmt w:val="lowerLetter"/>
      <w:lvlText w:val="%1"/>
      <w:lvlJc w:val="left"/>
    </w:lvl>
    <w:lvl w:ilvl="1" w:tplc="72D4998E">
      <w:numFmt w:val="decimal"/>
      <w:lvlText w:val=""/>
      <w:lvlJc w:val="left"/>
    </w:lvl>
    <w:lvl w:ilvl="2" w:tplc="7082ADCA">
      <w:numFmt w:val="decimal"/>
      <w:lvlText w:val=""/>
      <w:lvlJc w:val="left"/>
    </w:lvl>
    <w:lvl w:ilvl="3" w:tplc="9AAE7BF2">
      <w:numFmt w:val="decimal"/>
      <w:lvlText w:val=""/>
      <w:lvlJc w:val="left"/>
    </w:lvl>
    <w:lvl w:ilvl="4" w:tplc="8FE25508">
      <w:numFmt w:val="decimal"/>
      <w:lvlText w:val=""/>
      <w:lvlJc w:val="left"/>
    </w:lvl>
    <w:lvl w:ilvl="5" w:tplc="7E4EE1D4">
      <w:numFmt w:val="decimal"/>
      <w:lvlText w:val=""/>
      <w:lvlJc w:val="left"/>
    </w:lvl>
    <w:lvl w:ilvl="6" w:tplc="1F9E366C">
      <w:numFmt w:val="decimal"/>
      <w:lvlText w:val=""/>
      <w:lvlJc w:val="left"/>
    </w:lvl>
    <w:lvl w:ilvl="7" w:tplc="3E5488E0">
      <w:numFmt w:val="decimal"/>
      <w:lvlText w:val=""/>
      <w:lvlJc w:val="left"/>
    </w:lvl>
    <w:lvl w:ilvl="8" w:tplc="7E3C2460">
      <w:numFmt w:val="decimal"/>
      <w:lvlText w:val=""/>
      <w:lvlJc w:val="left"/>
    </w:lvl>
  </w:abstractNum>
  <w:abstractNum w:abstractNumId="168">
    <w:nsid w:val="3AA10581"/>
    <w:multiLevelType w:val="hybridMultilevel"/>
    <w:tmpl w:val="E71E0EE2"/>
    <w:lvl w:ilvl="0" w:tplc="3A309C36">
      <w:start w:val="1"/>
      <w:numFmt w:val="bullet"/>
      <w:lvlText w:val=""/>
      <w:lvlJc w:val="left"/>
    </w:lvl>
    <w:lvl w:ilvl="1" w:tplc="55808EEE">
      <w:numFmt w:val="decimal"/>
      <w:lvlText w:val=""/>
      <w:lvlJc w:val="left"/>
    </w:lvl>
    <w:lvl w:ilvl="2" w:tplc="E75AEB2A">
      <w:numFmt w:val="decimal"/>
      <w:lvlText w:val=""/>
      <w:lvlJc w:val="left"/>
    </w:lvl>
    <w:lvl w:ilvl="3" w:tplc="278EC3E4">
      <w:numFmt w:val="decimal"/>
      <w:lvlText w:val=""/>
      <w:lvlJc w:val="left"/>
    </w:lvl>
    <w:lvl w:ilvl="4" w:tplc="85164336">
      <w:numFmt w:val="decimal"/>
      <w:lvlText w:val=""/>
      <w:lvlJc w:val="left"/>
    </w:lvl>
    <w:lvl w:ilvl="5" w:tplc="BAA623F8">
      <w:numFmt w:val="decimal"/>
      <w:lvlText w:val=""/>
      <w:lvlJc w:val="left"/>
    </w:lvl>
    <w:lvl w:ilvl="6" w:tplc="57968AAE">
      <w:numFmt w:val="decimal"/>
      <w:lvlText w:val=""/>
      <w:lvlJc w:val="left"/>
    </w:lvl>
    <w:lvl w:ilvl="7" w:tplc="C4B4AB94">
      <w:numFmt w:val="decimal"/>
      <w:lvlText w:val=""/>
      <w:lvlJc w:val="left"/>
    </w:lvl>
    <w:lvl w:ilvl="8" w:tplc="F81037AE">
      <w:numFmt w:val="decimal"/>
      <w:lvlText w:val=""/>
      <w:lvlJc w:val="left"/>
    </w:lvl>
  </w:abstractNum>
  <w:abstractNum w:abstractNumId="169">
    <w:nsid w:val="3B1DD403"/>
    <w:multiLevelType w:val="hybridMultilevel"/>
    <w:tmpl w:val="4964DA8C"/>
    <w:lvl w:ilvl="0" w:tplc="DE6C6A32">
      <w:start w:val="1"/>
      <w:numFmt w:val="bullet"/>
      <w:lvlText w:val=""/>
      <w:lvlJc w:val="left"/>
    </w:lvl>
    <w:lvl w:ilvl="1" w:tplc="7F22DFD2">
      <w:start w:val="1"/>
      <w:numFmt w:val="bullet"/>
      <w:lvlText w:val="*"/>
      <w:lvlJc w:val="left"/>
    </w:lvl>
    <w:lvl w:ilvl="2" w:tplc="394EEB90">
      <w:numFmt w:val="decimal"/>
      <w:lvlText w:val=""/>
      <w:lvlJc w:val="left"/>
    </w:lvl>
    <w:lvl w:ilvl="3" w:tplc="965CABDC">
      <w:numFmt w:val="decimal"/>
      <w:lvlText w:val=""/>
      <w:lvlJc w:val="left"/>
    </w:lvl>
    <w:lvl w:ilvl="4" w:tplc="BB8C7FB8">
      <w:numFmt w:val="decimal"/>
      <w:lvlText w:val=""/>
      <w:lvlJc w:val="left"/>
    </w:lvl>
    <w:lvl w:ilvl="5" w:tplc="597E898E">
      <w:numFmt w:val="decimal"/>
      <w:lvlText w:val=""/>
      <w:lvlJc w:val="left"/>
    </w:lvl>
    <w:lvl w:ilvl="6" w:tplc="B0DEDE3C">
      <w:numFmt w:val="decimal"/>
      <w:lvlText w:val=""/>
      <w:lvlJc w:val="left"/>
    </w:lvl>
    <w:lvl w:ilvl="7" w:tplc="47724EF6">
      <w:numFmt w:val="decimal"/>
      <w:lvlText w:val=""/>
      <w:lvlJc w:val="left"/>
    </w:lvl>
    <w:lvl w:ilvl="8" w:tplc="8162FCE6">
      <w:numFmt w:val="decimal"/>
      <w:lvlText w:val=""/>
      <w:lvlJc w:val="left"/>
    </w:lvl>
  </w:abstractNum>
  <w:abstractNum w:abstractNumId="170">
    <w:nsid w:val="3B3EBE15"/>
    <w:multiLevelType w:val="hybridMultilevel"/>
    <w:tmpl w:val="49D62838"/>
    <w:lvl w:ilvl="0" w:tplc="578649B4">
      <w:start w:val="5"/>
      <w:numFmt w:val="decimal"/>
      <w:lvlText w:val="%1"/>
      <w:lvlJc w:val="left"/>
    </w:lvl>
    <w:lvl w:ilvl="1" w:tplc="10C4ACCC">
      <w:numFmt w:val="decimal"/>
      <w:lvlText w:val=""/>
      <w:lvlJc w:val="left"/>
    </w:lvl>
    <w:lvl w:ilvl="2" w:tplc="A5EE414A">
      <w:numFmt w:val="decimal"/>
      <w:lvlText w:val=""/>
      <w:lvlJc w:val="left"/>
    </w:lvl>
    <w:lvl w:ilvl="3" w:tplc="3E604F56">
      <w:numFmt w:val="decimal"/>
      <w:lvlText w:val=""/>
      <w:lvlJc w:val="left"/>
    </w:lvl>
    <w:lvl w:ilvl="4" w:tplc="0B8668E4">
      <w:numFmt w:val="decimal"/>
      <w:lvlText w:val=""/>
      <w:lvlJc w:val="left"/>
    </w:lvl>
    <w:lvl w:ilvl="5" w:tplc="78A00432">
      <w:numFmt w:val="decimal"/>
      <w:lvlText w:val=""/>
      <w:lvlJc w:val="left"/>
    </w:lvl>
    <w:lvl w:ilvl="6" w:tplc="45D8E56C">
      <w:numFmt w:val="decimal"/>
      <w:lvlText w:val=""/>
      <w:lvlJc w:val="left"/>
    </w:lvl>
    <w:lvl w:ilvl="7" w:tplc="FAB0C8BC">
      <w:numFmt w:val="decimal"/>
      <w:lvlText w:val=""/>
      <w:lvlJc w:val="left"/>
    </w:lvl>
    <w:lvl w:ilvl="8" w:tplc="62D4F374">
      <w:numFmt w:val="decimal"/>
      <w:lvlText w:val=""/>
      <w:lvlJc w:val="left"/>
    </w:lvl>
  </w:abstractNum>
  <w:abstractNum w:abstractNumId="171">
    <w:nsid w:val="3BAB699E"/>
    <w:multiLevelType w:val="hybridMultilevel"/>
    <w:tmpl w:val="D764D360"/>
    <w:lvl w:ilvl="0" w:tplc="9CBC44FA">
      <w:start w:val="1"/>
      <w:numFmt w:val="bullet"/>
      <w:lvlText w:val=""/>
      <w:lvlJc w:val="left"/>
    </w:lvl>
    <w:lvl w:ilvl="1" w:tplc="B89485B8">
      <w:numFmt w:val="decimal"/>
      <w:lvlText w:val=""/>
      <w:lvlJc w:val="left"/>
    </w:lvl>
    <w:lvl w:ilvl="2" w:tplc="42EA794C">
      <w:numFmt w:val="decimal"/>
      <w:lvlText w:val=""/>
      <w:lvlJc w:val="left"/>
    </w:lvl>
    <w:lvl w:ilvl="3" w:tplc="ED046F6C">
      <w:numFmt w:val="decimal"/>
      <w:lvlText w:val=""/>
      <w:lvlJc w:val="left"/>
    </w:lvl>
    <w:lvl w:ilvl="4" w:tplc="F8BAAEB6">
      <w:numFmt w:val="decimal"/>
      <w:lvlText w:val=""/>
      <w:lvlJc w:val="left"/>
    </w:lvl>
    <w:lvl w:ilvl="5" w:tplc="29A29E52">
      <w:numFmt w:val="decimal"/>
      <w:lvlText w:val=""/>
      <w:lvlJc w:val="left"/>
    </w:lvl>
    <w:lvl w:ilvl="6" w:tplc="1904106E">
      <w:numFmt w:val="decimal"/>
      <w:lvlText w:val=""/>
      <w:lvlJc w:val="left"/>
    </w:lvl>
    <w:lvl w:ilvl="7" w:tplc="B8B8DFBE">
      <w:numFmt w:val="decimal"/>
      <w:lvlText w:val=""/>
      <w:lvlJc w:val="left"/>
    </w:lvl>
    <w:lvl w:ilvl="8" w:tplc="F62824EE">
      <w:numFmt w:val="decimal"/>
      <w:lvlText w:val=""/>
      <w:lvlJc w:val="left"/>
    </w:lvl>
  </w:abstractNum>
  <w:abstractNum w:abstractNumId="172">
    <w:nsid w:val="3BD615EB"/>
    <w:multiLevelType w:val="hybridMultilevel"/>
    <w:tmpl w:val="097AED9C"/>
    <w:lvl w:ilvl="0" w:tplc="3EF83434">
      <w:start w:val="1"/>
      <w:numFmt w:val="bullet"/>
      <w:lvlText w:val=""/>
      <w:lvlJc w:val="left"/>
    </w:lvl>
    <w:lvl w:ilvl="1" w:tplc="1BD41BE6">
      <w:numFmt w:val="decimal"/>
      <w:lvlText w:val=""/>
      <w:lvlJc w:val="left"/>
    </w:lvl>
    <w:lvl w:ilvl="2" w:tplc="9A588FC4">
      <w:numFmt w:val="decimal"/>
      <w:lvlText w:val=""/>
      <w:lvlJc w:val="left"/>
    </w:lvl>
    <w:lvl w:ilvl="3" w:tplc="BE36A2B2">
      <w:numFmt w:val="decimal"/>
      <w:lvlText w:val=""/>
      <w:lvlJc w:val="left"/>
    </w:lvl>
    <w:lvl w:ilvl="4" w:tplc="23D60EC4">
      <w:numFmt w:val="decimal"/>
      <w:lvlText w:val=""/>
      <w:lvlJc w:val="left"/>
    </w:lvl>
    <w:lvl w:ilvl="5" w:tplc="EA789C4A">
      <w:numFmt w:val="decimal"/>
      <w:lvlText w:val=""/>
      <w:lvlJc w:val="left"/>
    </w:lvl>
    <w:lvl w:ilvl="6" w:tplc="42D8CDF4">
      <w:numFmt w:val="decimal"/>
      <w:lvlText w:val=""/>
      <w:lvlJc w:val="left"/>
    </w:lvl>
    <w:lvl w:ilvl="7" w:tplc="BC92D0D2">
      <w:numFmt w:val="decimal"/>
      <w:lvlText w:val=""/>
      <w:lvlJc w:val="left"/>
    </w:lvl>
    <w:lvl w:ilvl="8" w:tplc="86AE4CBA">
      <w:numFmt w:val="decimal"/>
      <w:lvlText w:val=""/>
      <w:lvlJc w:val="left"/>
    </w:lvl>
  </w:abstractNum>
  <w:abstractNum w:abstractNumId="173">
    <w:nsid w:val="3C09D4A1"/>
    <w:multiLevelType w:val="hybridMultilevel"/>
    <w:tmpl w:val="8C0E66C2"/>
    <w:lvl w:ilvl="0" w:tplc="934C332A">
      <w:start w:val="10"/>
      <w:numFmt w:val="decimal"/>
      <w:lvlText w:val="%1"/>
      <w:lvlJc w:val="left"/>
    </w:lvl>
    <w:lvl w:ilvl="1" w:tplc="1EC83B8C">
      <w:numFmt w:val="decimal"/>
      <w:lvlText w:val=""/>
      <w:lvlJc w:val="left"/>
    </w:lvl>
    <w:lvl w:ilvl="2" w:tplc="F6EC7562">
      <w:numFmt w:val="decimal"/>
      <w:lvlText w:val=""/>
      <w:lvlJc w:val="left"/>
    </w:lvl>
    <w:lvl w:ilvl="3" w:tplc="CE3EBE26">
      <w:numFmt w:val="decimal"/>
      <w:lvlText w:val=""/>
      <w:lvlJc w:val="left"/>
    </w:lvl>
    <w:lvl w:ilvl="4" w:tplc="4784F3DC">
      <w:numFmt w:val="decimal"/>
      <w:lvlText w:val=""/>
      <w:lvlJc w:val="left"/>
    </w:lvl>
    <w:lvl w:ilvl="5" w:tplc="FA02DC72">
      <w:numFmt w:val="decimal"/>
      <w:lvlText w:val=""/>
      <w:lvlJc w:val="left"/>
    </w:lvl>
    <w:lvl w:ilvl="6" w:tplc="B7A02BFE">
      <w:numFmt w:val="decimal"/>
      <w:lvlText w:val=""/>
      <w:lvlJc w:val="left"/>
    </w:lvl>
    <w:lvl w:ilvl="7" w:tplc="2638A5C2">
      <w:numFmt w:val="decimal"/>
      <w:lvlText w:val=""/>
      <w:lvlJc w:val="left"/>
    </w:lvl>
    <w:lvl w:ilvl="8" w:tplc="B41E8BB0">
      <w:numFmt w:val="decimal"/>
      <w:lvlText w:val=""/>
      <w:lvlJc w:val="left"/>
    </w:lvl>
  </w:abstractNum>
  <w:abstractNum w:abstractNumId="174">
    <w:nsid w:val="3C3B72B2"/>
    <w:multiLevelType w:val="hybridMultilevel"/>
    <w:tmpl w:val="B16E80E6"/>
    <w:lvl w:ilvl="0" w:tplc="5838BFA4">
      <w:start w:val="3"/>
      <w:numFmt w:val="lowerLetter"/>
      <w:lvlText w:val="%1)"/>
      <w:lvlJc w:val="left"/>
    </w:lvl>
    <w:lvl w:ilvl="1" w:tplc="8C7839D0">
      <w:numFmt w:val="decimal"/>
      <w:lvlText w:val=""/>
      <w:lvlJc w:val="left"/>
    </w:lvl>
    <w:lvl w:ilvl="2" w:tplc="5552C160">
      <w:numFmt w:val="decimal"/>
      <w:lvlText w:val=""/>
      <w:lvlJc w:val="left"/>
    </w:lvl>
    <w:lvl w:ilvl="3" w:tplc="1C624C8A">
      <w:numFmt w:val="decimal"/>
      <w:lvlText w:val=""/>
      <w:lvlJc w:val="left"/>
    </w:lvl>
    <w:lvl w:ilvl="4" w:tplc="D2220F58">
      <w:numFmt w:val="decimal"/>
      <w:lvlText w:val=""/>
      <w:lvlJc w:val="left"/>
    </w:lvl>
    <w:lvl w:ilvl="5" w:tplc="E8C0956C">
      <w:numFmt w:val="decimal"/>
      <w:lvlText w:val=""/>
      <w:lvlJc w:val="left"/>
    </w:lvl>
    <w:lvl w:ilvl="6" w:tplc="EC62EA9C">
      <w:numFmt w:val="decimal"/>
      <w:lvlText w:val=""/>
      <w:lvlJc w:val="left"/>
    </w:lvl>
    <w:lvl w:ilvl="7" w:tplc="FA589C26">
      <w:numFmt w:val="decimal"/>
      <w:lvlText w:val=""/>
      <w:lvlJc w:val="left"/>
    </w:lvl>
    <w:lvl w:ilvl="8" w:tplc="FFC85320">
      <w:numFmt w:val="decimal"/>
      <w:lvlText w:val=""/>
      <w:lvlJc w:val="left"/>
    </w:lvl>
  </w:abstractNum>
  <w:abstractNum w:abstractNumId="175">
    <w:nsid w:val="3CE732EC"/>
    <w:multiLevelType w:val="hybridMultilevel"/>
    <w:tmpl w:val="756AFE9C"/>
    <w:lvl w:ilvl="0" w:tplc="67B85FA6">
      <w:start w:val="1"/>
      <w:numFmt w:val="bullet"/>
      <w:lvlText w:val=""/>
      <w:lvlJc w:val="left"/>
    </w:lvl>
    <w:lvl w:ilvl="1" w:tplc="F3C46B2C">
      <w:numFmt w:val="decimal"/>
      <w:lvlText w:val=""/>
      <w:lvlJc w:val="left"/>
    </w:lvl>
    <w:lvl w:ilvl="2" w:tplc="DFE03944">
      <w:numFmt w:val="decimal"/>
      <w:lvlText w:val=""/>
      <w:lvlJc w:val="left"/>
    </w:lvl>
    <w:lvl w:ilvl="3" w:tplc="75F22A9E">
      <w:numFmt w:val="decimal"/>
      <w:lvlText w:val=""/>
      <w:lvlJc w:val="left"/>
    </w:lvl>
    <w:lvl w:ilvl="4" w:tplc="4C7A36EE">
      <w:numFmt w:val="decimal"/>
      <w:lvlText w:val=""/>
      <w:lvlJc w:val="left"/>
    </w:lvl>
    <w:lvl w:ilvl="5" w:tplc="90464B10">
      <w:numFmt w:val="decimal"/>
      <w:lvlText w:val=""/>
      <w:lvlJc w:val="left"/>
    </w:lvl>
    <w:lvl w:ilvl="6" w:tplc="34D8C568">
      <w:numFmt w:val="decimal"/>
      <w:lvlText w:val=""/>
      <w:lvlJc w:val="left"/>
    </w:lvl>
    <w:lvl w:ilvl="7" w:tplc="DF7878B0">
      <w:numFmt w:val="decimal"/>
      <w:lvlText w:val=""/>
      <w:lvlJc w:val="left"/>
    </w:lvl>
    <w:lvl w:ilvl="8" w:tplc="59E4D5B2">
      <w:numFmt w:val="decimal"/>
      <w:lvlText w:val=""/>
      <w:lvlJc w:val="left"/>
    </w:lvl>
  </w:abstractNum>
  <w:abstractNum w:abstractNumId="176">
    <w:nsid w:val="3CEBD7C7"/>
    <w:multiLevelType w:val="hybridMultilevel"/>
    <w:tmpl w:val="9724BAB2"/>
    <w:lvl w:ilvl="0" w:tplc="F03CE8B8">
      <w:start w:val="1"/>
      <w:numFmt w:val="bullet"/>
      <w:lvlText w:val="à"/>
      <w:lvlJc w:val="left"/>
    </w:lvl>
    <w:lvl w:ilvl="1" w:tplc="5D46BF9C">
      <w:numFmt w:val="decimal"/>
      <w:lvlText w:val=""/>
      <w:lvlJc w:val="left"/>
    </w:lvl>
    <w:lvl w:ilvl="2" w:tplc="3D46254E">
      <w:numFmt w:val="decimal"/>
      <w:lvlText w:val=""/>
      <w:lvlJc w:val="left"/>
    </w:lvl>
    <w:lvl w:ilvl="3" w:tplc="6AB6271A">
      <w:numFmt w:val="decimal"/>
      <w:lvlText w:val=""/>
      <w:lvlJc w:val="left"/>
    </w:lvl>
    <w:lvl w:ilvl="4" w:tplc="5C9E87B8">
      <w:numFmt w:val="decimal"/>
      <w:lvlText w:val=""/>
      <w:lvlJc w:val="left"/>
    </w:lvl>
    <w:lvl w:ilvl="5" w:tplc="1046A962">
      <w:numFmt w:val="decimal"/>
      <w:lvlText w:val=""/>
      <w:lvlJc w:val="left"/>
    </w:lvl>
    <w:lvl w:ilvl="6" w:tplc="8446FD7A">
      <w:numFmt w:val="decimal"/>
      <w:lvlText w:val=""/>
      <w:lvlJc w:val="left"/>
    </w:lvl>
    <w:lvl w:ilvl="7" w:tplc="E9723E42">
      <w:numFmt w:val="decimal"/>
      <w:lvlText w:val=""/>
      <w:lvlJc w:val="left"/>
    </w:lvl>
    <w:lvl w:ilvl="8" w:tplc="D986A18A">
      <w:numFmt w:val="decimal"/>
      <w:lvlText w:val=""/>
      <w:lvlJc w:val="left"/>
    </w:lvl>
  </w:abstractNum>
  <w:abstractNum w:abstractNumId="177">
    <w:nsid w:val="3CF93092"/>
    <w:multiLevelType w:val="hybridMultilevel"/>
    <w:tmpl w:val="51B86AB6"/>
    <w:lvl w:ilvl="0" w:tplc="5E1A817C">
      <w:start w:val="2"/>
      <w:numFmt w:val="decimal"/>
      <w:lvlText w:val="%1"/>
      <w:lvlJc w:val="left"/>
    </w:lvl>
    <w:lvl w:ilvl="1" w:tplc="143ECF04">
      <w:numFmt w:val="decimal"/>
      <w:lvlText w:val=""/>
      <w:lvlJc w:val="left"/>
    </w:lvl>
    <w:lvl w:ilvl="2" w:tplc="7FD0F588">
      <w:numFmt w:val="decimal"/>
      <w:lvlText w:val=""/>
      <w:lvlJc w:val="left"/>
    </w:lvl>
    <w:lvl w:ilvl="3" w:tplc="EA461ABA">
      <w:numFmt w:val="decimal"/>
      <w:lvlText w:val=""/>
      <w:lvlJc w:val="left"/>
    </w:lvl>
    <w:lvl w:ilvl="4" w:tplc="BCF0E0A8">
      <w:numFmt w:val="decimal"/>
      <w:lvlText w:val=""/>
      <w:lvlJc w:val="left"/>
    </w:lvl>
    <w:lvl w:ilvl="5" w:tplc="45A8B9C2">
      <w:numFmt w:val="decimal"/>
      <w:lvlText w:val=""/>
      <w:lvlJc w:val="left"/>
    </w:lvl>
    <w:lvl w:ilvl="6" w:tplc="BE404D26">
      <w:numFmt w:val="decimal"/>
      <w:lvlText w:val=""/>
      <w:lvlJc w:val="left"/>
    </w:lvl>
    <w:lvl w:ilvl="7" w:tplc="3DA2CD10">
      <w:numFmt w:val="decimal"/>
      <w:lvlText w:val=""/>
      <w:lvlJc w:val="left"/>
    </w:lvl>
    <w:lvl w:ilvl="8" w:tplc="9CAAB9F2">
      <w:numFmt w:val="decimal"/>
      <w:lvlText w:val=""/>
      <w:lvlJc w:val="left"/>
    </w:lvl>
  </w:abstractNum>
  <w:abstractNum w:abstractNumId="178">
    <w:nsid w:val="3D00B9D9"/>
    <w:multiLevelType w:val="hybridMultilevel"/>
    <w:tmpl w:val="A4222F5E"/>
    <w:lvl w:ilvl="0" w:tplc="A96C2234">
      <w:start w:val="1"/>
      <w:numFmt w:val="decimal"/>
      <w:lvlText w:val="%1"/>
      <w:lvlJc w:val="left"/>
    </w:lvl>
    <w:lvl w:ilvl="1" w:tplc="97565CC0">
      <w:numFmt w:val="decimal"/>
      <w:lvlText w:val=""/>
      <w:lvlJc w:val="left"/>
    </w:lvl>
    <w:lvl w:ilvl="2" w:tplc="C2166FAA">
      <w:numFmt w:val="decimal"/>
      <w:lvlText w:val=""/>
      <w:lvlJc w:val="left"/>
    </w:lvl>
    <w:lvl w:ilvl="3" w:tplc="50E2775A">
      <w:numFmt w:val="decimal"/>
      <w:lvlText w:val=""/>
      <w:lvlJc w:val="left"/>
    </w:lvl>
    <w:lvl w:ilvl="4" w:tplc="4BF08748">
      <w:numFmt w:val="decimal"/>
      <w:lvlText w:val=""/>
      <w:lvlJc w:val="left"/>
    </w:lvl>
    <w:lvl w:ilvl="5" w:tplc="7F404208">
      <w:numFmt w:val="decimal"/>
      <w:lvlText w:val=""/>
      <w:lvlJc w:val="left"/>
    </w:lvl>
    <w:lvl w:ilvl="6" w:tplc="83746702">
      <w:numFmt w:val="decimal"/>
      <w:lvlText w:val=""/>
      <w:lvlJc w:val="left"/>
    </w:lvl>
    <w:lvl w:ilvl="7" w:tplc="18025850">
      <w:numFmt w:val="decimal"/>
      <w:lvlText w:val=""/>
      <w:lvlJc w:val="left"/>
    </w:lvl>
    <w:lvl w:ilvl="8" w:tplc="8EF4B01A">
      <w:numFmt w:val="decimal"/>
      <w:lvlText w:val=""/>
      <w:lvlJc w:val="left"/>
    </w:lvl>
  </w:abstractNum>
  <w:abstractNum w:abstractNumId="179">
    <w:nsid w:val="3D1A2DD9"/>
    <w:multiLevelType w:val="hybridMultilevel"/>
    <w:tmpl w:val="D2E08732"/>
    <w:lvl w:ilvl="0" w:tplc="328C88C4">
      <w:start w:val="1"/>
      <w:numFmt w:val="bullet"/>
      <w:lvlText w:val="-"/>
      <w:lvlJc w:val="left"/>
    </w:lvl>
    <w:lvl w:ilvl="1" w:tplc="3A564688">
      <w:numFmt w:val="decimal"/>
      <w:lvlText w:val=""/>
      <w:lvlJc w:val="left"/>
    </w:lvl>
    <w:lvl w:ilvl="2" w:tplc="1AAA7244">
      <w:numFmt w:val="decimal"/>
      <w:lvlText w:val=""/>
      <w:lvlJc w:val="left"/>
    </w:lvl>
    <w:lvl w:ilvl="3" w:tplc="35346B12">
      <w:numFmt w:val="decimal"/>
      <w:lvlText w:val=""/>
      <w:lvlJc w:val="left"/>
    </w:lvl>
    <w:lvl w:ilvl="4" w:tplc="21A03B0E">
      <w:numFmt w:val="decimal"/>
      <w:lvlText w:val=""/>
      <w:lvlJc w:val="left"/>
    </w:lvl>
    <w:lvl w:ilvl="5" w:tplc="D440560C">
      <w:numFmt w:val="decimal"/>
      <w:lvlText w:val=""/>
      <w:lvlJc w:val="left"/>
    </w:lvl>
    <w:lvl w:ilvl="6" w:tplc="99FCD706">
      <w:numFmt w:val="decimal"/>
      <w:lvlText w:val=""/>
      <w:lvlJc w:val="left"/>
    </w:lvl>
    <w:lvl w:ilvl="7" w:tplc="9B58F784">
      <w:numFmt w:val="decimal"/>
      <w:lvlText w:val=""/>
      <w:lvlJc w:val="left"/>
    </w:lvl>
    <w:lvl w:ilvl="8" w:tplc="44B413EA">
      <w:numFmt w:val="decimal"/>
      <w:lvlText w:val=""/>
      <w:lvlJc w:val="left"/>
    </w:lvl>
  </w:abstractNum>
  <w:abstractNum w:abstractNumId="180">
    <w:nsid w:val="3D206613"/>
    <w:multiLevelType w:val="hybridMultilevel"/>
    <w:tmpl w:val="FB8A6C72"/>
    <w:lvl w:ilvl="0" w:tplc="AA365EDC">
      <w:start w:val="3"/>
      <w:numFmt w:val="decimal"/>
      <w:lvlText w:val="%1"/>
      <w:lvlJc w:val="left"/>
    </w:lvl>
    <w:lvl w:ilvl="1" w:tplc="AF1A169A">
      <w:numFmt w:val="decimal"/>
      <w:lvlText w:val=""/>
      <w:lvlJc w:val="left"/>
    </w:lvl>
    <w:lvl w:ilvl="2" w:tplc="8AAEDB1A">
      <w:numFmt w:val="decimal"/>
      <w:lvlText w:val=""/>
      <w:lvlJc w:val="left"/>
    </w:lvl>
    <w:lvl w:ilvl="3" w:tplc="FDB46CE4">
      <w:numFmt w:val="decimal"/>
      <w:lvlText w:val=""/>
      <w:lvlJc w:val="left"/>
    </w:lvl>
    <w:lvl w:ilvl="4" w:tplc="E75E9800">
      <w:numFmt w:val="decimal"/>
      <w:lvlText w:val=""/>
      <w:lvlJc w:val="left"/>
    </w:lvl>
    <w:lvl w:ilvl="5" w:tplc="B360D5F0">
      <w:numFmt w:val="decimal"/>
      <w:lvlText w:val=""/>
      <w:lvlJc w:val="left"/>
    </w:lvl>
    <w:lvl w:ilvl="6" w:tplc="013E1380">
      <w:numFmt w:val="decimal"/>
      <w:lvlText w:val=""/>
      <w:lvlJc w:val="left"/>
    </w:lvl>
    <w:lvl w:ilvl="7" w:tplc="66EAB7AA">
      <w:numFmt w:val="decimal"/>
      <w:lvlText w:val=""/>
      <w:lvlJc w:val="left"/>
    </w:lvl>
    <w:lvl w:ilvl="8" w:tplc="6354FB2A">
      <w:numFmt w:val="decimal"/>
      <w:lvlText w:val=""/>
      <w:lvlJc w:val="left"/>
    </w:lvl>
  </w:abstractNum>
  <w:abstractNum w:abstractNumId="181">
    <w:nsid w:val="3D2DD275"/>
    <w:multiLevelType w:val="hybridMultilevel"/>
    <w:tmpl w:val="A94A1C52"/>
    <w:lvl w:ilvl="0" w:tplc="E988AC0A">
      <w:start w:val="5"/>
      <w:numFmt w:val="decimal"/>
      <w:lvlText w:val="%1."/>
      <w:lvlJc w:val="left"/>
    </w:lvl>
    <w:lvl w:ilvl="1" w:tplc="9B467038">
      <w:numFmt w:val="decimal"/>
      <w:lvlText w:val=""/>
      <w:lvlJc w:val="left"/>
    </w:lvl>
    <w:lvl w:ilvl="2" w:tplc="7E32CE9A">
      <w:numFmt w:val="decimal"/>
      <w:lvlText w:val=""/>
      <w:lvlJc w:val="left"/>
    </w:lvl>
    <w:lvl w:ilvl="3" w:tplc="9104E25C">
      <w:numFmt w:val="decimal"/>
      <w:lvlText w:val=""/>
      <w:lvlJc w:val="left"/>
    </w:lvl>
    <w:lvl w:ilvl="4" w:tplc="60E6C260">
      <w:numFmt w:val="decimal"/>
      <w:lvlText w:val=""/>
      <w:lvlJc w:val="left"/>
    </w:lvl>
    <w:lvl w:ilvl="5" w:tplc="5E763CB6">
      <w:numFmt w:val="decimal"/>
      <w:lvlText w:val=""/>
      <w:lvlJc w:val="left"/>
    </w:lvl>
    <w:lvl w:ilvl="6" w:tplc="5F640FE8">
      <w:numFmt w:val="decimal"/>
      <w:lvlText w:val=""/>
      <w:lvlJc w:val="left"/>
    </w:lvl>
    <w:lvl w:ilvl="7" w:tplc="8C1817C6">
      <w:numFmt w:val="decimal"/>
      <w:lvlText w:val=""/>
      <w:lvlJc w:val="left"/>
    </w:lvl>
    <w:lvl w:ilvl="8" w:tplc="487C230E">
      <w:numFmt w:val="decimal"/>
      <w:lvlText w:val=""/>
      <w:lvlJc w:val="left"/>
    </w:lvl>
  </w:abstractNum>
  <w:abstractNum w:abstractNumId="182">
    <w:nsid w:val="3DA97044"/>
    <w:multiLevelType w:val="hybridMultilevel"/>
    <w:tmpl w:val="C1881B86"/>
    <w:lvl w:ilvl="0" w:tplc="5A3C4116">
      <w:start w:val="1"/>
      <w:numFmt w:val="bullet"/>
      <w:lvlText w:val=""/>
      <w:lvlJc w:val="left"/>
    </w:lvl>
    <w:lvl w:ilvl="1" w:tplc="56B86A3A">
      <w:numFmt w:val="decimal"/>
      <w:lvlText w:val=""/>
      <w:lvlJc w:val="left"/>
    </w:lvl>
    <w:lvl w:ilvl="2" w:tplc="9C6678CA">
      <w:numFmt w:val="decimal"/>
      <w:lvlText w:val=""/>
      <w:lvlJc w:val="left"/>
    </w:lvl>
    <w:lvl w:ilvl="3" w:tplc="4498DAF2">
      <w:numFmt w:val="decimal"/>
      <w:lvlText w:val=""/>
      <w:lvlJc w:val="left"/>
    </w:lvl>
    <w:lvl w:ilvl="4" w:tplc="F47E4C0C">
      <w:numFmt w:val="decimal"/>
      <w:lvlText w:val=""/>
      <w:lvlJc w:val="left"/>
    </w:lvl>
    <w:lvl w:ilvl="5" w:tplc="E644532E">
      <w:numFmt w:val="decimal"/>
      <w:lvlText w:val=""/>
      <w:lvlJc w:val="left"/>
    </w:lvl>
    <w:lvl w:ilvl="6" w:tplc="977C1C12">
      <w:numFmt w:val="decimal"/>
      <w:lvlText w:val=""/>
      <w:lvlJc w:val="left"/>
    </w:lvl>
    <w:lvl w:ilvl="7" w:tplc="49FE0DAE">
      <w:numFmt w:val="decimal"/>
      <w:lvlText w:val=""/>
      <w:lvlJc w:val="left"/>
    </w:lvl>
    <w:lvl w:ilvl="8" w:tplc="52CE112C">
      <w:numFmt w:val="decimal"/>
      <w:lvlText w:val=""/>
      <w:lvlJc w:val="left"/>
    </w:lvl>
  </w:abstractNum>
  <w:abstractNum w:abstractNumId="183">
    <w:nsid w:val="3DE8306C"/>
    <w:multiLevelType w:val="hybridMultilevel"/>
    <w:tmpl w:val="2744A58C"/>
    <w:lvl w:ilvl="0" w:tplc="801C10EA">
      <w:start w:val="1"/>
      <w:numFmt w:val="bullet"/>
      <w:lvlText w:val=""/>
      <w:lvlJc w:val="left"/>
    </w:lvl>
    <w:lvl w:ilvl="1" w:tplc="3BDCC5F2">
      <w:numFmt w:val="decimal"/>
      <w:lvlText w:val=""/>
      <w:lvlJc w:val="left"/>
    </w:lvl>
    <w:lvl w:ilvl="2" w:tplc="603098BA">
      <w:numFmt w:val="decimal"/>
      <w:lvlText w:val=""/>
      <w:lvlJc w:val="left"/>
    </w:lvl>
    <w:lvl w:ilvl="3" w:tplc="AC745290">
      <w:numFmt w:val="decimal"/>
      <w:lvlText w:val=""/>
      <w:lvlJc w:val="left"/>
    </w:lvl>
    <w:lvl w:ilvl="4" w:tplc="B5D6668A">
      <w:numFmt w:val="decimal"/>
      <w:lvlText w:val=""/>
      <w:lvlJc w:val="left"/>
    </w:lvl>
    <w:lvl w:ilvl="5" w:tplc="148A436A">
      <w:numFmt w:val="decimal"/>
      <w:lvlText w:val=""/>
      <w:lvlJc w:val="left"/>
    </w:lvl>
    <w:lvl w:ilvl="6" w:tplc="A1EEA028">
      <w:numFmt w:val="decimal"/>
      <w:lvlText w:val=""/>
      <w:lvlJc w:val="left"/>
    </w:lvl>
    <w:lvl w:ilvl="7" w:tplc="B2E8EFCA">
      <w:numFmt w:val="decimal"/>
      <w:lvlText w:val=""/>
      <w:lvlJc w:val="left"/>
    </w:lvl>
    <w:lvl w:ilvl="8" w:tplc="B49691F4">
      <w:numFmt w:val="decimal"/>
      <w:lvlText w:val=""/>
      <w:lvlJc w:val="left"/>
    </w:lvl>
  </w:abstractNum>
  <w:abstractNum w:abstractNumId="184">
    <w:nsid w:val="3E5E582B"/>
    <w:multiLevelType w:val="hybridMultilevel"/>
    <w:tmpl w:val="708AC274"/>
    <w:lvl w:ilvl="0" w:tplc="73AC3180">
      <w:start w:val="4"/>
      <w:numFmt w:val="decimal"/>
      <w:lvlText w:val="%1"/>
      <w:lvlJc w:val="left"/>
    </w:lvl>
    <w:lvl w:ilvl="1" w:tplc="74EE437A">
      <w:numFmt w:val="decimal"/>
      <w:lvlText w:val=""/>
      <w:lvlJc w:val="left"/>
    </w:lvl>
    <w:lvl w:ilvl="2" w:tplc="1DE8D350">
      <w:numFmt w:val="decimal"/>
      <w:lvlText w:val=""/>
      <w:lvlJc w:val="left"/>
    </w:lvl>
    <w:lvl w:ilvl="3" w:tplc="32CAB5AC">
      <w:numFmt w:val="decimal"/>
      <w:lvlText w:val=""/>
      <w:lvlJc w:val="left"/>
    </w:lvl>
    <w:lvl w:ilvl="4" w:tplc="2B8046F4">
      <w:numFmt w:val="decimal"/>
      <w:lvlText w:val=""/>
      <w:lvlJc w:val="left"/>
    </w:lvl>
    <w:lvl w:ilvl="5" w:tplc="6A060682">
      <w:numFmt w:val="decimal"/>
      <w:lvlText w:val=""/>
      <w:lvlJc w:val="left"/>
    </w:lvl>
    <w:lvl w:ilvl="6" w:tplc="FA923596">
      <w:numFmt w:val="decimal"/>
      <w:lvlText w:val=""/>
      <w:lvlJc w:val="left"/>
    </w:lvl>
    <w:lvl w:ilvl="7" w:tplc="15D84A84">
      <w:numFmt w:val="decimal"/>
      <w:lvlText w:val=""/>
      <w:lvlJc w:val="left"/>
    </w:lvl>
    <w:lvl w:ilvl="8" w:tplc="2E90ACC6">
      <w:numFmt w:val="decimal"/>
      <w:lvlText w:val=""/>
      <w:lvlJc w:val="left"/>
    </w:lvl>
  </w:abstractNum>
  <w:abstractNum w:abstractNumId="185">
    <w:nsid w:val="3E6DA1C7"/>
    <w:multiLevelType w:val="hybridMultilevel"/>
    <w:tmpl w:val="D2468894"/>
    <w:lvl w:ilvl="0" w:tplc="3E12AA68">
      <w:start w:val="1"/>
      <w:numFmt w:val="bullet"/>
      <w:lvlText w:val="«"/>
      <w:lvlJc w:val="left"/>
    </w:lvl>
    <w:lvl w:ilvl="1" w:tplc="F1223C92">
      <w:numFmt w:val="decimal"/>
      <w:lvlText w:val=""/>
      <w:lvlJc w:val="left"/>
    </w:lvl>
    <w:lvl w:ilvl="2" w:tplc="1D56EBB2">
      <w:numFmt w:val="decimal"/>
      <w:lvlText w:val=""/>
      <w:lvlJc w:val="left"/>
    </w:lvl>
    <w:lvl w:ilvl="3" w:tplc="904AF178">
      <w:numFmt w:val="decimal"/>
      <w:lvlText w:val=""/>
      <w:lvlJc w:val="left"/>
    </w:lvl>
    <w:lvl w:ilvl="4" w:tplc="30848BE6">
      <w:numFmt w:val="decimal"/>
      <w:lvlText w:val=""/>
      <w:lvlJc w:val="left"/>
    </w:lvl>
    <w:lvl w:ilvl="5" w:tplc="6950A0C0">
      <w:numFmt w:val="decimal"/>
      <w:lvlText w:val=""/>
      <w:lvlJc w:val="left"/>
    </w:lvl>
    <w:lvl w:ilvl="6" w:tplc="66D42BEC">
      <w:numFmt w:val="decimal"/>
      <w:lvlText w:val=""/>
      <w:lvlJc w:val="left"/>
    </w:lvl>
    <w:lvl w:ilvl="7" w:tplc="7256ECD6">
      <w:numFmt w:val="decimal"/>
      <w:lvlText w:val=""/>
      <w:lvlJc w:val="left"/>
    </w:lvl>
    <w:lvl w:ilvl="8" w:tplc="74FA2D38">
      <w:numFmt w:val="decimal"/>
      <w:lvlText w:val=""/>
      <w:lvlJc w:val="left"/>
    </w:lvl>
  </w:abstractNum>
  <w:abstractNum w:abstractNumId="186">
    <w:nsid w:val="3EB21819"/>
    <w:multiLevelType w:val="hybridMultilevel"/>
    <w:tmpl w:val="0DAA945C"/>
    <w:lvl w:ilvl="0" w:tplc="0728FC92">
      <w:start w:val="15"/>
      <w:numFmt w:val="lowerLetter"/>
      <w:lvlText w:val="%1"/>
      <w:lvlJc w:val="left"/>
    </w:lvl>
    <w:lvl w:ilvl="1" w:tplc="02200594">
      <w:numFmt w:val="decimal"/>
      <w:lvlText w:val=""/>
      <w:lvlJc w:val="left"/>
    </w:lvl>
    <w:lvl w:ilvl="2" w:tplc="4254EB26">
      <w:numFmt w:val="decimal"/>
      <w:lvlText w:val=""/>
      <w:lvlJc w:val="left"/>
    </w:lvl>
    <w:lvl w:ilvl="3" w:tplc="BF6C1E48">
      <w:numFmt w:val="decimal"/>
      <w:lvlText w:val=""/>
      <w:lvlJc w:val="left"/>
    </w:lvl>
    <w:lvl w:ilvl="4" w:tplc="FC5A9A30">
      <w:numFmt w:val="decimal"/>
      <w:lvlText w:val=""/>
      <w:lvlJc w:val="left"/>
    </w:lvl>
    <w:lvl w:ilvl="5" w:tplc="983A6CA2">
      <w:numFmt w:val="decimal"/>
      <w:lvlText w:val=""/>
      <w:lvlJc w:val="left"/>
    </w:lvl>
    <w:lvl w:ilvl="6" w:tplc="DE12E792">
      <w:numFmt w:val="decimal"/>
      <w:lvlText w:val=""/>
      <w:lvlJc w:val="left"/>
    </w:lvl>
    <w:lvl w:ilvl="7" w:tplc="5B042A08">
      <w:numFmt w:val="decimal"/>
      <w:lvlText w:val=""/>
      <w:lvlJc w:val="left"/>
    </w:lvl>
    <w:lvl w:ilvl="8" w:tplc="D0CA523A">
      <w:numFmt w:val="decimal"/>
      <w:lvlText w:val=""/>
      <w:lvlJc w:val="left"/>
    </w:lvl>
  </w:abstractNum>
  <w:abstractNum w:abstractNumId="187">
    <w:nsid w:val="3F48B982"/>
    <w:multiLevelType w:val="hybridMultilevel"/>
    <w:tmpl w:val="8DA69496"/>
    <w:lvl w:ilvl="0" w:tplc="CD2A7B60">
      <w:start w:val="5"/>
      <w:numFmt w:val="decimal"/>
      <w:lvlText w:val="%1"/>
      <w:lvlJc w:val="left"/>
    </w:lvl>
    <w:lvl w:ilvl="1" w:tplc="B94073BC">
      <w:numFmt w:val="decimal"/>
      <w:lvlText w:val=""/>
      <w:lvlJc w:val="left"/>
    </w:lvl>
    <w:lvl w:ilvl="2" w:tplc="74AA1134">
      <w:numFmt w:val="decimal"/>
      <w:lvlText w:val=""/>
      <w:lvlJc w:val="left"/>
    </w:lvl>
    <w:lvl w:ilvl="3" w:tplc="70A84102">
      <w:numFmt w:val="decimal"/>
      <w:lvlText w:val=""/>
      <w:lvlJc w:val="left"/>
    </w:lvl>
    <w:lvl w:ilvl="4" w:tplc="35E87A6A">
      <w:numFmt w:val="decimal"/>
      <w:lvlText w:val=""/>
      <w:lvlJc w:val="left"/>
    </w:lvl>
    <w:lvl w:ilvl="5" w:tplc="B03201A6">
      <w:numFmt w:val="decimal"/>
      <w:lvlText w:val=""/>
      <w:lvlJc w:val="left"/>
    </w:lvl>
    <w:lvl w:ilvl="6" w:tplc="8282211C">
      <w:numFmt w:val="decimal"/>
      <w:lvlText w:val=""/>
      <w:lvlJc w:val="left"/>
    </w:lvl>
    <w:lvl w:ilvl="7" w:tplc="AC8AC42A">
      <w:numFmt w:val="decimal"/>
      <w:lvlText w:val=""/>
      <w:lvlJc w:val="left"/>
    </w:lvl>
    <w:lvl w:ilvl="8" w:tplc="1BD28ECA">
      <w:numFmt w:val="decimal"/>
      <w:lvlText w:val=""/>
      <w:lvlJc w:val="left"/>
    </w:lvl>
  </w:abstractNum>
  <w:abstractNum w:abstractNumId="188">
    <w:nsid w:val="3F8B0CBF"/>
    <w:multiLevelType w:val="hybridMultilevel"/>
    <w:tmpl w:val="E7AC3F2C"/>
    <w:lvl w:ilvl="0" w:tplc="E7FC60E0">
      <w:start w:val="1"/>
      <w:numFmt w:val="bullet"/>
      <w:lvlText w:val="«"/>
      <w:lvlJc w:val="left"/>
    </w:lvl>
    <w:lvl w:ilvl="1" w:tplc="E0F244EA">
      <w:numFmt w:val="decimal"/>
      <w:lvlText w:val=""/>
      <w:lvlJc w:val="left"/>
    </w:lvl>
    <w:lvl w:ilvl="2" w:tplc="4AA057AA">
      <w:numFmt w:val="decimal"/>
      <w:lvlText w:val=""/>
      <w:lvlJc w:val="left"/>
    </w:lvl>
    <w:lvl w:ilvl="3" w:tplc="8DA20986">
      <w:numFmt w:val="decimal"/>
      <w:lvlText w:val=""/>
      <w:lvlJc w:val="left"/>
    </w:lvl>
    <w:lvl w:ilvl="4" w:tplc="AE883318">
      <w:numFmt w:val="decimal"/>
      <w:lvlText w:val=""/>
      <w:lvlJc w:val="left"/>
    </w:lvl>
    <w:lvl w:ilvl="5" w:tplc="6D9A3656">
      <w:numFmt w:val="decimal"/>
      <w:lvlText w:val=""/>
      <w:lvlJc w:val="left"/>
    </w:lvl>
    <w:lvl w:ilvl="6" w:tplc="089E0AAC">
      <w:numFmt w:val="decimal"/>
      <w:lvlText w:val=""/>
      <w:lvlJc w:val="left"/>
    </w:lvl>
    <w:lvl w:ilvl="7" w:tplc="D166EE4E">
      <w:numFmt w:val="decimal"/>
      <w:lvlText w:val=""/>
      <w:lvlJc w:val="left"/>
    </w:lvl>
    <w:lvl w:ilvl="8" w:tplc="D43A3310">
      <w:numFmt w:val="decimal"/>
      <w:lvlText w:val=""/>
      <w:lvlJc w:val="left"/>
    </w:lvl>
  </w:abstractNum>
  <w:abstractNum w:abstractNumId="189">
    <w:nsid w:val="407168D8"/>
    <w:multiLevelType w:val="hybridMultilevel"/>
    <w:tmpl w:val="C4EAE838"/>
    <w:lvl w:ilvl="0" w:tplc="70AA9C4E">
      <w:start w:val="1"/>
      <w:numFmt w:val="bullet"/>
      <w:lvlText w:val=""/>
      <w:lvlJc w:val="left"/>
    </w:lvl>
    <w:lvl w:ilvl="1" w:tplc="DDF8007E">
      <w:numFmt w:val="decimal"/>
      <w:lvlText w:val=""/>
      <w:lvlJc w:val="left"/>
    </w:lvl>
    <w:lvl w:ilvl="2" w:tplc="46020820">
      <w:numFmt w:val="decimal"/>
      <w:lvlText w:val=""/>
      <w:lvlJc w:val="left"/>
    </w:lvl>
    <w:lvl w:ilvl="3" w:tplc="16B6BC80">
      <w:numFmt w:val="decimal"/>
      <w:lvlText w:val=""/>
      <w:lvlJc w:val="left"/>
    </w:lvl>
    <w:lvl w:ilvl="4" w:tplc="0448884A">
      <w:numFmt w:val="decimal"/>
      <w:lvlText w:val=""/>
      <w:lvlJc w:val="left"/>
    </w:lvl>
    <w:lvl w:ilvl="5" w:tplc="03BA2DC8">
      <w:numFmt w:val="decimal"/>
      <w:lvlText w:val=""/>
      <w:lvlJc w:val="left"/>
    </w:lvl>
    <w:lvl w:ilvl="6" w:tplc="DDBE71E2">
      <w:numFmt w:val="decimal"/>
      <w:lvlText w:val=""/>
      <w:lvlJc w:val="left"/>
    </w:lvl>
    <w:lvl w:ilvl="7" w:tplc="83B8B6FC">
      <w:numFmt w:val="decimal"/>
      <w:lvlText w:val=""/>
      <w:lvlJc w:val="left"/>
    </w:lvl>
    <w:lvl w:ilvl="8" w:tplc="7F8227C4">
      <w:numFmt w:val="decimal"/>
      <w:lvlText w:val=""/>
      <w:lvlJc w:val="left"/>
    </w:lvl>
  </w:abstractNum>
  <w:abstractNum w:abstractNumId="190">
    <w:nsid w:val="40F2CBD2"/>
    <w:multiLevelType w:val="hybridMultilevel"/>
    <w:tmpl w:val="55262100"/>
    <w:lvl w:ilvl="0" w:tplc="60BC602C">
      <w:start w:val="6"/>
      <w:numFmt w:val="decimal"/>
      <w:lvlText w:val="%1"/>
      <w:lvlJc w:val="left"/>
    </w:lvl>
    <w:lvl w:ilvl="1" w:tplc="E048DA44">
      <w:numFmt w:val="decimal"/>
      <w:lvlText w:val=""/>
      <w:lvlJc w:val="left"/>
    </w:lvl>
    <w:lvl w:ilvl="2" w:tplc="003E83DA">
      <w:numFmt w:val="decimal"/>
      <w:lvlText w:val=""/>
      <w:lvlJc w:val="left"/>
    </w:lvl>
    <w:lvl w:ilvl="3" w:tplc="CDA49798">
      <w:numFmt w:val="decimal"/>
      <w:lvlText w:val=""/>
      <w:lvlJc w:val="left"/>
    </w:lvl>
    <w:lvl w:ilvl="4" w:tplc="1A6020C0">
      <w:numFmt w:val="decimal"/>
      <w:lvlText w:val=""/>
      <w:lvlJc w:val="left"/>
    </w:lvl>
    <w:lvl w:ilvl="5" w:tplc="BEF42AA8">
      <w:numFmt w:val="decimal"/>
      <w:lvlText w:val=""/>
      <w:lvlJc w:val="left"/>
    </w:lvl>
    <w:lvl w:ilvl="6" w:tplc="F02C5CD6">
      <w:numFmt w:val="decimal"/>
      <w:lvlText w:val=""/>
      <w:lvlJc w:val="left"/>
    </w:lvl>
    <w:lvl w:ilvl="7" w:tplc="D42AE662">
      <w:numFmt w:val="decimal"/>
      <w:lvlText w:val=""/>
      <w:lvlJc w:val="left"/>
    </w:lvl>
    <w:lvl w:ilvl="8" w:tplc="F8FEEC90">
      <w:numFmt w:val="decimal"/>
      <w:lvlText w:val=""/>
      <w:lvlJc w:val="left"/>
    </w:lvl>
  </w:abstractNum>
  <w:abstractNum w:abstractNumId="191">
    <w:nsid w:val="41531DED"/>
    <w:multiLevelType w:val="hybridMultilevel"/>
    <w:tmpl w:val="E968CDB8"/>
    <w:lvl w:ilvl="0" w:tplc="9CDC2BC6">
      <w:start w:val="1"/>
      <w:numFmt w:val="bullet"/>
      <w:lvlText w:val="%"/>
      <w:lvlJc w:val="left"/>
    </w:lvl>
    <w:lvl w:ilvl="1" w:tplc="9D22941C">
      <w:numFmt w:val="decimal"/>
      <w:lvlText w:val=""/>
      <w:lvlJc w:val="left"/>
    </w:lvl>
    <w:lvl w:ilvl="2" w:tplc="59C69D90">
      <w:numFmt w:val="decimal"/>
      <w:lvlText w:val=""/>
      <w:lvlJc w:val="left"/>
    </w:lvl>
    <w:lvl w:ilvl="3" w:tplc="4EE40376">
      <w:numFmt w:val="decimal"/>
      <w:lvlText w:val=""/>
      <w:lvlJc w:val="left"/>
    </w:lvl>
    <w:lvl w:ilvl="4" w:tplc="3836BB64">
      <w:numFmt w:val="decimal"/>
      <w:lvlText w:val=""/>
      <w:lvlJc w:val="left"/>
    </w:lvl>
    <w:lvl w:ilvl="5" w:tplc="6C428E56">
      <w:numFmt w:val="decimal"/>
      <w:lvlText w:val=""/>
      <w:lvlJc w:val="left"/>
    </w:lvl>
    <w:lvl w:ilvl="6" w:tplc="06BCA3EE">
      <w:numFmt w:val="decimal"/>
      <w:lvlText w:val=""/>
      <w:lvlJc w:val="left"/>
    </w:lvl>
    <w:lvl w:ilvl="7" w:tplc="7C6EEC82">
      <w:numFmt w:val="decimal"/>
      <w:lvlText w:val=""/>
      <w:lvlJc w:val="left"/>
    </w:lvl>
    <w:lvl w:ilvl="8" w:tplc="C30C5774">
      <w:numFmt w:val="decimal"/>
      <w:lvlText w:val=""/>
      <w:lvlJc w:val="left"/>
    </w:lvl>
  </w:abstractNum>
  <w:abstractNum w:abstractNumId="192">
    <w:nsid w:val="41D74679"/>
    <w:multiLevelType w:val="hybridMultilevel"/>
    <w:tmpl w:val="94F2799A"/>
    <w:lvl w:ilvl="0" w:tplc="7242DDCA">
      <w:start w:val="1"/>
      <w:numFmt w:val="decimal"/>
      <w:lvlText w:val="%1"/>
      <w:lvlJc w:val="left"/>
    </w:lvl>
    <w:lvl w:ilvl="1" w:tplc="468CD540">
      <w:numFmt w:val="decimal"/>
      <w:lvlText w:val=""/>
      <w:lvlJc w:val="left"/>
    </w:lvl>
    <w:lvl w:ilvl="2" w:tplc="B64613CC">
      <w:numFmt w:val="decimal"/>
      <w:lvlText w:val=""/>
      <w:lvlJc w:val="left"/>
    </w:lvl>
    <w:lvl w:ilvl="3" w:tplc="B93A8EE0">
      <w:numFmt w:val="decimal"/>
      <w:lvlText w:val=""/>
      <w:lvlJc w:val="left"/>
    </w:lvl>
    <w:lvl w:ilvl="4" w:tplc="A4F0F660">
      <w:numFmt w:val="decimal"/>
      <w:lvlText w:val=""/>
      <w:lvlJc w:val="left"/>
    </w:lvl>
    <w:lvl w:ilvl="5" w:tplc="4C781E5C">
      <w:numFmt w:val="decimal"/>
      <w:lvlText w:val=""/>
      <w:lvlJc w:val="left"/>
    </w:lvl>
    <w:lvl w:ilvl="6" w:tplc="00E0E202">
      <w:numFmt w:val="decimal"/>
      <w:lvlText w:val=""/>
      <w:lvlJc w:val="left"/>
    </w:lvl>
    <w:lvl w:ilvl="7" w:tplc="F774A72C">
      <w:numFmt w:val="decimal"/>
      <w:lvlText w:val=""/>
      <w:lvlJc w:val="left"/>
    </w:lvl>
    <w:lvl w:ilvl="8" w:tplc="BA3ADB5E">
      <w:numFmt w:val="decimal"/>
      <w:lvlText w:val=""/>
      <w:lvlJc w:val="left"/>
    </w:lvl>
  </w:abstractNum>
  <w:abstractNum w:abstractNumId="193">
    <w:nsid w:val="41ED20D7"/>
    <w:multiLevelType w:val="hybridMultilevel"/>
    <w:tmpl w:val="AAE0E806"/>
    <w:lvl w:ilvl="0" w:tplc="D2BE6330">
      <w:start w:val="1"/>
      <w:numFmt w:val="bullet"/>
      <w:lvlText w:val=""/>
      <w:lvlJc w:val="left"/>
    </w:lvl>
    <w:lvl w:ilvl="1" w:tplc="BEBE1BA2">
      <w:numFmt w:val="decimal"/>
      <w:lvlText w:val=""/>
      <w:lvlJc w:val="left"/>
    </w:lvl>
    <w:lvl w:ilvl="2" w:tplc="9AA06040">
      <w:numFmt w:val="decimal"/>
      <w:lvlText w:val=""/>
      <w:lvlJc w:val="left"/>
    </w:lvl>
    <w:lvl w:ilvl="3" w:tplc="EC3C3E42">
      <w:numFmt w:val="decimal"/>
      <w:lvlText w:val=""/>
      <w:lvlJc w:val="left"/>
    </w:lvl>
    <w:lvl w:ilvl="4" w:tplc="C1BCE8B8">
      <w:numFmt w:val="decimal"/>
      <w:lvlText w:val=""/>
      <w:lvlJc w:val="left"/>
    </w:lvl>
    <w:lvl w:ilvl="5" w:tplc="7CC8A7A0">
      <w:numFmt w:val="decimal"/>
      <w:lvlText w:val=""/>
      <w:lvlJc w:val="left"/>
    </w:lvl>
    <w:lvl w:ilvl="6" w:tplc="14D21E50">
      <w:numFmt w:val="decimal"/>
      <w:lvlText w:val=""/>
      <w:lvlJc w:val="left"/>
    </w:lvl>
    <w:lvl w:ilvl="7" w:tplc="29749FD0">
      <w:numFmt w:val="decimal"/>
      <w:lvlText w:val=""/>
      <w:lvlJc w:val="left"/>
    </w:lvl>
    <w:lvl w:ilvl="8" w:tplc="987E9AE4">
      <w:numFmt w:val="decimal"/>
      <w:lvlText w:val=""/>
      <w:lvlJc w:val="left"/>
    </w:lvl>
  </w:abstractNum>
  <w:abstractNum w:abstractNumId="194">
    <w:nsid w:val="4252C2DA"/>
    <w:multiLevelType w:val="hybridMultilevel"/>
    <w:tmpl w:val="49EE997C"/>
    <w:lvl w:ilvl="0" w:tplc="B2E44746">
      <w:start w:val="1"/>
      <w:numFmt w:val="bullet"/>
      <w:lvlText w:val=""/>
      <w:lvlJc w:val="left"/>
    </w:lvl>
    <w:lvl w:ilvl="1" w:tplc="C0CE3772">
      <w:start w:val="15"/>
      <w:numFmt w:val="lowerLetter"/>
      <w:lvlText w:val="%2"/>
      <w:lvlJc w:val="left"/>
    </w:lvl>
    <w:lvl w:ilvl="2" w:tplc="9F029628">
      <w:numFmt w:val="decimal"/>
      <w:lvlText w:val=""/>
      <w:lvlJc w:val="left"/>
    </w:lvl>
    <w:lvl w:ilvl="3" w:tplc="2BFCBB1A">
      <w:numFmt w:val="decimal"/>
      <w:lvlText w:val=""/>
      <w:lvlJc w:val="left"/>
    </w:lvl>
    <w:lvl w:ilvl="4" w:tplc="4A0874D8">
      <w:numFmt w:val="decimal"/>
      <w:lvlText w:val=""/>
      <w:lvlJc w:val="left"/>
    </w:lvl>
    <w:lvl w:ilvl="5" w:tplc="FA7277BA">
      <w:numFmt w:val="decimal"/>
      <w:lvlText w:val=""/>
      <w:lvlJc w:val="left"/>
    </w:lvl>
    <w:lvl w:ilvl="6" w:tplc="B9744EBE">
      <w:numFmt w:val="decimal"/>
      <w:lvlText w:val=""/>
      <w:lvlJc w:val="left"/>
    </w:lvl>
    <w:lvl w:ilvl="7" w:tplc="3706654C">
      <w:numFmt w:val="decimal"/>
      <w:lvlText w:val=""/>
      <w:lvlJc w:val="left"/>
    </w:lvl>
    <w:lvl w:ilvl="8" w:tplc="7E8C462C">
      <w:numFmt w:val="decimal"/>
      <w:lvlText w:val=""/>
      <w:lvlJc w:val="left"/>
    </w:lvl>
  </w:abstractNum>
  <w:abstractNum w:abstractNumId="195">
    <w:nsid w:val="425EB207"/>
    <w:multiLevelType w:val="hybridMultilevel"/>
    <w:tmpl w:val="FEC6B5FE"/>
    <w:lvl w:ilvl="0" w:tplc="7B82BB98">
      <w:start w:val="2"/>
      <w:numFmt w:val="decimal"/>
      <w:lvlText w:val="%1."/>
      <w:lvlJc w:val="left"/>
    </w:lvl>
    <w:lvl w:ilvl="1" w:tplc="56E85FBA">
      <w:numFmt w:val="decimal"/>
      <w:lvlText w:val=""/>
      <w:lvlJc w:val="left"/>
    </w:lvl>
    <w:lvl w:ilvl="2" w:tplc="BD0269D0">
      <w:numFmt w:val="decimal"/>
      <w:lvlText w:val=""/>
      <w:lvlJc w:val="left"/>
    </w:lvl>
    <w:lvl w:ilvl="3" w:tplc="C8F60452">
      <w:numFmt w:val="decimal"/>
      <w:lvlText w:val=""/>
      <w:lvlJc w:val="left"/>
    </w:lvl>
    <w:lvl w:ilvl="4" w:tplc="0188F664">
      <w:numFmt w:val="decimal"/>
      <w:lvlText w:val=""/>
      <w:lvlJc w:val="left"/>
    </w:lvl>
    <w:lvl w:ilvl="5" w:tplc="155A5D34">
      <w:numFmt w:val="decimal"/>
      <w:lvlText w:val=""/>
      <w:lvlJc w:val="left"/>
    </w:lvl>
    <w:lvl w:ilvl="6" w:tplc="275C5D78">
      <w:numFmt w:val="decimal"/>
      <w:lvlText w:val=""/>
      <w:lvlJc w:val="left"/>
    </w:lvl>
    <w:lvl w:ilvl="7" w:tplc="453EC8E2">
      <w:numFmt w:val="decimal"/>
      <w:lvlText w:val=""/>
      <w:lvlJc w:val="left"/>
    </w:lvl>
    <w:lvl w:ilvl="8" w:tplc="32EAA8EA">
      <w:numFmt w:val="decimal"/>
      <w:lvlText w:val=""/>
      <w:lvlJc w:val="left"/>
    </w:lvl>
  </w:abstractNum>
  <w:abstractNum w:abstractNumId="196">
    <w:nsid w:val="42E57EF7"/>
    <w:multiLevelType w:val="hybridMultilevel"/>
    <w:tmpl w:val="652A920A"/>
    <w:lvl w:ilvl="0" w:tplc="15F25726">
      <w:start w:val="7"/>
      <w:numFmt w:val="decimal"/>
      <w:lvlText w:val="%1"/>
      <w:lvlJc w:val="left"/>
    </w:lvl>
    <w:lvl w:ilvl="1" w:tplc="A1BAE3E0">
      <w:numFmt w:val="decimal"/>
      <w:lvlText w:val=""/>
      <w:lvlJc w:val="left"/>
    </w:lvl>
    <w:lvl w:ilvl="2" w:tplc="8A02E1B0">
      <w:numFmt w:val="decimal"/>
      <w:lvlText w:val=""/>
      <w:lvlJc w:val="left"/>
    </w:lvl>
    <w:lvl w:ilvl="3" w:tplc="B866BD1E">
      <w:numFmt w:val="decimal"/>
      <w:lvlText w:val=""/>
      <w:lvlJc w:val="left"/>
    </w:lvl>
    <w:lvl w:ilvl="4" w:tplc="C7EE9FC8">
      <w:numFmt w:val="decimal"/>
      <w:lvlText w:val=""/>
      <w:lvlJc w:val="left"/>
    </w:lvl>
    <w:lvl w:ilvl="5" w:tplc="465EF7DC">
      <w:numFmt w:val="decimal"/>
      <w:lvlText w:val=""/>
      <w:lvlJc w:val="left"/>
    </w:lvl>
    <w:lvl w:ilvl="6" w:tplc="4E7C64C2">
      <w:numFmt w:val="decimal"/>
      <w:lvlText w:val=""/>
      <w:lvlJc w:val="left"/>
    </w:lvl>
    <w:lvl w:ilvl="7" w:tplc="E6A8723C">
      <w:numFmt w:val="decimal"/>
      <w:lvlText w:val=""/>
      <w:lvlJc w:val="left"/>
    </w:lvl>
    <w:lvl w:ilvl="8" w:tplc="E6781888">
      <w:numFmt w:val="decimal"/>
      <w:lvlText w:val=""/>
      <w:lvlJc w:val="left"/>
    </w:lvl>
  </w:abstractNum>
  <w:abstractNum w:abstractNumId="197">
    <w:nsid w:val="4303A216"/>
    <w:multiLevelType w:val="hybridMultilevel"/>
    <w:tmpl w:val="C05ABE14"/>
    <w:lvl w:ilvl="0" w:tplc="900A5112">
      <w:start w:val="1"/>
      <w:numFmt w:val="bullet"/>
      <w:lvlText w:val=""/>
      <w:lvlJc w:val="left"/>
    </w:lvl>
    <w:lvl w:ilvl="1" w:tplc="B224B8F2">
      <w:numFmt w:val="decimal"/>
      <w:lvlText w:val=""/>
      <w:lvlJc w:val="left"/>
    </w:lvl>
    <w:lvl w:ilvl="2" w:tplc="CCAEDC96">
      <w:numFmt w:val="decimal"/>
      <w:lvlText w:val=""/>
      <w:lvlJc w:val="left"/>
    </w:lvl>
    <w:lvl w:ilvl="3" w:tplc="F8D21476">
      <w:numFmt w:val="decimal"/>
      <w:lvlText w:val=""/>
      <w:lvlJc w:val="left"/>
    </w:lvl>
    <w:lvl w:ilvl="4" w:tplc="44587074">
      <w:numFmt w:val="decimal"/>
      <w:lvlText w:val=""/>
      <w:lvlJc w:val="left"/>
    </w:lvl>
    <w:lvl w:ilvl="5" w:tplc="AA96CE4A">
      <w:numFmt w:val="decimal"/>
      <w:lvlText w:val=""/>
      <w:lvlJc w:val="left"/>
    </w:lvl>
    <w:lvl w:ilvl="6" w:tplc="6D7A552E">
      <w:numFmt w:val="decimal"/>
      <w:lvlText w:val=""/>
      <w:lvlJc w:val="left"/>
    </w:lvl>
    <w:lvl w:ilvl="7" w:tplc="3DA67A00">
      <w:numFmt w:val="decimal"/>
      <w:lvlText w:val=""/>
      <w:lvlJc w:val="left"/>
    </w:lvl>
    <w:lvl w:ilvl="8" w:tplc="DB1E9CA4">
      <w:numFmt w:val="decimal"/>
      <w:lvlText w:val=""/>
      <w:lvlJc w:val="left"/>
    </w:lvl>
  </w:abstractNum>
  <w:abstractNum w:abstractNumId="198">
    <w:nsid w:val="434BAE75"/>
    <w:multiLevelType w:val="hybridMultilevel"/>
    <w:tmpl w:val="2D381314"/>
    <w:lvl w:ilvl="0" w:tplc="2E586AF6">
      <w:start w:val="1"/>
      <w:numFmt w:val="decimal"/>
      <w:lvlText w:val="%1"/>
      <w:lvlJc w:val="left"/>
    </w:lvl>
    <w:lvl w:ilvl="1" w:tplc="D4985EB0">
      <w:numFmt w:val="decimal"/>
      <w:lvlText w:val=""/>
      <w:lvlJc w:val="left"/>
    </w:lvl>
    <w:lvl w:ilvl="2" w:tplc="F34A23D0">
      <w:numFmt w:val="decimal"/>
      <w:lvlText w:val=""/>
      <w:lvlJc w:val="left"/>
    </w:lvl>
    <w:lvl w:ilvl="3" w:tplc="70001BC2">
      <w:numFmt w:val="decimal"/>
      <w:lvlText w:val=""/>
      <w:lvlJc w:val="left"/>
    </w:lvl>
    <w:lvl w:ilvl="4" w:tplc="2B14F412">
      <w:numFmt w:val="decimal"/>
      <w:lvlText w:val=""/>
      <w:lvlJc w:val="left"/>
    </w:lvl>
    <w:lvl w:ilvl="5" w:tplc="F18ADB06">
      <w:numFmt w:val="decimal"/>
      <w:lvlText w:val=""/>
      <w:lvlJc w:val="left"/>
    </w:lvl>
    <w:lvl w:ilvl="6" w:tplc="0B7856CE">
      <w:numFmt w:val="decimal"/>
      <w:lvlText w:val=""/>
      <w:lvlJc w:val="left"/>
    </w:lvl>
    <w:lvl w:ilvl="7" w:tplc="7D3E36CC">
      <w:numFmt w:val="decimal"/>
      <w:lvlText w:val=""/>
      <w:lvlJc w:val="left"/>
    </w:lvl>
    <w:lvl w:ilvl="8" w:tplc="B1F0C91E">
      <w:numFmt w:val="decimal"/>
      <w:lvlText w:val=""/>
      <w:lvlJc w:val="left"/>
    </w:lvl>
  </w:abstractNum>
  <w:abstractNum w:abstractNumId="199">
    <w:nsid w:val="4365174B"/>
    <w:multiLevelType w:val="hybridMultilevel"/>
    <w:tmpl w:val="DCF42BCE"/>
    <w:lvl w:ilvl="0" w:tplc="EF866A70">
      <w:start w:val="1"/>
      <w:numFmt w:val="bullet"/>
      <w:lvlText w:val="«"/>
      <w:lvlJc w:val="left"/>
    </w:lvl>
    <w:lvl w:ilvl="1" w:tplc="CB5C25A6">
      <w:start w:val="1"/>
      <w:numFmt w:val="bullet"/>
      <w:lvlText w:val=""/>
      <w:lvlJc w:val="left"/>
    </w:lvl>
    <w:lvl w:ilvl="2" w:tplc="BAA00AEA">
      <w:numFmt w:val="decimal"/>
      <w:lvlText w:val=""/>
      <w:lvlJc w:val="left"/>
    </w:lvl>
    <w:lvl w:ilvl="3" w:tplc="F0F69BBE">
      <w:numFmt w:val="decimal"/>
      <w:lvlText w:val=""/>
      <w:lvlJc w:val="left"/>
    </w:lvl>
    <w:lvl w:ilvl="4" w:tplc="71542FF0">
      <w:numFmt w:val="decimal"/>
      <w:lvlText w:val=""/>
      <w:lvlJc w:val="left"/>
    </w:lvl>
    <w:lvl w:ilvl="5" w:tplc="5E8486AC">
      <w:numFmt w:val="decimal"/>
      <w:lvlText w:val=""/>
      <w:lvlJc w:val="left"/>
    </w:lvl>
    <w:lvl w:ilvl="6" w:tplc="1F149564">
      <w:numFmt w:val="decimal"/>
      <w:lvlText w:val=""/>
      <w:lvlJc w:val="left"/>
    </w:lvl>
    <w:lvl w:ilvl="7" w:tplc="BE58DFEA">
      <w:numFmt w:val="decimal"/>
      <w:lvlText w:val=""/>
      <w:lvlJc w:val="left"/>
    </w:lvl>
    <w:lvl w:ilvl="8" w:tplc="AAD67D2C">
      <w:numFmt w:val="decimal"/>
      <w:lvlText w:val=""/>
      <w:lvlJc w:val="left"/>
    </w:lvl>
  </w:abstractNum>
  <w:abstractNum w:abstractNumId="200">
    <w:nsid w:val="436F2BEB"/>
    <w:multiLevelType w:val="hybridMultilevel"/>
    <w:tmpl w:val="A28A2E36"/>
    <w:lvl w:ilvl="0" w:tplc="481EFA66">
      <w:start w:val="1"/>
      <w:numFmt w:val="bullet"/>
      <w:lvlText w:val="à"/>
      <w:lvlJc w:val="left"/>
    </w:lvl>
    <w:lvl w:ilvl="1" w:tplc="C34480F8">
      <w:numFmt w:val="decimal"/>
      <w:lvlText w:val=""/>
      <w:lvlJc w:val="left"/>
    </w:lvl>
    <w:lvl w:ilvl="2" w:tplc="0D68BBA8">
      <w:numFmt w:val="decimal"/>
      <w:lvlText w:val=""/>
      <w:lvlJc w:val="left"/>
    </w:lvl>
    <w:lvl w:ilvl="3" w:tplc="ABF2DD3C">
      <w:numFmt w:val="decimal"/>
      <w:lvlText w:val=""/>
      <w:lvlJc w:val="left"/>
    </w:lvl>
    <w:lvl w:ilvl="4" w:tplc="C2C82750">
      <w:numFmt w:val="decimal"/>
      <w:lvlText w:val=""/>
      <w:lvlJc w:val="left"/>
    </w:lvl>
    <w:lvl w:ilvl="5" w:tplc="79FEA212">
      <w:numFmt w:val="decimal"/>
      <w:lvlText w:val=""/>
      <w:lvlJc w:val="left"/>
    </w:lvl>
    <w:lvl w:ilvl="6" w:tplc="F6FA8F68">
      <w:numFmt w:val="decimal"/>
      <w:lvlText w:val=""/>
      <w:lvlJc w:val="left"/>
    </w:lvl>
    <w:lvl w:ilvl="7" w:tplc="23C20C42">
      <w:numFmt w:val="decimal"/>
      <w:lvlText w:val=""/>
      <w:lvlJc w:val="left"/>
    </w:lvl>
    <w:lvl w:ilvl="8" w:tplc="C4CAF694">
      <w:numFmt w:val="decimal"/>
      <w:lvlText w:val=""/>
      <w:lvlJc w:val="left"/>
    </w:lvl>
  </w:abstractNum>
  <w:abstractNum w:abstractNumId="201">
    <w:nsid w:val="43F8E1AC"/>
    <w:multiLevelType w:val="hybridMultilevel"/>
    <w:tmpl w:val="6DF6CDF2"/>
    <w:lvl w:ilvl="0" w:tplc="37DEA974">
      <w:start w:val="15"/>
      <w:numFmt w:val="lowerLetter"/>
      <w:lvlText w:val="%1"/>
      <w:lvlJc w:val="left"/>
    </w:lvl>
    <w:lvl w:ilvl="1" w:tplc="66F415C8">
      <w:numFmt w:val="decimal"/>
      <w:lvlText w:val=""/>
      <w:lvlJc w:val="left"/>
    </w:lvl>
    <w:lvl w:ilvl="2" w:tplc="FC68DA18">
      <w:numFmt w:val="decimal"/>
      <w:lvlText w:val=""/>
      <w:lvlJc w:val="left"/>
    </w:lvl>
    <w:lvl w:ilvl="3" w:tplc="605C3012">
      <w:numFmt w:val="decimal"/>
      <w:lvlText w:val=""/>
      <w:lvlJc w:val="left"/>
    </w:lvl>
    <w:lvl w:ilvl="4" w:tplc="9A309CC8">
      <w:numFmt w:val="decimal"/>
      <w:lvlText w:val=""/>
      <w:lvlJc w:val="left"/>
    </w:lvl>
    <w:lvl w:ilvl="5" w:tplc="4432BC98">
      <w:numFmt w:val="decimal"/>
      <w:lvlText w:val=""/>
      <w:lvlJc w:val="left"/>
    </w:lvl>
    <w:lvl w:ilvl="6" w:tplc="874E43E8">
      <w:numFmt w:val="decimal"/>
      <w:lvlText w:val=""/>
      <w:lvlJc w:val="left"/>
    </w:lvl>
    <w:lvl w:ilvl="7" w:tplc="7E529240">
      <w:numFmt w:val="decimal"/>
      <w:lvlText w:val=""/>
      <w:lvlJc w:val="left"/>
    </w:lvl>
    <w:lvl w:ilvl="8" w:tplc="05002A38">
      <w:numFmt w:val="decimal"/>
      <w:lvlText w:val=""/>
      <w:lvlJc w:val="left"/>
    </w:lvl>
  </w:abstractNum>
  <w:abstractNum w:abstractNumId="202">
    <w:nsid w:val="44344C22"/>
    <w:multiLevelType w:val="hybridMultilevel"/>
    <w:tmpl w:val="E480B628"/>
    <w:lvl w:ilvl="0" w:tplc="8D28D358">
      <w:start w:val="15"/>
      <w:numFmt w:val="lowerLetter"/>
      <w:lvlText w:val="%1"/>
      <w:lvlJc w:val="left"/>
    </w:lvl>
    <w:lvl w:ilvl="1" w:tplc="51A48080">
      <w:numFmt w:val="decimal"/>
      <w:lvlText w:val=""/>
      <w:lvlJc w:val="left"/>
    </w:lvl>
    <w:lvl w:ilvl="2" w:tplc="15CCB232">
      <w:numFmt w:val="decimal"/>
      <w:lvlText w:val=""/>
      <w:lvlJc w:val="left"/>
    </w:lvl>
    <w:lvl w:ilvl="3" w:tplc="A1A82AD2">
      <w:numFmt w:val="decimal"/>
      <w:lvlText w:val=""/>
      <w:lvlJc w:val="left"/>
    </w:lvl>
    <w:lvl w:ilvl="4" w:tplc="29B448EA">
      <w:numFmt w:val="decimal"/>
      <w:lvlText w:val=""/>
      <w:lvlJc w:val="left"/>
    </w:lvl>
    <w:lvl w:ilvl="5" w:tplc="97EA667C">
      <w:numFmt w:val="decimal"/>
      <w:lvlText w:val=""/>
      <w:lvlJc w:val="left"/>
    </w:lvl>
    <w:lvl w:ilvl="6" w:tplc="221E3066">
      <w:numFmt w:val="decimal"/>
      <w:lvlText w:val=""/>
      <w:lvlJc w:val="left"/>
    </w:lvl>
    <w:lvl w:ilvl="7" w:tplc="1A86C6EC">
      <w:numFmt w:val="decimal"/>
      <w:lvlText w:val=""/>
      <w:lvlJc w:val="left"/>
    </w:lvl>
    <w:lvl w:ilvl="8" w:tplc="FF3C3C8C">
      <w:numFmt w:val="decimal"/>
      <w:lvlText w:val=""/>
      <w:lvlJc w:val="left"/>
    </w:lvl>
  </w:abstractNum>
  <w:abstractNum w:abstractNumId="203">
    <w:nsid w:val="44380727"/>
    <w:multiLevelType w:val="hybridMultilevel"/>
    <w:tmpl w:val="416C4AE6"/>
    <w:lvl w:ilvl="0" w:tplc="D3C0058C">
      <w:start w:val="1"/>
      <w:numFmt w:val="bullet"/>
      <w:lvlText w:val="«"/>
      <w:lvlJc w:val="left"/>
    </w:lvl>
    <w:lvl w:ilvl="1" w:tplc="27BEEE60">
      <w:numFmt w:val="decimal"/>
      <w:lvlText w:val=""/>
      <w:lvlJc w:val="left"/>
    </w:lvl>
    <w:lvl w:ilvl="2" w:tplc="9E583B22">
      <w:numFmt w:val="decimal"/>
      <w:lvlText w:val=""/>
      <w:lvlJc w:val="left"/>
    </w:lvl>
    <w:lvl w:ilvl="3" w:tplc="DA301D42">
      <w:numFmt w:val="decimal"/>
      <w:lvlText w:val=""/>
      <w:lvlJc w:val="left"/>
    </w:lvl>
    <w:lvl w:ilvl="4" w:tplc="CE566AC6">
      <w:numFmt w:val="decimal"/>
      <w:lvlText w:val=""/>
      <w:lvlJc w:val="left"/>
    </w:lvl>
    <w:lvl w:ilvl="5" w:tplc="9D94A20C">
      <w:numFmt w:val="decimal"/>
      <w:lvlText w:val=""/>
      <w:lvlJc w:val="left"/>
    </w:lvl>
    <w:lvl w:ilvl="6" w:tplc="3B34AA04">
      <w:numFmt w:val="decimal"/>
      <w:lvlText w:val=""/>
      <w:lvlJc w:val="left"/>
    </w:lvl>
    <w:lvl w:ilvl="7" w:tplc="FDE6E9C2">
      <w:numFmt w:val="decimal"/>
      <w:lvlText w:val=""/>
      <w:lvlJc w:val="left"/>
    </w:lvl>
    <w:lvl w:ilvl="8" w:tplc="6B6A43EE">
      <w:numFmt w:val="decimal"/>
      <w:lvlText w:val=""/>
      <w:lvlJc w:val="left"/>
    </w:lvl>
  </w:abstractNum>
  <w:abstractNum w:abstractNumId="204">
    <w:nsid w:val="44B3FA61"/>
    <w:multiLevelType w:val="hybridMultilevel"/>
    <w:tmpl w:val="971470D0"/>
    <w:lvl w:ilvl="0" w:tplc="68DE7B70">
      <w:start w:val="8"/>
      <w:numFmt w:val="decimal"/>
      <w:lvlText w:val="%1"/>
      <w:lvlJc w:val="left"/>
    </w:lvl>
    <w:lvl w:ilvl="1" w:tplc="F30CBB36">
      <w:numFmt w:val="decimal"/>
      <w:lvlText w:val=""/>
      <w:lvlJc w:val="left"/>
    </w:lvl>
    <w:lvl w:ilvl="2" w:tplc="87EE5938">
      <w:numFmt w:val="decimal"/>
      <w:lvlText w:val=""/>
      <w:lvlJc w:val="left"/>
    </w:lvl>
    <w:lvl w:ilvl="3" w:tplc="14F8E35C">
      <w:numFmt w:val="decimal"/>
      <w:lvlText w:val=""/>
      <w:lvlJc w:val="left"/>
    </w:lvl>
    <w:lvl w:ilvl="4" w:tplc="E88CD8E6">
      <w:numFmt w:val="decimal"/>
      <w:lvlText w:val=""/>
      <w:lvlJc w:val="left"/>
    </w:lvl>
    <w:lvl w:ilvl="5" w:tplc="9CD06A80">
      <w:numFmt w:val="decimal"/>
      <w:lvlText w:val=""/>
      <w:lvlJc w:val="left"/>
    </w:lvl>
    <w:lvl w:ilvl="6" w:tplc="1804D42E">
      <w:numFmt w:val="decimal"/>
      <w:lvlText w:val=""/>
      <w:lvlJc w:val="left"/>
    </w:lvl>
    <w:lvl w:ilvl="7" w:tplc="72B652A6">
      <w:numFmt w:val="decimal"/>
      <w:lvlText w:val=""/>
      <w:lvlJc w:val="left"/>
    </w:lvl>
    <w:lvl w:ilvl="8" w:tplc="0D48E0B6">
      <w:numFmt w:val="decimal"/>
      <w:lvlText w:val=""/>
      <w:lvlJc w:val="left"/>
    </w:lvl>
  </w:abstractNum>
  <w:abstractNum w:abstractNumId="205">
    <w:nsid w:val="44E2ED6C"/>
    <w:multiLevelType w:val="hybridMultilevel"/>
    <w:tmpl w:val="26804B1A"/>
    <w:lvl w:ilvl="0" w:tplc="A416583C">
      <w:start w:val="2"/>
      <w:numFmt w:val="decimal"/>
      <w:lvlText w:val="%1"/>
      <w:lvlJc w:val="left"/>
    </w:lvl>
    <w:lvl w:ilvl="1" w:tplc="7ED40204">
      <w:numFmt w:val="decimal"/>
      <w:lvlText w:val=""/>
      <w:lvlJc w:val="left"/>
    </w:lvl>
    <w:lvl w:ilvl="2" w:tplc="99DC383C">
      <w:numFmt w:val="decimal"/>
      <w:lvlText w:val=""/>
      <w:lvlJc w:val="left"/>
    </w:lvl>
    <w:lvl w:ilvl="3" w:tplc="DE46D21C">
      <w:numFmt w:val="decimal"/>
      <w:lvlText w:val=""/>
      <w:lvlJc w:val="left"/>
    </w:lvl>
    <w:lvl w:ilvl="4" w:tplc="F5D69BD0">
      <w:numFmt w:val="decimal"/>
      <w:lvlText w:val=""/>
      <w:lvlJc w:val="left"/>
    </w:lvl>
    <w:lvl w:ilvl="5" w:tplc="F104BA24">
      <w:numFmt w:val="decimal"/>
      <w:lvlText w:val=""/>
      <w:lvlJc w:val="left"/>
    </w:lvl>
    <w:lvl w:ilvl="6" w:tplc="65803DB8">
      <w:numFmt w:val="decimal"/>
      <w:lvlText w:val=""/>
      <w:lvlJc w:val="left"/>
    </w:lvl>
    <w:lvl w:ilvl="7" w:tplc="3F7008D0">
      <w:numFmt w:val="decimal"/>
      <w:lvlText w:val=""/>
      <w:lvlJc w:val="left"/>
    </w:lvl>
    <w:lvl w:ilvl="8" w:tplc="638C7932">
      <w:numFmt w:val="decimal"/>
      <w:lvlText w:val=""/>
      <w:lvlJc w:val="left"/>
    </w:lvl>
  </w:abstractNum>
  <w:abstractNum w:abstractNumId="206">
    <w:nsid w:val="44EF6B80"/>
    <w:multiLevelType w:val="hybridMultilevel"/>
    <w:tmpl w:val="715A0834"/>
    <w:lvl w:ilvl="0" w:tplc="30E2D848">
      <w:start w:val="1"/>
      <w:numFmt w:val="bullet"/>
      <w:lvlText w:val=""/>
      <w:lvlJc w:val="left"/>
    </w:lvl>
    <w:lvl w:ilvl="1" w:tplc="BA6C5DF6">
      <w:numFmt w:val="decimal"/>
      <w:lvlText w:val=""/>
      <w:lvlJc w:val="left"/>
    </w:lvl>
    <w:lvl w:ilvl="2" w:tplc="440CE520">
      <w:numFmt w:val="decimal"/>
      <w:lvlText w:val=""/>
      <w:lvlJc w:val="left"/>
    </w:lvl>
    <w:lvl w:ilvl="3" w:tplc="7B004DF8">
      <w:numFmt w:val="decimal"/>
      <w:lvlText w:val=""/>
      <w:lvlJc w:val="left"/>
    </w:lvl>
    <w:lvl w:ilvl="4" w:tplc="7B6A2BF2">
      <w:numFmt w:val="decimal"/>
      <w:lvlText w:val=""/>
      <w:lvlJc w:val="left"/>
    </w:lvl>
    <w:lvl w:ilvl="5" w:tplc="48AC647C">
      <w:numFmt w:val="decimal"/>
      <w:lvlText w:val=""/>
      <w:lvlJc w:val="left"/>
    </w:lvl>
    <w:lvl w:ilvl="6" w:tplc="43E4FAB6">
      <w:numFmt w:val="decimal"/>
      <w:lvlText w:val=""/>
      <w:lvlJc w:val="left"/>
    </w:lvl>
    <w:lvl w:ilvl="7" w:tplc="B80C348A">
      <w:numFmt w:val="decimal"/>
      <w:lvlText w:val=""/>
      <w:lvlJc w:val="left"/>
    </w:lvl>
    <w:lvl w:ilvl="8" w:tplc="F87AFA44">
      <w:numFmt w:val="decimal"/>
      <w:lvlText w:val=""/>
      <w:lvlJc w:val="left"/>
    </w:lvl>
  </w:abstractNum>
  <w:abstractNum w:abstractNumId="207">
    <w:nsid w:val="46111BA5"/>
    <w:multiLevelType w:val="hybridMultilevel"/>
    <w:tmpl w:val="E5A6CCA0"/>
    <w:lvl w:ilvl="0" w:tplc="D1786716">
      <w:start w:val="1"/>
      <w:numFmt w:val="bullet"/>
      <w:lvlText w:val="«"/>
      <w:lvlJc w:val="left"/>
    </w:lvl>
    <w:lvl w:ilvl="1" w:tplc="1DC0B0A0">
      <w:numFmt w:val="decimal"/>
      <w:lvlText w:val=""/>
      <w:lvlJc w:val="left"/>
    </w:lvl>
    <w:lvl w:ilvl="2" w:tplc="8A08F306">
      <w:numFmt w:val="decimal"/>
      <w:lvlText w:val=""/>
      <w:lvlJc w:val="left"/>
    </w:lvl>
    <w:lvl w:ilvl="3" w:tplc="B9128986">
      <w:numFmt w:val="decimal"/>
      <w:lvlText w:val=""/>
      <w:lvlJc w:val="left"/>
    </w:lvl>
    <w:lvl w:ilvl="4" w:tplc="4BBE4D9C">
      <w:numFmt w:val="decimal"/>
      <w:lvlText w:val=""/>
      <w:lvlJc w:val="left"/>
    </w:lvl>
    <w:lvl w:ilvl="5" w:tplc="A8C4E518">
      <w:numFmt w:val="decimal"/>
      <w:lvlText w:val=""/>
      <w:lvlJc w:val="left"/>
    </w:lvl>
    <w:lvl w:ilvl="6" w:tplc="591ACB54">
      <w:numFmt w:val="decimal"/>
      <w:lvlText w:val=""/>
      <w:lvlJc w:val="left"/>
    </w:lvl>
    <w:lvl w:ilvl="7" w:tplc="ED20A8EE">
      <w:numFmt w:val="decimal"/>
      <w:lvlText w:val=""/>
      <w:lvlJc w:val="left"/>
    </w:lvl>
    <w:lvl w:ilvl="8" w:tplc="534C0566">
      <w:numFmt w:val="decimal"/>
      <w:lvlText w:val=""/>
      <w:lvlJc w:val="left"/>
    </w:lvl>
  </w:abstractNum>
  <w:abstractNum w:abstractNumId="208">
    <w:nsid w:val="4695AE95"/>
    <w:multiLevelType w:val="hybridMultilevel"/>
    <w:tmpl w:val="A1ACCA8E"/>
    <w:lvl w:ilvl="0" w:tplc="23225290">
      <w:start w:val="1"/>
      <w:numFmt w:val="bullet"/>
      <w:lvlText w:val=""/>
      <w:lvlJc w:val="left"/>
    </w:lvl>
    <w:lvl w:ilvl="1" w:tplc="C3423312">
      <w:numFmt w:val="decimal"/>
      <w:lvlText w:val=""/>
      <w:lvlJc w:val="left"/>
    </w:lvl>
    <w:lvl w:ilvl="2" w:tplc="C0FC00A6">
      <w:numFmt w:val="decimal"/>
      <w:lvlText w:val=""/>
      <w:lvlJc w:val="left"/>
    </w:lvl>
    <w:lvl w:ilvl="3" w:tplc="4C4A305A">
      <w:numFmt w:val="decimal"/>
      <w:lvlText w:val=""/>
      <w:lvlJc w:val="left"/>
    </w:lvl>
    <w:lvl w:ilvl="4" w:tplc="3B2C5272">
      <w:numFmt w:val="decimal"/>
      <w:lvlText w:val=""/>
      <w:lvlJc w:val="left"/>
    </w:lvl>
    <w:lvl w:ilvl="5" w:tplc="7778D918">
      <w:numFmt w:val="decimal"/>
      <w:lvlText w:val=""/>
      <w:lvlJc w:val="left"/>
    </w:lvl>
    <w:lvl w:ilvl="6" w:tplc="220686AE">
      <w:numFmt w:val="decimal"/>
      <w:lvlText w:val=""/>
      <w:lvlJc w:val="left"/>
    </w:lvl>
    <w:lvl w:ilvl="7" w:tplc="586C9BCA">
      <w:numFmt w:val="decimal"/>
      <w:lvlText w:val=""/>
      <w:lvlJc w:val="left"/>
    </w:lvl>
    <w:lvl w:ilvl="8" w:tplc="1438F91A">
      <w:numFmt w:val="decimal"/>
      <w:lvlText w:val=""/>
      <w:lvlJc w:val="left"/>
    </w:lvl>
  </w:abstractNum>
  <w:abstractNum w:abstractNumId="209">
    <w:nsid w:val="46B24DBC"/>
    <w:multiLevelType w:val="hybridMultilevel"/>
    <w:tmpl w:val="9E6ABAA0"/>
    <w:lvl w:ilvl="0" w:tplc="2700B764">
      <w:start w:val="1"/>
      <w:numFmt w:val="bullet"/>
      <w:lvlText w:val="à"/>
      <w:lvlJc w:val="left"/>
    </w:lvl>
    <w:lvl w:ilvl="1" w:tplc="FE98CCEC">
      <w:numFmt w:val="decimal"/>
      <w:lvlText w:val=""/>
      <w:lvlJc w:val="left"/>
    </w:lvl>
    <w:lvl w:ilvl="2" w:tplc="F508DB36">
      <w:numFmt w:val="decimal"/>
      <w:lvlText w:val=""/>
      <w:lvlJc w:val="left"/>
    </w:lvl>
    <w:lvl w:ilvl="3" w:tplc="4A18DF40">
      <w:numFmt w:val="decimal"/>
      <w:lvlText w:val=""/>
      <w:lvlJc w:val="left"/>
    </w:lvl>
    <w:lvl w:ilvl="4" w:tplc="1430BE76">
      <w:numFmt w:val="decimal"/>
      <w:lvlText w:val=""/>
      <w:lvlJc w:val="left"/>
    </w:lvl>
    <w:lvl w:ilvl="5" w:tplc="241CA014">
      <w:numFmt w:val="decimal"/>
      <w:lvlText w:val=""/>
      <w:lvlJc w:val="left"/>
    </w:lvl>
    <w:lvl w:ilvl="6" w:tplc="A2481F00">
      <w:numFmt w:val="decimal"/>
      <w:lvlText w:val=""/>
      <w:lvlJc w:val="left"/>
    </w:lvl>
    <w:lvl w:ilvl="7" w:tplc="A0CE69A2">
      <w:numFmt w:val="decimal"/>
      <w:lvlText w:val=""/>
      <w:lvlJc w:val="left"/>
    </w:lvl>
    <w:lvl w:ilvl="8" w:tplc="CBB21B64">
      <w:numFmt w:val="decimal"/>
      <w:lvlText w:val=""/>
      <w:lvlJc w:val="left"/>
    </w:lvl>
  </w:abstractNum>
  <w:abstractNum w:abstractNumId="210">
    <w:nsid w:val="46BA8FCA"/>
    <w:multiLevelType w:val="hybridMultilevel"/>
    <w:tmpl w:val="617C4CEE"/>
    <w:lvl w:ilvl="0" w:tplc="BF92CC0A">
      <w:start w:val="1"/>
      <w:numFmt w:val="bullet"/>
      <w:lvlText w:val=""/>
      <w:lvlJc w:val="left"/>
    </w:lvl>
    <w:lvl w:ilvl="1" w:tplc="50FAE48C">
      <w:numFmt w:val="decimal"/>
      <w:lvlText w:val=""/>
      <w:lvlJc w:val="left"/>
    </w:lvl>
    <w:lvl w:ilvl="2" w:tplc="4CBE8E3C">
      <w:numFmt w:val="decimal"/>
      <w:lvlText w:val=""/>
      <w:lvlJc w:val="left"/>
    </w:lvl>
    <w:lvl w:ilvl="3" w:tplc="0F98964E">
      <w:numFmt w:val="decimal"/>
      <w:lvlText w:val=""/>
      <w:lvlJc w:val="left"/>
    </w:lvl>
    <w:lvl w:ilvl="4" w:tplc="D9BCB8A8">
      <w:numFmt w:val="decimal"/>
      <w:lvlText w:val=""/>
      <w:lvlJc w:val="left"/>
    </w:lvl>
    <w:lvl w:ilvl="5" w:tplc="73A043EC">
      <w:numFmt w:val="decimal"/>
      <w:lvlText w:val=""/>
      <w:lvlJc w:val="left"/>
    </w:lvl>
    <w:lvl w:ilvl="6" w:tplc="34E6A2F8">
      <w:numFmt w:val="decimal"/>
      <w:lvlText w:val=""/>
      <w:lvlJc w:val="left"/>
    </w:lvl>
    <w:lvl w:ilvl="7" w:tplc="9CFCDC1A">
      <w:numFmt w:val="decimal"/>
      <w:lvlText w:val=""/>
      <w:lvlJc w:val="left"/>
    </w:lvl>
    <w:lvl w:ilvl="8" w:tplc="7506DD8A">
      <w:numFmt w:val="decimal"/>
      <w:lvlText w:val=""/>
      <w:lvlJc w:val="left"/>
    </w:lvl>
  </w:abstractNum>
  <w:abstractNum w:abstractNumId="211">
    <w:nsid w:val="46F8284B"/>
    <w:multiLevelType w:val="hybridMultilevel"/>
    <w:tmpl w:val="41E6882C"/>
    <w:lvl w:ilvl="0" w:tplc="721E6DA6">
      <w:start w:val="1"/>
      <w:numFmt w:val="bullet"/>
      <w:lvlText w:val=""/>
      <w:lvlJc w:val="left"/>
    </w:lvl>
    <w:lvl w:ilvl="1" w:tplc="0934928C">
      <w:numFmt w:val="decimal"/>
      <w:lvlText w:val=""/>
      <w:lvlJc w:val="left"/>
    </w:lvl>
    <w:lvl w:ilvl="2" w:tplc="81F6290C">
      <w:numFmt w:val="decimal"/>
      <w:lvlText w:val=""/>
      <w:lvlJc w:val="left"/>
    </w:lvl>
    <w:lvl w:ilvl="3" w:tplc="2A2C5946">
      <w:numFmt w:val="decimal"/>
      <w:lvlText w:val=""/>
      <w:lvlJc w:val="left"/>
    </w:lvl>
    <w:lvl w:ilvl="4" w:tplc="473E64C8">
      <w:numFmt w:val="decimal"/>
      <w:lvlText w:val=""/>
      <w:lvlJc w:val="left"/>
    </w:lvl>
    <w:lvl w:ilvl="5" w:tplc="EAE4DB02">
      <w:numFmt w:val="decimal"/>
      <w:lvlText w:val=""/>
      <w:lvlJc w:val="left"/>
    </w:lvl>
    <w:lvl w:ilvl="6" w:tplc="97B2FB6A">
      <w:numFmt w:val="decimal"/>
      <w:lvlText w:val=""/>
      <w:lvlJc w:val="left"/>
    </w:lvl>
    <w:lvl w:ilvl="7" w:tplc="BE4015B4">
      <w:numFmt w:val="decimal"/>
      <w:lvlText w:val=""/>
      <w:lvlJc w:val="left"/>
    </w:lvl>
    <w:lvl w:ilvl="8" w:tplc="F92CA84E">
      <w:numFmt w:val="decimal"/>
      <w:lvlText w:val=""/>
      <w:lvlJc w:val="left"/>
    </w:lvl>
  </w:abstractNum>
  <w:abstractNum w:abstractNumId="212">
    <w:nsid w:val="471745E4"/>
    <w:multiLevelType w:val="hybridMultilevel"/>
    <w:tmpl w:val="58C051F4"/>
    <w:lvl w:ilvl="0" w:tplc="62AE3546">
      <w:start w:val="1"/>
      <w:numFmt w:val="bullet"/>
      <w:lvlText w:val=""/>
      <w:lvlJc w:val="left"/>
    </w:lvl>
    <w:lvl w:ilvl="1" w:tplc="06E274B0">
      <w:start w:val="1"/>
      <w:numFmt w:val="bullet"/>
      <w:lvlText w:val="-"/>
      <w:lvlJc w:val="left"/>
    </w:lvl>
    <w:lvl w:ilvl="2" w:tplc="0F826BEE">
      <w:numFmt w:val="decimal"/>
      <w:lvlText w:val=""/>
      <w:lvlJc w:val="left"/>
    </w:lvl>
    <w:lvl w:ilvl="3" w:tplc="2826B406">
      <w:numFmt w:val="decimal"/>
      <w:lvlText w:val=""/>
      <w:lvlJc w:val="left"/>
    </w:lvl>
    <w:lvl w:ilvl="4" w:tplc="01406E20">
      <w:numFmt w:val="decimal"/>
      <w:lvlText w:val=""/>
      <w:lvlJc w:val="left"/>
    </w:lvl>
    <w:lvl w:ilvl="5" w:tplc="26560854">
      <w:numFmt w:val="decimal"/>
      <w:lvlText w:val=""/>
      <w:lvlJc w:val="left"/>
    </w:lvl>
    <w:lvl w:ilvl="6" w:tplc="E4C05FE8">
      <w:numFmt w:val="decimal"/>
      <w:lvlText w:val=""/>
      <w:lvlJc w:val="left"/>
    </w:lvl>
    <w:lvl w:ilvl="7" w:tplc="AE7C57E8">
      <w:numFmt w:val="decimal"/>
      <w:lvlText w:val=""/>
      <w:lvlJc w:val="left"/>
    </w:lvl>
    <w:lvl w:ilvl="8" w:tplc="BE16CCB0">
      <w:numFmt w:val="decimal"/>
      <w:lvlText w:val=""/>
      <w:lvlJc w:val="left"/>
    </w:lvl>
  </w:abstractNum>
  <w:abstractNum w:abstractNumId="213">
    <w:nsid w:val="47C7C971"/>
    <w:multiLevelType w:val="hybridMultilevel"/>
    <w:tmpl w:val="CD0CE51A"/>
    <w:lvl w:ilvl="0" w:tplc="A69072E0">
      <w:start w:val="1"/>
      <w:numFmt w:val="decimal"/>
      <w:lvlText w:val="%1."/>
      <w:lvlJc w:val="left"/>
    </w:lvl>
    <w:lvl w:ilvl="1" w:tplc="6DAE3F0A">
      <w:numFmt w:val="decimal"/>
      <w:lvlText w:val=""/>
      <w:lvlJc w:val="left"/>
    </w:lvl>
    <w:lvl w:ilvl="2" w:tplc="DC647E82">
      <w:numFmt w:val="decimal"/>
      <w:lvlText w:val=""/>
      <w:lvlJc w:val="left"/>
    </w:lvl>
    <w:lvl w:ilvl="3" w:tplc="C0BEDC26">
      <w:numFmt w:val="decimal"/>
      <w:lvlText w:val=""/>
      <w:lvlJc w:val="left"/>
    </w:lvl>
    <w:lvl w:ilvl="4" w:tplc="32707CEA">
      <w:numFmt w:val="decimal"/>
      <w:lvlText w:val=""/>
      <w:lvlJc w:val="left"/>
    </w:lvl>
    <w:lvl w:ilvl="5" w:tplc="AD6CB648">
      <w:numFmt w:val="decimal"/>
      <w:lvlText w:val=""/>
      <w:lvlJc w:val="left"/>
    </w:lvl>
    <w:lvl w:ilvl="6" w:tplc="93EAFB96">
      <w:numFmt w:val="decimal"/>
      <w:lvlText w:val=""/>
      <w:lvlJc w:val="left"/>
    </w:lvl>
    <w:lvl w:ilvl="7" w:tplc="3FE816F8">
      <w:numFmt w:val="decimal"/>
      <w:lvlText w:val=""/>
      <w:lvlJc w:val="left"/>
    </w:lvl>
    <w:lvl w:ilvl="8" w:tplc="A118C272">
      <w:numFmt w:val="decimal"/>
      <w:lvlText w:val=""/>
      <w:lvlJc w:val="left"/>
    </w:lvl>
  </w:abstractNum>
  <w:abstractNum w:abstractNumId="214">
    <w:nsid w:val="47CAA567"/>
    <w:multiLevelType w:val="hybridMultilevel"/>
    <w:tmpl w:val="2B0A7656"/>
    <w:lvl w:ilvl="0" w:tplc="2FCA9EC2">
      <w:start w:val="1"/>
      <w:numFmt w:val="bullet"/>
      <w:lvlText w:val="%"/>
      <w:lvlJc w:val="left"/>
    </w:lvl>
    <w:lvl w:ilvl="1" w:tplc="1C52FA34">
      <w:numFmt w:val="decimal"/>
      <w:lvlText w:val=""/>
      <w:lvlJc w:val="left"/>
    </w:lvl>
    <w:lvl w:ilvl="2" w:tplc="23280338">
      <w:numFmt w:val="decimal"/>
      <w:lvlText w:val=""/>
      <w:lvlJc w:val="left"/>
    </w:lvl>
    <w:lvl w:ilvl="3" w:tplc="E2E4D890">
      <w:numFmt w:val="decimal"/>
      <w:lvlText w:val=""/>
      <w:lvlJc w:val="left"/>
    </w:lvl>
    <w:lvl w:ilvl="4" w:tplc="CD0AB3DA">
      <w:numFmt w:val="decimal"/>
      <w:lvlText w:val=""/>
      <w:lvlJc w:val="left"/>
    </w:lvl>
    <w:lvl w:ilvl="5" w:tplc="4C9E9C06">
      <w:numFmt w:val="decimal"/>
      <w:lvlText w:val=""/>
      <w:lvlJc w:val="left"/>
    </w:lvl>
    <w:lvl w:ilvl="6" w:tplc="2F1A638C">
      <w:numFmt w:val="decimal"/>
      <w:lvlText w:val=""/>
      <w:lvlJc w:val="left"/>
    </w:lvl>
    <w:lvl w:ilvl="7" w:tplc="85A46F50">
      <w:numFmt w:val="decimal"/>
      <w:lvlText w:val=""/>
      <w:lvlJc w:val="left"/>
    </w:lvl>
    <w:lvl w:ilvl="8" w:tplc="B9E05BC6">
      <w:numFmt w:val="decimal"/>
      <w:lvlText w:val=""/>
      <w:lvlJc w:val="left"/>
    </w:lvl>
  </w:abstractNum>
  <w:abstractNum w:abstractNumId="215">
    <w:nsid w:val="48249DBF"/>
    <w:multiLevelType w:val="hybridMultilevel"/>
    <w:tmpl w:val="4F78350E"/>
    <w:lvl w:ilvl="0" w:tplc="D14AB1B2">
      <w:start w:val="1"/>
      <w:numFmt w:val="bullet"/>
      <w:lvlText w:val="«"/>
      <w:lvlJc w:val="left"/>
    </w:lvl>
    <w:lvl w:ilvl="1" w:tplc="6F207BF2">
      <w:numFmt w:val="decimal"/>
      <w:lvlText w:val=""/>
      <w:lvlJc w:val="left"/>
    </w:lvl>
    <w:lvl w:ilvl="2" w:tplc="8B7A68EE">
      <w:numFmt w:val="decimal"/>
      <w:lvlText w:val=""/>
      <w:lvlJc w:val="left"/>
    </w:lvl>
    <w:lvl w:ilvl="3" w:tplc="D69E0D4E">
      <w:numFmt w:val="decimal"/>
      <w:lvlText w:val=""/>
      <w:lvlJc w:val="left"/>
    </w:lvl>
    <w:lvl w:ilvl="4" w:tplc="B802AB74">
      <w:numFmt w:val="decimal"/>
      <w:lvlText w:val=""/>
      <w:lvlJc w:val="left"/>
    </w:lvl>
    <w:lvl w:ilvl="5" w:tplc="07523DE4">
      <w:numFmt w:val="decimal"/>
      <w:lvlText w:val=""/>
      <w:lvlJc w:val="left"/>
    </w:lvl>
    <w:lvl w:ilvl="6" w:tplc="9E268654">
      <w:numFmt w:val="decimal"/>
      <w:lvlText w:val=""/>
      <w:lvlJc w:val="left"/>
    </w:lvl>
    <w:lvl w:ilvl="7" w:tplc="EB34D832">
      <w:numFmt w:val="decimal"/>
      <w:lvlText w:val=""/>
      <w:lvlJc w:val="left"/>
    </w:lvl>
    <w:lvl w:ilvl="8" w:tplc="9314104A">
      <w:numFmt w:val="decimal"/>
      <w:lvlText w:val=""/>
      <w:lvlJc w:val="left"/>
    </w:lvl>
  </w:abstractNum>
  <w:abstractNum w:abstractNumId="216">
    <w:nsid w:val="48781401"/>
    <w:multiLevelType w:val="hybridMultilevel"/>
    <w:tmpl w:val="2320CEB2"/>
    <w:lvl w:ilvl="0" w:tplc="FA180234">
      <w:start w:val="1"/>
      <w:numFmt w:val="bullet"/>
      <w:lvlText w:val="«"/>
      <w:lvlJc w:val="left"/>
    </w:lvl>
    <w:lvl w:ilvl="1" w:tplc="D99E4012">
      <w:start w:val="1"/>
      <w:numFmt w:val="bullet"/>
      <w:lvlText w:val=""/>
      <w:lvlJc w:val="left"/>
    </w:lvl>
    <w:lvl w:ilvl="2" w:tplc="81BEB8C0">
      <w:numFmt w:val="decimal"/>
      <w:lvlText w:val=""/>
      <w:lvlJc w:val="left"/>
    </w:lvl>
    <w:lvl w:ilvl="3" w:tplc="5114CB72">
      <w:numFmt w:val="decimal"/>
      <w:lvlText w:val=""/>
      <w:lvlJc w:val="left"/>
    </w:lvl>
    <w:lvl w:ilvl="4" w:tplc="7A801188">
      <w:numFmt w:val="decimal"/>
      <w:lvlText w:val=""/>
      <w:lvlJc w:val="left"/>
    </w:lvl>
    <w:lvl w:ilvl="5" w:tplc="F66663DE">
      <w:numFmt w:val="decimal"/>
      <w:lvlText w:val=""/>
      <w:lvlJc w:val="left"/>
    </w:lvl>
    <w:lvl w:ilvl="6" w:tplc="A1CC9746">
      <w:numFmt w:val="decimal"/>
      <w:lvlText w:val=""/>
      <w:lvlJc w:val="left"/>
    </w:lvl>
    <w:lvl w:ilvl="7" w:tplc="D33C1B26">
      <w:numFmt w:val="decimal"/>
      <w:lvlText w:val=""/>
      <w:lvlJc w:val="left"/>
    </w:lvl>
    <w:lvl w:ilvl="8" w:tplc="DE62FFDE">
      <w:numFmt w:val="decimal"/>
      <w:lvlText w:val=""/>
      <w:lvlJc w:val="left"/>
    </w:lvl>
  </w:abstractNum>
  <w:abstractNum w:abstractNumId="217">
    <w:nsid w:val="48AEB063"/>
    <w:multiLevelType w:val="hybridMultilevel"/>
    <w:tmpl w:val="D07A6C24"/>
    <w:lvl w:ilvl="0" w:tplc="3B7C8BF8">
      <w:start w:val="1"/>
      <w:numFmt w:val="bullet"/>
      <w:lvlText w:val=""/>
      <w:lvlJc w:val="left"/>
    </w:lvl>
    <w:lvl w:ilvl="1" w:tplc="3312B2EC">
      <w:numFmt w:val="decimal"/>
      <w:lvlText w:val=""/>
      <w:lvlJc w:val="left"/>
    </w:lvl>
    <w:lvl w:ilvl="2" w:tplc="85D6E35E">
      <w:numFmt w:val="decimal"/>
      <w:lvlText w:val=""/>
      <w:lvlJc w:val="left"/>
    </w:lvl>
    <w:lvl w:ilvl="3" w:tplc="12EC4820">
      <w:numFmt w:val="decimal"/>
      <w:lvlText w:val=""/>
      <w:lvlJc w:val="left"/>
    </w:lvl>
    <w:lvl w:ilvl="4" w:tplc="56B496CA">
      <w:numFmt w:val="decimal"/>
      <w:lvlText w:val=""/>
      <w:lvlJc w:val="left"/>
    </w:lvl>
    <w:lvl w:ilvl="5" w:tplc="6CD8161E">
      <w:numFmt w:val="decimal"/>
      <w:lvlText w:val=""/>
      <w:lvlJc w:val="left"/>
    </w:lvl>
    <w:lvl w:ilvl="6" w:tplc="BCB4BB7C">
      <w:numFmt w:val="decimal"/>
      <w:lvlText w:val=""/>
      <w:lvlJc w:val="left"/>
    </w:lvl>
    <w:lvl w:ilvl="7" w:tplc="22A4545C">
      <w:numFmt w:val="decimal"/>
      <w:lvlText w:val=""/>
      <w:lvlJc w:val="left"/>
    </w:lvl>
    <w:lvl w:ilvl="8" w:tplc="CCD0CD3C">
      <w:numFmt w:val="decimal"/>
      <w:lvlText w:val=""/>
      <w:lvlJc w:val="left"/>
    </w:lvl>
  </w:abstractNum>
  <w:abstractNum w:abstractNumId="218">
    <w:nsid w:val="496FB218"/>
    <w:multiLevelType w:val="hybridMultilevel"/>
    <w:tmpl w:val="F7D0A444"/>
    <w:lvl w:ilvl="0" w:tplc="403E1CB6">
      <w:start w:val="1"/>
      <w:numFmt w:val="bullet"/>
      <w:lvlText w:val="-"/>
      <w:lvlJc w:val="left"/>
    </w:lvl>
    <w:lvl w:ilvl="1" w:tplc="D9B0E356">
      <w:numFmt w:val="decimal"/>
      <w:lvlText w:val=""/>
      <w:lvlJc w:val="left"/>
    </w:lvl>
    <w:lvl w:ilvl="2" w:tplc="FC12E2FE">
      <w:numFmt w:val="decimal"/>
      <w:lvlText w:val=""/>
      <w:lvlJc w:val="left"/>
    </w:lvl>
    <w:lvl w:ilvl="3" w:tplc="DD828958">
      <w:numFmt w:val="decimal"/>
      <w:lvlText w:val=""/>
      <w:lvlJc w:val="left"/>
    </w:lvl>
    <w:lvl w:ilvl="4" w:tplc="94DAEB5A">
      <w:numFmt w:val="decimal"/>
      <w:lvlText w:val=""/>
      <w:lvlJc w:val="left"/>
    </w:lvl>
    <w:lvl w:ilvl="5" w:tplc="76506F44">
      <w:numFmt w:val="decimal"/>
      <w:lvlText w:val=""/>
      <w:lvlJc w:val="left"/>
    </w:lvl>
    <w:lvl w:ilvl="6" w:tplc="FA4822B8">
      <w:numFmt w:val="decimal"/>
      <w:lvlText w:val=""/>
      <w:lvlJc w:val="left"/>
    </w:lvl>
    <w:lvl w:ilvl="7" w:tplc="3914046A">
      <w:numFmt w:val="decimal"/>
      <w:lvlText w:val=""/>
      <w:lvlJc w:val="left"/>
    </w:lvl>
    <w:lvl w:ilvl="8" w:tplc="8F124BF4">
      <w:numFmt w:val="decimal"/>
      <w:lvlText w:val=""/>
      <w:lvlJc w:val="left"/>
    </w:lvl>
  </w:abstractNum>
  <w:abstractNum w:abstractNumId="219">
    <w:nsid w:val="4A0FFA11"/>
    <w:multiLevelType w:val="hybridMultilevel"/>
    <w:tmpl w:val="282A310A"/>
    <w:lvl w:ilvl="0" w:tplc="C4F6AAA4">
      <w:start w:val="1"/>
      <w:numFmt w:val="bullet"/>
      <w:lvlText w:val="-"/>
      <w:lvlJc w:val="left"/>
    </w:lvl>
    <w:lvl w:ilvl="1" w:tplc="EB28DB02">
      <w:numFmt w:val="decimal"/>
      <w:lvlText w:val=""/>
      <w:lvlJc w:val="left"/>
    </w:lvl>
    <w:lvl w:ilvl="2" w:tplc="84648D70">
      <w:numFmt w:val="decimal"/>
      <w:lvlText w:val=""/>
      <w:lvlJc w:val="left"/>
    </w:lvl>
    <w:lvl w:ilvl="3" w:tplc="7534CD66">
      <w:numFmt w:val="decimal"/>
      <w:lvlText w:val=""/>
      <w:lvlJc w:val="left"/>
    </w:lvl>
    <w:lvl w:ilvl="4" w:tplc="6AA4708C">
      <w:numFmt w:val="decimal"/>
      <w:lvlText w:val=""/>
      <w:lvlJc w:val="left"/>
    </w:lvl>
    <w:lvl w:ilvl="5" w:tplc="4E22D900">
      <w:numFmt w:val="decimal"/>
      <w:lvlText w:val=""/>
      <w:lvlJc w:val="left"/>
    </w:lvl>
    <w:lvl w:ilvl="6" w:tplc="7DF48E74">
      <w:numFmt w:val="decimal"/>
      <w:lvlText w:val=""/>
      <w:lvlJc w:val="left"/>
    </w:lvl>
    <w:lvl w:ilvl="7" w:tplc="A15238F2">
      <w:numFmt w:val="decimal"/>
      <w:lvlText w:val=""/>
      <w:lvlJc w:val="left"/>
    </w:lvl>
    <w:lvl w:ilvl="8" w:tplc="1CE03C92">
      <w:numFmt w:val="decimal"/>
      <w:lvlText w:val=""/>
      <w:lvlJc w:val="left"/>
    </w:lvl>
  </w:abstractNum>
  <w:abstractNum w:abstractNumId="220">
    <w:nsid w:val="4A1D606E"/>
    <w:multiLevelType w:val="hybridMultilevel"/>
    <w:tmpl w:val="27706AE0"/>
    <w:lvl w:ilvl="0" w:tplc="69FEA78A">
      <w:start w:val="1"/>
      <w:numFmt w:val="bullet"/>
      <w:lvlText w:val=""/>
      <w:lvlJc w:val="left"/>
    </w:lvl>
    <w:lvl w:ilvl="1" w:tplc="ED8EE190">
      <w:numFmt w:val="decimal"/>
      <w:lvlText w:val=""/>
      <w:lvlJc w:val="left"/>
    </w:lvl>
    <w:lvl w:ilvl="2" w:tplc="F97C9EB4">
      <w:numFmt w:val="decimal"/>
      <w:lvlText w:val=""/>
      <w:lvlJc w:val="left"/>
    </w:lvl>
    <w:lvl w:ilvl="3" w:tplc="06EA7C0A">
      <w:numFmt w:val="decimal"/>
      <w:lvlText w:val=""/>
      <w:lvlJc w:val="left"/>
    </w:lvl>
    <w:lvl w:ilvl="4" w:tplc="F7F632FA">
      <w:numFmt w:val="decimal"/>
      <w:lvlText w:val=""/>
      <w:lvlJc w:val="left"/>
    </w:lvl>
    <w:lvl w:ilvl="5" w:tplc="E7AC2F08">
      <w:numFmt w:val="decimal"/>
      <w:lvlText w:val=""/>
      <w:lvlJc w:val="left"/>
    </w:lvl>
    <w:lvl w:ilvl="6" w:tplc="8D02258E">
      <w:numFmt w:val="decimal"/>
      <w:lvlText w:val=""/>
      <w:lvlJc w:val="left"/>
    </w:lvl>
    <w:lvl w:ilvl="7" w:tplc="38FEF840">
      <w:numFmt w:val="decimal"/>
      <w:lvlText w:val=""/>
      <w:lvlJc w:val="left"/>
    </w:lvl>
    <w:lvl w:ilvl="8" w:tplc="77128BF2">
      <w:numFmt w:val="decimal"/>
      <w:lvlText w:val=""/>
      <w:lvlJc w:val="left"/>
    </w:lvl>
  </w:abstractNum>
  <w:abstractNum w:abstractNumId="221">
    <w:nsid w:val="4A872C35"/>
    <w:multiLevelType w:val="hybridMultilevel"/>
    <w:tmpl w:val="6E60D9DC"/>
    <w:lvl w:ilvl="0" w:tplc="7110F380">
      <w:start w:val="1"/>
      <w:numFmt w:val="bullet"/>
      <w:lvlText w:val=""/>
      <w:lvlJc w:val="left"/>
    </w:lvl>
    <w:lvl w:ilvl="1" w:tplc="183AB966">
      <w:numFmt w:val="decimal"/>
      <w:lvlText w:val=""/>
      <w:lvlJc w:val="left"/>
    </w:lvl>
    <w:lvl w:ilvl="2" w:tplc="336C191C">
      <w:numFmt w:val="decimal"/>
      <w:lvlText w:val=""/>
      <w:lvlJc w:val="left"/>
    </w:lvl>
    <w:lvl w:ilvl="3" w:tplc="B81A5BE6">
      <w:numFmt w:val="decimal"/>
      <w:lvlText w:val=""/>
      <w:lvlJc w:val="left"/>
    </w:lvl>
    <w:lvl w:ilvl="4" w:tplc="015ECB98">
      <w:numFmt w:val="decimal"/>
      <w:lvlText w:val=""/>
      <w:lvlJc w:val="left"/>
    </w:lvl>
    <w:lvl w:ilvl="5" w:tplc="FC7A9F90">
      <w:numFmt w:val="decimal"/>
      <w:lvlText w:val=""/>
      <w:lvlJc w:val="left"/>
    </w:lvl>
    <w:lvl w:ilvl="6" w:tplc="F17470F2">
      <w:numFmt w:val="decimal"/>
      <w:lvlText w:val=""/>
      <w:lvlJc w:val="left"/>
    </w:lvl>
    <w:lvl w:ilvl="7" w:tplc="536EF8A2">
      <w:numFmt w:val="decimal"/>
      <w:lvlText w:val=""/>
      <w:lvlJc w:val="left"/>
    </w:lvl>
    <w:lvl w:ilvl="8" w:tplc="ED487970">
      <w:numFmt w:val="decimal"/>
      <w:lvlText w:val=""/>
      <w:lvlJc w:val="left"/>
    </w:lvl>
  </w:abstractNum>
  <w:abstractNum w:abstractNumId="222">
    <w:nsid w:val="4A9554FE"/>
    <w:multiLevelType w:val="hybridMultilevel"/>
    <w:tmpl w:val="D096B856"/>
    <w:lvl w:ilvl="0" w:tplc="371ED7D4">
      <w:start w:val="1"/>
      <w:numFmt w:val="bullet"/>
      <w:lvlText w:val=""/>
      <w:lvlJc w:val="left"/>
    </w:lvl>
    <w:lvl w:ilvl="1" w:tplc="744C0076">
      <w:numFmt w:val="decimal"/>
      <w:lvlText w:val=""/>
      <w:lvlJc w:val="left"/>
    </w:lvl>
    <w:lvl w:ilvl="2" w:tplc="00CCE1BE">
      <w:numFmt w:val="decimal"/>
      <w:lvlText w:val=""/>
      <w:lvlJc w:val="left"/>
    </w:lvl>
    <w:lvl w:ilvl="3" w:tplc="B28E9D34">
      <w:numFmt w:val="decimal"/>
      <w:lvlText w:val=""/>
      <w:lvlJc w:val="left"/>
    </w:lvl>
    <w:lvl w:ilvl="4" w:tplc="6BC4D390">
      <w:numFmt w:val="decimal"/>
      <w:lvlText w:val=""/>
      <w:lvlJc w:val="left"/>
    </w:lvl>
    <w:lvl w:ilvl="5" w:tplc="E586C3E4">
      <w:numFmt w:val="decimal"/>
      <w:lvlText w:val=""/>
      <w:lvlJc w:val="left"/>
    </w:lvl>
    <w:lvl w:ilvl="6" w:tplc="7AEC2C5C">
      <w:numFmt w:val="decimal"/>
      <w:lvlText w:val=""/>
      <w:lvlJc w:val="left"/>
    </w:lvl>
    <w:lvl w:ilvl="7" w:tplc="3E00DD4A">
      <w:numFmt w:val="decimal"/>
      <w:lvlText w:val=""/>
      <w:lvlJc w:val="left"/>
    </w:lvl>
    <w:lvl w:ilvl="8" w:tplc="FF3C6436">
      <w:numFmt w:val="decimal"/>
      <w:lvlText w:val=""/>
      <w:lvlJc w:val="left"/>
    </w:lvl>
  </w:abstractNum>
  <w:abstractNum w:abstractNumId="223">
    <w:nsid w:val="4AD3AFD2"/>
    <w:multiLevelType w:val="hybridMultilevel"/>
    <w:tmpl w:val="A53EEC54"/>
    <w:lvl w:ilvl="0" w:tplc="DFFA2614">
      <w:start w:val="1"/>
      <w:numFmt w:val="bullet"/>
      <w:lvlText w:val="à"/>
      <w:lvlJc w:val="left"/>
    </w:lvl>
    <w:lvl w:ilvl="1" w:tplc="202CBBB6">
      <w:numFmt w:val="decimal"/>
      <w:lvlText w:val=""/>
      <w:lvlJc w:val="left"/>
    </w:lvl>
    <w:lvl w:ilvl="2" w:tplc="E7A2D728">
      <w:numFmt w:val="decimal"/>
      <w:lvlText w:val=""/>
      <w:lvlJc w:val="left"/>
    </w:lvl>
    <w:lvl w:ilvl="3" w:tplc="93966F30">
      <w:numFmt w:val="decimal"/>
      <w:lvlText w:val=""/>
      <w:lvlJc w:val="left"/>
    </w:lvl>
    <w:lvl w:ilvl="4" w:tplc="024C84BC">
      <w:numFmt w:val="decimal"/>
      <w:lvlText w:val=""/>
      <w:lvlJc w:val="left"/>
    </w:lvl>
    <w:lvl w:ilvl="5" w:tplc="BF580CB0">
      <w:numFmt w:val="decimal"/>
      <w:lvlText w:val=""/>
      <w:lvlJc w:val="left"/>
    </w:lvl>
    <w:lvl w:ilvl="6" w:tplc="2900558E">
      <w:numFmt w:val="decimal"/>
      <w:lvlText w:val=""/>
      <w:lvlJc w:val="left"/>
    </w:lvl>
    <w:lvl w:ilvl="7" w:tplc="A554F748">
      <w:numFmt w:val="decimal"/>
      <w:lvlText w:val=""/>
      <w:lvlJc w:val="left"/>
    </w:lvl>
    <w:lvl w:ilvl="8" w:tplc="373A1252">
      <w:numFmt w:val="decimal"/>
      <w:lvlText w:val=""/>
      <w:lvlJc w:val="left"/>
    </w:lvl>
  </w:abstractNum>
  <w:abstractNum w:abstractNumId="224">
    <w:nsid w:val="4B232EE3"/>
    <w:multiLevelType w:val="hybridMultilevel"/>
    <w:tmpl w:val="795AD7E0"/>
    <w:lvl w:ilvl="0" w:tplc="2B7C82B8">
      <w:start w:val="11"/>
      <w:numFmt w:val="decimal"/>
      <w:lvlText w:val="%1"/>
      <w:lvlJc w:val="left"/>
    </w:lvl>
    <w:lvl w:ilvl="1" w:tplc="46C67CA8">
      <w:numFmt w:val="decimal"/>
      <w:lvlText w:val=""/>
      <w:lvlJc w:val="left"/>
    </w:lvl>
    <w:lvl w:ilvl="2" w:tplc="B39AD27C">
      <w:numFmt w:val="decimal"/>
      <w:lvlText w:val=""/>
      <w:lvlJc w:val="left"/>
    </w:lvl>
    <w:lvl w:ilvl="3" w:tplc="71727E94">
      <w:numFmt w:val="decimal"/>
      <w:lvlText w:val=""/>
      <w:lvlJc w:val="left"/>
    </w:lvl>
    <w:lvl w:ilvl="4" w:tplc="615221DC">
      <w:numFmt w:val="decimal"/>
      <w:lvlText w:val=""/>
      <w:lvlJc w:val="left"/>
    </w:lvl>
    <w:lvl w:ilvl="5" w:tplc="6C5C922C">
      <w:numFmt w:val="decimal"/>
      <w:lvlText w:val=""/>
      <w:lvlJc w:val="left"/>
    </w:lvl>
    <w:lvl w:ilvl="6" w:tplc="4E36C596">
      <w:numFmt w:val="decimal"/>
      <w:lvlText w:val=""/>
      <w:lvlJc w:val="left"/>
    </w:lvl>
    <w:lvl w:ilvl="7" w:tplc="88B0506A">
      <w:numFmt w:val="decimal"/>
      <w:lvlText w:val=""/>
      <w:lvlJc w:val="left"/>
    </w:lvl>
    <w:lvl w:ilvl="8" w:tplc="7B420AFA">
      <w:numFmt w:val="decimal"/>
      <w:lvlText w:val=""/>
      <w:lvlJc w:val="left"/>
    </w:lvl>
  </w:abstractNum>
  <w:abstractNum w:abstractNumId="225">
    <w:nsid w:val="4B683D0D"/>
    <w:multiLevelType w:val="hybridMultilevel"/>
    <w:tmpl w:val="582E5DE4"/>
    <w:lvl w:ilvl="0" w:tplc="701C4F70">
      <w:start w:val="1"/>
      <w:numFmt w:val="bullet"/>
      <w:lvlText w:val=""/>
      <w:lvlJc w:val="left"/>
    </w:lvl>
    <w:lvl w:ilvl="1" w:tplc="F55EA0D8">
      <w:numFmt w:val="decimal"/>
      <w:lvlText w:val=""/>
      <w:lvlJc w:val="left"/>
    </w:lvl>
    <w:lvl w:ilvl="2" w:tplc="EDF0A040">
      <w:numFmt w:val="decimal"/>
      <w:lvlText w:val=""/>
      <w:lvlJc w:val="left"/>
    </w:lvl>
    <w:lvl w:ilvl="3" w:tplc="42287AE2">
      <w:numFmt w:val="decimal"/>
      <w:lvlText w:val=""/>
      <w:lvlJc w:val="left"/>
    </w:lvl>
    <w:lvl w:ilvl="4" w:tplc="D6D8B1AA">
      <w:numFmt w:val="decimal"/>
      <w:lvlText w:val=""/>
      <w:lvlJc w:val="left"/>
    </w:lvl>
    <w:lvl w:ilvl="5" w:tplc="4F304654">
      <w:numFmt w:val="decimal"/>
      <w:lvlText w:val=""/>
      <w:lvlJc w:val="left"/>
    </w:lvl>
    <w:lvl w:ilvl="6" w:tplc="7AFCB224">
      <w:numFmt w:val="decimal"/>
      <w:lvlText w:val=""/>
      <w:lvlJc w:val="left"/>
    </w:lvl>
    <w:lvl w:ilvl="7" w:tplc="AB58D9FE">
      <w:numFmt w:val="decimal"/>
      <w:lvlText w:val=""/>
      <w:lvlJc w:val="left"/>
    </w:lvl>
    <w:lvl w:ilvl="8" w:tplc="70A85FDE">
      <w:numFmt w:val="decimal"/>
      <w:lvlText w:val=""/>
      <w:lvlJc w:val="left"/>
    </w:lvl>
  </w:abstractNum>
  <w:abstractNum w:abstractNumId="226">
    <w:nsid w:val="4B697C7A"/>
    <w:multiLevelType w:val="hybridMultilevel"/>
    <w:tmpl w:val="84F0533A"/>
    <w:lvl w:ilvl="0" w:tplc="4CDE77D2">
      <w:start w:val="5"/>
      <w:numFmt w:val="decimal"/>
      <w:lvlText w:val="%1"/>
      <w:lvlJc w:val="left"/>
    </w:lvl>
    <w:lvl w:ilvl="1" w:tplc="3B3A886C">
      <w:numFmt w:val="decimal"/>
      <w:lvlText w:val=""/>
      <w:lvlJc w:val="left"/>
    </w:lvl>
    <w:lvl w:ilvl="2" w:tplc="27F8DF5A">
      <w:numFmt w:val="decimal"/>
      <w:lvlText w:val=""/>
      <w:lvlJc w:val="left"/>
    </w:lvl>
    <w:lvl w:ilvl="3" w:tplc="380EFE56">
      <w:numFmt w:val="decimal"/>
      <w:lvlText w:val=""/>
      <w:lvlJc w:val="left"/>
    </w:lvl>
    <w:lvl w:ilvl="4" w:tplc="B63CD2CE">
      <w:numFmt w:val="decimal"/>
      <w:lvlText w:val=""/>
      <w:lvlJc w:val="left"/>
    </w:lvl>
    <w:lvl w:ilvl="5" w:tplc="C40CB63C">
      <w:numFmt w:val="decimal"/>
      <w:lvlText w:val=""/>
      <w:lvlJc w:val="left"/>
    </w:lvl>
    <w:lvl w:ilvl="6" w:tplc="8DE6156E">
      <w:numFmt w:val="decimal"/>
      <w:lvlText w:val=""/>
      <w:lvlJc w:val="left"/>
    </w:lvl>
    <w:lvl w:ilvl="7" w:tplc="7C9CE75E">
      <w:numFmt w:val="decimal"/>
      <w:lvlText w:val=""/>
      <w:lvlJc w:val="left"/>
    </w:lvl>
    <w:lvl w:ilvl="8" w:tplc="B21EB426">
      <w:numFmt w:val="decimal"/>
      <w:lvlText w:val=""/>
      <w:lvlJc w:val="left"/>
    </w:lvl>
  </w:abstractNum>
  <w:abstractNum w:abstractNumId="227">
    <w:nsid w:val="4BA9831A"/>
    <w:multiLevelType w:val="hybridMultilevel"/>
    <w:tmpl w:val="F1A261E6"/>
    <w:lvl w:ilvl="0" w:tplc="1E8AFD60">
      <w:start w:val="1"/>
      <w:numFmt w:val="bullet"/>
      <w:lvlText w:val=""/>
      <w:lvlJc w:val="left"/>
    </w:lvl>
    <w:lvl w:ilvl="1" w:tplc="EBA4AE94">
      <w:numFmt w:val="decimal"/>
      <w:lvlText w:val=""/>
      <w:lvlJc w:val="left"/>
    </w:lvl>
    <w:lvl w:ilvl="2" w:tplc="0E0AFED2">
      <w:numFmt w:val="decimal"/>
      <w:lvlText w:val=""/>
      <w:lvlJc w:val="left"/>
    </w:lvl>
    <w:lvl w:ilvl="3" w:tplc="872ABE6E">
      <w:numFmt w:val="decimal"/>
      <w:lvlText w:val=""/>
      <w:lvlJc w:val="left"/>
    </w:lvl>
    <w:lvl w:ilvl="4" w:tplc="01EC07A6">
      <w:numFmt w:val="decimal"/>
      <w:lvlText w:val=""/>
      <w:lvlJc w:val="left"/>
    </w:lvl>
    <w:lvl w:ilvl="5" w:tplc="C13C9CE2">
      <w:numFmt w:val="decimal"/>
      <w:lvlText w:val=""/>
      <w:lvlJc w:val="left"/>
    </w:lvl>
    <w:lvl w:ilvl="6" w:tplc="02D60D0E">
      <w:numFmt w:val="decimal"/>
      <w:lvlText w:val=""/>
      <w:lvlJc w:val="left"/>
    </w:lvl>
    <w:lvl w:ilvl="7" w:tplc="19309D4E">
      <w:numFmt w:val="decimal"/>
      <w:lvlText w:val=""/>
      <w:lvlJc w:val="left"/>
    </w:lvl>
    <w:lvl w:ilvl="8" w:tplc="2B442C8E">
      <w:numFmt w:val="decimal"/>
      <w:lvlText w:val=""/>
      <w:lvlJc w:val="left"/>
    </w:lvl>
  </w:abstractNum>
  <w:abstractNum w:abstractNumId="228">
    <w:nsid w:val="4BDD53FD"/>
    <w:multiLevelType w:val="hybridMultilevel"/>
    <w:tmpl w:val="A93E5B9A"/>
    <w:lvl w:ilvl="0" w:tplc="84CE4BEC">
      <w:start w:val="2"/>
      <w:numFmt w:val="decimal"/>
      <w:lvlText w:val="%1."/>
      <w:lvlJc w:val="left"/>
    </w:lvl>
    <w:lvl w:ilvl="1" w:tplc="1A465168">
      <w:numFmt w:val="decimal"/>
      <w:lvlText w:val=""/>
      <w:lvlJc w:val="left"/>
    </w:lvl>
    <w:lvl w:ilvl="2" w:tplc="85929DB0">
      <w:numFmt w:val="decimal"/>
      <w:lvlText w:val=""/>
      <w:lvlJc w:val="left"/>
    </w:lvl>
    <w:lvl w:ilvl="3" w:tplc="D1EA93BA">
      <w:numFmt w:val="decimal"/>
      <w:lvlText w:val=""/>
      <w:lvlJc w:val="left"/>
    </w:lvl>
    <w:lvl w:ilvl="4" w:tplc="D54C7A3E">
      <w:numFmt w:val="decimal"/>
      <w:lvlText w:val=""/>
      <w:lvlJc w:val="left"/>
    </w:lvl>
    <w:lvl w:ilvl="5" w:tplc="2D00C370">
      <w:numFmt w:val="decimal"/>
      <w:lvlText w:val=""/>
      <w:lvlJc w:val="left"/>
    </w:lvl>
    <w:lvl w:ilvl="6" w:tplc="224049E2">
      <w:numFmt w:val="decimal"/>
      <w:lvlText w:val=""/>
      <w:lvlJc w:val="left"/>
    </w:lvl>
    <w:lvl w:ilvl="7" w:tplc="F1061B6E">
      <w:numFmt w:val="decimal"/>
      <w:lvlText w:val=""/>
      <w:lvlJc w:val="left"/>
    </w:lvl>
    <w:lvl w:ilvl="8" w:tplc="A7EEC2E2">
      <w:numFmt w:val="decimal"/>
      <w:lvlText w:val=""/>
      <w:lvlJc w:val="left"/>
    </w:lvl>
  </w:abstractNum>
  <w:abstractNum w:abstractNumId="229">
    <w:nsid w:val="4C187C90"/>
    <w:multiLevelType w:val="hybridMultilevel"/>
    <w:tmpl w:val="1C5A21AA"/>
    <w:lvl w:ilvl="0" w:tplc="C2E8ED0C">
      <w:start w:val="1"/>
      <w:numFmt w:val="bullet"/>
      <w:lvlText w:val=""/>
      <w:lvlJc w:val="left"/>
    </w:lvl>
    <w:lvl w:ilvl="1" w:tplc="694C0102">
      <w:numFmt w:val="decimal"/>
      <w:lvlText w:val=""/>
      <w:lvlJc w:val="left"/>
    </w:lvl>
    <w:lvl w:ilvl="2" w:tplc="12162D8A">
      <w:numFmt w:val="decimal"/>
      <w:lvlText w:val=""/>
      <w:lvlJc w:val="left"/>
    </w:lvl>
    <w:lvl w:ilvl="3" w:tplc="82DC967A">
      <w:numFmt w:val="decimal"/>
      <w:lvlText w:val=""/>
      <w:lvlJc w:val="left"/>
    </w:lvl>
    <w:lvl w:ilvl="4" w:tplc="44281256">
      <w:numFmt w:val="decimal"/>
      <w:lvlText w:val=""/>
      <w:lvlJc w:val="left"/>
    </w:lvl>
    <w:lvl w:ilvl="5" w:tplc="D9DC64B6">
      <w:numFmt w:val="decimal"/>
      <w:lvlText w:val=""/>
      <w:lvlJc w:val="left"/>
    </w:lvl>
    <w:lvl w:ilvl="6" w:tplc="33907A4A">
      <w:numFmt w:val="decimal"/>
      <w:lvlText w:val=""/>
      <w:lvlJc w:val="left"/>
    </w:lvl>
    <w:lvl w:ilvl="7" w:tplc="0D3647FC">
      <w:numFmt w:val="decimal"/>
      <w:lvlText w:val=""/>
      <w:lvlJc w:val="left"/>
    </w:lvl>
    <w:lvl w:ilvl="8" w:tplc="DDB60ECC">
      <w:numFmt w:val="decimal"/>
      <w:lvlText w:val=""/>
      <w:lvlJc w:val="left"/>
    </w:lvl>
  </w:abstractNum>
  <w:abstractNum w:abstractNumId="230">
    <w:nsid w:val="4C502870"/>
    <w:multiLevelType w:val="hybridMultilevel"/>
    <w:tmpl w:val="707CCA64"/>
    <w:lvl w:ilvl="0" w:tplc="06A0998E">
      <w:start w:val="1"/>
      <w:numFmt w:val="bullet"/>
      <w:lvlText w:val="«"/>
      <w:lvlJc w:val="left"/>
    </w:lvl>
    <w:lvl w:ilvl="1" w:tplc="88081EDA">
      <w:numFmt w:val="decimal"/>
      <w:lvlText w:val=""/>
      <w:lvlJc w:val="left"/>
    </w:lvl>
    <w:lvl w:ilvl="2" w:tplc="E4345CCA">
      <w:numFmt w:val="decimal"/>
      <w:lvlText w:val=""/>
      <w:lvlJc w:val="left"/>
    </w:lvl>
    <w:lvl w:ilvl="3" w:tplc="3DD0C7AA">
      <w:numFmt w:val="decimal"/>
      <w:lvlText w:val=""/>
      <w:lvlJc w:val="left"/>
    </w:lvl>
    <w:lvl w:ilvl="4" w:tplc="6D582C68">
      <w:numFmt w:val="decimal"/>
      <w:lvlText w:val=""/>
      <w:lvlJc w:val="left"/>
    </w:lvl>
    <w:lvl w:ilvl="5" w:tplc="1CDA3D4A">
      <w:numFmt w:val="decimal"/>
      <w:lvlText w:val=""/>
      <w:lvlJc w:val="left"/>
    </w:lvl>
    <w:lvl w:ilvl="6" w:tplc="A4A27C4A">
      <w:numFmt w:val="decimal"/>
      <w:lvlText w:val=""/>
      <w:lvlJc w:val="left"/>
    </w:lvl>
    <w:lvl w:ilvl="7" w:tplc="A80411E2">
      <w:numFmt w:val="decimal"/>
      <w:lvlText w:val=""/>
      <w:lvlJc w:val="left"/>
    </w:lvl>
    <w:lvl w:ilvl="8" w:tplc="71B00BD6">
      <w:numFmt w:val="decimal"/>
      <w:lvlText w:val=""/>
      <w:lvlJc w:val="left"/>
    </w:lvl>
  </w:abstractNum>
  <w:abstractNum w:abstractNumId="231">
    <w:nsid w:val="4C54E2C3"/>
    <w:multiLevelType w:val="hybridMultilevel"/>
    <w:tmpl w:val="6652B15C"/>
    <w:lvl w:ilvl="0" w:tplc="99DC0E28">
      <w:start w:val="1"/>
      <w:numFmt w:val="bullet"/>
      <w:lvlText w:val="«"/>
      <w:lvlJc w:val="left"/>
    </w:lvl>
    <w:lvl w:ilvl="1" w:tplc="7472A166">
      <w:numFmt w:val="decimal"/>
      <w:lvlText w:val=""/>
      <w:lvlJc w:val="left"/>
    </w:lvl>
    <w:lvl w:ilvl="2" w:tplc="46164412">
      <w:numFmt w:val="decimal"/>
      <w:lvlText w:val=""/>
      <w:lvlJc w:val="left"/>
    </w:lvl>
    <w:lvl w:ilvl="3" w:tplc="B9CA2BE0">
      <w:numFmt w:val="decimal"/>
      <w:lvlText w:val=""/>
      <w:lvlJc w:val="left"/>
    </w:lvl>
    <w:lvl w:ilvl="4" w:tplc="983A7EF6">
      <w:numFmt w:val="decimal"/>
      <w:lvlText w:val=""/>
      <w:lvlJc w:val="left"/>
    </w:lvl>
    <w:lvl w:ilvl="5" w:tplc="05303E5A">
      <w:numFmt w:val="decimal"/>
      <w:lvlText w:val=""/>
      <w:lvlJc w:val="left"/>
    </w:lvl>
    <w:lvl w:ilvl="6" w:tplc="771CD8A0">
      <w:numFmt w:val="decimal"/>
      <w:lvlText w:val=""/>
      <w:lvlJc w:val="left"/>
    </w:lvl>
    <w:lvl w:ilvl="7" w:tplc="2BB40E68">
      <w:numFmt w:val="decimal"/>
      <w:lvlText w:val=""/>
      <w:lvlJc w:val="left"/>
    </w:lvl>
    <w:lvl w:ilvl="8" w:tplc="308232B2">
      <w:numFmt w:val="decimal"/>
      <w:lvlText w:val=""/>
      <w:lvlJc w:val="left"/>
    </w:lvl>
  </w:abstractNum>
  <w:abstractNum w:abstractNumId="232">
    <w:nsid w:val="4C672FC9"/>
    <w:multiLevelType w:val="hybridMultilevel"/>
    <w:tmpl w:val="72049F8C"/>
    <w:lvl w:ilvl="0" w:tplc="2FA08868">
      <w:start w:val="1"/>
      <w:numFmt w:val="bullet"/>
      <w:lvlText w:val=""/>
      <w:lvlJc w:val="left"/>
    </w:lvl>
    <w:lvl w:ilvl="1" w:tplc="6DD4D6EA">
      <w:numFmt w:val="decimal"/>
      <w:lvlText w:val=""/>
      <w:lvlJc w:val="left"/>
    </w:lvl>
    <w:lvl w:ilvl="2" w:tplc="67245E38">
      <w:numFmt w:val="decimal"/>
      <w:lvlText w:val=""/>
      <w:lvlJc w:val="left"/>
    </w:lvl>
    <w:lvl w:ilvl="3" w:tplc="E45AEB96">
      <w:numFmt w:val="decimal"/>
      <w:lvlText w:val=""/>
      <w:lvlJc w:val="left"/>
    </w:lvl>
    <w:lvl w:ilvl="4" w:tplc="5FD62A28">
      <w:numFmt w:val="decimal"/>
      <w:lvlText w:val=""/>
      <w:lvlJc w:val="left"/>
    </w:lvl>
    <w:lvl w:ilvl="5" w:tplc="B1C8F984">
      <w:numFmt w:val="decimal"/>
      <w:lvlText w:val=""/>
      <w:lvlJc w:val="left"/>
    </w:lvl>
    <w:lvl w:ilvl="6" w:tplc="DE527A86">
      <w:numFmt w:val="decimal"/>
      <w:lvlText w:val=""/>
      <w:lvlJc w:val="left"/>
    </w:lvl>
    <w:lvl w:ilvl="7" w:tplc="D00ACC32">
      <w:numFmt w:val="decimal"/>
      <w:lvlText w:val=""/>
      <w:lvlJc w:val="left"/>
    </w:lvl>
    <w:lvl w:ilvl="8" w:tplc="1028139C">
      <w:numFmt w:val="decimal"/>
      <w:lvlText w:val=""/>
      <w:lvlJc w:val="left"/>
    </w:lvl>
  </w:abstractNum>
  <w:abstractNum w:abstractNumId="233">
    <w:nsid w:val="4C73A9C6"/>
    <w:multiLevelType w:val="hybridMultilevel"/>
    <w:tmpl w:val="4C8604B4"/>
    <w:lvl w:ilvl="0" w:tplc="B9BE5B0C">
      <w:start w:val="1"/>
      <w:numFmt w:val="bullet"/>
      <w:lvlText w:val=""/>
      <w:lvlJc w:val="left"/>
    </w:lvl>
    <w:lvl w:ilvl="1" w:tplc="58A647FC">
      <w:numFmt w:val="decimal"/>
      <w:lvlText w:val=""/>
      <w:lvlJc w:val="left"/>
    </w:lvl>
    <w:lvl w:ilvl="2" w:tplc="15107D9C">
      <w:numFmt w:val="decimal"/>
      <w:lvlText w:val=""/>
      <w:lvlJc w:val="left"/>
    </w:lvl>
    <w:lvl w:ilvl="3" w:tplc="5EB832D2">
      <w:numFmt w:val="decimal"/>
      <w:lvlText w:val=""/>
      <w:lvlJc w:val="left"/>
    </w:lvl>
    <w:lvl w:ilvl="4" w:tplc="03BA44E2">
      <w:numFmt w:val="decimal"/>
      <w:lvlText w:val=""/>
      <w:lvlJc w:val="left"/>
    </w:lvl>
    <w:lvl w:ilvl="5" w:tplc="25F6AC4C">
      <w:numFmt w:val="decimal"/>
      <w:lvlText w:val=""/>
      <w:lvlJc w:val="left"/>
    </w:lvl>
    <w:lvl w:ilvl="6" w:tplc="6CEE5824">
      <w:numFmt w:val="decimal"/>
      <w:lvlText w:val=""/>
      <w:lvlJc w:val="left"/>
    </w:lvl>
    <w:lvl w:ilvl="7" w:tplc="EA50922C">
      <w:numFmt w:val="decimal"/>
      <w:lvlText w:val=""/>
      <w:lvlJc w:val="left"/>
    </w:lvl>
    <w:lvl w:ilvl="8" w:tplc="2DFEC262">
      <w:numFmt w:val="decimal"/>
      <w:lvlText w:val=""/>
      <w:lvlJc w:val="left"/>
    </w:lvl>
  </w:abstractNum>
  <w:abstractNum w:abstractNumId="234">
    <w:nsid w:val="4CE5CA53"/>
    <w:multiLevelType w:val="hybridMultilevel"/>
    <w:tmpl w:val="489053FC"/>
    <w:lvl w:ilvl="0" w:tplc="64FA43AE">
      <w:start w:val="1"/>
      <w:numFmt w:val="bullet"/>
      <w:lvlText w:val=""/>
      <w:lvlJc w:val="left"/>
    </w:lvl>
    <w:lvl w:ilvl="1" w:tplc="E7BA909C">
      <w:numFmt w:val="decimal"/>
      <w:lvlText w:val=""/>
      <w:lvlJc w:val="left"/>
    </w:lvl>
    <w:lvl w:ilvl="2" w:tplc="410AA6B8">
      <w:numFmt w:val="decimal"/>
      <w:lvlText w:val=""/>
      <w:lvlJc w:val="left"/>
    </w:lvl>
    <w:lvl w:ilvl="3" w:tplc="7C7C3758">
      <w:numFmt w:val="decimal"/>
      <w:lvlText w:val=""/>
      <w:lvlJc w:val="left"/>
    </w:lvl>
    <w:lvl w:ilvl="4" w:tplc="BC2EDA7C">
      <w:numFmt w:val="decimal"/>
      <w:lvlText w:val=""/>
      <w:lvlJc w:val="left"/>
    </w:lvl>
    <w:lvl w:ilvl="5" w:tplc="7FD0F4CC">
      <w:numFmt w:val="decimal"/>
      <w:lvlText w:val=""/>
      <w:lvlJc w:val="left"/>
    </w:lvl>
    <w:lvl w:ilvl="6" w:tplc="F7BEF162">
      <w:numFmt w:val="decimal"/>
      <w:lvlText w:val=""/>
      <w:lvlJc w:val="left"/>
    </w:lvl>
    <w:lvl w:ilvl="7" w:tplc="DF8A47BC">
      <w:numFmt w:val="decimal"/>
      <w:lvlText w:val=""/>
      <w:lvlJc w:val="left"/>
    </w:lvl>
    <w:lvl w:ilvl="8" w:tplc="485EAEBA">
      <w:numFmt w:val="decimal"/>
      <w:lvlText w:val=""/>
      <w:lvlJc w:val="left"/>
    </w:lvl>
  </w:abstractNum>
  <w:abstractNum w:abstractNumId="235">
    <w:nsid w:val="4CFB8D32"/>
    <w:multiLevelType w:val="hybridMultilevel"/>
    <w:tmpl w:val="E026A9B4"/>
    <w:lvl w:ilvl="0" w:tplc="03C04A84">
      <w:start w:val="1"/>
      <w:numFmt w:val="bullet"/>
      <w:lvlText w:val=""/>
      <w:lvlJc w:val="left"/>
    </w:lvl>
    <w:lvl w:ilvl="1" w:tplc="3CFAD382">
      <w:numFmt w:val="decimal"/>
      <w:lvlText w:val=""/>
      <w:lvlJc w:val="left"/>
    </w:lvl>
    <w:lvl w:ilvl="2" w:tplc="B296C746">
      <w:numFmt w:val="decimal"/>
      <w:lvlText w:val=""/>
      <w:lvlJc w:val="left"/>
    </w:lvl>
    <w:lvl w:ilvl="3" w:tplc="5462ABBA">
      <w:numFmt w:val="decimal"/>
      <w:lvlText w:val=""/>
      <w:lvlJc w:val="left"/>
    </w:lvl>
    <w:lvl w:ilvl="4" w:tplc="97A2B7DC">
      <w:numFmt w:val="decimal"/>
      <w:lvlText w:val=""/>
      <w:lvlJc w:val="left"/>
    </w:lvl>
    <w:lvl w:ilvl="5" w:tplc="01125DB4">
      <w:numFmt w:val="decimal"/>
      <w:lvlText w:val=""/>
      <w:lvlJc w:val="left"/>
    </w:lvl>
    <w:lvl w:ilvl="6" w:tplc="3070BE78">
      <w:numFmt w:val="decimal"/>
      <w:lvlText w:val=""/>
      <w:lvlJc w:val="left"/>
    </w:lvl>
    <w:lvl w:ilvl="7" w:tplc="A22889B2">
      <w:numFmt w:val="decimal"/>
      <w:lvlText w:val=""/>
      <w:lvlJc w:val="left"/>
    </w:lvl>
    <w:lvl w:ilvl="8" w:tplc="EC565726">
      <w:numFmt w:val="decimal"/>
      <w:lvlText w:val=""/>
      <w:lvlJc w:val="left"/>
    </w:lvl>
  </w:abstractNum>
  <w:abstractNum w:abstractNumId="236">
    <w:nsid w:val="4D5C4899"/>
    <w:multiLevelType w:val="hybridMultilevel"/>
    <w:tmpl w:val="ED5093E0"/>
    <w:lvl w:ilvl="0" w:tplc="A54A9D62">
      <w:start w:val="2"/>
      <w:numFmt w:val="decimal"/>
      <w:lvlText w:val="%1."/>
      <w:lvlJc w:val="left"/>
    </w:lvl>
    <w:lvl w:ilvl="1" w:tplc="6414AD50">
      <w:numFmt w:val="decimal"/>
      <w:lvlText w:val=""/>
      <w:lvlJc w:val="left"/>
    </w:lvl>
    <w:lvl w:ilvl="2" w:tplc="68445DB6">
      <w:numFmt w:val="decimal"/>
      <w:lvlText w:val=""/>
      <w:lvlJc w:val="left"/>
    </w:lvl>
    <w:lvl w:ilvl="3" w:tplc="A8DA65A0">
      <w:numFmt w:val="decimal"/>
      <w:lvlText w:val=""/>
      <w:lvlJc w:val="left"/>
    </w:lvl>
    <w:lvl w:ilvl="4" w:tplc="03948C2C">
      <w:numFmt w:val="decimal"/>
      <w:lvlText w:val=""/>
      <w:lvlJc w:val="left"/>
    </w:lvl>
    <w:lvl w:ilvl="5" w:tplc="F87E9AD8">
      <w:numFmt w:val="decimal"/>
      <w:lvlText w:val=""/>
      <w:lvlJc w:val="left"/>
    </w:lvl>
    <w:lvl w:ilvl="6" w:tplc="D002901E">
      <w:numFmt w:val="decimal"/>
      <w:lvlText w:val=""/>
      <w:lvlJc w:val="left"/>
    </w:lvl>
    <w:lvl w:ilvl="7" w:tplc="4CFEFBCC">
      <w:numFmt w:val="decimal"/>
      <w:lvlText w:val=""/>
      <w:lvlJc w:val="left"/>
    </w:lvl>
    <w:lvl w:ilvl="8" w:tplc="56A69D72">
      <w:numFmt w:val="decimal"/>
      <w:lvlText w:val=""/>
      <w:lvlJc w:val="left"/>
    </w:lvl>
  </w:abstractNum>
  <w:abstractNum w:abstractNumId="237">
    <w:nsid w:val="4DA32C7E"/>
    <w:multiLevelType w:val="hybridMultilevel"/>
    <w:tmpl w:val="D996EC48"/>
    <w:lvl w:ilvl="0" w:tplc="3B32551E">
      <w:start w:val="1"/>
      <w:numFmt w:val="bullet"/>
      <w:lvlText w:val="«"/>
      <w:lvlJc w:val="left"/>
    </w:lvl>
    <w:lvl w:ilvl="1" w:tplc="E43A1D22">
      <w:numFmt w:val="decimal"/>
      <w:lvlText w:val=""/>
      <w:lvlJc w:val="left"/>
    </w:lvl>
    <w:lvl w:ilvl="2" w:tplc="08C86354">
      <w:numFmt w:val="decimal"/>
      <w:lvlText w:val=""/>
      <w:lvlJc w:val="left"/>
    </w:lvl>
    <w:lvl w:ilvl="3" w:tplc="2020E8D0">
      <w:numFmt w:val="decimal"/>
      <w:lvlText w:val=""/>
      <w:lvlJc w:val="left"/>
    </w:lvl>
    <w:lvl w:ilvl="4" w:tplc="1CFA1740">
      <w:numFmt w:val="decimal"/>
      <w:lvlText w:val=""/>
      <w:lvlJc w:val="left"/>
    </w:lvl>
    <w:lvl w:ilvl="5" w:tplc="3D147D82">
      <w:numFmt w:val="decimal"/>
      <w:lvlText w:val=""/>
      <w:lvlJc w:val="left"/>
    </w:lvl>
    <w:lvl w:ilvl="6" w:tplc="51B279F4">
      <w:numFmt w:val="decimal"/>
      <w:lvlText w:val=""/>
      <w:lvlJc w:val="left"/>
    </w:lvl>
    <w:lvl w:ilvl="7" w:tplc="14BAA556">
      <w:numFmt w:val="decimal"/>
      <w:lvlText w:val=""/>
      <w:lvlJc w:val="left"/>
    </w:lvl>
    <w:lvl w:ilvl="8" w:tplc="66541660">
      <w:numFmt w:val="decimal"/>
      <w:lvlText w:val=""/>
      <w:lvlJc w:val="left"/>
    </w:lvl>
  </w:abstractNum>
  <w:abstractNum w:abstractNumId="238">
    <w:nsid w:val="4E0B9A87"/>
    <w:multiLevelType w:val="hybridMultilevel"/>
    <w:tmpl w:val="4B44C778"/>
    <w:lvl w:ilvl="0" w:tplc="DAE2D0AE">
      <w:start w:val="1"/>
      <w:numFmt w:val="bullet"/>
      <w:lvlText w:val="-"/>
      <w:lvlJc w:val="left"/>
    </w:lvl>
    <w:lvl w:ilvl="1" w:tplc="57C0DA18">
      <w:numFmt w:val="decimal"/>
      <w:lvlText w:val=""/>
      <w:lvlJc w:val="left"/>
    </w:lvl>
    <w:lvl w:ilvl="2" w:tplc="5496918E">
      <w:numFmt w:val="decimal"/>
      <w:lvlText w:val=""/>
      <w:lvlJc w:val="left"/>
    </w:lvl>
    <w:lvl w:ilvl="3" w:tplc="5C90662C">
      <w:numFmt w:val="decimal"/>
      <w:lvlText w:val=""/>
      <w:lvlJc w:val="left"/>
    </w:lvl>
    <w:lvl w:ilvl="4" w:tplc="3506B1E0">
      <w:numFmt w:val="decimal"/>
      <w:lvlText w:val=""/>
      <w:lvlJc w:val="left"/>
    </w:lvl>
    <w:lvl w:ilvl="5" w:tplc="692E8354">
      <w:numFmt w:val="decimal"/>
      <w:lvlText w:val=""/>
      <w:lvlJc w:val="left"/>
    </w:lvl>
    <w:lvl w:ilvl="6" w:tplc="9B72FEA8">
      <w:numFmt w:val="decimal"/>
      <w:lvlText w:val=""/>
      <w:lvlJc w:val="left"/>
    </w:lvl>
    <w:lvl w:ilvl="7" w:tplc="F7925B7C">
      <w:numFmt w:val="decimal"/>
      <w:lvlText w:val=""/>
      <w:lvlJc w:val="left"/>
    </w:lvl>
    <w:lvl w:ilvl="8" w:tplc="1F986AC2">
      <w:numFmt w:val="decimal"/>
      <w:lvlText w:val=""/>
      <w:lvlJc w:val="left"/>
    </w:lvl>
  </w:abstractNum>
  <w:abstractNum w:abstractNumId="239">
    <w:nsid w:val="4E3D26AB"/>
    <w:multiLevelType w:val="hybridMultilevel"/>
    <w:tmpl w:val="1750A080"/>
    <w:lvl w:ilvl="0" w:tplc="EA2E7652">
      <w:start w:val="1"/>
      <w:numFmt w:val="bullet"/>
      <w:lvlText w:val=""/>
      <w:lvlJc w:val="left"/>
    </w:lvl>
    <w:lvl w:ilvl="1" w:tplc="8AA0BBF8">
      <w:numFmt w:val="decimal"/>
      <w:lvlText w:val=""/>
      <w:lvlJc w:val="left"/>
    </w:lvl>
    <w:lvl w:ilvl="2" w:tplc="AA18D1C0">
      <w:numFmt w:val="decimal"/>
      <w:lvlText w:val=""/>
      <w:lvlJc w:val="left"/>
    </w:lvl>
    <w:lvl w:ilvl="3" w:tplc="317A79FC">
      <w:numFmt w:val="decimal"/>
      <w:lvlText w:val=""/>
      <w:lvlJc w:val="left"/>
    </w:lvl>
    <w:lvl w:ilvl="4" w:tplc="4BB2586E">
      <w:numFmt w:val="decimal"/>
      <w:lvlText w:val=""/>
      <w:lvlJc w:val="left"/>
    </w:lvl>
    <w:lvl w:ilvl="5" w:tplc="F8FCA52E">
      <w:numFmt w:val="decimal"/>
      <w:lvlText w:val=""/>
      <w:lvlJc w:val="left"/>
    </w:lvl>
    <w:lvl w:ilvl="6" w:tplc="6EB82400">
      <w:numFmt w:val="decimal"/>
      <w:lvlText w:val=""/>
      <w:lvlJc w:val="left"/>
    </w:lvl>
    <w:lvl w:ilvl="7" w:tplc="95F45D46">
      <w:numFmt w:val="decimal"/>
      <w:lvlText w:val=""/>
      <w:lvlJc w:val="left"/>
    </w:lvl>
    <w:lvl w:ilvl="8" w:tplc="B8647EDC">
      <w:numFmt w:val="decimal"/>
      <w:lvlText w:val=""/>
      <w:lvlJc w:val="left"/>
    </w:lvl>
  </w:abstractNum>
  <w:abstractNum w:abstractNumId="240">
    <w:nsid w:val="4E42B6A8"/>
    <w:multiLevelType w:val="hybridMultilevel"/>
    <w:tmpl w:val="D0166090"/>
    <w:lvl w:ilvl="0" w:tplc="D00A9206">
      <w:start w:val="15"/>
      <w:numFmt w:val="lowerLetter"/>
      <w:lvlText w:val="%1"/>
      <w:lvlJc w:val="left"/>
    </w:lvl>
    <w:lvl w:ilvl="1" w:tplc="6010BCA2">
      <w:numFmt w:val="decimal"/>
      <w:lvlText w:val=""/>
      <w:lvlJc w:val="left"/>
    </w:lvl>
    <w:lvl w:ilvl="2" w:tplc="4B06B4C6">
      <w:numFmt w:val="decimal"/>
      <w:lvlText w:val=""/>
      <w:lvlJc w:val="left"/>
    </w:lvl>
    <w:lvl w:ilvl="3" w:tplc="A6327908">
      <w:numFmt w:val="decimal"/>
      <w:lvlText w:val=""/>
      <w:lvlJc w:val="left"/>
    </w:lvl>
    <w:lvl w:ilvl="4" w:tplc="B75CD282">
      <w:numFmt w:val="decimal"/>
      <w:lvlText w:val=""/>
      <w:lvlJc w:val="left"/>
    </w:lvl>
    <w:lvl w:ilvl="5" w:tplc="7BD4186C">
      <w:numFmt w:val="decimal"/>
      <w:lvlText w:val=""/>
      <w:lvlJc w:val="left"/>
    </w:lvl>
    <w:lvl w:ilvl="6" w:tplc="67049AA2">
      <w:numFmt w:val="decimal"/>
      <w:lvlText w:val=""/>
      <w:lvlJc w:val="left"/>
    </w:lvl>
    <w:lvl w:ilvl="7" w:tplc="D5B8943E">
      <w:numFmt w:val="decimal"/>
      <w:lvlText w:val=""/>
      <w:lvlJc w:val="left"/>
    </w:lvl>
    <w:lvl w:ilvl="8" w:tplc="8FBEFAC8">
      <w:numFmt w:val="decimal"/>
      <w:lvlText w:val=""/>
      <w:lvlJc w:val="left"/>
    </w:lvl>
  </w:abstractNum>
  <w:abstractNum w:abstractNumId="241">
    <w:nsid w:val="4E556261"/>
    <w:multiLevelType w:val="hybridMultilevel"/>
    <w:tmpl w:val="6BF617E6"/>
    <w:lvl w:ilvl="0" w:tplc="4E7A1B46">
      <w:start w:val="1"/>
      <w:numFmt w:val="bullet"/>
      <w:lvlText w:val=""/>
      <w:lvlJc w:val="left"/>
    </w:lvl>
    <w:lvl w:ilvl="1" w:tplc="D2FCC06A">
      <w:numFmt w:val="decimal"/>
      <w:lvlText w:val=""/>
      <w:lvlJc w:val="left"/>
    </w:lvl>
    <w:lvl w:ilvl="2" w:tplc="4C2C8FE8">
      <w:numFmt w:val="decimal"/>
      <w:lvlText w:val=""/>
      <w:lvlJc w:val="left"/>
    </w:lvl>
    <w:lvl w:ilvl="3" w:tplc="1A98901C">
      <w:numFmt w:val="decimal"/>
      <w:lvlText w:val=""/>
      <w:lvlJc w:val="left"/>
    </w:lvl>
    <w:lvl w:ilvl="4" w:tplc="0814657E">
      <w:numFmt w:val="decimal"/>
      <w:lvlText w:val=""/>
      <w:lvlJc w:val="left"/>
    </w:lvl>
    <w:lvl w:ilvl="5" w:tplc="24CADE9A">
      <w:numFmt w:val="decimal"/>
      <w:lvlText w:val=""/>
      <w:lvlJc w:val="left"/>
    </w:lvl>
    <w:lvl w:ilvl="6" w:tplc="62FA6D1C">
      <w:numFmt w:val="decimal"/>
      <w:lvlText w:val=""/>
      <w:lvlJc w:val="left"/>
    </w:lvl>
    <w:lvl w:ilvl="7" w:tplc="6BAC1948">
      <w:numFmt w:val="decimal"/>
      <w:lvlText w:val=""/>
      <w:lvlJc w:val="left"/>
    </w:lvl>
    <w:lvl w:ilvl="8" w:tplc="504E4AC8">
      <w:numFmt w:val="decimal"/>
      <w:lvlText w:val=""/>
      <w:lvlJc w:val="left"/>
    </w:lvl>
  </w:abstractNum>
  <w:abstractNum w:abstractNumId="242">
    <w:nsid w:val="4E647FE4"/>
    <w:multiLevelType w:val="hybridMultilevel"/>
    <w:tmpl w:val="DEB4428A"/>
    <w:lvl w:ilvl="0" w:tplc="286E56EA">
      <w:start w:val="1"/>
      <w:numFmt w:val="bullet"/>
      <w:lvlText w:val=""/>
      <w:lvlJc w:val="left"/>
    </w:lvl>
    <w:lvl w:ilvl="1" w:tplc="E01C1BE4">
      <w:numFmt w:val="decimal"/>
      <w:lvlText w:val=""/>
      <w:lvlJc w:val="left"/>
    </w:lvl>
    <w:lvl w:ilvl="2" w:tplc="836C384E">
      <w:numFmt w:val="decimal"/>
      <w:lvlText w:val=""/>
      <w:lvlJc w:val="left"/>
    </w:lvl>
    <w:lvl w:ilvl="3" w:tplc="8F204F74">
      <w:numFmt w:val="decimal"/>
      <w:lvlText w:val=""/>
      <w:lvlJc w:val="left"/>
    </w:lvl>
    <w:lvl w:ilvl="4" w:tplc="842E6CAA">
      <w:numFmt w:val="decimal"/>
      <w:lvlText w:val=""/>
      <w:lvlJc w:val="left"/>
    </w:lvl>
    <w:lvl w:ilvl="5" w:tplc="0E366A1C">
      <w:numFmt w:val="decimal"/>
      <w:lvlText w:val=""/>
      <w:lvlJc w:val="left"/>
    </w:lvl>
    <w:lvl w:ilvl="6" w:tplc="3858DA40">
      <w:numFmt w:val="decimal"/>
      <w:lvlText w:val=""/>
      <w:lvlJc w:val="left"/>
    </w:lvl>
    <w:lvl w:ilvl="7" w:tplc="7AAEFEEA">
      <w:numFmt w:val="decimal"/>
      <w:lvlText w:val=""/>
      <w:lvlJc w:val="left"/>
    </w:lvl>
    <w:lvl w:ilvl="8" w:tplc="DE74C9C0">
      <w:numFmt w:val="decimal"/>
      <w:lvlText w:val=""/>
      <w:lvlJc w:val="left"/>
    </w:lvl>
  </w:abstractNum>
  <w:abstractNum w:abstractNumId="243">
    <w:nsid w:val="4E9EFB0D"/>
    <w:multiLevelType w:val="hybridMultilevel"/>
    <w:tmpl w:val="B91A9650"/>
    <w:lvl w:ilvl="0" w:tplc="1CA689E2">
      <w:start w:val="1"/>
      <w:numFmt w:val="bullet"/>
      <w:lvlText w:val="«"/>
      <w:lvlJc w:val="left"/>
    </w:lvl>
    <w:lvl w:ilvl="1" w:tplc="139CBA96">
      <w:numFmt w:val="decimal"/>
      <w:lvlText w:val=""/>
      <w:lvlJc w:val="left"/>
    </w:lvl>
    <w:lvl w:ilvl="2" w:tplc="B21EC524">
      <w:numFmt w:val="decimal"/>
      <w:lvlText w:val=""/>
      <w:lvlJc w:val="left"/>
    </w:lvl>
    <w:lvl w:ilvl="3" w:tplc="8AB000D8">
      <w:numFmt w:val="decimal"/>
      <w:lvlText w:val=""/>
      <w:lvlJc w:val="left"/>
    </w:lvl>
    <w:lvl w:ilvl="4" w:tplc="D6842B98">
      <w:numFmt w:val="decimal"/>
      <w:lvlText w:val=""/>
      <w:lvlJc w:val="left"/>
    </w:lvl>
    <w:lvl w:ilvl="5" w:tplc="E748630C">
      <w:numFmt w:val="decimal"/>
      <w:lvlText w:val=""/>
      <w:lvlJc w:val="left"/>
    </w:lvl>
    <w:lvl w:ilvl="6" w:tplc="1F4A9F60">
      <w:numFmt w:val="decimal"/>
      <w:lvlText w:val=""/>
      <w:lvlJc w:val="left"/>
    </w:lvl>
    <w:lvl w:ilvl="7" w:tplc="BBA8A868">
      <w:numFmt w:val="decimal"/>
      <w:lvlText w:val=""/>
      <w:lvlJc w:val="left"/>
    </w:lvl>
    <w:lvl w:ilvl="8" w:tplc="3FDAF59A">
      <w:numFmt w:val="decimal"/>
      <w:lvlText w:val=""/>
      <w:lvlJc w:val="left"/>
    </w:lvl>
  </w:abstractNum>
  <w:abstractNum w:abstractNumId="244">
    <w:nsid w:val="4F294393"/>
    <w:multiLevelType w:val="hybridMultilevel"/>
    <w:tmpl w:val="DAEC4DEA"/>
    <w:lvl w:ilvl="0" w:tplc="9552FBC2">
      <w:start w:val="1"/>
      <w:numFmt w:val="bullet"/>
      <w:lvlText w:val=""/>
      <w:lvlJc w:val="left"/>
    </w:lvl>
    <w:lvl w:ilvl="1" w:tplc="CEDC61D6">
      <w:numFmt w:val="decimal"/>
      <w:lvlText w:val=""/>
      <w:lvlJc w:val="left"/>
    </w:lvl>
    <w:lvl w:ilvl="2" w:tplc="A6105288">
      <w:numFmt w:val="decimal"/>
      <w:lvlText w:val=""/>
      <w:lvlJc w:val="left"/>
    </w:lvl>
    <w:lvl w:ilvl="3" w:tplc="BDBC907C">
      <w:numFmt w:val="decimal"/>
      <w:lvlText w:val=""/>
      <w:lvlJc w:val="left"/>
    </w:lvl>
    <w:lvl w:ilvl="4" w:tplc="5DD639B0">
      <w:numFmt w:val="decimal"/>
      <w:lvlText w:val=""/>
      <w:lvlJc w:val="left"/>
    </w:lvl>
    <w:lvl w:ilvl="5" w:tplc="95AEB1AC">
      <w:numFmt w:val="decimal"/>
      <w:lvlText w:val=""/>
      <w:lvlJc w:val="left"/>
    </w:lvl>
    <w:lvl w:ilvl="6" w:tplc="9440D99C">
      <w:numFmt w:val="decimal"/>
      <w:lvlText w:val=""/>
      <w:lvlJc w:val="left"/>
    </w:lvl>
    <w:lvl w:ilvl="7" w:tplc="E0C45538">
      <w:numFmt w:val="decimal"/>
      <w:lvlText w:val=""/>
      <w:lvlJc w:val="left"/>
    </w:lvl>
    <w:lvl w:ilvl="8" w:tplc="DF3209B6">
      <w:numFmt w:val="decimal"/>
      <w:lvlText w:val=""/>
      <w:lvlJc w:val="left"/>
    </w:lvl>
  </w:abstractNum>
  <w:abstractNum w:abstractNumId="245">
    <w:nsid w:val="4F38F265"/>
    <w:multiLevelType w:val="hybridMultilevel"/>
    <w:tmpl w:val="FE6CFA6A"/>
    <w:lvl w:ilvl="0" w:tplc="593A6A36">
      <w:start w:val="3"/>
      <w:numFmt w:val="decimal"/>
      <w:lvlText w:val="%1"/>
      <w:lvlJc w:val="left"/>
    </w:lvl>
    <w:lvl w:ilvl="1" w:tplc="062C0390">
      <w:numFmt w:val="decimal"/>
      <w:lvlText w:val=""/>
      <w:lvlJc w:val="left"/>
    </w:lvl>
    <w:lvl w:ilvl="2" w:tplc="2518915A">
      <w:numFmt w:val="decimal"/>
      <w:lvlText w:val=""/>
      <w:lvlJc w:val="left"/>
    </w:lvl>
    <w:lvl w:ilvl="3" w:tplc="A8600F52">
      <w:numFmt w:val="decimal"/>
      <w:lvlText w:val=""/>
      <w:lvlJc w:val="left"/>
    </w:lvl>
    <w:lvl w:ilvl="4" w:tplc="0DF4BCD2">
      <w:numFmt w:val="decimal"/>
      <w:lvlText w:val=""/>
      <w:lvlJc w:val="left"/>
    </w:lvl>
    <w:lvl w:ilvl="5" w:tplc="3528BF3C">
      <w:numFmt w:val="decimal"/>
      <w:lvlText w:val=""/>
      <w:lvlJc w:val="left"/>
    </w:lvl>
    <w:lvl w:ilvl="6" w:tplc="EEC2211E">
      <w:numFmt w:val="decimal"/>
      <w:lvlText w:val=""/>
      <w:lvlJc w:val="left"/>
    </w:lvl>
    <w:lvl w:ilvl="7" w:tplc="E9D409DA">
      <w:numFmt w:val="decimal"/>
      <w:lvlText w:val=""/>
      <w:lvlJc w:val="left"/>
    </w:lvl>
    <w:lvl w:ilvl="8" w:tplc="6180DDDA">
      <w:numFmt w:val="decimal"/>
      <w:lvlText w:val=""/>
      <w:lvlJc w:val="left"/>
    </w:lvl>
  </w:abstractNum>
  <w:abstractNum w:abstractNumId="246">
    <w:nsid w:val="4F3A06D4"/>
    <w:multiLevelType w:val="hybridMultilevel"/>
    <w:tmpl w:val="CEF04398"/>
    <w:lvl w:ilvl="0" w:tplc="741E1A98">
      <w:start w:val="1"/>
      <w:numFmt w:val="bullet"/>
      <w:lvlText w:val=""/>
      <w:lvlJc w:val="left"/>
    </w:lvl>
    <w:lvl w:ilvl="1" w:tplc="C2A60F7E">
      <w:numFmt w:val="decimal"/>
      <w:lvlText w:val=""/>
      <w:lvlJc w:val="left"/>
    </w:lvl>
    <w:lvl w:ilvl="2" w:tplc="C750F9DA">
      <w:numFmt w:val="decimal"/>
      <w:lvlText w:val=""/>
      <w:lvlJc w:val="left"/>
    </w:lvl>
    <w:lvl w:ilvl="3" w:tplc="DEE476B8">
      <w:numFmt w:val="decimal"/>
      <w:lvlText w:val=""/>
      <w:lvlJc w:val="left"/>
    </w:lvl>
    <w:lvl w:ilvl="4" w:tplc="E4066136">
      <w:numFmt w:val="decimal"/>
      <w:lvlText w:val=""/>
      <w:lvlJc w:val="left"/>
    </w:lvl>
    <w:lvl w:ilvl="5" w:tplc="E9EA78CE">
      <w:numFmt w:val="decimal"/>
      <w:lvlText w:val=""/>
      <w:lvlJc w:val="left"/>
    </w:lvl>
    <w:lvl w:ilvl="6" w:tplc="F56AABF6">
      <w:numFmt w:val="decimal"/>
      <w:lvlText w:val=""/>
      <w:lvlJc w:val="left"/>
    </w:lvl>
    <w:lvl w:ilvl="7" w:tplc="6CEC379A">
      <w:numFmt w:val="decimal"/>
      <w:lvlText w:val=""/>
      <w:lvlJc w:val="left"/>
    </w:lvl>
    <w:lvl w:ilvl="8" w:tplc="75801D74">
      <w:numFmt w:val="decimal"/>
      <w:lvlText w:val=""/>
      <w:lvlJc w:val="left"/>
    </w:lvl>
  </w:abstractNum>
  <w:abstractNum w:abstractNumId="247">
    <w:nsid w:val="4FA327CE"/>
    <w:multiLevelType w:val="hybridMultilevel"/>
    <w:tmpl w:val="4ABECDD4"/>
    <w:lvl w:ilvl="0" w:tplc="DCA4347A">
      <w:start w:val="1"/>
      <w:numFmt w:val="bullet"/>
      <w:lvlText w:val="«"/>
      <w:lvlJc w:val="left"/>
    </w:lvl>
    <w:lvl w:ilvl="1" w:tplc="BC1CF2E4">
      <w:numFmt w:val="decimal"/>
      <w:lvlText w:val=""/>
      <w:lvlJc w:val="left"/>
    </w:lvl>
    <w:lvl w:ilvl="2" w:tplc="99CA5290">
      <w:numFmt w:val="decimal"/>
      <w:lvlText w:val=""/>
      <w:lvlJc w:val="left"/>
    </w:lvl>
    <w:lvl w:ilvl="3" w:tplc="DBC0DA9C">
      <w:numFmt w:val="decimal"/>
      <w:lvlText w:val=""/>
      <w:lvlJc w:val="left"/>
    </w:lvl>
    <w:lvl w:ilvl="4" w:tplc="0C50C19C">
      <w:numFmt w:val="decimal"/>
      <w:lvlText w:val=""/>
      <w:lvlJc w:val="left"/>
    </w:lvl>
    <w:lvl w:ilvl="5" w:tplc="00669CDE">
      <w:numFmt w:val="decimal"/>
      <w:lvlText w:val=""/>
      <w:lvlJc w:val="left"/>
    </w:lvl>
    <w:lvl w:ilvl="6" w:tplc="87347DC0">
      <w:numFmt w:val="decimal"/>
      <w:lvlText w:val=""/>
      <w:lvlJc w:val="left"/>
    </w:lvl>
    <w:lvl w:ilvl="7" w:tplc="92A2DC7E">
      <w:numFmt w:val="decimal"/>
      <w:lvlText w:val=""/>
      <w:lvlJc w:val="left"/>
    </w:lvl>
    <w:lvl w:ilvl="8" w:tplc="88AA7424">
      <w:numFmt w:val="decimal"/>
      <w:lvlText w:val=""/>
      <w:lvlJc w:val="left"/>
    </w:lvl>
  </w:abstractNum>
  <w:abstractNum w:abstractNumId="248">
    <w:nsid w:val="4FC4D600"/>
    <w:multiLevelType w:val="hybridMultilevel"/>
    <w:tmpl w:val="1C820C6E"/>
    <w:lvl w:ilvl="0" w:tplc="44969D04">
      <w:start w:val="1"/>
      <w:numFmt w:val="bullet"/>
      <w:lvlText w:val="«"/>
      <w:lvlJc w:val="left"/>
    </w:lvl>
    <w:lvl w:ilvl="1" w:tplc="2EA6FF42">
      <w:numFmt w:val="decimal"/>
      <w:lvlText w:val=""/>
      <w:lvlJc w:val="left"/>
    </w:lvl>
    <w:lvl w:ilvl="2" w:tplc="1D024B38">
      <w:numFmt w:val="decimal"/>
      <w:lvlText w:val=""/>
      <w:lvlJc w:val="left"/>
    </w:lvl>
    <w:lvl w:ilvl="3" w:tplc="0E6ED702">
      <w:numFmt w:val="decimal"/>
      <w:lvlText w:val=""/>
      <w:lvlJc w:val="left"/>
    </w:lvl>
    <w:lvl w:ilvl="4" w:tplc="20585A48">
      <w:numFmt w:val="decimal"/>
      <w:lvlText w:val=""/>
      <w:lvlJc w:val="left"/>
    </w:lvl>
    <w:lvl w:ilvl="5" w:tplc="07DA7A66">
      <w:numFmt w:val="decimal"/>
      <w:lvlText w:val=""/>
      <w:lvlJc w:val="left"/>
    </w:lvl>
    <w:lvl w:ilvl="6" w:tplc="176CDBFE">
      <w:numFmt w:val="decimal"/>
      <w:lvlText w:val=""/>
      <w:lvlJc w:val="left"/>
    </w:lvl>
    <w:lvl w:ilvl="7" w:tplc="5CAE0588">
      <w:numFmt w:val="decimal"/>
      <w:lvlText w:val=""/>
      <w:lvlJc w:val="left"/>
    </w:lvl>
    <w:lvl w:ilvl="8" w:tplc="88C2DFF0">
      <w:numFmt w:val="decimal"/>
      <w:lvlText w:val=""/>
      <w:lvlJc w:val="left"/>
    </w:lvl>
  </w:abstractNum>
  <w:abstractNum w:abstractNumId="249">
    <w:nsid w:val="501F9786"/>
    <w:multiLevelType w:val="hybridMultilevel"/>
    <w:tmpl w:val="2C9A90FA"/>
    <w:lvl w:ilvl="0" w:tplc="28746268">
      <w:start w:val="1"/>
      <w:numFmt w:val="bullet"/>
      <w:lvlText w:val="-"/>
      <w:lvlJc w:val="left"/>
    </w:lvl>
    <w:lvl w:ilvl="1" w:tplc="9FB09ADE">
      <w:numFmt w:val="decimal"/>
      <w:lvlText w:val=""/>
      <w:lvlJc w:val="left"/>
    </w:lvl>
    <w:lvl w:ilvl="2" w:tplc="C27CA106">
      <w:numFmt w:val="decimal"/>
      <w:lvlText w:val=""/>
      <w:lvlJc w:val="left"/>
    </w:lvl>
    <w:lvl w:ilvl="3" w:tplc="DA5EC6A6">
      <w:numFmt w:val="decimal"/>
      <w:lvlText w:val=""/>
      <w:lvlJc w:val="left"/>
    </w:lvl>
    <w:lvl w:ilvl="4" w:tplc="45040F70">
      <w:numFmt w:val="decimal"/>
      <w:lvlText w:val=""/>
      <w:lvlJc w:val="left"/>
    </w:lvl>
    <w:lvl w:ilvl="5" w:tplc="8ADED46C">
      <w:numFmt w:val="decimal"/>
      <w:lvlText w:val=""/>
      <w:lvlJc w:val="left"/>
    </w:lvl>
    <w:lvl w:ilvl="6" w:tplc="D5EC363C">
      <w:numFmt w:val="decimal"/>
      <w:lvlText w:val=""/>
      <w:lvlJc w:val="left"/>
    </w:lvl>
    <w:lvl w:ilvl="7" w:tplc="0DF272B4">
      <w:numFmt w:val="decimal"/>
      <w:lvlText w:val=""/>
      <w:lvlJc w:val="left"/>
    </w:lvl>
    <w:lvl w:ilvl="8" w:tplc="F404045C">
      <w:numFmt w:val="decimal"/>
      <w:lvlText w:val=""/>
      <w:lvlJc w:val="left"/>
    </w:lvl>
  </w:abstractNum>
  <w:abstractNum w:abstractNumId="250">
    <w:nsid w:val="5024DE5B"/>
    <w:multiLevelType w:val="hybridMultilevel"/>
    <w:tmpl w:val="6032D6B4"/>
    <w:lvl w:ilvl="0" w:tplc="4A947816">
      <w:start w:val="15"/>
      <w:numFmt w:val="lowerLetter"/>
      <w:lvlText w:val="%1"/>
      <w:lvlJc w:val="left"/>
    </w:lvl>
    <w:lvl w:ilvl="1" w:tplc="5D227032">
      <w:numFmt w:val="decimal"/>
      <w:lvlText w:val=""/>
      <w:lvlJc w:val="left"/>
    </w:lvl>
    <w:lvl w:ilvl="2" w:tplc="C24A33AE">
      <w:numFmt w:val="decimal"/>
      <w:lvlText w:val=""/>
      <w:lvlJc w:val="left"/>
    </w:lvl>
    <w:lvl w:ilvl="3" w:tplc="185A8ECE">
      <w:numFmt w:val="decimal"/>
      <w:lvlText w:val=""/>
      <w:lvlJc w:val="left"/>
    </w:lvl>
    <w:lvl w:ilvl="4" w:tplc="0CC06EDE">
      <w:numFmt w:val="decimal"/>
      <w:lvlText w:val=""/>
      <w:lvlJc w:val="left"/>
    </w:lvl>
    <w:lvl w:ilvl="5" w:tplc="D14E3F7E">
      <w:numFmt w:val="decimal"/>
      <w:lvlText w:val=""/>
      <w:lvlJc w:val="left"/>
    </w:lvl>
    <w:lvl w:ilvl="6" w:tplc="4620CA28">
      <w:numFmt w:val="decimal"/>
      <w:lvlText w:val=""/>
      <w:lvlJc w:val="left"/>
    </w:lvl>
    <w:lvl w:ilvl="7" w:tplc="DCF4F6A4">
      <w:numFmt w:val="decimal"/>
      <w:lvlText w:val=""/>
      <w:lvlJc w:val="left"/>
    </w:lvl>
    <w:lvl w:ilvl="8" w:tplc="899C97FA">
      <w:numFmt w:val="decimal"/>
      <w:lvlText w:val=""/>
      <w:lvlJc w:val="left"/>
    </w:lvl>
  </w:abstractNum>
  <w:abstractNum w:abstractNumId="251">
    <w:nsid w:val="50ABCEC9"/>
    <w:multiLevelType w:val="hybridMultilevel"/>
    <w:tmpl w:val="3808E948"/>
    <w:lvl w:ilvl="0" w:tplc="F14EE822">
      <w:start w:val="4"/>
      <w:numFmt w:val="decimal"/>
      <w:lvlText w:val="%1"/>
      <w:lvlJc w:val="left"/>
    </w:lvl>
    <w:lvl w:ilvl="1" w:tplc="01D2455E">
      <w:numFmt w:val="decimal"/>
      <w:lvlText w:val=""/>
      <w:lvlJc w:val="left"/>
    </w:lvl>
    <w:lvl w:ilvl="2" w:tplc="B9B4E4BC">
      <w:numFmt w:val="decimal"/>
      <w:lvlText w:val=""/>
      <w:lvlJc w:val="left"/>
    </w:lvl>
    <w:lvl w:ilvl="3" w:tplc="BA4A3E86">
      <w:numFmt w:val="decimal"/>
      <w:lvlText w:val=""/>
      <w:lvlJc w:val="left"/>
    </w:lvl>
    <w:lvl w:ilvl="4" w:tplc="10E46876">
      <w:numFmt w:val="decimal"/>
      <w:lvlText w:val=""/>
      <w:lvlJc w:val="left"/>
    </w:lvl>
    <w:lvl w:ilvl="5" w:tplc="0AA49C14">
      <w:numFmt w:val="decimal"/>
      <w:lvlText w:val=""/>
      <w:lvlJc w:val="left"/>
    </w:lvl>
    <w:lvl w:ilvl="6" w:tplc="2B6AE9F0">
      <w:numFmt w:val="decimal"/>
      <w:lvlText w:val=""/>
      <w:lvlJc w:val="left"/>
    </w:lvl>
    <w:lvl w:ilvl="7" w:tplc="3B8CBD5A">
      <w:numFmt w:val="decimal"/>
      <w:lvlText w:val=""/>
      <w:lvlJc w:val="left"/>
    </w:lvl>
    <w:lvl w:ilvl="8" w:tplc="BB0E8CDC">
      <w:numFmt w:val="decimal"/>
      <w:lvlText w:val=""/>
      <w:lvlJc w:val="left"/>
    </w:lvl>
  </w:abstractNum>
  <w:abstractNum w:abstractNumId="252">
    <w:nsid w:val="51194ED1"/>
    <w:multiLevelType w:val="hybridMultilevel"/>
    <w:tmpl w:val="E93A1EA8"/>
    <w:lvl w:ilvl="0" w:tplc="57083E8A">
      <w:start w:val="1"/>
      <w:numFmt w:val="bullet"/>
      <w:lvlText w:val="«"/>
      <w:lvlJc w:val="left"/>
    </w:lvl>
    <w:lvl w:ilvl="1" w:tplc="A3CE8838">
      <w:numFmt w:val="decimal"/>
      <w:lvlText w:val=""/>
      <w:lvlJc w:val="left"/>
    </w:lvl>
    <w:lvl w:ilvl="2" w:tplc="5A74A874">
      <w:numFmt w:val="decimal"/>
      <w:lvlText w:val=""/>
      <w:lvlJc w:val="left"/>
    </w:lvl>
    <w:lvl w:ilvl="3" w:tplc="1F4C3142">
      <w:numFmt w:val="decimal"/>
      <w:lvlText w:val=""/>
      <w:lvlJc w:val="left"/>
    </w:lvl>
    <w:lvl w:ilvl="4" w:tplc="3B64E428">
      <w:numFmt w:val="decimal"/>
      <w:lvlText w:val=""/>
      <w:lvlJc w:val="left"/>
    </w:lvl>
    <w:lvl w:ilvl="5" w:tplc="626AD85C">
      <w:numFmt w:val="decimal"/>
      <w:lvlText w:val=""/>
      <w:lvlJc w:val="left"/>
    </w:lvl>
    <w:lvl w:ilvl="6" w:tplc="E10E7DAE">
      <w:numFmt w:val="decimal"/>
      <w:lvlText w:val=""/>
      <w:lvlJc w:val="left"/>
    </w:lvl>
    <w:lvl w:ilvl="7" w:tplc="0D9A51B8">
      <w:numFmt w:val="decimal"/>
      <w:lvlText w:val=""/>
      <w:lvlJc w:val="left"/>
    </w:lvl>
    <w:lvl w:ilvl="8" w:tplc="89644AE2">
      <w:numFmt w:val="decimal"/>
      <w:lvlText w:val=""/>
      <w:lvlJc w:val="left"/>
    </w:lvl>
  </w:abstractNum>
  <w:abstractNum w:abstractNumId="253">
    <w:nsid w:val="519EB94C"/>
    <w:multiLevelType w:val="hybridMultilevel"/>
    <w:tmpl w:val="780CDE40"/>
    <w:lvl w:ilvl="0" w:tplc="BF6AD6EC">
      <w:start w:val="1"/>
      <w:numFmt w:val="bullet"/>
      <w:lvlText w:val=""/>
      <w:lvlJc w:val="left"/>
    </w:lvl>
    <w:lvl w:ilvl="1" w:tplc="CFE62162">
      <w:numFmt w:val="decimal"/>
      <w:lvlText w:val=""/>
      <w:lvlJc w:val="left"/>
    </w:lvl>
    <w:lvl w:ilvl="2" w:tplc="125E1CC8">
      <w:numFmt w:val="decimal"/>
      <w:lvlText w:val=""/>
      <w:lvlJc w:val="left"/>
    </w:lvl>
    <w:lvl w:ilvl="3" w:tplc="8912103E">
      <w:numFmt w:val="decimal"/>
      <w:lvlText w:val=""/>
      <w:lvlJc w:val="left"/>
    </w:lvl>
    <w:lvl w:ilvl="4" w:tplc="6922C20E">
      <w:numFmt w:val="decimal"/>
      <w:lvlText w:val=""/>
      <w:lvlJc w:val="left"/>
    </w:lvl>
    <w:lvl w:ilvl="5" w:tplc="04709C4C">
      <w:numFmt w:val="decimal"/>
      <w:lvlText w:val=""/>
      <w:lvlJc w:val="left"/>
    </w:lvl>
    <w:lvl w:ilvl="6" w:tplc="8758CB12">
      <w:numFmt w:val="decimal"/>
      <w:lvlText w:val=""/>
      <w:lvlJc w:val="left"/>
    </w:lvl>
    <w:lvl w:ilvl="7" w:tplc="182465AC">
      <w:numFmt w:val="decimal"/>
      <w:lvlText w:val=""/>
      <w:lvlJc w:val="left"/>
    </w:lvl>
    <w:lvl w:ilvl="8" w:tplc="DCB48E54">
      <w:numFmt w:val="decimal"/>
      <w:lvlText w:val=""/>
      <w:lvlJc w:val="left"/>
    </w:lvl>
  </w:abstractNum>
  <w:abstractNum w:abstractNumId="254">
    <w:nsid w:val="51A27AA6"/>
    <w:multiLevelType w:val="hybridMultilevel"/>
    <w:tmpl w:val="9FD425D6"/>
    <w:lvl w:ilvl="0" w:tplc="E0303402">
      <w:start w:val="6"/>
      <w:numFmt w:val="decimal"/>
      <w:lvlText w:val="%1"/>
      <w:lvlJc w:val="left"/>
    </w:lvl>
    <w:lvl w:ilvl="1" w:tplc="9B663E46">
      <w:numFmt w:val="decimal"/>
      <w:lvlText w:val=""/>
      <w:lvlJc w:val="left"/>
    </w:lvl>
    <w:lvl w:ilvl="2" w:tplc="8F50637C">
      <w:numFmt w:val="decimal"/>
      <w:lvlText w:val=""/>
      <w:lvlJc w:val="left"/>
    </w:lvl>
    <w:lvl w:ilvl="3" w:tplc="FFE22B2E">
      <w:numFmt w:val="decimal"/>
      <w:lvlText w:val=""/>
      <w:lvlJc w:val="left"/>
    </w:lvl>
    <w:lvl w:ilvl="4" w:tplc="01D6EF08">
      <w:numFmt w:val="decimal"/>
      <w:lvlText w:val=""/>
      <w:lvlJc w:val="left"/>
    </w:lvl>
    <w:lvl w:ilvl="5" w:tplc="AE8CBC16">
      <w:numFmt w:val="decimal"/>
      <w:lvlText w:val=""/>
      <w:lvlJc w:val="left"/>
    </w:lvl>
    <w:lvl w:ilvl="6" w:tplc="2842E650">
      <w:numFmt w:val="decimal"/>
      <w:lvlText w:val=""/>
      <w:lvlJc w:val="left"/>
    </w:lvl>
    <w:lvl w:ilvl="7" w:tplc="46B64B4E">
      <w:numFmt w:val="decimal"/>
      <w:lvlText w:val=""/>
      <w:lvlJc w:val="left"/>
    </w:lvl>
    <w:lvl w:ilvl="8" w:tplc="43581CAE">
      <w:numFmt w:val="decimal"/>
      <w:lvlText w:val=""/>
      <w:lvlJc w:val="left"/>
    </w:lvl>
  </w:abstractNum>
  <w:abstractNum w:abstractNumId="255">
    <w:nsid w:val="51CB0DA4"/>
    <w:multiLevelType w:val="hybridMultilevel"/>
    <w:tmpl w:val="A01A85C8"/>
    <w:lvl w:ilvl="0" w:tplc="DF988A5C">
      <w:start w:val="1"/>
      <w:numFmt w:val="bullet"/>
      <w:lvlText w:val=""/>
      <w:lvlJc w:val="left"/>
    </w:lvl>
    <w:lvl w:ilvl="1" w:tplc="75C2F822">
      <w:numFmt w:val="decimal"/>
      <w:lvlText w:val=""/>
      <w:lvlJc w:val="left"/>
    </w:lvl>
    <w:lvl w:ilvl="2" w:tplc="F6FA9384">
      <w:numFmt w:val="decimal"/>
      <w:lvlText w:val=""/>
      <w:lvlJc w:val="left"/>
    </w:lvl>
    <w:lvl w:ilvl="3" w:tplc="B9AA6406">
      <w:numFmt w:val="decimal"/>
      <w:lvlText w:val=""/>
      <w:lvlJc w:val="left"/>
    </w:lvl>
    <w:lvl w:ilvl="4" w:tplc="BAEA3B8C">
      <w:numFmt w:val="decimal"/>
      <w:lvlText w:val=""/>
      <w:lvlJc w:val="left"/>
    </w:lvl>
    <w:lvl w:ilvl="5" w:tplc="C3A40BA2">
      <w:numFmt w:val="decimal"/>
      <w:lvlText w:val=""/>
      <w:lvlJc w:val="left"/>
    </w:lvl>
    <w:lvl w:ilvl="6" w:tplc="BC1AC136">
      <w:numFmt w:val="decimal"/>
      <w:lvlText w:val=""/>
      <w:lvlJc w:val="left"/>
    </w:lvl>
    <w:lvl w:ilvl="7" w:tplc="D9D0A900">
      <w:numFmt w:val="decimal"/>
      <w:lvlText w:val=""/>
      <w:lvlJc w:val="left"/>
    </w:lvl>
    <w:lvl w:ilvl="8" w:tplc="F25AEFEC">
      <w:numFmt w:val="decimal"/>
      <w:lvlText w:val=""/>
      <w:lvlJc w:val="left"/>
    </w:lvl>
  </w:abstractNum>
  <w:abstractNum w:abstractNumId="256">
    <w:nsid w:val="5204A191"/>
    <w:multiLevelType w:val="hybridMultilevel"/>
    <w:tmpl w:val="28C68292"/>
    <w:lvl w:ilvl="0" w:tplc="B62AFE66">
      <w:start w:val="15"/>
      <w:numFmt w:val="lowerLetter"/>
      <w:lvlText w:val="%1"/>
      <w:lvlJc w:val="left"/>
    </w:lvl>
    <w:lvl w:ilvl="1" w:tplc="389284E4">
      <w:numFmt w:val="decimal"/>
      <w:lvlText w:val=""/>
      <w:lvlJc w:val="left"/>
    </w:lvl>
    <w:lvl w:ilvl="2" w:tplc="84787BCC">
      <w:numFmt w:val="decimal"/>
      <w:lvlText w:val=""/>
      <w:lvlJc w:val="left"/>
    </w:lvl>
    <w:lvl w:ilvl="3" w:tplc="E042F164">
      <w:numFmt w:val="decimal"/>
      <w:lvlText w:val=""/>
      <w:lvlJc w:val="left"/>
    </w:lvl>
    <w:lvl w:ilvl="4" w:tplc="24C26AA2">
      <w:numFmt w:val="decimal"/>
      <w:lvlText w:val=""/>
      <w:lvlJc w:val="left"/>
    </w:lvl>
    <w:lvl w:ilvl="5" w:tplc="430EBA88">
      <w:numFmt w:val="decimal"/>
      <w:lvlText w:val=""/>
      <w:lvlJc w:val="left"/>
    </w:lvl>
    <w:lvl w:ilvl="6" w:tplc="9ECC9FF0">
      <w:numFmt w:val="decimal"/>
      <w:lvlText w:val=""/>
      <w:lvlJc w:val="left"/>
    </w:lvl>
    <w:lvl w:ilvl="7" w:tplc="54EC5412">
      <w:numFmt w:val="decimal"/>
      <w:lvlText w:val=""/>
      <w:lvlJc w:val="left"/>
    </w:lvl>
    <w:lvl w:ilvl="8" w:tplc="C00AB416">
      <w:numFmt w:val="decimal"/>
      <w:lvlText w:val=""/>
      <w:lvlJc w:val="left"/>
    </w:lvl>
  </w:abstractNum>
  <w:abstractNum w:abstractNumId="257">
    <w:nsid w:val="5243BFAC"/>
    <w:multiLevelType w:val="hybridMultilevel"/>
    <w:tmpl w:val="E7925DEE"/>
    <w:lvl w:ilvl="0" w:tplc="DA6C0440">
      <w:start w:val="1"/>
      <w:numFmt w:val="decimal"/>
      <w:lvlText w:val="%1"/>
      <w:lvlJc w:val="left"/>
    </w:lvl>
    <w:lvl w:ilvl="1" w:tplc="6AA0FBC4">
      <w:numFmt w:val="decimal"/>
      <w:lvlText w:val=""/>
      <w:lvlJc w:val="left"/>
    </w:lvl>
    <w:lvl w:ilvl="2" w:tplc="12F6B1C0">
      <w:numFmt w:val="decimal"/>
      <w:lvlText w:val=""/>
      <w:lvlJc w:val="left"/>
    </w:lvl>
    <w:lvl w:ilvl="3" w:tplc="7F60F1DC">
      <w:numFmt w:val="decimal"/>
      <w:lvlText w:val=""/>
      <w:lvlJc w:val="left"/>
    </w:lvl>
    <w:lvl w:ilvl="4" w:tplc="1F160BD6">
      <w:numFmt w:val="decimal"/>
      <w:lvlText w:val=""/>
      <w:lvlJc w:val="left"/>
    </w:lvl>
    <w:lvl w:ilvl="5" w:tplc="87EE25F4">
      <w:numFmt w:val="decimal"/>
      <w:lvlText w:val=""/>
      <w:lvlJc w:val="left"/>
    </w:lvl>
    <w:lvl w:ilvl="6" w:tplc="43D0DF32">
      <w:numFmt w:val="decimal"/>
      <w:lvlText w:val=""/>
      <w:lvlJc w:val="left"/>
    </w:lvl>
    <w:lvl w:ilvl="7" w:tplc="00C8499E">
      <w:numFmt w:val="decimal"/>
      <w:lvlText w:val=""/>
      <w:lvlJc w:val="left"/>
    </w:lvl>
    <w:lvl w:ilvl="8" w:tplc="B69065D4">
      <w:numFmt w:val="decimal"/>
      <w:lvlText w:val=""/>
      <w:lvlJc w:val="left"/>
    </w:lvl>
  </w:abstractNum>
  <w:abstractNum w:abstractNumId="258">
    <w:nsid w:val="5293BFEF"/>
    <w:multiLevelType w:val="hybridMultilevel"/>
    <w:tmpl w:val="5796A4C2"/>
    <w:lvl w:ilvl="0" w:tplc="17964EC8">
      <w:start w:val="1"/>
      <w:numFmt w:val="bullet"/>
      <w:lvlText w:val=""/>
      <w:lvlJc w:val="left"/>
    </w:lvl>
    <w:lvl w:ilvl="1" w:tplc="DDA6B9CE">
      <w:start w:val="1"/>
      <w:numFmt w:val="bullet"/>
      <w:lvlText w:val=""/>
      <w:lvlJc w:val="left"/>
    </w:lvl>
    <w:lvl w:ilvl="2" w:tplc="B984A50C">
      <w:numFmt w:val="decimal"/>
      <w:lvlText w:val=""/>
      <w:lvlJc w:val="left"/>
    </w:lvl>
    <w:lvl w:ilvl="3" w:tplc="5D96BB04">
      <w:numFmt w:val="decimal"/>
      <w:lvlText w:val=""/>
      <w:lvlJc w:val="left"/>
    </w:lvl>
    <w:lvl w:ilvl="4" w:tplc="0906A0C8">
      <w:numFmt w:val="decimal"/>
      <w:lvlText w:val=""/>
      <w:lvlJc w:val="left"/>
    </w:lvl>
    <w:lvl w:ilvl="5" w:tplc="C1987B54">
      <w:numFmt w:val="decimal"/>
      <w:lvlText w:val=""/>
      <w:lvlJc w:val="left"/>
    </w:lvl>
    <w:lvl w:ilvl="6" w:tplc="DD745C38">
      <w:numFmt w:val="decimal"/>
      <w:lvlText w:val=""/>
      <w:lvlJc w:val="left"/>
    </w:lvl>
    <w:lvl w:ilvl="7" w:tplc="630A0D98">
      <w:numFmt w:val="decimal"/>
      <w:lvlText w:val=""/>
      <w:lvlJc w:val="left"/>
    </w:lvl>
    <w:lvl w:ilvl="8" w:tplc="EB0CF41E">
      <w:numFmt w:val="decimal"/>
      <w:lvlText w:val=""/>
      <w:lvlJc w:val="left"/>
    </w:lvl>
  </w:abstractNum>
  <w:abstractNum w:abstractNumId="259">
    <w:nsid w:val="52A311C3"/>
    <w:multiLevelType w:val="hybridMultilevel"/>
    <w:tmpl w:val="9790FF86"/>
    <w:lvl w:ilvl="0" w:tplc="4044E084">
      <w:start w:val="1"/>
      <w:numFmt w:val="bullet"/>
      <w:lvlText w:val=""/>
      <w:lvlJc w:val="left"/>
    </w:lvl>
    <w:lvl w:ilvl="1" w:tplc="AB404852">
      <w:numFmt w:val="decimal"/>
      <w:lvlText w:val=""/>
      <w:lvlJc w:val="left"/>
    </w:lvl>
    <w:lvl w:ilvl="2" w:tplc="E9CCF0A4">
      <w:numFmt w:val="decimal"/>
      <w:lvlText w:val=""/>
      <w:lvlJc w:val="left"/>
    </w:lvl>
    <w:lvl w:ilvl="3" w:tplc="82987998">
      <w:numFmt w:val="decimal"/>
      <w:lvlText w:val=""/>
      <w:lvlJc w:val="left"/>
    </w:lvl>
    <w:lvl w:ilvl="4" w:tplc="56624992">
      <w:numFmt w:val="decimal"/>
      <w:lvlText w:val=""/>
      <w:lvlJc w:val="left"/>
    </w:lvl>
    <w:lvl w:ilvl="5" w:tplc="C93EE198">
      <w:numFmt w:val="decimal"/>
      <w:lvlText w:val=""/>
      <w:lvlJc w:val="left"/>
    </w:lvl>
    <w:lvl w:ilvl="6" w:tplc="2D3CCEF0">
      <w:numFmt w:val="decimal"/>
      <w:lvlText w:val=""/>
      <w:lvlJc w:val="left"/>
    </w:lvl>
    <w:lvl w:ilvl="7" w:tplc="69DEC390">
      <w:numFmt w:val="decimal"/>
      <w:lvlText w:val=""/>
      <w:lvlJc w:val="left"/>
    </w:lvl>
    <w:lvl w:ilvl="8" w:tplc="F6D863FE">
      <w:numFmt w:val="decimal"/>
      <w:lvlText w:val=""/>
      <w:lvlJc w:val="left"/>
    </w:lvl>
  </w:abstractNum>
  <w:abstractNum w:abstractNumId="260">
    <w:nsid w:val="52AC7DFF"/>
    <w:multiLevelType w:val="hybridMultilevel"/>
    <w:tmpl w:val="11822F26"/>
    <w:lvl w:ilvl="0" w:tplc="4F061FC2">
      <w:start w:val="1"/>
      <w:numFmt w:val="bullet"/>
      <w:lvlText w:val=""/>
      <w:lvlJc w:val="left"/>
    </w:lvl>
    <w:lvl w:ilvl="1" w:tplc="A92ECA28">
      <w:numFmt w:val="decimal"/>
      <w:lvlText w:val=""/>
      <w:lvlJc w:val="left"/>
    </w:lvl>
    <w:lvl w:ilvl="2" w:tplc="F7FE55DA">
      <w:numFmt w:val="decimal"/>
      <w:lvlText w:val=""/>
      <w:lvlJc w:val="left"/>
    </w:lvl>
    <w:lvl w:ilvl="3" w:tplc="20F47D7A">
      <w:numFmt w:val="decimal"/>
      <w:lvlText w:val=""/>
      <w:lvlJc w:val="left"/>
    </w:lvl>
    <w:lvl w:ilvl="4" w:tplc="560EBB6C">
      <w:numFmt w:val="decimal"/>
      <w:lvlText w:val=""/>
      <w:lvlJc w:val="left"/>
    </w:lvl>
    <w:lvl w:ilvl="5" w:tplc="A148E242">
      <w:numFmt w:val="decimal"/>
      <w:lvlText w:val=""/>
      <w:lvlJc w:val="left"/>
    </w:lvl>
    <w:lvl w:ilvl="6" w:tplc="81C84AD8">
      <w:numFmt w:val="decimal"/>
      <w:lvlText w:val=""/>
      <w:lvlJc w:val="left"/>
    </w:lvl>
    <w:lvl w:ilvl="7" w:tplc="D234B592">
      <w:numFmt w:val="decimal"/>
      <w:lvlText w:val=""/>
      <w:lvlJc w:val="left"/>
    </w:lvl>
    <w:lvl w:ilvl="8" w:tplc="1C822DA2">
      <w:numFmt w:val="decimal"/>
      <w:lvlText w:val=""/>
      <w:lvlJc w:val="left"/>
    </w:lvl>
  </w:abstractNum>
  <w:abstractNum w:abstractNumId="261">
    <w:nsid w:val="52C12C61"/>
    <w:multiLevelType w:val="hybridMultilevel"/>
    <w:tmpl w:val="3AC28380"/>
    <w:lvl w:ilvl="0" w:tplc="2822E786">
      <w:start w:val="15"/>
      <w:numFmt w:val="lowerLetter"/>
      <w:lvlText w:val="%1"/>
      <w:lvlJc w:val="left"/>
    </w:lvl>
    <w:lvl w:ilvl="1" w:tplc="AD1C7B18">
      <w:numFmt w:val="decimal"/>
      <w:lvlText w:val=""/>
      <w:lvlJc w:val="left"/>
    </w:lvl>
    <w:lvl w:ilvl="2" w:tplc="B448B486">
      <w:numFmt w:val="decimal"/>
      <w:lvlText w:val=""/>
      <w:lvlJc w:val="left"/>
    </w:lvl>
    <w:lvl w:ilvl="3" w:tplc="101ED556">
      <w:numFmt w:val="decimal"/>
      <w:lvlText w:val=""/>
      <w:lvlJc w:val="left"/>
    </w:lvl>
    <w:lvl w:ilvl="4" w:tplc="00FACD78">
      <w:numFmt w:val="decimal"/>
      <w:lvlText w:val=""/>
      <w:lvlJc w:val="left"/>
    </w:lvl>
    <w:lvl w:ilvl="5" w:tplc="2B74481C">
      <w:numFmt w:val="decimal"/>
      <w:lvlText w:val=""/>
      <w:lvlJc w:val="left"/>
    </w:lvl>
    <w:lvl w:ilvl="6" w:tplc="CBAC2CF2">
      <w:numFmt w:val="decimal"/>
      <w:lvlText w:val=""/>
      <w:lvlJc w:val="left"/>
    </w:lvl>
    <w:lvl w:ilvl="7" w:tplc="C820F280">
      <w:numFmt w:val="decimal"/>
      <w:lvlText w:val=""/>
      <w:lvlJc w:val="left"/>
    </w:lvl>
    <w:lvl w:ilvl="8" w:tplc="AFA4A260">
      <w:numFmt w:val="decimal"/>
      <w:lvlText w:val=""/>
      <w:lvlJc w:val="left"/>
    </w:lvl>
  </w:abstractNum>
  <w:abstractNum w:abstractNumId="262">
    <w:nsid w:val="52C77402"/>
    <w:multiLevelType w:val="hybridMultilevel"/>
    <w:tmpl w:val="1BCE1BD0"/>
    <w:lvl w:ilvl="0" w:tplc="40EADED6">
      <w:start w:val="33"/>
      <w:numFmt w:val="decimal"/>
      <w:lvlText w:val="%1"/>
      <w:lvlJc w:val="left"/>
    </w:lvl>
    <w:lvl w:ilvl="1" w:tplc="5CA0E2C0">
      <w:numFmt w:val="decimal"/>
      <w:lvlText w:val=""/>
      <w:lvlJc w:val="left"/>
    </w:lvl>
    <w:lvl w:ilvl="2" w:tplc="6576E39E">
      <w:numFmt w:val="decimal"/>
      <w:lvlText w:val=""/>
      <w:lvlJc w:val="left"/>
    </w:lvl>
    <w:lvl w:ilvl="3" w:tplc="C1F8D2F0">
      <w:numFmt w:val="decimal"/>
      <w:lvlText w:val=""/>
      <w:lvlJc w:val="left"/>
    </w:lvl>
    <w:lvl w:ilvl="4" w:tplc="FBC6642E">
      <w:numFmt w:val="decimal"/>
      <w:lvlText w:val=""/>
      <w:lvlJc w:val="left"/>
    </w:lvl>
    <w:lvl w:ilvl="5" w:tplc="CA0221B4">
      <w:numFmt w:val="decimal"/>
      <w:lvlText w:val=""/>
      <w:lvlJc w:val="left"/>
    </w:lvl>
    <w:lvl w:ilvl="6" w:tplc="3BD82518">
      <w:numFmt w:val="decimal"/>
      <w:lvlText w:val=""/>
      <w:lvlJc w:val="left"/>
    </w:lvl>
    <w:lvl w:ilvl="7" w:tplc="68506146">
      <w:numFmt w:val="decimal"/>
      <w:lvlText w:val=""/>
      <w:lvlJc w:val="left"/>
    </w:lvl>
    <w:lvl w:ilvl="8" w:tplc="1584D0B0">
      <w:numFmt w:val="decimal"/>
      <w:lvlText w:val=""/>
      <w:lvlJc w:val="left"/>
    </w:lvl>
  </w:abstractNum>
  <w:abstractNum w:abstractNumId="263">
    <w:nsid w:val="530386D1"/>
    <w:multiLevelType w:val="hybridMultilevel"/>
    <w:tmpl w:val="B8C4E54E"/>
    <w:lvl w:ilvl="0" w:tplc="7E969D48">
      <w:start w:val="4"/>
      <w:numFmt w:val="decimal"/>
      <w:lvlText w:val="%1"/>
      <w:lvlJc w:val="left"/>
    </w:lvl>
    <w:lvl w:ilvl="1" w:tplc="804437E2">
      <w:numFmt w:val="decimal"/>
      <w:lvlText w:val=""/>
      <w:lvlJc w:val="left"/>
    </w:lvl>
    <w:lvl w:ilvl="2" w:tplc="3B7E9910">
      <w:numFmt w:val="decimal"/>
      <w:lvlText w:val=""/>
      <w:lvlJc w:val="left"/>
    </w:lvl>
    <w:lvl w:ilvl="3" w:tplc="89FE6AA4">
      <w:numFmt w:val="decimal"/>
      <w:lvlText w:val=""/>
      <w:lvlJc w:val="left"/>
    </w:lvl>
    <w:lvl w:ilvl="4" w:tplc="9BEEA438">
      <w:numFmt w:val="decimal"/>
      <w:lvlText w:val=""/>
      <w:lvlJc w:val="left"/>
    </w:lvl>
    <w:lvl w:ilvl="5" w:tplc="635AFEFE">
      <w:numFmt w:val="decimal"/>
      <w:lvlText w:val=""/>
      <w:lvlJc w:val="left"/>
    </w:lvl>
    <w:lvl w:ilvl="6" w:tplc="E3224680">
      <w:numFmt w:val="decimal"/>
      <w:lvlText w:val=""/>
      <w:lvlJc w:val="left"/>
    </w:lvl>
    <w:lvl w:ilvl="7" w:tplc="2B5A6EA4">
      <w:numFmt w:val="decimal"/>
      <w:lvlText w:val=""/>
      <w:lvlJc w:val="left"/>
    </w:lvl>
    <w:lvl w:ilvl="8" w:tplc="0546AE88">
      <w:numFmt w:val="decimal"/>
      <w:lvlText w:val=""/>
      <w:lvlJc w:val="left"/>
    </w:lvl>
  </w:abstractNum>
  <w:abstractNum w:abstractNumId="264">
    <w:nsid w:val="53280662"/>
    <w:multiLevelType w:val="hybridMultilevel"/>
    <w:tmpl w:val="DA3E1D12"/>
    <w:lvl w:ilvl="0" w:tplc="C6BEF45C">
      <w:start w:val="1"/>
      <w:numFmt w:val="bullet"/>
      <w:lvlText w:val=""/>
      <w:lvlJc w:val="left"/>
    </w:lvl>
    <w:lvl w:ilvl="1" w:tplc="20D6F794">
      <w:numFmt w:val="decimal"/>
      <w:lvlText w:val=""/>
      <w:lvlJc w:val="left"/>
    </w:lvl>
    <w:lvl w:ilvl="2" w:tplc="8228A63A">
      <w:numFmt w:val="decimal"/>
      <w:lvlText w:val=""/>
      <w:lvlJc w:val="left"/>
    </w:lvl>
    <w:lvl w:ilvl="3" w:tplc="73842712">
      <w:numFmt w:val="decimal"/>
      <w:lvlText w:val=""/>
      <w:lvlJc w:val="left"/>
    </w:lvl>
    <w:lvl w:ilvl="4" w:tplc="541ADEDE">
      <w:numFmt w:val="decimal"/>
      <w:lvlText w:val=""/>
      <w:lvlJc w:val="left"/>
    </w:lvl>
    <w:lvl w:ilvl="5" w:tplc="9D7C3CDA">
      <w:numFmt w:val="decimal"/>
      <w:lvlText w:val=""/>
      <w:lvlJc w:val="left"/>
    </w:lvl>
    <w:lvl w:ilvl="6" w:tplc="CB4E23E8">
      <w:numFmt w:val="decimal"/>
      <w:lvlText w:val=""/>
      <w:lvlJc w:val="left"/>
    </w:lvl>
    <w:lvl w:ilvl="7" w:tplc="CBD6487A">
      <w:numFmt w:val="decimal"/>
      <w:lvlText w:val=""/>
      <w:lvlJc w:val="left"/>
    </w:lvl>
    <w:lvl w:ilvl="8" w:tplc="E31E850C">
      <w:numFmt w:val="decimal"/>
      <w:lvlText w:val=""/>
      <w:lvlJc w:val="left"/>
    </w:lvl>
  </w:abstractNum>
  <w:abstractNum w:abstractNumId="265">
    <w:nsid w:val="539F7F12"/>
    <w:multiLevelType w:val="hybridMultilevel"/>
    <w:tmpl w:val="32881740"/>
    <w:lvl w:ilvl="0" w:tplc="7AD85676">
      <w:start w:val="1"/>
      <w:numFmt w:val="decimal"/>
      <w:lvlText w:val="%1"/>
      <w:lvlJc w:val="left"/>
    </w:lvl>
    <w:lvl w:ilvl="1" w:tplc="4470D1DA">
      <w:numFmt w:val="decimal"/>
      <w:lvlText w:val=""/>
      <w:lvlJc w:val="left"/>
    </w:lvl>
    <w:lvl w:ilvl="2" w:tplc="4AF65572">
      <w:numFmt w:val="decimal"/>
      <w:lvlText w:val=""/>
      <w:lvlJc w:val="left"/>
    </w:lvl>
    <w:lvl w:ilvl="3" w:tplc="4904973C">
      <w:numFmt w:val="decimal"/>
      <w:lvlText w:val=""/>
      <w:lvlJc w:val="left"/>
    </w:lvl>
    <w:lvl w:ilvl="4" w:tplc="5FFA766A">
      <w:numFmt w:val="decimal"/>
      <w:lvlText w:val=""/>
      <w:lvlJc w:val="left"/>
    </w:lvl>
    <w:lvl w:ilvl="5" w:tplc="31E2243A">
      <w:numFmt w:val="decimal"/>
      <w:lvlText w:val=""/>
      <w:lvlJc w:val="left"/>
    </w:lvl>
    <w:lvl w:ilvl="6" w:tplc="3CA86E7E">
      <w:numFmt w:val="decimal"/>
      <w:lvlText w:val=""/>
      <w:lvlJc w:val="left"/>
    </w:lvl>
    <w:lvl w:ilvl="7" w:tplc="35C06E3C">
      <w:numFmt w:val="decimal"/>
      <w:lvlText w:val=""/>
      <w:lvlJc w:val="left"/>
    </w:lvl>
    <w:lvl w:ilvl="8" w:tplc="950EA4CE">
      <w:numFmt w:val="decimal"/>
      <w:lvlText w:val=""/>
      <w:lvlJc w:val="left"/>
    </w:lvl>
  </w:abstractNum>
  <w:abstractNum w:abstractNumId="266">
    <w:nsid w:val="53B2564F"/>
    <w:multiLevelType w:val="hybridMultilevel"/>
    <w:tmpl w:val="28B4F762"/>
    <w:lvl w:ilvl="0" w:tplc="1AC69190">
      <w:start w:val="1"/>
      <w:numFmt w:val="bullet"/>
      <w:lvlText w:val=""/>
      <w:lvlJc w:val="left"/>
    </w:lvl>
    <w:lvl w:ilvl="1" w:tplc="B4F22DC4">
      <w:numFmt w:val="decimal"/>
      <w:lvlText w:val=""/>
      <w:lvlJc w:val="left"/>
    </w:lvl>
    <w:lvl w:ilvl="2" w:tplc="01D82846">
      <w:numFmt w:val="decimal"/>
      <w:lvlText w:val=""/>
      <w:lvlJc w:val="left"/>
    </w:lvl>
    <w:lvl w:ilvl="3" w:tplc="785CEA02">
      <w:numFmt w:val="decimal"/>
      <w:lvlText w:val=""/>
      <w:lvlJc w:val="left"/>
    </w:lvl>
    <w:lvl w:ilvl="4" w:tplc="D780CCDC">
      <w:numFmt w:val="decimal"/>
      <w:lvlText w:val=""/>
      <w:lvlJc w:val="left"/>
    </w:lvl>
    <w:lvl w:ilvl="5" w:tplc="BE6EFB52">
      <w:numFmt w:val="decimal"/>
      <w:lvlText w:val=""/>
      <w:lvlJc w:val="left"/>
    </w:lvl>
    <w:lvl w:ilvl="6" w:tplc="2378FD88">
      <w:numFmt w:val="decimal"/>
      <w:lvlText w:val=""/>
      <w:lvlJc w:val="left"/>
    </w:lvl>
    <w:lvl w:ilvl="7" w:tplc="E77ABB46">
      <w:numFmt w:val="decimal"/>
      <w:lvlText w:val=""/>
      <w:lvlJc w:val="left"/>
    </w:lvl>
    <w:lvl w:ilvl="8" w:tplc="DE3A14C0">
      <w:numFmt w:val="decimal"/>
      <w:lvlText w:val=""/>
      <w:lvlJc w:val="left"/>
    </w:lvl>
  </w:abstractNum>
  <w:abstractNum w:abstractNumId="267">
    <w:nsid w:val="53E31A24"/>
    <w:multiLevelType w:val="hybridMultilevel"/>
    <w:tmpl w:val="465462B2"/>
    <w:lvl w:ilvl="0" w:tplc="CAD02D3C">
      <w:start w:val="1"/>
      <w:numFmt w:val="bullet"/>
      <w:lvlText w:val=""/>
      <w:lvlJc w:val="left"/>
    </w:lvl>
    <w:lvl w:ilvl="1" w:tplc="B6B0FAD8">
      <w:numFmt w:val="decimal"/>
      <w:lvlText w:val=""/>
      <w:lvlJc w:val="left"/>
    </w:lvl>
    <w:lvl w:ilvl="2" w:tplc="D3969806">
      <w:numFmt w:val="decimal"/>
      <w:lvlText w:val=""/>
      <w:lvlJc w:val="left"/>
    </w:lvl>
    <w:lvl w:ilvl="3" w:tplc="AA96DD10">
      <w:numFmt w:val="decimal"/>
      <w:lvlText w:val=""/>
      <w:lvlJc w:val="left"/>
    </w:lvl>
    <w:lvl w:ilvl="4" w:tplc="6CE4BEAA">
      <w:numFmt w:val="decimal"/>
      <w:lvlText w:val=""/>
      <w:lvlJc w:val="left"/>
    </w:lvl>
    <w:lvl w:ilvl="5" w:tplc="18168B0E">
      <w:numFmt w:val="decimal"/>
      <w:lvlText w:val=""/>
      <w:lvlJc w:val="left"/>
    </w:lvl>
    <w:lvl w:ilvl="6" w:tplc="192C17C2">
      <w:numFmt w:val="decimal"/>
      <w:lvlText w:val=""/>
      <w:lvlJc w:val="left"/>
    </w:lvl>
    <w:lvl w:ilvl="7" w:tplc="B2E81FB4">
      <w:numFmt w:val="decimal"/>
      <w:lvlText w:val=""/>
      <w:lvlJc w:val="left"/>
    </w:lvl>
    <w:lvl w:ilvl="8" w:tplc="C3DED3DE">
      <w:numFmt w:val="decimal"/>
      <w:lvlText w:val=""/>
      <w:lvlJc w:val="left"/>
    </w:lvl>
  </w:abstractNum>
  <w:abstractNum w:abstractNumId="268">
    <w:nsid w:val="541F28CD"/>
    <w:multiLevelType w:val="hybridMultilevel"/>
    <w:tmpl w:val="28362DE2"/>
    <w:lvl w:ilvl="0" w:tplc="A6E2A21E">
      <w:start w:val="1"/>
      <w:numFmt w:val="bullet"/>
      <w:lvlText w:val=""/>
      <w:lvlJc w:val="left"/>
    </w:lvl>
    <w:lvl w:ilvl="1" w:tplc="C0FC1936">
      <w:numFmt w:val="decimal"/>
      <w:lvlText w:val=""/>
      <w:lvlJc w:val="left"/>
    </w:lvl>
    <w:lvl w:ilvl="2" w:tplc="9FB67812">
      <w:numFmt w:val="decimal"/>
      <w:lvlText w:val=""/>
      <w:lvlJc w:val="left"/>
    </w:lvl>
    <w:lvl w:ilvl="3" w:tplc="A61C1C14">
      <w:numFmt w:val="decimal"/>
      <w:lvlText w:val=""/>
      <w:lvlJc w:val="left"/>
    </w:lvl>
    <w:lvl w:ilvl="4" w:tplc="70A4D5AC">
      <w:numFmt w:val="decimal"/>
      <w:lvlText w:val=""/>
      <w:lvlJc w:val="left"/>
    </w:lvl>
    <w:lvl w:ilvl="5" w:tplc="E1BA2C76">
      <w:numFmt w:val="decimal"/>
      <w:lvlText w:val=""/>
      <w:lvlJc w:val="left"/>
    </w:lvl>
    <w:lvl w:ilvl="6" w:tplc="FC76013A">
      <w:numFmt w:val="decimal"/>
      <w:lvlText w:val=""/>
      <w:lvlJc w:val="left"/>
    </w:lvl>
    <w:lvl w:ilvl="7" w:tplc="84A04D38">
      <w:numFmt w:val="decimal"/>
      <w:lvlText w:val=""/>
      <w:lvlJc w:val="left"/>
    </w:lvl>
    <w:lvl w:ilvl="8" w:tplc="F1BECB1C">
      <w:numFmt w:val="decimal"/>
      <w:lvlText w:val=""/>
      <w:lvlJc w:val="left"/>
    </w:lvl>
  </w:abstractNum>
  <w:abstractNum w:abstractNumId="269">
    <w:nsid w:val="545EE5D3"/>
    <w:multiLevelType w:val="hybridMultilevel"/>
    <w:tmpl w:val="D6C85006"/>
    <w:lvl w:ilvl="0" w:tplc="54A0D770">
      <w:start w:val="3"/>
      <w:numFmt w:val="decimal"/>
      <w:lvlText w:val="%1"/>
      <w:lvlJc w:val="left"/>
    </w:lvl>
    <w:lvl w:ilvl="1" w:tplc="8F3A3CC2">
      <w:numFmt w:val="decimal"/>
      <w:lvlText w:val=""/>
      <w:lvlJc w:val="left"/>
    </w:lvl>
    <w:lvl w:ilvl="2" w:tplc="4CDE645C">
      <w:numFmt w:val="decimal"/>
      <w:lvlText w:val=""/>
      <w:lvlJc w:val="left"/>
    </w:lvl>
    <w:lvl w:ilvl="3" w:tplc="88E41F38">
      <w:numFmt w:val="decimal"/>
      <w:lvlText w:val=""/>
      <w:lvlJc w:val="left"/>
    </w:lvl>
    <w:lvl w:ilvl="4" w:tplc="18BADA04">
      <w:numFmt w:val="decimal"/>
      <w:lvlText w:val=""/>
      <w:lvlJc w:val="left"/>
    </w:lvl>
    <w:lvl w:ilvl="5" w:tplc="7CE26E22">
      <w:numFmt w:val="decimal"/>
      <w:lvlText w:val=""/>
      <w:lvlJc w:val="left"/>
    </w:lvl>
    <w:lvl w:ilvl="6" w:tplc="9E6ABAE4">
      <w:numFmt w:val="decimal"/>
      <w:lvlText w:val=""/>
      <w:lvlJc w:val="left"/>
    </w:lvl>
    <w:lvl w:ilvl="7" w:tplc="43267A9E">
      <w:numFmt w:val="decimal"/>
      <w:lvlText w:val=""/>
      <w:lvlJc w:val="left"/>
    </w:lvl>
    <w:lvl w:ilvl="8" w:tplc="8BC6CBA6">
      <w:numFmt w:val="decimal"/>
      <w:lvlText w:val=""/>
      <w:lvlJc w:val="left"/>
    </w:lvl>
  </w:abstractNum>
  <w:abstractNum w:abstractNumId="270">
    <w:nsid w:val="54B59621"/>
    <w:multiLevelType w:val="hybridMultilevel"/>
    <w:tmpl w:val="404639B0"/>
    <w:lvl w:ilvl="0" w:tplc="6F104E00">
      <w:start w:val="1"/>
      <w:numFmt w:val="bullet"/>
      <w:lvlText w:val=""/>
      <w:lvlJc w:val="left"/>
    </w:lvl>
    <w:lvl w:ilvl="1" w:tplc="D1DC9432">
      <w:numFmt w:val="decimal"/>
      <w:lvlText w:val=""/>
      <w:lvlJc w:val="left"/>
    </w:lvl>
    <w:lvl w:ilvl="2" w:tplc="D638D9DA">
      <w:numFmt w:val="decimal"/>
      <w:lvlText w:val=""/>
      <w:lvlJc w:val="left"/>
    </w:lvl>
    <w:lvl w:ilvl="3" w:tplc="20526A06">
      <w:numFmt w:val="decimal"/>
      <w:lvlText w:val=""/>
      <w:lvlJc w:val="left"/>
    </w:lvl>
    <w:lvl w:ilvl="4" w:tplc="D4FA0A22">
      <w:numFmt w:val="decimal"/>
      <w:lvlText w:val=""/>
      <w:lvlJc w:val="left"/>
    </w:lvl>
    <w:lvl w:ilvl="5" w:tplc="0688E9FE">
      <w:numFmt w:val="decimal"/>
      <w:lvlText w:val=""/>
      <w:lvlJc w:val="left"/>
    </w:lvl>
    <w:lvl w:ilvl="6" w:tplc="4B9AA010">
      <w:numFmt w:val="decimal"/>
      <w:lvlText w:val=""/>
      <w:lvlJc w:val="left"/>
    </w:lvl>
    <w:lvl w:ilvl="7" w:tplc="06BCD53E">
      <w:numFmt w:val="decimal"/>
      <w:lvlText w:val=""/>
      <w:lvlJc w:val="left"/>
    </w:lvl>
    <w:lvl w:ilvl="8" w:tplc="5AFCF19C">
      <w:numFmt w:val="decimal"/>
      <w:lvlText w:val=""/>
      <w:lvlJc w:val="left"/>
    </w:lvl>
  </w:abstractNum>
  <w:abstractNum w:abstractNumId="271">
    <w:nsid w:val="550B8808"/>
    <w:multiLevelType w:val="hybridMultilevel"/>
    <w:tmpl w:val="4CD4D530"/>
    <w:lvl w:ilvl="0" w:tplc="483238F6">
      <w:start w:val="1"/>
      <w:numFmt w:val="bullet"/>
      <w:lvlText w:val=""/>
      <w:lvlJc w:val="left"/>
    </w:lvl>
    <w:lvl w:ilvl="1" w:tplc="AFACFA88">
      <w:numFmt w:val="decimal"/>
      <w:lvlText w:val=""/>
      <w:lvlJc w:val="left"/>
    </w:lvl>
    <w:lvl w:ilvl="2" w:tplc="C12EAA2A">
      <w:numFmt w:val="decimal"/>
      <w:lvlText w:val=""/>
      <w:lvlJc w:val="left"/>
    </w:lvl>
    <w:lvl w:ilvl="3" w:tplc="B9F45F96">
      <w:numFmt w:val="decimal"/>
      <w:lvlText w:val=""/>
      <w:lvlJc w:val="left"/>
    </w:lvl>
    <w:lvl w:ilvl="4" w:tplc="8A80CE88">
      <w:numFmt w:val="decimal"/>
      <w:lvlText w:val=""/>
      <w:lvlJc w:val="left"/>
    </w:lvl>
    <w:lvl w:ilvl="5" w:tplc="C58E8CC0">
      <w:numFmt w:val="decimal"/>
      <w:lvlText w:val=""/>
      <w:lvlJc w:val="left"/>
    </w:lvl>
    <w:lvl w:ilvl="6" w:tplc="0C627CD2">
      <w:numFmt w:val="decimal"/>
      <w:lvlText w:val=""/>
      <w:lvlJc w:val="left"/>
    </w:lvl>
    <w:lvl w:ilvl="7" w:tplc="1F4E4EBC">
      <w:numFmt w:val="decimal"/>
      <w:lvlText w:val=""/>
      <w:lvlJc w:val="left"/>
    </w:lvl>
    <w:lvl w:ilvl="8" w:tplc="DC3ED864">
      <w:numFmt w:val="decimal"/>
      <w:lvlText w:val=""/>
      <w:lvlJc w:val="left"/>
    </w:lvl>
  </w:abstractNum>
  <w:abstractNum w:abstractNumId="272">
    <w:nsid w:val="556B69ED"/>
    <w:multiLevelType w:val="hybridMultilevel"/>
    <w:tmpl w:val="EF74FFA8"/>
    <w:lvl w:ilvl="0" w:tplc="5874B8C4">
      <w:start w:val="3"/>
      <w:numFmt w:val="decimal"/>
      <w:lvlText w:val="%1"/>
      <w:lvlJc w:val="left"/>
    </w:lvl>
    <w:lvl w:ilvl="1" w:tplc="B17EA568">
      <w:numFmt w:val="decimal"/>
      <w:lvlText w:val=""/>
      <w:lvlJc w:val="left"/>
    </w:lvl>
    <w:lvl w:ilvl="2" w:tplc="FA2C2750">
      <w:numFmt w:val="decimal"/>
      <w:lvlText w:val=""/>
      <w:lvlJc w:val="left"/>
    </w:lvl>
    <w:lvl w:ilvl="3" w:tplc="ABD6E292">
      <w:numFmt w:val="decimal"/>
      <w:lvlText w:val=""/>
      <w:lvlJc w:val="left"/>
    </w:lvl>
    <w:lvl w:ilvl="4" w:tplc="A2FC4D8C">
      <w:numFmt w:val="decimal"/>
      <w:lvlText w:val=""/>
      <w:lvlJc w:val="left"/>
    </w:lvl>
    <w:lvl w:ilvl="5" w:tplc="7052825E">
      <w:numFmt w:val="decimal"/>
      <w:lvlText w:val=""/>
      <w:lvlJc w:val="left"/>
    </w:lvl>
    <w:lvl w:ilvl="6" w:tplc="C50CFC5E">
      <w:numFmt w:val="decimal"/>
      <w:lvlText w:val=""/>
      <w:lvlJc w:val="left"/>
    </w:lvl>
    <w:lvl w:ilvl="7" w:tplc="6472EF98">
      <w:numFmt w:val="decimal"/>
      <w:lvlText w:val=""/>
      <w:lvlJc w:val="left"/>
    </w:lvl>
    <w:lvl w:ilvl="8" w:tplc="52C4BD62">
      <w:numFmt w:val="decimal"/>
      <w:lvlText w:val=""/>
      <w:lvlJc w:val="left"/>
    </w:lvl>
  </w:abstractNum>
  <w:abstractNum w:abstractNumId="273">
    <w:nsid w:val="557FB7EE"/>
    <w:multiLevelType w:val="hybridMultilevel"/>
    <w:tmpl w:val="441AFBAA"/>
    <w:lvl w:ilvl="0" w:tplc="351A8128">
      <w:start w:val="1"/>
      <w:numFmt w:val="decimal"/>
      <w:lvlText w:val="%1."/>
      <w:lvlJc w:val="left"/>
    </w:lvl>
    <w:lvl w:ilvl="1" w:tplc="43A6A4EA">
      <w:numFmt w:val="decimal"/>
      <w:lvlText w:val=""/>
      <w:lvlJc w:val="left"/>
    </w:lvl>
    <w:lvl w:ilvl="2" w:tplc="47D2C3D8">
      <w:numFmt w:val="decimal"/>
      <w:lvlText w:val=""/>
      <w:lvlJc w:val="left"/>
    </w:lvl>
    <w:lvl w:ilvl="3" w:tplc="D2384994">
      <w:numFmt w:val="decimal"/>
      <w:lvlText w:val=""/>
      <w:lvlJc w:val="left"/>
    </w:lvl>
    <w:lvl w:ilvl="4" w:tplc="2ADEEC36">
      <w:numFmt w:val="decimal"/>
      <w:lvlText w:val=""/>
      <w:lvlJc w:val="left"/>
    </w:lvl>
    <w:lvl w:ilvl="5" w:tplc="79DA1CC8">
      <w:numFmt w:val="decimal"/>
      <w:lvlText w:val=""/>
      <w:lvlJc w:val="left"/>
    </w:lvl>
    <w:lvl w:ilvl="6" w:tplc="8FCC2D82">
      <w:numFmt w:val="decimal"/>
      <w:lvlText w:val=""/>
      <w:lvlJc w:val="left"/>
    </w:lvl>
    <w:lvl w:ilvl="7" w:tplc="4E2E9916">
      <w:numFmt w:val="decimal"/>
      <w:lvlText w:val=""/>
      <w:lvlJc w:val="left"/>
    </w:lvl>
    <w:lvl w:ilvl="8" w:tplc="556CA2C4">
      <w:numFmt w:val="decimal"/>
      <w:lvlText w:val=""/>
      <w:lvlJc w:val="left"/>
    </w:lvl>
  </w:abstractNum>
  <w:abstractNum w:abstractNumId="274">
    <w:nsid w:val="565976F1"/>
    <w:multiLevelType w:val="hybridMultilevel"/>
    <w:tmpl w:val="7EE8064C"/>
    <w:lvl w:ilvl="0" w:tplc="D0665128">
      <w:start w:val="1"/>
      <w:numFmt w:val="bullet"/>
      <w:lvlText w:val=""/>
      <w:lvlJc w:val="left"/>
    </w:lvl>
    <w:lvl w:ilvl="1" w:tplc="BA48E3F0">
      <w:numFmt w:val="decimal"/>
      <w:lvlText w:val=""/>
      <w:lvlJc w:val="left"/>
    </w:lvl>
    <w:lvl w:ilvl="2" w:tplc="FB5EE492">
      <w:numFmt w:val="decimal"/>
      <w:lvlText w:val=""/>
      <w:lvlJc w:val="left"/>
    </w:lvl>
    <w:lvl w:ilvl="3" w:tplc="3216DBFC">
      <w:numFmt w:val="decimal"/>
      <w:lvlText w:val=""/>
      <w:lvlJc w:val="left"/>
    </w:lvl>
    <w:lvl w:ilvl="4" w:tplc="D7126354">
      <w:numFmt w:val="decimal"/>
      <w:lvlText w:val=""/>
      <w:lvlJc w:val="left"/>
    </w:lvl>
    <w:lvl w:ilvl="5" w:tplc="26E80C94">
      <w:numFmt w:val="decimal"/>
      <w:lvlText w:val=""/>
      <w:lvlJc w:val="left"/>
    </w:lvl>
    <w:lvl w:ilvl="6" w:tplc="DEE0D348">
      <w:numFmt w:val="decimal"/>
      <w:lvlText w:val=""/>
      <w:lvlJc w:val="left"/>
    </w:lvl>
    <w:lvl w:ilvl="7" w:tplc="21CAB4D0">
      <w:numFmt w:val="decimal"/>
      <w:lvlText w:val=""/>
      <w:lvlJc w:val="left"/>
    </w:lvl>
    <w:lvl w:ilvl="8" w:tplc="2530FB4C">
      <w:numFmt w:val="decimal"/>
      <w:lvlText w:val=""/>
      <w:lvlJc w:val="left"/>
    </w:lvl>
  </w:abstractNum>
  <w:abstractNum w:abstractNumId="275">
    <w:nsid w:val="567BD50A"/>
    <w:multiLevelType w:val="hybridMultilevel"/>
    <w:tmpl w:val="5A16905A"/>
    <w:lvl w:ilvl="0" w:tplc="5E8ED52A">
      <w:start w:val="4"/>
      <w:numFmt w:val="decimal"/>
      <w:lvlText w:val="%1"/>
      <w:lvlJc w:val="left"/>
    </w:lvl>
    <w:lvl w:ilvl="1" w:tplc="3D40405E">
      <w:numFmt w:val="decimal"/>
      <w:lvlText w:val=""/>
      <w:lvlJc w:val="left"/>
    </w:lvl>
    <w:lvl w:ilvl="2" w:tplc="D6868E10">
      <w:numFmt w:val="decimal"/>
      <w:lvlText w:val=""/>
      <w:lvlJc w:val="left"/>
    </w:lvl>
    <w:lvl w:ilvl="3" w:tplc="5E30C7FA">
      <w:numFmt w:val="decimal"/>
      <w:lvlText w:val=""/>
      <w:lvlJc w:val="left"/>
    </w:lvl>
    <w:lvl w:ilvl="4" w:tplc="37CE64C4">
      <w:numFmt w:val="decimal"/>
      <w:lvlText w:val=""/>
      <w:lvlJc w:val="left"/>
    </w:lvl>
    <w:lvl w:ilvl="5" w:tplc="22242360">
      <w:numFmt w:val="decimal"/>
      <w:lvlText w:val=""/>
      <w:lvlJc w:val="left"/>
    </w:lvl>
    <w:lvl w:ilvl="6" w:tplc="5FE8E294">
      <w:numFmt w:val="decimal"/>
      <w:lvlText w:val=""/>
      <w:lvlJc w:val="left"/>
    </w:lvl>
    <w:lvl w:ilvl="7" w:tplc="CD061314">
      <w:numFmt w:val="decimal"/>
      <w:lvlText w:val=""/>
      <w:lvlJc w:val="left"/>
    </w:lvl>
    <w:lvl w:ilvl="8" w:tplc="55CE2384">
      <w:numFmt w:val="decimal"/>
      <w:lvlText w:val=""/>
      <w:lvlJc w:val="left"/>
    </w:lvl>
  </w:abstractNum>
  <w:abstractNum w:abstractNumId="276">
    <w:nsid w:val="569951FE"/>
    <w:multiLevelType w:val="hybridMultilevel"/>
    <w:tmpl w:val="0478E368"/>
    <w:lvl w:ilvl="0" w:tplc="D160DDD6">
      <w:start w:val="1"/>
      <w:numFmt w:val="decimal"/>
      <w:lvlText w:val="%1."/>
      <w:lvlJc w:val="left"/>
    </w:lvl>
    <w:lvl w:ilvl="1" w:tplc="1AC0A4DE">
      <w:numFmt w:val="decimal"/>
      <w:lvlText w:val=""/>
      <w:lvlJc w:val="left"/>
    </w:lvl>
    <w:lvl w:ilvl="2" w:tplc="805A870C">
      <w:numFmt w:val="decimal"/>
      <w:lvlText w:val=""/>
      <w:lvlJc w:val="left"/>
    </w:lvl>
    <w:lvl w:ilvl="3" w:tplc="65469E5E">
      <w:numFmt w:val="decimal"/>
      <w:lvlText w:val=""/>
      <w:lvlJc w:val="left"/>
    </w:lvl>
    <w:lvl w:ilvl="4" w:tplc="FEEAF446">
      <w:numFmt w:val="decimal"/>
      <w:lvlText w:val=""/>
      <w:lvlJc w:val="left"/>
    </w:lvl>
    <w:lvl w:ilvl="5" w:tplc="DBDC3928">
      <w:numFmt w:val="decimal"/>
      <w:lvlText w:val=""/>
      <w:lvlJc w:val="left"/>
    </w:lvl>
    <w:lvl w:ilvl="6" w:tplc="42C62A26">
      <w:numFmt w:val="decimal"/>
      <w:lvlText w:val=""/>
      <w:lvlJc w:val="left"/>
    </w:lvl>
    <w:lvl w:ilvl="7" w:tplc="5030962E">
      <w:numFmt w:val="decimal"/>
      <w:lvlText w:val=""/>
      <w:lvlJc w:val="left"/>
    </w:lvl>
    <w:lvl w:ilvl="8" w:tplc="0F741BC2">
      <w:numFmt w:val="decimal"/>
      <w:lvlText w:val=""/>
      <w:lvlJc w:val="left"/>
    </w:lvl>
  </w:abstractNum>
  <w:abstractNum w:abstractNumId="277">
    <w:nsid w:val="56C28E34"/>
    <w:multiLevelType w:val="hybridMultilevel"/>
    <w:tmpl w:val="6F9E8C8E"/>
    <w:lvl w:ilvl="0" w:tplc="8D1AAA4C">
      <w:start w:val="1"/>
      <w:numFmt w:val="decimal"/>
      <w:lvlText w:val="%1."/>
      <w:lvlJc w:val="left"/>
    </w:lvl>
    <w:lvl w:ilvl="1" w:tplc="AB00CC5A">
      <w:numFmt w:val="decimal"/>
      <w:lvlText w:val=""/>
      <w:lvlJc w:val="left"/>
    </w:lvl>
    <w:lvl w:ilvl="2" w:tplc="4F946D0A">
      <w:numFmt w:val="decimal"/>
      <w:lvlText w:val=""/>
      <w:lvlJc w:val="left"/>
    </w:lvl>
    <w:lvl w:ilvl="3" w:tplc="9AE0002E">
      <w:numFmt w:val="decimal"/>
      <w:lvlText w:val=""/>
      <w:lvlJc w:val="left"/>
    </w:lvl>
    <w:lvl w:ilvl="4" w:tplc="5BCAA8AC">
      <w:numFmt w:val="decimal"/>
      <w:lvlText w:val=""/>
      <w:lvlJc w:val="left"/>
    </w:lvl>
    <w:lvl w:ilvl="5" w:tplc="4DE6F4FA">
      <w:numFmt w:val="decimal"/>
      <w:lvlText w:val=""/>
      <w:lvlJc w:val="left"/>
    </w:lvl>
    <w:lvl w:ilvl="6" w:tplc="AFBA257E">
      <w:numFmt w:val="decimal"/>
      <w:lvlText w:val=""/>
      <w:lvlJc w:val="left"/>
    </w:lvl>
    <w:lvl w:ilvl="7" w:tplc="C0A04708">
      <w:numFmt w:val="decimal"/>
      <w:lvlText w:val=""/>
      <w:lvlJc w:val="left"/>
    </w:lvl>
    <w:lvl w:ilvl="8" w:tplc="60B201F2">
      <w:numFmt w:val="decimal"/>
      <w:lvlText w:val=""/>
      <w:lvlJc w:val="left"/>
    </w:lvl>
  </w:abstractNum>
  <w:abstractNum w:abstractNumId="278">
    <w:nsid w:val="57071613"/>
    <w:multiLevelType w:val="hybridMultilevel"/>
    <w:tmpl w:val="CF64D256"/>
    <w:lvl w:ilvl="0" w:tplc="BB401378">
      <w:start w:val="1"/>
      <w:numFmt w:val="bullet"/>
      <w:lvlText w:val=""/>
      <w:lvlJc w:val="left"/>
    </w:lvl>
    <w:lvl w:ilvl="1" w:tplc="528630A4">
      <w:numFmt w:val="decimal"/>
      <w:lvlText w:val=""/>
      <w:lvlJc w:val="left"/>
    </w:lvl>
    <w:lvl w:ilvl="2" w:tplc="802A27F2">
      <w:numFmt w:val="decimal"/>
      <w:lvlText w:val=""/>
      <w:lvlJc w:val="left"/>
    </w:lvl>
    <w:lvl w:ilvl="3" w:tplc="BD2E3724">
      <w:numFmt w:val="decimal"/>
      <w:lvlText w:val=""/>
      <w:lvlJc w:val="left"/>
    </w:lvl>
    <w:lvl w:ilvl="4" w:tplc="D0DC0CA6">
      <w:numFmt w:val="decimal"/>
      <w:lvlText w:val=""/>
      <w:lvlJc w:val="left"/>
    </w:lvl>
    <w:lvl w:ilvl="5" w:tplc="B6EE60B8">
      <w:numFmt w:val="decimal"/>
      <w:lvlText w:val=""/>
      <w:lvlJc w:val="left"/>
    </w:lvl>
    <w:lvl w:ilvl="6" w:tplc="CB74951A">
      <w:numFmt w:val="decimal"/>
      <w:lvlText w:val=""/>
      <w:lvlJc w:val="left"/>
    </w:lvl>
    <w:lvl w:ilvl="7" w:tplc="89420BAC">
      <w:numFmt w:val="decimal"/>
      <w:lvlText w:val=""/>
      <w:lvlJc w:val="left"/>
    </w:lvl>
    <w:lvl w:ilvl="8" w:tplc="137E4932">
      <w:numFmt w:val="decimal"/>
      <w:lvlText w:val=""/>
      <w:lvlJc w:val="left"/>
    </w:lvl>
  </w:abstractNum>
  <w:abstractNum w:abstractNumId="279">
    <w:nsid w:val="5749361F"/>
    <w:multiLevelType w:val="hybridMultilevel"/>
    <w:tmpl w:val="88E8A7D2"/>
    <w:lvl w:ilvl="0" w:tplc="BA1AEA36">
      <w:start w:val="15"/>
      <w:numFmt w:val="lowerLetter"/>
      <w:lvlText w:val="%1"/>
      <w:lvlJc w:val="left"/>
    </w:lvl>
    <w:lvl w:ilvl="1" w:tplc="D80CC2C0">
      <w:numFmt w:val="decimal"/>
      <w:lvlText w:val=""/>
      <w:lvlJc w:val="left"/>
    </w:lvl>
    <w:lvl w:ilvl="2" w:tplc="FB96505E">
      <w:numFmt w:val="decimal"/>
      <w:lvlText w:val=""/>
      <w:lvlJc w:val="left"/>
    </w:lvl>
    <w:lvl w:ilvl="3" w:tplc="81B2F1DC">
      <w:numFmt w:val="decimal"/>
      <w:lvlText w:val=""/>
      <w:lvlJc w:val="left"/>
    </w:lvl>
    <w:lvl w:ilvl="4" w:tplc="31329440">
      <w:numFmt w:val="decimal"/>
      <w:lvlText w:val=""/>
      <w:lvlJc w:val="left"/>
    </w:lvl>
    <w:lvl w:ilvl="5" w:tplc="F39C3C6E">
      <w:numFmt w:val="decimal"/>
      <w:lvlText w:val=""/>
      <w:lvlJc w:val="left"/>
    </w:lvl>
    <w:lvl w:ilvl="6" w:tplc="926CA88C">
      <w:numFmt w:val="decimal"/>
      <w:lvlText w:val=""/>
      <w:lvlJc w:val="left"/>
    </w:lvl>
    <w:lvl w:ilvl="7" w:tplc="B628AF48">
      <w:numFmt w:val="decimal"/>
      <w:lvlText w:val=""/>
      <w:lvlJc w:val="left"/>
    </w:lvl>
    <w:lvl w:ilvl="8" w:tplc="02C8F44E">
      <w:numFmt w:val="decimal"/>
      <w:lvlText w:val=""/>
      <w:lvlJc w:val="left"/>
    </w:lvl>
  </w:abstractNum>
  <w:abstractNum w:abstractNumId="280">
    <w:nsid w:val="577F5A4D"/>
    <w:multiLevelType w:val="hybridMultilevel"/>
    <w:tmpl w:val="A3E8A764"/>
    <w:lvl w:ilvl="0" w:tplc="12E2C4A4">
      <w:start w:val="1"/>
      <w:numFmt w:val="bullet"/>
      <w:lvlText w:val="«"/>
      <w:lvlJc w:val="left"/>
    </w:lvl>
    <w:lvl w:ilvl="1" w:tplc="664043F4">
      <w:start w:val="1"/>
      <w:numFmt w:val="bullet"/>
      <w:lvlText w:val=""/>
      <w:lvlJc w:val="left"/>
    </w:lvl>
    <w:lvl w:ilvl="2" w:tplc="3F4EDD1C">
      <w:numFmt w:val="decimal"/>
      <w:lvlText w:val=""/>
      <w:lvlJc w:val="left"/>
    </w:lvl>
    <w:lvl w:ilvl="3" w:tplc="3156408A">
      <w:numFmt w:val="decimal"/>
      <w:lvlText w:val=""/>
      <w:lvlJc w:val="left"/>
    </w:lvl>
    <w:lvl w:ilvl="4" w:tplc="7FCC4648">
      <w:numFmt w:val="decimal"/>
      <w:lvlText w:val=""/>
      <w:lvlJc w:val="left"/>
    </w:lvl>
    <w:lvl w:ilvl="5" w:tplc="A9A24980">
      <w:numFmt w:val="decimal"/>
      <w:lvlText w:val=""/>
      <w:lvlJc w:val="left"/>
    </w:lvl>
    <w:lvl w:ilvl="6" w:tplc="0400CADC">
      <w:numFmt w:val="decimal"/>
      <w:lvlText w:val=""/>
      <w:lvlJc w:val="left"/>
    </w:lvl>
    <w:lvl w:ilvl="7" w:tplc="E5626AA6">
      <w:numFmt w:val="decimal"/>
      <w:lvlText w:val=""/>
      <w:lvlJc w:val="left"/>
    </w:lvl>
    <w:lvl w:ilvl="8" w:tplc="CF36EED2">
      <w:numFmt w:val="decimal"/>
      <w:lvlText w:val=""/>
      <w:lvlJc w:val="left"/>
    </w:lvl>
  </w:abstractNum>
  <w:abstractNum w:abstractNumId="281">
    <w:nsid w:val="57C5BB4F"/>
    <w:multiLevelType w:val="hybridMultilevel"/>
    <w:tmpl w:val="9FD684E0"/>
    <w:lvl w:ilvl="0" w:tplc="0A3CFFA6">
      <w:start w:val="1"/>
      <w:numFmt w:val="bullet"/>
      <w:lvlText w:val="«"/>
      <w:lvlJc w:val="left"/>
    </w:lvl>
    <w:lvl w:ilvl="1" w:tplc="1C5C3866">
      <w:start w:val="1"/>
      <w:numFmt w:val="bullet"/>
      <w:lvlText w:val=""/>
      <w:lvlJc w:val="left"/>
    </w:lvl>
    <w:lvl w:ilvl="2" w:tplc="23388806">
      <w:numFmt w:val="decimal"/>
      <w:lvlText w:val=""/>
      <w:lvlJc w:val="left"/>
    </w:lvl>
    <w:lvl w:ilvl="3" w:tplc="CEAADD06">
      <w:numFmt w:val="decimal"/>
      <w:lvlText w:val=""/>
      <w:lvlJc w:val="left"/>
    </w:lvl>
    <w:lvl w:ilvl="4" w:tplc="B7CA6F76">
      <w:numFmt w:val="decimal"/>
      <w:lvlText w:val=""/>
      <w:lvlJc w:val="left"/>
    </w:lvl>
    <w:lvl w:ilvl="5" w:tplc="86F871C8">
      <w:numFmt w:val="decimal"/>
      <w:lvlText w:val=""/>
      <w:lvlJc w:val="left"/>
    </w:lvl>
    <w:lvl w:ilvl="6" w:tplc="9A567C56">
      <w:numFmt w:val="decimal"/>
      <w:lvlText w:val=""/>
      <w:lvlJc w:val="left"/>
    </w:lvl>
    <w:lvl w:ilvl="7" w:tplc="75A48328">
      <w:numFmt w:val="decimal"/>
      <w:lvlText w:val=""/>
      <w:lvlJc w:val="left"/>
    </w:lvl>
    <w:lvl w:ilvl="8" w:tplc="26BA378E">
      <w:numFmt w:val="decimal"/>
      <w:lvlText w:val=""/>
      <w:lvlJc w:val="left"/>
    </w:lvl>
  </w:abstractNum>
  <w:abstractNum w:abstractNumId="282">
    <w:nsid w:val="57CE66B4"/>
    <w:multiLevelType w:val="hybridMultilevel"/>
    <w:tmpl w:val="ABF447FA"/>
    <w:lvl w:ilvl="0" w:tplc="B35072AE">
      <w:start w:val="1"/>
      <w:numFmt w:val="bullet"/>
      <w:lvlText w:val=""/>
      <w:lvlJc w:val="left"/>
    </w:lvl>
    <w:lvl w:ilvl="1" w:tplc="DF6CE68E">
      <w:numFmt w:val="decimal"/>
      <w:lvlText w:val=""/>
      <w:lvlJc w:val="left"/>
    </w:lvl>
    <w:lvl w:ilvl="2" w:tplc="9612AF18">
      <w:numFmt w:val="decimal"/>
      <w:lvlText w:val=""/>
      <w:lvlJc w:val="left"/>
    </w:lvl>
    <w:lvl w:ilvl="3" w:tplc="BC3495CC">
      <w:numFmt w:val="decimal"/>
      <w:lvlText w:val=""/>
      <w:lvlJc w:val="left"/>
    </w:lvl>
    <w:lvl w:ilvl="4" w:tplc="275EAA34">
      <w:numFmt w:val="decimal"/>
      <w:lvlText w:val=""/>
      <w:lvlJc w:val="left"/>
    </w:lvl>
    <w:lvl w:ilvl="5" w:tplc="154C666E">
      <w:numFmt w:val="decimal"/>
      <w:lvlText w:val=""/>
      <w:lvlJc w:val="left"/>
    </w:lvl>
    <w:lvl w:ilvl="6" w:tplc="F170F1FE">
      <w:numFmt w:val="decimal"/>
      <w:lvlText w:val=""/>
      <w:lvlJc w:val="left"/>
    </w:lvl>
    <w:lvl w:ilvl="7" w:tplc="2B78F032">
      <w:numFmt w:val="decimal"/>
      <w:lvlText w:val=""/>
      <w:lvlJc w:val="left"/>
    </w:lvl>
    <w:lvl w:ilvl="8" w:tplc="4A667C2C">
      <w:numFmt w:val="decimal"/>
      <w:lvlText w:val=""/>
      <w:lvlJc w:val="left"/>
    </w:lvl>
  </w:abstractNum>
  <w:abstractNum w:abstractNumId="283">
    <w:nsid w:val="5953172F"/>
    <w:multiLevelType w:val="hybridMultilevel"/>
    <w:tmpl w:val="94DC3E0C"/>
    <w:lvl w:ilvl="0" w:tplc="E7AAE2A4">
      <w:start w:val="1"/>
      <w:numFmt w:val="bullet"/>
      <w:lvlText w:val=""/>
      <w:lvlJc w:val="left"/>
    </w:lvl>
    <w:lvl w:ilvl="1" w:tplc="450A0826">
      <w:start w:val="1"/>
      <w:numFmt w:val="bullet"/>
      <w:lvlText w:val=""/>
      <w:lvlJc w:val="left"/>
    </w:lvl>
    <w:lvl w:ilvl="2" w:tplc="0C5A5B12">
      <w:numFmt w:val="decimal"/>
      <w:lvlText w:val=""/>
      <w:lvlJc w:val="left"/>
    </w:lvl>
    <w:lvl w:ilvl="3" w:tplc="4410AFE8">
      <w:numFmt w:val="decimal"/>
      <w:lvlText w:val=""/>
      <w:lvlJc w:val="left"/>
    </w:lvl>
    <w:lvl w:ilvl="4" w:tplc="0B5E6FA2">
      <w:numFmt w:val="decimal"/>
      <w:lvlText w:val=""/>
      <w:lvlJc w:val="left"/>
    </w:lvl>
    <w:lvl w:ilvl="5" w:tplc="1E1ECC6C">
      <w:numFmt w:val="decimal"/>
      <w:lvlText w:val=""/>
      <w:lvlJc w:val="left"/>
    </w:lvl>
    <w:lvl w:ilvl="6" w:tplc="E48430D2">
      <w:numFmt w:val="decimal"/>
      <w:lvlText w:val=""/>
      <w:lvlJc w:val="left"/>
    </w:lvl>
    <w:lvl w:ilvl="7" w:tplc="726E4DE2">
      <w:numFmt w:val="decimal"/>
      <w:lvlText w:val=""/>
      <w:lvlJc w:val="left"/>
    </w:lvl>
    <w:lvl w:ilvl="8" w:tplc="43B4DA14">
      <w:numFmt w:val="decimal"/>
      <w:lvlText w:val=""/>
      <w:lvlJc w:val="left"/>
    </w:lvl>
  </w:abstractNum>
  <w:abstractNum w:abstractNumId="284">
    <w:nsid w:val="596F6D8A"/>
    <w:multiLevelType w:val="hybridMultilevel"/>
    <w:tmpl w:val="D1F43988"/>
    <w:lvl w:ilvl="0" w:tplc="7854C13A">
      <w:start w:val="1"/>
      <w:numFmt w:val="bullet"/>
      <w:lvlText w:val="«"/>
      <w:lvlJc w:val="left"/>
    </w:lvl>
    <w:lvl w:ilvl="1" w:tplc="67A8EED6">
      <w:numFmt w:val="decimal"/>
      <w:lvlText w:val=""/>
      <w:lvlJc w:val="left"/>
    </w:lvl>
    <w:lvl w:ilvl="2" w:tplc="3E8E264A">
      <w:numFmt w:val="decimal"/>
      <w:lvlText w:val=""/>
      <w:lvlJc w:val="left"/>
    </w:lvl>
    <w:lvl w:ilvl="3" w:tplc="3C7A9178">
      <w:numFmt w:val="decimal"/>
      <w:lvlText w:val=""/>
      <w:lvlJc w:val="left"/>
    </w:lvl>
    <w:lvl w:ilvl="4" w:tplc="1BE445C8">
      <w:numFmt w:val="decimal"/>
      <w:lvlText w:val=""/>
      <w:lvlJc w:val="left"/>
    </w:lvl>
    <w:lvl w:ilvl="5" w:tplc="54DA8DE8">
      <w:numFmt w:val="decimal"/>
      <w:lvlText w:val=""/>
      <w:lvlJc w:val="left"/>
    </w:lvl>
    <w:lvl w:ilvl="6" w:tplc="8A9A9FFE">
      <w:numFmt w:val="decimal"/>
      <w:lvlText w:val=""/>
      <w:lvlJc w:val="left"/>
    </w:lvl>
    <w:lvl w:ilvl="7" w:tplc="4754C3D2">
      <w:numFmt w:val="decimal"/>
      <w:lvlText w:val=""/>
      <w:lvlJc w:val="left"/>
    </w:lvl>
    <w:lvl w:ilvl="8" w:tplc="002E3AF8">
      <w:numFmt w:val="decimal"/>
      <w:lvlText w:val=""/>
      <w:lvlJc w:val="left"/>
    </w:lvl>
  </w:abstractNum>
  <w:abstractNum w:abstractNumId="285">
    <w:nsid w:val="5992A02E"/>
    <w:multiLevelType w:val="hybridMultilevel"/>
    <w:tmpl w:val="9AE4979A"/>
    <w:lvl w:ilvl="0" w:tplc="5A2A79DE">
      <w:start w:val="1"/>
      <w:numFmt w:val="bullet"/>
      <w:lvlText w:val=""/>
      <w:lvlJc w:val="left"/>
    </w:lvl>
    <w:lvl w:ilvl="1" w:tplc="9E8273A2">
      <w:numFmt w:val="decimal"/>
      <w:lvlText w:val=""/>
      <w:lvlJc w:val="left"/>
    </w:lvl>
    <w:lvl w:ilvl="2" w:tplc="83944B2E">
      <w:numFmt w:val="decimal"/>
      <w:lvlText w:val=""/>
      <w:lvlJc w:val="left"/>
    </w:lvl>
    <w:lvl w:ilvl="3" w:tplc="7A70959A">
      <w:numFmt w:val="decimal"/>
      <w:lvlText w:val=""/>
      <w:lvlJc w:val="left"/>
    </w:lvl>
    <w:lvl w:ilvl="4" w:tplc="C5D4D920">
      <w:numFmt w:val="decimal"/>
      <w:lvlText w:val=""/>
      <w:lvlJc w:val="left"/>
    </w:lvl>
    <w:lvl w:ilvl="5" w:tplc="4530B178">
      <w:numFmt w:val="decimal"/>
      <w:lvlText w:val=""/>
      <w:lvlJc w:val="left"/>
    </w:lvl>
    <w:lvl w:ilvl="6" w:tplc="C09E0762">
      <w:numFmt w:val="decimal"/>
      <w:lvlText w:val=""/>
      <w:lvlJc w:val="left"/>
    </w:lvl>
    <w:lvl w:ilvl="7" w:tplc="9A5077C2">
      <w:numFmt w:val="decimal"/>
      <w:lvlText w:val=""/>
      <w:lvlJc w:val="left"/>
    </w:lvl>
    <w:lvl w:ilvl="8" w:tplc="CEA8BBA6">
      <w:numFmt w:val="decimal"/>
      <w:lvlText w:val=""/>
      <w:lvlJc w:val="left"/>
    </w:lvl>
  </w:abstractNum>
  <w:abstractNum w:abstractNumId="286">
    <w:nsid w:val="59A377B6"/>
    <w:multiLevelType w:val="hybridMultilevel"/>
    <w:tmpl w:val="59824620"/>
    <w:lvl w:ilvl="0" w:tplc="87763ADA">
      <w:start w:val="6"/>
      <w:numFmt w:val="decimal"/>
      <w:lvlText w:val="%1)"/>
      <w:lvlJc w:val="left"/>
    </w:lvl>
    <w:lvl w:ilvl="1" w:tplc="34DAF32C">
      <w:numFmt w:val="decimal"/>
      <w:lvlText w:val=""/>
      <w:lvlJc w:val="left"/>
    </w:lvl>
    <w:lvl w:ilvl="2" w:tplc="621E8580">
      <w:numFmt w:val="decimal"/>
      <w:lvlText w:val=""/>
      <w:lvlJc w:val="left"/>
    </w:lvl>
    <w:lvl w:ilvl="3" w:tplc="07F0EF50">
      <w:numFmt w:val="decimal"/>
      <w:lvlText w:val=""/>
      <w:lvlJc w:val="left"/>
    </w:lvl>
    <w:lvl w:ilvl="4" w:tplc="64F0AB28">
      <w:numFmt w:val="decimal"/>
      <w:lvlText w:val=""/>
      <w:lvlJc w:val="left"/>
    </w:lvl>
    <w:lvl w:ilvl="5" w:tplc="C674F33E">
      <w:numFmt w:val="decimal"/>
      <w:lvlText w:val=""/>
      <w:lvlJc w:val="left"/>
    </w:lvl>
    <w:lvl w:ilvl="6" w:tplc="54362726">
      <w:numFmt w:val="decimal"/>
      <w:lvlText w:val=""/>
      <w:lvlJc w:val="left"/>
    </w:lvl>
    <w:lvl w:ilvl="7" w:tplc="4EC43898">
      <w:numFmt w:val="decimal"/>
      <w:lvlText w:val=""/>
      <w:lvlJc w:val="left"/>
    </w:lvl>
    <w:lvl w:ilvl="8" w:tplc="75C6A516">
      <w:numFmt w:val="decimal"/>
      <w:lvlText w:val=""/>
      <w:lvlJc w:val="left"/>
    </w:lvl>
  </w:abstractNum>
  <w:abstractNum w:abstractNumId="287">
    <w:nsid w:val="59B76E28"/>
    <w:multiLevelType w:val="hybridMultilevel"/>
    <w:tmpl w:val="EE8AD1B6"/>
    <w:lvl w:ilvl="0" w:tplc="C512DB76">
      <w:start w:val="15"/>
      <w:numFmt w:val="lowerLetter"/>
      <w:lvlText w:val="%1"/>
      <w:lvlJc w:val="left"/>
    </w:lvl>
    <w:lvl w:ilvl="1" w:tplc="DE3E7F98">
      <w:numFmt w:val="decimal"/>
      <w:lvlText w:val=""/>
      <w:lvlJc w:val="left"/>
    </w:lvl>
    <w:lvl w:ilvl="2" w:tplc="7858377A">
      <w:numFmt w:val="decimal"/>
      <w:lvlText w:val=""/>
      <w:lvlJc w:val="left"/>
    </w:lvl>
    <w:lvl w:ilvl="3" w:tplc="B56C9B48">
      <w:numFmt w:val="decimal"/>
      <w:lvlText w:val=""/>
      <w:lvlJc w:val="left"/>
    </w:lvl>
    <w:lvl w:ilvl="4" w:tplc="B5E6E21A">
      <w:numFmt w:val="decimal"/>
      <w:lvlText w:val=""/>
      <w:lvlJc w:val="left"/>
    </w:lvl>
    <w:lvl w:ilvl="5" w:tplc="B34E43D2">
      <w:numFmt w:val="decimal"/>
      <w:lvlText w:val=""/>
      <w:lvlJc w:val="left"/>
    </w:lvl>
    <w:lvl w:ilvl="6" w:tplc="448C2714">
      <w:numFmt w:val="decimal"/>
      <w:lvlText w:val=""/>
      <w:lvlJc w:val="left"/>
    </w:lvl>
    <w:lvl w:ilvl="7" w:tplc="9E1291DE">
      <w:numFmt w:val="decimal"/>
      <w:lvlText w:val=""/>
      <w:lvlJc w:val="left"/>
    </w:lvl>
    <w:lvl w:ilvl="8" w:tplc="9FC4B626">
      <w:numFmt w:val="decimal"/>
      <w:lvlText w:val=""/>
      <w:lvlJc w:val="left"/>
    </w:lvl>
  </w:abstractNum>
  <w:abstractNum w:abstractNumId="288">
    <w:nsid w:val="5A0201C7"/>
    <w:multiLevelType w:val="hybridMultilevel"/>
    <w:tmpl w:val="ED8003AE"/>
    <w:lvl w:ilvl="0" w:tplc="8752FA6C">
      <w:start w:val="1"/>
      <w:numFmt w:val="decimal"/>
      <w:lvlText w:val="%1"/>
      <w:lvlJc w:val="left"/>
    </w:lvl>
    <w:lvl w:ilvl="1" w:tplc="CDA26066">
      <w:numFmt w:val="decimal"/>
      <w:lvlText w:val=""/>
      <w:lvlJc w:val="left"/>
    </w:lvl>
    <w:lvl w:ilvl="2" w:tplc="90AA5166">
      <w:numFmt w:val="decimal"/>
      <w:lvlText w:val=""/>
      <w:lvlJc w:val="left"/>
    </w:lvl>
    <w:lvl w:ilvl="3" w:tplc="3A80A77E">
      <w:numFmt w:val="decimal"/>
      <w:lvlText w:val=""/>
      <w:lvlJc w:val="left"/>
    </w:lvl>
    <w:lvl w:ilvl="4" w:tplc="049E85EE">
      <w:numFmt w:val="decimal"/>
      <w:lvlText w:val=""/>
      <w:lvlJc w:val="left"/>
    </w:lvl>
    <w:lvl w:ilvl="5" w:tplc="66B4A34E">
      <w:numFmt w:val="decimal"/>
      <w:lvlText w:val=""/>
      <w:lvlJc w:val="left"/>
    </w:lvl>
    <w:lvl w:ilvl="6" w:tplc="827C5538">
      <w:numFmt w:val="decimal"/>
      <w:lvlText w:val=""/>
      <w:lvlJc w:val="left"/>
    </w:lvl>
    <w:lvl w:ilvl="7" w:tplc="B7E8CDBC">
      <w:numFmt w:val="decimal"/>
      <w:lvlText w:val=""/>
      <w:lvlJc w:val="left"/>
    </w:lvl>
    <w:lvl w:ilvl="8" w:tplc="2042C62E">
      <w:numFmt w:val="decimal"/>
      <w:lvlText w:val=""/>
      <w:lvlJc w:val="left"/>
    </w:lvl>
  </w:abstractNum>
  <w:abstractNum w:abstractNumId="289">
    <w:nsid w:val="5A606509"/>
    <w:multiLevelType w:val="hybridMultilevel"/>
    <w:tmpl w:val="E3A4BF30"/>
    <w:lvl w:ilvl="0" w:tplc="40FA2C52">
      <w:start w:val="1"/>
      <w:numFmt w:val="bullet"/>
      <w:lvlText w:val=""/>
      <w:lvlJc w:val="left"/>
    </w:lvl>
    <w:lvl w:ilvl="1" w:tplc="BCEAE56C">
      <w:numFmt w:val="decimal"/>
      <w:lvlText w:val=""/>
      <w:lvlJc w:val="left"/>
    </w:lvl>
    <w:lvl w:ilvl="2" w:tplc="20967A1C">
      <w:numFmt w:val="decimal"/>
      <w:lvlText w:val=""/>
      <w:lvlJc w:val="left"/>
    </w:lvl>
    <w:lvl w:ilvl="3" w:tplc="F134E920">
      <w:numFmt w:val="decimal"/>
      <w:lvlText w:val=""/>
      <w:lvlJc w:val="left"/>
    </w:lvl>
    <w:lvl w:ilvl="4" w:tplc="17161E50">
      <w:numFmt w:val="decimal"/>
      <w:lvlText w:val=""/>
      <w:lvlJc w:val="left"/>
    </w:lvl>
    <w:lvl w:ilvl="5" w:tplc="5CC69970">
      <w:numFmt w:val="decimal"/>
      <w:lvlText w:val=""/>
      <w:lvlJc w:val="left"/>
    </w:lvl>
    <w:lvl w:ilvl="6" w:tplc="F5D463BA">
      <w:numFmt w:val="decimal"/>
      <w:lvlText w:val=""/>
      <w:lvlJc w:val="left"/>
    </w:lvl>
    <w:lvl w:ilvl="7" w:tplc="3DEA8B62">
      <w:numFmt w:val="decimal"/>
      <w:lvlText w:val=""/>
      <w:lvlJc w:val="left"/>
    </w:lvl>
    <w:lvl w:ilvl="8" w:tplc="8EF4C35C">
      <w:numFmt w:val="decimal"/>
      <w:lvlText w:val=""/>
      <w:lvlJc w:val="left"/>
    </w:lvl>
  </w:abstractNum>
  <w:abstractNum w:abstractNumId="290">
    <w:nsid w:val="5AA8580E"/>
    <w:multiLevelType w:val="hybridMultilevel"/>
    <w:tmpl w:val="FFDC2670"/>
    <w:lvl w:ilvl="0" w:tplc="F614FD08">
      <w:start w:val="1"/>
      <w:numFmt w:val="bullet"/>
      <w:lvlText w:val=""/>
      <w:lvlJc w:val="left"/>
    </w:lvl>
    <w:lvl w:ilvl="1" w:tplc="DFF8D304">
      <w:numFmt w:val="decimal"/>
      <w:lvlText w:val=""/>
      <w:lvlJc w:val="left"/>
    </w:lvl>
    <w:lvl w:ilvl="2" w:tplc="D9448656">
      <w:numFmt w:val="decimal"/>
      <w:lvlText w:val=""/>
      <w:lvlJc w:val="left"/>
    </w:lvl>
    <w:lvl w:ilvl="3" w:tplc="261E9EA8">
      <w:numFmt w:val="decimal"/>
      <w:lvlText w:val=""/>
      <w:lvlJc w:val="left"/>
    </w:lvl>
    <w:lvl w:ilvl="4" w:tplc="115C59C2">
      <w:numFmt w:val="decimal"/>
      <w:lvlText w:val=""/>
      <w:lvlJc w:val="left"/>
    </w:lvl>
    <w:lvl w:ilvl="5" w:tplc="C55ABD04">
      <w:numFmt w:val="decimal"/>
      <w:lvlText w:val=""/>
      <w:lvlJc w:val="left"/>
    </w:lvl>
    <w:lvl w:ilvl="6" w:tplc="DFA40FD8">
      <w:numFmt w:val="decimal"/>
      <w:lvlText w:val=""/>
      <w:lvlJc w:val="left"/>
    </w:lvl>
    <w:lvl w:ilvl="7" w:tplc="484CF392">
      <w:numFmt w:val="decimal"/>
      <w:lvlText w:val=""/>
      <w:lvlJc w:val="left"/>
    </w:lvl>
    <w:lvl w:ilvl="8" w:tplc="DA6AA212">
      <w:numFmt w:val="decimal"/>
      <w:lvlText w:val=""/>
      <w:lvlJc w:val="left"/>
    </w:lvl>
  </w:abstractNum>
  <w:abstractNum w:abstractNumId="291">
    <w:nsid w:val="5B0DAD2A"/>
    <w:multiLevelType w:val="hybridMultilevel"/>
    <w:tmpl w:val="6DF0EB72"/>
    <w:lvl w:ilvl="0" w:tplc="2070F532">
      <w:start w:val="1"/>
      <w:numFmt w:val="bullet"/>
      <w:lvlText w:val=""/>
      <w:lvlJc w:val="left"/>
    </w:lvl>
    <w:lvl w:ilvl="1" w:tplc="0B3EC63E">
      <w:numFmt w:val="decimal"/>
      <w:lvlText w:val=""/>
      <w:lvlJc w:val="left"/>
    </w:lvl>
    <w:lvl w:ilvl="2" w:tplc="AD96F6E4">
      <w:numFmt w:val="decimal"/>
      <w:lvlText w:val=""/>
      <w:lvlJc w:val="left"/>
    </w:lvl>
    <w:lvl w:ilvl="3" w:tplc="30B03650">
      <w:numFmt w:val="decimal"/>
      <w:lvlText w:val=""/>
      <w:lvlJc w:val="left"/>
    </w:lvl>
    <w:lvl w:ilvl="4" w:tplc="2C006388">
      <w:numFmt w:val="decimal"/>
      <w:lvlText w:val=""/>
      <w:lvlJc w:val="left"/>
    </w:lvl>
    <w:lvl w:ilvl="5" w:tplc="D98EB696">
      <w:numFmt w:val="decimal"/>
      <w:lvlText w:val=""/>
      <w:lvlJc w:val="left"/>
    </w:lvl>
    <w:lvl w:ilvl="6" w:tplc="0E3C6700">
      <w:numFmt w:val="decimal"/>
      <w:lvlText w:val=""/>
      <w:lvlJc w:val="left"/>
    </w:lvl>
    <w:lvl w:ilvl="7" w:tplc="EDD6BB4A">
      <w:numFmt w:val="decimal"/>
      <w:lvlText w:val=""/>
      <w:lvlJc w:val="left"/>
    </w:lvl>
    <w:lvl w:ilvl="8" w:tplc="B6E4E86C">
      <w:numFmt w:val="decimal"/>
      <w:lvlText w:val=""/>
      <w:lvlJc w:val="left"/>
    </w:lvl>
  </w:abstractNum>
  <w:abstractNum w:abstractNumId="292">
    <w:nsid w:val="5BDA35D4"/>
    <w:multiLevelType w:val="hybridMultilevel"/>
    <w:tmpl w:val="CC321A5E"/>
    <w:lvl w:ilvl="0" w:tplc="CC8EEE1A">
      <w:start w:val="3"/>
      <w:numFmt w:val="lowerLetter"/>
      <w:lvlText w:val="%1)"/>
      <w:lvlJc w:val="left"/>
    </w:lvl>
    <w:lvl w:ilvl="1" w:tplc="FE34B37A">
      <w:numFmt w:val="decimal"/>
      <w:lvlText w:val=""/>
      <w:lvlJc w:val="left"/>
    </w:lvl>
    <w:lvl w:ilvl="2" w:tplc="C13E04EC">
      <w:numFmt w:val="decimal"/>
      <w:lvlText w:val=""/>
      <w:lvlJc w:val="left"/>
    </w:lvl>
    <w:lvl w:ilvl="3" w:tplc="0EF8AD38">
      <w:numFmt w:val="decimal"/>
      <w:lvlText w:val=""/>
      <w:lvlJc w:val="left"/>
    </w:lvl>
    <w:lvl w:ilvl="4" w:tplc="C354E47C">
      <w:numFmt w:val="decimal"/>
      <w:lvlText w:val=""/>
      <w:lvlJc w:val="left"/>
    </w:lvl>
    <w:lvl w:ilvl="5" w:tplc="0804F60C">
      <w:numFmt w:val="decimal"/>
      <w:lvlText w:val=""/>
      <w:lvlJc w:val="left"/>
    </w:lvl>
    <w:lvl w:ilvl="6" w:tplc="C3F2BB84">
      <w:numFmt w:val="decimal"/>
      <w:lvlText w:val=""/>
      <w:lvlJc w:val="left"/>
    </w:lvl>
    <w:lvl w:ilvl="7" w:tplc="4E4E6ED6">
      <w:numFmt w:val="decimal"/>
      <w:lvlText w:val=""/>
      <w:lvlJc w:val="left"/>
    </w:lvl>
    <w:lvl w:ilvl="8" w:tplc="83FCFB36">
      <w:numFmt w:val="decimal"/>
      <w:lvlText w:val=""/>
      <w:lvlJc w:val="left"/>
    </w:lvl>
  </w:abstractNum>
  <w:abstractNum w:abstractNumId="293">
    <w:nsid w:val="5BFD4210"/>
    <w:multiLevelType w:val="hybridMultilevel"/>
    <w:tmpl w:val="A46A0184"/>
    <w:lvl w:ilvl="0" w:tplc="954282EA">
      <w:start w:val="2"/>
      <w:numFmt w:val="decimal"/>
      <w:lvlText w:val="%1"/>
      <w:lvlJc w:val="left"/>
    </w:lvl>
    <w:lvl w:ilvl="1" w:tplc="B7526726">
      <w:numFmt w:val="decimal"/>
      <w:lvlText w:val=""/>
      <w:lvlJc w:val="left"/>
    </w:lvl>
    <w:lvl w:ilvl="2" w:tplc="78F4BFC4">
      <w:numFmt w:val="decimal"/>
      <w:lvlText w:val=""/>
      <w:lvlJc w:val="left"/>
    </w:lvl>
    <w:lvl w:ilvl="3" w:tplc="71BE1210">
      <w:numFmt w:val="decimal"/>
      <w:lvlText w:val=""/>
      <w:lvlJc w:val="left"/>
    </w:lvl>
    <w:lvl w:ilvl="4" w:tplc="3D94A094">
      <w:numFmt w:val="decimal"/>
      <w:lvlText w:val=""/>
      <w:lvlJc w:val="left"/>
    </w:lvl>
    <w:lvl w:ilvl="5" w:tplc="EDB268C6">
      <w:numFmt w:val="decimal"/>
      <w:lvlText w:val=""/>
      <w:lvlJc w:val="left"/>
    </w:lvl>
    <w:lvl w:ilvl="6" w:tplc="E98E6F1C">
      <w:numFmt w:val="decimal"/>
      <w:lvlText w:val=""/>
      <w:lvlJc w:val="left"/>
    </w:lvl>
    <w:lvl w:ilvl="7" w:tplc="E7704E24">
      <w:numFmt w:val="decimal"/>
      <w:lvlText w:val=""/>
      <w:lvlJc w:val="left"/>
    </w:lvl>
    <w:lvl w:ilvl="8" w:tplc="2ED892BE">
      <w:numFmt w:val="decimal"/>
      <w:lvlText w:val=""/>
      <w:lvlJc w:val="left"/>
    </w:lvl>
  </w:abstractNum>
  <w:abstractNum w:abstractNumId="294">
    <w:nsid w:val="5C03D76D"/>
    <w:multiLevelType w:val="hybridMultilevel"/>
    <w:tmpl w:val="C9987180"/>
    <w:lvl w:ilvl="0" w:tplc="A50C3212">
      <w:start w:val="1"/>
      <w:numFmt w:val="bullet"/>
      <w:lvlText w:val=""/>
      <w:lvlJc w:val="left"/>
    </w:lvl>
    <w:lvl w:ilvl="1" w:tplc="6AE0A97A">
      <w:numFmt w:val="decimal"/>
      <w:lvlText w:val=""/>
      <w:lvlJc w:val="left"/>
    </w:lvl>
    <w:lvl w:ilvl="2" w:tplc="51AC97C8">
      <w:numFmt w:val="decimal"/>
      <w:lvlText w:val=""/>
      <w:lvlJc w:val="left"/>
    </w:lvl>
    <w:lvl w:ilvl="3" w:tplc="79341FD8">
      <w:numFmt w:val="decimal"/>
      <w:lvlText w:val=""/>
      <w:lvlJc w:val="left"/>
    </w:lvl>
    <w:lvl w:ilvl="4" w:tplc="E8B03030">
      <w:numFmt w:val="decimal"/>
      <w:lvlText w:val=""/>
      <w:lvlJc w:val="left"/>
    </w:lvl>
    <w:lvl w:ilvl="5" w:tplc="0FDCB49E">
      <w:numFmt w:val="decimal"/>
      <w:lvlText w:val=""/>
      <w:lvlJc w:val="left"/>
    </w:lvl>
    <w:lvl w:ilvl="6" w:tplc="7EDEAFAE">
      <w:numFmt w:val="decimal"/>
      <w:lvlText w:val=""/>
      <w:lvlJc w:val="left"/>
    </w:lvl>
    <w:lvl w:ilvl="7" w:tplc="2826C628">
      <w:numFmt w:val="decimal"/>
      <w:lvlText w:val=""/>
      <w:lvlJc w:val="left"/>
    </w:lvl>
    <w:lvl w:ilvl="8" w:tplc="7D9E9596">
      <w:numFmt w:val="decimal"/>
      <w:lvlText w:val=""/>
      <w:lvlJc w:val="left"/>
    </w:lvl>
  </w:abstractNum>
  <w:abstractNum w:abstractNumId="295">
    <w:nsid w:val="5C17530C"/>
    <w:multiLevelType w:val="hybridMultilevel"/>
    <w:tmpl w:val="8F3A2582"/>
    <w:lvl w:ilvl="0" w:tplc="2E26C05A">
      <w:start w:val="1"/>
      <w:numFmt w:val="bullet"/>
      <w:lvlText w:val=""/>
      <w:lvlJc w:val="left"/>
    </w:lvl>
    <w:lvl w:ilvl="1" w:tplc="DEBC4D2A">
      <w:numFmt w:val="decimal"/>
      <w:lvlText w:val=""/>
      <w:lvlJc w:val="left"/>
    </w:lvl>
    <w:lvl w:ilvl="2" w:tplc="9E00E6EA">
      <w:numFmt w:val="decimal"/>
      <w:lvlText w:val=""/>
      <w:lvlJc w:val="left"/>
    </w:lvl>
    <w:lvl w:ilvl="3" w:tplc="4384AB34">
      <w:numFmt w:val="decimal"/>
      <w:lvlText w:val=""/>
      <w:lvlJc w:val="left"/>
    </w:lvl>
    <w:lvl w:ilvl="4" w:tplc="78EEB6D6">
      <w:numFmt w:val="decimal"/>
      <w:lvlText w:val=""/>
      <w:lvlJc w:val="left"/>
    </w:lvl>
    <w:lvl w:ilvl="5" w:tplc="A7887A3C">
      <w:numFmt w:val="decimal"/>
      <w:lvlText w:val=""/>
      <w:lvlJc w:val="left"/>
    </w:lvl>
    <w:lvl w:ilvl="6" w:tplc="EAD20252">
      <w:numFmt w:val="decimal"/>
      <w:lvlText w:val=""/>
      <w:lvlJc w:val="left"/>
    </w:lvl>
    <w:lvl w:ilvl="7" w:tplc="4C189FCE">
      <w:numFmt w:val="decimal"/>
      <w:lvlText w:val=""/>
      <w:lvlJc w:val="left"/>
    </w:lvl>
    <w:lvl w:ilvl="8" w:tplc="3FA4E630">
      <w:numFmt w:val="decimal"/>
      <w:lvlText w:val=""/>
      <w:lvlJc w:val="left"/>
    </w:lvl>
  </w:abstractNum>
  <w:abstractNum w:abstractNumId="296">
    <w:nsid w:val="5D5CE761"/>
    <w:multiLevelType w:val="hybridMultilevel"/>
    <w:tmpl w:val="34BA1A32"/>
    <w:lvl w:ilvl="0" w:tplc="6BEE00F0">
      <w:start w:val="1"/>
      <w:numFmt w:val="bullet"/>
      <w:lvlText w:val=""/>
      <w:lvlJc w:val="left"/>
    </w:lvl>
    <w:lvl w:ilvl="1" w:tplc="625E3F9E">
      <w:numFmt w:val="decimal"/>
      <w:lvlText w:val=""/>
      <w:lvlJc w:val="left"/>
    </w:lvl>
    <w:lvl w:ilvl="2" w:tplc="21D08A40">
      <w:numFmt w:val="decimal"/>
      <w:lvlText w:val=""/>
      <w:lvlJc w:val="left"/>
    </w:lvl>
    <w:lvl w:ilvl="3" w:tplc="50228848">
      <w:numFmt w:val="decimal"/>
      <w:lvlText w:val=""/>
      <w:lvlJc w:val="left"/>
    </w:lvl>
    <w:lvl w:ilvl="4" w:tplc="D02A7E68">
      <w:numFmt w:val="decimal"/>
      <w:lvlText w:val=""/>
      <w:lvlJc w:val="left"/>
    </w:lvl>
    <w:lvl w:ilvl="5" w:tplc="C570D3B6">
      <w:numFmt w:val="decimal"/>
      <w:lvlText w:val=""/>
      <w:lvlJc w:val="left"/>
    </w:lvl>
    <w:lvl w:ilvl="6" w:tplc="827A1B82">
      <w:numFmt w:val="decimal"/>
      <w:lvlText w:val=""/>
      <w:lvlJc w:val="left"/>
    </w:lvl>
    <w:lvl w:ilvl="7" w:tplc="D2A22D94">
      <w:numFmt w:val="decimal"/>
      <w:lvlText w:val=""/>
      <w:lvlJc w:val="left"/>
    </w:lvl>
    <w:lvl w:ilvl="8" w:tplc="DEE46A80">
      <w:numFmt w:val="decimal"/>
      <w:lvlText w:val=""/>
      <w:lvlJc w:val="left"/>
    </w:lvl>
  </w:abstractNum>
  <w:abstractNum w:abstractNumId="297">
    <w:nsid w:val="5E446208"/>
    <w:multiLevelType w:val="hybridMultilevel"/>
    <w:tmpl w:val="24D8B9A6"/>
    <w:lvl w:ilvl="0" w:tplc="83A48C90">
      <w:start w:val="15"/>
      <w:numFmt w:val="lowerLetter"/>
      <w:lvlText w:val="%1"/>
      <w:lvlJc w:val="left"/>
    </w:lvl>
    <w:lvl w:ilvl="1" w:tplc="E2BCE334">
      <w:start w:val="1"/>
      <w:numFmt w:val="bullet"/>
      <w:lvlText w:val=""/>
      <w:lvlJc w:val="left"/>
    </w:lvl>
    <w:lvl w:ilvl="2" w:tplc="EC3C5972">
      <w:numFmt w:val="decimal"/>
      <w:lvlText w:val=""/>
      <w:lvlJc w:val="left"/>
    </w:lvl>
    <w:lvl w:ilvl="3" w:tplc="BF8AB7E2">
      <w:numFmt w:val="decimal"/>
      <w:lvlText w:val=""/>
      <w:lvlJc w:val="left"/>
    </w:lvl>
    <w:lvl w:ilvl="4" w:tplc="FAB249D8">
      <w:numFmt w:val="decimal"/>
      <w:lvlText w:val=""/>
      <w:lvlJc w:val="left"/>
    </w:lvl>
    <w:lvl w:ilvl="5" w:tplc="2FCCF1DA">
      <w:numFmt w:val="decimal"/>
      <w:lvlText w:val=""/>
      <w:lvlJc w:val="left"/>
    </w:lvl>
    <w:lvl w:ilvl="6" w:tplc="D9729E8E">
      <w:numFmt w:val="decimal"/>
      <w:lvlText w:val=""/>
      <w:lvlJc w:val="left"/>
    </w:lvl>
    <w:lvl w:ilvl="7" w:tplc="43BC03D2">
      <w:numFmt w:val="decimal"/>
      <w:lvlText w:val=""/>
      <w:lvlJc w:val="left"/>
    </w:lvl>
    <w:lvl w:ilvl="8" w:tplc="C966C2C6">
      <w:numFmt w:val="decimal"/>
      <w:lvlText w:val=""/>
      <w:lvlJc w:val="left"/>
    </w:lvl>
  </w:abstractNum>
  <w:abstractNum w:abstractNumId="298">
    <w:nsid w:val="5E4DB968"/>
    <w:multiLevelType w:val="hybridMultilevel"/>
    <w:tmpl w:val="F120F1AE"/>
    <w:lvl w:ilvl="0" w:tplc="44746D22">
      <w:start w:val="1"/>
      <w:numFmt w:val="bullet"/>
      <w:lvlText w:val="à"/>
      <w:lvlJc w:val="left"/>
    </w:lvl>
    <w:lvl w:ilvl="1" w:tplc="37541DFA">
      <w:numFmt w:val="decimal"/>
      <w:lvlText w:val=""/>
      <w:lvlJc w:val="left"/>
    </w:lvl>
    <w:lvl w:ilvl="2" w:tplc="59E65AFA">
      <w:numFmt w:val="decimal"/>
      <w:lvlText w:val=""/>
      <w:lvlJc w:val="left"/>
    </w:lvl>
    <w:lvl w:ilvl="3" w:tplc="888CC31A">
      <w:numFmt w:val="decimal"/>
      <w:lvlText w:val=""/>
      <w:lvlJc w:val="left"/>
    </w:lvl>
    <w:lvl w:ilvl="4" w:tplc="60C4CAD0">
      <w:numFmt w:val="decimal"/>
      <w:lvlText w:val=""/>
      <w:lvlJc w:val="left"/>
    </w:lvl>
    <w:lvl w:ilvl="5" w:tplc="0E42632C">
      <w:numFmt w:val="decimal"/>
      <w:lvlText w:val=""/>
      <w:lvlJc w:val="left"/>
    </w:lvl>
    <w:lvl w:ilvl="6" w:tplc="1480C0EA">
      <w:numFmt w:val="decimal"/>
      <w:lvlText w:val=""/>
      <w:lvlJc w:val="left"/>
    </w:lvl>
    <w:lvl w:ilvl="7" w:tplc="763A16EE">
      <w:numFmt w:val="decimal"/>
      <w:lvlText w:val=""/>
      <w:lvlJc w:val="left"/>
    </w:lvl>
    <w:lvl w:ilvl="8" w:tplc="1D42D5D2">
      <w:numFmt w:val="decimal"/>
      <w:lvlText w:val=""/>
      <w:lvlJc w:val="left"/>
    </w:lvl>
  </w:abstractNum>
  <w:abstractNum w:abstractNumId="299">
    <w:nsid w:val="5E636063"/>
    <w:multiLevelType w:val="hybridMultilevel"/>
    <w:tmpl w:val="46BAC066"/>
    <w:lvl w:ilvl="0" w:tplc="8CF8685E">
      <w:start w:val="1"/>
      <w:numFmt w:val="bullet"/>
      <w:lvlText w:val=""/>
      <w:lvlJc w:val="left"/>
    </w:lvl>
    <w:lvl w:ilvl="1" w:tplc="4A6473BC">
      <w:numFmt w:val="decimal"/>
      <w:lvlText w:val=""/>
      <w:lvlJc w:val="left"/>
    </w:lvl>
    <w:lvl w:ilvl="2" w:tplc="7B9696FC">
      <w:numFmt w:val="decimal"/>
      <w:lvlText w:val=""/>
      <w:lvlJc w:val="left"/>
    </w:lvl>
    <w:lvl w:ilvl="3" w:tplc="E2BE1786">
      <w:numFmt w:val="decimal"/>
      <w:lvlText w:val=""/>
      <w:lvlJc w:val="left"/>
    </w:lvl>
    <w:lvl w:ilvl="4" w:tplc="B1B4BE34">
      <w:numFmt w:val="decimal"/>
      <w:lvlText w:val=""/>
      <w:lvlJc w:val="left"/>
    </w:lvl>
    <w:lvl w:ilvl="5" w:tplc="6818CD0A">
      <w:numFmt w:val="decimal"/>
      <w:lvlText w:val=""/>
      <w:lvlJc w:val="left"/>
    </w:lvl>
    <w:lvl w:ilvl="6" w:tplc="B4C6BE16">
      <w:numFmt w:val="decimal"/>
      <w:lvlText w:val=""/>
      <w:lvlJc w:val="left"/>
    </w:lvl>
    <w:lvl w:ilvl="7" w:tplc="FBF6C994">
      <w:numFmt w:val="decimal"/>
      <w:lvlText w:val=""/>
      <w:lvlJc w:val="left"/>
    </w:lvl>
    <w:lvl w:ilvl="8" w:tplc="E29ACE64">
      <w:numFmt w:val="decimal"/>
      <w:lvlText w:val=""/>
      <w:lvlJc w:val="left"/>
    </w:lvl>
  </w:abstractNum>
  <w:abstractNum w:abstractNumId="300">
    <w:nsid w:val="5E74C4D9"/>
    <w:multiLevelType w:val="hybridMultilevel"/>
    <w:tmpl w:val="CE5E9CEA"/>
    <w:lvl w:ilvl="0" w:tplc="37307DB0">
      <w:start w:val="1"/>
      <w:numFmt w:val="bullet"/>
      <w:lvlText w:val="à"/>
      <w:lvlJc w:val="left"/>
    </w:lvl>
    <w:lvl w:ilvl="1" w:tplc="464C5858">
      <w:numFmt w:val="decimal"/>
      <w:lvlText w:val=""/>
      <w:lvlJc w:val="left"/>
    </w:lvl>
    <w:lvl w:ilvl="2" w:tplc="AA728246">
      <w:numFmt w:val="decimal"/>
      <w:lvlText w:val=""/>
      <w:lvlJc w:val="left"/>
    </w:lvl>
    <w:lvl w:ilvl="3" w:tplc="5966FF36">
      <w:numFmt w:val="decimal"/>
      <w:lvlText w:val=""/>
      <w:lvlJc w:val="left"/>
    </w:lvl>
    <w:lvl w:ilvl="4" w:tplc="56846176">
      <w:numFmt w:val="decimal"/>
      <w:lvlText w:val=""/>
      <w:lvlJc w:val="left"/>
    </w:lvl>
    <w:lvl w:ilvl="5" w:tplc="85E64F26">
      <w:numFmt w:val="decimal"/>
      <w:lvlText w:val=""/>
      <w:lvlJc w:val="left"/>
    </w:lvl>
    <w:lvl w:ilvl="6" w:tplc="E564D712">
      <w:numFmt w:val="decimal"/>
      <w:lvlText w:val=""/>
      <w:lvlJc w:val="left"/>
    </w:lvl>
    <w:lvl w:ilvl="7" w:tplc="767CFD4C">
      <w:numFmt w:val="decimal"/>
      <w:lvlText w:val=""/>
      <w:lvlJc w:val="left"/>
    </w:lvl>
    <w:lvl w:ilvl="8" w:tplc="E96C98C6">
      <w:numFmt w:val="decimal"/>
      <w:lvlText w:val=""/>
      <w:lvlJc w:val="left"/>
    </w:lvl>
  </w:abstractNum>
  <w:abstractNum w:abstractNumId="301">
    <w:nsid w:val="5E963896"/>
    <w:multiLevelType w:val="hybridMultilevel"/>
    <w:tmpl w:val="64D8146C"/>
    <w:lvl w:ilvl="0" w:tplc="DE52A27A">
      <w:start w:val="1"/>
      <w:numFmt w:val="bullet"/>
      <w:lvlText w:val=""/>
      <w:lvlJc w:val="left"/>
    </w:lvl>
    <w:lvl w:ilvl="1" w:tplc="A3FA5466">
      <w:numFmt w:val="decimal"/>
      <w:lvlText w:val=""/>
      <w:lvlJc w:val="left"/>
    </w:lvl>
    <w:lvl w:ilvl="2" w:tplc="2820C362">
      <w:numFmt w:val="decimal"/>
      <w:lvlText w:val=""/>
      <w:lvlJc w:val="left"/>
    </w:lvl>
    <w:lvl w:ilvl="3" w:tplc="1562B860">
      <w:numFmt w:val="decimal"/>
      <w:lvlText w:val=""/>
      <w:lvlJc w:val="left"/>
    </w:lvl>
    <w:lvl w:ilvl="4" w:tplc="A868293E">
      <w:numFmt w:val="decimal"/>
      <w:lvlText w:val=""/>
      <w:lvlJc w:val="left"/>
    </w:lvl>
    <w:lvl w:ilvl="5" w:tplc="8C6ED256">
      <w:numFmt w:val="decimal"/>
      <w:lvlText w:val=""/>
      <w:lvlJc w:val="left"/>
    </w:lvl>
    <w:lvl w:ilvl="6" w:tplc="DAE0725C">
      <w:numFmt w:val="decimal"/>
      <w:lvlText w:val=""/>
      <w:lvlJc w:val="left"/>
    </w:lvl>
    <w:lvl w:ilvl="7" w:tplc="D6147756">
      <w:numFmt w:val="decimal"/>
      <w:lvlText w:val=""/>
      <w:lvlJc w:val="left"/>
    </w:lvl>
    <w:lvl w:ilvl="8" w:tplc="9C643324">
      <w:numFmt w:val="decimal"/>
      <w:lvlText w:val=""/>
      <w:lvlJc w:val="left"/>
    </w:lvl>
  </w:abstractNum>
  <w:abstractNum w:abstractNumId="302">
    <w:nsid w:val="5F3272DB"/>
    <w:multiLevelType w:val="hybridMultilevel"/>
    <w:tmpl w:val="AA2CDA4C"/>
    <w:lvl w:ilvl="0" w:tplc="24F2E462">
      <w:start w:val="1"/>
      <w:numFmt w:val="bullet"/>
      <w:lvlText w:val=""/>
      <w:lvlJc w:val="left"/>
    </w:lvl>
    <w:lvl w:ilvl="1" w:tplc="3E26817A">
      <w:numFmt w:val="decimal"/>
      <w:lvlText w:val=""/>
      <w:lvlJc w:val="left"/>
    </w:lvl>
    <w:lvl w:ilvl="2" w:tplc="CE682112">
      <w:numFmt w:val="decimal"/>
      <w:lvlText w:val=""/>
      <w:lvlJc w:val="left"/>
    </w:lvl>
    <w:lvl w:ilvl="3" w:tplc="0672ACFE">
      <w:numFmt w:val="decimal"/>
      <w:lvlText w:val=""/>
      <w:lvlJc w:val="left"/>
    </w:lvl>
    <w:lvl w:ilvl="4" w:tplc="3F121668">
      <w:numFmt w:val="decimal"/>
      <w:lvlText w:val=""/>
      <w:lvlJc w:val="left"/>
    </w:lvl>
    <w:lvl w:ilvl="5" w:tplc="06124556">
      <w:numFmt w:val="decimal"/>
      <w:lvlText w:val=""/>
      <w:lvlJc w:val="left"/>
    </w:lvl>
    <w:lvl w:ilvl="6" w:tplc="6374D684">
      <w:numFmt w:val="decimal"/>
      <w:lvlText w:val=""/>
      <w:lvlJc w:val="left"/>
    </w:lvl>
    <w:lvl w:ilvl="7" w:tplc="0E6A6884">
      <w:numFmt w:val="decimal"/>
      <w:lvlText w:val=""/>
      <w:lvlJc w:val="left"/>
    </w:lvl>
    <w:lvl w:ilvl="8" w:tplc="FF04D2C4">
      <w:numFmt w:val="decimal"/>
      <w:lvlText w:val=""/>
      <w:lvlJc w:val="left"/>
    </w:lvl>
  </w:abstractNum>
  <w:abstractNum w:abstractNumId="303">
    <w:nsid w:val="5F94DC03"/>
    <w:multiLevelType w:val="hybridMultilevel"/>
    <w:tmpl w:val="64EE6FB2"/>
    <w:lvl w:ilvl="0" w:tplc="6D665F54">
      <w:start w:val="15"/>
      <w:numFmt w:val="lowerLetter"/>
      <w:lvlText w:val="%1"/>
      <w:lvlJc w:val="left"/>
    </w:lvl>
    <w:lvl w:ilvl="1" w:tplc="986C12EA">
      <w:numFmt w:val="decimal"/>
      <w:lvlText w:val=""/>
      <w:lvlJc w:val="left"/>
    </w:lvl>
    <w:lvl w:ilvl="2" w:tplc="177EB9D6">
      <w:numFmt w:val="decimal"/>
      <w:lvlText w:val=""/>
      <w:lvlJc w:val="left"/>
    </w:lvl>
    <w:lvl w:ilvl="3" w:tplc="B846D34A">
      <w:numFmt w:val="decimal"/>
      <w:lvlText w:val=""/>
      <w:lvlJc w:val="left"/>
    </w:lvl>
    <w:lvl w:ilvl="4" w:tplc="5BB808D6">
      <w:numFmt w:val="decimal"/>
      <w:lvlText w:val=""/>
      <w:lvlJc w:val="left"/>
    </w:lvl>
    <w:lvl w:ilvl="5" w:tplc="55FC1BF2">
      <w:numFmt w:val="decimal"/>
      <w:lvlText w:val=""/>
      <w:lvlJc w:val="left"/>
    </w:lvl>
    <w:lvl w:ilvl="6" w:tplc="62B2DFD2">
      <w:numFmt w:val="decimal"/>
      <w:lvlText w:val=""/>
      <w:lvlJc w:val="left"/>
    </w:lvl>
    <w:lvl w:ilvl="7" w:tplc="143214B2">
      <w:numFmt w:val="decimal"/>
      <w:lvlText w:val=""/>
      <w:lvlJc w:val="left"/>
    </w:lvl>
    <w:lvl w:ilvl="8" w:tplc="3E9C50E6">
      <w:numFmt w:val="decimal"/>
      <w:lvlText w:val=""/>
      <w:lvlJc w:val="left"/>
    </w:lvl>
  </w:abstractNum>
  <w:abstractNum w:abstractNumId="304">
    <w:nsid w:val="5FB29816"/>
    <w:multiLevelType w:val="hybridMultilevel"/>
    <w:tmpl w:val="B2EA3F28"/>
    <w:lvl w:ilvl="0" w:tplc="6C849122">
      <w:start w:val="1"/>
      <w:numFmt w:val="bullet"/>
      <w:lvlText w:val=""/>
      <w:lvlJc w:val="left"/>
    </w:lvl>
    <w:lvl w:ilvl="1" w:tplc="45788620">
      <w:numFmt w:val="decimal"/>
      <w:lvlText w:val=""/>
      <w:lvlJc w:val="left"/>
    </w:lvl>
    <w:lvl w:ilvl="2" w:tplc="FDB0EBDA">
      <w:numFmt w:val="decimal"/>
      <w:lvlText w:val=""/>
      <w:lvlJc w:val="left"/>
    </w:lvl>
    <w:lvl w:ilvl="3" w:tplc="9CF28534">
      <w:numFmt w:val="decimal"/>
      <w:lvlText w:val=""/>
      <w:lvlJc w:val="left"/>
    </w:lvl>
    <w:lvl w:ilvl="4" w:tplc="BCE09478">
      <w:numFmt w:val="decimal"/>
      <w:lvlText w:val=""/>
      <w:lvlJc w:val="left"/>
    </w:lvl>
    <w:lvl w:ilvl="5" w:tplc="41F6E91E">
      <w:numFmt w:val="decimal"/>
      <w:lvlText w:val=""/>
      <w:lvlJc w:val="left"/>
    </w:lvl>
    <w:lvl w:ilvl="6" w:tplc="D0B085FE">
      <w:numFmt w:val="decimal"/>
      <w:lvlText w:val=""/>
      <w:lvlJc w:val="left"/>
    </w:lvl>
    <w:lvl w:ilvl="7" w:tplc="F7EA501A">
      <w:numFmt w:val="decimal"/>
      <w:lvlText w:val=""/>
      <w:lvlJc w:val="left"/>
    </w:lvl>
    <w:lvl w:ilvl="8" w:tplc="5A48FB2C">
      <w:numFmt w:val="decimal"/>
      <w:lvlText w:val=""/>
      <w:lvlJc w:val="left"/>
    </w:lvl>
  </w:abstractNum>
  <w:abstractNum w:abstractNumId="305">
    <w:nsid w:val="605138DE"/>
    <w:multiLevelType w:val="hybridMultilevel"/>
    <w:tmpl w:val="255EE606"/>
    <w:lvl w:ilvl="0" w:tplc="272C12B2">
      <w:start w:val="64"/>
      <w:numFmt w:val="decimal"/>
      <w:lvlText w:val="%1"/>
      <w:lvlJc w:val="left"/>
    </w:lvl>
    <w:lvl w:ilvl="1" w:tplc="8B7EFF1E">
      <w:numFmt w:val="decimal"/>
      <w:lvlText w:val=""/>
      <w:lvlJc w:val="left"/>
    </w:lvl>
    <w:lvl w:ilvl="2" w:tplc="E2545D2E">
      <w:numFmt w:val="decimal"/>
      <w:lvlText w:val=""/>
      <w:lvlJc w:val="left"/>
    </w:lvl>
    <w:lvl w:ilvl="3" w:tplc="3804622A">
      <w:numFmt w:val="decimal"/>
      <w:lvlText w:val=""/>
      <w:lvlJc w:val="left"/>
    </w:lvl>
    <w:lvl w:ilvl="4" w:tplc="5630DEE2">
      <w:numFmt w:val="decimal"/>
      <w:lvlText w:val=""/>
      <w:lvlJc w:val="left"/>
    </w:lvl>
    <w:lvl w:ilvl="5" w:tplc="3344242E">
      <w:numFmt w:val="decimal"/>
      <w:lvlText w:val=""/>
      <w:lvlJc w:val="left"/>
    </w:lvl>
    <w:lvl w:ilvl="6" w:tplc="8476265A">
      <w:numFmt w:val="decimal"/>
      <w:lvlText w:val=""/>
      <w:lvlJc w:val="left"/>
    </w:lvl>
    <w:lvl w:ilvl="7" w:tplc="B3741186">
      <w:numFmt w:val="decimal"/>
      <w:lvlText w:val=""/>
      <w:lvlJc w:val="left"/>
    </w:lvl>
    <w:lvl w:ilvl="8" w:tplc="8FD2EB3A">
      <w:numFmt w:val="decimal"/>
      <w:lvlText w:val=""/>
      <w:lvlJc w:val="left"/>
    </w:lvl>
  </w:abstractNum>
  <w:abstractNum w:abstractNumId="306">
    <w:nsid w:val="606ED7F6"/>
    <w:multiLevelType w:val="hybridMultilevel"/>
    <w:tmpl w:val="80968774"/>
    <w:lvl w:ilvl="0" w:tplc="EA8EEA86">
      <w:start w:val="1"/>
      <w:numFmt w:val="bullet"/>
      <w:lvlText w:val=""/>
      <w:lvlJc w:val="left"/>
    </w:lvl>
    <w:lvl w:ilvl="1" w:tplc="959AA3BC">
      <w:numFmt w:val="decimal"/>
      <w:lvlText w:val=""/>
      <w:lvlJc w:val="left"/>
    </w:lvl>
    <w:lvl w:ilvl="2" w:tplc="13088DBC">
      <w:numFmt w:val="decimal"/>
      <w:lvlText w:val=""/>
      <w:lvlJc w:val="left"/>
    </w:lvl>
    <w:lvl w:ilvl="3" w:tplc="C7C09590">
      <w:numFmt w:val="decimal"/>
      <w:lvlText w:val=""/>
      <w:lvlJc w:val="left"/>
    </w:lvl>
    <w:lvl w:ilvl="4" w:tplc="5DDAEE3C">
      <w:numFmt w:val="decimal"/>
      <w:lvlText w:val=""/>
      <w:lvlJc w:val="left"/>
    </w:lvl>
    <w:lvl w:ilvl="5" w:tplc="231E9C60">
      <w:numFmt w:val="decimal"/>
      <w:lvlText w:val=""/>
      <w:lvlJc w:val="left"/>
    </w:lvl>
    <w:lvl w:ilvl="6" w:tplc="C032D276">
      <w:numFmt w:val="decimal"/>
      <w:lvlText w:val=""/>
      <w:lvlJc w:val="left"/>
    </w:lvl>
    <w:lvl w:ilvl="7" w:tplc="9FCA9E52">
      <w:numFmt w:val="decimal"/>
      <w:lvlText w:val=""/>
      <w:lvlJc w:val="left"/>
    </w:lvl>
    <w:lvl w:ilvl="8" w:tplc="57B4F23A">
      <w:numFmt w:val="decimal"/>
      <w:lvlText w:val=""/>
      <w:lvlJc w:val="left"/>
    </w:lvl>
  </w:abstractNum>
  <w:abstractNum w:abstractNumId="307">
    <w:nsid w:val="60EE9C16"/>
    <w:multiLevelType w:val="hybridMultilevel"/>
    <w:tmpl w:val="96F4A292"/>
    <w:lvl w:ilvl="0" w:tplc="68AE787E">
      <w:start w:val="1"/>
      <w:numFmt w:val="bullet"/>
      <w:lvlText w:val="-"/>
      <w:lvlJc w:val="left"/>
    </w:lvl>
    <w:lvl w:ilvl="1" w:tplc="DCEE5320">
      <w:numFmt w:val="decimal"/>
      <w:lvlText w:val=""/>
      <w:lvlJc w:val="left"/>
    </w:lvl>
    <w:lvl w:ilvl="2" w:tplc="8A36BC8C">
      <w:numFmt w:val="decimal"/>
      <w:lvlText w:val=""/>
      <w:lvlJc w:val="left"/>
    </w:lvl>
    <w:lvl w:ilvl="3" w:tplc="D654DA5C">
      <w:numFmt w:val="decimal"/>
      <w:lvlText w:val=""/>
      <w:lvlJc w:val="left"/>
    </w:lvl>
    <w:lvl w:ilvl="4" w:tplc="8A66EE32">
      <w:numFmt w:val="decimal"/>
      <w:lvlText w:val=""/>
      <w:lvlJc w:val="left"/>
    </w:lvl>
    <w:lvl w:ilvl="5" w:tplc="AD3E9CE0">
      <w:numFmt w:val="decimal"/>
      <w:lvlText w:val=""/>
      <w:lvlJc w:val="left"/>
    </w:lvl>
    <w:lvl w:ilvl="6" w:tplc="A6603B60">
      <w:numFmt w:val="decimal"/>
      <w:lvlText w:val=""/>
      <w:lvlJc w:val="left"/>
    </w:lvl>
    <w:lvl w:ilvl="7" w:tplc="2CC8595C">
      <w:numFmt w:val="decimal"/>
      <w:lvlText w:val=""/>
      <w:lvlJc w:val="left"/>
    </w:lvl>
    <w:lvl w:ilvl="8" w:tplc="90047C90">
      <w:numFmt w:val="decimal"/>
      <w:lvlText w:val=""/>
      <w:lvlJc w:val="left"/>
    </w:lvl>
  </w:abstractNum>
  <w:abstractNum w:abstractNumId="308">
    <w:nsid w:val="612DBDDD"/>
    <w:multiLevelType w:val="hybridMultilevel"/>
    <w:tmpl w:val="D1BEF3D4"/>
    <w:lvl w:ilvl="0" w:tplc="B50C1A12">
      <w:start w:val="1"/>
      <w:numFmt w:val="bullet"/>
      <w:lvlText w:val=""/>
      <w:lvlJc w:val="left"/>
    </w:lvl>
    <w:lvl w:ilvl="1" w:tplc="97D65108">
      <w:numFmt w:val="decimal"/>
      <w:lvlText w:val=""/>
      <w:lvlJc w:val="left"/>
    </w:lvl>
    <w:lvl w:ilvl="2" w:tplc="342CF7E8">
      <w:numFmt w:val="decimal"/>
      <w:lvlText w:val=""/>
      <w:lvlJc w:val="left"/>
    </w:lvl>
    <w:lvl w:ilvl="3" w:tplc="3B4C390E">
      <w:numFmt w:val="decimal"/>
      <w:lvlText w:val=""/>
      <w:lvlJc w:val="left"/>
    </w:lvl>
    <w:lvl w:ilvl="4" w:tplc="59B0496E">
      <w:numFmt w:val="decimal"/>
      <w:lvlText w:val=""/>
      <w:lvlJc w:val="left"/>
    </w:lvl>
    <w:lvl w:ilvl="5" w:tplc="761A1D8E">
      <w:numFmt w:val="decimal"/>
      <w:lvlText w:val=""/>
      <w:lvlJc w:val="left"/>
    </w:lvl>
    <w:lvl w:ilvl="6" w:tplc="1004DC32">
      <w:numFmt w:val="decimal"/>
      <w:lvlText w:val=""/>
      <w:lvlJc w:val="left"/>
    </w:lvl>
    <w:lvl w:ilvl="7" w:tplc="160A035A">
      <w:numFmt w:val="decimal"/>
      <w:lvlText w:val=""/>
      <w:lvlJc w:val="left"/>
    </w:lvl>
    <w:lvl w:ilvl="8" w:tplc="E224242E">
      <w:numFmt w:val="decimal"/>
      <w:lvlText w:val=""/>
      <w:lvlJc w:val="left"/>
    </w:lvl>
  </w:abstractNum>
  <w:abstractNum w:abstractNumId="309">
    <w:nsid w:val="613183F2"/>
    <w:multiLevelType w:val="hybridMultilevel"/>
    <w:tmpl w:val="86B8E94A"/>
    <w:lvl w:ilvl="0" w:tplc="4A0E67FA">
      <w:start w:val="1"/>
      <w:numFmt w:val="bullet"/>
      <w:lvlText w:val=""/>
      <w:lvlJc w:val="left"/>
    </w:lvl>
    <w:lvl w:ilvl="1" w:tplc="46BAB5E6">
      <w:numFmt w:val="decimal"/>
      <w:lvlText w:val=""/>
      <w:lvlJc w:val="left"/>
    </w:lvl>
    <w:lvl w:ilvl="2" w:tplc="C868E0CE">
      <w:numFmt w:val="decimal"/>
      <w:lvlText w:val=""/>
      <w:lvlJc w:val="left"/>
    </w:lvl>
    <w:lvl w:ilvl="3" w:tplc="FF46D6F6">
      <w:numFmt w:val="decimal"/>
      <w:lvlText w:val=""/>
      <w:lvlJc w:val="left"/>
    </w:lvl>
    <w:lvl w:ilvl="4" w:tplc="29AACDCA">
      <w:numFmt w:val="decimal"/>
      <w:lvlText w:val=""/>
      <w:lvlJc w:val="left"/>
    </w:lvl>
    <w:lvl w:ilvl="5" w:tplc="337ECE3E">
      <w:numFmt w:val="decimal"/>
      <w:lvlText w:val=""/>
      <w:lvlJc w:val="left"/>
    </w:lvl>
    <w:lvl w:ilvl="6" w:tplc="DE68D958">
      <w:numFmt w:val="decimal"/>
      <w:lvlText w:val=""/>
      <w:lvlJc w:val="left"/>
    </w:lvl>
    <w:lvl w:ilvl="7" w:tplc="B6B81E9C">
      <w:numFmt w:val="decimal"/>
      <w:lvlText w:val=""/>
      <w:lvlJc w:val="left"/>
    </w:lvl>
    <w:lvl w:ilvl="8" w:tplc="B8D8A98C">
      <w:numFmt w:val="decimal"/>
      <w:lvlText w:val=""/>
      <w:lvlJc w:val="left"/>
    </w:lvl>
  </w:abstractNum>
  <w:abstractNum w:abstractNumId="310">
    <w:nsid w:val="617C843E"/>
    <w:multiLevelType w:val="hybridMultilevel"/>
    <w:tmpl w:val="96E6721A"/>
    <w:lvl w:ilvl="0" w:tplc="D54432CC">
      <w:start w:val="1"/>
      <w:numFmt w:val="bullet"/>
      <w:lvlText w:val=""/>
      <w:lvlJc w:val="left"/>
    </w:lvl>
    <w:lvl w:ilvl="1" w:tplc="4A6A33FA">
      <w:numFmt w:val="decimal"/>
      <w:lvlText w:val=""/>
      <w:lvlJc w:val="left"/>
    </w:lvl>
    <w:lvl w:ilvl="2" w:tplc="60D08DF2">
      <w:numFmt w:val="decimal"/>
      <w:lvlText w:val=""/>
      <w:lvlJc w:val="left"/>
    </w:lvl>
    <w:lvl w:ilvl="3" w:tplc="F2821D12">
      <w:numFmt w:val="decimal"/>
      <w:lvlText w:val=""/>
      <w:lvlJc w:val="left"/>
    </w:lvl>
    <w:lvl w:ilvl="4" w:tplc="AD7E66CC">
      <w:numFmt w:val="decimal"/>
      <w:lvlText w:val=""/>
      <w:lvlJc w:val="left"/>
    </w:lvl>
    <w:lvl w:ilvl="5" w:tplc="2B5CF6AA">
      <w:numFmt w:val="decimal"/>
      <w:lvlText w:val=""/>
      <w:lvlJc w:val="left"/>
    </w:lvl>
    <w:lvl w:ilvl="6" w:tplc="94A63C56">
      <w:numFmt w:val="decimal"/>
      <w:lvlText w:val=""/>
      <w:lvlJc w:val="left"/>
    </w:lvl>
    <w:lvl w:ilvl="7" w:tplc="FD58D324">
      <w:numFmt w:val="decimal"/>
      <w:lvlText w:val=""/>
      <w:lvlJc w:val="left"/>
    </w:lvl>
    <w:lvl w:ilvl="8" w:tplc="8F9A707E">
      <w:numFmt w:val="decimal"/>
      <w:lvlText w:val=""/>
      <w:lvlJc w:val="left"/>
    </w:lvl>
  </w:abstractNum>
  <w:abstractNum w:abstractNumId="311">
    <w:nsid w:val="621AF471"/>
    <w:multiLevelType w:val="hybridMultilevel"/>
    <w:tmpl w:val="4262F5E4"/>
    <w:lvl w:ilvl="0" w:tplc="C5888BE4">
      <w:start w:val="1"/>
      <w:numFmt w:val="bullet"/>
      <w:lvlText w:val="«"/>
      <w:lvlJc w:val="left"/>
    </w:lvl>
    <w:lvl w:ilvl="1" w:tplc="2F8C8BB6">
      <w:numFmt w:val="decimal"/>
      <w:lvlText w:val=""/>
      <w:lvlJc w:val="left"/>
    </w:lvl>
    <w:lvl w:ilvl="2" w:tplc="6EB6A9BE">
      <w:numFmt w:val="decimal"/>
      <w:lvlText w:val=""/>
      <w:lvlJc w:val="left"/>
    </w:lvl>
    <w:lvl w:ilvl="3" w:tplc="5556207C">
      <w:numFmt w:val="decimal"/>
      <w:lvlText w:val=""/>
      <w:lvlJc w:val="left"/>
    </w:lvl>
    <w:lvl w:ilvl="4" w:tplc="91446F92">
      <w:numFmt w:val="decimal"/>
      <w:lvlText w:val=""/>
      <w:lvlJc w:val="left"/>
    </w:lvl>
    <w:lvl w:ilvl="5" w:tplc="A6EC3E3E">
      <w:numFmt w:val="decimal"/>
      <w:lvlText w:val=""/>
      <w:lvlJc w:val="left"/>
    </w:lvl>
    <w:lvl w:ilvl="6" w:tplc="268084EE">
      <w:numFmt w:val="decimal"/>
      <w:lvlText w:val=""/>
      <w:lvlJc w:val="left"/>
    </w:lvl>
    <w:lvl w:ilvl="7" w:tplc="00AC02E0">
      <w:numFmt w:val="decimal"/>
      <w:lvlText w:val=""/>
      <w:lvlJc w:val="left"/>
    </w:lvl>
    <w:lvl w:ilvl="8" w:tplc="8B34B70E">
      <w:numFmt w:val="decimal"/>
      <w:lvlText w:val=""/>
      <w:lvlJc w:val="left"/>
    </w:lvl>
  </w:abstractNum>
  <w:abstractNum w:abstractNumId="312">
    <w:nsid w:val="62234363"/>
    <w:multiLevelType w:val="hybridMultilevel"/>
    <w:tmpl w:val="FF6C9BC8"/>
    <w:lvl w:ilvl="0" w:tplc="B8D6A232">
      <w:start w:val="1"/>
      <w:numFmt w:val="bullet"/>
      <w:lvlText w:val=""/>
      <w:lvlJc w:val="left"/>
    </w:lvl>
    <w:lvl w:ilvl="1" w:tplc="D770954A">
      <w:numFmt w:val="decimal"/>
      <w:lvlText w:val=""/>
      <w:lvlJc w:val="left"/>
    </w:lvl>
    <w:lvl w:ilvl="2" w:tplc="C72801E2">
      <w:numFmt w:val="decimal"/>
      <w:lvlText w:val=""/>
      <w:lvlJc w:val="left"/>
    </w:lvl>
    <w:lvl w:ilvl="3" w:tplc="B7F26FF4">
      <w:numFmt w:val="decimal"/>
      <w:lvlText w:val=""/>
      <w:lvlJc w:val="left"/>
    </w:lvl>
    <w:lvl w:ilvl="4" w:tplc="3D02E398">
      <w:numFmt w:val="decimal"/>
      <w:lvlText w:val=""/>
      <w:lvlJc w:val="left"/>
    </w:lvl>
    <w:lvl w:ilvl="5" w:tplc="DB26E1EC">
      <w:numFmt w:val="decimal"/>
      <w:lvlText w:val=""/>
      <w:lvlJc w:val="left"/>
    </w:lvl>
    <w:lvl w:ilvl="6" w:tplc="C6369E96">
      <w:numFmt w:val="decimal"/>
      <w:lvlText w:val=""/>
      <w:lvlJc w:val="left"/>
    </w:lvl>
    <w:lvl w:ilvl="7" w:tplc="8C60E778">
      <w:numFmt w:val="decimal"/>
      <w:lvlText w:val=""/>
      <w:lvlJc w:val="left"/>
    </w:lvl>
    <w:lvl w:ilvl="8" w:tplc="942022EC">
      <w:numFmt w:val="decimal"/>
      <w:lvlText w:val=""/>
      <w:lvlJc w:val="left"/>
    </w:lvl>
  </w:abstractNum>
  <w:abstractNum w:abstractNumId="313">
    <w:nsid w:val="622D8102"/>
    <w:multiLevelType w:val="hybridMultilevel"/>
    <w:tmpl w:val="212E45C4"/>
    <w:lvl w:ilvl="0" w:tplc="D9425B68">
      <w:start w:val="18"/>
      <w:numFmt w:val="decimal"/>
      <w:lvlText w:val="%1"/>
      <w:lvlJc w:val="left"/>
    </w:lvl>
    <w:lvl w:ilvl="1" w:tplc="2FFEA9BA">
      <w:numFmt w:val="decimal"/>
      <w:lvlText w:val=""/>
      <w:lvlJc w:val="left"/>
    </w:lvl>
    <w:lvl w:ilvl="2" w:tplc="DF5697F8">
      <w:numFmt w:val="decimal"/>
      <w:lvlText w:val=""/>
      <w:lvlJc w:val="left"/>
    </w:lvl>
    <w:lvl w:ilvl="3" w:tplc="6BB0D4B4">
      <w:numFmt w:val="decimal"/>
      <w:lvlText w:val=""/>
      <w:lvlJc w:val="left"/>
    </w:lvl>
    <w:lvl w:ilvl="4" w:tplc="90269EC4">
      <w:numFmt w:val="decimal"/>
      <w:lvlText w:val=""/>
      <w:lvlJc w:val="left"/>
    </w:lvl>
    <w:lvl w:ilvl="5" w:tplc="346C5C68">
      <w:numFmt w:val="decimal"/>
      <w:lvlText w:val=""/>
      <w:lvlJc w:val="left"/>
    </w:lvl>
    <w:lvl w:ilvl="6" w:tplc="7F62537C">
      <w:numFmt w:val="decimal"/>
      <w:lvlText w:val=""/>
      <w:lvlJc w:val="left"/>
    </w:lvl>
    <w:lvl w:ilvl="7" w:tplc="3500B128">
      <w:numFmt w:val="decimal"/>
      <w:lvlText w:val=""/>
      <w:lvlJc w:val="left"/>
    </w:lvl>
    <w:lvl w:ilvl="8" w:tplc="CBA657F2">
      <w:numFmt w:val="decimal"/>
      <w:lvlText w:val=""/>
      <w:lvlJc w:val="left"/>
    </w:lvl>
  </w:abstractNum>
  <w:abstractNum w:abstractNumId="314">
    <w:nsid w:val="62A5D5BD"/>
    <w:multiLevelType w:val="hybridMultilevel"/>
    <w:tmpl w:val="BCF80404"/>
    <w:lvl w:ilvl="0" w:tplc="802A37E8">
      <w:start w:val="1"/>
      <w:numFmt w:val="decimal"/>
      <w:lvlText w:val="%1."/>
      <w:lvlJc w:val="left"/>
    </w:lvl>
    <w:lvl w:ilvl="1" w:tplc="247E6E82">
      <w:numFmt w:val="decimal"/>
      <w:lvlText w:val=""/>
      <w:lvlJc w:val="left"/>
    </w:lvl>
    <w:lvl w:ilvl="2" w:tplc="063C857A">
      <w:numFmt w:val="decimal"/>
      <w:lvlText w:val=""/>
      <w:lvlJc w:val="left"/>
    </w:lvl>
    <w:lvl w:ilvl="3" w:tplc="1FB2427C">
      <w:numFmt w:val="decimal"/>
      <w:lvlText w:val=""/>
      <w:lvlJc w:val="left"/>
    </w:lvl>
    <w:lvl w:ilvl="4" w:tplc="04CEB2E6">
      <w:numFmt w:val="decimal"/>
      <w:lvlText w:val=""/>
      <w:lvlJc w:val="left"/>
    </w:lvl>
    <w:lvl w:ilvl="5" w:tplc="CB6A4F82">
      <w:numFmt w:val="decimal"/>
      <w:lvlText w:val=""/>
      <w:lvlJc w:val="left"/>
    </w:lvl>
    <w:lvl w:ilvl="6" w:tplc="ABE4EB8C">
      <w:numFmt w:val="decimal"/>
      <w:lvlText w:val=""/>
      <w:lvlJc w:val="left"/>
    </w:lvl>
    <w:lvl w:ilvl="7" w:tplc="D8D290E4">
      <w:numFmt w:val="decimal"/>
      <w:lvlText w:val=""/>
      <w:lvlJc w:val="left"/>
    </w:lvl>
    <w:lvl w:ilvl="8" w:tplc="0DBC4250">
      <w:numFmt w:val="decimal"/>
      <w:lvlText w:val=""/>
      <w:lvlJc w:val="left"/>
    </w:lvl>
  </w:abstractNum>
  <w:abstractNum w:abstractNumId="315">
    <w:nsid w:val="634102B4"/>
    <w:multiLevelType w:val="hybridMultilevel"/>
    <w:tmpl w:val="DDEC579E"/>
    <w:lvl w:ilvl="0" w:tplc="E4C03528">
      <w:start w:val="1"/>
      <w:numFmt w:val="bullet"/>
      <w:lvlText w:val=""/>
      <w:lvlJc w:val="left"/>
    </w:lvl>
    <w:lvl w:ilvl="1" w:tplc="AFB8B7FE">
      <w:numFmt w:val="decimal"/>
      <w:lvlText w:val=""/>
      <w:lvlJc w:val="left"/>
    </w:lvl>
    <w:lvl w:ilvl="2" w:tplc="FC3638A6">
      <w:numFmt w:val="decimal"/>
      <w:lvlText w:val=""/>
      <w:lvlJc w:val="left"/>
    </w:lvl>
    <w:lvl w:ilvl="3" w:tplc="A872A8E8">
      <w:numFmt w:val="decimal"/>
      <w:lvlText w:val=""/>
      <w:lvlJc w:val="left"/>
    </w:lvl>
    <w:lvl w:ilvl="4" w:tplc="3DAAEDFC">
      <w:numFmt w:val="decimal"/>
      <w:lvlText w:val=""/>
      <w:lvlJc w:val="left"/>
    </w:lvl>
    <w:lvl w:ilvl="5" w:tplc="886AB9EE">
      <w:numFmt w:val="decimal"/>
      <w:lvlText w:val=""/>
      <w:lvlJc w:val="left"/>
    </w:lvl>
    <w:lvl w:ilvl="6" w:tplc="95B23202">
      <w:numFmt w:val="decimal"/>
      <w:lvlText w:val=""/>
      <w:lvlJc w:val="left"/>
    </w:lvl>
    <w:lvl w:ilvl="7" w:tplc="DE90E972">
      <w:numFmt w:val="decimal"/>
      <w:lvlText w:val=""/>
      <w:lvlJc w:val="left"/>
    </w:lvl>
    <w:lvl w:ilvl="8" w:tplc="434AD470">
      <w:numFmt w:val="decimal"/>
      <w:lvlText w:val=""/>
      <w:lvlJc w:val="left"/>
    </w:lvl>
  </w:abstractNum>
  <w:abstractNum w:abstractNumId="316">
    <w:nsid w:val="6385489E"/>
    <w:multiLevelType w:val="hybridMultilevel"/>
    <w:tmpl w:val="31CCD51A"/>
    <w:lvl w:ilvl="0" w:tplc="CFA6C098">
      <w:start w:val="1"/>
      <w:numFmt w:val="bullet"/>
      <w:lvlText w:val="«"/>
      <w:lvlJc w:val="left"/>
    </w:lvl>
    <w:lvl w:ilvl="1" w:tplc="151E8446">
      <w:numFmt w:val="decimal"/>
      <w:lvlText w:val=""/>
      <w:lvlJc w:val="left"/>
    </w:lvl>
    <w:lvl w:ilvl="2" w:tplc="0478EEB6">
      <w:numFmt w:val="decimal"/>
      <w:lvlText w:val=""/>
      <w:lvlJc w:val="left"/>
    </w:lvl>
    <w:lvl w:ilvl="3" w:tplc="712E695E">
      <w:numFmt w:val="decimal"/>
      <w:lvlText w:val=""/>
      <w:lvlJc w:val="left"/>
    </w:lvl>
    <w:lvl w:ilvl="4" w:tplc="BA583C7C">
      <w:numFmt w:val="decimal"/>
      <w:lvlText w:val=""/>
      <w:lvlJc w:val="left"/>
    </w:lvl>
    <w:lvl w:ilvl="5" w:tplc="E6AAC6A4">
      <w:numFmt w:val="decimal"/>
      <w:lvlText w:val=""/>
      <w:lvlJc w:val="left"/>
    </w:lvl>
    <w:lvl w:ilvl="6" w:tplc="29422BBC">
      <w:numFmt w:val="decimal"/>
      <w:lvlText w:val=""/>
      <w:lvlJc w:val="left"/>
    </w:lvl>
    <w:lvl w:ilvl="7" w:tplc="41B652E6">
      <w:numFmt w:val="decimal"/>
      <w:lvlText w:val=""/>
      <w:lvlJc w:val="left"/>
    </w:lvl>
    <w:lvl w:ilvl="8" w:tplc="9804533A">
      <w:numFmt w:val="decimal"/>
      <w:lvlText w:val=""/>
      <w:lvlJc w:val="left"/>
    </w:lvl>
  </w:abstractNum>
  <w:abstractNum w:abstractNumId="317">
    <w:nsid w:val="639DEFAC"/>
    <w:multiLevelType w:val="hybridMultilevel"/>
    <w:tmpl w:val="1FF69158"/>
    <w:lvl w:ilvl="0" w:tplc="7C264268">
      <w:start w:val="1"/>
      <w:numFmt w:val="bullet"/>
      <w:lvlText w:val="-"/>
      <w:lvlJc w:val="left"/>
    </w:lvl>
    <w:lvl w:ilvl="1" w:tplc="22B4A440">
      <w:numFmt w:val="decimal"/>
      <w:lvlText w:val=""/>
      <w:lvlJc w:val="left"/>
    </w:lvl>
    <w:lvl w:ilvl="2" w:tplc="BE36BC6C">
      <w:numFmt w:val="decimal"/>
      <w:lvlText w:val=""/>
      <w:lvlJc w:val="left"/>
    </w:lvl>
    <w:lvl w:ilvl="3" w:tplc="2A542004">
      <w:numFmt w:val="decimal"/>
      <w:lvlText w:val=""/>
      <w:lvlJc w:val="left"/>
    </w:lvl>
    <w:lvl w:ilvl="4" w:tplc="BAE2F30A">
      <w:numFmt w:val="decimal"/>
      <w:lvlText w:val=""/>
      <w:lvlJc w:val="left"/>
    </w:lvl>
    <w:lvl w:ilvl="5" w:tplc="89B2ED06">
      <w:numFmt w:val="decimal"/>
      <w:lvlText w:val=""/>
      <w:lvlJc w:val="left"/>
    </w:lvl>
    <w:lvl w:ilvl="6" w:tplc="B5840E0C">
      <w:numFmt w:val="decimal"/>
      <w:lvlText w:val=""/>
      <w:lvlJc w:val="left"/>
    </w:lvl>
    <w:lvl w:ilvl="7" w:tplc="29A04A02">
      <w:numFmt w:val="decimal"/>
      <w:lvlText w:val=""/>
      <w:lvlJc w:val="left"/>
    </w:lvl>
    <w:lvl w:ilvl="8" w:tplc="B4849B44">
      <w:numFmt w:val="decimal"/>
      <w:lvlText w:val=""/>
      <w:lvlJc w:val="left"/>
    </w:lvl>
  </w:abstractNum>
  <w:abstractNum w:abstractNumId="318">
    <w:nsid w:val="63DE60CD"/>
    <w:multiLevelType w:val="hybridMultilevel"/>
    <w:tmpl w:val="9A123E22"/>
    <w:lvl w:ilvl="0" w:tplc="17825398">
      <w:start w:val="1"/>
      <w:numFmt w:val="bullet"/>
      <w:lvlText w:val=""/>
      <w:lvlJc w:val="left"/>
    </w:lvl>
    <w:lvl w:ilvl="1" w:tplc="876CBB74">
      <w:numFmt w:val="decimal"/>
      <w:lvlText w:val=""/>
      <w:lvlJc w:val="left"/>
    </w:lvl>
    <w:lvl w:ilvl="2" w:tplc="CE007B6C">
      <w:numFmt w:val="decimal"/>
      <w:lvlText w:val=""/>
      <w:lvlJc w:val="left"/>
    </w:lvl>
    <w:lvl w:ilvl="3" w:tplc="4F54DBF0">
      <w:numFmt w:val="decimal"/>
      <w:lvlText w:val=""/>
      <w:lvlJc w:val="left"/>
    </w:lvl>
    <w:lvl w:ilvl="4" w:tplc="1FAA25EE">
      <w:numFmt w:val="decimal"/>
      <w:lvlText w:val=""/>
      <w:lvlJc w:val="left"/>
    </w:lvl>
    <w:lvl w:ilvl="5" w:tplc="68DEA330">
      <w:numFmt w:val="decimal"/>
      <w:lvlText w:val=""/>
      <w:lvlJc w:val="left"/>
    </w:lvl>
    <w:lvl w:ilvl="6" w:tplc="0BD0716C">
      <w:numFmt w:val="decimal"/>
      <w:lvlText w:val=""/>
      <w:lvlJc w:val="left"/>
    </w:lvl>
    <w:lvl w:ilvl="7" w:tplc="C7D240BA">
      <w:numFmt w:val="decimal"/>
      <w:lvlText w:val=""/>
      <w:lvlJc w:val="left"/>
    </w:lvl>
    <w:lvl w:ilvl="8" w:tplc="6C186E2E">
      <w:numFmt w:val="decimal"/>
      <w:lvlText w:val=""/>
      <w:lvlJc w:val="left"/>
    </w:lvl>
  </w:abstractNum>
  <w:abstractNum w:abstractNumId="319">
    <w:nsid w:val="64212B8C"/>
    <w:multiLevelType w:val="hybridMultilevel"/>
    <w:tmpl w:val="2F38BEFC"/>
    <w:lvl w:ilvl="0" w:tplc="6DA837DE">
      <w:start w:val="1"/>
      <w:numFmt w:val="bullet"/>
      <w:lvlText w:val="«"/>
      <w:lvlJc w:val="left"/>
    </w:lvl>
    <w:lvl w:ilvl="1" w:tplc="A7EC7A36">
      <w:start w:val="1"/>
      <w:numFmt w:val="bullet"/>
      <w:lvlText w:val=""/>
      <w:lvlJc w:val="left"/>
    </w:lvl>
    <w:lvl w:ilvl="2" w:tplc="DDDE425A">
      <w:numFmt w:val="decimal"/>
      <w:lvlText w:val=""/>
      <w:lvlJc w:val="left"/>
    </w:lvl>
    <w:lvl w:ilvl="3" w:tplc="00F64A60">
      <w:numFmt w:val="decimal"/>
      <w:lvlText w:val=""/>
      <w:lvlJc w:val="left"/>
    </w:lvl>
    <w:lvl w:ilvl="4" w:tplc="9FCE4098">
      <w:numFmt w:val="decimal"/>
      <w:lvlText w:val=""/>
      <w:lvlJc w:val="left"/>
    </w:lvl>
    <w:lvl w:ilvl="5" w:tplc="8714B036">
      <w:numFmt w:val="decimal"/>
      <w:lvlText w:val=""/>
      <w:lvlJc w:val="left"/>
    </w:lvl>
    <w:lvl w:ilvl="6" w:tplc="9BB28062">
      <w:numFmt w:val="decimal"/>
      <w:lvlText w:val=""/>
      <w:lvlJc w:val="left"/>
    </w:lvl>
    <w:lvl w:ilvl="7" w:tplc="A6A6B7B6">
      <w:numFmt w:val="decimal"/>
      <w:lvlText w:val=""/>
      <w:lvlJc w:val="left"/>
    </w:lvl>
    <w:lvl w:ilvl="8" w:tplc="5A2A57B8">
      <w:numFmt w:val="decimal"/>
      <w:lvlText w:val=""/>
      <w:lvlJc w:val="left"/>
    </w:lvl>
  </w:abstractNum>
  <w:abstractNum w:abstractNumId="320">
    <w:nsid w:val="64D17722"/>
    <w:multiLevelType w:val="hybridMultilevel"/>
    <w:tmpl w:val="72CEAF46"/>
    <w:lvl w:ilvl="0" w:tplc="BC686C82">
      <w:start w:val="1"/>
      <w:numFmt w:val="bullet"/>
      <w:lvlText w:val="«"/>
      <w:lvlJc w:val="left"/>
    </w:lvl>
    <w:lvl w:ilvl="1" w:tplc="31BEB32A">
      <w:numFmt w:val="decimal"/>
      <w:lvlText w:val=""/>
      <w:lvlJc w:val="left"/>
    </w:lvl>
    <w:lvl w:ilvl="2" w:tplc="01DA6DB0">
      <w:numFmt w:val="decimal"/>
      <w:lvlText w:val=""/>
      <w:lvlJc w:val="left"/>
    </w:lvl>
    <w:lvl w:ilvl="3" w:tplc="82EE6472">
      <w:numFmt w:val="decimal"/>
      <w:lvlText w:val=""/>
      <w:lvlJc w:val="left"/>
    </w:lvl>
    <w:lvl w:ilvl="4" w:tplc="C678A5DA">
      <w:numFmt w:val="decimal"/>
      <w:lvlText w:val=""/>
      <w:lvlJc w:val="left"/>
    </w:lvl>
    <w:lvl w:ilvl="5" w:tplc="2B14ED3A">
      <w:numFmt w:val="decimal"/>
      <w:lvlText w:val=""/>
      <w:lvlJc w:val="left"/>
    </w:lvl>
    <w:lvl w:ilvl="6" w:tplc="4A6A4D20">
      <w:numFmt w:val="decimal"/>
      <w:lvlText w:val=""/>
      <w:lvlJc w:val="left"/>
    </w:lvl>
    <w:lvl w:ilvl="7" w:tplc="20F009F2">
      <w:numFmt w:val="decimal"/>
      <w:lvlText w:val=""/>
      <w:lvlJc w:val="left"/>
    </w:lvl>
    <w:lvl w:ilvl="8" w:tplc="0E0C61E6">
      <w:numFmt w:val="decimal"/>
      <w:lvlText w:val=""/>
      <w:lvlJc w:val="left"/>
    </w:lvl>
  </w:abstractNum>
  <w:abstractNum w:abstractNumId="321">
    <w:nsid w:val="65BF9DA8"/>
    <w:multiLevelType w:val="hybridMultilevel"/>
    <w:tmpl w:val="5762D414"/>
    <w:lvl w:ilvl="0" w:tplc="9BF0E1CE">
      <w:start w:val="1"/>
      <w:numFmt w:val="bullet"/>
      <w:lvlText w:val=""/>
      <w:lvlJc w:val="left"/>
    </w:lvl>
    <w:lvl w:ilvl="1" w:tplc="5DA849CC">
      <w:numFmt w:val="decimal"/>
      <w:lvlText w:val=""/>
      <w:lvlJc w:val="left"/>
    </w:lvl>
    <w:lvl w:ilvl="2" w:tplc="699E3808">
      <w:numFmt w:val="decimal"/>
      <w:lvlText w:val=""/>
      <w:lvlJc w:val="left"/>
    </w:lvl>
    <w:lvl w:ilvl="3" w:tplc="F6ACC9D4">
      <w:numFmt w:val="decimal"/>
      <w:lvlText w:val=""/>
      <w:lvlJc w:val="left"/>
    </w:lvl>
    <w:lvl w:ilvl="4" w:tplc="4322C4C4">
      <w:numFmt w:val="decimal"/>
      <w:lvlText w:val=""/>
      <w:lvlJc w:val="left"/>
    </w:lvl>
    <w:lvl w:ilvl="5" w:tplc="41CA644C">
      <w:numFmt w:val="decimal"/>
      <w:lvlText w:val=""/>
      <w:lvlJc w:val="left"/>
    </w:lvl>
    <w:lvl w:ilvl="6" w:tplc="1C5402A4">
      <w:numFmt w:val="decimal"/>
      <w:lvlText w:val=""/>
      <w:lvlJc w:val="left"/>
    </w:lvl>
    <w:lvl w:ilvl="7" w:tplc="8D22ECF4">
      <w:numFmt w:val="decimal"/>
      <w:lvlText w:val=""/>
      <w:lvlJc w:val="left"/>
    </w:lvl>
    <w:lvl w:ilvl="8" w:tplc="EC3C51F8">
      <w:numFmt w:val="decimal"/>
      <w:lvlText w:val=""/>
      <w:lvlJc w:val="left"/>
    </w:lvl>
  </w:abstractNum>
  <w:abstractNum w:abstractNumId="322">
    <w:nsid w:val="65CA235B"/>
    <w:multiLevelType w:val="hybridMultilevel"/>
    <w:tmpl w:val="086C5F28"/>
    <w:lvl w:ilvl="0" w:tplc="E104FAC0">
      <w:start w:val="2"/>
      <w:numFmt w:val="decimal"/>
      <w:lvlText w:val="%1"/>
      <w:lvlJc w:val="left"/>
    </w:lvl>
    <w:lvl w:ilvl="1" w:tplc="6082C332">
      <w:numFmt w:val="decimal"/>
      <w:lvlText w:val=""/>
      <w:lvlJc w:val="left"/>
    </w:lvl>
    <w:lvl w:ilvl="2" w:tplc="E034BB0C">
      <w:numFmt w:val="decimal"/>
      <w:lvlText w:val=""/>
      <w:lvlJc w:val="left"/>
    </w:lvl>
    <w:lvl w:ilvl="3" w:tplc="732C0046">
      <w:numFmt w:val="decimal"/>
      <w:lvlText w:val=""/>
      <w:lvlJc w:val="left"/>
    </w:lvl>
    <w:lvl w:ilvl="4" w:tplc="C6D09494">
      <w:numFmt w:val="decimal"/>
      <w:lvlText w:val=""/>
      <w:lvlJc w:val="left"/>
    </w:lvl>
    <w:lvl w:ilvl="5" w:tplc="65B64BC2">
      <w:numFmt w:val="decimal"/>
      <w:lvlText w:val=""/>
      <w:lvlJc w:val="left"/>
    </w:lvl>
    <w:lvl w:ilvl="6" w:tplc="E3641D06">
      <w:numFmt w:val="decimal"/>
      <w:lvlText w:val=""/>
      <w:lvlJc w:val="left"/>
    </w:lvl>
    <w:lvl w:ilvl="7" w:tplc="AE242E24">
      <w:numFmt w:val="decimal"/>
      <w:lvlText w:val=""/>
      <w:lvlJc w:val="left"/>
    </w:lvl>
    <w:lvl w:ilvl="8" w:tplc="9D5AEE1E">
      <w:numFmt w:val="decimal"/>
      <w:lvlText w:val=""/>
      <w:lvlJc w:val="left"/>
    </w:lvl>
  </w:abstractNum>
  <w:abstractNum w:abstractNumId="323">
    <w:nsid w:val="65D2A137"/>
    <w:multiLevelType w:val="hybridMultilevel"/>
    <w:tmpl w:val="E882613E"/>
    <w:lvl w:ilvl="0" w:tplc="1B98D89C">
      <w:start w:val="1"/>
      <w:numFmt w:val="bullet"/>
      <w:lvlText w:val="-"/>
      <w:lvlJc w:val="left"/>
    </w:lvl>
    <w:lvl w:ilvl="1" w:tplc="73A05578">
      <w:numFmt w:val="decimal"/>
      <w:lvlText w:val=""/>
      <w:lvlJc w:val="left"/>
    </w:lvl>
    <w:lvl w:ilvl="2" w:tplc="423AFCF2">
      <w:numFmt w:val="decimal"/>
      <w:lvlText w:val=""/>
      <w:lvlJc w:val="left"/>
    </w:lvl>
    <w:lvl w:ilvl="3" w:tplc="5ED0D0B0">
      <w:numFmt w:val="decimal"/>
      <w:lvlText w:val=""/>
      <w:lvlJc w:val="left"/>
    </w:lvl>
    <w:lvl w:ilvl="4" w:tplc="80BE6460">
      <w:numFmt w:val="decimal"/>
      <w:lvlText w:val=""/>
      <w:lvlJc w:val="left"/>
    </w:lvl>
    <w:lvl w:ilvl="5" w:tplc="4BAA2FF8">
      <w:numFmt w:val="decimal"/>
      <w:lvlText w:val=""/>
      <w:lvlJc w:val="left"/>
    </w:lvl>
    <w:lvl w:ilvl="6" w:tplc="967A3F7C">
      <w:numFmt w:val="decimal"/>
      <w:lvlText w:val=""/>
      <w:lvlJc w:val="left"/>
    </w:lvl>
    <w:lvl w:ilvl="7" w:tplc="DECE46E6">
      <w:numFmt w:val="decimal"/>
      <w:lvlText w:val=""/>
      <w:lvlJc w:val="left"/>
    </w:lvl>
    <w:lvl w:ilvl="8" w:tplc="5C2203D6">
      <w:numFmt w:val="decimal"/>
      <w:lvlText w:val=""/>
      <w:lvlJc w:val="left"/>
    </w:lvl>
  </w:abstractNum>
  <w:abstractNum w:abstractNumId="324">
    <w:nsid w:val="665ACA49"/>
    <w:multiLevelType w:val="hybridMultilevel"/>
    <w:tmpl w:val="B7E689D4"/>
    <w:lvl w:ilvl="0" w:tplc="FA88BF5A">
      <w:start w:val="1"/>
      <w:numFmt w:val="bullet"/>
      <w:lvlText w:val=""/>
      <w:lvlJc w:val="left"/>
    </w:lvl>
    <w:lvl w:ilvl="1" w:tplc="5262D71A">
      <w:numFmt w:val="decimal"/>
      <w:lvlText w:val=""/>
      <w:lvlJc w:val="left"/>
    </w:lvl>
    <w:lvl w:ilvl="2" w:tplc="B3CE79F6">
      <w:numFmt w:val="decimal"/>
      <w:lvlText w:val=""/>
      <w:lvlJc w:val="left"/>
    </w:lvl>
    <w:lvl w:ilvl="3" w:tplc="7130CD06">
      <w:numFmt w:val="decimal"/>
      <w:lvlText w:val=""/>
      <w:lvlJc w:val="left"/>
    </w:lvl>
    <w:lvl w:ilvl="4" w:tplc="F5A209C2">
      <w:numFmt w:val="decimal"/>
      <w:lvlText w:val=""/>
      <w:lvlJc w:val="left"/>
    </w:lvl>
    <w:lvl w:ilvl="5" w:tplc="ABB24E70">
      <w:numFmt w:val="decimal"/>
      <w:lvlText w:val=""/>
      <w:lvlJc w:val="left"/>
    </w:lvl>
    <w:lvl w:ilvl="6" w:tplc="757A3F70">
      <w:numFmt w:val="decimal"/>
      <w:lvlText w:val=""/>
      <w:lvlJc w:val="left"/>
    </w:lvl>
    <w:lvl w:ilvl="7" w:tplc="1076D24A">
      <w:numFmt w:val="decimal"/>
      <w:lvlText w:val=""/>
      <w:lvlJc w:val="left"/>
    </w:lvl>
    <w:lvl w:ilvl="8" w:tplc="1248B4BC">
      <w:numFmt w:val="decimal"/>
      <w:lvlText w:val=""/>
      <w:lvlJc w:val="left"/>
    </w:lvl>
  </w:abstractNum>
  <w:abstractNum w:abstractNumId="325">
    <w:nsid w:val="66A48D11"/>
    <w:multiLevelType w:val="hybridMultilevel"/>
    <w:tmpl w:val="46C2D67C"/>
    <w:lvl w:ilvl="0" w:tplc="F40862D0">
      <w:start w:val="1"/>
      <w:numFmt w:val="bullet"/>
      <w:lvlText w:val=""/>
      <w:lvlJc w:val="left"/>
    </w:lvl>
    <w:lvl w:ilvl="1" w:tplc="62888CFC">
      <w:numFmt w:val="decimal"/>
      <w:lvlText w:val=""/>
      <w:lvlJc w:val="left"/>
    </w:lvl>
    <w:lvl w:ilvl="2" w:tplc="3F1A5990">
      <w:numFmt w:val="decimal"/>
      <w:lvlText w:val=""/>
      <w:lvlJc w:val="left"/>
    </w:lvl>
    <w:lvl w:ilvl="3" w:tplc="5F2207D8">
      <w:numFmt w:val="decimal"/>
      <w:lvlText w:val=""/>
      <w:lvlJc w:val="left"/>
    </w:lvl>
    <w:lvl w:ilvl="4" w:tplc="5314B866">
      <w:numFmt w:val="decimal"/>
      <w:lvlText w:val=""/>
      <w:lvlJc w:val="left"/>
    </w:lvl>
    <w:lvl w:ilvl="5" w:tplc="BB4CD636">
      <w:numFmt w:val="decimal"/>
      <w:lvlText w:val=""/>
      <w:lvlJc w:val="left"/>
    </w:lvl>
    <w:lvl w:ilvl="6" w:tplc="5D26D9C0">
      <w:numFmt w:val="decimal"/>
      <w:lvlText w:val=""/>
      <w:lvlJc w:val="left"/>
    </w:lvl>
    <w:lvl w:ilvl="7" w:tplc="3BE07F7C">
      <w:numFmt w:val="decimal"/>
      <w:lvlText w:val=""/>
      <w:lvlJc w:val="left"/>
    </w:lvl>
    <w:lvl w:ilvl="8" w:tplc="5C48A2A8">
      <w:numFmt w:val="decimal"/>
      <w:lvlText w:val=""/>
      <w:lvlJc w:val="left"/>
    </w:lvl>
  </w:abstractNum>
  <w:abstractNum w:abstractNumId="326">
    <w:nsid w:val="66D385C9"/>
    <w:multiLevelType w:val="hybridMultilevel"/>
    <w:tmpl w:val="1BF03046"/>
    <w:lvl w:ilvl="0" w:tplc="4796DDB2">
      <w:start w:val="15"/>
      <w:numFmt w:val="lowerLetter"/>
      <w:lvlText w:val="%1"/>
      <w:lvlJc w:val="left"/>
    </w:lvl>
    <w:lvl w:ilvl="1" w:tplc="B6D0D8C8">
      <w:numFmt w:val="decimal"/>
      <w:lvlText w:val=""/>
      <w:lvlJc w:val="left"/>
    </w:lvl>
    <w:lvl w:ilvl="2" w:tplc="F10CF05A">
      <w:numFmt w:val="decimal"/>
      <w:lvlText w:val=""/>
      <w:lvlJc w:val="left"/>
    </w:lvl>
    <w:lvl w:ilvl="3" w:tplc="47F62E84">
      <w:numFmt w:val="decimal"/>
      <w:lvlText w:val=""/>
      <w:lvlJc w:val="left"/>
    </w:lvl>
    <w:lvl w:ilvl="4" w:tplc="F906DF04">
      <w:numFmt w:val="decimal"/>
      <w:lvlText w:val=""/>
      <w:lvlJc w:val="left"/>
    </w:lvl>
    <w:lvl w:ilvl="5" w:tplc="17CA0886">
      <w:numFmt w:val="decimal"/>
      <w:lvlText w:val=""/>
      <w:lvlJc w:val="left"/>
    </w:lvl>
    <w:lvl w:ilvl="6" w:tplc="569AD922">
      <w:numFmt w:val="decimal"/>
      <w:lvlText w:val=""/>
      <w:lvlJc w:val="left"/>
    </w:lvl>
    <w:lvl w:ilvl="7" w:tplc="6E449C0E">
      <w:numFmt w:val="decimal"/>
      <w:lvlText w:val=""/>
      <w:lvlJc w:val="left"/>
    </w:lvl>
    <w:lvl w:ilvl="8" w:tplc="2FA651A6">
      <w:numFmt w:val="decimal"/>
      <w:lvlText w:val=""/>
      <w:lvlJc w:val="left"/>
    </w:lvl>
  </w:abstractNum>
  <w:abstractNum w:abstractNumId="327">
    <w:nsid w:val="67997556"/>
    <w:multiLevelType w:val="hybridMultilevel"/>
    <w:tmpl w:val="8AD81AF6"/>
    <w:lvl w:ilvl="0" w:tplc="D996F358">
      <w:start w:val="1"/>
      <w:numFmt w:val="bullet"/>
      <w:lvlText w:val="«"/>
      <w:lvlJc w:val="left"/>
    </w:lvl>
    <w:lvl w:ilvl="1" w:tplc="31969870">
      <w:numFmt w:val="decimal"/>
      <w:lvlText w:val=""/>
      <w:lvlJc w:val="left"/>
    </w:lvl>
    <w:lvl w:ilvl="2" w:tplc="6AB4D218">
      <w:numFmt w:val="decimal"/>
      <w:lvlText w:val=""/>
      <w:lvlJc w:val="left"/>
    </w:lvl>
    <w:lvl w:ilvl="3" w:tplc="A0429904">
      <w:numFmt w:val="decimal"/>
      <w:lvlText w:val=""/>
      <w:lvlJc w:val="left"/>
    </w:lvl>
    <w:lvl w:ilvl="4" w:tplc="D76AB89E">
      <w:numFmt w:val="decimal"/>
      <w:lvlText w:val=""/>
      <w:lvlJc w:val="left"/>
    </w:lvl>
    <w:lvl w:ilvl="5" w:tplc="3B0C91F4">
      <w:numFmt w:val="decimal"/>
      <w:lvlText w:val=""/>
      <w:lvlJc w:val="left"/>
    </w:lvl>
    <w:lvl w:ilvl="6" w:tplc="E94A5F9C">
      <w:numFmt w:val="decimal"/>
      <w:lvlText w:val=""/>
      <w:lvlJc w:val="left"/>
    </w:lvl>
    <w:lvl w:ilvl="7" w:tplc="58C60C3A">
      <w:numFmt w:val="decimal"/>
      <w:lvlText w:val=""/>
      <w:lvlJc w:val="left"/>
    </w:lvl>
    <w:lvl w:ilvl="8" w:tplc="811C97B4">
      <w:numFmt w:val="decimal"/>
      <w:lvlText w:val=""/>
      <w:lvlJc w:val="left"/>
    </w:lvl>
  </w:abstractNum>
  <w:abstractNum w:abstractNumId="328">
    <w:nsid w:val="67A5A6B5"/>
    <w:multiLevelType w:val="hybridMultilevel"/>
    <w:tmpl w:val="059EF7D4"/>
    <w:lvl w:ilvl="0" w:tplc="03F2BFC4">
      <w:start w:val="1"/>
      <w:numFmt w:val="bullet"/>
      <w:lvlText w:val=""/>
      <w:lvlJc w:val="left"/>
    </w:lvl>
    <w:lvl w:ilvl="1" w:tplc="349479CE">
      <w:numFmt w:val="decimal"/>
      <w:lvlText w:val=""/>
      <w:lvlJc w:val="left"/>
    </w:lvl>
    <w:lvl w:ilvl="2" w:tplc="4F04B240">
      <w:numFmt w:val="decimal"/>
      <w:lvlText w:val=""/>
      <w:lvlJc w:val="left"/>
    </w:lvl>
    <w:lvl w:ilvl="3" w:tplc="ED6E481E">
      <w:numFmt w:val="decimal"/>
      <w:lvlText w:val=""/>
      <w:lvlJc w:val="left"/>
    </w:lvl>
    <w:lvl w:ilvl="4" w:tplc="31E2F9D8">
      <w:numFmt w:val="decimal"/>
      <w:lvlText w:val=""/>
      <w:lvlJc w:val="left"/>
    </w:lvl>
    <w:lvl w:ilvl="5" w:tplc="98FA2F88">
      <w:numFmt w:val="decimal"/>
      <w:lvlText w:val=""/>
      <w:lvlJc w:val="left"/>
    </w:lvl>
    <w:lvl w:ilvl="6" w:tplc="FC2E1B70">
      <w:numFmt w:val="decimal"/>
      <w:lvlText w:val=""/>
      <w:lvlJc w:val="left"/>
    </w:lvl>
    <w:lvl w:ilvl="7" w:tplc="1F0C88BE">
      <w:numFmt w:val="decimal"/>
      <w:lvlText w:val=""/>
      <w:lvlJc w:val="left"/>
    </w:lvl>
    <w:lvl w:ilvl="8" w:tplc="78B415D4">
      <w:numFmt w:val="decimal"/>
      <w:lvlText w:val=""/>
      <w:lvlJc w:val="left"/>
    </w:lvl>
  </w:abstractNum>
  <w:abstractNum w:abstractNumId="329">
    <w:nsid w:val="67A70B69"/>
    <w:multiLevelType w:val="hybridMultilevel"/>
    <w:tmpl w:val="22741812"/>
    <w:lvl w:ilvl="0" w:tplc="C666CC98">
      <w:start w:val="1"/>
      <w:numFmt w:val="bullet"/>
      <w:lvlText w:val=""/>
      <w:lvlJc w:val="left"/>
    </w:lvl>
    <w:lvl w:ilvl="1" w:tplc="6E2266AE">
      <w:numFmt w:val="decimal"/>
      <w:lvlText w:val=""/>
      <w:lvlJc w:val="left"/>
    </w:lvl>
    <w:lvl w:ilvl="2" w:tplc="827A1CA2">
      <w:numFmt w:val="decimal"/>
      <w:lvlText w:val=""/>
      <w:lvlJc w:val="left"/>
    </w:lvl>
    <w:lvl w:ilvl="3" w:tplc="FE0EFD3E">
      <w:numFmt w:val="decimal"/>
      <w:lvlText w:val=""/>
      <w:lvlJc w:val="left"/>
    </w:lvl>
    <w:lvl w:ilvl="4" w:tplc="E6ACD8B6">
      <w:numFmt w:val="decimal"/>
      <w:lvlText w:val=""/>
      <w:lvlJc w:val="left"/>
    </w:lvl>
    <w:lvl w:ilvl="5" w:tplc="8030484C">
      <w:numFmt w:val="decimal"/>
      <w:lvlText w:val=""/>
      <w:lvlJc w:val="left"/>
    </w:lvl>
    <w:lvl w:ilvl="6" w:tplc="FB940E4E">
      <w:numFmt w:val="decimal"/>
      <w:lvlText w:val=""/>
      <w:lvlJc w:val="left"/>
    </w:lvl>
    <w:lvl w:ilvl="7" w:tplc="3706694E">
      <w:numFmt w:val="decimal"/>
      <w:lvlText w:val=""/>
      <w:lvlJc w:val="left"/>
    </w:lvl>
    <w:lvl w:ilvl="8" w:tplc="34006E86">
      <w:numFmt w:val="decimal"/>
      <w:lvlText w:val=""/>
      <w:lvlJc w:val="left"/>
    </w:lvl>
  </w:abstractNum>
  <w:abstractNum w:abstractNumId="330">
    <w:nsid w:val="680EA5D1"/>
    <w:multiLevelType w:val="hybridMultilevel"/>
    <w:tmpl w:val="4A9EE1DA"/>
    <w:lvl w:ilvl="0" w:tplc="0F7A1264">
      <w:start w:val="1"/>
      <w:numFmt w:val="bullet"/>
      <w:lvlText w:val="-"/>
      <w:lvlJc w:val="left"/>
    </w:lvl>
    <w:lvl w:ilvl="1" w:tplc="094C2652">
      <w:numFmt w:val="decimal"/>
      <w:lvlText w:val=""/>
      <w:lvlJc w:val="left"/>
    </w:lvl>
    <w:lvl w:ilvl="2" w:tplc="65980336">
      <w:numFmt w:val="decimal"/>
      <w:lvlText w:val=""/>
      <w:lvlJc w:val="left"/>
    </w:lvl>
    <w:lvl w:ilvl="3" w:tplc="70DE71AA">
      <w:numFmt w:val="decimal"/>
      <w:lvlText w:val=""/>
      <w:lvlJc w:val="left"/>
    </w:lvl>
    <w:lvl w:ilvl="4" w:tplc="0744FB56">
      <w:numFmt w:val="decimal"/>
      <w:lvlText w:val=""/>
      <w:lvlJc w:val="left"/>
    </w:lvl>
    <w:lvl w:ilvl="5" w:tplc="BCDE3254">
      <w:numFmt w:val="decimal"/>
      <w:lvlText w:val=""/>
      <w:lvlJc w:val="left"/>
    </w:lvl>
    <w:lvl w:ilvl="6" w:tplc="07B8A264">
      <w:numFmt w:val="decimal"/>
      <w:lvlText w:val=""/>
      <w:lvlJc w:val="left"/>
    </w:lvl>
    <w:lvl w:ilvl="7" w:tplc="5AA25FA4">
      <w:numFmt w:val="decimal"/>
      <w:lvlText w:val=""/>
      <w:lvlJc w:val="left"/>
    </w:lvl>
    <w:lvl w:ilvl="8" w:tplc="6DA00060">
      <w:numFmt w:val="decimal"/>
      <w:lvlText w:val=""/>
      <w:lvlJc w:val="left"/>
    </w:lvl>
  </w:abstractNum>
  <w:abstractNum w:abstractNumId="331">
    <w:nsid w:val="682DFED6"/>
    <w:multiLevelType w:val="hybridMultilevel"/>
    <w:tmpl w:val="0BE0D15C"/>
    <w:lvl w:ilvl="0" w:tplc="40161262">
      <w:start w:val="1"/>
      <w:numFmt w:val="bullet"/>
      <w:lvlText w:val=""/>
      <w:lvlJc w:val="left"/>
    </w:lvl>
    <w:lvl w:ilvl="1" w:tplc="878A5A76">
      <w:numFmt w:val="decimal"/>
      <w:lvlText w:val=""/>
      <w:lvlJc w:val="left"/>
    </w:lvl>
    <w:lvl w:ilvl="2" w:tplc="CBD2CE4A">
      <w:numFmt w:val="decimal"/>
      <w:lvlText w:val=""/>
      <w:lvlJc w:val="left"/>
    </w:lvl>
    <w:lvl w:ilvl="3" w:tplc="889C3314">
      <w:numFmt w:val="decimal"/>
      <w:lvlText w:val=""/>
      <w:lvlJc w:val="left"/>
    </w:lvl>
    <w:lvl w:ilvl="4" w:tplc="F13AE802">
      <w:numFmt w:val="decimal"/>
      <w:lvlText w:val=""/>
      <w:lvlJc w:val="left"/>
    </w:lvl>
    <w:lvl w:ilvl="5" w:tplc="4B2661DE">
      <w:numFmt w:val="decimal"/>
      <w:lvlText w:val=""/>
      <w:lvlJc w:val="left"/>
    </w:lvl>
    <w:lvl w:ilvl="6" w:tplc="1C88D760">
      <w:numFmt w:val="decimal"/>
      <w:lvlText w:val=""/>
      <w:lvlJc w:val="left"/>
    </w:lvl>
    <w:lvl w:ilvl="7" w:tplc="23501C32">
      <w:numFmt w:val="decimal"/>
      <w:lvlText w:val=""/>
      <w:lvlJc w:val="left"/>
    </w:lvl>
    <w:lvl w:ilvl="8" w:tplc="16342EFA">
      <w:numFmt w:val="decimal"/>
      <w:lvlText w:val=""/>
      <w:lvlJc w:val="left"/>
    </w:lvl>
  </w:abstractNum>
  <w:abstractNum w:abstractNumId="332">
    <w:nsid w:val="6835B2AE"/>
    <w:multiLevelType w:val="hybridMultilevel"/>
    <w:tmpl w:val="3968C702"/>
    <w:lvl w:ilvl="0" w:tplc="1382B5F8">
      <w:start w:val="2"/>
      <w:numFmt w:val="decimal"/>
      <w:lvlText w:val="%1"/>
      <w:lvlJc w:val="left"/>
    </w:lvl>
    <w:lvl w:ilvl="1" w:tplc="5E1816B4">
      <w:numFmt w:val="decimal"/>
      <w:lvlText w:val=""/>
      <w:lvlJc w:val="left"/>
    </w:lvl>
    <w:lvl w:ilvl="2" w:tplc="5154630A">
      <w:numFmt w:val="decimal"/>
      <w:lvlText w:val=""/>
      <w:lvlJc w:val="left"/>
    </w:lvl>
    <w:lvl w:ilvl="3" w:tplc="FC8C408A">
      <w:numFmt w:val="decimal"/>
      <w:lvlText w:val=""/>
      <w:lvlJc w:val="left"/>
    </w:lvl>
    <w:lvl w:ilvl="4" w:tplc="7B481442">
      <w:numFmt w:val="decimal"/>
      <w:lvlText w:val=""/>
      <w:lvlJc w:val="left"/>
    </w:lvl>
    <w:lvl w:ilvl="5" w:tplc="752A52FC">
      <w:numFmt w:val="decimal"/>
      <w:lvlText w:val=""/>
      <w:lvlJc w:val="left"/>
    </w:lvl>
    <w:lvl w:ilvl="6" w:tplc="223CBB08">
      <w:numFmt w:val="decimal"/>
      <w:lvlText w:val=""/>
      <w:lvlJc w:val="left"/>
    </w:lvl>
    <w:lvl w:ilvl="7" w:tplc="C8F2781C">
      <w:numFmt w:val="decimal"/>
      <w:lvlText w:val=""/>
      <w:lvlJc w:val="left"/>
    </w:lvl>
    <w:lvl w:ilvl="8" w:tplc="4838E134">
      <w:numFmt w:val="decimal"/>
      <w:lvlText w:val=""/>
      <w:lvlJc w:val="left"/>
    </w:lvl>
  </w:abstractNum>
  <w:abstractNum w:abstractNumId="333">
    <w:nsid w:val="683CAAD3"/>
    <w:multiLevelType w:val="hybridMultilevel"/>
    <w:tmpl w:val="2C529CBA"/>
    <w:lvl w:ilvl="0" w:tplc="FC0889F6">
      <w:start w:val="1"/>
      <w:numFmt w:val="bullet"/>
      <w:lvlText w:val="*"/>
      <w:lvlJc w:val="left"/>
    </w:lvl>
    <w:lvl w:ilvl="1" w:tplc="0E54FB88">
      <w:numFmt w:val="decimal"/>
      <w:lvlText w:val=""/>
      <w:lvlJc w:val="left"/>
    </w:lvl>
    <w:lvl w:ilvl="2" w:tplc="2984347E">
      <w:numFmt w:val="decimal"/>
      <w:lvlText w:val=""/>
      <w:lvlJc w:val="left"/>
    </w:lvl>
    <w:lvl w:ilvl="3" w:tplc="0E7ADAEE">
      <w:numFmt w:val="decimal"/>
      <w:lvlText w:val=""/>
      <w:lvlJc w:val="left"/>
    </w:lvl>
    <w:lvl w:ilvl="4" w:tplc="89FE5D56">
      <w:numFmt w:val="decimal"/>
      <w:lvlText w:val=""/>
      <w:lvlJc w:val="left"/>
    </w:lvl>
    <w:lvl w:ilvl="5" w:tplc="4A308B82">
      <w:numFmt w:val="decimal"/>
      <w:lvlText w:val=""/>
      <w:lvlJc w:val="left"/>
    </w:lvl>
    <w:lvl w:ilvl="6" w:tplc="6F8CB4C4">
      <w:numFmt w:val="decimal"/>
      <w:lvlText w:val=""/>
      <w:lvlJc w:val="left"/>
    </w:lvl>
    <w:lvl w:ilvl="7" w:tplc="507050C2">
      <w:numFmt w:val="decimal"/>
      <w:lvlText w:val=""/>
      <w:lvlJc w:val="left"/>
    </w:lvl>
    <w:lvl w:ilvl="8" w:tplc="B6C8BB2A">
      <w:numFmt w:val="decimal"/>
      <w:lvlText w:val=""/>
      <w:lvlJc w:val="left"/>
    </w:lvl>
  </w:abstractNum>
  <w:abstractNum w:abstractNumId="334">
    <w:nsid w:val="684EED59"/>
    <w:multiLevelType w:val="hybridMultilevel"/>
    <w:tmpl w:val="9D3CABB4"/>
    <w:lvl w:ilvl="0" w:tplc="C262B342">
      <w:start w:val="1"/>
      <w:numFmt w:val="decimal"/>
      <w:lvlText w:val="%1."/>
      <w:lvlJc w:val="left"/>
    </w:lvl>
    <w:lvl w:ilvl="1" w:tplc="863C508C">
      <w:numFmt w:val="decimal"/>
      <w:lvlText w:val=""/>
      <w:lvlJc w:val="left"/>
    </w:lvl>
    <w:lvl w:ilvl="2" w:tplc="759E8D48">
      <w:numFmt w:val="decimal"/>
      <w:lvlText w:val=""/>
      <w:lvlJc w:val="left"/>
    </w:lvl>
    <w:lvl w:ilvl="3" w:tplc="84F8BAEC">
      <w:numFmt w:val="decimal"/>
      <w:lvlText w:val=""/>
      <w:lvlJc w:val="left"/>
    </w:lvl>
    <w:lvl w:ilvl="4" w:tplc="6D48D430">
      <w:numFmt w:val="decimal"/>
      <w:lvlText w:val=""/>
      <w:lvlJc w:val="left"/>
    </w:lvl>
    <w:lvl w:ilvl="5" w:tplc="BCDA8B58">
      <w:numFmt w:val="decimal"/>
      <w:lvlText w:val=""/>
      <w:lvlJc w:val="left"/>
    </w:lvl>
    <w:lvl w:ilvl="6" w:tplc="38881BE8">
      <w:numFmt w:val="decimal"/>
      <w:lvlText w:val=""/>
      <w:lvlJc w:val="left"/>
    </w:lvl>
    <w:lvl w:ilvl="7" w:tplc="E0DCF7C0">
      <w:numFmt w:val="decimal"/>
      <w:lvlText w:val=""/>
      <w:lvlJc w:val="left"/>
    </w:lvl>
    <w:lvl w:ilvl="8" w:tplc="46323E8C">
      <w:numFmt w:val="decimal"/>
      <w:lvlText w:val=""/>
      <w:lvlJc w:val="left"/>
    </w:lvl>
  </w:abstractNum>
  <w:abstractNum w:abstractNumId="335">
    <w:nsid w:val="6863E8D2"/>
    <w:multiLevelType w:val="hybridMultilevel"/>
    <w:tmpl w:val="0D20C12E"/>
    <w:lvl w:ilvl="0" w:tplc="AB1E14F8">
      <w:start w:val="1"/>
      <w:numFmt w:val="bullet"/>
      <w:lvlText w:val=""/>
      <w:lvlJc w:val="left"/>
    </w:lvl>
    <w:lvl w:ilvl="1" w:tplc="BC1616D8">
      <w:numFmt w:val="decimal"/>
      <w:lvlText w:val=""/>
      <w:lvlJc w:val="left"/>
    </w:lvl>
    <w:lvl w:ilvl="2" w:tplc="CCB0F240">
      <w:numFmt w:val="decimal"/>
      <w:lvlText w:val=""/>
      <w:lvlJc w:val="left"/>
    </w:lvl>
    <w:lvl w:ilvl="3" w:tplc="0CD47C48">
      <w:numFmt w:val="decimal"/>
      <w:lvlText w:val=""/>
      <w:lvlJc w:val="left"/>
    </w:lvl>
    <w:lvl w:ilvl="4" w:tplc="5BD0AB3A">
      <w:numFmt w:val="decimal"/>
      <w:lvlText w:val=""/>
      <w:lvlJc w:val="left"/>
    </w:lvl>
    <w:lvl w:ilvl="5" w:tplc="81B0C18A">
      <w:numFmt w:val="decimal"/>
      <w:lvlText w:val=""/>
      <w:lvlJc w:val="left"/>
    </w:lvl>
    <w:lvl w:ilvl="6" w:tplc="8668B87C">
      <w:numFmt w:val="decimal"/>
      <w:lvlText w:val=""/>
      <w:lvlJc w:val="left"/>
    </w:lvl>
    <w:lvl w:ilvl="7" w:tplc="17404340">
      <w:numFmt w:val="decimal"/>
      <w:lvlText w:val=""/>
      <w:lvlJc w:val="left"/>
    </w:lvl>
    <w:lvl w:ilvl="8" w:tplc="40741BA8">
      <w:numFmt w:val="decimal"/>
      <w:lvlText w:val=""/>
      <w:lvlJc w:val="left"/>
    </w:lvl>
  </w:abstractNum>
  <w:abstractNum w:abstractNumId="336">
    <w:nsid w:val="68FA8D0D"/>
    <w:multiLevelType w:val="hybridMultilevel"/>
    <w:tmpl w:val="0E7292A2"/>
    <w:lvl w:ilvl="0" w:tplc="CDF0F77A">
      <w:start w:val="1"/>
      <w:numFmt w:val="bullet"/>
      <w:lvlText w:val=""/>
      <w:lvlJc w:val="left"/>
    </w:lvl>
    <w:lvl w:ilvl="1" w:tplc="CAA472DA">
      <w:numFmt w:val="decimal"/>
      <w:lvlText w:val=""/>
      <w:lvlJc w:val="left"/>
    </w:lvl>
    <w:lvl w:ilvl="2" w:tplc="6EAC2C1A">
      <w:numFmt w:val="decimal"/>
      <w:lvlText w:val=""/>
      <w:lvlJc w:val="left"/>
    </w:lvl>
    <w:lvl w:ilvl="3" w:tplc="35404188">
      <w:numFmt w:val="decimal"/>
      <w:lvlText w:val=""/>
      <w:lvlJc w:val="left"/>
    </w:lvl>
    <w:lvl w:ilvl="4" w:tplc="4F88AB22">
      <w:numFmt w:val="decimal"/>
      <w:lvlText w:val=""/>
      <w:lvlJc w:val="left"/>
    </w:lvl>
    <w:lvl w:ilvl="5" w:tplc="C18E1644">
      <w:numFmt w:val="decimal"/>
      <w:lvlText w:val=""/>
      <w:lvlJc w:val="left"/>
    </w:lvl>
    <w:lvl w:ilvl="6" w:tplc="6DE0C92C">
      <w:numFmt w:val="decimal"/>
      <w:lvlText w:val=""/>
      <w:lvlJc w:val="left"/>
    </w:lvl>
    <w:lvl w:ilvl="7" w:tplc="597EBB96">
      <w:numFmt w:val="decimal"/>
      <w:lvlText w:val=""/>
      <w:lvlJc w:val="left"/>
    </w:lvl>
    <w:lvl w:ilvl="8" w:tplc="E7FC7126">
      <w:numFmt w:val="decimal"/>
      <w:lvlText w:val=""/>
      <w:lvlJc w:val="left"/>
    </w:lvl>
  </w:abstractNum>
  <w:abstractNum w:abstractNumId="337">
    <w:nsid w:val="69215DFB"/>
    <w:multiLevelType w:val="hybridMultilevel"/>
    <w:tmpl w:val="EC56413C"/>
    <w:lvl w:ilvl="0" w:tplc="089C9120">
      <w:start w:val="15"/>
      <w:numFmt w:val="lowerLetter"/>
      <w:lvlText w:val="%1"/>
      <w:lvlJc w:val="left"/>
    </w:lvl>
    <w:lvl w:ilvl="1" w:tplc="05366602">
      <w:numFmt w:val="decimal"/>
      <w:lvlText w:val=""/>
      <w:lvlJc w:val="left"/>
    </w:lvl>
    <w:lvl w:ilvl="2" w:tplc="DCD8F90C">
      <w:numFmt w:val="decimal"/>
      <w:lvlText w:val=""/>
      <w:lvlJc w:val="left"/>
    </w:lvl>
    <w:lvl w:ilvl="3" w:tplc="EEFCC414">
      <w:numFmt w:val="decimal"/>
      <w:lvlText w:val=""/>
      <w:lvlJc w:val="left"/>
    </w:lvl>
    <w:lvl w:ilvl="4" w:tplc="B3204BA8">
      <w:numFmt w:val="decimal"/>
      <w:lvlText w:val=""/>
      <w:lvlJc w:val="left"/>
    </w:lvl>
    <w:lvl w:ilvl="5" w:tplc="00E8343A">
      <w:numFmt w:val="decimal"/>
      <w:lvlText w:val=""/>
      <w:lvlJc w:val="left"/>
    </w:lvl>
    <w:lvl w:ilvl="6" w:tplc="DF4C10FE">
      <w:numFmt w:val="decimal"/>
      <w:lvlText w:val=""/>
      <w:lvlJc w:val="left"/>
    </w:lvl>
    <w:lvl w:ilvl="7" w:tplc="468E123A">
      <w:numFmt w:val="decimal"/>
      <w:lvlText w:val=""/>
      <w:lvlJc w:val="left"/>
    </w:lvl>
    <w:lvl w:ilvl="8" w:tplc="9A0AF330">
      <w:numFmt w:val="decimal"/>
      <w:lvlText w:val=""/>
      <w:lvlJc w:val="left"/>
    </w:lvl>
  </w:abstractNum>
  <w:abstractNum w:abstractNumId="338">
    <w:nsid w:val="69D3947C"/>
    <w:multiLevelType w:val="hybridMultilevel"/>
    <w:tmpl w:val="3E48A386"/>
    <w:lvl w:ilvl="0" w:tplc="E6EA228A">
      <w:start w:val="13"/>
      <w:numFmt w:val="decimal"/>
      <w:lvlText w:val="%1"/>
      <w:lvlJc w:val="left"/>
    </w:lvl>
    <w:lvl w:ilvl="1" w:tplc="76BEDA04">
      <w:numFmt w:val="decimal"/>
      <w:lvlText w:val=""/>
      <w:lvlJc w:val="left"/>
    </w:lvl>
    <w:lvl w:ilvl="2" w:tplc="62224DAA">
      <w:numFmt w:val="decimal"/>
      <w:lvlText w:val=""/>
      <w:lvlJc w:val="left"/>
    </w:lvl>
    <w:lvl w:ilvl="3" w:tplc="E8B2A9EA">
      <w:numFmt w:val="decimal"/>
      <w:lvlText w:val=""/>
      <w:lvlJc w:val="left"/>
    </w:lvl>
    <w:lvl w:ilvl="4" w:tplc="FA5673DC">
      <w:numFmt w:val="decimal"/>
      <w:lvlText w:val=""/>
      <w:lvlJc w:val="left"/>
    </w:lvl>
    <w:lvl w:ilvl="5" w:tplc="4D4CEF86">
      <w:numFmt w:val="decimal"/>
      <w:lvlText w:val=""/>
      <w:lvlJc w:val="left"/>
    </w:lvl>
    <w:lvl w:ilvl="6" w:tplc="7DF815E2">
      <w:numFmt w:val="decimal"/>
      <w:lvlText w:val=""/>
      <w:lvlJc w:val="left"/>
    </w:lvl>
    <w:lvl w:ilvl="7" w:tplc="FCD2B790">
      <w:numFmt w:val="decimal"/>
      <w:lvlText w:val=""/>
      <w:lvlJc w:val="left"/>
    </w:lvl>
    <w:lvl w:ilvl="8" w:tplc="A33A862E">
      <w:numFmt w:val="decimal"/>
      <w:lvlText w:val=""/>
      <w:lvlJc w:val="left"/>
    </w:lvl>
  </w:abstractNum>
  <w:abstractNum w:abstractNumId="339">
    <w:nsid w:val="6A1B45E5"/>
    <w:multiLevelType w:val="hybridMultilevel"/>
    <w:tmpl w:val="EEA4CAF2"/>
    <w:lvl w:ilvl="0" w:tplc="56E4E286">
      <w:start w:val="1"/>
      <w:numFmt w:val="bullet"/>
      <w:lvlText w:val=""/>
      <w:lvlJc w:val="left"/>
    </w:lvl>
    <w:lvl w:ilvl="1" w:tplc="CF4062A4">
      <w:start w:val="1"/>
      <w:numFmt w:val="bullet"/>
      <w:lvlText w:val=""/>
      <w:lvlJc w:val="left"/>
    </w:lvl>
    <w:lvl w:ilvl="2" w:tplc="B34CF326">
      <w:numFmt w:val="decimal"/>
      <w:lvlText w:val=""/>
      <w:lvlJc w:val="left"/>
    </w:lvl>
    <w:lvl w:ilvl="3" w:tplc="B64E8048">
      <w:numFmt w:val="decimal"/>
      <w:lvlText w:val=""/>
      <w:lvlJc w:val="left"/>
    </w:lvl>
    <w:lvl w:ilvl="4" w:tplc="CB365584">
      <w:numFmt w:val="decimal"/>
      <w:lvlText w:val=""/>
      <w:lvlJc w:val="left"/>
    </w:lvl>
    <w:lvl w:ilvl="5" w:tplc="2430A09C">
      <w:numFmt w:val="decimal"/>
      <w:lvlText w:val=""/>
      <w:lvlJc w:val="left"/>
    </w:lvl>
    <w:lvl w:ilvl="6" w:tplc="1C24EC5C">
      <w:numFmt w:val="decimal"/>
      <w:lvlText w:val=""/>
      <w:lvlJc w:val="left"/>
    </w:lvl>
    <w:lvl w:ilvl="7" w:tplc="373427A2">
      <w:numFmt w:val="decimal"/>
      <w:lvlText w:val=""/>
      <w:lvlJc w:val="left"/>
    </w:lvl>
    <w:lvl w:ilvl="8" w:tplc="E35845F0">
      <w:numFmt w:val="decimal"/>
      <w:lvlText w:val=""/>
      <w:lvlJc w:val="left"/>
    </w:lvl>
  </w:abstractNum>
  <w:abstractNum w:abstractNumId="340">
    <w:nsid w:val="6A37288A"/>
    <w:multiLevelType w:val="hybridMultilevel"/>
    <w:tmpl w:val="CCB272FE"/>
    <w:lvl w:ilvl="0" w:tplc="DA80029C">
      <w:start w:val="9"/>
      <w:numFmt w:val="decimal"/>
      <w:lvlText w:val="%1"/>
      <w:lvlJc w:val="left"/>
    </w:lvl>
    <w:lvl w:ilvl="1" w:tplc="59B4B67C">
      <w:numFmt w:val="decimal"/>
      <w:lvlText w:val=""/>
      <w:lvlJc w:val="left"/>
    </w:lvl>
    <w:lvl w:ilvl="2" w:tplc="3028BAFC">
      <w:numFmt w:val="decimal"/>
      <w:lvlText w:val=""/>
      <w:lvlJc w:val="left"/>
    </w:lvl>
    <w:lvl w:ilvl="3" w:tplc="CCF2F1C8">
      <w:numFmt w:val="decimal"/>
      <w:lvlText w:val=""/>
      <w:lvlJc w:val="left"/>
    </w:lvl>
    <w:lvl w:ilvl="4" w:tplc="4FCA5DCE">
      <w:numFmt w:val="decimal"/>
      <w:lvlText w:val=""/>
      <w:lvlJc w:val="left"/>
    </w:lvl>
    <w:lvl w:ilvl="5" w:tplc="FBCE9758">
      <w:numFmt w:val="decimal"/>
      <w:lvlText w:val=""/>
      <w:lvlJc w:val="left"/>
    </w:lvl>
    <w:lvl w:ilvl="6" w:tplc="AB0C5B3C">
      <w:numFmt w:val="decimal"/>
      <w:lvlText w:val=""/>
      <w:lvlJc w:val="left"/>
    </w:lvl>
    <w:lvl w:ilvl="7" w:tplc="8AC29B5C">
      <w:numFmt w:val="decimal"/>
      <w:lvlText w:val=""/>
      <w:lvlJc w:val="left"/>
    </w:lvl>
    <w:lvl w:ilvl="8" w:tplc="B30EBEA2">
      <w:numFmt w:val="decimal"/>
      <w:lvlText w:val=""/>
      <w:lvlJc w:val="left"/>
    </w:lvl>
  </w:abstractNum>
  <w:abstractNum w:abstractNumId="341">
    <w:nsid w:val="6A92EF4C"/>
    <w:multiLevelType w:val="hybridMultilevel"/>
    <w:tmpl w:val="57167E0E"/>
    <w:lvl w:ilvl="0" w:tplc="466C2412">
      <w:start w:val="1"/>
      <w:numFmt w:val="bullet"/>
      <w:lvlText w:val=""/>
      <w:lvlJc w:val="left"/>
    </w:lvl>
    <w:lvl w:ilvl="1" w:tplc="28B05C48">
      <w:numFmt w:val="decimal"/>
      <w:lvlText w:val=""/>
      <w:lvlJc w:val="left"/>
    </w:lvl>
    <w:lvl w:ilvl="2" w:tplc="A9B40F4E">
      <w:numFmt w:val="decimal"/>
      <w:lvlText w:val=""/>
      <w:lvlJc w:val="left"/>
    </w:lvl>
    <w:lvl w:ilvl="3" w:tplc="77E2BB1A">
      <w:numFmt w:val="decimal"/>
      <w:lvlText w:val=""/>
      <w:lvlJc w:val="left"/>
    </w:lvl>
    <w:lvl w:ilvl="4" w:tplc="690C589C">
      <w:numFmt w:val="decimal"/>
      <w:lvlText w:val=""/>
      <w:lvlJc w:val="left"/>
    </w:lvl>
    <w:lvl w:ilvl="5" w:tplc="D158C66C">
      <w:numFmt w:val="decimal"/>
      <w:lvlText w:val=""/>
      <w:lvlJc w:val="left"/>
    </w:lvl>
    <w:lvl w:ilvl="6" w:tplc="CB26F172">
      <w:numFmt w:val="decimal"/>
      <w:lvlText w:val=""/>
      <w:lvlJc w:val="left"/>
    </w:lvl>
    <w:lvl w:ilvl="7" w:tplc="51189FDA">
      <w:numFmt w:val="decimal"/>
      <w:lvlText w:val=""/>
      <w:lvlJc w:val="left"/>
    </w:lvl>
    <w:lvl w:ilvl="8" w:tplc="1F208E0A">
      <w:numFmt w:val="decimal"/>
      <w:lvlText w:val=""/>
      <w:lvlJc w:val="left"/>
    </w:lvl>
  </w:abstractNum>
  <w:abstractNum w:abstractNumId="342">
    <w:nsid w:val="6B057295"/>
    <w:multiLevelType w:val="hybridMultilevel"/>
    <w:tmpl w:val="C00E5788"/>
    <w:lvl w:ilvl="0" w:tplc="633EC578">
      <w:start w:val="1"/>
      <w:numFmt w:val="decimal"/>
      <w:lvlText w:val="%1"/>
      <w:lvlJc w:val="left"/>
    </w:lvl>
    <w:lvl w:ilvl="1" w:tplc="0DB88A36">
      <w:numFmt w:val="decimal"/>
      <w:lvlText w:val=""/>
      <w:lvlJc w:val="left"/>
    </w:lvl>
    <w:lvl w:ilvl="2" w:tplc="D4E4B066">
      <w:numFmt w:val="decimal"/>
      <w:lvlText w:val=""/>
      <w:lvlJc w:val="left"/>
    </w:lvl>
    <w:lvl w:ilvl="3" w:tplc="EDCAECA8">
      <w:numFmt w:val="decimal"/>
      <w:lvlText w:val=""/>
      <w:lvlJc w:val="left"/>
    </w:lvl>
    <w:lvl w:ilvl="4" w:tplc="733A18AC">
      <w:numFmt w:val="decimal"/>
      <w:lvlText w:val=""/>
      <w:lvlJc w:val="left"/>
    </w:lvl>
    <w:lvl w:ilvl="5" w:tplc="CFB86DD0">
      <w:numFmt w:val="decimal"/>
      <w:lvlText w:val=""/>
      <w:lvlJc w:val="left"/>
    </w:lvl>
    <w:lvl w:ilvl="6" w:tplc="247275DA">
      <w:numFmt w:val="decimal"/>
      <w:lvlText w:val=""/>
      <w:lvlJc w:val="left"/>
    </w:lvl>
    <w:lvl w:ilvl="7" w:tplc="B7A2370E">
      <w:numFmt w:val="decimal"/>
      <w:lvlText w:val=""/>
      <w:lvlJc w:val="left"/>
    </w:lvl>
    <w:lvl w:ilvl="8" w:tplc="72303904">
      <w:numFmt w:val="decimal"/>
      <w:lvlText w:val=""/>
      <w:lvlJc w:val="left"/>
    </w:lvl>
  </w:abstractNum>
  <w:abstractNum w:abstractNumId="343">
    <w:nsid w:val="6C053B16"/>
    <w:multiLevelType w:val="hybridMultilevel"/>
    <w:tmpl w:val="8752C9D2"/>
    <w:lvl w:ilvl="0" w:tplc="1DB86B28">
      <w:start w:val="1"/>
      <w:numFmt w:val="bullet"/>
      <w:lvlText w:val=""/>
      <w:lvlJc w:val="left"/>
    </w:lvl>
    <w:lvl w:ilvl="1" w:tplc="56B60C12">
      <w:start w:val="1"/>
      <w:numFmt w:val="upperLetter"/>
      <w:lvlText w:val="%2"/>
      <w:lvlJc w:val="left"/>
    </w:lvl>
    <w:lvl w:ilvl="2" w:tplc="7E3C2530">
      <w:numFmt w:val="decimal"/>
      <w:lvlText w:val=""/>
      <w:lvlJc w:val="left"/>
    </w:lvl>
    <w:lvl w:ilvl="3" w:tplc="1046C630">
      <w:numFmt w:val="decimal"/>
      <w:lvlText w:val=""/>
      <w:lvlJc w:val="left"/>
    </w:lvl>
    <w:lvl w:ilvl="4" w:tplc="DAD833A8">
      <w:numFmt w:val="decimal"/>
      <w:lvlText w:val=""/>
      <w:lvlJc w:val="left"/>
    </w:lvl>
    <w:lvl w:ilvl="5" w:tplc="4080BF44">
      <w:numFmt w:val="decimal"/>
      <w:lvlText w:val=""/>
      <w:lvlJc w:val="left"/>
    </w:lvl>
    <w:lvl w:ilvl="6" w:tplc="340AAEE8">
      <w:numFmt w:val="decimal"/>
      <w:lvlText w:val=""/>
      <w:lvlJc w:val="left"/>
    </w:lvl>
    <w:lvl w:ilvl="7" w:tplc="811A4352">
      <w:numFmt w:val="decimal"/>
      <w:lvlText w:val=""/>
      <w:lvlJc w:val="left"/>
    </w:lvl>
    <w:lvl w:ilvl="8" w:tplc="0C600ABA">
      <w:numFmt w:val="decimal"/>
      <w:lvlText w:val=""/>
      <w:lvlJc w:val="left"/>
    </w:lvl>
  </w:abstractNum>
  <w:abstractNum w:abstractNumId="344">
    <w:nsid w:val="6C2CFC88"/>
    <w:multiLevelType w:val="hybridMultilevel"/>
    <w:tmpl w:val="C3FC19A6"/>
    <w:lvl w:ilvl="0" w:tplc="700C1B72">
      <w:start w:val="1"/>
      <w:numFmt w:val="decimal"/>
      <w:lvlText w:val="%1."/>
      <w:lvlJc w:val="left"/>
    </w:lvl>
    <w:lvl w:ilvl="1" w:tplc="301887E0">
      <w:numFmt w:val="decimal"/>
      <w:lvlText w:val=""/>
      <w:lvlJc w:val="left"/>
    </w:lvl>
    <w:lvl w:ilvl="2" w:tplc="2A58C33A">
      <w:numFmt w:val="decimal"/>
      <w:lvlText w:val=""/>
      <w:lvlJc w:val="left"/>
    </w:lvl>
    <w:lvl w:ilvl="3" w:tplc="FFF4F59C">
      <w:numFmt w:val="decimal"/>
      <w:lvlText w:val=""/>
      <w:lvlJc w:val="left"/>
    </w:lvl>
    <w:lvl w:ilvl="4" w:tplc="07D84D70">
      <w:numFmt w:val="decimal"/>
      <w:lvlText w:val=""/>
      <w:lvlJc w:val="left"/>
    </w:lvl>
    <w:lvl w:ilvl="5" w:tplc="2BD63D08">
      <w:numFmt w:val="decimal"/>
      <w:lvlText w:val=""/>
      <w:lvlJc w:val="left"/>
    </w:lvl>
    <w:lvl w:ilvl="6" w:tplc="C91A68E6">
      <w:numFmt w:val="decimal"/>
      <w:lvlText w:val=""/>
      <w:lvlJc w:val="left"/>
    </w:lvl>
    <w:lvl w:ilvl="7" w:tplc="A6D85A86">
      <w:numFmt w:val="decimal"/>
      <w:lvlText w:val=""/>
      <w:lvlJc w:val="left"/>
    </w:lvl>
    <w:lvl w:ilvl="8" w:tplc="56C2CC20">
      <w:numFmt w:val="decimal"/>
      <w:lvlText w:val=""/>
      <w:lvlJc w:val="left"/>
    </w:lvl>
  </w:abstractNum>
  <w:abstractNum w:abstractNumId="345">
    <w:nsid w:val="6C8B4466"/>
    <w:multiLevelType w:val="hybridMultilevel"/>
    <w:tmpl w:val="1714A496"/>
    <w:lvl w:ilvl="0" w:tplc="8F924788">
      <w:start w:val="124"/>
      <w:numFmt w:val="decimal"/>
      <w:lvlText w:val="%1)"/>
      <w:lvlJc w:val="left"/>
    </w:lvl>
    <w:lvl w:ilvl="1" w:tplc="C0D8AA72">
      <w:numFmt w:val="decimal"/>
      <w:lvlText w:val=""/>
      <w:lvlJc w:val="left"/>
    </w:lvl>
    <w:lvl w:ilvl="2" w:tplc="79E01F08">
      <w:numFmt w:val="decimal"/>
      <w:lvlText w:val=""/>
      <w:lvlJc w:val="left"/>
    </w:lvl>
    <w:lvl w:ilvl="3" w:tplc="E2EAA9BC">
      <w:numFmt w:val="decimal"/>
      <w:lvlText w:val=""/>
      <w:lvlJc w:val="left"/>
    </w:lvl>
    <w:lvl w:ilvl="4" w:tplc="2BD260B2">
      <w:numFmt w:val="decimal"/>
      <w:lvlText w:val=""/>
      <w:lvlJc w:val="left"/>
    </w:lvl>
    <w:lvl w:ilvl="5" w:tplc="E7F2E8BA">
      <w:numFmt w:val="decimal"/>
      <w:lvlText w:val=""/>
      <w:lvlJc w:val="left"/>
    </w:lvl>
    <w:lvl w:ilvl="6" w:tplc="DB5636B8">
      <w:numFmt w:val="decimal"/>
      <w:lvlText w:val=""/>
      <w:lvlJc w:val="left"/>
    </w:lvl>
    <w:lvl w:ilvl="7" w:tplc="8F44C68A">
      <w:numFmt w:val="decimal"/>
      <w:lvlText w:val=""/>
      <w:lvlJc w:val="left"/>
    </w:lvl>
    <w:lvl w:ilvl="8" w:tplc="232A7300">
      <w:numFmt w:val="decimal"/>
      <w:lvlText w:val=""/>
      <w:lvlJc w:val="left"/>
    </w:lvl>
  </w:abstractNum>
  <w:abstractNum w:abstractNumId="346">
    <w:nsid w:val="6CE00443"/>
    <w:multiLevelType w:val="hybridMultilevel"/>
    <w:tmpl w:val="273A39A4"/>
    <w:lvl w:ilvl="0" w:tplc="BB2ABEE6">
      <w:start w:val="1"/>
      <w:numFmt w:val="bullet"/>
      <w:lvlText w:val=""/>
      <w:lvlJc w:val="left"/>
    </w:lvl>
    <w:lvl w:ilvl="1" w:tplc="18908ED6">
      <w:numFmt w:val="decimal"/>
      <w:lvlText w:val=""/>
      <w:lvlJc w:val="left"/>
    </w:lvl>
    <w:lvl w:ilvl="2" w:tplc="3DF44586">
      <w:numFmt w:val="decimal"/>
      <w:lvlText w:val=""/>
      <w:lvlJc w:val="left"/>
    </w:lvl>
    <w:lvl w:ilvl="3" w:tplc="B138351A">
      <w:numFmt w:val="decimal"/>
      <w:lvlText w:val=""/>
      <w:lvlJc w:val="left"/>
    </w:lvl>
    <w:lvl w:ilvl="4" w:tplc="968C1B7C">
      <w:numFmt w:val="decimal"/>
      <w:lvlText w:val=""/>
      <w:lvlJc w:val="left"/>
    </w:lvl>
    <w:lvl w:ilvl="5" w:tplc="C11013F0">
      <w:numFmt w:val="decimal"/>
      <w:lvlText w:val=""/>
      <w:lvlJc w:val="left"/>
    </w:lvl>
    <w:lvl w:ilvl="6" w:tplc="280CB840">
      <w:numFmt w:val="decimal"/>
      <w:lvlText w:val=""/>
      <w:lvlJc w:val="left"/>
    </w:lvl>
    <w:lvl w:ilvl="7" w:tplc="FEC43E7C">
      <w:numFmt w:val="decimal"/>
      <w:lvlText w:val=""/>
      <w:lvlJc w:val="left"/>
    </w:lvl>
    <w:lvl w:ilvl="8" w:tplc="89F057F0">
      <w:numFmt w:val="decimal"/>
      <w:lvlText w:val=""/>
      <w:lvlJc w:val="left"/>
    </w:lvl>
  </w:abstractNum>
  <w:abstractNum w:abstractNumId="347">
    <w:nsid w:val="6D1BCF1C"/>
    <w:multiLevelType w:val="hybridMultilevel"/>
    <w:tmpl w:val="9B2C684E"/>
    <w:lvl w:ilvl="0" w:tplc="0D7C9E5E">
      <w:start w:val="2"/>
      <w:numFmt w:val="decimal"/>
      <w:lvlText w:val="%1."/>
      <w:lvlJc w:val="left"/>
    </w:lvl>
    <w:lvl w:ilvl="1" w:tplc="FA4822FA">
      <w:numFmt w:val="decimal"/>
      <w:lvlText w:val=""/>
      <w:lvlJc w:val="left"/>
    </w:lvl>
    <w:lvl w:ilvl="2" w:tplc="19BC9A66">
      <w:numFmt w:val="decimal"/>
      <w:lvlText w:val=""/>
      <w:lvlJc w:val="left"/>
    </w:lvl>
    <w:lvl w:ilvl="3" w:tplc="DAEC1E06">
      <w:numFmt w:val="decimal"/>
      <w:lvlText w:val=""/>
      <w:lvlJc w:val="left"/>
    </w:lvl>
    <w:lvl w:ilvl="4" w:tplc="30A6B902">
      <w:numFmt w:val="decimal"/>
      <w:lvlText w:val=""/>
      <w:lvlJc w:val="left"/>
    </w:lvl>
    <w:lvl w:ilvl="5" w:tplc="001EE242">
      <w:numFmt w:val="decimal"/>
      <w:lvlText w:val=""/>
      <w:lvlJc w:val="left"/>
    </w:lvl>
    <w:lvl w:ilvl="6" w:tplc="7DBAC2F6">
      <w:numFmt w:val="decimal"/>
      <w:lvlText w:val=""/>
      <w:lvlJc w:val="left"/>
    </w:lvl>
    <w:lvl w:ilvl="7" w:tplc="D43818E6">
      <w:numFmt w:val="decimal"/>
      <w:lvlText w:val=""/>
      <w:lvlJc w:val="left"/>
    </w:lvl>
    <w:lvl w:ilvl="8" w:tplc="82020796">
      <w:numFmt w:val="decimal"/>
      <w:lvlText w:val=""/>
      <w:lvlJc w:val="left"/>
    </w:lvl>
  </w:abstractNum>
  <w:abstractNum w:abstractNumId="348">
    <w:nsid w:val="6DC45E83"/>
    <w:multiLevelType w:val="hybridMultilevel"/>
    <w:tmpl w:val="75A48608"/>
    <w:lvl w:ilvl="0" w:tplc="4A061782">
      <w:start w:val="1"/>
      <w:numFmt w:val="bullet"/>
      <w:lvlText w:val=""/>
      <w:lvlJc w:val="left"/>
    </w:lvl>
    <w:lvl w:ilvl="1" w:tplc="19706690">
      <w:numFmt w:val="decimal"/>
      <w:lvlText w:val=""/>
      <w:lvlJc w:val="left"/>
    </w:lvl>
    <w:lvl w:ilvl="2" w:tplc="3112D802">
      <w:numFmt w:val="decimal"/>
      <w:lvlText w:val=""/>
      <w:lvlJc w:val="left"/>
    </w:lvl>
    <w:lvl w:ilvl="3" w:tplc="77183CC2">
      <w:numFmt w:val="decimal"/>
      <w:lvlText w:val=""/>
      <w:lvlJc w:val="left"/>
    </w:lvl>
    <w:lvl w:ilvl="4" w:tplc="5A6C54E0">
      <w:numFmt w:val="decimal"/>
      <w:lvlText w:val=""/>
      <w:lvlJc w:val="left"/>
    </w:lvl>
    <w:lvl w:ilvl="5" w:tplc="8196C5A0">
      <w:numFmt w:val="decimal"/>
      <w:lvlText w:val=""/>
      <w:lvlJc w:val="left"/>
    </w:lvl>
    <w:lvl w:ilvl="6" w:tplc="463CCABC">
      <w:numFmt w:val="decimal"/>
      <w:lvlText w:val=""/>
      <w:lvlJc w:val="left"/>
    </w:lvl>
    <w:lvl w:ilvl="7" w:tplc="1108C4E8">
      <w:numFmt w:val="decimal"/>
      <w:lvlText w:val=""/>
      <w:lvlJc w:val="left"/>
    </w:lvl>
    <w:lvl w:ilvl="8" w:tplc="9960922C">
      <w:numFmt w:val="decimal"/>
      <w:lvlText w:val=""/>
      <w:lvlJc w:val="left"/>
    </w:lvl>
  </w:abstractNum>
  <w:abstractNum w:abstractNumId="349">
    <w:nsid w:val="6EBB1F2A"/>
    <w:multiLevelType w:val="hybridMultilevel"/>
    <w:tmpl w:val="9DF41FD8"/>
    <w:lvl w:ilvl="0" w:tplc="FBAECF68">
      <w:start w:val="2"/>
      <w:numFmt w:val="decimal"/>
      <w:lvlText w:val="%1"/>
      <w:lvlJc w:val="left"/>
    </w:lvl>
    <w:lvl w:ilvl="1" w:tplc="8376C786">
      <w:numFmt w:val="decimal"/>
      <w:lvlText w:val=""/>
      <w:lvlJc w:val="left"/>
    </w:lvl>
    <w:lvl w:ilvl="2" w:tplc="E43A37A2">
      <w:numFmt w:val="decimal"/>
      <w:lvlText w:val=""/>
      <w:lvlJc w:val="left"/>
    </w:lvl>
    <w:lvl w:ilvl="3" w:tplc="CBE0FAF8">
      <w:numFmt w:val="decimal"/>
      <w:lvlText w:val=""/>
      <w:lvlJc w:val="left"/>
    </w:lvl>
    <w:lvl w:ilvl="4" w:tplc="86A0197A">
      <w:numFmt w:val="decimal"/>
      <w:lvlText w:val=""/>
      <w:lvlJc w:val="left"/>
    </w:lvl>
    <w:lvl w:ilvl="5" w:tplc="DC36887E">
      <w:numFmt w:val="decimal"/>
      <w:lvlText w:val=""/>
      <w:lvlJc w:val="left"/>
    </w:lvl>
    <w:lvl w:ilvl="6" w:tplc="E8C466D6">
      <w:numFmt w:val="decimal"/>
      <w:lvlText w:val=""/>
      <w:lvlJc w:val="left"/>
    </w:lvl>
    <w:lvl w:ilvl="7" w:tplc="807CA012">
      <w:numFmt w:val="decimal"/>
      <w:lvlText w:val=""/>
      <w:lvlJc w:val="left"/>
    </w:lvl>
    <w:lvl w:ilvl="8" w:tplc="663C6D1C">
      <w:numFmt w:val="decimal"/>
      <w:lvlText w:val=""/>
      <w:lvlJc w:val="left"/>
    </w:lvl>
  </w:abstractNum>
  <w:abstractNum w:abstractNumId="350">
    <w:nsid w:val="6EC68664"/>
    <w:multiLevelType w:val="hybridMultilevel"/>
    <w:tmpl w:val="BF3A8904"/>
    <w:lvl w:ilvl="0" w:tplc="CDCCAE0C">
      <w:start w:val="1"/>
      <w:numFmt w:val="bullet"/>
      <w:lvlText w:val=""/>
      <w:lvlJc w:val="left"/>
    </w:lvl>
    <w:lvl w:ilvl="1" w:tplc="A588DA78">
      <w:numFmt w:val="decimal"/>
      <w:lvlText w:val=""/>
      <w:lvlJc w:val="left"/>
    </w:lvl>
    <w:lvl w:ilvl="2" w:tplc="D8909444">
      <w:numFmt w:val="decimal"/>
      <w:lvlText w:val=""/>
      <w:lvlJc w:val="left"/>
    </w:lvl>
    <w:lvl w:ilvl="3" w:tplc="6300945C">
      <w:numFmt w:val="decimal"/>
      <w:lvlText w:val=""/>
      <w:lvlJc w:val="left"/>
    </w:lvl>
    <w:lvl w:ilvl="4" w:tplc="0CD6E5B2">
      <w:numFmt w:val="decimal"/>
      <w:lvlText w:val=""/>
      <w:lvlJc w:val="left"/>
    </w:lvl>
    <w:lvl w:ilvl="5" w:tplc="A4DC134A">
      <w:numFmt w:val="decimal"/>
      <w:lvlText w:val=""/>
      <w:lvlJc w:val="left"/>
    </w:lvl>
    <w:lvl w:ilvl="6" w:tplc="75303C5E">
      <w:numFmt w:val="decimal"/>
      <w:lvlText w:val=""/>
      <w:lvlJc w:val="left"/>
    </w:lvl>
    <w:lvl w:ilvl="7" w:tplc="60C252EC">
      <w:numFmt w:val="decimal"/>
      <w:lvlText w:val=""/>
      <w:lvlJc w:val="left"/>
    </w:lvl>
    <w:lvl w:ilvl="8" w:tplc="9CF29CCE">
      <w:numFmt w:val="decimal"/>
      <w:lvlText w:val=""/>
      <w:lvlJc w:val="left"/>
    </w:lvl>
  </w:abstractNum>
  <w:abstractNum w:abstractNumId="351">
    <w:nsid w:val="6ECE91F0"/>
    <w:multiLevelType w:val="hybridMultilevel"/>
    <w:tmpl w:val="1862BA98"/>
    <w:lvl w:ilvl="0" w:tplc="E8A8146C">
      <w:start w:val="1"/>
      <w:numFmt w:val="bullet"/>
      <w:lvlText w:val=""/>
      <w:lvlJc w:val="left"/>
    </w:lvl>
    <w:lvl w:ilvl="1" w:tplc="D8585644">
      <w:numFmt w:val="decimal"/>
      <w:lvlText w:val=""/>
      <w:lvlJc w:val="left"/>
    </w:lvl>
    <w:lvl w:ilvl="2" w:tplc="BF48AC76">
      <w:numFmt w:val="decimal"/>
      <w:lvlText w:val=""/>
      <w:lvlJc w:val="left"/>
    </w:lvl>
    <w:lvl w:ilvl="3" w:tplc="B2E4701A">
      <w:numFmt w:val="decimal"/>
      <w:lvlText w:val=""/>
      <w:lvlJc w:val="left"/>
    </w:lvl>
    <w:lvl w:ilvl="4" w:tplc="08EC9FB8">
      <w:numFmt w:val="decimal"/>
      <w:lvlText w:val=""/>
      <w:lvlJc w:val="left"/>
    </w:lvl>
    <w:lvl w:ilvl="5" w:tplc="F64C5F30">
      <w:numFmt w:val="decimal"/>
      <w:lvlText w:val=""/>
      <w:lvlJc w:val="left"/>
    </w:lvl>
    <w:lvl w:ilvl="6" w:tplc="3BEC1D9E">
      <w:numFmt w:val="decimal"/>
      <w:lvlText w:val=""/>
      <w:lvlJc w:val="left"/>
    </w:lvl>
    <w:lvl w:ilvl="7" w:tplc="AB2EB5C4">
      <w:numFmt w:val="decimal"/>
      <w:lvlText w:val=""/>
      <w:lvlJc w:val="left"/>
    </w:lvl>
    <w:lvl w:ilvl="8" w:tplc="C2C6C7E4">
      <w:numFmt w:val="decimal"/>
      <w:lvlText w:val=""/>
      <w:lvlJc w:val="left"/>
    </w:lvl>
  </w:abstractNum>
  <w:abstractNum w:abstractNumId="352">
    <w:nsid w:val="6F0939F8"/>
    <w:multiLevelType w:val="hybridMultilevel"/>
    <w:tmpl w:val="1C64A402"/>
    <w:lvl w:ilvl="0" w:tplc="69FA1926">
      <w:start w:val="1"/>
      <w:numFmt w:val="bullet"/>
      <w:lvlText w:val=""/>
      <w:lvlJc w:val="left"/>
    </w:lvl>
    <w:lvl w:ilvl="1" w:tplc="2EACE9BE">
      <w:numFmt w:val="decimal"/>
      <w:lvlText w:val=""/>
      <w:lvlJc w:val="left"/>
    </w:lvl>
    <w:lvl w:ilvl="2" w:tplc="A34891CC">
      <w:numFmt w:val="decimal"/>
      <w:lvlText w:val=""/>
      <w:lvlJc w:val="left"/>
    </w:lvl>
    <w:lvl w:ilvl="3" w:tplc="B1F46EC6">
      <w:numFmt w:val="decimal"/>
      <w:lvlText w:val=""/>
      <w:lvlJc w:val="left"/>
    </w:lvl>
    <w:lvl w:ilvl="4" w:tplc="2A9C0F12">
      <w:numFmt w:val="decimal"/>
      <w:lvlText w:val=""/>
      <w:lvlJc w:val="left"/>
    </w:lvl>
    <w:lvl w:ilvl="5" w:tplc="81AE79E8">
      <w:numFmt w:val="decimal"/>
      <w:lvlText w:val=""/>
      <w:lvlJc w:val="left"/>
    </w:lvl>
    <w:lvl w:ilvl="6" w:tplc="14AEA9FE">
      <w:numFmt w:val="decimal"/>
      <w:lvlText w:val=""/>
      <w:lvlJc w:val="left"/>
    </w:lvl>
    <w:lvl w:ilvl="7" w:tplc="19ECCEFA">
      <w:numFmt w:val="decimal"/>
      <w:lvlText w:val=""/>
      <w:lvlJc w:val="left"/>
    </w:lvl>
    <w:lvl w:ilvl="8" w:tplc="D32AAE80">
      <w:numFmt w:val="decimal"/>
      <w:lvlText w:val=""/>
      <w:lvlJc w:val="left"/>
    </w:lvl>
  </w:abstractNum>
  <w:abstractNum w:abstractNumId="353">
    <w:nsid w:val="6F38E6D1"/>
    <w:multiLevelType w:val="hybridMultilevel"/>
    <w:tmpl w:val="3FC038C6"/>
    <w:lvl w:ilvl="0" w:tplc="92F2D326">
      <w:start w:val="1"/>
      <w:numFmt w:val="bullet"/>
      <w:lvlText w:val=""/>
      <w:lvlJc w:val="left"/>
    </w:lvl>
    <w:lvl w:ilvl="1" w:tplc="DDEA0B28">
      <w:numFmt w:val="decimal"/>
      <w:lvlText w:val=""/>
      <w:lvlJc w:val="left"/>
    </w:lvl>
    <w:lvl w:ilvl="2" w:tplc="4ECEA0AA">
      <w:numFmt w:val="decimal"/>
      <w:lvlText w:val=""/>
      <w:lvlJc w:val="left"/>
    </w:lvl>
    <w:lvl w:ilvl="3" w:tplc="01267B50">
      <w:numFmt w:val="decimal"/>
      <w:lvlText w:val=""/>
      <w:lvlJc w:val="left"/>
    </w:lvl>
    <w:lvl w:ilvl="4" w:tplc="355C698E">
      <w:numFmt w:val="decimal"/>
      <w:lvlText w:val=""/>
      <w:lvlJc w:val="left"/>
    </w:lvl>
    <w:lvl w:ilvl="5" w:tplc="0B0E7B44">
      <w:numFmt w:val="decimal"/>
      <w:lvlText w:val=""/>
      <w:lvlJc w:val="left"/>
    </w:lvl>
    <w:lvl w:ilvl="6" w:tplc="5B067CCE">
      <w:numFmt w:val="decimal"/>
      <w:lvlText w:val=""/>
      <w:lvlJc w:val="left"/>
    </w:lvl>
    <w:lvl w:ilvl="7" w:tplc="74345CE2">
      <w:numFmt w:val="decimal"/>
      <w:lvlText w:val=""/>
      <w:lvlJc w:val="left"/>
    </w:lvl>
    <w:lvl w:ilvl="8" w:tplc="D278EE20">
      <w:numFmt w:val="decimal"/>
      <w:lvlText w:val=""/>
      <w:lvlJc w:val="left"/>
    </w:lvl>
  </w:abstractNum>
  <w:abstractNum w:abstractNumId="354">
    <w:nsid w:val="6FBF29CB"/>
    <w:multiLevelType w:val="hybridMultilevel"/>
    <w:tmpl w:val="4B72CAE4"/>
    <w:lvl w:ilvl="0" w:tplc="14A44340">
      <w:start w:val="1"/>
      <w:numFmt w:val="bullet"/>
      <w:lvlText w:val=""/>
      <w:lvlJc w:val="left"/>
    </w:lvl>
    <w:lvl w:ilvl="1" w:tplc="489E338E">
      <w:numFmt w:val="decimal"/>
      <w:lvlText w:val=""/>
      <w:lvlJc w:val="left"/>
    </w:lvl>
    <w:lvl w:ilvl="2" w:tplc="35E637C0">
      <w:numFmt w:val="decimal"/>
      <w:lvlText w:val=""/>
      <w:lvlJc w:val="left"/>
    </w:lvl>
    <w:lvl w:ilvl="3" w:tplc="2A902C0C">
      <w:numFmt w:val="decimal"/>
      <w:lvlText w:val=""/>
      <w:lvlJc w:val="left"/>
    </w:lvl>
    <w:lvl w:ilvl="4" w:tplc="4E1CDC44">
      <w:numFmt w:val="decimal"/>
      <w:lvlText w:val=""/>
      <w:lvlJc w:val="left"/>
    </w:lvl>
    <w:lvl w:ilvl="5" w:tplc="D298BBB4">
      <w:numFmt w:val="decimal"/>
      <w:lvlText w:val=""/>
      <w:lvlJc w:val="left"/>
    </w:lvl>
    <w:lvl w:ilvl="6" w:tplc="62BE69C0">
      <w:numFmt w:val="decimal"/>
      <w:lvlText w:val=""/>
      <w:lvlJc w:val="left"/>
    </w:lvl>
    <w:lvl w:ilvl="7" w:tplc="573AC5EC">
      <w:numFmt w:val="decimal"/>
      <w:lvlText w:val=""/>
      <w:lvlJc w:val="left"/>
    </w:lvl>
    <w:lvl w:ilvl="8" w:tplc="74568986">
      <w:numFmt w:val="decimal"/>
      <w:lvlText w:val=""/>
      <w:lvlJc w:val="left"/>
    </w:lvl>
  </w:abstractNum>
  <w:abstractNum w:abstractNumId="355">
    <w:nsid w:val="6FE95EAC"/>
    <w:multiLevelType w:val="hybridMultilevel"/>
    <w:tmpl w:val="D5A6FBE6"/>
    <w:lvl w:ilvl="0" w:tplc="40BA9582">
      <w:start w:val="2"/>
      <w:numFmt w:val="decimal"/>
      <w:lvlText w:val="%1"/>
      <w:lvlJc w:val="left"/>
    </w:lvl>
    <w:lvl w:ilvl="1" w:tplc="046E563E">
      <w:numFmt w:val="decimal"/>
      <w:lvlText w:val=""/>
      <w:lvlJc w:val="left"/>
    </w:lvl>
    <w:lvl w:ilvl="2" w:tplc="EC588B42">
      <w:numFmt w:val="decimal"/>
      <w:lvlText w:val=""/>
      <w:lvlJc w:val="left"/>
    </w:lvl>
    <w:lvl w:ilvl="3" w:tplc="074EA7B2">
      <w:numFmt w:val="decimal"/>
      <w:lvlText w:val=""/>
      <w:lvlJc w:val="left"/>
    </w:lvl>
    <w:lvl w:ilvl="4" w:tplc="CD001122">
      <w:numFmt w:val="decimal"/>
      <w:lvlText w:val=""/>
      <w:lvlJc w:val="left"/>
    </w:lvl>
    <w:lvl w:ilvl="5" w:tplc="9E162EA2">
      <w:numFmt w:val="decimal"/>
      <w:lvlText w:val=""/>
      <w:lvlJc w:val="left"/>
    </w:lvl>
    <w:lvl w:ilvl="6" w:tplc="67CA3614">
      <w:numFmt w:val="decimal"/>
      <w:lvlText w:val=""/>
      <w:lvlJc w:val="left"/>
    </w:lvl>
    <w:lvl w:ilvl="7" w:tplc="06763184">
      <w:numFmt w:val="decimal"/>
      <w:lvlText w:val=""/>
      <w:lvlJc w:val="left"/>
    </w:lvl>
    <w:lvl w:ilvl="8" w:tplc="EAFC655A">
      <w:numFmt w:val="decimal"/>
      <w:lvlText w:val=""/>
      <w:lvlJc w:val="left"/>
    </w:lvl>
  </w:abstractNum>
  <w:abstractNum w:abstractNumId="356">
    <w:nsid w:val="706B674E"/>
    <w:multiLevelType w:val="hybridMultilevel"/>
    <w:tmpl w:val="36DE6C7E"/>
    <w:lvl w:ilvl="0" w:tplc="9216D0B6">
      <w:start w:val="1"/>
      <w:numFmt w:val="decimal"/>
      <w:lvlText w:val="%1"/>
      <w:lvlJc w:val="left"/>
    </w:lvl>
    <w:lvl w:ilvl="1" w:tplc="900ECD9E">
      <w:numFmt w:val="decimal"/>
      <w:lvlText w:val=""/>
      <w:lvlJc w:val="left"/>
    </w:lvl>
    <w:lvl w:ilvl="2" w:tplc="A1561106">
      <w:numFmt w:val="decimal"/>
      <w:lvlText w:val=""/>
      <w:lvlJc w:val="left"/>
    </w:lvl>
    <w:lvl w:ilvl="3" w:tplc="64C6615E">
      <w:numFmt w:val="decimal"/>
      <w:lvlText w:val=""/>
      <w:lvlJc w:val="left"/>
    </w:lvl>
    <w:lvl w:ilvl="4" w:tplc="CB400B7A">
      <w:numFmt w:val="decimal"/>
      <w:lvlText w:val=""/>
      <w:lvlJc w:val="left"/>
    </w:lvl>
    <w:lvl w:ilvl="5" w:tplc="94063368">
      <w:numFmt w:val="decimal"/>
      <w:lvlText w:val=""/>
      <w:lvlJc w:val="left"/>
    </w:lvl>
    <w:lvl w:ilvl="6" w:tplc="9ADEE1FE">
      <w:numFmt w:val="decimal"/>
      <w:lvlText w:val=""/>
      <w:lvlJc w:val="left"/>
    </w:lvl>
    <w:lvl w:ilvl="7" w:tplc="48C40382">
      <w:numFmt w:val="decimal"/>
      <w:lvlText w:val=""/>
      <w:lvlJc w:val="left"/>
    </w:lvl>
    <w:lvl w:ilvl="8" w:tplc="015EABFE">
      <w:numFmt w:val="decimal"/>
      <w:lvlText w:val=""/>
      <w:lvlJc w:val="left"/>
    </w:lvl>
  </w:abstractNum>
  <w:abstractNum w:abstractNumId="357">
    <w:nsid w:val="70836196"/>
    <w:multiLevelType w:val="hybridMultilevel"/>
    <w:tmpl w:val="E90AEC1C"/>
    <w:lvl w:ilvl="0" w:tplc="73922B80">
      <w:start w:val="1"/>
      <w:numFmt w:val="bullet"/>
      <w:lvlText w:val=""/>
      <w:lvlJc w:val="left"/>
    </w:lvl>
    <w:lvl w:ilvl="1" w:tplc="51E2AB1A">
      <w:numFmt w:val="decimal"/>
      <w:lvlText w:val=""/>
      <w:lvlJc w:val="left"/>
    </w:lvl>
    <w:lvl w:ilvl="2" w:tplc="9FFAC1DE">
      <w:numFmt w:val="decimal"/>
      <w:lvlText w:val=""/>
      <w:lvlJc w:val="left"/>
    </w:lvl>
    <w:lvl w:ilvl="3" w:tplc="E8140A98">
      <w:numFmt w:val="decimal"/>
      <w:lvlText w:val=""/>
      <w:lvlJc w:val="left"/>
    </w:lvl>
    <w:lvl w:ilvl="4" w:tplc="BC3E114C">
      <w:numFmt w:val="decimal"/>
      <w:lvlText w:val=""/>
      <w:lvlJc w:val="left"/>
    </w:lvl>
    <w:lvl w:ilvl="5" w:tplc="FB20BB92">
      <w:numFmt w:val="decimal"/>
      <w:lvlText w:val=""/>
      <w:lvlJc w:val="left"/>
    </w:lvl>
    <w:lvl w:ilvl="6" w:tplc="4282D0FE">
      <w:numFmt w:val="decimal"/>
      <w:lvlText w:val=""/>
      <w:lvlJc w:val="left"/>
    </w:lvl>
    <w:lvl w:ilvl="7" w:tplc="5C9AFE88">
      <w:numFmt w:val="decimal"/>
      <w:lvlText w:val=""/>
      <w:lvlJc w:val="left"/>
    </w:lvl>
    <w:lvl w:ilvl="8" w:tplc="363E680C">
      <w:numFmt w:val="decimal"/>
      <w:lvlText w:val=""/>
      <w:lvlJc w:val="left"/>
    </w:lvl>
  </w:abstractNum>
  <w:abstractNum w:abstractNumId="358">
    <w:nsid w:val="70EC11B2"/>
    <w:multiLevelType w:val="hybridMultilevel"/>
    <w:tmpl w:val="52D666CE"/>
    <w:lvl w:ilvl="0" w:tplc="779C3BF2">
      <w:start w:val="1"/>
      <w:numFmt w:val="bullet"/>
      <w:lvlText w:val="«"/>
      <w:lvlJc w:val="left"/>
    </w:lvl>
    <w:lvl w:ilvl="1" w:tplc="2D14AF62">
      <w:numFmt w:val="decimal"/>
      <w:lvlText w:val=""/>
      <w:lvlJc w:val="left"/>
    </w:lvl>
    <w:lvl w:ilvl="2" w:tplc="B2260FAA">
      <w:numFmt w:val="decimal"/>
      <w:lvlText w:val=""/>
      <w:lvlJc w:val="left"/>
    </w:lvl>
    <w:lvl w:ilvl="3" w:tplc="72AA4794">
      <w:numFmt w:val="decimal"/>
      <w:lvlText w:val=""/>
      <w:lvlJc w:val="left"/>
    </w:lvl>
    <w:lvl w:ilvl="4" w:tplc="6BA4D668">
      <w:numFmt w:val="decimal"/>
      <w:lvlText w:val=""/>
      <w:lvlJc w:val="left"/>
    </w:lvl>
    <w:lvl w:ilvl="5" w:tplc="DBB41674">
      <w:numFmt w:val="decimal"/>
      <w:lvlText w:val=""/>
      <w:lvlJc w:val="left"/>
    </w:lvl>
    <w:lvl w:ilvl="6" w:tplc="E5AC8196">
      <w:numFmt w:val="decimal"/>
      <w:lvlText w:val=""/>
      <w:lvlJc w:val="left"/>
    </w:lvl>
    <w:lvl w:ilvl="7" w:tplc="EFB0F938">
      <w:numFmt w:val="decimal"/>
      <w:lvlText w:val=""/>
      <w:lvlJc w:val="left"/>
    </w:lvl>
    <w:lvl w:ilvl="8" w:tplc="710A2660">
      <w:numFmt w:val="decimal"/>
      <w:lvlText w:val=""/>
      <w:lvlJc w:val="left"/>
    </w:lvl>
  </w:abstractNum>
  <w:abstractNum w:abstractNumId="359">
    <w:nsid w:val="71315369"/>
    <w:multiLevelType w:val="hybridMultilevel"/>
    <w:tmpl w:val="3624915E"/>
    <w:lvl w:ilvl="0" w:tplc="4F805218">
      <w:start w:val="1"/>
      <w:numFmt w:val="bullet"/>
      <w:lvlText w:val=""/>
      <w:lvlJc w:val="left"/>
    </w:lvl>
    <w:lvl w:ilvl="1" w:tplc="C3AE6CC6">
      <w:numFmt w:val="decimal"/>
      <w:lvlText w:val=""/>
      <w:lvlJc w:val="left"/>
    </w:lvl>
    <w:lvl w:ilvl="2" w:tplc="71124678">
      <w:numFmt w:val="decimal"/>
      <w:lvlText w:val=""/>
      <w:lvlJc w:val="left"/>
    </w:lvl>
    <w:lvl w:ilvl="3" w:tplc="E7D44386">
      <w:numFmt w:val="decimal"/>
      <w:lvlText w:val=""/>
      <w:lvlJc w:val="left"/>
    </w:lvl>
    <w:lvl w:ilvl="4" w:tplc="E6944D2C">
      <w:numFmt w:val="decimal"/>
      <w:lvlText w:val=""/>
      <w:lvlJc w:val="left"/>
    </w:lvl>
    <w:lvl w:ilvl="5" w:tplc="FC54D20A">
      <w:numFmt w:val="decimal"/>
      <w:lvlText w:val=""/>
      <w:lvlJc w:val="left"/>
    </w:lvl>
    <w:lvl w:ilvl="6" w:tplc="5D946326">
      <w:numFmt w:val="decimal"/>
      <w:lvlText w:val=""/>
      <w:lvlJc w:val="left"/>
    </w:lvl>
    <w:lvl w:ilvl="7" w:tplc="0430232A">
      <w:numFmt w:val="decimal"/>
      <w:lvlText w:val=""/>
      <w:lvlJc w:val="left"/>
    </w:lvl>
    <w:lvl w:ilvl="8" w:tplc="890E60B6">
      <w:numFmt w:val="decimal"/>
      <w:lvlText w:val=""/>
      <w:lvlJc w:val="left"/>
    </w:lvl>
  </w:abstractNum>
  <w:abstractNum w:abstractNumId="360">
    <w:nsid w:val="71482545"/>
    <w:multiLevelType w:val="hybridMultilevel"/>
    <w:tmpl w:val="BD8AD6AC"/>
    <w:lvl w:ilvl="0" w:tplc="009CD4A6">
      <w:start w:val="3"/>
      <w:numFmt w:val="decimal"/>
      <w:lvlText w:val="%1"/>
      <w:lvlJc w:val="left"/>
    </w:lvl>
    <w:lvl w:ilvl="1" w:tplc="83E69990">
      <w:numFmt w:val="decimal"/>
      <w:lvlText w:val=""/>
      <w:lvlJc w:val="left"/>
    </w:lvl>
    <w:lvl w:ilvl="2" w:tplc="AD9A81EE">
      <w:numFmt w:val="decimal"/>
      <w:lvlText w:val=""/>
      <w:lvlJc w:val="left"/>
    </w:lvl>
    <w:lvl w:ilvl="3" w:tplc="FE2C6FDC">
      <w:numFmt w:val="decimal"/>
      <w:lvlText w:val=""/>
      <w:lvlJc w:val="left"/>
    </w:lvl>
    <w:lvl w:ilvl="4" w:tplc="A2EE3408">
      <w:numFmt w:val="decimal"/>
      <w:lvlText w:val=""/>
      <w:lvlJc w:val="left"/>
    </w:lvl>
    <w:lvl w:ilvl="5" w:tplc="7804B3E4">
      <w:numFmt w:val="decimal"/>
      <w:lvlText w:val=""/>
      <w:lvlJc w:val="left"/>
    </w:lvl>
    <w:lvl w:ilvl="6" w:tplc="DE2CCA96">
      <w:numFmt w:val="decimal"/>
      <w:lvlText w:val=""/>
      <w:lvlJc w:val="left"/>
    </w:lvl>
    <w:lvl w:ilvl="7" w:tplc="9724C5A6">
      <w:numFmt w:val="decimal"/>
      <w:lvlText w:val=""/>
      <w:lvlJc w:val="left"/>
    </w:lvl>
    <w:lvl w:ilvl="8" w:tplc="0E18264C">
      <w:numFmt w:val="decimal"/>
      <w:lvlText w:val=""/>
      <w:lvlJc w:val="left"/>
    </w:lvl>
  </w:abstractNum>
  <w:abstractNum w:abstractNumId="361">
    <w:nsid w:val="718FABF9"/>
    <w:multiLevelType w:val="hybridMultilevel"/>
    <w:tmpl w:val="715E9462"/>
    <w:lvl w:ilvl="0" w:tplc="10C4A756">
      <w:start w:val="1"/>
      <w:numFmt w:val="bullet"/>
      <w:lvlText w:val="à"/>
      <w:lvlJc w:val="left"/>
    </w:lvl>
    <w:lvl w:ilvl="1" w:tplc="3B08347C">
      <w:numFmt w:val="decimal"/>
      <w:lvlText w:val=""/>
      <w:lvlJc w:val="left"/>
    </w:lvl>
    <w:lvl w:ilvl="2" w:tplc="E5BE2568">
      <w:numFmt w:val="decimal"/>
      <w:lvlText w:val=""/>
      <w:lvlJc w:val="left"/>
    </w:lvl>
    <w:lvl w:ilvl="3" w:tplc="8D5A62CA">
      <w:numFmt w:val="decimal"/>
      <w:lvlText w:val=""/>
      <w:lvlJc w:val="left"/>
    </w:lvl>
    <w:lvl w:ilvl="4" w:tplc="7056F440">
      <w:numFmt w:val="decimal"/>
      <w:lvlText w:val=""/>
      <w:lvlJc w:val="left"/>
    </w:lvl>
    <w:lvl w:ilvl="5" w:tplc="FB48B31C">
      <w:numFmt w:val="decimal"/>
      <w:lvlText w:val=""/>
      <w:lvlJc w:val="left"/>
    </w:lvl>
    <w:lvl w:ilvl="6" w:tplc="A4F496C6">
      <w:numFmt w:val="decimal"/>
      <w:lvlText w:val=""/>
      <w:lvlJc w:val="left"/>
    </w:lvl>
    <w:lvl w:ilvl="7" w:tplc="CF269C90">
      <w:numFmt w:val="decimal"/>
      <w:lvlText w:val=""/>
      <w:lvlJc w:val="left"/>
    </w:lvl>
    <w:lvl w:ilvl="8" w:tplc="CBEEE81E">
      <w:numFmt w:val="decimal"/>
      <w:lvlText w:val=""/>
      <w:lvlJc w:val="left"/>
    </w:lvl>
  </w:abstractNum>
  <w:abstractNum w:abstractNumId="362">
    <w:nsid w:val="71C1AF98"/>
    <w:multiLevelType w:val="hybridMultilevel"/>
    <w:tmpl w:val="47CA9F94"/>
    <w:lvl w:ilvl="0" w:tplc="5920A208">
      <w:start w:val="1"/>
      <w:numFmt w:val="decimal"/>
      <w:lvlText w:val="%1."/>
      <w:lvlJc w:val="left"/>
    </w:lvl>
    <w:lvl w:ilvl="1" w:tplc="8D1CCD88">
      <w:numFmt w:val="decimal"/>
      <w:lvlText w:val=""/>
      <w:lvlJc w:val="left"/>
    </w:lvl>
    <w:lvl w:ilvl="2" w:tplc="91200B40">
      <w:numFmt w:val="decimal"/>
      <w:lvlText w:val=""/>
      <w:lvlJc w:val="left"/>
    </w:lvl>
    <w:lvl w:ilvl="3" w:tplc="E6DC0CE2">
      <w:numFmt w:val="decimal"/>
      <w:lvlText w:val=""/>
      <w:lvlJc w:val="left"/>
    </w:lvl>
    <w:lvl w:ilvl="4" w:tplc="79287ECC">
      <w:numFmt w:val="decimal"/>
      <w:lvlText w:val=""/>
      <w:lvlJc w:val="left"/>
    </w:lvl>
    <w:lvl w:ilvl="5" w:tplc="D792B95A">
      <w:numFmt w:val="decimal"/>
      <w:lvlText w:val=""/>
      <w:lvlJc w:val="left"/>
    </w:lvl>
    <w:lvl w:ilvl="6" w:tplc="58F64FD6">
      <w:numFmt w:val="decimal"/>
      <w:lvlText w:val=""/>
      <w:lvlJc w:val="left"/>
    </w:lvl>
    <w:lvl w:ilvl="7" w:tplc="36E4219C">
      <w:numFmt w:val="decimal"/>
      <w:lvlText w:val=""/>
      <w:lvlJc w:val="left"/>
    </w:lvl>
    <w:lvl w:ilvl="8" w:tplc="AD4A96CC">
      <w:numFmt w:val="decimal"/>
      <w:lvlText w:val=""/>
      <w:lvlJc w:val="left"/>
    </w:lvl>
  </w:abstractNum>
  <w:abstractNum w:abstractNumId="363">
    <w:nsid w:val="71D601AF"/>
    <w:multiLevelType w:val="hybridMultilevel"/>
    <w:tmpl w:val="6136BF32"/>
    <w:lvl w:ilvl="0" w:tplc="70F4C9F4">
      <w:start w:val="2"/>
      <w:numFmt w:val="decimal"/>
      <w:lvlText w:val="%1"/>
      <w:lvlJc w:val="left"/>
    </w:lvl>
    <w:lvl w:ilvl="1" w:tplc="13D63B7E">
      <w:numFmt w:val="decimal"/>
      <w:lvlText w:val=""/>
      <w:lvlJc w:val="left"/>
    </w:lvl>
    <w:lvl w:ilvl="2" w:tplc="E458B6A2">
      <w:numFmt w:val="decimal"/>
      <w:lvlText w:val=""/>
      <w:lvlJc w:val="left"/>
    </w:lvl>
    <w:lvl w:ilvl="3" w:tplc="F176F05E">
      <w:numFmt w:val="decimal"/>
      <w:lvlText w:val=""/>
      <w:lvlJc w:val="left"/>
    </w:lvl>
    <w:lvl w:ilvl="4" w:tplc="F4F03C48">
      <w:numFmt w:val="decimal"/>
      <w:lvlText w:val=""/>
      <w:lvlJc w:val="left"/>
    </w:lvl>
    <w:lvl w:ilvl="5" w:tplc="F4F612E2">
      <w:numFmt w:val="decimal"/>
      <w:lvlText w:val=""/>
      <w:lvlJc w:val="left"/>
    </w:lvl>
    <w:lvl w:ilvl="6" w:tplc="CDD2B120">
      <w:numFmt w:val="decimal"/>
      <w:lvlText w:val=""/>
      <w:lvlJc w:val="left"/>
    </w:lvl>
    <w:lvl w:ilvl="7" w:tplc="8DDCA21A">
      <w:numFmt w:val="decimal"/>
      <w:lvlText w:val=""/>
      <w:lvlJc w:val="left"/>
    </w:lvl>
    <w:lvl w:ilvl="8" w:tplc="69D204EC">
      <w:numFmt w:val="decimal"/>
      <w:lvlText w:val=""/>
      <w:lvlJc w:val="left"/>
    </w:lvl>
  </w:abstractNum>
  <w:abstractNum w:abstractNumId="364">
    <w:nsid w:val="71DCE0FD"/>
    <w:multiLevelType w:val="hybridMultilevel"/>
    <w:tmpl w:val="A6F0B9BA"/>
    <w:lvl w:ilvl="0" w:tplc="B502C590">
      <w:start w:val="1"/>
      <w:numFmt w:val="bullet"/>
      <w:lvlText w:val=""/>
      <w:lvlJc w:val="left"/>
    </w:lvl>
    <w:lvl w:ilvl="1" w:tplc="A2263664">
      <w:numFmt w:val="decimal"/>
      <w:lvlText w:val=""/>
      <w:lvlJc w:val="left"/>
    </w:lvl>
    <w:lvl w:ilvl="2" w:tplc="E9CE32E6">
      <w:numFmt w:val="decimal"/>
      <w:lvlText w:val=""/>
      <w:lvlJc w:val="left"/>
    </w:lvl>
    <w:lvl w:ilvl="3" w:tplc="2CBA5D84">
      <w:numFmt w:val="decimal"/>
      <w:lvlText w:val=""/>
      <w:lvlJc w:val="left"/>
    </w:lvl>
    <w:lvl w:ilvl="4" w:tplc="F0C2DF26">
      <w:numFmt w:val="decimal"/>
      <w:lvlText w:val=""/>
      <w:lvlJc w:val="left"/>
    </w:lvl>
    <w:lvl w:ilvl="5" w:tplc="6CBE0F88">
      <w:numFmt w:val="decimal"/>
      <w:lvlText w:val=""/>
      <w:lvlJc w:val="left"/>
    </w:lvl>
    <w:lvl w:ilvl="6" w:tplc="5588B4E0">
      <w:numFmt w:val="decimal"/>
      <w:lvlText w:val=""/>
      <w:lvlJc w:val="left"/>
    </w:lvl>
    <w:lvl w:ilvl="7" w:tplc="83745EA6">
      <w:numFmt w:val="decimal"/>
      <w:lvlText w:val=""/>
      <w:lvlJc w:val="left"/>
    </w:lvl>
    <w:lvl w:ilvl="8" w:tplc="61DA65B6">
      <w:numFmt w:val="decimal"/>
      <w:lvlText w:val=""/>
      <w:lvlJc w:val="left"/>
    </w:lvl>
  </w:abstractNum>
  <w:abstractNum w:abstractNumId="365">
    <w:nsid w:val="71E5621E"/>
    <w:multiLevelType w:val="hybridMultilevel"/>
    <w:tmpl w:val="2C2E3420"/>
    <w:lvl w:ilvl="0" w:tplc="3B826CF0">
      <w:start w:val="1"/>
      <w:numFmt w:val="bullet"/>
      <w:lvlText w:val=""/>
      <w:lvlJc w:val="left"/>
    </w:lvl>
    <w:lvl w:ilvl="1" w:tplc="CFC4242C">
      <w:numFmt w:val="decimal"/>
      <w:lvlText w:val=""/>
      <w:lvlJc w:val="left"/>
    </w:lvl>
    <w:lvl w:ilvl="2" w:tplc="F8604164">
      <w:numFmt w:val="decimal"/>
      <w:lvlText w:val=""/>
      <w:lvlJc w:val="left"/>
    </w:lvl>
    <w:lvl w:ilvl="3" w:tplc="F3D4A39C">
      <w:numFmt w:val="decimal"/>
      <w:lvlText w:val=""/>
      <w:lvlJc w:val="left"/>
    </w:lvl>
    <w:lvl w:ilvl="4" w:tplc="1B10A890">
      <w:numFmt w:val="decimal"/>
      <w:lvlText w:val=""/>
      <w:lvlJc w:val="left"/>
    </w:lvl>
    <w:lvl w:ilvl="5" w:tplc="08727BE2">
      <w:numFmt w:val="decimal"/>
      <w:lvlText w:val=""/>
      <w:lvlJc w:val="left"/>
    </w:lvl>
    <w:lvl w:ilvl="6" w:tplc="E9A8532C">
      <w:numFmt w:val="decimal"/>
      <w:lvlText w:val=""/>
      <w:lvlJc w:val="left"/>
    </w:lvl>
    <w:lvl w:ilvl="7" w:tplc="3470261E">
      <w:numFmt w:val="decimal"/>
      <w:lvlText w:val=""/>
      <w:lvlJc w:val="left"/>
    </w:lvl>
    <w:lvl w:ilvl="8" w:tplc="CFE28AC2">
      <w:numFmt w:val="decimal"/>
      <w:lvlText w:val=""/>
      <w:lvlJc w:val="left"/>
    </w:lvl>
  </w:abstractNum>
  <w:abstractNum w:abstractNumId="366">
    <w:nsid w:val="73154115"/>
    <w:multiLevelType w:val="hybridMultilevel"/>
    <w:tmpl w:val="7C625E98"/>
    <w:lvl w:ilvl="0" w:tplc="81121894">
      <w:start w:val="6"/>
      <w:numFmt w:val="decimal"/>
      <w:lvlText w:val="%1"/>
      <w:lvlJc w:val="left"/>
    </w:lvl>
    <w:lvl w:ilvl="1" w:tplc="63148056">
      <w:numFmt w:val="decimal"/>
      <w:lvlText w:val=""/>
      <w:lvlJc w:val="left"/>
    </w:lvl>
    <w:lvl w:ilvl="2" w:tplc="F1AE5334">
      <w:numFmt w:val="decimal"/>
      <w:lvlText w:val=""/>
      <w:lvlJc w:val="left"/>
    </w:lvl>
    <w:lvl w:ilvl="3" w:tplc="55F86CBE">
      <w:numFmt w:val="decimal"/>
      <w:lvlText w:val=""/>
      <w:lvlJc w:val="left"/>
    </w:lvl>
    <w:lvl w:ilvl="4" w:tplc="56960B2C">
      <w:numFmt w:val="decimal"/>
      <w:lvlText w:val=""/>
      <w:lvlJc w:val="left"/>
    </w:lvl>
    <w:lvl w:ilvl="5" w:tplc="1276BAA2">
      <w:numFmt w:val="decimal"/>
      <w:lvlText w:val=""/>
      <w:lvlJc w:val="left"/>
    </w:lvl>
    <w:lvl w:ilvl="6" w:tplc="4E082310">
      <w:numFmt w:val="decimal"/>
      <w:lvlText w:val=""/>
      <w:lvlJc w:val="left"/>
    </w:lvl>
    <w:lvl w:ilvl="7" w:tplc="6068DADA">
      <w:numFmt w:val="decimal"/>
      <w:lvlText w:val=""/>
      <w:lvlJc w:val="left"/>
    </w:lvl>
    <w:lvl w:ilvl="8" w:tplc="60F4F7D4">
      <w:numFmt w:val="decimal"/>
      <w:lvlText w:val=""/>
      <w:lvlJc w:val="left"/>
    </w:lvl>
  </w:abstractNum>
  <w:abstractNum w:abstractNumId="367">
    <w:nsid w:val="73209072"/>
    <w:multiLevelType w:val="hybridMultilevel"/>
    <w:tmpl w:val="606EEA48"/>
    <w:lvl w:ilvl="0" w:tplc="82161618">
      <w:start w:val="1"/>
      <w:numFmt w:val="decimal"/>
      <w:lvlText w:val="%1"/>
      <w:lvlJc w:val="left"/>
    </w:lvl>
    <w:lvl w:ilvl="1" w:tplc="E7E85B54">
      <w:numFmt w:val="decimal"/>
      <w:lvlText w:val=""/>
      <w:lvlJc w:val="left"/>
    </w:lvl>
    <w:lvl w:ilvl="2" w:tplc="067E4982">
      <w:numFmt w:val="decimal"/>
      <w:lvlText w:val=""/>
      <w:lvlJc w:val="left"/>
    </w:lvl>
    <w:lvl w:ilvl="3" w:tplc="5E2074CE">
      <w:numFmt w:val="decimal"/>
      <w:lvlText w:val=""/>
      <w:lvlJc w:val="left"/>
    </w:lvl>
    <w:lvl w:ilvl="4" w:tplc="725EFB60">
      <w:numFmt w:val="decimal"/>
      <w:lvlText w:val=""/>
      <w:lvlJc w:val="left"/>
    </w:lvl>
    <w:lvl w:ilvl="5" w:tplc="1F86DD52">
      <w:numFmt w:val="decimal"/>
      <w:lvlText w:val=""/>
      <w:lvlJc w:val="left"/>
    </w:lvl>
    <w:lvl w:ilvl="6" w:tplc="11647C16">
      <w:numFmt w:val="decimal"/>
      <w:lvlText w:val=""/>
      <w:lvlJc w:val="left"/>
    </w:lvl>
    <w:lvl w:ilvl="7" w:tplc="E2FC73B8">
      <w:numFmt w:val="decimal"/>
      <w:lvlText w:val=""/>
      <w:lvlJc w:val="left"/>
    </w:lvl>
    <w:lvl w:ilvl="8" w:tplc="D5DE6024">
      <w:numFmt w:val="decimal"/>
      <w:lvlText w:val=""/>
      <w:lvlJc w:val="left"/>
    </w:lvl>
  </w:abstractNum>
  <w:abstractNum w:abstractNumId="368">
    <w:nsid w:val="73BBD7F8"/>
    <w:multiLevelType w:val="hybridMultilevel"/>
    <w:tmpl w:val="FD8A4244"/>
    <w:lvl w:ilvl="0" w:tplc="9FC034C8">
      <w:start w:val="1"/>
      <w:numFmt w:val="bullet"/>
      <w:lvlText w:val=""/>
      <w:lvlJc w:val="left"/>
    </w:lvl>
    <w:lvl w:ilvl="1" w:tplc="552AB656">
      <w:numFmt w:val="decimal"/>
      <w:lvlText w:val=""/>
      <w:lvlJc w:val="left"/>
    </w:lvl>
    <w:lvl w:ilvl="2" w:tplc="71EAAFE6">
      <w:numFmt w:val="decimal"/>
      <w:lvlText w:val=""/>
      <w:lvlJc w:val="left"/>
    </w:lvl>
    <w:lvl w:ilvl="3" w:tplc="B492FA94">
      <w:numFmt w:val="decimal"/>
      <w:lvlText w:val=""/>
      <w:lvlJc w:val="left"/>
    </w:lvl>
    <w:lvl w:ilvl="4" w:tplc="B4B64F5C">
      <w:numFmt w:val="decimal"/>
      <w:lvlText w:val=""/>
      <w:lvlJc w:val="left"/>
    </w:lvl>
    <w:lvl w:ilvl="5" w:tplc="072448B2">
      <w:numFmt w:val="decimal"/>
      <w:lvlText w:val=""/>
      <w:lvlJc w:val="left"/>
    </w:lvl>
    <w:lvl w:ilvl="6" w:tplc="541C3A30">
      <w:numFmt w:val="decimal"/>
      <w:lvlText w:val=""/>
      <w:lvlJc w:val="left"/>
    </w:lvl>
    <w:lvl w:ilvl="7" w:tplc="93B4DD4A">
      <w:numFmt w:val="decimal"/>
      <w:lvlText w:val=""/>
      <w:lvlJc w:val="left"/>
    </w:lvl>
    <w:lvl w:ilvl="8" w:tplc="0BE25F3C">
      <w:numFmt w:val="decimal"/>
      <w:lvlText w:val=""/>
      <w:lvlJc w:val="left"/>
    </w:lvl>
  </w:abstractNum>
  <w:abstractNum w:abstractNumId="369">
    <w:nsid w:val="73BC6770"/>
    <w:multiLevelType w:val="hybridMultilevel"/>
    <w:tmpl w:val="FF08731A"/>
    <w:lvl w:ilvl="0" w:tplc="35BCCA56">
      <w:start w:val="1"/>
      <w:numFmt w:val="bullet"/>
      <w:lvlText w:val=""/>
      <w:lvlJc w:val="left"/>
    </w:lvl>
    <w:lvl w:ilvl="1" w:tplc="BBB0CC5C">
      <w:numFmt w:val="decimal"/>
      <w:lvlText w:val=""/>
      <w:lvlJc w:val="left"/>
    </w:lvl>
    <w:lvl w:ilvl="2" w:tplc="653E8F14">
      <w:numFmt w:val="decimal"/>
      <w:lvlText w:val=""/>
      <w:lvlJc w:val="left"/>
    </w:lvl>
    <w:lvl w:ilvl="3" w:tplc="76843246">
      <w:numFmt w:val="decimal"/>
      <w:lvlText w:val=""/>
      <w:lvlJc w:val="left"/>
    </w:lvl>
    <w:lvl w:ilvl="4" w:tplc="F3F0DFA4">
      <w:numFmt w:val="decimal"/>
      <w:lvlText w:val=""/>
      <w:lvlJc w:val="left"/>
    </w:lvl>
    <w:lvl w:ilvl="5" w:tplc="4312999E">
      <w:numFmt w:val="decimal"/>
      <w:lvlText w:val=""/>
      <w:lvlJc w:val="left"/>
    </w:lvl>
    <w:lvl w:ilvl="6" w:tplc="CD583888">
      <w:numFmt w:val="decimal"/>
      <w:lvlText w:val=""/>
      <w:lvlJc w:val="left"/>
    </w:lvl>
    <w:lvl w:ilvl="7" w:tplc="229E6AD0">
      <w:numFmt w:val="decimal"/>
      <w:lvlText w:val=""/>
      <w:lvlJc w:val="left"/>
    </w:lvl>
    <w:lvl w:ilvl="8" w:tplc="441A162C">
      <w:numFmt w:val="decimal"/>
      <w:lvlText w:val=""/>
      <w:lvlJc w:val="left"/>
    </w:lvl>
  </w:abstractNum>
  <w:abstractNum w:abstractNumId="370">
    <w:nsid w:val="73CFE165"/>
    <w:multiLevelType w:val="hybridMultilevel"/>
    <w:tmpl w:val="1264CA30"/>
    <w:lvl w:ilvl="0" w:tplc="520E7DFE">
      <w:start w:val="3"/>
      <w:numFmt w:val="decimal"/>
      <w:lvlText w:val="%1"/>
      <w:lvlJc w:val="left"/>
    </w:lvl>
    <w:lvl w:ilvl="1" w:tplc="09C045A0">
      <w:numFmt w:val="decimal"/>
      <w:lvlText w:val=""/>
      <w:lvlJc w:val="left"/>
    </w:lvl>
    <w:lvl w:ilvl="2" w:tplc="7FDE06E4">
      <w:numFmt w:val="decimal"/>
      <w:lvlText w:val=""/>
      <w:lvlJc w:val="left"/>
    </w:lvl>
    <w:lvl w:ilvl="3" w:tplc="BC5A7D12">
      <w:numFmt w:val="decimal"/>
      <w:lvlText w:val=""/>
      <w:lvlJc w:val="left"/>
    </w:lvl>
    <w:lvl w:ilvl="4" w:tplc="9B52173C">
      <w:numFmt w:val="decimal"/>
      <w:lvlText w:val=""/>
      <w:lvlJc w:val="left"/>
    </w:lvl>
    <w:lvl w:ilvl="5" w:tplc="DB804D96">
      <w:numFmt w:val="decimal"/>
      <w:lvlText w:val=""/>
      <w:lvlJc w:val="left"/>
    </w:lvl>
    <w:lvl w:ilvl="6" w:tplc="E93AD290">
      <w:numFmt w:val="decimal"/>
      <w:lvlText w:val=""/>
      <w:lvlJc w:val="left"/>
    </w:lvl>
    <w:lvl w:ilvl="7" w:tplc="64C6597E">
      <w:numFmt w:val="decimal"/>
      <w:lvlText w:val=""/>
      <w:lvlJc w:val="left"/>
    </w:lvl>
    <w:lvl w:ilvl="8" w:tplc="CB061ABC">
      <w:numFmt w:val="decimal"/>
      <w:lvlText w:val=""/>
      <w:lvlJc w:val="left"/>
    </w:lvl>
  </w:abstractNum>
  <w:abstractNum w:abstractNumId="371">
    <w:nsid w:val="74C93698"/>
    <w:multiLevelType w:val="hybridMultilevel"/>
    <w:tmpl w:val="38F4633A"/>
    <w:lvl w:ilvl="0" w:tplc="0FB4D32A">
      <w:start w:val="1"/>
      <w:numFmt w:val="bullet"/>
      <w:lvlText w:val=""/>
      <w:lvlJc w:val="left"/>
    </w:lvl>
    <w:lvl w:ilvl="1" w:tplc="B0262810">
      <w:numFmt w:val="decimal"/>
      <w:lvlText w:val=""/>
      <w:lvlJc w:val="left"/>
    </w:lvl>
    <w:lvl w:ilvl="2" w:tplc="51C44E96">
      <w:numFmt w:val="decimal"/>
      <w:lvlText w:val=""/>
      <w:lvlJc w:val="left"/>
    </w:lvl>
    <w:lvl w:ilvl="3" w:tplc="68D05C4C">
      <w:numFmt w:val="decimal"/>
      <w:lvlText w:val=""/>
      <w:lvlJc w:val="left"/>
    </w:lvl>
    <w:lvl w:ilvl="4" w:tplc="666CB75A">
      <w:numFmt w:val="decimal"/>
      <w:lvlText w:val=""/>
      <w:lvlJc w:val="left"/>
    </w:lvl>
    <w:lvl w:ilvl="5" w:tplc="66509D50">
      <w:numFmt w:val="decimal"/>
      <w:lvlText w:val=""/>
      <w:lvlJc w:val="left"/>
    </w:lvl>
    <w:lvl w:ilvl="6" w:tplc="976E0582">
      <w:numFmt w:val="decimal"/>
      <w:lvlText w:val=""/>
      <w:lvlJc w:val="left"/>
    </w:lvl>
    <w:lvl w:ilvl="7" w:tplc="882A1E0A">
      <w:numFmt w:val="decimal"/>
      <w:lvlText w:val=""/>
      <w:lvlJc w:val="left"/>
    </w:lvl>
    <w:lvl w:ilvl="8" w:tplc="F0D479E8">
      <w:numFmt w:val="decimal"/>
      <w:lvlText w:val=""/>
      <w:lvlJc w:val="left"/>
    </w:lvl>
  </w:abstractNum>
  <w:abstractNum w:abstractNumId="372">
    <w:nsid w:val="7525F2BC"/>
    <w:multiLevelType w:val="hybridMultilevel"/>
    <w:tmpl w:val="40B6F190"/>
    <w:lvl w:ilvl="0" w:tplc="DBCCCD40">
      <w:start w:val="1"/>
      <w:numFmt w:val="bullet"/>
      <w:lvlText w:val=""/>
      <w:lvlJc w:val="left"/>
    </w:lvl>
    <w:lvl w:ilvl="1" w:tplc="C0761C1A">
      <w:numFmt w:val="decimal"/>
      <w:lvlText w:val=""/>
      <w:lvlJc w:val="left"/>
    </w:lvl>
    <w:lvl w:ilvl="2" w:tplc="8AC07F8A">
      <w:numFmt w:val="decimal"/>
      <w:lvlText w:val=""/>
      <w:lvlJc w:val="left"/>
    </w:lvl>
    <w:lvl w:ilvl="3" w:tplc="72E8AED0">
      <w:numFmt w:val="decimal"/>
      <w:lvlText w:val=""/>
      <w:lvlJc w:val="left"/>
    </w:lvl>
    <w:lvl w:ilvl="4" w:tplc="E5FCAAA6">
      <w:numFmt w:val="decimal"/>
      <w:lvlText w:val=""/>
      <w:lvlJc w:val="left"/>
    </w:lvl>
    <w:lvl w:ilvl="5" w:tplc="2F1E1ADA">
      <w:numFmt w:val="decimal"/>
      <w:lvlText w:val=""/>
      <w:lvlJc w:val="left"/>
    </w:lvl>
    <w:lvl w:ilvl="6" w:tplc="60E0F458">
      <w:numFmt w:val="decimal"/>
      <w:lvlText w:val=""/>
      <w:lvlJc w:val="left"/>
    </w:lvl>
    <w:lvl w:ilvl="7" w:tplc="5EBE362E">
      <w:numFmt w:val="decimal"/>
      <w:lvlText w:val=""/>
      <w:lvlJc w:val="left"/>
    </w:lvl>
    <w:lvl w:ilvl="8" w:tplc="F972298A">
      <w:numFmt w:val="decimal"/>
      <w:lvlText w:val=""/>
      <w:lvlJc w:val="left"/>
    </w:lvl>
  </w:abstractNum>
  <w:abstractNum w:abstractNumId="373">
    <w:nsid w:val="75509D76"/>
    <w:multiLevelType w:val="hybridMultilevel"/>
    <w:tmpl w:val="64E2A05C"/>
    <w:lvl w:ilvl="0" w:tplc="765883C6">
      <w:start w:val="1"/>
      <w:numFmt w:val="bullet"/>
      <w:lvlText w:val=""/>
      <w:lvlJc w:val="left"/>
    </w:lvl>
    <w:lvl w:ilvl="1" w:tplc="C16E494C">
      <w:numFmt w:val="decimal"/>
      <w:lvlText w:val=""/>
      <w:lvlJc w:val="left"/>
    </w:lvl>
    <w:lvl w:ilvl="2" w:tplc="4A04F210">
      <w:numFmt w:val="decimal"/>
      <w:lvlText w:val=""/>
      <w:lvlJc w:val="left"/>
    </w:lvl>
    <w:lvl w:ilvl="3" w:tplc="E37835D8">
      <w:numFmt w:val="decimal"/>
      <w:lvlText w:val=""/>
      <w:lvlJc w:val="left"/>
    </w:lvl>
    <w:lvl w:ilvl="4" w:tplc="06FAFD00">
      <w:numFmt w:val="decimal"/>
      <w:lvlText w:val=""/>
      <w:lvlJc w:val="left"/>
    </w:lvl>
    <w:lvl w:ilvl="5" w:tplc="9DD0E514">
      <w:numFmt w:val="decimal"/>
      <w:lvlText w:val=""/>
      <w:lvlJc w:val="left"/>
    </w:lvl>
    <w:lvl w:ilvl="6" w:tplc="E81C15D0">
      <w:numFmt w:val="decimal"/>
      <w:lvlText w:val=""/>
      <w:lvlJc w:val="left"/>
    </w:lvl>
    <w:lvl w:ilvl="7" w:tplc="30A6C51E">
      <w:numFmt w:val="decimal"/>
      <w:lvlText w:val=""/>
      <w:lvlJc w:val="left"/>
    </w:lvl>
    <w:lvl w:ilvl="8" w:tplc="B894B64A">
      <w:numFmt w:val="decimal"/>
      <w:lvlText w:val=""/>
      <w:lvlJc w:val="left"/>
    </w:lvl>
  </w:abstractNum>
  <w:abstractNum w:abstractNumId="374">
    <w:nsid w:val="75B52783"/>
    <w:multiLevelType w:val="hybridMultilevel"/>
    <w:tmpl w:val="154A0A72"/>
    <w:lvl w:ilvl="0" w:tplc="1CE28CA2">
      <w:start w:val="1"/>
      <w:numFmt w:val="bullet"/>
      <w:lvlText w:val=""/>
      <w:lvlJc w:val="left"/>
    </w:lvl>
    <w:lvl w:ilvl="1" w:tplc="AA2E462C">
      <w:numFmt w:val="decimal"/>
      <w:lvlText w:val=""/>
      <w:lvlJc w:val="left"/>
    </w:lvl>
    <w:lvl w:ilvl="2" w:tplc="715A2A90">
      <w:numFmt w:val="decimal"/>
      <w:lvlText w:val=""/>
      <w:lvlJc w:val="left"/>
    </w:lvl>
    <w:lvl w:ilvl="3" w:tplc="45F4F3DA">
      <w:numFmt w:val="decimal"/>
      <w:lvlText w:val=""/>
      <w:lvlJc w:val="left"/>
    </w:lvl>
    <w:lvl w:ilvl="4" w:tplc="8084B75E">
      <w:numFmt w:val="decimal"/>
      <w:lvlText w:val=""/>
      <w:lvlJc w:val="left"/>
    </w:lvl>
    <w:lvl w:ilvl="5" w:tplc="27DECF00">
      <w:numFmt w:val="decimal"/>
      <w:lvlText w:val=""/>
      <w:lvlJc w:val="left"/>
    </w:lvl>
    <w:lvl w:ilvl="6" w:tplc="B01E18D6">
      <w:numFmt w:val="decimal"/>
      <w:lvlText w:val=""/>
      <w:lvlJc w:val="left"/>
    </w:lvl>
    <w:lvl w:ilvl="7" w:tplc="530C6F28">
      <w:numFmt w:val="decimal"/>
      <w:lvlText w:val=""/>
      <w:lvlJc w:val="left"/>
    </w:lvl>
    <w:lvl w:ilvl="8" w:tplc="ECE21B74">
      <w:numFmt w:val="decimal"/>
      <w:lvlText w:val=""/>
      <w:lvlJc w:val="left"/>
    </w:lvl>
  </w:abstractNum>
  <w:abstractNum w:abstractNumId="375">
    <w:nsid w:val="7616D704"/>
    <w:multiLevelType w:val="hybridMultilevel"/>
    <w:tmpl w:val="1FE01FD2"/>
    <w:lvl w:ilvl="0" w:tplc="40845432">
      <w:start w:val="15"/>
      <w:numFmt w:val="lowerLetter"/>
      <w:lvlText w:val="%1"/>
      <w:lvlJc w:val="left"/>
    </w:lvl>
    <w:lvl w:ilvl="1" w:tplc="96F228E6">
      <w:numFmt w:val="decimal"/>
      <w:lvlText w:val=""/>
      <w:lvlJc w:val="left"/>
    </w:lvl>
    <w:lvl w:ilvl="2" w:tplc="7CB0E244">
      <w:numFmt w:val="decimal"/>
      <w:lvlText w:val=""/>
      <w:lvlJc w:val="left"/>
    </w:lvl>
    <w:lvl w:ilvl="3" w:tplc="C74437B0">
      <w:numFmt w:val="decimal"/>
      <w:lvlText w:val=""/>
      <w:lvlJc w:val="left"/>
    </w:lvl>
    <w:lvl w:ilvl="4" w:tplc="E564B68C">
      <w:numFmt w:val="decimal"/>
      <w:lvlText w:val=""/>
      <w:lvlJc w:val="left"/>
    </w:lvl>
    <w:lvl w:ilvl="5" w:tplc="C59A5442">
      <w:numFmt w:val="decimal"/>
      <w:lvlText w:val=""/>
      <w:lvlJc w:val="left"/>
    </w:lvl>
    <w:lvl w:ilvl="6" w:tplc="E4BE0F94">
      <w:numFmt w:val="decimal"/>
      <w:lvlText w:val=""/>
      <w:lvlJc w:val="left"/>
    </w:lvl>
    <w:lvl w:ilvl="7" w:tplc="030883E2">
      <w:numFmt w:val="decimal"/>
      <w:lvlText w:val=""/>
      <w:lvlJc w:val="left"/>
    </w:lvl>
    <w:lvl w:ilvl="8" w:tplc="F5EE2B72">
      <w:numFmt w:val="decimal"/>
      <w:lvlText w:val=""/>
      <w:lvlJc w:val="left"/>
    </w:lvl>
  </w:abstractNum>
  <w:abstractNum w:abstractNumId="376">
    <w:nsid w:val="7631573A"/>
    <w:multiLevelType w:val="hybridMultilevel"/>
    <w:tmpl w:val="E79A7CD2"/>
    <w:lvl w:ilvl="0" w:tplc="22EE642E">
      <w:start w:val="1"/>
      <w:numFmt w:val="bullet"/>
      <w:lvlText w:val=""/>
      <w:lvlJc w:val="left"/>
    </w:lvl>
    <w:lvl w:ilvl="1" w:tplc="9F6456B4">
      <w:numFmt w:val="decimal"/>
      <w:lvlText w:val=""/>
      <w:lvlJc w:val="left"/>
    </w:lvl>
    <w:lvl w:ilvl="2" w:tplc="8EEA4614">
      <w:numFmt w:val="decimal"/>
      <w:lvlText w:val=""/>
      <w:lvlJc w:val="left"/>
    </w:lvl>
    <w:lvl w:ilvl="3" w:tplc="C5641018">
      <w:numFmt w:val="decimal"/>
      <w:lvlText w:val=""/>
      <w:lvlJc w:val="left"/>
    </w:lvl>
    <w:lvl w:ilvl="4" w:tplc="E60E38BC">
      <w:numFmt w:val="decimal"/>
      <w:lvlText w:val=""/>
      <w:lvlJc w:val="left"/>
    </w:lvl>
    <w:lvl w:ilvl="5" w:tplc="DB3C4BEA">
      <w:numFmt w:val="decimal"/>
      <w:lvlText w:val=""/>
      <w:lvlJc w:val="left"/>
    </w:lvl>
    <w:lvl w:ilvl="6" w:tplc="A68012C0">
      <w:numFmt w:val="decimal"/>
      <w:lvlText w:val=""/>
      <w:lvlJc w:val="left"/>
    </w:lvl>
    <w:lvl w:ilvl="7" w:tplc="AA287120">
      <w:numFmt w:val="decimal"/>
      <w:lvlText w:val=""/>
      <w:lvlJc w:val="left"/>
    </w:lvl>
    <w:lvl w:ilvl="8" w:tplc="5450E0BA">
      <w:numFmt w:val="decimal"/>
      <w:lvlText w:val=""/>
      <w:lvlJc w:val="left"/>
    </w:lvl>
  </w:abstractNum>
  <w:abstractNum w:abstractNumId="377">
    <w:nsid w:val="7635AA2A"/>
    <w:multiLevelType w:val="hybridMultilevel"/>
    <w:tmpl w:val="62CA7C86"/>
    <w:lvl w:ilvl="0" w:tplc="8980554E">
      <w:start w:val="1"/>
      <w:numFmt w:val="bullet"/>
      <w:lvlText w:val=""/>
      <w:lvlJc w:val="left"/>
    </w:lvl>
    <w:lvl w:ilvl="1" w:tplc="E1C0432C">
      <w:numFmt w:val="decimal"/>
      <w:lvlText w:val=""/>
      <w:lvlJc w:val="left"/>
    </w:lvl>
    <w:lvl w:ilvl="2" w:tplc="6FCEAFAE">
      <w:numFmt w:val="decimal"/>
      <w:lvlText w:val=""/>
      <w:lvlJc w:val="left"/>
    </w:lvl>
    <w:lvl w:ilvl="3" w:tplc="1BF841AC">
      <w:numFmt w:val="decimal"/>
      <w:lvlText w:val=""/>
      <w:lvlJc w:val="left"/>
    </w:lvl>
    <w:lvl w:ilvl="4" w:tplc="D5FC9FB4">
      <w:numFmt w:val="decimal"/>
      <w:lvlText w:val=""/>
      <w:lvlJc w:val="left"/>
    </w:lvl>
    <w:lvl w:ilvl="5" w:tplc="49EA14E2">
      <w:numFmt w:val="decimal"/>
      <w:lvlText w:val=""/>
      <w:lvlJc w:val="left"/>
    </w:lvl>
    <w:lvl w:ilvl="6" w:tplc="8552237A">
      <w:numFmt w:val="decimal"/>
      <w:lvlText w:val=""/>
      <w:lvlJc w:val="left"/>
    </w:lvl>
    <w:lvl w:ilvl="7" w:tplc="52BC45DC">
      <w:numFmt w:val="decimal"/>
      <w:lvlText w:val=""/>
      <w:lvlJc w:val="left"/>
    </w:lvl>
    <w:lvl w:ilvl="8" w:tplc="93D6136E">
      <w:numFmt w:val="decimal"/>
      <w:lvlText w:val=""/>
      <w:lvlJc w:val="left"/>
    </w:lvl>
  </w:abstractNum>
  <w:abstractNum w:abstractNumId="378">
    <w:nsid w:val="763B8C4E"/>
    <w:multiLevelType w:val="hybridMultilevel"/>
    <w:tmpl w:val="E9643D0A"/>
    <w:lvl w:ilvl="0" w:tplc="254E691E">
      <w:start w:val="1"/>
      <w:numFmt w:val="bullet"/>
      <w:lvlText w:val=""/>
      <w:lvlJc w:val="left"/>
    </w:lvl>
    <w:lvl w:ilvl="1" w:tplc="3DAEC43E">
      <w:numFmt w:val="decimal"/>
      <w:lvlText w:val=""/>
      <w:lvlJc w:val="left"/>
    </w:lvl>
    <w:lvl w:ilvl="2" w:tplc="2B304482">
      <w:numFmt w:val="decimal"/>
      <w:lvlText w:val=""/>
      <w:lvlJc w:val="left"/>
    </w:lvl>
    <w:lvl w:ilvl="3" w:tplc="B31A8D70">
      <w:numFmt w:val="decimal"/>
      <w:lvlText w:val=""/>
      <w:lvlJc w:val="left"/>
    </w:lvl>
    <w:lvl w:ilvl="4" w:tplc="91EA5EEE">
      <w:numFmt w:val="decimal"/>
      <w:lvlText w:val=""/>
      <w:lvlJc w:val="left"/>
    </w:lvl>
    <w:lvl w:ilvl="5" w:tplc="5D168534">
      <w:numFmt w:val="decimal"/>
      <w:lvlText w:val=""/>
      <w:lvlJc w:val="left"/>
    </w:lvl>
    <w:lvl w:ilvl="6" w:tplc="846EEB1A">
      <w:numFmt w:val="decimal"/>
      <w:lvlText w:val=""/>
      <w:lvlJc w:val="left"/>
    </w:lvl>
    <w:lvl w:ilvl="7" w:tplc="F0383B3A">
      <w:numFmt w:val="decimal"/>
      <w:lvlText w:val=""/>
      <w:lvlJc w:val="left"/>
    </w:lvl>
    <w:lvl w:ilvl="8" w:tplc="73AC2208">
      <w:numFmt w:val="decimal"/>
      <w:lvlText w:val=""/>
      <w:lvlJc w:val="left"/>
    </w:lvl>
  </w:abstractNum>
  <w:abstractNum w:abstractNumId="379">
    <w:nsid w:val="763CB680"/>
    <w:multiLevelType w:val="hybridMultilevel"/>
    <w:tmpl w:val="11E4C242"/>
    <w:lvl w:ilvl="0" w:tplc="DB9A6226">
      <w:start w:val="1"/>
      <w:numFmt w:val="bullet"/>
      <w:lvlText w:val=""/>
      <w:lvlJc w:val="left"/>
    </w:lvl>
    <w:lvl w:ilvl="1" w:tplc="DB6429A2">
      <w:numFmt w:val="decimal"/>
      <w:lvlText w:val=""/>
      <w:lvlJc w:val="left"/>
    </w:lvl>
    <w:lvl w:ilvl="2" w:tplc="85E2A6B8">
      <w:numFmt w:val="decimal"/>
      <w:lvlText w:val=""/>
      <w:lvlJc w:val="left"/>
    </w:lvl>
    <w:lvl w:ilvl="3" w:tplc="53488212">
      <w:numFmt w:val="decimal"/>
      <w:lvlText w:val=""/>
      <w:lvlJc w:val="left"/>
    </w:lvl>
    <w:lvl w:ilvl="4" w:tplc="6C241986">
      <w:numFmt w:val="decimal"/>
      <w:lvlText w:val=""/>
      <w:lvlJc w:val="left"/>
    </w:lvl>
    <w:lvl w:ilvl="5" w:tplc="A926BB00">
      <w:numFmt w:val="decimal"/>
      <w:lvlText w:val=""/>
      <w:lvlJc w:val="left"/>
    </w:lvl>
    <w:lvl w:ilvl="6" w:tplc="76BCADC0">
      <w:numFmt w:val="decimal"/>
      <w:lvlText w:val=""/>
      <w:lvlJc w:val="left"/>
    </w:lvl>
    <w:lvl w:ilvl="7" w:tplc="0CB029AE">
      <w:numFmt w:val="decimal"/>
      <w:lvlText w:val=""/>
      <w:lvlJc w:val="left"/>
    </w:lvl>
    <w:lvl w:ilvl="8" w:tplc="75166B34">
      <w:numFmt w:val="decimal"/>
      <w:lvlText w:val=""/>
      <w:lvlJc w:val="left"/>
    </w:lvl>
  </w:abstractNum>
  <w:abstractNum w:abstractNumId="380">
    <w:nsid w:val="76574F8B"/>
    <w:multiLevelType w:val="hybridMultilevel"/>
    <w:tmpl w:val="02A48A88"/>
    <w:lvl w:ilvl="0" w:tplc="FA2859EA">
      <w:start w:val="1"/>
      <w:numFmt w:val="bullet"/>
      <w:lvlText w:val=""/>
      <w:lvlJc w:val="left"/>
    </w:lvl>
    <w:lvl w:ilvl="1" w:tplc="E2E86D66">
      <w:numFmt w:val="decimal"/>
      <w:lvlText w:val=""/>
      <w:lvlJc w:val="left"/>
    </w:lvl>
    <w:lvl w:ilvl="2" w:tplc="82DA4918">
      <w:numFmt w:val="decimal"/>
      <w:lvlText w:val=""/>
      <w:lvlJc w:val="left"/>
    </w:lvl>
    <w:lvl w:ilvl="3" w:tplc="AD285606">
      <w:numFmt w:val="decimal"/>
      <w:lvlText w:val=""/>
      <w:lvlJc w:val="left"/>
    </w:lvl>
    <w:lvl w:ilvl="4" w:tplc="7EF26D50">
      <w:numFmt w:val="decimal"/>
      <w:lvlText w:val=""/>
      <w:lvlJc w:val="left"/>
    </w:lvl>
    <w:lvl w:ilvl="5" w:tplc="F25AEDF2">
      <w:numFmt w:val="decimal"/>
      <w:lvlText w:val=""/>
      <w:lvlJc w:val="left"/>
    </w:lvl>
    <w:lvl w:ilvl="6" w:tplc="22A46464">
      <w:numFmt w:val="decimal"/>
      <w:lvlText w:val=""/>
      <w:lvlJc w:val="left"/>
    </w:lvl>
    <w:lvl w:ilvl="7" w:tplc="D0086EFC">
      <w:numFmt w:val="decimal"/>
      <w:lvlText w:val=""/>
      <w:lvlJc w:val="left"/>
    </w:lvl>
    <w:lvl w:ilvl="8" w:tplc="3AFC2B52">
      <w:numFmt w:val="decimal"/>
      <w:lvlText w:val=""/>
      <w:lvlJc w:val="left"/>
    </w:lvl>
  </w:abstractNum>
  <w:abstractNum w:abstractNumId="381">
    <w:nsid w:val="766D98C2"/>
    <w:multiLevelType w:val="hybridMultilevel"/>
    <w:tmpl w:val="98CAF4BC"/>
    <w:lvl w:ilvl="0" w:tplc="569E84DE">
      <w:start w:val="1"/>
      <w:numFmt w:val="bullet"/>
      <w:lvlText w:val=""/>
      <w:lvlJc w:val="left"/>
    </w:lvl>
    <w:lvl w:ilvl="1" w:tplc="E07A6DE2">
      <w:start w:val="1"/>
      <w:numFmt w:val="bullet"/>
      <w:lvlText w:val="«"/>
      <w:lvlJc w:val="left"/>
    </w:lvl>
    <w:lvl w:ilvl="2" w:tplc="CF7AF5B4">
      <w:numFmt w:val="decimal"/>
      <w:lvlText w:val=""/>
      <w:lvlJc w:val="left"/>
    </w:lvl>
    <w:lvl w:ilvl="3" w:tplc="87960E6A">
      <w:numFmt w:val="decimal"/>
      <w:lvlText w:val=""/>
      <w:lvlJc w:val="left"/>
    </w:lvl>
    <w:lvl w:ilvl="4" w:tplc="369C53F6">
      <w:numFmt w:val="decimal"/>
      <w:lvlText w:val=""/>
      <w:lvlJc w:val="left"/>
    </w:lvl>
    <w:lvl w:ilvl="5" w:tplc="56A0AC10">
      <w:numFmt w:val="decimal"/>
      <w:lvlText w:val=""/>
      <w:lvlJc w:val="left"/>
    </w:lvl>
    <w:lvl w:ilvl="6" w:tplc="80385504">
      <w:numFmt w:val="decimal"/>
      <w:lvlText w:val=""/>
      <w:lvlJc w:val="left"/>
    </w:lvl>
    <w:lvl w:ilvl="7" w:tplc="F61C4D62">
      <w:numFmt w:val="decimal"/>
      <w:lvlText w:val=""/>
      <w:lvlJc w:val="left"/>
    </w:lvl>
    <w:lvl w:ilvl="8" w:tplc="37DC4EF6">
      <w:numFmt w:val="decimal"/>
      <w:lvlText w:val=""/>
      <w:lvlJc w:val="left"/>
    </w:lvl>
  </w:abstractNum>
  <w:abstractNum w:abstractNumId="382">
    <w:nsid w:val="76896198"/>
    <w:multiLevelType w:val="hybridMultilevel"/>
    <w:tmpl w:val="70BE9FA0"/>
    <w:lvl w:ilvl="0" w:tplc="3912AED8">
      <w:start w:val="1"/>
      <w:numFmt w:val="bullet"/>
      <w:lvlText w:val=""/>
      <w:lvlJc w:val="left"/>
    </w:lvl>
    <w:lvl w:ilvl="1" w:tplc="3A02F1FA">
      <w:numFmt w:val="decimal"/>
      <w:lvlText w:val=""/>
      <w:lvlJc w:val="left"/>
    </w:lvl>
    <w:lvl w:ilvl="2" w:tplc="9D48495A">
      <w:numFmt w:val="decimal"/>
      <w:lvlText w:val=""/>
      <w:lvlJc w:val="left"/>
    </w:lvl>
    <w:lvl w:ilvl="3" w:tplc="8B3AACC8">
      <w:numFmt w:val="decimal"/>
      <w:lvlText w:val=""/>
      <w:lvlJc w:val="left"/>
    </w:lvl>
    <w:lvl w:ilvl="4" w:tplc="F71ED784">
      <w:numFmt w:val="decimal"/>
      <w:lvlText w:val=""/>
      <w:lvlJc w:val="left"/>
    </w:lvl>
    <w:lvl w:ilvl="5" w:tplc="6824BB18">
      <w:numFmt w:val="decimal"/>
      <w:lvlText w:val=""/>
      <w:lvlJc w:val="left"/>
    </w:lvl>
    <w:lvl w:ilvl="6" w:tplc="3B3CE930">
      <w:numFmt w:val="decimal"/>
      <w:lvlText w:val=""/>
      <w:lvlJc w:val="left"/>
    </w:lvl>
    <w:lvl w:ilvl="7" w:tplc="598CB408">
      <w:numFmt w:val="decimal"/>
      <w:lvlText w:val=""/>
      <w:lvlJc w:val="left"/>
    </w:lvl>
    <w:lvl w:ilvl="8" w:tplc="451CC36E">
      <w:numFmt w:val="decimal"/>
      <w:lvlText w:val=""/>
      <w:lvlJc w:val="left"/>
    </w:lvl>
  </w:abstractNum>
  <w:abstractNum w:abstractNumId="383">
    <w:nsid w:val="769A091F"/>
    <w:multiLevelType w:val="hybridMultilevel"/>
    <w:tmpl w:val="7CF6639A"/>
    <w:lvl w:ilvl="0" w:tplc="8744A1FC">
      <w:start w:val="1"/>
      <w:numFmt w:val="bullet"/>
      <w:lvlText w:val=""/>
      <w:lvlJc w:val="left"/>
    </w:lvl>
    <w:lvl w:ilvl="1" w:tplc="BC4EABDA">
      <w:numFmt w:val="decimal"/>
      <w:lvlText w:val=""/>
      <w:lvlJc w:val="left"/>
    </w:lvl>
    <w:lvl w:ilvl="2" w:tplc="62AAA66E">
      <w:numFmt w:val="decimal"/>
      <w:lvlText w:val=""/>
      <w:lvlJc w:val="left"/>
    </w:lvl>
    <w:lvl w:ilvl="3" w:tplc="7E84F9BA">
      <w:numFmt w:val="decimal"/>
      <w:lvlText w:val=""/>
      <w:lvlJc w:val="left"/>
    </w:lvl>
    <w:lvl w:ilvl="4" w:tplc="EFF2D304">
      <w:numFmt w:val="decimal"/>
      <w:lvlText w:val=""/>
      <w:lvlJc w:val="left"/>
    </w:lvl>
    <w:lvl w:ilvl="5" w:tplc="CE7AA9D8">
      <w:numFmt w:val="decimal"/>
      <w:lvlText w:val=""/>
      <w:lvlJc w:val="left"/>
    </w:lvl>
    <w:lvl w:ilvl="6" w:tplc="738AE1CC">
      <w:numFmt w:val="decimal"/>
      <w:lvlText w:val=""/>
      <w:lvlJc w:val="left"/>
    </w:lvl>
    <w:lvl w:ilvl="7" w:tplc="DD2A1004">
      <w:numFmt w:val="decimal"/>
      <w:lvlText w:val=""/>
      <w:lvlJc w:val="left"/>
    </w:lvl>
    <w:lvl w:ilvl="8" w:tplc="C90C50C2">
      <w:numFmt w:val="decimal"/>
      <w:lvlText w:val=""/>
      <w:lvlJc w:val="left"/>
    </w:lvl>
  </w:abstractNum>
  <w:abstractNum w:abstractNumId="384">
    <w:nsid w:val="773BFBDD"/>
    <w:multiLevelType w:val="hybridMultilevel"/>
    <w:tmpl w:val="B32047F4"/>
    <w:lvl w:ilvl="0" w:tplc="F3941604">
      <w:start w:val="1"/>
      <w:numFmt w:val="bullet"/>
      <w:lvlText w:val="«"/>
      <w:lvlJc w:val="left"/>
    </w:lvl>
    <w:lvl w:ilvl="1" w:tplc="025851EC">
      <w:numFmt w:val="decimal"/>
      <w:lvlText w:val=""/>
      <w:lvlJc w:val="left"/>
    </w:lvl>
    <w:lvl w:ilvl="2" w:tplc="35DA331A">
      <w:numFmt w:val="decimal"/>
      <w:lvlText w:val=""/>
      <w:lvlJc w:val="left"/>
    </w:lvl>
    <w:lvl w:ilvl="3" w:tplc="FCB8C0CC">
      <w:numFmt w:val="decimal"/>
      <w:lvlText w:val=""/>
      <w:lvlJc w:val="left"/>
    </w:lvl>
    <w:lvl w:ilvl="4" w:tplc="D99E0D2E">
      <w:numFmt w:val="decimal"/>
      <w:lvlText w:val=""/>
      <w:lvlJc w:val="left"/>
    </w:lvl>
    <w:lvl w:ilvl="5" w:tplc="1400B226">
      <w:numFmt w:val="decimal"/>
      <w:lvlText w:val=""/>
      <w:lvlJc w:val="left"/>
    </w:lvl>
    <w:lvl w:ilvl="6" w:tplc="F782D8A2">
      <w:numFmt w:val="decimal"/>
      <w:lvlText w:val=""/>
      <w:lvlJc w:val="left"/>
    </w:lvl>
    <w:lvl w:ilvl="7" w:tplc="49E89A84">
      <w:numFmt w:val="decimal"/>
      <w:lvlText w:val=""/>
      <w:lvlJc w:val="left"/>
    </w:lvl>
    <w:lvl w:ilvl="8" w:tplc="2BDE4A82">
      <w:numFmt w:val="decimal"/>
      <w:lvlText w:val=""/>
      <w:lvlJc w:val="left"/>
    </w:lvl>
  </w:abstractNum>
  <w:abstractNum w:abstractNumId="385">
    <w:nsid w:val="775BA7C1"/>
    <w:multiLevelType w:val="hybridMultilevel"/>
    <w:tmpl w:val="3B602ACA"/>
    <w:lvl w:ilvl="0" w:tplc="09CC58DA">
      <w:start w:val="4"/>
      <w:numFmt w:val="decimal"/>
      <w:lvlText w:val="%1"/>
      <w:lvlJc w:val="left"/>
    </w:lvl>
    <w:lvl w:ilvl="1" w:tplc="0A5238C8">
      <w:numFmt w:val="decimal"/>
      <w:lvlText w:val=""/>
      <w:lvlJc w:val="left"/>
    </w:lvl>
    <w:lvl w:ilvl="2" w:tplc="AB5ECAFC">
      <w:numFmt w:val="decimal"/>
      <w:lvlText w:val=""/>
      <w:lvlJc w:val="left"/>
    </w:lvl>
    <w:lvl w:ilvl="3" w:tplc="B754C0BC">
      <w:numFmt w:val="decimal"/>
      <w:lvlText w:val=""/>
      <w:lvlJc w:val="left"/>
    </w:lvl>
    <w:lvl w:ilvl="4" w:tplc="625028D0">
      <w:numFmt w:val="decimal"/>
      <w:lvlText w:val=""/>
      <w:lvlJc w:val="left"/>
    </w:lvl>
    <w:lvl w:ilvl="5" w:tplc="0AEC3CA2">
      <w:numFmt w:val="decimal"/>
      <w:lvlText w:val=""/>
      <w:lvlJc w:val="left"/>
    </w:lvl>
    <w:lvl w:ilvl="6" w:tplc="8DD48664">
      <w:numFmt w:val="decimal"/>
      <w:lvlText w:val=""/>
      <w:lvlJc w:val="left"/>
    </w:lvl>
    <w:lvl w:ilvl="7" w:tplc="37AE6FEA">
      <w:numFmt w:val="decimal"/>
      <w:lvlText w:val=""/>
      <w:lvlJc w:val="left"/>
    </w:lvl>
    <w:lvl w:ilvl="8" w:tplc="F7681582">
      <w:numFmt w:val="decimal"/>
      <w:lvlText w:val=""/>
      <w:lvlJc w:val="left"/>
    </w:lvl>
  </w:abstractNum>
  <w:abstractNum w:abstractNumId="386">
    <w:nsid w:val="7775797C"/>
    <w:multiLevelType w:val="hybridMultilevel"/>
    <w:tmpl w:val="5BD0ACFE"/>
    <w:lvl w:ilvl="0" w:tplc="282A2AE6">
      <w:start w:val="1"/>
      <w:numFmt w:val="bullet"/>
      <w:lvlText w:val="-"/>
      <w:lvlJc w:val="left"/>
    </w:lvl>
    <w:lvl w:ilvl="1" w:tplc="28745120">
      <w:numFmt w:val="decimal"/>
      <w:lvlText w:val=""/>
      <w:lvlJc w:val="left"/>
    </w:lvl>
    <w:lvl w:ilvl="2" w:tplc="C71E3F0A">
      <w:numFmt w:val="decimal"/>
      <w:lvlText w:val=""/>
      <w:lvlJc w:val="left"/>
    </w:lvl>
    <w:lvl w:ilvl="3" w:tplc="CB446C5E">
      <w:numFmt w:val="decimal"/>
      <w:lvlText w:val=""/>
      <w:lvlJc w:val="left"/>
    </w:lvl>
    <w:lvl w:ilvl="4" w:tplc="F4A032FC">
      <w:numFmt w:val="decimal"/>
      <w:lvlText w:val=""/>
      <w:lvlJc w:val="left"/>
    </w:lvl>
    <w:lvl w:ilvl="5" w:tplc="3E70A47E">
      <w:numFmt w:val="decimal"/>
      <w:lvlText w:val=""/>
      <w:lvlJc w:val="left"/>
    </w:lvl>
    <w:lvl w:ilvl="6" w:tplc="F5A6634C">
      <w:numFmt w:val="decimal"/>
      <w:lvlText w:val=""/>
      <w:lvlJc w:val="left"/>
    </w:lvl>
    <w:lvl w:ilvl="7" w:tplc="BD586876">
      <w:numFmt w:val="decimal"/>
      <w:lvlText w:val=""/>
      <w:lvlJc w:val="left"/>
    </w:lvl>
    <w:lvl w:ilvl="8" w:tplc="F8F6AD1C">
      <w:numFmt w:val="decimal"/>
      <w:lvlText w:val=""/>
      <w:lvlJc w:val="left"/>
    </w:lvl>
  </w:abstractNum>
  <w:abstractNum w:abstractNumId="387">
    <w:nsid w:val="777A4EAA"/>
    <w:multiLevelType w:val="hybridMultilevel"/>
    <w:tmpl w:val="12883BCE"/>
    <w:lvl w:ilvl="0" w:tplc="99E43C68">
      <w:start w:val="1"/>
      <w:numFmt w:val="bullet"/>
      <w:lvlText w:val="«"/>
      <w:lvlJc w:val="left"/>
    </w:lvl>
    <w:lvl w:ilvl="1" w:tplc="ECB0D862">
      <w:numFmt w:val="decimal"/>
      <w:lvlText w:val=""/>
      <w:lvlJc w:val="left"/>
    </w:lvl>
    <w:lvl w:ilvl="2" w:tplc="E6C0EEB4">
      <w:numFmt w:val="decimal"/>
      <w:lvlText w:val=""/>
      <w:lvlJc w:val="left"/>
    </w:lvl>
    <w:lvl w:ilvl="3" w:tplc="138C2C34">
      <w:numFmt w:val="decimal"/>
      <w:lvlText w:val=""/>
      <w:lvlJc w:val="left"/>
    </w:lvl>
    <w:lvl w:ilvl="4" w:tplc="28163752">
      <w:numFmt w:val="decimal"/>
      <w:lvlText w:val=""/>
      <w:lvlJc w:val="left"/>
    </w:lvl>
    <w:lvl w:ilvl="5" w:tplc="AB3CC514">
      <w:numFmt w:val="decimal"/>
      <w:lvlText w:val=""/>
      <w:lvlJc w:val="left"/>
    </w:lvl>
    <w:lvl w:ilvl="6" w:tplc="10088858">
      <w:numFmt w:val="decimal"/>
      <w:lvlText w:val=""/>
      <w:lvlJc w:val="left"/>
    </w:lvl>
    <w:lvl w:ilvl="7" w:tplc="F7BED8D0">
      <w:numFmt w:val="decimal"/>
      <w:lvlText w:val=""/>
      <w:lvlJc w:val="left"/>
    </w:lvl>
    <w:lvl w:ilvl="8" w:tplc="4FB6803A">
      <w:numFmt w:val="decimal"/>
      <w:lvlText w:val=""/>
      <w:lvlJc w:val="left"/>
    </w:lvl>
  </w:abstractNum>
  <w:abstractNum w:abstractNumId="388">
    <w:nsid w:val="77C9FD68"/>
    <w:multiLevelType w:val="hybridMultilevel"/>
    <w:tmpl w:val="29EA627E"/>
    <w:lvl w:ilvl="0" w:tplc="E0EE85AC">
      <w:start w:val="2"/>
      <w:numFmt w:val="lowerLetter"/>
      <w:lvlText w:val="%1)"/>
      <w:lvlJc w:val="left"/>
    </w:lvl>
    <w:lvl w:ilvl="1" w:tplc="9B523EE2">
      <w:numFmt w:val="decimal"/>
      <w:lvlText w:val=""/>
      <w:lvlJc w:val="left"/>
    </w:lvl>
    <w:lvl w:ilvl="2" w:tplc="CF2426B8">
      <w:numFmt w:val="decimal"/>
      <w:lvlText w:val=""/>
      <w:lvlJc w:val="left"/>
    </w:lvl>
    <w:lvl w:ilvl="3" w:tplc="AC2EE7C2">
      <w:numFmt w:val="decimal"/>
      <w:lvlText w:val=""/>
      <w:lvlJc w:val="left"/>
    </w:lvl>
    <w:lvl w:ilvl="4" w:tplc="9648B640">
      <w:numFmt w:val="decimal"/>
      <w:lvlText w:val=""/>
      <w:lvlJc w:val="left"/>
    </w:lvl>
    <w:lvl w:ilvl="5" w:tplc="684C8F40">
      <w:numFmt w:val="decimal"/>
      <w:lvlText w:val=""/>
      <w:lvlJc w:val="left"/>
    </w:lvl>
    <w:lvl w:ilvl="6" w:tplc="297A7090">
      <w:numFmt w:val="decimal"/>
      <w:lvlText w:val=""/>
      <w:lvlJc w:val="left"/>
    </w:lvl>
    <w:lvl w:ilvl="7" w:tplc="B00E7B2E">
      <w:numFmt w:val="decimal"/>
      <w:lvlText w:val=""/>
      <w:lvlJc w:val="left"/>
    </w:lvl>
    <w:lvl w:ilvl="8" w:tplc="FFD8BC3A">
      <w:numFmt w:val="decimal"/>
      <w:lvlText w:val=""/>
      <w:lvlJc w:val="left"/>
    </w:lvl>
  </w:abstractNum>
  <w:abstractNum w:abstractNumId="389">
    <w:nsid w:val="78070222"/>
    <w:multiLevelType w:val="hybridMultilevel"/>
    <w:tmpl w:val="62EC57BA"/>
    <w:lvl w:ilvl="0" w:tplc="D9CCE250">
      <w:start w:val="3"/>
      <w:numFmt w:val="decimal"/>
      <w:lvlText w:val="%1"/>
      <w:lvlJc w:val="left"/>
    </w:lvl>
    <w:lvl w:ilvl="1" w:tplc="9D402D44">
      <w:numFmt w:val="decimal"/>
      <w:lvlText w:val=""/>
      <w:lvlJc w:val="left"/>
    </w:lvl>
    <w:lvl w:ilvl="2" w:tplc="F7CCEF04">
      <w:numFmt w:val="decimal"/>
      <w:lvlText w:val=""/>
      <w:lvlJc w:val="left"/>
    </w:lvl>
    <w:lvl w:ilvl="3" w:tplc="0A722854">
      <w:numFmt w:val="decimal"/>
      <w:lvlText w:val=""/>
      <w:lvlJc w:val="left"/>
    </w:lvl>
    <w:lvl w:ilvl="4" w:tplc="A1AA803C">
      <w:numFmt w:val="decimal"/>
      <w:lvlText w:val=""/>
      <w:lvlJc w:val="left"/>
    </w:lvl>
    <w:lvl w:ilvl="5" w:tplc="0804C2F2">
      <w:numFmt w:val="decimal"/>
      <w:lvlText w:val=""/>
      <w:lvlJc w:val="left"/>
    </w:lvl>
    <w:lvl w:ilvl="6" w:tplc="627C9536">
      <w:numFmt w:val="decimal"/>
      <w:lvlText w:val=""/>
      <w:lvlJc w:val="left"/>
    </w:lvl>
    <w:lvl w:ilvl="7" w:tplc="E824478A">
      <w:numFmt w:val="decimal"/>
      <w:lvlText w:val=""/>
      <w:lvlJc w:val="left"/>
    </w:lvl>
    <w:lvl w:ilvl="8" w:tplc="C7163B9E">
      <w:numFmt w:val="decimal"/>
      <w:lvlText w:val=""/>
      <w:lvlJc w:val="left"/>
    </w:lvl>
  </w:abstractNum>
  <w:abstractNum w:abstractNumId="390">
    <w:nsid w:val="7835626C"/>
    <w:multiLevelType w:val="hybridMultilevel"/>
    <w:tmpl w:val="B6F21AB2"/>
    <w:lvl w:ilvl="0" w:tplc="88D4AD60">
      <w:start w:val="1"/>
      <w:numFmt w:val="decimal"/>
      <w:lvlText w:val="%1"/>
      <w:lvlJc w:val="left"/>
    </w:lvl>
    <w:lvl w:ilvl="1" w:tplc="AE28EB04">
      <w:numFmt w:val="decimal"/>
      <w:lvlText w:val=""/>
      <w:lvlJc w:val="left"/>
    </w:lvl>
    <w:lvl w:ilvl="2" w:tplc="7BDE90BE">
      <w:numFmt w:val="decimal"/>
      <w:lvlText w:val=""/>
      <w:lvlJc w:val="left"/>
    </w:lvl>
    <w:lvl w:ilvl="3" w:tplc="5CD02A6A">
      <w:numFmt w:val="decimal"/>
      <w:lvlText w:val=""/>
      <w:lvlJc w:val="left"/>
    </w:lvl>
    <w:lvl w:ilvl="4" w:tplc="8228B808">
      <w:numFmt w:val="decimal"/>
      <w:lvlText w:val=""/>
      <w:lvlJc w:val="left"/>
    </w:lvl>
    <w:lvl w:ilvl="5" w:tplc="82162940">
      <w:numFmt w:val="decimal"/>
      <w:lvlText w:val=""/>
      <w:lvlJc w:val="left"/>
    </w:lvl>
    <w:lvl w:ilvl="6" w:tplc="C4DCC8D0">
      <w:numFmt w:val="decimal"/>
      <w:lvlText w:val=""/>
      <w:lvlJc w:val="left"/>
    </w:lvl>
    <w:lvl w:ilvl="7" w:tplc="4678DEF4">
      <w:numFmt w:val="decimal"/>
      <w:lvlText w:val=""/>
      <w:lvlJc w:val="left"/>
    </w:lvl>
    <w:lvl w:ilvl="8" w:tplc="B144FBB4">
      <w:numFmt w:val="decimal"/>
      <w:lvlText w:val=""/>
      <w:lvlJc w:val="left"/>
    </w:lvl>
  </w:abstractNum>
  <w:abstractNum w:abstractNumId="391">
    <w:nsid w:val="7906328B"/>
    <w:multiLevelType w:val="hybridMultilevel"/>
    <w:tmpl w:val="4EA6A8D2"/>
    <w:lvl w:ilvl="0" w:tplc="30BC0B14">
      <w:start w:val="8"/>
      <w:numFmt w:val="decimal"/>
      <w:lvlText w:val="%1"/>
      <w:lvlJc w:val="left"/>
    </w:lvl>
    <w:lvl w:ilvl="1" w:tplc="7794D8C6">
      <w:numFmt w:val="decimal"/>
      <w:lvlText w:val=""/>
      <w:lvlJc w:val="left"/>
    </w:lvl>
    <w:lvl w:ilvl="2" w:tplc="A2B6C1A8">
      <w:numFmt w:val="decimal"/>
      <w:lvlText w:val=""/>
      <w:lvlJc w:val="left"/>
    </w:lvl>
    <w:lvl w:ilvl="3" w:tplc="EA7E9348">
      <w:numFmt w:val="decimal"/>
      <w:lvlText w:val=""/>
      <w:lvlJc w:val="left"/>
    </w:lvl>
    <w:lvl w:ilvl="4" w:tplc="B84EFD8C">
      <w:numFmt w:val="decimal"/>
      <w:lvlText w:val=""/>
      <w:lvlJc w:val="left"/>
    </w:lvl>
    <w:lvl w:ilvl="5" w:tplc="7760243E">
      <w:numFmt w:val="decimal"/>
      <w:lvlText w:val=""/>
      <w:lvlJc w:val="left"/>
    </w:lvl>
    <w:lvl w:ilvl="6" w:tplc="AE0ECB5E">
      <w:numFmt w:val="decimal"/>
      <w:lvlText w:val=""/>
      <w:lvlJc w:val="left"/>
    </w:lvl>
    <w:lvl w:ilvl="7" w:tplc="6E8A3B26">
      <w:numFmt w:val="decimal"/>
      <w:lvlText w:val=""/>
      <w:lvlJc w:val="left"/>
    </w:lvl>
    <w:lvl w:ilvl="8" w:tplc="9AA8BDFC">
      <w:numFmt w:val="decimal"/>
      <w:lvlText w:val=""/>
      <w:lvlJc w:val="left"/>
    </w:lvl>
  </w:abstractNum>
  <w:abstractNum w:abstractNumId="392">
    <w:nsid w:val="7924CA0A"/>
    <w:multiLevelType w:val="hybridMultilevel"/>
    <w:tmpl w:val="4432A13C"/>
    <w:lvl w:ilvl="0" w:tplc="F01ABD52">
      <w:start w:val="2"/>
      <w:numFmt w:val="decimal"/>
      <w:lvlText w:val="%1"/>
      <w:lvlJc w:val="left"/>
    </w:lvl>
    <w:lvl w:ilvl="1" w:tplc="A5A65E9E">
      <w:numFmt w:val="decimal"/>
      <w:lvlText w:val=""/>
      <w:lvlJc w:val="left"/>
    </w:lvl>
    <w:lvl w:ilvl="2" w:tplc="41A27532">
      <w:numFmt w:val="decimal"/>
      <w:lvlText w:val=""/>
      <w:lvlJc w:val="left"/>
    </w:lvl>
    <w:lvl w:ilvl="3" w:tplc="5E3A4058">
      <w:numFmt w:val="decimal"/>
      <w:lvlText w:val=""/>
      <w:lvlJc w:val="left"/>
    </w:lvl>
    <w:lvl w:ilvl="4" w:tplc="F8043DDE">
      <w:numFmt w:val="decimal"/>
      <w:lvlText w:val=""/>
      <w:lvlJc w:val="left"/>
    </w:lvl>
    <w:lvl w:ilvl="5" w:tplc="C6C05592">
      <w:numFmt w:val="decimal"/>
      <w:lvlText w:val=""/>
      <w:lvlJc w:val="left"/>
    </w:lvl>
    <w:lvl w:ilvl="6" w:tplc="568C9C46">
      <w:numFmt w:val="decimal"/>
      <w:lvlText w:val=""/>
      <w:lvlJc w:val="left"/>
    </w:lvl>
    <w:lvl w:ilvl="7" w:tplc="A5CE5CF0">
      <w:numFmt w:val="decimal"/>
      <w:lvlText w:val=""/>
      <w:lvlJc w:val="left"/>
    </w:lvl>
    <w:lvl w:ilvl="8" w:tplc="FF26EBC2">
      <w:numFmt w:val="decimal"/>
      <w:lvlText w:val=""/>
      <w:lvlJc w:val="left"/>
    </w:lvl>
  </w:abstractNum>
  <w:abstractNum w:abstractNumId="393">
    <w:nsid w:val="792B8401"/>
    <w:multiLevelType w:val="hybridMultilevel"/>
    <w:tmpl w:val="5CA22DC0"/>
    <w:lvl w:ilvl="0" w:tplc="AB1A821C">
      <w:start w:val="1"/>
      <w:numFmt w:val="bullet"/>
      <w:lvlText w:val=""/>
      <w:lvlJc w:val="left"/>
    </w:lvl>
    <w:lvl w:ilvl="1" w:tplc="C9C085C4">
      <w:numFmt w:val="decimal"/>
      <w:lvlText w:val=""/>
      <w:lvlJc w:val="left"/>
    </w:lvl>
    <w:lvl w:ilvl="2" w:tplc="53205D02">
      <w:numFmt w:val="decimal"/>
      <w:lvlText w:val=""/>
      <w:lvlJc w:val="left"/>
    </w:lvl>
    <w:lvl w:ilvl="3" w:tplc="9C38986E">
      <w:numFmt w:val="decimal"/>
      <w:lvlText w:val=""/>
      <w:lvlJc w:val="left"/>
    </w:lvl>
    <w:lvl w:ilvl="4" w:tplc="38D482C4">
      <w:numFmt w:val="decimal"/>
      <w:lvlText w:val=""/>
      <w:lvlJc w:val="left"/>
    </w:lvl>
    <w:lvl w:ilvl="5" w:tplc="F9F61CBE">
      <w:numFmt w:val="decimal"/>
      <w:lvlText w:val=""/>
      <w:lvlJc w:val="left"/>
    </w:lvl>
    <w:lvl w:ilvl="6" w:tplc="089CBC1A">
      <w:numFmt w:val="decimal"/>
      <w:lvlText w:val=""/>
      <w:lvlJc w:val="left"/>
    </w:lvl>
    <w:lvl w:ilvl="7" w:tplc="D9BA65E0">
      <w:numFmt w:val="decimal"/>
      <w:lvlText w:val=""/>
      <w:lvlJc w:val="left"/>
    </w:lvl>
    <w:lvl w:ilvl="8" w:tplc="D236E632">
      <w:numFmt w:val="decimal"/>
      <w:lvlText w:val=""/>
      <w:lvlJc w:val="left"/>
    </w:lvl>
  </w:abstractNum>
  <w:abstractNum w:abstractNumId="394">
    <w:nsid w:val="7934D3D4"/>
    <w:multiLevelType w:val="hybridMultilevel"/>
    <w:tmpl w:val="5B9A818E"/>
    <w:lvl w:ilvl="0" w:tplc="BC908982">
      <w:start w:val="15"/>
      <w:numFmt w:val="lowerLetter"/>
      <w:lvlText w:val="%1"/>
      <w:lvlJc w:val="left"/>
    </w:lvl>
    <w:lvl w:ilvl="1" w:tplc="D68E9886">
      <w:numFmt w:val="decimal"/>
      <w:lvlText w:val=""/>
      <w:lvlJc w:val="left"/>
    </w:lvl>
    <w:lvl w:ilvl="2" w:tplc="B7B8A742">
      <w:numFmt w:val="decimal"/>
      <w:lvlText w:val=""/>
      <w:lvlJc w:val="left"/>
    </w:lvl>
    <w:lvl w:ilvl="3" w:tplc="147070D4">
      <w:numFmt w:val="decimal"/>
      <w:lvlText w:val=""/>
      <w:lvlJc w:val="left"/>
    </w:lvl>
    <w:lvl w:ilvl="4" w:tplc="DE4236C0">
      <w:numFmt w:val="decimal"/>
      <w:lvlText w:val=""/>
      <w:lvlJc w:val="left"/>
    </w:lvl>
    <w:lvl w:ilvl="5" w:tplc="EC8AEDA0">
      <w:numFmt w:val="decimal"/>
      <w:lvlText w:val=""/>
      <w:lvlJc w:val="left"/>
    </w:lvl>
    <w:lvl w:ilvl="6" w:tplc="A4524BD0">
      <w:numFmt w:val="decimal"/>
      <w:lvlText w:val=""/>
      <w:lvlJc w:val="left"/>
    </w:lvl>
    <w:lvl w:ilvl="7" w:tplc="008AF9D4">
      <w:numFmt w:val="decimal"/>
      <w:lvlText w:val=""/>
      <w:lvlJc w:val="left"/>
    </w:lvl>
    <w:lvl w:ilvl="8" w:tplc="FD146E36">
      <w:numFmt w:val="decimal"/>
      <w:lvlText w:val=""/>
      <w:lvlJc w:val="left"/>
    </w:lvl>
  </w:abstractNum>
  <w:abstractNum w:abstractNumId="395">
    <w:nsid w:val="7975E8EE"/>
    <w:multiLevelType w:val="hybridMultilevel"/>
    <w:tmpl w:val="01709DF6"/>
    <w:lvl w:ilvl="0" w:tplc="51F821E4">
      <w:start w:val="1"/>
      <w:numFmt w:val="bullet"/>
      <w:lvlText w:val="«"/>
      <w:lvlJc w:val="left"/>
    </w:lvl>
    <w:lvl w:ilvl="1" w:tplc="686462EE">
      <w:numFmt w:val="decimal"/>
      <w:lvlText w:val=""/>
      <w:lvlJc w:val="left"/>
    </w:lvl>
    <w:lvl w:ilvl="2" w:tplc="DCB25464">
      <w:numFmt w:val="decimal"/>
      <w:lvlText w:val=""/>
      <w:lvlJc w:val="left"/>
    </w:lvl>
    <w:lvl w:ilvl="3" w:tplc="16AE95DE">
      <w:numFmt w:val="decimal"/>
      <w:lvlText w:val=""/>
      <w:lvlJc w:val="left"/>
    </w:lvl>
    <w:lvl w:ilvl="4" w:tplc="EEDCEF9C">
      <w:numFmt w:val="decimal"/>
      <w:lvlText w:val=""/>
      <w:lvlJc w:val="left"/>
    </w:lvl>
    <w:lvl w:ilvl="5" w:tplc="B858C1AE">
      <w:numFmt w:val="decimal"/>
      <w:lvlText w:val=""/>
      <w:lvlJc w:val="left"/>
    </w:lvl>
    <w:lvl w:ilvl="6" w:tplc="CB6228D0">
      <w:numFmt w:val="decimal"/>
      <w:lvlText w:val=""/>
      <w:lvlJc w:val="left"/>
    </w:lvl>
    <w:lvl w:ilvl="7" w:tplc="14FA0888">
      <w:numFmt w:val="decimal"/>
      <w:lvlText w:val=""/>
      <w:lvlJc w:val="left"/>
    </w:lvl>
    <w:lvl w:ilvl="8" w:tplc="827AE58A">
      <w:numFmt w:val="decimal"/>
      <w:lvlText w:val=""/>
      <w:lvlJc w:val="left"/>
    </w:lvl>
  </w:abstractNum>
  <w:abstractNum w:abstractNumId="396">
    <w:nsid w:val="7993B662"/>
    <w:multiLevelType w:val="hybridMultilevel"/>
    <w:tmpl w:val="016E328A"/>
    <w:lvl w:ilvl="0" w:tplc="243444DA">
      <w:start w:val="1"/>
      <w:numFmt w:val="bullet"/>
      <w:lvlText w:val="À"/>
      <w:lvlJc w:val="left"/>
    </w:lvl>
    <w:lvl w:ilvl="1" w:tplc="DEBA47C4">
      <w:start w:val="1"/>
      <w:numFmt w:val="bullet"/>
      <w:lvlText w:val=""/>
      <w:lvlJc w:val="left"/>
    </w:lvl>
    <w:lvl w:ilvl="2" w:tplc="881C0868">
      <w:numFmt w:val="decimal"/>
      <w:lvlText w:val=""/>
      <w:lvlJc w:val="left"/>
    </w:lvl>
    <w:lvl w:ilvl="3" w:tplc="F938A154">
      <w:numFmt w:val="decimal"/>
      <w:lvlText w:val=""/>
      <w:lvlJc w:val="left"/>
    </w:lvl>
    <w:lvl w:ilvl="4" w:tplc="B2EA6C82">
      <w:numFmt w:val="decimal"/>
      <w:lvlText w:val=""/>
      <w:lvlJc w:val="left"/>
    </w:lvl>
    <w:lvl w:ilvl="5" w:tplc="303A8808">
      <w:numFmt w:val="decimal"/>
      <w:lvlText w:val=""/>
      <w:lvlJc w:val="left"/>
    </w:lvl>
    <w:lvl w:ilvl="6" w:tplc="FC68D572">
      <w:numFmt w:val="decimal"/>
      <w:lvlText w:val=""/>
      <w:lvlJc w:val="left"/>
    </w:lvl>
    <w:lvl w:ilvl="7" w:tplc="16B685E4">
      <w:numFmt w:val="decimal"/>
      <w:lvlText w:val=""/>
      <w:lvlJc w:val="left"/>
    </w:lvl>
    <w:lvl w:ilvl="8" w:tplc="09D6CFD6">
      <w:numFmt w:val="decimal"/>
      <w:lvlText w:val=""/>
      <w:lvlJc w:val="left"/>
    </w:lvl>
  </w:abstractNum>
  <w:abstractNum w:abstractNumId="397">
    <w:nsid w:val="79F0D62F"/>
    <w:multiLevelType w:val="hybridMultilevel"/>
    <w:tmpl w:val="1A16185C"/>
    <w:lvl w:ilvl="0" w:tplc="D45EB192">
      <w:start w:val="1"/>
      <w:numFmt w:val="bullet"/>
      <w:lvlText w:val=""/>
      <w:lvlJc w:val="left"/>
    </w:lvl>
    <w:lvl w:ilvl="1" w:tplc="DAF45FA6">
      <w:numFmt w:val="decimal"/>
      <w:lvlText w:val=""/>
      <w:lvlJc w:val="left"/>
    </w:lvl>
    <w:lvl w:ilvl="2" w:tplc="C84824C4">
      <w:numFmt w:val="decimal"/>
      <w:lvlText w:val=""/>
      <w:lvlJc w:val="left"/>
    </w:lvl>
    <w:lvl w:ilvl="3" w:tplc="E9BECEEE">
      <w:numFmt w:val="decimal"/>
      <w:lvlText w:val=""/>
      <w:lvlJc w:val="left"/>
    </w:lvl>
    <w:lvl w:ilvl="4" w:tplc="309C1F78">
      <w:numFmt w:val="decimal"/>
      <w:lvlText w:val=""/>
      <w:lvlJc w:val="left"/>
    </w:lvl>
    <w:lvl w:ilvl="5" w:tplc="C5E441B8">
      <w:numFmt w:val="decimal"/>
      <w:lvlText w:val=""/>
      <w:lvlJc w:val="left"/>
    </w:lvl>
    <w:lvl w:ilvl="6" w:tplc="A334AC90">
      <w:numFmt w:val="decimal"/>
      <w:lvlText w:val=""/>
      <w:lvlJc w:val="left"/>
    </w:lvl>
    <w:lvl w:ilvl="7" w:tplc="B68226CA">
      <w:numFmt w:val="decimal"/>
      <w:lvlText w:val=""/>
      <w:lvlJc w:val="left"/>
    </w:lvl>
    <w:lvl w:ilvl="8" w:tplc="87F8BCDE">
      <w:numFmt w:val="decimal"/>
      <w:lvlText w:val=""/>
      <w:lvlJc w:val="left"/>
    </w:lvl>
  </w:abstractNum>
  <w:abstractNum w:abstractNumId="398">
    <w:nsid w:val="7ABF196A"/>
    <w:multiLevelType w:val="hybridMultilevel"/>
    <w:tmpl w:val="FA041E62"/>
    <w:lvl w:ilvl="0" w:tplc="EF5094C4">
      <w:start w:val="1"/>
      <w:numFmt w:val="decimal"/>
      <w:lvlText w:val="%1."/>
      <w:lvlJc w:val="left"/>
    </w:lvl>
    <w:lvl w:ilvl="1" w:tplc="9814A59C">
      <w:numFmt w:val="decimal"/>
      <w:lvlText w:val=""/>
      <w:lvlJc w:val="left"/>
    </w:lvl>
    <w:lvl w:ilvl="2" w:tplc="E5C40DE4">
      <w:numFmt w:val="decimal"/>
      <w:lvlText w:val=""/>
      <w:lvlJc w:val="left"/>
    </w:lvl>
    <w:lvl w:ilvl="3" w:tplc="44561932">
      <w:numFmt w:val="decimal"/>
      <w:lvlText w:val=""/>
      <w:lvlJc w:val="left"/>
    </w:lvl>
    <w:lvl w:ilvl="4" w:tplc="1272079E">
      <w:numFmt w:val="decimal"/>
      <w:lvlText w:val=""/>
      <w:lvlJc w:val="left"/>
    </w:lvl>
    <w:lvl w:ilvl="5" w:tplc="9B94F91E">
      <w:numFmt w:val="decimal"/>
      <w:lvlText w:val=""/>
      <w:lvlJc w:val="left"/>
    </w:lvl>
    <w:lvl w:ilvl="6" w:tplc="8CECC530">
      <w:numFmt w:val="decimal"/>
      <w:lvlText w:val=""/>
      <w:lvlJc w:val="left"/>
    </w:lvl>
    <w:lvl w:ilvl="7" w:tplc="50065DD6">
      <w:numFmt w:val="decimal"/>
      <w:lvlText w:val=""/>
      <w:lvlJc w:val="left"/>
    </w:lvl>
    <w:lvl w:ilvl="8" w:tplc="57FE431C">
      <w:numFmt w:val="decimal"/>
      <w:lvlText w:val=""/>
      <w:lvlJc w:val="left"/>
    </w:lvl>
  </w:abstractNum>
  <w:abstractNum w:abstractNumId="399">
    <w:nsid w:val="7B14914E"/>
    <w:multiLevelType w:val="hybridMultilevel"/>
    <w:tmpl w:val="130AA3C8"/>
    <w:lvl w:ilvl="0" w:tplc="BE0E9A84">
      <w:start w:val="5"/>
      <w:numFmt w:val="decimal"/>
      <w:lvlText w:val="%1"/>
      <w:lvlJc w:val="left"/>
    </w:lvl>
    <w:lvl w:ilvl="1" w:tplc="44C250F6">
      <w:numFmt w:val="decimal"/>
      <w:lvlText w:val=""/>
      <w:lvlJc w:val="left"/>
    </w:lvl>
    <w:lvl w:ilvl="2" w:tplc="47C8424C">
      <w:numFmt w:val="decimal"/>
      <w:lvlText w:val=""/>
      <w:lvlJc w:val="left"/>
    </w:lvl>
    <w:lvl w:ilvl="3" w:tplc="AB161B7E">
      <w:numFmt w:val="decimal"/>
      <w:lvlText w:val=""/>
      <w:lvlJc w:val="left"/>
    </w:lvl>
    <w:lvl w:ilvl="4" w:tplc="F4CA7FDA">
      <w:numFmt w:val="decimal"/>
      <w:lvlText w:val=""/>
      <w:lvlJc w:val="left"/>
    </w:lvl>
    <w:lvl w:ilvl="5" w:tplc="39CA8758">
      <w:numFmt w:val="decimal"/>
      <w:lvlText w:val=""/>
      <w:lvlJc w:val="left"/>
    </w:lvl>
    <w:lvl w:ilvl="6" w:tplc="AC0E2E88">
      <w:numFmt w:val="decimal"/>
      <w:lvlText w:val=""/>
      <w:lvlJc w:val="left"/>
    </w:lvl>
    <w:lvl w:ilvl="7" w:tplc="8FBEDAFE">
      <w:numFmt w:val="decimal"/>
      <w:lvlText w:val=""/>
      <w:lvlJc w:val="left"/>
    </w:lvl>
    <w:lvl w:ilvl="8" w:tplc="05F000DA">
      <w:numFmt w:val="decimal"/>
      <w:lvlText w:val=""/>
      <w:lvlJc w:val="left"/>
    </w:lvl>
  </w:abstractNum>
  <w:abstractNum w:abstractNumId="400">
    <w:nsid w:val="7B541FAB"/>
    <w:multiLevelType w:val="hybridMultilevel"/>
    <w:tmpl w:val="1BA4DF96"/>
    <w:lvl w:ilvl="0" w:tplc="F8520F70">
      <w:start w:val="11"/>
      <w:numFmt w:val="decimal"/>
      <w:lvlText w:val="%1"/>
      <w:lvlJc w:val="left"/>
    </w:lvl>
    <w:lvl w:ilvl="1" w:tplc="78EEA09E">
      <w:numFmt w:val="decimal"/>
      <w:lvlText w:val=""/>
      <w:lvlJc w:val="left"/>
    </w:lvl>
    <w:lvl w:ilvl="2" w:tplc="48B26AE8">
      <w:numFmt w:val="decimal"/>
      <w:lvlText w:val=""/>
      <w:lvlJc w:val="left"/>
    </w:lvl>
    <w:lvl w:ilvl="3" w:tplc="BA7CBC76">
      <w:numFmt w:val="decimal"/>
      <w:lvlText w:val=""/>
      <w:lvlJc w:val="left"/>
    </w:lvl>
    <w:lvl w:ilvl="4" w:tplc="6CF44F1E">
      <w:numFmt w:val="decimal"/>
      <w:lvlText w:val=""/>
      <w:lvlJc w:val="left"/>
    </w:lvl>
    <w:lvl w:ilvl="5" w:tplc="9DE838B2">
      <w:numFmt w:val="decimal"/>
      <w:lvlText w:val=""/>
      <w:lvlJc w:val="left"/>
    </w:lvl>
    <w:lvl w:ilvl="6" w:tplc="77D009CA">
      <w:numFmt w:val="decimal"/>
      <w:lvlText w:val=""/>
      <w:lvlJc w:val="left"/>
    </w:lvl>
    <w:lvl w:ilvl="7" w:tplc="F886EAEA">
      <w:numFmt w:val="decimal"/>
      <w:lvlText w:val=""/>
      <w:lvlJc w:val="left"/>
    </w:lvl>
    <w:lvl w:ilvl="8" w:tplc="A7EECF8E">
      <w:numFmt w:val="decimal"/>
      <w:lvlText w:val=""/>
      <w:lvlJc w:val="left"/>
    </w:lvl>
  </w:abstractNum>
  <w:abstractNum w:abstractNumId="401">
    <w:nsid w:val="7B9B743C"/>
    <w:multiLevelType w:val="hybridMultilevel"/>
    <w:tmpl w:val="CCA6742C"/>
    <w:lvl w:ilvl="0" w:tplc="4F1EA88C">
      <w:start w:val="1"/>
      <w:numFmt w:val="bullet"/>
      <w:lvlText w:val="-"/>
      <w:lvlJc w:val="left"/>
    </w:lvl>
    <w:lvl w:ilvl="1" w:tplc="A3187CE0">
      <w:numFmt w:val="decimal"/>
      <w:lvlText w:val=""/>
      <w:lvlJc w:val="left"/>
    </w:lvl>
    <w:lvl w:ilvl="2" w:tplc="3FE48F36">
      <w:numFmt w:val="decimal"/>
      <w:lvlText w:val=""/>
      <w:lvlJc w:val="left"/>
    </w:lvl>
    <w:lvl w:ilvl="3" w:tplc="9980408C">
      <w:numFmt w:val="decimal"/>
      <w:lvlText w:val=""/>
      <w:lvlJc w:val="left"/>
    </w:lvl>
    <w:lvl w:ilvl="4" w:tplc="9208B4A0">
      <w:numFmt w:val="decimal"/>
      <w:lvlText w:val=""/>
      <w:lvlJc w:val="left"/>
    </w:lvl>
    <w:lvl w:ilvl="5" w:tplc="FD983B50">
      <w:numFmt w:val="decimal"/>
      <w:lvlText w:val=""/>
      <w:lvlJc w:val="left"/>
    </w:lvl>
    <w:lvl w:ilvl="6" w:tplc="BB401816">
      <w:numFmt w:val="decimal"/>
      <w:lvlText w:val=""/>
      <w:lvlJc w:val="left"/>
    </w:lvl>
    <w:lvl w:ilvl="7" w:tplc="43EE8E36">
      <w:numFmt w:val="decimal"/>
      <w:lvlText w:val=""/>
      <w:lvlJc w:val="left"/>
    </w:lvl>
    <w:lvl w:ilvl="8" w:tplc="3AD447BE">
      <w:numFmt w:val="decimal"/>
      <w:lvlText w:val=""/>
      <w:lvlJc w:val="left"/>
    </w:lvl>
  </w:abstractNum>
  <w:abstractNum w:abstractNumId="402">
    <w:nsid w:val="7BCFBAFC"/>
    <w:multiLevelType w:val="hybridMultilevel"/>
    <w:tmpl w:val="7CDEE6F6"/>
    <w:lvl w:ilvl="0" w:tplc="1F36AF8C">
      <w:start w:val="1"/>
      <w:numFmt w:val="bullet"/>
      <w:lvlText w:val=""/>
      <w:lvlJc w:val="left"/>
    </w:lvl>
    <w:lvl w:ilvl="1" w:tplc="08FCF752">
      <w:numFmt w:val="decimal"/>
      <w:lvlText w:val=""/>
      <w:lvlJc w:val="left"/>
    </w:lvl>
    <w:lvl w:ilvl="2" w:tplc="B43A8294">
      <w:numFmt w:val="decimal"/>
      <w:lvlText w:val=""/>
      <w:lvlJc w:val="left"/>
    </w:lvl>
    <w:lvl w:ilvl="3" w:tplc="023AA890">
      <w:numFmt w:val="decimal"/>
      <w:lvlText w:val=""/>
      <w:lvlJc w:val="left"/>
    </w:lvl>
    <w:lvl w:ilvl="4" w:tplc="408EEB38">
      <w:numFmt w:val="decimal"/>
      <w:lvlText w:val=""/>
      <w:lvlJc w:val="left"/>
    </w:lvl>
    <w:lvl w:ilvl="5" w:tplc="66DECFC0">
      <w:numFmt w:val="decimal"/>
      <w:lvlText w:val=""/>
      <w:lvlJc w:val="left"/>
    </w:lvl>
    <w:lvl w:ilvl="6" w:tplc="B3380462">
      <w:numFmt w:val="decimal"/>
      <w:lvlText w:val=""/>
      <w:lvlJc w:val="left"/>
    </w:lvl>
    <w:lvl w:ilvl="7" w:tplc="A462D414">
      <w:numFmt w:val="decimal"/>
      <w:lvlText w:val=""/>
      <w:lvlJc w:val="left"/>
    </w:lvl>
    <w:lvl w:ilvl="8" w:tplc="B922F7A6">
      <w:numFmt w:val="decimal"/>
      <w:lvlText w:val=""/>
      <w:lvlJc w:val="left"/>
    </w:lvl>
  </w:abstractNum>
  <w:abstractNum w:abstractNumId="403">
    <w:nsid w:val="7F618FCD"/>
    <w:multiLevelType w:val="hybridMultilevel"/>
    <w:tmpl w:val="664864F6"/>
    <w:lvl w:ilvl="0" w:tplc="AB0ECDCC">
      <w:start w:val="1"/>
      <w:numFmt w:val="bullet"/>
      <w:lvlText w:val=""/>
      <w:lvlJc w:val="left"/>
    </w:lvl>
    <w:lvl w:ilvl="1" w:tplc="C794F0CC">
      <w:start w:val="1"/>
      <w:numFmt w:val="bullet"/>
      <w:lvlText w:val="-"/>
      <w:lvlJc w:val="left"/>
    </w:lvl>
    <w:lvl w:ilvl="2" w:tplc="60A2C3B2">
      <w:start w:val="1"/>
      <w:numFmt w:val="bullet"/>
      <w:lvlText w:val=""/>
      <w:lvlJc w:val="left"/>
    </w:lvl>
    <w:lvl w:ilvl="3" w:tplc="08423E20">
      <w:numFmt w:val="decimal"/>
      <w:lvlText w:val=""/>
      <w:lvlJc w:val="left"/>
    </w:lvl>
    <w:lvl w:ilvl="4" w:tplc="9FAAD872">
      <w:numFmt w:val="decimal"/>
      <w:lvlText w:val=""/>
      <w:lvlJc w:val="left"/>
    </w:lvl>
    <w:lvl w:ilvl="5" w:tplc="49FEEF78">
      <w:numFmt w:val="decimal"/>
      <w:lvlText w:val=""/>
      <w:lvlJc w:val="left"/>
    </w:lvl>
    <w:lvl w:ilvl="6" w:tplc="94087CCA">
      <w:numFmt w:val="decimal"/>
      <w:lvlText w:val=""/>
      <w:lvlJc w:val="left"/>
    </w:lvl>
    <w:lvl w:ilvl="7" w:tplc="EF94C928">
      <w:numFmt w:val="decimal"/>
      <w:lvlText w:val=""/>
      <w:lvlJc w:val="left"/>
    </w:lvl>
    <w:lvl w:ilvl="8" w:tplc="9C3C49F8">
      <w:numFmt w:val="decimal"/>
      <w:lvlText w:val=""/>
      <w:lvlJc w:val="left"/>
    </w:lvl>
  </w:abstractNum>
  <w:abstractNum w:abstractNumId="404">
    <w:nsid w:val="7F65FD16"/>
    <w:multiLevelType w:val="hybridMultilevel"/>
    <w:tmpl w:val="87C4EF06"/>
    <w:lvl w:ilvl="0" w:tplc="54D61E46">
      <w:start w:val="1"/>
      <w:numFmt w:val="decimal"/>
      <w:lvlText w:val="%1."/>
      <w:lvlJc w:val="left"/>
    </w:lvl>
    <w:lvl w:ilvl="1" w:tplc="C3646512">
      <w:numFmt w:val="decimal"/>
      <w:lvlText w:val=""/>
      <w:lvlJc w:val="left"/>
    </w:lvl>
    <w:lvl w:ilvl="2" w:tplc="D6809AF0">
      <w:numFmt w:val="decimal"/>
      <w:lvlText w:val=""/>
      <w:lvlJc w:val="left"/>
    </w:lvl>
    <w:lvl w:ilvl="3" w:tplc="8146D5CE">
      <w:numFmt w:val="decimal"/>
      <w:lvlText w:val=""/>
      <w:lvlJc w:val="left"/>
    </w:lvl>
    <w:lvl w:ilvl="4" w:tplc="CBF2A49C">
      <w:numFmt w:val="decimal"/>
      <w:lvlText w:val=""/>
      <w:lvlJc w:val="left"/>
    </w:lvl>
    <w:lvl w:ilvl="5" w:tplc="74708660">
      <w:numFmt w:val="decimal"/>
      <w:lvlText w:val=""/>
      <w:lvlJc w:val="left"/>
    </w:lvl>
    <w:lvl w:ilvl="6" w:tplc="AD984C9E">
      <w:numFmt w:val="decimal"/>
      <w:lvlText w:val=""/>
      <w:lvlJc w:val="left"/>
    </w:lvl>
    <w:lvl w:ilvl="7" w:tplc="D60C051C">
      <w:numFmt w:val="decimal"/>
      <w:lvlText w:val=""/>
      <w:lvlJc w:val="left"/>
    </w:lvl>
    <w:lvl w:ilvl="8" w:tplc="5576F874">
      <w:numFmt w:val="decimal"/>
      <w:lvlText w:val=""/>
      <w:lvlJc w:val="left"/>
    </w:lvl>
  </w:abstractNum>
  <w:abstractNum w:abstractNumId="405">
    <w:nsid w:val="7FBD7A3E"/>
    <w:multiLevelType w:val="hybridMultilevel"/>
    <w:tmpl w:val="BB08A3C8"/>
    <w:lvl w:ilvl="0" w:tplc="BD388404">
      <w:start w:val="1"/>
      <w:numFmt w:val="bullet"/>
      <w:lvlText w:val=""/>
      <w:lvlJc w:val="left"/>
    </w:lvl>
    <w:lvl w:ilvl="1" w:tplc="2E664708">
      <w:numFmt w:val="decimal"/>
      <w:lvlText w:val=""/>
      <w:lvlJc w:val="left"/>
    </w:lvl>
    <w:lvl w:ilvl="2" w:tplc="80A0F81A">
      <w:numFmt w:val="decimal"/>
      <w:lvlText w:val=""/>
      <w:lvlJc w:val="left"/>
    </w:lvl>
    <w:lvl w:ilvl="3" w:tplc="9FB43760">
      <w:numFmt w:val="decimal"/>
      <w:lvlText w:val=""/>
      <w:lvlJc w:val="left"/>
    </w:lvl>
    <w:lvl w:ilvl="4" w:tplc="B1769970">
      <w:numFmt w:val="decimal"/>
      <w:lvlText w:val=""/>
      <w:lvlJc w:val="left"/>
    </w:lvl>
    <w:lvl w:ilvl="5" w:tplc="072A1A96">
      <w:numFmt w:val="decimal"/>
      <w:lvlText w:val=""/>
      <w:lvlJc w:val="left"/>
    </w:lvl>
    <w:lvl w:ilvl="6" w:tplc="55EA4866">
      <w:numFmt w:val="decimal"/>
      <w:lvlText w:val=""/>
      <w:lvlJc w:val="left"/>
    </w:lvl>
    <w:lvl w:ilvl="7" w:tplc="C98A39D6">
      <w:numFmt w:val="decimal"/>
      <w:lvlText w:val=""/>
      <w:lvlJc w:val="left"/>
    </w:lvl>
    <w:lvl w:ilvl="8" w:tplc="4EDE2AD0">
      <w:numFmt w:val="decimal"/>
      <w:lvlText w:val=""/>
      <w:lvlJc w:val="left"/>
    </w:lvl>
  </w:abstractNum>
  <w:num w:numId="1">
    <w:abstractNumId w:val="119"/>
  </w:num>
  <w:num w:numId="2">
    <w:abstractNumId w:val="362"/>
  </w:num>
  <w:num w:numId="3">
    <w:abstractNumId w:val="178"/>
  </w:num>
  <w:num w:numId="4">
    <w:abstractNumId w:val="61"/>
  </w:num>
  <w:num w:numId="5">
    <w:abstractNumId w:val="238"/>
  </w:num>
  <w:num w:numId="6">
    <w:abstractNumId w:val="198"/>
  </w:num>
  <w:num w:numId="7">
    <w:abstractNumId w:val="245"/>
  </w:num>
  <w:num w:numId="8">
    <w:abstractNumId w:val="230"/>
  </w:num>
  <w:num w:numId="9">
    <w:abstractNumId w:val="92"/>
  </w:num>
  <w:num w:numId="10">
    <w:abstractNumId w:val="340"/>
  </w:num>
  <w:num w:numId="11">
    <w:abstractNumId w:val="28"/>
  </w:num>
  <w:num w:numId="12">
    <w:abstractNumId w:val="37"/>
  </w:num>
  <w:num w:numId="13">
    <w:abstractNumId w:val="379"/>
  </w:num>
  <w:num w:numId="14">
    <w:abstractNumId w:val="60"/>
  </w:num>
  <w:num w:numId="15">
    <w:abstractNumId w:val="182"/>
  </w:num>
  <w:num w:numId="16">
    <w:abstractNumId w:val="88"/>
  </w:num>
  <w:num w:numId="17">
    <w:abstractNumId w:val="338"/>
  </w:num>
  <w:num w:numId="18">
    <w:abstractNumId w:val="114"/>
  </w:num>
  <w:num w:numId="19">
    <w:abstractNumId w:val="141"/>
  </w:num>
  <w:num w:numId="20">
    <w:abstractNumId w:val="356"/>
  </w:num>
  <w:num w:numId="21">
    <w:abstractNumId w:val="138"/>
  </w:num>
  <w:num w:numId="22">
    <w:abstractNumId w:val="334"/>
  </w:num>
  <w:num w:numId="23">
    <w:abstractNumId w:val="269"/>
  </w:num>
  <w:num w:numId="24">
    <w:abstractNumId w:val="17"/>
  </w:num>
  <w:num w:numId="25">
    <w:abstractNumId w:val="102"/>
  </w:num>
  <w:num w:numId="26">
    <w:abstractNumId w:val="317"/>
  </w:num>
  <w:num w:numId="27">
    <w:abstractNumId w:val="249"/>
  </w:num>
  <w:num w:numId="28">
    <w:abstractNumId w:val="342"/>
  </w:num>
  <w:num w:numId="29">
    <w:abstractNumId w:val="123"/>
  </w:num>
  <w:num w:numId="30">
    <w:abstractNumId w:val="85"/>
  </w:num>
  <w:num w:numId="31">
    <w:abstractNumId w:val="75"/>
  </w:num>
  <w:num w:numId="32">
    <w:abstractNumId w:val="242"/>
  </w:num>
  <w:num w:numId="33">
    <w:abstractNumId w:val="41"/>
  </w:num>
  <w:num w:numId="34">
    <w:abstractNumId w:val="274"/>
  </w:num>
  <w:num w:numId="35">
    <w:abstractNumId w:val="319"/>
  </w:num>
  <w:num w:numId="36">
    <w:abstractNumId w:val="295"/>
  </w:num>
  <w:num w:numId="37">
    <w:abstractNumId w:val="77"/>
  </w:num>
  <w:num w:numId="38">
    <w:abstractNumId w:val="155"/>
  </w:num>
  <w:num w:numId="39">
    <w:abstractNumId w:val="127"/>
  </w:num>
  <w:num w:numId="40">
    <w:abstractNumId w:val="161"/>
  </w:num>
  <w:num w:numId="41">
    <w:abstractNumId w:val="90"/>
  </w:num>
  <w:num w:numId="42">
    <w:abstractNumId w:val="150"/>
  </w:num>
  <w:num w:numId="43">
    <w:abstractNumId w:val="202"/>
  </w:num>
  <w:num w:numId="44">
    <w:abstractNumId w:val="51"/>
  </w:num>
  <w:num w:numId="45">
    <w:abstractNumId w:val="212"/>
  </w:num>
  <w:num w:numId="46">
    <w:abstractNumId w:val="7"/>
  </w:num>
  <w:num w:numId="47">
    <w:abstractNumId w:val="147"/>
  </w:num>
  <w:num w:numId="48">
    <w:abstractNumId w:val="148"/>
  </w:num>
  <w:num w:numId="49">
    <w:abstractNumId w:val="121"/>
  </w:num>
  <w:num w:numId="50">
    <w:abstractNumId w:val="299"/>
  </w:num>
  <w:num w:numId="51">
    <w:abstractNumId w:val="105"/>
  </w:num>
  <w:num w:numId="52">
    <w:abstractNumId w:val="264"/>
  </w:num>
  <w:num w:numId="53">
    <w:abstractNumId w:val="209"/>
  </w:num>
  <w:num w:numId="54">
    <w:abstractNumId w:val="374"/>
  </w:num>
  <w:num w:numId="55">
    <w:abstractNumId w:val="282"/>
  </w:num>
  <w:num w:numId="56">
    <w:abstractNumId w:val="329"/>
  </w:num>
  <w:num w:numId="57">
    <w:abstractNumId w:val="283"/>
  </w:num>
  <w:num w:numId="58">
    <w:abstractNumId w:val="124"/>
  </w:num>
  <w:num w:numId="59">
    <w:abstractNumId w:val="260"/>
  </w:num>
  <w:num w:numId="60">
    <w:abstractNumId w:val="3"/>
  </w:num>
  <w:num w:numId="61">
    <w:abstractNumId w:val="203"/>
  </w:num>
  <w:num w:numId="62">
    <w:abstractNumId w:val="343"/>
  </w:num>
  <w:num w:numId="63">
    <w:abstractNumId w:val="244"/>
  </w:num>
  <w:num w:numId="64">
    <w:abstractNumId w:val="257"/>
  </w:num>
  <w:num w:numId="65">
    <w:abstractNumId w:val="195"/>
  </w:num>
  <w:num w:numId="66">
    <w:abstractNumId w:val="153"/>
  </w:num>
  <w:num w:numId="67">
    <w:abstractNumId w:val="144"/>
  </w:num>
  <w:num w:numId="68">
    <w:abstractNumId w:val="294"/>
  </w:num>
  <w:num w:numId="69">
    <w:abstractNumId w:val="325"/>
  </w:num>
  <w:num w:numId="70">
    <w:abstractNumId w:val="277"/>
  </w:num>
  <w:num w:numId="71">
    <w:abstractNumId w:val="50"/>
  </w:num>
  <w:num w:numId="72">
    <w:abstractNumId w:val="13"/>
  </w:num>
  <w:num w:numId="73">
    <w:abstractNumId w:val="27"/>
  </w:num>
  <w:num w:numId="74">
    <w:abstractNumId w:val="281"/>
  </w:num>
  <w:num w:numId="75">
    <w:abstractNumId w:val="69"/>
  </w:num>
  <w:num w:numId="76">
    <w:abstractNumId w:val="246"/>
  </w:num>
  <w:num w:numId="77">
    <w:abstractNumId w:val="286"/>
  </w:num>
  <w:num w:numId="78">
    <w:abstractNumId w:val="217"/>
  </w:num>
  <w:num w:numId="79">
    <w:abstractNumId w:val="0"/>
  </w:num>
  <w:num w:numId="80">
    <w:abstractNumId w:val="2"/>
  </w:num>
  <w:num w:numId="81">
    <w:abstractNumId w:val="120"/>
  </w:num>
  <w:num w:numId="82">
    <w:abstractNumId w:val="106"/>
  </w:num>
  <w:num w:numId="83">
    <w:abstractNumId w:val="267"/>
  </w:num>
  <w:num w:numId="84">
    <w:abstractNumId w:val="348"/>
  </w:num>
  <w:num w:numId="85">
    <w:abstractNumId w:val="65"/>
  </w:num>
  <w:num w:numId="86">
    <w:abstractNumId w:val="134"/>
  </w:num>
  <w:num w:numId="87">
    <w:abstractNumId w:val="272"/>
  </w:num>
  <w:num w:numId="88">
    <w:abstractNumId w:val="357"/>
  </w:num>
  <w:num w:numId="89">
    <w:abstractNumId w:val="265"/>
  </w:num>
  <w:num w:numId="90">
    <w:abstractNumId w:val="126"/>
  </w:num>
  <w:num w:numId="91">
    <w:abstractNumId w:val="360"/>
  </w:num>
  <w:num w:numId="92">
    <w:abstractNumId w:val="68"/>
  </w:num>
  <w:num w:numId="93">
    <w:abstractNumId w:val="53"/>
  </w:num>
  <w:num w:numId="94">
    <w:abstractNumId w:val="189"/>
  </w:num>
  <w:num w:numId="95">
    <w:abstractNumId w:val="339"/>
  </w:num>
  <w:num w:numId="96">
    <w:abstractNumId w:val="275"/>
  </w:num>
  <w:num w:numId="97">
    <w:abstractNumId w:val="368"/>
  </w:num>
  <w:num w:numId="98">
    <w:abstractNumId w:val="74"/>
  </w:num>
  <w:num w:numId="99">
    <w:abstractNumId w:val="152"/>
  </w:num>
  <w:num w:numId="100">
    <w:abstractNumId w:val="289"/>
  </w:num>
  <w:num w:numId="101">
    <w:abstractNumId w:val="353"/>
  </w:num>
  <w:num w:numId="102">
    <w:abstractNumId w:val="207"/>
  </w:num>
  <w:num w:numId="103">
    <w:abstractNumId w:val="301"/>
  </w:num>
  <w:num w:numId="104">
    <w:abstractNumId w:val="385"/>
  </w:num>
  <w:num w:numId="105">
    <w:abstractNumId w:val="91"/>
  </w:num>
  <w:num w:numId="106">
    <w:abstractNumId w:val="383"/>
  </w:num>
  <w:num w:numId="107">
    <w:abstractNumId w:val="208"/>
  </w:num>
  <w:num w:numId="108">
    <w:abstractNumId w:val="387"/>
  </w:num>
  <w:num w:numId="109">
    <w:abstractNumId w:val="187"/>
  </w:num>
  <w:num w:numId="110">
    <w:abstractNumId w:val="210"/>
  </w:num>
  <w:num w:numId="111">
    <w:abstractNumId w:val="390"/>
  </w:num>
  <w:num w:numId="112">
    <w:abstractNumId w:val="324"/>
  </w:num>
  <w:num w:numId="113">
    <w:abstractNumId w:val="332"/>
  </w:num>
  <w:num w:numId="114">
    <w:abstractNumId w:val="229"/>
  </w:num>
  <w:num w:numId="115">
    <w:abstractNumId w:val="268"/>
  </w:num>
  <w:num w:numId="116">
    <w:abstractNumId w:val="404"/>
  </w:num>
  <w:num w:numId="117">
    <w:abstractNumId w:val="388"/>
  </w:num>
  <w:num w:numId="118">
    <w:abstractNumId w:val="129"/>
  </w:num>
  <w:num w:numId="119">
    <w:abstractNumId w:val="355"/>
  </w:num>
  <w:num w:numId="120">
    <w:abstractNumId w:val="226"/>
  </w:num>
  <w:num w:numId="121">
    <w:abstractNumId w:val="254"/>
  </w:num>
  <w:num w:numId="122">
    <w:abstractNumId w:val="309"/>
  </w:num>
  <w:num w:numId="123">
    <w:abstractNumId w:val="315"/>
  </w:num>
  <w:num w:numId="124">
    <w:abstractNumId w:val="321"/>
  </w:num>
  <w:num w:numId="125">
    <w:abstractNumId w:val="107"/>
  </w:num>
  <w:num w:numId="126">
    <w:abstractNumId w:val="236"/>
  </w:num>
  <w:num w:numId="127">
    <w:abstractNumId w:val="174"/>
  </w:num>
  <w:num w:numId="128">
    <w:abstractNumId w:val="57"/>
  </w:num>
  <w:num w:numId="129">
    <w:abstractNumId w:val="323"/>
  </w:num>
  <w:num w:numId="130">
    <w:abstractNumId w:val="349"/>
  </w:num>
  <w:num w:numId="131">
    <w:abstractNumId w:val="354"/>
  </w:num>
  <w:num w:numId="132">
    <w:abstractNumId w:val="271"/>
  </w:num>
  <w:num w:numId="133">
    <w:abstractNumId w:val="158"/>
  </w:num>
  <w:num w:numId="134">
    <w:abstractNumId w:val="241"/>
  </w:num>
  <w:num w:numId="135">
    <w:abstractNumId w:val="232"/>
  </w:num>
  <w:num w:numId="136">
    <w:abstractNumId w:val="259"/>
  </w:num>
  <w:num w:numId="137">
    <w:abstractNumId w:val="206"/>
  </w:num>
  <w:num w:numId="138">
    <w:abstractNumId w:val="49"/>
  </w:num>
  <w:num w:numId="139">
    <w:abstractNumId w:val="220"/>
  </w:num>
  <w:num w:numId="140">
    <w:abstractNumId w:val="14"/>
  </w:num>
  <w:num w:numId="141">
    <w:abstractNumId w:val="287"/>
  </w:num>
  <w:num w:numId="142">
    <w:abstractNumId w:val="194"/>
  </w:num>
  <w:num w:numId="143">
    <w:abstractNumId w:val="341"/>
  </w:num>
  <w:num w:numId="144">
    <w:abstractNumId w:val="193"/>
  </w:num>
  <w:num w:numId="145">
    <w:abstractNumId w:val="43"/>
  </w:num>
  <w:num w:numId="146">
    <w:abstractNumId w:val="186"/>
  </w:num>
  <w:num w:numId="147">
    <w:abstractNumId w:val="191"/>
  </w:num>
  <w:num w:numId="148">
    <w:abstractNumId w:val="20"/>
  </w:num>
  <w:num w:numId="149">
    <w:abstractNumId w:val="333"/>
  </w:num>
  <w:num w:numId="150">
    <w:abstractNumId w:val="149"/>
  </w:num>
  <w:num w:numId="151">
    <w:abstractNumId w:val="253"/>
  </w:num>
  <w:num w:numId="152">
    <w:abstractNumId w:val="167"/>
  </w:num>
  <w:num w:numId="153">
    <w:abstractNumId w:val="48"/>
  </w:num>
  <w:num w:numId="154">
    <w:abstractNumId w:val="159"/>
  </w:num>
  <w:num w:numId="155">
    <w:abstractNumId w:val="98"/>
  </w:num>
  <w:num w:numId="156">
    <w:abstractNumId w:val="157"/>
  </w:num>
  <w:num w:numId="157">
    <w:abstractNumId w:val="10"/>
  </w:num>
  <w:num w:numId="158">
    <w:abstractNumId w:val="292"/>
  </w:num>
  <w:num w:numId="159">
    <w:abstractNumId w:val="218"/>
  </w:num>
  <w:num w:numId="160">
    <w:abstractNumId w:val="330"/>
  </w:num>
  <w:num w:numId="161">
    <w:abstractNumId w:val="222"/>
  </w:num>
  <w:num w:numId="162">
    <w:abstractNumId w:val="165"/>
  </w:num>
  <w:num w:numId="163">
    <w:abstractNumId w:val="179"/>
  </w:num>
  <w:num w:numId="164">
    <w:abstractNumId w:val="403"/>
  </w:num>
  <w:num w:numId="165">
    <w:abstractNumId w:val="25"/>
  </w:num>
  <w:num w:numId="166">
    <w:abstractNumId w:val="31"/>
  </w:num>
  <w:num w:numId="167">
    <w:abstractNumId w:val="256"/>
  </w:num>
  <w:num w:numId="168">
    <w:abstractNumId w:val="233"/>
  </w:num>
  <w:num w:numId="169">
    <w:abstractNumId w:val="86"/>
  </w:num>
  <w:num w:numId="170">
    <w:abstractNumId w:val="84"/>
  </w:num>
  <w:num w:numId="171">
    <w:abstractNumId w:val="251"/>
  </w:num>
  <w:num w:numId="172">
    <w:abstractNumId w:val="377"/>
  </w:num>
  <w:num w:numId="173">
    <w:abstractNumId w:val="300"/>
  </w:num>
  <w:num w:numId="174">
    <w:abstractNumId w:val="170"/>
  </w:num>
  <w:num w:numId="175">
    <w:abstractNumId w:val="163"/>
  </w:num>
  <w:num w:numId="176">
    <w:abstractNumId w:val="346"/>
  </w:num>
  <w:num w:numId="177">
    <w:abstractNumId w:val="397"/>
  </w:num>
  <w:num w:numId="178">
    <w:abstractNumId w:val="395"/>
  </w:num>
  <w:num w:numId="179">
    <w:abstractNumId w:val="366"/>
  </w:num>
  <w:num w:numId="180">
    <w:abstractNumId w:val="313"/>
  </w:num>
  <w:num w:numId="181">
    <w:abstractNumId w:val="133"/>
  </w:num>
  <w:num w:numId="182">
    <w:abstractNumId w:val="204"/>
  </w:num>
  <w:num w:numId="183">
    <w:abstractNumId w:val="83"/>
  </w:num>
  <w:num w:numId="184">
    <w:abstractNumId w:val="180"/>
  </w:num>
  <w:num w:numId="185">
    <w:abstractNumId w:val="396"/>
  </w:num>
  <w:num w:numId="186">
    <w:abstractNumId w:val="171"/>
  </w:num>
  <w:num w:numId="187">
    <w:abstractNumId w:val="359"/>
  </w:num>
  <w:num w:numId="188">
    <w:abstractNumId w:val="402"/>
  </w:num>
  <w:num w:numId="189">
    <w:abstractNumId w:val="66"/>
  </w:num>
  <w:num w:numId="190">
    <w:abstractNumId w:val="168"/>
  </w:num>
  <w:num w:numId="191">
    <w:abstractNumId w:val="318"/>
  </w:num>
  <w:num w:numId="192">
    <w:abstractNumId w:val="311"/>
  </w:num>
  <w:num w:numId="193">
    <w:abstractNumId w:val="370"/>
  </w:num>
  <w:num w:numId="194">
    <w:abstractNumId w:val="103"/>
  </w:num>
  <w:num w:numId="195">
    <w:abstractNumId w:val="310"/>
  </w:num>
  <w:num w:numId="196">
    <w:abstractNumId w:val="400"/>
  </w:num>
  <w:num w:numId="197">
    <w:abstractNumId w:val="131"/>
  </w:num>
  <w:num w:numId="198">
    <w:abstractNumId w:val="156"/>
  </w:num>
  <w:num w:numId="199">
    <w:abstractNumId w:val="213"/>
  </w:num>
  <w:num w:numId="200">
    <w:abstractNumId w:val="211"/>
  </w:num>
  <w:num w:numId="201">
    <w:abstractNumId w:val="247"/>
  </w:num>
  <w:num w:numId="202">
    <w:abstractNumId w:val="73"/>
  </w:num>
  <w:num w:numId="203">
    <w:abstractNumId w:val="181"/>
  </w:num>
  <w:num w:numId="204">
    <w:abstractNumId w:val="143"/>
  </w:num>
  <w:num w:numId="205">
    <w:abstractNumId w:val="266"/>
  </w:num>
  <w:num w:numId="206">
    <w:abstractNumId w:val="373"/>
  </w:num>
  <w:num w:numId="207">
    <w:abstractNumId w:val="81"/>
  </w:num>
  <w:num w:numId="208">
    <w:abstractNumId w:val="237"/>
  </w:num>
  <w:num w:numId="209">
    <w:abstractNumId w:val="350"/>
  </w:num>
  <w:num w:numId="210">
    <w:abstractNumId w:val="42"/>
  </w:num>
  <w:num w:numId="211">
    <w:abstractNumId w:val="146"/>
  </w:num>
  <w:num w:numId="212">
    <w:abstractNumId w:val="76"/>
  </w:num>
  <w:num w:numId="213">
    <w:abstractNumId w:val="261"/>
  </w:num>
  <w:num w:numId="214">
    <w:abstractNumId w:val="228"/>
  </w:num>
  <w:num w:numId="215">
    <w:abstractNumId w:val="276"/>
  </w:num>
  <w:num w:numId="216">
    <w:abstractNumId w:val="231"/>
  </w:num>
  <w:num w:numId="217">
    <w:abstractNumId w:val="26"/>
  </w:num>
  <w:num w:numId="218">
    <w:abstractNumId w:val="214"/>
  </w:num>
  <w:num w:numId="219">
    <w:abstractNumId w:val="215"/>
  </w:num>
  <w:num w:numId="220">
    <w:abstractNumId w:val="94"/>
  </w:num>
  <w:num w:numId="221">
    <w:abstractNumId w:val="11"/>
  </w:num>
  <w:num w:numId="222">
    <w:abstractNumId w:val="136"/>
  </w:num>
  <w:num w:numId="223">
    <w:abstractNumId w:val="5"/>
  </w:num>
  <w:num w:numId="224">
    <w:abstractNumId w:val="378"/>
  </w:num>
  <w:num w:numId="225">
    <w:abstractNumId w:val="235"/>
  </w:num>
  <w:num w:numId="226">
    <w:abstractNumId w:val="314"/>
  </w:num>
  <w:num w:numId="227">
    <w:abstractNumId w:val="361"/>
  </w:num>
  <w:num w:numId="228">
    <w:abstractNumId w:val="386"/>
  </w:num>
  <w:num w:numId="229">
    <w:abstractNumId w:val="62"/>
  </w:num>
  <w:num w:numId="230">
    <w:abstractNumId w:val="166"/>
  </w:num>
  <w:num w:numId="231">
    <w:abstractNumId w:val="185"/>
  </w:num>
  <w:num w:numId="232">
    <w:abstractNumId w:val="322"/>
  </w:num>
  <w:num w:numId="233">
    <w:abstractNumId w:val="255"/>
  </w:num>
  <w:num w:numId="234">
    <w:abstractNumId w:val="401"/>
  </w:num>
  <w:num w:numId="235">
    <w:abstractNumId w:val="52"/>
  </w:num>
  <w:num w:numId="236">
    <w:abstractNumId w:val="116"/>
  </w:num>
  <w:num w:numId="237">
    <w:abstractNumId w:val="358"/>
  </w:num>
  <w:num w:numId="238">
    <w:abstractNumId w:val="145"/>
  </w:num>
  <w:num w:numId="239">
    <w:abstractNumId w:val="367"/>
  </w:num>
  <w:num w:numId="240">
    <w:abstractNumId w:val="304"/>
  </w:num>
  <w:num w:numId="241">
    <w:abstractNumId w:val="175"/>
  </w:num>
  <w:num w:numId="242">
    <w:abstractNumId w:val="110"/>
  </w:num>
  <w:num w:numId="243">
    <w:abstractNumId w:val="393"/>
  </w:num>
  <w:num w:numId="244">
    <w:abstractNumId w:val="45"/>
  </w:num>
  <w:num w:numId="245">
    <w:abstractNumId w:val="351"/>
  </w:num>
  <w:num w:numId="246">
    <w:abstractNumId w:val="248"/>
  </w:num>
  <w:num w:numId="247">
    <w:abstractNumId w:val="293"/>
  </w:num>
  <w:num w:numId="248">
    <w:abstractNumId w:val="380"/>
  </w:num>
  <w:num w:numId="249">
    <w:abstractNumId w:val="67"/>
  </w:num>
  <w:num w:numId="250">
    <w:abstractNumId w:val="113"/>
  </w:num>
  <w:num w:numId="251">
    <w:abstractNumId w:val="58"/>
  </w:num>
  <w:num w:numId="252">
    <w:abstractNumId w:val="79"/>
  </w:num>
  <w:num w:numId="253">
    <w:abstractNumId w:val="250"/>
  </w:num>
  <w:num w:numId="254">
    <w:abstractNumId w:val="64"/>
  </w:num>
  <w:num w:numId="255">
    <w:abstractNumId w:val="46"/>
  </w:num>
  <w:num w:numId="256">
    <w:abstractNumId w:val="89"/>
  </w:num>
  <w:num w:numId="257">
    <w:abstractNumId w:val="394"/>
  </w:num>
  <w:num w:numId="258">
    <w:abstractNumId w:val="6"/>
  </w:num>
  <w:num w:numId="259">
    <w:abstractNumId w:val="55"/>
  </w:num>
  <w:num w:numId="260">
    <w:abstractNumId w:val="44"/>
  </w:num>
  <w:num w:numId="261">
    <w:abstractNumId w:val="169"/>
  </w:num>
  <w:num w:numId="262">
    <w:abstractNumId w:val="263"/>
  </w:num>
  <w:num w:numId="263">
    <w:abstractNumId w:val="372"/>
  </w:num>
  <w:num w:numId="264">
    <w:abstractNumId w:val="38"/>
  </w:num>
  <w:num w:numId="265">
    <w:abstractNumId w:val="243"/>
  </w:num>
  <w:num w:numId="266">
    <w:abstractNumId w:val="29"/>
  </w:num>
  <w:num w:numId="267">
    <w:abstractNumId w:val="151"/>
  </w:num>
  <w:num w:numId="268">
    <w:abstractNumId w:val="188"/>
  </w:num>
  <w:num w:numId="269">
    <w:abstractNumId w:val="162"/>
  </w:num>
  <w:num w:numId="270">
    <w:abstractNumId w:val="117"/>
  </w:num>
  <w:num w:numId="271">
    <w:abstractNumId w:val="95"/>
  </w:num>
  <w:num w:numId="272">
    <w:abstractNumId w:val="371"/>
  </w:num>
  <w:num w:numId="273">
    <w:abstractNumId w:val="216"/>
  </w:num>
  <w:num w:numId="274">
    <w:abstractNumId w:val="71"/>
  </w:num>
  <w:num w:numId="275">
    <w:abstractNumId w:val="15"/>
  </w:num>
  <w:num w:numId="276">
    <w:abstractNumId w:val="160"/>
  </w:num>
  <w:num w:numId="277">
    <w:abstractNumId w:val="331"/>
  </w:num>
  <w:num w:numId="278">
    <w:abstractNumId w:val="306"/>
  </w:num>
  <w:num w:numId="279">
    <w:abstractNumId w:val="140"/>
  </w:num>
  <w:num w:numId="280">
    <w:abstractNumId w:val="405"/>
  </w:num>
  <w:num w:numId="281">
    <w:abstractNumId w:val="16"/>
  </w:num>
  <w:num w:numId="282">
    <w:abstractNumId w:val="197"/>
  </w:num>
  <w:num w:numId="283">
    <w:abstractNumId w:val="78"/>
  </w:num>
  <w:num w:numId="284">
    <w:abstractNumId w:val="270"/>
  </w:num>
  <w:num w:numId="285">
    <w:abstractNumId w:val="285"/>
  </w:num>
  <w:num w:numId="286">
    <w:abstractNumId w:val="130"/>
  </w:num>
  <w:num w:numId="287">
    <w:abstractNumId w:val="363"/>
  </w:num>
  <w:num w:numId="288">
    <w:abstractNumId w:val="262"/>
  </w:num>
  <w:num w:numId="289">
    <w:abstractNumId w:val="135"/>
  </w:num>
  <w:num w:numId="290">
    <w:abstractNumId w:val="21"/>
  </w:num>
  <w:num w:numId="291">
    <w:abstractNumId w:val="312"/>
  </w:num>
  <w:num w:numId="292">
    <w:abstractNumId w:val="326"/>
  </w:num>
  <w:num w:numId="293">
    <w:abstractNumId w:val="284"/>
  </w:num>
  <w:num w:numId="294">
    <w:abstractNumId w:val="279"/>
  </w:num>
  <w:num w:numId="295">
    <w:abstractNumId w:val="369"/>
  </w:num>
  <w:num w:numId="296">
    <w:abstractNumId w:val="125"/>
  </w:num>
  <w:num w:numId="297">
    <w:abstractNumId w:val="305"/>
  </w:num>
  <w:num w:numId="298">
    <w:abstractNumId w:val="118"/>
  </w:num>
  <w:num w:numId="299">
    <w:abstractNumId w:val="327"/>
  </w:num>
  <w:num w:numId="300">
    <w:abstractNumId w:val="70"/>
  </w:num>
  <w:num w:numId="301">
    <w:abstractNumId w:val="227"/>
  </w:num>
  <w:num w:numId="302">
    <w:abstractNumId w:val="22"/>
  </w:num>
  <w:num w:numId="303">
    <w:abstractNumId w:val="39"/>
  </w:num>
  <w:num w:numId="304">
    <w:abstractNumId w:val="54"/>
  </w:num>
  <w:num w:numId="305">
    <w:abstractNumId w:val="96"/>
  </w:num>
  <w:num w:numId="306">
    <w:abstractNumId w:val="47"/>
  </w:num>
  <w:num w:numId="307">
    <w:abstractNumId w:val="225"/>
  </w:num>
  <w:num w:numId="308">
    <w:abstractNumId w:val="24"/>
  </w:num>
  <w:num w:numId="309">
    <w:abstractNumId w:val="364"/>
  </w:num>
  <w:num w:numId="310">
    <w:abstractNumId w:val="391"/>
  </w:num>
  <w:num w:numId="311">
    <w:abstractNumId w:val="23"/>
  </w:num>
  <w:num w:numId="312">
    <w:abstractNumId w:val="381"/>
  </w:num>
  <w:num w:numId="313">
    <w:abstractNumId w:val="173"/>
  </w:num>
  <w:num w:numId="314">
    <w:abstractNumId w:val="101"/>
  </w:num>
  <w:num w:numId="315">
    <w:abstractNumId w:val="224"/>
  </w:num>
  <w:num w:numId="316">
    <w:abstractNumId w:val="59"/>
  </w:num>
  <w:num w:numId="317">
    <w:abstractNumId w:val="223"/>
  </w:num>
  <w:num w:numId="318">
    <w:abstractNumId w:val="177"/>
  </w:num>
  <w:num w:numId="319">
    <w:abstractNumId w:val="335"/>
  </w:num>
  <w:num w:numId="320">
    <w:abstractNumId w:val="382"/>
  </w:num>
  <w:num w:numId="321">
    <w:abstractNumId w:val="199"/>
  </w:num>
  <w:num w:numId="322">
    <w:abstractNumId w:val="221"/>
  </w:num>
  <w:num w:numId="323">
    <w:abstractNumId w:val="296"/>
  </w:num>
  <w:num w:numId="324">
    <w:abstractNumId w:val="87"/>
  </w:num>
  <w:num w:numId="325">
    <w:abstractNumId w:val="108"/>
  </w:num>
  <w:num w:numId="326">
    <w:abstractNumId w:val="252"/>
  </w:num>
  <w:num w:numId="327">
    <w:abstractNumId w:val="205"/>
  </w:num>
  <w:num w:numId="328">
    <w:abstractNumId w:val="9"/>
  </w:num>
  <w:num w:numId="329">
    <w:abstractNumId w:val="384"/>
  </w:num>
  <w:num w:numId="330">
    <w:abstractNumId w:val="139"/>
  </w:num>
  <w:num w:numId="331">
    <w:abstractNumId w:val="80"/>
  </w:num>
  <w:num w:numId="332">
    <w:abstractNumId w:val="196"/>
  </w:num>
  <w:num w:numId="333">
    <w:abstractNumId w:val="154"/>
  </w:num>
  <w:num w:numId="334">
    <w:abstractNumId w:val="122"/>
  </w:num>
  <w:num w:numId="335">
    <w:abstractNumId w:val="278"/>
  </w:num>
  <w:num w:numId="336">
    <w:abstractNumId w:val="258"/>
  </w:num>
  <w:num w:numId="337">
    <w:abstractNumId w:val="164"/>
  </w:num>
  <w:num w:numId="338">
    <w:abstractNumId w:val="109"/>
  </w:num>
  <w:num w:numId="339">
    <w:abstractNumId w:val="288"/>
  </w:num>
  <w:num w:numId="340">
    <w:abstractNumId w:val="132"/>
  </w:num>
  <w:num w:numId="341">
    <w:abstractNumId w:val="82"/>
  </w:num>
  <w:num w:numId="342">
    <w:abstractNumId w:val="308"/>
  </w:num>
  <w:num w:numId="343">
    <w:abstractNumId w:val="104"/>
  </w:num>
  <w:num w:numId="344">
    <w:abstractNumId w:val="280"/>
  </w:num>
  <w:num w:numId="345">
    <w:abstractNumId w:val="8"/>
  </w:num>
  <w:num w:numId="346">
    <w:abstractNumId w:val="344"/>
  </w:num>
  <w:num w:numId="347">
    <w:abstractNumId w:val="347"/>
  </w:num>
  <w:num w:numId="348">
    <w:abstractNumId w:val="234"/>
  </w:num>
  <w:num w:numId="349">
    <w:abstractNumId w:val="128"/>
  </w:num>
  <w:num w:numId="350">
    <w:abstractNumId w:val="273"/>
  </w:num>
  <w:num w:numId="351">
    <w:abstractNumId w:val="200"/>
  </w:num>
  <w:num w:numId="352">
    <w:abstractNumId w:val="345"/>
  </w:num>
  <w:num w:numId="353">
    <w:abstractNumId w:val="99"/>
  </w:num>
  <w:num w:numId="354">
    <w:abstractNumId w:val="100"/>
  </w:num>
  <w:num w:numId="355">
    <w:abstractNumId w:val="30"/>
  </w:num>
  <w:num w:numId="356">
    <w:abstractNumId w:val="192"/>
  </w:num>
  <w:num w:numId="357">
    <w:abstractNumId w:val="365"/>
  </w:num>
  <w:num w:numId="358">
    <w:abstractNumId w:val="240"/>
  </w:num>
  <w:num w:numId="359">
    <w:abstractNumId w:val="201"/>
  </w:num>
  <w:num w:numId="360">
    <w:abstractNumId w:val="337"/>
  </w:num>
  <w:num w:numId="361">
    <w:abstractNumId w:val="398"/>
  </w:num>
  <w:num w:numId="362">
    <w:abstractNumId w:val="298"/>
  </w:num>
  <w:num w:numId="363">
    <w:abstractNumId w:val="137"/>
  </w:num>
  <w:num w:numId="364">
    <w:abstractNumId w:val="142"/>
  </w:num>
  <w:num w:numId="365">
    <w:abstractNumId w:val="19"/>
  </w:num>
  <w:num w:numId="366">
    <w:abstractNumId w:val="12"/>
  </w:num>
  <w:num w:numId="367">
    <w:abstractNumId w:val="1"/>
  </w:num>
  <w:num w:numId="368">
    <w:abstractNumId w:val="184"/>
  </w:num>
  <w:num w:numId="369">
    <w:abstractNumId w:val="115"/>
  </w:num>
  <w:num w:numId="370">
    <w:abstractNumId w:val="290"/>
  </w:num>
  <w:num w:numId="371">
    <w:abstractNumId w:val="336"/>
  </w:num>
  <w:num w:numId="372">
    <w:abstractNumId w:val="190"/>
  </w:num>
  <w:num w:numId="373">
    <w:abstractNumId w:val="172"/>
  </w:num>
  <w:num w:numId="374">
    <w:abstractNumId w:val="32"/>
  </w:num>
  <w:num w:numId="375">
    <w:abstractNumId w:val="72"/>
  </w:num>
  <w:num w:numId="376">
    <w:abstractNumId w:val="183"/>
  </w:num>
  <w:num w:numId="377">
    <w:abstractNumId w:val="376"/>
  </w:num>
  <w:num w:numId="378">
    <w:abstractNumId w:val="18"/>
  </w:num>
  <w:num w:numId="379">
    <w:abstractNumId w:val="33"/>
  </w:num>
  <w:num w:numId="380">
    <w:abstractNumId w:val="97"/>
  </w:num>
  <w:num w:numId="381">
    <w:abstractNumId w:val="291"/>
  </w:num>
  <w:num w:numId="382">
    <w:abstractNumId w:val="239"/>
  </w:num>
  <w:num w:numId="383">
    <w:abstractNumId w:val="34"/>
  </w:num>
  <w:num w:numId="384">
    <w:abstractNumId w:val="399"/>
  </w:num>
  <w:num w:numId="385">
    <w:abstractNumId w:val="352"/>
  </w:num>
  <w:num w:numId="386">
    <w:abstractNumId w:val="56"/>
  </w:num>
  <w:num w:numId="387">
    <w:abstractNumId w:val="176"/>
  </w:num>
  <w:num w:numId="388">
    <w:abstractNumId w:val="307"/>
  </w:num>
  <w:num w:numId="389">
    <w:abstractNumId w:val="316"/>
  </w:num>
  <w:num w:numId="390">
    <w:abstractNumId w:val="4"/>
  </w:num>
  <w:num w:numId="391">
    <w:abstractNumId w:val="219"/>
  </w:num>
  <w:num w:numId="392">
    <w:abstractNumId w:val="297"/>
  </w:num>
  <w:num w:numId="393">
    <w:abstractNumId w:val="302"/>
  </w:num>
  <w:num w:numId="394">
    <w:abstractNumId w:val="375"/>
  </w:num>
  <w:num w:numId="395">
    <w:abstractNumId w:val="36"/>
  </w:num>
  <w:num w:numId="396">
    <w:abstractNumId w:val="320"/>
  </w:num>
  <w:num w:numId="397">
    <w:abstractNumId w:val="392"/>
  </w:num>
  <w:num w:numId="398">
    <w:abstractNumId w:val="40"/>
  </w:num>
  <w:num w:numId="399">
    <w:abstractNumId w:val="111"/>
  </w:num>
  <w:num w:numId="400">
    <w:abstractNumId w:val="93"/>
  </w:num>
  <w:num w:numId="401">
    <w:abstractNumId w:val="328"/>
  </w:num>
  <w:num w:numId="402">
    <w:abstractNumId w:val="35"/>
  </w:num>
  <w:num w:numId="403">
    <w:abstractNumId w:val="303"/>
  </w:num>
  <w:num w:numId="404">
    <w:abstractNumId w:val="112"/>
  </w:num>
  <w:num w:numId="405">
    <w:abstractNumId w:val="63"/>
  </w:num>
  <w:num w:numId="406">
    <w:abstractNumId w:val="389"/>
  </w:num>
  <w:numIdMacAtCleanup w:val="4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2B4"/>
    <w:rsid w:val="00AC12B4"/>
    <w:rsid w:val="00C27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7636"/>
    <w:rPr>
      <w:rFonts w:ascii="Tahoma" w:hAnsi="Tahoma" w:cs="Tahoma"/>
      <w:sz w:val="16"/>
      <w:szCs w:val="16"/>
    </w:rPr>
  </w:style>
  <w:style w:type="character" w:customStyle="1" w:styleId="BalloonTextChar">
    <w:name w:val="Balloon Text Char"/>
    <w:basedOn w:val="DefaultParagraphFont"/>
    <w:link w:val="BalloonText"/>
    <w:uiPriority w:val="99"/>
    <w:semiHidden/>
    <w:rsid w:val="00C27636"/>
    <w:rPr>
      <w:rFonts w:ascii="Tahoma" w:hAnsi="Tahoma" w:cs="Tahoma"/>
      <w:sz w:val="16"/>
      <w:szCs w:val="16"/>
    </w:rPr>
  </w:style>
  <w:style w:type="paragraph" w:styleId="Header">
    <w:name w:val="header"/>
    <w:basedOn w:val="Normal"/>
    <w:link w:val="HeaderChar"/>
    <w:uiPriority w:val="99"/>
    <w:unhideWhenUsed/>
    <w:rsid w:val="00C27636"/>
    <w:pPr>
      <w:tabs>
        <w:tab w:val="center" w:pos="4680"/>
        <w:tab w:val="right" w:pos="9360"/>
      </w:tabs>
    </w:pPr>
  </w:style>
  <w:style w:type="character" w:customStyle="1" w:styleId="HeaderChar">
    <w:name w:val="Header Char"/>
    <w:basedOn w:val="DefaultParagraphFont"/>
    <w:link w:val="Header"/>
    <w:uiPriority w:val="99"/>
    <w:rsid w:val="00C27636"/>
  </w:style>
  <w:style w:type="paragraph" w:styleId="Footer">
    <w:name w:val="footer"/>
    <w:basedOn w:val="Normal"/>
    <w:link w:val="FooterChar"/>
    <w:uiPriority w:val="99"/>
    <w:unhideWhenUsed/>
    <w:rsid w:val="00C27636"/>
    <w:pPr>
      <w:tabs>
        <w:tab w:val="center" w:pos="4680"/>
        <w:tab w:val="right" w:pos="9360"/>
      </w:tabs>
    </w:pPr>
  </w:style>
  <w:style w:type="character" w:customStyle="1" w:styleId="FooterChar">
    <w:name w:val="Footer Char"/>
    <w:basedOn w:val="DefaultParagraphFont"/>
    <w:link w:val="Footer"/>
    <w:uiPriority w:val="99"/>
    <w:rsid w:val="00C276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7636"/>
    <w:rPr>
      <w:rFonts w:ascii="Tahoma" w:hAnsi="Tahoma" w:cs="Tahoma"/>
      <w:sz w:val="16"/>
      <w:szCs w:val="16"/>
    </w:rPr>
  </w:style>
  <w:style w:type="character" w:customStyle="1" w:styleId="BalloonTextChar">
    <w:name w:val="Balloon Text Char"/>
    <w:basedOn w:val="DefaultParagraphFont"/>
    <w:link w:val="BalloonText"/>
    <w:uiPriority w:val="99"/>
    <w:semiHidden/>
    <w:rsid w:val="00C27636"/>
    <w:rPr>
      <w:rFonts w:ascii="Tahoma" w:hAnsi="Tahoma" w:cs="Tahoma"/>
      <w:sz w:val="16"/>
      <w:szCs w:val="16"/>
    </w:rPr>
  </w:style>
  <w:style w:type="paragraph" w:styleId="Header">
    <w:name w:val="header"/>
    <w:basedOn w:val="Normal"/>
    <w:link w:val="HeaderChar"/>
    <w:uiPriority w:val="99"/>
    <w:unhideWhenUsed/>
    <w:rsid w:val="00C27636"/>
    <w:pPr>
      <w:tabs>
        <w:tab w:val="center" w:pos="4680"/>
        <w:tab w:val="right" w:pos="9360"/>
      </w:tabs>
    </w:pPr>
  </w:style>
  <w:style w:type="character" w:customStyle="1" w:styleId="HeaderChar">
    <w:name w:val="Header Char"/>
    <w:basedOn w:val="DefaultParagraphFont"/>
    <w:link w:val="Header"/>
    <w:uiPriority w:val="99"/>
    <w:rsid w:val="00C27636"/>
  </w:style>
  <w:style w:type="paragraph" w:styleId="Footer">
    <w:name w:val="footer"/>
    <w:basedOn w:val="Normal"/>
    <w:link w:val="FooterChar"/>
    <w:uiPriority w:val="99"/>
    <w:unhideWhenUsed/>
    <w:rsid w:val="00C27636"/>
    <w:pPr>
      <w:tabs>
        <w:tab w:val="center" w:pos="4680"/>
        <w:tab w:val="right" w:pos="9360"/>
      </w:tabs>
    </w:pPr>
  </w:style>
  <w:style w:type="character" w:customStyle="1" w:styleId="FooterChar">
    <w:name w:val="Footer Char"/>
    <w:basedOn w:val="DefaultParagraphFont"/>
    <w:link w:val="Footer"/>
    <w:uiPriority w:val="99"/>
    <w:rsid w:val="00C27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bcfi.be/nieuws/index.cfm?welk=734&amp;category=GOW" TargetMode="External"/><Relationship Id="rId299" Type="http://schemas.openxmlformats.org/officeDocument/2006/relationships/hyperlink" Target="http://www.kindengezin.be/img/jaarverslag-2013.pdf" TargetMode="External"/><Relationship Id="rId21" Type="http://schemas.openxmlformats.org/officeDocument/2006/relationships/hyperlink" Target="http://www.cnde.be/" TargetMode="External"/><Relationship Id="rId63" Type="http://schemas.openxmlformats.org/officeDocument/2006/relationships/hyperlink" Target="http://www.stadsmonitor.be/gezinnen-in-de-stad" TargetMode="External"/><Relationship Id="rId159" Type="http://schemas.openxmlformats.org/officeDocument/2006/relationships/hyperlink" Target="http://www.swl.be/images/swl/brochures/guide-location-logement-okbr-web.pdf" TargetMode="External"/><Relationship Id="rId324" Type="http://schemas.openxmlformats.org/officeDocument/2006/relationships/image" Target="media/image127.jpeg"/><Relationship Id="rId366" Type="http://schemas.openxmlformats.org/officeDocument/2006/relationships/hyperlink" Target="http://www.refworld.org/pdfid/4e6067632.pdf" TargetMode="External"/><Relationship Id="rId170" Type="http://schemas.openxmlformats.org/officeDocument/2006/relationships/hyperlink" Target="http://www.irceline.be/shared/gaat-het-met-luchtkwaliteit-in-ons-land-effectief-de-slechte-kant-op" TargetMode="External"/><Relationship Id="rId226" Type="http://schemas.openxmlformats.org/officeDocument/2006/relationships/hyperlink" Target="http://www.aspe.ulg.ac.be/Files/note_synthese_pisa2012.pdf" TargetMode="External"/><Relationship Id="rId268" Type="http://schemas.openxmlformats.org/officeDocument/2006/relationships/image" Target="media/image116.jpeg"/><Relationship Id="rId32" Type="http://schemas.openxmlformats.org/officeDocument/2006/relationships/hyperlink" Target="http://www.cnde.be/" TargetMode="External"/><Relationship Id="rId74" Type="http://schemas.openxmlformats.org/officeDocument/2006/relationships/hyperlink" Target="http://www.sociaalcultureel.be/jeugd/kinderrecht_monitor_indicatoren.aspx" TargetMode="External"/><Relationship Id="rId128" Type="http://schemas.openxmlformats.org/officeDocument/2006/relationships/image" Target="media/image60.jpeg"/><Relationship Id="rId335" Type="http://schemas.openxmlformats.org/officeDocument/2006/relationships/hyperlink" Target="http://www.coe.int/en/web/echr-toolkit/home" TargetMode="External"/><Relationship Id="rId377" Type="http://schemas.openxmlformats.org/officeDocument/2006/relationships/image" Target="media/image129.jpeg"/><Relationship Id="rId5" Type="http://schemas.openxmlformats.org/officeDocument/2006/relationships/webSettings" Target="webSettings.xml"/><Relationship Id="rId181" Type="http://schemas.openxmlformats.org/officeDocument/2006/relationships/hyperlink" Target="http://wvg.vlaanderen.be/jongerenwelzijn/jeugdhulp/publieke-jeugdinstellingen/inspectiebezoeken/" TargetMode="External"/><Relationship Id="rId237" Type="http://schemas.openxmlformats.org/officeDocument/2006/relationships/image" Target="media/image101.jpeg"/><Relationship Id="rId279" Type="http://schemas.openxmlformats.org/officeDocument/2006/relationships/hyperlink" Target="http://statbel.fgov.be/fr/modules/publications/statistiques/marche_du_travail_et_conditions_de_vie/conciliation_entre_vie_professionnelle_et_vie_familiale.jsp" TargetMode="External"/><Relationship Id="rId43" Type="http://schemas.openxmlformats.org/officeDocument/2006/relationships/image" Target="media/image14.jpeg"/><Relationship Id="rId139" Type="http://schemas.openxmlformats.org/officeDocument/2006/relationships/image" Target="media/image71.jpeg"/><Relationship Id="rId290" Type="http://schemas.openxmlformats.org/officeDocument/2006/relationships/hyperlink" Target="http://www.one.be/uploads/tx_ttproducts/datasheet/RA_2014_ONE_en_chiffres.pdf" TargetMode="External"/><Relationship Id="rId304" Type="http://schemas.openxmlformats.org/officeDocument/2006/relationships/hyperlink" Target="http://www.kindengezin.be/img/gebruik-kinderopvang-vlgewest2013.pdf" TargetMode="External"/><Relationship Id="rId346" Type="http://schemas.openxmlformats.org/officeDocument/2006/relationships/hyperlink" Target="http://www.armoedebestrijding.be/publications/rapport_lien_2013.pdf" TargetMode="External"/><Relationship Id="rId85" Type="http://schemas.openxmlformats.org/officeDocument/2006/relationships/hyperlink" Target="http://atlas.aim-ima.be/" TargetMode="External"/><Relationship Id="rId150" Type="http://schemas.openxmlformats.org/officeDocument/2006/relationships/hyperlink" Target="http://www.sociaalcultureel.be/jeugd/kinderrechten/indicatoren/fiche_gezondelevensstijl.pdf" TargetMode="External"/><Relationship Id="rId192" Type="http://schemas.openxmlformats.org/officeDocument/2006/relationships/hyperlink" Target="https://hiva.kuleuven.be/nl/onderzoek/onderzoeksprojecten/ontwikkeling-van-een-studiekostenmonitor" TargetMode="External"/><Relationship Id="rId206" Type="http://schemas.openxmlformats.org/officeDocument/2006/relationships/hyperlink" Target="https://steunpuntssl.be/Onderzoek/Loopbanen-van-leerlingen" TargetMode="External"/><Relationship Id="rId248" Type="http://schemas.openxmlformats.org/officeDocument/2006/relationships/image" Target="media/image106.jpeg"/><Relationship Id="rId12" Type="http://schemas.openxmlformats.org/officeDocument/2006/relationships/footer" Target="footer2.xml"/><Relationship Id="rId108" Type="http://schemas.openxmlformats.org/officeDocument/2006/relationships/image" Target="media/image55.jpeg"/><Relationship Id="rId315" Type="http://schemas.openxmlformats.org/officeDocument/2006/relationships/hyperlink" Target="https://www.uantwerpen.be/nl/steunpunten/vlaams-armoedesteunpunt/publicaties/" TargetMode="External"/><Relationship Id="rId357" Type="http://schemas.openxmlformats.org/officeDocument/2006/relationships/hyperlink" Target="http://www.kinderenopdevlucht.be/fr/la-plate-forme/nos-actualites/rapport-detention-2015.html" TargetMode="External"/><Relationship Id="rId54" Type="http://schemas.openxmlformats.org/officeDocument/2006/relationships/hyperlink" Target="http://www.solidaris.be/BW/Pages/Thermometre-Solidaris-3-Comment-vont-les-ados-mai-2013.aspx" TargetMode="External"/><Relationship Id="rId96" Type="http://schemas.openxmlformats.org/officeDocument/2006/relationships/hyperlink" Target="http://kce.fgov.be/sites/default/files/page_documents/KCE_196B_performance_systeme_sante_belge_0.pdf" TargetMode="External"/><Relationship Id="rId161" Type="http://schemas.openxmlformats.org/officeDocument/2006/relationships/hyperlink" Target="http://www.lstb.be/" TargetMode="External"/><Relationship Id="rId217" Type="http://schemas.openxmlformats.org/officeDocument/2006/relationships/image" Target="media/image94.jpeg"/><Relationship Id="rId259" Type="http://schemas.openxmlformats.org/officeDocument/2006/relationships/image" Target="media/image113.jpeg"/><Relationship Id="rId23" Type="http://schemas.openxmlformats.org/officeDocument/2006/relationships/hyperlink" Target="https://1168.fedimbo.belgium.be/sites/1168.fedimbo.belgium.be/files/explorer/GC-15_en.doc" TargetMode="External"/><Relationship Id="rId119" Type="http://schemas.openxmlformats.org/officeDocument/2006/relationships/hyperlink" Target="http://www.standaard.be/cnt/dmf20151207_02008188" TargetMode="External"/><Relationship Id="rId270" Type="http://schemas.openxmlformats.org/officeDocument/2006/relationships/image" Target="media/image118.jpeg"/><Relationship Id="rId326" Type="http://schemas.openxmlformats.org/officeDocument/2006/relationships/hyperlink" Target="http://incc.fgov.be/upload/files/ODcriminologie/protectiondelajeunesse/pratiquesdecisionnellesdestribunauxdelajeunesse/Resume%20DEF%20FR.pdf" TargetMode="External"/><Relationship Id="rId65" Type="http://schemas.openxmlformats.org/officeDocument/2006/relationships/image" Target="media/image26.jpeg"/><Relationship Id="rId130" Type="http://schemas.openxmlformats.org/officeDocument/2006/relationships/image" Target="media/image62.jpeg"/><Relationship Id="rId368" Type="http://schemas.openxmlformats.org/officeDocument/2006/relationships/hyperlink" Target="http://www.unicef.org/kosovoprogramme/SILENT_HARM_Eng_Web.pdf" TargetMode="External"/><Relationship Id="rId172" Type="http://schemas.openxmlformats.org/officeDocument/2006/relationships/hyperlink" Target="http://www.irceline.be/shared/gaat-het-met-luchtkwaliteit-in-ons-land-effectief-de-slechte-kant-op" TargetMode="External"/><Relationship Id="rId228" Type="http://schemas.openxmlformats.org/officeDocument/2006/relationships/hyperlink" Target="http://www.pisa.ugent.be/uploads/assets/116/1421145371385-PISA%20IN%20FOCUS%20migratie.pdf" TargetMode="External"/><Relationship Id="rId281" Type="http://schemas.openxmlformats.org/officeDocument/2006/relationships/hyperlink" Target="http://statbel.fgov.be/fr/modules/publications/statistiques/marche_du_travail_et_conditions_de_vie/conciliation_entre_vie_professionnelle_et_vie_familiale.jsp" TargetMode="External"/><Relationship Id="rId337" Type="http://schemas.openxmlformats.org/officeDocument/2006/relationships/hyperlink" Target="http://www.csj.be/sites/5023.b.fedimbo.belgium.be/files/press_publications/barometre_justice_2014.pdf" TargetMode="External"/><Relationship Id="rId34" Type="http://schemas.openxmlformats.org/officeDocument/2006/relationships/hyperlink" Target="http://www.hbsc.org/" TargetMode="External"/><Relationship Id="rId76" Type="http://schemas.openxmlformats.org/officeDocument/2006/relationships/image" Target="media/image30.jpeg"/><Relationship Id="rId141" Type="http://schemas.openxmlformats.org/officeDocument/2006/relationships/image" Target="media/image73.jpeg"/><Relationship Id="rId379" Type="http://schemas.openxmlformats.org/officeDocument/2006/relationships/fontTable" Target="fontTable.xml"/><Relationship Id="rId7" Type="http://schemas.openxmlformats.org/officeDocument/2006/relationships/endnotes" Target="endnotes.xml"/><Relationship Id="rId183" Type="http://schemas.openxmlformats.org/officeDocument/2006/relationships/image" Target="media/image80.jpeg"/><Relationship Id="rId239" Type="http://schemas.openxmlformats.org/officeDocument/2006/relationships/hyperlink" Target="http://www.onderwijs.vlaanderen.be/nl/onderwijsstatistieken/themas-onderwijsstatistieken/vroegtijdig-schoolverlaten" TargetMode="External"/><Relationship Id="rId250" Type="http://schemas.openxmlformats.org/officeDocument/2006/relationships/hyperlink" Target="http://k-s.be/medialibrary/purl/nl/0657821/Inhoud%20en%20Inleiding%20van%20'Over%20vrijbuiters%20en%20ankertijd'.pdf" TargetMode="External"/><Relationship Id="rId292" Type="http://schemas.openxmlformats.org/officeDocument/2006/relationships/hyperlink" Target="http://www.kindengezin.be/kinderopvang/cijfers-en-beleid/kinderopvangcijfers-op-maat/" TargetMode="External"/><Relationship Id="rId306" Type="http://schemas.openxmlformats.org/officeDocument/2006/relationships/hyperlink" Target="http://www.kindengezin.be/img/bko-en-vrijetijdsbesteding-in-vl2013.pdf" TargetMode="External"/><Relationship Id="rId45" Type="http://schemas.openxmlformats.org/officeDocument/2006/relationships/image" Target="media/image16.jpeg"/><Relationship Id="rId87" Type="http://schemas.openxmlformats.org/officeDocument/2006/relationships/image" Target="media/image40.jpeg"/><Relationship Id="rId110" Type="http://schemas.openxmlformats.org/officeDocument/2006/relationships/hyperlink" Target="http://health.belgium.be/eportal/Myhealth/Properuse/Antibiotics/BAPCOC/index.htm" TargetMode="External"/><Relationship Id="rId348" Type="http://schemas.openxmlformats.org/officeDocument/2006/relationships/hyperlink" Target="http://www.aidealajeunesse.cfwb.be/index.php?eID=tx_nawsecuredl&amp;u=0&amp;g=0&amp;hash=41bc32b4ce3e668985aec97a7a4936f75ae6a77d&amp;file=fileadmin/sites/ajss/upload/ajss_super_editor/DGAJ/Documents/Brochures_et_documentations/AIJ-Rapport-2010.pdf" TargetMode="External"/><Relationship Id="rId152" Type="http://schemas.openxmlformats.org/officeDocument/2006/relationships/hyperlink" Target="http://www.who.int/dietphysicalactivity/factsheet_young_people/fr/" TargetMode="External"/><Relationship Id="rId194" Type="http://schemas.openxmlformats.org/officeDocument/2006/relationships/hyperlink" Target="http://www.ond.vlaanderen.be/specifieke-onderwijsbehoeften/beleid/M-decreet/" TargetMode="External"/><Relationship Id="rId208" Type="http://schemas.openxmlformats.org/officeDocument/2006/relationships/image" Target="media/image87.jpeg"/><Relationship Id="rId261" Type="http://schemas.openxmlformats.org/officeDocument/2006/relationships/hyperlink" Target="http://statbel.fgov.be/fr/binaries/CP_SILC2011_fr_tcm326-201870.pdf" TargetMode="External"/><Relationship Id="rId14" Type="http://schemas.openxmlformats.org/officeDocument/2006/relationships/footer" Target="footer3.xml"/><Relationship Id="rId56" Type="http://schemas.openxmlformats.org/officeDocument/2006/relationships/image" Target="media/image22.jpeg"/><Relationship Id="rId317" Type="http://schemas.openxmlformats.org/officeDocument/2006/relationships/hyperlink" Target="https://www.uantwerpen.be/nl/steunpunten/vlaams-armoedesteunpunt/publicaties/" TargetMode="External"/><Relationship Id="rId359" Type="http://schemas.openxmlformats.org/officeDocument/2006/relationships/hyperlink" Target="http://www.childfocus.be/nl/nieuws/exploratief-onderzoek-naar-slachtoffers-van-tienerpooiers-in-vlaanderen" TargetMode="External"/><Relationship Id="rId98" Type="http://schemas.openxmlformats.org/officeDocument/2006/relationships/image" Target="media/image47.jpeg"/><Relationship Id="rId121" Type="http://schemas.openxmlformats.org/officeDocument/2006/relationships/hyperlink" Target="http://www.ombudsfunctieggz.be/?action=nieuws_detail&amp;nieuws=332&amp;titel=CM+waarschuwt+voor+stijgend+gebruik+antidepressiva+bij+jongeren&amp;thema" TargetMode="External"/><Relationship Id="rId163" Type="http://schemas.openxmlformats.org/officeDocument/2006/relationships/hyperlink" Target="http://www.luttepauvrete.be/chiffres_sans_abri.htm" TargetMode="External"/><Relationship Id="rId219" Type="http://schemas.openxmlformats.org/officeDocument/2006/relationships/hyperlink" Target="http://www.oecd.org/pisa/keyfindings/Vol4Ch5.pdf" TargetMode="External"/><Relationship Id="rId370" Type="http://schemas.openxmlformats.org/officeDocument/2006/relationships/hyperlink" Target="http://www.kruispuntmi.be/toekomstorientering" TargetMode="External"/><Relationship Id="rId230" Type="http://schemas.openxmlformats.org/officeDocument/2006/relationships/hyperlink" Target="http://www.pisa.ugent.be/uploads/assets/116/1421145371385-PISA%20IN%20FOCUS%20migratie.pdf" TargetMode="External"/><Relationship Id="rId25" Type="http://schemas.openxmlformats.org/officeDocument/2006/relationships/hyperlink" Target="http://www.cnde.be/fr/content/indicateurs" TargetMode="External"/><Relationship Id="rId67" Type="http://schemas.openxmlformats.org/officeDocument/2006/relationships/hyperlink" Target="http://databank.jeugdonderzoeksplatform.be/" TargetMode="External"/><Relationship Id="rId272" Type="http://schemas.openxmlformats.org/officeDocument/2006/relationships/image" Target="media/image120.jpeg"/><Relationship Id="rId328" Type="http://schemas.openxmlformats.org/officeDocument/2006/relationships/hyperlink" Target="http://incc.fgov.be/upload/files/ODcriminologie/protectiondelajeunesse/pratiquesdecisionnellesdestribunauxdelajeunesse/Resume%20DEF%20FR.pdf" TargetMode="External"/><Relationship Id="rId132" Type="http://schemas.openxmlformats.org/officeDocument/2006/relationships/image" Target="media/image64.jpeg"/><Relationship Id="rId174" Type="http://schemas.openxmlformats.org/officeDocument/2006/relationships/hyperlink" Target="http://www.milieu-en-gezondheid.be/resultaten_humane_biomonitoring%202015.html" TargetMode="External"/><Relationship Id="rId381" Type="http://schemas.openxmlformats.org/officeDocument/2006/relationships/customXml" Target="../customXml/item1.xml"/><Relationship Id="rId241" Type="http://schemas.openxmlformats.org/officeDocument/2006/relationships/hyperlink" Target="http://www.onderwijs.vlaanderen.be/nl/onderwijsstatistieken/themas-onderwijsstatistieken/vroegtijdig-schoolverlaten" TargetMode="External"/><Relationship Id="rId36" Type="http://schemas.openxmlformats.org/officeDocument/2006/relationships/hyperlink" Target="http://www.jongeren-en-gezondheid.ugent.be/" TargetMode="External"/><Relationship Id="rId283" Type="http://schemas.openxmlformats.org/officeDocument/2006/relationships/hyperlink" Target="http://k-s.be/medialibrary/purl/nl/0657821/Inhoud%20en%20Inleiding%20van%20'Over%20vrijbuiters%20en%20ankertijd'.pdf" TargetMode="External"/><Relationship Id="rId339" Type="http://schemas.openxmlformats.org/officeDocument/2006/relationships/hyperlink" Target="http://www.childrensrightsbehindbars.eu/images/national-reports-2014/" TargetMode="External"/><Relationship Id="rId78" Type="http://schemas.openxmlformats.org/officeDocument/2006/relationships/image" Target="media/image32.jpeg"/><Relationship Id="rId101" Type="http://schemas.openxmlformats.org/officeDocument/2006/relationships/image" Target="media/image50.jpeg"/><Relationship Id="rId143" Type="http://schemas.openxmlformats.org/officeDocument/2006/relationships/image" Target="media/image75.jpeg"/><Relationship Id="rId185" Type="http://schemas.openxmlformats.org/officeDocument/2006/relationships/hyperlink" Target="https://www.laligue.be/Files/media/Ligueur/2015/enquete-couts-scolaires-2015.pdf" TargetMode="External"/><Relationship Id="rId350" Type="http://schemas.openxmlformats.org/officeDocument/2006/relationships/hyperlink" Target="http://www.aidealajeunesse.cfwb.be/index.php?eID=tx_nawsecuredl&amp;u=0&amp;g=0&amp;hash=41bc32b4ce3e668985aec97a7a4936f75ae6a77d&amp;file=fileadmin/sites/ajss/upload/ajss_super_editor/DGAJ/Documents/Brochures_et_documentations/AIJ-Rapport-2010.pdf" TargetMode="External"/><Relationship Id="rId9" Type="http://schemas.openxmlformats.org/officeDocument/2006/relationships/header" Target="header1.xml"/><Relationship Id="rId210" Type="http://schemas.openxmlformats.org/officeDocument/2006/relationships/image" Target="media/image89.jpeg"/><Relationship Id="rId26" Type="http://schemas.openxmlformats.org/officeDocument/2006/relationships/image" Target="media/image5.jpeg"/><Relationship Id="rId231" Type="http://schemas.openxmlformats.org/officeDocument/2006/relationships/image" Target="media/image99.jpeg"/><Relationship Id="rId252" Type="http://schemas.openxmlformats.org/officeDocument/2006/relationships/hyperlink" Target="http://k-s.be/medialibrary/purl/nl/0657821/Inhoud%20en%20Inleiding%20van%20'Over%20vrijbuiters%20en%20ankertijd'.pdf" TargetMode="External"/><Relationship Id="rId273" Type="http://schemas.openxmlformats.org/officeDocument/2006/relationships/image" Target="media/image121.jpeg"/><Relationship Id="rId294" Type="http://schemas.openxmlformats.org/officeDocument/2006/relationships/image" Target="media/image125.jpeg"/><Relationship Id="rId308" Type="http://schemas.openxmlformats.org/officeDocument/2006/relationships/hyperlink" Target="http://statbel.fgov.be/fr/modules/publications/statistiques/marche_du_travail_et_conditions_de_vie/conciliation_entre_vie_professionnelle_et_vie_familiale.jsp" TargetMode="External"/><Relationship Id="rId329" Type="http://schemas.openxmlformats.org/officeDocument/2006/relationships/hyperlink" Target="http://www.oejaj.cfwb.be/index.php?id=11004" TargetMode="External"/><Relationship Id="rId47" Type="http://schemas.openxmlformats.org/officeDocument/2006/relationships/image" Target="media/image18.jpeg"/><Relationship Id="rId68" Type="http://schemas.openxmlformats.org/officeDocument/2006/relationships/hyperlink" Target="http://databank.jeugdonderzoeksplatform.be/" TargetMode="External"/><Relationship Id="rId89" Type="http://schemas.openxmlformats.org/officeDocument/2006/relationships/image" Target="media/image41.jpeg"/><Relationship Id="rId112" Type="http://schemas.openxmlformats.org/officeDocument/2006/relationships/hyperlink" Target="http://health.belgium.be/eportal/Myhealth/Properuse/Antibiotics/BAPCOC/index.htm" TargetMode="External"/><Relationship Id="rId133" Type="http://schemas.openxmlformats.org/officeDocument/2006/relationships/image" Target="media/image65.jpeg"/><Relationship Id="rId154" Type="http://schemas.openxmlformats.org/officeDocument/2006/relationships/hyperlink" Target="http://www.who.int/dietphysicalactivity/diet/fr/" TargetMode="External"/><Relationship Id="rId175" Type="http://schemas.openxmlformats.org/officeDocument/2006/relationships/hyperlink" Target="http://www.milieu-en-gezondheid.be/resultaten_humane_biomonitoring%202015.html" TargetMode="External"/><Relationship Id="rId340" Type="http://schemas.openxmlformats.org/officeDocument/2006/relationships/hyperlink" Target="http://www.childrensrightsbehindbars.eu/images/national-reports-2014/" TargetMode="External"/><Relationship Id="rId361" Type="http://schemas.openxmlformats.org/officeDocument/2006/relationships/hyperlink" Target="http://www.childfocus.be/nl/nieuws/exploratief-onderzoek-naar-slachtoffers-van-tienerpooiers-in-vlaanderen" TargetMode="External"/><Relationship Id="rId196" Type="http://schemas.openxmlformats.org/officeDocument/2006/relationships/image" Target="media/image82.jpeg"/><Relationship Id="rId200" Type="http://schemas.openxmlformats.org/officeDocument/2006/relationships/image" Target="media/image84.jpeg"/><Relationship Id="rId382" Type="http://schemas.openxmlformats.org/officeDocument/2006/relationships/customXml" Target="../customXml/item2.xml"/><Relationship Id="rId16" Type="http://schemas.openxmlformats.org/officeDocument/2006/relationships/image" Target="media/image3.jpeg"/><Relationship Id="rId221" Type="http://schemas.openxmlformats.org/officeDocument/2006/relationships/image" Target="media/image96.jpeg"/><Relationship Id="rId242" Type="http://schemas.openxmlformats.org/officeDocument/2006/relationships/hyperlink" Target="http://www.steunpuntwse.be/system/files/overwerk_2013_4_08.pdf" TargetMode="External"/><Relationship Id="rId263" Type="http://schemas.openxmlformats.org/officeDocument/2006/relationships/hyperlink" Target="http://lirias.kuleuven.be/handle/123456789/367163" TargetMode="External"/><Relationship Id="rId284" Type="http://schemas.openxmlformats.org/officeDocument/2006/relationships/hyperlink" Target="http://k-s.be/medialibrary/purl/nl/0657821/Inhoud%20en%20Inleiding%20van%20'Over%20vrijbuiters%20en%20ankertijd'.pdf" TargetMode="External"/><Relationship Id="rId319" Type="http://schemas.openxmlformats.org/officeDocument/2006/relationships/hyperlink" Target="http://www.csj.be/sites/5023.b.fedimbo.belgium.be/files/press_publications/barometre_justice_2014.pdf" TargetMode="External"/><Relationship Id="rId37" Type="http://schemas.openxmlformats.org/officeDocument/2006/relationships/hyperlink" Target="https://his.wiv-isp.be/fr/SitePages/Objectifs.aspx" TargetMode="External"/><Relationship Id="rId58" Type="http://schemas.openxmlformats.org/officeDocument/2006/relationships/image" Target="media/image24.jpeg"/><Relationship Id="rId79" Type="http://schemas.openxmlformats.org/officeDocument/2006/relationships/image" Target="media/image33.jpeg"/><Relationship Id="rId102" Type="http://schemas.openxmlformats.org/officeDocument/2006/relationships/image" Target="media/image51.jpeg"/><Relationship Id="rId123" Type="http://schemas.openxmlformats.org/officeDocument/2006/relationships/hyperlink" Target="http://www.ombudsfunctieggz.be/?action=nieuws_detail&amp;nieuws=332&amp;titel=CM+waarschuwt+voor+stijgend+gebruik+antidepressiva+bij+jongeren&amp;thema" TargetMode="External"/><Relationship Id="rId144" Type="http://schemas.openxmlformats.org/officeDocument/2006/relationships/hyperlink" Target="https://fcs.wiv-isp.be/" TargetMode="External"/><Relationship Id="rId330" Type="http://schemas.openxmlformats.org/officeDocument/2006/relationships/hyperlink" Target="http://www.oejaj.cfwb.be/index.php?id=11004" TargetMode="External"/><Relationship Id="rId90" Type="http://schemas.openxmlformats.org/officeDocument/2006/relationships/image" Target="media/image42.jpeg"/><Relationship Id="rId165" Type="http://schemas.openxmlformats.org/officeDocument/2006/relationships/hyperlink" Target="https://hiva.kuleuven.be/resources/pdf/publicaties/R1473_armoede_tussen_de_plooien.pdf" TargetMode="External"/><Relationship Id="rId186" Type="http://schemas.openxmlformats.org/officeDocument/2006/relationships/hyperlink" Target="https://www.laligue.be/Files/media/Ligueur/2015/enquete-couts-scolaires-2015.pdf" TargetMode="External"/><Relationship Id="rId351" Type="http://schemas.openxmlformats.org/officeDocument/2006/relationships/hyperlink" Target="http://www.aidealajeunesse.cfwb.be/index.php?eID=tx_nawsecuredl&amp;u=0&amp;g=0&amp;hash=41bc32b4ce3e668985aec97a7a4936f75ae6a77d&amp;file=fileadmin/sites/ajss/upload/ajss_super_editor/DGAJ/Documents/Brochures_et_documentations/AIJ-Rapport-2010.pdf" TargetMode="External"/><Relationship Id="rId372" Type="http://schemas.openxmlformats.org/officeDocument/2006/relationships/image" Target="media/image128.jpeg"/><Relationship Id="rId211" Type="http://schemas.openxmlformats.org/officeDocument/2006/relationships/hyperlink" Target="https://steunpuntssl.be/Onderzoek/Loopbanen-van-leerlingen" TargetMode="External"/><Relationship Id="rId232" Type="http://schemas.openxmlformats.org/officeDocument/2006/relationships/hyperlink" Target="http://statbel.fgov.be/nl/modules/publications/statistiques/arbeidsmarkt_levensomstandigheden/enquete_sur_les_forces_de_travail_2011.jsp" TargetMode="External"/><Relationship Id="rId253" Type="http://schemas.openxmlformats.org/officeDocument/2006/relationships/image" Target="media/image107.jpeg"/><Relationship Id="rId274" Type="http://schemas.openxmlformats.org/officeDocument/2006/relationships/hyperlink" Target="http://www.eurofound.europa.eu/" TargetMode="External"/><Relationship Id="rId295" Type="http://schemas.openxmlformats.org/officeDocument/2006/relationships/hyperlink" Target="http://www.kindengezin.be/img/kind-in-vlaanderen-2014.pdf" TargetMode="External"/><Relationship Id="rId309" Type="http://schemas.openxmlformats.org/officeDocument/2006/relationships/hyperlink" Target="http://statbel.fgov.be/fr/modules/publications/statistiques/marche_du_travail_et_conditions_de_vie/conciliation_entre_vie_professionnelle_et_vie_familiale.jsp" TargetMode="External"/><Relationship Id="rId27" Type="http://schemas.openxmlformats.org/officeDocument/2006/relationships/image" Target="media/image6.jpeg"/><Relationship Id="rId48" Type="http://schemas.openxmlformats.org/officeDocument/2006/relationships/image" Target="media/image19.jpeg"/><Relationship Id="rId69" Type="http://schemas.openxmlformats.org/officeDocument/2006/relationships/image" Target="media/image28.jpeg"/><Relationship Id="rId113" Type="http://schemas.openxmlformats.org/officeDocument/2006/relationships/hyperlink" Target="https://www.kuleuven.be/metaforum/docs/pdf/wg_1_e.pdf" TargetMode="External"/><Relationship Id="rId134" Type="http://schemas.openxmlformats.org/officeDocument/2006/relationships/image" Target="media/image66.jpeg"/><Relationship Id="rId320" Type="http://schemas.openxmlformats.org/officeDocument/2006/relationships/hyperlink" Target="http://www.csj.be/sites/5023.b.fedimbo.belgium.be/files/press_publications/barometre_justice_2014.pdf" TargetMode="External"/><Relationship Id="rId80" Type="http://schemas.openxmlformats.org/officeDocument/2006/relationships/image" Target="media/image34.jpeg"/><Relationship Id="rId155" Type="http://schemas.openxmlformats.org/officeDocument/2006/relationships/hyperlink" Target="http://www.who.int/dietphysicalactivity/diet/fr/" TargetMode="External"/><Relationship Id="rId176" Type="http://schemas.openxmlformats.org/officeDocument/2006/relationships/hyperlink" Target="http://www.milieu-en-gezondheid.be/resultaten_humane_biomonitoring_luik_pasgeborenen_volwassenen_2015.html" TargetMode="External"/><Relationship Id="rId197" Type="http://schemas.openxmlformats.org/officeDocument/2006/relationships/image" Target="media/image83.jpeg"/><Relationship Id="rId341" Type="http://schemas.openxmlformats.org/officeDocument/2006/relationships/hyperlink" Target="http://www.childrensrightsbehindbars.eu/images/national-reports-2014/" TargetMode="External"/><Relationship Id="rId362" Type="http://schemas.openxmlformats.org/officeDocument/2006/relationships/hyperlink" Target="http://www.myria.be/files/Traite-rapport-2015-LR.pdf" TargetMode="External"/><Relationship Id="rId383" Type="http://schemas.openxmlformats.org/officeDocument/2006/relationships/customXml" Target="../customXml/item3.xml"/><Relationship Id="rId201" Type="http://schemas.openxmlformats.org/officeDocument/2006/relationships/image" Target="media/image85.jpeg"/><Relationship Id="rId222" Type="http://schemas.openxmlformats.org/officeDocument/2006/relationships/image" Target="media/image97.jpeg"/><Relationship Id="rId243" Type="http://schemas.openxmlformats.org/officeDocument/2006/relationships/hyperlink" Target="http://www.steunpuntwse.be/system/files/overwerk_2013_4_08.pdf" TargetMode="External"/><Relationship Id="rId264" Type="http://schemas.openxmlformats.org/officeDocument/2006/relationships/hyperlink" Target="http://lirias.kuleuven.be/handle/123456789/367163" TargetMode="External"/><Relationship Id="rId285" Type="http://schemas.openxmlformats.org/officeDocument/2006/relationships/hyperlink" Target="http://k-s.be/medialibrary/purl/nl/0657821/Inhoud%20en%20Inleiding%20van%20'Over%20vrijbuiters%20en%20ankertijd'.pdf" TargetMode="External"/><Relationship Id="rId17" Type="http://schemas.openxmlformats.org/officeDocument/2006/relationships/hyperlink" Target="http://www.cnde.be/" TargetMode="External"/><Relationship Id="rId38" Type="http://schemas.openxmlformats.org/officeDocument/2006/relationships/hyperlink" Target="https://his.wiv-isp.be/fr/SitePages/Accueil.aspx" TargetMode="External"/><Relationship Id="rId59" Type="http://schemas.openxmlformats.org/officeDocument/2006/relationships/image" Target="media/image25.jpeg"/><Relationship Id="rId103" Type="http://schemas.openxmlformats.org/officeDocument/2006/relationships/image" Target="media/image52.jpeg"/><Relationship Id="rId124" Type="http://schemas.openxmlformats.org/officeDocument/2006/relationships/hyperlink" Target="http://www.ombudsfunctieggz.be/?action=nieuws_detail&amp;nieuws=332&amp;titel=CM+waarschuwt+voor+stijgend+gebruik+antidepressiva+bij+jongeren&amp;thema" TargetMode="External"/><Relationship Id="rId310" Type="http://schemas.openxmlformats.org/officeDocument/2006/relationships/hyperlink" Target="http://statbel.fgov.be/fr/modules/publications/statistiques/marche_du_travail_et_conditions_de_vie/conciliation_entre_vie_professionnelle_et_vie_familiale.jsp" TargetMode="External"/><Relationship Id="rId70" Type="http://schemas.openxmlformats.org/officeDocument/2006/relationships/hyperlink" Target="http://www.internet-observatory.be/internet_observatory/pdf/brochures/Boek_cyberpesten_nl.pdf" TargetMode="External"/><Relationship Id="rId91" Type="http://schemas.openxmlformats.org/officeDocument/2006/relationships/image" Target="media/image43.jpeg"/><Relationship Id="rId145" Type="http://schemas.openxmlformats.org/officeDocument/2006/relationships/hyperlink" Target="https://fcs.wiv-isp.be/" TargetMode="External"/><Relationship Id="rId166" Type="http://schemas.openxmlformats.org/officeDocument/2006/relationships/hyperlink" Target="https://hiva.kuleuven.be/resources/pdf/publicaties/R1473_armoede_tussen_de_plooien.pdf" TargetMode="External"/><Relationship Id="rId187" Type="http://schemas.openxmlformats.org/officeDocument/2006/relationships/hyperlink" Target="https://www.klasse.be/archief/een-kind-in-het-tso-of-kso-kost-ouders-behoorlijk-meer-dan-in-het-aso-of-bso/" TargetMode="External"/><Relationship Id="rId331" Type="http://schemas.openxmlformats.org/officeDocument/2006/relationships/hyperlink" Target="http://www.dsb-spc.be/doc/pdf/RAPPORT_TEH_2011-2012_NL.pdf" TargetMode="External"/><Relationship Id="rId352" Type="http://schemas.openxmlformats.org/officeDocument/2006/relationships/hyperlink" Target="http://www.aidealajeunesse.cfwb.be/index.php?eID=tx_nawsecuredl&amp;u=0&amp;g=0&amp;hash=41bc32b4ce3e668985aec97a7a4936f75ae6a77d&amp;file=fileadmin/sites/ajss/upload/ajss_super_editor/DGAJ/Documents/Brochures_et_documentations/AIJ-Rapport-2010.pdf" TargetMode="External"/><Relationship Id="rId373" Type="http://schemas.openxmlformats.org/officeDocument/2006/relationships/hyperlink" Target="http://www.afapms.be/" TargetMode="External"/><Relationship Id="rId1" Type="http://schemas.openxmlformats.org/officeDocument/2006/relationships/numbering" Target="numbering.xml"/><Relationship Id="rId212" Type="http://schemas.openxmlformats.org/officeDocument/2006/relationships/hyperlink" Target="https://steunpuntssl.be/Onderzoek/Loopbanen-van-leerlingen" TargetMode="External"/><Relationship Id="rId233" Type="http://schemas.openxmlformats.org/officeDocument/2006/relationships/hyperlink" Target="http://statbel.fgov.be/nl/modules/publications/statistiques/arbeidsmarkt_levensomstandigheden/enquete_sur_les_forces_de_travail_2011.jsp" TargetMode="External"/><Relationship Id="rId254" Type="http://schemas.openxmlformats.org/officeDocument/2006/relationships/image" Target="media/image108.jpeg"/><Relationship Id="rId28" Type="http://schemas.openxmlformats.org/officeDocument/2006/relationships/image" Target="media/image7.jpeg"/><Relationship Id="rId49" Type="http://schemas.openxmlformats.org/officeDocument/2006/relationships/image" Target="media/image20.jpeg"/><Relationship Id="rId114" Type="http://schemas.openxmlformats.org/officeDocument/2006/relationships/hyperlink" Target="https://www.kuleuven.be/metaforum/docs/pdf/wg_1_e.pdf" TargetMode="External"/><Relationship Id="rId275" Type="http://schemas.openxmlformats.org/officeDocument/2006/relationships/hyperlink" Target="http://www4.vlaanderen.be/dar/svr/Enquetes/Pages/Enquetes.aspx" TargetMode="External"/><Relationship Id="rId296" Type="http://schemas.openxmlformats.org/officeDocument/2006/relationships/hyperlink" Target="http://www.kindengezin.be/img/kind-in-vlaanderen-2014.pdf" TargetMode="External"/><Relationship Id="rId300" Type="http://schemas.openxmlformats.org/officeDocument/2006/relationships/hyperlink" Target="http://www.kindengezin.be/img/jaarverslag-2013.pdf" TargetMode="External"/><Relationship Id="rId60" Type="http://schemas.openxmlformats.org/officeDocument/2006/relationships/hyperlink" Target="http://steunpuntwonen.be/Studiedagen/Grote_Woononderzoek_2013_3_maart_2015" TargetMode="External"/><Relationship Id="rId81" Type="http://schemas.openxmlformats.org/officeDocument/2006/relationships/image" Target="media/image35.jpeg"/><Relationship Id="rId135" Type="http://schemas.openxmlformats.org/officeDocument/2006/relationships/image" Target="media/image67.jpeg"/><Relationship Id="rId156" Type="http://schemas.openxmlformats.org/officeDocument/2006/relationships/image" Target="media/image76.jpeg"/><Relationship Id="rId177" Type="http://schemas.openxmlformats.org/officeDocument/2006/relationships/hyperlink" Target="http://www.milieu-en-gezondheid.be/resultaten_humane_biomonitoring_luik_pasgeborenen_volwassenen_2015.html" TargetMode="External"/><Relationship Id="rId198" Type="http://schemas.openxmlformats.org/officeDocument/2006/relationships/hyperlink" Target="http://www.bildungsserver.be/desktopdefault.aspx/tabid-2195/4516_read-32080/" TargetMode="External"/><Relationship Id="rId321" Type="http://schemas.openxmlformats.org/officeDocument/2006/relationships/hyperlink" Target="http://www.cnde.be/content/indicateurs" TargetMode="External"/><Relationship Id="rId342" Type="http://schemas.openxmlformats.org/officeDocument/2006/relationships/hyperlink" Target="http://www.childrensrightsbehindbars.eu/images/national-reports-2014/" TargetMode="External"/><Relationship Id="rId363" Type="http://schemas.openxmlformats.org/officeDocument/2006/relationships/hyperlink" Target="http://www.myria.be/files/Traite-rapport-2015-LR.pdf" TargetMode="External"/><Relationship Id="rId202" Type="http://schemas.openxmlformats.org/officeDocument/2006/relationships/image" Target="media/image86.jpeg"/><Relationship Id="rId223" Type="http://schemas.openxmlformats.org/officeDocument/2006/relationships/hyperlink" Target="http://www.aspe.ulg.ac.be/Files/note_synthese_pisa2012.pdf" TargetMode="External"/><Relationship Id="rId244" Type="http://schemas.openxmlformats.org/officeDocument/2006/relationships/image" Target="media/image102.jpeg"/><Relationship Id="rId18" Type="http://schemas.openxmlformats.org/officeDocument/2006/relationships/hyperlink" Target="http://www.cnde.be/" TargetMode="External"/><Relationship Id="rId39" Type="http://schemas.openxmlformats.org/officeDocument/2006/relationships/hyperlink" Target="https://his.wiv-isp.be/fr/SitePages/Accueil.aspx" TargetMode="External"/><Relationship Id="rId265" Type="http://schemas.openxmlformats.org/officeDocument/2006/relationships/hyperlink" Target="http://www.famifed.be/" TargetMode="External"/><Relationship Id="rId286" Type="http://schemas.openxmlformats.org/officeDocument/2006/relationships/hyperlink" Target="http://k-s.be/medialibrary/purl/nl/0657821/Inhoud%20en%20Inleiding%20van%20'Over%20vrijbuiters%20en%20ankertijd'.pdf" TargetMode="External"/><Relationship Id="rId50" Type="http://schemas.openxmlformats.org/officeDocument/2006/relationships/hyperlink" Target="http://www.dgde.cfwb.be/index.php?id=4232" TargetMode="External"/><Relationship Id="rId104" Type="http://schemas.openxmlformats.org/officeDocument/2006/relationships/image" Target="media/image53.jpeg"/><Relationship Id="rId125" Type="http://schemas.openxmlformats.org/officeDocument/2006/relationships/image" Target="media/image57.jpeg"/><Relationship Id="rId146" Type="http://schemas.openxmlformats.org/officeDocument/2006/relationships/hyperlink" Target="http://www.vigez.be/nieuws/nieuwe-resultaten-voedselconsumptiepeiling-2015" TargetMode="External"/><Relationship Id="rId167" Type="http://schemas.openxmlformats.org/officeDocument/2006/relationships/hyperlink" Target="http://www.lstb.be/pdf/DENOMBREMENT%20VERSION%200505.pdf" TargetMode="External"/><Relationship Id="rId188" Type="http://schemas.openxmlformats.org/officeDocument/2006/relationships/hyperlink" Target="https://www.klasse.be/archief/een-kind-in-het-tso-of-kso-kost-ouders-behoorlijk-meer-dan-in-het-aso-of-bso/" TargetMode="External"/><Relationship Id="rId311" Type="http://schemas.openxmlformats.org/officeDocument/2006/relationships/hyperlink" Target="http://statbel.fgov.be/fr/modules/publications/statistiques/marche_du_travail_et_conditions_de_vie/conciliation_entre_vie_professionnelle_et_vie_familiale.jsp" TargetMode="External"/><Relationship Id="rId332" Type="http://schemas.openxmlformats.org/officeDocument/2006/relationships/hyperlink" Target="http://www.dsb-spc.be/doc/pdf/RAPPORT_TEH_2011-2012_NL.pdf" TargetMode="External"/><Relationship Id="rId353" Type="http://schemas.openxmlformats.org/officeDocument/2006/relationships/hyperlink" Target="http://www.aidealajeunesse.cfwb.be/index.php?eID=tx_nawsecuredl&amp;u=0&amp;g=0&amp;hash=41bc32b4ce3e668985aec97a7a4936f75ae6a77d&amp;file=fileadmin/sites/ajss/upload/ajss_super_editor/DGAJ/Documents/Brochures_et_documentations/AIJ-Rapport-2010.pdf" TargetMode="External"/><Relationship Id="rId374" Type="http://schemas.openxmlformats.org/officeDocument/2006/relationships/hyperlink" Target="http://www.vwvj.be/" TargetMode="External"/><Relationship Id="rId71" Type="http://schemas.openxmlformats.org/officeDocument/2006/relationships/hyperlink" Target="http://www.internet-observatory.be/internet_observatory/pdf/brochures/Boek_cyberpesten_nl.pdf" TargetMode="External"/><Relationship Id="rId92" Type="http://schemas.openxmlformats.org/officeDocument/2006/relationships/image" Target="media/image44.jpeg"/><Relationship Id="rId213" Type="http://schemas.openxmlformats.org/officeDocument/2006/relationships/image" Target="media/image90.jpeg"/><Relationship Id="rId234" Type="http://schemas.openxmlformats.org/officeDocument/2006/relationships/hyperlink" Target="http://statbel.fgov.be/nl/modules/publications/statistiques/arbeidsmarkt_levensomstandigheden/enquete_sur_les_forces_de_travail_2011.jsp" TargetMode="External"/><Relationship Id="rId2" Type="http://schemas.openxmlformats.org/officeDocument/2006/relationships/styles" Target="styles.xml"/><Relationship Id="rId29" Type="http://schemas.openxmlformats.org/officeDocument/2006/relationships/image" Target="media/image8.jpeg"/><Relationship Id="rId255" Type="http://schemas.openxmlformats.org/officeDocument/2006/relationships/image" Target="media/image109.jpeg"/><Relationship Id="rId276" Type="http://schemas.openxmlformats.org/officeDocument/2006/relationships/hyperlink" Target="http://www4.vlaanderen.be/dar/svr/Enquetes/Pages/Enquetes.aspx" TargetMode="External"/><Relationship Id="rId297" Type="http://schemas.openxmlformats.org/officeDocument/2006/relationships/hyperlink" Target="http://www.kindengezin.be/img/gebruik-kinderopvang-vlgewest2013.pdf" TargetMode="External"/><Relationship Id="rId40" Type="http://schemas.openxmlformats.org/officeDocument/2006/relationships/hyperlink" Target="http://databank.jeugdonderzoeksplatform.be/" TargetMode="External"/><Relationship Id="rId115" Type="http://schemas.openxmlformats.org/officeDocument/2006/relationships/hyperlink" Target="http://www.bcfi.be/nieuws/index.cfm?welk=749&amp;category=GOW" TargetMode="External"/><Relationship Id="rId136" Type="http://schemas.openxmlformats.org/officeDocument/2006/relationships/image" Target="media/image68.jpeg"/><Relationship Id="rId157" Type="http://schemas.openxmlformats.org/officeDocument/2006/relationships/image" Target="media/image77.jpeg"/><Relationship Id="rId178" Type="http://schemas.openxmlformats.org/officeDocument/2006/relationships/hyperlink" Target="http://www.milieu-en-gezondheid.be/resultaten_humane_biomonitoring_luik_pasgeborenen_volwassenen_2015.html" TargetMode="External"/><Relationship Id="rId301" Type="http://schemas.openxmlformats.org/officeDocument/2006/relationships/hyperlink" Target="http://www.kindengezin.be/img/bko-en-vrijetijdsbesteding-in-vl2013.pdf" TargetMode="External"/><Relationship Id="rId322" Type="http://schemas.openxmlformats.org/officeDocument/2006/relationships/hyperlink" Target="http://www.cnde.be/fr/content/indicateurs" TargetMode="External"/><Relationship Id="rId343" Type="http://schemas.openxmlformats.org/officeDocument/2006/relationships/hyperlink" Target="http://www4wvg.vlaanderen.be/wvg/zorginspectie/publicaties/Documents/jongere_context_10maart.pdf" TargetMode="External"/><Relationship Id="rId364" Type="http://schemas.openxmlformats.org/officeDocument/2006/relationships/hyperlink" Target="https://dofi.ibz.be/sites/dvzoe/FR/Documents/2013_FR.pdf" TargetMode="External"/><Relationship Id="rId61" Type="http://schemas.openxmlformats.org/officeDocument/2006/relationships/hyperlink" Target="http://steunpuntwonen.be/Studiedagen/Grote_Woononderzoek_2013_3_maart_2015" TargetMode="External"/><Relationship Id="rId82" Type="http://schemas.openxmlformats.org/officeDocument/2006/relationships/image" Target="media/image36.jpeg"/><Relationship Id="rId199" Type="http://schemas.openxmlformats.org/officeDocument/2006/relationships/hyperlink" Target="http://www.bildungsserver.be/desktopdefault.aspx/tabid-2195/4516_read-32080/" TargetMode="External"/><Relationship Id="rId203" Type="http://schemas.openxmlformats.org/officeDocument/2006/relationships/hyperlink" Target="http://www.skolo.org/spip.php?article498" TargetMode="External"/><Relationship Id="rId19" Type="http://schemas.openxmlformats.org/officeDocument/2006/relationships/hyperlink" Target="http://www.cnde.be/" TargetMode="External"/><Relationship Id="rId224" Type="http://schemas.openxmlformats.org/officeDocument/2006/relationships/image" Target="media/image98.jpeg"/><Relationship Id="rId245" Type="http://schemas.openxmlformats.org/officeDocument/2006/relationships/image" Target="media/image103.jpeg"/><Relationship Id="rId266" Type="http://schemas.openxmlformats.org/officeDocument/2006/relationships/image" Target="media/image114.jpeg"/><Relationship Id="rId287" Type="http://schemas.openxmlformats.org/officeDocument/2006/relationships/image" Target="media/image122.jpeg"/><Relationship Id="rId30" Type="http://schemas.openxmlformats.org/officeDocument/2006/relationships/image" Target="media/image9.jpeg"/><Relationship Id="rId105" Type="http://schemas.openxmlformats.org/officeDocument/2006/relationships/image" Target="media/image54.jpeg"/><Relationship Id="rId126" Type="http://schemas.openxmlformats.org/officeDocument/2006/relationships/image" Target="media/image58.jpeg"/><Relationship Id="rId147" Type="http://schemas.openxmlformats.org/officeDocument/2006/relationships/hyperlink" Target="http://www.vigez.be/nieuws/nieuwe-resultaten-voedselconsumptiepeiling-2015" TargetMode="External"/><Relationship Id="rId168" Type="http://schemas.openxmlformats.org/officeDocument/2006/relationships/hyperlink" Target="http://www.lstb.be/pdf/DENOMBREMENT%20VERSION%200505.pdf" TargetMode="External"/><Relationship Id="rId312" Type="http://schemas.openxmlformats.org/officeDocument/2006/relationships/hyperlink" Target="https://www.laligue.be/leligueur/articles/la-ligue-des-familles-lance-le-premier-barometre-des-parents" TargetMode="External"/><Relationship Id="rId333" Type="http://schemas.openxmlformats.org/officeDocument/2006/relationships/hyperlink" Target="http://www.dsb-spc.be/doc/pdf/RAPPORT_TEH_2011-2012_NL.pdf" TargetMode="External"/><Relationship Id="rId354" Type="http://schemas.openxmlformats.org/officeDocument/2006/relationships/hyperlink" Target="http://www.cnde.be/content/indicateurs" TargetMode="External"/><Relationship Id="rId51" Type="http://schemas.openxmlformats.org/officeDocument/2006/relationships/hyperlink" Target="http://www.dgde.cfwb.be/index.php?id=4232" TargetMode="External"/><Relationship Id="rId72" Type="http://schemas.openxmlformats.org/officeDocument/2006/relationships/hyperlink" Target="http://www.internet-observatory.be/internet_observatory/pdf/brochures/Boek_cyberpesten_nl.pdf" TargetMode="External"/><Relationship Id="rId93" Type="http://schemas.openxmlformats.org/officeDocument/2006/relationships/image" Target="media/image45.jpeg"/><Relationship Id="rId189" Type="http://schemas.openxmlformats.org/officeDocument/2006/relationships/hyperlink" Target="https://www.klasse.be/archief/een-kind-in-het-tso-of-kso-kost-ouders-behoorlijk-meer-dan-in-het-aso-of-bso/" TargetMode="External"/><Relationship Id="rId375" Type="http://schemas.openxmlformats.org/officeDocument/2006/relationships/hyperlink" Target="https://nicc.fgov.be/upload/publicaties/rapport_32a_2.pdf" TargetMode="External"/><Relationship Id="rId3" Type="http://schemas.microsoft.com/office/2007/relationships/stylesWithEffects" Target="stylesWithEffects.xml"/><Relationship Id="rId214" Type="http://schemas.openxmlformats.org/officeDocument/2006/relationships/image" Target="media/image91.jpeg"/><Relationship Id="rId235" Type="http://schemas.openxmlformats.org/officeDocument/2006/relationships/hyperlink" Target="http://statbel.fgov.be/nl/modules/publications/statistiques/arbeidsmarkt_levensomstandigheden/enquete_sur_les_forces_de_travail_2011.jsp" TargetMode="External"/><Relationship Id="rId256" Type="http://schemas.openxmlformats.org/officeDocument/2006/relationships/image" Target="media/image110.jpeg"/><Relationship Id="rId277" Type="http://schemas.openxmlformats.org/officeDocument/2006/relationships/hyperlink" Target="http://www.werkbaarwerk.be/werkbaarwerk/werkbaarheidsmonitor" TargetMode="External"/><Relationship Id="rId298" Type="http://schemas.openxmlformats.org/officeDocument/2006/relationships/hyperlink" Target="http://www.kindengezin.be/img/gebruik-kinderopvang-vlgewest2013.pdf" TargetMode="External"/><Relationship Id="rId116" Type="http://schemas.openxmlformats.org/officeDocument/2006/relationships/hyperlink" Target="http://www.bcfi.be/nieuws/index.cfm?welk=749&amp;category=GOW" TargetMode="External"/><Relationship Id="rId137" Type="http://schemas.openxmlformats.org/officeDocument/2006/relationships/image" Target="media/image69.jpeg"/><Relationship Id="rId158" Type="http://schemas.openxmlformats.org/officeDocument/2006/relationships/image" Target="media/image78.jpeg"/><Relationship Id="rId302" Type="http://schemas.openxmlformats.org/officeDocument/2006/relationships/hyperlink" Target="http://www.kindengezin.be/img/bko-en-vrijetijdsbesteding-in-vl2013.pdf" TargetMode="External"/><Relationship Id="rId323" Type="http://schemas.openxmlformats.org/officeDocument/2006/relationships/image" Target="media/image126.jpeg"/><Relationship Id="rId344" Type="http://schemas.openxmlformats.org/officeDocument/2006/relationships/hyperlink" Target="http://www4wvg.vlaanderen.be/wvg/zorginspectie/publicaties/Documents/jongere_context_10maart.pdf" TargetMode="External"/><Relationship Id="rId20" Type="http://schemas.openxmlformats.org/officeDocument/2006/relationships/image" Target="media/image4.jpeg"/><Relationship Id="rId41" Type="http://schemas.openxmlformats.org/officeDocument/2006/relationships/image" Target="media/image12.jpeg"/><Relationship Id="rId62" Type="http://schemas.openxmlformats.org/officeDocument/2006/relationships/hyperlink" Target="http://steunpuntwonen.be/Studiedagen/Grote_Woononderzoek_2013_3_maart_2015" TargetMode="External"/><Relationship Id="rId83" Type="http://schemas.openxmlformats.org/officeDocument/2006/relationships/image" Target="media/image37.jpeg"/><Relationship Id="rId179" Type="http://schemas.openxmlformats.org/officeDocument/2006/relationships/hyperlink" Target="http://www.milieu-en-gezondheid.be/resultaten_humane_biomonitoring_luik_pasgeborenen_volwassenen_2015.html" TargetMode="External"/><Relationship Id="rId365" Type="http://schemas.openxmlformats.org/officeDocument/2006/relationships/hyperlink" Target="https://dofi.ibz.be/sites/dvzoe/FR/Documents/2013_FR.pdf" TargetMode="External"/><Relationship Id="rId190" Type="http://schemas.openxmlformats.org/officeDocument/2006/relationships/hyperlink" Target="https://hiva.kuleuven.be/nl/onderzoek/onderzoeksprojecten/ontwikkeling-van-een-studiekostenmonitor" TargetMode="External"/><Relationship Id="rId204" Type="http://schemas.openxmlformats.org/officeDocument/2006/relationships/hyperlink" Target="http://www.skolo.org/spip.php?article498&amp;lang=fr" TargetMode="External"/><Relationship Id="rId225" Type="http://schemas.openxmlformats.org/officeDocument/2006/relationships/hyperlink" Target="http://www.aspe.ulg.ac.be/Files/note_synthese_pisa2012.pdf" TargetMode="External"/><Relationship Id="rId246" Type="http://schemas.openxmlformats.org/officeDocument/2006/relationships/image" Target="media/image104.jpeg"/><Relationship Id="rId267" Type="http://schemas.openxmlformats.org/officeDocument/2006/relationships/image" Target="media/image115.jpeg"/><Relationship Id="rId288" Type="http://schemas.openxmlformats.org/officeDocument/2006/relationships/image" Target="media/image123.jpeg"/><Relationship Id="rId106" Type="http://schemas.openxmlformats.org/officeDocument/2006/relationships/hyperlink" Target="http://www.politics.be/persmededelingen/42223/" TargetMode="External"/><Relationship Id="rId127" Type="http://schemas.openxmlformats.org/officeDocument/2006/relationships/image" Target="media/image59.jpeg"/><Relationship Id="rId313" Type="http://schemas.openxmlformats.org/officeDocument/2006/relationships/hyperlink" Target="https://www.laligue.be/leligueur/articles/la-ligue-des-familles-lance-le-premier-barometre-des-parents" TargetMode="External"/><Relationship Id="rId10" Type="http://schemas.openxmlformats.org/officeDocument/2006/relationships/header" Target="header2.xml"/><Relationship Id="rId31" Type="http://schemas.openxmlformats.org/officeDocument/2006/relationships/image" Target="media/image10.jpeg"/><Relationship Id="rId52" Type="http://schemas.openxmlformats.org/officeDocument/2006/relationships/hyperlink" Target="http://www.solidaris.be/BW/Pages/Thermometre-Solidaris-3-Comment-vont-les-ados-mai-2013.aspx" TargetMode="External"/><Relationship Id="rId73" Type="http://schemas.openxmlformats.org/officeDocument/2006/relationships/hyperlink" Target="http://www.sociaalcultureel.be/jeugd/kinderrecht_monitor_indicatoren.aspx" TargetMode="External"/><Relationship Id="rId94" Type="http://schemas.openxmlformats.org/officeDocument/2006/relationships/hyperlink" Target="http://kce.fgov.be/sites/default/files/page_documents/KCE_196B_performance_systeme_sante_belge_0.pdf" TargetMode="External"/><Relationship Id="rId148" Type="http://schemas.openxmlformats.org/officeDocument/2006/relationships/hyperlink" Target="http://www.vigez.be/nieuws/nieuwe-resultaten-voedselconsumptiepeiling-2015" TargetMode="External"/><Relationship Id="rId169" Type="http://schemas.openxmlformats.org/officeDocument/2006/relationships/image" Target="media/image79.jpeg"/><Relationship Id="rId334" Type="http://schemas.openxmlformats.org/officeDocument/2006/relationships/hyperlink" Target="http://www.coe.int/en/web/echr-toolkit/home" TargetMode="External"/><Relationship Id="rId355" Type="http://schemas.openxmlformats.org/officeDocument/2006/relationships/hyperlink" Target="http://www.oejaj.cfwb.be/" TargetMode="External"/><Relationship Id="rId376" Type="http://schemas.openxmlformats.org/officeDocument/2006/relationships/hyperlink" Target="mailto:joerg.vomberg@dgov.be" TargetMode="External"/><Relationship Id="rId4" Type="http://schemas.openxmlformats.org/officeDocument/2006/relationships/settings" Target="settings.xml"/><Relationship Id="rId180" Type="http://schemas.openxmlformats.org/officeDocument/2006/relationships/hyperlink" Target="http://wvg.vlaanderen.be/jongerenwelzijn/jeugdhulp/publieke-jeugdinstellingen/inspectiebezoeken/" TargetMode="External"/><Relationship Id="rId215" Type="http://schemas.openxmlformats.org/officeDocument/2006/relationships/image" Target="media/image92.jpeg"/><Relationship Id="rId236" Type="http://schemas.openxmlformats.org/officeDocument/2006/relationships/image" Target="media/image100.jpeg"/><Relationship Id="rId257" Type="http://schemas.openxmlformats.org/officeDocument/2006/relationships/image" Target="media/image111.jpeg"/><Relationship Id="rId278" Type="http://schemas.openxmlformats.org/officeDocument/2006/relationships/hyperlink" Target="http://www.werkbaarwerk.be/werkbaarwerk/werkbaarheidsmonitor" TargetMode="External"/><Relationship Id="rId303" Type="http://schemas.openxmlformats.org/officeDocument/2006/relationships/hyperlink" Target="http://www.kindengezin.be/img/gebruik-kinderopvang-vlgewest2013.pdf" TargetMode="External"/><Relationship Id="rId42" Type="http://schemas.openxmlformats.org/officeDocument/2006/relationships/image" Target="media/image13.jpeg"/><Relationship Id="rId84" Type="http://schemas.openxmlformats.org/officeDocument/2006/relationships/image" Target="media/image38.jpeg"/><Relationship Id="rId138" Type="http://schemas.openxmlformats.org/officeDocument/2006/relationships/image" Target="media/image70.jpeg"/><Relationship Id="rId345" Type="http://schemas.openxmlformats.org/officeDocument/2006/relationships/hyperlink" Target="http://www4wvg.vlaanderen.be/wvg/zorginspectie/publicaties/Documents/jongere_context_10maart.pdf" TargetMode="External"/><Relationship Id="rId191" Type="http://schemas.openxmlformats.org/officeDocument/2006/relationships/hyperlink" Target="https://hiva.kuleuven.be/nl/onderzoek/onderzoeksprojecten/ontwikkeling-van-een-studiekostenmonitor" TargetMode="External"/><Relationship Id="rId205" Type="http://schemas.openxmlformats.org/officeDocument/2006/relationships/hyperlink" Target="http://www.skolo.org/spip.php?article498&amp;lang=fr" TargetMode="External"/><Relationship Id="rId247" Type="http://schemas.openxmlformats.org/officeDocument/2006/relationships/image" Target="media/image105.jpeg"/><Relationship Id="rId107" Type="http://schemas.openxmlformats.org/officeDocument/2006/relationships/hyperlink" Target="http://www.politics.be/persmededelingen/42223/" TargetMode="External"/><Relationship Id="rId289" Type="http://schemas.openxmlformats.org/officeDocument/2006/relationships/hyperlink" Target="http://www.one.be/uploads/tx_ttproducts/datasheet/RA_2014_ONE_en_chiffres.pdf" TargetMode="External"/><Relationship Id="rId11" Type="http://schemas.openxmlformats.org/officeDocument/2006/relationships/footer" Target="footer1.xml"/><Relationship Id="rId53" Type="http://schemas.openxmlformats.org/officeDocument/2006/relationships/hyperlink" Target="http://www.solidaris.be/BW/Pages/Thermometre-Solidaris-3-Comment-vont-les-ados-mai-2013.aspx" TargetMode="External"/><Relationship Id="rId149" Type="http://schemas.openxmlformats.org/officeDocument/2006/relationships/hyperlink" Target="http://www.sociaalcultureel.be/jeugd/kinderrechten/indicatoren/fiche_gezondelevensstijl.pdf" TargetMode="External"/><Relationship Id="rId314" Type="http://schemas.openxmlformats.org/officeDocument/2006/relationships/hyperlink" Target="https://www.laligue.be/leligueur/articles/la-ligue-des-familles-lance-le-premier-barometre-des-parents" TargetMode="External"/><Relationship Id="rId356" Type="http://schemas.openxmlformats.org/officeDocument/2006/relationships/hyperlink" Target="http://www.kinderenopdevlucht.be/fr/la-plate-forme/nos-actualites/rapport-detention-2015.html" TargetMode="External"/><Relationship Id="rId95" Type="http://schemas.openxmlformats.org/officeDocument/2006/relationships/hyperlink" Target="http://kce.fgov.be/sites/default/files/page_documents/KCE_196B_performance_systeme_sante_belge_0.pdf" TargetMode="External"/><Relationship Id="rId160" Type="http://schemas.openxmlformats.org/officeDocument/2006/relationships/hyperlink" Target="http://www.swl.be/images/swl/brochures/guide-location-logement-okbr-web.pdf" TargetMode="External"/><Relationship Id="rId216" Type="http://schemas.openxmlformats.org/officeDocument/2006/relationships/image" Target="media/image93.jpeg"/><Relationship Id="rId258" Type="http://schemas.openxmlformats.org/officeDocument/2006/relationships/image" Target="media/image112.jpeg"/><Relationship Id="rId22" Type="http://schemas.openxmlformats.org/officeDocument/2006/relationships/hyperlink" Target="http://www.keki.be/" TargetMode="External"/><Relationship Id="rId64" Type="http://schemas.openxmlformats.org/officeDocument/2006/relationships/hyperlink" Target="http://www.stadsmonitor.be/gezinnen-in-de-stad" TargetMode="External"/><Relationship Id="rId118" Type="http://schemas.openxmlformats.org/officeDocument/2006/relationships/hyperlink" Target="http://www.bcfi.be/nieuws/index.cfm?welk=734&amp;category=GOW" TargetMode="External"/><Relationship Id="rId325" Type="http://schemas.openxmlformats.org/officeDocument/2006/relationships/hyperlink" Target="http://incc.fgov.be/upload/files/ODcriminologie/protectiondelajeunesse/pratiquesdecisionnellesdestribunauxdelajeunesse/Resume%20DEF%20FR.pdf" TargetMode="External"/><Relationship Id="rId367" Type="http://schemas.openxmlformats.org/officeDocument/2006/relationships/hyperlink" Target="http://www.refworld.org/pdfid/4e6067632.pdf" TargetMode="External"/><Relationship Id="rId171" Type="http://schemas.openxmlformats.org/officeDocument/2006/relationships/hyperlink" Target="http://www.irceline.be/shared/gaat-het-met-luchtkwaliteit-in-ons-land-effectief-de-slechte-kant-op" TargetMode="External"/><Relationship Id="rId227" Type="http://schemas.openxmlformats.org/officeDocument/2006/relationships/hyperlink" Target="http://www.pisa.ugent.be/uploads/assets/116/1421145371385-PISA%20IN%20FOCUS%20migratie.pdf" TargetMode="External"/><Relationship Id="rId269" Type="http://schemas.openxmlformats.org/officeDocument/2006/relationships/image" Target="media/image117.jpeg"/><Relationship Id="rId33" Type="http://schemas.openxmlformats.org/officeDocument/2006/relationships/image" Target="media/image11.jpeg"/><Relationship Id="rId129" Type="http://schemas.openxmlformats.org/officeDocument/2006/relationships/image" Target="media/image61.jpeg"/><Relationship Id="rId280" Type="http://schemas.openxmlformats.org/officeDocument/2006/relationships/hyperlink" Target="http://statbel.fgov.be/fr/modules/publications/statistiques/marche_du_travail_et_conditions_de_vie/conciliation_entre_vie_professionnelle_et_vie_familiale.jsp" TargetMode="External"/><Relationship Id="rId336" Type="http://schemas.openxmlformats.org/officeDocument/2006/relationships/hyperlink" Target="http://www.csj.be/sites/5023.b.fedimbo.belgium.be/files/press_publications/barometre_justice_2014.pdf" TargetMode="External"/><Relationship Id="rId75" Type="http://schemas.openxmlformats.org/officeDocument/2006/relationships/image" Target="media/image29.jpeg"/><Relationship Id="rId140" Type="http://schemas.openxmlformats.org/officeDocument/2006/relationships/image" Target="media/image72.jpeg"/><Relationship Id="rId182" Type="http://schemas.openxmlformats.org/officeDocument/2006/relationships/hyperlink" Target="http://wvg.vlaanderen.be/jongerenwelzijn/jeugdhulp/publieke-jeugdinstellingen/inspectiebezoeken/" TargetMode="External"/><Relationship Id="rId378" Type="http://schemas.openxmlformats.org/officeDocument/2006/relationships/hyperlink" Target="http://www.cnde.be/" TargetMode="External"/><Relationship Id="rId6" Type="http://schemas.openxmlformats.org/officeDocument/2006/relationships/footnotes" Target="footnotes.xml"/><Relationship Id="rId238" Type="http://schemas.openxmlformats.org/officeDocument/2006/relationships/hyperlink" Target="http://www.onderwijs.vlaanderen.be/nl/onderwijsstatistieken/themas-onderwijsstatistieken/vroegtijdig-schoolverlaten" TargetMode="External"/><Relationship Id="rId291" Type="http://schemas.openxmlformats.org/officeDocument/2006/relationships/hyperlink" Target="http://www.kindengezin.be/kinderopvang/cijfers-en-beleid/kinderopvangcijfers-op-maat/" TargetMode="External"/><Relationship Id="rId305" Type="http://schemas.openxmlformats.org/officeDocument/2006/relationships/hyperlink" Target="http://www.kindengezin.be/img/gebruik-kinderopvang-vlgewest2013.pdf" TargetMode="External"/><Relationship Id="rId347" Type="http://schemas.openxmlformats.org/officeDocument/2006/relationships/hyperlink" Target="http://www.armoedebestrijding.be/publications/rapport_lien_2013.pdf" TargetMode="External"/><Relationship Id="rId44" Type="http://schemas.openxmlformats.org/officeDocument/2006/relationships/image" Target="media/image15.jpeg"/><Relationship Id="rId86" Type="http://schemas.openxmlformats.org/officeDocument/2006/relationships/image" Target="media/image39.jpeg"/><Relationship Id="rId151" Type="http://schemas.openxmlformats.org/officeDocument/2006/relationships/hyperlink" Target="http://www.sociaalcultureel.be/jeugd/kinderrechten/indicatoren/fiche_gezondelevensstijl.pdf" TargetMode="External"/><Relationship Id="rId193" Type="http://schemas.openxmlformats.org/officeDocument/2006/relationships/hyperlink" Target="http://www.ond.vlaanderen.be/specifieke-onderwijsbehoeften/beleid/M-decreet/" TargetMode="External"/><Relationship Id="rId207" Type="http://schemas.openxmlformats.org/officeDocument/2006/relationships/hyperlink" Target="https://steunpuntssl.be/Onderzoek/Loopbanen-van-leerlingen" TargetMode="External"/><Relationship Id="rId249" Type="http://schemas.openxmlformats.org/officeDocument/2006/relationships/hyperlink" Target="http://k-s.be/medialibrary/purl/nl/0657821/Inhoud%20en%20Inleiding%20van%20'Over%20vrijbuiters%20en%20ankertijd'.pdf" TargetMode="External"/><Relationship Id="rId13" Type="http://schemas.openxmlformats.org/officeDocument/2006/relationships/header" Target="header3.xml"/><Relationship Id="rId109" Type="http://schemas.openxmlformats.org/officeDocument/2006/relationships/image" Target="media/image56.jpeg"/><Relationship Id="rId260" Type="http://schemas.openxmlformats.org/officeDocument/2006/relationships/hyperlink" Target="http://statbel.fgov.be/fr/binaries/CP_SILC2011_fr_tcm326-201870.pdf" TargetMode="External"/><Relationship Id="rId316" Type="http://schemas.openxmlformats.org/officeDocument/2006/relationships/hyperlink" Target="https://www.uantwerpen.be/nl/steunpunten/vlaams-armoedesteunpunt/publicaties/" TargetMode="External"/><Relationship Id="rId55" Type="http://schemas.openxmlformats.org/officeDocument/2006/relationships/image" Target="media/image21.jpeg"/><Relationship Id="rId97" Type="http://schemas.openxmlformats.org/officeDocument/2006/relationships/image" Target="media/image46.jpeg"/><Relationship Id="rId120" Type="http://schemas.openxmlformats.org/officeDocument/2006/relationships/hyperlink" Target="http://www.standaard.be/cnt/dmf20151207_02008188" TargetMode="External"/><Relationship Id="rId358" Type="http://schemas.openxmlformats.org/officeDocument/2006/relationships/hyperlink" Target="http://www.kinderenopdevlucht.be/fr/la-plate-forme/nos-actualites/rapport-detention-2015.html" TargetMode="External"/><Relationship Id="rId162" Type="http://schemas.openxmlformats.org/officeDocument/2006/relationships/hyperlink" Target="http://www.luttepauvrete.be/chiffres_sans_abri.htm" TargetMode="External"/><Relationship Id="rId218" Type="http://schemas.openxmlformats.org/officeDocument/2006/relationships/image" Target="media/image95.jpeg"/><Relationship Id="rId271" Type="http://schemas.openxmlformats.org/officeDocument/2006/relationships/image" Target="media/image119.jpeg"/><Relationship Id="rId24" Type="http://schemas.openxmlformats.org/officeDocument/2006/relationships/hyperlink" Target="https://1168.fedimbo.belgium.be/sites/1168.fedimbo.belgium.be/files/explorer/GC-15_en.doc" TargetMode="External"/><Relationship Id="rId66" Type="http://schemas.openxmlformats.org/officeDocument/2006/relationships/image" Target="media/image27.jpeg"/><Relationship Id="rId131" Type="http://schemas.openxmlformats.org/officeDocument/2006/relationships/image" Target="media/image63.jpeg"/><Relationship Id="rId327" Type="http://schemas.openxmlformats.org/officeDocument/2006/relationships/hyperlink" Target="http://incc.fgov.be/upload/files/ODcriminologie/protectiondelajeunesse/pratiquesdecisionnellesdestribunauxdelajeunesse/Resume%20DEF%20FR.pdf" TargetMode="External"/><Relationship Id="rId369" Type="http://schemas.openxmlformats.org/officeDocument/2006/relationships/hyperlink" Target="http://www.unicef.org/kosovoprogramme/SILENT_HARM_Eng_Web.pdf" TargetMode="External"/><Relationship Id="rId173" Type="http://schemas.openxmlformats.org/officeDocument/2006/relationships/hyperlink" Target="http://www.milieu-en-gezondheid.be/resultaten_humane_biomonitoring%202015.html" TargetMode="External"/><Relationship Id="rId229" Type="http://schemas.openxmlformats.org/officeDocument/2006/relationships/hyperlink" Target="http://www.pisa.ugent.be/uploads/assets/116/1421145371385-PISA%20IN%20FOCUS%20migratie.pdf" TargetMode="External"/><Relationship Id="rId380" Type="http://schemas.openxmlformats.org/officeDocument/2006/relationships/theme" Target="theme/theme1.xml"/><Relationship Id="rId240" Type="http://schemas.openxmlformats.org/officeDocument/2006/relationships/hyperlink" Target="http://www.onderwijs.vlaanderen.be/nl/onderwijsstatistieken/themas-onderwijsstatistieken/vroegtijdig-schoolverlaten" TargetMode="External"/><Relationship Id="rId35" Type="http://schemas.openxmlformats.org/officeDocument/2006/relationships/hyperlink" Target="http://sipes.ulb.ac.be/" TargetMode="External"/><Relationship Id="rId77" Type="http://schemas.openxmlformats.org/officeDocument/2006/relationships/image" Target="media/image31.jpeg"/><Relationship Id="rId100" Type="http://schemas.openxmlformats.org/officeDocument/2006/relationships/image" Target="media/image49.jpeg"/><Relationship Id="rId282" Type="http://schemas.openxmlformats.org/officeDocument/2006/relationships/hyperlink" Target="http://statbel.fgov.be/fr/modules/publications/statistiques/marche_du_travail_et_conditions_de_vie/conciliation_entre_vie_professionnelle_et_vie_familiale.jsp" TargetMode="External"/><Relationship Id="rId338" Type="http://schemas.openxmlformats.org/officeDocument/2006/relationships/hyperlink" Target="http://www.csj.be/sites/5023.b.fedimbo.belgium.be/files/press_publications/barometre_justice_2014.pdf" TargetMode="External"/><Relationship Id="rId8" Type="http://schemas.openxmlformats.org/officeDocument/2006/relationships/image" Target="media/image1.jpeg"/><Relationship Id="rId142" Type="http://schemas.openxmlformats.org/officeDocument/2006/relationships/image" Target="media/image74.jpeg"/><Relationship Id="rId184" Type="http://schemas.openxmlformats.org/officeDocument/2006/relationships/hyperlink" Target="https://www.laligue.be/Files/media/Ligueur/2015/enquete-couts-scolaires-2015.pdf" TargetMode="External"/><Relationship Id="rId251" Type="http://schemas.openxmlformats.org/officeDocument/2006/relationships/hyperlink" Target="http://k-s.be/medialibrary/purl/nl/0657821/Inhoud%20en%20Inleiding%20van%20'Over%20vrijbuiters%20en%20ankertijd'.pdf" TargetMode="External"/><Relationship Id="rId46" Type="http://schemas.openxmlformats.org/officeDocument/2006/relationships/image" Target="media/image17.jpeg"/><Relationship Id="rId293" Type="http://schemas.openxmlformats.org/officeDocument/2006/relationships/image" Target="media/image124.jpeg"/><Relationship Id="rId307" Type="http://schemas.openxmlformats.org/officeDocument/2006/relationships/hyperlink" Target="http://www.kindengezin.be/img/bko-en-vrijetijdsbesteding-in-vl2013.pdf" TargetMode="External"/><Relationship Id="rId349" Type="http://schemas.openxmlformats.org/officeDocument/2006/relationships/hyperlink" Target="http://www.aidealajeunesse.cfwb.be/index.php?eID=tx_nawsecuredl&amp;u=0&amp;g=0&amp;hash=41bc32b4ce3e668985aec97a7a4936f75ae6a77d&amp;file=fileadmin/sites/ajss/upload/ajss_super_editor/DGAJ/Documents/Brochures_et_documentations/AIJ-Rapport-2010.pdf" TargetMode="External"/><Relationship Id="rId88" Type="http://schemas.openxmlformats.org/officeDocument/2006/relationships/hyperlink" Target="http://www.vaccination-info.be/" TargetMode="External"/><Relationship Id="rId111" Type="http://schemas.openxmlformats.org/officeDocument/2006/relationships/hyperlink" Target="http://health.belgium.be/eportal/Myhealth/Properuse/Antibiotics/BAPCOC/index.htm" TargetMode="External"/><Relationship Id="rId153" Type="http://schemas.openxmlformats.org/officeDocument/2006/relationships/hyperlink" Target="http://www.who.int/dietphysicalactivity/factsheet_young_people/fr/" TargetMode="External"/><Relationship Id="rId195" Type="http://schemas.openxmlformats.org/officeDocument/2006/relationships/image" Target="media/image81.jpeg"/><Relationship Id="rId209" Type="http://schemas.openxmlformats.org/officeDocument/2006/relationships/image" Target="media/image88.jpeg"/><Relationship Id="rId360" Type="http://schemas.openxmlformats.org/officeDocument/2006/relationships/hyperlink" Target="http://www.childfocus.be/nl/nieuws/exploratief-onderzoek-naar-slachtoffers-van-tienerpooiers-in-vlaanderen" TargetMode="External"/><Relationship Id="rId220" Type="http://schemas.openxmlformats.org/officeDocument/2006/relationships/hyperlink" Target="http://www.oecd.org/pisa/keyfindings/Vol4Ch5.pdf" TargetMode="External"/><Relationship Id="rId15" Type="http://schemas.openxmlformats.org/officeDocument/2006/relationships/image" Target="media/image2.jpeg"/><Relationship Id="rId57" Type="http://schemas.openxmlformats.org/officeDocument/2006/relationships/image" Target="media/image23.jpeg"/><Relationship Id="rId262" Type="http://schemas.openxmlformats.org/officeDocument/2006/relationships/hyperlink" Target="http://lirias.kuleuven.be/handle/123456789/367163" TargetMode="External"/><Relationship Id="rId318" Type="http://schemas.openxmlformats.org/officeDocument/2006/relationships/hyperlink" Target="http://www.csj.be/sites/5023.b.fedimbo.belgium.be/files/press_publications/barometre_justice_2014.pdf" TargetMode="External"/><Relationship Id="rId99" Type="http://schemas.openxmlformats.org/officeDocument/2006/relationships/image" Target="media/image48.jpeg"/><Relationship Id="rId122" Type="http://schemas.openxmlformats.org/officeDocument/2006/relationships/hyperlink" Target="http://www.ombudsfunctieggz.be/?action=nieuws_detail&amp;nieuws=332&amp;titel=CM+waarschuwt+voor+stijgend+gebruik+antidepressiva+bij+jongeren&amp;thema" TargetMode="External"/><Relationship Id="rId164" Type="http://schemas.openxmlformats.org/officeDocument/2006/relationships/hyperlink" Target="https://hiva.kuleuven.be/resources/pdf/publicaties/R1473_armoede_tussen_de_plooien.pdf" TargetMode="External"/><Relationship Id="rId371" Type="http://schemas.openxmlformats.org/officeDocument/2006/relationships/hyperlink" Target="http://www.ulysse-ssm.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16DE33-A917-4335-B53C-50DFFE255350}"/>
</file>

<file path=customXml/itemProps2.xml><?xml version="1.0" encoding="utf-8"?>
<ds:datastoreItem xmlns:ds="http://schemas.openxmlformats.org/officeDocument/2006/customXml" ds:itemID="{829AC663-3444-4DB8-A3ED-12A1F8419FAE}"/>
</file>

<file path=customXml/itemProps3.xml><?xml version="1.0" encoding="utf-8"?>
<ds:datastoreItem xmlns:ds="http://schemas.openxmlformats.org/officeDocument/2006/customXml" ds:itemID="{E98D7A70-9D2A-40EC-85AE-7BCBA651181B}"/>
</file>

<file path=docProps/app.xml><?xml version="1.0" encoding="utf-8"?>
<Properties xmlns="http://schemas.openxmlformats.org/officeDocument/2006/extended-properties" xmlns:vt="http://schemas.openxmlformats.org/officeDocument/2006/docPropsVTypes">
  <Template>F7B294AF.dotm</Template>
  <TotalTime>0</TotalTime>
  <Pages>220</Pages>
  <Words>62654</Words>
  <Characters>395347</Characters>
  <Application>Microsoft Office Word</Application>
  <DocSecurity>0</DocSecurity>
  <Lines>11627</Lines>
  <Paragraphs>6939</Paragraphs>
  <ScaleCrop>false</ScaleCrop>
  <HeadingPairs>
    <vt:vector size="2" baseType="variant">
      <vt:variant>
        <vt:lpstr>Title</vt:lpstr>
      </vt:variant>
      <vt:variant>
        <vt:i4>1</vt:i4>
      </vt:variant>
    </vt:vector>
  </HeadingPairs>
  <TitlesOfParts>
    <vt:vector size="1" baseType="lpstr">
      <vt:lpstr/>
    </vt:vector>
  </TitlesOfParts>
  <Company>FOD Buitenlandse Zaken / SPF Affaires Etrangeres</Company>
  <LinksUpToDate>false</LinksUpToDate>
  <CharactersWithSpaces>451062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Stevens Thomas - Belgium - Geneva UNO</cp:lastModifiedBy>
  <cp:revision>2</cp:revision>
  <dcterms:created xsi:type="dcterms:W3CDTF">2017-08-25T09:51:00Z</dcterms:created>
  <dcterms:modified xsi:type="dcterms:W3CDTF">2017-08-25T09:51:00Z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c8d5aa81-96e1-45da-b919-fb57e98e8ee6</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y fmtid="{D5CDD505-2E9C-101B-9397-08002B2CF9AE}" pid="5" name="ContentTypeId">
    <vt:lpwstr>0x0101000A2EFB0846309C4280BBEF2F95FCFF71</vt:lpwstr>
  </property>
</Properties>
</file>